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4673A">
      <w:pPr>
        <w:spacing w:before="960" w:line="320" w:lineRule="exact"/>
        <w:jc w:val="center"/>
        <w:outlineLvl w:val="2"/>
        <w:rPr>
          <w:rFonts w:ascii="宋体" w:hAnsi="宋体"/>
          <w:b/>
          <w:w w:val="200"/>
        </w:rPr>
      </w:pPr>
    </w:p>
    <w:p w:rsidR="0094673A">
      <w:pPr>
        <w:spacing w:before="960" w:line="620" w:lineRule="exact"/>
        <w:jc w:val="center"/>
        <w:outlineLvl w:val="2"/>
        <w:rPr>
          <w:rFonts w:ascii="宋体" w:hAnsi="宋体"/>
          <w:b/>
          <w:sz w:val="44"/>
        </w:rPr>
      </w:pPr>
    </w:p>
    <w:p w:rsidR="0094673A">
      <w:pPr>
        <w:spacing w:before="960" w:line="620" w:lineRule="exact"/>
        <w:jc w:val="center"/>
        <w:outlineLvl w:val="2"/>
        <w:rPr>
          <w:rFonts w:ascii="宋体" w:hAnsi="宋体"/>
          <w:b/>
          <w:sz w:val="44"/>
        </w:rPr>
      </w:pPr>
      <w:r>
        <w:rPr>
          <w:rFonts w:ascii="宋体" w:hAnsi="宋体" w:hint="eastAsia"/>
          <w:b/>
          <w:sz w:val="44"/>
        </w:rPr>
        <w:t>易方达研究智选股票型证券投资基金</w:t>
      </w:r>
      <w:r>
        <w:rPr>
          <w:rFonts w:ascii="宋体" w:hAnsi="宋体" w:hint="eastAsia"/>
          <w:b/>
          <w:sz w:val="44"/>
          <w:highlight w:val="white"/>
        </w:rPr>
        <w:t>托管协议</w:t>
      </w:r>
    </w:p>
    <w:p w:rsidR="0094673A">
      <w:pPr>
        <w:spacing w:before="960" w:line="620" w:lineRule="exact"/>
        <w:jc w:val="center"/>
        <w:outlineLvl w:val="2"/>
        <w:rPr>
          <w:rFonts w:ascii="宋体" w:hAnsi="宋体"/>
          <w:b/>
          <w:sz w:val="32"/>
          <w:szCs w:val="32"/>
        </w:rPr>
      </w:pPr>
    </w:p>
    <w:p w:rsidR="0094673A">
      <w:pPr>
        <w:spacing w:before="960" w:line="620" w:lineRule="exact"/>
        <w:jc w:val="center"/>
        <w:outlineLvl w:val="2"/>
        <w:rPr>
          <w:rFonts w:ascii="宋体" w:hAnsi="宋体"/>
          <w:b/>
          <w:sz w:val="44"/>
        </w:rPr>
      </w:pPr>
    </w:p>
    <w:p w:rsidR="0094673A">
      <w:pPr>
        <w:spacing w:line="320" w:lineRule="exact"/>
        <w:ind w:left="360" w:right="26"/>
        <w:jc w:val="center"/>
        <w:rPr>
          <w:rFonts w:ascii="宋体" w:hAnsi="宋体"/>
          <w:b/>
          <w:sz w:val="30"/>
        </w:rPr>
      </w:pPr>
    </w:p>
    <w:p w:rsidR="0094673A">
      <w:pPr>
        <w:spacing w:line="320" w:lineRule="exact"/>
        <w:ind w:left="479" w:right="26" w:firstLine="1200"/>
        <w:rPr>
          <w:rFonts w:ascii="宋体" w:hAnsi="宋体"/>
          <w:sz w:val="28"/>
          <w:szCs w:val="28"/>
        </w:rPr>
      </w:pPr>
      <w:r>
        <w:rPr>
          <w:rFonts w:ascii="宋体" w:hAnsi="宋体" w:hint="eastAsia"/>
          <w:sz w:val="28"/>
          <w:szCs w:val="28"/>
          <w:highlight w:val="white"/>
        </w:rPr>
        <w:t>基金管理人：易方达基金管理有限公司</w:t>
      </w:r>
    </w:p>
    <w:p w:rsidR="0094673A">
      <w:pPr>
        <w:spacing w:line="320" w:lineRule="exact"/>
        <w:ind w:left="359" w:right="26" w:firstLine="1200"/>
        <w:rPr>
          <w:rFonts w:ascii="宋体" w:hAnsi="宋体"/>
          <w:sz w:val="28"/>
          <w:szCs w:val="28"/>
        </w:rPr>
      </w:pPr>
    </w:p>
    <w:p w:rsidR="0094673A">
      <w:pPr>
        <w:spacing w:line="320" w:lineRule="exact"/>
        <w:ind w:left="479" w:right="26" w:firstLine="1200"/>
        <w:rPr>
          <w:rFonts w:ascii="宋体" w:hAnsi="宋体"/>
          <w:sz w:val="28"/>
          <w:szCs w:val="28"/>
        </w:rPr>
      </w:pPr>
      <w:r>
        <w:rPr>
          <w:rFonts w:ascii="宋体" w:hAnsi="宋体" w:hint="eastAsia"/>
          <w:sz w:val="28"/>
          <w:szCs w:val="28"/>
          <w:highlight w:val="white"/>
        </w:rPr>
        <w:t>基金托管人：中国银行股份有限公司</w:t>
      </w:r>
    </w:p>
    <w:p w:rsidR="0094673A">
      <w:pPr>
        <w:jc w:val="center"/>
      </w:pPr>
      <w:r>
        <w:rPr>
          <w:rFonts w:ascii="宋体" w:hAnsi="宋体" w:cs="宋体"/>
          <w:color w:val="000000"/>
          <w:sz w:val="28"/>
          <w:highlight w:val="white"/>
        </w:rPr>
        <w:t>二零二</w:t>
      </w:r>
      <w:r w:rsidR="00D57DE6">
        <w:rPr>
          <w:rFonts w:ascii="宋体" w:hAnsi="宋体" w:cs="宋体" w:hint="eastAsia"/>
          <w:color w:val="000000"/>
          <w:sz w:val="28"/>
          <w:highlight w:val="white"/>
        </w:rPr>
        <w:t>六</w:t>
      </w:r>
      <w:r>
        <w:rPr>
          <w:rFonts w:ascii="宋体" w:hAnsi="宋体" w:cs="宋体"/>
          <w:color w:val="000000"/>
          <w:sz w:val="28"/>
          <w:highlight w:val="white"/>
        </w:rPr>
        <w:t>年</w:t>
      </w:r>
      <w:r>
        <w:rPr>
          <w:rFonts w:ascii="宋体" w:hAnsi="宋体" w:cs="宋体"/>
          <w:color w:val="000000"/>
          <w:sz w:val="28"/>
          <w:highlight w:val="white"/>
        </w:rPr>
        <w:t>二月</w:t>
      </w:r>
    </w:p>
    <w:p w:rsidR="0094673A">
      <w:pPr>
        <w:jc w:val="center"/>
        <w:rPr>
          <w:rFonts w:ascii="宋体" w:hAnsi="宋体"/>
          <w:sz w:val="28"/>
          <w:szCs w:val="28"/>
        </w:rPr>
      </w:pPr>
    </w:p>
    <w:p w:rsidR="0094673A">
      <w:pPr>
        <w:pStyle w:val="PlainText"/>
        <w:spacing w:before="100" w:beforeAutospacing="1" w:after="100" w:afterAutospacing="1" w:line="400" w:lineRule="exact"/>
        <w:ind w:firstLine="549"/>
        <w:jc w:val="center"/>
        <w:rPr>
          <w:rFonts w:hAnsi="宋体"/>
          <w:b/>
        </w:rPr>
      </w:pPr>
      <w:r>
        <w:rPr>
          <w:rFonts w:hAnsi="宋体"/>
          <w:b/>
          <w:highlight w:val="white"/>
        </w:rPr>
        <w:br w:type="page"/>
      </w:r>
    </w:p>
    <w:p w:rsidR="0094673A">
      <w:pPr>
        <w:pStyle w:val="PlainText"/>
        <w:spacing w:before="100" w:beforeAutospacing="1" w:after="100" w:afterAutospacing="1" w:line="400" w:lineRule="exact"/>
        <w:rPr>
          <w:rFonts w:hAnsi="宋体"/>
        </w:rPr>
      </w:pPr>
      <w:r>
        <w:rPr>
          <w:rFonts w:hAnsi="宋体" w:hint="eastAsia"/>
          <w:highlight w:val="white"/>
        </w:rPr>
        <w:t xml:space="preserve">    鉴于易方达基金管理有限公司是一家依照中国法律合法成立并有效存续的有限责任公司，按照相关法律法规的规定具备担任基金管理人的资格和能力；</w:t>
      </w:r>
    </w:p>
    <w:p w:rsidR="0094673A">
      <w:pPr>
        <w:pStyle w:val="PlainText"/>
        <w:spacing w:before="100" w:beforeAutospacing="1" w:after="100" w:afterAutospacing="1" w:line="400" w:lineRule="exact"/>
        <w:rPr>
          <w:rFonts w:hAnsi="宋体"/>
        </w:rPr>
      </w:pPr>
      <w:r>
        <w:rPr>
          <w:rFonts w:hAnsi="宋体" w:hint="eastAsia"/>
          <w:highlight w:val="white"/>
        </w:rPr>
        <w:t xml:space="preserve">    鉴于中国银行股份有限公司是一家依照中国法律合法成立并有效存续的银行，按照相关法律法规的规定具备担任基金托管人的资格和能力；</w:t>
      </w:r>
    </w:p>
    <w:p w:rsidR="0094673A">
      <w:pPr>
        <w:pStyle w:val="PlainText"/>
        <w:spacing w:before="100" w:beforeAutospacing="1" w:after="100" w:afterAutospacing="1" w:line="400" w:lineRule="exact"/>
        <w:rPr>
          <w:rFonts w:hAnsi="宋体"/>
        </w:rPr>
      </w:pPr>
      <w:r>
        <w:rPr>
          <w:rFonts w:hAnsi="宋体" w:hint="eastAsia"/>
          <w:highlight w:val="white"/>
        </w:rPr>
        <w:t xml:space="preserve">    鉴于易方达基金管理有限公司拟担任</w:t>
      </w:r>
      <w:r>
        <w:rPr>
          <w:rFonts w:hAnsi="宋体" w:hint="eastAsia"/>
        </w:rPr>
        <w:t>易方达研究智选股票型证券投资基金</w:t>
      </w:r>
      <w:r>
        <w:rPr>
          <w:rFonts w:hAnsi="宋体" w:hint="eastAsia"/>
          <w:highlight w:val="white"/>
        </w:rPr>
        <w:t>的基金管理人，中国银行股份有限公司拟担任</w:t>
      </w:r>
      <w:r>
        <w:rPr>
          <w:rFonts w:hAnsi="宋体" w:hint="eastAsia"/>
        </w:rPr>
        <w:t>易方达研究智选股票型证券投资基金</w:t>
      </w:r>
      <w:r>
        <w:rPr>
          <w:rFonts w:hAnsi="宋体" w:hint="eastAsia"/>
          <w:highlight w:val="white"/>
        </w:rPr>
        <w:t>的基金托管人；</w:t>
      </w:r>
    </w:p>
    <w:p w:rsidR="0094673A">
      <w:pPr>
        <w:pStyle w:val="PlainText"/>
        <w:spacing w:before="100" w:beforeAutospacing="1" w:after="100" w:afterAutospacing="1" w:line="400" w:lineRule="exact"/>
        <w:rPr>
          <w:rFonts w:hAnsi="宋体"/>
        </w:rPr>
      </w:pPr>
      <w:r>
        <w:rPr>
          <w:rFonts w:hAnsi="宋体" w:hint="eastAsia"/>
          <w:highlight w:val="white"/>
        </w:rPr>
        <w:t xml:space="preserve">    为明确</w:t>
      </w:r>
      <w:r>
        <w:rPr>
          <w:rFonts w:hAnsi="宋体" w:hint="eastAsia"/>
        </w:rPr>
        <w:t>易方达研究智选股票型证券投资基金</w:t>
      </w:r>
      <w:r>
        <w:rPr>
          <w:rFonts w:hAnsi="宋体" w:hint="eastAsia"/>
          <w:highlight w:val="white"/>
        </w:rPr>
        <w:t>基金管理人和基金托管人之间的权利义务关系，特制订本协议。</w:t>
      </w:r>
      <w:bookmarkStart w:id="0" w:name="_Toc30230313"/>
    </w:p>
    <w:p w:rsidR="0094673A">
      <w:pPr>
        <w:pStyle w:val="PlainText"/>
        <w:spacing w:before="100" w:beforeAutospacing="1" w:after="100" w:afterAutospacing="1" w:line="400" w:lineRule="exact"/>
        <w:ind w:firstLine="549"/>
        <w:rPr>
          <w:rFonts w:hAnsi="宋体"/>
        </w:rPr>
      </w:pPr>
    </w:p>
    <w:p w:rsidR="0094673A">
      <w:pPr>
        <w:pStyle w:val="11"/>
        <w:spacing w:before="100" w:beforeAutospacing="1" w:after="100" w:afterAutospacing="1" w:line="400" w:lineRule="exact"/>
        <w:ind w:firstLine="422"/>
        <w:rPr>
          <w:rFonts w:ascii="宋体" w:hAnsi="宋体"/>
          <w:sz w:val="21"/>
          <w:szCs w:val="21"/>
        </w:rPr>
      </w:pPr>
      <w:bookmarkStart w:id="1" w:name="_Toc116900096"/>
      <w:r>
        <w:rPr>
          <w:rFonts w:ascii="宋体" w:hAnsi="宋体" w:hint="eastAsia"/>
          <w:sz w:val="21"/>
          <w:szCs w:val="21"/>
          <w:highlight w:val="white"/>
        </w:rPr>
        <w:t>一、托管协议当事人</w:t>
      </w:r>
      <w:bookmarkEnd w:id="0"/>
      <w:bookmarkEnd w:id="1"/>
    </w:p>
    <w:p w:rsidR="0094673A">
      <w:pPr>
        <w:pStyle w:val="PlainText"/>
        <w:spacing w:before="100" w:beforeAutospacing="1" w:after="100" w:afterAutospacing="1" w:line="400" w:lineRule="exact"/>
        <w:ind w:firstLine="403"/>
        <w:rPr>
          <w:rFonts w:hAnsi="宋体"/>
        </w:rPr>
      </w:pPr>
      <w:r>
        <w:rPr>
          <w:rFonts w:hAnsi="宋体" w:hint="eastAsia"/>
          <w:highlight w:val="white"/>
        </w:rPr>
        <w:t>（一）基金管理人（或简称“管理人”）</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名称：易方达基金管理有限公司</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住所：广东省珠海市横琴新区荣粤道188号6层</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 xml:space="preserve">法定代表人：吴欣荣 </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设立日期：2001年4月17日</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批准设立机关及批准设立文号：中国证券监督管理委员会，证监基金字[2001]4号</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组织形式：有限责任公司</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注册资本：13,244.2万元人民币</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存续期限：持续经营</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联系电话：4008818088</w:t>
      </w:r>
    </w:p>
    <w:p w:rsidR="0094673A">
      <w:pPr>
        <w:pStyle w:val="PlainText"/>
        <w:spacing w:before="100" w:beforeAutospacing="1" w:after="100" w:afterAutospacing="1" w:line="400" w:lineRule="exact"/>
        <w:ind w:firstLine="403"/>
        <w:rPr>
          <w:rFonts w:hAnsi="宋体"/>
        </w:rPr>
      </w:pPr>
    </w:p>
    <w:p w:rsidR="0094673A">
      <w:pPr>
        <w:pStyle w:val="PlainText"/>
        <w:spacing w:before="100" w:beforeAutospacing="1" w:after="100" w:afterAutospacing="1" w:line="400" w:lineRule="exact"/>
        <w:ind w:firstLine="403"/>
        <w:rPr>
          <w:rFonts w:hAnsi="宋体"/>
        </w:rPr>
      </w:pPr>
      <w:r>
        <w:rPr>
          <w:rFonts w:hAnsi="宋体" w:hint="eastAsia"/>
          <w:highlight w:val="white"/>
        </w:rPr>
        <w:t>（二）基金托管人（或简称“托管人”）</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名称：</w:t>
      </w:r>
      <w:r>
        <w:rPr>
          <w:rFonts w:ascii="宋体" w:hAnsi="宋体" w:hint="eastAsia"/>
          <w:szCs w:val="21"/>
          <w:highlight w:val="white"/>
        </w:rPr>
        <w:tab/>
      </w:r>
      <w:r>
        <w:rPr>
          <w:rFonts w:ascii="宋体" w:hAnsi="宋体" w:hint="eastAsia"/>
          <w:szCs w:val="21"/>
          <w:highlight w:val="white"/>
        </w:rPr>
        <w:tab/>
        <w:t>中国银行股份有限公司</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住所：</w:t>
      </w:r>
      <w:r>
        <w:rPr>
          <w:rFonts w:ascii="宋体" w:hAnsi="宋体" w:hint="eastAsia"/>
          <w:szCs w:val="21"/>
          <w:highlight w:val="white"/>
        </w:rPr>
        <w:tab/>
      </w:r>
      <w:r>
        <w:rPr>
          <w:rFonts w:ascii="宋体" w:hAnsi="宋体" w:hint="eastAsia"/>
          <w:szCs w:val="21"/>
          <w:highlight w:val="white"/>
        </w:rPr>
        <w:tab/>
        <w:t>北京市西城区复兴门内大街1号</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法定代表人: 葛海蛟</w:t>
      </w:r>
    </w:p>
    <w:p w:rsidR="0094673A">
      <w:pPr>
        <w:spacing w:before="100" w:beforeAutospacing="1" w:after="100" w:afterAutospacing="1" w:line="400" w:lineRule="exact"/>
        <w:ind w:firstLine="435"/>
        <w:rPr>
          <w:rFonts w:ascii="宋体" w:hAnsi="宋体"/>
          <w:szCs w:val="21"/>
        </w:rPr>
      </w:pPr>
      <w:r>
        <w:rPr>
          <w:rFonts w:ascii="宋体" w:hAnsi="宋体" w:hint="eastAsia"/>
          <w:szCs w:val="21"/>
          <w:highlight w:val="white"/>
        </w:rPr>
        <w:t>成立时间：  1983年10月31日</w:t>
      </w:r>
    </w:p>
    <w:p w:rsidR="0094673A">
      <w:pPr>
        <w:spacing w:before="100" w:beforeAutospacing="1" w:after="100" w:afterAutospacing="1" w:line="400" w:lineRule="exact"/>
        <w:ind w:firstLine="420"/>
        <w:rPr>
          <w:rFonts w:ascii="宋体" w:hAnsi="宋体"/>
          <w:szCs w:val="21"/>
        </w:rPr>
      </w:pPr>
      <w:r>
        <w:rPr>
          <w:rFonts w:ascii="宋体" w:hAnsi="宋体" w:hint="eastAsia"/>
          <w:szCs w:val="21"/>
          <w:highlight w:val="white"/>
        </w:rPr>
        <w:t>基金托管业务批准文号：中国证监会证监基字【1998】24号</w:t>
      </w:r>
    </w:p>
    <w:p w:rsidR="0094673A">
      <w:pPr>
        <w:tabs>
          <w:tab w:val="left" w:pos="1110"/>
        </w:tabs>
        <w:spacing w:before="100" w:beforeAutospacing="1" w:after="100" w:afterAutospacing="1" w:line="400" w:lineRule="exact"/>
        <w:ind w:firstLine="420"/>
        <w:rPr>
          <w:rFonts w:ascii="宋体" w:hAnsi="宋体"/>
          <w:szCs w:val="21"/>
        </w:rPr>
      </w:pPr>
      <w:r>
        <w:rPr>
          <w:rFonts w:ascii="宋体" w:hAnsi="宋体" w:hint="eastAsia"/>
          <w:szCs w:val="21"/>
          <w:highlight w:val="white"/>
        </w:rPr>
        <w:t>组织形式：  股份有限公司</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注册资本：</w:t>
      </w:r>
      <w:r>
        <w:rPr>
          <w:rFonts w:ascii="宋体" w:hAnsi="宋体" w:hint="eastAsia"/>
          <w:szCs w:val="21"/>
          <w:highlight w:val="white"/>
        </w:rPr>
        <w:tab/>
        <w:t>人民币叁仟贰佰贰拾贰亿壹仟贰佰肆拾壹万壹仟捌佰壹拾肆元整</w:t>
      </w:r>
    </w:p>
    <w:p w:rsidR="0094673A">
      <w:pPr>
        <w:spacing w:before="100" w:beforeAutospacing="1" w:after="100" w:afterAutospacing="1" w:line="400" w:lineRule="exact"/>
        <w:ind w:left="1674" w:right="26" w:hanging="1271"/>
        <w:rPr>
          <w:rFonts w:ascii="宋体" w:hAnsi="宋体"/>
          <w:szCs w:val="21"/>
        </w:rPr>
      </w:pPr>
      <w:r>
        <w:rPr>
          <w:rFonts w:ascii="宋体" w:hAnsi="宋体" w:hint="eastAsia"/>
          <w:szCs w:val="21"/>
          <w:highlight w:val="white"/>
        </w:rPr>
        <w:t>经营范围：</w:t>
      </w:r>
      <w:r>
        <w:rPr>
          <w:rFonts w:ascii="宋体" w:hAnsi="宋体"/>
          <w:szCs w:val="21"/>
          <w:highlight w:val="white"/>
        </w:rPr>
        <w:tab/>
        <w:t>吸收人民币存款；发放短期、中期和长期贷款；办理结算；办理票据贴现；发行金融债券；代理发行、代理兑付、承销政府债券；买卖政府债券；从事同业拆借；提供信用证服务及担保；代理收付款项；提供保管箱服务；外汇存款；外汇贷款；外汇汇款；外币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当地法律许可的一切银行业务；在港澳地区的分行依据当地法令可发行或参与代理发行当地货币；经中国银行业监督管理委员会等监管部门批准的其他业务；保险兼业代理（有效期至2021年8月21日）。（企业依法自主选择经营项目，开展经营活动；依法须经批准的项目，经相关部门批准后依批准的内容开展经营活动；不得从事本市产业政策禁止和限制类项目的经营活动。）</w:t>
      </w:r>
    </w:p>
    <w:p w:rsidR="0094673A">
      <w:pPr>
        <w:spacing w:before="100" w:beforeAutospacing="1" w:after="100" w:afterAutospacing="1" w:line="400" w:lineRule="exact"/>
        <w:ind w:firstLine="403"/>
        <w:rPr>
          <w:rFonts w:ascii="宋体" w:hAnsi="宋体"/>
          <w:szCs w:val="21"/>
        </w:rPr>
      </w:pPr>
      <w:r>
        <w:rPr>
          <w:rFonts w:ascii="宋体" w:hAnsi="宋体" w:hint="eastAsia"/>
          <w:szCs w:val="21"/>
          <w:highlight w:val="white"/>
        </w:rPr>
        <w:t>存续期限：</w:t>
      </w:r>
      <w:r>
        <w:rPr>
          <w:rFonts w:ascii="宋体" w:hAnsi="宋体" w:hint="eastAsia"/>
          <w:szCs w:val="21"/>
          <w:highlight w:val="white"/>
        </w:rPr>
        <w:tab/>
        <w:t>持续经营</w:t>
      </w:r>
    </w:p>
    <w:p w:rsidR="0094673A">
      <w:pPr>
        <w:spacing w:before="100" w:beforeAutospacing="1" w:after="100" w:afterAutospacing="1" w:line="400" w:lineRule="exact"/>
        <w:ind w:firstLine="403"/>
        <w:rPr>
          <w:rFonts w:ascii="宋体" w:hAnsi="宋体"/>
          <w:szCs w:val="21"/>
        </w:rPr>
      </w:pPr>
    </w:p>
    <w:p w:rsidR="0094673A">
      <w:pPr>
        <w:pStyle w:val="11"/>
        <w:tabs>
          <w:tab w:val="left" w:pos="6050"/>
        </w:tabs>
        <w:spacing w:before="100" w:beforeAutospacing="1" w:after="100" w:afterAutospacing="1" w:line="400" w:lineRule="exact"/>
        <w:ind w:firstLine="422"/>
        <w:rPr>
          <w:rFonts w:ascii="宋体" w:hAnsi="宋体"/>
          <w:sz w:val="21"/>
          <w:szCs w:val="21"/>
        </w:rPr>
      </w:pPr>
      <w:bookmarkStart w:id="2" w:name="_Toc116900097"/>
      <w:r>
        <w:rPr>
          <w:rFonts w:ascii="宋体" w:hAnsi="宋体" w:hint="eastAsia"/>
          <w:sz w:val="21"/>
          <w:szCs w:val="21"/>
          <w:highlight w:val="white"/>
        </w:rPr>
        <w:t>二、托管协议的依据、目的、原则和解释</w:t>
      </w:r>
      <w:bookmarkEnd w:id="2"/>
      <w:r>
        <w:rPr>
          <w:rFonts w:ascii="宋体" w:hAnsi="宋体"/>
          <w:sz w:val="21"/>
          <w:szCs w:val="21"/>
          <w:highlight w:val="white"/>
        </w:rPr>
        <w:tab/>
      </w:r>
    </w:p>
    <w:p w:rsidR="0094673A">
      <w:pPr>
        <w:spacing w:before="100" w:beforeAutospacing="1" w:after="100" w:afterAutospacing="1" w:line="400" w:lineRule="exact"/>
        <w:ind w:firstLine="403"/>
        <w:rPr>
          <w:rFonts w:ascii="宋体" w:hAnsi="宋体"/>
          <w:szCs w:val="21"/>
        </w:rPr>
      </w:pPr>
      <w:r>
        <w:rPr>
          <w:rFonts w:ascii="宋体" w:hAnsi="宋体" w:hint="eastAsia"/>
          <w:szCs w:val="21"/>
          <w:highlight w:val="white"/>
        </w:rPr>
        <w:t>（一）依据</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本协议依据《中华人民共和国民法典》、《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及其他有关法律法规与《</w:t>
      </w:r>
      <w:r>
        <w:rPr>
          <w:rFonts w:ascii="宋体" w:eastAsia="宋体" w:hint="eastAsia"/>
          <w:color w:val="auto"/>
          <w:sz w:val="21"/>
          <w:szCs w:val="21"/>
        </w:rPr>
        <w:t>易方达研究智选股票型证券投资基金</w:t>
      </w:r>
      <w:r>
        <w:rPr>
          <w:rFonts w:ascii="宋体" w:eastAsia="宋体" w:hint="eastAsia"/>
          <w:color w:val="auto"/>
          <w:sz w:val="21"/>
          <w:szCs w:val="21"/>
          <w:highlight w:val="white"/>
        </w:rPr>
        <w:t>基金合同》（以下简称“《基金合同》”）订立。</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（二）目的</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订立本协议的目的是明确</w:t>
      </w:r>
      <w:r>
        <w:rPr>
          <w:rFonts w:ascii="宋体" w:eastAsia="宋体" w:hint="eastAsia"/>
          <w:color w:val="auto"/>
          <w:sz w:val="21"/>
          <w:szCs w:val="21"/>
        </w:rPr>
        <w:t>易方达研究智选股票型证券投资基金</w:t>
      </w:r>
      <w:r>
        <w:rPr>
          <w:rFonts w:ascii="宋体" w:eastAsia="宋体" w:hint="eastAsia"/>
          <w:color w:val="auto"/>
          <w:sz w:val="21"/>
          <w:szCs w:val="21"/>
          <w:highlight w:val="white"/>
        </w:rPr>
        <w:t>基金托管人和</w:t>
      </w:r>
      <w:r>
        <w:rPr>
          <w:rFonts w:ascii="宋体" w:eastAsia="宋体" w:hint="eastAsia"/>
          <w:color w:val="auto"/>
          <w:sz w:val="21"/>
          <w:szCs w:val="21"/>
        </w:rPr>
        <w:t>易方达研究智选股票型证券投资基金</w:t>
      </w:r>
      <w:r>
        <w:rPr>
          <w:rFonts w:ascii="宋体" w:eastAsia="宋体" w:hint="eastAsia"/>
          <w:color w:val="auto"/>
          <w:sz w:val="21"/>
          <w:szCs w:val="21"/>
          <w:highlight w:val="white"/>
        </w:rPr>
        <w:t>基金管理人之间在基金财产的保管、投资运作、净值计算、收益分配、信息披露及相互监督等相关事宜中的权利、义务及职责，确保基金财产的安全，保护基金份额持有人的合法权益。</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（三）原则</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基金管理人和基金托管人本着平等自愿、诚实信用的原则，经协商一致，签订本协议。</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（四）解释</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除非文义另有所指，本协议的所有术语与</w:t>
      </w:r>
      <w:bookmarkStart w:id="3" w:name="OLE_LINK3"/>
      <w:r>
        <w:rPr>
          <w:rFonts w:ascii="宋体" w:eastAsia="宋体" w:hint="eastAsia"/>
          <w:color w:val="auto"/>
          <w:sz w:val="21"/>
          <w:szCs w:val="21"/>
          <w:highlight w:val="white"/>
        </w:rPr>
        <w:t>《基金合同》</w:t>
      </w:r>
      <w:bookmarkEnd w:id="3"/>
      <w:r>
        <w:rPr>
          <w:rFonts w:ascii="宋体" w:eastAsia="宋体" w:hint="eastAsia"/>
          <w:color w:val="auto"/>
          <w:sz w:val="21"/>
          <w:szCs w:val="21"/>
          <w:highlight w:val="white"/>
        </w:rPr>
        <w:t>的相应术语具有相同含义。</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4" w:name="_Toc116900098"/>
      <w:r>
        <w:rPr>
          <w:rFonts w:ascii="宋体" w:hAnsi="宋体" w:hint="eastAsia"/>
          <w:sz w:val="21"/>
          <w:szCs w:val="21"/>
          <w:highlight w:val="white"/>
        </w:rPr>
        <w:t>三、基金托管人对基金管理人的业务监督和核查</w:t>
      </w:r>
      <w:bookmarkEnd w:id="4"/>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（一）基金托管人根据有关法律法规的规定对基金管理人的下列投资运作进行监督：</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1、对基金的投资范围、投资对象进行监督。</w:t>
      </w:r>
    </w:p>
    <w:p w:rsidR="0094673A">
      <w:pPr>
        <w:spacing w:before="100" w:beforeAutospacing="1" w:after="100" w:afterAutospacing="1" w:line="400" w:lineRule="exact"/>
        <w:ind w:firstLine="420"/>
        <w:rPr>
          <w:rFonts w:ascii="宋体" w:hAnsi="宋体" w:cs="方正仿宋简体"/>
          <w:color w:val="000000"/>
          <w:szCs w:val="21"/>
        </w:rPr>
      </w:pPr>
      <w:r>
        <w:rPr>
          <w:rFonts w:ascii="宋体" w:hAnsi="宋体" w:cs="方正仿宋简体"/>
          <w:szCs w:val="21"/>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94673A">
      <w:pPr>
        <w:spacing w:before="100" w:beforeAutospacing="1" w:after="100" w:afterAutospacing="1" w:line="400" w:lineRule="exact"/>
        <w:ind w:firstLine="420"/>
        <w:rPr>
          <w:rFonts w:ascii="宋体" w:hAnsi="宋体" w:cs="方正仿宋简体"/>
          <w:color w:val="000000"/>
          <w:szCs w:val="21"/>
        </w:rPr>
      </w:pPr>
      <w:r>
        <w:rPr>
          <w:rFonts w:ascii="宋体" w:hAnsi="宋体" w:cs="方正仿宋简体"/>
          <w:szCs w:val="21"/>
        </w:rPr>
        <w:t>如法律法规或监管机构以后允许基金投资其他品种，基金管理人在履行适当程序后，本基金可以将其纳入投资范围。</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highlight w:val="white"/>
        </w:rPr>
        <w:t>基金的投资组合比例为：</w:t>
      </w:r>
      <w:r>
        <w:rPr>
          <w:rFonts w:ascii="宋体" w:hAnsi="宋体" w:cs="方正仿宋简体"/>
          <w:szCs w:val="21"/>
        </w:rPr>
        <w:t>本基金股票资产占基金资产的比例为80%-95%（其中港股通股票不超过股票资产的50%）；保持不低于基金资产净值5%的现金或者到期日在一年以内的政府债券，其中现金不包括结算备付金、存出保证金和应收申购款等。</w:t>
      </w:r>
    </w:p>
    <w:p w:rsidR="0094673A">
      <w:pPr>
        <w:spacing w:line="400" w:lineRule="exact"/>
        <w:ind w:firstLine="420"/>
        <w:rPr>
          <w:rFonts w:ascii="宋体" w:hAnsi="宋体" w:cs="方正仿宋简体"/>
          <w:szCs w:val="21"/>
        </w:rPr>
      </w:pPr>
      <w:r>
        <w:rPr>
          <w:rFonts w:ascii="宋体" w:hAnsi="宋体" w:cs="方正仿宋简体" w:hint="eastAsia"/>
          <w:szCs w:val="21"/>
          <w:highlight w:val="white"/>
        </w:rPr>
        <w:t>2、对基金投融资比例进行监督：</w:t>
      </w:r>
    </w:p>
    <w:p w:rsidR="0094673A">
      <w:pPr>
        <w:spacing w:line="400" w:lineRule="exact"/>
        <w:ind w:firstLine="420"/>
        <w:rPr>
          <w:rFonts w:ascii="宋体" w:hAnsi="宋体" w:cs="方正仿宋简体"/>
          <w:szCs w:val="21"/>
        </w:rPr>
      </w:pPr>
      <w:r>
        <w:rPr>
          <w:rFonts w:ascii="宋体" w:hAnsi="宋体" w:cs="方正仿宋简体" w:hint="eastAsia"/>
          <w:szCs w:val="21"/>
          <w:highlight w:val="white"/>
        </w:rPr>
        <w:t>（1）本基金股票资产占基金资产的比例为80%-95%（其中港股通股票不超过股票资产的50%）；</w:t>
      </w:r>
    </w:p>
    <w:p w:rsidR="0094673A">
      <w:pPr>
        <w:spacing w:line="400" w:lineRule="exact"/>
        <w:ind w:firstLine="420"/>
      </w:pPr>
      <w:r>
        <w:rPr>
          <w:rFonts w:ascii="宋体" w:hAnsi="宋体" w:cs="方正仿宋简体" w:hint="eastAsia"/>
          <w:szCs w:val="21"/>
          <w:highlight w:val="white"/>
        </w:rPr>
        <w:t>（2）保持不低于基金资产净值5％的现金或者到期日在一年以内的政府债券，其中现金不包括结算备付金、存出保证金和应收申购款等；</w:t>
      </w:r>
    </w:p>
    <w:p w:rsidR="0094673A">
      <w:pPr>
        <w:spacing w:line="400" w:lineRule="exact"/>
        <w:ind w:firstLine="420"/>
      </w:pPr>
      <w:r>
        <w:rPr>
          <w:rFonts w:ascii="宋体" w:hAnsi="宋体" w:cs="方正仿宋简体" w:hint="eastAsia"/>
          <w:szCs w:val="21"/>
          <w:highlight w:val="white"/>
        </w:rPr>
        <w:t>（3）本基金持有一家公司发行的证券（同一家公司在内地和香港同时上市的A+H股合计计算），其市值不超过基金资产净值的10％；</w:t>
      </w:r>
    </w:p>
    <w:p w:rsidR="0094673A">
      <w:pPr>
        <w:spacing w:line="400" w:lineRule="exact"/>
        <w:ind w:firstLine="420"/>
      </w:pPr>
      <w:r>
        <w:rPr>
          <w:rFonts w:ascii="宋体" w:hAnsi="宋体" w:cs="方正仿宋简体" w:hint="eastAsia"/>
          <w:szCs w:val="21"/>
          <w:highlight w:val="white"/>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94673A">
      <w:pPr>
        <w:spacing w:line="400" w:lineRule="exact"/>
        <w:ind w:firstLine="420"/>
      </w:pPr>
      <w:r>
        <w:rPr>
          <w:rFonts w:ascii="宋体" w:hAnsi="宋体" w:cs="方正仿宋简体" w:hint="eastAsia"/>
          <w:szCs w:val="21"/>
          <w:highlight w:val="white"/>
        </w:rPr>
        <w:t>（5）本基金投资于同一原始权益人的各类资产支持证券的比例，不得超过基金资产净值的10％；</w:t>
      </w:r>
    </w:p>
    <w:p w:rsidR="0094673A">
      <w:pPr>
        <w:spacing w:line="400" w:lineRule="exact"/>
        <w:ind w:firstLine="420"/>
      </w:pPr>
      <w:r>
        <w:rPr>
          <w:rFonts w:ascii="宋体" w:hAnsi="宋体" w:cs="方正仿宋简体" w:hint="eastAsia"/>
          <w:szCs w:val="21"/>
          <w:highlight w:val="white"/>
        </w:rPr>
        <w:t>（6）本基金持有的全部资产支持证券，其市值不得超过基金资产净值的20％；</w:t>
      </w:r>
    </w:p>
    <w:p w:rsidR="0094673A">
      <w:pPr>
        <w:spacing w:line="400" w:lineRule="exact"/>
        <w:ind w:firstLine="420"/>
      </w:pPr>
      <w:r>
        <w:rPr>
          <w:rFonts w:ascii="宋体" w:hAnsi="宋体" w:cs="方正仿宋简体" w:hint="eastAsia"/>
          <w:szCs w:val="21"/>
          <w:highlight w:val="white"/>
        </w:rPr>
        <w:t>（7）本基金持有的同一(指同一信用级别)资产支持证券的比例，不得超过该资产支持证券规模的10％；</w:t>
      </w:r>
    </w:p>
    <w:p w:rsidR="0094673A">
      <w:pPr>
        <w:spacing w:line="400" w:lineRule="exact"/>
        <w:ind w:firstLine="420"/>
      </w:pPr>
      <w:r>
        <w:rPr>
          <w:rFonts w:ascii="宋体" w:hAnsi="宋体" w:cs="方正仿宋简体" w:hint="eastAsia"/>
          <w:szCs w:val="21"/>
          <w:highlight w:val="white"/>
        </w:rPr>
        <w:t>（8）本基金管理人管理且由本基金托管人托管的全部基金投资于同一原始权益人的各类资产支持证券，不得超过其各类资产支持证券合计规模的10％；</w:t>
      </w:r>
    </w:p>
    <w:p w:rsidR="0094673A">
      <w:pPr>
        <w:spacing w:line="400" w:lineRule="exact"/>
        <w:ind w:firstLine="420"/>
      </w:pPr>
      <w:r>
        <w:rPr>
          <w:rFonts w:ascii="宋体" w:hAnsi="宋体" w:cs="方正仿宋简体" w:hint="eastAsia"/>
          <w:szCs w:val="21"/>
          <w:highlight w:val="white"/>
        </w:rPr>
        <w:t>（9）本基金应投资于信用级别评级为BBB以上(含BBB)的资产支持证券。基金持有资产支持证券期间，如果其信用等级下降、不再符合投资标准，应在评级报告发布之日起3个月内予以全部卖出；</w:t>
      </w:r>
    </w:p>
    <w:p w:rsidR="0094673A">
      <w:pPr>
        <w:spacing w:line="400" w:lineRule="exact"/>
        <w:ind w:firstLine="420"/>
      </w:pPr>
      <w:r>
        <w:rPr>
          <w:rFonts w:ascii="宋体" w:hAnsi="宋体" w:cs="方正仿宋简体" w:hint="eastAsia"/>
          <w:szCs w:val="21"/>
          <w:highlight w:val="white"/>
        </w:rPr>
        <w:t>（10）基金财产参与股票发行申购，本基金所申报的金额不超过本基金的总资产，本基金所申报的股票数量不超过拟发行股票公司本次发行股票的总量；</w:t>
      </w:r>
    </w:p>
    <w:p w:rsidR="0094673A">
      <w:pPr>
        <w:spacing w:line="400" w:lineRule="exact"/>
        <w:ind w:firstLine="420"/>
      </w:pPr>
      <w:r>
        <w:rPr>
          <w:rFonts w:ascii="宋体" w:hAnsi="宋体" w:cs="方正仿宋简体" w:hint="eastAsia"/>
          <w:szCs w:val="21"/>
          <w:highlight w:val="white"/>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94673A">
      <w:pPr>
        <w:spacing w:line="400" w:lineRule="exact"/>
        <w:ind w:firstLine="420"/>
      </w:pPr>
      <w:r>
        <w:rPr>
          <w:rFonts w:ascii="宋体" w:hAnsi="宋体" w:cs="方正仿宋简体" w:hint="eastAsia"/>
          <w:szCs w:val="21"/>
          <w:highlight w:val="whit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94673A">
      <w:pPr>
        <w:spacing w:line="400" w:lineRule="exact"/>
        <w:ind w:firstLine="420"/>
      </w:pPr>
      <w:r>
        <w:rPr>
          <w:rFonts w:ascii="宋体" w:hAnsi="宋体" w:cs="方正仿宋简体" w:hint="eastAsia"/>
          <w:szCs w:val="21"/>
          <w:highlight w:val="white"/>
        </w:rPr>
        <w:t>（13）本基金与私募类证券资管产品及中国证监会认定的其他主体为交易对手开展逆回购交易的，可接受质押品的资质要求应当与基金合同约定的投资范围保持一致；</w:t>
      </w:r>
    </w:p>
    <w:p w:rsidR="0094673A">
      <w:pPr>
        <w:spacing w:line="400" w:lineRule="exact"/>
        <w:ind w:firstLine="420"/>
      </w:pPr>
      <w:r>
        <w:rPr>
          <w:rFonts w:ascii="宋体" w:hAnsi="宋体" w:cs="方正仿宋简体" w:hint="eastAsia"/>
          <w:szCs w:val="21"/>
          <w:highlight w:val="white"/>
        </w:rPr>
        <w:t>（14）本基金资产总值不超过基金资产净值的140%；</w:t>
      </w:r>
    </w:p>
    <w:p w:rsidR="0094673A">
      <w:pPr>
        <w:spacing w:line="400" w:lineRule="exact"/>
        <w:ind w:firstLine="420"/>
      </w:pPr>
      <w:r>
        <w:rPr>
          <w:rFonts w:ascii="宋体" w:hAnsi="宋体" w:cs="方正仿宋简体" w:hint="eastAsia"/>
          <w:szCs w:val="21"/>
          <w:highlight w:val="white"/>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为80%-95%；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94673A">
      <w:pPr>
        <w:spacing w:line="400" w:lineRule="exact"/>
        <w:ind w:firstLine="420"/>
      </w:pPr>
      <w:r>
        <w:rPr>
          <w:rFonts w:ascii="宋体" w:hAnsi="宋体" w:cs="方正仿宋简体" w:hint="eastAsia"/>
          <w:szCs w:val="21"/>
          <w:highlight w:val="white"/>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94673A">
      <w:pPr>
        <w:spacing w:line="400" w:lineRule="exact"/>
        <w:ind w:firstLine="420"/>
      </w:pPr>
      <w:r>
        <w:rPr>
          <w:rFonts w:ascii="宋体" w:hAnsi="宋体" w:cs="方正仿宋简体" w:hint="eastAsia"/>
          <w:szCs w:val="21"/>
          <w:highlight w:val="white"/>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94673A">
      <w:pPr>
        <w:spacing w:line="400" w:lineRule="exact"/>
        <w:ind w:firstLine="420"/>
      </w:pPr>
      <w:r>
        <w:rPr>
          <w:rFonts w:ascii="宋体" w:hAnsi="宋体" w:cs="方正仿宋简体" w:hint="eastAsia"/>
          <w:szCs w:val="21"/>
          <w:highlight w:val="white"/>
        </w:rPr>
        <w:t>（18）基金参与融资业务后，在任何交易日日终，持有的融资买入股票与其他有价证券市值之和，不得超过基金资产净值的95%；</w:t>
      </w:r>
    </w:p>
    <w:p w:rsidR="0094673A">
      <w:pPr>
        <w:spacing w:line="400" w:lineRule="exact"/>
        <w:ind w:firstLine="420"/>
      </w:pPr>
      <w:r>
        <w:rPr>
          <w:rFonts w:ascii="宋体" w:hAnsi="宋体" w:cs="方正仿宋简体" w:hint="eastAsia"/>
          <w:szCs w:val="21"/>
          <w:highlight w:val="white"/>
        </w:rPr>
        <w:t>（19）本基金投资存托凭证的比例限制依照境内上市交易的股票执行，与境内上市交易的股票合并计算；</w:t>
      </w:r>
    </w:p>
    <w:p w:rsidR="0094673A">
      <w:pPr>
        <w:spacing w:line="400" w:lineRule="exact"/>
        <w:ind w:firstLine="420"/>
      </w:pPr>
      <w:r>
        <w:rPr>
          <w:rFonts w:ascii="宋体" w:hAnsi="宋体" w:cs="方正仿宋简体" w:hint="eastAsia"/>
          <w:szCs w:val="21"/>
          <w:highlight w:val="white"/>
        </w:rPr>
        <w:t>（20）法律法规及中国证监会规定的其他投资比例限制。</w:t>
      </w:r>
    </w:p>
    <w:p w:rsidR="0094673A">
      <w:pPr>
        <w:spacing w:line="400" w:lineRule="exact"/>
        <w:ind w:firstLine="420"/>
      </w:pPr>
      <w:r>
        <w:rPr>
          <w:rFonts w:ascii="宋体" w:hAnsi="宋体" w:cs="方正仿宋简体" w:hint="eastAsia"/>
          <w:szCs w:val="21"/>
          <w:highlight w:val="white"/>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94673A">
      <w:pPr>
        <w:spacing w:line="400" w:lineRule="exact"/>
        <w:ind w:firstLine="420"/>
      </w:pPr>
      <w:r>
        <w:rPr>
          <w:rFonts w:ascii="宋体" w:hAnsi="宋体" w:cs="方正仿宋简体" w:hint="eastAsia"/>
          <w:szCs w:val="21"/>
          <w:highlight w:val="white"/>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4673A">
      <w:pPr>
        <w:widowControl/>
        <w:spacing w:line="400" w:lineRule="exact"/>
        <w:ind w:firstLine="420"/>
        <w:contextualSpacing/>
        <w:rPr>
          <w:rFonts w:ascii="宋体" w:hAnsi="宋体"/>
          <w:szCs w:val="21"/>
        </w:rPr>
      </w:pPr>
      <w:r>
        <w:rPr>
          <w:rFonts w:ascii="宋体" w:hAnsi="宋体" w:hint="eastAsia"/>
          <w:szCs w:val="21"/>
          <w:highlight w:val="whit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4673A">
      <w:pPr>
        <w:widowControl/>
        <w:spacing w:line="400" w:lineRule="exact"/>
        <w:ind w:firstLine="420"/>
        <w:contextualSpacing/>
        <w:rPr>
          <w:rFonts w:ascii="宋体" w:hAnsi="宋体"/>
          <w:szCs w:val="21"/>
        </w:rPr>
      </w:pPr>
      <w:r>
        <w:rPr>
          <w:rFonts w:ascii="宋体" w:hAnsi="宋体" w:hint="eastAsia"/>
          <w:szCs w:val="21"/>
          <w:highlight w:val="white"/>
        </w:rPr>
        <w:t>法律法规或监管部门取消上述组合限制或从事关联交易的条件和要求，本基金可不受相关限制。法律法规或监管部门对上述组合限制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（二）基金托管人应根据有关法律法规的规定及</w:t>
      </w:r>
      <w:r>
        <w:rPr>
          <w:rFonts w:ascii="宋体" w:hAnsi="宋体" w:hint="eastAsia"/>
          <w:szCs w:val="21"/>
          <w:highlight w:val="white"/>
        </w:rPr>
        <w:t>《基金合同》</w:t>
      </w:r>
      <w:r>
        <w:rPr>
          <w:rFonts w:ascii="宋体" w:hAnsi="宋体" w:cs="方正仿宋简体" w:hint="eastAsia"/>
          <w:szCs w:val="21"/>
          <w:highlight w:val="white"/>
        </w:rPr>
        <w:t>的约定，对基金资产净值计算、基金份额净值计算、应收资金到账、基金费用开支及收入确定、基金收益分配、相关信息披露登载基金业绩表现数据等进行复核。</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（三）基金托管人在上述第（一）、（二）款的监督和核查中发现基金管理人违反上述</w:t>
      </w:r>
      <w:r>
        <w:rPr>
          <w:rFonts w:ascii="宋体" w:hAnsi="宋体" w:hint="eastAsia"/>
          <w:szCs w:val="21"/>
          <w:highlight w:val="white"/>
        </w:rPr>
        <w:t>约定</w:t>
      </w:r>
      <w:r>
        <w:rPr>
          <w:rFonts w:ascii="宋体" w:hAnsi="宋体" w:cs="方正仿宋简体" w:hint="eastAsia"/>
          <w:szCs w:val="21"/>
          <w:highlight w:val="white"/>
        </w:rPr>
        <w:t>，</w:t>
      </w:r>
      <w:r>
        <w:rPr>
          <w:rFonts w:ascii="宋体" w:hAnsi="宋体" w:hint="eastAsia"/>
          <w:szCs w:val="21"/>
          <w:highlight w:val="white"/>
        </w:rPr>
        <w:t>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（四）基金托管人发现基金管理人的投资指令违反法律法规、本协议的规定，</w:t>
      </w:r>
      <w:r>
        <w:rPr>
          <w:rFonts w:ascii="宋体" w:hAnsi="宋体" w:hint="eastAsia"/>
          <w:szCs w:val="21"/>
          <w:highlight w:val="white"/>
        </w:rPr>
        <w:t>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rsidR="0094673A">
      <w:pPr>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（五）基金管理人应积极配合和协助基金托管人的监督和核查，包括但不限于：在规定时间内答复基金托管人并改正，就基金托管人的疑义进行解释或举证，提供相关数据资料和制度等。</w:t>
      </w:r>
    </w:p>
    <w:p w:rsidR="0094673A">
      <w:pPr>
        <w:spacing w:before="100" w:beforeAutospacing="1" w:after="100" w:afterAutospacing="1" w:line="400" w:lineRule="exact"/>
        <w:ind w:firstLine="420"/>
        <w:rPr>
          <w:rFonts w:ascii="宋体" w:hAnsi="宋体"/>
          <w:szCs w:val="21"/>
        </w:rPr>
      </w:pPr>
    </w:p>
    <w:p w:rsidR="0094673A">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四、基金管理人对基金托管人的业务核查</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w:t>
      </w:r>
      <w:r>
        <w:rPr>
          <w:rFonts w:ascii="宋体" w:hAnsi="宋体" w:cs="方正仿宋简体" w:hint="eastAsia"/>
          <w:szCs w:val="21"/>
          <w:highlight w:val="white"/>
        </w:rPr>
        <w:t>等投资所需账户</w:t>
      </w:r>
      <w:r>
        <w:rPr>
          <w:rFonts w:ascii="宋体" w:hAnsi="宋体" w:hint="eastAsia"/>
          <w:szCs w:val="21"/>
          <w:highlight w:val="white"/>
        </w:rPr>
        <w:t>、复核基金管理人计算的基金资产净值和基金份额净值、根据基金管理人指令办理清算交收、相关信息披露和监督基金投资运作等行为。</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3、基金托管人应积极配合基金管理人的核查行为，包括但不限于：提交相关资料以供基金管理人核查托管财产的完整性和真实性，在规定时间内答复基金管理人并改正。</w:t>
      </w:r>
    </w:p>
    <w:p w:rsidR="0094673A">
      <w:pPr>
        <w:pStyle w:val="11"/>
        <w:spacing w:before="100" w:beforeAutospacing="1" w:after="100" w:afterAutospacing="1" w:line="400" w:lineRule="exact"/>
        <w:ind w:firstLine="422"/>
        <w:rPr>
          <w:rFonts w:ascii="宋体" w:hAnsi="宋体"/>
          <w:sz w:val="21"/>
          <w:szCs w:val="21"/>
        </w:rPr>
      </w:pPr>
      <w:bookmarkStart w:id="5" w:name="_Toc116900099"/>
      <w:r>
        <w:rPr>
          <w:rFonts w:ascii="宋体" w:hAnsi="宋体" w:hint="eastAsia"/>
          <w:sz w:val="21"/>
          <w:szCs w:val="21"/>
          <w:highlight w:val="white"/>
        </w:rPr>
        <w:t>五、基金财产的保管</w:t>
      </w:r>
      <w:bookmarkEnd w:id="5"/>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（一）基金财产保管的原则</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1、</w:t>
      </w:r>
      <w:r>
        <w:rPr>
          <w:rFonts w:ascii="宋体" w:hAnsi="宋体" w:cs="方正仿宋简体" w:hint="eastAsia"/>
          <w:szCs w:val="21"/>
          <w:highlight w:val="white"/>
        </w:rPr>
        <w:t>基金财产应独立于基金管理人、基金托管人</w:t>
      </w:r>
      <w:r>
        <w:rPr>
          <w:rFonts w:ascii="宋体" w:hAnsi="宋体" w:cs="宋体"/>
          <w:color w:val="000000"/>
          <w:highlight w:val="white"/>
        </w:rPr>
        <w:t>、证券/期货经纪机构</w:t>
      </w:r>
      <w:r>
        <w:rPr>
          <w:rFonts w:ascii="宋体" w:hAnsi="宋体" w:cs="方正仿宋简体" w:hint="eastAsia"/>
          <w:szCs w:val="21"/>
          <w:highlight w:val="white"/>
        </w:rPr>
        <w:t>的固有财产。</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2、基金托管人应安全保管基金财产，</w:t>
      </w:r>
      <w:r>
        <w:rPr>
          <w:rFonts w:ascii="宋体" w:hAnsi="宋体" w:hint="eastAsia"/>
          <w:szCs w:val="21"/>
          <w:highlight w:val="white"/>
        </w:rPr>
        <w:t>未经基金管理人的合法合规指令或法律法规、《基金合同》及本协议另有约定，不得自行运用、处分、分配基金的任何财产。</w:t>
      </w:r>
    </w:p>
    <w:p w:rsidR="0094673A">
      <w:pPr>
        <w:snapToGrid w:val="0"/>
        <w:spacing w:before="100" w:beforeAutospacing="1" w:after="100" w:afterAutospacing="1" w:line="400" w:lineRule="exact"/>
        <w:ind w:firstLine="420"/>
        <w:rPr>
          <w:rFonts w:ascii="宋体" w:hAnsi="宋体"/>
          <w:color w:val="FF0000"/>
          <w:szCs w:val="21"/>
        </w:rPr>
      </w:pPr>
      <w:r>
        <w:rPr>
          <w:rFonts w:ascii="宋体" w:hAnsi="宋体" w:cs="方正仿宋简体" w:hint="eastAsia"/>
          <w:szCs w:val="21"/>
          <w:highlight w:val="white"/>
        </w:rPr>
        <w:t>3、基金托管人按照规定开设基金财产的资金账户和证券账户等投资所需账户。</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highlight w:val="white"/>
        </w:rPr>
        <w:t>4、基金托管人对所托管的不同基金财产分别设置账户，确保基金财产的完整与独立。</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5、除依据《基金法》、《运作办法》、《基金合同》及其他有关法律法规规定外，基金托管人不得委托第三人托管基金财产。</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（二）基金合同生效前募集资金的验资和入账</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1、基金募集期满或基金管理人宣布停止募集时，</w:t>
      </w:r>
      <w:r>
        <w:rPr>
          <w:rFonts w:ascii="宋体" w:eastAsia="宋体" w:cs="方正仿宋简体" w:hint="eastAsia"/>
          <w:sz w:val="21"/>
          <w:szCs w:val="21"/>
          <w:highlight w:val="white"/>
        </w:rPr>
        <w:t>募集的基金份额总额、基金募集金额、基金份额持有人人数符合《基金法》、《运作办法》等有关规定的，</w:t>
      </w:r>
      <w:r>
        <w:rPr>
          <w:rFonts w:ascii="宋体" w:eastAsia="宋体" w:hint="eastAsia"/>
          <w:color w:val="auto"/>
          <w:sz w:val="21"/>
          <w:szCs w:val="21"/>
          <w:highlight w:val="white"/>
        </w:rPr>
        <w:t>由基金管理人在法定期限内聘请符合《证券法》规定的会计师事务所对基金进行验资，并出具验资报告，出具的验资报告应由参加验资的</w:t>
      </w:r>
      <w:r>
        <w:rPr>
          <w:rFonts w:ascii="宋体" w:eastAsia="宋体"/>
          <w:color w:val="auto"/>
          <w:sz w:val="21"/>
          <w:szCs w:val="21"/>
          <w:highlight w:val="white"/>
        </w:rPr>
        <w:t>2</w:t>
      </w:r>
      <w:r>
        <w:rPr>
          <w:rFonts w:ascii="宋体" w:eastAsia="宋体" w:hint="eastAsia"/>
          <w:color w:val="auto"/>
          <w:sz w:val="21"/>
          <w:szCs w:val="21"/>
          <w:highlight w:val="white"/>
        </w:rPr>
        <w:t>名以上（含</w:t>
      </w:r>
      <w:r>
        <w:rPr>
          <w:rFonts w:ascii="宋体" w:eastAsia="宋体"/>
          <w:color w:val="auto"/>
          <w:sz w:val="21"/>
          <w:szCs w:val="21"/>
          <w:highlight w:val="white"/>
        </w:rPr>
        <w:t>2</w:t>
      </w:r>
      <w:r>
        <w:rPr>
          <w:rFonts w:ascii="宋体" w:eastAsia="宋体" w:hint="eastAsia"/>
          <w:color w:val="auto"/>
          <w:sz w:val="21"/>
          <w:szCs w:val="21"/>
          <w:highlight w:val="white"/>
        </w:rPr>
        <w:t>名）中国注册会计师签字方为有效。</w:t>
      </w:r>
    </w:p>
    <w:p w:rsidR="0094673A">
      <w:pPr>
        <w:pStyle w:val="BodyTextIndent"/>
        <w:spacing w:before="100" w:beforeAutospacing="1" w:after="100" w:afterAutospacing="1"/>
        <w:ind w:firstLine="403"/>
        <w:rPr>
          <w:rFonts w:ascii="宋体" w:eastAsia="宋体"/>
          <w:sz w:val="21"/>
          <w:szCs w:val="21"/>
        </w:rPr>
      </w:pPr>
      <w:r>
        <w:rPr>
          <w:rFonts w:ascii="宋体" w:eastAsia="宋体" w:hint="eastAsia"/>
          <w:sz w:val="21"/>
          <w:szCs w:val="21"/>
          <w:highlight w:val="white"/>
        </w:rPr>
        <w:t>2、基金管理人应将属于本基金财产的全部资金划入在基金托管人处为本基金开立的基金银行账户中，并确保划入的资金与验资确认金额相一致。</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（三）基金的银行账户的开设和管理</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1、基金托管人应负责本基金的银行账户的开设和管理。</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2、基金托管人以本基金的名义开设本基金的银行账户。本基金的银行预留印鉴由基金托管人保管和使用。本基金</w:t>
      </w:r>
      <w:r>
        <w:rPr>
          <w:rFonts w:ascii="宋体" w:eastAsia="宋体" w:cs="宋体"/>
          <w:sz w:val="21"/>
          <w:highlight w:val="white"/>
        </w:rPr>
        <w:t>除证券交易所场内交易以外</w:t>
      </w:r>
      <w:r>
        <w:rPr>
          <w:rFonts w:ascii="宋体" w:eastAsia="宋体" w:hint="eastAsia"/>
          <w:color w:val="auto"/>
          <w:sz w:val="21"/>
          <w:szCs w:val="21"/>
          <w:highlight w:val="white"/>
        </w:rPr>
        <w:t>的一切货币收支活动，包括但不限于投资、支付赎回金额、支付基金收益、收取申购款，均需通过本基金的银行账户进行。</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3、本基金银行账户的开立和使用，限于满足开展本基金业务的需要。基金托管人和基金管理人不得假借本基金的名义开立其他任何银行账户；亦不得使用本基金的银行账户进行本基金业务以外的活动。</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4、基金银行账户的管理应符合法律法规的有关规定。</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（四）基金进行定期存款投资的账户开设和管理</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以基金名义在基金托管人认可的存款银行的指定营业网点开立存款账户，基金托管人负责该账户银行预留印鉴的保管和使用。在上述账户开立和账户相关信息变更过程中，需要基金托管行配合的，基金管理人应提前向基金托管人提供开户或账户变更所需的相关资料。</w:t>
      </w:r>
    </w:p>
    <w:p w:rsidR="0094673A">
      <w:pPr>
        <w:pStyle w:val="BodyTextIndent"/>
        <w:spacing w:before="100" w:beforeAutospacing="1" w:after="100" w:afterAutospacing="1"/>
        <w:ind w:firstLine="403"/>
      </w:pPr>
      <w:r>
        <w:rPr>
          <w:rFonts w:ascii="宋体" w:eastAsia="宋体" w:hint="eastAsia"/>
          <w:color w:val="auto"/>
          <w:sz w:val="21"/>
          <w:szCs w:val="21"/>
          <w:highlight w:val="white"/>
        </w:rPr>
        <w:t>（五）基金证券账户及其他投资账户的开设和管理</w:t>
      </w:r>
    </w:p>
    <w:p w:rsidR="0094673A">
      <w:pPr>
        <w:pStyle w:val="BodyTextIndent"/>
        <w:spacing w:before="100" w:beforeAutospacing="1" w:after="100" w:afterAutospacing="1"/>
        <w:ind w:firstLine="403"/>
      </w:pPr>
      <w:r>
        <w:rPr>
          <w:rFonts w:ascii="宋体" w:eastAsia="宋体" w:hint="eastAsia"/>
          <w:color w:val="auto"/>
          <w:sz w:val="21"/>
          <w:szCs w:val="21"/>
          <w:highlight w:val="white"/>
        </w:rPr>
        <w:t>1、基金托管人应当代表本基金，以基金托管人和本基金联名的方式在中国证券登记结算有限责任公司开设证券账户。</w:t>
      </w:r>
    </w:p>
    <w:p w:rsidR="0094673A">
      <w:pPr>
        <w:pStyle w:val="BodyTextIndent"/>
        <w:spacing w:before="100" w:beforeAutospacing="1" w:after="100" w:afterAutospacing="1"/>
        <w:ind w:firstLine="403"/>
      </w:pPr>
      <w:r>
        <w:rPr>
          <w:rFonts w:ascii="宋体" w:eastAsia="宋体" w:hint="eastAsia"/>
          <w:color w:val="auto"/>
          <w:sz w:val="21"/>
          <w:szCs w:val="21"/>
          <w:highlight w:val="white"/>
        </w:rPr>
        <w:t>2、本基金证券账户的开立和使用，限于满足开展本基金业务的需要。基金托管人和基金管理人不得出借或转让本基金的证券账户，亦不得使用本基金的证券账户进行本基金业务以外的活动。</w:t>
      </w:r>
    </w:p>
    <w:p w:rsidR="0094673A">
      <w:pPr>
        <w:pStyle w:val="BodyTextIndent"/>
        <w:spacing w:before="100" w:beforeAutospacing="1" w:after="100" w:afterAutospacing="1"/>
        <w:ind w:firstLine="403"/>
      </w:pPr>
      <w:r>
        <w:rPr>
          <w:rFonts w:ascii="宋体" w:eastAsia="宋体" w:hint="eastAsia"/>
          <w:color w:val="auto"/>
          <w:sz w:val="21"/>
          <w:szCs w:val="21"/>
          <w:highlight w:val="white"/>
        </w:rPr>
        <w:t>3、在本托管协议生效日之后，本基金被允许从事其他投资品种的投资业务的，涉及相关账户的开设、使用的，若无相关规定，则基金托管人应当比照并遵守上述关于账户开设、使用的规定。</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（六）债券托管专户的开设和管理</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合同生效后，基金管理人负责向中国人民银行报备以及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w:t>
      </w:r>
      <w:r>
        <w:rPr>
          <w:rFonts w:ascii="宋体" w:eastAsia="宋体"/>
          <w:color w:val="auto"/>
          <w:sz w:val="21"/>
          <w:szCs w:val="21"/>
          <w:highlight w:val="white"/>
        </w:rPr>
        <w:t>和资金结算专户</w:t>
      </w:r>
      <w:r>
        <w:rPr>
          <w:rFonts w:ascii="宋体" w:eastAsia="宋体" w:hint="eastAsia"/>
          <w:color w:val="auto"/>
          <w:sz w:val="21"/>
          <w:szCs w:val="21"/>
          <w:highlight w:val="white"/>
        </w:rPr>
        <w:t>，并代表基金进行银行间债券市场债券和资金的清算</w:t>
      </w:r>
      <w:r>
        <w:rPr>
          <w:rFonts w:ascii="宋体" w:eastAsia="宋体" w:hint="eastAsia"/>
          <w:color w:val="auto"/>
          <w:sz w:val="21"/>
          <w:highlight w:val="white"/>
        </w:rPr>
        <w:t>。</w:t>
      </w:r>
    </w:p>
    <w:p w:rsidR="0094673A">
      <w:pPr>
        <w:spacing w:line="400" w:lineRule="atLeast"/>
        <w:ind w:firstLine="403"/>
      </w:pPr>
      <w:r>
        <w:rPr>
          <w:rFonts w:ascii="宋体" w:hAnsi="宋体" w:cs="宋体"/>
          <w:color w:val="000000"/>
          <w:highlight w:val="white"/>
        </w:rPr>
        <w:t>（七）证券资金账户的开立和管理</w:t>
      </w:r>
    </w:p>
    <w:p w:rsidR="0094673A">
      <w:pPr>
        <w:spacing w:line="400" w:lineRule="atLeast"/>
        <w:ind w:firstLine="403"/>
      </w:pPr>
      <w:r>
        <w:rPr>
          <w:rFonts w:ascii="宋体" w:hAnsi="宋体" w:cs="宋体"/>
          <w:color w:val="000000"/>
          <w:highlight w:val="white"/>
        </w:rPr>
        <w:t>1、基金管理人根据相关法律法规及协议约定在选定的证券经纪机构处为本基金开立证券资金账户，用于办理本基金在证券交易所进行证券投资所涉及的资金结算业务。</w:t>
      </w:r>
    </w:p>
    <w:p w:rsidR="0094673A">
      <w:pPr>
        <w:spacing w:line="400" w:lineRule="atLeast"/>
        <w:ind w:firstLine="403"/>
      </w:pPr>
      <w:r>
        <w:rPr>
          <w:rFonts w:ascii="宋体" w:hAnsi="宋体" w:cs="宋体"/>
          <w:color w:val="000000"/>
          <w:highlight w:val="white"/>
        </w:rPr>
        <w:t>2、基金管理人以本基金名义在基金管理人选择的证券经纪机构营业网点开立证券资金账户，并按照该营业网点开户的流程和要求，签订相关的协议。证券资金账户与基金托管银行账户建立第三方存管关系。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（八）基金财产投资的有关有价凭证的保管</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基金财产投资的实物证券、银行定期存款存单等有价凭证由基金托管人负责妥善保管。基金托管人对其以外机构实际有效控制的有价凭证不承担责任。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（九）与基金财产有关的重大合同及有关凭证的保管</w:t>
      </w:r>
    </w:p>
    <w:p w:rsidR="0094673A">
      <w:pPr>
        <w:spacing w:line="400" w:lineRule="atLeast"/>
        <w:ind w:left="181" w:firstLine="403" w:leftChars="86"/>
        <w:rPr>
          <w:rFonts w:ascii="宋体"/>
          <w:szCs w:val="21"/>
        </w:rPr>
      </w:pPr>
      <w:r>
        <w:rPr>
          <w:rFonts w:ascii="宋体" w:hint="eastAsia"/>
          <w:szCs w:val="21"/>
          <w:highlight w:val="white"/>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20年。</w:t>
      </w:r>
    </w:p>
    <w:p w:rsidR="0094673A">
      <w:pPr>
        <w:spacing w:line="400" w:lineRule="atLeast"/>
        <w:ind w:left="181" w:firstLine="403" w:leftChars="86"/>
        <w:rPr>
          <w:sz w:val="28"/>
          <w:szCs w:val="21"/>
        </w:rPr>
      </w:pPr>
      <w:r>
        <w:rPr>
          <w:rFonts w:ascii="宋体" w:hAnsi="宋体" w:cs="宋体"/>
          <w:color w:val="000000"/>
          <w:highlight w:val="white"/>
        </w:rPr>
        <w:t>对于无法取得二份以上的正本的，基金管理人应向基金托管人提供与合同原件核对一致并加盖公章的合同复印件或传真件，未经双方协商一致，合同原件不得转移</w:t>
      </w:r>
      <w:r>
        <w:rPr>
          <w:rFonts w:ascii="宋体" w:hint="eastAsia"/>
          <w:szCs w:val="21"/>
          <w:highlight w:val="white"/>
        </w:rPr>
        <w:t>。</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6" w:name="_Toc116900100"/>
      <w:r>
        <w:rPr>
          <w:rFonts w:ascii="宋体" w:hAnsi="宋体" w:hint="eastAsia"/>
          <w:sz w:val="21"/>
          <w:szCs w:val="21"/>
          <w:highlight w:val="white"/>
        </w:rPr>
        <w:t>六、指令的发送、确认及执行</w:t>
      </w:r>
      <w:bookmarkEnd w:id="6"/>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基金管理人发送的指令包括电子指令和线下指令。</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电子指令包括基金管理人发送的电子指令（采用深证通金融数据交换平台发送的电子指令、采用SWIFT电子报文发送的电子指令、通过中国银行托管网银发送的电子指令）、自动产生的电子指令（基金托管人的全球托管系统根据基金管理人的授权通过预先设定的业务规则自动产生的电子指令）。电子指令一经发出即被视为合法有效指令，线下指令作为应急方式备用。基金管理人通过深证通金融数据交换平台发送的电子指令，基金托管人根据USER ID和APP ID唯一识别基金管理人身份，基金管理人应妥善保管USER ID和APP ID，基金托管人身份识别后对于执行该电子指令造成的任何损失基金托管人不承担责任。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s="宋体"/>
          <w:sz w:val="21"/>
          <w:highlight w:val="white"/>
        </w:rPr>
        <w:t>线下指令是指基金管理人无法通过以上电子传送渠道传送到基金托管人全球托管系统的指令，线下指令的传送方式为传真、邮件等双方认可的方式。</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（一）基金管理人对发送线下</w:t>
      </w:r>
      <w:r>
        <w:rPr>
          <w:rFonts w:ascii="宋体" w:eastAsia="宋体"/>
          <w:color w:val="auto"/>
          <w:sz w:val="21"/>
          <w:szCs w:val="21"/>
          <w:highlight w:val="white"/>
        </w:rPr>
        <w:t>指令人员的书面授权</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2、基金管理人向基金托管人发出的授权通知应加盖公章并由法定代表人或其授权签字人签署，若由授权签字人签署，还应附上法定代表人的授权书。基金管理人向基金托管人以</w:t>
      </w:r>
      <w:r>
        <w:rPr>
          <w:rFonts w:ascii="宋体" w:eastAsia="宋体"/>
          <w:color w:val="auto"/>
          <w:sz w:val="21"/>
          <w:szCs w:val="21"/>
          <w:highlight w:val="white"/>
        </w:rPr>
        <w:t>双方认可的形式发送授权通知后同时电话通知基金托管人。授权通知自基金托管人接到基金管理人的电话确认后于通知载明的生效时间起生效。通知载明的生效时间不得早于电话确认时间。基金管理人在此后7个工作日内将授权通知原件送交基金托管人。</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3、基金管理人和基金托管人对授权通知及其更改负有保密义务，其内容不得向指令发送人员及相关操作人员以外的任何人披露、泄露</w:t>
      </w:r>
      <w:r>
        <w:rPr>
          <w:rFonts w:ascii="宋体" w:eastAsia="宋体" w:hint="eastAsia"/>
          <w:color w:val="auto"/>
          <w:sz w:val="21"/>
          <w:highlight w:val="white"/>
        </w:rPr>
        <w:t>，但法律法规规定或有权机关或审计机构要求的除外。</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（二）指令的内容</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指令是基金管理人在运作基金财产时，向基金托管人发出的资金划拨及投资指令。</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（三）指令的发送、确认和执行</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线下指令由“授权通知”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2、基金管理人应按照《基金法》、《运作办法》、《基金合同》和有关法律法规的规定，在其合法的经营权限和交易权限内，并依据相关业务规则发送指令。指令发出后，基金管理人应及时</w:t>
      </w:r>
      <w:r>
        <w:rPr>
          <w:rFonts w:ascii="宋体" w:eastAsia="宋体"/>
          <w:color w:val="auto"/>
          <w:sz w:val="21"/>
          <w:szCs w:val="21"/>
          <w:highlight w:val="white"/>
        </w:rPr>
        <w:t>通过电话或者其他双方认可的方式通知基金托管人。</w:t>
      </w:r>
      <w:r>
        <w:rPr>
          <w:rFonts w:ascii="宋体" w:eastAsia="宋体" w:hint="eastAsia"/>
          <w:color w:val="auto"/>
          <w:sz w:val="21"/>
          <w:szCs w:val="21"/>
          <w:highlight w:val="white"/>
        </w:rPr>
        <w:t xml:space="preserve">    </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托管人在接收指令时，应对指令的要素是否齐全（含电子指令和线下指令）、印鉴是否与授权通知相符（针对线下指令）等进行表面一致性的检查，对合法合规的指令，基金托管人应在规定期限内执行，不得不合理延误。</w:t>
      </w:r>
    </w:p>
    <w:p w:rsidR="0094673A">
      <w:pPr>
        <w:spacing w:line="400" w:lineRule="atLeast"/>
        <w:ind w:firstLine="403"/>
        <w:rPr>
          <w:sz w:val="28"/>
          <w:szCs w:val="21"/>
        </w:rPr>
      </w:pPr>
      <w:r>
        <w:rPr>
          <w:rFonts w:ascii="宋体" w:hint="eastAsia"/>
          <w:szCs w:val="21"/>
          <w:highlight w:val="white"/>
        </w:rPr>
        <w:t>4、</w:t>
      </w:r>
      <w:r>
        <w:rPr>
          <w:rFonts w:ascii="宋体" w:hAnsi="宋体" w:cs="宋体"/>
          <w:color w:val="000000"/>
          <w:highlight w:val="white"/>
        </w:rPr>
        <w:t>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通过邮件、传真等双方协商一致的形式通知基金托管人</w:t>
      </w:r>
      <w:r>
        <w:rPr>
          <w:rFonts w:ascii="宋体"/>
          <w:szCs w:val="21"/>
          <w:highlight w:val="white"/>
        </w:rPr>
        <w:t>。</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5、基金管理人在发送指令时，应为基金托管人执行指令留出执行指令时所必需的时间。指令传输不及时未能留出足够的执行时间，致使指令未能及时执行所造成的损失不由基金托管人承担。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（四）基金管理人发送错误指令的情形和处理程序</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基金管理人发送错误指令的情形主要包括：指令要素错误、预留印鉴错误等情形。</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基金托管人发现基金管理人的指令错误时，有权拒绝执行，并及时通知基金管理人改正。对基金管理人更正并重新发送后的指令经基金托管人核对确认后方能执行。</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（五）基金托管人依照法律法规暂缓、拒绝执行指令的情形和处理程序</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发现基金管理人的指令违反法律法规规定或者《基金合同》约定，应当不予执行，并及时通知基金管理人要求其变更或撤销相关指令，若基金管理人在基金托管人发出上述通知后仍未变更或撤销相关指令，基金托管人应当拒绝执行，并向中国证监会报告。</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应确保基金托管人执行指令时基金的银行存款账户有足够的资金余额，确保基金的证券账户有足够的证券余额。对超头寸的指令，以及超过证券账户证券余额的指令，基金托管人可不予执行，但应及时通知基金管理人，由此造成的损失，不由基金托管人承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（六）基金托管人未按照基金管理人指令执行的处理方法</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托管人因未及时、正确执行基金管理人合法合规的指令，致使本基金的利益受到损害，基金托管人应承担相应的责任。除此之外，基金托管人对执行基金管理人的合法合规指令对基金造成的损失不承担任何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（七）被授权人员及授权权限的变更</w:t>
      </w:r>
      <w:r>
        <w:rPr>
          <w:rFonts w:ascii="宋体" w:eastAsia="宋体"/>
          <w:color w:val="auto"/>
          <w:sz w:val="21"/>
          <w:szCs w:val="21"/>
          <w:highlight w:val="white"/>
        </w:rPr>
        <w:tab/>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olor w:val="auto"/>
          <w:sz w:val="21"/>
          <w:szCs w:val="21"/>
          <w:highlight w:val="white"/>
        </w:rPr>
        <w:t>基金管理人若对授权通知的内容进行修改（包括但不限于指令发送人员的名单的修改，及/或权限的修改），应当至少提前1个工作日通知基金托管人；修改授权通知的文件应由基金管理人加盖公章并由法定代表人或其授权签字人签署，若由授权签字人签署，还应附上法定代表人的授权书。基金管理人对授权通知的修改应当以传真的形式发送给基金托管人，同时电话通知基金托管人。基金管理人对授权通知的内容的修改自基金托管人电话确认后于通知载明的生效时间起生效。通知载明的生效时间不得早于电话确认时间。基金管理人此后将对授权通知修改的文件原件邮寄基金托管人。</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7" w:name="_Toc116900101"/>
      <w:r>
        <w:rPr>
          <w:rFonts w:ascii="宋体" w:hAnsi="宋体" w:hint="eastAsia"/>
          <w:sz w:val="21"/>
          <w:szCs w:val="21"/>
          <w:highlight w:val="white"/>
        </w:rPr>
        <w:t>七、交易及清算交收安排</w:t>
      </w:r>
      <w:bookmarkEnd w:id="7"/>
    </w:p>
    <w:p w:rsidR="0094673A">
      <w:pPr>
        <w:spacing w:line="400" w:lineRule="atLeast"/>
        <w:ind w:firstLine="403"/>
      </w:pPr>
      <w:r>
        <w:rPr>
          <w:rFonts w:ascii="宋体" w:hAnsi="宋体" w:cs="宋体"/>
          <w:color w:val="000000"/>
          <w:highlight w:val="white"/>
        </w:rPr>
        <w:t>（一）基金管理人负责选择代理本基金证券、期货买卖的证券、期货经纪机构</w:t>
      </w:r>
    </w:p>
    <w:p w:rsidR="0094673A">
      <w:pPr>
        <w:spacing w:line="400" w:lineRule="atLeast"/>
        <w:ind w:firstLine="403"/>
      </w:pPr>
      <w:r>
        <w:rPr>
          <w:rFonts w:ascii="宋体" w:hAnsi="宋体" w:cs="宋体"/>
          <w:color w:val="000000"/>
          <w:highlight w:val="white"/>
        </w:rPr>
        <w:t>基金管理人负责选择代理本基金证券买卖的证券经纪机构。由基金管理人、基金托管人和证券经纪机构就基金参与证券交易的具体事项另行签订协议，明确三方在本基金进行证券买卖中的各类证券交易、证券交收及相关资金交收过程中的职责和义务。因相关法律法规或交易规则的修改带来的变化以届时有效的法律法规和相关交易规则为准。</w:t>
      </w:r>
    </w:p>
    <w:p w:rsidR="0094673A">
      <w:pPr>
        <w:spacing w:line="400" w:lineRule="atLeast"/>
        <w:ind w:firstLine="403"/>
      </w:pPr>
      <w:r>
        <w:rPr>
          <w:rFonts w:ascii="宋体" w:hAnsi="宋体" w:cs="宋体"/>
          <w:color w:val="000000"/>
          <w:highlight w:val="white"/>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94673A">
      <w:pPr>
        <w:pStyle w:val="BodyTextIndent"/>
        <w:spacing w:before="100" w:beforeAutospacing="1" w:after="100" w:afterAutospacing="1"/>
        <w:ind w:firstLine="403"/>
      </w:pPr>
      <w:r>
        <w:rPr>
          <w:rFonts w:ascii="宋体" w:eastAsia="宋体" w:hint="eastAsia"/>
          <w:color w:val="auto"/>
          <w:sz w:val="21"/>
          <w:szCs w:val="21"/>
          <w:highlight w:val="white"/>
        </w:rPr>
        <w:t>（二）基金清算交收</w:t>
      </w:r>
    </w:p>
    <w:p w:rsidR="0094673A">
      <w:pPr>
        <w:pStyle w:val="BodyTextIndent"/>
        <w:spacing w:before="100" w:beforeAutospacing="1" w:after="100" w:afterAutospacing="1"/>
        <w:ind w:firstLine="403"/>
      </w:pPr>
      <w:r>
        <w:rPr>
          <w:rFonts w:ascii="宋体" w:eastAsia="宋体" w:hint="eastAsia"/>
          <w:color w:val="auto"/>
          <w:sz w:val="21"/>
          <w:szCs w:val="21"/>
          <w:highlight w:val="white"/>
        </w:rPr>
        <w:t>1、本基金通过证券经纪机构进行的交易所场内交易由证券经纪机构作为结算参与人代理本基金进行结算，并承担由证券经纪机构原因造成的正常结算、交收业务无法完成的责任。该证券经纪机构应当具有基金产品的结算经验，有完善的技术设施配备、人员配置和管理制度，能够保障数据接收、发送的及时性和准确性。</w:t>
      </w:r>
    </w:p>
    <w:p w:rsidR="0094673A">
      <w:pPr>
        <w:pStyle w:val="BodyTextIndent"/>
        <w:spacing w:before="100" w:beforeAutospacing="1" w:after="100" w:afterAutospacing="1"/>
        <w:ind w:firstLine="403"/>
      </w:pPr>
      <w:r>
        <w:rPr>
          <w:rFonts w:ascii="宋体" w:eastAsia="宋体" w:hint="eastAsia"/>
          <w:color w:val="auto"/>
          <w:sz w:val="21"/>
          <w:szCs w:val="21"/>
          <w:highlight w:val="white"/>
        </w:rPr>
        <w:t>基金管理人、基金托管人以及被选择的证券经纪机构应根据有关法律法规及相关业务规则，签订证券经纪服务协议，用以具体明确三方在证券交易资金结算业务中的责任。证券经纪机构代理本基金财产与中登公司完成证券交易及非交易涉及的证券资金结算业务，并承担由证券经纪机构原因造成的正常结算、交收业务无法完成的责任。</w:t>
      </w:r>
    </w:p>
    <w:p w:rsidR="0094673A">
      <w:pPr>
        <w:pStyle w:val="BodyTextIndent"/>
        <w:spacing w:before="100" w:beforeAutospacing="1" w:after="100" w:afterAutospacing="1"/>
        <w:ind w:firstLine="403"/>
      </w:pPr>
      <w:r>
        <w:rPr>
          <w:rFonts w:ascii="宋体" w:eastAsia="宋体" w:hint="eastAsia"/>
          <w:color w:val="auto"/>
          <w:sz w:val="21"/>
          <w:szCs w:val="21"/>
          <w:highlight w:val="white"/>
        </w:rPr>
        <w:t>2、本基金投资于证券发生的所有场外交易的资金清算交收，由基金托管人负责办理。对基金管理人的资金划拨指令，基金托管人在表面一致性检查后应在规定期限内执行，不得不合理延误。如果因为基金管理人违反法律法规的规定进行证券投资或违反双方签订的协议造成基金投资清算困难和风险的，基金托管人发现后应及时通知基金管理人，由基金管理人负责解决，由此给基金造成的损失由基金管理人承担。场外资金对外投资划款由基金托管人凭基金管理人符合本托管协议约定的有效资金划拨指令进行资金划拨；场外投资本金及收益的划回，由基金管理人负责协调相关资金划拨回资金托管账户事宜。</w:t>
      </w:r>
    </w:p>
    <w:p w:rsidR="0094673A">
      <w:pPr>
        <w:pStyle w:val="BodyTextIndent"/>
        <w:spacing w:before="100" w:beforeAutospacing="1" w:after="100" w:afterAutospacing="1"/>
        <w:ind w:firstLine="403"/>
      </w:pPr>
      <w:r>
        <w:rPr>
          <w:rFonts w:ascii="宋体" w:eastAsia="宋体" w:hint="eastAsia"/>
          <w:color w:val="auto"/>
          <w:sz w:val="21"/>
          <w:szCs w:val="21"/>
          <w:highlight w:val="white"/>
        </w:rPr>
        <w:t>3、本基金投资于期货发生的资金交割清算由基金管理人选定的期货经纪机构负责办理，基金托管人对由于期货交易所期货保证金制度和清算交割的需要而存放在期货经纪机构的资金不行使保管职责和交收职责，基金管理人应在期货经纪协议或其它协议中约定由选定的期货经纪机构承担资金安全保管责任和交收责任。</w:t>
      </w:r>
    </w:p>
    <w:p w:rsidR="0094673A">
      <w:pPr>
        <w:pStyle w:val="BodyTextIndent"/>
        <w:spacing w:before="100" w:beforeAutospacing="1" w:after="100" w:afterAutospacing="1"/>
        <w:ind w:firstLine="403"/>
      </w:pPr>
      <w:r>
        <w:rPr>
          <w:rFonts w:ascii="宋体" w:eastAsia="宋体" w:hint="eastAsia"/>
          <w:color w:val="auto"/>
          <w:sz w:val="21"/>
          <w:szCs w:val="21"/>
          <w:highlight w:val="white"/>
        </w:rPr>
        <w:t>4、由于基金管理人或基金托管人原因导致基金资金透支、超买或超卖等情形的，由责任方承担相应的责任。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基金管理人应保证基金托管人在执行其发送的划款指令时，基金银行账户或资金交收账户上有足够的头寸进行交收。基金的资金头寸不足时，基金托管人有权拒绝执行基金管理人发送的划款指令，但应及时通知管理人</w:t>
      </w:r>
      <w:r>
        <w:rPr>
          <w:rFonts w:ascii="宋体" w:eastAsia="宋体" w:cs="宋体"/>
          <w:sz w:val="21"/>
          <w:highlight w:val="white"/>
        </w:rPr>
        <w:t>，由此造成的损失，基金托管人不予承担</w:t>
      </w:r>
      <w:r>
        <w:rPr>
          <w:rFonts w:ascii="宋体" w:eastAsia="宋体" w:hint="eastAsia"/>
          <w:color w:val="auto"/>
          <w:sz w:val="21"/>
          <w:szCs w:val="21"/>
          <w:highlight w:val="white"/>
        </w:rPr>
        <w:t>。基金管理人在发送指令时应充分考虑基金托管人执行指令所需的合理必要时间。对于要求当天到账的指令，应在当天15:00前发送；对于要求当天某一时点到账，则指令需提前2个工作小时发送，并保证相关付款条件已经具备。对于新股申购网下公开发行业务，基金管理人应在网下申购缴款日(T日)的前一工作日下班前将新股申购指令发送给托管人，指令发送时间最迟不应晚于T日上午10：00时。对于晚于上述时间约定发送的指令，托管人应尽力执行。</w:t>
      </w:r>
    </w:p>
    <w:p w:rsidR="0094673A">
      <w:pPr>
        <w:pStyle w:val="BodyTextIndent"/>
        <w:spacing w:before="100" w:beforeAutospacing="1" w:after="100" w:afterAutospacing="1"/>
        <w:ind w:firstLine="403"/>
      </w:pPr>
      <w:r>
        <w:rPr>
          <w:rFonts w:ascii="宋体" w:eastAsia="宋体" w:hint="eastAsia"/>
          <w:color w:val="auto"/>
          <w:sz w:val="21"/>
          <w:szCs w:val="21"/>
          <w:highlight w:val="white"/>
        </w:rPr>
        <w:t xml:space="preserve">在基金资金头寸充足的情况下，基金托管人对基金管理人符合法律法规、《基金合同》、基金托管协议的指令不得不合理拖延或拒绝执行。  </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（三）资金、证券账目和交易记录核对</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基金管理人和基金托管人应对本基金的资金、证券账目、期货账目及交易记录按日进行核对，确保双方账目相符。若基金管理人与基金托管人核对不一致，双方应积极查找原因并纠正。</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（四）申购、赎回和基金转换的资金清算</w:t>
      </w:r>
    </w:p>
    <w:p w:rsidR="0094673A">
      <w:pPr>
        <w:pStyle w:val="BodyTextIndent3"/>
        <w:spacing w:before="100" w:beforeAutospacing="1" w:after="100" w:afterAutospacing="1" w:line="400" w:lineRule="exact"/>
        <w:ind w:left="0" w:right="26" w:firstLine="403"/>
        <w:rPr>
          <w:rFonts w:ascii="宋体" w:eastAsia="宋体" w:hAnsi="宋体"/>
          <w:color w:val="000000"/>
          <w:sz w:val="21"/>
          <w:szCs w:val="21"/>
        </w:rPr>
      </w:pPr>
      <w:r>
        <w:rPr>
          <w:rFonts w:ascii="宋体" w:eastAsia="宋体" w:hAnsi="宋体" w:hint="eastAsia"/>
          <w:color w:val="000000"/>
          <w:sz w:val="21"/>
          <w:szCs w:val="21"/>
          <w:highlight w:val="white"/>
        </w:rPr>
        <w:t>1、T日，投资者进行基金申购、赎回和转换申请，基金管理人和基金托管人分别计算基金资产净值，并进行核对；基金管理人将双方确认的或基金管理人决定采用的基金份额净值以基金份额净值公告的形式提供至相关信息披露媒介。</w:t>
      </w:r>
    </w:p>
    <w:p w:rsidR="0094673A">
      <w:pPr>
        <w:pStyle w:val="BodyTextIndent3"/>
        <w:spacing w:before="100" w:beforeAutospacing="1" w:after="100" w:afterAutospacing="1" w:line="400" w:lineRule="exact"/>
        <w:ind w:left="0" w:right="26" w:firstLine="403"/>
        <w:rPr>
          <w:rFonts w:ascii="宋体" w:eastAsia="宋体" w:hAnsi="宋体"/>
          <w:color w:val="000000"/>
          <w:sz w:val="21"/>
          <w:szCs w:val="21"/>
        </w:rPr>
      </w:pPr>
      <w:r>
        <w:rPr>
          <w:rFonts w:ascii="宋体" w:eastAsia="宋体" w:hAnsi="宋体" w:hint="eastAsia"/>
          <w:color w:val="000000"/>
          <w:sz w:val="21"/>
          <w:szCs w:val="21"/>
          <w:highlight w:val="white"/>
        </w:rPr>
        <w:t>2、登记机构根据T日基金份额净值计算申购份额、赎回金额及转换份额，更新基金份额持有人数据库；并将确认的申购、赎回及转换数据向基金托管人、基金管理人传送。基金管理人、基金托管人根据确认数据进行账务处理。</w:t>
      </w:r>
    </w:p>
    <w:p w:rsidR="0094673A">
      <w:pPr>
        <w:spacing w:line="400" w:lineRule="exact"/>
        <w:ind w:right="26" w:firstLine="403"/>
      </w:pPr>
      <w:r>
        <w:rPr>
          <w:rFonts w:ascii="宋体" w:hAnsi="宋体" w:cs="宋体"/>
          <w:color w:val="000000"/>
          <w:highlight w:val="white"/>
        </w:rPr>
        <w:t>3、基金托管账户与“基金清算账户”间的资金清算遵循“全额清算、净额交收”的原则，即按照托管账户当日应收资金与托管账户应付额的差额来确定托管账户净应收额或净应付额，以此确定资金交收额。当存在托管账户净应收额时，基金管理人负责将托管账户净应收额在交收日及时从“基金清算账户”划往基金托管账户；当存在托管账户净应付额时，基金托管人按基金管理人的划款指令将托管账户净应付额在交收日及时划往“基金清算账户”。在发生巨额赎回或《基金合同》载明的其他暂停赎回或延缓支付赎回款项的情形时，款项的支付办法参照《基金合同》有关条款处理。</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w:t>
      </w:r>
      <w:r>
        <w:rPr>
          <w:rFonts w:ascii="宋体" w:eastAsia="宋体" w:hint="eastAsia"/>
          <w:color w:val="auto"/>
          <w:sz w:val="21"/>
          <w:highlight w:val="white"/>
        </w:rPr>
        <w:t>、</w:t>
      </w:r>
      <w:r>
        <w:rPr>
          <w:rFonts w:ascii="宋体" w:eastAsia="宋体" w:hint="eastAsia"/>
          <w:color w:val="auto"/>
          <w:sz w:val="21"/>
          <w:szCs w:val="21"/>
          <w:highlight w:val="white"/>
        </w:rPr>
        <w:t>基金管理人未能按上款约定将托管账户净应收额全额、及时汇至基金托管账户，由此产生的责任应由该基金管理人承担</w:t>
      </w:r>
      <w:r>
        <w:rPr>
          <w:rFonts w:ascii="宋体" w:eastAsia="宋体" w:hint="eastAsia"/>
          <w:sz w:val="21"/>
          <w:szCs w:val="21"/>
          <w:highlight w:val="white"/>
        </w:rPr>
        <w:t>(不可抗力或基金管理人无过错的情况除外)</w:t>
      </w:r>
      <w:r>
        <w:rPr>
          <w:rFonts w:ascii="宋体" w:eastAsia="宋体" w:hint="eastAsia"/>
          <w:color w:val="auto"/>
          <w:sz w:val="21"/>
          <w:szCs w:val="21"/>
          <w:highlight w:val="white"/>
        </w:rPr>
        <w:t>；基金托管人未能按上款约定将托管账户净应付额全额、及时汇至“基金清算账户”，由此产生的责任应由基金托管人承担</w:t>
      </w:r>
      <w:r>
        <w:rPr>
          <w:rFonts w:ascii="宋体" w:eastAsia="宋体"/>
          <w:color w:val="auto"/>
          <w:sz w:val="21"/>
          <w:szCs w:val="21"/>
          <w:highlight w:val="white"/>
        </w:rPr>
        <w:t>(不可抗力或基金托管人无过错的情况除外)</w:t>
      </w:r>
      <w:r>
        <w:rPr>
          <w:rFonts w:ascii="宋体" w:eastAsia="宋体" w:hint="eastAsia"/>
          <w:color w:val="auto"/>
          <w:sz w:val="21"/>
          <w:szCs w:val="21"/>
          <w:highlight w:val="white"/>
        </w:rPr>
        <w:t>。</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rsidR="0094673A">
      <w:pPr>
        <w:pStyle w:val="BodyTextIndent"/>
        <w:spacing w:before="100" w:beforeAutospacing="1" w:after="100" w:afterAutospacing="1"/>
        <w:ind w:firstLine="403"/>
        <w:rPr>
          <w:rFonts w:ascii="宋体" w:eastAsia="宋体"/>
          <w:sz w:val="21"/>
          <w:szCs w:val="21"/>
        </w:rPr>
      </w:pPr>
      <w:r>
        <w:rPr>
          <w:rFonts w:ascii="宋体" w:eastAsia="宋体" w:hint="eastAsia"/>
          <w:sz w:val="21"/>
          <w:szCs w:val="21"/>
          <w:highlight w:val="white"/>
        </w:rPr>
        <w:t>（五）港股通交易</w:t>
      </w:r>
    </w:p>
    <w:p w:rsidR="0094673A">
      <w:pPr>
        <w:pStyle w:val="BodyTextIndent"/>
        <w:spacing w:before="100" w:beforeAutospacing="1" w:after="100" w:afterAutospacing="1"/>
        <w:ind w:firstLine="403"/>
      </w:pPr>
      <w:r>
        <w:rPr>
          <w:rFonts w:ascii="宋体" w:eastAsia="宋体" w:hint="eastAsia"/>
          <w:sz w:val="21"/>
          <w:szCs w:val="21"/>
          <w:highlight w:val="white"/>
        </w:rPr>
        <w:t>本基金的港股通交易应遵守相关法律法规及业务规则，股票投资比例合计应当符合法律法规和基金合同的约定，并充分揭示风险。</w:t>
      </w:r>
    </w:p>
    <w:p w:rsidR="0094673A">
      <w:pPr>
        <w:pStyle w:val="BodyTextIndent"/>
        <w:spacing w:before="100" w:beforeAutospacing="1" w:after="100" w:afterAutospacing="1"/>
        <w:ind w:firstLine="403"/>
      </w:pPr>
      <w:r>
        <w:rPr>
          <w:rFonts w:ascii="宋体" w:eastAsia="宋体" w:hint="eastAsia"/>
          <w:sz w:val="21"/>
          <w:szCs w:val="21"/>
          <w:highlight w:val="white"/>
        </w:rPr>
        <w:t>1、 基金管理人声明和承诺</w:t>
      </w:r>
    </w:p>
    <w:p w:rsidR="0094673A">
      <w:pPr>
        <w:pStyle w:val="BodyTextIndent"/>
        <w:spacing w:before="100" w:beforeAutospacing="1" w:after="100" w:afterAutospacing="1"/>
        <w:ind w:firstLine="403"/>
      </w:pPr>
      <w:r>
        <w:rPr>
          <w:rFonts w:ascii="宋体" w:eastAsia="宋体" w:hint="eastAsia"/>
          <w:sz w:val="21"/>
          <w:szCs w:val="21"/>
          <w:highlight w:val="white"/>
        </w:rPr>
        <w:t>（1）基金管理人承诺其是依照中国内地法律设立且有效存续的法人机构，具备从事港股通业务的资质；</w:t>
      </w:r>
    </w:p>
    <w:p w:rsidR="0094673A">
      <w:pPr>
        <w:pStyle w:val="BodyTextIndent"/>
        <w:spacing w:before="100" w:beforeAutospacing="1" w:after="100" w:afterAutospacing="1"/>
        <w:ind w:firstLine="403"/>
      </w:pPr>
      <w:r>
        <w:rPr>
          <w:rFonts w:ascii="宋体" w:eastAsia="宋体" w:hint="eastAsia"/>
          <w:sz w:val="21"/>
          <w:szCs w:val="21"/>
          <w:highlight w:val="white"/>
        </w:rPr>
        <w:t>（2）基金管理人承诺托管资产具有合法的港股通交易资格，不存在相关法律、行政法规、部门规章、规范性文件以及业务规则等规定的禁止、限制或不适于参与港股通交易的情形；</w:t>
      </w:r>
    </w:p>
    <w:p w:rsidR="0094673A">
      <w:pPr>
        <w:pStyle w:val="BodyTextIndent"/>
        <w:spacing w:before="100" w:beforeAutospacing="1" w:after="100" w:afterAutospacing="1"/>
        <w:ind w:firstLine="403"/>
      </w:pPr>
      <w:r>
        <w:rPr>
          <w:rFonts w:ascii="宋体" w:eastAsia="宋体" w:hint="eastAsia"/>
          <w:sz w:val="21"/>
          <w:szCs w:val="21"/>
          <w:highlight w:val="white"/>
        </w:rPr>
        <w:t xml:space="preserve">（3）基金管理人保证其提供的所有证件、资料均真实、准确、完整、合法、有效，且用于港股通交易的资金来源合法，并保证遵守国家反洗钱的相关规定； </w:t>
      </w:r>
    </w:p>
    <w:p w:rsidR="0094673A">
      <w:pPr>
        <w:pStyle w:val="BodyTextIndent"/>
        <w:spacing w:before="100" w:beforeAutospacing="1" w:after="100" w:afterAutospacing="1"/>
        <w:ind w:firstLine="403"/>
      </w:pPr>
      <w:r>
        <w:rPr>
          <w:rFonts w:ascii="宋体" w:eastAsia="宋体" w:hint="eastAsia"/>
          <w:sz w:val="21"/>
          <w:szCs w:val="21"/>
          <w:highlight w:val="white"/>
        </w:rPr>
        <w:t>（4）基金管理人承诺遵守港股通交易的中国内地与香港地区法律、行政法规、部门规章、规范性文件、业务规则等相关规定，并承诺按照基金托管人的相关业务流程办理业务；基金管理人应准确理解港股通交易的业务规则，包括</w:t>
      </w:r>
      <w:r w:rsidR="00FA178B">
        <w:rPr>
          <w:rFonts w:ascii="宋体" w:eastAsia="宋体" w:hint="eastAsia"/>
          <w:sz w:val="21"/>
          <w:szCs w:val="21"/>
          <w:highlight w:val="white"/>
        </w:rPr>
        <w:t>但</w:t>
      </w:r>
      <w:bookmarkStart w:id="8" w:name="_GoBack"/>
      <w:bookmarkEnd w:id="8"/>
      <w:r>
        <w:rPr>
          <w:rFonts w:ascii="宋体" w:eastAsia="宋体" w:hint="eastAsia"/>
          <w:sz w:val="21"/>
          <w:szCs w:val="21"/>
          <w:highlight w:val="white"/>
        </w:rPr>
        <w:t>不限于交收规则、投资额度、汇兑安排、交易日、风险管理要求、延迟交收等，由于基金管理人对港股通业务规则理解错误而导致的交收失败及其他损害基金份额持有人合法权益的行为，基金管理人自行承担全部赔偿责任，基金托管人不承担任何责任；</w:t>
      </w:r>
    </w:p>
    <w:p w:rsidR="0094673A">
      <w:pPr>
        <w:pStyle w:val="BodyTextIndent"/>
        <w:spacing w:before="100" w:beforeAutospacing="1" w:after="100" w:afterAutospacing="1"/>
        <w:ind w:firstLine="403"/>
      </w:pPr>
      <w:r>
        <w:rPr>
          <w:rFonts w:ascii="宋体" w:eastAsia="宋体" w:hint="eastAsia"/>
          <w:sz w:val="21"/>
          <w:szCs w:val="21"/>
          <w:highlight w:val="white"/>
        </w:rPr>
        <w:t>（5）基金管理人承诺，同意由中国证券登记结算有限责任公司（以下简称“中国结算”）以自己的名义持有通过港股通取得的证券；基金管理人已清楚认识并愿意承担从事港股通交易的相关风险，特别是其中有关基金托管人的免责条款。</w:t>
      </w:r>
    </w:p>
    <w:p w:rsidR="0094673A">
      <w:pPr>
        <w:pStyle w:val="BodyTextIndent"/>
        <w:spacing w:before="100" w:beforeAutospacing="1" w:after="100" w:afterAutospacing="1"/>
        <w:ind w:firstLine="403"/>
      </w:pPr>
      <w:r>
        <w:rPr>
          <w:rFonts w:ascii="宋体" w:eastAsia="宋体" w:hint="eastAsia"/>
          <w:sz w:val="21"/>
          <w:szCs w:val="21"/>
          <w:highlight w:val="white"/>
        </w:rPr>
        <w:t>2、账户开立</w:t>
      </w:r>
    </w:p>
    <w:p w:rsidR="0094673A">
      <w:pPr>
        <w:pStyle w:val="BodyTextIndent"/>
        <w:spacing w:before="100" w:beforeAutospacing="1" w:after="100" w:afterAutospacing="1"/>
        <w:ind w:firstLine="403"/>
      </w:pPr>
      <w:r>
        <w:rPr>
          <w:rFonts w:ascii="宋体" w:eastAsia="宋体" w:hint="eastAsia"/>
          <w:sz w:val="21"/>
          <w:szCs w:val="21"/>
          <w:highlight w:val="white"/>
        </w:rPr>
        <w:t>基金管理人在参与港股通交易前，应先依照法律法规、相关业务规则委托基金托管人代为在中国结算开立人民币普通股票（A股）证券账户用于证券交易等。基金管理人已经开立人民币普通股票（A股）证券账户，可使用上述现有账户进行港股通交易。</w:t>
      </w:r>
    </w:p>
    <w:p w:rsidR="0094673A">
      <w:pPr>
        <w:pStyle w:val="BodyTextIndent"/>
        <w:spacing w:before="100" w:beforeAutospacing="1" w:after="100" w:afterAutospacing="1"/>
        <w:ind w:firstLine="403"/>
      </w:pPr>
      <w:r>
        <w:rPr>
          <w:rFonts w:ascii="宋体" w:eastAsia="宋体" w:hint="eastAsia"/>
          <w:sz w:val="21"/>
          <w:szCs w:val="21"/>
          <w:highlight w:val="white"/>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上市公司的股东名册。基金管理人不能要求存入或提取纸面股票，中国证监会另有规定的除外。</w:t>
      </w:r>
    </w:p>
    <w:p w:rsidR="0094673A">
      <w:pPr>
        <w:pStyle w:val="BodyTextIndent"/>
        <w:spacing w:before="100" w:beforeAutospacing="1" w:after="100" w:afterAutospacing="1"/>
        <w:ind w:firstLine="403"/>
      </w:pPr>
      <w:r>
        <w:rPr>
          <w:rFonts w:ascii="宋体" w:eastAsia="宋体" w:hint="eastAsia"/>
          <w:sz w:val="21"/>
          <w:szCs w:val="21"/>
          <w:highlight w:val="white"/>
        </w:rPr>
        <w:t>3、港股通交易及清算交收安排</w:t>
      </w:r>
    </w:p>
    <w:p w:rsidR="0094673A">
      <w:pPr>
        <w:pStyle w:val="BodyTextIndent"/>
        <w:spacing w:before="100" w:beforeAutospacing="1" w:after="100" w:afterAutospacing="1"/>
        <w:ind w:firstLine="403"/>
      </w:pPr>
      <w:r>
        <w:rPr>
          <w:rFonts w:ascii="宋体" w:eastAsia="宋体" w:hint="eastAsia"/>
          <w:sz w:val="21"/>
          <w:szCs w:val="21"/>
          <w:highlight w:val="white"/>
        </w:rPr>
        <w:t>中国结算按照香港结算的业务规则，与香港结算完成港股通交易的证券和资金的交收。港股通交易的境内结算由基金管理人选定的证券经纪机构作为结算参与人与中国结算根据相关业务规则完成。</w:t>
      </w:r>
    </w:p>
    <w:p w:rsidR="0094673A">
      <w:pPr>
        <w:pStyle w:val="11"/>
        <w:spacing w:before="100" w:beforeAutospacing="1" w:after="100" w:afterAutospacing="1" w:line="400" w:lineRule="exact"/>
        <w:ind w:firstLine="422"/>
        <w:rPr>
          <w:rFonts w:ascii="宋体" w:hAnsi="宋体"/>
          <w:sz w:val="21"/>
          <w:szCs w:val="21"/>
        </w:rPr>
      </w:pPr>
      <w:bookmarkStart w:id="9" w:name="_Toc116900103"/>
      <w:r>
        <w:rPr>
          <w:rFonts w:ascii="宋体" w:hAnsi="宋体" w:hint="eastAsia"/>
          <w:sz w:val="21"/>
          <w:szCs w:val="21"/>
          <w:highlight w:val="white"/>
        </w:rPr>
        <w:t>八、基金资产净值计算和会计核算</w:t>
      </w:r>
      <w:bookmarkEnd w:id="9"/>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sz w:val="21"/>
          <w:szCs w:val="21"/>
          <w:highlight w:val="white"/>
        </w:rPr>
        <w:t>（一）基金资产净值的计算和复核</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1、基金资产净值是指基金资产总值减去负债后的价值。基金份额净值是指计算日基金资产净值除以计算日该基金份额总数后的价值。</w:t>
      </w:r>
    </w:p>
    <w:p w:rsidR="0094673A">
      <w:pPr>
        <w:spacing w:before="100" w:beforeAutospacing="1" w:after="100" w:afterAutospacing="1" w:line="400" w:lineRule="exact"/>
        <w:ind w:firstLine="420"/>
        <w:rPr>
          <w:rFonts w:ascii="宋体" w:hAnsi="宋体"/>
          <w:szCs w:val="21"/>
        </w:rPr>
      </w:pPr>
      <w:r>
        <w:rPr>
          <w:rFonts w:ascii="宋体" w:hAnsi="宋体" w:hint="eastAsia"/>
          <w:szCs w:val="21"/>
          <w:highlight w:val="white"/>
        </w:rPr>
        <w:t>2、基金管理人应每个估值日对基金财产估值</w:t>
      </w:r>
      <w:r>
        <w:rPr>
          <w:rFonts w:ascii="宋体" w:hAnsi="宋体" w:hint="eastAsia"/>
          <w:color w:val="000000"/>
          <w:szCs w:val="21"/>
          <w:highlight w:val="white"/>
        </w:rPr>
        <w:t>，但基金管理人根据法律法规或《基金合同》的规定暂停估值时除外</w:t>
      </w:r>
      <w:r>
        <w:rPr>
          <w:rFonts w:ascii="宋体" w:hAnsi="宋体" w:hint="eastAsia"/>
          <w:szCs w:val="21"/>
          <w:highlight w:val="white"/>
        </w:rPr>
        <w:t>。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3、当</w:t>
      </w:r>
      <w:r>
        <w:rPr>
          <w:rFonts w:ascii="宋体" w:eastAsia="宋体" w:hAnsi="宋体" w:cs="方正仿宋简体" w:hint="eastAsia"/>
          <w:sz w:val="21"/>
          <w:szCs w:val="21"/>
          <w:highlight w:val="white"/>
        </w:rPr>
        <w:t>相关法律法规或《基金合同》规定的估值方法不能客观反映基金财产公允价值时，</w:t>
      </w:r>
      <w:r>
        <w:rPr>
          <w:rFonts w:ascii="宋体" w:eastAsia="宋体" w:hAnsi="宋体" w:hint="eastAsia"/>
          <w:sz w:val="21"/>
          <w:szCs w:val="21"/>
          <w:highlight w:val="white"/>
        </w:rPr>
        <w:t>基金管理人可根据具体情况</w:t>
      </w:r>
      <w:r>
        <w:rPr>
          <w:rFonts w:ascii="宋体" w:eastAsia="宋体" w:hAnsi="宋体"/>
          <w:sz w:val="21"/>
          <w:szCs w:val="21"/>
          <w:highlight w:val="white"/>
        </w:rPr>
        <w:t>，</w:t>
      </w:r>
      <w:r>
        <w:rPr>
          <w:rFonts w:ascii="宋体" w:eastAsia="宋体" w:hAnsi="宋体" w:hint="eastAsia"/>
          <w:sz w:val="21"/>
          <w:szCs w:val="21"/>
          <w:highlight w:val="white"/>
        </w:rPr>
        <w:t>并与基金托管人商定后</w:t>
      </w:r>
      <w:r>
        <w:rPr>
          <w:rFonts w:ascii="宋体" w:eastAsia="宋体" w:hAnsi="宋体"/>
          <w:sz w:val="21"/>
          <w:szCs w:val="21"/>
          <w:highlight w:val="white"/>
        </w:rPr>
        <w:t>，</w:t>
      </w:r>
      <w:r>
        <w:rPr>
          <w:rFonts w:ascii="宋体" w:eastAsia="宋体" w:hAnsi="宋体" w:hint="eastAsia"/>
          <w:sz w:val="21"/>
          <w:szCs w:val="21"/>
          <w:highlight w:val="white"/>
        </w:rPr>
        <w:t>按最能反映公允价值的价格估值。</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cs="方正仿宋简体" w:hint="eastAsia"/>
          <w:sz w:val="21"/>
          <w:szCs w:val="21"/>
          <w:highlight w:val="white"/>
        </w:rPr>
        <w:t>本基金实施侧袋机制的，应根据本部分的约定对主袋账户资产进行估值并披露主袋账户的基金资产净值和份额净值，暂停披露侧袋账户份额净值。</w:t>
      </w:r>
    </w:p>
    <w:p w:rsidR="0094673A">
      <w:pPr>
        <w:pStyle w:val="BodyTextIndent3"/>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hint="eastAsia"/>
          <w:sz w:val="21"/>
          <w:szCs w:val="21"/>
          <w:highlight w:val="white"/>
        </w:rPr>
        <w:t>4、</w:t>
      </w:r>
      <w:r>
        <w:rPr>
          <w:rFonts w:ascii="宋体" w:eastAsia="宋体" w:hAnsi="宋体" w:cs="方正仿宋简体" w:hint="eastAsia"/>
          <w:sz w:val="21"/>
          <w:szCs w:val="21"/>
          <w:highlight w:val="white"/>
        </w:rPr>
        <w:t>基金管理人、基金托管人发现基金估值违反《基金合同》订明的估值方法、程序以及相关法律法规的规定或者未能充分维护基金份额持有人利益时，双方应及时进行协商和纠正。</w:t>
      </w:r>
    </w:p>
    <w:p w:rsidR="0094673A">
      <w:pPr>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5、</w:t>
      </w:r>
      <w:r>
        <w:rPr>
          <w:rFonts w:ascii="宋体" w:hAnsi="宋体" w:hint="eastAsia"/>
          <w:szCs w:val="21"/>
          <w:highlight w:val="white"/>
        </w:rPr>
        <w:t>当基金资产的估值导致基金份额净值小数点后四位以内（含第四位）发生差错时，视为基金份额净值估值错误。当基金份额净值出现错误时，基金管理人应当立即予以纠正，并采取合理的措施防止损失进一步扩大；当计价错误达到基金份额净值的</w:t>
      </w:r>
      <w:r>
        <w:rPr>
          <w:rFonts w:ascii="宋体" w:hAnsi="宋体"/>
          <w:szCs w:val="21"/>
          <w:highlight w:val="white"/>
        </w:rPr>
        <w:t>0.</w:t>
      </w:r>
      <w:r>
        <w:rPr>
          <w:rFonts w:ascii="宋体" w:hAnsi="宋体" w:hint="eastAsia"/>
          <w:szCs w:val="21"/>
          <w:highlight w:val="white"/>
        </w:rPr>
        <w:t>2</w:t>
      </w:r>
      <w:r>
        <w:rPr>
          <w:rFonts w:ascii="宋体" w:hAnsi="宋体"/>
          <w:szCs w:val="21"/>
          <w:highlight w:val="white"/>
        </w:rPr>
        <w:t>5%</w:t>
      </w:r>
      <w:r>
        <w:rPr>
          <w:rFonts w:ascii="宋体" w:hAnsi="宋体" w:hint="eastAsia"/>
          <w:szCs w:val="21"/>
          <w:highlight w:val="white"/>
        </w:rPr>
        <w:t>时，基金管理人应当通知基金托管人并报中国证监会备案；当计价错误达到基金份额净值的</w:t>
      </w:r>
      <w:r>
        <w:rPr>
          <w:rFonts w:ascii="宋体" w:hAnsi="宋体"/>
          <w:szCs w:val="21"/>
          <w:highlight w:val="white"/>
        </w:rPr>
        <w:t>0.5%</w:t>
      </w:r>
      <w:r>
        <w:rPr>
          <w:rFonts w:ascii="宋体" w:hAnsi="宋体" w:hint="eastAsia"/>
          <w:szCs w:val="21"/>
          <w:highlight w:val="white"/>
        </w:rPr>
        <w:t>时，基金管理人应当通知基金托管人，在报中国证监会备案的同时及时进行公告。</w:t>
      </w:r>
      <w:r>
        <w:rPr>
          <w:rFonts w:ascii="宋体" w:hAnsi="宋体"/>
          <w:szCs w:val="21"/>
          <w:highlight w:val="white"/>
        </w:rPr>
        <w:t>如法律法规或监管机关</w:t>
      </w:r>
      <w:r>
        <w:rPr>
          <w:rFonts w:ascii="宋体" w:hAnsi="宋体" w:hint="eastAsia"/>
          <w:szCs w:val="21"/>
          <w:highlight w:val="white"/>
        </w:rPr>
        <w:t>对</w:t>
      </w:r>
      <w:r>
        <w:rPr>
          <w:rFonts w:ascii="宋体" w:hAnsi="宋体"/>
          <w:szCs w:val="21"/>
          <w:highlight w:val="white"/>
        </w:rPr>
        <w:t>前述内容另有规定的，按其规定处理。</w:t>
      </w:r>
    </w:p>
    <w:p w:rsidR="0094673A">
      <w:pPr>
        <w:pStyle w:val="BodyTextIndent3"/>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highlight w:val="white"/>
        </w:rPr>
        <w:t>6、</w:t>
      </w:r>
      <w:r>
        <w:rPr>
          <w:rFonts w:ascii="宋体" w:eastAsia="宋体" w:hAnsi="宋体"/>
          <w:sz w:val="21"/>
          <w:szCs w:val="21"/>
          <w:highlight w:val="white"/>
        </w:rPr>
        <w:t>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基金管理人应确保基金份额数据的真实性、准确性，对于因基金管理人提供的基金份额数据错误导致基金净值计算错误的，基金托管人不承担责任。</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7、由于不可抗力，或证券交易所、登记结算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8、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（二）基金会计核算</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1、基金账册的建立</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2、会计数据和财务指标的核对</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基金管理人和基金托管人应定期就会计数据和财务指标进行核对。如发现存在不符，双方应及时查明原因并纠正。</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3、基金财务报表和定期报告的编制和复核</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基金财务报表由基金管理人和基金托管人每月分别独立编制。月度报表的编制，应于每月终了后</w:t>
      </w:r>
      <w:r>
        <w:rPr>
          <w:rFonts w:ascii="宋体" w:eastAsia="宋体" w:hAnsi="宋体"/>
          <w:sz w:val="21"/>
          <w:szCs w:val="21"/>
          <w:highlight w:val="white"/>
        </w:rPr>
        <w:t>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w:t>
      </w:r>
      <w:r>
        <w:rPr>
          <w:rFonts w:ascii="宋体" w:eastAsia="宋体" w:hAnsi="宋体" w:hint="eastAsia"/>
          <w:color w:val="000000"/>
          <w:sz w:val="21"/>
          <w:szCs w:val="21"/>
          <w:highlight w:val="white"/>
        </w:rPr>
        <w:t>基金合同生效不足两个月的，基金管理人可以不编制当期季度报告、中期报告或者年度报告。</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证监会备案。</w:t>
      </w:r>
    </w:p>
    <w:p w:rsidR="0094673A">
      <w:pPr>
        <w:pStyle w:val="BodyTextIndent3"/>
        <w:spacing w:before="100" w:beforeAutospacing="1" w:after="100" w:afterAutospacing="1" w:line="400" w:lineRule="exact"/>
        <w:ind w:left="0" w:right="26" w:firstLine="403"/>
        <w:rPr>
          <w:rFonts w:ascii="宋体" w:eastAsia="宋体" w:hAnsi="宋体"/>
          <w:sz w:val="21"/>
          <w:szCs w:val="21"/>
        </w:rPr>
      </w:pPr>
    </w:p>
    <w:p w:rsidR="0094673A">
      <w:pPr>
        <w:pStyle w:val="11"/>
        <w:spacing w:before="100" w:beforeAutospacing="1" w:after="100" w:afterAutospacing="1" w:line="400" w:lineRule="exact"/>
        <w:ind w:firstLine="422"/>
        <w:rPr>
          <w:rFonts w:ascii="宋体" w:hAnsi="宋体"/>
          <w:sz w:val="21"/>
          <w:szCs w:val="21"/>
        </w:rPr>
      </w:pPr>
      <w:bookmarkStart w:id="10" w:name="_Toc116900104"/>
      <w:r>
        <w:rPr>
          <w:rFonts w:ascii="宋体" w:hAnsi="宋体" w:hint="eastAsia"/>
          <w:sz w:val="21"/>
          <w:szCs w:val="21"/>
          <w:highlight w:val="white"/>
        </w:rPr>
        <w:t>九、基金收益分配</w:t>
      </w:r>
      <w:bookmarkEnd w:id="10"/>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（一）基金收益分配的依据</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1、基金收益分配是指将该基金期末可供分配利润根据持有该基金份额的数量按比例向该基金份额持有人进行分配。期末可供分配利润采用期末资产负债表中未分配利润与未分配利润中已实现部分的孰低数。</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2、收益分配应该符合《基金合同》关于收益分配原则的规定。</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（二）基金收益分配的时间和程序</w:t>
      </w:r>
    </w:p>
    <w:p w:rsidR="0094673A">
      <w:pPr>
        <w:pStyle w:val="BodyTextIndent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highlight w:val="white"/>
        </w:rPr>
        <w:t>1、基金收益分配方案由基金管理人根据《基金合同》的相关规定制定。</w:t>
      </w:r>
    </w:p>
    <w:p w:rsidR="0094673A">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2、基金管理人应于收益分配日之前将其制定的收益分配方案提交基金托管人复核，基金托管人应于收到收益分配方案后完成对收益分配方案的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rsidR="0094673A">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3、基金收益分配采用现金红利的方式。</w:t>
      </w:r>
    </w:p>
    <w:p w:rsidR="0094673A">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4、基金托管人根据基金管理人的收益分配方案和提供的现金红利金额的数据，在红利发放日将分红资金划入基金管理人指定账户。</w:t>
      </w:r>
    </w:p>
    <w:p w:rsidR="0094673A">
      <w:pPr>
        <w:pStyle w:val="BodyTextIndent3"/>
        <w:spacing w:before="100" w:beforeAutospacing="1" w:after="100" w:afterAutospacing="1" w:line="400" w:lineRule="exact"/>
        <w:ind w:left="0" w:right="28" w:firstLine="403"/>
        <w:rPr>
          <w:rFonts w:ascii="宋体" w:eastAsia="宋体" w:hAnsi="宋体"/>
          <w:sz w:val="21"/>
          <w:szCs w:val="21"/>
        </w:rPr>
      </w:pPr>
      <w:r>
        <w:rPr>
          <w:rFonts w:ascii="宋体" w:eastAsia="宋体" w:hAnsi="宋体" w:hint="eastAsia"/>
          <w:sz w:val="21"/>
          <w:szCs w:val="21"/>
          <w:highlight w:val="white"/>
        </w:rPr>
        <w:t>5、本基金实施侧袋机制的，侧袋账户不进行收益分配。</w:t>
      </w:r>
    </w:p>
    <w:p w:rsidR="0094673A">
      <w:pPr>
        <w:pStyle w:val="BodyTextIndent3"/>
        <w:spacing w:before="100" w:beforeAutospacing="1" w:after="100" w:afterAutospacing="1" w:line="400" w:lineRule="exact"/>
        <w:ind w:left="0" w:right="28" w:firstLine="403"/>
        <w:rPr>
          <w:rFonts w:ascii="宋体" w:eastAsia="宋体" w:hAnsi="宋体"/>
          <w:sz w:val="21"/>
          <w:szCs w:val="21"/>
        </w:rPr>
      </w:pPr>
    </w:p>
    <w:p w:rsidR="0094673A">
      <w:pPr>
        <w:pStyle w:val="11"/>
        <w:spacing w:before="100" w:beforeAutospacing="1" w:after="100" w:afterAutospacing="1" w:line="400" w:lineRule="exact"/>
        <w:ind w:firstLine="422"/>
        <w:rPr>
          <w:rFonts w:ascii="宋体" w:hAnsi="宋体"/>
          <w:sz w:val="21"/>
          <w:szCs w:val="21"/>
        </w:rPr>
      </w:pPr>
      <w:bookmarkStart w:id="11" w:name="_Toc116900105"/>
      <w:r>
        <w:rPr>
          <w:rFonts w:ascii="宋体" w:hAnsi="宋体" w:hint="eastAsia"/>
          <w:sz w:val="21"/>
          <w:szCs w:val="21"/>
          <w:highlight w:val="white"/>
        </w:rPr>
        <w:t>十、基金信息披露</w:t>
      </w:r>
      <w:bookmarkEnd w:id="11"/>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（一）保密义务</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1、非因基金管理人和基金托管人的原因导致保密信息被披露、泄露或公开；</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2、基金管理人和基金托管人为遵守和服从法院判决、仲裁裁决或中国证监会等监管机构的命令、决定所做出的信息披露或公开；</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3、因审计、法律等专业服务向外部专业顾问提供信息，并要求专业顾问遵守保密义务。</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（二）基金管理人和基金托管人在信息披露中的职责和信息披露程序</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1、基金管理人和基金托管人应根据相关法律法规、《基金合同》的规定各自承担相应的信息披露职责。</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2、本基金信息披露的所有文件，包括《基金合同》和本协议规定的定期报告、临时报告、基金净值信息及其他必要的公告文件，由基金管理人和基金托管人按照有关法律法规的规定予以公布。</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3、基金年度报告中的财务会计报告必须经符合《证券法》规定的会计师事务所审计。</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4、本基金的信息披露，应通过规定媒介进行；基金管理人、基金托管人可以根据需要在其他公共媒介披露信息，但是其他公共媒介不得早于规定媒介披露信息，并且在不同媒介上披露同一信息的内容应当一致。</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5、信息文本的存放与备查</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依法必须</w:t>
      </w:r>
      <w:r>
        <w:rPr>
          <w:rFonts w:ascii="宋体" w:eastAsia="宋体"/>
          <w:color w:val="auto"/>
          <w:sz w:val="21"/>
          <w:szCs w:val="21"/>
          <w:highlight w:val="white"/>
        </w:rPr>
        <w:t>披露的信息发布后，基金管理人、基金托管人应当按照相关法律法规</w:t>
      </w:r>
      <w:r>
        <w:rPr>
          <w:rFonts w:ascii="宋体" w:eastAsia="宋体" w:hint="eastAsia"/>
          <w:color w:val="auto"/>
          <w:sz w:val="21"/>
          <w:szCs w:val="21"/>
          <w:highlight w:val="white"/>
        </w:rPr>
        <w:t>规定</w:t>
      </w:r>
      <w:r>
        <w:rPr>
          <w:rFonts w:ascii="宋体" w:eastAsia="宋体"/>
          <w:color w:val="auto"/>
          <w:sz w:val="21"/>
          <w:szCs w:val="21"/>
          <w:highlight w:val="white"/>
        </w:rPr>
        <w:t>将信息</w:t>
      </w:r>
      <w:r>
        <w:rPr>
          <w:rFonts w:ascii="宋体" w:eastAsia="宋体" w:hint="eastAsia"/>
          <w:color w:val="auto"/>
          <w:sz w:val="21"/>
          <w:szCs w:val="21"/>
          <w:highlight w:val="white"/>
        </w:rPr>
        <w:t>置备于公司办公场所</w:t>
      </w:r>
      <w:r>
        <w:rPr>
          <w:rFonts w:ascii="宋体" w:eastAsia="宋体"/>
          <w:color w:val="auto"/>
          <w:sz w:val="21"/>
          <w:szCs w:val="21"/>
          <w:highlight w:val="white"/>
        </w:rPr>
        <w:t>，供社会公众查阅、复制。</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基金管理人和基金托管人应保证文本的内容与所公告的内容完全一致。</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6、</w:t>
      </w:r>
      <w:r>
        <w:rPr>
          <w:rFonts w:ascii="宋体" w:hAnsi="宋体" w:cs="方正仿宋简体" w:hint="eastAsia"/>
          <w:szCs w:val="21"/>
          <w:highlight w:val="white"/>
        </w:rPr>
        <w:t>本基金实施侧袋机制的，相关信息披露义务人应当根据法律法规、基金合同和招募说明书的规定进行信息披露。</w:t>
      </w:r>
    </w:p>
    <w:p w:rsidR="0094673A">
      <w:pPr>
        <w:pStyle w:val="BodyTextIndent"/>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highlight w:val="white"/>
        </w:rPr>
        <w:t>（三）基金托管人报告</w:t>
      </w:r>
    </w:p>
    <w:p w:rsidR="0094673A">
      <w:pPr>
        <w:pStyle w:val="BodyTextIndent"/>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highlight w:val="white"/>
        </w:rPr>
        <w:t>基金托管人应按《基金法》、《运作办法》、《信息披露办法》和其他有关法律法规的规定于每个上半年度结束后两个月内、每个会计年度结束后三个月内在基金中期报告及年度报告中分别出具托管人报告。</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12" w:name="_Toc116900106"/>
      <w:r>
        <w:rPr>
          <w:rFonts w:ascii="宋体" w:hAnsi="宋体" w:hint="eastAsia"/>
          <w:sz w:val="21"/>
          <w:szCs w:val="21"/>
          <w:highlight w:val="white"/>
        </w:rPr>
        <w:t>十一、基金费用</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（一）基金管理人的管理费（包含固定管理费、或有管理费和超额管理费）</w:t>
      </w:r>
    </w:p>
    <w:p w:rsidR="0094673A">
      <w:pPr>
        <w:spacing w:line="360" w:lineRule="auto"/>
        <w:ind w:firstLine="420" w:firstLineChars="200"/>
        <w:rPr>
          <w:szCs w:val="21"/>
        </w:rPr>
      </w:pPr>
      <w:r>
        <w:rPr>
          <w:rFonts w:ascii="宋体" w:hAnsi="宋体" w:cs="宋体"/>
          <w:color w:val="000000"/>
          <w:szCs w:val="21"/>
          <w:highlight w:val="white"/>
        </w:rPr>
        <w:t>本基金根据每笔基金份额的持有期限与持有期间年化收益率，在赎回、转换转出基金份额或基金合同终止的情形发生时确定该笔基金份额对应的管理费。</w:t>
      </w:r>
    </w:p>
    <w:p w:rsidR="0094673A">
      <w:pPr>
        <w:spacing w:line="360" w:lineRule="auto"/>
        <w:ind w:firstLine="420" w:firstLineChars="200"/>
        <w:rPr>
          <w:szCs w:val="21"/>
        </w:rPr>
      </w:pPr>
      <w:r>
        <w:rPr>
          <w:rFonts w:ascii="宋体" w:hAnsi="宋体" w:cs="宋体"/>
          <w:color w:val="000000"/>
          <w:szCs w:val="21"/>
          <w:highlight w:val="white"/>
        </w:rPr>
        <w:t>当投资者赎回、转换转出基金份额或基金合同终止的情形发生时，若该笔份额持有期限不足一年（即365天，下同），则该笔份额按1.20%年费率（固定管理费率0.6%、或有管理费率0.6%）收取管理费。</w:t>
      </w:r>
    </w:p>
    <w:p w:rsidR="0094673A">
      <w:pPr>
        <w:spacing w:line="360" w:lineRule="auto"/>
        <w:ind w:firstLine="420" w:firstLineChars="200"/>
        <w:rPr>
          <w:szCs w:val="21"/>
        </w:rPr>
      </w:pPr>
      <w:r>
        <w:rPr>
          <w:rFonts w:ascii="宋体" w:hAnsi="宋体" w:cs="宋体"/>
          <w:color w:val="000000"/>
          <w:szCs w:val="21"/>
          <w:highlight w:val="white"/>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94673A">
      <w:pPr>
        <w:spacing w:line="276" w:lineRule="auto"/>
        <w:jc w:val="center"/>
        <w:rPr>
          <w:szCs w:val="21"/>
        </w:rPr>
      </w:pPr>
      <w:r>
        <w:rPr>
          <w:rFonts w:ascii="宋体" w:hAnsi="宋体" w:cs="宋体"/>
          <w:b/>
          <w:color w:val="000000"/>
          <w:szCs w:val="21"/>
          <w:highlight w:val="white"/>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b/>
                <w:color w:val="000000"/>
                <w:szCs w:val="21"/>
                <w:highlight w:val="white"/>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b/>
                <w:color w:val="000000"/>
                <w:szCs w:val="21"/>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R≤R</w:t>
            </w:r>
            <w:r>
              <w:rPr>
                <w:rFonts w:ascii="宋体" w:hAnsi="宋体" w:cs="宋体"/>
                <w:color w:val="000000"/>
                <w:spacing w:val="-2"/>
                <w:szCs w:val="21"/>
                <w:highlight w:val="white"/>
                <w:vertAlign w:val="subscript"/>
              </w:rPr>
              <w:t>b</w:t>
            </w:r>
            <w:r>
              <w:rPr>
                <w:rFonts w:ascii="宋体" w:hAnsi="宋体" w:cs="宋体"/>
                <w:color w:val="000000"/>
                <w:szCs w:val="21"/>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0.60%/年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R＞R</w:t>
            </w:r>
            <w:r>
              <w:rPr>
                <w:rFonts w:ascii="宋体" w:hAnsi="宋体" w:cs="宋体"/>
                <w:color w:val="000000"/>
                <w:spacing w:val="-2"/>
                <w:szCs w:val="21"/>
                <w:highlight w:val="white"/>
                <w:vertAlign w:val="subscript"/>
              </w:rPr>
              <w:t>b</w:t>
            </w:r>
            <w:r>
              <w:rPr>
                <w:rFonts w:ascii="宋体" w:hAnsi="宋体" w:cs="宋体"/>
                <w:color w:val="000000"/>
                <w:szCs w:val="21"/>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1.50%/年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1.20%/年</w:t>
            </w:r>
          </w:p>
        </w:tc>
      </w:tr>
    </w:tbl>
    <w:p w:rsidR="0094673A">
      <w:pPr>
        <w:spacing w:line="360" w:lineRule="auto"/>
        <w:ind w:firstLine="480"/>
        <w:rPr>
          <w:szCs w:val="21"/>
        </w:rPr>
      </w:pPr>
      <w:r>
        <w:rPr>
          <w:rFonts w:ascii="宋体" w:hAnsi="宋体" w:cs="宋体"/>
          <w:color w:val="000000"/>
          <w:szCs w:val="21"/>
          <w:highlight w:val="white"/>
        </w:rPr>
        <w:t>注：①R为该笔基金份额持有期间年化收益率，R</w:t>
      </w:r>
      <w:r>
        <w:rPr>
          <w:rFonts w:ascii="宋体" w:hAnsi="宋体" w:cs="宋体"/>
          <w:color w:val="000000"/>
          <w:szCs w:val="21"/>
          <w:highlight w:val="white"/>
          <w:vertAlign w:val="subscript"/>
        </w:rPr>
        <w:t>b</w:t>
      </w:r>
      <w:r>
        <w:rPr>
          <w:rFonts w:ascii="宋体" w:hAnsi="宋体" w:cs="宋体"/>
          <w:color w:val="000000"/>
          <w:szCs w:val="21"/>
          <w:highlight w:val="white"/>
        </w:rPr>
        <w:t>为本基金业绩比较基准同期年化收益率。</w:t>
      </w:r>
    </w:p>
    <w:p w:rsidR="0094673A">
      <w:pPr>
        <w:spacing w:line="360" w:lineRule="auto"/>
        <w:ind w:firstLine="420" w:firstLineChars="200"/>
        <w:rPr>
          <w:szCs w:val="21"/>
        </w:rPr>
      </w:pPr>
      <w:r>
        <w:rPr>
          <w:rFonts w:ascii="宋体" w:hAnsi="宋体" w:cs="宋体"/>
          <w:color w:val="000000"/>
          <w:szCs w:val="21"/>
          <w:highlight w:val="white"/>
        </w:rPr>
        <w:t>②特别的，对于该笔份额持有期限达到一年及以上，R＞R</w:t>
      </w:r>
      <w:r>
        <w:rPr>
          <w:rFonts w:ascii="宋体" w:hAnsi="宋体" w:cs="宋体"/>
          <w:color w:val="000000"/>
          <w:szCs w:val="21"/>
          <w:highlight w:val="white"/>
          <w:vertAlign w:val="subscript"/>
        </w:rPr>
        <w:t>b</w:t>
      </w:r>
      <w:r>
        <w:rPr>
          <w:rFonts w:ascii="宋体" w:hAnsi="宋体" w:cs="宋体"/>
          <w:color w:val="000000"/>
          <w:szCs w:val="21"/>
          <w:highlight w:val="white"/>
        </w:rPr>
        <w:t>+6%且R＞0的情形，若扣除超额管理费后的持有期间年化收益率（R*）小于等于R</w:t>
      </w:r>
      <w:r>
        <w:rPr>
          <w:rFonts w:ascii="宋体" w:hAnsi="宋体" w:cs="宋体"/>
          <w:color w:val="000000"/>
          <w:szCs w:val="21"/>
          <w:highlight w:val="white"/>
          <w:vertAlign w:val="subscript"/>
        </w:rPr>
        <w:t>b</w:t>
      </w:r>
      <w:r>
        <w:rPr>
          <w:rFonts w:ascii="宋体" w:hAnsi="宋体" w:cs="宋体"/>
          <w:color w:val="000000"/>
          <w:szCs w:val="21"/>
          <w:highlight w:val="white"/>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94673A">
      <w:pPr>
        <w:spacing w:line="360" w:lineRule="auto"/>
        <w:ind w:firstLine="420" w:firstLineChars="200"/>
        <w:rPr>
          <w:szCs w:val="21"/>
        </w:rPr>
      </w:pPr>
      <w:r>
        <w:rPr>
          <w:rFonts w:ascii="宋体" w:hAnsi="宋体" w:cs="宋体"/>
          <w:color w:val="000000"/>
          <w:szCs w:val="21"/>
          <w:highlight w:val="white"/>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94673A">
      <w:pPr>
        <w:spacing w:line="360" w:lineRule="auto"/>
        <w:ind w:firstLine="420" w:firstLineChars="200"/>
        <w:rPr>
          <w:szCs w:val="21"/>
        </w:rPr>
      </w:pPr>
      <w:r>
        <w:rPr>
          <w:rFonts w:ascii="宋体" w:hAnsi="宋体" w:cs="宋体"/>
          <w:color w:val="000000"/>
          <w:szCs w:val="21"/>
          <w:highlight w:val="white"/>
        </w:rPr>
        <w:t>（1）固定管理费</w:t>
      </w:r>
    </w:p>
    <w:p w:rsidR="0094673A">
      <w:pPr>
        <w:spacing w:line="360" w:lineRule="auto"/>
        <w:ind w:firstLine="420" w:firstLineChars="200"/>
        <w:rPr>
          <w:szCs w:val="21"/>
        </w:rPr>
      </w:pPr>
      <w:r>
        <w:rPr>
          <w:rFonts w:ascii="宋体" w:hAnsi="宋体" w:cs="宋体"/>
          <w:color w:val="000000"/>
          <w:szCs w:val="21"/>
          <w:highlight w:val="white"/>
        </w:rPr>
        <w:t>本基金的固定管理费按前一日基金资产净值的0.6%年费率计提。固定管理费的计算方法如下：</w:t>
      </w:r>
    </w:p>
    <w:p w:rsidR="0094673A">
      <w:pPr>
        <w:spacing w:line="360" w:lineRule="auto"/>
        <w:ind w:firstLine="420" w:firstLineChars="200"/>
        <w:rPr>
          <w:szCs w:val="21"/>
        </w:rPr>
      </w:pPr>
      <w:r>
        <w:rPr>
          <w:rFonts w:ascii="宋体" w:hAnsi="宋体" w:cs="宋体"/>
          <w:color w:val="000000"/>
          <w:szCs w:val="21"/>
          <w:highlight w:val="white"/>
        </w:rPr>
        <w:t>H</w:t>
      </w:r>
      <w:r>
        <w:rPr>
          <w:rFonts w:ascii="宋体" w:hAnsi="宋体" w:cs="宋体"/>
          <w:color w:val="000000"/>
          <w:szCs w:val="21"/>
          <w:highlight w:val="white"/>
          <w:vertAlign w:val="subscript"/>
        </w:rPr>
        <w:t>1</w:t>
      </w:r>
      <w:r>
        <w:rPr>
          <w:rFonts w:ascii="宋体" w:hAnsi="宋体" w:cs="宋体"/>
          <w:color w:val="000000"/>
          <w:szCs w:val="21"/>
          <w:highlight w:val="white"/>
        </w:rPr>
        <w:t>= E×0.6%÷当年天数</w:t>
      </w:r>
    </w:p>
    <w:p w:rsidR="0094673A">
      <w:pPr>
        <w:spacing w:line="360" w:lineRule="auto"/>
        <w:ind w:firstLine="420" w:firstLineChars="200"/>
        <w:rPr>
          <w:szCs w:val="21"/>
        </w:rPr>
      </w:pPr>
      <w:r>
        <w:rPr>
          <w:rFonts w:ascii="宋体" w:hAnsi="宋体" w:cs="宋体"/>
          <w:color w:val="000000"/>
          <w:szCs w:val="21"/>
          <w:highlight w:val="white"/>
        </w:rPr>
        <w:t>H</w:t>
      </w:r>
      <w:r>
        <w:rPr>
          <w:rFonts w:ascii="宋体" w:hAnsi="宋体" w:cs="宋体"/>
          <w:color w:val="000000"/>
          <w:szCs w:val="21"/>
          <w:highlight w:val="white"/>
          <w:vertAlign w:val="subscript"/>
        </w:rPr>
        <w:t>1</w:t>
      </w:r>
      <w:r>
        <w:rPr>
          <w:rFonts w:ascii="宋体" w:hAnsi="宋体" w:cs="宋体"/>
          <w:color w:val="000000"/>
          <w:szCs w:val="21"/>
          <w:highlight w:val="white"/>
        </w:rPr>
        <w:t>为每日应计提的固定管理费</w:t>
      </w:r>
    </w:p>
    <w:p w:rsidR="0094673A">
      <w:pPr>
        <w:spacing w:line="360" w:lineRule="auto"/>
        <w:ind w:firstLine="420" w:firstLineChars="200"/>
        <w:rPr>
          <w:szCs w:val="21"/>
        </w:rPr>
      </w:pPr>
      <w:r>
        <w:rPr>
          <w:rFonts w:ascii="宋体" w:hAnsi="宋体" w:cs="宋体"/>
          <w:color w:val="000000"/>
          <w:szCs w:val="21"/>
          <w:highlight w:val="white"/>
        </w:rPr>
        <w:t>E为前一日的基金资产净值</w:t>
      </w:r>
    </w:p>
    <w:p w:rsidR="0094673A">
      <w:pPr>
        <w:spacing w:line="360" w:lineRule="auto"/>
        <w:ind w:firstLine="420" w:firstLineChars="200"/>
        <w:rPr>
          <w:szCs w:val="21"/>
        </w:rPr>
      </w:pPr>
      <w:r>
        <w:rPr>
          <w:rFonts w:ascii="宋体" w:hAnsi="宋体" w:cs="宋体"/>
          <w:color w:val="000000"/>
          <w:szCs w:val="21"/>
          <w:highlight w:val="white"/>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4673A">
      <w:pPr>
        <w:spacing w:line="360" w:lineRule="auto"/>
        <w:ind w:firstLine="420" w:firstLineChars="200"/>
        <w:rPr>
          <w:szCs w:val="21"/>
        </w:rPr>
      </w:pPr>
      <w:r>
        <w:rPr>
          <w:rFonts w:ascii="宋体" w:hAnsi="宋体" w:cs="宋体"/>
          <w:color w:val="000000"/>
          <w:szCs w:val="21"/>
          <w:highlight w:val="white"/>
        </w:rPr>
        <w:t>（2）或有管理费和超额管理费</w:t>
      </w:r>
    </w:p>
    <w:p w:rsidR="0094673A">
      <w:pPr>
        <w:spacing w:line="360" w:lineRule="auto"/>
        <w:ind w:firstLine="420" w:firstLineChars="200"/>
        <w:rPr>
          <w:szCs w:val="21"/>
        </w:rPr>
      </w:pPr>
      <w:r>
        <w:rPr>
          <w:rFonts w:ascii="宋体" w:hAnsi="宋体" w:cs="宋体"/>
          <w:color w:val="000000"/>
          <w:szCs w:val="21"/>
          <w:highlight w:val="white"/>
        </w:rPr>
        <w:t>本基金的或有管理费按前一日基金资产净值的0.6%年费率计提。或有管理费的计算方法如下：</w:t>
      </w:r>
    </w:p>
    <w:p w:rsidR="0094673A">
      <w:pPr>
        <w:spacing w:line="360" w:lineRule="auto"/>
        <w:ind w:firstLine="480"/>
        <w:rPr>
          <w:szCs w:val="21"/>
        </w:rPr>
      </w:pPr>
      <w:r>
        <w:rPr>
          <w:rFonts w:ascii="宋体" w:hAnsi="宋体" w:cs="宋体"/>
          <w:color w:val="000000"/>
          <w:szCs w:val="21"/>
          <w:highlight w:val="white"/>
        </w:rPr>
        <w:t>H</w:t>
      </w:r>
      <w:r>
        <w:rPr>
          <w:rFonts w:ascii="宋体" w:hAnsi="宋体" w:cs="宋体"/>
          <w:color w:val="000000"/>
          <w:szCs w:val="21"/>
          <w:highlight w:val="white"/>
          <w:vertAlign w:val="subscript"/>
        </w:rPr>
        <w:t>2</w:t>
      </w:r>
      <w:r>
        <w:rPr>
          <w:rFonts w:ascii="宋体" w:hAnsi="宋体" w:cs="宋体"/>
          <w:color w:val="000000"/>
          <w:szCs w:val="21"/>
          <w:highlight w:val="white"/>
        </w:rPr>
        <w:t>＝E×0.6%÷当年天数</w:t>
      </w:r>
    </w:p>
    <w:p w:rsidR="0094673A">
      <w:pPr>
        <w:spacing w:line="360" w:lineRule="auto"/>
        <w:ind w:firstLine="480"/>
        <w:rPr>
          <w:szCs w:val="21"/>
        </w:rPr>
      </w:pPr>
      <w:r>
        <w:rPr>
          <w:rFonts w:ascii="宋体" w:hAnsi="宋体" w:cs="宋体"/>
          <w:color w:val="000000"/>
          <w:szCs w:val="21"/>
          <w:highlight w:val="white"/>
        </w:rPr>
        <w:t>H</w:t>
      </w:r>
      <w:r>
        <w:rPr>
          <w:rFonts w:ascii="宋体" w:hAnsi="宋体" w:cs="宋体"/>
          <w:color w:val="000000"/>
          <w:szCs w:val="21"/>
          <w:highlight w:val="white"/>
          <w:vertAlign w:val="subscript"/>
        </w:rPr>
        <w:t>2</w:t>
      </w:r>
      <w:r>
        <w:rPr>
          <w:rFonts w:ascii="宋体" w:hAnsi="宋体" w:cs="宋体"/>
          <w:color w:val="000000"/>
          <w:szCs w:val="21"/>
          <w:highlight w:val="white"/>
        </w:rPr>
        <w:t>为每日应计提的或有管理费</w:t>
      </w:r>
    </w:p>
    <w:p w:rsidR="0094673A">
      <w:pPr>
        <w:spacing w:line="360" w:lineRule="auto"/>
        <w:ind w:firstLine="480"/>
        <w:rPr>
          <w:szCs w:val="21"/>
        </w:rPr>
      </w:pPr>
      <w:r>
        <w:rPr>
          <w:rFonts w:ascii="宋体" w:hAnsi="宋体" w:cs="宋体"/>
          <w:color w:val="000000"/>
          <w:szCs w:val="21"/>
          <w:highlight w:val="white"/>
        </w:rPr>
        <w:t>E为前一日的基金资产净值</w:t>
      </w:r>
    </w:p>
    <w:p w:rsidR="0094673A">
      <w:pPr>
        <w:spacing w:line="360" w:lineRule="auto"/>
        <w:ind w:firstLine="420" w:firstLineChars="200"/>
        <w:rPr>
          <w:szCs w:val="21"/>
        </w:rPr>
      </w:pPr>
      <w:r>
        <w:rPr>
          <w:rFonts w:ascii="宋体" w:hAnsi="宋体" w:cs="宋体"/>
          <w:color w:val="000000"/>
          <w:szCs w:val="21"/>
          <w:highlight w:val="white"/>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94673A">
      <w:pPr>
        <w:spacing w:line="360" w:lineRule="auto"/>
        <w:ind w:firstLine="420" w:firstLineChars="200"/>
        <w:rPr>
          <w:szCs w:val="21"/>
        </w:rPr>
      </w:pPr>
      <w:r>
        <w:rPr>
          <w:rFonts w:ascii="宋体" w:hAnsi="宋体" w:cs="宋体"/>
          <w:color w:val="000000"/>
          <w:szCs w:val="21"/>
          <w:highlight w:val="white"/>
        </w:rPr>
        <w:t>基金超额管理费的计算方法如下：</w:t>
      </w:r>
    </w:p>
    <w:p w:rsidR="0094673A">
      <w:pPr>
        <w:spacing w:line="360" w:lineRule="auto"/>
        <w:ind w:firstLine="420" w:firstLineChars="200"/>
        <w:rPr>
          <w:szCs w:val="21"/>
        </w:rPr>
      </w:pPr>
      <w:r>
        <w:rPr>
          <w:rFonts w:ascii="宋体" w:hAnsi="宋体" w:cs="宋体"/>
          <w:color w:val="000000"/>
          <w:szCs w:val="21"/>
          <w:highlight w:val="white"/>
        </w:rPr>
        <w:t>每笔基金份额的超额管理费每日预估计算，但不从基金资产中实际计提，逐日累计。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94673A">
      <w:pPr>
        <w:spacing w:line="360" w:lineRule="auto"/>
        <w:ind w:firstLine="420" w:firstLineChars="200"/>
        <w:rPr>
          <w:szCs w:val="21"/>
        </w:rPr>
      </w:pPr>
      <w:r>
        <w:rPr>
          <w:rFonts w:ascii="宋体" w:hAnsi="宋体" w:cs="宋体"/>
          <w:color w:val="000000"/>
          <w:szCs w:val="21"/>
          <w:highlight w:val="white"/>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b/>
                <w:color w:val="000000"/>
                <w:szCs w:val="21"/>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b/>
                <w:color w:val="000000"/>
                <w:szCs w:val="21"/>
                <w:highlight w:val="white"/>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b/>
                <w:color w:val="000000"/>
                <w:szCs w:val="21"/>
                <w:highlight w:val="white"/>
              </w:rPr>
              <w:t>或有管理费</w:t>
            </w:r>
          </w:p>
          <w:p w:rsidR="0094673A">
            <w:pPr>
              <w:jc w:val="center"/>
              <w:rPr>
                <w:szCs w:val="21"/>
              </w:rPr>
            </w:pPr>
            <w:r>
              <w:rPr>
                <w:rFonts w:ascii="宋体" w:hAnsi="宋体" w:cs="宋体"/>
                <w:b/>
                <w:color w:val="000000"/>
                <w:szCs w:val="21"/>
                <w:highlight w:val="white"/>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b/>
                <w:color w:val="000000"/>
                <w:szCs w:val="21"/>
                <w:highlight w:val="white"/>
              </w:rPr>
              <w:t>超额管理费</w:t>
            </w:r>
          </w:p>
          <w:p w:rsidR="0094673A">
            <w:pPr>
              <w:jc w:val="center"/>
              <w:rPr>
                <w:szCs w:val="21"/>
              </w:rPr>
            </w:pPr>
            <w:r>
              <w:rPr>
                <w:rFonts w:ascii="宋体" w:hAnsi="宋体" w:cs="宋体"/>
                <w:b/>
                <w:color w:val="000000"/>
                <w:szCs w:val="21"/>
                <w:highlight w:val="white"/>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R≤R</w:t>
            </w:r>
            <w:r>
              <w:rPr>
                <w:rFonts w:ascii="宋体" w:hAnsi="宋体" w:cs="宋体"/>
                <w:color w:val="000000"/>
                <w:szCs w:val="21"/>
                <w:highlight w:val="white"/>
                <w:vertAlign w:val="subscript"/>
              </w:rPr>
              <w:t>b</w:t>
            </w:r>
            <w:r>
              <w:rPr>
                <w:rFonts w:ascii="宋体" w:hAnsi="宋体" w:cs="宋体"/>
                <w:color w:val="000000"/>
                <w:szCs w:val="21"/>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R＞R</w:t>
            </w:r>
            <w:r>
              <w:rPr>
                <w:rFonts w:ascii="宋体" w:hAnsi="宋体" w:cs="宋体"/>
                <w:color w:val="000000"/>
                <w:spacing w:val="-2"/>
                <w:szCs w:val="21"/>
                <w:highlight w:val="white"/>
                <w:vertAlign w:val="subscript"/>
              </w:rPr>
              <w:t>b</w:t>
            </w:r>
            <w:r>
              <w:rPr>
                <w:rFonts w:ascii="宋体" w:hAnsi="宋体" w:cs="宋体"/>
                <w:color w:val="000000"/>
                <w:szCs w:val="21"/>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spacing w:line="276" w:lineRule="auto"/>
              <w:jc w:val="center"/>
              <w:rPr>
                <w:szCs w:val="21"/>
              </w:rPr>
            </w:pPr>
            <w:r>
              <w:rPr>
                <w:rFonts w:ascii="宋体" w:hAnsi="宋体" w:cs="宋体"/>
                <w:color w:val="000000"/>
                <w:szCs w:val="21"/>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94673A">
            <w:pPr>
              <w:jc w:val="center"/>
              <w:rPr>
                <w:szCs w:val="21"/>
              </w:rPr>
            </w:pPr>
            <w:r>
              <w:rPr>
                <w:rFonts w:ascii="宋体" w:hAnsi="宋体" w:cs="宋体"/>
                <w:color w:val="000000"/>
                <w:szCs w:val="21"/>
                <w:highlight w:val="white"/>
              </w:rPr>
              <w:t>0</w:t>
            </w:r>
          </w:p>
        </w:tc>
      </w:tr>
    </w:tbl>
    <w:p w:rsidR="0094673A">
      <w:pPr>
        <w:spacing w:line="360" w:lineRule="auto"/>
        <w:ind w:firstLine="420" w:firstLineChars="200"/>
        <w:rPr>
          <w:szCs w:val="21"/>
        </w:rPr>
      </w:pPr>
      <w:r>
        <w:rPr>
          <w:rFonts w:ascii="宋体" w:hAnsi="宋体" w:cs="宋体"/>
          <w:color w:val="000000"/>
          <w:szCs w:val="21"/>
          <w:highlight w:val="white"/>
        </w:rPr>
        <w:t>对于“情形二”，若扣除超额管理费后的持有期间年化收益率（R*）小于等于R</w:t>
      </w:r>
      <w:r>
        <w:rPr>
          <w:rFonts w:ascii="宋体" w:hAnsi="宋体" w:cs="宋体"/>
          <w:color w:val="000000"/>
          <w:spacing w:val="-2"/>
          <w:szCs w:val="21"/>
          <w:highlight w:val="white"/>
          <w:vertAlign w:val="subscript"/>
        </w:rPr>
        <w:t>b</w:t>
      </w:r>
      <w:r>
        <w:rPr>
          <w:rFonts w:ascii="宋体" w:hAnsi="宋体" w:cs="宋体"/>
          <w:color w:val="000000"/>
          <w:szCs w:val="21"/>
          <w:highlight w:val="white"/>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94673A">
      <w:pPr>
        <w:spacing w:line="360" w:lineRule="auto"/>
        <w:ind w:firstLine="420" w:firstLineChars="200"/>
        <w:rPr>
          <w:szCs w:val="21"/>
        </w:rPr>
      </w:pPr>
      <w:r>
        <w:rPr>
          <w:rFonts w:ascii="宋体" w:hAnsi="宋体" w:cs="宋体"/>
          <w:color w:val="000000"/>
          <w:szCs w:val="21"/>
          <w:highlight w:val="white"/>
        </w:rPr>
        <w:t>每笔基金份额持有期间年化收益率（R）计算方法如下：</w:t>
      </w:r>
    </w:p>
    <w:p w:rsidR="0094673A">
      <w:pPr>
        <w:spacing w:line="360" w:lineRule="auto"/>
        <w:ind w:firstLine="420" w:firstLineChars="200"/>
        <w:rPr>
          <w:iCs/>
          <w:szCs w:val="21"/>
        </w:rPr>
      </w:pPr>
      <w:r>
        <w:rPr>
          <w:noProof/>
          <w:szCs w:val="21"/>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22868" name="图片 6" descr="D:\Users\chengcai\桌面\1.jpg"/>
                    <pic:cNvPicPr>
                      <a:picLocks noChangeAspect="1"/>
                    </pic:cNvPicPr>
                  </pic:nvPicPr>
                  <pic:blipFill>
                    <a:blip xmlns:r="http://schemas.openxmlformats.org/officeDocument/2006/relationships" r:embed="rId5"/>
                    <a:stretch>
                      <a:fillRect/>
                    </a:stretch>
                  </pic:blipFill>
                  <pic:spPr>
                    <a:xfrm>
                      <a:off x="0" y="0"/>
                      <a:ext cx="1771650" cy="419100"/>
                    </a:xfrm>
                    <a:prstGeom prst="rect">
                      <a:avLst/>
                    </a:prstGeom>
                    <a:noFill/>
                    <a:ln>
                      <a:noFill/>
                    </a:ln>
                  </pic:spPr>
                </pic:pic>
              </a:graphicData>
            </a:graphic>
          </wp:inline>
        </w:drawing>
      </w:r>
    </w:p>
    <w:p w:rsidR="0094673A">
      <w:pPr>
        <w:spacing w:line="360" w:lineRule="auto"/>
        <w:ind w:firstLine="420" w:firstLineChars="200"/>
        <w:rPr>
          <w:szCs w:val="21"/>
        </w:rPr>
      </w:pPr>
      <w:r>
        <w:rPr>
          <w:rFonts w:ascii="宋体" w:hAnsi="宋体" w:cs="宋体"/>
          <w:color w:val="000000"/>
          <w:szCs w:val="21"/>
          <w:highlight w:val="white"/>
        </w:rPr>
        <w:t>每笔基金份额扣除超额管理费后的持有期间年化收益率（R*）的计算方法如下：</w:t>
      </w:r>
    </w:p>
    <w:p w:rsidR="0094673A">
      <w:pPr>
        <w:spacing w:line="360" w:lineRule="auto"/>
        <w:ind w:firstLine="420" w:firstLineChars="200"/>
        <w:rPr>
          <w:bCs/>
          <w:szCs w:val="21"/>
        </w:rPr>
      </w:pPr>
      <w:r>
        <w:rPr>
          <w:noProof/>
          <w:szCs w:val="21"/>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45543" name="图片 7" descr="D:\Users\chengcai\桌面\2.jpg"/>
                    <pic:cNvPicPr>
                      <a:picLocks noChangeAspect="1"/>
                    </pic:cNvPicPr>
                  </pic:nvPicPr>
                  <pic:blipFill>
                    <a:blip xmlns:r="http://schemas.openxmlformats.org/officeDocument/2006/relationships" r:embed="rId6"/>
                    <a:stretch>
                      <a:fillRect/>
                    </a:stretch>
                  </pic:blipFill>
                  <pic:spPr>
                    <a:xfrm>
                      <a:off x="0" y="0"/>
                      <a:ext cx="2609848" cy="438149"/>
                    </a:xfrm>
                    <a:prstGeom prst="rect">
                      <a:avLst/>
                    </a:prstGeom>
                    <a:noFill/>
                    <a:ln>
                      <a:noFill/>
                    </a:ln>
                  </pic:spPr>
                </pic:pic>
              </a:graphicData>
            </a:graphic>
          </wp:inline>
        </w:drawing>
      </w:r>
    </w:p>
    <w:p w:rsidR="0094673A">
      <w:pPr>
        <w:spacing w:line="360" w:lineRule="auto"/>
        <w:ind w:firstLine="420" w:firstLineChars="200"/>
        <w:rPr>
          <w:szCs w:val="21"/>
        </w:rPr>
      </w:pPr>
      <w:bookmarkStart w:id="13" w:name="_Hlk195865107"/>
      <w:bookmarkEnd w:id="13"/>
      <w:r>
        <w:rPr>
          <w:rFonts w:ascii="宋体" w:hAnsi="宋体" w:cs="宋体"/>
          <w:color w:val="000000"/>
          <w:szCs w:val="21"/>
          <w:highlight w:val="white"/>
        </w:rPr>
        <w:t>R为该笔基金份额持有期间年化收益率；R</w:t>
      </w:r>
      <w:r>
        <w:rPr>
          <w:rFonts w:ascii="宋体" w:hAnsi="宋体" w:cs="宋体"/>
          <w:color w:val="000000"/>
          <w:szCs w:val="21"/>
          <w:highlight w:val="white"/>
          <w:vertAlign w:val="subscript"/>
        </w:rPr>
        <w:t>b</w:t>
      </w:r>
      <w:r>
        <w:rPr>
          <w:rFonts w:ascii="宋体" w:hAnsi="宋体" w:cs="宋体"/>
          <w:color w:val="000000"/>
          <w:szCs w:val="21"/>
          <w:highlight w:val="white"/>
        </w:rPr>
        <w:t>为本基金业绩比较基准同期年化收益率；</w:t>
      </w:r>
    </w:p>
    <w:p w:rsidR="0094673A">
      <w:pPr>
        <w:spacing w:line="360" w:lineRule="auto"/>
        <w:ind w:firstLine="420" w:firstLineChars="200"/>
        <w:rPr>
          <w:szCs w:val="21"/>
        </w:rPr>
      </w:pPr>
      <w:r>
        <w:rPr>
          <w:rFonts w:ascii="宋体" w:hAnsi="宋体" w:cs="宋体"/>
          <w:color w:val="000000"/>
          <w:szCs w:val="21"/>
          <w:highlight w:val="white"/>
        </w:rPr>
        <w:t>A为该笔基金份额赎回/转换转出申请日或基金合同终止情形发生日的基金份额累计净值；</w:t>
      </w:r>
    </w:p>
    <w:p w:rsidR="0094673A">
      <w:pPr>
        <w:spacing w:line="360" w:lineRule="auto"/>
        <w:ind w:firstLine="420" w:firstLineChars="200"/>
        <w:rPr>
          <w:szCs w:val="21"/>
        </w:rPr>
      </w:pPr>
      <w:r>
        <w:rPr>
          <w:rFonts w:ascii="宋体" w:hAnsi="宋体" w:cs="宋体"/>
          <w:color w:val="000000"/>
          <w:szCs w:val="21"/>
          <w:highlight w:val="white"/>
        </w:rPr>
        <w:t>B为该笔基金份额认购/申购/转换转入申请日的基金份额累计净值，其中份额认购日的基金份额累计净值为1.0000元；</w:t>
      </w:r>
    </w:p>
    <w:p w:rsidR="0094673A">
      <w:pPr>
        <w:spacing w:line="360" w:lineRule="auto"/>
        <w:ind w:firstLine="420" w:firstLineChars="200"/>
        <w:rPr>
          <w:szCs w:val="21"/>
        </w:rPr>
      </w:pPr>
      <w:r>
        <w:rPr>
          <w:rFonts w:ascii="宋体" w:hAnsi="宋体" w:cs="宋体"/>
          <w:color w:val="000000"/>
          <w:szCs w:val="21"/>
          <w:highlight w:val="white"/>
        </w:rPr>
        <w:t>C为该笔基金份额认购/申购/转换转入申请日的基金份额净值，其中份额认购日的基金份额净值为1.0000元；</w:t>
      </w:r>
    </w:p>
    <w:p w:rsidR="0094673A">
      <w:pPr>
        <w:spacing w:line="360" w:lineRule="auto"/>
        <w:ind w:firstLine="420" w:firstLineChars="200"/>
        <w:rPr>
          <w:szCs w:val="21"/>
        </w:rPr>
      </w:pPr>
      <w:r>
        <w:rPr>
          <w:rFonts w:ascii="宋体" w:hAnsi="宋体" w:cs="宋体"/>
          <w:color w:val="000000"/>
          <w:szCs w:val="21"/>
          <w:highlight w:val="white"/>
        </w:rPr>
        <w:t>D为基金合同生效日（针对募集期内认购的基金份额）或该笔基金份额申购、转入确认日与赎回、转出确认日或基金合同终止情形发生日下一工作日的间隔天数；</w:t>
      </w:r>
    </w:p>
    <w:p w:rsidR="0094673A">
      <w:pPr>
        <w:spacing w:line="360" w:lineRule="auto"/>
        <w:ind w:firstLine="420" w:firstLineChars="200"/>
        <w:rPr>
          <w:szCs w:val="21"/>
        </w:rPr>
      </w:pPr>
      <w:r>
        <w:rPr>
          <w:rFonts w:ascii="宋体" w:hAnsi="宋体" w:cs="宋体"/>
          <w:color w:val="000000"/>
          <w:szCs w:val="21"/>
          <w:highlight w:val="white"/>
        </w:rPr>
        <w:t>F为该笔基金份额的份额数；</w:t>
      </w:r>
    </w:p>
    <w:p w:rsidR="0094673A">
      <w:pPr>
        <w:spacing w:line="360" w:lineRule="auto"/>
        <w:ind w:firstLine="420" w:firstLineChars="200"/>
        <w:rPr>
          <w:szCs w:val="21"/>
        </w:rPr>
      </w:pPr>
      <w:r>
        <w:rPr>
          <w:rFonts w:ascii="宋体" w:hAnsi="宋体" w:cs="宋体"/>
          <w:noProof/>
          <w:color w:val="000000"/>
          <w:szCs w:val="21"/>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34125" name="图片 1"/>
                    <pic:cNvPicPr>
                      <a:picLocks noChangeAspect="1"/>
                    </pic:cNvPicPr>
                  </pic:nvPicPr>
                  <pic:blipFill>
                    <a:blip xmlns:r="http://schemas.openxmlformats.org/officeDocument/2006/relationships" r:embed="rId7"/>
                    <a:stretch>
                      <a:fillRect/>
                    </a:stretch>
                  </pic:blipFill>
                  <pic:spPr>
                    <a:xfrm>
                      <a:off x="0" y="0"/>
                      <a:ext cx="191142" cy="146542"/>
                    </a:xfrm>
                    <a:prstGeom prst="rect">
                      <a:avLst/>
                    </a:prstGeom>
                  </pic:spPr>
                </pic:pic>
              </a:graphicData>
            </a:graphic>
          </wp:inline>
        </w:drawing>
      </w:r>
      <w:r>
        <w:rPr>
          <w:rFonts w:ascii="宋体" w:hAnsi="宋体" w:cs="宋体"/>
          <w:color w:val="000000"/>
          <w:szCs w:val="21"/>
          <w:highlight w:val="white"/>
        </w:rPr>
        <w:t>为该笔基金份额持有期间拟扣除的超额管理费。</w:t>
      </w:r>
    </w:p>
    <w:p w:rsidR="0094673A">
      <w:pPr>
        <w:spacing w:line="360" w:lineRule="auto"/>
        <w:ind w:firstLine="420" w:firstLineChars="200"/>
        <w:rPr>
          <w:rFonts w:ascii="宋体" w:hAnsi="宋体" w:cs="宋体"/>
          <w:color w:val="000000"/>
          <w:szCs w:val="21"/>
        </w:rPr>
      </w:pPr>
      <w:r>
        <w:rPr>
          <w:rFonts w:ascii="宋体" w:hAnsi="宋体" w:cs="宋体"/>
          <w:color w:val="000000"/>
          <w:szCs w:val="21"/>
          <w:highlight w:val="white"/>
        </w:rPr>
        <w:t>对于已经确认为管理人收入的或有管理费和超额管理费，由基金托管人根据与基金管理人核对一致的财务数据，按照与基金管理人协商一致的方式于次月初五个工作日内支付。若遇法定节假日、公休日等，支付日期顺延。</w:t>
      </w:r>
    </w:p>
    <w:p w:rsidR="0094673A">
      <w:pPr>
        <w:spacing w:line="360" w:lineRule="auto"/>
        <w:ind w:firstLine="420" w:firstLineChars="200"/>
        <w:rPr>
          <w:szCs w:val="21"/>
        </w:rPr>
      </w:pPr>
      <w:r>
        <w:rPr>
          <w:rFonts w:ascii="宋体" w:hAnsi="宋体" w:cs="宋体"/>
          <w:color w:val="000000"/>
          <w:szCs w:val="21"/>
          <w:highlight w:val="white"/>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94673A">
      <w:pPr>
        <w:spacing w:line="360" w:lineRule="auto"/>
        <w:ind w:firstLine="420" w:firstLineChars="200"/>
        <w:rPr>
          <w:szCs w:val="21"/>
        </w:rPr>
      </w:pPr>
      <w:r>
        <w:rPr>
          <w:rFonts w:ascii="宋体" w:hAnsi="宋体" w:cs="宋体"/>
          <w:color w:val="000000"/>
          <w:szCs w:val="21"/>
          <w:highlight w:val="white"/>
        </w:rPr>
        <w:t>确认为管理人收入的或有管理费和超额管理费金额、返还投资者的或有管理费金额以登记机构的计算结果为准，托管人不承担复核责任。</w:t>
      </w:r>
    </w:p>
    <w:p w:rsidR="0094673A">
      <w:pPr>
        <w:spacing w:before="100" w:beforeAutospacing="1" w:after="100" w:afterAutospacing="1" w:line="400" w:lineRule="exact"/>
        <w:ind w:right="26" w:firstLine="403"/>
        <w:rPr>
          <w:rFonts w:ascii="宋体" w:hAnsi="宋体"/>
          <w:szCs w:val="21"/>
        </w:rPr>
      </w:pPr>
      <w:r>
        <w:rPr>
          <w:rFonts w:ascii="宋体" w:hAnsi="宋体" w:cs="宋体"/>
          <w:color w:val="000000"/>
          <w:szCs w:val="21"/>
          <w:highlight w:val="white"/>
        </w:rPr>
        <w:t>本基金实施侧袋机制的，上述有关约定仅适用于主袋账户。</w:t>
      </w:r>
    </w:p>
    <w:p w:rsidR="0094673A">
      <w:pPr>
        <w:spacing w:before="100" w:beforeAutospacing="1" w:after="100" w:afterAutospacing="1" w:line="400" w:lineRule="exact"/>
        <w:ind w:firstLine="538"/>
        <w:rPr>
          <w:rFonts w:ascii="宋体" w:hAnsi="宋体"/>
          <w:szCs w:val="21"/>
        </w:rPr>
      </w:pPr>
      <w:r>
        <w:rPr>
          <w:rFonts w:ascii="宋体" w:hAnsi="宋体" w:hint="eastAsia"/>
          <w:szCs w:val="21"/>
          <w:highlight w:val="white"/>
        </w:rPr>
        <w:t>（二）基金托管人的托管费</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本基金的托管费按前一日基金资产净值的0.20%年费率计提。托管费的计算方法如下：</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H＝E×0.20%÷当年天数</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H为每日应计提的基金托管费</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E为前一日的基金资产净值</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（三）销售服务费</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本基金A类基金份额不收取销售服务费，C类基金份额的销售服务费年费率为0.</w:t>
      </w:r>
      <w:r>
        <w:rPr>
          <w:rFonts w:ascii="宋体" w:hAnsi="宋体"/>
          <w:szCs w:val="21"/>
          <w:highlight w:val="white"/>
        </w:rPr>
        <w:t>4</w:t>
      </w:r>
      <w:r>
        <w:rPr>
          <w:rFonts w:ascii="宋体" w:hAnsi="宋体" w:hint="eastAsia"/>
          <w:szCs w:val="21"/>
          <w:highlight w:val="white"/>
        </w:rPr>
        <w:t>0</w:t>
      </w:r>
      <w:r>
        <w:rPr>
          <w:rFonts w:ascii="宋体" w:hAnsi="宋体" w:hint="eastAsia"/>
          <w:szCs w:val="21"/>
          <w:highlight w:val="white"/>
        </w:rPr>
        <w:t>%，按C类基金份额前一日基金资产净值的0.</w:t>
      </w:r>
      <w:r>
        <w:rPr>
          <w:rFonts w:ascii="宋体" w:hAnsi="宋体"/>
          <w:szCs w:val="21"/>
          <w:highlight w:val="white"/>
        </w:rPr>
        <w:t>4</w:t>
      </w:r>
      <w:r>
        <w:rPr>
          <w:rFonts w:ascii="宋体" w:hAnsi="宋体" w:hint="eastAsia"/>
          <w:szCs w:val="21"/>
          <w:highlight w:val="white"/>
        </w:rPr>
        <w:t>0</w:t>
      </w:r>
      <w:r>
        <w:rPr>
          <w:rFonts w:ascii="宋体" w:hAnsi="宋体" w:hint="eastAsia"/>
          <w:szCs w:val="21"/>
          <w:highlight w:val="white"/>
        </w:rPr>
        <w:t>%年费率计提。</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销售服务费的计算方法如下：</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H＝E×0.</w:t>
      </w:r>
      <w:r>
        <w:rPr>
          <w:rFonts w:ascii="宋体" w:hAnsi="宋体"/>
          <w:szCs w:val="21"/>
          <w:highlight w:val="white"/>
        </w:rPr>
        <w:t>4</w:t>
      </w:r>
      <w:r>
        <w:rPr>
          <w:rFonts w:ascii="宋体" w:hAnsi="宋体" w:hint="eastAsia"/>
          <w:szCs w:val="21"/>
          <w:highlight w:val="white"/>
        </w:rPr>
        <w:t>0</w:t>
      </w:r>
      <w:r>
        <w:rPr>
          <w:rFonts w:ascii="宋体" w:hAnsi="宋体" w:hint="eastAsia"/>
          <w:szCs w:val="21"/>
          <w:highlight w:val="white"/>
        </w:rPr>
        <w:t>%÷当年天数</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H 为C类基金份额每日应计提的销售服务费</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highlight w:val="white"/>
        </w:rPr>
        <w:t>E 为C类基金份额前一日的基金资产净值</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销售服务费每日计提。</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（1）通过基金管理人或其基金销售子公司投资的C类基金份额</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对于基金份额计提的销售服务费，在投资者赎回基金份额或基金合同终止时，随赎回款（或清算款）一并返还给投资者。</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（2）通过其他销售机构投资的C类基金份额</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对于投资者持续持有期限不足一年（即365天，下同）的基金份额计提的销售服务费，逐日累计至每月月末，按月支付，由基金托管人于次月首日起5个工作日内按照与基金管理人协商一致的方式从基金财产中一次性支付。若遇法定节假日、公休日等，支付日期顺延。</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对于持续持有期限达到或超过一年的基金份额继续计提的销售服务费，在投资者赎回基金份额或基金合同终止时，随赎回款（或清算款）一并返还给投资者。</w:t>
      </w:r>
    </w:p>
    <w:p w:rsidR="0094673A">
      <w:pPr>
        <w:spacing w:before="100" w:beforeAutospacing="1" w:after="100" w:afterAutospacing="1" w:line="400" w:lineRule="exact"/>
        <w:ind w:right="26" w:firstLine="403"/>
        <w:rPr>
          <w:rFonts w:ascii="宋体" w:hAnsi="宋体"/>
          <w:szCs w:val="21"/>
        </w:rPr>
      </w:pPr>
      <w:r>
        <w:rPr>
          <w:rFonts w:ascii="宋体" w:hAnsi="宋体" w:hint="eastAsia"/>
          <w:szCs w:val="21"/>
        </w:rPr>
        <w:t>销售服务费计提后按规定收取或返还投资者的金额以登记机构的计算结果为准</w:t>
      </w:r>
      <w:r>
        <w:rPr>
          <w:rFonts w:ascii="宋体" w:hAnsi="宋体" w:hint="eastAsia"/>
          <w:szCs w:val="21"/>
        </w:rPr>
        <w:t>，托管人无需复核</w:t>
      </w:r>
      <w:r>
        <w:rPr>
          <w:rFonts w:ascii="宋体" w:hAnsi="宋体" w:hint="eastAsia"/>
          <w:szCs w:val="21"/>
        </w:rPr>
        <w:t>。</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（四）从基金财产中列支基金管理人的管理费、基金托管人的托管费、销售服务费之外的其他基金费用，应当依据有关法律法规、《基金合同》的规定执行。</w:t>
      </w:r>
    </w:p>
    <w:p w:rsidR="0094673A">
      <w:pPr>
        <w:pStyle w:val="BodyTextIndent"/>
        <w:spacing w:before="100" w:beforeAutospacing="1" w:after="100" w:afterAutospacing="1"/>
        <w:ind w:firstLine="403"/>
        <w:rPr>
          <w:rFonts w:ascii="宋体" w:eastAsia="宋体"/>
          <w:sz w:val="21"/>
          <w:szCs w:val="21"/>
        </w:rPr>
      </w:pPr>
      <w:r>
        <w:rPr>
          <w:rFonts w:ascii="宋体" w:eastAsia="宋体" w:hint="eastAsia"/>
          <w:color w:val="auto"/>
          <w:sz w:val="21"/>
          <w:szCs w:val="21"/>
          <w:highlight w:val="white"/>
        </w:rPr>
        <w:t>本基金实施侧袋机制的，与侧袋账户有关的费用可以从侧袋账户中列支，但应待侧袋账户资产变现后方可列支，有关费用可酌情收取或减免，但不得收取管理费（包括固定管理费、或有管理费和超额管理费）。</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（五）对于</w:t>
      </w:r>
      <w:r>
        <w:rPr>
          <w:rFonts w:ascii="宋体" w:eastAsia="宋体" w:cs="方正仿宋简体" w:hint="eastAsia"/>
          <w:sz w:val="21"/>
          <w:szCs w:val="21"/>
          <w:highlight w:val="white"/>
        </w:rPr>
        <w:t>违反法律法规、</w:t>
      </w:r>
      <w:r>
        <w:rPr>
          <w:rFonts w:ascii="宋体" w:eastAsia="宋体" w:hint="eastAsia"/>
          <w:color w:val="auto"/>
          <w:sz w:val="21"/>
          <w:szCs w:val="21"/>
          <w:highlight w:val="white"/>
        </w:rPr>
        <w:t>《基金合同》</w:t>
      </w:r>
      <w:r>
        <w:rPr>
          <w:rFonts w:ascii="宋体" w:eastAsia="宋体" w:cs="方正仿宋简体" w:hint="eastAsia"/>
          <w:sz w:val="21"/>
          <w:szCs w:val="21"/>
          <w:highlight w:val="white"/>
        </w:rPr>
        <w:t>、本协议及其他有关规定</w:t>
      </w:r>
      <w:r>
        <w:rPr>
          <w:rFonts w:ascii="宋体" w:eastAsia="宋体" w:hint="eastAsia"/>
          <w:color w:val="auto"/>
          <w:sz w:val="21"/>
          <w:szCs w:val="21"/>
          <w:highlight w:val="white"/>
        </w:rPr>
        <w:t>（包括基金费用的计提方法、计提标准、支付方式等）的基金费用，不得从任何基金财产中列支。</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（六）本基金支付给基金管理人、基金托管人的各项费用均为含税价格，具体税率适用中国税务机关的相关规定。</w:t>
      </w:r>
      <w:bookmarkEnd w:id="12"/>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highlight w:val="lightGray"/>
        </w:rPr>
      </w:pPr>
      <w:bookmarkStart w:id="14" w:name="_Toc116900107"/>
      <w:r>
        <w:rPr>
          <w:rFonts w:ascii="宋体" w:hAnsi="宋体" w:hint="eastAsia"/>
          <w:sz w:val="21"/>
          <w:szCs w:val="21"/>
          <w:highlight w:val="white"/>
        </w:rPr>
        <w:t>十二、基金份额持有人名册的保管</w:t>
      </w:r>
    </w:p>
    <w:p w:rsidR="0094673A">
      <w:pPr>
        <w:spacing w:before="100" w:beforeAutospacing="1" w:after="100" w:afterAutospacing="1" w:line="400" w:lineRule="exact"/>
        <w:ind w:firstLine="420"/>
        <w:rPr>
          <w:rFonts w:ascii="宋体" w:hAnsi="宋体"/>
          <w:color w:val="000000"/>
          <w:szCs w:val="21"/>
        </w:rPr>
      </w:pPr>
      <w:r>
        <w:rPr>
          <w:rFonts w:ascii="宋体" w:hAnsi="宋体" w:hint="eastAsia"/>
          <w:szCs w:val="21"/>
          <w:highlight w:val="white"/>
        </w:rPr>
        <w:t>基金份额持有人名册至少应包括基金份额持有人的名称和持有的基金份额。基金份额持有人名册由基金登记机构根据基金管理人的指令编制和保管，基金管理人和基金托管人</w:t>
      </w:r>
      <w:r>
        <w:rPr>
          <w:rFonts w:ascii="宋体" w:hAnsi="宋体" w:hint="eastAsia"/>
          <w:color w:val="000000"/>
          <w:szCs w:val="21"/>
          <w:highlight w:val="white"/>
        </w:rPr>
        <w:t>应分别保管基金份额持有人名册，基金登记机构保存期不少于20年，法律法规另有规定或有权机关另有要求的除外。如不能妥善保管，则按相关法规承担责任。</w:t>
      </w:r>
    </w:p>
    <w:p w:rsidR="0094673A">
      <w:pPr>
        <w:spacing w:before="100" w:beforeAutospacing="1" w:after="100" w:afterAutospacing="1" w:line="400" w:lineRule="exact"/>
        <w:ind w:firstLine="420"/>
        <w:rPr>
          <w:rFonts w:ascii="宋体" w:hAnsi="宋体"/>
          <w:color w:val="FF0000"/>
          <w:szCs w:val="21"/>
          <w:highlight w:val="lightGray"/>
        </w:rPr>
      </w:pPr>
      <w:r>
        <w:rPr>
          <w:rFonts w:ascii="宋体" w:hAnsi="宋体" w:hint="eastAsia"/>
          <w:color w:val="000000"/>
          <w:szCs w:val="21"/>
          <w:highlight w:val="white"/>
        </w:rPr>
        <w:t>在基金托管人要求或编制</w:t>
      </w:r>
      <w:r>
        <w:rPr>
          <w:rFonts w:ascii="宋体" w:hAnsi="宋体" w:hint="eastAsia"/>
          <w:szCs w:val="21"/>
          <w:highlight w:val="white"/>
        </w:rPr>
        <w:t>中期报告</w:t>
      </w:r>
      <w:r>
        <w:rPr>
          <w:rFonts w:ascii="宋体" w:hAnsi="宋体"/>
          <w:szCs w:val="21"/>
          <w:highlight w:val="white"/>
        </w:rPr>
        <w:t>和</w:t>
      </w:r>
      <w:r>
        <w:rPr>
          <w:rFonts w:ascii="宋体" w:hAnsi="宋体" w:hint="eastAsia"/>
          <w:szCs w:val="21"/>
          <w:highlight w:val="white"/>
        </w:rPr>
        <w:t>年度报告</w:t>
      </w:r>
      <w:r>
        <w:rPr>
          <w:rFonts w:ascii="宋体" w:hAnsi="宋体" w:hint="eastAsia"/>
          <w:color w:val="000000"/>
          <w:szCs w:val="21"/>
          <w:highlight w:val="white"/>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94673A">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十三、基金有关文件档案的保存</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w:t>
      </w:r>
      <w:r>
        <w:rPr>
          <w:rFonts w:ascii="宋体" w:eastAsia="宋体" w:cs="方正仿宋简体" w:hint="eastAsia"/>
          <w:sz w:val="21"/>
          <w:szCs w:val="21"/>
          <w:highlight w:val="white"/>
        </w:rPr>
        <w:t>基金管理人应保存基金财产管理业务活动的记录、账册、报表和其他相关资料，基金托管人应保存基金托管业务活动的记录、账册、报表和其他相关资料，保存期限为20年。</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（二）基金管理人和基金托管人应按本协议第十条的约定对各自保存的文件和档案履行保密义务。</w:t>
      </w:r>
    </w:p>
    <w:p w:rsidR="0094673A">
      <w:pPr>
        <w:spacing w:before="100" w:beforeAutospacing="1" w:after="100" w:afterAutospacing="1" w:line="400" w:lineRule="exact"/>
        <w:rPr>
          <w:rFonts w:ascii="宋体" w:hAnsi="宋体"/>
          <w:szCs w:val="21"/>
        </w:rPr>
      </w:pPr>
    </w:p>
    <w:p w:rsidR="0094673A">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十四、</w:t>
      </w:r>
      <w:bookmarkStart w:id="15" w:name="_Toc116900108"/>
      <w:bookmarkEnd w:id="14"/>
      <w:r>
        <w:rPr>
          <w:rFonts w:ascii="宋体" w:hAnsi="宋体" w:hint="eastAsia"/>
          <w:sz w:val="21"/>
          <w:szCs w:val="21"/>
          <w:highlight w:val="white"/>
        </w:rPr>
        <w:t>基金托管人和基金管理人的更换</w:t>
      </w:r>
      <w:bookmarkEnd w:id="15"/>
      <w:r>
        <w:rPr>
          <w:rFonts w:ascii="宋体" w:hAnsi="宋体" w:hint="eastAsia"/>
          <w:sz w:val="21"/>
          <w:szCs w:val="21"/>
          <w:highlight w:val="white"/>
        </w:rPr>
        <w:t xml:space="preserve"> </w:t>
      </w:r>
    </w:p>
    <w:p w:rsidR="0094673A">
      <w:pPr>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szCs w:val="21"/>
          <w:highlight w:val="white"/>
        </w:rPr>
        <w:t>基金管理人职责终止</w:t>
      </w:r>
      <w:r>
        <w:rPr>
          <w:rFonts w:ascii="宋体" w:hAnsi="宋体" w:hint="eastAsia"/>
          <w:szCs w:val="21"/>
          <w:highlight w:val="white"/>
        </w:rPr>
        <w:t>后</w:t>
      </w:r>
      <w:r>
        <w:rPr>
          <w:rFonts w:ascii="宋体" w:hAnsi="宋体"/>
          <w:szCs w:val="21"/>
          <w:highlight w:val="white"/>
        </w:rPr>
        <w:t>，</w:t>
      </w:r>
      <w:r>
        <w:rPr>
          <w:rFonts w:ascii="宋体" w:hAnsi="宋体" w:hint="eastAsia"/>
          <w:szCs w:val="21"/>
          <w:highlight w:val="white"/>
        </w:rPr>
        <w:t>仍</w:t>
      </w:r>
      <w:r>
        <w:rPr>
          <w:rFonts w:ascii="宋体" w:hAnsi="宋体"/>
          <w:szCs w:val="21"/>
          <w:highlight w:val="white"/>
        </w:rPr>
        <w:t>应妥善保管基金管理业务资料，</w:t>
      </w:r>
      <w:r>
        <w:rPr>
          <w:rFonts w:ascii="宋体" w:hAnsi="宋体" w:hint="eastAsia"/>
          <w:szCs w:val="21"/>
          <w:highlight w:val="white"/>
        </w:rPr>
        <w:t>并与新任基金管理人或临时基金管理人</w:t>
      </w:r>
      <w:r>
        <w:rPr>
          <w:rFonts w:ascii="宋体" w:hAnsi="宋体"/>
          <w:szCs w:val="21"/>
          <w:highlight w:val="white"/>
        </w:rPr>
        <w:t>及时办理基金管理业务的移交手续。</w:t>
      </w:r>
      <w:r>
        <w:rPr>
          <w:rFonts w:ascii="宋体" w:hAnsi="宋体" w:hint="eastAsia"/>
          <w:szCs w:val="21"/>
          <w:highlight w:val="white"/>
        </w:rPr>
        <w:t>基金托管人应给予积极配合，并与新任基金管理人核对基金资产总值和净值。</w:t>
      </w:r>
    </w:p>
    <w:p w:rsidR="0094673A">
      <w:pPr>
        <w:spacing w:before="100" w:beforeAutospacing="1" w:after="100" w:afterAutospacing="1" w:line="400" w:lineRule="exact"/>
        <w:ind w:firstLine="420"/>
        <w:rPr>
          <w:rFonts w:ascii="宋体" w:hAnsi="宋体"/>
          <w:szCs w:val="21"/>
        </w:rPr>
      </w:pPr>
      <w:r>
        <w:rPr>
          <w:rFonts w:ascii="宋体" w:hAnsi="宋体" w:hint="eastAsia"/>
          <w:szCs w:val="21"/>
          <w:highlight w:val="white"/>
        </w:rPr>
        <w:t>（二）</w:t>
      </w:r>
      <w:r>
        <w:rPr>
          <w:rFonts w:ascii="宋体" w:hAnsi="宋体"/>
          <w:szCs w:val="21"/>
          <w:highlight w:val="white"/>
        </w:rPr>
        <w:t>基金托管人职责终止</w:t>
      </w:r>
      <w:r>
        <w:rPr>
          <w:rFonts w:ascii="宋体" w:hAnsi="宋体" w:hint="eastAsia"/>
          <w:szCs w:val="21"/>
          <w:highlight w:val="white"/>
        </w:rPr>
        <w:t>后</w:t>
      </w:r>
      <w:r>
        <w:rPr>
          <w:rFonts w:ascii="宋体" w:hAnsi="宋体"/>
          <w:szCs w:val="21"/>
          <w:highlight w:val="white"/>
        </w:rPr>
        <w:t>，</w:t>
      </w:r>
      <w:r>
        <w:rPr>
          <w:rFonts w:ascii="宋体" w:hAnsi="宋体" w:hint="eastAsia"/>
          <w:szCs w:val="21"/>
          <w:highlight w:val="white"/>
        </w:rPr>
        <w:t>仍</w:t>
      </w:r>
      <w:r>
        <w:rPr>
          <w:rFonts w:ascii="宋体" w:hAnsi="宋体"/>
          <w:szCs w:val="21"/>
          <w:highlight w:val="white"/>
        </w:rPr>
        <w:t>应妥善保管基金财产和基金托管业务资料，</w:t>
      </w:r>
      <w:r>
        <w:rPr>
          <w:rFonts w:ascii="宋体" w:hAnsi="宋体" w:hint="eastAsia"/>
          <w:szCs w:val="21"/>
          <w:highlight w:val="white"/>
        </w:rPr>
        <w:t>并与新任基金托管人或临时基金托管人</w:t>
      </w:r>
      <w:r>
        <w:rPr>
          <w:rFonts w:ascii="宋体" w:hAnsi="宋体"/>
          <w:szCs w:val="21"/>
          <w:highlight w:val="white"/>
        </w:rPr>
        <w:t>及时办理基金财产和基金托管业务的移交手续。</w:t>
      </w:r>
      <w:r>
        <w:rPr>
          <w:rFonts w:ascii="宋体" w:hAnsi="宋体" w:hint="eastAsia"/>
          <w:szCs w:val="21"/>
          <w:highlight w:val="white"/>
        </w:rPr>
        <w:t>基金管理人应给予积极配合，并与新任基金托管人核对基金资产总值和净值。</w:t>
      </w:r>
    </w:p>
    <w:p w:rsidR="0094673A">
      <w:pPr>
        <w:spacing w:before="100" w:beforeAutospacing="1" w:after="100" w:afterAutospacing="1" w:line="400" w:lineRule="exact"/>
        <w:ind w:firstLine="420"/>
        <w:rPr>
          <w:rFonts w:ascii="宋体" w:hAnsi="宋体"/>
          <w:szCs w:val="21"/>
        </w:rPr>
      </w:pPr>
      <w:r>
        <w:rPr>
          <w:rFonts w:ascii="宋体" w:hAnsi="宋体" w:hint="eastAsia"/>
          <w:szCs w:val="21"/>
          <w:highlight w:val="white"/>
        </w:rPr>
        <w:t>（三）其他事宜见《基金合同》的相关约定。</w:t>
      </w:r>
    </w:p>
    <w:p w:rsidR="0094673A">
      <w:pPr>
        <w:spacing w:before="100" w:beforeAutospacing="1" w:after="100" w:afterAutospacing="1" w:line="400" w:lineRule="exact"/>
        <w:ind w:firstLine="540"/>
        <w:rPr>
          <w:rFonts w:ascii="宋体" w:hAnsi="宋体"/>
          <w:szCs w:val="21"/>
        </w:rPr>
      </w:pPr>
    </w:p>
    <w:p w:rsidR="0094673A">
      <w:pPr>
        <w:pStyle w:val="11"/>
        <w:spacing w:before="100" w:beforeAutospacing="1" w:after="100" w:afterAutospacing="1" w:line="400" w:lineRule="exact"/>
        <w:ind w:firstLine="422"/>
        <w:rPr>
          <w:rFonts w:ascii="宋体" w:hAnsi="宋体"/>
          <w:sz w:val="21"/>
          <w:szCs w:val="21"/>
        </w:rPr>
      </w:pPr>
      <w:bookmarkStart w:id="16" w:name="_Toc116900110"/>
      <w:r>
        <w:rPr>
          <w:rFonts w:ascii="宋体" w:hAnsi="宋体" w:hint="eastAsia"/>
          <w:sz w:val="21"/>
          <w:szCs w:val="21"/>
          <w:highlight w:val="white"/>
        </w:rPr>
        <w:t>十五、禁止行为</w:t>
      </w:r>
      <w:bookmarkEnd w:id="16"/>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cs="方正仿宋简体" w:hint="eastAsia"/>
          <w:szCs w:val="21"/>
          <w:highlight w:val="white"/>
        </w:rPr>
        <w:t>《基金法》第二十条、第三十八条禁止的行为。</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（二）《基金法》第七十三条禁止的投资或活动。</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（三）除根据基金管理人的指令或《基金合同》、本协议另有规定外，基金托管人不得动用或处分基金财产。</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（四）基金管理人、基金托管人的高级管理人员和其他从业人员不得相互兼职。</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（五）法律法规、《基金合同》和本协议禁止的其他行为。</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法律法规或监管部门调整上述限制的，本基金从其规定。</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17" w:name="_Toc116900111"/>
      <w:r>
        <w:rPr>
          <w:rFonts w:ascii="宋体" w:hAnsi="宋体" w:hint="eastAsia"/>
          <w:sz w:val="21"/>
          <w:szCs w:val="21"/>
          <w:highlight w:val="white"/>
        </w:rPr>
        <w:t>十六、托管协议的变更、终止与基金财产的清算</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（一）托管协议的变更</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本协议双方当事人经协商一致，可以对协议进行变更。变更后的新协议，其内容不得与《基金合同》的规定有任何冲突。</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（二）托管协议的终止</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发生以下情况，本托管协议应当终止：</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1、《基金合同》终止；</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2、本基金更换基金托管人；</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3、本基金更换基金管理人；</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4、发生《基金法》、《运作办法》或其他法律法规规定的终止事项。</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（三）基金财产的清算</w:t>
      </w:r>
    </w:p>
    <w:p w:rsidR="0094673A">
      <w:pPr>
        <w:spacing w:before="100" w:beforeAutospacing="1" w:after="100" w:afterAutospacing="1" w:line="400" w:lineRule="exact"/>
        <w:ind w:firstLine="420"/>
        <w:rPr>
          <w:rFonts w:ascii="宋体" w:hAnsi="宋体"/>
          <w:color w:val="000000"/>
          <w:szCs w:val="21"/>
        </w:rPr>
      </w:pPr>
      <w:r>
        <w:rPr>
          <w:rFonts w:ascii="宋体" w:hAnsi="宋体" w:hint="eastAsia"/>
          <w:color w:val="000000"/>
          <w:szCs w:val="21"/>
          <w:highlight w:val="white"/>
        </w:rPr>
        <w:t>基金管理人和基金托管人应按照《基金合同》及有关法律法规的规定对本基金的财产进行清算。</w:t>
      </w:r>
    </w:p>
    <w:p w:rsidR="0094673A">
      <w:pPr>
        <w:spacing w:before="100" w:beforeAutospacing="1" w:after="100" w:afterAutospacing="1" w:line="400" w:lineRule="exact"/>
        <w:ind w:firstLine="449"/>
        <w:rPr>
          <w:rFonts w:ascii="宋体" w:hAnsi="宋体"/>
          <w:szCs w:val="21"/>
        </w:rPr>
      </w:pPr>
    </w:p>
    <w:p w:rsidR="0094673A">
      <w:pPr>
        <w:pStyle w:val="11"/>
        <w:spacing w:before="100" w:beforeAutospacing="1" w:after="100" w:afterAutospacing="1" w:line="400" w:lineRule="exact"/>
        <w:ind w:firstLine="422"/>
        <w:rPr>
          <w:rFonts w:ascii="宋体" w:hAnsi="宋体"/>
          <w:sz w:val="21"/>
          <w:szCs w:val="21"/>
        </w:rPr>
      </w:pPr>
      <w:r>
        <w:rPr>
          <w:rFonts w:ascii="宋体" w:hAnsi="宋体" w:hint="eastAsia"/>
          <w:sz w:val="21"/>
          <w:szCs w:val="21"/>
          <w:highlight w:val="white"/>
        </w:rPr>
        <w:t>十七、违约责任和责任划分</w:t>
      </w:r>
      <w:bookmarkEnd w:id="17"/>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（一）</w:t>
      </w:r>
      <w:r>
        <w:rPr>
          <w:rFonts w:ascii="宋体" w:hAnsi="宋体" w:cs="方正仿宋简体" w:hint="eastAsia"/>
          <w:szCs w:val="21"/>
          <w:highlight w:val="white"/>
        </w:rPr>
        <w:t>本协议当事人不履行本协议或履行本协议不符合约定的，应当承担违约责任。</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（二）因本协议当事人违约给基金财产或者基金份额持有人造成损害的，应当分别对各自的行为依法承担赔偿责任，因共同行为给基金财产或者基金份额持有人造成损害的，应当承担连带赔偿责任。</w:t>
      </w:r>
      <w:r>
        <w:rPr>
          <w:rFonts w:ascii="宋体" w:hAnsi="宋体" w:cs="方正仿宋简体"/>
          <w:szCs w:val="21"/>
          <w:highlight w:val="white"/>
        </w:rPr>
        <w:t>对损失的赔偿，仅限于直接损失。</w:t>
      </w:r>
      <w:r>
        <w:rPr>
          <w:rFonts w:ascii="宋体" w:hAnsi="宋体" w:cs="方正仿宋简体" w:hint="eastAsia"/>
          <w:szCs w:val="21"/>
          <w:highlight w:val="white"/>
        </w:rPr>
        <w:t>但是发生下列情况，当事人免责：</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1、不可抗力；</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2、基金管理人和/或基金托管人按照当时有效的法律法规或中国证监会的规定作为或不作为而造成的损失等；</w:t>
      </w:r>
    </w:p>
    <w:p w:rsidR="0094673A">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highlight w:val="white"/>
        </w:rPr>
        <w:t>3、基金管理人由于按照基金合同规定的投资原则投资或不投资造成的损失等</w:t>
      </w:r>
      <w:r>
        <w:rPr>
          <w:rFonts w:ascii="宋体" w:hAnsi="宋体" w:cs="方正仿宋简体" w:hint="eastAsia"/>
          <w:szCs w:val="21"/>
          <w:highlight w:val="white"/>
        </w:rPr>
        <w:t>；</w:t>
      </w:r>
    </w:p>
    <w:p w:rsidR="0094673A">
      <w:pPr>
        <w:spacing w:line="360" w:lineRule="auto"/>
        <w:ind w:firstLine="420"/>
        <w:rPr>
          <w:rFonts w:ascii="宋体" w:hAnsi="宋体"/>
          <w:szCs w:val="21"/>
        </w:rPr>
      </w:pPr>
      <w:r>
        <w:rPr>
          <w:rFonts w:ascii="宋体" w:hAnsi="宋体"/>
          <w:szCs w:val="21"/>
          <w:highlight w:val="white"/>
        </w:rPr>
        <w:t>4、基金托管人对存放或存管在基金托管人以外机构的基金资产，或交由证券公司等其他机构负责清算交收的基金资产及其收益不承担任何责任；</w:t>
      </w:r>
    </w:p>
    <w:p w:rsidR="0094673A">
      <w:pPr>
        <w:spacing w:before="0" w:beforeAutospacing="0" w:after="0" w:afterAutospacing="0" w:line="360" w:lineRule="auto"/>
        <w:ind w:firstLine="420"/>
        <w:rPr>
          <w:rFonts w:ascii="宋体" w:hAnsi="宋体" w:cs="方正仿宋简体"/>
          <w:szCs w:val="21"/>
        </w:rPr>
      </w:pPr>
      <w:r>
        <w:rPr>
          <w:rFonts w:ascii="宋体" w:hAnsi="宋体"/>
          <w:szCs w:val="21"/>
          <w:highlight w:val="white"/>
        </w:rPr>
        <w:t>5、计算机系统故障、网络故障、通讯故障、电力故障、计算机病毒攻击及其它非基金管理人、基金托管人过错造成的意外事故。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（三）一方当事人违反本协议，给另一方当事人造成损失的，应承担赔偿责任。</w:t>
      </w:r>
    </w:p>
    <w:p w:rsidR="0094673A">
      <w:pPr>
        <w:snapToGrid w:val="0"/>
        <w:spacing w:before="100" w:beforeAutospacing="1" w:after="100" w:afterAutospacing="1" w:line="400" w:lineRule="exact"/>
        <w:ind w:firstLine="420"/>
        <w:rPr>
          <w:rFonts w:ascii="宋体" w:hAnsi="宋体"/>
          <w:szCs w:val="21"/>
        </w:rPr>
      </w:pPr>
      <w:r>
        <w:rPr>
          <w:rFonts w:ascii="宋体" w:hAnsi="宋体" w:hint="eastAsia"/>
          <w:szCs w:val="21"/>
          <w:highlight w:val="white"/>
        </w:rPr>
        <w:t>（四）因不可抗力不能履行本协议的，根据不可抗力的影响，违约方部分或全部免除责任，但法律另有规定的除外。当事人迟延履行后发生不可抗力的，不能免除责任。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（五）当事人一方违约，另一方在职责范围内有义务及时采取必要的措施，尽力防止损失的扩大。</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（六）违约行为虽已发生，但本协议能够继续履行的，在最大限度地保护基金份额持有人利益的前提下，基金管理人和基金托管人应当继续履行本协议。</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（七）为明确责任，在不影响本协议本条其他规定的普遍适用性的前提下，基金管理人和基金托管人对由于如下行为造成的损失的责任承担问题，明确如下：</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1、由于下达违法、违规的指令所导致的责任，由基金管理人承担；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 xml:space="preserve">2、指令下达人员在授权通知载明的权限范围内下达的指令所导致的责任，由基金管理人承担，即使该人员下达指令并没有获得基金管理人的实际授权（例如基金管理人在撤销或变更授权权限后未能及时通知基金托管人）； </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3、基金托管人未对指令上签名和印鉴与预留签字样本和预留印鉴进行表面一致性审核，导致基金托管人执行了应当无效的指令，基金管理人与基金托管人应根据各自过错程度承担责任；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4、属于基金托管人实际有效控制下的基金财产（包括实物证券）在基金托管人保管期间的损坏、灭失，由此产生的责任应由该基金托管人承担；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5、基金管理人应承担对其应收取的管理费数额计算错误的责任。如果基金托管人复核后同意基金管理人的计算结果，则基金托管人也应承担未正确履行复核义务的相应责任；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6、基金管理人应承担对基金托管人应收取的托管费数额计算错误的责任。如果基金托管人复核后同意基金管理人的计算结果，则基金托管人也应承担未正确履行复核义务的相应责任；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7、由于基金管理人或托管人原因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8、</w:t>
      </w:r>
      <w:r>
        <w:rPr>
          <w:rFonts w:ascii="宋体" w:eastAsia="宋体"/>
          <w:color w:val="auto"/>
          <w:sz w:val="21"/>
          <w:szCs w:val="21"/>
          <w:highlight w:val="white"/>
        </w:rPr>
        <w:t>在资金交收日，基金资金账户资金首先用于</w:t>
      </w:r>
      <w:r>
        <w:rPr>
          <w:rFonts w:ascii="宋体" w:eastAsia="宋体" w:hint="eastAsia"/>
          <w:color w:val="auto"/>
          <w:sz w:val="21"/>
          <w:szCs w:val="21"/>
          <w:highlight w:val="white"/>
        </w:rPr>
        <w:t>中国证券登记结算有限责任公司的担保交收业务的资金交收义务</w:t>
      </w:r>
      <w:r>
        <w:rPr>
          <w:rFonts w:ascii="宋体" w:eastAsia="宋体"/>
          <w:color w:val="auto"/>
          <w:sz w:val="21"/>
          <w:szCs w:val="21"/>
          <w:highlight w:val="white"/>
        </w:rPr>
        <w:t>，交收完成后资金余额方可用于新股申购。如果因此资金不足造成新股申购失败或者新股申购不足，基金托管人不承担任何责任。如基金份额持有人因此提出赔偿要求，相关法律责任和损失由基金管理人承担。</w:t>
      </w:r>
    </w:p>
    <w:p w:rsidR="0094673A">
      <w:pPr>
        <w:pStyle w:val="11"/>
        <w:spacing w:before="100" w:beforeAutospacing="1" w:after="100" w:afterAutospacing="1" w:line="400" w:lineRule="exact"/>
        <w:ind w:firstLine="422"/>
        <w:rPr>
          <w:rFonts w:ascii="宋体" w:hAnsi="宋体"/>
          <w:sz w:val="21"/>
          <w:szCs w:val="21"/>
        </w:rPr>
      </w:pPr>
      <w:bookmarkStart w:id="18" w:name="_Toc116900112"/>
      <w:r>
        <w:rPr>
          <w:rFonts w:ascii="宋体" w:hAnsi="宋体" w:hint="eastAsia"/>
          <w:sz w:val="21"/>
          <w:szCs w:val="21"/>
          <w:highlight w:val="white"/>
        </w:rPr>
        <w:t>十八、适用法律与争议解决</w:t>
      </w:r>
      <w:bookmarkEnd w:id="18"/>
      <w:r>
        <w:rPr>
          <w:rFonts w:ascii="宋体" w:hAnsi="宋体" w:hint="eastAsia"/>
          <w:sz w:val="21"/>
          <w:szCs w:val="21"/>
          <w:highlight w:val="white"/>
        </w:rPr>
        <w:t>方式</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（一）本协议适用中华人民共和国法律（为本协议之目的，不包括香港特别行政区、澳门特别行政区和台湾地区法律）并从其解释。</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highlight w:val="white"/>
        </w:rPr>
        <w:t>（三）除争议所涉的内容之外，本协议的当事人仍应履行本协议的其他规定。</w:t>
      </w:r>
    </w:p>
    <w:p w:rsidR="0094673A">
      <w:pPr>
        <w:pStyle w:val="BodyTextIndent"/>
        <w:spacing w:before="100" w:beforeAutospacing="1" w:after="100" w:afterAutospacing="1"/>
        <w:ind w:firstLine="403"/>
        <w:rPr>
          <w:rFonts w:ascii="宋体" w:eastAsia="宋体"/>
          <w:color w:val="auto"/>
          <w:sz w:val="21"/>
          <w:szCs w:val="21"/>
        </w:rPr>
      </w:pPr>
    </w:p>
    <w:p w:rsidR="0094673A">
      <w:pPr>
        <w:pStyle w:val="11"/>
        <w:spacing w:before="100" w:beforeAutospacing="1" w:after="100" w:afterAutospacing="1" w:line="400" w:lineRule="exact"/>
        <w:ind w:firstLine="422"/>
        <w:rPr>
          <w:rFonts w:ascii="宋体" w:hAnsi="宋体"/>
          <w:sz w:val="21"/>
          <w:szCs w:val="21"/>
        </w:rPr>
      </w:pPr>
      <w:bookmarkStart w:id="19" w:name="_Toc116900113"/>
      <w:r>
        <w:rPr>
          <w:rFonts w:ascii="宋体" w:hAnsi="宋体" w:hint="eastAsia"/>
          <w:sz w:val="21"/>
          <w:szCs w:val="21"/>
          <w:highlight w:val="white"/>
        </w:rPr>
        <w:t>十九、托管协议的效力</w:t>
      </w:r>
      <w:bookmarkEnd w:id="19"/>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一）基金管理人在向中国证监会申请发售基金份额时提交的基金托管协议草案，应经托管协议双方当事人的法定代表人或授权签字人签字或签章并加盖公章，协议当事人双方根据中国证监会的意见修改托管协议草案。托管协议以中国证监会注册的文本为正式文本。</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（二）本协议自</w:t>
      </w:r>
      <w:r>
        <w:rPr>
          <w:rFonts w:ascii="宋体" w:hAnsi="宋体" w:hint="eastAsia"/>
          <w:szCs w:val="21"/>
          <w:highlight w:val="white"/>
        </w:rPr>
        <w:t>双方签署</w:t>
      </w:r>
      <w:r>
        <w:rPr>
          <w:rFonts w:ascii="宋体" w:hAnsi="宋体" w:cs="方正仿宋简体" w:hint="eastAsia"/>
          <w:szCs w:val="21"/>
          <w:highlight w:val="white"/>
        </w:rPr>
        <w:t>之日起成立，自基金合同生效之日起生效。本协议的有效期自其生效之日起至基金财产清算结果报中国证监会备案并公告之日止。</w:t>
      </w:r>
    </w:p>
    <w:p w:rsidR="0094673A">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highlight w:val="white"/>
        </w:rPr>
        <w:t>（三）本协议自生效之日起对双方当事人具有同等的法律约束力。</w:t>
      </w:r>
    </w:p>
    <w:p w:rsidR="0094673A">
      <w:pPr>
        <w:pStyle w:val="BodyTextIndent"/>
        <w:spacing w:before="100" w:beforeAutospacing="1" w:after="100" w:afterAutospacing="1"/>
        <w:ind w:firstLine="403"/>
        <w:rPr>
          <w:rFonts w:ascii="宋体" w:eastAsia="宋体"/>
          <w:color w:val="auto"/>
          <w:sz w:val="21"/>
          <w:szCs w:val="21"/>
        </w:rPr>
      </w:pPr>
      <w:r>
        <w:rPr>
          <w:rFonts w:ascii="宋体" w:eastAsia="宋体" w:cs="方正仿宋简体" w:hint="eastAsia"/>
          <w:sz w:val="21"/>
          <w:szCs w:val="21"/>
          <w:highlight w:val="white"/>
        </w:rPr>
        <w:t>（四）</w:t>
      </w:r>
      <w:r>
        <w:rPr>
          <w:rFonts w:ascii="宋体" w:eastAsia="宋体" w:hint="eastAsia"/>
          <w:color w:val="auto"/>
          <w:sz w:val="21"/>
          <w:szCs w:val="21"/>
          <w:highlight w:val="white"/>
        </w:rPr>
        <w:t>本协议正本一式3份，除上报有关监管机构</w:t>
      </w:r>
      <w:r>
        <w:rPr>
          <w:rFonts w:ascii="宋体" w:eastAsia="宋体"/>
          <w:color w:val="auto"/>
          <w:sz w:val="21"/>
          <w:szCs w:val="21"/>
          <w:highlight w:val="white"/>
        </w:rPr>
        <w:t>1</w:t>
      </w:r>
      <w:r>
        <w:rPr>
          <w:rFonts w:ascii="宋体" w:eastAsia="宋体" w:hint="eastAsia"/>
          <w:color w:val="auto"/>
          <w:sz w:val="21"/>
          <w:szCs w:val="21"/>
          <w:highlight w:val="white"/>
        </w:rPr>
        <w:t>份外，基金管理人和基金托管人各持有1份，每份具有同等法律效力。</w:t>
      </w:r>
    </w:p>
    <w:p w:rsidR="0094673A">
      <w:pPr>
        <w:pStyle w:val="11"/>
        <w:spacing w:before="100" w:beforeAutospacing="1" w:after="100" w:afterAutospacing="1" w:line="400" w:lineRule="exact"/>
        <w:ind w:firstLine="422"/>
        <w:rPr>
          <w:rFonts w:ascii="宋体" w:hAnsi="宋体"/>
          <w:sz w:val="21"/>
          <w:szCs w:val="21"/>
        </w:rPr>
      </w:pPr>
      <w:bookmarkStart w:id="20" w:name="_Toc116900116"/>
    </w:p>
    <w:p w:rsidR="0094673A">
      <w:pPr>
        <w:pStyle w:val="11"/>
        <w:spacing w:before="100" w:beforeAutospacing="1" w:after="100" w:afterAutospacing="1" w:line="400" w:lineRule="exact"/>
        <w:ind w:firstLine="422"/>
        <w:rPr>
          <w:rFonts w:ascii="宋体" w:hAnsi="宋体"/>
          <w:sz w:val="21"/>
          <w:szCs w:val="21"/>
        </w:rPr>
      </w:pPr>
      <w:r>
        <w:rPr>
          <w:rFonts w:ascii="宋体" w:hAnsi="宋体"/>
          <w:sz w:val="21"/>
          <w:szCs w:val="21"/>
          <w:highlight w:val="white"/>
        </w:rPr>
        <w:t>二十、托管协议</w:t>
      </w:r>
      <w:bookmarkEnd w:id="20"/>
      <w:r>
        <w:rPr>
          <w:rFonts w:ascii="宋体" w:hAnsi="宋体" w:hint="eastAsia"/>
          <w:sz w:val="21"/>
          <w:szCs w:val="21"/>
          <w:highlight w:val="white"/>
        </w:rPr>
        <w:t>的签订</w:t>
      </w:r>
    </w:p>
    <w:p w:rsidR="0094673A">
      <w:pPr>
        <w:pStyle w:val="BodyTextIndent"/>
        <w:spacing w:before="100" w:beforeAutospacing="1" w:after="100" w:afterAutospacing="1"/>
        <w:ind w:firstLine="403"/>
        <w:rPr>
          <w:rFonts w:ascii="宋体" w:eastAsia="宋体"/>
          <w:sz w:val="21"/>
          <w:szCs w:val="21"/>
        </w:rPr>
      </w:pPr>
      <w:r>
        <w:rPr>
          <w:rFonts w:ascii="宋体" w:eastAsia="宋体" w:hint="eastAsia"/>
          <w:color w:val="auto"/>
          <w:sz w:val="21"/>
          <w:szCs w:val="21"/>
          <w:highlight w:val="white"/>
        </w:rPr>
        <w:t>见签署页。</w:t>
      </w:r>
    </w:p>
    <w:p w:rsidR="0094673A">
      <w:pPr>
        <w:pStyle w:val="BodyTextIndent"/>
        <w:spacing w:before="100" w:beforeAutospacing="1" w:after="100" w:afterAutospacing="1"/>
        <w:ind w:firstLine="403"/>
        <w:rPr>
          <w:rFonts w:ascii="宋体" w:eastAsia="宋体"/>
          <w:sz w:val="21"/>
          <w:szCs w:val="21"/>
        </w:rPr>
        <w:sectPr>
          <w:footerReference w:type="even" r:id="rId8"/>
          <w:footerReference w:type="default" r:id="rId9"/>
          <w:type w:val="continuous"/>
          <w:pgSz w:w="11906" w:h="16838"/>
          <w:pgMar w:top="1440" w:right="1800" w:bottom="1440" w:left="1800" w:header="851" w:footer="992" w:gutter="0"/>
          <w:pgNumType w:start="0"/>
          <w:cols w:space="425"/>
          <w:titlePg/>
          <w:docGrid w:type="lines" w:linePitch="312"/>
        </w:sectPr>
      </w:pPr>
      <w:r>
        <w:rPr>
          <w:rFonts w:ascii="宋体" w:eastAsia="宋体" w:hint="eastAsia"/>
          <w:sz w:val="21"/>
          <w:szCs w:val="21"/>
          <w:highlight w:val="white"/>
        </w:rPr>
        <w:t>（以下无正文）</w:t>
      </w:r>
    </w:p>
    <w:p w:rsidR="0094673A">
      <w:pPr>
        <w:spacing w:line="360" w:lineRule="auto"/>
        <w:ind w:right="26"/>
        <w:rPr>
          <w:rFonts w:ascii="宋体" w:hAnsi="宋体"/>
          <w:b/>
          <w:sz w:val="24"/>
        </w:rPr>
      </w:pPr>
    </w:p>
    <w:p w:rsidR="0094673A">
      <w:pPr>
        <w:spacing w:line="360" w:lineRule="auto"/>
        <w:ind w:right="26"/>
        <w:rPr>
          <w:rFonts w:ascii="宋体" w:hAnsi="宋体"/>
          <w:b/>
          <w:sz w:val="24"/>
        </w:rPr>
      </w:pPr>
    </w:p>
    <w:p w:rsidR="0094673A">
      <w:pPr>
        <w:spacing w:line="360" w:lineRule="auto"/>
        <w:rPr>
          <w:rFonts w:ascii="宋体" w:hAnsi="宋体"/>
          <w:sz w:val="24"/>
        </w:rPr>
      </w:pPr>
      <w:r>
        <w:rPr>
          <w:rFonts w:ascii="宋体" w:hAnsi="宋体"/>
          <w:sz w:val="24"/>
          <w:highlight w:val="white"/>
        </w:rPr>
        <w:t>本页无正文，</w:t>
      </w:r>
      <w:r>
        <w:rPr>
          <w:rFonts w:ascii="宋体" w:hAnsi="宋体" w:hint="eastAsia"/>
          <w:sz w:val="24"/>
          <w:highlight w:val="white"/>
        </w:rPr>
        <w:t>为《</w:t>
      </w:r>
      <w:r>
        <w:rPr>
          <w:rFonts w:ascii="宋体" w:hAnsi="宋体" w:hint="eastAsia"/>
          <w:sz w:val="24"/>
        </w:rPr>
        <w:t>易方达研究智选股票型证券投资基金</w:t>
      </w:r>
      <w:r>
        <w:rPr>
          <w:rFonts w:ascii="宋体" w:hAnsi="宋体" w:hint="eastAsia"/>
          <w:sz w:val="24"/>
          <w:highlight w:val="white"/>
        </w:rPr>
        <w:t>托管协议》的签字盖章页。</w:t>
      </w:r>
    </w:p>
    <w:p w:rsidR="0094673A">
      <w:pPr>
        <w:spacing w:line="360" w:lineRule="auto"/>
        <w:rPr>
          <w:rFonts w:ascii="宋体" w:hAnsi="宋体"/>
          <w:sz w:val="24"/>
        </w:rPr>
      </w:pPr>
    </w:p>
    <w:p w:rsidR="0094673A">
      <w:pPr>
        <w:spacing w:line="360" w:lineRule="auto"/>
        <w:ind w:right="26"/>
        <w:rPr>
          <w:rFonts w:ascii="宋体" w:hAnsi="宋体"/>
          <w:b/>
          <w:bCs/>
          <w:sz w:val="24"/>
        </w:rPr>
      </w:pPr>
      <w:r>
        <w:rPr>
          <w:rFonts w:ascii="宋体" w:hAnsi="宋体" w:hint="eastAsia"/>
          <w:b/>
          <w:bCs/>
          <w:sz w:val="24"/>
          <w:highlight w:val="white"/>
        </w:rPr>
        <w:t>《托管协议》当事人盖章及法定代表人或授权代表签字</w:t>
      </w:r>
      <w:r>
        <w:rPr>
          <w:rFonts w:ascii="宋体" w:hAnsi="宋体"/>
          <w:b/>
          <w:sz w:val="24"/>
          <w:highlight w:val="white"/>
        </w:rPr>
        <w:t>/</w:t>
      </w:r>
      <w:r>
        <w:rPr>
          <w:rFonts w:ascii="宋体" w:hAnsi="宋体" w:hint="eastAsia"/>
          <w:b/>
          <w:sz w:val="24"/>
          <w:highlight w:val="white"/>
        </w:rPr>
        <w:t>签章</w:t>
      </w:r>
      <w:r>
        <w:rPr>
          <w:rFonts w:ascii="宋体" w:hAnsi="宋体" w:hint="eastAsia"/>
          <w:b/>
          <w:bCs/>
          <w:sz w:val="24"/>
          <w:highlight w:val="white"/>
        </w:rPr>
        <w:t>、签订地、签订日</w:t>
      </w: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r>
        <w:rPr>
          <w:rFonts w:ascii="宋体" w:hAnsi="宋体" w:hint="eastAsia"/>
          <w:b/>
          <w:bCs/>
          <w:sz w:val="24"/>
          <w:highlight w:val="white"/>
        </w:rPr>
        <w:t>基金管理人：易方达基金管理有限公司（章）</w:t>
      </w: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r>
        <w:rPr>
          <w:rFonts w:ascii="宋体" w:hAnsi="宋体" w:hint="eastAsia"/>
          <w:b/>
          <w:bCs/>
          <w:sz w:val="24"/>
          <w:highlight w:val="white"/>
        </w:rPr>
        <w:t>法定代表人或授权代表（签字</w:t>
      </w:r>
      <w:r>
        <w:rPr>
          <w:rFonts w:ascii="宋体" w:hAnsi="宋体"/>
          <w:b/>
          <w:bCs/>
          <w:sz w:val="24"/>
          <w:highlight w:val="white"/>
        </w:rPr>
        <w:t>/</w:t>
      </w:r>
      <w:r>
        <w:rPr>
          <w:rFonts w:ascii="宋体" w:hAnsi="宋体" w:hint="eastAsia"/>
          <w:b/>
          <w:bCs/>
          <w:sz w:val="24"/>
          <w:highlight w:val="white"/>
        </w:rPr>
        <w:t>签章）：</w:t>
      </w: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r>
        <w:rPr>
          <w:rFonts w:ascii="宋体" w:hAnsi="宋体" w:hint="eastAsia"/>
          <w:b/>
          <w:bCs/>
          <w:sz w:val="24"/>
          <w:highlight w:val="white"/>
        </w:rPr>
        <w:t>基金托管人：</w:t>
      </w:r>
      <w:r>
        <w:rPr>
          <w:rFonts w:ascii="宋体" w:hAnsi="宋体" w:hint="eastAsia"/>
          <w:b/>
          <w:bCs/>
          <w:sz w:val="24"/>
        </w:rPr>
        <w:t>中国银行股份有限公司</w:t>
      </w:r>
      <w:r>
        <w:rPr>
          <w:rFonts w:ascii="宋体" w:hAnsi="宋体" w:hint="eastAsia"/>
          <w:b/>
          <w:bCs/>
          <w:sz w:val="24"/>
          <w:highlight w:val="white"/>
        </w:rPr>
        <w:t>（章）</w:t>
      </w: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r>
        <w:rPr>
          <w:rFonts w:ascii="宋体" w:hAnsi="宋体" w:hint="eastAsia"/>
          <w:b/>
          <w:bCs/>
          <w:sz w:val="24"/>
          <w:highlight w:val="white"/>
        </w:rPr>
        <w:t>法定代表人或授权代表（签字</w:t>
      </w:r>
      <w:r>
        <w:rPr>
          <w:rFonts w:ascii="宋体" w:hAnsi="宋体"/>
          <w:b/>
          <w:bCs/>
          <w:sz w:val="24"/>
          <w:highlight w:val="white"/>
        </w:rPr>
        <w:t>/</w:t>
      </w:r>
      <w:r>
        <w:rPr>
          <w:rFonts w:ascii="宋体" w:hAnsi="宋体" w:hint="eastAsia"/>
          <w:b/>
          <w:bCs/>
          <w:sz w:val="24"/>
          <w:highlight w:val="white"/>
        </w:rPr>
        <w:t>签章）：</w:t>
      </w: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p>
    <w:p w:rsidR="0094673A">
      <w:pPr>
        <w:spacing w:line="360" w:lineRule="auto"/>
        <w:ind w:right="26"/>
        <w:rPr>
          <w:rFonts w:ascii="宋体" w:hAnsi="宋体"/>
          <w:b/>
          <w:bCs/>
          <w:sz w:val="24"/>
        </w:rPr>
      </w:pPr>
      <w:r>
        <w:rPr>
          <w:rFonts w:ascii="宋体" w:hAnsi="宋体" w:hint="eastAsia"/>
          <w:b/>
          <w:bCs/>
          <w:sz w:val="24"/>
          <w:highlight w:val="white"/>
        </w:rPr>
        <w:t>签订地点：</w:t>
      </w:r>
    </w:p>
    <w:p w:rsidR="0094673A">
      <w:pPr>
        <w:spacing w:line="360" w:lineRule="auto"/>
        <w:ind w:right="26"/>
        <w:rPr>
          <w:rFonts w:ascii="宋体" w:hAnsi="宋体"/>
          <w:b/>
          <w:bCs/>
          <w:sz w:val="24"/>
        </w:rPr>
      </w:pPr>
      <w:r>
        <w:rPr>
          <w:rFonts w:ascii="宋体" w:hAnsi="宋体" w:hint="eastAsia"/>
          <w:b/>
          <w:bCs/>
          <w:sz w:val="24"/>
          <w:highlight w:val="white"/>
        </w:rPr>
        <w:t>签订日：</w:t>
      </w:r>
      <w:r>
        <w:rPr>
          <w:rFonts w:ascii="宋体" w:hAnsi="宋体"/>
          <w:b/>
          <w:bCs/>
          <w:sz w:val="24"/>
          <w:highlight w:val="white"/>
        </w:rPr>
        <w:t xml:space="preserve">    </w:t>
      </w:r>
      <w:r>
        <w:rPr>
          <w:rFonts w:ascii="宋体" w:hAnsi="宋体" w:hint="eastAsia"/>
          <w:b/>
          <w:bCs/>
          <w:sz w:val="24"/>
          <w:highlight w:val="white"/>
        </w:rPr>
        <w:t>年</w:t>
      </w:r>
      <w:r>
        <w:rPr>
          <w:rFonts w:ascii="宋体" w:hAnsi="宋体"/>
          <w:b/>
          <w:bCs/>
          <w:sz w:val="24"/>
          <w:highlight w:val="white"/>
        </w:rPr>
        <w:t xml:space="preserve">   </w:t>
      </w:r>
      <w:r>
        <w:rPr>
          <w:rFonts w:ascii="宋体" w:hAnsi="宋体" w:hint="eastAsia"/>
          <w:b/>
          <w:bCs/>
          <w:sz w:val="24"/>
          <w:highlight w:val="white"/>
        </w:rPr>
        <w:t>月</w:t>
      </w:r>
      <w:r>
        <w:rPr>
          <w:rFonts w:ascii="宋体" w:hAnsi="宋体"/>
          <w:b/>
          <w:bCs/>
          <w:sz w:val="24"/>
          <w:highlight w:val="white"/>
        </w:rPr>
        <w:t xml:space="preserve">   </w:t>
      </w:r>
      <w:r>
        <w:rPr>
          <w:rFonts w:ascii="宋体" w:hAnsi="宋体" w:hint="eastAsia"/>
          <w:b/>
          <w:bCs/>
          <w:sz w:val="24"/>
          <w:highlight w:val="white"/>
        </w:rPr>
        <w:t>日</w:t>
      </w:r>
    </w:p>
    <w:p w:rsidR="0094673A">
      <w:pPr>
        <w:spacing w:line="360" w:lineRule="auto"/>
        <w:ind w:right="26"/>
        <w:rPr>
          <w:rFonts w:ascii="宋体" w:hAnsi="宋体"/>
          <w:b/>
          <w:bCs/>
          <w:sz w:val="24"/>
        </w:rPr>
      </w:pPr>
      <w:bookmarkStart w:id="21" w:name="_Hlt89590562"/>
      <w:bookmarkEnd w:id="21"/>
    </w:p>
    <w:p w:rsidR="0094673A">
      <w:pPr>
        <w:spacing w:line="360" w:lineRule="auto"/>
        <w:rPr>
          <w:rFonts w:ascii="宋体" w:hAnsi="宋体"/>
          <w:b/>
          <w:szCs w:val="21"/>
        </w:rPr>
      </w:pPr>
    </w:p>
    <w:sectPr>
      <w:footerReference w:type="default" r:id="rId10"/>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roman"/>
    <w:pitch w:val="default"/>
  </w:font>
  <w:font w:name="Courier New">
    <w:panose1 w:val="02070309020205020404"/>
    <w:charset w:val="00"/>
    <w:family w:val="modern"/>
    <w:pitch w:val="fixed"/>
    <w:sig w:usb0="E0002EFF" w:usb1="C0007843" w:usb2="00000009" w:usb3="00000000" w:csb0="000001FF" w:csb1="00000000"/>
  </w:font>
  <w:font w:name="长城仿宋">
    <w:altName w:val="Times New Roman"/>
    <w:charset w:val="00"/>
    <w:family w:val="auto"/>
    <w:pitch w:val="default"/>
  </w:font>
  <w:font w:name="方正仿宋简体">
    <w:altName w:val="汉仪仿宋KW"/>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73A">
    <w:pPr>
      <w:pStyle w:val="1"/>
      <w:snapToGrid/>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rPr>
      <w:fldChar w:fldCharType="end"/>
    </w:r>
  </w:p>
  <w:p w:rsidR="0094673A">
    <w:pPr>
      <w:pStyle w:val="1"/>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5072371"/>
      <w:placeholder>
        <w:docPart w:val="870a0bf2153b4bb9858a2203a255ad78"/>
      </w:placeholder>
      <w:richText/>
    </w:sdtPr>
    <w:sdtContent>
      <w:p w:rsidR="0094673A">
        <w:pPr>
          <w:pStyle w:val="1"/>
          <w:snapToGrid/>
          <w:jc w:val="center"/>
        </w:pPr>
        <w:r>
          <w:fldChar w:fldCharType="begin"/>
        </w:r>
        <w:r>
          <w:rPr>
            <w:highlight w:val="white"/>
          </w:rPr>
          <w:instrText>PAGE   \* MERGEFORMAT</w:instrText>
        </w:r>
        <w:r>
          <w:fldChar w:fldCharType="separate"/>
        </w:r>
        <w:r w:rsidRPr="00FA178B" w:rsidR="00FA178B">
          <w:rPr>
            <w:noProof/>
            <w:highlight w:val="white"/>
            <w:lang w:val="zh-CN"/>
          </w:rPr>
          <w:t>30</w:t>
        </w:r>
        <w:r>
          <w:fldChar w:fldCharType="end"/>
        </w:r>
      </w:p>
    </w:sdtContent>
  </w:sdt>
  <w:p w:rsidR="0094673A">
    <w:pPr>
      <w:pStyle w:val="1"/>
      <w:snapToGri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2860828"/>
      <w:placeholder>
        <w:docPart w:val="870a0bf2153b4bb9858a2203a255ad78"/>
      </w:placeholder>
      <w:richText/>
    </w:sdtPr>
    <w:sdtContent>
      <w:p w:rsidR="0094673A">
        <w:pPr>
          <w:pStyle w:val="1"/>
          <w:snapToGrid/>
          <w:jc w:val="center"/>
        </w:pPr>
      </w:p>
    </w:sdtContent>
  </w:sdt>
  <w:p w:rsidR="0094673A">
    <w:pPr>
      <w:pStyle w:val="1"/>
      <w:snapToGrid/>
      <w:ind w:right="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AF"/>
    <w:rsid w:val="DCBF5C9E"/>
    <w:rsid w:val="F37FE608"/>
    <w:rsid w:val="FF4E97EC"/>
    <w:rsid w:val="0007541F"/>
    <w:rsid w:val="000D47FA"/>
    <w:rsid w:val="00122146"/>
    <w:rsid w:val="001D6B1C"/>
    <w:rsid w:val="0025277A"/>
    <w:rsid w:val="00264D12"/>
    <w:rsid w:val="00357F68"/>
    <w:rsid w:val="003A0B41"/>
    <w:rsid w:val="003D4E90"/>
    <w:rsid w:val="006000B3"/>
    <w:rsid w:val="00934D07"/>
    <w:rsid w:val="0094673A"/>
    <w:rsid w:val="009F2BF4"/>
    <w:rsid w:val="00AF06AF"/>
    <w:rsid w:val="00B009ED"/>
    <w:rsid w:val="00C93FEC"/>
    <w:rsid w:val="00D27755"/>
    <w:rsid w:val="00D57DE6"/>
    <w:rsid w:val="00FA17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57130A0D-8AB9-4C82-8101-A19D8E1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4"/>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qFormat/>
    <w:pPr>
      <w:ind w:left="2520"/>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semiHidden/>
    <w:qFormat/>
    <w:pPr>
      <w:shd w:val="clear" w:color="000080" w:fill="000080"/>
    </w:pPr>
  </w:style>
  <w:style w:type="paragraph" w:styleId="CommentText">
    <w:name w:val="annotation text"/>
    <w:basedOn w:val="Normal"/>
    <w:link w:val="Char6"/>
    <w:qFormat/>
    <w:pPr>
      <w:jc w:val="left"/>
    </w:pPr>
  </w:style>
  <w:style w:type="paragraph" w:styleId="BodyTextIndent">
    <w:name w:val="Body Text Indent"/>
    <w:basedOn w:val="Normal"/>
    <w:link w:val="Char9"/>
    <w:qFormat/>
    <w:pPr>
      <w:spacing w:line="400" w:lineRule="exact"/>
      <w:ind w:firstLine="538"/>
    </w:pPr>
    <w:rPr>
      <w:rFonts w:ascii="仿宋_GB2312" w:eastAsia="仿宋_GB2312" w:hAnsi="宋体"/>
      <w:color w:val="000000"/>
      <w:sz w:val="28"/>
    </w:rPr>
  </w:style>
  <w:style w:type="paragraph" w:styleId="TOC5">
    <w:name w:val="toc 5"/>
    <w:basedOn w:val="Normal"/>
    <w:next w:val="Normal"/>
    <w:semiHidden/>
    <w:qFormat/>
    <w:pPr>
      <w:ind w:left="1680"/>
    </w:pPr>
  </w:style>
  <w:style w:type="paragraph" w:styleId="TOC3">
    <w:name w:val="toc 3"/>
    <w:basedOn w:val="Normal"/>
    <w:next w:val="Normal"/>
    <w:semiHidden/>
    <w:qFormat/>
    <w:pPr>
      <w:ind w:left="840"/>
    </w:pPr>
  </w:style>
  <w:style w:type="paragraph" w:styleId="PlainText">
    <w:name w:val="Plain Text"/>
    <w:basedOn w:val="Normal"/>
    <w:qFormat/>
    <w:rPr>
      <w:rFonts w:ascii="宋体" w:hAnsi="Courier New"/>
      <w:szCs w:val="21"/>
    </w:rPr>
  </w:style>
  <w:style w:type="paragraph" w:styleId="TOC8">
    <w:name w:val="toc 8"/>
    <w:basedOn w:val="Normal"/>
    <w:next w:val="Normal"/>
    <w:semiHidden/>
    <w:qFormat/>
    <w:pPr>
      <w:ind w:left="2940"/>
    </w:pPr>
  </w:style>
  <w:style w:type="paragraph" w:styleId="Date">
    <w:name w:val="Date"/>
    <w:basedOn w:val="Normal"/>
    <w:next w:val="Normal"/>
    <w:link w:val="Char8"/>
    <w:qFormat/>
    <w:pPr>
      <w:ind w:left="100"/>
    </w:pPr>
  </w:style>
  <w:style w:type="paragraph" w:styleId="BodyTextIndent2">
    <w:name w:val="Body Text Indent 2"/>
    <w:basedOn w:val="Normal"/>
    <w:qFormat/>
    <w:pPr>
      <w:tabs>
        <w:tab w:val="left" w:pos="540"/>
      </w:tabs>
      <w:ind w:left="540" w:firstLine="540"/>
    </w:pPr>
    <w:rPr>
      <w:rFonts w:eastAsia="长城仿宋"/>
      <w:sz w:val="24"/>
      <w:szCs w:val="20"/>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semiHidden/>
    <w:qFormat/>
    <w:rPr>
      <w:sz w:val="18"/>
      <w:szCs w:val="18"/>
    </w:rPr>
  </w:style>
  <w:style w:type="paragraph" w:styleId="Footer">
    <w:name w:val="footer"/>
    <w:basedOn w:val="Normal"/>
    <w:link w:val="Char11"/>
    <w:uiPriority w:val="99"/>
    <w:unhideWhenUsed/>
    <w:qFormat/>
    <w:pPr>
      <w:tabs>
        <w:tab w:val="center" w:pos="4153"/>
        <w:tab w:val="right" w:pos="8306"/>
      </w:tabs>
      <w:snapToGrid w:val="0"/>
      <w:jc w:val="left"/>
    </w:pPr>
    <w:rPr>
      <w:sz w:val="18"/>
      <w:szCs w:val="18"/>
    </w:rPr>
  </w:style>
  <w:style w:type="paragraph" w:styleId="Header">
    <w:name w:val="header"/>
    <w:basedOn w:val="Normal"/>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qFormat/>
  </w:style>
  <w:style w:type="paragraph" w:styleId="TOC4">
    <w:name w:val="toc 4"/>
    <w:basedOn w:val="Normal"/>
    <w:next w:val="Normal"/>
    <w:qFormat/>
    <w:pPr>
      <w:ind w:left="126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5"/>
    <w:uiPriority w:val="99"/>
    <w:semiHidden/>
    <w:unhideWhenUsed/>
    <w:qFormat/>
    <w:pPr>
      <w:spacing w:after="40"/>
    </w:pPr>
    <w:rPr>
      <w:sz w:val="18"/>
    </w:rPr>
  </w:style>
  <w:style w:type="paragraph" w:styleId="TOC6">
    <w:name w:val="toc 6"/>
    <w:basedOn w:val="Normal"/>
    <w:next w:val="Normal"/>
    <w:semiHidden/>
    <w:qFormat/>
    <w:pPr>
      <w:ind w:left="2100"/>
    </w:pPr>
  </w:style>
  <w:style w:type="paragraph" w:styleId="BodyTextIndent3">
    <w:name w:val="Body Text Indent 3"/>
    <w:basedOn w:val="Normal"/>
    <w:link w:val="3Char0"/>
    <w:qFormat/>
    <w:pPr>
      <w:ind w:left="360" w:firstLine="540"/>
    </w:pPr>
    <w:rPr>
      <w:rFonts w:eastAsia="长城仿宋"/>
      <w:sz w:val="24"/>
      <w:szCs w:val="20"/>
    </w:rPr>
  </w:style>
  <w:style w:type="paragraph" w:styleId="TableofFigures">
    <w:name w:val="table of figures"/>
    <w:basedOn w:val="Normal"/>
    <w:next w:val="Normal"/>
    <w:uiPriority w:val="99"/>
    <w:unhideWhenUsed/>
    <w:qFormat/>
  </w:style>
  <w:style w:type="paragraph" w:styleId="TOC2">
    <w:name w:val="toc 2"/>
    <w:basedOn w:val="Normal"/>
    <w:next w:val="Normal"/>
    <w:semiHidden/>
    <w:qFormat/>
    <w:pPr>
      <w:ind w:left="420"/>
    </w:pPr>
  </w:style>
  <w:style w:type="paragraph" w:styleId="TOC9">
    <w:name w:val="toc 9"/>
    <w:basedOn w:val="Normal"/>
    <w:next w:val="Normal"/>
    <w:semiHidden/>
    <w:qFormat/>
    <w:pPr>
      <w:ind w:left="3360"/>
    </w:pPr>
  </w:style>
  <w:style w:type="paragraph" w:styleId="BodyText2">
    <w:name w:val="Body Text 2"/>
    <w:basedOn w:val="Normal"/>
    <w:qFormat/>
    <w:pPr>
      <w:spacing w:after="120" w:line="480" w:lineRule="auto"/>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7"/>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paragraph" w:customStyle="1" w:styleId="11">
    <w:name w:val="标题 11"/>
    <w:basedOn w:val="Normal"/>
    <w:next w:val="Normal"/>
    <w:link w:val="1Char"/>
    <w:qFormat/>
    <w:pPr>
      <w:keepNext/>
      <w:keepLines/>
      <w:spacing w:before="340" w:after="330" w:line="578" w:lineRule="auto"/>
      <w:outlineLvl w:val="0"/>
    </w:pPr>
    <w:rPr>
      <w:b/>
      <w:sz w:val="44"/>
      <w:szCs w:val="20"/>
    </w:rPr>
  </w:style>
  <w:style w:type="character" w:customStyle="1" w:styleId="Char">
    <w:name w:val="尾注文本 Char"/>
    <w:link w:val="EndnoteText"/>
    <w:uiPriority w:val="99"/>
    <w:qFormat/>
    <w:rPr>
      <w:sz w:val="20"/>
    </w:rPr>
  </w:style>
  <w:style w:type="paragraph" w:customStyle="1" w:styleId="1">
    <w:name w:val="页脚1"/>
    <w:basedOn w:val="Normal"/>
    <w:link w:val="Char4"/>
    <w:uiPriority w:val="99"/>
    <w:qFormat/>
    <w:pPr>
      <w:tabs>
        <w:tab w:val="center" w:pos="4153"/>
        <w:tab w:val="right" w:pos="8306"/>
      </w:tabs>
      <w:snapToGrid w:val="0"/>
      <w:jc w:val="left"/>
    </w:pPr>
    <w:rPr>
      <w:sz w:val="18"/>
      <w:szCs w:val="18"/>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rFonts w:ascii="Times New Roman" w:hAnsi="Times New Roman" w:cs="Times New Roman"/>
      <w:szCs w:val="22"/>
    </w:rPr>
  </w:style>
  <w:style w:type="character" w:customStyle="1" w:styleId="Char0">
    <w:name w:val="标题 Char"/>
    <w:basedOn w:val="DefaultParagraphFont"/>
    <w:link w:val="Title"/>
    <w:uiPriority w:val="10"/>
    <w:qFormat/>
    <w:rPr>
      <w:sz w:val="48"/>
      <w:szCs w:val="48"/>
    </w:rPr>
  </w:style>
  <w:style w:type="character" w:customStyle="1" w:styleId="Char1">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页脚 Char"/>
    <w:basedOn w:val="DefaultParagraphFont"/>
    <w:link w:val="1"/>
    <w:uiPriority w:val="99"/>
    <w:qFormat/>
  </w:style>
  <w:style w:type="character" w:customStyle="1" w:styleId="Char5">
    <w:name w:val="脚注文本 Char"/>
    <w:link w:val="FootnoteText"/>
    <w:uiPriority w:val="99"/>
    <w:qFormat/>
    <w:rPr>
      <w:sz w:val="18"/>
    </w:rPr>
  </w:style>
  <w:style w:type="character" w:customStyle="1" w:styleId="Char6">
    <w:name w:val="批注文字 Char"/>
    <w:link w:val="CommentText"/>
    <w:qFormat/>
    <w:rPr>
      <w:sz w:val="21"/>
      <w:szCs w:val="24"/>
    </w:rPr>
  </w:style>
  <w:style w:type="character" w:customStyle="1" w:styleId="Char7">
    <w:name w:val="批注主题 Char"/>
    <w:link w:val="CommentSubject"/>
    <w:qFormat/>
    <w:rPr>
      <w:b/>
      <w:bCs/>
      <w:sz w:val="21"/>
      <w:szCs w:val="24"/>
    </w:rPr>
  </w:style>
  <w:style w:type="character" w:customStyle="1" w:styleId="Char8">
    <w:name w:val="日期 Char"/>
    <w:link w:val="Date"/>
    <w:qFormat/>
    <w:rPr>
      <w:sz w:val="21"/>
      <w:szCs w:val="24"/>
    </w:rPr>
  </w:style>
  <w:style w:type="character" w:customStyle="1" w:styleId="3Char0">
    <w:name w:val="正文文本缩进 3 Char"/>
    <w:link w:val="BodyTextIndent3"/>
    <w:qFormat/>
    <w:rPr>
      <w:rFonts w:eastAsia="长城仿宋"/>
      <w:sz w:val="24"/>
    </w:rPr>
  </w:style>
  <w:style w:type="paragraph" w:styleId="ListParagraph">
    <w:name w:val="List Paragraph"/>
    <w:basedOn w:val="Normal"/>
    <w:uiPriority w:val="34"/>
    <w:qFormat/>
    <w:pPr>
      <w:ind w:firstLine="420"/>
    </w:pPr>
    <w:rPr>
      <w:rFonts w:ascii="Calibri" w:hAnsi="Calibri"/>
      <w:sz w:val="22"/>
      <w:szCs w:val="22"/>
    </w:rPr>
  </w:style>
  <w:style w:type="character" w:customStyle="1" w:styleId="Char9">
    <w:name w:val="正文文本缩进 Char"/>
    <w:link w:val="BodyTextIndent"/>
    <w:qFormat/>
    <w:rPr>
      <w:rFonts w:ascii="仿宋_GB2312" w:eastAsia="仿宋_GB2312" w:hAnsi="宋体"/>
      <w:color w:val="000000"/>
      <w:sz w:val="28"/>
      <w:szCs w:val="24"/>
    </w:rPr>
  </w:style>
  <w:style w:type="character" w:customStyle="1" w:styleId="Char10">
    <w:name w:val="页眉 Char"/>
    <w:basedOn w:val="DefaultParagraphFont"/>
    <w:link w:val="Header"/>
    <w:uiPriority w:val="99"/>
    <w:qFormat/>
    <w:rPr>
      <w:rFonts w:ascii="Times New Roman" w:hAnsi="Times New Roman" w:cs="Times New Roman"/>
      <w:sz w:val="18"/>
      <w:szCs w:val="18"/>
      <w:shd w:val="clear" w:color="FFFFFF" w:fill="FFFFFF"/>
      <w:lang w:eastAsia="zh-CN"/>
    </w:rPr>
  </w:style>
  <w:style w:type="character" w:customStyle="1" w:styleId="Char11">
    <w:name w:val="页脚 Char1"/>
    <w:basedOn w:val="DefaultParagraphFont"/>
    <w:link w:val="Footer"/>
    <w:uiPriority w:val="99"/>
    <w:qFormat/>
    <w:rPr>
      <w:rFonts w:ascii="Times New Roman" w:hAnsi="Times New Roman" w:cs="Times New Roman"/>
      <w:sz w:val="18"/>
      <w:szCs w:val="18"/>
      <w:shd w:val="clear" w:color="FFFFFF"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footer" Target="footer1.xml" /><Relationship Id="rId9" Type="http://schemas.openxmlformats.org/officeDocument/2006/relationships/footer" Target="footer2.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70a0bf2153b4bb9858a2203a255ad78"/>
        <w:category>
          <w:name w:val="(Empty Category)"/>
          <w:gallery w:val="any"/>
        </w:category>
        <w:behaviors>
          <w:behavior w:val="content"/>
        </w:behaviors>
        <w:guid w:val="{CEB5FDE1-C5F9-40B9-98A5-B3B117582E7C}"/>
      </w:docPartPr>
      <w:docPartBody>
        <w:p w:rsidR="003D4E90">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roman"/>
    <w:pitch w:val="default"/>
  </w:font>
  <w:font w:name="Courier New">
    <w:panose1 w:val="02070309020205020404"/>
    <w:charset w:val="00"/>
    <w:family w:val="modern"/>
    <w:pitch w:val="fixed"/>
    <w:sig w:usb0="E0002EFF" w:usb1="C0007843" w:usb2="00000009" w:usb3="00000000" w:csb0="000001FF" w:csb1="00000000"/>
  </w:font>
  <w:font w:name="长城仿宋">
    <w:altName w:val="Times New Roman"/>
    <w:charset w:val="00"/>
    <w:family w:val="auto"/>
    <w:pitch w:val="default"/>
  </w:font>
  <w:font w:name="方正仿宋简体">
    <w:altName w:val="汉仪仿宋KW"/>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C6"/>
    <w:rsid w:val="00326D3F"/>
    <w:rsid w:val="003D4E90"/>
    <w:rsid w:val="00795D6E"/>
    <w:rsid w:val="007C78DB"/>
    <w:rsid w:val="00906A0D"/>
    <w:rsid w:val="009D6DF5"/>
    <w:rsid w:val="00C312C6"/>
    <w:rsid w:val="00C355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qFormat/>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qFormat/>
    <w:pPr>
      <w:tabs>
        <w:tab w:val="center" w:pos="7143"/>
        <w:tab w:val="right" w:pos="14287"/>
      </w:tabs>
    </w:pPr>
  </w:style>
  <w:style w:type="character" w:customStyle="1" w:styleId="Char3">
    <w:name w:val="页眉 Char"/>
    <w:basedOn w:val="DefaultParagraphFont"/>
    <w:link w:val="Header"/>
    <w:uiPriority w:val="99"/>
    <w:qFormat/>
  </w:style>
  <w:style w:type="paragraph" w:styleId="Footer">
    <w:name w:val="footer"/>
    <w:basedOn w:val="Normal"/>
    <w:link w:val="Char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qFormat/>
    <w:rPr>
      <w:color w:val="0563C1" w:themeColor="hyperlink"/>
      <w:u w:val="single"/>
    </w:rPr>
  </w:style>
  <w:style w:type="paragraph" w:styleId="FootnoteText">
    <w:name w:val="footnote text"/>
    <w:basedOn w:val="Normal"/>
    <w:link w:val="Char5"/>
    <w:uiPriority w:val="99"/>
    <w:semiHidden/>
    <w:unhideWhenUsed/>
    <w:qFormat/>
    <w:pPr>
      <w:spacing w:after="40"/>
    </w:pPr>
    <w:rPr>
      <w:sz w:val="18"/>
    </w:rPr>
  </w:style>
  <w:style w:type="character" w:customStyle="1" w:styleId="Char5">
    <w:name w:val="脚注文本 Char"/>
    <w:link w:val="FootnoteText"/>
    <w:uiPriority w:val="99"/>
    <w:qFormat/>
    <w:rPr>
      <w:sz w:val="18"/>
    </w:rPr>
  </w:style>
  <w:style w:type="character" w:styleId="FootnoteReference">
    <w:name w:val="footnote reference"/>
    <w:basedOn w:val="DefaultParagraphFont"/>
    <w:uiPriority w:val="99"/>
    <w:unhideWhenUsed/>
    <w:qFormat/>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qFormat/>
    <w:pPr>
      <w:spacing w:after="57"/>
      <w:ind w:left="1134"/>
    </w:pPr>
  </w:style>
  <w:style w:type="paragraph" w:styleId="TOC6">
    <w:name w:val="toc 6"/>
    <w:basedOn w:val="Normal"/>
    <w:next w:val="Normal"/>
    <w:uiPriority w:val="39"/>
    <w:unhideWhenUsed/>
    <w:qFormat/>
    <w:pPr>
      <w:spacing w:after="57"/>
      <w:ind w:left="1417"/>
    </w:pPr>
  </w:style>
  <w:style w:type="paragraph" w:styleId="TOC7">
    <w:name w:val="toc 7"/>
    <w:basedOn w:val="Normal"/>
    <w:next w:val="Normal"/>
    <w:uiPriority w:val="39"/>
    <w:unhideWhenUsed/>
    <w:qFormat/>
    <w:pPr>
      <w:spacing w:after="57"/>
      <w:ind w:left="1701"/>
    </w:pPr>
  </w:style>
  <w:style w:type="paragraph" w:styleId="TOC8">
    <w:name w:val="toc 8"/>
    <w:basedOn w:val="Normal"/>
    <w:next w:val="Normal"/>
    <w:uiPriority w:val="39"/>
    <w:unhideWhenUsed/>
    <w:qFormat/>
    <w:pPr>
      <w:spacing w:after="57"/>
      <w:ind w:left="1984"/>
    </w:pPr>
  </w:style>
  <w:style w:type="paragraph" w:styleId="TOC9">
    <w:name w:val="toc 9"/>
    <w:basedOn w:val="Normal"/>
    <w:next w:val="Normal"/>
    <w:uiPriority w:val="39"/>
    <w:unhideWhenUsed/>
    <w:qFormat/>
    <w:pPr>
      <w:spacing w:after="57"/>
      <w:ind w:left="2268"/>
    </w:pPr>
  </w:style>
  <w:style w:type="paragraph" w:styleId="TableofFigures">
    <w:name w:val="table of figures"/>
    <w:basedOn w:val="Normal"/>
    <w:next w:val="Normal"/>
    <w:uiPriority w:val="99"/>
    <w:unhideWhenUsed/>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DEAFE3E39C7CA327A7B940690CF10E8D</vt:lpwstr>
  </property>
  <property fmtid="{D5CDD505-2E9C-101B-9397-08002B2CF9AE}" pid="3" name="KSOProductBuildVer">
    <vt:lpwstr>2052-0.0.0.0</vt:lpwstr>
  </property>
</Properties>
</file>