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1A2BAB">
      <w:pPr>
        <w:jc w:val="center"/>
        <w:rPr>
          <w:rFonts w:ascii="宋体" w:hAnsi="宋体" w:cs="宋体"/>
          <w:sz w:val="36"/>
          <w:szCs w:val="36"/>
        </w:rPr>
      </w:pPr>
    </w:p>
    <w:p w:rsidR="001A2BAB">
      <w:pPr>
        <w:jc w:val="center"/>
        <w:rPr>
          <w:rFonts w:ascii="宋体" w:hAnsi="宋体" w:cs="宋体"/>
          <w:sz w:val="36"/>
          <w:szCs w:val="36"/>
          <w:lang w:eastAsia="zh-CN"/>
        </w:rPr>
      </w:pPr>
      <w:r>
        <w:rPr>
          <w:rFonts w:ascii="宋体" w:hAnsi="宋体" w:cs="宋体"/>
          <w:sz w:val="36"/>
          <w:szCs w:val="36"/>
          <w:lang w:eastAsia="zh-CN"/>
        </w:rPr>
        <w:t>易方达研究智选股票型证券投资基金</w:t>
      </w:r>
      <w:r>
        <w:rPr>
          <w:rFonts w:ascii="宋体" w:hAnsi="宋体" w:cs="宋体" w:hint="eastAsia"/>
          <w:sz w:val="36"/>
          <w:szCs w:val="36"/>
          <w:highlight w:val="white"/>
          <w:lang w:eastAsia="zh-CN"/>
        </w:rPr>
        <w:t>（</w:t>
      </w:r>
      <w:r>
        <w:rPr>
          <w:rFonts w:ascii="宋体" w:hAnsi="宋体" w:cs="宋体"/>
          <w:sz w:val="36"/>
          <w:szCs w:val="36"/>
          <w:lang w:eastAsia="zh-CN"/>
        </w:rPr>
        <w:t>易方达研究智选股票</w:t>
      </w:r>
      <w:r>
        <w:rPr>
          <w:rFonts w:ascii="宋体" w:hAnsi="宋体" w:cs="宋体"/>
          <w:sz w:val="36"/>
          <w:highlight w:val="white"/>
          <w:lang w:eastAsia="zh-CN"/>
        </w:rPr>
        <w:t>A</w:t>
      </w:r>
      <w:r>
        <w:rPr>
          <w:rFonts w:ascii="宋体" w:hAnsi="宋体" w:cs="宋体"/>
          <w:sz w:val="36"/>
          <w:szCs w:val="36"/>
          <w:highlight w:val="white"/>
          <w:lang w:eastAsia="zh-CN"/>
        </w:rPr>
        <w:t>）</w:t>
      </w:r>
      <w:r>
        <w:rPr>
          <w:rFonts w:ascii="宋体" w:hAnsi="宋体" w:cs="宋体" w:hint="eastAsia"/>
          <w:sz w:val="36"/>
          <w:szCs w:val="36"/>
          <w:highlight w:val="white"/>
          <w:lang w:eastAsia="zh-CN"/>
        </w:rPr>
        <w:t>基金产品资料概要</w:t>
      </w:r>
    </w:p>
    <w:p w:rsidR="001A2BAB">
      <w:pPr>
        <w:jc w:val="center"/>
        <w:rPr>
          <w:rFonts w:ascii="宋体" w:hAnsi="宋体" w:cs="宋体"/>
          <w:iCs/>
          <w:sz w:val="24"/>
          <w:szCs w:val="24"/>
          <w:lang w:eastAsia="zh-CN"/>
        </w:rPr>
      </w:pPr>
      <w:r>
        <w:rPr>
          <w:rFonts w:ascii="宋体" w:hAnsi="宋体" w:cs="宋体" w:hint="eastAsia"/>
          <w:iCs/>
          <w:sz w:val="24"/>
          <w:szCs w:val="24"/>
          <w:highlight w:val="white"/>
          <w:lang w:eastAsia="zh-CN"/>
        </w:rPr>
        <w:t>编制日期：</w:t>
      </w:r>
      <w:r w:rsidR="0093194C">
        <w:rPr>
          <w:rFonts w:ascii="宋体" w:hAnsi="宋体" w:cs="宋体" w:hint="eastAsia"/>
          <w:iCs/>
          <w:sz w:val="24"/>
          <w:szCs w:val="24"/>
          <w:lang w:eastAsia="zh-CN"/>
        </w:rPr>
        <w:t>2</w:t>
      </w:r>
      <w:r w:rsidR="0093194C">
        <w:rPr>
          <w:rFonts w:ascii="宋体" w:hAnsi="宋体" w:cs="宋体"/>
          <w:iCs/>
          <w:sz w:val="24"/>
          <w:szCs w:val="24"/>
          <w:lang w:eastAsia="zh-CN"/>
        </w:rPr>
        <w:t>026</w:t>
      </w:r>
      <w:r w:rsidR="0093194C">
        <w:rPr>
          <w:rFonts w:ascii="宋体" w:hAnsi="宋体" w:cs="宋体"/>
          <w:iCs/>
          <w:sz w:val="24"/>
          <w:szCs w:val="24"/>
          <w:highlight w:val="white"/>
          <w:lang w:eastAsia="zh-CN"/>
        </w:rPr>
        <w:t>年</w:t>
      </w:r>
      <w:r w:rsidR="0093194C">
        <w:rPr>
          <w:rFonts w:ascii="宋体" w:hAnsi="宋体" w:cs="宋体" w:hint="eastAsia"/>
          <w:iCs/>
          <w:sz w:val="24"/>
          <w:szCs w:val="24"/>
          <w:lang w:eastAsia="zh-CN"/>
        </w:rPr>
        <w:t>2</w:t>
      </w:r>
      <w:r w:rsidR="0093194C">
        <w:rPr>
          <w:rFonts w:ascii="宋体" w:hAnsi="宋体" w:cs="宋体" w:hint="eastAsia"/>
          <w:iCs/>
          <w:sz w:val="24"/>
          <w:szCs w:val="24"/>
          <w:highlight w:val="white"/>
          <w:lang w:eastAsia="zh-CN"/>
        </w:rPr>
        <w:t>月</w:t>
      </w:r>
      <w:r w:rsidR="00091A0A">
        <w:rPr>
          <w:rFonts w:ascii="宋体" w:hAnsi="宋体" w:cs="宋体"/>
          <w:iCs/>
          <w:sz w:val="24"/>
          <w:szCs w:val="24"/>
          <w:lang w:eastAsia="zh-CN"/>
        </w:rPr>
        <w:t>10</w:t>
      </w:r>
      <w:r w:rsidR="0093194C">
        <w:rPr>
          <w:rFonts w:ascii="宋体" w:hAnsi="宋体" w:cs="宋体" w:hint="eastAsia"/>
          <w:iCs/>
          <w:sz w:val="24"/>
          <w:szCs w:val="24"/>
          <w:highlight w:val="white"/>
          <w:lang w:eastAsia="zh-CN"/>
        </w:rPr>
        <w:t>日</w:t>
      </w:r>
    </w:p>
    <w:p w:rsidR="001A2BAB">
      <w:pPr>
        <w:jc w:val="center"/>
        <w:rPr>
          <w:rFonts w:ascii="宋体" w:hAnsi="宋体" w:cs="宋体"/>
          <w:iCs/>
          <w:sz w:val="24"/>
          <w:szCs w:val="24"/>
          <w:lang w:eastAsia="zh-CN"/>
        </w:rPr>
      </w:pPr>
      <w:r>
        <w:rPr>
          <w:rFonts w:ascii="宋体" w:hAnsi="宋体" w:cs="宋体" w:hint="eastAsia"/>
          <w:iCs/>
          <w:sz w:val="24"/>
          <w:szCs w:val="24"/>
          <w:highlight w:val="white"/>
          <w:lang w:eastAsia="zh-CN"/>
        </w:rPr>
        <w:t>送出日期：</w:t>
      </w:r>
      <w:r w:rsidR="0093194C">
        <w:rPr>
          <w:rFonts w:ascii="宋体" w:hAnsi="宋体" w:cs="宋体" w:hint="eastAsia"/>
          <w:iCs/>
          <w:sz w:val="24"/>
          <w:szCs w:val="24"/>
          <w:lang w:eastAsia="zh-CN"/>
        </w:rPr>
        <w:t>2</w:t>
      </w:r>
      <w:r w:rsidR="0093194C">
        <w:rPr>
          <w:rFonts w:ascii="宋体" w:hAnsi="宋体" w:cs="宋体"/>
          <w:iCs/>
          <w:sz w:val="24"/>
          <w:szCs w:val="24"/>
          <w:lang w:eastAsia="zh-CN"/>
        </w:rPr>
        <w:t>026</w:t>
      </w:r>
      <w:r w:rsidR="0093194C">
        <w:rPr>
          <w:rFonts w:ascii="宋体" w:hAnsi="宋体" w:cs="宋体"/>
          <w:iCs/>
          <w:sz w:val="24"/>
          <w:szCs w:val="24"/>
          <w:highlight w:val="white"/>
          <w:lang w:eastAsia="zh-CN"/>
        </w:rPr>
        <w:t>年</w:t>
      </w:r>
      <w:r w:rsidR="0093194C">
        <w:rPr>
          <w:rFonts w:ascii="宋体" w:hAnsi="宋体" w:cs="宋体" w:hint="eastAsia"/>
          <w:iCs/>
          <w:sz w:val="24"/>
          <w:szCs w:val="24"/>
          <w:lang w:eastAsia="zh-CN"/>
        </w:rPr>
        <w:t>2</w:t>
      </w:r>
      <w:r w:rsidR="0093194C">
        <w:rPr>
          <w:rFonts w:ascii="宋体" w:hAnsi="宋体" w:cs="宋体" w:hint="eastAsia"/>
          <w:iCs/>
          <w:sz w:val="24"/>
          <w:szCs w:val="24"/>
          <w:highlight w:val="white"/>
          <w:lang w:eastAsia="zh-CN"/>
        </w:rPr>
        <w:t>月</w:t>
      </w:r>
      <w:r w:rsidR="00091A0A">
        <w:rPr>
          <w:rFonts w:ascii="宋体" w:hAnsi="宋体" w:cs="宋体"/>
          <w:iCs/>
          <w:sz w:val="24"/>
          <w:szCs w:val="24"/>
          <w:lang w:eastAsia="zh-CN"/>
        </w:rPr>
        <w:t>11</w:t>
      </w:r>
      <w:r w:rsidR="0093194C">
        <w:rPr>
          <w:rFonts w:ascii="宋体" w:hAnsi="宋体" w:cs="宋体" w:hint="eastAsia"/>
          <w:iCs/>
          <w:sz w:val="24"/>
          <w:szCs w:val="24"/>
          <w:highlight w:val="white"/>
          <w:lang w:eastAsia="zh-CN"/>
        </w:rPr>
        <w:t>日</w:t>
      </w:r>
    </w:p>
    <w:p w:rsidR="001A2BAB">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本概要提供本基金的重要信息，是招募说明书的一部分。</w:t>
      </w:r>
    </w:p>
    <w:p w:rsidR="001A2BAB">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作出投资决定前，请阅读完整的招募说明书等销售文件。</w:t>
      </w:r>
    </w:p>
    <w:p w:rsidR="001A2BAB">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产品概况</w:t>
      </w:r>
    </w:p>
    <w:tbl>
      <w:tblPr>
        <w:tblStyle w:val="TableGrid"/>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
      <w:tblGrid>
        <w:gridCol w:w="1952"/>
        <w:gridCol w:w="2408"/>
        <w:gridCol w:w="2027"/>
        <w:gridCol w:w="2135"/>
      </w:tblGrid>
      <w:tr>
        <w:tblPrEx>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Ex>
        <w:trPr>
          <w:trHeight w:val="360"/>
        </w:trPr>
        <w:tc>
          <w:tcPr>
            <w:tcW w:w="1952" w:type="dxa"/>
            <w:vAlign w:val="center"/>
          </w:tcPr>
          <w:p w:rsidR="001A2BAB">
            <w:pPr>
              <w:spacing w:line="280" w:lineRule="exact"/>
              <w:rPr>
                <w:rFonts w:ascii="宋体" w:hAnsi="宋体" w:cs="宋体"/>
                <w:b/>
                <w:iCs/>
              </w:rPr>
            </w:pPr>
            <w:r>
              <w:rPr>
                <w:rFonts w:ascii="宋体" w:hAnsi="宋体" w:cs="宋体" w:hint="eastAsia"/>
                <w:b/>
                <w:iCs/>
                <w:highlight w:val="white"/>
              </w:rPr>
              <w:t>基金简称</w:t>
            </w:r>
          </w:p>
        </w:tc>
        <w:tc>
          <w:tcPr>
            <w:tcW w:w="2408" w:type="dxa"/>
            <w:vAlign w:val="center"/>
          </w:tcPr>
          <w:p w:rsidR="001A2BAB">
            <w:pPr>
              <w:spacing w:line="280" w:lineRule="exact"/>
              <w:rPr>
                <w:rFonts w:ascii="宋体" w:hAnsi="宋体" w:cs="宋体"/>
                <w:b/>
                <w:iCs/>
                <w:lang w:eastAsia="zh-CN"/>
              </w:rPr>
            </w:pPr>
            <w:r>
              <w:rPr>
                <w:rFonts w:ascii="宋体" w:hAnsi="宋体" w:cs="宋体" w:hint="eastAsia"/>
                <w:iCs/>
                <w:lang w:eastAsia="zh-CN"/>
              </w:rPr>
              <w:t>易方达研究智选股票</w:t>
            </w:r>
          </w:p>
        </w:tc>
        <w:tc>
          <w:tcPr>
            <w:tcW w:w="2027" w:type="dxa"/>
            <w:vAlign w:val="center"/>
          </w:tcPr>
          <w:p w:rsidR="001A2BAB">
            <w:pPr>
              <w:spacing w:line="280" w:lineRule="exact"/>
              <w:rPr>
                <w:rFonts w:ascii="宋体" w:hAnsi="宋体" w:cs="宋体"/>
                <w:b/>
                <w:iCs/>
              </w:rPr>
            </w:pPr>
            <w:r>
              <w:rPr>
                <w:rFonts w:ascii="宋体" w:hAnsi="宋体" w:cs="宋体" w:hint="eastAsia"/>
                <w:b/>
                <w:iCs/>
                <w:highlight w:val="white"/>
              </w:rPr>
              <w:t>基金代码</w:t>
            </w:r>
          </w:p>
        </w:tc>
        <w:tc>
          <w:tcPr>
            <w:tcW w:w="2135" w:type="dxa"/>
            <w:tcBorders>
              <w:bottom w:val="single" w:sz="4" w:space="0" w:color="A6A6A6" w:themeColor="background1" w:themeShade="A6"/>
            </w:tcBorders>
            <w:vAlign w:val="center"/>
          </w:tcPr>
          <w:p w:rsidR="001A2BAB">
            <w:pPr>
              <w:rPr>
                <w:rFonts w:ascii="宋体" w:hAnsi="宋体" w:cs="宋体"/>
              </w:rPr>
            </w:pPr>
            <w:r w:rsidRPr="0093194C">
              <w:rPr>
                <w:rFonts w:ascii="宋体" w:hAnsi="宋体" w:cs="宋体"/>
              </w:rPr>
              <w:t>026807</w:t>
            </w:r>
          </w:p>
        </w:tc>
      </w:tr>
      <w:tr>
        <w:tblPrEx>
          <w:tblW w:w="8522" w:type="dxa"/>
          <w:tblLayout w:type="fixed"/>
          <w:tblLook w:val="04A0"/>
        </w:tblPrEx>
        <w:trPr>
          <w:trHeight w:val="360"/>
        </w:trPr>
        <w:tc>
          <w:tcPr>
            <w:tcW w:w="1952" w:type="dxa"/>
            <w:vAlign w:val="center"/>
          </w:tcPr>
          <w:p w:rsidR="001A2BAB">
            <w:pPr>
              <w:spacing w:line="280" w:lineRule="exact"/>
              <w:rPr>
                <w:rFonts w:ascii="宋体" w:hAnsi="宋体" w:cs="宋体"/>
                <w:b/>
                <w:iCs/>
              </w:rPr>
            </w:pPr>
            <w:r>
              <w:rPr>
                <w:rFonts w:ascii="宋体" w:hAnsi="宋体" w:cs="宋体" w:hint="eastAsia"/>
                <w:b/>
                <w:iCs/>
                <w:highlight w:val="white"/>
              </w:rPr>
              <w:t>下属基金简称</w:t>
            </w:r>
          </w:p>
        </w:tc>
        <w:tc>
          <w:tcPr>
            <w:tcW w:w="2408" w:type="dxa"/>
            <w:tcBorders>
              <w:top w:val="single" w:sz="4" w:space="0" w:color="A6A6A6" w:themeColor="background1" w:themeShade="A6"/>
            </w:tcBorders>
            <w:vAlign w:val="center"/>
          </w:tcPr>
          <w:p w:rsidR="001A2BAB">
            <w:pPr>
              <w:spacing w:line="280" w:lineRule="exact"/>
              <w:rPr>
                <w:rFonts w:ascii="宋体" w:hAnsi="宋体" w:cs="宋体"/>
                <w:iCs/>
                <w:lang w:eastAsia="zh-CN"/>
              </w:rPr>
            </w:pPr>
            <w:r>
              <w:rPr>
                <w:rFonts w:ascii="宋体" w:hAnsi="宋体" w:cs="宋体" w:hint="eastAsia"/>
                <w:iCs/>
                <w:lang w:eastAsia="zh-CN"/>
              </w:rPr>
              <w:t>易方达研究智选股票</w:t>
            </w:r>
            <w:r>
              <w:rPr>
                <w:rFonts w:ascii="宋体" w:hAnsi="宋体" w:cs="宋体"/>
                <w:highlight w:val="white"/>
                <w:lang w:eastAsia="zh-CN"/>
              </w:rPr>
              <w:t>A</w:t>
            </w:r>
          </w:p>
        </w:tc>
        <w:tc>
          <w:tcPr>
            <w:tcW w:w="2027" w:type="dxa"/>
            <w:vAlign w:val="center"/>
          </w:tcPr>
          <w:p w:rsidR="001A2BAB">
            <w:pPr>
              <w:spacing w:line="280" w:lineRule="exact"/>
              <w:rPr>
                <w:rFonts w:ascii="宋体" w:hAnsi="宋体" w:cs="宋体"/>
                <w:b/>
                <w:iCs/>
              </w:rPr>
            </w:pPr>
            <w:r>
              <w:rPr>
                <w:rFonts w:ascii="宋体" w:hAnsi="宋体" w:cs="宋体" w:hint="eastAsia"/>
                <w:b/>
                <w:iCs/>
                <w:highlight w:val="white"/>
              </w:rPr>
              <w:t>下属基金代码</w:t>
            </w:r>
          </w:p>
        </w:tc>
        <w:tc>
          <w:tcPr>
            <w:tcW w:w="2135" w:type="dxa"/>
            <w:tcBorders>
              <w:top w:val="single" w:sz="4" w:space="0" w:color="A6A6A6" w:themeColor="background1" w:themeShade="A6"/>
              <w:bottom w:val="nil"/>
            </w:tcBorders>
            <w:vAlign w:val="center"/>
          </w:tcPr>
          <w:p w:rsidR="001A2BAB">
            <w:pPr>
              <w:rPr>
                <w:rFonts w:ascii="宋体" w:hAnsi="宋体" w:cs="宋体"/>
              </w:rPr>
            </w:pPr>
            <w:r w:rsidRPr="0093194C">
              <w:rPr>
                <w:rFonts w:ascii="宋体" w:hAnsi="宋体" w:cs="宋体"/>
              </w:rPr>
              <w:t>026807</w:t>
            </w:r>
          </w:p>
        </w:tc>
      </w:tr>
      <w:tr>
        <w:tblPrEx>
          <w:tblW w:w="8522" w:type="dxa"/>
          <w:tblLayout w:type="fixed"/>
          <w:tblLook w:val="04A0"/>
        </w:tblPrEx>
        <w:trPr>
          <w:trHeight w:val="360"/>
        </w:trPr>
        <w:tc>
          <w:tcPr>
            <w:tcW w:w="1952" w:type="dxa"/>
            <w:vAlign w:val="center"/>
          </w:tcPr>
          <w:p w:rsidR="001A2BAB">
            <w:pPr>
              <w:spacing w:line="280" w:lineRule="exact"/>
              <w:rPr>
                <w:rFonts w:ascii="宋体" w:hAnsi="宋体" w:cs="宋体"/>
                <w:b/>
                <w:iCs/>
              </w:rPr>
            </w:pPr>
            <w:r>
              <w:rPr>
                <w:rFonts w:ascii="宋体" w:hAnsi="宋体" w:cs="宋体" w:hint="eastAsia"/>
                <w:b/>
                <w:iCs/>
                <w:highlight w:val="white"/>
              </w:rPr>
              <w:t>基金管理人</w:t>
            </w:r>
          </w:p>
        </w:tc>
        <w:tc>
          <w:tcPr>
            <w:tcW w:w="2408" w:type="dxa"/>
            <w:tcBorders>
              <w:top w:val="single" w:sz="4" w:space="0" w:color="A6A6A6" w:themeColor="background1" w:themeShade="A6"/>
            </w:tcBorders>
            <w:vAlign w:val="center"/>
          </w:tcPr>
          <w:p w:rsidR="001A2BAB">
            <w:pPr>
              <w:spacing w:line="280" w:lineRule="exact"/>
              <w:rPr>
                <w:rFonts w:ascii="宋体" w:hAnsi="宋体" w:cs="宋体"/>
                <w:iCs/>
                <w:lang w:eastAsia="zh-CN"/>
              </w:rPr>
            </w:pPr>
            <w:r>
              <w:rPr>
                <w:rFonts w:ascii="宋体" w:hAnsi="宋体" w:cs="宋体" w:hint="eastAsia"/>
                <w:iCs/>
                <w:lang w:eastAsia="zh-CN"/>
              </w:rPr>
              <w:t>易方达基金管理有限公司</w:t>
            </w:r>
          </w:p>
        </w:tc>
        <w:tc>
          <w:tcPr>
            <w:tcW w:w="2027" w:type="dxa"/>
            <w:vAlign w:val="center"/>
          </w:tcPr>
          <w:p w:rsidR="001A2BAB">
            <w:pPr>
              <w:spacing w:line="280" w:lineRule="exact"/>
              <w:rPr>
                <w:rFonts w:ascii="宋体" w:hAnsi="宋体" w:cs="宋体"/>
                <w:b/>
                <w:iCs/>
              </w:rPr>
            </w:pPr>
            <w:r>
              <w:rPr>
                <w:rFonts w:ascii="宋体" w:hAnsi="宋体" w:cs="宋体" w:hint="eastAsia"/>
                <w:b/>
                <w:iCs/>
                <w:highlight w:val="white"/>
              </w:rPr>
              <w:t>基金托管人</w:t>
            </w:r>
          </w:p>
        </w:tc>
        <w:tc>
          <w:tcPr>
            <w:tcW w:w="2135" w:type="dxa"/>
            <w:tcBorders>
              <w:top w:val="single" w:sz="4" w:space="0" w:color="A6A6A6" w:themeColor="background1" w:themeShade="A6"/>
            </w:tcBorders>
            <w:vAlign w:val="center"/>
          </w:tcPr>
          <w:p w:rsidR="001A2BAB">
            <w:pPr>
              <w:spacing w:line="280" w:lineRule="exact"/>
              <w:rPr>
                <w:rFonts w:ascii="宋体" w:hAnsi="宋体" w:cs="宋体"/>
                <w:iCs/>
                <w:lang w:eastAsia="zh-CN"/>
              </w:rPr>
            </w:pPr>
            <w:r>
              <w:rPr>
                <w:rFonts w:ascii="宋体" w:hAnsi="宋体" w:cs="宋体" w:hint="eastAsia"/>
                <w:iCs/>
                <w:lang w:eastAsia="zh-CN"/>
              </w:rPr>
              <w:t>中国银行股份有限公司</w:t>
            </w:r>
          </w:p>
        </w:tc>
      </w:tr>
      <w:tr>
        <w:tblPrEx>
          <w:tblW w:w="8522" w:type="dxa"/>
          <w:tblLayout w:type="fixed"/>
          <w:tblLook w:val="04A0"/>
        </w:tblPrEx>
        <w:trPr>
          <w:trHeight w:val="454"/>
        </w:trPr>
        <w:tc>
          <w:tcPr>
            <w:tcW w:w="1952" w:type="dxa"/>
            <w:vAlign w:val="center"/>
          </w:tcPr>
          <w:p w:rsidR="001A2BAB">
            <w:pPr>
              <w:spacing w:line="280" w:lineRule="exact"/>
              <w:rPr>
                <w:rFonts w:ascii="宋体" w:hAnsi="宋体" w:cs="宋体"/>
                <w:b/>
                <w:iCs/>
              </w:rPr>
            </w:pPr>
            <w:r>
              <w:rPr>
                <w:rFonts w:ascii="宋体" w:hAnsi="宋体" w:cs="宋体" w:hint="eastAsia"/>
                <w:b/>
                <w:iCs/>
                <w:highlight w:val="white"/>
              </w:rPr>
              <w:t>基金合同生效日</w:t>
            </w:r>
          </w:p>
        </w:tc>
        <w:tc>
          <w:tcPr>
            <w:tcW w:w="2408" w:type="dxa"/>
            <w:vAlign w:val="center"/>
          </w:tcPr>
          <w:p w:rsidR="001A2BAB">
            <w:pPr>
              <w:spacing w:line="280" w:lineRule="exact"/>
              <w:rPr>
                <w:rFonts w:ascii="宋体" w:hAnsi="宋体" w:cs="宋体"/>
                <w:iCs/>
              </w:rPr>
            </w:pPr>
            <w:r>
              <w:rPr>
                <w:rFonts w:ascii="宋体" w:hAnsi="宋体" w:cs="宋体" w:hint="eastAsia"/>
                <w:iCs/>
                <w:highlight w:val="white"/>
              </w:rPr>
              <w:t>-</w:t>
            </w:r>
          </w:p>
        </w:tc>
        <w:tc>
          <w:tcPr>
            <w:tcW w:w="2027" w:type="dxa"/>
            <w:vAlign w:val="center"/>
          </w:tcPr>
          <w:p w:rsidR="001A2BAB">
            <w:pPr>
              <w:spacing w:line="280" w:lineRule="exact"/>
              <w:rPr>
                <w:rFonts w:ascii="宋体" w:hAnsi="宋体" w:cs="宋体"/>
                <w:b/>
                <w:iCs/>
              </w:rPr>
            </w:pPr>
          </w:p>
        </w:tc>
        <w:tc>
          <w:tcPr>
            <w:tcW w:w="2135" w:type="dxa"/>
            <w:tcBorders>
              <w:top w:val="single" w:sz="4" w:space="0" w:color="A6A6A6" w:themeColor="background1" w:themeShade="A6"/>
              <w:bottom w:val="nil"/>
            </w:tcBorders>
            <w:vAlign w:val="center"/>
          </w:tcPr>
          <w:p w:rsidR="001A2BAB">
            <w:pPr>
              <w:spacing w:line="280" w:lineRule="exact"/>
              <w:rPr>
                <w:rFonts w:ascii="宋体" w:hAnsi="宋体" w:cs="宋体"/>
                <w:iCs/>
              </w:rPr>
            </w:pPr>
            <w:r>
              <w:rPr>
                <w:rFonts w:ascii="宋体" w:hAnsi="宋体" w:cs="宋体" w:hint="eastAsia"/>
                <w:iCs/>
                <w:highlight w:val="white"/>
              </w:rPr>
              <w:t xml:space="preserve"> </w:t>
            </w:r>
          </w:p>
        </w:tc>
      </w:tr>
      <w:tr>
        <w:tblPrEx>
          <w:tblW w:w="8522" w:type="dxa"/>
          <w:tblLayout w:type="fixed"/>
          <w:tblLook w:val="04A0"/>
        </w:tblPrEx>
        <w:trPr>
          <w:trHeight w:val="360"/>
        </w:trPr>
        <w:tc>
          <w:tcPr>
            <w:tcW w:w="1952" w:type="dxa"/>
            <w:vAlign w:val="center"/>
          </w:tcPr>
          <w:p w:rsidR="001A2BAB">
            <w:pPr>
              <w:spacing w:line="280" w:lineRule="exact"/>
              <w:rPr>
                <w:rFonts w:ascii="宋体" w:hAnsi="宋体" w:cs="宋体"/>
                <w:b/>
                <w:iCs/>
              </w:rPr>
            </w:pPr>
            <w:r>
              <w:rPr>
                <w:rFonts w:ascii="宋体" w:hAnsi="宋体" w:cs="宋体" w:hint="eastAsia"/>
                <w:b/>
                <w:iCs/>
                <w:highlight w:val="white"/>
              </w:rPr>
              <w:t>基金类型</w:t>
            </w:r>
          </w:p>
        </w:tc>
        <w:tc>
          <w:tcPr>
            <w:tcW w:w="2408" w:type="dxa"/>
            <w:vAlign w:val="center"/>
          </w:tcPr>
          <w:p w:rsidR="001A2BAB">
            <w:pPr>
              <w:spacing w:line="280" w:lineRule="exact"/>
              <w:rPr>
                <w:rFonts w:ascii="宋体" w:hAnsi="宋体" w:cs="宋体"/>
                <w:iCs/>
                <w:lang w:eastAsia="zh-CN"/>
              </w:rPr>
            </w:pPr>
            <w:r>
              <w:rPr>
                <w:rFonts w:ascii="宋体" w:hAnsi="宋体" w:cs="宋体" w:hint="eastAsia"/>
                <w:iCs/>
                <w:lang w:eastAsia="zh-CN"/>
              </w:rPr>
              <w:t>股票</w:t>
            </w:r>
            <w:r>
              <w:rPr>
                <w:rFonts w:ascii="宋体" w:hAnsi="宋体" w:cs="宋体" w:hint="eastAsia"/>
                <w:iCs/>
                <w:lang w:eastAsia="zh-CN"/>
              </w:rPr>
              <w:t>型</w:t>
            </w:r>
          </w:p>
        </w:tc>
        <w:tc>
          <w:tcPr>
            <w:tcW w:w="2027" w:type="dxa"/>
            <w:vAlign w:val="center"/>
          </w:tcPr>
          <w:p w:rsidR="001A2BAB">
            <w:pPr>
              <w:spacing w:line="280" w:lineRule="exact"/>
              <w:rPr>
                <w:rFonts w:ascii="宋体" w:hAnsi="宋体" w:cs="宋体"/>
                <w:b/>
                <w:iCs/>
              </w:rPr>
            </w:pPr>
            <w:r>
              <w:rPr>
                <w:rFonts w:ascii="宋体" w:hAnsi="宋体" w:cs="宋体" w:hint="eastAsia"/>
                <w:b/>
                <w:iCs/>
                <w:highlight w:val="white"/>
              </w:rPr>
              <w:t>交易币种</w:t>
            </w:r>
          </w:p>
        </w:tc>
        <w:tc>
          <w:tcPr>
            <w:tcW w:w="2135" w:type="dxa"/>
            <w:tcBorders>
              <w:top w:val="single" w:sz="4" w:space="0" w:color="A6A6A6" w:themeColor="background1" w:themeShade="A6"/>
            </w:tcBorders>
            <w:vAlign w:val="center"/>
          </w:tcPr>
          <w:p w:rsidR="001A2BAB">
            <w:pPr>
              <w:spacing w:line="280" w:lineRule="exact"/>
              <w:rPr>
                <w:rFonts w:ascii="宋体" w:hAnsi="宋体" w:cs="宋体"/>
                <w:iCs/>
                <w:lang w:eastAsia="zh-CN"/>
              </w:rPr>
            </w:pPr>
            <w:r>
              <w:rPr>
                <w:rFonts w:ascii="宋体" w:hAnsi="宋体" w:cs="宋体" w:hint="eastAsia"/>
                <w:iCs/>
                <w:lang w:eastAsia="zh-CN"/>
              </w:rPr>
              <w:t>人民币</w:t>
            </w:r>
          </w:p>
        </w:tc>
      </w:tr>
      <w:tr>
        <w:tblPrEx>
          <w:tblW w:w="8522" w:type="dxa"/>
          <w:tblLayout w:type="fixed"/>
          <w:tblLook w:val="04A0"/>
        </w:tblPrEx>
        <w:trPr>
          <w:trHeight w:val="360"/>
        </w:trPr>
        <w:tc>
          <w:tcPr>
            <w:tcW w:w="1952" w:type="dxa"/>
            <w:vAlign w:val="center"/>
          </w:tcPr>
          <w:p w:rsidR="001A2BAB">
            <w:pPr>
              <w:spacing w:line="280" w:lineRule="exact"/>
              <w:rPr>
                <w:rFonts w:ascii="宋体" w:hAnsi="宋体" w:cs="宋体"/>
                <w:b/>
                <w:iCs/>
              </w:rPr>
            </w:pPr>
            <w:r>
              <w:rPr>
                <w:rFonts w:ascii="宋体" w:hAnsi="宋体" w:cs="宋体" w:hint="eastAsia"/>
                <w:b/>
                <w:iCs/>
                <w:highlight w:val="white"/>
              </w:rPr>
              <w:t>运作方式</w:t>
            </w:r>
          </w:p>
        </w:tc>
        <w:tc>
          <w:tcPr>
            <w:tcW w:w="2408" w:type="dxa"/>
            <w:vAlign w:val="center"/>
          </w:tcPr>
          <w:p w:rsidR="001A2BAB">
            <w:pPr>
              <w:spacing w:line="280" w:lineRule="exact"/>
              <w:rPr>
                <w:rFonts w:ascii="宋体" w:hAnsi="宋体" w:cs="宋体"/>
                <w:iCs/>
                <w:lang w:eastAsia="zh-CN"/>
              </w:rPr>
            </w:pPr>
            <w:r>
              <w:rPr>
                <w:rFonts w:ascii="宋体" w:hAnsi="宋体" w:cs="宋体" w:hint="eastAsia"/>
                <w:iCs/>
                <w:lang w:eastAsia="zh-CN"/>
              </w:rPr>
              <w:t>普通开放式</w:t>
            </w:r>
          </w:p>
        </w:tc>
        <w:tc>
          <w:tcPr>
            <w:tcW w:w="2027" w:type="dxa"/>
            <w:vAlign w:val="center"/>
          </w:tcPr>
          <w:p w:rsidR="001A2BAB">
            <w:pPr>
              <w:spacing w:line="280" w:lineRule="exact"/>
              <w:rPr>
                <w:rFonts w:ascii="宋体" w:hAnsi="宋体" w:cs="宋体"/>
                <w:b/>
                <w:iCs/>
              </w:rPr>
            </w:pPr>
            <w:r>
              <w:rPr>
                <w:rFonts w:ascii="宋体" w:hAnsi="宋体" w:cs="宋体" w:hint="eastAsia"/>
                <w:b/>
                <w:iCs/>
                <w:highlight w:val="white"/>
              </w:rPr>
              <w:t>开放频率</w:t>
            </w:r>
          </w:p>
        </w:tc>
        <w:tc>
          <w:tcPr>
            <w:tcW w:w="2135" w:type="dxa"/>
            <w:vAlign w:val="center"/>
          </w:tcPr>
          <w:p w:rsidR="001A2BAB">
            <w:pPr>
              <w:spacing w:line="280" w:lineRule="exact"/>
              <w:rPr>
                <w:rFonts w:ascii="宋体" w:hAnsi="宋体" w:cs="宋体"/>
                <w:iCs/>
                <w:lang w:eastAsia="zh-CN"/>
              </w:rPr>
            </w:pPr>
            <w:r>
              <w:rPr>
                <w:rFonts w:ascii="宋体" w:hAnsi="宋体" w:cs="宋体" w:hint="eastAsia"/>
                <w:iCs/>
                <w:lang w:eastAsia="zh-CN"/>
              </w:rPr>
              <w:t>每个开放日</w:t>
            </w:r>
          </w:p>
        </w:tc>
      </w:tr>
      <w:tr>
        <w:tblPrEx>
          <w:tblW w:w="8522" w:type="dxa"/>
          <w:tblLayout w:type="fixed"/>
          <w:tblLook w:val="04A0"/>
        </w:tblPrEx>
        <w:trPr>
          <w:trHeight w:val="360"/>
        </w:trPr>
        <w:tc>
          <w:tcPr>
            <w:tcW w:w="1952" w:type="dxa"/>
            <w:vMerge w:val="restart"/>
            <w:vAlign w:val="center"/>
          </w:tcPr>
          <w:p w:rsidR="001A2BAB">
            <w:pPr>
              <w:spacing w:line="280" w:lineRule="exact"/>
              <w:rPr>
                <w:rFonts w:ascii="宋体" w:hAnsi="宋体" w:cs="宋体"/>
                <w:b/>
                <w:iCs/>
              </w:rPr>
            </w:pPr>
            <w:r>
              <w:rPr>
                <w:rFonts w:ascii="宋体" w:hAnsi="宋体" w:cs="宋体" w:hint="eastAsia"/>
                <w:b/>
                <w:iCs/>
                <w:highlight w:val="white"/>
              </w:rPr>
              <w:t>基金经理</w:t>
            </w:r>
          </w:p>
        </w:tc>
        <w:tc>
          <w:tcPr>
            <w:tcW w:w="2408" w:type="dxa"/>
            <w:vMerge w:val="restart"/>
            <w:vAlign w:val="center"/>
          </w:tcPr>
          <w:p w:rsidR="001A2BAB">
            <w:pPr>
              <w:spacing w:line="280" w:lineRule="exact"/>
              <w:rPr>
                <w:rFonts w:ascii="宋体" w:hAnsi="宋体" w:cs="宋体"/>
                <w:iCs/>
                <w:lang w:eastAsia="zh-CN"/>
              </w:rPr>
            </w:pPr>
            <w:r>
              <w:rPr>
                <w:rFonts w:ascii="宋体" w:hAnsi="宋体" w:cs="宋体" w:hint="eastAsia"/>
                <w:iCs/>
                <w:lang w:eastAsia="zh-CN"/>
              </w:rPr>
              <w:t>包正钰</w:t>
            </w:r>
          </w:p>
        </w:tc>
        <w:tc>
          <w:tcPr>
            <w:tcW w:w="2027" w:type="dxa"/>
            <w:vAlign w:val="center"/>
          </w:tcPr>
          <w:p w:rsidR="001A2BAB">
            <w:pPr>
              <w:spacing w:line="280" w:lineRule="exact"/>
              <w:rPr>
                <w:rFonts w:ascii="宋体" w:hAnsi="宋体" w:cs="宋体"/>
                <w:b/>
                <w:iCs/>
                <w:lang w:eastAsia="zh-CN"/>
              </w:rPr>
            </w:pPr>
            <w:r>
              <w:rPr>
                <w:rFonts w:ascii="宋体" w:hAnsi="宋体" w:cs="宋体" w:hint="eastAsia"/>
                <w:b/>
                <w:iCs/>
                <w:highlight w:val="white"/>
                <w:lang w:eastAsia="zh-CN"/>
              </w:rPr>
              <w:t>开始担任本基金基金经理的日期</w:t>
            </w:r>
          </w:p>
        </w:tc>
        <w:tc>
          <w:tcPr>
            <w:tcW w:w="2135" w:type="dxa"/>
            <w:vAlign w:val="center"/>
          </w:tcPr>
          <w:p w:rsidR="001A2BAB">
            <w:pPr>
              <w:spacing w:line="280" w:lineRule="exact"/>
              <w:rPr>
                <w:rFonts w:ascii="宋体" w:hAnsi="宋体" w:cs="宋体"/>
                <w:iCs/>
              </w:rPr>
            </w:pPr>
            <w:r>
              <w:rPr>
                <w:rFonts w:ascii="宋体" w:hAnsi="宋体" w:cs="宋体"/>
                <w:iCs/>
                <w:highlight w:val="white"/>
              </w:rPr>
              <w:t>-</w:t>
            </w:r>
          </w:p>
        </w:tc>
      </w:tr>
      <w:tr>
        <w:tblPrEx>
          <w:tblW w:w="8522" w:type="dxa"/>
          <w:tblLayout w:type="fixed"/>
          <w:tblLook w:val="04A0"/>
        </w:tblPrEx>
        <w:trPr>
          <w:trHeight w:val="360"/>
        </w:trPr>
        <w:tc>
          <w:tcPr>
            <w:tcW w:w="1952" w:type="dxa"/>
            <w:vMerge/>
            <w:vAlign w:val="center"/>
          </w:tcPr>
          <w:p w:rsidR="001A2BAB">
            <w:pPr>
              <w:spacing w:line="280" w:lineRule="exact"/>
              <w:rPr>
                <w:rFonts w:ascii="方正仿宋简体" w:eastAsia="方正仿宋简体" w:cs="方正仿宋简体"/>
                <w:b/>
                <w:iCs/>
              </w:rPr>
            </w:pPr>
          </w:p>
        </w:tc>
        <w:tc>
          <w:tcPr>
            <w:tcW w:w="2408" w:type="dxa"/>
            <w:vMerge/>
            <w:vAlign w:val="center"/>
          </w:tcPr>
          <w:p w:rsidR="001A2BAB">
            <w:pPr>
              <w:spacing w:line="280" w:lineRule="exact"/>
              <w:rPr>
                <w:rFonts w:ascii="方正仿宋简体" w:eastAsia="方正仿宋简体" w:cs="方正仿宋简体"/>
                <w:b/>
                <w:iCs/>
              </w:rPr>
            </w:pPr>
          </w:p>
        </w:tc>
        <w:tc>
          <w:tcPr>
            <w:tcW w:w="2027" w:type="dxa"/>
            <w:vAlign w:val="center"/>
          </w:tcPr>
          <w:p w:rsidR="001A2BAB">
            <w:pPr>
              <w:spacing w:line="280" w:lineRule="exact"/>
              <w:rPr>
                <w:rFonts w:ascii="宋体" w:hAnsi="宋体" w:cs="宋体"/>
                <w:b/>
                <w:iCs/>
              </w:rPr>
            </w:pPr>
            <w:r>
              <w:rPr>
                <w:rFonts w:ascii="宋体" w:hAnsi="宋体" w:cs="宋体" w:hint="eastAsia"/>
                <w:b/>
                <w:iCs/>
                <w:highlight w:val="white"/>
              </w:rPr>
              <w:t>证券从业日期</w:t>
            </w:r>
          </w:p>
        </w:tc>
        <w:tc>
          <w:tcPr>
            <w:tcW w:w="2135" w:type="dxa"/>
            <w:vAlign w:val="center"/>
          </w:tcPr>
          <w:p w:rsidR="001A2BAB">
            <w:pPr>
              <w:spacing w:line="280" w:lineRule="exact"/>
              <w:rPr>
                <w:rFonts w:ascii="宋体" w:hAnsi="宋体" w:cs="宋体"/>
                <w:lang w:eastAsia="zh-CN"/>
              </w:rPr>
            </w:pPr>
            <w:r>
              <w:rPr>
                <w:rFonts w:ascii="宋体" w:hAnsi="宋体" w:cs="宋体"/>
                <w:lang w:eastAsia="zh-CN"/>
              </w:rPr>
              <w:t>2017-07-12</w:t>
            </w:r>
          </w:p>
        </w:tc>
      </w:tr>
      <w:tr>
        <w:tblPrEx>
          <w:tblW w:w="8522" w:type="dxa"/>
          <w:tblLayout w:type="fixed"/>
          <w:tblLook w:val="04A0"/>
        </w:tblPrEx>
        <w:trPr>
          <w:trHeight w:val="454"/>
        </w:trPr>
        <w:tc>
          <w:tcPr>
            <w:tcW w:w="1952" w:type="dxa"/>
            <w:vAlign w:val="center"/>
          </w:tcPr>
          <w:p w:rsidR="001A2BAB">
            <w:pPr>
              <w:widowControl/>
              <w:jc w:val="left"/>
              <w:rPr>
                <w:rFonts w:ascii="宋体" w:hAnsi="宋体" w:cs="宋体"/>
                <w:szCs w:val="24"/>
              </w:rPr>
            </w:pPr>
            <w:r>
              <w:rPr>
                <w:rFonts w:ascii="宋体" w:hAnsi="宋体" w:cs="宋体" w:hint="eastAsia"/>
                <w:iCs/>
                <w:highlight w:val="white"/>
              </w:rPr>
              <w:t>其他</w:t>
            </w:r>
            <w:r>
              <w:rPr>
                <w:rFonts w:ascii="宋体" w:hAnsi="宋体" w:cs="宋体" w:hint="eastAsia"/>
                <w:szCs w:val="24"/>
                <w:highlight w:val="white"/>
              </w:rPr>
              <w:t xml:space="preserve"> </w:t>
            </w:r>
          </w:p>
        </w:tc>
        <w:tc>
          <w:tcPr>
            <w:tcW w:w="6570" w:type="dxa"/>
            <w:gridSpan w:val="3"/>
            <w:vAlign w:val="center"/>
          </w:tcPr>
          <w:p w:rsidR="001A2BAB">
            <w:pPr>
              <w:spacing w:line="280" w:lineRule="exact"/>
              <w:rPr>
                <w:rFonts w:ascii="宋体" w:hAnsi="宋体" w:cs="宋体"/>
                <w:b/>
                <w:iCs/>
                <w:lang w:eastAsia="zh-CN"/>
              </w:rPr>
            </w:pPr>
            <w:r>
              <w:rPr>
                <w:rFonts w:ascii="宋体" w:hAnsi="宋体" w:cs="宋体"/>
                <w:color w:val="000000"/>
                <w:highlight w:val="white"/>
                <w:lang w:eastAsia="zh-CN"/>
              </w:rPr>
              <w:t>本基金场内投资采用证券公司交易和结算模式。</w:t>
            </w:r>
          </w:p>
        </w:tc>
      </w:tr>
    </w:tbl>
    <w:p w:rsidR="001A2BAB">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基金投资与净值表现</w:t>
      </w:r>
    </w:p>
    <w:p w:rsidR="001A2BAB">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（一）投资目标与投资策略</w:t>
      </w:r>
    </w:p>
    <w:tbl>
      <w:tblPr>
        <w:tblStyle w:val="TableGrid"/>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
      <w:tblGrid>
        <w:gridCol w:w="2093"/>
        <w:gridCol w:w="6429"/>
      </w:tblGrid>
      <w:tr>
        <w:tblPrEx>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Ex>
        <w:trPr>
          <w:trHeight w:val="360"/>
        </w:trPr>
        <w:tc>
          <w:tcPr>
            <w:tcW w:w="2093" w:type="dxa"/>
            <w:vAlign w:val="center"/>
          </w:tcPr>
          <w:p w:rsidR="001A2BAB">
            <w:pPr>
              <w:spacing w:line="280" w:lineRule="exact"/>
              <w:rPr>
                <w:rFonts w:ascii="宋体" w:hAnsi="宋体" w:cs="宋体"/>
                <w:szCs w:val="24"/>
              </w:rPr>
            </w:pPr>
            <w:r>
              <w:rPr>
                <w:rFonts w:ascii="宋体" w:hAnsi="宋体" w:cs="宋体" w:hint="eastAsia"/>
                <w:b/>
                <w:bCs/>
                <w:iCs/>
                <w:szCs w:val="24"/>
                <w:highlight w:val="white"/>
              </w:rPr>
              <w:t>投资目标</w:t>
            </w:r>
          </w:p>
        </w:tc>
        <w:tc>
          <w:tcPr>
            <w:tcW w:w="6429" w:type="dxa"/>
            <w:vAlign w:val="center"/>
          </w:tcPr>
          <w:p w:rsidR="001A2BAB">
            <w:pPr>
              <w:spacing w:line="280" w:lineRule="exact"/>
              <w:ind w:firstLine="420"/>
              <w:rPr>
                <w:rFonts w:ascii="宋体" w:hAnsi="宋体" w:cs="宋体"/>
                <w:iCs/>
                <w:lang w:eastAsia="zh-CN"/>
              </w:rPr>
            </w:pPr>
            <w:r>
              <w:rPr>
                <w:rFonts w:ascii="宋体" w:hAnsi="宋体" w:cs="宋体" w:hint="eastAsia"/>
                <w:iCs/>
                <w:lang w:eastAsia="zh-CN"/>
              </w:rPr>
              <w:t>本基金在控制风险的前提下，追求超越业绩比较基准的投资回报。</w:t>
            </w:r>
          </w:p>
        </w:tc>
      </w:tr>
      <w:tr>
        <w:tblPrEx>
          <w:tblW w:w="8522" w:type="dxa"/>
          <w:tblLayout w:type="fixed"/>
          <w:tblLook w:val="04A0"/>
        </w:tblPrEx>
        <w:trPr>
          <w:trHeight w:val="360"/>
        </w:trPr>
        <w:tc>
          <w:tcPr>
            <w:tcW w:w="2093" w:type="dxa"/>
            <w:vAlign w:val="center"/>
          </w:tcPr>
          <w:p w:rsidR="001A2BAB">
            <w:pPr>
              <w:spacing w:line="280" w:lineRule="exact"/>
              <w:rPr>
                <w:rFonts w:ascii="宋体" w:hAnsi="宋体" w:cs="宋体"/>
                <w:szCs w:val="24"/>
              </w:rPr>
            </w:pPr>
            <w:r>
              <w:rPr>
                <w:rFonts w:ascii="宋体" w:hAnsi="宋体" w:cs="宋体" w:hint="eastAsia"/>
                <w:b/>
                <w:bCs/>
                <w:iCs/>
                <w:szCs w:val="24"/>
                <w:highlight w:val="white"/>
              </w:rPr>
              <w:t>投资范围</w:t>
            </w:r>
          </w:p>
        </w:tc>
        <w:tc>
          <w:tcPr>
            <w:tcW w:w="6429" w:type="dxa"/>
            <w:vAlign w:val="center"/>
          </w:tcPr>
          <w:p w:rsidR="001A2BAB">
            <w:pPr>
              <w:spacing w:line="280" w:lineRule="exact"/>
              <w:ind w:firstLine="420"/>
              <w:rPr>
                <w:rFonts w:ascii="宋体" w:hAnsi="宋体" w:cs="宋体"/>
                <w:iCs/>
                <w:lang w:eastAsia="zh-CN"/>
              </w:rPr>
            </w:pPr>
            <w:r>
              <w:rPr>
                <w:rFonts w:ascii="宋体" w:hAnsi="宋体" w:cs="宋体" w:hint="eastAsia"/>
                <w:iCs/>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1A2BAB">
            <w:pPr>
              <w:spacing w:line="280" w:lineRule="exact"/>
              <w:ind w:firstLine="420"/>
              <w:rPr>
                <w:rFonts w:ascii="宋体" w:hAnsi="宋体" w:cs="宋体"/>
                <w:iCs/>
                <w:lang w:eastAsia="zh-CN"/>
              </w:rPr>
            </w:pPr>
            <w:r>
              <w:rPr>
                <w:rFonts w:ascii="宋体" w:hAnsi="宋体" w:cs="宋体" w:hint="eastAsia"/>
                <w:iCs/>
                <w:lang w:eastAsia="zh-CN"/>
              </w:rPr>
              <w:t>如法律法规或监管机构以后允许基金投资其他品种，基金管理人在履行适当程序后，本基金可以将其纳入投资范围。</w:t>
            </w:r>
          </w:p>
          <w:p w:rsidR="001A2BAB">
            <w:pPr>
              <w:spacing w:line="280" w:lineRule="exact"/>
              <w:ind w:firstLine="420"/>
              <w:rPr>
                <w:rFonts w:ascii="宋体" w:hAnsi="宋体" w:cs="宋体"/>
                <w:color w:val="000000"/>
                <w:lang w:eastAsia="zh-CN"/>
              </w:rPr>
            </w:pPr>
            <w:r>
              <w:rPr>
                <w:rFonts w:ascii="宋体" w:hAnsi="宋体" w:cs="宋体"/>
                <w:color w:val="000000"/>
                <w:highlight w:val="white"/>
                <w:lang w:eastAsia="zh-CN"/>
              </w:rPr>
              <w:t>基金的投资组合比例为：</w:t>
            </w:r>
            <w:r>
              <w:rPr>
                <w:rFonts w:ascii="宋体" w:hAnsi="宋体" w:cs="宋体"/>
                <w:color w:val="000000"/>
                <w:lang w:eastAsia="zh-CN"/>
              </w:rPr>
              <w:t>本基金股票资产占基金资产的比例为80%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tc>
      </w:tr>
      <w:tr>
        <w:tblPrEx>
          <w:tblW w:w="8522" w:type="dxa"/>
          <w:tblLayout w:type="fixed"/>
          <w:tblLook w:val="04A0"/>
        </w:tblPrEx>
        <w:trPr>
          <w:trHeight w:val="454"/>
        </w:trPr>
        <w:tc>
          <w:tcPr>
            <w:tcW w:w="2093" w:type="dxa"/>
            <w:vAlign w:val="center"/>
          </w:tcPr>
          <w:p w:rsidR="001A2BAB">
            <w:pPr>
              <w:spacing w:line="280" w:lineRule="exact"/>
              <w:rPr>
                <w:rFonts w:ascii="宋体" w:hAnsi="宋体" w:cs="宋体"/>
                <w:szCs w:val="24"/>
              </w:rPr>
            </w:pPr>
            <w:r>
              <w:rPr>
                <w:rFonts w:ascii="宋体" w:hAnsi="宋体" w:cs="宋体" w:hint="eastAsia"/>
                <w:b/>
                <w:bCs/>
                <w:iCs/>
                <w:szCs w:val="24"/>
                <w:highlight w:val="white"/>
              </w:rPr>
              <w:t>主要投资策略</w:t>
            </w:r>
          </w:p>
        </w:tc>
        <w:tc>
          <w:tcPr>
            <w:tcW w:w="6429" w:type="dxa"/>
            <w:vAlign w:val="center"/>
          </w:tcPr>
          <w:p w:rsidR="001A2BAB">
            <w:pPr>
              <w:spacing w:line="279" w:lineRule="exact"/>
              <w:rPr>
                <w:lang w:eastAsia="zh-CN"/>
              </w:rPr>
            </w:pPr>
            <w:r>
              <w:rPr>
                <w:highlight w:val="white"/>
                <w:lang w:eastAsia="zh-CN"/>
              </w:rPr>
              <w:t xml:space="preserve">         </w:t>
            </w:r>
            <w:r>
              <w:rPr>
                <w:highlight w:val="white"/>
                <w:lang w:eastAsia="zh-CN"/>
              </w:rPr>
              <w:t>资产配置方面，本基金将综合考虑宏观与微观经济、市场与政策等因素，确定组合中股票、债券、货币市场工具及其他金融工具</w:t>
            </w:r>
            <w:r>
              <w:rPr>
                <w:highlight w:val="white"/>
                <w:lang w:eastAsia="zh-CN"/>
              </w:rPr>
              <w:t>的比例。股票投资方面，本基金坚持深度研究驱动，通过对上市公司持续深入的研究，依托基金管理人研究团队精选出的股票备选库，运用定性与定量分析相结合的方法，精选具备竞争优势的优质公司，并基于量化方法监控与评估组合风险，力争控制投资组合风险，追求超越业绩比较基准的投资回报。本基金投资存托凭证的策略依照股票投资策略执行。债券投资方面，本基金将主要通过类属配置与券种选择两个层次进行投资管理。</w:t>
            </w:r>
          </w:p>
        </w:tc>
      </w:tr>
      <w:tr>
        <w:tblPrEx>
          <w:tblW w:w="8522" w:type="dxa"/>
          <w:tblLayout w:type="fixed"/>
          <w:tblLook w:val="04A0"/>
        </w:tblPrEx>
        <w:trPr>
          <w:trHeight w:val="360"/>
        </w:trPr>
        <w:tc>
          <w:tcPr>
            <w:tcW w:w="2093" w:type="dxa"/>
            <w:vAlign w:val="center"/>
          </w:tcPr>
          <w:p w:rsidR="001A2BAB">
            <w:pPr>
              <w:spacing w:line="280" w:lineRule="exact"/>
              <w:rPr>
                <w:rFonts w:ascii="宋体" w:hAnsi="宋体" w:cs="宋体"/>
                <w:szCs w:val="24"/>
              </w:rPr>
            </w:pPr>
            <w:r>
              <w:rPr>
                <w:rFonts w:ascii="宋体" w:hAnsi="宋体" w:cs="宋体" w:hint="eastAsia"/>
                <w:b/>
                <w:bCs/>
                <w:iCs/>
                <w:szCs w:val="24"/>
                <w:highlight w:val="white"/>
              </w:rPr>
              <w:t>业绩比较基准</w:t>
            </w:r>
          </w:p>
        </w:tc>
        <w:tc>
          <w:tcPr>
            <w:tcW w:w="6429" w:type="dxa"/>
            <w:vAlign w:val="center"/>
          </w:tcPr>
          <w:p w:rsidR="001A2BAB">
            <w:pPr>
              <w:spacing w:line="280" w:lineRule="exact"/>
              <w:ind w:firstLine="420"/>
              <w:rPr>
                <w:rFonts w:ascii="宋体" w:hAnsi="宋体" w:cs="宋体"/>
                <w:iCs/>
                <w:lang w:eastAsia="zh-CN"/>
              </w:rPr>
            </w:pPr>
            <w:r>
              <w:rPr>
                <w:rFonts w:ascii="宋体" w:hAnsi="宋体" w:cs="宋体" w:hint="eastAsia"/>
                <w:iCs/>
                <w:lang w:eastAsia="zh-CN"/>
              </w:rPr>
              <w:t>中证800指数收益率×75%+中证港股通综合指数收益率×10%+中债总指数收益率×15%</w:t>
            </w:r>
          </w:p>
        </w:tc>
      </w:tr>
      <w:tr>
        <w:tblPrEx>
          <w:tblW w:w="8522" w:type="dxa"/>
          <w:tblLayout w:type="fixed"/>
          <w:tblLook w:val="04A0"/>
        </w:tblPrEx>
        <w:trPr>
          <w:trHeight w:val="360"/>
        </w:trPr>
        <w:tc>
          <w:tcPr>
            <w:tcW w:w="2093" w:type="dxa"/>
            <w:vAlign w:val="center"/>
          </w:tcPr>
          <w:p w:rsidR="001A2BAB">
            <w:pPr>
              <w:spacing w:line="280" w:lineRule="exact"/>
              <w:rPr>
                <w:rFonts w:ascii="宋体" w:hAnsi="宋体" w:cs="宋体"/>
                <w:szCs w:val="24"/>
              </w:rPr>
            </w:pPr>
            <w:r>
              <w:rPr>
                <w:rFonts w:ascii="宋体" w:hAnsi="宋体" w:cs="宋体" w:hint="eastAsia"/>
                <w:b/>
                <w:bCs/>
                <w:iCs/>
                <w:szCs w:val="24"/>
                <w:highlight w:val="white"/>
              </w:rPr>
              <w:t>风险收益特征</w:t>
            </w:r>
          </w:p>
        </w:tc>
        <w:tc>
          <w:tcPr>
            <w:tcW w:w="6429" w:type="dxa"/>
            <w:vAlign w:val="center"/>
          </w:tcPr>
          <w:p w:rsidR="001A2BAB">
            <w:pPr>
              <w:spacing w:line="280" w:lineRule="exact"/>
              <w:ind w:firstLine="420"/>
              <w:rPr>
                <w:rFonts w:ascii="宋体" w:hAnsi="宋体" w:cs="宋体"/>
                <w:iCs/>
                <w:lang w:eastAsia="zh-CN"/>
              </w:rPr>
            </w:pPr>
            <w:r>
              <w:rPr>
                <w:rFonts w:ascii="宋体" w:hAnsi="宋体" w:cs="宋体" w:hint="eastAsia"/>
                <w:iCs/>
                <w:lang w:eastAsia="zh-CN"/>
              </w:rPr>
              <w:t>本基金为股票型基金，理论上其预期风险与预期收益水平高于混合型基金、债券型基金和货币市场基金。</w:t>
            </w:r>
          </w:p>
          <w:p w:rsidR="001A2BAB">
            <w:pPr>
              <w:spacing w:line="280" w:lineRule="exact"/>
              <w:ind w:firstLine="420"/>
              <w:rPr>
                <w:rFonts w:ascii="宋体" w:hAnsi="宋体" w:cs="宋体"/>
                <w:iCs/>
                <w:lang w:eastAsia="zh-CN"/>
              </w:rPr>
            </w:pPr>
            <w:r>
              <w:rPr>
                <w:rFonts w:ascii="宋体" w:hAnsi="宋体" w:cs="宋体" w:hint="eastAsia"/>
                <w:iCs/>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1A2BAB">
      <w:pPr>
        <w:spacing w:line="280" w:lineRule="exact"/>
        <w:rPr>
          <w:rFonts w:ascii="宋体" w:hAnsi="宋体" w:cs="宋体"/>
          <w:iCs/>
          <w:szCs w:val="24"/>
          <w:lang w:eastAsia="zh-CN"/>
        </w:rPr>
      </w:pPr>
      <w:r>
        <w:rPr>
          <w:rFonts w:ascii="宋体" w:hAnsi="宋体" w:cs="宋体" w:hint="eastAsia"/>
          <w:iCs/>
          <w:szCs w:val="24"/>
          <w:highlight w:val="white"/>
          <w:lang w:eastAsia="zh-CN"/>
        </w:rPr>
        <w:t>注：投资者可阅读《招募说明书》基金的投资章节了解详细情况。</w:t>
      </w:r>
    </w:p>
    <w:p w:rsidR="001A2BAB">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（二）投资组合资产配置图表/区域配置图表</w:t>
      </w:r>
    </w:p>
    <w:p w:rsidR="001A2BAB">
      <w:pPr>
        <w:rPr>
          <w:rFonts w:ascii="宋体" w:hAnsi="宋体" w:cs="宋体"/>
          <w:b/>
          <w:iCs/>
          <w:sz w:val="24"/>
          <w:szCs w:val="24"/>
          <w:lang w:eastAsia="zh-CN"/>
        </w:rPr>
      </w:pPr>
      <w:r>
        <w:rPr>
          <w:rFonts w:ascii="宋体" w:hAnsi="宋体" w:cs="宋体" w:hint="eastAsia"/>
          <w:b/>
          <w:iCs/>
          <w:sz w:val="24"/>
          <w:szCs w:val="24"/>
          <w:highlight w:val="white"/>
          <w:lang w:eastAsia="zh-CN"/>
        </w:rPr>
        <w:t>投资组合资产配置图表</w:t>
      </w:r>
    </w:p>
    <w:p w:rsidR="001A2BAB">
      <w:pPr>
        <w:jc w:val="left"/>
        <w:rPr>
          <w:rFonts w:ascii="宋体" w:hAnsi="宋体" w:cs="宋体"/>
          <w:b/>
          <w:iCs/>
          <w:szCs w:val="24"/>
          <w:lang w:eastAsia="zh-CN"/>
        </w:rPr>
      </w:pPr>
      <w:r>
        <w:rPr>
          <w:rFonts w:ascii="宋体" w:hAnsi="宋体" w:cs="宋体"/>
          <w:color w:val="000000" w:themeColor="text1"/>
          <w:highlight w:val="white"/>
          <w:lang w:eastAsia="zh-CN"/>
        </w:rPr>
        <w:t>无</w:t>
      </w:r>
    </w:p>
    <w:p w:rsidR="001A2BAB">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（三）自基金合同生效以来基金每年的净值增长率及与同期业绩比较基准的比较图</w:t>
      </w:r>
    </w:p>
    <w:p w:rsidR="001A2BAB">
      <w:pPr>
        <w:spacing w:line="280" w:lineRule="exact"/>
        <w:jc w:val="left"/>
        <w:rPr>
          <w:rFonts w:ascii="宋体" w:hAnsi="宋体" w:cs="宋体"/>
          <w:color w:val="000000"/>
        </w:rPr>
      </w:pPr>
      <w:r>
        <w:rPr>
          <w:rFonts w:ascii="宋体" w:hAnsi="宋体" w:cs="宋体" w:hint="eastAsia"/>
          <w:color w:val="000000" w:themeColor="text1"/>
          <w:highlight w:val="white"/>
        </w:rPr>
        <w:t>无</w:t>
      </w:r>
    </w:p>
    <w:p w:rsidR="001A2BAB">
      <w:pPr>
        <w:numPr>
          <w:ilvl w:val="0"/>
          <w:numId w:val="1"/>
        </w:numPr>
        <w:spacing w:line="280" w:lineRule="exact"/>
        <w:outlineLvl w:val="0"/>
        <w:rPr>
          <w:rFonts w:ascii="宋体" w:hAnsi="宋体" w:cs="宋体"/>
          <w:b/>
          <w:iCs/>
          <w:sz w:val="24"/>
          <w:szCs w:val="24"/>
          <w:lang w:eastAsia="zh-CN"/>
        </w:rPr>
      </w:pPr>
      <w:r>
        <w:rPr>
          <w:rFonts w:ascii="宋体" w:hAnsi="宋体" w:cs="宋体" w:hint="eastAsia"/>
          <w:b/>
          <w:iCs/>
          <w:sz w:val="24"/>
          <w:szCs w:val="24"/>
          <w:highlight w:val="white"/>
          <w:lang w:eastAsia="zh-CN"/>
        </w:rPr>
        <w:t>投资本基金涉及的费用</w:t>
      </w:r>
    </w:p>
    <w:p w:rsidR="001A2BAB">
      <w:pPr>
        <w:pStyle w:val="ListParagraph"/>
        <w:numPr>
          <w:ilvl w:val="0"/>
          <w:numId w:val="2"/>
        </w:numPr>
        <w:spacing w:line="340" w:lineRule="exact"/>
        <w:outlineLvl w:val="1"/>
        <w:rPr>
          <w:rFonts w:ascii="宋体" w:hAnsi="宋体" w:cs="宋体"/>
          <w:b/>
          <w:iCs/>
          <w:sz w:val="24"/>
          <w:szCs w:val="24"/>
        </w:rPr>
      </w:pPr>
      <w:r>
        <w:rPr>
          <w:rFonts w:ascii="宋体" w:hAnsi="宋体" w:cs="宋体" w:hint="eastAsia"/>
          <w:b/>
          <w:iCs/>
          <w:sz w:val="24"/>
          <w:szCs w:val="24"/>
          <w:highlight w:val="white"/>
        </w:rPr>
        <w:t>基金销售相关费用</w:t>
      </w:r>
    </w:p>
    <w:p w:rsidR="001A2BAB">
      <w:pPr>
        <w:spacing w:line="280" w:lineRule="exact"/>
        <w:jc w:val="left"/>
        <w:rPr>
          <w:rFonts w:ascii="宋体" w:hAnsi="宋体" w:cs="宋体"/>
          <w:iCs/>
          <w:lang w:eastAsia="zh-CN"/>
        </w:rPr>
      </w:pPr>
      <w:r>
        <w:rPr>
          <w:rFonts w:ascii="宋体" w:hAnsi="宋体" w:cs="宋体" w:hint="eastAsia"/>
          <w:iCs/>
          <w:highlight w:val="white"/>
          <w:lang w:eastAsia="zh-CN"/>
        </w:rPr>
        <w:t>以下费用在认购</w:t>
      </w:r>
      <w:r>
        <w:rPr>
          <w:rFonts w:ascii="宋体" w:hAnsi="宋体" w:cs="宋体"/>
          <w:iCs/>
          <w:highlight w:val="white"/>
          <w:lang w:eastAsia="zh-CN"/>
        </w:rPr>
        <w:t>/</w:t>
      </w:r>
      <w:r>
        <w:rPr>
          <w:rFonts w:ascii="宋体" w:hAnsi="宋体" w:cs="宋体" w:hint="eastAsia"/>
          <w:iCs/>
          <w:highlight w:val="white"/>
          <w:lang w:eastAsia="zh-CN"/>
        </w:rPr>
        <w:t>申购</w:t>
      </w:r>
      <w:r>
        <w:rPr>
          <w:rFonts w:ascii="宋体" w:hAnsi="宋体" w:cs="宋体"/>
          <w:iCs/>
          <w:highlight w:val="white"/>
          <w:lang w:eastAsia="zh-CN"/>
        </w:rPr>
        <w:t>/</w:t>
      </w:r>
      <w:r>
        <w:rPr>
          <w:rFonts w:ascii="宋体" w:hAnsi="宋体" w:cs="宋体" w:hint="eastAsia"/>
          <w:iCs/>
          <w:highlight w:val="white"/>
          <w:lang w:eastAsia="zh-CN"/>
        </w:rPr>
        <w:t>赎回基金过程中收取：</w:t>
      </w:r>
    </w:p>
    <w:tbl>
      <w:tblPr>
        <w:tblStyle w:val="TableGrid"/>
        <w:tblW w:w="8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3"/>
        <w:gridCol w:w="2552"/>
        <w:gridCol w:w="1843"/>
        <w:gridCol w:w="2835"/>
      </w:tblGrid>
      <w:tr>
        <w:tblPrEx>
          <w:tblW w:w="8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54"/>
        </w:trPr>
        <w:tc>
          <w:tcPr>
            <w:tcW w:w="1283"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b/>
              </w:rPr>
            </w:pPr>
            <w:r>
              <w:rPr>
                <w:rFonts w:ascii="宋体" w:hAnsi="宋体" w:cs="宋体"/>
                <w:b/>
                <w:highlight w:val="white"/>
              </w:rPr>
              <w:t>费用类型</w:t>
            </w:r>
          </w:p>
        </w:tc>
        <w:tc>
          <w:tcPr>
            <w:tcW w:w="2552"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b/>
                <w:lang w:eastAsia="zh-CN"/>
              </w:rPr>
            </w:pPr>
            <w:r>
              <w:rPr>
                <w:rFonts w:ascii="宋体" w:hAnsi="宋体" w:cs="宋体"/>
                <w:b/>
                <w:highlight w:val="white"/>
                <w:lang w:eastAsia="zh-CN"/>
              </w:rPr>
              <w:t>份额（S）或金额（M）</w:t>
            </w:r>
          </w:p>
          <w:p w:rsidR="001A2BAB">
            <w:pPr>
              <w:spacing w:line="279" w:lineRule="exact"/>
              <w:jc w:val="center"/>
              <w:rPr>
                <w:rFonts w:ascii="宋体" w:hAnsi="宋体" w:cs="宋体"/>
                <w:b/>
              </w:rPr>
            </w:pPr>
            <w:r>
              <w:rPr>
                <w:rFonts w:ascii="宋体" w:hAnsi="宋体" w:cs="宋体"/>
                <w:b/>
                <w:highlight w:val="white"/>
              </w:rPr>
              <w:t>/持有期限（N）</w:t>
            </w:r>
          </w:p>
        </w:tc>
        <w:tc>
          <w:tcPr>
            <w:tcW w:w="1843"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b/>
              </w:rPr>
            </w:pPr>
            <w:r>
              <w:rPr>
                <w:rFonts w:ascii="宋体" w:hAnsi="宋体" w:cs="宋体"/>
                <w:b/>
                <w:highlight w:val="white"/>
              </w:rPr>
              <w:t>收费方式/费率</w:t>
            </w:r>
          </w:p>
        </w:tc>
        <w:tc>
          <w:tcPr>
            <w:tcW w:w="2835"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b/>
              </w:rPr>
            </w:pPr>
            <w:r>
              <w:rPr>
                <w:rFonts w:ascii="宋体" w:hAnsi="宋体" w:cs="宋体"/>
                <w:b/>
                <w:highlight w:val="white"/>
              </w:rPr>
              <w:t>备注</w:t>
            </w:r>
          </w:p>
        </w:tc>
      </w:tr>
      <w:tr>
        <w:tblPrEx>
          <w:tblW w:w="8513" w:type="dxa"/>
          <w:tblLayout w:type="fixed"/>
          <w:tblLook w:val="04A0"/>
        </w:tblPrEx>
        <w:tc>
          <w:tcPr>
            <w:tcW w:w="1283" w:type="dxa"/>
            <w:vMerge w:val="restart"/>
            <w:tcBorders>
              <w:top w:val="nil"/>
              <w:left w:val="nil"/>
              <w:bottom w:val="single" w:sz="8" w:space="0" w:color="808080"/>
              <w:right w:val="nil"/>
            </w:tcBorders>
            <w:tcMar>
              <w:top w:w="0" w:type="dxa"/>
              <w:left w:w="108" w:type="dxa"/>
              <w:bottom w:w="0" w:type="dxa"/>
              <w:right w:w="108" w:type="dxa"/>
            </w:tcMar>
            <w:vAlign w:val="center"/>
          </w:tcPr>
          <w:p w:rsidR="001A2BAB">
            <w:pPr>
              <w:spacing w:line="14" w:lineRule="exact"/>
              <w:jc w:val="center"/>
              <w:rPr>
                <w:rFonts w:ascii="宋体" w:hAnsi="宋体" w:cs="宋体"/>
                <w:b/>
              </w:rPr>
            </w:pPr>
          </w:p>
          <w:p w:rsidR="001A2BAB">
            <w:pPr>
              <w:spacing w:line="279" w:lineRule="exact"/>
              <w:jc w:val="center"/>
              <w:rPr>
                <w:rFonts w:ascii="宋体" w:hAnsi="宋体" w:cs="宋体"/>
                <w:b/>
              </w:rPr>
            </w:pPr>
            <w:r>
              <w:rPr>
                <w:rFonts w:ascii="宋体" w:hAnsi="宋体" w:cs="宋体"/>
                <w:b/>
                <w:highlight w:val="white"/>
              </w:rPr>
              <w:t>认购费</w:t>
            </w:r>
          </w:p>
          <w:p w:rsidR="001A2BAB" w:rsidP="00611A2E">
            <w:pPr>
              <w:spacing w:line="279" w:lineRule="exact"/>
              <w:jc w:val="center"/>
              <w:rPr>
                <w:rFonts w:ascii="宋体" w:hAnsi="宋体" w:cs="宋体"/>
                <w:b/>
              </w:rPr>
            </w:pPr>
          </w:p>
        </w:tc>
        <w:tc>
          <w:tcPr>
            <w:tcW w:w="2552" w:type="dxa"/>
            <w:tcBorders>
              <w:top w:val="nil"/>
              <w:left w:val="nil"/>
              <w:bottom w:val="single" w:sz="4" w:space="0" w:color="FFFFFF"/>
              <w:right w:val="nil"/>
            </w:tcBorders>
            <w:tcMar>
              <w:top w:w="0" w:type="dxa"/>
              <w:left w:w="108" w:type="dxa"/>
              <w:bottom w:w="0" w:type="dxa"/>
              <w:right w:w="108" w:type="dxa"/>
            </w:tcMar>
            <w:vAlign w:val="center"/>
          </w:tcPr>
          <w:p w:rsidR="001A2BAB">
            <w:pPr>
              <w:spacing w:line="17" w:lineRule="exact"/>
              <w:jc w:val="center"/>
              <w:rPr>
                <w:rFonts w:ascii="宋体" w:hAnsi="宋体" w:cs="宋体"/>
              </w:rPr>
            </w:pPr>
            <w:r>
              <w:rPr>
                <w:rFonts w:ascii="宋体" w:hAnsi="宋体" w:cs="宋体"/>
                <w:color w:val="000000"/>
                <w:sz w:val="22"/>
                <w:highlight w:val="white"/>
              </w:rPr>
              <w:t> </w:t>
            </w:r>
          </w:p>
        </w:tc>
        <w:tc>
          <w:tcPr>
            <w:tcW w:w="1843" w:type="dxa"/>
            <w:tcBorders>
              <w:top w:val="nil"/>
              <w:left w:val="nil"/>
              <w:bottom w:val="single" w:sz="4" w:space="0" w:color="FFFFFF"/>
              <w:right w:val="nil"/>
            </w:tcBorders>
            <w:tcMar>
              <w:top w:w="0" w:type="dxa"/>
              <w:left w:w="108" w:type="dxa"/>
              <w:bottom w:w="0" w:type="dxa"/>
              <w:right w:w="108" w:type="dxa"/>
            </w:tcMar>
            <w:vAlign w:val="center"/>
          </w:tcPr>
          <w:p w:rsidR="001A2BAB">
            <w:pPr>
              <w:spacing w:line="17" w:lineRule="exact"/>
              <w:jc w:val="center"/>
              <w:rPr>
                <w:rFonts w:ascii="宋体" w:hAnsi="宋体" w:cs="宋体"/>
              </w:rPr>
            </w:pPr>
            <w:r>
              <w:rPr>
                <w:rFonts w:ascii="宋体" w:hAnsi="宋体" w:cs="宋体"/>
                <w:color w:val="000000"/>
                <w:sz w:val="22"/>
                <w:highlight w:val="white"/>
              </w:rPr>
              <w:t> </w:t>
            </w:r>
          </w:p>
        </w:tc>
        <w:tc>
          <w:tcPr>
            <w:tcW w:w="2835" w:type="dxa"/>
            <w:tcBorders>
              <w:top w:val="nil"/>
              <w:left w:val="nil"/>
              <w:bottom w:val="single" w:sz="4" w:space="0" w:color="FFFFFF"/>
              <w:right w:val="nil"/>
            </w:tcBorders>
            <w:tcMar>
              <w:top w:w="0" w:type="dxa"/>
              <w:left w:w="108" w:type="dxa"/>
              <w:bottom w:w="0" w:type="dxa"/>
              <w:right w:w="108" w:type="dxa"/>
            </w:tcMar>
            <w:vAlign w:val="center"/>
          </w:tcPr>
          <w:p w:rsidR="001A2BAB">
            <w:pPr>
              <w:spacing w:line="17" w:lineRule="exact"/>
              <w:jc w:val="center"/>
              <w:rPr>
                <w:rFonts w:ascii="宋体" w:hAnsi="宋体" w:cs="宋体"/>
              </w:rPr>
            </w:pPr>
            <w:r>
              <w:rPr>
                <w:rFonts w:ascii="宋体" w:hAnsi="宋体" w:cs="宋体"/>
                <w:color w:val="000000"/>
                <w:sz w:val="22"/>
                <w:highlight w:val="white"/>
              </w:rPr>
              <w:t> </w:t>
            </w: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1A2BAB">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1A2BAB" w:rsidP="00611A2E">
            <w:pPr>
              <w:spacing w:line="279" w:lineRule="exact"/>
              <w:jc w:val="center"/>
              <w:rPr>
                <w:rFonts w:ascii="宋体" w:hAnsi="宋体" w:cs="宋体"/>
                <w:lang w:eastAsia="zh-CN"/>
              </w:rPr>
            </w:pPr>
            <w:r>
              <w:rPr>
                <w:rFonts w:ascii="宋体" w:hAnsi="宋体" w:cs="宋体"/>
                <w:lang w:eastAsia="zh-CN"/>
              </w:rPr>
              <w:t>M＜</w:t>
            </w:r>
            <w:r w:rsidR="00611A2E">
              <w:rPr>
                <w:rFonts w:ascii="宋体" w:hAnsi="宋体" w:cs="宋体"/>
                <w:lang w:eastAsia="zh-CN"/>
              </w:rPr>
              <w:t>300</w:t>
            </w:r>
            <w:r>
              <w:rPr>
                <w:rFonts w:ascii="宋体" w:hAnsi="宋体" w:cs="宋体"/>
                <w:lang w:eastAsia="zh-CN"/>
              </w:rPr>
              <w:t>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1A2BAB" w:rsidP="00611A2E">
            <w:pPr>
              <w:spacing w:line="279" w:lineRule="exact"/>
              <w:jc w:val="center"/>
              <w:rPr>
                <w:rFonts w:ascii="宋体" w:hAnsi="宋体" w:cs="宋体"/>
                <w:lang w:eastAsia="zh-CN"/>
              </w:rPr>
            </w:pPr>
            <w:r>
              <w:rPr>
                <w:rFonts w:ascii="宋体" w:hAnsi="宋体" w:cs="宋体"/>
                <w:lang w:eastAsia="zh-CN"/>
              </w:rPr>
              <w:t>0</w:t>
            </w:r>
            <w:r w:rsidR="00E979E9">
              <w:rPr>
                <w:rFonts w:ascii="宋体" w:hAnsi="宋体" w:cs="宋体"/>
                <w:lang w:eastAsia="zh-CN"/>
              </w:rPr>
              <w:t>.</w:t>
            </w:r>
            <w:r>
              <w:rPr>
                <w:rFonts w:ascii="宋体" w:hAnsi="宋体" w:cs="宋体"/>
                <w:lang w:eastAsia="zh-CN"/>
              </w:rPr>
              <w:t>8</w:t>
            </w:r>
            <w:r w:rsidR="00E979E9">
              <w:rPr>
                <w:rFonts w:ascii="宋体" w:hAnsi="宋体" w:cs="宋体"/>
                <w:lang w:eastAsia="zh-CN"/>
              </w:rPr>
              <w:t>0%</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1A2BAB">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300</w:t>
            </w:r>
            <w:r w:rsidR="00E979E9">
              <w:rPr>
                <w:rFonts w:ascii="宋体" w:hAnsi="宋体" w:cs="宋体"/>
                <w:lang w:eastAsia="zh-CN"/>
              </w:rPr>
              <w:t>万元≤M＜500万元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1A2BAB" w:rsidP="00611A2E">
            <w:pPr>
              <w:spacing w:line="279" w:lineRule="exact"/>
              <w:jc w:val="center"/>
              <w:rPr>
                <w:rFonts w:ascii="宋体" w:hAnsi="宋体" w:cs="宋体"/>
                <w:lang w:eastAsia="zh-CN"/>
              </w:rPr>
            </w:pPr>
            <w:r>
              <w:rPr>
                <w:rFonts w:ascii="宋体" w:hAnsi="宋体" w:cs="宋体"/>
                <w:lang w:eastAsia="zh-CN"/>
              </w:rPr>
              <w:t>0.</w:t>
            </w:r>
            <w:r w:rsidR="00611A2E">
              <w:rPr>
                <w:rFonts w:ascii="宋体" w:hAnsi="宋体" w:cs="宋体"/>
                <w:lang w:eastAsia="zh-CN"/>
              </w:rPr>
              <w:t>60</w:t>
            </w:r>
            <w:r>
              <w:rPr>
                <w:rFonts w:ascii="宋体" w:hAnsi="宋体" w:cs="宋体"/>
                <w:lang w:eastAsia="zh-CN"/>
              </w:rPr>
              <w:t>%</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1A2BAB">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M≥500万元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1000元/笔</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p>
        </w:tc>
      </w:tr>
      <w:tr>
        <w:tblPrEx>
          <w:tblW w:w="8513" w:type="dxa"/>
          <w:tblLayout w:type="fixed"/>
          <w:tblLook w:val="04A0"/>
        </w:tblPrEx>
        <w:tc>
          <w:tcPr>
            <w:tcW w:w="1283" w:type="dxa"/>
            <w:vMerge w:val="restart"/>
            <w:tcBorders>
              <w:top w:val="nil"/>
              <w:left w:val="nil"/>
              <w:bottom w:val="single" w:sz="8" w:space="0" w:color="808080"/>
              <w:right w:val="nil"/>
            </w:tcBorders>
            <w:tcMar>
              <w:top w:w="0" w:type="dxa"/>
              <w:left w:w="108" w:type="dxa"/>
              <w:bottom w:w="0" w:type="dxa"/>
              <w:right w:w="108" w:type="dxa"/>
            </w:tcMar>
            <w:vAlign w:val="center"/>
          </w:tcPr>
          <w:p w:rsidR="001A2BAB">
            <w:pPr>
              <w:spacing w:line="14" w:lineRule="exact"/>
              <w:jc w:val="center"/>
              <w:rPr>
                <w:rFonts w:ascii="宋体" w:hAnsi="宋体" w:cs="宋体"/>
                <w:b/>
                <w:lang w:eastAsia="zh-CN"/>
              </w:rPr>
            </w:pPr>
          </w:p>
          <w:p w:rsidR="001A2BAB" w:rsidP="00611A2E">
            <w:pPr>
              <w:spacing w:line="279" w:lineRule="exact"/>
              <w:jc w:val="center"/>
              <w:rPr>
                <w:rFonts w:ascii="宋体" w:hAnsi="宋体" w:cs="宋体"/>
                <w:b/>
              </w:rPr>
            </w:pPr>
            <w:r>
              <w:rPr>
                <w:rFonts w:ascii="宋体" w:hAnsi="宋体" w:cs="宋体"/>
                <w:b/>
                <w:highlight w:val="white"/>
              </w:rPr>
              <w:t>申购费（前收费）</w:t>
            </w:r>
          </w:p>
        </w:tc>
        <w:tc>
          <w:tcPr>
            <w:tcW w:w="2552" w:type="dxa"/>
            <w:tcBorders>
              <w:top w:val="nil"/>
              <w:left w:val="nil"/>
              <w:bottom w:val="single" w:sz="4" w:space="0" w:color="FFFFFF"/>
              <w:right w:val="nil"/>
            </w:tcBorders>
            <w:tcMar>
              <w:top w:w="0" w:type="dxa"/>
              <w:left w:w="108" w:type="dxa"/>
              <w:bottom w:w="0" w:type="dxa"/>
              <w:right w:w="108" w:type="dxa"/>
            </w:tcMar>
            <w:vAlign w:val="center"/>
          </w:tcPr>
          <w:p w:rsidR="001A2BAB">
            <w:pPr>
              <w:spacing w:line="17" w:lineRule="exact"/>
              <w:jc w:val="center"/>
              <w:rPr>
                <w:rFonts w:ascii="宋体" w:hAnsi="宋体" w:cs="宋体"/>
              </w:rPr>
            </w:pPr>
            <w:r>
              <w:rPr>
                <w:rFonts w:ascii="宋体" w:hAnsi="宋体" w:cs="宋体"/>
                <w:highlight w:val="white"/>
              </w:rPr>
              <w:t> </w:t>
            </w:r>
          </w:p>
        </w:tc>
        <w:tc>
          <w:tcPr>
            <w:tcW w:w="1843" w:type="dxa"/>
            <w:tcBorders>
              <w:top w:val="nil"/>
              <w:left w:val="nil"/>
              <w:bottom w:val="single" w:sz="4" w:space="0" w:color="FFFFFF"/>
              <w:right w:val="nil"/>
            </w:tcBorders>
            <w:tcMar>
              <w:top w:w="0" w:type="dxa"/>
              <w:left w:w="108" w:type="dxa"/>
              <w:bottom w:w="0" w:type="dxa"/>
              <w:right w:w="108" w:type="dxa"/>
            </w:tcMar>
            <w:vAlign w:val="center"/>
          </w:tcPr>
          <w:p w:rsidR="001A2BAB">
            <w:pPr>
              <w:spacing w:line="17" w:lineRule="exact"/>
              <w:jc w:val="center"/>
              <w:rPr>
                <w:rFonts w:ascii="宋体" w:hAnsi="宋体" w:cs="宋体"/>
              </w:rPr>
            </w:pPr>
            <w:r>
              <w:rPr>
                <w:rFonts w:ascii="宋体" w:hAnsi="宋体" w:cs="宋体"/>
                <w:color w:val="000000"/>
                <w:sz w:val="22"/>
                <w:highlight w:val="white"/>
              </w:rPr>
              <w:t> </w:t>
            </w:r>
          </w:p>
        </w:tc>
        <w:tc>
          <w:tcPr>
            <w:tcW w:w="2835" w:type="dxa"/>
            <w:tcBorders>
              <w:top w:val="nil"/>
              <w:left w:val="nil"/>
              <w:bottom w:val="single" w:sz="4" w:space="0" w:color="FFFFFF"/>
              <w:right w:val="nil"/>
            </w:tcBorders>
            <w:tcMar>
              <w:top w:w="0" w:type="dxa"/>
              <w:left w:w="108" w:type="dxa"/>
              <w:bottom w:w="0" w:type="dxa"/>
              <w:right w:w="108" w:type="dxa"/>
            </w:tcMar>
            <w:vAlign w:val="center"/>
          </w:tcPr>
          <w:p w:rsidR="001A2BAB">
            <w:pPr>
              <w:spacing w:line="17" w:lineRule="exact"/>
              <w:jc w:val="center"/>
              <w:rPr>
                <w:rFonts w:ascii="宋体" w:hAnsi="宋体" w:cs="宋体"/>
              </w:rPr>
            </w:pPr>
            <w:r>
              <w:rPr>
                <w:rFonts w:ascii="宋体" w:hAnsi="宋体" w:cs="宋体"/>
                <w:color w:val="000000"/>
                <w:sz w:val="22"/>
                <w:highlight w:val="white"/>
              </w:rPr>
              <w:t> </w:t>
            </w: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611A2E" w:rsidP="00611A2E">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611A2E" w:rsidP="00611A2E">
            <w:pPr>
              <w:spacing w:line="279" w:lineRule="exact"/>
              <w:jc w:val="center"/>
              <w:rPr>
                <w:rFonts w:ascii="宋体" w:hAnsi="宋体" w:cs="宋体"/>
                <w:lang w:eastAsia="zh-CN"/>
              </w:rPr>
            </w:pPr>
            <w:r>
              <w:rPr>
                <w:rFonts w:ascii="宋体" w:hAnsi="宋体" w:cs="宋体"/>
                <w:lang w:eastAsia="zh-CN"/>
              </w:rPr>
              <w:t>M＜300万元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611A2E" w:rsidP="00611A2E">
            <w:pPr>
              <w:spacing w:line="279" w:lineRule="exact"/>
              <w:jc w:val="center"/>
              <w:rPr>
                <w:rFonts w:ascii="宋体" w:hAnsi="宋体" w:cs="宋体"/>
                <w:lang w:eastAsia="zh-CN"/>
              </w:rPr>
            </w:pPr>
            <w:r>
              <w:rPr>
                <w:rFonts w:ascii="宋体" w:hAnsi="宋体" w:cs="宋体"/>
                <w:lang w:eastAsia="zh-CN"/>
              </w:rPr>
              <w:t>0.80%</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611A2E" w:rsidP="00611A2E">
            <w:pPr>
              <w:spacing w:line="279" w:lineRule="exact"/>
              <w:jc w:val="center"/>
              <w:rPr>
                <w:rFonts w:ascii="宋体" w:hAnsi="宋体" w:cs="宋体"/>
                <w:lang w:eastAsia="zh-CN"/>
              </w:rPr>
            </w:pP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611A2E" w:rsidP="00611A2E">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611A2E" w:rsidP="00611A2E">
            <w:pPr>
              <w:spacing w:line="279" w:lineRule="exact"/>
              <w:jc w:val="center"/>
              <w:rPr>
                <w:rFonts w:ascii="宋体" w:hAnsi="宋体" w:cs="宋体"/>
                <w:lang w:eastAsia="zh-CN"/>
              </w:rPr>
            </w:pPr>
            <w:r>
              <w:rPr>
                <w:rFonts w:ascii="宋体" w:hAnsi="宋体" w:cs="宋体"/>
                <w:lang w:eastAsia="zh-CN"/>
              </w:rPr>
              <w:t>300万元≤M＜500万元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611A2E" w:rsidP="00611A2E">
            <w:pPr>
              <w:spacing w:line="279" w:lineRule="exact"/>
              <w:jc w:val="center"/>
              <w:rPr>
                <w:rFonts w:ascii="宋体" w:hAnsi="宋体" w:cs="宋体"/>
                <w:lang w:eastAsia="zh-CN"/>
              </w:rPr>
            </w:pPr>
            <w:r>
              <w:rPr>
                <w:rFonts w:ascii="宋体" w:hAnsi="宋体" w:cs="宋体"/>
                <w:lang w:eastAsia="zh-CN"/>
              </w:rPr>
              <w:t>0.60%</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611A2E" w:rsidP="00611A2E">
            <w:pPr>
              <w:spacing w:line="279" w:lineRule="exact"/>
              <w:jc w:val="center"/>
              <w:rPr>
                <w:rFonts w:ascii="宋体" w:hAnsi="宋体" w:cs="宋体"/>
                <w:lang w:eastAsia="zh-CN"/>
              </w:rPr>
            </w:pP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1A2BAB">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M≥500万元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1000元/笔</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p>
        </w:tc>
      </w:tr>
      <w:tr>
        <w:tblPrEx>
          <w:tblW w:w="8513" w:type="dxa"/>
          <w:tblLayout w:type="fixed"/>
          <w:tblLook w:val="04A0"/>
        </w:tblPrEx>
        <w:tc>
          <w:tcPr>
            <w:tcW w:w="1283" w:type="dxa"/>
            <w:vMerge w:val="restart"/>
            <w:tcBorders>
              <w:top w:val="nil"/>
              <w:left w:val="nil"/>
              <w:bottom w:val="single" w:sz="8" w:space="0" w:color="000000"/>
              <w:right w:val="nil"/>
            </w:tcBorders>
            <w:tcMar>
              <w:top w:w="0" w:type="dxa"/>
              <w:left w:w="108" w:type="dxa"/>
              <w:bottom w:w="0" w:type="dxa"/>
              <w:right w:w="108" w:type="dxa"/>
            </w:tcMar>
            <w:vAlign w:val="center"/>
          </w:tcPr>
          <w:p w:rsidR="001A2BAB">
            <w:pPr>
              <w:spacing w:line="14" w:lineRule="exact"/>
              <w:jc w:val="center"/>
              <w:rPr>
                <w:rFonts w:ascii="宋体" w:hAnsi="宋体" w:cs="宋体"/>
                <w:b/>
                <w:lang w:eastAsia="zh-CN"/>
              </w:rPr>
            </w:pPr>
          </w:p>
          <w:p w:rsidR="001A2BAB">
            <w:pPr>
              <w:spacing w:line="279" w:lineRule="exact"/>
              <w:jc w:val="center"/>
              <w:rPr>
                <w:rFonts w:ascii="宋体" w:hAnsi="宋体" w:cs="宋体"/>
                <w:b/>
              </w:rPr>
            </w:pPr>
            <w:r>
              <w:rPr>
                <w:rFonts w:ascii="宋体" w:hAnsi="宋体" w:cs="宋体"/>
                <w:b/>
                <w:highlight w:val="white"/>
              </w:rPr>
              <w:t>赎回费</w:t>
            </w:r>
          </w:p>
        </w:tc>
        <w:tc>
          <w:tcPr>
            <w:tcW w:w="2552" w:type="dxa"/>
            <w:tcBorders>
              <w:top w:val="nil"/>
              <w:left w:val="nil"/>
              <w:bottom w:val="single" w:sz="4" w:space="0" w:color="FFFFFF"/>
              <w:right w:val="nil"/>
            </w:tcBorders>
            <w:tcMar>
              <w:top w:w="0" w:type="dxa"/>
              <w:left w:w="108" w:type="dxa"/>
              <w:bottom w:w="0" w:type="dxa"/>
              <w:right w:w="108" w:type="dxa"/>
            </w:tcMar>
            <w:vAlign w:val="center"/>
          </w:tcPr>
          <w:p w:rsidR="001A2BAB">
            <w:pPr>
              <w:spacing w:line="17" w:lineRule="exact"/>
              <w:jc w:val="center"/>
              <w:rPr>
                <w:rFonts w:ascii="宋体" w:hAnsi="宋体" w:cs="宋体"/>
              </w:rPr>
            </w:pPr>
            <w:r>
              <w:rPr>
                <w:rFonts w:ascii="宋体" w:hAnsi="宋体" w:cs="宋体"/>
                <w:highlight w:val="white"/>
              </w:rPr>
              <w:t> </w:t>
            </w:r>
          </w:p>
        </w:tc>
        <w:tc>
          <w:tcPr>
            <w:tcW w:w="1843" w:type="dxa"/>
            <w:tcBorders>
              <w:top w:val="nil"/>
              <w:left w:val="nil"/>
              <w:bottom w:val="single" w:sz="4" w:space="0" w:color="FFFFFF"/>
              <w:right w:val="nil"/>
            </w:tcBorders>
            <w:tcMar>
              <w:top w:w="0" w:type="dxa"/>
              <w:left w:w="108" w:type="dxa"/>
              <w:bottom w:w="0" w:type="dxa"/>
              <w:right w:w="108" w:type="dxa"/>
            </w:tcMar>
            <w:vAlign w:val="center"/>
          </w:tcPr>
          <w:p w:rsidR="001A2BAB">
            <w:pPr>
              <w:spacing w:line="17" w:lineRule="exact"/>
              <w:jc w:val="center"/>
              <w:rPr>
                <w:rFonts w:ascii="宋体" w:hAnsi="宋体" w:cs="宋体"/>
              </w:rPr>
            </w:pPr>
            <w:r>
              <w:rPr>
                <w:rFonts w:ascii="宋体" w:hAnsi="宋体" w:cs="宋体"/>
                <w:color w:val="000000"/>
                <w:sz w:val="22"/>
                <w:highlight w:val="white"/>
              </w:rPr>
              <w:t> </w:t>
            </w:r>
          </w:p>
        </w:tc>
        <w:tc>
          <w:tcPr>
            <w:tcW w:w="2835" w:type="dxa"/>
            <w:tcBorders>
              <w:top w:val="nil"/>
              <w:left w:val="nil"/>
              <w:bottom w:val="single" w:sz="4" w:space="0" w:color="FFFFFF"/>
              <w:right w:val="nil"/>
            </w:tcBorders>
            <w:tcMar>
              <w:top w:w="0" w:type="dxa"/>
              <w:left w:w="108" w:type="dxa"/>
              <w:bottom w:w="0" w:type="dxa"/>
              <w:right w:w="108" w:type="dxa"/>
            </w:tcMar>
            <w:vAlign w:val="center"/>
          </w:tcPr>
          <w:p w:rsidR="001A2BAB">
            <w:pPr>
              <w:spacing w:line="17" w:lineRule="exact"/>
              <w:jc w:val="center"/>
              <w:rPr>
                <w:rFonts w:ascii="宋体" w:hAnsi="宋体" w:cs="宋体"/>
              </w:rPr>
            </w:pP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1A2BAB"/>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0天＜N≤6天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1.50%</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1A2BAB"/>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7天≤N≤29天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rsidP="00611A2E">
            <w:pPr>
              <w:spacing w:line="279" w:lineRule="exact"/>
              <w:jc w:val="center"/>
              <w:rPr>
                <w:rFonts w:ascii="宋体" w:hAnsi="宋体" w:cs="宋体"/>
                <w:lang w:eastAsia="zh-CN"/>
              </w:rPr>
            </w:pPr>
            <w:r>
              <w:rPr>
                <w:rFonts w:ascii="宋体" w:hAnsi="宋体" w:cs="宋体"/>
                <w:lang w:eastAsia="zh-CN"/>
              </w:rPr>
              <w:t>1</w:t>
            </w:r>
            <w:r w:rsidR="00E979E9">
              <w:rPr>
                <w:rFonts w:ascii="宋体" w:hAnsi="宋体" w:cs="宋体"/>
                <w:lang w:eastAsia="zh-CN"/>
              </w:rPr>
              <w:t>.</w:t>
            </w:r>
            <w:r>
              <w:rPr>
                <w:rFonts w:ascii="宋体" w:hAnsi="宋体" w:cs="宋体"/>
                <w:lang w:eastAsia="zh-CN"/>
              </w:rPr>
              <w:t>00</w:t>
            </w:r>
            <w:r w:rsidR="00E979E9">
              <w:rPr>
                <w:rFonts w:ascii="宋体" w:hAnsi="宋体" w:cs="宋体"/>
                <w:lang w:eastAsia="zh-CN"/>
              </w:rPr>
              <w:t>%</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1A2BAB"/>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30天≤N≤179天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0.50%</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1A2BAB"/>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N≥180天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exact"/>
              <w:jc w:val="center"/>
              <w:rPr>
                <w:rFonts w:ascii="宋体" w:hAnsi="宋体" w:cs="宋体"/>
                <w:lang w:eastAsia="zh-CN"/>
              </w:rPr>
            </w:pPr>
            <w:r>
              <w:rPr>
                <w:rFonts w:ascii="宋体" w:hAnsi="宋体" w:cs="宋体"/>
                <w:lang w:eastAsia="zh-CN"/>
              </w:rPr>
              <w:t>0.00%</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1A2BAB">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bl>
    <w:p w:rsidR="001A2BAB">
      <w:pPr>
        <w:spacing w:line="280" w:lineRule="exact"/>
        <w:jc w:val="left"/>
        <w:rPr>
          <w:rFonts w:ascii="宋体" w:hAnsi="宋体" w:cs="宋体"/>
          <w:iCs/>
          <w:lang w:eastAsia="zh-CN"/>
        </w:rPr>
      </w:pPr>
      <w:r>
        <w:rPr>
          <w:rFonts w:ascii="宋体" w:hAnsi="宋体" w:cs="宋体"/>
          <w:iCs/>
          <w:highlight w:val="white"/>
          <w:lang w:eastAsia="zh-CN"/>
        </w:rPr>
        <w:t>注：</w:t>
      </w:r>
      <w:r w:rsidRPr="00611A2E" w:rsidR="00611A2E">
        <w:rPr>
          <w:rFonts w:ascii="宋体" w:hAnsi="宋体" w:cs="宋体" w:hint="eastAsia"/>
          <w:iCs/>
          <w:lang w:eastAsia="zh-CN"/>
        </w:rPr>
        <w:t>投资者通过基金管理人或其基金销售子公司认购、申购本基金A类基金份额，不收取认购、申购费用；投资者通过其他销售机构认购、申购本基金A类基金份额，认购、申购费率见上表。如果投资者多次认购、申购，认购费、申购费适用单笔认购、申购金额所对应的费率</w:t>
      </w:r>
      <w:r>
        <w:rPr>
          <w:rFonts w:ascii="宋体" w:hAnsi="宋体" w:cs="宋体"/>
          <w:iCs/>
          <w:highlight w:val="white"/>
          <w:lang w:eastAsia="zh-CN"/>
        </w:rPr>
        <w:t>。</w:t>
      </w:r>
    </w:p>
    <w:p w:rsidR="001A2BAB">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（二）基金运作相关费用</w:t>
      </w:r>
    </w:p>
    <w:p w:rsidR="001A2BAB">
      <w:pPr>
        <w:spacing w:line="280" w:lineRule="exact"/>
        <w:jc w:val="left"/>
        <w:rPr>
          <w:rFonts w:ascii="宋体" w:hAnsi="宋体" w:cs="宋体"/>
          <w:iCs/>
          <w:lang w:eastAsia="zh-CN"/>
        </w:rPr>
      </w:pPr>
      <w:r>
        <w:rPr>
          <w:rFonts w:ascii="宋体" w:hAnsi="宋体" w:cs="宋体" w:hint="eastAsia"/>
          <w:highlight w:val="white"/>
          <w:lang w:eastAsia="zh-CN"/>
        </w:rPr>
        <w:t>以下</w:t>
      </w:r>
      <w:r>
        <w:rPr>
          <w:rFonts w:ascii="宋体" w:hAnsi="宋体" w:cs="宋体" w:hint="eastAsia"/>
          <w:iCs/>
          <w:highlight w:val="white"/>
          <w:lang w:eastAsia="zh-CN"/>
        </w:rPr>
        <w:t>费用将从基金资产中扣除：</w:t>
      </w:r>
    </w:p>
    <w:tbl>
      <w:tblPr>
        <w:tblW w:w="8513" w:type="dxa"/>
        <w:tblBorders>
          <w:top w:val="single" w:sz="4" w:space="0" w:color="000000"/>
          <w:bottom w:val="single" w:sz="4" w:space="0" w:color="000000"/>
          <w:insideH w:val="single" w:sz="4" w:space="0" w:color="808080" w:themeColor="background1" w:themeShade="80"/>
        </w:tblBorders>
        <w:tblLayout w:type="fixed"/>
        <w:tblLook w:val="04A0"/>
      </w:tblPr>
      <w:tblGrid>
        <w:gridCol w:w="1525"/>
        <w:gridCol w:w="3494"/>
        <w:gridCol w:w="3494"/>
      </w:tblGrid>
      <w:tr>
        <w:tblPrEx>
          <w:tblW w:w="8513" w:type="dxa"/>
          <w:tblBorders>
            <w:top w:val="single" w:sz="4" w:space="0" w:color="000000"/>
            <w:bottom w:val="single" w:sz="4" w:space="0" w:color="000000"/>
            <w:insideH w:val="single" w:sz="4" w:space="0" w:color="808080" w:themeColor="background1" w:themeShade="80"/>
          </w:tblBorders>
          <w:tblLayout w:type="fixed"/>
          <w:tblLook w:val="04A0"/>
        </w:tblPrEx>
        <w:trPr>
          <w:trHeight w:val="490"/>
        </w:trPr>
        <w:tc>
          <w:tcPr>
            <w:tcW w:w="1525" w:type="dxa"/>
            <w:tcBorders>
              <w:top w:val="single" w:sz="4" w:space="0" w:color="000000"/>
              <w:bottom w:val="single" w:sz="4" w:space="0" w:color="000000"/>
            </w:tcBorders>
            <w:vAlign w:val="center"/>
          </w:tcPr>
          <w:p w:rsidR="001A2BAB">
            <w:pPr>
              <w:spacing w:line="280" w:lineRule="exact"/>
              <w:jc w:val="left"/>
              <w:rPr>
                <w:rFonts w:ascii="宋体" w:hAnsi="宋体" w:cs="宋体"/>
                <w:b/>
                <w:bCs/>
              </w:rPr>
            </w:pPr>
            <w:r>
              <w:rPr>
                <w:rFonts w:ascii="宋体" w:hAnsi="宋体" w:cs="宋体" w:hint="eastAsia"/>
                <w:b/>
                <w:bCs/>
                <w:iCs/>
                <w:highlight w:val="white"/>
              </w:rPr>
              <w:t>费用类别</w:t>
            </w:r>
          </w:p>
        </w:tc>
        <w:tc>
          <w:tcPr>
            <w:tcW w:w="3494" w:type="dxa"/>
            <w:tcBorders>
              <w:top w:val="single" w:sz="4" w:space="0" w:color="000000"/>
              <w:bottom w:val="single" w:sz="4" w:space="0" w:color="000000"/>
            </w:tcBorders>
            <w:vAlign w:val="center"/>
          </w:tcPr>
          <w:p w:rsidR="001A2BAB">
            <w:pPr>
              <w:spacing w:line="280" w:lineRule="exact"/>
              <w:jc w:val="center"/>
              <w:rPr>
                <w:rFonts w:ascii="宋体" w:hAnsi="宋体" w:cs="宋体"/>
                <w:b/>
                <w:bCs/>
                <w:iCs/>
                <w:lang w:eastAsia="zh-CN"/>
              </w:rPr>
            </w:pPr>
            <w:r>
              <w:rPr>
                <w:rFonts w:ascii="宋体" w:hAnsi="宋体" w:cs="宋体" w:hint="eastAsia"/>
                <w:b/>
                <w:bCs/>
                <w:iCs/>
                <w:highlight w:val="white"/>
                <w:lang w:eastAsia="zh-CN"/>
              </w:rPr>
              <w:t>收费方式/年费率</w:t>
            </w:r>
            <w:r>
              <w:rPr>
                <w:rFonts w:ascii="宋体" w:hAnsi="宋体" w:cs="宋体"/>
                <w:b/>
                <w:color w:val="000000"/>
                <w:highlight w:val="white"/>
                <w:lang w:eastAsia="zh-CN"/>
              </w:rPr>
              <w:t>或金额</w:t>
            </w:r>
          </w:p>
        </w:tc>
        <w:tc>
          <w:tcPr>
            <w:tcW w:w="3494" w:type="dxa"/>
            <w:tcBorders>
              <w:top w:val="single" w:sz="4" w:space="0" w:color="000000"/>
              <w:bottom w:val="single" w:sz="4" w:space="0" w:color="000000"/>
            </w:tcBorders>
            <w:vAlign w:val="center"/>
          </w:tcPr>
          <w:p w:rsidR="001A2BAB">
            <w:pPr>
              <w:jc w:val="center"/>
              <w:rPr>
                <w:rFonts w:ascii="宋体" w:hAnsi="宋体" w:cs="宋体"/>
                <w:b/>
              </w:rPr>
            </w:pPr>
            <w:r>
              <w:rPr>
                <w:rFonts w:ascii="宋体" w:hAnsi="宋体" w:cs="宋体"/>
                <w:b/>
                <w:color w:val="000000"/>
                <w:highlight w:val="white"/>
              </w:rPr>
              <w:t>收取方</w:t>
            </w:r>
          </w:p>
        </w:tc>
      </w:tr>
      <w:tr>
        <w:tblPrEx>
          <w:tblW w:w="8513" w:type="dxa"/>
          <w:tblLayout w:type="fixed"/>
          <w:tblLook w:val="04A0"/>
        </w:tblPrEx>
        <w:trPr>
          <w:trHeight w:val="360"/>
        </w:trPr>
        <w:tc>
          <w:tcPr>
            <w:tcW w:w="1525" w:type="dxa"/>
            <w:vAlign w:val="center"/>
          </w:tcPr>
          <w:p w:rsidR="001A2BAB">
            <w:pPr>
              <w:spacing w:line="280" w:lineRule="exact"/>
              <w:jc w:val="left"/>
              <w:rPr>
                <w:rFonts w:ascii="宋体" w:hAnsi="宋体" w:cs="宋体"/>
                <w:bCs/>
                <w:iCs/>
              </w:rPr>
            </w:pPr>
            <w:r>
              <w:rPr>
                <w:rFonts w:ascii="宋体" w:hAnsi="宋体" w:cs="宋体" w:hint="eastAsia"/>
                <w:bCs/>
                <w:iCs/>
                <w:highlight w:val="white"/>
              </w:rPr>
              <w:t>管理费</w:t>
            </w:r>
          </w:p>
        </w:tc>
        <w:tc>
          <w:tcPr>
            <w:tcW w:w="3494" w:type="dxa"/>
            <w:vAlign w:val="center"/>
          </w:tcPr>
          <w:p w:rsidR="001A2BAB">
            <w:pPr>
              <w:spacing w:line="279" w:lineRule="exact"/>
              <w:rPr>
                <w:lang w:eastAsia="zh-CN"/>
              </w:rPr>
            </w:pPr>
            <w:r>
              <w:rPr>
                <w:rFonts w:ascii="宋体" w:hAnsi="宋体" w:cs="宋体"/>
                <w:color w:val="000000"/>
                <w:highlight w:val="white"/>
                <w:lang w:eastAsia="zh-CN"/>
              </w:rPr>
              <w:t xml:space="preserve">年费率0.60%、年费率1.20%或年费率1.50% </w:t>
            </w:r>
          </w:p>
        </w:tc>
        <w:tc>
          <w:tcPr>
            <w:tcW w:w="3494" w:type="dxa"/>
            <w:vAlign w:val="center"/>
          </w:tcPr>
          <w:p w:rsidR="001A2BAB">
            <w:pPr>
              <w:jc w:val="center"/>
              <w:rPr>
                <w:rFonts w:ascii="宋体" w:hAnsi="宋体" w:cs="宋体"/>
                <w:lang w:eastAsia="zh-CN"/>
              </w:rPr>
            </w:pPr>
            <w:r>
              <w:rPr>
                <w:rFonts w:ascii="宋体" w:hAnsi="宋体" w:cs="宋体"/>
                <w:color w:val="000000"/>
                <w:highlight w:val="white"/>
                <w:lang w:eastAsia="zh-CN"/>
              </w:rPr>
              <w:t>基金管理人</w:t>
            </w:r>
            <w:r w:rsidR="00373DA7">
              <w:rPr>
                <w:rFonts w:ascii="宋体" w:hAnsi="宋体" w:cs="宋体"/>
                <w:color w:val="000000"/>
                <w:highlight w:val="white"/>
                <w:lang w:eastAsia="zh-CN"/>
              </w:rPr>
              <w:t>、销售机构</w:t>
            </w:r>
          </w:p>
        </w:tc>
      </w:tr>
      <w:tr>
        <w:tblPrEx>
          <w:tblW w:w="8513" w:type="dxa"/>
          <w:tblLayout w:type="fixed"/>
          <w:tblLook w:val="04A0"/>
        </w:tblPrEx>
        <w:trPr>
          <w:trHeight w:val="360"/>
        </w:trPr>
        <w:tc>
          <w:tcPr>
            <w:tcW w:w="1525" w:type="dxa"/>
            <w:vAlign w:val="center"/>
          </w:tcPr>
          <w:p w:rsidR="001A2BAB">
            <w:pPr>
              <w:spacing w:line="280" w:lineRule="exact"/>
              <w:jc w:val="left"/>
              <w:rPr>
                <w:rFonts w:ascii="宋体" w:hAnsi="宋体" w:cs="宋体"/>
                <w:bCs/>
                <w:iCs/>
              </w:rPr>
            </w:pPr>
            <w:r>
              <w:rPr>
                <w:rFonts w:ascii="宋体" w:hAnsi="宋体" w:cs="宋体" w:hint="eastAsia"/>
                <w:bCs/>
                <w:iCs/>
                <w:highlight w:val="white"/>
              </w:rPr>
              <w:t>托管费</w:t>
            </w:r>
          </w:p>
        </w:tc>
        <w:tc>
          <w:tcPr>
            <w:tcW w:w="3494" w:type="dxa"/>
            <w:vAlign w:val="center"/>
          </w:tcPr>
          <w:p w:rsidR="001A2BAB">
            <w:pPr>
              <w:spacing w:line="279" w:lineRule="exact"/>
              <w:jc w:val="center"/>
              <w:rPr>
                <w:rFonts w:ascii="宋体" w:hAnsi="宋体" w:cs="宋体"/>
                <w:lang w:eastAsia="zh-CN"/>
              </w:rPr>
            </w:pPr>
            <w:r>
              <w:rPr>
                <w:rFonts w:ascii="宋体" w:hAnsi="宋体" w:cs="宋体"/>
                <w:highlight w:val="white"/>
                <w:lang w:eastAsia="zh-CN"/>
              </w:rPr>
              <w:t xml:space="preserve"> 年费率</w:t>
            </w:r>
            <w:r>
              <w:rPr>
                <w:rFonts w:ascii="宋体" w:hAnsi="宋体" w:cs="宋体"/>
                <w:lang w:eastAsia="zh-CN"/>
              </w:rPr>
              <w:t>0.20%</w:t>
            </w:r>
          </w:p>
        </w:tc>
        <w:tc>
          <w:tcPr>
            <w:tcW w:w="3494" w:type="dxa"/>
            <w:vAlign w:val="center"/>
          </w:tcPr>
          <w:p w:rsidR="001A2BAB">
            <w:pPr>
              <w:jc w:val="center"/>
              <w:rPr>
                <w:rFonts w:ascii="宋体" w:hAnsi="宋体" w:cs="宋体"/>
              </w:rPr>
            </w:pPr>
            <w:r>
              <w:rPr>
                <w:rFonts w:ascii="宋体" w:hAnsi="宋体" w:cs="宋体"/>
                <w:color w:val="000000"/>
                <w:highlight w:val="white"/>
              </w:rPr>
              <w:t>基金托管人</w:t>
            </w:r>
          </w:p>
        </w:tc>
      </w:tr>
      <w:tr>
        <w:tblPrEx>
          <w:tblW w:w="8513" w:type="dxa"/>
          <w:tblLayout w:type="fixed"/>
          <w:tblLook w:val="04A0"/>
        </w:tblPrEx>
        <w:trPr>
          <w:trHeight w:val="454"/>
        </w:trPr>
        <w:tc>
          <w:tcPr>
            <w:tcW w:w="1525" w:type="dxa"/>
            <w:vAlign w:val="center"/>
          </w:tcPr>
          <w:p w:rsidR="001A2BAB">
            <w:pPr>
              <w:spacing w:line="280" w:lineRule="exact"/>
              <w:jc w:val="left"/>
              <w:rPr>
                <w:rFonts w:ascii="宋体" w:hAnsi="宋体" w:cs="宋体"/>
                <w:iCs/>
              </w:rPr>
            </w:pPr>
            <w:r>
              <w:rPr>
                <w:rFonts w:ascii="宋体" w:hAnsi="宋体" w:cs="宋体" w:hint="eastAsia"/>
                <w:iCs/>
                <w:highlight w:val="white"/>
              </w:rPr>
              <w:t>其他费用</w:t>
            </w:r>
          </w:p>
        </w:tc>
        <w:tc>
          <w:tcPr>
            <w:tcW w:w="3494" w:type="dxa"/>
            <w:vAlign w:val="center"/>
          </w:tcPr>
          <w:p w:rsidR="001A2BAB">
            <w:pPr>
              <w:rPr>
                <w:lang w:eastAsia="zh-CN"/>
              </w:rPr>
            </w:pPr>
            <w:r>
              <w:rPr>
                <w:rFonts w:ascii="宋体" w:hAnsi="宋体" w:cs="宋体"/>
                <w:color w:val="000000"/>
                <w:highlight w:val="white"/>
                <w:lang w:eastAsia="zh-CN"/>
              </w:rPr>
              <w:t>详见招募说明书的基金费用与税收章节。</w:t>
            </w:r>
            <w:r>
              <w:rPr>
                <w:rFonts w:ascii="宋体" w:hAnsi="宋体" w:cs="宋体" w:hint="eastAsia"/>
                <w:bCs/>
                <w:iCs/>
                <w:highlight w:val="white"/>
                <w:lang w:eastAsia="zh-CN"/>
              </w:rPr>
              <w:t xml:space="preserve"> </w:t>
            </w:r>
          </w:p>
        </w:tc>
        <w:tc>
          <w:tcPr>
            <w:tcW w:w="3494" w:type="dxa"/>
            <w:vAlign w:val="center"/>
          </w:tcPr>
          <w:p w:rsidR="001A2BAB">
            <w:pPr>
              <w:rPr>
                <w:rFonts w:ascii="宋体" w:hAnsi="宋体" w:cs="宋体"/>
                <w:lang w:eastAsia="zh-CN"/>
              </w:rPr>
            </w:pPr>
          </w:p>
        </w:tc>
      </w:tr>
    </w:tbl>
    <w:p w:rsidR="001A2BAB">
      <w:r>
        <w:rPr>
          <w:rFonts w:ascii="宋体" w:hAnsi="宋体" w:cs="宋体"/>
          <w:color w:val="000000"/>
          <w:highlight w:val="white"/>
          <w:lang w:eastAsia="zh-CN"/>
        </w:rPr>
        <w:t>注：1、本基金交易证券、基金等产生的费用和税负，按实际发生额从基金资产扣除。2、赎回金额=赎回份额×赎回申请日该类份额的基金份额净值-赎回费用+返还投资者的或有管理费（如有）-超额管理费（如有）。3、当投资者赎回、转换转出基金份额或基金合同终止的情形发生时，若该笔份额持有期限不足一年（即365天，下同），则该笔份额按1.20%年费率（固定管理费率0.6%、或有管理费率0.6%）收取管理费。当投资者赎回、转换转出基金份额或基金合同终止的情形发生时，若该笔份额持有期限达到一年及以上，则根据该笔份额持有期间年化收益率分为以下三种情况，分别确定该笔份额对应的管理费率档位：（1）若该笔份额持有期间相对同期业绩比较基准的年化超额收益率在-3%及以下，则该笔份额按0.60%年费率（固定管理费率）收取管理费。（2）若该笔份额持有期间相对同期业绩比较基准的年化超额收益率超过6%且持有期间年化收益率为正，则该笔份额按1.50%年费率（固定管理费率0.6%、或有管理费率0.6%、超额管理费率0.3%）收取管理费。此情形下，若扣除超额管理费后的持有期间年化收益率小于等于0,或相对同期业绩比较基准的年化超额收益率小于等于6%，则该笔份额不收取超额管理费，仍按1.20%年费率（固定管理费率0.6%、或有管理费率0.6%）收取管理费。（3）对于其他情形，该笔份额按1.20%年费率（固定管理费率0.6%、或有管理费率0.6%）收取管理费。</w:t>
      </w:r>
      <w:r>
        <w:rPr>
          <w:rFonts w:ascii="宋体" w:hAnsi="宋体" w:cs="宋体"/>
          <w:color w:val="000000"/>
          <w:highlight w:val="white"/>
        </w:rPr>
        <w:t>详见招募说明书的基金费用与税收章节。</w:t>
      </w:r>
    </w:p>
    <w:p w:rsidR="001A2BAB">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风险揭示与重要提示</w:t>
      </w:r>
    </w:p>
    <w:p w:rsidR="001A2BAB">
      <w:pPr>
        <w:spacing w:line="280" w:lineRule="exact"/>
        <w:outlineLvl w:val="1"/>
        <w:rPr>
          <w:rFonts w:ascii="宋体" w:hAnsi="宋体" w:cs="宋体"/>
          <w:color w:val="0000FF"/>
          <w:sz w:val="18"/>
        </w:rPr>
      </w:pPr>
      <w:r>
        <w:rPr>
          <w:rFonts w:ascii="宋体" w:hAnsi="宋体" w:cs="宋体" w:hint="eastAsia"/>
          <w:b/>
          <w:bCs/>
          <w:iCs/>
          <w:sz w:val="24"/>
          <w:szCs w:val="24"/>
          <w:highlight w:val="white"/>
        </w:rPr>
        <w:t>（一）风险揭示</w:t>
      </w:r>
    </w:p>
    <w:p w:rsidR="001A2BAB">
      <w:pPr>
        <w:spacing w:line="280" w:lineRule="exact"/>
        <w:ind w:firstLine="420"/>
        <w:rPr>
          <w:rFonts w:ascii="宋体" w:hAnsi="宋体" w:cs="宋体"/>
          <w:iCs/>
          <w:lang w:eastAsia="zh-CN"/>
        </w:rPr>
      </w:pPr>
      <w:r>
        <w:rPr>
          <w:highlight w:val="white"/>
          <w:lang w:eastAsia="zh-CN"/>
        </w:rPr>
        <w:t>1</w:t>
      </w:r>
      <w:r>
        <w:rPr>
          <w:highlight w:val="white"/>
          <w:lang w:eastAsia="zh-CN"/>
        </w:rPr>
        <w:t>、</w:t>
      </w:r>
      <w:bookmarkStart w:id="0" w:name="_GoBack"/>
      <w:r w:rsidRPr="00716A00">
        <w:rPr>
          <w:rFonts w:ascii="宋体" w:hAnsi="宋体" w:cs="宋体" w:hint="eastAsia"/>
          <w:b/>
          <w:iCs/>
          <w:highlight w:val="white"/>
          <w:lang w:eastAsia="zh-CN"/>
        </w:rPr>
        <w:t>本基金不提供任何保证。投资者可能损失投资本金。</w:t>
      </w:r>
      <w:bookmarkEnd w:id="0"/>
    </w:p>
    <w:p w:rsidR="001A2BAB">
      <w:pPr>
        <w:spacing w:line="280" w:lineRule="exact"/>
        <w:ind w:firstLine="420"/>
        <w:rPr>
          <w:rFonts w:ascii="宋体" w:hAnsi="宋体" w:cs="宋体"/>
          <w:iCs/>
          <w:lang w:eastAsia="zh-CN"/>
        </w:rPr>
      </w:pPr>
      <w:r>
        <w:rPr>
          <w:rFonts w:ascii="宋体" w:hAnsi="宋体" w:cs="宋体" w:hint="eastAsia"/>
          <w:iCs/>
          <w:highlight w:val="white"/>
          <w:lang w:eastAsia="zh-CN"/>
        </w:rPr>
        <w:t>2、投资有风险，投资者购买基金时应认真阅读本基金的《招募说明书》等销售文件。</w:t>
      </w:r>
    </w:p>
    <w:p w:rsidR="001A2BAB">
      <w:pPr>
        <w:ind w:firstLine="420"/>
        <w:rPr>
          <w:lang w:eastAsia="zh-CN"/>
        </w:rPr>
      </w:pPr>
      <w:r>
        <w:rPr>
          <w:rFonts w:ascii="宋体" w:hAnsi="宋体" w:cs="宋体"/>
          <w:color w:val="000000"/>
          <w:highlight w:val="white"/>
          <w:lang w:eastAsia="zh-CN"/>
        </w:rPr>
        <w:t>3、浮动管理费模式相关风险</w:t>
      </w:r>
    </w:p>
    <w:p w:rsidR="001A2BAB">
      <w:pPr>
        <w:ind w:firstLine="420"/>
        <w:rPr>
          <w:lang w:eastAsia="zh-CN"/>
        </w:rPr>
      </w:pPr>
      <w:r>
        <w:rPr>
          <w:rFonts w:ascii="宋体" w:hAnsi="宋体" w:cs="宋体"/>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1A2BAB">
      <w:pPr>
        <w:ind w:firstLine="420"/>
        <w:rPr>
          <w:lang w:eastAsia="zh-CN"/>
        </w:rPr>
      </w:pPr>
      <w:r>
        <w:rPr>
          <w:rFonts w:ascii="宋体" w:hAnsi="宋体" w:cs="宋体"/>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1A2BAB">
      <w:pPr>
        <w:ind w:firstLine="420"/>
        <w:rPr>
          <w:lang w:eastAsia="zh-CN"/>
        </w:rPr>
      </w:pPr>
      <w:r>
        <w:rPr>
          <w:rFonts w:ascii="宋体" w:hAnsi="宋体" w:cs="宋体"/>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1A2BAB">
      <w:pPr>
        <w:rPr>
          <w:lang w:eastAsia="zh-CN"/>
        </w:rPr>
      </w:pPr>
      <w:r>
        <w:rPr>
          <w:rFonts w:ascii="宋体" w:hAnsi="宋体" w:cs="宋体"/>
          <w:color w:val="000000"/>
          <w:highlight w:val="white"/>
          <w:lang w:eastAsia="zh-CN"/>
        </w:rPr>
        <w:t>  （4）本基金采用浮动管理费的收费模式，不代表基金管理人对基金投资收益的保证。</w:t>
      </w:r>
    </w:p>
    <w:p w:rsidR="001A2BAB">
      <w:pPr>
        <w:ind w:firstLine="420"/>
        <w:rPr>
          <w:iCs/>
          <w:lang w:eastAsia="zh-CN"/>
        </w:rPr>
      </w:pPr>
      <w:r>
        <w:rPr>
          <w:rFonts w:ascii="宋体" w:hAnsi="宋体" w:cs="宋体"/>
          <w:color w:val="000000"/>
          <w:highlight w:val="white"/>
          <w:lang w:eastAsia="zh-CN"/>
        </w:rPr>
        <w:t>4、</w:t>
      </w:r>
      <w:r>
        <w:rPr>
          <w:rFonts w:ascii="宋体" w:hAnsi="宋体" w:cs="宋体"/>
          <w:iCs/>
          <w:highlight w:val="white"/>
          <w:lang w:eastAsia="zh-CN"/>
        </w:rPr>
        <w:t>投资本基金可能遇到的特有风险包括但不限于：（1）本基金股票资产仓位偏高而面临的资产配置风险；（2）按照基金投资策略投资可能无法盈利甚至亏损的风险；（3）本基金投资范围包括内地与香港股票市场交易互联互通机制允许买卖的香港证券市场股票而面临的香港股票市场及港股通机制带来的风险；（4）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r>
        <w:rPr>
          <w:rFonts w:ascii="宋体" w:hAnsi="宋体" w:cs="宋体" w:hint="eastAsia"/>
          <w:iCs/>
          <w:highlight w:val="white"/>
          <w:lang w:eastAsia="zh-CN"/>
        </w:rPr>
        <w:t>本基金的特有风险及一般风险详见招募说明书的“风险揭示”部分。</w:t>
      </w:r>
    </w:p>
    <w:p w:rsidR="001A2BAB">
      <w:pPr>
        <w:spacing w:line="279" w:lineRule="atLeast"/>
        <w:ind w:firstLine="420"/>
        <w:rPr>
          <w:lang w:eastAsia="zh-CN"/>
        </w:rPr>
      </w:pPr>
      <w:r>
        <w:rPr>
          <w:rFonts w:ascii="宋体" w:hAnsi="宋体" w:cs="宋体"/>
          <w:color w:val="000000"/>
          <w:highlight w:val="white"/>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1A2BAB">
      <w:pPr>
        <w:spacing w:line="280" w:lineRule="exact"/>
        <w:rPr>
          <w:rFonts w:ascii="宋体" w:hAnsi="宋体" w:cs="宋体"/>
          <w:b/>
          <w:iCs/>
          <w:sz w:val="22"/>
          <w:szCs w:val="24"/>
          <w:lang w:eastAsia="zh-CN"/>
        </w:rPr>
      </w:pPr>
      <w:r>
        <w:rPr>
          <w:rFonts w:ascii="宋体" w:hAnsi="宋体" w:cs="宋体"/>
          <w:b/>
          <w:iCs/>
          <w:sz w:val="24"/>
          <w:szCs w:val="24"/>
          <w:highlight w:val="white"/>
          <w:lang w:eastAsia="zh-CN"/>
        </w:rPr>
        <w:t>（二）重要提示</w:t>
      </w:r>
    </w:p>
    <w:p w:rsidR="001A2BAB">
      <w:pPr>
        <w:spacing w:line="280" w:lineRule="exact"/>
        <w:ind w:firstLine="420"/>
        <w:rPr>
          <w:rFonts w:ascii="宋体" w:hAnsi="宋体" w:cs="宋体"/>
          <w:b/>
          <w:iCs/>
          <w:lang w:eastAsia="zh-CN"/>
        </w:rPr>
      </w:pPr>
      <w:r>
        <w:rPr>
          <w:rFonts w:ascii="宋体" w:hAnsi="宋体" w:cs="宋体" w:hint="eastAsia"/>
          <w:iCs/>
          <w:highlight w:val="white"/>
          <w:lang w:eastAsia="zh-CN"/>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宋体" w:hAnsi="宋体" w:cs="宋体"/>
          <w:b/>
          <w:iCs/>
          <w:highlight w:val="white"/>
          <w:lang w:eastAsia="zh-CN"/>
        </w:rPr>
        <w:t>各方当事人因《基金合同》而产生的或与《基金合同》有关的一切争议应尽量通过协商、调解途径解决，如经友好协商未能解决的最终将通过仲裁方式处理，详见《基金合同》。</w:t>
      </w:r>
    </w:p>
    <w:p w:rsidR="001A2BAB">
      <w:pPr>
        <w:spacing w:line="280" w:lineRule="exact"/>
        <w:ind w:firstLine="420"/>
        <w:rPr>
          <w:rFonts w:ascii="宋体" w:hAnsi="宋体" w:cs="宋体"/>
          <w:iCs/>
          <w:lang w:eastAsia="zh-CN"/>
        </w:rPr>
      </w:pPr>
      <w:r>
        <w:rPr>
          <w:rFonts w:ascii="宋体" w:hAnsi="宋体" w:cs="宋体" w:hint="eastAsia"/>
          <w:iCs/>
          <w:highlight w:val="white"/>
          <w:lang w:eastAsia="zh-CN"/>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1A2BAB">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其他资料查询方式</w:t>
      </w:r>
    </w:p>
    <w:p w:rsidR="001A2BAB">
      <w:pPr>
        <w:spacing w:line="280" w:lineRule="exact"/>
        <w:ind w:firstLine="420"/>
        <w:rPr>
          <w:rFonts w:ascii="宋体" w:hAnsi="宋体" w:cs="宋体"/>
          <w:iCs/>
        </w:rPr>
      </w:pPr>
      <w:r>
        <w:rPr>
          <w:rFonts w:ascii="宋体" w:hAnsi="宋体" w:cs="宋体" w:hint="eastAsia"/>
          <w:iCs/>
          <w:highlight w:val="white"/>
        </w:rPr>
        <w:t>以下资料详见基金管理人网站[www.efunds.com.cn][客服电话:4008818088]</w:t>
      </w:r>
    </w:p>
    <w:p w:rsidR="001A2BAB">
      <w:pPr>
        <w:spacing w:line="280" w:lineRule="exact"/>
        <w:ind w:firstLine="420"/>
        <w:rPr>
          <w:rFonts w:ascii="宋体" w:hAnsi="宋体" w:cs="宋体"/>
          <w:iCs/>
          <w:lang w:eastAsia="zh-CN"/>
        </w:rPr>
      </w:pPr>
      <w:r>
        <w:rPr>
          <w:rFonts w:ascii="宋体" w:hAnsi="宋体" w:cs="宋体" w:hint="eastAsia"/>
          <w:iCs/>
          <w:highlight w:val="white"/>
          <w:lang w:eastAsia="zh-CN"/>
        </w:rPr>
        <w:t>1、基金合同、托管协议、招募说明书</w:t>
      </w:r>
    </w:p>
    <w:p w:rsidR="001A2BAB">
      <w:pPr>
        <w:spacing w:line="280" w:lineRule="exact"/>
        <w:ind w:firstLine="420"/>
        <w:rPr>
          <w:rFonts w:ascii="宋体" w:hAnsi="宋体" w:cs="宋体"/>
          <w:iCs/>
          <w:lang w:eastAsia="zh-CN"/>
        </w:rPr>
      </w:pPr>
      <w:r>
        <w:rPr>
          <w:rFonts w:ascii="宋体" w:hAnsi="宋体" w:cs="宋体" w:hint="eastAsia"/>
          <w:iCs/>
          <w:highlight w:val="white"/>
          <w:lang w:eastAsia="zh-CN"/>
        </w:rPr>
        <w:t>2、定期报告，包括基金季度报告、中期报告和年度报告</w:t>
      </w:r>
    </w:p>
    <w:p w:rsidR="001A2BAB">
      <w:pPr>
        <w:spacing w:line="280" w:lineRule="exact"/>
        <w:ind w:firstLine="420"/>
        <w:rPr>
          <w:rFonts w:ascii="宋体" w:hAnsi="宋体" w:cs="宋体"/>
          <w:iCs/>
          <w:lang w:eastAsia="zh-CN"/>
        </w:rPr>
      </w:pPr>
      <w:r>
        <w:rPr>
          <w:rFonts w:ascii="宋体" w:hAnsi="宋体" w:cs="宋体" w:hint="eastAsia"/>
          <w:iCs/>
          <w:highlight w:val="white"/>
          <w:lang w:eastAsia="zh-CN"/>
        </w:rPr>
        <w:t>3、基金份额净值</w:t>
      </w:r>
    </w:p>
    <w:p w:rsidR="001A2BAB">
      <w:pPr>
        <w:spacing w:line="280" w:lineRule="exact"/>
        <w:ind w:firstLine="420"/>
        <w:rPr>
          <w:rFonts w:ascii="宋体" w:hAnsi="宋体" w:cs="宋体"/>
          <w:iCs/>
          <w:lang w:eastAsia="zh-CN"/>
        </w:rPr>
      </w:pPr>
      <w:r>
        <w:rPr>
          <w:rFonts w:ascii="宋体" w:hAnsi="宋体" w:cs="宋体" w:hint="eastAsia"/>
          <w:iCs/>
          <w:highlight w:val="white"/>
          <w:lang w:eastAsia="zh-CN"/>
        </w:rPr>
        <w:t>4、基金销售机构及联系方式</w:t>
      </w:r>
    </w:p>
    <w:p w:rsidR="001A2BAB">
      <w:pPr>
        <w:spacing w:line="280" w:lineRule="exact"/>
        <w:ind w:firstLine="420"/>
        <w:rPr>
          <w:rFonts w:ascii="宋体" w:hAnsi="宋体" w:cs="宋体"/>
          <w:iCs/>
        </w:rPr>
      </w:pPr>
      <w:r>
        <w:rPr>
          <w:rFonts w:ascii="宋体" w:hAnsi="宋体" w:cs="宋体" w:hint="eastAsia"/>
          <w:iCs/>
          <w:highlight w:val="white"/>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placeholder>
        <w:docPart w:val="b4cdce47441e4b3ab212f74615090e91"/>
      </w:placeholder>
      <w:docPartObj>
        <w:docPartGallery w:val="AutoText"/>
      </w:docPartObj>
    </w:sdtPr>
    <w:sdtContent>
      <w:sdt>
        <w:sdtPr>
          <w:id w:val="98381352"/>
          <w:placeholder>
            <w:docPart w:val="3f44cdde114a40b4869e7cf463707e72"/>
          </w:placeholder>
          <w:docPartObj>
            <w:docPartGallery w:val="AutoText"/>
          </w:docPartObj>
        </w:sdtPr>
        <w:sdtContent>
          <w:p w:rsidR="001A2BAB">
            <w:pPr>
              <w:pStyle w:val="1"/>
              <w:snapToGrid/>
              <w:jc w:val="center"/>
            </w:pPr>
            <w:r>
              <w:rPr>
                <w:highlight w:val="white"/>
                <w:lang w:val="zh-CN"/>
              </w:rPr>
              <w:t xml:space="preserve"> </w:t>
            </w:r>
            <w:r>
              <w:rPr>
                <w:b/>
                <w:bCs/>
                <w:sz w:val="24"/>
                <w:szCs w:val="24"/>
              </w:rPr>
              <w:fldChar w:fldCharType="begin"/>
            </w:r>
            <w:r>
              <w:rPr>
                <w:b/>
                <w:bCs/>
                <w:highlight w:val="white"/>
              </w:rPr>
              <w:instrText>PAGE</w:instrText>
            </w:r>
            <w:r>
              <w:rPr>
                <w:b/>
                <w:bCs/>
                <w:sz w:val="24"/>
                <w:szCs w:val="24"/>
              </w:rPr>
              <w:fldChar w:fldCharType="separate"/>
            </w:r>
            <w:r>
              <w:rPr>
                <w:b/>
                <w:bCs/>
                <w:highlight w:val="white"/>
              </w:rPr>
              <w:t>4</w:t>
            </w:r>
            <w:r>
              <w:rPr>
                <w:b/>
                <w:bCs/>
                <w:sz w:val="24"/>
                <w:szCs w:val="24"/>
              </w:rPr>
              <w:fldChar w:fldCharType="end"/>
            </w:r>
            <w:r>
              <w:rPr>
                <w:highlight w:val="white"/>
                <w:lang w:val="zh-CN"/>
              </w:rPr>
              <w:t xml:space="preserve"> / </w:t>
            </w:r>
            <w:r>
              <w:rPr>
                <w:b/>
                <w:bCs/>
                <w:sz w:val="24"/>
                <w:szCs w:val="24"/>
              </w:rPr>
              <w:fldChar w:fldCharType="begin"/>
            </w:r>
            <w:r>
              <w:rPr>
                <w:b/>
                <w:bCs/>
                <w:highlight w:val="white"/>
              </w:rPr>
              <w:instrText>NUMPAGES</w:instrText>
            </w:r>
            <w:r>
              <w:rPr>
                <w:b/>
                <w:bCs/>
                <w:sz w:val="24"/>
                <w:szCs w:val="24"/>
              </w:rPr>
              <w:fldChar w:fldCharType="separate"/>
            </w:r>
            <w:r>
              <w:rPr>
                <w:b/>
                <w:bCs/>
                <w:highlight w:val="white"/>
              </w:rPr>
              <w:t>4</w:t>
            </w:r>
            <w:r>
              <w:rPr>
                <w:b/>
                <w:bCs/>
                <w:sz w:val="24"/>
                <w:szCs w:val="24"/>
              </w:rPr>
              <w:fldChar w:fldCharType="end"/>
            </w:r>
          </w:p>
        </w:sdtContent>
      </w:sdt>
    </w:sdtContent>
  </w:sdt>
  <w:p w:rsidR="001A2BAB">
    <w:pPr>
      <w:pStyle w:val="1"/>
      <w:snapToGrid/>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774A43"/>
    <w:multiLevelType w:val="multilevel"/>
    <w:tmpl w:val="0B774A43"/>
    <w:lvl w:ilvl="0">
      <w:start w:val="1"/>
      <w:numFmt w:val="chineseCounting"/>
      <w:suff w:val="nothing"/>
      <w:lvlText w:val="%1、"/>
      <w:lvlJc w:val="left"/>
      <w:rPr>
        <w:rFonts w:ascii="Calibri" w:eastAsia="宋体" w:hAnsi="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2E3FC15"/>
    <w:multiLevelType w:val="multilevel"/>
    <w:tmpl w:val="72E3FC15"/>
    <w:lvl w:ilvl="0">
      <w:start w:val="1"/>
      <w:numFmt w:val="chi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69"/>
    <w:rsid w:val="00091A0A"/>
    <w:rsid w:val="001A2BAB"/>
    <w:rsid w:val="002E6969"/>
    <w:rsid w:val="0033628E"/>
    <w:rsid w:val="00373DA7"/>
    <w:rsid w:val="004701FD"/>
    <w:rsid w:val="00611A2E"/>
    <w:rsid w:val="0065202C"/>
    <w:rsid w:val="00660DF0"/>
    <w:rsid w:val="00716A00"/>
    <w:rsid w:val="0093194C"/>
    <w:rsid w:val="009D528E"/>
    <w:rsid w:val="00C37CC5"/>
    <w:rsid w:val="00CE119D"/>
    <w:rsid w:val="00D519B9"/>
    <w:rsid w:val="00E979E9"/>
    <w:rsid w:val="7DEA06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14E87546-2D44-4B83-A391-E18E101C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1"/>
      <w:lang w:eastAsia="en-US"/>
    </w:rPr>
  </w:style>
  <w:style w:type="paragraph" w:styleId="Heading1">
    <w:name w:val="heading 1"/>
    <w:basedOn w:val="Normal"/>
    <w:next w:val="Normal"/>
    <w:link w:val="1Char"/>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11"/>
    <w:uiPriority w:val="99"/>
    <w:semiHidden/>
    <w:unhideWhenUsed/>
    <w:rPr>
      <w:rFonts w:ascii="宋体"/>
      <w:sz w:val="18"/>
      <w:szCs w:val="18"/>
    </w:rPr>
  </w:style>
  <w:style w:type="paragraph" w:styleId="CommentText">
    <w:name w:val="annotation text"/>
    <w:basedOn w:val="Normal"/>
    <w:link w:val="Char9"/>
    <w:uiPriority w:val="99"/>
    <w:semiHidden/>
    <w:unhideWhenUsed/>
    <w:pPr>
      <w:jc w:val="left"/>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pPr>
      <w:spacing w:after="57"/>
      <w:ind w:left="1984"/>
    </w:pPr>
  </w:style>
  <w:style w:type="paragraph" w:styleId="EndnoteText">
    <w:name w:val="endnote text"/>
    <w:basedOn w:val="Normal"/>
    <w:link w:val="Char"/>
    <w:uiPriority w:val="99"/>
    <w:semiHidden/>
    <w:unhideWhenUsed/>
    <w:rPr>
      <w:sz w:val="20"/>
    </w:rPr>
  </w:style>
  <w:style w:type="paragraph" w:styleId="BalloonText">
    <w:name w:val="Balloon Text"/>
    <w:basedOn w:val="Normal"/>
    <w:link w:val="Char7"/>
    <w:uiPriority w:val="99"/>
    <w:semiHidden/>
    <w:unhideWhenUsed/>
    <w:rPr>
      <w:sz w:val="18"/>
      <w:szCs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5"/>
    <w:uiPriority w:val="99"/>
    <w:unhideWhenUsed/>
    <w:pPr>
      <w:tabs>
        <w:tab w:val="center" w:pos="7143"/>
        <w:tab w:val="right" w:pos="14287"/>
      </w:tabs>
    </w:pPr>
  </w:style>
  <w:style w:type="paragraph" w:styleId="TOC1">
    <w:name w:val="toc 1"/>
    <w:basedOn w:val="Normal"/>
    <w:next w:val="Normal"/>
    <w:uiPriority w:val="39"/>
    <w:unhideWhenUsed/>
    <w:pPr>
      <w:spacing w:after="57"/>
    </w:p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Char2"/>
    <w:uiPriority w:val="11"/>
    <w:qFormat/>
    <w:pPr>
      <w:spacing w:before="200" w:after="200"/>
    </w:pPr>
    <w:rPr>
      <w:sz w:val="24"/>
      <w:szCs w:val="24"/>
    </w:rPr>
  </w:style>
  <w:style w:type="paragraph" w:styleId="FootnoteText">
    <w:name w:val="footnote text"/>
    <w:basedOn w:val="Normal"/>
    <w:link w:val="Char8"/>
    <w:unhideWhenUsed/>
    <w:qFormat/>
    <w:pPr>
      <w:snapToGrid w:val="0"/>
      <w:jc w:val="left"/>
    </w:pPr>
    <w:rPr>
      <w:rFonts w:cs="Times New Roman"/>
      <w:sz w:val="18"/>
      <w:szCs w:val="24"/>
    </w:rPr>
  </w:style>
  <w:style w:type="paragraph" w:styleId="TOC6">
    <w:name w:val="toc 6"/>
    <w:basedOn w:val="Normal"/>
    <w:next w:val="Normal"/>
    <w:uiPriority w:val="39"/>
    <w:unhideWhenUsed/>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pPr>
      <w:spacing w:after="57"/>
      <w:ind w:left="283"/>
    </w:pPr>
  </w:style>
  <w:style w:type="paragraph" w:styleId="TOC9">
    <w:name w:val="toc 9"/>
    <w:basedOn w:val="Normal"/>
    <w:next w:val="Normal"/>
    <w:uiPriority w:val="39"/>
    <w:unhideWhenUsed/>
    <w:pPr>
      <w:spacing w:after="57"/>
      <w:ind w:left="2268"/>
    </w:p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link w:val="Char10"/>
    <w:uiPriority w:val="99"/>
    <w:semiHidden/>
    <w:unhideWhenUsed/>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unhideWhenUsed/>
    <w:qFormat/>
    <w:rPr>
      <w:rFonts w:ascii="Times New Roman" w:eastAsia="宋体" w:hAnsi="Times New Roman" w:cs="Times New Roman"/>
      <w:vertAlign w:val="superscript"/>
    </w:rPr>
  </w:style>
  <w:style w:type="character" w:customStyle="1" w:styleId="Char1">
    <w:name w:val="页脚 Char1"/>
    <w:link w:val="Footer"/>
    <w:uiPriority w:val="99"/>
  </w:style>
  <w:style w:type="character" w:customStyle="1" w:styleId="Char">
    <w:name w:val="尾注文本 Char"/>
    <w:link w:val="EndnoteText"/>
    <w:uiPriority w:val="99"/>
    <w:rPr>
      <w:sz w:val="2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character" w:customStyle="1" w:styleId="1Char">
    <w:name w:val="标题 1 Char"/>
    <w:basedOn w:val="DefaultParagraphFont"/>
    <w:link w:val="Heading1"/>
    <w:uiPriority w:val="9"/>
    <w:rPr>
      <w:rFonts w:ascii="Arial" w:hAnsi="Arial" w:cs="Arial"/>
      <w:sz w:val="40"/>
      <w:szCs w:val="40"/>
    </w:rPr>
  </w:style>
  <w:style w:type="paragraph" w:styleId="NoSpacing">
    <w:name w:val="No Spacing"/>
    <w:uiPriority w:val="1"/>
    <w:qFormat/>
    <w:rPr>
      <w:sz w:val="21"/>
      <w:szCs w:val="21"/>
      <w:lang w:eastAsia="en-US"/>
    </w:rPr>
  </w:style>
  <w:style w:type="character" w:customStyle="1" w:styleId="Char0">
    <w:name w:val="标题 Char"/>
    <w:basedOn w:val="DefaultParagraphFont"/>
    <w:link w:val="Title"/>
    <w:uiPriority w:val="10"/>
    <w:rPr>
      <w:sz w:val="48"/>
      <w:szCs w:val="48"/>
    </w:rPr>
  </w:style>
  <w:style w:type="character" w:customStyle="1" w:styleId="Char2">
    <w:name w:val="副标题 Char"/>
    <w:basedOn w:val="DefaultParagraphFont"/>
    <w:link w:val="Subtitle"/>
    <w:uiPriority w:val="11"/>
    <w:qFormat/>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rPr>
      <w:i/>
    </w:rPr>
  </w:style>
  <w:style w:type="character" w:customStyle="1" w:styleId="Char5">
    <w:name w:val="页眉 Char"/>
    <w:basedOn w:val="DefaultParagraphFont"/>
    <w:link w:val="Header"/>
    <w:uiPriority w:val="99"/>
  </w:style>
  <w:style w:type="paragraph" w:styleId="ListParagraph">
    <w:name w:val="List Paragraph"/>
    <w:basedOn w:val="Normal"/>
    <w:uiPriority w:val="34"/>
    <w:qFormat/>
    <w:pPr>
      <w:ind w:firstLine="420"/>
    </w:pPr>
  </w:style>
  <w:style w:type="paragraph" w:customStyle="1" w:styleId="1">
    <w:name w:val="页脚1"/>
    <w:basedOn w:val="Normal"/>
    <w:link w:val="Char6"/>
    <w:uiPriority w:val="99"/>
    <w:unhideWhenUsed/>
    <w:pPr>
      <w:tabs>
        <w:tab w:val="center" w:pos="4153"/>
        <w:tab w:val="right" w:pos="8306"/>
      </w:tabs>
      <w:snapToGrid w:val="0"/>
      <w:jc w:val="left"/>
    </w:pPr>
    <w:rPr>
      <w:sz w:val="18"/>
      <w:szCs w:val="18"/>
    </w:rPr>
  </w:style>
  <w:style w:type="character" w:customStyle="1" w:styleId="Char6">
    <w:name w:val="页脚 Char"/>
    <w:basedOn w:val="DefaultParagraphFont"/>
    <w:link w:val="1"/>
    <w:uiPriority w:val="99"/>
    <w:rPr>
      <w:sz w:val="18"/>
      <w:szCs w:val="18"/>
    </w:rPr>
  </w:style>
  <w:style w:type="character" w:customStyle="1" w:styleId="Char7">
    <w:name w:val="批注框文本 Char"/>
    <w:basedOn w:val="DefaultParagraphFont"/>
    <w:link w:val="BalloonText"/>
    <w:uiPriority w:val="99"/>
    <w:semiHidden/>
    <w:rPr>
      <w:sz w:val="18"/>
      <w:szCs w:val="18"/>
    </w:rPr>
  </w:style>
  <w:style w:type="character" w:styleId="PlaceholderText">
    <w:name w:val="Placeholder Text"/>
    <w:basedOn w:val="DefaultParagraphFont"/>
    <w:uiPriority w:val="99"/>
    <w:semiHidden/>
    <w:rPr>
      <w:color w:val="808080"/>
    </w:rPr>
  </w:style>
  <w:style w:type="character" w:customStyle="1" w:styleId="Char8">
    <w:name w:val="脚注文本 Char"/>
    <w:basedOn w:val="DefaultParagraphFont"/>
    <w:link w:val="FootnoteText"/>
    <w:qFormat/>
    <w:rPr>
      <w:rFonts w:ascii="Calibri" w:eastAsia="宋体" w:hAnsi="Calibri" w:cs="Times New Roman"/>
      <w:sz w:val="18"/>
      <w:szCs w:val="24"/>
    </w:rPr>
  </w:style>
  <w:style w:type="character" w:customStyle="1" w:styleId="Char9">
    <w:name w:val="批注文字 Char"/>
    <w:basedOn w:val="DefaultParagraphFont"/>
    <w:link w:val="CommentText"/>
    <w:uiPriority w:val="99"/>
    <w:semiHidden/>
  </w:style>
  <w:style w:type="character" w:customStyle="1" w:styleId="Char10">
    <w:name w:val="批注主题 Char"/>
    <w:basedOn w:val="Char9"/>
    <w:link w:val="CommentSubject"/>
    <w:uiPriority w:val="99"/>
    <w:semiHidden/>
    <w:rPr>
      <w:b/>
      <w:bCs/>
    </w:rPr>
  </w:style>
  <w:style w:type="character" w:customStyle="1" w:styleId="Char11">
    <w:name w:val="文档结构图 Char"/>
    <w:basedOn w:val="DefaultParagraphFont"/>
    <w:link w:val="DocumentMap"/>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4cdce47441e4b3ab212f74615090e91"/>
        <w:category>
          <w:name w:val="(Empty Category)"/>
          <w:gallery w:val="any"/>
        </w:category>
        <w:behaviors>
          <w:behavior w:val="content"/>
        </w:behaviors>
        <w:guid w:val="{3D795593-018C-4204-B806-4CD7D9C46C3A}"/>
      </w:docPartPr>
      <w:docPartBody>
        <w:p w:rsidR="004701FD">
          <w:r>
            <w:t>请在此放置您的文字</w:t>
          </w:r>
        </w:p>
      </w:docPartBody>
    </w:docPart>
    <w:docPart>
      <w:docPartPr>
        <w:name w:val="3f44cdde114a40b4869e7cf463707e72"/>
        <w:category>
          <w:name w:val="(Empty Category)"/>
          <w:gallery w:val="any"/>
        </w:category>
        <w:behaviors>
          <w:behavior w:val="content"/>
        </w:behaviors>
        <w:guid w:val="{9912C120-E3F4-426C-8980-09D3E5969551}"/>
      </w:docPartPr>
      <w:docPartBody>
        <w:p w:rsidR="004701FD">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comments="1" w:formatting="1" w:inkAnnotations="0" w:insDel="1" w:markup="1"/>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63"/>
    <w:rsid w:val="00043838"/>
    <w:rsid w:val="00124773"/>
    <w:rsid w:val="004701FD"/>
    <w:rsid w:val="0059164B"/>
    <w:rsid w:val="006A6340"/>
    <w:rsid w:val="00BF77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Char"/>
    <w:uiPriority w:val="9"/>
    <w:qFormat/>
    <w:pPr>
      <w:keepNext/>
      <w:keepLines/>
      <w:spacing w:before="480" w:after="200"/>
      <w:outlineLvl w:val="0"/>
    </w:pPr>
    <w:rPr>
      <w:sz w:val="40"/>
      <w:szCs w:val="40"/>
    </w:rPr>
  </w:style>
  <w:style w:type="paragraph" w:styleId="Heading2">
    <w:name w:val="heading 2"/>
    <w:basedOn w:val="Normal"/>
    <w:next w:val="Normal"/>
    <w:link w:val="2Char"/>
    <w:uiPriority w:val="9"/>
    <w:unhideWhenUsed/>
    <w:qFormat/>
    <w:pPr>
      <w:keepNext/>
      <w:keepLines/>
      <w:spacing w:before="360" w:after="200"/>
      <w:outlineLvl w:val="1"/>
    </w:pPr>
    <w:rPr>
      <w:sz w:val="34"/>
    </w:rPr>
  </w:style>
  <w:style w:type="paragraph" w:styleId="Heading3">
    <w:name w:val="heading 3"/>
    <w:basedOn w:val="Normal"/>
    <w:next w:val="Normal"/>
    <w:link w:val="3Char"/>
    <w:uiPriority w:val="9"/>
    <w:unhideWhenUsed/>
    <w:qFormat/>
    <w:pPr>
      <w:keepNext/>
      <w:keepLines/>
      <w:spacing w:before="320" w:after="200"/>
      <w:outlineLvl w:val="2"/>
    </w:pPr>
    <w:rPr>
      <w:sz w:val="30"/>
      <w:szCs w:val="30"/>
    </w:rPr>
  </w:style>
  <w:style w:type="paragraph" w:styleId="Heading4">
    <w:name w:val="heading 4"/>
    <w:basedOn w:val="Normal"/>
    <w:next w:val="Normal"/>
    <w:link w:val="4Char"/>
    <w:uiPriority w:val="9"/>
    <w:unhideWhenUsed/>
    <w:qFormat/>
    <w:pPr>
      <w:keepNext/>
      <w:keepLines/>
      <w:spacing w:before="320" w:after="200"/>
      <w:outlineLvl w:val="3"/>
    </w:pPr>
    <w:rPr>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b/>
      <w:bCs/>
    </w:rPr>
  </w:style>
  <w:style w:type="paragraph" w:styleId="Heading7">
    <w:name w:val="heading 7"/>
    <w:basedOn w:val="Normal"/>
    <w:next w:val="Normal"/>
    <w:link w:val="7Char"/>
    <w:uiPriority w:val="9"/>
    <w:unhideWhenUsed/>
    <w:qFormat/>
    <w:pPr>
      <w:keepNext/>
      <w:keepLines/>
      <w:spacing w:before="320" w:after="200"/>
      <w:outlineLvl w:val="6"/>
    </w:pPr>
    <w:rPr>
      <w:b/>
      <w:bCs/>
      <w:i/>
      <w:iCs/>
    </w:rPr>
  </w:style>
  <w:style w:type="paragraph" w:styleId="Heading8">
    <w:name w:val="heading 8"/>
    <w:basedOn w:val="Normal"/>
    <w:next w:val="Normal"/>
    <w:link w:val="8Char"/>
    <w:uiPriority w:val="9"/>
    <w:unhideWhenUsed/>
    <w:qFormat/>
    <w:pPr>
      <w:keepNext/>
      <w:keepLines/>
      <w:spacing w:before="320" w:after="200"/>
      <w:outlineLvl w:val="7"/>
    </w:pPr>
    <w:rPr>
      <w:i/>
      <w:iCs/>
    </w:rPr>
  </w:style>
  <w:style w:type="paragraph" w:styleId="Heading9">
    <w:name w:val="heading 9"/>
    <w:basedOn w:val="Normal"/>
    <w:next w:val="Normal"/>
    <w:link w:val="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paragraph" w:styleId="Header">
    <w:name w:val="header"/>
    <w:basedOn w:val="Normal"/>
    <w:link w:val="Char3"/>
    <w:uiPriority w:val="99"/>
    <w:unhideWhenUsed/>
    <w:pPr>
      <w:tabs>
        <w:tab w:val="center" w:pos="7143"/>
        <w:tab w:val="right" w:pos="14287"/>
      </w:tabs>
    </w:pPr>
  </w:style>
  <w:style w:type="character" w:customStyle="1" w:styleId="Char3">
    <w:name w:val="页眉 Char"/>
    <w:basedOn w:val="DefaultParagraphFont"/>
    <w:link w:val="Header"/>
    <w:uiPriority w:val="99"/>
  </w:style>
  <w:style w:type="paragraph" w:styleId="Footer">
    <w:name w:val="footer"/>
    <w:basedOn w:val="Normal"/>
    <w:link w:val="Char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qFormat/>
    <w:rPr>
      <w:sz w:val="20"/>
    </w:rPr>
  </w:style>
  <w:style w:type="character" w:customStyle="1" w:styleId="Char6">
    <w:name w:val="尾注文本 Char"/>
    <w:link w:val="EndnoteText"/>
    <w:uiPriority w:val="99"/>
    <w:qFormat/>
    <w:rPr>
      <w:sz w:val="20"/>
    </w:rPr>
  </w:style>
  <w:style w:type="character" w:styleId="EndnoteReference">
    <w:name w:val="endnote reference"/>
    <w:basedOn w:val="DefaultParagraphFont"/>
    <w:uiPriority w:val="99"/>
    <w:semiHidden/>
    <w:unhideWhenUsed/>
    <w:qFormat/>
    <w:rPr>
      <w:vertAlign w:val="superscript"/>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