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D50D9C" w14:paraId="21B31678" w14:textId="77777777">
      <w:pPr>
        <w:snapToGrid w:val="0"/>
        <w:spacing w:line="360" w:lineRule="auto"/>
        <w:jc w:val="left"/>
        <w:rPr>
          <w:rFonts w:ascii="宋体" w:hAnsi="宋体" w:cs="Arial"/>
          <w:szCs w:val="21"/>
        </w:rPr>
      </w:pPr>
    </w:p>
    <w:p w:rsidR="00D50D9C" w14:paraId="6E71CC16" w14:textId="77777777">
      <w:pPr>
        <w:tabs>
          <w:tab w:val="left" w:pos="1890"/>
        </w:tabs>
        <w:rPr>
          <w:rFonts w:ascii="宋体" w:hAnsi="宋体"/>
          <w:i/>
          <w:iCs/>
          <w:sz w:val="28"/>
          <w:szCs w:val="28"/>
        </w:rPr>
      </w:pPr>
    </w:p>
    <w:p w:rsidR="00D50D9C" w14:paraId="1EAF67AC" w14:textId="77777777">
      <w:pPr>
        <w:spacing w:line="360" w:lineRule="auto"/>
        <w:ind w:firstLine="881"/>
        <w:jc w:val="center"/>
        <w:rPr>
          <w:rFonts w:ascii="宋体" w:hAnsi="宋体"/>
          <w:b/>
          <w:sz w:val="44"/>
        </w:rPr>
      </w:pPr>
    </w:p>
    <w:p w:rsidR="00D50D9C" w14:paraId="4A28F8BE" w14:textId="77777777">
      <w:pPr>
        <w:spacing w:line="360" w:lineRule="auto"/>
        <w:ind w:firstLine="881"/>
        <w:jc w:val="center"/>
        <w:rPr>
          <w:rFonts w:ascii="宋体" w:hAnsi="宋体"/>
          <w:b/>
          <w:sz w:val="44"/>
        </w:rPr>
      </w:pPr>
    </w:p>
    <w:p w:rsidR="00D50D9C" w14:paraId="20DB60E6" w14:textId="77777777">
      <w:pPr>
        <w:spacing w:line="360" w:lineRule="auto"/>
        <w:ind w:firstLine="881"/>
        <w:jc w:val="center"/>
        <w:rPr>
          <w:rFonts w:ascii="宋体" w:hAnsi="宋体"/>
          <w:b/>
          <w:sz w:val="44"/>
        </w:rPr>
      </w:pPr>
    </w:p>
    <w:p w:rsidR="00D50D9C" w14:paraId="1B212329" w14:textId="77777777">
      <w:pPr>
        <w:spacing w:line="360" w:lineRule="auto"/>
        <w:ind w:firstLine="881"/>
        <w:jc w:val="center"/>
        <w:rPr>
          <w:rFonts w:ascii="宋体" w:hAnsi="宋体"/>
          <w:b/>
          <w:sz w:val="44"/>
        </w:rPr>
      </w:pPr>
    </w:p>
    <w:p w:rsidR="00D50D9C" w14:paraId="614E99EF" w14:textId="77777777">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易方达成长领航混合型证券投资基金</w:t>
      </w:r>
    </w:p>
    <w:p w:rsidR="00D50D9C" w14:paraId="1F744EF3" w14:textId="77777777">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D50D9C" w14:paraId="4C05940C" w14:textId="77777777">
      <w:pPr>
        <w:spacing w:line="360" w:lineRule="auto"/>
        <w:ind w:left="1680" w:firstLine="181"/>
        <w:rPr>
          <w:rFonts w:ascii="宋体" w:hAnsi="宋体"/>
          <w:sz w:val="30"/>
          <w:szCs w:val="30"/>
          <w:lang w:eastAsia="zh-CN"/>
        </w:rPr>
      </w:pPr>
    </w:p>
    <w:p w:rsidR="00D50D9C" w14:paraId="0D0D6D0D" w14:textId="77777777">
      <w:pPr>
        <w:spacing w:line="360" w:lineRule="auto"/>
        <w:ind w:left="1680" w:firstLine="181"/>
        <w:rPr>
          <w:rFonts w:ascii="宋体" w:hAnsi="宋体"/>
          <w:sz w:val="30"/>
          <w:szCs w:val="30"/>
          <w:lang w:eastAsia="zh-CN"/>
        </w:rPr>
      </w:pPr>
    </w:p>
    <w:p w:rsidR="00D50D9C" w14:paraId="571D3349" w14:textId="77777777">
      <w:pPr>
        <w:spacing w:line="360" w:lineRule="auto"/>
        <w:ind w:left="1680"/>
        <w:rPr>
          <w:rFonts w:ascii="宋体" w:hAnsi="宋体"/>
          <w:sz w:val="30"/>
          <w:szCs w:val="30"/>
          <w:lang w:eastAsia="zh-CN"/>
        </w:rPr>
      </w:pPr>
    </w:p>
    <w:p w:rsidR="00D50D9C" w14:paraId="16454DC4" w14:textId="77777777">
      <w:pPr>
        <w:spacing w:line="360" w:lineRule="auto"/>
        <w:ind w:left="1680"/>
        <w:rPr>
          <w:rFonts w:ascii="宋体" w:hAnsi="宋体"/>
          <w:sz w:val="30"/>
          <w:szCs w:val="30"/>
          <w:lang w:eastAsia="zh-CN"/>
        </w:rPr>
      </w:pPr>
    </w:p>
    <w:p w:rsidR="00D50D9C" w14:paraId="7BC50E4C" w14:textId="77777777">
      <w:pPr>
        <w:spacing w:line="360" w:lineRule="auto"/>
        <w:ind w:left="1680"/>
        <w:rPr>
          <w:rFonts w:ascii="宋体" w:hAnsi="宋体"/>
          <w:sz w:val="30"/>
          <w:szCs w:val="30"/>
          <w:lang w:eastAsia="zh-CN"/>
        </w:rPr>
      </w:pPr>
    </w:p>
    <w:p w:rsidR="00D50D9C" w14:paraId="51C27F5B" w14:textId="77777777">
      <w:pPr>
        <w:spacing w:line="360" w:lineRule="auto"/>
        <w:ind w:left="1680"/>
        <w:rPr>
          <w:rFonts w:ascii="宋体" w:hAnsi="宋体"/>
          <w:sz w:val="30"/>
          <w:szCs w:val="30"/>
          <w:lang w:eastAsia="zh-CN"/>
        </w:rPr>
      </w:pPr>
    </w:p>
    <w:p w:rsidR="00D50D9C" w14:paraId="2D9CA8BE" w14:textId="77777777">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D50D9C" w14:paraId="6E023CF7" w14:textId="77777777">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中国建设银行股份有限公司</w:t>
      </w:r>
    </w:p>
    <w:p w:rsidR="00D50D9C" w14:paraId="66E9B58E" w14:textId="55A0ECD1">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F2091B">
        <w:rPr>
          <w:rFonts w:ascii="宋体" w:eastAsia="宋体" w:hAnsi="宋体" w:cs="宋体" w:hint="eastAsia"/>
          <w:color w:val="000000"/>
          <w:sz w:val="32"/>
          <w:highlight w:val="white"/>
          <w:lang w:eastAsia="zh-CN"/>
        </w:rPr>
        <w:t>六</w:t>
      </w:r>
      <w:r>
        <w:rPr>
          <w:rFonts w:ascii="宋体" w:eastAsia="宋体" w:hAnsi="宋体" w:cs="宋体"/>
          <w:color w:val="000000"/>
          <w:sz w:val="32"/>
          <w:highlight w:val="white"/>
          <w:lang w:eastAsia="zh-CN"/>
        </w:rPr>
        <w:t>年</w:t>
      </w:r>
      <w:r w:rsidR="004A2F59">
        <w:rPr>
          <w:rFonts w:ascii="宋体" w:eastAsia="宋体" w:hAnsi="宋体" w:cs="宋体" w:hint="eastAsia"/>
          <w:color w:val="000000"/>
          <w:sz w:val="32"/>
          <w:highlight w:val="white"/>
          <w:lang w:eastAsia="zh-CN"/>
        </w:rPr>
        <w:t>二</w:t>
      </w:r>
      <w:r>
        <w:rPr>
          <w:rFonts w:ascii="宋体" w:eastAsia="宋体" w:hAnsi="宋体" w:cs="宋体"/>
          <w:color w:val="000000"/>
          <w:sz w:val="32"/>
          <w:highlight w:val="white"/>
          <w:lang w:eastAsia="zh-CN"/>
        </w:rPr>
        <w:t>月</w:t>
      </w:r>
    </w:p>
    <w:p w:rsidR="00D50D9C" w14:paraId="2EE70318" w14:textId="77777777">
      <w:pPr>
        <w:jc w:val="left"/>
        <w:rPr>
          <w:rFonts w:ascii="宋体" w:hAnsi="宋体"/>
          <w:sz w:val="32"/>
          <w:szCs w:val="32"/>
          <w:lang w:eastAsia="zh-CN"/>
        </w:rPr>
      </w:pPr>
    </w:p>
    <w:p w:rsidR="00D50D9C" w14:paraId="6F6E88E1" w14:textId="77777777">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D50D9C" w14:paraId="7E8625C8" w14:textId="77777777">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易方达成长领航混合型证券投资基金</w:t>
      </w:r>
      <w:r>
        <w:rPr>
          <w:rFonts w:ascii="宋体" w:eastAsia="宋体" w:hAnsi="宋体" w:cs="宋体" w:hint="eastAsia"/>
          <w:sz w:val="30"/>
          <w:highlight w:val="white"/>
          <w:lang w:eastAsia="zh-CN"/>
        </w:rPr>
        <w:t>招募说明书</w:t>
      </w:r>
    </w:p>
    <w:p w:rsidR="00D50D9C" w14:paraId="7B646835" w14:textId="77777777">
      <w:pPr>
        <w:spacing w:before="447" w:after="447" w:line="320" w:lineRule="exact"/>
        <w:jc w:val="center"/>
        <w:rPr>
          <w:rFonts w:ascii="宋体" w:hAnsi="宋体"/>
          <w:sz w:val="30"/>
          <w:lang w:eastAsia="zh-CN"/>
        </w:rPr>
      </w:pPr>
    </w:p>
    <w:p w:rsidR="00D50D9C" w14:paraId="55FEB183" w14:textId="77777777">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D50D9C" w14:paraId="26ECDCF6" w14:textId="093E3D20">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sidR="00FE6AE9">
        <w:rPr>
          <w:rFonts w:ascii="宋体" w:hAnsi="宋体"/>
          <w:b/>
          <w:highlight w:val="white"/>
          <w:lang w:eastAsia="zh-CN"/>
        </w:rPr>
        <w:t>2025</w:t>
      </w:r>
      <w:r>
        <w:rPr>
          <w:rFonts w:ascii="宋体" w:eastAsia="宋体" w:hAnsi="宋体" w:cs="宋体" w:hint="eastAsia"/>
          <w:b/>
          <w:highlight w:val="white"/>
          <w:lang w:eastAsia="zh-CN"/>
        </w:rPr>
        <w:t>年</w:t>
      </w:r>
      <w:r w:rsidR="00FE6AE9">
        <w:rPr>
          <w:rFonts w:ascii="宋体" w:hAnsi="宋体"/>
          <w:b/>
          <w:highlight w:val="white"/>
          <w:lang w:eastAsia="zh-CN"/>
        </w:rPr>
        <w:t>12</w:t>
      </w:r>
      <w:r>
        <w:rPr>
          <w:rFonts w:ascii="宋体" w:eastAsia="宋体" w:hAnsi="宋体" w:cs="宋体" w:hint="eastAsia"/>
          <w:b/>
          <w:highlight w:val="white"/>
          <w:lang w:eastAsia="zh-CN"/>
        </w:rPr>
        <w:t>月</w:t>
      </w:r>
      <w:r w:rsidR="00FE6AE9">
        <w:rPr>
          <w:rFonts w:ascii="宋体" w:hAnsi="宋体"/>
          <w:b/>
          <w:highlight w:val="white"/>
          <w:lang w:eastAsia="zh-CN"/>
        </w:rPr>
        <w:t>31</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易方达成长领航混合型证券投资基金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sidR="004D272E">
        <w:rPr>
          <w:rFonts w:ascii="宋体" w:hAnsi="宋体"/>
          <w:b/>
          <w:highlight w:val="white"/>
          <w:lang w:eastAsia="zh-CN"/>
        </w:rPr>
        <w:t>2025</w:t>
      </w:r>
      <w:r>
        <w:rPr>
          <w:rFonts w:ascii="宋体" w:hAnsi="宋体" w:hint="eastAsia"/>
          <w:b/>
          <w:highlight w:val="white"/>
          <w:lang w:eastAsia="zh-CN"/>
        </w:rPr>
        <w:t>]</w:t>
      </w:r>
      <w:r w:rsidR="004D272E">
        <w:rPr>
          <w:rFonts w:ascii="宋体" w:hAnsi="宋体"/>
          <w:b/>
          <w:highlight w:val="white"/>
          <w:lang w:eastAsia="zh-CN"/>
        </w:rPr>
        <w:t>3007</w:t>
      </w:r>
      <w:r>
        <w:rPr>
          <w:rFonts w:ascii="宋体" w:eastAsia="宋体" w:hAnsi="宋体" w:cs="宋体" w:hint="eastAsia"/>
          <w:b/>
          <w:highlight w:val="white"/>
          <w:lang w:eastAsia="zh-CN"/>
        </w:rPr>
        <w:t>号）进行募集。</w:t>
      </w:r>
    </w:p>
    <w:p w:rsidR="00D50D9C" w14:paraId="67E59232" w14:textId="77777777">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D50D9C" w14:paraId="6D267748" w14:textId="77777777">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D50D9C" w14:paraId="77BAED4E" w14:textId="77777777">
      <w:pPr>
        <w:spacing w:line="360" w:lineRule="auto"/>
        <w:ind w:firstLine="422"/>
        <w:rPr>
          <w:lang w:eastAsia="zh-CN"/>
        </w:rPr>
      </w:pPr>
      <w:r>
        <w:rPr>
          <w:rFonts w:ascii="宋体" w:eastAsia="宋体" w:hAnsi="宋体" w:cs="宋体"/>
          <w:b/>
          <w:color w:val="000000"/>
          <w:highlight w:val="white"/>
          <w:lang w:eastAsia="zh-CN"/>
        </w:rPr>
        <w:t>3、浮动管理费模式相关风险</w:t>
      </w:r>
    </w:p>
    <w:p w:rsidR="00D50D9C" w14:paraId="592EB5C2" w14:textId="77777777">
      <w:pPr>
        <w:spacing w:line="360" w:lineRule="auto"/>
        <w:ind w:firstLine="422"/>
        <w:rPr>
          <w:lang w:eastAsia="zh-CN"/>
        </w:rPr>
      </w:pPr>
      <w:r>
        <w:rPr>
          <w:rFonts w:ascii="宋体" w:eastAsia="宋体" w:hAnsi="宋体" w:cs="宋体"/>
          <w:b/>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D50D9C" w14:paraId="6FFFA705" w14:textId="77777777">
      <w:pPr>
        <w:spacing w:line="360" w:lineRule="auto"/>
        <w:ind w:firstLine="422"/>
        <w:rPr>
          <w:lang w:eastAsia="zh-CN"/>
        </w:rPr>
      </w:pPr>
      <w:r>
        <w:rPr>
          <w:rFonts w:ascii="宋体" w:eastAsia="宋体" w:hAnsi="宋体" w:cs="宋体"/>
          <w:b/>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D50D9C" w14:paraId="3DB758F6" w14:textId="77777777">
      <w:pPr>
        <w:spacing w:line="360" w:lineRule="auto"/>
        <w:ind w:firstLine="422"/>
        <w:rPr>
          <w:rFonts w:ascii="宋体" w:eastAsia="宋体" w:hAnsi="宋体" w:cs="宋体"/>
          <w:b/>
          <w:color w:val="000000"/>
          <w:lang w:eastAsia="zh-CN"/>
        </w:rPr>
      </w:pPr>
      <w:r>
        <w:rPr>
          <w:rFonts w:ascii="宋体" w:eastAsia="宋体" w:hAnsi="宋体" w:cs="宋体"/>
          <w:b/>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D50D9C" w14:paraId="3DDCAFCE" w14:textId="77777777">
      <w:pPr>
        <w:spacing w:line="360" w:lineRule="auto"/>
        <w:ind w:firstLine="422"/>
        <w:rPr>
          <w:lang w:eastAsia="zh-CN"/>
        </w:rPr>
      </w:pPr>
      <w:r>
        <w:rPr>
          <w:rFonts w:ascii="宋体" w:eastAsia="宋体" w:hAnsi="宋体" w:cs="宋体"/>
          <w:b/>
          <w:color w:val="000000"/>
          <w:highlight w:val="white"/>
          <w:lang w:eastAsia="zh-CN"/>
        </w:rPr>
        <w:t>（4）本基金采用浮动管理费的收费模式，不代表基金管理人对基金投资收益的保证。</w:t>
      </w:r>
    </w:p>
    <w:p w:rsidR="00D50D9C" w14:paraId="565154E4" w14:textId="77777777">
      <w:pPr>
        <w:snapToGrid w:val="0"/>
        <w:spacing w:line="360" w:lineRule="auto"/>
        <w:ind w:firstLine="422"/>
        <w:rPr>
          <w:rFonts w:ascii="宋体" w:hAnsi="宋体"/>
          <w:b/>
          <w:lang w:eastAsia="zh-CN"/>
        </w:rPr>
      </w:pPr>
      <w:r>
        <w:rPr>
          <w:rFonts w:ascii="宋体" w:hAnsi="宋体" w:hint="eastAsia"/>
          <w:b/>
          <w:highlight w:val="white"/>
          <w:lang w:eastAsia="zh-CN"/>
        </w:rPr>
        <w:t>4</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w:t>
      </w:r>
      <w:r>
        <w:rPr>
          <w:rFonts w:ascii="宋体" w:eastAsia="宋体" w:hAnsi="宋体" w:cs="宋体" w:hint="eastAsia"/>
          <w:b/>
          <w:highlight w:val="white"/>
          <w:lang w:eastAsia="zh-CN"/>
        </w:rPr>
        <w:t>本</w:t>
      </w:r>
      <w:r>
        <w:rPr>
          <w:rFonts w:ascii="宋体" w:eastAsia="宋体" w:hAnsi="宋体" w:cs="宋体"/>
          <w:b/>
          <w:highlight w:val="white"/>
          <w:lang w:eastAsia="zh-CN"/>
        </w:rPr>
        <w:t>基金</w:t>
      </w:r>
      <w:r>
        <w:rPr>
          <w:rFonts w:ascii="宋体" w:eastAsia="宋体" w:hAnsi="宋体" w:cs="宋体" w:hint="eastAsia"/>
          <w:b/>
          <w:highlight w:val="white"/>
          <w:lang w:eastAsia="zh-CN"/>
        </w:rPr>
        <w:t>股票资产</w:t>
      </w:r>
      <w:r>
        <w:rPr>
          <w:rFonts w:ascii="宋体" w:eastAsia="宋体" w:hAnsi="宋体" w:cs="宋体"/>
          <w:b/>
          <w:highlight w:val="white"/>
          <w:lang w:eastAsia="zh-CN"/>
        </w:rPr>
        <w:t>仓位</w:t>
      </w:r>
      <w:r>
        <w:rPr>
          <w:rFonts w:ascii="宋体" w:eastAsia="宋体" w:hAnsi="宋体" w:cs="宋体" w:hint="eastAsia"/>
          <w:b/>
          <w:highlight w:val="white"/>
          <w:lang w:eastAsia="zh-CN"/>
        </w:rPr>
        <w:t>偏高而</w:t>
      </w:r>
      <w:r>
        <w:rPr>
          <w:rFonts w:ascii="宋体" w:eastAsia="宋体" w:hAnsi="宋体" w:cs="宋体"/>
          <w:b/>
          <w:highlight w:val="white"/>
          <w:lang w:eastAsia="zh-CN"/>
        </w:rPr>
        <w:t>面临</w:t>
      </w:r>
      <w:r>
        <w:rPr>
          <w:rFonts w:ascii="宋体" w:eastAsia="宋体" w:hAnsi="宋体" w:cs="宋体" w:hint="eastAsia"/>
          <w:b/>
          <w:highlight w:val="white"/>
          <w:lang w:eastAsia="zh-CN"/>
        </w:rPr>
        <w:t>的资产配置风险</w:t>
      </w:r>
      <w:r>
        <w:rPr>
          <w:rFonts w:ascii="宋体" w:eastAsia="宋体" w:hAnsi="宋体" w:cs="宋体"/>
          <w:b/>
          <w:highlight w:val="white"/>
          <w:lang w:eastAsia="zh-CN"/>
        </w:rPr>
        <w:t>；</w:t>
      </w:r>
      <w:r>
        <w:rPr>
          <w:rFonts w:ascii="宋体" w:eastAsia="宋体" w:hAnsi="宋体" w:cs="宋体"/>
          <w:b/>
          <w:color w:val="000000"/>
          <w:highlight w:val="white"/>
          <w:lang w:eastAsia="zh-CN"/>
        </w:rPr>
        <w:t>（2）按照基金投资策略投资可能无法盈利甚至亏损的风险；</w:t>
      </w:r>
      <w:r>
        <w:rPr>
          <w:rFonts w:ascii="宋体" w:eastAsia="宋体" w:hAnsi="宋体" w:cs="宋体"/>
          <w:b/>
          <w:highlight w:val="white"/>
          <w:lang w:eastAsia="zh-CN"/>
        </w:rPr>
        <w:t>（</w:t>
      </w:r>
      <w:r>
        <w:rPr>
          <w:rFonts w:ascii="宋体" w:hAnsi="宋体"/>
          <w:b/>
          <w:highlight w:val="white"/>
          <w:lang w:eastAsia="zh-CN"/>
        </w:rPr>
        <w:t>3</w:t>
      </w:r>
      <w:r>
        <w:rPr>
          <w:rFonts w:ascii="宋体" w:eastAsia="宋体" w:hAnsi="宋体" w:cs="宋体"/>
          <w:b/>
          <w:highlight w:val="white"/>
          <w:lang w:eastAsia="zh-CN"/>
        </w:rPr>
        <w:t>）</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w:t>
      </w:r>
      <w:r>
        <w:rPr>
          <w:rFonts w:ascii="宋体" w:hAnsi="宋体" w:hint="eastAsia"/>
          <w:b/>
          <w:highlight w:val="white"/>
          <w:lang w:eastAsia="zh-CN"/>
        </w:rPr>
        <w:t>4</w:t>
      </w:r>
      <w:r>
        <w:rPr>
          <w:rFonts w:ascii="宋体" w:eastAsia="宋体" w:hAnsi="宋体" w:cs="宋体" w:hint="eastAsia"/>
          <w:b/>
          <w:highlight w:val="white"/>
          <w:lang w:eastAsia="zh-CN"/>
        </w:rPr>
        <w:t>）本基金投资范围包括股指期货、国债期货、股票期权等金融衍生品以及科创板股票</w:t>
      </w:r>
      <w:r>
        <w:rPr>
          <w:rFonts w:ascii="宋体" w:eastAsia="宋体" w:hAnsi="宋体" w:cs="宋体"/>
          <w:b/>
          <w:highlight w:val="white"/>
          <w:lang w:eastAsia="zh-CN"/>
        </w:rPr>
        <w:t>、北交所股票、存托凭证、资产支持证券等特殊品种而面临的其他额外风险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D50D9C" w14:paraId="09328D9E" w14:textId="77777777">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D50D9C" w14:paraId="736F9141" w14:textId="77777777">
      <w:pPr>
        <w:snapToGrid w:val="0"/>
        <w:spacing w:line="360" w:lineRule="auto"/>
        <w:ind w:firstLine="422"/>
        <w:rPr>
          <w:rFonts w:ascii="宋体" w:hAnsi="宋体"/>
          <w:b/>
          <w:lang w:eastAsia="zh-CN"/>
        </w:rPr>
      </w:pPr>
      <w:r>
        <w:rPr>
          <w:rFonts w:ascii="宋体" w:hAnsi="宋体"/>
          <w:b/>
          <w:highlight w:val="white"/>
          <w:lang w:eastAsia="zh-CN"/>
        </w:rPr>
        <w:t>5</w:t>
      </w:r>
      <w:r>
        <w:rPr>
          <w:rFonts w:ascii="宋体" w:eastAsia="宋体" w:hAnsi="宋体" w:cs="宋体" w:hint="eastAsia"/>
          <w:b/>
          <w:highlight w:val="white"/>
          <w:lang w:eastAsia="zh-CN"/>
        </w:rPr>
        <w:t>、</w:t>
      </w:r>
      <w:r>
        <w:rPr>
          <w:rFonts w:ascii="宋体" w:eastAsia="宋体" w:hAnsi="宋体" w:cs="宋体"/>
          <w:b/>
          <w:lang w:eastAsia="zh-CN"/>
        </w:rPr>
        <w:t>本基金为混合型基金，理论上其预期风险与预期收益水平低于股票型基金，高于债券型基金和货币市场基金。</w:t>
      </w:r>
    </w:p>
    <w:p w:rsidR="00D50D9C" w14:paraId="1A2466EC" w14:textId="77777777">
      <w:pPr>
        <w:snapToGrid w:val="0"/>
        <w:spacing w:line="360" w:lineRule="auto"/>
        <w:ind w:firstLine="422"/>
        <w:rPr>
          <w:rFonts w:ascii="宋体" w:hAnsi="宋体"/>
          <w:b/>
          <w:lang w:eastAsia="zh-CN"/>
        </w:rPr>
      </w:pPr>
      <w:r>
        <w:rPr>
          <w:rFonts w:ascii="宋体" w:eastAsia="宋体" w:hAnsi="宋体" w:cs="宋体"/>
          <w:b/>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D50D9C" w14:paraId="018D2C67" w14:textId="77777777">
      <w:pPr>
        <w:spacing w:line="360" w:lineRule="auto"/>
        <w:ind w:firstLine="422"/>
        <w:rPr>
          <w:lang w:eastAsia="zh-CN"/>
        </w:rPr>
      </w:pPr>
      <w:r>
        <w:rPr>
          <w:rFonts w:ascii="宋体" w:eastAsia="宋体" w:hAnsi="宋体" w:cs="宋体"/>
          <w:b/>
          <w:color w:val="000000"/>
          <w:highlight w:val="white"/>
          <w:lang w:eastAsia="zh-CN"/>
        </w:rPr>
        <w:t>6、</w:t>
      </w:r>
      <w:r>
        <w:rPr>
          <w:rFonts w:ascii="宋体" w:eastAsia="宋体" w:hAnsi="宋体" w:cs="宋体"/>
          <w:b/>
          <w:highlight w:val="white"/>
          <w:lang w:eastAsia="zh-CN"/>
        </w:rPr>
        <w:t>本基金将基金份额分为</w:t>
      </w:r>
      <w:r>
        <w:rPr>
          <w:rFonts w:ascii="宋体" w:hAnsi="宋体"/>
          <w:b/>
          <w:highlight w:val="white"/>
          <w:lang w:eastAsia="zh-CN"/>
        </w:rPr>
        <w:t>A</w:t>
      </w:r>
      <w:r>
        <w:rPr>
          <w:rFonts w:ascii="宋体" w:eastAsia="宋体" w:hAnsi="宋体" w:cs="宋体"/>
          <w:b/>
          <w:highlight w:val="white"/>
          <w:lang w:eastAsia="zh-CN"/>
        </w:rPr>
        <w:t>类基金份额和</w:t>
      </w:r>
      <w:r>
        <w:rPr>
          <w:rFonts w:ascii="宋体" w:hAnsi="宋体"/>
          <w:b/>
          <w:highlight w:val="white"/>
          <w:lang w:eastAsia="zh-CN"/>
        </w:rPr>
        <w:t>C</w:t>
      </w:r>
      <w:r>
        <w:rPr>
          <w:rFonts w:ascii="宋体" w:eastAsia="宋体" w:hAnsi="宋体" w:cs="宋体"/>
          <w:b/>
          <w:highlight w:val="white"/>
          <w:lang w:eastAsia="zh-CN"/>
        </w:rPr>
        <w:t>类基金份额。</w:t>
      </w:r>
      <w:r>
        <w:rPr>
          <w:rFonts w:ascii="宋体" w:hAnsi="宋体"/>
          <w:b/>
          <w:highlight w:val="white"/>
          <w:lang w:eastAsia="zh-CN"/>
        </w:rPr>
        <w:t>A</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w:t>
      </w:r>
      <w:r w:rsidRPr="00282915" w:rsidR="00282915">
        <w:rPr>
          <w:rFonts w:ascii="宋体" w:eastAsia="宋体" w:hAnsi="宋体" w:cs="宋体" w:hint="eastAsia"/>
          <w:b/>
          <w:lang w:eastAsia="zh-CN"/>
        </w:rPr>
        <w:t>按规定</w:t>
      </w:r>
      <w:r>
        <w:rPr>
          <w:rFonts w:ascii="宋体" w:eastAsia="宋体" w:hAnsi="宋体" w:cs="宋体"/>
          <w:b/>
          <w:highlight w:val="white"/>
          <w:lang w:eastAsia="zh-CN"/>
        </w:rPr>
        <w:t>收取认购</w:t>
      </w:r>
      <w:r>
        <w:rPr>
          <w:rFonts w:ascii="宋体" w:hAnsi="宋体"/>
          <w:b/>
          <w:highlight w:val="white"/>
          <w:lang w:eastAsia="zh-CN"/>
        </w:rPr>
        <w:t>/</w:t>
      </w:r>
      <w:r>
        <w:rPr>
          <w:rFonts w:ascii="宋体" w:eastAsia="宋体" w:hAnsi="宋体" w:cs="宋体"/>
          <w:b/>
          <w:highlight w:val="white"/>
          <w:lang w:eastAsia="zh-CN"/>
        </w:rPr>
        <w:t>申购费用，在持有期间不收取销售服务费；</w:t>
      </w:r>
      <w:r>
        <w:rPr>
          <w:rFonts w:ascii="宋体" w:hAnsi="宋体"/>
          <w:b/>
          <w:highlight w:val="white"/>
          <w:lang w:eastAsia="zh-CN"/>
        </w:rPr>
        <w:t>C</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申购时不收取认购</w:t>
      </w:r>
      <w:r>
        <w:rPr>
          <w:rFonts w:ascii="宋体" w:hAnsi="宋体"/>
          <w:b/>
          <w:highlight w:val="white"/>
          <w:lang w:eastAsia="zh-CN"/>
        </w:rPr>
        <w:t>/</w:t>
      </w:r>
      <w:r>
        <w:rPr>
          <w:rFonts w:ascii="宋体" w:eastAsia="宋体" w:hAnsi="宋体" w:cs="宋体"/>
          <w:b/>
          <w:highlight w:val="white"/>
          <w:lang w:eastAsia="zh-CN"/>
        </w:rPr>
        <w:t>申购费用，</w:t>
      </w:r>
      <w:r w:rsidRPr="00282915" w:rsidR="00282915">
        <w:rPr>
          <w:rFonts w:ascii="宋体" w:eastAsia="宋体" w:hAnsi="宋体" w:cs="宋体" w:hint="eastAsia"/>
          <w:b/>
          <w:lang w:eastAsia="zh-CN"/>
        </w:rPr>
        <w:t>在持有期间计提销售服务费并按规定收取或返还</w:t>
      </w:r>
      <w:r>
        <w:rPr>
          <w:rFonts w:ascii="宋体" w:eastAsia="宋体" w:hAnsi="宋体" w:cs="宋体"/>
          <w:b/>
          <w:highlight w:val="white"/>
          <w:lang w:eastAsia="zh-CN"/>
        </w:rPr>
        <w:t>。</w:t>
      </w:r>
    </w:p>
    <w:p w:rsidR="00D50D9C" w14:paraId="1FED1588" w14:textId="77777777">
      <w:pPr>
        <w:spacing w:line="360" w:lineRule="auto"/>
        <w:ind w:firstLine="422"/>
        <w:rPr>
          <w:rFonts w:ascii="宋体" w:hAnsi="宋体"/>
          <w:b/>
          <w:lang w:eastAsia="zh-CN"/>
        </w:rPr>
      </w:pPr>
      <w:r>
        <w:rPr>
          <w:rFonts w:ascii="宋体" w:hAnsi="宋体"/>
          <w:b/>
          <w:highlight w:val="white"/>
          <w:lang w:eastAsia="zh-CN"/>
        </w:rPr>
        <w:t>7</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D50D9C" w14:paraId="655FB907" w14:textId="77777777">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D50D9C" w14:paraId="244A36D8" w14:textId="77777777">
      <w:pPr>
        <w:spacing w:line="360" w:lineRule="auto"/>
        <w:ind w:firstLine="422"/>
        <w:rPr>
          <w:rFonts w:ascii="宋体" w:hAnsi="宋体"/>
          <w:b/>
          <w:lang w:eastAsia="zh-CN"/>
        </w:rPr>
      </w:pPr>
      <w:r>
        <w:rPr>
          <w:rFonts w:ascii="宋体" w:hAnsi="宋体" w:hint="eastAsia"/>
          <w:b/>
          <w:highlight w:val="white"/>
          <w:lang w:eastAsia="zh-CN"/>
        </w:rPr>
        <w:t>9</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D50D9C" w14:paraId="4E26D0D6" w14:textId="77777777">
      <w:pPr>
        <w:spacing w:line="360" w:lineRule="auto"/>
        <w:ind w:firstLine="422"/>
        <w:rPr>
          <w:rFonts w:ascii="宋体" w:hAnsi="宋体"/>
          <w:b/>
          <w:lang w:eastAsia="zh-CN"/>
        </w:rPr>
      </w:pPr>
    </w:p>
    <w:p w:rsidR="00D50D9C" w14:paraId="42268FD0" w14:textId="77777777">
      <w:pPr>
        <w:snapToGrid w:val="0"/>
        <w:spacing w:before="100" w:after="100" w:line="360" w:lineRule="auto"/>
        <w:jc w:val="center"/>
        <w:rPr>
          <w:rFonts w:ascii="宋体" w:hAnsi="宋体"/>
          <w:sz w:val="30"/>
        </w:rPr>
      </w:pPr>
      <w:r>
        <w:rPr>
          <w:rFonts w:ascii="宋体" w:hAnsi="宋体" w:hint="eastAsia"/>
          <w:b/>
          <w:szCs w:val="21"/>
          <w:highlight w:val="white"/>
          <w:lang w:eastAsia="zh-CN"/>
        </w:rPr>
        <w:br w:type="column"/>
      </w:r>
      <w:r>
        <w:rPr>
          <w:rFonts w:ascii="宋体" w:eastAsia="宋体" w:hAnsi="宋体" w:cs="宋体" w:hint="eastAsia"/>
          <w:sz w:val="30"/>
          <w:highlight w:val="white"/>
        </w:rPr>
        <w:t>目</w:t>
      </w:r>
      <w:r>
        <w:rPr>
          <w:rFonts w:ascii="宋体" w:hAnsi="宋体" w:hint="eastAsia"/>
          <w:sz w:val="30"/>
          <w:highlight w:val="white"/>
        </w:rPr>
        <w:t xml:space="preserve">     </w:t>
      </w:r>
      <w:r>
        <w:rPr>
          <w:rFonts w:ascii="宋体" w:eastAsia="宋体" w:hAnsi="宋体" w:cs="宋体" w:hint="eastAsia"/>
          <w:sz w:val="30"/>
          <w:highlight w:val="white"/>
        </w:rPr>
        <w:t>录</w:t>
      </w:r>
    </w:p>
    <w:p w:rsidR="00D50D9C" w14:paraId="5C67F1E2" w14:textId="77777777">
      <w:pPr>
        <w:snapToGrid w:val="0"/>
        <w:spacing w:before="100" w:after="100" w:line="320" w:lineRule="exact"/>
        <w:ind w:firstLine="480"/>
        <w:jc w:val="center"/>
        <w:rPr>
          <w:rFonts w:ascii="宋体" w:hAnsi="宋体"/>
          <w:b/>
        </w:rPr>
      </w:pPr>
    </w:p>
    <w:p w:rsidR="00D50D9C" w14:paraId="1AB74458" w14:textId="77777777">
      <w:pPr>
        <w:pStyle w:val="TOC1"/>
        <w:rPr>
          <w:rFonts w:eastAsia="宋体" w:cs="Calibri"/>
          <w:noProof/>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noProof/>
            <w:highlight w:val="white"/>
          </w:rPr>
          <w:t>第一部分</w:t>
        </w:r>
        <w:r>
          <w:rPr>
            <w:rStyle w:val="Hyperlink"/>
            <w:rFonts w:eastAsia="宋体"/>
            <w:noProof/>
            <w:highlight w:val="white"/>
          </w:rPr>
          <w:t xml:space="preserve"> </w:t>
        </w:r>
        <w:r>
          <w:rPr>
            <w:rStyle w:val="Hyperlink"/>
            <w:rFonts w:eastAsia="宋体" w:hint="eastAsia"/>
            <w:noProof/>
            <w:highlight w:val="white"/>
          </w:rPr>
          <w:t>绪</w:t>
        </w:r>
        <w:r>
          <w:rPr>
            <w:rStyle w:val="Hyperlink"/>
            <w:rFonts w:eastAsia="宋体"/>
            <w:noProof/>
            <w:highlight w:val="white"/>
          </w:rPr>
          <w:t xml:space="preserve">  </w:t>
        </w:r>
        <w:r>
          <w:rPr>
            <w:rStyle w:val="Hyperlink"/>
            <w:rFonts w:eastAsia="宋体" w:hint="eastAsia"/>
            <w:noProof/>
            <w:highlight w:val="white"/>
          </w:rPr>
          <w:t>言</w:t>
        </w:r>
        <w:r>
          <w:rPr>
            <w:rFonts w:eastAsia="宋体"/>
            <w:noProof/>
            <w:highlight w:val="white"/>
          </w:rPr>
          <w:tab/>
        </w:r>
        <w:r>
          <w:rPr>
            <w:rFonts w:eastAsia="宋体"/>
            <w:noProof/>
          </w:rPr>
          <w:fldChar w:fldCharType="begin"/>
        </w:r>
        <w:r>
          <w:rPr>
            <w:rFonts w:eastAsia="宋体"/>
            <w:noProof/>
            <w:highlight w:val="white"/>
          </w:rPr>
          <w:instrText xml:space="preserve"> PAGEREF _Toc73030159 \h </w:instrText>
        </w:r>
        <w:r>
          <w:rPr>
            <w:rFonts w:eastAsia="宋体"/>
            <w:noProof/>
          </w:rPr>
          <w:fldChar w:fldCharType="separate"/>
        </w:r>
        <w:r w:rsidR="00610FA7">
          <w:rPr>
            <w:rFonts w:eastAsia="宋体"/>
            <w:noProof/>
            <w:highlight w:val="white"/>
          </w:rPr>
          <w:t>1</w:t>
        </w:r>
        <w:r>
          <w:rPr>
            <w:rFonts w:eastAsia="宋体"/>
            <w:noProof/>
          </w:rPr>
          <w:fldChar w:fldCharType="end"/>
        </w:r>
      </w:hyperlink>
    </w:p>
    <w:p w:rsidR="00D50D9C" w14:paraId="03C5A443" w14:textId="77777777">
      <w:pPr>
        <w:pStyle w:val="TOC1"/>
        <w:rPr>
          <w:rFonts w:eastAsia="宋体" w:cs="Calibri"/>
          <w:noProof/>
          <w:color w:val="auto"/>
          <w:sz w:val="21"/>
          <w:szCs w:val="22"/>
        </w:rPr>
      </w:pPr>
      <w:hyperlink w:anchor="_Toc73030160" w:tooltip="Current Document" w:history="1">
        <w:r w:rsidR="00351450">
          <w:rPr>
            <w:rStyle w:val="Hyperlink"/>
            <w:rFonts w:eastAsia="宋体" w:hint="eastAsia"/>
            <w:noProof/>
            <w:highlight w:val="white"/>
          </w:rPr>
          <w:t>第二部分</w:t>
        </w:r>
        <w:r w:rsidR="00351450">
          <w:rPr>
            <w:rStyle w:val="Hyperlink"/>
            <w:rFonts w:eastAsia="宋体"/>
            <w:noProof/>
            <w:highlight w:val="white"/>
          </w:rPr>
          <w:t xml:space="preserve"> </w:t>
        </w:r>
        <w:r w:rsidR="00351450">
          <w:rPr>
            <w:rStyle w:val="Hyperlink"/>
            <w:rFonts w:eastAsia="宋体" w:hint="eastAsia"/>
            <w:noProof/>
            <w:highlight w:val="white"/>
          </w:rPr>
          <w:t>释</w:t>
        </w:r>
        <w:r w:rsidR="00351450">
          <w:rPr>
            <w:rStyle w:val="Hyperlink"/>
            <w:rFonts w:eastAsia="宋体"/>
            <w:noProof/>
            <w:highlight w:val="white"/>
          </w:rPr>
          <w:t xml:space="preserve">  </w:t>
        </w:r>
        <w:r w:rsidR="00351450">
          <w:rPr>
            <w:rStyle w:val="Hyperlink"/>
            <w:rFonts w:eastAsia="宋体" w:hint="eastAsia"/>
            <w:noProof/>
            <w:highlight w:val="white"/>
          </w:rPr>
          <w:t>义</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_Toc73030160 \h </w:instrText>
        </w:r>
        <w:r w:rsidR="00351450">
          <w:rPr>
            <w:rFonts w:eastAsia="宋体"/>
            <w:noProof/>
          </w:rPr>
          <w:fldChar w:fldCharType="separate"/>
        </w:r>
        <w:r w:rsidR="00610FA7">
          <w:rPr>
            <w:rFonts w:eastAsia="宋体"/>
            <w:noProof/>
            <w:highlight w:val="white"/>
          </w:rPr>
          <w:t>2</w:t>
        </w:r>
        <w:r w:rsidR="00351450">
          <w:rPr>
            <w:rFonts w:eastAsia="宋体"/>
            <w:noProof/>
          </w:rPr>
          <w:fldChar w:fldCharType="end"/>
        </w:r>
      </w:hyperlink>
    </w:p>
    <w:p w:rsidR="00D50D9C" w14:paraId="503B4BF8" w14:textId="77777777">
      <w:pPr>
        <w:pStyle w:val="TOC1"/>
        <w:rPr>
          <w:rFonts w:eastAsia="宋体" w:cs="Calibri"/>
          <w:noProof/>
          <w:color w:val="auto"/>
          <w:sz w:val="21"/>
          <w:szCs w:val="22"/>
        </w:rPr>
      </w:pPr>
      <w:hyperlink w:anchor="_Toc73030161" w:tooltip="Current Document" w:history="1">
        <w:r w:rsidR="00351450">
          <w:rPr>
            <w:rStyle w:val="Hyperlink"/>
            <w:rFonts w:eastAsia="宋体" w:hint="eastAsia"/>
            <w:noProof/>
            <w:highlight w:val="white"/>
          </w:rPr>
          <w:t>第三部分</w:t>
        </w:r>
        <w:r w:rsidR="00351450">
          <w:rPr>
            <w:rStyle w:val="Hyperlink"/>
            <w:rFonts w:eastAsia="宋体"/>
            <w:noProof/>
            <w:highlight w:val="white"/>
          </w:rPr>
          <w:t xml:space="preserve"> </w:t>
        </w:r>
        <w:r w:rsidR="00351450">
          <w:rPr>
            <w:rStyle w:val="Hyperlink"/>
            <w:rFonts w:eastAsia="宋体" w:hint="eastAsia"/>
            <w:noProof/>
            <w:highlight w:val="white"/>
          </w:rPr>
          <w:t>基金管理人</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_Toc73030161 \h </w:instrText>
        </w:r>
        <w:r w:rsidR="00351450">
          <w:rPr>
            <w:rFonts w:eastAsia="宋体"/>
            <w:noProof/>
          </w:rPr>
          <w:fldChar w:fldCharType="separate"/>
        </w:r>
        <w:r w:rsidR="00610FA7">
          <w:rPr>
            <w:rFonts w:eastAsia="宋体"/>
            <w:noProof/>
            <w:highlight w:val="white"/>
          </w:rPr>
          <w:t>7</w:t>
        </w:r>
        <w:r w:rsidR="00351450">
          <w:rPr>
            <w:rFonts w:eastAsia="宋体"/>
            <w:noProof/>
          </w:rPr>
          <w:fldChar w:fldCharType="end"/>
        </w:r>
      </w:hyperlink>
    </w:p>
    <w:p w:rsidR="00D50D9C" w14:paraId="0DDE5AB0" w14:textId="77777777">
      <w:pPr>
        <w:pStyle w:val="TOC1"/>
        <w:rPr>
          <w:rFonts w:eastAsia="宋体" w:cs="Calibri"/>
          <w:noProof/>
          <w:color w:val="auto"/>
          <w:sz w:val="21"/>
          <w:szCs w:val="22"/>
        </w:rPr>
      </w:pPr>
      <w:hyperlink w:anchor="_Toc73030162" w:tooltip="Current Document" w:history="1">
        <w:r w:rsidR="00351450">
          <w:rPr>
            <w:rStyle w:val="Hyperlink"/>
            <w:rFonts w:eastAsia="宋体" w:hint="eastAsia"/>
            <w:noProof/>
            <w:highlight w:val="white"/>
          </w:rPr>
          <w:t>第四部分</w:t>
        </w:r>
        <w:r w:rsidR="00351450">
          <w:rPr>
            <w:rStyle w:val="Hyperlink"/>
            <w:rFonts w:eastAsia="宋体"/>
            <w:noProof/>
            <w:highlight w:val="white"/>
          </w:rPr>
          <w:t xml:space="preserve"> </w:t>
        </w:r>
        <w:r w:rsidR="00351450">
          <w:rPr>
            <w:rStyle w:val="Hyperlink"/>
            <w:rFonts w:eastAsia="宋体" w:hint="eastAsia"/>
            <w:noProof/>
            <w:highlight w:val="white"/>
          </w:rPr>
          <w:t>基金托管人</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_Toc73030162 \h </w:instrText>
        </w:r>
        <w:r w:rsidR="00351450">
          <w:rPr>
            <w:rFonts w:eastAsia="宋体"/>
            <w:noProof/>
          </w:rPr>
          <w:fldChar w:fldCharType="separate"/>
        </w:r>
        <w:r w:rsidR="00610FA7">
          <w:rPr>
            <w:rFonts w:eastAsia="宋体"/>
            <w:noProof/>
            <w:highlight w:val="white"/>
          </w:rPr>
          <w:t>19</w:t>
        </w:r>
        <w:r w:rsidR="00351450">
          <w:rPr>
            <w:rFonts w:eastAsia="宋体"/>
            <w:noProof/>
          </w:rPr>
          <w:fldChar w:fldCharType="end"/>
        </w:r>
      </w:hyperlink>
    </w:p>
    <w:p w:rsidR="00D50D9C" w14:paraId="2649D380" w14:textId="77777777">
      <w:pPr>
        <w:pStyle w:val="TOC1"/>
        <w:rPr>
          <w:rFonts w:eastAsia="宋体" w:cs="Calibri"/>
          <w:noProof/>
          <w:color w:val="auto"/>
          <w:sz w:val="21"/>
          <w:szCs w:val="22"/>
        </w:rPr>
      </w:pPr>
      <w:hyperlink w:anchor="_Toc73030163" w:tooltip="Current Document" w:history="1">
        <w:r w:rsidR="00351450">
          <w:rPr>
            <w:rStyle w:val="Hyperlink"/>
            <w:rFonts w:eastAsia="宋体" w:hint="eastAsia"/>
            <w:noProof/>
            <w:highlight w:val="white"/>
          </w:rPr>
          <w:t>第五部分</w:t>
        </w:r>
        <w:r w:rsidR="00351450">
          <w:rPr>
            <w:rStyle w:val="Hyperlink"/>
            <w:rFonts w:eastAsia="宋体"/>
            <w:noProof/>
            <w:highlight w:val="white"/>
          </w:rPr>
          <w:t xml:space="preserve"> </w:t>
        </w:r>
        <w:r w:rsidR="00351450">
          <w:rPr>
            <w:rStyle w:val="Hyperlink"/>
            <w:rFonts w:eastAsia="宋体" w:hint="eastAsia"/>
            <w:noProof/>
            <w:highlight w:val="white"/>
          </w:rPr>
          <w:t>相关服务机构</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_Toc73030163 \h </w:instrText>
        </w:r>
        <w:r w:rsidR="00351450">
          <w:rPr>
            <w:rFonts w:eastAsia="宋体"/>
            <w:noProof/>
          </w:rPr>
          <w:fldChar w:fldCharType="separate"/>
        </w:r>
        <w:r w:rsidR="00610FA7">
          <w:rPr>
            <w:rFonts w:eastAsia="宋体"/>
            <w:noProof/>
            <w:highlight w:val="white"/>
          </w:rPr>
          <w:t>22</w:t>
        </w:r>
        <w:r w:rsidR="00351450">
          <w:rPr>
            <w:rFonts w:eastAsia="宋体"/>
            <w:noProof/>
          </w:rPr>
          <w:fldChar w:fldCharType="end"/>
        </w:r>
      </w:hyperlink>
    </w:p>
    <w:p w:rsidR="00D50D9C" w14:paraId="7943ACDD" w14:textId="77777777">
      <w:pPr>
        <w:pStyle w:val="TOC1"/>
        <w:rPr>
          <w:rFonts w:eastAsia="宋体" w:cs="Calibri"/>
          <w:noProof/>
          <w:color w:val="auto"/>
          <w:sz w:val="21"/>
          <w:szCs w:val="22"/>
        </w:rPr>
      </w:pPr>
      <w:hyperlink w:anchor="_Toc73030164" w:tooltip="Current Document" w:history="1">
        <w:r w:rsidR="00351450">
          <w:rPr>
            <w:rStyle w:val="Hyperlink"/>
            <w:rFonts w:eastAsia="宋体" w:hint="eastAsia"/>
            <w:bCs/>
            <w:noProof/>
            <w:highlight w:val="white"/>
          </w:rPr>
          <w:t>第六部分</w:t>
        </w:r>
        <w:r w:rsidR="00351450">
          <w:rPr>
            <w:rStyle w:val="Hyperlink"/>
            <w:rFonts w:eastAsia="宋体"/>
            <w:bCs/>
            <w:noProof/>
            <w:highlight w:val="white"/>
          </w:rPr>
          <w:t xml:space="preserve"> </w:t>
        </w:r>
        <w:r w:rsidR="00351450">
          <w:rPr>
            <w:rStyle w:val="Hyperlink"/>
            <w:rFonts w:eastAsia="宋体" w:hint="eastAsia"/>
            <w:bCs/>
            <w:noProof/>
            <w:highlight w:val="white"/>
          </w:rPr>
          <w:t>基金份额的分类</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_Toc73030164 \h </w:instrText>
        </w:r>
        <w:r w:rsidR="00351450">
          <w:rPr>
            <w:rFonts w:eastAsia="宋体"/>
            <w:noProof/>
          </w:rPr>
          <w:fldChar w:fldCharType="separate"/>
        </w:r>
        <w:r w:rsidR="00610FA7">
          <w:rPr>
            <w:rFonts w:eastAsia="宋体"/>
            <w:noProof/>
            <w:highlight w:val="white"/>
          </w:rPr>
          <w:t>24</w:t>
        </w:r>
        <w:r w:rsidR="00351450">
          <w:rPr>
            <w:rFonts w:eastAsia="宋体"/>
            <w:noProof/>
          </w:rPr>
          <w:fldChar w:fldCharType="end"/>
        </w:r>
      </w:hyperlink>
    </w:p>
    <w:p w:rsidR="00D50D9C" w14:paraId="344B928C" w14:textId="77777777">
      <w:pPr>
        <w:pStyle w:val="TOC1"/>
        <w:rPr>
          <w:rFonts w:eastAsia="宋体" w:cs="Calibri"/>
          <w:noProof/>
          <w:color w:val="auto"/>
          <w:sz w:val="21"/>
          <w:szCs w:val="22"/>
        </w:rPr>
      </w:pPr>
      <w:hyperlink w:anchor="_Toc73030165" w:tooltip="Current Document" w:history="1">
        <w:r w:rsidR="00351450">
          <w:rPr>
            <w:rStyle w:val="Hyperlink"/>
            <w:rFonts w:eastAsia="宋体" w:hint="eastAsia"/>
            <w:bCs/>
            <w:noProof/>
            <w:highlight w:val="white"/>
          </w:rPr>
          <w:t>第七部分</w:t>
        </w:r>
        <w:r w:rsidR="00351450">
          <w:rPr>
            <w:rStyle w:val="Hyperlink"/>
            <w:rFonts w:eastAsia="宋体"/>
            <w:bCs/>
            <w:noProof/>
            <w:highlight w:val="white"/>
          </w:rPr>
          <w:t xml:space="preserve"> </w:t>
        </w:r>
        <w:r w:rsidR="00351450">
          <w:rPr>
            <w:rStyle w:val="Hyperlink"/>
            <w:rFonts w:eastAsia="宋体" w:hint="eastAsia"/>
            <w:bCs/>
            <w:noProof/>
            <w:highlight w:val="white"/>
          </w:rPr>
          <w:t>基金的募集安排</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_Toc73030165 \h </w:instrText>
        </w:r>
        <w:r w:rsidR="00351450">
          <w:rPr>
            <w:rFonts w:eastAsia="宋体"/>
            <w:noProof/>
          </w:rPr>
          <w:fldChar w:fldCharType="separate"/>
        </w:r>
        <w:r w:rsidR="00610FA7">
          <w:rPr>
            <w:rFonts w:eastAsia="宋体"/>
            <w:noProof/>
            <w:highlight w:val="white"/>
          </w:rPr>
          <w:t>25</w:t>
        </w:r>
        <w:r w:rsidR="00351450">
          <w:rPr>
            <w:rFonts w:eastAsia="宋体"/>
            <w:noProof/>
          </w:rPr>
          <w:fldChar w:fldCharType="end"/>
        </w:r>
      </w:hyperlink>
    </w:p>
    <w:p w:rsidR="00D50D9C" w14:paraId="5241CCDD" w14:textId="023CA767">
      <w:pPr>
        <w:pStyle w:val="TOC1"/>
        <w:rPr>
          <w:rFonts w:eastAsia="宋体" w:cs="Calibri"/>
          <w:noProof/>
          <w:color w:val="auto"/>
          <w:sz w:val="21"/>
          <w:szCs w:val="22"/>
        </w:rPr>
      </w:pPr>
      <w:hyperlink w:anchor="_Toc73030166" w:tooltip="Current Document" w:history="1">
        <w:r w:rsidR="00351450">
          <w:rPr>
            <w:rStyle w:val="Hyperlink"/>
            <w:rFonts w:eastAsia="宋体" w:hint="eastAsia"/>
            <w:bCs/>
            <w:noProof/>
            <w:highlight w:val="white"/>
          </w:rPr>
          <w:t>第八部分</w:t>
        </w:r>
        <w:r w:rsidR="00351450">
          <w:rPr>
            <w:rStyle w:val="Hyperlink"/>
            <w:rFonts w:eastAsia="宋体"/>
            <w:bCs/>
            <w:noProof/>
            <w:highlight w:val="white"/>
          </w:rPr>
          <w:t xml:space="preserve"> </w:t>
        </w:r>
        <w:r w:rsidR="00351450">
          <w:rPr>
            <w:rStyle w:val="Hyperlink"/>
            <w:rFonts w:eastAsia="宋体" w:hint="eastAsia"/>
            <w:bCs/>
            <w:noProof/>
            <w:highlight w:val="white"/>
          </w:rPr>
          <w:t>基金合同的生效</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_Toc73030166 \h </w:instrText>
        </w:r>
        <w:r w:rsidR="00351450">
          <w:rPr>
            <w:rFonts w:eastAsia="宋体"/>
            <w:noProof/>
          </w:rPr>
          <w:fldChar w:fldCharType="separate"/>
        </w:r>
        <w:r w:rsidR="00610FA7">
          <w:rPr>
            <w:rFonts w:eastAsia="宋体"/>
            <w:noProof/>
            <w:highlight w:val="white"/>
          </w:rPr>
          <w:t>29</w:t>
        </w:r>
        <w:r w:rsidR="00351450">
          <w:rPr>
            <w:rFonts w:eastAsia="宋体"/>
            <w:noProof/>
          </w:rPr>
          <w:fldChar w:fldCharType="end"/>
        </w:r>
      </w:hyperlink>
    </w:p>
    <w:p w:rsidR="00D50D9C" w14:paraId="415D297B" w14:textId="427D65F4">
      <w:pPr>
        <w:pStyle w:val="TOC1"/>
        <w:rPr>
          <w:rFonts w:eastAsia="宋体" w:cs="Calibri"/>
          <w:noProof/>
          <w:color w:val="auto"/>
          <w:sz w:val="21"/>
          <w:szCs w:val="22"/>
        </w:rPr>
      </w:pPr>
      <w:hyperlink w:anchor="_Toc73030167" w:tooltip="Current Document" w:history="1">
        <w:r w:rsidR="00351450">
          <w:rPr>
            <w:rStyle w:val="Hyperlink"/>
            <w:rFonts w:eastAsia="宋体" w:hint="eastAsia"/>
            <w:bCs/>
            <w:noProof/>
            <w:highlight w:val="white"/>
          </w:rPr>
          <w:t>第九部分</w:t>
        </w:r>
        <w:r w:rsidR="00351450">
          <w:rPr>
            <w:rStyle w:val="Hyperlink"/>
            <w:rFonts w:eastAsia="宋体"/>
            <w:bCs/>
            <w:noProof/>
            <w:highlight w:val="white"/>
          </w:rPr>
          <w:t xml:space="preserve"> </w:t>
        </w:r>
        <w:r w:rsidR="00351450">
          <w:rPr>
            <w:rStyle w:val="Hyperlink"/>
            <w:rFonts w:eastAsia="宋体" w:hint="eastAsia"/>
            <w:bCs/>
            <w:noProof/>
            <w:highlight w:val="white"/>
          </w:rPr>
          <w:t>基金份额的申购、赎回</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_Toc73030167 \h </w:instrText>
        </w:r>
        <w:r w:rsidR="00351450">
          <w:rPr>
            <w:rFonts w:eastAsia="宋体"/>
            <w:noProof/>
          </w:rPr>
          <w:fldChar w:fldCharType="separate"/>
        </w:r>
        <w:r w:rsidR="00610FA7">
          <w:rPr>
            <w:rFonts w:eastAsia="宋体"/>
            <w:noProof/>
            <w:highlight w:val="white"/>
          </w:rPr>
          <w:t>30</w:t>
        </w:r>
        <w:r w:rsidR="00351450">
          <w:rPr>
            <w:rFonts w:eastAsia="宋体"/>
            <w:noProof/>
          </w:rPr>
          <w:fldChar w:fldCharType="end"/>
        </w:r>
      </w:hyperlink>
    </w:p>
    <w:p w:rsidR="00D50D9C" w14:paraId="2E0D1C71" w14:textId="5FBD1A47">
      <w:pPr>
        <w:pStyle w:val="TOC1"/>
        <w:rPr>
          <w:rFonts w:eastAsia="宋体" w:cs="Calibri"/>
          <w:noProof/>
          <w:color w:val="auto"/>
          <w:sz w:val="21"/>
          <w:szCs w:val="22"/>
        </w:rPr>
      </w:pPr>
      <w:hyperlink w:anchor="_Toc73030168" w:tooltip="Current Document" w:history="1">
        <w:r w:rsidR="00351450">
          <w:rPr>
            <w:rStyle w:val="Hyperlink"/>
            <w:rFonts w:eastAsia="宋体" w:hint="eastAsia"/>
            <w:noProof/>
            <w:highlight w:val="white"/>
          </w:rPr>
          <w:t>第十部分</w:t>
        </w:r>
        <w:r w:rsidR="00351450">
          <w:rPr>
            <w:rStyle w:val="Hyperlink"/>
            <w:rFonts w:eastAsia="宋体"/>
            <w:noProof/>
            <w:highlight w:val="white"/>
          </w:rPr>
          <w:t xml:space="preserve"> </w:t>
        </w:r>
        <w:r w:rsidR="00351450">
          <w:rPr>
            <w:rStyle w:val="Hyperlink"/>
            <w:rFonts w:eastAsia="宋体" w:hint="eastAsia"/>
            <w:noProof/>
            <w:highlight w:val="white"/>
          </w:rPr>
          <w:t>基金转换和定期定额投资计划</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_Toc73030168 \h </w:instrText>
        </w:r>
        <w:r w:rsidR="00351450">
          <w:rPr>
            <w:rFonts w:eastAsia="宋体"/>
            <w:noProof/>
          </w:rPr>
          <w:fldChar w:fldCharType="separate"/>
        </w:r>
        <w:r w:rsidR="00610FA7">
          <w:rPr>
            <w:rFonts w:eastAsia="宋体"/>
            <w:noProof/>
            <w:highlight w:val="white"/>
          </w:rPr>
          <w:t>41</w:t>
        </w:r>
        <w:r w:rsidR="00351450">
          <w:rPr>
            <w:rFonts w:eastAsia="宋体"/>
            <w:noProof/>
          </w:rPr>
          <w:fldChar w:fldCharType="end"/>
        </w:r>
      </w:hyperlink>
    </w:p>
    <w:p w:rsidR="00D50D9C" w14:paraId="4808DCD6" w14:textId="74A6116C">
      <w:pPr>
        <w:pStyle w:val="TOC1"/>
        <w:rPr>
          <w:rFonts w:eastAsia="宋体" w:cs="Calibri"/>
          <w:noProof/>
          <w:color w:val="auto"/>
          <w:sz w:val="21"/>
          <w:szCs w:val="22"/>
        </w:rPr>
      </w:pPr>
      <w:hyperlink w:anchor="_Toc73030169" w:tooltip="Current Document" w:history="1">
        <w:r w:rsidR="00351450">
          <w:rPr>
            <w:rStyle w:val="Hyperlink"/>
            <w:rFonts w:eastAsia="宋体" w:hint="eastAsia"/>
            <w:noProof/>
            <w:highlight w:val="white"/>
          </w:rPr>
          <w:t>第十一部分</w:t>
        </w:r>
        <w:r w:rsidR="00351450">
          <w:rPr>
            <w:rStyle w:val="Hyperlink"/>
            <w:rFonts w:eastAsia="宋体"/>
            <w:noProof/>
            <w:highlight w:val="white"/>
          </w:rPr>
          <w:t xml:space="preserve"> </w:t>
        </w:r>
        <w:r w:rsidR="00351450">
          <w:rPr>
            <w:rStyle w:val="Hyperlink"/>
            <w:rFonts w:eastAsia="宋体" w:hint="eastAsia"/>
            <w:noProof/>
            <w:highlight w:val="white"/>
          </w:rPr>
          <w:t>基金的转托管、质押、非交易过户、冻结与解冻</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_Toc73030169 \h </w:instrText>
        </w:r>
        <w:r w:rsidR="00351450">
          <w:rPr>
            <w:rFonts w:eastAsia="宋体"/>
            <w:noProof/>
          </w:rPr>
          <w:fldChar w:fldCharType="separate"/>
        </w:r>
        <w:r w:rsidR="00610FA7">
          <w:rPr>
            <w:rFonts w:eastAsia="宋体"/>
            <w:noProof/>
            <w:highlight w:val="white"/>
          </w:rPr>
          <w:t>42</w:t>
        </w:r>
        <w:r w:rsidR="00351450">
          <w:rPr>
            <w:rFonts w:eastAsia="宋体"/>
            <w:noProof/>
          </w:rPr>
          <w:fldChar w:fldCharType="end"/>
        </w:r>
      </w:hyperlink>
    </w:p>
    <w:p w:rsidR="00D50D9C" w14:paraId="170CEA04" w14:textId="21F75133">
      <w:pPr>
        <w:pStyle w:val="TOC1"/>
        <w:rPr>
          <w:rFonts w:eastAsia="宋体" w:cs="Calibri"/>
          <w:noProof/>
          <w:color w:val="auto"/>
          <w:sz w:val="21"/>
          <w:szCs w:val="22"/>
        </w:rPr>
      </w:pPr>
      <w:hyperlink w:anchor="_Toc73030170" w:tooltip="Current Document" w:history="1">
        <w:r w:rsidR="00351450">
          <w:rPr>
            <w:rStyle w:val="Hyperlink"/>
            <w:rFonts w:eastAsia="宋体" w:hint="eastAsia"/>
            <w:noProof/>
            <w:highlight w:val="white"/>
          </w:rPr>
          <w:t>第十二部分</w:t>
        </w:r>
        <w:r w:rsidR="00351450">
          <w:rPr>
            <w:rStyle w:val="Hyperlink"/>
            <w:rFonts w:eastAsia="宋体"/>
            <w:noProof/>
            <w:highlight w:val="white"/>
          </w:rPr>
          <w:t xml:space="preserve"> </w:t>
        </w:r>
        <w:r w:rsidR="00351450">
          <w:rPr>
            <w:rStyle w:val="Hyperlink"/>
            <w:rFonts w:eastAsia="宋体" w:hint="eastAsia"/>
            <w:noProof/>
            <w:highlight w:val="white"/>
          </w:rPr>
          <w:t>基金的投资</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_Toc73030170 \h </w:instrText>
        </w:r>
        <w:r w:rsidR="00351450">
          <w:rPr>
            <w:rFonts w:eastAsia="宋体"/>
            <w:noProof/>
          </w:rPr>
          <w:fldChar w:fldCharType="separate"/>
        </w:r>
        <w:r w:rsidR="00610FA7">
          <w:rPr>
            <w:rFonts w:eastAsia="宋体"/>
            <w:noProof/>
            <w:highlight w:val="white"/>
          </w:rPr>
          <w:t>43</w:t>
        </w:r>
        <w:r w:rsidR="00351450">
          <w:rPr>
            <w:rFonts w:eastAsia="宋体"/>
            <w:noProof/>
          </w:rPr>
          <w:fldChar w:fldCharType="end"/>
        </w:r>
      </w:hyperlink>
    </w:p>
    <w:p w:rsidR="00D50D9C" w14:paraId="657A60FC" w14:textId="27F2D9D6">
      <w:pPr>
        <w:pStyle w:val="TOC1"/>
        <w:rPr>
          <w:rFonts w:eastAsia="宋体" w:cs="Calibri"/>
          <w:noProof/>
          <w:color w:val="auto"/>
          <w:sz w:val="21"/>
          <w:szCs w:val="22"/>
        </w:rPr>
      </w:pPr>
      <w:hyperlink w:anchor="_Toc73030171" w:tooltip="Current Document" w:history="1">
        <w:r w:rsidR="00351450">
          <w:rPr>
            <w:rStyle w:val="Hyperlink"/>
            <w:rFonts w:eastAsia="宋体" w:hint="eastAsia"/>
            <w:noProof/>
            <w:highlight w:val="white"/>
          </w:rPr>
          <w:t>第十三部分</w:t>
        </w:r>
        <w:r w:rsidR="00351450">
          <w:rPr>
            <w:rStyle w:val="Hyperlink"/>
            <w:rFonts w:eastAsia="宋体"/>
            <w:noProof/>
            <w:highlight w:val="white"/>
          </w:rPr>
          <w:t xml:space="preserve"> </w:t>
        </w:r>
        <w:r w:rsidR="00351450">
          <w:rPr>
            <w:rStyle w:val="Hyperlink"/>
            <w:rFonts w:eastAsia="宋体" w:hint="eastAsia"/>
            <w:noProof/>
            <w:highlight w:val="white"/>
          </w:rPr>
          <w:t>基金的财产</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_Toc73030171 \h </w:instrText>
        </w:r>
        <w:r w:rsidR="00351450">
          <w:rPr>
            <w:rFonts w:eastAsia="宋体"/>
            <w:noProof/>
          </w:rPr>
          <w:fldChar w:fldCharType="separate"/>
        </w:r>
        <w:r w:rsidR="00610FA7">
          <w:rPr>
            <w:rFonts w:eastAsia="宋体"/>
            <w:noProof/>
            <w:highlight w:val="white"/>
          </w:rPr>
          <w:t>51</w:t>
        </w:r>
        <w:r w:rsidR="00351450">
          <w:rPr>
            <w:rFonts w:eastAsia="宋体"/>
            <w:noProof/>
          </w:rPr>
          <w:fldChar w:fldCharType="end"/>
        </w:r>
      </w:hyperlink>
    </w:p>
    <w:p w:rsidR="00D50D9C" w14:paraId="22E792F8" w14:textId="2A9BA516">
      <w:pPr>
        <w:pStyle w:val="TOC1"/>
        <w:rPr>
          <w:rFonts w:eastAsia="宋体" w:cs="Calibri"/>
          <w:noProof/>
          <w:color w:val="auto"/>
          <w:sz w:val="21"/>
          <w:szCs w:val="22"/>
        </w:rPr>
      </w:pPr>
      <w:hyperlink w:anchor="_Toc73030172" w:tooltip="Current Document" w:history="1">
        <w:r w:rsidR="00351450">
          <w:rPr>
            <w:rStyle w:val="Hyperlink"/>
            <w:rFonts w:eastAsia="宋体" w:hint="eastAsia"/>
            <w:noProof/>
            <w:highlight w:val="white"/>
          </w:rPr>
          <w:t>第十四部分</w:t>
        </w:r>
        <w:r w:rsidR="00351450">
          <w:rPr>
            <w:rStyle w:val="Hyperlink"/>
            <w:rFonts w:eastAsia="宋体"/>
            <w:noProof/>
            <w:highlight w:val="white"/>
          </w:rPr>
          <w:t xml:space="preserve"> </w:t>
        </w:r>
        <w:r w:rsidR="00351450">
          <w:rPr>
            <w:rStyle w:val="Hyperlink"/>
            <w:rFonts w:eastAsia="宋体" w:hint="eastAsia"/>
            <w:noProof/>
            <w:highlight w:val="white"/>
          </w:rPr>
          <w:t>基金资产的估值</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_Toc73030172 \h </w:instrText>
        </w:r>
        <w:r w:rsidR="00351450">
          <w:rPr>
            <w:rFonts w:eastAsia="宋体"/>
            <w:noProof/>
          </w:rPr>
          <w:fldChar w:fldCharType="separate"/>
        </w:r>
        <w:r w:rsidR="00610FA7">
          <w:rPr>
            <w:rFonts w:eastAsia="宋体"/>
            <w:noProof/>
            <w:highlight w:val="white"/>
          </w:rPr>
          <w:t>52</w:t>
        </w:r>
        <w:r w:rsidR="00351450">
          <w:rPr>
            <w:rFonts w:eastAsia="宋体"/>
            <w:noProof/>
          </w:rPr>
          <w:fldChar w:fldCharType="end"/>
        </w:r>
      </w:hyperlink>
    </w:p>
    <w:p w:rsidR="00D50D9C" w14:paraId="28FDEB64" w14:textId="3018F544">
      <w:pPr>
        <w:pStyle w:val="TOC1"/>
        <w:rPr>
          <w:rFonts w:eastAsia="宋体" w:cs="Calibri"/>
          <w:noProof/>
          <w:color w:val="auto"/>
          <w:sz w:val="21"/>
          <w:szCs w:val="22"/>
        </w:rPr>
      </w:pPr>
      <w:hyperlink w:anchor="_Toc73030173" w:tooltip="Current Document" w:history="1">
        <w:r w:rsidR="00351450">
          <w:rPr>
            <w:rStyle w:val="Hyperlink"/>
            <w:rFonts w:eastAsia="宋体" w:hint="eastAsia"/>
            <w:noProof/>
            <w:highlight w:val="white"/>
          </w:rPr>
          <w:t>第十五部分</w:t>
        </w:r>
        <w:r w:rsidR="00351450">
          <w:rPr>
            <w:rStyle w:val="Hyperlink"/>
            <w:rFonts w:eastAsia="宋体"/>
            <w:noProof/>
            <w:highlight w:val="white"/>
          </w:rPr>
          <w:t xml:space="preserve"> </w:t>
        </w:r>
        <w:r w:rsidR="00351450">
          <w:rPr>
            <w:rStyle w:val="Hyperlink"/>
            <w:rFonts w:eastAsia="宋体" w:hint="eastAsia"/>
            <w:noProof/>
            <w:highlight w:val="white"/>
          </w:rPr>
          <w:t>基金的收益分配</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_Toc73030173 \h </w:instrText>
        </w:r>
        <w:r w:rsidR="00351450">
          <w:rPr>
            <w:rFonts w:eastAsia="宋体"/>
            <w:noProof/>
          </w:rPr>
          <w:fldChar w:fldCharType="separate"/>
        </w:r>
        <w:r w:rsidR="00610FA7">
          <w:rPr>
            <w:rFonts w:eastAsia="宋体"/>
            <w:noProof/>
            <w:highlight w:val="white"/>
          </w:rPr>
          <w:t>58</w:t>
        </w:r>
        <w:r w:rsidR="00351450">
          <w:rPr>
            <w:rFonts w:eastAsia="宋体"/>
            <w:noProof/>
          </w:rPr>
          <w:fldChar w:fldCharType="end"/>
        </w:r>
      </w:hyperlink>
    </w:p>
    <w:p w:rsidR="00D50D9C" w14:paraId="303C371E" w14:textId="4885F4FD">
      <w:pPr>
        <w:pStyle w:val="TOC1"/>
        <w:rPr>
          <w:rFonts w:eastAsia="宋体" w:cs="Calibri"/>
          <w:noProof/>
          <w:color w:val="auto"/>
          <w:sz w:val="21"/>
          <w:szCs w:val="22"/>
        </w:rPr>
      </w:pPr>
      <w:hyperlink w:anchor="_Toc73030174" w:tooltip="Current Document" w:history="1">
        <w:r w:rsidR="00351450">
          <w:rPr>
            <w:rStyle w:val="Hyperlink"/>
            <w:rFonts w:eastAsia="宋体" w:hint="eastAsia"/>
            <w:noProof/>
            <w:highlight w:val="white"/>
          </w:rPr>
          <w:t>第十六部分</w:t>
        </w:r>
        <w:r w:rsidR="00351450">
          <w:rPr>
            <w:rStyle w:val="Hyperlink"/>
            <w:rFonts w:eastAsia="宋体"/>
            <w:noProof/>
            <w:highlight w:val="white"/>
          </w:rPr>
          <w:t xml:space="preserve"> </w:t>
        </w:r>
        <w:r w:rsidR="00351450">
          <w:rPr>
            <w:rStyle w:val="Hyperlink"/>
            <w:rFonts w:eastAsia="宋体" w:hint="eastAsia"/>
            <w:noProof/>
            <w:highlight w:val="white"/>
          </w:rPr>
          <w:t>基金的费用与税收</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_Toc73030174 \h </w:instrText>
        </w:r>
        <w:r w:rsidR="00351450">
          <w:rPr>
            <w:rFonts w:eastAsia="宋体"/>
            <w:noProof/>
          </w:rPr>
          <w:fldChar w:fldCharType="separate"/>
        </w:r>
        <w:r>
          <w:rPr>
            <w:rFonts w:eastAsia="宋体"/>
            <w:noProof/>
            <w:highlight w:val="white"/>
          </w:rPr>
          <w:t>59</w:t>
        </w:r>
        <w:r w:rsidR="00351450">
          <w:rPr>
            <w:rFonts w:eastAsia="宋体"/>
            <w:noProof/>
          </w:rPr>
          <w:fldChar w:fldCharType="end"/>
        </w:r>
      </w:hyperlink>
    </w:p>
    <w:p w:rsidR="00D50D9C" w14:paraId="111B40EF" w14:textId="56146C18">
      <w:pPr>
        <w:pStyle w:val="TOC1"/>
        <w:rPr>
          <w:rFonts w:eastAsia="宋体" w:cs="Calibri"/>
          <w:noProof/>
          <w:color w:val="auto"/>
          <w:sz w:val="21"/>
          <w:szCs w:val="22"/>
        </w:rPr>
      </w:pPr>
      <w:hyperlink w:anchor="_Toc73030175" w:tooltip="Current Document" w:history="1">
        <w:r w:rsidR="00351450">
          <w:rPr>
            <w:rStyle w:val="Hyperlink"/>
            <w:rFonts w:eastAsia="宋体" w:hint="eastAsia"/>
            <w:noProof/>
            <w:highlight w:val="white"/>
          </w:rPr>
          <w:t>第十七部分</w:t>
        </w:r>
        <w:r w:rsidR="00351450">
          <w:rPr>
            <w:rStyle w:val="Hyperlink"/>
            <w:rFonts w:eastAsia="宋体"/>
            <w:noProof/>
            <w:highlight w:val="white"/>
          </w:rPr>
          <w:t xml:space="preserve"> </w:t>
        </w:r>
        <w:r w:rsidR="00351450">
          <w:rPr>
            <w:rStyle w:val="Hyperlink"/>
            <w:rFonts w:eastAsia="宋体" w:hint="eastAsia"/>
            <w:noProof/>
            <w:highlight w:val="white"/>
          </w:rPr>
          <w:t>基金的会计与审计</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_Toc73030175 \h </w:instrText>
        </w:r>
        <w:r w:rsidR="00351450">
          <w:rPr>
            <w:rFonts w:eastAsia="宋体"/>
            <w:noProof/>
          </w:rPr>
          <w:fldChar w:fldCharType="separate"/>
        </w:r>
        <w:r>
          <w:rPr>
            <w:rFonts w:eastAsia="宋体"/>
            <w:noProof/>
            <w:highlight w:val="white"/>
          </w:rPr>
          <w:t>66</w:t>
        </w:r>
        <w:r w:rsidR="00351450">
          <w:rPr>
            <w:rFonts w:eastAsia="宋体"/>
            <w:noProof/>
          </w:rPr>
          <w:fldChar w:fldCharType="end"/>
        </w:r>
      </w:hyperlink>
    </w:p>
    <w:p w:rsidR="00D50D9C" w14:paraId="5D96CBCB" w14:textId="6883BAEB">
      <w:pPr>
        <w:pStyle w:val="TOC1"/>
        <w:rPr>
          <w:rFonts w:eastAsia="宋体" w:cs="Calibri"/>
          <w:noProof/>
          <w:color w:val="auto"/>
          <w:sz w:val="21"/>
          <w:szCs w:val="22"/>
        </w:rPr>
      </w:pPr>
      <w:hyperlink w:anchor="_Toc73030176" w:tooltip="Current Document" w:history="1">
        <w:r w:rsidR="00351450">
          <w:rPr>
            <w:rStyle w:val="Hyperlink"/>
            <w:rFonts w:eastAsia="宋体" w:hint="eastAsia"/>
            <w:noProof/>
            <w:highlight w:val="white"/>
          </w:rPr>
          <w:t>第十八部分</w:t>
        </w:r>
        <w:r w:rsidR="00351450">
          <w:rPr>
            <w:rStyle w:val="Hyperlink"/>
            <w:rFonts w:eastAsia="宋体"/>
            <w:noProof/>
            <w:highlight w:val="white"/>
          </w:rPr>
          <w:t xml:space="preserve"> </w:t>
        </w:r>
        <w:r w:rsidR="00351450">
          <w:rPr>
            <w:rStyle w:val="Hyperlink"/>
            <w:rFonts w:eastAsia="宋体" w:hint="eastAsia"/>
            <w:noProof/>
            <w:highlight w:val="white"/>
          </w:rPr>
          <w:t>基金的信息披露</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_Toc73030176 \h </w:instrText>
        </w:r>
        <w:r w:rsidR="00351450">
          <w:rPr>
            <w:rFonts w:eastAsia="宋体"/>
            <w:noProof/>
          </w:rPr>
          <w:fldChar w:fldCharType="separate"/>
        </w:r>
        <w:r>
          <w:rPr>
            <w:rFonts w:eastAsia="宋体"/>
            <w:noProof/>
            <w:highlight w:val="white"/>
          </w:rPr>
          <w:t>67</w:t>
        </w:r>
        <w:r w:rsidR="00351450">
          <w:rPr>
            <w:rFonts w:eastAsia="宋体"/>
            <w:noProof/>
          </w:rPr>
          <w:fldChar w:fldCharType="end"/>
        </w:r>
      </w:hyperlink>
    </w:p>
    <w:p w:rsidR="00D50D9C" w14:paraId="7D1502B5" w14:textId="20A6C049">
      <w:pPr>
        <w:pStyle w:val="TOC1"/>
        <w:rPr>
          <w:rFonts w:eastAsia="宋体" w:cs="Calibri"/>
          <w:noProof/>
          <w:color w:val="auto"/>
          <w:sz w:val="21"/>
          <w:szCs w:val="22"/>
        </w:rPr>
      </w:pPr>
      <w:hyperlink w:anchor="_Toc73030177" w:tooltip="Current Document" w:history="1">
        <w:r w:rsidR="00351450">
          <w:rPr>
            <w:rStyle w:val="Hyperlink"/>
            <w:rFonts w:eastAsia="宋体" w:hint="eastAsia"/>
            <w:noProof/>
            <w:highlight w:val="white"/>
          </w:rPr>
          <w:t>第十九部分</w:t>
        </w:r>
        <w:r w:rsidR="00351450">
          <w:rPr>
            <w:rStyle w:val="Hyperlink"/>
            <w:rFonts w:eastAsia="宋体"/>
            <w:noProof/>
            <w:highlight w:val="white"/>
          </w:rPr>
          <w:t xml:space="preserve"> </w:t>
        </w:r>
        <w:r w:rsidR="00351450">
          <w:rPr>
            <w:rStyle w:val="Hyperlink"/>
            <w:rFonts w:eastAsia="宋体" w:hint="eastAsia"/>
            <w:noProof/>
            <w:highlight w:val="white"/>
          </w:rPr>
          <w:t>侧袋机制</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_Toc73030177 \h </w:instrText>
        </w:r>
        <w:r w:rsidR="00351450">
          <w:rPr>
            <w:rFonts w:eastAsia="宋体"/>
            <w:noProof/>
          </w:rPr>
          <w:fldChar w:fldCharType="separate"/>
        </w:r>
        <w:r>
          <w:rPr>
            <w:rFonts w:eastAsia="宋体"/>
            <w:noProof/>
            <w:highlight w:val="white"/>
          </w:rPr>
          <w:t>73</w:t>
        </w:r>
        <w:r w:rsidR="00351450">
          <w:rPr>
            <w:rFonts w:eastAsia="宋体"/>
            <w:noProof/>
          </w:rPr>
          <w:fldChar w:fldCharType="end"/>
        </w:r>
      </w:hyperlink>
    </w:p>
    <w:p w:rsidR="00D50D9C" w14:paraId="2A15E366" w14:textId="382B6E1D">
      <w:pPr>
        <w:pStyle w:val="TOC1"/>
        <w:rPr>
          <w:rFonts w:eastAsia="宋体" w:cs="Calibri"/>
          <w:noProof/>
          <w:color w:val="auto"/>
          <w:sz w:val="21"/>
          <w:szCs w:val="22"/>
        </w:rPr>
      </w:pPr>
      <w:hyperlink w:anchor="_Toc73030178" w:tooltip="Current Document" w:history="1">
        <w:r w:rsidR="00351450">
          <w:rPr>
            <w:rStyle w:val="Hyperlink"/>
            <w:rFonts w:eastAsia="宋体" w:hint="eastAsia"/>
            <w:noProof/>
            <w:highlight w:val="white"/>
          </w:rPr>
          <w:t>第二十部分</w:t>
        </w:r>
        <w:r w:rsidR="00351450">
          <w:rPr>
            <w:rStyle w:val="Hyperlink"/>
            <w:rFonts w:eastAsia="宋体"/>
            <w:noProof/>
            <w:highlight w:val="white"/>
          </w:rPr>
          <w:t xml:space="preserve"> </w:t>
        </w:r>
        <w:r w:rsidR="00351450">
          <w:rPr>
            <w:rStyle w:val="Hyperlink"/>
            <w:rFonts w:eastAsia="宋体" w:hint="eastAsia"/>
            <w:noProof/>
            <w:highlight w:val="white"/>
          </w:rPr>
          <w:t>风险揭示</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_Toc73030178 \h </w:instrText>
        </w:r>
        <w:r w:rsidR="00351450">
          <w:rPr>
            <w:rFonts w:eastAsia="宋体"/>
            <w:noProof/>
          </w:rPr>
          <w:fldChar w:fldCharType="separate"/>
        </w:r>
        <w:r>
          <w:rPr>
            <w:rFonts w:eastAsia="宋体"/>
            <w:noProof/>
            <w:highlight w:val="white"/>
          </w:rPr>
          <w:t>75</w:t>
        </w:r>
        <w:r w:rsidR="00351450">
          <w:rPr>
            <w:rFonts w:eastAsia="宋体"/>
            <w:noProof/>
          </w:rPr>
          <w:fldChar w:fldCharType="end"/>
        </w:r>
      </w:hyperlink>
    </w:p>
    <w:p w:rsidR="00D50D9C" w14:paraId="24C18D75" w14:textId="752C0DD9">
      <w:pPr>
        <w:pStyle w:val="TOC1"/>
        <w:rPr>
          <w:rFonts w:eastAsia="宋体" w:cs="Calibri"/>
          <w:noProof/>
          <w:color w:val="auto"/>
          <w:sz w:val="21"/>
          <w:szCs w:val="22"/>
        </w:rPr>
      </w:pPr>
      <w:hyperlink w:anchor="_Toc73030179" w:tooltip="Current Document" w:history="1">
        <w:r w:rsidR="00351450">
          <w:rPr>
            <w:rStyle w:val="Hyperlink"/>
            <w:rFonts w:eastAsia="宋体" w:hint="eastAsia"/>
            <w:noProof/>
            <w:highlight w:val="white"/>
          </w:rPr>
          <w:t>第二十一部分</w:t>
        </w:r>
        <w:r w:rsidR="00351450">
          <w:rPr>
            <w:rStyle w:val="Hyperlink"/>
            <w:rFonts w:eastAsia="宋体"/>
            <w:noProof/>
            <w:highlight w:val="white"/>
          </w:rPr>
          <w:t xml:space="preserve"> </w:t>
        </w:r>
        <w:r w:rsidR="00351450">
          <w:rPr>
            <w:rStyle w:val="Hyperlink"/>
            <w:rFonts w:eastAsia="宋体" w:hint="eastAsia"/>
            <w:noProof/>
            <w:highlight w:val="white"/>
          </w:rPr>
          <w:t>基金合同的变更、终止与基金财产的清算</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_Toc73030179 \h </w:instrText>
        </w:r>
        <w:r w:rsidR="00351450">
          <w:rPr>
            <w:rFonts w:eastAsia="宋体"/>
            <w:noProof/>
          </w:rPr>
          <w:fldChar w:fldCharType="separate"/>
        </w:r>
        <w:r>
          <w:rPr>
            <w:rFonts w:eastAsia="宋体"/>
            <w:noProof/>
            <w:highlight w:val="white"/>
          </w:rPr>
          <w:t>85</w:t>
        </w:r>
        <w:r w:rsidR="00351450">
          <w:rPr>
            <w:rFonts w:eastAsia="宋体"/>
            <w:noProof/>
          </w:rPr>
          <w:fldChar w:fldCharType="end"/>
        </w:r>
      </w:hyperlink>
    </w:p>
    <w:p w:rsidR="00D50D9C" w14:paraId="305C8D55" w14:textId="361C2A54">
      <w:pPr>
        <w:pStyle w:val="TOC1"/>
        <w:rPr>
          <w:rFonts w:eastAsia="宋体" w:cs="Calibri"/>
          <w:noProof/>
          <w:color w:val="auto"/>
          <w:sz w:val="21"/>
          <w:szCs w:val="22"/>
        </w:rPr>
      </w:pPr>
      <w:hyperlink w:anchor="_Toc73030180" w:tooltip="Current Document" w:history="1">
        <w:r w:rsidR="00351450">
          <w:rPr>
            <w:rStyle w:val="Hyperlink"/>
            <w:rFonts w:eastAsia="宋体" w:hint="eastAsia"/>
            <w:noProof/>
            <w:highlight w:val="white"/>
          </w:rPr>
          <w:t>第二十二部分</w:t>
        </w:r>
        <w:r w:rsidR="00351450">
          <w:rPr>
            <w:rStyle w:val="Hyperlink"/>
            <w:rFonts w:eastAsia="宋体"/>
            <w:noProof/>
            <w:highlight w:val="white"/>
          </w:rPr>
          <w:t xml:space="preserve"> </w:t>
        </w:r>
        <w:r w:rsidR="00351450">
          <w:rPr>
            <w:rStyle w:val="Hyperlink"/>
            <w:rFonts w:eastAsia="宋体" w:hint="eastAsia"/>
            <w:noProof/>
            <w:highlight w:val="white"/>
          </w:rPr>
          <w:t>基金合同的内容摘要</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_Toc73030180 \h </w:instrText>
        </w:r>
        <w:r w:rsidR="00351450">
          <w:rPr>
            <w:rFonts w:eastAsia="宋体"/>
            <w:noProof/>
          </w:rPr>
          <w:fldChar w:fldCharType="separate"/>
        </w:r>
        <w:r>
          <w:rPr>
            <w:rFonts w:eastAsia="宋体"/>
            <w:noProof/>
            <w:highlight w:val="white"/>
          </w:rPr>
          <w:t>87</w:t>
        </w:r>
        <w:r w:rsidR="00351450">
          <w:rPr>
            <w:rFonts w:eastAsia="宋体"/>
            <w:noProof/>
          </w:rPr>
          <w:fldChar w:fldCharType="end"/>
        </w:r>
      </w:hyperlink>
    </w:p>
    <w:p w:rsidR="00D50D9C" w14:paraId="69A6C8D3" w14:textId="7190B2F4">
      <w:pPr>
        <w:pStyle w:val="TOC1"/>
        <w:rPr>
          <w:rFonts w:eastAsia="宋体" w:cs="Calibri"/>
          <w:noProof/>
          <w:color w:val="auto"/>
          <w:sz w:val="21"/>
          <w:szCs w:val="22"/>
        </w:rPr>
      </w:pPr>
      <w:hyperlink w:anchor="_Toc73030181" w:tooltip="Current Document" w:history="1">
        <w:r w:rsidR="00351450">
          <w:rPr>
            <w:rStyle w:val="Hyperlink"/>
            <w:rFonts w:eastAsia="宋体" w:hint="eastAsia"/>
            <w:noProof/>
            <w:highlight w:val="white"/>
          </w:rPr>
          <w:t>第二十三部分</w:t>
        </w:r>
        <w:r w:rsidR="00351450">
          <w:rPr>
            <w:rStyle w:val="Hyperlink"/>
            <w:rFonts w:eastAsia="宋体"/>
            <w:noProof/>
            <w:highlight w:val="white"/>
          </w:rPr>
          <w:t xml:space="preserve"> </w:t>
        </w:r>
        <w:r w:rsidR="00351450">
          <w:rPr>
            <w:rStyle w:val="Hyperlink"/>
            <w:rFonts w:eastAsia="宋体" w:hint="eastAsia"/>
            <w:noProof/>
            <w:highlight w:val="white"/>
          </w:rPr>
          <w:t>基金托管协议的内容摘要</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_Toc73030181 \h </w:instrText>
        </w:r>
        <w:r w:rsidR="00351450">
          <w:rPr>
            <w:rFonts w:eastAsia="宋体"/>
            <w:noProof/>
          </w:rPr>
          <w:fldChar w:fldCharType="separate"/>
        </w:r>
        <w:r>
          <w:rPr>
            <w:rFonts w:eastAsia="宋体"/>
            <w:noProof/>
            <w:highlight w:val="white"/>
          </w:rPr>
          <w:t>103</w:t>
        </w:r>
        <w:r w:rsidR="00351450">
          <w:rPr>
            <w:rFonts w:eastAsia="宋体"/>
            <w:noProof/>
          </w:rPr>
          <w:fldChar w:fldCharType="end"/>
        </w:r>
      </w:hyperlink>
    </w:p>
    <w:p w:rsidR="00D50D9C" w14:paraId="3E73236A" w14:textId="572E1DB2">
      <w:pPr>
        <w:pStyle w:val="TOC1"/>
        <w:rPr>
          <w:rFonts w:eastAsia="宋体" w:cs="Calibri"/>
          <w:noProof/>
          <w:color w:val="auto"/>
          <w:sz w:val="21"/>
          <w:szCs w:val="22"/>
        </w:rPr>
      </w:pPr>
      <w:hyperlink w:anchor="_Toc73030182" w:tooltip="Current Document" w:history="1">
        <w:r w:rsidR="00351450">
          <w:rPr>
            <w:rStyle w:val="Hyperlink"/>
            <w:rFonts w:eastAsia="宋体" w:hint="eastAsia"/>
            <w:noProof/>
            <w:highlight w:val="white"/>
          </w:rPr>
          <w:t>第二十四部分</w:t>
        </w:r>
        <w:r w:rsidR="00351450">
          <w:rPr>
            <w:rStyle w:val="Hyperlink"/>
            <w:rFonts w:eastAsia="宋体"/>
            <w:noProof/>
            <w:highlight w:val="white"/>
          </w:rPr>
          <w:t xml:space="preserve"> </w:t>
        </w:r>
        <w:r w:rsidR="00351450">
          <w:rPr>
            <w:rStyle w:val="Hyperlink"/>
            <w:rFonts w:eastAsia="宋体" w:hint="eastAsia"/>
            <w:noProof/>
            <w:highlight w:val="white"/>
          </w:rPr>
          <w:t>对基金份额持有人的服务</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_Toc73030182 \h </w:instrText>
        </w:r>
        <w:r w:rsidR="00351450">
          <w:rPr>
            <w:rFonts w:eastAsia="宋体"/>
            <w:noProof/>
          </w:rPr>
          <w:fldChar w:fldCharType="separate"/>
        </w:r>
        <w:r>
          <w:rPr>
            <w:rFonts w:eastAsia="宋体"/>
            <w:noProof/>
            <w:highlight w:val="white"/>
          </w:rPr>
          <w:t>120</w:t>
        </w:r>
        <w:r w:rsidR="00351450">
          <w:rPr>
            <w:rFonts w:eastAsia="宋体"/>
            <w:noProof/>
          </w:rPr>
          <w:fldChar w:fldCharType="end"/>
        </w:r>
      </w:hyperlink>
    </w:p>
    <w:p w:rsidR="00D50D9C" w14:paraId="62226E66" w14:textId="1F36149A">
      <w:pPr>
        <w:pStyle w:val="TOC1"/>
        <w:rPr>
          <w:rFonts w:eastAsia="宋体" w:cs="Calibri"/>
          <w:noProof/>
          <w:color w:val="auto"/>
          <w:sz w:val="21"/>
          <w:szCs w:val="22"/>
        </w:rPr>
      </w:pPr>
      <w:hyperlink w:anchor="_Toc73030183" w:tooltip="Current Document" w:history="1">
        <w:r w:rsidR="00351450">
          <w:rPr>
            <w:rStyle w:val="Hyperlink"/>
            <w:rFonts w:eastAsia="宋体" w:hint="eastAsia"/>
            <w:noProof/>
            <w:highlight w:val="white"/>
          </w:rPr>
          <w:t>第二十五部分</w:t>
        </w:r>
        <w:r w:rsidR="00351450">
          <w:rPr>
            <w:rStyle w:val="Hyperlink"/>
            <w:rFonts w:eastAsia="宋体"/>
            <w:noProof/>
            <w:highlight w:val="white"/>
          </w:rPr>
          <w:t xml:space="preserve"> </w:t>
        </w:r>
        <w:r w:rsidR="00351450">
          <w:rPr>
            <w:rStyle w:val="Hyperlink"/>
            <w:rFonts w:eastAsia="宋体" w:hint="eastAsia"/>
            <w:noProof/>
            <w:highlight w:val="white"/>
          </w:rPr>
          <w:t>其他应披露事项</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_Toc73030183 \h </w:instrText>
        </w:r>
        <w:r w:rsidR="00351450">
          <w:rPr>
            <w:rFonts w:eastAsia="宋体"/>
            <w:noProof/>
          </w:rPr>
          <w:fldChar w:fldCharType="separate"/>
        </w:r>
        <w:r>
          <w:rPr>
            <w:rFonts w:eastAsia="宋体"/>
            <w:noProof/>
            <w:highlight w:val="white"/>
          </w:rPr>
          <w:t>121</w:t>
        </w:r>
        <w:r w:rsidR="00351450">
          <w:rPr>
            <w:rFonts w:eastAsia="宋体"/>
            <w:noProof/>
          </w:rPr>
          <w:fldChar w:fldCharType="end"/>
        </w:r>
      </w:hyperlink>
    </w:p>
    <w:p w:rsidR="00D50D9C" w14:paraId="5DF2378A" w14:textId="78C110BD">
      <w:pPr>
        <w:pStyle w:val="TOC1"/>
        <w:rPr>
          <w:rFonts w:eastAsia="宋体" w:cs="Calibri"/>
          <w:noProof/>
          <w:color w:val="auto"/>
          <w:sz w:val="21"/>
          <w:szCs w:val="22"/>
        </w:rPr>
      </w:pPr>
      <w:hyperlink w:anchor="_Toc73030184" w:tooltip="Current Document" w:history="1">
        <w:r w:rsidR="00351450">
          <w:rPr>
            <w:rStyle w:val="Hyperlink"/>
            <w:rFonts w:eastAsia="宋体" w:hint="eastAsia"/>
            <w:noProof/>
            <w:highlight w:val="white"/>
          </w:rPr>
          <w:t>第二十六部分</w:t>
        </w:r>
        <w:r w:rsidR="00351450">
          <w:rPr>
            <w:rStyle w:val="Hyperlink"/>
            <w:rFonts w:eastAsia="宋体"/>
            <w:noProof/>
            <w:highlight w:val="white"/>
          </w:rPr>
          <w:t xml:space="preserve"> </w:t>
        </w:r>
        <w:r w:rsidR="00351450">
          <w:rPr>
            <w:rStyle w:val="Hyperlink"/>
            <w:rFonts w:eastAsia="宋体" w:hint="eastAsia"/>
            <w:noProof/>
            <w:highlight w:val="white"/>
          </w:rPr>
          <w:t>招募说明书的存放及查阅方式</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_Toc73030184 \h </w:instrText>
        </w:r>
        <w:r w:rsidR="00351450">
          <w:rPr>
            <w:rFonts w:eastAsia="宋体"/>
            <w:noProof/>
          </w:rPr>
          <w:fldChar w:fldCharType="separate"/>
        </w:r>
        <w:r>
          <w:rPr>
            <w:rFonts w:eastAsia="宋体"/>
            <w:noProof/>
            <w:highlight w:val="white"/>
          </w:rPr>
          <w:t>122</w:t>
        </w:r>
        <w:r w:rsidR="00351450">
          <w:rPr>
            <w:rFonts w:eastAsia="宋体"/>
            <w:noProof/>
          </w:rPr>
          <w:fldChar w:fldCharType="end"/>
        </w:r>
      </w:hyperlink>
    </w:p>
    <w:p w:rsidR="00D50D9C" w14:paraId="304985F8" w14:textId="21AC16BA">
      <w:pPr>
        <w:pStyle w:val="TOC1"/>
        <w:rPr>
          <w:rFonts w:eastAsia="宋体" w:cs="Calibri"/>
          <w:noProof/>
          <w:color w:val="auto"/>
          <w:sz w:val="21"/>
          <w:szCs w:val="22"/>
        </w:rPr>
      </w:pPr>
      <w:hyperlink w:anchor="_Toc73030185" w:tooltip="Current Document" w:history="1">
        <w:r w:rsidR="00351450">
          <w:rPr>
            <w:rStyle w:val="Hyperlink"/>
            <w:rFonts w:eastAsia="宋体" w:hint="eastAsia"/>
            <w:noProof/>
            <w:highlight w:val="white"/>
          </w:rPr>
          <w:t>第二十七部分</w:t>
        </w:r>
        <w:r w:rsidR="00351450">
          <w:rPr>
            <w:rStyle w:val="Hyperlink"/>
            <w:rFonts w:eastAsia="宋体"/>
            <w:noProof/>
            <w:highlight w:val="white"/>
          </w:rPr>
          <w:t xml:space="preserve"> </w:t>
        </w:r>
        <w:r w:rsidR="00351450">
          <w:rPr>
            <w:rStyle w:val="Hyperlink"/>
            <w:rFonts w:eastAsia="宋体" w:hint="eastAsia"/>
            <w:noProof/>
            <w:highlight w:val="white"/>
          </w:rPr>
          <w:t>备查文件</w:t>
        </w:r>
        <w:r w:rsidR="00351450">
          <w:rPr>
            <w:rFonts w:eastAsia="宋体"/>
            <w:noProof/>
            <w:highlight w:val="white"/>
          </w:rPr>
          <w:tab/>
        </w:r>
        <w:r w:rsidR="00351450">
          <w:rPr>
            <w:rFonts w:eastAsia="宋体"/>
            <w:noProof/>
          </w:rPr>
          <w:fldChar w:fldCharType="begin"/>
        </w:r>
        <w:r w:rsidR="00351450">
          <w:rPr>
            <w:rFonts w:eastAsia="宋体"/>
            <w:noProof/>
            <w:highlight w:val="white"/>
          </w:rPr>
          <w:instrText xml:space="preserve"> PAGEREF _Toc73030185 \h </w:instrText>
        </w:r>
        <w:r w:rsidR="00351450">
          <w:rPr>
            <w:rFonts w:eastAsia="宋体"/>
            <w:noProof/>
          </w:rPr>
          <w:fldChar w:fldCharType="separate"/>
        </w:r>
        <w:r>
          <w:rPr>
            <w:rFonts w:eastAsia="宋体"/>
            <w:noProof/>
            <w:highlight w:val="white"/>
          </w:rPr>
          <w:t>123</w:t>
        </w:r>
        <w:r w:rsidR="00351450">
          <w:rPr>
            <w:rFonts w:eastAsia="宋体"/>
            <w:noProof/>
          </w:rPr>
          <w:fldChar w:fldCharType="end"/>
        </w:r>
      </w:hyperlink>
    </w:p>
    <w:p w:rsidR="00D50D9C" w14:paraId="0FA556F6" w14:textId="77777777">
      <w:pPr>
        <w:ind w:firstLine="560"/>
        <w:jc w:val="center"/>
        <w:rPr>
          <w:rFonts w:ascii="宋体" w:hAnsi="宋体"/>
          <w:b/>
          <w:caps/>
          <w:sz w:val="24"/>
          <w:szCs w:val="28"/>
        </w:rPr>
      </w:pPr>
      <w:r>
        <w:rPr>
          <w:rFonts w:ascii="宋体" w:hAnsi="宋体"/>
          <w:b/>
          <w:caps/>
          <w:sz w:val="24"/>
          <w:szCs w:val="28"/>
        </w:rPr>
        <w:fldChar w:fldCharType="end"/>
      </w:r>
    </w:p>
    <w:p w:rsidR="00D50D9C" w14:paraId="5505C301" w14:textId="77777777">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D50D9C" w14:paraId="5916DA93" w14:textId="77777777">
      <w:pPr>
        <w:pStyle w:val="10"/>
        <w:spacing w:before="317" w:after="317" w:line="320" w:lineRule="exact"/>
        <w:ind w:firstLine="600"/>
        <w:rPr>
          <w:rFonts w:ascii="宋体" w:eastAsia="宋体" w:hAnsi="宋体"/>
          <w:b w:val="0"/>
          <w:sz w:val="30"/>
          <w:lang w:eastAsia="zh-CN"/>
        </w:rPr>
      </w:pPr>
      <w:bookmarkStart w:id="0" w:name="_Toc73030159"/>
      <w:bookmarkStart w:id="1" w:name="_Toc332373444"/>
      <w:r>
        <w:rPr>
          <w:rFonts w:ascii="宋体" w:eastAsia="宋体" w:hAnsi="宋体" w:hint="eastAsia"/>
          <w:b w:val="0"/>
          <w:sz w:val="30"/>
          <w:highlight w:val="white"/>
          <w:lang w:eastAsia="zh-CN"/>
        </w:rPr>
        <w:t>第一部分 绪  言</w:t>
      </w:r>
      <w:bookmarkEnd w:id="0"/>
      <w:bookmarkEnd w:id="1"/>
    </w:p>
    <w:p w:rsidR="00D50D9C" w14:paraId="5CCC11BE" w14:textId="77777777">
      <w:pPr>
        <w:spacing w:line="360" w:lineRule="auto"/>
        <w:ind w:firstLine="420"/>
        <w:rPr>
          <w:rFonts w:ascii="宋体" w:hAnsi="宋体"/>
          <w:lang w:eastAsia="zh-CN"/>
        </w:rPr>
      </w:pPr>
    </w:p>
    <w:p w:rsidR="00D50D9C" w14:paraId="1BD185C9" w14:textId="77777777">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易方达成长领航混合型证券投资基金</w:t>
      </w:r>
      <w:r>
        <w:rPr>
          <w:rFonts w:ascii="宋体" w:eastAsia="宋体" w:hAnsi="宋体" w:cs="宋体" w:hint="eastAsia"/>
          <w:highlight w:val="white"/>
          <w:lang w:eastAsia="zh-CN"/>
        </w:rPr>
        <w:t>基金合同》（以下简称基金合同）及其它有关规定等编写。</w:t>
      </w:r>
    </w:p>
    <w:p w:rsidR="00D50D9C" w14:paraId="500628BD" w14:textId="77777777">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D50D9C" w14:paraId="1755C7C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D50D9C" w14:paraId="50DD22EF" w14:textId="77777777">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D50D9C" w14:paraId="4E921346" w14:textId="77777777">
      <w:pPr>
        <w:spacing w:line="360" w:lineRule="auto"/>
        <w:ind w:firstLine="482"/>
        <w:rPr>
          <w:rFonts w:ascii="宋体" w:hAnsi="宋体"/>
          <w:lang w:eastAsia="zh-CN"/>
        </w:rPr>
      </w:pPr>
    </w:p>
    <w:p w:rsidR="00D50D9C" w14:paraId="54FA4636" w14:textId="77777777">
      <w:pPr>
        <w:spacing w:line="360" w:lineRule="auto"/>
        <w:ind w:firstLine="482"/>
        <w:rPr>
          <w:rFonts w:ascii="宋体" w:hAnsi="宋体"/>
          <w:lang w:eastAsia="zh-CN"/>
        </w:rPr>
      </w:pPr>
    </w:p>
    <w:p w:rsidR="00D50D9C" w14:paraId="20646108" w14:textId="77777777">
      <w:pPr>
        <w:spacing w:line="360" w:lineRule="auto"/>
        <w:ind w:firstLine="482"/>
        <w:rPr>
          <w:rFonts w:ascii="宋体" w:hAnsi="宋体"/>
          <w:lang w:eastAsia="zh-CN"/>
        </w:rPr>
      </w:pPr>
    </w:p>
    <w:p w:rsidR="00D50D9C" w14:paraId="45EB3A76" w14:textId="77777777">
      <w:pPr>
        <w:spacing w:line="360" w:lineRule="auto"/>
        <w:ind w:firstLine="482"/>
        <w:rPr>
          <w:rFonts w:ascii="宋体" w:hAnsi="宋体"/>
          <w:lang w:eastAsia="zh-CN"/>
        </w:rPr>
      </w:pPr>
    </w:p>
    <w:p w:rsidR="00D50D9C" w14:paraId="6C2E9070" w14:textId="77777777">
      <w:pPr>
        <w:spacing w:line="360" w:lineRule="auto"/>
        <w:ind w:firstLine="482"/>
        <w:rPr>
          <w:rFonts w:ascii="宋体" w:hAnsi="宋体"/>
          <w:lang w:eastAsia="zh-CN"/>
        </w:rPr>
      </w:pPr>
    </w:p>
    <w:p w:rsidR="00D50D9C" w14:paraId="51681525" w14:textId="77777777">
      <w:pPr>
        <w:spacing w:line="360" w:lineRule="auto"/>
        <w:ind w:firstLine="482"/>
        <w:rPr>
          <w:rFonts w:ascii="宋体" w:hAnsi="宋体"/>
          <w:lang w:eastAsia="zh-CN"/>
        </w:rPr>
      </w:pPr>
    </w:p>
    <w:p w:rsidR="00D50D9C" w14:paraId="20FFFB0B" w14:textId="77777777">
      <w:pPr>
        <w:spacing w:line="360" w:lineRule="auto"/>
        <w:ind w:firstLine="482"/>
        <w:rPr>
          <w:rFonts w:ascii="宋体" w:hAnsi="宋体"/>
          <w:lang w:eastAsia="zh-CN"/>
        </w:rPr>
      </w:pPr>
    </w:p>
    <w:p w:rsidR="00D50D9C" w14:paraId="174E9D3B" w14:textId="77777777">
      <w:pPr>
        <w:spacing w:line="360" w:lineRule="auto"/>
        <w:ind w:firstLine="482"/>
        <w:rPr>
          <w:rFonts w:ascii="宋体" w:hAnsi="宋体"/>
          <w:lang w:eastAsia="zh-CN"/>
        </w:rPr>
      </w:pPr>
    </w:p>
    <w:p w:rsidR="00D50D9C" w14:paraId="3DF297CE" w14:textId="77777777">
      <w:pPr>
        <w:pStyle w:val="111"/>
        <w:pageBreakBefore w:val="0"/>
        <w:spacing w:before="317" w:after="317" w:line="320" w:lineRule="exact"/>
        <w:ind w:firstLine="600"/>
        <w:rPr>
          <w:rFonts w:ascii="宋体" w:eastAsia="宋体" w:hAnsi="宋体"/>
          <w:sz w:val="30"/>
          <w:lang w:eastAsia="zh-CN"/>
        </w:rPr>
      </w:pPr>
      <w:bookmarkStart w:id="2" w:name="_Toc332373445"/>
      <w:bookmarkStart w:id="3" w:name="_Toc73030160"/>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2"/>
      <w:bookmarkEnd w:id="3"/>
    </w:p>
    <w:p w:rsidR="00D50D9C" w14:paraId="1EB69C98"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D50D9C" w14:paraId="5EA23621" w14:textId="77777777">
      <w:pPr>
        <w:spacing w:line="360" w:lineRule="auto"/>
        <w:ind w:firstLine="420"/>
        <w:rPr>
          <w:rStyle w:val="da"/>
          <w:rFonts w:ascii="宋体" w:hAnsi="宋体"/>
          <w:lang w:eastAsia="zh-CN"/>
        </w:rPr>
      </w:pPr>
      <w:r>
        <w:rPr>
          <w:rStyle w:val="da"/>
          <w:rFonts w:ascii="宋体" w:hAnsi="宋体"/>
          <w:highlight w:val="white"/>
          <w:lang w:eastAsia="zh-CN"/>
        </w:rPr>
        <w:t>1、基金或本基金：指易方达成长领航混合型证券投资基金</w:t>
      </w:r>
    </w:p>
    <w:p w:rsidR="00D50D9C" w14:paraId="100371B3" w14:textId="77777777">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D50D9C" w14:paraId="6F2D8E1B" w14:textId="77777777">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3、基金托管人：指中国建设银行股份有限公司 </w:t>
      </w:r>
    </w:p>
    <w:p w:rsidR="00D50D9C" w14:paraId="41B196D9" w14:textId="77777777">
      <w:pPr>
        <w:spacing w:line="360" w:lineRule="auto"/>
        <w:ind w:firstLine="420"/>
        <w:rPr>
          <w:rStyle w:val="da"/>
          <w:rFonts w:ascii="宋体" w:hAnsi="宋体"/>
          <w:lang w:eastAsia="zh-CN"/>
        </w:rPr>
      </w:pPr>
      <w:r>
        <w:rPr>
          <w:rStyle w:val="da"/>
          <w:rFonts w:ascii="宋体" w:hAnsi="宋体"/>
          <w:highlight w:val="white"/>
          <w:lang w:eastAsia="zh-CN"/>
        </w:rPr>
        <w:t>4、基金合同</w:t>
      </w:r>
      <w:r>
        <w:rPr>
          <w:rStyle w:val="da"/>
          <w:rFonts w:ascii="宋体" w:eastAsia="宋体" w:hAnsi="宋体" w:cs="宋体"/>
          <w:highlight w:val="white"/>
          <w:lang w:eastAsia="zh-CN"/>
        </w:rPr>
        <w:t>：指《易方达成长领航混合型证券投资基金基金合同》及对基金合同的任何有效修订和补充</w:t>
      </w:r>
    </w:p>
    <w:p w:rsidR="00D50D9C" w14:paraId="54F4D22E" w14:textId="77777777">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5、托管协议：指基金管理人与基金托管人就本基金签订之《易方达成长领航混合型证券投资基金托管协议》及对该托管协议的任何有效修订和补充</w:t>
      </w:r>
    </w:p>
    <w:p w:rsidR="00D50D9C" w14:paraId="4F301643" w14:textId="77777777">
      <w:pPr>
        <w:spacing w:line="360" w:lineRule="auto"/>
        <w:ind w:firstLine="420"/>
        <w:rPr>
          <w:rStyle w:val="da"/>
          <w:rFonts w:ascii="宋体" w:hAnsi="宋体"/>
          <w:lang w:eastAsia="zh-CN"/>
        </w:rPr>
      </w:pPr>
      <w:r>
        <w:rPr>
          <w:rStyle w:val="da"/>
          <w:rFonts w:ascii="宋体" w:hAnsi="宋体"/>
          <w:highlight w:val="white"/>
          <w:lang w:eastAsia="zh-CN"/>
        </w:rPr>
        <w:t>6、招募说明书：指《易方达成长领航混合型证券投资基金招募说明书》及其更新</w:t>
      </w:r>
    </w:p>
    <w:p w:rsidR="00D50D9C" w14:paraId="02D2E33B" w14:textId="77777777">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7、基金产品资料概要：指《易方达成长领航混合型证券投资基金基金产品资料概要》及其更新</w:t>
      </w:r>
    </w:p>
    <w:p w:rsidR="00D50D9C" w14:paraId="6F640E92" w14:textId="77777777">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8、基金份额发售公告：指《易方达成长领航混合型证券投资基金基金份额发售公告》</w:t>
      </w:r>
    </w:p>
    <w:p w:rsidR="00D50D9C" w14:paraId="6C8FE376" w14:textId="77777777">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D50D9C" w14:paraId="67161057" w14:textId="77777777">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D50D9C" w14:paraId="547DB7CA" w14:textId="77777777">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D50D9C" w14:paraId="7600A695" w14:textId="77777777">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D50D9C" w14:paraId="1203990B" w14:textId="77777777">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D50D9C" w14:paraId="2F12F8AA" w14:textId="77777777">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D50D9C" w14:paraId="05DA580B" w14:textId="77777777">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D50D9C" w14:paraId="24706003" w14:textId="77777777">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D50D9C" w14:paraId="0620078B" w14:textId="77777777">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D50D9C" w14:paraId="15CE18AB" w14:textId="77777777">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D50D9C" w14:paraId="1E95224D" w14:textId="77777777">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D50D9C" w14:paraId="5A51B711" w14:textId="77777777">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D50D9C" w14:paraId="0BE8F1E1" w14:textId="77777777">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D50D9C" w14:paraId="0293EB08" w14:textId="77777777">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D50D9C" w14:paraId="7FAC3E69" w14:textId="77777777">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D50D9C" w14:paraId="0DE33E4E" w14:textId="77777777">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D50D9C" w14:paraId="61D9FFFD" w14:textId="77777777">
      <w:pPr>
        <w:spacing w:line="360" w:lineRule="auto"/>
        <w:ind w:firstLine="420"/>
        <w:rPr>
          <w:rStyle w:val="da"/>
          <w:rFonts w:ascii="宋体" w:hAnsi="宋体"/>
          <w:lang w:eastAsia="zh-CN"/>
        </w:rPr>
      </w:pPr>
      <w:r>
        <w:rPr>
          <w:rStyle w:val="da"/>
          <w:rFonts w:ascii="宋体" w:hAnsi="宋体"/>
          <w:highlight w:val="white"/>
          <w:lang w:eastAsia="zh-CN"/>
        </w:rPr>
        <w:t>25</w:t>
      </w:r>
      <w:r>
        <w:rPr>
          <w:rStyle w:val="da"/>
          <w:rFonts w:ascii="宋体" w:eastAsia="宋体" w:hAnsi="宋体" w:cs="宋体"/>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D50D9C" w14:paraId="033E7BF5" w14:textId="77777777">
      <w:pPr>
        <w:spacing w:line="360" w:lineRule="auto"/>
        <w:ind w:firstLine="420"/>
        <w:rPr>
          <w:rStyle w:val="da"/>
          <w:rFonts w:ascii="宋体" w:hAnsi="宋体"/>
          <w:lang w:eastAsia="zh-CN"/>
        </w:rPr>
      </w:pPr>
      <w:r>
        <w:rPr>
          <w:rStyle w:val="da"/>
          <w:rFonts w:ascii="宋体" w:hAnsi="宋体"/>
          <w:highlight w:val="white"/>
          <w:lang w:eastAsia="zh-CN"/>
        </w:rPr>
        <w:t>26</w:t>
      </w:r>
      <w:r>
        <w:rPr>
          <w:rStyle w:val="da"/>
          <w:rFonts w:ascii="宋体" w:eastAsia="宋体" w:hAnsi="宋体" w:cs="宋体"/>
          <w:highlight w:val="white"/>
          <w:lang w:eastAsia="zh-CN"/>
        </w:rPr>
        <w:t>、登记机构：指办理登记业务的机构。基金的登记机构为易方达基金管理有限公司或接受易方达基金管理有限公司委托代为办理登记业务的机构</w:t>
      </w:r>
    </w:p>
    <w:p w:rsidR="00D50D9C" w14:paraId="0F2620D3" w14:textId="77777777">
      <w:pPr>
        <w:spacing w:line="360" w:lineRule="auto"/>
        <w:ind w:firstLine="420"/>
        <w:rPr>
          <w:rStyle w:val="da"/>
          <w:rFonts w:ascii="宋体" w:hAnsi="宋体"/>
          <w:lang w:eastAsia="zh-CN"/>
        </w:rPr>
      </w:pPr>
      <w:r>
        <w:rPr>
          <w:rStyle w:val="da"/>
          <w:rFonts w:ascii="宋体" w:hAnsi="宋体"/>
          <w:highlight w:val="white"/>
          <w:lang w:eastAsia="zh-CN"/>
        </w:rPr>
        <w:t>27</w:t>
      </w:r>
      <w:r>
        <w:rPr>
          <w:rStyle w:val="da"/>
          <w:rFonts w:ascii="宋体" w:eastAsia="宋体" w:hAnsi="宋体" w:cs="宋体"/>
          <w:highlight w:val="white"/>
          <w:lang w:eastAsia="zh-CN"/>
        </w:rPr>
        <w:t>、基金账户：指登记机构为投资人开立的、记录其持有的、基金管理人所管理的基金份额余额及其变动情况的账户</w:t>
      </w:r>
    </w:p>
    <w:p w:rsidR="00D50D9C" w14:paraId="44C608AF" w14:textId="77777777">
      <w:pPr>
        <w:spacing w:line="360" w:lineRule="auto"/>
        <w:ind w:firstLine="420"/>
        <w:rPr>
          <w:rStyle w:val="da"/>
          <w:rFonts w:ascii="宋体" w:hAnsi="宋体"/>
          <w:lang w:eastAsia="zh-CN"/>
        </w:rPr>
      </w:pPr>
      <w:r>
        <w:rPr>
          <w:rStyle w:val="da"/>
          <w:rFonts w:ascii="宋体" w:hAnsi="宋体"/>
          <w:highlight w:val="white"/>
          <w:lang w:eastAsia="zh-CN"/>
        </w:rPr>
        <w:t>28</w:t>
      </w:r>
      <w:r>
        <w:rPr>
          <w:rStyle w:val="da"/>
          <w:rFonts w:ascii="宋体" w:eastAsia="宋体" w:hAnsi="宋体" w:cs="宋体"/>
          <w:highlight w:val="white"/>
          <w:lang w:eastAsia="zh-CN"/>
        </w:rPr>
        <w:t>、基金交易账户：指销售机构为投资人开立的、记录投资人通过该销售机构办理认购、申购、赎回、转换、转托管及定期定额投资等业务而引起的基金份额变动及结余情况的账户</w:t>
      </w:r>
    </w:p>
    <w:p w:rsidR="00D50D9C" w14:paraId="7C47FDBC" w14:textId="77777777">
      <w:pPr>
        <w:spacing w:line="360" w:lineRule="auto"/>
        <w:ind w:firstLine="420"/>
        <w:rPr>
          <w:rStyle w:val="da"/>
          <w:rFonts w:ascii="宋体" w:hAnsi="宋体"/>
          <w:lang w:eastAsia="zh-CN"/>
        </w:rPr>
      </w:pPr>
      <w:r>
        <w:rPr>
          <w:rStyle w:val="da"/>
          <w:rFonts w:ascii="宋体" w:hAnsi="宋体"/>
          <w:highlight w:val="white"/>
          <w:lang w:eastAsia="zh-CN"/>
        </w:rPr>
        <w:t>29</w:t>
      </w:r>
      <w:r>
        <w:rPr>
          <w:rStyle w:val="da"/>
          <w:rFonts w:ascii="宋体" w:eastAsia="宋体" w:hAnsi="宋体" w:cs="宋体"/>
          <w:highlight w:val="white"/>
          <w:lang w:eastAsia="zh-CN"/>
        </w:rPr>
        <w:t>、基金合同生效日：指基金募集达到法律法规规定及基金合同规定的条件，基金管理人向中国证监会办理基金备案手续完毕，并获得中国证监会书面确认的日期</w:t>
      </w:r>
    </w:p>
    <w:p w:rsidR="00D50D9C" w14:paraId="70DDFF2B" w14:textId="77777777">
      <w:pPr>
        <w:spacing w:line="360" w:lineRule="auto"/>
        <w:ind w:firstLine="420"/>
        <w:rPr>
          <w:rStyle w:val="da"/>
          <w:rFonts w:ascii="宋体" w:hAnsi="宋体"/>
          <w:lang w:eastAsia="zh-CN"/>
        </w:rPr>
      </w:pPr>
      <w:r>
        <w:rPr>
          <w:rStyle w:val="da"/>
          <w:rFonts w:ascii="宋体" w:hAnsi="宋体"/>
          <w:highlight w:val="white"/>
          <w:lang w:eastAsia="zh-CN"/>
        </w:rPr>
        <w:t>30</w:t>
      </w:r>
      <w:r>
        <w:rPr>
          <w:rStyle w:val="da"/>
          <w:rFonts w:ascii="宋体" w:eastAsia="宋体" w:hAnsi="宋体" w:cs="宋体"/>
          <w:highlight w:val="white"/>
          <w:lang w:eastAsia="zh-CN"/>
        </w:rPr>
        <w:t>、基金合同终止日：指基金合同规定的基金合同终止事由出现后，基金财产清算完毕，清算结果报中国证监会备案并予以公告的日期</w:t>
      </w:r>
    </w:p>
    <w:p w:rsidR="00D50D9C" w14:paraId="0F9307CA" w14:textId="77777777">
      <w:pPr>
        <w:spacing w:line="360" w:lineRule="auto"/>
        <w:ind w:firstLine="420"/>
        <w:rPr>
          <w:rStyle w:val="da"/>
          <w:rFonts w:ascii="宋体" w:hAnsi="宋体"/>
          <w:lang w:eastAsia="zh-CN"/>
        </w:rPr>
      </w:pPr>
      <w:r>
        <w:rPr>
          <w:rStyle w:val="da"/>
          <w:rFonts w:ascii="宋体" w:hAnsi="宋体"/>
          <w:highlight w:val="white"/>
          <w:lang w:eastAsia="zh-CN"/>
        </w:rPr>
        <w:t>31</w:t>
      </w:r>
      <w:r>
        <w:rPr>
          <w:rStyle w:val="da"/>
          <w:rFonts w:ascii="宋体" w:eastAsia="宋体" w:hAnsi="宋体" w:cs="宋体"/>
          <w:highlight w:val="white"/>
          <w:lang w:eastAsia="zh-CN"/>
        </w:rPr>
        <w:t>、基金募集期：指自基金份额发售之日起至发售结束之日止的期间，最长不得超过</w:t>
      </w:r>
      <w:r>
        <w:rPr>
          <w:rStyle w:val="da"/>
          <w:rFonts w:ascii="宋体" w:hAnsi="宋体"/>
          <w:highlight w:val="white"/>
          <w:lang w:eastAsia="zh-CN"/>
        </w:rPr>
        <w:t>3</w:t>
      </w:r>
      <w:r>
        <w:rPr>
          <w:rStyle w:val="da"/>
          <w:rFonts w:ascii="宋体" w:eastAsia="宋体" w:hAnsi="宋体" w:cs="宋体"/>
          <w:highlight w:val="white"/>
          <w:lang w:eastAsia="zh-CN"/>
        </w:rPr>
        <w:t>个月</w:t>
      </w:r>
    </w:p>
    <w:p w:rsidR="00D50D9C" w14:paraId="169E8AE8" w14:textId="77777777">
      <w:pPr>
        <w:spacing w:line="360" w:lineRule="auto"/>
        <w:ind w:firstLine="420"/>
        <w:rPr>
          <w:rStyle w:val="da"/>
          <w:rFonts w:ascii="宋体" w:hAnsi="宋体"/>
          <w:lang w:eastAsia="zh-CN"/>
        </w:rPr>
      </w:pPr>
      <w:r>
        <w:rPr>
          <w:rStyle w:val="da"/>
          <w:rFonts w:ascii="宋体" w:hAnsi="宋体"/>
          <w:highlight w:val="white"/>
          <w:lang w:eastAsia="zh-CN"/>
        </w:rPr>
        <w:t>32</w:t>
      </w:r>
      <w:r>
        <w:rPr>
          <w:rStyle w:val="da"/>
          <w:rFonts w:ascii="宋体" w:eastAsia="宋体" w:hAnsi="宋体" w:cs="宋体"/>
          <w:highlight w:val="white"/>
          <w:lang w:eastAsia="zh-CN"/>
        </w:rPr>
        <w:t>、存续期：指基金合同生效日至终止日之间的不定期期限</w:t>
      </w:r>
    </w:p>
    <w:p w:rsidR="00D50D9C" w14:paraId="5B439470" w14:textId="77777777">
      <w:pPr>
        <w:spacing w:line="360" w:lineRule="auto"/>
        <w:ind w:firstLine="420"/>
        <w:rPr>
          <w:rStyle w:val="da"/>
          <w:rFonts w:ascii="宋体" w:hAnsi="宋体"/>
          <w:lang w:eastAsia="zh-CN"/>
        </w:rPr>
      </w:pPr>
      <w:r>
        <w:rPr>
          <w:rStyle w:val="da"/>
          <w:rFonts w:ascii="宋体" w:hAnsi="宋体"/>
          <w:highlight w:val="white"/>
          <w:lang w:eastAsia="zh-CN"/>
        </w:rPr>
        <w:t>33</w:t>
      </w:r>
      <w:r>
        <w:rPr>
          <w:rStyle w:val="da"/>
          <w:rFonts w:ascii="宋体" w:eastAsia="宋体" w:hAnsi="宋体" w:cs="宋体"/>
          <w:highlight w:val="white"/>
          <w:lang w:eastAsia="zh-CN"/>
        </w:rPr>
        <w:t>、工作日：指上海证券交易所、深圳证券交易所的交易日</w:t>
      </w:r>
    </w:p>
    <w:p w:rsidR="00D50D9C" w14:paraId="4AA26255" w14:textId="77777777">
      <w:pPr>
        <w:spacing w:line="360" w:lineRule="auto"/>
        <w:ind w:firstLine="420"/>
        <w:rPr>
          <w:rStyle w:val="da"/>
          <w:rFonts w:ascii="宋体" w:hAnsi="宋体"/>
          <w:lang w:eastAsia="zh-CN"/>
        </w:rPr>
      </w:pPr>
      <w:r>
        <w:rPr>
          <w:rStyle w:val="da"/>
          <w:rFonts w:ascii="宋体" w:hAnsi="宋体"/>
          <w:highlight w:val="white"/>
          <w:lang w:eastAsia="zh-CN"/>
        </w:rPr>
        <w:t>34</w:t>
      </w:r>
      <w:r>
        <w:rPr>
          <w:rStyle w:val="da"/>
          <w:rFonts w:ascii="宋体" w:eastAsia="宋体" w:hAnsi="宋体" w:cs="宋体"/>
          <w:highlight w:val="white"/>
          <w:lang w:eastAsia="zh-CN"/>
        </w:rPr>
        <w:t>、</w:t>
      </w:r>
      <w:r>
        <w:rPr>
          <w:rStyle w:val="da"/>
          <w:rFonts w:ascii="宋体" w:hAnsi="宋体"/>
          <w:highlight w:val="white"/>
          <w:lang w:eastAsia="zh-CN"/>
        </w:rPr>
        <w:t>T</w:t>
      </w:r>
      <w:r>
        <w:rPr>
          <w:rStyle w:val="da"/>
          <w:rFonts w:ascii="宋体" w:eastAsia="宋体" w:hAnsi="宋体" w:cs="宋体"/>
          <w:highlight w:val="white"/>
          <w:lang w:eastAsia="zh-CN"/>
        </w:rPr>
        <w:t>日：指销售机构在规定时间受理投资人申购、赎回或其他业务申请的开放日</w:t>
      </w:r>
    </w:p>
    <w:p w:rsidR="00D50D9C" w14:paraId="52A321F5" w14:textId="77777777">
      <w:pPr>
        <w:spacing w:line="360" w:lineRule="auto"/>
        <w:ind w:firstLine="420"/>
        <w:rPr>
          <w:rStyle w:val="da"/>
          <w:rFonts w:ascii="宋体" w:hAnsi="宋体"/>
          <w:lang w:eastAsia="zh-CN"/>
        </w:rPr>
      </w:pPr>
      <w:r>
        <w:rPr>
          <w:rStyle w:val="da"/>
          <w:rFonts w:ascii="宋体" w:hAnsi="宋体"/>
          <w:highlight w:val="white"/>
          <w:lang w:eastAsia="zh-CN"/>
        </w:rPr>
        <w:t>35</w:t>
      </w:r>
      <w:r>
        <w:rPr>
          <w:rStyle w:val="da"/>
          <w:rFonts w:ascii="宋体" w:eastAsia="宋体" w:hAnsi="宋体" w:cs="宋体"/>
          <w:highlight w:val="white"/>
          <w:lang w:eastAsia="zh-CN"/>
        </w:rPr>
        <w:t>、</w:t>
      </w:r>
      <w:r>
        <w:rPr>
          <w:rStyle w:val="da"/>
          <w:rFonts w:ascii="宋体" w:hAnsi="宋体"/>
          <w:highlight w:val="white"/>
          <w:lang w:eastAsia="zh-CN"/>
        </w:rPr>
        <w:t>T+n</w:t>
      </w:r>
      <w:r>
        <w:rPr>
          <w:rStyle w:val="da"/>
          <w:rFonts w:ascii="宋体" w:eastAsia="宋体" w:hAnsi="宋体" w:cs="宋体"/>
          <w:highlight w:val="white"/>
          <w:lang w:eastAsia="zh-CN"/>
        </w:rPr>
        <w:t>日：指自</w:t>
      </w:r>
      <w:r>
        <w:rPr>
          <w:rStyle w:val="da"/>
          <w:rFonts w:ascii="宋体" w:hAnsi="宋体"/>
          <w:highlight w:val="white"/>
          <w:lang w:eastAsia="zh-CN"/>
        </w:rPr>
        <w:t>T</w:t>
      </w:r>
      <w:r>
        <w:rPr>
          <w:rStyle w:val="da"/>
          <w:rFonts w:ascii="宋体" w:eastAsia="宋体" w:hAnsi="宋体" w:cs="宋体"/>
          <w:highlight w:val="white"/>
          <w:lang w:eastAsia="zh-CN"/>
        </w:rPr>
        <w:t>日起第</w:t>
      </w:r>
      <w:r>
        <w:rPr>
          <w:rStyle w:val="da"/>
          <w:rFonts w:ascii="宋体" w:hAnsi="宋体"/>
          <w:highlight w:val="white"/>
          <w:lang w:eastAsia="zh-CN"/>
        </w:rPr>
        <w:t>n</w:t>
      </w:r>
      <w:r>
        <w:rPr>
          <w:rStyle w:val="da"/>
          <w:rFonts w:ascii="宋体" w:eastAsia="宋体" w:hAnsi="宋体" w:cs="宋体"/>
          <w:highlight w:val="white"/>
          <w:lang w:eastAsia="zh-CN"/>
        </w:rPr>
        <w:t>个工作日（不包含</w:t>
      </w:r>
      <w:r>
        <w:rPr>
          <w:rStyle w:val="da"/>
          <w:rFonts w:ascii="宋体" w:hAnsi="宋体"/>
          <w:highlight w:val="white"/>
          <w:lang w:eastAsia="zh-CN"/>
        </w:rPr>
        <w:t>T</w:t>
      </w:r>
      <w:r>
        <w:rPr>
          <w:rStyle w:val="da"/>
          <w:rFonts w:ascii="宋体" w:eastAsia="宋体" w:hAnsi="宋体" w:cs="宋体"/>
          <w:highlight w:val="white"/>
          <w:lang w:eastAsia="zh-CN"/>
        </w:rPr>
        <w:t>日），</w:t>
      </w:r>
      <w:r>
        <w:rPr>
          <w:rStyle w:val="da"/>
          <w:rFonts w:ascii="宋体" w:hAnsi="宋体"/>
          <w:highlight w:val="white"/>
          <w:lang w:eastAsia="zh-CN"/>
        </w:rPr>
        <w:t>n</w:t>
      </w:r>
      <w:r>
        <w:rPr>
          <w:rStyle w:val="da"/>
          <w:rFonts w:ascii="宋体" w:eastAsia="宋体" w:hAnsi="宋体" w:cs="宋体"/>
          <w:highlight w:val="white"/>
          <w:lang w:eastAsia="zh-CN"/>
        </w:rPr>
        <w:t>为自然数</w:t>
      </w:r>
    </w:p>
    <w:p w:rsidR="00D50D9C" w14:paraId="575A8DFE" w14:textId="77777777">
      <w:pPr>
        <w:spacing w:line="360" w:lineRule="auto"/>
        <w:ind w:firstLine="420"/>
        <w:rPr>
          <w:rStyle w:val="da"/>
          <w:rFonts w:ascii="宋体" w:hAnsi="宋体"/>
          <w:lang w:eastAsia="zh-CN"/>
        </w:rPr>
      </w:pPr>
      <w:r>
        <w:rPr>
          <w:rStyle w:val="da"/>
          <w:rFonts w:ascii="宋体" w:hAnsi="宋体"/>
          <w:highlight w:val="white"/>
          <w:lang w:eastAsia="zh-CN"/>
        </w:rPr>
        <w:t>36</w:t>
      </w:r>
      <w:r>
        <w:rPr>
          <w:rStyle w:val="da"/>
          <w:rFonts w:ascii="宋体" w:eastAsia="宋体" w:hAnsi="宋体" w:cs="宋体"/>
          <w:highlight w:val="white"/>
          <w:lang w:eastAsia="zh-CN"/>
        </w:rPr>
        <w:t>、开放日：指为投资人办理基金份额申购、赎回或其他业务的工作日，若该工作日非港股通交易日，则本基金不开放</w:t>
      </w:r>
    </w:p>
    <w:p w:rsidR="00D50D9C" w14:paraId="480628E2" w14:textId="77777777">
      <w:pPr>
        <w:spacing w:line="360" w:lineRule="auto"/>
        <w:ind w:firstLine="420"/>
        <w:rPr>
          <w:rStyle w:val="da"/>
          <w:rFonts w:ascii="宋体" w:hAnsi="宋体"/>
          <w:lang w:eastAsia="zh-CN"/>
        </w:rPr>
      </w:pPr>
      <w:r>
        <w:rPr>
          <w:rStyle w:val="da"/>
          <w:rFonts w:ascii="宋体" w:hAnsi="宋体"/>
          <w:highlight w:val="white"/>
          <w:lang w:eastAsia="zh-CN"/>
        </w:rPr>
        <w:t>37</w:t>
      </w:r>
      <w:r>
        <w:rPr>
          <w:rStyle w:val="da"/>
          <w:rFonts w:ascii="宋体" w:eastAsia="宋体" w:hAnsi="宋体" w:cs="宋体"/>
          <w:highlight w:val="white"/>
          <w:lang w:eastAsia="zh-CN"/>
        </w:rPr>
        <w:t>、开放时间：指开放日基金接受申购、赎回或其他交易的时间段</w:t>
      </w:r>
    </w:p>
    <w:p w:rsidR="00D50D9C" w14:paraId="2F5B3740" w14:textId="77777777">
      <w:pPr>
        <w:spacing w:line="360" w:lineRule="auto"/>
        <w:ind w:firstLine="420"/>
        <w:rPr>
          <w:rStyle w:val="da"/>
          <w:rFonts w:ascii="宋体" w:hAnsi="宋体"/>
          <w:lang w:eastAsia="zh-CN"/>
        </w:rPr>
      </w:pPr>
      <w:r>
        <w:rPr>
          <w:rStyle w:val="da"/>
          <w:rFonts w:ascii="宋体" w:hAnsi="宋体"/>
          <w:highlight w:val="white"/>
          <w:lang w:eastAsia="zh-CN"/>
        </w:rPr>
        <w:t>38</w:t>
      </w:r>
      <w:r>
        <w:rPr>
          <w:rStyle w:val="da"/>
          <w:rFonts w:ascii="宋体" w:eastAsia="宋体" w:hAnsi="宋体" w:cs="宋体"/>
          <w:highlight w:val="white"/>
          <w:lang w:eastAsia="zh-CN"/>
        </w:rPr>
        <w:t>、《业务规则》：指《易方达基金管理有限公司开放式基金业务规则》，是规范基金管理人所管理的开放式证券投资基金登记方面的业务规则，由基金管理人和投资人共同遵守</w:t>
      </w:r>
    </w:p>
    <w:p w:rsidR="00D50D9C" w14:paraId="59636139" w14:textId="77777777">
      <w:pPr>
        <w:spacing w:line="360" w:lineRule="auto"/>
        <w:ind w:firstLine="420"/>
        <w:rPr>
          <w:rStyle w:val="da"/>
          <w:rFonts w:ascii="宋体" w:hAnsi="宋体"/>
          <w:lang w:eastAsia="zh-CN"/>
        </w:rPr>
      </w:pPr>
      <w:r>
        <w:rPr>
          <w:rStyle w:val="da"/>
          <w:rFonts w:ascii="宋体" w:hAnsi="宋体"/>
          <w:highlight w:val="white"/>
          <w:lang w:eastAsia="zh-CN"/>
        </w:rPr>
        <w:t>39</w:t>
      </w:r>
      <w:r>
        <w:rPr>
          <w:rStyle w:val="da"/>
          <w:rFonts w:ascii="宋体" w:eastAsia="宋体" w:hAnsi="宋体" w:cs="宋体"/>
          <w:highlight w:val="white"/>
          <w:lang w:eastAsia="zh-CN"/>
        </w:rPr>
        <w:t>、认购：指在基金募集期内，投资人根据基金合同和招募说明书的规定申请购买基金份额的行为</w:t>
      </w:r>
    </w:p>
    <w:p w:rsidR="00D50D9C" w14:paraId="5495B2C7" w14:textId="77777777">
      <w:pPr>
        <w:spacing w:line="360" w:lineRule="auto"/>
        <w:ind w:firstLine="420"/>
        <w:rPr>
          <w:rStyle w:val="da"/>
          <w:rFonts w:ascii="宋体" w:hAnsi="宋体"/>
          <w:lang w:eastAsia="zh-CN"/>
        </w:rPr>
      </w:pPr>
      <w:r>
        <w:rPr>
          <w:rStyle w:val="da"/>
          <w:rFonts w:ascii="宋体" w:hAnsi="宋体"/>
          <w:highlight w:val="white"/>
          <w:lang w:eastAsia="zh-CN"/>
        </w:rPr>
        <w:t>40</w:t>
      </w:r>
      <w:r>
        <w:rPr>
          <w:rStyle w:val="da"/>
          <w:rFonts w:ascii="宋体" w:eastAsia="宋体" w:hAnsi="宋体" w:cs="宋体"/>
          <w:highlight w:val="white"/>
          <w:lang w:eastAsia="zh-CN"/>
        </w:rPr>
        <w:t>、申购：指基金合同生效后，投资人根据基金合同和招募说明书的规定申请购买基金份额的行为</w:t>
      </w:r>
    </w:p>
    <w:p w:rsidR="00D50D9C" w14:paraId="0DF86BCA" w14:textId="77777777">
      <w:pPr>
        <w:spacing w:line="360" w:lineRule="auto"/>
        <w:ind w:firstLine="420"/>
        <w:rPr>
          <w:rStyle w:val="da"/>
          <w:rFonts w:ascii="宋体" w:hAnsi="宋体"/>
          <w:lang w:eastAsia="zh-CN"/>
        </w:rPr>
      </w:pPr>
      <w:r>
        <w:rPr>
          <w:rStyle w:val="da"/>
          <w:rFonts w:ascii="宋体" w:hAnsi="宋体"/>
          <w:highlight w:val="white"/>
          <w:lang w:eastAsia="zh-CN"/>
        </w:rPr>
        <w:t>41</w:t>
      </w:r>
      <w:r>
        <w:rPr>
          <w:rStyle w:val="da"/>
          <w:rFonts w:ascii="宋体" w:eastAsia="宋体" w:hAnsi="宋体" w:cs="宋体"/>
          <w:highlight w:val="white"/>
          <w:lang w:eastAsia="zh-CN"/>
        </w:rPr>
        <w:t>、赎回：指基金合同生效后，基金份额持有人按基金合同和招募说明书规定的条件要求将基金份额兑换为现金的行为</w:t>
      </w:r>
    </w:p>
    <w:p w:rsidR="00D50D9C" w14:paraId="0E4BE2A7" w14:textId="77777777">
      <w:pPr>
        <w:spacing w:line="360" w:lineRule="auto"/>
        <w:ind w:firstLine="420"/>
        <w:rPr>
          <w:rStyle w:val="da"/>
          <w:rFonts w:ascii="宋体" w:hAnsi="宋体"/>
          <w:lang w:eastAsia="zh-CN"/>
        </w:rPr>
      </w:pPr>
      <w:r>
        <w:rPr>
          <w:rStyle w:val="da"/>
          <w:rFonts w:ascii="宋体" w:hAnsi="宋体"/>
          <w:highlight w:val="white"/>
          <w:lang w:eastAsia="zh-CN"/>
        </w:rPr>
        <w:t>42</w:t>
      </w:r>
      <w:r>
        <w:rPr>
          <w:rStyle w:val="da"/>
          <w:rFonts w:ascii="宋体" w:eastAsia="宋体" w:hAnsi="宋体" w:cs="宋体"/>
          <w:highlight w:val="white"/>
          <w:lang w:eastAsia="zh-CN"/>
        </w:rPr>
        <w:t>、基金转换：指基金份额持有人按照基金合同和基金管理人届时有效公告规定的条件，申请将其持有基金管理人管理的、某一基金的基金份额转换为基金管理人管理的其他基金基金份额的行为</w:t>
      </w:r>
    </w:p>
    <w:p w:rsidR="00D50D9C" w14:paraId="1042D1F9" w14:textId="77777777">
      <w:pPr>
        <w:spacing w:line="360" w:lineRule="auto"/>
        <w:ind w:firstLine="420"/>
        <w:rPr>
          <w:rStyle w:val="da"/>
          <w:rFonts w:ascii="宋体" w:hAnsi="宋体"/>
          <w:lang w:eastAsia="zh-CN"/>
        </w:rPr>
      </w:pPr>
      <w:r>
        <w:rPr>
          <w:rStyle w:val="da"/>
          <w:rFonts w:ascii="宋体" w:hAnsi="宋体"/>
          <w:highlight w:val="white"/>
          <w:lang w:eastAsia="zh-CN"/>
        </w:rPr>
        <w:t>43</w:t>
      </w:r>
      <w:r>
        <w:rPr>
          <w:rStyle w:val="da"/>
          <w:rFonts w:ascii="宋体" w:eastAsia="宋体" w:hAnsi="宋体" w:cs="宋体"/>
          <w:highlight w:val="white"/>
          <w:lang w:eastAsia="zh-CN"/>
        </w:rPr>
        <w:t>、转托管：指基金份额持有人在本基金的不同销售机构之间实施的变更所持基金份额销售机构的操作</w:t>
      </w:r>
    </w:p>
    <w:p w:rsidR="00D50D9C" w14:paraId="6E7E04DC" w14:textId="77777777">
      <w:pPr>
        <w:spacing w:line="360" w:lineRule="auto"/>
        <w:ind w:firstLine="420"/>
        <w:rPr>
          <w:rStyle w:val="da"/>
          <w:rFonts w:ascii="宋体" w:hAnsi="宋体"/>
          <w:lang w:eastAsia="zh-CN"/>
        </w:rPr>
      </w:pPr>
      <w:r>
        <w:rPr>
          <w:rStyle w:val="da"/>
          <w:rFonts w:ascii="宋体" w:hAnsi="宋体"/>
          <w:highlight w:val="white"/>
          <w:lang w:eastAsia="zh-CN"/>
        </w:rPr>
        <w:t>44</w:t>
      </w:r>
      <w:r>
        <w:rPr>
          <w:rStyle w:val="da"/>
          <w:rFonts w:ascii="宋体" w:eastAsia="宋体" w:hAnsi="宋体" w:cs="宋体"/>
          <w:highlight w:val="white"/>
          <w:lang w:eastAsia="zh-CN"/>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D50D9C" w14:paraId="738D7018" w14:textId="77777777">
      <w:pPr>
        <w:spacing w:line="360" w:lineRule="auto"/>
        <w:ind w:firstLine="420"/>
        <w:rPr>
          <w:rStyle w:val="da"/>
          <w:rFonts w:ascii="宋体" w:hAnsi="宋体"/>
          <w:lang w:eastAsia="zh-CN"/>
        </w:rPr>
      </w:pPr>
      <w:r>
        <w:rPr>
          <w:rStyle w:val="da"/>
          <w:rFonts w:ascii="宋体" w:hAnsi="宋体"/>
          <w:highlight w:val="white"/>
          <w:lang w:eastAsia="zh-CN"/>
        </w:rPr>
        <w:t>45</w:t>
      </w:r>
      <w:r>
        <w:rPr>
          <w:rStyle w:val="da"/>
          <w:rFonts w:ascii="宋体" w:eastAsia="宋体" w:hAnsi="宋体" w:cs="宋体"/>
          <w:highlight w:val="white"/>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w:t>
      </w:r>
      <w:r>
        <w:rPr>
          <w:rStyle w:val="da"/>
          <w:rFonts w:ascii="宋体" w:hAnsi="宋体"/>
          <w:highlight w:val="white"/>
          <w:lang w:eastAsia="zh-CN"/>
        </w:rPr>
        <w:t>10%</w:t>
      </w:r>
    </w:p>
    <w:p w:rsidR="00D50D9C" w14:paraId="14123272" w14:textId="77777777">
      <w:pPr>
        <w:spacing w:line="360" w:lineRule="auto"/>
        <w:ind w:firstLine="420"/>
        <w:rPr>
          <w:rStyle w:val="da"/>
          <w:rFonts w:ascii="宋体" w:hAnsi="宋体"/>
          <w:lang w:eastAsia="zh-CN"/>
        </w:rPr>
      </w:pPr>
      <w:r>
        <w:rPr>
          <w:rStyle w:val="da"/>
          <w:rFonts w:ascii="宋体" w:hAnsi="宋体"/>
          <w:highlight w:val="white"/>
          <w:lang w:eastAsia="zh-CN"/>
        </w:rPr>
        <w:t>46</w:t>
      </w:r>
      <w:r>
        <w:rPr>
          <w:rStyle w:val="da"/>
          <w:rFonts w:ascii="宋体" w:eastAsia="宋体" w:hAnsi="宋体" w:cs="宋体"/>
          <w:highlight w:val="white"/>
          <w:lang w:eastAsia="zh-CN"/>
        </w:rPr>
        <w:t>、元：指人民币元</w:t>
      </w:r>
    </w:p>
    <w:p w:rsidR="00D50D9C" w14:paraId="1925FE48" w14:textId="77777777">
      <w:pPr>
        <w:spacing w:line="360" w:lineRule="auto"/>
        <w:ind w:firstLine="420"/>
        <w:rPr>
          <w:rStyle w:val="da"/>
          <w:rFonts w:ascii="宋体" w:hAnsi="宋体"/>
          <w:lang w:eastAsia="zh-CN"/>
        </w:rPr>
      </w:pPr>
      <w:r>
        <w:rPr>
          <w:rStyle w:val="da"/>
          <w:rFonts w:ascii="宋体" w:hAnsi="宋体"/>
          <w:highlight w:val="white"/>
          <w:lang w:eastAsia="zh-CN"/>
        </w:rPr>
        <w:t>47</w:t>
      </w:r>
      <w:r>
        <w:rPr>
          <w:rStyle w:val="da"/>
          <w:rFonts w:ascii="宋体" w:eastAsia="宋体" w:hAnsi="宋体" w:cs="宋体"/>
          <w:highlight w:val="white"/>
          <w:lang w:eastAsia="zh-CN"/>
        </w:rPr>
        <w:t>、基金收益：指基金投资所得红利、股息、债券利息、买卖证券价差、银行存款利息、已实现的其他合法收入及因运用基金财产带来的成本和费用的节约</w:t>
      </w:r>
    </w:p>
    <w:p w:rsidR="00D50D9C" w14:paraId="6198D2D7" w14:textId="77777777">
      <w:pPr>
        <w:spacing w:line="360" w:lineRule="auto"/>
        <w:ind w:firstLine="420"/>
        <w:rPr>
          <w:rStyle w:val="da"/>
          <w:rFonts w:ascii="宋体" w:hAnsi="宋体"/>
          <w:lang w:eastAsia="zh-CN"/>
        </w:rPr>
      </w:pPr>
      <w:r>
        <w:rPr>
          <w:rStyle w:val="da"/>
          <w:rFonts w:ascii="宋体" w:hAnsi="宋体"/>
          <w:highlight w:val="white"/>
          <w:lang w:eastAsia="zh-CN"/>
        </w:rPr>
        <w:t>48</w:t>
      </w:r>
      <w:r>
        <w:rPr>
          <w:rStyle w:val="da"/>
          <w:rFonts w:ascii="宋体" w:eastAsia="宋体" w:hAnsi="宋体" w:cs="宋体"/>
          <w:highlight w:val="white"/>
          <w:lang w:eastAsia="zh-CN"/>
        </w:rPr>
        <w:t>、基金资产总值：指基金拥有的各类有价证券、银行存款本息、基金应收申购款及其他资产的价值总和</w:t>
      </w:r>
    </w:p>
    <w:p w:rsidR="00D50D9C" w14:paraId="3EDD7545" w14:textId="77777777">
      <w:pPr>
        <w:spacing w:line="360" w:lineRule="auto"/>
        <w:ind w:firstLine="420"/>
        <w:rPr>
          <w:rStyle w:val="da"/>
          <w:rFonts w:ascii="宋体" w:hAnsi="宋体"/>
          <w:lang w:eastAsia="zh-CN"/>
        </w:rPr>
      </w:pPr>
      <w:r>
        <w:rPr>
          <w:rStyle w:val="da"/>
          <w:rFonts w:ascii="宋体" w:hAnsi="宋体"/>
          <w:highlight w:val="white"/>
          <w:lang w:eastAsia="zh-CN"/>
        </w:rPr>
        <w:t>49</w:t>
      </w:r>
      <w:r>
        <w:rPr>
          <w:rStyle w:val="da"/>
          <w:rFonts w:ascii="宋体" w:eastAsia="宋体" w:hAnsi="宋体" w:cs="宋体"/>
          <w:highlight w:val="white"/>
          <w:lang w:eastAsia="zh-CN"/>
        </w:rPr>
        <w:t>、基金资产净值：指基金资产总值减去基金负债后的价值</w:t>
      </w:r>
    </w:p>
    <w:p w:rsidR="00D50D9C" w14:paraId="50E8B8E0" w14:textId="77777777">
      <w:pPr>
        <w:spacing w:line="360" w:lineRule="auto"/>
        <w:ind w:firstLine="420"/>
        <w:rPr>
          <w:rStyle w:val="da"/>
          <w:rFonts w:ascii="宋体" w:hAnsi="宋体"/>
          <w:lang w:eastAsia="zh-CN"/>
        </w:rPr>
      </w:pPr>
      <w:r>
        <w:rPr>
          <w:rStyle w:val="da"/>
          <w:rFonts w:ascii="宋体" w:hAnsi="宋体"/>
          <w:highlight w:val="white"/>
          <w:lang w:eastAsia="zh-CN"/>
        </w:rPr>
        <w:t>50</w:t>
      </w:r>
      <w:r>
        <w:rPr>
          <w:rStyle w:val="da"/>
          <w:rFonts w:ascii="宋体" w:eastAsia="宋体" w:hAnsi="宋体" w:cs="宋体"/>
          <w:highlight w:val="white"/>
          <w:lang w:eastAsia="zh-CN"/>
        </w:rPr>
        <w:t>、基金份额净值：指计算日基金资产净值除以计算日基金份额总数</w:t>
      </w:r>
    </w:p>
    <w:p w:rsidR="00D50D9C" w14:paraId="0B0936EE" w14:textId="77777777">
      <w:pPr>
        <w:spacing w:line="360" w:lineRule="auto"/>
        <w:ind w:firstLine="420"/>
        <w:rPr>
          <w:rStyle w:val="da"/>
          <w:rFonts w:ascii="宋体" w:hAnsi="宋体"/>
          <w:lang w:eastAsia="zh-CN"/>
        </w:rPr>
      </w:pPr>
      <w:r>
        <w:rPr>
          <w:rStyle w:val="da"/>
          <w:rFonts w:ascii="宋体" w:hAnsi="宋体"/>
          <w:highlight w:val="white"/>
          <w:lang w:eastAsia="zh-CN"/>
        </w:rPr>
        <w:t>51</w:t>
      </w:r>
      <w:r>
        <w:rPr>
          <w:rStyle w:val="da"/>
          <w:rFonts w:ascii="宋体" w:eastAsia="宋体" w:hAnsi="宋体" w:cs="宋体"/>
          <w:highlight w:val="white"/>
          <w:lang w:eastAsia="zh-CN"/>
        </w:rPr>
        <w:t>、基金资产估值：指计算评估基金资产和负债的价值，以确定基金资产净值和基金份额净值的过程</w:t>
      </w:r>
    </w:p>
    <w:p w:rsidR="00D50D9C" w14:paraId="7B8CFBDC" w14:textId="77777777">
      <w:pPr>
        <w:spacing w:line="360" w:lineRule="auto"/>
        <w:ind w:firstLine="420"/>
        <w:rPr>
          <w:rStyle w:val="da"/>
          <w:rFonts w:ascii="宋体" w:hAnsi="宋体"/>
          <w:lang w:eastAsia="zh-CN"/>
        </w:rPr>
      </w:pPr>
      <w:r>
        <w:rPr>
          <w:rStyle w:val="da"/>
          <w:rFonts w:ascii="宋体" w:hAnsi="宋体"/>
          <w:highlight w:val="white"/>
          <w:lang w:eastAsia="zh-CN"/>
        </w:rPr>
        <w:t>52</w:t>
      </w:r>
      <w:r>
        <w:rPr>
          <w:rStyle w:val="da"/>
          <w:rFonts w:ascii="宋体" w:eastAsia="宋体" w:hAnsi="宋体" w:cs="宋体"/>
          <w:highlight w:val="white"/>
          <w:lang w:eastAsia="zh-CN"/>
        </w:rPr>
        <w:t>、基金份额折算：指基金管理人根据基金运作的需要，在基金资产净值不变的前提下，按照一定比例调整基金份额总额及基金份额净值</w:t>
      </w:r>
    </w:p>
    <w:p w:rsidR="00D50D9C" w14:paraId="2750227F" w14:textId="77777777">
      <w:pPr>
        <w:spacing w:line="360" w:lineRule="auto"/>
        <w:ind w:firstLine="420"/>
        <w:rPr>
          <w:rStyle w:val="da"/>
          <w:rFonts w:ascii="宋体" w:hAnsi="宋体"/>
          <w:lang w:eastAsia="zh-CN"/>
        </w:rPr>
      </w:pPr>
      <w:r>
        <w:rPr>
          <w:rStyle w:val="da"/>
          <w:rFonts w:ascii="宋体" w:hAnsi="宋体"/>
          <w:highlight w:val="white"/>
          <w:lang w:eastAsia="zh-CN"/>
        </w:rPr>
        <w:t>53</w:t>
      </w:r>
      <w:r>
        <w:rPr>
          <w:rStyle w:val="da"/>
          <w:rFonts w:ascii="宋体" w:eastAsia="宋体" w:hAnsi="宋体" w:cs="宋体"/>
          <w:highlight w:val="white"/>
          <w:lang w:eastAsia="zh-CN"/>
        </w:rPr>
        <w:t>、规定媒介：指符合中国证监会规定条件的全国性报刊（以下简称规定报刊）及《信息披露办法》规定的互联网网站（以下简称规定网站，包括基金管理人网站、基金托管人网站、中国证监会基金电子披露网站）等媒介</w:t>
      </w:r>
    </w:p>
    <w:p w:rsidR="00D50D9C" w14:paraId="484836F5" w14:textId="77777777">
      <w:pPr>
        <w:spacing w:line="360" w:lineRule="auto"/>
        <w:ind w:firstLine="420"/>
        <w:rPr>
          <w:rStyle w:val="da"/>
          <w:rFonts w:ascii="宋体" w:hAnsi="宋体"/>
          <w:lang w:eastAsia="zh-CN"/>
        </w:rPr>
      </w:pPr>
      <w:r>
        <w:rPr>
          <w:rStyle w:val="da"/>
          <w:rFonts w:ascii="宋体" w:hAnsi="宋体"/>
          <w:highlight w:val="white"/>
          <w:lang w:eastAsia="zh-CN"/>
        </w:rPr>
        <w:t>54</w:t>
      </w:r>
      <w:r>
        <w:rPr>
          <w:rStyle w:val="da"/>
          <w:rFonts w:ascii="宋体" w:eastAsia="宋体" w:hAnsi="宋体" w:cs="宋体"/>
          <w:highlight w:val="white"/>
          <w:lang w:eastAsia="zh-CN"/>
        </w:rPr>
        <w:t>、销售服务费：指从基金财产中计提的，用于本基金市场推广、销售以及基金份额持有人服务的费用</w:t>
      </w:r>
    </w:p>
    <w:p w:rsidR="00D50D9C" w14:paraId="15712029" w14:textId="77777777">
      <w:pPr>
        <w:spacing w:line="360" w:lineRule="auto"/>
        <w:ind w:firstLine="420"/>
        <w:rPr>
          <w:rStyle w:val="da"/>
          <w:rFonts w:ascii="宋体" w:hAnsi="宋体"/>
          <w:lang w:eastAsia="zh-CN"/>
        </w:rPr>
      </w:pPr>
      <w:r>
        <w:rPr>
          <w:rStyle w:val="da"/>
          <w:rFonts w:ascii="宋体" w:hAnsi="宋体"/>
          <w:highlight w:val="white"/>
          <w:lang w:eastAsia="zh-CN"/>
        </w:rPr>
        <w:t>55</w:t>
      </w:r>
      <w:r>
        <w:rPr>
          <w:rStyle w:val="da"/>
          <w:rFonts w:ascii="宋体" w:eastAsia="宋体" w:hAnsi="宋体" w:cs="宋体"/>
          <w:highlight w:val="white"/>
          <w:lang w:eastAsia="zh-CN"/>
        </w:rPr>
        <w:t>、</w:t>
      </w:r>
      <w:r>
        <w:rPr>
          <w:rStyle w:val="da"/>
          <w:rFonts w:ascii="宋体" w:hAnsi="宋体"/>
          <w:highlight w:val="white"/>
          <w:lang w:eastAsia="zh-CN"/>
        </w:rPr>
        <w:t>A</w:t>
      </w:r>
      <w:r>
        <w:rPr>
          <w:rStyle w:val="da"/>
          <w:rFonts w:ascii="宋体" w:eastAsia="宋体" w:hAnsi="宋体" w:cs="宋体"/>
          <w:highlight w:val="white"/>
          <w:lang w:eastAsia="zh-CN"/>
        </w:rPr>
        <w:t>类基金份额：在投资人认购</w:t>
      </w:r>
      <w:r>
        <w:rPr>
          <w:rStyle w:val="da"/>
          <w:rFonts w:ascii="宋体" w:hAnsi="宋体"/>
          <w:highlight w:val="white"/>
          <w:lang w:eastAsia="zh-CN"/>
        </w:rPr>
        <w:t>/</w:t>
      </w:r>
      <w:r>
        <w:rPr>
          <w:rStyle w:val="da"/>
          <w:rFonts w:ascii="宋体" w:eastAsia="宋体" w:hAnsi="宋体" w:cs="宋体"/>
          <w:highlight w:val="white"/>
          <w:lang w:eastAsia="zh-CN"/>
        </w:rPr>
        <w:t>申购基金时</w:t>
      </w:r>
      <w:r w:rsidRPr="00282915" w:rsidR="00282915">
        <w:rPr>
          <w:rStyle w:val="da"/>
          <w:rFonts w:ascii="宋体" w:eastAsia="宋体" w:hAnsi="宋体" w:cs="宋体" w:hint="eastAsia"/>
          <w:lang w:eastAsia="zh-CN"/>
        </w:rPr>
        <w:t>按规定</w:t>
      </w:r>
      <w:r>
        <w:rPr>
          <w:rStyle w:val="da"/>
          <w:rFonts w:ascii="宋体" w:eastAsia="宋体" w:hAnsi="宋体" w:cs="宋体"/>
          <w:highlight w:val="white"/>
          <w:lang w:eastAsia="zh-CN"/>
        </w:rPr>
        <w:t>收取认购</w:t>
      </w:r>
      <w:r>
        <w:rPr>
          <w:rStyle w:val="da"/>
          <w:rFonts w:ascii="宋体" w:hAnsi="宋体"/>
          <w:highlight w:val="white"/>
          <w:lang w:eastAsia="zh-CN"/>
        </w:rPr>
        <w:t>/</w:t>
      </w:r>
      <w:r>
        <w:rPr>
          <w:rStyle w:val="da"/>
          <w:rFonts w:ascii="宋体" w:eastAsia="宋体" w:hAnsi="宋体" w:cs="宋体"/>
          <w:highlight w:val="white"/>
          <w:lang w:eastAsia="zh-CN"/>
        </w:rPr>
        <w:t>申购费用，并不再从本类别基金资产中计提销售服务费的基金份额，称为</w:t>
      </w:r>
      <w:r>
        <w:rPr>
          <w:rStyle w:val="da"/>
          <w:rFonts w:ascii="宋体" w:hAnsi="宋体"/>
          <w:highlight w:val="white"/>
          <w:lang w:eastAsia="zh-CN"/>
        </w:rPr>
        <w:t>A</w:t>
      </w:r>
      <w:r>
        <w:rPr>
          <w:rStyle w:val="da"/>
          <w:rFonts w:ascii="宋体" w:eastAsia="宋体" w:hAnsi="宋体" w:cs="宋体"/>
          <w:highlight w:val="white"/>
          <w:lang w:eastAsia="zh-CN"/>
        </w:rPr>
        <w:t>类基金份额</w:t>
      </w:r>
    </w:p>
    <w:p w:rsidR="00D50D9C" w14:paraId="2FEB7F7D" w14:textId="77777777">
      <w:pPr>
        <w:spacing w:line="360" w:lineRule="auto"/>
        <w:ind w:firstLine="420"/>
        <w:rPr>
          <w:rStyle w:val="da"/>
          <w:rFonts w:ascii="宋体" w:hAnsi="宋体"/>
          <w:lang w:eastAsia="zh-CN"/>
        </w:rPr>
      </w:pPr>
      <w:r>
        <w:rPr>
          <w:rStyle w:val="da"/>
          <w:rFonts w:ascii="宋体" w:hAnsi="宋体"/>
          <w:highlight w:val="white"/>
          <w:lang w:eastAsia="zh-CN"/>
        </w:rPr>
        <w:t>56</w:t>
      </w:r>
      <w:r>
        <w:rPr>
          <w:rStyle w:val="da"/>
          <w:rFonts w:ascii="宋体" w:eastAsia="宋体" w:hAnsi="宋体" w:cs="宋体"/>
          <w:highlight w:val="white"/>
          <w:lang w:eastAsia="zh-CN"/>
        </w:rPr>
        <w:t>、</w:t>
      </w:r>
      <w:r>
        <w:rPr>
          <w:rStyle w:val="da"/>
          <w:rFonts w:ascii="宋体" w:hAnsi="宋体"/>
          <w:highlight w:val="white"/>
          <w:lang w:eastAsia="zh-CN"/>
        </w:rPr>
        <w:t>C</w:t>
      </w:r>
      <w:r>
        <w:rPr>
          <w:rStyle w:val="da"/>
          <w:rFonts w:ascii="宋体" w:eastAsia="宋体" w:hAnsi="宋体" w:cs="宋体"/>
          <w:highlight w:val="white"/>
          <w:lang w:eastAsia="zh-CN"/>
        </w:rPr>
        <w:t>类基金份额：从本类别基金资产中计提销售服务费</w:t>
      </w:r>
      <w:r w:rsidRPr="00282915" w:rsidR="00282915">
        <w:rPr>
          <w:rStyle w:val="da"/>
          <w:rFonts w:ascii="宋体" w:eastAsia="宋体" w:hAnsi="宋体" w:cs="宋体" w:hint="eastAsia"/>
          <w:lang w:eastAsia="zh-CN"/>
        </w:rPr>
        <w:t>并按规定收取或返还</w:t>
      </w:r>
      <w:r>
        <w:rPr>
          <w:rStyle w:val="da"/>
          <w:rFonts w:ascii="宋体" w:eastAsia="宋体" w:hAnsi="宋体" w:cs="宋体"/>
          <w:highlight w:val="white"/>
          <w:lang w:eastAsia="zh-CN"/>
        </w:rPr>
        <w:t>，</w:t>
      </w:r>
      <w:r>
        <w:rPr>
          <w:rStyle w:val="da"/>
          <w:rFonts w:ascii="宋体" w:eastAsia="宋体" w:hAnsi="宋体" w:cs="宋体"/>
          <w:highlight w:val="white"/>
          <w:lang w:eastAsia="zh-CN"/>
        </w:rPr>
        <w:t>不收取认购</w:t>
      </w:r>
      <w:r>
        <w:rPr>
          <w:rStyle w:val="da"/>
          <w:rFonts w:ascii="宋体" w:hAnsi="宋体"/>
          <w:highlight w:val="white"/>
          <w:lang w:eastAsia="zh-CN"/>
        </w:rPr>
        <w:t>/</w:t>
      </w:r>
      <w:r>
        <w:rPr>
          <w:rStyle w:val="da"/>
          <w:rFonts w:ascii="宋体" w:eastAsia="宋体" w:hAnsi="宋体" w:cs="宋体"/>
          <w:highlight w:val="white"/>
          <w:lang w:eastAsia="zh-CN"/>
        </w:rPr>
        <w:t>申购费用的基金份额，称为</w:t>
      </w:r>
      <w:r>
        <w:rPr>
          <w:rStyle w:val="da"/>
          <w:rFonts w:ascii="宋体" w:hAnsi="宋体"/>
          <w:highlight w:val="white"/>
          <w:lang w:eastAsia="zh-CN"/>
        </w:rPr>
        <w:t>C</w:t>
      </w:r>
      <w:r>
        <w:rPr>
          <w:rStyle w:val="da"/>
          <w:rFonts w:ascii="宋体" w:eastAsia="宋体" w:hAnsi="宋体" w:cs="宋体"/>
          <w:highlight w:val="white"/>
          <w:lang w:eastAsia="zh-CN"/>
        </w:rPr>
        <w:t>类基金份额</w:t>
      </w:r>
    </w:p>
    <w:p w:rsidR="00D50D9C" w14:paraId="7886B9E5" w14:textId="77777777">
      <w:pPr>
        <w:spacing w:line="360" w:lineRule="auto"/>
        <w:ind w:firstLine="420"/>
        <w:rPr>
          <w:rStyle w:val="da"/>
          <w:rFonts w:ascii="宋体" w:hAnsi="宋体"/>
          <w:lang w:eastAsia="zh-CN"/>
        </w:rPr>
      </w:pPr>
      <w:r>
        <w:rPr>
          <w:rStyle w:val="da"/>
          <w:rFonts w:ascii="宋体" w:hAnsi="宋体"/>
          <w:highlight w:val="white"/>
          <w:lang w:eastAsia="zh-CN"/>
        </w:rPr>
        <w:t>57</w:t>
      </w:r>
      <w:r>
        <w:rPr>
          <w:rStyle w:val="da"/>
          <w:rFonts w:ascii="宋体" w:eastAsia="宋体" w:hAnsi="宋体" w:cs="宋体"/>
          <w:highlight w:val="white"/>
          <w:lang w:eastAsia="zh-CN"/>
        </w:rPr>
        <w:t>、流动性受限资产：指由于法律法规、监管、合同或操作障碍等原因无法以合理价格予以变现的资产，包括但不限于到期日在</w:t>
      </w:r>
      <w:r>
        <w:rPr>
          <w:rStyle w:val="da"/>
          <w:rFonts w:ascii="宋体" w:hAnsi="宋体"/>
          <w:highlight w:val="white"/>
          <w:lang w:eastAsia="zh-CN"/>
        </w:rPr>
        <w:t>10</w:t>
      </w:r>
      <w:r>
        <w:rPr>
          <w:rStyle w:val="da"/>
          <w:rFonts w:ascii="宋体" w:eastAsia="宋体" w:hAnsi="宋体" w:cs="宋体"/>
          <w:highlight w:val="white"/>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rsidR="00D50D9C" w14:paraId="63967E13" w14:textId="77777777">
      <w:pPr>
        <w:spacing w:line="360" w:lineRule="auto"/>
        <w:ind w:firstLine="420"/>
        <w:rPr>
          <w:rStyle w:val="da"/>
          <w:rFonts w:ascii="宋体" w:hAnsi="宋体"/>
          <w:lang w:eastAsia="zh-CN"/>
        </w:rPr>
      </w:pPr>
      <w:r>
        <w:rPr>
          <w:rStyle w:val="da"/>
          <w:rFonts w:ascii="宋体" w:hAnsi="宋体"/>
          <w:highlight w:val="white"/>
          <w:lang w:eastAsia="zh-CN"/>
        </w:rPr>
        <w:t>58</w:t>
      </w:r>
      <w:r>
        <w:rPr>
          <w:rStyle w:val="da"/>
          <w:rFonts w:ascii="宋体" w:eastAsia="宋体" w:hAnsi="宋体" w:cs="宋体"/>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D50D9C" w14:paraId="1F6F90B9" w14:textId="77777777">
      <w:pPr>
        <w:spacing w:line="360" w:lineRule="auto"/>
        <w:ind w:firstLine="420"/>
        <w:rPr>
          <w:rStyle w:val="da"/>
          <w:rFonts w:ascii="宋体" w:hAnsi="宋体"/>
          <w:lang w:eastAsia="zh-CN"/>
        </w:rPr>
      </w:pPr>
      <w:r>
        <w:rPr>
          <w:rStyle w:val="da"/>
          <w:rFonts w:ascii="宋体" w:hAnsi="宋体"/>
          <w:highlight w:val="white"/>
          <w:lang w:eastAsia="zh-CN"/>
        </w:rPr>
        <w:t>59</w:t>
      </w:r>
      <w:r>
        <w:rPr>
          <w:rStyle w:val="da"/>
          <w:rFonts w:ascii="宋体" w:eastAsia="宋体" w:hAnsi="宋体" w:cs="宋体"/>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D50D9C" w14:paraId="160FB950" w14:textId="77777777">
      <w:pPr>
        <w:spacing w:line="360" w:lineRule="auto"/>
        <w:ind w:firstLine="420"/>
        <w:rPr>
          <w:rStyle w:val="da"/>
          <w:rFonts w:ascii="宋体" w:hAnsi="宋体"/>
          <w:lang w:eastAsia="zh-CN"/>
        </w:rPr>
      </w:pPr>
      <w:r>
        <w:rPr>
          <w:rStyle w:val="da"/>
          <w:rFonts w:ascii="宋体" w:hAnsi="宋体"/>
          <w:highlight w:val="white"/>
          <w:lang w:eastAsia="zh-CN"/>
        </w:rPr>
        <w:t>60</w:t>
      </w:r>
      <w:r>
        <w:rPr>
          <w:rStyle w:val="da"/>
          <w:rFonts w:ascii="宋体" w:eastAsia="宋体" w:hAnsi="宋体" w:cs="宋体"/>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D50D9C" w14:paraId="7444FD10" w14:textId="77777777">
      <w:pPr>
        <w:spacing w:line="360" w:lineRule="auto"/>
        <w:ind w:firstLine="420"/>
        <w:rPr>
          <w:rStyle w:val="da"/>
          <w:rFonts w:ascii="宋体" w:hAnsi="宋体"/>
          <w:lang w:eastAsia="zh-CN"/>
        </w:rPr>
      </w:pPr>
      <w:r>
        <w:rPr>
          <w:rStyle w:val="da"/>
          <w:rFonts w:ascii="宋体" w:hAnsi="宋体"/>
          <w:highlight w:val="white"/>
          <w:lang w:eastAsia="zh-CN"/>
        </w:rPr>
        <w:t>61</w:t>
      </w:r>
      <w:r>
        <w:rPr>
          <w:rStyle w:val="da"/>
          <w:rFonts w:ascii="宋体" w:eastAsia="宋体" w:hAnsi="宋体" w:cs="宋体"/>
          <w:highlight w:val="white"/>
          <w:lang w:eastAsia="zh-CN"/>
        </w:rPr>
        <w:t>、不可抗力：指基金合同当事人不能预见、不能避免且不能克服的客观事件</w:t>
      </w:r>
    </w:p>
    <w:p w:rsidR="00D50D9C" w14:paraId="15AD4833" w14:textId="77777777">
      <w:pPr>
        <w:spacing w:line="360" w:lineRule="auto"/>
        <w:ind w:firstLine="420"/>
        <w:rPr>
          <w:rFonts w:ascii="宋体" w:hAnsi="宋体"/>
          <w:lang w:eastAsia="zh-CN"/>
        </w:rPr>
      </w:pPr>
      <w:r>
        <w:rPr>
          <w:rStyle w:val="da"/>
          <w:rFonts w:ascii="宋体" w:hAnsi="宋体"/>
          <w:highlight w:val="white"/>
          <w:lang w:eastAsia="zh-CN"/>
        </w:rPr>
        <w:t>62</w:t>
      </w:r>
      <w:r>
        <w:rPr>
          <w:rStyle w:val="da"/>
          <w:rFonts w:ascii="宋体" w:eastAsia="宋体" w:hAnsi="宋体" w:cs="宋体"/>
          <w:highlight w:val="white"/>
          <w:lang w:eastAsia="zh-CN"/>
        </w:rPr>
        <w:t>、直销机构：指易方达基金管理有限公司</w:t>
      </w:r>
    </w:p>
    <w:p w:rsidR="00D50D9C" w14:paraId="33B789E5" w14:textId="77777777">
      <w:pPr>
        <w:spacing w:line="360" w:lineRule="auto"/>
        <w:ind w:firstLine="420"/>
        <w:rPr>
          <w:rFonts w:ascii="宋体" w:hAnsi="宋体"/>
          <w:lang w:eastAsia="zh-CN"/>
        </w:rPr>
      </w:pPr>
      <w:r>
        <w:rPr>
          <w:rStyle w:val="da"/>
          <w:rFonts w:ascii="宋体" w:hAnsi="宋体"/>
          <w:highlight w:val="white"/>
          <w:lang w:eastAsia="zh-CN"/>
        </w:rPr>
        <w:t>63</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D50D9C" w14:paraId="2331E6F7" w14:textId="77777777">
      <w:pPr>
        <w:spacing w:line="360" w:lineRule="auto"/>
        <w:ind w:firstLine="420"/>
        <w:rPr>
          <w:rStyle w:val="da"/>
          <w:rFonts w:ascii="宋体" w:hAnsi="宋体"/>
          <w:lang w:eastAsia="zh-CN"/>
        </w:rPr>
      </w:pPr>
    </w:p>
    <w:p w:rsidR="00D50D9C" w14:paraId="4C76643A" w14:textId="77777777">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4" w:name="_Toc332373446"/>
      <w:bookmarkStart w:id="5" w:name="_Toc73030161"/>
      <w:r>
        <w:rPr>
          <w:rFonts w:ascii="宋体" w:eastAsia="宋体" w:hAnsi="宋体" w:hint="eastAsia"/>
          <w:sz w:val="32"/>
          <w:highlight w:val="white"/>
          <w:lang w:eastAsia="zh-CN"/>
        </w:rPr>
        <w:t>第三部分 基金管理人</w:t>
      </w:r>
      <w:bookmarkEnd w:id="4"/>
      <w:bookmarkEnd w:id="5"/>
    </w:p>
    <w:p w:rsidR="00D50D9C" w14:paraId="74EFDE62" w14:textId="77777777">
      <w:pPr>
        <w:spacing w:line="360" w:lineRule="auto"/>
        <w:ind w:firstLine="420"/>
        <w:rPr>
          <w:rFonts w:ascii="宋体" w:hAnsi="宋体"/>
          <w:bCs/>
          <w:szCs w:val="21"/>
          <w:lang w:eastAsia="zh-CN"/>
        </w:rPr>
      </w:pPr>
      <w:bookmarkStart w:id="6" w:name="_Toc332373447"/>
      <w:r>
        <w:rPr>
          <w:rFonts w:ascii="宋体" w:eastAsia="宋体" w:hAnsi="宋体" w:cs="宋体" w:hint="eastAsia"/>
          <w:bCs/>
          <w:szCs w:val="21"/>
          <w:highlight w:val="white"/>
          <w:lang w:eastAsia="zh-CN"/>
        </w:rPr>
        <w:t>一、基金管理人基本情况</w:t>
      </w:r>
      <w:bookmarkEnd w:id="6"/>
    </w:p>
    <w:p w:rsidR="00D50D9C" w14:paraId="31334339" w14:textId="77777777">
      <w:pPr>
        <w:spacing w:line="360" w:lineRule="auto"/>
        <w:ind w:firstLine="420"/>
        <w:rPr>
          <w:rFonts w:ascii="宋体" w:hAnsi="宋体"/>
          <w:bCs/>
          <w:szCs w:val="21"/>
          <w:lang w:eastAsia="zh-CN"/>
        </w:rPr>
      </w:pPr>
      <w:r>
        <w:rPr>
          <w:rFonts w:ascii="宋体" w:hAnsi="宋体"/>
          <w:bCs/>
          <w:szCs w:val="21"/>
          <w:lang w:eastAsia="zh-CN"/>
        </w:rPr>
        <w:t>1、</w:t>
      </w:r>
      <w:r>
        <w:rPr>
          <w:rFonts w:ascii="宋体" w:eastAsia="宋体" w:hAnsi="宋体" w:cs="宋体"/>
          <w:bCs/>
          <w:szCs w:val="21"/>
          <w:lang w:eastAsia="zh-CN"/>
        </w:rPr>
        <w:t>基金管理人：易方达基金管理有限公司</w:t>
      </w:r>
    </w:p>
    <w:p w:rsidR="00D50D9C" w14:paraId="16A6B1A9" w14:textId="77777777">
      <w:pPr>
        <w:spacing w:line="360" w:lineRule="auto"/>
        <w:ind w:firstLine="420"/>
        <w:rPr>
          <w:rFonts w:ascii="宋体" w:hAnsi="宋体"/>
          <w:bCs/>
          <w:szCs w:val="21"/>
          <w:lang w:eastAsia="zh-CN"/>
        </w:rPr>
      </w:pPr>
      <w:r>
        <w:rPr>
          <w:rFonts w:ascii="宋体" w:eastAsia="宋体" w:hAnsi="宋体" w:cs="宋体"/>
          <w:bCs/>
          <w:szCs w:val="21"/>
          <w:lang w:eastAsia="zh-CN"/>
        </w:rPr>
        <w:t>注册地址：广东省珠海市横琴新区荣粤道</w:t>
      </w:r>
      <w:r>
        <w:rPr>
          <w:rFonts w:ascii="宋体" w:hAnsi="宋体"/>
          <w:bCs/>
          <w:szCs w:val="21"/>
          <w:lang w:eastAsia="zh-CN"/>
        </w:rPr>
        <w:t>188</w:t>
      </w:r>
      <w:r>
        <w:rPr>
          <w:rFonts w:ascii="宋体" w:eastAsia="宋体" w:hAnsi="宋体" w:cs="宋体"/>
          <w:bCs/>
          <w:szCs w:val="21"/>
          <w:lang w:eastAsia="zh-CN"/>
        </w:rPr>
        <w:t>号</w:t>
      </w:r>
      <w:r>
        <w:rPr>
          <w:rFonts w:ascii="宋体" w:hAnsi="宋体"/>
          <w:bCs/>
          <w:szCs w:val="21"/>
          <w:lang w:eastAsia="zh-CN"/>
        </w:rPr>
        <w:t>6</w:t>
      </w:r>
      <w:r>
        <w:rPr>
          <w:rFonts w:ascii="宋体" w:eastAsia="宋体" w:hAnsi="宋体" w:cs="宋体"/>
          <w:bCs/>
          <w:szCs w:val="21"/>
          <w:lang w:eastAsia="zh-CN"/>
        </w:rPr>
        <w:t>层</w:t>
      </w:r>
    </w:p>
    <w:p w:rsidR="00D50D9C" w14:paraId="13FA4C9B" w14:textId="77777777">
      <w:pPr>
        <w:spacing w:line="360" w:lineRule="auto"/>
        <w:ind w:firstLine="420"/>
        <w:rPr>
          <w:rFonts w:ascii="宋体" w:hAnsi="宋体"/>
          <w:bCs/>
          <w:szCs w:val="21"/>
          <w:lang w:eastAsia="zh-CN"/>
        </w:rPr>
      </w:pPr>
      <w:r>
        <w:rPr>
          <w:rFonts w:ascii="宋体" w:eastAsia="宋体" w:hAnsi="宋体" w:cs="宋体"/>
          <w:bCs/>
          <w:szCs w:val="21"/>
          <w:lang w:eastAsia="zh-CN"/>
        </w:rPr>
        <w:t>办公地址：</w:t>
      </w:r>
      <w:r w:rsidR="00282915">
        <w:rPr>
          <w:rFonts w:ascii="宋体" w:eastAsia="宋体" w:hAnsi="宋体" w:cs="宋体" w:hint="eastAsia"/>
          <w:bCs/>
          <w:szCs w:val="21"/>
          <w:lang w:eastAsia="zh-CN"/>
        </w:rPr>
        <w:t>广东省广州市天河区珠江西路</w:t>
      </w:r>
      <w:r w:rsidR="00282915">
        <w:rPr>
          <w:rFonts w:ascii="宋体" w:eastAsia="宋体" w:hAnsi="宋体" w:cs="宋体"/>
          <w:bCs/>
          <w:szCs w:val="21"/>
          <w:lang w:eastAsia="zh-CN"/>
        </w:rPr>
        <w:t>21</w:t>
      </w:r>
      <w:r w:rsidR="00282915">
        <w:rPr>
          <w:rFonts w:ascii="宋体" w:eastAsia="宋体" w:hAnsi="宋体" w:cs="宋体" w:hint="eastAsia"/>
          <w:bCs/>
          <w:szCs w:val="21"/>
          <w:lang w:eastAsia="zh-CN"/>
        </w:rPr>
        <w:t>号</w:t>
      </w:r>
      <w:r w:rsidR="00282915">
        <w:rPr>
          <w:rFonts w:ascii="宋体" w:eastAsia="宋体" w:hAnsi="宋体" w:cs="宋体"/>
          <w:bCs/>
          <w:szCs w:val="21"/>
          <w:lang w:eastAsia="zh-CN"/>
        </w:rPr>
        <w:t>52</w:t>
      </w:r>
      <w:r w:rsidR="00282915">
        <w:rPr>
          <w:rFonts w:ascii="宋体" w:eastAsia="宋体" w:hAnsi="宋体" w:cs="宋体" w:hint="eastAsia"/>
          <w:bCs/>
          <w:szCs w:val="21"/>
          <w:lang w:eastAsia="zh-CN"/>
        </w:rPr>
        <w:t>层；广东省广州市天河区珠江东路</w:t>
      </w:r>
      <w:r w:rsidR="00282915">
        <w:rPr>
          <w:rFonts w:ascii="宋体" w:eastAsia="宋体" w:hAnsi="宋体" w:cs="宋体"/>
          <w:bCs/>
          <w:szCs w:val="21"/>
          <w:lang w:eastAsia="zh-CN"/>
        </w:rPr>
        <w:t>30</w:t>
      </w:r>
      <w:r w:rsidR="00282915">
        <w:rPr>
          <w:rFonts w:ascii="宋体" w:eastAsia="宋体" w:hAnsi="宋体" w:cs="宋体" w:hint="eastAsia"/>
          <w:bCs/>
          <w:szCs w:val="21"/>
          <w:lang w:eastAsia="zh-CN"/>
        </w:rPr>
        <w:t>号</w:t>
      </w:r>
      <w:r w:rsidR="00282915">
        <w:rPr>
          <w:rFonts w:ascii="宋体" w:eastAsia="宋体" w:hAnsi="宋体" w:cs="宋体"/>
          <w:bCs/>
          <w:szCs w:val="21"/>
          <w:lang w:eastAsia="zh-CN"/>
        </w:rPr>
        <w:t>42</w:t>
      </w:r>
      <w:r w:rsidR="00282915">
        <w:rPr>
          <w:rFonts w:ascii="宋体" w:eastAsia="宋体" w:hAnsi="宋体" w:cs="宋体" w:hint="eastAsia"/>
          <w:bCs/>
          <w:szCs w:val="21"/>
          <w:lang w:eastAsia="zh-CN"/>
        </w:rPr>
        <w:t>层；广东省珠海市横琴新区荣粤道</w:t>
      </w:r>
      <w:r w:rsidR="00282915">
        <w:rPr>
          <w:rFonts w:ascii="宋体" w:eastAsia="宋体" w:hAnsi="宋体" w:cs="宋体"/>
          <w:bCs/>
          <w:szCs w:val="21"/>
          <w:lang w:eastAsia="zh-CN"/>
        </w:rPr>
        <w:t>188</w:t>
      </w:r>
      <w:r w:rsidR="00282915">
        <w:rPr>
          <w:rFonts w:ascii="宋体" w:eastAsia="宋体" w:hAnsi="宋体" w:cs="宋体" w:hint="eastAsia"/>
          <w:bCs/>
          <w:szCs w:val="21"/>
          <w:lang w:eastAsia="zh-CN"/>
        </w:rPr>
        <w:t>号</w:t>
      </w:r>
      <w:r w:rsidR="00282915">
        <w:rPr>
          <w:rFonts w:ascii="宋体" w:eastAsia="宋体" w:hAnsi="宋体" w:cs="宋体"/>
          <w:bCs/>
          <w:szCs w:val="21"/>
          <w:lang w:eastAsia="zh-CN"/>
        </w:rPr>
        <w:t>6</w:t>
      </w:r>
      <w:r w:rsidR="00282915">
        <w:rPr>
          <w:rFonts w:ascii="宋体" w:eastAsia="宋体" w:hAnsi="宋体" w:cs="宋体" w:hint="eastAsia"/>
          <w:bCs/>
          <w:szCs w:val="21"/>
          <w:lang w:eastAsia="zh-CN"/>
        </w:rPr>
        <w:t>层</w:t>
      </w:r>
    </w:p>
    <w:p w:rsidR="00D50D9C" w14:paraId="0459903B" w14:textId="77777777">
      <w:pPr>
        <w:spacing w:line="360" w:lineRule="auto"/>
        <w:ind w:firstLine="420"/>
        <w:rPr>
          <w:rFonts w:ascii="宋体" w:hAnsi="宋体"/>
          <w:bCs/>
          <w:szCs w:val="21"/>
          <w:lang w:eastAsia="zh-CN"/>
        </w:rPr>
      </w:pPr>
      <w:r>
        <w:rPr>
          <w:rFonts w:ascii="宋体" w:eastAsia="宋体" w:hAnsi="宋体" w:cs="宋体"/>
          <w:bCs/>
          <w:szCs w:val="21"/>
          <w:lang w:eastAsia="zh-CN"/>
        </w:rPr>
        <w:t>设立日期：2001年4月17日</w:t>
      </w:r>
    </w:p>
    <w:p w:rsidR="00D50D9C" w14:paraId="7AFEEA91" w14:textId="77777777">
      <w:pPr>
        <w:spacing w:line="360" w:lineRule="auto"/>
        <w:ind w:firstLine="420"/>
        <w:rPr>
          <w:rFonts w:ascii="宋体" w:hAnsi="宋体"/>
          <w:bCs/>
          <w:szCs w:val="21"/>
          <w:lang w:eastAsia="zh-CN"/>
        </w:rPr>
      </w:pPr>
      <w:r>
        <w:rPr>
          <w:rFonts w:ascii="宋体" w:eastAsia="宋体" w:hAnsi="宋体" w:cs="宋体"/>
          <w:bCs/>
          <w:szCs w:val="21"/>
          <w:lang w:eastAsia="zh-CN"/>
        </w:rPr>
        <w:t xml:space="preserve">法定代表人：吴欣荣 </w:t>
      </w:r>
    </w:p>
    <w:p w:rsidR="00D50D9C" w14:paraId="2079B34A" w14:textId="77777777">
      <w:pPr>
        <w:spacing w:line="360" w:lineRule="auto"/>
        <w:ind w:firstLine="420"/>
        <w:rPr>
          <w:rFonts w:ascii="宋体" w:hAnsi="宋体"/>
          <w:bCs/>
          <w:szCs w:val="21"/>
          <w:lang w:eastAsia="zh-CN"/>
        </w:rPr>
      </w:pPr>
      <w:r>
        <w:rPr>
          <w:rFonts w:ascii="宋体" w:eastAsia="宋体" w:hAnsi="宋体" w:cs="宋体"/>
          <w:bCs/>
          <w:szCs w:val="21"/>
          <w:lang w:eastAsia="zh-CN"/>
        </w:rPr>
        <w:t>联系电话：400 881 8088</w:t>
      </w:r>
    </w:p>
    <w:p w:rsidR="00D50D9C" w14:paraId="77DFE609" w14:textId="77777777">
      <w:pPr>
        <w:spacing w:line="360" w:lineRule="auto"/>
        <w:ind w:firstLine="420"/>
        <w:rPr>
          <w:rFonts w:ascii="宋体" w:hAnsi="宋体"/>
          <w:bCs/>
          <w:szCs w:val="21"/>
          <w:lang w:eastAsia="zh-CN"/>
        </w:rPr>
      </w:pPr>
      <w:r>
        <w:rPr>
          <w:rFonts w:ascii="宋体" w:eastAsia="宋体" w:hAnsi="宋体" w:cs="宋体"/>
          <w:bCs/>
          <w:szCs w:val="21"/>
          <w:lang w:eastAsia="zh-CN"/>
        </w:rPr>
        <w:t>联系人：李红枫</w:t>
      </w:r>
    </w:p>
    <w:p w:rsidR="00D50D9C" w14:paraId="6388E466" w14:textId="77777777">
      <w:pPr>
        <w:spacing w:line="360" w:lineRule="auto"/>
        <w:ind w:firstLine="420"/>
        <w:rPr>
          <w:rFonts w:ascii="宋体" w:hAnsi="宋体"/>
          <w:bCs/>
          <w:szCs w:val="21"/>
          <w:lang w:eastAsia="zh-CN"/>
        </w:rPr>
      </w:pPr>
      <w:r>
        <w:rPr>
          <w:rFonts w:ascii="宋体" w:eastAsia="宋体" w:hAnsi="宋体" w:cs="宋体"/>
          <w:bCs/>
          <w:szCs w:val="21"/>
          <w:lang w:eastAsia="zh-CN"/>
        </w:rPr>
        <w:t>注册资本：</w:t>
      </w:r>
      <w:r>
        <w:rPr>
          <w:rFonts w:ascii="宋体" w:hAnsi="宋体"/>
          <w:bCs/>
          <w:szCs w:val="21"/>
          <w:lang w:eastAsia="zh-CN"/>
        </w:rPr>
        <w:t>13,244.2</w:t>
      </w:r>
      <w:r>
        <w:rPr>
          <w:rFonts w:ascii="宋体" w:eastAsia="宋体" w:hAnsi="宋体" w:cs="宋体"/>
          <w:bCs/>
          <w:szCs w:val="21"/>
          <w:lang w:eastAsia="zh-CN"/>
        </w:rPr>
        <w:t>万元人民币</w:t>
      </w:r>
    </w:p>
    <w:p w:rsidR="00D50D9C" w14:paraId="15AF0416" w14:textId="77777777">
      <w:pPr>
        <w:spacing w:line="360" w:lineRule="auto"/>
        <w:ind w:firstLine="420"/>
        <w:rPr>
          <w:rFonts w:ascii="宋体" w:hAnsi="宋体"/>
          <w:bCs/>
          <w:szCs w:val="21"/>
          <w:lang w:eastAsia="zh-CN"/>
        </w:rPr>
      </w:pPr>
      <w:r>
        <w:rPr>
          <w:rFonts w:ascii="宋体" w:eastAsia="宋体" w:hAnsi="宋体" w:cs="宋体"/>
          <w:bCs/>
          <w:szCs w:val="21"/>
          <w:lang w:eastAsia="zh-CN"/>
        </w:rPr>
        <w:t>批准设立机关及文号：中国证券监督管理委员会，证监基金字</w:t>
      </w:r>
      <w:r>
        <w:rPr>
          <w:rFonts w:ascii="宋体" w:hAnsi="宋体"/>
          <w:bCs/>
          <w:szCs w:val="21"/>
          <w:lang w:eastAsia="zh-CN"/>
        </w:rPr>
        <w:t>[2001]4</w:t>
      </w:r>
      <w:r>
        <w:rPr>
          <w:rFonts w:ascii="宋体" w:eastAsia="宋体" w:hAnsi="宋体" w:cs="宋体"/>
          <w:bCs/>
          <w:szCs w:val="21"/>
          <w:lang w:eastAsia="zh-CN"/>
        </w:rPr>
        <w:t>号</w:t>
      </w:r>
    </w:p>
    <w:p w:rsidR="00D50D9C" w14:paraId="763C6A19" w14:textId="77777777">
      <w:pPr>
        <w:spacing w:line="360" w:lineRule="auto"/>
        <w:ind w:firstLine="420"/>
        <w:rPr>
          <w:rFonts w:ascii="宋体" w:hAnsi="宋体"/>
          <w:bCs/>
          <w:szCs w:val="21"/>
          <w:lang w:eastAsia="zh-CN"/>
        </w:rPr>
      </w:pPr>
      <w:r>
        <w:rPr>
          <w:rFonts w:ascii="宋体" w:eastAsia="宋体" w:hAnsi="宋体" w:cs="宋体"/>
          <w:bCs/>
          <w:szCs w:val="21"/>
          <w:lang w:eastAsia="zh-CN"/>
        </w:rPr>
        <w:t>经营范围：公开募集证券投资基金管理、基金销售、特定客户资产管理</w:t>
      </w:r>
    </w:p>
    <w:p w:rsidR="00D50D9C" w14:paraId="06BF446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14:paraId="16E11C70" w14:textId="77777777">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72B119D5" w14:textId="77777777">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0F38F379" w14:textId="77777777">
            <w:pPr>
              <w:ind w:firstLine="420"/>
              <w:jc w:val="center"/>
              <w:rPr>
                <w:rFonts w:ascii="宋体" w:hAnsi="宋体"/>
              </w:rPr>
            </w:pPr>
            <w:r>
              <w:rPr>
                <w:rFonts w:ascii="宋体" w:eastAsia="宋体" w:hAnsi="宋体" w:cs="宋体"/>
                <w:szCs w:val="21"/>
              </w:rPr>
              <w:t>出资比例</w:t>
            </w:r>
          </w:p>
        </w:tc>
      </w:tr>
      <w:tr w14:paraId="4A4681C5"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550C9FFF" w14:textId="77777777">
            <w:pPr>
              <w:ind w:firstLine="420"/>
              <w:rPr>
                <w:rFonts w:ascii="宋体" w:hAnsi="宋体"/>
                <w:lang w:eastAsia="zh-CN"/>
              </w:rPr>
            </w:pPr>
            <w:r>
              <w:rPr>
                <w:rFonts w:ascii="宋体" w:eastAsia="宋体" w:hAnsi="宋体"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6062D306" w14:textId="77777777">
            <w:pPr>
              <w:ind w:firstLine="420"/>
              <w:jc w:val="center"/>
              <w:rPr>
                <w:rFonts w:ascii="宋体" w:hAnsi="宋体"/>
              </w:rPr>
            </w:pPr>
            <w:r>
              <w:rPr>
                <w:rFonts w:ascii="宋体" w:hAnsi="宋体"/>
                <w:szCs w:val="21"/>
              </w:rPr>
              <w:t>22.6514％</w:t>
            </w:r>
          </w:p>
        </w:tc>
      </w:tr>
      <w:tr w14:paraId="0893FF17"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0DED2E53" w14:textId="77777777">
            <w:pPr>
              <w:ind w:firstLine="420"/>
              <w:rPr>
                <w:rFonts w:ascii="宋体" w:hAnsi="宋体"/>
                <w:lang w:eastAsia="zh-CN"/>
              </w:rPr>
            </w:pPr>
            <w:r>
              <w:rPr>
                <w:rFonts w:ascii="宋体" w:eastAsia="宋体" w:hAnsi="宋体"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5F16CBC4" w14:textId="77777777">
            <w:pPr>
              <w:ind w:firstLine="420"/>
              <w:jc w:val="center"/>
              <w:rPr>
                <w:rFonts w:ascii="宋体" w:hAnsi="宋体"/>
              </w:rPr>
            </w:pPr>
            <w:r>
              <w:rPr>
                <w:rFonts w:ascii="宋体" w:hAnsi="宋体"/>
                <w:szCs w:val="21"/>
              </w:rPr>
              <w:t>22.6514％</w:t>
            </w:r>
          </w:p>
        </w:tc>
      </w:tr>
      <w:tr w14:paraId="45F01EE0"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30ADC383" w14:textId="77777777">
            <w:pPr>
              <w:ind w:firstLine="420"/>
              <w:rPr>
                <w:rFonts w:ascii="宋体" w:hAnsi="宋体"/>
              </w:rPr>
            </w:pPr>
            <w:r>
              <w:rPr>
                <w:rFonts w:ascii="宋体" w:eastAsia="宋体" w:hAnsi="宋体"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15324E3C" w14:textId="77777777">
            <w:pPr>
              <w:ind w:firstLine="420"/>
              <w:jc w:val="center"/>
              <w:rPr>
                <w:rFonts w:ascii="宋体" w:hAnsi="宋体"/>
              </w:rPr>
            </w:pPr>
            <w:r>
              <w:rPr>
                <w:rFonts w:ascii="宋体" w:hAnsi="宋体"/>
                <w:szCs w:val="21"/>
              </w:rPr>
              <w:t>22.6514％</w:t>
            </w:r>
          </w:p>
        </w:tc>
      </w:tr>
      <w:tr w14:paraId="0F24BFD8"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27DD515E" w14:textId="77777777">
            <w:pPr>
              <w:ind w:firstLine="420"/>
              <w:rPr>
                <w:rFonts w:ascii="宋体" w:hAnsi="宋体"/>
                <w:lang w:eastAsia="zh-CN"/>
              </w:rPr>
            </w:pPr>
            <w:r>
              <w:rPr>
                <w:rFonts w:ascii="宋体" w:eastAsia="宋体" w:hAnsi="宋体"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70873C64" w14:textId="77777777">
            <w:pPr>
              <w:ind w:firstLine="420"/>
              <w:jc w:val="center"/>
              <w:rPr>
                <w:rFonts w:ascii="宋体" w:hAnsi="宋体"/>
              </w:rPr>
            </w:pPr>
            <w:r>
              <w:rPr>
                <w:rFonts w:ascii="宋体" w:hAnsi="宋体"/>
                <w:szCs w:val="21"/>
              </w:rPr>
              <w:t>15.1010％</w:t>
            </w:r>
          </w:p>
        </w:tc>
      </w:tr>
      <w:tr w14:paraId="765978A0"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0FE06A28" w14:textId="77777777">
            <w:pPr>
              <w:ind w:firstLine="420"/>
              <w:rPr>
                <w:rFonts w:ascii="宋体" w:hAnsi="宋体"/>
                <w:lang w:eastAsia="zh-CN"/>
              </w:rPr>
            </w:pPr>
            <w:r>
              <w:rPr>
                <w:rFonts w:ascii="宋体" w:eastAsia="宋体" w:hAnsi="宋体"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2F554C36" w14:textId="77777777">
            <w:pPr>
              <w:ind w:firstLine="420"/>
              <w:jc w:val="center"/>
              <w:rPr>
                <w:rFonts w:ascii="宋体" w:hAnsi="宋体"/>
              </w:rPr>
            </w:pPr>
            <w:r>
              <w:rPr>
                <w:rFonts w:ascii="宋体" w:hAnsi="宋体"/>
                <w:szCs w:val="21"/>
              </w:rPr>
              <w:t>7.5505％</w:t>
            </w:r>
          </w:p>
        </w:tc>
      </w:tr>
      <w:tr w14:paraId="1B004E85"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61757720" w14:textId="77777777">
            <w:pPr>
              <w:ind w:firstLine="420"/>
              <w:rPr>
                <w:rFonts w:ascii="宋体" w:hAnsi="宋体"/>
                <w:lang w:eastAsia="zh-CN"/>
              </w:rPr>
            </w:pPr>
            <w:r>
              <w:rPr>
                <w:rFonts w:ascii="宋体" w:eastAsia="宋体" w:hAnsi="宋体"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72680121" w14:textId="77777777">
            <w:pPr>
              <w:ind w:firstLine="420"/>
              <w:jc w:val="center"/>
              <w:rPr>
                <w:rFonts w:ascii="宋体" w:hAnsi="宋体"/>
              </w:rPr>
            </w:pPr>
            <w:r>
              <w:rPr>
                <w:rFonts w:ascii="宋体" w:hAnsi="宋体"/>
                <w:szCs w:val="21"/>
              </w:rPr>
              <w:t>1.5087％</w:t>
            </w:r>
          </w:p>
        </w:tc>
      </w:tr>
      <w:tr w14:paraId="6B4E11A9"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50D9C" w14:paraId="75D0FDC9" w14:textId="77777777">
            <w:pPr>
              <w:ind w:firstLine="420"/>
              <w:rPr>
                <w:rFonts w:ascii="宋体" w:hAnsi="宋体"/>
                <w:lang w:eastAsia="zh-CN"/>
              </w:rPr>
            </w:pPr>
            <w:r>
              <w:rPr>
                <w:rFonts w:ascii="宋体" w:eastAsia="宋体" w:hAnsi="宋体"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6DA4EE12" w14:textId="77777777">
            <w:pPr>
              <w:ind w:firstLine="420"/>
              <w:jc w:val="center"/>
              <w:rPr>
                <w:rFonts w:ascii="宋体" w:hAnsi="宋体"/>
              </w:rPr>
            </w:pPr>
            <w:r>
              <w:rPr>
                <w:rFonts w:ascii="宋体" w:hAnsi="宋体"/>
                <w:szCs w:val="21"/>
              </w:rPr>
              <w:t>1.6205％</w:t>
            </w:r>
          </w:p>
        </w:tc>
      </w:tr>
      <w:tr w14:paraId="719B429E"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50D9C" w14:paraId="2D087A9B" w14:textId="77777777">
            <w:pPr>
              <w:ind w:firstLine="420"/>
              <w:rPr>
                <w:rFonts w:ascii="宋体" w:hAnsi="宋体"/>
                <w:lang w:eastAsia="zh-CN"/>
              </w:rPr>
            </w:pPr>
            <w:r>
              <w:rPr>
                <w:rFonts w:ascii="宋体" w:eastAsia="宋体" w:hAnsi="宋体"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395449AD" w14:textId="77777777">
            <w:pPr>
              <w:ind w:firstLine="420"/>
              <w:jc w:val="center"/>
              <w:rPr>
                <w:rFonts w:ascii="宋体" w:hAnsi="宋体"/>
              </w:rPr>
            </w:pPr>
            <w:r>
              <w:rPr>
                <w:rFonts w:ascii="宋体" w:hAnsi="宋体"/>
                <w:szCs w:val="21"/>
              </w:rPr>
              <w:t>1.5309％</w:t>
            </w:r>
          </w:p>
        </w:tc>
      </w:tr>
      <w:tr w14:paraId="74582D72"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50D9C" w14:paraId="6C57A041" w14:textId="77777777">
            <w:pPr>
              <w:ind w:firstLine="420"/>
              <w:rPr>
                <w:rFonts w:ascii="宋体" w:hAnsi="宋体"/>
                <w:lang w:eastAsia="zh-CN"/>
              </w:rPr>
            </w:pPr>
            <w:r>
              <w:rPr>
                <w:rFonts w:ascii="宋体" w:eastAsia="宋体" w:hAnsi="宋体"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78ABDD5D" w14:textId="77777777">
            <w:pPr>
              <w:ind w:firstLine="420"/>
              <w:jc w:val="center"/>
              <w:rPr>
                <w:rFonts w:ascii="宋体" w:hAnsi="宋体"/>
              </w:rPr>
            </w:pPr>
            <w:r>
              <w:rPr>
                <w:rFonts w:ascii="宋体" w:hAnsi="宋体"/>
                <w:szCs w:val="21"/>
              </w:rPr>
              <w:t>1.7558％</w:t>
            </w:r>
          </w:p>
        </w:tc>
      </w:tr>
      <w:tr w14:paraId="4F540B27"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50D9C" w14:paraId="75D46792" w14:textId="77777777">
            <w:pPr>
              <w:ind w:firstLine="420"/>
              <w:rPr>
                <w:rFonts w:ascii="宋体" w:hAnsi="宋体"/>
                <w:lang w:eastAsia="zh-CN"/>
              </w:rPr>
            </w:pPr>
            <w:r>
              <w:rPr>
                <w:rFonts w:ascii="宋体" w:eastAsia="宋体" w:hAnsi="宋体"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7096414D" w14:textId="77777777">
            <w:pPr>
              <w:ind w:firstLine="420"/>
              <w:jc w:val="center"/>
              <w:rPr>
                <w:rFonts w:ascii="宋体" w:hAnsi="宋体"/>
              </w:rPr>
            </w:pPr>
            <w:r>
              <w:rPr>
                <w:rFonts w:ascii="宋体" w:hAnsi="宋体"/>
                <w:szCs w:val="21"/>
              </w:rPr>
              <w:t>1.4396％</w:t>
            </w:r>
          </w:p>
        </w:tc>
      </w:tr>
      <w:tr w14:paraId="244D6589"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50D9C" w14:paraId="663CAB76" w14:textId="77777777">
            <w:pPr>
              <w:ind w:firstLine="420"/>
              <w:rPr>
                <w:rFonts w:ascii="宋体" w:hAnsi="宋体"/>
                <w:lang w:eastAsia="zh-CN"/>
              </w:rPr>
            </w:pPr>
            <w:r>
              <w:rPr>
                <w:rFonts w:ascii="宋体" w:eastAsia="宋体" w:hAnsi="宋体"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408AB4F8" w14:textId="77777777">
            <w:pPr>
              <w:ind w:firstLine="420"/>
              <w:jc w:val="center"/>
              <w:rPr>
                <w:rFonts w:ascii="宋体" w:hAnsi="宋体"/>
              </w:rPr>
            </w:pPr>
            <w:r>
              <w:rPr>
                <w:rFonts w:ascii="宋体" w:hAnsi="宋体"/>
                <w:szCs w:val="21"/>
              </w:rPr>
              <w:t>1.5388％</w:t>
            </w:r>
          </w:p>
        </w:tc>
      </w:tr>
      <w:tr w14:paraId="7955F4C7"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50D9C" w14:paraId="483D11A2" w14:textId="77777777">
            <w:pPr>
              <w:ind w:firstLine="420"/>
              <w:rPr>
                <w:rFonts w:ascii="宋体" w:hAnsi="宋体"/>
              </w:rPr>
            </w:pPr>
            <w:r>
              <w:rPr>
                <w:rFonts w:ascii="宋体" w:eastAsia="宋体" w:hAnsi="宋体"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D50D9C" w14:paraId="69DA5E06" w14:textId="77777777">
            <w:pPr>
              <w:ind w:firstLine="420"/>
              <w:jc w:val="center"/>
              <w:rPr>
                <w:rFonts w:ascii="宋体" w:hAnsi="宋体"/>
              </w:rPr>
            </w:pPr>
            <w:r>
              <w:rPr>
                <w:rFonts w:ascii="宋体" w:hAnsi="宋体"/>
                <w:szCs w:val="21"/>
              </w:rPr>
              <w:t>100</w:t>
            </w:r>
            <w:r>
              <w:rPr>
                <w:rFonts w:ascii="宋体" w:eastAsia="宋体" w:hAnsi="宋体" w:cs="宋体"/>
                <w:szCs w:val="21"/>
              </w:rPr>
              <w:t>％</w:t>
            </w:r>
          </w:p>
        </w:tc>
      </w:tr>
    </w:tbl>
    <w:p w:rsidR="00D50D9C" w14:paraId="719C6602" w14:textId="77777777"/>
    <w:p w:rsidR="00D50D9C" w14:paraId="18025457" w14:textId="77777777">
      <w:pPr>
        <w:spacing w:line="360" w:lineRule="auto"/>
        <w:rPr>
          <w:rFonts w:ascii="宋体" w:hAnsi="宋体"/>
          <w:bCs/>
          <w:szCs w:val="21"/>
          <w:lang w:eastAsia="zh-CN"/>
        </w:rPr>
      </w:pPr>
      <w:r>
        <w:rPr>
          <w:rFonts w:ascii="宋体" w:eastAsia="宋体" w:hAnsi="宋体" w:cs="宋体" w:hint="eastAsia"/>
          <w:bCs/>
          <w:szCs w:val="21"/>
          <w:highlight w:val="white"/>
          <w:lang w:eastAsia="zh-CN"/>
        </w:rPr>
        <w:t>二、主要人员情况</w:t>
      </w:r>
    </w:p>
    <w:p w:rsidR="00D50D9C" w14:paraId="2C6A3997"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C33644" w:rsidRPr="00C33644" w:rsidP="00C33644" w14:paraId="13F1855A"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C33644" w:rsidRPr="00C33644" w:rsidP="00C33644" w14:paraId="33957E06"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吴欣荣先生，工学硕士。现任易方达基金管理有限公司董事、总经理，易方达资产管理（香港）有限公司董事。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C33644" w:rsidRPr="00C33644" w:rsidP="00C33644" w14:paraId="09108C17"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C33644" w:rsidRPr="00C33644" w:rsidP="00C33644" w14:paraId="5ADB1503"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C33644" w:rsidRPr="00C33644" w:rsidP="00C33644" w14:paraId="21C1F8F2"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C33644" w:rsidRPr="00C33644" w:rsidP="00C33644" w14:paraId="29782220"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C33644" w:rsidRPr="00C33644" w:rsidP="00C33644" w14:paraId="00C1E0AC"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C33644" w:rsidRPr="00C33644" w:rsidP="00C33644" w14:paraId="28D4DF0F"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C33644" w:rsidRPr="00C33644" w:rsidP="00C33644" w14:paraId="097DFB40"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C33644" w:rsidRPr="00C33644" w:rsidP="00C33644" w14:paraId="411C7917"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C33644" w:rsidRPr="00C33644" w:rsidP="00C33644" w14:paraId="7C5E3757"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C33644" w:rsidRPr="00C33644" w:rsidP="00C33644" w14:paraId="457DEDCE"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C33644" w:rsidRPr="00C33644" w:rsidP="00C33644" w14:paraId="0B18D294"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C33644" w:rsidRPr="00C33644" w:rsidP="00C33644" w14:paraId="525329F7"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C33644" w:rsidRPr="00C33644" w:rsidP="00C33644" w14:paraId="5B7DDD64"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易方达资产管理（香港）有限公司董事长、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市场及产品委员会委员。</w:t>
      </w:r>
    </w:p>
    <w:p w:rsidR="00C33644" w:rsidRPr="00C33644" w:rsidP="00C33644" w14:paraId="06A33E6B"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C33644" w:rsidRPr="00C33644" w:rsidP="00C33644" w14:paraId="3F9E305D"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C33644" w:rsidRPr="00C33644" w:rsidP="00C33644" w14:paraId="32B2410B"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C33644" w:rsidRPr="00C33644" w:rsidP="00C33644" w14:paraId="7B7613FE"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C33644" w:rsidRPr="00C33644" w:rsidP="00C33644" w14:paraId="7BE9DEAC"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C33644" w:rsidRPr="00C33644" w:rsidP="00C33644" w14:paraId="56105FCC"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C33644" w:rsidRPr="00C33644" w:rsidP="00C33644" w14:paraId="4D3803EE"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C33644" w:rsidRPr="00C33644" w:rsidP="00C33644" w14:paraId="78FB8DBC"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C33644" w:rsidRPr="00C33644" w:rsidP="00C33644" w14:paraId="6579620D" w14:textId="77777777">
      <w:pPr>
        <w:spacing w:line="360" w:lineRule="auto"/>
        <w:ind w:firstLine="420"/>
        <w:rPr>
          <w:rStyle w:val="da"/>
          <w:rFonts w:ascii="宋体" w:eastAsia="宋体" w:hAnsi="宋体" w:cs="宋体"/>
          <w:szCs w:val="21"/>
          <w:lang w:eastAsia="zh-CN"/>
        </w:rPr>
      </w:pPr>
      <w:r w:rsidRPr="00C33644">
        <w:rPr>
          <w:rStyle w:val="da"/>
          <w:rFonts w:ascii="宋体" w:eastAsia="宋体" w:hAnsi="宋体" w:cs="宋体" w:hint="eastAsia"/>
          <w:szCs w:val="21"/>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C33644" w:rsidRPr="00C33644" w:rsidP="00C33644" w14:paraId="7CB37731"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C33644" w:rsidRPr="00C33644" w:rsidP="00C33644" w14:paraId="0BF09747"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C33644" w:rsidRPr="00C33644" w:rsidP="00C33644" w14:paraId="27E837AA" w14:textId="77777777">
      <w:pPr>
        <w:spacing w:line="360" w:lineRule="auto"/>
        <w:ind w:firstLine="420"/>
        <w:rPr>
          <w:rStyle w:val="da"/>
          <w:rFonts w:ascii="宋体" w:eastAsia="宋体" w:hAnsi="宋体" w:cs="宋体" w:hint="eastAsia"/>
          <w:szCs w:val="21"/>
          <w:lang w:eastAsia="zh-CN"/>
        </w:rPr>
      </w:pPr>
      <w:r w:rsidRPr="00C33644">
        <w:rPr>
          <w:rStyle w:val="da"/>
          <w:rFonts w:ascii="宋体" w:eastAsia="宋体" w:hAnsi="宋体" w:cs="宋体"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D50D9C" w:rsidP="00C33644" w14:paraId="38AAB01B" w14:textId="2DCC9EBB">
      <w:pPr>
        <w:spacing w:line="360" w:lineRule="auto"/>
        <w:ind w:firstLine="420"/>
        <w:rPr>
          <w:rStyle w:val="da"/>
          <w:rFonts w:ascii="宋体" w:hAnsi="宋体"/>
          <w:szCs w:val="21"/>
          <w:lang w:eastAsia="zh-CN"/>
        </w:rPr>
      </w:pPr>
      <w:r w:rsidRPr="00C33644">
        <w:rPr>
          <w:rStyle w:val="da"/>
          <w:rFonts w:ascii="宋体" w:eastAsia="宋体" w:hAnsi="宋体" w:cs="宋体"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bookmarkStart w:id="7" w:name="_GoBack"/>
      <w:bookmarkEnd w:id="7"/>
    </w:p>
    <w:p w:rsidR="00D50D9C" w14:paraId="0732D7F9"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蔡荣成先生，金融硕士，本基金的基金经理。现任易方达基金管理有限公司基金经理。曾任易方达基金管理有限公司基金经理助理、研究部总经理助理、行业研究员。蔡荣成历任基金经理的基金如下：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noWrap w:val="0"/>
            <w:textDirection w:val="lrTb"/>
          </w:tcPr>
          <w:p>
            <w:pPr>
              <w:snapToGrid/>
            </w:pPr>
            <w:r>
              <w:rPr>
                <w:rFonts w:ascii="宋体" w:eastAsia="宋体" w:hAnsi="宋体" w:cs="宋体" w:hint="eastAsia"/>
                <w:b/>
                <w:sz w:val="21"/>
                <w:szCs w:val="21"/>
              </w:rPr>
              <w:t>历任基金经理的基金</w:t>
            </w:r>
          </w:p>
        </w:tc>
        <w:tc>
          <w:tcPr>
            <w:tcW w:w="1835" w:type="dxa"/>
            <w:noWrap w:val="0"/>
            <w:textDirection w:val="lrTb"/>
          </w:tcPr>
          <w:p>
            <w:pPr>
              <w:snapToGrid/>
              <w:jc w:val="center"/>
            </w:pPr>
            <w:r>
              <w:rPr>
                <w:rFonts w:ascii="宋体" w:eastAsia="宋体" w:hAnsi="宋体" w:cs="宋体" w:hint="eastAsia"/>
                <w:b/>
                <w:sz w:val="21"/>
                <w:szCs w:val="21"/>
              </w:rPr>
              <w:t>任职时间</w:t>
            </w:r>
          </w:p>
        </w:tc>
        <w:tc>
          <w:tcPr>
            <w:tcW w:w="1835" w:type="dxa"/>
            <w:noWrap w:val="0"/>
            <w:textDirection w:val="lrTb"/>
          </w:tcPr>
          <w:p>
            <w:pPr>
              <w:snapToGrid/>
              <w:jc w:val="center"/>
            </w:pPr>
            <w:r>
              <w:rPr>
                <w:rFonts w:ascii="宋体" w:eastAsia="宋体" w:hAnsi="宋体" w:cs="宋体" w:hint="eastAsia"/>
                <w:b/>
                <w:sz w:val="21"/>
                <w:szCs w:val="21"/>
              </w:rPr>
              <w:t>离任时间</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易方达科技创新混合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2022-04-21</w:t>
            </w:r>
          </w:p>
        </w:tc>
        <w:tc>
          <w:tcPr>
            <w:tcW w:w="1835" w:type="dxa"/>
            <w:noWrap w:val="0"/>
            <w:textDirection w:val="lrTb"/>
          </w:tcPr>
          <w:p>
            <w:pPr>
              <w:snapToGrid/>
              <w:rPr>
                <w:lang w:eastAsia="zh-CN"/>
              </w:rPr>
            </w:pPr>
            <w:r>
              <w:rPr>
                <w:rFonts w:ascii="宋体" w:eastAsia="宋体" w:hAnsi="宋体" w:cs="宋体" w:hint="eastAsia"/>
                <w:sz w:val="21"/>
                <w:szCs w:val="21"/>
                <w:lang w:eastAsia="zh-CN"/>
              </w:rPr>
              <w:t>-</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易方达新兴成长混合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2023-05-06</w:t>
            </w:r>
          </w:p>
        </w:tc>
        <w:tc>
          <w:tcPr>
            <w:tcW w:w="1835" w:type="dxa"/>
            <w:noWrap w:val="0"/>
            <w:textDirection w:val="lrTb"/>
          </w:tcPr>
          <w:p>
            <w:pPr>
              <w:snapToGrid/>
              <w:rPr>
                <w:lang w:eastAsia="zh-CN"/>
              </w:rPr>
            </w:pPr>
            <w:r>
              <w:rPr>
                <w:rFonts w:ascii="宋体" w:eastAsia="宋体" w:hAnsi="宋体" w:cs="宋体" w:hint="eastAsia"/>
                <w:sz w:val="21"/>
                <w:szCs w:val="21"/>
                <w:lang w:eastAsia="zh-CN"/>
              </w:rPr>
              <w:t>-</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易方达科技智选混合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2023-09-26</w:t>
            </w:r>
          </w:p>
        </w:tc>
        <w:tc>
          <w:tcPr>
            <w:tcW w:w="1835" w:type="dxa"/>
            <w:noWrap w:val="0"/>
            <w:textDirection w:val="lrTb"/>
          </w:tcPr>
          <w:p>
            <w:pPr>
              <w:snapToGrid/>
              <w:rPr>
                <w:lang w:eastAsia="zh-CN"/>
              </w:rPr>
            </w:pPr>
            <w:r>
              <w:rPr>
                <w:rFonts w:ascii="宋体" w:eastAsia="宋体" w:hAnsi="宋体" w:cs="宋体" w:hint="eastAsia"/>
                <w:sz w:val="21"/>
                <w:szCs w:val="21"/>
                <w:lang w:eastAsia="zh-CN"/>
              </w:rPr>
              <w:t>-</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易方达科技先锋混合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2025-11-18</w:t>
            </w:r>
          </w:p>
        </w:tc>
        <w:tc>
          <w:tcPr>
            <w:tcW w:w="1835" w:type="dxa"/>
            <w:noWrap w:val="0"/>
            <w:textDirection w:val="lrTb"/>
          </w:tcPr>
          <w:p>
            <w:pPr>
              <w:snapToGrid/>
              <w:rPr>
                <w:lang w:eastAsia="zh-CN"/>
              </w:rPr>
            </w:pPr>
            <w:r>
              <w:rPr>
                <w:rFonts w:ascii="宋体" w:eastAsia="宋体" w:hAnsi="宋体" w:cs="宋体" w:hint="eastAsia"/>
                <w:sz w:val="21"/>
                <w:szCs w:val="21"/>
                <w:lang w:eastAsia="zh-CN"/>
              </w:rPr>
              <w:t>-</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易方达科技创新混合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2019-04-29</w:t>
            </w:r>
          </w:p>
        </w:tc>
        <w:tc>
          <w:tcPr>
            <w:tcW w:w="1835" w:type="dxa"/>
            <w:noWrap w:val="0"/>
            <w:textDirection w:val="lrTb"/>
          </w:tcPr>
          <w:p>
            <w:pPr>
              <w:snapToGrid/>
              <w:rPr>
                <w:lang w:eastAsia="zh-CN"/>
              </w:rPr>
            </w:pPr>
            <w:r>
              <w:rPr>
                <w:rFonts w:ascii="宋体" w:eastAsia="宋体" w:hAnsi="宋体" w:cs="宋体" w:hint="eastAsia"/>
                <w:sz w:val="21"/>
                <w:szCs w:val="21"/>
                <w:lang w:eastAsia="zh-CN"/>
              </w:rPr>
              <w:t>2020-06-06</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易方达策略成长二号混合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2020-06-06</w:t>
            </w:r>
          </w:p>
        </w:tc>
        <w:tc>
          <w:tcPr>
            <w:tcW w:w="1835" w:type="dxa"/>
            <w:noWrap w:val="0"/>
            <w:textDirection w:val="lrTb"/>
          </w:tcPr>
          <w:p>
            <w:pPr>
              <w:snapToGrid/>
              <w:rPr>
                <w:lang w:eastAsia="zh-CN"/>
              </w:rPr>
            </w:pPr>
            <w:r>
              <w:rPr>
                <w:rFonts w:ascii="宋体" w:eastAsia="宋体" w:hAnsi="宋体" w:cs="宋体" w:hint="eastAsia"/>
                <w:sz w:val="21"/>
                <w:szCs w:val="21"/>
                <w:lang w:eastAsia="zh-CN"/>
              </w:rPr>
              <w:t>2022-04-21</w:t>
            </w:r>
          </w:p>
        </w:tc>
      </w:tr>
      <w:tr>
        <w:tblPrEx>
          <w:tblW w:w="0" w:type="auto"/>
          <w:jc w:val="center"/>
          <w:tblLayout w:type="fixed"/>
          <w:tblLook w:val="04A0"/>
        </w:tblPrEx>
        <w:trPr>
          <w:trHeight w:val="360"/>
          <w:jc w:val="center"/>
        </w:trPr>
        <w:tc>
          <w:tcPr>
            <w:tcW w:w="4626" w:type="dxa"/>
            <w:noWrap w:val="0"/>
            <w:textDirection w:val="lrTb"/>
          </w:tcPr>
          <w:p>
            <w:pPr>
              <w:snapToGrid/>
              <w:rPr>
                <w:lang w:eastAsia="zh-CN"/>
              </w:rPr>
            </w:pPr>
            <w:r>
              <w:rPr>
                <w:rFonts w:ascii="宋体" w:eastAsia="宋体" w:hAnsi="宋体" w:cs="宋体" w:hint="eastAsia"/>
                <w:sz w:val="21"/>
                <w:szCs w:val="21"/>
                <w:lang w:eastAsia="zh-CN"/>
              </w:rPr>
              <w:t>易方达策略成长混合</w:t>
            </w:r>
          </w:p>
        </w:tc>
        <w:tc>
          <w:tcPr>
            <w:tcW w:w="1835" w:type="dxa"/>
            <w:noWrap w:val="0"/>
            <w:textDirection w:val="lrTb"/>
          </w:tcPr>
          <w:p>
            <w:pPr>
              <w:snapToGrid/>
              <w:rPr>
                <w:lang w:eastAsia="zh-CN"/>
              </w:rPr>
            </w:pPr>
            <w:r>
              <w:rPr>
                <w:rFonts w:ascii="宋体" w:eastAsia="宋体" w:hAnsi="宋体" w:cs="宋体" w:hint="eastAsia"/>
                <w:sz w:val="21"/>
                <w:szCs w:val="21"/>
                <w:lang w:eastAsia="zh-CN"/>
              </w:rPr>
              <w:t>2020-06-06</w:t>
            </w:r>
          </w:p>
        </w:tc>
        <w:tc>
          <w:tcPr>
            <w:tcW w:w="1835" w:type="dxa"/>
            <w:noWrap w:val="0"/>
            <w:textDirection w:val="lrTb"/>
          </w:tcPr>
          <w:p>
            <w:pPr>
              <w:snapToGrid/>
              <w:rPr>
                <w:lang w:eastAsia="zh-CN"/>
              </w:rPr>
            </w:pPr>
            <w:r>
              <w:rPr>
                <w:rFonts w:ascii="宋体" w:eastAsia="宋体" w:hAnsi="宋体" w:cs="宋体" w:hint="eastAsia"/>
                <w:sz w:val="21"/>
                <w:szCs w:val="21"/>
                <w:lang w:eastAsia="zh-CN"/>
              </w:rPr>
              <w:t>2022-04-21</w:t>
            </w:r>
          </w:p>
        </w:tc>
      </w:tr>
    </w:tbl>
    <w:p w:rsidR="00D50D9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3、权益投资决策委员会成员</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本公司权益投资决策委员会成员包括：冯波先生、陈皓先生、张坤先生、付浩先生、李剑锋先生、贾健先生。</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冯波先生，同上。</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陈皓先生，易方达基金管理有限公司高级董事总经理、基金经理，易方达资产管理（新加坡）有限公司国际配置首席研究员。</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张坤先生，易方达基金管理有限公司高级董事总经理、基金经理。</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付浩先生，同上。</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李剑锋先生，易方达基金管理有限公司国际权益投资部总经理、基金经理，易方达资产管理（香港）有限公司首席投资官（国际权益）、就证券提供意见负责人员（RO）、提供资产管理负责人员（RO）、证券交易负责人员（RO）、投资决策委员会委员。</w:t>
      </w:r>
    </w:p>
    <w:p>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贾健先生，易方达基金管理有限公司研究部总经理、权益运作支持部总经理、基金经理。</w:t>
      </w:r>
    </w:p>
    <w:p w:rsidR="00D50D9C" w14:textId="77777777">
      <w:pPr>
        <w:spacing w:line="360" w:lineRule="auto"/>
        <w:ind w:firstLine="420"/>
        <w:rPr>
          <w:rStyle w:val="da"/>
          <w:rFonts w:ascii="宋体" w:hAnsi="宋体"/>
          <w:szCs w:val="21"/>
          <w:lang w:eastAsia="zh-CN"/>
        </w:rPr>
      </w:pPr>
      <w:bookmarkStart w:id="8" w:name="_Toc332373449"/>
      <w:r>
        <w:rPr>
          <w:rStyle w:val="da"/>
          <w:rFonts w:ascii="宋体" w:eastAsia="宋体" w:hAnsi="宋体" w:cs="宋体" w:hint="eastAsia"/>
          <w:szCs w:val="21"/>
          <w:lang w:eastAsia="zh-CN"/>
        </w:rPr>
        <w:t>4</w:t>
      </w:r>
      <w:bookmarkEnd w:id="8"/>
      <w:r>
        <w:rPr>
          <w:rStyle w:val="da"/>
          <w:rFonts w:ascii="宋体" w:eastAsia="宋体" w:hAnsi="宋体" w:cs="宋体" w:hint="eastAsia"/>
          <w:szCs w:val="21"/>
          <w:highlight w:val="white"/>
          <w:lang w:eastAsia="zh-CN"/>
        </w:rPr>
        <w:t>、上述人员之间均不存在近亲属关系。</w:t>
      </w:r>
    </w:p>
    <w:p w:rsidR="00D50D9C" w14:paraId="07F7F9CE" w14:textId="77777777">
      <w:pPr>
        <w:spacing w:line="360" w:lineRule="auto"/>
        <w:ind w:firstLine="420"/>
        <w:rPr>
          <w:rFonts w:ascii="宋体" w:hAnsi="宋体"/>
          <w:szCs w:val="21"/>
          <w:lang w:eastAsia="zh-CN"/>
        </w:rPr>
      </w:pPr>
      <w:bookmarkStart w:id="9" w:name="_Toc332373451"/>
      <w:r>
        <w:rPr>
          <w:rFonts w:ascii="宋体" w:eastAsia="宋体" w:hAnsi="宋体" w:cs="宋体" w:hint="eastAsia"/>
          <w:szCs w:val="21"/>
          <w:highlight w:val="white"/>
          <w:lang w:eastAsia="zh-CN"/>
        </w:rPr>
        <w:t>三、基金管理人的职责</w:t>
      </w:r>
      <w:bookmarkEnd w:id="9"/>
    </w:p>
    <w:p w:rsidR="00D50D9C" w14:paraId="4F3708CF" w14:textId="77777777">
      <w:pPr>
        <w:spacing w:line="360" w:lineRule="auto"/>
        <w:ind w:firstLine="420"/>
        <w:rPr>
          <w:rFonts w:ascii="宋体" w:hAnsi="宋体"/>
          <w:szCs w:val="21"/>
          <w:lang w:eastAsia="zh-CN"/>
        </w:rPr>
      </w:pPr>
      <w:bookmarkStart w:id="10"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D50D9C" w14:paraId="0D59D727" w14:textId="77777777">
      <w:pPr>
        <w:spacing w:line="360" w:lineRule="auto"/>
        <w:ind w:firstLine="420"/>
        <w:rPr>
          <w:rFonts w:ascii="宋体" w:hAnsi="宋体"/>
          <w:szCs w:val="21"/>
          <w:lang w:eastAsia="zh-CN"/>
        </w:rPr>
      </w:pPr>
      <w:bookmarkStart w:id="11"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1"/>
    </w:p>
    <w:p w:rsidR="00D50D9C" w14:paraId="4A9FA080"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D50D9C" w14:paraId="68DD2437"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D50D9C" w14:paraId="06C34A65" w14:textId="7777777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D50D9C" w14:paraId="0D09B433" w14:textId="77777777">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D50D9C" w14:paraId="4852C226" w14:textId="77777777">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D50D9C" w14:paraId="29EEF96F" w14:textId="77777777">
      <w:pPr>
        <w:spacing w:line="360" w:lineRule="auto"/>
        <w:ind w:firstLine="420"/>
        <w:rPr>
          <w:rFonts w:ascii="宋体" w:hAnsi="宋体"/>
          <w:szCs w:val="21"/>
          <w:lang w:eastAsia="zh-CN"/>
        </w:rPr>
      </w:pPr>
      <w:bookmarkStart w:id="12"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2"/>
    </w:p>
    <w:p w:rsidR="00D50D9C" w14:paraId="4FE3D1B1" w14:textId="77777777">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D50D9C" w14:paraId="71F0603E" w14:textId="77777777">
      <w:pPr>
        <w:spacing w:line="360" w:lineRule="auto"/>
        <w:ind w:firstLine="420"/>
        <w:rPr>
          <w:rFonts w:ascii="宋体" w:hAnsi="宋体"/>
          <w:szCs w:val="21"/>
          <w:lang w:eastAsia="zh-CN"/>
        </w:rPr>
      </w:pPr>
      <w:bookmarkStart w:id="13"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3"/>
    </w:p>
    <w:p w:rsidR="00D50D9C" w14:paraId="2DA92EC6" w14:textId="77777777">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D50D9C" w14:paraId="4E742C55" w14:textId="77777777">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D50D9C" w14:paraId="59D5A0E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10"/>
    </w:p>
    <w:p w:rsidR="00D50D9C" w14:paraId="7389B612"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D50D9C" w14:paraId="051AC4AF"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D50D9C" w14:paraId="6EF80FAA" w14:textId="77777777">
      <w:pPr>
        <w:spacing w:line="360" w:lineRule="auto"/>
        <w:ind w:firstLine="420"/>
        <w:rPr>
          <w:rFonts w:ascii="宋体" w:hAnsi="宋体"/>
          <w:szCs w:val="21"/>
          <w:lang w:eastAsia="zh-CN"/>
        </w:rPr>
      </w:pPr>
      <w:bookmarkStart w:id="14"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4"/>
    </w:p>
    <w:p w:rsidR="00D50D9C" w14:paraId="3D7DDF6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D50D9C" w14:paraId="20F02299" w14:textId="77777777">
      <w:pPr>
        <w:spacing w:line="360" w:lineRule="auto"/>
        <w:ind w:firstLine="420"/>
        <w:rPr>
          <w:rFonts w:ascii="宋体" w:hAnsi="宋体"/>
          <w:szCs w:val="21"/>
          <w:lang w:eastAsia="zh-CN"/>
        </w:rPr>
      </w:pPr>
      <w:bookmarkStart w:id="15"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5"/>
    </w:p>
    <w:p w:rsidR="00D50D9C" w14:paraId="376C198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D50D9C" w14:paraId="491D2B7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D50D9C" w14:paraId="7F1A182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D50D9C" w14:paraId="271D5D6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D50D9C" w14:paraId="2C95B63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D50D9C" w14:paraId="067BA4B0"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D50D9C" w14:paraId="5069A57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D50D9C" w14:paraId="7FFDA28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D50D9C" w14:paraId="40517FF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D50D9C" w14:paraId="11A62B7A" w14:textId="77777777">
      <w:pPr>
        <w:spacing w:line="360" w:lineRule="auto"/>
        <w:ind w:firstLine="420"/>
        <w:rPr>
          <w:rFonts w:ascii="宋体" w:hAnsi="宋体"/>
          <w:szCs w:val="21"/>
          <w:lang w:eastAsia="zh-CN"/>
        </w:rPr>
      </w:pPr>
      <w:bookmarkStart w:id="16"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6"/>
    </w:p>
    <w:p w:rsidR="00D50D9C" w14:paraId="2EDEA28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D50D9C" w14:paraId="2E0D6876" w14:textId="77777777">
      <w:pPr>
        <w:spacing w:line="360" w:lineRule="auto"/>
        <w:ind w:firstLine="420"/>
        <w:rPr>
          <w:rFonts w:ascii="宋体" w:hAnsi="宋体"/>
          <w:szCs w:val="21"/>
          <w:lang w:eastAsia="zh-CN"/>
        </w:rPr>
      </w:pPr>
      <w:bookmarkStart w:id="17"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7"/>
    </w:p>
    <w:p w:rsidR="00D50D9C" w14:paraId="536D4DC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D50D9C" w14:paraId="234DE67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D50D9C" w14:paraId="7E8F6A3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D50D9C" w14:paraId="5EEBFF3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D50D9C" w14:paraId="1EAB362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D50D9C" w14:paraId="2949471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D50D9C" w14:paraId="7B391DC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D50D9C" w14:paraId="59389F74" w14:textId="77777777">
      <w:pPr>
        <w:spacing w:line="360" w:lineRule="auto"/>
        <w:ind w:firstLine="420"/>
        <w:rPr>
          <w:rFonts w:ascii="宋体" w:hAnsi="宋体"/>
          <w:szCs w:val="21"/>
          <w:lang w:eastAsia="zh-CN"/>
        </w:rPr>
      </w:pPr>
      <w:bookmarkStart w:id="18"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8"/>
    </w:p>
    <w:p w:rsidR="00D50D9C" w14:paraId="6C4A13A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D50D9C" w14:paraId="70E11129" w14:textId="77777777">
      <w:pPr>
        <w:spacing w:line="360" w:lineRule="auto"/>
        <w:ind w:firstLine="420"/>
        <w:rPr>
          <w:rFonts w:ascii="宋体" w:hAnsi="宋体"/>
          <w:szCs w:val="21"/>
          <w:lang w:eastAsia="zh-CN"/>
        </w:rPr>
      </w:pPr>
      <w:bookmarkStart w:id="19"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9"/>
    </w:p>
    <w:p w:rsidR="00D50D9C" w14:paraId="055C38E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D50D9C" w14:paraId="3E00864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D50D9C" w14:paraId="352C5C1D" w14:textId="77777777">
      <w:pPr>
        <w:spacing w:line="360" w:lineRule="auto"/>
        <w:ind w:firstLine="420"/>
        <w:rPr>
          <w:rFonts w:ascii="宋体" w:hAnsi="宋体"/>
          <w:szCs w:val="21"/>
          <w:lang w:eastAsia="zh-CN"/>
        </w:rPr>
      </w:pPr>
      <w:bookmarkStart w:id="20" w:name="_Toc332373462"/>
      <w:r>
        <w:rPr>
          <w:rFonts w:ascii="宋体" w:eastAsia="宋体" w:hAnsi="宋体" w:cs="宋体" w:hint="eastAsia"/>
          <w:szCs w:val="21"/>
          <w:highlight w:val="white"/>
          <w:lang w:eastAsia="zh-CN"/>
        </w:rPr>
        <w:t>五、基金管理人的内部控制制度</w:t>
      </w:r>
    </w:p>
    <w:p w:rsidR="00D50D9C" w14:paraId="01D683D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D50D9C" w14:paraId="1D8D0855"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D50D9C" w14:paraId="468558F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D50D9C" w14:paraId="04B282B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D50D9C" w14:paraId="4F4CE2B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D50D9C" w14:paraId="53A38B6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D50D9C" w14:paraId="4428F73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D50D9C" w14:paraId="729FF2C8"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D50D9C" w14:paraId="7D31D6A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D50D9C" w14:paraId="7C0458A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D50D9C" w14:paraId="4DCAAB8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D50D9C" w14:paraId="732258C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D50D9C" w14:paraId="07B530E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D50D9C" w14:paraId="4D22AB2B"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D50D9C" w14:paraId="460D7DD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20"/>
    </w:p>
    <w:p w:rsidR="00D50D9C" w14:paraId="0EA2810C"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D50D9C" w14:paraId="0B3D633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D50D9C" w14:paraId="4D13A46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D50D9C" w14:paraId="0597979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D50D9C" w14:paraId="239FDD0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D50D9C" w14:paraId="46EEB5C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D50D9C" w14:paraId="4EC0462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D50D9C" w14:paraId="4150C64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D50D9C" w14:paraId="52D33F6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D50D9C" w14:paraId="0D3503D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D50D9C" w14:paraId="45E09D9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D50D9C" w14:paraId="550A0E2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D50D9C" w14:paraId="7DCD003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D50D9C" w14:paraId="3C8F5F2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D50D9C" w14:paraId="63434FE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D50D9C" w14:paraId="285E771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D50D9C" w14:paraId="4B0A889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D50D9C" w14:paraId="6E26D24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D50D9C" w14:paraId="625E14A8" w14:textId="7777777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D50D9C" w14:paraId="4E4B5EA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D50D9C" w14:paraId="3C7AFC8B" w14:textId="77777777">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1" w:name="_Toc277787607"/>
      <w:bookmarkStart w:id="22" w:name="_Toc272569773"/>
      <w:bookmarkStart w:id="23" w:name="_Toc296440126"/>
      <w:bookmarkStart w:id="24" w:name="_Toc296526936"/>
      <w:bookmarkStart w:id="25" w:name="_Toc296526958"/>
      <w:bookmarkStart w:id="26" w:name="_Toc306614238"/>
      <w:bookmarkStart w:id="27" w:name="_Toc310512463"/>
      <w:bookmarkStart w:id="28" w:name="_Toc277786078"/>
      <w:bookmarkStart w:id="29" w:name="_Toc277787599"/>
      <w:bookmarkStart w:id="30" w:name="_Toc277786086"/>
      <w:bookmarkStart w:id="31" w:name="_Toc309286024"/>
      <w:bookmarkStart w:id="32" w:name="_Toc296526926"/>
      <w:bookmarkStart w:id="33" w:name="_Toc296526927"/>
      <w:bookmarkStart w:id="34" w:name="_Toc296526928"/>
      <w:bookmarkStart w:id="35" w:name="_Toc296526992"/>
      <w:bookmarkStart w:id="36" w:name="_Toc296526993"/>
      <w:bookmarkStart w:id="37" w:name="_Toc308697511"/>
      <w:bookmarkStart w:id="38" w:name="_Toc309286033"/>
      <w:bookmarkStart w:id="39" w:name="_Toc272569767"/>
      <w:bookmarkStart w:id="40" w:name="_Toc272569768"/>
      <w:bookmarkStart w:id="41" w:name="_Toc308697502"/>
      <w:bookmarkStart w:id="42" w:name="_Toc296526933"/>
      <w:bookmarkStart w:id="43" w:name="_Toc296526934"/>
      <w:bookmarkStart w:id="44" w:name="_Toc310512627"/>
      <w:bookmarkStart w:id="45" w:name="_Toc310512780"/>
      <w:bookmarkStart w:id="46" w:name="_Toc310512933"/>
      <w:bookmarkStart w:id="47" w:name="_Toc272569765"/>
      <w:bookmarkStart w:id="48" w:name="_Toc272569766"/>
      <w:bookmarkStart w:id="49" w:name="_Toc296526929"/>
      <w:bookmarkStart w:id="50" w:name="_Toc296526931"/>
      <w:bookmarkStart w:id="51" w:name="_Toc296526932"/>
      <w:bookmarkStart w:id="52" w:name="_Toc272569771"/>
      <w:bookmarkStart w:id="53" w:name="_Toc272569772"/>
      <w:bookmarkStart w:id="54" w:name="_Toc308697512"/>
      <w:bookmarkStart w:id="55" w:name="_Toc309286034"/>
      <w:bookmarkStart w:id="56" w:name="_Toc308697513"/>
      <w:bookmarkStart w:id="57" w:name="_Toc296526963"/>
      <w:bookmarkStart w:id="58" w:name="_Toc296526974"/>
      <w:bookmarkStart w:id="59" w:name="_Toc278409390"/>
      <w:bookmarkStart w:id="60" w:name="_Toc277752506"/>
      <w:bookmarkStart w:id="61" w:name="_Toc277786085"/>
      <w:bookmarkStart w:id="62" w:name="_Toc277787606"/>
      <w:bookmarkStart w:id="63" w:name="_Toc277787880"/>
      <w:bookmarkStart w:id="64" w:name="_Toc278409391"/>
      <w:bookmarkStart w:id="65" w:name="_Toc277752507"/>
      <w:bookmarkStart w:id="66" w:name="_Toc309286117"/>
      <w:bookmarkStart w:id="67" w:name="_Toc308697596"/>
      <w:bookmarkStart w:id="68" w:name="_Toc309286118"/>
      <w:bookmarkStart w:id="69" w:name="_Toc308697597"/>
      <w:bookmarkStart w:id="70" w:name="_Toc309286119"/>
      <w:bookmarkStart w:id="71" w:name="_Toc308697598"/>
      <w:bookmarkStart w:id="72" w:name="_Toc277752499"/>
      <w:bookmarkStart w:id="73" w:name="_Toc277787881"/>
      <w:bookmarkStart w:id="74" w:name="_Toc278409392"/>
      <w:bookmarkStart w:id="75" w:name="_Toc277752508"/>
      <w:bookmarkStart w:id="76" w:name="_Toc277787873"/>
      <w:bookmarkStart w:id="77" w:name="_Toc308697499"/>
      <w:bookmarkStart w:id="78" w:name="_Toc309286021"/>
      <w:bookmarkStart w:id="79" w:name="_Toc308697500"/>
      <w:bookmarkStart w:id="80" w:name="_Toc309286022"/>
      <w:bookmarkStart w:id="81" w:name="_Toc308697501"/>
      <w:bookmarkStart w:id="82" w:name="_Toc309286023"/>
      <w:bookmarkStart w:id="83" w:name="_Toc309286065"/>
      <w:bookmarkStart w:id="84" w:name="_Toc309286144"/>
      <w:bookmarkStart w:id="85" w:name="_Toc308697623"/>
      <w:bookmarkStart w:id="86" w:name="_Toc309286145"/>
      <w:bookmarkStart w:id="87" w:name="_Toc308697624"/>
      <w:bookmarkStart w:id="88" w:name="_Toc309286146"/>
      <w:bookmarkStart w:id="89" w:name="_Toc308697625"/>
      <w:bookmarkStart w:id="90" w:name="_Toc309286147"/>
      <w:bookmarkStart w:id="91" w:name="_Toc308697626"/>
      <w:bookmarkStart w:id="92" w:name="_Toc310513073"/>
      <w:bookmarkStart w:id="93" w:name="_Toc308697503"/>
      <w:bookmarkStart w:id="94" w:name="_Toc309286025"/>
      <w:bookmarkStart w:id="95" w:name="_Toc308697504"/>
      <w:bookmarkStart w:id="96" w:name="_Toc272569769"/>
      <w:bookmarkStart w:id="97" w:name="_Toc272569770"/>
      <w:bookmarkStart w:id="98" w:name="_Toc308697508"/>
      <w:bookmarkStart w:id="99" w:name="_Toc309286030"/>
      <w:bookmarkStart w:id="100" w:name="_Toc308697509"/>
      <w:bookmarkStart w:id="101" w:name="_Toc309286031"/>
      <w:bookmarkStart w:id="102" w:name="_Toc308697510"/>
      <w:bookmarkStart w:id="103" w:name="_Toc309286032"/>
      <w:bookmarkStart w:id="104" w:name="_Toc44229110"/>
      <w:bookmarkStart w:id="105" w:name="_Toc44229205"/>
      <w:bookmarkStart w:id="106" w:name="_Toc44229111"/>
      <w:bookmarkStart w:id="107" w:name="_Toc44229206"/>
      <w:bookmarkStart w:id="108" w:name="_Toc44229112"/>
      <w:bookmarkStart w:id="109" w:name="_Toc44229207"/>
      <w:bookmarkStart w:id="110" w:name="_Toc44229113"/>
      <w:bookmarkStart w:id="111" w:name="_Toc44229208"/>
      <w:bookmarkStart w:id="112" w:name="_Toc309286035"/>
      <w:bookmarkStart w:id="113" w:name="_Toc277752504"/>
      <w:bookmarkStart w:id="114" w:name="_Toc323051000"/>
      <w:bookmarkStart w:id="115" w:name="_Toc308697488"/>
      <w:bookmarkStart w:id="116" w:name="_Toc309286010"/>
      <w:bookmarkStart w:id="117" w:name="_Toc296526989"/>
      <w:bookmarkStart w:id="118" w:name="_Toc323051008"/>
      <w:bookmarkStart w:id="119" w:name="_Toc309286115"/>
      <w:bookmarkStart w:id="120" w:name="_Toc308697594"/>
      <w:bookmarkStart w:id="121" w:name="_Toc309286116"/>
      <w:bookmarkStart w:id="122" w:name="_Toc308697595"/>
      <w:bookmarkStart w:id="123" w:name="_Toc272570577"/>
      <w:bookmarkStart w:id="124" w:name="_Toc272570710"/>
      <w:bookmarkStart w:id="125" w:name="_Toc272570843"/>
      <w:bookmarkStart w:id="126" w:name="_Toc272569094"/>
      <w:bookmarkStart w:id="127" w:name="_Toc272569246"/>
      <w:bookmarkStart w:id="128" w:name="_Toc272569430"/>
      <w:bookmarkStart w:id="129" w:name="_Toc272569567"/>
      <w:bookmarkStart w:id="130" w:name="_Toc272569703"/>
      <w:bookmarkStart w:id="131" w:name="_Toc272569854"/>
      <w:bookmarkStart w:id="132" w:name="_Toc272570177"/>
      <w:bookmarkStart w:id="133" w:name="_Toc272570311"/>
      <w:bookmarkStart w:id="134" w:name="_Toc272570444"/>
      <w:bookmarkStart w:id="135" w:name="_Toc272570578"/>
      <w:bookmarkStart w:id="136" w:name="_Toc272570711"/>
      <w:bookmarkStart w:id="137" w:name="_Toc272570844"/>
      <w:bookmarkStart w:id="138" w:name="_Toc272569095"/>
      <w:bookmarkStart w:id="139" w:name="_Toc309286121"/>
      <w:bookmarkStart w:id="140" w:name="_Toc308697600"/>
      <w:bookmarkStart w:id="141" w:name="_Toc309286122"/>
      <w:bookmarkStart w:id="142" w:name="_Toc308697601"/>
      <w:bookmarkStart w:id="143" w:name="_Toc309286123"/>
      <w:bookmarkStart w:id="144" w:name="_Toc309286120"/>
      <w:bookmarkStart w:id="145" w:name="_Toc308697599"/>
      <w:bookmarkStart w:id="146" w:name="_Toc277786087"/>
      <w:bookmarkStart w:id="147" w:name="_Toc278409384"/>
      <w:bookmarkStart w:id="148" w:name="_Toc308697497"/>
      <w:bookmarkStart w:id="149" w:name="_Toc309286019"/>
      <w:bookmarkStart w:id="150" w:name="_Toc308697498"/>
      <w:bookmarkStart w:id="151" w:name="_Toc309286020"/>
      <w:bookmarkStart w:id="152" w:name="_Toc308697542"/>
      <w:bookmarkStart w:id="153" w:name="_Toc309286064"/>
      <w:bookmarkStart w:id="154" w:name="_Toc308697543"/>
      <w:bookmarkStart w:id="155" w:name="_Toc309286140"/>
      <w:bookmarkStart w:id="156" w:name="_Toc308697619"/>
      <w:bookmarkStart w:id="157" w:name="_Toc309286141"/>
      <w:bookmarkStart w:id="158" w:name="_Toc308697620"/>
      <w:bookmarkStart w:id="159" w:name="_Toc309286142"/>
      <w:bookmarkStart w:id="160" w:name="_Toc308697621"/>
      <w:bookmarkStart w:id="161" w:name="_Toc309286143"/>
      <w:bookmarkStart w:id="162" w:name="_Toc308697622"/>
      <w:bookmarkStart w:id="163" w:name="_Toc38441849"/>
      <w:bookmarkStart w:id="164" w:name="_Toc38442181"/>
      <w:bookmarkStart w:id="165" w:name="_Toc38442513"/>
      <w:bookmarkStart w:id="166" w:name="_Toc38442844"/>
      <w:bookmarkStart w:id="167" w:name="_Toc38443175"/>
      <w:bookmarkStart w:id="168" w:name="_Toc38443506"/>
      <w:bookmarkStart w:id="169" w:name="_Toc38443837"/>
      <w:bookmarkStart w:id="170" w:name="_Toc38438304"/>
      <w:bookmarkStart w:id="171" w:name="_Toc38438641"/>
      <w:bookmarkStart w:id="172" w:name="_Toc38438978"/>
      <w:bookmarkStart w:id="173" w:name="_Toc38439315"/>
      <w:bookmarkStart w:id="174" w:name="_Toc38439652"/>
      <w:bookmarkStart w:id="175" w:name="_Toc38439989"/>
      <w:bookmarkStart w:id="176" w:name="_Toc38440326"/>
      <w:bookmarkStart w:id="177" w:name="_Toc309286148"/>
      <w:bookmarkStart w:id="178" w:name="_Toc308697627"/>
      <w:bookmarkStart w:id="179" w:name="_Toc310513348"/>
      <w:bookmarkStart w:id="180" w:name="_Toc323051024"/>
      <w:bookmarkStart w:id="181" w:name="_Toc310512464"/>
      <w:bookmarkStart w:id="182" w:name="_Toc310512628"/>
      <w:bookmarkStart w:id="183" w:name="_Toc310512781"/>
      <w:bookmarkStart w:id="184" w:name="_Toc310512934"/>
      <w:bookmarkStart w:id="185" w:name="_Toc310513212"/>
      <w:bookmarkStart w:id="186" w:name="_Toc309286026"/>
      <w:bookmarkStart w:id="187" w:name="_Toc308697505"/>
      <w:bookmarkStart w:id="188" w:name="_Toc309286027"/>
      <w:bookmarkStart w:id="189" w:name="_Toc308697506"/>
      <w:bookmarkStart w:id="190" w:name="_Toc309286028"/>
      <w:bookmarkStart w:id="191" w:name="_Toc308697507"/>
      <w:bookmarkStart w:id="192" w:name="_Toc309286029"/>
      <w:bookmarkStart w:id="193" w:name="_Toc308697562"/>
      <w:bookmarkStart w:id="194" w:name="_Toc309286084"/>
      <w:bookmarkStart w:id="195" w:name="_Toc44229106"/>
      <w:bookmarkStart w:id="196" w:name="_Toc44229201"/>
      <w:bookmarkStart w:id="197" w:name="_Toc44229107"/>
      <w:bookmarkStart w:id="198" w:name="_Toc44229202"/>
      <w:bookmarkStart w:id="199" w:name="_Toc44229108"/>
      <w:bookmarkStart w:id="200" w:name="_Toc44229203"/>
      <w:bookmarkStart w:id="201" w:name="_Toc44229109"/>
      <w:bookmarkStart w:id="202" w:name="_Toc44229204"/>
      <w:bookmarkStart w:id="203" w:name="_Toc308697661"/>
      <w:bookmarkStart w:id="204" w:name="_Toc309286183"/>
      <w:bookmarkStart w:id="205" w:name="_Toc308697662"/>
      <w:bookmarkStart w:id="206" w:name="_Toc309286184"/>
      <w:bookmarkStart w:id="207" w:name="_Toc308697663"/>
      <w:bookmarkStart w:id="208" w:name="_Toc309286185"/>
      <w:bookmarkStart w:id="209" w:name="_Toc308697664"/>
      <w:bookmarkStart w:id="210" w:name="_Toc309286186"/>
      <w:bookmarkStart w:id="211" w:name="_Toc308697665"/>
      <w:bookmarkStart w:id="212" w:name="_Toc309286187"/>
      <w:bookmarkStart w:id="213" w:name="_Toc308697666"/>
      <w:bookmarkStart w:id="214" w:name="_Toc309286188"/>
      <w:bookmarkStart w:id="215" w:name="_Toc308697667"/>
      <w:bookmarkStart w:id="216" w:name="_Toc309286189"/>
      <w:bookmarkStart w:id="217" w:name="_Toc308697668"/>
      <w:bookmarkStart w:id="218" w:name="_Toc309286190"/>
      <w:bookmarkStart w:id="219" w:name="_Toc185222016"/>
      <w:bookmarkStart w:id="220" w:name="_Toc185222488"/>
      <w:bookmarkStart w:id="221" w:name="_Toc185222591"/>
      <w:bookmarkStart w:id="222" w:name="_Toc185222757"/>
      <w:bookmarkStart w:id="223" w:name="_Hlt80958353"/>
      <w:bookmarkStart w:id="224" w:name="_Toc278409426"/>
      <w:bookmarkStart w:id="225" w:name="_Toc323051053"/>
      <w:bookmarkStart w:id="226" w:name="_Toc277786083"/>
      <w:bookmarkStart w:id="227" w:name="_Toc277787604"/>
      <w:bookmarkStart w:id="228" w:name="_Toc277787878"/>
      <w:bookmarkStart w:id="229" w:name="_Toc278409389"/>
      <w:bookmarkStart w:id="230" w:name="_Toc277752505"/>
      <w:bookmarkStart w:id="231" w:name="_Toc277786084"/>
      <w:bookmarkStart w:id="232" w:name="_Toc277787605"/>
      <w:bookmarkStart w:id="233" w:name="_Toc277787879"/>
      <w:bookmarkStart w:id="234" w:name="_Toc308697590"/>
      <w:bookmarkStart w:id="235" w:name="_Toc309286112"/>
      <w:bookmarkStart w:id="236" w:name="_Toc308697591"/>
      <w:bookmarkStart w:id="237" w:name="_Toc309286113"/>
      <w:bookmarkStart w:id="238" w:name="_Toc308697592"/>
      <w:bookmarkStart w:id="239" w:name="_Toc309286114"/>
      <w:bookmarkStart w:id="240" w:name="_Toc308697593"/>
      <w:bookmarkStart w:id="241" w:name="_Toc38438324"/>
      <w:bookmarkStart w:id="242" w:name="_Toc38438661"/>
      <w:bookmarkStart w:id="243" w:name="_Toc38438998"/>
      <w:bookmarkStart w:id="244" w:name="_Toc38439335"/>
      <w:bookmarkStart w:id="245" w:name="_Toc38439672"/>
      <w:bookmarkStart w:id="246" w:name="_Toc38440009"/>
      <w:bookmarkStart w:id="247" w:name="_Toc38440346"/>
      <w:bookmarkStart w:id="248" w:name="_Toc38440679"/>
      <w:bookmarkStart w:id="249" w:name="_Toc38440878"/>
      <w:bookmarkStart w:id="250" w:name="_Toc38441210"/>
      <w:bookmarkStart w:id="251" w:name="_Toc38441542"/>
      <w:bookmarkStart w:id="252" w:name="_Toc38441870"/>
      <w:bookmarkStart w:id="253" w:name="_Toc38442202"/>
      <w:bookmarkStart w:id="254" w:name="_Toc38442534"/>
      <w:bookmarkStart w:id="255" w:name="_Toc38442865"/>
      <w:bookmarkStart w:id="256" w:name="_Toc38443196"/>
      <w:bookmarkStart w:id="257" w:name="_Toc38443527"/>
      <w:bookmarkStart w:id="258" w:name="_Toc38443858"/>
      <w:bookmarkStart w:id="259" w:name="_Toc38438325"/>
      <w:bookmarkStart w:id="260" w:name="_Toc38438662"/>
      <w:bookmarkStart w:id="261" w:name="_Toc38438999"/>
      <w:bookmarkStart w:id="262" w:name="_Toc38439336"/>
      <w:bookmarkStart w:id="263" w:name="_Toc38439673"/>
      <w:bookmarkStart w:id="264" w:name="_Toc38440010"/>
      <w:bookmarkStart w:id="265" w:name="_Toc38440347"/>
      <w:bookmarkStart w:id="266" w:name="_Toc38440879"/>
      <w:bookmarkStart w:id="267" w:name="_Toc38441211"/>
      <w:bookmarkStart w:id="268" w:name="_Toc38441543"/>
      <w:bookmarkStart w:id="269" w:name="_Toc38441871"/>
      <w:bookmarkStart w:id="270" w:name="_Toc38442203"/>
      <w:bookmarkStart w:id="271" w:name="_Toc38442535"/>
      <w:bookmarkStart w:id="272" w:name="_Toc38442866"/>
      <w:bookmarkStart w:id="273" w:name="_Toc272569247"/>
      <w:bookmarkStart w:id="274" w:name="_Toc272569431"/>
      <w:bookmarkStart w:id="275" w:name="_Toc272569568"/>
      <w:bookmarkStart w:id="276" w:name="_Toc272569704"/>
      <w:bookmarkStart w:id="277" w:name="_Toc272569855"/>
      <w:bookmarkStart w:id="278" w:name="_Toc272570178"/>
      <w:bookmarkStart w:id="279" w:name="_Toc272570312"/>
      <w:bookmarkStart w:id="280" w:name="_Toc272570445"/>
      <w:bookmarkStart w:id="281" w:name="_Toc272570579"/>
      <w:bookmarkStart w:id="282" w:name="_Toc272570712"/>
      <w:bookmarkStart w:id="283" w:name="_Toc272570845"/>
      <w:bookmarkStart w:id="284" w:name="_Toc272569096"/>
      <w:bookmarkStart w:id="285" w:name="_Toc272569248"/>
      <w:bookmarkStart w:id="286" w:name="_Toc272569432"/>
      <w:bookmarkStart w:id="287" w:name="_Toc272569569"/>
      <w:bookmarkStart w:id="288" w:name="_Toc272569705"/>
      <w:bookmarkStart w:id="289" w:name="_Toc272569856"/>
      <w:bookmarkStart w:id="290" w:name="_Toc272570179"/>
      <w:bookmarkStart w:id="291" w:name="_Toc272570313"/>
      <w:bookmarkStart w:id="292" w:name="_Toc309286124"/>
      <w:bookmarkStart w:id="293" w:name="_Toc308697602"/>
      <w:bookmarkStart w:id="294" w:name="_Toc277787608"/>
      <w:bookmarkStart w:id="295" w:name="_Toc277787882"/>
      <w:bookmarkStart w:id="296" w:name="_Toc278409393"/>
      <w:bookmarkStart w:id="297" w:name="_Toc277752509"/>
      <w:bookmarkStart w:id="298" w:name="_Toc277786088"/>
      <w:bookmarkStart w:id="299" w:name="_Toc277787609"/>
      <w:bookmarkStart w:id="300" w:name="_Toc277787883"/>
      <w:bookmarkStart w:id="301" w:name="_Toc278409394"/>
      <w:bookmarkStart w:id="302" w:name="_Toc308697516"/>
      <w:bookmarkStart w:id="303" w:name="_Toc309286038"/>
      <w:bookmarkStart w:id="304" w:name="_Toc308697517"/>
      <w:bookmarkStart w:id="305" w:name="_Toc309286039"/>
      <w:bookmarkStart w:id="306" w:name="_Toc296527004"/>
      <w:bookmarkStart w:id="307" w:name="_Toc308697541"/>
      <w:bookmarkStart w:id="308" w:name="_Toc309286063"/>
      <w:bookmarkStart w:id="309" w:name="_Toc272569102"/>
      <w:bookmarkStart w:id="310" w:name="_Toc272569254"/>
      <w:bookmarkStart w:id="311" w:name="_Toc272569438"/>
      <w:bookmarkStart w:id="312" w:name="_Toc272569575"/>
      <w:bookmarkStart w:id="313" w:name="_Toc272569711"/>
      <w:bookmarkStart w:id="314" w:name="_Toc272569862"/>
      <w:bookmarkStart w:id="315" w:name="_Toc272570185"/>
      <w:bookmarkStart w:id="316" w:name="_Toc272570319"/>
      <w:bookmarkStart w:id="317" w:name="_Toc272570452"/>
      <w:bookmarkStart w:id="318" w:name="_Toc272570586"/>
      <w:bookmarkStart w:id="319" w:name="_Toc272570719"/>
      <w:bookmarkStart w:id="320" w:name="_Toc272570852"/>
      <w:bookmarkStart w:id="321" w:name="_Toc272569103"/>
      <w:bookmarkStart w:id="322" w:name="_Toc272569255"/>
      <w:bookmarkStart w:id="323" w:name="_Toc272569439"/>
      <w:bookmarkStart w:id="324" w:name="_Toc272569576"/>
      <w:bookmarkStart w:id="325" w:name="_Toc38441521"/>
      <w:bookmarkStart w:id="326" w:name="_Toc38440021"/>
      <w:bookmarkStart w:id="327" w:name="_Toc38440358"/>
      <w:bookmarkStart w:id="328" w:name="_Toc38440890"/>
      <w:bookmarkStart w:id="329" w:name="_Toc38441222"/>
      <w:bookmarkStart w:id="330" w:name="_Toc38441554"/>
      <w:bookmarkStart w:id="331" w:name="_Toc38441882"/>
      <w:bookmarkStart w:id="332" w:name="_Toc38442214"/>
      <w:bookmarkStart w:id="333" w:name="_Toc38442546"/>
      <w:bookmarkStart w:id="334" w:name="_Toc38442877"/>
      <w:bookmarkStart w:id="335" w:name="_Toc38443208"/>
      <w:bookmarkStart w:id="336" w:name="_Toc38443539"/>
      <w:bookmarkStart w:id="337" w:name="_Toc38443870"/>
      <w:bookmarkStart w:id="338" w:name="_Toc38438337"/>
      <w:bookmarkStart w:id="339" w:name="_Toc38438674"/>
      <w:bookmarkStart w:id="340" w:name="_Toc38439011"/>
      <w:bookmarkStart w:id="341" w:name="_Toc38439348"/>
      <w:bookmarkStart w:id="342" w:name="_Toc38439685"/>
      <w:bookmarkStart w:id="343" w:name="_Toc38440022"/>
      <w:bookmarkStart w:id="344" w:name="_Toc38440359"/>
      <w:bookmarkStart w:id="345" w:name="_Toc38440891"/>
      <w:bookmarkStart w:id="346" w:name="_Toc38441223"/>
      <w:bookmarkStart w:id="347" w:name="_Toc38441555"/>
      <w:bookmarkStart w:id="348" w:name="_Toc38441883"/>
      <w:bookmarkStart w:id="349" w:name="_Toc38442215"/>
      <w:bookmarkStart w:id="350" w:name="_Toc38442547"/>
      <w:bookmarkStart w:id="351" w:name="_Toc38442878"/>
      <w:bookmarkStart w:id="352" w:name="_Toc38443209"/>
      <w:bookmarkStart w:id="353" w:name="_Toc38443540"/>
      <w:bookmarkStart w:id="354" w:name="_Toc38443871"/>
      <w:bookmarkStart w:id="355" w:name="_Toc38438338"/>
      <w:bookmarkStart w:id="356" w:name="_Toc38438675"/>
      <w:bookmarkStart w:id="357" w:name="_Toc38439012"/>
      <w:bookmarkStart w:id="358" w:name="_Toc309286149"/>
      <w:bookmarkStart w:id="359" w:name="_Toc308697628"/>
      <w:bookmarkStart w:id="360" w:name="_Toc309286150"/>
      <w:bookmarkStart w:id="361" w:name="_Toc308697629"/>
      <w:bookmarkStart w:id="362" w:name="_Toc309286151"/>
      <w:bookmarkStart w:id="363" w:name="_Toc308697630"/>
      <w:bookmarkStart w:id="364" w:name="_Toc309286152"/>
      <w:bookmarkStart w:id="365" w:name="_Toc308697631"/>
      <w:bookmarkStart w:id="366" w:name="_Toc309286153"/>
      <w:bookmarkStart w:id="367" w:name="_Toc308697632"/>
      <w:bookmarkStart w:id="368" w:name="_Toc309286154"/>
      <w:bookmarkStart w:id="369" w:name="_Toc308697633"/>
      <w:bookmarkStart w:id="370" w:name="_Toc309286155"/>
      <w:bookmarkStart w:id="371" w:name="_Toc308697634"/>
      <w:bookmarkStart w:id="372" w:name="_Toc309286156"/>
      <w:bookmarkStart w:id="373" w:name="_Toc308697635"/>
      <w:bookmarkStart w:id="374" w:name="_Toc309286157"/>
      <w:bookmarkStart w:id="375" w:name="_Toc308697636"/>
      <w:bookmarkStart w:id="376" w:name="_Toc309286158"/>
      <w:bookmarkStart w:id="377" w:name="_Toc310513074"/>
      <w:bookmarkStart w:id="378" w:name="_Toc310513213"/>
      <w:bookmarkStart w:id="379" w:name="_Toc310513349"/>
      <w:bookmarkStart w:id="380" w:name="_Toc323051025"/>
      <w:bookmarkStart w:id="381" w:name="_Toc310512465"/>
      <w:bookmarkStart w:id="382" w:name="_Toc310512629"/>
      <w:bookmarkStart w:id="383" w:name="_Toc310512782"/>
      <w:bookmarkStart w:id="384" w:name="_Toc310512935"/>
      <w:bookmarkStart w:id="385" w:name="_Toc310513075"/>
      <w:bookmarkStart w:id="386" w:name="_Toc310513214"/>
      <w:bookmarkStart w:id="387" w:name="_Toc310513350"/>
      <w:bookmarkStart w:id="388" w:name="_Toc323051026"/>
      <w:bookmarkStart w:id="389" w:name="_Toc308697560"/>
      <w:bookmarkStart w:id="390" w:name="_Toc309286082"/>
      <w:bookmarkStart w:id="391" w:name="_Toc308697561"/>
      <w:bookmarkStart w:id="392" w:name="_Toc309286083"/>
      <w:bookmarkStart w:id="393" w:name="_Toc308697653"/>
      <w:bookmarkStart w:id="394" w:name="_Toc309286175"/>
      <w:bookmarkStart w:id="395" w:name="_Toc308697654"/>
      <w:bookmarkStart w:id="396" w:name="_Toc309286176"/>
      <w:bookmarkStart w:id="397" w:name="_Toc308697655"/>
      <w:bookmarkStart w:id="398" w:name="_Toc309286177"/>
      <w:bookmarkStart w:id="399" w:name="_Toc308697656"/>
      <w:bookmarkStart w:id="400" w:name="_Toc309286178"/>
      <w:bookmarkStart w:id="401" w:name="_Toc308697657"/>
      <w:bookmarkStart w:id="402" w:name="_Toc309286179"/>
      <w:bookmarkStart w:id="403" w:name="_Toc308697658"/>
      <w:bookmarkStart w:id="404" w:name="_Toc309286180"/>
      <w:bookmarkStart w:id="405" w:name="_Toc308697659"/>
      <w:bookmarkStart w:id="406" w:name="_Toc309286181"/>
      <w:bookmarkStart w:id="407" w:name="_Toc308697660"/>
      <w:bookmarkStart w:id="408" w:name="_Toc309286182"/>
      <w:bookmarkStart w:id="409" w:name="_Toc38442192"/>
      <w:bookmarkStart w:id="410" w:name="_Toc38442524"/>
      <w:bookmarkStart w:id="411" w:name="_Toc38442855"/>
      <w:bookmarkStart w:id="412" w:name="_Toc38443186"/>
      <w:bookmarkStart w:id="413" w:name="_Toc38443517"/>
      <w:bookmarkStart w:id="414" w:name="_Toc38443848"/>
      <w:bookmarkStart w:id="415" w:name="_Toc38438315"/>
      <w:bookmarkStart w:id="416" w:name="_Toc38438652"/>
      <w:bookmarkStart w:id="417" w:name="_Toc38438989"/>
      <w:bookmarkStart w:id="418" w:name="_Toc38439326"/>
      <w:bookmarkStart w:id="419" w:name="_Toc38439663"/>
      <w:bookmarkStart w:id="420" w:name="_Toc38440000"/>
      <w:bookmarkStart w:id="421" w:name="_Toc38440337"/>
      <w:bookmarkStart w:id="422" w:name="_Toc38440670"/>
      <w:bookmarkStart w:id="423" w:name="_Toc38440869"/>
      <w:bookmarkStart w:id="424" w:name="_Toc38441201"/>
      <w:bookmarkStart w:id="425" w:name="_Toc38441533"/>
      <w:bookmarkStart w:id="426" w:name="_Toc38441861"/>
      <w:bookmarkStart w:id="427" w:name="_Toc38442193"/>
      <w:bookmarkStart w:id="428" w:name="_Toc38442525"/>
      <w:bookmarkStart w:id="429" w:name="_Toc38442856"/>
      <w:bookmarkStart w:id="430" w:name="_Toc38443187"/>
      <w:bookmarkStart w:id="431" w:name="_Toc38443518"/>
      <w:bookmarkStart w:id="432" w:name="_Toc38443849"/>
      <w:bookmarkStart w:id="433" w:name="_Toc38438316"/>
      <w:bookmarkStart w:id="434" w:name="_Toc38438653"/>
      <w:bookmarkStart w:id="435" w:name="_Toc38438990"/>
      <w:bookmarkStart w:id="436" w:name="_Toc38439327"/>
      <w:bookmarkStart w:id="437" w:name="_Toc38439664"/>
      <w:bookmarkStart w:id="438" w:name="_Toc38440001"/>
      <w:bookmarkStart w:id="439" w:name="_Toc38440338"/>
      <w:bookmarkStart w:id="440" w:name="_Toc38440671"/>
      <w:bookmarkStart w:id="441" w:name="_Toc308697669"/>
      <w:bookmarkStart w:id="442" w:name="_Toc309286191"/>
      <w:bookmarkStart w:id="443" w:name="_Toc308697670"/>
      <w:bookmarkStart w:id="444" w:name="_Toc309286192"/>
      <w:bookmarkStart w:id="445" w:name="_Toc308697671"/>
      <w:bookmarkStart w:id="446" w:name="_Toc309286193"/>
      <w:bookmarkStart w:id="447" w:name="_Toc308697672"/>
      <w:bookmarkStart w:id="448" w:name="_Toc309286194"/>
      <w:bookmarkStart w:id="449" w:name="_Toc308697673"/>
      <w:bookmarkStart w:id="450" w:name="_Toc309286195"/>
      <w:bookmarkStart w:id="451" w:name="_Toc308697674"/>
      <w:bookmarkStart w:id="452" w:name="_Toc309286196"/>
      <w:bookmarkStart w:id="453" w:name="_Toc308697675"/>
      <w:bookmarkStart w:id="454" w:name="_Toc309286197"/>
      <w:bookmarkStart w:id="455" w:name="_Toc308697676"/>
      <w:bookmarkStart w:id="456" w:name="_Toc309286198"/>
      <w:bookmarkStart w:id="457" w:name="_Toc308697677"/>
      <w:bookmarkStart w:id="458" w:name="_Toc309286199"/>
      <w:bookmarkStart w:id="459" w:name="_Toc308697678"/>
      <w:bookmarkStart w:id="460" w:name="_Toc309286200"/>
      <w:bookmarkStart w:id="461" w:name="_Toc323051054"/>
      <w:bookmarkStart w:id="462" w:name="_Toc323051055"/>
      <w:bookmarkStart w:id="463" w:name="_Toc308697583"/>
      <w:bookmarkStart w:id="464" w:name="_Toc309286105"/>
      <w:bookmarkStart w:id="465" w:name="_Toc308697584"/>
      <w:bookmarkStart w:id="466" w:name="_Toc309286106"/>
      <w:bookmarkStart w:id="467" w:name="_Toc308697585"/>
      <w:bookmarkStart w:id="468" w:name="_Toc309286107"/>
      <w:bookmarkStart w:id="469" w:name="_Toc308697586"/>
      <w:bookmarkStart w:id="470" w:name="_Toc309286108"/>
      <w:bookmarkStart w:id="471" w:name="_Toc308697587"/>
      <w:bookmarkStart w:id="472" w:name="_Toc309286109"/>
      <w:bookmarkStart w:id="473" w:name="_Toc308697588"/>
      <w:bookmarkStart w:id="474" w:name="_Toc309286110"/>
      <w:bookmarkStart w:id="475" w:name="_Toc308697589"/>
      <w:bookmarkStart w:id="476" w:name="_Toc309286111"/>
      <w:bookmarkStart w:id="477" w:name="_Toc272569700"/>
      <w:bookmarkStart w:id="478" w:name="_Toc272569851"/>
      <w:bookmarkStart w:id="479" w:name="_Toc272570174"/>
      <w:bookmarkStart w:id="480" w:name="_Toc272570308"/>
      <w:bookmarkStart w:id="481" w:name="_Toc272570441"/>
      <w:bookmarkStart w:id="482" w:name="_Toc272570575"/>
      <w:bookmarkStart w:id="483" w:name="_Toc272570708"/>
      <w:bookmarkStart w:id="484" w:name="_Toc272570841"/>
      <w:bookmarkStart w:id="485" w:name="_Toc272569093"/>
      <w:bookmarkStart w:id="486" w:name="_Toc272569245"/>
      <w:bookmarkStart w:id="487" w:name="_Toc272569429"/>
      <w:bookmarkStart w:id="488" w:name="_Toc272569566"/>
      <w:bookmarkStart w:id="489" w:name="_Toc272569702"/>
      <w:bookmarkStart w:id="490" w:name="_Toc272569853"/>
      <w:bookmarkStart w:id="491" w:name="_Toc272570176"/>
      <w:bookmarkStart w:id="492" w:name="_Toc272570310"/>
      <w:bookmarkStart w:id="493" w:name="_Toc272570443"/>
      <w:bookmarkStart w:id="494" w:name="_Toc38438329"/>
      <w:bookmarkStart w:id="495" w:name="_Toc38438666"/>
      <w:bookmarkStart w:id="496" w:name="_Toc38439003"/>
      <w:bookmarkStart w:id="497" w:name="_Toc38439340"/>
      <w:bookmarkStart w:id="498" w:name="_Toc38439677"/>
      <w:bookmarkStart w:id="499" w:name="_Toc38440014"/>
      <w:bookmarkStart w:id="500" w:name="_Toc38440351"/>
      <w:bookmarkStart w:id="501" w:name="_Toc38440883"/>
      <w:bookmarkStart w:id="502" w:name="_Toc38441215"/>
      <w:bookmarkStart w:id="503" w:name="_Toc38441547"/>
      <w:bookmarkStart w:id="504" w:name="_Toc38441875"/>
      <w:bookmarkStart w:id="505" w:name="_Toc38442207"/>
      <w:bookmarkStart w:id="506" w:name="_Toc38442539"/>
      <w:bookmarkStart w:id="507" w:name="_Toc38442870"/>
      <w:bookmarkStart w:id="508" w:name="_Toc38443201"/>
      <w:bookmarkStart w:id="509" w:name="_Toc38443532"/>
      <w:bookmarkStart w:id="510" w:name="_Toc38443863"/>
      <w:bookmarkStart w:id="511" w:name="_Toc38438330"/>
      <w:bookmarkStart w:id="512" w:name="_Toc38438667"/>
      <w:bookmarkStart w:id="513" w:name="_Toc38439004"/>
      <w:bookmarkStart w:id="514" w:name="_Toc38439341"/>
      <w:bookmarkStart w:id="515" w:name="_Toc38439678"/>
      <w:bookmarkStart w:id="516" w:name="_Toc38440015"/>
      <w:bookmarkStart w:id="517" w:name="_Toc38440352"/>
      <w:bookmarkStart w:id="518" w:name="_Toc38440884"/>
      <w:bookmarkStart w:id="519" w:name="_Toc38441216"/>
      <w:bookmarkStart w:id="520" w:name="_Toc38441548"/>
      <w:bookmarkStart w:id="521" w:name="_Toc38441876"/>
      <w:bookmarkStart w:id="522" w:name="_Toc38442208"/>
      <w:bookmarkStart w:id="523" w:name="_Toc38442540"/>
      <w:bookmarkStart w:id="524" w:name="_Toc38442871"/>
      <w:bookmarkStart w:id="525" w:name="_Toc38443202"/>
      <w:bookmarkStart w:id="526" w:name="_Toc38443533"/>
      <w:bookmarkStart w:id="527" w:name="_Toc38443864"/>
      <w:bookmarkStart w:id="528" w:name="_Toc38438331"/>
      <w:bookmarkStart w:id="529" w:name="_Toc38438668"/>
      <w:bookmarkStart w:id="530" w:name="_Toc38439005"/>
      <w:bookmarkStart w:id="531" w:name="_Toc38439342"/>
      <w:bookmarkStart w:id="532" w:name="_Toc38439679"/>
      <w:bookmarkStart w:id="533" w:name="_Toc38440016"/>
      <w:bookmarkStart w:id="534" w:name="_Toc38440353"/>
      <w:bookmarkStart w:id="535" w:name="_Toc38440885"/>
      <w:bookmarkStart w:id="536" w:name="_Toc38441217"/>
      <w:bookmarkStart w:id="537" w:name="_Toc38441549"/>
      <w:bookmarkStart w:id="538" w:name="_Toc38441877"/>
      <w:bookmarkStart w:id="539" w:name="_Toc38442209"/>
      <w:bookmarkStart w:id="540" w:name="_Toc38442541"/>
      <w:bookmarkStart w:id="541" w:name="_Toc38442872"/>
      <w:bookmarkStart w:id="542" w:name="_Toc38443203"/>
      <w:bookmarkStart w:id="543" w:name="_Toc38443534"/>
      <w:bookmarkStart w:id="544" w:name="_Toc38443865"/>
      <w:bookmarkStart w:id="545" w:name="_Toc38438332"/>
      <w:bookmarkStart w:id="546" w:name="_Toc38438669"/>
      <w:bookmarkStart w:id="547" w:name="_Toc38439006"/>
      <w:bookmarkStart w:id="548" w:name="_Toc38439343"/>
      <w:bookmarkStart w:id="549" w:name="_Toc38439680"/>
      <w:bookmarkStart w:id="550" w:name="_Toc38443197"/>
      <w:bookmarkStart w:id="551" w:name="_Toc38443528"/>
      <w:bookmarkStart w:id="552" w:name="_Toc38443859"/>
      <w:bookmarkStart w:id="553" w:name="_Toc38438326"/>
      <w:bookmarkStart w:id="554" w:name="_Toc38438663"/>
      <w:bookmarkStart w:id="555" w:name="_Toc38439000"/>
      <w:bookmarkStart w:id="556" w:name="_Toc38439337"/>
      <w:bookmarkStart w:id="557" w:name="_Toc38439674"/>
      <w:bookmarkStart w:id="558" w:name="_Toc38440011"/>
      <w:bookmarkStart w:id="559" w:name="_Toc38440348"/>
      <w:bookmarkStart w:id="560" w:name="_Toc38440880"/>
      <w:bookmarkStart w:id="561" w:name="_Toc38441212"/>
      <w:bookmarkStart w:id="562" w:name="_Toc38441544"/>
      <w:bookmarkStart w:id="563" w:name="_Toc38441872"/>
      <w:bookmarkStart w:id="564" w:name="_Toc38442204"/>
      <w:bookmarkStart w:id="565" w:name="_Toc38442536"/>
      <w:bookmarkStart w:id="566" w:name="_Toc38442867"/>
      <w:bookmarkStart w:id="567" w:name="_Toc38443198"/>
      <w:bookmarkStart w:id="568" w:name="_Toc38443529"/>
      <w:bookmarkStart w:id="569" w:name="_Toc38443860"/>
      <w:bookmarkStart w:id="570" w:name="_Toc38438327"/>
      <w:bookmarkStart w:id="571" w:name="_Toc38438664"/>
      <w:bookmarkStart w:id="572" w:name="_Toc38439001"/>
      <w:bookmarkStart w:id="573" w:name="_Toc38439338"/>
      <w:bookmarkStart w:id="574" w:name="_Toc38439675"/>
      <w:bookmarkStart w:id="575" w:name="_Toc38440012"/>
      <w:bookmarkStart w:id="576" w:name="_Toc38440349"/>
      <w:bookmarkStart w:id="577" w:name="_Toc38440881"/>
      <w:bookmarkStart w:id="578" w:name="_Toc38441213"/>
      <w:bookmarkStart w:id="579" w:name="_Toc38441545"/>
      <w:bookmarkStart w:id="580" w:name="_Toc38441873"/>
      <w:bookmarkStart w:id="581" w:name="_Toc38442205"/>
      <w:bookmarkStart w:id="582" w:name="_Toc38442537"/>
      <w:bookmarkStart w:id="583" w:name="_Toc38442868"/>
      <w:bookmarkStart w:id="584" w:name="_Toc38443199"/>
      <w:bookmarkStart w:id="585" w:name="_Toc38443530"/>
      <w:bookmarkStart w:id="586" w:name="_Toc38443861"/>
      <w:bookmarkStart w:id="587" w:name="_Toc38438328"/>
      <w:bookmarkStart w:id="588" w:name="_Toc38438665"/>
      <w:bookmarkStart w:id="589" w:name="_Toc38439002"/>
      <w:bookmarkStart w:id="590" w:name="_Toc38439339"/>
      <w:bookmarkStart w:id="591" w:name="_Toc38439676"/>
      <w:bookmarkStart w:id="592" w:name="_Toc38440013"/>
      <w:bookmarkStart w:id="593" w:name="_Toc38440350"/>
      <w:bookmarkStart w:id="594" w:name="_Toc38440882"/>
      <w:bookmarkStart w:id="595" w:name="_Toc38441214"/>
      <w:bookmarkStart w:id="596" w:name="_Toc38441546"/>
      <w:bookmarkStart w:id="597" w:name="_Toc308697603"/>
      <w:bookmarkStart w:id="598" w:name="_Toc309286125"/>
      <w:bookmarkStart w:id="599" w:name="_Toc308697604"/>
      <w:bookmarkStart w:id="600" w:name="_Toc309286126"/>
      <w:bookmarkStart w:id="601" w:name="_Toc308697605"/>
      <w:bookmarkStart w:id="602" w:name="_Toc309286127"/>
      <w:bookmarkStart w:id="603" w:name="_Toc308697606"/>
      <w:bookmarkStart w:id="604" w:name="_Toc309286128"/>
      <w:bookmarkStart w:id="605" w:name="_Toc308697607"/>
      <w:bookmarkStart w:id="606" w:name="_Toc309286129"/>
      <w:bookmarkStart w:id="607" w:name="_Toc308697608"/>
      <w:bookmarkStart w:id="608" w:name="_Toc309286130"/>
      <w:bookmarkStart w:id="609" w:name="_Toc308697609"/>
      <w:bookmarkStart w:id="610" w:name="_Toc309286131"/>
      <w:bookmarkStart w:id="611" w:name="_Toc308697610"/>
      <w:bookmarkStart w:id="612" w:name="_Toc309286132"/>
      <w:bookmarkStart w:id="613" w:name="_Toc308697611"/>
      <w:bookmarkStart w:id="614" w:name="_Toc309286133"/>
      <w:bookmarkStart w:id="615" w:name="_Toc308697612"/>
      <w:bookmarkStart w:id="616" w:name="_Toc309286134"/>
      <w:bookmarkStart w:id="617" w:name="_Toc308697613"/>
      <w:bookmarkStart w:id="618" w:name="_Toc309286135"/>
      <w:bookmarkStart w:id="619" w:name="_Toc308697614"/>
      <w:bookmarkStart w:id="620" w:name="_Toc309286136"/>
      <w:bookmarkStart w:id="621" w:name="_Toc308697615"/>
      <w:bookmarkStart w:id="622" w:name="_Toc309286137"/>
      <w:bookmarkStart w:id="623" w:name="_Toc308697616"/>
      <w:bookmarkStart w:id="624" w:name="_Toc309286138"/>
      <w:bookmarkStart w:id="625" w:name="_Toc308697617"/>
      <w:bookmarkStart w:id="626" w:name="_Toc309286139"/>
      <w:bookmarkStart w:id="627" w:name="_Toc308697618"/>
      <w:bookmarkStart w:id="628" w:name="_Toc272570850"/>
      <w:bookmarkStart w:id="629" w:name="_Toc38439009"/>
      <w:bookmarkStart w:id="630" w:name="_Toc38439346"/>
      <w:bookmarkStart w:id="631" w:name="_Toc38439683"/>
      <w:bookmarkStart w:id="632" w:name="_Toc38440020"/>
      <w:bookmarkStart w:id="633" w:name="_Toc38440357"/>
      <w:bookmarkStart w:id="634" w:name="_Toc38440889"/>
      <w:bookmarkStart w:id="635" w:name="_Toc38441221"/>
      <w:bookmarkStart w:id="636" w:name="_Toc38441553"/>
      <w:bookmarkStart w:id="637" w:name="_Toc38441881"/>
      <w:bookmarkStart w:id="638" w:name="_Toc38442213"/>
      <w:bookmarkStart w:id="639" w:name="_Toc38442545"/>
      <w:bookmarkStart w:id="640" w:name="_Toc38442876"/>
      <w:bookmarkStart w:id="641" w:name="_Toc38443207"/>
      <w:bookmarkStart w:id="642" w:name="_Toc38443538"/>
      <w:bookmarkStart w:id="643" w:name="_Toc38443869"/>
      <w:bookmarkStart w:id="644" w:name="_Toc38438336"/>
      <w:bookmarkStart w:id="645" w:name="_Toc38438673"/>
      <w:bookmarkStart w:id="646" w:name="_Toc38439010"/>
      <w:bookmarkStart w:id="647" w:name="_Toc38439347"/>
      <w:bookmarkStart w:id="648" w:name="_Toc38439684"/>
      <w:bookmarkStart w:id="649" w:name="_Toc38443169"/>
      <w:bookmarkStart w:id="650" w:name="_Toc38443500"/>
      <w:bookmarkStart w:id="651" w:name="_Toc38443831"/>
      <w:bookmarkStart w:id="652" w:name="_Toc38438298"/>
      <w:bookmarkStart w:id="653" w:name="_Toc38438635"/>
      <w:bookmarkStart w:id="654" w:name="_Toc38438647"/>
      <w:bookmarkStart w:id="655" w:name="_Toc38438984"/>
      <w:bookmarkStart w:id="656" w:name="_Toc38439321"/>
      <w:bookmarkStart w:id="657" w:name="_Toc38439658"/>
      <w:bookmarkStart w:id="658" w:name="_Toc38439995"/>
      <w:bookmarkStart w:id="659" w:name="_Toc38440332"/>
      <w:bookmarkStart w:id="660" w:name="_Toc38440665"/>
      <w:bookmarkStart w:id="661" w:name="_Toc38440864"/>
      <w:bookmarkStart w:id="662" w:name="_Toc38441196"/>
      <w:bookmarkStart w:id="663" w:name="_Toc38441528"/>
      <w:bookmarkStart w:id="664" w:name="_Toc38441856"/>
      <w:bookmarkStart w:id="665" w:name="_Toc38442188"/>
      <w:bookmarkStart w:id="666" w:name="_Toc38442520"/>
      <w:bookmarkStart w:id="667" w:name="_Toc38442851"/>
      <w:bookmarkStart w:id="668" w:name="_Toc38443182"/>
      <w:bookmarkStart w:id="669" w:name="_Toc38443513"/>
      <w:bookmarkStart w:id="670" w:name="_Toc38443844"/>
      <w:bookmarkStart w:id="671" w:name="_Toc38438311"/>
      <w:bookmarkStart w:id="672" w:name="_Toc38438648"/>
      <w:bookmarkStart w:id="673" w:name="_Toc38438985"/>
      <w:bookmarkStart w:id="674" w:name="_Toc38439322"/>
      <w:bookmarkStart w:id="675" w:name="_Toc38439659"/>
      <w:bookmarkStart w:id="676" w:name="_Toc38439996"/>
      <w:bookmarkStart w:id="677" w:name="_Toc38440333"/>
      <w:bookmarkStart w:id="678" w:name="_Toc38440666"/>
      <w:bookmarkStart w:id="679" w:name="_Toc38440865"/>
      <w:bookmarkStart w:id="680" w:name="_Toc38441197"/>
      <w:bookmarkStart w:id="681" w:name="_Toc38441529"/>
      <w:bookmarkStart w:id="682" w:name="_Toc38441857"/>
      <w:bookmarkStart w:id="683" w:name="_Toc38442189"/>
      <w:bookmarkStart w:id="684" w:name="_Toc38442521"/>
      <w:bookmarkStart w:id="685" w:name="_Toc38442852"/>
      <w:bookmarkStart w:id="686" w:name="_Toc38443183"/>
      <w:bookmarkStart w:id="687" w:name="_Toc38443514"/>
      <w:bookmarkStart w:id="688" w:name="_Toc38443845"/>
      <w:bookmarkStart w:id="689" w:name="_Toc38438312"/>
      <w:bookmarkStart w:id="690" w:name="_Toc38438649"/>
      <w:bookmarkStart w:id="691" w:name="_Toc38438986"/>
      <w:bookmarkStart w:id="692" w:name="_Toc38439323"/>
      <w:bookmarkStart w:id="693" w:name="_Toc38439660"/>
      <w:bookmarkStart w:id="694" w:name="_Toc38439997"/>
      <w:bookmarkStart w:id="695" w:name="_Toc38440334"/>
      <w:bookmarkStart w:id="696" w:name="_Toc38440667"/>
      <w:bookmarkStart w:id="697" w:name="_Toc38440866"/>
      <w:bookmarkStart w:id="698" w:name="_Toc38441198"/>
      <w:bookmarkStart w:id="699" w:name="_Toc38441530"/>
      <w:bookmarkStart w:id="700" w:name="_Toc38441858"/>
      <w:bookmarkStart w:id="701" w:name="_Toc38442190"/>
      <w:bookmarkStart w:id="702" w:name="_Toc38442522"/>
      <w:bookmarkStart w:id="703" w:name="_Toc38442853"/>
      <w:bookmarkStart w:id="704" w:name="_Toc38443184"/>
      <w:bookmarkStart w:id="705" w:name="_Toc38443515"/>
      <w:bookmarkStart w:id="706" w:name="_Toc38443846"/>
      <w:bookmarkStart w:id="707" w:name="_Toc38438313"/>
      <w:bookmarkStart w:id="708" w:name="_Toc38438650"/>
      <w:bookmarkStart w:id="709" w:name="_Toc38438987"/>
      <w:bookmarkStart w:id="710" w:name="_Toc38439324"/>
      <w:bookmarkStart w:id="711" w:name="_Toc38439661"/>
      <w:bookmarkStart w:id="712" w:name="_Toc38439998"/>
      <w:bookmarkStart w:id="713" w:name="_Toc38439349"/>
      <w:bookmarkStart w:id="714" w:name="_Toc38439686"/>
      <w:bookmarkStart w:id="715" w:name="_Toc38440023"/>
      <w:bookmarkStart w:id="716" w:name="_Toc38440659"/>
      <w:bookmarkStart w:id="717" w:name="_Toc38440858"/>
      <w:bookmarkStart w:id="718" w:name="_Toc38441190"/>
      <w:bookmarkStart w:id="719" w:name="_Toc38441522"/>
      <w:bookmarkStart w:id="720" w:name="_Toc38441850"/>
      <w:bookmarkStart w:id="721" w:name="_Toc38442182"/>
      <w:bookmarkStart w:id="722" w:name="_Toc38442514"/>
      <w:bookmarkStart w:id="723" w:name="_Toc38442845"/>
      <w:bookmarkStart w:id="724" w:name="_Toc38443176"/>
      <w:bookmarkStart w:id="725" w:name="_Toc38443507"/>
      <w:bookmarkStart w:id="726" w:name="_Toc38443838"/>
      <w:bookmarkStart w:id="727" w:name="_Toc38438305"/>
      <w:bookmarkStart w:id="728" w:name="_Toc38438642"/>
      <w:bookmarkStart w:id="729" w:name="_Toc38438979"/>
      <w:bookmarkStart w:id="730" w:name="_Toc38439316"/>
      <w:bookmarkStart w:id="731" w:name="_Toc38439653"/>
      <w:bookmarkStart w:id="732" w:name="_Toc38439990"/>
      <w:bookmarkStart w:id="733" w:name="_Toc38440327"/>
      <w:bookmarkStart w:id="734" w:name="_Toc38440660"/>
      <w:bookmarkStart w:id="735" w:name="_Toc38440859"/>
      <w:bookmarkStart w:id="736" w:name="_Toc38441191"/>
      <w:bookmarkStart w:id="737" w:name="_Toc38441523"/>
      <w:bookmarkStart w:id="738" w:name="_Toc38441851"/>
      <w:bookmarkStart w:id="739" w:name="_Toc38442183"/>
      <w:bookmarkStart w:id="740" w:name="_Toc38442515"/>
      <w:bookmarkStart w:id="741" w:name="_Toc38442846"/>
      <w:bookmarkStart w:id="742" w:name="_Toc38443177"/>
      <w:bookmarkStart w:id="743" w:name="_Toc38443508"/>
      <w:bookmarkStart w:id="744" w:name="_Toc38443839"/>
      <w:bookmarkStart w:id="745" w:name="_Toc38438306"/>
      <w:bookmarkStart w:id="746" w:name="_Toc38438643"/>
      <w:bookmarkStart w:id="747" w:name="_Toc38438980"/>
      <w:bookmarkStart w:id="748" w:name="_Toc38439317"/>
      <w:bookmarkStart w:id="749" w:name="_Toc38439654"/>
      <w:bookmarkStart w:id="750" w:name="_Toc38439991"/>
      <w:bookmarkStart w:id="751" w:name="_Toc38440328"/>
      <w:bookmarkStart w:id="752" w:name="_Toc38440661"/>
      <w:bookmarkStart w:id="753" w:name="_Toc38440860"/>
      <w:bookmarkStart w:id="754" w:name="_Toc38441192"/>
      <w:bookmarkStart w:id="755" w:name="_Toc38441524"/>
      <w:bookmarkStart w:id="756" w:name="_Toc38441852"/>
      <w:bookmarkStart w:id="757" w:name="_Toc38442184"/>
      <w:bookmarkStart w:id="758" w:name="_Toc38442516"/>
      <w:bookmarkStart w:id="759" w:name="_Toc38442847"/>
      <w:bookmarkStart w:id="760" w:name="_Toc38443178"/>
      <w:bookmarkStart w:id="761" w:name="_Toc38443509"/>
      <w:bookmarkStart w:id="762" w:name="_Toc38443840"/>
      <w:bookmarkStart w:id="763" w:name="_Toc38438310"/>
      <w:bookmarkStart w:id="764" w:name="_Toc308697637"/>
      <w:bookmarkStart w:id="765" w:name="_Toc309286159"/>
      <w:bookmarkStart w:id="766" w:name="_Toc308697638"/>
      <w:bookmarkStart w:id="767" w:name="_Toc309286160"/>
      <w:bookmarkStart w:id="768" w:name="_Toc308697639"/>
      <w:bookmarkStart w:id="769" w:name="_Toc309286161"/>
      <w:bookmarkStart w:id="770" w:name="_Toc308697640"/>
      <w:bookmarkStart w:id="771" w:name="_Toc309286162"/>
      <w:bookmarkStart w:id="772" w:name="_Toc308697641"/>
      <w:bookmarkStart w:id="773" w:name="_Toc309286163"/>
      <w:bookmarkStart w:id="774" w:name="_Toc308697642"/>
      <w:bookmarkStart w:id="775" w:name="_Toc309286164"/>
      <w:bookmarkStart w:id="776" w:name="_Toc308697643"/>
      <w:bookmarkStart w:id="777" w:name="_Toc309286165"/>
      <w:bookmarkStart w:id="778" w:name="_Toc308697644"/>
      <w:bookmarkStart w:id="779" w:name="_Toc309286166"/>
      <w:bookmarkStart w:id="780" w:name="_Toc308697645"/>
      <w:bookmarkStart w:id="781" w:name="_Toc309286167"/>
      <w:bookmarkStart w:id="782" w:name="_Toc308697646"/>
      <w:bookmarkStart w:id="783" w:name="_Toc309286168"/>
      <w:bookmarkStart w:id="784" w:name="_Toc308697647"/>
      <w:bookmarkStart w:id="785" w:name="_Toc309286169"/>
      <w:bookmarkStart w:id="786" w:name="_Toc308697648"/>
      <w:bookmarkStart w:id="787" w:name="_Toc309286170"/>
      <w:bookmarkStart w:id="788" w:name="_Toc308697649"/>
      <w:bookmarkStart w:id="789" w:name="_Toc309286171"/>
      <w:bookmarkStart w:id="790" w:name="_Toc308697650"/>
      <w:bookmarkStart w:id="791" w:name="_Toc309286172"/>
      <w:bookmarkStart w:id="792" w:name="_Toc308697651"/>
      <w:bookmarkStart w:id="793" w:name="_Toc309286173"/>
      <w:bookmarkStart w:id="794" w:name="_Toc308697652"/>
      <w:bookmarkStart w:id="795" w:name="_Toc309286174"/>
      <w:bookmarkStart w:id="796" w:name="_Toc38441859"/>
      <w:bookmarkStart w:id="797" w:name="_Toc38442191"/>
      <w:bookmarkStart w:id="798" w:name="_Toc38442523"/>
      <w:bookmarkStart w:id="799" w:name="_Toc38442854"/>
      <w:bookmarkStart w:id="800" w:name="_Toc38443185"/>
      <w:bookmarkStart w:id="801" w:name="_Toc38443516"/>
      <w:bookmarkStart w:id="802" w:name="_Toc38443847"/>
      <w:bookmarkStart w:id="803" w:name="_Toc38438314"/>
      <w:bookmarkStart w:id="804" w:name="_Toc38438651"/>
      <w:bookmarkStart w:id="805" w:name="_Toc38438988"/>
      <w:bookmarkStart w:id="806" w:name="_Toc38439325"/>
      <w:bookmarkStart w:id="807" w:name="_Toc38439662"/>
      <w:bookmarkStart w:id="808" w:name="_Toc38439999"/>
      <w:bookmarkStart w:id="809" w:name="_Toc38440336"/>
      <w:bookmarkStart w:id="810" w:name="_Toc38440669"/>
      <w:bookmarkStart w:id="811" w:name="_Toc38440868"/>
      <w:bookmarkStart w:id="812" w:name="_Toc38441200"/>
      <w:bookmarkStart w:id="813" w:name="_Toc38441532"/>
      <w:bookmarkStart w:id="814" w:name="_Toc38441860"/>
      <w:bookmarkStart w:id="815" w:name="_Toc38438301"/>
      <w:bookmarkStart w:id="816" w:name="_Toc38438638"/>
      <w:bookmarkStart w:id="817" w:name="_Toc38438975"/>
      <w:bookmarkStart w:id="818" w:name="_Toc38439312"/>
      <w:bookmarkStart w:id="819" w:name="_Toc38439649"/>
      <w:bookmarkStart w:id="820" w:name="_Toc38439986"/>
      <w:bookmarkStart w:id="821" w:name="_Toc38440341"/>
      <w:bookmarkStart w:id="822" w:name="_Toc38440674"/>
      <w:bookmarkStart w:id="823" w:name="_Toc38440873"/>
      <w:bookmarkStart w:id="824" w:name="_Toc38441205"/>
      <w:bookmarkStart w:id="825" w:name="_Toc38441537"/>
      <w:bookmarkStart w:id="826" w:name="_Toc38441865"/>
      <w:bookmarkStart w:id="827" w:name="_Toc38442197"/>
      <w:bookmarkStart w:id="828" w:name="_Toc38442529"/>
      <w:bookmarkStart w:id="829" w:name="_Toc38442860"/>
      <w:bookmarkStart w:id="830" w:name="_Toc38443191"/>
      <w:bookmarkStart w:id="831" w:name="_Toc38443522"/>
      <w:bookmarkStart w:id="832" w:name="_Toc38443853"/>
      <w:bookmarkStart w:id="833" w:name="_Toc38438320"/>
      <w:bookmarkStart w:id="834" w:name="_Toc38438657"/>
      <w:bookmarkStart w:id="835" w:name="_Toc38438994"/>
      <w:bookmarkStart w:id="836" w:name="_Toc38439331"/>
      <w:bookmarkStart w:id="837" w:name="_Toc38439668"/>
      <w:bookmarkStart w:id="838" w:name="_Toc38440005"/>
      <w:bookmarkStart w:id="839" w:name="_Toc38440342"/>
      <w:bookmarkStart w:id="840" w:name="_Toc38440675"/>
      <w:bookmarkStart w:id="841" w:name="_Toc38440874"/>
      <w:bookmarkStart w:id="842" w:name="_Toc38441206"/>
      <w:bookmarkStart w:id="843" w:name="_Toc38441538"/>
      <w:bookmarkStart w:id="844" w:name="_Toc38441866"/>
      <w:bookmarkStart w:id="845" w:name="_Toc38442198"/>
      <w:bookmarkStart w:id="846" w:name="_Toc38442530"/>
      <w:bookmarkStart w:id="847" w:name="_Toc38442861"/>
      <w:bookmarkStart w:id="848" w:name="_Toc38443192"/>
      <w:bookmarkStart w:id="849" w:name="_Toc38443523"/>
      <w:bookmarkStart w:id="850" w:name="_Toc38443854"/>
      <w:bookmarkStart w:id="851" w:name="_Toc38438321"/>
      <w:bookmarkStart w:id="852" w:name="_Toc38438658"/>
      <w:bookmarkStart w:id="853" w:name="_Toc38438995"/>
      <w:bookmarkStart w:id="854" w:name="_Toc38439332"/>
      <w:bookmarkStart w:id="855" w:name="_Toc38439669"/>
      <w:bookmarkStart w:id="856" w:name="_Toc38440006"/>
      <w:bookmarkStart w:id="857" w:name="_Toc38440343"/>
      <w:bookmarkStart w:id="858" w:name="_Toc38440676"/>
      <w:bookmarkStart w:id="859" w:name="_Toc38440875"/>
      <w:bookmarkStart w:id="860" w:name="_Toc38441207"/>
      <w:bookmarkStart w:id="861" w:name="_Toc38441539"/>
      <w:bookmarkStart w:id="862" w:name="_Toc38441867"/>
      <w:bookmarkStart w:id="863" w:name="_Toc38442199"/>
      <w:bookmarkStart w:id="864" w:name="_Toc38442531"/>
      <w:bookmarkStart w:id="865" w:name="_Toc38442862"/>
      <w:bookmarkStart w:id="866" w:name="_Toc38443193"/>
      <w:bookmarkStart w:id="867" w:name="_Toc38443524"/>
      <w:bookmarkStart w:id="868" w:name="_Toc38443855"/>
      <w:bookmarkStart w:id="869" w:name="_Toc38438322"/>
      <w:bookmarkStart w:id="870" w:name="_Toc38438659"/>
      <w:bookmarkStart w:id="871" w:name="_Toc38438996"/>
      <w:bookmarkStart w:id="872" w:name="_Toc38439333"/>
      <w:bookmarkStart w:id="873" w:name="_Toc38439670"/>
      <w:bookmarkStart w:id="874" w:name="_Toc38440007"/>
      <w:bookmarkStart w:id="875" w:name="_Toc38440344"/>
      <w:bookmarkStart w:id="876" w:name="_Toc38440677"/>
      <w:bookmarkStart w:id="877" w:name="_Toc38440876"/>
      <w:bookmarkStart w:id="878" w:name="_Toc38441208"/>
      <w:bookmarkStart w:id="879" w:name="_Toc38440870"/>
      <w:bookmarkStart w:id="880" w:name="_Toc38441202"/>
      <w:bookmarkStart w:id="881" w:name="_Toc38441534"/>
      <w:bookmarkStart w:id="882" w:name="_Toc38441862"/>
      <w:bookmarkStart w:id="883" w:name="_Toc38442194"/>
      <w:bookmarkStart w:id="884" w:name="_Toc38442526"/>
      <w:bookmarkStart w:id="885" w:name="_Toc38442857"/>
      <w:bookmarkStart w:id="886" w:name="_Toc38443188"/>
      <w:bookmarkStart w:id="887" w:name="_Toc38443519"/>
      <w:bookmarkStart w:id="888" w:name="_Toc38443850"/>
      <w:bookmarkStart w:id="889" w:name="_Toc38438317"/>
      <w:bookmarkStart w:id="890" w:name="_Toc38438654"/>
      <w:bookmarkStart w:id="891" w:name="_Toc38438991"/>
      <w:bookmarkStart w:id="892" w:name="_Toc38439328"/>
      <w:bookmarkStart w:id="893" w:name="_Toc38439665"/>
      <w:bookmarkStart w:id="894" w:name="_Toc38440002"/>
      <w:bookmarkStart w:id="895" w:name="_Toc38440339"/>
      <w:bookmarkStart w:id="896" w:name="_Toc38440672"/>
      <w:bookmarkStart w:id="897" w:name="_Toc38440871"/>
      <w:bookmarkStart w:id="898" w:name="_Toc38441203"/>
      <w:bookmarkStart w:id="899" w:name="_Toc38441535"/>
      <w:bookmarkStart w:id="900" w:name="_Toc38441863"/>
      <w:bookmarkStart w:id="901" w:name="_Toc38442195"/>
      <w:bookmarkStart w:id="902" w:name="_Toc38442527"/>
      <w:bookmarkStart w:id="903" w:name="_Toc38442858"/>
      <w:bookmarkStart w:id="904" w:name="_Toc38443189"/>
      <w:bookmarkStart w:id="905" w:name="_Toc38443520"/>
      <w:bookmarkStart w:id="906" w:name="_Toc38443851"/>
      <w:bookmarkStart w:id="907" w:name="_Toc38438318"/>
      <w:bookmarkStart w:id="908" w:name="_Toc38438655"/>
      <w:bookmarkStart w:id="909" w:name="_Toc38438992"/>
      <w:bookmarkStart w:id="910" w:name="_Toc38439329"/>
      <w:bookmarkStart w:id="911" w:name="_Toc38439666"/>
      <w:bookmarkStart w:id="912" w:name="_Toc38440003"/>
      <w:bookmarkStart w:id="913" w:name="_Toc38440340"/>
      <w:bookmarkStart w:id="914" w:name="_Toc38440673"/>
      <w:bookmarkStart w:id="915" w:name="_Toc38440872"/>
      <w:bookmarkStart w:id="916" w:name="_Toc38441204"/>
      <w:bookmarkStart w:id="917" w:name="_Toc38441536"/>
      <w:bookmarkStart w:id="918" w:name="_Toc38441864"/>
      <w:bookmarkStart w:id="919" w:name="_Toc38442196"/>
      <w:bookmarkStart w:id="920" w:name="_Toc38442528"/>
      <w:bookmarkStart w:id="921" w:name="_Toc38442859"/>
      <w:bookmarkStart w:id="922" w:name="_Toc38443190"/>
      <w:bookmarkStart w:id="923" w:name="_Toc38443521"/>
      <w:bookmarkStart w:id="924" w:name="_Toc38443852"/>
      <w:bookmarkStart w:id="925" w:name="_Toc38438319"/>
      <w:bookmarkStart w:id="926" w:name="_Toc38438656"/>
      <w:bookmarkStart w:id="927" w:name="_Toc38438993"/>
      <w:bookmarkStart w:id="928" w:name="_Toc38439330"/>
      <w:bookmarkStart w:id="929" w:name="_Toc38439667"/>
      <w:bookmarkStart w:id="930" w:name="_Toc38440004"/>
      <w:bookmarkStart w:id="931" w:name="_Toc308697679"/>
      <w:bookmarkStart w:id="932" w:name="_Toc309286201"/>
      <w:bookmarkStart w:id="933" w:name="_Toc308697680"/>
      <w:bookmarkStart w:id="934" w:name="_Toc309286202"/>
      <w:bookmarkStart w:id="935" w:name="_Toc308697681"/>
      <w:bookmarkStart w:id="936" w:name="_Toc309286203"/>
      <w:bookmarkStart w:id="937" w:name="_Toc308697682"/>
      <w:bookmarkStart w:id="938" w:name="_Toc309286204"/>
      <w:bookmarkStart w:id="939" w:name="_Toc308697683"/>
      <w:bookmarkStart w:id="940" w:name="_Toc309286205"/>
      <w:bookmarkStart w:id="941" w:name="_Toc308697684"/>
      <w:bookmarkStart w:id="942" w:name="_Toc309286206"/>
      <w:bookmarkStart w:id="943" w:name="_Toc308697685"/>
      <w:bookmarkStart w:id="944" w:name="_Toc309286207"/>
      <w:bookmarkStart w:id="945" w:name="_Toc97031319"/>
      <w:bookmarkStart w:id="946" w:name="_Toc97107279"/>
      <w:bookmarkStart w:id="947" w:name="_Toc272569090"/>
      <w:bookmarkStart w:id="948" w:name="_Toc272569242"/>
      <w:bookmarkStart w:id="949" w:name="_Toc272569426"/>
      <w:bookmarkStart w:id="950" w:name="_Toc272569563"/>
      <w:bookmarkStart w:id="951" w:name="_Toc272569699"/>
      <w:bookmarkStart w:id="952" w:name="_Toc272569850"/>
      <w:bookmarkStart w:id="953" w:name="_Toc272570173"/>
      <w:bookmarkStart w:id="954" w:name="_Toc272570307"/>
      <w:bookmarkStart w:id="955" w:name="_Toc272570440"/>
      <w:bookmarkStart w:id="956" w:name="_Toc272570574"/>
      <w:bookmarkStart w:id="957" w:name="_Toc272570707"/>
      <w:bookmarkStart w:id="958" w:name="_Toc272570840"/>
      <w:bookmarkStart w:id="959" w:name="_Toc272569091"/>
      <w:bookmarkStart w:id="960" w:name="_Toc272569243"/>
      <w:bookmarkStart w:id="961" w:name="_Toc272569427"/>
      <w:bookmarkStart w:id="962" w:name="_Toc272569564"/>
      <w:bookmarkStart w:id="963" w:name="_Toc38443525"/>
      <w:bookmarkStart w:id="964" w:name="_Toc38443856"/>
      <w:bookmarkStart w:id="965" w:name="_Toc38438323"/>
      <w:bookmarkStart w:id="966" w:name="_Toc38438660"/>
      <w:bookmarkStart w:id="967" w:name="_Toc38438997"/>
      <w:bookmarkStart w:id="968" w:name="_Toc38439334"/>
      <w:bookmarkStart w:id="969" w:name="_Toc38439671"/>
      <w:bookmarkStart w:id="970" w:name="_Toc38440008"/>
      <w:bookmarkStart w:id="971" w:name="_Toc38440345"/>
      <w:bookmarkStart w:id="972" w:name="_Toc38440678"/>
      <w:bookmarkStart w:id="973" w:name="_Toc38440877"/>
      <w:bookmarkStart w:id="974" w:name="_Toc38441209"/>
      <w:bookmarkStart w:id="975" w:name="_Toc38441541"/>
      <w:bookmarkStart w:id="976" w:name="_Toc38441869"/>
      <w:bookmarkStart w:id="977" w:name="_Toc38442201"/>
      <w:bookmarkStart w:id="978" w:name="_Toc38442533"/>
      <w:bookmarkStart w:id="979" w:name="_Toc38442864"/>
      <w:bookmarkStart w:id="980" w:name="_Toc38443195"/>
      <w:bookmarkStart w:id="981" w:name="_Toc38443526"/>
      <w:bookmarkStart w:id="982" w:name="_Toc38443857"/>
      <w:bookmarkStart w:id="983" w:name="_Toc38439988"/>
      <w:bookmarkStart w:id="984" w:name="_Toc38440325"/>
      <w:bookmarkStart w:id="985" w:name="_Toc38440658"/>
      <w:bookmarkStart w:id="986" w:name="_Toc38440857"/>
      <w:bookmarkStart w:id="987" w:name="_Toc38441189"/>
      <w:bookmarkStart w:id="988" w:name="_Toc38443200"/>
      <w:bookmarkStart w:id="989" w:name="_Toc38443531"/>
      <w:bookmarkStart w:id="990" w:name="_Toc38443862"/>
      <w:bookmarkStart w:id="991" w:name="_Toc38442169"/>
      <w:bookmarkStart w:id="992" w:name="_Toc38442501"/>
      <w:bookmarkStart w:id="993" w:name="_Toc38442832"/>
      <w:bookmarkStart w:id="994" w:name="_Toc38443163"/>
      <w:bookmarkStart w:id="995" w:name="_Toc38443494"/>
      <w:bookmarkStart w:id="996" w:name="_Toc38443825"/>
      <w:bookmarkStart w:id="997" w:name="_Toc38438292"/>
      <w:bookmarkStart w:id="998" w:name="_Toc38438629"/>
      <w:bookmarkStart w:id="999" w:name="_Toc38438966"/>
      <w:bookmarkStart w:id="1000" w:name="_Toc38439303"/>
      <w:bookmarkStart w:id="1001" w:name="_Toc38439640"/>
      <w:bookmarkStart w:id="1002" w:name="_Toc38439977"/>
      <w:bookmarkStart w:id="1003" w:name="_Toc38440314"/>
      <w:bookmarkStart w:id="1004" w:name="_Toc38440647"/>
      <w:bookmarkStart w:id="1005" w:name="_Toc38440846"/>
      <w:bookmarkStart w:id="1006" w:name="_Toc38441178"/>
      <w:bookmarkStart w:id="1007" w:name="_Toc38441510"/>
      <w:bookmarkStart w:id="1008" w:name="_Toc38441838"/>
      <w:bookmarkStart w:id="1009" w:name="_Toc38442170"/>
      <w:bookmarkStart w:id="1010" w:name="_Toc38442502"/>
      <w:bookmarkStart w:id="1011" w:name="_Toc38442833"/>
      <w:bookmarkStart w:id="1012" w:name="_Toc38443164"/>
      <w:bookmarkStart w:id="1013" w:name="_Toc38443495"/>
      <w:bookmarkStart w:id="1014" w:name="_Toc38443826"/>
      <w:bookmarkStart w:id="1015" w:name="_Toc38438293"/>
      <w:bookmarkStart w:id="1016" w:name="_Toc38438630"/>
      <w:bookmarkStart w:id="1017" w:name="_Toc38438967"/>
      <w:bookmarkStart w:id="1018" w:name="_Toc38439304"/>
      <w:bookmarkStart w:id="1019" w:name="_Toc38439641"/>
      <w:bookmarkStart w:id="1020" w:name="_Toc38439978"/>
      <w:bookmarkStart w:id="1021" w:name="_Toc38440315"/>
      <w:bookmarkStart w:id="1022" w:name="_Toc38440648"/>
      <w:bookmarkStart w:id="1023" w:name="_Toc38440847"/>
      <w:bookmarkStart w:id="1024" w:name="_Toc38441179"/>
      <w:bookmarkStart w:id="1025" w:name="_Toc38441511"/>
      <w:bookmarkStart w:id="1026" w:name="_Toc38441839"/>
      <w:bookmarkStart w:id="1027" w:name="_Toc38442171"/>
      <w:bookmarkStart w:id="1028" w:name="_Toc38442503"/>
      <w:bookmarkStart w:id="1029" w:name="_Toc38442834"/>
      <w:bookmarkStart w:id="1030" w:name="_Toc38443165"/>
      <w:bookmarkStart w:id="1031" w:name="_Toc38441874"/>
      <w:bookmarkStart w:id="1032" w:name="_Toc38442206"/>
      <w:bookmarkStart w:id="1033" w:name="_Toc38442538"/>
      <w:bookmarkStart w:id="1034" w:name="_Toc38442869"/>
      <w:bookmarkStart w:id="1035" w:name="_Toc272570446"/>
      <w:bookmarkStart w:id="1036" w:name="_Toc272570580"/>
      <w:bookmarkStart w:id="1037" w:name="_Toc272570713"/>
      <w:bookmarkStart w:id="1038" w:name="_Toc272570846"/>
      <w:bookmarkStart w:id="1039" w:name="_Toc272569097"/>
      <w:bookmarkStart w:id="1040" w:name="_Toc272569249"/>
      <w:bookmarkStart w:id="1041" w:name="_Toc272569433"/>
      <w:bookmarkStart w:id="1042" w:name="_Toc272569570"/>
      <w:bookmarkStart w:id="1043" w:name="_Toc272569706"/>
      <w:bookmarkStart w:id="1044" w:name="_Toc272569857"/>
      <w:bookmarkStart w:id="1045" w:name="_Toc272570180"/>
      <w:bookmarkStart w:id="1046" w:name="_Toc272570314"/>
      <w:bookmarkStart w:id="1047" w:name="_Toc272570447"/>
      <w:bookmarkStart w:id="1048" w:name="_Toc272570581"/>
      <w:bookmarkStart w:id="1049" w:name="_Toc272570714"/>
      <w:bookmarkStart w:id="1050" w:name="_Toc272570847"/>
      <w:bookmarkStart w:id="1051" w:name="_Toc272569098"/>
      <w:bookmarkStart w:id="1052" w:name="_Toc272569250"/>
      <w:bookmarkStart w:id="1053" w:name="_Toc272569434"/>
      <w:bookmarkStart w:id="1054" w:name="_Toc272569571"/>
      <w:bookmarkStart w:id="1055" w:name="_Toc272569707"/>
      <w:bookmarkStart w:id="1056" w:name="_Toc272569858"/>
      <w:bookmarkStart w:id="1057" w:name="_Toc272570181"/>
      <w:bookmarkStart w:id="1058" w:name="_Toc272570315"/>
      <w:bookmarkStart w:id="1059" w:name="_Toc272570448"/>
      <w:bookmarkStart w:id="1060" w:name="_Toc272570582"/>
      <w:bookmarkStart w:id="1061" w:name="_Toc272570715"/>
      <w:bookmarkStart w:id="1062" w:name="_Toc272570848"/>
      <w:bookmarkStart w:id="1063" w:name="_Toc272569099"/>
      <w:bookmarkStart w:id="1064" w:name="_Toc272569251"/>
      <w:bookmarkStart w:id="1065" w:name="_Toc272569435"/>
      <w:bookmarkStart w:id="1066" w:name="_Toc272569572"/>
      <w:bookmarkStart w:id="1067" w:name="_Toc272569708"/>
      <w:bookmarkStart w:id="1068" w:name="_Toc272569859"/>
      <w:bookmarkStart w:id="1069" w:name="_Toc272570182"/>
      <w:bookmarkStart w:id="1070" w:name="_Toc272570316"/>
      <w:bookmarkStart w:id="1071" w:name="_Toc272570449"/>
      <w:bookmarkStart w:id="1072" w:name="_Toc272570583"/>
      <w:bookmarkStart w:id="1073" w:name="_Toc272570716"/>
      <w:bookmarkStart w:id="1074" w:name="_Toc272570849"/>
      <w:bookmarkStart w:id="1075" w:name="_Toc272569100"/>
      <w:bookmarkStart w:id="1076" w:name="_Toc272569252"/>
      <w:bookmarkStart w:id="1077" w:name="_Toc272569436"/>
      <w:bookmarkStart w:id="1078" w:name="_Toc272569573"/>
      <w:bookmarkStart w:id="1079" w:name="_Toc272569709"/>
      <w:bookmarkStart w:id="1080" w:name="_Toc272569860"/>
      <w:bookmarkStart w:id="1081" w:name="_Toc272570183"/>
      <w:bookmarkStart w:id="1082" w:name="_Toc272570317"/>
      <w:bookmarkStart w:id="1083" w:name="_Toc272570450"/>
      <w:bookmarkStart w:id="1084" w:name="_Toc272570584"/>
      <w:bookmarkStart w:id="1085" w:name="_Toc272570717"/>
      <w:bookmarkStart w:id="1086" w:name="_Toc38441880"/>
      <w:bookmarkStart w:id="1087" w:name="_Toc38442212"/>
      <w:bookmarkStart w:id="1088" w:name="_Toc38442544"/>
      <w:bookmarkStart w:id="1089" w:name="_Toc38442875"/>
      <w:bookmarkStart w:id="1090" w:name="_Toc38443206"/>
      <w:bookmarkStart w:id="1091" w:name="_Toc38443537"/>
      <w:bookmarkStart w:id="1092" w:name="_Toc38443868"/>
      <w:bookmarkStart w:id="1093" w:name="_Toc38438335"/>
      <w:bookmarkStart w:id="1094" w:name="_Toc38438672"/>
      <w:bookmarkStart w:id="1095" w:name="_Toc38443496"/>
      <w:bookmarkStart w:id="1096" w:name="_Toc38443827"/>
      <w:bookmarkStart w:id="1097" w:name="_Toc38438296"/>
      <w:bookmarkStart w:id="1098" w:name="_Toc38438633"/>
      <w:bookmarkStart w:id="1099" w:name="_Toc38438970"/>
      <w:bookmarkStart w:id="1100" w:name="_Toc38439307"/>
      <w:bookmarkStart w:id="1101" w:name="_Toc38439644"/>
      <w:bookmarkStart w:id="1102" w:name="_Toc38439981"/>
      <w:bookmarkStart w:id="1103" w:name="_Toc38440318"/>
      <w:bookmarkStart w:id="1104" w:name="_Toc38440651"/>
      <w:bookmarkStart w:id="1105" w:name="_Toc38440850"/>
      <w:bookmarkStart w:id="1106" w:name="_Toc38441182"/>
      <w:bookmarkStart w:id="1107" w:name="_Toc38441514"/>
      <w:bookmarkStart w:id="1108" w:name="_Toc38441842"/>
      <w:bookmarkStart w:id="1109" w:name="_Toc38442174"/>
      <w:bookmarkStart w:id="1110" w:name="_Toc38442506"/>
      <w:bookmarkStart w:id="1111" w:name="_Toc38442837"/>
      <w:bookmarkStart w:id="1112" w:name="_Toc38443168"/>
      <w:bookmarkStart w:id="1113" w:name="_Toc38443499"/>
      <w:bookmarkStart w:id="1114" w:name="_Toc38443830"/>
      <w:bookmarkStart w:id="1115" w:name="_Toc38438297"/>
      <w:bookmarkStart w:id="1116" w:name="_Toc38438634"/>
      <w:bookmarkStart w:id="1117" w:name="_Toc38438971"/>
      <w:bookmarkStart w:id="1118" w:name="_Toc38439308"/>
      <w:bookmarkStart w:id="1119" w:name="_Toc38439645"/>
      <w:bookmarkStart w:id="1120" w:name="_Toc38439982"/>
      <w:bookmarkStart w:id="1121" w:name="_Toc38440319"/>
      <w:bookmarkStart w:id="1122" w:name="_Toc38440652"/>
      <w:bookmarkStart w:id="1123" w:name="_Toc38440851"/>
      <w:bookmarkStart w:id="1124" w:name="_Toc38441183"/>
      <w:bookmarkStart w:id="1125" w:name="_Toc38441515"/>
      <w:bookmarkStart w:id="1126" w:name="_Toc38441843"/>
      <w:bookmarkStart w:id="1127" w:name="_Toc38442175"/>
      <w:bookmarkStart w:id="1128" w:name="_Toc38442507"/>
      <w:bookmarkStart w:id="1129" w:name="_Toc38442838"/>
      <w:bookmarkStart w:id="1130" w:name="_Toc38440335"/>
      <w:bookmarkStart w:id="1131" w:name="_Toc38440668"/>
      <w:bookmarkStart w:id="1132" w:name="_Toc38440867"/>
      <w:bookmarkStart w:id="1133" w:name="_Toc38441199"/>
      <w:bookmarkStart w:id="1134" w:name="_Toc38441531"/>
      <w:bookmarkStart w:id="1135" w:name="_Toc38438972"/>
      <w:bookmarkStart w:id="1136" w:name="_Toc38439309"/>
      <w:bookmarkStart w:id="1137" w:name="_Toc38439646"/>
      <w:bookmarkStart w:id="1138" w:name="_Toc38439983"/>
      <w:bookmarkStart w:id="1139" w:name="_Toc38440320"/>
      <w:bookmarkStart w:id="1140" w:name="_Toc38440653"/>
      <w:bookmarkStart w:id="1141" w:name="_Toc38440852"/>
      <w:bookmarkStart w:id="1142" w:name="_Toc38441184"/>
      <w:bookmarkStart w:id="1143" w:name="_Toc38441516"/>
      <w:bookmarkStart w:id="1144" w:name="_Toc38441844"/>
      <w:bookmarkStart w:id="1145" w:name="_Toc38442176"/>
      <w:bookmarkStart w:id="1146" w:name="_Toc38442508"/>
      <w:bookmarkStart w:id="1147" w:name="_Toc38442839"/>
      <w:bookmarkStart w:id="1148" w:name="_Toc38443170"/>
      <w:bookmarkStart w:id="1149" w:name="_Toc38443501"/>
      <w:bookmarkStart w:id="1150" w:name="_Toc38443832"/>
      <w:bookmarkStart w:id="1151" w:name="_Toc38438299"/>
      <w:bookmarkStart w:id="1152" w:name="_Toc38438636"/>
      <w:bookmarkStart w:id="1153" w:name="_Toc38438973"/>
      <w:bookmarkStart w:id="1154" w:name="_Toc38439310"/>
      <w:bookmarkStart w:id="1155" w:name="_Toc38439647"/>
      <w:bookmarkStart w:id="1156" w:name="_Toc38439984"/>
      <w:bookmarkStart w:id="1157" w:name="_Toc38440321"/>
      <w:bookmarkStart w:id="1158" w:name="_Toc38440654"/>
      <w:bookmarkStart w:id="1159" w:name="_Toc38440853"/>
      <w:bookmarkStart w:id="1160" w:name="_Toc38441185"/>
      <w:bookmarkStart w:id="1161" w:name="_Toc38441517"/>
      <w:bookmarkStart w:id="1162" w:name="_Toc38441845"/>
      <w:bookmarkStart w:id="1163" w:name="_Toc38442177"/>
      <w:bookmarkStart w:id="1164" w:name="_Toc38442509"/>
      <w:bookmarkStart w:id="1165" w:name="_Toc38442840"/>
      <w:bookmarkStart w:id="1166" w:name="_Toc38443171"/>
      <w:bookmarkStart w:id="1167" w:name="_Toc38443502"/>
      <w:bookmarkStart w:id="1168" w:name="_Toc38443833"/>
      <w:bookmarkStart w:id="1169" w:name="_Toc38441540"/>
      <w:bookmarkStart w:id="1170" w:name="_Toc38441868"/>
      <w:bookmarkStart w:id="1171" w:name="_Toc38442200"/>
      <w:bookmarkStart w:id="1172" w:name="_Toc38442532"/>
      <w:bookmarkStart w:id="1173" w:name="_Toc38442863"/>
      <w:bookmarkStart w:id="1174" w:name="_Toc38443194"/>
      <w:bookmarkStart w:id="1175" w:name="_Toc38440323"/>
      <w:bookmarkStart w:id="1176" w:name="_Toc38440656"/>
      <w:bookmarkStart w:id="1177" w:name="_Toc38440855"/>
      <w:bookmarkStart w:id="1178" w:name="_Toc38441187"/>
      <w:bookmarkStart w:id="1179" w:name="_Toc38441519"/>
      <w:bookmarkStart w:id="1180" w:name="_Toc38441847"/>
      <w:bookmarkStart w:id="1181" w:name="_Toc38442179"/>
      <w:bookmarkStart w:id="1182" w:name="_Toc38442511"/>
      <w:bookmarkStart w:id="1183" w:name="_Toc38442842"/>
      <w:bookmarkStart w:id="1184" w:name="_Toc38443173"/>
      <w:bookmarkStart w:id="1185" w:name="_Toc38443504"/>
      <w:bookmarkStart w:id="1186" w:name="_Toc38443835"/>
      <w:bookmarkStart w:id="1187" w:name="_Toc38438302"/>
      <w:bookmarkStart w:id="1188" w:name="_Toc38438639"/>
      <w:bookmarkStart w:id="1189" w:name="_Toc38438976"/>
      <w:bookmarkStart w:id="1190" w:name="_Toc38439313"/>
      <w:bookmarkStart w:id="1191" w:name="_Toc38439650"/>
      <w:bookmarkStart w:id="1192" w:name="_Toc38439987"/>
      <w:bookmarkStart w:id="1193" w:name="_Toc38440324"/>
      <w:bookmarkStart w:id="1194" w:name="_Toc38440657"/>
      <w:bookmarkStart w:id="1195" w:name="_Toc38440856"/>
      <w:bookmarkStart w:id="1196" w:name="_Toc38441188"/>
      <w:bookmarkStart w:id="1197" w:name="_Toc38441520"/>
      <w:bookmarkStart w:id="1198" w:name="_Toc38441848"/>
      <w:bookmarkStart w:id="1199" w:name="_Toc38442180"/>
      <w:bookmarkStart w:id="1200" w:name="_Toc38442512"/>
      <w:bookmarkStart w:id="1201" w:name="_Toc38442843"/>
      <w:bookmarkStart w:id="1202" w:name="_Toc38443174"/>
      <w:bookmarkStart w:id="1203" w:name="_Toc38443505"/>
      <w:bookmarkStart w:id="1204" w:name="_Toc38443836"/>
      <w:bookmarkStart w:id="1205" w:name="_Toc38438303"/>
      <w:bookmarkStart w:id="1206" w:name="_Toc38438640"/>
      <w:bookmarkStart w:id="1207" w:name="_Toc38438977"/>
      <w:bookmarkStart w:id="1208" w:name="_Toc38439314"/>
      <w:bookmarkStart w:id="1209" w:name="_Toc38439651"/>
      <w:bookmarkStart w:id="1210" w:name="_Toc38440017"/>
      <w:bookmarkStart w:id="1211" w:name="_Toc38440354"/>
      <w:bookmarkStart w:id="1212" w:name="_Toc38440886"/>
      <w:bookmarkStart w:id="1213" w:name="_Toc38441218"/>
      <w:bookmarkStart w:id="1214" w:name="_Toc38441550"/>
      <w:bookmarkStart w:id="1215" w:name="_Toc38441878"/>
      <w:bookmarkStart w:id="1216" w:name="_Toc38442210"/>
      <w:bookmarkStart w:id="1217" w:name="_Toc38442542"/>
      <w:bookmarkStart w:id="1218" w:name="_Toc38442873"/>
      <w:bookmarkStart w:id="1219" w:name="_Toc38443204"/>
      <w:bookmarkStart w:id="1220" w:name="_Toc38443535"/>
      <w:bookmarkStart w:id="1221" w:name="_Toc38443866"/>
      <w:bookmarkStart w:id="1222" w:name="_Toc38438333"/>
      <w:bookmarkStart w:id="1223" w:name="_Toc38438670"/>
      <w:bookmarkStart w:id="1224" w:name="_Toc38439007"/>
      <w:bookmarkStart w:id="1225" w:name="_Toc38439344"/>
      <w:bookmarkStart w:id="1226" w:name="_Toc38439681"/>
      <w:bookmarkStart w:id="1227" w:name="_Toc38440018"/>
      <w:bookmarkStart w:id="1228" w:name="_Toc38440355"/>
      <w:bookmarkStart w:id="1229" w:name="_Toc38440887"/>
      <w:bookmarkStart w:id="1230" w:name="_Toc38441219"/>
      <w:bookmarkStart w:id="1231" w:name="_Toc38441551"/>
      <w:bookmarkStart w:id="1232" w:name="_Toc38441879"/>
      <w:bookmarkStart w:id="1233" w:name="_Toc38442211"/>
      <w:bookmarkStart w:id="1234" w:name="_Toc38442543"/>
      <w:bookmarkStart w:id="1235" w:name="_Toc38442874"/>
      <w:bookmarkStart w:id="1236" w:name="_Toc38443205"/>
      <w:bookmarkStart w:id="1237" w:name="_Toc38443536"/>
      <w:bookmarkStart w:id="1238" w:name="_Toc38443867"/>
      <w:bookmarkStart w:id="1239" w:name="_Toc38438334"/>
      <w:bookmarkStart w:id="1240" w:name="_Toc38438671"/>
      <w:bookmarkStart w:id="1241" w:name="_Toc38439008"/>
      <w:bookmarkStart w:id="1242" w:name="_Toc38439345"/>
      <w:bookmarkStart w:id="1243" w:name="_Toc38439682"/>
      <w:bookmarkStart w:id="1244" w:name="_Toc38440019"/>
      <w:bookmarkStart w:id="1245" w:name="_Toc38440356"/>
      <w:bookmarkStart w:id="1246" w:name="_Toc38440888"/>
      <w:bookmarkStart w:id="1247" w:name="_Toc38441220"/>
      <w:bookmarkStart w:id="1248" w:name="_Toc38441552"/>
      <w:bookmarkStart w:id="1249" w:name="_Toc38440360"/>
      <w:bookmarkStart w:id="1250" w:name="_Toc38440892"/>
      <w:bookmarkStart w:id="1251" w:name="_Toc38441224"/>
      <w:bookmarkStart w:id="1252" w:name="_Toc38441556"/>
      <w:bookmarkStart w:id="1253" w:name="_Toc38441884"/>
      <w:bookmarkStart w:id="1254" w:name="_Toc38442216"/>
      <w:bookmarkStart w:id="1255" w:name="_Toc38442548"/>
      <w:bookmarkStart w:id="1256" w:name="_Toc38442879"/>
      <w:bookmarkStart w:id="1257" w:name="_Toc38443210"/>
      <w:bookmarkStart w:id="1258" w:name="_Toc38443541"/>
      <w:bookmarkStart w:id="1259" w:name="_Toc38443872"/>
      <w:bookmarkStart w:id="1260" w:name="_Toc38438339"/>
      <w:bookmarkStart w:id="1261" w:name="_Toc38438676"/>
      <w:bookmarkStart w:id="1262" w:name="_Toc38439013"/>
      <w:bookmarkStart w:id="1263" w:name="_Toc38439350"/>
      <w:bookmarkStart w:id="1264" w:name="_Toc38439687"/>
      <w:bookmarkStart w:id="1265" w:name="_Toc38440024"/>
      <w:bookmarkStart w:id="1266" w:name="_Toc38440361"/>
      <w:bookmarkStart w:id="1267" w:name="_Toc38440893"/>
      <w:bookmarkStart w:id="1268" w:name="_Toc38441225"/>
      <w:bookmarkStart w:id="1269" w:name="_Toc38441557"/>
      <w:bookmarkStart w:id="1270" w:name="_Toc38441885"/>
      <w:bookmarkStart w:id="1271" w:name="_Toc38442217"/>
      <w:bookmarkStart w:id="1272" w:name="_Toc38442549"/>
      <w:bookmarkStart w:id="1273" w:name="_Toc38442880"/>
      <w:bookmarkStart w:id="1274" w:name="_Toc38443211"/>
      <w:bookmarkStart w:id="1275" w:name="_Toc38443542"/>
      <w:bookmarkStart w:id="1276" w:name="_Toc38443873"/>
      <w:bookmarkStart w:id="1277" w:name="_Toc38438340"/>
      <w:bookmarkStart w:id="1278" w:name="_Toc38438677"/>
      <w:bookmarkStart w:id="1279" w:name="_Toc38439014"/>
      <w:bookmarkStart w:id="1280" w:name="_Toc38439351"/>
      <w:bookmarkStart w:id="1281" w:name="_Toc38439688"/>
      <w:bookmarkStart w:id="1282" w:name="_Toc38440025"/>
      <w:bookmarkStart w:id="1283" w:name="_Toc38440362"/>
      <w:bookmarkStart w:id="1284" w:name="_Toc38440894"/>
      <w:bookmarkStart w:id="1285" w:name="_Toc38441226"/>
      <w:bookmarkStart w:id="1286" w:name="_Toc38441558"/>
      <w:bookmarkStart w:id="1287" w:name="_Toc38441886"/>
      <w:bookmarkStart w:id="1288" w:name="_Toc38442218"/>
      <w:bookmarkStart w:id="1289" w:name="_Toc38442550"/>
      <w:bookmarkStart w:id="1290" w:name="_Toc38442881"/>
      <w:bookmarkStart w:id="1291" w:name="_Toc38443212"/>
      <w:bookmarkStart w:id="1292" w:name="_Toc38443543"/>
      <w:bookmarkStart w:id="1293" w:name="_Toc38443874"/>
      <w:bookmarkStart w:id="1294" w:name="_Toc38438341"/>
      <w:bookmarkStart w:id="1295" w:name="_Toc38438678"/>
      <w:bookmarkStart w:id="1296" w:name="_Toc38439015"/>
      <w:bookmarkStart w:id="1297" w:name="_Toc38439352"/>
      <w:bookmarkStart w:id="1298" w:name="_Toc38439689"/>
      <w:bookmarkStart w:id="1299" w:name="_Toc38440026"/>
      <w:bookmarkStart w:id="1300" w:name="_Toc38440363"/>
      <w:bookmarkStart w:id="1301" w:name="_Toc38440895"/>
      <w:bookmarkStart w:id="1302" w:name="_Toc38441227"/>
      <w:bookmarkStart w:id="1303" w:name="_Toc38441559"/>
      <w:bookmarkStart w:id="1304" w:name="_Toc38441887"/>
      <w:bookmarkStart w:id="1305" w:name="_Toc38442219"/>
      <w:bookmarkStart w:id="1306" w:name="_Toc38442551"/>
      <w:bookmarkStart w:id="1307" w:name="_Toc38442882"/>
      <w:bookmarkStart w:id="1308" w:name="_Toc38443213"/>
      <w:bookmarkStart w:id="1309" w:name="_Toc38443544"/>
      <w:bookmarkStart w:id="1310" w:name="_Toc38443875"/>
      <w:bookmarkStart w:id="1311" w:name="_Toc38438342"/>
      <w:bookmarkStart w:id="1312" w:name="_Toc38438679"/>
      <w:bookmarkStart w:id="1313" w:name="_Toc38439016"/>
      <w:bookmarkStart w:id="1314" w:name="_Toc38439353"/>
      <w:bookmarkStart w:id="1315" w:name="_Toc38439690"/>
      <w:bookmarkStart w:id="1316" w:name="_Toc38440027"/>
      <w:bookmarkStart w:id="1317" w:name="_Toc38440364"/>
      <w:bookmarkStart w:id="1318" w:name="_Toc38440896"/>
      <w:bookmarkStart w:id="1319" w:name="_Toc38441228"/>
      <w:bookmarkStart w:id="1320" w:name="_Toc38441560"/>
      <w:bookmarkStart w:id="1321" w:name="_Toc38441888"/>
      <w:bookmarkStart w:id="1322" w:name="_Toc38442220"/>
      <w:bookmarkStart w:id="1323" w:name="_Toc38442552"/>
      <w:bookmarkStart w:id="1324" w:name="_Toc38442883"/>
      <w:bookmarkStart w:id="1325" w:name="_Toc38443214"/>
      <w:bookmarkStart w:id="1326" w:name="_Toc38443545"/>
      <w:bookmarkStart w:id="1327" w:name="_Toc38443876"/>
      <w:bookmarkStart w:id="1328" w:name="_Toc38438343"/>
      <w:bookmarkStart w:id="1329" w:name="_Toc38438680"/>
      <w:bookmarkStart w:id="1330" w:name="_Toc38439017"/>
      <w:bookmarkStart w:id="1331" w:name="_Toc38439354"/>
      <w:bookmarkStart w:id="1332" w:name="_Toc38439691"/>
      <w:bookmarkStart w:id="1333" w:name="_Toc38440028"/>
      <w:bookmarkStart w:id="1334" w:name="_Toc38440365"/>
      <w:bookmarkStart w:id="1335" w:name="_Toc38440897"/>
      <w:bookmarkStart w:id="1336" w:name="_Toc38441229"/>
      <w:bookmarkStart w:id="1337" w:name="_Toc38441561"/>
      <w:bookmarkStart w:id="1338" w:name="_Toc38441889"/>
      <w:bookmarkStart w:id="1339" w:name="_Toc38442221"/>
      <w:bookmarkStart w:id="1340" w:name="_Toc38442553"/>
      <w:bookmarkStart w:id="1341" w:name="_Toc38442884"/>
      <w:bookmarkStart w:id="1342" w:name="_Toc38443215"/>
      <w:bookmarkStart w:id="1343" w:name="_Toc38443546"/>
      <w:bookmarkStart w:id="1344" w:name="_Toc38443877"/>
      <w:bookmarkStart w:id="1345" w:name="_Toc272569712"/>
      <w:bookmarkStart w:id="1346" w:name="_Toc272569863"/>
      <w:bookmarkStart w:id="1347" w:name="_Toc272570186"/>
      <w:bookmarkStart w:id="1348" w:name="_Toc272570320"/>
      <w:bookmarkStart w:id="1349" w:name="_Toc272570453"/>
      <w:bookmarkStart w:id="1350" w:name="_Toc272570587"/>
      <w:bookmarkStart w:id="1351" w:name="_Toc272570720"/>
      <w:bookmarkStart w:id="1352" w:name="_Toc272570853"/>
      <w:bookmarkStart w:id="1353" w:name="_Toc272569104"/>
      <w:bookmarkStart w:id="1354" w:name="_Toc272569256"/>
      <w:bookmarkStart w:id="1355" w:name="_Toc272569440"/>
      <w:bookmarkStart w:id="1356" w:name="_Toc272569577"/>
      <w:bookmarkStart w:id="1357" w:name="_Toc272569713"/>
      <w:bookmarkStart w:id="1358" w:name="_Toc272569864"/>
      <w:bookmarkStart w:id="1359" w:name="_Toc272570187"/>
      <w:bookmarkStart w:id="1360" w:name="_Toc272570321"/>
      <w:bookmarkStart w:id="1361" w:name="_Toc272570454"/>
      <w:bookmarkStart w:id="1362" w:name="_Toc272570588"/>
      <w:bookmarkStart w:id="1363" w:name="_Toc272570721"/>
      <w:bookmarkStart w:id="1364" w:name="_Toc272570854"/>
      <w:bookmarkStart w:id="1365" w:name="_Toc272569105"/>
      <w:bookmarkStart w:id="1366" w:name="_Toc272569257"/>
      <w:bookmarkStart w:id="1367" w:name="_Toc272569441"/>
      <w:bookmarkStart w:id="1368" w:name="_Toc272569578"/>
      <w:bookmarkStart w:id="1369" w:name="_Toc272569714"/>
      <w:bookmarkStart w:id="1370" w:name="_Toc272569865"/>
      <w:bookmarkStart w:id="1371" w:name="_Toc272570188"/>
      <w:bookmarkStart w:id="1372" w:name="_Toc272570322"/>
      <w:bookmarkStart w:id="1373" w:name="_Toc272570455"/>
      <w:bookmarkStart w:id="1374" w:name="_Toc272570589"/>
      <w:bookmarkStart w:id="1375" w:name="_Toc272570722"/>
      <w:bookmarkStart w:id="1376" w:name="_Toc272570855"/>
      <w:bookmarkStart w:id="1377" w:name="_Toc272569106"/>
      <w:bookmarkStart w:id="1378" w:name="_Toc272569258"/>
      <w:bookmarkStart w:id="1379" w:name="_Toc272569442"/>
      <w:bookmarkStart w:id="1380" w:name="_Toc272569579"/>
      <w:bookmarkStart w:id="1381" w:name="_Toc272569715"/>
      <w:bookmarkStart w:id="1382" w:name="_Toc272569866"/>
      <w:bookmarkStart w:id="1383" w:name="_Toc272570189"/>
      <w:bookmarkStart w:id="1384" w:name="_Toc272570323"/>
      <w:bookmarkStart w:id="1385" w:name="_Toc272570456"/>
      <w:bookmarkStart w:id="1386" w:name="_Toc272570590"/>
      <w:bookmarkStart w:id="1387" w:name="_Toc272570723"/>
      <w:bookmarkStart w:id="1388" w:name="_Toc272570856"/>
      <w:bookmarkStart w:id="1389" w:name="_Toc272569107"/>
      <w:bookmarkStart w:id="1390" w:name="_Toc272569259"/>
      <w:bookmarkStart w:id="1391" w:name="_Toc272569443"/>
      <w:bookmarkStart w:id="1392" w:name="_Toc272569580"/>
      <w:bookmarkStart w:id="1393" w:name="_Toc272569716"/>
      <w:bookmarkStart w:id="1394" w:name="_Toc272569867"/>
      <w:bookmarkStart w:id="1395" w:name="_Toc272570190"/>
      <w:bookmarkStart w:id="1396" w:name="_Toc272570324"/>
      <w:bookmarkStart w:id="1397" w:name="_Toc272570457"/>
      <w:bookmarkStart w:id="1398" w:name="_Toc272570591"/>
      <w:bookmarkStart w:id="1399" w:name="_Toc272570724"/>
      <w:bookmarkStart w:id="1400" w:name="_Toc272570857"/>
      <w:bookmarkStart w:id="1401" w:name="_Toc272569108"/>
      <w:bookmarkStart w:id="1402" w:name="_Toc272569260"/>
      <w:bookmarkStart w:id="1403" w:name="_Toc272569444"/>
      <w:bookmarkStart w:id="1404" w:name="_Toc272569581"/>
      <w:bookmarkStart w:id="1405" w:name="_Toc272569717"/>
      <w:bookmarkStart w:id="1406" w:name="_Toc272569868"/>
      <w:bookmarkStart w:id="1407" w:name="_Toc272570191"/>
      <w:bookmarkStart w:id="1408" w:name="_Toc272570325"/>
      <w:bookmarkStart w:id="1409" w:name="_Toc272570458"/>
      <w:bookmarkStart w:id="1410" w:name="_Toc272570592"/>
      <w:bookmarkStart w:id="1411" w:name="_Toc272570725"/>
      <w:bookmarkStart w:id="1412" w:name="_Toc272570858"/>
      <w:bookmarkStart w:id="1413" w:name="_Toc272569109"/>
      <w:bookmarkStart w:id="1414" w:name="_Toc272569261"/>
      <w:bookmarkStart w:id="1415" w:name="_Toc272569445"/>
      <w:bookmarkStart w:id="1416" w:name="_Toc272569582"/>
      <w:bookmarkStart w:id="1417" w:name="_Toc272569718"/>
      <w:bookmarkStart w:id="1418" w:name="_Toc272569869"/>
      <w:bookmarkStart w:id="1419" w:name="_Toc272570192"/>
      <w:bookmarkStart w:id="1420" w:name="_Toc272570326"/>
      <w:bookmarkStart w:id="1421" w:name="_Toc272570459"/>
      <w:bookmarkStart w:id="1422" w:name="_Toc272570593"/>
      <w:bookmarkStart w:id="1423" w:name="_Toc272570726"/>
      <w:bookmarkStart w:id="1424" w:name="_Toc272570859"/>
      <w:bookmarkStart w:id="1425" w:name="_Toc308697698"/>
      <w:bookmarkStart w:id="1426" w:name="_Toc309286220"/>
      <w:bookmarkStart w:id="1427" w:name="_Toc308697699"/>
      <w:bookmarkStart w:id="1428" w:name="_Toc309286221"/>
      <w:bookmarkStart w:id="1429" w:name="_Toc308697700"/>
      <w:bookmarkStart w:id="1430" w:name="_Toc309286222"/>
      <w:bookmarkStart w:id="1431" w:name="_Toc308697701"/>
      <w:bookmarkStart w:id="1432" w:name="_Toc309286223"/>
      <w:bookmarkStart w:id="1433" w:name="_Toc308697702"/>
      <w:bookmarkStart w:id="1434" w:name="_Toc309286224"/>
      <w:bookmarkStart w:id="1435" w:name="_Toc308697703"/>
      <w:bookmarkStart w:id="1436" w:name="_Toc309286225"/>
      <w:bookmarkStart w:id="1437" w:name="_Toc308697704"/>
      <w:bookmarkStart w:id="1438" w:name="_Toc309286226"/>
      <w:bookmarkStart w:id="1439" w:name="_Toc308697705"/>
      <w:bookmarkStart w:id="1440" w:name="_Toc309286227"/>
      <w:bookmarkStart w:id="1441" w:name="_Toc308697706"/>
      <w:bookmarkStart w:id="1442" w:name="_Toc309286228"/>
      <w:bookmarkStart w:id="1443" w:name="_Toc296440221"/>
      <w:bookmarkStart w:id="1444" w:name="_Toc272569113"/>
      <w:bookmarkStart w:id="1445" w:name="_Toc272569265"/>
      <w:bookmarkStart w:id="1446" w:name="_Toc272569449"/>
      <w:bookmarkStart w:id="1447" w:name="_Toc272569586"/>
      <w:bookmarkStart w:id="1448" w:name="_Toc272569722"/>
      <w:bookmarkStart w:id="1449" w:name="_Toc272569873"/>
      <w:bookmarkStart w:id="1450" w:name="_Toc272569114"/>
      <w:bookmarkStart w:id="1451" w:name="_Toc272569266"/>
      <w:bookmarkStart w:id="1452" w:name="_Toc272569450"/>
      <w:bookmarkStart w:id="1453" w:name="_Toc272569587"/>
      <w:bookmarkStart w:id="1454" w:name="_Toc272569723"/>
      <w:bookmarkStart w:id="1455" w:name="_Toc272569874"/>
      <w:bookmarkStart w:id="1456" w:name="_Toc272569115"/>
      <w:bookmarkStart w:id="1457" w:name="_Toc272569267"/>
      <w:bookmarkStart w:id="1458" w:name="_Toc272569451"/>
      <w:bookmarkStart w:id="1459" w:name="_Toc272569588"/>
      <w:bookmarkStart w:id="1460" w:name="_Toc272569724"/>
      <w:bookmarkStart w:id="1461" w:name="_Toc272569875"/>
      <w:bookmarkStart w:id="1462" w:name="_Toc272569116"/>
      <w:bookmarkStart w:id="1463" w:name="_Toc272569268"/>
      <w:bookmarkStart w:id="1464" w:name="_Toc272569452"/>
      <w:bookmarkStart w:id="1465" w:name="_Toc272569589"/>
      <w:bookmarkStart w:id="1466" w:name="_Toc272569725"/>
      <w:bookmarkStart w:id="1467" w:name="_Toc272569876"/>
      <w:bookmarkStart w:id="1468" w:name="_Toc272569117"/>
      <w:bookmarkStart w:id="1469" w:name="_Toc272569269"/>
      <w:bookmarkStart w:id="1470" w:name="_Toc272569453"/>
      <w:bookmarkStart w:id="1471" w:name="_Toc272569590"/>
      <w:bookmarkStart w:id="1472" w:name="_Toc272569726"/>
      <w:bookmarkStart w:id="1473" w:name="_Toc272569877"/>
      <w:bookmarkStart w:id="1474" w:name="_Toc272569118"/>
      <w:bookmarkStart w:id="1475" w:name="_Toc272569270"/>
      <w:bookmarkStart w:id="1476" w:name="_Toc272569454"/>
      <w:bookmarkStart w:id="1477" w:name="_Toc272569591"/>
      <w:bookmarkStart w:id="1478" w:name="_Toc272569727"/>
      <w:bookmarkStart w:id="1479" w:name="_Toc272569878"/>
      <w:bookmarkStart w:id="1480" w:name="_Toc308697714"/>
      <w:bookmarkStart w:id="1481" w:name="_Toc309286236"/>
      <w:bookmarkStart w:id="1482" w:name="_Hlt133147570"/>
      <w:bookmarkStart w:id="1483" w:name="_Hlt133151691"/>
      <w:bookmarkStart w:id="1484" w:name="_Toc308697716"/>
      <w:bookmarkStart w:id="1485" w:name="_Toc309286238"/>
      <w:bookmarkStart w:id="1486" w:name="_Toc308697717"/>
      <w:bookmarkStart w:id="1487" w:name="_Toc309286239"/>
      <w:bookmarkStart w:id="1488" w:name="_Toc308697718"/>
      <w:bookmarkStart w:id="1489" w:name="_Toc309286240"/>
      <w:bookmarkStart w:id="1490" w:name="_Toc308697719"/>
      <w:bookmarkStart w:id="1491" w:name="_Toc309286241"/>
      <w:bookmarkStart w:id="1492" w:name="_Toc308697720"/>
      <w:bookmarkStart w:id="1493" w:name="_Toc309286242"/>
      <w:bookmarkStart w:id="1494" w:name="_Toc308697721"/>
      <w:bookmarkStart w:id="1495" w:name="_Toc309286243"/>
      <w:bookmarkStart w:id="1496" w:name="_Toc308697722"/>
      <w:bookmarkStart w:id="1497" w:name="_Toc309286244"/>
      <w:bookmarkStart w:id="1498" w:name="_Toc308697723"/>
      <w:bookmarkStart w:id="1499" w:name="_Toc309286245"/>
      <w:bookmarkStart w:id="1500" w:name="_Toc38438275"/>
      <w:bookmarkStart w:id="1501" w:name="_Toc38438612"/>
      <w:bookmarkStart w:id="1502" w:name="_Toc38438949"/>
      <w:bookmarkStart w:id="1503" w:name="_Toc38439286"/>
      <w:bookmarkStart w:id="1504" w:name="_Toc38439623"/>
      <w:bookmarkStart w:id="1505" w:name="_Toc38439960"/>
      <w:bookmarkStart w:id="1506" w:name="_Toc38440297"/>
      <w:bookmarkStart w:id="1507" w:name="_Toc38440630"/>
      <w:bookmarkStart w:id="1508" w:name="_Toc38440829"/>
      <w:bookmarkStart w:id="1509" w:name="_Toc38441161"/>
      <w:bookmarkStart w:id="1510" w:name="_Toc38441493"/>
      <w:bookmarkStart w:id="1511" w:name="_Toc38441821"/>
      <w:bookmarkStart w:id="1512" w:name="_Toc38442153"/>
      <w:bookmarkStart w:id="1513" w:name="_Toc38442485"/>
      <w:bookmarkStart w:id="1514" w:name="_Toc38442816"/>
      <w:bookmarkStart w:id="1515" w:name="_Toc38443147"/>
      <w:bookmarkStart w:id="1516" w:name="_Toc38443478"/>
      <w:bookmarkStart w:id="1517" w:name="_Toc38443809"/>
      <w:bookmarkStart w:id="1518" w:name="_Toc38438277"/>
      <w:bookmarkStart w:id="1519" w:name="_Toc38438614"/>
      <w:bookmarkStart w:id="1520" w:name="_Toc38438951"/>
      <w:bookmarkStart w:id="1521" w:name="_Toc38439288"/>
      <w:bookmarkStart w:id="1522" w:name="_Toc38439625"/>
      <w:bookmarkStart w:id="1523" w:name="_Toc38439962"/>
      <w:bookmarkStart w:id="1524" w:name="_Toc38440299"/>
      <w:bookmarkStart w:id="1525" w:name="_Toc38440632"/>
      <w:bookmarkStart w:id="1526" w:name="_Toc38440831"/>
      <w:bookmarkStart w:id="1527" w:name="_Toc38441163"/>
      <w:bookmarkStart w:id="1528" w:name="_Toc38441495"/>
      <w:bookmarkStart w:id="1529" w:name="_Toc38441823"/>
      <w:bookmarkStart w:id="1530" w:name="_Toc38442155"/>
      <w:bookmarkStart w:id="1531" w:name="_Toc38442487"/>
      <w:bookmarkStart w:id="1532" w:name="_Toc38442818"/>
      <w:bookmarkStart w:id="1533" w:name="_Toc38443149"/>
      <w:bookmarkStart w:id="1534" w:name="_Toc38443480"/>
      <w:bookmarkStart w:id="1535" w:name="_Toc38443811"/>
      <w:bookmarkStart w:id="1536" w:name="_Toc38438278"/>
      <w:bookmarkStart w:id="1537" w:name="_Toc38438615"/>
      <w:bookmarkStart w:id="1538" w:name="_Toc38438952"/>
      <w:bookmarkStart w:id="1539" w:name="_Toc38439289"/>
      <w:bookmarkStart w:id="1540" w:name="_Toc38439626"/>
      <w:bookmarkStart w:id="1541" w:name="_Toc38439963"/>
      <w:bookmarkStart w:id="1542" w:name="_Toc38440300"/>
      <w:bookmarkStart w:id="1543" w:name="_Toc38440633"/>
      <w:bookmarkStart w:id="1544" w:name="_Toc38440832"/>
      <w:bookmarkStart w:id="1545" w:name="_Toc38441164"/>
      <w:bookmarkStart w:id="1546" w:name="_Toc38441496"/>
      <w:bookmarkStart w:id="1547" w:name="_Toc38441824"/>
      <w:bookmarkStart w:id="1548" w:name="_Toc38442156"/>
      <w:bookmarkStart w:id="1549" w:name="_Toc38442488"/>
      <w:bookmarkStart w:id="1550" w:name="_Toc38442819"/>
      <w:bookmarkStart w:id="1551" w:name="_Toc38443150"/>
      <w:bookmarkStart w:id="1552" w:name="_Toc38443481"/>
      <w:bookmarkStart w:id="1553" w:name="_Toc38443812"/>
      <w:bookmarkStart w:id="1554" w:name="_Toc38438279"/>
      <w:bookmarkStart w:id="1555" w:name="_Toc38438616"/>
      <w:bookmarkStart w:id="1556" w:name="_Toc38438953"/>
      <w:bookmarkStart w:id="1557" w:name="_Toc38439290"/>
      <w:bookmarkStart w:id="1558" w:name="_Toc38439627"/>
      <w:bookmarkStart w:id="1559" w:name="_Toc38439964"/>
      <w:bookmarkStart w:id="1560" w:name="_Toc38440301"/>
      <w:bookmarkStart w:id="1561" w:name="_Toc38440634"/>
      <w:bookmarkStart w:id="1562" w:name="_Toc38440833"/>
      <w:bookmarkStart w:id="1563" w:name="_Toc38441165"/>
      <w:bookmarkStart w:id="1564" w:name="_Toc38441497"/>
      <w:bookmarkStart w:id="1565" w:name="_Toc38441825"/>
      <w:bookmarkStart w:id="1566" w:name="_Toc38442157"/>
      <w:bookmarkStart w:id="1567" w:name="_Toc38442489"/>
      <w:bookmarkStart w:id="1568" w:name="_Toc38442820"/>
      <w:bookmarkStart w:id="1569" w:name="_Toc38443151"/>
      <w:bookmarkStart w:id="1570" w:name="_Toc38443482"/>
      <w:bookmarkStart w:id="1571" w:name="_Toc38443813"/>
      <w:bookmarkStart w:id="1572" w:name="_Toc38438280"/>
      <w:bookmarkStart w:id="1573" w:name="_Toc38438617"/>
      <w:bookmarkStart w:id="1574" w:name="_Toc38438954"/>
      <w:bookmarkStart w:id="1575" w:name="_Toc38439291"/>
      <w:bookmarkStart w:id="1576" w:name="_Toc38439628"/>
      <w:bookmarkStart w:id="1577" w:name="_Toc38439965"/>
      <w:bookmarkStart w:id="1578" w:name="_Toc38440302"/>
      <w:bookmarkStart w:id="1579" w:name="_Toc38440635"/>
      <w:bookmarkStart w:id="1580" w:name="_Toc38440834"/>
      <w:bookmarkStart w:id="1581" w:name="_Toc38441166"/>
      <w:bookmarkStart w:id="1582" w:name="_Toc38441498"/>
      <w:bookmarkStart w:id="1583" w:name="_Toc38441826"/>
      <w:bookmarkStart w:id="1584" w:name="_Toc38442158"/>
      <w:bookmarkStart w:id="1585" w:name="_Toc38442490"/>
      <w:bookmarkStart w:id="1586" w:name="_Toc38442821"/>
      <w:bookmarkStart w:id="1587" w:name="_Toc38443152"/>
      <w:bookmarkStart w:id="1588" w:name="_Toc38443483"/>
      <w:bookmarkStart w:id="1589" w:name="_Toc38443814"/>
      <w:bookmarkStart w:id="1590" w:name="_Toc38438281"/>
      <w:bookmarkStart w:id="1591" w:name="_Toc38438618"/>
      <w:bookmarkStart w:id="1592" w:name="_Toc38438955"/>
      <w:bookmarkStart w:id="1593" w:name="_Toc38439292"/>
      <w:bookmarkStart w:id="1594" w:name="_Toc38439629"/>
      <w:bookmarkStart w:id="1595" w:name="_Toc38439966"/>
      <w:bookmarkStart w:id="1596" w:name="_Toc38440303"/>
      <w:bookmarkStart w:id="1597" w:name="_Toc38440636"/>
      <w:bookmarkStart w:id="1598" w:name="_Toc38440835"/>
      <w:bookmarkStart w:id="1599" w:name="_Toc38441167"/>
      <w:bookmarkStart w:id="1600" w:name="_Toc38441499"/>
      <w:bookmarkStart w:id="1601" w:name="_Toc38441827"/>
      <w:bookmarkStart w:id="1602" w:name="_Toc38442159"/>
      <w:bookmarkStart w:id="1603" w:name="_Toc38442491"/>
      <w:bookmarkStart w:id="1604" w:name="_Toc38442822"/>
      <w:bookmarkStart w:id="1605" w:name="_Toc38443153"/>
      <w:bookmarkStart w:id="1606" w:name="_Toc38443484"/>
      <w:bookmarkStart w:id="1607" w:name="_Toc38443815"/>
      <w:bookmarkStart w:id="1608" w:name="_Toc38438282"/>
      <w:bookmarkStart w:id="1609" w:name="_Toc38438619"/>
      <w:bookmarkStart w:id="1610" w:name="_Toc38438956"/>
      <w:bookmarkStart w:id="1611" w:name="_Toc38439293"/>
      <w:bookmarkStart w:id="1612" w:name="_Toc38439630"/>
      <w:bookmarkStart w:id="1613" w:name="_Toc38439967"/>
      <w:bookmarkStart w:id="1614" w:name="_Toc38440304"/>
      <w:bookmarkStart w:id="1615" w:name="_Toc38440637"/>
      <w:bookmarkStart w:id="1616" w:name="_Toc38440836"/>
      <w:bookmarkStart w:id="1617" w:name="_Toc38441168"/>
      <w:bookmarkStart w:id="1618" w:name="_Toc38441500"/>
      <w:bookmarkStart w:id="1619" w:name="_Toc38441828"/>
      <w:bookmarkStart w:id="1620" w:name="_Toc38442160"/>
      <w:bookmarkStart w:id="1621" w:name="_Toc38442492"/>
      <w:bookmarkStart w:id="1622" w:name="_Toc38442823"/>
      <w:bookmarkStart w:id="1623" w:name="_Toc38443154"/>
      <w:bookmarkStart w:id="1624" w:name="_Toc38443485"/>
      <w:bookmarkStart w:id="1625" w:name="_Toc38443816"/>
      <w:bookmarkStart w:id="1626" w:name="_Toc38438283"/>
      <w:bookmarkStart w:id="1627" w:name="_Toc38438620"/>
      <w:bookmarkStart w:id="1628" w:name="_Toc38438957"/>
      <w:bookmarkStart w:id="1629" w:name="_Toc38439294"/>
      <w:bookmarkStart w:id="1630" w:name="_Toc38439631"/>
      <w:bookmarkStart w:id="1631" w:name="_Toc38439968"/>
      <w:bookmarkStart w:id="1632" w:name="_Toc38440305"/>
      <w:bookmarkStart w:id="1633" w:name="_Toc38440638"/>
      <w:bookmarkStart w:id="1634" w:name="_Toc38440837"/>
      <w:bookmarkStart w:id="1635" w:name="_Toc38441169"/>
      <w:bookmarkStart w:id="1636" w:name="_Toc38441501"/>
      <w:bookmarkStart w:id="1637" w:name="_Toc38441829"/>
      <w:bookmarkStart w:id="1638" w:name="_Toc38442161"/>
      <w:bookmarkStart w:id="1639" w:name="_Toc38442493"/>
      <w:bookmarkStart w:id="1640" w:name="_Toc38442824"/>
      <w:bookmarkStart w:id="1641" w:name="_Toc38443155"/>
      <w:bookmarkStart w:id="1642" w:name="_Toc38443486"/>
      <w:bookmarkStart w:id="1643" w:name="_Toc38443817"/>
      <w:bookmarkStart w:id="1644" w:name="_Toc38438284"/>
      <w:bookmarkStart w:id="1645" w:name="_Toc38438621"/>
      <w:bookmarkStart w:id="1646" w:name="_Toc38438958"/>
      <w:bookmarkStart w:id="1647" w:name="_Toc38439295"/>
      <w:bookmarkStart w:id="1648" w:name="_Toc38439632"/>
      <w:bookmarkStart w:id="1649" w:name="_Toc38439969"/>
      <w:bookmarkStart w:id="1650" w:name="_Toc38440306"/>
      <w:bookmarkStart w:id="1651" w:name="_Toc38440639"/>
      <w:bookmarkStart w:id="1652" w:name="_Toc38440838"/>
      <w:bookmarkStart w:id="1653" w:name="_Toc38441170"/>
      <w:bookmarkStart w:id="1654" w:name="_Toc38441502"/>
      <w:bookmarkStart w:id="1655" w:name="_Toc38441830"/>
      <w:bookmarkStart w:id="1656" w:name="_Toc38442162"/>
      <w:bookmarkStart w:id="1657" w:name="_Toc38442494"/>
      <w:bookmarkStart w:id="1658" w:name="_Toc38442825"/>
      <w:bookmarkStart w:id="1659" w:name="_Toc38443156"/>
      <w:bookmarkStart w:id="1660" w:name="_Toc38443487"/>
      <w:bookmarkStart w:id="1661" w:name="_Toc38443818"/>
      <w:bookmarkStart w:id="1662" w:name="_Toc38438285"/>
      <w:bookmarkStart w:id="1663" w:name="_Toc38438622"/>
      <w:bookmarkStart w:id="1664" w:name="_Toc38438959"/>
      <w:bookmarkStart w:id="1665" w:name="_Toc38439296"/>
      <w:bookmarkStart w:id="1666" w:name="_Toc38439633"/>
      <w:bookmarkStart w:id="1667" w:name="_Toc38439970"/>
      <w:bookmarkStart w:id="1668" w:name="_Toc38440307"/>
      <w:bookmarkStart w:id="1669" w:name="_Toc38440640"/>
      <w:bookmarkStart w:id="1670" w:name="_Toc38440839"/>
      <w:bookmarkStart w:id="1671" w:name="_Toc38441171"/>
      <w:bookmarkStart w:id="1672" w:name="_Toc38441503"/>
      <w:bookmarkStart w:id="1673" w:name="_Toc38441831"/>
      <w:bookmarkStart w:id="1674" w:name="_Toc38442163"/>
      <w:bookmarkStart w:id="1675" w:name="_Toc38442495"/>
      <w:bookmarkStart w:id="1676" w:name="_Toc38442826"/>
      <w:bookmarkStart w:id="1677" w:name="_Toc38443157"/>
      <w:bookmarkStart w:id="1678" w:name="_Toc38443488"/>
      <w:bookmarkStart w:id="1679" w:name="_Toc38443819"/>
      <w:bookmarkStart w:id="1680" w:name="_Toc38438286"/>
      <w:bookmarkStart w:id="1681" w:name="_Toc38438623"/>
      <w:bookmarkStart w:id="1682" w:name="_Toc38438960"/>
      <w:bookmarkStart w:id="1683" w:name="_Toc38439297"/>
      <w:bookmarkStart w:id="1684" w:name="_Toc38439634"/>
      <w:bookmarkStart w:id="1685" w:name="_Toc38439971"/>
      <w:bookmarkStart w:id="1686" w:name="_Toc38440308"/>
      <w:bookmarkStart w:id="1687" w:name="_Toc38440641"/>
      <w:bookmarkStart w:id="1688" w:name="_Toc38440840"/>
      <w:bookmarkStart w:id="1689" w:name="_Toc38441172"/>
      <w:bookmarkStart w:id="1690" w:name="_Toc38441504"/>
      <w:bookmarkStart w:id="1691" w:name="_Toc38441832"/>
      <w:bookmarkStart w:id="1692" w:name="_Toc38442164"/>
      <w:bookmarkStart w:id="1693" w:name="_Toc38442496"/>
      <w:bookmarkStart w:id="1694" w:name="_Toc38442827"/>
      <w:bookmarkStart w:id="1695" w:name="_Toc38443158"/>
      <w:bookmarkStart w:id="1696" w:name="_Toc38443489"/>
      <w:bookmarkStart w:id="1697" w:name="_Toc38443820"/>
      <w:bookmarkStart w:id="1698" w:name="_Toc38438287"/>
      <w:bookmarkStart w:id="1699" w:name="_Toc38438624"/>
      <w:bookmarkStart w:id="1700" w:name="_Toc38438961"/>
      <w:bookmarkStart w:id="1701" w:name="_Toc38439298"/>
      <w:bookmarkStart w:id="1702" w:name="_Toc38439635"/>
      <w:bookmarkStart w:id="1703" w:name="_Toc38439972"/>
      <w:bookmarkStart w:id="1704" w:name="_Toc38440309"/>
      <w:bookmarkStart w:id="1705" w:name="_Toc38440642"/>
      <w:bookmarkStart w:id="1706" w:name="_Toc38440841"/>
      <w:bookmarkStart w:id="1707" w:name="_Toc38441173"/>
      <w:bookmarkStart w:id="1708" w:name="_Toc38441505"/>
      <w:bookmarkStart w:id="1709" w:name="_Toc38441833"/>
      <w:bookmarkStart w:id="1710" w:name="_Toc38442165"/>
      <w:bookmarkStart w:id="1711" w:name="_Toc38442497"/>
      <w:bookmarkStart w:id="1712" w:name="_Toc38442828"/>
      <w:bookmarkStart w:id="1713" w:name="_Toc38443159"/>
      <w:bookmarkStart w:id="1714" w:name="_Toc38443490"/>
      <w:bookmarkStart w:id="1715" w:name="_Toc38443821"/>
      <w:bookmarkStart w:id="1716" w:name="_Toc38438288"/>
      <w:bookmarkStart w:id="1717" w:name="_Toc38438625"/>
      <w:bookmarkStart w:id="1718" w:name="_Toc38438962"/>
      <w:bookmarkStart w:id="1719" w:name="_Toc38439299"/>
      <w:bookmarkStart w:id="1720" w:name="_Toc38439636"/>
      <w:bookmarkStart w:id="1721" w:name="_Toc38439973"/>
      <w:bookmarkStart w:id="1722" w:name="_Toc38440310"/>
      <w:bookmarkStart w:id="1723" w:name="_Toc38440643"/>
      <w:bookmarkStart w:id="1724" w:name="_Toc38440842"/>
      <w:bookmarkStart w:id="1725" w:name="_Toc38441174"/>
      <w:bookmarkStart w:id="1726" w:name="_Toc38441506"/>
      <w:bookmarkStart w:id="1727" w:name="_Toc38441834"/>
      <w:bookmarkStart w:id="1728" w:name="_Toc38442166"/>
      <w:bookmarkStart w:id="1729" w:name="_Toc38442498"/>
      <w:bookmarkStart w:id="1730" w:name="_Toc38442829"/>
      <w:bookmarkStart w:id="1731" w:name="_Toc38443160"/>
      <w:bookmarkStart w:id="1732" w:name="_Toc38443491"/>
      <w:bookmarkStart w:id="1733" w:name="_Toc38443822"/>
      <w:bookmarkStart w:id="1734" w:name="_Toc38438289"/>
      <w:bookmarkStart w:id="1735" w:name="_Toc38438626"/>
      <w:bookmarkStart w:id="1736" w:name="_Toc38438963"/>
      <w:bookmarkStart w:id="1737" w:name="_Toc38439300"/>
      <w:bookmarkStart w:id="1738" w:name="_Toc38439637"/>
      <w:bookmarkStart w:id="1739" w:name="_Toc38439974"/>
      <w:bookmarkStart w:id="1740" w:name="_Toc38440311"/>
      <w:bookmarkStart w:id="1741" w:name="_Toc38440644"/>
      <w:bookmarkStart w:id="1742" w:name="_Toc38440843"/>
      <w:bookmarkStart w:id="1743" w:name="_Toc38441175"/>
      <w:bookmarkStart w:id="1744" w:name="_Toc38441507"/>
      <w:bookmarkStart w:id="1745" w:name="_Toc38441835"/>
      <w:bookmarkStart w:id="1746" w:name="_Toc38442167"/>
      <w:bookmarkStart w:id="1747" w:name="_Toc38442499"/>
      <w:bookmarkStart w:id="1748" w:name="_Toc38442830"/>
      <w:bookmarkStart w:id="1749" w:name="_Toc38443161"/>
      <w:bookmarkStart w:id="1750" w:name="_Toc38443492"/>
      <w:bookmarkStart w:id="1751" w:name="_Toc38443823"/>
      <w:bookmarkStart w:id="1752" w:name="_Toc38438290"/>
      <w:bookmarkStart w:id="1753" w:name="_Toc38438627"/>
      <w:bookmarkStart w:id="1754" w:name="_Toc38438964"/>
      <w:bookmarkStart w:id="1755" w:name="_Toc38439301"/>
      <w:bookmarkStart w:id="1756" w:name="_Toc38439638"/>
      <w:bookmarkStart w:id="1757" w:name="_Toc38439975"/>
      <w:bookmarkStart w:id="1758" w:name="_Toc38440312"/>
      <w:bookmarkStart w:id="1759" w:name="_Toc38440645"/>
      <w:bookmarkStart w:id="1760" w:name="_Toc38440844"/>
      <w:bookmarkStart w:id="1761" w:name="_Toc38441176"/>
      <w:bookmarkStart w:id="1762" w:name="_Toc38441508"/>
      <w:bookmarkStart w:id="1763" w:name="_Toc38441836"/>
      <w:bookmarkStart w:id="1764" w:name="_Toc38442168"/>
      <w:bookmarkStart w:id="1765" w:name="_Toc38442500"/>
      <w:bookmarkStart w:id="1766" w:name="_Toc38442831"/>
      <w:bookmarkStart w:id="1767" w:name="_Toc38443162"/>
      <w:bookmarkStart w:id="1768" w:name="_Toc38443493"/>
      <w:bookmarkStart w:id="1769" w:name="_Toc38443824"/>
      <w:bookmarkStart w:id="1770" w:name="_Toc38438291"/>
      <w:bookmarkStart w:id="1771" w:name="_Toc38438628"/>
      <w:bookmarkStart w:id="1772" w:name="_Toc38438965"/>
      <w:bookmarkStart w:id="1773" w:name="_Toc38439302"/>
      <w:bookmarkStart w:id="1774" w:name="_Toc38439639"/>
      <w:bookmarkStart w:id="1775" w:name="_Toc38439976"/>
      <w:bookmarkStart w:id="1776" w:name="_Toc38440313"/>
      <w:bookmarkStart w:id="1777" w:name="_Toc38440646"/>
      <w:bookmarkStart w:id="1778" w:name="_Toc38440845"/>
      <w:bookmarkStart w:id="1779" w:name="_Toc38441177"/>
      <w:bookmarkStart w:id="1780" w:name="_Toc38441509"/>
      <w:bookmarkStart w:id="1781" w:name="_Toc3844183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D50D9C" w14:paraId="55372C19" w14:textId="77777777">
      <w:pPr>
        <w:pStyle w:val="11"/>
        <w:spacing w:before="317" w:after="317" w:line="360" w:lineRule="auto"/>
        <w:ind w:firstLine="643"/>
        <w:rPr>
          <w:rFonts w:ascii="宋体" w:eastAsia="宋体" w:hAnsi="宋体"/>
          <w:lang w:eastAsia="zh-CN"/>
        </w:rPr>
      </w:pPr>
      <w:r>
        <w:rPr>
          <w:rFonts w:ascii="宋体" w:eastAsia="宋体" w:hAnsi="宋体"/>
          <w:b/>
          <w:bCs/>
          <w:i/>
          <w:highlight w:val="white"/>
          <w:lang w:eastAsia="zh-CN"/>
        </w:rPr>
        <w:br w:type="column"/>
      </w:r>
      <w:bookmarkStart w:id="1782" w:name="_Toc73030162"/>
      <w:bookmarkStart w:id="1783" w:name="_Toc332373471"/>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2"/>
      <w:bookmarkEnd w:id="1783"/>
    </w:p>
    <w:p w:rsidR="00E71205" w:rsidRPr="00E71205" w:rsidP="00E71205" w14:paraId="30F8035F"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一、基金托管人情况</w:t>
      </w:r>
    </w:p>
    <w:p w:rsidR="00E71205" w:rsidRPr="00E71205" w:rsidP="00E71205" w14:paraId="35A62E7A"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（一）基本情况</w:t>
      </w:r>
    </w:p>
    <w:p w:rsidR="00E71205" w:rsidRPr="00E71205" w:rsidP="00E71205" w14:paraId="4351C56D"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名称：中国建设银行股份有限公司(简称：中国建设银行)</w:t>
      </w:r>
    </w:p>
    <w:p w:rsidR="00E71205" w:rsidRPr="00E71205" w:rsidP="00E71205" w14:paraId="330FCEE6"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住所：北京市西城区金融大街25号</w:t>
      </w:r>
    </w:p>
    <w:p w:rsidR="00E71205" w:rsidRPr="00E71205" w:rsidP="00E71205" w14:paraId="00812167"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办公地址：北京市西城区闹市口大街1号院1号楼</w:t>
      </w:r>
    </w:p>
    <w:p w:rsidR="00E71205" w:rsidRPr="00E71205" w:rsidP="00E71205" w14:paraId="74EB29B5"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法定代表人：张金良</w:t>
      </w:r>
    </w:p>
    <w:p w:rsidR="00E71205" w:rsidRPr="00E71205" w:rsidP="00E71205" w14:paraId="7CABF4EB"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成立时间：2004年09月17日</w:t>
      </w:r>
    </w:p>
    <w:p w:rsidR="00E71205" w:rsidRPr="00E71205" w:rsidP="00E71205" w14:paraId="6BDFE3F7"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组织形式：股份有限公司</w:t>
      </w:r>
    </w:p>
    <w:p w:rsidR="00E71205" w:rsidRPr="00635360" w:rsidP="00E71205" w14:paraId="073959AB" w14:textId="54DA849B">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注册资本：</w:t>
      </w:r>
      <w:r w:rsidRPr="00635360" w:rsidR="00635360">
        <w:rPr>
          <w:rFonts w:ascii="宋体" w:eastAsia="宋体" w:hAnsi="Calibri" w:cs="宋体" w:hint="eastAsia"/>
          <w:szCs w:val="21"/>
          <w:lang w:eastAsia="zh-CN"/>
        </w:rPr>
        <w:t>贰仟陆佰壹拾陆亿叁拾捌万壹仟肆佰伍拾玖元整</w:t>
      </w:r>
    </w:p>
    <w:p w:rsidR="00E71205" w:rsidRPr="00E71205" w:rsidP="00E71205" w14:paraId="3E31ADFE"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存续期间：持续经营</w:t>
      </w:r>
    </w:p>
    <w:p w:rsidR="00E71205" w:rsidRPr="00E71205" w:rsidP="00E71205" w14:paraId="12ECBDF2"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基金托管资格批文及文号：中国证监会证监基字[1998]12号</w:t>
      </w:r>
    </w:p>
    <w:p w:rsidR="00E71205" w:rsidRPr="00E71205" w:rsidP="00E71205" w14:paraId="1F3FAA22"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联系人：王小飞</w:t>
      </w:r>
    </w:p>
    <w:p w:rsidR="00E71205" w:rsidRPr="00E71205" w:rsidP="00E71205" w14:paraId="686E9D2F"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联系电话：(021)6063 7103</w:t>
      </w:r>
    </w:p>
    <w:p w:rsidR="00E71205" w:rsidRPr="00E71205" w:rsidP="00E71205" w14:paraId="7691152C"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（二）主要人员情况</w:t>
      </w:r>
    </w:p>
    <w:p w:rsidR="00E71205" w:rsidRPr="00E71205" w:rsidP="00E71205" w14:paraId="36E637EA"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rsidR="00E71205" w:rsidRPr="00E71205" w:rsidP="00E71205" w14:paraId="38FBDA75"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（三）基金托管业务经营情况</w:t>
      </w:r>
    </w:p>
    <w:p w:rsidR="00E71205" w:rsidRPr="00E71205" w:rsidP="00E71205" w14:paraId="30F89B2A"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2025年末，中国建设银行已托管1,536只证券投资基金。中国建设银行专业高效的托管服务能力和业务水平，赢得了业内的高度认同。中国建设银行多次被《全球托管人》、 《财资》、《环球金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年度、2022年度“中国年度托管银行（大型银行）”奖项。2023年度，荣获《中国基金报》“公募基金25年最佳基金托管银行”奖项。2024年度，荣获《中国基金报》“优秀ETF托管人”、《中国证券报》“ETF金牛生态圈卓越托管机构（银行）”、《环球金融》“中国最佳次托管人”奖项。2025年度，荣获《中国基金报》“指数生态圈英华奖”、《环球金融》“中国最佳次托管人”等奖项。</w:t>
      </w:r>
    </w:p>
    <w:p w:rsidR="00E71205" w:rsidRPr="00E71205" w:rsidP="00E71205" w14:paraId="4C6559DF"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二、基金托管人的内部控制制度</w:t>
      </w:r>
    </w:p>
    <w:p w:rsidR="00E71205" w:rsidRPr="00E71205" w:rsidP="00E71205" w14:paraId="6735A204"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（一）内部控制目标</w:t>
      </w:r>
    </w:p>
    <w:p w:rsidR="00E71205" w:rsidRPr="00E71205" w:rsidP="00E71205" w14:paraId="0F9563C6"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rsidR="00E71205" w:rsidRPr="00E71205" w:rsidP="00E71205" w14:paraId="7121611E"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（二）内部控制组织结构</w:t>
      </w:r>
    </w:p>
    <w:p w:rsidR="00E71205" w:rsidRPr="00E71205" w:rsidP="00E71205" w14:paraId="2897B2F6"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rsidR="00E71205" w:rsidRPr="00E71205" w:rsidP="00E71205" w14:paraId="5EB952F8"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（三）内部控制制度及措施</w:t>
      </w:r>
    </w:p>
    <w:p w:rsidR="00E71205" w:rsidRPr="00E71205" w:rsidP="00E71205" w14:paraId="06B0D880"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E71205" w:rsidRPr="00E71205" w:rsidP="00E71205" w14:paraId="496E6943"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三、基金托管人对基金管理人运作基金进行监督的方法和程序</w:t>
      </w:r>
    </w:p>
    <w:p w:rsidR="00E71205" w:rsidRPr="00E71205" w:rsidP="00E71205" w14:paraId="2BC9031C"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（一）监督方法</w:t>
      </w:r>
    </w:p>
    <w:p w:rsidR="00E71205" w:rsidRPr="00E71205" w:rsidP="00E71205" w14:paraId="598925DB"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E71205" w:rsidRPr="00E71205" w:rsidP="00E71205" w14:paraId="7D7E36D8"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（二）监督流程</w:t>
      </w:r>
    </w:p>
    <w:p w:rsidR="00E71205" w:rsidRPr="00E71205" w:rsidP="00E71205" w14:paraId="6E0AF912"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E71205" w:rsidRPr="00E71205" w:rsidP="00E71205" w14:paraId="36022A71" w14:textId="77777777">
      <w:pPr>
        <w:spacing w:line="360" w:lineRule="auto"/>
        <w:ind w:firstLine="420"/>
        <w:rPr>
          <w:rFonts w:ascii="宋体" w:eastAsia="宋体" w:hAnsi="Calibri" w:cs="宋体"/>
          <w:szCs w:val="21"/>
          <w:lang w:eastAsia="zh-CN"/>
        </w:rPr>
      </w:pPr>
      <w:r w:rsidRPr="00E71205">
        <w:rPr>
          <w:rFonts w:ascii="宋体" w:eastAsia="宋体" w:hAnsi="Calibri" w:cs="宋体" w:hint="eastAsia"/>
          <w:szCs w:val="21"/>
          <w:lang w:eastAsia="zh-CN"/>
        </w:rPr>
        <w:t>2.收到基金管理人的划款指令后，对指令要素等内容进行核查。</w:t>
      </w:r>
    </w:p>
    <w:p w:rsidR="00D50D9C" w:rsidP="00E71205" w14:paraId="083C7DC8" w14:textId="27868BA1">
      <w:pPr>
        <w:spacing w:line="360" w:lineRule="auto"/>
        <w:ind w:firstLine="420"/>
        <w:rPr>
          <w:rFonts w:ascii="宋体" w:eastAsia="宋体" w:hAnsi="Calibri" w:cs="宋体"/>
          <w:lang w:eastAsia="zh-CN"/>
        </w:rPr>
      </w:pPr>
      <w:r w:rsidRPr="00E71205">
        <w:rPr>
          <w:rFonts w:ascii="宋体" w:eastAsia="宋体" w:hAnsi="Calibri" w:cs="宋体" w:hint="eastAsia"/>
          <w:szCs w:val="21"/>
          <w:lang w:eastAsia="zh-CN"/>
        </w:rPr>
        <w:t>3.通过技术或非技术手段发现基金涉嫌违规交易，电话或书面要求基金管理人进行解释或举证，如有必要将及时报告中国证监会。</w:t>
      </w:r>
    </w:p>
    <w:p w:rsidR="00D50D9C" w14:paraId="13B20720" w14:textId="77777777">
      <w:pPr>
        <w:spacing w:line="360" w:lineRule="auto"/>
        <w:ind w:firstLine="420"/>
        <w:rPr>
          <w:rFonts w:ascii="宋体" w:hAnsi="宋体"/>
          <w:szCs w:val="21"/>
          <w:lang w:eastAsia="zh-CN"/>
        </w:rPr>
      </w:pPr>
    </w:p>
    <w:p w:rsidR="00D50D9C" w14:paraId="2FC80335" w14:textId="77777777">
      <w:pPr>
        <w:pStyle w:val="111"/>
        <w:spacing w:before="317" w:after="317" w:line="360" w:lineRule="auto"/>
        <w:ind w:firstLine="640"/>
        <w:rPr>
          <w:rFonts w:ascii="宋体" w:eastAsia="宋体" w:hAnsi="宋体"/>
          <w:sz w:val="32"/>
          <w:szCs w:val="32"/>
          <w:lang w:eastAsia="zh-CN"/>
        </w:rPr>
      </w:pPr>
      <w:bookmarkStart w:id="1784" w:name="_Toc73030163"/>
      <w:bookmarkStart w:id="1785" w:name="_Toc332373481"/>
      <w:r>
        <w:rPr>
          <w:rFonts w:ascii="宋体" w:eastAsia="宋体" w:hAnsi="宋体" w:hint="eastAsia"/>
          <w:sz w:val="32"/>
          <w:szCs w:val="21"/>
          <w:highlight w:val="white"/>
          <w:lang w:eastAsia="zh-CN"/>
        </w:rPr>
        <w:t>第五部分 相关服务机构</w:t>
      </w:r>
      <w:bookmarkEnd w:id="1784"/>
      <w:bookmarkEnd w:id="1785"/>
    </w:p>
    <w:p w:rsidR="00D50D9C" w14:paraId="272FE504" w14:textId="77777777">
      <w:pPr>
        <w:spacing w:line="360" w:lineRule="auto"/>
        <w:ind w:firstLine="420"/>
        <w:rPr>
          <w:rStyle w:val="da"/>
          <w:rFonts w:ascii="宋体" w:hAnsi="宋体"/>
          <w:szCs w:val="21"/>
          <w:lang w:eastAsia="zh-CN"/>
        </w:rPr>
      </w:pPr>
      <w:bookmarkStart w:id="1786" w:name="_Toc332373482"/>
      <w:r>
        <w:rPr>
          <w:rStyle w:val="da"/>
          <w:rFonts w:ascii="宋体" w:eastAsia="宋体" w:hAnsi="宋体" w:cs="宋体" w:hint="eastAsia"/>
          <w:szCs w:val="21"/>
          <w:highlight w:val="white"/>
          <w:lang w:eastAsia="zh-CN"/>
        </w:rPr>
        <w:t>一、基金份额发售机构</w:t>
      </w:r>
      <w:bookmarkEnd w:id="1786"/>
    </w:p>
    <w:p w:rsidR="00D50D9C" w14:paraId="73719F58"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D50D9C" w14:paraId="68FAEB74"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D50D9C" w14:paraId="7D279DF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办公地址：</w:t>
      </w:r>
      <w:r w:rsidR="00282915">
        <w:rPr>
          <w:rFonts w:ascii="宋体" w:eastAsia="宋体" w:hAnsi="宋体" w:cs="宋体" w:hint="eastAsia"/>
          <w:bCs/>
          <w:szCs w:val="21"/>
          <w:lang w:eastAsia="zh-CN"/>
        </w:rPr>
        <w:t>广东省广州市天河区珠江西路</w:t>
      </w:r>
      <w:r w:rsidR="00282915">
        <w:rPr>
          <w:rFonts w:ascii="宋体" w:eastAsia="宋体" w:hAnsi="宋体" w:cs="宋体"/>
          <w:bCs/>
          <w:szCs w:val="21"/>
          <w:lang w:eastAsia="zh-CN"/>
        </w:rPr>
        <w:t>21</w:t>
      </w:r>
      <w:r w:rsidR="00282915">
        <w:rPr>
          <w:rFonts w:ascii="宋体" w:eastAsia="宋体" w:hAnsi="宋体" w:cs="宋体" w:hint="eastAsia"/>
          <w:bCs/>
          <w:szCs w:val="21"/>
          <w:lang w:eastAsia="zh-CN"/>
        </w:rPr>
        <w:t>号</w:t>
      </w:r>
      <w:r w:rsidR="00282915">
        <w:rPr>
          <w:rFonts w:ascii="宋体" w:eastAsia="宋体" w:hAnsi="宋体" w:cs="宋体"/>
          <w:bCs/>
          <w:szCs w:val="21"/>
          <w:lang w:eastAsia="zh-CN"/>
        </w:rPr>
        <w:t>52</w:t>
      </w:r>
      <w:r w:rsidR="00282915">
        <w:rPr>
          <w:rFonts w:ascii="宋体" w:eastAsia="宋体" w:hAnsi="宋体" w:cs="宋体" w:hint="eastAsia"/>
          <w:bCs/>
          <w:szCs w:val="21"/>
          <w:lang w:eastAsia="zh-CN"/>
        </w:rPr>
        <w:t>层；广东省广州市天河区珠江东路</w:t>
      </w:r>
      <w:r w:rsidR="00282915">
        <w:rPr>
          <w:rFonts w:ascii="宋体" w:eastAsia="宋体" w:hAnsi="宋体" w:cs="宋体"/>
          <w:bCs/>
          <w:szCs w:val="21"/>
          <w:lang w:eastAsia="zh-CN"/>
        </w:rPr>
        <w:t>30</w:t>
      </w:r>
      <w:r w:rsidR="00282915">
        <w:rPr>
          <w:rFonts w:ascii="宋体" w:eastAsia="宋体" w:hAnsi="宋体" w:cs="宋体" w:hint="eastAsia"/>
          <w:bCs/>
          <w:szCs w:val="21"/>
          <w:lang w:eastAsia="zh-CN"/>
        </w:rPr>
        <w:t>号</w:t>
      </w:r>
      <w:r w:rsidR="00282915">
        <w:rPr>
          <w:rFonts w:ascii="宋体" w:eastAsia="宋体" w:hAnsi="宋体" w:cs="宋体"/>
          <w:bCs/>
          <w:szCs w:val="21"/>
          <w:lang w:eastAsia="zh-CN"/>
        </w:rPr>
        <w:t>42</w:t>
      </w:r>
      <w:r w:rsidR="00282915">
        <w:rPr>
          <w:rFonts w:ascii="宋体" w:eastAsia="宋体" w:hAnsi="宋体" w:cs="宋体" w:hint="eastAsia"/>
          <w:bCs/>
          <w:szCs w:val="21"/>
          <w:lang w:eastAsia="zh-CN"/>
        </w:rPr>
        <w:t>层；广东省珠海市横琴新区荣粤道</w:t>
      </w:r>
      <w:r w:rsidR="00282915">
        <w:rPr>
          <w:rFonts w:ascii="宋体" w:eastAsia="宋体" w:hAnsi="宋体" w:cs="宋体"/>
          <w:bCs/>
          <w:szCs w:val="21"/>
          <w:lang w:eastAsia="zh-CN"/>
        </w:rPr>
        <w:t>188</w:t>
      </w:r>
      <w:r w:rsidR="00282915">
        <w:rPr>
          <w:rFonts w:ascii="宋体" w:eastAsia="宋体" w:hAnsi="宋体" w:cs="宋体" w:hint="eastAsia"/>
          <w:bCs/>
          <w:szCs w:val="21"/>
          <w:lang w:eastAsia="zh-CN"/>
        </w:rPr>
        <w:t>号</w:t>
      </w:r>
      <w:r w:rsidR="00282915">
        <w:rPr>
          <w:rFonts w:ascii="宋体" w:eastAsia="宋体" w:hAnsi="宋体" w:cs="宋体"/>
          <w:bCs/>
          <w:szCs w:val="21"/>
          <w:lang w:eastAsia="zh-CN"/>
        </w:rPr>
        <w:t>6</w:t>
      </w:r>
      <w:r w:rsidR="00282915">
        <w:rPr>
          <w:rFonts w:ascii="宋体" w:eastAsia="宋体" w:hAnsi="宋体" w:cs="宋体" w:hint="eastAsia"/>
          <w:bCs/>
          <w:szCs w:val="21"/>
          <w:lang w:eastAsia="zh-CN"/>
        </w:rPr>
        <w:t>层</w:t>
      </w:r>
    </w:p>
    <w:p w:rsidR="00D50D9C" w14:paraId="73E45BA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D50D9C" w14:paraId="1A9E16B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D50D9C" w14:paraId="3DDAA26E" w14:textId="77777777">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D50D9C" w14:paraId="07962D08" w14:textId="77777777">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D50D9C" w14:paraId="274A41EE" w14:textId="77777777">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D50D9C" w14:paraId="66D01FE0" w14:textId="77777777">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D50D9C" w14:paraId="5963BB1A" w14:textId="77777777">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w:t>
      </w:r>
      <w:r w:rsidR="007C3A32">
        <w:rPr>
          <w:rStyle w:val="da"/>
          <w:rFonts w:ascii="宋体" w:eastAsia="宋体" w:hAnsi="宋体" w:cs="宋体" w:hint="eastAsia"/>
          <w:lang w:eastAsia="zh-CN"/>
        </w:rPr>
        <w:t>A类基金份额</w:t>
      </w:r>
      <w:r w:rsidR="007C3A32">
        <w:rPr>
          <w:rStyle w:val="da"/>
          <w:rFonts w:ascii="宋体" w:eastAsia="宋体" w:hAnsi="宋体" w:cs="宋体"/>
          <w:highlight w:val="white"/>
          <w:lang w:eastAsia="zh-CN"/>
        </w:rPr>
        <w:t>，</w:t>
      </w:r>
      <w:r w:rsidR="007C3A32">
        <w:rPr>
          <w:rStyle w:val="da"/>
          <w:rFonts w:ascii="宋体" w:eastAsia="宋体" w:hAnsi="宋体" w:cs="宋体" w:hint="eastAsia"/>
          <w:lang w:eastAsia="zh-CN"/>
        </w:rPr>
        <w:t>若后续销售本基金C类基金份额，将另行公告</w:t>
      </w:r>
      <w:r>
        <w:rPr>
          <w:rStyle w:val="da"/>
          <w:rFonts w:ascii="宋体" w:eastAsia="宋体" w:hAnsi="宋体" w:cs="宋体"/>
          <w:highlight w:val="white"/>
          <w:lang w:eastAsia="zh-CN"/>
        </w:rPr>
        <w:t>，网点具体信息详见本公司网站。</w:t>
      </w:r>
    </w:p>
    <w:p w:rsidR="00D50D9C" w14:paraId="620DAF68"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D50D9C" w14:paraId="420F164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D50D9C" w14:paraId="57D57D8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D50D9C" w14:paraId="343E5E12" w14:textId="77777777">
      <w:pPr>
        <w:spacing w:line="360" w:lineRule="auto"/>
        <w:ind w:firstLine="420"/>
        <w:rPr>
          <w:rStyle w:val="da"/>
          <w:rFonts w:ascii="宋体" w:hAnsi="宋体"/>
          <w:szCs w:val="21"/>
          <w:lang w:eastAsia="zh-CN"/>
        </w:rPr>
      </w:pPr>
      <w:bookmarkStart w:id="1787" w:name="_Toc332373483"/>
      <w:r>
        <w:rPr>
          <w:rStyle w:val="da"/>
          <w:rFonts w:ascii="宋体" w:eastAsia="宋体" w:hAnsi="宋体" w:cs="宋体" w:hint="eastAsia"/>
          <w:szCs w:val="21"/>
          <w:highlight w:val="white"/>
          <w:lang w:eastAsia="zh-CN"/>
        </w:rPr>
        <w:t>二、</w:t>
      </w:r>
      <w:bookmarkEnd w:id="1787"/>
      <w:r>
        <w:rPr>
          <w:rStyle w:val="da"/>
          <w:rFonts w:ascii="宋体" w:eastAsia="宋体" w:hAnsi="宋体" w:cs="宋体" w:hint="eastAsia"/>
          <w:szCs w:val="21"/>
          <w:highlight w:val="white"/>
          <w:lang w:eastAsia="zh-CN"/>
        </w:rPr>
        <w:t>登记机构</w:t>
      </w:r>
    </w:p>
    <w:p w:rsidR="00D50D9C" w14:paraId="57AB95D4"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D50D9C" w14:paraId="6C9FD62E"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D50D9C" w14:paraId="4AE89FB1"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sidR="007C3A32">
        <w:rPr>
          <w:rFonts w:ascii="宋体" w:eastAsia="宋体" w:hAnsi="宋体" w:cs="宋体" w:hint="eastAsia"/>
          <w:bCs/>
          <w:szCs w:val="21"/>
          <w:lang w:eastAsia="zh-CN"/>
        </w:rPr>
        <w:t>广东省广州市天河区珠江西路</w:t>
      </w:r>
      <w:r w:rsidR="007C3A32">
        <w:rPr>
          <w:rFonts w:ascii="宋体" w:eastAsia="宋体" w:hAnsi="宋体" w:cs="宋体"/>
          <w:bCs/>
          <w:szCs w:val="21"/>
          <w:lang w:eastAsia="zh-CN"/>
        </w:rPr>
        <w:t>21</w:t>
      </w:r>
      <w:r w:rsidR="007C3A32">
        <w:rPr>
          <w:rFonts w:ascii="宋体" w:eastAsia="宋体" w:hAnsi="宋体" w:cs="宋体" w:hint="eastAsia"/>
          <w:bCs/>
          <w:szCs w:val="21"/>
          <w:lang w:eastAsia="zh-CN"/>
        </w:rPr>
        <w:t>号</w:t>
      </w:r>
      <w:r w:rsidR="007C3A32">
        <w:rPr>
          <w:rFonts w:ascii="宋体" w:eastAsia="宋体" w:hAnsi="宋体" w:cs="宋体"/>
          <w:bCs/>
          <w:szCs w:val="21"/>
          <w:lang w:eastAsia="zh-CN"/>
        </w:rPr>
        <w:t>52</w:t>
      </w:r>
      <w:r w:rsidR="007C3A32">
        <w:rPr>
          <w:rFonts w:ascii="宋体" w:eastAsia="宋体" w:hAnsi="宋体" w:cs="宋体" w:hint="eastAsia"/>
          <w:bCs/>
          <w:szCs w:val="21"/>
          <w:lang w:eastAsia="zh-CN"/>
        </w:rPr>
        <w:t>层；广东省广州市天河区珠江东路</w:t>
      </w:r>
      <w:r w:rsidR="007C3A32">
        <w:rPr>
          <w:rFonts w:ascii="宋体" w:eastAsia="宋体" w:hAnsi="宋体" w:cs="宋体"/>
          <w:bCs/>
          <w:szCs w:val="21"/>
          <w:lang w:eastAsia="zh-CN"/>
        </w:rPr>
        <w:t>30</w:t>
      </w:r>
      <w:r w:rsidR="007C3A32">
        <w:rPr>
          <w:rFonts w:ascii="宋体" w:eastAsia="宋体" w:hAnsi="宋体" w:cs="宋体" w:hint="eastAsia"/>
          <w:bCs/>
          <w:szCs w:val="21"/>
          <w:lang w:eastAsia="zh-CN"/>
        </w:rPr>
        <w:t>号</w:t>
      </w:r>
      <w:r w:rsidR="007C3A32">
        <w:rPr>
          <w:rFonts w:ascii="宋体" w:eastAsia="宋体" w:hAnsi="宋体" w:cs="宋体"/>
          <w:bCs/>
          <w:szCs w:val="21"/>
          <w:lang w:eastAsia="zh-CN"/>
        </w:rPr>
        <w:t>42</w:t>
      </w:r>
      <w:r w:rsidR="007C3A32">
        <w:rPr>
          <w:rFonts w:ascii="宋体" w:eastAsia="宋体" w:hAnsi="宋体" w:cs="宋体" w:hint="eastAsia"/>
          <w:bCs/>
          <w:szCs w:val="21"/>
          <w:lang w:eastAsia="zh-CN"/>
        </w:rPr>
        <w:t>层；广东省珠海市横琴新区荣粤道</w:t>
      </w:r>
      <w:r w:rsidR="007C3A32">
        <w:rPr>
          <w:rFonts w:ascii="宋体" w:eastAsia="宋体" w:hAnsi="宋体" w:cs="宋体"/>
          <w:bCs/>
          <w:szCs w:val="21"/>
          <w:lang w:eastAsia="zh-CN"/>
        </w:rPr>
        <w:t>188</w:t>
      </w:r>
      <w:r w:rsidR="007C3A32">
        <w:rPr>
          <w:rFonts w:ascii="宋体" w:eastAsia="宋体" w:hAnsi="宋体" w:cs="宋体" w:hint="eastAsia"/>
          <w:bCs/>
          <w:szCs w:val="21"/>
          <w:lang w:eastAsia="zh-CN"/>
        </w:rPr>
        <w:t>号</w:t>
      </w:r>
      <w:r w:rsidR="007C3A32">
        <w:rPr>
          <w:rFonts w:ascii="宋体" w:eastAsia="宋体" w:hAnsi="宋体" w:cs="宋体"/>
          <w:bCs/>
          <w:szCs w:val="21"/>
          <w:lang w:eastAsia="zh-CN"/>
        </w:rPr>
        <w:t>6</w:t>
      </w:r>
      <w:r w:rsidR="007C3A32">
        <w:rPr>
          <w:rFonts w:ascii="宋体" w:eastAsia="宋体" w:hAnsi="宋体" w:cs="宋体" w:hint="eastAsia"/>
          <w:bCs/>
          <w:szCs w:val="21"/>
          <w:lang w:eastAsia="zh-CN"/>
        </w:rPr>
        <w:t>层</w:t>
      </w:r>
    </w:p>
    <w:p w:rsidR="00D50D9C" w14:paraId="5943223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D50D9C" w14:paraId="7F856F4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D50D9C" w14:paraId="3D0BC17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D50D9C" w14:paraId="070948F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D50D9C" w14:paraId="0A404289" w14:textId="77777777">
      <w:pPr>
        <w:spacing w:line="360" w:lineRule="auto"/>
        <w:ind w:firstLine="420"/>
        <w:rPr>
          <w:rStyle w:val="da"/>
          <w:rFonts w:ascii="宋体" w:hAnsi="宋体"/>
          <w:szCs w:val="21"/>
          <w:lang w:eastAsia="zh-CN"/>
        </w:rPr>
      </w:pPr>
      <w:bookmarkStart w:id="1788" w:name="_Toc332373484"/>
      <w:r>
        <w:rPr>
          <w:rStyle w:val="da"/>
          <w:rFonts w:ascii="宋体" w:eastAsia="宋体" w:hAnsi="宋体" w:cs="宋体" w:hint="eastAsia"/>
          <w:szCs w:val="21"/>
          <w:highlight w:val="white"/>
          <w:lang w:eastAsia="zh-CN"/>
        </w:rPr>
        <w:t>三、律师事务所和经办律师</w:t>
      </w:r>
      <w:bookmarkEnd w:id="1788"/>
    </w:p>
    <w:p w:rsidR="00D50D9C" w14:paraId="5E453458"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律师事务所：广东金桥百信律师事务所</w:t>
      </w:r>
    </w:p>
    <w:p w:rsidR="00D50D9C" w14:paraId="1FF6051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住所：广东省广州市天河区珠江东路</w:t>
      </w:r>
      <w:r>
        <w:rPr>
          <w:rStyle w:val="da"/>
          <w:rFonts w:ascii="宋体" w:hAnsi="宋体" w:hint="eastAsia"/>
          <w:highlight w:val="white"/>
          <w:lang w:eastAsia="zh-CN"/>
        </w:rPr>
        <w:t>16</w:t>
      </w:r>
      <w:r>
        <w:rPr>
          <w:rStyle w:val="da"/>
          <w:rFonts w:ascii="宋体" w:eastAsia="宋体" w:hAnsi="宋体" w:cs="宋体" w:hint="eastAsia"/>
          <w:highlight w:val="white"/>
          <w:lang w:eastAsia="zh-CN"/>
        </w:rPr>
        <w:t>号</w:t>
      </w:r>
      <w:r>
        <w:rPr>
          <w:rStyle w:val="da"/>
          <w:rFonts w:ascii="宋体" w:hAnsi="宋体" w:hint="eastAsia"/>
          <w:highlight w:val="white"/>
          <w:lang w:eastAsia="zh-CN"/>
        </w:rPr>
        <w:t>24-26</w:t>
      </w:r>
      <w:r>
        <w:rPr>
          <w:rStyle w:val="da"/>
          <w:rFonts w:ascii="宋体" w:eastAsia="宋体" w:hAnsi="宋体" w:cs="宋体" w:hint="eastAsia"/>
          <w:highlight w:val="white"/>
          <w:lang w:eastAsia="zh-CN"/>
        </w:rPr>
        <w:t>层</w:t>
      </w:r>
    </w:p>
    <w:p w:rsidR="00D50D9C" w14:paraId="3C2EE7A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办公地址：广州市珠江新城珠江东路</w:t>
      </w:r>
      <w:r>
        <w:rPr>
          <w:rStyle w:val="da"/>
          <w:rFonts w:ascii="宋体" w:hAnsi="宋体" w:hint="eastAsia"/>
          <w:highlight w:val="white"/>
          <w:lang w:eastAsia="zh-CN"/>
        </w:rPr>
        <w:t>16</w:t>
      </w:r>
      <w:r>
        <w:rPr>
          <w:rStyle w:val="da"/>
          <w:rFonts w:ascii="宋体" w:eastAsia="宋体" w:hAnsi="宋体" w:cs="宋体" w:hint="eastAsia"/>
          <w:highlight w:val="white"/>
          <w:lang w:eastAsia="zh-CN"/>
        </w:rPr>
        <w:t>号高德置地冬广场</w:t>
      </w:r>
      <w:r>
        <w:rPr>
          <w:rStyle w:val="da"/>
          <w:rFonts w:ascii="宋体" w:hAnsi="宋体" w:hint="eastAsia"/>
          <w:highlight w:val="white"/>
          <w:lang w:eastAsia="zh-CN"/>
        </w:rPr>
        <w:t>G</w:t>
      </w:r>
      <w:r>
        <w:rPr>
          <w:rStyle w:val="da"/>
          <w:rFonts w:ascii="宋体" w:eastAsia="宋体" w:hAnsi="宋体" w:cs="宋体" w:hint="eastAsia"/>
          <w:highlight w:val="white"/>
          <w:lang w:eastAsia="zh-CN"/>
        </w:rPr>
        <w:t>座</w:t>
      </w:r>
      <w:r>
        <w:rPr>
          <w:rStyle w:val="da"/>
          <w:rFonts w:ascii="宋体" w:hAnsi="宋体" w:hint="eastAsia"/>
          <w:highlight w:val="white"/>
          <w:lang w:eastAsia="zh-CN"/>
        </w:rPr>
        <w:t>26</w:t>
      </w:r>
      <w:r>
        <w:rPr>
          <w:rStyle w:val="da"/>
          <w:rFonts w:ascii="宋体" w:eastAsia="宋体" w:hAnsi="宋体" w:cs="宋体" w:hint="eastAsia"/>
          <w:highlight w:val="white"/>
          <w:lang w:eastAsia="zh-CN"/>
        </w:rPr>
        <w:t>楼</w:t>
      </w:r>
    </w:p>
    <w:p w:rsidR="00D50D9C" w14:paraId="6E79BB65"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负责人：</w:t>
      </w:r>
      <w:r w:rsidR="007C3A32">
        <w:rPr>
          <w:rStyle w:val="da"/>
          <w:rFonts w:ascii="宋体" w:eastAsia="宋体" w:hAnsi="宋体" w:cs="宋体" w:hint="eastAsia"/>
          <w:highlight w:val="white"/>
          <w:lang w:eastAsia="zh-CN"/>
        </w:rPr>
        <w:t>莫哲</w:t>
      </w:r>
    </w:p>
    <w:p w:rsidR="00D50D9C" w14:paraId="4F1707B4"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020-83338668</w:t>
      </w:r>
    </w:p>
    <w:p w:rsidR="00D50D9C" w14:paraId="418F6187"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传真：</w:t>
      </w:r>
      <w:r>
        <w:rPr>
          <w:rStyle w:val="da"/>
          <w:rFonts w:ascii="宋体" w:hAnsi="宋体" w:hint="eastAsia"/>
          <w:szCs w:val="21"/>
          <w:highlight w:val="white"/>
          <w:lang w:eastAsia="zh-CN"/>
        </w:rPr>
        <w:t>020-83338088</w:t>
      </w:r>
    </w:p>
    <w:p w:rsidR="00D50D9C" w14:paraId="349D496B"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经办律师：</w:t>
      </w:r>
      <w:r>
        <w:rPr>
          <w:rStyle w:val="da"/>
          <w:rFonts w:ascii="宋体" w:eastAsia="宋体" w:hAnsi="宋体" w:cs="宋体" w:hint="eastAsia"/>
          <w:highlight w:val="white"/>
          <w:lang w:eastAsia="zh-CN"/>
        </w:rPr>
        <w:t>郭东雪</w:t>
      </w:r>
      <w:r>
        <w:rPr>
          <w:rStyle w:val="da"/>
          <w:rFonts w:ascii="宋体" w:eastAsia="宋体" w:hAnsi="宋体" w:cs="宋体" w:hint="eastAsia"/>
          <w:szCs w:val="21"/>
          <w:highlight w:val="white"/>
          <w:lang w:eastAsia="zh-CN"/>
        </w:rPr>
        <w:t>、</w:t>
      </w:r>
      <w:r>
        <w:rPr>
          <w:rStyle w:val="da"/>
          <w:rFonts w:ascii="宋体" w:eastAsia="宋体" w:hAnsi="宋体" w:cs="宋体" w:hint="eastAsia"/>
          <w:highlight w:val="white"/>
          <w:lang w:eastAsia="zh-CN"/>
        </w:rPr>
        <w:t>李海滢</w:t>
      </w:r>
    </w:p>
    <w:p w:rsidR="00D50D9C" w14:paraId="11164B64"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联系人：</w:t>
      </w:r>
      <w:r>
        <w:rPr>
          <w:rStyle w:val="da"/>
          <w:rFonts w:ascii="宋体" w:eastAsia="宋体" w:hAnsi="宋体" w:cs="宋体" w:hint="eastAsia"/>
          <w:highlight w:val="white"/>
          <w:lang w:eastAsia="zh-CN"/>
        </w:rPr>
        <w:t>李海滢</w:t>
      </w:r>
    </w:p>
    <w:p w:rsidR="00D50D9C" w14:paraId="1F56F3AD" w14:textId="77777777">
      <w:pPr>
        <w:spacing w:line="360" w:lineRule="auto"/>
        <w:ind w:firstLine="420"/>
        <w:rPr>
          <w:rStyle w:val="da"/>
          <w:rFonts w:ascii="宋体" w:hAnsi="宋体"/>
          <w:szCs w:val="21"/>
          <w:lang w:eastAsia="zh-CN"/>
        </w:rPr>
      </w:pPr>
      <w:bookmarkStart w:id="1789" w:name="_Toc332373485"/>
      <w:r>
        <w:rPr>
          <w:rStyle w:val="da"/>
          <w:rFonts w:ascii="宋体" w:eastAsia="宋体" w:hAnsi="宋体" w:cs="宋体" w:hint="eastAsia"/>
          <w:szCs w:val="21"/>
          <w:highlight w:val="white"/>
          <w:lang w:eastAsia="zh-CN"/>
        </w:rPr>
        <w:t>四、会计师事务所</w:t>
      </w:r>
      <w:bookmarkEnd w:id="1789"/>
    </w:p>
    <w:p w:rsidR="00D50D9C" w14:paraId="50F70582"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会计师事务所：安永华明会计师事务所（特殊普通合伙）</w:t>
      </w:r>
    </w:p>
    <w:p w:rsidR="00D50D9C" w14:paraId="2F9B32CE"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住所：北京市东城区东长安街</w:t>
      </w:r>
      <w:r>
        <w:rPr>
          <w:rStyle w:val="da"/>
          <w:rFonts w:ascii="宋体" w:hAnsi="宋体" w:hint="eastAsia"/>
          <w:highlight w:val="white"/>
          <w:lang w:eastAsia="zh-CN"/>
        </w:rPr>
        <w:t>1</w:t>
      </w:r>
      <w:r>
        <w:rPr>
          <w:rStyle w:val="da"/>
          <w:rFonts w:ascii="宋体" w:eastAsia="宋体" w:hAnsi="宋体" w:cs="宋体" w:hint="eastAsia"/>
          <w:highlight w:val="white"/>
          <w:lang w:eastAsia="zh-CN"/>
        </w:rPr>
        <w:t>号东方广场安永大楼</w:t>
      </w:r>
      <w:r>
        <w:rPr>
          <w:rStyle w:val="da"/>
          <w:rFonts w:ascii="宋体" w:hAnsi="宋体" w:hint="eastAsia"/>
          <w:highlight w:val="white"/>
          <w:lang w:eastAsia="zh-CN"/>
        </w:rPr>
        <w:t>17</w:t>
      </w:r>
      <w:r>
        <w:rPr>
          <w:rStyle w:val="da"/>
          <w:rFonts w:ascii="宋体" w:eastAsia="宋体" w:hAnsi="宋体" w:cs="宋体" w:hint="eastAsia"/>
          <w:highlight w:val="white"/>
          <w:lang w:eastAsia="zh-CN"/>
        </w:rPr>
        <w:t>层</w:t>
      </w:r>
      <w:r>
        <w:rPr>
          <w:rStyle w:val="da"/>
          <w:rFonts w:ascii="宋体" w:hAnsi="宋体" w:hint="eastAsia"/>
          <w:highlight w:val="white"/>
          <w:lang w:eastAsia="zh-CN"/>
        </w:rPr>
        <w:t>01-12</w:t>
      </w:r>
      <w:r>
        <w:rPr>
          <w:rStyle w:val="da"/>
          <w:rFonts w:ascii="宋体" w:eastAsia="宋体" w:hAnsi="宋体" w:cs="宋体" w:hint="eastAsia"/>
          <w:highlight w:val="white"/>
          <w:lang w:eastAsia="zh-CN"/>
        </w:rPr>
        <w:t>室</w:t>
      </w:r>
    </w:p>
    <w:p w:rsidR="00D50D9C" w14:paraId="6FF8D5DC"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主要经营场所：北京市东城区东长安街</w:t>
      </w:r>
      <w:r>
        <w:rPr>
          <w:rStyle w:val="da"/>
          <w:rFonts w:ascii="宋体" w:hAnsi="宋体" w:hint="eastAsia"/>
          <w:highlight w:val="white"/>
          <w:lang w:eastAsia="zh-CN"/>
        </w:rPr>
        <w:t>1</w:t>
      </w:r>
      <w:r>
        <w:rPr>
          <w:rStyle w:val="da"/>
          <w:rFonts w:ascii="宋体" w:eastAsia="宋体" w:hAnsi="宋体" w:cs="宋体" w:hint="eastAsia"/>
          <w:highlight w:val="white"/>
          <w:lang w:eastAsia="zh-CN"/>
        </w:rPr>
        <w:t>号东方广场安永大楼</w:t>
      </w:r>
      <w:r>
        <w:rPr>
          <w:rStyle w:val="da"/>
          <w:rFonts w:ascii="宋体" w:hAnsi="宋体" w:hint="eastAsia"/>
          <w:highlight w:val="white"/>
          <w:lang w:eastAsia="zh-CN"/>
        </w:rPr>
        <w:t>17</w:t>
      </w:r>
      <w:r>
        <w:rPr>
          <w:rStyle w:val="da"/>
          <w:rFonts w:ascii="宋体" w:eastAsia="宋体" w:hAnsi="宋体" w:cs="宋体" w:hint="eastAsia"/>
          <w:highlight w:val="white"/>
          <w:lang w:eastAsia="zh-CN"/>
        </w:rPr>
        <w:t>层</w:t>
      </w:r>
      <w:r>
        <w:rPr>
          <w:rStyle w:val="da"/>
          <w:rFonts w:ascii="宋体" w:hAnsi="宋体" w:hint="eastAsia"/>
          <w:highlight w:val="white"/>
          <w:lang w:eastAsia="zh-CN"/>
        </w:rPr>
        <w:t>01-12</w:t>
      </w:r>
      <w:r>
        <w:rPr>
          <w:rStyle w:val="da"/>
          <w:rFonts w:ascii="宋体" w:eastAsia="宋体" w:hAnsi="宋体" w:cs="宋体" w:hint="eastAsia"/>
          <w:highlight w:val="white"/>
          <w:lang w:eastAsia="zh-CN"/>
        </w:rPr>
        <w:t>室</w:t>
      </w:r>
    </w:p>
    <w:p w:rsidR="00D50D9C" w14:paraId="38314EA3"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执行事务合伙人：毛鞍宁</w:t>
      </w:r>
    </w:p>
    <w:p w:rsidR="00D50D9C" w14:paraId="56A2847A"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电话：</w:t>
      </w:r>
      <w:r>
        <w:rPr>
          <w:rStyle w:val="da"/>
          <w:rFonts w:ascii="宋体" w:hAnsi="宋体" w:hint="eastAsia"/>
          <w:highlight w:val="white"/>
          <w:lang w:eastAsia="zh-CN"/>
        </w:rPr>
        <w:t xml:space="preserve">010-58153000 </w:t>
      </w:r>
    </w:p>
    <w:p w:rsidR="00D50D9C" w14:paraId="33C11E2D"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传真：</w:t>
      </w:r>
      <w:r>
        <w:rPr>
          <w:rStyle w:val="da"/>
          <w:rFonts w:ascii="宋体" w:hAnsi="宋体" w:hint="eastAsia"/>
          <w:highlight w:val="white"/>
          <w:lang w:eastAsia="zh-CN"/>
        </w:rPr>
        <w:t xml:space="preserve">010-85188298 </w:t>
      </w:r>
    </w:p>
    <w:p w:rsidR="00D50D9C" w14:paraId="12AF86BB"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联系人：赵雅</w:t>
      </w:r>
    </w:p>
    <w:p w:rsidR="00D50D9C" w14:paraId="33C14077" w14:textId="77777777">
      <w:pPr>
        <w:pStyle w:val="2"/>
        <w:spacing w:before="0" w:beforeAutospacing="0" w:after="0" w:afterAutospacing="0"/>
        <w:ind w:firstLine="420"/>
        <w:rPr>
          <w:rFonts w:ascii="宋体" w:hAnsi="宋体"/>
          <w:sz w:val="21"/>
          <w:szCs w:val="21"/>
          <w:lang w:eastAsia="zh-CN"/>
        </w:rPr>
      </w:pPr>
    </w:p>
    <w:p w:rsidR="00D50D9C" w14:paraId="17D2EC26" w14:textId="77777777">
      <w:pPr>
        <w:pStyle w:val="2"/>
        <w:spacing w:before="0" w:beforeAutospacing="0" w:after="0" w:afterAutospacing="0"/>
        <w:ind w:firstLine="420"/>
        <w:rPr>
          <w:rFonts w:ascii="宋体" w:hAnsi="宋体"/>
          <w:sz w:val="21"/>
          <w:szCs w:val="21"/>
          <w:lang w:eastAsia="zh-CN"/>
        </w:rPr>
      </w:pPr>
    </w:p>
    <w:p w:rsidR="00D50D9C" w14:paraId="11BA3C42" w14:textId="77777777">
      <w:pPr>
        <w:pStyle w:val="2"/>
        <w:spacing w:before="0" w:beforeAutospacing="0" w:after="0" w:afterAutospacing="0"/>
        <w:ind w:firstLine="420"/>
        <w:rPr>
          <w:rFonts w:ascii="宋体" w:hAnsi="宋体"/>
          <w:sz w:val="21"/>
          <w:szCs w:val="21"/>
          <w:lang w:eastAsia="zh-CN"/>
        </w:rPr>
      </w:pPr>
    </w:p>
    <w:p w:rsidR="00D50D9C" w14:paraId="30A66A46" w14:textId="77777777">
      <w:pPr>
        <w:pStyle w:val="2"/>
        <w:spacing w:before="0" w:beforeAutospacing="0" w:after="0" w:afterAutospacing="0"/>
        <w:ind w:firstLine="420"/>
        <w:rPr>
          <w:rFonts w:ascii="宋体" w:hAnsi="宋体"/>
          <w:sz w:val="21"/>
          <w:szCs w:val="21"/>
          <w:lang w:eastAsia="zh-CN"/>
        </w:rPr>
      </w:pPr>
    </w:p>
    <w:p w:rsidR="00D50D9C" w14:paraId="7B47BF0A" w14:textId="77777777">
      <w:pPr>
        <w:pStyle w:val="11"/>
        <w:pageBreakBefore/>
        <w:spacing w:before="317" w:after="317" w:line="360" w:lineRule="auto"/>
        <w:ind w:firstLine="640"/>
        <w:rPr>
          <w:rFonts w:ascii="宋体" w:eastAsia="宋体" w:hAnsi="宋体"/>
          <w:bCs/>
          <w:lang w:eastAsia="zh-CN"/>
        </w:rPr>
      </w:pPr>
      <w:bookmarkStart w:id="1790" w:name="_Toc73030164"/>
      <w:bookmarkStart w:id="1791" w:name="_Toc11178790"/>
      <w:bookmarkStart w:id="1792" w:name="_Toc52177265"/>
      <w:bookmarkStart w:id="1793"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90"/>
      <w:bookmarkEnd w:id="1791"/>
      <w:bookmarkEnd w:id="1792"/>
    </w:p>
    <w:p w:rsidR="00D50D9C" w14:paraId="0A78EB02"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D50D9C" w14:paraId="5BDC4F51" w14:textId="77777777">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本基金将基金份额分为不同的类别。在投资人认购/申购基金时</w:t>
      </w:r>
      <w:r w:rsidR="007C3A32">
        <w:rPr>
          <w:rStyle w:val="da"/>
          <w:rFonts w:eastAsia="宋体" w:cs="宋体" w:hint="eastAsia"/>
          <w:lang w:eastAsia="zh-CN"/>
        </w:rPr>
        <w:t>按规定</w:t>
      </w:r>
      <w:r>
        <w:rPr>
          <w:rStyle w:val="da"/>
          <w:rFonts w:ascii="宋体" w:eastAsia="宋体" w:hAnsi="宋体" w:cs="宋体"/>
          <w:lang w:eastAsia="zh-CN"/>
        </w:rPr>
        <w:t>收取认购/申购费用，并不再从本类别基金资产中计提销售服务费的基金份额，称为A类基金份额；从本类基金资产中计提销售服务费</w:t>
      </w:r>
      <w:r w:rsidR="007C3A32">
        <w:rPr>
          <w:rStyle w:val="da"/>
          <w:rFonts w:eastAsia="宋体" w:cs="宋体" w:hint="eastAsia"/>
          <w:lang w:eastAsia="zh-CN"/>
        </w:rPr>
        <w:t>并按规定收取或返还</w:t>
      </w:r>
      <w:r>
        <w:rPr>
          <w:rStyle w:val="da"/>
          <w:rFonts w:ascii="宋体" w:eastAsia="宋体" w:hAnsi="宋体" w:cs="宋体"/>
          <w:lang w:eastAsia="zh-CN"/>
        </w:rPr>
        <w:t>，</w:t>
      </w:r>
      <w:r>
        <w:rPr>
          <w:rStyle w:val="da"/>
          <w:rFonts w:ascii="宋体" w:eastAsia="宋体" w:hAnsi="宋体" w:cs="宋体"/>
          <w:lang w:eastAsia="zh-CN"/>
        </w:rPr>
        <w:t>不收取认购/申购费用的基金份额，称为C类基金份额。</w:t>
      </w:r>
    </w:p>
    <w:p w:rsidR="00D50D9C" w14:paraId="2DDBBAFB" w14:textId="77777777">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w:t>
      </w:r>
      <w:r>
        <w:rPr>
          <w:rStyle w:val="da"/>
          <w:rFonts w:ascii="宋体" w:hAnsi="宋体" w:hint="eastAsia"/>
          <w:highlight w:val="white"/>
          <w:lang w:eastAsia="zh-CN"/>
        </w:rPr>
        <w:t>/</w:t>
      </w:r>
      <w:r>
        <w:rPr>
          <w:rStyle w:val="da"/>
          <w:rFonts w:ascii="宋体" w:eastAsia="宋体" w:hAnsi="宋体" w:cs="宋体" w:hint="eastAsia"/>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D50D9C" w14:paraId="61A0FFE1"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932"/>
      </w:tblGrid>
      <w:tr w14:paraId="2A8A5373" w14:textId="77777777">
        <w:tblPrEx>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D50D9C" w14:paraId="78854CA0" w14:textId="77777777">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D50D9C" w14:paraId="2CD999ED" w14:textId="77777777">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932" w:type="dxa"/>
            <w:tcBorders>
              <w:top w:val="single" w:sz="4" w:space="0" w:color="auto"/>
              <w:left w:val="single" w:sz="4" w:space="0" w:color="auto"/>
              <w:bottom w:val="single" w:sz="4" w:space="0" w:color="auto"/>
              <w:right w:val="single" w:sz="4" w:space="0" w:color="auto"/>
            </w:tcBorders>
            <w:vAlign w:val="center"/>
          </w:tcPr>
          <w:p w:rsidR="00D50D9C" w14:paraId="32F2E00E" w14:textId="77777777">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14:paraId="3D2540C5" w14:textId="77777777">
        <w:tblPrEx>
          <w:tblW w:w="8314" w:type="dxa"/>
          <w:tblLayout w:type="fixed"/>
          <w:tblLook w:val="04A0"/>
        </w:tblPrEx>
        <w:trPr>
          <w:trHeight w:val="159"/>
        </w:trPr>
        <w:tc>
          <w:tcPr>
            <w:tcW w:w="2547" w:type="dxa"/>
            <w:vAlign w:val="center"/>
          </w:tcPr>
          <w:p w:rsidR="00D50D9C" w14:paraId="17B03EDE"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835" w:type="dxa"/>
            <w:vAlign w:val="center"/>
          </w:tcPr>
          <w:p w:rsidR="00D50D9C" w14:paraId="5F688730" w14:textId="77777777">
            <w:pPr>
              <w:snapToGrid w:val="0"/>
              <w:spacing w:line="360" w:lineRule="auto"/>
              <w:jc w:val="center"/>
              <w:rPr>
                <w:rFonts w:ascii="宋体" w:hAnsi="宋体" w:cs="宋体s....."/>
                <w:szCs w:val="21"/>
              </w:rPr>
            </w:pPr>
            <w:r>
              <w:rPr>
                <w:rStyle w:val="da"/>
                <w:rFonts w:eastAsia="宋体" w:cs="宋体" w:hint="eastAsia"/>
                <w:lang w:eastAsia="zh-CN"/>
              </w:rPr>
              <w:t>按规定</w:t>
            </w:r>
            <w:r w:rsidR="00351450">
              <w:rPr>
                <w:rFonts w:ascii="宋体" w:eastAsia="宋体" w:hAnsi="宋体" w:cs="宋体" w:hint="eastAsia"/>
                <w:szCs w:val="21"/>
                <w:highlight w:val="white"/>
              </w:rPr>
              <w:t>收取</w:t>
            </w:r>
          </w:p>
        </w:tc>
        <w:tc>
          <w:tcPr>
            <w:tcW w:w="2932" w:type="dxa"/>
            <w:vAlign w:val="center"/>
          </w:tcPr>
          <w:p w:rsidR="00D50D9C" w14:paraId="481733A6"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14:paraId="16F02C10" w14:textId="77777777">
        <w:tblPrEx>
          <w:tblW w:w="8314" w:type="dxa"/>
          <w:tblLayout w:type="fixed"/>
          <w:tblLook w:val="04A0"/>
        </w:tblPrEx>
        <w:trPr>
          <w:trHeight w:val="857"/>
        </w:trPr>
        <w:tc>
          <w:tcPr>
            <w:tcW w:w="2547" w:type="dxa"/>
            <w:vAlign w:val="center"/>
          </w:tcPr>
          <w:p w:rsidR="00D50D9C" w14:paraId="59329AC2"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835" w:type="dxa"/>
            <w:vAlign w:val="center"/>
          </w:tcPr>
          <w:p w:rsidR="00D50D9C" w14:paraId="0567F27A" w14:textId="7777777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932" w:type="dxa"/>
            <w:vAlign w:val="center"/>
          </w:tcPr>
          <w:p w:rsidR="00D50D9C" w14:paraId="7FCDD84E" w14:textId="7777777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14:paraId="7F15181B" w14:textId="77777777">
        <w:tblPrEx>
          <w:tblW w:w="8314" w:type="dxa"/>
          <w:tblLayout w:type="fixed"/>
          <w:tblLook w:val="04A0"/>
        </w:tblPrEx>
        <w:trPr>
          <w:trHeight w:val="157"/>
        </w:trPr>
        <w:tc>
          <w:tcPr>
            <w:tcW w:w="2547" w:type="dxa"/>
            <w:vAlign w:val="center"/>
          </w:tcPr>
          <w:p w:rsidR="00D50D9C" w14:paraId="16D721E1"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835" w:type="dxa"/>
            <w:vAlign w:val="center"/>
          </w:tcPr>
          <w:p w:rsidR="00D50D9C" w14:paraId="563B73D4" w14:textId="7777777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932" w:type="dxa"/>
            <w:vAlign w:val="center"/>
          </w:tcPr>
          <w:p w:rsidR="00D50D9C" w14:paraId="41D7639B" w14:textId="77777777">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14:paraId="48B6A773" w14:textId="77777777">
        <w:tblPrEx>
          <w:tblW w:w="8314" w:type="dxa"/>
          <w:tblLayout w:type="fixed"/>
          <w:tblLook w:val="04A0"/>
        </w:tblPrEx>
        <w:trPr>
          <w:trHeight w:val="157"/>
        </w:trPr>
        <w:tc>
          <w:tcPr>
            <w:tcW w:w="2547" w:type="dxa"/>
            <w:vAlign w:val="center"/>
          </w:tcPr>
          <w:p w:rsidR="00D50D9C" w14:paraId="674ACC1A"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835" w:type="dxa"/>
            <w:vAlign w:val="center"/>
          </w:tcPr>
          <w:p w:rsidR="00D50D9C" w14:paraId="3B84EADF" w14:textId="77777777">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932" w:type="dxa"/>
            <w:vAlign w:val="center"/>
          </w:tcPr>
          <w:p w:rsidR="00D50D9C" w14:paraId="7533364A" w14:textId="77777777">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14:paraId="0B0D32C8" w14:textId="77777777">
        <w:tblPrEx>
          <w:tblW w:w="8314" w:type="dxa"/>
          <w:tblLayout w:type="fixed"/>
          <w:tblLook w:val="04A0"/>
        </w:tblPrEx>
        <w:trPr>
          <w:trHeight w:val="157"/>
        </w:trPr>
        <w:tc>
          <w:tcPr>
            <w:tcW w:w="2547" w:type="dxa"/>
            <w:vAlign w:val="center"/>
          </w:tcPr>
          <w:p w:rsidR="00D50D9C" w14:paraId="2242B647" w14:textId="77777777">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835" w:type="dxa"/>
            <w:vAlign w:val="center"/>
          </w:tcPr>
          <w:p w:rsidR="00D50D9C" w14:paraId="745790EA" w14:textId="77777777">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932" w:type="dxa"/>
            <w:vAlign w:val="center"/>
          </w:tcPr>
          <w:p w:rsidR="00D50D9C" w14:paraId="5E5F5A04" w14:textId="77777777">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14:paraId="70085C58" w14:textId="77777777">
        <w:tblPrEx>
          <w:tblW w:w="8314" w:type="dxa"/>
          <w:tblLayout w:type="fixed"/>
          <w:tblLook w:val="04A0"/>
        </w:tblPrEx>
        <w:trPr>
          <w:trHeight w:val="360"/>
        </w:trPr>
        <w:tc>
          <w:tcPr>
            <w:tcW w:w="2547" w:type="dxa"/>
            <w:vAlign w:val="center"/>
          </w:tcPr>
          <w:p w:rsidR="00D50D9C" w14:paraId="1461E8A4" w14:textId="77777777">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835" w:type="dxa"/>
            <w:vAlign w:val="center"/>
          </w:tcPr>
          <w:p w:rsidR="00D50D9C" w14:paraId="0B26A815" w14:textId="77777777">
            <w:pPr>
              <w:snapToGrid w:val="0"/>
              <w:spacing w:line="360" w:lineRule="auto"/>
              <w:jc w:val="center"/>
              <w:rPr>
                <w:rFonts w:ascii="宋体" w:hAnsi="宋体"/>
                <w:bCs/>
                <w:szCs w:val="20"/>
              </w:rPr>
            </w:pPr>
            <w:r>
              <w:rPr>
                <w:rFonts w:ascii="宋体" w:eastAsia="宋体" w:hAnsi="宋体" w:cs="宋体"/>
                <w:highlight w:val="white"/>
              </w:rPr>
              <w:t>不收取</w:t>
            </w:r>
          </w:p>
        </w:tc>
        <w:tc>
          <w:tcPr>
            <w:tcW w:w="2932" w:type="dxa"/>
            <w:vAlign w:val="center"/>
          </w:tcPr>
          <w:p w:rsidR="00D50D9C" w14:paraId="650AF290" w14:textId="77777777">
            <w:pPr>
              <w:snapToGrid w:val="0"/>
              <w:spacing w:line="360" w:lineRule="auto"/>
              <w:jc w:val="center"/>
              <w:rPr>
                <w:rFonts w:ascii="宋体" w:hAnsi="宋体"/>
                <w:bCs/>
                <w:szCs w:val="20"/>
                <w:lang w:eastAsia="zh-CN"/>
              </w:rPr>
            </w:pPr>
            <w:r>
              <w:rPr>
                <w:rFonts w:ascii="宋体" w:hAnsi="宋体" w:cs="方正仿宋简体" w:hint="eastAsia"/>
                <w:iCs/>
                <w:lang w:eastAsia="zh-CN"/>
              </w:rPr>
              <w:t>0.</w:t>
            </w:r>
            <w:r>
              <w:rPr>
                <w:rFonts w:ascii="宋体" w:hAnsi="宋体" w:cs="方正仿宋简体"/>
                <w:iCs/>
                <w:lang w:eastAsia="zh-CN"/>
              </w:rPr>
              <w:t>4</w:t>
            </w:r>
            <w:r>
              <w:rPr>
                <w:rFonts w:ascii="宋体" w:hAnsi="宋体" w:cs="方正仿宋简体" w:hint="eastAsia"/>
                <w:iCs/>
                <w:lang w:eastAsia="zh-CN"/>
              </w:rPr>
              <w:t>0%（</w:t>
            </w:r>
            <w:r>
              <w:rPr>
                <w:rStyle w:val="da"/>
                <w:rFonts w:eastAsia="宋体" w:cs="宋体" w:hint="eastAsia"/>
                <w:lang w:eastAsia="zh-CN"/>
              </w:rPr>
              <w:t>按规定收取或返还</w:t>
            </w:r>
            <w:r>
              <w:rPr>
                <w:rFonts w:ascii="宋体" w:hAnsi="宋体" w:cs="方正仿宋简体" w:hint="eastAsia"/>
                <w:iCs/>
                <w:lang w:eastAsia="zh-CN"/>
              </w:rPr>
              <w:t>）</w:t>
            </w:r>
          </w:p>
        </w:tc>
      </w:tr>
    </w:tbl>
    <w:p w:rsidR="00D50D9C" w14:paraId="0BCB9A9A"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D50D9C" w14:paraId="1CF6B886"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D50D9C" w14:paraId="4011B775" w14:textId="77777777">
      <w:pPr>
        <w:spacing w:line="360" w:lineRule="auto"/>
        <w:ind w:firstLine="420"/>
        <w:rPr>
          <w:rFonts w:ascii="宋体" w:hAnsi="宋体"/>
          <w:lang w:eastAsia="zh-CN"/>
        </w:rPr>
      </w:pPr>
    </w:p>
    <w:p w:rsidR="00D50D9C" w14:paraId="02B7E7FD" w14:textId="77777777">
      <w:pPr>
        <w:pStyle w:val="11"/>
        <w:pageBreakBefore/>
        <w:spacing w:before="317" w:after="317" w:line="360" w:lineRule="auto"/>
        <w:ind w:firstLine="640"/>
        <w:rPr>
          <w:rFonts w:ascii="宋体" w:eastAsia="宋体" w:hAnsi="宋体"/>
          <w:bCs/>
          <w:lang w:eastAsia="zh-CN"/>
        </w:rPr>
      </w:pPr>
      <w:bookmarkStart w:id="1794" w:name="_Toc73030165"/>
      <w:r>
        <w:rPr>
          <w:rFonts w:ascii="宋体" w:eastAsia="宋体" w:hAnsi="宋体" w:hint="eastAsia"/>
          <w:bCs/>
          <w:highlight w:val="white"/>
          <w:lang w:eastAsia="zh-CN"/>
        </w:rPr>
        <w:t>第七部分 基金的募集安排</w:t>
      </w:r>
      <w:bookmarkEnd w:id="1793"/>
      <w:bookmarkEnd w:id="1794"/>
    </w:p>
    <w:p w:rsidR="00D50D9C" w14:paraId="644B7846" w14:textId="23541C50">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sidRPr="0037615F" w:rsidR="0037615F">
        <w:rPr>
          <w:rStyle w:val="da"/>
          <w:rFonts w:ascii="宋体" w:eastAsia="宋体" w:hAnsi="宋体" w:cs="宋体" w:hint="eastAsia"/>
          <w:lang w:eastAsia="zh-CN"/>
        </w:rPr>
        <w:t>2025年12月31日</w:t>
      </w:r>
      <w:r>
        <w:rPr>
          <w:rStyle w:val="da"/>
          <w:rFonts w:ascii="宋体" w:eastAsia="宋体" w:hAnsi="宋体" w:cs="宋体" w:hint="eastAsia"/>
          <w:highlight w:val="white"/>
          <w:lang w:eastAsia="zh-CN"/>
        </w:rPr>
        <w:t>中国证券监督管理委员会《关于准予</w:t>
      </w:r>
      <w:r>
        <w:rPr>
          <w:rStyle w:val="da"/>
          <w:rFonts w:ascii="宋体" w:eastAsia="宋体" w:hAnsi="宋体" w:cs="宋体" w:hint="eastAsia"/>
          <w:lang w:eastAsia="zh-CN"/>
        </w:rPr>
        <w:t>易方达成长领航混合型证券投资基金</w:t>
      </w:r>
      <w:r>
        <w:rPr>
          <w:rStyle w:val="da"/>
          <w:rFonts w:ascii="宋体" w:eastAsia="宋体" w:hAnsi="宋体" w:cs="宋体" w:hint="eastAsia"/>
          <w:highlight w:val="white"/>
          <w:lang w:eastAsia="zh-CN"/>
        </w:rPr>
        <w:t>注册的批复》（证监许可</w:t>
      </w:r>
      <w:r>
        <w:rPr>
          <w:rStyle w:val="da"/>
          <w:rFonts w:ascii="宋体" w:hAnsi="宋体" w:hint="eastAsia"/>
          <w:highlight w:val="white"/>
          <w:lang w:eastAsia="zh-CN"/>
        </w:rPr>
        <w:t>[</w:t>
      </w:r>
      <w:r w:rsidR="004D272E">
        <w:rPr>
          <w:rStyle w:val="da"/>
          <w:rFonts w:ascii="宋体" w:hAnsi="宋体"/>
          <w:highlight w:val="white"/>
          <w:lang w:eastAsia="zh-CN"/>
        </w:rPr>
        <w:t>2025</w:t>
      </w:r>
      <w:r>
        <w:rPr>
          <w:rStyle w:val="da"/>
          <w:rFonts w:ascii="宋体" w:hAnsi="宋体" w:hint="eastAsia"/>
          <w:highlight w:val="white"/>
          <w:lang w:eastAsia="zh-CN"/>
        </w:rPr>
        <w:t>]</w:t>
      </w:r>
      <w:r w:rsidR="004D272E">
        <w:rPr>
          <w:rStyle w:val="da"/>
          <w:rFonts w:ascii="宋体" w:hAnsi="宋体"/>
          <w:highlight w:val="white"/>
          <w:lang w:eastAsia="zh-CN"/>
        </w:rPr>
        <w:t>3007</w:t>
      </w:r>
      <w:r>
        <w:rPr>
          <w:rStyle w:val="da"/>
          <w:rFonts w:ascii="宋体" w:eastAsia="宋体" w:hAnsi="宋体" w:cs="宋体" w:hint="eastAsia"/>
          <w:highlight w:val="white"/>
          <w:lang w:eastAsia="zh-CN"/>
        </w:rPr>
        <w:t>号）注册。</w:t>
      </w:r>
    </w:p>
    <w:p w:rsidR="00D50D9C" w14:paraId="3E520B72" w14:textId="77777777">
      <w:pPr>
        <w:spacing w:line="360" w:lineRule="auto"/>
        <w:ind w:firstLine="420"/>
        <w:rPr>
          <w:rStyle w:val="da"/>
          <w:rFonts w:ascii="宋体" w:hAnsi="宋体"/>
          <w:lang w:eastAsia="zh-CN"/>
        </w:rPr>
      </w:pPr>
      <w:bookmarkStart w:id="1795" w:name="_Toc332373487"/>
      <w:bookmarkStart w:id="1796" w:name="_Toc332373490"/>
      <w:r>
        <w:rPr>
          <w:rStyle w:val="da"/>
          <w:rFonts w:ascii="宋体" w:eastAsia="宋体" w:hAnsi="宋体" w:cs="宋体" w:hint="eastAsia"/>
          <w:highlight w:val="white"/>
          <w:lang w:eastAsia="zh-CN"/>
        </w:rPr>
        <w:t>一、基金的类别</w:t>
      </w:r>
      <w:bookmarkEnd w:id="1795"/>
    </w:p>
    <w:p w:rsidR="00D50D9C" w14:paraId="6C8DE21D" w14:textId="77777777">
      <w:pPr>
        <w:spacing w:line="360" w:lineRule="auto"/>
        <w:ind w:firstLine="420"/>
        <w:rPr>
          <w:rStyle w:val="da"/>
          <w:rFonts w:ascii="宋体" w:hAnsi="宋体"/>
          <w:lang w:eastAsia="zh-CN"/>
        </w:rPr>
      </w:pPr>
      <w:r>
        <w:rPr>
          <w:rStyle w:val="da"/>
          <w:rFonts w:ascii="宋体" w:eastAsia="宋体" w:hAnsi="宋体" w:cs="宋体"/>
          <w:lang w:eastAsia="zh-CN"/>
        </w:rPr>
        <w:t>混合型证券投资基金</w:t>
      </w:r>
    </w:p>
    <w:p w:rsidR="00D50D9C" w14:paraId="1A285A3D" w14:textId="77777777">
      <w:pPr>
        <w:spacing w:line="360" w:lineRule="auto"/>
        <w:ind w:firstLine="420"/>
        <w:rPr>
          <w:rStyle w:val="da"/>
          <w:rFonts w:ascii="宋体" w:hAnsi="宋体"/>
          <w:lang w:eastAsia="zh-CN"/>
        </w:rPr>
      </w:pPr>
      <w:bookmarkStart w:id="1797" w:name="_Toc332373488"/>
      <w:r>
        <w:rPr>
          <w:rStyle w:val="da"/>
          <w:rFonts w:ascii="宋体" w:eastAsia="宋体" w:hAnsi="宋体" w:cs="宋体" w:hint="eastAsia"/>
          <w:highlight w:val="white"/>
          <w:lang w:eastAsia="zh-CN"/>
        </w:rPr>
        <w:t>二、基金的运作方式</w:t>
      </w:r>
      <w:bookmarkEnd w:id="1797"/>
    </w:p>
    <w:p w:rsidR="00D50D9C" w14:paraId="191A98A0" w14:textId="77777777">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D50D9C" w14:paraId="2C5DEA06" w14:textId="77777777">
      <w:pPr>
        <w:spacing w:line="360" w:lineRule="auto"/>
        <w:ind w:firstLine="420"/>
        <w:rPr>
          <w:rStyle w:val="da"/>
          <w:rFonts w:ascii="宋体" w:hAnsi="宋体"/>
          <w:lang w:eastAsia="zh-CN"/>
        </w:rPr>
      </w:pPr>
      <w:bookmarkStart w:id="1798" w:name="_Toc332373489"/>
      <w:r>
        <w:rPr>
          <w:rStyle w:val="da"/>
          <w:rFonts w:ascii="宋体" w:eastAsia="宋体" w:hAnsi="宋体" w:cs="宋体" w:hint="eastAsia"/>
          <w:highlight w:val="white"/>
          <w:lang w:eastAsia="zh-CN"/>
        </w:rPr>
        <w:t>三、基金存续期</w:t>
      </w:r>
      <w:bookmarkEnd w:id="1798"/>
    </w:p>
    <w:p w:rsidR="00D50D9C" w14:paraId="29E7AEFD" w14:textId="77777777">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D50D9C" w14:paraId="3830EC56"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6"/>
    </w:p>
    <w:p w:rsidR="00D50D9C" w14:paraId="47E7839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D50D9C" w14:paraId="17AF5A33" w14:textId="77777777">
      <w:pPr>
        <w:spacing w:line="360" w:lineRule="auto"/>
        <w:ind w:firstLine="420"/>
        <w:rPr>
          <w:rStyle w:val="da"/>
          <w:rFonts w:ascii="宋体" w:hAnsi="宋体"/>
          <w:lang w:eastAsia="zh-CN"/>
        </w:rPr>
      </w:pPr>
      <w:bookmarkStart w:id="1799" w:name="_Toc332373491"/>
      <w:r>
        <w:rPr>
          <w:rStyle w:val="da"/>
          <w:rFonts w:ascii="宋体" w:eastAsia="宋体" w:hAnsi="宋体" w:cs="宋体" w:hint="eastAsia"/>
          <w:highlight w:val="white"/>
          <w:lang w:eastAsia="zh-CN"/>
        </w:rPr>
        <w:t>五、募集对象</w:t>
      </w:r>
      <w:bookmarkEnd w:id="1799"/>
    </w:p>
    <w:p w:rsidR="00D50D9C" w14:paraId="3D24080E" w14:textId="77777777">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D50D9C" w14:paraId="2A55DD66" w14:textId="77777777">
      <w:pPr>
        <w:spacing w:line="360" w:lineRule="auto"/>
        <w:ind w:firstLine="420"/>
        <w:rPr>
          <w:rStyle w:val="da"/>
          <w:rFonts w:ascii="宋体" w:hAnsi="宋体"/>
          <w:lang w:eastAsia="zh-CN"/>
        </w:rPr>
      </w:pPr>
      <w:bookmarkStart w:id="1800" w:name="_Toc332373492"/>
      <w:r>
        <w:rPr>
          <w:rStyle w:val="da"/>
          <w:rFonts w:ascii="宋体" w:eastAsia="宋体" w:hAnsi="宋体" w:cs="宋体" w:hint="eastAsia"/>
          <w:highlight w:val="white"/>
          <w:lang w:eastAsia="zh-CN"/>
        </w:rPr>
        <w:t>六、募集方式及场所</w:t>
      </w:r>
      <w:bookmarkEnd w:id="1800"/>
    </w:p>
    <w:p w:rsidR="00D50D9C" w14:paraId="3B1B6381" w14:textId="7777777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D50D9C" w14:paraId="24C5105A" w14:textId="7777777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D50D9C" w14:paraId="371100EC" w14:textId="77777777">
      <w:pPr>
        <w:spacing w:line="360" w:lineRule="auto"/>
        <w:ind w:firstLine="420"/>
        <w:rPr>
          <w:rStyle w:val="da"/>
          <w:rFonts w:ascii="宋体" w:hAnsi="宋体"/>
          <w:lang w:eastAsia="zh-CN"/>
        </w:rPr>
      </w:pPr>
      <w:bookmarkStart w:id="1801" w:name="_Toc332373493"/>
      <w:r>
        <w:rPr>
          <w:rStyle w:val="da"/>
          <w:rFonts w:ascii="宋体" w:eastAsia="宋体" w:hAnsi="宋体" w:cs="宋体" w:hint="eastAsia"/>
          <w:highlight w:val="white"/>
          <w:lang w:eastAsia="zh-CN"/>
        </w:rPr>
        <w:t>七、认购安排</w:t>
      </w:r>
      <w:bookmarkEnd w:id="1801"/>
    </w:p>
    <w:p w:rsidR="00D50D9C" w14:paraId="225D285D" w14:textId="7777777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D50D9C" w14:paraId="6AE24E53" w14:textId="77777777">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D50D9C" w14:paraId="06E3BE7E" w14:textId="7777777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D50D9C" w14:paraId="6A0F9075"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D50D9C" w14:paraId="7225CA8B" w14:textId="7777777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D50D9C" w14:paraId="2ED821D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D50D9C" w14:paraId="349826B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D50D9C" w14:paraId="4C1288A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D50D9C" w14:paraId="7E12769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D50D9C" w14:paraId="255D6B75"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D50D9C" w14:paraId="0BF03C40" w14:textId="7777777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D50D9C" w14:paraId="1A44277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D50D9C" w14:paraId="43A9B267" w14:textId="77777777">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D50D9C" w14:paraId="602DF48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D50D9C" w14:paraId="5E0ADA73" w14:textId="77777777">
      <w:pPr>
        <w:spacing w:line="360" w:lineRule="auto"/>
        <w:ind w:firstLine="420"/>
        <w:rPr>
          <w:rStyle w:val="da"/>
          <w:rFonts w:ascii="宋体" w:hAnsi="宋体"/>
          <w:lang w:eastAsia="zh-CN"/>
        </w:rPr>
      </w:pPr>
      <w:r w:rsidRPr="007C3A32">
        <w:rPr>
          <w:rStyle w:val="da"/>
          <w:rFonts w:ascii="宋体" w:eastAsia="宋体" w:hAnsi="宋体" w:cs="宋体" w:hint="eastAsia"/>
          <w:lang w:eastAsia="zh-CN"/>
        </w:rPr>
        <w:t>本基金A类基金份额在认购时按规定收取基金认购费用。本基金C类基金份额不收取认购费用，在投资者持有期间计提销售服务费并按规定收取或返还。</w:t>
      </w:r>
    </w:p>
    <w:p w:rsidR="00D50D9C" w:rsidP="00DB014D" w14:paraId="6D5981E9" w14:textId="77777777">
      <w:pPr>
        <w:spacing w:line="360" w:lineRule="auto"/>
        <w:ind w:firstLine="420"/>
        <w:rPr>
          <w:rFonts w:ascii="宋体" w:hAnsi="宋体"/>
          <w:lang w:eastAsia="zh-CN"/>
        </w:rPr>
      </w:pP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14:paraId="104C0F28" w14:textId="77777777">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D50D9C" w14:paraId="1DD9ADB3" w14:textId="77777777">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D50D9C" w14:paraId="42E96ECA" w14:textId="77777777">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14:paraId="3713CD4A" w14:textId="77777777">
        <w:tblPrEx>
          <w:tblW w:w="6208" w:type="dxa"/>
          <w:jc w:val="center"/>
          <w:tblLayout w:type="fixed"/>
          <w:tblLook w:val="04A0"/>
        </w:tblPrEx>
        <w:trPr>
          <w:trHeight w:val="360"/>
          <w:jc w:val="center"/>
        </w:trPr>
        <w:tc>
          <w:tcPr>
            <w:tcW w:w="3339" w:type="dxa"/>
          </w:tcPr>
          <w:p w:rsidR="004E62E7" w:rsidP="00645B9A" w14:paraId="50EE27DB" w14:textId="77777777">
            <w:pPr>
              <w:spacing w:line="360" w:lineRule="auto"/>
              <w:jc w:val="center"/>
              <w:rPr>
                <w:rFonts w:ascii="宋体" w:hAnsi="宋体"/>
                <w:lang w:eastAsia="zh-CN"/>
              </w:rPr>
            </w:pPr>
            <w:r>
              <w:rPr>
                <w:rFonts w:ascii="宋体" w:hAnsi="宋体" w:cs="方正仿宋简体" w:hint="eastAsia"/>
                <w:bCs/>
                <w:iCs/>
                <w:lang w:eastAsia="zh-CN"/>
              </w:rPr>
              <w:t>M＜</w:t>
            </w:r>
            <w:r w:rsidR="00645B9A">
              <w:rPr>
                <w:rFonts w:ascii="宋体" w:hAnsi="宋体" w:cs="方正仿宋简体"/>
                <w:bCs/>
                <w:iCs/>
                <w:lang w:eastAsia="zh-CN"/>
              </w:rPr>
              <w:t>5</w:t>
            </w:r>
            <w:r w:rsidR="00645B9A">
              <w:rPr>
                <w:rFonts w:ascii="宋体" w:hAnsi="宋体" w:cs="方正仿宋简体" w:hint="eastAsia"/>
                <w:bCs/>
                <w:iCs/>
                <w:lang w:eastAsia="zh-CN"/>
              </w:rPr>
              <w:t>00</w:t>
            </w:r>
            <w:r>
              <w:rPr>
                <w:rFonts w:ascii="宋体" w:hAnsi="宋体" w:cs="方正仿宋简体" w:hint="eastAsia"/>
                <w:bCs/>
                <w:iCs/>
                <w:lang w:eastAsia="zh-CN"/>
              </w:rPr>
              <w:t>万</w:t>
            </w:r>
          </w:p>
        </w:tc>
        <w:tc>
          <w:tcPr>
            <w:tcW w:w="2869" w:type="dxa"/>
          </w:tcPr>
          <w:p w:rsidR="004E62E7" w:rsidP="004E62E7" w14:paraId="5B7BCA7C" w14:textId="77777777">
            <w:pPr>
              <w:spacing w:line="360" w:lineRule="auto"/>
              <w:jc w:val="center"/>
              <w:rPr>
                <w:rFonts w:ascii="宋体" w:hAnsi="宋体"/>
                <w:lang w:eastAsia="zh-CN"/>
              </w:rPr>
            </w:pPr>
            <w:r>
              <w:rPr>
                <w:rFonts w:ascii="仿宋" w:eastAsia="仿宋" w:hAnsi="仿宋"/>
                <w:lang w:eastAsia="zh-CN"/>
              </w:rPr>
              <w:t>0.80%</w:t>
            </w:r>
          </w:p>
        </w:tc>
      </w:tr>
      <w:tr w14:paraId="7C85D6FF" w14:textId="77777777">
        <w:tblPrEx>
          <w:tblW w:w="6208" w:type="dxa"/>
          <w:jc w:val="center"/>
          <w:tblLayout w:type="fixed"/>
          <w:tblLook w:val="04A0"/>
        </w:tblPrEx>
        <w:trPr>
          <w:trHeight w:val="360"/>
          <w:jc w:val="center"/>
        </w:trPr>
        <w:tc>
          <w:tcPr>
            <w:tcW w:w="3339" w:type="dxa"/>
          </w:tcPr>
          <w:p w:rsidR="00D50D9C" w14:paraId="2844CB50" w14:textId="77777777">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D50D9C" w14:paraId="72387FA5" w14:textId="77777777">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7C3A32" w:rsidRPr="007C3A32" w:rsidP="007C3A32" w14:paraId="3595F0CB" w14:textId="77777777">
      <w:pPr>
        <w:spacing w:line="360" w:lineRule="auto"/>
        <w:ind w:firstLine="420"/>
        <w:rPr>
          <w:rFonts w:ascii="宋体" w:eastAsia="宋体" w:hAnsi="宋体" w:cs="宋体"/>
          <w:szCs w:val="21"/>
          <w:lang w:eastAsia="zh-CN"/>
        </w:rPr>
      </w:pPr>
      <w:r w:rsidRPr="007C3A32">
        <w:rPr>
          <w:rFonts w:ascii="宋体" w:eastAsia="宋体" w:hAnsi="宋体" w:cs="宋体" w:hint="eastAsia"/>
          <w:szCs w:val="21"/>
          <w:lang w:eastAsia="zh-CN"/>
        </w:rPr>
        <w:t>1）投资者通过基金管理人或其基金销售子公司认购本基金A类基金份额，不收取认购费用。</w:t>
      </w:r>
    </w:p>
    <w:p w:rsidR="007C3A32" w:rsidP="007C3A32" w14:paraId="544374D6" w14:textId="77777777">
      <w:pPr>
        <w:spacing w:line="360" w:lineRule="auto"/>
        <w:ind w:firstLine="420"/>
        <w:rPr>
          <w:rFonts w:ascii="宋体" w:eastAsia="宋体" w:hAnsi="宋体" w:cs="宋体"/>
          <w:szCs w:val="21"/>
          <w:lang w:eastAsia="zh-CN"/>
        </w:rPr>
      </w:pPr>
      <w:r w:rsidRPr="007C3A32">
        <w:rPr>
          <w:rFonts w:ascii="宋体" w:eastAsia="宋体" w:hAnsi="宋体" w:cs="宋体" w:hint="eastAsia"/>
          <w:szCs w:val="21"/>
          <w:lang w:eastAsia="zh-CN"/>
        </w:rPr>
        <w:t>2）投资者通过其他销售机构认购本基金A类基金份额的认购费率见上表。</w:t>
      </w:r>
    </w:p>
    <w:p w:rsidR="007C3A32" w:rsidP="007C3A32" w14:paraId="3AE60E75" w14:textId="77777777">
      <w:pPr>
        <w:spacing w:line="360" w:lineRule="auto"/>
        <w:ind w:firstLine="420"/>
        <w:rPr>
          <w:rFonts w:ascii="宋体" w:eastAsia="宋体" w:hAnsi="宋体" w:cs="宋体"/>
          <w:szCs w:val="21"/>
          <w:lang w:eastAsia="zh-CN"/>
        </w:rPr>
      </w:pPr>
      <w:r w:rsidRPr="007C3A32">
        <w:rPr>
          <w:rFonts w:ascii="宋体" w:eastAsia="宋体" w:hAnsi="宋体" w:cs="宋体" w:hint="eastAsia"/>
          <w:szCs w:val="21"/>
          <w:lang w:eastAsia="zh-CN"/>
        </w:rPr>
        <w:t>募集期投资人可以多次认购本基金，A类基金份额认购费用按每笔A类基金份额认购申请单独计算。</w:t>
      </w:r>
    </w:p>
    <w:p w:rsidR="00D50D9C" w:rsidP="007C3A32" w14:paraId="26C57AB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sidR="007C3A32">
        <w:rPr>
          <w:rStyle w:val="da"/>
          <w:rFonts w:ascii="宋体" w:eastAsia="宋体" w:hAnsi="宋体" w:cs="宋体"/>
          <w:szCs w:val="21"/>
          <w:highlight w:val="white"/>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w:t>
      </w:r>
      <w:r>
        <w:rPr>
          <w:rFonts w:ascii="宋体" w:eastAsia="宋体" w:hAnsi="宋体" w:cs="宋体" w:hint="eastAsia"/>
          <w:szCs w:val="21"/>
          <w:highlight w:val="white"/>
          <w:lang w:eastAsia="zh-CN"/>
        </w:rPr>
        <w:t>等募集期间发生的各项费用</w:t>
      </w:r>
      <w:r>
        <w:rPr>
          <w:rFonts w:ascii="宋体" w:eastAsia="宋体" w:hAnsi="宋体" w:cs="宋体" w:hint="eastAsia"/>
          <w:szCs w:val="21"/>
          <w:highlight w:val="white"/>
          <w:lang w:eastAsia="zh-CN"/>
        </w:rPr>
        <w:t>。</w:t>
      </w:r>
      <w:r>
        <w:rPr>
          <w:rFonts w:ascii="宋体" w:hAnsi="宋体" w:hint="eastAsia"/>
          <w:szCs w:val="21"/>
          <w:highlight w:val="white"/>
          <w:lang w:eastAsia="zh-CN"/>
        </w:rPr>
        <w:t xml:space="preserve"> </w:t>
      </w:r>
    </w:p>
    <w:p w:rsidR="00D50D9C" w14:paraId="0102958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sidR="007C3A32">
        <w:rPr>
          <w:rFonts w:ascii="宋体" w:eastAsia="宋体" w:hAnsi="宋体" w:cs="宋体" w:hint="eastAsia"/>
          <w:szCs w:val="21"/>
          <w:highlight w:val="white"/>
          <w:lang w:eastAsia="zh-CN"/>
        </w:rPr>
        <w:t>，</w:t>
      </w:r>
      <w:r w:rsidRPr="007C3A32" w:rsidR="007C3A32">
        <w:rPr>
          <w:rFonts w:ascii="宋体" w:eastAsia="宋体" w:hAnsi="宋体" w:cs="宋体" w:hint="eastAsia"/>
          <w:szCs w:val="21"/>
          <w:lang w:eastAsia="zh-CN"/>
        </w:rPr>
        <w:t>在投资者持有期间计提销售服务费并按规定收取或返还</w:t>
      </w:r>
      <w:r>
        <w:rPr>
          <w:rFonts w:ascii="宋体" w:eastAsia="宋体" w:hAnsi="宋体" w:cs="宋体"/>
          <w:szCs w:val="21"/>
          <w:highlight w:val="white"/>
          <w:lang w:eastAsia="zh-CN"/>
        </w:rPr>
        <w:t>。</w:t>
      </w:r>
    </w:p>
    <w:p w:rsidR="007C3A32" w:rsidRPr="0085221D" w:rsidP="007C3A32" w14:paraId="5B2E3E78" w14:textId="77777777">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本基金暂不开通</w:t>
      </w:r>
      <w:r w:rsidRPr="0085221D">
        <w:rPr>
          <w:rFonts w:ascii="宋体" w:eastAsia="宋体" w:hAnsi="宋体" w:cs="宋体" w:hint="eastAsia"/>
          <w:szCs w:val="21"/>
          <w:highlight w:val="white"/>
          <w:lang w:eastAsia="zh-CN"/>
        </w:rPr>
        <w:t>基金管理人及其基金销售子公司销售本基金</w:t>
      </w:r>
      <w:r w:rsidRPr="0085221D">
        <w:rPr>
          <w:rFonts w:ascii="宋体" w:eastAsia="宋体" w:hAnsi="宋体" w:cs="宋体"/>
          <w:szCs w:val="21"/>
          <w:highlight w:val="white"/>
          <w:lang w:eastAsia="zh-CN"/>
        </w:rPr>
        <w:t>C</w:t>
      </w:r>
      <w:r w:rsidRPr="0085221D">
        <w:rPr>
          <w:rFonts w:ascii="宋体" w:eastAsia="宋体" w:hAnsi="宋体" w:cs="宋体" w:hint="eastAsia"/>
          <w:szCs w:val="21"/>
          <w:highlight w:val="white"/>
          <w:lang w:eastAsia="zh-CN"/>
        </w:rPr>
        <w:t>类基金份额，若日后开通，将另行公告。</w:t>
      </w:r>
    </w:p>
    <w:p w:rsidR="00D50D9C" w14:paraId="181F5BD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D50D9C" w14:paraId="0611EDD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7C3A32" w14:paraId="78DD27B1" w14:textId="77777777">
      <w:pPr>
        <w:spacing w:line="360" w:lineRule="auto"/>
        <w:ind w:firstLine="420"/>
        <w:rPr>
          <w:rFonts w:ascii="宋体" w:hAnsi="宋体"/>
          <w:szCs w:val="21"/>
          <w:lang w:eastAsia="zh-CN"/>
        </w:rPr>
      </w:pPr>
      <w:r w:rsidRPr="007C3A32">
        <w:rPr>
          <w:rFonts w:ascii="宋体" w:hAnsi="宋体" w:hint="eastAsia"/>
          <w:szCs w:val="21"/>
          <w:lang w:eastAsia="zh-CN"/>
        </w:rPr>
        <w:t>1）若投资人通过除基金管理人及其基金销售子公司以外的销售机构认购本基金A类基金份额，则认购份额的计算公式为：</w:t>
      </w:r>
    </w:p>
    <w:p w:rsidR="00D50D9C" w14:paraId="16D7C15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D50D9C" w14:paraId="6E20E47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D50D9C" w14:paraId="7EEAB75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D50D9C" w14:paraId="0D87C73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D50D9C" w:rsidP="004C5BAE" w14:paraId="42EE6C9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w:t>
      </w:r>
      <w:r>
        <w:rPr>
          <w:rFonts w:ascii="宋体" w:eastAsia="宋体" w:hAnsi="宋体" w:cs="宋体" w:hint="eastAsia"/>
          <w:szCs w:val="21"/>
          <w:highlight w:val="white"/>
          <w:lang w:eastAsia="zh-CN"/>
        </w:rPr>
        <w:t>某投资人</w:t>
      </w:r>
      <w:r w:rsidRPr="007C3A32" w:rsidR="007C3A32">
        <w:rPr>
          <w:rFonts w:ascii="宋体" w:eastAsia="宋体" w:hAnsi="宋体" w:cs="宋体" w:hint="eastAsia"/>
          <w:szCs w:val="21"/>
          <w:lang w:eastAsia="zh-CN"/>
        </w:rPr>
        <w:t>通过除基金管理人及其基金销售子公司以外的销售机构认购</w:t>
      </w:r>
      <w:r>
        <w:rPr>
          <w:rFonts w:ascii="宋体" w:eastAsia="宋体" w:hAnsi="宋体" w:cs="宋体" w:hint="eastAsia"/>
          <w:szCs w:val="21"/>
          <w:highlight w:val="white"/>
          <w:lang w:eastAsia="zh-CN"/>
        </w:rPr>
        <w:t>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sidR="004C5BAE">
        <w:rPr>
          <w:rFonts w:ascii="宋体" w:hAnsi="宋体"/>
          <w:szCs w:val="21"/>
          <w:highlight w:val="white"/>
          <w:lang w:eastAsia="zh-CN"/>
        </w:rPr>
        <w:t>0</w:t>
      </w:r>
      <w:r>
        <w:rPr>
          <w:rFonts w:ascii="宋体" w:hAnsi="宋体"/>
          <w:szCs w:val="21"/>
          <w:highlight w:val="white"/>
          <w:lang w:eastAsia="zh-CN"/>
        </w:rPr>
        <w:t>.</w:t>
      </w:r>
      <w:r w:rsidR="004C5BAE">
        <w:rPr>
          <w:rFonts w:ascii="宋体" w:hAnsi="宋体"/>
          <w:szCs w:val="21"/>
          <w:highlight w:val="white"/>
          <w:lang w:eastAsia="zh-CN"/>
        </w:rPr>
        <w:t>80</w:t>
      </w:r>
      <w:r>
        <w:rPr>
          <w:rFonts w:ascii="宋体" w:hAnsi="宋体"/>
          <w:szCs w:val="21"/>
          <w:highlight w:val="white"/>
          <w:lang w:eastAsia="zh-CN"/>
        </w:rPr>
        <w:t>%</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D50D9C" w14:paraId="4FC8BC1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sidR="004C5BAE">
        <w:rPr>
          <w:rFonts w:ascii="宋体" w:hAnsi="宋体"/>
          <w:szCs w:val="21"/>
          <w:highlight w:val="white"/>
          <w:lang w:eastAsia="zh-CN"/>
        </w:rPr>
        <w:t>0.80</w:t>
      </w:r>
      <w:r>
        <w:rPr>
          <w:rFonts w:ascii="宋体" w:hAnsi="宋体"/>
          <w:szCs w:val="21"/>
          <w:highlight w:val="white"/>
          <w:lang w:eastAsia="zh-CN"/>
        </w:rPr>
        <w:t>%</w:t>
      </w:r>
      <w:r>
        <w:rPr>
          <w:rFonts w:ascii="宋体" w:eastAsia="宋体" w:hAnsi="宋体" w:cs="宋体" w:hint="eastAsia"/>
          <w:szCs w:val="21"/>
          <w:highlight w:val="white"/>
          <w:lang w:eastAsia="zh-CN"/>
        </w:rPr>
        <w:t>）＝</w:t>
      </w:r>
      <w:r w:rsidR="007C3A32">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D50D9C" w14:paraId="62E4930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w:t>
      </w:r>
      <w:r w:rsidR="007C3A32">
        <w:rPr>
          <w:rFonts w:ascii="宋体" w:hAnsi="宋体"/>
          <w:szCs w:val="21"/>
          <w:highlight w:val="white"/>
          <w:lang w:eastAsia="zh-CN"/>
        </w:rPr>
        <w:t>99,206.35</w:t>
      </w:r>
      <w:r>
        <w:rPr>
          <w:rFonts w:ascii="宋体" w:eastAsia="宋体" w:hAnsi="宋体" w:cs="宋体" w:hint="eastAsia"/>
          <w:szCs w:val="21"/>
          <w:highlight w:val="white"/>
          <w:lang w:eastAsia="zh-CN"/>
        </w:rPr>
        <w:t>＝</w:t>
      </w:r>
      <w:r w:rsidR="007C3A32">
        <w:rPr>
          <w:rFonts w:ascii="宋体" w:hAnsi="宋体"/>
          <w:szCs w:val="21"/>
          <w:highlight w:val="white"/>
          <w:lang w:eastAsia="zh-CN"/>
        </w:rPr>
        <w:t>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D50D9C" w14:paraId="75E930C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sidR="007C3A32">
        <w:rPr>
          <w:rFonts w:ascii="宋体" w:hAnsi="宋体"/>
          <w:szCs w:val="21"/>
          <w:highlight w:val="white"/>
          <w:lang w:eastAsia="zh-CN"/>
        </w:rPr>
        <w:t>99,206.35</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sidR="007C3A32">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D50D9C" w14:paraId="0E006BA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w:t>
      </w:r>
      <w:r w:rsidR="007C3A32">
        <w:rPr>
          <w:rFonts w:ascii="宋体" w:eastAsia="宋体" w:hAnsi="宋体" w:cs="宋体" w:hint="eastAsia"/>
          <w:szCs w:val="21"/>
          <w:lang w:eastAsia="zh-CN"/>
        </w:rPr>
        <w:t>通过除</w:t>
      </w:r>
      <w:r w:rsidR="007C3A32">
        <w:rPr>
          <w:rFonts w:hint="eastAsia"/>
          <w:lang w:eastAsia="zh-CN"/>
        </w:rPr>
        <w:t>基金</w:t>
      </w:r>
      <w:r w:rsidR="007C3A32">
        <w:rPr>
          <w:lang w:eastAsia="zh-CN"/>
        </w:rPr>
        <w:t>管理人及</w:t>
      </w:r>
      <w:r w:rsidR="007C3A32">
        <w:rPr>
          <w:rFonts w:hint="eastAsia"/>
          <w:lang w:eastAsia="zh-CN"/>
        </w:rPr>
        <w:t>其</w:t>
      </w:r>
      <w:r w:rsidR="007C3A32">
        <w:rPr>
          <w:lang w:eastAsia="zh-CN"/>
        </w:rPr>
        <w:t>基金销售子公司以外的销售机构</w:t>
      </w:r>
      <w:r>
        <w:rPr>
          <w:rFonts w:ascii="宋体" w:eastAsia="宋体" w:hAnsi="宋体" w:cs="宋体" w:hint="eastAsia"/>
          <w:szCs w:val="21"/>
          <w:highlight w:val="white"/>
          <w:lang w:eastAsia="zh-CN"/>
        </w:rPr>
        <w:t>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sidR="00E52098">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D50D9C" w14:paraId="412FA696"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sidR="00E52098">
        <w:rPr>
          <w:rFonts w:ascii="宋体" w:eastAsia="宋体" w:hAnsi="宋体" w:cs="宋体"/>
          <w:szCs w:val="21"/>
          <w:highlight w:val="white"/>
          <w:lang w:eastAsia="zh-CN"/>
        </w:rPr>
        <w:t>，或者</w:t>
      </w:r>
      <w:r w:rsidR="00E52098">
        <w:rPr>
          <w:lang w:eastAsia="zh-CN"/>
        </w:rPr>
        <w:t>通过</w:t>
      </w:r>
      <w:r w:rsidR="00E52098">
        <w:rPr>
          <w:rFonts w:hint="eastAsia"/>
          <w:lang w:eastAsia="zh-CN"/>
        </w:rPr>
        <w:t>基金</w:t>
      </w:r>
      <w:r w:rsidR="00E52098">
        <w:rPr>
          <w:lang w:eastAsia="zh-CN"/>
        </w:rPr>
        <w:t>管理人或其基金销售子公司认购本基金</w:t>
      </w:r>
      <w:r w:rsidR="00E52098">
        <w:rPr>
          <w:lang w:eastAsia="zh-CN"/>
        </w:rPr>
        <w:t>A</w:t>
      </w:r>
      <w:r w:rsidR="00E52098">
        <w:rPr>
          <w:lang w:eastAsia="zh-CN"/>
        </w:rPr>
        <w:t>类基金份额</w:t>
      </w:r>
      <w:r>
        <w:rPr>
          <w:rFonts w:ascii="宋体" w:eastAsia="宋体" w:hAnsi="宋体" w:cs="宋体"/>
          <w:szCs w:val="21"/>
          <w:highlight w:val="white"/>
          <w:lang w:eastAsia="zh-CN"/>
        </w:rPr>
        <w:t>，则认购份额的计算公式为：</w:t>
      </w:r>
    </w:p>
    <w:p w:rsidR="00D50D9C" w14:paraId="5C16A10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D50D9C" w14:paraId="6B2D8AB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sidR="00E52098">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sidR="00E52098">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D50D9C" w14:paraId="4D30BA7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D50D9C" w14:paraId="616E7BD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D50D9C" w14:paraId="6690BBD1"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D50D9C" w14:paraId="59823849" w14:textId="77777777">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D50D9C" w14:paraId="73B62FE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D50D9C" w14:paraId="2F593DB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D50D9C" w14:paraId="0DA05166" w14:textId="77777777">
      <w:pPr>
        <w:spacing w:line="360" w:lineRule="auto"/>
        <w:ind w:firstLine="420"/>
        <w:rPr>
          <w:rStyle w:val="da"/>
          <w:rFonts w:ascii="宋体" w:hAnsi="宋体"/>
          <w:szCs w:val="21"/>
          <w:lang w:eastAsia="zh-CN"/>
        </w:rPr>
      </w:pPr>
      <w:bookmarkStart w:id="1802" w:name="_Toc332373494"/>
      <w:r>
        <w:rPr>
          <w:rStyle w:val="da"/>
          <w:rFonts w:ascii="宋体" w:eastAsia="宋体" w:hAnsi="宋体" w:cs="宋体" w:hint="eastAsia"/>
          <w:szCs w:val="21"/>
          <w:highlight w:val="white"/>
          <w:lang w:eastAsia="zh-CN"/>
        </w:rPr>
        <w:t>八、募集期间的资金存放和费用</w:t>
      </w:r>
      <w:bookmarkEnd w:id="1802"/>
    </w:p>
    <w:p w:rsidR="00D50D9C" w14:paraId="5A5F5BF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D50D9C" w14:paraId="17580F7D" w14:textId="77777777">
      <w:pPr>
        <w:spacing w:line="312" w:lineRule="auto"/>
        <w:ind w:firstLine="420"/>
        <w:rPr>
          <w:rFonts w:ascii="宋体" w:hAnsi="宋体"/>
          <w:lang w:eastAsia="zh-CN"/>
        </w:rPr>
      </w:pPr>
    </w:p>
    <w:p w:rsidR="00D50D9C" w14:paraId="2856F272" w14:textId="77777777">
      <w:pPr>
        <w:pStyle w:val="11"/>
        <w:pageBreakBefore/>
        <w:spacing w:before="317" w:after="317" w:line="360" w:lineRule="auto"/>
        <w:ind w:firstLine="640"/>
        <w:rPr>
          <w:rFonts w:ascii="宋体" w:eastAsia="宋体" w:hAnsi="宋体"/>
          <w:bCs/>
          <w:lang w:eastAsia="zh-CN"/>
        </w:rPr>
      </w:pPr>
      <w:bookmarkStart w:id="1803" w:name="_Toc332373495"/>
      <w:bookmarkStart w:id="1804" w:name="_Toc73030166"/>
      <w:r>
        <w:rPr>
          <w:rFonts w:ascii="宋体" w:eastAsia="宋体" w:hAnsi="宋体" w:hint="eastAsia"/>
          <w:bCs/>
          <w:highlight w:val="white"/>
          <w:lang w:eastAsia="zh-CN"/>
        </w:rPr>
        <w:t>第</w:t>
      </w:r>
      <w:r>
        <w:rPr>
          <w:rFonts w:ascii="宋体" w:eastAsia="宋体" w:hAnsi="宋体"/>
          <w:bCs/>
          <w:highlight w:val="white"/>
          <w:lang w:eastAsia="zh-CN"/>
        </w:rPr>
        <w:t>八</w:t>
      </w:r>
      <w:r>
        <w:rPr>
          <w:rFonts w:ascii="宋体" w:eastAsia="宋体" w:hAnsi="宋体" w:hint="eastAsia"/>
          <w:bCs/>
          <w:highlight w:val="white"/>
          <w:lang w:eastAsia="zh-CN"/>
        </w:rPr>
        <w:t>部分 基金合同的生效</w:t>
      </w:r>
      <w:bookmarkEnd w:id="1803"/>
      <w:bookmarkEnd w:id="1804"/>
    </w:p>
    <w:p w:rsidR="00D50D9C" w14:paraId="2A9FD68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D50D9C" w14:paraId="50F6E8F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w:t>
      </w:r>
      <w:r>
        <w:rPr>
          <w:rFonts w:ascii="宋体" w:hAnsi="宋体" w:hint="eastAsia"/>
          <w:szCs w:val="21"/>
          <w:highlight w:val="white"/>
          <w:lang w:eastAsia="zh-CN"/>
        </w:rPr>
        <w:t>3</w:t>
      </w:r>
      <w:r>
        <w:rPr>
          <w:rFonts w:ascii="宋体" w:eastAsia="宋体" w:hAnsi="宋体" w:cs="宋体" w:hint="eastAsia"/>
          <w:szCs w:val="21"/>
          <w:highlight w:val="white"/>
          <w:lang w:eastAsia="zh-CN"/>
        </w:rPr>
        <w:t>个月内，在基金募集份额总额不少于</w:t>
      </w:r>
      <w:r>
        <w:rPr>
          <w:rFonts w:ascii="宋体" w:hAnsi="宋体" w:hint="eastAsia"/>
          <w:szCs w:val="21"/>
          <w:highlight w:val="white"/>
          <w:lang w:eastAsia="zh-CN"/>
        </w:rPr>
        <w:t>2</w:t>
      </w:r>
      <w:r>
        <w:rPr>
          <w:rFonts w:ascii="宋体" w:eastAsia="宋体" w:hAnsi="宋体" w:cs="宋体" w:hint="eastAsia"/>
          <w:szCs w:val="21"/>
          <w:highlight w:val="white"/>
          <w:lang w:eastAsia="zh-CN"/>
        </w:rPr>
        <w:t>亿份，基金募集金额不少于</w:t>
      </w:r>
      <w:r>
        <w:rPr>
          <w:rFonts w:ascii="宋体" w:hAnsi="宋体" w:hint="eastAsia"/>
          <w:szCs w:val="21"/>
          <w:highlight w:val="white"/>
          <w:lang w:eastAsia="zh-CN"/>
        </w:rPr>
        <w:t>2</w:t>
      </w:r>
      <w:r>
        <w:rPr>
          <w:rFonts w:ascii="宋体" w:eastAsia="宋体" w:hAnsi="宋体" w:cs="宋体" w:hint="eastAsia"/>
          <w:szCs w:val="21"/>
          <w:highlight w:val="white"/>
          <w:lang w:eastAsia="zh-CN"/>
        </w:rPr>
        <w:t>亿元人民币且基金认购人数不少于</w:t>
      </w:r>
      <w:r>
        <w:rPr>
          <w:rFonts w:ascii="宋体" w:hAnsi="宋体" w:hint="eastAsia"/>
          <w:szCs w:val="21"/>
          <w:highlight w:val="white"/>
          <w:lang w:eastAsia="zh-CN"/>
        </w:rPr>
        <w:t>200</w:t>
      </w:r>
      <w:r>
        <w:rPr>
          <w:rFonts w:ascii="宋体" w:eastAsia="宋体" w:hAnsi="宋体" w:cs="宋体" w:hint="eastAsia"/>
          <w:szCs w:val="21"/>
          <w:highlight w:val="white"/>
          <w:lang w:eastAsia="zh-CN"/>
        </w:rPr>
        <w:t>人的条件下，基金募集期届满或基金管理人依据法律法规及招募说明书可以决定停止基金发售，并在</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日内聘请法定验资机构验资。基金管理人自收到验资报告之日起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日内，向中国证监会办理基金备案手续。</w:t>
      </w:r>
    </w:p>
    <w:p w:rsidR="00D50D9C" w14:paraId="2B5339D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50D9C" w14:paraId="32DEFA9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D50D9C" w14:paraId="2F3F8A7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D50D9C" w14:paraId="33B0698D"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、以其固有财产承担因募集行为而产生的债务和费用；</w:t>
      </w:r>
    </w:p>
    <w:p w:rsidR="00D50D9C" w14:paraId="11CE0A09"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、在基金募集期限届满后</w:t>
      </w:r>
      <w:r>
        <w:rPr>
          <w:rFonts w:ascii="宋体" w:hAnsi="宋体" w:hint="eastAsia"/>
          <w:szCs w:val="21"/>
          <w:highlight w:val="white"/>
          <w:lang w:eastAsia="zh-CN"/>
        </w:rPr>
        <w:t>30</w:t>
      </w:r>
      <w:r>
        <w:rPr>
          <w:rFonts w:ascii="宋体" w:eastAsia="宋体" w:hAnsi="宋体" w:cs="宋体" w:hint="eastAsia"/>
          <w:szCs w:val="21"/>
          <w:highlight w:val="white"/>
          <w:lang w:eastAsia="zh-CN"/>
        </w:rPr>
        <w:t>日内返还投资者已缴纳的款项，并加计银行同期活期存款利息；</w:t>
      </w:r>
    </w:p>
    <w:p w:rsidR="00D50D9C" w14:paraId="2863BD82"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、如基金募集失败，基金管理人、基金托管人及销售机构不得请求报酬。基金管理人、基金托管人和销售机构为基金募集支付之一切费用应由各方各自承担。</w:t>
      </w:r>
    </w:p>
    <w:p w:rsidR="00D50D9C" w14:paraId="1569ED9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D50D9C" w14:paraId="1BCC404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w:t>
      </w:r>
      <w:r>
        <w:rPr>
          <w:rFonts w:ascii="宋体" w:hAnsi="宋体" w:hint="eastAsia"/>
          <w:szCs w:val="21"/>
          <w:highlight w:val="white"/>
          <w:lang w:eastAsia="zh-CN"/>
        </w:rPr>
        <w:t>20</w:t>
      </w:r>
      <w:r>
        <w:rPr>
          <w:rFonts w:ascii="宋体" w:eastAsia="宋体" w:hAnsi="宋体" w:cs="宋体" w:hint="eastAsia"/>
          <w:szCs w:val="21"/>
          <w:highlight w:val="white"/>
          <w:lang w:eastAsia="zh-CN"/>
        </w:rPr>
        <w:t>个工作日出现基金份额持有人数量不满</w:t>
      </w:r>
      <w:r>
        <w:rPr>
          <w:rFonts w:ascii="宋体" w:hAnsi="宋体" w:hint="eastAsia"/>
          <w:szCs w:val="21"/>
          <w:highlight w:val="white"/>
          <w:lang w:eastAsia="zh-CN"/>
        </w:rPr>
        <w:t>200</w:t>
      </w:r>
      <w:r>
        <w:rPr>
          <w:rFonts w:ascii="宋体" w:eastAsia="宋体" w:hAnsi="宋体" w:cs="宋体" w:hint="eastAsia"/>
          <w:szCs w:val="21"/>
          <w:highlight w:val="white"/>
          <w:lang w:eastAsia="zh-CN"/>
        </w:rPr>
        <w:t>人或者基金资产净值低于</w:t>
      </w:r>
      <w:r>
        <w:rPr>
          <w:rFonts w:ascii="宋体" w:hAnsi="宋体" w:hint="eastAsia"/>
          <w:szCs w:val="21"/>
          <w:highlight w:val="white"/>
          <w:lang w:eastAsia="zh-CN"/>
        </w:rPr>
        <w:t>5000</w:t>
      </w:r>
      <w:r>
        <w:rPr>
          <w:rFonts w:ascii="宋体" w:eastAsia="宋体" w:hAnsi="宋体" w:cs="宋体" w:hint="eastAsia"/>
          <w:szCs w:val="21"/>
          <w:highlight w:val="white"/>
          <w:lang w:eastAsia="zh-CN"/>
        </w:rPr>
        <w:t>万元情形的，基金管理人应当在定期报告中予以披露；连续</w:t>
      </w:r>
      <w:r>
        <w:rPr>
          <w:rFonts w:ascii="宋体" w:hAnsi="宋体" w:hint="eastAsia"/>
          <w:szCs w:val="21"/>
          <w:highlight w:val="white"/>
          <w:lang w:eastAsia="zh-CN"/>
        </w:rPr>
        <w:t>60</w:t>
      </w:r>
      <w:r>
        <w:rPr>
          <w:rFonts w:ascii="宋体" w:eastAsia="宋体" w:hAnsi="宋体" w:cs="宋体" w:hint="eastAsia"/>
          <w:szCs w:val="21"/>
          <w:highlight w:val="white"/>
          <w:lang w:eastAsia="zh-CN"/>
        </w:rPr>
        <w:t>个工作日出现前述情形的，基金管理人应当在</w:t>
      </w:r>
      <w:r>
        <w:rPr>
          <w:rFonts w:ascii="宋体" w:hAnsi="宋体" w:hint="eastAsia"/>
          <w:szCs w:val="21"/>
          <w:highlight w:val="white"/>
          <w:lang w:eastAsia="zh-CN"/>
        </w:rPr>
        <w:t>10</w:t>
      </w:r>
      <w:r>
        <w:rPr>
          <w:rFonts w:ascii="宋体" w:eastAsia="宋体" w:hAnsi="宋体" w:cs="宋体" w:hint="eastAsia"/>
          <w:szCs w:val="21"/>
          <w:highlight w:val="white"/>
          <w:lang w:eastAsia="zh-CN"/>
        </w:rPr>
        <w:t>个工作日内向中国证监会报告并提出解决方案，如持续运作、转换运作方式、与其他基金合并或者终止基金合同等，并在</w:t>
      </w:r>
      <w:r>
        <w:rPr>
          <w:rFonts w:ascii="宋体" w:hAnsi="宋体" w:hint="eastAsia"/>
          <w:szCs w:val="21"/>
          <w:highlight w:val="white"/>
          <w:lang w:eastAsia="zh-CN"/>
        </w:rPr>
        <w:t>6</w:t>
      </w:r>
      <w:r>
        <w:rPr>
          <w:rFonts w:ascii="宋体" w:eastAsia="宋体" w:hAnsi="宋体" w:cs="宋体" w:hint="eastAsia"/>
          <w:szCs w:val="21"/>
          <w:highlight w:val="white"/>
          <w:lang w:eastAsia="zh-CN"/>
        </w:rPr>
        <w:t>个月内召集基金份额持有人大会。</w:t>
      </w:r>
    </w:p>
    <w:p w:rsidR="00D50D9C" w14:paraId="05CB954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D50D9C" w14:paraId="6E2A8D52" w14:textId="77777777">
      <w:pPr>
        <w:spacing w:line="360" w:lineRule="auto"/>
        <w:ind w:firstLine="420"/>
        <w:rPr>
          <w:rFonts w:ascii="宋体" w:hAnsi="宋体"/>
          <w:szCs w:val="21"/>
          <w:lang w:eastAsia="zh-CN"/>
        </w:rPr>
      </w:pPr>
    </w:p>
    <w:p w:rsidR="00D50D9C" w14:paraId="717C7C65" w14:textId="77777777">
      <w:pPr>
        <w:rPr>
          <w:rFonts w:ascii="宋体" w:hAnsi="宋体"/>
          <w:lang w:eastAsia="zh-CN"/>
        </w:rPr>
      </w:pPr>
    </w:p>
    <w:p w:rsidR="00D50D9C" w14:paraId="4FBD2766" w14:textId="77777777">
      <w:pPr>
        <w:pStyle w:val="11"/>
        <w:pageBreakBefore/>
        <w:spacing w:before="317" w:after="317" w:line="360" w:lineRule="auto"/>
        <w:ind w:firstLine="0"/>
        <w:rPr>
          <w:rFonts w:ascii="宋体" w:eastAsia="宋体" w:hAnsi="宋体"/>
          <w:bCs/>
          <w:lang w:eastAsia="zh-CN"/>
        </w:rPr>
      </w:pPr>
      <w:bookmarkStart w:id="1805" w:name="_Toc332373499"/>
      <w:bookmarkStart w:id="1806" w:name="_Toc73030167"/>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5"/>
      <w:bookmarkEnd w:id="1806"/>
    </w:p>
    <w:p w:rsidR="00D50D9C" w14:paraId="269D65DF" w14:textId="77777777">
      <w:pPr>
        <w:spacing w:line="360" w:lineRule="auto"/>
        <w:ind w:firstLine="420"/>
        <w:rPr>
          <w:rStyle w:val="da"/>
          <w:rFonts w:ascii="宋体" w:hAnsi="宋体"/>
          <w:szCs w:val="21"/>
          <w:lang w:eastAsia="zh-CN"/>
        </w:rPr>
      </w:pPr>
      <w:bookmarkStart w:id="1807" w:name="_Toc332373500"/>
      <w:r>
        <w:rPr>
          <w:rStyle w:val="da"/>
          <w:rFonts w:ascii="宋体" w:eastAsia="宋体" w:hAnsi="宋体" w:cs="宋体" w:hint="eastAsia"/>
          <w:szCs w:val="21"/>
          <w:highlight w:val="white"/>
          <w:lang w:eastAsia="zh-CN"/>
        </w:rPr>
        <w:t>一、基金投资人范围</w:t>
      </w:r>
      <w:bookmarkEnd w:id="1807"/>
    </w:p>
    <w:p w:rsidR="00D50D9C" w14:paraId="7F59F27A" w14:textId="77777777">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D50D9C" w14:paraId="38B823B0" w14:textId="77777777">
      <w:pPr>
        <w:spacing w:line="360" w:lineRule="auto"/>
        <w:ind w:firstLine="420"/>
        <w:rPr>
          <w:rStyle w:val="da"/>
          <w:rFonts w:ascii="宋体" w:hAnsi="宋体"/>
          <w:lang w:eastAsia="zh-CN"/>
        </w:rPr>
      </w:pPr>
      <w:bookmarkStart w:id="1808" w:name="_Toc332373501"/>
      <w:r>
        <w:rPr>
          <w:rStyle w:val="da"/>
          <w:rFonts w:ascii="宋体" w:eastAsia="宋体" w:hAnsi="宋体" w:cs="宋体" w:hint="eastAsia"/>
          <w:highlight w:val="white"/>
          <w:lang w:eastAsia="zh-CN"/>
        </w:rPr>
        <w:t>二、申购与赎回的场所</w:t>
      </w:r>
      <w:bookmarkEnd w:id="1808"/>
    </w:p>
    <w:p w:rsidR="00D50D9C" w14:paraId="0B3DEA09" w14:textId="77777777">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D50D9C" w14:paraId="61481F9A" w14:textId="77777777">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D50D9C" w14:paraId="26F149F6" w14:textId="77777777">
      <w:pPr>
        <w:spacing w:line="360" w:lineRule="auto"/>
        <w:ind w:firstLine="420"/>
        <w:rPr>
          <w:rStyle w:val="da"/>
          <w:rFonts w:ascii="宋体" w:hAnsi="宋体"/>
          <w:szCs w:val="21"/>
          <w:lang w:eastAsia="zh-CN"/>
        </w:rPr>
      </w:pPr>
      <w:bookmarkStart w:id="1809" w:name="_Toc332373502"/>
      <w:r>
        <w:rPr>
          <w:rStyle w:val="da"/>
          <w:rFonts w:ascii="宋体" w:eastAsia="宋体" w:hAnsi="宋体" w:cs="宋体" w:hint="eastAsia"/>
          <w:szCs w:val="21"/>
          <w:highlight w:val="white"/>
          <w:lang w:eastAsia="zh-CN"/>
        </w:rPr>
        <w:t>三、申购与赎回办理的开放日及时间</w:t>
      </w:r>
      <w:bookmarkEnd w:id="1809"/>
    </w:p>
    <w:p w:rsidR="00D50D9C" w14:paraId="11AF353E"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D50D9C" w14:paraId="099A3AF5"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D50D9C" w14:paraId="7CD47BA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期货交易所交易时间变更、其他特殊情况或根据业务需要，基金管理人将视情况对前述开放日及开放时间进行相应的调整，但应在实施前依照《信息披露办法》的有关规定在规定媒介上公告。</w:t>
      </w:r>
    </w:p>
    <w:p w:rsidR="00D50D9C" w14:paraId="7E98ADC6"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、申购、赎回开始日及业务办理时间</w:t>
      </w:r>
    </w:p>
    <w:p w:rsidR="00D50D9C" w14:paraId="424F8BB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D50D9C" w14:paraId="00B02FB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D50D9C" w14:paraId="022374D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D50D9C" w14:paraId="2545610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D50D9C" w14:paraId="71A711A0" w14:textId="77777777">
      <w:pPr>
        <w:spacing w:line="360" w:lineRule="auto"/>
        <w:ind w:firstLine="420"/>
        <w:rPr>
          <w:rFonts w:ascii="宋体" w:hAnsi="宋体"/>
          <w:bCs/>
          <w:sz w:val="24"/>
          <w:lang w:eastAsia="zh-CN"/>
        </w:rPr>
      </w:pPr>
      <w:bookmarkStart w:id="1810"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10"/>
    </w:p>
    <w:p w:rsidR="00D50D9C" w14:paraId="315C29C4" w14:textId="7777777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w:t>
      </w:r>
      <w:r>
        <w:rPr>
          <w:rFonts w:ascii="宋体" w:hAnsi="宋体"/>
          <w:bCs/>
          <w:szCs w:val="21"/>
          <w:highlight w:val="white"/>
          <w:lang w:eastAsia="zh-CN"/>
        </w:rPr>
        <w:t>“</w:t>
      </w:r>
      <w:r>
        <w:rPr>
          <w:rFonts w:ascii="宋体" w:eastAsia="宋体" w:hAnsi="宋体" w:cs="宋体"/>
          <w:bCs/>
          <w:szCs w:val="21"/>
          <w:highlight w:val="white"/>
          <w:lang w:eastAsia="zh-CN"/>
        </w:rPr>
        <w:t>未知价</w:t>
      </w:r>
      <w:r>
        <w:rPr>
          <w:rFonts w:ascii="宋体" w:hAnsi="宋体"/>
          <w:bCs/>
          <w:szCs w:val="21"/>
          <w:highlight w:val="white"/>
          <w:lang w:eastAsia="zh-CN"/>
        </w:rPr>
        <w:t>”</w:t>
      </w:r>
      <w:r>
        <w:rPr>
          <w:rFonts w:ascii="宋体" w:eastAsia="宋体" w:hAnsi="宋体" w:cs="宋体"/>
          <w:bCs/>
          <w:szCs w:val="21"/>
          <w:highlight w:val="white"/>
          <w:lang w:eastAsia="zh-CN"/>
        </w:rPr>
        <w:t>原则，即申购、赎回价格以申请当日收市后计算的对应份额类别的基金份额净值为基准进行计算；</w:t>
      </w:r>
    </w:p>
    <w:p w:rsidR="00D50D9C" w14:paraId="37BAFF06" w14:textId="7777777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w:t>
      </w:r>
      <w:r>
        <w:rPr>
          <w:rFonts w:ascii="宋体" w:hAnsi="宋体"/>
          <w:bCs/>
          <w:szCs w:val="21"/>
          <w:highlight w:val="white"/>
          <w:lang w:eastAsia="zh-CN"/>
        </w:rPr>
        <w:t>“</w:t>
      </w:r>
      <w:r>
        <w:rPr>
          <w:rFonts w:ascii="宋体" w:eastAsia="宋体" w:hAnsi="宋体" w:cs="宋体"/>
          <w:bCs/>
          <w:szCs w:val="21"/>
          <w:highlight w:val="white"/>
          <w:lang w:eastAsia="zh-CN"/>
        </w:rPr>
        <w:t>金额申购、份额赎回</w:t>
      </w:r>
      <w:r>
        <w:rPr>
          <w:rFonts w:ascii="宋体" w:hAnsi="宋体"/>
          <w:bCs/>
          <w:szCs w:val="21"/>
          <w:highlight w:val="white"/>
          <w:lang w:eastAsia="zh-CN"/>
        </w:rPr>
        <w:t>”</w:t>
      </w:r>
      <w:r>
        <w:rPr>
          <w:rFonts w:ascii="宋体" w:eastAsia="宋体" w:hAnsi="宋体" w:cs="宋体"/>
          <w:bCs/>
          <w:szCs w:val="21"/>
          <w:highlight w:val="white"/>
          <w:lang w:eastAsia="zh-CN"/>
        </w:rPr>
        <w:t>原则，即申购以金额申请，赎回以份额申请；</w:t>
      </w:r>
    </w:p>
    <w:p w:rsidR="00D50D9C" w14:paraId="1BD65336" w14:textId="7777777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、当日的申购与赎回申请可以在基金管理人规定的时间以内撤销；</w:t>
      </w:r>
    </w:p>
    <w:p w:rsidR="00D50D9C" w14:paraId="084303C8" w14:textId="77777777">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D50D9C" w14:paraId="0DF4B5E0" w14:textId="77777777">
      <w:pPr>
        <w:spacing w:line="360" w:lineRule="auto"/>
        <w:ind w:firstLine="420"/>
        <w:rPr>
          <w:rFonts w:ascii="宋体" w:hAnsi="宋体"/>
          <w:bCs/>
          <w:szCs w:val="21"/>
          <w:lang w:eastAsia="zh-CN"/>
        </w:rPr>
      </w:pPr>
      <w:r>
        <w:rPr>
          <w:rFonts w:ascii="宋体" w:hAnsi="宋体"/>
          <w:bCs/>
          <w:szCs w:val="21"/>
          <w:highlight w:val="white"/>
          <w:lang w:eastAsia="zh-CN"/>
        </w:rPr>
        <w:t>5</w:t>
      </w:r>
      <w:r>
        <w:rPr>
          <w:rFonts w:ascii="宋体" w:eastAsia="宋体" w:hAnsi="宋体" w:cs="宋体"/>
          <w:bCs/>
          <w:szCs w:val="21"/>
          <w:highlight w:val="white"/>
          <w:lang w:eastAsia="zh-CN"/>
        </w:rPr>
        <w:t>、办理申购、赎回业务时，应当遵循基金份额持有人利益优先原则，确保投资者的合法权益不受损害并得到公平对待。</w:t>
      </w:r>
    </w:p>
    <w:p w:rsidR="00D50D9C" w14:paraId="7FF1F7E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D50D9C" w14:paraId="00C0A5E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D50D9C" w14:paraId="79AA275F"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D50D9C" w14:paraId="0FB5632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D50D9C" w14:paraId="3CA95C9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D50D9C" w14:paraId="4851875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D50D9C" w14:paraId="7AC0D0F7"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D50D9C" w14:paraId="521D89D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日），在正常情况下，本基金登记机构在</w:t>
      </w:r>
      <w:r>
        <w:rPr>
          <w:rFonts w:ascii="宋体" w:hAnsi="宋体" w:hint="eastAsia"/>
          <w:bCs/>
          <w:szCs w:val="21"/>
          <w:highlight w:val="white"/>
          <w:lang w:eastAsia="zh-CN"/>
        </w:rPr>
        <w:t>T+1</w:t>
      </w:r>
      <w:r>
        <w:rPr>
          <w:rFonts w:ascii="宋体" w:eastAsia="宋体" w:hAnsi="宋体" w:cs="宋体" w:hint="eastAsia"/>
          <w:bCs/>
          <w:szCs w:val="21"/>
          <w:highlight w:val="white"/>
          <w:lang w:eastAsia="zh-CN"/>
        </w:rPr>
        <w:t>日内对该交易的有效性进行确认。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D50D9C" w14:paraId="523CFAF4" w14:textId="77777777">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D50D9C" w14:paraId="08744F4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D50D9C" w14:paraId="71128BE4"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D50D9C" w14:paraId="6F8DAB0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D50D9C" w14:paraId="28E624E6" w14:textId="77777777">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D50D9C" w14:paraId="202255D0" w14:textId="77777777">
      <w:pPr>
        <w:spacing w:line="360" w:lineRule="auto"/>
        <w:ind w:firstLine="420"/>
        <w:rPr>
          <w:rStyle w:val="da"/>
          <w:rFonts w:ascii="宋体" w:hAnsi="宋体"/>
          <w:szCs w:val="21"/>
          <w:lang w:eastAsia="zh-CN"/>
        </w:rPr>
      </w:pPr>
      <w:bookmarkStart w:id="1811" w:name="_Toc332373505"/>
      <w:r>
        <w:rPr>
          <w:rStyle w:val="da"/>
          <w:rFonts w:ascii="宋体" w:eastAsia="宋体" w:hAnsi="宋体" w:cs="宋体" w:hint="eastAsia"/>
          <w:szCs w:val="21"/>
          <w:highlight w:val="white"/>
          <w:lang w:eastAsia="zh-CN"/>
        </w:rPr>
        <w:t>六、申购与赎回的数额限制</w:t>
      </w:r>
      <w:bookmarkEnd w:id="1811"/>
    </w:p>
    <w:p w:rsidR="00D50D9C" w14:paraId="6042C043"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D50D9C" w14:paraId="7BD6B0E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D50D9C" w14:paraId="764DF46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D50D9C" w14:paraId="27A5BC6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D50D9C" w14:paraId="1C39A30C"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D50D9C" w14:paraId="6A30BED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D50D9C" w14:paraId="6B169393"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D50D9C" w14:paraId="5C285B32" w14:textId="77777777">
      <w:pPr>
        <w:spacing w:line="360" w:lineRule="auto"/>
        <w:ind w:firstLine="420"/>
        <w:rPr>
          <w:rStyle w:val="da"/>
          <w:rFonts w:ascii="宋体" w:hAnsi="宋体"/>
          <w:szCs w:val="21"/>
          <w:lang w:eastAsia="zh-CN"/>
        </w:rPr>
      </w:pPr>
      <w:bookmarkStart w:id="1812" w:name="_Toc332373506"/>
      <w:r>
        <w:rPr>
          <w:rStyle w:val="da"/>
          <w:rFonts w:ascii="宋体" w:eastAsia="宋体" w:hAnsi="宋体" w:cs="宋体" w:hint="eastAsia"/>
          <w:szCs w:val="21"/>
          <w:highlight w:val="white"/>
          <w:lang w:eastAsia="zh-CN"/>
        </w:rPr>
        <w:t>七、基金的申购费和赎回费</w:t>
      </w:r>
      <w:bookmarkEnd w:id="1812"/>
    </w:p>
    <w:p w:rsidR="00D50D9C" w14:paraId="133F837B"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w:t>
      </w:r>
      <w:r w:rsidRPr="001B1870" w:rsidR="001B1870">
        <w:rPr>
          <w:rFonts w:ascii="宋体" w:eastAsia="宋体" w:hAnsi="宋体" w:cs="宋体" w:hint="eastAsia"/>
          <w:bCs/>
          <w:szCs w:val="21"/>
          <w:lang w:eastAsia="zh-CN"/>
        </w:rPr>
        <w:t>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w:t>
      </w:r>
      <w:r>
        <w:rPr>
          <w:rFonts w:ascii="宋体" w:eastAsia="宋体" w:hAnsi="宋体" w:cs="宋体"/>
          <w:szCs w:val="21"/>
          <w:highlight w:val="white"/>
          <w:lang w:eastAsia="zh-CN"/>
        </w:rPr>
        <w:t>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w:t>
      </w:r>
      <w:r w:rsidRPr="00E937E8" w:rsidR="00E937E8">
        <w:rPr>
          <w:rFonts w:ascii="宋体" w:eastAsia="宋体" w:hAnsi="宋体" w:cs="宋体" w:hint="eastAsia"/>
          <w:color w:val="000000"/>
          <w:lang w:eastAsia="zh-CN"/>
        </w:rPr>
        <w:t>在投资者持有期间计提销售服务费并按规定收取或返还</w:t>
      </w:r>
      <w:r>
        <w:rPr>
          <w:rFonts w:ascii="宋体" w:eastAsia="宋体" w:hAnsi="宋体" w:cs="宋体"/>
          <w:szCs w:val="21"/>
          <w:highlight w:val="white"/>
          <w:lang w:eastAsia="zh-CN"/>
        </w:rPr>
        <w:t>。赎回费用由基金赎回人承担。</w:t>
      </w:r>
    </w:p>
    <w:p w:rsidR="00D50D9C" w14:paraId="06A3B1E5"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p w:rsidR="00D50D9C" w14:paraId="7E29B6BB" w14:textId="77777777">
      <w:pPr>
        <w:spacing w:line="360" w:lineRule="auto"/>
        <w:ind w:firstLine="420"/>
        <w:rPr>
          <w:rFonts w:ascii="宋体" w:hAnsi="宋体"/>
          <w:lang w:eastAsia="zh-CN"/>
        </w:rPr>
      </w:pPr>
    </w:p>
    <w:tbl>
      <w:tblPr>
        <w:tblW w:w="7574" w:type="dxa"/>
        <w:jc w:val="center"/>
        <w:tblLayout w:type="fixed"/>
        <w:tblLook w:val="04A0"/>
      </w:tblPr>
      <w:tblGrid>
        <w:gridCol w:w="3794"/>
        <w:gridCol w:w="3780"/>
      </w:tblGrid>
      <w:tr w14:paraId="5E871DE3" w14:textId="77777777">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D50D9C" w14:paraId="21541B5F" w14:textId="77777777">
            <w:pPr>
              <w:widowControl/>
              <w:spacing w:line="360" w:lineRule="auto"/>
              <w:jc w:val="center"/>
              <w:rPr>
                <w:rFonts w:ascii="宋体" w:hAnsi="宋体"/>
                <w:bCs/>
                <w:szCs w:val="21"/>
                <w:lang w:eastAsia="zh-CN"/>
              </w:rPr>
            </w:pPr>
            <w:r>
              <w:rPr>
                <w:rFonts w:ascii="宋体" w:eastAsia="宋体" w:hAnsi="宋体" w:cs="宋体"/>
                <w:bCs/>
                <w:szCs w:val="21"/>
                <w:highlight w:val="white"/>
                <w:lang w:eastAsia="zh-CN"/>
              </w:rPr>
              <w:t>申购</w:t>
            </w:r>
            <w:r>
              <w:rPr>
                <w:rFonts w:ascii="宋体" w:eastAsia="宋体" w:hAnsi="宋体" w:cs="宋体"/>
                <w:highlight w:val="white"/>
                <w:lang w:eastAsia="zh-CN"/>
              </w:rPr>
              <w:t>确认</w:t>
            </w:r>
            <w:r>
              <w:rPr>
                <w:rFonts w:ascii="宋体" w:eastAsia="宋体" w:hAnsi="宋体" w:cs="宋体"/>
                <w:bCs/>
                <w:szCs w:val="21"/>
                <w:highlight w:val="white"/>
                <w:lang w:eastAsia="zh-CN"/>
              </w:rPr>
              <w:t>金额</w:t>
            </w:r>
            <w:r>
              <w:rPr>
                <w:rFonts w:ascii="宋体" w:hAnsi="宋体"/>
                <w:bCs/>
                <w:szCs w:val="21"/>
                <w:highlight w:val="white"/>
                <w:lang w:eastAsia="zh-CN"/>
              </w:rPr>
              <w:t>M</w:t>
            </w:r>
            <w:r>
              <w:rPr>
                <w:rFonts w:ascii="宋体" w:eastAsia="宋体" w:hAnsi="宋体" w:cs="宋体"/>
                <w:bCs/>
                <w:szCs w:val="21"/>
                <w:highlight w:val="white"/>
                <w:lang w:eastAsia="zh-CN"/>
              </w:rPr>
              <w:t>（元）（含申购费）</w:t>
            </w:r>
          </w:p>
        </w:tc>
        <w:tc>
          <w:tcPr>
            <w:tcW w:w="3780" w:type="dxa"/>
            <w:tcBorders>
              <w:top w:val="single" w:sz="8" w:space="0" w:color="auto"/>
              <w:left w:val="nil"/>
              <w:bottom w:val="single" w:sz="8" w:space="0" w:color="auto"/>
              <w:right w:val="single" w:sz="8" w:space="0" w:color="auto"/>
            </w:tcBorders>
            <w:shd w:val="clear" w:color="auto" w:fill="auto"/>
          </w:tcPr>
          <w:p w:rsidR="00D50D9C" w14:paraId="32AAD3AB" w14:textId="77777777">
            <w:pPr>
              <w:widowControl/>
              <w:spacing w:line="360" w:lineRule="auto"/>
              <w:jc w:val="center"/>
              <w:rPr>
                <w:rFonts w:ascii="宋体" w:hAnsi="宋体"/>
                <w:bCs/>
                <w:szCs w:val="21"/>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bCs/>
                <w:szCs w:val="21"/>
                <w:highlight w:val="white"/>
                <w:lang w:eastAsia="zh-CN"/>
              </w:rPr>
              <w:t>申购费率</w:t>
            </w:r>
          </w:p>
        </w:tc>
      </w:tr>
      <w:tr w14:paraId="6C1A3817" w14:textId="77777777">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AF7B70" w:rsidP="00645B9A" w14:paraId="00927458" w14:textId="77777777">
            <w:pPr>
              <w:widowControl/>
              <w:spacing w:line="360" w:lineRule="auto"/>
              <w:jc w:val="center"/>
              <w:rPr>
                <w:rFonts w:ascii="宋体" w:hAnsi="宋体"/>
                <w:szCs w:val="21"/>
                <w:lang w:eastAsia="zh-CN"/>
              </w:rPr>
            </w:pPr>
            <w:r>
              <w:rPr>
                <w:rFonts w:ascii="宋体" w:hAnsi="宋体" w:cs="方正仿宋简体" w:hint="eastAsia"/>
                <w:bCs/>
                <w:iCs/>
                <w:lang w:eastAsia="zh-CN"/>
              </w:rPr>
              <w:t>M＜</w:t>
            </w:r>
            <w:r w:rsidR="00645B9A">
              <w:rPr>
                <w:rFonts w:ascii="宋体" w:hAnsi="宋体" w:cs="方正仿宋简体"/>
                <w:bCs/>
                <w:iCs/>
                <w:lang w:eastAsia="zh-CN"/>
              </w:rPr>
              <w:t>5</w:t>
            </w:r>
            <w:r w:rsidR="00645B9A">
              <w:rPr>
                <w:rFonts w:ascii="宋体" w:hAnsi="宋体" w:cs="方正仿宋简体" w:hint="eastAsia"/>
                <w:bCs/>
                <w:iCs/>
                <w:lang w:eastAsia="zh-CN"/>
              </w:rPr>
              <w:t>00</w:t>
            </w:r>
            <w:r>
              <w:rPr>
                <w:rFonts w:ascii="宋体" w:hAnsi="宋体" w:cs="方正仿宋简体" w:hint="eastAsia"/>
                <w:bCs/>
                <w:iCs/>
                <w:lang w:eastAsia="zh-CN"/>
              </w:rPr>
              <w:t>万</w:t>
            </w:r>
          </w:p>
        </w:tc>
        <w:tc>
          <w:tcPr>
            <w:tcW w:w="3780" w:type="dxa"/>
            <w:tcBorders>
              <w:top w:val="nil"/>
              <w:left w:val="nil"/>
              <w:bottom w:val="single" w:sz="8" w:space="0" w:color="auto"/>
              <w:right w:val="single" w:sz="8" w:space="0" w:color="auto"/>
            </w:tcBorders>
            <w:shd w:val="clear" w:color="auto" w:fill="auto"/>
          </w:tcPr>
          <w:p w:rsidR="00AF7B70" w:rsidP="00AF7B70" w14:paraId="0D861682" w14:textId="77777777">
            <w:pPr>
              <w:widowControl/>
              <w:spacing w:line="360" w:lineRule="auto"/>
              <w:jc w:val="center"/>
              <w:rPr>
                <w:rFonts w:ascii="宋体" w:hAnsi="宋体"/>
                <w:szCs w:val="21"/>
                <w:lang w:eastAsia="zh-CN"/>
              </w:rPr>
            </w:pPr>
            <w:r>
              <w:rPr>
                <w:rFonts w:ascii="仿宋" w:eastAsia="仿宋" w:hAnsi="仿宋"/>
                <w:lang w:eastAsia="zh-CN"/>
              </w:rPr>
              <w:t>0.80%</w:t>
            </w:r>
          </w:p>
        </w:tc>
      </w:tr>
      <w:tr w14:paraId="292B4720" w14:textId="77777777">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D50D9C" w14:paraId="1B1465D0" w14:textId="77777777">
            <w:pPr>
              <w:widowControl/>
              <w:spacing w:line="360" w:lineRule="auto"/>
              <w:jc w:val="center"/>
              <w:rPr>
                <w:rFonts w:ascii="宋体" w:hAnsi="宋体"/>
                <w:szCs w:val="21"/>
                <w:lang w:eastAsia="zh-CN"/>
              </w:rPr>
            </w:pPr>
            <w:r>
              <w:rPr>
                <w:rFonts w:ascii="宋体" w:hAnsi="宋体" w:cs="方正仿宋简体" w:hint="eastAsia"/>
                <w:bCs/>
                <w:iCs/>
                <w:lang w:eastAsia="zh-CN"/>
              </w:rPr>
              <w:t>M≥500万</w:t>
            </w:r>
          </w:p>
        </w:tc>
        <w:tc>
          <w:tcPr>
            <w:tcW w:w="3780" w:type="dxa"/>
            <w:tcBorders>
              <w:top w:val="nil"/>
              <w:left w:val="nil"/>
              <w:bottom w:val="single" w:sz="8" w:space="0" w:color="auto"/>
              <w:right w:val="single" w:sz="8" w:space="0" w:color="auto"/>
            </w:tcBorders>
            <w:shd w:val="clear" w:color="auto" w:fill="auto"/>
          </w:tcPr>
          <w:p w:rsidR="00D50D9C" w14:paraId="78928CAA" w14:textId="77777777">
            <w:pPr>
              <w:widowControl/>
              <w:spacing w:line="360" w:lineRule="auto"/>
              <w:jc w:val="center"/>
              <w:rPr>
                <w:rFonts w:ascii="宋体" w:hAnsi="宋体"/>
                <w:szCs w:val="21"/>
                <w:lang w:eastAsia="zh-CN"/>
              </w:rPr>
            </w:pPr>
            <w:r>
              <w:rPr>
                <w:rFonts w:ascii="宋体" w:hAnsi="宋体" w:cs="方正仿宋简体" w:hint="eastAsia"/>
                <w:bCs/>
                <w:iCs/>
                <w:lang w:eastAsia="zh-CN"/>
              </w:rPr>
              <w:t>1000元/笔</w:t>
            </w:r>
          </w:p>
        </w:tc>
      </w:tr>
    </w:tbl>
    <w:p w:rsidR="00830716" w:rsidP="00830716" w14:paraId="7C5469B8" w14:textId="77777777">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w:t>
      </w:r>
      <w:r>
        <w:rPr>
          <w:rFonts w:hint="eastAsia"/>
          <w:lang w:eastAsia="zh-CN"/>
        </w:rPr>
        <w:t>或</w:t>
      </w:r>
      <w:r>
        <w:rPr>
          <w:lang w:eastAsia="zh-CN"/>
        </w:rPr>
        <w:t>其基金销售子公司</w:t>
      </w:r>
      <w:r>
        <w:rPr>
          <w:rFonts w:hint="eastAsia"/>
          <w:lang w:eastAsia="zh-CN"/>
        </w:rPr>
        <w:t>申</w:t>
      </w:r>
      <w:r>
        <w:rPr>
          <w:lang w:eastAsia="zh-CN"/>
        </w:rPr>
        <w:t>购本基金</w:t>
      </w:r>
      <w:r>
        <w:rPr>
          <w:lang w:eastAsia="zh-CN"/>
        </w:rPr>
        <w:t>A</w:t>
      </w:r>
      <w:r>
        <w:rPr>
          <w:lang w:eastAsia="zh-CN"/>
        </w:rPr>
        <w:t>类基金份额，不收取</w:t>
      </w:r>
      <w:r>
        <w:rPr>
          <w:rFonts w:hint="eastAsia"/>
          <w:lang w:eastAsia="zh-CN"/>
        </w:rPr>
        <w:t>申</w:t>
      </w:r>
      <w:r>
        <w:rPr>
          <w:lang w:eastAsia="zh-CN"/>
        </w:rPr>
        <w:t>购费用。</w:t>
      </w:r>
    </w:p>
    <w:p w:rsidR="00830716" w:rsidP="00830716" w14:paraId="4D68A28B" w14:textId="77777777">
      <w:pPr>
        <w:spacing w:line="312" w:lineRule="auto"/>
        <w:ind w:firstLine="420"/>
        <w:rPr>
          <w:rFonts w:ascii="宋体" w:eastAsia="宋体" w:hAnsi="宋体" w:cs="宋体"/>
          <w:highlight w:val="white"/>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申购本基金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申购费率见</w:t>
      </w:r>
      <w:r>
        <w:rPr>
          <w:rFonts w:ascii="宋体" w:eastAsia="宋体" w:hAnsi="宋体" w:cs="宋体"/>
          <w:highlight w:val="white"/>
          <w:lang w:eastAsia="zh-CN"/>
        </w:rPr>
        <w:t>上</w:t>
      </w:r>
      <w:r>
        <w:rPr>
          <w:rFonts w:ascii="宋体" w:eastAsia="宋体" w:hAnsi="宋体" w:cs="宋体" w:hint="eastAsia"/>
          <w:highlight w:val="white"/>
          <w:lang w:eastAsia="zh-CN"/>
        </w:rPr>
        <w:t>表</w:t>
      </w:r>
      <w:r>
        <w:rPr>
          <w:rFonts w:ascii="宋体" w:eastAsia="宋体" w:hAnsi="宋体" w:cs="宋体"/>
          <w:highlight w:val="white"/>
          <w:lang w:eastAsia="zh-CN"/>
        </w:rPr>
        <w:t>。</w:t>
      </w:r>
    </w:p>
    <w:p w:rsidR="00D50D9C" w:rsidP="00830716" w14:paraId="42307B26" w14:textId="77777777">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D50D9C" w14:paraId="58F133AD" w14:textId="77777777">
      <w:pPr>
        <w:spacing w:line="312"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类基金份额不收取申购费用</w:t>
      </w:r>
      <w:r w:rsidR="00830716">
        <w:rPr>
          <w:rFonts w:ascii="宋体" w:eastAsia="宋体" w:hAnsi="宋体" w:cs="宋体"/>
          <w:color w:val="000000"/>
          <w:highlight w:val="white"/>
          <w:lang w:eastAsia="zh-CN"/>
        </w:rPr>
        <w:t>，在投资者持有期间计提销售服务费</w:t>
      </w:r>
      <w:r w:rsidR="00830716">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830716" w:rsidRPr="00830716" w14:paraId="385849A4" w14:textId="77777777">
      <w:pPr>
        <w:spacing w:line="312" w:lineRule="auto"/>
        <w:ind w:firstLine="420"/>
        <w:rPr>
          <w:rFonts w:ascii="宋体" w:hAnsi="宋体"/>
          <w:szCs w:val="21"/>
          <w:lang w:eastAsia="zh-CN"/>
        </w:rPr>
      </w:pPr>
      <w:r w:rsidRPr="0085221D">
        <w:rPr>
          <w:rFonts w:ascii="宋体" w:eastAsia="宋体" w:hAnsi="宋体" w:cs="宋体"/>
          <w:szCs w:val="21"/>
          <w:highlight w:val="white"/>
          <w:lang w:eastAsia="zh-CN"/>
        </w:rPr>
        <w:t>本基金暂不开通</w:t>
      </w:r>
      <w:r w:rsidRPr="0085221D">
        <w:rPr>
          <w:rFonts w:ascii="宋体" w:eastAsia="宋体" w:hAnsi="宋体" w:cs="宋体" w:hint="eastAsia"/>
          <w:szCs w:val="21"/>
          <w:highlight w:val="white"/>
          <w:lang w:eastAsia="zh-CN"/>
        </w:rPr>
        <w:t>基金管理人及其基金销售子公司销售本基金</w:t>
      </w:r>
      <w:r w:rsidRPr="0085221D">
        <w:rPr>
          <w:rFonts w:ascii="宋体" w:eastAsia="宋体" w:hAnsi="宋体" w:cs="宋体"/>
          <w:szCs w:val="21"/>
          <w:highlight w:val="white"/>
          <w:lang w:eastAsia="zh-CN"/>
        </w:rPr>
        <w:t>C</w:t>
      </w:r>
      <w:r w:rsidRPr="0085221D">
        <w:rPr>
          <w:rFonts w:ascii="宋体" w:eastAsia="宋体" w:hAnsi="宋体" w:cs="宋体" w:hint="eastAsia"/>
          <w:szCs w:val="21"/>
          <w:highlight w:val="white"/>
          <w:lang w:eastAsia="zh-CN"/>
        </w:rPr>
        <w:t>类基金份额，若日后开通，将另行公告。</w:t>
      </w:r>
    </w:p>
    <w:p w:rsidR="00D50D9C" w14:paraId="2E0DF198" w14:textId="77777777">
      <w:pPr>
        <w:spacing w:line="312" w:lineRule="auto"/>
        <w:ind w:firstLine="420"/>
        <w:rPr>
          <w:rFonts w:ascii="宋体" w:hAnsi="宋体"/>
          <w:szCs w:val="21"/>
          <w:lang w:eastAsia="zh-CN"/>
        </w:rPr>
      </w:pPr>
      <w:bookmarkStart w:id="1813" w:name="_Toc332373507"/>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p>
    <w:p w:rsidR="00D50D9C" w14:paraId="67FA25F7" w14:textId="589E9868">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w:t>
      </w:r>
      <w:r w:rsidR="0037615F">
        <w:rPr>
          <w:rFonts w:ascii="宋体" w:eastAsia="宋体" w:hAnsi="宋体" w:cs="宋体" w:hint="eastAsia"/>
          <w:szCs w:val="21"/>
          <w:highlight w:val="white"/>
          <w:lang w:eastAsia="zh-CN"/>
        </w:rPr>
        <w:t>金</w:t>
      </w:r>
      <w:r>
        <w:rPr>
          <w:rFonts w:ascii="宋体" w:eastAsia="宋体" w:hAnsi="宋体" w:cs="宋体" w:hint="eastAsia"/>
          <w:szCs w:val="21"/>
          <w:highlight w:val="white"/>
          <w:lang w:eastAsia="zh-CN"/>
        </w:rPr>
        <w:t>赎回费率见下表：</w:t>
      </w:r>
    </w:p>
    <w:tbl>
      <w:tblPr>
        <w:tblStyle w:val="TableGrid"/>
        <w:tblW w:w="6662" w:type="dxa"/>
        <w:tblInd w:w="704" w:type="dxa"/>
        <w:tblLayout w:type="fixed"/>
        <w:tblLook w:val="04A0"/>
      </w:tblPr>
      <w:tblGrid>
        <w:gridCol w:w="3450"/>
        <w:gridCol w:w="3212"/>
      </w:tblGrid>
      <w:tr w14:paraId="18370400" w14:textId="77777777">
        <w:tblPrEx>
          <w:tblW w:w="6662" w:type="dxa"/>
          <w:tblInd w:w="704" w:type="dxa"/>
          <w:tblLayout w:type="fixed"/>
          <w:tblLook w:val="04A0"/>
        </w:tblPrEx>
        <w:tc>
          <w:tcPr>
            <w:tcW w:w="3450" w:type="dxa"/>
          </w:tcPr>
          <w:p w:rsidR="00D50D9C" w14:paraId="028F5518" w14:textId="77777777">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D50D9C" w14:paraId="4FC01D75" w14:textId="587012B6">
            <w:pPr>
              <w:spacing w:line="280" w:lineRule="exact"/>
              <w:jc w:val="center"/>
              <w:rPr>
                <w:rFonts w:ascii="宋体" w:hAnsi="宋体" w:cs="方正仿宋简体"/>
                <w:iCs/>
                <w:lang w:eastAsia="zh-CN"/>
              </w:rPr>
            </w:pPr>
            <w:r>
              <w:rPr>
                <w:rFonts w:ascii="宋体" w:hAnsi="宋体" w:cs="方正仿宋简体" w:hint="eastAsia"/>
                <w:bCs/>
                <w:iCs/>
                <w:highlight w:val="white"/>
                <w:lang w:eastAsia="zh-CN"/>
              </w:rPr>
              <w:t>A</w:t>
            </w:r>
            <w:r>
              <w:rPr>
                <w:rFonts w:ascii="宋体" w:eastAsia="宋体" w:hAnsi="宋体" w:cs="宋体" w:hint="eastAsia"/>
                <w:bCs/>
                <w:iCs/>
                <w:highlight w:val="white"/>
                <w:lang w:eastAsia="zh-CN"/>
              </w:rPr>
              <w:t>类</w:t>
            </w:r>
            <w:r w:rsidR="0037615F">
              <w:rPr>
                <w:rFonts w:ascii="宋体" w:eastAsia="宋体" w:hAnsi="宋体" w:cs="宋体" w:hint="eastAsia"/>
                <w:bCs/>
                <w:iCs/>
                <w:highlight w:val="white"/>
                <w:lang w:eastAsia="zh-CN"/>
              </w:rPr>
              <w:t>/</w:t>
            </w:r>
            <w:r w:rsidR="0037615F">
              <w:rPr>
                <w:rFonts w:ascii="宋体" w:eastAsia="宋体" w:hAnsi="宋体" w:cs="宋体"/>
                <w:bCs/>
                <w:iCs/>
                <w:highlight w:val="white"/>
                <w:lang w:eastAsia="zh-CN"/>
              </w:rPr>
              <w:t>C类</w:t>
            </w:r>
            <w:r>
              <w:rPr>
                <w:rFonts w:ascii="宋体" w:eastAsia="宋体" w:hAnsi="宋体" w:cs="宋体" w:hint="eastAsia"/>
                <w:bCs/>
                <w:iCs/>
                <w:highlight w:val="white"/>
                <w:lang w:eastAsia="zh-CN"/>
              </w:rPr>
              <w:t>基金份额赎回费率</w:t>
            </w:r>
          </w:p>
        </w:tc>
      </w:tr>
      <w:tr w14:paraId="4C28A376" w14:textId="77777777">
        <w:tblPrEx>
          <w:tblW w:w="6662" w:type="dxa"/>
          <w:tblInd w:w="704" w:type="dxa"/>
          <w:tblLayout w:type="fixed"/>
          <w:tblLook w:val="04A0"/>
        </w:tblPrEx>
        <w:trPr>
          <w:trHeight w:val="360"/>
        </w:trPr>
        <w:tc>
          <w:tcPr>
            <w:tcW w:w="3450" w:type="dxa"/>
          </w:tcPr>
          <w:p w:rsidR="00D50D9C" w14:paraId="11A12D19"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D50D9C" w14:paraId="6F4BDB4A"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14:paraId="0D6CB2F0" w14:textId="77777777">
        <w:tblPrEx>
          <w:tblW w:w="6662" w:type="dxa"/>
          <w:tblInd w:w="704" w:type="dxa"/>
          <w:tblLayout w:type="fixed"/>
          <w:tblLook w:val="04A0"/>
        </w:tblPrEx>
        <w:trPr>
          <w:trHeight w:val="360"/>
        </w:trPr>
        <w:tc>
          <w:tcPr>
            <w:tcW w:w="3450" w:type="dxa"/>
          </w:tcPr>
          <w:p w:rsidR="00D50D9C" w14:paraId="4E13D031"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D50D9C" w14:paraId="6926B7F9" w14:textId="77777777">
            <w:pPr>
              <w:spacing w:line="280" w:lineRule="exact"/>
              <w:jc w:val="center"/>
              <w:rPr>
                <w:rFonts w:ascii="宋体" w:hAnsi="宋体" w:cs="方正仿宋简体"/>
                <w:iCs/>
                <w:lang w:eastAsia="zh-CN"/>
              </w:rPr>
            </w:pPr>
            <w:r w:rsidRPr="00AF7B70">
              <w:rPr>
                <w:rFonts w:ascii="宋体" w:hAnsi="宋体" w:cs="方正仿宋简体"/>
                <w:bCs/>
                <w:iCs/>
                <w:lang w:eastAsia="zh-CN"/>
              </w:rPr>
              <w:t>1.00%</w:t>
            </w:r>
          </w:p>
        </w:tc>
      </w:tr>
      <w:tr w14:paraId="2054DAFE" w14:textId="77777777">
        <w:tblPrEx>
          <w:tblW w:w="6662" w:type="dxa"/>
          <w:tblInd w:w="704" w:type="dxa"/>
          <w:tblLayout w:type="fixed"/>
          <w:tblLook w:val="04A0"/>
        </w:tblPrEx>
        <w:trPr>
          <w:trHeight w:val="360"/>
        </w:trPr>
        <w:tc>
          <w:tcPr>
            <w:tcW w:w="3450" w:type="dxa"/>
          </w:tcPr>
          <w:p w:rsidR="00D50D9C" w14:paraId="1E194EBF"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30-179</w:t>
            </w:r>
          </w:p>
        </w:tc>
        <w:tc>
          <w:tcPr>
            <w:tcW w:w="3212" w:type="dxa"/>
          </w:tcPr>
          <w:p w:rsidR="00D50D9C" w14:paraId="4BEEB9A5"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14:paraId="32F988C8" w14:textId="77777777">
        <w:tblPrEx>
          <w:tblW w:w="6662" w:type="dxa"/>
          <w:tblInd w:w="704" w:type="dxa"/>
          <w:tblLayout w:type="fixed"/>
          <w:tblLook w:val="04A0"/>
        </w:tblPrEx>
        <w:trPr>
          <w:trHeight w:val="360"/>
        </w:trPr>
        <w:tc>
          <w:tcPr>
            <w:tcW w:w="3450" w:type="dxa"/>
          </w:tcPr>
          <w:p w:rsidR="00D50D9C" w14:paraId="7261F2E6"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180及以上</w:t>
            </w:r>
          </w:p>
        </w:tc>
        <w:tc>
          <w:tcPr>
            <w:tcW w:w="3212" w:type="dxa"/>
          </w:tcPr>
          <w:p w:rsidR="00D50D9C" w14:paraId="32B05D56"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D50D9C" w14:paraId="2A0120A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投资者可将其持有的全部或部分</w:t>
      </w:r>
      <w:r w:rsidRPr="00830716" w:rsidR="00830716">
        <w:rPr>
          <w:rFonts w:ascii="宋体" w:hAnsi="宋体" w:hint="eastAsia"/>
          <w:szCs w:val="21"/>
          <w:lang w:eastAsia="zh-CN"/>
        </w:rPr>
        <w:t>A类/C类</w:t>
      </w:r>
      <w:r>
        <w:rPr>
          <w:rFonts w:ascii="宋体" w:eastAsia="宋体" w:hAnsi="宋体" w:cs="宋体" w:hint="eastAsia"/>
          <w:szCs w:val="21"/>
          <w:highlight w:val="white"/>
          <w:lang w:eastAsia="zh-CN"/>
        </w:rPr>
        <w:t>基金份额赎回。</w:t>
      </w:r>
      <w:r>
        <w:rPr>
          <w:rFonts w:ascii="宋体" w:eastAsia="宋体" w:hAnsi="宋体" w:cs="宋体"/>
          <w:szCs w:val="21"/>
          <w:highlight w:val="white"/>
          <w:lang w:eastAsia="zh-CN"/>
        </w:rPr>
        <w:t>赎回费用由赎回基金份额的基金份额持有人承担，</w:t>
      </w:r>
      <w:r>
        <w:rPr>
          <w:rFonts w:ascii="宋体" w:eastAsia="宋体" w:hAnsi="宋体" w:cs="宋体" w:hint="eastAsia"/>
          <w:szCs w:val="21"/>
          <w:highlight w:val="white"/>
          <w:lang w:eastAsia="zh-CN"/>
        </w:rPr>
        <w:t>在基金份额持有人赎回基金份额时收取</w:t>
      </w:r>
      <w:r w:rsidRPr="00830716" w:rsidR="00830716">
        <w:rPr>
          <w:rFonts w:ascii="宋体" w:eastAsia="宋体" w:hAnsi="宋体" w:cs="宋体" w:hint="eastAsia"/>
          <w:szCs w:val="21"/>
          <w:lang w:eastAsia="zh-CN"/>
        </w:rPr>
        <w:t>，赎回费用全额计入基金财产</w:t>
      </w:r>
      <w:r>
        <w:rPr>
          <w:rFonts w:ascii="宋体" w:eastAsia="宋体" w:hAnsi="宋体" w:cs="宋体" w:hint="eastAsia"/>
          <w:szCs w:val="21"/>
          <w:highlight w:val="white"/>
          <w:lang w:eastAsia="zh-CN"/>
        </w:rPr>
        <w:t>。</w:t>
      </w:r>
    </w:p>
    <w:p w:rsidR="00D50D9C" w14:paraId="1607B718" w14:textId="77777777">
      <w:pPr>
        <w:spacing w:line="360" w:lineRule="auto"/>
        <w:ind w:firstLine="420"/>
        <w:rPr>
          <w:rFonts w:ascii="宋体" w:hAnsi="宋体"/>
          <w:lang w:eastAsia="zh-CN"/>
        </w:rPr>
      </w:pP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D50D9C" w14:paraId="4107E205" w14:textId="77777777">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D50D9C" w14:paraId="6676AC8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D50D9C" w14:paraId="71C5F1F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八、申购和赎回的数额和价格</w:t>
      </w:r>
      <w:bookmarkEnd w:id="1813"/>
    </w:p>
    <w:p w:rsidR="00D50D9C" w14:paraId="51E1582B"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D50D9C" w14:paraId="4D003AC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D50D9C" w14:paraId="1CDB668B" w14:textId="77777777">
      <w:pPr>
        <w:spacing w:line="360" w:lineRule="auto"/>
        <w:ind w:firstLine="420"/>
        <w:rPr>
          <w:lang w:eastAsia="zh-CN"/>
        </w:rPr>
      </w:pPr>
      <w:r>
        <w:rPr>
          <w:rFonts w:ascii="宋体" w:eastAsia="宋体" w:hAnsi="宋体" w:cs="宋体"/>
          <w:color w:val="000000"/>
          <w:highlight w:val="white"/>
          <w:lang w:eastAsia="zh-CN"/>
        </w:rPr>
        <w:t>（2）赎回金额的处理方式：赎回金额为按实际确认的有效赎回份额乘以申请当日该类基金份额的基金份额净值为基准并扣除相应的费用，</w:t>
      </w:r>
      <w:r>
        <w:rPr>
          <w:rFonts w:ascii="宋体" w:eastAsia="宋体" w:hAnsi="宋体" w:cs="宋体"/>
          <w:color w:val="000000"/>
          <w:highlight w:val="white"/>
          <w:lang w:eastAsia="zh-CN"/>
        </w:rPr>
        <w:t>加上</w:t>
      </w:r>
      <w:r w:rsidR="00830716">
        <w:rPr>
          <w:rFonts w:ascii="宋体" w:eastAsia="宋体" w:hAnsi="宋体" w:cs="宋体"/>
          <w:color w:val="000000"/>
          <w:highlight w:val="white"/>
          <w:lang w:eastAsia="zh-CN"/>
        </w:rPr>
        <w:t>返还</w:t>
      </w:r>
      <w:r>
        <w:rPr>
          <w:rFonts w:ascii="宋体" w:eastAsia="宋体" w:hAnsi="宋体" w:cs="宋体"/>
          <w:color w:val="000000"/>
          <w:highlight w:val="white"/>
          <w:lang w:eastAsia="zh-CN"/>
        </w:rPr>
        <w:t>的或有管理费（如有）</w:t>
      </w:r>
      <w:r w:rsidR="00830716">
        <w:rPr>
          <w:rFonts w:ascii="宋体" w:eastAsia="宋体" w:hAnsi="宋体" w:cs="宋体" w:hint="eastAsia"/>
          <w:color w:val="000000"/>
          <w:highlight w:val="white"/>
          <w:lang w:eastAsia="zh-CN"/>
        </w:rPr>
        <w:t>，</w:t>
      </w:r>
      <w:r>
        <w:rPr>
          <w:rFonts w:ascii="宋体" w:eastAsia="宋体" w:hAnsi="宋体" w:cs="宋体"/>
          <w:color w:val="000000"/>
          <w:highlight w:val="white"/>
          <w:lang w:eastAsia="zh-CN"/>
        </w:rPr>
        <w:t>扣除超额管理费（如有），</w:t>
      </w:r>
      <w:r w:rsidRPr="00830716" w:rsidR="00830716">
        <w:rPr>
          <w:rFonts w:ascii="宋体" w:eastAsia="宋体" w:hAnsi="宋体" w:cs="宋体" w:hint="eastAsia"/>
          <w:color w:val="000000"/>
          <w:lang w:eastAsia="zh-CN"/>
        </w:rPr>
        <w:t>再加上返还的销售服务费（如有）</w:t>
      </w:r>
      <w:r w:rsidR="00830716">
        <w:rPr>
          <w:rFonts w:ascii="宋体" w:eastAsia="宋体" w:hAnsi="宋体" w:cs="宋体" w:hint="eastAsia"/>
          <w:color w:val="000000"/>
          <w:lang w:eastAsia="zh-CN"/>
        </w:rPr>
        <w:t>，</w:t>
      </w:r>
      <w:r>
        <w:rPr>
          <w:rFonts w:ascii="宋体" w:eastAsia="宋体" w:hAnsi="宋体" w:cs="宋体"/>
          <w:color w:val="000000"/>
          <w:highlight w:val="white"/>
          <w:lang w:eastAsia="zh-CN"/>
        </w:rPr>
        <w:t>赎回金额的单位为人民币元，上述计算结果均保留到小数点后两位，小数点后两位以后的部分四舍五入，由此产生的误差计入基金财产。</w:t>
      </w:r>
    </w:p>
    <w:p w:rsidR="00D50D9C" w14:paraId="27F9A735" w14:textId="77777777">
      <w:pPr>
        <w:spacing w:line="360" w:lineRule="auto"/>
        <w:ind w:firstLine="420"/>
        <w:rPr>
          <w:rFonts w:ascii="宋体" w:hAnsi="宋体"/>
          <w:szCs w:val="21"/>
          <w:lang w:eastAsia="zh-CN"/>
        </w:rPr>
      </w:pPr>
      <w:bookmarkStart w:id="1814" w:name="_Toc332373508"/>
      <w:r>
        <w:rPr>
          <w:rFonts w:ascii="宋体" w:hAnsi="宋体"/>
          <w:szCs w:val="21"/>
          <w:highlight w:val="white"/>
          <w:lang w:eastAsia="zh-CN"/>
        </w:rPr>
        <w:t>2</w:t>
      </w:r>
      <w:r>
        <w:rPr>
          <w:rFonts w:ascii="宋体" w:eastAsia="宋体" w:hAnsi="宋体" w:cs="宋体"/>
          <w:szCs w:val="21"/>
          <w:highlight w:val="white"/>
          <w:lang w:eastAsia="zh-CN"/>
        </w:rPr>
        <w:t>、申购份额的计算</w:t>
      </w:r>
      <w:bookmarkEnd w:id="1814"/>
      <w:r>
        <w:rPr>
          <w:rFonts w:ascii="宋体" w:hAnsi="宋体"/>
          <w:szCs w:val="21"/>
          <w:highlight w:val="white"/>
          <w:lang w:eastAsia="zh-CN"/>
        </w:rPr>
        <w:t xml:space="preserve"> </w:t>
      </w:r>
    </w:p>
    <w:p w:rsidR="00D50D9C" w14:paraId="2F906563" w14:textId="77777777">
      <w:pPr>
        <w:spacing w:line="360" w:lineRule="auto"/>
        <w:ind w:firstLine="420"/>
        <w:rPr>
          <w:rFonts w:ascii="宋体" w:hAnsi="宋体"/>
          <w:szCs w:val="21"/>
          <w:lang w:eastAsia="zh-CN"/>
        </w:rPr>
      </w:pPr>
      <w:bookmarkStart w:id="1815" w:name="_Toc332373509"/>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）若投资人</w:t>
      </w:r>
      <w:r w:rsidRPr="00830716" w:rsidR="00830716">
        <w:rPr>
          <w:rFonts w:ascii="宋体" w:eastAsia="宋体" w:hAnsi="宋体" w:cs="宋体" w:hint="eastAsia"/>
          <w:szCs w:val="21"/>
          <w:lang w:eastAsia="zh-CN"/>
        </w:rPr>
        <w:t>通过除基金管理人及其基金销售子公司以外的销售机构申购</w:t>
      </w:r>
      <w:r>
        <w:rPr>
          <w:rFonts w:ascii="宋体" w:hAnsi="宋体"/>
          <w:szCs w:val="21"/>
          <w:highlight w:val="white"/>
          <w:lang w:eastAsia="zh-CN"/>
        </w:rPr>
        <w:t>A</w:t>
      </w:r>
      <w:r>
        <w:rPr>
          <w:rFonts w:ascii="宋体" w:eastAsia="宋体" w:hAnsi="宋体" w:cs="宋体"/>
          <w:szCs w:val="21"/>
          <w:highlight w:val="white"/>
          <w:lang w:eastAsia="zh-CN"/>
        </w:rPr>
        <w:t>类基金份额，则申购份额的计算公式如下：</w:t>
      </w:r>
    </w:p>
    <w:p w:rsidR="00D50D9C" w14:paraId="518E453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净申购金额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申购费率）</w:t>
      </w:r>
      <w:r>
        <w:rPr>
          <w:rFonts w:ascii="宋体" w:hAnsi="宋体"/>
          <w:szCs w:val="21"/>
          <w:highlight w:val="white"/>
          <w:lang w:eastAsia="zh-CN"/>
        </w:rPr>
        <w:t xml:space="preserve"> </w:t>
      </w:r>
    </w:p>
    <w:p w:rsidR="00D50D9C" w14:paraId="5A02C01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（注：对于</w:t>
      </w:r>
      <w:r>
        <w:rPr>
          <w:rFonts w:ascii="宋体" w:hAnsi="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D50D9C" w14:paraId="36906CD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申购费用</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xml:space="preserve"> </w:t>
      </w:r>
    </w:p>
    <w:p w:rsidR="00D50D9C" w14:paraId="5DACC50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A</w:t>
      </w:r>
      <w:r>
        <w:rPr>
          <w:rFonts w:ascii="宋体" w:eastAsia="宋体" w:hAnsi="宋体" w:cs="宋体"/>
          <w:szCs w:val="21"/>
          <w:highlight w:val="white"/>
          <w:lang w:eastAsia="zh-CN"/>
        </w:rPr>
        <w:t>类基金份额的基金份额净值</w:t>
      </w:r>
    </w:p>
    <w:p w:rsidR="00D50D9C" w:rsidP="004C5BAE" w14:paraId="6E5A003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w:t>
      </w:r>
      <w:r>
        <w:rPr>
          <w:rFonts w:ascii="宋体" w:eastAsia="宋体" w:hAnsi="宋体" w:cs="宋体" w:hint="eastAsia"/>
          <w:szCs w:val="21"/>
          <w:highlight w:val="white"/>
          <w:lang w:eastAsia="zh-CN"/>
        </w:rPr>
        <w:t>某投资人</w:t>
      </w:r>
      <w:r w:rsidRPr="00534B65" w:rsidR="00534B65">
        <w:rPr>
          <w:rFonts w:ascii="宋体" w:eastAsia="宋体" w:hAnsi="宋体" w:cs="宋体" w:hint="eastAsia"/>
          <w:szCs w:val="21"/>
          <w:lang w:eastAsia="zh-CN"/>
        </w:rPr>
        <w:t>通过除基金管理人及其基金销售子公司以外的销售机构申购</w:t>
      </w:r>
      <w:r>
        <w:rPr>
          <w:rFonts w:ascii="宋体" w:hAnsi="宋体"/>
          <w:szCs w:val="21"/>
          <w:highlight w:val="white"/>
          <w:lang w:eastAsia="zh-CN"/>
        </w:rPr>
        <w:t>100,000</w:t>
      </w:r>
      <w:r>
        <w:rPr>
          <w:rFonts w:ascii="宋体" w:eastAsia="宋体" w:hAnsi="宋体" w:cs="宋体" w:hint="eastAsia"/>
          <w:szCs w:val="21"/>
          <w:highlight w:val="white"/>
          <w:lang w:eastAsia="zh-CN"/>
        </w:rPr>
        <w:t>元</w:t>
      </w:r>
      <w:r>
        <w:rPr>
          <w:rFonts w:ascii="宋体" w:eastAsia="宋体" w:hAnsi="宋体" w:cs="宋体" w:hint="eastAsia"/>
          <w:szCs w:val="21"/>
          <w:highlight w:val="white"/>
          <w:lang w:eastAsia="zh-CN"/>
        </w:rPr>
        <w:t>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类基金份额，申购费率为</w:t>
      </w:r>
      <w:r w:rsidR="004C5BAE">
        <w:rPr>
          <w:rFonts w:ascii="宋体" w:hAnsi="宋体"/>
          <w:szCs w:val="21"/>
          <w:highlight w:val="white"/>
          <w:lang w:eastAsia="zh-CN"/>
        </w:rPr>
        <w:t>0</w:t>
      </w:r>
      <w:r>
        <w:rPr>
          <w:rFonts w:ascii="宋体" w:hAnsi="宋体"/>
          <w:szCs w:val="21"/>
          <w:highlight w:val="white"/>
          <w:lang w:eastAsia="zh-CN"/>
        </w:rPr>
        <w:t>.</w:t>
      </w:r>
      <w:r w:rsidR="004C5BAE">
        <w:rPr>
          <w:rFonts w:ascii="宋体" w:hAnsi="宋体"/>
          <w:szCs w:val="21"/>
          <w:highlight w:val="white"/>
          <w:lang w:eastAsia="zh-CN"/>
        </w:rPr>
        <w:t>80</w:t>
      </w:r>
      <w:r>
        <w:rPr>
          <w:rFonts w:ascii="宋体" w:hAnsi="宋体"/>
          <w:szCs w:val="21"/>
          <w:highlight w:val="white"/>
          <w:lang w:eastAsia="zh-CN"/>
        </w:rPr>
        <w:t>%</w:t>
      </w:r>
      <w:r>
        <w:rPr>
          <w:rFonts w:ascii="宋体" w:eastAsia="宋体" w:hAnsi="宋体" w:cs="宋体" w:hint="eastAsia"/>
          <w:szCs w:val="21"/>
          <w:highlight w:val="white"/>
          <w:lang w:eastAsia="zh-CN"/>
        </w:rPr>
        <w:t>，假设申购当日</w:t>
      </w:r>
      <w:r>
        <w:rPr>
          <w:rFonts w:ascii="宋体" w:hAnsi="宋体"/>
          <w:szCs w:val="21"/>
          <w:highlight w:val="white"/>
          <w:lang w:eastAsia="zh-CN"/>
        </w:rPr>
        <w:t>A</w:t>
      </w:r>
      <w:r>
        <w:rPr>
          <w:rFonts w:ascii="宋体" w:eastAsia="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eastAsia="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534B65" w:rsidRPr="00534B65" w:rsidP="00534B65" w14:paraId="0DC86434" w14:textId="77777777">
      <w:pPr>
        <w:spacing w:line="360" w:lineRule="auto"/>
        <w:ind w:firstLine="420"/>
        <w:rPr>
          <w:rFonts w:ascii="宋体" w:eastAsia="宋体" w:hAnsi="宋体" w:cs="宋体"/>
          <w:szCs w:val="21"/>
          <w:lang w:eastAsia="zh-CN"/>
        </w:rPr>
      </w:pPr>
      <w:r w:rsidRPr="00534B65">
        <w:rPr>
          <w:rFonts w:ascii="宋体" w:eastAsia="宋体" w:hAnsi="宋体" w:cs="宋体" w:hint="eastAsia"/>
          <w:szCs w:val="21"/>
          <w:lang w:eastAsia="zh-CN"/>
        </w:rPr>
        <w:t xml:space="preserve">净申购金额=100,000/（1+0.80%）=99,206.35元 </w:t>
      </w:r>
    </w:p>
    <w:p w:rsidR="00534B65" w:rsidRPr="00534B65" w:rsidP="00534B65" w14:paraId="5BB8E758" w14:textId="77777777">
      <w:pPr>
        <w:spacing w:line="360" w:lineRule="auto"/>
        <w:ind w:firstLine="420"/>
        <w:rPr>
          <w:rFonts w:ascii="宋体" w:eastAsia="宋体" w:hAnsi="宋体" w:cs="宋体"/>
          <w:szCs w:val="21"/>
          <w:lang w:eastAsia="zh-CN"/>
        </w:rPr>
      </w:pPr>
      <w:r w:rsidRPr="00534B65">
        <w:rPr>
          <w:rFonts w:ascii="宋体" w:eastAsia="宋体" w:hAnsi="宋体" w:cs="宋体" w:hint="eastAsia"/>
          <w:szCs w:val="21"/>
          <w:lang w:eastAsia="zh-CN"/>
        </w:rPr>
        <w:t xml:space="preserve">申购费用=100,000-99,206.35=793.65元 </w:t>
      </w:r>
    </w:p>
    <w:p w:rsidR="00D50D9C" w14:paraId="6C148035" w14:textId="77777777">
      <w:pPr>
        <w:spacing w:line="360" w:lineRule="auto"/>
        <w:ind w:firstLine="420"/>
        <w:rPr>
          <w:rFonts w:ascii="宋体" w:hAnsi="宋体"/>
          <w:szCs w:val="21"/>
          <w:lang w:eastAsia="zh-CN"/>
        </w:rPr>
      </w:pPr>
      <w:r w:rsidRPr="00534B65">
        <w:rPr>
          <w:rFonts w:ascii="宋体" w:eastAsia="宋体" w:hAnsi="宋体" w:cs="宋体" w:hint="eastAsia"/>
          <w:szCs w:val="21"/>
          <w:lang w:eastAsia="zh-CN"/>
        </w:rPr>
        <w:t>申购份额=99,206.35/1.0400=95,390.72份</w:t>
      </w:r>
    </w:p>
    <w:p w:rsidR="00D50D9C" w14:paraId="69876EC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）若投资人选择</w:t>
      </w:r>
      <w:r w:rsidRPr="00534B65" w:rsidR="00534B65">
        <w:rPr>
          <w:rFonts w:ascii="宋体" w:hAnsi="宋体" w:hint="eastAsia"/>
          <w:szCs w:val="21"/>
          <w:lang w:eastAsia="zh-CN"/>
        </w:rPr>
        <w:t>申购本基金C类基金份额，或者通过基金管理人或其基金销售子公司申购本基金A类基金份额</w:t>
      </w:r>
      <w:r>
        <w:rPr>
          <w:rFonts w:ascii="宋体" w:eastAsia="宋体" w:hAnsi="宋体" w:cs="宋体"/>
          <w:szCs w:val="21"/>
          <w:highlight w:val="white"/>
          <w:lang w:eastAsia="zh-CN"/>
        </w:rPr>
        <w:t>，则申购份额的计算公式如下：</w:t>
      </w:r>
    </w:p>
    <w:p w:rsidR="00534B65" w:rsidP="00534B65" w14:paraId="0BB0EBE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 T</w:t>
      </w:r>
      <w:r>
        <w:rPr>
          <w:rFonts w:ascii="宋体" w:eastAsia="宋体" w:hAnsi="宋体" w:cs="宋体"/>
          <w:szCs w:val="21"/>
          <w:highlight w:val="white"/>
          <w:lang w:eastAsia="zh-CN"/>
        </w:rPr>
        <w:t>日对应份额类别</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w:t>
      </w:r>
      <w:r>
        <w:rPr>
          <w:rFonts w:ascii="宋体" w:hAnsi="宋体"/>
          <w:szCs w:val="21"/>
          <w:highlight w:val="white"/>
          <w:lang w:eastAsia="zh-CN"/>
        </w:rPr>
        <w:t xml:space="preserve"> </w:t>
      </w:r>
    </w:p>
    <w:p w:rsidR="00D50D9C" w14:paraId="2D6FFD7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sidR="00534B65">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sidR="00534B65">
        <w:rPr>
          <w:rFonts w:ascii="宋体" w:eastAsia="宋体" w:hAnsi="宋体" w:cs="宋体" w:hint="eastAsia"/>
          <w:szCs w:val="21"/>
          <w:highlight w:val="white"/>
          <w:lang w:eastAsia="zh-CN"/>
        </w:rPr>
        <w:t>申购</w:t>
      </w:r>
      <w:r>
        <w:rPr>
          <w:rFonts w:ascii="宋体" w:hAnsi="宋体"/>
          <w:szCs w:val="21"/>
          <w:highlight w:val="white"/>
          <w:lang w:eastAsia="zh-CN"/>
        </w:rPr>
        <w:t>100,000</w:t>
      </w:r>
      <w:r>
        <w:rPr>
          <w:rFonts w:ascii="宋体" w:eastAsia="宋体" w:hAnsi="宋体" w:cs="宋体"/>
          <w:szCs w:val="21"/>
          <w:highlight w:val="white"/>
          <w:lang w:eastAsia="zh-CN"/>
        </w:rPr>
        <w:t>元</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类基金份额，假设申购当日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的基金</w:t>
      </w:r>
      <w:r>
        <w:rPr>
          <w:rFonts w:ascii="宋体" w:eastAsia="宋体" w:hAnsi="宋体" w:cs="宋体"/>
          <w:szCs w:val="21"/>
          <w:highlight w:val="white"/>
          <w:lang w:eastAsia="zh-CN"/>
        </w:rPr>
        <w:t>份额净值为</w:t>
      </w:r>
      <w:r>
        <w:rPr>
          <w:rFonts w:ascii="宋体" w:hAnsi="宋体"/>
          <w:szCs w:val="21"/>
          <w:highlight w:val="white"/>
          <w:lang w:eastAsia="zh-CN"/>
        </w:rPr>
        <w:t>1.0400</w:t>
      </w:r>
      <w:r>
        <w:rPr>
          <w:rFonts w:ascii="宋体" w:eastAsia="宋体" w:hAnsi="宋体" w:cs="宋体"/>
          <w:szCs w:val="21"/>
          <w:highlight w:val="white"/>
          <w:lang w:eastAsia="zh-CN"/>
        </w:rPr>
        <w:t>元，则其可得到的申购份额为：</w:t>
      </w:r>
      <w:r>
        <w:rPr>
          <w:rFonts w:ascii="宋体" w:hAnsi="宋体"/>
          <w:szCs w:val="21"/>
          <w:highlight w:val="white"/>
          <w:lang w:eastAsia="zh-CN"/>
        </w:rPr>
        <w:t xml:space="preserve"> </w:t>
      </w:r>
    </w:p>
    <w:p w:rsidR="00D50D9C" w14:paraId="3C5C092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=100,000/1.0400=96,153.85</w:t>
      </w:r>
      <w:r>
        <w:rPr>
          <w:rFonts w:ascii="宋体" w:eastAsia="宋体" w:hAnsi="宋体" w:cs="宋体"/>
          <w:szCs w:val="21"/>
          <w:highlight w:val="white"/>
          <w:lang w:eastAsia="zh-CN"/>
        </w:rPr>
        <w:t>份</w:t>
      </w:r>
    </w:p>
    <w:p w:rsidR="00D50D9C" w14:paraId="31D7590F"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、赎回金额的计算</w:t>
      </w:r>
      <w:r>
        <w:rPr>
          <w:rFonts w:ascii="宋体" w:hAnsi="宋体"/>
          <w:szCs w:val="21"/>
          <w:highlight w:val="white"/>
          <w:lang w:eastAsia="zh-CN"/>
        </w:rPr>
        <w:t xml:space="preserve"> </w:t>
      </w:r>
    </w:p>
    <w:p w:rsidR="00D50D9C" w14:paraId="2D806A05" w14:textId="77777777">
      <w:pPr>
        <w:spacing w:line="360" w:lineRule="auto"/>
        <w:ind w:firstLine="420"/>
        <w:rPr>
          <w:lang w:eastAsia="zh-CN"/>
        </w:rPr>
      </w:pPr>
      <w:r>
        <w:rPr>
          <w:rFonts w:ascii="宋体" w:eastAsia="宋体" w:hAnsi="宋体" w:cs="宋体"/>
          <w:color w:val="000000"/>
          <w:highlight w:val="white"/>
          <w:lang w:eastAsia="zh-CN"/>
        </w:rPr>
        <w:t>赎回金额的计算方法如下：</w:t>
      </w:r>
    </w:p>
    <w:p w:rsidR="00D50D9C" w14:paraId="327005ED" w14:textId="77777777">
      <w:pPr>
        <w:spacing w:line="360" w:lineRule="auto"/>
        <w:ind w:firstLine="420"/>
        <w:rPr>
          <w:lang w:eastAsia="zh-CN"/>
        </w:rPr>
      </w:pPr>
      <w:r>
        <w:rPr>
          <w:rFonts w:ascii="宋体" w:eastAsia="宋体" w:hAnsi="宋体" w:cs="宋体"/>
          <w:color w:val="000000"/>
          <w:highlight w:val="white"/>
          <w:lang w:eastAsia="zh-CN"/>
        </w:rPr>
        <w:t xml:space="preserve">赎回费用=赎回份额×T日该类份额的基金份额净值×该类份额的赎回费率 </w:t>
      </w:r>
    </w:p>
    <w:p w:rsidR="00D50D9C" w14:paraId="0EA03336" w14:textId="77777777">
      <w:pPr>
        <w:spacing w:line="360" w:lineRule="auto"/>
        <w:ind w:firstLine="420"/>
        <w:rPr>
          <w:lang w:eastAsia="zh-CN"/>
        </w:rPr>
      </w:pPr>
      <w:r>
        <w:rPr>
          <w:rFonts w:ascii="宋体" w:eastAsia="宋体" w:hAnsi="宋体" w:cs="宋体"/>
          <w:color w:val="000000"/>
          <w:highlight w:val="white"/>
          <w:lang w:eastAsia="zh-CN"/>
        </w:rPr>
        <w:t>赎回金额=赎回份额×T日该类份额的基金份额净值-赎回费用+返还投资者的或有管理费（如有）-超额管理费（如有）</w:t>
      </w:r>
      <w:r w:rsidRPr="00534B65" w:rsidR="00534B65">
        <w:rPr>
          <w:rFonts w:ascii="宋体" w:eastAsia="宋体" w:hAnsi="宋体" w:cs="宋体" w:hint="eastAsia"/>
          <w:color w:val="000000"/>
          <w:lang w:eastAsia="zh-CN"/>
        </w:rPr>
        <w:t>+返还投资者的销售服务费（如有）</w:t>
      </w:r>
    </w:p>
    <w:p w:rsidR="00D50D9C" w14:paraId="32D9577D" w14:textId="77777777">
      <w:pPr>
        <w:spacing w:line="360" w:lineRule="auto"/>
        <w:ind w:firstLine="420"/>
        <w:rPr>
          <w:lang w:eastAsia="zh-CN"/>
        </w:rPr>
      </w:pPr>
      <w:r>
        <w:rPr>
          <w:rFonts w:ascii="宋体" w:eastAsia="宋体" w:hAnsi="宋体" w:cs="宋体"/>
          <w:color w:val="000000"/>
          <w:highlight w:val="white"/>
          <w:lang w:eastAsia="zh-CN"/>
        </w:rPr>
        <w:t>该笔赎回是否涉及返还或有管理费</w:t>
      </w:r>
      <w:r w:rsidR="00534B65">
        <w:rPr>
          <w:rFonts w:ascii="宋体" w:eastAsia="宋体" w:hAnsi="宋体" w:cs="宋体"/>
          <w:color w:val="000000"/>
          <w:highlight w:val="white"/>
          <w:lang w:eastAsia="zh-CN"/>
        </w:rPr>
        <w:t>、</w:t>
      </w:r>
      <w:r>
        <w:rPr>
          <w:rFonts w:ascii="宋体" w:eastAsia="宋体" w:hAnsi="宋体" w:cs="宋体"/>
          <w:color w:val="000000"/>
          <w:highlight w:val="white"/>
          <w:lang w:eastAsia="zh-CN"/>
        </w:rPr>
        <w:t>扣除超额管理费</w:t>
      </w:r>
      <w:r w:rsidR="00534B65">
        <w:rPr>
          <w:rFonts w:ascii="宋体" w:eastAsia="宋体" w:hAnsi="宋体" w:cs="宋体"/>
          <w:color w:val="000000"/>
          <w:highlight w:val="white"/>
          <w:lang w:eastAsia="zh-CN"/>
        </w:rPr>
        <w:t>或</w:t>
      </w:r>
      <w:r w:rsidRPr="00534B65" w:rsidR="00534B65">
        <w:rPr>
          <w:rFonts w:ascii="宋体" w:eastAsia="宋体" w:hAnsi="宋体" w:cs="宋体" w:hint="eastAsia"/>
          <w:color w:val="000000"/>
          <w:lang w:eastAsia="zh-CN"/>
        </w:rPr>
        <w:t>返还销售服务费</w:t>
      </w:r>
      <w:r>
        <w:rPr>
          <w:rFonts w:ascii="宋体" w:eastAsia="宋体" w:hAnsi="宋体" w:cs="宋体"/>
          <w:color w:val="000000"/>
          <w:highlight w:val="white"/>
          <w:lang w:eastAsia="zh-CN"/>
        </w:rPr>
        <w:t>的具体条件及计算方法等具体安排详见本招募说明书“基金的费用与税收”部分。</w:t>
      </w:r>
    </w:p>
    <w:p w:rsidR="00D50D9C" w14:paraId="56FE2B14" w14:textId="77777777">
      <w:pPr>
        <w:spacing w:line="360" w:lineRule="auto"/>
        <w:ind w:firstLine="420"/>
        <w:rPr>
          <w:lang w:eastAsia="zh-CN"/>
        </w:rPr>
      </w:pPr>
      <w:r>
        <w:rPr>
          <w:rFonts w:ascii="宋体" w:eastAsia="宋体" w:hAnsi="宋体" w:cs="宋体"/>
          <w:color w:val="000000"/>
          <w:highlight w:val="white"/>
          <w:lang w:eastAsia="zh-CN"/>
        </w:rPr>
        <w:t>例</w:t>
      </w:r>
      <w:r w:rsidR="00534B65">
        <w:rPr>
          <w:rFonts w:ascii="宋体" w:eastAsia="宋体" w:hAnsi="宋体" w:cs="宋体" w:hint="eastAsia"/>
          <w:color w:val="000000"/>
          <w:highlight w:val="white"/>
          <w:lang w:eastAsia="zh-CN"/>
        </w:rPr>
        <w:t>三</w:t>
      </w:r>
      <w:r>
        <w:rPr>
          <w:rFonts w:ascii="宋体" w:eastAsia="宋体" w:hAnsi="宋体" w:cs="宋体"/>
          <w:color w:val="000000"/>
          <w:highlight w:val="white"/>
          <w:lang w:eastAsia="zh-CN"/>
        </w:rPr>
        <w:t>：某投资者在T日赎回10,000份A类基金份额，假设赎回当日A类基金份额净值为1.2500元，持有时间为100天（未满365天），赎回费率为0.50%（即该笔基金份额赎回时持有期不满1年，不符合或有管理费返还给投资者条件，投资者持有该笔基金份额期间计提的或有管理费将确认为基金管理人的管理费，不返还投资者，且此时不满足收取超额管理费的情形），其获得的赎回金额计算如下：</w:t>
      </w:r>
    </w:p>
    <w:p w:rsidR="00D50D9C" w14:paraId="6FC781D8" w14:textId="77777777">
      <w:pPr>
        <w:spacing w:line="360" w:lineRule="auto"/>
        <w:ind w:firstLine="420"/>
        <w:rPr>
          <w:lang w:eastAsia="zh-CN"/>
        </w:rPr>
      </w:pPr>
      <w:r>
        <w:rPr>
          <w:rFonts w:ascii="宋体" w:eastAsia="宋体" w:hAnsi="宋体" w:cs="宋体"/>
          <w:color w:val="000000"/>
          <w:highlight w:val="white"/>
          <w:lang w:eastAsia="zh-CN"/>
        </w:rPr>
        <w:t>赎回费用＝10,000×1.2500×0.50%=62.50元</w:t>
      </w:r>
    </w:p>
    <w:p w:rsidR="00D50D9C" w14:paraId="53CD24AB" w14:textId="77777777">
      <w:pPr>
        <w:spacing w:line="360" w:lineRule="auto"/>
        <w:ind w:firstLine="420"/>
        <w:rPr>
          <w:lang w:eastAsia="zh-CN"/>
        </w:rPr>
      </w:pPr>
      <w:r>
        <w:rPr>
          <w:rFonts w:ascii="宋体" w:eastAsia="宋体" w:hAnsi="宋体" w:cs="宋体"/>
          <w:color w:val="000000"/>
          <w:highlight w:val="white"/>
          <w:lang w:eastAsia="zh-CN"/>
        </w:rPr>
        <w:t>赎回金额=10,000×1.2500-62.50=12,437.50元</w:t>
      </w:r>
    </w:p>
    <w:p w:rsidR="00D50D9C" w14:paraId="00048EDD" w14:textId="77777777">
      <w:pPr>
        <w:spacing w:line="360" w:lineRule="auto"/>
        <w:ind w:firstLine="420"/>
        <w:rPr>
          <w:lang w:eastAsia="zh-CN"/>
        </w:rPr>
      </w:pPr>
      <w:r>
        <w:rPr>
          <w:rFonts w:ascii="宋体" w:eastAsia="宋体" w:hAnsi="宋体" w:cs="宋体"/>
          <w:color w:val="000000"/>
          <w:highlight w:val="white"/>
          <w:lang w:eastAsia="zh-CN"/>
        </w:rPr>
        <w:t>例</w:t>
      </w:r>
      <w:r w:rsidR="00534B65">
        <w:rPr>
          <w:rFonts w:ascii="宋体" w:eastAsia="宋体" w:hAnsi="宋体" w:cs="宋体" w:hint="eastAsia"/>
          <w:color w:val="000000"/>
          <w:highlight w:val="white"/>
          <w:lang w:eastAsia="zh-CN"/>
        </w:rPr>
        <w:t>四</w:t>
      </w:r>
      <w:r>
        <w:rPr>
          <w:rFonts w:ascii="宋体" w:eastAsia="宋体" w:hAnsi="宋体" w:cs="宋体"/>
          <w:color w:val="000000"/>
          <w:highlight w:val="white"/>
          <w:lang w:eastAsia="zh-CN"/>
        </w:rPr>
        <w:t>：某投资者在T日赎回10,000份A类基金份额，假设赎回当日A类基金份额净值为1.2500元，持有时间为366天，赎回费率为0，且假设该笔赎回确认应收取的超额管理费为35.00元（即该笔赎回的基金份额达到超额管理费收取情形，应从赎回款中扣除超额管理费，且此时投资者持有该笔份额期间计提的或有管理费将确认为基金管理人的管理费，不返还投资者），其获得的赎回金额计算如下：</w:t>
      </w:r>
    </w:p>
    <w:p w:rsidR="00D50D9C" w14:paraId="49E9667D" w14:textId="77777777">
      <w:pPr>
        <w:spacing w:line="360" w:lineRule="auto"/>
        <w:ind w:firstLine="420"/>
        <w:rPr>
          <w:lang w:eastAsia="zh-CN"/>
        </w:rPr>
      </w:pPr>
      <w:r>
        <w:rPr>
          <w:rFonts w:ascii="宋体" w:eastAsia="宋体" w:hAnsi="宋体" w:cs="宋体"/>
          <w:color w:val="000000"/>
          <w:highlight w:val="white"/>
          <w:lang w:eastAsia="zh-CN"/>
        </w:rPr>
        <w:t>赎回费用＝0元</w:t>
      </w:r>
    </w:p>
    <w:p w:rsidR="00D50D9C" w14:paraId="1A0D97B7" w14:textId="77777777">
      <w:pPr>
        <w:spacing w:line="360" w:lineRule="auto"/>
        <w:ind w:firstLine="420"/>
        <w:rPr>
          <w:lang w:eastAsia="zh-CN"/>
        </w:rPr>
      </w:pPr>
      <w:r>
        <w:rPr>
          <w:rFonts w:ascii="宋体" w:eastAsia="宋体" w:hAnsi="宋体" w:cs="宋体"/>
          <w:color w:val="000000"/>
          <w:highlight w:val="white"/>
          <w:lang w:eastAsia="zh-CN"/>
        </w:rPr>
        <w:t>赎回金额=10,000×1.2500-0-35.00=12,465.00元</w:t>
      </w:r>
    </w:p>
    <w:p w:rsidR="00D50D9C" w14:paraId="168201B4" w14:textId="77777777">
      <w:pPr>
        <w:spacing w:line="360" w:lineRule="auto"/>
        <w:ind w:firstLine="420"/>
        <w:rPr>
          <w:lang w:eastAsia="zh-CN"/>
        </w:rPr>
      </w:pPr>
      <w:r>
        <w:rPr>
          <w:rFonts w:ascii="宋体" w:eastAsia="宋体" w:hAnsi="宋体" w:cs="宋体"/>
          <w:color w:val="000000"/>
          <w:highlight w:val="white"/>
          <w:lang w:eastAsia="zh-CN"/>
        </w:rPr>
        <w:t>例</w:t>
      </w:r>
      <w:r w:rsidR="00534B65">
        <w:rPr>
          <w:rFonts w:ascii="宋体" w:eastAsia="宋体" w:hAnsi="宋体" w:cs="宋体" w:hint="eastAsia"/>
          <w:color w:val="000000"/>
          <w:highlight w:val="white"/>
          <w:lang w:eastAsia="zh-CN"/>
        </w:rPr>
        <w:t>五</w:t>
      </w:r>
      <w:r>
        <w:rPr>
          <w:rFonts w:ascii="宋体" w:eastAsia="宋体" w:hAnsi="宋体" w:cs="宋体"/>
          <w:color w:val="000000"/>
          <w:highlight w:val="white"/>
          <w:lang w:eastAsia="zh-CN"/>
        </w:rPr>
        <w:t>：某投资者在T日赎回100,000份A类基金份额，假设赎回当日A类基金份额净值为1.1000元，持有时间为730天，赎回费率为0，且假设该笔赎回确认应返还的或有管理费为700.00元（即该笔赎回的基金份额符合管理人实际收取的或有管理费为0的情形，应将持有期内计提的或有管理费全额返还，且此时不满足收取超额管理费的情形），其获得的赎回金额计算如下：</w:t>
      </w:r>
    </w:p>
    <w:p w:rsidR="00D50D9C" w14:paraId="14880F0A" w14:textId="77777777">
      <w:pPr>
        <w:spacing w:line="360" w:lineRule="auto"/>
        <w:ind w:firstLine="420"/>
        <w:rPr>
          <w:lang w:eastAsia="zh-CN"/>
        </w:rPr>
      </w:pPr>
      <w:r>
        <w:rPr>
          <w:rFonts w:ascii="宋体" w:eastAsia="宋体" w:hAnsi="宋体" w:cs="宋体"/>
          <w:color w:val="000000"/>
          <w:highlight w:val="white"/>
          <w:lang w:eastAsia="zh-CN"/>
        </w:rPr>
        <w:t>赎回费用＝0元</w:t>
      </w:r>
    </w:p>
    <w:p w:rsidR="00D50D9C" w14:paraId="42B5B266" w14:textId="77777777">
      <w:pPr>
        <w:spacing w:line="360" w:lineRule="auto"/>
        <w:ind w:firstLine="420"/>
        <w:rPr>
          <w:lang w:eastAsia="zh-CN"/>
        </w:rPr>
      </w:pPr>
      <w:r>
        <w:rPr>
          <w:rFonts w:ascii="宋体" w:eastAsia="宋体" w:hAnsi="宋体" w:cs="宋体"/>
          <w:color w:val="000000"/>
          <w:highlight w:val="white"/>
          <w:lang w:eastAsia="zh-CN"/>
        </w:rPr>
        <w:t>赎回金额=100,000×1.1000-0+700.00=110,700.00元</w:t>
      </w:r>
    </w:p>
    <w:p w:rsidR="00D50D9C" w14:paraId="4F89BCA2"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5"/>
      <w:r>
        <w:rPr>
          <w:rFonts w:ascii="宋体" w:hAnsi="宋体"/>
          <w:szCs w:val="21"/>
          <w:highlight w:val="white"/>
          <w:lang w:eastAsia="zh-CN"/>
        </w:rPr>
        <w:t xml:space="preserve"> </w:t>
      </w:r>
    </w:p>
    <w:p w:rsidR="00D50D9C" w14:paraId="72167AED" w14:textId="77777777">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D50D9C" w14:paraId="6376BB66" w14:textId="77777777">
      <w:pPr>
        <w:spacing w:line="360" w:lineRule="auto"/>
        <w:ind w:firstLine="420"/>
        <w:rPr>
          <w:szCs w:val="21"/>
          <w:lang w:eastAsia="zh-CN"/>
        </w:rPr>
      </w:pPr>
      <w:r>
        <w:rPr>
          <w:rFonts w:ascii="宋体" w:eastAsia="宋体" w:hAnsi="宋体" w:cs="宋体"/>
          <w:szCs w:val="21"/>
          <w:highlight w:val="white"/>
          <w:lang w:eastAsia="zh-CN"/>
        </w:rPr>
        <w:t>本基金各类基金份额净值的计算，均保留到小数点后4位，小数点后第5位四舍五入，由此产生的收益或损失由基金财产承担。遇特殊情况，经履行适当程序，可以适当延迟计算或公告。</w:t>
      </w:r>
    </w:p>
    <w:p w:rsidR="00D50D9C" w14:paraId="5D002812" w14:textId="77777777">
      <w:pPr>
        <w:spacing w:line="360" w:lineRule="auto"/>
        <w:ind w:firstLine="420"/>
        <w:rPr>
          <w:lang w:eastAsia="zh-CN"/>
        </w:rPr>
      </w:pPr>
      <w:r>
        <w:rPr>
          <w:rFonts w:ascii="宋体" w:eastAsia="宋体" w:hAnsi="宋体" w:cs="宋体"/>
          <w:color w:val="000000"/>
          <w:highlight w:val="white"/>
          <w:lang w:eastAsia="zh-CN"/>
        </w:rPr>
        <w:t>本基金在计算基金份额净值时，按前一日基金资产净值的1.20%年费率计算管理费，该费率可能高于或低于不同投资者最终适用的管理费率。</w:t>
      </w:r>
      <w:r w:rsidR="00570A48">
        <w:rPr>
          <w:rFonts w:ascii="宋体" w:eastAsia="宋体" w:hAnsi="宋体" w:cs="宋体" w:hint="eastAsia"/>
          <w:color w:val="000000"/>
          <w:highlight w:val="white"/>
          <w:lang w:eastAsia="zh-CN"/>
        </w:rPr>
        <w:t>C类基金份额在</w:t>
      </w:r>
      <w:r w:rsidR="00570A48">
        <w:rPr>
          <w:rFonts w:ascii="宋体" w:eastAsia="宋体" w:hAnsi="宋体" w:cs="宋体"/>
          <w:color w:val="000000"/>
          <w:highlight w:val="white"/>
          <w:lang w:eastAsia="zh-CN"/>
        </w:rPr>
        <w:t>投资者持有期间计提的销售服务费</w:t>
      </w:r>
      <w:r w:rsidR="00570A48">
        <w:rPr>
          <w:rFonts w:ascii="宋体" w:eastAsia="宋体" w:hAnsi="宋体" w:cs="宋体" w:hint="eastAsia"/>
          <w:color w:val="000000"/>
          <w:highlight w:val="white"/>
          <w:lang w:eastAsia="zh-CN"/>
        </w:rPr>
        <w:t>按规定收取或返还。</w:t>
      </w:r>
      <w:r>
        <w:rPr>
          <w:rFonts w:ascii="宋体" w:eastAsia="宋体" w:hAnsi="宋体" w:cs="宋体"/>
          <w:color w:val="000000"/>
          <w:highlight w:val="white"/>
          <w:lang w:eastAsia="zh-CN"/>
        </w:rPr>
        <w:t>在基金份额赎回时，基金投资者实际收到的赎回款项的金额可能与按披露的基金份额净值计算的结果存在差异。投资者的实际赎回金额以登记机构确认数据为准。</w:t>
      </w:r>
    </w:p>
    <w:p w:rsidR="00D50D9C" w14:paraId="6A0E2995" w14:textId="77777777">
      <w:pPr>
        <w:spacing w:line="360" w:lineRule="auto"/>
        <w:ind w:firstLine="420"/>
        <w:rPr>
          <w:rStyle w:val="da"/>
          <w:rFonts w:ascii="宋体" w:hAnsi="宋体"/>
          <w:szCs w:val="21"/>
          <w:lang w:eastAsia="zh-CN"/>
        </w:rPr>
      </w:pPr>
      <w:bookmarkStart w:id="1816" w:name="_Toc332373510"/>
      <w:r>
        <w:rPr>
          <w:rStyle w:val="da"/>
          <w:rFonts w:ascii="宋体" w:eastAsia="宋体" w:hAnsi="宋体" w:cs="宋体" w:hint="eastAsia"/>
          <w:szCs w:val="21"/>
          <w:highlight w:val="white"/>
          <w:lang w:eastAsia="zh-CN"/>
        </w:rPr>
        <w:t>九、申购和赎回的登记</w:t>
      </w:r>
    </w:p>
    <w:p w:rsidR="00D50D9C" w14:paraId="3C5E1A50" w14:textId="7777777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日为投资者增加权益并办理登记手续，投资人自</w:t>
      </w:r>
      <w:r>
        <w:rPr>
          <w:rStyle w:val="da"/>
          <w:rFonts w:ascii="宋体" w:hAnsi="宋体"/>
          <w:szCs w:val="21"/>
          <w:highlight w:val="white"/>
          <w:lang w:eastAsia="zh-CN"/>
        </w:rPr>
        <w:t>T+2</w:t>
      </w:r>
      <w:r>
        <w:rPr>
          <w:rStyle w:val="da"/>
          <w:rFonts w:ascii="宋体" w:eastAsia="宋体" w:hAnsi="宋体" w:cs="宋体" w:hint="eastAsia"/>
          <w:szCs w:val="21"/>
          <w:highlight w:val="white"/>
          <w:lang w:eastAsia="zh-CN"/>
        </w:rPr>
        <w:t>日起（含该日）有权赎回该部分基金份额。</w:t>
      </w:r>
    </w:p>
    <w:p w:rsidR="00D50D9C" w14:paraId="01243919" w14:textId="7777777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D50D9C" w14:paraId="65AF12E0" w14:textId="7777777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6"/>
    </w:p>
    <w:p w:rsidR="00D50D9C" w14:paraId="08740E52"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D50D9C" w14:paraId="675610C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D50D9C" w14:paraId="6BCF0DA4"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、因不可抗力导致基金无法正常运作。</w:t>
      </w:r>
    </w:p>
    <w:p w:rsidR="00D50D9C" w14:paraId="014B3AE0"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、发生基金合同规定的暂停基金资产估值情况时。</w:t>
      </w:r>
    </w:p>
    <w:p w:rsidR="00D50D9C" w14:paraId="3E1E653D"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、基金进行交易的主要证券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期货交易市场交易时间非正常停市。</w:t>
      </w:r>
    </w:p>
    <w:p w:rsidR="00D50D9C" w14:paraId="2F1EA20A"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、基金管理人认为接受某笔或某些申购申请可能会影响或损害现有基金份额持有人利益时。</w:t>
      </w:r>
    </w:p>
    <w:p w:rsidR="00D50D9C" w14:paraId="453B2682"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、基金资产规模过大，使基金管理人无法找到合适的投资品种，或其他可能对基金业绩产生负面影响，或基金管理人认定的其他损害现有基金份额持有人利益的情形。</w:t>
      </w:r>
    </w:p>
    <w:p w:rsidR="00D50D9C" w14:paraId="09413102"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、基金管理人、基金托管人、登记机构、销售机构、支付结算机构等因异常情况导致基金销售系统、基金销售支付结算系统、基金登记系统、基金会计系统等无法正常运行。</w:t>
      </w:r>
    </w:p>
    <w:p w:rsidR="00D50D9C" w14:paraId="2501BCCC"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、基金管理人接受某笔或者某些申购申请有可能导致单一投资者持有基金份额的比例达到或者超过</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，或者变相规避</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集中度的情形。</w:t>
      </w:r>
    </w:p>
    <w:p w:rsidR="00D50D9C" w14:paraId="4EB491E2"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D50D9C" w14:paraId="004D78A7"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、当前一估值日基金资产净值</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以上的资产出现无可参考的活跃市场价格且采用估值技术仍导致公允价值存在重大不确定性时，经与基金托管人协商确认后，基金管理人应当暂停接受基金申购申请。</w:t>
      </w:r>
    </w:p>
    <w:p w:rsidR="00D50D9C" w14:paraId="371A4136"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D50D9C" w14:paraId="05448459"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、法律法规规定或中国证监会认定的其他情形。</w:t>
      </w:r>
    </w:p>
    <w:p w:rsidR="00D50D9C" w14:paraId="3095F00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D50D9C" w14:paraId="0325D7A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D50D9C" w14:paraId="5DCF8B85"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D50D9C" w14:paraId="7E284355"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、因不可抗力导致基金管理人不能支付赎回款项。</w:t>
      </w:r>
    </w:p>
    <w:p w:rsidR="00D50D9C" w14:paraId="69AC18CD"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、发生基金合同规定的暂停基金资产估值情况时。</w:t>
      </w:r>
    </w:p>
    <w:p w:rsidR="00D50D9C" w14:paraId="0A40534F"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、基金进行交易的主要证券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期货交易市场交易时间非正常停市。</w:t>
      </w:r>
    </w:p>
    <w:p w:rsidR="00D50D9C" w14:paraId="60C8A137"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、连续两个或两个以上开放日发生巨额赎回。</w:t>
      </w:r>
    </w:p>
    <w:p w:rsidR="00D50D9C" w14:paraId="0BDD9892"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、发生继续接受赎回申请将损害现有基金份额持有人利益的情形时，基金管理人可暂停接受基金份额持有人的赎回申请。</w:t>
      </w:r>
    </w:p>
    <w:p w:rsidR="00D50D9C" w14:paraId="4F32C77E"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、当前一估值日基金资产净值</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以上的资产出现无可参考的活跃市场价格且采用估值技术仍导致公允价值存在重大不确定性时，经与基金托管人协商确认后，基金管理人应当延缓支付赎回款项或暂停接受基金赎回申请。</w:t>
      </w:r>
    </w:p>
    <w:p w:rsidR="00D50D9C" w14:paraId="6A1C1E4A"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D50D9C" w14:paraId="53C2DDD7"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、基金管理人、基金托管人、登记机构、销售机构、支付结算机构等因异常情况导致基金销售系统、基金销售支付结算系统、基金登记系统、基金会计系统等无法正常运行。</w:t>
      </w:r>
    </w:p>
    <w:p w:rsidR="00D50D9C" w14:paraId="75C55C97"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、本基金的资产组合中的重要部分发生暂停交易或其他重大事件，继续接受赎回可能会影响或损害基金份额持有人利益时。</w:t>
      </w:r>
    </w:p>
    <w:p w:rsidR="00D50D9C" w14:paraId="2F7E04BE"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、法律法规规定或中国证监会认定的其他情形。</w:t>
      </w:r>
    </w:p>
    <w:p w:rsidR="00D50D9C" w14:paraId="1088B87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D50D9C" w14:paraId="6819F6C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D50D9C" w14:paraId="471D6E63"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szCs w:val="21"/>
          <w:highlight w:val="white"/>
          <w:lang w:eastAsia="zh-CN"/>
        </w:rPr>
        <w:t>、巨额赎回的认定</w:t>
      </w:r>
    </w:p>
    <w:p w:rsidR="00D50D9C" w14:paraId="4F209EFC"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Style w:val="da"/>
          <w:rFonts w:ascii="宋体" w:hAnsi="宋体"/>
          <w:szCs w:val="21"/>
          <w:highlight w:val="white"/>
          <w:lang w:eastAsia="zh-CN"/>
        </w:rPr>
        <w:t>10%</w:t>
      </w:r>
      <w:r>
        <w:rPr>
          <w:rStyle w:val="da"/>
          <w:rFonts w:ascii="宋体" w:eastAsia="宋体" w:hAnsi="宋体" w:cs="宋体"/>
          <w:szCs w:val="21"/>
          <w:highlight w:val="white"/>
          <w:lang w:eastAsia="zh-CN"/>
        </w:rPr>
        <w:t>，即认为是发生了巨额赎回。</w:t>
      </w:r>
    </w:p>
    <w:p w:rsidR="00D50D9C" w14:paraId="31800D47"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2</w:t>
      </w:r>
      <w:r>
        <w:rPr>
          <w:rStyle w:val="da"/>
          <w:rFonts w:ascii="宋体" w:eastAsia="宋体" w:hAnsi="宋体" w:cs="宋体"/>
          <w:szCs w:val="21"/>
          <w:highlight w:val="white"/>
          <w:lang w:eastAsia="zh-CN"/>
        </w:rPr>
        <w:t>、巨额赎回的处理方式</w:t>
      </w:r>
    </w:p>
    <w:p w:rsidR="00D50D9C" w14:paraId="188A2D92"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D50D9C" w14:paraId="0802E62D"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1</w:t>
      </w:r>
      <w:r>
        <w:rPr>
          <w:rStyle w:val="da"/>
          <w:rFonts w:ascii="宋体" w:eastAsia="宋体" w:hAnsi="宋体" w:cs="宋体"/>
          <w:szCs w:val="21"/>
          <w:highlight w:val="white"/>
          <w:lang w:eastAsia="zh-CN"/>
        </w:rPr>
        <w:t>）全额赎回：当基金管理人认为有能力支付投资人的全部赎回申请时，按正常赎回程序执行。</w:t>
      </w:r>
    </w:p>
    <w:p w:rsidR="00D50D9C" w14:paraId="7244FF4C"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2</w:t>
      </w:r>
      <w:r>
        <w:rPr>
          <w:rStyle w:val="da"/>
          <w:rFonts w:ascii="宋体" w:eastAsia="宋体" w:hAnsi="宋体" w:cs="宋体"/>
          <w:szCs w:val="21"/>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Style w:val="da"/>
          <w:rFonts w:ascii="宋体" w:hAnsi="宋体"/>
          <w:szCs w:val="21"/>
          <w:highlight w:val="white"/>
          <w:lang w:eastAsia="zh-CN"/>
        </w:rPr>
        <w:t>10%</w:t>
      </w:r>
      <w:r>
        <w:rPr>
          <w:rStyle w:val="da"/>
          <w:rFonts w:ascii="宋体" w:eastAsia="宋体" w:hAnsi="宋体" w:cs="宋体"/>
          <w:szCs w:val="21"/>
          <w:highlight w:val="white"/>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D50D9C" w14:paraId="5C02F43A"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w:t>
      </w:r>
      <w:r>
        <w:rPr>
          <w:rStyle w:val="da"/>
          <w:rFonts w:ascii="宋体" w:hAnsi="宋体"/>
          <w:szCs w:val="21"/>
          <w:highlight w:val="white"/>
          <w:lang w:eastAsia="zh-CN"/>
        </w:rPr>
        <w:t>10%</w:t>
      </w:r>
      <w:r>
        <w:rPr>
          <w:rStyle w:val="da"/>
          <w:rFonts w:ascii="宋体" w:eastAsia="宋体" w:hAnsi="宋体" w:cs="宋体"/>
          <w:szCs w:val="21"/>
          <w:highlight w:val="white"/>
          <w:lang w:eastAsia="zh-CN"/>
        </w:rPr>
        <w:t>的，基金管理人有权对该单个基金份额持有人超出该比例的赎回申请实施延期办理；对该单个基金份额持有人剩余赎回申请，基金管理人可以根据前款</w:t>
      </w:r>
      <w:r>
        <w:rPr>
          <w:rStyle w:val="da"/>
          <w:rFonts w:ascii="宋体" w:hAnsi="宋体"/>
          <w:szCs w:val="21"/>
          <w:highlight w:val="white"/>
          <w:lang w:eastAsia="zh-CN"/>
        </w:rPr>
        <w:t>“</w:t>
      </w:r>
      <w:r>
        <w:rPr>
          <w:rStyle w:val="da"/>
          <w:rFonts w:ascii="宋体" w:eastAsia="宋体" w:hAnsi="宋体" w:cs="宋体"/>
          <w:szCs w:val="21"/>
          <w:highlight w:val="white"/>
          <w:lang w:eastAsia="zh-CN"/>
        </w:rPr>
        <w:t>（</w:t>
      </w:r>
      <w:r>
        <w:rPr>
          <w:rStyle w:val="da"/>
          <w:rFonts w:ascii="宋体" w:hAnsi="宋体"/>
          <w:szCs w:val="21"/>
          <w:highlight w:val="white"/>
          <w:lang w:eastAsia="zh-CN"/>
        </w:rPr>
        <w:t>1</w:t>
      </w:r>
      <w:r>
        <w:rPr>
          <w:rStyle w:val="da"/>
          <w:rFonts w:ascii="宋体" w:eastAsia="宋体" w:hAnsi="宋体" w:cs="宋体"/>
          <w:szCs w:val="21"/>
          <w:highlight w:val="white"/>
          <w:lang w:eastAsia="zh-CN"/>
        </w:rPr>
        <w:t>）全额赎回</w:t>
      </w:r>
      <w:r>
        <w:rPr>
          <w:rStyle w:val="da"/>
          <w:rFonts w:ascii="宋体" w:hAnsi="宋体"/>
          <w:szCs w:val="21"/>
          <w:highlight w:val="white"/>
          <w:lang w:eastAsia="zh-CN"/>
        </w:rPr>
        <w:t>”</w:t>
      </w:r>
      <w:r>
        <w:rPr>
          <w:rStyle w:val="da"/>
          <w:rFonts w:ascii="宋体" w:eastAsia="宋体" w:hAnsi="宋体" w:cs="宋体"/>
          <w:szCs w:val="21"/>
          <w:highlight w:val="white"/>
          <w:lang w:eastAsia="zh-CN"/>
        </w:rPr>
        <w:t>或</w:t>
      </w:r>
      <w:r>
        <w:rPr>
          <w:rStyle w:val="da"/>
          <w:rFonts w:ascii="宋体" w:hAnsi="宋体"/>
          <w:szCs w:val="21"/>
          <w:highlight w:val="white"/>
          <w:lang w:eastAsia="zh-CN"/>
        </w:rPr>
        <w:t>“</w:t>
      </w:r>
      <w:r>
        <w:rPr>
          <w:rStyle w:val="da"/>
          <w:rFonts w:ascii="宋体" w:eastAsia="宋体" w:hAnsi="宋体" w:cs="宋体"/>
          <w:szCs w:val="21"/>
          <w:highlight w:val="white"/>
          <w:lang w:eastAsia="zh-CN"/>
        </w:rPr>
        <w:t>（</w:t>
      </w:r>
      <w:r>
        <w:rPr>
          <w:rStyle w:val="da"/>
          <w:rFonts w:ascii="宋体" w:hAnsi="宋体"/>
          <w:szCs w:val="21"/>
          <w:highlight w:val="white"/>
          <w:lang w:eastAsia="zh-CN"/>
        </w:rPr>
        <w:t>2</w:t>
      </w:r>
      <w:r>
        <w:rPr>
          <w:rStyle w:val="da"/>
          <w:rFonts w:ascii="宋体" w:eastAsia="宋体" w:hAnsi="宋体" w:cs="宋体"/>
          <w:szCs w:val="21"/>
          <w:highlight w:val="white"/>
          <w:lang w:eastAsia="zh-CN"/>
        </w:rPr>
        <w:t>）部分延期赎回</w:t>
      </w:r>
      <w:r>
        <w:rPr>
          <w:rStyle w:val="da"/>
          <w:rFonts w:ascii="宋体" w:hAnsi="宋体"/>
          <w:szCs w:val="21"/>
          <w:highlight w:val="white"/>
          <w:lang w:eastAsia="zh-CN"/>
        </w:rPr>
        <w:t>”</w:t>
      </w:r>
      <w:r>
        <w:rPr>
          <w:rStyle w:val="da"/>
          <w:rFonts w:ascii="宋体" w:eastAsia="宋体" w:hAnsi="宋体" w:cs="宋体"/>
          <w:szCs w:val="21"/>
          <w:highlight w:val="white"/>
          <w:lang w:eastAsia="zh-CN"/>
        </w:rPr>
        <w:t>约定的方式与其他账户的赎回申请一并办理。</w:t>
      </w:r>
    </w:p>
    <w:p w:rsidR="00D50D9C" w14:paraId="78604B61"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3</w:t>
      </w:r>
      <w:r>
        <w:rPr>
          <w:rStyle w:val="da"/>
          <w:rFonts w:ascii="宋体" w:eastAsia="宋体" w:hAnsi="宋体" w:cs="宋体"/>
          <w:szCs w:val="21"/>
          <w:highlight w:val="white"/>
          <w:lang w:eastAsia="zh-CN"/>
        </w:rPr>
        <w:t>）暂停赎回：连续</w:t>
      </w:r>
      <w:r>
        <w:rPr>
          <w:rStyle w:val="da"/>
          <w:rFonts w:ascii="宋体" w:hAnsi="宋体"/>
          <w:szCs w:val="21"/>
          <w:highlight w:val="white"/>
          <w:lang w:eastAsia="zh-CN"/>
        </w:rPr>
        <w:t>2</w:t>
      </w:r>
      <w:r>
        <w:rPr>
          <w:rStyle w:val="da"/>
          <w:rFonts w:ascii="宋体" w:eastAsia="宋体" w:hAnsi="宋体" w:cs="宋体"/>
          <w:szCs w:val="21"/>
          <w:highlight w:val="white"/>
          <w:lang w:eastAsia="zh-CN"/>
        </w:rPr>
        <w:t>个开放日以上（含本数）发生巨额赎回，如基金管理人认为有必要，可暂停接受基金的赎回申请；已经接受的赎回申请可以延缓支付赎回款项，但不得超过</w:t>
      </w:r>
      <w:r>
        <w:rPr>
          <w:rStyle w:val="da"/>
          <w:rFonts w:ascii="宋体" w:hAnsi="宋体"/>
          <w:szCs w:val="21"/>
          <w:highlight w:val="white"/>
          <w:lang w:eastAsia="zh-CN"/>
        </w:rPr>
        <w:t>20</w:t>
      </w:r>
      <w:r>
        <w:rPr>
          <w:rStyle w:val="da"/>
          <w:rFonts w:ascii="宋体" w:eastAsia="宋体" w:hAnsi="宋体" w:cs="宋体"/>
          <w:szCs w:val="21"/>
          <w:highlight w:val="white"/>
          <w:lang w:eastAsia="zh-CN"/>
        </w:rPr>
        <w:t>个工作日，并应当在规定媒介上进行公告。</w:t>
      </w:r>
    </w:p>
    <w:p w:rsidR="00D50D9C" w14:paraId="2138C12D"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szCs w:val="21"/>
          <w:highlight w:val="white"/>
          <w:lang w:eastAsia="zh-CN"/>
        </w:rPr>
        <w:t>、巨额赎回的公告</w:t>
      </w:r>
    </w:p>
    <w:p w:rsidR="00D50D9C" w14:paraId="1957956B"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w:t>
      </w:r>
      <w:r>
        <w:rPr>
          <w:rStyle w:val="da"/>
          <w:rFonts w:ascii="宋体" w:hAnsi="宋体"/>
          <w:szCs w:val="21"/>
          <w:highlight w:val="white"/>
          <w:lang w:eastAsia="zh-CN"/>
        </w:rPr>
        <w:t>3</w:t>
      </w:r>
      <w:r>
        <w:rPr>
          <w:rStyle w:val="da"/>
          <w:rFonts w:ascii="宋体" w:eastAsia="宋体" w:hAnsi="宋体" w:cs="宋体"/>
          <w:szCs w:val="21"/>
          <w:highlight w:val="white"/>
          <w:lang w:eastAsia="zh-CN"/>
        </w:rPr>
        <w:t>个交易日内通知基金份额持有人，说明有关处理方法，并在</w:t>
      </w:r>
      <w:r>
        <w:rPr>
          <w:rStyle w:val="da"/>
          <w:rFonts w:ascii="宋体" w:hAnsi="宋体"/>
          <w:szCs w:val="21"/>
          <w:highlight w:val="white"/>
          <w:lang w:eastAsia="zh-CN"/>
        </w:rPr>
        <w:t>2</w:t>
      </w:r>
      <w:r>
        <w:rPr>
          <w:rStyle w:val="da"/>
          <w:rFonts w:ascii="宋体" w:eastAsia="宋体" w:hAnsi="宋体" w:cs="宋体"/>
          <w:szCs w:val="21"/>
          <w:highlight w:val="white"/>
          <w:lang w:eastAsia="zh-CN"/>
        </w:rPr>
        <w:t>日内在规定媒介上刊登公告。</w:t>
      </w:r>
    </w:p>
    <w:p w:rsidR="00D50D9C" w14:paraId="500BFAF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D50D9C" w14:paraId="76A6DDEB"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szCs w:val="21"/>
          <w:highlight w:val="white"/>
          <w:lang w:eastAsia="zh-CN"/>
        </w:rPr>
        <w:t>、发生上述暂停申购或赎回情况的，基金管理人应在规定期限内在规定媒介上刊登暂停公告。</w:t>
      </w:r>
    </w:p>
    <w:p w:rsidR="00D50D9C" w14:paraId="7A9C6F90"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2</w:t>
      </w:r>
      <w:r>
        <w:rPr>
          <w:rStyle w:val="da"/>
          <w:rFonts w:ascii="宋体" w:eastAsia="宋体" w:hAnsi="宋体" w:cs="宋体"/>
          <w:szCs w:val="21"/>
          <w:highlight w:val="white"/>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D50D9C" w14:paraId="5E70D66E" w14:textId="77777777">
      <w:pPr>
        <w:spacing w:line="360" w:lineRule="auto"/>
        <w:ind w:firstLine="420"/>
        <w:rPr>
          <w:rStyle w:val="da"/>
          <w:rFonts w:ascii="宋体" w:hAnsi="宋体"/>
          <w:szCs w:val="21"/>
          <w:lang w:eastAsia="zh-CN"/>
        </w:rPr>
      </w:pPr>
      <w:bookmarkStart w:id="1817" w:name="_Hlt70481650"/>
      <w:bookmarkEnd w:id="1817"/>
      <w:r>
        <w:rPr>
          <w:rStyle w:val="da"/>
          <w:rFonts w:ascii="宋体" w:eastAsia="宋体" w:hAnsi="宋体" w:cs="宋体" w:hint="eastAsia"/>
          <w:szCs w:val="21"/>
          <w:highlight w:val="white"/>
          <w:lang w:eastAsia="zh-CN"/>
        </w:rPr>
        <w:t>十四、基金份额折算</w:t>
      </w:r>
    </w:p>
    <w:p w:rsidR="00D50D9C" w14:paraId="29DF223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D50D9C" w14:paraId="702F585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D50D9C" w14:paraId="635BDCD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D50D9C" w14:paraId="5633ED9C" w14:textId="77777777">
      <w:pPr>
        <w:rPr>
          <w:rStyle w:val="da"/>
          <w:rFonts w:ascii="宋体" w:hAnsi="宋体"/>
          <w:szCs w:val="21"/>
          <w:lang w:eastAsia="zh-CN"/>
        </w:rPr>
      </w:pPr>
      <w:r>
        <w:rPr>
          <w:rStyle w:val="da"/>
          <w:rFonts w:ascii="宋体" w:hAnsi="宋体" w:hint="eastAsia"/>
          <w:szCs w:val="21"/>
          <w:highlight w:val="white"/>
          <w:lang w:eastAsia="zh-CN"/>
        </w:rPr>
        <w:br w:type="page"/>
      </w:r>
    </w:p>
    <w:p w:rsidR="00D50D9C" w14:paraId="212F5AC8" w14:textId="77777777">
      <w:pPr>
        <w:pStyle w:val="11"/>
        <w:spacing w:before="317" w:after="317" w:line="320" w:lineRule="exact"/>
        <w:ind w:firstLine="600"/>
        <w:rPr>
          <w:rFonts w:ascii="宋体" w:eastAsia="宋体" w:hAnsi="宋体"/>
          <w:sz w:val="30"/>
          <w:lang w:eastAsia="zh-CN"/>
        </w:rPr>
      </w:pPr>
      <w:bookmarkStart w:id="1818"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8"/>
    </w:p>
    <w:p w:rsidR="00D50D9C" w14:paraId="30BA6DB8" w14:textId="77777777">
      <w:pPr>
        <w:spacing w:line="360" w:lineRule="auto"/>
        <w:ind w:firstLine="420"/>
        <w:rPr>
          <w:rStyle w:val="da"/>
          <w:rFonts w:ascii="宋体" w:hAnsi="宋体"/>
          <w:lang w:eastAsia="zh-CN"/>
        </w:rPr>
      </w:pPr>
      <w:bookmarkStart w:id="1819" w:name="_Toc332373517"/>
      <w:r>
        <w:rPr>
          <w:rStyle w:val="da"/>
          <w:rFonts w:ascii="宋体" w:eastAsia="宋体" w:hAnsi="宋体" w:cs="宋体" w:hint="eastAsia"/>
          <w:highlight w:val="white"/>
          <w:lang w:eastAsia="zh-CN"/>
        </w:rPr>
        <w:t>一、基金转换</w:t>
      </w:r>
      <w:bookmarkEnd w:id="1819"/>
    </w:p>
    <w:p w:rsidR="00D50D9C" w14:paraId="7B0FF51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D50D9C" w14:paraId="2E3B98D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D50D9C" w14:paraId="3F62CC84" w14:textId="77777777">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D50D9C" w14:paraId="4C4CB314" w14:textId="77777777">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D50D9C" w14:paraId="357ED8EA" w14:textId="77777777">
      <w:pPr>
        <w:rPr>
          <w:rStyle w:val="da"/>
          <w:rFonts w:ascii="宋体" w:hAnsi="宋体"/>
          <w:lang w:eastAsia="zh-CN"/>
        </w:rPr>
      </w:pPr>
      <w:r>
        <w:rPr>
          <w:rFonts w:ascii="宋体" w:eastAsia="宋体" w:hAnsi="宋体" w:cs="宋体"/>
          <w:highlight w:val="white"/>
          <w:lang w:eastAsia="zh-CN"/>
        </w:rPr>
        <w:br w:type="page"/>
      </w:r>
    </w:p>
    <w:p w:rsidR="00D50D9C" w14:paraId="5E5449E5" w14:textId="77777777">
      <w:pPr>
        <w:pStyle w:val="11"/>
        <w:spacing w:before="317" w:after="317" w:line="320" w:lineRule="exact"/>
        <w:ind w:firstLine="600"/>
        <w:rPr>
          <w:rFonts w:ascii="宋体" w:eastAsia="宋体" w:hAnsi="宋体"/>
          <w:bCs/>
          <w:sz w:val="28"/>
          <w:szCs w:val="44"/>
          <w:lang w:eastAsia="zh-CN"/>
        </w:rPr>
      </w:pPr>
      <w:bookmarkStart w:id="1820" w:name="_Toc332373519"/>
      <w:bookmarkStart w:id="1821" w:name="_Toc73030169"/>
      <w:r>
        <w:rPr>
          <w:rFonts w:ascii="宋体" w:eastAsia="宋体" w:hAnsi="宋体" w:hint="eastAsia"/>
          <w:sz w:val="30"/>
          <w:highlight w:val="white"/>
          <w:lang w:eastAsia="zh-CN"/>
        </w:rPr>
        <w:t>第十一部分 基金的转托管、质押、非交易过户、冻结与解冻</w:t>
      </w:r>
      <w:bookmarkEnd w:id="1820"/>
      <w:bookmarkEnd w:id="1821"/>
    </w:p>
    <w:p w:rsidR="00D50D9C" w14:paraId="62A3BB91" w14:textId="77777777">
      <w:pPr>
        <w:spacing w:line="360" w:lineRule="auto"/>
        <w:ind w:firstLine="420"/>
        <w:rPr>
          <w:rStyle w:val="da"/>
          <w:rFonts w:ascii="宋体" w:hAnsi="宋体"/>
          <w:lang w:eastAsia="zh-CN"/>
        </w:rPr>
      </w:pPr>
      <w:bookmarkStart w:id="1822" w:name="_Toc332373520"/>
      <w:r>
        <w:rPr>
          <w:rStyle w:val="da"/>
          <w:rFonts w:ascii="宋体" w:eastAsia="宋体" w:hAnsi="宋体" w:cs="宋体" w:hint="eastAsia"/>
          <w:highlight w:val="white"/>
          <w:lang w:eastAsia="zh-CN"/>
        </w:rPr>
        <w:t>一、基金的转托管</w:t>
      </w:r>
      <w:bookmarkEnd w:id="1822"/>
    </w:p>
    <w:p w:rsidR="00D50D9C" w14:paraId="3E5FA0A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D50D9C" w14:paraId="75A35E50" w14:textId="7777777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D50D9C" w14:paraId="17662AF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D50D9C" w14:paraId="458BCC3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D50D9C" w14:paraId="1F25CBBF" w14:textId="77777777">
      <w:pPr>
        <w:spacing w:line="360" w:lineRule="auto"/>
        <w:ind w:firstLine="420"/>
        <w:rPr>
          <w:rStyle w:val="da"/>
          <w:rFonts w:ascii="宋体" w:hAnsi="宋体"/>
          <w:lang w:eastAsia="zh-CN"/>
        </w:rPr>
      </w:pPr>
      <w:bookmarkStart w:id="1823" w:name="_Toc332373521"/>
      <w:r>
        <w:rPr>
          <w:rStyle w:val="da"/>
          <w:rFonts w:ascii="宋体" w:eastAsia="宋体" w:hAnsi="宋体" w:cs="宋体" w:hint="eastAsia"/>
          <w:highlight w:val="white"/>
          <w:lang w:eastAsia="zh-CN"/>
        </w:rPr>
        <w:t>三、基金的非交易过户</w:t>
      </w:r>
      <w:bookmarkEnd w:id="1823"/>
    </w:p>
    <w:p w:rsidR="00D50D9C" w14:paraId="08062499"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D50D9C" w14:paraId="6EB6BC9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50D9C" w14:paraId="736F250E" w14:textId="77777777">
      <w:pPr>
        <w:spacing w:line="360" w:lineRule="auto"/>
        <w:ind w:firstLine="420"/>
        <w:rPr>
          <w:rStyle w:val="da"/>
          <w:rFonts w:ascii="宋体" w:hAnsi="宋体"/>
          <w:lang w:eastAsia="zh-CN"/>
        </w:rPr>
      </w:pPr>
      <w:bookmarkStart w:id="1824" w:name="_Toc332373522"/>
      <w:r>
        <w:rPr>
          <w:rStyle w:val="da"/>
          <w:rFonts w:ascii="宋体" w:eastAsia="宋体" w:hAnsi="宋体" w:cs="宋体" w:hint="eastAsia"/>
          <w:highlight w:val="white"/>
          <w:lang w:eastAsia="zh-CN"/>
        </w:rPr>
        <w:t>四、基金的冻结与解冻</w:t>
      </w:r>
      <w:bookmarkEnd w:id="1824"/>
    </w:p>
    <w:p w:rsidR="00D50D9C" w14:paraId="09ED8FB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D50D9C" w14:paraId="79AE0151" w14:textId="77777777">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5" w:name="_Toc73030170"/>
      <w:bookmarkStart w:id="1826" w:name="_Toc332373523"/>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5"/>
      <w:bookmarkEnd w:id="1826"/>
    </w:p>
    <w:p w:rsidR="00D50D9C" w14:paraId="23756AFA" w14:textId="77777777">
      <w:pPr>
        <w:spacing w:line="360" w:lineRule="auto"/>
        <w:ind w:firstLine="420"/>
        <w:rPr>
          <w:rStyle w:val="da"/>
          <w:rFonts w:ascii="宋体" w:hAnsi="宋体"/>
          <w:szCs w:val="21"/>
          <w:lang w:eastAsia="zh-CN"/>
        </w:rPr>
      </w:pPr>
      <w:bookmarkStart w:id="1827" w:name="_Toc332373524"/>
      <w:r>
        <w:rPr>
          <w:rStyle w:val="da"/>
          <w:rFonts w:ascii="宋体" w:eastAsia="宋体" w:hAnsi="宋体" w:cs="宋体" w:hint="eastAsia"/>
          <w:szCs w:val="21"/>
          <w:highlight w:val="white"/>
          <w:lang w:eastAsia="zh-CN"/>
        </w:rPr>
        <w:t>一、投资目标</w:t>
      </w:r>
      <w:bookmarkEnd w:id="1827"/>
    </w:p>
    <w:p w:rsidR="00D50D9C" w14:paraId="6A95B7AF" w14:textId="77777777">
      <w:pPr>
        <w:spacing w:line="360" w:lineRule="auto"/>
        <w:ind w:firstLine="420"/>
        <w:rPr>
          <w:rStyle w:val="da"/>
          <w:rFonts w:ascii="宋体" w:hAnsi="宋体"/>
          <w:szCs w:val="21"/>
          <w:lang w:eastAsia="zh-CN"/>
        </w:rPr>
      </w:pPr>
      <w:bookmarkStart w:id="1828" w:name="_Toc332373525"/>
      <w:r>
        <w:rPr>
          <w:rStyle w:val="da"/>
          <w:rFonts w:ascii="宋体" w:eastAsia="宋体" w:hAnsi="宋体" w:cs="宋体"/>
          <w:szCs w:val="21"/>
          <w:lang w:eastAsia="zh-CN"/>
        </w:rPr>
        <w:t>本基金在控制风险的前提下，追求超越业绩比较基准的投资回报。</w:t>
      </w:r>
    </w:p>
    <w:p w:rsidR="00D50D9C" w14:paraId="0CB49DA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8"/>
    </w:p>
    <w:p w:rsidR="00D50D9C" w14:paraId="080FCFEE" w14:textId="77777777">
      <w:pPr>
        <w:widowControl/>
        <w:spacing w:line="360" w:lineRule="auto"/>
        <w:ind w:firstLine="420"/>
        <w:rPr>
          <w:rStyle w:val="da"/>
          <w:rFonts w:ascii="宋体" w:hAnsi="宋体"/>
          <w:szCs w:val="21"/>
          <w:lang w:eastAsia="zh-CN"/>
        </w:rPr>
      </w:pPr>
      <w:bookmarkStart w:id="1829" w:name="_Toc359426195"/>
      <w:bookmarkStart w:id="1830"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D50D9C" w14:paraId="61A897E7" w14:textId="77777777">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D50D9C" w14:paraId="1BD86CD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1829"/>
    </w:p>
    <w:p w:rsidR="00D50D9C" w14:paraId="58D4012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30"/>
    </w:p>
    <w:p w:rsidR="00D50D9C" w14:paraId="583CB325" w14:textId="77777777">
      <w:pPr>
        <w:spacing w:line="360" w:lineRule="auto"/>
        <w:ind w:firstLine="420"/>
        <w:rPr>
          <w:rStyle w:val="da"/>
          <w:rFonts w:ascii="宋体" w:hAnsi="宋体"/>
          <w:szCs w:val="21"/>
          <w:lang w:eastAsia="zh-CN"/>
        </w:rPr>
      </w:pPr>
      <w:bookmarkStart w:id="1831" w:name="_Toc332373530"/>
      <w:bookmarkStart w:id="1832" w:name="question3"/>
      <w:r>
        <w:rPr>
          <w:rStyle w:val="da"/>
          <w:rFonts w:ascii="宋体" w:hAnsi="宋体"/>
          <w:szCs w:val="21"/>
          <w:lang w:eastAsia="zh-CN"/>
        </w:rPr>
        <w:t>1、资产配置策略</w:t>
      </w:r>
    </w:p>
    <w:p w:rsidR="00D50D9C" w14:paraId="2BB16FF4"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本基金将综合考虑宏观与微观经济、市场与政策等因素，确定组合中股票、债券、货币市场工具及其他金融工具的比例。</w:t>
      </w:r>
    </w:p>
    <w:p w:rsidR="00D50D9C" w14:paraId="5120B17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D50D9C" w14:paraId="6E45FE0C" w14:textId="77777777">
      <w:pPr>
        <w:spacing w:line="360" w:lineRule="auto"/>
        <w:ind w:firstLine="420"/>
        <w:rPr>
          <w:rStyle w:val="da"/>
          <w:rFonts w:ascii="宋体" w:hAnsi="宋体"/>
          <w:szCs w:val="21"/>
          <w:lang w:eastAsia="zh-CN"/>
        </w:rPr>
      </w:pPr>
      <w:r>
        <w:rPr>
          <w:rStyle w:val="da"/>
          <w:rFonts w:ascii="宋体" w:hAnsi="宋体"/>
          <w:szCs w:val="21"/>
          <w:lang w:eastAsia="zh-CN"/>
        </w:rPr>
        <w:t>2、股票投资策略</w:t>
      </w:r>
    </w:p>
    <w:p w:rsidR="00D50D9C" w14:paraId="0E2FF2F2"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本基金重视中长期产业方向和景气趋势，关注公司的成长空间、竞争优势和估值水平等，捕捉行业发展的重要机遇以及个股的成长所带来的价值提升的投资机会。</w:t>
      </w:r>
    </w:p>
    <w:p w:rsidR="00D50D9C" w14:paraId="6087E6A2"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（1）行业选择策略</w:t>
      </w:r>
    </w:p>
    <w:p w:rsidR="00D50D9C" w14:paraId="58A7C1F2"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在行业选择上，本基金将通过分析以下因素，对各行业的投资价值进行综合评估，从而确定并动态调整股票资产在各行业之间的配置。</w:t>
      </w:r>
    </w:p>
    <w:p w:rsidR="00D50D9C" w14:paraId="36C84CBD" w14:textId="77777777">
      <w:pPr>
        <w:spacing w:line="360" w:lineRule="auto"/>
        <w:ind w:firstLine="420"/>
        <w:rPr>
          <w:rStyle w:val="da"/>
          <w:rFonts w:ascii="宋体" w:hAnsi="宋体"/>
          <w:szCs w:val="21"/>
          <w:lang w:eastAsia="zh-CN"/>
        </w:rPr>
      </w:pPr>
      <w:r>
        <w:rPr>
          <w:rStyle w:val="da"/>
          <w:rFonts w:ascii="宋体" w:hAnsi="宋体"/>
          <w:szCs w:val="21"/>
          <w:lang w:eastAsia="zh-CN"/>
        </w:rPr>
        <w:t>1）行业发展趋势和行业景气度</w:t>
      </w:r>
    </w:p>
    <w:p w:rsidR="00D50D9C" w14:paraId="3D34B0B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持续跟踪行业数据、深入调研上下游产业链，根据相关行业盈利水平的横向与纵向比较，对各行业景气度周期、行业未来发展趋势、行业变迁进行分析，重点投资于趋势向好、景气度较高或者具备战略性发展方向的行业。</w:t>
      </w:r>
    </w:p>
    <w:p w:rsidR="00D50D9C" w14:paraId="296D712B" w14:textId="77777777">
      <w:pPr>
        <w:spacing w:line="360" w:lineRule="auto"/>
        <w:ind w:firstLine="420"/>
        <w:rPr>
          <w:rStyle w:val="da"/>
          <w:rFonts w:ascii="宋体" w:hAnsi="宋体"/>
          <w:szCs w:val="21"/>
          <w:lang w:eastAsia="zh-CN"/>
        </w:rPr>
      </w:pPr>
      <w:r>
        <w:rPr>
          <w:rStyle w:val="da"/>
          <w:rFonts w:ascii="宋体" w:hAnsi="宋体"/>
          <w:szCs w:val="21"/>
          <w:lang w:eastAsia="zh-CN"/>
        </w:rPr>
        <w:t>2）行业竞争格局及其变化</w:t>
      </w:r>
    </w:p>
    <w:p w:rsidR="00D50D9C" w14:paraId="669B5A08"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本基金主要通过密切跟踪行业进入者的数量、行业内各公司的竞争策略及各公司产品或服务的市场份额来判断公司所处行业竞争格局的变化，重点投资于行业竞争格局良好的行业。</w:t>
      </w:r>
    </w:p>
    <w:p w:rsidR="00D50D9C" w14:paraId="70D9D5D2"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（2）个股选择策略</w:t>
      </w:r>
    </w:p>
    <w:p w:rsidR="00D50D9C" w14:paraId="6FECCF39"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本基金将通过对以下定性和定量因素的综合分析，精选成长性较好、具备竞争优势的公司。</w:t>
      </w:r>
    </w:p>
    <w:p w:rsidR="00D50D9C" w14:paraId="6AD6BA4F" w14:textId="0EA08CE4">
      <w:pPr>
        <w:spacing w:line="360" w:lineRule="auto"/>
        <w:ind w:firstLine="420"/>
        <w:rPr>
          <w:rStyle w:val="da"/>
          <w:rFonts w:ascii="宋体" w:hAnsi="宋体"/>
          <w:szCs w:val="21"/>
          <w:lang w:eastAsia="zh-CN"/>
        </w:rPr>
      </w:pPr>
      <w:r>
        <w:rPr>
          <w:rStyle w:val="da"/>
          <w:rFonts w:ascii="宋体" w:hAnsi="宋体"/>
          <w:szCs w:val="21"/>
          <w:lang w:eastAsia="zh-CN"/>
        </w:rPr>
        <w:t>1）竞争优势方面：根据公司的生产、技术、市场、经营状况，分析公司在产品、服务、技术、品牌、行业地位等方面的竞争优势，选择具有核心竞争力或增长潜力的公司</w:t>
      </w:r>
      <w:r w:rsidR="0037615F">
        <w:rPr>
          <w:rStyle w:val="da"/>
          <w:rFonts w:ascii="宋体" w:hAnsi="宋体" w:hint="eastAsia"/>
          <w:szCs w:val="21"/>
          <w:lang w:eastAsia="zh-CN"/>
        </w:rPr>
        <w:t>。</w:t>
      </w:r>
    </w:p>
    <w:p w:rsidR="00D50D9C" w14:paraId="4AB66B99" w14:textId="77777777">
      <w:pPr>
        <w:spacing w:line="360" w:lineRule="auto"/>
        <w:ind w:firstLine="420"/>
        <w:rPr>
          <w:rStyle w:val="da"/>
          <w:rFonts w:ascii="宋体" w:hAnsi="宋体"/>
          <w:szCs w:val="21"/>
          <w:lang w:eastAsia="zh-CN"/>
        </w:rPr>
      </w:pPr>
      <w:r>
        <w:rPr>
          <w:rStyle w:val="da"/>
          <w:rFonts w:ascii="宋体" w:hAnsi="宋体"/>
          <w:szCs w:val="21"/>
          <w:lang w:eastAsia="zh-CN"/>
        </w:rPr>
        <w:t>2）公司治理和管理层方面：对治理结构、公司战略、管理层及管理团队、信息透明度等方面进行分析，选择公司治理合理、管理层相对稳定的公司。</w:t>
      </w:r>
    </w:p>
    <w:p w:rsidR="00D50D9C" w14:paraId="534AB302" w14:textId="77777777">
      <w:pPr>
        <w:spacing w:line="360" w:lineRule="auto"/>
        <w:ind w:firstLine="420"/>
        <w:rPr>
          <w:rStyle w:val="da"/>
          <w:rFonts w:ascii="宋体" w:hAnsi="宋体"/>
          <w:szCs w:val="21"/>
          <w:lang w:eastAsia="zh-CN"/>
        </w:rPr>
      </w:pPr>
      <w:r>
        <w:rPr>
          <w:rStyle w:val="da"/>
          <w:rFonts w:ascii="宋体" w:hAnsi="宋体"/>
          <w:szCs w:val="21"/>
          <w:lang w:eastAsia="zh-CN"/>
        </w:rPr>
        <w:t>3）成长性方面：通过对营业收入增长率、净利润增长率、预期净利润复合增长率等指标的分析，选择具备增长潜力，预期未来能够实现高成长或可持续增长的公司。</w:t>
      </w:r>
    </w:p>
    <w:p w:rsidR="00D50D9C" w14:paraId="73C2392D" w14:textId="77777777">
      <w:pPr>
        <w:spacing w:line="360" w:lineRule="auto"/>
        <w:ind w:firstLine="420"/>
        <w:rPr>
          <w:rStyle w:val="da"/>
          <w:rFonts w:ascii="宋体" w:hAnsi="宋体"/>
          <w:szCs w:val="21"/>
          <w:lang w:eastAsia="zh-CN"/>
        </w:rPr>
      </w:pPr>
      <w:r>
        <w:rPr>
          <w:rStyle w:val="da"/>
          <w:rFonts w:ascii="宋体" w:hAnsi="宋体"/>
          <w:szCs w:val="21"/>
          <w:lang w:eastAsia="zh-CN"/>
        </w:rPr>
        <w:t>4）财务状况和盈利潜力方面：分析财务指标能否通过风险检验，并处于较优水平，同时分析资产负债率、周转率、经营活动产生的现金流、营业利润率等变化趋势，选择财务风险低、具备盈利增长潜力的公司。</w:t>
      </w:r>
    </w:p>
    <w:p w:rsidR="00D50D9C" w14:paraId="7D18714C"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（3）估值水平分析</w:t>
      </w:r>
    </w:p>
    <w:p w:rsidR="00D50D9C" w14:paraId="2DBF7DDA"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根据公司的行业特性及公司本身的特点，选择合适的股票估值方法。可供选择的估值方法包括市盈率法（P/E）、市净率法（P/B）、市盈率－长期成长法（PEG）、自由现金流贴现模型（FCFF，FCFE）或股利贴现模型（DDM）等。</w:t>
      </w:r>
    </w:p>
    <w:p w:rsidR="00D50D9C" w14:paraId="264BD6C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（4）股票组合的构建与调整</w:t>
      </w:r>
    </w:p>
    <w:p w:rsidR="00D50D9C" w14:paraId="467C8908"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本基金在上述分析的基础上进行股票组合的构建。当上述因素出现较大变化时，本基金将对股票组合适时进行动态调整。</w:t>
      </w:r>
    </w:p>
    <w:p w:rsidR="00D50D9C" w14:paraId="32A1DCD6"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本基金可根据投资策略需要或不同配置地市场环境的变化，选择将部分基金资产投资于港股或选择不将基金资产投资于港股，基金资产并非必然投资港股。</w:t>
      </w:r>
    </w:p>
    <w:p w:rsidR="00D50D9C" w14:paraId="06A1CAEC" w14:textId="77777777">
      <w:pPr>
        <w:spacing w:line="360" w:lineRule="auto"/>
        <w:ind w:firstLine="420"/>
        <w:rPr>
          <w:rStyle w:val="da"/>
          <w:rFonts w:ascii="宋体" w:hAnsi="宋体"/>
          <w:szCs w:val="21"/>
          <w:lang w:eastAsia="zh-CN"/>
        </w:rPr>
      </w:pPr>
      <w:r>
        <w:rPr>
          <w:rStyle w:val="da"/>
          <w:rFonts w:ascii="宋体" w:hAnsi="宋体"/>
          <w:szCs w:val="21"/>
          <w:lang w:eastAsia="zh-CN"/>
        </w:rPr>
        <w:t>3、存托凭证投资策略</w:t>
      </w:r>
    </w:p>
    <w:p w:rsidR="00D50D9C" w14:paraId="07F276A9"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D50D9C" w14:paraId="7BBEEA56" w14:textId="77777777">
      <w:pPr>
        <w:spacing w:line="360" w:lineRule="auto"/>
        <w:ind w:firstLine="420"/>
        <w:rPr>
          <w:rStyle w:val="da"/>
          <w:rFonts w:ascii="宋体" w:hAnsi="宋体"/>
          <w:szCs w:val="21"/>
          <w:lang w:eastAsia="zh-CN"/>
        </w:rPr>
      </w:pPr>
      <w:r>
        <w:rPr>
          <w:rStyle w:val="da"/>
          <w:rFonts w:ascii="宋体" w:hAnsi="宋体"/>
          <w:szCs w:val="21"/>
          <w:lang w:eastAsia="zh-CN"/>
        </w:rPr>
        <w:t>4、债券投资策略</w:t>
      </w:r>
    </w:p>
    <w:p w:rsidR="00D50D9C" w14:paraId="6630E73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在债券投资方面，本基金将主要通过类属配置与券种选择两个层次进行投资管理。</w:t>
      </w:r>
    </w:p>
    <w:p w:rsidR="00D50D9C" w14:paraId="7D24150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在类属配置层次，本基金结合对宏观经济、市场利率、供求变化等因素的综合分析，对投资组合类属资产进行优化配置和调整，确定类属资产的权重。</w:t>
      </w:r>
    </w:p>
    <w:p w:rsidR="00D50D9C" w14:paraId="6C48AAA0"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在券种选择上，本基金以长期利率趋势分析为基础，结合经济变化趋势、货币政策及不同债券品种的收益率水平、流动性和信用风险等因素，实施投资管理。</w:t>
      </w:r>
    </w:p>
    <w:p w:rsidR="00D50D9C" w14:paraId="3AC6B5BC" w14:textId="77777777">
      <w:pPr>
        <w:spacing w:line="360" w:lineRule="auto"/>
        <w:ind w:firstLine="420"/>
        <w:rPr>
          <w:rStyle w:val="da"/>
          <w:rFonts w:ascii="宋体" w:hAnsi="宋体"/>
          <w:szCs w:val="21"/>
          <w:lang w:eastAsia="zh-CN"/>
        </w:rPr>
      </w:pPr>
      <w:r>
        <w:rPr>
          <w:rStyle w:val="da"/>
          <w:rFonts w:ascii="宋体" w:hAnsi="宋体"/>
          <w:szCs w:val="21"/>
          <w:lang w:eastAsia="zh-CN"/>
        </w:rPr>
        <w:t>5、资产支持证券投资策略</w:t>
      </w:r>
    </w:p>
    <w:p w:rsidR="00D50D9C" w14:paraId="7436BFA4"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本基金可在综合考虑预期收益率、信用风险、流动性等因素的基础上，选择投资价值较高的资产支持证券进行投资。</w:t>
      </w:r>
    </w:p>
    <w:p w:rsidR="00D50D9C" w14:paraId="7362E851" w14:textId="77777777">
      <w:pPr>
        <w:spacing w:line="360" w:lineRule="auto"/>
        <w:ind w:firstLine="420"/>
        <w:rPr>
          <w:rStyle w:val="da"/>
          <w:rFonts w:ascii="宋体" w:hAnsi="宋体"/>
          <w:szCs w:val="21"/>
          <w:lang w:eastAsia="zh-CN"/>
        </w:rPr>
      </w:pPr>
      <w:r>
        <w:rPr>
          <w:rStyle w:val="da"/>
          <w:rFonts w:ascii="宋体" w:hAnsi="宋体"/>
          <w:szCs w:val="21"/>
          <w:lang w:eastAsia="zh-CN"/>
        </w:rPr>
        <w:t>6、衍生品投资策略</w:t>
      </w:r>
    </w:p>
    <w:p w:rsidR="00D50D9C" w14:paraId="34776170"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为更好地实现投资目标，本基金可投资股指期货、国债期货、股票期权。</w:t>
      </w:r>
    </w:p>
    <w:p w:rsidR="00D50D9C" w14:paraId="62E1E2D2"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若本基金投资股指期货，将根据风险管理的原则，以套期保值为目的，综合考虑流动性、基差水平、与股票组合相关度等因素。</w:t>
      </w:r>
    </w:p>
    <w:p w:rsidR="00D50D9C" w14:paraId="0EC78A07"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若本基金投资国债期货，将根据风险管理的原则，以套期保值为目的，综合考虑流动性、基差水平、与债券组合相关度等因素。</w:t>
      </w:r>
    </w:p>
    <w:p w:rsidR="00D50D9C" w14:paraId="1806EC10"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D50D9C" w14:paraId="5C9ADA28"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D50D9C" w14:paraId="3BB02126" w14:textId="77777777">
      <w:pPr>
        <w:spacing w:line="360" w:lineRule="auto"/>
        <w:ind w:firstLine="420"/>
        <w:rPr>
          <w:rStyle w:val="da"/>
          <w:rFonts w:ascii="宋体" w:hAnsi="宋体"/>
          <w:szCs w:val="21"/>
          <w:lang w:eastAsia="zh-CN"/>
        </w:rPr>
      </w:pPr>
      <w:r>
        <w:rPr>
          <w:rStyle w:val="da"/>
          <w:rFonts w:ascii="宋体" w:hAnsi="宋体"/>
          <w:szCs w:val="21"/>
          <w:lang w:eastAsia="zh-CN"/>
        </w:rPr>
        <w:t>7、融资策略</w:t>
      </w:r>
    </w:p>
    <w:p w:rsidR="00D50D9C" w14:paraId="6EF488D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D50D9C" w14:paraId="3633933A" w14:textId="77777777">
      <w:pPr>
        <w:spacing w:line="360" w:lineRule="auto"/>
        <w:ind w:firstLine="420"/>
        <w:rPr>
          <w:rStyle w:val="da"/>
          <w:rFonts w:ascii="宋体" w:hAnsi="宋体"/>
          <w:szCs w:val="21"/>
          <w:lang w:eastAsia="zh-CN"/>
        </w:rPr>
      </w:pPr>
      <w:r>
        <w:rPr>
          <w:rStyle w:val="da"/>
          <w:rFonts w:ascii="宋体" w:hAnsi="宋体"/>
          <w:szCs w:val="21"/>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D50D9C" w14:paraId="73A3E52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31"/>
      <w:r>
        <w:rPr>
          <w:rStyle w:val="da"/>
          <w:rFonts w:ascii="宋体" w:hAnsi="宋体" w:hint="eastAsia"/>
          <w:szCs w:val="21"/>
          <w:highlight w:val="white"/>
          <w:lang w:eastAsia="zh-CN"/>
        </w:rPr>
        <w:t xml:space="preserve"> </w:t>
      </w:r>
      <w:bookmarkEnd w:id="1832"/>
    </w:p>
    <w:p w:rsidR="00D50D9C" w14:paraId="719B9F4D" w14:textId="77777777">
      <w:pPr>
        <w:spacing w:line="360" w:lineRule="auto"/>
        <w:ind w:firstLine="420"/>
        <w:rPr>
          <w:rStyle w:val="da"/>
          <w:rFonts w:ascii="宋体" w:hAnsi="宋体"/>
          <w:szCs w:val="21"/>
          <w:lang w:eastAsia="zh-CN"/>
        </w:rPr>
      </w:pPr>
      <w:bookmarkStart w:id="1833" w:name="_Toc332373531"/>
      <w:r>
        <w:rPr>
          <w:rStyle w:val="da"/>
          <w:rFonts w:ascii="宋体" w:eastAsia="宋体" w:hAnsi="宋体" w:cs="宋体"/>
          <w:szCs w:val="21"/>
          <w:lang w:eastAsia="zh-CN"/>
        </w:rPr>
        <w:t>中证800成长指数收益率×60%+中证港股通综合指数收益率×20%+中债总指数收益率×20%</w:t>
      </w:r>
    </w:p>
    <w:p w:rsidR="00D50D9C" w14:paraId="7A3B3066"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选择本基准的原因为：1、中证800成长指数和中证港股通综合指数由中证指数有限公司编制，分别反映内地大中盘上市公司中</w:t>
      </w:r>
      <w:r>
        <w:rPr>
          <w:rStyle w:val="da"/>
          <w:rFonts w:ascii="宋体" w:eastAsia="宋体" w:hAnsi="宋体" w:cs="宋体" w:hint="eastAsia"/>
          <w:szCs w:val="21"/>
          <w:lang w:eastAsia="zh-CN"/>
        </w:rPr>
        <w:t>具有成长特征的上市公司证券的整体表现</w:t>
      </w:r>
      <w:r>
        <w:rPr>
          <w:rStyle w:val="da"/>
          <w:rFonts w:ascii="宋体" w:eastAsia="宋体" w:hAnsi="宋体" w:cs="宋体"/>
          <w:szCs w:val="21"/>
          <w:lang w:eastAsia="zh-CN"/>
        </w:rPr>
        <w:t>和港股通范围内上市公司的整体表现。2、中债总指数由中债金融估值中心有限公司提供，反映债券市场整体表现。3、结合本基金的投资策略及预期的资产配置计划，本基金选取“中证800成长指数”、“中证港股通综合指数”作为股票部分的业绩比较基准，“中债总指数”作为固定收益部分的业绩比较基准，并赋予60%、20%、20%的权重，能够较好地反映本基金的风险收益特征。</w:t>
      </w:r>
    </w:p>
    <w:p w:rsidR="00D50D9C" w14:paraId="4BBCBAC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业绩比较基准不再适合、或有更加适合本基金的业绩比较基准时，本基金管理人可以根据具体情况，经与基金托管人协商一致后并履行适当程序，变更业绩比较基准并及时公告。</w:t>
      </w:r>
    </w:p>
    <w:p w:rsidR="00D50D9C" w14:paraId="2255682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3"/>
    </w:p>
    <w:p w:rsidR="00D50D9C" w14:paraId="4188E161" w14:textId="77777777">
      <w:pPr>
        <w:spacing w:line="360" w:lineRule="auto"/>
        <w:ind w:firstLine="420"/>
        <w:rPr>
          <w:rStyle w:val="da"/>
          <w:rFonts w:ascii="宋体" w:hAnsi="宋体"/>
          <w:szCs w:val="21"/>
          <w:lang w:eastAsia="zh-CN"/>
        </w:rPr>
      </w:pPr>
      <w:bookmarkStart w:id="1834" w:name="_Toc332373533"/>
      <w:r>
        <w:rPr>
          <w:rStyle w:val="da"/>
          <w:rFonts w:ascii="宋体" w:eastAsia="宋体" w:hAnsi="宋体" w:cs="宋体" w:hint="eastAsia"/>
          <w:szCs w:val="21"/>
          <w:lang w:eastAsia="zh-CN"/>
        </w:rPr>
        <w:t>本基金为混合型基金，理论上其预期风险与预期收益水平低于股票型基金，高于债券型基金和货币市场基金。</w:t>
      </w:r>
    </w:p>
    <w:p w:rsidR="00D50D9C" w14:paraId="3B3B17D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D50D9C" w14:paraId="650E3F2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4"/>
    </w:p>
    <w:p w:rsidR="00D50D9C" w14:paraId="6E9A009A"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D50D9C" w14:paraId="251605B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D50D9C" w14:paraId="58E5009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）承销证券；</w:t>
      </w:r>
    </w:p>
    <w:p w:rsidR="00D50D9C" w14:paraId="6454578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）违反规定向他人贷款或者提供担保；</w:t>
      </w:r>
    </w:p>
    <w:p w:rsidR="00D50D9C" w14:paraId="12AFACF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）从事承担无限责任的投资；</w:t>
      </w:r>
    </w:p>
    <w:p w:rsidR="00D50D9C" w14:paraId="788C4DE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）向其基金管理人、基金托管人出资；</w:t>
      </w:r>
    </w:p>
    <w:p w:rsidR="00D50D9C" w14:paraId="3995C1F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）从事内幕交易、操纵证券交易价格及其他不正当的证券交易活动；</w:t>
      </w:r>
    </w:p>
    <w:p w:rsidR="00D50D9C" w14:paraId="413F880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）法律、行政法规和中国证监会规定禁止的其他活动。</w:t>
      </w:r>
    </w:p>
    <w:p w:rsidR="00D50D9C" w14:paraId="3D52908B"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D50D9C" w14:paraId="23800515"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D50D9C" w14:paraId="014FAF4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）本基金股票资产占基金资产的比例为</w:t>
      </w:r>
      <w:r>
        <w:rPr>
          <w:rStyle w:val="da"/>
          <w:rFonts w:ascii="宋体" w:hAnsi="宋体" w:hint="eastAsia"/>
          <w:szCs w:val="21"/>
          <w:highlight w:val="white"/>
          <w:lang w:eastAsia="zh-CN"/>
        </w:rPr>
        <w:t>60%-95%</w:t>
      </w:r>
      <w:r>
        <w:rPr>
          <w:rStyle w:val="da"/>
          <w:rFonts w:ascii="宋体" w:eastAsia="宋体" w:hAnsi="宋体" w:cs="宋体" w:hint="eastAsia"/>
          <w:szCs w:val="21"/>
          <w:highlight w:val="white"/>
          <w:lang w:eastAsia="zh-CN"/>
        </w:rPr>
        <w:t>（其中港股通股票不超过股票资产的</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w:t>
      </w:r>
    </w:p>
    <w:p w:rsidR="00D50D9C" w14:paraId="6903F68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）保持不低于基金资产净值</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％的现金或者到期日在一年以内的政府债券，其中现金不包括结算备付金、存出保证金和应收申购款等；</w:t>
      </w:r>
    </w:p>
    <w:p w:rsidR="00D50D9C" w14:paraId="5816958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）本基金持有一家公司发行的证券（同一家公司在内地和香港同时上市的</w:t>
      </w:r>
      <w:r>
        <w:rPr>
          <w:rStyle w:val="da"/>
          <w:rFonts w:ascii="宋体" w:hAnsi="宋体" w:hint="eastAsia"/>
          <w:szCs w:val="21"/>
          <w:highlight w:val="white"/>
          <w:lang w:eastAsia="zh-CN"/>
        </w:rPr>
        <w:t>A+H</w:t>
      </w:r>
      <w:r>
        <w:rPr>
          <w:rStyle w:val="da"/>
          <w:rFonts w:ascii="宋体" w:eastAsia="宋体" w:hAnsi="宋体" w:cs="宋体" w:hint="eastAsia"/>
          <w:szCs w:val="21"/>
          <w:highlight w:val="white"/>
          <w:lang w:eastAsia="zh-CN"/>
        </w:rPr>
        <w:t>股合计计算），其市值不超过基金资产净值的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D50D9C" w14:paraId="75734F9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）本基金管理人管理的全部基金持有一家公司发行的证券（同一家公司在内地和香港同时上市的</w:t>
      </w:r>
      <w:r>
        <w:rPr>
          <w:rStyle w:val="da"/>
          <w:rFonts w:ascii="宋体" w:hAnsi="宋体" w:hint="eastAsia"/>
          <w:szCs w:val="21"/>
          <w:highlight w:val="white"/>
          <w:lang w:eastAsia="zh-CN"/>
        </w:rPr>
        <w:t>A+H</w:t>
      </w:r>
      <w:r>
        <w:rPr>
          <w:rStyle w:val="da"/>
          <w:rFonts w:ascii="宋体" w:eastAsia="宋体" w:hAnsi="宋体" w:cs="宋体" w:hint="eastAsia"/>
          <w:szCs w:val="21"/>
          <w:highlight w:val="white"/>
          <w:lang w:eastAsia="zh-CN"/>
        </w:rPr>
        <w:t>股合计计算），不超过该证券的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％，完全按照有关指数的构成比例进行证券投资的基金品种可以不受此条款规定的比例限制；</w:t>
      </w:r>
    </w:p>
    <w:p w:rsidR="00D50D9C" w14:paraId="63C0E46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）本基金投资于同一原始权益人的各类资产支持证券的比例，不得超过基金资产净值的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D50D9C" w14:paraId="7A0795E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）本基金持有的全部资产支持证券，其市值不得超过基金资产净值的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w:t>
      </w:r>
    </w:p>
    <w:p w:rsidR="00D50D9C" w14:paraId="100E2E7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）本基金持有的同一</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指同一信用级别</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资产支持证券的比例，不得超过该资产支持证券规模的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D50D9C" w14:paraId="0B1833A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）本基金管理人管理的全部基金投资于同一原始权益人的各类资产支持证券，不得超过其各类资产支持证券合计规模的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D50D9C" w14:paraId="3A82C45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）本基金应投资于信用级别评级为</w:t>
      </w:r>
      <w:r>
        <w:rPr>
          <w:rStyle w:val="da"/>
          <w:rFonts w:ascii="宋体" w:hAnsi="宋体" w:hint="eastAsia"/>
          <w:szCs w:val="21"/>
          <w:highlight w:val="white"/>
          <w:lang w:eastAsia="zh-CN"/>
        </w:rPr>
        <w:t>BBB</w:t>
      </w:r>
      <w:r>
        <w:rPr>
          <w:rStyle w:val="da"/>
          <w:rFonts w:ascii="宋体" w:eastAsia="宋体" w:hAnsi="宋体" w:cs="宋体" w:hint="eastAsia"/>
          <w:szCs w:val="21"/>
          <w:highlight w:val="white"/>
          <w:lang w:eastAsia="zh-CN"/>
        </w:rPr>
        <w:t>以上</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含</w:t>
      </w:r>
      <w:r>
        <w:rPr>
          <w:rStyle w:val="da"/>
          <w:rFonts w:ascii="宋体" w:hAnsi="宋体" w:hint="eastAsia"/>
          <w:szCs w:val="21"/>
          <w:highlight w:val="white"/>
          <w:lang w:eastAsia="zh-CN"/>
        </w:rPr>
        <w:t>BBB)</w:t>
      </w:r>
      <w:r>
        <w:rPr>
          <w:rStyle w:val="da"/>
          <w:rFonts w:ascii="宋体" w:eastAsia="宋体" w:hAnsi="宋体" w:cs="宋体" w:hint="eastAsia"/>
          <w:szCs w:val="21"/>
          <w:highlight w:val="white"/>
          <w:lang w:eastAsia="zh-CN"/>
        </w:rPr>
        <w:t>的资产支持证券。基金持有资产支持证券期间，如果其信用等级下降、不再符合投资标准，应在评级报告发布之日起</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个月内予以全部卖出；</w:t>
      </w:r>
    </w:p>
    <w:p w:rsidR="00D50D9C" w14:paraId="45B337A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）基金财产参与股票发行申购，本基金所申报的金额不超过本基金的总资产，本基金所申报的股票数量不超过拟发行股票公司本次发行股票的总量；</w:t>
      </w:r>
    </w:p>
    <w:p w:rsidR="00D50D9C" w14:paraId="076B4A7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）本基金管理人管理的全部开放式基金持有一家上市公司发行的可流通股票，不得超过该上市公司可流通股票的</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；本基金管理人管理的全部投资组合持有一家上市公司发行的可流通股票，不得超过该上市公司可流通股票的</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，完全按照有关指数的构成比例进行证券投资的开放式基金以及中国证监会认定的特殊投资组合可不受前述比例限制；</w:t>
      </w:r>
    </w:p>
    <w:p w:rsidR="00D50D9C" w14:paraId="3A14FC5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12</w:t>
      </w:r>
      <w:r>
        <w:rPr>
          <w:rStyle w:val="da"/>
          <w:rFonts w:ascii="宋体" w:eastAsia="宋体" w:hAnsi="宋体" w:cs="宋体" w:hint="eastAsia"/>
          <w:szCs w:val="21"/>
          <w:highlight w:val="white"/>
          <w:lang w:eastAsia="zh-CN"/>
        </w:rPr>
        <w:t>）本基金主动投资于流动性受限资产的市值合计不得超过基金资产净值的</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；因证券市场波动、上市公司股票停牌、基金规模变动等基金管理人之外的因素致使基金不符合该比例限制的，基金管理人不得主动新增流动性受限资产的投资；</w:t>
      </w:r>
    </w:p>
    <w:p w:rsidR="00D50D9C" w14:paraId="5222780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13</w:t>
      </w:r>
      <w:r>
        <w:rPr>
          <w:rStyle w:val="da"/>
          <w:rFonts w:ascii="宋体" w:eastAsia="宋体" w:hAnsi="宋体" w:cs="宋体" w:hint="eastAsia"/>
          <w:szCs w:val="21"/>
          <w:highlight w:val="white"/>
          <w:lang w:eastAsia="zh-CN"/>
        </w:rPr>
        <w:t>）本基金与私募类证券资管产品及中国证监会认定的其他主体为交易对手开展逆回购交易的，可接受质押品的资质要求应当与基金合同约定的投资范围保持一致；</w:t>
      </w:r>
    </w:p>
    <w:p w:rsidR="00D50D9C" w14:paraId="0F63117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14</w:t>
      </w:r>
      <w:r>
        <w:rPr>
          <w:rStyle w:val="da"/>
          <w:rFonts w:ascii="宋体" w:eastAsia="宋体" w:hAnsi="宋体" w:cs="宋体" w:hint="eastAsia"/>
          <w:szCs w:val="21"/>
          <w:highlight w:val="white"/>
          <w:lang w:eastAsia="zh-CN"/>
        </w:rPr>
        <w:t>）本基金资产总值不超过基金资产净值的</w:t>
      </w:r>
      <w:r>
        <w:rPr>
          <w:rStyle w:val="da"/>
          <w:rFonts w:ascii="宋体" w:hAnsi="宋体" w:hint="eastAsia"/>
          <w:szCs w:val="21"/>
          <w:highlight w:val="white"/>
          <w:lang w:eastAsia="zh-CN"/>
        </w:rPr>
        <w:t>140%</w:t>
      </w:r>
      <w:r>
        <w:rPr>
          <w:rStyle w:val="da"/>
          <w:rFonts w:ascii="宋体" w:eastAsia="宋体" w:hAnsi="宋体" w:cs="宋体" w:hint="eastAsia"/>
          <w:szCs w:val="21"/>
          <w:highlight w:val="white"/>
          <w:lang w:eastAsia="zh-CN"/>
        </w:rPr>
        <w:t>；</w:t>
      </w:r>
    </w:p>
    <w:p w:rsidR="00D50D9C" w14:paraId="66A0C35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）本基金参与股指期货交易，应当遵守下列要求：本基金在任何交易日日终，持有的买入股指期货合约价值不得超过基金资产净值的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；在任何交易日日终，持有的买入国债期货和股指期货合约价值与有价证券市值之和，不得超过基金资产净值的</w:t>
      </w:r>
      <w:r>
        <w:rPr>
          <w:rStyle w:val="da"/>
          <w:rFonts w:ascii="宋体" w:hAnsi="宋体" w:hint="eastAsia"/>
          <w:szCs w:val="21"/>
          <w:highlight w:val="white"/>
          <w:lang w:eastAsia="zh-CN"/>
        </w:rPr>
        <w:t>95%</w:t>
      </w:r>
      <w:r>
        <w:rPr>
          <w:rStyle w:val="da"/>
          <w:rFonts w:ascii="宋体" w:eastAsia="宋体" w:hAnsi="宋体" w:cs="宋体" w:hint="eastAsia"/>
          <w:szCs w:val="21"/>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；本基金所持有的股票市值和买入、卖出股指期货合约价值，合计（轧差计算）应当符合基金合同关于股票投资比例的有关约定；在任何交易日内交易</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不包括平仓</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的股指期货合约的成交金额不得超过上一交易日基金资产净值的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；每个交易日日终，扣除股指期货、国债期货合约需缴纳的交易保证金后，保持不低于基金资产净值</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％的现金或者到期日在一年以内的政府债券，其中现金不包括结算备付金、存出保证金和应收申购款等；</w:t>
      </w:r>
    </w:p>
    <w:p w:rsidR="00D50D9C" w14:paraId="4071B4C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16</w:t>
      </w:r>
      <w:r>
        <w:rPr>
          <w:rStyle w:val="da"/>
          <w:rFonts w:ascii="宋体" w:eastAsia="宋体" w:hAnsi="宋体" w:cs="宋体" w:hint="eastAsia"/>
          <w:szCs w:val="21"/>
          <w:highlight w:val="white"/>
          <w:lang w:eastAsia="zh-CN"/>
        </w:rPr>
        <w:t>）本基金参与国债期货交易，应当遵守下列要求：在任何交易日日终，本基金持有的买入国债期货合约价值，不得超过基金资产净值的</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；本基金在任何交易日日终，持有的卖出国债期货合约价值不得超过基金持有的债券总市值的</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；本基金在任何交易日内交易（不包括平仓）的国债期货合约的成交金额不得超过上一交易日基金资产净值的</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；本基金所持有的债券（不含到期日在一年以内的政府债券）市值和买入、卖出国债期货合约价值，合计（轧差计算）应当符合基金合同关于债券投资比例的有关约定；</w:t>
      </w:r>
    </w:p>
    <w:p w:rsidR="00D50D9C" w14:paraId="6531BCB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17</w:t>
      </w:r>
      <w:r>
        <w:rPr>
          <w:rStyle w:val="da"/>
          <w:rFonts w:ascii="宋体" w:eastAsia="宋体" w:hAnsi="宋体" w:cs="宋体" w:hint="eastAsia"/>
          <w:szCs w:val="21"/>
          <w:highlight w:val="white"/>
          <w:lang w:eastAsia="zh-CN"/>
        </w:rPr>
        <w:t>）本基金参与股票期权交易的，应当符合下列要求：基金因未平仓的期权合约支付和收取的权利金总额不得超过基金资产净值的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。其中，合约面值按照行权价乘以合约乘数计算；</w:t>
      </w:r>
    </w:p>
    <w:p w:rsidR="00D50D9C" w14:paraId="4020B03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18</w:t>
      </w:r>
      <w:r>
        <w:rPr>
          <w:rStyle w:val="da"/>
          <w:rFonts w:ascii="宋体" w:eastAsia="宋体" w:hAnsi="宋体" w:cs="宋体" w:hint="eastAsia"/>
          <w:szCs w:val="21"/>
          <w:highlight w:val="white"/>
          <w:lang w:eastAsia="zh-CN"/>
        </w:rPr>
        <w:t>）基金参与融资业务后，在任何交易日日终，持有的融资买入股票与其他有价证券市值之和，不得超过基金资产净值的</w:t>
      </w:r>
      <w:r>
        <w:rPr>
          <w:rStyle w:val="da"/>
          <w:rFonts w:ascii="宋体" w:hAnsi="宋体" w:hint="eastAsia"/>
          <w:szCs w:val="21"/>
          <w:highlight w:val="white"/>
          <w:lang w:eastAsia="zh-CN"/>
        </w:rPr>
        <w:t>95%</w:t>
      </w:r>
      <w:r>
        <w:rPr>
          <w:rStyle w:val="da"/>
          <w:rFonts w:ascii="宋体" w:eastAsia="宋体" w:hAnsi="宋体" w:cs="宋体" w:hint="eastAsia"/>
          <w:szCs w:val="21"/>
          <w:highlight w:val="white"/>
          <w:lang w:eastAsia="zh-CN"/>
        </w:rPr>
        <w:t>；</w:t>
      </w:r>
    </w:p>
    <w:p w:rsidR="00D50D9C" w14:paraId="4113EBC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19</w:t>
      </w:r>
      <w:r>
        <w:rPr>
          <w:rStyle w:val="da"/>
          <w:rFonts w:ascii="宋体" w:eastAsia="宋体" w:hAnsi="宋体" w:cs="宋体" w:hint="eastAsia"/>
          <w:szCs w:val="21"/>
          <w:highlight w:val="white"/>
          <w:lang w:eastAsia="zh-CN"/>
        </w:rPr>
        <w:t>）本基金投资存托凭证的比例限制依照境内上市交易的股票执行，与境内上市交易的股票合并计算；</w:t>
      </w:r>
    </w:p>
    <w:p w:rsidR="00D50D9C" w14:paraId="34489F3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）法律法规及中国证监会规定的和《基金合同》约定的其他投资限制。</w:t>
      </w:r>
    </w:p>
    <w:p w:rsidR="00D50D9C" w14:paraId="6111A34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13</w:t>
      </w:r>
      <w:r>
        <w:rPr>
          <w:rStyle w:val="da"/>
          <w:rFonts w:ascii="宋体" w:eastAsia="宋体" w:hAnsi="宋体" w:cs="宋体" w:hint="eastAsia"/>
          <w:szCs w:val="21"/>
          <w:highlight w:val="white"/>
          <w:lang w:eastAsia="zh-CN"/>
        </w:rPr>
        <w:t>）情形之外，因证券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期货市场波动、证券发行人合并、基金规模变动等基金管理人之外的因素致使基金投资比例不符合上述规定投资比例的，基金管理人应当在</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个交易日内进行调整，但中国证监会规定的特殊情形除外。法律法规或监管部门另有规定的，届时按最新规定执行。</w:t>
      </w:r>
    </w:p>
    <w:p w:rsidR="00D50D9C" w14:paraId="7CB0C20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个月内使基金的投资组合比例符合基金合同的有关约定。在上述期间内，本基金的投资范围、投资策略应当符合基金合同的约定。基金托管人对基金的投资的监督与检查自基金合同生效之日起开始。</w:t>
      </w:r>
    </w:p>
    <w:p w:rsidR="00D50D9C" w14:paraId="240FDF48"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50D9C" w14:paraId="0FF5A01B"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对基金合同进行变更。</w:t>
      </w:r>
    </w:p>
    <w:p w:rsidR="00D50D9C" w14:paraId="5D0BE235"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七、基金管理人代表基金行使股东或债权人权利的处理原则及方法</w:t>
      </w:r>
    </w:p>
    <w:p w:rsidR="00D50D9C" w14:paraId="2BF1E026"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、基金管理人按照国家有关规定代表基金独立行使股东或债权人权利，保护基金份额持有人的利益；</w:t>
      </w:r>
      <w:r>
        <w:rPr>
          <w:rStyle w:val="da"/>
          <w:rFonts w:ascii="宋体" w:hAnsi="宋体" w:hint="eastAsia"/>
          <w:szCs w:val="21"/>
          <w:highlight w:val="white"/>
          <w:lang w:eastAsia="zh-CN"/>
        </w:rPr>
        <w:t xml:space="preserve"> </w:t>
      </w:r>
    </w:p>
    <w:p w:rsidR="00D50D9C" w14:paraId="7930E3EC"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、不谋求对上市公司的控股；</w:t>
      </w:r>
      <w:r>
        <w:rPr>
          <w:rStyle w:val="da"/>
          <w:rFonts w:ascii="宋体" w:hAnsi="宋体" w:hint="eastAsia"/>
          <w:szCs w:val="21"/>
          <w:highlight w:val="white"/>
          <w:lang w:eastAsia="zh-CN"/>
        </w:rPr>
        <w:t xml:space="preserve"> </w:t>
      </w:r>
    </w:p>
    <w:p w:rsidR="00D50D9C" w14:paraId="63A4D7EF"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、有利于基金财产的安全与增值；</w:t>
      </w:r>
      <w:r>
        <w:rPr>
          <w:rStyle w:val="da"/>
          <w:rFonts w:ascii="宋体" w:hAnsi="宋体" w:hint="eastAsia"/>
          <w:szCs w:val="21"/>
          <w:highlight w:val="white"/>
          <w:lang w:eastAsia="zh-CN"/>
        </w:rPr>
        <w:t xml:space="preserve"> </w:t>
      </w:r>
    </w:p>
    <w:p w:rsidR="00D50D9C" w14:paraId="45FCC7C3"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、不通过关联交易为自身、雇员、授权代理人或任何存在利害关系的第三人牟取任何不当利益。</w:t>
      </w:r>
    </w:p>
    <w:p w:rsidR="00D50D9C" w14:paraId="0D8858D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D50D9C" w14:paraId="42C3D64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50D9C" w14:paraId="6E00AD9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D50D9C" w14:paraId="2B10A2D2"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D50D9C" w14:paraId="38431CD8" w14:textId="77777777">
      <w:pPr>
        <w:spacing w:line="360" w:lineRule="auto"/>
        <w:ind w:firstLine="422"/>
        <w:rPr>
          <w:rFonts w:ascii="宋体" w:hAnsi="宋体"/>
          <w:b/>
          <w:i/>
          <w:szCs w:val="21"/>
          <w:lang w:eastAsia="zh-CN"/>
        </w:rPr>
      </w:pPr>
    </w:p>
    <w:p w:rsidR="00D50D9C" w14:paraId="01B65A0C" w14:textId="77777777">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5" w:name="_Toc73030171"/>
      <w:bookmarkStart w:id="1836" w:name="_Toc332373538"/>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5"/>
      <w:bookmarkEnd w:id="1836"/>
    </w:p>
    <w:p w:rsidR="00D50D9C" w14:paraId="4BA92E1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D50D9C" w14:paraId="3459F6E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D50D9C" w14:paraId="7A61145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D50D9C" w14:paraId="795732E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D50D9C" w14:paraId="214A0478"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D50D9C" w14:paraId="2F9A3CF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D50D9C" w14:paraId="4B22CE7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D50D9C" w14:paraId="11577E2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50D9C" w14:paraId="6490611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D50D9C" w14:paraId="11EA4412" w14:textId="77777777">
      <w:pPr>
        <w:spacing w:line="360" w:lineRule="auto"/>
        <w:ind w:firstLine="420"/>
        <w:rPr>
          <w:rStyle w:val="da"/>
          <w:rFonts w:ascii="宋体" w:hAnsi="宋体"/>
          <w:lang w:eastAsia="zh-CN"/>
        </w:rPr>
      </w:pPr>
    </w:p>
    <w:p w:rsidR="00D50D9C" w14:paraId="6342124C" w14:textId="77777777">
      <w:pPr>
        <w:spacing w:line="360" w:lineRule="auto"/>
        <w:ind w:firstLine="420"/>
        <w:rPr>
          <w:rStyle w:val="da"/>
          <w:rFonts w:ascii="宋体" w:hAnsi="宋体"/>
          <w:lang w:eastAsia="zh-CN"/>
        </w:rPr>
      </w:pPr>
    </w:p>
    <w:p w:rsidR="00D50D9C" w14:paraId="78C4CA71" w14:textId="77777777">
      <w:pPr>
        <w:spacing w:line="360" w:lineRule="auto"/>
        <w:ind w:firstLine="420"/>
        <w:rPr>
          <w:rStyle w:val="da"/>
          <w:rFonts w:ascii="宋体" w:hAnsi="宋体"/>
          <w:lang w:eastAsia="zh-CN"/>
        </w:rPr>
      </w:pPr>
    </w:p>
    <w:p w:rsidR="00D50D9C" w14:paraId="30975347" w14:textId="77777777">
      <w:pPr>
        <w:spacing w:line="360" w:lineRule="auto"/>
        <w:ind w:firstLine="420"/>
        <w:rPr>
          <w:rStyle w:val="da"/>
          <w:rFonts w:ascii="宋体" w:hAnsi="宋体"/>
          <w:lang w:eastAsia="zh-CN"/>
        </w:rPr>
      </w:pPr>
    </w:p>
    <w:p w:rsidR="00D50D9C" w14:paraId="386298F2" w14:textId="77777777">
      <w:pPr>
        <w:spacing w:line="360" w:lineRule="auto"/>
        <w:ind w:firstLine="420"/>
        <w:rPr>
          <w:rStyle w:val="da"/>
          <w:rFonts w:ascii="宋体" w:hAnsi="宋体"/>
          <w:lang w:eastAsia="zh-CN"/>
        </w:rPr>
      </w:pPr>
    </w:p>
    <w:p w:rsidR="00D50D9C" w14:paraId="399240B3" w14:textId="77777777">
      <w:pPr>
        <w:spacing w:line="360" w:lineRule="auto"/>
        <w:ind w:firstLine="420"/>
        <w:rPr>
          <w:rStyle w:val="da"/>
          <w:rFonts w:ascii="宋体" w:hAnsi="宋体"/>
          <w:lang w:eastAsia="zh-CN"/>
        </w:rPr>
      </w:pPr>
    </w:p>
    <w:p w:rsidR="00D50D9C" w14:paraId="3AC8E320" w14:textId="77777777">
      <w:pPr>
        <w:spacing w:line="360" w:lineRule="auto"/>
        <w:ind w:firstLine="420"/>
        <w:rPr>
          <w:rStyle w:val="da"/>
          <w:rFonts w:ascii="宋体" w:hAnsi="宋体"/>
          <w:lang w:eastAsia="zh-CN"/>
        </w:rPr>
      </w:pPr>
    </w:p>
    <w:p w:rsidR="00D50D9C" w14:paraId="47BE2322" w14:textId="77777777">
      <w:pPr>
        <w:spacing w:line="360" w:lineRule="auto"/>
        <w:ind w:firstLine="420"/>
        <w:rPr>
          <w:rStyle w:val="da"/>
          <w:rFonts w:ascii="宋体" w:hAnsi="宋体"/>
          <w:lang w:eastAsia="zh-CN"/>
        </w:rPr>
      </w:pPr>
    </w:p>
    <w:p w:rsidR="00D50D9C" w14:paraId="6456A764" w14:textId="77777777">
      <w:pPr>
        <w:spacing w:line="360" w:lineRule="auto"/>
        <w:ind w:firstLine="420"/>
        <w:rPr>
          <w:rStyle w:val="da"/>
          <w:rFonts w:ascii="宋体" w:hAnsi="宋体"/>
          <w:lang w:eastAsia="zh-CN"/>
        </w:rPr>
      </w:pPr>
    </w:p>
    <w:p w:rsidR="00D50D9C" w14:paraId="6B609193" w14:textId="77777777">
      <w:pPr>
        <w:pStyle w:val="11"/>
        <w:spacing w:before="317" w:after="317" w:line="360" w:lineRule="auto"/>
        <w:ind w:firstLine="600"/>
        <w:rPr>
          <w:rFonts w:ascii="宋体" w:eastAsia="宋体" w:hAnsi="宋体"/>
          <w:sz w:val="30"/>
          <w:lang w:eastAsia="zh-CN"/>
        </w:rPr>
      </w:pPr>
      <w:bookmarkStart w:id="1837" w:name="_Hlt88841837"/>
      <w:bookmarkStart w:id="1838" w:name="_Hlt88900062"/>
      <w:bookmarkStart w:id="1839" w:name="_Toc332373543"/>
      <w:bookmarkStart w:id="1840" w:name="_Toc73030172"/>
      <w:bookmarkEnd w:id="1837"/>
      <w:bookmarkEnd w:id="1838"/>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9"/>
      <w:bookmarkEnd w:id="1840"/>
    </w:p>
    <w:p w:rsidR="00D50D9C" w14:paraId="72BDA3F8"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D50D9C" w14:paraId="70484CC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D50D9C" w14:paraId="20B5D5C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D50D9C" w14:paraId="7AD7977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基金所拥有的股票、债券和银行存款本息、应收款项、其它投资等资产及负债。</w:t>
      </w:r>
    </w:p>
    <w:p w:rsidR="00D50D9C" w14:paraId="3BD9F44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D50D9C" w14:paraId="337D88B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D50D9C" w14:paraId="71F36391"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50D9C" w14:paraId="213FB8A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50D9C" w14:paraId="249A8AD9"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50D9C" w14:paraId="57CD6D9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w:t>
      </w:r>
      <w:r>
        <w:rPr>
          <w:rStyle w:val="da"/>
          <w:rFonts w:ascii="宋体" w:hAnsi="宋体" w:hint="eastAsia"/>
          <w:highlight w:val="white"/>
          <w:lang w:eastAsia="zh-CN"/>
        </w:rPr>
        <w:t>0.25%</w:t>
      </w:r>
      <w:r>
        <w:rPr>
          <w:rStyle w:val="da"/>
          <w:rFonts w:ascii="宋体" w:eastAsia="宋体" w:hAnsi="宋体" w:cs="宋体" w:hint="eastAsia"/>
          <w:highlight w:val="white"/>
          <w:lang w:eastAsia="zh-CN"/>
        </w:rPr>
        <w:t>以上的，应对估值进行调整并确定公允价值。</w:t>
      </w:r>
    </w:p>
    <w:p w:rsidR="00D50D9C" w14:paraId="7EF11921"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D50D9C" w14:paraId="025E15CE" w14:textId="7777777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50D9C" w14:paraId="6E773B67" w14:textId="7777777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、处于未上市期间的有价证券应区分如下情况处理：</w:t>
      </w:r>
    </w:p>
    <w:p w:rsidR="00D50D9C" w14:paraId="6F2EC7C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）送股、转增股、配股和公开增发的新股，按估值日在证券交易所挂牌的同一股票的估值方法估值；该日无交易的，以最近一日的市价（收盘价）估值；</w:t>
      </w:r>
    </w:p>
    <w:p w:rsidR="00D50D9C" w14:paraId="70B2A9F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）首次公开发行未上市的股票，采用估值技术确定公允价值；</w:t>
      </w:r>
    </w:p>
    <w:p w:rsidR="00D50D9C" w14:paraId="112EEA4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D50D9C" w14:paraId="4FDF8522" w14:textId="7777777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、对于已上市或已挂牌转让的不含权固定收益品种，选取估值日第三方估值基准服务机构提供的相应品种当日的估值全价进行估值。</w:t>
      </w:r>
    </w:p>
    <w:p w:rsidR="00D50D9C" w14:paraId="4D03382D" w14:textId="7777777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、对于已上市或已挂牌转让的含权固定收益品种，选取估值日第三方估值基准服务机构提供的相应品种当日的唯一估值全价或推荐估值全价进行估值。</w:t>
      </w:r>
    </w:p>
    <w:p w:rsidR="00D50D9C" w14:paraId="0F8EF37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D50D9C" w14:paraId="7A1FAD6A" w14:textId="77777777">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D50D9C" w14:paraId="2C4CC5C1" w14:textId="77777777">
      <w:pPr>
        <w:spacing w:line="360" w:lineRule="auto"/>
        <w:ind w:firstLine="420"/>
        <w:rPr>
          <w:rStyle w:val="da"/>
          <w:rFonts w:ascii="宋体" w:hAnsi="宋体"/>
          <w:lang w:eastAsia="zh-CN"/>
        </w:rPr>
      </w:pPr>
      <w:r>
        <w:rPr>
          <w:rStyle w:val="da"/>
          <w:rFonts w:ascii="宋体" w:hAnsi="宋体" w:hint="eastAsia"/>
          <w:highlight w:val="white"/>
          <w:lang w:eastAsia="zh-CN"/>
        </w:rPr>
        <w:t>6</w:t>
      </w:r>
      <w:r>
        <w:rPr>
          <w:rStyle w:val="da"/>
          <w:rFonts w:ascii="宋体" w:eastAsia="宋体" w:hAnsi="宋体" w:cs="宋体" w:hint="eastAsia"/>
          <w:highlight w:val="white"/>
          <w:lang w:eastAsia="zh-CN"/>
        </w:rPr>
        <w:t>、对于未上市或未挂牌转让且不存在活跃市场的固定收益品种，采用在当前情况下适用并且有足够可利用数据和其他信息支持的估值技术确定其公允价值。</w:t>
      </w:r>
    </w:p>
    <w:p w:rsidR="00D50D9C" w14:paraId="184B3589" w14:textId="77777777">
      <w:pPr>
        <w:spacing w:line="360" w:lineRule="auto"/>
        <w:ind w:firstLine="420"/>
        <w:rPr>
          <w:rStyle w:val="da"/>
          <w:rFonts w:ascii="宋体" w:hAnsi="宋体"/>
          <w:lang w:eastAsia="zh-CN"/>
        </w:rPr>
      </w:pPr>
      <w:r>
        <w:rPr>
          <w:rStyle w:val="da"/>
          <w:rFonts w:ascii="宋体" w:hAnsi="宋体" w:hint="eastAsia"/>
          <w:highlight w:val="white"/>
          <w:lang w:eastAsia="zh-CN"/>
        </w:rPr>
        <w:t>7</w:t>
      </w:r>
      <w:r>
        <w:rPr>
          <w:rStyle w:val="da"/>
          <w:rFonts w:ascii="宋体" w:eastAsia="宋体" w:hAnsi="宋体" w:cs="宋体" w:hint="eastAsia"/>
          <w:highlight w:val="white"/>
          <w:lang w:eastAsia="zh-CN"/>
        </w:rPr>
        <w:t>、期货合约以估值当日结算价进行估值，估值当日无结算价的，且最近交易日后经济环境未发生重大变化的，采用最近交易日结算价估值。</w:t>
      </w:r>
    </w:p>
    <w:p w:rsidR="00D50D9C" w14:paraId="185199FF" w14:textId="77777777">
      <w:pPr>
        <w:spacing w:line="360" w:lineRule="auto"/>
        <w:ind w:firstLine="420"/>
        <w:rPr>
          <w:rStyle w:val="da"/>
          <w:rFonts w:ascii="宋体" w:hAnsi="宋体"/>
          <w:lang w:eastAsia="zh-CN"/>
        </w:rPr>
      </w:pPr>
      <w:r>
        <w:rPr>
          <w:rStyle w:val="da"/>
          <w:rFonts w:ascii="宋体" w:hAnsi="宋体" w:hint="eastAsia"/>
          <w:highlight w:val="white"/>
          <w:lang w:eastAsia="zh-CN"/>
        </w:rPr>
        <w:t>8</w:t>
      </w:r>
      <w:r>
        <w:rPr>
          <w:rStyle w:val="da"/>
          <w:rFonts w:ascii="宋体" w:eastAsia="宋体" w:hAnsi="宋体" w:cs="宋体" w:hint="eastAsia"/>
          <w:highlight w:val="white"/>
          <w:lang w:eastAsia="zh-CN"/>
        </w:rPr>
        <w:t>、本基金投资期权，根据相关法律法规以及监管部门的规定估值。</w:t>
      </w:r>
    </w:p>
    <w:p w:rsidR="00D50D9C" w14:paraId="0D8D7B38" w14:textId="77777777">
      <w:pPr>
        <w:spacing w:line="360" w:lineRule="auto"/>
        <w:ind w:firstLine="420"/>
        <w:rPr>
          <w:rStyle w:val="da"/>
          <w:rFonts w:ascii="宋体" w:hAnsi="宋体"/>
          <w:lang w:eastAsia="zh-CN"/>
        </w:rPr>
      </w:pPr>
      <w:r>
        <w:rPr>
          <w:rStyle w:val="da"/>
          <w:rFonts w:ascii="宋体" w:hAnsi="宋体" w:hint="eastAsia"/>
          <w:highlight w:val="white"/>
          <w:lang w:eastAsia="zh-CN"/>
        </w:rPr>
        <w:t>9</w:t>
      </w:r>
      <w:r>
        <w:rPr>
          <w:rStyle w:val="da"/>
          <w:rFonts w:ascii="宋体" w:eastAsia="宋体" w:hAnsi="宋体" w:cs="宋体" w:hint="eastAsia"/>
          <w:highlight w:val="white"/>
          <w:lang w:eastAsia="zh-CN"/>
        </w:rPr>
        <w:t>、本基金参与融资业务的，按照相关法律法规、监管部门和行业协会的相关规定进行估值。</w:t>
      </w:r>
    </w:p>
    <w:p w:rsidR="00D50D9C" w14:paraId="07BCD3F0" w14:textId="77777777">
      <w:pPr>
        <w:spacing w:line="360" w:lineRule="auto"/>
        <w:ind w:firstLine="420"/>
        <w:rPr>
          <w:rStyle w:val="da"/>
          <w:rFonts w:ascii="宋体" w:hAnsi="宋体"/>
          <w:lang w:eastAsia="zh-CN"/>
        </w:rPr>
      </w:pPr>
      <w:r>
        <w:rPr>
          <w:rStyle w:val="da"/>
          <w:rFonts w:ascii="宋体" w:hAnsi="宋体" w:hint="eastAsia"/>
          <w:highlight w:val="white"/>
          <w:lang w:eastAsia="zh-CN"/>
        </w:rPr>
        <w:t>10</w:t>
      </w:r>
      <w:r>
        <w:rPr>
          <w:rStyle w:val="da"/>
          <w:rFonts w:ascii="宋体" w:eastAsia="宋体" w:hAnsi="宋体" w:cs="宋体" w:hint="eastAsia"/>
          <w:highlight w:val="white"/>
          <w:lang w:eastAsia="zh-CN"/>
        </w:rPr>
        <w:t>、本基金投资存托凭证的估值核算，依照境内上市交易的股票执行。</w:t>
      </w:r>
    </w:p>
    <w:p w:rsidR="00D50D9C" w14:paraId="721B4153" w14:textId="77777777">
      <w:pPr>
        <w:spacing w:line="360" w:lineRule="auto"/>
        <w:ind w:firstLine="420"/>
        <w:rPr>
          <w:rStyle w:val="da"/>
          <w:rFonts w:ascii="宋体" w:hAnsi="宋体"/>
          <w:lang w:eastAsia="zh-CN"/>
        </w:rPr>
      </w:pPr>
      <w:r>
        <w:rPr>
          <w:rStyle w:val="da"/>
          <w:rFonts w:ascii="宋体" w:hAnsi="宋体" w:hint="eastAsia"/>
          <w:highlight w:val="white"/>
          <w:lang w:eastAsia="zh-CN"/>
        </w:rPr>
        <w:t>11</w:t>
      </w:r>
      <w:r>
        <w:rPr>
          <w:rStyle w:val="da"/>
          <w:rFonts w:ascii="宋体" w:eastAsia="宋体" w:hAnsi="宋体" w:cs="宋体" w:hint="eastAsia"/>
          <w:highlight w:val="white"/>
          <w:lang w:eastAsia="zh-CN"/>
        </w:rPr>
        <w:t>、汇率</w:t>
      </w:r>
    </w:p>
    <w:p w:rsidR="00D50D9C" w14:paraId="1AA614A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D50D9C" w14:paraId="7072012F" w14:textId="77777777">
      <w:pPr>
        <w:spacing w:line="360" w:lineRule="auto"/>
        <w:ind w:firstLine="420"/>
        <w:rPr>
          <w:rStyle w:val="da"/>
          <w:rFonts w:ascii="宋体" w:hAnsi="宋体"/>
          <w:lang w:eastAsia="zh-CN"/>
        </w:rPr>
      </w:pPr>
      <w:r>
        <w:rPr>
          <w:rStyle w:val="da"/>
          <w:rFonts w:ascii="宋体" w:hAnsi="宋体"/>
          <w:highlight w:val="white"/>
          <w:lang w:eastAsia="zh-CN"/>
        </w:rPr>
        <w:t>12、税收</w:t>
      </w:r>
    </w:p>
    <w:p w:rsidR="00D50D9C" w14:paraId="60A457B7"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50D9C" w14:paraId="1BC5FA33" w14:textId="77777777">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D50D9C" w14:paraId="151C2D87" w14:textId="77777777">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D50D9C" w14:paraId="750B53F4" w14:textId="77777777">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D50D9C" w14:paraId="4EA0B585"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D50D9C" w14:paraId="06608F27"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50D9C" w14:paraId="41608ADB"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D50D9C" w14:paraId="2FBBDC89" w14:textId="77777777">
      <w:pPr>
        <w:spacing w:line="360" w:lineRule="auto"/>
        <w:ind w:firstLine="420"/>
        <w:rPr>
          <w:rStyle w:val="da"/>
          <w:rFonts w:ascii="宋体" w:hAnsi="宋体"/>
          <w:lang w:eastAsia="zh-CN"/>
        </w:rPr>
      </w:pPr>
      <w:r>
        <w:rPr>
          <w:rStyle w:val="da"/>
          <w:rFonts w:ascii="宋体" w:hAnsi="宋体"/>
          <w:highlight w:val="white"/>
          <w:lang w:eastAsia="zh-CN"/>
        </w:rPr>
        <w:t>1、各类基金份额净值是按照每个估值日闭市后，该类基金资产净值除以当日该类基金份额的余额数量计算，均精确到0.0001元，小数点后第5位四舍五入。基金管理人可以设立大额赎回情形下的净值精度应急调整机制。国家另有规定的，从其规定。</w:t>
      </w:r>
    </w:p>
    <w:p w:rsidR="00D50D9C" w14:paraId="5508399A"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每个估值日计算基金资产净值及各类基金份额净值，并按规定公告。</w:t>
      </w:r>
    </w:p>
    <w:p w:rsidR="00D50D9C" w14:paraId="3796ADE0" w14:textId="77777777">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基金合同的规定暂停估值时除外。基金管理人每个估值日对基金资产估值后，将各类基金份额净值结果发送基金托管人，经基金托管人复核无误后，由基金管理人按规定对外公布。</w:t>
      </w:r>
    </w:p>
    <w:p w:rsidR="00D50D9C" w14:paraId="2A99378E"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D50D9C" w14:paraId="52F4F982"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基金管理人和基金托管人将采取必要、适当、合理的措施确保基金资产估值的准确性、及时性。当任一类基金份额净值小数点后4位以内（含第4 位）发生估值错误时，视为该类基金份额净值错误。</w:t>
      </w:r>
    </w:p>
    <w:p w:rsidR="00D50D9C" w14:paraId="1B14CF8A"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D50D9C" w14:paraId="086A9669" w14:textId="77777777">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D50D9C" w14:paraId="7C18F33D"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D50D9C" w14:paraId="643854BB"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D50D9C" w14:paraId="60178796" w14:textId="77777777">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D50D9C" w14:paraId="01B976CA"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50D9C" w14:paraId="430EC912"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D50D9C" w14:paraId="29449F65"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50D9C" w14:paraId="48A3A6BB"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D50D9C" w14:paraId="494020E2" w14:textId="77777777">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D50D9C" w14:paraId="3C3A6CD9"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D50D9C" w14:paraId="286E8624"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D50D9C" w14:paraId="331CED98"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D50D9C" w14:paraId="77D3A3E0"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D50D9C" w14:paraId="0D42C968"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D50D9C" w14:paraId="5635462A" w14:textId="77777777">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D50D9C" w14:paraId="54D1999D"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D50D9C" w14:paraId="07FF0C82"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（2）错误偏差达到该类基金份额净值的0.25%时，基金管理人应当通报基金托管人并报中国证监会备案；错误偏差达到该类基金份额净值的0.5%时，基金管理人应当公告，并报中国证监会备案。</w:t>
      </w:r>
    </w:p>
    <w:p w:rsidR="00D50D9C" w14:paraId="5E8F7CFD"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D50D9C" w14:paraId="41BAE4BB"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D50D9C" w14:paraId="39E5A636" w14:textId="77777777">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D50D9C" w14:paraId="3A263C03" w14:textId="77777777">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D50D9C" w14:paraId="67D9031F" w14:textId="77777777">
      <w:pPr>
        <w:spacing w:line="360" w:lineRule="auto"/>
        <w:ind w:firstLine="420"/>
        <w:rPr>
          <w:rStyle w:val="da"/>
          <w:rFonts w:ascii="宋体" w:hAnsi="宋体"/>
          <w:lang w:eastAsia="zh-CN"/>
        </w:rPr>
      </w:pPr>
      <w:r>
        <w:rPr>
          <w:rStyle w:val="da"/>
          <w:rFonts w:ascii="宋体" w:hAnsi="宋体"/>
          <w:highlight w:val="white"/>
          <w:lang w:eastAsia="zh-CN"/>
        </w:rPr>
        <w:t>3、当特定资产占前一估值日基金资产净值50%以上的，经与基金托管人协商确认后，基金管理人应当暂停估值；</w:t>
      </w:r>
    </w:p>
    <w:p w:rsidR="00D50D9C" w14:paraId="0B59B9C5" w14:textId="77777777">
      <w:pPr>
        <w:spacing w:line="360" w:lineRule="auto"/>
        <w:ind w:firstLine="420"/>
        <w:rPr>
          <w:rStyle w:val="da"/>
          <w:rFonts w:ascii="宋体" w:hAnsi="宋体"/>
          <w:lang w:eastAsia="zh-CN"/>
        </w:rPr>
      </w:pPr>
      <w:r>
        <w:rPr>
          <w:rStyle w:val="da"/>
          <w:rFonts w:ascii="宋体" w:hAnsi="宋体"/>
          <w:highlight w:val="white"/>
          <w:lang w:eastAsia="zh-CN"/>
        </w:rPr>
        <w:t>4、中国证监会和基金合同认定的其它情形。</w:t>
      </w:r>
    </w:p>
    <w:p w:rsidR="00D50D9C" w14:paraId="0C387790"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D50D9C" w14:paraId="6D4F7D3E"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按规定对基金净值予以公布。</w:t>
      </w:r>
    </w:p>
    <w:p w:rsidR="00D50D9C" w14:paraId="1D849AA1"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本基金在每个估值日计算基金资产净值及各类基金份额净值时，将统一按前一日基金资产净值的1.20%的年费率计算管理费，投资者实际承担的管理费将依据基金合同“第十五部分  基金费用与税收”的约定计算和收取。</w:t>
      </w:r>
    </w:p>
    <w:p w:rsidR="00D50D9C" w14:paraId="032CC392"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D50D9C" w14:paraId="67576A8A" w14:textId="77777777">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D50D9C" w14:paraId="1F9F1A50" w14:textId="77777777">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D50D9C" w14:paraId="35C121F1"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D50D9C" w14:paraId="4D3FDAD7"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D50D9C" w14:paraId="25BB3E1A" w14:textId="77777777">
      <w:pPr>
        <w:spacing w:line="360" w:lineRule="auto"/>
        <w:ind w:firstLine="420"/>
        <w:rPr>
          <w:rStyle w:val="da"/>
          <w:rFonts w:ascii="宋体" w:hAnsi="宋体"/>
          <w:lang w:eastAsia="zh-CN"/>
        </w:rPr>
      </w:pPr>
    </w:p>
    <w:p w:rsidR="00D50D9C" w14:paraId="1B4A36AD" w14:textId="77777777">
      <w:pPr>
        <w:pStyle w:val="11"/>
        <w:spacing w:before="317" w:after="317" w:line="360" w:lineRule="auto"/>
        <w:ind w:firstLine="420"/>
        <w:rPr>
          <w:rFonts w:ascii="宋体" w:eastAsia="宋体" w:hAnsi="宋体"/>
          <w:bCs/>
          <w:lang w:eastAsia="zh-CN"/>
        </w:rPr>
      </w:pPr>
      <w:r>
        <w:rPr>
          <w:rFonts w:ascii="宋体" w:eastAsia="宋体" w:hAnsi="宋体"/>
          <w:sz w:val="21"/>
          <w:szCs w:val="21"/>
          <w:highlight w:val="white"/>
          <w:lang w:eastAsia="zh-CN"/>
        </w:rPr>
        <w:br w:type="page"/>
      </w:r>
      <w:bookmarkStart w:id="1841" w:name="_Toc73030173"/>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42" w:name="_Toc332373553"/>
      <w:r>
        <w:rPr>
          <w:rFonts w:ascii="宋体" w:eastAsia="宋体" w:hAnsi="宋体"/>
          <w:sz w:val="30"/>
          <w:highlight w:val="white"/>
          <w:lang w:eastAsia="zh-CN"/>
        </w:rPr>
        <w:t>五</w:t>
      </w:r>
      <w:r>
        <w:rPr>
          <w:rFonts w:ascii="宋体" w:eastAsia="宋体" w:hAnsi="宋体" w:hint="eastAsia"/>
          <w:sz w:val="30"/>
          <w:highlight w:val="white"/>
          <w:lang w:eastAsia="zh-CN"/>
        </w:rPr>
        <w:t>部分 基金的收益分配</w:t>
      </w:r>
      <w:bookmarkEnd w:id="1841"/>
      <w:bookmarkEnd w:id="1842"/>
    </w:p>
    <w:p w:rsidR="00D50D9C" w14:paraId="09204C6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D50D9C" w14:paraId="37202F8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D50D9C" w14:paraId="68CB867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D50D9C" w14:paraId="62F3315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D50D9C" w14:paraId="26B8BED5"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D50D9C" w14:paraId="187DBE42" w14:textId="77777777">
      <w:pPr>
        <w:spacing w:line="360" w:lineRule="auto"/>
        <w:ind w:firstLine="420"/>
        <w:rPr>
          <w:rStyle w:val="da"/>
          <w:rFonts w:ascii="宋体" w:hAnsi="宋体"/>
          <w:lang w:eastAsia="zh-CN"/>
        </w:rPr>
      </w:pPr>
      <w:r>
        <w:rPr>
          <w:rStyle w:val="da"/>
          <w:rFonts w:ascii="宋体" w:hAnsi="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D50D9C" w14:paraId="2AF8AB64" w14:textId="77777777">
      <w:pPr>
        <w:spacing w:line="360" w:lineRule="auto"/>
        <w:ind w:firstLine="420"/>
        <w:rPr>
          <w:rStyle w:val="da"/>
          <w:rFonts w:ascii="宋体" w:hAnsi="宋体"/>
          <w:lang w:eastAsia="zh-CN"/>
        </w:rPr>
      </w:pPr>
      <w:r>
        <w:rPr>
          <w:rStyle w:val="da"/>
          <w:rFonts w:ascii="宋体" w:hAnsi="宋体" w:hint="eastAsia"/>
          <w:highlight w:val="white"/>
          <w:lang w:eastAsia="zh-CN"/>
        </w:rPr>
        <w:t>2、本基金收益分配方式为现金分红；</w:t>
      </w:r>
    </w:p>
    <w:p w:rsidR="00D50D9C" w14:paraId="20D3E4C3" w14:textId="77777777">
      <w:pPr>
        <w:spacing w:line="360" w:lineRule="auto"/>
        <w:ind w:firstLine="420"/>
        <w:rPr>
          <w:rStyle w:val="da"/>
          <w:rFonts w:ascii="宋体" w:hAnsi="宋体"/>
          <w:lang w:eastAsia="zh-CN"/>
        </w:rPr>
      </w:pPr>
      <w:r>
        <w:rPr>
          <w:rStyle w:val="da"/>
          <w:rFonts w:ascii="宋体" w:hAnsi="宋体" w:hint="eastAsia"/>
          <w:highlight w:val="white"/>
          <w:lang w:eastAsia="zh-CN"/>
        </w:rPr>
        <w:t>3、基金收益分配后各类基金份额净值不能低于面值；即基金收益分配基准日的各类基金份额净值减去每单位该类基金份额收益分配金额后不能低于面值；</w:t>
      </w:r>
    </w:p>
    <w:p w:rsidR="00D50D9C" w14:paraId="7BFBC09D" w14:textId="77777777">
      <w:pPr>
        <w:spacing w:line="360" w:lineRule="auto"/>
        <w:ind w:firstLine="420"/>
        <w:rPr>
          <w:rStyle w:val="da"/>
          <w:rFonts w:ascii="宋体" w:hAnsi="宋体"/>
          <w:lang w:eastAsia="zh-CN"/>
        </w:rPr>
      </w:pPr>
      <w:r>
        <w:rPr>
          <w:rStyle w:val="da"/>
          <w:rFonts w:ascii="宋体" w:hAnsi="宋体" w:hint="eastAsia"/>
          <w:highlight w:val="white"/>
          <w:lang w:eastAsia="zh-CN"/>
        </w:rPr>
        <w:t>4、本基金各基金份额类别在费用收取上不同，其对应的可分配收益可能有所不同。同一类别的每一基金份额享有同等分配权；</w:t>
      </w:r>
    </w:p>
    <w:p w:rsidR="00D50D9C" w14:paraId="04193496" w14:textId="77777777">
      <w:pPr>
        <w:spacing w:line="360" w:lineRule="auto"/>
        <w:ind w:firstLine="420"/>
        <w:rPr>
          <w:rStyle w:val="da"/>
          <w:rFonts w:ascii="宋体" w:hAnsi="宋体"/>
          <w:lang w:eastAsia="zh-CN"/>
        </w:rPr>
      </w:pPr>
      <w:r>
        <w:rPr>
          <w:rStyle w:val="da"/>
          <w:rFonts w:ascii="宋体" w:hAnsi="宋体" w:hint="eastAsia"/>
          <w:highlight w:val="white"/>
          <w:lang w:eastAsia="zh-CN"/>
        </w:rPr>
        <w:t>5、在对基金份额持有人利益无实质不利影响的前提下，基金管理人经与基金托管人协商一致后并履行适当程序，可调整基金收益的分配原则和支付方式；</w:t>
      </w:r>
    </w:p>
    <w:p w:rsidR="00D50D9C" w14:paraId="5603012F" w14:textId="77777777">
      <w:pPr>
        <w:spacing w:line="360" w:lineRule="auto"/>
        <w:ind w:firstLine="420"/>
        <w:rPr>
          <w:rStyle w:val="da"/>
          <w:rFonts w:ascii="宋体" w:hAnsi="宋体"/>
          <w:lang w:eastAsia="zh-CN"/>
        </w:rPr>
      </w:pPr>
      <w:r>
        <w:rPr>
          <w:rStyle w:val="da"/>
          <w:rFonts w:ascii="宋体" w:hAnsi="宋体" w:hint="eastAsia"/>
          <w:highlight w:val="white"/>
          <w:lang w:eastAsia="zh-CN"/>
        </w:rPr>
        <w:t>6、法律法规或监管机关另有规定的，从其规定。</w:t>
      </w:r>
    </w:p>
    <w:p w:rsidR="00D50D9C" w14:paraId="4C5145B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D50D9C" w14:paraId="64ED1915"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D50D9C" w14:paraId="76E82805"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D50D9C" w14:paraId="43544F8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D50D9C" w14:paraId="147B2CA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D50D9C" w14:paraId="546C06B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w:t>
      </w:r>
    </w:p>
    <w:p w:rsidR="00D50D9C" w14:paraId="4F4B49D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D50D9C" w14:paraId="1E3F47A6" w14:textId="77777777">
      <w:pPr>
        <w:spacing w:line="360" w:lineRule="auto"/>
        <w:ind w:firstLine="420"/>
        <w:rPr>
          <w:rFonts w:ascii="宋体" w:hAnsi="宋体"/>
          <w:szCs w:val="21"/>
          <w:lang w:eastAsia="zh-CN"/>
        </w:rPr>
      </w:pPr>
      <w:r>
        <w:rPr>
          <w:rStyle w:val="da"/>
          <w:rFonts w:ascii="宋体" w:eastAsia="宋体" w:hAnsi="宋体" w:cs="宋体" w:hint="eastAsia"/>
          <w:highlight w:val="white"/>
          <w:lang w:eastAsia="zh-CN"/>
        </w:rPr>
        <w:t>本基金实施侧袋机制的，侧袋账户不进行收益分配。</w:t>
      </w:r>
      <w:r>
        <w:rPr>
          <w:rStyle w:val="da"/>
          <w:rFonts w:ascii="宋体" w:hAnsi="宋体"/>
          <w:highlight w:val="white"/>
          <w:lang w:eastAsia="zh-CN"/>
        </w:rPr>
        <w:br w:type="page"/>
      </w:r>
    </w:p>
    <w:p w:rsidR="00D50D9C" w14:paraId="7CAC7315" w14:textId="77777777">
      <w:pPr>
        <w:pStyle w:val="11"/>
        <w:spacing w:before="317" w:after="317" w:line="360" w:lineRule="auto"/>
        <w:ind w:firstLine="600"/>
        <w:rPr>
          <w:rFonts w:ascii="宋体" w:eastAsia="宋体" w:hAnsi="宋体"/>
          <w:sz w:val="30"/>
          <w:lang w:eastAsia="zh-CN"/>
        </w:rPr>
      </w:pPr>
      <w:bookmarkStart w:id="1843" w:name="_Toc73030174"/>
      <w:r>
        <w:rPr>
          <w:rFonts w:ascii="宋体" w:eastAsia="宋体" w:hAnsi="宋体" w:hint="eastAsia"/>
          <w:sz w:val="30"/>
          <w:highlight w:val="white"/>
          <w:lang w:eastAsia="zh-CN"/>
        </w:rPr>
        <w:t>第十</w:t>
      </w:r>
      <w:bookmarkStart w:id="1844"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3"/>
      <w:bookmarkEnd w:id="1844"/>
    </w:p>
    <w:p w:rsidR="00D50D9C" w14:paraId="7EC7ED4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D50D9C" w14:paraId="56E6B859" w14:textId="77777777">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ghlight w:val="white"/>
          <w:lang w:eastAsia="zh-CN"/>
        </w:rPr>
        <w:t>、基金管理人的管理费（包含固定管理费、或有管理费和超额管理费）；</w:t>
      </w:r>
    </w:p>
    <w:p w:rsidR="00D50D9C" w14:paraId="6C3B1C66" w14:textId="77777777">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ghlight w:val="white"/>
          <w:lang w:eastAsia="zh-CN"/>
        </w:rPr>
        <w:t>、基金托管人的托管费；</w:t>
      </w:r>
    </w:p>
    <w:p w:rsidR="00D50D9C" w14:paraId="32BD6EBD" w14:textId="77777777">
      <w:pPr>
        <w:spacing w:line="360" w:lineRule="auto"/>
        <w:ind w:firstLine="420"/>
        <w:rPr>
          <w:rStyle w:val="da"/>
          <w:rFonts w:ascii="宋体" w:hAnsi="宋体"/>
          <w:lang w:eastAsia="zh-CN"/>
        </w:rPr>
      </w:pPr>
      <w:r>
        <w:rPr>
          <w:rStyle w:val="da"/>
          <w:rFonts w:ascii="宋体" w:hAnsi="宋体"/>
          <w:highlight w:val="white"/>
          <w:lang w:eastAsia="zh-CN"/>
        </w:rPr>
        <w:t>3</w:t>
      </w:r>
      <w:r>
        <w:rPr>
          <w:rStyle w:val="da"/>
          <w:rFonts w:ascii="宋体" w:eastAsia="宋体" w:hAnsi="宋体" w:cs="宋体"/>
          <w:highlight w:val="white"/>
          <w:lang w:eastAsia="zh-CN"/>
        </w:rPr>
        <w:t>、销售服务费；</w:t>
      </w:r>
    </w:p>
    <w:p w:rsidR="00D50D9C" w14:paraId="284E21E7" w14:textId="77777777">
      <w:pPr>
        <w:spacing w:line="360" w:lineRule="auto"/>
        <w:ind w:firstLine="420"/>
        <w:rPr>
          <w:rStyle w:val="da"/>
          <w:rFonts w:ascii="宋体" w:hAnsi="宋体"/>
          <w:lang w:eastAsia="zh-CN"/>
        </w:rPr>
      </w:pPr>
      <w:r>
        <w:rPr>
          <w:rStyle w:val="da"/>
          <w:rFonts w:ascii="宋体" w:hAnsi="宋体"/>
          <w:highlight w:val="white"/>
          <w:lang w:eastAsia="zh-CN"/>
        </w:rPr>
        <w:t>4</w:t>
      </w:r>
      <w:r>
        <w:rPr>
          <w:rStyle w:val="da"/>
          <w:rFonts w:ascii="宋体" w:eastAsia="宋体" w:hAnsi="宋体" w:cs="宋体"/>
          <w:highlight w:val="white"/>
          <w:lang w:eastAsia="zh-CN"/>
        </w:rPr>
        <w:t>、《基金合同》生效后与基金相关的信息披露费用；</w:t>
      </w:r>
    </w:p>
    <w:p w:rsidR="00D50D9C" w14:paraId="58775B35" w14:textId="77777777">
      <w:pPr>
        <w:spacing w:line="360" w:lineRule="auto"/>
        <w:ind w:firstLine="420"/>
        <w:rPr>
          <w:rStyle w:val="da"/>
          <w:rFonts w:ascii="宋体" w:hAnsi="宋体"/>
          <w:lang w:eastAsia="zh-CN"/>
        </w:rPr>
      </w:pPr>
      <w:r>
        <w:rPr>
          <w:rStyle w:val="da"/>
          <w:rFonts w:ascii="宋体" w:hAnsi="宋体"/>
          <w:highlight w:val="white"/>
          <w:lang w:eastAsia="zh-CN"/>
        </w:rPr>
        <w:t>5</w:t>
      </w:r>
      <w:r>
        <w:rPr>
          <w:rStyle w:val="da"/>
          <w:rFonts w:ascii="宋体" w:eastAsia="宋体" w:hAnsi="宋体" w:cs="宋体"/>
          <w:highlight w:val="white"/>
          <w:lang w:eastAsia="zh-CN"/>
        </w:rPr>
        <w:t>、《基金合同》生效后与基金相关的会计师费、律师费、诉讼费和仲裁费；</w:t>
      </w:r>
    </w:p>
    <w:p w:rsidR="00D50D9C" w14:paraId="75F2D43F" w14:textId="77777777">
      <w:pPr>
        <w:spacing w:line="360" w:lineRule="auto"/>
        <w:ind w:firstLine="420"/>
        <w:rPr>
          <w:rStyle w:val="da"/>
          <w:rFonts w:ascii="宋体" w:hAnsi="宋体"/>
          <w:lang w:eastAsia="zh-CN"/>
        </w:rPr>
      </w:pPr>
      <w:r>
        <w:rPr>
          <w:rStyle w:val="da"/>
          <w:rFonts w:ascii="宋体" w:hAnsi="宋体"/>
          <w:highlight w:val="white"/>
          <w:lang w:eastAsia="zh-CN"/>
        </w:rPr>
        <w:t>6</w:t>
      </w:r>
      <w:r>
        <w:rPr>
          <w:rStyle w:val="da"/>
          <w:rFonts w:ascii="宋体" w:eastAsia="宋体" w:hAnsi="宋体" w:cs="宋体"/>
          <w:highlight w:val="white"/>
          <w:lang w:eastAsia="zh-CN"/>
        </w:rPr>
        <w:t>、基金份额持有人大会费用；</w:t>
      </w:r>
    </w:p>
    <w:p w:rsidR="00D50D9C" w14:paraId="7FC56679" w14:textId="77777777">
      <w:pPr>
        <w:spacing w:line="360" w:lineRule="auto"/>
        <w:ind w:firstLine="420"/>
        <w:rPr>
          <w:rStyle w:val="da"/>
          <w:rFonts w:ascii="宋体" w:hAnsi="宋体"/>
          <w:lang w:eastAsia="zh-CN"/>
        </w:rPr>
      </w:pPr>
      <w:r>
        <w:rPr>
          <w:rStyle w:val="da"/>
          <w:rFonts w:ascii="宋体" w:hAnsi="宋体"/>
          <w:highlight w:val="white"/>
          <w:lang w:eastAsia="zh-CN"/>
        </w:rPr>
        <w:t>7</w:t>
      </w:r>
      <w:r>
        <w:rPr>
          <w:rStyle w:val="da"/>
          <w:rFonts w:ascii="宋体" w:eastAsia="宋体" w:hAnsi="宋体" w:cs="宋体"/>
          <w:highlight w:val="white"/>
          <w:lang w:eastAsia="zh-CN"/>
        </w:rPr>
        <w:t>、基金的证券交易费用；</w:t>
      </w:r>
    </w:p>
    <w:p w:rsidR="00D50D9C" w14:paraId="52F93E3F" w14:textId="77777777">
      <w:pPr>
        <w:spacing w:line="360" w:lineRule="auto"/>
        <w:ind w:firstLine="420"/>
        <w:rPr>
          <w:rStyle w:val="da"/>
          <w:rFonts w:ascii="宋体" w:hAnsi="宋体"/>
          <w:lang w:eastAsia="zh-CN"/>
        </w:rPr>
      </w:pPr>
      <w:r>
        <w:rPr>
          <w:rStyle w:val="da"/>
          <w:rFonts w:ascii="宋体" w:hAnsi="宋体"/>
          <w:highlight w:val="white"/>
          <w:lang w:eastAsia="zh-CN"/>
        </w:rPr>
        <w:t>8</w:t>
      </w:r>
      <w:r>
        <w:rPr>
          <w:rStyle w:val="da"/>
          <w:rFonts w:ascii="宋体" w:eastAsia="宋体" w:hAnsi="宋体" w:cs="宋体"/>
          <w:highlight w:val="white"/>
          <w:lang w:eastAsia="zh-CN"/>
        </w:rPr>
        <w:t>、基金的银行汇划费用；</w:t>
      </w:r>
    </w:p>
    <w:p w:rsidR="00D50D9C" w14:paraId="3ED5CE54" w14:textId="77777777">
      <w:pPr>
        <w:spacing w:line="360" w:lineRule="auto"/>
        <w:ind w:firstLine="420"/>
        <w:rPr>
          <w:rStyle w:val="da"/>
          <w:rFonts w:ascii="宋体" w:hAnsi="宋体"/>
          <w:lang w:eastAsia="zh-CN"/>
        </w:rPr>
      </w:pPr>
      <w:r>
        <w:rPr>
          <w:rStyle w:val="da"/>
          <w:rFonts w:ascii="宋体" w:hAnsi="宋体"/>
          <w:highlight w:val="white"/>
          <w:lang w:eastAsia="zh-CN"/>
        </w:rPr>
        <w:t>9</w:t>
      </w:r>
      <w:r>
        <w:rPr>
          <w:rStyle w:val="da"/>
          <w:rFonts w:ascii="宋体" w:eastAsia="宋体" w:hAnsi="宋体" w:cs="宋体"/>
          <w:highlight w:val="white"/>
          <w:lang w:eastAsia="zh-CN"/>
        </w:rPr>
        <w:t>、证券账户开户费用、银行账户维护费用；</w:t>
      </w:r>
    </w:p>
    <w:p w:rsidR="00D50D9C" w14:paraId="2B594562" w14:textId="77777777">
      <w:pPr>
        <w:spacing w:line="360" w:lineRule="auto"/>
        <w:ind w:firstLine="420"/>
        <w:rPr>
          <w:rStyle w:val="da"/>
          <w:rFonts w:ascii="宋体" w:hAnsi="宋体"/>
          <w:lang w:eastAsia="zh-CN"/>
        </w:rPr>
      </w:pPr>
      <w:r>
        <w:rPr>
          <w:rStyle w:val="da"/>
          <w:rFonts w:ascii="宋体" w:hAnsi="宋体"/>
          <w:highlight w:val="white"/>
          <w:lang w:eastAsia="zh-CN"/>
        </w:rPr>
        <w:t>10</w:t>
      </w:r>
      <w:r>
        <w:rPr>
          <w:rStyle w:val="da"/>
          <w:rFonts w:ascii="宋体" w:eastAsia="宋体" w:hAnsi="宋体" w:cs="宋体"/>
          <w:highlight w:val="white"/>
          <w:lang w:eastAsia="zh-CN"/>
        </w:rPr>
        <w:t>、因投资内地与香港股票市场交易互联互通机制允许买卖的香港证券市场股票而产生的各项合理费用；</w:t>
      </w:r>
    </w:p>
    <w:p w:rsidR="00D50D9C" w14:paraId="1AC7846A" w14:textId="77777777">
      <w:pPr>
        <w:spacing w:line="360" w:lineRule="auto"/>
        <w:ind w:firstLine="420"/>
        <w:rPr>
          <w:rStyle w:val="da"/>
          <w:rFonts w:ascii="宋体" w:hAnsi="宋体"/>
          <w:lang w:eastAsia="zh-CN"/>
        </w:rPr>
      </w:pPr>
      <w:r>
        <w:rPr>
          <w:rStyle w:val="da"/>
          <w:rFonts w:ascii="宋体" w:hAnsi="宋体"/>
          <w:highlight w:val="white"/>
          <w:lang w:eastAsia="zh-CN"/>
        </w:rPr>
        <w:t>11</w:t>
      </w:r>
      <w:r>
        <w:rPr>
          <w:rStyle w:val="da"/>
          <w:rFonts w:ascii="宋体" w:eastAsia="宋体" w:hAnsi="宋体" w:cs="宋体"/>
          <w:highlight w:val="white"/>
          <w:lang w:eastAsia="zh-CN"/>
        </w:rPr>
        <w:t>、按照国家有关规定和《基金合同》约定，可以在基金财产中列支的其他费用。</w:t>
      </w:r>
    </w:p>
    <w:p w:rsidR="00D50D9C" w14:paraId="732F98B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D50D9C" w14:paraId="0403A0BF" w14:textId="77777777">
      <w:pPr>
        <w:spacing w:line="360" w:lineRule="auto"/>
        <w:ind w:firstLine="480"/>
        <w:rPr>
          <w:lang w:eastAsia="zh-CN"/>
        </w:rPr>
      </w:pPr>
      <w:r>
        <w:rPr>
          <w:rFonts w:ascii="宋体" w:eastAsia="宋体" w:hAnsi="宋体" w:cs="宋体"/>
          <w:color w:val="000000"/>
          <w:highlight w:val="white"/>
          <w:lang w:eastAsia="zh-CN"/>
        </w:rPr>
        <w:t>1、基金管理人的管理费（包含固定管理费、或有管理费和超额管理费）</w:t>
      </w:r>
    </w:p>
    <w:p w:rsidR="00D50D9C" w14:paraId="1A3A6C45" w14:textId="77777777">
      <w:pPr>
        <w:spacing w:line="360" w:lineRule="auto"/>
        <w:ind w:firstLine="420" w:firstLineChars="200"/>
        <w:rPr>
          <w:lang w:eastAsia="zh-CN"/>
        </w:rPr>
      </w:pPr>
      <w:r>
        <w:rPr>
          <w:rFonts w:ascii="宋体" w:eastAsia="宋体" w:hAnsi="宋体" w:cs="宋体"/>
          <w:color w:val="000000"/>
          <w:highlight w:val="white"/>
          <w:lang w:eastAsia="zh-CN"/>
        </w:rPr>
        <w:t>本基金根据每笔基金份额的持有期限与持有期间年化收益率，在赎回、转换转出基金份额或基金合同终止的情形发生时确定该笔基金份额对应的管理费。</w:t>
      </w:r>
    </w:p>
    <w:p w:rsidR="00D50D9C" w14:paraId="4E586556" w14:textId="77777777">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D50D9C" w14:paraId="30347F04" w14:textId="77777777">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D50D9C" w14:paraId="68F99012" w14:textId="77777777">
      <w:pPr>
        <w:spacing w:line="276" w:lineRule="auto"/>
        <w:jc w:val="center"/>
        <w:rPr>
          <w:lang w:eastAsia="zh-CN"/>
        </w:rPr>
      </w:pPr>
      <w:r>
        <w:rPr>
          <w:rFonts w:ascii="宋体" w:eastAsia="宋体" w:hAnsi="宋体" w:cs="宋体"/>
          <w:b/>
          <w:color w:val="000000"/>
          <w:highlight w:val="white"/>
          <w:lang w:eastAsia="zh-CN"/>
        </w:rPr>
        <w:t>持有期限达到一年及以上的管理费率</w:t>
      </w:r>
    </w:p>
    <w:tbl>
      <w:tblPr>
        <w:tblStyle w:val="TableGrid"/>
        <w:tblW w:w="6658" w:type="dxa"/>
        <w:tblLayout w:type="fixed"/>
        <w:tblLook w:val="04A0"/>
      </w:tblPr>
      <w:tblGrid>
        <w:gridCol w:w="3827"/>
        <w:gridCol w:w="2831"/>
      </w:tblGrid>
      <w:tr w14:paraId="328AC23D" w14:textId="77777777">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4918F7A7" w14:textId="77777777">
            <w:pPr>
              <w:spacing w:line="276" w:lineRule="auto"/>
              <w:jc w:val="center"/>
              <w:rPr>
                <w:lang w:eastAsia="zh-CN"/>
              </w:rPr>
            </w:pPr>
            <w:r>
              <w:rPr>
                <w:rFonts w:ascii="宋体" w:eastAsia="宋体" w:hAnsi="宋体" w:cs="宋体"/>
                <w:b/>
                <w:color w:val="000000"/>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5DE197D6" w14:textId="77777777">
            <w:pPr>
              <w:spacing w:line="276" w:lineRule="auto"/>
              <w:jc w:val="center"/>
            </w:pPr>
            <w:r>
              <w:rPr>
                <w:rFonts w:ascii="宋体" w:eastAsia="宋体" w:hAnsi="宋体" w:cs="宋体"/>
                <w:b/>
                <w:color w:val="000000"/>
                <w:highlight w:val="white"/>
              </w:rPr>
              <w:t>管理费率（年费率）</w:t>
            </w:r>
          </w:p>
        </w:tc>
      </w:tr>
      <w:tr w14:paraId="278C58C0"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104A5B4E" w14:textId="77777777">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0F9D7B35" w14:textId="77777777">
            <w:pPr>
              <w:spacing w:line="276" w:lineRule="auto"/>
              <w:jc w:val="center"/>
            </w:pPr>
            <w:r>
              <w:rPr>
                <w:rFonts w:ascii="宋体" w:eastAsia="宋体" w:hAnsi="宋体" w:cs="宋体"/>
                <w:color w:val="000000"/>
                <w:highlight w:val="white"/>
              </w:rPr>
              <w:t>0.60%/年</w:t>
            </w:r>
          </w:p>
        </w:tc>
      </w:tr>
      <w:tr w14:paraId="616EF3D6"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4E3595F1" w14:textId="77777777">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78C6105F" w14:textId="77777777">
            <w:pPr>
              <w:spacing w:line="276" w:lineRule="auto"/>
              <w:jc w:val="center"/>
            </w:pPr>
            <w:r>
              <w:rPr>
                <w:rFonts w:ascii="宋体" w:eastAsia="宋体" w:hAnsi="宋体" w:cs="宋体"/>
                <w:color w:val="000000"/>
                <w:highlight w:val="white"/>
              </w:rPr>
              <w:t>1.50%/年</w:t>
            </w:r>
          </w:p>
        </w:tc>
      </w:tr>
      <w:tr w14:paraId="356AD9E6"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788D4529" w14:textId="77777777">
            <w:pPr>
              <w:spacing w:line="276" w:lineRule="auto"/>
              <w:jc w:val="center"/>
            </w:pPr>
            <w:r>
              <w:rPr>
                <w:rFonts w:ascii="宋体" w:eastAsia="宋体" w:hAnsi="宋体" w:cs="宋体"/>
                <w:color w:val="000000"/>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5EA32FBA" w14:textId="77777777">
            <w:pPr>
              <w:spacing w:line="276" w:lineRule="auto"/>
              <w:jc w:val="center"/>
            </w:pPr>
            <w:r>
              <w:rPr>
                <w:rFonts w:ascii="宋体" w:eastAsia="宋体" w:hAnsi="宋体" w:cs="宋体"/>
                <w:color w:val="000000"/>
                <w:highlight w:val="white"/>
              </w:rPr>
              <w:t>1.20%/年</w:t>
            </w:r>
          </w:p>
        </w:tc>
      </w:tr>
    </w:tbl>
    <w:p w:rsidR="00D50D9C" w14:paraId="5F361289" w14:textId="77777777">
      <w:pPr>
        <w:spacing w:line="360" w:lineRule="auto"/>
        <w:ind w:firstLine="480"/>
        <w:rPr>
          <w:lang w:eastAsia="zh-CN"/>
        </w:rPr>
      </w:pPr>
      <w:r>
        <w:rPr>
          <w:rFonts w:ascii="宋体" w:eastAsia="宋体" w:hAnsi="宋体" w:cs="宋体"/>
          <w:color w:val="000000"/>
          <w:highlight w:val="white"/>
          <w:lang w:eastAsia="zh-CN"/>
        </w:rPr>
        <w:t>注：①R为该笔基金份额持有期间年化收益率，R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为本基金业绩比较基准同期年化收益率。</w:t>
      </w:r>
    </w:p>
    <w:p w:rsidR="00D50D9C" w14:paraId="387204A3" w14:textId="77777777">
      <w:pPr>
        <w:spacing w:line="360" w:lineRule="auto"/>
        <w:ind w:firstLine="420" w:firstLineChars="200"/>
        <w:rPr>
          <w:lang w:eastAsia="zh-CN"/>
        </w:rPr>
      </w:pPr>
      <w:r>
        <w:rPr>
          <w:rFonts w:ascii="宋体" w:eastAsia="宋体" w:hAnsi="宋体" w:cs="宋体"/>
          <w:color w:val="000000"/>
          <w:highlight w:val="white"/>
          <w:lang w:eastAsia="zh-CN"/>
        </w:rPr>
        <w:t>②特别的，对于该笔份额持有期限达到一年及以上，R＞R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+6%且R＞0的情形，若扣除超额管理费后的持有期间年化收益率（R*）小于等于R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D50D9C" w14:paraId="0928A627" w14:textId="77777777">
      <w:pPr>
        <w:spacing w:line="360" w:lineRule="auto"/>
        <w:ind w:firstLine="420" w:firstLineChars="200"/>
        <w:rPr>
          <w:lang w:eastAsia="zh-CN"/>
        </w:rPr>
      </w:pPr>
      <w:r>
        <w:rPr>
          <w:rFonts w:ascii="宋体" w:eastAsia="宋体" w:hAnsi="宋体" w:cs="宋体"/>
          <w:color w:val="000000"/>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D50D9C" w14:paraId="777ADDD6" w14:textId="77777777">
      <w:pPr>
        <w:spacing w:line="360" w:lineRule="auto"/>
        <w:ind w:firstLine="420" w:firstLineChars="200"/>
        <w:rPr>
          <w:lang w:eastAsia="zh-CN"/>
        </w:rPr>
      </w:pPr>
      <w:r>
        <w:rPr>
          <w:rFonts w:ascii="宋体" w:eastAsia="宋体" w:hAnsi="宋体" w:cs="宋体"/>
          <w:color w:val="000000"/>
          <w:highlight w:val="white"/>
          <w:lang w:eastAsia="zh-CN"/>
        </w:rPr>
        <w:t>（1）固定管理费</w:t>
      </w:r>
    </w:p>
    <w:p w:rsidR="00D50D9C" w14:paraId="3F9D595F" w14:textId="77777777">
      <w:pPr>
        <w:spacing w:line="360" w:lineRule="auto"/>
        <w:ind w:firstLine="420" w:firstLineChars="200"/>
        <w:rPr>
          <w:lang w:eastAsia="zh-CN"/>
        </w:rPr>
      </w:pPr>
      <w:r>
        <w:rPr>
          <w:rFonts w:ascii="宋体" w:eastAsia="宋体" w:hAnsi="宋体" w:cs="宋体"/>
          <w:color w:val="000000"/>
          <w:highlight w:val="white"/>
          <w:lang w:eastAsia="zh-CN"/>
        </w:rPr>
        <w:t>本基金的固定管理费按前一日基金资产净值的0.6%年费率计提。固定管理费的计算方法如下：</w:t>
      </w:r>
    </w:p>
    <w:p w:rsidR="00D50D9C" w14:paraId="127A6A74" w14:textId="77777777">
      <w:pPr>
        <w:spacing w:line="360" w:lineRule="auto"/>
        <w:ind w:firstLine="420" w:firstLineChars="20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1</w:t>
      </w:r>
      <w:r>
        <w:rPr>
          <w:rFonts w:ascii="宋体" w:eastAsia="宋体" w:hAnsi="宋体" w:cs="宋体"/>
          <w:color w:val="000000"/>
          <w:highlight w:val="white"/>
          <w:lang w:eastAsia="zh-CN"/>
        </w:rPr>
        <w:t>= E×0.6%÷当年天数</w:t>
      </w:r>
    </w:p>
    <w:p w:rsidR="00D50D9C" w14:paraId="7D52AEEA" w14:textId="77777777">
      <w:pPr>
        <w:spacing w:line="360" w:lineRule="auto"/>
        <w:ind w:firstLine="420" w:firstLineChars="20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1</w:t>
      </w:r>
      <w:r>
        <w:rPr>
          <w:rFonts w:ascii="宋体" w:eastAsia="宋体" w:hAnsi="宋体" w:cs="宋体"/>
          <w:color w:val="000000"/>
          <w:highlight w:val="white"/>
          <w:lang w:eastAsia="zh-CN"/>
        </w:rPr>
        <w:t>为每日应计提的固定管理费</w:t>
      </w:r>
    </w:p>
    <w:p w:rsidR="00D50D9C" w14:paraId="680D51D9" w14:textId="77777777">
      <w:pPr>
        <w:spacing w:line="360" w:lineRule="auto"/>
        <w:ind w:firstLine="420" w:firstLineChars="200"/>
        <w:rPr>
          <w:lang w:eastAsia="zh-CN"/>
        </w:rPr>
      </w:pPr>
      <w:r>
        <w:rPr>
          <w:rFonts w:ascii="宋体" w:eastAsia="宋体" w:hAnsi="宋体" w:cs="宋体"/>
          <w:color w:val="000000"/>
          <w:highlight w:val="white"/>
          <w:lang w:eastAsia="zh-CN"/>
        </w:rPr>
        <w:t>E为前一日的基金资产净值</w:t>
      </w:r>
    </w:p>
    <w:p w:rsidR="00D50D9C" w14:paraId="6209E1FF" w14:textId="77777777">
      <w:pPr>
        <w:spacing w:line="360" w:lineRule="auto"/>
        <w:ind w:firstLine="420" w:firstLineChars="200"/>
        <w:rPr>
          <w:lang w:eastAsia="zh-CN"/>
        </w:rPr>
      </w:pPr>
      <w:r>
        <w:rPr>
          <w:rFonts w:ascii="宋体" w:eastAsia="宋体" w:hAnsi="宋体" w:cs="宋体"/>
          <w:color w:val="000000"/>
          <w:highlight w:val="white"/>
          <w:lang w:eastAsia="zh-CN"/>
        </w:rPr>
        <w:t>固定管理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D50D9C" w14:paraId="302FF09E" w14:textId="77777777">
      <w:pPr>
        <w:spacing w:line="360" w:lineRule="auto"/>
        <w:ind w:firstLine="420" w:firstLineChars="200"/>
        <w:rPr>
          <w:lang w:eastAsia="zh-CN"/>
        </w:rPr>
      </w:pPr>
      <w:r>
        <w:rPr>
          <w:rFonts w:ascii="宋体" w:eastAsia="宋体" w:hAnsi="宋体" w:cs="宋体"/>
          <w:color w:val="000000"/>
          <w:highlight w:val="white"/>
          <w:lang w:eastAsia="zh-CN"/>
        </w:rPr>
        <w:t>（2）或有管理费和超额管理费</w:t>
      </w:r>
    </w:p>
    <w:p w:rsidR="00D50D9C" w14:paraId="3A2EB657" w14:textId="77777777">
      <w:pPr>
        <w:spacing w:line="360" w:lineRule="auto"/>
        <w:ind w:firstLine="420" w:firstLineChars="200"/>
        <w:rPr>
          <w:lang w:eastAsia="zh-CN"/>
        </w:rPr>
      </w:pPr>
      <w:r>
        <w:rPr>
          <w:rFonts w:ascii="宋体" w:eastAsia="宋体" w:hAnsi="宋体" w:cs="宋体"/>
          <w:color w:val="000000"/>
          <w:highlight w:val="white"/>
          <w:lang w:eastAsia="zh-CN"/>
        </w:rPr>
        <w:t>本基金的或有管理费按前一日基金资产净值的0.6%年费率计提。或有管理费的计算方法如下：</w:t>
      </w:r>
    </w:p>
    <w:p w:rsidR="00D50D9C" w14:paraId="2D15F263" w14:textId="77777777">
      <w:pPr>
        <w:spacing w:line="360" w:lineRule="auto"/>
        <w:ind w:firstLine="48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2</w:t>
      </w:r>
      <w:r>
        <w:rPr>
          <w:rFonts w:ascii="宋体" w:eastAsia="宋体" w:hAnsi="宋体" w:cs="宋体"/>
          <w:color w:val="000000"/>
          <w:highlight w:val="white"/>
          <w:lang w:eastAsia="zh-CN"/>
        </w:rPr>
        <w:t>＝E×0.6%÷当年天数</w:t>
      </w:r>
    </w:p>
    <w:p w:rsidR="00D50D9C" w14:paraId="3E007E15" w14:textId="77777777">
      <w:pPr>
        <w:spacing w:line="360" w:lineRule="auto"/>
        <w:ind w:firstLine="48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2</w:t>
      </w:r>
      <w:r>
        <w:rPr>
          <w:rFonts w:ascii="宋体" w:eastAsia="宋体" w:hAnsi="宋体" w:cs="宋体"/>
          <w:color w:val="000000"/>
          <w:highlight w:val="white"/>
          <w:lang w:eastAsia="zh-CN"/>
        </w:rPr>
        <w:t>为每日应计提的或有管理费</w:t>
      </w:r>
    </w:p>
    <w:p w:rsidR="00D50D9C" w14:paraId="33F1B55C" w14:textId="77777777">
      <w:pPr>
        <w:spacing w:line="360" w:lineRule="auto"/>
        <w:ind w:firstLine="480"/>
        <w:rPr>
          <w:lang w:eastAsia="zh-CN"/>
        </w:rPr>
      </w:pPr>
      <w:r>
        <w:rPr>
          <w:rFonts w:ascii="宋体" w:eastAsia="宋体" w:hAnsi="宋体" w:cs="宋体"/>
          <w:color w:val="000000"/>
          <w:highlight w:val="white"/>
          <w:lang w:eastAsia="zh-CN"/>
        </w:rPr>
        <w:t>E为前一日的基金资产净值</w:t>
      </w:r>
    </w:p>
    <w:p w:rsidR="00D50D9C" w14:paraId="5AC75A12" w14:textId="77777777">
      <w:pPr>
        <w:spacing w:line="360" w:lineRule="auto"/>
        <w:ind w:firstLine="420" w:firstLineChars="200"/>
        <w:rPr>
          <w:lang w:eastAsia="zh-CN"/>
        </w:rPr>
      </w:pPr>
      <w:r>
        <w:rPr>
          <w:rFonts w:ascii="宋体" w:eastAsia="宋体" w:hAnsi="宋体" w:cs="宋体"/>
          <w:color w:val="000000"/>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D50D9C" w14:paraId="2CD7419A" w14:textId="77777777">
      <w:pPr>
        <w:spacing w:line="360" w:lineRule="auto"/>
        <w:ind w:firstLine="420" w:firstLineChars="200"/>
        <w:rPr>
          <w:lang w:eastAsia="zh-CN"/>
        </w:rPr>
      </w:pPr>
      <w:r>
        <w:rPr>
          <w:rFonts w:ascii="宋体" w:eastAsia="宋体" w:hAnsi="宋体" w:cs="宋体"/>
          <w:color w:val="000000"/>
          <w:highlight w:val="white"/>
          <w:lang w:eastAsia="zh-CN"/>
        </w:rPr>
        <w:t>基金超额管理费的计算方法如下：</w:t>
      </w:r>
    </w:p>
    <w:p w:rsidR="00D50D9C" w14:paraId="58FC7B59" w14:textId="77777777">
      <w:pPr>
        <w:spacing w:line="360" w:lineRule="auto"/>
        <w:ind w:firstLine="420" w:firstLineChars="200"/>
        <w:rPr>
          <w:lang w:eastAsia="zh-CN"/>
        </w:rPr>
      </w:pPr>
      <w:r>
        <w:rPr>
          <w:rFonts w:ascii="宋体" w:eastAsia="宋体" w:hAnsi="宋体" w:cs="宋体"/>
          <w:color w:val="000000"/>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实操中，登记机构按投资者持有该笔份额期间计提的或有管理费总额的50%计提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D50D9C" w14:paraId="6914ED55" w14:textId="77777777">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14:paraId="7617BA7B" w14:textId="77777777">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62E1B436" w14:textId="77777777">
            <w:pPr>
              <w:jc w:val="center"/>
            </w:pPr>
            <w:r>
              <w:rPr>
                <w:rFonts w:ascii="宋体" w:eastAsia="宋体" w:hAnsi="宋体" w:cs="宋体"/>
                <w:b/>
                <w:color w:val="000000"/>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07CB6FC3" w14:textId="77777777">
            <w:pPr>
              <w:jc w:val="center"/>
              <w:rPr>
                <w:lang w:eastAsia="zh-CN"/>
              </w:rPr>
            </w:pPr>
            <w:r>
              <w:rPr>
                <w:rFonts w:ascii="宋体" w:eastAsia="宋体" w:hAnsi="宋体" w:cs="宋体"/>
                <w:b/>
                <w:color w:val="000000"/>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228B2DC9" w14:textId="77777777">
            <w:pPr>
              <w:jc w:val="center"/>
              <w:rPr>
                <w:lang w:eastAsia="zh-CN"/>
              </w:rPr>
            </w:pPr>
            <w:r>
              <w:rPr>
                <w:rFonts w:ascii="宋体" w:eastAsia="宋体" w:hAnsi="宋体" w:cs="宋体"/>
                <w:b/>
                <w:color w:val="000000"/>
                <w:highlight w:val="white"/>
                <w:lang w:eastAsia="zh-CN"/>
              </w:rPr>
              <w:t>或有管理费</w:t>
            </w:r>
          </w:p>
          <w:p w:rsidR="00D50D9C" w14:paraId="5068365C" w14:textId="77777777">
            <w:pPr>
              <w:jc w:val="center"/>
              <w:rPr>
                <w:lang w:eastAsia="zh-CN"/>
              </w:rPr>
            </w:pPr>
            <w:r>
              <w:rPr>
                <w:rFonts w:ascii="宋体" w:eastAsia="宋体" w:hAnsi="宋体" w:cs="宋体"/>
                <w:b/>
                <w:color w:val="000000"/>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48FA460E" w14:textId="77777777">
            <w:pPr>
              <w:jc w:val="center"/>
              <w:rPr>
                <w:lang w:eastAsia="zh-CN"/>
              </w:rPr>
            </w:pPr>
            <w:r>
              <w:rPr>
                <w:rFonts w:ascii="宋体" w:eastAsia="宋体" w:hAnsi="宋体" w:cs="宋体"/>
                <w:b/>
                <w:color w:val="000000"/>
                <w:highlight w:val="white"/>
                <w:lang w:eastAsia="zh-CN"/>
              </w:rPr>
              <w:t>超额管理费</w:t>
            </w:r>
          </w:p>
          <w:p w:rsidR="00D50D9C" w14:paraId="445E70BC" w14:textId="77777777">
            <w:pPr>
              <w:jc w:val="center"/>
              <w:rPr>
                <w:lang w:eastAsia="zh-CN"/>
              </w:rPr>
            </w:pPr>
            <w:r>
              <w:rPr>
                <w:rFonts w:ascii="宋体" w:eastAsia="宋体" w:hAnsi="宋体" w:cs="宋体"/>
                <w:b/>
                <w:color w:val="000000"/>
                <w:highlight w:val="white"/>
                <w:lang w:eastAsia="zh-CN"/>
              </w:rPr>
              <w:t>（年费率）</w:t>
            </w:r>
          </w:p>
        </w:tc>
      </w:tr>
      <w:tr w14:paraId="31066FFB"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0759E6E4" w14:textId="77777777">
            <w:pPr>
              <w:jc w:val="center"/>
            </w:pPr>
            <w:r>
              <w:rPr>
                <w:rFonts w:ascii="宋体" w:eastAsia="宋体" w:hAnsi="宋体" w:cs="宋体"/>
                <w:color w:val="000000"/>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1EFB6304" w14:textId="77777777">
            <w:pPr>
              <w:jc w:val="center"/>
            </w:pPr>
            <w:r>
              <w:rPr>
                <w:rFonts w:ascii="宋体" w:eastAsia="宋体" w:hAnsi="宋体" w:cs="宋体"/>
                <w:color w:val="000000"/>
                <w:highlight w:val="white"/>
              </w:rPr>
              <w:t>R≤R</w:t>
            </w:r>
            <w:r>
              <w:rPr>
                <w:rFonts w:ascii="宋体" w:eastAsia="宋体" w:hAnsi="宋体" w:cs="宋体"/>
                <w:color w:val="000000"/>
                <w:highlight w:val="white"/>
                <w:vertAlign w:val="subscript"/>
              </w:rPr>
              <w:t>b</w:t>
            </w:r>
            <w:r>
              <w:rPr>
                <w:rFonts w:ascii="宋体" w:eastAsia="宋体" w:hAnsi="宋体" w:cs="宋体"/>
                <w:color w:val="000000"/>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2D124E0C" w14:textId="77777777">
            <w:pPr>
              <w:jc w:val="center"/>
            </w:pPr>
            <w:r>
              <w:rPr>
                <w:rFonts w:ascii="宋体" w:eastAsia="宋体" w:hAnsi="宋体" w:cs="宋体"/>
                <w:color w:val="000000"/>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3248E1AD" w14:textId="77777777">
            <w:pPr>
              <w:jc w:val="center"/>
            </w:pPr>
            <w:r>
              <w:rPr>
                <w:rFonts w:ascii="宋体" w:eastAsia="宋体" w:hAnsi="宋体" w:cs="宋体"/>
                <w:color w:val="000000"/>
                <w:highlight w:val="white"/>
              </w:rPr>
              <w:t>0</w:t>
            </w:r>
          </w:p>
        </w:tc>
      </w:tr>
      <w:tr w14:paraId="59AA628C"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5F02CA9F" w14:textId="77777777">
            <w:pPr>
              <w:jc w:val="center"/>
            </w:pPr>
            <w:r>
              <w:rPr>
                <w:rFonts w:ascii="宋体" w:eastAsia="宋体" w:hAnsi="宋体" w:cs="宋体"/>
                <w:color w:val="000000"/>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092418D2" w14:textId="77777777">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48D8E8B6" w14:textId="77777777">
            <w:pPr>
              <w:jc w:val="center"/>
            </w:pPr>
            <w:r>
              <w:rPr>
                <w:rFonts w:ascii="宋体" w:eastAsia="宋体" w:hAnsi="宋体" w:cs="宋体"/>
                <w:color w:val="000000"/>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44645F57" w14:textId="77777777">
            <w:pPr>
              <w:jc w:val="center"/>
            </w:pPr>
            <w:r>
              <w:rPr>
                <w:rFonts w:ascii="宋体" w:eastAsia="宋体" w:hAnsi="宋体" w:cs="宋体"/>
                <w:color w:val="000000"/>
                <w:highlight w:val="white"/>
              </w:rPr>
              <w:t>0.30%</w:t>
            </w:r>
          </w:p>
        </w:tc>
      </w:tr>
      <w:tr w14:paraId="5055574C"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50D9C" w14:paraId="78937BCF" w14:textId="77777777">
            <w:pPr>
              <w:jc w:val="center"/>
            </w:pPr>
            <w:r>
              <w:rPr>
                <w:rFonts w:ascii="宋体" w:eastAsia="宋体" w:hAnsi="宋体" w:cs="宋体"/>
                <w:color w:val="000000"/>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4D01A411" w14:textId="77777777">
            <w:pPr>
              <w:spacing w:line="276" w:lineRule="auto"/>
              <w:jc w:val="center"/>
            </w:pPr>
            <w:r>
              <w:rPr>
                <w:rFonts w:ascii="宋体" w:eastAsia="宋体" w:hAnsi="宋体" w:cs="宋体"/>
                <w:color w:val="000000"/>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5300015B" w14:textId="77777777">
            <w:pPr>
              <w:jc w:val="center"/>
            </w:pPr>
            <w:r>
              <w:rPr>
                <w:rFonts w:ascii="宋体" w:eastAsia="宋体" w:hAnsi="宋体" w:cs="宋体"/>
                <w:color w:val="000000"/>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50D9C" w14:paraId="4240F074" w14:textId="77777777">
            <w:pPr>
              <w:jc w:val="center"/>
            </w:pPr>
            <w:r>
              <w:rPr>
                <w:rFonts w:ascii="宋体" w:eastAsia="宋体" w:hAnsi="宋体" w:cs="宋体"/>
                <w:color w:val="000000"/>
                <w:highlight w:val="white"/>
              </w:rPr>
              <w:t>0</w:t>
            </w:r>
          </w:p>
        </w:tc>
      </w:tr>
    </w:tbl>
    <w:p w:rsidR="00D50D9C" w14:paraId="7502F18C" w14:textId="77777777">
      <w:pPr>
        <w:spacing w:line="360" w:lineRule="auto"/>
        <w:ind w:firstLine="420" w:firstLineChars="200"/>
        <w:rPr>
          <w:lang w:eastAsia="zh-CN"/>
        </w:rPr>
      </w:pPr>
      <w:r>
        <w:rPr>
          <w:rFonts w:ascii="宋体" w:eastAsia="宋体" w:hAnsi="宋体" w:cs="宋体"/>
          <w:color w:val="000000"/>
          <w:highlight w:val="white"/>
          <w:lang w:eastAsia="zh-CN"/>
        </w:rPr>
        <w:t>对于“情形二”，若扣除超额管理费后的持有期间年化收益率（R*）小于等于R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D50D9C" w14:paraId="0CF97A21" w14:textId="77777777">
      <w:pPr>
        <w:spacing w:line="360" w:lineRule="auto"/>
        <w:ind w:firstLine="420" w:firstLineChars="200"/>
        <w:rPr>
          <w:rFonts w:ascii="Calibri" w:hAnsi="Calibri" w:cs="Calibri"/>
          <w:szCs w:val="21"/>
          <w:lang w:eastAsia="zh-CN"/>
        </w:rPr>
      </w:pPr>
      <w:r>
        <w:rPr>
          <w:rFonts w:ascii="宋体" w:eastAsia="宋体" w:hAnsi="宋体" w:cs="宋体"/>
          <w:color w:val="000000"/>
          <w:szCs w:val="21"/>
          <w:highlight w:val="white"/>
          <w:lang w:eastAsia="zh-CN"/>
        </w:rPr>
        <w:t>每笔基金份额持有期间年化收益率（R）计算方法如下：</w:t>
      </w:r>
    </w:p>
    <w:p w:rsidR="00D50D9C" w14:paraId="59CEF79D" w14:textId="77777777">
      <w:pPr>
        <w:spacing w:line="360" w:lineRule="auto"/>
        <w:ind w:firstLine="420" w:firstLineChars="200"/>
        <w:rPr>
          <w:rFonts w:ascii="Calibri" w:hAnsi="Calibri" w:cs="Calibri"/>
          <w:iCs/>
          <w:szCs w:val="21"/>
        </w:rPr>
      </w:pPr>
      <w:r>
        <w:rPr>
          <w:noProof/>
          <w:szCs w:val="21"/>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37534" name="图片 6" descr="D:\Users\chengcai\桌面\1.jpg"/>
                    <pic:cNvPicPr>
                      <a:picLocks noChangeAspect="1"/>
                    </pic:cNvPicPr>
                  </pic:nvPicPr>
                  <pic:blipFill>
                    <a:blip xmlns:r="http://schemas.openxmlformats.org/officeDocument/2006/relationships" r:embed="rId16"/>
                    <a:stretch>
                      <a:fillRect/>
                    </a:stretch>
                  </pic:blipFill>
                  <pic:spPr>
                    <a:xfrm>
                      <a:off x="0" y="0"/>
                      <a:ext cx="1771650" cy="419100"/>
                    </a:xfrm>
                    <a:prstGeom prst="rect">
                      <a:avLst/>
                    </a:prstGeom>
                    <a:noFill/>
                    <a:ln>
                      <a:noFill/>
                    </a:ln>
                  </pic:spPr>
                </pic:pic>
              </a:graphicData>
            </a:graphic>
          </wp:inline>
        </w:drawing>
      </w:r>
    </w:p>
    <w:p w:rsidR="00D50D9C" w14:paraId="73FE21A4" w14:textId="77777777">
      <w:pPr>
        <w:spacing w:line="360" w:lineRule="auto"/>
        <w:ind w:firstLine="420" w:firstLineChars="200"/>
        <w:rPr>
          <w:rFonts w:ascii="Calibri" w:hAnsi="Calibri" w:cs="Calibri"/>
          <w:szCs w:val="21"/>
          <w:lang w:eastAsia="zh-CN"/>
        </w:rPr>
      </w:pPr>
      <w:r>
        <w:rPr>
          <w:rFonts w:ascii="宋体" w:eastAsia="宋体" w:hAnsi="宋体" w:cs="宋体"/>
          <w:color w:val="000000"/>
          <w:szCs w:val="21"/>
          <w:highlight w:val="white"/>
          <w:lang w:eastAsia="zh-CN"/>
        </w:rPr>
        <w:t>每笔基金份额扣除超额管理费后的持有期间年化收益率（R*）的计算方法如下：</w:t>
      </w:r>
    </w:p>
    <w:p w:rsidR="00D50D9C" w14:paraId="775D8816" w14:textId="77777777">
      <w:pPr>
        <w:spacing w:line="360" w:lineRule="auto"/>
        <w:ind w:firstLine="420" w:firstLineChars="200"/>
        <w:rPr>
          <w:rFonts w:ascii="Calibri" w:hAnsi="Calibri"/>
          <w:bCs/>
          <w:szCs w:val="21"/>
        </w:rPr>
      </w:pPr>
      <w:r>
        <w:rPr>
          <w:noProof/>
          <w:szCs w:val="21"/>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6641" name="图片 7" descr="D:\Users\chengcai\桌面\2.jpg"/>
                    <pic:cNvPicPr>
                      <a:picLocks noChangeAspect="1"/>
                    </pic:cNvPicPr>
                  </pic:nvPicPr>
                  <pic:blipFill>
                    <a:blip xmlns:r="http://schemas.openxmlformats.org/officeDocument/2006/relationships" r:embed="rId17"/>
                    <a:stretch>
                      <a:fillRect/>
                    </a:stretch>
                  </pic:blipFill>
                  <pic:spPr>
                    <a:xfrm>
                      <a:off x="0" y="0"/>
                      <a:ext cx="2609850" cy="438149"/>
                    </a:xfrm>
                    <a:prstGeom prst="rect">
                      <a:avLst/>
                    </a:prstGeom>
                    <a:noFill/>
                    <a:ln>
                      <a:noFill/>
                    </a:ln>
                  </pic:spPr>
                </pic:pic>
              </a:graphicData>
            </a:graphic>
          </wp:inline>
        </w:drawing>
      </w:r>
    </w:p>
    <w:p w:rsidR="00D50D9C" w14:paraId="5A3AA967" w14:textId="77777777">
      <w:pPr>
        <w:spacing w:line="360" w:lineRule="auto"/>
        <w:ind w:firstLine="420" w:firstLineChars="200"/>
        <w:rPr>
          <w:lang w:eastAsia="zh-CN"/>
        </w:rPr>
      </w:pPr>
      <w:bookmarkStart w:id="1845" w:name="_Hlk195865107"/>
      <w:bookmarkEnd w:id="1845"/>
      <w:r>
        <w:rPr>
          <w:rFonts w:ascii="宋体" w:eastAsia="宋体" w:hAnsi="宋体" w:cs="宋体"/>
          <w:color w:val="000000"/>
          <w:highlight w:val="white"/>
          <w:lang w:eastAsia="zh-CN"/>
        </w:rPr>
        <w:t>R为该笔基金份额持有期间年化收益率；R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为本基金业绩比较基准同期年化收益率；</w:t>
      </w:r>
    </w:p>
    <w:p w:rsidR="00D50D9C" w14:paraId="1781C689" w14:textId="77777777">
      <w:pPr>
        <w:spacing w:line="360" w:lineRule="auto"/>
        <w:ind w:firstLine="420" w:firstLineChars="200"/>
        <w:rPr>
          <w:lang w:eastAsia="zh-CN"/>
        </w:rPr>
      </w:pPr>
      <w:r>
        <w:rPr>
          <w:rFonts w:ascii="宋体" w:eastAsia="宋体" w:hAnsi="宋体" w:cs="宋体"/>
          <w:color w:val="000000"/>
          <w:highlight w:val="white"/>
          <w:lang w:eastAsia="zh-CN"/>
        </w:rPr>
        <w:t>A为该笔基金份额赎回/转换转出申请日或基金合同终止情形发生日的基金份额累计净值；</w:t>
      </w:r>
    </w:p>
    <w:p w:rsidR="00D50D9C" w14:paraId="68AA41BF" w14:textId="77777777">
      <w:pPr>
        <w:spacing w:line="360" w:lineRule="auto"/>
        <w:ind w:firstLine="420" w:firstLineChars="200"/>
        <w:rPr>
          <w:lang w:eastAsia="zh-CN"/>
        </w:rPr>
      </w:pPr>
      <w:r>
        <w:rPr>
          <w:rFonts w:ascii="宋体" w:eastAsia="宋体" w:hAnsi="宋体" w:cs="宋体"/>
          <w:color w:val="000000"/>
          <w:highlight w:val="white"/>
          <w:lang w:eastAsia="zh-CN"/>
        </w:rPr>
        <w:t>B为该笔基金份额认购/申购/转换转入申请日的基金份额累计净值，其中份额认购日的基金份额累计净值为1.0000元；</w:t>
      </w:r>
    </w:p>
    <w:p w:rsidR="00D50D9C" w14:paraId="66A91D44" w14:textId="77777777">
      <w:pPr>
        <w:spacing w:line="360" w:lineRule="auto"/>
        <w:ind w:firstLine="420" w:firstLineChars="200"/>
        <w:rPr>
          <w:lang w:eastAsia="zh-CN"/>
        </w:rPr>
      </w:pPr>
      <w:r>
        <w:rPr>
          <w:rFonts w:ascii="宋体" w:eastAsia="宋体" w:hAnsi="宋体" w:cs="宋体"/>
          <w:color w:val="000000"/>
          <w:highlight w:val="white"/>
          <w:lang w:eastAsia="zh-CN"/>
        </w:rPr>
        <w:t>C为该笔基金份额认购/申购/转换转入申请日的基金份额净值，其中份额认购日的基金份额净值为1.0000元；</w:t>
      </w:r>
    </w:p>
    <w:p w:rsidR="00D50D9C" w14:paraId="00D4B497" w14:textId="77777777">
      <w:pPr>
        <w:spacing w:line="360" w:lineRule="auto"/>
        <w:ind w:firstLine="420" w:firstLineChars="200"/>
        <w:rPr>
          <w:lang w:eastAsia="zh-CN"/>
        </w:rPr>
      </w:pPr>
      <w:r>
        <w:rPr>
          <w:rFonts w:ascii="宋体" w:eastAsia="宋体" w:hAnsi="宋体" w:cs="宋体"/>
          <w:color w:val="000000"/>
          <w:highlight w:val="white"/>
          <w:lang w:eastAsia="zh-CN"/>
        </w:rPr>
        <w:t>D为基金合同生效日（针对募集期内认购的基金份额）或该笔基金份额申购、转入确认日与赎回、转出确认日或基金合同终止情形发生日下一工作日的间隔天数；</w:t>
      </w:r>
    </w:p>
    <w:p w:rsidR="00D50D9C" w14:paraId="7B20B422" w14:textId="77777777">
      <w:pPr>
        <w:spacing w:line="360" w:lineRule="auto"/>
        <w:ind w:firstLine="420" w:firstLineChars="200"/>
        <w:rPr>
          <w:lang w:eastAsia="zh-CN"/>
        </w:rPr>
      </w:pPr>
      <w:r>
        <w:rPr>
          <w:rFonts w:ascii="宋体" w:eastAsia="宋体" w:hAnsi="宋体" w:cs="宋体"/>
          <w:color w:val="000000"/>
          <w:highlight w:val="white"/>
          <w:lang w:eastAsia="zh-CN"/>
        </w:rPr>
        <w:t>F为该笔基金份额的份额数；</w:t>
      </w:r>
    </w:p>
    <w:p w:rsidR="00D50D9C" w14:paraId="30AB6DCC" w14:textId="77777777">
      <w:pPr>
        <w:spacing w:line="360" w:lineRule="auto"/>
        <w:ind w:firstLine="420" w:firstLineChars="200"/>
        <w:rPr>
          <w:lang w:eastAsia="zh-CN"/>
        </w:rPr>
      </w:pPr>
      <w:r>
        <w:rPr>
          <w:rFonts w:ascii="cambria math, serif" w:hAnsi="cambria math, serif" w:cs="cambria math, serif"/>
          <w:noProof/>
          <w:color w:val="000000"/>
          <w:lang w:eastAsia="zh-CN"/>
        </w:rPr>
        <w:drawing>
          <wp:inline distT="0" distB="0" distL="0" distR="0">
            <wp:extent cx="182880" cy="140335"/>
            <wp:effectExtent l="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03650" name="图片 1"/>
                    <pic:cNvPicPr>
                      <a:picLocks noChangeAspect="1"/>
                    </pic:cNvPicPr>
                  </pic:nvPicPr>
                  <pic:blipFill>
                    <a:blip xmlns:r="http://schemas.openxmlformats.org/officeDocument/2006/relationships" r:embed="rId18"/>
                    <a:stretch>
                      <a:fillRect/>
                    </a:stretch>
                  </pic:blipFill>
                  <pic:spPr>
                    <a:xfrm>
                      <a:off x="0" y="0"/>
                      <a:ext cx="185863" cy="142495"/>
                    </a:xfrm>
                    <a:prstGeom prst="rect">
                      <a:avLst/>
                    </a:prstGeom>
                  </pic:spPr>
                </pic:pic>
              </a:graphicData>
            </a:graphic>
          </wp:inline>
        </w:drawing>
      </w:r>
      <w:r>
        <w:rPr>
          <w:rFonts w:ascii="宋体" w:eastAsia="宋体" w:hAnsi="宋体" w:cs="宋体"/>
          <w:color w:val="000000"/>
          <w:highlight w:val="white"/>
          <w:lang w:eastAsia="zh-CN"/>
        </w:rPr>
        <w:t>为该笔基金份额持有期间拟扣除的超额管理费。</w:t>
      </w:r>
    </w:p>
    <w:p w:rsidR="00D50D9C" w14:paraId="3B9FEA46" w14:textId="77777777">
      <w:pPr>
        <w:spacing w:line="360" w:lineRule="auto"/>
        <w:ind w:firstLine="480"/>
        <w:rPr>
          <w:lang w:eastAsia="zh-CN"/>
        </w:rPr>
      </w:pPr>
      <w:r>
        <w:rPr>
          <w:rFonts w:ascii="宋体" w:eastAsia="宋体" w:hAnsi="宋体" w:cs="宋体"/>
          <w:color w:val="000000"/>
          <w:highlight w:val="white"/>
          <w:lang w:eastAsia="zh-CN"/>
        </w:rPr>
        <w:t>对于已经确认为管理人收入的或有管理费和超额管理费，由基金托管人根据与基金管理人核对一致的财务数据，按照与基金管理人协商一致的方式于次月前5个工作日内支付。若遇法定节假日、公休日等，支付日期顺延。</w:t>
      </w:r>
    </w:p>
    <w:p w:rsidR="00D50D9C" w14:paraId="00EB5DFE" w14:textId="77777777">
      <w:pPr>
        <w:spacing w:line="360" w:lineRule="auto"/>
        <w:ind w:firstLine="480"/>
        <w:rPr>
          <w:lang w:eastAsia="zh-CN"/>
        </w:rPr>
      </w:pPr>
      <w:r>
        <w:rPr>
          <w:rFonts w:ascii="宋体" w:eastAsia="宋体" w:hAnsi="宋体" w:cs="宋体"/>
          <w:color w:val="000000"/>
          <w:highlight w:val="white"/>
          <w:lang w:eastAsia="zh-CN"/>
        </w:rPr>
        <w:t>因涉及相关数据，基金管理人或有管理费的归属确认和超额管理费的计算工作由基金管理人完成，相关信息以注册登记机构计算结果为准，基金托管人不承担复核责任。</w:t>
      </w:r>
    </w:p>
    <w:p w:rsidR="00D50D9C" w14:paraId="60819597" w14:textId="77777777">
      <w:pPr>
        <w:spacing w:line="360" w:lineRule="auto"/>
        <w:ind w:firstLine="420" w:firstLineChars="200"/>
        <w:rPr>
          <w:lang w:eastAsia="zh-CN"/>
        </w:rPr>
      </w:pPr>
      <w:r>
        <w:rPr>
          <w:rFonts w:ascii="宋体" w:eastAsia="宋体" w:hAnsi="宋体" w:cs="宋体"/>
          <w:color w:val="000000"/>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D50D9C" w14:paraId="6654A429" w14:textId="77777777">
      <w:pPr>
        <w:spacing w:line="360" w:lineRule="auto"/>
        <w:ind w:firstLine="420" w:firstLineChars="200"/>
        <w:rPr>
          <w:lang w:eastAsia="zh-CN"/>
        </w:rPr>
      </w:pPr>
      <w:r>
        <w:rPr>
          <w:rFonts w:ascii="宋体" w:eastAsia="宋体" w:hAnsi="宋体" w:cs="宋体"/>
          <w:color w:val="000000"/>
          <w:highlight w:val="white"/>
          <w:lang w:eastAsia="zh-CN"/>
        </w:rPr>
        <w:t>确认为管理人收入的或有管理费和超额管理费金额、返还投资者的或有管理费金额以登记机构的计算结果为准。</w:t>
      </w:r>
    </w:p>
    <w:p w:rsidR="00D50D9C" w14:paraId="582AAA2F" w14:textId="77777777">
      <w:pPr>
        <w:spacing w:line="360" w:lineRule="auto"/>
        <w:ind w:firstLine="420"/>
        <w:rPr>
          <w:lang w:eastAsia="zh-CN"/>
        </w:rPr>
      </w:pPr>
      <w:r>
        <w:rPr>
          <w:rFonts w:ascii="宋体" w:eastAsia="宋体" w:hAnsi="宋体" w:cs="宋体"/>
          <w:color w:val="000000"/>
          <w:highlight w:val="white"/>
          <w:lang w:eastAsia="zh-CN"/>
        </w:rPr>
        <w:t>本基金实施侧袋机制的，上述有关约定仅适用于主袋账户。</w:t>
      </w:r>
    </w:p>
    <w:p w:rsidR="00D50D9C" w14:paraId="77CFBF7D" w14:textId="77777777">
      <w:pPr>
        <w:spacing w:line="360" w:lineRule="auto"/>
        <w:ind w:firstLine="480"/>
        <w:rPr>
          <w:lang w:eastAsia="zh-CN"/>
        </w:rPr>
      </w:pPr>
      <w:r>
        <w:rPr>
          <w:rFonts w:ascii="宋体" w:eastAsia="宋体" w:hAnsi="宋体" w:cs="宋体"/>
          <w:color w:val="000000"/>
          <w:highlight w:val="white"/>
          <w:lang w:eastAsia="zh-CN"/>
        </w:rPr>
        <w:t>2、基金托管人的托管费</w:t>
      </w:r>
    </w:p>
    <w:p w:rsidR="00D50D9C" w14:paraId="77F20642" w14:textId="77777777">
      <w:pPr>
        <w:spacing w:line="360" w:lineRule="auto"/>
        <w:ind w:firstLine="480"/>
        <w:rPr>
          <w:lang w:eastAsia="zh-CN"/>
        </w:rPr>
      </w:pPr>
      <w:r>
        <w:rPr>
          <w:rFonts w:ascii="宋体" w:eastAsia="宋体" w:hAnsi="宋体" w:cs="宋体"/>
          <w:color w:val="000000"/>
          <w:highlight w:val="white"/>
          <w:lang w:eastAsia="zh-CN"/>
        </w:rPr>
        <w:t>本基金的托管费按前一日基金资产净值的0.20%年费率计提。托管费的计算方法如下：</w:t>
      </w:r>
    </w:p>
    <w:p w:rsidR="00D50D9C" w14:paraId="1AE708E4" w14:textId="77777777">
      <w:pPr>
        <w:spacing w:line="360" w:lineRule="auto"/>
        <w:ind w:firstLine="480"/>
        <w:rPr>
          <w:lang w:eastAsia="zh-CN"/>
        </w:rPr>
      </w:pPr>
      <w:r>
        <w:rPr>
          <w:rFonts w:ascii="宋体" w:eastAsia="宋体" w:hAnsi="宋体" w:cs="宋体"/>
          <w:color w:val="000000"/>
          <w:highlight w:val="white"/>
          <w:lang w:eastAsia="zh-CN"/>
        </w:rPr>
        <w:t>H＝E×0.20%÷当年天数</w:t>
      </w:r>
    </w:p>
    <w:p w:rsidR="00D50D9C" w14:paraId="2C4CD07F" w14:textId="77777777">
      <w:pPr>
        <w:spacing w:line="360" w:lineRule="auto"/>
        <w:ind w:firstLine="480"/>
        <w:rPr>
          <w:lang w:eastAsia="zh-CN"/>
        </w:rPr>
      </w:pPr>
      <w:r>
        <w:rPr>
          <w:rFonts w:ascii="宋体" w:eastAsia="宋体" w:hAnsi="宋体" w:cs="宋体"/>
          <w:color w:val="000000"/>
          <w:highlight w:val="white"/>
          <w:lang w:eastAsia="zh-CN"/>
        </w:rPr>
        <w:t>H为每日应计提的基金托管费</w:t>
      </w:r>
    </w:p>
    <w:p w:rsidR="00D50D9C" w14:paraId="19E75E6C" w14:textId="77777777">
      <w:pPr>
        <w:spacing w:line="360" w:lineRule="auto"/>
        <w:ind w:firstLine="480"/>
        <w:rPr>
          <w:lang w:eastAsia="zh-CN"/>
        </w:rPr>
      </w:pPr>
      <w:r>
        <w:rPr>
          <w:rFonts w:ascii="宋体" w:eastAsia="宋体" w:hAnsi="宋体" w:cs="宋体"/>
          <w:color w:val="000000"/>
          <w:highlight w:val="white"/>
          <w:lang w:eastAsia="zh-CN"/>
        </w:rPr>
        <w:t>E为前一日的基金资产净值</w:t>
      </w:r>
    </w:p>
    <w:p w:rsidR="00D50D9C" w14:paraId="5C1E173F" w14:textId="77777777">
      <w:pPr>
        <w:spacing w:line="360" w:lineRule="auto"/>
        <w:ind w:firstLine="480"/>
        <w:rPr>
          <w:lang w:eastAsia="zh-CN"/>
        </w:rPr>
      </w:pPr>
      <w:r>
        <w:rPr>
          <w:rFonts w:ascii="宋体" w:eastAsia="宋体" w:hAnsi="宋体" w:cs="宋体"/>
          <w:color w:val="000000"/>
          <w:highlight w:val="white"/>
          <w:lang w:eastAsia="zh-CN"/>
        </w:rPr>
        <w:t>基金托管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D50D9C" w14:paraId="096EA6B4" w14:textId="77777777">
      <w:pPr>
        <w:spacing w:line="360" w:lineRule="auto"/>
        <w:ind w:firstLine="480"/>
        <w:rPr>
          <w:lang w:eastAsia="zh-CN"/>
        </w:rPr>
      </w:pPr>
      <w:r>
        <w:rPr>
          <w:rFonts w:ascii="宋体" w:eastAsia="宋体" w:hAnsi="宋体" w:cs="宋体"/>
          <w:color w:val="000000"/>
          <w:highlight w:val="white"/>
          <w:lang w:eastAsia="zh-CN"/>
        </w:rPr>
        <w:t>3、销售服务费</w:t>
      </w:r>
    </w:p>
    <w:p w:rsidR="00D50D9C" w14:paraId="74FE008F" w14:textId="77777777">
      <w:pPr>
        <w:spacing w:line="360" w:lineRule="auto"/>
        <w:ind w:firstLine="480"/>
        <w:rPr>
          <w:lang w:eastAsia="zh-CN"/>
        </w:rPr>
      </w:pPr>
      <w:r>
        <w:rPr>
          <w:rFonts w:ascii="宋体" w:eastAsia="宋体" w:hAnsi="宋体" w:cs="宋体"/>
          <w:color w:val="000000"/>
          <w:highlight w:val="white"/>
          <w:lang w:eastAsia="zh-CN"/>
        </w:rPr>
        <w:t>本基金A类基金份额不收取销售服务费，C类基金份额的销售服务费年费率为0.</w:t>
      </w:r>
      <w:r w:rsidR="00570A48">
        <w:rPr>
          <w:rFonts w:ascii="宋体" w:eastAsia="宋体" w:hAnsi="宋体" w:cs="宋体"/>
          <w:color w:val="000000"/>
          <w:highlight w:val="white"/>
          <w:lang w:eastAsia="zh-CN"/>
        </w:rPr>
        <w:t>40</w:t>
      </w:r>
      <w:r>
        <w:rPr>
          <w:rFonts w:ascii="宋体" w:eastAsia="宋体" w:hAnsi="宋体" w:cs="宋体"/>
          <w:color w:val="000000"/>
          <w:highlight w:val="white"/>
          <w:lang w:eastAsia="zh-CN"/>
        </w:rPr>
        <w:t>%，按C类基金份额前一日基金资产净值的0.</w:t>
      </w:r>
      <w:r w:rsidR="00570A48">
        <w:rPr>
          <w:rFonts w:ascii="宋体" w:eastAsia="宋体" w:hAnsi="宋体" w:cs="宋体"/>
          <w:color w:val="000000"/>
          <w:highlight w:val="white"/>
          <w:lang w:eastAsia="zh-CN"/>
        </w:rPr>
        <w:t>40</w:t>
      </w:r>
      <w:r>
        <w:rPr>
          <w:rFonts w:ascii="宋体" w:eastAsia="宋体" w:hAnsi="宋体" w:cs="宋体"/>
          <w:color w:val="000000"/>
          <w:highlight w:val="white"/>
          <w:lang w:eastAsia="zh-CN"/>
        </w:rPr>
        <w:t>%年费率计提。</w:t>
      </w:r>
    </w:p>
    <w:p w:rsidR="00D50D9C" w14:paraId="4F685E7E" w14:textId="77777777">
      <w:pPr>
        <w:spacing w:line="360" w:lineRule="auto"/>
        <w:ind w:firstLine="480"/>
        <w:rPr>
          <w:lang w:eastAsia="zh-CN"/>
        </w:rPr>
      </w:pPr>
      <w:r>
        <w:rPr>
          <w:rFonts w:ascii="宋体" w:eastAsia="宋体" w:hAnsi="宋体" w:cs="宋体"/>
          <w:color w:val="000000"/>
          <w:highlight w:val="white"/>
          <w:lang w:eastAsia="zh-CN"/>
        </w:rPr>
        <w:t>销售服务费的计算方法如下：</w:t>
      </w:r>
    </w:p>
    <w:p w:rsidR="00D50D9C" w14:paraId="71FDDB04" w14:textId="77777777">
      <w:pPr>
        <w:spacing w:line="360" w:lineRule="auto"/>
        <w:ind w:firstLine="480"/>
        <w:rPr>
          <w:lang w:eastAsia="zh-CN"/>
        </w:rPr>
      </w:pPr>
      <w:r>
        <w:rPr>
          <w:rFonts w:ascii="宋体" w:eastAsia="宋体" w:hAnsi="宋体" w:cs="宋体"/>
          <w:color w:val="000000"/>
          <w:highlight w:val="white"/>
          <w:lang w:eastAsia="zh-CN"/>
        </w:rPr>
        <w:t>H＝E×0.</w:t>
      </w:r>
      <w:r w:rsidR="00570A48">
        <w:rPr>
          <w:rFonts w:ascii="宋体" w:eastAsia="宋体" w:hAnsi="宋体" w:cs="宋体"/>
          <w:color w:val="000000"/>
          <w:highlight w:val="white"/>
          <w:lang w:eastAsia="zh-CN"/>
        </w:rPr>
        <w:t>40</w:t>
      </w:r>
      <w:r>
        <w:rPr>
          <w:rFonts w:ascii="宋体" w:eastAsia="宋体" w:hAnsi="宋体" w:cs="宋体"/>
          <w:color w:val="000000"/>
          <w:highlight w:val="white"/>
          <w:lang w:eastAsia="zh-CN"/>
        </w:rPr>
        <w:t>%÷当年天数</w:t>
      </w:r>
    </w:p>
    <w:p w:rsidR="00D50D9C" w14:paraId="32C82117" w14:textId="77777777">
      <w:pPr>
        <w:spacing w:line="360" w:lineRule="auto"/>
        <w:ind w:firstLine="480"/>
        <w:rPr>
          <w:lang w:eastAsia="zh-CN"/>
        </w:rPr>
      </w:pPr>
      <w:r>
        <w:rPr>
          <w:rFonts w:ascii="宋体" w:eastAsia="宋体" w:hAnsi="宋体" w:cs="宋体"/>
          <w:color w:val="000000"/>
          <w:highlight w:val="white"/>
          <w:lang w:eastAsia="zh-CN"/>
        </w:rPr>
        <w:t>H 为C类基金份额每日应计提的销售服务费</w:t>
      </w:r>
    </w:p>
    <w:p w:rsidR="00D50D9C" w14:paraId="42AA33EA" w14:textId="77777777">
      <w:pPr>
        <w:spacing w:line="360" w:lineRule="auto"/>
        <w:ind w:firstLine="480"/>
        <w:rPr>
          <w:lang w:eastAsia="zh-CN"/>
        </w:rPr>
      </w:pPr>
      <w:r>
        <w:rPr>
          <w:rFonts w:ascii="宋体" w:eastAsia="宋体" w:hAnsi="宋体" w:cs="宋体"/>
          <w:color w:val="000000"/>
          <w:highlight w:val="white"/>
          <w:lang w:eastAsia="zh-CN"/>
        </w:rPr>
        <w:t>E 为C类基金份额前一日的基金资产净值</w:t>
      </w:r>
    </w:p>
    <w:p w:rsidR="00570A48" w:rsidRPr="00570A48" w:rsidP="00570A48" w14:paraId="16967991" w14:textId="77777777">
      <w:pPr>
        <w:spacing w:line="360" w:lineRule="auto"/>
        <w:ind w:firstLine="480"/>
        <w:rPr>
          <w:rFonts w:ascii="宋体" w:eastAsia="宋体" w:hAnsi="宋体" w:cs="宋体"/>
          <w:color w:val="000000"/>
          <w:lang w:eastAsia="zh-CN"/>
        </w:rPr>
      </w:pPr>
      <w:r w:rsidRPr="00570A48">
        <w:rPr>
          <w:rFonts w:ascii="宋体" w:eastAsia="宋体" w:hAnsi="宋体" w:cs="宋体" w:hint="eastAsia"/>
          <w:color w:val="000000"/>
          <w:lang w:eastAsia="zh-CN"/>
        </w:rPr>
        <w:t>销售服务费每日计提。</w:t>
      </w:r>
    </w:p>
    <w:p w:rsidR="00570A48" w:rsidRPr="00570A48" w:rsidP="00570A48" w14:paraId="25C2762F" w14:textId="77777777">
      <w:pPr>
        <w:spacing w:line="360" w:lineRule="auto"/>
        <w:ind w:firstLine="480"/>
        <w:rPr>
          <w:rFonts w:ascii="宋体" w:eastAsia="宋体" w:hAnsi="宋体" w:cs="宋体"/>
          <w:color w:val="000000"/>
          <w:lang w:eastAsia="zh-CN"/>
        </w:rPr>
      </w:pPr>
      <w:r w:rsidRPr="00570A48">
        <w:rPr>
          <w:rFonts w:ascii="宋体" w:eastAsia="宋体" w:hAnsi="宋体" w:cs="宋体" w:hint="eastAsia"/>
          <w:color w:val="000000"/>
          <w:lang w:eastAsia="zh-CN"/>
        </w:rPr>
        <w:t>（1）通过基金管理人或其基金销售子公司投资的C类基金份额</w:t>
      </w:r>
    </w:p>
    <w:p w:rsidR="00570A48" w:rsidRPr="00570A48" w:rsidP="00570A48" w14:paraId="303CBFFE" w14:textId="77777777">
      <w:pPr>
        <w:spacing w:line="360" w:lineRule="auto"/>
        <w:ind w:firstLine="480"/>
        <w:rPr>
          <w:rFonts w:ascii="宋体" w:eastAsia="宋体" w:hAnsi="宋体" w:cs="宋体"/>
          <w:color w:val="000000"/>
          <w:lang w:eastAsia="zh-CN"/>
        </w:rPr>
      </w:pPr>
      <w:r w:rsidRPr="00570A48">
        <w:rPr>
          <w:rFonts w:ascii="宋体" w:eastAsia="宋体" w:hAnsi="宋体" w:cs="宋体" w:hint="eastAsia"/>
          <w:color w:val="000000"/>
          <w:lang w:eastAsia="zh-CN"/>
        </w:rPr>
        <w:t>对于基金份额计提的销售服务费，在投资者赎回基金份额或基金合同终止时，随赎回款（或清算款）一并返还给投资者；对于转换转出业务，销售服务费将作为转换转出份额对应的款项一并划转至转换转入的基金。</w:t>
      </w:r>
    </w:p>
    <w:p w:rsidR="00570A48" w:rsidRPr="00570A48" w:rsidP="00570A48" w14:paraId="259E41BA" w14:textId="77777777">
      <w:pPr>
        <w:spacing w:line="360" w:lineRule="auto"/>
        <w:ind w:firstLine="480"/>
        <w:rPr>
          <w:rFonts w:ascii="宋体" w:eastAsia="宋体" w:hAnsi="宋体" w:cs="宋体"/>
          <w:color w:val="000000"/>
          <w:lang w:eastAsia="zh-CN"/>
        </w:rPr>
      </w:pPr>
      <w:r w:rsidRPr="00570A48">
        <w:rPr>
          <w:rFonts w:ascii="宋体" w:eastAsia="宋体" w:hAnsi="宋体" w:cs="宋体" w:hint="eastAsia"/>
          <w:color w:val="000000"/>
          <w:lang w:eastAsia="zh-CN"/>
        </w:rPr>
        <w:t>（2）通过其他销售机构投资的C类基金份额</w:t>
      </w:r>
    </w:p>
    <w:p w:rsidR="00570A48" w:rsidRPr="00570A48" w:rsidP="00570A48" w14:paraId="434C36DD" w14:textId="3720305E">
      <w:pPr>
        <w:spacing w:line="360" w:lineRule="auto"/>
        <w:ind w:firstLine="480"/>
        <w:rPr>
          <w:rFonts w:ascii="宋体" w:eastAsia="宋体" w:hAnsi="宋体" w:cs="宋体"/>
          <w:color w:val="000000"/>
          <w:lang w:eastAsia="zh-CN"/>
        </w:rPr>
      </w:pPr>
      <w:r w:rsidRPr="00570A48">
        <w:rPr>
          <w:rFonts w:ascii="宋体" w:eastAsia="宋体" w:hAnsi="宋体" w:cs="宋体" w:hint="eastAsia"/>
          <w:color w:val="000000"/>
          <w:lang w:eastAsia="zh-CN"/>
        </w:rPr>
        <w:t>对于投资者持续持有期限不</w:t>
      </w:r>
      <w:r w:rsidR="00635360">
        <w:rPr>
          <w:rFonts w:ascii="宋体" w:eastAsia="宋体" w:hAnsi="宋体" w:cs="宋体" w:hint="eastAsia"/>
          <w:color w:val="000000"/>
          <w:lang w:eastAsia="zh-CN"/>
        </w:rPr>
        <w:t>超过</w:t>
      </w:r>
      <w:r w:rsidRPr="00570A48">
        <w:rPr>
          <w:rFonts w:ascii="宋体" w:eastAsia="宋体" w:hAnsi="宋体" w:cs="宋体" w:hint="eastAsia"/>
          <w:color w:val="000000"/>
          <w:lang w:eastAsia="zh-CN"/>
        </w:rPr>
        <w:t>一年（即365天，下同）的基金份额计提的销售服务费，</w:t>
      </w:r>
      <w:r w:rsidRPr="00635360" w:rsidR="00635360">
        <w:rPr>
          <w:rFonts w:ascii="宋体" w:eastAsia="宋体" w:hAnsi="宋体" w:cs="宋体" w:hint="eastAsia"/>
          <w:color w:val="000000"/>
          <w:lang w:eastAsia="zh-CN"/>
        </w:rPr>
        <w:t>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570A48" w:rsidRPr="00570A48" w:rsidP="00570A48" w14:paraId="5DE1A243" w14:textId="2E9D7C86">
      <w:pPr>
        <w:spacing w:line="360" w:lineRule="auto"/>
        <w:ind w:firstLine="480"/>
        <w:rPr>
          <w:rFonts w:ascii="宋体" w:eastAsia="宋体" w:hAnsi="宋体" w:cs="宋体"/>
          <w:color w:val="000000"/>
          <w:lang w:eastAsia="zh-CN"/>
        </w:rPr>
      </w:pPr>
      <w:r w:rsidRPr="00570A48">
        <w:rPr>
          <w:rFonts w:ascii="宋体" w:eastAsia="宋体" w:hAnsi="宋体" w:cs="宋体" w:hint="eastAsia"/>
          <w:color w:val="000000"/>
          <w:lang w:eastAsia="zh-CN"/>
        </w:rPr>
        <w:t>对于持续持有期限超过一年的基金份额继续计提的销售服务费，在投资者赎回基金份额或基金合同终止时，随赎回款（或清算款）一并返还给投资者；对于转换转出业务，销售服务费将作为转换转出份额对应的款项一并划转至转换转入的基金。</w:t>
      </w:r>
    </w:p>
    <w:p w:rsidR="00D50D9C" w:rsidP="00570A48" w14:paraId="341AC659" w14:textId="77777777">
      <w:pPr>
        <w:spacing w:line="360" w:lineRule="auto"/>
        <w:ind w:firstLine="480"/>
        <w:rPr>
          <w:lang w:eastAsia="zh-CN"/>
        </w:rPr>
      </w:pPr>
      <w:r w:rsidRPr="00570A48">
        <w:rPr>
          <w:rFonts w:ascii="宋体" w:eastAsia="宋体" w:hAnsi="宋体" w:cs="宋体" w:hint="eastAsia"/>
          <w:color w:val="000000"/>
          <w:lang w:eastAsia="zh-CN"/>
        </w:rPr>
        <w:t>销售服务费计提后按规定收取或返还投资者的金额以登记机构的计算结果为准。</w:t>
      </w:r>
    </w:p>
    <w:p w:rsidR="00D50D9C" w14:paraId="02380E4A" w14:textId="77777777">
      <w:pPr>
        <w:spacing w:line="360" w:lineRule="auto"/>
        <w:ind w:firstLine="480"/>
        <w:rPr>
          <w:lang w:eastAsia="zh-CN"/>
        </w:rPr>
      </w:pPr>
      <w:r>
        <w:rPr>
          <w:rFonts w:ascii="宋体" w:eastAsia="宋体" w:hAnsi="宋体" w:cs="宋体"/>
          <w:color w:val="000000"/>
          <w:highlight w:val="white"/>
          <w:lang w:eastAsia="zh-CN"/>
        </w:rPr>
        <w:t>上述“一、基金费用的种类”中第4－11项费用，根据有关法规及相应协议规定，按费用实际支出金额列入当期费用，由基金托管人从基金财产中支付。</w:t>
      </w:r>
    </w:p>
    <w:p w:rsidR="00D50D9C" w14:paraId="3B88EB1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三、不列入基金费用的项目</w:t>
      </w:r>
    </w:p>
    <w:p w:rsidR="00D50D9C" w14:paraId="0EAF089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D50D9C" w14:paraId="6BE9DE79" w14:textId="7777777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、基金管理人和基金托管人因未履行或未完全履行义务导致的费用支出或基金财产的损失；</w:t>
      </w:r>
    </w:p>
    <w:p w:rsidR="00D50D9C" w14:paraId="0608C2B2" w14:textId="7777777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、基金管理人和基金托管人处理与基金运作无关的事项发生的费用；</w:t>
      </w:r>
    </w:p>
    <w:p w:rsidR="00D50D9C" w14:paraId="1921C829" w14:textId="7777777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、《基金合同》生效前的相关费用；</w:t>
      </w:r>
    </w:p>
    <w:p w:rsidR="00D50D9C" w14:paraId="400887CA" w14:textId="7777777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、其他根据相关法律法规及中国证监会的有关规定不得列入基金费用的项目。</w:t>
      </w:r>
    </w:p>
    <w:p w:rsidR="00D50D9C" w14:paraId="224E2162" w14:textId="77777777">
      <w:pPr>
        <w:spacing w:line="360" w:lineRule="auto"/>
        <w:ind w:firstLine="420"/>
        <w:rPr>
          <w:rStyle w:val="da"/>
          <w:rFonts w:ascii="宋体" w:hAnsi="宋体"/>
          <w:lang w:eastAsia="zh-CN"/>
        </w:rPr>
      </w:pPr>
      <w:bookmarkStart w:id="1846" w:name="_Hlt88827255"/>
      <w:bookmarkStart w:id="1847" w:name="_Toc332373564"/>
      <w:bookmarkEnd w:id="1846"/>
      <w:r>
        <w:rPr>
          <w:rStyle w:val="da"/>
          <w:rFonts w:ascii="宋体" w:eastAsia="宋体" w:hAnsi="宋体" w:cs="宋体" w:hint="eastAsia"/>
          <w:highlight w:val="white"/>
          <w:lang w:eastAsia="zh-CN"/>
        </w:rPr>
        <w:t>四、实施侧袋机制期间的基金费用</w:t>
      </w:r>
    </w:p>
    <w:p w:rsidR="00D50D9C" w14:paraId="2A636DA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本基金实施侧袋机制的，与侧袋账户有关的费用可以从侧袋账户中列支，但应待侧袋账户资产变现后方可列支，有关费用可酌情收取或减免，但不得收取管理费（包含固定管理费、或有管理费和超额管理费）。</w:t>
      </w:r>
    </w:p>
    <w:p w:rsidR="00D50D9C" w14:paraId="4371F988"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五、与基金销售有关的费用</w:t>
      </w:r>
    </w:p>
    <w:p w:rsidR="00D50D9C" w14:paraId="067E9ECA" w14:textId="77777777">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D50D9C" w14:paraId="429E70B1" w14:textId="77777777">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D50D9C" w14:paraId="535610D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六、基金税收</w:t>
      </w:r>
    </w:p>
    <w:p w:rsidR="00D50D9C" w14:paraId="27CFE59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570A48" w14:paraId="6DA78627" w14:textId="77777777">
      <w:pPr>
        <w:spacing w:line="360" w:lineRule="auto"/>
        <w:ind w:firstLine="420"/>
        <w:rPr>
          <w:rFonts w:ascii="宋体" w:eastAsia="宋体" w:hAnsi="宋体" w:cs="宋体"/>
          <w:bCs/>
          <w:szCs w:val="21"/>
          <w:highlight w:val="white"/>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570A48" w14:paraId="4ED27E21" w14:textId="77777777">
      <w:pPr>
        <w:widowControl/>
        <w:shd w:val="clear" w:color="auto" w:fill="auto"/>
        <w:jc w:val="left"/>
        <w:rPr>
          <w:rFonts w:ascii="宋体" w:eastAsia="宋体" w:hAnsi="宋体" w:cs="宋体"/>
          <w:bCs/>
          <w:szCs w:val="21"/>
          <w:highlight w:val="white"/>
          <w:lang w:eastAsia="zh-CN"/>
        </w:rPr>
      </w:pPr>
      <w:r>
        <w:rPr>
          <w:rFonts w:ascii="宋体" w:eastAsia="宋体" w:hAnsi="宋体" w:cs="宋体"/>
          <w:bCs/>
          <w:szCs w:val="21"/>
          <w:highlight w:val="white"/>
          <w:lang w:eastAsia="zh-CN"/>
        </w:rPr>
        <w:br w:type="page"/>
      </w:r>
    </w:p>
    <w:p w:rsidR="00D50D9C" w14:paraId="1B7582F5" w14:textId="77777777">
      <w:pPr>
        <w:pStyle w:val="11"/>
        <w:spacing w:before="317" w:after="317" w:line="360" w:lineRule="auto"/>
        <w:ind w:firstLine="600"/>
        <w:rPr>
          <w:rFonts w:ascii="宋体" w:eastAsia="宋体" w:hAnsi="宋体"/>
          <w:bCs/>
          <w:lang w:eastAsia="zh-CN"/>
        </w:rPr>
      </w:pPr>
      <w:bookmarkStart w:id="1848" w:name="_Toc73030175"/>
      <w:bookmarkEnd w:id="1847"/>
      <w:r>
        <w:rPr>
          <w:rFonts w:ascii="宋体" w:eastAsia="宋体" w:hAnsi="宋体" w:hint="eastAsia"/>
          <w:sz w:val="30"/>
          <w:highlight w:val="white"/>
          <w:lang w:eastAsia="zh-CN"/>
        </w:rPr>
        <w:t>第十</w:t>
      </w:r>
      <w:bookmarkStart w:id="1849"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8"/>
      <w:bookmarkEnd w:id="1849"/>
    </w:p>
    <w:p w:rsidR="00D50D9C" w14:paraId="062DAE7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D50D9C" w14:paraId="218A2328"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、基金管理人为本基金的基金会计责任方；</w:t>
      </w:r>
    </w:p>
    <w:p w:rsidR="00D50D9C" w14:paraId="4B7383E8"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、基金的会计年度为公历年度的</w:t>
      </w:r>
      <w:r>
        <w:rPr>
          <w:rFonts w:ascii="宋体" w:hAnsi="宋体" w:hint="eastAsia"/>
          <w:bCs/>
          <w:szCs w:val="21"/>
          <w:highlight w:val="white"/>
          <w:lang w:eastAsia="zh-CN"/>
        </w:rPr>
        <w:t>1</w:t>
      </w:r>
      <w:r>
        <w:rPr>
          <w:rFonts w:ascii="宋体" w:eastAsia="宋体" w:hAnsi="宋体" w:cs="宋体" w:hint="eastAsia"/>
          <w:bCs/>
          <w:szCs w:val="21"/>
          <w:highlight w:val="white"/>
          <w:lang w:eastAsia="zh-CN"/>
        </w:rPr>
        <w:t>月</w:t>
      </w:r>
      <w:r>
        <w:rPr>
          <w:rFonts w:ascii="宋体" w:hAnsi="宋体" w:hint="eastAsia"/>
          <w:bCs/>
          <w:szCs w:val="21"/>
          <w:highlight w:val="white"/>
          <w:lang w:eastAsia="zh-CN"/>
        </w:rPr>
        <w:t>1</w:t>
      </w:r>
      <w:r>
        <w:rPr>
          <w:rFonts w:ascii="宋体" w:eastAsia="宋体" w:hAnsi="宋体" w:cs="宋体" w:hint="eastAsia"/>
          <w:bCs/>
          <w:szCs w:val="21"/>
          <w:highlight w:val="white"/>
          <w:lang w:eastAsia="zh-CN"/>
        </w:rPr>
        <w:t>日至</w:t>
      </w:r>
      <w:r>
        <w:rPr>
          <w:rFonts w:ascii="宋体" w:hAnsi="宋体" w:hint="eastAsia"/>
          <w:bCs/>
          <w:szCs w:val="21"/>
          <w:highlight w:val="white"/>
          <w:lang w:eastAsia="zh-CN"/>
        </w:rPr>
        <w:t>12</w:t>
      </w:r>
      <w:r>
        <w:rPr>
          <w:rFonts w:ascii="宋体" w:eastAsia="宋体" w:hAnsi="宋体" w:cs="宋体" w:hint="eastAsia"/>
          <w:bCs/>
          <w:szCs w:val="21"/>
          <w:highlight w:val="white"/>
          <w:lang w:eastAsia="zh-CN"/>
        </w:rPr>
        <w:t>月</w:t>
      </w:r>
      <w:r>
        <w:rPr>
          <w:rFonts w:ascii="宋体" w:hAnsi="宋体" w:hint="eastAsia"/>
          <w:bCs/>
          <w:szCs w:val="21"/>
          <w:highlight w:val="white"/>
          <w:lang w:eastAsia="zh-CN"/>
        </w:rPr>
        <w:t>31</w:t>
      </w:r>
      <w:r>
        <w:rPr>
          <w:rFonts w:ascii="宋体" w:eastAsia="宋体" w:hAnsi="宋体" w:cs="宋体" w:hint="eastAsia"/>
          <w:bCs/>
          <w:szCs w:val="21"/>
          <w:highlight w:val="white"/>
          <w:lang w:eastAsia="zh-CN"/>
        </w:rPr>
        <w:t>日；基金首次募集的会计年度按如下原则：如果《基金合同》生效少于</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个月，可以并入下一个会计年度；</w:t>
      </w:r>
    </w:p>
    <w:p w:rsidR="00D50D9C" w14:paraId="299834F9"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、基金核算以人民币为记账本位币，以人民币元为记账单位；</w:t>
      </w:r>
    </w:p>
    <w:p w:rsidR="00D50D9C" w14:paraId="4F34F831"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eastAsia="宋体" w:hAnsi="宋体" w:cs="宋体" w:hint="eastAsia"/>
          <w:bCs/>
          <w:szCs w:val="21"/>
          <w:highlight w:val="white"/>
          <w:lang w:eastAsia="zh-CN"/>
        </w:rPr>
        <w:t>、会计制度执行国家有关会计制度；</w:t>
      </w:r>
    </w:p>
    <w:p w:rsidR="00D50D9C" w14:paraId="3E22516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eastAsia="宋体" w:hAnsi="宋体" w:cs="宋体" w:hint="eastAsia"/>
          <w:bCs/>
          <w:szCs w:val="21"/>
          <w:highlight w:val="white"/>
          <w:lang w:eastAsia="zh-CN"/>
        </w:rPr>
        <w:t>、本基金独立建账、独立核算；</w:t>
      </w:r>
    </w:p>
    <w:p w:rsidR="00D50D9C" w14:paraId="459ADCC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6</w:t>
      </w:r>
      <w:r>
        <w:rPr>
          <w:rFonts w:ascii="宋体" w:eastAsia="宋体" w:hAnsi="宋体" w:cs="宋体" w:hint="eastAsia"/>
          <w:bCs/>
          <w:szCs w:val="21"/>
          <w:highlight w:val="white"/>
          <w:lang w:eastAsia="zh-CN"/>
        </w:rPr>
        <w:t>、基金管理人及基金托管人各自保留完整的会计账目、凭证并进行日常的会计核算，按照有关规定编制基金会计报表；</w:t>
      </w:r>
    </w:p>
    <w:p w:rsidR="00D50D9C" w14:paraId="6115774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7</w:t>
      </w:r>
      <w:r>
        <w:rPr>
          <w:rFonts w:ascii="宋体" w:eastAsia="宋体" w:hAnsi="宋体" w:cs="宋体" w:hint="eastAsia"/>
          <w:bCs/>
          <w:szCs w:val="21"/>
          <w:highlight w:val="white"/>
          <w:lang w:eastAsia="zh-CN"/>
        </w:rPr>
        <w:t>、基金托管人每月与基金管理人就基金的会计核算、报表编制等进行核对确认。</w:t>
      </w:r>
    </w:p>
    <w:p w:rsidR="00D50D9C" w14:paraId="0F8D60E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D50D9C" w14:paraId="3DCAE7F7"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、基金管理人聘请与基金管理人、基金托管人相互独立的符合《证券法》规定的会计师事务所及其注册会计师对本基金的年度财务报表进行审计。</w:t>
      </w:r>
    </w:p>
    <w:p w:rsidR="00D50D9C" w14:paraId="2C31C01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、会计师事务所更换经办注册会计师，应事先征得基金管理人同意。</w:t>
      </w:r>
    </w:p>
    <w:p w:rsidR="00D50D9C" w14:paraId="0BA3895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、基金管理人认为有充足理由更换会计师事务所，须通报基金托管人。更换会计师事务所需在</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日内在规定媒介公告。</w:t>
      </w:r>
    </w:p>
    <w:p w:rsidR="00D50D9C" w14:paraId="1BD813DD" w14:textId="77777777">
      <w:pPr>
        <w:pStyle w:val="11"/>
        <w:spacing w:before="317" w:after="317" w:line="360" w:lineRule="auto"/>
        <w:ind w:firstLine="420"/>
        <w:rPr>
          <w:rFonts w:ascii="宋体" w:eastAsia="宋体" w:hAnsi="宋体"/>
          <w:sz w:val="30"/>
          <w:lang w:eastAsia="zh-CN"/>
        </w:rPr>
      </w:pPr>
      <w:bookmarkStart w:id="1850" w:name="_Hlt4221115"/>
      <w:bookmarkEnd w:id="1850"/>
      <w:r>
        <w:rPr>
          <w:rFonts w:ascii="宋体" w:eastAsia="宋体" w:hAnsi="宋体"/>
          <w:sz w:val="21"/>
          <w:szCs w:val="21"/>
          <w:highlight w:val="white"/>
          <w:lang w:eastAsia="zh-CN"/>
        </w:rPr>
        <w:br w:type="column"/>
      </w:r>
      <w:bookmarkStart w:id="1851" w:name="_Toc73030176"/>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52" w:name="_Toc332373569"/>
      <w:r>
        <w:rPr>
          <w:rFonts w:ascii="宋体" w:eastAsia="宋体" w:hAnsi="宋体"/>
          <w:sz w:val="30"/>
          <w:highlight w:val="white"/>
          <w:lang w:eastAsia="zh-CN"/>
        </w:rPr>
        <w:t>八</w:t>
      </w:r>
      <w:r>
        <w:rPr>
          <w:rFonts w:ascii="宋体" w:eastAsia="宋体" w:hAnsi="宋体" w:hint="eastAsia"/>
          <w:sz w:val="30"/>
          <w:highlight w:val="white"/>
          <w:lang w:eastAsia="zh-CN"/>
        </w:rPr>
        <w:t>部分 基金的信息披露</w:t>
      </w:r>
      <w:bookmarkEnd w:id="1851"/>
      <w:bookmarkEnd w:id="1852"/>
    </w:p>
    <w:p w:rsidR="00D50D9C" w14:paraId="4B7ECF8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D50D9C" w14:paraId="5AECBB3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D50D9C" w14:paraId="46D653BE"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D50D9C" w14:paraId="27576D0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D50D9C" w14:paraId="5FFF5B1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D50D9C" w14:paraId="6255A917"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D50D9C" w14:paraId="0B44B23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1、虚假记载、误导性陈述或者重大遗漏；</w:t>
      </w:r>
    </w:p>
    <w:p w:rsidR="00D50D9C" w14:paraId="6576DB0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2、对证券投资业绩进行预测；</w:t>
      </w:r>
    </w:p>
    <w:p w:rsidR="00D50D9C" w14:paraId="1BBD619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3、违规承诺收益或者承担损失；</w:t>
      </w:r>
    </w:p>
    <w:p w:rsidR="00D50D9C" w14:paraId="4B56246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4、诋毁其他基金管理人、基金托管人或者基金销售机构；</w:t>
      </w:r>
    </w:p>
    <w:p w:rsidR="00D50D9C" w14:paraId="42BFDDA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5、登载任何自然人、法人和非法人组织的祝贺性、恭维性或推荐性的文字；</w:t>
      </w:r>
    </w:p>
    <w:p w:rsidR="00D50D9C" w14:paraId="55A860FC"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6、中国证监会禁止的其他行为。</w:t>
      </w:r>
    </w:p>
    <w:p w:rsidR="00D50D9C" w14:paraId="379D784B"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D50D9C" w14:paraId="2F1C996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D50D9C" w14:paraId="7736F60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D50D9C" w14:paraId="1289B8C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D50D9C" w14:paraId="48814C6E"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D50D9C" w14:paraId="235DF805"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D50D9C" w14:paraId="6700AC69"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D50D9C" w14:paraId="1FE314C2"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3、基金托管协议是界定基金托管人和基金管理人在基金财产保管及基金运作监督等活动中的权利、义务关系的法律文件。</w:t>
      </w:r>
    </w:p>
    <w:p w:rsidR="00D50D9C" w14:paraId="65A01D6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50D9C" w14:paraId="4A9605B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D50D9C" w14:paraId="78650D0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D50D9C" w14:paraId="57B1821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D50D9C" w14:paraId="4FD856D7"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（三）《基金合同》生效公告</w:t>
      </w:r>
    </w:p>
    <w:p w:rsidR="00D50D9C" w14:paraId="39884F9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D50D9C" w14:paraId="3D61693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D50D9C" w14:paraId="5D0EEA6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《基金合同》生效后，在开始办理基金份额申购或者赎回前，基金管理人应当至少每周在规定网站披露一次各类基金份额净值和基金份额累计净值。</w:t>
      </w:r>
    </w:p>
    <w:p w:rsidR="00D50D9C" w14:paraId="20444A5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D50D9C" w14:paraId="76E3BC6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基金管理人应当在不晚于半年度和年度最后一日的次日，在规定网站披露半年度和年度最后一日的各类基金份额净值和基金份额累计净值。</w:t>
      </w:r>
    </w:p>
    <w:p w:rsidR="00D50D9C" w14:paraId="19C06184"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D50D9C" w14:paraId="0469B62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D50D9C" w14:paraId="667EE98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D50D9C" w14:paraId="2DD1288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D50D9C" w14:paraId="4C0C5FA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D50D9C" w14:paraId="11BEE57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D50D9C" w14:paraId="6374A3A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D50D9C" w14:paraId="0CB6E65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D50D9C" w14:paraId="5FAFFCB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基金管理人应当在基金年度报告和中期报告中披露固定管理费、或有管理费和超额管理费收取情况、基金组合资产情况及其流动性风险分析等。</w:t>
      </w:r>
    </w:p>
    <w:p w:rsidR="00D50D9C" w14:paraId="7D7FA3A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D50D9C" w14:paraId="24B6BC2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D50D9C" w14:paraId="115BEBC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D50D9C" w14:paraId="0E70BDBC"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1、基金份额持有人大会的召开及决定的事项；</w:t>
      </w:r>
    </w:p>
    <w:p w:rsidR="00D50D9C" w14:paraId="162B8E9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2、基金合同终止、基金清算；</w:t>
      </w:r>
    </w:p>
    <w:p w:rsidR="00D50D9C" w14:paraId="200B1B8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3、转换基金运作方式、基金合并；</w:t>
      </w:r>
    </w:p>
    <w:p w:rsidR="00D50D9C" w14:paraId="652B61CE"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4、更换基金管理人、基金托管人、基金份额登记机构，基金改聘会计师事务所；</w:t>
      </w:r>
    </w:p>
    <w:p w:rsidR="00D50D9C" w14:paraId="4C540748"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D50D9C" w14:paraId="4EA84121"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6、基金管理人、基金托管人的法定名称、住所发生变更；</w:t>
      </w:r>
    </w:p>
    <w:p w:rsidR="00D50D9C" w14:paraId="27D75F03"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7、基金管理公司变更持有百分之五以上股权的股东、基金管理人的实际控制人变更；</w:t>
      </w:r>
    </w:p>
    <w:p w:rsidR="00D50D9C" w14:paraId="0C64CFA2"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8、基金募集期延长或提前结束募集；</w:t>
      </w:r>
    </w:p>
    <w:p w:rsidR="00D50D9C" w14:paraId="127E2FA7"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9、基金管理人的高级管理人员、基金经理和基金托管人专门基金托管部门负责人发生变动；</w:t>
      </w:r>
    </w:p>
    <w:p w:rsidR="00D50D9C" w14:paraId="0DF6DD2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D50D9C" w14:paraId="528FFA7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11、涉及基金财产、基金管理业务、基金托管业务的诉讼或仲裁；</w:t>
      </w:r>
    </w:p>
    <w:p w:rsidR="00D50D9C" w14:paraId="7887748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D50D9C" w14:paraId="7F8E30B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D50D9C" w14:paraId="0CEFB60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14、基金收益分配事项；</w:t>
      </w:r>
    </w:p>
    <w:p w:rsidR="00D50D9C" w14:paraId="6326BA0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15、管理费（包含固定管理费、或有管理费和超额管理费）、托管费、销售服务费、申购费、赎回费等费用计提标准、计提方式和费率发生变更；</w:t>
      </w:r>
    </w:p>
    <w:p w:rsidR="00D50D9C" w14:paraId="5FBC759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16、任一类基金份额净值计价错误达该类基金份额净值百分之零点五；</w:t>
      </w:r>
    </w:p>
    <w:p w:rsidR="00D50D9C" w14:paraId="5BF70448"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17、本基金开始办理申购、赎回；</w:t>
      </w:r>
    </w:p>
    <w:p w:rsidR="00D50D9C" w14:paraId="2E6C185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18、本基金发生巨额赎回并延期办理；</w:t>
      </w:r>
    </w:p>
    <w:p w:rsidR="00D50D9C" w14:paraId="03EFC2A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19、本基金连续发生巨额赎回并暂停接受赎回申请或延缓支付赎回款项；</w:t>
      </w:r>
    </w:p>
    <w:p w:rsidR="00D50D9C" w14:paraId="200BB88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20、本基金暂停接受申购、赎回申请或重新接受申购、赎回申请；</w:t>
      </w:r>
    </w:p>
    <w:p w:rsidR="00D50D9C" w14:paraId="7CB37C97"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21、调整基金份额类别的设置；</w:t>
      </w:r>
    </w:p>
    <w:p w:rsidR="00D50D9C" w14:paraId="0CBFB3B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22、基金推出新业务或服务；</w:t>
      </w:r>
    </w:p>
    <w:p w:rsidR="00D50D9C" w14:paraId="315EBE9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23、发生涉及基金申购、赎回事项调整或潜在影响投资者赎回等重大事项时；</w:t>
      </w:r>
    </w:p>
    <w:p w:rsidR="00D50D9C" w14:paraId="520436F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24、基金管理人采用摆动定价机制进行估值；</w:t>
      </w:r>
    </w:p>
    <w:p w:rsidR="00D50D9C" w14:paraId="06BC80C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25、基金信息披露义务人认为可能对基金份额持有人权益或者基金份额的价格产生重大影响的其他事项或中国证监会规定的其他事项。</w:t>
      </w:r>
    </w:p>
    <w:p w:rsidR="00D50D9C" w14:paraId="08A5729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D50D9C" w14:paraId="4E28EC7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D50D9C" w14:paraId="13041EC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D50D9C" w14:paraId="201E26DE"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D50D9C" w14:paraId="3FC5D35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D50D9C" w14:paraId="2348748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D50D9C" w14:paraId="2DAB88C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（十一）实施侧袋机制期间的信息披露</w:t>
      </w:r>
    </w:p>
    <w:p w:rsidR="00D50D9C" w14:paraId="28AA3DE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D50D9C" w14:paraId="2615FFC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（十二）中国证监会规定的其他信息</w:t>
      </w:r>
    </w:p>
    <w:p w:rsidR="00D50D9C" w14:paraId="3501E02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若本基金投资股指期货、国债期货、资产支持证券、股票期权、港股通股票，参与融资业务，基金管理人将按相关法律法规要求进行披露。</w:t>
      </w:r>
    </w:p>
    <w:p w:rsidR="00D50D9C" w14:paraId="24017C8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D50D9C" w14:paraId="6814307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D50D9C" w14:paraId="69955AF7"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D50D9C" w14:paraId="21CFA5F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D50D9C" w14:paraId="361F1F0B"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D50D9C" w14:paraId="62F6BDD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D50D9C" w14:paraId="2EDCC61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D50D9C" w14:paraId="66A7CE3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D50D9C" w14:paraId="4E9F3C3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D50D9C" w14:paraId="4DD51BA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D50D9C" w14:paraId="0393FA65" w14:textId="77777777">
      <w:pPr>
        <w:spacing w:line="360" w:lineRule="auto"/>
        <w:ind w:firstLine="420"/>
        <w:rPr>
          <w:rFonts w:ascii="宋体" w:hAnsi="宋体"/>
          <w:szCs w:val="21"/>
          <w:lang w:eastAsia="zh-CN"/>
        </w:rPr>
      </w:pPr>
    </w:p>
    <w:p w:rsidR="00D50D9C" w14:paraId="5EF9A4CB" w14:textId="77777777">
      <w:pPr>
        <w:spacing w:line="360" w:lineRule="auto"/>
        <w:ind w:firstLine="420"/>
        <w:rPr>
          <w:rFonts w:ascii="宋体" w:hAnsi="宋体"/>
          <w:szCs w:val="21"/>
          <w:lang w:eastAsia="zh-CN"/>
        </w:rPr>
      </w:pPr>
    </w:p>
    <w:p w:rsidR="00D50D9C" w14:paraId="2A33F11D" w14:textId="77777777">
      <w:pPr>
        <w:spacing w:line="360" w:lineRule="auto"/>
        <w:ind w:firstLine="420"/>
        <w:rPr>
          <w:rFonts w:ascii="宋体" w:hAnsi="宋体"/>
          <w:szCs w:val="21"/>
          <w:lang w:eastAsia="zh-CN"/>
        </w:rPr>
      </w:pPr>
    </w:p>
    <w:p w:rsidR="00D50D9C" w14:paraId="25B5B88F" w14:textId="77777777">
      <w:pPr>
        <w:spacing w:line="360" w:lineRule="auto"/>
        <w:ind w:firstLine="420"/>
        <w:rPr>
          <w:rFonts w:ascii="宋体" w:hAnsi="宋体"/>
          <w:szCs w:val="21"/>
          <w:lang w:eastAsia="zh-CN"/>
        </w:rPr>
      </w:pPr>
    </w:p>
    <w:p w:rsidR="00D50D9C" w14:paraId="47760351" w14:textId="77777777">
      <w:pPr>
        <w:spacing w:line="360" w:lineRule="auto"/>
        <w:ind w:firstLine="420"/>
        <w:rPr>
          <w:rFonts w:ascii="宋体" w:hAnsi="宋体"/>
          <w:szCs w:val="21"/>
          <w:lang w:eastAsia="zh-CN"/>
        </w:rPr>
      </w:pPr>
    </w:p>
    <w:p w:rsidR="00D50D9C" w14:paraId="156A0B34" w14:textId="77777777">
      <w:pPr>
        <w:spacing w:line="360" w:lineRule="auto"/>
        <w:ind w:firstLine="420"/>
        <w:rPr>
          <w:rFonts w:ascii="宋体" w:hAnsi="宋体"/>
          <w:szCs w:val="21"/>
          <w:lang w:eastAsia="zh-CN"/>
        </w:rPr>
      </w:pPr>
    </w:p>
    <w:p w:rsidR="00D50D9C" w14:paraId="203C7607" w14:textId="77777777">
      <w:pPr>
        <w:spacing w:line="360" w:lineRule="auto"/>
        <w:ind w:firstLine="420"/>
        <w:rPr>
          <w:rFonts w:ascii="宋体" w:hAnsi="宋体"/>
          <w:szCs w:val="21"/>
          <w:lang w:eastAsia="zh-CN"/>
        </w:rPr>
      </w:pPr>
    </w:p>
    <w:p w:rsidR="00D50D9C" w14:paraId="4A889D7E" w14:textId="77777777">
      <w:pPr>
        <w:spacing w:line="360" w:lineRule="auto"/>
        <w:ind w:firstLine="420"/>
        <w:rPr>
          <w:rFonts w:ascii="宋体" w:hAnsi="宋体"/>
          <w:szCs w:val="21"/>
          <w:lang w:eastAsia="zh-CN"/>
        </w:rPr>
      </w:pPr>
    </w:p>
    <w:p w:rsidR="00D50D9C" w14:paraId="760ED864" w14:textId="77777777">
      <w:pPr>
        <w:spacing w:line="360" w:lineRule="auto"/>
        <w:ind w:firstLine="420"/>
        <w:rPr>
          <w:rFonts w:ascii="宋体" w:hAnsi="宋体"/>
          <w:szCs w:val="21"/>
          <w:lang w:eastAsia="zh-CN"/>
        </w:rPr>
      </w:pPr>
    </w:p>
    <w:p w:rsidR="00D50D9C" w14:paraId="32906A91" w14:textId="77777777">
      <w:pPr>
        <w:spacing w:line="360" w:lineRule="auto"/>
        <w:ind w:firstLine="420"/>
        <w:rPr>
          <w:rFonts w:ascii="宋体" w:hAnsi="宋体"/>
          <w:szCs w:val="21"/>
          <w:lang w:eastAsia="zh-CN"/>
        </w:rPr>
      </w:pPr>
    </w:p>
    <w:p w:rsidR="00D50D9C" w14:paraId="6955086D" w14:textId="77777777">
      <w:pPr>
        <w:spacing w:line="360" w:lineRule="auto"/>
        <w:ind w:firstLine="420"/>
        <w:rPr>
          <w:rFonts w:ascii="宋体" w:hAnsi="宋体"/>
          <w:szCs w:val="21"/>
          <w:lang w:eastAsia="zh-CN"/>
        </w:rPr>
      </w:pPr>
    </w:p>
    <w:p w:rsidR="00D50D9C" w14:paraId="7E312FEF" w14:textId="77777777">
      <w:pPr>
        <w:spacing w:line="360" w:lineRule="auto"/>
        <w:ind w:firstLine="420"/>
        <w:rPr>
          <w:rFonts w:ascii="宋体" w:hAnsi="宋体"/>
          <w:szCs w:val="21"/>
          <w:lang w:eastAsia="zh-CN"/>
        </w:rPr>
      </w:pPr>
    </w:p>
    <w:p w:rsidR="00D50D9C" w14:paraId="4008EB12" w14:textId="77777777">
      <w:pPr>
        <w:pStyle w:val="11"/>
        <w:spacing w:before="317" w:after="317" w:line="360" w:lineRule="auto"/>
        <w:ind w:firstLine="600"/>
        <w:rPr>
          <w:rFonts w:ascii="宋体" w:eastAsia="宋体" w:hAnsi="宋体"/>
          <w:sz w:val="30"/>
          <w:lang w:eastAsia="zh-CN"/>
        </w:rPr>
      </w:pPr>
      <w:bookmarkStart w:id="1853" w:name="_Toc73030177"/>
      <w:bookmarkStart w:id="1854" w:name="_Toc46737675"/>
      <w:bookmarkStart w:id="1855" w:name="_Toc46676683"/>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3"/>
      <w:bookmarkEnd w:id="1854"/>
      <w:bookmarkEnd w:id="1855"/>
    </w:p>
    <w:p w:rsidR="00D50D9C" w14:paraId="312EE62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D50D9C" w14:paraId="6F3F82F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50D9C" w14:paraId="729004A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D50D9C" w14:paraId="1A10AE6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D50D9C" w14:paraId="0CFE7C02" w14:textId="7777777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D50D9C" w14:paraId="19E8181E" w14:textId="7777777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D50D9C" w14:paraId="77F203FF" w14:textId="7777777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D50D9C" w14:paraId="1A904A5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D50D9C" w14:paraId="2C7FE8DB"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D50D9C" w14:paraId="4214F4D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D50D9C" w14:paraId="3900FF4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D50D9C" w14:paraId="764DD1E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D50D9C" w14:paraId="2279A07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D50D9C" w14:paraId="2F0D0B0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D50D9C" w14:paraId="226E0988"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D50D9C" w14:paraId="72705A07" w14:textId="7777777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D50D9C" w14:paraId="5B3AC48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D50D9C" w14:paraId="7891CD19" w14:textId="7777777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D50D9C" w14:paraId="0C762D6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D50D9C" w14:paraId="2CB94D18" w14:textId="7777777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D50D9C" w14:paraId="5BCF68C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D50D9C" w14:paraId="3EF3C368" w14:textId="77777777">
      <w:pPr>
        <w:spacing w:line="360" w:lineRule="auto"/>
        <w:ind w:firstLine="420"/>
        <w:rPr>
          <w:rFonts w:ascii="宋体" w:hAnsi="宋体"/>
          <w:szCs w:val="21"/>
          <w:lang w:eastAsia="zh-CN"/>
        </w:rPr>
      </w:pPr>
    </w:p>
    <w:p w:rsidR="00D50D9C" w14:paraId="289C4533" w14:textId="77777777">
      <w:pPr>
        <w:spacing w:line="360" w:lineRule="auto"/>
        <w:ind w:firstLine="420"/>
        <w:rPr>
          <w:rFonts w:ascii="宋体" w:hAnsi="宋体"/>
          <w:szCs w:val="21"/>
          <w:lang w:eastAsia="zh-CN"/>
        </w:rPr>
      </w:pPr>
    </w:p>
    <w:p w:rsidR="00D50D9C" w14:paraId="0E1775E5" w14:textId="77777777">
      <w:pPr>
        <w:spacing w:line="360" w:lineRule="auto"/>
        <w:ind w:firstLine="420"/>
        <w:rPr>
          <w:rFonts w:ascii="宋体" w:hAnsi="宋体"/>
          <w:szCs w:val="21"/>
          <w:lang w:eastAsia="zh-CN"/>
        </w:rPr>
      </w:pPr>
    </w:p>
    <w:p w:rsidR="00D50D9C" w14:paraId="351286CB" w14:textId="77777777">
      <w:pPr>
        <w:spacing w:line="360" w:lineRule="auto"/>
        <w:ind w:firstLine="420"/>
        <w:rPr>
          <w:rFonts w:ascii="宋体" w:hAnsi="宋体"/>
          <w:szCs w:val="21"/>
          <w:lang w:eastAsia="zh-CN"/>
        </w:rPr>
      </w:pPr>
    </w:p>
    <w:p w:rsidR="00D50D9C" w14:paraId="22C9E0DB" w14:textId="77777777">
      <w:pPr>
        <w:spacing w:line="360" w:lineRule="auto"/>
        <w:ind w:firstLine="420"/>
        <w:rPr>
          <w:rFonts w:ascii="宋体" w:hAnsi="宋体"/>
          <w:szCs w:val="21"/>
          <w:lang w:eastAsia="zh-CN"/>
        </w:rPr>
      </w:pPr>
    </w:p>
    <w:p w:rsidR="00D50D9C" w14:paraId="35C3F37F" w14:textId="77777777">
      <w:pPr>
        <w:spacing w:line="360" w:lineRule="auto"/>
        <w:ind w:firstLine="420"/>
        <w:rPr>
          <w:rFonts w:ascii="宋体" w:hAnsi="宋体"/>
          <w:szCs w:val="21"/>
          <w:lang w:eastAsia="zh-CN"/>
        </w:rPr>
      </w:pPr>
    </w:p>
    <w:p w:rsidR="00D50D9C" w14:paraId="396122FB" w14:textId="77777777">
      <w:pPr>
        <w:spacing w:line="360" w:lineRule="auto"/>
        <w:ind w:firstLine="420"/>
        <w:rPr>
          <w:rFonts w:ascii="宋体" w:hAnsi="宋体"/>
          <w:szCs w:val="21"/>
          <w:lang w:eastAsia="zh-CN"/>
        </w:rPr>
      </w:pPr>
    </w:p>
    <w:p w:rsidR="00D50D9C" w14:paraId="5E87DAD6" w14:textId="77777777">
      <w:pPr>
        <w:spacing w:line="360" w:lineRule="auto"/>
        <w:ind w:firstLine="420"/>
        <w:rPr>
          <w:rFonts w:ascii="宋体" w:hAnsi="宋体"/>
          <w:szCs w:val="21"/>
          <w:lang w:eastAsia="zh-CN"/>
        </w:rPr>
      </w:pPr>
    </w:p>
    <w:p w:rsidR="00D50D9C" w14:paraId="1CE333EA" w14:textId="77777777">
      <w:pPr>
        <w:spacing w:line="360" w:lineRule="auto"/>
        <w:ind w:firstLine="420"/>
        <w:rPr>
          <w:rFonts w:ascii="宋体" w:hAnsi="宋体"/>
          <w:szCs w:val="21"/>
          <w:lang w:eastAsia="zh-CN"/>
        </w:rPr>
      </w:pPr>
    </w:p>
    <w:p w:rsidR="00D50D9C" w14:paraId="534B4843" w14:textId="77777777">
      <w:pPr>
        <w:spacing w:line="360" w:lineRule="auto"/>
        <w:ind w:firstLine="420"/>
        <w:rPr>
          <w:rFonts w:ascii="宋体" w:hAnsi="宋体"/>
          <w:szCs w:val="21"/>
          <w:lang w:eastAsia="zh-CN"/>
        </w:rPr>
      </w:pPr>
    </w:p>
    <w:p w:rsidR="00D50D9C" w14:paraId="0A200B49" w14:textId="77777777">
      <w:pPr>
        <w:spacing w:line="360" w:lineRule="auto"/>
        <w:ind w:firstLine="420"/>
        <w:rPr>
          <w:rFonts w:ascii="宋体" w:hAnsi="宋体"/>
          <w:szCs w:val="21"/>
          <w:lang w:eastAsia="zh-CN"/>
        </w:rPr>
      </w:pPr>
    </w:p>
    <w:p w:rsidR="00D50D9C" w14:paraId="0A5D93F0" w14:textId="77777777">
      <w:pPr>
        <w:spacing w:line="360" w:lineRule="auto"/>
        <w:ind w:firstLine="420"/>
        <w:rPr>
          <w:rFonts w:ascii="宋体" w:hAnsi="宋体"/>
          <w:szCs w:val="21"/>
          <w:lang w:eastAsia="zh-CN"/>
        </w:rPr>
      </w:pPr>
    </w:p>
    <w:p w:rsidR="00D50D9C" w14:paraId="43011C4E" w14:textId="77777777">
      <w:pPr>
        <w:spacing w:line="360" w:lineRule="auto"/>
        <w:ind w:firstLine="420"/>
        <w:rPr>
          <w:rFonts w:ascii="宋体" w:hAnsi="宋体"/>
          <w:szCs w:val="21"/>
          <w:lang w:eastAsia="zh-CN"/>
        </w:rPr>
      </w:pPr>
    </w:p>
    <w:p w:rsidR="00D50D9C" w14:paraId="1CA7A611" w14:textId="77777777">
      <w:pPr>
        <w:pStyle w:val="11"/>
        <w:spacing w:before="317" w:after="317" w:line="360" w:lineRule="auto"/>
        <w:ind w:firstLine="600"/>
        <w:rPr>
          <w:rFonts w:ascii="宋体" w:eastAsia="宋体" w:hAnsi="宋体"/>
          <w:lang w:eastAsia="zh-CN"/>
        </w:rPr>
      </w:pPr>
      <w:bookmarkStart w:id="1856" w:name="_Toc73030178"/>
      <w:r>
        <w:rPr>
          <w:rFonts w:ascii="宋体" w:eastAsia="宋体" w:hAnsi="宋体" w:hint="eastAsia"/>
          <w:sz w:val="30"/>
          <w:highlight w:val="white"/>
          <w:lang w:eastAsia="zh-CN"/>
        </w:rPr>
        <w:t>第二十</w:t>
      </w:r>
      <w:bookmarkStart w:id="1857"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6"/>
      <w:bookmarkEnd w:id="1857"/>
    </w:p>
    <w:p w:rsidR="00D50D9C" w14:paraId="669AA9D3" w14:textId="77777777">
      <w:pPr>
        <w:spacing w:line="360" w:lineRule="auto"/>
        <w:ind w:firstLine="420"/>
        <w:rPr>
          <w:rStyle w:val="da"/>
          <w:rFonts w:ascii="宋体" w:hAnsi="宋体"/>
          <w:lang w:eastAsia="zh-CN"/>
        </w:rPr>
      </w:pPr>
      <w:bookmarkStart w:id="1858" w:name="_Toc332373574"/>
      <w:r>
        <w:rPr>
          <w:rStyle w:val="da"/>
          <w:rFonts w:ascii="宋体" w:eastAsia="宋体" w:hAnsi="宋体" w:cs="宋体" w:hint="eastAsia"/>
          <w:highlight w:val="white"/>
          <w:lang w:eastAsia="zh-CN"/>
        </w:rPr>
        <w:t>一、本基金的特有风险</w:t>
      </w:r>
    </w:p>
    <w:p w:rsidR="00D50D9C" w14:paraId="5671E0B6" w14:textId="77777777">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、资产配置风险。本基金股票资产占基金资产的比例为</w:t>
      </w:r>
      <w:r>
        <w:rPr>
          <w:rFonts w:ascii="宋体" w:hAnsi="宋体"/>
          <w:highlight w:val="white"/>
          <w:lang w:eastAsia="zh-CN"/>
        </w:rPr>
        <w:t>60</w:t>
      </w:r>
      <w:r>
        <w:rPr>
          <w:rFonts w:ascii="宋体" w:hAnsi="宋体" w:hint="eastAsia"/>
          <w:highlight w:val="white"/>
          <w:lang w:eastAsia="zh-CN"/>
        </w:rPr>
        <w:t>%</w:t>
      </w:r>
      <w:r>
        <w:rPr>
          <w:rFonts w:ascii="宋体" w:hAnsi="宋体"/>
          <w:highlight w:val="white"/>
          <w:lang w:eastAsia="zh-CN"/>
        </w:rPr>
        <w:t>-95%</w:t>
      </w:r>
      <w:r>
        <w:rPr>
          <w:rFonts w:ascii="宋体" w:eastAsia="宋体" w:hAnsi="宋体" w:cs="宋体" w:hint="eastAsia"/>
          <w:highlight w:val="white"/>
          <w:lang w:eastAsia="zh-CN"/>
        </w:rPr>
        <w:t>，属于股票仓位偏高的基金品种，受股票市场系统性风险影响较大，</w:t>
      </w:r>
      <w:r>
        <w:rPr>
          <w:rFonts w:ascii="宋体" w:eastAsia="宋体" w:hAnsi="宋体" w:cs="宋体"/>
          <w:highlight w:val="white"/>
          <w:lang w:eastAsia="zh-CN"/>
        </w:rPr>
        <w:t>如果</w:t>
      </w:r>
      <w:r>
        <w:rPr>
          <w:rFonts w:ascii="宋体" w:eastAsia="宋体" w:hAnsi="宋体" w:cs="宋体" w:hint="eastAsia"/>
          <w:highlight w:val="white"/>
          <w:lang w:eastAsia="zh-CN"/>
        </w:rPr>
        <w:t>股票</w:t>
      </w:r>
      <w:r>
        <w:rPr>
          <w:rFonts w:ascii="宋体" w:eastAsia="宋体" w:hAnsi="宋体" w:cs="宋体"/>
          <w:highlight w:val="white"/>
          <w:lang w:eastAsia="zh-CN"/>
        </w:rPr>
        <w:t>市场出现整体下跌，本基金的净值表现将受到影响</w:t>
      </w:r>
      <w:r>
        <w:rPr>
          <w:rFonts w:ascii="宋体" w:eastAsia="宋体" w:hAnsi="宋体" w:cs="宋体" w:hint="eastAsia"/>
          <w:highlight w:val="white"/>
          <w:lang w:eastAsia="zh-CN"/>
        </w:rPr>
        <w:t>，</w:t>
      </w:r>
      <w:r>
        <w:rPr>
          <w:rFonts w:ascii="宋体" w:eastAsia="宋体" w:hAnsi="宋体" w:cs="宋体"/>
          <w:highlight w:val="white"/>
          <w:lang w:eastAsia="zh-CN"/>
        </w:rPr>
        <w:t>投资者面临无法获得收益甚至</w:t>
      </w:r>
      <w:r>
        <w:rPr>
          <w:rFonts w:ascii="宋体" w:eastAsia="宋体" w:hAnsi="宋体" w:cs="宋体" w:hint="eastAsia"/>
          <w:highlight w:val="white"/>
          <w:lang w:eastAsia="zh-CN"/>
        </w:rPr>
        <w:t>可能</w:t>
      </w:r>
      <w:r>
        <w:rPr>
          <w:rFonts w:ascii="宋体" w:eastAsia="宋体" w:hAnsi="宋体" w:cs="宋体"/>
          <w:highlight w:val="white"/>
          <w:lang w:eastAsia="zh-CN"/>
        </w:rPr>
        <w:t>发生较大亏损的风险</w:t>
      </w:r>
      <w:r>
        <w:rPr>
          <w:rFonts w:ascii="宋体" w:eastAsia="宋体" w:hAnsi="宋体" w:cs="宋体" w:hint="eastAsia"/>
          <w:highlight w:val="white"/>
          <w:lang w:eastAsia="zh-CN"/>
        </w:rPr>
        <w:t>。</w:t>
      </w:r>
    </w:p>
    <w:p w:rsidR="00D50D9C" w14:paraId="69C696E2" w14:textId="77777777">
      <w:pPr>
        <w:spacing w:line="360" w:lineRule="auto"/>
        <w:ind w:firstLine="420"/>
        <w:rPr>
          <w:rFonts w:ascii="宋体" w:eastAsia="宋体" w:hAnsi="宋体" w:cs="宋体"/>
          <w:color w:val="000000"/>
          <w:lang w:eastAsia="zh-CN"/>
        </w:rPr>
      </w:pPr>
      <w:r>
        <w:rPr>
          <w:rFonts w:ascii="宋体" w:hAnsi="宋体"/>
          <w:highlight w:val="white"/>
          <w:lang w:eastAsia="zh-CN"/>
        </w:rPr>
        <w:t>2</w:t>
      </w:r>
      <w:r>
        <w:rPr>
          <w:rFonts w:ascii="宋体" w:eastAsia="宋体" w:hAnsi="宋体" w:cs="宋体"/>
          <w:highlight w:val="white"/>
          <w:lang w:eastAsia="zh-CN"/>
        </w:rPr>
        <w:t>、</w:t>
      </w:r>
      <w:r>
        <w:rPr>
          <w:rFonts w:ascii="宋体" w:eastAsia="宋体" w:hAnsi="宋体" w:cs="宋体"/>
          <w:color w:val="000000"/>
          <w:highlight w:val="white"/>
          <w:lang w:eastAsia="zh-CN"/>
        </w:rPr>
        <w:t>本基金重视中长期产业方向和景气趋势，关注公司的成长空间、竞争优势和估值水平等，捕捉行业发展的重要机遇以及个股的成长所带来的价值提升的投资机会。由于市场存在不确定性，基金资产投资于证券市场所获取的收益受多方面因素影响，因此根据投资策略进行投资可能面临无法盈利甚至亏损的风险。</w:t>
      </w:r>
    </w:p>
    <w:p w:rsidR="00D50D9C" w14:paraId="0297441B" w14:textId="77777777">
      <w:pPr>
        <w:spacing w:line="360" w:lineRule="auto"/>
        <w:ind w:firstLine="420"/>
        <w:rPr>
          <w:lang w:eastAsia="zh-CN"/>
        </w:rPr>
      </w:pPr>
      <w:r>
        <w:rPr>
          <w:rFonts w:ascii="宋体" w:eastAsia="宋体" w:hAnsi="宋体" w:cs="宋体"/>
          <w:color w:val="000000"/>
          <w:highlight w:val="white"/>
          <w:lang w:eastAsia="zh-CN"/>
        </w:rPr>
        <w:t>3、浮动管理费模式相关风险</w:t>
      </w:r>
    </w:p>
    <w:p w:rsidR="00D50D9C" w14:paraId="001C77C9" w14:textId="77777777">
      <w:pPr>
        <w:spacing w:line="360" w:lineRule="auto"/>
        <w:ind w:firstLine="420"/>
        <w:rPr>
          <w:lang w:eastAsia="zh-CN"/>
        </w:rPr>
      </w:pPr>
      <w:r>
        <w:rPr>
          <w:rFonts w:ascii="宋体" w:eastAsia="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D50D9C" w14:paraId="5F2C016F" w14:textId="77777777">
      <w:pPr>
        <w:spacing w:line="360" w:lineRule="auto"/>
        <w:ind w:firstLine="420"/>
        <w:rPr>
          <w:lang w:eastAsia="zh-CN"/>
        </w:rPr>
      </w:pPr>
      <w:r>
        <w:rPr>
          <w:rFonts w:ascii="宋体" w:eastAsia="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D50D9C" w14:paraId="363FDEA1" w14:textId="77777777">
      <w:pPr>
        <w:spacing w:line="360" w:lineRule="auto"/>
        <w:ind w:firstLine="420"/>
        <w:rPr>
          <w:lang w:eastAsia="zh-CN"/>
        </w:rPr>
      </w:pPr>
      <w:r>
        <w:rPr>
          <w:rFonts w:ascii="宋体" w:eastAsia="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D50D9C" w14:paraId="4B4C91DE" w14:textId="77777777">
      <w:pPr>
        <w:spacing w:line="360" w:lineRule="auto"/>
        <w:ind w:firstLine="420"/>
        <w:rPr>
          <w:lang w:eastAsia="zh-CN"/>
        </w:rPr>
      </w:pPr>
      <w:r>
        <w:rPr>
          <w:rFonts w:ascii="宋体" w:eastAsia="宋体" w:hAnsi="宋体" w:cs="宋体"/>
          <w:color w:val="000000"/>
          <w:highlight w:val="white"/>
          <w:lang w:eastAsia="zh-CN"/>
        </w:rPr>
        <w:t>（4）本基金采用浮动管理费的收费模式，不代表基金管理人对基金投资收益的保证。</w:t>
      </w:r>
    </w:p>
    <w:p w:rsidR="00D50D9C" w14:paraId="5384C126" w14:textId="77777777">
      <w:pPr>
        <w:spacing w:line="360" w:lineRule="auto"/>
        <w:ind w:firstLine="420"/>
        <w:rPr>
          <w:szCs w:val="21"/>
          <w:lang w:eastAsia="zh-CN"/>
        </w:rPr>
      </w:pPr>
      <w:r>
        <w:rPr>
          <w:rFonts w:ascii="宋体" w:hAnsi="宋体" w:hint="eastAsia"/>
          <w:highlight w:val="white"/>
          <w:lang w:eastAsia="zh-CN"/>
        </w:rPr>
        <w:t>4</w:t>
      </w:r>
      <w:r>
        <w:rPr>
          <w:rFonts w:ascii="宋体" w:eastAsia="宋体" w:hAnsi="宋体" w:cs="宋体" w:hint="eastAsia"/>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D50D9C" w14:paraId="26F29DEE" w14:textId="77777777">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D50D9C" w14:paraId="44A1861B" w14:textId="77777777">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D50D9C" w14:paraId="03A2A110" w14:textId="77777777">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D50D9C" w14:paraId="1109A1D5" w14:textId="77777777">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D50D9C" w14:paraId="399212A4" w14:textId="77777777">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D50D9C" w14:paraId="33E1E223" w14:textId="77777777">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D50D9C" w14:paraId="7BAD3A45" w14:textId="77777777">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D50D9C" w14:paraId="3FA155F0" w14:textId="77777777">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D50D9C" w14:paraId="2B6AAF2E" w14:textId="77777777">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D50D9C" w14:paraId="36CF4D21" w14:textId="77777777">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D50D9C" w14:paraId="49CEC786" w14:textId="77777777">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D50D9C" w14:paraId="1CC94609" w14:textId="77777777">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D50D9C" w14:paraId="70907F63" w14:textId="77777777">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D50D9C" w14:paraId="7273FB0A" w14:textId="77777777">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D50D9C" w14:paraId="6672950F" w14:textId="77777777">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D50D9C" w14:paraId="54CD45FA" w14:textId="77777777">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D50D9C" w14:paraId="62026661" w14:textId="77777777">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D50D9C" w14:paraId="111E79EC" w14:textId="77777777">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D50D9C" w14:paraId="59380EAD" w14:textId="77777777">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D50D9C" w14:paraId="5697E8AD" w14:textId="77777777">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D50D9C" w14:paraId="1CC608EB" w14:textId="77777777">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D50D9C" w14:paraId="7450F191" w14:textId="77777777">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rsidR="00D50D9C" w14:paraId="60502B7B" w14:textId="77777777">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D50D9C" w14:paraId="7EA0E56C" w14:textId="77777777">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D50D9C" w14:paraId="7D8E54F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D50D9C" w14:paraId="585EAE4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D50D9C" w14:paraId="43516B5B" w14:textId="77777777">
      <w:pPr>
        <w:spacing w:line="360" w:lineRule="auto"/>
        <w:ind w:firstLine="420"/>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highlight w:val="white"/>
          <w:lang w:eastAsia="zh-CN"/>
        </w:rPr>
        <w:t>投资人无法进行申购与赎回；</w:t>
      </w:r>
    </w:p>
    <w:p w:rsidR="00D50D9C" w14:paraId="2590626B" w14:textId="77777777">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D50D9C" w14:paraId="2F1C6CFA" w14:textId="77777777">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D50D9C" w14:paraId="708D7EF2" w14:textId="77777777">
      <w:pPr>
        <w:spacing w:line="360" w:lineRule="auto"/>
        <w:ind w:firstLine="420"/>
        <w:rPr>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D50D9C" w14:paraId="7F4BF8BB" w14:textId="77777777">
      <w:pPr>
        <w:spacing w:line="360" w:lineRule="auto"/>
        <w:ind w:firstLine="420"/>
        <w:rPr>
          <w:rFonts w:ascii="宋体" w:hAnsi="宋体"/>
          <w:szCs w:val="21"/>
          <w:lang w:eastAsia="zh-CN"/>
        </w:rPr>
      </w:pPr>
      <w:r>
        <w:rPr>
          <w:rFonts w:ascii="宋体" w:hAnsi="宋体"/>
          <w:highlight w:val="white"/>
          <w:lang w:eastAsia="zh-CN"/>
        </w:rPr>
        <w:t>6</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D50D9C" w14:paraId="209210A7" w14:textId="77777777">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D50D9C" w14:paraId="1E958DB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D50D9C" w14:paraId="6A6B78E7" w14:textId="77777777">
      <w:pPr>
        <w:spacing w:line="360" w:lineRule="auto"/>
        <w:ind w:firstLine="420"/>
        <w:rPr>
          <w:rFonts w:ascii="宋体" w:hAnsi="宋体"/>
          <w:szCs w:val="21"/>
          <w:lang w:eastAsia="zh-CN"/>
        </w:rPr>
      </w:pPr>
      <w:r>
        <w:rPr>
          <w:rFonts w:ascii="宋体" w:hAnsi="宋体" w:hint="eastAsia"/>
          <w:szCs w:val="21"/>
          <w:highlight w:val="white"/>
          <w:lang w:eastAsia="zh-CN"/>
        </w:rPr>
        <w:t>8</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D50D9C" w14:paraId="380A2FAD" w14:textId="77777777">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D50D9C" w14:paraId="79D3E00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D50D9C" w14:paraId="50475B9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D50D9C" w14:paraId="5C9290D7"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D50D9C" w14:paraId="7DCB7D2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D50D9C" w14:paraId="028CC3A5"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D50D9C" w14:paraId="6D3A4444" w14:textId="77777777">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D50D9C" w14:paraId="6F59CECD"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D50D9C" w14:paraId="635F872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D50D9C" w14:paraId="62D1E186"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D50D9C" w14:paraId="28C5CE8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D50D9C" w14:paraId="47904298" w14:textId="7777777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D50D9C" w14:paraId="0457943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D50D9C" w14:paraId="2EDECBE4" w14:textId="77777777">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D50D9C" w14:paraId="3440BA9A" w14:textId="77777777">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D50D9C" w14:paraId="32437871"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D50D9C" w14:paraId="6170605D"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D50D9C" w14:paraId="2F2DBD68"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w:t>
      </w:r>
      <w:r>
        <w:rPr>
          <w:rFonts w:ascii="宋体" w:eastAsia="宋体" w:hAnsi="宋体" w:cs="宋体"/>
          <w:highlight w:val="white"/>
          <w:lang w:eastAsia="zh-CN"/>
        </w:rPr>
        <w:t>可</w:t>
      </w:r>
      <w:r>
        <w:rPr>
          <w:rFonts w:ascii="宋体" w:eastAsia="宋体" w:hAnsi="宋体" w:cs="宋体" w:hint="eastAsia"/>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highlight w:val="white"/>
          <w:lang w:eastAsia="zh-CN"/>
        </w:rPr>
        <w:t>般情况下，</w:t>
      </w:r>
      <w:r>
        <w:rPr>
          <w:rFonts w:ascii="宋体" w:eastAsia="宋体" w:hAnsi="宋体" w:cs="宋体" w:hint="eastAsia"/>
          <w:highlight w:val="white"/>
          <w:lang w:eastAsia="zh-CN"/>
        </w:rPr>
        <w:t>上述</w:t>
      </w:r>
      <w:r>
        <w:rPr>
          <w:rFonts w:ascii="宋体" w:eastAsia="宋体" w:hAnsi="宋体" w:cs="宋体"/>
          <w:highlight w:val="white"/>
          <w:lang w:eastAsia="zh-CN"/>
        </w:rPr>
        <w:t>资产</w:t>
      </w:r>
      <w:r>
        <w:rPr>
          <w:rFonts w:ascii="宋体" w:eastAsia="宋体" w:hAnsi="宋体" w:cs="宋体" w:hint="eastAsia"/>
          <w:highlight w:val="white"/>
          <w:lang w:eastAsia="zh-CN"/>
        </w:rPr>
        <w:t>市场流动性较好。</w:t>
      </w:r>
    </w:p>
    <w:p w:rsidR="00D50D9C" w14:paraId="08C80EA9"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D50D9C" w14:paraId="7DE70EA1" w14:textId="77777777">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D50D9C" w14:paraId="24294142"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D50D9C" w14:paraId="5DB943BC"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D50D9C" w14:paraId="27687D6F" w14:textId="77777777">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D50D9C" w14:paraId="6EA0C1A5"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D50D9C" w14:paraId="2831CB3B" w14:textId="77777777">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D50D9C" w14:paraId="194E6CAE" w14:textId="77777777">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w:t>
      </w:r>
      <w:r>
        <w:rPr>
          <w:rFonts w:ascii="宋体" w:eastAsia="宋体" w:hAnsi="宋体" w:cs="宋体" w:hint="eastAsia"/>
          <w:szCs w:val="21"/>
          <w:highlight w:val="white"/>
          <w:lang w:eastAsia="zh-CN"/>
        </w:rPr>
        <w:t>。短期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D50D9C" w14:paraId="70AC054E"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D50D9C" w14:paraId="12548716"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D50D9C" w14:paraId="4FCF134F" w14:textId="77777777">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D50D9C" w14:paraId="5624A001"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D50D9C" w14:paraId="561B2C31"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D50D9C" w14:paraId="6B7B27D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D50D9C" w14:paraId="6EB56835"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D50D9C" w14:paraId="406B9D22"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D50D9C" w14:paraId="7B78002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D50D9C" w14:paraId="45AA0FF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D50D9C" w14:paraId="2832402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D50D9C" w14:paraId="2AD318F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D50D9C" w14:paraId="7F709F0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D50D9C" w14:paraId="1E92BD32"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D50D9C" w14:paraId="7E70EA39"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D50D9C" w14:paraId="4CD67C5A"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D50D9C" w14:paraId="5B6D550C"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D50D9C" w14:paraId="0C648AB9" w14:textId="77777777">
      <w:pPr>
        <w:spacing w:line="360" w:lineRule="auto"/>
        <w:ind w:firstLine="420"/>
        <w:rPr>
          <w:rFonts w:ascii="宋体" w:hAnsi="宋体"/>
          <w:lang w:eastAsia="zh-CN"/>
        </w:rPr>
      </w:pPr>
      <w:r>
        <w:rPr>
          <w:rFonts w:ascii="宋体" w:hAnsi="宋体" w:hint="eastAsia"/>
          <w:szCs w:val="21"/>
          <w:highlight w:val="white"/>
          <w:lang w:eastAsia="zh-CN"/>
        </w:rPr>
        <w:t>5、其他意外导致的风险。</w:t>
      </w:r>
    </w:p>
    <w:p w:rsidR="00D50D9C" w14:paraId="082A9B20" w14:textId="77777777">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9" w:name="_Toc73030179"/>
      <w:bookmarkEnd w:id="1858"/>
      <w:r>
        <w:rPr>
          <w:rFonts w:ascii="宋体" w:eastAsia="宋体" w:hAnsi="宋体" w:hint="eastAsia"/>
          <w:sz w:val="30"/>
          <w:highlight w:val="white"/>
          <w:lang w:eastAsia="zh-CN"/>
        </w:rPr>
        <w:t>第二十</w:t>
      </w:r>
      <w:bookmarkStart w:id="1860" w:name="_Toc332373579"/>
      <w:r>
        <w:rPr>
          <w:rFonts w:ascii="宋体" w:eastAsia="宋体" w:hAnsi="宋体" w:hint="eastAsia"/>
          <w:sz w:val="30"/>
          <w:highlight w:val="white"/>
          <w:lang w:eastAsia="zh-CN"/>
        </w:rPr>
        <w:t>一部分 基金合同的变更、终止与基金财产的清算</w:t>
      </w:r>
      <w:bookmarkEnd w:id="1859"/>
      <w:bookmarkEnd w:id="1860"/>
    </w:p>
    <w:p w:rsidR="00D50D9C" w14:paraId="658DCBC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D50D9C" w14:paraId="0BCF7121" w14:textId="77777777">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D50D9C" w14:paraId="3033BEAE" w14:textId="77777777">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D50D9C" w14:paraId="4C26DBD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D50D9C" w14:paraId="09CBF37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D50D9C" w14:paraId="322003FF"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D50D9C" w14:paraId="11462B13"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D50D9C" w14:paraId="4BEF3EC9"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D50D9C" w14:paraId="3448786A" w14:textId="77777777">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D50D9C" w14:paraId="5B405AB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D50D9C" w14:paraId="4EE50103"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D50D9C" w14:paraId="4264A476"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D50D9C" w14:paraId="2A060A93"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D50D9C" w14:paraId="44D07CB9" w14:textId="77777777">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D50D9C" w14:paraId="0D4D9E7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D50D9C" w14:paraId="75C4621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D50D9C" w14:paraId="09F2FA2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D50D9C" w14:paraId="4974354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D50D9C" w14:paraId="0A2D206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D50D9C" w14:paraId="004155C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D50D9C" w14:paraId="65839F6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D50D9C" w14:paraId="05865D61" w14:textId="77777777">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D50D9C" w14:paraId="0EB90DE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D50D9C" w14:paraId="6C56610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D50D9C" w14:paraId="48D63AA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D50D9C" w14:paraId="5D94766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eastAsia="宋体" w:hAnsi="宋体" w:cs="宋体" w:hint="eastAsia"/>
          <w:szCs w:val="21"/>
          <w:highlight w:val="white"/>
          <w:lang w:eastAsia="zh-CN"/>
        </w:rPr>
        <w:t>扣除超额管理费（如有）</w:t>
      </w:r>
      <w:r w:rsidRPr="00570A48" w:rsidR="00570A48">
        <w:rPr>
          <w:rFonts w:ascii="宋体" w:eastAsia="宋体" w:hAnsi="宋体" w:cs="宋体" w:hint="eastAsia"/>
          <w:szCs w:val="21"/>
          <w:lang w:eastAsia="zh-CN"/>
        </w:rPr>
        <w:t>，再加上返还基金份额持有人的销售服务费（如有）</w:t>
      </w:r>
      <w:r>
        <w:rPr>
          <w:rFonts w:ascii="宋体" w:eastAsia="宋体" w:hAnsi="宋体" w:cs="宋体" w:hint="eastAsia"/>
          <w:szCs w:val="21"/>
          <w:highlight w:val="white"/>
          <w:lang w:eastAsia="zh-CN"/>
        </w:rPr>
        <w:t>。</w:t>
      </w:r>
    </w:p>
    <w:p w:rsidR="00D50D9C" w14:paraId="23900D1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D50D9C" w14:paraId="6851F40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D50D9C" w14:paraId="2B0AB85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D50D9C" w14:paraId="554F6DC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D50D9C" w14:paraId="6333224A" w14:textId="77777777">
      <w:pPr>
        <w:spacing w:line="360" w:lineRule="auto"/>
        <w:ind w:firstLine="420"/>
        <w:rPr>
          <w:rFonts w:ascii="宋体" w:hAnsi="宋体"/>
          <w:szCs w:val="21"/>
          <w:lang w:eastAsia="zh-CN"/>
        </w:rPr>
      </w:pPr>
    </w:p>
    <w:p w:rsidR="00D50D9C" w14:paraId="3BB75729" w14:textId="77777777">
      <w:pPr>
        <w:spacing w:line="360" w:lineRule="auto"/>
        <w:ind w:firstLine="420"/>
        <w:rPr>
          <w:rFonts w:ascii="宋体" w:hAnsi="宋体"/>
          <w:szCs w:val="21"/>
          <w:lang w:eastAsia="zh-CN"/>
        </w:rPr>
      </w:pPr>
    </w:p>
    <w:p w:rsidR="00D50D9C" w14:paraId="0397976A" w14:textId="77777777">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61" w:name="_Toc73030180"/>
      <w:r>
        <w:rPr>
          <w:rFonts w:ascii="宋体" w:eastAsia="宋体" w:hAnsi="宋体" w:hint="eastAsia"/>
          <w:sz w:val="30"/>
          <w:highlight w:val="white"/>
          <w:lang w:eastAsia="zh-CN"/>
        </w:rPr>
        <w:t>第二</w:t>
      </w:r>
      <w:bookmarkStart w:id="1862"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61"/>
      <w:bookmarkEnd w:id="1862"/>
    </w:p>
    <w:p w:rsidR="00D50D9C" w14:paraId="699876FA" w14:textId="77777777">
      <w:pPr>
        <w:spacing w:line="360" w:lineRule="auto"/>
        <w:ind w:firstLine="420"/>
        <w:rPr>
          <w:rFonts w:ascii="宋体" w:hAnsi="宋体"/>
          <w:szCs w:val="21"/>
          <w:lang w:eastAsia="zh-CN"/>
        </w:rPr>
      </w:pPr>
      <w:bookmarkStart w:id="1863"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3"/>
    </w:p>
    <w:p w:rsidR="00D50D9C" w14:paraId="19193AE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D50D9C" w14:paraId="77F465FC"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、根据《基金法》、《运作办法》及其他有关规定，基金份额持有人的权利包括但不限于：</w:t>
      </w:r>
    </w:p>
    <w:p w:rsidR="00D50D9C" w14:paraId="75F960B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）分享基金财产收益；</w:t>
      </w:r>
    </w:p>
    <w:p w:rsidR="00D50D9C" w14:paraId="7B013DF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）参与分配清算后的剩余基金财产；</w:t>
      </w:r>
    </w:p>
    <w:p w:rsidR="00D50D9C" w14:paraId="79B286E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）依法转让或者申请赎回其持有的基金份额；</w:t>
      </w:r>
    </w:p>
    <w:p w:rsidR="00D50D9C" w14:paraId="50EDBD2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）按照规定要求召开基金份额持有人大会或者召集基金份额持有人大会；</w:t>
      </w:r>
    </w:p>
    <w:p w:rsidR="00D50D9C" w14:paraId="4B7E89C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）出席或者委派代表出席基金份额持有人大会，对基金份额持有人大会审议事项行使表决权；</w:t>
      </w:r>
    </w:p>
    <w:p w:rsidR="00D50D9C" w14:paraId="5077DCB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）查阅或者复制公开披露的基金信息资料；</w:t>
      </w:r>
    </w:p>
    <w:p w:rsidR="00D50D9C" w14:paraId="215A973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）监督基金管理人的投资运作；</w:t>
      </w:r>
    </w:p>
    <w:p w:rsidR="00D50D9C" w14:paraId="2B68112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）对基金管理人、基金托管人、基金服务机构损害其合法权益的行为依法提起诉讼或仲裁；</w:t>
      </w:r>
    </w:p>
    <w:p w:rsidR="00D50D9C" w14:paraId="52675F9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）法律法规及中国证监会规定的和《基金合同》约定的其他权利。</w:t>
      </w:r>
    </w:p>
    <w:p w:rsidR="00D50D9C" w14:paraId="62CAC379"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、根据《基金法》、《运作办法》及其他有关规定，基金份额持有人的义务包括但不限于：</w:t>
      </w:r>
    </w:p>
    <w:p w:rsidR="00D50D9C" w14:paraId="17B9EBD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）认真阅读并遵守《基金合同》、招募说明书等信息披露文件；</w:t>
      </w:r>
    </w:p>
    <w:p w:rsidR="00D50D9C" w14:paraId="5298C29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）了解所投资基金产品，了解自身风险承受能力，自主判断基金的投资价值，自主做出投资决策，自行承担投资风险；</w:t>
      </w:r>
    </w:p>
    <w:p w:rsidR="00D50D9C" w14:paraId="496DD28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）关注基金信息披露，及时行使权利和履行义务；</w:t>
      </w:r>
    </w:p>
    <w:p w:rsidR="00D50D9C" w14:paraId="15325D5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）交纳基金认购、申购款项及法律法规和《基金合同》所规定的费用；</w:t>
      </w:r>
    </w:p>
    <w:p w:rsidR="00D50D9C" w14:paraId="4832787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）在其持有的基金份额范围内，承担基金亏损或者《基金合同》终止的有限责任；</w:t>
      </w:r>
    </w:p>
    <w:p w:rsidR="00D50D9C" w14:paraId="5345369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）不从事任何有损基金及其他《基金合同》当事人合法权益的活动；</w:t>
      </w:r>
    </w:p>
    <w:p w:rsidR="00D50D9C" w14:paraId="214D11C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）执行生效的基金份额持有人大会的决议；</w:t>
      </w:r>
    </w:p>
    <w:p w:rsidR="00D50D9C" w14:paraId="24AF087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）返还在基金交易过程中因任何原因获得的不当得利；</w:t>
      </w:r>
    </w:p>
    <w:p w:rsidR="00D50D9C" w14:paraId="69E4473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）法律法规及中国证监会规定的和《基金合同》约定的其他义务。</w:t>
      </w:r>
    </w:p>
    <w:p w:rsidR="00D50D9C" w14:paraId="758C291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D50D9C" w14:paraId="1D108490"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、根据《基金法》、《运作办法》及其他有关规定，基金管理人的权利包括但不限于：</w:t>
      </w:r>
    </w:p>
    <w:p w:rsidR="00D50D9C" w14:paraId="1DBA46E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）依法募集资金；</w:t>
      </w:r>
    </w:p>
    <w:p w:rsidR="00D50D9C" w14:paraId="0E3DF2E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）自《基金合同》生效之日起，根据法律法规和《基金合同》独立运用并管理基金财产；</w:t>
      </w:r>
    </w:p>
    <w:p w:rsidR="00D50D9C" w14:paraId="799CD84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）依照《基金合同》收取基金管理费（包括固定管理费、或有管理费和超额管理费）以及法律法规规定或中国证监会批准的其他费用；</w:t>
      </w:r>
    </w:p>
    <w:p w:rsidR="00D50D9C" w14:paraId="1122948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）销售基金份额；</w:t>
      </w:r>
    </w:p>
    <w:p w:rsidR="00D50D9C" w14:paraId="76A9E73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）按照规定召集基金份额持有人大会；</w:t>
      </w:r>
    </w:p>
    <w:p w:rsidR="00D50D9C" w14:paraId="6F18552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D50D9C" w14:paraId="138815F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）在基金托管人更换时，提名新的基金托管人；</w:t>
      </w:r>
    </w:p>
    <w:p w:rsidR="00D50D9C" w14:paraId="66C0236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）选择、更换基金销售机构，对基金销售机构的相关行为进行监督和处理；</w:t>
      </w:r>
    </w:p>
    <w:p w:rsidR="00D50D9C" w14:paraId="741B5C3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）担任或委托其他符合条件的机构担任基金登记机构办理基金登记业务并获得《基金合同》规定的费用；</w:t>
      </w:r>
    </w:p>
    <w:p w:rsidR="00D50D9C" w14:paraId="58ACB6F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）依据《基金合同》及有关法律规定决定基金收益的分配方案；</w:t>
      </w:r>
    </w:p>
    <w:p w:rsidR="00D50D9C" w14:paraId="74F4029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）在《基金合同》约定的范围内，拒绝或暂停受理申购、赎回及转换申请；</w:t>
      </w:r>
    </w:p>
    <w:p w:rsidR="00D50D9C" w14:paraId="5015158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）依照法律法规为基金的利益对被投资公司行使股东权利，为基金的利益行使因基金财产投资于证券所产生的权利；</w:t>
      </w:r>
    </w:p>
    <w:p w:rsidR="00D50D9C" w14:paraId="53E8BE3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）在法律法规允许的前提下，为基金的利益依法为基金进行融资；</w:t>
      </w:r>
    </w:p>
    <w:p w:rsidR="00D50D9C" w14:paraId="22D6A88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）以基金管理人的名义，代表基金份额持有人的利益行使诉讼权利或者实施其他法律行为；</w:t>
      </w:r>
    </w:p>
    <w:p w:rsidR="00D50D9C" w14:paraId="200B839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）选择、更换律师事务所、会计师事务所、证券经纪商或其他为基金提供服务的外部机构；</w:t>
      </w:r>
    </w:p>
    <w:p w:rsidR="00D50D9C" w14:paraId="74C3A45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）在符合有关法律、法规的前提下，制订和调整有关基金认购、申购、赎回、转换、非交易过户、转托管和收益分配等的业务规则；</w:t>
      </w:r>
    </w:p>
    <w:p w:rsidR="00D50D9C" w14:paraId="1085C80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）在不违反法律法规和监管规定且对基金份额持有人利益无实质不利影响的前提下，为支付本基金应付的赎回、交易清算等款项，基金管理人有权代表基金份额持有人以基金资产作为质押进行融资；</w:t>
      </w:r>
    </w:p>
    <w:p w:rsidR="00D50D9C" w14:paraId="77575D3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）委托第三方机构办理本基金的交易、清算、估值、结算等业务；</w:t>
      </w:r>
    </w:p>
    <w:p w:rsidR="00D50D9C" w14:paraId="6DA06C1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）法律法规及中国证监会规定的和《基金合同》约定的其他权利。</w:t>
      </w:r>
    </w:p>
    <w:p w:rsidR="00D50D9C" w14:paraId="3E6059B2"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、根据《基金法》、《运作办法》及其他有关规定，基金管理人的义务包括但不限于：</w:t>
      </w:r>
    </w:p>
    <w:p w:rsidR="00D50D9C" w14:paraId="115DCE5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）依法募集资金，办理或者委托经中国证监会认定的其他机构办理基金份额的发售、申购、赎回和登记事宜；</w:t>
      </w:r>
    </w:p>
    <w:p w:rsidR="00D50D9C" w14:paraId="56C0CC4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）办理基金备案手续；</w:t>
      </w:r>
    </w:p>
    <w:p w:rsidR="00D50D9C" w14:paraId="3D6A556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）自《基金合同》生效之日起，以诚实信用、谨慎勤勉的原则管理和运用基金财产；</w:t>
      </w:r>
    </w:p>
    <w:p w:rsidR="00D50D9C" w14:paraId="335B296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）配备足够的具有专业资格的人员进行基金投资分析、决策，以专业化的经营方式管理和运作基金财产；</w:t>
      </w:r>
    </w:p>
    <w:p w:rsidR="00D50D9C" w14:paraId="4B51591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D50D9C" w14:paraId="0AD2E7E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）除依据《基金法》、《基金合同》及其他有关规定外，不得利用基金财产为自己及任何第三人谋取利益，不得委托第三人运作基金财产；</w:t>
      </w:r>
    </w:p>
    <w:p w:rsidR="00D50D9C" w14:paraId="58172CA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）依法接受基金托管人的监督；</w:t>
      </w:r>
    </w:p>
    <w:p w:rsidR="00D50D9C" w14:paraId="0C191B8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）采取适当合理的措施使计算基金份额认购、申购、赎回和注销价格的方法符合《基金合同》等法律文件的规定，按有关规定计算并公告基金净值信息，确定基金份额申购、赎回的价格；</w:t>
      </w:r>
    </w:p>
    <w:p w:rsidR="00D50D9C" w14:paraId="3A41AC2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）进行基金会计核算并编制基金财务会计报告；</w:t>
      </w:r>
    </w:p>
    <w:p w:rsidR="00D50D9C" w14:paraId="047586F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）编制季度报告、中期报告和年度报告；</w:t>
      </w:r>
    </w:p>
    <w:p w:rsidR="00D50D9C" w14:paraId="2BC894A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）严格按照《基金法》、《基金合同》及其他有关规定，履行信息披露及报告义务；</w:t>
      </w:r>
    </w:p>
    <w:p w:rsidR="00D50D9C" w14:paraId="48FC282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D50D9C" w14:paraId="0C9D5DA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）按《基金合同》的约定确定基金收益分配方案，及时向基金份额持有人分配基金收益；</w:t>
      </w:r>
    </w:p>
    <w:p w:rsidR="00D50D9C" w14:paraId="0C1F72D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）按规定受理申购与赎回申请，及时、足额支付赎回款项；</w:t>
      </w:r>
    </w:p>
    <w:p w:rsidR="00D50D9C" w14:paraId="2D85766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）依据《基金法》、《基金合同》及其他有关规定召集基金份额持有人大会或配合基金托管人、基金份额持有人依法召集基金份额持有人大会；</w:t>
      </w:r>
    </w:p>
    <w:p w:rsidR="00D50D9C" w14:paraId="741C0E2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）按规定保存基金财产管理业务活动的会计账册、报表、记录和其他相关资料</w:t>
      </w:r>
      <w:r>
        <w:rPr>
          <w:rFonts w:ascii="宋体" w:hAnsi="宋体"/>
          <w:szCs w:val="21"/>
          <w:highlight w:val="white"/>
          <w:lang w:eastAsia="zh-CN"/>
        </w:rPr>
        <w:t>20</w:t>
      </w:r>
      <w:r>
        <w:rPr>
          <w:rFonts w:ascii="宋体" w:eastAsia="宋体" w:hAnsi="宋体" w:cs="宋体"/>
          <w:szCs w:val="21"/>
          <w:highlight w:val="white"/>
          <w:lang w:eastAsia="zh-CN"/>
        </w:rPr>
        <w:t>年以上；</w:t>
      </w:r>
    </w:p>
    <w:p w:rsidR="00D50D9C" w14:paraId="7357EBF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50D9C" w14:paraId="0F04886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）组织并参加基金财产清算小组，参与基金财产的保管、清理、估价、变现和分配；</w:t>
      </w:r>
    </w:p>
    <w:p w:rsidR="00D50D9C" w14:paraId="3BF17BE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）面临解散、依法被撤销或者被依法宣告破产时，及时报告中国证监会并通知基金托管人；</w:t>
      </w:r>
    </w:p>
    <w:p w:rsidR="00D50D9C" w14:paraId="3A2B5EB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20</w:t>
      </w:r>
      <w:r>
        <w:rPr>
          <w:rFonts w:ascii="宋体" w:eastAsia="宋体" w:hAnsi="宋体" w:cs="宋体"/>
          <w:szCs w:val="21"/>
          <w:highlight w:val="white"/>
          <w:lang w:eastAsia="zh-CN"/>
        </w:rPr>
        <w:t>）因违反《基金合同》导致基金财产的损失或损害基金份额持有人合法权益时，应当承担赔偿责任，其赔偿责任不因其退任而免除；</w:t>
      </w:r>
    </w:p>
    <w:p w:rsidR="00D50D9C" w14:paraId="2CDDF18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21</w:t>
      </w:r>
      <w:r>
        <w:rPr>
          <w:rFonts w:ascii="宋体" w:eastAsia="宋体" w:hAnsi="宋体" w:cs="宋体"/>
          <w:szCs w:val="21"/>
          <w:highlight w:val="white"/>
          <w:lang w:eastAsia="zh-CN"/>
        </w:rPr>
        <w:t>）监督基金托管人按法律法规和《基金合同》规定履行自己的义务，基金托管人违反《基金合同》造成基金财产损失时，基金管理人应为基金份额持有人利益向基金托管人追偿；</w:t>
      </w:r>
    </w:p>
    <w:p w:rsidR="00D50D9C" w14:paraId="5988318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22</w:t>
      </w:r>
      <w:r>
        <w:rPr>
          <w:rFonts w:ascii="宋体" w:eastAsia="宋体" w:hAnsi="宋体" w:cs="宋体"/>
          <w:szCs w:val="21"/>
          <w:highlight w:val="white"/>
          <w:lang w:eastAsia="zh-CN"/>
        </w:rPr>
        <w:t>）当基金管理人将其义务委托第三方处理时，应当对第三方处理有关基金事务的行为承担责任；</w:t>
      </w:r>
    </w:p>
    <w:p w:rsidR="00D50D9C" w14:paraId="58E094D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23</w:t>
      </w:r>
      <w:r>
        <w:rPr>
          <w:rFonts w:ascii="宋体" w:eastAsia="宋体" w:hAnsi="宋体" w:cs="宋体"/>
          <w:szCs w:val="21"/>
          <w:highlight w:val="white"/>
          <w:lang w:eastAsia="zh-CN"/>
        </w:rPr>
        <w:t>）以基金管理人名义，代表基金份额持有人利益行使诉讼权利或实施其他法律行为；</w:t>
      </w:r>
    </w:p>
    <w:p w:rsidR="00D50D9C" w14:paraId="3ABB71B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24</w:t>
      </w:r>
      <w:r>
        <w:rPr>
          <w:rFonts w:ascii="宋体" w:eastAsia="宋体" w:hAnsi="宋体" w:cs="宋体"/>
          <w:szCs w:val="21"/>
          <w:highlight w:val="white"/>
          <w:lang w:eastAsia="zh-CN"/>
        </w:rPr>
        <w:t>）基金管理人在募集期间未能达到基金的备案条件，《基金合同》不能生效，基金管理人承担全部募集费用，将已募集资金并加计银行同期活期存款利息在基金募集期结束后</w:t>
      </w:r>
      <w:r>
        <w:rPr>
          <w:rFonts w:ascii="宋体" w:hAnsi="宋体"/>
          <w:szCs w:val="21"/>
          <w:highlight w:val="white"/>
          <w:lang w:eastAsia="zh-CN"/>
        </w:rPr>
        <w:t>30</w:t>
      </w:r>
      <w:r>
        <w:rPr>
          <w:rFonts w:ascii="宋体" w:eastAsia="宋体" w:hAnsi="宋体" w:cs="宋体"/>
          <w:szCs w:val="21"/>
          <w:highlight w:val="white"/>
          <w:lang w:eastAsia="zh-CN"/>
        </w:rPr>
        <w:t>日内退还基金认购人；</w:t>
      </w:r>
    </w:p>
    <w:p w:rsidR="00D50D9C" w14:paraId="440689B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25</w:t>
      </w:r>
      <w:r>
        <w:rPr>
          <w:rFonts w:ascii="宋体" w:eastAsia="宋体" w:hAnsi="宋体" w:cs="宋体"/>
          <w:szCs w:val="21"/>
          <w:highlight w:val="white"/>
          <w:lang w:eastAsia="zh-CN"/>
        </w:rPr>
        <w:t>）执行生效的基金份额持有人大会的决议；</w:t>
      </w:r>
    </w:p>
    <w:p w:rsidR="00D50D9C" w14:paraId="49DE249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26</w:t>
      </w:r>
      <w:r>
        <w:rPr>
          <w:rFonts w:ascii="宋体" w:eastAsia="宋体" w:hAnsi="宋体" w:cs="宋体"/>
          <w:szCs w:val="21"/>
          <w:highlight w:val="white"/>
          <w:lang w:eastAsia="zh-CN"/>
        </w:rPr>
        <w:t>）建立并保存基金份额持有人名册；</w:t>
      </w:r>
    </w:p>
    <w:p w:rsidR="00D50D9C" w14:paraId="6A2DCEE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27</w:t>
      </w:r>
      <w:r>
        <w:rPr>
          <w:rFonts w:ascii="宋体" w:eastAsia="宋体" w:hAnsi="宋体" w:cs="宋体"/>
          <w:szCs w:val="21"/>
          <w:highlight w:val="white"/>
          <w:lang w:eastAsia="zh-CN"/>
        </w:rPr>
        <w:t>）法律法规及中国证监会规定的和《基金合同》约定的其他义务。</w:t>
      </w:r>
    </w:p>
    <w:p w:rsidR="00D50D9C" w14:paraId="7A665F6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D50D9C" w14:paraId="44671889" w14:textId="77777777">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1、根据《基金法》、《运作办法》及其他有关规定，基金托管人的权利包括但不限于：</w:t>
      </w:r>
    </w:p>
    <w:p w:rsidR="00D50D9C" w14:paraId="42250E1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D50D9C" w14:paraId="22999B4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D50D9C" w14:paraId="79E6213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50D9C" w14:paraId="0C945C6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（4）根据相关市场规则，为基金开设资金账户、证券账户等投资所需账户、为基金办理证券交易资金清算；</w:t>
      </w:r>
    </w:p>
    <w:p w:rsidR="00D50D9C" w14:paraId="32AA6C6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（5）提议召开或召集基金份额持有人大会；</w:t>
      </w:r>
    </w:p>
    <w:p w:rsidR="00D50D9C" w14:paraId="4F0CBA9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（6）在基金管理人更换时，提名新的基金管理人；</w:t>
      </w:r>
    </w:p>
    <w:p w:rsidR="00D50D9C" w14:paraId="365E847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（7）法律法规及中国证监会规定的和《基金合同》约定的其他权利。</w:t>
      </w:r>
    </w:p>
    <w:p w:rsidR="00D50D9C" w14:paraId="630D0573" w14:textId="77777777">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2、根据《基金法》、《运作办法》及其他有关规定，基金托管人的义务包括但不限于：</w:t>
      </w:r>
    </w:p>
    <w:p w:rsidR="00D50D9C" w14:paraId="0596F16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（1）以诚实信用、勤勉尽责的原则持有并安全保管基金财产；</w:t>
      </w:r>
    </w:p>
    <w:p w:rsidR="00D50D9C" w14:paraId="0AB7FA7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D50D9C" w14:paraId="4F0FD52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50D9C" w14:paraId="2D7249E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D50D9C" w14:paraId="14894CD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D50D9C" w14:paraId="72551FC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D50D9C" w14:paraId="46B203E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D50D9C" w14:paraId="364D1F5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（8）复核、审查基金管理人计算的基金资产净值、各类基金份额净值、基金份额申购、赎回价格；</w:t>
      </w:r>
    </w:p>
    <w:p w:rsidR="00D50D9C" w14:paraId="47B9408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（9）办理与基金托管业务活动有关的信息披露事项；</w:t>
      </w:r>
    </w:p>
    <w:p w:rsidR="00D50D9C" w14:paraId="28EE2E2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50D9C" w14:paraId="546E3CB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（11）保存基金托管业务活动的记录、账册、报表和其他相关资料20年以上；</w:t>
      </w:r>
    </w:p>
    <w:p w:rsidR="00D50D9C" w14:paraId="241C973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（12）从基金管理人或其委托的登记机构处接收并保存基金份额持有人名册；</w:t>
      </w:r>
    </w:p>
    <w:p w:rsidR="00D50D9C" w14:paraId="77E3000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（13）按规定制作相关账册并与基金管理人核对；</w:t>
      </w:r>
    </w:p>
    <w:p w:rsidR="00D50D9C" w14:paraId="5A85434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D50D9C" w14:paraId="45736EF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D50D9C" w14:paraId="7875921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（16）按照法律法规和《基金合同》的规定监督基金管理人的投资运作；</w:t>
      </w:r>
    </w:p>
    <w:p w:rsidR="00D50D9C" w14:paraId="517330D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D50D9C" w14:paraId="4B25548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D50D9C" w14:paraId="722900F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D50D9C" w14:paraId="2A16942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D50D9C" w14:paraId="3F3DFA8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（21）执行生效的基金份额持有人大会的决议；</w:t>
      </w:r>
    </w:p>
    <w:p w:rsidR="00D50D9C" w14:paraId="47C0D18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（22）法律法规及中国证监会规定的和《基金合同》约定的其他义务。</w:t>
      </w:r>
    </w:p>
    <w:p w:rsidR="00D50D9C" w14:paraId="4B3302A2" w14:textId="77777777">
      <w:pPr>
        <w:spacing w:line="360" w:lineRule="auto"/>
        <w:ind w:firstLine="420"/>
        <w:rPr>
          <w:rFonts w:ascii="宋体" w:hAnsi="宋体"/>
          <w:szCs w:val="21"/>
          <w:lang w:eastAsia="zh-CN"/>
        </w:rPr>
      </w:pPr>
    </w:p>
    <w:p w:rsidR="00D50D9C" w14:paraId="7EF8CB7A" w14:textId="77777777">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4"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4"/>
    </w:p>
    <w:p w:rsidR="00D50D9C" w14:paraId="29A3043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D50D9C" w14:paraId="6DE5F71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D50D9C" w14:paraId="2A460FC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D50D9C" w14:paraId="5CD7B256" w14:textId="77777777">
      <w:pPr>
        <w:spacing w:line="360" w:lineRule="auto"/>
        <w:ind w:firstLine="420"/>
        <w:rPr>
          <w:rFonts w:ascii="宋体" w:hAnsi="宋体"/>
          <w:szCs w:val="21"/>
          <w:lang w:eastAsia="zh-CN"/>
        </w:rPr>
      </w:pPr>
      <w:r>
        <w:rPr>
          <w:rFonts w:ascii="宋体" w:hAnsi="宋体" w:hint="eastAsia"/>
          <w:szCs w:val="21"/>
          <w:highlight w:val="white"/>
          <w:lang w:eastAsia="zh-CN"/>
        </w:rPr>
        <w:t>1、除法律法规、中国证监会和基金合同另有规定外，当出现或需要决定下列事由之一的，应当召开基金份额持有人大会：</w:t>
      </w:r>
    </w:p>
    <w:p w:rsidR="00D50D9C" w14:paraId="59E168C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（1）终止《基金合同》；</w:t>
      </w:r>
    </w:p>
    <w:p w:rsidR="00D50D9C" w14:paraId="377E7F5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（2）更换基金管理人；</w:t>
      </w:r>
    </w:p>
    <w:p w:rsidR="00D50D9C" w14:paraId="0AE780D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（3）更换基金托管人；</w:t>
      </w:r>
    </w:p>
    <w:p w:rsidR="00D50D9C" w14:paraId="6E46DBA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（4）转换基金运作方式；</w:t>
      </w:r>
    </w:p>
    <w:p w:rsidR="00D50D9C" w14:paraId="2F66435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（5）调整基金管理人、基金托管人的报酬标准；</w:t>
      </w:r>
    </w:p>
    <w:p w:rsidR="00D50D9C" w14:paraId="0131D27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（6）变更基金类别；</w:t>
      </w:r>
    </w:p>
    <w:p w:rsidR="00D50D9C" w14:paraId="6F632C9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（7）本基金与其他基金的合并；</w:t>
      </w:r>
    </w:p>
    <w:p w:rsidR="00D50D9C" w14:paraId="4AB27A2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（8）变更基金投资目标、范围或策略；</w:t>
      </w:r>
    </w:p>
    <w:p w:rsidR="00D50D9C" w14:paraId="3C04A20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（9）变更基金份额持有人大会程序；</w:t>
      </w:r>
    </w:p>
    <w:p w:rsidR="00D50D9C" w14:paraId="18C7BB8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（10）基金管理人或基金托管人要求召开基金份额持有人大会；</w:t>
      </w:r>
    </w:p>
    <w:p w:rsidR="00D50D9C" w14:paraId="4173237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D50D9C" w14:paraId="7924166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（12）对基金合同当事人权利和义务产生重大影响的其他事项；</w:t>
      </w:r>
    </w:p>
    <w:p w:rsidR="00D50D9C" w14:paraId="787CFBA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（13）法律法规、《基金合同》或中国证监会规定的其他应当召开基金份额持有人大会的事项。</w:t>
      </w:r>
    </w:p>
    <w:p w:rsidR="00D50D9C" w14:paraId="6DD0494E" w14:textId="77777777">
      <w:pPr>
        <w:spacing w:line="360" w:lineRule="auto"/>
        <w:ind w:firstLine="420"/>
        <w:rPr>
          <w:rFonts w:ascii="宋体" w:hAnsi="宋体"/>
          <w:szCs w:val="21"/>
          <w:lang w:eastAsia="zh-CN"/>
        </w:rPr>
      </w:pPr>
      <w:r>
        <w:rPr>
          <w:rFonts w:ascii="宋体" w:hAnsi="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D50D9C" w14:paraId="6A99225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（1）调低销售服务费率；</w:t>
      </w:r>
    </w:p>
    <w:p w:rsidR="00D50D9C" w14:paraId="0FC7E1F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（2）法律法规要求增加的基金费用的收取；</w:t>
      </w:r>
    </w:p>
    <w:p w:rsidR="00D50D9C" w14:paraId="0235741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w:t>
      </w:r>
      <w:r w:rsidRPr="00415459" w:rsidR="00415459">
        <w:rPr>
          <w:rFonts w:ascii="宋体" w:eastAsia="宋体" w:hAnsi="宋体" w:cs="宋体" w:hint="eastAsia"/>
          <w:szCs w:val="21"/>
          <w:lang w:eastAsia="zh-CN"/>
        </w:rPr>
        <w:t>在法律法规和《基金合同》规定的范围内，调整本基金的申购费率、收费方式或基金份额类别设置</w:t>
      </w:r>
      <w:r>
        <w:rPr>
          <w:rFonts w:ascii="宋体" w:eastAsia="宋体" w:hAnsi="宋体" w:cs="宋体" w:hint="eastAsia"/>
          <w:szCs w:val="21"/>
          <w:highlight w:val="white"/>
          <w:lang w:eastAsia="zh-CN"/>
        </w:rPr>
        <w:t>；</w:t>
      </w:r>
    </w:p>
    <w:p w:rsidR="00D50D9C" w14:paraId="57B34D4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（4）因相应的法律法规发生变动而应当对《基金合同》进行修改；</w:t>
      </w:r>
    </w:p>
    <w:p w:rsidR="00D50D9C" w14:paraId="14A87C1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（5）对《基金合同》的修改对基金份额持有人利益无实质性不利影响或修改不涉及《基金合同》当事人权利义务关系发生重大变化；</w:t>
      </w:r>
    </w:p>
    <w:p w:rsidR="00D50D9C" w14:paraId="1EADE41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D50D9C" w14:paraId="1013F66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（7）在法律法规或中国证监会允许的范围内推出新业务或服务；</w:t>
      </w:r>
    </w:p>
    <w:p w:rsidR="00D50D9C" w14:paraId="68DFF7F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（8）按照法律法规和《基金合同》规定不需召开基金份额持有人大会的其他情形。</w:t>
      </w:r>
    </w:p>
    <w:p w:rsidR="00D50D9C" w14:paraId="7339EF2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D50D9C" w14:paraId="10981B70" w14:textId="77777777">
      <w:pPr>
        <w:spacing w:line="360" w:lineRule="auto"/>
        <w:ind w:firstLine="420"/>
        <w:rPr>
          <w:rFonts w:ascii="宋体" w:hAnsi="宋体"/>
          <w:szCs w:val="21"/>
          <w:lang w:eastAsia="zh-CN"/>
        </w:rPr>
      </w:pPr>
      <w:r>
        <w:rPr>
          <w:rFonts w:ascii="宋体" w:hAnsi="宋体" w:hint="eastAsia"/>
          <w:szCs w:val="21"/>
          <w:highlight w:val="white"/>
          <w:lang w:eastAsia="zh-CN"/>
        </w:rPr>
        <w:t>1、除法律法规规定或《基金合同》另有约定外，基金份额持有人大会由基金管理人召集。</w:t>
      </w:r>
    </w:p>
    <w:p w:rsidR="00D50D9C" w14:paraId="366145C5"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2、基金管理人未按规定召集或不能召开时，由基金托管人召集。</w:t>
      </w:r>
    </w:p>
    <w:p w:rsidR="00D50D9C" w14:paraId="4CBE653E"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D50D9C" w14:paraId="3F3ECAB9" w14:textId="77777777">
      <w:pPr>
        <w:spacing w:line="360" w:lineRule="auto"/>
        <w:ind w:firstLine="420"/>
        <w:rPr>
          <w:rFonts w:ascii="宋体" w:hAnsi="宋体"/>
          <w:szCs w:val="21"/>
          <w:lang w:eastAsia="zh-CN"/>
        </w:rPr>
      </w:pPr>
      <w:r>
        <w:rPr>
          <w:rFonts w:ascii="宋体" w:hAnsi="宋体"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D50D9C" w14:paraId="66F3F4D2" w14:textId="77777777">
      <w:pPr>
        <w:spacing w:line="360" w:lineRule="auto"/>
        <w:ind w:firstLine="420"/>
        <w:rPr>
          <w:rFonts w:ascii="宋体" w:hAnsi="宋体"/>
          <w:szCs w:val="21"/>
          <w:lang w:eastAsia="zh-CN"/>
        </w:rPr>
      </w:pPr>
      <w:r>
        <w:rPr>
          <w:rFonts w:ascii="宋体" w:hAnsi="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D50D9C" w14:paraId="3803FF6C" w14:textId="77777777">
      <w:pPr>
        <w:spacing w:line="360" w:lineRule="auto"/>
        <w:ind w:firstLine="420"/>
        <w:rPr>
          <w:rFonts w:ascii="宋体" w:hAnsi="宋体"/>
          <w:szCs w:val="21"/>
          <w:lang w:eastAsia="zh-CN"/>
        </w:rPr>
      </w:pPr>
      <w:r>
        <w:rPr>
          <w:rFonts w:ascii="宋体" w:hAnsi="宋体" w:hint="eastAsia"/>
          <w:szCs w:val="21"/>
          <w:highlight w:val="white"/>
          <w:lang w:eastAsia="zh-CN"/>
        </w:rPr>
        <w:t>6、基金份额持有人会议的召集人负责选择确定开会时间、地点、方式和权益登记日。</w:t>
      </w:r>
    </w:p>
    <w:p w:rsidR="00D50D9C" w14:paraId="0C6A91A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D50D9C" w14:paraId="6F617439" w14:textId="77777777">
      <w:pPr>
        <w:spacing w:line="360" w:lineRule="auto"/>
        <w:ind w:firstLine="420"/>
        <w:rPr>
          <w:rFonts w:ascii="宋体" w:hAnsi="宋体"/>
          <w:szCs w:val="21"/>
          <w:lang w:eastAsia="zh-CN"/>
        </w:rPr>
      </w:pPr>
      <w:r>
        <w:rPr>
          <w:rFonts w:ascii="宋体" w:hAnsi="宋体" w:hint="eastAsia"/>
          <w:szCs w:val="21"/>
          <w:highlight w:val="white"/>
          <w:lang w:eastAsia="zh-CN"/>
        </w:rPr>
        <w:t>1、召开基金份额持有人大会，召集人应于会议召开前30日，在规定媒介公告。基金份额持有人大会通知应至少载明以下内容：</w:t>
      </w:r>
    </w:p>
    <w:p w:rsidR="00D50D9C" w14:paraId="08B4AB6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（1）会议召开的时间、地点和会议形式；</w:t>
      </w:r>
    </w:p>
    <w:p w:rsidR="00D50D9C" w14:paraId="161FD86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（2）会议拟审议的事项、议事程序和表决方式；</w:t>
      </w:r>
    </w:p>
    <w:p w:rsidR="00D50D9C" w14:paraId="5EBD75F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（3）有权出席基金份额持有人大会的基金份额持有人的权益登记日；</w:t>
      </w:r>
    </w:p>
    <w:p w:rsidR="00D50D9C" w14:paraId="2562F49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（4）授权委托证明的内容要求（包括但不限于代理人身份，代理权限和代理有效期限等）、送达时间和地点；</w:t>
      </w:r>
    </w:p>
    <w:p w:rsidR="00D50D9C" w14:paraId="604F4F9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（5）会务常设联系人姓名及联系电话；</w:t>
      </w:r>
    </w:p>
    <w:p w:rsidR="00D50D9C" w14:paraId="5DACB61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（6）出席会议者必须准备的文件和必须履行的手续；</w:t>
      </w:r>
    </w:p>
    <w:p w:rsidR="00D50D9C" w14:paraId="45D325B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（7）召集人需要通知的其他事项。</w:t>
      </w:r>
    </w:p>
    <w:p w:rsidR="00D50D9C" w14:paraId="505BAE22" w14:textId="77777777">
      <w:pPr>
        <w:spacing w:line="360" w:lineRule="auto"/>
        <w:ind w:firstLine="420"/>
        <w:rPr>
          <w:rFonts w:ascii="宋体" w:hAnsi="宋体"/>
          <w:szCs w:val="21"/>
          <w:lang w:eastAsia="zh-CN"/>
        </w:rPr>
      </w:pPr>
      <w:r>
        <w:rPr>
          <w:rFonts w:ascii="宋体" w:hAnsi="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50D9C" w14:paraId="68342C76" w14:textId="77777777">
      <w:pPr>
        <w:spacing w:line="360" w:lineRule="auto"/>
        <w:ind w:firstLine="420"/>
        <w:rPr>
          <w:rFonts w:ascii="宋体" w:hAnsi="宋体"/>
          <w:szCs w:val="21"/>
          <w:lang w:eastAsia="zh-CN"/>
        </w:rPr>
      </w:pPr>
      <w:r>
        <w:rPr>
          <w:rFonts w:ascii="宋体" w:hAnsi="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D50D9C" w14:paraId="349A8A1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D50D9C" w14:paraId="27B0DC1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D50D9C" w14:paraId="46F9281D" w14:textId="77777777">
      <w:pPr>
        <w:spacing w:line="360" w:lineRule="auto"/>
        <w:ind w:firstLine="420"/>
        <w:rPr>
          <w:rFonts w:ascii="宋体" w:hAnsi="宋体"/>
          <w:szCs w:val="21"/>
          <w:lang w:eastAsia="zh-CN"/>
        </w:rPr>
      </w:pPr>
      <w:r>
        <w:rPr>
          <w:rFonts w:ascii="宋体" w:hAnsi="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50D9C" w14:paraId="5F84C9B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D50D9C" w14:paraId="043C0C0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D50D9C" w14:paraId="0EA68DD7" w14:textId="77777777">
      <w:pPr>
        <w:spacing w:line="360" w:lineRule="auto"/>
        <w:ind w:firstLine="420"/>
        <w:rPr>
          <w:rFonts w:ascii="宋体" w:hAnsi="宋体"/>
          <w:szCs w:val="21"/>
          <w:lang w:eastAsia="zh-CN"/>
        </w:rPr>
      </w:pPr>
      <w:r>
        <w:rPr>
          <w:rFonts w:ascii="宋体" w:hAnsi="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D50D9C" w14:paraId="269C190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D50D9C" w14:paraId="4D798DB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（1）会议召集人按《基金合同》约定公布会议通知后，在2个工作日内连续公布相关提示性公告；</w:t>
      </w:r>
    </w:p>
    <w:p w:rsidR="00D50D9C" w14:paraId="4B3E93B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50D9C" w14:paraId="3AB51B4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D50D9C" w14:paraId="50E4908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D50D9C" w14:paraId="6B88FF5A" w14:textId="77777777">
      <w:pPr>
        <w:spacing w:line="360" w:lineRule="auto"/>
        <w:ind w:firstLine="420"/>
        <w:rPr>
          <w:rFonts w:ascii="宋体" w:hAnsi="宋体"/>
          <w:szCs w:val="21"/>
          <w:lang w:eastAsia="zh-CN"/>
        </w:rPr>
      </w:pPr>
      <w:r>
        <w:rPr>
          <w:rFonts w:ascii="宋体" w:hAnsi="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D50D9C" w14:paraId="01B91304" w14:textId="77777777">
      <w:pPr>
        <w:spacing w:line="360" w:lineRule="auto"/>
        <w:ind w:firstLine="420"/>
        <w:rPr>
          <w:rFonts w:ascii="宋体" w:hAnsi="宋体"/>
          <w:szCs w:val="21"/>
          <w:lang w:eastAsia="zh-CN"/>
        </w:rPr>
      </w:pPr>
      <w:r>
        <w:rPr>
          <w:rFonts w:ascii="宋体" w:hAnsi="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D50D9C" w14:paraId="341B228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D50D9C" w14:paraId="10092124" w14:textId="77777777">
      <w:pPr>
        <w:spacing w:line="360" w:lineRule="auto"/>
        <w:ind w:firstLine="420"/>
        <w:rPr>
          <w:rFonts w:ascii="宋体" w:hAnsi="宋体"/>
          <w:szCs w:val="21"/>
          <w:lang w:eastAsia="zh-CN"/>
        </w:rPr>
      </w:pPr>
      <w:r>
        <w:rPr>
          <w:rFonts w:ascii="宋体" w:hAnsi="宋体" w:hint="eastAsia"/>
          <w:szCs w:val="21"/>
          <w:highlight w:val="white"/>
          <w:lang w:eastAsia="zh-CN"/>
        </w:rPr>
        <w:t>1、议事内容及提案权</w:t>
      </w:r>
    </w:p>
    <w:p w:rsidR="00D50D9C" w14:paraId="4949291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50D9C" w14:paraId="16BAF88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D50D9C" w14:paraId="1DDC44D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D50D9C" w14:paraId="26495C4C" w14:textId="77777777">
      <w:pPr>
        <w:spacing w:line="360" w:lineRule="auto"/>
        <w:ind w:firstLine="420"/>
        <w:rPr>
          <w:rFonts w:ascii="宋体" w:hAnsi="宋体"/>
          <w:szCs w:val="21"/>
          <w:lang w:eastAsia="zh-CN"/>
        </w:rPr>
      </w:pPr>
      <w:r>
        <w:rPr>
          <w:rFonts w:ascii="宋体" w:hAnsi="宋体" w:hint="eastAsia"/>
          <w:szCs w:val="21"/>
          <w:highlight w:val="white"/>
          <w:lang w:eastAsia="zh-CN"/>
        </w:rPr>
        <w:t>2、议事程序</w:t>
      </w:r>
    </w:p>
    <w:p w:rsidR="00D50D9C" w14:paraId="67669CE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（1）现场开会</w:t>
      </w:r>
    </w:p>
    <w:p w:rsidR="00D50D9C" w14:paraId="669F680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D50D9C" w14:paraId="0C676B6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D50D9C" w14:paraId="769110F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（2）通讯开会</w:t>
      </w:r>
    </w:p>
    <w:p w:rsidR="00D50D9C" w14:paraId="36456BF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D50D9C" w14:paraId="204BA31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D50D9C" w14:paraId="10BCAAA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D50D9C" w14:paraId="30ECC2A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D50D9C" w14:paraId="05F57584" w14:textId="77777777">
      <w:pPr>
        <w:spacing w:line="360" w:lineRule="auto"/>
        <w:ind w:firstLine="420"/>
        <w:rPr>
          <w:rFonts w:ascii="宋体" w:hAnsi="宋体"/>
          <w:szCs w:val="21"/>
          <w:lang w:eastAsia="zh-CN"/>
        </w:rPr>
      </w:pPr>
      <w:r>
        <w:rPr>
          <w:rFonts w:ascii="宋体" w:hAnsi="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D50D9C" w14:paraId="34A9F670" w14:textId="77777777">
      <w:pPr>
        <w:spacing w:line="360" w:lineRule="auto"/>
        <w:ind w:firstLine="420"/>
        <w:rPr>
          <w:rFonts w:ascii="宋体" w:hAnsi="宋体"/>
          <w:szCs w:val="21"/>
          <w:lang w:eastAsia="zh-CN"/>
        </w:rPr>
      </w:pPr>
      <w:r>
        <w:rPr>
          <w:rFonts w:ascii="宋体" w:hAnsi="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D50D9C" w14:paraId="775FE3F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D50D9C" w14:paraId="34B9DDF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D50D9C" w14:paraId="5986099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D50D9C" w14:paraId="062B38D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D50D9C" w14:paraId="4330F037" w14:textId="77777777">
      <w:pPr>
        <w:spacing w:line="360" w:lineRule="auto"/>
        <w:ind w:firstLine="420"/>
        <w:rPr>
          <w:rFonts w:ascii="宋体" w:hAnsi="宋体"/>
          <w:szCs w:val="21"/>
          <w:lang w:eastAsia="zh-CN"/>
        </w:rPr>
      </w:pPr>
      <w:r>
        <w:rPr>
          <w:rFonts w:ascii="宋体" w:hAnsi="宋体" w:hint="eastAsia"/>
          <w:szCs w:val="21"/>
          <w:highlight w:val="white"/>
          <w:lang w:eastAsia="zh-CN"/>
        </w:rPr>
        <w:t>1、现场开会</w:t>
      </w:r>
    </w:p>
    <w:p w:rsidR="00D50D9C" w14:paraId="477C52D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50D9C" w14:paraId="0782A1F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（2）监票人应当在基金份额持有人表决后立即进行清点并由大会主持人当场公布计票结果。</w:t>
      </w:r>
    </w:p>
    <w:p w:rsidR="00D50D9C" w14:paraId="398BC8A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50D9C" w14:paraId="429EC08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（4）计票过程应由公证机关予以公证，基金管理人或基金托管人拒不出席大会的，不影响计票的效力。</w:t>
      </w:r>
    </w:p>
    <w:p w:rsidR="00D50D9C" w14:paraId="5F4C1A62" w14:textId="77777777">
      <w:pPr>
        <w:spacing w:line="360" w:lineRule="auto"/>
        <w:ind w:firstLine="420"/>
        <w:rPr>
          <w:rFonts w:ascii="宋体" w:hAnsi="宋体"/>
          <w:szCs w:val="21"/>
          <w:lang w:eastAsia="zh-CN"/>
        </w:rPr>
      </w:pPr>
      <w:r>
        <w:rPr>
          <w:rFonts w:ascii="宋体" w:hAnsi="宋体" w:hint="eastAsia"/>
          <w:szCs w:val="21"/>
          <w:highlight w:val="white"/>
          <w:lang w:eastAsia="zh-CN"/>
        </w:rPr>
        <w:t>2、通讯开会</w:t>
      </w:r>
    </w:p>
    <w:p w:rsidR="00D50D9C" w14:paraId="059D15A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D50D9C" w14:paraId="7655027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D50D9C" w14:paraId="364C2B5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基金份额持有人大会的决议，召集人应当自通过之日起5日内报中国证监会备案。</w:t>
      </w:r>
    </w:p>
    <w:p w:rsidR="00D50D9C" w14:paraId="232713D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D50D9C" w14:paraId="2D315FF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基金份额持有人大会决议自生效之日起2日内在规定媒介上公告。</w:t>
      </w:r>
    </w:p>
    <w:p w:rsidR="00D50D9C" w14:paraId="5A3B9BC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D50D9C" w14:paraId="3BD36C8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D50D9C" w14:paraId="38F7EF2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D50D9C" w14:paraId="1A9DAEA4"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1、基金份额持有人行使提议权、召集权、提名权所需单独或合计代表相关基金份额10%以上（含10%）；</w:t>
      </w:r>
    </w:p>
    <w:p w:rsidR="00D50D9C" w14:paraId="2E418167" w14:textId="77777777">
      <w:pPr>
        <w:spacing w:line="360" w:lineRule="auto"/>
        <w:ind w:firstLine="420"/>
        <w:rPr>
          <w:rFonts w:ascii="宋体" w:hAnsi="宋体"/>
          <w:szCs w:val="21"/>
          <w:lang w:eastAsia="zh-CN"/>
        </w:rPr>
      </w:pPr>
      <w:r>
        <w:rPr>
          <w:rFonts w:ascii="宋体" w:hAnsi="宋体" w:hint="eastAsia"/>
          <w:szCs w:val="21"/>
          <w:highlight w:val="white"/>
          <w:lang w:eastAsia="zh-CN"/>
        </w:rPr>
        <w:t>2、现场开会的到会者在权益登记日代表的基金份额不少于本基金在权益登记日相关基金份额的二分之一（含二分之一）；</w:t>
      </w:r>
    </w:p>
    <w:p w:rsidR="00D50D9C" w14:paraId="220E0C42" w14:textId="77777777">
      <w:pPr>
        <w:spacing w:line="360" w:lineRule="auto"/>
        <w:ind w:firstLine="420"/>
        <w:rPr>
          <w:rFonts w:ascii="宋体" w:hAnsi="宋体"/>
          <w:szCs w:val="21"/>
          <w:lang w:eastAsia="zh-CN"/>
        </w:rPr>
      </w:pPr>
      <w:r>
        <w:rPr>
          <w:rFonts w:ascii="宋体" w:hAnsi="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D50D9C" w14:paraId="0FF91087" w14:textId="77777777">
      <w:pPr>
        <w:spacing w:line="360" w:lineRule="auto"/>
        <w:ind w:firstLine="420"/>
        <w:rPr>
          <w:rFonts w:ascii="宋体" w:hAnsi="宋体"/>
          <w:szCs w:val="21"/>
          <w:lang w:eastAsia="zh-CN"/>
        </w:rPr>
      </w:pPr>
      <w:r>
        <w:rPr>
          <w:rFonts w:ascii="宋体" w:hAnsi="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D50D9C" w14:paraId="60FBC8A2" w14:textId="77777777">
      <w:pPr>
        <w:spacing w:line="360" w:lineRule="auto"/>
        <w:ind w:firstLine="420"/>
        <w:rPr>
          <w:rFonts w:ascii="宋体" w:hAnsi="宋体"/>
          <w:szCs w:val="21"/>
          <w:lang w:eastAsia="zh-CN"/>
        </w:rPr>
      </w:pPr>
      <w:r>
        <w:rPr>
          <w:rFonts w:ascii="宋体" w:hAnsi="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D50D9C" w14:paraId="364CD488" w14:textId="77777777">
      <w:pPr>
        <w:spacing w:line="360" w:lineRule="auto"/>
        <w:ind w:firstLine="420"/>
        <w:rPr>
          <w:rFonts w:ascii="宋体" w:hAnsi="宋体"/>
          <w:szCs w:val="21"/>
          <w:lang w:eastAsia="zh-CN"/>
        </w:rPr>
      </w:pPr>
      <w:r>
        <w:rPr>
          <w:rFonts w:ascii="宋体" w:hAnsi="宋体" w:hint="eastAsia"/>
          <w:szCs w:val="21"/>
          <w:highlight w:val="white"/>
          <w:lang w:eastAsia="zh-CN"/>
        </w:rPr>
        <w:t>6、一般决议须经参加大会的基金份额持有人或其代理人所持表决权的二分之一以上（含二分之一）通过；</w:t>
      </w:r>
    </w:p>
    <w:p w:rsidR="00D50D9C" w14:paraId="3C822B8A" w14:textId="77777777">
      <w:pPr>
        <w:spacing w:line="360" w:lineRule="auto"/>
        <w:ind w:firstLine="420"/>
        <w:rPr>
          <w:rFonts w:ascii="宋体" w:hAnsi="宋体"/>
          <w:szCs w:val="21"/>
          <w:lang w:eastAsia="zh-CN"/>
        </w:rPr>
      </w:pPr>
      <w:r>
        <w:rPr>
          <w:rFonts w:ascii="宋体" w:hAnsi="宋体" w:hint="eastAsia"/>
          <w:szCs w:val="21"/>
          <w:highlight w:val="white"/>
          <w:lang w:eastAsia="zh-CN"/>
        </w:rPr>
        <w:t>7、特别决议应当经参加大会的基金份额持有人或其代理人所持表决权的三分之二以上（含三分之二）通过。</w:t>
      </w:r>
    </w:p>
    <w:p w:rsidR="00D50D9C" w14:paraId="68CD279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D50D9C" w14:paraId="2173EF1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D50D9C" w14:paraId="77A84A80" w14:textId="77777777">
      <w:pPr>
        <w:spacing w:line="360" w:lineRule="auto"/>
        <w:ind w:firstLine="420"/>
        <w:rPr>
          <w:rFonts w:ascii="宋体" w:hAnsi="宋体"/>
          <w:szCs w:val="21"/>
          <w:lang w:eastAsia="zh-CN"/>
        </w:rPr>
      </w:pPr>
    </w:p>
    <w:p w:rsidR="00D50D9C" w14:paraId="0E3F0817" w14:textId="77777777">
      <w:pPr>
        <w:spacing w:line="360" w:lineRule="auto"/>
        <w:ind w:firstLine="420"/>
        <w:rPr>
          <w:rFonts w:ascii="宋体" w:hAnsi="宋体"/>
          <w:szCs w:val="21"/>
          <w:lang w:eastAsia="zh-CN"/>
        </w:rPr>
      </w:pPr>
      <w:bookmarkStart w:id="1865" w:name="_Hlt88820702"/>
      <w:bookmarkEnd w:id="1865"/>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D50D9C" w14:paraId="232609F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D50D9C" w14:paraId="0557FCC8" w14:textId="77777777">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D50D9C" w14:paraId="1B8927CD" w14:textId="77777777">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D50D9C" w14:paraId="77C89E3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D50D9C" w14:paraId="666A8D6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D50D9C" w14:paraId="713C49E2"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D50D9C" w14:paraId="30EB54C5"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D50D9C" w14:paraId="4F1FD22C"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D50D9C" w14:paraId="12CEBC33" w14:textId="77777777">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D50D9C" w14:paraId="2016BEA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D50D9C" w14:paraId="239DDDFF"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D50D9C" w14:paraId="7A5A4FBB"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D50D9C" w14:paraId="75B1BFCD"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D50D9C" w14:paraId="3F1819E1" w14:textId="77777777">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D50D9C" w14:paraId="1AA590B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D50D9C" w14:paraId="5CACF33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D50D9C" w14:paraId="71FAD30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D50D9C" w14:paraId="3E7DA14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D50D9C" w14:paraId="74A131C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D50D9C" w14:paraId="66FF8B5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D50D9C" w14:paraId="74915FB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D50D9C" w14:paraId="081305BF" w14:textId="77777777">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D50D9C" w14:paraId="5CD01E7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D50D9C" w14:paraId="372DB04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D50D9C" w14:paraId="6ED0164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D50D9C" w14:paraId="3FF3085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eastAsia="宋体" w:hAnsi="宋体" w:cs="宋体" w:hint="eastAsia"/>
          <w:szCs w:val="21"/>
          <w:highlight w:val="white"/>
          <w:lang w:eastAsia="zh-CN"/>
        </w:rPr>
        <w:t>扣除超额管理费（如有）</w:t>
      </w:r>
      <w:r w:rsidR="00570A48">
        <w:rPr>
          <w:rFonts w:ascii="宋体" w:eastAsia="宋体" w:hAnsi="宋体" w:cs="宋体" w:hint="eastAsia"/>
          <w:szCs w:val="21"/>
          <w:highlight w:val="white"/>
          <w:lang w:eastAsia="zh-CN"/>
        </w:rPr>
        <w:t>，</w:t>
      </w:r>
      <w:r w:rsidRPr="00570A48" w:rsidR="00570A48">
        <w:rPr>
          <w:rFonts w:ascii="宋体" w:eastAsia="宋体" w:hAnsi="宋体" w:cs="宋体" w:hint="eastAsia"/>
          <w:szCs w:val="21"/>
          <w:lang w:eastAsia="zh-CN"/>
        </w:rPr>
        <w:t>再加上返还基金份额持有人的销售服务费（如有）</w:t>
      </w:r>
      <w:r>
        <w:rPr>
          <w:rFonts w:ascii="宋体" w:eastAsia="宋体" w:hAnsi="宋体" w:cs="宋体" w:hint="eastAsia"/>
          <w:szCs w:val="21"/>
          <w:highlight w:val="white"/>
          <w:lang w:eastAsia="zh-CN"/>
        </w:rPr>
        <w:t>。</w:t>
      </w:r>
    </w:p>
    <w:p w:rsidR="00D50D9C" w14:paraId="6992EE8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D50D9C" w14:paraId="44D6A35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D50D9C" w14:paraId="79450DB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D50D9C" w14:paraId="692BAF1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D50D9C" w14:paraId="4BE828F8" w14:textId="77777777">
      <w:pPr>
        <w:spacing w:line="360" w:lineRule="auto"/>
        <w:ind w:firstLine="420"/>
        <w:rPr>
          <w:rFonts w:ascii="宋体" w:hAnsi="宋体"/>
          <w:szCs w:val="21"/>
          <w:lang w:eastAsia="zh-CN"/>
        </w:rPr>
      </w:pPr>
    </w:p>
    <w:p w:rsidR="00D50D9C" w14:paraId="24788D5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6"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6"/>
    </w:p>
    <w:p w:rsidR="00D50D9C" w14:paraId="3FD3BF0A" w14:textId="77777777">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D50D9C" w:rsidRPr="006D781C" w14:paraId="3954BA73" w14:textId="77777777">
      <w:pPr>
        <w:spacing w:line="360" w:lineRule="auto"/>
        <w:ind w:firstLine="480"/>
        <w:rPr>
          <w:rFonts w:ascii="宋体" w:hAnsi="宋体"/>
          <w:b w:val="0"/>
          <w:szCs w:val="21"/>
          <w:lang w:eastAsia="zh-CN"/>
        </w:rPr>
      </w:pPr>
      <w:r w:rsidRPr="006D781C">
        <w:rPr>
          <w:rFonts w:ascii="宋体" w:eastAsia="宋体" w:hAnsi="宋体" w:cs="宋体"/>
          <w:b w:val="0"/>
          <w:szCs w:val="21"/>
          <w:highlight w:val="white"/>
          <w:lang w:eastAsia="zh-CN"/>
        </w:rPr>
        <w:t>争议处理期间，基金合同当事人应恪守各自的职责，继续忠实、勤勉、尽责地履行基金合同规定的义务，维护基金份额持有人的合法权益。</w:t>
      </w:r>
    </w:p>
    <w:p w:rsidR="00D50D9C" w:rsidRPr="006D781C" w14:paraId="0281A320" w14:textId="77777777">
      <w:pPr>
        <w:spacing w:line="360" w:lineRule="auto"/>
        <w:ind w:firstLine="480"/>
        <w:rPr>
          <w:rFonts w:ascii="宋体" w:hAnsi="宋体"/>
          <w:b w:val="0"/>
          <w:szCs w:val="21"/>
          <w:lang w:eastAsia="zh-CN"/>
        </w:rPr>
      </w:pPr>
      <w:r w:rsidRPr="006D781C">
        <w:rPr>
          <w:rFonts w:ascii="宋体" w:eastAsia="宋体" w:hAnsi="宋体" w:cs="宋体"/>
          <w:b w:val="0"/>
          <w:szCs w:val="21"/>
          <w:highlight w:val="white"/>
          <w:lang w:eastAsia="zh-CN"/>
        </w:rPr>
        <w:t>《基金合同》受中国法律管辖。</w:t>
      </w:r>
    </w:p>
    <w:p w:rsidR="00D50D9C" w14:paraId="425BB1D4" w14:textId="77777777">
      <w:pPr>
        <w:spacing w:line="360" w:lineRule="auto"/>
        <w:ind w:firstLine="420"/>
        <w:rPr>
          <w:rFonts w:ascii="宋体" w:hAnsi="宋体"/>
          <w:szCs w:val="21"/>
          <w:lang w:eastAsia="zh-CN"/>
        </w:rPr>
      </w:pPr>
    </w:p>
    <w:p w:rsidR="00D50D9C" w14:paraId="52C1FC7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7"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7"/>
    </w:p>
    <w:p w:rsidR="00D50D9C" w14:paraId="77003C8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D50D9C" w14:paraId="5F1EB6D8" w14:textId="77777777">
      <w:pPr>
        <w:pStyle w:val="11"/>
        <w:spacing w:before="317" w:after="317" w:line="360" w:lineRule="auto"/>
        <w:ind w:firstLine="420"/>
        <w:rPr>
          <w:rFonts w:ascii="宋体" w:eastAsia="宋体" w:hAnsi="宋体"/>
          <w:sz w:val="30"/>
          <w:lang w:eastAsia="zh-CN"/>
        </w:rPr>
      </w:pPr>
      <w:bookmarkStart w:id="1868" w:name="_Toc332373589"/>
      <w:r>
        <w:rPr>
          <w:rFonts w:ascii="宋体" w:eastAsia="宋体" w:hAnsi="宋体" w:hint="eastAsia"/>
          <w:bCs/>
          <w:sz w:val="21"/>
          <w:szCs w:val="21"/>
          <w:highlight w:val="white"/>
          <w:lang w:eastAsia="zh-CN"/>
        </w:rPr>
        <w:br w:type="page"/>
      </w:r>
      <w:bookmarkStart w:id="1869" w:name="_Toc73030181"/>
      <w:bookmarkEnd w:id="1868"/>
      <w:r>
        <w:rPr>
          <w:rFonts w:ascii="宋体" w:eastAsia="宋体" w:hAnsi="宋体" w:hint="eastAsia"/>
          <w:sz w:val="30"/>
          <w:highlight w:val="white"/>
          <w:lang w:eastAsia="zh-CN"/>
        </w:rPr>
        <w:t>第二</w:t>
      </w:r>
      <w:bookmarkStart w:id="1870" w:name="_Toc332374170"/>
      <w:bookmarkStart w:id="1871" w:name="_Toc33237359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9"/>
      <w:bookmarkEnd w:id="1870"/>
      <w:bookmarkEnd w:id="1871"/>
    </w:p>
    <w:p w:rsidR="00D50D9C" w14:paraId="3859787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D50D9C" w14:paraId="5B6FAB6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w:t>
      </w:r>
    </w:p>
    <w:p w:rsidR="00D50D9C" w14:paraId="660F420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D50D9C" w14:paraId="72657F9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D50D9C" w14:paraId="3ADD2E7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D50D9C" w14:paraId="524C0D8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D50D9C" w14:paraId="4AB0CC4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D50D9C" w14:paraId="7B9911B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D50D9C" w14:paraId="3A49581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D50D9C" w14:paraId="2AC6716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D50D9C" w14:paraId="19F97BF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D50D9C" w14:paraId="1314D29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w:t>
      </w:r>
    </w:p>
    <w:p w:rsidR="00D50D9C" w14:paraId="20E00FB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名称：中国建设银行股份有限公司(简称：中国建设银行)</w:t>
      </w:r>
    </w:p>
    <w:p w:rsidR="00D50D9C" w14:paraId="4EC710E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住所：北京市西城区金融大街25号</w:t>
      </w:r>
    </w:p>
    <w:p w:rsidR="00D50D9C" w14:paraId="45DF732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办公地址：北京市西城区闹市口大街1号院1号楼</w:t>
      </w:r>
    </w:p>
    <w:p w:rsidR="00D50D9C" w14:paraId="2852BE0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邮政编码：100033</w:t>
      </w:r>
    </w:p>
    <w:p w:rsidR="00D50D9C" w14:paraId="0951A26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法定代表人：张金良</w:t>
      </w:r>
    </w:p>
    <w:p w:rsidR="00D50D9C" w14:paraId="1BCF632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成立日期：2004年09月17日</w:t>
      </w:r>
    </w:p>
    <w:p w:rsidR="00D50D9C" w14:paraId="7E1B383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基金托管业务批准文号：中国证监会证监基字[1998]12号</w:t>
      </w:r>
    </w:p>
    <w:p w:rsidR="00D50D9C" w14:paraId="7549660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组织形式：股份有限公司</w:t>
      </w:r>
    </w:p>
    <w:p w:rsidR="00D50D9C" w14:paraId="1BDC3413" w14:textId="781DE46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w:t>
      </w:r>
      <w:r w:rsidRPr="00635360" w:rsidR="00635360">
        <w:rPr>
          <w:rFonts w:ascii="宋体" w:eastAsia="宋体" w:hAnsi="宋体" w:cs="宋体" w:hint="eastAsia"/>
          <w:bCs/>
          <w:szCs w:val="21"/>
          <w:lang w:eastAsia="zh-CN"/>
        </w:rPr>
        <w:t>贰仟陆佰壹拾陆亿叁拾捌万壹仟肆佰伍拾玖元整</w:t>
      </w:r>
    </w:p>
    <w:p w:rsidR="00D50D9C" w14:paraId="69C6776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存续期间：持续经营</w:t>
      </w:r>
    </w:p>
    <w:p w:rsidR="00D50D9C" w14:paraId="7DE03EC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50D9C" w14:paraId="1ED447C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D50D9C" w14:paraId="50D1A8A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标的证券库予以更新和调整并及时通知基金托管人。基金托管人根据上述投资范围对基金实际投资是否符合《基金合同》关于证券选择标准的约定进行监督。</w:t>
      </w:r>
    </w:p>
    <w:p w:rsidR="00D50D9C" w14:paraId="163F097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D50D9C" w14:paraId="0B5A35E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D50D9C" w14:paraId="1ED2B07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的投资组合比例为：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D50D9C" w14:paraId="13C7AA8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（二）基金托管人根据有关法律法规的规定及《基金合同》的约定，对基金投资、融资比例进行监督。基金托管人按下述比例和调整期限进行监督：</w:t>
      </w:r>
    </w:p>
    <w:p w:rsidR="00D50D9C" w14:paraId="6DE4ED5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（1）本基金股票资产占基金资产的比例为60%-95%（其中港股通股票不超过股票资产的50%）；</w:t>
      </w:r>
    </w:p>
    <w:p w:rsidR="00D50D9C" w14:paraId="0271A0E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（2）保持不低于基金资产净值5％的现金或者到期日在一年以内的政府债券，其中现金不包括结算备付金、存出保证金和应收申购款等；</w:t>
      </w:r>
    </w:p>
    <w:p w:rsidR="00D50D9C" w14:paraId="5C35D13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（3）本基金持有一家公司发行的证券（同一家公司在内地和香港同时上市的A+H股合计计算），其市值不超过基金资产净值的10％；</w:t>
      </w:r>
    </w:p>
    <w:p w:rsidR="00D50D9C" w14:paraId="17A755D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本基金管理人管理的且在本基金托管人处托管的全部基金持有一家公司发行的证券（同一家公司在内地和香港同时上市的A+H股合计计算），不超过该证券的10％，完全按照有关指数的构成比例进行证券投资的基金品种可以不受此条款规定的比例限制；</w:t>
      </w:r>
    </w:p>
    <w:p w:rsidR="00D50D9C" w14:paraId="0995E2F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（5）本基金投资于同一原始权益人的各类资产支持证券的比例，不得超过基金资产净值的10％；</w:t>
      </w:r>
    </w:p>
    <w:p w:rsidR="00D50D9C" w14:paraId="5630015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（6）本基金持有的全部资产支持证券，其市值不得超过基金资产净值的20％；</w:t>
      </w:r>
    </w:p>
    <w:p w:rsidR="00D50D9C" w14:paraId="0AB0D6A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（7）本基金持有的同一(指同一信用级别)资产支持证券的比例，不得超过该资产支持证券规模的10％；</w:t>
      </w:r>
    </w:p>
    <w:p w:rsidR="00D50D9C" w14:paraId="3D2883C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（8）本基金管理人管理的且在本基金托管人处托管的全部基金投资于同一原始权益人的各类资产支持证券，不得超过其各类资产支持证券合计规模的10％；</w:t>
      </w:r>
    </w:p>
    <w:p w:rsidR="00D50D9C" w14:paraId="5654A72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D50D9C" w14:paraId="089DB46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（10）基金财产参与股票发行申购，本基金所申报的金额不超过本基金的总资产，本基金所申报的股票数量不超过拟发行股票公司本次发行股票的总量；</w:t>
      </w:r>
    </w:p>
    <w:p w:rsidR="00D50D9C" w14:paraId="251D909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11）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D50D9C" w14:paraId="7A4159F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50D9C" w14:paraId="3824E91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D50D9C" w14:paraId="7B0DFBB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（14）本基金资产总值不超过基金资产净值的140%；</w:t>
      </w:r>
    </w:p>
    <w:p w:rsidR="00D50D9C" w14:paraId="627F048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D50D9C" w14:paraId="3DDCC57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D50D9C" w14:paraId="5990690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17）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D50D9C" w14:paraId="141B1D7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（18）基金参与融资业务后，在任何交易日日终，持有的融资买入股票与其他有价证券市值之和，不得超过基金资产净值的95%；</w:t>
      </w:r>
    </w:p>
    <w:p w:rsidR="00D50D9C" w14:paraId="6F46673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（19）本基金投资存托凭证的比例限制依照境内上市交易的股票执行，与境内上市交易的股票合并计算；</w:t>
      </w:r>
    </w:p>
    <w:p w:rsidR="00D50D9C" w14:paraId="7AF1EAD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（20）法律法规及中国证监会规定的和《基金合同》约定的其他投资限制。</w:t>
      </w:r>
    </w:p>
    <w:p w:rsidR="00D50D9C" w14:paraId="2DCC0A4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D50D9C" w14:paraId="07B4537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 </w:t>
      </w:r>
    </w:p>
    <w:p w:rsidR="00D50D9C" w14:paraId="2BF1C84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如果法律法规对上述投资组合比例限制进行变更的，以变更后的规定为准。法律法规或监管部门取消上述限制，则本基金投资不再受相关限制。</w:t>
      </w:r>
    </w:p>
    <w:p w:rsidR="00D50D9C" w14:paraId="759C33E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（三）基金托管人根据有关法律法规的规定及《基金合同》的约定，对本托管协议第十五条第九款基金投资禁止行为通过事后监督方式进行监督。</w:t>
      </w:r>
    </w:p>
    <w:p w:rsidR="00D50D9C" w14:paraId="04806AB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50D9C" w14:paraId="4D8B4FC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（四）基金托管人根据有关法律法规的规定及《基金合同》的约定，对基金管理人投资流通受限证券进行监督。</w:t>
      </w:r>
    </w:p>
    <w:p w:rsidR="00D50D9C" w14:paraId="7480D9A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相关投资额度和比例等的情况进行监督。</w:t>
      </w:r>
    </w:p>
    <w:p w:rsidR="00D50D9C" w14:paraId="0E2A3994" w14:textId="77777777">
      <w:pPr>
        <w:spacing w:line="360" w:lineRule="auto"/>
        <w:ind w:firstLine="420"/>
        <w:rPr>
          <w:rFonts w:ascii="宋体" w:hAnsi="宋体"/>
          <w:bCs/>
          <w:szCs w:val="21"/>
          <w:lang w:eastAsia="zh-CN"/>
        </w:rPr>
      </w:pPr>
      <w:r>
        <w:rPr>
          <w:rFonts w:ascii="宋体" w:hAnsi="宋体"/>
          <w:bCs/>
          <w:szCs w:val="21"/>
          <w:highlight w:val="white"/>
          <w:lang w:eastAsia="zh-CN"/>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50D9C" w14:paraId="04EFA3E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本基金投资的流通受限证券限于可由中国证券登记结算有限责任公司或中央国债登记结算有限责任公司负责登记和存管，并可在证券交易所或全国银行间债券市场交易的证券。</w:t>
      </w:r>
    </w:p>
    <w:p w:rsidR="00D50D9C" w14:paraId="786EC2A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50D9C" w14:paraId="4C2E91A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本基金投资流通受限证券，不得预付任何形式的保证金，若法规有新规定的按照新的规定执行。</w:t>
      </w:r>
    </w:p>
    <w:p w:rsidR="00D50D9C" w14:paraId="31969FCA" w14:textId="77777777">
      <w:pPr>
        <w:spacing w:line="360" w:lineRule="auto"/>
        <w:ind w:firstLine="420"/>
        <w:rPr>
          <w:rFonts w:ascii="宋体" w:hAnsi="宋体"/>
          <w:bCs/>
          <w:szCs w:val="21"/>
          <w:lang w:eastAsia="zh-CN"/>
        </w:rPr>
      </w:pPr>
      <w:r>
        <w:rPr>
          <w:rFonts w:ascii="宋体" w:hAnsi="宋体"/>
          <w:bCs/>
          <w:szCs w:val="21"/>
          <w:highlight w:val="white"/>
          <w:lang w:eastAsia="zh-CN"/>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D50D9C" w14:paraId="7A7CE65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D50D9C" w14:paraId="249D8F45" w14:textId="77777777">
      <w:pPr>
        <w:spacing w:line="360" w:lineRule="auto"/>
        <w:ind w:firstLine="420"/>
        <w:rPr>
          <w:rFonts w:ascii="宋体" w:hAnsi="宋体"/>
          <w:bCs/>
          <w:szCs w:val="21"/>
          <w:lang w:eastAsia="zh-CN"/>
        </w:rPr>
      </w:pPr>
      <w:r>
        <w:rPr>
          <w:rFonts w:ascii="宋体" w:hAnsi="宋体"/>
          <w:bCs/>
          <w:szCs w:val="21"/>
          <w:highlight w:val="white"/>
          <w:lang w:eastAsia="zh-CN"/>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50D9C" w14:paraId="4B8E00B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（1）中国证监会批准发行非公开发行股票的批准文件。</w:t>
      </w:r>
    </w:p>
    <w:p w:rsidR="00D50D9C" w14:paraId="21BD49B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（2）非公开发行股票有关发行数量、发行价格、锁定期等发行资料。</w:t>
      </w:r>
    </w:p>
    <w:p w:rsidR="00D50D9C" w14:paraId="75C29D6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（3）基金拟认购的数量、价格、总成本、账面价值。</w:t>
      </w:r>
    </w:p>
    <w:p w:rsidR="00D50D9C" w14:paraId="461DEFD5" w14:textId="77777777">
      <w:pPr>
        <w:spacing w:line="360" w:lineRule="auto"/>
        <w:ind w:firstLine="420"/>
        <w:rPr>
          <w:rFonts w:ascii="宋体" w:hAnsi="宋体"/>
          <w:bCs/>
          <w:szCs w:val="21"/>
          <w:lang w:eastAsia="zh-CN"/>
        </w:rPr>
      </w:pPr>
      <w:r>
        <w:rPr>
          <w:rFonts w:ascii="宋体" w:hAnsi="宋体"/>
          <w:bCs/>
          <w:szCs w:val="21"/>
          <w:highlight w:val="white"/>
          <w:lang w:eastAsia="zh-CN"/>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D50D9C" w14:paraId="05868FD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本基金有关投资流通受限证券比例如违反有关限制规定，在合理期限内未能进行及时调整，基金管理人应按照《信息披露办法》的要求进行公告。</w:t>
      </w:r>
    </w:p>
    <w:p w:rsidR="00D50D9C" w14:paraId="16487C81" w14:textId="77777777">
      <w:pPr>
        <w:spacing w:line="360" w:lineRule="auto"/>
        <w:ind w:firstLine="420"/>
        <w:rPr>
          <w:rFonts w:ascii="宋体" w:hAnsi="宋体"/>
          <w:bCs/>
          <w:szCs w:val="21"/>
          <w:lang w:eastAsia="zh-CN"/>
        </w:rPr>
      </w:pPr>
      <w:r>
        <w:rPr>
          <w:rFonts w:ascii="宋体" w:hAnsi="宋体"/>
          <w:bCs/>
          <w:szCs w:val="21"/>
          <w:highlight w:val="white"/>
          <w:lang w:eastAsia="zh-CN"/>
        </w:rPr>
        <w:t>5.相关法律法规对基金投资流通受限证券有新规定的，从其规定。</w:t>
      </w:r>
    </w:p>
    <w:p w:rsidR="00D50D9C" w14:paraId="75DD151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D50D9C" w14:paraId="3D7EDDF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50D9C" w14:paraId="4716E31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50D9C" w14:paraId="5412BB5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（八）若基金托管人发现基金管理人依据交易程序已经生效的指令违反法律、行政法规和其他有关规定，或者违反《基金合同》约定的，应当及时通知基金管理人，由此造成的损失由基金管理人承担。</w:t>
      </w:r>
    </w:p>
    <w:p w:rsidR="00D50D9C" w14:paraId="6DA9546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50D9C" w14:paraId="14184A9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D50D9C" w14:paraId="02F3364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rsidR="00D50D9C" w14:paraId="477672C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50D9C" w14:paraId="261DF11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50D9C" w14:paraId="65B7FEE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D50D9C" w14:paraId="5EBB29E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D50D9C" w14:paraId="4D427288" w14:textId="77777777">
      <w:pPr>
        <w:spacing w:line="360" w:lineRule="auto"/>
        <w:ind w:firstLine="420"/>
        <w:rPr>
          <w:rFonts w:ascii="宋体" w:hAnsi="宋体"/>
          <w:bCs/>
          <w:szCs w:val="21"/>
          <w:lang w:eastAsia="zh-CN"/>
        </w:rPr>
      </w:pPr>
      <w:r>
        <w:rPr>
          <w:rFonts w:ascii="宋体" w:hAnsi="宋体"/>
          <w:bCs/>
          <w:szCs w:val="21"/>
          <w:highlight w:val="white"/>
          <w:lang w:eastAsia="zh-CN"/>
        </w:rPr>
        <w:t>1.基金财产应独立于基金管理人、基金托管人的固有财产。</w:t>
      </w:r>
    </w:p>
    <w:p w:rsidR="00D50D9C" w14:paraId="0930A46D" w14:textId="77777777">
      <w:pPr>
        <w:spacing w:line="360" w:lineRule="auto"/>
        <w:ind w:firstLine="420"/>
        <w:rPr>
          <w:rFonts w:ascii="宋体" w:hAnsi="宋体"/>
          <w:bCs/>
          <w:szCs w:val="21"/>
          <w:lang w:eastAsia="zh-CN"/>
        </w:rPr>
      </w:pPr>
      <w:r>
        <w:rPr>
          <w:rFonts w:ascii="宋体" w:hAnsi="宋体"/>
          <w:bCs/>
          <w:szCs w:val="21"/>
          <w:highlight w:val="white"/>
          <w:lang w:eastAsia="zh-CN"/>
        </w:rPr>
        <w:t>2.基金托管人应安全保管基金财产。</w:t>
      </w:r>
    </w:p>
    <w:p w:rsidR="00D50D9C" w14:paraId="2A2094FC" w14:textId="77777777">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3.基金托管人按照规定开设基金财产的资金账户和证券账户。</w:t>
      </w:r>
    </w:p>
    <w:p w:rsidR="00D50D9C" w14:paraId="3F00418B" w14:textId="77777777">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4.基金托管人对所托管的不同基金财产分别设置账户，确保基金财产的完整与独立。</w:t>
      </w:r>
    </w:p>
    <w:p w:rsidR="00D50D9C" w14:paraId="07DF3B9B" w14:textId="77777777">
      <w:pPr>
        <w:spacing w:line="360" w:lineRule="auto"/>
        <w:ind w:firstLine="420"/>
        <w:rPr>
          <w:rFonts w:ascii="宋体" w:hAnsi="宋体"/>
          <w:bCs/>
          <w:szCs w:val="21"/>
          <w:lang w:eastAsia="zh-CN"/>
        </w:rPr>
      </w:pPr>
      <w:r>
        <w:rPr>
          <w:rFonts w:ascii="宋体" w:hAnsi="宋体"/>
          <w:bCs/>
          <w:szCs w:val="21"/>
          <w:highlight w:val="white"/>
          <w:lang w:eastAsia="zh-CN"/>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D50D9C" w14:paraId="19FE4F13" w14:textId="77777777">
      <w:pPr>
        <w:spacing w:line="360" w:lineRule="auto"/>
        <w:ind w:firstLine="420"/>
        <w:rPr>
          <w:rFonts w:ascii="宋体" w:hAnsi="宋体"/>
          <w:bCs/>
          <w:szCs w:val="21"/>
          <w:lang w:eastAsia="zh-CN"/>
        </w:rPr>
      </w:pPr>
      <w:r>
        <w:rPr>
          <w:rFonts w:ascii="宋体" w:hAnsi="宋体"/>
          <w:bCs/>
          <w:szCs w:val="21"/>
          <w:highlight w:val="white"/>
          <w:lang w:eastAsia="zh-CN"/>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50D9C" w14:paraId="4C2C545C" w14:textId="77777777">
      <w:pPr>
        <w:spacing w:line="360" w:lineRule="auto"/>
        <w:ind w:firstLine="420"/>
        <w:rPr>
          <w:rFonts w:ascii="宋体" w:hAnsi="宋体"/>
          <w:bCs/>
          <w:szCs w:val="21"/>
          <w:lang w:eastAsia="zh-CN"/>
        </w:rPr>
      </w:pPr>
      <w:r>
        <w:rPr>
          <w:rFonts w:ascii="宋体" w:hAnsi="宋体"/>
          <w:bCs/>
          <w:szCs w:val="21"/>
          <w:highlight w:val="white"/>
          <w:lang w:eastAsia="zh-CN"/>
        </w:rPr>
        <w:t>7.除依据法律法规和《基金合同》的规定外，基金托管人不得委托第三人托管基金财产。</w:t>
      </w:r>
    </w:p>
    <w:p w:rsidR="00D50D9C" w14:paraId="5BAD19B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（二）基金募集期间及募集资金的验资</w:t>
      </w:r>
    </w:p>
    <w:p w:rsidR="00D50D9C" w14:paraId="1ABFBE6C" w14:textId="77777777">
      <w:pPr>
        <w:spacing w:line="360" w:lineRule="auto"/>
        <w:ind w:firstLine="420"/>
        <w:rPr>
          <w:rFonts w:ascii="宋体" w:hAnsi="宋体"/>
          <w:bCs/>
          <w:szCs w:val="21"/>
          <w:lang w:eastAsia="zh-CN"/>
        </w:rPr>
      </w:pPr>
      <w:r>
        <w:rPr>
          <w:rFonts w:ascii="宋体" w:hAnsi="宋体"/>
          <w:bCs/>
          <w:szCs w:val="21"/>
          <w:highlight w:val="white"/>
          <w:lang w:eastAsia="zh-CN"/>
        </w:rPr>
        <w:t>1.基金募集期间募集的资金应存于基金管理人在基金托管人的营业机构开立的“基金募集专户”。该账户由基金管理人开立并管理。</w:t>
      </w:r>
    </w:p>
    <w:p w:rsidR="00D50D9C" w14:paraId="48F8F945" w14:textId="77777777">
      <w:pPr>
        <w:spacing w:line="360" w:lineRule="auto"/>
        <w:ind w:firstLine="420"/>
        <w:rPr>
          <w:rFonts w:ascii="宋体" w:hAnsi="宋体"/>
          <w:bCs/>
          <w:szCs w:val="21"/>
          <w:lang w:eastAsia="zh-CN"/>
        </w:rPr>
      </w:pPr>
      <w:r>
        <w:rPr>
          <w:rFonts w:ascii="宋体" w:hAnsi="宋体"/>
          <w:bCs/>
          <w:szCs w:val="21"/>
          <w:highlight w:val="white"/>
          <w:lang w:eastAsia="zh-CN"/>
        </w:rPr>
        <w:t>2.基金募集期满或基金停止募集时，募集的基金份额总额、基金募集金额、基金份额持有人人数符合《基金法》、《运作办法》等有关规定后，属于基金财产的全部资金应划入基金托管人开立的基金托管资金账户，同时在规定时间内，聘请符合《证券法》规定的会计师事务所进行验资，出具验资报告。出具的验资报告由参加验资的2名或2名以上中国注册会计师签字方为有效。</w:t>
      </w:r>
    </w:p>
    <w:p w:rsidR="00D50D9C" w14:paraId="127FA336" w14:textId="77777777">
      <w:pPr>
        <w:spacing w:line="360" w:lineRule="auto"/>
        <w:ind w:firstLine="420"/>
        <w:rPr>
          <w:rFonts w:ascii="宋体" w:hAnsi="宋体"/>
          <w:bCs/>
          <w:szCs w:val="21"/>
          <w:lang w:eastAsia="zh-CN"/>
        </w:rPr>
      </w:pPr>
      <w:r>
        <w:rPr>
          <w:rFonts w:ascii="宋体" w:hAnsi="宋体"/>
          <w:bCs/>
          <w:szCs w:val="21"/>
          <w:highlight w:val="white"/>
          <w:lang w:eastAsia="zh-CN"/>
        </w:rPr>
        <w:t>3.若基金募集期限届满，未能达到《基金合同》生效的条件，由基金管理人按规定办理退款等事宜。</w:t>
      </w:r>
    </w:p>
    <w:p w:rsidR="00D50D9C" w14:paraId="45A50B9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（三）基金托管资金账户的开立和管理</w:t>
      </w:r>
    </w:p>
    <w:p w:rsidR="00D50D9C" w14:paraId="67BB33F7" w14:textId="77777777">
      <w:pPr>
        <w:spacing w:line="360" w:lineRule="auto"/>
        <w:ind w:firstLine="420"/>
        <w:rPr>
          <w:rFonts w:ascii="宋体" w:hAnsi="宋体"/>
          <w:bCs/>
          <w:szCs w:val="21"/>
          <w:lang w:eastAsia="zh-CN"/>
        </w:rPr>
      </w:pPr>
      <w:r>
        <w:rPr>
          <w:rFonts w:ascii="宋体" w:hAnsi="宋体"/>
          <w:bCs/>
          <w:szCs w:val="21"/>
          <w:highlight w:val="white"/>
          <w:lang w:eastAsia="zh-CN"/>
        </w:rPr>
        <w:t>1.基金托管人可以基金的名义在其营业机构开立基金的托管资金账户，并根据基金管理人合法合规的指令办理资金收付。本基金的银行预留印鉴由基金托管人保管和使用。</w:t>
      </w:r>
    </w:p>
    <w:p w:rsidR="00D50D9C" w14:paraId="13C571D6" w14:textId="77777777">
      <w:pPr>
        <w:spacing w:line="360" w:lineRule="auto"/>
        <w:ind w:firstLine="420"/>
        <w:rPr>
          <w:rFonts w:ascii="宋体" w:hAnsi="宋体"/>
          <w:bCs/>
          <w:szCs w:val="21"/>
          <w:lang w:eastAsia="zh-CN"/>
        </w:rPr>
      </w:pPr>
      <w:r>
        <w:rPr>
          <w:rFonts w:ascii="宋体" w:hAnsi="宋体"/>
          <w:bCs/>
          <w:szCs w:val="21"/>
          <w:highlight w:val="white"/>
          <w:lang w:eastAsia="zh-CN"/>
        </w:rPr>
        <w:t>2.基金托管资金账户的开立和使用，限于满足开展本基金业务的需要。基金托管人和基金管理人不得假借本基金的名义开立任何其他银行账户；亦不得使用基金的任何账户进行本基金业务以外的活动。</w:t>
      </w:r>
    </w:p>
    <w:p w:rsidR="00D50D9C" w14:paraId="18ACCFD3" w14:textId="77777777">
      <w:pPr>
        <w:spacing w:line="360" w:lineRule="auto"/>
        <w:ind w:firstLine="420"/>
        <w:rPr>
          <w:rFonts w:ascii="宋体" w:hAnsi="宋体"/>
          <w:bCs/>
          <w:szCs w:val="21"/>
          <w:lang w:eastAsia="zh-CN"/>
        </w:rPr>
      </w:pPr>
      <w:r>
        <w:rPr>
          <w:rFonts w:ascii="宋体" w:hAnsi="宋体"/>
          <w:bCs/>
          <w:szCs w:val="21"/>
          <w:highlight w:val="white"/>
          <w:lang w:eastAsia="zh-CN"/>
        </w:rPr>
        <w:t>3.基金托管资金账户的开立和管理应符合银行业监督管理机构的有关规定。</w:t>
      </w:r>
    </w:p>
    <w:p w:rsidR="00D50D9C" w14:paraId="38AD8428" w14:textId="77777777">
      <w:pPr>
        <w:spacing w:line="360" w:lineRule="auto"/>
        <w:ind w:firstLine="420"/>
        <w:rPr>
          <w:rFonts w:ascii="宋体" w:hAnsi="宋体"/>
          <w:bCs/>
          <w:szCs w:val="21"/>
          <w:lang w:eastAsia="zh-CN"/>
        </w:rPr>
      </w:pPr>
      <w:r>
        <w:rPr>
          <w:rFonts w:ascii="宋体" w:hAnsi="宋体"/>
          <w:bCs/>
          <w:szCs w:val="21"/>
          <w:highlight w:val="white"/>
          <w:lang w:eastAsia="zh-CN"/>
        </w:rPr>
        <w:t>4.在符合法律法规规定的条件下，基金托管人可以通过基金托管人专用账户办理基金资产的支付。</w:t>
      </w:r>
    </w:p>
    <w:p w:rsidR="00D50D9C" w14:paraId="73B3B657" w14:textId="77777777">
      <w:pPr>
        <w:spacing w:line="360" w:lineRule="auto"/>
        <w:ind w:firstLine="420"/>
        <w:rPr>
          <w:rFonts w:ascii="宋体" w:hAnsi="宋体"/>
          <w:bCs/>
          <w:szCs w:val="21"/>
          <w:lang w:eastAsia="zh-CN"/>
        </w:rPr>
      </w:pPr>
      <w:r>
        <w:rPr>
          <w:rFonts w:ascii="宋体" w:hAnsi="宋体"/>
          <w:bCs/>
          <w:szCs w:val="21"/>
          <w:highlight w:val="white"/>
          <w:lang w:eastAsia="zh-CN"/>
        </w:rPr>
        <w:t>5.基金管理人应于产品终止后及时完成收益兑付、费用结清及其他应收应付款项资金划转，在确保后续不再发生款项进出后的10个工作日内向基金托管人发出销户申请。</w:t>
      </w:r>
    </w:p>
    <w:p w:rsidR="00D50D9C" w14:paraId="5067103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（四）基金证券账户和结算备付金账户的开立和管理</w:t>
      </w:r>
    </w:p>
    <w:p w:rsidR="00D50D9C" w14:paraId="1CE58A9C" w14:textId="77777777">
      <w:pPr>
        <w:spacing w:line="360" w:lineRule="auto"/>
        <w:ind w:firstLine="420"/>
        <w:rPr>
          <w:rFonts w:ascii="宋体" w:hAnsi="宋体"/>
          <w:bCs/>
          <w:szCs w:val="21"/>
          <w:lang w:eastAsia="zh-CN"/>
        </w:rPr>
      </w:pPr>
      <w:r>
        <w:rPr>
          <w:rFonts w:ascii="宋体" w:hAnsi="宋体"/>
          <w:bCs/>
          <w:szCs w:val="21"/>
          <w:highlight w:val="white"/>
          <w:lang w:eastAsia="zh-CN"/>
        </w:rPr>
        <w:t>1.基金托管人在中国证券登记结算有限责任公司为基金开立基金托管人与基金联名的证券账户。</w:t>
      </w:r>
    </w:p>
    <w:p w:rsidR="00D50D9C" w14:paraId="2D0355D8" w14:textId="77777777">
      <w:pPr>
        <w:spacing w:line="360" w:lineRule="auto"/>
        <w:ind w:firstLine="420"/>
        <w:rPr>
          <w:rFonts w:ascii="宋体" w:hAnsi="宋体"/>
          <w:bCs/>
          <w:szCs w:val="21"/>
          <w:lang w:eastAsia="zh-CN"/>
        </w:rPr>
      </w:pPr>
      <w:r>
        <w:rPr>
          <w:rFonts w:ascii="宋体" w:hAnsi="宋体"/>
          <w:bCs/>
          <w:szCs w:val="21"/>
          <w:highlight w:val="white"/>
          <w:lang w:eastAsia="zh-CN"/>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50D9C" w14:paraId="74010AC5" w14:textId="77777777">
      <w:pPr>
        <w:spacing w:line="360" w:lineRule="auto"/>
        <w:ind w:firstLine="420"/>
        <w:rPr>
          <w:rFonts w:ascii="宋体" w:hAnsi="宋体"/>
          <w:bCs/>
          <w:szCs w:val="21"/>
          <w:lang w:eastAsia="zh-CN"/>
        </w:rPr>
      </w:pPr>
      <w:r>
        <w:rPr>
          <w:rFonts w:ascii="宋体" w:hAnsi="宋体"/>
          <w:bCs/>
          <w:szCs w:val="21"/>
          <w:highlight w:val="white"/>
          <w:lang w:eastAsia="zh-CN"/>
        </w:rPr>
        <w:t>3.基金证券账户的开立和证券账户卡的保管由基金托管人负责，账户资产的管理和运用由基金管理人负责。</w:t>
      </w:r>
    </w:p>
    <w:p w:rsidR="00D50D9C" w14:paraId="6707167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证券账户开户费由基金管理人先行垫付,待托管产品启始运营后,基金管理人可向基金托管人发送划款指令,将代垫开户费从本基金托管资金账户中扣还基金管理人。</w:t>
      </w:r>
    </w:p>
    <w:p w:rsidR="00D50D9C" w14:paraId="15F5801E" w14:textId="77777777">
      <w:pPr>
        <w:spacing w:line="360" w:lineRule="auto"/>
        <w:ind w:firstLine="420"/>
        <w:rPr>
          <w:rFonts w:ascii="宋体" w:hAnsi="宋体"/>
          <w:bCs/>
          <w:szCs w:val="21"/>
          <w:lang w:eastAsia="zh-CN"/>
        </w:rPr>
      </w:pPr>
      <w:r>
        <w:rPr>
          <w:rFonts w:ascii="宋体" w:hAnsi="宋体"/>
          <w:bCs/>
          <w:szCs w:val="21"/>
          <w:highlight w:val="white"/>
          <w:lang w:eastAsia="zh-CN"/>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50D9C" w14:paraId="0640AACF" w14:textId="77777777">
      <w:pPr>
        <w:spacing w:line="360" w:lineRule="auto"/>
        <w:ind w:firstLine="420"/>
        <w:rPr>
          <w:rFonts w:ascii="宋体" w:hAnsi="宋体"/>
          <w:bCs/>
          <w:szCs w:val="21"/>
          <w:lang w:eastAsia="zh-CN"/>
        </w:rPr>
      </w:pPr>
      <w:r>
        <w:rPr>
          <w:rFonts w:ascii="宋体" w:hAnsi="宋体"/>
          <w:bCs/>
          <w:szCs w:val="21"/>
          <w:highlight w:val="white"/>
          <w:lang w:eastAsia="zh-CN"/>
        </w:rPr>
        <w:t>5.账户注销时，在遵守中国证券登记结算公司的相关规定下，由管理人和托管人协商确认主要办理人。账户注销期间，主要办理人如需另一方提供配合的，另一方应予以配合。</w:t>
      </w:r>
    </w:p>
    <w:p w:rsidR="00D50D9C" w14:paraId="79E58B9B" w14:textId="77777777">
      <w:pPr>
        <w:spacing w:line="360" w:lineRule="auto"/>
        <w:ind w:firstLine="420"/>
        <w:rPr>
          <w:rFonts w:ascii="宋体" w:hAnsi="宋体"/>
          <w:bCs/>
          <w:szCs w:val="21"/>
          <w:lang w:eastAsia="zh-CN"/>
        </w:rPr>
      </w:pPr>
      <w:r>
        <w:rPr>
          <w:rFonts w:ascii="宋体" w:hAnsi="宋体"/>
          <w:bCs/>
          <w:szCs w:val="21"/>
          <w:highlight w:val="white"/>
          <w:lang w:eastAsia="zh-CN"/>
        </w:rPr>
        <w:t>6.若中国证监会或其他监管机构在本托管协议订立日之后允许基金从事其他投资品种的投资业务，涉及相关账户的开立、使用的，若无相关规定，则基金托管人比照上述关于账户开立、使用的规定执行。</w:t>
      </w:r>
    </w:p>
    <w:p w:rsidR="00D50D9C" w14:paraId="7629B34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（五）银行间账户的开设和管理</w:t>
      </w:r>
    </w:p>
    <w:p w:rsidR="00D50D9C" w14:paraId="38D012F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D50D9C" w14:paraId="217596E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（六）其他账户的开立和管理</w:t>
      </w:r>
    </w:p>
    <w:p w:rsidR="00D50D9C" w14:paraId="372A1233" w14:textId="77777777">
      <w:pPr>
        <w:spacing w:line="360" w:lineRule="auto"/>
        <w:ind w:firstLine="420"/>
        <w:rPr>
          <w:rFonts w:ascii="宋体" w:hAnsi="宋体"/>
          <w:bCs/>
          <w:szCs w:val="21"/>
          <w:lang w:eastAsia="zh-CN"/>
        </w:rPr>
      </w:pPr>
      <w:r>
        <w:rPr>
          <w:rFonts w:ascii="宋体" w:hAnsi="宋体"/>
          <w:bCs/>
          <w:szCs w:val="21"/>
          <w:highlight w:val="white"/>
          <w:lang w:eastAsia="zh-CN"/>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D50D9C" w14:paraId="64090DE9" w14:textId="77777777">
      <w:pPr>
        <w:spacing w:line="360" w:lineRule="auto"/>
        <w:ind w:firstLine="420"/>
        <w:rPr>
          <w:rFonts w:ascii="宋体" w:hAnsi="宋体"/>
          <w:bCs/>
          <w:szCs w:val="21"/>
          <w:lang w:eastAsia="zh-CN"/>
        </w:rPr>
      </w:pPr>
      <w:r>
        <w:rPr>
          <w:rFonts w:ascii="宋体" w:hAnsi="宋体"/>
          <w:bCs/>
          <w:szCs w:val="21"/>
          <w:highlight w:val="white"/>
          <w:lang w:eastAsia="zh-CN"/>
        </w:rPr>
        <w:t>2.法律法规等有关规定对相关账户的开立和管理另有规定的，从其规定办理。</w:t>
      </w:r>
    </w:p>
    <w:p w:rsidR="00D50D9C" w14:paraId="4A67864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本基金在开始进行期货投资之前，应与基金托管人、期货公司三方一同就期货开户、清算、估值、交收等事宜另行签署《期货投资托管操作三方备忘录》。</w:t>
      </w:r>
    </w:p>
    <w:p w:rsidR="00D50D9C" w14:paraId="0096209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本基金如需参与期权交易，则按照相关规定开立账户。</w:t>
      </w:r>
    </w:p>
    <w:p w:rsidR="00D50D9C" w14:paraId="1A6D047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（七）基金财产投资的有关有价凭证等的保管</w:t>
      </w:r>
    </w:p>
    <w:p w:rsidR="00D50D9C" w14:paraId="635036B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D50D9C" w14:paraId="17511E9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（八）与基金财产有关的重大合同的保管</w:t>
      </w:r>
    </w:p>
    <w:p w:rsidR="00D50D9C" w14:paraId="1E1000F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20年。</w:t>
      </w:r>
    </w:p>
    <w:p w:rsidR="00D50D9C" w14:paraId="6701E9B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D50D9C" w14:paraId="4F6FA6C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（一）基金资产净值的计算、复核与完成的时间及程序</w:t>
      </w:r>
    </w:p>
    <w:p w:rsidR="00D50D9C" w14:paraId="095D50CC" w14:textId="77777777">
      <w:pPr>
        <w:spacing w:line="360" w:lineRule="auto"/>
        <w:ind w:firstLine="420"/>
        <w:rPr>
          <w:rFonts w:ascii="宋体" w:hAnsi="宋体"/>
          <w:bCs/>
          <w:szCs w:val="21"/>
          <w:lang w:eastAsia="zh-CN"/>
        </w:rPr>
      </w:pPr>
      <w:r>
        <w:rPr>
          <w:rFonts w:ascii="宋体" w:hAnsi="宋体"/>
          <w:bCs/>
          <w:szCs w:val="21"/>
          <w:highlight w:val="white"/>
          <w:lang w:eastAsia="zh-CN"/>
        </w:rPr>
        <w:t>1.基金资产净值是指基金资产总值减去负债后的金额。各类基金份额净值是按照每个估值日闭市后，该类基金资产净值除以当日该类基金份额的余额数量计算，均精确到0.0001元，小数点后第五位四舍五入。基金管理人可以设立大额赎回情形下的净值精度应急调整机制。国家另有规定的，从其规定。</w:t>
      </w:r>
    </w:p>
    <w:p w:rsidR="00D50D9C" w14:paraId="5BF1604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每个估值日计算基金资产净值及各类基金份额净值，并按规定公告。</w:t>
      </w:r>
    </w:p>
    <w:p w:rsidR="00D50D9C" w14:paraId="56083AAB" w14:textId="77777777">
      <w:pPr>
        <w:spacing w:line="360" w:lineRule="auto"/>
        <w:ind w:firstLine="420"/>
        <w:rPr>
          <w:rFonts w:ascii="宋体" w:hAnsi="宋体"/>
          <w:bCs/>
          <w:szCs w:val="21"/>
          <w:lang w:eastAsia="zh-CN"/>
        </w:rPr>
      </w:pPr>
      <w:r>
        <w:rPr>
          <w:rFonts w:ascii="宋体" w:hAnsi="宋体"/>
          <w:bCs/>
          <w:szCs w:val="21"/>
          <w:highlight w:val="white"/>
          <w:lang w:eastAsia="zh-CN"/>
        </w:rPr>
        <w:t>2.基金管理人应每个估值日对基金资产估值。但基金管理人根据法律法规或《基金合同》的规定暂停估值时除外。基金管理人每个估值日对基金资产估值后，经基金托管人复核无误后，由基金管理人按规定对外公布。</w:t>
      </w:r>
    </w:p>
    <w:p w:rsidR="00D50D9C" w14:paraId="14BFA40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（二）基金资产估值方法和特殊情形的处理</w:t>
      </w:r>
    </w:p>
    <w:p w:rsidR="00D50D9C" w14:paraId="1703E487" w14:textId="77777777">
      <w:pPr>
        <w:spacing w:line="360" w:lineRule="auto"/>
        <w:ind w:firstLine="420"/>
        <w:rPr>
          <w:rFonts w:ascii="宋体" w:hAnsi="宋体"/>
          <w:bCs/>
          <w:szCs w:val="21"/>
          <w:lang w:eastAsia="zh-CN"/>
        </w:rPr>
      </w:pPr>
      <w:r>
        <w:rPr>
          <w:rFonts w:ascii="宋体" w:hAnsi="宋体"/>
          <w:bCs/>
          <w:szCs w:val="21"/>
          <w:highlight w:val="white"/>
          <w:lang w:eastAsia="zh-CN"/>
        </w:rPr>
        <w:t>1.估值对象</w:t>
      </w:r>
    </w:p>
    <w:p w:rsidR="00D50D9C" w14:paraId="0B62D5E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基金所拥有的股票、债券和银行存款本息、应收款项、其它投资等资产及负债。</w:t>
      </w:r>
    </w:p>
    <w:p w:rsidR="00D50D9C" w14:paraId="69B5B87E" w14:textId="77777777">
      <w:pPr>
        <w:spacing w:line="360" w:lineRule="auto"/>
        <w:ind w:firstLine="420"/>
        <w:rPr>
          <w:rFonts w:ascii="宋体" w:hAnsi="宋体"/>
          <w:bCs/>
          <w:szCs w:val="21"/>
          <w:lang w:eastAsia="zh-CN"/>
        </w:rPr>
      </w:pPr>
      <w:r>
        <w:rPr>
          <w:rFonts w:ascii="宋体" w:hAnsi="宋体"/>
          <w:bCs/>
          <w:szCs w:val="21"/>
          <w:highlight w:val="white"/>
          <w:lang w:eastAsia="zh-CN"/>
        </w:rPr>
        <w:t>2.估值方法</w:t>
      </w:r>
    </w:p>
    <w:p w:rsidR="00D50D9C" w14:paraId="7B7399F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本基金所持有的投资品种，按如下原则进行估值：</w:t>
      </w:r>
    </w:p>
    <w:p w:rsidR="00D50D9C" w14:paraId="1CE714B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50D9C" w14:paraId="681284E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（2）处于未上市期间的有价证券应区分如下情况处理：</w:t>
      </w:r>
    </w:p>
    <w:p w:rsidR="00D50D9C" w14:paraId="298246C6" w14:textId="77777777">
      <w:pPr>
        <w:spacing w:line="360" w:lineRule="auto"/>
        <w:ind w:firstLine="420"/>
        <w:rPr>
          <w:rFonts w:ascii="宋体" w:hAnsi="宋体"/>
          <w:bCs/>
          <w:szCs w:val="21"/>
          <w:lang w:eastAsia="zh-CN"/>
        </w:rPr>
      </w:pPr>
      <w:r>
        <w:rPr>
          <w:rFonts w:ascii="宋体" w:hAnsi="宋体"/>
          <w:bCs/>
          <w:szCs w:val="21"/>
          <w:highlight w:val="white"/>
          <w:lang w:eastAsia="zh-CN"/>
        </w:rPr>
        <w:t>1）送股、转增股、配股和公开增发的新股，按估值日在证券交易所挂牌的同一股票的估值方法估值；该日无交易的，以最近一日的市价（收盘价）估值；</w:t>
      </w:r>
    </w:p>
    <w:p w:rsidR="00D50D9C" w14:paraId="05E1E922" w14:textId="77777777">
      <w:pPr>
        <w:spacing w:line="360" w:lineRule="auto"/>
        <w:ind w:firstLine="420"/>
        <w:rPr>
          <w:rFonts w:ascii="宋体" w:hAnsi="宋体"/>
          <w:bCs/>
          <w:szCs w:val="21"/>
          <w:lang w:eastAsia="zh-CN"/>
        </w:rPr>
      </w:pPr>
      <w:r>
        <w:rPr>
          <w:rFonts w:ascii="宋体" w:hAnsi="宋体"/>
          <w:bCs/>
          <w:szCs w:val="21"/>
          <w:highlight w:val="white"/>
          <w:lang w:eastAsia="zh-CN"/>
        </w:rPr>
        <w:t>2）首次公开发行未上市的股票，采用估值技术确定公允价值；</w:t>
      </w:r>
    </w:p>
    <w:p w:rsidR="00D50D9C" w14:paraId="46B9709A" w14:textId="77777777">
      <w:pPr>
        <w:spacing w:line="360" w:lineRule="auto"/>
        <w:ind w:firstLine="420"/>
        <w:rPr>
          <w:rFonts w:ascii="宋体" w:hAnsi="宋体"/>
          <w:bCs/>
          <w:szCs w:val="21"/>
          <w:lang w:eastAsia="zh-CN"/>
        </w:rPr>
      </w:pPr>
      <w:r>
        <w:rPr>
          <w:rFonts w:ascii="宋体" w:hAnsi="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D50D9C" w14:paraId="5321A71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（3）对于已上市或已挂牌转让的不含权固定收益品种，选取估值日第三方估值基准服务机构提供的相应品种当日的估值全价进行估值。</w:t>
      </w:r>
    </w:p>
    <w:p w:rsidR="00D50D9C" w14:paraId="4D1369A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（4）对于已上市或已挂牌转让的含权固定收益品种，选取估值日第三方估值基准服务机构提供的相应品种当日的唯一估值全价或推荐估值全价进行估值。</w:t>
      </w:r>
    </w:p>
    <w:p w:rsidR="00D50D9C" w14:paraId="7CC91F2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D50D9C" w14:paraId="4ABC31A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D50D9C" w14:paraId="30CA508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（6）对于未上市或未挂牌转让且不存在活跃市场的固定收益品种，采用在当前情况下适用并且有足够可利用数据和其他信息支持的估值技术确定其公允价值。</w:t>
      </w:r>
    </w:p>
    <w:p w:rsidR="00D50D9C" w14:paraId="5C810C7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（7）期货合约以估值当日结算价进行估值，估值当日无结算价的，且最近交易日后经济环境未发生重大变化的，采用最近交易日结算价估值。</w:t>
      </w:r>
    </w:p>
    <w:p w:rsidR="00D50D9C" w14:paraId="5DC8D40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（8）本基金投资期权，根据相关法律法规以及监管部门的规定估值。</w:t>
      </w:r>
    </w:p>
    <w:p w:rsidR="00D50D9C" w14:paraId="7C7AE85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（9）本基金参与融资业务的，按照相关法律法规、监管部门和行业协会的相关规定进行估值。</w:t>
      </w:r>
    </w:p>
    <w:p w:rsidR="00D50D9C" w14:paraId="1230E6C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（10）本基金投资存托凭证的估值核算，依照境内上市交易的股票执行。</w:t>
      </w:r>
    </w:p>
    <w:p w:rsidR="00D50D9C" w14:paraId="7911C2D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（11）汇率</w:t>
      </w:r>
    </w:p>
    <w:p w:rsidR="00D50D9C" w14:paraId="396CC9E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如本基金投资股票市场交易互联互通机制允许买卖的境外证券市场上市的股票，涉及相关货币对人民币汇率的，汇率来源详见招募说明书。</w:t>
      </w:r>
    </w:p>
    <w:p w:rsidR="00D50D9C" w14:paraId="1D8AC9C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（12）税收</w:t>
      </w:r>
    </w:p>
    <w:p w:rsidR="00D50D9C" w14:paraId="706BEB3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50D9C" w14:paraId="772AF2C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（13）如有充分理由表明按上述方法进行估值不能客观反映其公允价值的，基金管理人可根据具体情况与基金托管人商定后，按最能反映公允价值的价格估值。</w:t>
      </w:r>
    </w:p>
    <w:p w:rsidR="00D50D9C" w14:paraId="45B14BE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（14）当发生大额申购或赎回情形时，基金管理人可以采用摆动定价机制，以确保基金估值的公平性。</w:t>
      </w:r>
    </w:p>
    <w:p w:rsidR="00D50D9C" w14:paraId="3DB9EE5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（15）相关法律法规以及监管部门有强制规定的，从其规定。如有新增事项，按国家最新规定估值。</w:t>
      </w:r>
    </w:p>
    <w:p w:rsidR="00D50D9C" w14:paraId="20F9E23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D50D9C" w14:paraId="6AABD3D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资产净值的计算结果对外予以公布。</w:t>
      </w:r>
    </w:p>
    <w:p w:rsidR="00D50D9C" w14:paraId="5CEACCE0" w14:textId="77777777">
      <w:pPr>
        <w:spacing w:line="360" w:lineRule="auto"/>
        <w:ind w:firstLine="420"/>
        <w:rPr>
          <w:rFonts w:ascii="宋体" w:hAnsi="宋体"/>
          <w:bCs/>
          <w:szCs w:val="21"/>
          <w:lang w:eastAsia="zh-CN"/>
        </w:rPr>
      </w:pPr>
      <w:r>
        <w:rPr>
          <w:rFonts w:ascii="宋体" w:hAnsi="宋体"/>
          <w:bCs/>
          <w:szCs w:val="21"/>
          <w:highlight w:val="white"/>
          <w:lang w:eastAsia="zh-CN"/>
        </w:rPr>
        <w:t>3.特殊情形的处理</w:t>
      </w:r>
    </w:p>
    <w:p w:rsidR="00D50D9C" w14:paraId="36C28B3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基金管理人、基金托管人按估值方法的第(13)项进行估值时，所造成的误差不作为基金份额净值错误处理。</w:t>
      </w:r>
    </w:p>
    <w:p w:rsidR="00D50D9C" w14:paraId="606273C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（三）基金份额净值错误的处理方式</w:t>
      </w:r>
    </w:p>
    <w:p w:rsidR="00D50D9C" w14:paraId="3C013E43" w14:textId="77777777">
      <w:pPr>
        <w:spacing w:line="360" w:lineRule="auto"/>
        <w:ind w:firstLine="420"/>
        <w:rPr>
          <w:rFonts w:ascii="宋体" w:hAnsi="宋体"/>
          <w:bCs/>
          <w:szCs w:val="21"/>
          <w:lang w:eastAsia="zh-CN"/>
        </w:rPr>
      </w:pPr>
      <w:r>
        <w:rPr>
          <w:rFonts w:ascii="宋体" w:hAnsi="宋体"/>
          <w:bCs/>
          <w:szCs w:val="21"/>
          <w:highlight w:val="white"/>
          <w:lang w:eastAsia="zh-CN"/>
        </w:rPr>
        <w:t>1.当</w:t>
      </w:r>
      <w:r>
        <w:rPr>
          <w:rFonts w:ascii="宋体" w:eastAsia="宋体" w:hAnsi="宋体" w:cs="宋体"/>
          <w:bCs/>
          <w:szCs w:val="21"/>
          <w:highlight w:val="white"/>
          <w:lang w:eastAsia="zh-CN"/>
        </w:rPr>
        <w:t>任一类基金份额净值小数点后4位以内(含第4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D50D9C" w14:paraId="16BE726C" w14:textId="77777777">
      <w:pPr>
        <w:spacing w:line="360" w:lineRule="auto"/>
        <w:ind w:firstLine="420"/>
        <w:rPr>
          <w:rFonts w:ascii="宋体" w:hAnsi="宋体"/>
          <w:bCs/>
          <w:szCs w:val="21"/>
          <w:lang w:eastAsia="zh-CN"/>
        </w:rPr>
      </w:pPr>
      <w:r>
        <w:rPr>
          <w:rFonts w:ascii="宋体" w:hAnsi="宋体"/>
          <w:bCs/>
          <w:szCs w:val="21"/>
          <w:highlight w:val="white"/>
          <w:lang w:eastAsia="zh-CN"/>
        </w:rPr>
        <w:t>2.当基金份额净值计算差错给基金和基金份额持有人造成损失需要进行赔偿时，基金管理人和基金托管人应根据实际情况界定双方承担的责任，经确认后按以下条款进行赔偿：</w:t>
      </w:r>
    </w:p>
    <w:p w:rsidR="00D50D9C" w14:paraId="23386A29" w14:textId="77777777">
      <w:pPr>
        <w:spacing w:line="360" w:lineRule="auto"/>
        <w:ind w:firstLine="420"/>
        <w:rPr>
          <w:rFonts w:ascii="宋体" w:hAnsi="宋体"/>
          <w:bCs/>
          <w:szCs w:val="21"/>
          <w:lang w:eastAsia="zh-CN"/>
        </w:rPr>
      </w:pPr>
      <w:r>
        <w:rPr>
          <w:rFonts w:ascii="宋体" w:hAnsi="宋体"/>
          <w:bCs/>
          <w:szCs w:val="21"/>
          <w:highlight w:val="white"/>
          <w:lang w:eastAsia="zh-CN"/>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50D9C" w14:paraId="464D60F7" w14:textId="77777777">
      <w:pPr>
        <w:spacing w:line="360" w:lineRule="auto"/>
        <w:ind w:firstLine="420"/>
        <w:rPr>
          <w:rFonts w:ascii="宋体" w:hAnsi="宋体"/>
          <w:bCs/>
          <w:szCs w:val="21"/>
          <w:lang w:eastAsia="zh-CN"/>
        </w:rPr>
      </w:pPr>
      <w:r>
        <w:rPr>
          <w:rFonts w:ascii="宋体" w:hAnsi="宋体"/>
          <w:bCs/>
          <w:szCs w:val="21"/>
          <w:highlight w:val="white"/>
          <w:lang w:eastAsia="zh-CN"/>
        </w:rPr>
        <w:t>(2)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50D9C" w14:paraId="218DB4CE" w14:textId="77777777">
      <w:pPr>
        <w:spacing w:line="360" w:lineRule="auto"/>
        <w:ind w:firstLine="420"/>
        <w:rPr>
          <w:rFonts w:ascii="宋体" w:hAnsi="宋体"/>
          <w:bCs/>
          <w:szCs w:val="21"/>
          <w:lang w:eastAsia="zh-CN"/>
        </w:rPr>
      </w:pPr>
      <w:r>
        <w:rPr>
          <w:rFonts w:ascii="宋体" w:hAnsi="宋体"/>
          <w:bCs/>
          <w:szCs w:val="21"/>
          <w:highlight w:val="white"/>
          <w:lang w:eastAsia="zh-CN"/>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rsidR="00D50D9C" w14:paraId="545E0AD7" w14:textId="77777777">
      <w:pPr>
        <w:spacing w:line="360" w:lineRule="auto"/>
        <w:ind w:firstLine="420"/>
        <w:rPr>
          <w:rFonts w:ascii="宋体" w:hAnsi="宋体"/>
          <w:bCs/>
          <w:szCs w:val="21"/>
          <w:lang w:eastAsia="zh-CN"/>
        </w:rPr>
      </w:pPr>
      <w:r>
        <w:rPr>
          <w:rFonts w:ascii="宋体" w:hAnsi="宋体"/>
          <w:bCs/>
          <w:szCs w:val="21"/>
          <w:highlight w:val="white"/>
          <w:lang w:eastAsia="zh-CN"/>
        </w:rPr>
        <w:t>(4)由于基金管理人提供的信息错误（包括但不限于基金申购或赎回金额等），进而导致基金份额净值计算错误而引起的基金份额持有人和基金财产的损失，由基金管理人负责赔付。</w:t>
      </w:r>
    </w:p>
    <w:p w:rsidR="00D50D9C" w14:paraId="36D2C94D" w14:textId="77777777">
      <w:pPr>
        <w:spacing w:line="360" w:lineRule="auto"/>
        <w:ind w:firstLine="420"/>
        <w:rPr>
          <w:rFonts w:ascii="宋体" w:hAnsi="宋体"/>
          <w:bCs/>
          <w:szCs w:val="21"/>
          <w:lang w:eastAsia="zh-CN"/>
        </w:rPr>
      </w:pPr>
      <w:r>
        <w:rPr>
          <w:rFonts w:ascii="宋体" w:hAnsi="宋体"/>
          <w:bCs/>
          <w:szCs w:val="21"/>
          <w:highlight w:val="white"/>
          <w:lang w:eastAsia="zh-CN"/>
        </w:rPr>
        <w:t>3.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D50D9C" w14:paraId="4F8157BA" w14:textId="77777777">
      <w:pPr>
        <w:spacing w:line="360" w:lineRule="auto"/>
        <w:ind w:firstLine="420"/>
        <w:rPr>
          <w:rFonts w:ascii="宋体" w:hAnsi="宋体"/>
          <w:bCs/>
          <w:szCs w:val="21"/>
          <w:lang w:eastAsia="zh-CN"/>
        </w:rPr>
      </w:pPr>
      <w:r>
        <w:rPr>
          <w:rFonts w:ascii="宋体" w:hAnsi="宋体"/>
          <w:bCs/>
          <w:szCs w:val="21"/>
          <w:highlight w:val="white"/>
          <w:lang w:eastAsia="zh-CN"/>
        </w:rPr>
        <w:t>4.基金管理人和基金托管人由于各自技术系统设置而产生的净值计算尾差，以基金管理人计算结果为准。</w:t>
      </w:r>
    </w:p>
    <w:p w:rsidR="00D50D9C" w14:paraId="300F62B9" w14:textId="77777777">
      <w:pPr>
        <w:spacing w:line="360" w:lineRule="auto"/>
        <w:ind w:firstLine="420"/>
        <w:rPr>
          <w:rFonts w:ascii="宋体" w:hAnsi="宋体"/>
          <w:bCs/>
          <w:szCs w:val="21"/>
          <w:lang w:eastAsia="zh-CN"/>
        </w:rPr>
      </w:pPr>
      <w:r>
        <w:rPr>
          <w:rFonts w:ascii="宋体" w:hAnsi="宋体"/>
          <w:bCs/>
          <w:szCs w:val="21"/>
          <w:highlight w:val="white"/>
          <w:lang w:eastAsia="zh-CN"/>
        </w:rPr>
        <w:t>5.前述内容如法律法规或者监管部门另有规定的，从其规定。如果行业另有通行做法，双方当事人应本着平等和保护基金份额持有人利益的原则进行协商。</w:t>
      </w:r>
    </w:p>
    <w:p w:rsidR="00D50D9C" w14:paraId="594B191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（四）暂停估值与公告基金份额净值的情形</w:t>
      </w:r>
    </w:p>
    <w:p w:rsidR="00D50D9C" w14:paraId="310F596F" w14:textId="6E492D3A">
      <w:pPr>
        <w:spacing w:line="360" w:lineRule="auto"/>
        <w:ind w:firstLine="420"/>
        <w:rPr>
          <w:rFonts w:ascii="宋体" w:hAnsi="宋体"/>
          <w:bCs/>
          <w:szCs w:val="21"/>
          <w:lang w:eastAsia="zh-CN"/>
        </w:rPr>
      </w:pPr>
      <w:r>
        <w:rPr>
          <w:rFonts w:ascii="宋体" w:hAnsi="宋体"/>
          <w:bCs/>
          <w:szCs w:val="21"/>
          <w:highlight w:val="white"/>
          <w:lang w:eastAsia="zh-CN"/>
        </w:rPr>
        <w:t>1</w:t>
      </w:r>
      <w:r w:rsidR="006D781C">
        <w:rPr>
          <w:rFonts w:ascii="宋体" w:hAnsi="宋体" w:hint="eastAsia"/>
          <w:bCs/>
          <w:szCs w:val="21"/>
          <w:highlight w:val="white"/>
          <w:lang w:eastAsia="zh-CN"/>
        </w:rPr>
        <w:t>.</w:t>
      </w:r>
      <w:r>
        <w:rPr>
          <w:rFonts w:ascii="宋体" w:hAnsi="宋体"/>
          <w:bCs/>
          <w:szCs w:val="21"/>
          <w:highlight w:val="white"/>
          <w:lang w:eastAsia="zh-CN"/>
        </w:rPr>
        <w:t>基金投资所涉及的证券交易市场遇法定节假日或因其他原因暂停营业时；</w:t>
      </w:r>
    </w:p>
    <w:p w:rsidR="00D50D9C" w14:paraId="34E6C061" w14:textId="3637510F">
      <w:pPr>
        <w:spacing w:line="360" w:lineRule="auto"/>
        <w:ind w:firstLine="420"/>
        <w:rPr>
          <w:rFonts w:ascii="宋体" w:hAnsi="宋体"/>
          <w:bCs/>
          <w:szCs w:val="21"/>
          <w:lang w:eastAsia="zh-CN"/>
        </w:rPr>
      </w:pPr>
      <w:r>
        <w:rPr>
          <w:rFonts w:ascii="宋体" w:hAnsi="宋体"/>
          <w:bCs/>
          <w:szCs w:val="21"/>
          <w:highlight w:val="white"/>
          <w:lang w:eastAsia="zh-CN"/>
        </w:rPr>
        <w:t>2</w:t>
      </w:r>
      <w:r w:rsidR="006D781C">
        <w:rPr>
          <w:rFonts w:ascii="宋体" w:hAnsi="宋体" w:hint="eastAsia"/>
          <w:bCs/>
          <w:szCs w:val="21"/>
          <w:highlight w:val="white"/>
          <w:lang w:eastAsia="zh-CN"/>
        </w:rPr>
        <w:t>.</w:t>
      </w:r>
      <w:r>
        <w:rPr>
          <w:rFonts w:ascii="宋体" w:hAnsi="宋体"/>
          <w:bCs/>
          <w:szCs w:val="21"/>
          <w:highlight w:val="white"/>
          <w:lang w:eastAsia="zh-CN"/>
        </w:rPr>
        <w:t>因不可抗力致使基金管理人、基金托管人无法准确评估基金资产价值时；</w:t>
      </w:r>
    </w:p>
    <w:p w:rsidR="00D50D9C" w14:paraId="136F26E7" w14:textId="3DB0CE8F">
      <w:pPr>
        <w:spacing w:line="360" w:lineRule="auto"/>
        <w:ind w:firstLine="420"/>
        <w:rPr>
          <w:rFonts w:ascii="宋体" w:hAnsi="宋体"/>
          <w:bCs/>
          <w:szCs w:val="21"/>
          <w:lang w:eastAsia="zh-CN"/>
        </w:rPr>
      </w:pPr>
      <w:r>
        <w:rPr>
          <w:rFonts w:ascii="宋体" w:hAnsi="宋体"/>
          <w:bCs/>
          <w:szCs w:val="21"/>
          <w:highlight w:val="white"/>
          <w:lang w:eastAsia="zh-CN"/>
        </w:rPr>
        <w:t>3</w:t>
      </w:r>
      <w:r w:rsidR="006D781C">
        <w:rPr>
          <w:rFonts w:ascii="宋体" w:hAnsi="宋体" w:hint="eastAsia"/>
          <w:bCs/>
          <w:szCs w:val="21"/>
          <w:highlight w:val="white"/>
          <w:lang w:eastAsia="zh-CN"/>
        </w:rPr>
        <w:t>.</w:t>
      </w:r>
      <w:r>
        <w:rPr>
          <w:rFonts w:ascii="宋体" w:hAnsi="宋体"/>
          <w:bCs/>
          <w:szCs w:val="21"/>
          <w:highlight w:val="white"/>
          <w:lang w:eastAsia="zh-CN"/>
        </w:rPr>
        <w:t>当特定资产占前一估值日基金资产净值50%以上的，经与基金托管人协商确认后，基金管理人应当暂停估值；</w:t>
      </w:r>
    </w:p>
    <w:p w:rsidR="00D50D9C" w14:paraId="2A342158" w14:textId="0B6BF4FD">
      <w:pPr>
        <w:spacing w:line="360" w:lineRule="auto"/>
        <w:ind w:firstLine="420"/>
        <w:rPr>
          <w:rFonts w:ascii="宋体" w:hAnsi="宋体"/>
          <w:bCs/>
          <w:szCs w:val="21"/>
          <w:lang w:eastAsia="zh-CN"/>
        </w:rPr>
      </w:pPr>
      <w:r>
        <w:rPr>
          <w:rFonts w:ascii="宋体" w:hAnsi="宋体"/>
          <w:bCs/>
          <w:szCs w:val="21"/>
          <w:highlight w:val="white"/>
          <w:lang w:eastAsia="zh-CN"/>
        </w:rPr>
        <w:t>4</w:t>
      </w:r>
      <w:r w:rsidR="006D781C">
        <w:rPr>
          <w:rFonts w:ascii="宋体" w:hAnsi="宋体" w:hint="eastAsia"/>
          <w:bCs/>
          <w:szCs w:val="21"/>
          <w:highlight w:val="white"/>
          <w:lang w:eastAsia="zh-CN"/>
        </w:rPr>
        <w:t>.</w:t>
      </w:r>
      <w:r>
        <w:rPr>
          <w:rFonts w:ascii="宋体" w:hAnsi="宋体"/>
          <w:bCs/>
          <w:szCs w:val="21"/>
          <w:highlight w:val="white"/>
          <w:lang w:eastAsia="zh-CN"/>
        </w:rPr>
        <w:t>中国证监会和基金合同认定的其它情形。</w:t>
      </w:r>
    </w:p>
    <w:p w:rsidR="00D50D9C" w14:paraId="2CEFF40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（五）基金会计制度</w:t>
      </w:r>
    </w:p>
    <w:p w:rsidR="00D50D9C" w14:paraId="0C70855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按国家有关部门规定的会计制度执行。</w:t>
      </w:r>
    </w:p>
    <w:p w:rsidR="00D50D9C" w14:paraId="53B7E5D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（六）基金账册的建立</w:t>
      </w:r>
    </w:p>
    <w:p w:rsidR="00D50D9C" w14:paraId="50F972B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50D9C" w14:paraId="0CB3FD1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（七）基金财务报表与报告的编制和复核</w:t>
      </w:r>
    </w:p>
    <w:p w:rsidR="00D50D9C" w14:paraId="7000AD1F" w14:textId="77777777">
      <w:pPr>
        <w:spacing w:line="360" w:lineRule="auto"/>
        <w:ind w:firstLine="420"/>
        <w:rPr>
          <w:rFonts w:ascii="宋体" w:hAnsi="宋体"/>
          <w:bCs/>
          <w:szCs w:val="21"/>
          <w:lang w:eastAsia="zh-CN"/>
        </w:rPr>
      </w:pPr>
      <w:r>
        <w:rPr>
          <w:rFonts w:ascii="宋体" w:hAnsi="宋体"/>
          <w:bCs/>
          <w:szCs w:val="21"/>
          <w:highlight w:val="white"/>
          <w:lang w:eastAsia="zh-CN"/>
        </w:rPr>
        <w:t>1.财务报表的编制</w:t>
      </w:r>
    </w:p>
    <w:p w:rsidR="00D50D9C" w14:paraId="64FE7BB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基金财务报表由基金管理人编制，基金托管人复核。</w:t>
      </w:r>
    </w:p>
    <w:p w:rsidR="00D50D9C" w14:paraId="11DC11D7" w14:textId="77777777">
      <w:pPr>
        <w:spacing w:line="360" w:lineRule="auto"/>
        <w:ind w:firstLine="420"/>
        <w:rPr>
          <w:rFonts w:ascii="宋体" w:hAnsi="宋体"/>
          <w:bCs/>
          <w:szCs w:val="21"/>
          <w:lang w:eastAsia="zh-CN"/>
        </w:rPr>
      </w:pPr>
      <w:r>
        <w:rPr>
          <w:rFonts w:ascii="宋体" w:hAnsi="宋体"/>
          <w:bCs/>
          <w:szCs w:val="21"/>
          <w:highlight w:val="white"/>
          <w:lang w:eastAsia="zh-CN"/>
        </w:rPr>
        <w:t>2.报表复核</w:t>
      </w:r>
    </w:p>
    <w:p w:rsidR="00D50D9C" w14:paraId="42A5251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基金托管人在收到基金管理人编制的基金财务报表后，进行独立的复核。核对不符时，应及时通知基金管理人共同查出原因，进行调整，直至双方数据完全一致。</w:t>
      </w:r>
    </w:p>
    <w:p w:rsidR="00D50D9C" w14:paraId="548CE834" w14:textId="77777777">
      <w:pPr>
        <w:spacing w:line="360" w:lineRule="auto"/>
        <w:ind w:firstLine="420"/>
        <w:rPr>
          <w:rFonts w:ascii="宋体" w:hAnsi="宋体"/>
          <w:bCs/>
          <w:szCs w:val="21"/>
          <w:lang w:eastAsia="zh-CN"/>
        </w:rPr>
      </w:pPr>
      <w:r>
        <w:rPr>
          <w:rFonts w:ascii="宋体" w:hAnsi="宋体"/>
          <w:bCs/>
          <w:szCs w:val="21"/>
          <w:highlight w:val="white"/>
          <w:lang w:eastAsia="zh-CN"/>
        </w:rPr>
        <w:t>3.财务报表的编制与复核时间安排</w:t>
      </w:r>
    </w:p>
    <w:p w:rsidR="00D50D9C" w14:paraId="3CB4EE9A" w14:textId="77777777">
      <w:pPr>
        <w:spacing w:line="360" w:lineRule="auto"/>
        <w:ind w:firstLine="420"/>
        <w:rPr>
          <w:rFonts w:ascii="宋体" w:hAnsi="宋体"/>
          <w:bCs/>
          <w:szCs w:val="21"/>
          <w:lang w:eastAsia="zh-CN"/>
        </w:rPr>
      </w:pPr>
      <w:r>
        <w:rPr>
          <w:rFonts w:ascii="宋体" w:hAnsi="宋体"/>
          <w:bCs/>
          <w:szCs w:val="21"/>
          <w:highlight w:val="white"/>
          <w:lang w:eastAsia="zh-CN"/>
        </w:rPr>
        <w:t>(1)报表的编制</w:t>
      </w:r>
    </w:p>
    <w:p w:rsidR="00D50D9C" w14:paraId="0432706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rsidR="00D50D9C" w14:paraId="1E0DD1F8" w14:textId="77777777">
      <w:pPr>
        <w:spacing w:line="360" w:lineRule="auto"/>
        <w:ind w:firstLine="420"/>
        <w:rPr>
          <w:rFonts w:ascii="宋体" w:hAnsi="宋体"/>
          <w:bCs/>
          <w:szCs w:val="21"/>
          <w:lang w:eastAsia="zh-CN"/>
        </w:rPr>
      </w:pPr>
      <w:r>
        <w:rPr>
          <w:rFonts w:ascii="宋体" w:hAnsi="宋体"/>
          <w:bCs/>
          <w:szCs w:val="21"/>
          <w:highlight w:val="white"/>
          <w:lang w:eastAsia="zh-CN"/>
        </w:rPr>
        <w:t>(2)报表的复核</w:t>
      </w:r>
    </w:p>
    <w:p w:rsidR="00D50D9C" w14:paraId="133CC85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50D9C" w14:paraId="1DDDD89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rsidR="00D50D9C" w14:paraId="62CAFAC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（八）基金管理人应在编制季度报告、中期报告或者年度报告之前及时向基金托管人提供基金业绩比较基准的基础数据和编制结果。</w:t>
      </w:r>
    </w:p>
    <w:p w:rsidR="00D50D9C" w14:paraId="2003DA5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（九）实施侧袋机制期间的基金资产估值</w:t>
      </w:r>
    </w:p>
    <w:p w:rsidR="00D50D9C" w14:paraId="4EDD30D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D50D9C" w14:paraId="16A6DEFA" w14:textId="77777777">
      <w:pPr>
        <w:spacing w:line="360" w:lineRule="auto"/>
        <w:ind w:firstLine="420"/>
        <w:rPr>
          <w:rFonts w:ascii="宋体" w:hAnsi="宋体"/>
          <w:bCs/>
          <w:szCs w:val="21"/>
          <w:lang w:eastAsia="zh-CN"/>
        </w:rPr>
      </w:pPr>
    </w:p>
    <w:p w:rsidR="00D50D9C" w14:paraId="1AC4EBD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D50D9C" w14:paraId="0F9995B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20年。如不能妥善保管，则按相关法规承担责任。</w:t>
      </w:r>
    </w:p>
    <w:p w:rsidR="00D50D9C" w14:paraId="12106C5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D50D9C" w14:paraId="1B17F7B5" w14:textId="77777777">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D50D9C" w14:paraId="0186888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rsidR="00D50D9C" w14:paraId="2130C8F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争议处理期间，双方当事人应恪守基金管理人和基金托管人职责，各自继续忠实、勤勉、尽责地履行《基金合同》和本托管协议规定的义务，维护基金份额持有人的合法权益。</w:t>
      </w:r>
    </w:p>
    <w:p w:rsidR="00D50D9C" w14:paraId="6799588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本协议受中国法律管辖。</w:t>
      </w:r>
    </w:p>
    <w:p w:rsidR="00D50D9C" w14:paraId="00E556D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D50D9C" w14:paraId="794175E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（一）托管协议的变更程序</w:t>
      </w:r>
    </w:p>
    <w:p w:rsidR="00D50D9C" w14:paraId="5F56270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本协议双方当事人经协商一致，可以对协议进行修改。修改后的新协议，其内容不得与《基金合同》的规定有任何冲突。</w:t>
      </w:r>
    </w:p>
    <w:p w:rsidR="00D50D9C" w14:paraId="0723BE1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（二）托管协议终止的情形</w:t>
      </w:r>
    </w:p>
    <w:p w:rsidR="00D50D9C" w14:paraId="013F3E17" w14:textId="77777777">
      <w:pPr>
        <w:spacing w:line="360" w:lineRule="auto"/>
        <w:ind w:firstLine="420"/>
        <w:rPr>
          <w:rFonts w:ascii="宋体" w:hAnsi="宋体"/>
          <w:bCs/>
          <w:szCs w:val="21"/>
          <w:lang w:eastAsia="zh-CN"/>
        </w:rPr>
      </w:pPr>
      <w:r>
        <w:rPr>
          <w:rFonts w:ascii="宋体" w:hAnsi="宋体"/>
          <w:bCs/>
          <w:szCs w:val="21"/>
          <w:highlight w:val="white"/>
          <w:lang w:eastAsia="zh-CN"/>
        </w:rPr>
        <w:t>1.《基金合同》终止；</w:t>
      </w:r>
    </w:p>
    <w:p w:rsidR="00D50D9C" w14:paraId="723D9666" w14:textId="77777777">
      <w:pPr>
        <w:spacing w:line="360" w:lineRule="auto"/>
        <w:ind w:firstLine="420"/>
        <w:rPr>
          <w:rFonts w:ascii="宋体" w:hAnsi="宋体"/>
          <w:bCs/>
          <w:szCs w:val="21"/>
          <w:lang w:eastAsia="zh-CN"/>
        </w:rPr>
      </w:pPr>
      <w:r>
        <w:rPr>
          <w:rFonts w:ascii="宋体" w:hAnsi="宋体"/>
          <w:bCs/>
          <w:szCs w:val="21"/>
          <w:highlight w:val="white"/>
          <w:lang w:eastAsia="zh-CN"/>
        </w:rPr>
        <w:t>2.基金托管人解散、依法被撤销、破产或由其他基金托管人接管基金资产；</w:t>
      </w:r>
    </w:p>
    <w:p w:rsidR="00D50D9C" w14:paraId="3FBFC10A" w14:textId="77777777">
      <w:pPr>
        <w:spacing w:line="360" w:lineRule="auto"/>
        <w:ind w:firstLine="420"/>
        <w:rPr>
          <w:rFonts w:ascii="宋体" w:hAnsi="宋体"/>
          <w:bCs/>
          <w:szCs w:val="21"/>
          <w:lang w:eastAsia="zh-CN"/>
        </w:rPr>
      </w:pPr>
      <w:r>
        <w:rPr>
          <w:rFonts w:ascii="宋体" w:hAnsi="宋体"/>
          <w:bCs/>
          <w:szCs w:val="21"/>
          <w:highlight w:val="white"/>
          <w:lang w:eastAsia="zh-CN"/>
        </w:rPr>
        <w:t>3.基金管理人解散、依法被撤销、破产或由其他基金管理人接管基金管理权；</w:t>
      </w:r>
    </w:p>
    <w:p w:rsidR="00D50D9C" w14:paraId="3A5D76EC" w14:textId="77777777">
      <w:pPr>
        <w:spacing w:line="360" w:lineRule="auto"/>
        <w:ind w:firstLine="420"/>
        <w:rPr>
          <w:rFonts w:ascii="宋体" w:hAnsi="宋体"/>
          <w:bCs/>
          <w:szCs w:val="21"/>
          <w:lang w:eastAsia="zh-CN"/>
        </w:rPr>
      </w:pPr>
      <w:r>
        <w:rPr>
          <w:rFonts w:ascii="宋体" w:hAnsi="宋体"/>
          <w:bCs/>
          <w:szCs w:val="21"/>
          <w:highlight w:val="white"/>
          <w:lang w:eastAsia="zh-CN"/>
        </w:rPr>
        <w:t>4.发生法律法规、中国证监会或《基金合同》规定的终止事项。</w:t>
      </w:r>
    </w:p>
    <w:p w:rsidR="00D50D9C" w14:paraId="2EA810D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（三）基金财产的清算</w:t>
      </w:r>
    </w:p>
    <w:p w:rsidR="00D50D9C" w14:paraId="009B623A" w14:textId="6D180A0F">
      <w:pPr>
        <w:spacing w:line="360" w:lineRule="auto"/>
        <w:ind w:firstLine="420"/>
        <w:rPr>
          <w:rFonts w:ascii="宋体" w:hAnsi="宋体"/>
          <w:bCs/>
          <w:szCs w:val="21"/>
          <w:lang w:eastAsia="zh-CN"/>
        </w:rPr>
      </w:pPr>
      <w:r>
        <w:rPr>
          <w:rFonts w:ascii="宋体" w:hAnsi="宋体"/>
          <w:bCs/>
          <w:szCs w:val="21"/>
          <w:highlight w:val="white"/>
          <w:lang w:eastAsia="zh-CN"/>
        </w:rPr>
        <w:t>1</w:t>
      </w:r>
      <w:r w:rsidR="006D781C">
        <w:rPr>
          <w:rFonts w:ascii="宋体" w:hAnsi="宋体" w:hint="eastAsia"/>
          <w:bCs/>
          <w:szCs w:val="21"/>
          <w:highlight w:val="white"/>
          <w:lang w:eastAsia="zh-CN"/>
        </w:rPr>
        <w:t>.</w:t>
      </w:r>
      <w:r>
        <w:rPr>
          <w:rFonts w:ascii="宋体" w:hAnsi="宋体"/>
          <w:bCs/>
          <w:szCs w:val="21"/>
          <w:highlight w:val="white"/>
          <w:lang w:eastAsia="zh-CN"/>
        </w:rPr>
        <w:t>基金财产清算小组：自出现《基金合同》终止事由之日起30个工作日内成立清算小组，基金管理人组织基金财产清算小组并在中国证监会的监督下进行基金清算。</w:t>
      </w:r>
    </w:p>
    <w:p w:rsidR="00D50D9C" w14:paraId="6413F52E" w14:textId="40796980">
      <w:pPr>
        <w:spacing w:line="360" w:lineRule="auto"/>
        <w:ind w:firstLine="420"/>
        <w:rPr>
          <w:rFonts w:ascii="宋体" w:hAnsi="宋体"/>
          <w:bCs/>
          <w:szCs w:val="21"/>
          <w:lang w:eastAsia="zh-CN"/>
        </w:rPr>
      </w:pPr>
      <w:r>
        <w:rPr>
          <w:rFonts w:ascii="宋体" w:hAnsi="宋体"/>
          <w:bCs/>
          <w:szCs w:val="21"/>
          <w:highlight w:val="white"/>
          <w:lang w:eastAsia="zh-CN"/>
        </w:rPr>
        <w:t>2</w:t>
      </w:r>
      <w:r w:rsidR="006D781C">
        <w:rPr>
          <w:rFonts w:ascii="宋体" w:hAnsi="宋体" w:hint="eastAsia"/>
          <w:bCs/>
          <w:szCs w:val="21"/>
          <w:highlight w:val="white"/>
          <w:lang w:eastAsia="zh-CN"/>
        </w:rPr>
        <w:t>.</w:t>
      </w:r>
      <w:r>
        <w:rPr>
          <w:rFonts w:ascii="宋体" w:hAnsi="宋体"/>
          <w:bCs/>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D50D9C" w14:paraId="6CB1C2B2" w14:textId="6D335D99">
      <w:pPr>
        <w:spacing w:line="360" w:lineRule="auto"/>
        <w:ind w:firstLine="420"/>
        <w:rPr>
          <w:rFonts w:ascii="宋体" w:hAnsi="宋体"/>
          <w:bCs/>
          <w:szCs w:val="21"/>
          <w:lang w:eastAsia="zh-CN"/>
        </w:rPr>
      </w:pPr>
      <w:r>
        <w:rPr>
          <w:rFonts w:ascii="宋体" w:hAnsi="宋体"/>
          <w:bCs/>
          <w:szCs w:val="21"/>
          <w:highlight w:val="white"/>
          <w:lang w:eastAsia="zh-CN"/>
        </w:rPr>
        <w:t>3</w:t>
      </w:r>
      <w:r w:rsidR="006D781C">
        <w:rPr>
          <w:rFonts w:ascii="宋体" w:hAnsi="宋体" w:hint="eastAsia"/>
          <w:bCs/>
          <w:szCs w:val="21"/>
          <w:highlight w:val="white"/>
          <w:lang w:eastAsia="zh-CN"/>
        </w:rPr>
        <w:t>.</w:t>
      </w:r>
      <w:r>
        <w:rPr>
          <w:rFonts w:ascii="宋体" w:hAnsi="宋体"/>
          <w:bCs/>
          <w:szCs w:val="21"/>
          <w:highlight w:val="white"/>
          <w:lang w:eastAsia="zh-CN"/>
        </w:rPr>
        <w:t>基金财产清算小组职责：基金财产清算小组负责基金财产的保管、清理、估价、变现和分配。基金财产清算小组可以依法进行必要的民事活动。</w:t>
      </w:r>
    </w:p>
    <w:p w:rsidR="00D50D9C" w14:paraId="7A871BEC" w14:textId="32E92991">
      <w:pPr>
        <w:spacing w:line="360" w:lineRule="auto"/>
        <w:ind w:firstLine="420"/>
        <w:rPr>
          <w:rFonts w:ascii="宋体" w:hAnsi="宋体"/>
          <w:bCs/>
          <w:szCs w:val="21"/>
          <w:lang w:eastAsia="zh-CN"/>
        </w:rPr>
      </w:pPr>
      <w:r>
        <w:rPr>
          <w:rFonts w:ascii="宋体" w:hAnsi="宋体"/>
          <w:bCs/>
          <w:szCs w:val="21"/>
          <w:highlight w:val="white"/>
          <w:lang w:eastAsia="zh-CN"/>
        </w:rPr>
        <w:t>4</w:t>
      </w:r>
      <w:r w:rsidR="006D781C">
        <w:rPr>
          <w:rFonts w:ascii="宋体" w:hAnsi="宋体" w:hint="eastAsia"/>
          <w:bCs/>
          <w:szCs w:val="21"/>
          <w:highlight w:val="white"/>
          <w:lang w:eastAsia="zh-CN"/>
        </w:rPr>
        <w:t>.</w:t>
      </w:r>
      <w:r>
        <w:rPr>
          <w:rFonts w:ascii="宋体" w:hAnsi="宋体"/>
          <w:bCs/>
          <w:szCs w:val="21"/>
          <w:highlight w:val="white"/>
          <w:lang w:eastAsia="zh-CN"/>
        </w:rPr>
        <w:t>基金财产清算程序：</w:t>
      </w:r>
    </w:p>
    <w:p w:rsidR="00D50D9C" w14:paraId="2C47374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（1）《基金合同》终止情形出现时，由基金财产清算小组统一接管基金；</w:t>
      </w:r>
    </w:p>
    <w:p w:rsidR="00D50D9C" w14:paraId="4320731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（2）对基金财产和债权债务进行清理和确认；</w:t>
      </w:r>
    </w:p>
    <w:p w:rsidR="00D50D9C" w14:paraId="4EEBFA1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（3）对基金财产进行估值和变现；</w:t>
      </w:r>
    </w:p>
    <w:p w:rsidR="00D50D9C" w14:paraId="4DE6422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（4）制作清算报告；</w:t>
      </w:r>
    </w:p>
    <w:p w:rsidR="00D50D9C" w14:paraId="1584F7C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（5）聘请会计师事务所对清算报告进行外部审计，聘请律师事务所对清算报告出具法律意见书；</w:t>
      </w:r>
    </w:p>
    <w:p w:rsidR="00D50D9C" w14:paraId="2921B7A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（6）将清算报告报中国证监会备案并公告；</w:t>
      </w:r>
    </w:p>
    <w:p w:rsidR="00D50D9C" w14:paraId="0D8F43E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（7）对基金剩余财产进行分配。</w:t>
      </w:r>
    </w:p>
    <w:p w:rsidR="00D50D9C" w14:paraId="4C2CE4A3" w14:textId="67859AD6">
      <w:pPr>
        <w:spacing w:line="360" w:lineRule="auto"/>
        <w:ind w:firstLine="420"/>
        <w:rPr>
          <w:rFonts w:ascii="宋体" w:hAnsi="宋体"/>
          <w:bCs/>
          <w:szCs w:val="21"/>
          <w:lang w:eastAsia="zh-CN"/>
        </w:rPr>
      </w:pPr>
      <w:r>
        <w:rPr>
          <w:rFonts w:ascii="宋体" w:hAnsi="宋体"/>
          <w:bCs/>
          <w:szCs w:val="21"/>
          <w:highlight w:val="white"/>
          <w:lang w:eastAsia="zh-CN"/>
        </w:rPr>
        <w:t>5</w:t>
      </w:r>
      <w:r w:rsidR="006D781C">
        <w:rPr>
          <w:rFonts w:ascii="宋体" w:hAnsi="宋体" w:hint="eastAsia"/>
          <w:bCs/>
          <w:szCs w:val="21"/>
          <w:highlight w:val="white"/>
          <w:lang w:eastAsia="zh-CN"/>
        </w:rPr>
        <w:t>.</w:t>
      </w:r>
      <w:r>
        <w:rPr>
          <w:rFonts w:ascii="宋体" w:hAnsi="宋体"/>
          <w:bCs/>
          <w:szCs w:val="21"/>
          <w:highlight w:val="white"/>
          <w:lang w:eastAsia="zh-CN"/>
        </w:rPr>
        <w:t>基金财产清算的期限为6个月，但因本基金所持证券的流动性受到限制而不能及时变现的，清算期限相应顺延。</w:t>
      </w:r>
    </w:p>
    <w:p w:rsidR="00D50D9C" w14:paraId="714C1462" w14:textId="587B4CB0">
      <w:pPr>
        <w:spacing w:line="360" w:lineRule="auto"/>
        <w:ind w:firstLine="420"/>
        <w:rPr>
          <w:rFonts w:ascii="宋体" w:hAnsi="宋体"/>
          <w:bCs/>
          <w:szCs w:val="21"/>
          <w:lang w:eastAsia="zh-CN"/>
        </w:rPr>
      </w:pPr>
      <w:r>
        <w:rPr>
          <w:rFonts w:ascii="宋体" w:hAnsi="宋体"/>
          <w:bCs/>
          <w:szCs w:val="21"/>
          <w:highlight w:val="white"/>
          <w:lang w:eastAsia="zh-CN"/>
        </w:rPr>
        <w:t>6</w:t>
      </w:r>
      <w:r w:rsidR="006D781C">
        <w:rPr>
          <w:rFonts w:ascii="宋体" w:hAnsi="宋体" w:hint="eastAsia"/>
          <w:bCs/>
          <w:szCs w:val="21"/>
          <w:highlight w:val="white"/>
          <w:lang w:eastAsia="zh-CN"/>
        </w:rPr>
        <w:t>.</w:t>
      </w:r>
      <w:r>
        <w:rPr>
          <w:rFonts w:ascii="宋体" w:hAnsi="宋体"/>
          <w:bCs/>
          <w:szCs w:val="21"/>
          <w:highlight w:val="white"/>
          <w:lang w:eastAsia="zh-CN"/>
        </w:rPr>
        <w:t>清算费用</w:t>
      </w:r>
    </w:p>
    <w:p w:rsidR="00D50D9C" w14:paraId="0EB6E54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清算费用是指基金财产清算小组在进行基金清算过程中发生的所有合理费用，清算费用由基金财产清算小组优先从基金财产中支付。</w:t>
      </w:r>
    </w:p>
    <w:p w:rsidR="00D50D9C" w14:paraId="198650AD" w14:textId="2227B91A">
      <w:pPr>
        <w:spacing w:line="360" w:lineRule="auto"/>
        <w:ind w:firstLine="420"/>
        <w:rPr>
          <w:rFonts w:ascii="宋体" w:hAnsi="宋体"/>
          <w:bCs/>
          <w:szCs w:val="21"/>
          <w:lang w:eastAsia="zh-CN"/>
        </w:rPr>
      </w:pPr>
      <w:r>
        <w:rPr>
          <w:rFonts w:ascii="宋体" w:hAnsi="宋体"/>
          <w:bCs/>
          <w:szCs w:val="21"/>
          <w:highlight w:val="white"/>
          <w:lang w:eastAsia="zh-CN"/>
        </w:rPr>
        <w:t>7</w:t>
      </w:r>
      <w:r w:rsidR="006D781C">
        <w:rPr>
          <w:rFonts w:ascii="宋体" w:hAnsi="宋体" w:hint="eastAsia"/>
          <w:bCs/>
          <w:szCs w:val="21"/>
          <w:highlight w:val="white"/>
          <w:lang w:eastAsia="zh-CN"/>
        </w:rPr>
        <w:t>.</w:t>
      </w:r>
      <w:r>
        <w:rPr>
          <w:rFonts w:ascii="宋体" w:hAnsi="宋体"/>
          <w:bCs/>
          <w:szCs w:val="21"/>
          <w:highlight w:val="white"/>
          <w:lang w:eastAsia="zh-CN"/>
        </w:rPr>
        <w:t>基金财产清算剩余资产的分配</w:t>
      </w:r>
    </w:p>
    <w:p w:rsidR="00D50D9C" w14:paraId="50D1B0B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eastAsia="宋体" w:hAnsi="宋体" w:cs="宋体"/>
          <w:bCs/>
          <w:szCs w:val="21"/>
          <w:highlight w:val="white"/>
          <w:lang w:eastAsia="zh-CN"/>
        </w:rPr>
        <w:t>扣除超额管理费（如有）</w:t>
      </w:r>
      <w:r w:rsidR="00570A48">
        <w:rPr>
          <w:rFonts w:ascii="宋体" w:eastAsia="宋体" w:hAnsi="宋体" w:cs="宋体"/>
          <w:bCs/>
          <w:szCs w:val="21"/>
          <w:highlight w:val="white"/>
          <w:lang w:eastAsia="zh-CN"/>
        </w:rPr>
        <w:t>，再加上</w:t>
      </w:r>
      <w:r w:rsidR="00570A48">
        <w:rPr>
          <w:rFonts w:ascii="宋体" w:eastAsia="宋体" w:hAnsi="宋体" w:cs="宋体" w:hint="eastAsia"/>
          <w:bCs/>
          <w:szCs w:val="21"/>
          <w:highlight w:val="white"/>
          <w:lang w:eastAsia="zh-CN"/>
        </w:rPr>
        <w:t>返还</w:t>
      </w:r>
      <w:r w:rsidR="00570A48">
        <w:rPr>
          <w:rFonts w:ascii="宋体" w:eastAsia="宋体" w:hAnsi="宋体" w:cs="宋体"/>
          <w:bCs/>
          <w:szCs w:val="21"/>
          <w:highlight w:val="white"/>
          <w:lang w:eastAsia="zh-CN"/>
        </w:rPr>
        <w:t>基金份额持有人</w:t>
      </w:r>
      <w:r w:rsidR="00570A48">
        <w:rPr>
          <w:rFonts w:ascii="宋体" w:eastAsia="宋体" w:hAnsi="宋体" w:cs="宋体" w:hint="eastAsia"/>
          <w:bCs/>
          <w:szCs w:val="21"/>
          <w:highlight w:val="white"/>
          <w:lang w:eastAsia="zh-CN"/>
        </w:rPr>
        <w:t>的销售服务费（如有）</w:t>
      </w:r>
      <w:r>
        <w:rPr>
          <w:rFonts w:ascii="宋体" w:eastAsia="宋体" w:hAnsi="宋体" w:cs="宋体"/>
          <w:bCs/>
          <w:szCs w:val="21"/>
          <w:highlight w:val="white"/>
          <w:lang w:eastAsia="zh-CN"/>
        </w:rPr>
        <w:t>。</w:t>
      </w:r>
    </w:p>
    <w:p w:rsidR="00D50D9C" w14:paraId="1774912E" w14:textId="7772A87C">
      <w:pPr>
        <w:spacing w:line="360" w:lineRule="auto"/>
        <w:ind w:firstLine="420"/>
        <w:rPr>
          <w:rFonts w:ascii="宋体" w:hAnsi="宋体"/>
          <w:bCs/>
          <w:szCs w:val="21"/>
          <w:lang w:eastAsia="zh-CN"/>
        </w:rPr>
      </w:pPr>
      <w:r>
        <w:rPr>
          <w:rFonts w:ascii="宋体" w:hAnsi="宋体"/>
          <w:bCs/>
          <w:szCs w:val="21"/>
          <w:highlight w:val="white"/>
          <w:lang w:eastAsia="zh-CN"/>
        </w:rPr>
        <w:t>8</w:t>
      </w:r>
      <w:r w:rsidR="006D781C">
        <w:rPr>
          <w:rFonts w:ascii="宋体" w:hAnsi="宋体" w:hint="eastAsia"/>
          <w:bCs/>
          <w:szCs w:val="21"/>
          <w:highlight w:val="white"/>
          <w:lang w:eastAsia="zh-CN"/>
        </w:rPr>
        <w:t>.</w:t>
      </w:r>
      <w:r>
        <w:rPr>
          <w:rFonts w:ascii="宋体" w:hAnsi="宋体"/>
          <w:bCs/>
          <w:szCs w:val="21"/>
          <w:highlight w:val="white"/>
          <w:lang w:eastAsia="zh-CN"/>
        </w:rPr>
        <w:t>基金财产清算的公告</w:t>
      </w:r>
    </w:p>
    <w:p w:rsidR="00D50D9C" w14:paraId="6DF2567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D50D9C" w14:paraId="04ED163D" w14:textId="27DC5CB1">
      <w:pPr>
        <w:spacing w:line="360" w:lineRule="auto"/>
        <w:ind w:firstLine="420"/>
        <w:rPr>
          <w:rFonts w:ascii="宋体" w:hAnsi="宋体"/>
          <w:bCs/>
          <w:szCs w:val="21"/>
          <w:lang w:eastAsia="zh-CN"/>
        </w:rPr>
      </w:pPr>
      <w:r>
        <w:rPr>
          <w:rFonts w:ascii="宋体" w:hAnsi="宋体"/>
          <w:bCs/>
          <w:szCs w:val="21"/>
          <w:highlight w:val="white"/>
          <w:lang w:eastAsia="zh-CN"/>
        </w:rPr>
        <w:t>9</w:t>
      </w:r>
      <w:r w:rsidR="006D781C">
        <w:rPr>
          <w:rFonts w:ascii="宋体" w:hAnsi="宋体" w:hint="eastAsia"/>
          <w:bCs/>
          <w:szCs w:val="21"/>
          <w:highlight w:val="white"/>
          <w:lang w:eastAsia="zh-CN"/>
        </w:rPr>
        <w:t>.</w:t>
      </w:r>
      <w:r>
        <w:rPr>
          <w:rFonts w:ascii="宋体" w:hAnsi="宋体"/>
          <w:bCs/>
          <w:szCs w:val="21"/>
          <w:highlight w:val="white"/>
          <w:lang w:eastAsia="zh-CN"/>
        </w:rPr>
        <w:t>基金财产清算账册及文件的保存</w:t>
      </w:r>
    </w:p>
    <w:p w:rsidR="00D50D9C" w14:paraId="08FD1BF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基金财产清算账册及有关文件由基金托管人保存20年以上。</w:t>
      </w:r>
    </w:p>
    <w:p w:rsidR="00D50D9C" w14:paraId="712712CE" w14:textId="77777777">
      <w:pPr>
        <w:pStyle w:val="11"/>
        <w:pageBreakBefore/>
        <w:spacing w:before="317" w:after="317" w:line="360" w:lineRule="auto"/>
        <w:ind w:firstLine="600"/>
        <w:rPr>
          <w:rFonts w:ascii="宋体" w:eastAsia="宋体" w:hAnsi="宋体"/>
          <w:bCs/>
          <w:lang w:eastAsia="zh-CN"/>
        </w:rPr>
      </w:pPr>
      <w:bookmarkStart w:id="1872" w:name="_Toc73030182"/>
      <w:r>
        <w:rPr>
          <w:rFonts w:ascii="宋体" w:eastAsia="宋体" w:hAnsi="宋体" w:hint="eastAsia"/>
          <w:sz w:val="30"/>
          <w:highlight w:val="white"/>
          <w:lang w:eastAsia="zh-CN"/>
        </w:rPr>
        <w:t>第二</w:t>
      </w:r>
      <w:bookmarkStart w:id="1873"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2"/>
      <w:bookmarkEnd w:id="1873"/>
    </w:p>
    <w:p w:rsidR="00D50D9C" w14:paraId="03096E40"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D50D9C" w14:paraId="1BD73D6E"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D50D9C" w14:paraId="2B5C76F0"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D50D9C" w14:paraId="154B94BB"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D50D9C" w14:paraId="0F957E9D" w14:textId="77777777">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D50D9C" w14:paraId="7526F4BF"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D50D9C" w14:paraId="72882790" w14:textId="77777777">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D50D9C" w14:paraId="6C62B9F8" w14:textId="77777777">
      <w:pPr>
        <w:spacing w:line="360" w:lineRule="auto"/>
        <w:ind w:firstLine="420"/>
        <w:rPr>
          <w:lang w:eastAsia="zh-CN"/>
        </w:rPr>
      </w:pPr>
      <w:r>
        <w:rPr>
          <w:rFonts w:ascii="宋体" w:hAnsi="宋体"/>
          <w:highlight w:val="white"/>
          <w:lang w:eastAsia="zh-CN"/>
        </w:rPr>
        <w:t>2</w:t>
      </w:r>
      <w:r>
        <w:rPr>
          <w:rFonts w:ascii="宋体" w:eastAsia="宋体" w:hAnsi="宋体" w:cs="宋体"/>
          <w:highlight w:val="white"/>
          <w:lang w:eastAsia="zh-CN"/>
        </w:rPr>
        <w:t>、</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D50D9C" w14:paraId="22854646"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D50D9C" w14:paraId="6DE5A38C"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D50D9C" w14:paraId="1DC033F0" w14:textId="77777777">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D50D9C" w14:paraId="71953E40" w14:textId="77777777">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D50D9C" w14:paraId="058202B5" w14:textId="77777777">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D50D9C" w14:paraId="67AE8B21" w14:textId="77777777">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D50D9C" w14:paraId="2E1C65BA" w14:textId="77777777">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D50D9C" w14:paraId="12776A43" w14:textId="77777777">
      <w:pPr>
        <w:spacing w:line="360" w:lineRule="auto"/>
        <w:ind w:firstLine="424"/>
        <w:rPr>
          <w:rFonts w:ascii="宋体" w:hAnsi="宋体"/>
        </w:rPr>
      </w:pPr>
    </w:p>
    <w:p w:rsidR="00D50D9C" w14:paraId="0A345014" w14:textId="77777777">
      <w:pPr>
        <w:pStyle w:val="11"/>
        <w:pageBreakBefore/>
        <w:spacing w:before="317" w:after="317" w:line="360" w:lineRule="auto"/>
        <w:ind w:firstLine="2550"/>
        <w:jc w:val="both"/>
        <w:rPr>
          <w:rFonts w:ascii="宋体" w:eastAsia="宋体" w:hAnsi="宋体"/>
          <w:lang w:eastAsia="zh-CN"/>
        </w:rPr>
      </w:pPr>
      <w:bookmarkStart w:id="1874" w:name="_Toc332373592"/>
      <w:bookmarkStart w:id="1875"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4"/>
      <w:bookmarkEnd w:id="1875"/>
    </w:p>
    <w:p w:rsidR="00D50D9C" w14:paraId="13F0CA89" w14:textId="77777777">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D50D9C" w14:paraId="1796B740" w14:textId="77777777">
      <w:pPr>
        <w:rPr>
          <w:rFonts w:ascii="宋体" w:hAnsi="宋体"/>
          <w:lang w:eastAsia="zh-CN"/>
        </w:rPr>
      </w:pPr>
    </w:p>
    <w:p w:rsidR="00D50D9C" w14:paraId="0C00BEB0" w14:textId="77777777">
      <w:pPr>
        <w:rPr>
          <w:rFonts w:ascii="宋体" w:hAnsi="宋体"/>
          <w:lang w:eastAsia="zh-CN"/>
        </w:rPr>
      </w:pPr>
    </w:p>
    <w:p w:rsidR="00D50D9C" w14:paraId="13A00E67" w14:textId="77777777">
      <w:pPr>
        <w:rPr>
          <w:rFonts w:ascii="宋体" w:hAnsi="宋体"/>
          <w:lang w:eastAsia="zh-CN"/>
        </w:rPr>
      </w:pPr>
    </w:p>
    <w:p w:rsidR="00D50D9C" w14:paraId="7E553C30" w14:textId="77777777">
      <w:pPr>
        <w:rPr>
          <w:rFonts w:ascii="宋体" w:hAnsi="宋体"/>
          <w:lang w:eastAsia="zh-CN"/>
        </w:rPr>
      </w:pPr>
    </w:p>
    <w:p w:rsidR="00D50D9C" w14:paraId="26F2F52D" w14:textId="77777777">
      <w:pPr>
        <w:rPr>
          <w:rFonts w:ascii="宋体" w:hAnsi="宋体"/>
          <w:lang w:eastAsia="zh-CN"/>
        </w:rPr>
      </w:pPr>
    </w:p>
    <w:p w:rsidR="00D50D9C" w14:paraId="51B47D03" w14:textId="77777777">
      <w:pPr>
        <w:rPr>
          <w:rFonts w:ascii="宋体" w:hAnsi="宋体"/>
          <w:lang w:eastAsia="zh-CN"/>
        </w:rPr>
      </w:pPr>
    </w:p>
    <w:p w:rsidR="00D50D9C" w14:paraId="142CC8BD" w14:textId="77777777">
      <w:pPr>
        <w:rPr>
          <w:rFonts w:ascii="宋体" w:hAnsi="宋体"/>
          <w:lang w:eastAsia="zh-CN"/>
        </w:rPr>
      </w:pPr>
    </w:p>
    <w:p w:rsidR="00D50D9C" w14:paraId="151DBCAD" w14:textId="77777777">
      <w:pPr>
        <w:rPr>
          <w:rFonts w:ascii="宋体" w:hAnsi="宋体"/>
          <w:lang w:eastAsia="zh-CN"/>
        </w:rPr>
      </w:pPr>
    </w:p>
    <w:p w:rsidR="00D50D9C" w14:paraId="30DBED4C" w14:textId="77777777">
      <w:pPr>
        <w:rPr>
          <w:rFonts w:ascii="宋体" w:hAnsi="宋体"/>
          <w:lang w:eastAsia="zh-CN"/>
        </w:rPr>
      </w:pPr>
    </w:p>
    <w:p w:rsidR="00D50D9C" w14:paraId="002B5C26" w14:textId="77777777">
      <w:pPr>
        <w:rPr>
          <w:rFonts w:ascii="宋体" w:hAnsi="宋体"/>
          <w:lang w:eastAsia="zh-CN"/>
        </w:rPr>
      </w:pPr>
    </w:p>
    <w:p w:rsidR="00D50D9C" w14:paraId="1A7AC19F" w14:textId="77777777">
      <w:pPr>
        <w:rPr>
          <w:rFonts w:ascii="宋体" w:hAnsi="宋体"/>
          <w:lang w:eastAsia="zh-CN"/>
        </w:rPr>
      </w:pPr>
    </w:p>
    <w:p w:rsidR="00D50D9C" w14:paraId="7262C3DB" w14:textId="77777777">
      <w:pPr>
        <w:rPr>
          <w:rFonts w:ascii="宋体" w:hAnsi="宋体"/>
          <w:lang w:eastAsia="zh-CN"/>
        </w:rPr>
      </w:pPr>
    </w:p>
    <w:p w:rsidR="00D50D9C" w14:paraId="5200A1A0" w14:textId="77777777">
      <w:pPr>
        <w:rPr>
          <w:rFonts w:ascii="宋体" w:hAnsi="宋体"/>
          <w:lang w:eastAsia="zh-CN"/>
        </w:rPr>
      </w:pPr>
    </w:p>
    <w:p w:rsidR="00D50D9C" w14:paraId="7D4546EC" w14:textId="77777777">
      <w:pPr>
        <w:rPr>
          <w:rFonts w:ascii="宋体" w:hAnsi="宋体"/>
          <w:lang w:eastAsia="zh-CN"/>
        </w:rPr>
      </w:pPr>
    </w:p>
    <w:p w:rsidR="00D50D9C" w14:paraId="65BEB6BB" w14:textId="77777777">
      <w:pPr>
        <w:rPr>
          <w:rFonts w:ascii="宋体" w:hAnsi="宋体"/>
          <w:lang w:eastAsia="zh-CN"/>
        </w:rPr>
      </w:pPr>
    </w:p>
    <w:p w:rsidR="00D50D9C" w14:paraId="60750C75" w14:textId="77777777">
      <w:pPr>
        <w:rPr>
          <w:rFonts w:ascii="宋体" w:hAnsi="宋体"/>
          <w:lang w:eastAsia="zh-CN"/>
        </w:rPr>
      </w:pPr>
    </w:p>
    <w:p w:rsidR="00D50D9C" w14:paraId="056BCD42" w14:textId="77777777">
      <w:pPr>
        <w:rPr>
          <w:rFonts w:ascii="宋体" w:hAnsi="宋体"/>
          <w:lang w:eastAsia="zh-CN"/>
        </w:rPr>
      </w:pPr>
    </w:p>
    <w:p w:rsidR="00D50D9C" w14:paraId="13AE0DE8" w14:textId="77777777">
      <w:pPr>
        <w:rPr>
          <w:rFonts w:ascii="宋体" w:hAnsi="宋体"/>
          <w:lang w:eastAsia="zh-CN"/>
        </w:rPr>
      </w:pPr>
    </w:p>
    <w:p w:rsidR="00D50D9C" w14:paraId="17584836" w14:textId="77777777">
      <w:pPr>
        <w:rPr>
          <w:rFonts w:ascii="宋体" w:hAnsi="宋体"/>
          <w:lang w:eastAsia="zh-CN"/>
        </w:rPr>
      </w:pPr>
    </w:p>
    <w:p w:rsidR="00D50D9C" w14:paraId="30D70BAC" w14:textId="77777777">
      <w:pPr>
        <w:rPr>
          <w:rFonts w:ascii="宋体" w:hAnsi="宋体"/>
          <w:lang w:eastAsia="zh-CN"/>
        </w:rPr>
      </w:pPr>
    </w:p>
    <w:p w:rsidR="00D50D9C" w14:paraId="44E786F9" w14:textId="77777777">
      <w:pPr>
        <w:rPr>
          <w:rFonts w:ascii="宋体" w:hAnsi="宋体"/>
          <w:lang w:eastAsia="zh-CN"/>
        </w:rPr>
      </w:pPr>
    </w:p>
    <w:p w:rsidR="00D50D9C" w14:paraId="0131CEDC" w14:textId="77777777">
      <w:pPr>
        <w:rPr>
          <w:rFonts w:ascii="宋体" w:hAnsi="宋体"/>
          <w:lang w:eastAsia="zh-CN"/>
        </w:rPr>
      </w:pPr>
    </w:p>
    <w:p w:rsidR="00D50D9C" w14:paraId="6ED97D93" w14:textId="77777777">
      <w:pPr>
        <w:rPr>
          <w:rFonts w:ascii="宋体" w:hAnsi="宋体"/>
          <w:lang w:eastAsia="zh-CN"/>
        </w:rPr>
      </w:pPr>
    </w:p>
    <w:p w:rsidR="00D50D9C" w14:paraId="28B35E53" w14:textId="77777777">
      <w:pPr>
        <w:pStyle w:val="a"/>
        <w:spacing w:line="360" w:lineRule="auto"/>
        <w:ind w:firstLine="0"/>
        <w:rPr>
          <w:rFonts w:ascii="宋体" w:hAnsi="宋体"/>
          <w:lang w:eastAsia="zh-CN"/>
        </w:rPr>
      </w:pPr>
    </w:p>
    <w:p w:rsidR="00D50D9C" w14:paraId="04366727" w14:textId="77777777">
      <w:pPr>
        <w:pStyle w:val="NormalIndent"/>
        <w:rPr>
          <w:rFonts w:ascii="宋体" w:hAnsi="宋体"/>
          <w:lang w:eastAsia="zh-CN"/>
        </w:rPr>
      </w:pPr>
    </w:p>
    <w:p w:rsidR="00D50D9C" w14:paraId="36200435" w14:textId="77777777">
      <w:pPr>
        <w:pStyle w:val="NormalIndent"/>
        <w:rPr>
          <w:rFonts w:ascii="宋体" w:hAnsi="宋体"/>
          <w:lang w:eastAsia="zh-CN"/>
        </w:rPr>
      </w:pPr>
    </w:p>
    <w:p w:rsidR="00D50D9C" w14:paraId="054E3236" w14:textId="77777777">
      <w:pPr>
        <w:pStyle w:val="NormalIndent"/>
        <w:rPr>
          <w:rFonts w:ascii="宋体" w:hAnsi="宋体"/>
          <w:lang w:eastAsia="zh-CN"/>
        </w:rPr>
      </w:pPr>
    </w:p>
    <w:p w:rsidR="00D50D9C" w14:paraId="23E8E3A3" w14:textId="77777777">
      <w:pPr>
        <w:pStyle w:val="NormalIndent"/>
        <w:rPr>
          <w:rFonts w:ascii="宋体" w:hAnsi="宋体"/>
          <w:lang w:eastAsia="zh-CN"/>
        </w:rPr>
      </w:pPr>
    </w:p>
    <w:p w:rsidR="00D50D9C" w14:paraId="3871A986" w14:textId="77777777">
      <w:pPr>
        <w:pStyle w:val="NormalIndent"/>
        <w:rPr>
          <w:rFonts w:ascii="宋体" w:hAnsi="宋体"/>
          <w:lang w:eastAsia="zh-CN"/>
        </w:rPr>
      </w:pPr>
    </w:p>
    <w:p w:rsidR="00D50D9C" w14:paraId="7B815431" w14:textId="77777777">
      <w:pPr>
        <w:pStyle w:val="NormalIndent"/>
        <w:rPr>
          <w:rFonts w:ascii="宋体" w:hAnsi="宋体"/>
          <w:lang w:eastAsia="zh-CN"/>
        </w:rPr>
      </w:pPr>
    </w:p>
    <w:p w:rsidR="00D50D9C" w14:paraId="2B87C5D3" w14:textId="77777777">
      <w:pPr>
        <w:pStyle w:val="NormalIndent"/>
        <w:rPr>
          <w:rFonts w:ascii="宋体" w:hAnsi="宋体"/>
          <w:lang w:eastAsia="zh-CN"/>
        </w:rPr>
      </w:pPr>
    </w:p>
    <w:p w:rsidR="00D50D9C" w14:paraId="12BD0A65" w14:textId="77777777">
      <w:pPr>
        <w:pStyle w:val="NormalIndent"/>
        <w:rPr>
          <w:rFonts w:ascii="宋体" w:hAnsi="宋体"/>
          <w:lang w:eastAsia="zh-CN"/>
        </w:rPr>
      </w:pPr>
    </w:p>
    <w:p w:rsidR="00D50D9C" w14:paraId="794476E4" w14:textId="77777777">
      <w:pPr>
        <w:pStyle w:val="NormalIndent"/>
        <w:rPr>
          <w:rFonts w:ascii="宋体" w:hAnsi="宋体"/>
          <w:lang w:eastAsia="zh-CN"/>
        </w:rPr>
      </w:pPr>
    </w:p>
    <w:p w:rsidR="00D50D9C" w14:paraId="5291FD7E" w14:textId="77777777">
      <w:pPr>
        <w:pStyle w:val="NormalIndent"/>
        <w:rPr>
          <w:rFonts w:ascii="宋体" w:hAnsi="宋体"/>
          <w:lang w:eastAsia="zh-CN"/>
        </w:rPr>
      </w:pPr>
    </w:p>
    <w:p w:rsidR="00D50D9C" w14:paraId="45B69D92" w14:textId="77777777">
      <w:pPr>
        <w:pStyle w:val="NormalIndent"/>
        <w:rPr>
          <w:rFonts w:ascii="宋体" w:hAnsi="宋体"/>
          <w:lang w:eastAsia="zh-CN"/>
        </w:rPr>
      </w:pPr>
    </w:p>
    <w:p w:rsidR="00D50D9C" w14:paraId="09C7B8DE" w14:textId="77777777">
      <w:pPr>
        <w:pStyle w:val="NormalIndent"/>
        <w:rPr>
          <w:rFonts w:ascii="宋体" w:hAnsi="宋体"/>
          <w:lang w:eastAsia="zh-CN"/>
        </w:rPr>
      </w:pPr>
    </w:p>
    <w:p w:rsidR="00D50D9C" w14:paraId="4E0BD36C" w14:textId="77777777">
      <w:pPr>
        <w:pStyle w:val="NormalIndent"/>
        <w:rPr>
          <w:rFonts w:ascii="宋体" w:hAnsi="宋体"/>
          <w:lang w:eastAsia="zh-CN"/>
        </w:rPr>
      </w:pPr>
    </w:p>
    <w:p w:rsidR="00D50D9C" w14:paraId="36BAA79B" w14:textId="77777777">
      <w:pPr>
        <w:pStyle w:val="11"/>
        <w:spacing w:before="317" w:after="317" w:line="360" w:lineRule="auto"/>
        <w:ind w:firstLine="600"/>
        <w:rPr>
          <w:rFonts w:ascii="宋体" w:eastAsia="宋体" w:hAnsi="宋体"/>
          <w:bCs/>
          <w:sz w:val="20"/>
          <w:szCs w:val="20"/>
          <w:lang w:eastAsia="zh-CN"/>
        </w:rPr>
      </w:pPr>
      <w:bookmarkStart w:id="1876" w:name="_Toc73030184"/>
      <w:r>
        <w:rPr>
          <w:rFonts w:ascii="宋体" w:eastAsia="宋体" w:hAnsi="宋体" w:hint="eastAsia"/>
          <w:sz w:val="30"/>
          <w:highlight w:val="white"/>
          <w:lang w:eastAsia="zh-CN"/>
        </w:rPr>
        <w:t>第二</w:t>
      </w:r>
      <w:bookmarkStart w:id="1877"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6"/>
      <w:bookmarkEnd w:id="1877"/>
    </w:p>
    <w:p w:rsidR="00D50D9C" w14:paraId="31BCC930" w14:textId="77777777">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D50D9C" w14:paraId="327F1526" w14:textId="77777777">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D50D9C" w14:paraId="505B1D0F" w14:textId="77777777">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8"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9" w:name="_Toc332373594"/>
      <w:r>
        <w:rPr>
          <w:rFonts w:ascii="宋体" w:eastAsia="宋体" w:hAnsi="宋体" w:hint="eastAsia"/>
          <w:sz w:val="30"/>
          <w:highlight w:val="white"/>
          <w:lang w:eastAsia="zh-CN"/>
        </w:rPr>
        <w:t>十七部分 备查文件</w:t>
      </w:r>
      <w:bookmarkEnd w:id="1878"/>
      <w:bookmarkEnd w:id="1879"/>
    </w:p>
    <w:p w:rsidR="00D50D9C" w14:paraId="5276A283" w14:textId="77777777">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易方达成长领航混合型证券投资基金</w:t>
      </w:r>
      <w:r>
        <w:rPr>
          <w:rFonts w:ascii="宋体" w:eastAsia="宋体" w:hAnsi="宋体" w:cs="宋体" w:hint="eastAsia"/>
          <w:highlight w:val="white"/>
          <w:lang w:eastAsia="zh-CN"/>
        </w:rPr>
        <w:t>注册的文件；</w:t>
      </w:r>
    </w:p>
    <w:p w:rsidR="00D50D9C" w14:paraId="2C45622B" w14:textId="77777777">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易方达成长领航混合型证券投资基金</w:t>
      </w:r>
      <w:r>
        <w:rPr>
          <w:rFonts w:ascii="宋体" w:eastAsia="宋体" w:hAnsi="宋体" w:cs="宋体" w:hint="eastAsia"/>
          <w:highlight w:val="white"/>
          <w:lang w:eastAsia="zh-CN"/>
        </w:rPr>
        <w:t>基金合同》；</w:t>
      </w:r>
    </w:p>
    <w:p w:rsidR="00D50D9C" w14:paraId="7CD3D8A5" w14:textId="77777777">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易方达成长领航混合型证券投资基金</w:t>
      </w:r>
      <w:r>
        <w:rPr>
          <w:rFonts w:ascii="宋体" w:eastAsia="宋体" w:hAnsi="宋体" w:cs="宋体" w:hint="eastAsia"/>
          <w:highlight w:val="white"/>
          <w:lang w:eastAsia="zh-CN"/>
        </w:rPr>
        <w:t>托管协议》；</w:t>
      </w:r>
    </w:p>
    <w:p w:rsidR="00D50D9C" w14:paraId="662B27A7" w14:textId="77777777">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D50D9C" w14:paraId="209D194C" w14:textId="77777777">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D50D9C" w14:paraId="45E0341A" w14:textId="77777777">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D50D9C" w14:paraId="453BABD3" w14:textId="77777777">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D50D9C" w14:paraId="1D3BAA73" w14:textId="77777777">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D50D9C" w14:paraId="1506CDBB" w14:textId="77777777">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D50D9C" w14:paraId="410F2B24" w14:textId="77777777">
      <w:pPr>
        <w:pStyle w:val="PlainText"/>
        <w:spacing w:line="360" w:lineRule="auto"/>
        <w:ind w:firstLine="420"/>
        <w:rPr>
          <w:rFonts w:hAnsi="宋体"/>
          <w:sz w:val="21"/>
          <w:lang w:eastAsia="zh-CN"/>
        </w:rPr>
      </w:pPr>
    </w:p>
    <w:p w:rsidR="00D50D9C" w14:paraId="7DF6E45C" w14:textId="77777777">
      <w:pPr>
        <w:pStyle w:val="PlainText"/>
        <w:spacing w:line="360" w:lineRule="auto"/>
        <w:ind w:firstLine="420"/>
        <w:rPr>
          <w:rFonts w:hAnsi="宋体"/>
          <w:sz w:val="21"/>
          <w:lang w:eastAsia="zh-CN"/>
        </w:rPr>
      </w:pPr>
    </w:p>
    <w:p w:rsidR="00D50D9C" w14:paraId="03A386ED" w14:textId="77777777">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D50D9C" w14:paraId="337BDBFC" w14:textId="7C8A151C">
      <w:pPr>
        <w:jc w:val="right"/>
      </w:pPr>
      <w:r w:rsidR="004A2F59">
        <w:rPr>
          <w:rFonts w:ascii="宋体" w:eastAsia="宋体" w:hAnsi="宋体" w:cs="宋体"/>
          <w:color w:val="000000"/>
          <w:highlight w:val="white"/>
        </w:rPr>
        <w:t>2026</w:t>
      </w:r>
      <w:r>
        <w:rPr>
          <w:rFonts w:ascii="宋体" w:eastAsia="宋体" w:hAnsi="宋体" w:cs="宋体"/>
          <w:color w:val="000000"/>
          <w:highlight w:val="white"/>
        </w:rPr>
        <w:t>年</w:t>
      </w:r>
      <w:r w:rsidR="004A2F59">
        <w:rPr>
          <w:rFonts w:ascii="宋体" w:eastAsia="宋体" w:hAnsi="宋体" w:cs="宋体"/>
          <w:color w:val="000000"/>
          <w:highlight w:val="white"/>
        </w:rPr>
        <w:t>2</w:t>
      </w:r>
      <w:r>
        <w:rPr>
          <w:rFonts w:ascii="宋体" w:eastAsia="宋体" w:hAnsi="宋体" w:cs="宋体"/>
          <w:color w:val="000000"/>
          <w:highlight w:val="white"/>
        </w:rPr>
        <w:t>月</w:t>
      </w:r>
      <w:r w:rsidR="004A2F59">
        <w:rPr>
          <w:rFonts w:ascii="宋体" w:eastAsia="宋体" w:hAnsi="宋体" w:cs="宋体"/>
          <w:color w:val="000000"/>
          <w:highlight w:val="white"/>
        </w:rPr>
        <w:t>14</w:t>
      </w:r>
      <w:r>
        <w:rPr>
          <w:rFonts w:ascii="宋体" w:eastAsia="宋体" w:hAnsi="宋体" w:cs="宋体"/>
          <w:color w:val="000000"/>
          <w:highlight w:val="white"/>
        </w:rPr>
        <w:t>日</w:t>
      </w:r>
    </w:p>
    <w:p w:rsidR="00D50D9C" w14:paraId="31B31AA1" w14:textId="77777777">
      <w:pPr>
        <w:spacing w:line="360" w:lineRule="auto"/>
        <w:ind w:right="420" w:firstLine="420"/>
        <w:jc w:val="right"/>
        <w:rPr>
          <w:rFonts w:ascii="宋体" w:hAnsi="宋体"/>
        </w:rPr>
      </w:pPr>
    </w:p>
    <w:p w:rsidR="00D50D9C" w14:paraId="3F11624A" w14:textId="77777777">
      <w:pPr>
        <w:snapToGrid w:val="0"/>
        <w:spacing w:line="360" w:lineRule="auto"/>
        <w:ind w:right="210" w:firstLine="420"/>
        <w:jc w:val="right"/>
        <w:rPr>
          <w:rFonts w:ascii="宋体" w:hAnsi="宋体"/>
          <w:szCs w:val="21"/>
        </w:rPr>
      </w:pPr>
    </w:p>
    <w:p w:rsidR="00D50D9C" w14:paraId="18F47585" w14:textId="77777777">
      <w:pPr>
        <w:pStyle w:val="PlainText"/>
        <w:spacing w:line="400" w:lineRule="exact"/>
        <w:ind w:firstLine="480"/>
        <w:rPr>
          <w:rFonts w:hAnsi="宋体"/>
          <w:bCs/>
          <w:sz w:val="20"/>
          <w:szCs w:val="20"/>
        </w:rPr>
      </w:pPr>
    </w:p>
    <w:p w:rsidR="00D50D9C" w14:paraId="754D317A" w14:textId="77777777">
      <w:pPr>
        <w:pStyle w:val="PlainText"/>
        <w:spacing w:line="400" w:lineRule="exact"/>
        <w:ind w:firstLine="420"/>
        <w:jc w:val="right"/>
        <w:rPr>
          <w:rFonts w:hAnsi="宋体"/>
          <w:sz w:val="21"/>
        </w:rPr>
      </w:pPr>
    </w:p>
    <w:p w:rsidR="00D50D9C" w14:paraId="2D6FFE12" w14:textId="77777777">
      <w:pPr>
        <w:rPr>
          <w:rFonts w:ascii="宋体" w:hAnsi="宋体"/>
        </w:rPr>
      </w:pPr>
      <w:bookmarkStart w:id="1880" w:name="_Toc38439112"/>
      <w:bookmarkStart w:id="1881" w:name="_Toc38439449"/>
      <w:bookmarkStart w:id="1882" w:name="_Toc38439786"/>
      <w:bookmarkStart w:id="1883" w:name="_Toc38440123"/>
      <w:bookmarkStart w:id="1884" w:name="_Toc38440460"/>
      <w:bookmarkStart w:id="1885" w:name="_Toc38440992"/>
      <w:bookmarkStart w:id="1886" w:name="_Toc38441324"/>
      <w:bookmarkStart w:id="1887" w:name="_Toc38441656"/>
      <w:bookmarkStart w:id="1888" w:name="_Toc38441984"/>
      <w:bookmarkStart w:id="1889" w:name="_Toc38442316"/>
      <w:bookmarkStart w:id="1890" w:name="_Toc38442648"/>
      <w:bookmarkStart w:id="1891" w:name="_Toc38442979"/>
      <w:bookmarkStart w:id="1892" w:name="_Toc38443310"/>
      <w:bookmarkStart w:id="1893" w:name="_Toc38443641"/>
      <w:bookmarkStart w:id="1894" w:name="_Toc38443971"/>
      <w:bookmarkStart w:id="1895" w:name="_Toc38438439"/>
      <w:bookmarkStart w:id="1896" w:name="_Toc38438776"/>
      <w:bookmarkStart w:id="1897" w:name="_Toc38439113"/>
      <w:bookmarkStart w:id="1898" w:name="_Toc38439450"/>
      <w:bookmarkStart w:id="1899" w:name="_Toc38439787"/>
      <w:bookmarkStart w:id="1900" w:name="_Toc38440124"/>
      <w:bookmarkStart w:id="1901" w:name="_Toc38440461"/>
      <w:bookmarkStart w:id="1902" w:name="_Toc38440993"/>
      <w:bookmarkStart w:id="1903" w:name="_Toc38441325"/>
      <w:bookmarkStart w:id="1904" w:name="_Toc38441657"/>
      <w:bookmarkStart w:id="1905" w:name="_Toc38441985"/>
      <w:bookmarkStart w:id="1906" w:name="_Toc38442317"/>
      <w:bookmarkStart w:id="1907" w:name="_Toc38442649"/>
      <w:bookmarkStart w:id="1908" w:name="_Toc38442980"/>
      <w:bookmarkStart w:id="1909" w:name="_Toc38443311"/>
      <w:bookmarkStart w:id="1910" w:name="_Toc38443642"/>
      <w:bookmarkStart w:id="1911" w:name="_Toc38443972"/>
      <w:bookmarkStart w:id="1912" w:name="_Toc38438440"/>
      <w:bookmarkStart w:id="1913" w:name="_Toc38438777"/>
      <w:bookmarkStart w:id="1914" w:name="_Toc38439114"/>
      <w:bookmarkStart w:id="1915" w:name="_Toc38439451"/>
      <w:bookmarkStart w:id="1916" w:name="_Toc38439788"/>
      <w:bookmarkStart w:id="1917" w:name="_Toc38440125"/>
      <w:bookmarkStart w:id="1918" w:name="_Toc38440462"/>
      <w:bookmarkStart w:id="1919" w:name="_Toc38440994"/>
      <w:bookmarkStart w:id="1920" w:name="_Toc38441326"/>
      <w:bookmarkStart w:id="1921" w:name="_Toc38441658"/>
      <w:bookmarkStart w:id="1922" w:name="_Toc38441986"/>
      <w:bookmarkStart w:id="1923" w:name="_Toc38442318"/>
      <w:bookmarkStart w:id="1924" w:name="_Toc38442650"/>
      <w:bookmarkStart w:id="1925" w:name="_Toc38442981"/>
      <w:bookmarkStart w:id="1926" w:name="_Toc38443312"/>
      <w:bookmarkStart w:id="1927" w:name="_Toc38443643"/>
      <w:bookmarkStart w:id="1928" w:name="_Toc38443973"/>
      <w:bookmarkStart w:id="1929" w:name="_Toc38438441"/>
      <w:bookmarkStart w:id="1930" w:name="_Toc38438778"/>
      <w:bookmarkStart w:id="1931" w:name="_Toc38439115"/>
      <w:bookmarkStart w:id="1932" w:name="_Toc38439452"/>
      <w:bookmarkStart w:id="1933" w:name="_Toc38439789"/>
      <w:bookmarkStart w:id="1934" w:name="_Toc38440126"/>
      <w:bookmarkStart w:id="1935" w:name="_Toc38440463"/>
      <w:bookmarkStart w:id="1936" w:name="_Toc38440995"/>
      <w:bookmarkStart w:id="1937" w:name="_Toc38441327"/>
      <w:bookmarkStart w:id="1938" w:name="_Toc38441659"/>
      <w:bookmarkStart w:id="1939" w:name="_Toc38441987"/>
      <w:bookmarkStart w:id="1940" w:name="_Toc38442319"/>
      <w:bookmarkStart w:id="1941" w:name="_Toc38442651"/>
      <w:bookmarkStart w:id="1942" w:name="_Toc38442982"/>
      <w:bookmarkStart w:id="1943" w:name="_Toc38443313"/>
      <w:bookmarkStart w:id="1944" w:name="_Toc38443644"/>
      <w:bookmarkStart w:id="1945" w:name="_Toc38443974"/>
      <w:bookmarkStart w:id="1946" w:name="_Toc38438442"/>
      <w:bookmarkStart w:id="1947" w:name="_Toc38438779"/>
      <w:bookmarkStart w:id="1948" w:name="_Toc38439116"/>
      <w:bookmarkStart w:id="1949" w:name="_Toc38439453"/>
      <w:bookmarkStart w:id="1950" w:name="_Toc38439790"/>
      <w:bookmarkStart w:id="1951" w:name="_Toc38440127"/>
      <w:bookmarkStart w:id="1952" w:name="_Toc38440464"/>
      <w:bookmarkStart w:id="1953" w:name="_Toc38440996"/>
      <w:bookmarkStart w:id="1954" w:name="_Toc38441328"/>
      <w:bookmarkStart w:id="1955" w:name="_Toc38441660"/>
      <w:bookmarkStart w:id="1956" w:name="_Toc38441988"/>
      <w:bookmarkStart w:id="1957" w:name="_Toc38442320"/>
      <w:bookmarkStart w:id="1958" w:name="_Toc38442652"/>
      <w:bookmarkStart w:id="1959" w:name="_Toc38442983"/>
      <w:bookmarkStart w:id="1960" w:name="_Toc38443314"/>
      <w:bookmarkStart w:id="1961" w:name="_Toc38443645"/>
      <w:bookmarkStart w:id="1962" w:name="_Toc38443975"/>
      <w:bookmarkStart w:id="1963" w:name="_Toc38438443"/>
      <w:bookmarkStart w:id="1964" w:name="_Toc38438780"/>
      <w:bookmarkStart w:id="1965" w:name="_Toc38439117"/>
      <w:bookmarkStart w:id="1966" w:name="_Toc38439454"/>
      <w:bookmarkStart w:id="1967" w:name="_Toc38439791"/>
      <w:bookmarkStart w:id="1968" w:name="_Toc38440128"/>
      <w:bookmarkStart w:id="1969" w:name="_Toc38440465"/>
      <w:bookmarkStart w:id="1970" w:name="_Toc38440997"/>
      <w:bookmarkStart w:id="1971" w:name="_Toc38441329"/>
      <w:bookmarkStart w:id="1972" w:name="_Toc38441661"/>
      <w:bookmarkStart w:id="1973" w:name="_Toc38441989"/>
      <w:bookmarkStart w:id="1974" w:name="_Toc38442321"/>
      <w:bookmarkStart w:id="1975" w:name="_Toc38442653"/>
      <w:bookmarkStart w:id="1976" w:name="_Toc38442984"/>
      <w:bookmarkStart w:id="1977" w:name="_Toc38443315"/>
      <w:bookmarkStart w:id="1978" w:name="_Toc38443646"/>
      <w:bookmarkStart w:id="1979" w:name="_Toc38443976"/>
      <w:bookmarkStart w:id="1980" w:name="_Toc38438444"/>
      <w:bookmarkStart w:id="1981" w:name="_Toc38438781"/>
      <w:bookmarkStart w:id="1982" w:name="_Toc38439118"/>
      <w:bookmarkStart w:id="1983" w:name="_Toc38439455"/>
      <w:bookmarkStart w:id="1984" w:name="_Toc38439792"/>
      <w:bookmarkStart w:id="1985" w:name="_Toc38440129"/>
      <w:bookmarkStart w:id="1986" w:name="_Toc38440466"/>
      <w:bookmarkStart w:id="1987" w:name="_Toc38440998"/>
      <w:bookmarkStart w:id="1988" w:name="_Toc38441330"/>
      <w:bookmarkStart w:id="1989" w:name="_Toc38441662"/>
      <w:bookmarkStart w:id="1990" w:name="_Toc38441990"/>
      <w:bookmarkStart w:id="1991" w:name="_Toc38442322"/>
      <w:bookmarkStart w:id="1992" w:name="_Toc38442654"/>
      <w:bookmarkStart w:id="1993" w:name="_Toc38442985"/>
      <w:bookmarkStart w:id="1994" w:name="_Toc38443316"/>
      <w:bookmarkStart w:id="1995" w:name="_Toc38443647"/>
      <w:bookmarkStart w:id="1996" w:name="_Toc38443977"/>
      <w:bookmarkStart w:id="1997" w:name="_Toc38438445"/>
      <w:bookmarkStart w:id="1998" w:name="_Toc38438782"/>
      <w:bookmarkStart w:id="1999" w:name="_Toc38439119"/>
      <w:bookmarkStart w:id="2000" w:name="_Toc38439456"/>
      <w:bookmarkStart w:id="2001" w:name="_Toc38439793"/>
      <w:bookmarkStart w:id="2002" w:name="_Toc38440130"/>
      <w:bookmarkStart w:id="2003" w:name="_Toc38440467"/>
      <w:bookmarkStart w:id="2004" w:name="_Toc38440999"/>
      <w:bookmarkStart w:id="2005" w:name="_Toc38441331"/>
      <w:bookmarkStart w:id="2006" w:name="_Toc38441663"/>
      <w:bookmarkStart w:id="2007" w:name="_Toc38441991"/>
      <w:bookmarkStart w:id="2008" w:name="_Toc38442323"/>
      <w:bookmarkStart w:id="2009" w:name="_Toc38442655"/>
      <w:bookmarkStart w:id="2010" w:name="_Toc38442986"/>
      <w:bookmarkStart w:id="2011" w:name="_Toc38443317"/>
      <w:bookmarkStart w:id="2012" w:name="_Toc38443648"/>
      <w:bookmarkStart w:id="2013" w:name="_Toc38443978"/>
      <w:bookmarkStart w:id="2014" w:name="_Toc38438446"/>
      <w:bookmarkStart w:id="2015" w:name="_Toc38438783"/>
      <w:bookmarkStart w:id="2016" w:name="_Toc38439120"/>
      <w:bookmarkStart w:id="2017" w:name="_Toc38439457"/>
      <w:bookmarkStart w:id="2018" w:name="_Toc38439794"/>
      <w:bookmarkStart w:id="2019" w:name="_Toc38440131"/>
      <w:bookmarkStart w:id="2020" w:name="_Toc38440468"/>
      <w:bookmarkStart w:id="2021" w:name="_Toc38441000"/>
      <w:bookmarkStart w:id="2022" w:name="_Toc38441332"/>
      <w:bookmarkStart w:id="2023" w:name="_Toc38441664"/>
      <w:bookmarkStart w:id="2024" w:name="_Toc38441992"/>
      <w:bookmarkStart w:id="2025" w:name="_Toc38442324"/>
      <w:bookmarkStart w:id="2026" w:name="_Toc38442656"/>
      <w:bookmarkStart w:id="2027" w:name="_Toc38442987"/>
      <w:bookmarkStart w:id="2028" w:name="_Toc38443318"/>
      <w:bookmarkStart w:id="2029" w:name="_Toc38443649"/>
      <w:bookmarkStart w:id="2030" w:name="_Toc38443979"/>
      <w:bookmarkStart w:id="2031" w:name="_Toc38438447"/>
      <w:bookmarkStart w:id="2032" w:name="_Toc38438784"/>
      <w:bookmarkStart w:id="2033" w:name="_Toc38439121"/>
      <w:bookmarkStart w:id="2034" w:name="_Toc38439458"/>
      <w:bookmarkStart w:id="2035" w:name="_Toc38439795"/>
      <w:bookmarkStart w:id="2036" w:name="_Toc38440132"/>
      <w:bookmarkStart w:id="2037" w:name="_Toc38440469"/>
      <w:bookmarkStart w:id="2038" w:name="_Toc38441001"/>
      <w:bookmarkStart w:id="2039" w:name="_Toc38441333"/>
      <w:bookmarkStart w:id="2040" w:name="_Toc38441665"/>
      <w:bookmarkStart w:id="2041" w:name="_Toc38441993"/>
      <w:bookmarkStart w:id="2042" w:name="_Toc38442325"/>
      <w:bookmarkStart w:id="2043" w:name="_Toc38442657"/>
      <w:bookmarkStart w:id="2044" w:name="_Toc38442988"/>
      <w:bookmarkStart w:id="2045" w:name="_Toc38443319"/>
      <w:bookmarkStart w:id="2046" w:name="_Toc38443650"/>
      <w:bookmarkStart w:id="2047" w:name="_Toc38443980"/>
      <w:bookmarkStart w:id="2048" w:name="_Toc38438448"/>
      <w:bookmarkStart w:id="2049" w:name="_Toc38438785"/>
      <w:bookmarkStart w:id="2050" w:name="_Toc38439122"/>
      <w:bookmarkStart w:id="2051" w:name="_Toc38439459"/>
      <w:bookmarkStart w:id="2052" w:name="_Toc38439796"/>
      <w:bookmarkStart w:id="2053" w:name="_Toc38440133"/>
      <w:bookmarkStart w:id="2054" w:name="_Toc38440470"/>
      <w:bookmarkStart w:id="2055" w:name="_Toc38441002"/>
      <w:bookmarkStart w:id="2056" w:name="_Toc38441334"/>
      <w:bookmarkStart w:id="2057" w:name="_Toc38441666"/>
      <w:bookmarkStart w:id="2058" w:name="_Toc38441994"/>
      <w:bookmarkStart w:id="2059" w:name="_Toc38442326"/>
      <w:bookmarkStart w:id="2060" w:name="_Toc38442658"/>
      <w:bookmarkStart w:id="2061" w:name="_Toc38442989"/>
      <w:bookmarkStart w:id="2062" w:name="_Toc38443320"/>
      <w:bookmarkStart w:id="2063" w:name="_Toc38443651"/>
      <w:bookmarkStart w:id="2064" w:name="_Toc38443981"/>
      <w:bookmarkStart w:id="2065" w:name="_Toc38438449"/>
      <w:bookmarkStart w:id="2066" w:name="_Toc38438786"/>
      <w:bookmarkStart w:id="2067" w:name="_Toc38439123"/>
      <w:bookmarkStart w:id="2068" w:name="_Toc38439460"/>
      <w:bookmarkStart w:id="2069" w:name="_Toc38439797"/>
      <w:bookmarkStart w:id="2070" w:name="_Toc38440134"/>
      <w:bookmarkStart w:id="2071" w:name="_Toc38440471"/>
      <w:bookmarkStart w:id="2072" w:name="_Toc38441003"/>
      <w:bookmarkStart w:id="2073" w:name="_Toc38441335"/>
      <w:bookmarkStart w:id="2074" w:name="_Toc38441667"/>
      <w:bookmarkStart w:id="2075" w:name="_Toc38441995"/>
      <w:bookmarkStart w:id="2076" w:name="_Toc38442327"/>
      <w:bookmarkStart w:id="2077" w:name="_Toc38442659"/>
      <w:bookmarkStart w:id="2078" w:name="_Toc38442990"/>
      <w:bookmarkStart w:id="2079" w:name="_Toc38443321"/>
      <w:bookmarkStart w:id="2080" w:name="_Toc38443652"/>
      <w:bookmarkStart w:id="2081" w:name="_Toc38443982"/>
      <w:bookmarkStart w:id="2082" w:name="_Toc38438450"/>
      <w:bookmarkStart w:id="2083" w:name="_Toc38438787"/>
      <w:bookmarkStart w:id="2084" w:name="_Toc38439124"/>
      <w:bookmarkStart w:id="2085" w:name="_Toc38439461"/>
      <w:bookmarkStart w:id="2086" w:name="_Toc38439798"/>
      <w:bookmarkStart w:id="2087" w:name="_Toc38440135"/>
      <w:bookmarkStart w:id="2088" w:name="_Toc38440472"/>
      <w:bookmarkStart w:id="2089" w:name="_Toc38441004"/>
      <w:bookmarkStart w:id="2090" w:name="_Toc38441336"/>
      <w:bookmarkStart w:id="2091" w:name="_Toc38441668"/>
      <w:bookmarkStart w:id="2092" w:name="_Toc38441996"/>
      <w:bookmarkStart w:id="2093" w:name="_Toc38442328"/>
      <w:bookmarkStart w:id="2094" w:name="_Toc38442660"/>
      <w:bookmarkStart w:id="2095" w:name="_Toc38438350"/>
      <w:bookmarkStart w:id="2096" w:name="_Toc38438687"/>
      <w:bookmarkStart w:id="2097" w:name="_Toc38439024"/>
      <w:bookmarkStart w:id="2098" w:name="_Toc38439361"/>
      <w:bookmarkStart w:id="2099" w:name="_Toc38439698"/>
      <w:bookmarkStart w:id="2100" w:name="_Toc38440035"/>
      <w:bookmarkStart w:id="2101" w:name="_Toc38440372"/>
      <w:bookmarkStart w:id="2102" w:name="_Toc38440904"/>
      <w:bookmarkStart w:id="2103" w:name="_Toc38441236"/>
      <w:bookmarkStart w:id="2104" w:name="_Toc38441568"/>
      <w:bookmarkStart w:id="2105" w:name="_Toc38441896"/>
      <w:bookmarkStart w:id="2106" w:name="_Toc38442228"/>
      <w:bookmarkStart w:id="2107" w:name="_Toc38442560"/>
      <w:bookmarkStart w:id="2108" w:name="_Toc38442891"/>
      <w:bookmarkStart w:id="2109" w:name="_Toc38443222"/>
      <w:bookmarkStart w:id="2110" w:name="_Toc38443553"/>
      <w:bookmarkStart w:id="2111" w:name="_Toc38443883"/>
      <w:bookmarkStart w:id="2112" w:name="_Toc38438351"/>
      <w:bookmarkStart w:id="2113" w:name="_Toc38438688"/>
      <w:bookmarkStart w:id="2114" w:name="_Toc38440988"/>
      <w:bookmarkStart w:id="2115" w:name="_Toc38441320"/>
      <w:bookmarkStart w:id="2116" w:name="_Toc38441652"/>
      <w:bookmarkStart w:id="2117" w:name="_Toc38441980"/>
      <w:bookmarkStart w:id="2118" w:name="_Toc38442312"/>
      <w:bookmarkStart w:id="2119" w:name="_Toc38442644"/>
      <w:bookmarkStart w:id="2120" w:name="_Toc38442975"/>
      <w:bookmarkStart w:id="2121" w:name="_Toc38443306"/>
      <w:bookmarkStart w:id="2122" w:name="_Toc38443637"/>
      <w:bookmarkStart w:id="2123" w:name="_Toc38443967"/>
      <w:bookmarkStart w:id="2124" w:name="_Toc38438435"/>
      <w:bookmarkStart w:id="2125" w:name="_Toc38438772"/>
      <w:bookmarkStart w:id="2126" w:name="_Toc38439109"/>
      <w:bookmarkStart w:id="2127" w:name="_Toc38439446"/>
      <w:bookmarkStart w:id="2128" w:name="_Toc38439783"/>
      <w:bookmarkStart w:id="2129" w:name="_Toc38440120"/>
      <w:bookmarkStart w:id="2130" w:name="_Toc38440457"/>
      <w:bookmarkStart w:id="2131" w:name="_Toc38440989"/>
      <w:bookmarkStart w:id="2132" w:name="_Toc38441321"/>
      <w:bookmarkStart w:id="2133" w:name="_Toc38441653"/>
      <w:bookmarkStart w:id="2134" w:name="_Toc38441981"/>
      <w:bookmarkStart w:id="2135" w:name="_Toc38442313"/>
      <w:bookmarkStart w:id="2136" w:name="_Toc38442645"/>
      <w:bookmarkStart w:id="2137" w:name="_Toc38442976"/>
      <w:bookmarkStart w:id="2138" w:name="_Toc38443307"/>
      <w:bookmarkStart w:id="2139" w:name="_Toc38443638"/>
      <w:bookmarkStart w:id="2140" w:name="_Toc38443968"/>
      <w:bookmarkStart w:id="2141" w:name="_Toc38438436"/>
      <w:bookmarkStart w:id="2142" w:name="_Toc38438773"/>
      <w:bookmarkStart w:id="2143" w:name="_Toc38439110"/>
      <w:bookmarkStart w:id="2144" w:name="_Toc38439447"/>
      <w:bookmarkStart w:id="2145" w:name="_Toc38439784"/>
      <w:bookmarkStart w:id="2146" w:name="_Toc38440121"/>
      <w:bookmarkStart w:id="2147" w:name="_Toc38440458"/>
      <w:bookmarkStart w:id="2148" w:name="_Toc38440990"/>
      <w:bookmarkStart w:id="2149" w:name="_Toc38441322"/>
      <w:bookmarkStart w:id="2150" w:name="_Toc38441654"/>
      <w:bookmarkStart w:id="2151" w:name="_Toc38441982"/>
      <w:bookmarkStart w:id="2152" w:name="_Toc38442314"/>
      <w:bookmarkStart w:id="2153" w:name="_Toc38442646"/>
      <w:bookmarkStart w:id="2154" w:name="_Toc38442977"/>
      <w:bookmarkStart w:id="2155" w:name="_Toc38443308"/>
      <w:bookmarkStart w:id="2156" w:name="_Toc38443639"/>
      <w:bookmarkStart w:id="2157" w:name="_Toc38443969"/>
      <w:bookmarkStart w:id="2158" w:name="_Toc38438437"/>
      <w:bookmarkStart w:id="2159" w:name="_Toc38438774"/>
      <w:bookmarkStart w:id="2160" w:name="_Toc38439111"/>
      <w:bookmarkStart w:id="2161" w:name="_Toc38439448"/>
      <w:bookmarkStart w:id="2162" w:name="_Toc38439785"/>
      <w:bookmarkStart w:id="2163" w:name="_Toc38440122"/>
      <w:bookmarkStart w:id="2164" w:name="_Toc38440459"/>
      <w:bookmarkStart w:id="2165" w:name="_Toc38440991"/>
      <w:bookmarkStart w:id="2166" w:name="_Toc38441323"/>
      <w:bookmarkStart w:id="2167" w:name="_Toc38441655"/>
      <w:bookmarkStart w:id="2168" w:name="_Toc38441983"/>
      <w:bookmarkStart w:id="2169" w:name="_Toc38442315"/>
      <w:bookmarkStart w:id="2170" w:name="_Toc38442647"/>
      <w:bookmarkStart w:id="2171" w:name="_Toc38442978"/>
      <w:bookmarkStart w:id="2172" w:name="_Toc38443309"/>
      <w:bookmarkStart w:id="2173" w:name="_Toc38443640"/>
      <w:bookmarkStart w:id="2174" w:name="_Toc38443970"/>
      <w:bookmarkStart w:id="2175" w:name="_Toc38438438"/>
      <w:bookmarkStart w:id="2176" w:name="_Toc38438775"/>
      <w:bookmarkStart w:id="2177" w:name="_Toc38442991"/>
      <w:bookmarkStart w:id="2178" w:name="_Toc38443322"/>
      <w:bookmarkStart w:id="2179" w:name="_Toc38443653"/>
      <w:bookmarkStart w:id="2180" w:name="_Toc38443983"/>
      <w:bookmarkStart w:id="2181" w:name="_Toc38438451"/>
      <w:bookmarkStart w:id="2182" w:name="_Toc38438788"/>
      <w:bookmarkStart w:id="2183" w:name="_Toc38439125"/>
      <w:bookmarkStart w:id="2184" w:name="_Toc38439462"/>
      <w:bookmarkStart w:id="2185" w:name="_Toc38439799"/>
      <w:bookmarkStart w:id="2186" w:name="_Toc38440136"/>
      <w:bookmarkStart w:id="2187" w:name="_Toc38440473"/>
      <w:bookmarkStart w:id="2188" w:name="_Toc38441005"/>
      <w:bookmarkStart w:id="2189" w:name="_Toc38441337"/>
      <w:bookmarkStart w:id="2190" w:name="_Toc38441669"/>
      <w:bookmarkStart w:id="2191" w:name="_Toc38441997"/>
      <w:bookmarkStart w:id="2192" w:name="_Toc38442329"/>
      <w:bookmarkStart w:id="2193" w:name="_Toc38442661"/>
      <w:bookmarkStart w:id="2194" w:name="_Toc38442992"/>
      <w:bookmarkStart w:id="2195" w:name="_Toc38443323"/>
      <w:bookmarkStart w:id="2196" w:name="_Toc38443654"/>
      <w:bookmarkStart w:id="2197" w:name="_Toc38443984"/>
      <w:bookmarkStart w:id="2198" w:name="_Toc38438452"/>
      <w:bookmarkStart w:id="2199" w:name="_Toc38438789"/>
      <w:bookmarkStart w:id="2200" w:name="_Toc38439126"/>
      <w:bookmarkStart w:id="2201" w:name="_Toc38439463"/>
      <w:bookmarkStart w:id="2202" w:name="_Toc38439800"/>
      <w:bookmarkStart w:id="2203" w:name="_Toc38440137"/>
      <w:bookmarkStart w:id="2204" w:name="_Toc38440474"/>
      <w:bookmarkStart w:id="2205" w:name="_Toc38441006"/>
      <w:bookmarkStart w:id="2206" w:name="_Toc38441338"/>
      <w:bookmarkStart w:id="2207" w:name="_Toc38441670"/>
      <w:bookmarkStart w:id="2208" w:name="_Toc38441998"/>
      <w:bookmarkStart w:id="2209" w:name="_Toc38442330"/>
      <w:bookmarkStart w:id="2210" w:name="_Toc38442662"/>
      <w:bookmarkStart w:id="2211" w:name="_Toc38442993"/>
      <w:bookmarkStart w:id="2212" w:name="_Toc38443324"/>
      <w:bookmarkStart w:id="2213" w:name="_Toc38443655"/>
      <w:bookmarkStart w:id="2214" w:name="_Toc38443985"/>
      <w:bookmarkStart w:id="2215" w:name="_Toc38438453"/>
      <w:bookmarkStart w:id="2216" w:name="_Toc38438790"/>
      <w:bookmarkStart w:id="2217" w:name="_Toc38439127"/>
      <w:bookmarkStart w:id="2218" w:name="_Toc38439464"/>
      <w:bookmarkStart w:id="2219" w:name="_Toc38439801"/>
      <w:bookmarkStart w:id="2220" w:name="_Toc38440138"/>
      <w:bookmarkStart w:id="2221" w:name="_Toc38440475"/>
      <w:bookmarkStart w:id="2222" w:name="_Toc38441007"/>
      <w:bookmarkStart w:id="2223" w:name="_Toc38441339"/>
      <w:bookmarkStart w:id="2224" w:name="_Toc38441671"/>
      <w:bookmarkStart w:id="2225" w:name="_Toc38441999"/>
      <w:bookmarkStart w:id="2226" w:name="_Toc38442331"/>
      <w:bookmarkStart w:id="2227" w:name="_Toc38442663"/>
      <w:bookmarkStart w:id="2228" w:name="_Toc38442994"/>
      <w:bookmarkStart w:id="2229" w:name="_Toc38443325"/>
      <w:bookmarkStart w:id="2230" w:name="_Toc38443656"/>
      <w:bookmarkStart w:id="2231" w:name="_Toc38443986"/>
      <w:bookmarkStart w:id="2232" w:name="_Toc38438454"/>
      <w:bookmarkStart w:id="2233" w:name="_Toc38438791"/>
      <w:bookmarkStart w:id="2234" w:name="_Toc38439128"/>
      <w:bookmarkStart w:id="2235" w:name="_Toc38439465"/>
      <w:bookmarkStart w:id="2236" w:name="_Toc38439802"/>
      <w:bookmarkStart w:id="2237" w:name="_Toc38440139"/>
      <w:bookmarkStart w:id="2238" w:name="_Toc38440476"/>
      <w:bookmarkStart w:id="2239" w:name="_Toc38441008"/>
      <w:bookmarkStart w:id="2240" w:name="_Toc38441340"/>
      <w:bookmarkStart w:id="2241" w:name="_Toc38441672"/>
      <w:bookmarkStart w:id="2242" w:name="_Toc38442000"/>
      <w:bookmarkStart w:id="2243" w:name="_Toc38442332"/>
      <w:bookmarkStart w:id="2244" w:name="_Toc38442664"/>
      <w:bookmarkStart w:id="2245" w:name="_Toc38442995"/>
      <w:bookmarkStart w:id="2246" w:name="_Toc38443326"/>
      <w:bookmarkStart w:id="2247" w:name="_Toc38443657"/>
      <w:bookmarkStart w:id="2248" w:name="_Toc38443987"/>
      <w:bookmarkStart w:id="2249" w:name="_Toc38438455"/>
      <w:bookmarkStart w:id="2250" w:name="_Toc38438792"/>
      <w:bookmarkStart w:id="2251" w:name="_Toc38439129"/>
      <w:bookmarkStart w:id="2252" w:name="_Toc38439466"/>
      <w:bookmarkStart w:id="2253" w:name="_Toc38439803"/>
      <w:bookmarkStart w:id="2254" w:name="_Toc38440140"/>
      <w:bookmarkStart w:id="2255" w:name="_Toc38440477"/>
      <w:bookmarkStart w:id="2256" w:name="_Toc38441009"/>
      <w:bookmarkStart w:id="2257" w:name="_Toc38441341"/>
      <w:bookmarkStart w:id="2258" w:name="_Toc38441673"/>
      <w:bookmarkStart w:id="2259" w:name="_Toc38442001"/>
      <w:bookmarkStart w:id="2260" w:name="_Toc38442333"/>
      <w:bookmarkStart w:id="2261" w:name="_Toc38442665"/>
      <w:bookmarkStart w:id="2262" w:name="_Toc38442996"/>
      <w:bookmarkStart w:id="2263" w:name="_Toc38443327"/>
      <w:bookmarkStart w:id="2264" w:name="_Toc38443658"/>
      <w:bookmarkStart w:id="2265" w:name="_Toc38443988"/>
      <w:bookmarkStart w:id="2266" w:name="_Toc38438456"/>
      <w:bookmarkStart w:id="2267" w:name="_Toc38438793"/>
      <w:bookmarkStart w:id="2268" w:name="_Toc38439130"/>
      <w:bookmarkStart w:id="2269" w:name="_Toc38439467"/>
      <w:bookmarkStart w:id="2270" w:name="_Toc38439804"/>
      <w:bookmarkStart w:id="2271" w:name="_Toc38440141"/>
      <w:bookmarkStart w:id="2272" w:name="_Toc38440478"/>
      <w:bookmarkStart w:id="2273" w:name="_Toc38441010"/>
      <w:bookmarkStart w:id="2274" w:name="_Toc38441342"/>
      <w:bookmarkStart w:id="2275" w:name="_Toc38441674"/>
      <w:bookmarkStart w:id="2276" w:name="_Toc38442002"/>
      <w:bookmarkStart w:id="2277" w:name="_Toc38442334"/>
      <w:bookmarkStart w:id="2278" w:name="_Toc38442666"/>
      <w:bookmarkStart w:id="2279" w:name="_Toc38442997"/>
      <w:bookmarkStart w:id="2280" w:name="_Toc38443328"/>
      <w:bookmarkStart w:id="2281" w:name="_Toc38443659"/>
      <w:bookmarkStart w:id="2282" w:name="_Toc38443989"/>
      <w:bookmarkStart w:id="2283" w:name="_Toc38438457"/>
      <w:bookmarkStart w:id="2284" w:name="_Toc38438794"/>
      <w:bookmarkStart w:id="2285" w:name="_Toc38439131"/>
      <w:bookmarkStart w:id="2286" w:name="_Toc38439468"/>
      <w:bookmarkStart w:id="2287" w:name="_Toc38439805"/>
      <w:bookmarkStart w:id="2288" w:name="_Toc38440142"/>
      <w:bookmarkStart w:id="2289" w:name="_Toc38440479"/>
      <w:bookmarkStart w:id="2290" w:name="_Toc38441011"/>
      <w:bookmarkStart w:id="2291" w:name="_Toc38441343"/>
      <w:bookmarkStart w:id="2292" w:name="_Toc38441675"/>
      <w:bookmarkStart w:id="2293" w:name="_Toc38442003"/>
      <w:bookmarkStart w:id="2294" w:name="_Toc38442335"/>
      <w:bookmarkStart w:id="2295" w:name="_Toc38442667"/>
      <w:bookmarkStart w:id="2296" w:name="_Toc38442998"/>
      <w:bookmarkStart w:id="2297" w:name="_Toc38443329"/>
      <w:bookmarkStart w:id="2298" w:name="_Toc38443660"/>
      <w:bookmarkStart w:id="2299" w:name="_Toc38443990"/>
      <w:bookmarkStart w:id="2300" w:name="_Toc38438458"/>
      <w:bookmarkStart w:id="2301" w:name="_Toc38438795"/>
      <w:bookmarkStart w:id="2302" w:name="_Toc38439132"/>
      <w:bookmarkStart w:id="2303" w:name="_Toc38439469"/>
      <w:bookmarkStart w:id="2304" w:name="_Toc38439806"/>
      <w:bookmarkStart w:id="2305" w:name="_Toc38440143"/>
      <w:bookmarkStart w:id="2306" w:name="_Toc38440480"/>
      <w:bookmarkStart w:id="2307" w:name="_Toc38441012"/>
      <w:bookmarkStart w:id="2308" w:name="_Toc38441344"/>
      <w:bookmarkStart w:id="2309" w:name="_Toc38441676"/>
      <w:bookmarkStart w:id="2310" w:name="_Toc38442004"/>
      <w:bookmarkStart w:id="2311" w:name="_Toc38442336"/>
      <w:bookmarkStart w:id="2312" w:name="_Toc38442668"/>
      <w:bookmarkStart w:id="2313" w:name="_Toc38442999"/>
      <w:bookmarkStart w:id="2314" w:name="_Toc38443330"/>
      <w:bookmarkStart w:id="2315" w:name="_Toc38443661"/>
      <w:bookmarkStart w:id="2316" w:name="_Toc38443991"/>
      <w:bookmarkStart w:id="2317" w:name="_Toc38439025"/>
      <w:bookmarkStart w:id="2318" w:name="_Toc38439362"/>
      <w:bookmarkStart w:id="2319" w:name="_Toc38439699"/>
      <w:bookmarkStart w:id="2320" w:name="_Toc38440036"/>
      <w:bookmarkStart w:id="2321" w:name="_Toc38440373"/>
      <w:bookmarkStart w:id="2322" w:name="_Toc38440905"/>
      <w:bookmarkStart w:id="2323" w:name="_Toc38441237"/>
      <w:bookmarkStart w:id="2324" w:name="_Toc38441569"/>
      <w:bookmarkStart w:id="2325" w:name="_Toc38441897"/>
      <w:bookmarkStart w:id="2326" w:name="_Toc38442229"/>
      <w:bookmarkStart w:id="2327" w:name="_Toc38442561"/>
      <w:bookmarkStart w:id="2328" w:name="_Toc38442892"/>
      <w:bookmarkStart w:id="2329" w:name="_Toc38443223"/>
      <w:bookmarkStart w:id="2330" w:name="_Toc38443554"/>
      <w:bookmarkStart w:id="2331" w:name="_Toc38443884"/>
      <w:bookmarkStart w:id="2332" w:name="_Toc38438352"/>
      <w:bookmarkStart w:id="2333" w:name="_Toc38438689"/>
      <w:bookmarkStart w:id="2334" w:name="_Toc38439026"/>
      <w:bookmarkStart w:id="2335" w:name="_Toc38439363"/>
      <w:bookmarkStart w:id="2336" w:name="_Toc38439700"/>
      <w:bookmarkStart w:id="2337" w:name="_Toc38440037"/>
      <w:bookmarkStart w:id="2338" w:name="_Toc38440374"/>
      <w:bookmarkStart w:id="2339" w:name="_Toc38440906"/>
      <w:bookmarkStart w:id="2340" w:name="_Toc38441238"/>
      <w:bookmarkStart w:id="2341" w:name="_Toc38441570"/>
      <w:bookmarkStart w:id="2342" w:name="_Toc38441898"/>
      <w:bookmarkStart w:id="2343" w:name="_Toc38442230"/>
      <w:bookmarkStart w:id="2344" w:name="_Toc38442562"/>
      <w:bookmarkStart w:id="2345" w:name="_Toc38442893"/>
      <w:bookmarkStart w:id="2346" w:name="_Toc38443224"/>
      <w:bookmarkStart w:id="2347" w:name="_Toc38443555"/>
      <w:bookmarkStart w:id="2348" w:name="_Toc38443885"/>
      <w:bookmarkStart w:id="2349" w:name="_Toc38438353"/>
      <w:bookmarkStart w:id="2350" w:name="_Toc38438690"/>
      <w:bookmarkStart w:id="2351" w:name="_Toc38439027"/>
      <w:bookmarkStart w:id="2352" w:name="_Toc38439364"/>
      <w:bookmarkStart w:id="2353" w:name="_Toc38439701"/>
      <w:bookmarkStart w:id="2354" w:name="_Toc38440038"/>
      <w:bookmarkStart w:id="2355" w:name="_Toc38440375"/>
      <w:bookmarkStart w:id="2356" w:name="_Toc38440907"/>
      <w:bookmarkStart w:id="2357" w:name="_Toc38441239"/>
      <w:bookmarkStart w:id="2358" w:name="_Toc38441571"/>
      <w:bookmarkStart w:id="2359" w:name="_Toc38441899"/>
      <w:bookmarkStart w:id="2360" w:name="_Toc38442231"/>
      <w:bookmarkStart w:id="2361" w:name="_Toc38442563"/>
      <w:bookmarkStart w:id="2362" w:name="_Toc38442894"/>
      <w:bookmarkStart w:id="2363" w:name="_Toc38443225"/>
      <w:bookmarkStart w:id="2364" w:name="_Toc38443556"/>
      <w:bookmarkStart w:id="2365" w:name="_Toc38443886"/>
      <w:bookmarkStart w:id="2366" w:name="_Toc38438354"/>
      <w:bookmarkStart w:id="2367" w:name="_Toc38438691"/>
      <w:bookmarkStart w:id="2368" w:name="_Toc38439028"/>
      <w:bookmarkStart w:id="2369" w:name="_Toc38439365"/>
      <w:bookmarkStart w:id="2370" w:name="_Toc38439702"/>
      <w:bookmarkStart w:id="2371" w:name="_Toc38440039"/>
      <w:bookmarkStart w:id="2372" w:name="_Toc38440376"/>
      <w:bookmarkStart w:id="2373" w:name="_Toc38440908"/>
      <w:bookmarkStart w:id="2374" w:name="_Toc38441240"/>
      <w:bookmarkStart w:id="2375" w:name="_Toc38441572"/>
      <w:bookmarkStart w:id="2376" w:name="_Toc38441900"/>
      <w:bookmarkStart w:id="2377" w:name="_Toc38442232"/>
      <w:bookmarkStart w:id="2378" w:name="_Toc38442564"/>
      <w:bookmarkStart w:id="2379" w:name="_Toc38442895"/>
      <w:bookmarkStart w:id="2380" w:name="_Toc38443226"/>
      <w:bookmarkStart w:id="2381" w:name="_Toc38443557"/>
      <w:bookmarkStart w:id="2382" w:name="_Toc38443887"/>
      <w:bookmarkStart w:id="2383" w:name="_Toc38438355"/>
      <w:bookmarkStart w:id="2384" w:name="_Toc38438692"/>
      <w:bookmarkStart w:id="2385" w:name="_Toc38439029"/>
      <w:bookmarkStart w:id="2386" w:name="_Toc38439366"/>
      <w:bookmarkStart w:id="2387" w:name="_Toc38439703"/>
      <w:bookmarkStart w:id="2388" w:name="_Toc38440040"/>
      <w:bookmarkStart w:id="2389" w:name="_Toc38440377"/>
      <w:bookmarkStart w:id="2390" w:name="_Toc38440909"/>
      <w:bookmarkStart w:id="2391" w:name="_Toc38441241"/>
      <w:bookmarkStart w:id="2392" w:name="_Toc38441573"/>
      <w:bookmarkStart w:id="2393" w:name="_Toc38441901"/>
      <w:bookmarkStart w:id="2394" w:name="_Toc38442233"/>
      <w:bookmarkStart w:id="2395" w:name="_Toc38442565"/>
      <w:bookmarkStart w:id="2396" w:name="_Toc38442896"/>
      <w:bookmarkStart w:id="2397" w:name="_Toc38443227"/>
      <w:bookmarkStart w:id="2398" w:name="_Toc38443558"/>
      <w:bookmarkStart w:id="2399" w:name="_Toc38443888"/>
      <w:bookmarkStart w:id="2400" w:name="_Toc38438356"/>
      <w:bookmarkStart w:id="2401" w:name="_Toc38438693"/>
      <w:bookmarkStart w:id="2402" w:name="_Toc38439030"/>
      <w:bookmarkStart w:id="2403" w:name="_Toc38439367"/>
      <w:bookmarkStart w:id="2404" w:name="_Toc38439704"/>
      <w:bookmarkStart w:id="2405" w:name="_Toc38440041"/>
      <w:bookmarkStart w:id="2406" w:name="_Toc38440378"/>
      <w:bookmarkStart w:id="2407" w:name="_Toc38440910"/>
      <w:bookmarkStart w:id="2408" w:name="_Toc38441242"/>
      <w:bookmarkStart w:id="2409" w:name="_Toc38441574"/>
      <w:bookmarkStart w:id="2410" w:name="_Toc38441902"/>
      <w:bookmarkStart w:id="2411" w:name="_Toc38442234"/>
      <w:bookmarkStart w:id="2412" w:name="_Toc38442566"/>
      <w:bookmarkStart w:id="2413" w:name="_Toc38442897"/>
      <w:bookmarkStart w:id="2414" w:name="_Toc38443228"/>
      <w:bookmarkStart w:id="2415" w:name="_Toc38443559"/>
      <w:bookmarkStart w:id="2416" w:name="_Toc38443889"/>
      <w:bookmarkStart w:id="2417" w:name="_Toc38438357"/>
      <w:bookmarkStart w:id="2418" w:name="_Toc38438694"/>
      <w:bookmarkStart w:id="2419" w:name="_Toc38439031"/>
      <w:bookmarkStart w:id="2420" w:name="_Toc38439368"/>
      <w:bookmarkStart w:id="2421" w:name="_Toc38439705"/>
      <w:bookmarkStart w:id="2422" w:name="_Toc38440042"/>
      <w:bookmarkStart w:id="2423" w:name="_Toc38440379"/>
      <w:bookmarkStart w:id="2424" w:name="_Toc38440911"/>
      <w:bookmarkStart w:id="2425" w:name="_Toc38441243"/>
      <w:bookmarkStart w:id="2426" w:name="_Toc38441575"/>
      <w:bookmarkStart w:id="2427" w:name="_Toc38441903"/>
      <w:bookmarkStart w:id="2428" w:name="_Toc38442235"/>
      <w:bookmarkStart w:id="2429" w:name="_Toc38442567"/>
      <w:bookmarkStart w:id="2430" w:name="_Toc38442898"/>
      <w:bookmarkStart w:id="2431" w:name="_Toc38443229"/>
      <w:bookmarkStart w:id="2432" w:name="_Toc38443560"/>
      <w:bookmarkStart w:id="2433" w:name="_Toc38443890"/>
      <w:bookmarkStart w:id="2434" w:name="_Toc38438358"/>
      <w:bookmarkStart w:id="2435" w:name="_Toc38438695"/>
      <w:bookmarkStart w:id="2436" w:name="_Toc38439032"/>
      <w:bookmarkStart w:id="2437" w:name="_Toc38439369"/>
      <w:bookmarkStart w:id="2438" w:name="_Toc38439706"/>
      <w:bookmarkStart w:id="2439" w:name="_Toc38440043"/>
      <w:bookmarkStart w:id="2440" w:name="_Toc38440380"/>
      <w:bookmarkStart w:id="2441" w:name="_Toc38440912"/>
      <w:bookmarkStart w:id="2442" w:name="_Toc38441244"/>
      <w:bookmarkStart w:id="2443" w:name="_Toc38441576"/>
      <w:bookmarkStart w:id="2444" w:name="_Toc38441904"/>
      <w:bookmarkStart w:id="2445" w:name="_Toc38442236"/>
      <w:bookmarkStart w:id="2446" w:name="_Toc38442568"/>
      <w:bookmarkStart w:id="2447" w:name="_Toc38442899"/>
      <w:bookmarkStart w:id="2448" w:name="_Toc38443230"/>
      <w:bookmarkStart w:id="2449" w:name="_Toc38443561"/>
      <w:bookmarkStart w:id="2450" w:name="_Toc38443891"/>
      <w:bookmarkStart w:id="2451" w:name="_Toc38438359"/>
      <w:bookmarkStart w:id="2452" w:name="_Toc38438696"/>
      <w:bookmarkStart w:id="2453" w:name="_Toc38439033"/>
      <w:bookmarkStart w:id="2454" w:name="_Toc38439370"/>
      <w:bookmarkStart w:id="2455" w:name="_Toc38439707"/>
      <w:bookmarkStart w:id="2456" w:name="_Toc38440044"/>
      <w:bookmarkStart w:id="2457" w:name="_Toc38440381"/>
      <w:bookmarkStart w:id="2458" w:name="_Toc38440913"/>
      <w:bookmarkStart w:id="2459" w:name="_Toc38441245"/>
      <w:bookmarkStart w:id="2460" w:name="_Toc38441577"/>
      <w:bookmarkStart w:id="2461" w:name="_Toc38441905"/>
      <w:bookmarkStart w:id="2462" w:name="_Toc38442237"/>
      <w:bookmarkStart w:id="2463" w:name="_Toc38442569"/>
      <w:bookmarkStart w:id="2464" w:name="_Toc38442900"/>
      <w:bookmarkStart w:id="2465" w:name="_Toc38443231"/>
      <w:bookmarkStart w:id="2466" w:name="_Toc38443562"/>
      <w:bookmarkStart w:id="2467" w:name="_Toc38443892"/>
      <w:bookmarkStart w:id="2468" w:name="_Toc38438360"/>
      <w:bookmarkStart w:id="2469" w:name="_Toc38438697"/>
      <w:bookmarkStart w:id="2470" w:name="_Toc38439034"/>
      <w:bookmarkStart w:id="2471" w:name="_Toc38439371"/>
      <w:bookmarkStart w:id="2472" w:name="_Toc38439708"/>
      <w:bookmarkStart w:id="2473" w:name="_Toc38440045"/>
      <w:bookmarkStart w:id="2474" w:name="_Toc38440382"/>
      <w:bookmarkStart w:id="2475" w:name="_Toc38440914"/>
      <w:bookmarkStart w:id="2476" w:name="_Toc38441246"/>
      <w:bookmarkStart w:id="2477" w:name="_Toc38441578"/>
      <w:bookmarkStart w:id="2478" w:name="_Toc38441906"/>
      <w:bookmarkStart w:id="2479" w:name="_Toc38442238"/>
      <w:bookmarkStart w:id="2480" w:name="_Toc38442570"/>
      <w:bookmarkStart w:id="2481" w:name="_Toc38442901"/>
      <w:bookmarkStart w:id="2482" w:name="_Toc38443232"/>
      <w:bookmarkStart w:id="2483" w:name="_Toc38443563"/>
      <w:bookmarkStart w:id="2484" w:name="_Toc38443893"/>
      <w:bookmarkStart w:id="2485" w:name="_Toc38438361"/>
      <w:bookmarkStart w:id="2486" w:name="_Toc38438698"/>
      <w:bookmarkStart w:id="2487" w:name="_Toc38439035"/>
      <w:bookmarkStart w:id="2488" w:name="_Toc38439372"/>
      <w:bookmarkStart w:id="2489" w:name="_Toc38439709"/>
      <w:bookmarkStart w:id="2490" w:name="_Toc38440046"/>
      <w:bookmarkStart w:id="2491" w:name="_Toc38440383"/>
      <w:bookmarkStart w:id="2492" w:name="_Toc38440915"/>
      <w:bookmarkStart w:id="2493" w:name="_Toc38441247"/>
      <w:bookmarkStart w:id="2494" w:name="_Toc38441579"/>
      <w:bookmarkStart w:id="2495" w:name="_Toc38441907"/>
      <w:bookmarkStart w:id="2496" w:name="_Toc38442239"/>
      <w:bookmarkStart w:id="2497" w:name="_Toc38442571"/>
      <w:bookmarkStart w:id="2498" w:name="_Toc38442902"/>
      <w:bookmarkStart w:id="2499" w:name="_Toc38443233"/>
      <w:bookmarkStart w:id="2500" w:name="_Toc38443564"/>
      <w:bookmarkStart w:id="2501" w:name="_Toc38443894"/>
      <w:bookmarkStart w:id="2502" w:name="_Toc38438362"/>
      <w:bookmarkStart w:id="2503" w:name="_Toc38438699"/>
      <w:bookmarkStart w:id="2504" w:name="_Toc38439036"/>
      <w:bookmarkStart w:id="2505" w:name="_Toc38439373"/>
      <w:bookmarkStart w:id="2506" w:name="_Toc38439710"/>
      <w:bookmarkStart w:id="2507" w:name="_Toc38440047"/>
      <w:bookmarkStart w:id="2508" w:name="_Toc38440384"/>
      <w:bookmarkStart w:id="2509" w:name="_Toc38440916"/>
      <w:bookmarkStart w:id="2510" w:name="_Toc38441248"/>
      <w:bookmarkStart w:id="2511" w:name="_Toc38441580"/>
      <w:bookmarkStart w:id="2512" w:name="_Toc38441908"/>
      <w:bookmarkStart w:id="2513" w:name="_Toc38442240"/>
      <w:bookmarkStart w:id="2514" w:name="_Toc38442572"/>
      <w:bookmarkStart w:id="2515" w:name="_Toc38442903"/>
      <w:bookmarkStart w:id="2516" w:name="_Toc38443234"/>
      <w:bookmarkStart w:id="2517" w:name="_Toc38443565"/>
      <w:bookmarkStart w:id="2518" w:name="_Toc38443895"/>
      <w:bookmarkStart w:id="2519" w:name="_Toc38438363"/>
      <w:bookmarkStart w:id="2520" w:name="_Toc38438700"/>
      <w:bookmarkStart w:id="2521" w:name="_Toc38439037"/>
      <w:bookmarkStart w:id="2522" w:name="_Toc38439374"/>
      <w:bookmarkStart w:id="2523" w:name="_Toc38439711"/>
      <w:bookmarkStart w:id="2524" w:name="_Toc38440048"/>
      <w:bookmarkStart w:id="2525" w:name="_Toc38440385"/>
      <w:bookmarkStart w:id="2526" w:name="_Toc38440917"/>
      <w:bookmarkStart w:id="2527" w:name="_Toc38441249"/>
      <w:bookmarkStart w:id="2528" w:name="_Toc38441581"/>
      <w:bookmarkStart w:id="2529" w:name="_Toc38441909"/>
      <w:bookmarkStart w:id="2530" w:name="_Toc38442241"/>
      <w:bookmarkStart w:id="2531" w:name="_Toc38442573"/>
      <w:bookmarkStart w:id="2532" w:name="_Toc38442904"/>
      <w:bookmarkStart w:id="2533" w:name="_Toc38443235"/>
      <w:bookmarkStart w:id="2534" w:name="_Toc38443566"/>
      <w:bookmarkStart w:id="2535" w:name="_Toc38443896"/>
      <w:bookmarkStart w:id="2536" w:name="_Toc38438364"/>
      <w:bookmarkStart w:id="2537" w:name="_Toc38438701"/>
      <w:bookmarkStart w:id="2538" w:name="_Toc38439038"/>
      <w:bookmarkStart w:id="2539" w:name="_Toc38439375"/>
      <w:bookmarkStart w:id="2540" w:name="_Toc38439712"/>
      <w:bookmarkStart w:id="2541" w:name="_Toc38440049"/>
      <w:bookmarkStart w:id="2542" w:name="_Toc38440386"/>
      <w:bookmarkStart w:id="2543" w:name="_Toc38440918"/>
      <w:bookmarkStart w:id="2544" w:name="_Toc38441250"/>
      <w:bookmarkStart w:id="2545" w:name="_Toc38441582"/>
      <w:bookmarkStart w:id="2546" w:name="_Toc38441910"/>
      <w:bookmarkStart w:id="2547" w:name="_Toc38442242"/>
      <w:bookmarkStart w:id="2548" w:name="_Toc38442574"/>
      <w:bookmarkStart w:id="2549" w:name="_Toc38442905"/>
      <w:bookmarkStart w:id="2550" w:name="_Toc38443236"/>
      <w:bookmarkStart w:id="2551" w:name="_Toc38443567"/>
      <w:bookmarkStart w:id="2552" w:name="_Toc38443897"/>
      <w:bookmarkStart w:id="2553" w:name="_Toc38438365"/>
      <w:bookmarkStart w:id="2554" w:name="_Toc38438702"/>
      <w:bookmarkStart w:id="2555" w:name="_Toc38439039"/>
      <w:bookmarkStart w:id="2556" w:name="_Toc38439376"/>
      <w:bookmarkStart w:id="2557" w:name="_Toc38439713"/>
      <w:bookmarkStart w:id="2558" w:name="_Toc38440050"/>
      <w:bookmarkStart w:id="2559" w:name="_Toc38440387"/>
      <w:bookmarkStart w:id="2560" w:name="_Toc38440919"/>
      <w:bookmarkStart w:id="2561" w:name="_Toc38441251"/>
      <w:bookmarkStart w:id="2562" w:name="_Toc38441583"/>
      <w:bookmarkStart w:id="2563" w:name="_Toc38441911"/>
      <w:bookmarkStart w:id="2564" w:name="_Toc38442243"/>
      <w:bookmarkStart w:id="2565" w:name="_Toc38442575"/>
      <w:bookmarkStart w:id="2566" w:name="_Toc38442906"/>
      <w:bookmarkStart w:id="2567" w:name="_Toc38443237"/>
      <w:bookmarkStart w:id="2568" w:name="_Toc38443568"/>
      <w:bookmarkStart w:id="2569" w:name="_Toc38443898"/>
      <w:bookmarkStart w:id="2570" w:name="_Toc38438366"/>
      <w:bookmarkStart w:id="2571" w:name="_Toc38438703"/>
      <w:bookmarkStart w:id="2572" w:name="_Toc38439040"/>
      <w:bookmarkStart w:id="2573" w:name="_Toc38439377"/>
      <w:bookmarkStart w:id="2574" w:name="_Toc38439714"/>
      <w:bookmarkStart w:id="2575" w:name="_Toc38440051"/>
      <w:bookmarkStart w:id="2576" w:name="_Toc38440388"/>
      <w:bookmarkStart w:id="2577" w:name="_Toc38440920"/>
      <w:bookmarkStart w:id="2578" w:name="_Toc38441252"/>
      <w:bookmarkStart w:id="2579" w:name="_Toc38441584"/>
      <w:bookmarkStart w:id="2580" w:name="_Toc38441912"/>
      <w:bookmarkStart w:id="2581" w:name="_Toc38442244"/>
      <w:bookmarkStart w:id="2582" w:name="_Toc38442576"/>
      <w:bookmarkStart w:id="2583" w:name="_Toc38442907"/>
      <w:bookmarkStart w:id="2584" w:name="_Toc38443238"/>
      <w:bookmarkStart w:id="2585" w:name="_Toc38443569"/>
      <w:bookmarkStart w:id="2586" w:name="_Toc38443899"/>
      <w:bookmarkStart w:id="2587" w:name="_Toc38438367"/>
      <w:bookmarkStart w:id="2588" w:name="_Toc38438704"/>
      <w:bookmarkStart w:id="2589" w:name="_Toc38439041"/>
      <w:bookmarkStart w:id="2590" w:name="_Toc38439378"/>
      <w:bookmarkStart w:id="2591" w:name="_Toc38439715"/>
      <w:bookmarkStart w:id="2592" w:name="_Toc38440052"/>
      <w:bookmarkStart w:id="2593" w:name="_Toc38440389"/>
      <w:bookmarkStart w:id="2594" w:name="_Toc38440921"/>
      <w:bookmarkStart w:id="2595" w:name="_Toc38441253"/>
      <w:bookmarkStart w:id="2596" w:name="_Toc38441585"/>
      <w:bookmarkStart w:id="2597" w:name="_Toc38441913"/>
      <w:bookmarkStart w:id="2598" w:name="_Toc38442245"/>
      <w:bookmarkStart w:id="2599" w:name="_Toc38442577"/>
      <w:bookmarkStart w:id="2600" w:name="_Toc38442908"/>
      <w:bookmarkStart w:id="2601" w:name="_Toc38443239"/>
      <w:bookmarkStart w:id="2602" w:name="_Toc38443570"/>
      <w:bookmarkStart w:id="2603" w:name="_Toc38443900"/>
      <w:bookmarkStart w:id="2604" w:name="_Toc38438368"/>
      <w:bookmarkStart w:id="2605" w:name="_Toc38438705"/>
      <w:bookmarkStart w:id="2606" w:name="_Toc38439042"/>
      <w:bookmarkStart w:id="2607" w:name="_Toc38439379"/>
      <w:bookmarkStart w:id="2608" w:name="_Toc38439716"/>
      <w:bookmarkStart w:id="2609" w:name="_Toc38440053"/>
      <w:bookmarkStart w:id="2610" w:name="_Toc38440390"/>
      <w:bookmarkStart w:id="2611" w:name="_Toc38440922"/>
      <w:bookmarkStart w:id="2612" w:name="_Toc38441254"/>
      <w:bookmarkStart w:id="2613" w:name="_Toc38441586"/>
      <w:bookmarkStart w:id="2614" w:name="_Toc38441914"/>
      <w:bookmarkStart w:id="2615" w:name="_Toc38442246"/>
      <w:bookmarkStart w:id="2616" w:name="_Toc38442578"/>
      <w:bookmarkStart w:id="2617" w:name="_Toc38442909"/>
      <w:bookmarkStart w:id="2618" w:name="_Toc38443240"/>
      <w:bookmarkStart w:id="2619" w:name="_Toc38443571"/>
      <w:bookmarkStart w:id="2620" w:name="_Toc38443901"/>
      <w:bookmarkStart w:id="2621" w:name="_Toc38438369"/>
      <w:bookmarkStart w:id="2622" w:name="_Toc38438706"/>
      <w:bookmarkStart w:id="2623" w:name="_Toc38439043"/>
      <w:bookmarkStart w:id="2624" w:name="_Toc38439380"/>
      <w:bookmarkStart w:id="2625" w:name="_Toc38439717"/>
      <w:bookmarkStart w:id="2626" w:name="_Toc38440054"/>
      <w:bookmarkStart w:id="2627" w:name="_Toc38440391"/>
      <w:bookmarkStart w:id="2628" w:name="_Toc38440923"/>
      <w:bookmarkStart w:id="2629" w:name="_Toc38441255"/>
      <w:bookmarkStart w:id="2630" w:name="_Toc38441587"/>
      <w:bookmarkStart w:id="2631" w:name="_Toc38441915"/>
      <w:bookmarkStart w:id="2632" w:name="_Toc38442247"/>
      <w:bookmarkStart w:id="2633" w:name="_Toc38442579"/>
      <w:bookmarkStart w:id="2634" w:name="_Toc38442910"/>
      <w:bookmarkStart w:id="2635" w:name="_Toc38443241"/>
      <w:bookmarkStart w:id="2636" w:name="_Toc38443572"/>
      <w:bookmarkStart w:id="2637" w:name="_Toc38443902"/>
      <w:bookmarkStart w:id="2638" w:name="_Toc38438371"/>
      <w:bookmarkStart w:id="2639" w:name="_Toc38438708"/>
      <w:bookmarkStart w:id="2640" w:name="_Toc38439045"/>
      <w:bookmarkStart w:id="2641" w:name="_Toc38439382"/>
      <w:bookmarkStart w:id="2642" w:name="_Toc38439719"/>
      <w:bookmarkStart w:id="2643" w:name="_Toc38440056"/>
      <w:bookmarkStart w:id="2644" w:name="_Toc38440393"/>
      <w:bookmarkStart w:id="2645" w:name="_Toc38440925"/>
      <w:bookmarkStart w:id="2646" w:name="_Toc38441257"/>
      <w:bookmarkStart w:id="2647" w:name="_Toc38441589"/>
      <w:bookmarkStart w:id="2648" w:name="_Toc38441917"/>
      <w:bookmarkStart w:id="2649" w:name="_Toc38442249"/>
      <w:bookmarkStart w:id="2650" w:name="_Toc38442581"/>
      <w:bookmarkStart w:id="2651" w:name="_Toc38442912"/>
      <w:bookmarkStart w:id="2652" w:name="_Toc38443243"/>
      <w:bookmarkStart w:id="2653" w:name="_Toc38443574"/>
      <w:bookmarkStart w:id="2654" w:name="_Toc38443904"/>
      <w:bookmarkStart w:id="2655" w:name="_Toc38438372"/>
      <w:bookmarkStart w:id="2656" w:name="_Toc38438709"/>
      <w:bookmarkStart w:id="2657" w:name="_Toc38439046"/>
      <w:bookmarkStart w:id="2658" w:name="_Toc38439383"/>
      <w:bookmarkStart w:id="2659" w:name="_Toc38439720"/>
      <w:bookmarkStart w:id="2660" w:name="_Toc38440057"/>
      <w:bookmarkStart w:id="2661" w:name="_Toc38440394"/>
      <w:bookmarkStart w:id="2662" w:name="_Toc38440926"/>
      <w:bookmarkStart w:id="2663" w:name="_Toc38441258"/>
      <w:bookmarkStart w:id="2664" w:name="_Toc38441590"/>
      <w:bookmarkStart w:id="2665" w:name="_Toc38441918"/>
      <w:bookmarkStart w:id="2666" w:name="_Toc38442250"/>
      <w:bookmarkStart w:id="2667" w:name="_Toc38442582"/>
      <w:bookmarkStart w:id="2668" w:name="_Toc38442913"/>
      <w:bookmarkStart w:id="2669" w:name="_Toc38443244"/>
      <w:bookmarkStart w:id="2670" w:name="_Toc38443575"/>
      <w:bookmarkStart w:id="2671" w:name="_Toc38443905"/>
      <w:bookmarkStart w:id="2672" w:name="_Toc38438373"/>
      <w:bookmarkStart w:id="2673" w:name="_Toc38438710"/>
      <w:bookmarkStart w:id="2674" w:name="_Toc38439047"/>
      <w:bookmarkStart w:id="2675" w:name="_Toc38439384"/>
      <w:bookmarkStart w:id="2676" w:name="_Toc38439721"/>
      <w:bookmarkStart w:id="2677" w:name="_Toc38440058"/>
      <w:bookmarkStart w:id="2678" w:name="_Toc38440395"/>
      <w:bookmarkStart w:id="2679" w:name="_Toc38440927"/>
      <w:bookmarkStart w:id="2680" w:name="_Toc38441259"/>
      <w:bookmarkStart w:id="2681" w:name="_Toc38441591"/>
      <w:bookmarkStart w:id="2682" w:name="_Toc38441919"/>
      <w:bookmarkStart w:id="2683" w:name="_Toc38442251"/>
      <w:bookmarkStart w:id="2684" w:name="_Toc38442583"/>
      <w:bookmarkStart w:id="2685" w:name="_Toc38442914"/>
      <w:bookmarkStart w:id="2686" w:name="_Toc38443245"/>
      <w:bookmarkStart w:id="2687" w:name="_Toc38443576"/>
      <w:bookmarkStart w:id="2688" w:name="_Toc38443906"/>
      <w:bookmarkStart w:id="2689" w:name="_Toc38438374"/>
      <w:bookmarkStart w:id="2690" w:name="_Toc38438711"/>
      <w:bookmarkStart w:id="2691" w:name="_Toc38439048"/>
      <w:bookmarkStart w:id="2692" w:name="_Toc38439385"/>
      <w:bookmarkStart w:id="2693" w:name="_Toc38439722"/>
      <w:bookmarkStart w:id="2694" w:name="_Toc38440059"/>
      <w:bookmarkStart w:id="2695" w:name="_Toc38440396"/>
      <w:bookmarkStart w:id="2696" w:name="_Toc38440928"/>
      <w:bookmarkStart w:id="2697" w:name="_Toc38441260"/>
      <w:bookmarkStart w:id="2698" w:name="_Toc38441592"/>
      <w:bookmarkStart w:id="2699" w:name="_Toc38441920"/>
      <w:bookmarkStart w:id="2700" w:name="_Toc38442252"/>
      <w:bookmarkStart w:id="2701" w:name="_Toc38442584"/>
      <w:bookmarkStart w:id="2702" w:name="_Toc38442915"/>
      <w:bookmarkStart w:id="2703" w:name="_Toc38443246"/>
      <w:bookmarkStart w:id="2704" w:name="_Toc38443577"/>
      <w:bookmarkStart w:id="2705" w:name="_Toc38443907"/>
      <w:bookmarkStart w:id="2706" w:name="_Toc38438375"/>
      <w:bookmarkStart w:id="2707" w:name="_Toc38438712"/>
      <w:bookmarkStart w:id="2708" w:name="_Toc38439049"/>
      <w:bookmarkStart w:id="2709" w:name="_Toc38439386"/>
      <w:bookmarkStart w:id="2710" w:name="_Toc38439723"/>
      <w:bookmarkStart w:id="2711" w:name="_Toc38440060"/>
      <w:bookmarkStart w:id="2712" w:name="_Toc38440397"/>
      <w:bookmarkStart w:id="2713" w:name="_Toc38440929"/>
      <w:bookmarkStart w:id="2714" w:name="_Toc38441261"/>
      <w:bookmarkStart w:id="2715" w:name="_Toc38441593"/>
      <w:bookmarkStart w:id="2716" w:name="_Toc38441921"/>
      <w:bookmarkStart w:id="2717" w:name="_Toc38442253"/>
      <w:bookmarkStart w:id="2718" w:name="_Toc38442585"/>
      <w:bookmarkStart w:id="2719" w:name="_Toc38442916"/>
      <w:bookmarkStart w:id="2720" w:name="_Toc38443247"/>
      <w:bookmarkStart w:id="2721" w:name="_Toc38443578"/>
      <w:bookmarkStart w:id="2722" w:name="_Toc38443908"/>
      <w:bookmarkStart w:id="2723" w:name="_Toc38438376"/>
      <w:bookmarkStart w:id="2724" w:name="_Toc38438713"/>
      <w:bookmarkStart w:id="2725" w:name="_Toc38439050"/>
      <w:bookmarkStart w:id="2726" w:name="_Toc38439387"/>
      <w:bookmarkStart w:id="2727" w:name="_Toc38439724"/>
      <w:bookmarkStart w:id="2728" w:name="_Toc38440061"/>
      <w:bookmarkStart w:id="2729" w:name="_Toc38440398"/>
      <w:bookmarkStart w:id="2730" w:name="_Toc38440930"/>
      <w:bookmarkStart w:id="2731" w:name="_Toc38441262"/>
      <w:bookmarkStart w:id="2732" w:name="_Toc38441594"/>
      <w:bookmarkStart w:id="2733" w:name="_Toc38441922"/>
      <w:bookmarkStart w:id="2734" w:name="_Toc38442254"/>
      <w:bookmarkStart w:id="2735" w:name="_Toc38442586"/>
      <w:bookmarkStart w:id="2736" w:name="_Toc38442917"/>
      <w:bookmarkStart w:id="2737" w:name="_Toc38443248"/>
      <w:bookmarkStart w:id="2738" w:name="_Toc38443579"/>
      <w:bookmarkStart w:id="2739" w:name="_Toc38443909"/>
      <w:bookmarkStart w:id="2740" w:name="_Toc38438377"/>
      <w:bookmarkStart w:id="2741" w:name="_Toc38438714"/>
      <w:bookmarkStart w:id="2742" w:name="_Toc38439051"/>
      <w:bookmarkStart w:id="2743" w:name="_Toc38439388"/>
      <w:bookmarkStart w:id="2744" w:name="_Toc38439725"/>
      <w:bookmarkStart w:id="2745" w:name="_Toc38440062"/>
      <w:bookmarkStart w:id="2746" w:name="_Toc38440399"/>
      <w:bookmarkStart w:id="2747" w:name="_Toc38440931"/>
      <w:bookmarkStart w:id="2748" w:name="_Toc38441263"/>
      <w:bookmarkStart w:id="2749" w:name="_Toc38441595"/>
      <w:bookmarkStart w:id="2750" w:name="_Toc38441923"/>
      <w:bookmarkStart w:id="2751" w:name="_Toc38442255"/>
      <w:bookmarkStart w:id="2752" w:name="_Toc38442587"/>
      <w:bookmarkStart w:id="2753" w:name="_Toc38442918"/>
      <w:bookmarkStart w:id="2754" w:name="_Toc38443249"/>
      <w:bookmarkStart w:id="2755" w:name="_Toc38443580"/>
      <w:bookmarkStart w:id="2756" w:name="_Toc38443910"/>
      <w:bookmarkStart w:id="2757" w:name="_Toc38438378"/>
      <w:bookmarkStart w:id="2758" w:name="_Toc38438715"/>
      <w:bookmarkStart w:id="2759" w:name="_Toc38439052"/>
      <w:bookmarkStart w:id="2760" w:name="_Toc38439389"/>
      <w:bookmarkStart w:id="2761" w:name="_Toc38439726"/>
      <w:bookmarkStart w:id="2762" w:name="_Toc38440063"/>
      <w:bookmarkStart w:id="2763" w:name="_Toc38440400"/>
      <w:bookmarkStart w:id="2764" w:name="_Toc38440932"/>
      <w:bookmarkStart w:id="2765" w:name="_Toc38441264"/>
      <w:bookmarkStart w:id="2766" w:name="_Toc38441596"/>
      <w:bookmarkStart w:id="2767" w:name="_Toc38441924"/>
      <w:bookmarkStart w:id="2768" w:name="_Toc38442256"/>
      <w:bookmarkStart w:id="2769" w:name="_Toc38442588"/>
      <w:bookmarkStart w:id="2770" w:name="_Toc38442919"/>
      <w:bookmarkStart w:id="2771" w:name="_Toc38443250"/>
      <w:bookmarkStart w:id="2772" w:name="_Toc38443581"/>
      <w:bookmarkStart w:id="2773" w:name="_Toc38443911"/>
      <w:bookmarkStart w:id="2774" w:name="_Toc38438379"/>
      <w:bookmarkStart w:id="2775" w:name="_Toc38438716"/>
      <w:bookmarkStart w:id="2776" w:name="_Toc38439053"/>
      <w:bookmarkStart w:id="2777" w:name="_Toc38439390"/>
      <w:bookmarkStart w:id="2778" w:name="_Toc38439727"/>
      <w:bookmarkStart w:id="2779" w:name="_Toc38440064"/>
      <w:bookmarkStart w:id="2780" w:name="_Toc38440401"/>
      <w:bookmarkStart w:id="2781" w:name="_Toc38440933"/>
      <w:bookmarkStart w:id="2782" w:name="_Toc38441265"/>
      <w:bookmarkStart w:id="2783" w:name="_Toc38441597"/>
      <w:bookmarkStart w:id="2784" w:name="_Toc38441925"/>
      <w:bookmarkStart w:id="2785" w:name="_Toc38442257"/>
      <w:bookmarkStart w:id="2786" w:name="_Toc38442589"/>
      <w:bookmarkStart w:id="2787" w:name="_Toc38442920"/>
      <w:bookmarkStart w:id="2788" w:name="_Toc38443251"/>
      <w:bookmarkStart w:id="2789" w:name="_Toc38443582"/>
      <w:bookmarkStart w:id="2790" w:name="_Toc38443912"/>
      <w:bookmarkStart w:id="2791" w:name="_Toc38438380"/>
      <w:bookmarkStart w:id="2792" w:name="_Toc38438717"/>
      <w:bookmarkStart w:id="2793" w:name="_Toc38439054"/>
      <w:bookmarkStart w:id="2794" w:name="_Toc38439391"/>
      <w:bookmarkStart w:id="2795" w:name="_Toc38439728"/>
      <w:bookmarkStart w:id="2796" w:name="_Toc38440065"/>
      <w:bookmarkStart w:id="2797" w:name="_Toc38440402"/>
      <w:bookmarkStart w:id="2798" w:name="_Toc38440934"/>
      <w:bookmarkStart w:id="2799" w:name="_Toc38441266"/>
      <w:bookmarkStart w:id="2800" w:name="_Toc38441598"/>
      <w:bookmarkStart w:id="2801" w:name="_Toc38441926"/>
      <w:bookmarkStart w:id="2802" w:name="_Toc38442258"/>
      <w:bookmarkStart w:id="2803" w:name="_Toc38442590"/>
      <w:bookmarkStart w:id="2804" w:name="_Toc38442921"/>
      <w:bookmarkStart w:id="2805" w:name="_Toc38443252"/>
      <w:bookmarkStart w:id="2806" w:name="_Toc38443583"/>
      <w:bookmarkStart w:id="2807" w:name="_Toc38443913"/>
      <w:bookmarkStart w:id="2808" w:name="_Toc38438381"/>
      <w:bookmarkStart w:id="2809" w:name="_Toc38438718"/>
      <w:bookmarkStart w:id="2810" w:name="_Toc38439055"/>
      <w:bookmarkStart w:id="2811" w:name="_Toc38439392"/>
      <w:bookmarkStart w:id="2812" w:name="_Toc38439729"/>
      <w:bookmarkStart w:id="2813" w:name="_Toc38440066"/>
      <w:bookmarkStart w:id="2814" w:name="_Toc38440403"/>
      <w:bookmarkStart w:id="2815" w:name="_Toc38440935"/>
      <w:bookmarkStart w:id="2816" w:name="_Toc38441267"/>
      <w:bookmarkStart w:id="2817" w:name="_Toc38441599"/>
      <w:bookmarkStart w:id="2818" w:name="_Toc38441927"/>
      <w:bookmarkStart w:id="2819" w:name="_Toc38442259"/>
      <w:bookmarkStart w:id="2820" w:name="_Toc38442591"/>
      <w:bookmarkStart w:id="2821" w:name="_Toc38442922"/>
      <w:bookmarkStart w:id="2822" w:name="_Toc38443253"/>
      <w:bookmarkStart w:id="2823" w:name="_Toc38443584"/>
      <w:bookmarkStart w:id="2824" w:name="_Toc38443914"/>
      <w:bookmarkStart w:id="2825" w:name="_Toc38438382"/>
      <w:bookmarkStart w:id="2826" w:name="_Toc38438719"/>
      <w:bookmarkStart w:id="2827" w:name="_Toc38439056"/>
      <w:bookmarkStart w:id="2828" w:name="_Toc38439393"/>
      <w:bookmarkStart w:id="2829" w:name="_Toc38439730"/>
      <w:bookmarkStart w:id="2830" w:name="_Toc38440067"/>
      <w:bookmarkStart w:id="2831" w:name="_Toc38440404"/>
      <w:bookmarkStart w:id="2832" w:name="_Toc38440936"/>
      <w:bookmarkStart w:id="2833" w:name="_Toc38441268"/>
      <w:bookmarkStart w:id="2834" w:name="_Toc38441600"/>
      <w:bookmarkStart w:id="2835" w:name="_Toc38441928"/>
      <w:bookmarkStart w:id="2836" w:name="_Toc38442260"/>
      <w:bookmarkStart w:id="2837" w:name="_Toc38442592"/>
      <w:bookmarkStart w:id="2838" w:name="_Toc38442923"/>
      <w:bookmarkStart w:id="2839" w:name="_Toc38443254"/>
      <w:bookmarkStart w:id="2840" w:name="_Toc38443585"/>
      <w:bookmarkStart w:id="2841" w:name="_Toc38443915"/>
      <w:bookmarkStart w:id="2842" w:name="_Toc38438383"/>
      <w:bookmarkStart w:id="2843" w:name="_Toc38438720"/>
      <w:bookmarkStart w:id="2844" w:name="_Toc38439057"/>
      <w:bookmarkStart w:id="2845" w:name="_Toc38439394"/>
      <w:bookmarkStart w:id="2846" w:name="_Toc38439731"/>
      <w:bookmarkStart w:id="2847" w:name="_Toc38440068"/>
      <w:bookmarkStart w:id="2848" w:name="_Toc38440405"/>
      <w:bookmarkStart w:id="2849" w:name="_Toc38440937"/>
      <w:bookmarkStart w:id="2850" w:name="_Toc38441269"/>
      <w:bookmarkStart w:id="2851" w:name="_Toc38441601"/>
      <w:bookmarkStart w:id="2852" w:name="_Toc38441929"/>
      <w:bookmarkStart w:id="2853" w:name="_Toc38442261"/>
      <w:bookmarkStart w:id="2854" w:name="_Toc38442593"/>
      <w:bookmarkStart w:id="2855" w:name="_Toc38442924"/>
      <w:bookmarkStart w:id="2856" w:name="_Toc38443255"/>
      <w:bookmarkStart w:id="2857" w:name="_Toc38443586"/>
      <w:bookmarkStart w:id="2858" w:name="_Toc38443916"/>
      <w:bookmarkStart w:id="2859" w:name="_Toc38438384"/>
      <w:bookmarkStart w:id="2860" w:name="_Toc38438721"/>
      <w:bookmarkStart w:id="2861" w:name="_Toc38439058"/>
      <w:bookmarkStart w:id="2862" w:name="_Toc38439395"/>
      <w:bookmarkStart w:id="2863" w:name="_Toc38439732"/>
      <w:bookmarkStart w:id="2864" w:name="_Toc38440069"/>
      <w:bookmarkStart w:id="2865" w:name="_Toc38440406"/>
      <w:bookmarkStart w:id="2866" w:name="_Toc38440938"/>
      <w:bookmarkStart w:id="2867" w:name="_Toc38441270"/>
      <w:bookmarkStart w:id="2868" w:name="_Toc38441602"/>
      <w:bookmarkStart w:id="2869" w:name="_Toc38441930"/>
      <w:bookmarkStart w:id="2870" w:name="_Toc38442262"/>
      <w:bookmarkStart w:id="2871" w:name="_Toc38442594"/>
      <w:bookmarkStart w:id="2872" w:name="_Toc38442925"/>
      <w:bookmarkStart w:id="2873" w:name="_Toc38443256"/>
      <w:bookmarkStart w:id="2874" w:name="_Toc38443587"/>
      <w:bookmarkStart w:id="2875" w:name="_Toc38443917"/>
      <w:bookmarkStart w:id="2876" w:name="_Toc38438385"/>
      <w:bookmarkStart w:id="2877" w:name="_Toc38438722"/>
      <w:bookmarkStart w:id="2878" w:name="_Toc38439059"/>
      <w:bookmarkStart w:id="2879" w:name="_Toc38439396"/>
      <w:bookmarkStart w:id="2880" w:name="_Toc38439733"/>
      <w:bookmarkStart w:id="2881" w:name="_Toc38440070"/>
      <w:bookmarkStart w:id="2882" w:name="_Toc38440407"/>
      <w:bookmarkStart w:id="2883" w:name="_Toc38440939"/>
      <w:bookmarkStart w:id="2884" w:name="_Toc38441271"/>
      <w:bookmarkStart w:id="2885" w:name="_Toc38441603"/>
      <w:bookmarkStart w:id="2886" w:name="_Toc38441931"/>
      <w:bookmarkStart w:id="2887" w:name="_Toc38442263"/>
      <w:bookmarkStart w:id="2888" w:name="_Toc38442595"/>
      <w:bookmarkStart w:id="2889" w:name="_Toc38442926"/>
      <w:bookmarkStart w:id="2890" w:name="_Toc38443257"/>
      <w:bookmarkStart w:id="2891" w:name="_Toc38443588"/>
      <w:bookmarkStart w:id="2892" w:name="_Toc38443918"/>
      <w:bookmarkStart w:id="2893" w:name="_Toc38438386"/>
      <w:bookmarkStart w:id="2894" w:name="_Toc38438723"/>
      <w:bookmarkStart w:id="2895" w:name="_Toc38439060"/>
      <w:bookmarkStart w:id="2896" w:name="_Toc38439397"/>
      <w:bookmarkStart w:id="2897" w:name="_Toc38439734"/>
      <w:bookmarkStart w:id="2898" w:name="_Toc38440071"/>
      <w:bookmarkStart w:id="2899" w:name="_Toc38440408"/>
      <w:bookmarkStart w:id="2900" w:name="_Toc38440940"/>
      <w:bookmarkStart w:id="2901" w:name="_Toc38441272"/>
      <w:bookmarkStart w:id="2902" w:name="_Toc38441604"/>
      <w:bookmarkStart w:id="2903" w:name="_Toc38441932"/>
      <w:bookmarkStart w:id="2904" w:name="_Toc38442264"/>
      <w:bookmarkStart w:id="2905" w:name="_Toc38442596"/>
      <w:bookmarkStart w:id="2906" w:name="_Toc38442927"/>
      <w:bookmarkStart w:id="2907" w:name="_Toc38443258"/>
      <w:bookmarkStart w:id="2908" w:name="_Toc38443589"/>
      <w:bookmarkStart w:id="2909" w:name="_Toc38443919"/>
      <w:bookmarkStart w:id="2910" w:name="_Toc38438387"/>
      <w:bookmarkStart w:id="2911" w:name="_Toc38438724"/>
      <w:bookmarkStart w:id="2912" w:name="_Toc38439061"/>
      <w:bookmarkStart w:id="2913" w:name="_Toc38439398"/>
      <w:bookmarkStart w:id="2914" w:name="_Toc38439735"/>
      <w:bookmarkStart w:id="2915" w:name="_Toc38440072"/>
      <w:bookmarkStart w:id="2916" w:name="_Toc38440409"/>
      <w:bookmarkStart w:id="2917" w:name="_Toc38440941"/>
      <w:bookmarkStart w:id="2918" w:name="_Toc38441273"/>
      <w:bookmarkStart w:id="2919" w:name="_Toc38441605"/>
      <w:bookmarkStart w:id="2920" w:name="_Toc38441933"/>
      <w:bookmarkStart w:id="2921" w:name="_Toc38442265"/>
      <w:bookmarkStart w:id="2922" w:name="_Toc38442597"/>
      <w:bookmarkStart w:id="2923" w:name="_Toc38442928"/>
      <w:bookmarkStart w:id="2924" w:name="_Toc38443259"/>
      <w:bookmarkStart w:id="2925" w:name="_Toc38443590"/>
      <w:bookmarkStart w:id="2926" w:name="_Toc38443920"/>
      <w:bookmarkStart w:id="2927" w:name="_Toc38438388"/>
      <w:bookmarkStart w:id="2928" w:name="_Toc38438725"/>
      <w:bookmarkStart w:id="2929" w:name="_Toc38439062"/>
      <w:bookmarkStart w:id="2930" w:name="_Toc38439399"/>
      <w:bookmarkStart w:id="2931" w:name="_Toc38439736"/>
      <w:bookmarkStart w:id="2932" w:name="_Toc38440073"/>
      <w:bookmarkStart w:id="2933" w:name="_Toc38440410"/>
      <w:bookmarkStart w:id="2934" w:name="_Toc38440942"/>
      <w:bookmarkStart w:id="2935" w:name="_Toc38441274"/>
      <w:bookmarkStart w:id="2936" w:name="_Toc38441606"/>
      <w:bookmarkStart w:id="2937" w:name="_Toc38441934"/>
      <w:bookmarkStart w:id="2938" w:name="_Toc38442266"/>
      <w:bookmarkStart w:id="2939" w:name="_Toc38442598"/>
      <w:bookmarkStart w:id="2940" w:name="_Toc38442929"/>
      <w:bookmarkStart w:id="2941" w:name="_Toc38443260"/>
      <w:bookmarkStart w:id="2942" w:name="_Toc38443591"/>
      <w:bookmarkStart w:id="2943" w:name="_Toc38443921"/>
      <w:bookmarkStart w:id="2944" w:name="_Toc38438389"/>
      <w:bookmarkStart w:id="2945" w:name="_Toc38438726"/>
      <w:bookmarkStart w:id="2946" w:name="_Toc38439063"/>
      <w:bookmarkStart w:id="2947" w:name="_Toc38439400"/>
      <w:bookmarkStart w:id="2948" w:name="_Toc38439737"/>
      <w:bookmarkStart w:id="2949" w:name="_Toc38440074"/>
      <w:bookmarkStart w:id="2950" w:name="_Toc38440411"/>
      <w:bookmarkStart w:id="2951" w:name="_Toc38440943"/>
      <w:bookmarkStart w:id="2952" w:name="_Toc38441275"/>
      <w:bookmarkStart w:id="2953" w:name="_Toc38441607"/>
      <w:bookmarkStart w:id="2954" w:name="_Toc38441935"/>
      <w:bookmarkStart w:id="2955" w:name="_Toc38442267"/>
      <w:bookmarkStart w:id="2956" w:name="_Toc38442599"/>
      <w:bookmarkStart w:id="2957" w:name="_Toc38442930"/>
      <w:bookmarkStart w:id="2958" w:name="_Toc38443261"/>
      <w:bookmarkStart w:id="2959" w:name="_Toc38443592"/>
      <w:bookmarkStart w:id="2960" w:name="_Toc38443922"/>
      <w:bookmarkStart w:id="2961" w:name="_Toc38438390"/>
      <w:bookmarkStart w:id="2962" w:name="_Toc38438727"/>
      <w:bookmarkStart w:id="2963" w:name="_Toc38439064"/>
      <w:bookmarkStart w:id="2964" w:name="_Toc38439401"/>
      <w:bookmarkStart w:id="2965" w:name="_Toc38439738"/>
      <w:bookmarkStart w:id="2966" w:name="_Toc38440075"/>
      <w:bookmarkStart w:id="2967" w:name="_Toc38440412"/>
      <w:bookmarkStart w:id="2968" w:name="_Toc38440944"/>
      <w:bookmarkStart w:id="2969" w:name="_Toc38441276"/>
      <w:bookmarkStart w:id="2970" w:name="_Toc38441608"/>
      <w:bookmarkStart w:id="2971" w:name="_Toc38441936"/>
      <w:bookmarkStart w:id="2972" w:name="_Toc38442268"/>
      <w:bookmarkStart w:id="2973" w:name="_Toc38442600"/>
      <w:bookmarkStart w:id="2974" w:name="_Toc38442931"/>
      <w:bookmarkStart w:id="2975" w:name="_Toc38443262"/>
      <w:bookmarkStart w:id="2976" w:name="_Toc38443593"/>
      <w:bookmarkStart w:id="2977" w:name="_Toc38443923"/>
      <w:bookmarkStart w:id="2978" w:name="_Toc38438391"/>
      <w:bookmarkStart w:id="2979" w:name="_Toc38438728"/>
      <w:bookmarkStart w:id="2980" w:name="_Toc38439065"/>
      <w:bookmarkStart w:id="2981" w:name="_Toc38439402"/>
      <w:bookmarkStart w:id="2982" w:name="_Toc38439739"/>
      <w:bookmarkStart w:id="2983" w:name="_Toc38440076"/>
      <w:bookmarkStart w:id="2984" w:name="_Toc38440413"/>
      <w:bookmarkStart w:id="2985" w:name="_Toc38440945"/>
      <w:bookmarkStart w:id="2986" w:name="_Toc38441277"/>
      <w:bookmarkStart w:id="2987" w:name="_Toc38441609"/>
      <w:bookmarkStart w:id="2988" w:name="_Toc38441937"/>
      <w:bookmarkStart w:id="2989" w:name="_Toc38442269"/>
      <w:bookmarkStart w:id="2990" w:name="_Toc38442601"/>
      <w:bookmarkStart w:id="2991" w:name="_Toc38442932"/>
      <w:bookmarkStart w:id="2992" w:name="_Toc38443263"/>
      <w:bookmarkStart w:id="2993" w:name="_Toc38443594"/>
      <w:bookmarkStart w:id="2994" w:name="_Toc38443924"/>
      <w:bookmarkStart w:id="2995" w:name="_Toc38438392"/>
      <w:bookmarkStart w:id="2996" w:name="_Toc38438729"/>
      <w:bookmarkStart w:id="2997" w:name="_Toc38439066"/>
      <w:bookmarkStart w:id="2998" w:name="_Toc38439403"/>
      <w:bookmarkStart w:id="2999" w:name="_Toc38439740"/>
      <w:bookmarkStart w:id="3000" w:name="_Toc38440077"/>
      <w:bookmarkStart w:id="3001" w:name="_Toc38440414"/>
      <w:bookmarkStart w:id="3002" w:name="_Toc38440946"/>
      <w:bookmarkStart w:id="3003" w:name="_Toc38441278"/>
      <w:bookmarkStart w:id="3004" w:name="_Toc38441610"/>
      <w:bookmarkStart w:id="3005" w:name="_Toc38441938"/>
      <w:bookmarkStart w:id="3006" w:name="_Toc38442270"/>
      <w:bookmarkStart w:id="3007" w:name="_Toc38442602"/>
      <w:bookmarkStart w:id="3008" w:name="_Toc38442933"/>
      <w:bookmarkStart w:id="3009" w:name="_Toc38443264"/>
      <w:bookmarkStart w:id="3010" w:name="_Toc38443595"/>
      <w:bookmarkStart w:id="3011" w:name="_Toc38443925"/>
      <w:bookmarkStart w:id="3012" w:name="_Toc38438393"/>
      <w:bookmarkStart w:id="3013" w:name="_Toc38438730"/>
      <w:bookmarkStart w:id="3014" w:name="_Toc38439067"/>
      <w:bookmarkStart w:id="3015" w:name="_Toc38439404"/>
      <w:bookmarkStart w:id="3016" w:name="_Toc38439741"/>
      <w:bookmarkStart w:id="3017" w:name="_Toc38440078"/>
      <w:bookmarkStart w:id="3018" w:name="_Toc38440415"/>
      <w:bookmarkStart w:id="3019" w:name="_Toc38440947"/>
      <w:bookmarkStart w:id="3020" w:name="_Toc38441279"/>
      <w:bookmarkStart w:id="3021" w:name="_Toc38441611"/>
      <w:bookmarkStart w:id="3022" w:name="_Toc38441939"/>
      <w:bookmarkStart w:id="3023" w:name="_Toc38442271"/>
      <w:bookmarkStart w:id="3024" w:name="_Toc38442603"/>
      <w:bookmarkStart w:id="3025" w:name="_Toc38442934"/>
      <w:bookmarkStart w:id="3026" w:name="_Toc38443265"/>
      <w:bookmarkStart w:id="3027" w:name="_Toc38443596"/>
      <w:bookmarkStart w:id="3028" w:name="_Toc38443926"/>
      <w:bookmarkStart w:id="3029" w:name="_Toc38438394"/>
      <w:bookmarkStart w:id="3030" w:name="_Toc38438731"/>
      <w:bookmarkStart w:id="3031" w:name="_Toc38439068"/>
      <w:bookmarkStart w:id="3032" w:name="_Toc38439405"/>
      <w:bookmarkStart w:id="3033" w:name="_Toc38439742"/>
      <w:bookmarkStart w:id="3034" w:name="_Toc38440079"/>
      <w:bookmarkStart w:id="3035" w:name="_Toc38440416"/>
      <w:bookmarkStart w:id="3036" w:name="_Toc38440948"/>
      <w:bookmarkStart w:id="3037" w:name="_Toc38441280"/>
      <w:bookmarkStart w:id="3038" w:name="_Toc38441612"/>
      <w:bookmarkStart w:id="3039" w:name="_Toc38441940"/>
      <w:bookmarkStart w:id="3040" w:name="_Toc38442272"/>
      <w:bookmarkStart w:id="3041" w:name="_Toc38442604"/>
      <w:bookmarkStart w:id="3042" w:name="_Toc38442935"/>
      <w:bookmarkStart w:id="3043" w:name="_Toc38443266"/>
      <w:bookmarkStart w:id="3044" w:name="_Toc38443597"/>
      <w:bookmarkStart w:id="3045" w:name="_Toc38443927"/>
      <w:bookmarkStart w:id="3046" w:name="_Toc38438395"/>
      <w:bookmarkStart w:id="3047" w:name="_Toc38438732"/>
      <w:bookmarkStart w:id="3048" w:name="_Toc38439069"/>
      <w:bookmarkStart w:id="3049" w:name="_Toc38439406"/>
      <w:bookmarkStart w:id="3050" w:name="_Toc38439743"/>
      <w:bookmarkStart w:id="3051" w:name="_Toc38440080"/>
      <w:bookmarkStart w:id="3052" w:name="_Toc38440417"/>
      <w:bookmarkStart w:id="3053" w:name="_Toc38440949"/>
      <w:bookmarkStart w:id="3054" w:name="_Toc38441281"/>
      <w:bookmarkStart w:id="3055" w:name="_Toc38441613"/>
      <w:bookmarkStart w:id="3056" w:name="_Toc38441941"/>
      <w:bookmarkStart w:id="3057" w:name="_Toc38442273"/>
      <w:bookmarkStart w:id="3058" w:name="_Toc38442605"/>
      <w:bookmarkStart w:id="3059" w:name="_Toc38442936"/>
      <w:bookmarkStart w:id="3060" w:name="_Toc38443267"/>
      <w:bookmarkStart w:id="3061" w:name="_Toc38443598"/>
      <w:bookmarkStart w:id="3062" w:name="_Toc38443928"/>
      <w:bookmarkStart w:id="3063" w:name="_Toc38438396"/>
      <w:bookmarkStart w:id="3064" w:name="_Toc38438733"/>
      <w:bookmarkStart w:id="3065" w:name="_Toc38439070"/>
      <w:bookmarkStart w:id="3066" w:name="_Toc38439407"/>
      <w:bookmarkStart w:id="3067" w:name="_Toc38439744"/>
      <w:bookmarkStart w:id="3068" w:name="_Toc38440081"/>
      <w:bookmarkStart w:id="3069" w:name="_Toc38440418"/>
      <w:bookmarkStart w:id="3070" w:name="_Toc38440950"/>
      <w:bookmarkStart w:id="3071" w:name="_Toc38441282"/>
      <w:bookmarkStart w:id="3072" w:name="_Toc38441614"/>
      <w:bookmarkStart w:id="3073" w:name="_Toc38441942"/>
      <w:bookmarkStart w:id="3074" w:name="_Toc38442274"/>
      <w:bookmarkStart w:id="3075" w:name="_Toc38442606"/>
      <w:bookmarkStart w:id="3076" w:name="_Toc38442937"/>
      <w:bookmarkStart w:id="3077" w:name="_Toc38443268"/>
      <w:bookmarkStart w:id="3078" w:name="_Toc38443599"/>
      <w:bookmarkStart w:id="3079" w:name="_Toc38443929"/>
      <w:bookmarkStart w:id="3080" w:name="_Toc38438397"/>
      <w:bookmarkStart w:id="3081" w:name="_Toc38438734"/>
      <w:bookmarkStart w:id="3082" w:name="_Toc38439071"/>
      <w:bookmarkStart w:id="3083" w:name="_Toc38439408"/>
      <w:bookmarkStart w:id="3084" w:name="_Toc38439745"/>
      <w:bookmarkStart w:id="3085" w:name="_Toc38440082"/>
      <w:bookmarkStart w:id="3086" w:name="_Toc38440419"/>
      <w:bookmarkStart w:id="3087" w:name="_Toc38440951"/>
      <w:bookmarkStart w:id="3088" w:name="_Toc38441283"/>
      <w:bookmarkStart w:id="3089" w:name="_Toc38441615"/>
      <w:bookmarkStart w:id="3090" w:name="_Toc38441943"/>
      <w:bookmarkStart w:id="3091" w:name="_Toc38442275"/>
      <w:bookmarkStart w:id="3092" w:name="_Toc38442607"/>
      <w:bookmarkStart w:id="3093" w:name="_Toc38442938"/>
      <w:bookmarkStart w:id="3094" w:name="_Toc38443269"/>
      <w:bookmarkStart w:id="3095" w:name="_Toc38443600"/>
      <w:bookmarkStart w:id="3096" w:name="_Toc38443930"/>
      <w:bookmarkStart w:id="3097" w:name="_Toc38438398"/>
      <w:bookmarkStart w:id="3098" w:name="_Toc38438735"/>
      <w:bookmarkStart w:id="3099" w:name="_Toc38439072"/>
      <w:bookmarkStart w:id="3100" w:name="_Toc38439409"/>
      <w:bookmarkStart w:id="3101" w:name="_Toc38439746"/>
      <w:bookmarkStart w:id="3102" w:name="_Toc38440083"/>
      <w:bookmarkStart w:id="3103" w:name="_Toc38440420"/>
      <w:bookmarkStart w:id="3104" w:name="_Toc38440952"/>
      <w:bookmarkStart w:id="3105" w:name="_Toc38441284"/>
      <w:bookmarkStart w:id="3106" w:name="_Toc38441616"/>
      <w:bookmarkStart w:id="3107" w:name="_Toc38441944"/>
      <w:bookmarkStart w:id="3108" w:name="_Toc38442276"/>
      <w:bookmarkStart w:id="3109" w:name="_Toc38442608"/>
      <w:bookmarkStart w:id="3110" w:name="_Toc38442939"/>
      <w:bookmarkStart w:id="3111" w:name="_Toc38443270"/>
      <w:bookmarkStart w:id="3112" w:name="_Toc38443601"/>
      <w:bookmarkStart w:id="3113" w:name="_Toc38443931"/>
      <w:bookmarkStart w:id="3114" w:name="_Toc38438400"/>
      <w:bookmarkStart w:id="3115" w:name="_Toc38438737"/>
      <w:bookmarkStart w:id="3116" w:name="_Toc38439074"/>
      <w:bookmarkStart w:id="3117" w:name="_Toc38439411"/>
      <w:bookmarkStart w:id="3118" w:name="_Toc38439748"/>
      <w:bookmarkStart w:id="3119" w:name="_Toc38440085"/>
      <w:bookmarkStart w:id="3120" w:name="_Toc38440422"/>
      <w:bookmarkStart w:id="3121" w:name="_Toc38440954"/>
      <w:bookmarkStart w:id="3122" w:name="_Toc38441286"/>
      <w:bookmarkStart w:id="3123" w:name="_Toc38441618"/>
      <w:bookmarkStart w:id="3124" w:name="_Toc38441946"/>
      <w:bookmarkStart w:id="3125" w:name="_Toc38442278"/>
      <w:bookmarkStart w:id="3126" w:name="_Toc38442610"/>
      <w:bookmarkStart w:id="3127" w:name="_Toc38442941"/>
      <w:bookmarkStart w:id="3128" w:name="_Toc38443272"/>
      <w:bookmarkStart w:id="3129" w:name="_Toc38443603"/>
      <w:bookmarkStart w:id="3130" w:name="_Toc38443933"/>
      <w:bookmarkStart w:id="3131" w:name="_Toc38438401"/>
      <w:bookmarkStart w:id="3132" w:name="_Toc38438738"/>
      <w:bookmarkStart w:id="3133" w:name="_Toc38439075"/>
      <w:bookmarkStart w:id="3134" w:name="_Toc38439412"/>
      <w:bookmarkStart w:id="3135" w:name="_Toc38439749"/>
      <w:bookmarkStart w:id="3136" w:name="_Toc38440086"/>
      <w:bookmarkStart w:id="3137" w:name="_Toc38440423"/>
      <w:bookmarkStart w:id="3138" w:name="_Toc38440955"/>
      <w:bookmarkStart w:id="3139" w:name="_Toc38441287"/>
      <w:bookmarkStart w:id="3140" w:name="_Toc38441619"/>
      <w:bookmarkStart w:id="3141" w:name="_Toc38441947"/>
      <w:bookmarkStart w:id="3142" w:name="_Toc38442279"/>
      <w:bookmarkStart w:id="3143" w:name="_Toc38442611"/>
      <w:bookmarkStart w:id="3144" w:name="_Toc38442942"/>
      <w:bookmarkStart w:id="3145" w:name="_Toc38443273"/>
      <w:bookmarkStart w:id="3146" w:name="_Toc38443604"/>
      <w:bookmarkStart w:id="3147" w:name="_Toc38443934"/>
      <w:bookmarkStart w:id="3148" w:name="_Toc38438402"/>
      <w:bookmarkStart w:id="3149" w:name="_Toc38438739"/>
      <w:bookmarkStart w:id="3150" w:name="_Toc38439076"/>
      <w:bookmarkStart w:id="3151" w:name="_Toc38439413"/>
      <w:bookmarkStart w:id="3152" w:name="_Toc38439750"/>
      <w:bookmarkStart w:id="3153" w:name="_Toc38440087"/>
      <w:bookmarkStart w:id="3154" w:name="_Toc38440424"/>
      <w:bookmarkStart w:id="3155" w:name="_Toc38440956"/>
      <w:bookmarkStart w:id="3156" w:name="_Toc38441288"/>
      <w:bookmarkStart w:id="3157" w:name="_Toc38441620"/>
      <w:bookmarkStart w:id="3158" w:name="_Toc38441948"/>
      <w:bookmarkStart w:id="3159" w:name="_Toc38442280"/>
      <w:bookmarkStart w:id="3160" w:name="_Toc38442612"/>
      <w:bookmarkStart w:id="3161" w:name="_Toc38442943"/>
      <w:bookmarkStart w:id="3162" w:name="_Toc38443274"/>
      <w:bookmarkStart w:id="3163" w:name="_Toc38443605"/>
      <w:bookmarkStart w:id="3164" w:name="_Toc38443935"/>
      <w:bookmarkStart w:id="3165" w:name="_Toc38438404"/>
      <w:bookmarkStart w:id="3166" w:name="_Toc38438741"/>
      <w:bookmarkStart w:id="3167" w:name="_Toc38439078"/>
      <w:bookmarkStart w:id="3168" w:name="_Toc38439415"/>
      <w:bookmarkStart w:id="3169" w:name="_Toc38439752"/>
      <w:bookmarkStart w:id="3170" w:name="_Toc38440089"/>
      <w:bookmarkStart w:id="3171" w:name="_Toc38440426"/>
      <w:bookmarkStart w:id="3172" w:name="_Toc38440958"/>
      <w:bookmarkStart w:id="3173" w:name="_Toc38441290"/>
      <w:bookmarkStart w:id="3174" w:name="_Toc38441622"/>
      <w:bookmarkStart w:id="3175" w:name="_Toc38441950"/>
      <w:bookmarkStart w:id="3176" w:name="_Toc38442282"/>
      <w:bookmarkStart w:id="3177" w:name="_Toc38442614"/>
      <w:bookmarkStart w:id="3178" w:name="_Toc38442945"/>
      <w:bookmarkStart w:id="3179" w:name="_Toc38443276"/>
      <w:bookmarkStart w:id="3180" w:name="_Toc38443607"/>
      <w:bookmarkStart w:id="3181" w:name="_Toc38443937"/>
      <w:bookmarkStart w:id="3182" w:name="_Toc38438405"/>
      <w:bookmarkStart w:id="3183" w:name="_Toc38438742"/>
      <w:bookmarkStart w:id="3184" w:name="_Toc38439079"/>
      <w:bookmarkStart w:id="3185" w:name="_Toc38439416"/>
      <w:bookmarkStart w:id="3186" w:name="_Toc38439753"/>
      <w:bookmarkStart w:id="3187" w:name="_Toc38440090"/>
      <w:bookmarkStart w:id="3188" w:name="_Toc38440427"/>
      <w:bookmarkStart w:id="3189" w:name="_Toc38440959"/>
      <w:bookmarkStart w:id="3190" w:name="_Toc38441291"/>
      <w:bookmarkStart w:id="3191" w:name="_Toc38441623"/>
      <w:bookmarkStart w:id="3192" w:name="_Toc38441951"/>
      <w:bookmarkStart w:id="3193" w:name="_Toc38442283"/>
      <w:bookmarkStart w:id="3194" w:name="_Toc38442615"/>
      <w:bookmarkStart w:id="3195" w:name="_Toc38442946"/>
      <w:bookmarkStart w:id="3196" w:name="_Toc38443277"/>
      <w:bookmarkStart w:id="3197" w:name="_Toc38443608"/>
      <w:bookmarkStart w:id="3198" w:name="_Toc38443938"/>
      <w:bookmarkStart w:id="3199" w:name="_Toc38438406"/>
      <w:bookmarkStart w:id="3200" w:name="_Toc38438743"/>
      <w:bookmarkStart w:id="3201" w:name="_Toc38439080"/>
      <w:bookmarkStart w:id="3202" w:name="_Toc38439417"/>
      <w:bookmarkStart w:id="3203" w:name="_Toc38439754"/>
      <w:bookmarkStart w:id="3204" w:name="_Toc38440091"/>
      <w:bookmarkStart w:id="3205" w:name="_Toc38440428"/>
      <w:bookmarkStart w:id="3206" w:name="_Toc38440960"/>
      <w:bookmarkStart w:id="3207" w:name="_Toc38441292"/>
      <w:bookmarkStart w:id="3208" w:name="_Toc38441624"/>
      <w:bookmarkStart w:id="3209" w:name="_Toc38441952"/>
      <w:bookmarkStart w:id="3210" w:name="_Toc38442284"/>
      <w:bookmarkStart w:id="3211" w:name="_Toc38442616"/>
      <w:bookmarkStart w:id="3212" w:name="_Toc38442947"/>
      <w:bookmarkStart w:id="3213" w:name="_Toc38443278"/>
      <w:bookmarkStart w:id="3214" w:name="_Toc38443609"/>
      <w:bookmarkStart w:id="3215" w:name="_Toc38443939"/>
      <w:bookmarkStart w:id="3216" w:name="_Toc38438407"/>
      <w:bookmarkStart w:id="3217" w:name="_Toc38438744"/>
      <w:bookmarkStart w:id="3218" w:name="_Toc38439081"/>
      <w:bookmarkStart w:id="3219" w:name="_Toc38439418"/>
      <w:bookmarkStart w:id="3220" w:name="_Toc38439755"/>
      <w:bookmarkStart w:id="3221" w:name="_Toc38440092"/>
      <w:bookmarkStart w:id="3222" w:name="_Toc38440429"/>
      <w:bookmarkStart w:id="3223" w:name="_Toc38440961"/>
      <w:bookmarkStart w:id="3224" w:name="_Toc38441293"/>
      <w:bookmarkStart w:id="3225" w:name="_Toc38441625"/>
      <w:bookmarkStart w:id="3226" w:name="_Toc38441953"/>
      <w:bookmarkStart w:id="3227" w:name="_Toc38442285"/>
      <w:bookmarkStart w:id="3228" w:name="_Toc38442617"/>
      <w:bookmarkStart w:id="3229" w:name="_Toc38442948"/>
      <w:bookmarkStart w:id="3230" w:name="_Toc38443279"/>
      <w:bookmarkStart w:id="3231" w:name="_Toc38443610"/>
      <w:bookmarkStart w:id="3232" w:name="_Toc38443940"/>
      <w:bookmarkStart w:id="3233" w:name="_Toc38438408"/>
      <w:bookmarkStart w:id="3234" w:name="_Toc38438745"/>
      <w:bookmarkStart w:id="3235" w:name="_Toc38439082"/>
      <w:bookmarkStart w:id="3236" w:name="_Toc38439419"/>
      <w:bookmarkStart w:id="3237" w:name="_Toc38439756"/>
      <w:bookmarkStart w:id="3238" w:name="_Toc38440093"/>
      <w:bookmarkStart w:id="3239" w:name="_Toc38440430"/>
      <w:bookmarkStart w:id="3240" w:name="_Toc38440962"/>
      <w:bookmarkStart w:id="3241" w:name="_Toc38441294"/>
      <w:bookmarkStart w:id="3242" w:name="_Toc38441626"/>
      <w:bookmarkStart w:id="3243" w:name="_Toc38441954"/>
      <w:bookmarkStart w:id="3244" w:name="_Toc38442286"/>
      <w:bookmarkStart w:id="3245" w:name="_Toc38442618"/>
      <w:bookmarkStart w:id="3246" w:name="_Toc38442949"/>
      <w:bookmarkStart w:id="3247" w:name="_Toc38443280"/>
      <w:bookmarkStart w:id="3248" w:name="_Toc38443611"/>
      <w:bookmarkStart w:id="3249" w:name="_Toc38443941"/>
      <w:bookmarkStart w:id="3250" w:name="_Toc38438409"/>
      <w:bookmarkStart w:id="3251" w:name="_Toc38438746"/>
      <w:bookmarkStart w:id="3252" w:name="_Toc38439083"/>
      <w:bookmarkStart w:id="3253" w:name="_Toc38439420"/>
      <w:bookmarkStart w:id="3254" w:name="_Toc38439757"/>
      <w:bookmarkStart w:id="3255" w:name="_Toc38440094"/>
      <w:bookmarkStart w:id="3256" w:name="_Toc38440431"/>
      <w:bookmarkStart w:id="3257" w:name="_Toc38440963"/>
      <w:bookmarkStart w:id="3258" w:name="_Toc38441295"/>
      <w:bookmarkStart w:id="3259" w:name="_Toc38441627"/>
      <w:bookmarkStart w:id="3260" w:name="_Toc38441955"/>
      <w:bookmarkStart w:id="3261" w:name="_Toc38442287"/>
      <w:bookmarkStart w:id="3262" w:name="_Toc38442619"/>
      <w:bookmarkStart w:id="3263" w:name="_Toc38442950"/>
      <w:bookmarkStart w:id="3264" w:name="_Toc38443281"/>
      <w:bookmarkStart w:id="3265" w:name="_Toc38443612"/>
      <w:bookmarkStart w:id="3266" w:name="_Toc38443942"/>
      <w:bookmarkStart w:id="3267" w:name="_Toc38438410"/>
      <w:bookmarkStart w:id="3268" w:name="_Toc38438747"/>
      <w:bookmarkStart w:id="3269" w:name="_Toc38439084"/>
      <w:bookmarkStart w:id="3270" w:name="_Toc38439421"/>
      <w:bookmarkStart w:id="3271" w:name="_Toc38439758"/>
      <w:bookmarkStart w:id="3272" w:name="_Toc38440095"/>
      <w:bookmarkStart w:id="3273" w:name="_Toc38440432"/>
      <w:bookmarkStart w:id="3274" w:name="_Toc38440964"/>
      <w:bookmarkStart w:id="3275" w:name="_Toc38441296"/>
      <w:bookmarkStart w:id="3276" w:name="_Toc38441628"/>
      <w:bookmarkStart w:id="3277" w:name="_Toc38441956"/>
      <w:bookmarkStart w:id="3278" w:name="_Toc38442288"/>
      <w:bookmarkStart w:id="3279" w:name="_Toc38442620"/>
      <w:bookmarkStart w:id="3280" w:name="_Toc38442951"/>
      <w:bookmarkStart w:id="3281" w:name="_Toc38443282"/>
      <w:bookmarkStart w:id="3282" w:name="_Toc38443613"/>
      <w:bookmarkStart w:id="3283" w:name="_Toc38443943"/>
      <w:bookmarkStart w:id="3284" w:name="_Toc38438411"/>
      <w:bookmarkStart w:id="3285" w:name="_Toc38438748"/>
      <w:bookmarkStart w:id="3286" w:name="_Toc38439085"/>
      <w:bookmarkStart w:id="3287" w:name="_Toc38439422"/>
      <w:bookmarkStart w:id="3288" w:name="_Toc38439759"/>
      <w:bookmarkStart w:id="3289" w:name="_Toc38440096"/>
      <w:bookmarkStart w:id="3290" w:name="_Toc38440433"/>
      <w:bookmarkStart w:id="3291" w:name="_Toc38440965"/>
      <w:bookmarkStart w:id="3292" w:name="_Toc38441297"/>
      <w:bookmarkStart w:id="3293" w:name="_Toc38441629"/>
      <w:bookmarkStart w:id="3294" w:name="_Toc38441957"/>
      <w:bookmarkStart w:id="3295" w:name="_Toc38442289"/>
      <w:bookmarkStart w:id="3296" w:name="_Toc38442621"/>
      <w:bookmarkStart w:id="3297" w:name="_Toc38442952"/>
      <w:bookmarkStart w:id="3298" w:name="_Toc38443283"/>
      <w:bookmarkStart w:id="3299" w:name="_Toc38443614"/>
      <w:bookmarkStart w:id="3300" w:name="_Toc38443944"/>
      <w:bookmarkStart w:id="3301" w:name="_Toc38438412"/>
      <w:bookmarkStart w:id="3302" w:name="_Toc38438749"/>
      <w:bookmarkStart w:id="3303" w:name="_Toc38439086"/>
      <w:bookmarkStart w:id="3304" w:name="_Toc38439423"/>
      <w:bookmarkStart w:id="3305" w:name="_Toc38439760"/>
      <w:bookmarkStart w:id="3306" w:name="_Toc38440097"/>
      <w:bookmarkStart w:id="3307" w:name="_Toc38440434"/>
      <w:bookmarkStart w:id="3308" w:name="_Toc38440966"/>
      <w:bookmarkStart w:id="3309" w:name="_Toc38441298"/>
      <w:bookmarkStart w:id="3310" w:name="_Toc38441630"/>
      <w:bookmarkStart w:id="3311" w:name="_Toc38441958"/>
      <w:bookmarkStart w:id="3312" w:name="_Toc38442290"/>
      <w:bookmarkStart w:id="3313" w:name="_Toc38442622"/>
      <w:bookmarkStart w:id="3314" w:name="_Toc38442953"/>
      <w:bookmarkStart w:id="3315" w:name="_Toc38443284"/>
      <w:bookmarkStart w:id="3316" w:name="_Toc38443615"/>
      <w:bookmarkStart w:id="3317" w:name="_Toc38443945"/>
      <w:bookmarkStart w:id="3318" w:name="_Toc38438413"/>
      <w:bookmarkStart w:id="3319" w:name="_Toc38438750"/>
      <w:bookmarkStart w:id="3320" w:name="_Toc38439087"/>
      <w:bookmarkStart w:id="3321" w:name="_Toc38439424"/>
      <w:bookmarkStart w:id="3322" w:name="_Toc38439761"/>
      <w:bookmarkStart w:id="3323" w:name="_Toc38440098"/>
      <w:bookmarkStart w:id="3324" w:name="_Toc38440435"/>
      <w:bookmarkStart w:id="3325" w:name="_Toc38440967"/>
      <w:bookmarkStart w:id="3326" w:name="_Toc38441299"/>
      <w:bookmarkStart w:id="3327" w:name="_Toc38441631"/>
      <w:bookmarkStart w:id="3328" w:name="_Toc38441959"/>
      <w:bookmarkStart w:id="3329" w:name="_Toc38442291"/>
      <w:bookmarkStart w:id="3330" w:name="_Toc38442623"/>
      <w:bookmarkStart w:id="3331" w:name="_Toc38442954"/>
      <w:bookmarkStart w:id="3332" w:name="_Toc38443285"/>
      <w:bookmarkStart w:id="3333" w:name="_Toc38443616"/>
      <w:bookmarkStart w:id="3334" w:name="_Toc38443946"/>
      <w:bookmarkStart w:id="3335" w:name="_Toc38438414"/>
      <w:bookmarkStart w:id="3336" w:name="_Toc38438751"/>
      <w:bookmarkStart w:id="3337" w:name="_Toc38439088"/>
      <w:bookmarkStart w:id="3338" w:name="_Toc38439425"/>
      <w:bookmarkStart w:id="3339" w:name="_Toc38439762"/>
      <w:bookmarkStart w:id="3340" w:name="_Toc38440099"/>
      <w:bookmarkStart w:id="3341" w:name="_Toc38440436"/>
      <w:bookmarkStart w:id="3342" w:name="_Toc38440968"/>
      <w:bookmarkStart w:id="3343" w:name="_Toc38441300"/>
      <w:bookmarkStart w:id="3344" w:name="_Toc38441632"/>
      <w:bookmarkStart w:id="3345" w:name="_Toc38441960"/>
      <w:bookmarkStart w:id="3346" w:name="_Toc38442292"/>
      <w:bookmarkStart w:id="3347" w:name="_Toc38442624"/>
      <w:bookmarkStart w:id="3348" w:name="_Toc38442955"/>
      <w:bookmarkStart w:id="3349" w:name="_Toc38443286"/>
      <w:bookmarkStart w:id="3350" w:name="_Toc38443617"/>
      <w:bookmarkStart w:id="3351" w:name="_Toc38443947"/>
      <w:bookmarkStart w:id="3352" w:name="_Toc38438415"/>
      <w:bookmarkStart w:id="3353" w:name="_Toc38438752"/>
      <w:bookmarkStart w:id="3354" w:name="_Toc38439089"/>
      <w:bookmarkStart w:id="3355" w:name="_Toc38439426"/>
      <w:bookmarkStart w:id="3356" w:name="_Toc38439763"/>
      <w:bookmarkStart w:id="3357" w:name="_Toc38440100"/>
      <w:bookmarkStart w:id="3358" w:name="_Toc38440437"/>
      <w:bookmarkStart w:id="3359" w:name="_Toc38440969"/>
      <w:bookmarkStart w:id="3360" w:name="_Toc38441301"/>
      <w:bookmarkStart w:id="3361" w:name="_Toc38441633"/>
      <w:bookmarkStart w:id="3362" w:name="_Toc38441961"/>
      <w:bookmarkStart w:id="3363" w:name="_Toc38442293"/>
      <w:bookmarkStart w:id="3364" w:name="_Toc38442625"/>
      <w:bookmarkStart w:id="3365" w:name="_Toc38442956"/>
      <w:bookmarkStart w:id="3366" w:name="_Toc38443287"/>
      <w:bookmarkStart w:id="3367" w:name="_Toc38443618"/>
      <w:bookmarkStart w:id="3368" w:name="_Toc38443948"/>
      <w:bookmarkStart w:id="3369" w:name="_Toc38438416"/>
      <w:bookmarkStart w:id="3370" w:name="_Toc38438753"/>
      <w:bookmarkStart w:id="3371" w:name="_Toc38439090"/>
      <w:bookmarkStart w:id="3372" w:name="_Toc38439427"/>
      <w:bookmarkStart w:id="3373" w:name="_Toc38439764"/>
      <w:bookmarkStart w:id="3374" w:name="_Toc38440101"/>
      <w:bookmarkStart w:id="3375" w:name="_Toc38440438"/>
      <w:bookmarkStart w:id="3376" w:name="_Toc38440970"/>
      <w:bookmarkStart w:id="3377" w:name="_Toc38441302"/>
      <w:bookmarkStart w:id="3378" w:name="_Toc38441634"/>
      <w:bookmarkStart w:id="3379" w:name="_Toc38441962"/>
      <w:bookmarkStart w:id="3380" w:name="_Toc38442294"/>
      <w:bookmarkStart w:id="3381" w:name="_Toc38442626"/>
      <w:bookmarkStart w:id="3382" w:name="_Toc38442957"/>
      <w:bookmarkStart w:id="3383" w:name="_Toc38443288"/>
      <w:bookmarkStart w:id="3384" w:name="_Toc38443619"/>
      <w:bookmarkStart w:id="3385" w:name="_Toc38443949"/>
      <w:bookmarkStart w:id="3386" w:name="_Toc38438417"/>
      <w:bookmarkStart w:id="3387" w:name="_Toc38438754"/>
      <w:bookmarkStart w:id="3388" w:name="_Toc38439091"/>
      <w:bookmarkStart w:id="3389" w:name="_Toc38439428"/>
      <w:bookmarkStart w:id="3390" w:name="_Toc38439765"/>
      <w:bookmarkStart w:id="3391" w:name="_Toc38440102"/>
      <w:bookmarkStart w:id="3392" w:name="_Toc38440439"/>
      <w:bookmarkStart w:id="3393" w:name="_Toc38440971"/>
      <w:bookmarkStart w:id="3394" w:name="_Toc38441303"/>
      <w:bookmarkStart w:id="3395" w:name="_Toc38441635"/>
      <w:bookmarkStart w:id="3396" w:name="_Toc38441963"/>
      <w:bookmarkStart w:id="3397" w:name="_Toc38442295"/>
      <w:bookmarkStart w:id="3398" w:name="_Toc38442627"/>
      <w:bookmarkStart w:id="3399" w:name="_Toc38442958"/>
      <w:bookmarkStart w:id="3400" w:name="_Toc38443289"/>
      <w:bookmarkStart w:id="3401" w:name="_Toc38443620"/>
      <w:bookmarkStart w:id="3402" w:name="_Toc38443950"/>
      <w:bookmarkStart w:id="3403" w:name="_Toc38438418"/>
      <w:bookmarkStart w:id="3404" w:name="_Toc38438755"/>
      <w:bookmarkStart w:id="3405" w:name="_Toc38439092"/>
      <w:bookmarkStart w:id="3406" w:name="_Toc38439429"/>
      <w:bookmarkStart w:id="3407" w:name="_Toc38439766"/>
      <w:bookmarkStart w:id="3408" w:name="_Toc38440103"/>
      <w:bookmarkStart w:id="3409" w:name="_Toc38440440"/>
      <w:bookmarkStart w:id="3410" w:name="_Toc38440972"/>
      <w:bookmarkStart w:id="3411" w:name="_Toc38441304"/>
      <w:bookmarkStart w:id="3412" w:name="_Toc38441636"/>
      <w:bookmarkStart w:id="3413" w:name="_Toc38441964"/>
      <w:bookmarkStart w:id="3414" w:name="_Toc38442296"/>
      <w:bookmarkStart w:id="3415" w:name="_Toc38442628"/>
      <w:bookmarkStart w:id="3416" w:name="_Toc38442959"/>
      <w:bookmarkStart w:id="3417" w:name="_Toc38443290"/>
      <w:bookmarkStart w:id="3418" w:name="_Toc38443621"/>
      <w:bookmarkStart w:id="3419" w:name="_Toc38443951"/>
      <w:bookmarkStart w:id="3420" w:name="_Toc38438419"/>
      <w:bookmarkStart w:id="3421" w:name="_Toc38438756"/>
      <w:bookmarkStart w:id="3422" w:name="_Toc38439093"/>
      <w:bookmarkStart w:id="3423" w:name="_Toc38439430"/>
      <w:bookmarkStart w:id="3424" w:name="_Toc38439767"/>
      <w:bookmarkStart w:id="3425" w:name="_Toc38440104"/>
      <w:bookmarkStart w:id="3426" w:name="_Toc38440441"/>
      <w:bookmarkStart w:id="3427" w:name="_Toc38440973"/>
      <w:bookmarkStart w:id="3428" w:name="_Toc38441305"/>
      <w:bookmarkStart w:id="3429" w:name="_Toc38441637"/>
      <w:bookmarkStart w:id="3430" w:name="_Toc38441965"/>
      <w:bookmarkStart w:id="3431" w:name="_Toc38442297"/>
      <w:bookmarkStart w:id="3432" w:name="_Toc38442629"/>
      <w:bookmarkStart w:id="3433" w:name="_Toc38442960"/>
      <w:bookmarkStart w:id="3434" w:name="_Toc38443291"/>
      <w:bookmarkStart w:id="3435" w:name="_Toc38443622"/>
      <w:bookmarkStart w:id="3436" w:name="_Toc38443952"/>
      <w:bookmarkStart w:id="3437" w:name="_Toc38438420"/>
      <w:bookmarkStart w:id="3438" w:name="_Toc38438757"/>
      <w:bookmarkStart w:id="3439" w:name="_Toc38439094"/>
      <w:bookmarkStart w:id="3440" w:name="_Toc38439431"/>
      <w:bookmarkStart w:id="3441" w:name="_Toc38439768"/>
      <w:bookmarkStart w:id="3442" w:name="_Toc38440105"/>
      <w:bookmarkStart w:id="3443" w:name="_Toc38440442"/>
      <w:bookmarkStart w:id="3444" w:name="_Toc38440974"/>
      <w:bookmarkStart w:id="3445" w:name="_Toc38441306"/>
      <w:bookmarkStart w:id="3446" w:name="_Toc38441638"/>
      <w:bookmarkStart w:id="3447" w:name="_Toc38441966"/>
      <w:bookmarkStart w:id="3448" w:name="_Toc38442298"/>
      <w:bookmarkStart w:id="3449" w:name="_Toc38442630"/>
      <w:bookmarkStart w:id="3450" w:name="_Toc38442961"/>
      <w:bookmarkStart w:id="3451" w:name="_Toc38443292"/>
      <w:bookmarkStart w:id="3452" w:name="_Toc38443623"/>
      <w:bookmarkStart w:id="3453" w:name="_Toc38443953"/>
      <w:bookmarkStart w:id="3454" w:name="_Toc38438421"/>
      <w:bookmarkStart w:id="3455" w:name="_Toc38438758"/>
      <w:bookmarkStart w:id="3456" w:name="_Toc38439095"/>
      <w:bookmarkStart w:id="3457" w:name="_Toc38439432"/>
      <w:bookmarkStart w:id="3458" w:name="_Toc38439769"/>
      <w:bookmarkStart w:id="3459" w:name="_Toc38440106"/>
      <w:bookmarkStart w:id="3460" w:name="_Toc38440443"/>
      <w:bookmarkStart w:id="3461" w:name="_Toc38440975"/>
      <w:bookmarkStart w:id="3462" w:name="_Toc38441307"/>
      <w:bookmarkStart w:id="3463" w:name="_Toc38441639"/>
      <w:bookmarkStart w:id="3464" w:name="_Toc38441967"/>
      <w:bookmarkStart w:id="3465" w:name="_Toc38442299"/>
      <w:bookmarkStart w:id="3466" w:name="_Toc38442631"/>
      <w:bookmarkStart w:id="3467" w:name="_Toc38442962"/>
      <w:bookmarkStart w:id="3468" w:name="_Toc38443293"/>
      <w:bookmarkStart w:id="3469" w:name="_Toc38443624"/>
      <w:bookmarkStart w:id="3470" w:name="_Toc38443954"/>
      <w:bookmarkStart w:id="3471" w:name="_Toc38438422"/>
      <w:bookmarkStart w:id="3472" w:name="_Toc38438759"/>
      <w:bookmarkStart w:id="3473" w:name="_Toc38439096"/>
      <w:bookmarkStart w:id="3474" w:name="_Toc38439433"/>
      <w:bookmarkStart w:id="3475" w:name="_Toc38439770"/>
      <w:bookmarkStart w:id="3476" w:name="_Toc38440107"/>
      <w:bookmarkStart w:id="3477" w:name="_Toc38440444"/>
      <w:bookmarkStart w:id="3478" w:name="_Toc38440976"/>
      <w:bookmarkStart w:id="3479" w:name="_Toc38441308"/>
      <w:bookmarkStart w:id="3480" w:name="_Toc38441640"/>
      <w:bookmarkStart w:id="3481" w:name="_Toc38441968"/>
      <w:bookmarkStart w:id="3482" w:name="_Toc38442300"/>
      <w:bookmarkStart w:id="3483" w:name="_Toc38442632"/>
      <w:bookmarkStart w:id="3484" w:name="_Toc38442963"/>
      <w:bookmarkStart w:id="3485" w:name="_Toc38443294"/>
      <w:bookmarkStart w:id="3486" w:name="_Toc38443625"/>
      <w:bookmarkStart w:id="3487" w:name="_Toc38443955"/>
      <w:bookmarkStart w:id="3488" w:name="_Toc38438423"/>
      <w:bookmarkStart w:id="3489" w:name="_Toc38438760"/>
      <w:bookmarkStart w:id="3490" w:name="_Toc38439097"/>
      <w:bookmarkStart w:id="3491" w:name="_Toc38439434"/>
      <w:bookmarkStart w:id="3492" w:name="_Toc38439771"/>
      <w:bookmarkStart w:id="3493" w:name="_Toc38440108"/>
      <w:bookmarkStart w:id="3494" w:name="_Toc38440445"/>
      <w:bookmarkStart w:id="3495" w:name="_Toc38440977"/>
      <w:bookmarkStart w:id="3496" w:name="_Toc38441309"/>
      <w:bookmarkStart w:id="3497" w:name="_Toc38441641"/>
      <w:bookmarkStart w:id="3498" w:name="_Toc38441969"/>
      <w:bookmarkStart w:id="3499" w:name="_Toc38442301"/>
      <w:bookmarkStart w:id="3500" w:name="_Toc38442633"/>
      <w:bookmarkStart w:id="3501" w:name="_Toc38442964"/>
      <w:bookmarkStart w:id="3502" w:name="_Toc38443295"/>
      <w:bookmarkStart w:id="3503" w:name="_Toc38443626"/>
      <w:bookmarkStart w:id="3504" w:name="_Toc38443956"/>
      <w:bookmarkStart w:id="3505" w:name="_Toc38438424"/>
      <w:bookmarkStart w:id="3506" w:name="_Toc38438761"/>
      <w:bookmarkStart w:id="3507" w:name="_Toc38439098"/>
      <w:bookmarkStart w:id="3508" w:name="_Toc38439435"/>
      <w:bookmarkStart w:id="3509" w:name="_Toc38439772"/>
      <w:bookmarkStart w:id="3510" w:name="_Toc38440109"/>
      <w:bookmarkStart w:id="3511" w:name="_Toc38440446"/>
      <w:bookmarkStart w:id="3512" w:name="_Toc38440978"/>
      <w:bookmarkStart w:id="3513" w:name="_Toc38441310"/>
      <w:bookmarkStart w:id="3514" w:name="_Toc38441642"/>
      <w:bookmarkStart w:id="3515" w:name="_Toc38441970"/>
      <w:bookmarkStart w:id="3516" w:name="_Toc38442302"/>
      <w:bookmarkStart w:id="3517" w:name="_Toc38442634"/>
      <w:bookmarkStart w:id="3518" w:name="_Toc38442965"/>
      <w:bookmarkStart w:id="3519" w:name="_Toc38443296"/>
      <w:bookmarkStart w:id="3520" w:name="_Toc38443627"/>
      <w:bookmarkStart w:id="3521" w:name="_Toc38443957"/>
      <w:bookmarkStart w:id="3522" w:name="_Toc38438425"/>
      <w:bookmarkStart w:id="3523" w:name="_Toc38438762"/>
      <w:bookmarkStart w:id="3524" w:name="_Toc38439099"/>
      <w:bookmarkStart w:id="3525" w:name="_Toc38439436"/>
      <w:bookmarkStart w:id="3526" w:name="_Toc38439773"/>
      <w:bookmarkStart w:id="3527" w:name="_Toc38440110"/>
      <w:bookmarkStart w:id="3528" w:name="_Toc38440447"/>
      <w:bookmarkStart w:id="3529" w:name="_Toc38440979"/>
      <w:bookmarkStart w:id="3530" w:name="_Toc38441311"/>
      <w:bookmarkStart w:id="3531" w:name="_Toc38441643"/>
      <w:bookmarkStart w:id="3532" w:name="_Toc38441971"/>
      <w:bookmarkStart w:id="3533" w:name="_Toc38442303"/>
      <w:bookmarkStart w:id="3534" w:name="_Toc38442635"/>
      <w:bookmarkStart w:id="3535" w:name="_Toc38442966"/>
      <w:bookmarkStart w:id="3536" w:name="_Toc38443297"/>
      <w:bookmarkStart w:id="3537" w:name="_Toc38443628"/>
      <w:bookmarkStart w:id="3538" w:name="_Toc38443958"/>
      <w:bookmarkStart w:id="3539" w:name="_Toc38438426"/>
      <w:bookmarkStart w:id="3540" w:name="_Toc38438763"/>
      <w:bookmarkStart w:id="3541" w:name="_Toc38439100"/>
      <w:bookmarkStart w:id="3542" w:name="_Toc38439437"/>
      <w:bookmarkStart w:id="3543" w:name="_Toc38439774"/>
      <w:bookmarkStart w:id="3544" w:name="_Toc38440111"/>
      <w:bookmarkStart w:id="3545" w:name="_Toc38440448"/>
      <w:bookmarkStart w:id="3546" w:name="_Toc38440980"/>
      <w:bookmarkStart w:id="3547" w:name="_Toc38441312"/>
      <w:bookmarkStart w:id="3548" w:name="_Toc38441644"/>
      <w:bookmarkStart w:id="3549" w:name="_Toc38441972"/>
      <w:bookmarkStart w:id="3550" w:name="_Toc38442304"/>
      <w:bookmarkStart w:id="3551" w:name="_Toc38442636"/>
      <w:bookmarkStart w:id="3552" w:name="_Toc38442967"/>
      <w:bookmarkStart w:id="3553" w:name="_Toc38443298"/>
      <w:bookmarkStart w:id="3554" w:name="_Toc38443629"/>
      <w:bookmarkStart w:id="3555" w:name="_Toc38443959"/>
      <w:bookmarkStart w:id="3556" w:name="_Toc38438427"/>
      <w:bookmarkStart w:id="3557" w:name="_Toc38438764"/>
      <w:bookmarkStart w:id="3558" w:name="_Toc38439101"/>
      <w:bookmarkStart w:id="3559" w:name="_Toc38439438"/>
      <w:bookmarkStart w:id="3560" w:name="_Toc38439775"/>
      <w:bookmarkStart w:id="3561" w:name="_Toc38440112"/>
      <w:bookmarkStart w:id="3562" w:name="_Toc38440449"/>
      <w:bookmarkStart w:id="3563" w:name="_Toc38440981"/>
      <w:bookmarkStart w:id="3564" w:name="_Toc38441313"/>
      <w:bookmarkStart w:id="3565" w:name="_Toc38441645"/>
      <w:bookmarkStart w:id="3566" w:name="_Toc38441973"/>
      <w:bookmarkStart w:id="3567" w:name="_Toc38442305"/>
      <w:bookmarkStart w:id="3568" w:name="_Toc38442637"/>
      <w:bookmarkStart w:id="3569" w:name="_Toc38442968"/>
      <w:bookmarkStart w:id="3570" w:name="_Toc38443299"/>
      <w:bookmarkStart w:id="3571" w:name="_Toc38443630"/>
      <w:bookmarkStart w:id="3572" w:name="_Toc38443960"/>
      <w:bookmarkStart w:id="3573" w:name="_Toc38438428"/>
      <w:bookmarkStart w:id="3574" w:name="_Toc38438765"/>
      <w:bookmarkStart w:id="3575" w:name="_Toc38439102"/>
      <w:bookmarkStart w:id="3576" w:name="_Toc38439439"/>
      <w:bookmarkStart w:id="3577" w:name="_Toc38439776"/>
      <w:bookmarkStart w:id="3578" w:name="_Toc38440113"/>
      <w:bookmarkStart w:id="3579" w:name="_Toc38440450"/>
      <w:bookmarkStart w:id="3580" w:name="_Toc38440982"/>
      <w:bookmarkStart w:id="3581" w:name="_Toc38441314"/>
      <w:bookmarkStart w:id="3582" w:name="_Toc38441646"/>
      <w:bookmarkStart w:id="3583" w:name="_Toc38441974"/>
      <w:bookmarkStart w:id="3584" w:name="_Toc38442306"/>
      <w:bookmarkStart w:id="3585" w:name="_Toc38442638"/>
      <w:bookmarkStart w:id="3586" w:name="_Toc38442969"/>
      <w:bookmarkStart w:id="3587" w:name="_Toc38443300"/>
      <w:bookmarkStart w:id="3588" w:name="_Toc38443631"/>
      <w:bookmarkStart w:id="3589" w:name="_Toc38443961"/>
      <w:bookmarkStart w:id="3590" w:name="_Toc38438429"/>
      <w:bookmarkStart w:id="3591" w:name="_Toc38438766"/>
      <w:bookmarkStart w:id="3592" w:name="_Toc38439103"/>
      <w:bookmarkStart w:id="3593" w:name="_Toc38439440"/>
      <w:bookmarkStart w:id="3594" w:name="_Toc38439777"/>
      <w:bookmarkStart w:id="3595" w:name="_Toc38440114"/>
      <w:bookmarkStart w:id="3596" w:name="_Toc38440451"/>
      <w:bookmarkStart w:id="3597" w:name="_Toc38440983"/>
      <w:bookmarkStart w:id="3598" w:name="_Toc38441315"/>
      <w:bookmarkStart w:id="3599" w:name="_Toc38441647"/>
      <w:bookmarkStart w:id="3600" w:name="_Toc38441975"/>
      <w:bookmarkStart w:id="3601" w:name="_Toc38442307"/>
      <w:bookmarkStart w:id="3602" w:name="_Toc38442639"/>
      <w:bookmarkStart w:id="3603" w:name="_Toc38442970"/>
      <w:bookmarkStart w:id="3604" w:name="_Toc38443301"/>
      <w:bookmarkStart w:id="3605" w:name="_Toc38443632"/>
      <w:bookmarkStart w:id="3606" w:name="_Toc38443962"/>
      <w:bookmarkStart w:id="3607" w:name="_Toc38438430"/>
      <w:bookmarkStart w:id="3608" w:name="_Toc38438767"/>
      <w:bookmarkStart w:id="3609" w:name="_Toc38439104"/>
      <w:bookmarkStart w:id="3610" w:name="_Toc38439441"/>
      <w:bookmarkStart w:id="3611" w:name="_Toc38439778"/>
      <w:bookmarkStart w:id="3612" w:name="_Toc38440115"/>
      <w:bookmarkStart w:id="3613" w:name="_Toc38440452"/>
      <w:bookmarkStart w:id="3614" w:name="_Toc38440984"/>
      <w:bookmarkStart w:id="3615" w:name="_Toc38441316"/>
      <w:bookmarkStart w:id="3616" w:name="_Toc38441648"/>
      <w:bookmarkStart w:id="3617" w:name="_Toc38441976"/>
      <w:bookmarkStart w:id="3618" w:name="_Toc38442308"/>
      <w:bookmarkStart w:id="3619" w:name="_Toc38442640"/>
      <w:bookmarkStart w:id="3620" w:name="_Toc38442971"/>
      <w:bookmarkStart w:id="3621" w:name="_Toc38443302"/>
      <w:bookmarkStart w:id="3622" w:name="_Toc38443633"/>
      <w:bookmarkStart w:id="3623" w:name="_Toc38443963"/>
      <w:bookmarkStart w:id="3624" w:name="_Toc38438431"/>
      <w:bookmarkStart w:id="3625" w:name="_Toc38438768"/>
      <w:bookmarkStart w:id="3626" w:name="_Toc38439105"/>
      <w:bookmarkStart w:id="3627" w:name="_Toc38439442"/>
      <w:bookmarkStart w:id="3628" w:name="_Toc38439779"/>
      <w:bookmarkStart w:id="3629" w:name="_Toc38440116"/>
      <w:bookmarkStart w:id="3630" w:name="_Toc38440453"/>
      <w:bookmarkStart w:id="3631" w:name="_Toc38440985"/>
      <w:bookmarkStart w:id="3632" w:name="_Toc38441317"/>
      <w:bookmarkStart w:id="3633" w:name="_Toc38441649"/>
      <w:bookmarkStart w:id="3634" w:name="_Toc38441977"/>
      <w:bookmarkStart w:id="3635" w:name="_Toc38442309"/>
      <w:bookmarkStart w:id="3636" w:name="_Toc38442641"/>
      <w:bookmarkStart w:id="3637" w:name="_Toc38442972"/>
      <w:bookmarkStart w:id="3638" w:name="_Toc38443303"/>
      <w:bookmarkStart w:id="3639" w:name="_Toc38443634"/>
      <w:bookmarkStart w:id="3640" w:name="_Toc38443964"/>
      <w:bookmarkStart w:id="3641" w:name="_Toc38438432"/>
      <w:bookmarkStart w:id="3642" w:name="_Toc38438769"/>
      <w:bookmarkStart w:id="3643" w:name="_Toc38439106"/>
      <w:bookmarkStart w:id="3644" w:name="_Toc38439443"/>
      <w:bookmarkStart w:id="3645" w:name="_Toc38439780"/>
      <w:bookmarkStart w:id="3646" w:name="_Toc38440117"/>
      <w:bookmarkStart w:id="3647" w:name="_Toc38440454"/>
      <w:bookmarkStart w:id="3648" w:name="_Toc38440986"/>
      <w:bookmarkStart w:id="3649" w:name="_Toc38441318"/>
      <w:bookmarkStart w:id="3650" w:name="_Toc38441650"/>
      <w:bookmarkStart w:id="3651" w:name="_Toc38441978"/>
      <w:bookmarkStart w:id="3652" w:name="_Toc38442310"/>
      <w:bookmarkStart w:id="3653" w:name="_Toc38442642"/>
      <w:bookmarkStart w:id="3654" w:name="_Toc38442973"/>
      <w:bookmarkStart w:id="3655" w:name="_Toc38443304"/>
      <w:bookmarkStart w:id="3656" w:name="_Toc38443635"/>
      <w:bookmarkStart w:id="3657" w:name="_Toc38443965"/>
      <w:bookmarkStart w:id="3658" w:name="_Toc38438433"/>
      <w:bookmarkStart w:id="3659" w:name="_Toc38438770"/>
      <w:bookmarkStart w:id="3660" w:name="_Toc38439107"/>
      <w:bookmarkStart w:id="3661" w:name="_Toc38439444"/>
      <w:bookmarkStart w:id="3662" w:name="_Toc38439781"/>
      <w:bookmarkStart w:id="3663" w:name="_Toc38440118"/>
      <w:bookmarkStart w:id="3664" w:name="_Toc38440455"/>
      <w:bookmarkStart w:id="3665" w:name="_Toc38440987"/>
      <w:bookmarkStart w:id="3666" w:name="_Toc38441319"/>
      <w:bookmarkStart w:id="3667" w:name="_Toc38441651"/>
      <w:bookmarkStart w:id="3668" w:name="_Toc38441979"/>
      <w:bookmarkStart w:id="3669" w:name="_Toc38442311"/>
      <w:bookmarkStart w:id="3670" w:name="_Toc38442643"/>
      <w:bookmarkStart w:id="3671" w:name="_Toc38442974"/>
      <w:bookmarkStart w:id="3672" w:name="_Toc38443305"/>
      <w:bookmarkStart w:id="3673" w:name="_Toc38443636"/>
      <w:bookmarkStart w:id="3674" w:name="_Toc38443966"/>
      <w:bookmarkStart w:id="3675" w:name="_Toc38438434"/>
      <w:bookmarkStart w:id="3676" w:name="_Toc38438771"/>
      <w:bookmarkStart w:id="3677" w:name="_Toc38439108"/>
      <w:bookmarkStart w:id="3678" w:name="_Toc38439445"/>
      <w:bookmarkStart w:id="3679" w:name="_Toc38439782"/>
      <w:bookmarkStart w:id="3680" w:name="_Toc38440119"/>
      <w:bookmarkStart w:id="3681" w:name="_Toc38440456"/>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p>
    <w:sectPr>
      <w:footerReference w:type="default" r:id="rId19"/>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s.....">
    <w:altName w:val="汉仪书宋二KW"/>
    <w:charset w:val="86"/>
    <w:family w:val="roman"/>
    <w:pitch w:val="default"/>
  </w:font>
  <w:font w:name="方正仿宋简体">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cambria math,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1719EA9D" w14:textId="77777777">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4D272E" w14:paraId="584A3A69" w14:textId="77777777">
    <w:pPr>
      <w:pStyle w:val="1"/>
      <w:snapToGrid/>
      <w:ind w:right="360" w:firstLine="360"/>
    </w:pPr>
  </w:p>
  <w:p w:rsidR="004D272E" w14:paraId="32AFC2E2" w14:textId="77777777">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3686FC7B" w14:textId="77777777">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0782670D" w14:textId="77777777">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2E7E9B35"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26ED1883" w14:textId="03003FDF">
    <w:pPr>
      <w:pStyle w:val="1"/>
      <w:snapToGrid/>
      <w:ind w:firstLine="360"/>
      <w:jc w:val="center"/>
    </w:pPr>
    <w:r>
      <w:fldChar w:fldCharType="begin"/>
    </w:r>
    <w:r>
      <w:rPr>
        <w:highlight w:val="white"/>
      </w:rPr>
      <w:instrText xml:space="preserve"> PAGE   \* MERGEFORMAT </w:instrText>
    </w:r>
    <w:r>
      <w:fldChar w:fldCharType="separate"/>
    </w:r>
    <w:r w:rsidRPr="00C33644" w:rsidR="00C33644">
      <w:rPr>
        <w:noProof/>
        <w:highlight w:val="white"/>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49B2E427" w14:textId="0A64A1A8">
    <w:pPr>
      <w:pStyle w:val="1"/>
      <w:snapToGrid/>
      <w:ind w:firstLine="360"/>
      <w:jc w:val="center"/>
    </w:pPr>
    <w:r>
      <w:fldChar w:fldCharType="begin"/>
    </w:r>
    <w:r>
      <w:rPr>
        <w:highlight w:val="white"/>
      </w:rPr>
      <w:instrText xml:space="preserve"> PAGE   \* MERGEFORMAT </w:instrText>
    </w:r>
    <w:r>
      <w:fldChar w:fldCharType="separate"/>
    </w:r>
    <w:r w:rsidRPr="00C33644" w:rsidR="00C33644">
      <w:rPr>
        <w:noProof/>
        <w:highlight w:val="white"/>
        <w:lang w:val="zh-CN"/>
      </w:rPr>
      <w:t>123</w:t>
    </w:r>
    <w:r>
      <w:rPr>
        <w:lang w:val="zh-CN"/>
      </w:rPr>
      <w:fldChar w:fldCharType="end"/>
    </w:r>
  </w:p>
  <w:p w:rsidR="004D272E" w14:paraId="6EE7818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6D5F6A5D" w14:textId="77777777">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59D5B1C3" w14:textId="77777777">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1760DCE8" w14:textId="77777777">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1FC0AB7A"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72E" w14:paraId="552A5C9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06EF86"/>
    <w:multiLevelType w:val="multilevel"/>
    <w:tmpl w:val="2306EF86"/>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廖生暖">
    <w15:presenceInfo w15:providerId="None" w15:userId="廖生暖"/>
  </w15:person>
  <w15:person w15:author="曾立">
    <w15:presenceInfo w15:providerId="None" w15:userId="曾立"/>
  </w15:person>
  <w15:person w15:author="姚栋梁0202">
    <w15:presenceInfo w15:providerId="None" w15:userId="姚栋梁0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30"/>
  <w:bordersDoNotSurroundHeader/>
  <w:bordersDoNotSurroundFooter/>
  <w:proofState w:spelling="clean"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1F"/>
    <w:rsid w:val="BFB7ED54"/>
    <w:rsid w:val="DECFDF62"/>
    <w:rsid w:val="DED5CEAA"/>
    <w:rsid w:val="00154623"/>
    <w:rsid w:val="00191CFE"/>
    <w:rsid w:val="001B1870"/>
    <w:rsid w:val="00282915"/>
    <w:rsid w:val="00285CE4"/>
    <w:rsid w:val="00351450"/>
    <w:rsid w:val="00375AA7"/>
    <w:rsid w:val="0037615F"/>
    <w:rsid w:val="00415459"/>
    <w:rsid w:val="00436B8A"/>
    <w:rsid w:val="00461D48"/>
    <w:rsid w:val="00484BAF"/>
    <w:rsid w:val="0049464C"/>
    <w:rsid w:val="004A2F59"/>
    <w:rsid w:val="004C5BAE"/>
    <w:rsid w:val="004D272E"/>
    <w:rsid w:val="004E62E7"/>
    <w:rsid w:val="00534B65"/>
    <w:rsid w:val="00570A48"/>
    <w:rsid w:val="00571AA2"/>
    <w:rsid w:val="005F1A1C"/>
    <w:rsid w:val="00610FA7"/>
    <w:rsid w:val="00635360"/>
    <w:rsid w:val="00645B9A"/>
    <w:rsid w:val="006D781C"/>
    <w:rsid w:val="007A7A8D"/>
    <w:rsid w:val="007C3A32"/>
    <w:rsid w:val="00830716"/>
    <w:rsid w:val="0085221D"/>
    <w:rsid w:val="0085672D"/>
    <w:rsid w:val="008B6B72"/>
    <w:rsid w:val="009244A0"/>
    <w:rsid w:val="00956AFB"/>
    <w:rsid w:val="00982EC1"/>
    <w:rsid w:val="00A8387E"/>
    <w:rsid w:val="00AF7B70"/>
    <w:rsid w:val="00B44B23"/>
    <w:rsid w:val="00BC1572"/>
    <w:rsid w:val="00C33644"/>
    <w:rsid w:val="00D50D9C"/>
    <w:rsid w:val="00DB014D"/>
    <w:rsid w:val="00E15A1F"/>
    <w:rsid w:val="00E1762D"/>
    <w:rsid w:val="00E52098"/>
    <w:rsid w:val="00E71205"/>
    <w:rsid w:val="00E937E8"/>
    <w:rsid w:val="00F201B6"/>
    <w:rsid w:val="00F2091B"/>
    <w:rsid w:val="00FE6AE9"/>
    <w:rsid w:val="44B5AB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931E7A46-0F39-4685-A9D6-184E4A4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eastAsiaTheme="minorEastAsia"/>
      <w:sz w:val="21"/>
      <w:szCs w:val="24"/>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blStylePr w:type="band1Horz">
      <w:pPr>
        <w:snapToGrid/>
      </w:pPr>
    </w:tblStylePr>
    <w:tblStylePr w:type="band1Vert">
      <w:pPr>
        <w:snapToGrid/>
      </w:pPr>
    </w:tblStylePr>
    <w:tblStylePr w:type="band2Horz">
      <w:pPr>
        <w:snapToGrid/>
      </w:pPr>
    </w:tblStylePr>
    <w:tblStylePr w:type="band2Vert">
      <w:pPr>
        <w:snapToGrid/>
      </w:pPr>
    </w:tblStylePr>
    <w:tblStylePr w:type="firstCol">
      <w:pPr>
        <w:snapToGrid/>
      </w:pPr>
    </w:tblStylePr>
    <w:tblStylePr w:type="firstRow">
      <w:pPr>
        <w:snapToGrid/>
      </w:pPr>
    </w:tblStylePr>
    <w:tblStylePr w:type="lastCol">
      <w:pPr>
        <w:snapToGrid/>
      </w:pPr>
    </w:tblStylePr>
    <w:tblStylePr w:type="lastRow">
      <w:pPr>
        <w:snapToGrid/>
      </w:pPr>
    </w:tblStylePr>
    <w:tblStylePr w:type="nwCell">
      <w:pPr>
        <w:snapToGrid/>
      </w:pPr>
    </w:tblStylePr>
    <w:tblStylePr w:type="neCell">
      <w:pPr>
        <w:snapToGrid/>
      </w:pPr>
    </w:tblStylePr>
    <w:tblStylePr w:type="swCell">
      <w:pPr>
        <w:snapToGrid/>
      </w:pPr>
    </w:tblStylePr>
    <w:tblStylePr w:type="seCell">
      <w:pPr>
        <w:snapToGrid/>
      </w:pPr>
    </w:tblStylePr>
    <w:tblStylePr w:type="wholeTable">
      <w:pPr>
        <w:snapToGrid/>
      </w:pPr>
    </w:tblStyle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rPr>
      <w:rFonts w:ascii="宋体"/>
      <w:sz w:val="18"/>
      <w:szCs w:val="18"/>
    </w:rPr>
  </w:style>
  <w:style w:type="paragraph" w:styleId="CommentText">
    <w:name w:val="annotation text"/>
    <w:basedOn w:val="Normal"/>
    <w:link w:val="Char7"/>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Char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Char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semiHidden/>
    <w:unhideWhenUsed/>
    <w:qFormat/>
    <w:pPr>
      <w:spacing w:after="120" w:line="480" w:lineRule="auto"/>
      <w:ind w:left="420"/>
    </w:pPr>
  </w:style>
  <w:style w:type="paragraph" w:styleId="EndnoteText">
    <w:name w:val="endnote text"/>
    <w:basedOn w:val="Normal"/>
    <w:link w:val="Char"/>
    <w:uiPriority w:val="99"/>
    <w:semiHidden/>
    <w:unhideWhenUsed/>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2"/>
    <w:uiPriority w:val="11"/>
    <w:qFormat/>
    <w:pPr>
      <w:spacing w:before="200" w:after="200"/>
    </w:pPr>
    <w:rPr>
      <w:sz w:val="24"/>
    </w:rPr>
  </w:style>
  <w:style w:type="paragraph" w:styleId="FootnoteText">
    <w:name w:val="footnote text"/>
    <w:basedOn w:val="Normal"/>
    <w:link w:val="Char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semiHidden/>
    <w:unhideWhenUsed/>
    <w:qFormat/>
    <w:pPr>
      <w:spacing w:after="120"/>
      <w:ind w:left="420"/>
    </w:pPr>
    <w:rPr>
      <w:sz w:val="16"/>
      <w:szCs w:val="16"/>
    </w:rPr>
  </w:style>
  <w:style w:type="paragraph" w:styleId="TableofFigures">
    <w:name w:val="table of figures"/>
    <w:basedOn w:val="Normal"/>
    <w:next w:val="Normal"/>
    <w:uiPriority w:val="99"/>
    <w:unhideWhenUsed/>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Char11"/>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Char1">
    <w:name w:val="页脚 Char1"/>
    <w:link w:val="Footer"/>
    <w:uiPriority w:val="99"/>
  </w:style>
  <w:style w:type="character" w:customStyle="1" w:styleId="Char">
    <w:name w:val="尾注文本 Char"/>
    <w:link w:val="EndnoteText"/>
    <w:uiPriority w:val="99"/>
    <w:qFormat/>
    <w:rPr>
      <w:sz w:val="20"/>
    </w:rPr>
  </w:style>
  <w:style w:type="paragraph" w:customStyle="1" w:styleId="1">
    <w:name w:val="页脚1"/>
    <w:basedOn w:val="Normal"/>
    <w:link w:val="Char9"/>
    <w:uiPriority w:val="99"/>
    <w:qFormat/>
    <w:pPr>
      <w:tabs>
        <w:tab w:val="center" w:pos="4153"/>
        <w:tab w:val="right" w:pos="8306"/>
      </w:tabs>
      <w:snapToGrid w:val="0"/>
      <w:ind w:firstLine="200"/>
      <w:jc w:val="left"/>
    </w:pPr>
    <w:rPr>
      <w:rFonts w:eastAsia="仿宋_GB2312"/>
      <w:sz w:val="18"/>
      <w:szCs w:val="20"/>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rFonts w:eastAsiaTheme="minorEastAsia"/>
      <w:sz w:val="22"/>
      <w:szCs w:val="22"/>
      <w:lang w:eastAsia="en-US"/>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qFormat/>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qFormat/>
    <w:rPr>
      <w:i/>
    </w:rPr>
  </w:style>
  <w:style w:type="character" w:customStyle="1" w:styleId="Char5">
    <w:name w:val="页眉 Char"/>
    <w:basedOn w:val="DefaultParagraphFont"/>
    <w:link w:val="Header"/>
    <w:uiPriority w:val="99"/>
    <w:qFormat/>
  </w:style>
  <w:style w:type="character" w:customStyle="1" w:styleId="Char6">
    <w:name w:val="脚注文本 Char"/>
    <w:link w:val="FootnoteText"/>
    <w:uiPriority w:val="99"/>
    <w:qFormat/>
    <w:rPr>
      <w:sz w:val="18"/>
    </w:rPr>
  </w:style>
  <w:style w:type="paragraph" w:customStyle="1" w:styleId="10">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
    <w:name w:val="特点"/>
    <w:basedOn w:val="Normal"/>
    <w:next w:val="NormalIndent"/>
    <w:qFormat/>
    <w:pPr>
      <w:ind w:firstLine="420"/>
    </w:pPr>
    <w:rPr>
      <w:sz w:val="20"/>
      <w:szCs w:val="20"/>
    </w:rPr>
  </w:style>
  <w:style w:type="character" w:customStyle="1" w:styleId="Char7">
    <w:name w:val="批注文字 Char"/>
    <w:basedOn w:val="DefaultParagraphFont"/>
    <w:link w:val="CommentText"/>
    <w:qFormat/>
    <w:rPr>
      <w:rFonts w:eastAsia="宋体"/>
      <w:sz w:val="21"/>
      <w:szCs w:val="24"/>
      <w:lang w:val="en-US" w:eastAsia="zh-CN" w:bidi="ar-SA"/>
    </w:rPr>
  </w:style>
  <w:style w:type="character" w:customStyle="1" w:styleId="Char8">
    <w:name w:val="文档结构图 Char"/>
    <w:basedOn w:val="DefaultParagraphFont"/>
    <w:link w:val="DocumentMap"/>
    <w:qFormat/>
    <w:rPr>
      <w:rFonts w:ascii="宋体"/>
      <w:sz w:val="18"/>
      <w:szCs w:val="18"/>
    </w:rPr>
  </w:style>
  <w:style w:type="character" w:customStyle="1" w:styleId="Char9">
    <w:name w:val="页脚 Char"/>
    <w:basedOn w:val="DefaultParagraphFont"/>
    <w:link w:val="1"/>
    <w:uiPriority w:val="99"/>
    <w:qFormat/>
    <w:rPr>
      <w:rFonts w:eastAsia="仿宋_GB2312"/>
      <w:sz w:val="18"/>
    </w:rPr>
  </w:style>
  <w:style w:type="character" w:customStyle="1" w:styleId="Char10">
    <w:name w:val="纯文本 Char"/>
    <w:basedOn w:val="DefaultParagraphFont"/>
    <w:link w:val="PlainText"/>
    <w:qFormat/>
    <w:rPr>
      <w:rFonts w:ascii="宋体" w:hAnsi="Courier New"/>
      <w:sz w:val="24"/>
      <w:szCs w:val="21"/>
    </w:rPr>
  </w:style>
  <w:style w:type="character" w:customStyle="1" w:styleId="Char11">
    <w:name w:val="正文首行缩进 Char"/>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Char12">
    <w:name w:val="正文文本缩进 Char"/>
    <w:basedOn w:val="DefaultParagraphFont"/>
    <w:link w:val="BodyTextIndent"/>
    <w:semiHidden/>
    <w:qFormat/>
    <w:rPr>
      <w:sz w:val="21"/>
      <w:szCs w:val="24"/>
    </w:rPr>
  </w:style>
  <w:style w:type="character" w:customStyle="1" w:styleId="3Char0">
    <w:name w:val="正文文本缩进 3 Char"/>
    <w:basedOn w:val="DefaultParagraphFont"/>
    <w:link w:val="BodyTextIndent3"/>
    <w:semiHidden/>
    <w:qFormat/>
    <w:rPr>
      <w:sz w:val="16"/>
      <w:szCs w:val="16"/>
    </w:rPr>
  </w:style>
  <w:style w:type="character" w:customStyle="1" w:styleId="HTMLChar">
    <w:name w:val="HTML 预设格式 Char"/>
    <w:basedOn w:val="DefaultParagraphFont"/>
    <w:link w:val="HTMLPreformatted"/>
    <w:uiPriority w:val="99"/>
    <w:qFormat/>
    <w:rPr>
      <w:rFonts w:ascii="宋体" w:hAnsi="宋体"/>
      <w:sz w:val="24"/>
      <w:szCs w:val="24"/>
    </w:rPr>
  </w:style>
  <w:style w:type="character" w:customStyle="1" w:styleId="2Char0">
    <w:name w:val="正文文本缩进 2 Char"/>
    <w:basedOn w:val="DefaultParagraphFont"/>
    <w:link w:val="BodyTextIndent2"/>
    <w:semiHidden/>
    <w:qFormat/>
    <w:rPr>
      <w:sz w:val="21"/>
      <w:szCs w:val="24"/>
    </w:rPr>
  </w:style>
  <w:style w:type="paragraph" w:styleId="Revision">
    <w:name w:val="Revision"/>
    <w:hidden/>
    <w:uiPriority w:val="99"/>
    <w:semiHidden/>
    <w:rsid w:val="00AF7B70"/>
    <w:rPr>
      <w:rFonts w:eastAsiaTheme="minorEastAsia"/>
      <w:sz w:val="21"/>
      <w:szCs w:val="24"/>
      <w:lang w:eastAsia="en-US"/>
    </w:rPr>
  </w:style>
  <w:style w:type="table" w:styleId="TableGrid">
    <w:name w:val="Table Grid"/>
    <w:basedOn w:val="TableNormal"/>
    <w:uiPriority w:val="59"/>
    <w:pPr>
      <w:snapToGrid/>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pPr>
        <w:snapToGrid/>
      </w:pPr>
    </w:tblStylePr>
    <w:tblStylePr w:type="band1Vert">
      <w:pPr>
        <w:snapToGrid/>
      </w:pPr>
    </w:tblStylePr>
    <w:tblStylePr w:type="band2Horz">
      <w:pPr>
        <w:snapToGrid/>
      </w:pPr>
    </w:tblStylePr>
    <w:tblStylePr w:type="band2Vert">
      <w:pPr>
        <w:snapToGrid/>
      </w:pPr>
    </w:tblStylePr>
    <w:tblStylePr w:type="firstCol">
      <w:pPr>
        <w:snapToGrid/>
      </w:pPr>
    </w:tblStylePr>
    <w:tblStylePr w:type="firstRow">
      <w:pPr>
        <w:snapToGrid/>
      </w:pPr>
    </w:tblStylePr>
    <w:tblStylePr w:type="lastCol">
      <w:pPr>
        <w:snapToGrid/>
      </w:pPr>
    </w:tblStylePr>
    <w:tblStylePr w:type="lastRow">
      <w:pPr>
        <w:snapToGrid/>
      </w:pPr>
    </w:tblStylePr>
    <w:tblStylePr w:type="nwCell">
      <w:pPr>
        <w:snapToGrid/>
      </w:pPr>
    </w:tblStylePr>
    <w:tblStylePr w:type="neCell">
      <w:pPr>
        <w:snapToGrid/>
      </w:pPr>
    </w:tblStylePr>
    <w:tblStylePr w:type="swCell">
      <w:pPr>
        <w:snapToGrid/>
      </w:pPr>
    </w:tblStylePr>
    <w:tblStylePr w:type="seCell">
      <w:pPr>
        <w:snapToGrid/>
      </w:pPr>
    </w:tblStylePr>
    <w:tblStylePr w:type="wholeTable">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