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sz w:val="24"/>
        </w:rPr>
      </w:pPr>
    </w:p>
    <w:p w:rsidR="00676F42">
      <w:pPr>
        <w:snapToGrid w:val="0"/>
        <w:jc w:val="center"/>
        <w:rPr>
          <w:rFonts w:ascii="宋体" w:hAnsi="宋体" w:cs="宋体"/>
          <w:b/>
          <w:sz w:val="44"/>
          <w:lang w:eastAsia="zh-CN"/>
        </w:rPr>
      </w:pPr>
      <w:r>
        <w:rPr>
          <w:rFonts w:ascii="宋体" w:hAnsi="宋体" w:cs="宋体" w:hint="eastAsia"/>
          <w:b/>
          <w:sz w:val="44"/>
          <w:lang w:eastAsia="zh-CN"/>
        </w:rPr>
        <w:t>易方达成长领航混合型证券投资基金</w:t>
      </w:r>
    </w:p>
    <w:p w:rsidR="00676F42">
      <w:pPr>
        <w:snapToGrid w:val="0"/>
        <w:jc w:val="center"/>
        <w:rPr>
          <w:rFonts w:ascii="宋体" w:hAnsi="宋体" w:cs="宋体"/>
          <w:b/>
          <w:sz w:val="44"/>
          <w:lang w:eastAsia="zh-CN"/>
        </w:rPr>
      </w:pPr>
      <w:r>
        <w:rPr>
          <w:rFonts w:ascii="宋体" w:hAnsi="宋体" w:cs="宋体" w:hint="eastAsia"/>
          <w:b/>
          <w:sz w:val="44"/>
          <w:highlight w:val="white"/>
          <w:lang w:eastAsia="zh-CN"/>
        </w:rPr>
        <w:t>托管协议</w:t>
      </w: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rPr>
          <w:rFonts w:ascii="宋体" w:hAnsi="宋体" w:cs="宋体"/>
          <w:sz w:val="24"/>
          <w:lang w:eastAsia="zh-CN"/>
        </w:rPr>
      </w:pPr>
    </w:p>
    <w:p w:rsidR="00676F42">
      <w:pPr>
        <w:snapToGrid w:val="0"/>
        <w:jc w:val="center"/>
        <w:rPr>
          <w:rFonts w:ascii="宋体" w:hAnsi="宋体" w:cs="宋体"/>
          <w:sz w:val="24"/>
          <w:lang w:eastAsia="zh-CN"/>
        </w:rPr>
      </w:pPr>
    </w:p>
    <w:p w:rsidR="00676F42">
      <w:pPr>
        <w:snapToGrid w:val="0"/>
        <w:jc w:val="center"/>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jc w:val="center"/>
        <w:outlineLvl w:val="0"/>
        <w:rPr>
          <w:rFonts w:ascii="宋体" w:hAnsi="宋体" w:cs="宋体"/>
          <w:sz w:val="24"/>
          <w:lang w:eastAsia="zh-CN"/>
        </w:rPr>
      </w:pPr>
    </w:p>
    <w:p w:rsidR="00676F42">
      <w:pPr>
        <w:snapToGrid w:val="0"/>
        <w:ind w:firstLine="1961"/>
        <w:outlineLvl w:val="0"/>
        <w:rPr>
          <w:rFonts w:ascii="宋体" w:hAnsi="宋体" w:cs="宋体"/>
          <w:b/>
          <w:bCs/>
          <w:sz w:val="28"/>
          <w:lang w:eastAsia="zh-CN"/>
        </w:rPr>
      </w:pPr>
      <w:r>
        <w:rPr>
          <w:rFonts w:ascii="宋体" w:hAnsi="宋体" w:cs="宋体" w:hint="eastAsia"/>
          <w:b/>
          <w:bCs/>
          <w:sz w:val="28"/>
          <w:highlight w:val="white"/>
          <w:lang w:eastAsia="zh-CN"/>
        </w:rPr>
        <w:t>基金管理人：易方达基金管理有限公司</w:t>
      </w:r>
    </w:p>
    <w:p w:rsidR="00676F42">
      <w:pPr>
        <w:tabs>
          <w:tab w:val="center" w:pos="4252"/>
          <w:tab w:val="left" w:pos="7530"/>
        </w:tabs>
        <w:snapToGrid w:val="0"/>
        <w:jc w:val="left"/>
        <w:outlineLvl w:val="0"/>
        <w:rPr>
          <w:rFonts w:ascii="宋体" w:hAnsi="宋体" w:cs="宋体"/>
          <w:b/>
          <w:bCs/>
          <w:sz w:val="28"/>
          <w:lang w:eastAsia="zh-CN"/>
        </w:rPr>
      </w:pPr>
      <w:r>
        <w:rPr>
          <w:rFonts w:ascii="宋体" w:hAnsi="宋体" w:cs="宋体" w:hint="eastAsia"/>
          <w:b/>
          <w:bCs/>
          <w:sz w:val="28"/>
          <w:highlight w:val="white"/>
          <w:lang w:eastAsia="zh-CN"/>
        </w:rPr>
        <w:tab/>
        <w:t>基金托管人：中国建设银行股份有限公司</w:t>
      </w:r>
      <w:r>
        <w:rPr>
          <w:rFonts w:ascii="宋体" w:hAnsi="宋体" w:cs="宋体" w:hint="eastAsia"/>
          <w:b/>
          <w:bCs/>
          <w:sz w:val="28"/>
          <w:highlight w:val="white"/>
          <w:lang w:eastAsia="zh-CN"/>
        </w:rPr>
        <w:tab/>
      </w:r>
    </w:p>
    <w:p w:rsidR="00676F42">
      <w:pPr>
        <w:snapToGrid w:val="0"/>
        <w:jc w:val="center"/>
        <w:outlineLvl w:val="0"/>
        <w:rPr>
          <w:rFonts w:ascii="宋体" w:hAnsi="宋体" w:cs="宋体"/>
          <w:sz w:val="24"/>
          <w:lang w:eastAsia="zh-CN"/>
        </w:rPr>
      </w:pPr>
    </w:p>
    <w:p w:rsidR="00676F42">
      <w:pPr>
        <w:jc w:val="center"/>
        <w:rPr>
          <w:rFonts w:ascii="宋体" w:hAnsi="宋体" w:cs="宋体"/>
        </w:rPr>
      </w:pPr>
      <w:r>
        <w:rPr>
          <w:rFonts w:ascii="宋体" w:hAnsi="宋体" w:cs="宋体"/>
          <w:color w:val="000000"/>
          <w:sz w:val="28"/>
          <w:highlight w:val="white"/>
        </w:rPr>
        <w:t>二〇二</w:t>
      </w:r>
      <w:r w:rsidR="00BB2E27">
        <w:rPr>
          <w:rFonts w:ascii="宋体" w:hAnsi="宋体" w:cs="宋体" w:hint="eastAsia"/>
          <w:color w:val="000000"/>
          <w:sz w:val="28"/>
          <w:highlight w:val="white"/>
          <w:lang w:eastAsia="zh-CN"/>
        </w:rPr>
        <w:t>六</w:t>
      </w:r>
      <w:r>
        <w:rPr>
          <w:rFonts w:ascii="宋体" w:hAnsi="宋体" w:cs="宋体"/>
          <w:color w:val="000000"/>
          <w:sz w:val="28"/>
          <w:highlight w:val="white"/>
        </w:rPr>
        <w:t>年</w:t>
      </w:r>
      <w:r>
        <w:rPr>
          <w:rFonts w:ascii="宋体" w:hAnsi="宋体" w:cs="宋体" w:hint="eastAsia"/>
          <w:color w:val="000000"/>
          <w:sz w:val="28"/>
          <w:highlight w:val="white"/>
          <w:lang w:eastAsia="zh-CN"/>
        </w:rPr>
        <w:t>二</w:t>
      </w:r>
      <w:r>
        <w:rPr>
          <w:rFonts w:ascii="宋体" w:hAnsi="宋体" w:cs="宋体"/>
          <w:color w:val="000000"/>
          <w:sz w:val="28"/>
          <w:highlight w:val="white"/>
        </w:rPr>
        <w:t>月</w:t>
      </w:r>
    </w:p>
    <w:p w:rsidR="00676F42">
      <w:pPr>
        <w:tabs>
          <w:tab w:val="left" w:pos="6120"/>
        </w:tabs>
        <w:snapToGrid w:val="0"/>
        <w:jc w:val="center"/>
        <w:outlineLvl w:val="0"/>
        <w:rPr>
          <w:rFonts w:ascii="宋体" w:hAnsi="宋体" w:cs="宋体"/>
          <w:b/>
          <w:bCs/>
          <w:sz w:val="28"/>
        </w:rPr>
      </w:pPr>
    </w:p>
    <w:p w:rsidR="00676F42">
      <w:pPr>
        <w:snapToGrid w:val="0"/>
        <w:outlineLvl w:val="0"/>
        <w:rPr>
          <w:rFonts w:ascii="宋体" w:hAnsi="宋体" w:cs="宋体"/>
          <w:sz w:val="24"/>
        </w:rPr>
      </w:pPr>
      <w:r>
        <w:rPr>
          <w:rFonts w:ascii="宋体" w:hAnsi="宋体" w:cs="宋体" w:hint="eastAsia"/>
          <w:sz w:val="24"/>
          <w:highlight w:val="white"/>
        </w:rPr>
        <w:t xml:space="preserve">                          </w:t>
      </w:r>
    </w:p>
    <w:p w:rsidR="00676F42">
      <w:pPr>
        <w:snapToGrid w:val="0"/>
        <w:jc w:val="center"/>
        <w:rPr>
          <w:rFonts w:ascii="宋体" w:hAnsi="宋体" w:cs="宋体"/>
          <w:bCs/>
          <w:sz w:val="24"/>
        </w:rPr>
      </w:pPr>
    </w:p>
    <w:p w:rsidR="00676F42">
      <w:pPr>
        <w:widowControl/>
        <w:jc w:val="left"/>
        <w:rPr>
          <w:rFonts w:ascii="宋体" w:hAnsi="宋体" w:cs="宋体"/>
          <w:sz w:val="24"/>
        </w:rPr>
        <w:sectPr>
          <w:footerReference w:type="default" r:id="rId5"/>
          <w:pgSz w:w="11906" w:h="16838"/>
          <w:pgMar w:top="1418" w:right="1701" w:bottom="1418" w:left="1701" w:header="851" w:footer="992" w:gutter="0"/>
          <w:cols w:space="720"/>
          <w:docGrid w:type="lines" w:linePitch="312"/>
        </w:sectPr>
      </w:pPr>
    </w:p>
    <w:p w:rsidR="00676F42">
      <w:pPr>
        <w:jc w:val="center"/>
        <w:rPr>
          <w:rFonts w:ascii="宋体" w:hAnsi="宋体" w:cs="宋体"/>
          <w:b/>
          <w:bCs/>
          <w:sz w:val="30"/>
        </w:rPr>
      </w:pPr>
      <w:r>
        <w:rPr>
          <w:rFonts w:ascii="宋体" w:hAnsi="宋体" w:cs="宋体" w:hint="eastAsia"/>
          <w:b/>
          <w:bCs/>
          <w:sz w:val="30"/>
          <w:highlight w:val="white"/>
        </w:rPr>
        <w:t>目    录</w:t>
      </w:r>
    </w:p>
    <w:p w:rsidR="00676F42">
      <w:pPr>
        <w:pStyle w:val="TOC2"/>
        <w:rPr>
          <w:rFonts w:ascii="宋体" w:hAnsi="宋体" w:cs="宋体"/>
          <w:sz w:val="22"/>
          <w:szCs w:val="22"/>
        </w:rPr>
      </w:pPr>
      <w:r>
        <w:rPr>
          <w:rFonts w:ascii="宋体" w:hAnsi="宋体" w:cs="宋体"/>
        </w:rPr>
        <w:fldChar w:fldCharType="begin"/>
      </w:r>
      <w:r>
        <w:rPr>
          <w:rFonts w:ascii="宋体" w:hAnsi="宋体" w:cs="宋体"/>
          <w:highlight w:val="white"/>
        </w:rPr>
        <w:instrText xml:space="preserve"> TOC \o "1-2" \h \z </w:instrText>
      </w:r>
      <w:r>
        <w:rPr>
          <w:rFonts w:ascii="宋体" w:hAnsi="宋体" w:cs="宋体"/>
        </w:rPr>
        <w:fldChar w:fldCharType="separate"/>
      </w:r>
      <w:hyperlink w:anchor="_Toc68875903" w:tooltip="Current Document" w:history="1">
        <w:r>
          <w:rPr>
            <w:rStyle w:val="Hyperlink"/>
            <w:rFonts w:ascii="宋体" w:hAnsi="宋体" w:cs="宋体" w:hint="eastAsia"/>
            <w:highlight w:val="white"/>
          </w:rPr>
          <w:t>一、基金托管协议当事人</w:t>
        </w:r>
        <w:r>
          <w:rPr>
            <w:rFonts w:ascii="宋体" w:hAnsi="宋体" w:cs="宋体"/>
            <w:highlight w:val="white"/>
          </w:rPr>
          <w:tab/>
        </w:r>
        <w:r>
          <w:rPr>
            <w:rFonts w:ascii="宋体" w:hAnsi="宋体" w:cs="宋体"/>
          </w:rPr>
          <w:fldChar w:fldCharType="begin"/>
        </w:r>
        <w:r>
          <w:rPr>
            <w:rFonts w:ascii="宋体" w:hAnsi="宋体" w:cs="宋体"/>
            <w:highlight w:val="white"/>
          </w:rPr>
          <w:instrText xml:space="preserve"> PAGEREF _Toc68875903 \h </w:instrText>
        </w:r>
        <w:r>
          <w:rPr>
            <w:rFonts w:ascii="宋体" w:hAnsi="宋体" w:cs="宋体"/>
          </w:rPr>
          <w:fldChar w:fldCharType="separate"/>
        </w:r>
        <w:r>
          <w:rPr>
            <w:rFonts w:ascii="宋体" w:hAnsi="宋体" w:cs="宋体"/>
            <w:highlight w:val="white"/>
          </w:rPr>
          <w:t>3</w:t>
        </w:r>
        <w:r>
          <w:rPr>
            <w:rFonts w:ascii="宋体" w:hAnsi="宋体" w:cs="宋体"/>
          </w:rPr>
          <w:fldChar w:fldCharType="end"/>
        </w:r>
      </w:hyperlink>
    </w:p>
    <w:p w:rsidR="00676F42">
      <w:pPr>
        <w:pStyle w:val="TOC2"/>
        <w:rPr>
          <w:rFonts w:ascii="宋体" w:hAnsi="宋体" w:cs="宋体"/>
          <w:sz w:val="22"/>
          <w:szCs w:val="22"/>
        </w:rPr>
      </w:pPr>
      <w:hyperlink w:anchor="_Toc68875904" w:tooltip="Current Document" w:history="1">
        <w:r w:rsidR="00454CED">
          <w:rPr>
            <w:rStyle w:val="Hyperlink"/>
            <w:rFonts w:ascii="宋体" w:hAnsi="宋体" w:cs="宋体" w:hint="eastAsia"/>
            <w:highlight w:val="white"/>
          </w:rPr>
          <w:t>二、基金托管协议的依据、目的和原则</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_Toc68875904 \h </w:instrText>
        </w:r>
        <w:r w:rsidR="00454CED">
          <w:rPr>
            <w:rFonts w:ascii="宋体" w:hAnsi="宋体" w:cs="宋体"/>
          </w:rPr>
          <w:fldChar w:fldCharType="separate"/>
        </w:r>
        <w:r w:rsidR="00454CED">
          <w:rPr>
            <w:rFonts w:ascii="宋体" w:hAnsi="宋体" w:cs="宋体"/>
            <w:highlight w:val="white"/>
          </w:rPr>
          <w:t>4</w:t>
        </w:r>
        <w:r w:rsidR="00454CED">
          <w:rPr>
            <w:rFonts w:ascii="宋体" w:hAnsi="宋体" w:cs="宋体"/>
          </w:rPr>
          <w:fldChar w:fldCharType="end"/>
        </w:r>
      </w:hyperlink>
    </w:p>
    <w:p w:rsidR="00676F42">
      <w:pPr>
        <w:pStyle w:val="TOC2"/>
        <w:rPr>
          <w:rFonts w:ascii="宋体" w:hAnsi="宋体" w:cs="宋体"/>
          <w:sz w:val="22"/>
          <w:szCs w:val="22"/>
        </w:rPr>
      </w:pPr>
      <w:hyperlink w:anchor="_Toc68875905" w:tooltip="Current Document" w:history="1">
        <w:r w:rsidR="00454CED">
          <w:rPr>
            <w:rStyle w:val="Hyperlink"/>
            <w:rFonts w:ascii="宋体" w:hAnsi="宋体" w:cs="宋体" w:hint="eastAsia"/>
            <w:highlight w:val="white"/>
          </w:rPr>
          <w:t>三、基金托管人对基金管理人的业务监督和核查</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_Toc68875905 \h </w:instrText>
        </w:r>
        <w:r w:rsidR="00454CED">
          <w:rPr>
            <w:rFonts w:ascii="宋体" w:hAnsi="宋体" w:cs="宋体"/>
          </w:rPr>
          <w:fldChar w:fldCharType="separate"/>
        </w:r>
        <w:r w:rsidR="00454CED">
          <w:rPr>
            <w:rFonts w:ascii="宋体" w:hAnsi="宋体" w:cs="宋体"/>
            <w:highlight w:val="white"/>
          </w:rPr>
          <w:t>4</w:t>
        </w:r>
        <w:r w:rsidR="00454CED">
          <w:rPr>
            <w:rFonts w:ascii="宋体" w:hAnsi="宋体" w:cs="宋体"/>
          </w:rPr>
          <w:fldChar w:fldCharType="end"/>
        </w:r>
      </w:hyperlink>
    </w:p>
    <w:p w:rsidR="00676F42">
      <w:pPr>
        <w:pStyle w:val="TOC2"/>
        <w:rPr>
          <w:rFonts w:ascii="宋体" w:hAnsi="宋体" w:cs="宋体"/>
          <w:sz w:val="22"/>
          <w:szCs w:val="22"/>
        </w:rPr>
      </w:pPr>
      <w:hyperlink w:anchor="_Toc68875906" w:tooltip="Current Document" w:history="1">
        <w:r w:rsidR="00454CED">
          <w:rPr>
            <w:rStyle w:val="Hyperlink"/>
            <w:rFonts w:ascii="宋体" w:hAnsi="宋体" w:cs="宋体" w:hint="eastAsia"/>
            <w:highlight w:val="white"/>
          </w:rPr>
          <w:t>四、基金管理人对基金托管人的业务核查</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_Toc68875906 \h </w:instrText>
        </w:r>
        <w:r w:rsidR="00454CED">
          <w:rPr>
            <w:rFonts w:ascii="宋体" w:hAnsi="宋体" w:cs="宋体"/>
          </w:rPr>
          <w:fldChar w:fldCharType="separate"/>
        </w:r>
        <w:r w:rsidR="00454CED">
          <w:rPr>
            <w:rFonts w:ascii="宋体" w:hAnsi="宋体" w:cs="宋体"/>
            <w:highlight w:val="white"/>
          </w:rPr>
          <w:t>8</w:t>
        </w:r>
        <w:r w:rsidR="00454CED">
          <w:rPr>
            <w:rFonts w:ascii="宋体" w:hAnsi="宋体" w:cs="宋体"/>
          </w:rPr>
          <w:fldChar w:fldCharType="end"/>
        </w:r>
      </w:hyperlink>
    </w:p>
    <w:p w:rsidR="00676F42">
      <w:pPr>
        <w:pStyle w:val="TOC2"/>
        <w:rPr>
          <w:rFonts w:ascii="宋体" w:hAnsi="宋体" w:cs="宋体"/>
          <w:sz w:val="22"/>
          <w:szCs w:val="22"/>
        </w:rPr>
      </w:pPr>
      <w:hyperlink w:anchor="_Toc68875907" w:tooltip="Current Document" w:history="1">
        <w:r w:rsidR="00454CED">
          <w:rPr>
            <w:rStyle w:val="Hyperlink"/>
            <w:rFonts w:ascii="宋体" w:hAnsi="宋体" w:cs="宋体" w:hint="eastAsia"/>
            <w:highlight w:val="white"/>
          </w:rPr>
          <w:t>五、基金财产的保管</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_Toc68875907 \h </w:instrText>
        </w:r>
        <w:r w:rsidR="00454CED">
          <w:rPr>
            <w:rFonts w:ascii="宋体" w:hAnsi="宋体" w:cs="宋体"/>
          </w:rPr>
          <w:fldChar w:fldCharType="separate"/>
        </w:r>
        <w:r w:rsidR="00454CED">
          <w:rPr>
            <w:rFonts w:ascii="宋体" w:hAnsi="宋体" w:cs="宋体"/>
            <w:highlight w:val="white"/>
          </w:rPr>
          <w:t>9</w:t>
        </w:r>
        <w:r w:rsidR="00454CED">
          <w:rPr>
            <w:rFonts w:ascii="宋体" w:hAnsi="宋体" w:cs="宋体"/>
          </w:rPr>
          <w:fldChar w:fldCharType="end"/>
        </w:r>
      </w:hyperlink>
    </w:p>
    <w:p w:rsidR="00676F42">
      <w:pPr>
        <w:pStyle w:val="TOC2"/>
        <w:rPr>
          <w:rFonts w:ascii="宋体" w:hAnsi="宋体" w:cs="宋体"/>
          <w:sz w:val="22"/>
          <w:szCs w:val="22"/>
        </w:rPr>
      </w:pPr>
      <w:hyperlink w:anchor="_Toc68875908" w:tooltip="Current Document" w:history="1">
        <w:r w:rsidR="00454CED">
          <w:rPr>
            <w:rStyle w:val="Hyperlink"/>
            <w:rFonts w:ascii="宋体" w:hAnsi="宋体" w:cs="宋体" w:hint="eastAsia"/>
            <w:highlight w:val="white"/>
          </w:rPr>
          <w:t>六、指令的发送、确认及执行</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_Toc68875908 \h </w:instrText>
        </w:r>
        <w:r w:rsidR="00454CED">
          <w:rPr>
            <w:rFonts w:ascii="宋体" w:hAnsi="宋体" w:cs="宋体"/>
          </w:rPr>
          <w:fldChar w:fldCharType="separate"/>
        </w:r>
        <w:r w:rsidR="00454CED">
          <w:rPr>
            <w:rFonts w:ascii="宋体" w:hAnsi="宋体" w:cs="宋体"/>
            <w:highlight w:val="white"/>
          </w:rPr>
          <w:t>11</w:t>
        </w:r>
        <w:r w:rsidR="00454CED">
          <w:rPr>
            <w:rFonts w:ascii="宋体" w:hAnsi="宋体" w:cs="宋体"/>
          </w:rPr>
          <w:fldChar w:fldCharType="end"/>
        </w:r>
      </w:hyperlink>
    </w:p>
    <w:p w:rsidR="00676F42">
      <w:pPr>
        <w:pStyle w:val="TOC2"/>
        <w:rPr>
          <w:rFonts w:ascii="宋体" w:hAnsi="宋体" w:cs="宋体"/>
          <w:sz w:val="22"/>
          <w:szCs w:val="22"/>
        </w:rPr>
      </w:pPr>
      <w:hyperlink w:anchor="_Toc68875909" w:tooltip="Current Document" w:history="1">
        <w:r w:rsidR="00454CED">
          <w:rPr>
            <w:rStyle w:val="Hyperlink"/>
            <w:rFonts w:ascii="宋体" w:hAnsi="宋体" w:cs="宋体" w:hint="eastAsia"/>
            <w:highlight w:val="white"/>
          </w:rPr>
          <w:t>七、交易及清算交收安排</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_Toc68875909 \h </w:instrText>
        </w:r>
        <w:r w:rsidR="00454CED">
          <w:rPr>
            <w:rFonts w:ascii="宋体" w:hAnsi="宋体" w:cs="宋体"/>
          </w:rPr>
          <w:fldChar w:fldCharType="separate"/>
        </w:r>
        <w:r w:rsidR="00454CED">
          <w:rPr>
            <w:rFonts w:ascii="宋体" w:hAnsi="宋体" w:cs="宋体"/>
            <w:highlight w:val="white"/>
          </w:rPr>
          <w:t>13</w:t>
        </w:r>
        <w:r w:rsidR="00454CED">
          <w:rPr>
            <w:rFonts w:ascii="宋体" w:hAnsi="宋体" w:cs="宋体"/>
          </w:rPr>
          <w:fldChar w:fldCharType="end"/>
        </w:r>
      </w:hyperlink>
    </w:p>
    <w:p w:rsidR="00676F42">
      <w:pPr>
        <w:pStyle w:val="TOC2"/>
        <w:rPr>
          <w:rFonts w:ascii="宋体" w:hAnsi="宋体" w:cs="宋体"/>
          <w:sz w:val="22"/>
          <w:szCs w:val="22"/>
        </w:rPr>
      </w:pPr>
      <w:hyperlink w:anchor="_Toc68875910" w:tooltip="Current Document" w:history="1">
        <w:r w:rsidR="00454CED">
          <w:rPr>
            <w:rStyle w:val="Hyperlink"/>
            <w:rFonts w:ascii="宋体" w:hAnsi="宋体" w:cs="宋体" w:hint="eastAsia"/>
            <w:highlight w:val="white"/>
          </w:rPr>
          <w:t>八、基金资产净值计算和会计核算</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_Toc68875910 \h </w:instrText>
        </w:r>
        <w:r w:rsidR="00454CED">
          <w:rPr>
            <w:rFonts w:ascii="宋体" w:hAnsi="宋体" w:cs="宋体"/>
          </w:rPr>
          <w:fldChar w:fldCharType="separate"/>
        </w:r>
        <w:r w:rsidR="00454CED">
          <w:rPr>
            <w:rFonts w:ascii="宋体" w:hAnsi="宋体" w:cs="宋体"/>
            <w:highlight w:val="white"/>
          </w:rPr>
          <w:t>16</w:t>
        </w:r>
        <w:r w:rsidR="00454CED">
          <w:rPr>
            <w:rFonts w:ascii="宋体" w:hAnsi="宋体" w:cs="宋体"/>
          </w:rPr>
          <w:fldChar w:fldCharType="end"/>
        </w:r>
      </w:hyperlink>
    </w:p>
    <w:p w:rsidR="00676F42">
      <w:pPr>
        <w:pStyle w:val="TOC2"/>
        <w:rPr>
          <w:rFonts w:ascii="宋体" w:hAnsi="宋体" w:cs="宋体"/>
          <w:sz w:val="22"/>
          <w:szCs w:val="22"/>
        </w:rPr>
      </w:pPr>
      <w:hyperlink w:anchor="_Toc68875911" w:tooltip="Current Document" w:history="1">
        <w:r w:rsidR="00454CED">
          <w:rPr>
            <w:rStyle w:val="Hyperlink"/>
            <w:rFonts w:ascii="宋体" w:hAnsi="宋体" w:cs="宋体" w:hint="eastAsia"/>
            <w:highlight w:val="white"/>
          </w:rPr>
          <w:t>九、基金收益分配</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_Toc68875911 \h </w:instrText>
        </w:r>
        <w:r w:rsidR="00454CED">
          <w:rPr>
            <w:rFonts w:ascii="宋体" w:hAnsi="宋体" w:cs="宋体"/>
          </w:rPr>
          <w:fldChar w:fldCharType="separate"/>
        </w:r>
        <w:r w:rsidR="00454CED">
          <w:rPr>
            <w:rFonts w:ascii="宋体" w:hAnsi="宋体" w:cs="宋体"/>
            <w:highlight w:val="white"/>
          </w:rPr>
          <w:t>20</w:t>
        </w:r>
        <w:r w:rsidR="00454CED">
          <w:rPr>
            <w:rFonts w:ascii="宋体" w:hAnsi="宋体" w:cs="宋体"/>
          </w:rPr>
          <w:fldChar w:fldCharType="end"/>
        </w:r>
      </w:hyperlink>
    </w:p>
    <w:p w:rsidR="00676F42">
      <w:pPr>
        <w:pStyle w:val="TOC2"/>
        <w:rPr>
          <w:rFonts w:ascii="宋体" w:hAnsi="宋体" w:cs="宋体"/>
          <w:sz w:val="22"/>
          <w:szCs w:val="22"/>
        </w:rPr>
      </w:pPr>
      <w:hyperlink w:anchor="_Toc68875912" w:tooltip="Current Document" w:history="1">
        <w:r w:rsidR="00454CED">
          <w:rPr>
            <w:rStyle w:val="Hyperlink"/>
            <w:rFonts w:ascii="宋体" w:hAnsi="宋体" w:cs="宋体" w:hint="eastAsia"/>
            <w:highlight w:val="white"/>
          </w:rPr>
          <w:t>十、基金信息披露</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_Toc68875912 \h </w:instrText>
        </w:r>
        <w:r w:rsidR="00454CED">
          <w:rPr>
            <w:rFonts w:ascii="宋体" w:hAnsi="宋体" w:cs="宋体"/>
          </w:rPr>
          <w:fldChar w:fldCharType="separate"/>
        </w:r>
        <w:r w:rsidR="00454CED">
          <w:rPr>
            <w:rFonts w:ascii="宋体" w:hAnsi="宋体" w:cs="宋体"/>
            <w:highlight w:val="white"/>
          </w:rPr>
          <w:t>21</w:t>
        </w:r>
        <w:r w:rsidR="00454CED">
          <w:rPr>
            <w:rFonts w:ascii="宋体" w:hAnsi="宋体" w:cs="宋体"/>
          </w:rPr>
          <w:fldChar w:fldCharType="end"/>
        </w:r>
      </w:hyperlink>
    </w:p>
    <w:p w:rsidR="00676F42">
      <w:pPr>
        <w:pStyle w:val="TOC2"/>
        <w:rPr>
          <w:rFonts w:ascii="宋体" w:hAnsi="宋体" w:cs="宋体"/>
          <w:sz w:val="22"/>
          <w:szCs w:val="22"/>
        </w:rPr>
      </w:pPr>
      <w:hyperlink w:anchor="_Toc68875913" w:tooltip="Current Document" w:history="1">
        <w:r w:rsidR="00454CED">
          <w:rPr>
            <w:rStyle w:val="Hyperlink"/>
            <w:rFonts w:ascii="宋体" w:hAnsi="宋体" w:cs="宋体" w:hint="eastAsia"/>
            <w:highlight w:val="white"/>
          </w:rPr>
          <w:t>十一、基金费用</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_Toc68875913 \h </w:instrText>
        </w:r>
        <w:r w:rsidR="00454CED">
          <w:rPr>
            <w:rFonts w:ascii="宋体" w:hAnsi="宋体" w:cs="宋体"/>
          </w:rPr>
          <w:fldChar w:fldCharType="separate"/>
        </w:r>
        <w:r w:rsidR="00454CED">
          <w:rPr>
            <w:rFonts w:ascii="宋体" w:hAnsi="宋体" w:cs="宋体"/>
            <w:highlight w:val="white"/>
          </w:rPr>
          <w:t>22</w:t>
        </w:r>
        <w:r w:rsidR="00454CED">
          <w:rPr>
            <w:rFonts w:ascii="宋体" w:hAnsi="宋体" w:cs="宋体"/>
          </w:rPr>
          <w:fldChar w:fldCharType="end"/>
        </w:r>
      </w:hyperlink>
    </w:p>
    <w:p w:rsidR="00676F42">
      <w:pPr>
        <w:pStyle w:val="TOC2"/>
        <w:rPr>
          <w:rFonts w:ascii="宋体" w:hAnsi="宋体" w:cs="宋体"/>
          <w:sz w:val="22"/>
          <w:szCs w:val="22"/>
        </w:rPr>
      </w:pPr>
      <w:hyperlink w:anchor="_Toc68875914" w:tooltip="Current Document" w:history="1">
        <w:r w:rsidR="00454CED">
          <w:rPr>
            <w:rStyle w:val="Hyperlink"/>
            <w:rFonts w:ascii="宋体" w:hAnsi="宋体" w:cs="宋体" w:hint="eastAsia"/>
            <w:highlight w:val="white"/>
          </w:rPr>
          <w:t>十二、基金份额持有人名册的保管</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_Toc68875914 \h </w:instrText>
        </w:r>
        <w:r w:rsidR="00454CED">
          <w:rPr>
            <w:rFonts w:ascii="宋体" w:hAnsi="宋体" w:cs="宋体"/>
          </w:rPr>
          <w:fldChar w:fldCharType="separate"/>
        </w:r>
        <w:r w:rsidR="00454CED">
          <w:rPr>
            <w:rFonts w:ascii="宋体" w:hAnsi="宋体" w:cs="宋体"/>
            <w:highlight w:val="white"/>
          </w:rPr>
          <w:t>26</w:t>
        </w:r>
        <w:r w:rsidR="00454CED">
          <w:rPr>
            <w:rFonts w:ascii="宋体" w:hAnsi="宋体" w:cs="宋体"/>
          </w:rPr>
          <w:fldChar w:fldCharType="end"/>
        </w:r>
      </w:hyperlink>
    </w:p>
    <w:p w:rsidR="00676F42">
      <w:pPr>
        <w:pStyle w:val="TOC2"/>
        <w:rPr>
          <w:rFonts w:ascii="宋体" w:hAnsi="宋体" w:cs="宋体"/>
          <w:sz w:val="22"/>
          <w:szCs w:val="22"/>
        </w:rPr>
      </w:pPr>
      <w:hyperlink w:anchor="_Toc68875915" w:tooltip="Current Document" w:history="1">
        <w:r w:rsidR="00454CED">
          <w:rPr>
            <w:rStyle w:val="Hyperlink"/>
            <w:rFonts w:ascii="宋体" w:hAnsi="宋体" w:cs="宋体" w:hint="eastAsia"/>
            <w:highlight w:val="white"/>
          </w:rPr>
          <w:t>十三、基金有关文件档案的保存</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_Toc68875915 \h </w:instrText>
        </w:r>
        <w:r w:rsidR="00454CED">
          <w:rPr>
            <w:rFonts w:ascii="宋体" w:hAnsi="宋体" w:cs="宋体"/>
          </w:rPr>
          <w:fldChar w:fldCharType="separate"/>
        </w:r>
        <w:r w:rsidR="00454CED">
          <w:rPr>
            <w:rFonts w:ascii="宋体" w:hAnsi="宋体" w:cs="宋体"/>
            <w:highlight w:val="white"/>
          </w:rPr>
          <w:t>26</w:t>
        </w:r>
        <w:r w:rsidR="00454CED">
          <w:rPr>
            <w:rFonts w:ascii="宋体" w:hAnsi="宋体" w:cs="宋体"/>
          </w:rPr>
          <w:fldChar w:fldCharType="end"/>
        </w:r>
      </w:hyperlink>
    </w:p>
    <w:p w:rsidR="00676F42">
      <w:pPr>
        <w:pStyle w:val="TOC2"/>
        <w:rPr>
          <w:rFonts w:ascii="宋体" w:hAnsi="宋体" w:cs="宋体"/>
          <w:sz w:val="22"/>
          <w:szCs w:val="22"/>
        </w:rPr>
      </w:pPr>
      <w:hyperlink w:anchor="_Toc68875916" w:tooltip="Current Document" w:history="1">
        <w:r w:rsidR="00454CED">
          <w:rPr>
            <w:rStyle w:val="Hyperlink"/>
            <w:rFonts w:ascii="宋体" w:hAnsi="宋体" w:cs="宋体" w:hint="eastAsia"/>
            <w:highlight w:val="white"/>
          </w:rPr>
          <w:t>十四、基金管理人和基金托管人的更换</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_Toc68875916 \h </w:instrText>
        </w:r>
        <w:r w:rsidR="00454CED">
          <w:rPr>
            <w:rFonts w:ascii="宋体" w:hAnsi="宋体" w:cs="宋体"/>
          </w:rPr>
          <w:fldChar w:fldCharType="separate"/>
        </w:r>
        <w:r w:rsidR="00454CED">
          <w:rPr>
            <w:rFonts w:ascii="宋体" w:hAnsi="宋体" w:cs="宋体"/>
            <w:highlight w:val="white"/>
          </w:rPr>
          <w:t>27</w:t>
        </w:r>
        <w:r w:rsidR="00454CED">
          <w:rPr>
            <w:rFonts w:ascii="宋体" w:hAnsi="宋体" w:cs="宋体"/>
          </w:rPr>
          <w:fldChar w:fldCharType="end"/>
        </w:r>
      </w:hyperlink>
    </w:p>
    <w:p w:rsidR="00676F42">
      <w:pPr>
        <w:pStyle w:val="TOC2"/>
        <w:rPr>
          <w:rFonts w:ascii="宋体" w:hAnsi="宋体" w:cs="宋体"/>
          <w:sz w:val="22"/>
          <w:szCs w:val="22"/>
        </w:rPr>
      </w:pPr>
      <w:hyperlink w:anchor="_Toc68875917" w:tooltip="Current Document" w:history="1">
        <w:r w:rsidR="00454CED">
          <w:rPr>
            <w:rStyle w:val="Hyperlink"/>
            <w:rFonts w:ascii="宋体" w:hAnsi="宋体" w:cs="宋体" w:hint="eastAsia"/>
            <w:highlight w:val="white"/>
          </w:rPr>
          <w:t>十五、禁止行为</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_Toc68875917 \h </w:instrText>
        </w:r>
        <w:r w:rsidR="00454CED">
          <w:rPr>
            <w:rFonts w:ascii="宋体" w:hAnsi="宋体" w:cs="宋体"/>
          </w:rPr>
          <w:fldChar w:fldCharType="separate"/>
        </w:r>
        <w:r w:rsidR="00454CED">
          <w:rPr>
            <w:rFonts w:ascii="宋体" w:hAnsi="宋体" w:cs="宋体"/>
            <w:highlight w:val="white"/>
          </w:rPr>
          <w:t>28</w:t>
        </w:r>
        <w:r w:rsidR="00454CED">
          <w:rPr>
            <w:rFonts w:ascii="宋体" w:hAnsi="宋体" w:cs="宋体"/>
          </w:rPr>
          <w:fldChar w:fldCharType="end"/>
        </w:r>
      </w:hyperlink>
    </w:p>
    <w:p w:rsidR="00676F42">
      <w:pPr>
        <w:pStyle w:val="TOC2"/>
        <w:rPr>
          <w:rFonts w:ascii="宋体" w:hAnsi="宋体" w:cs="宋体"/>
          <w:sz w:val="22"/>
          <w:szCs w:val="22"/>
        </w:rPr>
      </w:pPr>
      <w:hyperlink w:anchor="_Toc68875918" w:tooltip="Current Document" w:history="1">
        <w:r w:rsidR="00454CED">
          <w:rPr>
            <w:rStyle w:val="Hyperlink"/>
            <w:rFonts w:ascii="宋体" w:hAnsi="宋体" w:cs="宋体" w:hint="eastAsia"/>
            <w:highlight w:val="white"/>
          </w:rPr>
          <w:t>十六、托管协议的变更、终止与基金财产的清算</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_Toc68875918 \h </w:instrText>
        </w:r>
        <w:r w:rsidR="00454CED">
          <w:rPr>
            <w:rFonts w:ascii="宋体" w:hAnsi="宋体" w:cs="宋体"/>
          </w:rPr>
          <w:fldChar w:fldCharType="separate"/>
        </w:r>
        <w:r w:rsidR="00454CED">
          <w:rPr>
            <w:rFonts w:ascii="宋体" w:hAnsi="宋体" w:cs="宋体"/>
            <w:highlight w:val="white"/>
          </w:rPr>
          <w:t>29</w:t>
        </w:r>
        <w:r w:rsidR="00454CED">
          <w:rPr>
            <w:rFonts w:ascii="宋体" w:hAnsi="宋体" w:cs="宋体"/>
          </w:rPr>
          <w:fldChar w:fldCharType="end"/>
        </w:r>
      </w:hyperlink>
    </w:p>
    <w:p w:rsidR="00676F42">
      <w:pPr>
        <w:pStyle w:val="TOC2"/>
        <w:rPr>
          <w:rFonts w:ascii="宋体" w:hAnsi="宋体" w:cs="宋体"/>
          <w:sz w:val="22"/>
          <w:szCs w:val="22"/>
        </w:rPr>
      </w:pPr>
      <w:hyperlink w:anchor="_Toc68875919" w:tooltip="Current Document" w:history="1">
        <w:r w:rsidR="00454CED">
          <w:rPr>
            <w:rStyle w:val="Hyperlink"/>
            <w:rFonts w:ascii="宋体" w:hAnsi="宋体" w:cs="宋体" w:hint="eastAsia"/>
            <w:highlight w:val="white"/>
          </w:rPr>
          <w:t>十七、违约责任</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_Toc68875919 \h </w:instrText>
        </w:r>
        <w:r w:rsidR="00454CED">
          <w:rPr>
            <w:rFonts w:ascii="宋体" w:hAnsi="宋体" w:cs="宋体"/>
          </w:rPr>
          <w:fldChar w:fldCharType="separate"/>
        </w:r>
        <w:r w:rsidR="00454CED">
          <w:rPr>
            <w:rFonts w:ascii="宋体" w:hAnsi="宋体" w:cs="宋体"/>
            <w:highlight w:val="white"/>
          </w:rPr>
          <w:t>30</w:t>
        </w:r>
        <w:r w:rsidR="00454CED">
          <w:rPr>
            <w:rFonts w:ascii="宋体" w:hAnsi="宋体" w:cs="宋体"/>
          </w:rPr>
          <w:fldChar w:fldCharType="end"/>
        </w:r>
      </w:hyperlink>
    </w:p>
    <w:p w:rsidR="00676F42">
      <w:pPr>
        <w:pStyle w:val="TOC2"/>
        <w:rPr>
          <w:rFonts w:ascii="宋体" w:hAnsi="宋体" w:cs="宋体"/>
          <w:sz w:val="22"/>
          <w:szCs w:val="22"/>
        </w:rPr>
      </w:pPr>
      <w:hyperlink w:anchor="_Toc68875920" w:tooltip="Current Document" w:history="1">
        <w:r w:rsidR="00454CED">
          <w:rPr>
            <w:rStyle w:val="Hyperlink"/>
            <w:rFonts w:ascii="宋体" w:hAnsi="宋体" w:cs="宋体" w:hint="eastAsia"/>
            <w:highlight w:val="white"/>
          </w:rPr>
          <w:t>十八、争议解决方式</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_Toc68875920 \h </w:instrText>
        </w:r>
        <w:r w:rsidR="00454CED">
          <w:rPr>
            <w:rFonts w:ascii="宋体" w:hAnsi="宋体" w:cs="宋体"/>
          </w:rPr>
          <w:fldChar w:fldCharType="separate"/>
        </w:r>
        <w:r w:rsidR="00454CED">
          <w:rPr>
            <w:rFonts w:ascii="宋体" w:hAnsi="宋体" w:cs="宋体"/>
            <w:highlight w:val="white"/>
          </w:rPr>
          <w:t>31</w:t>
        </w:r>
        <w:r w:rsidR="00454CED">
          <w:rPr>
            <w:rFonts w:ascii="宋体" w:hAnsi="宋体" w:cs="宋体"/>
          </w:rPr>
          <w:fldChar w:fldCharType="end"/>
        </w:r>
      </w:hyperlink>
    </w:p>
    <w:p w:rsidR="00676F42">
      <w:pPr>
        <w:pStyle w:val="TOC2"/>
        <w:rPr>
          <w:rFonts w:ascii="宋体" w:hAnsi="宋体" w:cs="宋体"/>
          <w:sz w:val="22"/>
          <w:szCs w:val="22"/>
        </w:rPr>
      </w:pPr>
      <w:hyperlink w:anchor="_Toc68875921" w:tooltip="Current Document" w:history="1">
        <w:r w:rsidR="00454CED">
          <w:rPr>
            <w:rStyle w:val="Hyperlink"/>
            <w:rFonts w:ascii="宋体" w:hAnsi="宋体" w:cs="宋体" w:hint="eastAsia"/>
            <w:highlight w:val="white"/>
          </w:rPr>
          <w:t>十九、托管协议的效力</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_Toc68875921 \h </w:instrText>
        </w:r>
        <w:r w:rsidR="00454CED">
          <w:rPr>
            <w:rFonts w:ascii="宋体" w:hAnsi="宋体" w:cs="宋体"/>
          </w:rPr>
          <w:fldChar w:fldCharType="separate"/>
        </w:r>
        <w:r w:rsidR="00454CED">
          <w:rPr>
            <w:rFonts w:ascii="宋体" w:hAnsi="宋体" w:cs="宋体"/>
            <w:highlight w:val="white"/>
          </w:rPr>
          <w:t>31</w:t>
        </w:r>
        <w:r w:rsidR="00454CED">
          <w:rPr>
            <w:rFonts w:ascii="宋体" w:hAnsi="宋体" w:cs="宋体"/>
          </w:rPr>
          <w:fldChar w:fldCharType="end"/>
        </w:r>
      </w:hyperlink>
    </w:p>
    <w:p w:rsidR="00676F42">
      <w:pPr>
        <w:pStyle w:val="TOC2"/>
        <w:rPr>
          <w:rFonts w:ascii="宋体" w:hAnsi="宋体" w:cs="宋体"/>
          <w:sz w:val="22"/>
          <w:szCs w:val="22"/>
        </w:rPr>
      </w:pPr>
      <w:hyperlink w:anchor="_Toc68875922" w:tooltip="Current Document" w:history="1">
        <w:r w:rsidR="00454CED">
          <w:rPr>
            <w:rStyle w:val="Hyperlink"/>
            <w:rFonts w:ascii="宋体" w:hAnsi="宋体" w:cs="宋体" w:hint="eastAsia"/>
            <w:highlight w:val="white"/>
          </w:rPr>
          <w:t>二十、其他事项</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_Toc68875922 \h </w:instrText>
        </w:r>
        <w:r w:rsidR="00454CED">
          <w:rPr>
            <w:rFonts w:ascii="宋体" w:hAnsi="宋体" w:cs="宋体"/>
          </w:rPr>
          <w:fldChar w:fldCharType="separate"/>
        </w:r>
        <w:r w:rsidR="00454CED">
          <w:rPr>
            <w:rFonts w:ascii="宋体" w:hAnsi="宋体" w:cs="宋体"/>
            <w:highlight w:val="white"/>
          </w:rPr>
          <w:t>31</w:t>
        </w:r>
        <w:r w:rsidR="00454CED">
          <w:rPr>
            <w:rFonts w:ascii="宋体" w:hAnsi="宋体" w:cs="宋体"/>
          </w:rPr>
          <w:fldChar w:fldCharType="end"/>
        </w:r>
      </w:hyperlink>
    </w:p>
    <w:p w:rsidR="00676F42">
      <w:pPr>
        <w:pStyle w:val="TOC2"/>
        <w:rPr>
          <w:rFonts w:ascii="宋体" w:hAnsi="宋体" w:cs="宋体"/>
          <w:sz w:val="22"/>
          <w:szCs w:val="22"/>
        </w:rPr>
      </w:pPr>
      <w:hyperlink w:anchor="_Toc68875923" w:tooltip="Current Document" w:history="1">
        <w:r w:rsidR="00454CED">
          <w:rPr>
            <w:rStyle w:val="Hyperlink"/>
            <w:rFonts w:ascii="宋体" w:hAnsi="宋体" w:cs="宋体" w:hint="eastAsia"/>
            <w:highlight w:val="white"/>
          </w:rPr>
          <w:t>二十一、托管协议的签订</w:t>
        </w:r>
        <w:r w:rsidR="00454CED">
          <w:rPr>
            <w:rFonts w:ascii="宋体" w:hAnsi="宋体" w:cs="宋体"/>
            <w:highlight w:val="white"/>
          </w:rPr>
          <w:tab/>
        </w:r>
        <w:r w:rsidR="00454CED">
          <w:rPr>
            <w:rFonts w:ascii="宋体" w:hAnsi="宋体" w:cs="宋体"/>
          </w:rPr>
          <w:fldChar w:fldCharType="begin"/>
        </w:r>
        <w:r w:rsidR="00454CED">
          <w:rPr>
            <w:rFonts w:ascii="宋体" w:hAnsi="宋体" w:cs="宋体"/>
            <w:highlight w:val="white"/>
          </w:rPr>
          <w:instrText xml:space="preserve"> PAGEREF _Toc68875923 \h </w:instrText>
        </w:r>
        <w:r w:rsidR="00454CED">
          <w:rPr>
            <w:rFonts w:ascii="宋体" w:hAnsi="宋体" w:cs="宋体"/>
          </w:rPr>
          <w:fldChar w:fldCharType="separate"/>
        </w:r>
        <w:r w:rsidR="00454CED">
          <w:rPr>
            <w:rFonts w:ascii="宋体" w:hAnsi="宋体" w:cs="宋体"/>
            <w:highlight w:val="white"/>
          </w:rPr>
          <w:t>32</w:t>
        </w:r>
        <w:r w:rsidR="00454CED">
          <w:rPr>
            <w:rFonts w:ascii="宋体" w:hAnsi="宋体" w:cs="宋体"/>
          </w:rPr>
          <w:fldChar w:fldCharType="end"/>
        </w:r>
      </w:hyperlink>
    </w:p>
    <w:p w:rsidR="00676F42">
      <w:pPr>
        <w:rPr>
          <w:rFonts w:ascii="宋体" w:hAnsi="宋体" w:cs="宋体"/>
          <w:sz w:val="24"/>
        </w:rPr>
      </w:pPr>
      <w:r>
        <w:rPr>
          <w:rFonts w:ascii="宋体" w:hAnsi="宋体" w:cs="宋体"/>
          <w:sz w:val="28"/>
        </w:rPr>
        <w:fldChar w:fldCharType="end"/>
      </w:r>
    </w:p>
    <w:p w:rsidR="00676F42">
      <w:pPr>
        <w:widowControl/>
        <w:snapToGrid w:val="0"/>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rPr>
      </w:pPr>
    </w:p>
    <w:p w:rsidR="00676F42">
      <w:pPr>
        <w:widowControl/>
        <w:ind w:firstLine="480"/>
        <w:rPr>
          <w:rFonts w:ascii="宋体" w:hAnsi="宋体" w:cs="宋体"/>
          <w:sz w:val="24"/>
          <w:lang w:eastAsia="zh-CN"/>
        </w:rPr>
      </w:pPr>
      <w:r>
        <w:rPr>
          <w:rFonts w:ascii="宋体" w:hAnsi="宋体" w:cs="宋体"/>
          <w:sz w:val="24"/>
          <w:highlight w:val="white"/>
          <w:lang w:eastAsia="zh-CN"/>
        </w:rPr>
        <w:t>鉴于易方达基金管理有限公司系一家依照中国法律合法成立并有效存续的有限责任公司，按照相关法律法规的规定具备担任基金管理人的资格和能力，拟募集发行</w:t>
      </w:r>
      <w:r>
        <w:rPr>
          <w:rFonts w:ascii="宋体" w:hAnsi="宋体" w:cs="宋体"/>
          <w:sz w:val="24"/>
          <w:lang w:eastAsia="zh-CN"/>
        </w:rPr>
        <w:t>易方达成长领航混合型证券投资基金</w:t>
      </w:r>
      <w:r>
        <w:rPr>
          <w:rFonts w:ascii="宋体" w:hAnsi="宋体" w:cs="宋体"/>
          <w:sz w:val="24"/>
          <w:highlight w:val="white"/>
          <w:lang w:eastAsia="zh-CN"/>
        </w:rPr>
        <w:t>；</w:t>
      </w:r>
    </w:p>
    <w:p w:rsidR="00676F42">
      <w:pPr>
        <w:widowControl/>
        <w:snapToGrid w:val="0"/>
        <w:ind w:firstLine="480"/>
        <w:rPr>
          <w:rFonts w:ascii="宋体" w:hAnsi="宋体" w:cs="宋体"/>
          <w:sz w:val="24"/>
          <w:lang w:eastAsia="zh-CN"/>
        </w:rPr>
      </w:pPr>
      <w:r>
        <w:rPr>
          <w:rFonts w:ascii="宋体" w:hAnsi="宋体" w:cs="宋体" w:hint="eastAsia"/>
          <w:sz w:val="24"/>
          <w:highlight w:val="white"/>
          <w:lang w:eastAsia="zh-CN"/>
        </w:rPr>
        <w:t>鉴于中国建设银行股份有限公司系一家依照中国法律合法成立并有效存续的银行，按照相关法律法规的规定具备担任基金托管人的资格和能力；</w:t>
      </w:r>
    </w:p>
    <w:p w:rsidR="00676F42">
      <w:pPr>
        <w:widowControl/>
        <w:snapToGrid w:val="0"/>
        <w:ind w:firstLine="480"/>
        <w:rPr>
          <w:rFonts w:ascii="宋体" w:hAnsi="宋体" w:cs="宋体"/>
          <w:sz w:val="24"/>
          <w:lang w:eastAsia="zh-CN"/>
        </w:rPr>
      </w:pPr>
      <w:r>
        <w:rPr>
          <w:rFonts w:ascii="宋体" w:hAnsi="宋体" w:cs="宋体" w:hint="eastAsia"/>
          <w:sz w:val="24"/>
          <w:highlight w:val="white"/>
          <w:lang w:eastAsia="zh-CN"/>
        </w:rPr>
        <w:t>鉴于易方达基金管理有限公司拟担任</w:t>
      </w:r>
      <w:r>
        <w:rPr>
          <w:rFonts w:ascii="宋体" w:hAnsi="宋体" w:cs="宋体" w:hint="eastAsia"/>
          <w:sz w:val="24"/>
          <w:lang w:eastAsia="zh-CN"/>
        </w:rPr>
        <w:t>易方达成长领航混合型证券投资基金</w:t>
      </w:r>
      <w:r>
        <w:rPr>
          <w:rFonts w:ascii="宋体" w:hAnsi="宋体" w:cs="宋体" w:hint="eastAsia"/>
          <w:sz w:val="24"/>
          <w:highlight w:val="white"/>
          <w:lang w:eastAsia="zh-CN"/>
        </w:rPr>
        <w:t>的基金管理人，中国建设银行股份有限公司拟担任</w:t>
      </w:r>
      <w:r>
        <w:rPr>
          <w:rFonts w:ascii="宋体" w:hAnsi="宋体" w:cs="宋体" w:hint="eastAsia"/>
          <w:sz w:val="24"/>
          <w:lang w:eastAsia="zh-CN"/>
        </w:rPr>
        <w:t>易方达成长领航混合型证券投资基金</w:t>
      </w:r>
      <w:r>
        <w:rPr>
          <w:rFonts w:ascii="宋体" w:hAnsi="宋体" w:cs="宋体" w:hint="eastAsia"/>
          <w:sz w:val="24"/>
          <w:highlight w:val="white"/>
          <w:lang w:eastAsia="zh-CN"/>
        </w:rPr>
        <w:t>的基金托管人；</w:t>
      </w:r>
    </w:p>
    <w:p w:rsidR="00676F42">
      <w:pPr>
        <w:widowControl/>
        <w:snapToGrid w:val="0"/>
        <w:ind w:firstLine="480"/>
        <w:rPr>
          <w:rFonts w:ascii="宋体" w:hAnsi="宋体" w:cs="宋体"/>
          <w:sz w:val="24"/>
          <w:lang w:eastAsia="zh-CN"/>
        </w:rPr>
      </w:pPr>
      <w:r>
        <w:rPr>
          <w:rFonts w:ascii="宋体" w:hAnsi="宋体" w:cs="宋体" w:hint="eastAsia"/>
          <w:sz w:val="24"/>
          <w:highlight w:val="white"/>
          <w:lang w:eastAsia="zh-CN"/>
        </w:rPr>
        <w:t>为明确</w:t>
      </w:r>
      <w:r>
        <w:rPr>
          <w:rFonts w:ascii="宋体" w:hAnsi="宋体" w:cs="宋体" w:hint="eastAsia"/>
          <w:sz w:val="24"/>
          <w:lang w:eastAsia="zh-CN"/>
        </w:rPr>
        <w:t>易方达成长领航混合型证券投资基金</w:t>
      </w:r>
      <w:r>
        <w:rPr>
          <w:rFonts w:ascii="宋体" w:hAnsi="宋体" w:cs="宋体" w:hint="eastAsia"/>
          <w:sz w:val="24"/>
          <w:highlight w:val="white"/>
          <w:lang w:eastAsia="zh-CN"/>
        </w:rPr>
        <w:t>的基金管理人和基金托管人之间的权利义务关系，特制订本托管协议；</w:t>
      </w:r>
    </w:p>
    <w:p w:rsidR="00676F42">
      <w:pPr>
        <w:widowControl/>
        <w:snapToGrid w:val="0"/>
        <w:ind w:firstLine="480"/>
        <w:rPr>
          <w:rFonts w:ascii="宋体" w:hAnsi="宋体" w:cs="宋体"/>
          <w:sz w:val="24"/>
          <w:lang w:eastAsia="zh-CN"/>
        </w:rPr>
      </w:pPr>
      <w:r>
        <w:rPr>
          <w:rFonts w:ascii="宋体" w:hAnsi="宋体" w:cs="宋体" w:hint="eastAsia"/>
          <w:sz w:val="24"/>
          <w:highlight w:val="white"/>
          <w:lang w:val="en-GB" w:eastAsia="zh-CN"/>
        </w:rPr>
        <w:t>除非另有约定，《</w:t>
      </w:r>
      <w:r>
        <w:rPr>
          <w:rFonts w:ascii="宋体" w:hAnsi="宋体" w:cs="宋体" w:hint="eastAsia"/>
          <w:sz w:val="24"/>
          <w:lang w:eastAsia="zh-CN"/>
        </w:rPr>
        <w:t>易方达成长领航混合型证券投资基金</w:t>
      </w:r>
      <w:r>
        <w:rPr>
          <w:rFonts w:ascii="宋体" w:hAnsi="宋体" w:cs="宋体" w:hint="eastAsia"/>
          <w:sz w:val="24"/>
          <w:highlight w:val="white"/>
          <w:lang w:val="en-GB" w:eastAsia="zh-CN"/>
        </w:rPr>
        <w:t>基金合同》(以下简称“基金合同”)中定义的术语在用于本托管协议时应具有相同的含义；若有抵触应以《基金合同》为准，并依其</w:t>
      </w:r>
      <w:r>
        <w:rPr>
          <w:rFonts w:ascii="宋体" w:hAnsi="宋体" w:cs="宋体" w:hint="eastAsia"/>
          <w:sz w:val="24"/>
          <w:highlight w:val="white"/>
          <w:lang w:eastAsia="zh-CN"/>
        </w:rPr>
        <w:t>条款</w:t>
      </w:r>
      <w:r>
        <w:rPr>
          <w:rFonts w:ascii="宋体" w:hAnsi="宋体" w:cs="宋体" w:hint="eastAsia"/>
          <w:sz w:val="24"/>
          <w:highlight w:val="white"/>
          <w:lang w:val="en-GB" w:eastAsia="zh-CN"/>
        </w:rPr>
        <w:t>解释。</w:t>
      </w:r>
    </w:p>
    <w:p w:rsidR="00676F42">
      <w:pPr>
        <w:rPr>
          <w:rFonts w:ascii="宋体" w:hAnsi="宋体" w:cs="宋体"/>
          <w:sz w:val="24"/>
          <w:lang w:eastAsia="zh-CN"/>
        </w:rPr>
      </w:pPr>
    </w:p>
    <w:p w:rsidR="00676F42">
      <w:pPr>
        <w:pStyle w:val="21"/>
        <w:jc w:val="center"/>
        <w:rPr>
          <w:rFonts w:ascii="宋体" w:eastAsia="宋体" w:hAnsi="宋体" w:cs="宋体"/>
          <w:lang w:eastAsia="zh-CN"/>
        </w:rPr>
      </w:pPr>
      <w:bookmarkStart w:id="0" w:name="_Toc68875903"/>
      <w:r>
        <w:rPr>
          <w:rFonts w:ascii="宋体" w:eastAsia="宋体" w:hAnsi="宋体" w:cs="宋体" w:hint="eastAsia"/>
          <w:highlight w:val="white"/>
          <w:lang w:eastAsia="zh-CN"/>
        </w:rPr>
        <w:t>一、基金托管协议当事人</w:t>
      </w:r>
      <w:bookmarkEnd w:id="0"/>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（一）基金管理人</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名称：易方达基金管理有限公司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住所：广东省珠海市横琴新区荣粤道188号6层</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 xml:space="preserve">法定代表人：吴欣荣 </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设立日期：2001年4月17日</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批准设立机关及批准设立文号：中国证券监督管理委员会，证监基金字[2001]4号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组织形式：有限责任公司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注册资本：13,244.2万元人民币</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存续期限：持续经营</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联系电话：4008818088</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（二）基金托管人</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名称：中国建设银行股份有限公司(简称：中国建设银行)</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住所：北京市西城区金融大街25号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办公地址：北京市西城区闹市口大街1号院1号楼</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邮政编码：100033</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法定代表人：张金良</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成立日期：2004年09月17日</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基金托管业务批准文号：中国证监会证监基字[1998</w:t>
      </w:r>
      <w:bookmarkStart w:id="1" w:name="OLE_LINK3"/>
      <w:r>
        <w:rPr>
          <w:rFonts w:ascii="宋体" w:hAnsi="宋体" w:cs="宋体" w:hint="eastAsia"/>
          <w:sz w:val="24"/>
          <w:highlight w:val="white"/>
          <w:lang w:eastAsia="zh-CN"/>
        </w:rPr>
        <w:t>]</w:t>
      </w:r>
      <w:bookmarkEnd w:id="1"/>
      <w:r>
        <w:rPr>
          <w:rFonts w:ascii="宋体" w:hAnsi="宋体" w:cs="宋体" w:hint="eastAsia"/>
          <w:sz w:val="24"/>
          <w:highlight w:val="white"/>
          <w:lang w:eastAsia="zh-CN"/>
        </w:rPr>
        <w:t>12号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组织形式：股份有限公司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注册资</w:t>
      </w:r>
      <w:r>
        <w:rPr>
          <w:rFonts w:ascii="宋体" w:hAnsi="宋体" w:cs="宋体"/>
          <w:sz w:val="24"/>
          <w:highlight w:val="white"/>
          <w:lang w:eastAsia="zh-CN"/>
        </w:rPr>
        <w:t>本：</w:t>
      </w:r>
      <w:r w:rsidRPr="00B605D3" w:rsidR="00B605D3">
        <w:rPr>
          <w:rFonts w:ascii="宋体" w:hAnsi="宋体" w:cs="宋体" w:hint="eastAsia"/>
          <w:sz w:val="24"/>
          <w:lang w:eastAsia="zh-CN"/>
        </w:rPr>
        <w:t>贰仟陆佰壹拾陆亿叁拾捌万壹仟肆佰伍拾玖元整</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存续期间：持续经营</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76F42">
      <w:pPr>
        <w:snapToGrid w:val="0"/>
        <w:ind w:firstLine="480"/>
        <w:rPr>
          <w:rFonts w:ascii="宋体" w:hAnsi="宋体" w:cs="宋体"/>
          <w:sz w:val="24"/>
          <w:lang w:eastAsia="zh-CN"/>
        </w:rPr>
      </w:pPr>
    </w:p>
    <w:p w:rsidR="00676F42">
      <w:pPr>
        <w:pStyle w:val="21"/>
        <w:jc w:val="center"/>
        <w:rPr>
          <w:rFonts w:ascii="宋体" w:eastAsia="宋体" w:hAnsi="宋体" w:cs="宋体"/>
          <w:sz w:val="30"/>
          <w:lang w:eastAsia="zh-CN"/>
        </w:rPr>
      </w:pPr>
      <w:bookmarkStart w:id="2" w:name="_Toc68875904"/>
      <w:r>
        <w:rPr>
          <w:rFonts w:ascii="宋体" w:eastAsia="宋体" w:hAnsi="宋体" w:cs="宋体" w:hint="eastAsia"/>
          <w:sz w:val="30"/>
          <w:highlight w:val="white"/>
          <w:lang w:eastAsia="zh-CN"/>
        </w:rPr>
        <w:t>二、基金托管协议的依据、目的和原则</w:t>
      </w:r>
      <w:bookmarkEnd w:id="2"/>
    </w:p>
    <w:p w:rsidR="00676F42">
      <w:pPr>
        <w:snapToGrid w:val="0"/>
        <w:ind w:firstLine="480"/>
        <w:rPr>
          <w:rFonts w:ascii="宋体" w:hAnsi="宋体" w:cs="宋体"/>
          <w:sz w:val="24"/>
          <w:szCs w:val="30"/>
          <w:lang w:eastAsia="zh-CN"/>
        </w:rPr>
      </w:pPr>
      <w:r>
        <w:rPr>
          <w:rFonts w:ascii="宋体" w:hAnsi="宋体" w:cs="宋体" w:hint="eastAsia"/>
          <w:sz w:val="24"/>
          <w:highlight w:val="white"/>
          <w:lang w:eastAsia="zh-CN"/>
        </w:rPr>
        <w:t>（一）订立托管协议的依据</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本协议依据《中华人民共和国证券投资基金法》(以下简称“《基金法》”)等有关法律法规、《基金合同》及其他有关规定制订。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（二）订立托管协议的目的</w:t>
      </w:r>
    </w:p>
    <w:p w:rsidR="00676F42">
      <w:pPr>
        <w:snapToGrid w:val="0"/>
        <w:ind w:firstLine="480"/>
        <w:rPr>
          <w:rFonts w:ascii="宋体" w:hAnsi="宋体" w:cs="宋体"/>
          <w:sz w:val="24"/>
          <w:szCs w:val="30"/>
          <w:lang w:eastAsia="zh-CN"/>
        </w:rPr>
      </w:pPr>
      <w:r>
        <w:rPr>
          <w:rFonts w:ascii="宋体" w:hAnsi="宋体" w:cs="宋体" w:hint="eastAsia"/>
          <w:sz w:val="24"/>
          <w:highlight w:val="white"/>
          <w:lang w:eastAsia="zh-CN"/>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（三）订立托管协议的原则</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基金管理人和基金托管人本着平等自愿、诚实信用、充分保护基金份额持有人合法权益的原则，经协商一致，签订本协议。</w:t>
      </w:r>
    </w:p>
    <w:p w:rsidR="00676F42">
      <w:pPr>
        <w:rPr>
          <w:rFonts w:ascii="宋体" w:hAnsi="宋体" w:cs="宋体"/>
          <w:sz w:val="24"/>
          <w:lang w:eastAsia="zh-CN"/>
        </w:rPr>
      </w:pPr>
    </w:p>
    <w:p w:rsidR="00676F42">
      <w:pPr>
        <w:pStyle w:val="21"/>
        <w:jc w:val="center"/>
        <w:rPr>
          <w:rFonts w:ascii="宋体" w:eastAsia="宋体" w:hAnsi="宋体" w:cs="宋体"/>
          <w:sz w:val="30"/>
          <w:szCs w:val="24"/>
          <w:lang w:eastAsia="zh-CN"/>
        </w:rPr>
      </w:pPr>
      <w:bookmarkStart w:id="3" w:name="_Toc68875905"/>
      <w:r>
        <w:rPr>
          <w:rFonts w:ascii="宋体" w:eastAsia="宋体" w:hAnsi="宋体" w:cs="宋体" w:hint="eastAsia"/>
          <w:sz w:val="30"/>
          <w:highlight w:val="white"/>
          <w:lang w:eastAsia="zh-CN"/>
        </w:rPr>
        <w:t>三、基金托管人对基金管理人的业务监督和核查</w:t>
      </w:r>
      <w:bookmarkEnd w:id="3"/>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（一）基金托管人根据有关</w:t>
      </w:r>
      <w:r>
        <w:rPr>
          <w:rFonts w:ascii="宋体" w:hAnsi="宋体" w:cs="宋体"/>
          <w:sz w:val="24"/>
          <w:highlight w:val="white"/>
          <w:lang w:eastAsia="zh-CN"/>
        </w:rPr>
        <w:t>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w:t>
      </w:r>
      <w:r>
        <w:rPr>
          <w:rFonts w:ascii="宋体" w:hAnsi="宋体" w:cs="宋体" w:hint="eastAsia"/>
          <w:sz w:val="24"/>
          <w:highlight w:val="white"/>
          <w:lang w:eastAsia="zh-CN"/>
        </w:rPr>
        <w:t>对标的证券库予以更新和调整并及时通知基金托管人。基金托管人根据上述投资范围对基金实际投资是否符合《基金合同》关于证券选择标准的约定进行监督。</w:t>
      </w:r>
    </w:p>
    <w:p w:rsidR="00676F42">
      <w:pPr>
        <w:snapToGrid w:val="0"/>
        <w:ind w:firstLine="480"/>
        <w:rPr>
          <w:rFonts w:ascii="宋体" w:hAnsi="宋体" w:cs="宋体"/>
          <w:sz w:val="24"/>
          <w:lang w:eastAsia="zh-CN"/>
        </w:rPr>
      </w:pPr>
      <w:r>
        <w:rPr>
          <w:rFonts w:ascii="宋体" w:hAnsi="宋体" w:cs="宋体"/>
          <w:sz w:val="24"/>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676F42">
      <w:pPr>
        <w:snapToGrid w:val="0"/>
        <w:ind w:firstLine="480"/>
        <w:rPr>
          <w:rFonts w:ascii="宋体" w:hAnsi="宋体" w:cs="宋体"/>
          <w:sz w:val="24"/>
          <w:lang w:eastAsia="zh-CN"/>
        </w:rPr>
      </w:pPr>
      <w:r>
        <w:rPr>
          <w:rFonts w:ascii="宋体" w:hAnsi="宋体" w:cs="宋体"/>
          <w:sz w:val="24"/>
          <w:lang w:eastAsia="zh-CN"/>
        </w:rPr>
        <w:t>如法律法规或监管机构以后允许基金投资其他品种，基金管理人在履行适当程序后，本基金可以将其纳入投资范围。</w:t>
      </w:r>
    </w:p>
    <w:p w:rsidR="00676F42">
      <w:pPr>
        <w:snapToGrid w:val="0"/>
        <w:ind w:firstLine="480"/>
        <w:rPr>
          <w:rFonts w:ascii="宋体" w:hAnsi="宋体" w:cs="宋体"/>
          <w:sz w:val="24"/>
          <w:lang w:eastAsia="zh-CN"/>
        </w:rPr>
      </w:pPr>
      <w:r>
        <w:rPr>
          <w:rFonts w:ascii="宋体" w:hAnsi="宋体" w:cs="宋体"/>
          <w:sz w:val="24"/>
          <w:highlight w:val="white"/>
          <w:lang w:eastAsia="zh-CN"/>
        </w:rPr>
        <w:t>基金的投资组合比例为：</w:t>
      </w:r>
      <w:r>
        <w:rPr>
          <w:rFonts w:ascii="宋体" w:hAnsi="宋体" w:cs="宋体"/>
          <w:sz w:val="24"/>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676F42">
      <w:pPr>
        <w:snapToGrid w:val="0"/>
        <w:ind w:firstLine="480"/>
        <w:rPr>
          <w:rFonts w:ascii="宋体" w:hAnsi="宋体" w:cs="宋体"/>
          <w:sz w:val="24"/>
          <w:lang w:eastAsia="zh-CN"/>
        </w:rPr>
      </w:pPr>
      <w:r>
        <w:rPr>
          <w:rFonts w:ascii="宋体" w:hAnsi="宋体" w:cs="宋体"/>
          <w:sz w:val="24"/>
          <w:highlight w:val="white"/>
          <w:lang w:eastAsia="zh-CN"/>
        </w:rPr>
        <w:t>（二）基金托管人根据有关法律法规的规定及《基金合同》的约定，对基金投资、融资比例进行监督。基金托管人按下述比例和调整期限进行监督：</w:t>
      </w:r>
    </w:p>
    <w:p w:rsidR="00676F42">
      <w:pPr>
        <w:ind w:firstLine="480"/>
        <w:rPr>
          <w:rFonts w:ascii="宋体" w:hAnsi="宋体" w:cs="宋体"/>
          <w:sz w:val="24"/>
          <w:lang w:eastAsia="zh-CN"/>
        </w:rPr>
      </w:pPr>
      <w:r>
        <w:rPr>
          <w:rFonts w:ascii="宋体" w:hAnsi="宋体" w:cs="宋体" w:hint="eastAsia"/>
          <w:sz w:val="24"/>
          <w:highlight w:val="white"/>
          <w:lang w:eastAsia="zh-CN"/>
        </w:rPr>
        <w:t>（1）本基金股票资产占基金资产的比例为60%-95%（其中港股通股票不超过股票资产的50%）；</w:t>
      </w:r>
    </w:p>
    <w:p w:rsidR="00676F42">
      <w:pPr>
        <w:ind w:firstLine="480"/>
        <w:rPr>
          <w:lang w:eastAsia="zh-CN"/>
        </w:rPr>
      </w:pPr>
      <w:r>
        <w:rPr>
          <w:rFonts w:ascii="宋体" w:hAnsi="宋体" w:cs="宋体" w:hint="eastAsia"/>
          <w:sz w:val="24"/>
          <w:highlight w:val="white"/>
          <w:lang w:eastAsia="zh-CN"/>
        </w:rPr>
        <w:t>（2）保持不低于基金资产净值5％的现金或者到期日在一年以内的政府债券，其中现金不包括结算备付金、存出保证金和应收申购款等；</w:t>
      </w:r>
    </w:p>
    <w:p w:rsidR="00676F42">
      <w:pPr>
        <w:ind w:firstLine="480"/>
        <w:rPr>
          <w:lang w:eastAsia="zh-CN"/>
        </w:rPr>
      </w:pPr>
      <w:r>
        <w:rPr>
          <w:rFonts w:ascii="宋体" w:hAnsi="宋体" w:cs="宋体" w:hint="eastAsia"/>
          <w:sz w:val="24"/>
          <w:highlight w:val="white"/>
          <w:lang w:eastAsia="zh-CN"/>
        </w:rPr>
        <w:t>（3）本基金持有一家公司发行的证券（同一家公司在内地和香港同时上市的A+H股合计计算），其市值不超过基金资产净值的10％；</w:t>
      </w:r>
    </w:p>
    <w:p w:rsidR="00676F42">
      <w:pPr>
        <w:ind w:firstLine="480"/>
        <w:rPr>
          <w:lang w:eastAsia="zh-CN"/>
        </w:rPr>
      </w:pPr>
      <w:r>
        <w:rPr>
          <w:rFonts w:ascii="宋体" w:hAnsi="宋体" w:cs="宋体" w:hint="eastAsia"/>
          <w:sz w:val="24"/>
          <w:highlight w:val="white"/>
          <w:lang w:eastAsia="zh-CN"/>
        </w:rPr>
        <w:t>（4）本基金管理人管理的且在本基金托管人处托管的全部基金持有一家公司发行的证券（同一家公司在内地和香港同时上市的A+H股合计计算），不超过该证券的10％，完全按照有关指数的构成比例进行证券投资的基金品种可以不受此条款规定的比例限制；</w:t>
      </w:r>
    </w:p>
    <w:p w:rsidR="00676F42">
      <w:pPr>
        <w:ind w:firstLine="480"/>
        <w:rPr>
          <w:lang w:eastAsia="zh-CN"/>
        </w:rPr>
      </w:pPr>
      <w:r>
        <w:rPr>
          <w:rFonts w:ascii="宋体" w:hAnsi="宋体" w:cs="宋体" w:hint="eastAsia"/>
          <w:sz w:val="24"/>
          <w:highlight w:val="white"/>
          <w:lang w:eastAsia="zh-CN"/>
        </w:rPr>
        <w:t>（5）本基金投资于同一原始权益人的各类资产支持证券的比例，不得超过基金资产净值的10％；</w:t>
      </w:r>
    </w:p>
    <w:p w:rsidR="00676F42">
      <w:pPr>
        <w:ind w:firstLine="480"/>
        <w:rPr>
          <w:lang w:eastAsia="zh-CN"/>
        </w:rPr>
      </w:pPr>
      <w:r>
        <w:rPr>
          <w:rFonts w:ascii="宋体" w:hAnsi="宋体" w:cs="宋体" w:hint="eastAsia"/>
          <w:sz w:val="24"/>
          <w:highlight w:val="white"/>
          <w:lang w:eastAsia="zh-CN"/>
        </w:rPr>
        <w:t>（6）本基金持有的全部资产支持证券，其市值不得超过基金资产净值的20％；</w:t>
      </w:r>
    </w:p>
    <w:p w:rsidR="00676F42">
      <w:pPr>
        <w:ind w:firstLine="480"/>
        <w:rPr>
          <w:lang w:eastAsia="zh-CN"/>
        </w:rPr>
      </w:pPr>
      <w:r>
        <w:rPr>
          <w:rFonts w:ascii="宋体" w:hAnsi="宋体" w:cs="宋体" w:hint="eastAsia"/>
          <w:sz w:val="24"/>
          <w:highlight w:val="white"/>
          <w:lang w:eastAsia="zh-CN"/>
        </w:rPr>
        <w:t>（7）本基金持有的同一(指同一信用级别)资产支持证券的比例，不得超过该资产支持证券规模的10％；</w:t>
      </w:r>
    </w:p>
    <w:p w:rsidR="00676F42">
      <w:pPr>
        <w:ind w:firstLine="480"/>
        <w:rPr>
          <w:lang w:eastAsia="zh-CN"/>
        </w:rPr>
      </w:pPr>
      <w:r>
        <w:rPr>
          <w:rFonts w:ascii="宋体" w:hAnsi="宋体" w:cs="宋体" w:hint="eastAsia"/>
          <w:sz w:val="24"/>
          <w:highlight w:val="white"/>
          <w:lang w:eastAsia="zh-CN"/>
        </w:rPr>
        <w:t>（8）本基金管理人管理的且在本基金托管人处托管的全部基金投资于同一原始权益人的各类资产支持证券，不得超过其各类资产支持证券合计规模的10％；</w:t>
      </w:r>
    </w:p>
    <w:p w:rsidR="00676F42">
      <w:pPr>
        <w:ind w:firstLine="480"/>
        <w:rPr>
          <w:lang w:eastAsia="zh-CN"/>
        </w:rPr>
      </w:pPr>
      <w:r>
        <w:rPr>
          <w:rFonts w:ascii="宋体" w:hAnsi="宋体" w:cs="宋体" w:hint="eastAsia"/>
          <w:sz w:val="24"/>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676F42">
      <w:pPr>
        <w:ind w:firstLine="480"/>
        <w:rPr>
          <w:lang w:eastAsia="zh-CN"/>
        </w:rPr>
      </w:pPr>
      <w:r>
        <w:rPr>
          <w:rFonts w:ascii="宋体" w:hAnsi="宋体" w:cs="宋体" w:hint="eastAsia"/>
          <w:sz w:val="24"/>
          <w:highlight w:val="white"/>
          <w:lang w:eastAsia="zh-CN"/>
        </w:rPr>
        <w:t>（10）基金财产参与股票发行申购，本基金所申报的金额不超过本基金的总资产，本基金所申报的股票数量不超过拟发行股票公司本次发行股票的总量；</w:t>
      </w:r>
    </w:p>
    <w:p w:rsidR="00676F42">
      <w:pPr>
        <w:ind w:firstLine="480"/>
        <w:rPr>
          <w:lang w:eastAsia="zh-CN"/>
        </w:rPr>
      </w:pPr>
      <w:r>
        <w:rPr>
          <w:rFonts w:ascii="宋体" w:hAnsi="宋体" w:cs="宋体" w:hint="eastAsia"/>
          <w:sz w:val="24"/>
          <w:highlight w:val="white"/>
          <w:lang w:eastAsia="zh-CN"/>
        </w:rPr>
        <w:t>（11）本基金管理人管理的且在本基金托管人处托管的全部开放式基金持有一家上市公司发行的可流通股票，不得超过该上市公司可流通股票的15%；本基金管理人管理的且在本基金托管人处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676F42">
      <w:pPr>
        <w:ind w:firstLine="480"/>
        <w:rPr>
          <w:lang w:eastAsia="zh-CN"/>
        </w:rPr>
      </w:pPr>
      <w:r>
        <w:rPr>
          <w:rFonts w:ascii="宋体" w:hAnsi="宋体" w:cs="宋体" w:hint="eastAsia"/>
          <w:sz w:val="24"/>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676F42">
      <w:pPr>
        <w:ind w:firstLine="480"/>
        <w:rPr>
          <w:lang w:eastAsia="zh-CN"/>
        </w:rPr>
      </w:pPr>
      <w:r>
        <w:rPr>
          <w:rFonts w:ascii="宋体" w:hAnsi="宋体" w:cs="宋体" w:hint="eastAsia"/>
          <w:sz w:val="24"/>
          <w:highlight w:val="white"/>
          <w:lang w:eastAsia="zh-CN"/>
        </w:rPr>
        <w:t>（13）本基金与私募类证券资管产品及中国证监会认定的其他主体为交易对手开展逆回购交易的，可接受质押品的资质要求应当与基金合同约定的投资范围保持一致；</w:t>
      </w:r>
    </w:p>
    <w:p w:rsidR="00676F42">
      <w:pPr>
        <w:ind w:firstLine="480"/>
        <w:rPr>
          <w:lang w:eastAsia="zh-CN"/>
        </w:rPr>
      </w:pPr>
      <w:r>
        <w:rPr>
          <w:rFonts w:ascii="宋体" w:hAnsi="宋体" w:cs="宋体" w:hint="eastAsia"/>
          <w:sz w:val="24"/>
          <w:highlight w:val="white"/>
          <w:lang w:eastAsia="zh-CN"/>
        </w:rPr>
        <w:t>（14）本基金资产总值不超过基金资产净值的140%；</w:t>
      </w:r>
    </w:p>
    <w:p w:rsidR="00676F42">
      <w:pPr>
        <w:ind w:firstLine="480"/>
        <w:rPr>
          <w:lang w:eastAsia="zh-CN"/>
        </w:rPr>
      </w:pPr>
      <w:r>
        <w:rPr>
          <w:rFonts w:ascii="宋体" w:hAnsi="宋体" w:cs="宋体" w:hint="eastAsia"/>
          <w:sz w:val="24"/>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676F42">
      <w:pPr>
        <w:ind w:firstLine="480"/>
        <w:rPr>
          <w:lang w:eastAsia="zh-CN"/>
        </w:rPr>
      </w:pPr>
      <w:r>
        <w:rPr>
          <w:rFonts w:ascii="宋体" w:hAnsi="宋体" w:cs="宋体" w:hint="eastAsia"/>
          <w:sz w:val="24"/>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w:t>
      </w:r>
    </w:p>
    <w:p w:rsidR="00676F42">
      <w:pPr>
        <w:ind w:firstLine="480"/>
        <w:rPr>
          <w:lang w:eastAsia="zh-CN"/>
        </w:rPr>
      </w:pPr>
      <w:r>
        <w:rPr>
          <w:rFonts w:ascii="宋体" w:hAnsi="宋体" w:cs="宋体" w:hint="eastAsia"/>
          <w:sz w:val="24"/>
          <w:highlight w:val="white"/>
          <w:lang w:eastAsia="zh-CN"/>
        </w:rPr>
        <w:t>（17）本基金参与股票期权交易的，应当符合下列要求：基金因未平仓的期权合约支付和收取的权利金总额不得超过基金资产净值的10%；未平仓的期权合约面值不得超过基金资产净值的20%。其中，合约面值按照行权价乘以合约乘数计算；</w:t>
      </w:r>
    </w:p>
    <w:p w:rsidR="00676F42">
      <w:pPr>
        <w:ind w:firstLine="480"/>
        <w:rPr>
          <w:lang w:eastAsia="zh-CN"/>
        </w:rPr>
      </w:pPr>
      <w:r>
        <w:rPr>
          <w:rFonts w:ascii="宋体" w:hAnsi="宋体" w:cs="宋体" w:hint="eastAsia"/>
          <w:sz w:val="24"/>
          <w:highlight w:val="white"/>
          <w:lang w:eastAsia="zh-CN"/>
        </w:rPr>
        <w:t>（18）基金参与融资业务后，在任何交易日日终，持有的融资买入股票与其他有价证券市值之和，不得超过基金资产净值的95%；</w:t>
      </w:r>
    </w:p>
    <w:p w:rsidR="00676F42">
      <w:pPr>
        <w:ind w:firstLine="480"/>
        <w:rPr>
          <w:lang w:eastAsia="zh-CN"/>
        </w:rPr>
      </w:pPr>
      <w:r>
        <w:rPr>
          <w:rFonts w:ascii="宋体" w:hAnsi="宋体" w:cs="宋体" w:hint="eastAsia"/>
          <w:sz w:val="24"/>
          <w:highlight w:val="white"/>
          <w:lang w:eastAsia="zh-CN"/>
        </w:rPr>
        <w:t>（19）本基金投资存托凭证的比例限制依照境内上市交易的股票执行，与境内上市交易的股票合并计算；</w:t>
      </w:r>
    </w:p>
    <w:p w:rsidR="00676F42">
      <w:pPr>
        <w:ind w:firstLine="480"/>
        <w:rPr>
          <w:lang w:eastAsia="zh-CN"/>
        </w:rPr>
      </w:pPr>
      <w:r>
        <w:rPr>
          <w:rFonts w:ascii="宋体" w:hAnsi="宋体" w:cs="宋体" w:hint="eastAsia"/>
          <w:sz w:val="24"/>
          <w:highlight w:val="white"/>
          <w:lang w:eastAsia="zh-CN"/>
        </w:rPr>
        <w:t>（20）法律法规及中国证监会规定的和《基金合同》约定的其他投资限制。</w:t>
      </w:r>
    </w:p>
    <w:p w:rsidR="00676F42">
      <w:pPr>
        <w:ind w:firstLine="480"/>
        <w:rPr>
          <w:lang w:eastAsia="zh-CN"/>
        </w:rPr>
      </w:pPr>
      <w:r>
        <w:rPr>
          <w:rFonts w:ascii="宋体" w:hAnsi="宋体" w:cs="宋体" w:hint="eastAsia"/>
          <w:sz w:val="24"/>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676F42">
      <w:pPr>
        <w:ind w:firstLine="480"/>
        <w:rPr>
          <w:lang w:eastAsia="zh-CN"/>
        </w:rPr>
      </w:pPr>
      <w:r>
        <w:rPr>
          <w:rFonts w:ascii="宋体" w:hAnsi="宋体" w:cs="宋体" w:hint="eastAsia"/>
          <w:sz w:val="24"/>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r>
        <w:rPr>
          <w:rFonts w:ascii="宋体" w:hAnsi="宋体" w:cs="宋体"/>
          <w:sz w:val="24"/>
          <w:highlight w:val="white"/>
          <w:lang w:eastAsia="zh-CN"/>
        </w:rPr>
        <w:t xml:space="preserve"> </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如果法律法规对上述投资组合比例限制进行变更的，以变更后的规定为准。法律法规或监管部门取消上述限制，则本基金投资不再受相关限制。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（三）基金托管人</w:t>
      </w:r>
      <w:bookmarkStart w:id="4" w:name="OLE_LINK1"/>
      <w:r>
        <w:rPr>
          <w:rFonts w:ascii="宋体" w:hAnsi="宋体" w:cs="宋体" w:hint="eastAsia"/>
          <w:sz w:val="24"/>
          <w:highlight w:val="white"/>
          <w:lang w:eastAsia="zh-CN"/>
        </w:rPr>
        <w:t>根据有关法律法规的规定及《基金合同》的约定，</w:t>
      </w:r>
      <w:bookmarkEnd w:id="4"/>
      <w:r>
        <w:rPr>
          <w:rFonts w:ascii="宋体" w:hAnsi="宋体" w:cs="宋体" w:hint="eastAsia"/>
          <w:sz w:val="24"/>
          <w:highlight w:val="white"/>
          <w:lang w:eastAsia="zh-CN"/>
        </w:rPr>
        <w:t>对本托管协议第十五条第九款基金投资禁止行为通过事后监督方式进行监督。</w:t>
      </w:r>
    </w:p>
    <w:p w:rsidR="00676F42">
      <w:pPr>
        <w:snapToGrid w:val="0"/>
        <w:ind w:firstLine="480"/>
        <w:rPr>
          <w:rFonts w:ascii="宋体" w:hAnsi="宋体" w:cs="宋体"/>
          <w:sz w:val="24"/>
          <w:lang w:eastAsia="zh-CN"/>
        </w:rPr>
      </w:pPr>
      <w:r>
        <w:rPr>
          <w:rFonts w:ascii="宋体" w:hAnsi="宋体" w:cs="宋体"/>
          <w:sz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676F42">
      <w:pPr>
        <w:snapToGrid w:val="0"/>
        <w:ind w:firstLine="480"/>
        <w:rPr>
          <w:rFonts w:ascii="宋体" w:hAnsi="宋体" w:cs="宋体"/>
          <w:sz w:val="24"/>
          <w:lang w:eastAsia="zh-CN"/>
        </w:rPr>
      </w:pPr>
      <w:r>
        <w:rPr>
          <w:rFonts w:ascii="宋体" w:hAnsi="宋体" w:cs="宋体"/>
          <w:sz w:val="24"/>
          <w:highlight w:val="white"/>
          <w:lang w:eastAsia="zh-CN"/>
        </w:rPr>
        <w:t>（四）</w:t>
      </w:r>
      <w:r>
        <w:rPr>
          <w:rFonts w:ascii="宋体" w:hAnsi="宋体" w:cs="宋体" w:hint="eastAsia"/>
          <w:sz w:val="24"/>
          <w:highlight w:val="white"/>
          <w:lang w:eastAsia="zh-CN"/>
        </w:rPr>
        <w:t>基金托管人根据有关法律法规的规定及《基金合同》的约定，对基金管理人投资流通受限证券进行监督。</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相关投资额度和比例等的情况进行监督。</w:t>
      </w:r>
    </w:p>
    <w:p w:rsidR="00676F42">
      <w:pPr>
        <w:snapToGrid w:val="0"/>
        <w:ind w:firstLine="480"/>
        <w:rPr>
          <w:rFonts w:ascii="宋体" w:hAnsi="宋体" w:cs="宋体"/>
          <w:sz w:val="24"/>
          <w:lang w:eastAsia="zh-CN"/>
        </w:rPr>
      </w:pPr>
      <w:r>
        <w:rPr>
          <w:rFonts w:ascii="宋体" w:hAnsi="宋体" w:cs="宋体"/>
          <w:sz w:val="24"/>
          <w:highlight w:val="white"/>
          <w:lang w:eastAsia="zh-CN"/>
        </w:rPr>
        <w:t>1.</w:t>
      </w:r>
      <w:r>
        <w:rPr>
          <w:rFonts w:ascii="宋体" w:hAnsi="宋体" w:cs="宋体" w:hint="eastAsia"/>
          <w:sz w:val="24"/>
          <w:highlight w:val="white"/>
          <w:lang w:eastAsia="zh-CN"/>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本基金投资的流通受限证券限于可由中国证券登记结算有限责任公司或中央国债登记结算有限责任公司负责登记和存管，并可在证券交易所或全国银行间债券市场交易的证券。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本基金投资流通受限证券，不得预付任何形式的保证金，若法规有新规定的按照新的规定执行。</w:t>
      </w:r>
    </w:p>
    <w:p w:rsidR="00676F42">
      <w:pPr>
        <w:snapToGrid w:val="0"/>
        <w:ind w:firstLine="480"/>
        <w:rPr>
          <w:rFonts w:ascii="宋体" w:hAnsi="宋体" w:cs="宋体"/>
          <w:sz w:val="24"/>
          <w:lang w:eastAsia="zh-CN"/>
        </w:rPr>
      </w:pPr>
      <w:r>
        <w:rPr>
          <w:rFonts w:ascii="宋体" w:hAnsi="宋体" w:cs="宋体"/>
          <w:sz w:val="24"/>
          <w:highlight w:val="white"/>
          <w:lang w:eastAsia="zh-CN"/>
        </w:rPr>
        <w:t>2.</w:t>
      </w:r>
      <w:r>
        <w:rPr>
          <w:rFonts w:ascii="宋体" w:hAnsi="宋体" w:cs="宋体" w:hint="eastAsia"/>
          <w:sz w:val="24"/>
          <w:highlight w:val="white"/>
          <w:lang w:eastAsia="zh-CN"/>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676F42">
      <w:pPr>
        <w:snapToGrid w:val="0"/>
        <w:ind w:firstLine="480"/>
        <w:rPr>
          <w:rFonts w:ascii="宋体" w:hAnsi="宋体" w:cs="宋体"/>
          <w:sz w:val="24"/>
          <w:lang w:eastAsia="zh-CN"/>
        </w:rPr>
      </w:pPr>
      <w:r>
        <w:rPr>
          <w:rFonts w:ascii="宋体" w:hAnsi="宋体" w:cs="宋体"/>
          <w:sz w:val="24"/>
          <w:highlight w:val="white"/>
          <w:lang w:eastAsia="zh-CN"/>
        </w:rPr>
        <w:t>3.</w:t>
      </w:r>
      <w:r>
        <w:rPr>
          <w:rFonts w:ascii="宋体" w:hAnsi="宋体" w:cs="宋体" w:hint="eastAsia"/>
          <w:sz w:val="24"/>
          <w:highlight w:val="white"/>
          <w:lang w:eastAsia="zh-CN"/>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（1）中国证监会批准发行非公开发行股票的批准文件。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（2）非公开发行股票有关发行数量、发行价格、锁定期等发行资料。</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w:t>
      </w:r>
      <w:r>
        <w:rPr>
          <w:rFonts w:ascii="宋体" w:hAnsi="宋体" w:cs="宋体"/>
          <w:sz w:val="24"/>
          <w:highlight w:val="white"/>
          <w:lang w:eastAsia="zh-CN"/>
        </w:rPr>
        <w:t>3）基金拟认购的数量、价格、总成本、账面价值。</w:t>
      </w:r>
    </w:p>
    <w:p w:rsidR="00676F42">
      <w:pPr>
        <w:snapToGrid w:val="0"/>
        <w:ind w:firstLine="480"/>
        <w:rPr>
          <w:rFonts w:ascii="宋体" w:hAnsi="宋体" w:cs="宋体"/>
          <w:sz w:val="24"/>
          <w:lang w:eastAsia="zh-CN"/>
        </w:rPr>
      </w:pPr>
      <w:r>
        <w:rPr>
          <w:rFonts w:ascii="宋体" w:hAnsi="宋体" w:cs="宋体"/>
          <w:sz w:val="24"/>
          <w:highlight w:val="white"/>
          <w:lang w:eastAsia="zh-CN"/>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676F42">
      <w:pPr>
        <w:ind w:firstLine="480"/>
        <w:rPr>
          <w:rFonts w:ascii="宋体" w:hAnsi="宋体" w:cs="宋体"/>
          <w:sz w:val="24"/>
          <w:lang w:eastAsia="zh-CN"/>
        </w:rPr>
      </w:pPr>
      <w:r>
        <w:rPr>
          <w:rFonts w:ascii="宋体" w:hAnsi="宋体" w:cs="宋体"/>
          <w:sz w:val="24"/>
          <w:highlight w:val="white"/>
          <w:lang w:eastAsia="zh-CN"/>
        </w:rPr>
        <w:t>本基金有关投资流通受限证券比例如违反有关限制规定，在合理期限内未能进行及时调整，基金管理人应按照《信息披露办法》的要求进行公告。</w:t>
      </w:r>
    </w:p>
    <w:p w:rsidR="00676F42">
      <w:pPr>
        <w:snapToGrid w:val="0"/>
        <w:ind w:firstLine="480"/>
        <w:rPr>
          <w:rFonts w:ascii="宋体" w:hAnsi="宋体" w:cs="宋体"/>
          <w:sz w:val="24"/>
          <w:lang w:eastAsia="zh-CN"/>
        </w:rPr>
      </w:pPr>
      <w:r>
        <w:rPr>
          <w:rFonts w:ascii="宋体" w:hAnsi="宋体" w:cs="宋体"/>
          <w:sz w:val="24"/>
          <w:highlight w:val="white"/>
          <w:lang w:eastAsia="zh-CN"/>
        </w:rPr>
        <w:t>5.相关法律法规对基金投资流通受限证券有新规定的，从其规定。</w:t>
      </w:r>
    </w:p>
    <w:p w:rsidR="00676F42">
      <w:pPr>
        <w:snapToGrid w:val="0"/>
        <w:ind w:firstLine="482"/>
        <w:rPr>
          <w:rFonts w:ascii="宋体" w:hAnsi="宋体" w:cs="宋体"/>
          <w:sz w:val="24"/>
          <w:lang w:eastAsia="zh-CN"/>
        </w:rPr>
      </w:pPr>
      <w:r>
        <w:rPr>
          <w:rFonts w:ascii="宋体" w:hAnsi="宋体" w:cs="宋体" w:hint="eastAsia"/>
          <w:sz w:val="24"/>
          <w:highlight w:val="white"/>
          <w:lang w:eastAsia="zh-CN"/>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676F42">
      <w:pPr>
        <w:snapToGrid w:val="0"/>
        <w:ind w:firstLine="480"/>
        <w:rPr>
          <w:rFonts w:ascii="宋体" w:hAnsi="宋体" w:cs="宋体"/>
          <w:sz w:val="24"/>
          <w:lang w:eastAsia="zh-CN"/>
        </w:rPr>
      </w:pPr>
      <w:r>
        <w:rPr>
          <w:rFonts w:ascii="宋体" w:hAnsi="宋体" w:cs="宋体"/>
          <w:sz w:val="24"/>
          <w:highlight w:val="white"/>
          <w:lang w:eastAsia="zh-CN"/>
        </w:rPr>
        <w:t>（</w:t>
      </w:r>
      <w:r>
        <w:rPr>
          <w:rFonts w:ascii="宋体" w:hAnsi="宋体" w:cs="宋体" w:hint="eastAsia"/>
          <w:sz w:val="24"/>
          <w:highlight w:val="white"/>
          <w:lang w:eastAsia="zh-CN"/>
        </w:rPr>
        <w:t>六</w:t>
      </w:r>
      <w:r>
        <w:rPr>
          <w:rFonts w:ascii="宋体" w:hAnsi="宋体" w:cs="宋体"/>
          <w:sz w:val="24"/>
          <w:highlight w:val="white"/>
          <w:lang w:eastAsia="zh-CN"/>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（八）若基金托管人发现基金管理人依据交易程序已经生效的指令违反法律、行政法规和其他有关规定，或者违反《基金合同》约定的，应当及时通知基金管理人，由此造成的损失由基金管理人承担。</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76F42">
      <w:pPr>
        <w:rPr>
          <w:rFonts w:ascii="宋体" w:hAnsi="宋体" w:cs="宋体"/>
          <w:sz w:val="24"/>
          <w:lang w:eastAsia="zh-CN"/>
        </w:rPr>
      </w:pPr>
    </w:p>
    <w:p w:rsidR="00676F42">
      <w:pPr>
        <w:pStyle w:val="21"/>
        <w:jc w:val="center"/>
        <w:rPr>
          <w:rFonts w:ascii="宋体" w:eastAsia="宋体" w:hAnsi="宋体" w:cs="宋体"/>
          <w:sz w:val="30"/>
          <w:lang w:eastAsia="zh-CN"/>
        </w:rPr>
      </w:pPr>
      <w:bookmarkStart w:id="5" w:name="_Toc68875906"/>
      <w:bookmarkStart w:id="6" w:name="_Toc89163368"/>
      <w:bookmarkStart w:id="7" w:name="_Toc118212950"/>
      <w:bookmarkStart w:id="8" w:name="_Toc110765660"/>
      <w:bookmarkStart w:id="9" w:name="_Toc86649722"/>
      <w:bookmarkStart w:id="10" w:name="_Toc86225291"/>
      <w:bookmarkStart w:id="11" w:name="_Toc110830492"/>
      <w:bookmarkStart w:id="12" w:name="_Toc118774803"/>
      <w:bookmarkStart w:id="13" w:name="_Toc108512358"/>
      <w:bookmarkStart w:id="14" w:name="_Toc119402710"/>
      <w:bookmarkStart w:id="15" w:name="_Toc86223242"/>
      <w:bookmarkStart w:id="16" w:name="_Toc118972648"/>
      <w:bookmarkStart w:id="17" w:name="_Toc110761796"/>
      <w:bookmarkStart w:id="18" w:name="_Toc120435783"/>
      <w:bookmarkStart w:id="19" w:name="_Toc86726439"/>
      <w:bookmarkStart w:id="20" w:name="_Toc86737929"/>
      <w:bookmarkStart w:id="21" w:name="_Toc86727355"/>
      <w:r>
        <w:rPr>
          <w:rFonts w:ascii="宋体" w:eastAsia="宋体" w:hAnsi="宋体" w:cs="宋体" w:hint="eastAsia"/>
          <w:sz w:val="30"/>
          <w:highlight w:val="white"/>
          <w:lang w:eastAsia="zh-CN"/>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p w:rsidR="00676F42">
      <w:pPr>
        <w:snapToGrid w:val="0"/>
        <w:ind w:firstLine="480"/>
        <w:rPr>
          <w:rFonts w:ascii="宋体" w:hAnsi="宋体" w:cs="宋体"/>
          <w:sz w:val="24"/>
          <w:lang w:eastAsia="zh-CN"/>
        </w:rPr>
      </w:pPr>
      <w:r>
        <w:rPr>
          <w:rFonts w:ascii="宋体" w:hAnsi="宋体" w:cs="宋体"/>
          <w:sz w:val="24"/>
          <w:highlight w:val="white"/>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76F42">
      <w:pPr>
        <w:rPr>
          <w:rFonts w:ascii="宋体" w:hAnsi="宋体" w:cs="宋体"/>
          <w:sz w:val="24"/>
          <w:lang w:eastAsia="zh-CN"/>
        </w:rPr>
      </w:pPr>
    </w:p>
    <w:p w:rsidR="00676F42">
      <w:pPr>
        <w:pStyle w:val="21"/>
        <w:jc w:val="center"/>
        <w:rPr>
          <w:rFonts w:ascii="宋体" w:eastAsia="宋体" w:hAnsi="宋体" w:cs="宋体"/>
          <w:sz w:val="30"/>
          <w:lang w:eastAsia="zh-CN"/>
        </w:rPr>
      </w:pPr>
      <w:bookmarkStart w:id="22" w:name="_Toc86225292"/>
      <w:bookmarkStart w:id="23" w:name="_Toc86726440"/>
      <w:bookmarkStart w:id="24" w:name="_Toc110830493"/>
      <w:bookmarkStart w:id="25" w:name="_Toc89163369"/>
      <w:bookmarkStart w:id="26" w:name="_Toc68875907"/>
      <w:bookmarkStart w:id="27" w:name="_Toc119402711"/>
      <w:bookmarkStart w:id="28" w:name="_Toc86204789"/>
      <w:bookmarkStart w:id="29" w:name="_Toc84234388"/>
      <w:bookmarkStart w:id="30" w:name="_Toc118972649"/>
      <w:bookmarkStart w:id="31" w:name="_Toc110761797"/>
      <w:bookmarkStart w:id="32" w:name="_Toc118212951"/>
      <w:bookmarkStart w:id="33" w:name="_Toc84234435"/>
      <w:bookmarkStart w:id="34" w:name="_Toc86649723"/>
      <w:bookmarkStart w:id="35" w:name="_Toc86727356"/>
      <w:bookmarkStart w:id="36" w:name="_Toc86223243"/>
      <w:bookmarkStart w:id="37" w:name="_Toc84133786"/>
      <w:bookmarkStart w:id="38" w:name="_Toc110765661"/>
      <w:bookmarkStart w:id="39" w:name="_Toc108512359"/>
      <w:bookmarkStart w:id="40" w:name="_Toc120435784"/>
      <w:bookmarkStart w:id="41" w:name="_Toc118774804"/>
      <w:bookmarkStart w:id="42" w:name="_Toc86737930"/>
      <w:r>
        <w:rPr>
          <w:rFonts w:ascii="宋体" w:eastAsia="宋体" w:hAnsi="宋体" w:cs="宋体" w:hint="eastAsia"/>
          <w:sz w:val="30"/>
          <w:highlight w:val="white"/>
          <w:lang w:eastAsia="zh-CN"/>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（一）基金财产保管的原则</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1.基金财产应独立于基金管理人、基金托管人的固有财产。</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2.基金托管人应安全保管基金财产。</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3.基金托管人按照规定开设基金财产的资金账户和证券账户。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4.基金托管人对所托管的不同基金财产分别设置账户，确保基金财产的完整与独立。</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7.除依据法律法规和《基金合同》的规定外，基金托管人不得委托第三人托管基金财产。</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（二）基金募集期间及募集资金的验资</w:t>
      </w:r>
    </w:p>
    <w:p w:rsidR="00676F42">
      <w:pPr>
        <w:ind w:firstLine="480"/>
        <w:rPr>
          <w:lang w:eastAsia="zh-CN"/>
        </w:rPr>
      </w:pPr>
      <w:r>
        <w:rPr>
          <w:rFonts w:ascii="宋体" w:hAnsi="宋体" w:cs="宋体" w:hint="eastAsia"/>
          <w:sz w:val="24"/>
          <w:highlight w:val="white"/>
          <w:lang w:eastAsia="zh-CN"/>
        </w:rPr>
        <w:t>1.基金募集期间募集的资金应存于基金管理人在基金托管人的营业机构开立的“基金募集专户”。该账户由基金管理人开立并管理。</w:t>
      </w:r>
    </w:p>
    <w:p w:rsidR="00676F42">
      <w:pPr>
        <w:ind w:firstLine="480"/>
        <w:rPr>
          <w:lang w:eastAsia="zh-CN"/>
        </w:rPr>
      </w:pPr>
      <w:r>
        <w:rPr>
          <w:rFonts w:ascii="宋体" w:hAnsi="宋体" w:cs="宋体" w:hint="eastAsia"/>
          <w:sz w:val="24"/>
          <w:highlight w:val="white"/>
          <w:lang w:eastAsia="zh-CN"/>
        </w:rPr>
        <w:t>2.基金募集期满或基金停止募集时，募集的基金份额总额、基金募集金额、基金份额持有人人数符合《基金法》、《运作办法》等有关规定后，属于基金财产的全部资金应划入基金托管人开立的基金托管资金账户，同时在规定时间内，聘请符合《证券法》规定的会计师事务所进行验资，出具验资报告。出具的验资报告由参加验资的2名或2名以上中国注册会计师签字方为有效。</w:t>
      </w:r>
    </w:p>
    <w:p w:rsidR="00676F42">
      <w:pPr>
        <w:ind w:firstLine="480"/>
        <w:rPr>
          <w:lang w:eastAsia="zh-CN"/>
        </w:rPr>
      </w:pPr>
      <w:r>
        <w:rPr>
          <w:rFonts w:ascii="宋体" w:hAnsi="宋体" w:cs="宋体" w:hint="eastAsia"/>
          <w:sz w:val="24"/>
          <w:highlight w:val="white"/>
          <w:lang w:eastAsia="zh-CN"/>
        </w:rPr>
        <w:t>3.若基金募集期限届满，未能达到《基金合同》生效的条件，由基金管理人按规定办理退款等事宜。</w:t>
      </w:r>
    </w:p>
    <w:p w:rsidR="00676F42">
      <w:pPr>
        <w:ind w:firstLine="480"/>
        <w:rPr>
          <w:lang w:eastAsia="zh-CN"/>
        </w:rPr>
      </w:pPr>
      <w:r>
        <w:rPr>
          <w:rFonts w:ascii="宋体" w:hAnsi="宋体" w:cs="宋体" w:hint="eastAsia"/>
          <w:sz w:val="24"/>
          <w:highlight w:val="white"/>
          <w:lang w:eastAsia="zh-CN"/>
        </w:rPr>
        <w:t>（三）基金托管资金账户的开立和管理</w:t>
      </w:r>
    </w:p>
    <w:p w:rsidR="00676F42">
      <w:pPr>
        <w:ind w:firstLine="480"/>
        <w:rPr>
          <w:lang w:eastAsia="zh-CN"/>
        </w:rPr>
      </w:pPr>
      <w:r>
        <w:rPr>
          <w:rFonts w:ascii="宋体" w:hAnsi="宋体" w:cs="宋体" w:hint="eastAsia"/>
          <w:sz w:val="24"/>
          <w:highlight w:val="white"/>
          <w:lang w:eastAsia="zh-CN"/>
        </w:rPr>
        <w:t>1.基金托管人可以基金的名义在其营业机构开立基金的托管资金账户，并根据基金管理人合法合规的指令办理资金收付。本基金的银行预留印鉴由基金托管人保管和使用。</w:t>
      </w:r>
    </w:p>
    <w:p w:rsidR="00676F42">
      <w:pPr>
        <w:ind w:firstLine="480"/>
        <w:rPr>
          <w:lang w:eastAsia="zh-CN"/>
        </w:rPr>
      </w:pPr>
      <w:r>
        <w:rPr>
          <w:rFonts w:ascii="宋体" w:hAnsi="宋体" w:cs="宋体" w:hint="eastAsia"/>
          <w:sz w:val="24"/>
          <w:highlight w:val="white"/>
          <w:lang w:eastAsia="zh-CN"/>
        </w:rPr>
        <w:t>2.基金托管资金账户的开立和使用，限于满足开展本基金业务的需要。基金托管人和基金管理人不得假借本基金的名义开立任何其他银行账户；亦不得使用基金的任何账户进行本基金业务以外的活动。</w:t>
      </w:r>
    </w:p>
    <w:p w:rsidR="00676F42">
      <w:pPr>
        <w:ind w:firstLine="480"/>
        <w:rPr>
          <w:lang w:eastAsia="zh-CN"/>
        </w:rPr>
      </w:pPr>
      <w:r>
        <w:rPr>
          <w:rFonts w:ascii="宋体" w:hAnsi="宋体" w:cs="宋体" w:hint="eastAsia"/>
          <w:sz w:val="24"/>
          <w:highlight w:val="white"/>
          <w:lang w:eastAsia="zh-CN"/>
        </w:rPr>
        <w:t>3.基金托管资金账户的开立和管理应符合银行业监督管理机构的有关规定。</w:t>
      </w:r>
    </w:p>
    <w:p w:rsidR="00676F42">
      <w:pPr>
        <w:ind w:firstLine="480"/>
        <w:rPr>
          <w:lang w:eastAsia="zh-CN"/>
        </w:rPr>
      </w:pPr>
      <w:r>
        <w:rPr>
          <w:rFonts w:ascii="宋体" w:hAnsi="宋体" w:cs="宋体" w:hint="eastAsia"/>
          <w:sz w:val="24"/>
          <w:highlight w:val="white"/>
          <w:lang w:eastAsia="zh-CN"/>
        </w:rPr>
        <w:t>4.在符合法律法规规定的条件下，基金托管人可以通过基金托管人专用账户办理基金资产的支付。</w:t>
      </w:r>
    </w:p>
    <w:p w:rsidR="00676F42">
      <w:pPr>
        <w:ind w:firstLine="480"/>
        <w:rPr>
          <w:lang w:eastAsia="zh-CN"/>
        </w:rPr>
      </w:pPr>
      <w:r>
        <w:rPr>
          <w:rFonts w:ascii="宋体" w:hAnsi="宋体" w:cs="宋体" w:hint="eastAsia"/>
          <w:sz w:val="24"/>
          <w:highlight w:val="white"/>
          <w:lang w:eastAsia="zh-CN"/>
        </w:rPr>
        <w:t>5.基金管理人应于产品终止后及时完成收益兑付、费用结清及其他应收应付款项资金划转，在确保后续不再发生款项进出后的10个工作日内向基金托管人发出销户申请。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（四）基金证券账户和结算备付金账户的开立和管理</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1.基金托管人在中国证券登记结算有限责任公司为基金开立基金托管人与基金联名的证券账户。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3.基金证券账户的开立和证券账户卡的保管由基金托管人负责，账户资产的管理和运用由基金管理人负责。</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证券账户开户费由基金管理人先行垫付,待托管产品启始运营后</w:t>
      </w:r>
      <w:r>
        <w:rPr>
          <w:rFonts w:ascii="宋体" w:hAnsi="宋体" w:cs="宋体"/>
          <w:sz w:val="24"/>
          <w:highlight w:val="white"/>
          <w:lang w:eastAsia="zh-CN"/>
        </w:rPr>
        <w:t>,</w:t>
      </w:r>
      <w:r>
        <w:rPr>
          <w:rFonts w:ascii="宋体" w:hAnsi="宋体" w:cs="宋体" w:hint="eastAsia"/>
          <w:sz w:val="24"/>
          <w:highlight w:val="white"/>
          <w:lang w:eastAsia="zh-CN"/>
        </w:rPr>
        <w:t>基金管理人可向基金托管人发送划款指令,将代垫开户费从本基金托管资金账户中扣还基金管理人。</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5.账户注销时，在遵守中国证券登记结算公司的相关规定下，由管理人和托管人协商确认主要办理人。账户注销期间，主要办理人如需另一方提供配合的，另一方应予以配合。</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6.若中国证监会或其他监管机构在本托管协议订立日之后允许基金从事其他投资品种的投资业务，涉及相关账户的开立、使用的，若无相关规定，则基金托管人比照上述关于账户开立、使用的规定执行。</w:t>
      </w:r>
    </w:p>
    <w:p w:rsidR="00676F42">
      <w:pPr>
        <w:ind w:firstLine="480"/>
        <w:rPr>
          <w:rFonts w:ascii="宋体" w:hAnsi="宋体" w:cs="宋体"/>
          <w:sz w:val="24"/>
          <w:lang w:eastAsia="zh-CN"/>
        </w:rPr>
      </w:pPr>
      <w:r>
        <w:rPr>
          <w:rFonts w:ascii="宋体" w:hAnsi="宋体" w:cs="宋体" w:hint="eastAsia"/>
          <w:sz w:val="24"/>
          <w:highlight w:val="white"/>
          <w:lang w:eastAsia="zh-CN"/>
        </w:rPr>
        <w:t>（五）银行间账户的开设和管理</w:t>
      </w:r>
    </w:p>
    <w:p w:rsidR="00676F42">
      <w:pPr>
        <w:ind w:firstLine="480"/>
        <w:rPr>
          <w:lang w:eastAsia="zh-CN"/>
        </w:rPr>
      </w:pPr>
      <w:r>
        <w:rPr>
          <w:rFonts w:ascii="宋体" w:hAnsi="宋体" w:cs="宋体" w:hint="eastAsia"/>
          <w:sz w:val="24"/>
          <w:highlight w:val="white"/>
          <w:lang w:eastAsia="zh-CN"/>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（六）其他账户的开立和管理</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2.法律法规等有关规定对相关账户的开立和管理另有规定的，从其规定办理。</w:t>
      </w:r>
    </w:p>
    <w:p w:rsidR="00676F42">
      <w:pPr>
        <w:snapToGrid w:val="0"/>
        <w:ind w:firstLine="480"/>
        <w:rPr>
          <w:rFonts w:ascii="宋体" w:hAnsi="宋体" w:cs="宋体"/>
          <w:sz w:val="24"/>
          <w:lang w:eastAsia="zh-CN"/>
        </w:rPr>
      </w:pPr>
      <w:r>
        <w:rPr>
          <w:rFonts w:ascii="宋体" w:hAnsi="宋体" w:cs="宋体"/>
          <w:sz w:val="24"/>
          <w:highlight w:val="white"/>
          <w:lang w:eastAsia="zh-CN"/>
        </w:rPr>
        <w:t>本基金在开始</w:t>
      </w:r>
      <w:r>
        <w:rPr>
          <w:rFonts w:ascii="宋体" w:hAnsi="宋体" w:cs="宋体" w:hint="eastAsia"/>
          <w:sz w:val="24"/>
          <w:highlight w:val="white"/>
          <w:lang w:eastAsia="zh-CN"/>
        </w:rPr>
        <w:t>进</w:t>
      </w:r>
      <w:r>
        <w:rPr>
          <w:rFonts w:ascii="宋体" w:hAnsi="宋体" w:cs="宋体"/>
          <w:sz w:val="24"/>
          <w:highlight w:val="white"/>
          <w:lang w:eastAsia="zh-CN"/>
        </w:rPr>
        <w:t>行期</w:t>
      </w:r>
      <w:r>
        <w:rPr>
          <w:rFonts w:ascii="宋体" w:hAnsi="宋体" w:cs="宋体" w:hint="eastAsia"/>
          <w:sz w:val="24"/>
          <w:highlight w:val="white"/>
          <w:lang w:eastAsia="zh-CN"/>
        </w:rPr>
        <w:t>货</w:t>
      </w:r>
      <w:r>
        <w:rPr>
          <w:rFonts w:ascii="宋体" w:hAnsi="宋体" w:cs="宋体"/>
          <w:sz w:val="24"/>
          <w:highlight w:val="white"/>
          <w:lang w:eastAsia="zh-CN"/>
        </w:rPr>
        <w:t>投</w:t>
      </w:r>
      <w:r>
        <w:rPr>
          <w:rFonts w:ascii="宋体" w:hAnsi="宋体" w:cs="宋体" w:hint="eastAsia"/>
          <w:sz w:val="24"/>
          <w:highlight w:val="white"/>
          <w:lang w:eastAsia="zh-CN"/>
        </w:rPr>
        <w:t>资</w:t>
      </w:r>
      <w:r>
        <w:rPr>
          <w:rFonts w:ascii="宋体" w:hAnsi="宋体" w:cs="宋体"/>
          <w:sz w:val="24"/>
          <w:highlight w:val="white"/>
          <w:lang w:eastAsia="zh-CN"/>
        </w:rPr>
        <w:t>之前，</w:t>
      </w:r>
      <w:r>
        <w:rPr>
          <w:rFonts w:ascii="宋体" w:hAnsi="宋体" w:cs="宋体" w:hint="eastAsia"/>
          <w:sz w:val="24"/>
          <w:highlight w:val="white"/>
          <w:lang w:eastAsia="zh-CN"/>
        </w:rPr>
        <w:t>应</w:t>
      </w:r>
      <w:r>
        <w:rPr>
          <w:rFonts w:ascii="宋体" w:hAnsi="宋体" w:cs="宋体"/>
          <w:sz w:val="24"/>
          <w:highlight w:val="white"/>
          <w:lang w:eastAsia="zh-CN"/>
        </w:rPr>
        <w:t>与基金托管人、期</w:t>
      </w:r>
      <w:r>
        <w:rPr>
          <w:rFonts w:ascii="宋体" w:hAnsi="宋体" w:cs="宋体" w:hint="eastAsia"/>
          <w:sz w:val="24"/>
          <w:highlight w:val="white"/>
          <w:lang w:eastAsia="zh-CN"/>
        </w:rPr>
        <w:t>货</w:t>
      </w:r>
      <w:r>
        <w:rPr>
          <w:rFonts w:ascii="宋体" w:hAnsi="宋体" w:cs="宋体"/>
          <w:sz w:val="24"/>
          <w:highlight w:val="white"/>
          <w:lang w:eastAsia="zh-CN"/>
        </w:rPr>
        <w:t>公司三方一同就期</w:t>
      </w:r>
      <w:r>
        <w:rPr>
          <w:rFonts w:ascii="宋体" w:hAnsi="宋体" w:cs="宋体" w:hint="eastAsia"/>
          <w:sz w:val="24"/>
          <w:highlight w:val="white"/>
          <w:lang w:eastAsia="zh-CN"/>
        </w:rPr>
        <w:t>货</w:t>
      </w:r>
      <w:r>
        <w:rPr>
          <w:rFonts w:ascii="宋体" w:hAnsi="宋体" w:cs="宋体"/>
          <w:sz w:val="24"/>
          <w:highlight w:val="white"/>
          <w:lang w:eastAsia="zh-CN"/>
        </w:rPr>
        <w:t>开</w:t>
      </w:r>
      <w:r>
        <w:rPr>
          <w:rFonts w:ascii="宋体" w:hAnsi="宋体" w:cs="宋体" w:hint="eastAsia"/>
          <w:sz w:val="24"/>
          <w:highlight w:val="white"/>
          <w:lang w:eastAsia="zh-CN"/>
        </w:rPr>
        <w:t>户</w:t>
      </w:r>
      <w:r>
        <w:rPr>
          <w:rFonts w:ascii="宋体" w:hAnsi="宋体" w:cs="宋体"/>
          <w:sz w:val="24"/>
          <w:highlight w:val="white"/>
          <w:lang w:eastAsia="zh-CN"/>
        </w:rPr>
        <w:t>、清算、估</w:t>
      </w:r>
      <w:r>
        <w:rPr>
          <w:rFonts w:ascii="宋体" w:hAnsi="宋体" w:cs="宋体" w:hint="eastAsia"/>
          <w:sz w:val="24"/>
          <w:highlight w:val="white"/>
          <w:lang w:eastAsia="zh-CN"/>
        </w:rPr>
        <w:t>值</w:t>
      </w:r>
      <w:r>
        <w:rPr>
          <w:rFonts w:ascii="宋体" w:hAnsi="宋体" w:cs="宋体"/>
          <w:sz w:val="24"/>
          <w:highlight w:val="white"/>
          <w:lang w:eastAsia="zh-CN"/>
        </w:rPr>
        <w:t>、交收等事宜另行</w:t>
      </w:r>
      <w:r>
        <w:rPr>
          <w:rFonts w:ascii="宋体" w:hAnsi="宋体" w:cs="宋体" w:hint="eastAsia"/>
          <w:sz w:val="24"/>
          <w:highlight w:val="white"/>
          <w:lang w:eastAsia="zh-CN"/>
        </w:rPr>
        <w:t>签</w:t>
      </w:r>
      <w:r>
        <w:rPr>
          <w:rFonts w:ascii="宋体" w:hAnsi="宋体" w:cs="宋体"/>
          <w:sz w:val="24"/>
          <w:highlight w:val="white"/>
          <w:lang w:eastAsia="zh-CN"/>
        </w:rPr>
        <w:t>署《期</w:t>
      </w:r>
      <w:r>
        <w:rPr>
          <w:rFonts w:ascii="宋体" w:hAnsi="宋体" w:cs="宋体" w:hint="eastAsia"/>
          <w:sz w:val="24"/>
          <w:highlight w:val="white"/>
          <w:lang w:eastAsia="zh-CN"/>
        </w:rPr>
        <w:t>货</w:t>
      </w:r>
      <w:r>
        <w:rPr>
          <w:rFonts w:ascii="宋体" w:hAnsi="宋体" w:cs="宋体"/>
          <w:sz w:val="24"/>
          <w:highlight w:val="white"/>
          <w:lang w:eastAsia="zh-CN"/>
        </w:rPr>
        <w:t>投</w:t>
      </w:r>
      <w:r>
        <w:rPr>
          <w:rFonts w:ascii="宋体" w:hAnsi="宋体" w:cs="宋体" w:hint="eastAsia"/>
          <w:sz w:val="24"/>
          <w:highlight w:val="white"/>
          <w:lang w:eastAsia="zh-CN"/>
        </w:rPr>
        <w:t>资</w:t>
      </w:r>
      <w:r>
        <w:rPr>
          <w:rFonts w:ascii="宋体" w:hAnsi="宋体" w:cs="宋体"/>
          <w:sz w:val="24"/>
          <w:highlight w:val="white"/>
          <w:lang w:eastAsia="zh-CN"/>
        </w:rPr>
        <w:t>托管操作三方</w:t>
      </w:r>
      <w:r>
        <w:rPr>
          <w:rFonts w:ascii="宋体" w:hAnsi="宋体" w:cs="宋体" w:hint="eastAsia"/>
          <w:sz w:val="24"/>
          <w:highlight w:val="white"/>
          <w:lang w:eastAsia="zh-CN"/>
        </w:rPr>
        <w:t>备</w:t>
      </w:r>
      <w:r>
        <w:rPr>
          <w:rFonts w:ascii="宋体" w:hAnsi="宋体" w:cs="宋体"/>
          <w:sz w:val="24"/>
          <w:highlight w:val="white"/>
          <w:lang w:eastAsia="zh-CN"/>
        </w:rPr>
        <w:t>忘</w:t>
      </w:r>
      <w:r>
        <w:rPr>
          <w:rFonts w:ascii="宋体" w:hAnsi="宋体" w:cs="宋体" w:hint="eastAsia"/>
          <w:sz w:val="24"/>
          <w:highlight w:val="white"/>
          <w:lang w:eastAsia="zh-CN"/>
        </w:rPr>
        <w:t>录</w:t>
      </w:r>
      <w:r>
        <w:rPr>
          <w:rFonts w:ascii="宋体" w:hAnsi="宋体" w:cs="宋体"/>
          <w:sz w:val="24"/>
          <w:highlight w:val="white"/>
          <w:lang w:eastAsia="zh-CN"/>
        </w:rPr>
        <w:t>》。</w:t>
      </w:r>
    </w:p>
    <w:p w:rsidR="00676F42">
      <w:pPr>
        <w:snapToGrid w:val="0"/>
        <w:ind w:firstLine="480"/>
        <w:rPr>
          <w:rFonts w:ascii="宋体" w:hAnsi="宋体" w:cs="宋体"/>
          <w:sz w:val="24"/>
          <w:lang w:eastAsia="zh-CN"/>
        </w:rPr>
      </w:pPr>
      <w:r>
        <w:rPr>
          <w:rFonts w:ascii="宋体" w:hAnsi="宋体" w:cs="宋体"/>
          <w:sz w:val="24"/>
          <w:highlight w:val="white"/>
          <w:lang w:eastAsia="zh-CN"/>
        </w:rPr>
        <w:t>本基金如需参与期</w:t>
      </w:r>
      <w:r>
        <w:rPr>
          <w:rFonts w:ascii="宋体" w:hAnsi="宋体" w:cs="宋体" w:hint="eastAsia"/>
          <w:sz w:val="24"/>
          <w:highlight w:val="white"/>
          <w:lang w:eastAsia="zh-CN"/>
        </w:rPr>
        <w:t>权</w:t>
      </w:r>
      <w:r>
        <w:rPr>
          <w:rFonts w:ascii="宋体" w:hAnsi="宋体" w:cs="宋体"/>
          <w:sz w:val="24"/>
          <w:highlight w:val="white"/>
          <w:lang w:eastAsia="zh-CN"/>
        </w:rPr>
        <w:t>交易，</w:t>
      </w:r>
      <w:r>
        <w:rPr>
          <w:rFonts w:ascii="宋体" w:hAnsi="宋体" w:cs="宋体" w:hint="eastAsia"/>
          <w:sz w:val="24"/>
          <w:highlight w:val="white"/>
          <w:lang w:eastAsia="zh-CN"/>
        </w:rPr>
        <w:t>则</w:t>
      </w:r>
      <w:r>
        <w:rPr>
          <w:rFonts w:ascii="宋体" w:hAnsi="宋体" w:cs="宋体"/>
          <w:sz w:val="24"/>
          <w:highlight w:val="white"/>
          <w:lang w:eastAsia="zh-CN"/>
        </w:rPr>
        <w:t>按照相关</w:t>
      </w:r>
      <w:r>
        <w:rPr>
          <w:rFonts w:ascii="宋体" w:hAnsi="宋体" w:cs="宋体" w:hint="eastAsia"/>
          <w:sz w:val="24"/>
          <w:highlight w:val="white"/>
          <w:lang w:eastAsia="zh-CN"/>
        </w:rPr>
        <w:t>规</w:t>
      </w:r>
      <w:r>
        <w:rPr>
          <w:rFonts w:ascii="宋体" w:hAnsi="宋体" w:cs="宋体"/>
          <w:sz w:val="24"/>
          <w:highlight w:val="white"/>
          <w:lang w:eastAsia="zh-CN"/>
        </w:rPr>
        <w:t>定开立</w:t>
      </w:r>
      <w:r>
        <w:rPr>
          <w:rFonts w:ascii="宋体" w:hAnsi="宋体" w:cs="宋体" w:hint="eastAsia"/>
          <w:sz w:val="24"/>
          <w:highlight w:val="white"/>
          <w:lang w:eastAsia="zh-CN"/>
        </w:rPr>
        <w:t>账户</w:t>
      </w:r>
      <w:r>
        <w:rPr>
          <w:rFonts w:ascii="宋体" w:hAnsi="宋体" w:cs="宋体"/>
          <w:sz w:val="24"/>
          <w:highlight w:val="white"/>
          <w:lang w:eastAsia="zh-CN"/>
        </w:rPr>
        <w:t>。</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（七）基金财产投资的有关有价凭证等的保管</w:t>
      </w:r>
    </w:p>
    <w:p w:rsidR="00676F42">
      <w:pPr>
        <w:snapToGrid w:val="0"/>
        <w:ind w:firstLine="480"/>
        <w:rPr>
          <w:rFonts w:ascii="宋体" w:hAnsi="宋体" w:cs="宋体"/>
          <w:lang w:eastAsia="zh-CN"/>
        </w:rPr>
      </w:pPr>
      <w:r>
        <w:rPr>
          <w:rFonts w:ascii="宋体" w:hAnsi="宋体" w:cs="宋体" w:hint="eastAsia"/>
          <w:sz w:val="24"/>
          <w:highlight w:val="white"/>
          <w:lang w:eastAsia="zh-CN"/>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（八）与基金财产有关的重大合同的保管</w:t>
      </w:r>
    </w:p>
    <w:p w:rsidR="00676F42">
      <w:pPr>
        <w:snapToGrid w:val="0"/>
        <w:ind w:firstLine="480"/>
        <w:rPr>
          <w:rFonts w:ascii="宋体" w:hAnsi="宋体" w:cs="宋体"/>
          <w:sz w:val="30"/>
          <w:szCs w:val="30"/>
          <w:lang w:eastAsia="zh-CN"/>
        </w:rPr>
      </w:pPr>
      <w:r>
        <w:rPr>
          <w:rFonts w:ascii="宋体" w:hAnsi="宋体" w:cs="宋体"/>
          <w:sz w:val="24"/>
          <w:highlight w:val="white"/>
          <w:lang w:eastAsia="zh-CN"/>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20年。</w:t>
      </w:r>
    </w:p>
    <w:p w:rsidR="00676F42">
      <w:pPr>
        <w:rPr>
          <w:rFonts w:ascii="宋体" w:hAnsi="宋体" w:cs="宋体"/>
          <w:sz w:val="24"/>
          <w:lang w:eastAsia="zh-CN"/>
        </w:rPr>
      </w:pPr>
    </w:p>
    <w:p w:rsidR="00676F42">
      <w:pPr>
        <w:pStyle w:val="21"/>
        <w:jc w:val="center"/>
        <w:rPr>
          <w:rFonts w:ascii="宋体" w:eastAsia="宋体" w:hAnsi="宋体" w:cs="宋体"/>
          <w:sz w:val="30"/>
          <w:lang w:eastAsia="zh-CN"/>
        </w:rPr>
      </w:pPr>
      <w:bookmarkStart w:id="43" w:name="_Toc86204790"/>
      <w:bookmarkStart w:id="44" w:name="_Toc110765662"/>
      <w:bookmarkStart w:id="45" w:name="_Toc86737931"/>
      <w:bookmarkStart w:id="46" w:name="_Toc118212952"/>
      <w:bookmarkStart w:id="47" w:name="_Toc118774805"/>
      <w:bookmarkStart w:id="48" w:name="_Toc89163370"/>
      <w:bookmarkStart w:id="49" w:name="_Toc86223244"/>
      <w:bookmarkStart w:id="50" w:name="_Toc84133787"/>
      <w:bookmarkStart w:id="51" w:name="_Toc68875908"/>
      <w:bookmarkStart w:id="52" w:name="_Toc120435785"/>
      <w:bookmarkStart w:id="53" w:name="_Toc86225293"/>
      <w:bookmarkStart w:id="54" w:name="_Toc119402712"/>
      <w:bookmarkStart w:id="55" w:name="_Toc110761798"/>
      <w:bookmarkStart w:id="56" w:name="_Toc86727357"/>
      <w:bookmarkStart w:id="57" w:name="_Toc84234436"/>
      <w:bookmarkStart w:id="58" w:name="_Toc86726441"/>
      <w:bookmarkStart w:id="59" w:name="_Toc84234389"/>
      <w:bookmarkStart w:id="60" w:name="_Toc118972650"/>
      <w:bookmarkStart w:id="61" w:name="_Toc108512360"/>
      <w:bookmarkStart w:id="62" w:name="_Toc86649724"/>
      <w:bookmarkStart w:id="63" w:name="_Toc110830494"/>
      <w:r>
        <w:rPr>
          <w:rFonts w:ascii="宋体" w:eastAsia="宋体" w:hAnsi="宋体" w:cs="宋体" w:hint="eastAsia"/>
          <w:sz w:val="30"/>
          <w:highlight w:val="white"/>
          <w:lang w:eastAsia="zh-CN"/>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676F42">
      <w:pPr>
        <w:ind w:firstLine="480"/>
        <w:rPr>
          <w:lang w:eastAsia="zh-CN"/>
        </w:rPr>
      </w:pPr>
      <w:r>
        <w:rPr>
          <w:rFonts w:ascii="宋体" w:hAnsi="宋体" w:cs="宋体"/>
          <w:color w:val="000000"/>
          <w:sz w:val="24"/>
          <w:highlight w:val="white"/>
          <w:lang w:eastAsia="zh-CN"/>
        </w:rPr>
        <w:t>基金管理人在运用基金财产时向基金托管人发送资金划拨及其他款项付款指令，基金托管人执行基金管理人的指令、办理基金名下的资金往来等有关事项。</w:t>
      </w:r>
    </w:p>
    <w:p w:rsidR="00676F42">
      <w:pPr>
        <w:ind w:firstLine="480"/>
        <w:rPr>
          <w:lang w:eastAsia="zh-CN"/>
        </w:rPr>
      </w:pPr>
      <w:r>
        <w:rPr>
          <w:rFonts w:ascii="宋体" w:hAnsi="宋体" w:cs="宋体"/>
          <w:color w:val="000000"/>
          <w:sz w:val="24"/>
          <w:highlight w:val="white"/>
          <w:lang w:eastAsia="zh-CN"/>
        </w:rPr>
        <w:t>（一）基金管理人对发送指令人员的书面授权</w:t>
      </w:r>
    </w:p>
    <w:p w:rsidR="00676F42">
      <w:pPr>
        <w:ind w:firstLine="480"/>
        <w:rPr>
          <w:lang w:eastAsia="zh-CN"/>
        </w:rPr>
      </w:pPr>
      <w:r>
        <w:rPr>
          <w:rFonts w:ascii="宋体" w:hAnsi="宋体" w:cs="宋体"/>
          <w:color w:val="000000"/>
          <w:sz w:val="24"/>
          <w:highlight w:val="white"/>
          <w:lang w:eastAsia="zh-CN"/>
        </w:rPr>
        <w:t>1.基金管理人应指定专人向基金托管人发送指令。</w:t>
      </w:r>
    </w:p>
    <w:p w:rsidR="00676F42">
      <w:pPr>
        <w:ind w:firstLine="480"/>
        <w:rPr>
          <w:lang w:eastAsia="zh-CN"/>
        </w:rPr>
      </w:pPr>
      <w:r>
        <w:rPr>
          <w:rFonts w:ascii="宋体" w:hAnsi="宋体" w:cs="宋体"/>
          <w:color w:val="000000"/>
          <w:sz w:val="24"/>
          <w:highlight w:val="white"/>
          <w:lang w:eastAsia="zh-CN"/>
        </w:rPr>
        <w:t>2.基金管理人应向基金托管人提供书面授权文件原件，内容包括被授权人名单、预留印鉴及被授权人签字样本，授权文件应注明被授权人相应的权限并加盖公章。</w:t>
      </w:r>
    </w:p>
    <w:p w:rsidR="00676F42">
      <w:pPr>
        <w:ind w:firstLine="480"/>
        <w:rPr>
          <w:lang w:eastAsia="zh-CN"/>
        </w:rPr>
      </w:pPr>
      <w:r>
        <w:rPr>
          <w:rFonts w:ascii="宋体" w:hAnsi="宋体" w:cs="宋体"/>
          <w:color w:val="000000"/>
          <w:sz w:val="24"/>
          <w:highlight w:val="white"/>
          <w:lang w:eastAsia="zh-CN"/>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76F42">
      <w:pPr>
        <w:ind w:firstLine="480"/>
        <w:rPr>
          <w:lang w:eastAsia="zh-CN"/>
        </w:rPr>
      </w:pPr>
      <w:r>
        <w:rPr>
          <w:rFonts w:ascii="宋体" w:hAnsi="宋体" w:cs="宋体"/>
          <w:color w:val="000000"/>
          <w:sz w:val="24"/>
          <w:highlight w:val="white"/>
          <w:lang w:eastAsia="zh-CN"/>
        </w:rPr>
        <w:t>4.基金管理人和基金托管人对授权文件负有保密义务，其内容不得向被授权人及相关操作人员以外的任何人泄露。但法律法规规定或有权机关要求的除外。</w:t>
      </w:r>
    </w:p>
    <w:p w:rsidR="00676F42">
      <w:pPr>
        <w:ind w:firstLine="480"/>
        <w:rPr>
          <w:lang w:eastAsia="zh-CN"/>
        </w:rPr>
      </w:pPr>
      <w:r>
        <w:rPr>
          <w:rFonts w:ascii="宋体" w:hAnsi="宋体" w:cs="宋体"/>
          <w:color w:val="000000"/>
          <w:sz w:val="24"/>
          <w:highlight w:val="white"/>
          <w:lang w:eastAsia="zh-CN"/>
        </w:rPr>
        <w:t>（二）指令的内容</w:t>
      </w:r>
    </w:p>
    <w:p w:rsidR="00676F42">
      <w:pPr>
        <w:ind w:firstLine="480"/>
        <w:rPr>
          <w:lang w:eastAsia="zh-CN"/>
        </w:rPr>
      </w:pPr>
      <w:r>
        <w:rPr>
          <w:rFonts w:ascii="宋体" w:hAnsi="宋体" w:cs="宋体"/>
          <w:color w:val="000000"/>
          <w:sz w:val="24"/>
          <w:highlight w:val="white"/>
          <w:lang w:eastAsia="zh-CN"/>
        </w:rPr>
        <w:t>1.指令包括付款指令以及其他资金划拨指令等。</w:t>
      </w:r>
    </w:p>
    <w:p w:rsidR="00676F42">
      <w:pPr>
        <w:ind w:firstLine="480"/>
        <w:rPr>
          <w:lang w:eastAsia="zh-CN"/>
        </w:rPr>
      </w:pPr>
      <w:r>
        <w:rPr>
          <w:rFonts w:ascii="宋体" w:hAnsi="宋体" w:cs="宋体"/>
          <w:color w:val="000000"/>
          <w:sz w:val="24"/>
          <w:highlight w:val="white"/>
          <w:lang w:eastAsia="zh-CN"/>
        </w:rPr>
        <w:t>2.基金管理人发给基金托管人的指令应写明款项事由、支付时间、到账时间、金额、收付款账户等，加盖预留印鉴并由被授权人签字。</w:t>
      </w:r>
    </w:p>
    <w:p w:rsidR="00676F42">
      <w:pPr>
        <w:ind w:firstLine="480"/>
        <w:rPr>
          <w:lang w:eastAsia="zh-CN"/>
        </w:rPr>
      </w:pPr>
      <w:r>
        <w:rPr>
          <w:rFonts w:ascii="宋体" w:hAnsi="宋体" w:cs="宋体"/>
          <w:color w:val="000000"/>
          <w:sz w:val="24"/>
          <w:highlight w:val="white"/>
          <w:lang w:eastAsia="zh-CN"/>
        </w:rPr>
        <w:t>（三）指令的发送、确认及执行的时间和程序</w:t>
      </w:r>
    </w:p>
    <w:p w:rsidR="00676F42">
      <w:pPr>
        <w:ind w:firstLine="480"/>
        <w:rPr>
          <w:lang w:eastAsia="zh-CN"/>
        </w:rPr>
      </w:pPr>
      <w:r>
        <w:rPr>
          <w:rFonts w:ascii="宋体" w:hAnsi="宋体" w:cs="宋体"/>
          <w:color w:val="000000"/>
          <w:sz w:val="24"/>
          <w:highlight w:val="white"/>
          <w:lang w:eastAsia="zh-CN"/>
        </w:rPr>
        <w:t>1.指令的发送</w:t>
      </w:r>
    </w:p>
    <w:p w:rsidR="00676F42">
      <w:pPr>
        <w:ind w:firstLine="480"/>
        <w:rPr>
          <w:lang w:eastAsia="zh-CN"/>
        </w:rPr>
      </w:pPr>
      <w:r>
        <w:rPr>
          <w:rFonts w:ascii="宋体" w:hAnsi="宋体" w:cs="宋体"/>
          <w:color w:val="000000"/>
          <w:sz w:val="24"/>
          <w:highlight w:val="white"/>
          <w:lang w:eastAsia="zh-CN"/>
        </w:rPr>
        <w:t>基金管理人发送指令应采用电子直连方式、传真方式或双方协商一致的其他方式。</w:t>
      </w:r>
    </w:p>
    <w:p w:rsidR="00676F42">
      <w:pPr>
        <w:ind w:firstLine="480"/>
        <w:rPr>
          <w:lang w:eastAsia="zh-CN"/>
        </w:rPr>
      </w:pPr>
      <w:r>
        <w:rPr>
          <w:rFonts w:ascii="宋体" w:hAnsi="宋体" w:cs="宋体"/>
          <w:color w:val="000000"/>
          <w:sz w:val="24"/>
          <w:highlight w:val="white"/>
          <w:lang w:eastAsia="zh-CN"/>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676F42">
      <w:pPr>
        <w:ind w:firstLine="480"/>
        <w:rPr>
          <w:lang w:eastAsia="zh-CN"/>
        </w:rPr>
      </w:pPr>
      <w:r>
        <w:rPr>
          <w:rFonts w:ascii="宋体" w:hAnsi="宋体" w:cs="宋体"/>
          <w:color w:val="000000"/>
          <w:sz w:val="24"/>
          <w:highlight w:val="white"/>
          <w:lang w:eastAsia="zh-CN"/>
        </w:rPr>
        <w:t>指令发出后，基金管理人应及时以电话方式向基金托管人确认。</w:t>
      </w:r>
    </w:p>
    <w:p w:rsidR="00676F42">
      <w:pPr>
        <w:ind w:firstLine="480"/>
        <w:rPr>
          <w:lang w:eastAsia="zh-CN"/>
        </w:rPr>
      </w:pPr>
      <w:r>
        <w:rPr>
          <w:rFonts w:ascii="宋体" w:hAnsi="宋体" w:cs="宋体"/>
          <w:color w:val="000000"/>
          <w:sz w:val="24"/>
          <w:highlight w:val="white"/>
          <w:lang w:eastAsia="zh-CN"/>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676F42">
      <w:pPr>
        <w:ind w:firstLine="480"/>
        <w:rPr>
          <w:lang w:eastAsia="zh-CN"/>
        </w:rPr>
      </w:pPr>
      <w:r>
        <w:rPr>
          <w:rFonts w:ascii="宋体" w:hAnsi="宋体" w:cs="宋体"/>
          <w:color w:val="000000"/>
          <w:sz w:val="24"/>
          <w:highlight w:val="white"/>
          <w:lang w:eastAsia="zh-CN"/>
        </w:rPr>
        <w:t>2.指令的确认</w:t>
      </w:r>
    </w:p>
    <w:p w:rsidR="00676F42">
      <w:pPr>
        <w:ind w:firstLine="480"/>
        <w:rPr>
          <w:lang w:eastAsia="zh-CN"/>
        </w:rPr>
      </w:pPr>
      <w:r>
        <w:rPr>
          <w:rFonts w:ascii="宋体" w:hAnsi="宋体" w:cs="宋体"/>
          <w:color w:val="000000"/>
          <w:sz w:val="24"/>
          <w:highlight w:val="white"/>
          <w:lang w:eastAsia="zh-CN"/>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676F42">
      <w:pPr>
        <w:ind w:firstLine="480"/>
        <w:rPr>
          <w:lang w:eastAsia="zh-CN"/>
        </w:rPr>
      </w:pPr>
      <w:r>
        <w:rPr>
          <w:rFonts w:ascii="宋体" w:hAnsi="宋体" w:cs="宋体"/>
          <w:color w:val="000000"/>
          <w:sz w:val="24"/>
          <w:highlight w:val="white"/>
          <w:lang w:eastAsia="zh-CN"/>
        </w:rPr>
        <w:t>3.指令的时间和执行</w:t>
      </w:r>
    </w:p>
    <w:p w:rsidR="00676F42">
      <w:pPr>
        <w:ind w:firstLine="480"/>
        <w:rPr>
          <w:lang w:eastAsia="zh-CN"/>
        </w:rPr>
      </w:pPr>
      <w:r>
        <w:rPr>
          <w:rFonts w:ascii="宋体" w:hAnsi="宋体" w:cs="宋体"/>
          <w:color w:val="000000"/>
          <w:sz w:val="24"/>
          <w:highlight w:val="white"/>
          <w:lang w:eastAsia="zh-CN"/>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资金托管账户有足够的资金余额，在基金资金头寸充足的情况下，基金托管人对基金管理人符合法律法规、《基金合同》、本协议的指令不得拖延或拒绝执行。</w:t>
      </w:r>
    </w:p>
    <w:p w:rsidR="00676F42">
      <w:pPr>
        <w:ind w:firstLine="480"/>
        <w:rPr>
          <w:lang w:eastAsia="zh-CN"/>
        </w:rPr>
      </w:pPr>
      <w:r>
        <w:rPr>
          <w:rFonts w:ascii="宋体" w:hAnsi="宋体" w:cs="宋体"/>
          <w:color w:val="000000"/>
          <w:sz w:val="24"/>
          <w:highlight w:val="white"/>
          <w:lang w:eastAsia="zh-CN"/>
        </w:rPr>
        <w:t>（四）基金管理人发送错误指令的情形和处理程序</w:t>
      </w:r>
    </w:p>
    <w:p w:rsidR="00676F42">
      <w:pPr>
        <w:ind w:firstLine="480"/>
        <w:rPr>
          <w:lang w:eastAsia="zh-CN"/>
        </w:rPr>
      </w:pPr>
      <w:r>
        <w:rPr>
          <w:rFonts w:ascii="宋体" w:hAnsi="宋体" w:cs="宋体"/>
          <w:color w:val="000000"/>
          <w:sz w:val="24"/>
          <w:highlight w:val="white"/>
          <w:lang w:eastAsia="zh-CN"/>
        </w:rPr>
        <w:t>基金管理人发送错误指令的情形包括指令违反法律法规、监管规定、《基金合同》或本协议的约定，或指令发送人员无权或超越权限发送指令。</w:t>
      </w:r>
    </w:p>
    <w:p w:rsidR="00676F42">
      <w:pPr>
        <w:ind w:firstLine="480"/>
        <w:rPr>
          <w:lang w:eastAsia="zh-CN"/>
        </w:rPr>
      </w:pPr>
      <w:r>
        <w:rPr>
          <w:rFonts w:ascii="宋体" w:hAnsi="宋体" w:cs="宋体"/>
          <w:color w:val="000000"/>
          <w:sz w:val="24"/>
          <w:highlight w:val="white"/>
          <w:lang w:eastAsia="zh-CN"/>
        </w:rPr>
        <w:t>基金托管人发现基金管理人的指令错误时，有权拒绝执行，并及时通知基金管理人改正。如需托管人撤销尚未执行的指令，基金管理人应出具作废指令或作废说明，并电话通知托管人。</w:t>
      </w:r>
    </w:p>
    <w:p w:rsidR="00676F42">
      <w:pPr>
        <w:ind w:firstLine="480"/>
        <w:rPr>
          <w:lang w:eastAsia="zh-CN"/>
        </w:rPr>
      </w:pPr>
      <w:r>
        <w:rPr>
          <w:rFonts w:ascii="宋体" w:hAnsi="宋体" w:cs="宋体"/>
          <w:color w:val="000000"/>
          <w:sz w:val="24"/>
          <w:highlight w:val="white"/>
          <w:lang w:eastAsia="zh-CN"/>
        </w:rPr>
        <w:t>（五）基金托管人未按照基金管理人指令执行的处理方法</w:t>
      </w:r>
    </w:p>
    <w:p w:rsidR="00676F42">
      <w:pPr>
        <w:ind w:firstLine="480"/>
        <w:rPr>
          <w:lang w:eastAsia="zh-CN"/>
        </w:rPr>
      </w:pPr>
      <w:r>
        <w:rPr>
          <w:rFonts w:ascii="宋体" w:hAnsi="宋体" w:cs="宋体"/>
          <w:color w:val="000000"/>
          <w:sz w:val="24"/>
          <w:highlight w:val="white"/>
          <w:lang w:eastAsia="zh-CN"/>
        </w:rPr>
        <w:t>基金托管人由于自身过错，未按照基金管理人发送的符合法律法规、监管规定、《基金合同》和本协议约定的指令执行并对基金财产或投资人造成的直接损失，由基金托管人赔偿由此造成的直接损失。</w:t>
      </w:r>
    </w:p>
    <w:p w:rsidR="00676F42">
      <w:pPr>
        <w:ind w:firstLine="480"/>
        <w:rPr>
          <w:lang w:eastAsia="zh-CN"/>
        </w:rPr>
      </w:pPr>
      <w:r>
        <w:rPr>
          <w:rFonts w:ascii="宋体" w:hAnsi="宋体" w:cs="宋体"/>
          <w:color w:val="000000"/>
          <w:sz w:val="24"/>
          <w:highlight w:val="white"/>
          <w:lang w:eastAsia="zh-CN"/>
        </w:rPr>
        <w:t>（六）更换被授权人员的程序</w:t>
      </w:r>
    </w:p>
    <w:p w:rsidR="00676F42">
      <w:pPr>
        <w:ind w:firstLine="480"/>
        <w:rPr>
          <w:lang w:eastAsia="zh-CN"/>
        </w:rPr>
      </w:pPr>
      <w:r>
        <w:rPr>
          <w:rFonts w:ascii="宋体" w:hAnsi="宋体" w:cs="宋体"/>
          <w:color w:val="000000"/>
          <w:sz w:val="24"/>
          <w:highlight w:val="white"/>
          <w:lang w:eastAsia="zh-CN"/>
        </w:rPr>
        <w:t>基金管理人更换被授权人、更改或终止对被授权人的授权，应立即将加盖公章的新的授权文件以邮件发送扫描件方式通知基金托管人，并经电话确认后生效，原授权文件同时废止。新的授权文件在邮件发出后七个工作日内送达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过录音电话通知基金管理人。</w:t>
      </w:r>
    </w:p>
    <w:p w:rsidR="00676F42">
      <w:pPr>
        <w:ind w:firstLine="480"/>
        <w:rPr>
          <w:lang w:eastAsia="zh-CN"/>
        </w:rPr>
      </w:pPr>
      <w:r>
        <w:rPr>
          <w:rFonts w:ascii="宋体" w:hAnsi="宋体" w:cs="宋体"/>
          <w:color w:val="000000"/>
          <w:sz w:val="24"/>
          <w:highlight w:val="white"/>
          <w:lang w:eastAsia="zh-CN"/>
        </w:rPr>
        <w:t>（七）其他事项</w:t>
      </w:r>
    </w:p>
    <w:p w:rsidR="00676F42">
      <w:pPr>
        <w:ind w:firstLine="480"/>
        <w:rPr>
          <w:lang w:eastAsia="zh-CN"/>
        </w:rPr>
      </w:pPr>
      <w:r>
        <w:rPr>
          <w:rFonts w:ascii="宋体" w:hAnsi="宋体" w:cs="宋体"/>
          <w:color w:val="000000"/>
          <w:sz w:val="24"/>
          <w:highlight w:val="white"/>
          <w:lang w:eastAsia="zh-CN"/>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rsidR="00676F42">
      <w:pPr>
        <w:ind w:firstLine="480"/>
        <w:rPr>
          <w:lang w:eastAsia="zh-CN"/>
        </w:rPr>
      </w:pPr>
      <w:r>
        <w:rPr>
          <w:rFonts w:ascii="宋体" w:hAnsi="宋体" w:cs="宋体"/>
          <w:color w:val="000000"/>
          <w:sz w:val="24"/>
          <w:highlight w:val="white"/>
          <w:lang w:eastAsia="zh-CN"/>
        </w:rPr>
        <w:t>基金参与认购未上市债券时，基金管理人应代表本基金与对手方签署相关合同或协议，明确约定债券过户具体事宜。否则，基金管理人需对所认购债券的过户事宜承担相应责任。</w:t>
      </w:r>
    </w:p>
    <w:p w:rsidR="00676F42">
      <w:pPr>
        <w:snapToGrid w:val="0"/>
        <w:ind w:firstLine="480"/>
        <w:rPr>
          <w:rFonts w:ascii="宋体" w:hAnsi="宋体" w:cs="宋体"/>
          <w:sz w:val="24"/>
          <w:lang w:eastAsia="zh-CN"/>
        </w:rPr>
      </w:pPr>
    </w:p>
    <w:p w:rsidR="00676F42">
      <w:pPr>
        <w:snapToGrid w:val="0"/>
        <w:rPr>
          <w:rFonts w:ascii="宋体" w:hAnsi="宋体" w:cs="宋体"/>
          <w:sz w:val="24"/>
          <w:lang w:eastAsia="zh-CN"/>
        </w:rPr>
      </w:pPr>
    </w:p>
    <w:p w:rsidR="00676F42">
      <w:pPr>
        <w:pStyle w:val="21"/>
        <w:jc w:val="center"/>
        <w:rPr>
          <w:rFonts w:ascii="宋体" w:eastAsia="宋体" w:hAnsi="宋体" w:cs="宋体"/>
          <w:sz w:val="30"/>
          <w:lang w:eastAsia="zh-CN"/>
        </w:rPr>
      </w:pPr>
      <w:bookmarkStart w:id="64" w:name="_Toc118212953"/>
      <w:bookmarkStart w:id="65" w:name="_Toc118774806"/>
      <w:bookmarkStart w:id="66" w:name="_Toc120435786"/>
      <w:bookmarkStart w:id="67" w:name="_Toc119402713"/>
      <w:bookmarkStart w:id="68" w:name="_Toc84133788"/>
      <w:bookmarkStart w:id="69" w:name="_Toc118972651"/>
      <w:bookmarkStart w:id="70" w:name="_Toc86726442"/>
      <w:bookmarkStart w:id="71" w:name="_Toc68875909"/>
      <w:bookmarkStart w:id="72" w:name="_Toc89163371"/>
      <w:bookmarkStart w:id="73" w:name="_Toc86649725"/>
      <w:bookmarkStart w:id="74" w:name="_Toc86204791"/>
      <w:bookmarkStart w:id="75" w:name="_Toc110830495"/>
      <w:bookmarkStart w:id="76" w:name="_Toc86737932"/>
      <w:bookmarkStart w:id="77" w:name="_Toc86727358"/>
      <w:bookmarkStart w:id="78" w:name="_Toc84234390"/>
      <w:bookmarkStart w:id="79" w:name="_Toc110761799"/>
      <w:bookmarkStart w:id="80" w:name="_Toc86223245"/>
      <w:bookmarkStart w:id="81" w:name="_Toc108512361"/>
      <w:bookmarkStart w:id="82" w:name="_Toc86225294"/>
      <w:bookmarkStart w:id="83" w:name="_Toc110765663"/>
      <w:bookmarkStart w:id="84" w:name="_Toc84234437"/>
      <w:r>
        <w:rPr>
          <w:rFonts w:ascii="宋体" w:eastAsia="宋体" w:hAnsi="宋体" w:cs="宋体" w:hint="eastAsia"/>
          <w:sz w:val="30"/>
          <w:highlight w:val="white"/>
          <w:lang w:eastAsia="zh-CN"/>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676F42">
      <w:pPr>
        <w:ind w:firstLine="480"/>
        <w:rPr>
          <w:lang w:eastAsia="zh-CN"/>
        </w:rPr>
      </w:pPr>
      <w:r>
        <w:rPr>
          <w:rFonts w:ascii="宋体" w:hAnsi="宋体" w:cs="宋体"/>
          <w:color w:val="000000"/>
          <w:sz w:val="24"/>
          <w:highlight w:val="white"/>
          <w:lang w:eastAsia="zh-CN"/>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rsidR="00676F42">
      <w:pPr>
        <w:ind w:firstLine="480"/>
        <w:rPr>
          <w:lang w:eastAsia="zh-CN"/>
        </w:rPr>
      </w:pPr>
      <w:r>
        <w:rPr>
          <w:rFonts w:ascii="宋体" w:hAnsi="宋体" w:cs="宋体"/>
          <w:color w:val="000000"/>
          <w:sz w:val="24"/>
          <w:highlight w:val="white"/>
          <w:lang w:eastAsia="zh-CN"/>
        </w:rPr>
        <w:t>基金管理人、基金托管人应遵守本合同下述（一）和（二）之约定。</w:t>
      </w:r>
    </w:p>
    <w:p w:rsidR="00676F42">
      <w:pPr>
        <w:ind w:firstLine="480"/>
        <w:rPr>
          <w:lang w:eastAsia="zh-CN"/>
        </w:rPr>
      </w:pPr>
      <w:r>
        <w:rPr>
          <w:rFonts w:ascii="宋体" w:hAnsi="宋体" w:cs="宋体"/>
          <w:color w:val="000000"/>
          <w:sz w:val="24"/>
          <w:highlight w:val="white"/>
          <w:lang w:eastAsia="zh-CN"/>
        </w:rPr>
        <w:t>（一）选择证券买卖的证券经营机构</w:t>
      </w:r>
    </w:p>
    <w:p w:rsidR="00676F42">
      <w:pPr>
        <w:ind w:firstLine="480"/>
        <w:rPr>
          <w:lang w:eastAsia="zh-CN"/>
        </w:rPr>
      </w:pPr>
      <w:r>
        <w:rPr>
          <w:rFonts w:ascii="宋体" w:hAnsi="宋体" w:cs="宋体"/>
          <w:color w:val="000000"/>
          <w:sz w:val="24"/>
          <w:highlight w:val="white"/>
          <w:lang w:eastAsia="zh-CN"/>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676F42">
      <w:pPr>
        <w:ind w:firstLine="480"/>
        <w:rPr>
          <w:lang w:eastAsia="zh-CN"/>
        </w:rPr>
      </w:pPr>
      <w:r>
        <w:rPr>
          <w:rFonts w:ascii="宋体" w:hAnsi="宋体" w:cs="宋体"/>
          <w:color w:val="000000"/>
          <w:sz w:val="24"/>
          <w:highlight w:val="white"/>
          <w:lang w:eastAsia="zh-CN"/>
        </w:rPr>
        <w:t>（二）基金投资证券后的清算交收安排</w:t>
      </w:r>
    </w:p>
    <w:p w:rsidR="00676F42">
      <w:pPr>
        <w:ind w:firstLine="480"/>
        <w:rPr>
          <w:lang w:eastAsia="zh-CN"/>
        </w:rPr>
      </w:pPr>
      <w:r>
        <w:rPr>
          <w:rFonts w:ascii="宋体" w:hAnsi="宋体" w:cs="宋体"/>
          <w:color w:val="000000"/>
          <w:sz w:val="24"/>
          <w:highlight w:val="white"/>
          <w:lang w:eastAsia="zh-CN"/>
        </w:rPr>
        <w:t>1.结算备付金与保证金</w:t>
      </w:r>
    </w:p>
    <w:p w:rsidR="00676F42">
      <w:pPr>
        <w:ind w:firstLine="480"/>
        <w:rPr>
          <w:lang w:eastAsia="zh-CN"/>
        </w:rPr>
      </w:pPr>
      <w:r>
        <w:rPr>
          <w:rFonts w:ascii="宋体" w:hAnsi="宋体" w:cs="宋体"/>
          <w:color w:val="000000"/>
          <w:sz w:val="24"/>
          <w:highlight w:val="white"/>
          <w:lang w:eastAsia="zh-CN"/>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rsidR="00676F42">
      <w:pPr>
        <w:ind w:firstLine="480"/>
        <w:rPr>
          <w:lang w:eastAsia="zh-CN"/>
        </w:rPr>
      </w:pPr>
      <w:r>
        <w:rPr>
          <w:rFonts w:ascii="宋体" w:hAnsi="宋体" w:cs="宋体"/>
          <w:color w:val="000000"/>
          <w:sz w:val="24"/>
          <w:highlight w:val="white"/>
          <w:lang w:eastAsia="zh-CN"/>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rsidR="00676F42">
      <w:pPr>
        <w:ind w:firstLine="480"/>
        <w:rPr>
          <w:lang w:eastAsia="zh-CN"/>
        </w:rPr>
      </w:pPr>
      <w:r>
        <w:rPr>
          <w:rFonts w:ascii="宋体" w:hAnsi="宋体" w:cs="宋体"/>
          <w:color w:val="000000"/>
          <w:sz w:val="24"/>
          <w:highlight w:val="white"/>
          <w:lang w:eastAsia="zh-CN"/>
        </w:rPr>
        <w:t>（1）固定备付金比例计收方式下，基金管理人应在调整最低备付金、结算保证金当日上午11：00之前补足金额。</w:t>
      </w:r>
    </w:p>
    <w:p w:rsidR="00676F42">
      <w:pPr>
        <w:ind w:firstLine="480"/>
        <w:rPr>
          <w:lang w:eastAsia="zh-CN"/>
        </w:rPr>
      </w:pPr>
      <w:r>
        <w:rPr>
          <w:rFonts w:ascii="宋体" w:hAnsi="宋体" w:cs="宋体"/>
          <w:color w:val="000000"/>
          <w:sz w:val="24"/>
          <w:highlight w:val="white"/>
          <w:lang w:eastAsia="zh-CN"/>
        </w:rPr>
        <w:t>（2）差异化备付金比例计收方式下，基金管理人应最晚于资金交收日上午8：30前补足金额。如果资金交收日上午8：30之前未到账，结算参与人有权按照中国证券登记结算有限责任公司的规则上调该产品的备付金比例。</w:t>
      </w:r>
    </w:p>
    <w:p w:rsidR="00676F42">
      <w:pPr>
        <w:ind w:firstLine="480"/>
        <w:rPr>
          <w:lang w:eastAsia="zh-CN"/>
        </w:rPr>
      </w:pPr>
      <w:r>
        <w:rPr>
          <w:rFonts w:ascii="宋体" w:hAnsi="宋体" w:cs="宋体"/>
          <w:color w:val="000000"/>
          <w:sz w:val="24"/>
          <w:highlight w:val="white"/>
          <w:lang w:eastAsia="zh-CN"/>
        </w:rPr>
        <w:t>2.清算交收</w:t>
      </w:r>
    </w:p>
    <w:p w:rsidR="00676F42">
      <w:pPr>
        <w:ind w:firstLine="480"/>
        <w:rPr>
          <w:lang w:eastAsia="zh-CN"/>
        </w:rPr>
      </w:pPr>
      <w:r>
        <w:rPr>
          <w:rFonts w:ascii="宋体" w:hAnsi="宋体" w:cs="宋体"/>
          <w:color w:val="000000"/>
          <w:sz w:val="24"/>
          <w:highlight w:val="white"/>
          <w:lang w:eastAsia="zh-CN"/>
        </w:rPr>
        <w:t>基金托管人负责基金买卖证券的清算交收。场内资金结算由基金托管人根据中国证券登记结算有限责任公司结算数据办理；场外资金汇划由基金托管人根据基金管理人的交易划款指令具体办理。</w:t>
      </w:r>
    </w:p>
    <w:p w:rsidR="00676F42">
      <w:pPr>
        <w:ind w:firstLine="480"/>
        <w:rPr>
          <w:lang w:eastAsia="zh-CN"/>
        </w:rPr>
      </w:pPr>
      <w:r>
        <w:rPr>
          <w:rFonts w:ascii="宋体" w:hAnsi="宋体" w:cs="宋体"/>
          <w:color w:val="000000"/>
          <w:sz w:val="24"/>
          <w:highlight w:val="white"/>
          <w:lang w:eastAsia="zh-CN"/>
        </w:rPr>
        <w:t>如果因为基金托管人过错在清算上造成基金财产的直接损失，应由基金托管人负责赔偿，但因中国人民银行、中国结算和银行间市场登记结算机构资金结算系统以及其他机构的结算系统发生故障等非基金托管人的过错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基金管理人按照其与基金托管人签署的《托管银行证券资金结算协议》的约定承担相关责任。</w:t>
      </w:r>
    </w:p>
    <w:p w:rsidR="00676F42">
      <w:pPr>
        <w:ind w:firstLine="480"/>
        <w:rPr>
          <w:lang w:eastAsia="zh-CN"/>
        </w:rPr>
      </w:pPr>
      <w:r>
        <w:rPr>
          <w:rFonts w:ascii="宋体" w:hAnsi="宋体" w:cs="宋体"/>
          <w:color w:val="000000"/>
          <w:sz w:val="24"/>
          <w:highlight w:val="white"/>
          <w:lang w:eastAsia="zh-CN"/>
        </w:rPr>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rsidR="00676F42">
      <w:pPr>
        <w:ind w:firstLine="480"/>
        <w:rPr>
          <w:lang w:eastAsia="zh-CN"/>
        </w:rPr>
      </w:pPr>
      <w:r>
        <w:rPr>
          <w:rFonts w:ascii="宋体" w:hAnsi="宋体" w:cs="宋体"/>
          <w:color w:val="000000"/>
          <w:sz w:val="24"/>
          <w:highlight w:val="white"/>
          <w:lang w:eastAsia="zh-CN"/>
        </w:rPr>
        <w:t>（1）固定备付金比例计收方式下，基金管理人应最晚于资金交收日上午11：00前补足金额。</w:t>
      </w:r>
    </w:p>
    <w:p w:rsidR="00676F42">
      <w:pPr>
        <w:ind w:firstLine="480"/>
        <w:rPr>
          <w:lang w:eastAsia="zh-CN"/>
        </w:rPr>
      </w:pPr>
      <w:r>
        <w:rPr>
          <w:rFonts w:ascii="宋体" w:hAnsi="宋体" w:cs="宋体"/>
          <w:color w:val="000000"/>
          <w:sz w:val="24"/>
          <w:highlight w:val="white"/>
          <w:lang w:eastAsia="zh-CN"/>
        </w:rPr>
        <w:t>（2）差异化备付金比例计收方式下，基金管理人应最晚于资金交收日上午8：30前补足金额。如果资金交收日上午8：30之前未到账，结算参与人有权按照中国证券登记结算有限责任公司的规则上调该产品的备付金比例。</w:t>
      </w:r>
    </w:p>
    <w:p w:rsidR="00676F42">
      <w:pPr>
        <w:ind w:firstLine="480"/>
        <w:rPr>
          <w:lang w:eastAsia="zh-CN"/>
        </w:rPr>
      </w:pPr>
      <w:r>
        <w:rPr>
          <w:rFonts w:ascii="宋体" w:hAnsi="宋体" w:cs="宋体"/>
          <w:color w:val="000000"/>
          <w:sz w:val="24"/>
          <w:highlight w:val="white"/>
          <w:lang w:eastAsia="zh-CN"/>
        </w:rPr>
        <w:t>如果基金管理人未遵循上述规定备足资金头寸，影响基金资产的清算交收及基金托管人与中国证券登记结算有限责任公司之间的一级清算，由基金管理人按照其与基金托管人签署的《托管银行证券资金结算协议》的约定承担相关责任。</w:t>
      </w:r>
    </w:p>
    <w:p w:rsidR="00676F42">
      <w:pPr>
        <w:ind w:firstLine="480"/>
        <w:rPr>
          <w:lang w:eastAsia="zh-CN"/>
        </w:rPr>
      </w:pPr>
      <w:r>
        <w:rPr>
          <w:rFonts w:ascii="宋体" w:hAnsi="宋体" w:cs="宋体"/>
          <w:color w:val="000000"/>
          <w:sz w:val="24"/>
          <w:highlight w:val="white"/>
          <w:lang w:eastAsia="zh-CN"/>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676F42">
      <w:pPr>
        <w:ind w:firstLine="480"/>
        <w:rPr>
          <w:lang w:eastAsia="zh-CN"/>
        </w:rPr>
      </w:pPr>
      <w:r>
        <w:rPr>
          <w:rFonts w:ascii="宋体" w:hAnsi="宋体" w:cs="宋体"/>
          <w:color w:val="000000"/>
          <w:sz w:val="24"/>
          <w:highlight w:val="white"/>
          <w:lang w:eastAsia="zh-CN"/>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rsidR="00676F42">
      <w:pPr>
        <w:ind w:firstLine="480"/>
        <w:rPr>
          <w:lang w:eastAsia="zh-CN"/>
        </w:rPr>
      </w:pPr>
      <w:r>
        <w:rPr>
          <w:rFonts w:ascii="宋体" w:hAnsi="宋体" w:cs="宋体"/>
          <w:color w:val="000000"/>
          <w:sz w:val="24"/>
          <w:highlight w:val="white"/>
          <w:lang w:eastAsia="zh-CN"/>
        </w:rPr>
        <w:t>2.交易记录、资金和证券/期货账目核对的时间和方式</w:t>
      </w:r>
    </w:p>
    <w:p w:rsidR="00676F42">
      <w:pPr>
        <w:ind w:firstLine="480"/>
        <w:rPr>
          <w:lang w:eastAsia="zh-CN"/>
        </w:rPr>
      </w:pPr>
      <w:r>
        <w:rPr>
          <w:rFonts w:ascii="宋体" w:hAnsi="宋体" w:cs="宋体"/>
          <w:color w:val="000000"/>
          <w:sz w:val="24"/>
          <w:highlight w:val="white"/>
          <w:lang w:eastAsia="zh-CN"/>
        </w:rPr>
        <w:t>（1）交易记录的核对</w:t>
      </w:r>
    </w:p>
    <w:p w:rsidR="00676F42">
      <w:pPr>
        <w:ind w:firstLine="480"/>
        <w:rPr>
          <w:lang w:eastAsia="zh-CN"/>
        </w:rPr>
      </w:pPr>
      <w:r>
        <w:rPr>
          <w:rFonts w:ascii="宋体" w:hAnsi="宋体" w:cs="宋体"/>
          <w:color w:val="000000"/>
          <w:sz w:val="24"/>
          <w:highlight w:val="white"/>
          <w:lang w:eastAsia="zh-CN"/>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676F42">
      <w:pPr>
        <w:ind w:firstLine="480"/>
        <w:rPr>
          <w:lang w:eastAsia="zh-CN"/>
        </w:rPr>
      </w:pPr>
      <w:r>
        <w:rPr>
          <w:rFonts w:ascii="宋体" w:hAnsi="宋体" w:cs="宋体"/>
          <w:color w:val="000000"/>
          <w:sz w:val="24"/>
          <w:highlight w:val="white"/>
          <w:lang w:eastAsia="zh-CN"/>
        </w:rPr>
        <w:t>（2）资金账目的核对</w:t>
      </w:r>
    </w:p>
    <w:p w:rsidR="00676F42">
      <w:pPr>
        <w:ind w:firstLine="480"/>
        <w:rPr>
          <w:lang w:eastAsia="zh-CN"/>
        </w:rPr>
      </w:pPr>
      <w:r>
        <w:rPr>
          <w:rFonts w:ascii="宋体" w:hAnsi="宋体" w:cs="宋体"/>
          <w:color w:val="000000"/>
          <w:sz w:val="24"/>
          <w:highlight w:val="white"/>
          <w:lang w:eastAsia="zh-CN"/>
        </w:rPr>
        <w:t>基金管理人和基金托管人资金账目按日核实。</w:t>
      </w:r>
    </w:p>
    <w:p w:rsidR="00676F42">
      <w:pPr>
        <w:ind w:firstLine="480"/>
        <w:rPr>
          <w:lang w:eastAsia="zh-CN"/>
        </w:rPr>
      </w:pPr>
      <w:r>
        <w:rPr>
          <w:rFonts w:ascii="宋体" w:hAnsi="宋体" w:cs="宋体"/>
          <w:color w:val="000000"/>
          <w:sz w:val="24"/>
          <w:highlight w:val="white"/>
          <w:lang w:eastAsia="zh-CN"/>
        </w:rPr>
        <w:t>（3）证券/期货账目的核对</w:t>
      </w:r>
    </w:p>
    <w:p w:rsidR="00676F42">
      <w:pPr>
        <w:ind w:firstLine="480"/>
        <w:rPr>
          <w:lang w:eastAsia="zh-CN"/>
        </w:rPr>
      </w:pPr>
      <w:r>
        <w:rPr>
          <w:rFonts w:ascii="宋体" w:hAnsi="宋体" w:cs="宋体"/>
          <w:color w:val="000000"/>
          <w:sz w:val="24"/>
          <w:highlight w:val="white"/>
          <w:lang w:eastAsia="zh-CN"/>
        </w:rPr>
        <w:t>基金管理人和基金托管人每交易日结束后核对基金证券/期货账目，确保双方账目相符。</w:t>
      </w:r>
    </w:p>
    <w:p w:rsidR="00676F42">
      <w:pPr>
        <w:ind w:firstLine="480"/>
        <w:rPr>
          <w:lang w:eastAsia="zh-CN"/>
        </w:rPr>
      </w:pPr>
      <w:r>
        <w:rPr>
          <w:rFonts w:ascii="宋体" w:hAnsi="宋体" w:cs="宋体"/>
          <w:color w:val="000000"/>
          <w:sz w:val="24"/>
          <w:highlight w:val="white"/>
          <w:lang w:eastAsia="zh-CN"/>
        </w:rPr>
        <w:t>（三）基金申购和赎回业务处理的基本规定</w:t>
      </w:r>
    </w:p>
    <w:p w:rsidR="00676F42">
      <w:pPr>
        <w:ind w:firstLine="480"/>
        <w:rPr>
          <w:lang w:eastAsia="zh-CN"/>
        </w:rPr>
      </w:pPr>
      <w:r>
        <w:rPr>
          <w:rFonts w:ascii="宋体" w:hAnsi="宋体" w:cs="宋体"/>
          <w:color w:val="000000"/>
          <w:sz w:val="24"/>
          <w:highlight w:val="white"/>
          <w:lang w:eastAsia="zh-CN"/>
        </w:rPr>
        <w:t>1.基金份额申购、赎回的确认、清算由基金管理人或其委托的登记机构负责。</w:t>
      </w:r>
    </w:p>
    <w:p w:rsidR="00676F42">
      <w:pPr>
        <w:ind w:firstLine="480"/>
        <w:rPr>
          <w:lang w:eastAsia="zh-CN"/>
        </w:rPr>
      </w:pPr>
      <w:r>
        <w:rPr>
          <w:rFonts w:ascii="宋体" w:hAnsi="宋体" w:cs="宋体"/>
          <w:color w:val="000000"/>
          <w:sz w:val="24"/>
          <w:highlight w:val="white"/>
          <w:lang w:eastAsia="zh-CN"/>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76F42">
      <w:pPr>
        <w:ind w:firstLine="480"/>
        <w:rPr>
          <w:lang w:eastAsia="zh-CN"/>
        </w:rPr>
      </w:pPr>
      <w:r>
        <w:rPr>
          <w:rFonts w:ascii="宋体" w:hAnsi="宋体" w:cs="宋体"/>
          <w:color w:val="000000"/>
          <w:sz w:val="24"/>
          <w:highlight w:val="white"/>
          <w:lang w:eastAsia="zh-CN"/>
        </w:rPr>
        <w:t>3.基金管理人应保证本基金（或本基金管理人委托）的登记机构每个工作日15:00前向基金托管人发送开放日上述有关数据，并保证相关数据的准确、完整。</w:t>
      </w:r>
    </w:p>
    <w:p w:rsidR="00676F42">
      <w:pPr>
        <w:ind w:firstLine="480"/>
        <w:rPr>
          <w:lang w:eastAsia="zh-CN"/>
        </w:rPr>
      </w:pPr>
      <w:r>
        <w:rPr>
          <w:rFonts w:ascii="宋体" w:hAnsi="宋体" w:cs="宋体"/>
          <w:color w:val="000000"/>
          <w:sz w:val="24"/>
          <w:highlight w:val="white"/>
          <w:lang w:eastAsia="zh-CN"/>
        </w:rPr>
        <w:t>4.登记机构应通过与基金托管人建立的加密系统发送有关数据，如因各种原因，该系统无法正常发送，双方可协商解决处理方式。基金管理人向基金托管人发送的数据，双方各自按有关规定保存。</w:t>
      </w:r>
    </w:p>
    <w:p w:rsidR="00676F42">
      <w:pPr>
        <w:ind w:firstLine="480"/>
        <w:rPr>
          <w:lang w:eastAsia="zh-CN"/>
        </w:rPr>
      </w:pPr>
      <w:r>
        <w:rPr>
          <w:rFonts w:ascii="宋体" w:hAnsi="宋体" w:cs="宋体"/>
          <w:color w:val="000000"/>
          <w:sz w:val="24"/>
          <w:highlight w:val="white"/>
          <w:lang w:eastAsia="zh-CN"/>
        </w:rPr>
        <w:t>5.如基金管理人委托其他机构办理本基金的注册登记业务，应保证上述相关事宜按时进行。否则，由基金管理人承担相应的责任。</w:t>
      </w:r>
    </w:p>
    <w:p w:rsidR="00676F42">
      <w:pPr>
        <w:ind w:firstLine="480"/>
        <w:rPr>
          <w:lang w:eastAsia="zh-CN"/>
        </w:rPr>
      </w:pPr>
      <w:r>
        <w:rPr>
          <w:rFonts w:ascii="宋体" w:hAnsi="宋体" w:cs="宋体"/>
          <w:color w:val="000000"/>
          <w:sz w:val="24"/>
          <w:highlight w:val="white"/>
          <w:lang w:eastAsia="zh-CN"/>
        </w:rPr>
        <w:t>6.关于清算专用账户的设立和管理</w:t>
      </w:r>
    </w:p>
    <w:p w:rsidR="00676F42">
      <w:pPr>
        <w:ind w:firstLine="480"/>
        <w:rPr>
          <w:lang w:eastAsia="zh-CN"/>
        </w:rPr>
      </w:pPr>
      <w:r>
        <w:rPr>
          <w:rFonts w:ascii="宋体" w:hAnsi="宋体" w:cs="宋体"/>
          <w:color w:val="000000"/>
          <w:sz w:val="24"/>
          <w:highlight w:val="white"/>
          <w:lang w:eastAsia="zh-CN"/>
        </w:rPr>
        <w:t>为满足申购、赎回及分红资金汇划的需要，由基金管理人开立资金清算的专用账户，该账户由登记机构管理。</w:t>
      </w:r>
    </w:p>
    <w:p w:rsidR="00676F42">
      <w:pPr>
        <w:ind w:firstLine="480"/>
        <w:rPr>
          <w:lang w:eastAsia="zh-CN"/>
        </w:rPr>
      </w:pPr>
      <w:r>
        <w:rPr>
          <w:rFonts w:ascii="宋体" w:hAnsi="宋体" w:cs="宋体"/>
          <w:color w:val="000000"/>
          <w:sz w:val="24"/>
          <w:highlight w:val="white"/>
          <w:lang w:eastAsia="zh-CN"/>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rsidR="00676F42">
      <w:pPr>
        <w:ind w:firstLine="480"/>
        <w:rPr>
          <w:lang w:eastAsia="zh-CN"/>
        </w:rPr>
      </w:pPr>
      <w:r>
        <w:rPr>
          <w:rFonts w:ascii="宋体" w:hAnsi="宋体" w:cs="宋体"/>
          <w:color w:val="000000"/>
          <w:sz w:val="24"/>
          <w:highlight w:val="white"/>
          <w:lang w:eastAsia="zh-CN"/>
        </w:rPr>
        <w:t>8.赎回和分红资金划拨规定</w:t>
      </w:r>
    </w:p>
    <w:p w:rsidR="00676F42">
      <w:pPr>
        <w:ind w:firstLine="480"/>
        <w:rPr>
          <w:lang w:eastAsia="zh-CN"/>
        </w:rPr>
      </w:pPr>
      <w:r>
        <w:rPr>
          <w:rFonts w:ascii="宋体" w:hAnsi="宋体" w:cs="宋体"/>
          <w:color w:val="000000"/>
          <w:sz w:val="24"/>
          <w:highlight w:val="white"/>
          <w:lang w:eastAsia="zh-CN"/>
        </w:rPr>
        <w:t>拨付赎回款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rsidR="00676F42">
      <w:pPr>
        <w:ind w:firstLine="480"/>
        <w:rPr>
          <w:lang w:eastAsia="zh-CN"/>
        </w:rPr>
      </w:pPr>
      <w:r>
        <w:rPr>
          <w:rFonts w:ascii="宋体" w:hAnsi="宋体" w:cs="宋体"/>
          <w:color w:val="000000"/>
          <w:sz w:val="24"/>
          <w:highlight w:val="white"/>
          <w:lang w:eastAsia="zh-CN"/>
        </w:rPr>
        <w:t>9.资金指令</w:t>
      </w:r>
    </w:p>
    <w:p w:rsidR="00676F42">
      <w:pPr>
        <w:ind w:firstLine="480"/>
        <w:rPr>
          <w:lang w:eastAsia="zh-CN"/>
        </w:rPr>
      </w:pPr>
      <w:r>
        <w:rPr>
          <w:rFonts w:ascii="宋体" w:hAnsi="宋体" w:cs="宋体"/>
          <w:color w:val="000000"/>
          <w:sz w:val="24"/>
          <w:highlight w:val="white"/>
          <w:lang w:eastAsia="zh-CN"/>
        </w:rPr>
        <w:t>除申购款项到达基金托管资金账户需双方按约定方式对账外，回购到期付款和与投资有关的付款、赎回和分红资金划拨时，基金管理人需向基金托管人下达指令。</w:t>
      </w:r>
    </w:p>
    <w:p w:rsidR="00676F42">
      <w:pPr>
        <w:ind w:firstLine="480"/>
        <w:rPr>
          <w:lang w:eastAsia="zh-CN"/>
        </w:rPr>
      </w:pPr>
      <w:r>
        <w:rPr>
          <w:rFonts w:ascii="宋体" w:hAnsi="宋体" w:cs="宋体"/>
          <w:color w:val="000000"/>
          <w:sz w:val="24"/>
          <w:highlight w:val="white"/>
          <w:lang w:eastAsia="zh-CN"/>
        </w:rPr>
        <w:t>资金指令的格式、内容、发送、接收和确认方式等与投资指令相同。</w:t>
      </w:r>
    </w:p>
    <w:p w:rsidR="00676F42">
      <w:pPr>
        <w:ind w:firstLine="480"/>
        <w:rPr>
          <w:lang w:eastAsia="zh-CN"/>
        </w:rPr>
      </w:pPr>
      <w:r>
        <w:rPr>
          <w:rFonts w:ascii="宋体" w:hAnsi="宋体" w:cs="宋体"/>
          <w:color w:val="000000"/>
          <w:sz w:val="24"/>
          <w:highlight w:val="white"/>
          <w:lang w:eastAsia="zh-CN"/>
        </w:rPr>
        <w:t>（四）申赎结算</w:t>
      </w:r>
    </w:p>
    <w:p w:rsidR="00676F42">
      <w:pPr>
        <w:ind w:firstLine="480"/>
        <w:rPr>
          <w:lang w:eastAsia="zh-CN"/>
        </w:rPr>
      </w:pPr>
      <w:r>
        <w:rPr>
          <w:rFonts w:ascii="宋体" w:hAnsi="宋体" w:cs="宋体"/>
          <w:color w:val="000000"/>
          <w:sz w:val="24"/>
          <w:highlight w:val="white"/>
          <w:lang w:eastAsia="zh-CN"/>
        </w:rPr>
        <w:t>1.基金托管资金账户与“基金清算账户”间的资金清算遵循“全额清算、净额交收”的原则，即按照托管资金账户应收资金与托管资金账户应付额的差额来确定托管资金账户净应收额或净应付额，以此确定资金交收额。</w:t>
      </w:r>
    </w:p>
    <w:p w:rsidR="00676F42">
      <w:pPr>
        <w:ind w:firstLine="480"/>
        <w:rPr>
          <w:lang w:eastAsia="zh-CN"/>
        </w:rPr>
      </w:pPr>
      <w:r>
        <w:rPr>
          <w:rFonts w:ascii="宋体" w:hAnsi="宋体" w:cs="宋体"/>
          <w:color w:val="000000"/>
          <w:sz w:val="24"/>
          <w:highlight w:val="white"/>
          <w:lang w:eastAsia="zh-CN"/>
        </w:rPr>
        <w:t>2.当存在托管资金账户净应收额时，基金管理人负责将托管资金账户净应收额在交收日15:00前从“基金清算账户”划往基金的托管资金账户；当存在托管资金账户净应付额时，基金管理人应在交收日10:00前将划款指令发送给基金托管人，基金托管人按基金管理人的划款指令将托管资金账户净应付额在交收日15:00之前划往基金清算账户。</w:t>
      </w:r>
    </w:p>
    <w:p w:rsidR="00676F42">
      <w:pPr>
        <w:ind w:firstLine="480"/>
        <w:rPr>
          <w:lang w:eastAsia="zh-CN"/>
        </w:rPr>
      </w:pPr>
      <w:r>
        <w:rPr>
          <w:rFonts w:ascii="宋体" w:hAnsi="宋体" w:cs="宋体"/>
          <w:color w:val="000000"/>
          <w:sz w:val="24"/>
          <w:highlight w:val="white"/>
          <w:lang w:eastAsia="zh-CN"/>
        </w:rPr>
        <w:t>在发生巨额赎回或《基金合同》载明的其他暂停赎回或延缓支付赎回款项的情形时，款项的支付办法参照《基金合同》有关条款处理。</w:t>
      </w:r>
    </w:p>
    <w:p w:rsidR="00676F42">
      <w:pPr>
        <w:ind w:firstLine="480"/>
        <w:rPr>
          <w:lang w:eastAsia="zh-CN"/>
        </w:rPr>
      </w:pPr>
      <w:r>
        <w:rPr>
          <w:rFonts w:ascii="宋体" w:hAnsi="宋体" w:cs="宋体"/>
          <w:color w:val="000000"/>
          <w:sz w:val="24"/>
          <w:highlight w:val="white"/>
          <w:lang w:eastAsia="zh-CN"/>
        </w:rPr>
        <w:t>（五）基金现金分红</w:t>
      </w:r>
    </w:p>
    <w:p w:rsidR="00676F42">
      <w:pPr>
        <w:ind w:firstLine="480"/>
        <w:rPr>
          <w:lang w:eastAsia="zh-CN"/>
        </w:rPr>
      </w:pPr>
      <w:r>
        <w:rPr>
          <w:rFonts w:ascii="宋体" w:hAnsi="宋体" w:cs="宋体"/>
          <w:color w:val="000000"/>
          <w:sz w:val="24"/>
          <w:highlight w:val="white"/>
          <w:lang w:eastAsia="zh-CN"/>
        </w:rPr>
        <w:t>1.基金管理人确定分红方案通知基金托管人，双方核定后依照《信息披露办法》的有关规定在规定媒介上公告。</w:t>
      </w:r>
    </w:p>
    <w:p w:rsidR="00676F42">
      <w:pPr>
        <w:ind w:firstLine="480"/>
        <w:rPr>
          <w:lang w:eastAsia="zh-CN"/>
        </w:rPr>
      </w:pPr>
      <w:r>
        <w:rPr>
          <w:rFonts w:ascii="宋体" w:hAnsi="宋体" w:cs="宋体"/>
          <w:color w:val="000000"/>
          <w:sz w:val="24"/>
          <w:highlight w:val="white"/>
          <w:lang w:eastAsia="zh-CN"/>
        </w:rPr>
        <w:t>2.基金托管人和基金管理人对基金分红进行账务处理并核对后，基金管理人向基金托管人发送现金红利的划款指令，基金托管人应及时将资金划入专用账户。</w:t>
      </w:r>
    </w:p>
    <w:p w:rsidR="00676F42">
      <w:pPr>
        <w:ind w:firstLine="480"/>
        <w:rPr>
          <w:lang w:eastAsia="zh-CN"/>
        </w:rPr>
      </w:pPr>
      <w:r>
        <w:rPr>
          <w:rFonts w:ascii="宋体" w:hAnsi="宋体" w:cs="宋体"/>
          <w:color w:val="000000"/>
          <w:sz w:val="24"/>
          <w:highlight w:val="white"/>
          <w:lang w:eastAsia="zh-CN"/>
        </w:rPr>
        <w:t>3.基金管理人在下达指令时，应给基金托管人留出必需的划款时间。</w:t>
      </w:r>
    </w:p>
    <w:p w:rsidR="00676F42">
      <w:pPr>
        <w:ind w:firstLine="480"/>
        <w:rPr>
          <w:lang w:eastAsia="zh-CN"/>
        </w:rPr>
      </w:pPr>
      <w:r>
        <w:rPr>
          <w:rFonts w:ascii="宋体" w:hAnsi="宋体" w:cs="宋体"/>
          <w:color w:val="000000"/>
          <w:sz w:val="24"/>
          <w:highlight w:val="white"/>
          <w:lang w:eastAsia="zh-CN"/>
        </w:rPr>
        <w:t>（六）投资银行存款的特别约定</w:t>
      </w:r>
    </w:p>
    <w:p w:rsidR="00676F42">
      <w:pPr>
        <w:ind w:firstLine="480"/>
        <w:rPr>
          <w:lang w:eastAsia="zh-CN"/>
        </w:rPr>
      </w:pPr>
      <w:r>
        <w:rPr>
          <w:rFonts w:ascii="宋体" w:hAnsi="宋体" w:cs="宋体"/>
          <w:color w:val="000000"/>
          <w:sz w:val="24"/>
          <w:highlight w:val="white"/>
          <w:lang w:eastAsia="zh-CN"/>
        </w:rPr>
        <w:t>1.本基金投资银行存款前，基金管理人应与存款银行签订具体存款协议，包括但不限于以下内容：</w:t>
      </w:r>
    </w:p>
    <w:p w:rsidR="00676F42">
      <w:pPr>
        <w:ind w:firstLine="480"/>
        <w:rPr>
          <w:lang w:eastAsia="zh-CN"/>
        </w:rPr>
      </w:pPr>
      <w:r>
        <w:rPr>
          <w:rFonts w:ascii="宋体" w:hAnsi="宋体" w:cs="宋体"/>
          <w:color w:val="000000"/>
          <w:sz w:val="24"/>
          <w:highlight w:val="white"/>
          <w:lang w:eastAsia="zh-CN"/>
        </w:rPr>
        <w:t>（1）存款账户必须以本基金名义开立,并将基金托管人为本基金开立的基金托管资金账户指定为唯一回款账户，任何情况下，存款银行都不得将存款投资本息划往任何其他账户。</w:t>
      </w:r>
    </w:p>
    <w:p w:rsidR="00676F42">
      <w:pPr>
        <w:ind w:firstLine="480"/>
        <w:rPr>
          <w:lang w:eastAsia="zh-CN"/>
        </w:rPr>
      </w:pPr>
      <w:r>
        <w:rPr>
          <w:rFonts w:ascii="宋体" w:hAnsi="宋体" w:cs="宋体"/>
          <w:color w:val="000000"/>
          <w:sz w:val="24"/>
          <w:highlight w:val="white"/>
          <w:lang w:eastAsia="zh-CN"/>
        </w:rPr>
        <w:t>（2）存款银行不得接受基金管理人或基金托管人任何一方单方面提出的对存款进行更名、转让、挂失、质押、担保、撤销、变更印鉴及回款账户信息等可能导致财产转移的操作申请。</w:t>
      </w:r>
    </w:p>
    <w:p w:rsidR="00676F42">
      <w:pPr>
        <w:ind w:firstLine="480"/>
        <w:rPr>
          <w:lang w:eastAsia="zh-CN"/>
        </w:rPr>
      </w:pPr>
      <w:r>
        <w:rPr>
          <w:rFonts w:ascii="宋体" w:hAnsi="宋体" w:cs="宋体"/>
          <w:color w:val="000000"/>
          <w:sz w:val="24"/>
          <w:highlight w:val="white"/>
          <w:lang w:eastAsia="zh-CN"/>
        </w:rPr>
        <w:t>（3）约定存款证实书的具体传递交接方式及交接期限。</w:t>
      </w:r>
    </w:p>
    <w:p w:rsidR="00676F42">
      <w:pPr>
        <w:ind w:firstLine="480"/>
        <w:rPr>
          <w:lang w:eastAsia="zh-CN"/>
        </w:rPr>
      </w:pPr>
      <w:r>
        <w:rPr>
          <w:rFonts w:ascii="宋体" w:hAnsi="宋体" w:cs="宋体"/>
          <w:color w:val="000000"/>
          <w:sz w:val="24"/>
          <w:highlight w:val="white"/>
          <w:lang w:eastAsia="zh-CN"/>
        </w:rPr>
        <w:t>（4）资金划转过程中需要使用存款银行过渡账户的，存款银行须保证资金在过渡账户中不出现滞留，不被挪用。</w:t>
      </w:r>
    </w:p>
    <w:p w:rsidR="00676F42">
      <w:pPr>
        <w:ind w:firstLine="480"/>
        <w:rPr>
          <w:lang w:eastAsia="zh-CN"/>
        </w:rPr>
      </w:pPr>
      <w:r>
        <w:rPr>
          <w:rFonts w:ascii="宋体" w:hAnsi="宋体" w:cs="宋体"/>
          <w:color w:val="000000"/>
          <w:sz w:val="24"/>
          <w:highlight w:val="white"/>
          <w:lang w:eastAsia="zh-CN"/>
        </w:rPr>
        <w:t>2.本基金投资银行存款，必须采用双方认可的方式办理。基金托管人负责依据基金管理人提供的银行存款投资合同/协议/成交单、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rsidR="00676F42">
      <w:pPr>
        <w:ind w:firstLine="480"/>
        <w:rPr>
          <w:lang w:eastAsia="zh-CN"/>
        </w:rPr>
      </w:pPr>
      <w:r>
        <w:rPr>
          <w:rFonts w:ascii="宋体" w:hAnsi="宋体" w:cs="宋体"/>
          <w:color w:val="000000"/>
          <w:sz w:val="24"/>
          <w:highlight w:val="white"/>
          <w:lang w:eastAsia="zh-CN"/>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676F42">
      <w:pPr>
        <w:ind w:firstLine="480"/>
        <w:rPr>
          <w:lang w:eastAsia="zh-CN"/>
        </w:rPr>
      </w:pPr>
      <w:r>
        <w:rPr>
          <w:rFonts w:ascii="宋体" w:hAnsi="宋体" w:cs="宋体"/>
          <w:color w:val="000000"/>
          <w:sz w:val="24"/>
          <w:highlight w:val="white"/>
          <w:lang w:eastAsia="zh-CN"/>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rsidR="00676F42">
      <w:pPr>
        <w:rPr>
          <w:rFonts w:ascii="宋体" w:hAnsi="宋体" w:cs="宋体"/>
          <w:sz w:val="24"/>
          <w:lang w:eastAsia="zh-CN"/>
        </w:rPr>
      </w:pPr>
    </w:p>
    <w:p w:rsidR="00676F42">
      <w:pPr>
        <w:snapToGrid w:val="0"/>
        <w:ind w:firstLine="480"/>
        <w:rPr>
          <w:rFonts w:ascii="宋体" w:hAnsi="宋体" w:cs="宋体"/>
          <w:sz w:val="24"/>
          <w:lang w:eastAsia="zh-CN"/>
        </w:rPr>
      </w:pPr>
    </w:p>
    <w:p w:rsidR="00676F42">
      <w:pPr>
        <w:pStyle w:val="21"/>
        <w:jc w:val="center"/>
        <w:rPr>
          <w:rFonts w:ascii="宋体" w:eastAsia="宋体" w:hAnsi="宋体" w:cs="宋体"/>
          <w:sz w:val="30"/>
          <w:lang w:eastAsia="zh-CN"/>
        </w:rPr>
      </w:pPr>
      <w:r>
        <w:rPr>
          <w:rFonts w:ascii="宋体" w:eastAsia="宋体" w:hAnsi="宋体" w:cs="宋体" w:hint="eastAsia"/>
          <w:sz w:val="30"/>
          <w:highlight w:val="white"/>
          <w:lang w:eastAsia="zh-CN"/>
        </w:rPr>
        <w:t xml:space="preserve"> </w:t>
      </w:r>
      <w:bookmarkStart w:id="85" w:name="_Toc68875910"/>
      <w:r>
        <w:rPr>
          <w:rFonts w:ascii="宋体" w:eastAsia="宋体" w:hAnsi="宋体" w:cs="宋体" w:hint="eastAsia"/>
          <w:sz w:val="30"/>
          <w:highlight w:val="white"/>
          <w:lang w:eastAsia="zh-CN"/>
        </w:rPr>
        <w:t>八、基金资产净值计算和会计核算</w:t>
      </w:r>
      <w:bookmarkEnd w:id="85"/>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（一）基金资产净值的计算、复核与完成的时间及程序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资产净值是指基金资产总值减去负债后的金额。各类基金份额净值是按照每个估值日闭市后，该类基金资产净值除以当日该类基金份额的余额数量计算，均精确到0.0001元，小数点后第五位四舍五入。基金管理人可以设立大额赎回情形下的净值精度应急调整机制。国家另有规定的，从其规定。</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每个估值日计算基金资产净值及各类基金份额净值，并按规定公告。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管理人应每个估值日对基金资产估值。但基金管理人根据法律法规或《基金合同》的规定暂停估值时除外。基金管理人每个估值日对基金资产估值后，经基金托管人复核无误后，由基金管理人按规定对外公布。</w:t>
      </w:r>
    </w:p>
    <w:p w:rsidR="00676F42">
      <w:pPr>
        <w:ind w:firstLine="480"/>
        <w:rPr>
          <w:rFonts w:ascii="宋体" w:hAnsi="宋体" w:cs="宋体"/>
          <w:sz w:val="24"/>
          <w:lang w:eastAsia="zh-CN"/>
        </w:rPr>
      </w:pPr>
      <w:r>
        <w:rPr>
          <w:rFonts w:ascii="宋体" w:hAnsi="宋体" w:cs="宋体" w:hint="eastAsia"/>
          <w:sz w:val="24"/>
          <w:highlight w:val="white"/>
          <w:lang w:eastAsia="zh-CN"/>
        </w:rPr>
        <w:t>（二）基金资产估值方法和特殊情形的处理</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1.估值对象</w:t>
      </w:r>
    </w:p>
    <w:p w:rsidR="00676F42">
      <w:pPr>
        <w:snapToGrid w:val="0"/>
        <w:ind w:firstLine="480"/>
        <w:rPr>
          <w:rFonts w:ascii="宋体" w:hAnsi="宋体" w:cs="宋体"/>
          <w:sz w:val="24"/>
          <w:lang w:eastAsia="zh-CN"/>
        </w:rPr>
      </w:pPr>
      <w:r>
        <w:rPr>
          <w:rFonts w:ascii="宋体" w:hAnsi="宋体" w:cs="宋体"/>
          <w:sz w:val="24"/>
          <w:highlight w:val="white"/>
          <w:lang w:eastAsia="zh-CN"/>
        </w:rPr>
        <w:t>基金所拥有的股票、债券和银行存款本息、应收款项、其它投资等资产及负债。</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2.估值方法</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本基金所持有的投资品种，按如下原则进行估值：</w:t>
      </w:r>
    </w:p>
    <w:p w:rsidR="00676F42">
      <w:pPr>
        <w:snapToGrid w:val="0"/>
        <w:ind w:firstLine="480"/>
        <w:rPr>
          <w:rFonts w:ascii="宋体" w:hAnsi="宋体" w:cs="宋体"/>
          <w:sz w:val="24"/>
          <w:lang w:eastAsia="zh-CN"/>
        </w:rPr>
      </w:pPr>
      <w:r>
        <w:rPr>
          <w:rFonts w:ascii="宋体" w:hAnsi="宋体" w:cs="宋体"/>
          <w:sz w:val="24"/>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76F42">
      <w:pPr>
        <w:snapToGrid w:val="0"/>
        <w:ind w:firstLine="480"/>
        <w:rPr>
          <w:rFonts w:ascii="宋体" w:hAnsi="宋体" w:cs="宋体"/>
          <w:sz w:val="24"/>
          <w:lang w:eastAsia="zh-CN"/>
        </w:rPr>
      </w:pPr>
      <w:r>
        <w:rPr>
          <w:rFonts w:ascii="宋体" w:hAnsi="宋体" w:cs="宋体"/>
          <w:sz w:val="24"/>
          <w:highlight w:val="white"/>
          <w:lang w:eastAsia="zh-CN"/>
        </w:rPr>
        <w:t>（2）处于未上市期间的有价证券应区分如下情况处理：</w:t>
      </w:r>
    </w:p>
    <w:p w:rsidR="00676F42">
      <w:pPr>
        <w:snapToGrid w:val="0"/>
        <w:ind w:firstLine="480"/>
        <w:rPr>
          <w:rFonts w:ascii="宋体" w:hAnsi="宋体" w:cs="宋体"/>
          <w:sz w:val="24"/>
          <w:lang w:eastAsia="zh-CN"/>
        </w:rPr>
      </w:pPr>
      <w:r>
        <w:rPr>
          <w:rFonts w:ascii="宋体" w:hAnsi="宋体" w:cs="宋体"/>
          <w:sz w:val="24"/>
          <w:highlight w:val="white"/>
          <w:lang w:eastAsia="zh-CN"/>
        </w:rPr>
        <w:t>1）送股、转增股、配股和公开增发的新股，按估值日在证券交易所挂牌的同一股票的估值方法估值；该日无交易的，以最近一日的市价（收盘价）估值；</w:t>
      </w:r>
    </w:p>
    <w:p w:rsidR="00676F42">
      <w:pPr>
        <w:snapToGrid w:val="0"/>
        <w:ind w:firstLine="480"/>
        <w:rPr>
          <w:rFonts w:ascii="宋体" w:hAnsi="宋体" w:cs="宋体"/>
          <w:sz w:val="24"/>
          <w:lang w:eastAsia="zh-CN"/>
        </w:rPr>
      </w:pPr>
      <w:r>
        <w:rPr>
          <w:rFonts w:ascii="宋体" w:hAnsi="宋体" w:cs="宋体"/>
          <w:sz w:val="24"/>
          <w:highlight w:val="white"/>
          <w:lang w:eastAsia="zh-CN"/>
        </w:rPr>
        <w:t>2）首次公开发行未上市的股票，采用估值技术确定公允价值；</w:t>
      </w:r>
    </w:p>
    <w:p w:rsidR="00676F42">
      <w:pPr>
        <w:snapToGrid w:val="0"/>
        <w:ind w:firstLine="480"/>
        <w:rPr>
          <w:rFonts w:ascii="宋体" w:hAnsi="宋体" w:cs="宋体"/>
          <w:sz w:val="24"/>
          <w:lang w:eastAsia="zh-CN"/>
        </w:rPr>
      </w:pPr>
      <w:r>
        <w:rPr>
          <w:rFonts w:ascii="宋体" w:hAnsi="宋体" w:cs="宋体"/>
          <w:sz w:val="24"/>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676F42">
      <w:pPr>
        <w:snapToGrid w:val="0"/>
        <w:ind w:firstLine="480"/>
        <w:rPr>
          <w:rFonts w:ascii="宋体" w:hAnsi="宋体" w:cs="宋体"/>
          <w:sz w:val="24"/>
          <w:lang w:eastAsia="zh-CN"/>
        </w:rPr>
      </w:pPr>
      <w:r>
        <w:rPr>
          <w:rFonts w:ascii="宋体" w:hAnsi="宋体" w:cs="宋体"/>
          <w:sz w:val="24"/>
          <w:highlight w:val="white"/>
          <w:lang w:eastAsia="zh-CN"/>
        </w:rPr>
        <w:t>（3）对于已上市或已挂牌转让的不含权固定收益品种，选取估值日第三方估值基准服务机构提供的相应品种当日的估值全价进行估值。</w:t>
      </w:r>
    </w:p>
    <w:p w:rsidR="00676F42">
      <w:pPr>
        <w:snapToGrid w:val="0"/>
        <w:ind w:firstLine="480"/>
        <w:rPr>
          <w:rFonts w:ascii="宋体" w:hAnsi="宋体" w:cs="宋体"/>
          <w:sz w:val="24"/>
          <w:lang w:eastAsia="zh-CN"/>
        </w:rPr>
      </w:pPr>
      <w:r>
        <w:rPr>
          <w:rFonts w:ascii="宋体" w:hAnsi="宋体" w:cs="宋体"/>
          <w:sz w:val="24"/>
          <w:highlight w:val="white"/>
          <w:lang w:eastAsia="zh-CN"/>
        </w:rPr>
        <w:t>（4）对于已上市或已挂牌转让的含权固定收益品种，选取估值日第三方估值基准服务机构提供的相应品种当日的唯一估值全价或推荐估值全价进行估值。</w:t>
      </w:r>
    </w:p>
    <w:p w:rsidR="00676F42">
      <w:pPr>
        <w:snapToGrid w:val="0"/>
        <w:ind w:firstLine="480"/>
        <w:rPr>
          <w:rFonts w:ascii="宋体" w:hAnsi="宋体" w:cs="宋体"/>
          <w:sz w:val="24"/>
          <w:lang w:eastAsia="zh-CN"/>
        </w:rPr>
      </w:pPr>
      <w:r>
        <w:rPr>
          <w:rFonts w:ascii="宋体" w:hAnsi="宋体" w:cs="宋体"/>
          <w:sz w:val="24"/>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676F42">
      <w:pPr>
        <w:snapToGrid w:val="0"/>
        <w:ind w:firstLine="480"/>
        <w:rPr>
          <w:rFonts w:ascii="宋体" w:hAnsi="宋体" w:cs="宋体"/>
          <w:sz w:val="24"/>
          <w:lang w:eastAsia="zh-CN"/>
        </w:rPr>
      </w:pPr>
      <w:r>
        <w:rPr>
          <w:rFonts w:ascii="宋体" w:hAnsi="宋体" w:cs="宋体"/>
          <w:sz w:val="24"/>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676F42">
      <w:pPr>
        <w:snapToGrid w:val="0"/>
        <w:ind w:firstLine="480"/>
        <w:rPr>
          <w:rFonts w:ascii="宋体" w:hAnsi="宋体" w:cs="宋体"/>
          <w:sz w:val="24"/>
          <w:lang w:eastAsia="zh-CN"/>
        </w:rPr>
      </w:pPr>
      <w:r>
        <w:rPr>
          <w:rFonts w:ascii="宋体" w:hAnsi="宋体" w:cs="宋体"/>
          <w:sz w:val="24"/>
          <w:highlight w:val="white"/>
          <w:lang w:eastAsia="zh-CN"/>
        </w:rPr>
        <w:t>（6）对于未上市或未挂牌转让且不存在活跃市场的固定收益品种，采用在当前情况下适用并且有足够可利用数据和其他信息支持的估值技术确定其公允价值。</w:t>
      </w:r>
    </w:p>
    <w:p w:rsidR="00676F42">
      <w:pPr>
        <w:snapToGrid w:val="0"/>
        <w:ind w:firstLine="480"/>
        <w:rPr>
          <w:rFonts w:ascii="宋体" w:hAnsi="宋体" w:cs="宋体"/>
          <w:sz w:val="24"/>
          <w:lang w:eastAsia="zh-CN"/>
        </w:rPr>
      </w:pPr>
      <w:r>
        <w:rPr>
          <w:rFonts w:ascii="宋体" w:hAnsi="宋体" w:cs="宋体"/>
          <w:sz w:val="24"/>
          <w:highlight w:val="white"/>
          <w:lang w:eastAsia="zh-CN"/>
        </w:rPr>
        <w:t>（7）期货合约以估值当日结算价进行估值，估值当日无结算价的，且最近交易日后经济环境未发生重大变化的，采用最近交易日结算价估值。</w:t>
      </w:r>
    </w:p>
    <w:p w:rsidR="00676F42">
      <w:pPr>
        <w:snapToGrid w:val="0"/>
        <w:ind w:firstLine="480"/>
        <w:rPr>
          <w:rFonts w:ascii="宋体" w:hAnsi="宋体" w:cs="宋体"/>
          <w:sz w:val="24"/>
          <w:lang w:eastAsia="zh-CN"/>
        </w:rPr>
      </w:pPr>
      <w:r>
        <w:rPr>
          <w:rFonts w:ascii="宋体" w:hAnsi="宋体" w:cs="宋体"/>
          <w:sz w:val="24"/>
          <w:highlight w:val="white"/>
          <w:lang w:eastAsia="zh-CN"/>
        </w:rPr>
        <w:t>（8）本基金投资期权，根据相关法律法规以及监管部门的规定估值。</w:t>
      </w:r>
    </w:p>
    <w:p w:rsidR="00676F42">
      <w:pPr>
        <w:snapToGrid w:val="0"/>
        <w:ind w:firstLine="480"/>
        <w:rPr>
          <w:rFonts w:ascii="宋体" w:hAnsi="宋体" w:cs="宋体"/>
          <w:sz w:val="24"/>
          <w:lang w:eastAsia="zh-CN"/>
        </w:rPr>
      </w:pPr>
      <w:r>
        <w:rPr>
          <w:rFonts w:ascii="宋体" w:hAnsi="宋体" w:cs="宋体"/>
          <w:sz w:val="24"/>
          <w:highlight w:val="white"/>
          <w:lang w:eastAsia="zh-CN"/>
        </w:rPr>
        <w:t>（9）本基金参与融资业务的，按照相关法律法规、监管部门和行业协会的相关规定进行估值。</w:t>
      </w:r>
    </w:p>
    <w:p w:rsidR="00676F42">
      <w:pPr>
        <w:snapToGrid w:val="0"/>
        <w:ind w:firstLine="480"/>
        <w:rPr>
          <w:rFonts w:ascii="宋体" w:hAnsi="宋体" w:cs="宋体"/>
          <w:sz w:val="24"/>
          <w:lang w:eastAsia="zh-CN"/>
        </w:rPr>
      </w:pPr>
      <w:r>
        <w:rPr>
          <w:rFonts w:ascii="宋体" w:hAnsi="宋体" w:cs="宋体"/>
          <w:sz w:val="24"/>
          <w:highlight w:val="white"/>
          <w:lang w:eastAsia="zh-CN"/>
        </w:rPr>
        <w:t>（10）本基金投资存托凭证的估值核算，依照境内上市交易的股票执行。</w:t>
      </w:r>
    </w:p>
    <w:p w:rsidR="00676F42">
      <w:pPr>
        <w:snapToGrid w:val="0"/>
        <w:ind w:firstLine="480"/>
        <w:rPr>
          <w:rFonts w:ascii="宋体" w:hAnsi="宋体" w:cs="宋体"/>
          <w:sz w:val="24"/>
          <w:lang w:eastAsia="zh-CN"/>
        </w:rPr>
      </w:pPr>
      <w:r>
        <w:rPr>
          <w:rFonts w:ascii="宋体" w:hAnsi="宋体" w:cs="宋体"/>
          <w:sz w:val="24"/>
          <w:highlight w:val="white"/>
          <w:lang w:eastAsia="zh-CN"/>
        </w:rPr>
        <w:t>（11）汇率</w:t>
      </w:r>
    </w:p>
    <w:p w:rsidR="00676F42">
      <w:pPr>
        <w:snapToGrid w:val="0"/>
        <w:ind w:firstLine="480"/>
        <w:rPr>
          <w:rFonts w:ascii="宋体" w:hAnsi="宋体" w:cs="宋体"/>
          <w:sz w:val="24"/>
          <w:lang w:eastAsia="zh-CN"/>
        </w:rPr>
      </w:pPr>
      <w:r>
        <w:rPr>
          <w:rFonts w:ascii="宋体" w:hAnsi="宋体" w:cs="宋体"/>
          <w:sz w:val="24"/>
          <w:highlight w:val="white"/>
          <w:lang w:eastAsia="zh-CN"/>
        </w:rPr>
        <w:t>如本基金投资股票市场交易互联互通机制允许买卖的境外证券市场上市的股票，涉及相关货币对人民币汇率的，汇率来源详见招募说明书。</w:t>
      </w:r>
    </w:p>
    <w:p w:rsidR="00676F42">
      <w:pPr>
        <w:snapToGrid w:val="0"/>
        <w:ind w:firstLine="480"/>
        <w:rPr>
          <w:rFonts w:ascii="宋体" w:hAnsi="宋体" w:cs="宋体"/>
          <w:sz w:val="24"/>
          <w:lang w:eastAsia="zh-CN"/>
        </w:rPr>
      </w:pPr>
      <w:r>
        <w:rPr>
          <w:rFonts w:ascii="宋体" w:hAnsi="宋体" w:cs="宋体"/>
          <w:sz w:val="24"/>
          <w:highlight w:val="white"/>
          <w:lang w:eastAsia="zh-CN"/>
        </w:rPr>
        <w:t>（12）税收</w:t>
      </w:r>
    </w:p>
    <w:p w:rsidR="00676F42">
      <w:pPr>
        <w:snapToGrid w:val="0"/>
        <w:ind w:firstLine="480"/>
        <w:rPr>
          <w:rFonts w:ascii="宋体" w:hAnsi="宋体" w:cs="宋体"/>
          <w:sz w:val="24"/>
          <w:lang w:eastAsia="zh-CN"/>
        </w:rPr>
      </w:pPr>
      <w:r>
        <w:rPr>
          <w:rFonts w:ascii="宋体" w:hAnsi="宋体" w:cs="宋体"/>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676F42">
      <w:pPr>
        <w:snapToGrid w:val="0"/>
        <w:ind w:firstLine="480"/>
        <w:rPr>
          <w:rFonts w:ascii="宋体" w:hAnsi="宋体" w:cs="宋体"/>
          <w:sz w:val="24"/>
          <w:lang w:eastAsia="zh-CN"/>
        </w:rPr>
      </w:pPr>
      <w:r>
        <w:rPr>
          <w:rFonts w:ascii="宋体" w:hAnsi="宋体" w:cs="宋体"/>
          <w:sz w:val="24"/>
          <w:highlight w:val="white"/>
          <w:lang w:eastAsia="zh-CN"/>
        </w:rPr>
        <w:t>（13）如有充分理由表明按上述方法进行估值不能客观反映其公允价值的，基金管理人可根据具体情况与基金托管人商定后，按最能反映公允价值的价格估值。</w:t>
      </w:r>
    </w:p>
    <w:p w:rsidR="00676F42">
      <w:pPr>
        <w:snapToGrid w:val="0"/>
        <w:ind w:firstLine="480"/>
        <w:rPr>
          <w:rFonts w:ascii="宋体" w:hAnsi="宋体" w:cs="宋体"/>
          <w:sz w:val="24"/>
          <w:lang w:eastAsia="zh-CN"/>
        </w:rPr>
      </w:pPr>
      <w:r>
        <w:rPr>
          <w:rFonts w:ascii="宋体" w:hAnsi="宋体" w:cs="宋体"/>
          <w:sz w:val="24"/>
          <w:highlight w:val="white"/>
          <w:lang w:eastAsia="zh-CN"/>
        </w:rPr>
        <w:t>（14）当发生大额申购或赎回情形时，基金管理人可以采用摆动定价机制，以确保基金估值的公平性。</w:t>
      </w:r>
    </w:p>
    <w:p w:rsidR="00676F42">
      <w:pPr>
        <w:snapToGrid w:val="0"/>
        <w:ind w:firstLine="480"/>
        <w:rPr>
          <w:rFonts w:ascii="宋体" w:hAnsi="宋体" w:cs="宋体"/>
          <w:sz w:val="24"/>
          <w:lang w:eastAsia="zh-CN"/>
        </w:rPr>
      </w:pPr>
      <w:r>
        <w:rPr>
          <w:rFonts w:ascii="宋体" w:hAnsi="宋体" w:cs="宋体"/>
          <w:sz w:val="24"/>
          <w:highlight w:val="white"/>
          <w:lang w:eastAsia="zh-CN"/>
        </w:rPr>
        <w:t>（15）相关法律法规以及监管部门有强制规定的，从其规定。如有新增事项，按国家最新规定估值。</w:t>
      </w:r>
    </w:p>
    <w:p w:rsidR="00676F42">
      <w:pPr>
        <w:snapToGrid w:val="0"/>
        <w:ind w:firstLine="480"/>
        <w:rPr>
          <w:rFonts w:ascii="宋体" w:hAnsi="宋体" w:cs="宋体"/>
          <w:sz w:val="24"/>
          <w:lang w:eastAsia="zh-CN"/>
        </w:rPr>
      </w:pPr>
      <w:r>
        <w:rPr>
          <w:rFonts w:ascii="宋体" w:hAnsi="宋体" w:cs="宋体"/>
          <w:sz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676F42">
      <w:pPr>
        <w:snapToGrid w:val="0"/>
        <w:ind w:firstLine="480"/>
        <w:rPr>
          <w:rFonts w:ascii="宋体" w:hAnsi="宋体" w:cs="宋体"/>
          <w:sz w:val="24"/>
          <w:lang w:eastAsia="zh-CN"/>
        </w:rPr>
      </w:pPr>
      <w:r>
        <w:rPr>
          <w:rFonts w:ascii="宋体" w:hAnsi="宋体" w:cs="宋体"/>
          <w:sz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w:t>
      </w:r>
      <w:r>
        <w:rPr>
          <w:rFonts w:ascii="宋体" w:hAnsi="宋体" w:cs="宋体"/>
          <w:sz w:val="24"/>
          <w:highlight w:val="white"/>
          <w:lang w:eastAsia="zh-CN"/>
        </w:rPr>
        <w:t>，仍无法达成一致的意见，基金管理人向基金托管人出具盖章的书面说明后，按照基金管理人对基金资产净值的计算结果对外予以公布。</w:t>
      </w:r>
      <w:bookmarkStart w:id="86" w:name="_GoBack"/>
      <w:bookmarkEnd w:id="86"/>
    </w:p>
    <w:p w:rsidR="00676F42">
      <w:pPr>
        <w:snapToGrid w:val="0"/>
        <w:ind w:firstLine="480"/>
        <w:rPr>
          <w:rStyle w:val="read"/>
          <w:rFonts w:ascii="宋体" w:hAnsi="宋体" w:cs="宋体"/>
          <w:lang w:eastAsia="zh-CN"/>
        </w:rPr>
      </w:pPr>
      <w:r>
        <w:rPr>
          <w:rStyle w:val="read"/>
          <w:rFonts w:ascii="宋体" w:hAnsi="宋体" w:cs="宋体" w:hint="eastAsia"/>
          <w:sz w:val="24"/>
          <w:highlight w:val="white"/>
          <w:lang w:eastAsia="zh-CN"/>
        </w:rPr>
        <w:t>3.特殊情形的处理</w:t>
      </w:r>
    </w:p>
    <w:p w:rsidR="00676F42">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基金管理人、基金托管人按估值方法的第(13)项进行估值时，所造成的误差不作为基金份额净值错误处理。</w:t>
      </w:r>
    </w:p>
    <w:p w:rsidR="00676F42">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（三）基金份额净值错误的处理方式</w:t>
      </w:r>
    </w:p>
    <w:p w:rsidR="00676F42">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1.当任一类基金份额净值小数点后4位以内(含第4位)发生差错时，视为该类基金份额净值错误；基金份额净值出现错误时，基金管理人应当立即予以纠正，通报基金托管人，并采取合理的措施防止</w:t>
      </w:r>
      <w:r>
        <w:rPr>
          <w:rStyle w:val="read"/>
          <w:rFonts w:ascii="宋体" w:hAnsi="宋体" w:cs="宋体"/>
          <w:sz w:val="24"/>
          <w:highlight w:val="white"/>
          <w:lang w:eastAsia="zh-CN"/>
        </w:rPr>
        <w:t>损失进一步扩大；错误偏差达到</w:t>
      </w:r>
      <w:r>
        <w:rPr>
          <w:rStyle w:val="read"/>
          <w:rFonts w:ascii="宋体" w:hAnsi="宋体" w:cs="宋体" w:hint="eastAsia"/>
          <w:sz w:val="24"/>
          <w:highlight w:val="white"/>
          <w:lang w:eastAsia="zh-CN"/>
        </w:rPr>
        <w:t>该类</w:t>
      </w:r>
      <w:r>
        <w:rPr>
          <w:rStyle w:val="read"/>
          <w:rFonts w:ascii="宋体" w:hAnsi="宋体" w:cs="宋体"/>
          <w:sz w:val="24"/>
          <w:highlight w:val="white"/>
          <w:lang w:eastAsia="zh-CN"/>
        </w:rPr>
        <w:t>基金份额净值的0.25%时，基金管理人应当通报基金托管人并报中国证监会备案；错误偏差达到</w:t>
      </w:r>
      <w:r>
        <w:rPr>
          <w:rStyle w:val="read"/>
          <w:rFonts w:ascii="宋体" w:hAnsi="宋体" w:cs="宋体" w:hint="eastAsia"/>
          <w:sz w:val="24"/>
          <w:highlight w:val="white"/>
          <w:lang w:eastAsia="zh-CN"/>
        </w:rPr>
        <w:t>该类</w:t>
      </w:r>
      <w:r>
        <w:rPr>
          <w:rStyle w:val="read"/>
          <w:rFonts w:ascii="宋体" w:hAnsi="宋体" w:cs="宋体"/>
          <w:sz w:val="24"/>
          <w:highlight w:val="white"/>
          <w:lang w:eastAsia="zh-CN"/>
        </w:rPr>
        <w:t>基金份额净值的0.5%时，基金管理人应当公告，并报中国证监会备案</w:t>
      </w:r>
      <w:r>
        <w:rPr>
          <w:rStyle w:val="read"/>
          <w:rFonts w:ascii="宋体" w:hAnsi="宋体" w:cs="宋体" w:hint="eastAsia"/>
          <w:sz w:val="24"/>
          <w:highlight w:val="white"/>
          <w:lang w:eastAsia="zh-CN"/>
        </w:rPr>
        <w:t>；当发生净值计算错误时，由基金管理人负责处理，由此给基金份额持有人和基金造</w:t>
      </w:r>
      <w:r>
        <w:rPr>
          <w:rStyle w:val="read"/>
          <w:rFonts w:ascii="宋体" w:hAnsi="宋体" w:cs="宋体"/>
          <w:sz w:val="24"/>
          <w:highlight w:val="white"/>
          <w:lang w:eastAsia="zh-CN"/>
        </w:rPr>
        <w:t>成损失的，应由基金管理人先行赔付，基金管理人按差错情形，有权向其他当事人追偿。</w:t>
      </w:r>
    </w:p>
    <w:p w:rsidR="00676F42">
      <w:pPr>
        <w:snapToGrid w:val="0"/>
        <w:ind w:firstLine="480"/>
        <w:rPr>
          <w:rStyle w:val="read"/>
          <w:rFonts w:ascii="宋体" w:hAnsi="宋体" w:cs="宋体"/>
          <w:sz w:val="24"/>
          <w:lang w:eastAsia="zh-CN"/>
        </w:rPr>
      </w:pPr>
      <w:r>
        <w:rPr>
          <w:rStyle w:val="read"/>
          <w:rFonts w:ascii="宋体" w:hAnsi="宋体" w:cs="宋体" w:hint="eastAsia"/>
          <w:sz w:val="24"/>
          <w:highlight w:val="white"/>
          <w:lang w:eastAsia="zh-CN"/>
        </w:rPr>
        <w:t>2.当基金份额净值计算差错给基金和基金份额持有人造成损失需要进行赔偿时，基金管理人和基金托管人应根据实际情况界定双方承担的责任，经确认后按以下条款进行赔偿：</w:t>
      </w:r>
    </w:p>
    <w:p w:rsidR="00676F42">
      <w:pPr>
        <w:snapToGrid w:val="0"/>
        <w:ind w:firstLine="480"/>
        <w:rPr>
          <w:rFonts w:ascii="宋体" w:hAnsi="宋体" w:cs="宋体"/>
          <w:lang w:eastAsia="zh-CN"/>
        </w:rPr>
      </w:pPr>
      <w:r>
        <w:rPr>
          <w:rStyle w:val="read"/>
          <w:rFonts w:ascii="宋体" w:hAnsi="宋体" w:cs="宋体" w:hint="eastAsia"/>
          <w:sz w:val="24"/>
          <w:highlight w:val="white"/>
          <w:lang w:eastAsia="zh-CN"/>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宋体" w:hint="eastAsia"/>
          <w:sz w:val="24"/>
          <w:highlight w:val="white"/>
          <w:lang w:eastAsia="zh-CN"/>
        </w:rPr>
        <w:t>损失，由基金管理人负责赔付。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(4)由于基金管理人提供的信息错误（包括但不限于基金申购或赎回金额等），进而导致基金份额净值计算错误而引起的基金份额持有人和基金财产的损失，由基金管理人负责赔付。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4.基金管理人和基金托管人由于各自技术系统设置而产生的净值计算尾差，以基金管理人计算结果为准。</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5.前述内容如法律法规或者监管部门另有规定的，从其规定。如果行业另有通行做法，双方当事人应本着平等和保护基金份额持有人利益的原则进行协商。</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（四）暂停估值与公告基金份额净值的情形</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1</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基金投资所涉及的证券交易市场遇法定节假日或因其他原因暂停营业时；</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2</w:t>
      </w:r>
      <w:r w:rsidR="004B2003">
        <w:rPr>
          <w:rFonts w:ascii="宋体" w:hAnsi="宋体" w:cs="宋体" w:hint="eastAsia"/>
          <w:sz w:val="24"/>
          <w:highlight w:val="white"/>
          <w:lang w:eastAsia="zh-CN"/>
        </w:rPr>
        <w:t>.</w:t>
      </w:r>
      <w:r>
        <w:rPr>
          <w:rFonts w:ascii="宋体" w:hAnsi="宋体" w:cs="宋体" w:hint="eastAsia"/>
          <w:sz w:val="24"/>
          <w:highlight w:val="white"/>
          <w:lang w:eastAsia="zh-CN"/>
        </w:rPr>
        <w:t>因不可抗力致使基金管理人、基金托管人无法准确评估基金资产价值时；</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3</w:t>
      </w:r>
      <w:r w:rsidR="004B2003">
        <w:rPr>
          <w:rFonts w:ascii="宋体" w:hAnsi="宋体" w:cs="宋体" w:hint="eastAsia"/>
          <w:sz w:val="24"/>
          <w:highlight w:val="white"/>
          <w:lang w:eastAsia="zh-CN"/>
        </w:rPr>
        <w:t>.</w:t>
      </w:r>
      <w:r>
        <w:rPr>
          <w:rFonts w:ascii="宋体" w:hAnsi="宋体" w:cs="宋体" w:hint="eastAsia"/>
          <w:sz w:val="24"/>
          <w:highlight w:val="white"/>
          <w:lang w:eastAsia="zh-CN"/>
        </w:rPr>
        <w:t>当特定资产占前一估值日基金资产净值50%以上的，经与基金托管人协商确认后，基金管理人应当暂停估值；</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4</w:t>
      </w:r>
      <w:r w:rsidR="004B2003">
        <w:rPr>
          <w:rFonts w:ascii="宋体" w:hAnsi="宋体" w:cs="宋体" w:hint="eastAsia"/>
          <w:sz w:val="24"/>
          <w:highlight w:val="white"/>
          <w:lang w:eastAsia="zh-CN"/>
        </w:rPr>
        <w:t>.</w:t>
      </w:r>
      <w:r>
        <w:rPr>
          <w:rFonts w:ascii="宋体" w:hAnsi="宋体" w:cs="宋体" w:hint="eastAsia"/>
          <w:sz w:val="24"/>
          <w:highlight w:val="white"/>
          <w:lang w:eastAsia="zh-CN"/>
        </w:rPr>
        <w:t>中国证监会和基金合同认定的其它情形。</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（五）基金会计制度</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按国家有关部门规定的会计制度执行。</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（六）基金账册的建立</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（七）基金财务报表与报告的编制和复核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1.财务报表的编制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基金财务报表由基金管理人编制，基金托管人复核。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2.报表复核</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基金托管人在收到基金管理人编制的基金财务报表后，进行独立的复核。核对不符时，应及时通知基金管理人共同查出原因，进行调整，直至双方数据完全一致。</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3.财务报表的编制与复核时间安排</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(1)报表的编制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rsidR="00676F42">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(2)报表的复核</w:t>
      </w:r>
    </w:p>
    <w:p w:rsidR="00676F42">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76F42">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rsidR="00676F42">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（八）基金管理人应在编制季度报告、中期报告或者年度报告之前及时向基金托管人提供基金业绩比较基准的基础数据和编制结果。</w:t>
      </w:r>
    </w:p>
    <w:p w:rsidR="00676F42">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（九）实施侧袋机制期间的基金资产估值</w:t>
      </w:r>
    </w:p>
    <w:p w:rsidR="00676F42">
      <w:pPr>
        <w:pStyle w:val="NormalIndent"/>
        <w:snapToGrid w:val="0"/>
        <w:ind w:firstLine="480"/>
        <w:rPr>
          <w:rFonts w:ascii="宋体" w:hAnsi="宋体" w:cs="宋体"/>
          <w:sz w:val="24"/>
          <w:lang w:eastAsia="zh-CN"/>
        </w:rPr>
      </w:pPr>
      <w:r>
        <w:rPr>
          <w:rFonts w:ascii="宋体" w:hAnsi="宋体" w:cs="宋体" w:hint="eastAsia"/>
          <w:sz w:val="24"/>
          <w:highlight w:val="white"/>
          <w:lang w:eastAsia="zh-CN"/>
        </w:rPr>
        <w:t>本基金实施侧袋机制的，应根据本部分的约定对主袋账户资产进行估值并披露主袋账户的基金资产净值和份额净值，暂停披露侧袋账户份额净值。</w:t>
      </w:r>
    </w:p>
    <w:p w:rsidR="00676F42">
      <w:pPr>
        <w:pStyle w:val="NormalIndent"/>
        <w:snapToGrid w:val="0"/>
        <w:ind w:firstLine="480"/>
        <w:rPr>
          <w:rFonts w:ascii="宋体" w:hAnsi="宋体" w:cs="宋体"/>
          <w:sz w:val="24"/>
          <w:lang w:eastAsia="zh-CN"/>
        </w:rPr>
      </w:pPr>
      <w:r>
        <w:rPr>
          <w:rFonts w:ascii="宋体" w:hAnsi="宋体" w:cs="宋体"/>
          <w:sz w:val="24"/>
          <w:highlight w:val="white"/>
          <w:lang w:eastAsia="zh-CN"/>
        </w:rPr>
        <w:tab/>
      </w:r>
    </w:p>
    <w:p w:rsidR="00676F42">
      <w:pPr>
        <w:pStyle w:val="21"/>
        <w:jc w:val="center"/>
        <w:rPr>
          <w:rFonts w:ascii="宋体" w:eastAsia="宋体" w:hAnsi="宋体" w:cs="宋体"/>
          <w:sz w:val="30"/>
          <w:lang w:eastAsia="zh-CN"/>
        </w:rPr>
      </w:pPr>
      <w:bookmarkStart w:id="87" w:name="_Toc68875911"/>
      <w:r>
        <w:rPr>
          <w:rFonts w:ascii="宋体" w:eastAsia="宋体" w:hAnsi="宋体" w:cs="宋体" w:hint="eastAsia"/>
          <w:sz w:val="30"/>
          <w:highlight w:val="white"/>
          <w:lang w:eastAsia="zh-CN"/>
        </w:rPr>
        <w:t>九、基金收益分配</w:t>
      </w:r>
      <w:bookmarkEnd w:id="87"/>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（一）基金收益分配的原则</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基金收益分配应遵循下列原则：</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1</w:t>
      </w:r>
      <w:r w:rsidR="004B2003">
        <w:rPr>
          <w:rFonts w:ascii="宋体" w:hAnsi="宋体" w:cs="宋体" w:hint="eastAsia"/>
          <w:sz w:val="24"/>
          <w:highlight w:val="white"/>
          <w:lang w:eastAsia="zh-CN"/>
        </w:rPr>
        <w:t>.</w:t>
      </w:r>
      <w:r>
        <w:rPr>
          <w:rFonts w:ascii="宋体" w:hAnsi="宋体" w:cs="宋体" w:hint="eastAsia"/>
          <w:sz w:val="24"/>
          <w:highlight w:val="white"/>
          <w:lang w:eastAsia="zh-CN"/>
        </w:rPr>
        <w:t>在符合有关基金分红条件的前提下，基金管理人可以根据实际情况进行收益分配，具体分配方案以公告为准，若《基金合同》生效不满3个月可不进行收益分配；</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2</w:t>
      </w:r>
      <w:r w:rsidR="004B2003">
        <w:rPr>
          <w:rFonts w:ascii="宋体" w:hAnsi="宋体" w:cs="宋体" w:hint="eastAsia"/>
          <w:sz w:val="24"/>
          <w:highlight w:val="white"/>
          <w:lang w:eastAsia="zh-CN"/>
        </w:rPr>
        <w:t>.</w:t>
      </w:r>
      <w:r>
        <w:rPr>
          <w:rFonts w:ascii="宋体" w:hAnsi="宋体" w:cs="宋体" w:hint="eastAsia"/>
          <w:sz w:val="24"/>
          <w:highlight w:val="white"/>
          <w:lang w:eastAsia="zh-CN"/>
        </w:rPr>
        <w:t>本基金收益分配方式为现金分红；</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3</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基金收益分配后各类基金份额净值不能低于面值；即基金收益分配基准日的各类基金份额净值减去每单位该类基金份额收益分配金额后不能低于面值；</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4</w:t>
      </w:r>
      <w:r w:rsidR="004B2003">
        <w:rPr>
          <w:rFonts w:ascii="宋体" w:hAnsi="宋体" w:cs="宋体" w:hint="eastAsia"/>
          <w:sz w:val="24"/>
          <w:highlight w:val="white"/>
          <w:lang w:eastAsia="zh-CN"/>
        </w:rPr>
        <w:t>.</w:t>
      </w:r>
      <w:r>
        <w:rPr>
          <w:rFonts w:ascii="宋体" w:hAnsi="宋体" w:cs="宋体" w:hint="eastAsia"/>
          <w:sz w:val="24"/>
          <w:highlight w:val="white"/>
          <w:lang w:eastAsia="zh-CN"/>
        </w:rPr>
        <w:t>本基金各基金份额类别在费用收取上不同，其对应的可分配收益可能有所不同。同一类别的每一基金份额享有同等分配权；</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5</w:t>
      </w:r>
      <w:r w:rsidR="004B2003">
        <w:rPr>
          <w:rFonts w:ascii="宋体" w:hAnsi="宋体" w:cs="宋体" w:hint="eastAsia"/>
          <w:sz w:val="24"/>
          <w:highlight w:val="white"/>
          <w:lang w:eastAsia="zh-CN"/>
        </w:rPr>
        <w:t>.</w:t>
      </w:r>
      <w:r>
        <w:rPr>
          <w:rFonts w:ascii="宋体" w:hAnsi="宋体" w:cs="宋体" w:hint="eastAsia"/>
          <w:sz w:val="24"/>
          <w:highlight w:val="white"/>
          <w:lang w:eastAsia="zh-CN"/>
        </w:rPr>
        <w:t>在对基金份额持有人利益无实质不利影响的前提下，基金管理人经与基金托管人协商一致后并履行适当程序，可调整基金收益的分配原则和支付方式；</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6</w:t>
      </w:r>
      <w:r w:rsidR="004B2003">
        <w:rPr>
          <w:rFonts w:ascii="宋体" w:hAnsi="宋体" w:cs="宋体" w:hint="eastAsia"/>
          <w:sz w:val="24"/>
          <w:highlight w:val="white"/>
          <w:lang w:eastAsia="zh-CN"/>
        </w:rPr>
        <w:t>.</w:t>
      </w:r>
      <w:r>
        <w:rPr>
          <w:rFonts w:ascii="宋体" w:hAnsi="宋体" w:cs="宋体" w:hint="eastAsia"/>
          <w:sz w:val="24"/>
          <w:highlight w:val="white"/>
          <w:lang w:eastAsia="zh-CN"/>
        </w:rPr>
        <w:t>法律法规或监管机关另有规定的，从其规定。</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（二）基金收益分配的时间和程序</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本基金收益分配方案由基金管理人拟定，并由基金托管人复核，在2日内在规定媒介公告。基金收益分配方案公告后(依据具体方案的规定)，基金管理人就支付的现金红利向基金托管人发送划款指令，基金托管人按照基金管理人的指令及时进行分红资金的划付。</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基金收益分配时所发生的银行转账或其他手续费用由投资者自行承担。</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（三）实施侧袋机制期间的收益分配</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本基金实施侧袋机制的，侧袋账户不进行收益分配，详见招募说明书的规定。</w:t>
      </w:r>
    </w:p>
    <w:p w:rsidR="00676F42">
      <w:pPr>
        <w:snapToGrid w:val="0"/>
        <w:ind w:firstLine="480"/>
        <w:outlineLvl w:val="0"/>
        <w:rPr>
          <w:rFonts w:ascii="宋体" w:hAnsi="宋体" w:cs="宋体"/>
          <w:sz w:val="24"/>
          <w:lang w:eastAsia="zh-CN"/>
        </w:rPr>
      </w:pPr>
    </w:p>
    <w:p w:rsidR="00676F42">
      <w:pPr>
        <w:snapToGrid w:val="0"/>
        <w:rPr>
          <w:rFonts w:ascii="宋体" w:hAnsi="宋体" w:cs="宋体"/>
          <w:sz w:val="24"/>
          <w:lang w:eastAsia="zh-CN"/>
        </w:rPr>
      </w:pPr>
    </w:p>
    <w:p w:rsidR="00676F42">
      <w:pPr>
        <w:pStyle w:val="21"/>
        <w:jc w:val="center"/>
        <w:rPr>
          <w:rFonts w:ascii="宋体" w:eastAsia="宋体" w:hAnsi="宋体" w:cs="宋体"/>
          <w:sz w:val="30"/>
          <w:lang w:eastAsia="zh-CN"/>
        </w:rPr>
      </w:pPr>
      <w:bookmarkStart w:id="88" w:name="_Toc68875912"/>
      <w:r>
        <w:rPr>
          <w:rFonts w:ascii="宋体" w:eastAsia="宋体" w:hAnsi="宋体" w:cs="宋体" w:hint="eastAsia"/>
          <w:sz w:val="30"/>
          <w:highlight w:val="white"/>
          <w:lang w:eastAsia="zh-CN"/>
        </w:rPr>
        <w:t>十、基金信息披露</w:t>
      </w:r>
      <w:bookmarkEnd w:id="88"/>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（一）保密义务</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托管人和基金管理人应按法律法规、《基金合同》的有关规定进行信息披露，拟公开披露的信息在公开披露之前应予保密。除按《基金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1.非因基金管理人和基金托管人的原因导致保密信息被披露、泄露或公开；</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2.基金管理人和基金托管人为遵守和服从法院判决或裁定、仲裁裁决或中国证监会等监管机构的命令、决定所做出的信息披露或公开。</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（二）信息披露的内容</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清算报告、基金份额持有人大会决议、投资股指期货信息披露、投资资产支持证券信息披露、投资股票期权信息披露、投资港股通</w:t>
      </w:r>
      <w:r>
        <w:rPr>
          <w:rFonts w:ascii="宋体" w:hAnsi="宋体" w:cs="宋体"/>
          <w:sz w:val="24"/>
          <w:highlight w:val="white"/>
          <w:lang w:eastAsia="zh-CN"/>
        </w:rPr>
        <w:t>股票</w:t>
      </w:r>
      <w:r>
        <w:rPr>
          <w:rFonts w:ascii="宋体" w:hAnsi="宋体" w:cs="宋体" w:hint="eastAsia"/>
          <w:sz w:val="24"/>
          <w:highlight w:val="white"/>
          <w:lang w:eastAsia="zh-CN"/>
        </w:rPr>
        <w:t>信息披露、投资流通受限证券信息披露、</w:t>
      </w:r>
      <w:r>
        <w:rPr>
          <w:rFonts w:ascii="宋体" w:hAnsi="宋体" w:cs="宋体"/>
          <w:color w:val="000000"/>
          <w:sz w:val="24"/>
          <w:highlight w:val="white"/>
          <w:lang w:eastAsia="zh-CN"/>
        </w:rPr>
        <w:t>实施侧袋机制期间的信息披露、</w:t>
      </w:r>
      <w:r>
        <w:rPr>
          <w:rFonts w:ascii="宋体" w:hAnsi="宋体" w:cs="宋体"/>
          <w:sz w:val="24"/>
          <w:highlight w:val="white"/>
          <w:lang w:eastAsia="zh-CN"/>
        </w:rPr>
        <w:t>中国证监会规定的</w:t>
      </w:r>
      <w:r>
        <w:rPr>
          <w:rFonts w:ascii="宋体" w:hAnsi="宋体" w:cs="宋体" w:hint="eastAsia"/>
          <w:sz w:val="24"/>
          <w:highlight w:val="white"/>
          <w:lang w:eastAsia="zh-CN"/>
        </w:rPr>
        <w:t>其他信息。基金年度报告中的财务会计报告需经符合《证券法》规定的会计师事务所审计后，方可披露。</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（三）基金托管人和基金管理人在信息披露中的职责和信息披露程序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1.职责</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对于不需要基金托管人复核的信息，基金管理人在公告前应告知基金托管人。</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基金管理人和基金托管人应积极配合、互相监督，保证其履行按照法定方式和限时披露的义务。</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基金管理人、基金托管人应当在中国证监会规定的时间内，将应予披露的基金信息通过规定媒介披露。</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当出现下述情况时，基金管理人和基金托管人可暂停或延迟披露基金相关信息：</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(1)不可抗力；</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(2)基金投资所涉及的证券交易市场遇法定节假日或因其他原因暂停营业时；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(3)出现基金管理人认为属于会导致基金管理人不能出售或评估基金资产的紧急事故的任何情况；</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(4)法律法规、《基金合同》或中国证监会规定的情况。</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按有关规定须经基金托管人复核的信息披露文件，由基金管理人起草、并经基金托管人复核后由基金管理人公告。发生《基金合同》中规定需要披露的事项时，按《基金合同》规定公布。</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3.信息文本的存放</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予以披露的信息文本，存放在基金管理人/基金托管人办公场所，投资者可以免费查阅。在支付工本费后可在合理时间获得上述文件的复制件或复印件。基金管理人和基金托管人应保证文本的内容与所公告的内容完全一致。</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相关法律法规关于信息披露的规定发生变化时，本基金从其最新规定。</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（四）实施侧袋机制期间的信息披露</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本基金实施侧袋机制的，相关信息披露义务人应当根据法律法规、基金合同和招募说明书的规定进行信息披露，详见招募说明书的规定。</w:t>
      </w:r>
    </w:p>
    <w:p w:rsidR="00676F42">
      <w:pPr>
        <w:ind w:firstLine="480"/>
        <w:rPr>
          <w:rFonts w:ascii="宋体" w:hAnsi="宋体" w:cs="宋体"/>
          <w:sz w:val="24"/>
          <w:lang w:eastAsia="zh-CN"/>
        </w:rPr>
      </w:pPr>
      <w:r>
        <w:rPr>
          <w:rFonts w:ascii="宋体" w:hAnsi="宋体" w:cs="宋体" w:hint="eastAsia"/>
          <w:sz w:val="24"/>
          <w:highlight w:val="white"/>
          <w:lang w:eastAsia="zh-CN"/>
        </w:rPr>
        <w:t>（五）法律法规或监管部门对适用于本基金的信息披露另有规定的，从其规定。如规定发生变化的，从其最新规定。</w:t>
      </w:r>
    </w:p>
    <w:p w:rsidR="00676F42">
      <w:pPr>
        <w:ind w:firstLine="480"/>
        <w:rPr>
          <w:rFonts w:ascii="宋体" w:hAnsi="宋体" w:cs="宋体"/>
          <w:sz w:val="24"/>
          <w:lang w:eastAsia="zh-CN"/>
        </w:rPr>
      </w:pPr>
    </w:p>
    <w:p w:rsidR="00676F42">
      <w:pPr>
        <w:pStyle w:val="NormalIndent"/>
        <w:ind w:firstLine="0"/>
        <w:rPr>
          <w:rFonts w:ascii="宋体" w:hAnsi="宋体" w:cs="宋体"/>
          <w:sz w:val="24"/>
          <w:lang w:eastAsia="zh-CN"/>
        </w:rPr>
      </w:pPr>
    </w:p>
    <w:p w:rsidR="00676F42">
      <w:pPr>
        <w:pStyle w:val="21"/>
        <w:jc w:val="center"/>
        <w:rPr>
          <w:rFonts w:ascii="宋体" w:eastAsia="宋体" w:hAnsi="宋体" w:cs="宋体"/>
          <w:sz w:val="30"/>
          <w:lang w:eastAsia="zh-CN"/>
        </w:rPr>
      </w:pPr>
      <w:bookmarkStart w:id="89" w:name="_Toc68875913"/>
      <w:r>
        <w:rPr>
          <w:rFonts w:ascii="宋体" w:eastAsia="宋体" w:hAnsi="宋体" w:cs="宋体" w:hint="eastAsia"/>
          <w:sz w:val="30"/>
          <w:highlight w:val="white"/>
          <w:lang w:eastAsia="zh-CN"/>
        </w:rPr>
        <w:t>十一、基金费用</w:t>
      </w:r>
      <w:bookmarkEnd w:id="89"/>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（一）基金管理费（包含固定管理费、或有管理费和超额管理费）的计提比例和计提方法</w:t>
      </w:r>
    </w:p>
    <w:p w:rsidR="00676F42">
      <w:pPr>
        <w:ind w:firstLine="480"/>
        <w:rPr>
          <w:rFonts w:ascii="宋体" w:hAnsi="宋体" w:cs="宋体"/>
          <w:sz w:val="24"/>
          <w:lang w:eastAsia="zh-CN"/>
        </w:rPr>
      </w:pPr>
    </w:p>
    <w:p w:rsidR="00676F42">
      <w:pPr>
        <w:snapToGrid w:val="0"/>
        <w:ind w:firstLine="480"/>
        <w:rPr>
          <w:rFonts w:ascii="宋体" w:hAnsi="宋体" w:cs="宋体"/>
          <w:sz w:val="24"/>
          <w:lang w:eastAsia="zh-CN"/>
        </w:rPr>
      </w:pPr>
      <w:r>
        <w:rPr>
          <w:rFonts w:ascii="宋体" w:hAnsi="宋体" w:cs="宋体"/>
          <w:sz w:val="24"/>
          <w:highlight w:val="white"/>
          <w:lang w:eastAsia="zh-CN"/>
        </w:rPr>
        <w:t>本基金根据每笔基金份额的持有期限与持有期间年化收益率，在赎回、转换转出基金份额或基金合同终止的情形发生时确定该笔基金份额对应的管理费。</w:t>
      </w:r>
    </w:p>
    <w:p w:rsidR="00676F42">
      <w:pPr>
        <w:snapToGrid w:val="0"/>
        <w:ind w:firstLine="480"/>
        <w:rPr>
          <w:rFonts w:ascii="宋体" w:hAnsi="宋体" w:cs="宋体"/>
          <w:sz w:val="24"/>
          <w:lang w:eastAsia="zh-CN"/>
        </w:rPr>
      </w:pPr>
      <w:r>
        <w:rPr>
          <w:rFonts w:ascii="宋体" w:hAnsi="宋体" w:cs="宋体"/>
          <w:sz w:val="24"/>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676F42">
      <w:pPr>
        <w:snapToGrid w:val="0"/>
        <w:ind w:firstLine="480"/>
        <w:rPr>
          <w:rFonts w:ascii="宋体" w:hAnsi="宋体" w:cs="宋体"/>
          <w:sz w:val="24"/>
          <w:lang w:eastAsia="zh-CN"/>
        </w:rPr>
      </w:pPr>
      <w:r>
        <w:rPr>
          <w:rFonts w:ascii="宋体" w:hAnsi="宋体" w:cs="宋体"/>
          <w:sz w:val="24"/>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676F42">
      <w:pPr>
        <w:spacing w:line="276" w:lineRule="auto"/>
        <w:jc w:val="center"/>
        <w:rPr>
          <w:lang w:eastAsia="zh-CN"/>
        </w:rPr>
      </w:pPr>
      <w:r>
        <w:rPr>
          <w:rFonts w:ascii="宋体" w:hAnsi="宋体" w:cs="宋体"/>
          <w:b/>
          <w:color w:val="000000"/>
          <w:sz w:val="24"/>
          <w:highlight w:val="white"/>
          <w:lang w:eastAsia="zh-CN"/>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rPr>
                <w:lang w:eastAsia="zh-CN"/>
              </w:rPr>
            </w:pPr>
            <w:r>
              <w:rPr>
                <w:rFonts w:ascii="宋体" w:hAnsi="宋体" w:cs="宋体"/>
                <w:b/>
                <w:color w:val="000000"/>
                <w:sz w:val="24"/>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b/>
                <w:color w:val="000000"/>
                <w:sz w:val="24"/>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0.60%/年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1.50%/年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1.20%/年</w:t>
            </w:r>
          </w:p>
        </w:tc>
      </w:tr>
    </w:tbl>
    <w:p w:rsidR="00676F42">
      <w:pPr>
        <w:snapToGrid w:val="0"/>
        <w:ind w:firstLine="480"/>
        <w:rPr>
          <w:rFonts w:ascii="宋体" w:hAnsi="宋体" w:cs="宋体"/>
          <w:sz w:val="24"/>
          <w:lang w:eastAsia="zh-CN"/>
        </w:rPr>
      </w:pPr>
      <w:r>
        <w:rPr>
          <w:rFonts w:ascii="宋体" w:hAnsi="宋体" w:cs="宋体"/>
          <w:sz w:val="24"/>
          <w:highlight w:val="white"/>
          <w:lang w:eastAsia="zh-CN"/>
        </w:rPr>
        <w:t>注：①R为该笔基金份额持有期间年化收益率，Rb为本基金业绩比较基准同期年化收益率。</w:t>
      </w:r>
    </w:p>
    <w:p w:rsidR="00676F42">
      <w:pPr>
        <w:snapToGrid w:val="0"/>
        <w:ind w:firstLine="480"/>
        <w:rPr>
          <w:rFonts w:ascii="宋体" w:hAnsi="宋体" w:cs="宋体"/>
          <w:sz w:val="24"/>
          <w:lang w:eastAsia="zh-CN"/>
        </w:rPr>
      </w:pPr>
      <w:r>
        <w:rPr>
          <w:rFonts w:ascii="宋体" w:hAnsi="宋体" w:cs="宋体"/>
          <w:sz w:val="24"/>
          <w:highlight w:val="white"/>
          <w:lang w:eastAsia="zh-CN"/>
        </w:rPr>
        <w:t>②特别的，对于该笔份额持有期限达到一年及以上，R＞Rb+6%且R＞0的情形，若扣除超额管理费后的持有期间年化收益率（R*）小于等于Rb+6%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676F42">
      <w:pPr>
        <w:snapToGrid w:val="0"/>
        <w:ind w:firstLine="480"/>
        <w:rPr>
          <w:rFonts w:ascii="宋体" w:hAnsi="宋体" w:cs="宋体"/>
          <w:sz w:val="24"/>
          <w:lang w:eastAsia="zh-CN"/>
        </w:rPr>
      </w:pPr>
      <w:r>
        <w:rPr>
          <w:rFonts w:ascii="宋体" w:hAnsi="宋体" w:cs="宋体"/>
          <w:sz w:val="24"/>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676F42">
      <w:pPr>
        <w:snapToGrid w:val="0"/>
        <w:ind w:firstLine="480"/>
        <w:rPr>
          <w:rFonts w:ascii="宋体" w:hAnsi="宋体" w:cs="宋体"/>
          <w:sz w:val="24"/>
          <w:lang w:eastAsia="zh-CN"/>
        </w:rPr>
      </w:pPr>
      <w:r>
        <w:rPr>
          <w:rFonts w:ascii="宋体" w:hAnsi="宋体" w:cs="宋体"/>
          <w:sz w:val="24"/>
          <w:highlight w:val="white"/>
          <w:lang w:eastAsia="zh-CN"/>
        </w:rPr>
        <w:t>（1）固定管理费</w:t>
      </w:r>
    </w:p>
    <w:p w:rsidR="00676F42">
      <w:pPr>
        <w:snapToGrid w:val="0"/>
        <w:ind w:firstLine="480"/>
        <w:rPr>
          <w:rFonts w:ascii="宋体" w:hAnsi="宋体" w:cs="宋体"/>
          <w:sz w:val="24"/>
          <w:lang w:eastAsia="zh-CN"/>
        </w:rPr>
      </w:pPr>
      <w:r>
        <w:rPr>
          <w:rFonts w:ascii="宋体" w:hAnsi="宋体" w:cs="宋体"/>
          <w:sz w:val="24"/>
          <w:highlight w:val="white"/>
          <w:lang w:eastAsia="zh-CN"/>
        </w:rPr>
        <w:t>本基金的固定管理费按前一日基金资产净值的0.6%年费率计提。固定管理费的计算方法如下：</w:t>
      </w:r>
    </w:p>
    <w:p w:rsidR="00676F42">
      <w:pPr>
        <w:snapToGrid w:val="0"/>
        <w:ind w:firstLine="480"/>
        <w:rPr>
          <w:rFonts w:ascii="宋体" w:hAnsi="宋体" w:cs="宋体"/>
          <w:sz w:val="24"/>
          <w:lang w:eastAsia="zh-CN"/>
        </w:rPr>
      </w:pPr>
      <w:r>
        <w:rPr>
          <w:rFonts w:ascii="宋体" w:hAnsi="宋体" w:cs="宋体"/>
          <w:sz w:val="24"/>
          <w:highlight w:val="white"/>
          <w:lang w:eastAsia="zh-CN"/>
        </w:rPr>
        <w:t>H1= E×0.6%÷当年天数</w:t>
      </w:r>
    </w:p>
    <w:p w:rsidR="00676F42">
      <w:pPr>
        <w:snapToGrid w:val="0"/>
        <w:ind w:firstLine="480"/>
        <w:rPr>
          <w:rFonts w:ascii="宋体" w:hAnsi="宋体" w:cs="宋体"/>
          <w:sz w:val="24"/>
          <w:lang w:eastAsia="zh-CN"/>
        </w:rPr>
      </w:pPr>
      <w:r>
        <w:rPr>
          <w:rFonts w:ascii="宋体" w:hAnsi="宋体" w:cs="宋体"/>
          <w:sz w:val="24"/>
          <w:highlight w:val="white"/>
          <w:lang w:eastAsia="zh-CN"/>
        </w:rPr>
        <w:t>H1为每日应计提的固定管理费</w:t>
      </w:r>
    </w:p>
    <w:p w:rsidR="00676F42">
      <w:pPr>
        <w:snapToGrid w:val="0"/>
        <w:ind w:firstLine="480"/>
        <w:rPr>
          <w:rFonts w:ascii="宋体" w:hAnsi="宋体" w:cs="宋体"/>
          <w:sz w:val="24"/>
          <w:lang w:eastAsia="zh-CN"/>
        </w:rPr>
      </w:pPr>
      <w:r>
        <w:rPr>
          <w:rFonts w:ascii="宋体" w:hAnsi="宋体" w:cs="宋体"/>
          <w:sz w:val="24"/>
          <w:highlight w:val="white"/>
          <w:lang w:eastAsia="zh-CN"/>
        </w:rPr>
        <w:t>E为前一日的基金资产净值</w:t>
      </w:r>
    </w:p>
    <w:p w:rsidR="00676F42">
      <w:pPr>
        <w:snapToGrid w:val="0"/>
        <w:ind w:firstLine="480"/>
        <w:rPr>
          <w:rFonts w:ascii="宋体" w:hAnsi="宋体" w:cs="宋体"/>
          <w:sz w:val="24"/>
          <w:lang w:eastAsia="zh-CN"/>
        </w:rPr>
      </w:pPr>
      <w:r>
        <w:rPr>
          <w:rFonts w:ascii="宋体" w:hAnsi="宋体" w:cs="宋体"/>
          <w:sz w:val="24"/>
          <w:highlight w:val="white"/>
          <w:lang w:eastAsia="zh-CN"/>
        </w:rPr>
        <w:t>固定管理费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676F42">
      <w:pPr>
        <w:snapToGrid w:val="0"/>
        <w:ind w:firstLine="480"/>
        <w:rPr>
          <w:rFonts w:ascii="宋体" w:hAnsi="宋体" w:cs="宋体"/>
          <w:sz w:val="24"/>
          <w:lang w:eastAsia="zh-CN"/>
        </w:rPr>
      </w:pPr>
      <w:r>
        <w:rPr>
          <w:rFonts w:ascii="宋体" w:hAnsi="宋体" w:cs="宋体"/>
          <w:sz w:val="24"/>
          <w:highlight w:val="white"/>
          <w:lang w:eastAsia="zh-CN"/>
        </w:rPr>
        <w:t>（2）或有管理费和超额管理费</w:t>
      </w:r>
    </w:p>
    <w:p w:rsidR="00676F42">
      <w:pPr>
        <w:snapToGrid w:val="0"/>
        <w:ind w:firstLine="480"/>
        <w:rPr>
          <w:rFonts w:ascii="宋体" w:hAnsi="宋体" w:cs="宋体"/>
          <w:sz w:val="24"/>
          <w:lang w:eastAsia="zh-CN"/>
        </w:rPr>
      </w:pPr>
      <w:r>
        <w:rPr>
          <w:rFonts w:ascii="宋体" w:hAnsi="宋体" w:cs="宋体"/>
          <w:sz w:val="24"/>
          <w:highlight w:val="white"/>
          <w:lang w:eastAsia="zh-CN"/>
        </w:rPr>
        <w:t>本基金的或有管理费按前一日基金资产净值的0.6%年费率计提。或有管理费的计算方法如下：</w:t>
      </w:r>
    </w:p>
    <w:p w:rsidR="00676F42">
      <w:pPr>
        <w:snapToGrid w:val="0"/>
        <w:ind w:firstLine="480"/>
        <w:rPr>
          <w:rFonts w:ascii="宋体" w:hAnsi="宋体" w:cs="宋体"/>
          <w:sz w:val="24"/>
          <w:lang w:eastAsia="zh-CN"/>
        </w:rPr>
      </w:pPr>
      <w:r>
        <w:rPr>
          <w:rFonts w:ascii="宋体" w:hAnsi="宋体" w:cs="宋体"/>
          <w:sz w:val="24"/>
          <w:highlight w:val="white"/>
          <w:lang w:eastAsia="zh-CN"/>
        </w:rPr>
        <w:t>H2＝E×0.6%÷当年天数</w:t>
      </w:r>
    </w:p>
    <w:p w:rsidR="00676F42">
      <w:pPr>
        <w:snapToGrid w:val="0"/>
        <w:ind w:firstLine="480"/>
        <w:rPr>
          <w:rFonts w:ascii="宋体" w:hAnsi="宋体" w:cs="宋体"/>
          <w:sz w:val="24"/>
          <w:lang w:eastAsia="zh-CN"/>
        </w:rPr>
      </w:pPr>
      <w:r>
        <w:rPr>
          <w:rFonts w:ascii="宋体" w:hAnsi="宋体" w:cs="宋体"/>
          <w:sz w:val="24"/>
          <w:highlight w:val="white"/>
          <w:lang w:eastAsia="zh-CN"/>
        </w:rPr>
        <w:t>H2为每日应计提的或有管理费</w:t>
      </w:r>
    </w:p>
    <w:p w:rsidR="00676F42">
      <w:pPr>
        <w:snapToGrid w:val="0"/>
        <w:ind w:firstLine="480"/>
        <w:rPr>
          <w:rFonts w:ascii="宋体" w:hAnsi="宋体" w:cs="宋体"/>
          <w:sz w:val="24"/>
          <w:lang w:eastAsia="zh-CN"/>
        </w:rPr>
      </w:pPr>
      <w:r>
        <w:rPr>
          <w:rFonts w:ascii="宋体" w:hAnsi="宋体" w:cs="宋体"/>
          <w:sz w:val="24"/>
          <w:highlight w:val="white"/>
          <w:lang w:eastAsia="zh-CN"/>
        </w:rPr>
        <w:t>E为前一日的基金资产净值</w:t>
      </w:r>
    </w:p>
    <w:p w:rsidR="00676F42">
      <w:pPr>
        <w:snapToGrid w:val="0"/>
        <w:ind w:firstLine="480"/>
        <w:rPr>
          <w:rFonts w:ascii="宋体" w:hAnsi="宋体" w:cs="宋体"/>
          <w:sz w:val="24"/>
          <w:lang w:eastAsia="zh-CN"/>
        </w:rPr>
      </w:pPr>
      <w:r>
        <w:rPr>
          <w:rFonts w:ascii="宋体" w:hAnsi="宋体" w:cs="宋体"/>
          <w:sz w:val="24"/>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676F42">
      <w:pPr>
        <w:snapToGrid w:val="0"/>
        <w:ind w:firstLine="480"/>
        <w:rPr>
          <w:rFonts w:ascii="宋体" w:hAnsi="宋体" w:cs="宋体"/>
          <w:sz w:val="24"/>
          <w:lang w:eastAsia="zh-CN"/>
        </w:rPr>
      </w:pPr>
      <w:r>
        <w:rPr>
          <w:rFonts w:ascii="宋体" w:hAnsi="宋体" w:cs="宋体"/>
          <w:sz w:val="24"/>
          <w:highlight w:val="white"/>
          <w:lang w:eastAsia="zh-CN"/>
        </w:rPr>
        <w:t>基金超额管理费的计算方法如下：</w:t>
      </w:r>
    </w:p>
    <w:p w:rsidR="00676F42">
      <w:pPr>
        <w:snapToGrid w:val="0"/>
        <w:ind w:firstLine="480"/>
        <w:rPr>
          <w:rFonts w:ascii="宋体" w:hAnsi="宋体" w:cs="宋体"/>
          <w:sz w:val="24"/>
          <w:lang w:eastAsia="zh-CN"/>
        </w:rPr>
      </w:pPr>
      <w:r>
        <w:rPr>
          <w:rFonts w:ascii="宋体" w:hAnsi="宋体" w:cs="宋体"/>
          <w:sz w:val="24"/>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676F42">
      <w:pPr>
        <w:snapToGrid w:val="0"/>
        <w:ind w:firstLine="480"/>
        <w:rPr>
          <w:rFonts w:ascii="宋体" w:hAnsi="宋体" w:cs="宋体"/>
          <w:sz w:val="24"/>
          <w:lang w:eastAsia="zh-CN"/>
        </w:rPr>
      </w:pPr>
      <w:r>
        <w:rPr>
          <w:rFonts w:ascii="宋体" w:hAnsi="宋体" w:cs="宋体"/>
          <w:sz w:val="24"/>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rPr>
                <w:lang w:eastAsia="zh-CN"/>
              </w:rPr>
            </w:pPr>
            <w:r>
              <w:rPr>
                <w:rFonts w:ascii="宋体" w:hAnsi="宋体" w:cs="宋体"/>
                <w:b/>
                <w:color w:val="000000"/>
                <w:sz w:val="24"/>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rPr>
                <w:lang w:eastAsia="zh-CN"/>
              </w:rPr>
            </w:pPr>
            <w:r>
              <w:rPr>
                <w:rFonts w:ascii="宋体" w:hAnsi="宋体" w:cs="宋体"/>
                <w:b/>
                <w:color w:val="000000"/>
                <w:sz w:val="24"/>
                <w:highlight w:val="white"/>
                <w:lang w:eastAsia="zh-CN"/>
              </w:rPr>
              <w:t>或有管理费</w:t>
            </w:r>
          </w:p>
          <w:p w:rsidR="00676F42">
            <w:pPr>
              <w:jc w:val="center"/>
              <w:rPr>
                <w:lang w:eastAsia="zh-CN"/>
              </w:rPr>
            </w:pPr>
            <w:r>
              <w:rPr>
                <w:rFonts w:ascii="宋体" w:hAnsi="宋体" w:cs="宋体"/>
                <w:b/>
                <w:color w:val="000000"/>
                <w:sz w:val="24"/>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rPr>
                <w:lang w:eastAsia="zh-CN"/>
              </w:rPr>
            </w:pPr>
            <w:r>
              <w:rPr>
                <w:rFonts w:ascii="宋体" w:hAnsi="宋体" w:cs="宋体"/>
                <w:b/>
                <w:color w:val="000000"/>
                <w:sz w:val="24"/>
                <w:highlight w:val="white"/>
                <w:lang w:eastAsia="zh-CN"/>
              </w:rPr>
              <w:t>超额管理费</w:t>
            </w:r>
          </w:p>
          <w:p w:rsidR="00676F42">
            <w:pPr>
              <w:jc w:val="center"/>
              <w:rPr>
                <w:lang w:eastAsia="zh-CN"/>
              </w:rPr>
            </w:pPr>
            <w:r>
              <w:rPr>
                <w:rFonts w:ascii="宋体" w:hAnsi="宋体" w:cs="宋体"/>
                <w:b/>
                <w:color w:val="000000"/>
                <w:sz w:val="24"/>
                <w:highlight w:val="white"/>
                <w:lang w:eastAsia="zh-CN"/>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676F42">
            <w:pPr>
              <w:jc w:val="center"/>
            </w:pPr>
            <w:r>
              <w:rPr>
                <w:rFonts w:ascii="宋体" w:hAnsi="宋体" w:cs="宋体"/>
                <w:color w:val="000000"/>
                <w:sz w:val="24"/>
                <w:highlight w:val="white"/>
              </w:rPr>
              <w:t>0</w:t>
            </w:r>
          </w:p>
        </w:tc>
      </w:tr>
    </w:tbl>
    <w:p w:rsidR="00676F42">
      <w:pPr>
        <w:snapToGrid w:val="0"/>
        <w:ind w:firstLine="480"/>
        <w:rPr>
          <w:rFonts w:ascii="宋体" w:hAnsi="宋体" w:cs="宋体"/>
          <w:sz w:val="24"/>
          <w:lang w:eastAsia="zh-CN"/>
        </w:rPr>
      </w:pPr>
      <w:r>
        <w:rPr>
          <w:rFonts w:ascii="宋体" w:hAnsi="宋体" w:cs="宋体"/>
          <w:sz w:val="24"/>
          <w:highlight w:val="white"/>
          <w:lang w:eastAsia="zh-CN"/>
        </w:rPr>
        <w:t>对于“情形二”，若扣除超额管理费后的持有期间年化收益率（R*）小于等于Rb+6%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676F42">
      <w:pPr>
        <w:snapToGrid w:val="0"/>
        <w:ind w:firstLine="480"/>
        <w:rPr>
          <w:rFonts w:ascii="宋体" w:hAnsi="宋体" w:cs="宋体"/>
          <w:sz w:val="24"/>
          <w:lang w:eastAsia="zh-CN"/>
        </w:rPr>
      </w:pPr>
      <w:r>
        <w:rPr>
          <w:rFonts w:ascii="宋体" w:hAnsi="宋体" w:cs="宋体"/>
          <w:sz w:val="24"/>
          <w:highlight w:val="white"/>
          <w:lang w:eastAsia="zh-CN"/>
        </w:rPr>
        <w:t>每笔基金份额持有期间年化收益率（R）计算方法如下：</w:t>
      </w:r>
    </w:p>
    <w:p w:rsidR="00676F42">
      <w:pPr>
        <w:spacing w:line="360" w:lineRule="auto"/>
        <w:ind w:firstLine="480" w:firstLineChars="200"/>
        <w:rPr>
          <w:iCs/>
          <w:sz w:val="24"/>
        </w:rPr>
      </w:pPr>
      <w:r>
        <w:rPr>
          <w:noProof/>
          <w:sz w:val="24"/>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8988" name="图片 6" descr="D:\Users\chengcai\桌面\1.jpg"/>
                    <pic:cNvPicPr>
                      <a:picLocks noChangeAspect="1"/>
                    </pic:cNvPicPr>
                  </pic:nvPicPr>
                  <pic:blipFill>
                    <a:blip xmlns:r="http://schemas.openxmlformats.org/officeDocument/2006/relationships" r:embed="rId6"/>
                    <a:stretch>
                      <a:fillRect/>
                    </a:stretch>
                  </pic:blipFill>
                  <pic:spPr>
                    <a:xfrm>
                      <a:off x="0" y="0"/>
                      <a:ext cx="1771650" cy="419100"/>
                    </a:xfrm>
                    <a:prstGeom prst="rect">
                      <a:avLst/>
                    </a:prstGeom>
                    <a:noFill/>
                    <a:ln>
                      <a:noFill/>
                    </a:ln>
                  </pic:spPr>
                </pic:pic>
              </a:graphicData>
            </a:graphic>
          </wp:inline>
        </w:drawing>
      </w:r>
    </w:p>
    <w:p w:rsidR="00676F42">
      <w:pPr>
        <w:spacing w:line="360" w:lineRule="auto"/>
        <w:ind w:firstLine="480" w:firstLineChars="200"/>
        <w:rPr>
          <w:rFonts w:ascii="宋体" w:hAnsi="宋体" w:cs="宋体"/>
          <w:sz w:val="24"/>
          <w:lang w:eastAsia="zh-CN"/>
        </w:rPr>
      </w:pPr>
      <w:r>
        <w:rPr>
          <w:rFonts w:ascii="宋体" w:hAnsi="宋体" w:cs="宋体"/>
          <w:sz w:val="24"/>
          <w:highlight w:val="white"/>
          <w:lang w:eastAsia="zh-CN"/>
        </w:rPr>
        <w:t>每笔基金份额扣除超额管理费后的持有期间年化收益率（R*）的计算方法如下：</w:t>
      </w:r>
    </w:p>
    <w:p w:rsidR="00676F42">
      <w:pPr>
        <w:spacing w:line="360" w:lineRule="auto"/>
        <w:ind w:firstLine="480" w:firstLineChars="200"/>
        <w:rPr>
          <w:bCs/>
          <w:sz w:val="24"/>
        </w:rPr>
      </w:pPr>
      <w:r>
        <w:rPr>
          <w:noProof/>
          <w:sz w:val="24"/>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58373" name="图片 7" descr="D:\Users\chengcai\桌面\2.jpg"/>
                    <pic:cNvPicPr>
                      <a:picLocks noChangeAspect="1"/>
                    </pic:cNvPicPr>
                  </pic:nvPicPr>
                  <pic:blipFill>
                    <a:blip xmlns:r="http://schemas.openxmlformats.org/officeDocument/2006/relationships" r:embed="rId7"/>
                    <a:stretch>
                      <a:fillRect/>
                    </a:stretch>
                  </pic:blipFill>
                  <pic:spPr>
                    <a:xfrm>
                      <a:off x="0" y="0"/>
                      <a:ext cx="2609848" cy="438149"/>
                    </a:xfrm>
                    <a:prstGeom prst="rect">
                      <a:avLst/>
                    </a:prstGeom>
                    <a:noFill/>
                    <a:ln>
                      <a:noFill/>
                    </a:ln>
                  </pic:spPr>
                </pic:pic>
              </a:graphicData>
            </a:graphic>
          </wp:inline>
        </w:drawing>
      </w:r>
    </w:p>
    <w:p w:rsidR="00676F42">
      <w:pPr>
        <w:snapToGrid w:val="0"/>
        <w:ind w:firstLine="480"/>
        <w:rPr>
          <w:rFonts w:ascii="宋体" w:hAnsi="宋体" w:cs="宋体"/>
          <w:sz w:val="24"/>
          <w:lang w:eastAsia="zh-CN"/>
        </w:rPr>
      </w:pPr>
      <w:bookmarkStart w:id="90" w:name="_Hlk195865107"/>
      <w:bookmarkEnd w:id="90"/>
      <w:r>
        <w:rPr>
          <w:rFonts w:ascii="宋体" w:hAnsi="宋体" w:cs="宋体"/>
          <w:sz w:val="24"/>
          <w:highlight w:val="white"/>
          <w:lang w:eastAsia="zh-CN"/>
        </w:rPr>
        <w:t>R为该笔基金份额持有期间年化收益率；Rb为本基金业绩比较基准同期年化收益率；</w:t>
      </w:r>
    </w:p>
    <w:p w:rsidR="00676F42">
      <w:pPr>
        <w:snapToGrid w:val="0"/>
        <w:ind w:firstLine="480"/>
        <w:rPr>
          <w:rFonts w:ascii="宋体" w:hAnsi="宋体" w:cs="宋体"/>
          <w:sz w:val="24"/>
          <w:lang w:eastAsia="zh-CN"/>
        </w:rPr>
      </w:pPr>
      <w:r>
        <w:rPr>
          <w:rFonts w:ascii="宋体" w:hAnsi="宋体" w:cs="宋体"/>
          <w:sz w:val="24"/>
          <w:highlight w:val="white"/>
          <w:lang w:eastAsia="zh-CN"/>
        </w:rPr>
        <w:t>A为该笔基金份额赎回/转换转出申请日或基金合同终止情形发生日的基金份额累计净值；</w:t>
      </w:r>
    </w:p>
    <w:p w:rsidR="00676F42">
      <w:pPr>
        <w:snapToGrid w:val="0"/>
        <w:ind w:firstLine="480"/>
        <w:rPr>
          <w:rFonts w:ascii="宋体" w:hAnsi="宋体" w:cs="宋体"/>
          <w:sz w:val="24"/>
          <w:lang w:eastAsia="zh-CN"/>
        </w:rPr>
      </w:pPr>
      <w:r>
        <w:rPr>
          <w:rFonts w:ascii="宋体" w:hAnsi="宋体" w:cs="宋体"/>
          <w:sz w:val="24"/>
          <w:highlight w:val="white"/>
          <w:lang w:eastAsia="zh-CN"/>
        </w:rPr>
        <w:t>B为该笔基金份额认购/申购/转换转入申请日的基金份额累计净值，其中份额认购日的基金份额累计净值为1.0000元；</w:t>
      </w:r>
    </w:p>
    <w:p w:rsidR="00676F42">
      <w:pPr>
        <w:snapToGrid w:val="0"/>
        <w:ind w:firstLine="480"/>
        <w:rPr>
          <w:rFonts w:ascii="宋体" w:hAnsi="宋体" w:cs="宋体"/>
          <w:sz w:val="24"/>
          <w:lang w:eastAsia="zh-CN"/>
        </w:rPr>
      </w:pPr>
      <w:r>
        <w:rPr>
          <w:rFonts w:ascii="宋体" w:hAnsi="宋体" w:cs="宋体"/>
          <w:sz w:val="24"/>
          <w:highlight w:val="white"/>
          <w:lang w:eastAsia="zh-CN"/>
        </w:rPr>
        <w:t>C为该笔基金份额认购/申购/转换转入申请日的基金份额净值，其中份额认购日的基金份额净值为1.0000元；</w:t>
      </w:r>
    </w:p>
    <w:p w:rsidR="00676F42">
      <w:pPr>
        <w:snapToGrid w:val="0"/>
        <w:ind w:firstLine="480"/>
        <w:rPr>
          <w:rFonts w:ascii="宋体" w:hAnsi="宋体" w:cs="宋体"/>
          <w:sz w:val="24"/>
          <w:lang w:eastAsia="zh-CN"/>
        </w:rPr>
      </w:pPr>
      <w:r>
        <w:rPr>
          <w:rFonts w:ascii="宋体" w:hAnsi="宋体" w:cs="宋体"/>
          <w:sz w:val="24"/>
          <w:highlight w:val="white"/>
          <w:lang w:eastAsia="zh-CN"/>
        </w:rPr>
        <w:t>D为基金合同生效日（针对募集期内认购的基金份额）或该笔基金份额申购、转入确认日与赎回、转出确认日或基金合同终止情形发生日下一工作日的间隔天数；</w:t>
      </w:r>
    </w:p>
    <w:p w:rsidR="00676F42">
      <w:pPr>
        <w:snapToGrid w:val="0"/>
        <w:ind w:firstLine="480"/>
        <w:rPr>
          <w:rFonts w:ascii="宋体" w:hAnsi="宋体" w:cs="宋体"/>
          <w:sz w:val="24"/>
          <w:lang w:eastAsia="zh-CN"/>
        </w:rPr>
      </w:pPr>
      <w:r>
        <w:rPr>
          <w:rFonts w:ascii="宋体" w:hAnsi="宋体" w:cs="宋体"/>
          <w:sz w:val="24"/>
          <w:highlight w:val="white"/>
          <w:lang w:eastAsia="zh-CN"/>
        </w:rPr>
        <w:t>F为该笔基金份额的份额数；</w:t>
      </w:r>
    </w:p>
    <w:p w:rsidR="00676F42">
      <w:pPr>
        <w:snapToGrid w:val="0"/>
        <w:ind w:firstLine="480"/>
        <w:rPr>
          <w:rFonts w:ascii="宋体" w:hAnsi="宋体" w:cs="宋体"/>
          <w:sz w:val="24"/>
          <w:lang w:eastAsia="zh-CN"/>
        </w:rPr>
      </w:pPr>
      <w:r>
        <w:rPr>
          <w:rFonts w:ascii="宋体" w:hAnsi="宋体" w:cs="宋体"/>
          <w:noProof/>
          <w:sz w:val="24"/>
          <w:lang w:eastAsia="zh-CN"/>
        </w:rPr>
        <w:drawing>
          <wp:inline distT="0" distB="0" distL="0" distR="0">
            <wp:extent cx="182880" cy="1403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23646" name="图片 1"/>
                    <pic:cNvPicPr>
                      <a:picLocks noChangeAspect="1"/>
                    </pic:cNvPicPr>
                  </pic:nvPicPr>
                  <pic:blipFill>
                    <a:blip xmlns:r="http://schemas.openxmlformats.org/officeDocument/2006/relationships" r:embed="rId8"/>
                    <a:stretch>
                      <a:fillRect/>
                    </a:stretch>
                  </pic:blipFill>
                  <pic:spPr>
                    <a:xfrm>
                      <a:off x="0" y="0"/>
                      <a:ext cx="191142" cy="146542"/>
                    </a:xfrm>
                    <a:prstGeom prst="rect">
                      <a:avLst/>
                    </a:prstGeom>
                  </pic:spPr>
                </pic:pic>
              </a:graphicData>
            </a:graphic>
          </wp:inline>
        </w:drawing>
      </w:r>
      <w:r>
        <w:rPr>
          <w:rFonts w:ascii="宋体" w:hAnsi="宋体" w:cs="宋体"/>
          <w:sz w:val="24"/>
          <w:highlight w:val="white"/>
          <w:lang w:eastAsia="zh-CN"/>
        </w:rPr>
        <w:t>为该笔基金份额持有期间拟扣除的超额管理费。</w:t>
      </w:r>
    </w:p>
    <w:p w:rsidR="00676F42">
      <w:pPr>
        <w:snapToGrid w:val="0"/>
        <w:ind w:firstLine="480"/>
        <w:rPr>
          <w:rFonts w:ascii="宋体" w:hAnsi="宋体" w:cs="宋体"/>
          <w:sz w:val="24"/>
          <w:lang w:eastAsia="zh-CN"/>
        </w:rPr>
      </w:pPr>
      <w:r>
        <w:rPr>
          <w:rFonts w:ascii="宋体" w:hAnsi="宋体" w:cs="宋体"/>
          <w:sz w:val="24"/>
          <w:highlight w:val="white"/>
          <w:lang w:eastAsia="zh-CN"/>
        </w:rPr>
        <w:t>对于已经确认为管理人收入的或有管理费和超额管理费，由基金托管人根据与基金管理人核对一致的财务数据，按照与基金管理人协商一致的方式于次月前5个工作日内支付。若遇法定节假日、公休日等，支付日期顺延。</w:t>
      </w:r>
    </w:p>
    <w:p w:rsidR="00676F42">
      <w:pPr>
        <w:snapToGrid w:val="0"/>
        <w:ind w:firstLine="480"/>
        <w:rPr>
          <w:rFonts w:ascii="宋体" w:hAnsi="宋体" w:cs="宋体"/>
          <w:sz w:val="24"/>
          <w:lang w:eastAsia="zh-CN"/>
        </w:rPr>
      </w:pPr>
      <w:r>
        <w:rPr>
          <w:rFonts w:ascii="宋体" w:hAnsi="宋体" w:cs="宋体"/>
          <w:sz w:val="24"/>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676F42">
      <w:pPr>
        <w:snapToGrid w:val="0"/>
        <w:ind w:firstLine="480"/>
        <w:rPr>
          <w:rFonts w:ascii="宋体" w:hAnsi="宋体" w:cs="宋体"/>
          <w:sz w:val="24"/>
          <w:lang w:eastAsia="zh-CN"/>
        </w:rPr>
      </w:pPr>
      <w:r>
        <w:rPr>
          <w:rFonts w:ascii="宋体" w:hAnsi="宋体" w:cs="宋体"/>
          <w:sz w:val="24"/>
          <w:highlight w:val="white"/>
          <w:lang w:eastAsia="zh-CN"/>
        </w:rPr>
        <w:t>确认为管理人收入的或有管理费和超额管理费金额、返还投资者的或有管理费金额以登记机构的计算结果为准。</w:t>
      </w:r>
    </w:p>
    <w:p w:rsidR="00676F42">
      <w:pPr>
        <w:snapToGrid w:val="0"/>
        <w:ind w:firstLine="480"/>
        <w:rPr>
          <w:rFonts w:ascii="宋体" w:hAnsi="宋体" w:cs="宋体"/>
          <w:sz w:val="24"/>
          <w:lang w:eastAsia="zh-CN"/>
        </w:rPr>
      </w:pPr>
      <w:r>
        <w:rPr>
          <w:rFonts w:ascii="宋体" w:hAnsi="宋体" w:cs="宋体"/>
          <w:sz w:val="24"/>
          <w:highlight w:val="white"/>
          <w:lang w:eastAsia="zh-CN"/>
        </w:rPr>
        <w:t>本基金实施侧袋机制的，上述有关约定仅适用于主袋账户。</w:t>
      </w:r>
    </w:p>
    <w:p w:rsidR="00676F42">
      <w:pPr>
        <w:ind w:firstLine="480"/>
        <w:rPr>
          <w:rFonts w:ascii="宋体" w:hAnsi="宋体" w:cs="宋体"/>
          <w:sz w:val="24"/>
          <w:lang w:eastAsia="zh-CN"/>
        </w:rPr>
      </w:pP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（二）基金托管费的计提比例和计提方法</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本基金的托管费按前一日基金资产净值的0.20%年费率计提。托管费的计算方法如下：</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H＝E×0.20%÷当年天数</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H为每日应计提的基金托管费</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E为前一日的基金资产净值</w:t>
      </w:r>
    </w:p>
    <w:p w:rsidR="00676F42">
      <w:pPr>
        <w:snapToGrid w:val="0"/>
        <w:ind w:firstLine="480"/>
        <w:rPr>
          <w:rFonts w:ascii="宋体" w:hAnsi="宋体" w:cs="宋体"/>
          <w:sz w:val="24"/>
          <w:lang w:eastAsia="zh-CN"/>
        </w:rPr>
      </w:pP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（三）基金销售服务费的计提比例和计提方法</w:t>
      </w:r>
    </w:p>
    <w:p w:rsidR="00676F42">
      <w:pPr>
        <w:snapToGrid w:val="0"/>
        <w:ind w:firstLine="480"/>
        <w:rPr>
          <w:rFonts w:ascii="宋体" w:hAnsi="宋体" w:cs="宋体"/>
          <w:sz w:val="24"/>
          <w:lang w:eastAsia="zh-CN"/>
        </w:rPr>
      </w:pPr>
      <w:r>
        <w:rPr>
          <w:rFonts w:ascii="宋体" w:hAnsi="宋体" w:cs="宋体"/>
          <w:sz w:val="24"/>
          <w:highlight w:val="white"/>
          <w:lang w:eastAsia="zh-CN"/>
        </w:rPr>
        <w:t>本基金A类基金份额不收取销售服务费，C类基金份额的销售服务费年费率为0.</w:t>
      </w:r>
      <w:r w:rsidR="00BB2E27">
        <w:rPr>
          <w:rFonts w:ascii="宋体" w:hAnsi="宋体" w:cs="宋体"/>
          <w:sz w:val="24"/>
          <w:highlight w:val="white"/>
          <w:lang w:eastAsia="zh-CN"/>
        </w:rPr>
        <w:t>40</w:t>
      </w:r>
      <w:r>
        <w:rPr>
          <w:rFonts w:ascii="宋体" w:hAnsi="宋体" w:cs="宋体"/>
          <w:sz w:val="24"/>
          <w:highlight w:val="white"/>
          <w:lang w:eastAsia="zh-CN"/>
        </w:rPr>
        <w:t>%，按C类基金份额前一日基金资产净值的0.</w:t>
      </w:r>
      <w:r w:rsidR="00BB2E27">
        <w:rPr>
          <w:rFonts w:ascii="宋体" w:hAnsi="宋体" w:cs="宋体"/>
          <w:sz w:val="24"/>
          <w:highlight w:val="white"/>
          <w:lang w:eastAsia="zh-CN"/>
        </w:rPr>
        <w:t>40</w:t>
      </w:r>
      <w:r>
        <w:rPr>
          <w:rFonts w:ascii="宋体" w:hAnsi="宋体" w:cs="宋体"/>
          <w:sz w:val="24"/>
          <w:highlight w:val="white"/>
          <w:lang w:eastAsia="zh-CN"/>
        </w:rPr>
        <w:t>%年费率计提。</w:t>
      </w:r>
    </w:p>
    <w:p w:rsidR="00676F42">
      <w:pPr>
        <w:snapToGrid w:val="0"/>
        <w:ind w:firstLine="480"/>
        <w:rPr>
          <w:rFonts w:ascii="宋体" w:hAnsi="宋体" w:cs="宋体"/>
          <w:sz w:val="24"/>
          <w:lang w:eastAsia="zh-CN"/>
        </w:rPr>
      </w:pPr>
      <w:r>
        <w:rPr>
          <w:rFonts w:ascii="宋体" w:hAnsi="宋体" w:cs="宋体"/>
          <w:sz w:val="24"/>
          <w:highlight w:val="white"/>
          <w:lang w:eastAsia="zh-CN"/>
        </w:rPr>
        <w:t>销售服务费的计算方法如下：</w:t>
      </w:r>
    </w:p>
    <w:p w:rsidR="00676F42">
      <w:pPr>
        <w:snapToGrid w:val="0"/>
        <w:ind w:firstLine="480"/>
        <w:rPr>
          <w:rFonts w:ascii="宋体" w:hAnsi="宋体" w:cs="宋体"/>
          <w:sz w:val="24"/>
          <w:lang w:eastAsia="zh-CN"/>
        </w:rPr>
      </w:pPr>
      <w:r>
        <w:rPr>
          <w:rFonts w:ascii="宋体" w:hAnsi="宋体" w:cs="宋体"/>
          <w:sz w:val="24"/>
          <w:highlight w:val="white"/>
          <w:lang w:eastAsia="zh-CN"/>
        </w:rPr>
        <w:t>H＝E×0.</w:t>
      </w:r>
      <w:r w:rsidR="00BB2E27">
        <w:rPr>
          <w:rFonts w:ascii="宋体" w:hAnsi="宋体" w:cs="宋体"/>
          <w:sz w:val="24"/>
          <w:highlight w:val="white"/>
          <w:lang w:eastAsia="zh-CN"/>
        </w:rPr>
        <w:t>40</w:t>
      </w:r>
      <w:r>
        <w:rPr>
          <w:rFonts w:ascii="宋体" w:hAnsi="宋体" w:cs="宋体"/>
          <w:sz w:val="24"/>
          <w:highlight w:val="white"/>
          <w:lang w:eastAsia="zh-CN"/>
        </w:rPr>
        <w:t>%÷当年天数</w:t>
      </w:r>
    </w:p>
    <w:p w:rsidR="00676F42">
      <w:pPr>
        <w:snapToGrid w:val="0"/>
        <w:ind w:firstLine="480"/>
        <w:rPr>
          <w:rFonts w:ascii="宋体" w:hAnsi="宋体" w:cs="宋体"/>
          <w:sz w:val="24"/>
          <w:lang w:eastAsia="zh-CN"/>
        </w:rPr>
      </w:pPr>
      <w:r>
        <w:rPr>
          <w:rFonts w:ascii="宋体" w:hAnsi="宋体" w:cs="宋体"/>
          <w:sz w:val="24"/>
          <w:highlight w:val="white"/>
          <w:lang w:eastAsia="zh-CN"/>
        </w:rPr>
        <w:t>H 为C类基金份额每日应计提的销售服务费</w:t>
      </w:r>
    </w:p>
    <w:p w:rsidR="00E2342F" w:rsidP="00E2342F">
      <w:pPr>
        <w:snapToGrid w:val="0"/>
        <w:ind w:firstLine="480"/>
        <w:rPr>
          <w:rFonts w:ascii="宋体" w:hAnsi="宋体" w:cs="宋体"/>
          <w:sz w:val="24"/>
          <w:lang w:eastAsia="zh-CN"/>
        </w:rPr>
      </w:pPr>
      <w:r>
        <w:rPr>
          <w:rFonts w:ascii="宋体" w:hAnsi="宋体" w:cs="宋体"/>
          <w:sz w:val="24"/>
          <w:highlight w:val="white"/>
          <w:lang w:eastAsia="zh-CN"/>
        </w:rPr>
        <w:t>E 为C类基金份额前一日的基金资产净值</w:t>
      </w:r>
    </w:p>
    <w:p w:rsidR="00676F42">
      <w:pPr>
        <w:snapToGrid w:val="0"/>
        <w:ind w:firstLine="480"/>
        <w:rPr>
          <w:rFonts w:ascii="宋体" w:hAnsi="宋体" w:cs="宋体"/>
          <w:sz w:val="24"/>
          <w:lang w:eastAsia="zh-CN"/>
        </w:rPr>
      </w:pP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证券账户开户费用、证券交易费用、因投资港股通股票而产生的各项合理费用、基金的银行汇划费用、银行账户维护费用、《基金合同》生效后与基金相关的信息披露费用（但法律法规、中国证监会另有规定的除外）、基金份额持有人大会费用、《基金合同》生效后与基金有关的会计师费、律师费、诉讼费和仲裁费等根据有关法律法规、《基金合同》及相应协议的规定，列入当期基金费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（五）不列入基金费用的项目</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（六）基金管理费、基金托管费和销售服务费的复核程序、支付方式和时间</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1.复核程序</w:t>
      </w:r>
    </w:p>
    <w:p w:rsidR="00676F42" w:rsidRPr="003234C8">
      <w:pPr>
        <w:snapToGrid w:val="0"/>
        <w:ind w:firstLine="480"/>
        <w:rPr>
          <w:rFonts w:ascii="宋体" w:hAnsi="宋体" w:cs="宋体"/>
          <w:sz w:val="24"/>
          <w:lang w:eastAsia="zh-CN"/>
        </w:rPr>
      </w:pPr>
      <w:r>
        <w:rPr>
          <w:rFonts w:ascii="宋体" w:hAnsi="宋体" w:cs="宋体" w:hint="eastAsia"/>
          <w:sz w:val="24"/>
          <w:highlight w:val="white"/>
          <w:lang w:eastAsia="zh-CN"/>
        </w:rPr>
        <w:t>基金托管人对基金管理人计提的基金管理费、基金托管费和销售服务费等，根据本托管协议和《基金合同》的有关规定进行复核。因涉及相关数据，基金管理人或有管理费的归属确认和超额管理费的计算工作由基金管理人完成，相关信息以注册登记机构计算结果为准，基金托管人不承担复核责任。</w:t>
      </w:r>
      <w:r w:rsidRPr="003234C8" w:rsidR="003234C8">
        <w:rPr>
          <w:rFonts w:ascii="宋体" w:hAnsi="宋体" w:cs="宋体" w:hint="eastAsia"/>
          <w:sz w:val="24"/>
          <w:lang w:eastAsia="zh-CN"/>
        </w:rPr>
        <w:t>因涉及相关数据，应付销售服务费的计算工作由基金管理人完成，相关信息以注册登记机构计算结果为准，基金托管人不承担复核责任。</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2.支付方式和时间</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基金管理费的固定管理费、基金托管费</w:t>
      </w:r>
      <w:r>
        <w:rPr>
          <w:rFonts w:ascii="宋体" w:hAnsi="宋体" w:cs="宋体"/>
          <w:sz w:val="24"/>
          <w:highlight w:val="white"/>
          <w:lang w:eastAsia="zh-CN"/>
        </w:rPr>
        <w:t>每日计提，逐日累计至每月月末，按月支付，由基金托管人根据与基金管理人核对一致的财务数据，自动在次月前5个工作日内、按照指定的账户路径进行资金支付，管理人无需再出具资金划拨指令。若遇法定节假日、公休日等，支付日期顺延。费用自动扣划后，管理人应进行核对，如发现数据不符，及时联系托管人协商解决</w:t>
      </w:r>
      <w:r>
        <w:rPr>
          <w:rFonts w:ascii="宋体" w:hAnsi="宋体" w:cs="宋体" w:hint="eastAsia"/>
          <w:sz w:val="24"/>
          <w:highlight w:val="white"/>
          <w:lang w:eastAsia="zh-CN"/>
        </w:rPr>
        <w:t>。</w:t>
      </w:r>
    </w:p>
    <w:p w:rsidR="00BB2E27" w:rsidRPr="00BB2E27" w:rsidP="00BB2E27">
      <w:pPr>
        <w:snapToGrid w:val="0"/>
        <w:ind w:firstLine="480"/>
        <w:rPr>
          <w:rFonts w:ascii="宋体" w:hAnsi="宋体" w:cs="宋体"/>
          <w:sz w:val="24"/>
          <w:lang w:eastAsia="zh-CN"/>
        </w:rPr>
      </w:pPr>
      <w:r w:rsidRPr="00BB2E27">
        <w:rPr>
          <w:rFonts w:ascii="宋体" w:hAnsi="宋体" w:cs="宋体" w:hint="eastAsia"/>
          <w:sz w:val="24"/>
          <w:lang w:eastAsia="zh-CN"/>
        </w:rPr>
        <w:t>销售服务费每日计提，具体如下：</w:t>
      </w:r>
    </w:p>
    <w:p w:rsidR="00BB2E27" w:rsidRPr="00BB2E27" w:rsidP="00BB2E27">
      <w:pPr>
        <w:snapToGrid w:val="0"/>
        <w:ind w:firstLine="480"/>
        <w:rPr>
          <w:rFonts w:ascii="宋体" w:hAnsi="宋体" w:cs="宋体"/>
          <w:sz w:val="24"/>
          <w:lang w:eastAsia="zh-CN"/>
        </w:rPr>
      </w:pPr>
      <w:r w:rsidRPr="00BB2E27">
        <w:rPr>
          <w:rFonts w:ascii="宋体" w:hAnsi="宋体" w:cs="宋体" w:hint="eastAsia"/>
          <w:sz w:val="24"/>
          <w:lang w:eastAsia="zh-CN"/>
        </w:rPr>
        <w:t>（1）通过基金管理人或其基金销售子公司投资的C类基金份额</w:t>
      </w:r>
    </w:p>
    <w:p w:rsidR="00BB2E27" w:rsidRPr="00BB2E27" w:rsidP="00BB2E27">
      <w:pPr>
        <w:snapToGrid w:val="0"/>
        <w:ind w:firstLine="480"/>
        <w:rPr>
          <w:rFonts w:ascii="宋体" w:hAnsi="宋体" w:cs="宋体"/>
          <w:sz w:val="24"/>
          <w:lang w:eastAsia="zh-CN"/>
        </w:rPr>
      </w:pPr>
      <w:r w:rsidRPr="00BB2E27">
        <w:rPr>
          <w:rFonts w:ascii="宋体" w:hAnsi="宋体" w:cs="宋体" w:hint="eastAsia"/>
          <w:sz w:val="24"/>
          <w:lang w:eastAsia="zh-CN"/>
        </w:rPr>
        <w:t>对于基金份额计提的销售服务费，在投资者赎回基金份额或基金合同终止时，随赎回款（或清算款）一并返还给投资者。</w:t>
      </w:r>
    </w:p>
    <w:p w:rsidR="00BB2E27" w:rsidRPr="00BB2E27" w:rsidP="00BB2E27">
      <w:pPr>
        <w:snapToGrid w:val="0"/>
        <w:ind w:firstLine="480"/>
        <w:rPr>
          <w:rFonts w:ascii="宋体" w:hAnsi="宋体" w:cs="宋体"/>
          <w:sz w:val="24"/>
          <w:lang w:eastAsia="zh-CN"/>
        </w:rPr>
      </w:pPr>
      <w:r w:rsidRPr="00BB2E27">
        <w:rPr>
          <w:rFonts w:ascii="宋体" w:hAnsi="宋体" w:cs="宋体" w:hint="eastAsia"/>
          <w:sz w:val="24"/>
          <w:lang w:eastAsia="zh-CN"/>
        </w:rPr>
        <w:t>（2）通过其他销售机构投资的C类基金份额</w:t>
      </w:r>
    </w:p>
    <w:p w:rsidR="00BB2E27" w:rsidRPr="003234C8" w:rsidP="00BB2E27">
      <w:pPr>
        <w:snapToGrid w:val="0"/>
        <w:ind w:firstLine="480"/>
        <w:rPr>
          <w:rFonts w:ascii="宋体" w:hAnsi="宋体" w:cs="宋体"/>
          <w:sz w:val="24"/>
          <w:lang w:eastAsia="zh-CN"/>
        </w:rPr>
      </w:pPr>
      <w:r w:rsidRPr="003234C8">
        <w:rPr>
          <w:rFonts w:ascii="宋体" w:hAnsi="宋体" w:cs="宋体" w:hint="eastAsia"/>
          <w:sz w:val="24"/>
          <w:lang w:eastAsia="zh-CN"/>
        </w:rPr>
        <w:t>对于投资者持续持有期限不超过一年（即365天，下同）的基金份额计提的销售服务费，自动在次月前5个工作日内、按照指定的账户路径进行资金支付，管理人无需再出具资金划拨指令。若遇法定节假日、公休日等，支付日期顺延。费用自动扣划后，管理人应进行核对，如发现数据不符，及时联系托管人协商解决。</w:t>
      </w:r>
    </w:p>
    <w:p w:rsidR="00BB2E27" w:rsidRPr="00BB2E27" w:rsidP="00BB2E27">
      <w:pPr>
        <w:snapToGrid w:val="0"/>
        <w:ind w:firstLine="480"/>
        <w:rPr>
          <w:rFonts w:ascii="宋体" w:hAnsi="宋体" w:cs="宋体"/>
          <w:sz w:val="24"/>
          <w:lang w:eastAsia="zh-CN"/>
        </w:rPr>
      </w:pPr>
      <w:r w:rsidRPr="00BB2E27">
        <w:rPr>
          <w:rFonts w:ascii="宋体" w:hAnsi="宋体" w:cs="宋体" w:hint="eastAsia"/>
          <w:sz w:val="24"/>
          <w:lang w:eastAsia="zh-CN"/>
        </w:rPr>
        <w:t>对于持续持有期限超过一年的基金份额继续计提的销售服务费，在投资者赎回基金份额或基金合同终止时，随赎回款（或清算款）一并返还给投资者。</w:t>
      </w:r>
    </w:p>
    <w:p w:rsidR="00BB2E27" w:rsidP="00BB2E27">
      <w:pPr>
        <w:snapToGrid w:val="0"/>
        <w:ind w:firstLine="480"/>
        <w:rPr>
          <w:rFonts w:ascii="宋体" w:hAnsi="宋体" w:cs="宋体"/>
          <w:sz w:val="24"/>
          <w:lang w:eastAsia="zh-CN"/>
        </w:rPr>
      </w:pPr>
      <w:r w:rsidRPr="00BB2E27">
        <w:rPr>
          <w:rFonts w:ascii="宋体" w:hAnsi="宋体" w:cs="宋体" w:hint="eastAsia"/>
          <w:sz w:val="24"/>
          <w:lang w:eastAsia="zh-CN"/>
        </w:rPr>
        <w:t>销售服务费计提后按规定收取或返还投资者的金额以登记机构的计算结果为准。</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在首期支付基金管理费、销售服务费前，基金管理人应向基金托管人出具正式函件指定基金管理费、销售服务费的收款账户。基金管理人如需要变更此账户，应提前5个工作日向基金托管人出具书面的收款账户变更通知。</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（七）违规处理方式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托管人发现基金管理人违反《基金法》、《基金合同》、《运作办法》及其他有关规定从基金财产中列支费用时，基金托管人可要求基金管理人予以说明解释，如基金管理人无正当理由，基金托管人可拒绝支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（八）实施侧袋机制期间的基金费用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rsidR="00676F42">
      <w:pPr>
        <w:snapToGrid w:val="0"/>
        <w:ind w:firstLine="480"/>
        <w:rPr>
          <w:rFonts w:ascii="宋体" w:hAnsi="宋体" w:cs="宋体"/>
          <w:sz w:val="24"/>
          <w:lang w:eastAsia="zh-CN"/>
        </w:rPr>
      </w:pPr>
    </w:p>
    <w:p w:rsidR="00676F42">
      <w:pPr>
        <w:snapToGrid w:val="0"/>
        <w:rPr>
          <w:rFonts w:ascii="宋体" w:hAnsi="宋体" w:cs="宋体"/>
          <w:sz w:val="24"/>
          <w:lang w:eastAsia="zh-CN"/>
        </w:rPr>
      </w:pPr>
    </w:p>
    <w:p w:rsidR="00676F42">
      <w:pPr>
        <w:pStyle w:val="21"/>
        <w:jc w:val="center"/>
        <w:rPr>
          <w:rFonts w:ascii="宋体" w:eastAsia="宋体" w:hAnsi="宋体" w:cs="宋体"/>
          <w:sz w:val="30"/>
          <w:lang w:eastAsia="zh-CN"/>
        </w:rPr>
      </w:pPr>
      <w:bookmarkStart w:id="91" w:name="_Toc68875914"/>
      <w:r>
        <w:rPr>
          <w:rFonts w:ascii="宋体" w:eastAsia="宋体" w:hAnsi="宋体" w:cs="宋体" w:hint="eastAsia"/>
          <w:sz w:val="30"/>
          <w:highlight w:val="white"/>
          <w:lang w:eastAsia="zh-CN"/>
        </w:rPr>
        <w:t>十二、基金份额持有人名册的保管</w:t>
      </w:r>
      <w:bookmarkEnd w:id="91"/>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ascii="宋体" w:hAnsi="宋体" w:cs="宋体"/>
          <w:sz w:val="24"/>
          <w:highlight w:val="white"/>
          <w:lang w:eastAsia="zh-CN"/>
        </w:rPr>
        <w:t>20</w:t>
      </w:r>
      <w:r>
        <w:rPr>
          <w:rFonts w:ascii="宋体" w:hAnsi="宋体" w:cs="宋体" w:hint="eastAsia"/>
          <w:sz w:val="24"/>
          <w:highlight w:val="white"/>
          <w:lang w:eastAsia="zh-CN"/>
        </w:rPr>
        <w:t>年。如不能妥善保管，则按相关法规承担责任。</w:t>
      </w:r>
    </w:p>
    <w:p w:rsidR="00676F42">
      <w:pPr>
        <w:snapToGrid w:val="0"/>
        <w:ind w:firstLine="480"/>
        <w:rPr>
          <w:rFonts w:ascii="宋体" w:hAnsi="宋体" w:cs="宋体"/>
          <w:sz w:val="24"/>
          <w:lang w:eastAsia="zh-CN"/>
        </w:rPr>
      </w:pPr>
      <w:r>
        <w:rPr>
          <w:rFonts w:ascii="宋体" w:hAnsi="宋体" w:cs="宋体"/>
          <w:sz w:val="24"/>
          <w:highlight w:val="white"/>
          <w:lang w:eastAsia="zh-CN"/>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676F42">
      <w:pPr>
        <w:snapToGrid w:val="0"/>
        <w:ind w:firstLine="480"/>
        <w:rPr>
          <w:rFonts w:ascii="宋体" w:hAnsi="宋体" w:cs="宋体"/>
          <w:sz w:val="24"/>
          <w:lang w:eastAsia="zh-CN"/>
        </w:rPr>
      </w:pPr>
    </w:p>
    <w:p w:rsidR="00676F42">
      <w:pPr>
        <w:pStyle w:val="21"/>
        <w:jc w:val="center"/>
        <w:rPr>
          <w:rFonts w:ascii="宋体" w:eastAsia="宋体" w:hAnsi="宋体" w:cs="宋体"/>
          <w:sz w:val="30"/>
          <w:lang w:eastAsia="zh-CN"/>
        </w:rPr>
      </w:pPr>
      <w:bookmarkStart w:id="92" w:name="_Toc68875915"/>
      <w:r>
        <w:rPr>
          <w:rFonts w:ascii="宋体" w:eastAsia="宋体" w:hAnsi="宋体" w:cs="宋体" w:hint="eastAsia"/>
          <w:sz w:val="30"/>
          <w:highlight w:val="white"/>
          <w:lang w:eastAsia="zh-CN"/>
        </w:rPr>
        <w:t>十三、基金有关文件档案的保存</w:t>
      </w:r>
      <w:bookmarkEnd w:id="92"/>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（一）档案保存</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 年。</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（二）合同档案的建立</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1.基金管理人签署重大合同文本后，应及时将合同文本正本送达基金托管人处。</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2.基金管理人应及时将与本基金账务处理、资金划拨等有关的合同、协议传真基金托管人。</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（三）变更与协助</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若基金管理人/基金托管人发生变更，未变更的一方有义务协助变更后的接任人接收相应文件。</w:t>
      </w:r>
    </w:p>
    <w:p w:rsidR="00676F42">
      <w:pPr>
        <w:snapToGrid w:val="0"/>
        <w:ind w:firstLine="480"/>
        <w:outlineLvl w:val="0"/>
        <w:rPr>
          <w:rFonts w:ascii="宋体" w:hAnsi="宋体" w:cs="宋体"/>
          <w:sz w:val="24"/>
          <w:lang w:eastAsia="zh-CN"/>
        </w:rPr>
      </w:pPr>
      <w:r>
        <w:rPr>
          <w:rFonts w:ascii="宋体" w:hAnsi="宋体" w:cs="宋体" w:hint="eastAsia"/>
          <w:sz w:val="24"/>
          <w:highlight w:val="white"/>
          <w:lang w:eastAsia="zh-CN"/>
        </w:rPr>
        <w:t>（四）基金管理人和基金托管人应按各自职责完整保存原始凭证、记账凭证、基金账册、交易记录和重要合同等，承担保密义务并保存至少20年。</w:t>
      </w:r>
    </w:p>
    <w:p w:rsidR="00676F42">
      <w:pPr>
        <w:snapToGrid w:val="0"/>
        <w:rPr>
          <w:rFonts w:ascii="宋体" w:hAnsi="宋体" w:cs="宋体"/>
          <w:sz w:val="30"/>
          <w:szCs w:val="30"/>
          <w:lang w:eastAsia="zh-CN"/>
        </w:rPr>
      </w:pPr>
    </w:p>
    <w:p w:rsidR="00676F42">
      <w:pPr>
        <w:pStyle w:val="21"/>
        <w:jc w:val="center"/>
        <w:rPr>
          <w:rFonts w:ascii="宋体" w:eastAsia="宋体" w:hAnsi="宋体" w:cs="宋体"/>
          <w:sz w:val="30"/>
          <w:lang w:eastAsia="zh-CN"/>
        </w:rPr>
      </w:pPr>
      <w:bookmarkStart w:id="93" w:name="_Toc68875916"/>
      <w:r>
        <w:rPr>
          <w:rFonts w:ascii="宋体" w:eastAsia="宋体" w:hAnsi="宋体" w:cs="宋体" w:hint="eastAsia"/>
          <w:sz w:val="30"/>
          <w:highlight w:val="white"/>
          <w:lang w:eastAsia="zh-CN"/>
        </w:rPr>
        <w:t>十四、基金管理人和基金托管人的更换</w:t>
      </w:r>
      <w:bookmarkEnd w:id="93"/>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（一）基金管理人职责终止的情形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1.基金管理人职责终止的情形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有下列情形之一的，基金管理人职责终止：</w:t>
      </w:r>
    </w:p>
    <w:p w:rsidR="00676F42">
      <w:pPr>
        <w:ind w:firstLine="480"/>
        <w:rPr>
          <w:lang w:eastAsia="zh-CN"/>
        </w:rPr>
      </w:pPr>
      <w:r>
        <w:rPr>
          <w:rFonts w:ascii="宋体" w:hAnsi="宋体" w:cs="宋体"/>
          <w:sz w:val="24"/>
          <w:highlight w:val="white"/>
          <w:lang w:eastAsia="zh-CN"/>
        </w:rPr>
        <w:t>（1）被依法取消基金管理资格；</w:t>
      </w:r>
    </w:p>
    <w:p w:rsidR="00676F42">
      <w:pPr>
        <w:ind w:firstLine="480"/>
        <w:rPr>
          <w:lang w:eastAsia="zh-CN"/>
        </w:rPr>
      </w:pPr>
      <w:r>
        <w:rPr>
          <w:rFonts w:ascii="宋体" w:hAnsi="宋体" w:cs="宋体"/>
          <w:sz w:val="24"/>
          <w:highlight w:val="white"/>
          <w:lang w:eastAsia="zh-CN"/>
        </w:rPr>
        <w:t>（2）被基金份额持有人大会解任；</w:t>
      </w:r>
    </w:p>
    <w:p w:rsidR="00676F42">
      <w:pPr>
        <w:ind w:firstLine="480"/>
        <w:rPr>
          <w:lang w:eastAsia="zh-CN"/>
        </w:rPr>
      </w:pPr>
      <w:r>
        <w:rPr>
          <w:rFonts w:ascii="宋体" w:hAnsi="宋体" w:cs="宋体"/>
          <w:sz w:val="24"/>
          <w:highlight w:val="white"/>
          <w:lang w:eastAsia="zh-CN"/>
        </w:rPr>
        <w:t>（3）依法解散、被依法撤销或被依法宣告破产；</w:t>
      </w:r>
    </w:p>
    <w:p w:rsidR="00676F42">
      <w:pPr>
        <w:ind w:firstLine="480"/>
        <w:rPr>
          <w:lang w:eastAsia="zh-CN"/>
        </w:rPr>
      </w:pPr>
      <w:r>
        <w:rPr>
          <w:rFonts w:ascii="宋体" w:hAnsi="宋体" w:cs="宋体"/>
          <w:sz w:val="24"/>
          <w:highlight w:val="white"/>
          <w:lang w:eastAsia="zh-CN"/>
        </w:rPr>
        <w:t>（4）法律法规及中国证监会规定的和《基金合同》约定的其他情形。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2.基金管理人的更换程序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更换基金管理人必须依照如下程序进行：</w:t>
      </w:r>
    </w:p>
    <w:p w:rsidR="00676F42">
      <w:pPr>
        <w:ind w:firstLine="480"/>
        <w:rPr>
          <w:lang w:eastAsia="zh-CN"/>
        </w:rPr>
      </w:pPr>
      <w:r>
        <w:rPr>
          <w:rFonts w:ascii="宋体" w:hAnsi="宋体" w:cs="宋体"/>
          <w:sz w:val="24"/>
          <w:highlight w:val="white"/>
          <w:lang w:eastAsia="zh-CN"/>
        </w:rPr>
        <w:t>（1）提名：新任基金管理人由基金托管人或由单独或合计持有10%以上（含10%）基金份额的基金份额持有人提名；</w:t>
      </w:r>
    </w:p>
    <w:p w:rsidR="00676F42">
      <w:pPr>
        <w:ind w:firstLine="480"/>
        <w:rPr>
          <w:lang w:eastAsia="zh-CN"/>
        </w:rPr>
      </w:pPr>
      <w:r>
        <w:rPr>
          <w:rFonts w:ascii="宋体" w:hAnsi="宋体" w:cs="宋体"/>
          <w:sz w:val="24"/>
          <w:highlight w:val="white"/>
          <w:lang w:eastAsia="zh-CN"/>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676F42">
      <w:pPr>
        <w:ind w:firstLine="480"/>
        <w:rPr>
          <w:lang w:eastAsia="zh-CN"/>
        </w:rPr>
      </w:pPr>
      <w:r>
        <w:rPr>
          <w:rFonts w:ascii="宋体" w:hAnsi="宋体" w:cs="宋体"/>
          <w:sz w:val="24"/>
          <w:highlight w:val="white"/>
          <w:lang w:eastAsia="zh-CN"/>
        </w:rPr>
        <w:t>（3）临时基金管理人：新任基金管理人产生之前，由中国证监会指定临时基金管理人；</w:t>
      </w:r>
    </w:p>
    <w:p w:rsidR="00676F42">
      <w:pPr>
        <w:ind w:firstLine="480"/>
        <w:rPr>
          <w:lang w:eastAsia="zh-CN"/>
        </w:rPr>
      </w:pPr>
      <w:r>
        <w:rPr>
          <w:rFonts w:ascii="宋体" w:hAnsi="宋体" w:cs="宋体"/>
          <w:sz w:val="24"/>
          <w:highlight w:val="white"/>
          <w:lang w:eastAsia="zh-CN"/>
        </w:rPr>
        <w:t>（4）备案：基金份额持有人大会更换基金管理人的决议须报中国证监会备案；</w:t>
      </w:r>
    </w:p>
    <w:p w:rsidR="00676F42">
      <w:pPr>
        <w:ind w:firstLine="480"/>
        <w:rPr>
          <w:lang w:eastAsia="zh-CN"/>
        </w:rPr>
      </w:pPr>
      <w:r>
        <w:rPr>
          <w:rFonts w:ascii="宋体" w:hAnsi="宋体" w:cs="宋体"/>
          <w:sz w:val="24"/>
          <w:highlight w:val="white"/>
          <w:lang w:eastAsia="zh-CN"/>
        </w:rPr>
        <w:t>（5）公告：基金管理人更换后，由基金托管人在更换基金管理人的基金份额持有人大会决议生效后2日内在规定媒介公告；</w:t>
      </w:r>
    </w:p>
    <w:p w:rsidR="00676F42">
      <w:pPr>
        <w:ind w:firstLine="480"/>
        <w:rPr>
          <w:lang w:eastAsia="zh-CN"/>
        </w:rPr>
      </w:pPr>
      <w:r>
        <w:rPr>
          <w:rFonts w:ascii="宋体" w:hAnsi="宋体" w:cs="宋体"/>
          <w:sz w:val="24"/>
          <w:highlight w:val="white"/>
          <w:lang w:eastAsia="zh-CN"/>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676F42">
      <w:pPr>
        <w:ind w:firstLine="480"/>
        <w:rPr>
          <w:lang w:eastAsia="zh-CN"/>
        </w:rPr>
      </w:pPr>
      <w:r>
        <w:rPr>
          <w:rFonts w:ascii="宋体" w:hAnsi="宋体" w:cs="宋体"/>
          <w:sz w:val="24"/>
          <w:highlight w:val="white"/>
          <w:lang w:eastAsia="zh-CN"/>
        </w:rPr>
        <w:t>（7）审计：基金管理人职责终止的，应当按照法律法规规定聘请会计师事务所对基金财产进行审计，并将审计结果予以公告，同时报中国证监会备案。审计费用从基金财产中列支；</w:t>
      </w:r>
    </w:p>
    <w:p w:rsidR="00676F42">
      <w:pPr>
        <w:ind w:firstLine="480"/>
        <w:rPr>
          <w:lang w:eastAsia="zh-CN"/>
        </w:rPr>
      </w:pPr>
      <w:r>
        <w:rPr>
          <w:rFonts w:ascii="宋体" w:hAnsi="宋体" w:cs="宋体"/>
          <w:sz w:val="24"/>
          <w:highlight w:val="white"/>
          <w:lang w:eastAsia="zh-CN"/>
        </w:rPr>
        <w:t>（8）基金名称变更：基金管理人更换后，如果原任或新任基金管理人要求，应按其要求替换或删除基金名称中与原基金管理人有关的名称字样。</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（二）基金托管人职责终止的情形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1.基金托管人职责终止的情形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有下列情形之一的，基金托管人职责终止：</w:t>
      </w:r>
    </w:p>
    <w:p w:rsidR="00676F42">
      <w:pPr>
        <w:ind w:firstLine="480"/>
        <w:rPr>
          <w:lang w:eastAsia="zh-CN"/>
        </w:rPr>
      </w:pPr>
      <w:r>
        <w:rPr>
          <w:rFonts w:ascii="宋体" w:hAnsi="宋体" w:cs="宋体"/>
          <w:sz w:val="24"/>
          <w:highlight w:val="white"/>
          <w:lang w:eastAsia="zh-CN"/>
        </w:rPr>
        <w:t>（1）被依法取消基金托管资格；</w:t>
      </w:r>
    </w:p>
    <w:p w:rsidR="00676F42">
      <w:pPr>
        <w:ind w:firstLine="480"/>
        <w:rPr>
          <w:lang w:eastAsia="zh-CN"/>
        </w:rPr>
      </w:pPr>
      <w:r>
        <w:rPr>
          <w:rFonts w:ascii="宋体" w:hAnsi="宋体" w:cs="宋体"/>
          <w:sz w:val="24"/>
          <w:highlight w:val="white"/>
          <w:lang w:eastAsia="zh-CN"/>
        </w:rPr>
        <w:t>（2）被基金份额持有人大会解任；</w:t>
      </w:r>
    </w:p>
    <w:p w:rsidR="00676F42">
      <w:pPr>
        <w:ind w:firstLine="480"/>
        <w:rPr>
          <w:lang w:eastAsia="zh-CN"/>
        </w:rPr>
      </w:pPr>
      <w:r>
        <w:rPr>
          <w:rFonts w:ascii="宋体" w:hAnsi="宋体" w:cs="宋体"/>
          <w:sz w:val="24"/>
          <w:highlight w:val="white"/>
          <w:lang w:eastAsia="zh-CN"/>
        </w:rPr>
        <w:t>（3）依法解散、被依法撤销或被依法宣告破产；</w:t>
      </w:r>
    </w:p>
    <w:p w:rsidR="00676F42">
      <w:pPr>
        <w:ind w:firstLine="480"/>
        <w:rPr>
          <w:lang w:eastAsia="zh-CN"/>
        </w:rPr>
      </w:pPr>
      <w:r>
        <w:rPr>
          <w:rFonts w:ascii="宋体" w:hAnsi="宋体" w:cs="宋体"/>
          <w:sz w:val="24"/>
          <w:highlight w:val="white"/>
          <w:lang w:eastAsia="zh-CN"/>
        </w:rPr>
        <w:t>（4）法律法规及中国证监会规定的和《基金合同》约定的其他情形。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2.基金托管人的更换程序</w:t>
      </w:r>
    </w:p>
    <w:p w:rsidR="00676F42">
      <w:pPr>
        <w:ind w:firstLine="480"/>
        <w:rPr>
          <w:lang w:eastAsia="zh-CN"/>
        </w:rPr>
      </w:pPr>
      <w:r>
        <w:rPr>
          <w:rFonts w:ascii="宋体" w:hAnsi="宋体" w:cs="宋体"/>
          <w:sz w:val="24"/>
          <w:highlight w:val="white"/>
          <w:lang w:eastAsia="zh-CN"/>
        </w:rPr>
        <w:t>（1）提名：新任基金托管人由基金管理人或由单独或合计持有10%以上（含10%）基金份额的基金份额持有人提名；</w:t>
      </w:r>
    </w:p>
    <w:p w:rsidR="00676F42">
      <w:pPr>
        <w:ind w:firstLine="480"/>
        <w:rPr>
          <w:lang w:eastAsia="zh-CN"/>
        </w:rPr>
      </w:pPr>
      <w:r>
        <w:rPr>
          <w:rFonts w:ascii="宋体" w:hAnsi="宋体" w:cs="宋体"/>
          <w:sz w:val="24"/>
          <w:highlight w:val="white"/>
          <w:lang w:eastAsia="zh-CN"/>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676F42">
      <w:pPr>
        <w:ind w:firstLine="480"/>
        <w:rPr>
          <w:lang w:eastAsia="zh-CN"/>
        </w:rPr>
      </w:pPr>
      <w:r>
        <w:rPr>
          <w:rFonts w:ascii="宋体" w:hAnsi="宋体" w:cs="宋体"/>
          <w:sz w:val="24"/>
          <w:highlight w:val="white"/>
          <w:lang w:eastAsia="zh-CN"/>
        </w:rPr>
        <w:t>（3）临时基金托管人：新任基金托管人产生之前，由中国证监会指定临时基金托管人；</w:t>
      </w:r>
    </w:p>
    <w:p w:rsidR="00676F42">
      <w:pPr>
        <w:ind w:firstLine="480"/>
        <w:rPr>
          <w:lang w:eastAsia="zh-CN"/>
        </w:rPr>
      </w:pPr>
      <w:r>
        <w:rPr>
          <w:rFonts w:ascii="宋体" w:hAnsi="宋体" w:cs="宋体"/>
          <w:sz w:val="24"/>
          <w:highlight w:val="white"/>
          <w:lang w:eastAsia="zh-CN"/>
        </w:rPr>
        <w:t>（4）备案：基金份额持有人大会更换基金托管人的决议须报中国证监会备案；</w:t>
      </w:r>
    </w:p>
    <w:p w:rsidR="00676F42">
      <w:pPr>
        <w:ind w:firstLine="480"/>
        <w:rPr>
          <w:lang w:eastAsia="zh-CN"/>
        </w:rPr>
      </w:pPr>
      <w:r>
        <w:rPr>
          <w:rFonts w:ascii="宋体" w:hAnsi="宋体" w:cs="宋体"/>
          <w:sz w:val="24"/>
          <w:highlight w:val="white"/>
          <w:lang w:eastAsia="zh-CN"/>
        </w:rPr>
        <w:t>（5）公告：基金托管人更换后，由基金管理人在更换基金托管人的基金份额持有人大会决议生效后2日内在规定媒介公告；</w:t>
      </w:r>
    </w:p>
    <w:p w:rsidR="00676F42">
      <w:pPr>
        <w:ind w:firstLine="480"/>
        <w:rPr>
          <w:lang w:eastAsia="zh-CN"/>
        </w:rPr>
      </w:pPr>
      <w:r>
        <w:rPr>
          <w:rFonts w:ascii="宋体" w:hAnsi="宋体" w:cs="宋体"/>
          <w:sz w:val="24"/>
          <w:highlight w:val="white"/>
          <w:lang w:eastAsia="zh-CN"/>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676F42">
      <w:pPr>
        <w:ind w:firstLine="480"/>
        <w:rPr>
          <w:lang w:eastAsia="zh-CN"/>
        </w:rPr>
      </w:pPr>
      <w:r>
        <w:rPr>
          <w:rFonts w:ascii="宋体" w:hAnsi="宋体" w:cs="宋体"/>
          <w:sz w:val="24"/>
          <w:highlight w:val="white"/>
          <w:lang w:eastAsia="zh-CN"/>
        </w:rPr>
        <w:t>（7）审计：基金托管人职责终止的，应当按照法律法规规定聘请会计师事务所对基金财产进行审计，并将审计结果予以公告，同时报中国证监会备案。审计费用从基金财产中列支。</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（三）基金管理人与基金托管人同时更换的条件和程序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w:t>
      </w:r>
      <w:r w:rsidR="004B2003">
        <w:rPr>
          <w:rFonts w:ascii="宋体" w:hAnsi="宋体" w:cs="宋体" w:hint="eastAsia"/>
          <w:sz w:val="24"/>
          <w:highlight w:val="white"/>
          <w:lang w:eastAsia="zh-CN"/>
        </w:rPr>
        <w:t>.</w:t>
      </w:r>
      <w:r>
        <w:rPr>
          <w:rFonts w:ascii="宋体" w:hAnsi="宋体" w:cs="宋体" w:hint="eastAsia"/>
          <w:sz w:val="24"/>
          <w:highlight w:val="white"/>
          <w:lang w:eastAsia="zh-CN"/>
        </w:rPr>
        <w:t>提名：如果基金管理人和基金托管人同时更换，由单独或合计持有基金总份额10%以上（含10%）的基金份额持有人提名新的基金管理人和基金托管人；</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基金管理人和基金托管人的更换分别按上述程序进行；</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w:t>
      </w:r>
      <w:r w:rsidR="004B2003">
        <w:rPr>
          <w:rFonts w:ascii="宋体" w:hAnsi="宋体" w:cs="宋体" w:hint="eastAsia"/>
          <w:sz w:val="24"/>
          <w:highlight w:val="white"/>
          <w:lang w:eastAsia="zh-CN"/>
        </w:rPr>
        <w:t>.</w:t>
      </w:r>
      <w:r>
        <w:rPr>
          <w:rFonts w:ascii="宋体" w:hAnsi="宋体" w:cs="宋体" w:hint="eastAsia"/>
          <w:sz w:val="24"/>
          <w:highlight w:val="white"/>
          <w:lang w:eastAsia="zh-CN"/>
        </w:rPr>
        <w:t>公告：新任基金管理人和新任基金托管人应在更换基金管理人和基金托管人的基金份额持有人大会决议生效后2日内在规定媒介上联合公告。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676F42">
      <w:pPr>
        <w:snapToGrid w:val="0"/>
        <w:rPr>
          <w:rFonts w:ascii="宋体" w:hAnsi="宋体" w:cs="宋体"/>
          <w:sz w:val="24"/>
          <w:lang w:eastAsia="zh-CN"/>
        </w:rPr>
      </w:pPr>
    </w:p>
    <w:p w:rsidR="00676F42">
      <w:pPr>
        <w:pStyle w:val="21"/>
        <w:jc w:val="center"/>
        <w:rPr>
          <w:rFonts w:ascii="宋体" w:eastAsia="宋体" w:hAnsi="宋体" w:cs="宋体"/>
          <w:sz w:val="30"/>
          <w:lang w:eastAsia="zh-CN"/>
        </w:rPr>
      </w:pPr>
      <w:bookmarkStart w:id="94" w:name="_Toc68875917"/>
      <w:r>
        <w:rPr>
          <w:rFonts w:ascii="宋体" w:eastAsia="宋体" w:hAnsi="宋体" w:cs="宋体" w:hint="eastAsia"/>
          <w:sz w:val="30"/>
          <w:highlight w:val="white"/>
          <w:lang w:eastAsia="zh-CN"/>
        </w:rPr>
        <w:t>十五、禁止行为</w:t>
      </w:r>
      <w:bookmarkEnd w:id="94"/>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本协议当事人禁止从事的行为，包括但不限于：</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（一）基金管理人、基金托管人将其固有财产或者他人财产混同于基金财产从事证券投资。</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（二）基金管理人不公平地对待其管理的不同基金财产，基金托管人不公平地对待其托管的不同基金财产。</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（三）基金管理人、基金托管人利用基金财产为基金份额持有人以外的第三人牟取利益。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（四）基金管理人、基金托管人向基金份额持有人违规承诺收益或者承担损失。</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（五）基金管理人、基金托管人对他人泄</w:t>
      </w:r>
      <w:r w:rsidR="00B605D3">
        <w:rPr>
          <w:rFonts w:ascii="宋体" w:hAnsi="宋体" w:cs="宋体" w:hint="eastAsia"/>
          <w:sz w:val="24"/>
          <w:highlight w:val="white"/>
          <w:lang w:eastAsia="zh-CN"/>
        </w:rPr>
        <w:t>露</w:t>
      </w:r>
      <w:r>
        <w:rPr>
          <w:rFonts w:ascii="宋体" w:hAnsi="宋体" w:cs="宋体" w:hint="eastAsia"/>
          <w:sz w:val="24"/>
          <w:highlight w:val="white"/>
          <w:lang w:eastAsia="zh-CN"/>
        </w:rPr>
        <w:t>基金运作和管理过程中任何尚未按法律法规规定的方式公开披露的信息。</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（六）基金管理人在没有充足资金的情况下向基金托管人发出投资指令和赎回、分红资金的划拨指令，或违规向基金托管人发出指令。</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（七）基金管理人、基金托管人在行政上、财务上不独立, 其高级管理人员和其他从业人员相互兼职。</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（八）基金托管人私自动用或处分基金财产，根据基金管理人的合法指令、《基金合同》或托管协议的规定进行处分的除外。</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（九）基金财产用于下列投资或者活动：</w:t>
      </w:r>
      <w:r>
        <w:rPr>
          <w:rFonts w:ascii="宋体" w:hAnsi="宋体" w:cs="宋体"/>
          <w:sz w:val="24"/>
          <w:highlight w:val="white"/>
          <w:lang w:eastAsia="zh-CN"/>
        </w:rPr>
        <w:t>（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Pr>
          <w:rFonts w:ascii="宋体" w:hAnsi="宋体" w:cs="宋体" w:hint="eastAsia"/>
          <w:sz w:val="24"/>
          <w:highlight w:val="white"/>
          <w:lang w:eastAsia="zh-CN"/>
        </w:rPr>
        <w:t>法律法规或监管部门取消上述限制，则本基金投资不再受相关限制。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（十）法律法规和《基金合同》禁止的其他行为，以及依照法律、行政法规有关规定，由中国证监会规定禁止基金管理人、基金托管人从事的其他行为。</w:t>
      </w:r>
    </w:p>
    <w:p w:rsidR="00676F42">
      <w:pPr>
        <w:snapToGrid w:val="0"/>
        <w:ind w:firstLine="480"/>
        <w:rPr>
          <w:rFonts w:ascii="宋体" w:hAnsi="宋体" w:cs="宋体"/>
          <w:sz w:val="24"/>
          <w:lang w:eastAsia="zh-CN"/>
        </w:rPr>
      </w:pPr>
    </w:p>
    <w:p w:rsidR="00676F42">
      <w:pPr>
        <w:pStyle w:val="21"/>
        <w:jc w:val="center"/>
        <w:rPr>
          <w:rFonts w:ascii="宋体" w:eastAsia="宋体" w:hAnsi="宋体" w:cs="宋体"/>
          <w:sz w:val="30"/>
          <w:lang w:eastAsia="zh-CN"/>
        </w:rPr>
      </w:pPr>
      <w:bookmarkStart w:id="95" w:name="_Toc68875918"/>
      <w:r>
        <w:rPr>
          <w:rFonts w:ascii="宋体" w:eastAsia="宋体" w:hAnsi="宋体" w:cs="宋体" w:hint="eastAsia"/>
          <w:sz w:val="30"/>
          <w:highlight w:val="white"/>
          <w:lang w:eastAsia="zh-CN"/>
        </w:rPr>
        <w:t>十六、托管协议的变更、终止与基金财产的清算</w:t>
      </w:r>
      <w:bookmarkEnd w:id="95"/>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（一）托管协议的变更程序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本协议双方当事人经协商一致，可以对协议进行修改。修改后的新协议，其内容不得与《基金合同》的规定有任何冲突。</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（二）托管协议终止的情形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1.《基金合同》终止；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2.基金托管人解散、依法被撤销、破产或由其他基金托管人接管基金资产；</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3.基金管理人解散、依法被撤销、破产或由其他基金管理人接管基金管理权；</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4.发生法律法规、中国证监会或《基金合同》规定的终止事项。</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（三）基金财产的清算</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基金财产清算小组：自出现《基金合同》终止事由之日起30个工作日内成立清算小组，基金管理人组织基金财产清算小组并在中国证监会的监督下进行基金清算。</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基金财产清算小组职责：基金财产清算小组负责基金财产的保管、清理、估价、变现和分配。基金财产清算小组可以依法进行必要的民事活动。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基金财产清算程序：</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（1）《基金合同》终止情形出现时，由基金财产清算小组统一接管基金；</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（2）对基金财产和债权债务进行清理和确认；</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（3）对基金财产进行估值和变现；</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（4）制作清算报告；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（5）聘请会计师事务所对清算报告进行外部审计，聘请律师事务所对清算报告出具法律意见书；</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（6）将清算报告报中国证监会备案并公告；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（7）对基金剩余财产进行分配。</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5</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基金财产清算的期限为6个月，但因本基金所持证券的流动性受到限制而不能及时变现的，清算期限相应顺延。</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6</w:t>
      </w:r>
      <w:r w:rsidR="004B2003">
        <w:rPr>
          <w:rFonts w:ascii="宋体" w:hAnsi="宋体" w:cs="宋体" w:hint="eastAsia"/>
          <w:sz w:val="24"/>
          <w:highlight w:val="white"/>
          <w:lang w:eastAsia="zh-CN"/>
        </w:rPr>
        <w:t>.</w:t>
      </w:r>
      <w:r>
        <w:rPr>
          <w:rFonts w:ascii="宋体" w:hAnsi="宋体" w:cs="宋体" w:hint="eastAsia"/>
          <w:sz w:val="24"/>
          <w:highlight w:val="white"/>
          <w:lang w:eastAsia="zh-CN"/>
        </w:rPr>
        <w:t>清算费用</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清算费用是指基金财产清算小组在进行基金清算过程中发生的所有合理费用，清算费用由基金财产清算小组优先从基金财产中支付。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7</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基金财产清算剩余资产的分配</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依据基金财产清算的分配方案，将基金财产清算后的全部剩余资产扣除基金财产清算费用、交纳所欠税款并清偿基金债务后，按基金份额持有人持有的各类基金份额比例进行分配。分配金额需加上返还基金份额持有人的或有管理费（如有），</w:t>
      </w:r>
      <w:r>
        <w:rPr>
          <w:rFonts w:ascii="宋体" w:hAnsi="宋体" w:cs="宋体" w:hint="eastAsia"/>
          <w:sz w:val="24"/>
          <w:highlight w:val="white"/>
          <w:lang w:eastAsia="zh-CN"/>
        </w:rPr>
        <w:t>扣除超额管理费（如有）</w:t>
      </w:r>
      <w:r w:rsidRPr="00BB2E27" w:rsidR="00BB2E27">
        <w:rPr>
          <w:rFonts w:ascii="宋体" w:hAnsi="宋体" w:cs="宋体" w:hint="eastAsia"/>
          <w:sz w:val="24"/>
          <w:lang w:eastAsia="zh-CN"/>
        </w:rPr>
        <w:t>，再加上返还基金份额持有人的销售服务费（如有）</w:t>
      </w:r>
      <w:r>
        <w:rPr>
          <w:rFonts w:ascii="宋体" w:hAnsi="宋体" w:cs="宋体" w:hint="eastAsia"/>
          <w:sz w:val="24"/>
          <w:highlight w:val="white"/>
          <w:lang w:eastAsia="zh-CN"/>
        </w:rPr>
        <w:t>。</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8</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基金财产清算的公告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9</w:t>
      </w:r>
      <w:r w:rsidR="004B2003">
        <w:rPr>
          <w:rFonts w:ascii="宋体" w:hAnsi="宋体" w:cs="宋体" w:hint="eastAsia"/>
          <w:sz w:val="24"/>
          <w:highlight w:val="white"/>
          <w:lang w:eastAsia="zh-CN"/>
        </w:rPr>
        <w:t>.</w:t>
      </w:r>
      <w:r>
        <w:rPr>
          <w:rFonts w:ascii="宋体" w:hAnsi="宋体" w:cs="宋体" w:hint="eastAsia"/>
          <w:sz w:val="24"/>
          <w:highlight w:val="white"/>
          <w:lang w:eastAsia="zh-CN"/>
        </w:rPr>
        <w:t>基金财产清算账册及文件的保存</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基金财产清算账册及有关文件由基金托管人保存20年以上。</w:t>
      </w:r>
    </w:p>
    <w:p w:rsidR="00676F42">
      <w:pPr>
        <w:ind w:firstLine="480"/>
        <w:rPr>
          <w:rFonts w:ascii="宋体" w:hAnsi="宋体" w:cs="宋体"/>
          <w:sz w:val="24"/>
          <w:lang w:eastAsia="zh-CN"/>
        </w:rPr>
      </w:pPr>
    </w:p>
    <w:p w:rsidR="00676F42">
      <w:pPr>
        <w:ind w:firstLine="480"/>
        <w:rPr>
          <w:rFonts w:ascii="宋体" w:hAnsi="宋体" w:cs="宋体"/>
          <w:sz w:val="24"/>
          <w:lang w:eastAsia="zh-CN"/>
        </w:rPr>
      </w:pPr>
    </w:p>
    <w:p w:rsidR="00676F42">
      <w:pPr>
        <w:ind w:firstLine="480"/>
        <w:rPr>
          <w:rFonts w:ascii="宋体" w:hAnsi="宋体" w:cs="宋体"/>
          <w:sz w:val="24"/>
          <w:lang w:eastAsia="zh-CN"/>
        </w:rPr>
      </w:pPr>
    </w:p>
    <w:p w:rsidR="00676F42">
      <w:pPr>
        <w:snapToGrid w:val="0"/>
        <w:ind w:firstLine="480"/>
        <w:rPr>
          <w:rFonts w:ascii="宋体" w:hAnsi="宋体" w:cs="宋体"/>
          <w:sz w:val="24"/>
          <w:lang w:eastAsia="zh-CN"/>
        </w:rPr>
      </w:pPr>
    </w:p>
    <w:p w:rsidR="00676F42">
      <w:pPr>
        <w:pStyle w:val="21"/>
        <w:jc w:val="center"/>
        <w:rPr>
          <w:rFonts w:ascii="宋体" w:eastAsia="宋体" w:hAnsi="宋体" w:cs="宋体"/>
          <w:sz w:val="30"/>
          <w:lang w:eastAsia="zh-CN"/>
        </w:rPr>
      </w:pPr>
      <w:bookmarkStart w:id="96" w:name="_Toc68875919"/>
      <w:r>
        <w:rPr>
          <w:rFonts w:ascii="宋体" w:eastAsia="宋体" w:hAnsi="宋体" w:cs="宋体" w:hint="eastAsia"/>
          <w:sz w:val="30"/>
          <w:highlight w:val="white"/>
          <w:lang w:eastAsia="zh-CN"/>
        </w:rPr>
        <w:t>十七、违约责任</w:t>
      </w:r>
      <w:bookmarkEnd w:id="96"/>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（一）基金管理人、基金托管人不履行本协议或履行本协议不符合约定的，应当承担违约责任。</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76F42">
      <w:pPr>
        <w:ind w:firstLine="480"/>
        <w:rPr>
          <w:lang w:eastAsia="zh-CN"/>
        </w:rPr>
      </w:pPr>
      <w:r>
        <w:rPr>
          <w:rFonts w:ascii="宋体" w:hAnsi="宋体" w:cs="宋体" w:hint="eastAsia"/>
          <w:sz w:val="24"/>
          <w:highlight w:val="white"/>
          <w:lang w:eastAsia="zh-CN"/>
        </w:rPr>
        <w:t>1</w:t>
      </w:r>
      <w:r w:rsidR="004B2003">
        <w:rPr>
          <w:rFonts w:ascii="宋体" w:hAnsi="宋体" w:cs="宋体" w:hint="eastAsia"/>
          <w:sz w:val="24"/>
          <w:highlight w:val="white"/>
          <w:lang w:eastAsia="zh-CN"/>
        </w:rPr>
        <w:t>.</w:t>
      </w:r>
      <w:r>
        <w:rPr>
          <w:rFonts w:ascii="宋体" w:hAnsi="宋体" w:cs="宋体" w:hint="eastAsia"/>
          <w:sz w:val="24"/>
          <w:highlight w:val="white"/>
          <w:lang w:eastAsia="zh-CN"/>
        </w:rPr>
        <w:t>不可抗力；</w:t>
      </w:r>
    </w:p>
    <w:p w:rsidR="00676F42">
      <w:pPr>
        <w:ind w:firstLine="480"/>
        <w:rPr>
          <w:lang w:eastAsia="zh-CN"/>
        </w:rPr>
      </w:pPr>
      <w:r>
        <w:rPr>
          <w:rFonts w:ascii="宋体" w:hAnsi="宋体" w:cs="宋体" w:hint="eastAsia"/>
          <w:sz w:val="24"/>
          <w:highlight w:val="white"/>
          <w:lang w:eastAsia="zh-CN"/>
        </w:rPr>
        <w:t>2.基金管理人、基金托管人按照当时有效的法律法规或中国证监会的规定作为或不作为而造成的损失等；</w:t>
      </w:r>
    </w:p>
    <w:p w:rsidR="00676F42">
      <w:pPr>
        <w:ind w:firstLine="480"/>
        <w:rPr>
          <w:lang w:eastAsia="zh-CN"/>
        </w:rPr>
      </w:pPr>
      <w:r>
        <w:rPr>
          <w:rFonts w:ascii="宋体" w:hAnsi="宋体" w:cs="宋体" w:hint="eastAsia"/>
          <w:sz w:val="24"/>
          <w:highlight w:val="white"/>
          <w:lang w:eastAsia="zh-CN"/>
        </w:rPr>
        <w:t>3.在没有过错的情况下，基金管理人由于按照《基金合同》规定的投资原则投资或不投资造成的直接损失或潜在损失等；</w:t>
      </w:r>
    </w:p>
    <w:p w:rsidR="00676F42">
      <w:pPr>
        <w:ind w:firstLine="480"/>
        <w:rPr>
          <w:lang w:eastAsia="zh-CN"/>
        </w:rPr>
      </w:pPr>
      <w:r>
        <w:rPr>
          <w:rFonts w:ascii="宋体" w:hAnsi="宋体" w:cs="宋体" w:hint="eastAsia"/>
          <w:sz w:val="24"/>
          <w:highlight w:val="white"/>
          <w:lang w:eastAsia="zh-CN"/>
        </w:rPr>
        <w:t>4.非因基金管理人、基金托管人的故意或重大过失造成的计算机系统故障、网络故障、通讯故障、电力故障、计算机病毒攻击及其它意外事故所导致的损失等。</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（五）违约行为虽已发生，但本托管协议能够继续履行的，在最大限度地保护基金份额持有人利益的前提下，基金管理人和基金托管人应当继续履行本协议。</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676F42">
      <w:pPr>
        <w:snapToGrid w:val="0"/>
        <w:outlineLvl w:val="0"/>
        <w:rPr>
          <w:rFonts w:ascii="宋体" w:hAnsi="宋体" w:cs="宋体"/>
          <w:sz w:val="24"/>
          <w:lang w:eastAsia="zh-CN"/>
        </w:rPr>
      </w:pPr>
    </w:p>
    <w:p w:rsidR="00676F42">
      <w:pPr>
        <w:pStyle w:val="21"/>
        <w:jc w:val="center"/>
        <w:rPr>
          <w:rFonts w:ascii="宋体" w:eastAsia="宋体" w:hAnsi="宋体" w:cs="宋体"/>
          <w:sz w:val="30"/>
          <w:lang w:eastAsia="zh-CN"/>
        </w:rPr>
      </w:pPr>
      <w:bookmarkStart w:id="97" w:name="_Toc68875920"/>
      <w:r>
        <w:rPr>
          <w:rFonts w:ascii="宋体" w:eastAsia="宋体" w:hAnsi="宋体" w:cs="宋体" w:hint="eastAsia"/>
          <w:sz w:val="30"/>
          <w:highlight w:val="white"/>
          <w:lang w:eastAsia="zh-CN"/>
        </w:rPr>
        <w:t>十八、争议解决方式</w:t>
      </w:r>
      <w:bookmarkEnd w:id="97"/>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决定，仲裁费用由败诉方承担。</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争议处理期间，双方当事人应恪守基金管理人和基金托管人职责，各自继续忠实、勤勉、尽责地履行《基金合同》和本托管协议规定的义务，维护基金份额持有人的合法权益。</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本协议受中国法律管辖。</w:t>
      </w:r>
    </w:p>
    <w:p w:rsidR="00676F42">
      <w:pPr>
        <w:snapToGrid w:val="0"/>
        <w:rPr>
          <w:rFonts w:ascii="宋体" w:hAnsi="宋体" w:cs="宋体"/>
          <w:sz w:val="24"/>
          <w:lang w:eastAsia="zh-CN"/>
        </w:rPr>
      </w:pPr>
    </w:p>
    <w:p w:rsidR="00676F42">
      <w:pPr>
        <w:pStyle w:val="21"/>
        <w:jc w:val="center"/>
        <w:rPr>
          <w:rFonts w:ascii="宋体" w:eastAsia="宋体" w:hAnsi="宋体" w:cs="宋体"/>
          <w:sz w:val="30"/>
          <w:lang w:eastAsia="zh-CN"/>
        </w:rPr>
      </w:pPr>
      <w:bookmarkStart w:id="98" w:name="_Toc68875921"/>
      <w:r>
        <w:rPr>
          <w:rFonts w:ascii="宋体" w:eastAsia="宋体" w:hAnsi="宋体" w:cs="宋体" w:hint="eastAsia"/>
          <w:sz w:val="30"/>
          <w:highlight w:val="white"/>
          <w:lang w:eastAsia="zh-CN"/>
        </w:rPr>
        <w:t>十九、托管协议的效力</w:t>
      </w:r>
      <w:bookmarkEnd w:id="98"/>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双方对托管协议的效力约定如下：</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（二）托管协议自《基金合同》成立之日起成立，自《基金合同》生效之日起生效。托管协议的有效期自其生效之日起至基金财产清算结果报中国证监会备案并公告之日止。</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（三）托管协议自生效之日起对托管协议当事人具有同等的法律约束力。</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（四）本协议</w:t>
      </w:r>
      <w:r>
        <w:rPr>
          <w:rFonts w:ascii="宋体" w:hAnsi="宋体" w:cs="宋体"/>
          <w:sz w:val="24"/>
          <w:highlight w:val="white"/>
          <w:lang w:eastAsia="zh-CN"/>
        </w:rPr>
        <w:t>正本一式</w:t>
      </w:r>
      <w:r>
        <w:rPr>
          <w:rFonts w:ascii="宋体" w:hAnsi="宋体" w:cs="宋体" w:hint="eastAsia"/>
          <w:sz w:val="24"/>
          <w:highlight w:val="white"/>
          <w:lang w:eastAsia="zh-CN"/>
        </w:rPr>
        <w:t>六份，除</w:t>
      </w:r>
      <w:r>
        <w:rPr>
          <w:rFonts w:ascii="宋体" w:hAnsi="宋体" w:cs="宋体"/>
          <w:sz w:val="24"/>
          <w:highlight w:val="white"/>
          <w:lang w:eastAsia="zh-CN"/>
        </w:rPr>
        <w:t>上报有关监</w:t>
      </w:r>
      <w:r>
        <w:rPr>
          <w:rFonts w:ascii="宋体" w:hAnsi="宋体" w:cs="宋体" w:hint="eastAsia"/>
          <w:sz w:val="24"/>
          <w:highlight w:val="white"/>
          <w:lang w:eastAsia="zh-CN"/>
        </w:rPr>
        <w:t>管</w:t>
      </w:r>
      <w:r>
        <w:rPr>
          <w:rFonts w:ascii="宋体" w:hAnsi="宋体" w:cs="宋体"/>
          <w:sz w:val="24"/>
          <w:highlight w:val="white"/>
          <w:lang w:eastAsia="zh-CN"/>
        </w:rPr>
        <w:t>机构</w:t>
      </w:r>
      <w:r>
        <w:rPr>
          <w:rFonts w:ascii="宋体" w:hAnsi="宋体" w:cs="宋体" w:hint="eastAsia"/>
          <w:sz w:val="24"/>
          <w:highlight w:val="white"/>
          <w:lang w:eastAsia="zh-CN"/>
        </w:rPr>
        <w:t>二</w:t>
      </w:r>
      <w:r>
        <w:rPr>
          <w:rFonts w:ascii="宋体" w:hAnsi="宋体" w:cs="宋体"/>
          <w:sz w:val="24"/>
          <w:highlight w:val="white"/>
          <w:lang w:eastAsia="zh-CN"/>
        </w:rPr>
        <w:t>份外，基金管理人、基金托管人各持有</w:t>
      </w:r>
      <w:r>
        <w:rPr>
          <w:rFonts w:ascii="宋体" w:hAnsi="宋体" w:cs="宋体" w:hint="eastAsia"/>
          <w:sz w:val="24"/>
          <w:highlight w:val="white"/>
          <w:lang w:eastAsia="zh-CN"/>
        </w:rPr>
        <w:t>二</w:t>
      </w:r>
      <w:r>
        <w:rPr>
          <w:rFonts w:ascii="宋体" w:hAnsi="宋体" w:cs="宋体"/>
          <w:sz w:val="24"/>
          <w:highlight w:val="white"/>
          <w:lang w:eastAsia="zh-CN"/>
        </w:rPr>
        <w:t>份，每份具有同等的法律效力。</w:t>
      </w:r>
    </w:p>
    <w:p w:rsidR="00676F42">
      <w:pPr>
        <w:snapToGrid w:val="0"/>
        <w:rPr>
          <w:rFonts w:ascii="宋体" w:hAnsi="宋体" w:cs="宋体"/>
          <w:sz w:val="24"/>
          <w:lang w:eastAsia="zh-CN"/>
        </w:rPr>
      </w:pPr>
    </w:p>
    <w:p w:rsidR="00676F42">
      <w:pPr>
        <w:pStyle w:val="21"/>
        <w:jc w:val="center"/>
        <w:rPr>
          <w:rFonts w:ascii="宋体" w:eastAsia="宋体" w:hAnsi="宋体" w:cs="宋体"/>
          <w:sz w:val="30"/>
          <w:lang w:eastAsia="zh-CN"/>
        </w:rPr>
      </w:pPr>
      <w:bookmarkStart w:id="99" w:name="_Toc68875922"/>
      <w:r>
        <w:rPr>
          <w:rFonts w:ascii="宋体" w:eastAsia="宋体" w:hAnsi="宋体" w:cs="宋体" w:hint="eastAsia"/>
          <w:sz w:val="30"/>
          <w:highlight w:val="white"/>
          <w:lang w:eastAsia="zh-CN"/>
        </w:rPr>
        <w:t>二十、其他事项</w:t>
      </w:r>
      <w:bookmarkEnd w:id="99"/>
    </w:p>
    <w:p w:rsidR="00676F42">
      <w:pPr>
        <w:snapToGrid w:val="0"/>
        <w:ind w:firstLine="480"/>
        <w:rPr>
          <w:rFonts w:ascii="宋体" w:hAnsi="宋体" w:cs="宋体"/>
          <w:sz w:val="24"/>
          <w:lang w:eastAsia="zh-CN"/>
        </w:rPr>
      </w:pPr>
      <w:r>
        <w:rPr>
          <w:rFonts w:ascii="宋体" w:hAnsi="宋体" w:cs="宋体" w:hint="eastAsia"/>
          <w:sz w:val="24"/>
          <w:highlight w:val="white"/>
          <w:lang w:eastAsia="zh-CN"/>
        </w:rPr>
        <w:t>如发生有权司法机关依法冻结基金份额持有人的基金份额时，基金管理人应予以配合，承担司法协助义务。</w:t>
      </w:r>
    </w:p>
    <w:p w:rsidR="00676F42">
      <w:pPr>
        <w:snapToGrid w:val="0"/>
        <w:ind w:firstLine="480"/>
        <w:rPr>
          <w:rFonts w:ascii="宋体" w:hAnsi="宋体" w:cs="宋体"/>
          <w:sz w:val="24"/>
          <w:lang w:eastAsia="zh-CN"/>
        </w:rPr>
      </w:pPr>
      <w:r>
        <w:rPr>
          <w:rFonts w:ascii="宋体" w:hAnsi="宋体" w:cs="宋体" w:hint="eastAsia"/>
          <w:sz w:val="24"/>
          <w:highlight w:val="white"/>
          <w:lang w:eastAsia="zh-CN"/>
        </w:rPr>
        <w:t>除本协议有明确定义外，本协议的用语定义适用《基金合同》的约定。本协议未尽事宜，当事人依据《基金合同》、有关法律法规等规定协商办理。</w:t>
      </w:r>
    </w:p>
    <w:p w:rsidR="00676F42">
      <w:pPr>
        <w:snapToGrid w:val="0"/>
        <w:rPr>
          <w:rFonts w:ascii="宋体" w:hAnsi="宋体" w:cs="宋体"/>
          <w:b/>
          <w:bCs/>
          <w:lang w:eastAsia="zh-CN"/>
        </w:rPr>
      </w:pPr>
    </w:p>
    <w:p w:rsidR="00676F42">
      <w:pPr>
        <w:pStyle w:val="21"/>
        <w:jc w:val="center"/>
        <w:rPr>
          <w:rFonts w:ascii="宋体" w:eastAsia="宋体" w:hAnsi="宋体" w:cs="宋体"/>
          <w:sz w:val="30"/>
          <w:lang w:eastAsia="zh-CN"/>
        </w:rPr>
      </w:pPr>
      <w:bookmarkStart w:id="100" w:name="_Toc68875923"/>
      <w:r>
        <w:rPr>
          <w:rFonts w:ascii="宋体" w:eastAsia="宋体" w:hAnsi="宋体" w:cs="宋体" w:hint="eastAsia"/>
          <w:sz w:val="30"/>
          <w:highlight w:val="white"/>
          <w:lang w:eastAsia="zh-CN"/>
        </w:rPr>
        <w:t>二十一、托管协议的签订</w:t>
      </w:r>
      <w:bookmarkEnd w:id="100"/>
    </w:p>
    <w:p w:rsidR="00676F42">
      <w:pPr>
        <w:snapToGrid w:val="0"/>
        <w:ind w:firstLine="480"/>
        <w:rPr>
          <w:rFonts w:ascii="宋体" w:hAnsi="宋体" w:cs="宋体"/>
          <w:sz w:val="24"/>
          <w:lang w:eastAsia="zh-CN"/>
        </w:rPr>
      </w:pPr>
      <w:r>
        <w:rPr>
          <w:rFonts w:ascii="宋体" w:hAnsi="宋体" w:cs="宋体" w:hint="eastAsia"/>
          <w:sz w:val="24"/>
          <w:highlight w:val="white"/>
          <w:lang w:eastAsia="zh-CN"/>
        </w:rPr>
        <w:t>本协议双方法定代表人或授权代表签章、签订地、签订日</w:t>
      </w:r>
    </w:p>
    <w:p w:rsidR="00676F42">
      <w:pPr>
        <w:widowControl/>
        <w:spacing w:beforeAutospacing="1" w:afterAutospacing="1"/>
        <w:jc w:val="left"/>
        <w:rPr>
          <w:rFonts w:ascii="宋体" w:hAnsi="宋体" w:cs="宋体"/>
          <w:sz w:val="24"/>
          <w:lang w:eastAsia="zh-CN"/>
        </w:rPr>
        <w:sectPr>
          <w:headerReference w:type="default" r:id="rId9"/>
          <w:pgSz w:w="11906" w:h="16838"/>
          <w:pgMar w:top="1418" w:right="1701" w:bottom="1418" w:left="1701" w:header="851" w:footer="992" w:gutter="0"/>
          <w:cols w:space="720"/>
          <w:docGrid w:type="lines" w:linePitch="312"/>
        </w:sect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本页无正文，为《</w:t>
      </w:r>
      <w:r>
        <w:rPr>
          <w:rFonts w:ascii="宋体" w:hAnsi="宋体" w:cs="宋体" w:hint="eastAsia"/>
          <w:sz w:val="24"/>
          <w:lang w:eastAsia="zh-CN"/>
        </w:rPr>
        <w:t>易方达成长领航混合型证券投资基金</w:t>
      </w:r>
      <w:r>
        <w:rPr>
          <w:rFonts w:ascii="宋体" w:hAnsi="宋体" w:cs="宋体" w:hint="eastAsia"/>
          <w:sz w:val="24"/>
          <w:highlight w:val="white"/>
          <w:lang w:eastAsia="zh-CN"/>
        </w:rPr>
        <w:t>托管协议》的签字盖章页。</w:t>
      </w:r>
    </w:p>
    <w:p w:rsidR="00676F42">
      <w:pPr>
        <w:spacing w:line="360" w:lineRule="auto"/>
        <w:rPr>
          <w:rFonts w:ascii="宋体" w:hAnsi="宋体" w:cs="宋体"/>
          <w:sz w:val="24"/>
          <w:lang w:eastAsia="zh-CN"/>
        </w:r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《托管协议》当事人盖章及法定代表人或授权代表签</w:t>
      </w:r>
      <w:r>
        <w:rPr>
          <w:rFonts w:ascii="宋体" w:hAnsi="宋体" w:cs="宋体"/>
          <w:sz w:val="24"/>
          <w:highlight w:val="white"/>
          <w:lang w:eastAsia="zh-CN"/>
        </w:rPr>
        <w:t>字/签章、签订地、签订日</w:t>
      </w:r>
    </w:p>
    <w:p w:rsidR="00676F42">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基金管理人：易方达基金管理有限公司（章）</w:t>
      </w:r>
    </w:p>
    <w:p w:rsidR="00676F42">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法定代表人或授权代表（签字/签章）：</w:t>
      </w:r>
    </w:p>
    <w:p w:rsidR="00676F42">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基金托管人：中国建设银行股份有限公司（章）</w:t>
      </w:r>
    </w:p>
    <w:p w:rsidR="00676F42">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p>
    <w:p w:rsidR="006A3CD4">
      <w:pPr>
        <w:spacing w:line="360" w:lineRule="auto"/>
        <w:ind w:right="26"/>
        <w:rPr>
          <w:rFonts w:ascii="宋体" w:hAnsi="宋体" w:cs="宋体"/>
          <w:sz w:val="24"/>
          <w:lang w:eastAsia="zh-CN"/>
        </w:r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法定代表人或授权代表（签字/签章）：</w:t>
      </w:r>
    </w:p>
    <w:p w:rsidR="006A3CD4">
      <w:pPr>
        <w:spacing w:line="360" w:lineRule="auto"/>
        <w:ind w:right="26"/>
        <w:rPr>
          <w:rFonts w:ascii="宋体" w:hAnsi="宋体" w:cs="宋体"/>
          <w:sz w:val="24"/>
          <w:highlight w:val="white"/>
          <w:lang w:eastAsia="zh-CN"/>
        </w:rPr>
      </w:pPr>
    </w:p>
    <w:p w:rsidR="006A3CD4">
      <w:pPr>
        <w:spacing w:line="360" w:lineRule="auto"/>
        <w:ind w:right="26"/>
        <w:rPr>
          <w:rFonts w:ascii="宋体" w:hAnsi="宋体" w:cs="宋体"/>
          <w:sz w:val="24"/>
          <w:highlight w:val="white"/>
          <w:lang w:eastAsia="zh-CN"/>
        </w:rPr>
      </w:pP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签订地点：</w:t>
      </w:r>
    </w:p>
    <w:p w:rsidR="00676F42">
      <w:pPr>
        <w:spacing w:line="360" w:lineRule="auto"/>
        <w:ind w:right="26"/>
        <w:rPr>
          <w:rFonts w:ascii="宋体" w:hAnsi="宋体" w:cs="宋体"/>
          <w:sz w:val="24"/>
          <w:lang w:eastAsia="zh-CN"/>
        </w:rPr>
      </w:pPr>
      <w:r>
        <w:rPr>
          <w:rFonts w:ascii="宋体" w:hAnsi="宋体" w:cs="宋体" w:hint="eastAsia"/>
          <w:sz w:val="24"/>
          <w:highlight w:val="white"/>
          <w:lang w:eastAsia="zh-CN"/>
        </w:rPr>
        <w:t xml:space="preserve">签订日：   </w:t>
      </w:r>
      <w:r>
        <w:rPr>
          <w:rFonts w:ascii="宋体" w:hAnsi="宋体" w:cs="宋体"/>
          <w:sz w:val="24"/>
          <w:highlight w:val="white"/>
          <w:lang w:eastAsia="zh-CN"/>
        </w:rPr>
        <w:t xml:space="preserve"> </w:t>
      </w:r>
      <w:r>
        <w:rPr>
          <w:rFonts w:ascii="宋体" w:hAnsi="宋体" w:cs="宋体" w:hint="eastAsia"/>
          <w:sz w:val="24"/>
          <w:highlight w:val="white"/>
          <w:lang w:eastAsia="zh-CN"/>
        </w:rPr>
        <w:t>年</w:t>
      </w:r>
      <w:r>
        <w:rPr>
          <w:rFonts w:ascii="宋体" w:hAnsi="宋体" w:cs="宋体"/>
          <w:sz w:val="24"/>
          <w:highlight w:val="white"/>
          <w:lang w:eastAsia="zh-CN"/>
        </w:rPr>
        <w:t xml:space="preserve"> </w:t>
      </w:r>
      <w:r>
        <w:rPr>
          <w:rFonts w:ascii="宋体" w:hAnsi="宋体" w:cs="宋体" w:hint="eastAsia"/>
          <w:sz w:val="24"/>
          <w:highlight w:val="white"/>
          <w:lang w:eastAsia="zh-CN"/>
        </w:rPr>
        <w:t xml:space="preserve">  月</w:t>
      </w:r>
      <w:r>
        <w:rPr>
          <w:rFonts w:ascii="宋体" w:hAnsi="宋体" w:cs="宋体"/>
          <w:sz w:val="24"/>
          <w:highlight w:val="white"/>
          <w:lang w:eastAsia="zh-CN"/>
        </w:rPr>
        <w:t xml:space="preserve"> </w:t>
      </w:r>
      <w:r>
        <w:rPr>
          <w:rFonts w:ascii="宋体" w:hAnsi="宋体" w:cs="宋体" w:hint="eastAsia"/>
          <w:sz w:val="24"/>
          <w:highlight w:val="white"/>
          <w:lang w:eastAsia="zh-CN"/>
        </w:rPr>
        <w:t xml:space="preserve">  日</w:t>
      </w:r>
    </w:p>
    <w:p w:rsidR="00676F42">
      <w:pPr>
        <w:spacing w:line="360" w:lineRule="auto"/>
        <w:rPr>
          <w:rFonts w:ascii="宋体" w:hAnsi="宋体" w:cs="宋体"/>
          <w:lang w:eastAsia="zh-CN"/>
        </w:rPr>
      </w:pPr>
    </w:p>
    <w:sectPr>
      <w:headerReference w:type="default" r:id="rId10"/>
      <w:footerReference w:type="default" r:id="rId11"/>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仿宋简体">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8161314"/>
      <w:placeholder>
        <w:docPart w:val="9a1149f66b8240a793fee1d912384d1a"/>
      </w:placeholder>
      <w:richText/>
    </w:sdtPr>
    <w:sdtContent>
      <w:p w:rsidR="00676F42">
        <w:pPr>
          <w:pStyle w:val="1"/>
          <w:snapToGrid/>
          <w:jc w:val="center"/>
        </w:pPr>
        <w:r>
          <w:fldChar w:fldCharType="begin"/>
        </w:r>
        <w:r>
          <w:rPr>
            <w:highlight w:val="white"/>
          </w:rPr>
          <w:instrText>PAGE   \* MERGEFORMAT</w:instrText>
        </w:r>
        <w:r>
          <w:fldChar w:fldCharType="separate"/>
        </w:r>
        <w:r w:rsidRPr="00540468" w:rsidR="00540468">
          <w:rPr>
            <w:noProof/>
            <w:highlight w:val="white"/>
            <w:lang w:val="zh-CN"/>
          </w:rPr>
          <w:t>31</w:t>
        </w:r>
        <w:r>
          <w:fldChar w:fldCharType="end"/>
        </w:r>
      </w:p>
    </w:sdtContent>
  </w:sdt>
  <w:p w:rsidR="00676F42">
    <w:pPr>
      <w:pStyle w:val="1"/>
      <w:snapToGri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6F42">
    <w:pPr>
      <w:pStyle w:val="1"/>
      <w:snapToGri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6F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6F42"/>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姚栋梁">
    <w15:presenceInfo w15:providerId="None" w15:userId="姚栋梁"/>
  </w15:person>
  <w15:person w15:author="廖生暖">
    <w15:presenceInfo w15:providerId="None" w15:userId="廖生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A06"/>
    <w:rsid w:val="000C5530"/>
    <w:rsid w:val="00166D1E"/>
    <w:rsid w:val="00317318"/>
    <w:rsid w:val="003234C8"/>
    <w:rsid w:val="00454CED"/>
    <w:rsid w:val="00483357"/>
    <w:rsid w:val="004B2003"/>
    <w:rsid w:val="00540468"/>
    <w:rsid w:val="00676F42"/>
    <w:rsid w:val="006A3CD4"/>
    <w:rsid w:val="007A3586"/>
    <w:rsid w:val="00844903"/>
    <w:rsid w:val="00992DB7"/>
    <w:rsid w:val="00B605D3"/>
    <w:rsid w:val="00BB2E27"/>
    <w:rsid w:val="00C314E8"/>
    <w:rsid w:val="00C72A06"/>
    <w:rsid w:val="00E2342F"/>
    <w:rsid w:val="00EB4879"/>
    <w:rsid w:val="72F504B1"/>
    <w:rsid w:val="7F76D6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DB285AF7-7E0E-47FD-95D5-CF448529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uiPriority="39"/>
    <w:lsdException w:name="toc 3" w:semiHidden="1" w:uiPriority="0"/>
    <w:lsdException w:name="toc 4" w:semiHidden="1" w:uiPriority="0"/>
    <w:lsdException w:name="toc 5" w:semiHidden="1" w:uiPriority="0"/>
    <w:lsdException w:name="toc 6" w:semiHidden="1" w:uiPriority="0" w:qFormat="1"/>
    <w:lsdException w:name="toc 7" w:semiHidden="1" w:uiPriority="0"/>
    <w:lsdException w:name="toc 8" w:semiHidden="1" w:uiPriority="0"/>
    <w:lsdException w:name="toc 9" w:semiHidden="1" w:uiPriority="0"/>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rFonts w:ascii="Times New Roman" w:hAnsi="Times New Roman" w:cs="Times New Roman"/>
      <w:sz w:val="21"/>
      <w:szCs w:val="24"/>
      <w:lang w:eastAsia="en-US"/>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pPr>
      <w:ind w:left="2520"/>
    </w:pPr>
  </w:style>
  <w:style w:type="paragraph" w:styleId="NormalIndent">
    <w:name w:val="Normal Indent"/>
    <w:basedOn w:val="Normal"/>
    <w:qFormat/>
    <w:pPr>
      <w:ind w:firstLine="420"/>
    </w:p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CommentText">
    <w:name w:val="annotation text"/>
    <w:basedOn w:val="Normal"/>
    <w:link w:val="a8"/>
    <w:qFormat/>
    <w:pPr>
      <w:jc w:val="left"/>
    </w:pPr>
  </w:style>
  <w:style w:type="paragraph" w:styleId="BodyText">
    <w:name w:val="Body Text"/>
    <w:basedOn w:val="Normal"/>
    <w:link w:val="a5"/>
    <w:qFormat/>
    <w:pPr>
      <w:spacing w:line="360" w:lineRule="auto"/>
    </w:pPr>
    <w:rPr>
      <w:rFonts w:ascii="仿宋_GB2312" w:eastAsia="仿宋_GB2312"/>
      <w:color w:val="000000"/>
      <w:sz w:val="24"/>
      <w:szCs w:val="28"/>
    </w:rPr>
  </w:style>
  <w:style w:type="paragraph" w:styleId="BodyTextIndent">
    <w:name w:val="Body Text Indent"/>
    <w:basedOn w:val="Normal"/>
    <w:link w:val="a6"/>
    <w:qFormat/>
    <w:pPr>
      <w:snapToGrid w:val="0"/>
      <w:spacing w:line="560" w:lineRule="exact"/>
      <w:ind w:firstLine="480"/>
    </w:pPr>
    <w:rPr>
      <w:rFonts w:eastAsia="方正仿宋简体"/>
      <w:sz w:val="24"/>
      <w:szCs w:val="30"/>
    </w:rPr>
  </w:style>
  <w:style w:type="paragraph" w:styleId="TOC5">
    <w:name w:val="toc 5"/>
    <w:basedOn w:val="Normal"/>
    <w:next w:val="Normal"/>
    <w:semiHidden/>
    <w:pPr>
      <w:ind w:left="1680"/>
    </w:pPr>
  </w:style>
  <w:style w:type="paragraph" w:styleId="TOC3">
    <w:name w:val="toc 3"/>
    <w:basedOn w:val="Normal"/>
    <w:next w:val="Normal"/>
    <w:semiHidden/>
    <w:pPr>
      <w:ind w:left="840"/>
    </w:pPr>
  </w:style>
  <w:style w:type="paragraph" w:styleId="TOC8">
    <w:name w:val="toc 8"/>
    <w:basedOn w:val="Normal"/>
    <w:next w:val="Normal"/>
    <w:semiHidden/>
    <w:pPr>
      <w:ind w:left="2940"/>
    </w:pPr>
  </w:style>
  <w:style w:type="paragraph" w:styleId="BodyTextIndent2">
    <w:name w:val="Body Text Indent 2"/>
    <w:basedOn w:val="Normal"/>
    <w:link w:val="20"/>
    <w:pPr>
      <w:spacing w:line="360" w:lineRule="auto"/>
      <w:ind w:firstLine="525"/>
    </w:pPr>
    <w:rPr>
      <w:rFonts w:ascii="宋体" w:hAnsi="宋体"/>
      <w:sz w:val="28"/>
      <w:szCs w:val="20"/>
    </w:rPr>
  </w:style>
  <w:style w:type="paragraph" w:styleId="EndnoteText">
    <w:name w:val="endnote text"/>
    <w:basedOn w:val="Normal"/>
    <w:link w:val="a"/>
    <w:uiPriority w:val="99"/>
    <w:semiHidden/>
    <w:unhideWhenUsed/>
    <w:rPr>
      <w:sz w:val="20"/>
    </w:rPr>
  </w:style>
  <w:style w:type="paragraph" w:styleId="BalloonText">
    <w:name w:val="Balloon Text"/>
    <w:basedOn w:val="Normal"/>
    <w:link w:val="a7"/>
    <w:semiHidden/>
    <w:rPr>
      <w:sz w:val="18"/>
      <w:szCs w:val="18"/>
    </w:rPr>
  </w:style>
  <w:style w:type="paragraph" w:styleId="Footer">
    <w:name w:val="footer"/>
    <w:basedOn w:val="Normal"/>
    <w:link w:val="a11"/>
    <w:uiPriority w:val="99"/>
    <w:unhideWhenUsed/>
    <w:pPr>
      <w:tabs>
        <w:tab w:val="center" w:pos="4153"/>
        <w:tab w:val="right" w:pos="8306"/>
      </w:tabs>
      <w:snapToGrid w:val="0"/>
      <w:jc w:val="left"/>
    </w:pPr>
    <w:rPr>
      <w:sz w:val="18"/>
      <w:szCs w:val="18"/>
    </w:rPr>
  </w:style>
  <w:style w:type="paragraph" w:styleId="Header">
    <w:name w:val="header"/>
    <w:basedOn w:val="Normal"/>
    <w:link w:val="a10"/>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semiHidden/>
  </w:style>
  <w:style w:type="paragraph" w:styleId="TOC4">
    <w:name w:val="toc 4"/>
    <w:basedOn w:val="Normal"/>
    <w:next w:val="Normal"/>
    <w:semiHidden/>
    <w:pPr>
      <w:ind w:left="1260"/>
    </w:pPr>
  </w:style>
  <w:style w:type="paragraph" w:styleId="Subtitle">
    <w:name w:val="Subtitle"/>
    <w:basedOn w:val="Normal"/>
    <w:next w:val="Normal"/>
    <w:link w:val="a1"/>
    <w:uiPriority w:val="11"/>
    <w:qFormat/>
    <w:pPr>
      <w:spacing w:before="200" w:after="200"/>
    </w:pPr>
    <w:rPr>
      <w:sz w:val="24"/>
    </w:rPr>
  </w:style>
  <w:style w:type="paragraph" w:styleId="FootnoteText">
    <w:name w:val="footnote text"/>
    <w:basedOn w:val="Normal"/>
    <w:link w:val="a4"/>
    <w:uiPriority w:val="99"/>
    <w:semiHidden/>
    <w:unhideWhenUsed/>
    <w:qFormat/>
    <w:pPr>
      <w:spacing w:after="40"/>
    </w:pPr>
    <w:rPr>
      <w:sz w:val="18"/>
    </w:rPr>
  </w:style>
  <w:style w:type="paragraph" w:styleId="TOC6">
    <w:name w:val="toc 6"/>
    <w:basedOn w:val="Normal"/>
    <w:next w:val="Normal"/>
    <w:semiHidden/>
    <w:qFormat/>
    <w:pPr>
      <w:ind w:left="2100"/>
    </w:pPr>
  </w:style>
  <w:style w:type="paragraph" w:styleId="BodyTextIndent3">
    <w:name w:val="Body Text Indent 3"/>
    <w:basedOn w:val="Normal"/>
    <w:link w:val="30"/>
    <w:pPr>
      <w:snapToGrid w:val="0"/>
      <w:ind w:firstLine="480"/>
    </w:pPr>
    <w:rPr>
      <w:rFonts w:ascii="仿宋_GB2312" w:eastAsia="仿宋_GB2312" w:hAnsi="宋体" w:cs="Arial"/>
      <w:color w:val="000000"/>
      <w:sz w:val="24"/>
    </w:rPr>
  </w:style>
  <w:style w:type="paragraph" w:styleId="TableofFigures">
    <w:name w:val="table of figures"/>
    <w:basedOn w:val="Normal"/>
    <w:next w:val="Normal"/>
    <w:uiPriority w:val="99"/>
    <w:unhideWhenUsed/>
  </w:style>
  <w:style w:type="paragraph" w:styleId="TOC2">
    <w:name w:val="toc 2"/>
    <w:basedOn w:val="Normal"/>
    <w:next w:val="Normal"/>
    <w:uiPriority w:val="39"/>
    <w:pPr>
      <w:tabs>
        <w:tab w:val="right" w:leader="dot" w:pos="8494"/>
      </w:tabs>
      <w:ind w:left="420"/>
    </w:pPr>
  </w:style>
  <w:style w:type="paragraph" w:styleId="TOC9">
    <w:name w:val="toc 9"/>
    <w:basedOn w:val="Normal"/>
    <w:next w:val="Normal"/>
    <w:semiHidden/>
    <w:pPr>
      <w:ind w:left="3360"/>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styleId="NormalWeb">
    <w:name w:val="Normal (Web)"/>
    <w:basedOn w:val="Normal"/>
    <w:uiPriority w:val="99"/>
    <w:qFormat/>
    <w:pPr>
      <w:widowControl/>
      <w:spacing w:before="100" w:beforeAutospacing="1" w:after="100" w:afterAutospacing="1"/>
      <w:jc w:val="left"/>
    </w:pPr>
    <w:rPr>
      <w:rFonts w:ascii="Arial Unicode MS" w:hAnsi="Arial Unicode MS" w:cs="Arial Unicode MS"/>
      <w:sz w:val="24"/>
    </w:rPr>
  </w:style>
  <w:style w:type="paragraph" w:styleId="Title">
    <w:name w:val="Title"/>
    <w:basedOn w:val="Normal"/>
    <w:next w:val="Normal"/>
    <w:link w:val="a0"/>
    <w:uiPriority w:val="10"/>
    <w:qFormat/>
    <w:pPr>
      <w:spacing w:before="300" w:after="200"/>
      <w:contextualSpacing/>
    </w:pPr>
    <w:rPr>
      <w:sz w:val="48"/>
      <w:szCs w:val="48"/>
    </w:rPr>
  </w:style>
  <w:style w:type="paragraph" w:styleId="CommentSubject">
    <w:name w:val="annotation subject"/>
    <w:basedOn w:val="CommentText"/>
    <w:next w:val="CommentText"/>
    <w:link w:val="a9"/>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uiPriority w:val="99"/>
    <w:unhideWhenUsed/>
    <w:qFormat/>
    <w:rPr>
      <w:vertAlign w:val="superscript"/>
    </w:rPr>
  </w:style>
  <w:style w:type="paragraph" w:customStyle="1" w:styleId="21">
    <w:name w:val="标题 21"/>
    <w:basedOn w:val="Normal"/>
    <w:next w:val="NormalIndent"/>
    <w:link w:val="2Char"/>
    <w:qFormat/>
    <w:pPr>
      <w:keepNext/>
      <w:keepLines/>
      <w:spacing w:before="260" w:after="260" w:line="416" w:lineRule="auto"/>
      <w:outlineLvl w:val="1"/>
    </w:pPr>
    <w:rPr>
      <w:rFonts w:ascii="Arial" w:eastAsia="黑体" w:hAnsi="Arial"/>
      <w:b/>
      <w:sz w:val="32"/>
      <w:szCs w:val="20"/>
    </w:rPr>
  </w:style>
  <w:style w:type="character" w:customStyle="1" w:styleId="a">
    <w:name w:val="尾注文本 字符"/>
    <w:link w:val="EndnoteText"/>
    <w:uiPriority w:val="99"/>
    <w:rPr>
      <w:sz w:val="20"/>
    </w:rPr>
  </w:style>
  <w:style w:type="paragraph" w:customStyle="1" w:styleId="1">
    <w:name w:val="页脚1"/>
    <w:basedOn w:val="Normal"/>
    <w:link w:val="Char"/>
    <w:uiPriority w:val="99"/>
    <w:unhideWhenUsed/>
    <w:qFormat/>
    <w:pPr>
      <w:tabs>
        <w:tab w:val="center" w:pos="4153"/>
        <w:tab w:val="right" w:pos="8306"/>
      </w:tabs>
      <w:snapToGrid w:val="0"/>
      <w:jc w:val="left"/>
    </w:pPr>
    <w:rPr>
      <w:sz w:val="18"/>
      <w:szCs w:val="18"/>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paragraph" w:styleId="ListParagraph">
    <w:name w:val="List Paragraph"/>
    <w:basedOn w:val="Normal"/>
    <w:uiPriority w:val="34"/>
    <w:qFormat/>
    <w:pPr>
      <w:ind w:left="720"/>
      <w:contextualSpacing/>
    </w:pPr>
  </w:style>
  <w:style w:type="paragraph" w:styleId="NoSpacing">
    <w:name w:val="No Spacing"/>
    <w:uiPriority w:val="1"/>
    <w:qFormat/>
    <w:pPr>
      <w:shd w:val="clear" w:color="FFFFFF" w:fill="FFFFFF"/>
    </w:pPr>
    <w:rPr>
      <w:sz w:val="21"/>
      <w:szCs w:val="22"/>
      <w:lang w:eastAsia="en-US"/>
    </w:rPr>
  </w:style>
  <w:style w:type="character" w:customStyle="1" w:styleId="a0">
    <w:name w:val="标题 字符"/>
    <w:basedOn w:val="DefaultParagraphFont"/>
    <w:link w:val="Title"/>
    <w:uiPriority w:val="10"/>
    <w:qFormat/>
    <w:rPr>
      <w:sz w:val="48"/>
      <w:szCs w:val="48"/>
    </w:rPr>
  </w:style>
  <w:style w:type="character" w:customStyle="1" w:styleId="a1">
    <w:name w:val="副标题 字符"/>
    <w:basedOn w:val="DefaultParagraphFont"/>
    <w:link w:val="Subtitle"/>
    <w:uiPriority w:val="11"/>
    <w:qFormat/>
    <w:rPr>
      <w:sz w:val="24"/>
      <w:szCs w:val="24"/>
    </w:rPr>
  </w:style>
  <w:style w:type="paragraph" w:styleId="Quote">
    <w:name w:val="Quote"/>
    <w:basedOn w:val="Normal"/>
    <w:next w:val="Normal"/>
    <w:link w:val="a2"/>
    <w:uiPriority w:val="29"/>
    <w:qFormat/>
    <w:pPr>
      <w:ind w:left="720" w:right="720"/>
    </w:pPr>
    <w:rPr>
      <w:i/>
    </w:rPr>
  </w:style>
  <w:style w:type="character" w:customStyle="1" w:styleId="a2">
    <w:name w:val="引用 字符"/>
    <w:link w:val="Quote"/>
    <w:uiPriority w:val="29"/>
    <w:qFormat/>
    <w:rPr>
      <w:i/>
    </w:rPr>
  </w:style>
  <w:style w:type="paragraph" w:styleId="IntenseQuote">
    <w:name w:val="Intense Quote"/>
    <w:basedOn w:val="Normal"/>
    <w:next w:val="Normal"/>
    <w:link w:val="a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3">
    <w:name w:val="明显引用 字符"/>
    <w:link w:val="IntenseQuote"/>
    <w:uiPriority w:val="30"/>
    <w:qFormat/>
    <w:rPr>
      <w:i/>
    </w:rPr>
  </w:style>
  <w:style w:type="character" w:customStyle="1" w:styleId="a4">
    <w:name w:val="脚注文本 字符"/>
    <w:link w:val="FootnoteText"/>
    <w:uiPriority w:val="99"/>
    <w:qFormat/>
    <w:rPr>
      <w:sz w:val="18"/>
    </w:rPr>
  </w:style>
  <w:style w:type="character" w:customStyle="1" w:styleId="2Char">
    <w:name w:val="标题 2 Char"/>
    <w:basedOn w:val="DefaultParagraphFont"/>
    <w:link w:val="21"/>
    <w:qFormat/>
    <w:rPr>
      <w:rFonts w:ascii="Arial" w:eastAsia="黑体" w:hAnsi="Arial" w:cs="Times New Roman"/>
      <w:b/>
      <w:sz w:val="32"/>
      <w:szCs w:val="20"/>
    </w:rPr>
  </w:style>
  <w:style w:type="character" w:customStyle="1" w:styleId="Char">
    <w:name w:val="页脚 Char"/>
    <w:basedOn w:val="DefaultParagraphFont"/>
    <w:link w:val="1"/>
    <w:uiPriority w:val="99"/>
    <w:qFormat/>
    <w:rPr>
      <w:rFonts w:ascii="Times New Roman" w:eastAsia="宋体" w:hAnsi="Times New Roman" w:cs="Times New Roman"/>
      <w:sz w:val="18"/>
      <w:szCs w:val="18"/>
    </w:rPr>
  </w:style>
  <w:style w:type="character" w:customStyle="1" w:styleId="a5">
    <w:name w:val="正文文本 字符"/>
    <w:basedOn w:val="DefaultParagraphFont"/>
    <w:link w:val="BodyText"/>
    <w:qFormat/>
    <w:rPr>
      <w:rFonts w:ascii="仿宋_GB2312" w:eastAsia="仿宋_GB2312" w:hAnsi="Times New Roman" w:cs="Times New Roman"/>
      <w:color w:val="000000"/>
      <w:sz w:val="24"/>
      <w:szCs w:val="28"/>
    </w:rPr>
  </w:style>
  <w:style w:type="character" w:customStyle="1" w:styleId="read">
    <w:name w:val="read"/>
    <w:basedOn w:val="DefaultParagraphFont"/>
    <w:qFormat/>
  </w:style>
  <w:style w:type="character" w:customStyle="1" w:styleId="a6">
    <w:name w:val="正文文本缩进 字符"/>
    <w:basedOn w:val="DefaultParagraphFont"/>
    <w:link w:val="BodyTextIndent"/>
    <w:rPr>
      <w:rFonts w:ascii="Times New Roman" w:eastAsia="方正仿宋简体" w:hAnsi="Times New Roman" w:cs="Times New Roman"/>
      <w:sz w:val="24"/>
      <w:szCs w:val="30"/>
    </w:rPr>
  </w:style>
  <w:style w:type="character" w:customStyle="1" w:styleId="20">
    <w:name w:val="正文文本缩进 2 字符"/>
    <w:basedOn w:val="DefaultParagraphFont"/>
    <w:link w:val="BodyTextIndent2"/>
    <w:qFormat/>
    <w:rPr>
      <w:rFonts w:ascii="宋体" w:eastAsia="宋体" w:hAnsi="宋体" w:cs="Times New Roman"/>
      <w:sz w:val="28"/>
      <w:szCs w:val="20"/>
    </w:rPr>
  </w:style>
  <w:style w:type="character" w:customStyle="1" w:styleId="30">
    <w:name w:val="正文文本缩进 3 字符"/>
    <w:basedOn w:val="DefaultParagraphFont"/>
    <w:link w:val="BodyTextIndent3"/>
    <w:qFormat/>
    <w:rPr>
      <w:rFonts w:ascii="仿宋_GB2312" w:eastAsia="仿宋_GB2312" w:hAnsi="宋体" w:cs="Arial"/>
      <w:color w:val="000000"/>
      <w:sz w:val="24"/>
      <w:szCs w:val="24"/>
    </w:rPr>
  </w:style>
  <w:style w:type="character" w:customStyle="1" w:styleId="a7">
    <w:name w:val="批注框文本 字符"/>
    <w:basedOn w:val="DefaultParagraphFont"/>
    <w:link w:val="BalloonText"/>
    <w:semiHidden/>
    <w:rPr>
      <w:rFonts w:ascii="Times New Roman" w:eastAsia="宋体" w:hAnsi="Times New Roman" w:cs="Times New Roman"/>
      <w:sz w:val="18"/>
      <w:szCs w:val="18"/>
    </w:rPr>
  </w:style>
  <w:style w:type="character" w:customStyle="1" w:styleId="a8">
    <w:name w:val="批注文字 字符"/>
    <w:basedOn w:val="DefaultParagraphFont"/>
    <w:link w:val="CommentText"/>
    <w:qFormat/>
    <w:rPr>
      <w:rFonts w:ascii="Times New Roman" w:eastAsia="宋体" w:hAnsi="Times New Roman" w:cs="Times New Roman"/>
      <w:sz w:val="24"/>
      <w:szCs w:val="24"/>
    </w:rPr>
  </w:style>
  <w:style w:type="character" w:customStyle="1" w:styleId="HTML">
    <w:name w:val="HTML 预设格式 字符"/>
    <w:basedOn w:val="DefaultParagraphFont"/>
    <w:link w:val="HTMLPreformatted"/>
    <w:uiPriority w:val="99"/>
    <w:rPr>
      <w:rFonts w:ascii="宋体" w:eastAsia="宋体" w:hAnsi="宋体" w:cs="宋体"/>
      <w:sz w:val="24"/>
      <w:szCs w:val="24"/>
    </w:rPr>
  </w:style>
  <w:style w:type="character" w:customStyle="1" w:styleId="a9">
    <w:name w:val="批注主题 字符"/>
    <w:basedOn w:val="a8"/>
    <w:link w:val="CommentSubject"/>
    <w:qFormat/>
    <w:rPr>
      <w:rFonts w:ascii="Times New Roman" w:eastAsia="宋体" w:hAnsi="Times New Roman" w:cs="Times New Roman"/>
      <w:b/>
      <w:bCs/>
      <w:sz w:val="24"/>
      <w:szCs w:val="24"/>
    </w:rPr>
  </w:style>
  <w:style w:type="character" w:customStyle="1" w:styleId="a10">
    <w:name w:val="页眉 字符"/>
    <w:basedOn w:val="DefaultParagraphFont"/>
    <w:link w:val="Header"/>
    <w:uiPriority w:val="99"/>
    <w:rPr>
      <w:rFonts w:ascii="Times New Roman" w:hAnsi="Times New Roman" w:cs="Times New Roman"/>
      <w:sz w:val="18"/>
      <w:szCs w:val="18"/>
      <w:shd w:val="clear" w:color="FFFFFF" w:fill="FFFFFF"/>
    </w:rPr>
  </w:style>
  <w:style w:type="character" w:customStyle="1" w:styleId="a11">
    <w:name w:val="页脚 字符"/>
    <w:basedOn w:val="DefaultParagraphFont"/>
    <w:link w:val="Footer"/>
    <w:uiPriority w:val="99"/>
    <w:rPr>
      <w:rFonts w:ascii="Times New Roman" w:hAnsi="Times New Roman" w:cs="Times New Roman"/>
      <w:sz w:val="18"/>
      <w:szCs w:val="18"/>
      <w:shd w:val="clear" w:color="FFFF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image" Target="media/image2.jpeg" /><Relationship Id="rId8" Type="http://schemas.openxmlformats.org/officeDocument/2006/relationships/image" Target="media/image3.jpeg" /><Relationship Id="rId9" Type="http://schemas.openxmlformats.org/officeDocument/2006/relationships/header" Target="header1.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a1149f66b8240a793fee1d912384d1a"/>
        <w:category>
          <w:name w:val="(Empty Category)"/>
          <w:gallery w:val="any"/>
        </w:category>
        <w:behaviors>
          <w:behavior w:val="content"/>
        </w:behaviors>
        <w:guid w:val="{695519A6-C1E9-4725-A6D4-D839CD7A8B5B}"/>
      </w:docPartPr>
      <w:docPartBody>
        <w:p w:rsidR="00EB4879">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仿宋简体">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comments="1" w:formatting="1" w:inkAnnotations="0" w:insDel="1" w:markup="1"/>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1E"/>
    <w:rsid w:val="00166D1E"/>
    <w:rsid w:val="001F7E5A"/>
    <w:rsid w:val="004F0B1F"/>
    <w:rsid w:val="006B0C61"/>
    <w:rsid w:val="009C37C1"/>
    <w:rsid w:val="00EB487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Heading1">
    <w:name w:val="heading 1"/>
    <w:basedOn w:val="Normal"/>
    <w:next w:val="Normal"/>
    <w:link w:val="1"/>
    <w:uiPriority w:val="9"/>
    <w:qFormat/>
    <w:pPr>
      <w:keepNext/>
      <w:keepLines/>
      <w:spacing w:before="480" w:after="200"/>
      <w:outlineLvl w:val="0"/>
    </w:pPr>
    <w:rPr>
      <w:sz w:val="40"/>
      <w:szCs w:val="40"/>
    </w:rPr>
  </w:style>
  <w:style w:type="paragraph" w:styleId="Heading2">
    <w:name w:val="heading 2"/>
    <w:basedOn w:val="Normal"/>
    <w:next w:val="Normal"/>
    <w:link w:val="2"/>
    <w:uiPriority w:val="9"/>
    <w:unhideWhenUsed/>
    <w:qFormat/>
    <w:pPr>
      <w:keepNext/>
      <w:keepLines/>
      <w:spacing w:before="360" w:after="200"/>
      <w:outlineLvl w:val="1"/>
    </w:pPr>
    <w:rPr>
      <w:sz w:val="34"/>
    </w:rPr>
  </w:style>
  <w:style w:type="paragraph" w:styleId="Heading3">
    <w:name w:val="heading 3"/>
    <w:basedOn w:val="Normal"/>
    <w:next w:val="Normal"/>
    <w:link w:val="3"/>
    <w:uiPriority w:val="9"/>
    <w:unhideWhenUsed/>
    <w:qFormat/>
    <w:pPr>
      <w:keepNext/>
      <w:keepLines/>
      <w:spacing w:before="320" w:after="200"/>
      <w:outlineLvl w:val="2"/>
    </w:pPr>
    <w:rPr>
      <w:sz w:val="30"/>
      <w:szCs w:val="30"/>
    </w:rPr>
  </w:style>
  <w:style w:type="paragraph" w:styleId="Heading4">
    <w:name w:val="heading 4"/>
    <w:basedOn w:val="Normal"/>
    <w:next w:val="Normal"/>
    <w:link w:val="4"/>
    <w:uiPriority w:val="9"/>
    <w:unhideWhenUsed/>
    <w:qFormat/>
    <w:pPr>
      <w:keepNext/>
      <w:keepLines/>
      <w:spacing w:before="320" w:after="200"/>
      <w:outlineLvl w:val="3"/>
    </w:pPr>
    <w:rPr>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b/>
      <w:bCs/>
      <w:sz w:val="24"/>
      <w:szCs w:val="24"/>
    </w:rPr>
  </w:style>
  <w:style w:type="paragraph" w:styleId="Heading6">
    <w:name w:val="heading 6"/>
    <w:basedOn w:val="Normal"/>
    <w:next w:val="Normal"/>
    <w:link w:val="6"/>
    <w:uiPriority w:val="9"/>
    <w:unhideWhenUsed/>
    <w:qFormat/>
    <w:pPr>
      <w:keepNext/>
      <w:keepLines/>
      <w:spacing w:before="320" w:after="200"/>
      <w:outlineLvl w:val="5"/>
    </w:pPr>
    <w:rPr>
      <w:b/>
      <w:bCs/>
    </w:rPr>
  </w:style>
  <w:style w:type="paragraph" w:styleId="Heading7">
    <w:name w:val="heading 7"/>
    <w:basedOn w:val="Normal"/>
    <w:next w:val="Normal"/>
    <w:link w:val="7"/>
    <w:uiPriority w:val="9"/>
    <w:unhideWhenUsed/>
    <w:qFormat/>
    <w:pPr>
      <w:keepNext/>
      <w:keepLines/>
      <w:spacing w:before="320" w:after="200"/>
      <w:outlineLvl w:val="6"/>
    </w:pPr>
    <w:rPr>
      <w:b/>
      <w:bCs/>
      <w:i/>
      <w:iCs/>
    </w:rPr>
  </w:style>
  <w:style w:type="paragraph" w:styleId="Heading8">
    <w:name w:val="heading 8"/>
    <w:basedOn w:val="Normal"/>
    <w:next w:val="Normal"/>
    <w:link w:val="8"/>
    <w:uiPriority w:val="9"/>
    <w:unhideWhenUsed/>
    <w:qFormat/>
    <w:pPr>
      <w:keepNext/>
      <w:keepLines/>
      <w:spacing w:before="320" w:after="200"/>
      <w:outlineLvl w:val="7"/>
    </w:pPr>
    <w:rPr>
      <w:i/>
      <w:iCs/>
    </w:rPr>
  </w:style>
  <w:style w:type="paragraph" w:styleId="Heading9">
    <w:name w:val="heading 9"/>
    <w:basedOn w:val="Normal"/>
    <w:next w:val="Normal"/>
    <w:link w:val="9"/>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rPr>
      <w:rFonts w:ascii="Arial" w:hAnsi="Arial" w:cs="Arial"/>
      <w:sz w:val="34"/>
    </w:rPr>
  </w:style>
  <w:style w:type="character" w:customStyle="1" w:styleId="3">
    <w:name w:val="标题 3 字符"/>
    <w:basedOn w:val="DefaultParagraphFont"/>
    <w:link w:val="Heading3"/>
    <w:uiPriority w:val="9"/>
    <w:rPr>
      <w:rFonts w:ascii="Arial" w:hAnsi="Arial" w:cs="Arial"/>
      <w:sz w:val="30"/>
      <w:szCs w:val="30"/>
    </w:rPr>
  </w:style>
  <w:style w:type="character" w:customStyle="1" w:styleId="4">
    <w:name w:val="标题 4 字符"/>
    <w:basedOn w:val="DefaultParagraphFont"/>
    <w:link w:val="Heading4"/>
    <w:uiPriority w:val="9"/>
    <w:rPr>
      <w:rFonts w:ascii="Arial" w:hAnsi="Arial" w:cs="Arial"/>
      <w:b/>
      <w:bCs/>
      <w:sz w:val="26"/>
      <w:szCs w:val="26"/>
    </w:rPr>
  </w:style>
  <w:style w:type="character" w:customStyle="1" w:styleId="5">
    <w:name w:val="标题 5 字符"/>
    <w:basedOn w:val="DefaultParagraphFont"/>
    <w:link w:val="Heading5"/>
    <w:uiPriority w:val="9"/>
    <w:rPr>
      <w:rFonts w:ascii="Arial" w:hAnsi="Arial" w:cs="Arial"/>
      <w:b/>
      <w:bCs/>
      <w:sz w:val="24"/>
      <w:szCs w:val="24"/>
    </w:rPr>
  </w:style>
  <w:style w:type="character" w:customStyle="1" w:styleId="6">
    <w:name w:val="标题 6 字符"/>
    <w:basedOn w:val="DefaultParagraphFont"/>
    <w:link w:val="Heading6"/>
    <w:uiPriority w:val="9"/>
    <w:rPr>
      <w:rFonts w:ascii="Arial" w:hAnsi="Arial" w:cs="Arial"/>
      <w:b/>
      <w:bCs/>
      <w:sz w:val="22"/>
      <w:szCs w:val="22"/>
    </w:rPr>
  </w:style>
  <w:style w:type="character" w:customStyle="1" w:styleId="7">
    <w:name w:val="标题 7 字符"/>
    <w:basedOn w:val="DefaultParagraphFont"/>
    <w:link w:val="Heading7"/>
    <w:uiPriority w:val="9"/>
    <w:rPr>
      <w:rFonts w:ascii="Arial" w:hAnsi="Arial" w:cs="Arial"/>
      <w:b/>
      <w:bCs/>
      <w:i/>
      <w:iCs/>
      <w:sz w:val="22"/>
      <w:szCs w:val="22"/>
    </w:rPr>
  </w:style>
  <w:style w:type="character" w:customStyle="1" w:styleId="8">
    <w:name w:val="标题 8 字符"/>
    <w:basedOn w:val="DefaultParagraphFont"/>
    <w:link w:val="Heading8"/>
    <w:uiPriority w:val="9"/>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rPr>
  </w:style>
  <w:style w:type="paragraph" w:styleId="Title">
    <w:name w:val="Title"/>
    <w:basedOn w:val="Normal"/>
    <w:next w:val="Normal"/>
    <w:link w:val="a"/>
    <w:uiPriority w:val="10"/>
    <w:qFormat/>
    <w:pPr>
      <w:spacing w:before="300" w:after="200"/>
      <w:contextualSpacing/>
    </w:pPr>
    <w:rPr>
      <w:sz w:val="48"/>
      <w:szCs w:val="48"/>
    </w:rPr>
  </w:style>
  <w:style w:type="character" w:customStyle="1" w:styleId="a">
    <w:name w:val="标题 字符"/>
    <w:basedOn w:val="DefaultParagraphFont"/>
    <w:link w:val="Title"/>
    <w:uiPriority w:val="10"/>
    <w:rPr>
      <w:sz w:val="48"/>
      <w:szCs w:val="48"/>
    </w:rPr>
  </w:style>
  <w:style w:type="paragraph" w:styleId="Subtitle">
    <w:name w:val="Subtitle"/>
    <w:basedOn w:val="Normal"/>
    <w:next w:val="Normal"/>
    <w:link w:val="a0"/>
    <w:uiPriority w:val="11"/>
    <w:qFormat/>
    <w:pPr>
      <w:spacing w:before="200" w:after="200"/>
    </w:pPr>
    <w:rPr>
      <w:sz w:val="24"/>
      <w:szCs w:val="24"/>
    </w:rPr>
  </w:style>
  <w:style w:type="character" w:customStyle="1" w:styleId="a0">
    <w:name w:val="副标题 字符"/>
    <w:basedOn w:val="DefaultParagraphFont"/>
    <w:link w:val="Subtitle"/>
    <w:uiPriority w:val="11"/>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paragraph" w:styleId="Header">
    <w:name w:val="header"/>
    <w:basedOn w:val="Normal"/>
    <w:link w:val="a3"/>
    <w:uiPriority w:val="99"/>
    <w:unhideWhenUsed/>
    <w:pPr>
      <w:tabs>
        <w:tab w:val="center" w:pos="7143"/>
        <w:tab w:val="right" w:pos="14287"/>
      </w:tabs>
    </w:pPr>
  </w:style>
  <w:style w:type="character" w:customStyle="1" w:styleId="a3">
    <w:name w:val="页眉 字符"/>
    <w:basedOn w:val="DefaultParagraphFont"/>
    <w:link w:val="Header"/>
    <w:uiPriority w:val="99"/>
  </w:style>
  <w:style w:type="paragraph" w:styleId="Footer">
    <w:name w:val="footer"/>
    <w:basedOn w:val="Normal"/>
    <w:link w:val="a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a4">
    <w:name w:val="页脚 字符"/>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a5"/>
    <w:uiPriority w:val="99"/>
    <w:semiHidden/>
    <w:unhideWhenUsed/>
    <w:pPr>
      <w:spacing w:after="40"/>
    </w:pPr>
    <w:rPr>
      <w:sz w:val="18"/>
    </w:rPr>
  </w:style>
  <w:style w:type="character" w:customStyle="1" w:styleId="a5">
    <w:name w:val="脚注文本 字符"/>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a6"/>
    <w:uiPriority w:val="99"/>
    <w:semiHidden/>
    <w:unhideWhenUsed/>
    <w:qFormat/>
    <w:rPr>
      <w:sz w:val="20"/>
    </w:rPr>
  </w:style>
  <w:style w:type="character" w:customStyle="1" w:styleId="a6">
    <w:name w:val="尾注文本 字符"/>
    <w:link w:val="EndnoteText"/>
    <w:uiPriority w:val="99"/>
    <w:qFormat/>
    <w:rPr>
      <w:sz w:val="20"/>
    </w:rPr>
  </w:style>
  <w:style w:type="character" w:styleId="EndnoteReference">
    <w:name w:val="endnote reference"/>
    <w:basedOn w:val="DefaultParagraphFont"/>
    <w:uiPriority w:val="99"/>
    <w:semiHidden/>
    <w:unhideWhenUsed/>
    <w:qFormat/>
    <w:rPr>
      <w:vertAlign w:val="superscript"/>
    </w:rPr>
  </w:style>
  <w:style w:type="paragraph" w:styleId="TOC1">
    <w:name w:val="toc 1"/>
    <w:basedOn w:val="Normal"/>
    <w:next w:val="Normal"/>
    <w:uiPriority w:val="39"/>
    <w:unhideWhenUsed/>
    <w:qFormat/>
    <w:pPr>
      <w:spacing w:after="57"/>
    </w:pPr>
  </w:style>
  <w:style w:type="paragraph" w:styleId="TOC2">
    <w:name w:val="toc 2"/>
    <w:basedOn w:val="Normal"/>
    <w:next w:val="Normal"/>
    <w:uiPriority w:val="39"/>
    <w:unhideWhenUsed/>
    <w:qFormat/>
    <w:pPr>
      <w:spacing w:after="57"/>
      <w:ind w:left="283"/>
    </w:pPr>
  </w:style>
  <w:style w:type="paragraph" w:styleId="TOC3">
    <w:name w:val="toc 3"/>
    <w:basedOn w:val="Normal"/>
    <w:next w:val="Normal"/>
    <w:uiPriority w:val="39"/>
    <w:unhideWhenUsed/>
    <w:qFormat/>
    <w:pPr>
      <w:spacing w:after="57"/>
      <w:ind w:left="567"/>
    </w:pPr>
  </w:style>
  <w:style w:type="paragraph" w:styleId="TOC4">
    <w:name w:val="toc 4"/>
    <w:basedOn w:val="Normal"/>
    <w:next w:val="Normal"/>
    <w:uiPriority w:val="39"/>
    <w:unhideWhenUsed/>
    <w:qFormat/>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32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