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4365D1">
      <w:pPr>
        <w:jc w:val="center"/>
        <w:rPr>
          <w:rFonts w:ascii="宋体" w:hAnsi="宋体" w:cs="宋体"/>
          <w:sz w:val="36"/>
          <w:szCs w:val="36"/>
        </w:rPr>
      </w:pPr>
    </w:p>
    <w:p w:rsidR="004365D1">
      <w:pPr>
        <w:jc w:val="center"/>
        <w:rPr>
          <w:rFonts w:ascii="宋体" w:hAnsi="宋体" w:cs="宋体"/>
          <w:sz w:val="36"/>
          <w:szCs w:val="36"/>
          <w:lang w:eastAsia="zh-CN"/>
        </w:rPr>
      </w:pPr>
      <w:r>
        <w:rPr>
          <w:rFonts w:ascii="宋体" w:hAnsi="宋体" w:cs="宋体"/>
          <w:sz w:val="36"/>
          <w:szCs w:val="36"/>
          <w:lang w:eastAsia="zh-CN"/>
        </w:rPr>
        <w:t>易方达成长领航混合型证券投资基金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易方达成长领航混合</w:t>
      </w:r>
      <w:r>
        <w:rPr>
          <w:rFonts w:ascii="宋体" w:hAnsi="宋体" w:cs="宋体"/>
          <w:sz w:val="36"/>
          <w:highlight w:val="white"/>
          <w:lang w:eastAsia="zh-CN"/>
        </w:rPr>
        <w:t>A</w:t>
      </w:r>
      <w:r>
        <w:rPr>
          <w:rFonts w:ascii="宋体" w:hAnsi="宋体" w:cs="宋体"/>
          <w:sz w:val="36"/>
          <w:szCs w:val="36"/>
          <w:highlight w:val="white"/>
          <w:lang w:eastAsia="zh-CN"/>
        </w:rPr>
        <w:t>）</w:t>
      </w:r>
      <w:r>
        <w:rPr>
          <w:rFonts w:ascii="宋体" w:hAnsi="宋体" w:cs="宋体" w:hint="eastAsia"/>
          <w:sz w:val="36"/>
          <w:szCs w:val="36"/>
          <w:highlight w:val="white"/>
          <w:lang w:eastAsia="zh-CN"/>
        </w:rPr>
        <w:t>基金产品资料概要</w:t>
      </w:r>
    </w:p>
    <w:p w:rsidR="004365D1">
      <w:pPr>
        <w:jc w:val="center"/>
        <w:rPr>
          <w:rFonts w:ascii="宋体" w:hAnsi="宋体" w:cs="宋体"/>
          <w:iCs/>
          <w:sz w:val="24"/>
          <w:szCs w:val="24"/>
          <w:lang w:eastAsia="zh-CN"/>
        </w:rPr>
      </w:pPr>
      <w:r>
        <w:rPr>
          <w:rFonts w:ascii="宋体" w:hAnsi="宋体" w:cs="宋体" w:hint="eastAsia"/>
          <w:iCs/>
          <w:sz w:val="24"/>
          <w:szCs w:val="24"/>
          <w:highlight w:val="white"/>
          <w:lang w:eastAsia="zh-CN"/>
        </w:rPr>
        <w:t>编制日期：</w:t>
      </w:r>
      <w:r w:rsidR="00270695">
        <w:rPr>
          <w:rFonts w:ascii="宋体" w:hAnsi="宋体" w:cs="宋体" w:hint="eastAsia"/>
          <w:iCs/>
          <w:sz w:val="24"/>
          <w:szCs w:val="24"/>
          <w:lang w:eastAsia="zh-CN"/>
        </w:rPr>
        <w:t>202</w:t>
      </w:r>
      <w:r w:rsidR="00662E43">
        <w:rPr>
          <w:rFonts w:ascii="宋体" w:hAnsi="宋体" w:cs="宋体"/>
          <w:iCs/>
          <w:sz w:val="24"/>
          <w:szCs w:val="24"/>
          <w:lang w:eastAsia="zh-CN"/>
        </w:rPr>
        <w:t>6</w:t>
      </w:r>
      <w:r w:rsidR="00270695">
        <w:rPr>
          <w:rFonts w:ascii="宋体" w:hAnsi="宋体" w:cs="宋体" w:hint="eastAsia"/>
          <w:iCs/>
          <w:sz w:val="24"/>
          <w:szCs w:val="24"/>
          <w:highlight w:val="white"/>
          <w:lang w:eastAsia="zh-CN"/>
        </w:rPr>
        <w:t>年</w:t>
      </w:r>
      <w:r w:rsidR="00662E43">
        <w:rPr>
          <w:rFonts w:ascii="宋体" w:hAnsi="宋体" w:cs="宋体"/>
          <w:iCs/>
          <w:sz w:val="24"/>
          <w:szCs w:val="24"/>
          <w:lang w:eastAsia="zh-CN"/>
        </w:rPr>
        <w:t>2</w:t>
      </w:r>
      <w:r w:rsidR="00270695">
        <w:rPr>
          <w:rFonts w:ascii="宋体" w:hAnsi="宋体" w:cs="宋体" w:hint="eastAsia"/>
          <w:iCs/>
          <w:sz w:val="24"/>
          <w:szCs w:val="24"/>
          <w:highlight w:val="white"/>
          <w:lang w:eastAsia="zh-CN"/>
        </w:rPr>
        <w:t>月</w:t>
      </w:r>
      <w:r w:rsidR="00662E43">
        <w:rPr>
          <w:rFonts w:ascii="宋体" w:hAnsi="宋体" w:cs="宋体"/>
          <w:iCs/>
          <w:sz w:val="24"/>
          <w:szCs w:val="24"/>
          <w:lang w:eastAsia="zh-CN"/>
        </w:rPr>
        <w:t>13</w:t>
      </w:r>
      <w:r w:rsidR="00270695">
        <w:rPr>
          <w:rFonts w:ascii="宋体" w:hAnsi="宋体" w:cs="宋体" w:hint="eastAsia"/>
          <w:iCs/>
          <w:sz w:val="24"/>
          <w:szCs w:val="24"/>
          <w:highlight w:val="white"/>
          <w:lang w:eastAsia="zh-CN"/>
        </w:rPr>
        <w:t>日</w:t>
      </w:r>
    </w:p>
    <w:p w:rsidR="004365D1">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270695">
        <w:rPr>
          <w:rFonts w:ascii="宋体" w:hAnsi="宋体" w:cs="宋体" w:hint="eastAsia"/>
          <w:iCs/>
          <w:sz w:val="24"/>
          <w:szCs w:val="24"/>
          <w:lang w:eastAsia="zh-CN"/>
        </w:rPr>
        <w:t>202</w:t>
      </w:r>
      <w:r w:rsidR="00662E43">
        <w:rPr>
          <w:rFonts w:ascii="宋体" w:hAnsi="宋体" w:cs="宋体"/>
          <w:iCs/>
          <w:sz w:val="24"/>
          <w:szCs w:val="24"/>
          <w:lang w:eastAsia="zh-CN"/>
        </w:rPr>
        <w:t>6</w:t>
      </w:r>
      <w:r w:rsidR="00270695">
        <w:rPr>
          <w:rFonts w:ascii="宋体" w:hAnsi="宋体" w:cs="宋体" w:hint="eastAsia"/>
          <w:iCs/>
          <w:sz w:val="24"/>
          <w:szCs w:val="24"/>
          <w:highlight w:val="white"/>
          <w:lang w:eastAsia="zh-CN"/>
        </w:rPr>
        <w:t>年</w:t>
      </w:r>
      <w:r w:rsidR="00662E43">
        <w:rPr>
          <w:rFonts w:ascii="宋体" w:hAnsi="宋体" w:cs="宋体"/>
          <w:iCs/>
          <w:sz w:val="24"/>
          <w:szCs w:val="24"/>
          <w:lang w:eastAsia="zh-CN"/>
        </w:rPr>
        <w:t>2</w:t>
      </w:r>
      <w:r w:rsidR="00270695">
        <w:rPr>
          <w:rFonts w:ascii="宋体" w:hAnsi="宋体" w:cs="宋体" w:hint="eastAsia"/>
          <w:iCs/>
          <w:sz w:val="24"/>
          <w:szCs w:val="24"/>
          <w:highlight w:val="white"/>
          <w:lang w:eastAsia="zh-CN"/>
        </w:rPr>
        <w:t>月</w:t>
      </w:r>
      <w:r w:rsidR="00662E43">
        <w:rPr>
          <w:rFonts w:ascii="宋体" w:hAnsi="宋体" w:cs="宋体"/>
          <w:iCs/>
          <w:sz w:val="24"/>
          <w:szCs w:val="24"/>
          <w:lang w:eastAsia="zh-CN"/>
        </w:rPr>
        <w:t>14</w:t>
      </w:r>
      <w:r w:rsidR="00270695">
        <w:rPr>
          <w:rFonts w:ascii="宋体" w:hAnsi="宋体" w:cs="宋体" w:hint="eastAsia"/>
          <w:iCs/>
          <w:sz w:val="24"/>
          <w:szCs w:val="24"/>
          <w:highlight w:val="white"/>
          <w:lang w:eastAsia="zh-CN"/>
        </w:rPr>
        <w:t>日</w:t>
      </w:r>
    </w:p>
    <w:p w:rsidR="004365D1">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4365D1">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4365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2027"/>
        <w:gridCol w:w="2135"/>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4365D1">
            <w:pPr>
              <w:spacing w:line="280" w:lineRule="exact"/>
              <w:rPr>
                <w:rFonts w:ascii="宋体" w:hAnsi="宋体" w:cs="宋体"/>
                <w:b/>
                <w:iCs/>
                <w:lang w:eastAsia="zh-CN"/>
              </w:rPr>
            </w:pPr>
            <w:r>
              <w:rPr>
                <w:rFonts w:ascii="宋体" w:hAnsi="宋体" w:cs="宋体" w:hint="eastAsia"/>
                <w:iCs/>
                <w:lang w:eastAsia="zh-CN"/>
              </w:rPr>
              <w:t>易方达成长领航混合</w:t>
            </w: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基金代码</w:t>
            </w:r>
          </w:p>
        </w:tc>
        <w:tc>
          <w:tcPr>
            <w:tcW w:w="2135" w:type="dxa"/>
            <w:tcBorders>
              <w:bottom w:val="single" w:sz="4" w:space="0" w:color="A6A6A6" w:themeColor="background1" w:themeShade="A6"/>
            </w:tcBorders>
            <w:vAlign w:val="center"/>
          </w:tcPr>
          <w:p w:rsidR="004365D1">
            <w:pPr>
              <w:rPr>
                <w:rFonts w:ascii="宋体" w:hAnsi="宋体" w:cs="宋体"/>
              </w:rPr>
            </w:pPr>
            <w:r w:rsidRPr="002A415D">
              <w:rPr>
                <w:rFonts w:ascii="宋体" w:hAnsi="宋体" w:cs="宋体"/>
              </w:rPr>
              <w:t>026644</w:t>
            </w:r>
          </w:p>
        </w:tc>
      </w:tr>
      <w:tr>
        <w:tblPrEx>
          <w:tblW w:w="8522" w:type="dxa"/>
          <w:tblLayout w:type="fixed"/>
          <w:tblLook w:val="04A0"/>
        </w:tblPrEx>
        <w:trPr>
          <w:trHeight w:val="360"/>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single" w:sz="4" w:space="0" w:color="A6A6A6" w:themeColor="background1" w:themeShade="A6"/>
            </w:tcBorders>
            <w:vAlign w:val="center"/>
          </w:tcPr>
          <w:p w:rsidR="004365D1">
            <w:pPr>
              <w:spacing w:line="280" w:lineRule="exact"/>
              <w:rPr>
                <w:rFonts w:ascii="宋体" w:hAnsi="宋体" w:cs="宋体"/>
                <w:iCs/>
                <w:lang w:eastAsia="zh-CN"/>
              </w:rPr>
            </w:pPr>
            <w:r>
              <w:rPr>
                <w:rFonts w:ascii="宋体" w:hAnsi="宋体" w:cs="宋体" w:hint="eastAsia"/>
                <w:iCs/>
                <w:lang w:eastAsia="zh-CN"/>
              </w:rPr>
              <w:t>易方达成长领航混合</w:t>
            </w:r>
            <w:r>
              <w:rPr>
                <w:rFonts w:ascii="宋体" w:hAnsi="宋体" w:cs="宋体"/>
                <w:highlight w:val="white"/>
                <w:lang w:eastAsia="zh-CN"/>
              </w:rPr>
              <w:t>A</w:t>
            </w: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下属基金代码</w:t>
            </w:r>
          </w:p>
        </w:tc>
        <w:tc>
          <w:tcPr>
            <w:tcW w:w="2135" w:type="dxa"/>
            <w:tcBorders>
              <w:top w:val="single" w:sz="4" w:space="0" w:color="A6A6A6" w:themeColor="background1" w:themeShade="A6"/>
              <w:bottom w:val="nil"/>
            </w:tcBorders>
            <w:vAlign w:val="center"/>
          </w:tcPr>
          <w:p w:rsidR="004365D1">
            <w:pPr>
              <w:rPr>
                <w:rFonts w:ascii="宋体" w:hAnsi="宋体" w:cs="宋体"/>
              </w:rPr>
            </w:pPr>
            <w:r w:rsidRPr="002A415D">
              <w:rPr>
                <w:rFonts w:ascii="宋体" w:hAnsi="宋体" w:cs="宋体"/>
              </w:rPr>
              <w:t>026644</w:t>
            </w:r>
          </w:p>
        </w:tc>
      </w:tr>
      <w:tr>
        <w:tblPrEx>
          <w:tblW w:w="8522" w:type="dxa"/>
          <w:tblLayout w:type="fixed"/>
          <w:tblLook w:val="04A0"/>
        </w:tblPrEx>
        <w:trPr>
          <w:trHeight w:val="360"/>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4365D1">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基金托管人</w:t>
            </w:r>
          </w:p>
        </w:tc>
        <w:tc>
          <w:tcPr>
            <w:tcW w:w="2135" w:type="dxa"/>
            <w:tcBorders>
              <w:top w:val="single" w:sz="4" w:space="0" w:color="A6A6A6" w:themeColor="background1" w:themeShade="A6"/>
            </w:tcBorders>
            <w:vAlign w:val="center"/>
          </w:tcPr>
          <w:p w:rsidR="004365D1">
            <w:pPr>
              <w:spacing w:line="280" w:lineRule="exact"/>
              <w:rPr>
                <w:rFonts w:ascii="宋体" w:hAnsi="宋体" w:cs="宋体"/>
                <w:iCs/>
                <w:lang w:eastAsia="zh-CN"/>
              </w:rPr>
            </w:pPr>
            <w:r>
              <w:rPr>
                <w:rFonts w:ascii="宋体" w:hAnsi="宋体" w:cs="宋体" w:hint="eastAsia"/>
                <w:iCs/>
                <w:lang w:eastAsia="zh-CN"/>
              </w:rPr>
              <w:t>中国建设银行股份有限公司</w:t>
            </w:r>
          </w:p>
        </w:tc>
      </w:tr>
      <w:tr>
        <w:tblPrEx>
          <w:tblW w:w="8522" w:type="dxa"/>
          <w:tblLayout w:type="fixed"/>
          <w:tblLook w:val="04A0"/>
        </w:tblPrEx>
        <w:trPr>
          <w:trHeight w:val="454"/>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4365D1">
            <w:pPr>
              <w:spacing w:line="280" w:lineRule="exact"/>
              <w:rPr>
                <w:rFonts w:ascii="宋体" w:hAnsi="宋体" w:cs="宋体"/>
                <w:iCs/>
              </w:rPr>
            </w:pPr>
            <w:r>
              <w:rPr>
                <w:rFonts w:ascii="宋体" w:hAnsi="宋体" w:cs="宋体" w:hint="eastAsia"/>
                <w:iCs/>
                <w:highlight w:val="white"/>
              </w:rPr>
              <w:t>-</w:t>
            </w:r>
          </w:p>
        </w:tc>
        <w:tc>
          <w:tcPr>
            <w:tcW w:w="2027" w:type="dxa"/>
            <w:vAlign w:val="center"/>
          </w:tcPr>
          <w:p w:rsidR="004365D1">
            <w:pPr>
              <w:spacing w:line="280" w:lineRule="exact"/>
              <w:rPr>
                <w:rFonts w:ascii="宋体" w:hAnsi="宋体" w:cs="宋体"/>
                <w:b/>
                <w:iCs/>
              </w:rPr>
            </w:pPr>
          </w:p>
        </w:tc>
        <w:tc>
          <w:tcPr>
            <w:tcW w:w="2135" w:type="dxa"/>
            <w:tcBorders>
              <w:top w:val="single" w:sz="4" w:space="0" w:color="A6A6A6" w:themeColor="background1" w:themeShade="A6"/>
              <w:bottom w:val="nil"/>
            </w:tcBorders>
            <w:vAlign w:val="center"/>
          </w:tcPr>
          <w:p w:rsidR="004365D1">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4365D1">
            <w:pPr>
              <w:spacing w:line="280" w:lineRule="exact"/>
              <w:rPr>
                <w:rFonts w:ascii="宋体" w:hAnsi="宋体" w:cs="宋体"/>
                <w:iCs/>
                <w:lang w:eastAsia="zh-CN"/>
              </w:rPr>
            </w:pPr>
            <w:r>
              <w:rPr>
                <w:rFonts w:ascii="宋体" w:hAnsi="宋体" w:cs="宋体" w:hint="eastAsia"/>
                <w:iCs/>
                <w:lang w:eastAsia="zh-CN"/>
              </w:rPr>
              <w:t>混合型</w:t>
            </w: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交易币种</w:t>
            </w:r>
          </w:p>
        </w:tc>
        <w:tc>
          <w:tcPr>
            <w:tcW w:w="2135" w:type="dxa"/>
            <w:tcBorders>
              <w:top w:val="single" w:sz="4" w:space="0" w:color="A6A6A6" w:themeColor="background1" w:themeShade="A6"/>
            </w:tcBorders>
            <w:vAlign w:val="center"/>
          </w:tcPr>
          <w:p w:rsidR="004365D1">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4365D1">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4365D1">
            <w:pPr>
              <w:spacing w:line="280" w:lineRule="exact"/>
              <w:rPr>
                <w:rFonts w:ascii="宋体" w:hAnsi="宋体" w:cs="宋体"/>
                <w:iCs/>
                <w:lang w:eastAsia="zh-CN"/>
              </w:rPr>
            </w:pPr>
            <w:r>
              <w:rPr>
                <w:rFonts w:ascii="宋体" w:hAnsi="宋体" w:cs="宋体" w:hint="eastAsia"/>
                <w:iCs/>
                <w:lang w:eastAsia="zh-CN"/>
              </w:rPr>
              <w:t>普通开放式</w:t>
            </w: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开放频率</w:t>
            </w:r>
          </w:p>
        </w:tc>
        <w:tc>
          <w:tcPr>
            <w:tcW w:w="2135" w:type="dxa"/>
            <w:vAlign w:val="center"/>
          </w:tcPr>
          <w:p w:rsidR="004365D1">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4365D1">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4365D1">
            <w:pPr>
              <w:spacing w:line="280" w:lineRule="exact"/>
              <w:rPr>
                <w:rFonts w:ascii="宋体" w:hAnsi="宋体" w:cs="宋体"/>
                <w:iCs/>
                <w:lang w:eastAsia="zh-CN"/>
              </w:rPr>
            </w:pPr>
            <w:r>
              <w:rPr>
                <w:rFonts w:ascii="宋体" w:hAnsi="宋体" w:cs="宋体" w:hint="eastAsia"/>
                <w:iCs/>
                <w:lang w:eastAsia="zh-CN"/>
              </w:rPr>
              <w:t>蔡荣成</w:t>
            </w:r>
          </w:p>
        </w:tc>
        <w:tc>
          <w:tcPr>
            <w:tcW w:w="2027" w:type="dxa"/>
            <w:vAlign w:val="center"/>
          </w:tcPr>
          <w:p w:rsidR="004365D1">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135" w:type="dxa"/>
            <w:vAlign w:val="center"/>
          </w:tcPr>
          <w:p w:rsidR="004365D1">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4365D1">
            <w:pPr>
              <w:spacing w:line="280" w:lineRule="exact"/>
              <w:rPr>
                <w:rFonts w:ascii="方正仿宋简体" w:eastAsia="方正仿宋简体" w:cs="方正仿宋简体"/>
                <w:b/>
                <w:iCs/>
              </w:rPr>
            </w:pPr>
          </w:p>
        </w:tc>
        <w:tc>
          <w:tcPr>
            <w:tcW w:w="2408" w:type="dxa"/>
            <w:vMerge/>
            <w:vAlign w:val="center"/>
          </w:tcPr>
          <w:p w:rsidR="004365D1">
            <w:pPr>
              <w:spacing w:line="280" w:lineRule="exact"/>
              <w:rPr>
                <w:rFonts w:ascii="方正仿宋简体" w:eastAsia="方正仿宋简体" w:cs="方正仿宋简体"/>
                <w:b/>
                <w:iCs/>
              </w:rPr>
            </w:pPr>
          </w:p>
        </w:tc>
        <w:tc>
          <w:tcPr>
            <w:tcW w:w="2027" w:type="dxa"/>
            <w:vAlign w:val="center"/>
          </w:tcPr>
          <w:p w:rsidR="004365D1">
            <w:pPr>
              <w:spacing w:line="280" w:lineRule="exact"/>
              <w:rPr>
                <w:rFonts w:ascii="宋体" w:hAnsi="宋体" w:cs="宋体"/>
                <w:b/>
                <w:iCs/>
              </w:rPr>
            </w:pPr>
            <w:r>
              <w:rPr>
                <w:rFonts w:ascii="宋体" w:hAnsi="宋体" w:cs="宋体" w:hint="eastAsia"/>
                <w:b/>
                <w:iCs/>
                <w:highlight w:val="white"/>
              </w:rPr>
              <w:t>证券从业日期</w:t>
            </w:r>
          </w:p>
        </w:tc>
        <w:tc>
          <w:tcPr>
            <w:tcW w:w="2135" w:type="dxa"/>
            <w:vAlign w:val="center"/>
          </w:tcPr>
          <w:p w:rsidR="004365D1">
            <w:pPr>
              <w:spacing w:line="280" w:lineRule="exact"/>
              <w:rPr>
                <w:rFonts w:ascii="宋体" w:hAnsi="宋体" w:cs="宋体"/>
                <w:lang w:eastAsia="zh-CN"/>
              </w:rPr>
            </w:pPr>
            <w:r>
              <w:rPr>
                <w:rFonts w:ascii="宋体" w:hAnsi="宋体" w:cs="宋体"/>
                <w:lang w:eastAsia="zh-CN"/>
              </w:rPr>
              <w:t>2015-07-14</w:t>
            </w:r>
          </w:p>
        </w:tc>
      </w:tr>
    </w:tbl>
    <w:p w:rsidR="004365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基金投资与净值表现</w:t>
      </w:r>
    </w:p>
    <w:p w:rsidR="004365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4365D1">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4365D1">
            <w:pPr>
              <w:spacing w:line="280" w:lineRule="exact"/>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4365D1">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4365D1">
            <w:pPr>
              <w:spacing w:line="280" w:lineRule="exact"/>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4365D1">
            <w:pPr>
              <w:spacing w:line="280" w:lineRule="exact"/>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4365D1">
            <w:pPr>
              <w:spacing w:line="280" w:lineRule="exact"/>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4365D1">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4365D1">
            <w:pPr>
              <w:spacing w:line="279" w:lineRule="exact"/>
              <w:rPr>
                <w:lang w:eastAsia="zh-CN"/>
              </w:rPr>
            </w:pPr>
            <w:r>
              <w:rPr>
                <w:highlight w:val="white"/>
                <w:lang w:eastAsia="zh-CN"/>
              </w:rPr>
              <w:t>资产配置方面，本基金将综合考虑宏观与微观经济、市场与政策等因素，确定组合中股票、债券、货币市场工具及其他金融工具的比例。股票投资方面，本基金重视中长期产业方向和景气趋势，关注公司的成长空间、竞争优势和估值水平等，捕捉行业发展的重要机</w:t>
            </w:r>
            <w:r>
              <w:rPr>
                <w:highlight w:val="white"/>
                <w:lang w:eastAsia="zh-CN"/>
              </w:rPr>
              <w:t>遇以及个股的成长所带来的价值提升的投资机会。本基金投资存托凭证的策略依照股票投资策略执行。债券投资方面，本基金将主要通过类属配置与券种选择两个层次进行投资管理。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4365D1">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4365D1">
            <w:pPr>
              <w:spacing w:line="280" w:lineRule="exact"/>
              <w:rPr>
                <w:rFonts w:ascii="宋体" w:hAnsi="宋体" w:cs="宋体"/>
                <w:iCs/>
                <w:lang w:eastAsia="zh-CN"/>
              </w:rPr>
            </w:pPr>
            <w:r>
              <w:rPr>
                <w:rFonts w:ascii="宋体" w:hAnsi="宋体" w:cs="宋体" w:hint="eastAsia"/>
                <w:iCs/>
                <w:lang w:eastAsia="zh-CN"/>
              </w:rPr>
              <w:t>中证800</w:t>
            </w:r>
            <w:r>
              <w:rPr>
                <w:rFonts w:ascii="宋体" w:hAnsi="宋体" w:cs="宋体"/>
                <w:iCs/>
                <w:lang w:eastAsia="zh-CN"/>
              </w:rPr>
              <w:t>成长</w:t>
            </w:r>
            <w:r>
              <w:rPr>
                <w:rFonts w:ascii="宋体" w:hAnsi="宋体" w:cs="宋体" w:hint="eastAsia"/>
                <w:iCs/>
                <w:lang w:eastAsia="zh-CN"/>
              </w:rPr>
              <w:t>指数收益率×60%+中证港股通综合指数收益率×20%+中债总指数收益率×20%</w:t>
            </w:r>
          </w:p>
        </w:tc>
      </w:tr>
      <w:tr>
        <w:tblPrEx>
          <w:tblW w:w="8522" w:type="dxa"/>
          <w:tblLayout w:type="fixed"/>
          <w:tblLook w:val="04A0"/>
        </w:tblPrEx>
        <w:trPr>
          <w:trHeight w:val="360"/>
        </w:trPr>
        <w:tc>
          <w:tcPr>
            <w:tcW w:w="2093" w:type="dxa"/>
            <w:vAlign w:val="center"/>
          </w:tcPr>
          <w:p w:rsidR="004365D1">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4365D1">
            <w:pPr>
              <w:spacing w:line="280" w:lineRule="exact"/>
              <w:rPr>
                <w:rFonts w:ascii="宋体" w:hAnsi="宋体" w:cs="宋体"/>
                <w:iCs/>
                <w:lang w:eastAsia="zh-CN"/>
              </w:rPr>
            </w:pPr>
            <w:r>
              <w:rPr>
                <w:rFonts w:ascii="宋体" w:hAnsi="宋体" w:cs="宋体" w:hint="eastAsia"/>
                <w:iCs/>
                <w:lang w:eastAsia="zh-CN"/>
              </w:rPr>
              <w:t>本基金为混合型基金，理论上其预期风险与预期收益水平低于股票型基金，高于债券型基金和货币市场基金。</w:t>
            </w:r>
          </w:p>
          <w:p w:rsidR="004365D1">
            <w:pPr>
              <w:spacing w:line="280" w:lineRule="exact"/>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4365D1">
      <w:pPr>
        <w:spacing w:line="280" w:lineRule="exact"/>
        <w:rPr>
          <w:rFonts w:ascii="宋体" w:hAnsi="宋体" w:cs="宋体"/>
          <w:iCs/>
          <w:szCs w:val="24"/>
          <w:lang w:eastAsia="zh-CN"/>
        </w:rPr>
      </w:pPr>
      <w:r>
        <w:rPr>
          <w:rFonts w:ascii="宋体" w:hAnsi="宋体" w:cs="宋体" w:hint="eastAsia"/>
          <w:iCs/>
          <w:szCs w:val="24"/>
          <w:highlight w:val="white"/>
          <w:lang w:eastAsia="zh-CN"/>
        </w:rPr>
        <w:t>注：投资者可阅读《招募说明书》基金的投资章节了解详细情况。</w:t>
      </w:r>
    </w:p>
    <w:p w:rsidR="004365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4365D1">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4365D1">
      <w:pPr>
        <w:jc w:val="left"/>
        <w:rPr>
          <w:rFonts w:ascii="宋体" w:hAnsi="宋体" w:cs="宋体"/>
          <w:b/>
          <w:iCs/>
          <w:szCs w:val="24"/>
          <w:lang w:eastAsia="zh-CN"/>
        </w:rPr>
      </w:pPr>
      <w:r>
        <w:rPr>
          <w:rFonts w:ascii="宋体" w:hAnsi="宋体" w:cs="宋体"/>
          <w:color w:val="000000" w:themeColor="text1"/>
          <w:highlight w:val="white"/>
          <w:lang w:eastAsia="zh-CN"/>
        </w:rPr>
        <w:t>无</w:t>
      </w:r>
    </w:p>
    <w:p w:rsidR="004365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4365D1">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4365D1">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4365D1">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4365D1">
      <w:pPr>
        <w:spacing w:line="280" w:lineRule="exact"/>
        <w:jc w:val="left"/>
        <w:rPr>
          <w:rFonts w:ascii="宋体" w:hAnsi="宋体" w:cs="宋体"/>
          <w:iCs/>
          <w:lang w:eastAsia="zh-CN"/>
        </w:rPr>
      </w:pPr>
      <w:r>
        <w:rPr>
          <w:rFonts w:ascii="宋体" w:hAnsi="宋体" w:cs="宋体" w:hint="eastAsia"/>
          <w:iCs/>
          <w:highlight w:val="white"/>
          <w:lang w:eastAsia="zh-CN"/>
        </w:rPr>
        <w:t>以下费用在认购</w:t>
      </w:r>
      <w:r>
        <w:rPr>
          <w:rFonts w:ascii="宋体" w:hAnsi="宋体" w:cs="宋体"/>
          <w:iCs/>
          <w:highlight w:val="white"/>
          <w:lang w:eastAsia="zh-CN"/>
        </w:rPr>
        <w:t>/</w:t>
      </w:r>
      <w:r>
        <w:rPr>
          <w:rFonts w:ascii="宋体" w:hAnsi="宋体" w:cs="宋体" w:hint="eastAsia"/>
          <w:iCs/>
          <w:highlight w:val="white"/>
          <w:lang w:eastAsia="zh-CN"/>
        </w:rPr>
        <w:t>申购</w:t>
      </w:r>
      <w:r>
        <w:rPr>
          <w:rFonts w:ascii="宋体" w:hAnsi="宋体" w:cs="宋体"/>
          <w:iCs/>
          <w:highlight w:val="white"/>
          <w:lang w:eastAsia="zh-CN"/>
        </w:rPr>
        <w:t>/</w:t>
      </w:r>
      <w:r>
        <w:rPr>
          <w:rFonts w:ascii="宋体" w:hAnsi="宋体" w:cs="宋体" w:hint="eastAsia"/>
          <w:iCs/>
          <w:highlight w:val="white"/>
          <w:lang w:eastAsia="zh-CN"/>
        </w:rPr>
        <w:t>赎回基金过程中收取：</w:t>
      </w:r>
    </w:p>
    <w:tbl>
      <w:tblPr>
        <w:tblStyle w:val="TableGrid"/>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3"/>
        <w:gridCol w:w="2552"/>
        <w:gridCol w:w="1843"/>
        <w:gridCol w:w="2835"/>
      </w:tblGrid>
      <w:tr>
        <w:tblPrEx>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54"/>
        </w:trPr>
        <w:tc>
          <w:tcPr>
            <w:tcW w:w="128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b/>
              </w:rPr>
            </w:pPr>
            <w:r>
              <w:rPr>
                <w:rFonts w:ascii="宋体" w:hAnsi="宋体" w:cs="宋体"/>
                <w:b/>
                <w:highlight w:val="white"/>
              </w:rPr>
              <w:t>费用类型</w:t>
            </w:r>
          </w:p>
        </w:tc>
        <w:tc>
          <w:tcPr>
            <w:tcW w:w="2552"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b/>
                <w:lang w:eastAsia="zh-CN"/>
              </w:rPr>
            </w:pPr>
            <w:r>
              <w:rPr>
                <w:rFonts w:ascii="宋体" w:hAnsi="宋体" w:cs="宋体"/>
                <w:b/>
                <w:highlight w:val="white"/>
                <w:lang w:eastAsia="zh-CN"/>
              </w:rPr>
              <w:t>份额（S）或金额（M）</w:t>
            </w:r>
          </w:p>
          <w:p w:rsidR="004365D1">
            <w:pPr>
              <w:spacing w:line="279" w:lineRule="exact"/>
              <w:jc w:val="center"/>
              <w:rPr>
                <w:rFonts w:ascii="宋体" w:hAnsi="宋体" w:cs="宋体"/>
                <w:b/>
              </w:rPr>
            </w:pPr>
            <w:r>
              <w:rPr>
                <w:rFonts w:ascii="宋体" w:hAnsi="宋体" w:cs="宋体"/>
                <w:b/>
                <w:highlight w:val="white"/>
              </w:rPr>
              <w:t>/持有期限（N）</w:t>
            </w:r>
          </w:p>
        </w:tc>
        <w:tc>
          <w:tcPr>
            <w:tcW w:w="184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b/>
              </w:rPr>
            </w:pPr>
            <w:r>
              <w:rPr>
                <w:rFonts w:ascii="宋体" w:hAnsi="宋体" w:cs="宋体"/>
                <w:b/>
                <w:highlight w:val="white"/>
              </w:rPr>
              <w:t>收费方式/费率</w:t>
            </w:r>
          </w:p>
        </w:tc>
        <w:tc>
          <w:tcPr>
            <w:tcW w:w="2835"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b/>
              </w:rPr>
            </w:pPr>
            <w:r>
              <w:rPr>
                <w:rFonts w:ascii="宋体" w:hAnsi="宋体" w:cs="宋体"/>
                <w:b/>
                <w:highlight w:val="white"/>
              </w:rPr>
              <w:t>备注</w:t>
            </w: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4365D1">
            <w:pPr>
              <w:spacing w:line="14" w:lineRule="exact"/>
              <w:jc w:val="center"/>
              <w:rPr>
                <w:rFonts w:ascii="宋体" w:hAnsi="宋体" w:cs="宋体"/>
                <w:b/>
              </w:rPr>
            </w:pPr>
          </w:p>
          <w:p w:rsidR="004365D1" w:rsidP="002A415D">
            <w:pPr>
              <w:spacing w:line="279" w:lineRule="exact"/>
              <w:jc w:val="center"/>
              <w:rPr>
                <w:rFonts w:ascii="宋体" w:hAnsi="宋体" w:cs="宋体"/>
                <w:b/>
              </w:rPr>
            </w:pPr>
            <w:r>
              <w:rPr>
                <w:rFonts w:ascii="宋体" w:hAnsi="宋体" w:cs="宋体"/>
                <w:b/>
                <w:highlight w:val="white"/>
              </w:rPr>
              <w:t>认购费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2A415D" w:rsidP="002A415D">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2A415D" w:rsidP="00BE6ECD">
            <w:pPr>
              <w:spacing w:line="279" w:lineRule="exact"/>
              <w:jc w:val="center"/>
              <w:rPr>
                <w:rFonts w:ascii="宋体" w:hAnsi="宋体" w:cs="宋体"/>
                <w:lang w:eastAsia="zh-CN"/>
              </w:rPr>
            </w:pPr>
            <w:r>
              <w:rPr>
                <w:rFonts w:ascii="宋体" w:hAnsi="宋体" w:cs="宋体"/>
                <w:lang w:eastAsia="zh-CN"/>
              </w:rPr>
              <w:t>M＜</w:t>
            </w:r>
            <w:r w:rsidR="00BE6ECD">
              <w:rPr>
                <w:rFonts w:ascii="宋体" w:hAnsi="宋体" w:cs="宋体"/>
                <w:lang w:eastAsia="zh-CN"/>
              </w:rPr>
              <w:t>500</w:t>
            </w:r>
            <w:r>
              <w:rPr>
                <w:rFonts w:ascii="宋体" w:hAnsi="宋体" w:cs="宋体"/>
                <w:lang w:eastAsia="zh-CN"/>
              </w:rPr>
              <w:t>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2A415D" w:rsidP="002A415D">
            <w:pPr>
              <w:spacing w:line="279" w:lineRule="exact"/>
              <w:jc w:val="center"/>
              <w:rPr>
                <w:rFonts w:ascii="宋体" w:hAnsi="宋体" w:cs="宋体"/>
                <w:lang w:eastAsia="zh-CN"/>
              </w:rPr>
            </w:pPr>
            <w:r>
              <w:rPr>
                <w:rFonts w:ascii="宋体" w:hAnsi="宋体" w:cs="宋体"/>
              </w:rPr>
              <w:t>0.8</w:t>
            </w:r>
            <w:r>
              <w:rPr>
                <w:rFonts w:ascii="宋体" w:hAnsi="宋体" w:cs="宋体" w:hint="eastAsia"/>
              </w:rPr>
              <w:t xml:space="preserve">0%  </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2A415D" w:rsidP="002A415D">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4365D1">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4365D1">
            <w:pPr>
              <w:spacing w:line="14" w:lineRule="exact"/>
              <w:jc w:val="center"/>
              <w:rPr>
                <w:rFonts w:ascii="宋体" w:hAnsi="宋体" w:cs="宋体"/>
                <w:b/>
                <w:lang w:eastAsia="zh-CN"/>
              </w:rPr>
            </w:pPr>
          </w:p>
          <w:p w:rsidR="004365D1" w:rsidP="002A415D">
            <w:pPr>
              <w:spacing w:line="279" w:lineRule="exact"/>
              <w:jc w:val="center"/>
              <w:rPr>
                <w:rFonts w:ascii="宋体" w:hAnsi="宋体" w:cs="宋体"/>
                <w:b/>
              </w:rPr>
            </w:pPr>
            <w:r>
              <w:rPr>
                <w:rFonts w:ascii="宋体" w:hAnsi="宋体" w:cs="宋体"/>
                <w:b/>
                <w:highlight w:val="white"/>
              </w:rPr>
              <w:t>申购费（前收费）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2A415D" w:rsidP="002A415D">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2A415D" w:rsidP="00BE6ECD">
            <w:pPr>
              <w:spacing w:line="279" w:lineRule="exact"/>
              <w:jc w:val="center"/>
              <w:rPr>
                <w:rFonts w:ascii="宋体" w:hAnsi="宋体" w:cs="宋体"/>
                <w:lang w:eastAsia="zh-CN"/>
              </w:rPr>
            </w:pPr>
            <w:r>
              <w:rPr>
                <w:rFonts w:ascii="宋体" w:hAnsi="宋体" w:cs="宋体"/>
                <w:lang w:eastAsia="zh-CN"/>
              </w:rPr>
              <w:t>M＜</w:t>
            </w:r>
            <w:r w:rsidR="00BE6ECD">
              <w:rPr>
                <w:rFonts w:ascii="宋体" w:hAnsi="宋体" w:cs="宋体"/>
                <w:lang w:eastAsia="zh-CN"/>
              </w:rPr>
              <w:t>500</w:t>
            </w:r>
            <w:r>
              <w:rPr>
                <w:rFonts w:ascii="宋体" w:hAnsi="宋体" w:cs="宋体"/>
                <w:lang w:eastAsia="zh-CN"/>
              </w:rPr>
              <w:t>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2A415D" w:rsidP="002A415D">
            <w:pPr>
              <w:spacing w:line="279" w:lineRule="exact"/>
              <w:jc w:val="center"/>
              <w:rPr>
                <w:rFonts w:ascii="宋体" w:hAnsi="宋体" w:cs="宋体"/>
                <w:lang w:eastAsia="zh-CN"/>
              </w:rPr>
            </w:pPr>
            <w:r>
              <w:rPr>
                <w:rFonts w:ascii="宋体" w:hAnsi="宋体" w:cs="宋体"/>
              </w:rPr>
              <w:t>0.8</w:t>
            </w:r>
            <w:r>
              <w:rPr>
                <w:rFonts w:ascii="宋体" w:hAnsi="宋体" w:cs="宋体" w:hint="eastAsia"/>
              </w:rPr>
              <w:t xml:space="preserve">0%  </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2A415D" w:rsidP="002A415D">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4365D1">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000000"/>
              <w:right w:val="nil"/>
            </w:tcBorders>
            <w:tcMar>
              <w:top w:w="0" w:type="dxa"/>
              <w:left w:w="108" w:type="dxa"/>
              <w:bottom w:w="0" w:type="dxa"/>
              <w:right w:w="108" w:type="dxa"/>
            </w:tcMar>
            <w:vAlign w:val="center"/>
          </w:tcPr>
          <w:p w:rsidR="004365D1">
            <w:pPr>
              <w:spacing w:line="14" w:lineRule="exact"/>
              <w:jc w:val="center"/>
              <w:rPr>
                <w:rFonts w:ascii="宋体" w:hAnsi="宋体" w:cs="宋体"/>
                <w:b/>
                <w:lang w:eastAsia="zh-CN"/>
              </w:rPr>
            </w:pPr>
          </w:p>
          <w:p w:rsidR="004365D1">
            <w:pPr>
              <w:spacing w:line="279" w:lineRule="exact"/>
              <w:jc w:val="center"/>
              <w:rPr>
                <w:rFonts w:ascii="宋体" w:hAnsi="宋体" w:cs="宋体"/>
                <w:b/>
              </w:rPr>
            </w:pPr>
            <w:r>
              <w:rPr>
                <w:rFonts w:ascii="宋体" w:hAnsi="宋体" w:cs="宋体"/>
                <w:b/>
                <w:highlight w:val="white"/>
              </w:rPr>
              <w:t>赎回费</w:t>
            </w:r>
          </w:p>
          <w:p w:rsidR="004365D1">
            <w:pPr>
              <w:spacing w:line="279" w:lineRule="exact"/>
              <w:jc w:val="center"/>
              <w:rPr>
                <w:rFonts w:ascii="宋体" w:hAnsi="宋体" w:cs="宋体"/>
                <w:b/>
              </w:rPr>
            </w:pPr>
          </w:p>
          <w:p w:rsidR="004365D1">
            <w:pPr>
              <w:spacing w:line="279" w:lineRule="exact"/>
              <w:jc w:val="center"/>
              <w:rPr>
                <w:rFonts w:ascii="宋体" w:hAnsi="宋体" w:cs="宋体"/>
                <w:b/>
              </w:rPr>
            </w:pP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4365D1">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4365D1"/>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0天＜N≤6天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1.50%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4365D1"/>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7天≤N≤29天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rsidP="002A415D">
            <w:pPr>
              <w:spacing w:line="279" w:lineRule="exact"/>
              <w:jc w:val="center"/>
              <w:rPr>
                <w:rFonts w:ascii="宋体" w:hAnsi="宋体" w:cs="宋体"/>
                <w:lang w:eastAsia="zh-CN"/>
              </w:rPr>
            </w:pPr>
            <w:r w:rsidR="002A415D">
              <w:rPr>
                <w:rFonts w:ascii="宋体" w:hAnsi="宋体" w:cs="宋体"/>
                <w:lang w:eastAsia="zh-CN"/>
              </w:rPr>
              <w:t>1</w:t>
            </w:r>
            <w:r>
              <w:rPr>
                <w:rFonts w:ascii="宋体" w:hAnsi="宋体" w:cs="宋体"/>
                <w:lang w:eastAsia="zh-CN"/>
              </w:rPr>
              <w:t>.</w:t>
            </w:r>
            <w:r w:rsidR="002A415D">
              <w:rPr>
                <w:rFonts w:ascii="宋体" w:hAnsi="宋体" w:cs="宋体"/>
                <w:lang w:eastAsia="zh-CN"/>
              </w:rPr>
              <w:t>00</w:t>
            </w:r>
            <w:r>
              <w:rPr>
                <w:rFonts w:ascii="宋体" w:hAnsi="宋体" w:cs="宋体"/>
                <w:lang w:eastAsia="zh-CN"/>
              </w:rPr>
              <w:t>%</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4365D1"/>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30天≤N≤179天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0.50%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4365D1"/>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N≥180天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exact"/>
              <w:jc w:val="center"/>
              <w:rPr>
                <w:rFonts w:ascii="宋体" w:hAnsi="宋体" w:cs="宋体"/>
                <w:lang w:eastAsia="zh-CN"/>
              </w:rPr>
            </w:pPr>
            <w:r>
              <w:rPr>
                <w:rFonts w:ascii="宋体" w:hAnsi="宋体" w:cs="宋体"/>
                <w:lang w:eastAsia="zh-CN"/>
              </w:rPr>
              <w:t>0.00%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4365D1">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bl>
    <w:p w:rsidR="004365D1">
      <w:pPr>
        <w:spacing w:line="280" w:lineRule="exact"/>
        <w:jc w:val="left"/>
        <w:rPr>
          <w:rFonts w:ascii="宋体" w:hAnsi="宋体" w:cs="宋体"/>
          <w:iCs/>
          <w:lang w:eastAsia="zh-CN"/>
        </w:rPr>
      </w:pPr>
      <w:r>
        <w:rPr>
          <w:rFonts w:ascii="宋体" w:hAnsi="宋体" w:cs="宋体"/>
          <w:iCs/>
          <w:highlight w:val="white"/>
          <w:lang w:eastAsia="zh-CN"/>
        </w:rPr>
        <w:t>注：</w:t>
      </w:r>
      <w:r w:rsidRPr="002A415D" w:rsidR="002A415D">
        <w:rPr>
          <w:rFonts w:ascii="宋体" w:hAnsi="宋体" w:cs="宋体" w:hint="eastAsia"/>
          <w:iCs/>
          <w:lang w:eastAsia="zh-CN"/>
        </w:rPr>
        <w:t>投资者通过基金管理人或其基金销售子公司认购、申购本基金A类基金份额，不收取认购、申购费用；投资者通过其他销售机构认购、申购本基金A类基金份额，认购、申购费率见上表。</w:t>
      </w:r>
      <w:r>
        <w:rPr>
          <w:rFonts w:ascii="宋体" w:hAnsi="宋体" w:cs="宋体"/>
          <w:iCs/>
          <w:highlight w:val="white"/>
          <w:lang w:eastAsia="zh-CN"/>
        </w:rPr>
        <w:t>如果投资者多次认购、申购，认购费、申购费适用单笔认购、申购金额所对应的费率。</w:t>
      </w:r>
    </w:p>
    <w:p w:rsidR="004365D1">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4365D1">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13" w:type="dxa"/>
        <w:tblBorders>
          <w:top w:val="single" w:sz="4" w:space="0" w:color="000000"/>
          <w:bottom w:val="single" w:sz="4" w:space="0" w:color="000000"/>
          <w:insideH w:val="single" w:sz="4" w:space="0" w:color="808080" w:themeColor="background1" w:themeShade="80"/>
        </w:tblBorders>
        <w:tblLayout w:type="fixed"/>
        <w:tblLook w:val="04A0"/>
      </w:tblPr>
      <w:tblGrid>
        <w:gridCol w:w="1525"/>
        <w:gridCol w:w="3494"/>
        <w:gridCol w:w="3494"/>
      </w:tblGrid>
      <w:tr>
        <w:tblPrEx>
          <w:tblW w:w="8513" w:type="dxa"/>
          <w:tblBorders>
            <w:top w:val="single" w:sz="4" w:space="0" w:color="000000"/>
            <w:bottom w:val="single" w:sz="4" w:space="0" w:color="000000"/>
            <w:insideH w:val="single" w:sz="4" w:space="0" w:color="808080" w:themeColor="background1" w:themeShade="80"/>
          </w:tblBorders>
          <w:tblLayout w:type="fixed"/>
          <w:tblLook w:val="04A0"/>
        </w:tblPrEx>
        <w:trPr>
          <w:trHeight w:val="490"/>
        </w:trPr>
        <w:tc>
          <w:tcPr>
            <w:tcW w:w="1525" w:type="dxa"/>
            <w:tcBorders>
              <w:top w:val="single" w:sz="4" w:space="0" w:color="000000"/>
              <w:bottom w:val="single" w:sz="4" w:space="0" w:color="000000"/>
            </w:tcBorders>
            <w:vAlign w:val="center"/>
          </w:tcPr>
          <w:p w:rsidR="004365D1">
            <w:pPr>
              <w:spacing w:line="280" w:lineRule="exact"/>
              <w:jc w:val="left"/>
              <w:rPr>
                <w:rFonts w:ascii="宋体" w:hAnsi="宋体" w:cs="宋体"/>
                <w:b/>
                <w:bCs/>
              </w:rPr>
            </w:pPr>
            <w:r>
              <w:rPr>
                <w:rFonts w:ascii="宋体" w:hAnsi="宋体" w:cs="宋体" w:hint="eastAsia"/>
                <w:b/>
                <w:bCs/>
                <w:iCs/>
                <w:highlight w:val="white"/>
              </w:rPr>
              <w:t>费用类别</w:t>
            </w:r>
          </w:p>
        </w:tc>
        <w:tc>
          <w:tcPr>
            <w:tcW w:w="3494" w:type="dxa"/>
            <w:tcBorders>
              <w:top w:val="single" w:sz="4" w:space="0" w:color="000000"/>
              <w:bottom w:val="single" w:sz="4" w:space="0" w:color="000000"/>
            </w:tcBorders>
            <w:vAlign w:val="center"/>
          </w:tcPr>
          <w:p w:rsidR="004365D1">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4" w:type="dxa"/>
            <w:tcBorders>
              <w:top w:val="single" w:sz="4" w:space="0" w:color="000000"/>
              <w:bottom w:val="single" w:sz="4" w:space="0" w:color="000000"/>
            </w:tcBorders>
            <w:vAlign w:val="center"/>
          </w:tcPr>
          <w:p w:rsidR="004365D1">
            <w:pPr>
              <w:jc w:val="center"/>
              <w:rPr>
                <w:rFonts w:ascii="宋体" w:hAnsi="宋体" w:cs="宋体"/>
                <w:b/>
              </w:rPr>
            </w:pPr>
            <w:r>
              <w:rPr>
                <w:rFonts w:ascii="宋体" w:hAnsi="宋体" w:cs="宋体"/>
                <w:b/>
                <w:color w:val="000000"/>
                <w:highlight w:val="white"/>
              </w:rPr>
              <w:t>收取方</w:t>
            </w:r>
          </w:p>
        </w:tc>
      </w:tr>
      <w:tr>
        <w:tblPrEx>
          <w:tblW w:w="8513" w:type="dxa"/>
          <w:tblLayout w:type="fixed"/>
          <w:tblLook w:val="04A0"/>
        </w:tblPrEx>
        <w:trPr>
          <w:trHeight w:val="360"/>
        </w:trPr>
        <w:tc>
          <w:tcPr>
            <w:tcW w:w="1525" w:type="dxa"/>
            <w:vAlign w:val="center"/>
          </w:tcPr>
          <w:p w:rsidR="004365D1">
            <w:pPr>
              <w:spacing w:line="280" w:lineRule="exact"/>
              <w:jc w:val="left"/>
              <w:rPr>
                <w:rFonts w:ascii="宋体" w:hAnsi="宋体" w:cs="宋体"/>
                <w:bCs/>
                <w:iCs/>
              </w:rPr>
            </w:pPr>
            <w:r>
              <w:rPr>
                <w:rFonts w:ascii="宋体" w:hAnsi="宋体" w:cs="宋体" w:hint="eastAsia"/>
                <w:bCs/>
                <w:iCs/>
                <w:highlight w:val="white"/>
              </w:rPr>
              <w:t>管理费</w:t>
            </w:r>
          </w:p>
        </w:tc>
        <w:tc>
          <w:tcPr>
            <w:tcW w:w="3494" w:type="dxa"/>
            <w:vAlign w:val="center"/>
          </w:tcPr>
          <w:p w:rsidR="004365D1">
            <w:pPr>
              <w:spacing w:line="279" w:lineRule="exact"/>
              <w:rPr>
                <w:lang w:eastAsia="zh-CN"/>
              </w:rPr>
            </w:pPr>
            <w:r>
              <w:rPr>
                <w:rFonts w:ascii="宋体" w:hAnsi="宋体" w:cs="宋体"/>
                <w:color w:val="000000"/>
                <w:highlight w:val="white"/>
                <w:lang w:eastAsia="zh-CN"/>
              </w:rPr>
              <w:t xml:space="preserve">年费率0.60%、年费率1.20%或年费率1.50% </w:t>
            </w:r>
          </w:p>
        </w:tc>
        <w:tc>
          <w:tcPr>
            <w:tcW w:w="3494" w:type="dxa"/>
            <w:vAlign w:val="center"/>
          </w:tcPr>
          <w:p w:rsidR="004365D1">
            <w:pPr>
              <w:jc w:val="center"/>
              <w:rPr>
                <w:rFonts w:ascii="宋体" w:hAnsi="宋体" w:cs="宋体"/>
              </w:rPr>
            </w:pPr>
            <w:r>
              <w:rPr>
                <w:rFonts w:ascii="宋体" w:hAnsi="宋体" w:cs="宋体"/>
                <w:color w:val="000000"/>
                <w:highlight w:val="white"/>
              </w:rPr>
              <w:t>基金管理人</w:t>
            </w:r>
            <w:r>
              <w:rPr>
                <w:rFonts w:ascii="宋体" w:hAnsi="宋体" w:cs="宋体"/>
                <w:color w:val="000000"/>
                <w:highlight w:val="white"/>
              </w:rPr>
              <w:t>、销售机构</w:t>
            </w:r>
          </w:p>
        </w:tc>
      </w:tr>
      <w:tr>
        <w:tblPrEx>
          <w:tblW w:w="8513" w:type="dxa"/>
          <w:tblLayout w:type="fixed"/>
          <w:tblLook w:val="04A0"/>
        </w:tblPrEx>
        <w:trPr>
          <w:trHeight w:val="360"/>
        </w:trPr>
        <w:tc>
          <w:tcPr>
            <w:tcW w:w="1525" w:type="dxa"/>
            <w:vAlign w:val="center"/>
          </w:tcPr>
          <w:p w:rsidR="004365D1">
            <w:pPr>
              <w:spacing w:line="280" w:lineRule="exact"/>
              <w:jc w:val="left"/>
              <w:rPr>
                <w:rFonts w:ascii="宋体" w:hAnsi="宋体" w:cs="宋体"/>
                <w:bCs/>
                <w:iCs/>
              </w:rPr>
            </w:pPr>
            <w:r>
              <w:rPr>
                <w:rFonts w:ascii="宋体" w:hAnsi="宋体" w:cs="宋体" w:hint="eastAsia"/>
                <w:bCs/>
                <w:iCs/>
                <w:highlight w:val="white"/>
              </w:rPr>
              <w:t>托管费</w:t>
            </w:r>
          </w:p>
        </w:tc>
        <w:tc>
          <w:tcPr>
            <w:tcW w:w="3494" w:type="dxa"/>
            <w:vAlign w:val="center"/>
          </w:tcPr>
          <w:p w:rsidR="004365D1">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4" w:type="dxa"/>
            <w:vAlign w:val="center"/>
          </w:tcPr>
          <w:p w:rsidR="004365D1">
            <w:pPr>
              <w:jc w:val="center"/>
              <w:rPr>
                <w:rFonts w:ascii="宋体" w:hAnsi="宋体" w:cs="宋体"/>
              </w:rPr>
            </w:pPr>
            <w:r>
              <w:rPr>
                <w:rFonts w:ascii="宋体" w:hAnsi="宋体" w:cs="宋体"/>
                <w:color w:val="000000"/>
                <w:highlight w:val="white"/>
              </w:rPr>
              <w:t>基金托管人</w:t>
            </w:r>
          </w:p>
        </w:tc>
      </w:tr>
      <w:tr>
        <w:tblPrEx>
          <w:tblW w:w="8513" w:type="dxa"/>
          <w:tblLayout w:type="fixed"/>
          <w:tblLook w:val="04A0"/>
        </w:tblPrEx>
        <w:trPr>
          <w:trHeight w:val="454"/>
        </w:trPr>
        <w:tc>
          <w:tcPr>
            <w:tcW w:w="1525" w:type="dxa"/>
            <w:vAlign w:val="center"/>
          </w:tcPr>
          <w:p w:rsidR="004365D1">
            <w:pPr>
              <w:spacing w:line="280" w:lineRule="exact"/>
              <w:jc w:val="left"/>
              <w:rPr>
                <w:rFonts w:ascii="宋体" w:hAnsi="宋体" w:cs="宋体"/>
                <w:iCs/>
              </w:rPr>
            </w:pPr>
            <w:r>
              <w:rPr>
                <w:rFonts w:ascii="宋体" w:hAnsi="宋体" w:cs="宋体" w:hint="eastAsia"/>
                <w:iCs/>
                <w:highlight w:val="white"/>
              </w:rPr>
              <w:t>其他费用</w:t>
            </w:r>
          </w:p>
        </w:tc>
        <w:tc>
          <w:tcPr>
            <w:tcW w:w="3494" w:type="dxa"/>
            <w:vAlign w:val="center"/>
          </w:tcPr>
          <w:p w:rsidR="004365D1">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4" w:type="dxa"/>
            <w:vAlign w:val="center"/>
          </w:tcPr>
          <w:p w:rsidR="004365D1">
            <w:pPr>
              <w:rPr>
                <w:rFonts w:ascii="宋体" w:hAnsi="宋体" w:cs="宋体"/>
                <w:lang w:eastAsia="zh-CN"/>
              </w:rPr>
            </w:pPr>
          </w:p>
        </w:tc>
      </w:tr>
    </w:tbl>
    <w:p w:rsidR="004365D1">
      <w:r>
        <w:rPr>
          <w:rFonts w:ascii="宋体" w:hAnsi="宋体" w:cs="宋体"/>
          <w:color w:val="000000"/>
          <w:highlight w:val="white"/>
          <w:lang w:eastAsia="zh-CN"/>
        </w:rPr>
        <w:t>注：1、本基金交易证券、基金等产生的费用和税负，按实际发生额从基金资产扣除。2、赎回金额=赎回份额×赎回申请日该类份额的基金份额净值-赎回费用+返还投资者的或有管理费（如有）-超额管理费（如有）。3、当投资者赎回、转换转出基金份额或基金合同终止的情形发生时，若该笔份额持有期限不足一年（即365天，下同），则该笔份额按1.20%年费率（固定管理费率0.6%、或有管理费率0.6%）收取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0.6%、或有管理费率0.6%）收取管理费。（3）对于其他情形，该笔份额按1.20%年费率（固定管理费率0.6%、或有管理费率0.6%）收取管理费。</w:t>
      </w:r>
      <w:r>
        <w:rPr>
          <w:rFonts w:ascii="宋体" w:hAnsi="宋体" w:cs="宋体"/>
          <w:color w:val="000000"/>
          <w:highlight w:val="white"/>
        </w:rPr>
        <w:t>详见招募说明书的基金费用与税收章节。</w:t>
      </w:r>
    </w:p>
    <w:p w:rsidR="004365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4365D1">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4365D1">
      <w:pPr>
        <w:spacing w:line="280" w:lineRule="exact"/>
        <w:ind w:firstLine="420"/>
        <w:rPr>
          <w:rFonts w:ascii="宋体" w:hAnsi="宋体" w:cs="宋体"/>
          <w:b/>
          <w:iCs/>
          <w:lang w:eastAsia="zh-CN"/>
        </w:rPr>
      </w:pPr>
      <w:r w:rsidRPr="004A69F8">
        <w:rPr>
          <w:rFonts w:ascii="宋体" w:hAnsi="宋体" w:cs="宋体"/>
          <w:b/>
          <w:color w:val="000000"/>
          <w:highlight w:val="white"/>
          <w:lang w:eastAsia="zh-CN"/>
        </w:rPr>
        <w:t>1</w:t>
      </w:r>
      <w:r w:rsidRPr="004A69F8">
        <w:rPr>
          <w:rFonts w:ascii="宋体" w:hAnsi="宋体" w:cs="宋体"/>
          <w:b/>
          <w:color w:val="000000"/>
          <w:highlight w:val="white"/>
          <w:lang w:eastAsia="zh-CN"/>
        </w:rPr>
        <w:t>、</w:t>
      </w:r>
      <w:r w:rsidRPr="004A69F8">
        <w:rPr>
          <w:rFonts w:ascii="宋体" w:hAnsi="宋体" w:cs="宋体" w:hint="eastAsia"/>
          <w:b/>
          <w:iCs w:val="0"/>
          <w:color w:val="000000"/>
          <w:highlight w:val="white"/>
          <w:lang w:eastAsia="zh-CN"/>
        </w:rPr>
        <w:t>本</w:t>
      </w:r>
      <w:r>
        <w:rPr>
          <w:rFonts w:ascii="宋体" w:hAnsi="宋体" w:cs="宋体" w:hint="eastAsia"/>
          <w:b/>
          <w:iCs/>
          <w:highlight w:val="white"/>
          <w:lang w:eastAsia="zh-CN"/>
        </w:rPr>
        <w:t>基金不提供任何保证。投资者可能损失投资本金。</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2、投资有风险，投资者购买基金时应认真阅读本基金的《招募说明书》等销售文件。</w:t>
      </w:r>
    </w:p>
    <w:p w:rsidR="004365D1">
      <w:pPr>
        <w:ind w:firstLine="420"/>
        <w:rPr>
          <w:lang w:eastAsia="zh-CN"/>
        </w:rPr>
      </w:pPr>
      <w:r>
        <w:rPr>
          <w:rFonts w:ascii="宋体" w:hAnsi="宋体" w:cs="宋体"/>
          <w:color w:val="000000"/>
          <w:highlight w:val="white"/>
          <w:lang w:eastAsia="zh-CN"/>
        </w:rPr>
        <w:t>3、浮动管理费模式相关风险</w:t>
      </w:r>
    </w:p>
    <w:p w:rsidR="004365D1">
      <w:pPr>
        <w:ind w:firstLine="420"/>
        <w:rPr>
          <w:lang w:eastAsia="zh-CN"/>
        </w:rPr>
      </w:pPr>
      <w:r>
        <w:rPr>
          <w:rFonts w:ascii="宋体" w:hAnsi="宋体" w:cs="宋体"/>
          <w:color w:val="000000"/>
          <w:highlight w:val="white"/>
          <w:lang w:eastAsia="zh-CN"/>
        </w:rPr>
        <w:t>（1）本基金的管理</w:t>
      </w:r>
      <w:bookmarkStart w:id="0" w:name="_GoBack"/>
      <w:bookmarkEnd w:id="0"/>
      <w:r>
        <w:rPr>
          <w:rFonts w:ascii="宋体" w:hAnsi="宋体" w:cs="宋体"/>
          <w:color w:val="000000"/>
          <w:highlight w:val="white"/>
          <w:lang w:eastAsia="zh-CN"/>
        </w:rPr>
        <w:t>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4365D1">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4A69F8" w:rsidP="004A69F8">
      <w:pPr>
        <w:ind w:firstLine="420"/>
        <w:rPr>
          <w:rFonts w:ascii="宋体" w:hAnsi="宋体" w:cs="宋体"/>
          <w:color w:val="000000"/>
          <w:highlight w:val="white"/>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4365D1" w:rsidP="004A69F8">
      <w:pPr>
        <w:ind w:firstLine="420"/>
        <w:rPr>
          <w:lang w:eastAsia="zh-CN"/>
        </w:rPr>
      </w:pPr>
      <w:r>
        <w:rPr>
          <w:rFonts w:ascii="宋体" w:hAnsi="宋体" w:cs="宋体"/>
          <w:color w:val="000000"/>
          <w:highlight w:val="white"/>
          <w:lang w:eastAsia="zh-CN"/>
        </w:rPr>
        <w:t>（4）本基金采用浮动管理费的收费模式，不代表基金管理人对基金投资收益的保证。</w:t>
      </w:r>
    </w:p>
    <w:p w:rsidR="004365D1">
      <w:pPr>
        <w:ind w:firstLine="420"/>
        <w:rPr>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r>
        <w:rPr>
          <w:rFonts w:ascii="宋体" w:hAnsi="宋体" w:cs="宋体" w:hint="eastAsia"/>
          <w:iCs/>
          <w:highlight w:val="white"/>
          <w:lang w:eastAsia="zh-CN"/>
        </w:rPr>
        <w:t>本基金的特有风险及一般风险详见招募说明书的“风险揭示”部分。</w:t>
      </w:r>
    </w:p>
    <w:p w:rsidR="004365D1">
      <w:pPr>
        <w:spacing w:line="280" w:lineRule="exact"/>
        <w:rPr>
          <w:rFonts w:ascii="宋体" w:hAnsi="宋体" w:cs="宋体"/>
          <w:b/>
          <w:iCs/>
          <w:sz w:val="22"/>
          <w:szCs w:val="24"/>
          <w:lang w:eastAsia="zh-CN"/>
        </w:rPr>
      </w:pPr>
      <w:r>
        <w:rPr>
          <w:rFonts w:ascii="宋体" w:hAnsi="宋体" w:cs="宋体"/>
          <w:b/>
          <w:iCs/>
          <w:sz w:val="24"/>
          <w:szCs w:val="24"/>
          <w:highlight w:val="white"/>
          <w:lang w:eastAsia="zh-CN"/>
        </w:rPr>
        <w:t>（二）重要提示</w:t>
      </w:r>
    </w:p>
    <w:p w:rsidR="004365D1">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4365D1">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4365D1">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4365D1">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4365D1">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b4cdce47441e4b3ab212f74615090e91"/>
      </w:placeholder>
      <w:richText/>
    </w:sdtPr>
    <w:sdtContent>
      <w:sdt>
        <w:sdtPr>
          <w:id w:val="98381352"/>
          <w:placeholder>
            <w:docPart w:val="3f44cdde114a40b4869e7cf463707e72"/>
          </w:placeholder>
          <w:richText/>
        </w:sdtPr>
        <w:sdtContent>
          <w:p w:rsidR="004365D1">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4365D1">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6A16A"/>
    <w:multiLevelType w:val="multilevel"/>
    <w:tmpl w:val="1766A16A"/>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40A582D"/>
    <w:multiLevelType w:val="multilevel"/>
    <w:tmpl w:val="540A582D"/>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姚栋梁0202">
    <w15:presenceInfo w15:providerId="None" w15:userId="姚栋梁0202"/>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5D"/>
    <w:rsid w:val="B7F71FE8"/>
    <w:rsid w:val="BFFF97E8"/>
    <w:rsid w:val="0007705D"/>
    <w:rsid w:val="000A00FB"/>
    <w:rsid w:val="00167FEB"/>
    <w:rsid w:val="002666C8"/>
    <w:rsid w:val="00270695"/>
    <w:rsid w:val="002A415D"/>
    <w:rsid w:val="00373A8D"/>
    <w:rsid w:val="003E422B"/>
    <w:rsid w:val="004049AD"/>
    <w:rsid w:val="004365D1"/>
    <w:rsid w:val="004A69F8"/>
    <w:rsid w:val="00662E43"/>
    <w:rsid w:val="00AB4E44"/>
    <w:rsid w:val="00BE6ECD"/>
    <w:rsid w:val="00E149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A35FAF19-672A-4959-A0B5-AF353D5A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qFormat="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11"/>
    <w:uiPriority w:val="99"/>
    <w:semiHidden/>
    <w:unhideWhenUsed/>
    <w:rPr>
      <w:rFonts w:ascii="宋体"/>
      <w:sz w:val="18"/>
      <w:szCs w:val="18"/>
    </w:rPr>
  </w:style>
  <w:style w:type="paragraph" w:styleId="CommentText">
    <w:name w:val="annotation text"/>
    <w:basedOn w:val="Normal"/>
    <w:link w:val="Char9"/>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qFormat/>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Char1">
    <w:name w:val="页脚 Char1"/>
    <w:link w:val="Footer"/>
    <w:uiPriority w:val="99"/>
    <w:qFormat/>
  </w:style>
  <w:style w:type="character" w:customStyle="1" w:styleId="Char">
    <w:name w:val="尾注文本 Char"/>
    <w:link w:val="EndnoteText"/>
    <w:uiPriority w:val="99"/>
    <w:rPr>
      <w:sz w:val="2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style>
  <w:style w:type="character" w:customStyle="1" w:styleId="Char10">
    <w:name w:val="批注主题 Char"/>
    <w:basedOn w:val="Char9"/>
    <w:link w:val="CommentSubject"/>
    <w:uiPriority w:val="99"/>
    <w:semiHidden/>
    <w:rPr>
      <w:b/>
      <w:bCs/>
    </w:rPr>
  </w:style>
  <w:style w:type="character" w:customStyle="1" w:styleId="Char11">
    <w:name w:val="文档结构图 Char"/>
    <w:basedOn w:val="DefaultParagraphFont"/>
    <w:link w:val="DocumentMap"/>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4cdce47441e4b3ab212f74615090e91"/>
        <w:category>
          <w:name w:val="(Empty Category)"/>
          <w:gallery w:val="any"/>
        </w:category>
        <w:behaviors>
          <w:behavior w:val="content"/>
        </w:behaviors>
        <w:guid w:val="{3D795593-018C-4204-B806-4CD7D9C46C3A}"/>
      </w:docPartPr>
      <w:docPartBody>
        <w:p w:rsidR="003E422B">
          <w:r>
            <w:t>请在此放置您的文字</w:t>
          </w:r>
        </w:p>
      </w:docPartBody>
    </w:docPart>
    <w:docPart>
      <w:docPartPr>
        <w:name w:val="3f44cdde114a40b4869e7cf463707e72"/>
        <w:category>
          <w:name w:val="(Empty Category)"/>
          <w:gallery w:val="any"/>
        </w:category>
        <w:behaviors>
          <w:behavior w:val="content"/>
        </w:behaviors>
        <w:guid w:val="{9912C120-E3F4-426C-8980-09D3E5969551}"/>
      </w:docPartPr>
      <w:docPartBody>
        <w:p w:rsidR="003E422B">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47"/>
    <w:rsid w:val="00010A5D"/>
    <w:rsid w:val="000D0747"/>
    <w:rsid w:val="003E422B"/>
    <w:rsid w:val="006A41E8"/>
    <w:rsid w:val="00AF72DA"/>
    <w:rsid w:val="00E83C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qFormat/>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paragraph" w:styleId="Header">
    <w:name w:val="header"/>
    <w:basedOn w:val="Normal"/>
    <w:link w:val="Char3"/>
    <w:uiPriority w:val="99"/>
    <w:unhideWhenUsed/>
    <w:qFormat/>
    <w:pPr>
      <w:tabs>
        <w:tab w:val="center" w:pos="7143"/>
        <w:tab w:val="right" w:pos="14287"/>
      </w:tabs>
    </w:pPr>
  </w:style>
  <w:style w:type="character" w:customStyle="1" w:styleId="Char3">
    <w:name w:val="页眉 Char"/>
    <w:basedOn w:val="DefaultParagraphFont"/>
    <w:link w:val="Header"/>
    <w:uiPriority w:val="99"/>
    <w:qFormat/>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