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广发成长甄选混合型证券投资基金（广发成长甄选混合A）基金产品资料概要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2026年1月27日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2026年2月4日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广发成长甄选混合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026732</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广发成长甄选混合A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026732</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上海浦东发展银行股份有限公司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陈韫中</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2016-02-01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660F6">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本基金可根据法律法规的规定参与融资业务。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含存托凭证）占基金资产的比例为60%-95%（投资于港股通标的股票不超过股票资产（含存托凭证）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中证800指数收益率×65%+恒生指数收益率（使用估值汇率折算）×15%+中债-综合全价（总值）指数收益率×15%+银行活期存款利率（税后）×5%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注：详见《广发成长甄选混合型证券投资基金招募说明书》及其更新文件中“基金的投资”。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1、本基金的认/申购费用在投资人通过直销机构以外的其他销售机构认/申购基金份额时收取，通过直销机构认购/申购的客户不收取认购/申购费用。</w:t>
        <w:br/>
        <w:t>2、本基金的认/申购费用由投资者承担，可用于市场推广、销售等各项费用，不列入基金资产；基金销售机构可以对除赎回费外的销售费用实行一定的优惠，具体以实际收取为准。</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br/>
              <w:t>若持有期间相对业绩比较基准的年化超额收益率在-3%及以下，按0.60%年费率确认管理费；若持有期间的年化超额收益率（扣除超额管理费后）超过6%且持有收益率（扣除超额管理费后）为正，按1.50%年费率确认管理费；其他情形按1.20%年费率确认管理费。</w:t>
            </w:r>
            <w:r w:rsidR="000D2645" w:rsidRPr="00E87B8A">
              <w:rPr>
                <w:rFonts w:ascii="仿宋" w:eastAsia="仿宋" w:hAnsi="仿宋" w:cs="方正仿宋简体" w:hint="eastAsia"/>
                <w:bCs/>
                <w:iCs/>
              </w:rPr>
              <w:t xml:space="preserve"> </w:t>
            </w:r>
            <w:r w:rsidR="000D2645" w:rsidRPr="00E87B8A">
              <w:rPr>
                <w:rFonts w:ascii="仿宋" w:eastAsia="仿宋" w:hAnsi="仿宋" w:hint="eastAsia"/>
                <w:color w:val="333399"/>
              </w:rPr>
              <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1、本基金的管理费包含固定管理费、或有管理费和超额管理费，具体计算方法详见招募说明书。</w:t>
        <w:br/>
        <w:t>2、本基金交易证券等产生的费用和税负，按实际发生额从基金资产扣除。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2）汇率风险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3）港股通可投资标的范围调整带来的风险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4）境外市场的风险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5）本基金存在不对港股进行投资的可能</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2）合约品种差异造成的风险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3）标的物风险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4）衍生品模型风险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（9）浮动管理费模式相关风险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3）本基金采用浮动管理费的收费模式，不代表基金管理人对基金收益的保证。</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10）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（1）《广发成长甄选混合型证券投资基金基金合同》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（2）《广发成长甄选混合型证券投资基金托管协议》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（3）《广发成长甄选混合型证券投资基金招募说明书》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