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0470">
      <w:pPr>
        <w:pStyle w:val="197"/>
        <w:spacing w:before="960" w:line="320" w:lineRule="exact"/>
        <w:jc w:val="center"/>
        <w:outlineLvl w:val="2"/>
        <w:rPr>
          <w:rFonts w:ascii="宋体" w:hAnsi="宋体"/>
          <w:b/>
          <w:w w:val="200"/>
        </w:rPr>
      </w:pPr>
    </w:p>
    <w:p w14:paraId="696C923C">
      <w:pPr>
        <w:pStyle w:val="197"/>
        <w:spacing w:before="960" w:line="620" w:lineRule="exact"/>
        <w:jc w:val="center"/>
        <w:outlineLvl w:val="2"/>
        <w:rPr>
          <w:rFonts w:ascii="宋体" w:hAnsi="宋体"/>
          <w:b/>
          <w:sz w:val="44"/>
        </w:rPr>
      </w:pPr>
      <w:r>
        <w:rPr>
          <w:rFonts w:hint="eastAsia" w:ascii="宋体" w:hAnsi="宋体"/>
          <w:b/>
          <w:sz w:val="44"/>
        </w:rPr>
        <w:t>富国核心动力混合型证券投资基金</w:t>
      </w:r>
    </w:p>
    <w:p w14:paraId="0A40927A">
      <w:pPr>
        <w:pStyle w:val="197"/>
        <w:spacing w:before="960" w:line="620" w:lineRule="exact"/>
        <w:jc w:val="center"/>
        <w:outlineLvl w:val="2"/>
        <w:rPr>
          <w:rFonts w:ascii="宋体" w:hAnsi="宋体"/>
          <w:b/>
          <w:sz w:val="44"/>
        </w:rPr>
      </w:pPr>
      <w:r>
        <w:rPr>
          <w:rFonts w:ascii="宋体" w:hAnsi="宋体"/>
          <w:b/>
          <w:sz w:val="44"/>
        </w:rPr>
        <w:t>托管协议</w:t>
      </w:r>
    </w:p>
    <w:p w14:paraId="6709DB6E">
      <w:pPr>
        <w:rPr>
          <w:lang w:eastAsia="zh-CN"/>
        </w:rPr>
      </w:pPr>
    </w:p>
    <w:p w14:paraId="1609BEF9">
      <w:pPr>
        <w:rPr>
          <w:lang w:eastAsia="zh-CN"/>
        </w:rPr>
      </w:pPr>
    </w:p>
    <w:p w14:paraId="6F8C0383">
      <w:pPr>
        <w:rPr>
          <w:lang w:eastAsia="zh-CN"/>
        </w:rPr>
      </w:pPr>
    </w:p>
    <w:p w14:paraId="6D8535B9">
      <w:pPr>
        <w:rPr>
          <w:lang w:eastAsia="zh-CN"/>
        </w:rPr>
      </w:pPr>
    </w:p>
    <w:p w14:paraId="48199CB2">
      <w:pPr>
        <w:rPr>
          <w:lang w:eastAsia="zh-CN"/>
        </w:rPr>
      </w:pPr>
    </w:p>
    <w:p w14:paraId="64F15928">
      <w:pPr>
        <w:rPr>
          <w:lang w:eastAsia="zh-CN"/>
        </w:rPr>
      </w:pPr>
    </w:p>
    <w:p w14:paraId="2FD572D4">
      <w:pPr>
        <w:pStyle w:val="197"/>
        <w:spacing w:line="320" w:lineRule="exact"/>
        <w:ind w:left="360" w:right="26"/>
        <w:jc w:val="center"/>
        <w:rPr>
          <w:rFonts w:ascii="宋体" w:hAnsi="宋体"/>
          <w:b/>
          <w:sz w:val="30"/>
        </w:rPr>
      </w:pPr>
    </w:p>
    <w:p w14:paraId="5A61793A">
      <w:pPr>
        <w:pStyle w:val="197"/>
        <w:spacing w:line="320" w:lineRule="exact"/>
        <w:ind w:left="479" w:right="26" w:firstLine="1200"/>
        <w:rPr>
          <w:rFonts w:ascii="宋体" w:hAnsi="宋体"/>
          <w:sz w:val="28"/>
          <w:szCs w:val="28"/>
        </w:rPr>
      </w:pPr>
      <w:r>
        <w:rPr>
          <w:rFonts w:ascii="宋体" w:hAnsi="宋体"/>
          <w:sz w:val="28"/>
          <w:szCs w:val="28"/>
        </w:rPr>
        <w:t>基金管理人：富国基金管理有限公司</w:t>
      </w:r>
    </w:p>
    <w:p w14:paraId="2BCF5D88">
      <w:pPr>
        <w:pStyle w:val="197"/>
        <w:spacing w:line="320" w:lineRule="exact"/>
        <w:ind w:left="359" w:right="26" w:firstLine="1200"/>
        <w:rPr>
          <w:rFonts w:ascii="宋体" w:hAnsi="宋体"/>
          <w:sz w:val="28"/>
          <w:szCs w:val="28"/>
        </w:rPr>
      </w:pPr>
    </w:p>
    <w:p w14:paraId="63710C63">
      <w:pPr>
        <w:pStyle w:val="197"/>
        <w:spacing w:line="320" w:lineRule="exact"/>
        <w:ind w:left="479" w:right="26" w:firstLine="1200"/>
        <w:rPr>
          <w:rFonts w:ascii="宋体" w:hAnsi="宋体"/>
          <w:sz w:val="28"/>
          <w:szCs w:val="28"/>
        </w:rPr>
      </w:pPr>
      <w:r>
        <w:rPr>
          <w:rFonts w:ascii="宋体" w:hAnsi="宋体"/>
          <w:sz w:val="28"/>
          <w:szCs w:val="28"/>
        </w:rPr>
        <w:t>基金托管人：中国银行股份有限公司</w:t>
      </w:r>
    </w:p>
    <w:p w14:paraId="6811F98F">
      <w:pPr>
        <w:pStyle w:val="197"/>
        <w:spacing w:line="320" w:lineRule="exact"/>
        <w:ind w:right="26"/>
        <w:rPr>
          <w:rFonts w:ascii="宋体" w:hAnsi="宋体"/>
          <w:sz w:val="28"/>
          <w:szCs w:val="28"/>
        </w:rPr>
      </w:pPr>
    </w:p>
    <w:p w14:paraId="159501A4">
      <w:pPr>
        <w:pStyle w:val="197"/>
        <w:spacing w:line="320" w:lineRule="exact"/>
        <w:ind w:right="26"/>
        <w:rPr>
          <w:rFonts w:ascii="宋体" w:hAnsi="宋体"/>
          <w:sz w:val="28"/>
          <w:szCs w:val="28"/>
        </w:rPr>
      </w:pPr>
    </w:p>
    <w:p w14:paraId="49E825D0">
      <w:pPr>
        <w:pStyle w:val="197"/>
        <w:spacing w:line="320" w:lineRule="exact"/>
        <w:ind w:right="26"/>
        <w:jc w:val="center"/>
        <w:rPr>
          <w:rFonts w:ascii="宋体" w:hAnsi="宋体"/>
          <w:sz w:val="28"/>
          <w:szCs w:val="28"/>
        </w:rPr>
      </w:pPr>
    </w:p>
    <w:p w14:paraId="7B063717">
      <w:pPr>
        <w:pStyle w:val="197"/>
        <w:spacing w:line="320" w:lineRule="exact"/>
        <w:ind w:right="26"/>
        <w:jc w:val="center"/>
        <w:rPr>
          <w:rFonts w:ascii="宋体" w:hAnsi="宋体"/>
          <w:sz w:val="28"/>
          <w:szCs w:val="28"/>
        </w:rPr>
      </w:pPr>
    </w:p>
    <w:p w14:paraId="3BF51FFB">
      <w:pPr>
        <w:pStyle w:val="197"/>
        <w:spacing w:line="320" w:lineRule="exact"/>
        <w:ind w:right="26"/>
        <w:jc w:val="center"/>
        <w:rPr>
          <w:rFonts w:ascii="宋体" w:hAnsi="宋体"/>
          <w:sz w:val="28"/>
          <w:szCs w:val="28"/>
        </w:rPr>
      </w:pPr>
    </w:p>
    <w:p w14:paraId="4B049409">
      <w:pPr>
        <w:pStyle w:val="197"/>
        <w:spacing w:line="320" w:lineRule="exact"/>
        <w:ind w:right="26"/>
        <w:jc w:val="center"/>
        <w:rPr>
          <w:rFonts w:ascii="宋体" w:hAnsi="宋体"/>
          <w:sz w:val="28"/>
          <w:szCs w:val="28"/>
        </w:rPr>
      </w:pPr>
    </w:p>
    <w:p w14:paraId="59454D0A">
      <w:pPr>
        <w:pStyle w:val="197"/>
        <w:spacing w:line="320" w:lineRule="exact"/>
        <w:ind w:right="26"/>
        <w:jc w:val="center"/>
        <w:rPr>
          <w:rFonts w:ascii="宋体" w:hAnsi="宋体"/>
          <w:sz w:val="28"/>
          <w:szCs w:val="28"/>
        </w:rPr>
      </w:pPr>
    </w:p>
    <w:p w14:paraId="7F84DA1A">
      <w:pPr>
        <w:pStyle w:val="197"/>
        <w:spacing w:line="320" w:lineRule="exact"/>
        <w:ind w:right="26"/>
        <w:jc w:val="center"/>
        <w:rPr>
          <w:rFonts w:ascii="宋体" w:hAnsi="宋体"/>
          <w:sz w:val="28"/>
          <w:szCs w:val="28"/>
        </w:rPr>
      </w:pPr>
      <w:r>
        <w:rPr>
          <w:rFonts w:ascii="宋体" w:hAnsi="宋体"/>
          <w:sz w:val="28"/>
          <w:szCs w:val="28"/>
        </w:rPr>
        <w:t>二○二</w:t>
      </w:r>
      <w:r>
        <w:rPr>
          <w:rFonts w:hint="eastAsia" w:ascii="宋体" w:hAnsi="宋体"/>
          <w:sz w:val="28"/>
          <w:szCs w:val="28"/>
        </w:rPr>
        <w:t>六</w:t>
      </w:r>
      <w:r>
        <w:rPr>
          <w:rFonts w:ascii="宋体" w:hAnsi="宋体"/>
          <w:sz w:val="28"/>
          <w:szCs w:val="28"/>
        </w:rPr>
        <w:t>年</w:t>
      </w:r>
      <w:r>
        <w:rPr>
          <w:rFonts w:hint="eastAsia" w:ascii="宋体" w:hAnsi="宋体"/>
          <w:sz w:val="28"/>
          <w:szCs w:val="28"/>
        </w:rPr>
        <w:t>二</w:t>
      </w:r>
      <w:r>
        <w:rPr>
          <w:rFonts w:ascii="宋体" w:hAnsi="宋体"/>
          <w:sz w:val="28"/>
          <w:szCs w:val="28"/>
        </w:rPr>
        <w:t>月</w:t>
      </w:r>
    </w:p>
    <w:p w14:paraId="216A27A5">
      <w:pPr>
        <w:pStyle w:val="197"/>
        <w:tabs>
          <w:tab w:val="left" w:pos="0"/>
        </w:tabs>
        <w:spacing w:before="100" w:beforeAutospacing="1" w:after="100" w:afterAutospacing="1" w:line="400" w:lineRule="exact"/>
        <w:ind w:right="26" w:firstLine="420"/>
        <w:outlineLvl w:val="0"/>
        <w:rPr>
          <w:rFonts w:ascii="宋体" w:hAnsi="宋体"/>
          <w:szCs w:val="21"/>
        </w:rPr>
      </w:pPr>
      <w:r>
        <w:rPr>
          <w:rFonts w:ascii="宋体" w:hAnsi="宋体"/>
          <w:b/>
        </w:rPr>
        <w:br w:type="page"/>
      </w:r>
      <w:r>
        <w:rPr>
          <w:rFonts w:ascii="宋体" w:hAnsi="宋体"/>
          <w:b/>
          <w:sz w:val="24"/>
        </w:rPr>
        <w:t xml:space="preserve"> </w:t>
      </w:r>
      <w:r>
        <w:rPr>
          <w:rFonts w:ascii="宋体" w:hAnsi="宋体"/>
          <w:szCs w:val="21"/>
        </w:rPr>
        <w:t>鉴于富国基金管理有限公司是一家依照中国法律合法成立并有效存续的有限责任公司，按照相关法律法规的规定具备担任基金管理人的资格和能力；</w:t>
      </w:r>
    </w:p>
    <w:p w14:paraId="2480E1BA">
      <w:pPr>
        <w:pStyle w:val="228"/>
        <w:spacing w:before="100" w:beforeAutospacing="1" w:after="100" w:afterAutospacing="1" w:line="400" w:lineRule="exact"/>
        <w:ind w:firstLine="549"/>
        <w:rPr>
          <w:rFonts w:hAnsi="宋体"/>
        </w:rPr>
      </w:pPr>
      <w:r>
        <w:rPr>
          <w:rFonts w:hAnsi="宋体"/>
        </w:rPr>
        <w:t>鉴于中国银行股份有限公司是一家依照中国法律合法成立并有效存续的银行，按照相关法律法规的规定具备担任基金托管人的资格和能力；</w:t>
      </w:r>
    </w:p>
    <w:p w14:paraId="68D225A3">
      <w:pPr>
        <w:pStyle w:val="228"/>
        <w:spacing w:before="100" w:beforeAutospacing="1" w:after="100" w:afterAutospacing="1" w:line="400" w:lineRule="exact"/>
        <w:ind w:firstLine="549"/>
        <w:rPr>
          <w:rFonts w:hAnsi="宋体"/>
        </w:rPr>
      </w:pPr>
      <w:r>
        <w:rPr>
          <w:rFonts w:hAnsi="宋体"/>
        </w:rPr>
        <w:t>鉴于富国基金管理有限公司拟担任</w:t>
      </w:r>
      <w:r>
        <w:rPr>
          <w:rFonts w:hint="eastAsia" w:hAnsi="宋体"/>
        </w:rPr>
        <w:t>富国核心动力混合型证券投资基金</w:t>
      </w:r>
      <w:r>
        <w:rPr>
          <w:rFonts w:hAnsi="宋体"/>
        </w:rPr>
        <w:t>的基金管理人，中国银行股份有限公司拟担任</w:t>
      </w:r>
      <w:r>
        <w:rPr>
          <w:rFonts w:hint="eastAsia" w:hAnsi="宋体"/>
        </w:rPr>
        <w:t>富国核心动力混合型证券投资基金</w:t>
      </w:r>
      <w:r>
        <w:rPr>
          <w:rFonts w:hAnsi="宋体"/>
        </w:rPr>
        <w:t>的基金托管人；</w:t>
      </w:r>
    </w:p>
    <w:p w14:paraId="259D9DF9">
      <w:pPr>
        <w:pStyle w:val="228"/>
        <w:spacing w:before="100" w:beforeAutospacing="1" w:after="100" w:afterAutospacing="1" w:line="400" w:lineRule="exact"/>
        <w:ind w:firstLine="549"/>
        <w:rPr>
          <w:rFonts w:hAnsi="宋体"/>
        </w:rPr>
      </w:pPr>
      <w:r>
        <w:rPr>
          <w:rFonts w:hAnsi="宋体"/>
        </w:rPr>
        <w:t>若</w:t>
      </w:r>
      <w:r>
        <w:rPr>
          <w:rFonts w:hint="eastAsia" w:hAnsi="宋体"/>
        </w:rPr>
        <w:t>富国核心动力混合型证券投资基金</w:t>
      </w:r>
      <w:r>
        <w:rPr>
          <w:rFonts w:hAnsi="宋体"/>
        </w:rPr>
        <w:t>实施侧袋机制的，侧袋机制实施期间的相关安排见基金合同和招募说明书的规定。</w:t>
      </w:r>
    </w:p>
    <w:p w14:paraId="1D9EEAE7">
      <w:pPr>
        <w:pStyle w:val="228"/>
        <w:spacing w:before="100" w:beforeAutospacing="1" w:after="100" w:afterAutospacing="1" w:line="400" w:lineRule="exact"/>
        <w:ind w:firstLine="549"/>
        <w:rPr>
          <w:rFonts w:hAnsi="宋体"/>
        </w:rPr>
      </w:pPr>
      <w:r>
        <w:rPr>
          <w:rFonts w:hAnsi="宋体"/>
        </w:rPr>
        <w:t>为明确</w:t>
      </w:r>
      <w:r>
        <w:rPr>
          <w:rFonts w:hint="eastAsia" w:hAnsi="宋体"/>
        </w:rPr>
        <w:t>富国核心动力混合型证券投资基金</w:t>
      </w:r>
      <w:r>
        <w:rPr>
          <w:rFonts w:hAnsi="宋体"/>
        </w:rPr>
        <w:t>基金管理人和基金托管人之间的权利义务关系，特制订本协议。</w:t>
      </w:r>
      <w:bookmarkStart w:id="0" w:name="_Toc30230313"/>
    </w:p>
    <w:p w14:paraId="2F81AB78">
      <w:pPr>
        <w:pStyle w:val="228"/>
        <w:spacing w:before="100" w:beforeAutospacing="1" w:after="100" w:afterAutospacing="1" w:line="400" w:lineRule="exact"/>
        <w:ind w:firstLine="549"/>
        <w:rPr>
          <w:rFonts w:hAnsi="宋体"/>
        </w:rPr>
      </w:pPr>
    </w:p>
    <w:p w14:paraId="184ADB2B">
      <w:pPr>
        <w:pStyle w:val="198"/>
        <w:spacing w:before="100" w:beforeAutospacing="1" w:after="100" w:afterAutospacing="1" w:line="400" w:lineRule="exact"/>
        <w:ind w:firstLine="422"/>
        <w:rPr>
          <w:rFonts w:ascii="宋体" w:hAnsi="宋体"/>
          <w:sz w:val="21"/>
          <w:szCs w:val="21"/>
        </w:rPr>
      </w:pPr>
      <w:bookmarkStart w:id="1" w:name="_Toc116900096"/>
      <w:r>
        <w:rPr>
          <w:rFonts w:ascii="宋体" w:hAnsi="宋体"/>
          <w:sz w:val="21"/>
          <w:szCs w:val="21"/>
        </w:rPr>
        <w:t>一、托管协议当事人</w:t>
      </w:r>
      <w:bookmarkEnd w:id="0"/>
      <w:bookmarkEnd w:id="1"/>
    </w:p>
    <w:p w14:paraId="34DE964F">
      <w:pPr>
        <w:pStyle w:val="228"/>
        <w:spacing w:before="100" w:beforeAutospacing="1" w:after="100" w:afterAutospacing="1" w:line="400" w:lineRule="exact"/>
        <w:ind w:firstLine="403"/>
        <w:rPr>
          <w:rFonts w:hAnsi="宋体"/>
        </w:rPr>
      </w:pPr>
      <w:r>
        <w:rPr>
          <w:rFonts w:hAnsi="宋体"/>
        </w:rPr>
        <w:t>（一）基金管理人（或简称“管理人”）</w:t>
      </w:r>
    </w:p>
    <w:p w14:paraId="2BB07B3A">
      <w:pPr>
        <w:pStyle w:val="197"/>
        <w:spacing w:before="100" w:beforeAutospacing="1" w:after="100" w:afterAutospacing="1" w:line="400" w:lineRule="exact"/>
        <w:ind w:right="26" w:firstLine="403"/>
        <w:rPr>
          <w:rFonts w:ascii="宋体" w:hAnsi="宋体"/>
          <w:szCs w:val="21"/>
        </w:rPr>
      </w:pPr>
      <w:r>
        <w:rPr>
          <w:rFonts w:ascii="宋体" w:hAnsi="宋体"/>
          <w:szCs w:val="21"/>
        </w:rPr>
        <w:t>名称：富国基金管理有限公司</w:t>
      </w:r>
    </w:p>
    <w:p w14:paraId="5C3D6984">
      <w:pPr>
        <w:pStyle w:val="197"/>
        <w:spacing w:before="100" w:beforeAutospacing="1" w:after="100" w:afterAutospacing="1" w:line="400" w:lineRule="exact"/>
        <w:ind w:right="26" w:firstLine="403"/>
        <w:rPr>
          <w:rFonts w:ascii="宋体" w:hAnsi="宋体"/>
          <w:szCs w:val="21"/>
        </w:rPr>
      </w:pPr>
      <w:r>
        <w:rPr>
          <w:rFonts w:ascii="宋体" w:hAnsi="宋体"/>
          <w:szCs w:val="21"/>
        </w:rPr>
        <w:t>住所：中国（上海）自由贸易试验区世纪大道1196号世纪汇办公楼二座27-30层</w:t>
      </w:r>
    </w:p>
    <w:p w14:paraId="79A1885E">
      <w:pPr>
        <w:pStyle w:val="197"/>
        <w:spacing w:before="100" w:beforeAutospacing="1" w:after="100" w:afterAutospacing="1" w:line="400" w:lineRule="exact"/>
        <w:ind w:right="26" w:firstLine="403"/>
        <w:rPr>
          <w:rFonts w:ascii="宋体" w:hAnsi="宋体"/>
          <w:szCs w:val="21"/>
        </w:rPr>
      </w:pPr>
      <w:r>
        <w:rPr>
          <w:rFonts w:ascii="宋体" w:hAnsi="宋体"/>
          <w:szCs w:val="21"/>
        </w:rPr>
        <w:t>法定代表人: 裴长江</w:t>
      </w:r>
    </w:p>
    <w:p w14:paraId="47AF127A">
      <w:pPr>
        <w:pStyle w:val="197"/>
        <w:spacing w:before="100" w:beforeAutospacing="1" w:after="100" w:afterAutospacing="1" w:line="400" w:lineRule="exact"/>
        <w:ind w:right="26" w:firstLine="403"/>
        <w:rPr>
          <w:rFonts w:ascii="宋体" w:hAnsi="宋体"/>
          <w:szCs w:val="21"/>
        </w:rPr>
      </w:pPr>
      <w:r>
        <w:rPr>
          <w:rFonts w:ascii="宋体" w:hAnsi="宋体"/>
          <w:szCs w:val="21"/>
        </w:rPr>
        <w:t>成立时间：1999年4月13日</w:t>
      </w:r>
    </w:p>
    <w:p w14:paraId="034A7B39">
      <w:pPr>
        <w:pStyle w:val="197"/>
        <w:spacing w:before="100" w:beforeAutospacing="1" w:after="100" w:afterAutospacing="1" w:line="400" w:lineRule="exact"/>
        <w:ind w:right="26" w:firstLine="403"/>
        <w:rPr>
          <w:rFonts w:ascii="宋体" w:hAnsi="宋体"/>
          <w:szCs w:val="21"/>
        </w:rPr>
      </w:pPr>
      <w:r>
        <w:rPr>
          <w:rFonts w:ascii="宋体" w:hAnsi="宋体"/>
          <w:szCs w:val="21"/>
        </w:rPr>
        <w:t>批准设立机关：中国证券监督管理委员会</w:t>
      </w:r>
    </w:p>
    <w:p w14:paraId="1F83A12D">
      <w:pPr>
        <w:pStyle w:val="197"/>
        <w:spacing w:before="100" w:beforeAutospacing="1" w:after="100" w:afterAutospacing="1" w:line="400" w:lineRule="exact"/>
        <w:ind w:right="26" w:firstLine="403"/>
        <w:rPr>
          <w:rFonts w:ascii="宋体" w:hAnsi="宋体"/>
          <w:szCs w:val="21"/>
        </w:rPr>
      </w:pPr>
      <w:r>
        <w:rPr>
          <w:rFonts w:ascii="宋体" w:hAnsi="宋体"/>
          <w:szCs w:val="21"/>
        </w:rPr>
        <w:t>批准设立文号：证监基金字【1999】11号</w:t>
      </w:r>
    </w:p>
    <w:p w14:paraId="4006F964">
      <w:pPr>
        <w:pStyle w:val="197"/>
        <w:spacing w:before="100" w:beforeAutospacing="1" w:after="100" w:afterAutospacing="1" w:line="400" w:lineRule="exact"/>
        <w:ind w:right="26" w:firstLine="403"/>
        <w:rPr>
          <w:rFonts w:ascii="宋体" w:hAnsi="宋体"/>
          <w:szCs w:val="21"/>
        </w:rPr>
      </w:pPr>
      <w:r>
        <w:rPr>
          <w:rFonts w:ascii="宋体" w:hAnsi="宋体"/>
          <w:szCs w:val="21"/>
        </w:rPr>
        <w:t>组织形式：有限责任公司</w:t>
      </w:r>
    </w:p>
    <w:p w14:paraId="286F4A04">
      <w:pPr>
        <w:pStyle w:val="197"/>
        <w:spacing w:before="100" w:beforeAutospacing="1" w:after="100" w:afterAutospacing="1" w:line="400" w:lineRule="exact"/>
        <w:ind w:right="26" w:firstLine="403"/>
        <w:rPr>
          <w:rFonts w:ascii="宋体" w:hAnsi="宋体"/>
          <w:szCs w:val="21"/>
        </w:rPr>
      </w:pPr>
      <w:r>
        <w:rPr>
          <w:rFonts w:ascii="宋体" w:hAnsi="宋体"/>
          <w:szCs w:val="21"/>
        </w:rPr>
        <w:t>注册资本：5.2亿元人民币</w:t>
      </w:r>
    </w:p>
    <w:p w14:paraId="75126BFC">
      <w:pPr>
        <w:pStyle w:val="197"/>
        <w:spacing w:before="100" w:beforeAutospacing="1" w:after="100" w:afterAutospacing="1" w:line="400" w:lineRule="exact"/>
        <w:ind w:right="26" w:firstLine="403"/>
        <w:rPr>
          <w:rFonts w:ascii="宋体" w:hAnsi="宋体"/>
          <w:szCs w:val="21"/>
          <w:u w:val="single"/>
        </w:rPr>
      </w:pPr>
      <w:r>
        <w:rPr>
          <w:rFonts w:ascii="宋体" w:hAnsi="宋体"/>
          <w:szCs w:val="21"/>
        </w:rPr>
        <w:t>经营范围：公开募集证券投资基金管理、基金销售、特定客户资产管理</w:t>
      </w:r>
    </w:p>
    <w:p w14:paraId="2EBED62D">
      <w:pPr>
        <w:pStyle w:val="228"/>
        <w:spacing w:before="100" w:beforeAutospacing="1" w:after="100" w:afterAutospacing="1" w:line="400" w:lineRule="exact"/>
        <w:ind w:firstLine="403"/>
        <w:rPr>
          <w:rFonts w:hAnsi="宋体"/>
        </w:rPr>
      </w:pPr>
      <w:r>
        <w:rPr>
          <w:rFonts w:hAnsi="宋体"/>
        </w:rPr>
        <w:t>存续期间：持续经营</w:t>
      </w:r>
    </w:p>
    <w:p w14:paraId="661A8C64">
      <w:pPr>
        <w:pStyle w:val="228"/>
        <w:spacing w:before="100" w:beforeAutospacing="1" w:after="100" w:afterAutospacing="1" w:line="400" w:lineRule="exact"/>
        <w:ind w:firstLine="403"/>
        <w:rPr>
          <w:rFonts w:hAnsi="宋体"/>
        </w:rPr>
      </w:pPr>
    </w:p>
    <w:p w14:paraId="236E6EEF">
      <w:pPr>
        <w:pStyle w:val="228"/>
        <w:spacing w:before="100" w:beforeAutospacing="1" w:after="100" w:afterAutospacing="1" w:line="400" w:lineRule="exact"/>
        <w:ind w:firstLine="403"/>
        <w:rPr>
          <w:rFonts w:hAnsi="宋体"/>
        </w:rPr>
      </w:pPr>
      <w:r>
        <w:rPr>
          <w:rFonts w:hAnsi="宋体"/>
        </w:rPr>
        <w:t>（二）基金托管人（或简称“托管人”）</w:t>
      </w:r>
    </w:p>
    <w:p w14:paraId="4D9EC523">
      <w:pPr>
        <w:pStyle w:val="197"/>
        <w:spacing w:before="100" w:beforeAutospacing="1" w:after="100" w:afterAutospacing="1" w:line="400" w:lineRule="exact"/>
        <w:ind w:right="26" w:firstLine="403"/>
        <w:rPr>
          <w:rFonts w:ascii="宋体" w:hAnsi="宋体"/>
          <w:szCs w:val="21"/>
        </w:rPr>
      </w:pPr>
      <w:r>
        <w:rPr>
          <w:rFonts w:ascii="宋体" w:hAnsi="宋体"/>
          <w:szCs w:val="21"/>
        </w:rPr>
        <w:t>名称：中国银行股份有限公司</w:t>
      </w:r>
    </w:p>
    <w:p w14:paraId="0758C795">
      <w:pPr>
        <w:pStyle w:val="197"/>
        <w:spacing w:before="100" w:beforeAutospacing="1" w:after="100" w:afterAutospacing="1" w:line="400" w:lineRule="exact"/>
        <w:ind w:right="26" w:firstLine="403"/>
        <w:rPr>
          <w:rFonts w:ascii="宋体" w:hAnsi="宋体"/>
          <w:szCs w:val="21"/>
        </w:rPr>
      </w:pPr>
      <w:r>
        <w:rPr>
          <w:rFonts w:ascii="宋体" w:hAnsi="宋体"/>
          <w:szCs w:val="21"/>
        </w:rPr>
        <w:t>住所：北京市西城区复兴门内大街1号</w:t>
      </w:r>
    </w:p>
    <w:p w14:paraId="1251BE2D">
      <w:pPr>
        <w:pStyle w:val="197"/>
        <w:spacing w:before="100" w:beforeAutospacing="1" w:after="100" w:afterAutospacing="1" w:line="400" w:lineRule="exact"/>
        <w:ind w:right="26" w:firstLine="403"/>
        <w:rPr>
          <w:rFonts w:ascii="宋体" w:hAnsi="宋体"/>
          <w:szCs w:val="21"/>
        </w:rPr>
      </w:pPr>
      <w:r>
        <w:rPr>
          <w:rFonts w:ascii="宋体" w:hAnsi="宋体"/>
          <w:szCs w:val="21"/>
        </w:rPr>
        <w:t xml:space="preserve">法定代表人: </w:t>
      </w:r>
      <w:r>
        <w:rPr>
          <w:rFonts w:hint="eastAsia" w:ascii="宋体" w:hAnsi="宋体"/>
          <w:szCs w:val="21"/>
        </w:rPr>
        <w:t>葛海蛟</w:t>
      </w:r>
    </w:p>
    <w:p w14:paraId="1B8185CC">
      <w:pPr>
        <w:pStyle w:val="197"/>
        <w:spacing w:before="100" w:beforeAutospacing="1" w:after="100" w:afterAutospacing="1" w:line="400" w:lineRule="exact"/>
        <w:ind w:firstLine="435"/>
        <w:rPr>
          <w:rFonts w:ascii="宋体" w:hAnsi="宋体"/>
          <w:szCs w:val="21"/>
        </w:rPr>
      </w:pPr>
      <w:r>
        <w:rPr>
          <w:rFonts w:ascii="宋体" w:hAnsi="宋体"/>
          <w:szCs w:val="21"/>
        </w:rPr>
        <w:t>成立时间：1983年10月31日</w:t>
      </w:r>
    </w:p>
    <w:p w14:paraId="51180A31">
      <w:pPr>
        <w:pStyle w:val="197"/>
        <w:spacing w:before="100" w:beforeAutospacing="1" w:after="100" w:afterAutospacing="1" w:line="400" w:lineRule="exact"/>
        <w:ind w:firstLine="420"/>
        <w:rPr>
          <w:rFonts w:ascii="宋体" w:hAnsi="宋体"/>
          <w:szCs w:val="21"/>
        </w:rPr>
      </w:pPr>
      <w:r>
        <w:rPr>
          <w:rFonts w:ascii="宋体" w:hAnsi="宋体"/>
          <w:szCs w:val="21"/>
        </w:rPr>
        <w:t>基金托管业务批准文号：中国证监会证监基字【1998】24号</w:t>
      </w:r>
    </w:p>
    <w:p w14:paraId="1EFBE73C">
      <w:pPr>
        <w:pStyle w:val="197"/>
        <w:tabs>
          <w:tab w:val="left" w:pos="1110"/>
        </w:tabs>
        <w:spacing w:before="100" w:beforeAutospacing="1" w:after="100" w:afterAutospacing="1" w:line="400" w:lineRule="exact"/>
        <w:ind w:firstLine="420"/>
        <w:rPr>
          <w:rFonts w:ascii="宋体" w:hAnsi="宋体"/>
          <w:szCs w:val="21"/>
        </w:rPr>
      </w:pPr>
      <w:r>
        <w:rPr>
          <w:rFonts w:ascii="宋体" w:hAnsi="宋体"/>
          <w:szCs w:val="21"/>
        </w:rPr>
        <w:t>组织形式：股份有限公司</w:t>
      </w:r>
    </w:p>
    <w:p w14:paraId="2F3AAA4E">
      <w:pPr>
        <w:pStyle w:val="197"/>
        <w:spacing w:before="100" w:beforeAutospacing="1" w:after="100" w:afterAutospacing="1" w:line="400" w:lineRule="exact"/>
        <w:ind w:right="26" w:firstLine="403"/>
        <w:rPr>
          <w:rFonts w:ascii="宋体" w:hAnsi="宋体"/>
          <w:szCs w:val="21"/>
        </w:rPr>
      </w:pPr>
      <w:r>
        <w:rPr>
          <w:rFonts w:ascii="宋体" w:hAnsi="宋体"/>
          <w:szCs w:val="21"/>
        </w:rPr>
        <w:t>注册资本：</w:t>
      </w:r>
      <w:r>
        <w:rPr>
          <w:rFonts w:hint="eastAsia" w:ascii="宋体" w:hAnsi="宋体"/>
          <w:szCs w:val="21"/>
        </w:rPr>
        <w:t>人民币叁仟贰佰贰拾贰亿壹仟贰佰肆拾壹万壹仟捌佰壹拾肆元整</w:t>
      </w:r>
    </w:p>
    <w:p w14:paraId="49AAED99">
      <w:pPr>
        <w:pStyle w:val="197"/>
        <w:spacing w:before="100" w:beforeAutospacing="1" w:after="100" w:afterAutospacing="1" w:line="400" w:lineRule="exact"/>
        <w:ind w:left="1674" w:right="26" w:hanging="1271"/>
        <w:rPr>
          <w:rFonts w:ascii="宋体" w:hAnsi="宋体"/>
          <w:szCs w:val="21"/>
        </w:rPr>
      </w:pPr>
      <w:r>
        <w:rPr>
          <w:rFonts w:ascii="宋体" w:hAnsi="宋体"/>
          <w:szCs w:val="21"/>
        </w:rPr>
        <w:t>经营范围：</w:t>
      </w:r>
      <w:r>
        <w:rPr>
          <w:rFonts w:ascii="宋体" w:hAnsi="宋体"/>
          <w:szCs w:val="21"/>
        </w:rPr>
        <w:tab/>
      </w:r>
      <w:r>
        <w:rPr>
          <w:rFonts w:ascii="宋体" w:hAnsi="宋体"/>
          <w:szCs w:val="21"/>
        </w:rPr>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09B02F38">
      <w:pPr>
        <w:pStyle w:val="197"/>
        <w:spacing w:before="100" w:beforeAutospacing="1" w:after="100" w:afterAutospacing="1" w:line="400" w:lineRule="exact"/>
        <w:ind w:firstLine="403"/>
        <w:rPr>
          <w:rFonts w:ascii="宋体" w:hAnsi="宋体"/>
          <w:szCs w:val="21"/>
        </w:rPr>
      </w:pPr>
      <w:r>
        <w:rPr>
          <w:rFonts w:ascii="宋体" w:hAnsi="宋体"/>
          <w:szCs w:val="21"/>
        </w:rPr>
        <w:t>存续期间：</w:t>
      </w:r>
      <w:r>
        <w:rPr>
          <w:rFonts w:ascii="宋体" w:hAnsi="宋体"/>
          <w:szCs w:val="21"/>
        </w:rPr>
        <w:tab/>
      </w:r>
      <w:r>
        <w:rPr>
          <w:rFonts w:ascii="宋体" w:hAnsi="宋体"/>
          <w:szCs w:val="21"/>
        </w:rPr>
        <w:t>持续经营</w:t>
      </w:r>
    </w:p>
    <w:p w14:paraId="198CCD52">
      <w:pPr>
        <w:pStyle w:val="197"/>
        <w:spacing w:before="100" w:beforeAutospacing="1" w:after="100" w:afterAutospacing="1" w:line="400" w:lineRule="exact"/>
        <w:ind w:firstLine="403"/>
        <w:rPr>
          <w:rFonts w:ascii="宋体" w:hAnsi="宋体"/>
          <w:szCs w:val="21"/>
        </w:rPr>
      </w:pPr>
    </w:p>
    <w:p w14:paraId="2CEC2B7C">
      <w:pPr>
        <w:pStyle w:val="198"/>
        <w:spacing w:before="100" w:beforeAutospacing="1" w:after="100" w:afterAutospacing="1" w:line="400" w:lineRule="exact"/>
        <w:ind w:firstLine="422"/>
        <w:rPr>
          <w:rFonts w:ascii="宋体" w:hAnsi="宋体"/>
          <w:sz w:val="21"/>
          <w:szCs w:val="21"/>
        </w:rPr>
      </w:pPr>
      <w:bookmarkStart w:id="2" w:name="_Toc116900097"/>
      <w:r>
        <w:rPr>
          <w:rFonts w:ascii="宋体" w:hAnsi="宋体"/>
          <w:sz w:val="21"/>
          <w:szCs w:val="21"/>
        </w:rPr>
        <w:t>二、托管协议的依据、目的、原则和解释</w:t>
      </w:r>
      <w:bookmarkEnd w:id="2"/>
    </w:p>
    <w:p w14:paraId="79DCB76A">
      <w:pPr>
        <w:pStyle w:val="197"/>
        <w:spacing w:before="100" w:beforeAutospacing="1" w:after="100" w:afterAutospacing="1" w:line="400" w:lineRule="exact"/>
        <w:ind w:firstLine="403"/>
        <w:rPr>
          <w:rFonts w:ascii="宋体" w:hAnsi="宋体"/>
          <w:szCs w:val="21"/>
        </w:rPr>
      </w:pPr>
      <w:r>
        <w:rPr>
          <w:rFonts w:ascii="宋体" w:hAnsi="宋体"/>
          <w:szCs w:val="21"/>
        </w:rPr>
        <w:t>（一）依据</w:t>
      </w:r>
    </w:p>
    <w:p w14:paraId="18DE8316">
      <w:pPr>
        <w:pStyle w:val="220"/>
        <w:spacing w:before="100" w:beforeAutospacing="1" w:after="100" w:afterAutospacing="1"/>
        <w:ind w:firstLine="403"/>
        <w:rPr>
          <w:rFonts w:ascii="宋体" w:eastAsia="宋体"/>
          <w:sz w:val="21"/>
          <w:szCs w:val="21"/>
        </w:rPr>
      </w:pPr>
      <w:r>
        <w:rPr>
          <w:rFonts w:ascii="宋体" w:eastAsia="宋体"/>
          <w:sz w:val="21"/>
          <w:szCs w:val="21"/>
        </w:rPr>
        <w:t>本协议依据《中华人民共和国民法典》、《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w:t>
      </w:r>
      <w:r>
        <w:rPr>
          <w:rFonts w:hint="eastAsia" w:ascii="宋体" w:eastAsia="宋体"/>
          <w:sz w:val="21"/>
          <w:szCs w:val="21"/>
        </w:rPr>
        <w:t>、《公开募集证券投资基金销售费用管理规定》</w:t>
      </w:r>
      <w:bookmarkStart w:id="33" w:name="_GoBack"/>
      <w:bookmarkEnd w:id="33"/>
      <w:r>
        <w:rPr>
          <w:rFonts w:ascii="宋体" w:eastAsia="宋体"/>
          <w:sz w:val="21"/>
          <w:szCs w:val="21"/>
        </w:rPr>
        <w:t>及其他有关法律法规与《</w:t>
      </w:r>
      <w:r>
        <w:rPr>
          <w:rFonts w:hint="eastAsia" w:ascii="宋体" w:eastAsia="宋体"/>
          <w:sz w:val="21"/>
          <w:szCs w:val="21"/>
        </w:rPr>
        <w:t>富国核心动力混合型证券投资基金</w:t>
      </w:r>
      <w:r>
        <w:rPr>
          <w:rFonts w:ascii="宋体" w:eastAsia="宋体"/>
          <w:sz w:val="21"/>
          <w:szCs w:val="21"/>
        </w:rPr>
        <w:t>基金合同》（以下简称“《基金合同》”</w:t>
      </w:r>
      <w:r>
        <w:rPr>
          <w:rFonts w:hint="eastAsia" w:ascii="宋体" w:eastAsia="宋体"/>
          <w:sz w:val="21"/>
          <w:szCs w:val="21"/>
        </w:rPr>
        <w:t xml:space="preserve"> 或“基金合同”</w:t>
      </w:r>
      <w:r>
        <w:rPr>
          <w:rFonts w:ascii="宋体" w:eastAsia="宋体"/>
          <w:sz w:val="21"/>
          <w:szCs w:val="21"/>
        </w:rPr>
        <w:t>）订立。</w:t>
      </w:r>
    </w:p>
    <w:p w14:paraId="68C15841">
      <w:pPr>
        <w:pStyle w:val="220"/>
        <w:spacing w:before="100" w:beforeAutospacing="1" w:after="100" w:afterAutospacing="1"/>
        <w:ind w:firstLine="403"/>
        <w:rPr>
          <w:rFonts w:ascii="宋体" w:eastAsia="宋体"/>
          <w:sz w:val="21"/>
          <w:szCs w:val="21"/>
        </w:rPr>
      </w:pPr>
      <w:r>
        <w:rPr>
          <w:rFonts w:ascii="宋体" w:eastAsia="宋体"/>
          <w:sz w:val="21"/>
          <w:szCs w:val="21"/>
        </w:rPr>
        <w:t>（二）目的</w:t>
      </w:r>
    </w:p>
    <w:p w14:paraId="126C3D48">
      <w:pPr>
        <w:pStyle w:val="220"/>
        <w:spacing w:before="100" w:beforeAutospacing="1" w:after="100" w:afterAutospacing="1"/>
        <w:ind w:firstLine="403"/>
        <w:rPr>
          <w:rFonts w:ascii="宋体" w:eastAsia="宋体"/>
          <w:sz w:val="21"/>
          <w:szCs w:val="21"/>
        </w:rPr>
      </w:pPr>
      <w:r>
        <w:rPr>
          <w:rFonts w:ascii="宋体" w:eastAsia="宋体"/>
          <w:sz w:val="21"/>
          <w:szCs w:val="21"/>
        </w:rPr>
        <w:t>订立本协议的目的是明确</w:t>
      </w:r>
      <w:r>
        <w:rPr>
          <w:rFonts w:hint="eastAsia" w:ascii="宋体" w:eastAsia="宋体"/>
          <w:sz w:val="21"/>
          <w:szCs w:val="21"/>
        </w:rPr>
        <w:t>富国核心动力混合型证券投资基金</w:t>
      </w:r>
      <w:r>
        <w:rPr>
          <w:rFonts w:ascii="宋体" w:eastAsia="宋体"/>
          <w:sz w:val="21"/>
          <w:szCs w:val="21"/>
        </w:rPr>
        <w:t>基金托管人和</w:t>
      </w:r>
      <w:r>
        <w:rPr>
          <w:rFonts w:hint="eastAsia" w:ascii="宋体" w:eastAsia="宋体"/>
          <w:sz w:val="21"/>
          <w:szCs w:val="21"/>
        </w:rPr>
        <w:t>富国核心动力混合型证券投资基金（以下简称“本基金”）</w:t>
      </w:r>
      <w:r>
        <w:rPr>
          <w:rFonts w:ascii="宋体" w:eastAsia="宋体"/>
          <w:sz w:val="21"/>
          <w:szCs w:val="21"/>
        </w:rPr>
        <w:t>基金管理人之间在基金财产的保管、投资运作、净值计算、收益分配、信息披露及相互监督等相关事宜中的权利、义务及职责，确保基金财产的安全，保护基金份额持有人的合法权益。</w:t>
      </w:r>
    </w:p>
    <w:p w14:paraId="2931E85B">
      <w:pPr>
        <w:pStyle w:val="220"/>
        <w:spacing w:before="100" w:beforeAutospacing="1" w:after="100" w:afterAutospacing="1"/>
        <w:ind w:firstLine="403"/>
        <w:rPr>
          <w:rFonts w:ascii="宋体" w:eastAsia="宋体"/>
          <w:sz w:val="21"/>
          <w:szCs w:val="21"/>
        </w:rPr>
      </w:pPr>
      <w:r>
        <w:rPr>
          <w:rFonts w:ascii="宋体" w:eastAsia="宋体"/>
          <w:sz w:val="21"/>
          <w:szCs w:val="21"/>
        </w:rPr>
        <w:t>（三）原则</w:t>
      </w:r>
    </w:p>
    <w:p w14:paraId="703F73B9">
      <w:pPr>
        <w:pStyle w:val="220"/>
        <w:spacing w:before="100" w:beforeAutospacing="1" w:after="100" w:afterAutospacing="1"/>
        <w:ind w:firstLine="403"/>
        <w:rPr>
          <w:rFonts w:ascii="宋体" w:eastAsia="宋体"/>
          <w:sz w:val="21"/>
          <w:szCs w:val="21"/>
        </w:rPr>
      </w:pPr>
      <w:r>
        <w:rPr>
          <w:rFonts w:ascii="宋体" w:eastAsia="宋体"/>
          <w:sz w:val="21"/>
          <w:szCs w:val="21"/>
        </w:rPr>
        <w:t>基金管理人和基金托管人本着平等自愿、诚实信用的原则，经协商一致，签订本协议。</w:t>
      </w:r>
    </w:p>
    <w:p w14:paraId="749D6A7C">
      <w:pPr>
        <w:pStyle w:val="220"/>
        <w:spacing w:before="100" w:beforeAutospacing="1" w:after="100" w:afterAutospacing="1"/>
        <w:ind w:firstLine="403"/>
        <w:rPr>
          <w:rFonts w:ascii="宋体" w:eastAsia="宋体"/>
          <w:sz w:val="21"/>
          <w:szCs w:val="21"/>
        </w:rPr>
      </w:pPr>
      <w:r>
        <w:rPr>
          <w:rFonts w:ascii="宋体" w:eastAsia="宋体"/>
          <w:sz w:val="21"/>
          <w:szCs w:val="21"/>
        </w:rPr>
        <w:t>（四）解释</w:t>
      </w:r>
    </w:p>
    <w:p w14:paraId="4DEE6C14">
      <w:pPr>
        <w:pStyle w:val="220"/>
        <w:spacing w:before="100" w:beforeAutospacing="1" w:after="100" w:afterAutospacing="1"/>
        <w:ind w:firstLine="403"/>
        <w:rPr>
          <w:rFonts w:ascii="宋体" w:eastAsia="宋体"/>
          <w:sz w:val="21"/>
          <w:szCs w:val="21"/>
        </w:rPr>
      </w:pPr>
      <w:r>
        <w:rPr>
          <w:rFonts w:ascii="宋体" w:eastAsia="宋体"/>
          <w:sz w:val="21"/>
          <w:szCs w:val="21"/>
        </w:rPr>
        <w:t>除非文义另有所指，本协议的所有术语与</w:t>
      </w:r>
      <w:bookmarkStart w:id="3" w:name="OLE_LINK3"/>
      <w:r>
        <w:rPr>
          <w:rFonts w:ascii="宋体" w:eastAsia="宋体"/>
          <w:sz w:val="21"/>
          <w:szCs w:val="21"/>
        </w:rPr>
        <w:t>《基金合同》</w:t>
      </w:r>
      <w:bookmarkEnd w:id="3"/>
      <w:r>
        <w:rPr>
          <w:rFonts w:ascii="宋体" w:eastAsia="宋体"/>
          <w:sz w:val="21"/>
          <w:szCs w:val="21"/>
        </w:rPr>
        <w:t>的相应术语具有相同含义；若有抵触，应以《基金合同》为准，并依其条款解释。</w:t>
      </w:r>
    </w:p>
    <w:p w14:paraId="6D583ACE">
      <w:pPr>
        <w:pStyle w:val="220"/>
        <w:spacing w:before="100" w:beforeAutospacing="1" w:after="100" w:afterAutospacing="1"/>
        <w:ind w:firstLine="403"/>
        <w:rPr>
          <w:rFonts w:ascii="宋体" w:eastAsia="宋体"/>
          <w:sz w:val="21"/>
          <w:szCs w:val="21"/>
        </w:rPr>
      </w:pPr>
    </w:p>
    <w:p w14:paraId="24C7BDDB">
      <w:pPr>
        <w:pStyle w:val="198"/>
        <w:spacing w:before="100" w:beforeAutospacing="1" w:after="100" w:afterAutospacing="1" w:line="400" w:lineRule="exact"/>
        <w:ind w:firstLine="422"/>
        <w:rPr>
          <w:rFonts w:ascii="宋体" w:hAnsi="宋体"/>
          <w:sz w:val="21"/>
          <w:szCs w:val="21"/>
        </w:rPr>
      </w:pPr>
      <w:bookmarkStart w:id="4" w:name="_Toc116900098"/>
      <w:r>
        <w:rPr>
          <w:rFonts w:ascii="宋体" w:hAnsi="宋体"/>
          <w:sz w:val="21"/>
          <w:szCs w:val="21"/>
        </w:rPr>
        <w:t>三、基金托管人对基金管理人的业务监督和核查</w:t>
      </w:r>
      <w:bookmarkEnd w:id="4"/>
    </w:p>
    <w:p w14:paraId="7BE060B1">
      <w:pPr>
        <w:pStyle w:val="197"/>
        <w:spacing w:before="100" w:beforeAutospacing="1" w:after="100" w:afterAutospacing="1" w:line="400" w:lineRule="exact"/>
        <w:ind w:firstLine="420"/>
        <w:rPr>
          <w:rFonts w:ascii="宋体" w:hAnsi="宋体"/>
          <w:szCs w:val="21"/>
        </w:rPr>
      </w:pPr>
      <w:r>
        <w:rPr>
          <w:rFonts w:ascii="宋体" w:hAnsi="宋体"/>
          <w:szCs w:val="21"/>
        </w:rPr>
        <w:t>（一）基金托管人根据有关法律法规的规定对基金管理人的下列投资运作进行监督：</w:t>
      </w:r>
    </w:p>
    <w:p w14:paraId="58BBB938">
      <w:pPr>
        <w:pStyle w:val="197"/>
        <w:spacing w:before="100" w:beforeAutospacing="1" w:after="100" w:afterAutospacing="1" w:line="400" w:lineRule="exact"/>
        <w:ind w:firstLine="420"/>
        <w:rPr>
          <w:rFonts w:ascii="宋体" w:hAnsi="宋体"/>
          <w:szCs w:val="21"/>
        </w:rPr>
      </w:pPr>
      <w:r>
        <w:rPr>
          <w:rFonts w:ascii="宋体" w:hAnsi="宋体"/>
          <w:szCs w:val="21"/>
        </w:rPr>
        <w:t>1、对基金的投资范围、投资对象进行监督。</w:t>
      </w:r>
    </w:p>
    <w:p w14:paraId="07FA3FA4">
      <w:pPr>
        <w:pStyle w:val="197"/>
        <w:spacing w:before="100" w:beforeAutospacing="1" w:after="100" w:afterAutospacing="1" w:line="400" w:lineRule="exact"/>
        <w:ind w:firstLine="420"/>
        <w:rPr>
          <w:rFonts w:ascii="宋体" w:hAnsi="宋体"/>
          <w:szCs w:val="21"/>
        </w:rPr>
      </w:pPr>
      <w:r>
        <w:rPr>
          <w:rFonts w:hint="eastAsia" w:ascii="宋体" w:hAnsi="宋体"/>
          <w:szCs w:val="21"/>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56F0DB67">
      <w:pPr>
        <w:pStyle w:val="197"/>
        <w:spacing w:before="100" w:beforeAutospacing="1" w:after="100" w:afterAutospacing="1" w:line="400" w:lineRule="exact"/>
        <w:ind w:firstLine="420"/>
        <w:rPr>
          <w:rFonts w:ascii="宋体" w:hAnsi="宋体"/>
          <w:szCs w:val="21"/>
        </w:rPr>
      </w:pPr>
      <w:r>
        <w:rPr>
          <w:rFonts w:hint="eastAsia" w:ascii="宋体" w:hAnsi="宋体"/>
          <w:szCs w:val="21"/>
        </w:rPr>
        <w:t>如法律法规或监管机构以后允许基金投资其他品种，基金管理人在履行适当程序后，可以将其纳入投资范围。</w:t>
      </w:r>
    </w:p>
    <w:p w14:paraId="7EA9E866">
      <w:pPr>
        <w:pStyle w:val="197"/>
        <w:spacing w:before="100" w:beforeAutospacing="1" w:after="100" w:afterAutospacing="1" w:line="400" w:lineRule="exact"/>
        <w:ind w:firstLine="420"/>
        <w:rPr>
          <w:rFonts w:ascii="宋体" w:hAnsi="宋体"/>
          <w:szCs w:val="21"/>
        </w:rPr>
      </w:pPr>
      <w:r>
        <w:rPr>
          <w:rFonts w:hint="eastAsia" w:ascii="宋体" w:hAnsi="宋体"/>
          <w:szCs w:val="21"/>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2154E72F">
      <w:pPr>
        <w:pStyle w:val="197"/>
        <w:spacing w:before="100" w:beforeAutospacing="1" w:after="100" w:afterAutospacing="1" w:line="400" w:lineRule="exact"/>
        <w:ind w:firstLine="420"/>
        <w:rPr>
          <w:rFonts w:ascii="宋体" w:hAnsi="宋体"/>
          <w:szCs w:val="21"/>
        </w:rPr>
      </w:pPr>
      <w:r>
        <w:rPr>
          <w:rFonts w:hint="eastAsia" w:ascii="宋体" w:hAnsi="宋体"/>
          <w:szCs w:val="21"/>
        </w:rPr>
        <w:t>如果法律法规或监管机构对该比例要求有变更的，在履行适当程序后，以变更后的比例为准，本基金的投资比例会做相应调整。</w:t>
      </w:r>
    </w:p>
    <w:p w14:paraId="04F9E406">
      <w:pPr>
        <w:pStyle w:val="197"/>
        <w:spacing w:line="360" w:lineRule="auto"/>
        <w:ind w:firstLine="420"/>
        <w:rPr>
          <w:rFonts w:ascii="宋体" w:hAnsi="宋体"/>
          <w:szCs w:val="21"/>
        </w:rPr>
      </w:pPr>
      <w:r>
        <w:rPr>
          <w:rFonts w:ascii="宋体" w:hAnsi="宋体"/>
          <w:szCs w:val="21"/>
        </w:rPr>
        <w:t>2、对基金投融资比例进行监督；</w:t>
      </w:r>
    </w:p>
    <w:p w14:paraId="18C987C5">
      <w:pPr>
        <w:pStyle w:val="197"/>
        <w:spacing w:line="360" w:lineRule="auto"/>
        <w:ind w:firstLine="420"/>
        <w:rPr>
          <w:rFonts w:hAnsi="宋体"/>
          <w:szCs w:val="21"/>
        </w:rPr>
      </w:pPr>
      <w:r>
        <w:rPr>
          <w:rFonts w:hint="eastAsia" w:hAnsi="宋体"/>
          <w:szCs w:val="21"/>
        </w:rPr>
        <w:t>（1）本基金股票及存托凭证资产的投资比例占基金资产的60%-95%（其中，投资于港股通标的股票的比例占股票资产的0%-50%）；</w:t>
      </w:r>
    </w:p>
    <w:p w14:paraId="03F3BE30">
      <w:pPr>
        <w:pStyle w:val="197"/>
        <w:spacing w:line="360" w:lineRule="auto"/>
        <w:ind w:firstLine="420"/>
        <w:rPr>
          <w:rFonts w:hAnsi="宋体"/>
          <w:szCs w:val="21"/>
        </w:rPr>
      </w:pPr>
      <w:r>
        <w:rPr>
          <w:rFonts w:hint="eastAsia" w:hAnsi="宋体"/>
          <w:szCs w:val="21"/>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4D77DDB4">
      <w:pPr>
        <w:pStyle w:val="197"/>
        <w:spacing w:line="360" w:lineRule="auto"/>
        <w:ind w:firstLine="420"/>
        <w:rPr>
          <w:rFonts w:hAnsi="宋体"/>
          <w:szCs w:val="21"/>
        </w:rPr>
      </w:pPr>
      <w:r>
        <w:rPr>
          <w:rFonts w:hint="eastAsia" w:hAnsi="宋体"/>
          <w:szCs w:val="21"/>
        </w:rPr>
        <w:t>（3）本基金持有一家公司发行的证券（同一家公司在内地和香港同时上市的A+H股合计计算），其市值不超过基金资产净值的10%；</w:t>
      </w:r>
    </w:p>
    <w:p w14:paraId="3B797F45">
      <w:pPr>
        <w:pStyle w:val="197"/>
        <w:spacing w:line="360" w:lineRule="auto"/>
        <w:ind w:firstLine="420"/>
        <w:rPr>
          <w:rFonts w:hAnsi="宋体"/>
          <w:szCs w:val="21"/>
        </w:rPr>
      </w:pPr>
      <w:r>
        <w:rPr>
          <w:rFonts w:hint="eastAsia" w:hAnsi="宋体"/>
          <w:szCs w:val="21"/>
        </w:rPr>
        <w:t>（4）本基金管理人管理</w:t>
      </w:r>
      <w:r>
        <w:rPr>
          <w:rFonts w:hint="eastAsia" w:hAnsi="宋体"/>
          <w:szCs w:val="21"/>
          <w:lang w:eastAsia="zh"/>
        </w:rPr>
        <w:t>且由本基金托管人托管</w:t>
      </w:r>
      <w:r>
        <w:rPr>
          <w:rFonts w:hint="eastAsia" w:hAnsi="宋体"/>
          <w:szCs w:val="21"/>
        </w:rPr>
        <w:t>的全部基金持有一家公司发行的证券（同一家公司在内地和香港同时上市的A+H股合计计算），不超过该证券的10%；本基金管理人管理</w:t>
      </w:r>
      <w:r>
        <w:rPr>
          <w:rFonts w:hint="eastAsia" w:hAnsi="宋体"/>
          <w:szCs w:val="21"/>
          <w:lang w:eastAsia="zh"/>
        </w:rPr>
        <w:t>且由本基金托管人托管</w:t>
      </w:r>
      <w:r>
        <w:rPr>
          <w:rFonts w:hint="eastAsia" w:hAnsi="宋体"/>
          <w:szCs w:val="21"/>
        </w:rPr>
        <w:t>的全部开放式基金（包括开放式基金以及处于开放期的定期开放基金）持有一家上市公司发行的可流通股票，不得超过该上市公司可流通股票的15%；本基金管理人管理</w:t>
      </w:r>
      <w:r>
        <w:rPr>
          <w:rFonts w:hint="eastAsia" w:hAnsi="宋体"/>
          <w:szCs w:val="21"/>
          <w:lang w:eastAsia="zh"/>
        </w:rPr>
        <w:t>且由本基金托管人托管</w:t>
      </w:r>
      <w:r>
        <w:rPr>
          <w:rFonts w:hint="eastAsia" w:hAnsi="宋体"/>
          <w:szCs w:val="21"/>
        </w:rPr>
        <w:t>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2B67FAC6">
      <w:pPr>
        <w:pStyle w:val="197"/>
        <w:spacing w:line="360" w:lineRule="auto"/>
        <w:ind w:firstLine="420"/>
        <w:rPr>
          <w:rFonts w:hAnsi="宋体"/>
          <w:szCs w:val="21"/>
        </w:rPr>
      </w:pPr>
      <w:r>
        <w:rPr>
          <w:rFonts w:hint="eastAsia" w:hAnsi="宋体"/>
          <w:szCs w:val="21"/>
        </w:rPr>
        <w:t>（5）本基金投资于同一原始权益人的各类资产支持证券的比例，不得超过基金资产净值的10%；</w:t>
      </w:r>
    </w:p>
    <w:p w14:paraId="227DDC04">
      <w:pPr>
        <w:pStyle w:val="197"/>
        <w:spacing w:line="360" w:lineRule="auto"/>
        <w:ind w:firstLine="420"/>
        <w:rPr>
          <w:rFonts w:hAnsi="宋体"/>
          <w:szCs w:val="21"/>
        </w:rPr>
      </w:pPr>
      <w:r>
        <w:rPr>
          <w:rFonts w:hint="eastAsia" w:hAnsi="宋体"/>
          <w:szCs w:val="21"/>
        </w:rPr>
        <w:t>（6）本基金持有的全部资产支持证券，其市值不得超过基金资产净值的20%；</w:t>
      </w:r>
    </w:p>
    <w:p w14:paraId="45BB07A9">
      <w:pPr>
        <w:pStyle w:val="197"/>
        <w:spacing w:line="360" w:lineRule="auto"/>
        <w:ind w:firstLine="420"/>
        <w:rPr>
          <w:rFonts w:hAnsi="宋体"/>
          <w:szCs w:val="21"/>
        </w:rPr>
      </w:pPr>
      <w:r>
        <w:rPr>
          <w:rFonts w:hint="eastAsia" w:hAnsi="宋体"/>
          <w:szCs w:val="21"/>
        </w:rPr>
        <w:t>（7）本基金持有的同一（指同一信用级别）资产支持证券的比例，不得超过该资产支持证券规模的10%；</w:t>
      </w:r>
    </w:p>
    <w:p w14:paraId="6A05FBCC">
      <w:pPr>
        <w:pStyle w:val="197"/>
        <w:spacing w:line="360" w:lineRule="auto"/>
        <w:ind w:firstLine="420"/>
        <w:rPr>
          <w:rFonts w:hAnsi="宋体"/>
          <w:szCs w:val="21"/>
        </w:rPr>
      </w:pPr>
      <w:r>
        <w:rPr>
          <w:rFonts w:hint="eastAsia" w:hAnsi="宋体"/>
          <w:szCs w:val="21"/>
        </w:rPr>
        <w:t>（8）本基金管理人管理</w:t>
      </w:r>
      <w:r>
        <w:rPr>
          <w:rFonts w:hint="eastAsia" w:hAnsi="宋体"/>
          <w:szCs w:val="21"/>
          <w:lang w:eastAsia="zh"/>
        </w:rPr>
        <w:t>且由本基金托管人托管</w:t>
      </w:r>
      <w:r>
        <w:rPr>
          <w:rFonts w:hint="eastAsia" w:hAnsi="宋体"/>
          <w:szCs w:val="21"/>
        </w:rPr>
        <w:t>的全部基金投资于同一原始权益人的各类资产支持证券，不得超过其各类资产支持证券合计规模的10%；</w:t>
      </w:r>
    </w:p>
    <w:p w14:paraId="629E4EAD">
      <w:pPr>
        <w:pStyle w:val="197"/>
        <w:spacing w:line="360" w:lineRule="auto"/>
        <w:ind w:firstLine="420"/>
        <w:rPr>
          <w:rFonts w:hAnsi="宋体"/>
          <w:szCs w:val="21"/>
        </w:rPr>
      </w:pPr>
      <w:r>
        <w:rPr>
          <w:rFonts w:hint="eastAsia" w:hAnsi="宋体"/>
          <w:szCs w:val="21"/>
        </w:rPr>
        <w:t>（9）本基金应投资于信用级别评级为BBB以上（含BBB）的资产支持证券。基金持有资产支持证券期间，如果其信用等级下降、不再符合投资标准，应在评级报告发布之日起3个月内予以全部卖出；</w:t>
      </w:r>
    </w:p>
    <w:p w14:paraId="189D0213">
      <w:pPr>
        <w:pStyle w:val="197"/>
        <w:spacing w:line="360" w:lineRule="auto"/>
        <w:ind w:firstLine="420"/>
        <w:rPr>
          <w:rFonts w:hAnsi="宋体"/>
          <w:szCs w:val="21"/>
        </w:rPr>
      </w:pPr>
      <w:r>
        <w:rPr>
          <w:rFonts w:hint="eastAsia" w:hAnsi="宋体"/>
          <w:szCs w:val="21"/>
        </w:rPr>
        <w:t>（10）基金财产参与股票发行申购，本基金所申报的金额不超过本基金的总资产，本基金所申报的股票数量不超过拟发行股票公司本次发行股票的总量；</w:t>
      </w:r>
    </w:p>
    <w:p w14:paraId="4E83C18F">
      <w:pPr>
        <w:pStyle w:val="197"/>
        <w:spacing w:line="360" w:lineRule="auto"/>
        <w:ind w:firstLine="420"/>
        <w:rPr>
          <w:rFonts w:hAnsi="宋体"/>
          <w:szCs w:val="21"/>
        </w:rPr>
      </w:pPr>
      <w:r>
        <w:rPr>
          <w:rFonts w:hint="eastAsia" w:hAnsi="宋体"/>
          <w:szCs w:val="21"/>
        </w:rPr>
        <w:t>（11）本基金参与股指期货、国债期货交易，应当遵守下列要求：</w:t>
      </w:r>
    </w:p>
    <w:p w14:paraId="01268770">
      <w:pPr>
        <w:pStyle w:val="197"/>
        <w:spacing w:line="360" w:lineRule="auto"/>
        <w:ind w:firstLine="420"/>
        <w:rPr>
          <w:rFonts w:hAnsi="宋体"/>
          <w:szCs w:val="21"/>
        </w:rPr>
      </w:pPr>
      <w:r>
        <w:rPr>
          <w:rFonts w:hint="eastAsia" w:hAnsi="宋体"/>
          <w:szCs w:val="21"/>
        </w:rPr>
        <w:t>1）本基金在任何交易日日终，持有的买入股指期货合约价值，不得超过基金资产净值的10%；本基金在任何交易日日终，持有的买入国债期货合约价值，不得超过基金资产净值的15%；</w:t>
      </w:r>
    </w:p>
    <w:p w14:paraId="0E04194B">
      <w:pPr>
        <w:pStyle w:val="197"/>
        <w:spacing w:line="360" w:lineRule="auto"/>
        <w:ind w:firstLine="420"/>
        <w:rPr>
          <w:rFonts w:hAnsi="宋体"/>
          <w:szCs w:val="21"/>
        </w:rPr>
      </w:pPr>
      <w:r>
        <w:rPr>
          <w:rFonts w:hint="eastAsia" w:hAnsi="宋体"/>
          <w:szCs w:val="21"/>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96E32A3">
      <w:pPr>
        <w:pStyle w:val="197"/>
        <w:spacing w:line="360" w:lineRule="auto"/>
        <w:ind w:firstLine="420"/>
        <w:rPr>
          <w:rFonts w:hAnsi="宋体"/>
          <w:szCs w:val="21"/>
        </w:rPr>
      </w:pPr>
      <w:r>
        <w:rPr>
          <w:rFonts w:hint="eastAsia" w:hAnsi="宋体"/>
          <w:szCs w:val="21"/>
        </w:rPr>
        <w:t>3）本基金在任何交易日日终，持有的卖出股指期货合约价值不得超过本基金持有的股票总市值的20%；本基金在任何交易日日终，持有的卖出国债期货合约价值不得超过基金持有的债券总市值的30%；</w:t>
      </w:r>
    </w:p>
    <w:p w14:paraId="5C35DC5F">
      <w:pPr>
        <w:pStyle w:val="197"/>
        <w:spacing w:line="360" w:lineRule="auto"/>
        <w:ind w:firstLine="420"/>
        <w:rPr>
          <w:rFonts w:hAnsi="宋体"/>
          <w:szCs w:val="21"/>
        </w:rPr>
      </w:pPr>
      <w:r>
        <w:rPr>
          <w:rFonts w:hint="eastAsia" w:hAnsi="宋体"/>
          <w:szCs w:val="21"/>
        </w:rPr>
        <w:t>4）本基金所持有的股票市值和买入、卖出股指期货合约价值，合计（轧差计算）应当符合基金合同关于股票投资比例（60%-95%）的有关约定；</w:t>
      </w:r>
    </w:p>
    <w:p w14:paraId="65E63440">
      <w:pPr>
        <w:pStyle w:val="197"/>
        <w:spacing w:line="360" w:lineRule="auto"/>
        <w:ind w:firstLine="420"/>
        <w:rPr>
          <w:rFonts w:hAnsi="宋体"/>
          <w:szCs w:val="21"/>
        </w:rPr>
      </w:pPr>
      <w:r>
        <w:rPr>
          <w:rFonts w:hint="eastAsia" w:hAnsi="宋体"/>
          <w:szCs w:val="21"/>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D59B942">
      <w:pPr>
        <w:pStyle w:val="197"/>
        <w:spacing w:line="360" w:lineRule="auto"/>
        <w:ind w:firstLine="420"/>
        <w:rPr>
          <w:rFonts w:hAnsi="宋体"/>
          <w:szCs w:val="21"/>
        </w:rPr>
      </w:pPr>
      <w:r>
        <w:rPr>
          <w:rFonts w:hint="eastAsia" w:hAnsi="宋体"/>
          <w:szCs w:val="21"/>
        </w:rPr>
        <w:t>（12）本基金参与股票期权交易，应当遵守下列要求：</w:t>
      </w:r>
    </w:p>
    <w:p w14:paraId="4FFEE8F8">
      <w:pPr>
        <w:pStyle w:val="197"/>
        <w:spacing w:line="360" w:lineRule="auto"/>
        <w:ind w:firstLine="420"/>
        <w:rPr>
          <w:rFonts w:hAnsi="宋体"/>
          <w:szCs w:val="21"/>
        </w:rPr>
      </w:pPr>
      <w:r>
        <w:rPr>
          <w:rFonts w:hint="eastAsia" w:hAnsi="宋体"/>
          <w:szCs w:val="21"/>
        </w:rPr>
        <w:t>1）因未平仓的期权合约支付和收取的权利金总额不得超过基金资产净值的10%；</w:t>
      </w:r>
    </w:p>
    <w:p w14:paraId="14714A7E">
      <w:pPr>
        <w:pStyle w:val="197"/>
        <w:spacing w:line="360" w:lineRule="auto"/>
        <w:ind w:firstLine="420"/>
        <w:rPr>
          <w:rFonts w:hAnsi="宋体"/>
          <w:szCs w:val="21"/>
        </w:rPr>
      </w:pPr>
      <w:r>
        <w:rPr>
          <w:rFonts w:hint="eastAsia" w:hAnsi="宋体"/>
          <w:szCs w:val="21"/>
        </w:rPr>
        <w:t>2）未平仓的期权合约面值不得超过基金资产净值的20%；</w:t>
      </w:r>
    </w:p>
    <w:p w14:paraId="7F50C8A5">
      <w:pPr>
        <w:pStyle w:val="197"/>
        <w:spacing w:line="360" w:lineRule="auto"/>
        <w:ind w:firstLine="420"/>
        <w:rPr>
          <w:rFonts w:hAnsi="宋体"/>
          <w:szCs w:val="21"/>
        </w:rPr>
      </w:pPr>
      <w:r>
        <w:rPr>
          <w:rFonts w:hint="eastAsia" w:hAnsi="宋体"/>
          <w:szCs w:val="21"/>
        </w:rPr>
        <w:t>（13）本基金资产总值不得超过基金资产净值的140%；</w:t>
      </w:r>
    </w:p>
    <w:p w14:paraId="3F5AD88E">
      <w:pPr>
        <w:pStyle w:val="197"/>
        <w:spacing w:line="360" w:lineRule="auto"/>
        <w:ind w:firstLine="420"/>
        <w:rPr>
          <w:rFonts w:hAnsi="宋体"/>
          <w:szCs w:val="21"/>
        </w:rPr>
      </w:pPr>
      <w:r>
        <w:rPr>
          <w:rFonts w:hint="eastAsia" w:hAnsi="宋体"/>
          <w:szCs w:val="21"/>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F88C441">
      <w:pPr>
        <w:pStyle w:val="197"/>
        <w:spacing w:line="360" w:lineRule="auto"/>
        <w:ind w:firstLine="420"/>
        <w:rPr>
          <w:rFonts w:hAnsi="宋体"/>
          <w:szCs w:val="21"/>
        </w:rPr>
      </w:pPr>
      <w:r>
        <w:rPr>
          <w:rFonts w:hint="eastAsia" w:hAnsi="宋体"/>
          <w:szCs w:val="21"/>
        </w:rPr>
        <w:t>（15）本基金与私募类证券资管产品及中国证监会认定的其他主体为交易对手开展逆回购交易的，可接受质押品的资质要求应当与基金合同约定的投资范围保持一致；</w:t>
      </w:r>
    </w:p>
    <w:p w14:paraId="78BFFB62">
      <w:pPr>
        <w:pStyle w:val="197"/>
        <w:spacing w:line="360" w:lineRule="auto"/>
        <w:ind w:firstLine="420"/>
        <w:rPr>
          <w:rFonts w:hAnsi="宋体"/>
          <w:szCs w:val="21"/>
        </w:rPr>
      </w:pPr>
      <w:r>
        <w:rPr>
          <w:rFonts w:hint="eastAsia" w:hAnsi="宋体"/>
          <w:szCs w:val="21"/>
        </w:rPr>
        <w:t>（16）本基金投资存托凭证的比例限制依照境内上市交易的股票执行；</w:t>
      </w:r>
    </w:p>
    <w:p w14:paraId="372110DE">
      <w:pPr>
        <w:pStyle w:val="197"/>
        <w:spacing w:line="360" w:lineRule="auto"/>
        <w:ind w:firstLine="420"/>
        <w:rPr>
          <w:rFonts w:hAnsi="宋体"/>
          <w:szCs w:val="21"/>
        </w:rPr>
      </w:pPr>
      <w:r>
        <w:rPr>
          <w:rFonts w:hint="eastAsia" w:hAnsi="宋体"/>
          <w:szCs w:val="21"/>
        </w:rPr>
        <w:t>（17）法律法规及中国证监会规定的和其他投资</w:t>
      </w:r>
      <w:r>
        <w:rPr>
          <w:rFonts w:hint="eastAsia" w:hAnsi="宋体"/>
          <w:szCs w:val="21"/>
          <w:lang w:eastAsia="zh"/>
        </w:rPr>
        <w:t>比例</w:t>
      </w:r>
      <w:r>
        <w:rPr>
          <w:rFonts w:hint="eastAsia" w:hAnsi="宋体"/>
          <w:szCs w:val="21"/>
        </w:rPr>
        <w:t>限制。</w:t>
      </w:r>
    </w:p>
    <w:p w14:paraId="1B1CCB30">
      <w:pPr>
        <w:pStyle w:val="197"/>
        <w:spacing w:line="360" w:lineRule="auto"/>
        <w:ind w:firstLine="420"/>
        <w:rPr>
          <w:rFonts w:hAnsi="宋体"/>
          <w:szCs w:val="21"/>
        </w:rPr>
      </w:pPr>
      <w:r>
        <w:rPr>
          <w:rFonts w:hint="eastAsia" w:hAnsi="宋体"/>
          <w:szCs w:val="21"/>
        </w:rPr>
        <w:t>除上述第（2）、（9）、（14）、（15）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15AC23D5">
      <w:pPr>
        <w:pStyle w:val="197"/>
        <w:widowControl/>
        <w:spacing w:line="360" w:lineRule="auto"/>
        <w:ind w:firstLine="420"/>
        <w:contextualSpacing/>
        <w:rPr>
          <w:rFonts w:hAnsi="宋体"/>
          <w:szCs w:val="21"/>
        </w:rPr>
      </w:pPr>
      <w:r>
        <w:rPr>
          <w:rFonts w:hint="eastAsia" w:hAnsi="宋体"/>
          <w:szCs w:val="21"/>
        </w:rPr>
        <w:t>基金管理人应当自基金合同生效之日起6个月内使基金的投资组合比例符合基金合同的有关约定。在上述期间内，本基金的投资范围、投资策略应当符合基金合同的约定。</w:t>
      </w:r>
    </w:p>
    <w:p w14:paraId="02365B43">
      <w:pPr>
        <w:pStyle w:val="197"/>
        <w:widowControl/>
        <w:spacing w:line="360" w:lineRule="auto"/>
        <w:ind w:firstLine="420"/>
        <w:contextualSpacing/>
        <w:rPr>
          <w:rFonts w:hAnsi="宋体"/>
          <w:szCs w:val="21"/>
        </w:rPr>
      </w:pPr>
      <w:r>
        <w:rPr>
          <w:rFonts w:hAnsi="宋体"/>
          <w:szCs w:val="21"/>
        </w:rPr>
        <w:t>基金托管人对基金的投资的监督与检查自基金合同生效之日起开始。</w:t>
      </w:r>
    </w:p>
    <w:p w14:paraId="15A36981">
      <w:pPr>
        <w:pStyle w:val="197"/>
        <w:widowControl/>
        <w:spacing w:line="360" w:lineRule="auto"/>
        <w:ind w:firstLine="420"/>
        <w:contextualSpacing/>
        <w:rPr>
          <w:rFonts w:hAnsi="宋体"/>
          <w:szCs w:val="21"/>
        </w:rPr>
      </w:pPr>
      <w:r>
        <w:rPr>
          <w:rFonts w:hAnsi="宋体"/>
          <w:szCs w:val="21"/>
        </w:rPr>
        <w:t>法律法规或监管部门取消或变更上述限制，如适用于本基金，基金管理人在履行适当程序后，则本基金投资不再受相关限制或以变更后的规定为准。</w:t>
      </w:r>
    </w:p>
    <w:p w14:paraId="0D800B4F">
      <w:pPr>
        <w:pStyle w:val="197"/>
        <w:widowControl/>
        <w:spacing w:line="360" w:lineRule="auto"/>
        <w:ind w:firstLine="420"/>
        <w:contextualSpacing/>
        <w:rPr>
          <w:rFonts w:hAnsi="宋体"/>
          <w:szCs w:val="21"/>
        </w:rPr>
      </w:pPr>
      <w:r>
        <w:rPr>
          <w:rFonts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F02F741">
      <w:pPr>
        <w:pStyle w:val="197"/>
        <w:widowControl/>
        <w:spacing w:line="360" w:lineRule="auto"/>
        <w:ind w:firstLine="420"/>
        <w:contextualSpacing/>
        <w:rPr>
          <w:rFonts w:hAnsi="宋体"/>
          <w:szCs w:val="21"/>
        </w:rPr>
      </w:pPr>
      <w:r>
        <w:rPr>
          <w:rFonts w:hint="eastAsia" w:hAnsi="宋体"/>
          <w:szCs w:val="21"/>
        </w:rPr>
        <w:t>如法律法规或监管部门取消或调整上述禁止性规定，基金管理人在履行适当程序后，本基金可不受上述规定的限制或按调整后的规定执行，不需经基金份额持有人大会审议，但须提前公告。</w:t>
      </w:r>
    </w:p>
    <w:p w14:paraId="62CB1524">
      <w:pPr>
        <w:pStyle w:val="197"/>
        <w:widowControl/>
        <w:spacing w:line="360" w:lineRule="auto"/>
        <w:ind w:firstLine="420"/>
        <w:contextualSpacing/>
        <w:rPr>
          <w:rFonts w:hAnsi="宋体"/>
          <w:szCs w:val="21"/>
        </w:rPr>
      </w:pPr>
      <w:r>
        <w:rPr>
          <w:rFonts w:hint="eastAsia" w:hAnsi="宋体"/>
          <w:szCs w:val="21"/>
        </w:rPr>
        <w:t>侧袋机制实施期间，本部分约定的投资组合比例、组合限制等约定仅适用于主袋账户。</w:t>
      </w:r>
    </w:p>
    <w:p w14:paraId="4801DBE5">
      <w:pPr>
        <w:pStyle w:val="197"/>
        <w:spacing w:before="100" w:beforeAutospacing="1" w:after="100" w:afterAutospacing="1" w:line="400" w:lineRule="exact"/>
        <w:ind w:firstLine="420"/>
        <w:rPr>
          <w:rFonts w:ascii="宋体" w:hAnsi="宋体"/>
          <w:szCs w:val="21"/>
        </w:rPr>
      </w:pPr>
      <w:r>
        <w:rPr>
          <w:rFonts w:ascii="宋体" w:hAnsi="宋体"/>
          <w:szCs w:val="21"/>
        </w:rPr>
        <w:t>（二）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复核。</w:t>
      </w:r>
    </w:p>
    <w:p w14:paraId="57B7DF17">
      <w:pPr>
        <w:pStyle w:val="197"/>
        <w:spacing w:before="100" w:beforeAutospacing="1" w:after="100" w:afterAutospacing="1" w:line="400" w:lineRule="exact"/>
        <w:ind w:firstLine="420"/>
        <w:rPr>
          <w:rFonts w:ascii="宋体" w:hAnsi="宋体"/>
          <w:szCs w:val="21"/>
        </w:rPr>
      </w:pPr>
      <w:r>
        <w:rPr>
          <w:rFonts w:ascii="宋体" w:hAnsi="宋体"/>
          <w:szCs w:val="21"/>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25966FEA">
      <w:pPr>
        <w:pStyle w:val="197"/>
        <w:spacing w:before="100" w:beforeAutospacing="1" w:after="100" w:afterAutospacing="1" w:line="400" w:lineRule="exact"/>
        <w:ind w:firstLine="420"/>
        <w:rPr>
          <w:rFonts w:ascii="宋体" w:hAnsi="宋体"/>
          <w:szCs w:val="21"/>
        </w:rPr>
      </w:pPr>
      <w:r>
        <w:rPr>
          <w:rFonts w:ascii="宋体" w:hAnsi="宋体"/>
          <w:szCs w:val="21"/>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4586278C">
      <w:pPr>
        <w:pStyle w:val="197"/>
        <w:spacing w:before="100" w:beforeAutospacing="1" w:after="100" w:afterAutospacing="1" w:line="400" w:lineRule="exact"/>
        <w:ind w:firstLine="420"/>
        <w:rPr>
          <w:rFonts w:ascii="宋体" w:hAnsi="宋体"/>
          <w:szCs w:val="21"/>
        </w:rPr>
      </w:pPr>
      <w:r>
        <w:rPr>
          <w:rFonts w:ascii="宋体" w:hAnsi="宋体"/>
          <w:szCs w:val="21"/>
        </w:rPr>
        <w:t>（五）基金管理人应积极配合和协助基金托管人的监督和核查，包括但不限于：在规定时间内答复基金托管人并改正，就基金托管人的合理疑义进行解释或举证，提供相关数据资料和制度等。</w:t>
      </w:r>
    </w:p>
    <w:p w14:paraId="52C3E7BB">
      <w:pPr>
        <w:pStyle w:val="197"/>
        <w:spacing w:before="100" w:beforeAutospacing="1" w:after="100" w:afterAutospacing="1" w:line="400" w:lineRule="exact"/>
        <w:ind w:firstLine="420"/>
        <w:rPr>
          <w:rFonts w:ascii="宋体" w:hAnsi="宋体"/>
          <w:szCs w:val="21"/>
        </w:rPr>
      </w:pPr>
    </w:p>
    <w:p w14:paraId="1BF2154D">
      <w:pPr>
        <w:pStyle w:val="198"/>
        <w:spacing w:before="100" w:beforeAutospacing="1" w:after="100" w:afterAutospacing="1" w:line="400" w:lineRule="exact"/>
        <w:ind w:firstLine="422"/>
        <w:rPr>
          <w:rFonts w:ascii="宋体" w:hAnsi="宋体"/>
          <w:sz w:val="21"/>
          <w:szCs w:val="21"/>
        </w:rPr>
      </w:pPr>
      <w:r>
        <w:rPr>
          <w:rFonts w:ascii="宋体" w:hAnsi="宋体"/>
          <w:sz w:val="21"/>
          <w:szCs w:val="21"/>
        </w:rPr>
        <w:t>四、基金管理人对基金托管人的业务核查</w:t>
      </w:r>
    </w:p>
    <w:p w14:paraId="3A09673C">
      <w:pPr>
        <w:pStyle w:val="197"/>
        <w:spacing w:before="100" w:beforeAutospacing="1" w:after="100" w:afterAutospacing="1" w:line="400" w:lineRule="exact"/>
        <w:ind w:firstLine="420"/>
        <w:rPr>
          <w:rFonts w:ascii="宋体" w:hAnsi="宋体"/>
          <w:szCs w:val="21"/>
        </w:rPr>
      </w:pPr>
      <w:r>
        <w:rPr>
          <w:rFonts w:ascii="宋体" w:hAnsi="宋体"/>
          <w:szCs w:val="21"/>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7A7BE436">
      <w:pPr>
        <w:pStyle w:val="197"/>
        <w:spacing w:before="100" w:beforeAutospacing="1" w:after="100" w:afterAutospacing="1" w:line="400" w:lineRule="exact"/>
        <w:ind w:firstLine="420"/>
        <w:rPr>
          <w:rFonts w:ascii="宋体" w:hAnsi="宋体"/>
          <w:szCs w:val="21"/>
        </w:rPr>
      </w:pPr>
      <w:r>
        <w:rPr>
          <w:rFonts w:ascii="宋体" w:hAnsi="宋体"/>
          <w:szCs w:val="21"/>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7091E047">
      <w:pPr>
        <w:pStyle w:val="197"/>
        <w:spacing w:before="100" w:beforeAutospacing="1" w:after="100" w:afterAutospacing="1" w:line="400" w:lineRule="exact"/>
        <w:ind w:firstLine="420"/>
        <w:rPr>
          <w:rFonts w:ascii="宋体" w:hAnsi="宋体"/>
          <w:szCs w:val="21"/>
        </w:rPr>
      </w:pPr>
      <w:r>
        <w:rPr>
          <w:rFonts w:ascii="宋体" w:hAnsi="宋体"/>
          <w:szCs w:val="21"/>
        </w:rPr>
        <w:t>3、基金托管人应积极配合基金管理人的核查行为，包括但不限于：提交相关资料以供基金管理人核查托管财产的完整性和真实性，在规定时间内答复基金管理人并改正。</w:t>
      </w:r>
    </w:p>
    <w:p w14:paraId="463361CD">
      <w:pPr>
        <w:pStyle w:val="198"/>
        <w:spacing w:before="100" w:beforeAutospacing="1" w:after="100" w:afterAutospacing="1" w:line="400" w:lineRule="exact"/>
        <w:ind w:firstLine="422"/>
        <w:rPr>
          <w:rFonts w:ascii="宋体" w:hAnsi="宋体"/>
          <w:sz w:val="21"/>
          <w:szCs w:val="21"/>
        </w:rPr>
      </w:pPr>
      <w:bookmarkStart w:id="5" w:name="_Toc116900099"/>
      <w:r>
        <w:rPr>
          <w:rFonts w:ascii="宋体" w:hAnsi="宋体"/>
          <w:sz w:val="21"/>
          <w:szCs w:val="21"/>
        </w:rPr>
        <w:t>五、基金财产的保管</w:t>
      </w:r>
      <w:bookmarkEnd w:id="5"/>
    </w:p>
    <w:p w14:paraId="317D2D8A">
      <w:pPr>
        <w:pStyle w:val="220"/>
        <w:spacing w:before="100" w:beforeAutospacing="1" w:after="100" w:afterAutospacing="1"/>
        <w:ind w:firstLine="403"/>
        <w:rPr>
          <w:rFonts w:ascii="宋体" w:eastAsia="宋体"/>
          <w:sz w:val="21"/>
          <w:szCs w:val="21"/>
        </w:rPr>
      </w:pPr>
      <w:r>
        <w:rPr>
          <w:rFonts w:ascii="宋体" w:eastAsia="宋体"/>
          <w:sz w:val="21"/>
          <w:szCs w:val="21"/>
        </w:rPr>
        <w:t>（一）基金财产保管的原则</w:t>
      </w:r>
    </w:p>
    <w:p w14:paraId="65D3B960">
      <w:pPr>
        <w:pStyle w:val="197"/>
        <w:spacing w:before="100" w:beforeAutospacing="1" w:after="100" w:afterAutospacing="1" w:line="400" w:lineRule="exact"/>
        <w:ind w:firstLine="420"/>
        <w:rPr>
          <w:rFonts w:ascii="宋体" w:hAnsi="宋体"/>
          <w:szCs w:val="21"/>
        </w:rPr>
      </w:pPr>
      <w:r>
        <w:rPr>
          <w:rFonts w:ascii="宋体" w:hAnsi="宋体"/>
          <w:szCs w:val="21"/>
        </w:rPr>
        <w:t>1、基金财产应独立于基金管理人、基金托管人的固有财产。</w:t>
      </w:r>
    </w:p>
    <w:p w14:paraId="71E849A1">
      <w:pPr>
        <w:pStyle w:val="197"/>
        <w:spacing w:before="100" w:beforeAutospacing="1" w:after="100" w:afterAutospacing="1" w:line="400" w:lineRule="exact"/>
        <w:ind w:firstLine="420"/>
        <w:rPr>
          <w:rFonts w:ascii="宋体" w:hAnsi="宋体"/>
          <w:szCs w:val="21"/>
        </w:rPr>
      </w:pPr>
      <w:r>
        <w:rPr>
          <w:rFonts w:ascii="宋体" w:hAnsi="宋体"/>
          <w:szCs w:val="21"/>
        </w:rPr>
        <w:t>2、基金托管人应安全保管基金财产，未经基金管理人的合法合规指令或法律法规、《基金合同》及本协议另有规定，不得自行运用、处分、分配基金的任何财产。</w:t>
      </w:r>
    </w:p>
    <w:p w14:paraId="5CA65BC0">
      <w:pPr>
        <w:pStyle w:val="197"/>
        <w:spacing w:before="100" w:beforeAutospacing="1" w:after="100" w:afterAutospacing="1" w:line="400" w:lineRule="exact"/>
        <w:ind w:firstLine="420"/>
        <w:rPr>
          <w:rFonts w:ascii="宋体" w:hAnsi="宋体"/>
          <w:color w:val="FF0000"/>
          <w:szCs w:val="21"/>
        </w:rPr>
      </w:pPr>
      <w:r>
        <w:rPr>
          <w:rFonts w:ascii="宋体" w:hAnsi="宋体"/>
          <w:szCs w:val="21"/>
        </w:rPr>
        <w:t>3、基金托管人按照规定开设基金财产的资金账户、证券账户</w:t>
      </w:r>
      <w:r>
        <w:rPr>
          <w:rFonts w:ascii="宋体" w:hAnsi="宋体"/>
          <w:bCs/>
          <w:szCs w:val="21"/>
        </w:rPr>
        <w:t>等投资所需账户</w:t>
      </w:r>
      <w:r>
        <w:rPr>
          <w:rFonts w:ascii="宋体" w:hAnsi="宋体"/>
          <w:szCs w:val="21"/>
        </w:rPr>
        <w:t>。</w:t>
      </w:r>
    </w:p>
    <w:p w14:paraId="1B8D8C2C">
      <w:pPr>
        <w:pStyle w:val="220"/>
        <w:spacing w:before="100" w:beforeAutospacing="1" w:after="100" w:afterAutospacing="1"/>
        <w:ind w:firstLine="403"/>
        <w:rPr>
          <w:rFonts w:ascii="宋体" w:eastAsia="宋体"/>
          <w:sz w:val="21"/>
          <w:szCs w:val="21"/>
        </w:rPr>
      </w:pPr>
      <w:r>
        <w:rPr>
          <w:rFonts w:ascii="宋体" w:eastAsia="宋体"/>
          <w:sz w:val="21"/>
          <w:szCs w:val="21"/>
        </w:rPr>
        <w:t>4、基金托管人对所托管的不同基金财产分别设置账户，分账管理，独立核算，确保基金财产的完整与独立。</w:t>
      </w:r>
    </w:p>
    <w:p w14:paraId="6D1069F3">
      <w:pPr>
        <w:pStyle w:val="220"/>
        <w:spacing w:before="100" w:beforeAutospacing="1" w:after="100" w:afterAutospacing="1"/>
        <w:ind w:firstLine="403"/>
        <w:rPr>
          <w:rFonts w:ascii="宋体" w:eastAsia="宋体"/>
          <w:sz w:val="21"/>
          <w:szCs w:val="21"/>
        </w:rPr>
      </w:pPr>
      <w:r>
        <w:rPr>
          <w:rFonts w:ascii="宋体" w:eastAsia="宋体"/>
          <w:sz w:val="21"/>
          <w:szCs w:val="21"/>
        </w:rPr>
        <w:t>5、除依据《基金法》、《运作办法》、《基金合同》及其他有关法律法规规定外，基金托管人不得委托第三人托管基金财产。</w:t>
      </w:r>
    </w:p>
    <w:p w14:paraId="0F9452F9">
      <w:pPr>
        <w:pStyle w:val="220"/>
        <w:spacing w:before="100" w:beforeAutospacing="1" w:after="100" w:afterAutospacing="1"/>
        <w:ind w:firstLine="403"/>
        <w:rPr>
          <w:rFonts w:ascii="宋体" w:eastAsia="宋体"/>
          <w:sz w:val="21"/>
          <w:szCs w:val="21"/>
        </w:rPr>
      </w:pPr>
      <w:r>
        <w:rPr>
          <w:rFonts w:ascii="宋体" w:eastAsia="宋体"/>
          <w:sz w:val="21"/>
          <w:szCs w:val="21"/>
        </w:rPr>
        <w:t>（二）基金合同生效前募集资金的验资和入账</w:t>
      </w:r>
    </w:p>
    <w:p w14:paraId="33BB69C0">
      <w:pPr>
        <w:pStyle w:val="220"/>
        <w:spacing w:before="100" w:beforeAutospacing="1" w:after="100" w:afterAutospacing="1"/>
        <w:ind w:firstLine="403"/>
        <w:rPr>
          <w:rFonts w:ascii="宋体" w:eastAsia="宋体"/>
          <w:sz w:val="21"/>
          <w:szCs w:val="21"/>
        </w:rPr>
      </w:pPr>
      <w:r>
        <w:rPr>
          <w:rFonts w:ascii="宋体" w:eastAsia="宋体"/>
          <w:sz w:val="21"/>
          <w:szCs w:val="21"/>
        </w:rPr>
        <w:t>1、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应由参加验资的2名以上（含2名）中国注册会计师签字方为有效。</w:t>
      </w:r>
    </w:p>
    <w:p w14:paraId="02F80B3C">
      <w:pPr>
        <w:pStyle w:val="220"/>
        <w:spacing w:before="100" w:beforeAutospacing="1" w:after="100" w:afterAutospacing="1"/>
        <w:ind w:firstLine="403"/>
        <w:rPr>
          <w:rFonts w:ascii="宋体" w:eastAsia="宋体"/>
          <w:sz w:val="21"/>
          <w:szCs w:val="21"/>
        </w:rPr>
      </w:pPr>
      <w:r>
        <w:rPr>
          <w:rFonts w:ascii="宋体" w:eastAsia="宋体"/>
          <w:sz w:val="21"/>
          <w:szCs w:val="21"/>
        </w:rPr>
        <w:t>2、基金管理人应将属于本基金财产的全部资金划入在基金托管人处为本基金开立的基金银行账户中，并确保划入的资金与验资确认金额相一致。</w:t>
      </w:r>
    </w:p>
    <w:p w14:paraId="2C7CB87E">
      <w:pPr>
        <w:pStyle w:val="220"/>
        <w:spacing w:before="100" w:beforeAutospacing="1" w:after="100" w:afterAutospacing="1"/>
        <w:ind w:firstLine="403"/>
        <w:rPr>
          <w:rFonts w:ascii="宋体" w:eastAsia="宋体"/>
          <w:sz w:val="21"/>
          <w:szCs w:val="21"/>
        </w:rPr>
      </w:pPr>
      <w:r>
        <w:rPr>
          <w:rFonts w:ascii="宋体" w:eastAsia="宋体"/>
          <w:sz w:val="21"/>
          <w:szCs w:val="21"/>
        </w:rPr>
        <w:t>3、若基金募集期限届满，未能达到基金合同生效的条件，由基金管理人按规定办理退款等事宜，基金托管人应提供必要协助。基金管理人、基金托管人及销售机构不得请求报酬。基金管理人、基金托管人和销售机构为基金募集支付之费用应由各方各自承担。</w:t>
      </w:r>
    </w:p>
    <w:p w14:paraId="56815A5A">
      <w:pPr>
        <w:pStyle w:val="220"/>
        <w:spacing w:before="100" w:beforeAutospacing="1" w:after="100" w:afterAutospacing="1"/>
        <w:ind w:firstLine="403"/>
        <w:rPr>
          <w:rFonts w:ascii="宋体" w:eastAsia="宋体"/>
          <w:sz w:val="21"/>
          <w:szCs w:val="21"/>
        </w:rPr>
      </w:pPr>
      <w:r>
        <w:rPr>
          <w:rFonts w:ascii="宋体" w:eastAsia="宋体"/>
          <w:sz w:val="21"/>
          <w:szCs w:val="21"/>
        </w:rPr>
        <w:t>（三）基金的银行账户的开设和管理</w:t>
      </w:r>
    </w:p>
    <w:p w14:paraId="69B201CC">
      <w:pPr>
        <w:pStyle w:val="220"/>
        <w:spacing w:before="100" w:beforeAutospacing="1" w:after="100" w:afterAutospacing="1"/>
        <w:ind w:firstLine="403"/>
        <w:rPr>
          <w:rFonts w:ascii="宋体" w:eastAsia="宋体"/>
          <w:sz w:val="21"/>
          <w:szCs w:val="21"/>
        </w:rPr>
      </w:pPr>
      <w:r>
        <w:rPr>
          <w:rFonts w:ascii="宋体" w:eastAsia="宋体"/>
          <w:sz w:val="21"/>
          <w:szCs w:val="21"/>
        </w:rPr>
        <w:t>1、基金托管人应负责本基金的银行账户</w:t>
      </w:r>
      <w:r>
        <w:rPr>
          <w:rFonts w:hint="eastAsia" w:ascii="宋体" w:eastAsia="宋体"/>
          <w:sz w:val="21"/>
          <w:szCs w:val="21"/>
        </w:rPr>
        <w:t>（或称“托管账户”）</w:t>
      </w:r>
      <w:r>
        <w:rPr>
          <w:rFonts w:ascii="宋体" w:eastAsia="宋体"/>
          <w:sz w:val="21"/>
          <w:szCs w:val="21"/>
        </w:rPr>
        <w:t>的开设和管理。</w:t>
      </w:r>
    </w:p>
    <w:p w14:paraId="0D930B2A">
      <w:pPr>
        <w:pStyle w:val="220"/>
        <w:spacing w:before="100" w:beforeAutospacing="1" w:after="100" w:afterAutospacing="1"/>
        <w:ind w:firstLine="403"/>
        <w:rPr>
          <w:rFonts w:ascii="宋体" w:eastAsia="宋体"/>
          <w:sz w:val="21"/>
          <w:szCs w:val="21"/>
        </w:rPr>
      </w:pPr>
      <w:r>
        <w:rPr>
          <w:rFonts w:ascii="宋体" w:eastAsia="宋体"/>
          <w:sz w:val="21"/>
          <w:szCs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14:paraId="5B9569F5">
      <w:pPr>
        <w:pStyle w:val="220"/>
        <w:spacing w:before="100" w:beforeAutospacing="1" w:after="100" w:afterAutospacing="1"/>
        <w:ind w:firstLine="403"/>
        <w:rPr>
          <w:rFonts w:ascii="宋体" w:eastAsia="宋体"/>
          <w:sz w:val="21"/>
          <w:szCs w:val="21"/>
        </w:rPr>
      </w:pPr>
      <w:r>
        <w:rPr>
          <w:rFonts w:ascii="宋体" w:eastAsia="宋体"/>
          <w:sz w:val="21"/>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14:paraId="3BF43ADE">
      <w:pPr>
        <w:pStyle w:val="220"/>
        <w:spacing w:before="100" w:beforeAutospacing="1" w:after="100" w:afterAutospacing="1"/>
        <w:ind w:firstLine="403"/>
        <w:rPr>
          <w:rFonts w:ascii="宋体" w:eastAsia="宋体"/>
          <w:sz w:val="21"/>
          <w:szCs w:val="21"/>
        </w:rPr>
      </w:pPr>
      <w:r>
        <w:rPr>
          <w:rFonts w:ascii="宋体" w:eastAsia="宋体"/>
          <w:sz w:val="21"/>
          <w:szCs w:val="21"/>
        </w:rPr>
        <w:t>4、基金银行账户的管理应符合法律法规的有关规定。</w:t>
      </w:r>
    </w:p>
    <w:p w14:paraId="36D7E3E4">
      <w:pPr>
        <w:pStyle w:val="220"/>
        <w:spacing w:before="100" w:beforeAutospacing="1" w:after="100" w:afterAutospacing="1"/>
        <w:ind w:firstLine="403"/>
        <w:rPr>
          <w:rFonts w:ascii="宋体" w:eastAsia="宋体"/>
          <w:sz w:val="21"/>
          <w:szCs w:val="21"/>
        </w:rPr>
      </w:pPr>
      <w:r>
        <w:rPr>
          <w:rFonts w:ascii="宋体" w:eastAsia="宋体"/>
          <w:sz w:val="21"/>
          <w:szCs w:val="21"/>
        </w:rPr>
        <w:t>（四）基金进行定期存款投资的账户开设和管理</w:t>
      </w:r>
    </w:p>
    <w:p w14:paraId="1E38D091">
      <w:pPr>
        <w:pStyle w:val="220"/>
        <w:spacing w:before="100" w:beforeAutospacing="1" w:after="100" w:afterAutospacing="1"/>
        <w:ind w:firstLine="403"/>
        <w:rPr>
          <w:rFonts w:ascii="宋体" w:eastAsia="宋体"/>
          <w:sz w:val="21"/>
          <w:szCs w:val="21"/>
        </w:rPr>
      </w:pPr>
      <w:r>
        <w:rPr>
          <w:rFonts w:ascii="宋体" w:eastAsia="宋体"/>
          <w:sz w:val="21"/>
          <w:szCs w:val="21"/>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46581BEE">
      <w:pPr>
        <w:pStyle w:val="220"/>
        <w:spacing w:before="100" w:beforeAutospacing="1" w:after="100" w:afterAutospacing="1"/>
        <w:ind w:firstLine="403"/>
        <w:rPr>
          <w:rFonts w:ascii="宋体" w:eastAsia="宋体"/>
          <w:sz w:val="21"/>
          <w:szCs w:val="21"/>
        </w:rPr>
      </w:pPr>
      <w:r>
        <w:rPr>
          <w:rFonts w:ascii="宋体" w:eastAsia="宋体"/>
          <w:sz w:val="21"/>
          <w:szCs w:val="21"/>
        </w:rPr>
        <w:t>（五）基金证券账户、结算备付金账户及其他投资账户的开设和管理</w:t>
      </w:r>
    </w:p>
    <w:p w14:paraId="18653E75">
      <w:pPr>
        <w:pStyle w:val="220"/>
        <w:spacing w:before="100" w:beforeAutospacing="1" w:after="100" w:afterAutospacing="1"/>
        <w:ind w:firstLine="403"/>
        <w:rPr>
          <w:rFonts w:ascii="宋体" w:eastAsia="宋体"/>
          <w:sz w:val="21"/>
          <w:szCs w:val="21"/>
        </w:rPr>
      </w:pPr>
      <w:r>
        <w:rPr>
          <w:rFonts w:ascii="宋体" w:eastAsia="宋体"/>
          <w:sz w:val="21"/>
          <w:szCs w:val="21"/>
        </w:rPr>
        <w:t>1、基金托管人应当代表本基金，以基金托管人和本基金联名的方式在中国证券登记结算有限责任公司开设证券账户。</w:t>
      </w:r>
    </w:p>
    <w:p w14:paraId="159B0F81">
      <w:pPr>
        <w:pStyle w:val="220"/>
        <w:spacing w:before="100" w:beforeAutospacing="1" w:after="100" w:afterAutospacing="1"/>
        <w:ind w:firstLine="403"/>
        <w:rPr>
          <w:rFonts w:ascii="宋体" w:eastAsia="宋体"/>
          <w:sz w:val="21"/>
          <w:szCs w:val="21"/>
        </w:rPr>
      </w:pPr>
      <w:r>
        <w:rPr>
          <w:rFonts w:ascii="宋体" w:eastAsia="宋体"/>
          <w:sz w:val="21"/>
          <w:szCs w:val="21"/>
        </w:rPr>
        <w:t>2、本基金证券账户的开立和使用，限于满足开展本基金业务的需要。基金托管人和基金管理人不得出借或转让本基金的证券账户，亦不得使用本基金的证券账户进行本基金业务以外的活动。本基金的期货相关账户，由基金托管人负责开立或协助基金管理人开立，用于本基金的期货交易。基金管理人、基金托管人可与期货经纪商等机构签署必要协议，约定期货相关账户的开立、管理等事项。</w:t>
      </w:r>
    </w:p>
    <w:p w14:paraId="347BBC6C">
      <w:pPr>
        <w:pStyle w:val="220"/>
        <w:spacing w:before="100" w:beforeAutospacing="1" w:after="100" w:afterAutospacing="1"/>
        <w:ind w:firstLine="403"/>
        <w:rPr>
          <w:rFonts w:ascii="宋体" w:eastAsia="宋体"/>
          <w:sz w:val="21"/>
          <w:szCs w:val="21"/>
        </w:rPr>
      </w:pPr>
      <w:r>
        <w:rPr>
          <w:rFonts w:ascii="宋体" w:eastAsia="宋体"/>
          <w:sz w:val="21"/>
          <w:szCs w:val="21"/>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53B85720">
      <w:pPr>
        <w:pStyle w:val="220"/>
        <w:spacing w:before="100" w:beforeAutospacing="1" w:after="100" w:afterAutospacing="1"/>
        <w:ind w:firstLine="403"/>
        <w:rPr>
          <w:rFonts w:ascii="宋体" w:eastAsia="宋体"/>
          <w:sz w:val="21"/>
          <w:szCs w:val="21"/>
        </w:rPr>
      </w:pPr>
      <w:r>
        <w:rPr>
          <w:rFonts w:ascii="宋体" w:eastAsia="宋体"/>
          <w:sz w:val="21"/>
          <w:szCs w:val="21"/>
        </w:rPr>
        <w:t>4、在本托管协议生效日之后，本基金被允许从事其他投资品种的投资业务的，涉及相关账户的开设、使用的，若无相关规定，则基金托管人应当比照并遵守上述关于账户开设、使用的规定。</w:t>
      </w:r>
    </w:p>
    <w:p w14:paraId="4BC19E0D">
      <w:pPr>
        <w:pStyle w:val="220"/>
        <w:spacing w:before="100" w:beforeAutospacing="1" w:after="100" w:afterAutospacing="1"/>
        <w:ind w:firstLine="403"/>
        <w:rPr>
          <w:rFonts w:ascii="宋体" w:eastAsia="宋体"/>
          <w:sz w:val="21"/>
          <w:szCs w:val="21"/>
        </w:rPr>
      </w:pPr>
      <w:r>
        <w:rPr>
          <w:rFonts w:ascii="宋体" w:eastAsia="宋体"/>
          <w:sz w:val="21"/>
          <w:szCs w:val="21"/>
        </w:rPr>
        <w:t>5、因业务发展需要而开立的其他账户，可以根据法律法规和《基金合同》的规定，在基金管理人和基金托管人商议后开立。新账户按有关规则使用并管理。</w:t>
      </w:r>
    </w:p>
    <w:p w14:paraId="70085572">
      <w:pPr>
        <w:pStyle w:val="220"/>
        <w:spacing w:before="100" w:beforeAutospacing="1" w:after="100" w:afterAutospacing="1"/>
        <w:ind w:firstLine="403"/>
        <w:rPr>
          <w:rFonts w:ascii="宋体" w:eastAsia="宋体"/>
          <w:sz w:val="21"/>
          <w:szCs w:val="21"/>
        </w:rPr>
      </w:pPr>
      <w:r>
        <w:rPr>
          <w:rFonts w:ascii="宋体" w:eastAsia="宋体"/>
          <w:sz w:val="21"/>
          <w:szCs w:val="21"/>
        </w:rPr>
        <w:t>6、法律法规等有关规定对相关账户的开立和管理另有规定的，从其规定办理。</w:t>
      </w:r>
    </w:p>
    <w:p w14:paraId="23BD734B">
      <w:pPr>
        <w:pStyle w:val="220"/>
        <w:spacing w:before="100" w:beforeAutospacing="1" w:after="100" w:afterAutospacing="1"/>
        <w:ind w:firstLine="403"/>
        <w:rPr>
          <w:rFonts w:ascii="宋体" w:eastAsia="宋体"/>
          <w:sz w:val="21"/>
          <w:szCs w:val="21"/>
        </w:rPr>
      </w:pPr>
      <w:r>
        <w:rPr>
          <w:rFonts w:ascii="宋体" w:eastAsia="宋体"/>
          <w:sz w:val="21"/>
          <w:szCs w:val="21"/>
        </w:rPr>
        <w:t>（六）债券托管账户的开设和管理</w:t>
      </w:r>
    </w:p>
    <w:p w14:paraId="7F66DCE3">
      <w:pPr>
        <w:pStyle w:val="220"/>
        <w:spacing w:before="100" w:beforeAutospacing="1" w:after="100" w:afterAutospacing="1"/>
        <w:ind w:firstLine="403"/>
        <w:rPr>
          <w:rFonts w:ascii="宋体" w:eastAsia="宋体"/>
          <w:sz w:val="21"/>
          <w:szCs w:val="21"/>
        </w:rPr>
      </w:pPr>
      <w:r>
        <w:rPr>
          <w:rFonts w:ascii="宋体" w:eastAsia="宋体"/>
          <w:sz w:val="21"/>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r>
        <w:rPr>
          <w:rFonts w:ascii="宋体"/>
          <w:sz w:val="21"/>
        </w:rPr>
        <w:t>。</w:t>
      </w:r>
    </w:p>
    <w:p w14:paraId="67D4AF93">
      <w:pPr>
        <w:pStyle w:val="220"/>
        <w:spacing w:before="100" w:beforeAutospacing="1" w:after="100" w:afterAutospacing="1"/>
        <w:ind w:firstLine="403"/>
        <w:rPr>
          <w:rFonts w:ascii="宋体" w:eastAsia="宋体"/>
          <w:sz w:val="21"/>
          <w:szCs w:val="21"/>
        </w:rPr>
      </w:pPr>
      <w:r>
        <w:rPr>
          <w:rFonts w:ascii="宋体" w:eastAsia="宋体"/>
          <w:sz w:val="21"/>
          <w:szCs w:val="21"/>
        </w:rPr>
        <w:t>（七）基金财产投资的有关有价凭证的保管</w:t>
      </w:r>
    </w:p>
    <w:p w14:paraId="2D364F43">
      <w:pPr>
        <w:pStyle w:val="220"/>
        <w:spacing w:before="100" w:beforeAutospacing="1" w:after="100" w:afterAutospacing="1"/>
        <w:ind w:firstLine="403"/>
        <w:rPr>
          <w:rFonts w:ascii="宋体" w:eastAsia="宋体"/>
          <w:sz w:val="21"/>
          <w:szCs w:val="21"/>
        </w:rPr>
      </w:pPr>
      <w:r>
        <w:rPr>
          <w:rFonts w:ascii="宋体" w:eastAsia="宋体"/>
          <w:sz w:val="21"/>
          <w:szCs w:val="21"/>
        </w:rPr>
        <w:t>基金财产投资的实物证券、银行定期存款存单等有价凭证由基金托管人负责妥善保管。基金托管人对其以外机构实际有效控制的有价凭证不承担保管责任。</w:t>
      </w:r>
    </w:p>
    <w:p w14:paraId="0F61853A">
      <w:pPr>
        <w:pStyle w:val="220"/>
        <w:spacing w:before="100" w:beforeAutospacing="1" w:after="100" w:afterAutospacing="1"/>
        <w:ind w:firstLine="403"/>
        <w:rPr>
          <w:rFonts w:ascii="宋体" w:eastAsia="宋体"/>
          <w:sz w:val="21"/>
          <w:szCs w:val="21"/>
        </w:rPr>
      </w:pPr>
      <w:r>
        <w:rPr>
          <w:rFonts w:ascii="宋体" w:eastAsia="宋体"/>
          <w:sz w:val="21"/>
          <w:szCs w:val="21"/>
        </w:rPr>
        <w:t>（八）与基金财产有关的重大合同及有关凭证的保管</w:t>
      </w:r>
    </w:p>
    <w:p w14:paraId="45C6D936">
      <w:pPr>
        <w:pStyle w:val="220"/>
        <w:spacing w:before="100" w:beforeAutospacing="1" w:after="100" w:afterAutospacing="1"/>
        <w:ind w:firstLine="403"/>
        <w:rPr>
          <w:rFonts w:ascii="宋体" w:eastAsia="宋体"/>
          <w:sz w:val="21"/>
          <w:szCs w:val="21"/>
        </w:rPr>
      </w:pPr>
      <w:r>
        <w:rPr>
          <w:rFonts w:ascii="宋体" w:eastAsia="宋体"/>
          <w:sz w:val="21"/>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可能保证基金一方持有两份以上的正本，以便基金管理人和基金托管人至少各持有一份正本的原件。重大合同由基金管理人与基金托管人按规定各自保管</w:t>
      </w:r>
      <w:r>
        <w:rPr>
          <w:rFonts w:ascii="宋体" w:eastAsia="宋体"/>
          <w:bCs/>
          <w:sz w:val="21"/>
          <w:szCs w:val="21"/>
        </w:rPr>
        <w:t>，保存期限不低于法律法规规定的期限</w:t>
      </w:r>
      <w:r>
        <w:rPr>
          <w:rFonts w:ascii="宋体" w:eastAsia="宋体"/>
          <w:sz w:val="21"/>
          <w:szCs w:val="21"/>
        </w:rPr>
        <w:t>。</w:t>
      </w:r>
    </w:p>
    <w:p w14:paraId="3DF3A89B">
      <w:pPr>
        <w:pStyle w:val="220"/>
        <w:spacing w:before="100" w:beforeAutospacing="1" w:after="100" w:afterAutospacing="1"/>
        <w:ind w:firstLine="403"/>
        <w:rPr>
          <w:rFonts w:ascii="宋体" w:eastAsia="宋体"/>
          <w:sz w:val="21"/>
          <w:szCs w:val="21"/>
        </w:rPr>
      </w:pPr>
      <w:r>
        <w:rPr>
          <w:rFonts w:ascii="宋体" w:eastAsia="宋体"/>
          <w:sz w:val="21"/>
          <w:szCs w:val="21"/>
        </w:rPr>
        <w:t>对于无法取得两份以上的正本的，基金管理人应向基金托管人提供合同复印件，并在复印件上加盖公章，未经双方协商或未在合同约定范围内，合同原件不得转移。</w:t>
      </w:r>
    </w:p>
    <w:p w14:paraId="412A5271">
      <w:pPr>
        <w:pStyle w:val="220"/>
        <w:spacing w:before="100" w:beforeAutospacing="1" w:after="100" w:afterAutospacing="1"/>
        <w:ind w:firstLine="403"/>
        <w:rPr>
          <w:rFonts w:ascii="宋体" w:eastAsia="宋体"/>
          <w:sz w:val="21"/>
          <w:szCs w:val="21"/>
        </w:rPr>
      </w:pPr>
    </w:p>
    <w:p w14:paraId="6804DEA3">
      <w:pPr>
        <w:pStyle w:val="198"/>
        <w:spacing w:before="100" w:beforeAutospacing="1" w:after="100" w:afterAutospacing="1" w:line="400" w:lineRule="exact"/>
        <w:ind w:firstLine="422"/>
        <w:rPr>
          <w:rFonts w:ascii="宋体" w:hAnsi="宋体"/>
          <w:sz w:val="21"/>
          <w:szCs w:val="21"/>
        </w:rPr>
      </w:pPr>
      <w:bookmarkStart w:id="6" w:name="_Toc116900100"/>
      <w:r>
        <w:rPr>
          <w:rFonts w:ascii="宋体" w:hAnsi="宋体"/>
          <w:sz w:val="21"/>
          <w:szCs w:val="21"/>
        </w:rPr>
        <w:t>六、指令的发送、确认及执行</w:t>
      </w:r>
      <w:bookmarkEnd w:id="6"/>
    </w:p>
    <w:p w14:paraId="334FAC1E">
      <w:pPr>
        <w:pStyle w:val="220"/>
        <w:spacing w:before="100" w:beforeAutospacing="1" w:after="100" w:afterAutospacing="1"/>
        <w:ind w:firstLine="403"/>
        <w:rPr>
          <w:rFonts w:ascii="宋体" w:eastAsia="宋体"/>
          <w:sz w:val="21"/>
          <w:szCs w:val="21"/>
        </w:rPr>
      </w:pPr>
      <w:r>
        <w:rPr>
          <w:rFonts w:ascii="宋体" w:eastAsia="宋体"/>
          <w:sz w:val="21"/>
          <w:szCs w:val="21"/>
        </w:rPr>
        <w:t>基金管理人发送的指令包括电子指令和纸质指令。</w:t>
      </w:r>
    </w:p>
    <w:p w14:paraId="6EF5D518">
      <w:pPr>
        <w:pStyle w:val="220"/>
        <w:spacing w:before="100" w:beforeAutospacing="1" w:after="100" w:afterAutospacing="1"/>
        <w:ind w:firstLine="403"/>
        <w:rPr>
          <w:rFonts w:ascii="宋体" w:eastAsia="宋体"/>
          <w:sz w:val="21"/>
          <w:szCs w:val="21"/>
        </w:rPr>
      </w:pPr>
      <w:r>
        <w:rPr>
          <w:rFonts w:ascii="宋体" w:eastAsia="宋体"/>
          <w:sz w:val="21"/>
          <w:szCs w:val="21"/>
        </w:rPr>
        <w:t>电子指令包括基金管理人发送的电子指令（采用深证通金融数据交换平台发送的电子指令、采用SWIFT电子报文发送的电子指令、通过中国银行托管网银发送的电子指令）、自动产生的电子指令（基金托管人的全球托管系统根据基金管理人的授权通过预先设定的业务规则自动产生的电子指令）。电子指令一经发出即被视为合法有效指令，纸质指令作为应急方式备用。基金管理人通过深证通金融数据交换平台发送的电子指令，基金托管人根据USER ID和APP ID唯一识别基金管理人身份，基金管理人应妥善保管USER ID和APP ID，基金托管人身份识别后对于执行该电子指令造成的</w:t>
      </w:r>
      <w:r>
        <w:rPr>
          <w:rFonts w:hint="eastAsia" w:ascii="宋体" w:eastAsia="宋体"/>
          <w:sz w:val="21"/>
          <w:szCs w:val="21"/>
        </w:rPr>
        <w:t>相应</w:t>
      </w:r>
      <w:r>
        <w:rPr>
          <w:rFonts w:ascii="宋体" w:eastAsia="宋体"/>
          <w:sz w:val="21"/>
          <w:szCs w:val="21"/>
        </w:rPr>
        <w:t>损失基金托管人不承担责任。</w:t>
      </w:r>
    </w:p>
    <w:p w14:paraId="6FC97582">
      <w:pPr>
        <w:pStyle w:val="220"/>
        <w:spacing w:before="100" w:beforeAutospacing="1" w:after="100" w:afterAutospacing="1"/>
        <w:ind w:firstLine="403"/>
        <w:rPr>
          <w:rFonts w:ascii="宋体"/>
          <w:sz w:val="21"/>
          <w:szCs w:val="21"/>
        </w:rPr>
      </w:pPr>
      <w:r>
        <w:rPr>
          <w:rFonts w:hint="eastAsia" w:ascii="宋体" w:eastAsia="宋体"/>
          <w:sz w:val="21"/>
          <w:szCs w:val="21"/>
        </w:rPr>
        <w:t>纸质指令的传送方式为传真、邮件等双方认可的方式。</w:t>
      </w:r>
    </w:p>
    <w:p w14:paraId="3FA3D756">
      <w:pPr>
        <w:pStyle w:val="220"/>
        <w:spacing w:before="100" w:beforeAutospacing="1" w:after="100" w:afterAutospacing="1"/>
        <w:ind w:firstLine="420"/>
        <w:rPr>
          <w:rFonts w:ascii="宋体" w:eastAsia="宋体"/>
          <w:sz w:val="21"/>
          <w:szCs w:val="21"/>
        </w:rPr>
      </w:pPr>
      <w:r>
        <w:rPr>
          <w:rFonts w:ascii="宋体" w:eastAsia="宋体"/>
          <w:sz w:val="21"/>
          <w:szCs w:val="21"/>
        </w:rPr>
        <w:t>（一）基金管理人对发送</w:t>
      </w:r>
      <w:r>
        <w:rPr>
          <w:rFonts w:hint="eastAsia" w:ascii="宋体" w:eastAsia="宋体"/>
          <w:sz w:val="21"/>
          <w:szCs w:val="21"/>
        </w:rPr>
        <w:t>纸质</w:t>
      </w:r>
      <w:r>
        <w:rPr>
          <w:rFonts w:ascii="宋体" w:eastAsia="宋体"/>
          <w:sz w:val="21"/>
          <w:szCs w:val="21"/>
        </w:rPr>
        <w:t>指令人员的书面授权</w:t>
      </w:r>
    </w:p>
    <w:p w14:paraId="3366B8EA">
      <w:pPr>
        <w:pStyle w:val="220"/>
        <w:spacing w:before="100" w:beforeAutospacing="1" w:after="100" w:afterAutospacing="1"/>
        <w:ind w:firstLine="403"/>
        <w:rPr>
          <w:rFonts w:ascii="宋体" w:eastAsia="宋体"/>
          <w:sz w:val="21"/>
          <w:szCs w:val="21"/>
        </w:rPr>
      </w:pPr>
      <w:r>
        <w:rPr>
          <w:rFonts w:ascii="宋体" w:eastAsia="宋体"/>
          <w:sz w:val="21"/>
          <w:szCs w:val="21"/>
        </w:rPr>
        <w:t>1、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14:paraId="7B19C533">
      <w:pPr>
        <w:pStyle w:val="220"/>
        <w:spacing w:before="100" w:beforeAutospacing="1" w:after="100" w:afterAutospacing="1"/>
        <w:ind w:firstLine="403"/>
        <w:rPr>
          <w:rFonts w:ascii="宋体" w:eastAsia="宋体"/>
          <w:sz w:val="21"/>
          <w:szCs w:val="21"/>
        </w:rPr>
      </w:pPr>
      <w:r>
        <w:rPr>
          <w:rFonts w:ascii="宋体" w:eastAsia="宋体"/>
          <w:sz w:val="21"/>
          <w:szCs w:val="21"/>
        </w:rPr>
        <w:t>2、基金管理人向基金托管人发出的授权通知应加盖公章并由法定代表人或其授权签字人签署，若由授权签字人签署，还应附上法定代表人的授权书。基金管理人向基金托管人以传真</w:t>
      </w:r>
      <w:r>
        <w:rPr>
          <w:rFonts w:hint="eastAsia" w:ascii="宋体" w:eastAsia="宋体"/>
          <w:sz w:val="21"/>
          <w:szCs w:val="21"/>
        </w:rPr>
        <w:t>、邮件等双方认可</w:t>
      </w:r>
      <w:r>
        <w:rPr>
          <w:rFonts w:ascii="宋体" w:eastAsia="宋体"/>
          <w:sz w:val="21"/>
          <w:szCs w:val="21"/>
        </w:rPr>
        <w:t>的形式发送授权通知后同时电话通知基金托管人。授权通知自基金托管人接到基金管理人的电话确认后于通知载明的生效时间起生效。通知载明的生效时间不得早于电话确认时间。基金管理人在此后3个工作日内将授权通知原件送交基金托管人。</w:t>
      </w:r>
    </w:p>
    <w:p w14:paraId="468C5F6B">
      <w:pPr>
        <w:pStyle w:val="220"/>
        <w:spacing w:before="100" w:beforeAutospacing="1" w:after="100" w:afterAutospacing="1"/>
        <w:ind w:firstLine="403"/>
        <w:rPr>
          <w:rFonts w:ascii="宋体" w:eastAsia="宋体"/>
          <w:sz w:val="21"/>
          <w:szCs w:val="21"/>
        </w:rPr>
      </w:pPr>
      <w:r>
        <w:rPr>
          <w:rFonts w:ascii="宋体" w:eastAsia="宋体"/>
          <w:sz w:val="21"/>
          <w:szCs w:val="21"/>
        </w:rPr>
        <w:t>3、基金管理人和基金托管人对授权通知及其更改负有保密义务，其内容不得向指令发送人员及相关操作人员以外的任何人披露、泄露，法律法规另有规定或有权机关另有要求的除外。</w:t>
      </w:r>
    </w:p>
    <w:p w14:paraId="1C97B211">
      <w:pPr>
        <w:pStyle w:val="220"/>
        <w:spacing w:before="100" w:beforeAutospacing="1" w:after="100" w:afterAutospacing="1"/>
        <w:ind w:firstLine="403"/>
        <w:rPr>
          <w:rFonts w:ascii="宋体" w:eastAsia="宋体"/>
          <w:sz w:val="21"/>
          <w:szCs w:val="21"/>
        </w:rPr>
      </w:pPr>
      <w:r>
        <w:rPr>
          <w:rFonts w:ascii="宋体" w:eastAsia="宋体"/>
          <w:sz w:val="21"/>
          <w:szCs w:val="21"/>
        </w:rPr>
        <w:t>（二）指令的内容</w:t>
      </w:r>
    </w:p>
    <w:p w14:paraId="64B86E6D">
      <w:pPr>
        <w:pStyle w:val="220"/>
        <w:spacing w:before="100" w:beforeAutospacing="1" w:after="100" w:afterAutospacing="1"/>
        <w:ind w:firstLine="403"/>
        <w:rPr>
          <w:rFonts w:ascii="宋体" w:eastAsia="宋体"/>
          <w:sz w:val="21"/>
          <w:szCs w:val="21"/>
        </w:rPr>
      </w:pPr>
      <w:r>
        <w:rPr>
          <w:rFonts w:ascii="宋体" w:eastAsia="宋体"/>
          <w:sz w:val="21"/>
          <w:szCs w:val="21"/>
        </w:rPr>
        <w:t>指令是基金管理人在运作基金财产时，向基金托管人发出的资金划拨及投资指令。相关登记结算公司向基金托管人发送的结算通知视为基金管理人向基金托管人发出的指令。</w:t>
      </w:r>
    </w:p>
    <w:p w14:paraId="0B7F5E68">
      <w:pPr>
        <w:pStyle w:val="220"/>
        <w:spacing w:before="100" w:beforeAutospacing="1" w:after="100" w:afterAutospacing="1"/>
        <w:ind w:firstLine="403"/>
        <w:rPr>
          <w:rFonts w:ascii="宋体" w:eastAsia="宋体"/>
          <w:sz w:val="21"/>
          <w:szCs w:val="21"/>
        </w:rPr>
      </w:pPr>
      <w:r>
        <w:rPr>
          <w:rFonts w:ascii="宋体" w:eastAsia="宋体"/>
          <w:sz w:val="21"/>
          <w:szCs w:val="21"/>
        </w:rPr>
        <w:t>（三）指令的发送、确认和执行</w:t>
      </w:r>
    </w:p>
    <w:p w14:paraId="1C44CE70">
      <w:pPr>
        <w:pStyle w:val="220"/>
        <w:spacing w:before="100" w:beforeAutospacing="1" w:after="100" w:afterAutospacing="1"/>
        <w:ind w:firstLine="403"/>
        <w:rPr>
          <w:rFonts w:ascii="宋体" w:eastAsia="宋体"/>
          <w:sz w:val="21"/>
          <w:szCs w:val="21"/>
        </w:rPr>
      </w:pPr>
      <w:r>
        <w:rPr>
          <w:rFonts w:ascii="宋体" w:eastAsia="宋体"/>
          <w:sz w:val="21"/>
          <w:szCs w:val="21"/>
        </w:rPr>
        <w:t>1、</w:t>
      </w:r>
      <w:r>
        <w:rPr>
          <w:rFonts w:hint="eastAsia" w:ascii="宋体" w:eastAsia="宋体"/>
          <w:sz w:val="21"/>
          <w:szCs w:val="21"/>
        </w:rPr>
        <w:t>纸质</w:t>
      </w:r>
      <w:r>
        <w:rPr>
          <w:rFonts w:ascii="宋体" w:eastAsia="宋体"/>
          <w:sz w:val="21"/>
          <w:szCs w:val="21"/>
        </w:rPr>
        <w:t>指令由“授权通知”确定的指令发送人员代表基金管理人用传真的方式或</w:t>
      </w:r>
      <w:r>
        <w:rPr>
          <w:rFonts w:hint="eastAsia" w:ascii="宋体" w:eastAsia="宋体"/>
          <w:sz w:val="21"/>
          <w:szCs w:val="21"/>
        </w:rPr>
        <w:t>邮件等</w:t>
      </w:r>
      <w:r>
        <w:rPr>
          <w:rFonts w:ascii="宋体" w:eastAsia="宋体"/>
          <w:sz w:val="21"/>
          <w:szCs w:val="21"/>
        </w:rPr>
        <w:t>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14:paraId="23ACFEA7">
      <w:pPr>
        <w:spacing w:line="360" w:lineRule="auto"/>
        <w:ind w:firstLine="420"/>
        <w:jc w:val="both"/>
        <w:rPr>
          <w:sz w:val="22"/>
          <w:szCs w:val="21"/>
          <w:lang w:eastAsia="zh-CN"/>
        </w:rPr>
      </w:pPr>
      <w:r>
        <w:rPr>
          <w:rFonts w:ascii="宋体"/>
          <w:sz w:val="21"/>
          <w:szCs w:val="21"/>
          <w:lang w:eastAsia="zh-CN"/>
        </w:rPr>
        <w:t>2、基金管理人应按照《基金法》、《运作办法》、《基金合同》和有关法律法规的规定，在其合法的经营权限和交易权限内，并依据相关业务规则发送指令。</w:t>
      </w:r>
      <w:r>
        <w:rPr>
          <w:rFonts w:hint="eastAsia" w:ascii="宋体" w:hAnsi="宋体"/>
          <w:color w:val="000000"/>
          <w:sz w:val="21"/>
          <w:szCs w:val="21"/>
          <w:lang w:eastAsia="zh-CN" w:bidi="ar-SA"/>
        </w:rPr>
        <w:t>指令发出后，</w:t>
      </w:r>
      <w:r>
        <w:rPr>
          <w:rFonts w:ascii="宋体" w:hAnsi="宋体" w:cs="Times New Roman"/>
          <w:color w:val="000000"/>
          <w:sz w:val="21"/>
          <w:szCs w:val="21"/>
          <w:lang w:eastAsia="zh-CN" w:bidi="ar-SA"/>
        </w:rPr>
        <w:t>基金管理人应及时通过电话或其他双方认可的方式通知基金托管人，基金管理人应确保基金托管人收到指令。</w:t>
      </w:r>
    </w:p>
    <w:p w14:paraId="02918754">
      <w:pPr>
        <w:pStyle w:val="220"/>
        <w:spacing w:before="100" w:beforeAutospacing="1" w:after="100" w:afterAutospacing="1"/>
        <w:ind w:firstLine="403"/>
        <w:rPr>
          <w:rFonts w:ascii="宋体" w:eastAsia="宋体"/>
          <w:sz w:val="21"/>
          <w:szCs w:val="21"/>
        </w:rPr>
      </w:pPr>
      <w:r>
        <w:rPr>
          <w:rFonts w:ascii="宋体" w:eastAsia="宋体"/>
          <w:sz w:val="21"/>
          <w:szCs w:val="21"/>
        </w:rPr>
        <w:t>3、基金托管人在接收纸质指令时，应对指令的要素是否齐全、印鉴</w:t>
      </w:r>
      <w:r>
        <w:rPr>
          <w:rFonts w:hint="eastAsia" w:ascii="宋体" w:eastAsia="宋体"/>
          <w:sz w:val="21"/>
          <w:szCs w:val="21"/>
        </w:rPr>
        <w:t>/签字</w:t>
      </w:r>
      <w:r>
        <w:rPr>
          <w:rFonts w:ascii="宋体" w:eastAsia="宋体"/>
          <w:sz w:val="21"/>
          <w:szCs w:val="21"/>
        </w:rPr>
        <w:t>是否与授权通知相符等进行表面真实性的检查，对合法合规的指令，基金托管人应在规定期限内执行，不得不合理延误。</w:t>
      </w:r>
    </w:p>
    <w:p w14:paraId="111658B0">
      <w:pPr>
        <w:pStyle w:val="220"/>
        <w:spacing w:before="100" w:beforeAutospacing="1" w:after="100" w:afterAutospacing="1"/>
        <w:ind w:firstLine="403"/>
        <w:rPr>
          <w:rFonts w:ascii="宋体"/>
          <w:sz w:val="21"/>
          <w:szCs w:val="21"/>
        </w:rPr>
      </w:pPr>
      <w:r>
        <w:rPr>
          <w:rFonts w:hint="eastAsia" w:ascii="宋体" w:eastAsia="宋体"/>
          <w:sz w:val="21"/>
          <w:szCs w:val="21"/>
        </w:rPr>
        <w:t>4、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14:paraId="2C43E422">
      <w:pPr>
        <w:pStyle w:val="220"/>
        <w:spacing w:before="100" w:beforeAutospacing="1" w:after="100" w:afterAutospacing="1"/>
        <w:ind w:firstLine="403"/>
        <w:rPr>
          <w:rFonts w:ascii="宋体" w:eastAsia="宋体"/>
          <w:sz w:val="21"/>
          <w:szCs w:val="21"/>
        </w:rPr>
      </w:pPr>
      <w:r>
        <w:rPr>
          <w:rFonts w:ascii="宋体" w:eastAsia="宋体"/>
          <w:sz w:val="21"/>
          <w:szCs w:val="21"/>
        </w:rPr>
        <w:t>5、基金管理人在发送指令时，应为基金托管人执行指令留出执行指令时所必需的时间。</w:t>
      </w:r>
      <w:bookmarkStart w:id="7" w:name="OLE_LINK2"/>
      <w:bookmarkStart w:id="8" w:name="OLE_LINK1"/>
      <w:r>
        <w:rPr>
          <w:rFonts w:hint="eastAsia" w:ascii="宋体" w:eastAsia="宋体"/>
          <w:sz w:val="21"/>
          <w:szCs w:val="21"/>
        </w:rPr>
        <w:t>因基金管理人过错原因导致</w:t>
      </w:r>
      <w:r>
        <w:rPr>
          <w:rFonts w:ascii="宋体" w:eastAsia="宋体"/>
          <w:sz w:val="21"/>
          <w:szCs w:val="21"/>
        </w:rPr>
        <w:t>指令传输不及时未能留出足够的执行时间，致使指令未能及时执行所造成的损失，基金托管人不承担责任。</w:t>
      </w:r>
      <w:bookmarkEnd w:id="7"/>
      <w:bookmarkEnd w:id="8"/>
    </w:p>
    <w:p w14:paraId="61D19CBC">
      <w:pPr>
        <w:pStyle w:val="220"/>
        <w:spacing w:before="100" w:beforeAutospacing="1" w:after="100" w:afterAutospacing="1"/>
        <w:ind w:firstLine="403"/>
        <w:rPr>
          <w:rFonts w:ascii="宋体" w:eastAsia="宋体"/>
          <w:sz w:val="21"/>
          <w:szCs w:val="21"/>
        </w:rPr>
      </w:pPr>
      <w:r>
        <w:rPr>
          <w:rFonts w:ascii="宋体" w:eastAsia="宋体"/>
          <w:sz w:val="21"/>
          <w:szCs w:val="21"/>
        </w:rPr>
        <w:t>（四）基金管理人发送错误指令的情形和处理程序</w:t>
      </w:r>
    </w:p>
    <w:p w14:paraId="1F80E6F4">
      <w:pPr>
        <w:pStyle w:val="220"/>
        <w:spacing w:before="100" w:beforeAutospacing="1" w:after="100" w:afterAutospacing="1"/>
        <w:ind w:firstLine="403"/>
        <w:rPr>
          <w:rFonts w:ascii="宋体" w:eastAsia="宋体"/>
          <w:sz w:val="21"/>
          <w:szCs w:val="21"/>
        </w:rPr>
      </w:pPr>
      <w:r>
        <w:rPr>
          <w:rFonts w:ascii="宋体" w:eastAsia="宋体"/>
          <w:sz w:val="21"/>
          <w:szCs w:val="21"/>
        </w:rPr>
        <w:t>基金管理人发送错误指令的情形主要包括：指令要素错误、无投资行为的指令、预留印鉴</w:t>
      </w:r>
      <w:r>
        <w:rPr>
          <w:rFonts w:hint="eastAsia" w:ascii="宋体" w:eastAsia="宋体"/>
          <w:sz w:val="21"/>
          <w:szCs w:val="21"/>
        </w:rPr>
        <w:t>/签字</w:t>
      </w:r>
      <w:r>
        <w:rPr>
          <w:rFonts w:ascii="宋体" w:eastAsia="宋体"/>
          <w:sz w:val="21"/>
          <w:szCs w:val="21"/>
        </w:rPr>
        <w:t>错误等情形。</w:t>
      </w:r>
    </w:p>
    <w:p w14:paraId="4FD08B7A">
      <w:pPr>
        <w:pStyle w:val="220"/>
        <w:spacing w:before="100" w:beforeAutospacing="1" w:after="100" w:afterAutospacing="1"/>
        <w:ind w:firstLine="403"/>
        <w:rPr>
          <w:rFonts w:ascii="宋体" w:eastAsia="宋体"/>
          <w:sz w:val="21"/>
          <w:szCs w:val="21"/>
        </w:rPr>
      </w:pPr>
      <w:r>
        <w:rPr>
          <w:rFonts w:ascii="宋体" w:eastAsia="宋体"/>
          <w:sz w:val="21"/>
          <w:szCs w:val="21"/>
        </w:rPr>
        <w:t>基金托管人发现基金管理人的指令错误时，有权拒绝执行，并及时通知基金管理人改正。对基金管理人更正并重新发送后的指令经基金托管人核对确认后方能执行。</w:t>
      </w:r>
    </w:p>
    <w:p w14:paraId="17DE4857">
      <w:pPr>
        <w:pStyle w:val="220"/>
        <w:spacing w:before="100" w:beforeAutospacing="1" w:after="100" w:afterAutospacing="1"/>
        <w:ind w:firstLine="403"/>
        <w:rPr>
          <w:rFonts w:ascii="宋体" w:eastAsia="宋体"/>
          <w:sz w:val="21"/>
          <w:szCs w:val="21"/>
        </w:rPr>
      </w:pPr>
      <w:r>
        <w:rPr>
          <w:rFonts w:ascii="宋体" w:eastAsia="宋体"/>
          <w:sz w:val="21"/>
          <w:szCs w:val="21"/>
        </w:rPr>
        <w:t>（五）基金托管人依照法律法规暂缓、拒绝执行指令的情形和处理程序</w:t>
      </w:r>
    </w:p>
    <w:p w14:paraId="36633869">
      <w:pPr>
        <w:pStyle w:val="220"/>
        <w:spacing w:before="100" w:beforeAutospacing="1" w:after="100" w:afterAutospacing="1"/>
        <w:ind w:firstLine="403"/>
        <w:rPr>
          <w:rFonts w:ascii="宋体" w:eastAsia="宋体"/>
          <w:sz w:val="21"/>
          <w:szCs w:val="21"/>
        </w:rPr>
      </w:pPr>
      <w:r>
        <w:rPr>
          <w:rFonts w:ascii="宋体" w:eastAsia="宋体"/>
          <w:sz w:val="21"/>
          <w:szCs w:val="21"/>
        </w:rPr>
        <w:t>基金托管人发现基金管理人的指令违反法律法规规定或者《基金合同》约定，应当</w:t>
      </w:r>
      <w:r>
        <w:rPr>
          <w:rFonts w:hint="eastAsia" w:ascii="宋体" w:eastAsia="宋体"/>
          <w:sz w:val="21"/>
          <w:szCs w:val="21"/>
        </w:rPr>
        <w:t>视情况暂缓或</w:t>
      </w:r>
      <w:r>
        <w:rPr>
          <w:rFonts w:ascii="宋体" w:eastAsia="宋体"/>
          <w:sz w:val="21"/>
          <w:szCs w:val="21"/>
        </w:rPr>
        <w:t>不予执行，并及时通知基金管理人要求其变更或撤销相关指令，若基金管理人在基金托管人发出上述通知后仍未变更或撤销相关指令，基金托管人应当拒绝执行，并向中国证监会报告。</w:t>
      </w:r>
    </w:p>
    <w:p w14:paraId="615D426C">
      <w:pPr>
        <w:pStyle w:val="220"/>
        <w:spacing w:before="100" w:beforeAutospacing="1" w:after="100" w:afterAutospacing="1"/>
        <w:ind w:firstLine="403"/>
        <w:rPr>
          <w:rFonts w:ascii="宋体" w:eastAsia="宋体"/>
          <w:sz w:val="21"/>
          <w:szCs w:val="21"/>
        </w:rPr>
      </w:pPr>
      <w:r>
        <w:rPr>
          <w:rFonts w:ascii="宋体" w:eastAsia="宋体"/>
          <w:sz w:val="21"/>
          <w:szCs w:val="21"/>
        </w:rPr>
        <w:t>基金管理人向基金托管人下达指令时，应确保基金的银行账户有足够的资金余额，确保基金的证券账户有足够的证券余额。对超头寸的指令，以及超过证券账户证券余额的指令，基金托管人可不予执行，但应及时通知基金管理人，由此造成的损失，基金托管人不承担责任。</w:t>
      </w:r>
    </w:p>
    <w:p w14:paraId="700BB73C">
      <w:pPr>
        <w:pStyle w:val="220"/>
        <w:spacing w:before="100" w:beforeAutospacing="1" w:after="100" w:afterAutospacing="1"/>
        <w:ind w:firstLine="403"/>
        <w:rPr>
          <w:rFonts w:ascii="宋体" w:eastAsia="宋体"/>
          <w:sz w:val="21"/>
          <w:szCs w:val="21"/>
        </w:rPr>
      </w:pPr>
      <w:r>
        <w:rPr>
          <w:rFonts w:ascii="宋体" w:eastAsia="宋体"/>
          <w:sz w:val="21"/>
          <w:szCs w:val="21"/>
        </w:rPr>
        <w:t>（六）基金托管人未按照基金管理人指令执行的处理方法</w:t>
      </w:r>
    </w:p>
    <w:p w14:paraId="25AC82B5">
      <w:pPr>
        <w:pStyle w:val="220"/>
        <w:spacing w:before="100" w:beforeAutospacing="1" w:after="100" w:afterAutospacing="1"/>
        <w:ind w:firstLine="403"/>
        <w:rPr>
          <w:rFonts w:ascii="宋体" w:eastAsia="宋体"/>
          <w:sz w:val="21"/>
          <w:szCs w:val="21"/>
        </w:rPr>
      </w:pPr>
      <w:r>
        <w:rPr>
          <w:rFonts w:ascii="宋体" w:eastAsia="宋体"/>
          <w:sz w:val="21"/>
          <w:szCs w:val="21"/>
        </w:rPr>
        <w:t>基金托管人因未正确执行基金管理人合法合规的指令，致使本基金的利益受到损害，基金托管人应</w:t>
      </w:r>
      <w:r>
        <w:rPr>
          <w:rFonts w:hint="eastAsia" w:ascii="宋体" w:eastAsia="宋体"/>
          <w:sz w:val="21"/>
          <w:szCs w:val="21"/>
        </w:rPr>
        <w:t>及时采取措施予以补救，并</w:t>
      </w:r>
      <w:r>
        <w:rPr>
          <w:rFonts w:ascii="宋体" w:eastAsia="宋体"/>
          <w:sz w:val="21"/>
          <w:szCs w:val="21"/>
        </w:rPr>
        <w:t>承担相应的责任。除此之外，基金托管人对正确执行基金管理人的合法合规指令对基金造成的损失不承担责任。</w:t>
      </w:r>
    </w:p>
    <w:p w14:paraId="427AD38A">
      <w:pPr>
        <w:pStyle w:val="220"/>
        <w:spacing w:before="100" w:beforeAutospacing="1" w:after="100" w:afterAutospacing="1"/>
        <w:ind w:firstLine="403"/>
        <w:rPr>
          <w:rFonts w:ascii="宋体" w:eastAsia="宋体"/>
          <w:sz w:val="21"/>
          <w:szCs w:val="21"/>
        </w:rPr>
      </w:pPr>
      <w:r>
        <w:rPr>
          <w:rFonts w:ascii="宋体" w:eastAsia="宋体"/>
          <w:sz w:val="21"/>
          <w:szCs w:val="21"/>
        </w:rPr>
        <w:t>（七）被授权人员及授权权限的变更</w:t>
      </w:r>
      <w:r>
        <w:rPr>
          <w:rFonts w:ascii="宋体" w:eastAsia="宋体"/>
          <w:sz w:val="21"/>
          <w:szCs w:val="21"/>
        </w:rPr>
        <w:tab/>
      </w:r>
    </w:p>
    <w:p w14:paraId="6C0F63EC">
      <w:pPr>
        <w:pStyle w:val="220"/>
        <w:spacing w:before="100" w:beforeAutospacing="1" w:after="100" w:afterAutospacing="1"/>
        <w:ind w:firstLine="403"/>
        <w:rPr>
          <w:rFonts w:ascii="宋体" w:eastAsia="宋体"/>
          <w:sz w:val="21"/>
          <w:szCs w:val="21"/>
        </w:rPr>
      </w:pPr>
      <w:r>
        <w:rPr>
          <w:rFonts w:ascii="宋体" w:eastAsia="宋体"/>
          <w:sz w:val="21"/>
          <w:szCs w:val="21"/>
        </w:rPr>
        <w:t>基金管理人若对授权通知的内容进行修改（包括但不限于指令发送人员的名单的修改，及/或权限的修改），应当至少提前1个工作日通知基金托管人；修改授权通知的文件应由基金管理人加盖公章并由法定代表人或其授权签字人签署，若由授权签字人签署，还应附上法定代表人的授权书。基金管理人对授权通知的修改应当以传真、邮件</w:t>
      </w:r>
      <w:r>
        <w:rPr>
          <w:rFonts w:hint="eastAsia" w:ascii="宋体" w:eastAsia="宋体"/>
          <w:sz w:val="21"/>
          <w:szCs w:val="21"/>
        </w:rPr>
        <w:t>等双方认可</w:t>
      </w:r>
      <w:r>
        <w:rPr>
          <w:rFonts w:ascii="宋体" w:eastAsia="宋体"/>
          <w:sz w:val="21"/>
          <w:szCs w:val="21"/>
        </w:rPr>
        <w:t>的形式发送给基金托管人，同时电话通知基金托管人。基金管理人对授权通知的内容的修改自基金托管人电话确认后于通知载明的生效时间起生效。通知载明的生效时间不得早于电话确认时间。基金管理人在此后3个工作日内将对授权通知修改的文件原件送交基金托管人。</w:t>
      </w:r>
    </w:p>
    <w:p w14:paraId="233D7FD8">
      <w:pPr>
        <w:pStyle w:val="220"/>
        <w:spacing w:before="100" w:beforeAutospacing="1" w:after="100" w:afterAutospacing="1"/>
        <w:ind w:firstLine="403"/>
        <w:rPr>
          <w:rFonts w:ascii="宋体" w:eastAsia="宋体"/>
          <w:sz w:val="21"/>
          <w:szCs w:val="21"/>
        </w:rPr>
      </w:pPr>
      <w:r>
        <w:rPr>
          <w:rFonts w:ascii="宋体" w:eastAsia="宋体"/>
          <w:sz w:val="21"/>
          <w:szCs w:val="21"/>
        </w:rPr>
        <w:t>基金管理人已经撤销或更改对指令发送人员的授权，并且已书面通知基金托管人并经基金托管人确认，则对于在变更通知的启用日期后该指令发送人员无权发送的指令，或超权限发送的指令，基金管理人不承担责任。</w:t>
      </w:r>
    </w:p>
    <w:p w14:paraId="009A93FF">
      <w:pPr>
        <w:pStyle w:val="220"/>
        <w:spacing w:before="100" w:beforeAutospacing="1" w:after="100" w:afterAutospacing="1"/>
        <w:ind w:firstLine="403"/>
        <w:rPr>
          <w:rFonts w:ascii="宋体" w:eastAsia="宋体"/>
          <w:sz w:val="21"/>
          <w:szCs w:val="21"/>
        </w:rPr>
      </w:pPr>
    </w:p>
    <w:p w14:paraId="128BCD45">
      <w:pPr>
        <w:pStyle w:val="198"/>
        <w:spacing w:before="100" w:beforeAutospacing="1" w:after="100" w:afterAutospacing="1" w:line="400" w:lineRule="exact"/>
        <w:ind w:firstLine="422"/>
        <w:rPr>
          <w:rFonts w:ascii="宋体" w:hAnsi="宋体"/>
          <w:sz w:val="21"/>
          <w:szCs w:val="21"/>
        </w:rPr>
      </w:pPr>
      <w:bookmarkStart w:id="9" w:name="_Toc116900101"/>
      <w:r>
        <w:rPr>
          <w:rFonts w:ascii="宋体" w:hAnsi="宋体"/>
          <w:sz w:val="21"/>
          <w:szCs w:val="21"/>
        </w:rPr>
        <w:t>七、交易及清算交收安排</w:t>
      </w:r>
      <w:bookmarkEnd w:id="9"/>
    </w:p>
    <w:p w14:paraId="20DBABFF">
      <w:pPr>
        <w:pStyle w:val="216"/>
        <w:spacing w:before="100" w:beforeAutospacing="1" w:after="100" w:afterAutospacing="1" w:line="400" w:lineRule="exact"/>
        <w:ind w:left="0" w:firstLine="403"/>
        <w:rPr>
          <w:rFonts w:ascii="宋体" w:hAnsi="宋体" w:eastAsia="宋体"/>
          <w:b/>
          <w:sz w:val="21"/>
          <w:szCs w:val="21"/>
        </w:rPr>
      </w:pPr>
      <w:r>
        <w:rPr>
          <w:rFonts w:ascii="宋体" w:hAnsi="宋体" w:eastAsia="宋体"/>
          <w:sz w:val="21"/>
          <w:szCs w:val="21"/>
        </w:rPr>
        <w:t>（一）基金管理人负责选择代理本基金证券、期货买卖的证券、期货经营机构。</w:t>
      </w:r>
    </w:p>
    <w:p w14:paraId="2657AE14">
      <w:pPr>
        <w:pStyle w:val="220"/>
        <w:spacing w:before="100" w:beforeAutospacing="1" w:after="100" w:afterAutospacing="1"/>
        <w:ind w:firstLine="403"/>
        <w:rPr>
          <w:rFonts w:ascii="宋体" w:eastAsia="宋体"/>
          <w:sz w:val="21"/>
          <w:szCs w:val="21"/>
        </w:rPr>
      </w:pPr>
      <w:r>
        <w:rPr>
          <w:rFonts w:ascii="宋体" w:eastAsia="宋体"/>
          <w:sz w:val="21"/>
          <w:szCs w:val="21"/>
        </w:rPr>
        <w:t>1、选择代理证券买卖的证券经营机构的标准：</w:t>
      </w:r>
    </w:p>
    <w:p w14:paraId="2CD30DAF">
      <w:pPr>
        <w:pStyle w:val="220"/>
        <w:spacing w:before="100" w:beforeAutospacing="1" w:after="100" w:afterAutospacing="1"/>
        <w:ind w:firstLine="403"/>
        <w:rPr>
          <w:rFonts w:ascii="宋体" w:eastAsia="宋体"/>
          <w:sz w:val="21"/>
          <w:szCs w:val="21"/>
        </w:rPr>
      </w:pPr>
      <w:r>
        <w:rPr>
          <w:rFonts w:ascii="宋体" w:eastAsia="宋体"/>
          <w:sz w:val="21"/>
          <w:szCs w:val="21"/>
        </w:rPr>
        <w:t>（1）资金雄厚，信誉良好。</w:t>
      </w:r>
    </w:p>
    <w:p w14:paraId="65DFC1A9">
      <w:pPr>
        <w:pStyle w:val="220"/>
        <w:spacing w:before="100" w:beforeAutospacing="1" w:after="100" w:afterAutospacing="1"/>
        <w:ind w:firstLine="403"/>
        <w:rPr>
          <w:rFonts w:ascii="宋体" w:eastAsia="宋体"/>
          <w:sz w:val="21"/>
          <w:szCs w:val="21"/>
        </w:rPr>
      </w:pPr>
      <w:r>
        <w:rPr>
          <w:rFonts w:ascii="宋体" w:eastAsia="宋体"/>
          <w:sz w:val="21"/>
          <w:szCs w:val="21"/>
        </w:rPr>
        <w:t>（2）财务状况良好，经营行为规范，最近一年未因重大违规行为而受到有关管理机关的处罚。</w:t>
      </w:r>
    </w:p>
    <w:p w14:paraId="477CBEB8">
      <w:pPr>
        <w:pStyle w:val="220"/>
        <w:spacing w:before="100" w:beforeAutospacing="1" w:after="100" w:afterAutospacing="1"/>
        <w:ind w:firstLine="403"/>
        <w:rPr>
          <w:rFonts w:ascii="宋体" w:eastAsia="宋体"/>
          <w:sz w:val="21"/>
          <w:szCs w:val="21"/>
        </w:rPr>
      </w:pPr>
      <w:r>
        <w:rPr>
          <w:rFonts w:ascii="宋体" w:eastAsia="宋体"/>
          <w:sz w:val="21"/>
          <w:szCs w:val="21"/>
        </w:rPr>
        <w:t>（3）内部管理规范、严格，具备健全的内控制度，并能满足本基金运作高度保密的要求。</w:t>
      </w:r>
    </w:p>
    <w:p w14:paraId="1DD4E09D">
      <w:pPr>
        <w:pStyle w:val="220"/>
        <w:spacing w:before="100" w:beforeAutospacing="1" w:after="100" w:afterAutospacing="1"/>
        <w:ind w:firstLine="403"/>
        <w:rPr>
          <w:rFonts w:ascii="宋体" w:eastAsia="宋体"/>
          <w:sz w:val="21"/>
          <w:szCs w:val="21"/>
        </w:rPr>
      </w:pPr>
      <w:r>
        <w:rPr>
          <w:rFonts w:ascii="宋体" w:eastAsia="宋体"/>
          <w:sz w:val="21"/>
          <w:szCs w:val="21"/>
        </w:rPr>
        <w:t>（4）具备基金运作所需的高效、安全的通讯条件，交易设施符合代理基金进行证券交易的需要，并能为基金提供全面的信息服务。</w:t>
      </w:r>
    </w:p>
    <w:p w14:paraId="1AA4B5AD">
      <w:pPr>
        <w:pStyle w:val="220"/>
        <w:spacing w:before="100" w:beforeAutospacing="1" w:after="100" w:afterAutospacing="1"/>
        <w:ind w:firstLine="403"/>
        <w:rPr>
          <w:rFonts w:ascii="宋体" w:eastAsia="宋体"/>
          <w:sz w:val="21"/>
          <w:szCs w:val="21"/>
        </w:rPr>
      </w:pPr>
      <w:r>
        <w:rPr>
          <w:rFonts w:ascii="宋体" w:eastAsia="宋体"/>
          <w:sz w:val="21"/>
          <w:szCs w:val="21"/>
        </w:rPr>
        <w:t>（5）研究实力较强，有固定的研究机构和专门研究人员，能及时、定期、全面地为基金提供宏观经济、行业情况、市场走向、股票分析的研究报告及周到的信息服务，并能根据基金投资的特定要求，提供专题研究报告。</w:t>
      </w:r>
    </w:p>
    <w:p w14:paraId="10A376E9">
      <w:pPr>
        <w:pStyle w:val="220"/>
        <w:spacing w:before="100" w:beforeAutospacing="1" w:after="100" w:afterAutospacing="1"/>
        <w:ind w:firstLine="403"/>
        <w:rPr>
          <w:rFonts w:ascii="宋体" w:eastAsia="宋体"/>
          <w:sz w:val="21"/>
          <w:szCs w:val="21"/>
        </w:rPr>
      </w:pPr>
      <w:r>
        <w:rPr>
          <w:rFonts w:ascii="宋体" w:eastAsia="宋体"/>
          <w:sz w:val="21"/>
          <w:szCs w:val="21"/>
        </w:rPr>
        <w:t>2、选择代理证券买卖的证券经营机构的程序</w:t>
      </w:r>
    </w:p>
    <w:p w14:paraId="5B36D80C">
      <w:pPr>
        <w:pStyle w:val="220"/>
        <w:spacing w:before="100" w:beforeAutospacing="1" w:after="100" w:afterAutospacing="1"/>
        <w:ind w:firstLine="403"/>
        <w:rPr>
          <w:rFonts w:ascii="宋体" w:eastAsia="宋体"/>
          <w:sz w:val="21"/>
          <w:szCs w:val="21"/>
        </w:rPr>
      </w:pPr>
      <w:r>
        <w:rPr>
          <w:rFonts w:ascii="宋体" w:eastAsia="宋体"/>
          <w:sz w:val="21"/>
          <w:szCs w:val="21"/>
        </w:rPr>
        <w:t>基金管理人根据以上标准进行考察后确定证券经营机构的选择。基金管理人与被选择的证券经营机构签订委托协议（或交易单元租用协议），并按照法律法规的规定向中国证监会报告。基金管理人应将委托协议（或交易单元租用协议）的原件及时送交基金托管人。</w:t>
      </w:r>
    </w:p>
    <w:p w14:paraId="28BEAADF">
      <w:pPr>
        <w:pStyle w:val="220"/>
        <w:spacing w:before="100" w:beforeAutospacing="1" w:after="100" w:afterAutospacing="1"/>
        <w:ind w:firstLine="403"/>
      </w:pPr>
      <w:r>
        <w:rPr>
          <w:rFonts w:ascii="宋体" w:eastAsia="宋体"/>
          <w:sz w:val="21"/>
          <w:szCs w:val="21"/>
        </w:rPr>
        <w:t>3、相关信息的通知</w:t>
      </w:r>
    </w:p>
    <w:p w14:paraId="0E60E6E2">
      <w:pPr>
        <w:pStyle w:val="220"/>
        <w:spacing w:before="100" w:beforeAutospacing="1" w:after="100" w:afterAutospacing="1"/>
        <w:ind w:firstLine="403"/>
        <w:rPr>
          <w:rFonts w:ascii="宋体" w:eastAsia="宋体"/>
          <w:sz w:val="21"/>
          <w:szCs w:val="21"/>
        </w:rPr>
      </w:pPr>
      <w:r>
        <w:rPr>
          <w:rFonts w:ascii="宋体" w:eastAsia="宋体"/>
          <w:sz w:val="21"/>
          <w:szCs w:val="21"/>
        </w:rPr>
        <w:t>基金管理人应及时以书面形式通知基金托管人基金专用交易单元的号码、券商名称、佣金费率等基金基本信息以及变更情况，其中交易单元租用应至少在首次进行交易的10个工作日前通知基金托管人，交易单元退租应在次日内通知到基金托管人。</w:t>
      </w:r>
    </w:p>
    <w:p w14:paraId="2160697E">
      <w:pPr>
        <w:pStyle w:val="220"/>
        <w:spacing w:before="100" w:beforeAutospacing="1" w:after="100" w:afterAutospacing="1"/>
        <w:ind w:firstLine="403"/>
        <w:rPr>
          <w:rFonts w:ascii="宋体" w:eastAsia="宋体"/>
          <w:sz w:val="21"/>
          <w:szCs w:val="21"/>
        </w:rPr>
      </w:pPr>
      <w:r>
        <w:rPr>
          <w:rFonts w:ascii="宋体" w:eastAsia="宋体"/>
          <w:sz w:val="21"/>
          <w:szCs w:val="21"/>
        </w:rPr>
        <w:t>4、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1842726">
      <w:pPr>
        <w:pStyle w:val="220"/>
        <w:spacing w:before="100" w:beforeAutospacing="1" w:after="100" w:afterAutospacing="1"/>
        <w:ind w:firstLine="403"/>
        <w:rPr>
          <w:rFonts w:ascii="宋体" w:eastAsia="宋体"/>
          <w:sz w:val="21"/>
          <w:szCs w:val="21"/>
        </w:rPr>
      </w:pPr>
      <w:r>
        <w:rPr>
          <w:rFonts w:ascii="宋体" w:eastAsia="宋体"/>
          <w:sz w:val="21"/>
          <w:szCs w:val="21"/>
        </w:rPr>
        <w:t>（二）基金清算交收</w:t>
      </w:r>
    </w:p>
    <w:p w14:paraId="632D2DE0">
      <w:pPr>
        <w:pStyle w:val="220"/>
        <w:spacing w:before="100" w:beforeAutospacing="1" w:after="100" w:afterAutospacing="1"/>
        <w:ind w:firstLine="403"/>
        <w:rPr>
          <w:rFonts w:ascii="宋体" w:eastAsia="宋体"/>
          <w:sz w:val="21"/>
          <w:szCs w:val="21"/>
        </w:rPr>
      </w:pPr>
      <w:r>
        <w:rPr>
          <w:rFonts w:ascii="宋体" w:eastAsia="宋体"/>
          <w:sz w:val="21"/>
          <w:szCs w:val="21"/>
        </w:rPr>
        <w:t>1、因本基金投资于证券发生的所有场内、场外交易的清算交收，由基金托管人负责根据相关登记结算公司的结算规则办理。</w:t>
      </w:r>
    </w:p>
    <w:p w14:paraId="1E8F565E">
      <w:pPr>
        <w:pStyle w:val="220"/>
        <w:spacing w:before="100" w:beforeAutospacing="1" w:after="100" w:afterAutospacing="1"/>
        <w:ind w:firstLine="403"/>
        <w:rPr>
          <w:rFonts w:ascii="宋体" w:eastAsia="宋体"/>
          <w:sz w:val="21"/>
          <w:szCs w:val="21"/>
        </w:rPr>
      </w:pPr>
      <w:r>
        <w:rPr>
          <w:rFonts w:ascii="宋体" w:eastAsia="宋体"/>
          <w:sz w:val="21"/>
          <w:szCs w:val="21"/>
        </w:rPr>
        <w:t>2、由于基金管理人或基金托管人原因导致基金资金透支、超买或超卖等情形的，由责任方承担相应的责任。基金管理人同意在发生以上情形时，基金托管人应按照中国证券登记结算有限责任公司的有关规定办理。</w:t>
      </w:r>
    </w:p>
    <w:p w14:paraId="4482F754">
      <w:pPr>
        <w:pStyle w:val="220"/>
        <w:spacing w:before="100" w:beforeAutospacing="1" w:after="100" w:afterAutospacing="1"/>
        <w:ind w:firstLine="403"/>
        <w:rPr>
          <w:rFonts w:ascii="宋体" w:eastAsia="宋体"/>
          <w:sz w:val="21"/>
          <w:szCs w:val="21"/>
        </w:rPr>
      </w:pPr>
      <w:r>
        <w:rPr>
          <w:rFonts w:ascii="宋体" w:eastAsia="宋体"/>
          <w:sz w:val="21"/>
          <w:szCs w:val="21"/>
        </w:rPr>
        <w:t>3、由于基金管理人或基金托管人原因导致基金无法按时支付清算款时，责任方应对由此给基金财产造成的损失承担相应的赔偿责任。</w:t>
      </w:r>
    </w:p>
    <w:p w14:paraId="3D662AD3">
      <w:pPr>
        <w:pStyle w:val="220"/>
        <w:spacing w:before="100" w:beforeAutospacing="1" w:after="100" w:afterAutospacing="1"/>
        <w:ind w:firstLine="403"/>
        <w:rPr>
          <w:rFonts w:ascii="宋体" w:eastAsia="宋体"/>
          <w:sz w:val="21"/>
          <w:szCs w:val="21"/>
        </w:rPr>
      </w:pPr>
      <w:r>
        <w:rPr>
          <w:rFonts w:ascii="宋体" w:eastAsia="宋体"/>
          <w:sz w:val="21"/>
          <w:szCs w:val="21"/>
        </w:rPr>
        <w:t>4、基金管理人应保证在交收日（T+1日）10：00前基金银行账户有足够的资金用于交易所的证券交易资金清算，如基金的资金头寸不足则基金托管人应按照中国证券登记结算有限责任公司的有关规定办理。</w:t>
      </w:r>
    </w:p>
    <w:p w14:paraId="3FBDA9BC">
      <w:pPr>
        <w:pStyle w:val="220"/>
        <w:spacing w:before="100" w:beforeAutospacing="1" w:after="100" w:afterAutospacing="1"/>
        <w:ind w:firstLine="403"/>
        <w:rPr>
          <w:rFonts w:ascii="宋体" w:eastAsia="宋体"/>
          <w:sz w:val="21"/>
          <w:szCs w:val="21"/>
        </w:rPr>
      </w:pPr>
      <w:r>
        <w:rPr>
          <w:rFonts w:ascii="宋体" w:eastAsia="宋体"/>
          <w:sz w:val="21"/>
          <w:szCs w:val="21"/>
        </w:rPr>
        <w:t>5、基金管理人应保证基金托管人在执行基金管理人发送的划款指令时，基金银行账户或资金交收账户上有充足的资金。基金的资金头寸不足时，基金托管人有权拒绝基金管理人发送的划款指令，由此造成的损失，由基金管理人负责赔偿。基金管理人在发送划款指令时应充分考虑基金托管人的划款处理时间。对于要求当天到账的指令，应在当天15:00前发送；对于要求当天某一时点到账，则指令需提前2个工作小时发送，并相关付款条件已经具备。对于新股申购网下公开发行业务，基金管理人应在网下申购缴款日(T日)的前一工作日下班前将新股申购指令发送给托管人，指令发送时间最迟不应晚于T日上午10：00时。</w:t>
      </w:r>
    </w:p>
    <w:p w14:paraId="1958F68C">
      <w:pPr>
        <w:pStyle w:val="197"/>
        <w:spacing w:line="360" w:lineRule="auto"/>
        <w:ind w:firstLine="420"/>
        <w:rPr>
          <w:rFonts w:ascii="宋体" w:hAnsi="宋体"/>
          <w:color w:val="000000"/>
          <w:szCs w:val="21"/>
        </w:rPr>
      </w:pPr>
      <w:r>
        <w:rPr>
          <w:rFonts w:ascii="宋体" w:hAnsi="宋体"/>
          <w:color w:val="000000"/>
          <w:szCs w:val="21"/>
        </w:rPr>
        <w:t>对于中国证券登记结算有限责任公司实行T+0非担保交收的业务，基金管理人应在交易日14：00前将划款指令发送至托管人,</w:t>
      </w:r>
      <w:r>
        <w:t>或在前期授权托管</w:t>
      </w:r>
      <w:r>
        <w:rPr>
          <w:rFonts w:hint="eastAsia"/>
        </w:rPr>
        <w:t>人</w:t>
      </w:r>
      <w:r>
        <w:t>依据中登数据自行处理相关业务，并且配合托管人备足托管资产头寸以完成限时T+0业务的交收。若今后结算规则调整，此条款相应调整。</w:t>
      </w:r>
    </w:p>
    <w:p w14:paraId="5D4D6307">
      <w:pPr>
        <w:pStyle w:val="220"/>
        <w:spacing w:before="100" w:beforeAutospacing="1" w:after="100" w:afterAutospacing="1"/>
        <w:ind w:firstLine="403"/>
        <w:rPr>
          <w:rFonts w:ascii="宋体" w:eastAsia="宋体"/>
          <w:sz w:val="21"/>
          <w:szCs w:val="21"/>
        </w:rPr>
      </w:pPr>
      <w:r>
        <w:rPr>
          <w:rFonts w:ascii="宋体" w:eastAsia="宋体"/>
          <w:sz w:val="21"/>
          <w:szCs w:val="21"/>
        </w:rPr>
        <w:t>因基金管理人指令传输不及时，致使资金未能及时划入中国证券登记结算有限责任公司所造成的损失由基金管理人承担，包括赔偿在</w:t>
      </w:r>
      <w:r>
        <w:rPr>
          <w:rFonts w:hint="eastAsia" w:ascii="宋体" w:eastAsia="宋体"/>
          <w:sz w:val="21"/>
          <w:szCs w:val="21"/>
        </w:rPr>
        <w:t>深圳</w:t>
      </w:r>
      <w:r>
        <w:rPr>
          <w:rFonts w:ascii="宋体" w:eastAsia="宋体"/>
          <w:sz w:val="21"/>
          <w:szCs w:val="21"/>
        </w:rPr>
        <w:t>市场引起其他托管客户交易失败、赔偿因占用中国证券登记结算有限责任公司</w:t>
      </w:r>
      <w:r>
        <w:rPr>
          <w:rFonts w:hint="eastAsia" w:ascii="宋体" w:eastAsia="宋体"/>
          <w:sz w:val="21"/>
          <w:szCs w:val="21"/>
        </w:rPr>
        <w:t>深圳</w:t>
      </w:r>
      <w:r>
        <w:rPr>
          <w:rFonts w:ascii="宋体" w:eastAsia="宋体"/>
          <w:sz w:val="21"/>
          <w:szCs w:val="21"/>
        </w:rPr>
        <w:t>分公司最低备付金带来的利息损失。在基金资金头寸充足的情况下，基金托管人对基金管理人符合法律法规、《基金合同》、本协议的指令不得不合理拖延或拒绝执行。</w:t>
      </w:r>
    </w:p>
    <w:p w14:paraId="7D376077">
      <w:pPr>
        <w:pStyle w:val="220"/>
        <w:spacing w:before="100" w:beforeAutospacing="1" w:after="100" w:afterAutospacing="1"/>
        <w:ind w:firstLine="403"/>
        <w:rPr>
          <w:rFonts w:ascii="宋体" w:eastAsia="宋体"/>
          <w:sz w:val="21"/>
          <w:szCs w:val="21"/>
        </w:rPr>
      </w:pPr>
      <w:r>
        <w:rPr>
          <w:rFonts w:ascii="宋体" w:eastAsia="宋体"/>
          <w:sz w:val="21"/>
          <w:szCs w:val="21"/>
        </w:rPr>
        <w:t>（三）资金、证券</w:t>
      </w:r>
      <w:r>
        <w:rPr>
          <w:rFonts w:hint="eastAsia" w:ascii="宋体" w:eastAsia="宋体"/>
          <w:sz w:val="21"/>
          <w:szCs w:val="21"/>
        </w:rPr>
        <w:t>/期货</w:t>
      </w:r>
      <w:r>
        <w:rPr>
          <w:rFonts w:ascii="宋体" w:eastAsia="宋体"/>
          <w:sz w:val="21"/>
          <w:szCs w:val="21"/>
        </w:rPr>
        <w:t>账目和交易记录核对</w:t>
      </w:r>
    </w:p>
    <w:p w14:paraId="52E99A71">
      <w:pPr>
        <w:pStyle w:val="220"/>
        <w:spacing w:before="100" w:beforeAutospacing="1" w:after="100" w:afterAutospacing="1"/>
        <w:ind w:firstLine="403"/>
        <w:rPr>
          <w:rFonts w:ascii="宋体" w:eastAsia="宋体"/>
          <w:sz w:val="21"/>
          <w:szCs w:val="21"/>
        </w:rPr>
      </w:pPr>
      <w:r>
        <w:rPr>
          <w:rFonts w:ascii="宋体" w:eastAsia="宋体"/>
          <w:sz w:val="21"/>
          <w:szCs w:val="21"/>
        </w:rPr>
        <w:t>基金管理人和基金托管人应对本基金的资金、证券</w:t>
      </w:r>
      <w:r>
        <w:rPr>
          <w:rFonts w:hint="eastAsia" w:ascii="宋体" w:eastAsia="宋体"/>
          <w:sz w:val="21"/>
          <w:szCs w:val="21"/>
        </w:rPr>
        <w:t>/期货</w:t>
      </w:r>
      <w:r>
        <w:rPr>
          <w:rFonts w:ascii="宋体" w:eastAsia="宋体"/>
          <w:sz w:val="21"/>
          <w:szCs w:val="21"/>
        </w:rPr>
        <w:t>账目及交易记录进行核对。</w:t>
      </w:r>
    </w:p>
    <w:p w14:paraId="1C2746C4">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（四）申购、赎回和基金转换的资金清算</w:t>
      </w:r>
    </w:p>
    <w:p w14:paraId="4DB7E899">
      <w:pPr>
        <w:pStyle w:val="216"/>
        <w:spacing w:before="100" w:beforeAutospacing="1" w:after="100" w:afterAutospacing="1" w:line="400" w:lineRule="exact"/>
        <w:ind w:left="0" w:right="26" w:firstLine="403"/>
        <w:rPr>
          <w:rFonts w:ascii="宋体" w:hAnsi="宋体" w:eastAsia="宋体"/>
          <w:color w:val="000000"/>
          <w:sz w:val="21"/>
          <w:szCs w:val="21"/>
        </w:rPr>
      </w:pPr>
      <w:r>
        <w:rPr>
          <w:rFonts w:ascii="宋体" w:hAnsi="宋体" w:eastAsia="宋体"/>
          <w:color w:val="000000"/>
          <w:sz w:val="21"/>
          <w:szCs w:val="21"/>
        </w:rPr>
        <w:t>1、T日，投资者进行基金申购、赎回和转换申请，基金管理人和基金托管人分别计算基金资产净值，并进行核对；基金管理人将双方确认的或基金管理人决定采用的各类基金份额净值以基金份额净值公告的形式传真至相关信息披露媒介。</w:t>
      </w:r>
    </w:p>
    <w:p w14:paraId="349A8F41">
      <w:pPr>
        <w:pStyle w:val="216"/>
        <w:spacing w:before="100" w:beforeAutospacing="1" w:after="100" w:afterAutospacing="1" w:line="400" w:lineRule="exact"/>
        <w:ind w:left="0" w:right="26" w:firstLine="403"/>
        <w:rPr>
          <w:rFonts w:ascii="宋体" w:hAnsi="宋体" w:eastAsia="宋体"/>
          <w:color w:val="000000"/>
          <w:sz w:val="21"/>
          <w:szCs w:val="21"/>
        </w:rPr>
      </w:pPr>
      <w:r>
        <w:rPr>
          <w:rFonts w:ascii="宋体" w:hAnsi="宋体" w:eastAsia="宋体"/>
          <w:color w:val="000000"/>
          <w:sz w:val="21"/>
          <w:szCs w:val="21"/>
        </w:rPr>
        <w:t>2、T+1日，登记机构根据T日各类基金份额净值计算申购份额、赎回金额及转换份额，更新基金份额持有人数据库；并将确认的申购、赎回及转换数据向基金托管人、基金管理人传送。基金管理人、基金托管人根据确认数据进行账务处理。</w:t>
      </w:r>
    </w:p>
    <w:p w14:paraId="60379AFD">
      <w:pPr>
        <w:pStyle w:val="216"/>
        <w:spacing w:before="100" w:beforeAutospacing="1" w:after="100" w:afterAutospacing="1" w:line="400" w:lineRule="exact"/>
        <w:ind w:left="0" w:right="26" w:firstLine="403"/>
        <w:rPr>
          <w:rFonts w:ascii="宋体" w:hAnsi="宋体" w:eastAsia="宋体"/>
          <w:color w:val="000000"/>
          <w:sz w:val="21"/>
          <w:szCs w:val="21"/>
        </w:rPr>
      </w:pPr>
      <w:r>
        <w:rPr>
          <w:rFonts w:ascii="宋体" w:hAnsi="宋体" w:eastAsia="宋体"/>
          <w:color w:val="000000"/>
          <w:sz w:val="21"/>
          <w:szCs w:val="21"/>
        </w:rPr>
        <w:t>3、基金托管账户与“基金清算账户”间的资金清算遵循“净额清算、净额交收”的原则，即按照托管账户当日应收资金（包括申购资金及基金转换转入款）与托管账户应付额（含赎回资金、赎回费、基金转换转出款及转换费）的差额来确定托管账户净应收额或净应付额，以此确定资金交收额。当存在托管账户净应收额时，基金管理人负责将托管账户净应收额在交收日16:00前从“基金清算账户”划到基金托管账户；当存在托管账户净应付额时，基金托管人按管理人的划款指令将托管账户净应付额在交收日16:00前划到“基金清算账户”。</w:t>
      </w:r>
    </w:p>
    <w:p w14:paraId="110D2D4F">
      <w:pPr>
        <w:pStyle w:val="220"/>
        <w:spacing w:before="100" w:beforeAutospacing="1" w:after="100" w:afterAutospacing="1"/>
        <w:ind w:firstLine="403"/>
        <w:rPr>
          <w:rFonts w:ascii="宋体" w:eastAsia="宋体"/>
          <w:sz w:val="21"/>
          <w:szCs w:val="21"/>
        </w:rPr>
      </w:pPr>
      <w:r>
        <w:rPr>
          <w:rFonts w:ascii="宋体" w:eastAsia="宋体"/>
          <w:sz w:val="21"/>
          <w:szCs w:val="21"/>
        </w:rPr>
        <w:t>4、基金管理人未能按上款约定将托管账户净应收额全额、及时汇至基金托管账户，由此产生的责任应由基金管理人承担（不可抗力或基金管理人无过错的情况除外）；基金托管人未能按上款约定将托管账户净应付额全额、及时汇至“基金清算账户”，由此产生的责任应由基金托管人承担(不可抗力或基金托管人无过错的情况除外)。</w:t>
      </w:r>
    </w:p>
    <w:p w14:paraId="27D30733">
      <w:pPr>
        <w:pStyle w:val="220"/>
        <w:spacing w:before="100" w:beforeAutospacing="1" w:after="100" w:afterAutospacing="1"/>
        <w:ind w:firstLine="403"/>
        <w:rPr>
          <w:rFonts w:ascii="宋体" w:eastAsia="宋体"/>
          <w:sz w:val="21"/>
          <w:szCs w:val="21"/>
        </w:rPr>
      </w:pPr>
      <w:r>
        <w:rPr>
          <w:rFonts w:ascii="宋体" w:eastAsia="宋体"/>
          <w:sz w:val="21"/>
          <w:szCs w:val="21"/>
        </w:rPr>
        <w:t>5、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14:paraId="08E88BFC">
      <w:pPr>
        <w:pStyle w:val="220"/>
        <w:spacing w:before="100" w:beforeAutospacing="1" w:after="100" w:afterAutospacing="1"/>
        <w:ind w:firstLine="403"/>
        <w:rPr>
          <w:rFonts w:ascii="宋体" w:eastAsia="宋体"/>
          <w:sz w:val="21"/>
          <w:szCs w:val="21"/>
        </w:rPr>
      </w:pPr>
      <w:r>
        <w:rPr>
          <w:rFonts w:ascii="宋体" w:eastAsia="宋体"/>
          <w:sz w:val="21"/>
          <w:szCs w:val="21"/>
        </w:rPr>
        <w:t>（五）港股通交易</w:t>
      </w:r>
    </w:p>
    <w:p w14:paraId="62F069AC">
      <w:pPr>
        <w:pStyle w:val="220"/>
        <w:spacing w:before="100" w:beforeAutospacing="1" w:after="100" w:afterAutospacing="1"/>
        <w:ind w:firstLine="403"/>
        <w:rPr>
          <w:rFonts w:ascii="宋体" w:eastAsia="宋体"/>
          <w:sz w:val="21"/>
          <w:szCs w:val="21"/>
        </w:rPr>
      </w:pPr>
      <w:r>
        <w:rPr>
          <w:rFonts w:ascii="宋体" w:eastAsia="宋体"/>
          <w:sz w:val="21"/>
          <w:szCs w:val="21"/>
        </w:rPr>
        <w:t>本基金的港股通交易应遵守相关法律法规及业务规则，股票投资比例合计应当符合法律法规和基金合同的约定，并充分揭示风险。</w:t>
      </w:r>
    </w:p>
    <w:p w14:paraId="5B79ED97">
      <w:pPr>
        <w:pStyle w:val="220"/>
        <w:spacing w:before="100" w:beforeAutospacing="1" w:after="100" w:afterAutospacing="1"/>
        <w:ind w:firstLine="403"/>
        <w:rPr>
          <w:rFonts w:ascii="宋体" w:eastAsia="宋体"/>
          <w:sz w:val="21"/>
          <w:szCs w:val="21"/>
        </w:rPr>
      </w:pPr>
      <w:r>
        <w:rPr>
          <w:rFonts w:ascii="宋体" w:eastAsia="宋体"/>
          <w:sz w:val="21"/>
          <w:szCs w:val="21"/>
        </w:rPr>
        <w:t>1、 基金管理人声明和承诺</w:t>
      </w:r>
    </w:p>
    <w:p w14:paraId="17757601">
      <w:pPr>
        <w:pStyle w:val="220"/>
        <w:spacing w:before="100" w:beforeAutospacing="1" w:after="100" w:afterAutospacing="1"/>
        <w:ind w:firstLine="403"/>
        <w:rPr>
          <w:rFonts w:ascii="宋体" w:eastAsia="宋体"/>
          <w:sz w:val="21"/>
          <w:szCs w:val="21"/>
        </w:rPr>
      </w:pPr>
      <w:r>
        <w:rPr>
          <w:rFonts w:ascii="宋体" w:eastAsia="宋体"/>
          <w:sz w:val="21"/>
          <w:szCs w:val="21"/>
        </w:rPr>
        <w:t>（1）基金管理人承诺其是依照中国内地法律设立且有效存续的法人机构，具备从事港股通业务的资质；</w:t>
      </w:r>
    </w:p>
    <w:p w14:paraId="48BE170E">
      <w:pPr>
        <w:pStyle w:val="220"/>
        <w:spacing w:before="100" w:beforeAutospacing="1" w:after="100" w:afterAutospacing="1"/>
        <w:ind w:firstLine="403"/>
        <w:rPr>
          <w:rFonts w:ascii="宋体" w:eastAsia="宋体"/>
          <w:sz w:val="21"/>
          <w:szCs w:val="21"/>
        </w:rPr>
      </w:pPr>
      <w:r>
        <w:rPr>
          <w:rFonts w:ascii="宋体" w:eastAsia="宋体"/>
          <w:sz w:val="21"/>
          <w:szCs w:val="21"/>
        </w:rPr>
        <w:t>（2）基金管理人承诺托管资产具有合法的港股通交易资格，不存在相关法律、行政法规、部门规章、规范性文件以及业务规则等规定的禁止、限制或不适于参与港股通交易的情形；</w:t>
      </w:r>
    </w:p>
    <w:p w14:paraId="37E93FDE">
      <w:pPr>
        <w:pStyle w:val="220"/>
        <w:spacing w:before="100" w:beforeAutospacing="1" w:after="100" w:afterAutospacing="1"/>
        <w:ind w:firstLine="403"/>
        <w:rPr>
          <w:rFonts w:ascii="宋体" w:eastAsia="宋体"/>
          <w:sz w:val="21"/>
          <w:szCs w:val="21"/>
        </w:rPr>
      </w:pPr>
      <w:r>
        <w:rPr>
          <w:rFonts w:ascii="宋体" w:eastAsia="宋体"/>
          <w:sz w:val="21"/>
          <w:szCs w:val="21"/>
        </w:rPr>
        <w:t xml:space="preserve">（3）基金管理人保证其提供的所有证件、资料均真实、准确、完整、合法、有效，且用于港股通交易的资金来源合法，并保证遵守国家反洗钱的相关规定； </w:t>
      </w:r>
    </w:p>
    <w:p w14:paraId="23B34831">
      <w:pPr>
        <w:pStyle w:val="220"/>
        <w:spacing w:before="100" w:beforeAutospacing="1" w:after="100" w:afterAutospacing="1"/>
        <w:ind w:firstLine="403"/>
        <w:rPr>
          <w:rFonts w:ascii="宋体" w:eastAsia="宋体"/>
          <w:sz w:val="21"/>
          <w:szCs w:val="21"/>
        </w:rPr>
      </w:pPr>
      <w:r>
        <w:rPr>
          <w:rFonts w:ascii="宋体" w:eastAsia="宋体"/>
          <w:sz w:val="21"/>
          <w:szCs w:val="21"/>
        </w:rPr>
        <w:t>（4）基金管理人承诺遵守港股通交易的中国内地与香港地区法律、行政法规、部门规章、规范性文件、业务规则等相关规定，并承诺按照基金托管人的相关业务流程办理业务；基金管理人应准确理解港股通交易的业务规则，包括不限于交收规则、投资额度、汇兑安排、交易日、风险管理要求、延迟交收等，由于基金管理人对港股通业务规则理解错误而导致的交收失败及其他损害基金份额持有人合法权益的行为，基金管理人自行承担全部赔偿责任，基金托管人不承担</w:t>
      </w:r>
      <w:r>
        <w:rPr>
          <w:rFonts w:hint="eastAsia" w:ascii="宋体" w:eastAsia="宋体"/>
          <w:sz w:val="21"/>
          <w:szCs w:val="21"/>
        </w:rPr>
        <w:t>相应</w:t>
      </w:r>
      <w:r>
        <w:rPr>
          <w:rFonts w:ascii="宋体" w:eastAsia="宋体"/>
          <w:sz w:val="21"/>
          <w:szCs w:val="21"/>
        </w:rPr>
        <w:t>责任；</w:t>
      </w:r>
    </w:p>
    <w:p w14:paraId="6E361F48">
      <w:pPr>
        <w:pStyle w:val="220"/>
        <w:spacing w:before="100" w:beforeAutospacing="1" w:after="100" w:afterAutospacing="1"/>
        <w:ind w:firstLine="403"/>
        <w:rPr>
          <w:rFonts w:ascii="宋体" w:eastAsia="宋体"/>
          <w:sz w:val="21"/>
          <w:szCs w:val="21"/>
        </w:rPr>
      </w:pPr>
      <w:r>
        <w:rPr>
          <w:rFonts w:ascii="宋体" w:eastAsia="宋体"/>
          <w:sz w:val="21"/>
          <w:szCs w:val="21"/>
        </w:rPr>
        <w:t>（5）基金管理人承诺，同意由中国证券登记结算有限责任公司（以下简称“中国结算”）以自己的名义持有通过港股通取得的证券；基金管理人已清楚认识并愿意承担从事港股通交易的相关风险，特别是其中有关基金托管人的免责条款。</w:t>
      </w:r>
    </w:p>
    <w:p w14:paraId="278BB58E">
      <w:pPr>
        <w:pStyle w:val="220"/>
        <w:spacing w:before="100" w:beforeAutospacing="1" w:after="100" w:afterAutospacing="1"/>
        <w:ind w:firstLine="403"/>
        <w:rPr>
          <w:rFonts w:ascii="宋体" w:eastAsia="宋体"/>
          <w:sz w:val="21"/>
          <w:szCs w:val="21"/>
        </w:rPr>
      </w:pPr>
      <w:r>
        <w:rPr>
          <w:rFonts w:ascii="宋体" w:eastAsia="宋体"/>
          <w:sz w:val="21"/>
          <w:szCs w:val="21"/>
        </w:rPr>
        <w:t>2、账户开立</w:t>
      </w:r>
    </w:p>
    <w:p w14:paraId="14ABFE23">
      <w:pPr>
        <w:pStyle w:val="220"/>
        <w:spacing w:before="100" w:beforeAutospacing="1" w:after="100" w:afterAutospacing="1"/>
        <w:ind w:firstLine="403"/>
        <w:rPr>
          <w:rFonts w:ascii="宋体" w:eastAsia="宋体"/>
          <w:sz w:val="21"/>
          <w:szCs w:val="21"/>
        </w:rPr>
      </w:pPr>
      <w:r>
        <w:rPr>
          <w:rFonts w:ascii="宋体" w:eastAsia="宋体"/>
          <w:sz w:val="21"/>
          <w:szCs w:val="21"/>
        </w:rPr>
        <w:t>基金管理人在参与港股通交易前，应先依照法律法规、相关业务规则委托基金托管人代为在中国结算开立人民币普通股票（A股）证券账户及资金账户用于证券交易、清算交收和计付利息等。基金管理人已经开立人民币普通股票（A股）证券账户及资金账户的，可使用上述现有账户进行港股通交易。</w:t>
      </w:r>
    </w:p>
    <w:p w14:paraId="74CD3AF5">
      <w:pPr>
        <w:pStyle w:val="220"/>
        <w:spacing w:before="100" w:beforeAutospacing="1" w:after="100" w:afterAutospacing="1"/>
        <w:ind w:firstLine="403"/>
        <w:rPr>
          <w:rFonts w:ascii="宋体" w:eastAsia="宋体"/>
          <w:sz w:val="21"/>
          <w:szCs w:val="21"/>
        </w:rPr>
      </w:pPr>
      <w:r>
        <w:rPr>
          <w:rFonts w:ascii="宋体" w:eastAsia="宋体"/>
          <w:sz w:val="21"/>
          <w:szCs w:val="21"/>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股东名册。基金管理人不能要求存入或提取纸面股票，中国证监会另有规定的除外。</w:t>
      </w:r>
    </w:p>
    <w:p w14:paraId="324827C3">
      <w:pPr>
        <w:pStyle w:val="220"/>
        <w:spacing w:before="100" w:beforeAutospacing="1" w:after="100" w:afterAutospacing="1"/>
        <w:ind w:firstLine="403"/>
        <w:rPr>
          <w:rFonts w:ascii="宋体" w:eastAsia="宋体"/>
          <w:sz w:val="21"/>
          <w:szCs w:val="21"/>
        </w:rPr>
      </w:pPr>
      <w:r>
        <w:rPr>
          <w:rFonts w:ascii="宋体" w:eastAsia="宋体"/>
          <w:sz w:val="21"/>
          <w:szCs w:val="21"/>
        </w:rPr>
        <w:t>3、港股通交易及清算交收安排</w:t>
      </w:r>
    </w:p>
    <w:p w14:paraId="6F8D03AB">
      <w:pPr>
        <w:pStyle w:val="220"/>
        <w:spacing w:before="100" w:beforeAutospacing="1" w:after="100" w:afterAutospacing="1"/>
        <w:ind w:firstLine="403"/>
        <w:rPr>
          <w:rFonts w:ascii="宋体" w:eastAsia="宋体"/>
          <w:sz w:val="21"/>
          <w:szCs w:val="21"/>
        </w:rPr>
      </w:pPr>
      <w:r>
        <w:rPr>
          <w:rFonts w:ascii="宋体" w:eastAsia="宋体"/>
          <w:sz w:val="21"/>
          <w:szCs w:val="21"/>
        </w:rPr>
        <w:t>中国结算按照香港结算的业务规则，与香港结算完成港股通交易的证券和资金的交收。港股通交易的境内结算由基金托管人与中国结算根据相关业务规则完成。</w:t>
      </w:r>
    </w:p>
    <w:p w14:paraId="42661354">
      <w:pPr>
        <w:pStyle w:val="220"/>
        <w:spacing w:before="100" w:beforeAutospacing="1" w:after="100" w:afterAutospacing="1"/>
        <w:ind w:firstLine="403"/>
        <w:rPr>
          <w:rFonts w:ascii="宋体" w:eastAsia="宋体"/>
          <w:sz w:val="21"/>
          <w:szCs w:val="21"/>
        </w:rPr>
      </w:pPr>
      <w:r>
        <w:rPr>
          <w:rFonts w:ascii="宋体" w:eastAsia="宋体"/>
          <w:sz w:val="21"/>
          <w:szCs w:val="21"/>
        </w:rPr>
        <w:t>香港结算因无法交付证券对中国结算实施现金结算的，中国结算参照香港结算的处理原则进行相应业务处理。因香港结算出现违约或发生破产等原因，而导致其未全部履行对中国结算的交收义务的，由中国结算协助境内结算参与人向香港结算追索，中国结算和基金托管人不承担由此产生的相关损失。</w:t>
      </w:r>
    </w:p>
    <w:p w14:paraId="425D86CE">
      <w:pPr>
        <w:pStyle w:val="220"/>
        <w:spacing w:before="100" w:beforeAutospacing="1" w:after="100" w:afterAutospacing="1"/>
        <w:ind w:firstLine="403"/>
        <w:rPr>
          <w:rFonts w:ascii="宋体" w:eastAsia="宋体"/>
          <w:sz w:val="21"/>
          <w:szCs w:val="21"/>
        </w:rPr>
      </w:pPr>
      <w:r>
        <w:rPr>
          <w:rFonts w:ascii="宋体" w:eastAsia="宋体"/>
          <w:sz w:val="21"/>
          <w:szCs w:val="21"/>
        </w:rPr>
        <w:t xml:space="preserve">港股通交易各项业务的收付款时点按如下约定： </w:t>
      </w:r>
    </w:p>
    <w:p w14:paraId="65C3FECF">
      <w:pPr>
        <w:pStyle w:val="220"/>
        <w:spacing w:before="100" w:beforeAutospacing="1" w:after="100" w:afterAutospacing="1"/>
        <w:ind w:firstLine="403"/>
        <w:rPr>
          <w:rFonts w:ascii="宋体" w:eastAsia="宋体"/>
          <w:sz w:val="21"/>
          <w:szCs w:val="21"/>
        </w:rPr>
      </w:pPr>
      <w:r>
        <w:rPr>
          <w:rFonts w:ascii="宋体" w:eastAsia="宋体"/>
          <w:sz w:val="21"/>
          <w:szCs w:val="21"/>
        </w:rPr>
        <w:t>基金管理人应保证资金账户有足够的资金用于证券交易资金清算，如资金头寸不足则基金托管人应按照中国结算的有关规定办理。</w:t>
      </w:r>
    </w:p>
    <w:p w14:paraId="3DEC9770">
      <w:pPr>
        <w:pStyle w:val="220"/>
        <w:spacing w:before="100" w:beforeAutospacing="1" w:after="100" w:afterAutospacing="1"/>
        <w:ind w:firstLine="403"/>
        <w:rPr>
          <w:rFonts w:ascii="宋体" w:eastAsia="宋体"/>
          <w:sz w:val="21"/>
          <w:szCs w:val="21"/>
        </w:rPr>
      </w:pPr>
      <w:r>
        <w:rPr>
          <w:rFonts w:ascii="宋体" w:eastAsia="宋体"/>
          <w:sz w:val="21"/>
          <w:szCs w:val="21"/>
        </w:rPr>
        <w:t>（1）交易类资金</w:t>
      </w:r>
    </w:p>
    <w:p w14:paraId="783C43AD">
      <w:pPr>
        <w:pStyle w:val="220"/>
        <w:spacing w:before="100" w:beforeAutospacing="1" w:after="100" w:afterAutospacing="1"/>
        <w:ind w:firstLine="403"/>
        <w:rPr>
          <w:rFonts w:ascii="宋体" w:eastAsia="宋体"/>
          <w:sz w:val="21"/>
          <w:szCs w:val="21"/>
        </w:rPr>
      </w:pPr>
      <w:r>
        <w:rPr>
          <w:rFonts w:ascii="宋体" w:eastAsia="宋体"/>
          <w:sz w:val="21"/>
          <w:szCs w:val="21"/>
        </w:rPr>
        <w:t>对于T日港股通交易清算结果为托管资产净应付的，基金管理人应保证在T+1日14:00前资金账户有足够的资金，基金托管人于T+1日14:00自主从资金账户扣收应付资金。对于T日港股通交易的清算结果为托管资产净应收的，基金托管人在收到中国结算支付的资金后于T+3日上午12:00前返还应收资金至资金账户。</w:t>
      </w:r>
    </w:p>
    <w:p w14:paraId="317B4015">
      <w:pPr>
        <w:pStyle w:val="220"/>
        <w:spacing w:before="100" w:beforeAutospacing="1" w:after="100" w:afterAutospacing="1"/>
        <w:ind w:firstLine="403"/>
        <w:rPr>
          <w:rFonts w:ascii="宋体" w:eastAsia="宋体"/>
          <w:sz w:val="21"/>
          <w:szCs w:val="21"/>
        </w:rPr>
      </w:pPr>
      <w:r>
        <w:rPr>
          <w:rFonts w:ascii="宋体" w:eastAsia="宋体"/>
          <w:sz w:val="21"/>
          <w:szCs w:val="21"/>
        </w:rPr>
        <w:t>（2）风控资金、现金红利、公司收购款、证券组合费</w:t>
      </w:r>
    </w:p>
    <w:p w14:paraId="54CA0217">
      <w:pPr>
        <w:pStyle w:val="220"/>
        <w:spacing w:before="100" w:beforeAutospacing="1" w:after="100" w:afterAutospacing="1"/>
        <w:ind w:firstLine="403"/>
        <w:rPr>
          <w:rFonts w:ascii="宋体" w:eastAsia="宋体"/>
          <w:sz w:val="21"/>
          <w:szCs w:val="21"/>
        </w:rPr>
      </w:pPr>
      <w:r>
        <w:rPr>
          <w:rFonts w:ascii="宋体" w:eastAsia="宋体"/>
          <w:sz w:val="21"/>
          <w:szCs w:val="21"/>
        </w:rPr>
        <w:t>对于T日上述资金为托管资产净应付的，基金管理人应保证在T+1日上午9:30前资金账户有足够的资金，基金托管人于T+1日上午9:30自主从资金账户扣收应付资金。对于T日上述资金为托管资产净应收的，基金托管人在收到中国结算支付的资金后，于T+1日17:00前返还应收资金至资金账户。</w:t>
      </w:r>
    </w:p>
    <w:p w14:paraId="483B1FA0">
      <w:pPr>
        <w:pStyle w:val="220"/>
        <w:spacing w:before="100" w:beforeAutospacing="1" w:after="100" w:afterAutospacing="1"/>
        <w:ind w:firstLine="403"/>
        <w:rPr>
          <w:rFonts w:ascii="宋体" w:eastAsia="宋体"/>
          <w:sz w:val="21"/>
          <w:szCs w:val="21"/>
        </w:rPr>
      </w:pPr>
      <w:r>
        <w:rPr>
          <w:rFonts w:ascii="宋体" w:eastAsia="宋体"/>
          <w:sz w:val="21"/>
          <w:szCs w:val="21"/>
        </w:rPr>
        <w:t>基金托管人负责差额缴款、按金等风控资金的计算，基金管理人应按照基金托管人的计算结果按上段约定的时间在资金账户存入风控资金。若基金管理人对基金托管人的计算结果有异议，可在缴款完成后与基金托管人沟通协商解决。</w:t>
      </w:r>
    </w:p>
    <w:p w14:paraId="6028B567">
      <w:pPr>
        <w:pStyle w:val="220"/>
        <w:spacing w:before="100" w:beforeAutospacing="1" w:after="100" w:afterAutospacing="1"/>
        <w:ind w:firstLine="403"/>
        <w:rPr>
          <w:rFonts w:ascii="宋体" w:eastAsia="宋体"/>
          <w:sz w:val="21"/>
          <w:szCs w:val="21"/>
        </w:rPr>
      </w:pPr>
      <w:r>
        <w:rPr>
          <w:rFonts w:ascii="宋体" w:eastAsia="宋体"/>
          <w:sz w:val="21"/>
          <w:szCs w:val="21"/>
        </w:rPr>
        <w:t>如因恶劣天气等原因导致香港结算延迟交收时，若托管资产为净应付的，则基金管理人和基金托管人仍按前述约定的时间进行扣收；若托管资产为净应收的，则交收时间视中国结算向基金托管人的支付情况确定。基金管理人应做好资金头寸管理，避免因延迟交收而导致的透支。</w:t>
      </w:r>
    </w:p>
    <w:p w14:paraId="1884C32B">
      <w:pPr>
        <w:pStyle w:val="220"/>
        <w:spacing w:before="100" w:beforeAutospacing="1" w:after="100" w:afterAutospacing="1"/>
        <w:ind w:firstLine="403"/>
        <w:rPr>
          <w:rFonts w:ascii="宋体" w:eastAsia="宋体"/>
          <w:sz w:val="21"/>
          <w:szCs w:val="21"/>
        </w:rPr>
      </w:pPr>
      <w:r>
        <w:rPr>
          <w:rFonts w:ascii="宋体" w:eastAsia="宋体"/>
          <w:sz w:val="21"/>
          <w:szCs w:val="21"/>
        </w:rPr>
        <w:t>对于由于基金托管人的资金交收时间等原因导致资金已从资金账户划出或尚未划入资金账户，资金滞留在基金托管人结算备付金账户的情况，基金托管人应将中国结算支付的相应利息支付给托管资产。</w:t>
      </w:r>
    </w:p>
    <w:p w14:paraId="69B00420">
      <w:pPr>
        <w:pStyle w:val="220"/>
        <w:spacing w:before="100" w:beforeAutospacing="1" w:after="100" w:afterAutospacing="1"/>
        <w:ind w:firstLine="403"/>
        <w:rPr>
          <w:rFonts w:ascii="宋体" w:eastAsia="宋体"/>
          <w:sz w:val="21"/>
          <w:szCs w:val="21"/>
        </w:rPr>
      </w:pPr>
      <w:r>
        <w:rPr>
          <w:rFonts w:ascii="宋体" w:eastAsia="宋体"/>
          <w:sz w:val="21"/>
          <w:szCs w:val="21"/>
        </w:rPr>
        <w:t>由于基金管理人或基金托管人原因导致托管资产资金透支、超买或超卖等情形的，由责任方承担相应的责任。基金管理人同意在发生以上情形时，基金托管人有权按照中国结算的有关规定办理。</w:t>
      </w:r>
    </w:p>
    <w:p w14:paraId="0E6862AF">
      <w:pPr>
        <w:pStyle w:val="220"/>
        <w:spacing w:before="100" w:beforeAutospacing="1" w:after="100" w:afterAutospacing="1"/>
        <w:ind w:firstLine="403"/>
        <w:rPr>
          <w:rFonts w:ascii="宋体" w:eastAsia="宋体"/>
          <w:sz w:val="21"/>
          <w:szCs w:val="21"/>
        </w:rPr>
      </w:pPr>
      <w:r>
        <w:rPr>
          <w:rFonts w:ascii="宋体" w:eastAsia="宋体"/>
          <w:sz w:val="21"/>
          <w:szCs w:val="21"/>
        </w:rPr>
        <w:t>由于基金管理人出现资金交收违约并造成基金托管人对中国结算违约的，基金托管人有权将相当于违约金额的基金管理人的应收证券指定为暂不交付证券并由中国结算按其业务规则进行处理，由此造成的风险、损失和责任，由基金管理人全部承担。</w:t>
      </w:r>
    </w:p>
    <w:p w14:paraId="018E8D8F">
      <w:pPr>
        <w:pStyle w:val="220"/>
        <w:spacing w:before="100" w:beforeAutospacing="1" w:after="100" w:afterAutospacing="1"/>
        <w:ind w:firstLine="403"/>
        <w:rPr>
          <w:rFonts w:ascii="宋体" w:eastAsia="宋体"/>
          <w:sz w:val="21"/>
          <w:szCs w:val="21"/>
        </w:rPr>
      </w:pPr>
      <w:r>
        <w:rPr>
          <w:rFonts w:ascii="宋体" w:eastAsia="宋体"/>
          <w:sz w:val="21"/>
          <w:szCs w:val="21"/>
        </w:rPr>
        <w:t xml:space="preserve">基金管理人应保证在港股通交易日（T日）前证券账户有足够的证券用于证券交易清算，如基金管理人出现证券交收违约的，基金托管人有权将相当于证券交收违约金额的资金暂不划付给基金管理人。 </w:t>
      </w:r>
    </w:p>
    <w:p w14:paraId="2E90F6FD">
      <w:pPr>
        <w:pStyle w:val="220"/>
        <w:spacing w:before="100" w:beforeAutospacing="1" w:after="100" w:afterAutospacing="1"/>
        <w:ind w:firstLine="403"/>
        <w:rPr>
          <w:rFonts w:ascii="宋体" w:eastAsia="宋体"/>
          <w:sz w:val="21"/>
          <w:szCs w:val="21"/>
        </w:rPr>
      </w:pPr>
      <w:r>
        <w:rPr>
          <w:rFonts w:ascii="宋体" w:eastAsia="宋体"/>
          <w:sz w:val="21"/>
          <w:szCs w:val="21"/>
        </w:rPr>
        <w:t>基金管理人知晓并认可，出于降低全市场资金成本的原因，中国结算可以依照香港结算相关业务规则，将每日净卖出证券向香港结算提交作为交收担保品。</w:t>
      </w:r>
    </w:p>
    <w:p w14:paraId="24455292">
      <w:pPr>
        <w:pStyle w:val="220"/>
        <w:spacing w:before="100" w:beforeAutospacing="1" w:after="100" w:afterAutospacing="1"/>
        <w:ind w:firstLine="403"/>
        <w:rPr>
          <w:rFonts w:ascii="宋体" w:eastAsia="宋体"/>
          <w:sz w:val="21"/>
          <w:szCs w:val="21"/>
        </w:rPr>
      </w:pPr>
      <w:r>
        <w:rPr>
          <w:rFonts w:ascii="宋体" w:eastAsia="宋体"/>
          <w:sz w:val="21"/>
          <w:szCs w:val="21"/>
        </w:rPr>
        <w:t>4、公司行动</w:t>
      </w:r>
    </w:p>
    <w:p w14:paraId="7DD1EF7C">
      <w:pPr>
        <w:pStyle w:val="220"/>
        <w:spacing w:before="100" w:beforeAutospacing="1" w:after="100" w:afterAutospacing="1"/>
        <w:ind w:firstLine="403"/>
        <w:rPr>
          <w:rFonts w:ascii="宋体" w:eastAsia="宋体"/>
          <w:sz w:val="21"/>
          <w:szCs w:val="21"/>
        </w:rPr>
      </w:pPr>
      <w:r>
        <w:rPr>
          <w:rFonts w:ascii="宋体" w:eastAsia="宋体"/>
          <w:sz w:val="21"/>
          <w:szCs w:val="21"/>
        </w:rPr>
        <w:t>（1）服务种类</w:t>
      </w:r>
    </w:p>
    <w:p w14:paraId="5C6561B0">
      <w:pPr>
        <w:pStyle w:val="220"/>
        <w:spacing w:before="100" w:beforeAutospacing="1" w:after="100" w:afterAutospacing="1"/>
        <w:ind w:firstLine="403"/>
        <w:rPr>
          <w:rFonts w:ascii="宋体" w:eastAsia="宋体"/>
          <w:sz w:val="21"/>
          <w:szCs w:val="21"/>
        </w:rPr>
      </w:pPr>
      <w:r>
        <w:rPr>
          <w:rFonts w:ascii="宋体" w:eastAsia="宋体"/>
          <w:sz w:val="21"/>
          <w:szCs w:val="21"/>
        </w:rPr>
        <w:t>基金托管人提供的与公司行动相关的服务种类以中国结算所能提供的服务种类为限，双方一致认可，如中国结算增加或减少相应服务种类，基金托管人的公司行动服务种类与之同步增减，不需要另行修改本协议。</w:t>
      </w:r>
    </w:p>
    <w:p w14:paraId="0419EE39">
      <w:pPr>
        <w:pStyle w:val="220"/>
        <w:spacing w:before="100" w:beforeAutospacing="1" w:after="100" w:afterAutospacing="1"/>
        <w:ind w:firstLine="403"/>
        <w:rPr>
          <w:rFonts w:ascii="宋体" w:eastAsia="宋体"/>
          <w:sz w:val="21"/>
          <w:szCs w:val="21"/>
        </w:rPr>
      </w:pPr>
      <w:r>
        <w:rPr>
          <w:rFonts w:ascii="宋体" w:eastAsia="宋体"/>
          <w:sz w:val="21"/>
          <w:szCs w:val="21"/>
        </w:rPr>
        <w:t>（2）服务范围</w:t>
      </w:r>
    </w:p>
    <w:p w14:paraId="12606E81">
      <w:pPr>
        <w:pStyle w:val="220"/>
        <w:spacing w:before="100" w:beforeAutospacing="1" w:after="100" w:afterAutospacing="1"/>
        <w:ind w:firstLine="403"/>
        <w:rPr>
          <w:rFonts w:ascii="宋体" w:eastAsia="宋体"/>
          <w:sz w:val="21"/>
          <w:szCs w:val="21"/>
        </w:rPr>
      </w:pPr>
      <w:r>
        <w:rPr>
          <w:rFonts w:ascii="宋体" w:eastAsia="宋体"/>
          <w:sz w:val="21"/>
          <w:szCs w:val="21"/>
        </w:rPr>
        <w:t>基金托管人提供的与公司行动相关的服务限于以下项目：</w:t>
      </w:r>
    </w:p>
    <w:p w14:paraId="1E03ADE5">
      <w:pPr>
        <w:pStyle w:val="220"/>
        <w:spacing w:before="100" w:beforeAutospacing="1" w:after="100" w:afterAutospacing="1"/>
        <w:ind w:firstLine="403"/>
        <w:rPr>
          <w:rFonts w:ascii="宋体" w:eastAsia="宋体"/>
          <w:sz w:val="21"/>
          <w:szCs w:val="21"/>
        </w:rPr>
      </w:pPr>
      <w:r>
        <w:rPr>
          <w:rFonts w:ascii="宋体" w:eastAsia="宋体"/>
          <w:sz w:val="21"/>
          <w:szCs w:val="21"/>
        </w:rPr>
        <w:t>A.根据中国结算上海分公司（以下简称“上海中登”）港股通结算明细（hk_jsmx）库以及上海中登制定的交收规则从上海中登接收或者向上海中登支付公司行动相关的资金，并根据接收和支付结果借记或贷记开立在基金托管人的资金账户。</w:t>
      </w:r>
    </w:p>
    <w:p w14:paraId="47ED09B2">
      <w:pPr>
        <w:pStyle w:val="220"/>
        <w:spacing w:before="100" w:beforeAutospacing="1" w:after="100" w:afterAutospacing="1"/>
        <w:ind w:firstLine="403"/>
        <w:rPr>
          <w:rFonts w:ascii="宋体" w:eastAsia="宋体"/>
          <w:sz w:val="21"/>
          <w:szCs w:val="21"/>
        </w:rPr>
      </w:pPr>
      <w:r>
        <w:rPr>
          <w:rFonts w:ascii="宋体" w:eastAsia="宋体"/>
          <w:sz w:val="21"/>
          <w:szCs w:val="21"/>
        </w:rPr>
        <w:t>B.根据中国结算深圳分公司（以下简称“深圳中登”）港股通结果（szhk_sjsjg）库以及深圳中登制定的交收规则从深圳中登接收或者向深圳中登支付公司行动相关的资金，并根据接收和支付结果借记或贷记开立在基金托管人的资金账户。</w:t>
      </w:r>
    </w:p>
    <w:p w14:paraId="6B966898">
      <w:pPr>
        <w:pStyle w:val="220"/>
        <w:spacing w:before="100" w:beforeAutospacing="1" w:after="100" w:afterAutospacing="1"/>
        <w:ind w:firstLine="403"/>
        <w:rPr>
          <w:rFonts w:ascii="宋体" w:eastAsia="宋体"/>
          <w:sz w:val="21"/>
          <w:szCs w:val="21"/>
        </w:rPr>
      </w:pPr>
      <w:r>
        <w:rPr>
          <w:rFonts w:ascii="宋体" w:eastAsia="宋体"/>
          <w:sz w:val="21"/>
          <w:szCs w:val="21"/>
        </w:rPr>
        <w:t>C.根据上海中登港股通证券变动（hk_zqbd）库记录开立在上海中登的证券账户的公司行动相关证券的变动情况。</w:t>
      </w:r>
    </w:p>
    <w:p w14:paraId="00DD3DD5">
      <w:pPr>
        <w:pStyle w:val="220"/>
        <w:spacing w:before="100" w:beforeAutospacing="1" w:after="100" w:afterAutospacing="1"/>
        <w:ind w:firstLine="403"/>
        <w:rPr>
          <w:rFonts w:ascii="宋体" w:eastAsia="宋体"/>
          <w:sz w:val="21"/>
          <w:szCs w:val="21"/>
        </w:rPr>
      </w:pPr>
      <w:r>
        <w:rPr>
          <w:rFonts w:ascii="宋体" w:eastAsia="宋体"/>
          <w:sz w:val="21"/>
          <w:szCs w:val="21"/>
        </w:rPr>
        <w:t>D.根据深圳中登港股通结果（szhk_sjsjg）库记录开立在深圳中登的证券账户的公司行动相关证券的变动情况。</w:t>
      </w:r>
    </w:p>
    <w:p w14:paraId="189BF31B">
      <w:pPr>
        <w:pStyle w:val="220"/>
        <w:spacing w:before="100" w:beforeAutospacing="1" w:after="100" w:afterAutospacing="1"/>
        <w:ind w:firstLine="403"/>
        <w:rPr>
          <w:rFonts w:ascii="宋体" w:eastAsia="宋体"/>
          <w:sz w:val="21"/>
          <w:szCs w:val="21"/>
        </w:rPr>
      </w:pPr>
      <w:r>
        <w:rPr>
          <w:rFonts w:ascii="宋体" w:eastAsia="宋体"/>
          <w:sz w:val="21"/>
          <w:szCs w:val="21"/>
        </w:rPr>
        <w:t>E.对于有选择项的现金红利、投票、公司收购等需要基金管理人在证券发行人提供的选项中进行选择向中登申报的公司行动，基金管理人应向基金托管人发送申报数据，基金托管人负责通过港股通公司行动申报实时接口完成申报。</w:t>
      </w:r>
    </w:p>
    <w:p w14:paraId="4C80A29B">
      <w:pPr>
        <w:pStyle w:val="220"/>
        <w:spacing w:before="100" w:beforeAutospacing="1" w:after="100" w:afterAutospacing="1"/>
        <w:ind w:firstLine="403"/>
        <w:rPr>
          <w:rFonts w:ascii="宋体" w:eastAsia="宋体"/>
          <w:sz w:val="21"/>
          <w:szCs w:val="21"/>
        </w:rPr>
      </w:pPr>
      <w:r>
        <w:rPr>
          <w:rFonts w:ascii="宋体" w:eastAsia="宋体"/>
          <w:sz w:val="21"/>
          <w:szCs w:val="21"/>
        </w:rPr>
        <w:t>基金托管人提供的公司行动服务不包括以下项目：</w:t>
      </w:r>
    </w:p>
    <w:p w14:paraId="6F47D524">
      <w:pPr>
        <w:pStyle w:val="220"/>
        <w:spacing w:before="100" w:beforeAutospacing="1" w:after="100" w:afterAutospacing="1"/>
        <w:ind w:firstLine="403"/>
        <w:rPr>
          <w:rFonts w:ascii="宋体" w:eastAsia="宋体"/>
          <w:sz w:val="21"/>
          <w:szCs w:val="21"/>
        </w:rPr>
      </w:pPr>
      <w:r>
        <w:rPr>
          <w:rFonts w:ascii="宋体" w:eastAsia="宋体"/>
          <w:sz w:val="21"/>
          <w:szCs w:val="21"/>
        </w:rPr>
        <w:t>A.向基金管理人提供公司行动公告和公司行动相关的细节信息。</w:t>
      </w:r>
    </w:p>
    <w:p w14:paraId="272B6078">
      <w:pPr>
        <w:pStyle w:val="220"/>
        <w:spacing w:before="100" w:beforeAutospacing="1" w:after="100" w:afterAutospacing="1"/>
        <w:ind w:firstLine="403"/>
        <w:rPr>
          <w:rFonts w:ascii="宋体" w:eastAsia="宋体"/>
          <w:sz w:val="21"/>
          <w:szCs w:val="21"/>
        </w:rPr>
      </w:pPr>
      <w:r>
        <w:rPr>
          <w:rFonts w:ascii="宋体" w:eastAsia="宋体"/>
          <w:sz w:val="21"/>
          <w:szCs w:val="21"/>
        </w:rPr>
        <w:t>B.对基金管理人发送的申报数据的内容进行审核。</w:t>
      </w:r>
    </w:p>
    <w:p w14:paraId="498046CE">
      <w:pPr>
        <w:pStyle w:val="220"/>
        <w:spacing w:before="100" w:beforeAutospacing="1" w:after="100" w:afterAutospacing="1"/>
        <w:ind w:firstLine="403"/>
        <w:rPr>
          <w:rFonts w:ascii="宋体" w:eastAsia="宋体"/>
          <w:sz w:val="21"/>
          <w:szCs w:val="21"/>
        </w:rPr>
      </w:pPr>
      <w:r>
        <w:rPr>
          <w:rFonts w:ascii="宋体" w:eastAsia="宋体"/>
          <w:sz w:val="21"/>
          <w:szCs w:val="21"/>
        </w:rPr>
        <w:t>C.税务处理。</w:t>
      </w:r>
    </w:p>
    <w:p w14:paraId="15D38FB3">
      <w:pPr>
        <w:pStyle w:val="220"/>
        <w:spacing w:before="100" w:beforeAutospacing="1" w:after="100" w:afterAutospacing="1"/>
        <w:ind w:firstLine="403"/>
        <w:rPr>
          <w:rFonts w:ascii="宋体" w:eastAsia="宋体"/>
          <w:sz w:val="21"/>
          <w:szCs w:val="21"/>
        </w:rPr>
      </w:pPr>
      <w:r>
        <w:rPr>
          <w:rFonts w:ascii="宋体" w:eastAsia="宋体"/>
          <w:sz w:val="21"/>
          <w:szCs w:val="21"/>
        </w:rPr>
        <w:t xml:space="preserve">5、汇率 </w:t>
      </w:r>
    </w:p>
    <w:p w14:paraId="209F328C">
      <w:pPr>
        <w:pStyle w:val="220"/>
        <w:spacing w:before="100" w:beforeAutospacing="1" w:after="100" w:afterAutospacing="1"/>
        <w:ind w:firstLine="403"/>
        <w:rPr>
          <w:rFonts w:ascii="宋体" w:eastAsia="宋体"/>
          <w:sz w:val="21"/>
          <w:szCs w:val="21"/>
        </w:rPr>
      </w:pPr>
      <w:r>
        <w:rPr>
          <w:rFonts w:ascii="宋体" w:eastAsia="宋体"/>
          <w:sz w:val="21"/>
          <w:szCs w:val="21"/>
        </w:rPr>
        <w:t>港股通投资持有外币证券资产估值涉及到港币、美元、英镑、欧元、日元等主要货币对人民币汇率的，应当以基金合同约定为准。如基金合同中未明确约定的，应以估值当日中国人民银行或其授权机构公布的人民币对外币汇率中间价</w:t>
      </w:r>
      <w:r>
        <w:rPr>
          <w:rFonts w:hint="eastAsia" w:ascii="宋体" w:eastAsia="宋体"/>
          <w:sz w:val="21"/>
          <w:szCs w:val="21"/>
        </w:rPr>
        <w:t>或其他可以反映公允价值的汇率</w:t>
      </w:r>
      <w:r>
        <w:rPr>
          <w:rFonts w:ascii="宋体" w:eastAsia="宋体"/>
          <w:sz w:val="21"/>
          <w:szCs w:val="21"/>
        </w:rPr>
        <w:t>为准。</w:t>
      </w:r>
    </w:p>
    <w:p w14:paraId="4DBFD3B0">
      <w:pPr>
        <w:pStyle w:val="220"/>
        <w:spacing w:before="100" w:beforeAutospacing="1" w:after="100" w:afterAutospacing="1"/>
        <w:ind w:firstLine="403"/>
        <w:rPr>
          <w:rFonts w:ascii="宋体" w:eastAsia="宋体"/>
          <w:sz w:val="21"/>
          <w:szCs w:val="21"/>
        </w:rPr>
      </w:pPr>
    </w:p>
    <w:p w14:paraId="6D89C091">
      <w:pPr>
        <w:pStyle w:val="198"/>
        <w:spacing w:before="100" w:beforeAutospacing="1" w:after="100" w:afterAutospacing="1" w:line="400" w:lineRule="exact"/>
        <w:ind w:firstLine="422"/>
        <w:rPr>
          <w:rFonts w:ascii="宋体" w:hAnsi="宋体"/>
          <w:sz w:val="21"/>
          <w:szCs w:val="21"/>
        </w:rPr>
      </w:pPr>
      <w:bookmarkStart w:id="10" w:name="_Toc116900103"/>
      <w:r>
        <w:rPr>
          <w:rFonts w:ascii="宋体" w:hAnsi="宋体"/>
          <w:sz w:val="21"/>
          <w:szCs w:val="21"/>
        </w:rPr>
        <w:t>八、基金资产净值计算和会计核算</w:t>
      </w:r>
      <w:bookmarkEnd w:id="10"/>
    </w:p>
    <w:p w14:paraId="44953EEA">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（一）基金资产净值的计算和复核</w:t>
      </w:r>
    </w:p>
    <w:p w14:paraId="089A917E">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基金资产净值是指基金资产总值减去基金负债后的价值</w:t>
      </w:r>
      <w:r>
        <w:rPr>
          <w:rFonts w:ascii="宋体" w:hAnsi="宋体" w:eastAsia="宋体"/>
          <w:sz w:val="21"/>
          <w:szCs w:val="21"/>
        </w:rPr>
        <w:t>。</w:t>
      </w:r>
      <w:r>
        <w:rPr>
          <w:rFonts w:hint="eastAsia" w:ascii="宋体" w:hAnsi="宋体" w:eastAsia="宋体"/>
          <w:sz w:val="21"/>
          <w:szCs w:val="21"/>
        </w:rPr>
        <w:t>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1E509214">
      <w:pPr>
        <w:pStyle w:val="197"/>
        <w:spacing w:before="100" w:beforeAutospacing="1" w:after="100" w:afterAutospacing="1" w:line="400" w:lineRule="exact"/>
        <w:ind w:firstLine="420"/>
        <w:rPr>
          <w:rFonts w:ascii="宋体" w:hAnsi="宋体"/>
          <w:szCs w:val="21"/>
        </w:rPr>
      </w:pPr>
      <w:r>
        <w:rPr>
          <w:rFonts w:ascii="宋体" w:hAnsi="宋体"/>
          <w:szCs w:val="21"/>
        </w:rPr>
        <w:t>2、基金管理人应</w:t>
      </w:r>
      <w:r>
        <w:rPr>
          <w:rFonts w:hint="eastAsia" w:ascii="宋体" w:hAnsi="宋体"/>
          <w:szCs w:val="21"/>
        </w:rPr>
        <w:t>在</w:t>
      </w:r>
      <w:r>
        <w:rPr>
          <w:rFonts w:ascii="宋体" w:hAnsi="宋体"/>
          <w:szCs w:val="21"/>
        </w:rPr>
        <w:t>每个工作日对基金</w:t>
      </w:r>
      <w:r>
        <w:rPr>
          <w:rFonts w:hint="eastAsia" w:ascii="宋体" w:hAnsi="宋体"/>
          <w:szCs w:val="21"/>
        </w:rPr>
        <w:t>资产</w:t>
      </w:r>
      <w:r>
        <w:rPr>
          <w:rFonts w:ascii="宋体" w:hAnsi="宋体"/>
          <w:szCs w:val="21"/>
        </w:rPr>
        <w:t>估值</w:t>
      </w:r>
      <w:r>
        <w:rPr>
          <w:rFonts w:ascii="宋体" w:hAnsi="宋体"/>
          <w:color w:val="000000"/>
          <w:szCs w:val="21"/>
        </w:rPr>
        <w:t>，但基金管理人根据法律法规或《基金合同》的规定暂停估值时除外</w:t>
      </w:r>
      <w:r>
        <w:rPr>
          <w:rFonts w:ascii="宋体" w:hAnsi="宋体"/>
          <w:szCs w:val="21"/>
        </w:rPr>
        <w:t>。估值原则应符合《基金合同》、《证券投资基金会计核算业务指引》及其他法律法规的规定。基金净值信息由基金管理人负责计算，基金托管人复核。基金管理人应于每个工作日交易结束后计算得出当日的基金资产净值和各类基金份额净值，并以双方约定的方式发送给基金托管人。基金托管人应对净值计算结果进行复核，并以双方约定的方式将复核结果传送给基金管理人，由基金管理人按规定对外公布。月末、年中和年末估值复核与基金会计账目的核对同时进行。</w:t>
      </w:r>
    </w:p>
    <w:p w14:paraId="7429656C">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3、当相关法律法规或《基金合同》规定的估值方法不能客观反映基金财产公允价值时，基金管理人可根据具体情况，并与基金托管人商定后，按最能反映公允价值的价格估值。本基金实施侧袋机制的，应根据《基金合同》的约定对主袋账户资产进行估值并披露主袋账户的基金净值信息，暂停披露侧袋账户份额净值。</w:t>
      </w:r>
    </w:p>
    <w:p w14:paraId="49B08950">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4、基金管理人、基金托管人发现基金估值违反《基金合同》订明的估值方法、程序以及相关法律法规的规定或者未能充分维护基金份额持有人利益时，双方应及时进行协商和纠正。</w:t>
      </w:r>
    </w:p>
    <w:p w14:paraId="7A553DE8">
      <w:pPr>
        <w:pStyle w:val="197"/>
        <w:spacing w:before="100" w:beforeAutospacing="1" w:after="100" w:afterAutospacing="1" w:line="400" w:lineRule="exact"/>
        <w:ind w:firstLine="420"/>
        <w:rPr>
          <w:rFonts w:ascii="宋体" w:hAnsi="宋体"/>
          <w:szCs w:val="21"/>
        </w:rPr>
      </w:pPr>
      <w:r>
        <w:rPr>
          <w:rFonts w:ascii="宋体" w:hAnsi="宋体"/>
          <w:szCs w:val="21"/>
        </w:rPr>
        <w:t>5、</w:t>
      </w:r>
      <w:r>
        <w:rPr>
          <w:rFonts w:hint="eastAsia" w:ascii="宋体" w:hAnsi="宋体"/>
          <w:szCs w:val="21"/>
        </w:rPr>
        <w:t>当任一类基金份额净值小数点后4位以内（含第4位）发生估值错误时，视为该类基金份额净值错误。</w:t>
      </w:r>
      <w:r>
        <w:rPr>
          <w:rFonts w:ascii="宋体" w:hAnsi="宋体"/>
          <w:szCs w:val="21"/>
        </w:rPr>
        <w:t>当基金份额净值</w:t>
      </w:r>
      <w:r>
        <w:rPr>
          <w:rFonts w:hint="eastAsia" w:ascii="宋体" w:hAnsi="宋体"/>
          <w:szCs w:val="21"/>
        </w:rPr>
        <w:t>计算</w:t>
      </w:r>
      <w:r>
        <w:rPr>
          <w:rFonts w:ascii="宋体" w:hAnsi="宋体"/>
          <w:szCs w:val="21"/>
        </w:rPr>
        <w:t>出现错误时，基金管理人应当立即予以纠正，通报基金托管人，并采取合理的措施防止损失进一步扩大；当错误</w:t>
      </w:r>
      <w:r>
        <w:rPr>
          <w:rFonts w:hint="eastAsia" w:ascii="宋体" w:hAnsi="宋体"/>
          <w:szCs w:val="21"/>
        </w:rPr>
        <w:t>偏差</w:t>
      </w:r>
      <w:r>
        <w:rPr>
          <w:rFonts w:ascii="宋体" w:hAnsi="宋体"/>
          <w:szCs w:val="21"/>
        </w:rPr>
        <w:t>达到</w:t>
      </w:r>
      <w:r>
        <w:rPr>
          <w:rFonts w:hint="eastAsia" w:ascii="宋体" w:hAnsi="宋体"/>
          <w:szCs w:val="21"/>
        </w:rPr>
        <w:t>该类</w:t>
      </w:r>
      <w:r>
        <w:rPr>
          <w:rFonts w:ascii="宋体" w:hAnsi="宋体"/>
          <w:szCs w:val="21"/>
        </w:rPr>
        <w:t>基金份额净值的0.25%时，基金管理人应当通</w:t>
      </w:r>
      <w:r>
        <w:rPr>
          <w:rFonts w:hint="eastAsia" w:ascii="宋体" w:hAnsi="宋体"/>
          <w:szCs w:val="21"/>
        </w:rPr>
        <w:t>报</w:t>
      </w:r>
      <w:r>
        <w:rPr>
          <w:rFonts w:ascii="宋体" w:hAnsi="宋体"/>
          <w:szCs w:val="21"/>
        </w:rPr>
        <w:t>基金托管人并报中国证监会备案；当错误</w:t>
      </w:r>
      <w:r>
        <w:rPr>
          <w:rFonts w:hint="eastAsia" w:ascii="宋体" w:hAnsi="宋体"/>
          <w:szCs w:val="21"/>
        </w:rPr>
        <w:t>偏差</w:t>
      </w:r>
      <w:r>
        <w:rPr>
          <w:rFonts w:ascii="宋体" w:hAnsi="宋体"/>
          <w:szCs w:val="21"/>
        </w:rPr>
        <w:t>达到</w:t>
      </w:r>
      <w:r>
        <w:rPr>
          <w:rFonts w:hint="eastAsia" w:ascii="宋体" w:hAnsi="宋体"/>
          <w:szCs w:val="21"/>
        </w:rPr>
        <w:t>该类</w:t>
      </w:r>
      <w:r>
        <w:rPr>
          <w:rFonts w:ascii="宋体" w:hAnsi="宋体"/>
          <w:szCs w:val="21"/>
        </w:rPr>
        <w:t>基金份额净值的0.5%时，基金管理人应当通知基金托管人，在报中国证监会备案的同时及时进行公告。如法律法规或监管机关对前述内容另有规定的，按其规定处理。</w:t>
      </w:r>
    </w:p>
    <w:p w14:paraId="5350C5E7">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6、由于基金管理人对外公布的任何基金净值数据错误，导致基金财产或基金份额持有人的实际损失，基金管理人应对此承担相应的责任。若基金托管人计算的净值数据正确，则基金托管人对该损失不承担责任；若基金托管人计算的净值数据也不正确，则基金托管人也应承担未正确履行复核义务相应的责任</w:t>
      </w:r>
      <w:r>
        <w:rPr>
          <w:rFonts w:hint="eastAsia" w:ascii="宋体" w:hAnsi="宋体" w:eastAsia="宋体"/>
          <w:sz w:val="21"/>
          <w:szCs w:val="21"/>
        </w:rPr>
        <w:t>，基金托管人不承担基金管理人未接受基金托管人的复核意见进行信息披露产生的责任</w:t>
      </w:r>
      <w:r>
        <w:rPr>
          <w:rFonts w:ascii="宋体" w:hAnsi="宋体" w:eastAsia="宋体"/>
          <w:sz w:val="21"/>
          <w:szCs w:val="21"/>
        </w:rPr>
        <w:t>。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6927898B">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7、由于不可抗力，或证券交易所、期货交易所、登记结算机构等第三方机构发送的数据错误</w:t>
      </w:r>
      <w:r>
        <w:rPr>
          <w:rFonts w:hint="eastAsia" w:ascii="宋体" w:hAnsi="宋体" w:eastAsia="宋体"/>
          <w:sz w:val="21"/>
          <w:szCs w:val="21"/>
        </w:rPr>
        <w:t>、遗漏，或国家会计政策变更、市场规则变更</w:t>
      </w:r>
      <w:r>
        <w:rPr>
          <w:rFonts w:ascii="宋体" w:hAnsi="宋体" w:eastAsia="宋体"/>
          <w:sz w:val="21"/>
          <w:szCs w:val="21"/>
        </w:rPr>
        <w:t>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0C2D53B0">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8、如果基金托管人的复核结果与基金管理人的计算结果存在差异，且双方经协商未能达成一致，基金管理人可以按照其对基金净值</w:t>
      </w:r>
      <w:r>
        <w:rPr>
          <w:rFonts w:hint="eastAsia" w:ascii="宋体" w:hAnsi="宋体" w:eastAsia="宋体"/>
          <w:sz w:val="21"/>
          <w:szCs w:val="21"/>
        </w:rPr>
        <w:t>信息</w:t>
      </w:r>
      <w:r>
        <w:rPr>
          <w:rFonts w:ascii="宋体" w:hAnsi="宋体" w:eastAsia="宋体"/>
          <w:sz w:val="21"/>
          <w:szCs w:val="21"/>
        </w:rPr>
        <w:t>的计算结果对外予以公布，基金托管人可以将相关情况报中国证监会备案。</w:t>
      </w:r>
    </w:p>
    <w:p w14:paraId="7C5FF975">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（二）基金会计核算</w:t>
      </w:r>
    </w:p>
    <w:p w14:paraId="0D7614D8">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1、基金账册的建立</w:t>
      </w:r>
    </w:p>
    <w:p w14:paraId="37F57412">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26C81C73">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2、会计数据和财务指标的核对</w:t>
      </w:r>
    </w:p>
    <w:p w14:paraId="302890CC">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基金管理人和基金托管人应定期就会计数据和财务指标进行核对。如发现存在不符，双方应及时查明原因并纠正。</w:t>
      </w:r>
    </w:p>
    <w:p w14:paraId="33643804">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3、基金财务报表和定期报告的编制和复核</w:t>
      </w:r>
    </w:p>
    <w:p w14:paraId="08CB41FD">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基金财务报表由基金管理人和基金托管人每月分别独立编制。月度报表的编制，应于每月终了后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w:t>
      </w:r>
      <w:r>
        <w:rPr>
          <w:rFonts w:ascii="宋体" w:hAnsi="宋体" w:eastAsia="宋体"/>
          <w:color w:val="000000"/>
          <w:sz w:val="21"/>
          <w:szCs w:val="21"/>
        </w:rPr>
        <w:t>基金合同生效不足两个月的，基金管理人可以不编制当期季度报告、中期报告或者年度报告。</w:t>
      </w:r>
    </w:p>
    <w:p w14:paraId="6E57818E">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基金托管人在复核过程中，发现双方的报表或报告存在不符时，基金管理人和基金托管人应共同查明原因，进行调整，调整以双方认可的账务处理方式为准；若双方无法达成一致以基金管理人的账务处理为准。核对无误后，基金托管人在基金管理人提供的</w:t>
      </w:r>
      <w:r>
        <w:rPr>
          <w:rFonts w:hint="eastAsia" w:ascii="宋体" w:hAnsi="宋体" w:eastAsia="宋体"/>
          <w:sz w:val="21"/>
          <w:szCs w:val="21"/>
        </w:rPr>
        <w:t>报表或</w:t>
      </w:r>
      <w:r>
        <w:rPr>
          <w:rFonts w:ascii="宋体" w:hAnsi="宋体" w:eastAsia="宋体"/>
          <w:sz w:val="21"/>
          <w:szCs w:val="21"/>
        </w:rPr>
        <w:t>报告上加盖托管业务部门公章或者出具加盖托管业务部门公章的复核意见书或进行电子确认，双方各自留存一份。如果基金管理人与基金托管人不能于应当发布公告之日之前就相关报表或报告达成一致，基金管理人有权按照其编制的报表或报告对外发布公告，基金托管人有权就相关情况报中国证监会备案。</w:t>
      </w:r>
    </w:p>
    <w:p w14:paraId="30C3DFDB">
      <w:pPr>
        <w:pStyle w:val="216"/>
        <w:spacing w:before="100" w:beforeAutospacing="1" w:after="100" w:afterAutospacing="1" w:line="400" w:lineRule="exact"/>
        <w:ind w:left="0" w:right="26" w:firstLine="403"/>
        <w:rPr>
          <w:rFonts w:ascii="宋体" w:hAnsi="宋体" w:eastAsia="宋体"/>
          <w:sz w:val="21"/>
          <w:szCs w:val="21"/>
        </w:rPr>
      </w:pPr>
    </w:p>
    <w:p w14:paraId="17E6123B">
      <w:pPr>
        <w:pStyle w:val="198"/>
        <w:spacing w:before="100" w:beforeAutospacing="1" w:after="100" w:afterAutospacing="1" w:line="400" w:lineRule="exact"/>
        <w:ind w:firstLine="422"/>
        <w:rPr>
          <w:rFonts w:ascii="宋体" w:hAnsi="宋体"/>
          <w:sz w:val="21"/>
          <w:szCs w:val="21"/>
        </w:rPr>
      </w:pPr>
      <w:bookmarkStart w:id="11" w:name="_Toc116900104"/>
      <w:r>
        <w:rPr>
          <w:rFonts w:ascii="宋体" w:hAnsi="宋体"/>
          <w:sz w:val="21"/>
          <w:szCs w:val="21"/>
        </w:rPr>
        <w:t>九、基金收益分配</w:t>
      </w:r>
      <w:bookmarkEnd w:id="11"/>
    </w:p>
    <w:p w14:paraId="20295728">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（一）基金收益分配的依据</w:t>
      </w:r>
    </w:p>
    <w:p w14:paraId="2697CCD4">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1、基金收益分配是指将该基金可供分配利润根据持有该基金份额的数量按比例向该基金份额持有人进行分配。</w:t>
      </w:r>
      <w:r>
        <w:rPr>
          <w:rFonts w:ascii="宋体" w:hAnsi="宋体" w:eastAsia="宋体"/>
          <w:bCs/>
          <w:sz w:val="21"/>
          <w:szCs w:val="21"/>
        </w:rPr>
        <w:t>基金可供分配利润指截至收益分配基准日基金未分配利润与未分配利润中已实现收益的孰低数。</w:t>
      </w:r>
    </w:p>
    <w:p w14:paraId="5E54690B">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2、收益分配应该符合《基金合同》关于收益分配原则的规定。</w:t>
      </w:r>
    </w:p>
    <w:p w14:paraId="706C264C">
      <w:pPr>
        <w:pStyle w:val="216"/>
        <w:spacing w:before="100" w:beforeAutospacing="1" w:after="100" w:afterAutospacing="1" w:line="400" w:lineRule="exact"/>
        <w:ind w:left="0" w:right="26" w:firstLine="403"/>
        <w:rPr>
          <w:rFonts w:ascii="宋体" w:hAnsi="宋体" w:eastAsia="宋体"/>
          <w:sz w:val="21"/>
          <w:szCs w:val="21"/>
        </w:rPr>
      </w:pPr>
      <w:bookmarkStart w:id="12" w:name="_Hlk53668564"/>
      <w:r>
        <w:rPr>
          <w:rFonts w:ascii="宋体" w:hAnsi="宋体" w:eastAsia="宋体"/>
          <w:sz w:val="21"/>
          <w:szCs w:val="21"/>
        </w:rPr>
        <w:t>（二）基金收益分配的时间和程序</w:t>
      </w:r>
    </w:p>
    <w:p w14:paraId="144728C0">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1、基金收益分配方案由基金管理人根据《基金合同》的相关规定制定。</w:t>
      </w:r>
    </w:p>
    <w:p w14:paraId="2297D340">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2、基金管理人应于收益分配日之前将其制定的收益分配方案提交基金托管人复核，基金托管人应于收到收益分配方案后完成对收益分配方案的复核，复核通过后基金管理人应当将收益分配方案</w:t>
      </w:r>
      <w:r>
        <w:rPr>
          <w:rFonts w:ascii="宋体" w:hAnsi="宋体" w:eastAsia="宋体"/>
          <w:bCs/>
          <w:sz w:val="21"/>
          <w:szCs w:val="21"/>
        </w:rPr>
        <w:t>在规定媒介</w:t>
      </w:r>
      <w:r>
        <w:rPr>
          <w:rFonts w:ascii="宋体" w:hAnsi="宋体" w:eastAsia="宋体"/>
          <w:sz w:val="21"/>
          <w:szCs w:val="21"/>
        </w:rPr>
        <w:t>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47E526B8">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本基金收益分配仅有现金分红一种方式</w:t>
      </w:r>
      <w:r>
        <w:rPr>
          <w:rFonts w:ascii="宋体" w:hAnsi="宋体" w:eastAsia="宋体"/>
          <w:sz w:val="21"/>
          <w:szCs w:val="21"/>
        </w:rPr>
        <w:t>。</w:t>
      </w:r>
    </w:p>
    <w:p w14:paraId="42921CCD">
      <w:pPr>
        <w:pStyle w:val="216"/>
        <w:spacing w:before="100" w:beforeAutospacing="1" w:after="100" w:afterAutospacing="1" w:line="400" w:lineRule="exact"/>
        <w:ind w:left="0" w:right="26" w:firstLine="403"/>
        <w:rPr>
          <w:rFonts w:ascii="宋体" w:hAnsi="宋体" w:eastAsia="宋体"/>
          <w:sz w:val="21"/>
          <w:szCs w:val="21"/>
        </w:rPr>
      </w:pPr>
      <w:r>
        <w:rPr>
          <w:rFonts w:ascii="宋体" w:hAnsi="宋体" w:eastAsia="宋体"/>
          <w:sz w:val="21"/>
          <w:szCs w:val="21"/>
        </w:rPr>
        <w:t>4、本基金实施侧袋机制的，侧袋账户不进行收益分配。</w:t>
      </w:r>
      <w:bookmarkEnd w:id="12"/>
    </w:p>
    <w:p w14:paraId="47CF2273">
      <w:pPr>
        <w:pStyle w:val="216"/>
        <w:spacing w:before="100" w:beforeAutospacing="1" w:after="100" w:afterAutospacing="1" w:line="400" w:lineRule="exact"/>
        <w:ind w:left="0" w:right="26" w:firstLine="403"/>
        <w:rPr>
          <w:rFonts w:ascii="宋体" w:hAnsi="宋体" w:eastAsia="宋体"/>
          <w:sz w:val="21"/>
          <w:szCs w:val="21"/>
        </w:rPr>
      </w:pPr>
    </w:p>
    <w:p w14:paraId="6BB4F5EB">
      <w:pPr>
        <w:pStyle w:val="198"/>
        <w:spacing w:before="100" w:beforeAutospacing="1" w:after="100" w:afterAutospacing="1" w:line="400" w:lineRule="exact"/>
        <w:ind w:firstLine="422"/>
        <w:rPr>
          <w:rFonts w:ascii="宋体" w:hAnsi="宋体"/>
          <w:sz w:val="21"/>
          <w:szCs w:val="21"/>
        </w:rPr>
      </w:pPr>
      <w:bookmarkStart w:id="13" w:name="_Hlt82414846"/>
      <w:bookmarkEnd w:id="13"/>
      <w:bookmarkStart w:id="14" w:name="_Toc116900105"/>
      <w:r>
        <w:rPr>
          <w:rFonts w:ascii="宋体" w:hAnsi="宋体"/>
          <w:sz w:val="21"/>
          <w:szCs w:val="21"/>
        </w:rPr>
        <w:t>十、基金信息披露</w:t>
      </w:r>
      <w:bookmarkEnd w:id="14"/>
    </w:p>
    <w:p w14:paraId="5353776D">
      <w:pPr>
        <w:pStyle w:val="220"/>
        <w:spacing w:before="100" w:beforeAutospacing="1" w:after="100" w:afterAutospacing="1"/>
        <w:ind w:firstLine="403"/>
        <w:rPr>
          <w:rFonts w:ascii="宋体" w:eastAsia="宋体"/>
          <w:sz w:val="21"/>
          <w:szCs w:val="21"/>
        </w:rPr>
      </w:pPr>
      <w:r>
        <w:rPr>
          <w:rFonts w:ascii="宋体" w:eastAsia="宋体"/>
          <w:sz w:val="21"/>
          <w:szCs w:val="21"/>
        </w:rPr>
        <w:t>（一）保密义务</w:t>
      </w:r>
    </w:p>
    <w:p w14:paraId="7748D6FC">
      <w:pPr>
        <w:pStyle w:val="220"/>
        <w:spacing w:before="100" w:beforeAutospacing="1" w:after="100" w:afterAutospacing="1"/>
        <w:ind w:firstLine="403"/>
        <w:rPr>
          <w:rFonts w:ascii="宋体" w:eastAsia="宋体"/>
          <w:sz w:val="21"/>
          <w:szCs w:val="21"/>
        </w:rPr>
      </w:pPr>
      <w:r>
        <w:rPr>
          <w:rFonts w:ascii="宋体" w:eastAsia="宋体"/>
          <w:sz w:val="21"/>
          <w:szCs w:val="21"/>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31BF08A">
      <w:pPr>
        <w:pStyle w:val="220"/>
        <w:spacing w:before="100" w:beforeAutospacing="1" w:after="100" w:afterAutospacing="1"/>
        <w:ind w:firstLine="403"/>
        <w:rPr>
          <w:rFonts w:ascii="宋体" w:eastAsia="宋体"/>
          <w:sz w:val="21"/>
          <w:szCs w:val="21"/>
        </w:rPr>
      </w:pPr>
      <w:r>
        <w:rPr>
          <w:rFonts w:ascii="宋体" w:eastAsia="宋体"/>
          <w:sz w:val="21"/>
          <w:szCs w:val="21"/>
        </w:rPr>
        <w:t>1、非因基金管理人和基金托管人的原因导致保密信息被披露、泄露或公开；</w:t>
      </w:r>
    </w:p>
    <w:p w14:paraId="6FA38AE5">
      <w:pPr>
        <w:pStyle w:val="220"/>
        <w:spacing w:before="100" w:beforeAutospacing="1" w:after="100" w:afterAutospacing="1"/>
        <w:ind w:firstLine="403"/>
        <w:rPr>
          <w:rFonts w:ascii="宋体" w:eastAsia="宋体"/>
          <w:sz w:val="21"/>
          <w:szCs w:val="21"/>
        </w:rPr>
      </w:pPr>
      <w:r>
        <w:rPr>
          <w:rFonts w:ascii="宋体" w:eastAsia="宋体"/>
          <w:sz w:val="21"/>
          <w:szCs w:val="21"/>
        </w:rPr>
        <w:t>2、基金管理人和基金托管人为遵守和服从法院判决或裁定、仲裁裁决或中国证监会等监管机构的命令、决定所做出的信息披露或公开；</w:t>
      </w:r>
    </w:p>
    <w:p w14:paraId="42E6F5BC">
      <w:pPr>
        <w:pStyle w:val="220"/>
        <w:spacing w:before="100" w:beforeAutospacing="1" w:after="100" w:afterAutospacing="1"/>
        <w:ind w:firstLine="403"/>
        <w:rPr>
          <w:rFonts w:ascii="宋体" w:eastAsia="宋体"/>
          <w:sz w:val="21"/>
          <w:szCs w:val="21"/>
        </w:rPr>
      </w:pPr>
      <w:r>
        <w:rPr>
          <w:rFonts w:ascii="宋体" w:eastAsia="宋体"/>
          <w:sz w:val="21"/>
          <w:szCs w:val="21"/>
        </w:rPr>
        <w:t>3、因审计、法律等专业服务向外部专业顾问提供信息，并要求专业顾问遵守保密义务。</w:t>
      </w:r>
    </w:p>
    <w:p w14:paraId="14F4F3B9">
      <w:pPr>
        <w:pStyle w:val="220"/>
        <w:spacing w:before="100" w:beforeAutospacing="1" w:after="100" w:afterAutospacing="1"/>
        <w:ind w:firstLine="403"/>
        <w:rPr>
          <w:rFonts w:ascii="宋体" w:eastAsia="宋体"/>
          <w:sz w:val="21"/>
          <w:szCs w:val="21"/>
        </w:rPr>
      </w:pPr>
      <w:r>
        <w:rPr>
          <w:rFonts w:ascii="宋体" w:eastAsia="宋体"/>
          <w:sz w:val="21"/>
          <w:szCs w:val="21"/>
        </w:rPr>
        <w:t>（二）基金管理人和基金托管人在信息披露中的职责和信息披露程序</w:t>
      </w:r>
    </w:p>
    <w:p w14:paraId="7667AC7C">
      <w:pPr>
        <w:pStyle w:val="220"/>
        <w:spacing w:before="100" w:beforeAutospacing="1" w:after="100" w:afterAutospacing="1"/>
        <w:ind w:firstLine="403"/>
        <w:rPr>
          <w:rFonts w:ascii="宋体" w:eastAsia="宋体"/>
          <w:sz w:val="21"/>
          <w:szCs w:val="21"/>
        </w:rPr>
      </w:pPr>
      <w:r>
        <w:rPr>
          <w:rFonts w:ascii="宋体" w:eastAsia="宋体"/>
          <w:sz w:val="21"/>
          <w:szCs w:val="21"/>
        </w:rPr>
        <w:t>1、基金管理人和基金托管人应根据相关法律法规、《基金合同》的规定各自承担相应的信息披露职责。</w:t>
      </w:r>
    </w:p>
    <w:p w14:paraId="19EC00E4">
      <w:pPr>
        <w:pStyle w:val="220"/>
        <w:spacing w:before="100" w:beforeAutospacing="1" w:after="100" w:afterAutospacing="1"/>
        <w:ind w:firstLine="403"/>
        <w:rPr>
          <w:rFonts w:ascii="宋体" w:eastAsia="宋体"/>
          <w:sz w:val="21"/>
          <w:szCs w:val="21"/>
        </w:rPr>
      </w:pPr>
      <w:r>
        <w:rPr>
          <w:rFonts w:ascii="宋体" w:eastAsia="宋体"/>
          <w:sz w:val="21"/>
          <w:szCs w:val="21"/>
        </w:rPr>
        <w:t>2、本基金信息披露的所有文件，包括《基金合同》和本协议规定的定期报告、临时报告、基金净值信息及其他必要的公告文件，由基金管理人和基金托管人按照有关法律法规的规定予以公布。</w:t>
      </w:r>
    </w:p>
    <w:p w14:paraId="1E3BF31C">
      <w:pPr>
        <w:pStyle w:val="220"/>
        <w:spacing w:before="100" w:beforeAutospacing="1" w:after="100" w:afterAutospacing="1"/>
        <w:ind w:firstLine="403"/>
        <w:rPr>
          <w:rFonts w:ascii="宋体" w:eastAsia="宋体"/>
          <w:sz w:val="21"/>
          <w:szCs w:val="21"/>
        </w:rPr>
      </w:pPr>
      <w:r>
        <w:rPr>
          <w:rFonts w:ascii="宋体" w:eastAsia="宋体"/>
          <w:sz w:val="21"/>
          <w:szCs w:val="21"/>
        </w:rPr>
        <w:t>3、基金年度报告中的财务会计报告必须经</w:t>
      </w:r>
      <w:r>
        <w:rPr>
          <w:rFonts w:ascii="宋体" w:eastAsia="宋体"/>
          <w:bCs/>
          <w:sz w:val="21"/>
          <w:szCs w:val="21"/>
        </w:rPr>
        <w:t>符合《中华人民共和国证券法》规定</w:t>
      </w:r>
      <w:r>
        <w:rPr>
          <w:rFonts w:ascii="宋体" w:eastAsia="宋体"/>
          <w:sz w:val="21"/>
          <w:szCs w:val="21"/>
        </w:rPr>
        <w:t>的会计师事务所审计。</w:t>
      </w:r>
    </w:p>
    <w:p w14:paraId="175CF216">
      <w:pPr>
        <w:pStyle w:val="220"/>
        <w:spacing w:before="100" w:beforeAutospacing="1" w:after="100" w:afterAutospacing="1"/>
        <w:ind w:firstLine="403"/>
        <w:rPr>
          <w:rFonts w:ascii="宋体" w:eastAsia="宋体"/>
          <w:sz w:val="21"/>
          <w:szCs w:val="21"/>
        </w:rPr>
      </w:pPr>
      <w:r>
        <w:rPr>
          <w:rFonts w:ascii="宋体" w:eastAsia="宋体"/>
          <w:sz w:val="21"/>
          <w:szCs w:val="21"/>
        </w:rPr>
        <w:t>4、本基金的信息披露，应通过</w:t>
      </w:r>
      <w:r>
        <w:rPr>
          <w:rFonts w:ascii="宋体" w:eastAsia="宋体"/>
          <w:bCs/>
          <w:sz w:val="21"/>
          <w:szCs w:val="21"/>
        </w:rPr>
        <w:t>符合中国证监会规定条件</w:t>
      </w:r>
      <w:r>
        <w:rPr>
          <w:rFonts w:ascii="宋体" w:eastAsia="宋体"/>
          <w:sz w:val="21"/>
          <w:szCs w:val="21"/>
        </w:rPr>
        <w:t>的媒介进行；基金管理人、基金托管人</w:t>
      </w:r>
      <w:r>
        <w:rPr>
          <w:rFonts w:hint="eastAsia" w:ascii="宋体" w:eastAsia="宋体"/>
          <w:sz w:val="21"/>
          <w:szCs w:val="21"/>
        </w:rPr>
        <w:t>除依法在规定媒介上披露信息外，还</w:t>
      </w:r>
      <w:r>
        <w:rPr>
          <w:rFonts w:ascii="宋体" w:eastAsia="宋体"/>
          <w:sz w:val="21"/>
          <w:szCs w:val="21"/>
        </w:rPr>
        <w:t>可以根据需要在其他公共媒介披露信息，但是其他公共媒介不得早于规定媒介披露信息，并且在不同媒介上披露同一信息的内容应当一致。</w:t>
      </w:r>
    </w:p>
    <w:p w14:paraId="593EB2C0">
      <w:pPr>
        <w:pStyle w:val="220"/>
        <w:spacing w:before="100" w:beforeAutospacing="1" w:after="100" w:afterAutospacing="1"/>
        <w:ind w:firstLine="403"/>
        <w:rPr>
          <w:rFonts w:ascii="宋体" w:eastAsia="宋体"/>
          <w:sz w:val="21"/>
          <w:szCs w:val="21"/>
        </w:rPr>
      </w:pPr>
      <w:r>
        <w:rPr>
          <w:rFonts w:ascii="宋体" w:eastAsia="宋体"/>
          <w:sz w:val="21"/>
          <w:szCs w:val="21"/>
        </w:rPr>
        <w:t>5、信息文本的存放与备查</w:t>
      </w:r>
    </w:p>
    <w:p w14:paraId="3B3630E3">
      <w:pPr>
        <w:pStyle w:val="220"/>
        <w:spacing w:before="100" w:beforeAutospacing="1" w:after="100" w:afterAutospacing="1"/>
        <w:ind w:firstLine="403"/>
        <w:rPr>
          <w:rFonts w:ascii="宋体" w:eastAsia="宋体"/>
          <w:sz w:val="21"/>
          <w:szCs w:val="21"/>
        </w:rPr>
      </w:pPr>
      <w:r>
        <w:rPr>
          <w:rFonts w:ascii="宋体" w:eastAsia="宋体"/>
          <w:sz w:val="21"/>
          <w:szCs w:val="21"/>
        </w:rPr>
        <w:t>依法必须披露的信息发布后，基金管理人、基金托管人应当按照相关法律法规规定将信息置备于</w:t>
      </w:r>
      <w:r>
        <w:rPr>
          <w:rFonts w:hint="eastAsia" w:ascii="宋体" w:eastAsia="宋体"/>
          <w:sz w:val="21"/>
          <w:szCs w:val="21"/>
        </w:rPr>
        <w:t>各自</w:t>
      </w:r>
      <w:r>
        <w:rPr>
          <w:rFonts w:ascii="宋体" w:eastAsia="宋体"/>
          <w:sz w:val="21"/>
          <w:szCs w:val="21"/>
        </w:rPr>
        <w:t>住所，供社会公众查阅、复制。</w:t>
      </w:r>
    </w:p>
    <w:p w14:paraId="340C57E1">
      <w:pPr>
        <w:pStyle w:val="220"/>
        <w:spacing w:before="100" w:beforeAutospacing="1" w:after="100" w:afterAutospacing="1"/>
        <w:ind w:firstLine="403"/>
        <w:rPr>
          <w:rFonts w:ascii="宋体" w:eastAsia="宋体"/>
          <w:sz w:val="21"/>
          <w:szCs w:val="21"/>
        </w:rPr>
      </w:pPr>
      <w:r>
        <w:rPr>
          <w:rFonts w:ascii="宋体" w:eastAsia="宋体"/>
          <w:sz w:val="21"/>
          <w:szCs w:val="21"/>
        </w:rPr>
        <w:t>基金管理人和基金托管人应保证文本的内容与所公告的内容完全一致。</w:t>
      </w:r>
    </w:p>
    <w:p w14:paraId="3943C02D">
      <w:pPr>
        <w:pStyle w:val="197"/>
        <w:spacing w:before="100" w:beforeAutospacing="1" w:after="100" w:afterAutospacing="1" w:line="400" w:lineRule="exact"/>
        <w:ind w:firstLine="420"/>
        <w:rPr>
          <w:rFonts w:ascii="宋体" w:hAnsi="宋体"/>
          <w:szCs w:val="21"/>
        </w:rPr>
      </w:pPr>
      <w:r>
        <w:rPr>
          <w:rFonts w:ascii="宋体" w:hAnsi="宋体"/>
          <w:szCs w:val="21"/>
        </w:rPr>
        <w:t>6、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14:paraId="7C2642DD">
      <w:pPr>
        <w:pStyle w:val="197"/>
        <w:spacing w:before="100" w:beforeAutospacing="1" w:after="100" w:afterAutospacing="1" w:line="400" w:lineRule="exact"/>
        <w:ind w:firstLine="420"/>
        <w:rPr>
          <w:rFonts w:ascii="宋体" w:hAnsi="宋体"/>
          <w:szCs w:val="21"/>
        </w:rPr>
      </w:pPr>
      <w:r>
        <w:rPr>
          <w:rFonts w:ascii="宋体" w:hAnsi="宋体"/>
          <w:szCs w:val="21"/>
        </w:rPr>
        <w:t>7、本基金实施侧袋机制的，相关信息披露义务人应当根据法律法规、基金合同和招募说明书的规定进行信息披露。</w:t>
      </w:r>
    </w:p>
    <w:p w14:paraId="02F784D5">
      <w:pPr>
        <w:pStyle w:val="220"/>
        <w:spacing w:before="100" w:beforeAutospacing="1" w:after="100" w:afterAutospacing="1"/>
        <w:ind w:firstLine="420"/>
        <w:rPr>
          <w:rFonts w:ascii="宋体" w:eastAsia="宋体"/>
          <w:sz w:val="21"/>
          <w:szCs w:val="21"/>
        </w:rPr>
      </w:pPr>
      <w:r>
        <w:rPr>
          <w:rFonts w:ascii="宋体" w:eastAsia="宋体"/>
          <w:sz w:val="21"/>
          <w:szCs w:val="21"/>
        </w:rPr>
        <w:t>（三）基金托管人报告</w:t>
      </w:r>
    </w:p>
    <w:p w14:paraId="0929FC20">
      <w:pPr>
        <w:pStyle w:val="220"/>
        <w:spacing w:before="100" w:beforeAutospacing="1" w:after="100" w:afterAutospacing="1"/>
        <w:ind w:firstLine="420"/>
        <w:rPr>
          <w:rFonts w:ascii="宋体" w:eastAsia="宋体"/>
          <w:sz w:val="21"/>
          <w:szCs w:val="21"/>
        </w:rPr>
      </w:pPr>
      <w:r>
        <w:rPr>
          <w:rFonts w:ascii="宋体" w:eastAsia="宋体"/>
          <w:sz w:val="21"/>
          <w:szCs w:val="21"/>
        </w:rPr>
        <w:t>基金托管人应按《基金法》、《运作办法》、《信息披露办法》和其他有关法律法规的规定于每个上半年结束</w:t>
      </w:r>
      <w:r>
        <w:rPr>
          <w:rFonts w:hint="eastAsia" w:ascii="宋体" w:eastAsia="宋体"/>
          <w:sz w:val="21"/>
          <w:szCs w:val="21"/>
        </w:rPr>
        <w:t>之日起</w:t>
      </w:r>
      <w:r>
        <w:rPr>
          <w:rFonts w:ascii="宋体" w:eastAsia="宋体"/>
          <w:sz w:val="21"/>
          <w:szCs w:val="21"/>
        </w:rPr>
        <w:t>两个月内、每年结束</w:t>
      </w:r>
      <w:r>
        <w:rPr>
          <w:rFonts w:hint="eastAsia" w:ascii="宋体" w:eastAsia="宋体"/>
          <w:sz w:val="21"/>
          <w:szCs w:val="21"/>
        </w:rPr>
        <w:t>之日起</w:t>
      </w:r>
      <w:r>
        <w:rPr>
          <w:rFonts w:ascii="宋体" w:eastAsia="宋体"/>
          <w:sz w:val="21"/>
          <w:szCs w:val="21"/>
        </w:rPr>
        <w:t>三个月内在基金中期报告及年度报告中分别出具托管人报告。</w:t>
      </w:r>
    </w:p>
    <w:p w14:paraId="41702640">
      <w:pPr>
        <w:pStyle w:val="220"/>
        <w:spacing w:before="100" w:beforeAutospacing="1" w:after="100" w:afterAutospacing="1"/>
        <w:ind w:firstLine="403"/>
        <w:rPr>
          <w:rFonts w:ascii="宋体" w:eastAsia="宋体"/>
          <w:sz w:val="21"/>
          <w:szCs w:val="21"/>
        </w:rPr>
      </w:pPr>
    </w:p>
    <w:p w14:paraId="678430CA">
      <w:pPr>
        <w:pStyle w:val="198"/>
        <w:spacing w:before="100" w:beforeAutospacing="1" w:after="100" w:afterAutospacing="1" w:line="400" w:lineRule="exact"/>
        <w:ind w:firstLine="422"/>
        <w:rPr>
          <w:rFonts w:ascii="宋体" w:hAnsi="宋体"/>
          <w:sz w:val="21"/>
          <w:szCs w:val="21"/>
        </w:rPr>
      </w:pPr>
      <w:bookmarkStart w:id="15" w:name="_Toc116900106"/>
      <w:r>
        <w:rPr>
          <w:rFonts w:ascii="宋体" w:hAnsi="宋体"/>
          <w:sz w:val="21"/>
          <w:szCs w:val="21"/>
        </w:rPr>
        <w:t>十一、基金费用</w:t>
      </w:r>
    </w:p>
    <w:p w14:paraId="0343CBE0">
      <w:pPr>
        <w:pStyle w:val="197"/>
        <w:spacing w:before="100" w:beforeAutospacing="1" w:after="100" w:afterAutospacing="1" w:line="400" w:lineRule="exact"/>
        <w:ind w:right="26" w:firstLine="403"/>
        <w:rPr>
          <w:rFonts w:ascii="宋体" w:hAnsi="宋体"/>
          <w:szCs w:val="21"/>
        </w:rPr>
      </w:pPr>
      <w:r>
        <w:rPr>
          <w:rFonts w:ascii="宋体" w:hAnsi="宋体"/>
          <w:szCs w:val="21"/>
        </w:rPr>
        <w:t>（一）基金管理人的管理费</w:t>
      </w:r>
    </w:p>
    <w:p w14:paraId="026F893F">
      <w:pPr>
        <w:pStyle w:val="220"/>
        <w:spacing w:before="100" w:beforeAutospacing="1" w:after="100" w:afterAutospacing="1" w:line="360" w:lineRule="auto"/>
        <w:ind w:firstLine="420" w:firstLineChars="200"/>
        <w:rPr>
          <w:rFonts w:ascii="宋体" w:eastAsia="宋体"/>
          <w:bCs/>
          <w:sz w:val="21"/>
          <w:szCs w:val="21"/>
          <w14:ligatures w14:val="standardContextual"/>
        </w:rPr>
      </w:pPr>
      <w:r>
        <w:rPr>
          <w:rFonts w:hint="eastAsia" w:ascii="宋体" w:eastAsia="宋体"/>
          <w:bCs/>
          <w:sz w:val="21"/>
          <w:szCs w:val="21"/>
          <w14:ligatures w14:val="standardContextual"/>
        </w:rPr>
        <w:t>本基金根据每一基金份额的持有期限与持有期间年化收益率，在赎回</w:t>
      </w:r>
      <w:bookmarkStart w:id="16" w:name="_Hlk195865221"/>
      <w:r>
        <w:rPr>
          <w:rFonts w:hint="eastAsia" w:ascii="宋体" w:eastAsia="宋体"/>
          <w:bCs/>
          <w:sz w:val="21"/>
          <w:szCs w:val="21"/>
          <w14:ligatures w14:val="standardContextual"/>
        </w:rPr>
        <w:t>、转出</w:t>
      </w:r>
      <w:bookmarkEnd w:id="16"/>
      <w:r>
        <w:rPr>
          <w:rFonts w:hint="eastAsia" w:ascii="宋体" w:eastAsia="宋体"/>
          <w:bCs/>
          <w:sz w:val="21"/>
          <w:szCs w:val="21"/>
          <w14:ligatures w14:val="standardContextual"/>
        </w:rPr>
        <w:t>基金份额</w:t>
      </w:r>
      <w:bookmarkStart w:id="17" w:name="_Hlk195865226"/>
      <w:r>
        <w:rPr>
          <w:rFonts w:hint="eastAsia" w:ascii="宋体" w:eastAsia="宋体"/>
          <w:bCs/>
          <w:sz w:val="21"/>
          <w:szCs w:val="21"/>
          <w14:ligatures w14:val="standardContextual"/>
        </w:rPr>
        <w:t>或基金合同终止的情形发生</w:t>
      </w:r>
      <w:bookmarkEnd w:id="17"/>
      <w:r>
        <w:rPr>
          <w:rFonts w:hint="eastAsia" w:ascii="宋体" w:eastAsia="宋体"/>
          <w:bCs/>
          <w:sz w:val="21"/>
          <w:szCs w:val="21"/>
          <w14:ligatures w14:val="standardContextual"/>
        </w:rPr>
        <w:t>时确定该笔基金份额对应的管理费。</w:t>
      </w:r>
      <w:bookmarkStart w:id="18" w:name="_Hlk196469702"/>
    </w:p>
    <w:p w14:paraId="2AE8D3B3">
      <w:pPr>
        <w:pStyle w:val="220"/>
        <w:numPr>
          <w:ilvl w:val="0"/>
          <w:numId w:val="1"/>
        </w:numPr>
        <w:spacing w:before="100" w:beforeAutospacing="1" w:after="100" w:afterAutospacing="1" w:line="360" w:lineRule="auto"/>
        <w:ind w:firstLine="420" w:firstLineChars="200"/>
        <w:rPr>
          <w:rFonts w:ascii="宋体" w:eastAsia="宋体"/>
          <w:bCs/>
          <w:sz w:val="21"/>
          <w:szCs w:val="21"/>
          <w14:ligatures w14:val="standardContextual"/>
        </w:rPr>
      </w:pPr>
      <w:r>
        <w:rPr>
          <w:rFonts w:hint="eastAsia" w:ascii="宋体" w:eastAsia="宋体"/>
          <w:bCs/>
          <w:sz w:val="21"/>
          <w:szCs w:val="21"/>
          <w14:ligatures w14:val="standardContextual"/>
        </w:rPr>
        <w:t>当投资者赎回</w:t>
      </w:r>
      <w:bookmarkStart w:id="19" w:name="_Hlk195865234"/>
      <w:r>
        <w:rPr>
          <w:rFonts w:hint="eastAsia" w:ascii="宋体" w:eastAsia="宋体"/>
          <w:bCs/>
          <w:sz w:val="21"/>
          <w:szCs w:val="21"/>
          <w14:ligatures w14:val="standardContextual"/>
        </w:rPr>
        <w:t>、转出基金份额或基金合同终止的情形发生</w:t>
      </w:r>
      <w:bookmarkEnd w:id="19"/>
      <w:r>
        <w:rPr>
          <w:rFonts w:hint="eastAsia" w:ascii="宋体" w:eastAsia="宋体"/>
          <w:bCs/>
          <w:sz w:val="21"/>
          <w:szCs w:val="21"/>
          <w14:ligatures w14:val="standardContextual"/>
        </w:rPr>
        <w:t>时，持有期限不足一年（即</w:t>
      </w:r>
      <w:r>
        <w:rPr>
          <w:rFonts w:ascii="宋体" w:eastAsia="宋体"/>
          <w:bCs/>
          <w:sz w:val="21"/>
          <w:szCs w:val="21"/>
          <w14:ligatures w14:val="standardContextual"/>
        </w:rPr>
        <w:t>365</w:t>
      </w:r>
      <w:r>
        <w:rPr>
          <w:rFonts w:hint="eastAsia" w:ascii="宋体" w:eastAsia="宋体"/>
          <w:bCs/>
          <w:sz w:val="21"/>
          <w:szCs w:val="21"/>
          <w14:ligatures w14:val="standardContextual"/>
        </w:rPr>
        <w:t>天，下同），则按</w:t>
      </w:r>
      <w:r>
        <w:rPr>
          <w:rFonts w:ascii="宋体" w:eastAsia="宋体"/>
          <w:bCs/>
          <w:sz w:val="21"/>
          <w:szCs w:val="21"/>
          <w14:ligatures w14:val="standardContextual"/>
        </w:rPr>
        <w:t>1.20%</w:t>
      </w:r>
      <w:r>
        <w:rPr>
          <w:rFonts w:hint="eastAsia" w:ascii="宋体" w:eastAsia="宋体"/>
          <w:bCs/>
          <w:sz w:val="21"/>
          <w:szCs w:val="21"/>
          <w14:ligatures w14:val="standardContextual"/>
        </w:rPr>
        <w:t>年费率收取管理费</w:t>
      </w:r>
      <w:bookmarkEnd w:id="18"/>
      <w:r>
        <w:rPr>
          <w:rFonts w:hint="eastAsia" w:ascii="宋体" w:eastAsia="宋体"/>
          <w:bCs/>
          <w:sz w:val="21"/>
          <w:szCs w:val="21"/>
          <w14:ligatures w14:val="standardContextual"/>
        </w:rPr>
        <w:t>；</w:t>
      </w:r>
    </w:p>
    <w:p w14:paraId="4D6CD97E">
      <w:pPr>
        <w:pStyle w:val="220"/>
        <w:numPr>
          <w:ilvl w:val="0"/>
          <w:numId w:val="1"/>
        </w:numPr>
        <w:spacing w:before="100" w:beforeAutospacing="1" w:after="100" w:afterAutospacing="1" w:line="360" w:lineRule="auto"/>
        <w:ind w:firstLine="420" w:firstLineChars="200"/>
        <w:rPr>
          <w:rFonts w:ascii="宋体" w:eastAsia="宋体"/>
          <w:bCs/>
          <w:sz w:val="21"/>
          <w:szCs w:val="21"/>
          <w14:ligatures w14:val="standardContextual"/>
        </w:rPr>
      </w:pPr>
      <w:r>
        <w:rPr>
          <w:rFonts w:hint="eastAsia" w:ascii="宋体" w:eastAsia="宋体"/>
          <w:bCs/>
          <w:sz w:val="21"/>
          <w:szCs w:val="21"/>
          <w14:ligatures w14:val="standardContextual"/>
        </w:rPr>
        <w:t>持有期限达到一年及以上，则根据持有期间年化收益率分为以下三种情况，分别确定对应的管理费率档位：</w:t>
      </w:r>
    </w:p>
    <w:p w14:paraId="57B3A1EB">
      <w:pPr>
        <w:pStyle w:val="220"/>
        <w:spacing w:before="100" w:beforeAutospacing="1" w:after="100" w:afterAutospacing="1" w:line="360" w:lineRule="auto"/>
        <w:ind w:firstLine="420" w:firstLineChars="200"/>
        <w:rPr>
          <w:bCs/>
          <w:szCs w:val="20"/>
          <w14:ligatures w14:val="standardContextual"/>
        </w:rPr>
      </w:pPr>
      <w:r>
        <w:rPr>
          <w:rFonts w:hint="eastAsia" w:ascii="宋体" w:eastAsia="宋体"/>
          <w:bCs/>
          <w:sz w:val="21"/>
          <w:szCs w:val="21"/>
          <w14:ligatures w14:val="standardContextual"/>
        </w:rPr>
        <w:t>若持有期间相对业绩比较基准的年化超额收益率（扣除超额管理费后）超过</w:t>
      </w:r>
      <w:r>
        <w:rPr>
          <w:rFonts w:ascii="宋体" w:eastAsia="宋体"/>
          <w:bCs/>
          <w:sz w:val="21"/>
          <w:szCs w:val="21"/>
          <w14:ligatures w14:val="standardContextual"/>
        </w:rPr>
        <w:t>6%</w:t>
      </w:r>
      <w:r>
        <w:rPr>
          <w:rFonts w:hint="eastAsia" w:ascii="宋体" w:eastAsia="宋体"/>
          <w:bCs/>
          <w:sz w:val="21"/>
          <w:szCs w:val="21"/>
          <w14:ligatures w14:val="standardContextual"/>
        </w:rPr>
        <w:t>且持有收益率（扣除超额管理费后）为正，按</w:t>
      </w:r>
      <w:r>
        <w:rPr>
          <w:rFonts w:ascii="宋体" w:eastAsia="宋体"/>
          <w:bCs/>
          <w:sz w:val="21"/>
          <w:szCs w:val="21"/>
          <w14:ligatures w14:val="standardContextual"/>
        </w:rPr>
        <w:t>1.50%</w:t>
      </w:r>
      <w:r>
        <w:rPr>
          <w:rFonts w:hint="eastAsia" w:ascii="宋体" w:eastAsia="宋体"/>
          <w:bCs/>
          <w:sz w:val="21"/>
          <w:szCs w:val="21"/>
          <w14:ligatures w14:val="standardContextual"/>
        </w:rPr>
        <w:t>年费率确认管理费；若持有期间的年化超额收益率在</w:t>
      </w:r>
      <w:r>
        <w:rPr>
          <w:rFonts w:ascii="宋体" w:eastAsia="宋体"/>
          <w:bCs/>
          <w:sz w:val="21"/>
          <w:szCs w:val="21"/>
          <w14:ligatures w14:val="standardContextual"/>
        </w:rPr>
        <w:t>-3%</w:t>
      </w:r>
      <w:r>
        <w:rPr>
          <w:rFonts w:hint="eastAsia" w:ascii="宋体" w:eastAsia="宋体"/>
          <w:bCs/>
          <w:sz w:val="21"/>
          <w:szCs w:val="21"/>
          <w14:ligatures w14:val="standardContextual"/>
        </w:rPr>
        <w:t>及以下，按</w:t>
      </w:r>
      <w:r>
        <w:rPr>
          <w:rFonts w:ascii="宋体" w:eastAsia="宋体"/>
          <w:bCs/>
          <w:sz w:val="21"/>
          <w:szCs w:val="21"/>
          <w14:ligatures w14:val="standardContextual"/>
        </w:rPr>
        <w:t>0.60%</w:t>
      </w:r>
      <w:r>
        <w:rPr>
          <w:rFonts w:hint="eastAsia" w:ascii="宋体" w:eastAsia="宋体"/>
          <w:bCs/>
          <w:sz w:val="21"/>
          <w:szCs w:val="21"/>
          <w14:ligatures w14:val="standardContextual"/>
        </w:rPr>
        <w:t>年费率确认管理费；其他情形按</w:t>
      </w:r>
      <w:r>
        <w:rPr>
          <w:rFonts w:ascii="宋体" w:eastAsia="宋体"/>
          <w:bCs/>
          <w:sz w:val="21"/>
          <w:szCs w:val="21"/>
          <w14:ligatures w14:val="standardContextual"/>
        </w:rPr>
        <w:t>1.20%</w:t>
      </w:r>
      <w:r>
        <w:rPr>
          <w:rFonts w:hint="eastAsia" w:ascii="宋体" w:eastAsia="宋体"/>
          <w:bCs/>
          <w:sz w:val="21"/>
          <w:szCs w:val="21"/>
          <w14:ligatures w14:val="standardContextual"/>
        </w:rPr>
        <w:t>年费率确认管理费。</w:t>
      </w:r>
    </w:p>
    <w:tbl>
      <w:tblPr>
        <w:tblStyle w:val="29"/>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3E2C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70395059">
            <w:pPr>
              <w:snapToGrid/>
              <w:spacing w:line="276" w:lineRule="auto"/>
              <w:jc w:val="center"/>
              <w:rPr>
                <w:b/>
                <w:sz w:val="21"/>
                <w:szCs w:val="20"/>
                <w:lang w:eastAsia="zh-CN"/>
                <w14:ligatures w14:val="standardContextual"/>
              </w:rPr>
            </w:pPr>
            <w:r>
              <w:rPr>
                <w:rFonts w:hint="eastAsia"/>
                <w:b/>
                <w:sz w:val="21"/>
                <w:szCs w:val="20"/>
                <w:lang w:eastAsia="zh-CN"/>
                <w14:ligatures w14:val="standardContextual"/>
              </w:rPr>
              <w:t>持有期间年化收益率（</w:t>
            </w:r>
            <w:r>
              <w:rPr>
                <w:b/>
                <w:sz w:val="21"/>
                <w:szCs w:val="20"/>
                <w:lang w:eastAsia="zh-CN"/>
                <w14:ligatures w14:val="standardContextual"/>
              </w:rPr>
              <w:t>R</w:t>
            </w:r>
            <w:r>
              <w:rPr>
                <w:rFonts w:hint="eastAsia"/>
                <w:b/>
                <w:sz w:val="21"/>
                <w:szCs w:val="20"/>
                <w:lang w:eastAsia="zh-CN"/>
                <w14:ligatures w14:val="standardContextual"/>
              </w:rPr>
              <w:t>）</w:t>
            </w:r>
          </w:p>
        </w:tc>
        <w:tc>
          <w:tcPr>
            <w:tcW w:w="2831" w:type="dxa"/>
            <w:vAlign w:val="center"/>
          </w:tcPr>
          <w:p w14:paraId="49B29FEF">
            <w:pPr>
              <w:snapToGrid/>
              <w:spacing w:line="276" w:lineRule="auto"/>
              <w:jc w:val="center"/>
              <w:rPr>
                <w:b/>
                <w:sz w:val="21"/>
                <w:szCs w:val="20"/>
                <w14:ligatures w14:val="standardContextual"/>
              </w:rPr>
            </w:pPr>
            <w:r>
              <w:rPr>
                <w:rFonts w:hint="eastAsia"/>
                <w:b/>
                <w:sz w:val="21"/>
                <w:szCs w:val="20"/>
                <w14:ligatures w14:val="standardContextual"/>
              </w:rPr>
              <w:t>管理费率（年费率）</w:t>
            </w:r>
          </w:p>
        </w:tc>
      </w:tr>
      <w:tr w14:paraId="7FA6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5D07C9DB">
            <w:pPr>
              <w:snapToGrid/>
              <w:spacing w:line="276" w:lineRule="auto"/>
              <w:jc w:val="center"/>
              <w:rPr>
                <w:b/>
                <w:sz w:val="21"/>
                <w:szCs w:val="20"/>
                <w14:ligatures w14:val="standardContextual"/>
              </w:rPr>
            </w:pPr>
            <w:r>
              <w:rPr>
                <w:bCs/>
                <w:sz w:val="21"/>
                <w:szCs w:val="20"/>
              </w:rPr>
              <w:t>R</w:t>
            </w:r>
            <w:r>
              <w:rPr>
                <w:rFonts w:hint="eastAsia" w:ascii="仿宋" w:hAnsi="仿宋" w:eastAsia="仿宋"/>
                <w:bCs/>
                <w:sz w:val="21"/>
                <w:szCs w:val="20"/>
              </w:rPr>
              <w:t>＞</w:t>
            </w:r>
            <w:r>
              <w:rPr>
                <w:bCs/>
                <w:sz w:val="21"/>
                <w:szCs w:val="20"/>
              </w:rPr>
              <w:t>R</w:t>
            </w:r>
            <w:r>
              <w:rPr>
                <w:rFonts w:asciiTheme="majorHAnsi" w:hAnsiTheme="majorHAnsi"/>
                <w:spacing w:val="-2"/>
                <w:sz w:val="21"/>
                <w:szCs w:val="20"/>
                <w:vertAlign w:val="subscript"/>
              </w:rPr>
              <w:t>b</w:t>
            </w:r>
            <w:r>
              <w:rPr>
                <w:bCs/>
                <w:sz w:val="21"/>
                <w:szCs w:val="20"/>
              </w:rPr>
              <w:t>+6%</w:t>
            </w:r>
            <w:r>
              <w:rPr>
                <w:rFonts w:hint="eastAsia"/>
                <w:bCs/>
                <w:sz w:val="21"/>
                <w:szCs w:val="20"/>
              </w:rPr>
              <w:t>，</w:t>
            </w:r>
            <w:r>
              <w:rPr>
                <w:bCs/>
                <w:sz w:val="21"/>
                <w:szCs w:val="20"/>
              </w:rPr>
              <w:t>R</w:t>
            </w:r>
            <w:r>
              <w:rPr>
                <w:rFonts w:hint="eastAsia" w:ascii="仿宋" w:hAnsi="仿宋" w:eastAsia="仿宋"/>
                <w:bCs/>
                <w:sz w:val="21"/>
                <w:szCs w:val="20"/>
              </w:rPr>
              <w:t>＞</w:t>
            </w:r>
            <w:r>
              <w:rPr>
                <w:bCs/>
                <w:sz w:val="21"/>
                <w:szCs w:val="20"/>
              </w:rPr>
              <w:t>0</w:t>
            </w:r>
          </w:p>
        </w:tc>
        <w:tc>
          <w:tcPr>
            <w:tcW w:w="2831" w:type="dxa"/>
            <w:vAlign w:val="center"/>
          </w:tcPr>
          <w:p w14:paraId="70DA2DFD">
            <w:pPr>
              <w:spacing w:line="276" w:lineRule="auto"/>
              <w:jc w:val="center"/>
              <w:rPr>
                <w:rFonts w:ascii="Cambria" w:hAnsi="Cambria" w:eastAsia="仿宋"/>
                <w:sz w:val="21"/>
                <w:szCs w:val="20"/>
                <w14:ligatures w14:val="standardContextual"/>
              </w:rPr>
            </w:pPr>
            <w:r>
              <w:rPr>
                <w:rFonts w:ascii="Cambria" w:hAnsi="Cambria" w:eastAsia="仿宋"/>
                <w:sz w:val="21"/>
                <w:szCs w:val="20"/>
                <w14:ligatures w14:val="standardContextual"/>
              </w:rPr>
              <w:t>1.50%/</w:t>
            </w:r>
            <w:r>
              <w:rPr>
                <w:rFonts w:hint="eastAsia" w:ascii="宋体" w:hAnsi="宋体"/>
                <w:bCs/>
                <w:sz w:val="21"/>
                <w:szCs w:val="20"/>
                <w14:ligatures w14:val="standardContextual"/>
              </w:rPr>
              <w:t>年</w:t>
            </w:r>
          </w:p>
        </w:tc>
      </w:tr>
      <w:tr w14:paraId="276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7C68DA91">
            <w:pPr>
              <w:snapToGrid/>
              <w:spacing w:line="276" w:lineRule="auto"/>
              <w:jc w:val="center"/>
              <w:rPr>
                <w:bCs/>
                <w:sz w:val="21"/>
                <w:szCs w:val="20"/>
                <w14:ligatures w14:val="standardContextual"/>
              </w:rPr>
            </w:pPr>
            <w:r>
              <w:rPr>
                <w:bCs/>
                <w:sz w:val="21"/>
                <w:szCs w:val="20"/>
              </w:rPr>
              <w:t>R</w:t>
            </w:r>
            <w:r>
              <w:rPr>
                <w:rFonts w:hint="eastAsia" w:ascii="仿宋" w:hAnsi="仿宋" w:eastAsia="仿宋"/>
                <w:bCs/>
                <w:sz w:val="21"/>
                <w:szCs w:val="20"/>
              </w:rPr>
              <w:t>≤</w:t>
            </w:r>
            <w:r>
              <w:rPr>
                <w:bCs/>
                <w:sz w:val="21"/>
                <w:szCs w:val="20"/>
              </w:rPr>
              <w:t>R</w:t>
            </w:r>
            <w:r>
              <w:rPr>
                <w:rFonts w:asciiTheme="majorHAnsi" w:hAnsiTheme="majorHAnsi"/>
                <w:spacing w:val="-2"/>
                <w:sz w:val="21"/>
                <w:szCs w:val="20"/>
                <w:vertAlign w:val="subscript"/>
              </w:rPr>
              <w:t>b</w:t>
            </w:r>
            <w:r>
              <w:rPr>
                <w:bCs/>
                <w:sz w:val="21"/>
                <w:szCs w:val="20"/>
              </w:rPr>
              <w:t>-3%</w:t>
            </w:r>
          </w:p>
        </w:tc>
        <w:tc>
          <w:tcPr>
            <w:tcW w:w="2831" w:type="dxa"/>
            <w:vAlign w:val="center"/>
          </w:tcPr>
          <w:p w14:paraId="359E5D23">
            <w:pPr>
              <w:spacing w:line="276" w:lineRule="auto"/>
              <w:jc w:val="center"/>
              <w:rPr>
                <w:rFonts w:ascii="Cambria" w:hAnsi="Cambria" w:eastAsia="仿宋"/>
                <w:sz w:val="21"/>
                <w:szCs w:val="20"/>
                <w14:ligatures w14:val="standardContextual"/>
              </w:rPr>
            </w:pPr>
            <w:r>
              <w:rPr>
                <w:rFonts w:ascii="Cambria" w:hAnsi="Cambria" w:eastAsia="仿宋"/>
                <w:sz w:val="21"/>
                <w:szCs w:val="20"/>
                <w14:ligatures w14:val="standardContextual"/>
              </w:rPr>
              <w:t>0.60%/</w:t>
            </w:r>
            <w:r>
              <w:rPr>
                <w:rFonts w:hint="eastAsia" w:ascii="宋体" w:hAnsi="宋体"/>
                <w:bCs/>
                <w:sz w:val="21"/>
                <w:szCs w:val="20"/>
                <w14:ligatures w14:val="standardContextual"/>
              </w:rPr>
              <w:t>年</w:t>
            </w:r>
          </w:p>
        </w:tc>
      </w:tr>
      <w:tr w14:paraId="22CC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3BD1C78D">
            <w:pPr>
              <w:snapToGrid/>
              <w:spacing w:line="276" w:lineRule="auto"/>
              <w:jc w:val="center"/>
              <w:rPr>
                <w:bCs/>
                <w:sz w:val="21"/>
                <w:szCs w:val="20"/>
                <w14:ligatures w14:val="standardContextual"/>
              </w:rPr>
            </w:pPr>
            <w:r>
              <w:rPr>
                <w:rFonts w:hint="eastAsia"/>
                <w:bCs/>
                <w:sz w:val="21"/>
                <w:szCs w:val="20"/>
                <w14:ligatures w14:val="standardContextual"/>
              </w:rPr>
              <w:t>其他情形</w:t>
            </w:r>
          </w:p>
        </w:tc>
        <w:tc>
          <w:tcPr>
            <w:tcW w:w="2831" w:type="dxa"/>
            <w:vAlign w:val="center"/>
          </w:tcPr>
          <w:p w14:paraId="2E23F5ED">
            <w:pPr>
              <w:spacing w:line="276" w:lineRule="auto"/>
              <w:jc w:val="center"/>
              <w:rPr>
                <w:rFonts w:ascii="Cambria" w:hAnsi="Cambria" w:eastAsia="仿宋"/>
                <w:sz w:val="21"/>
                <w:szCs w:val="20"/>
                <w14:ligatures w14:val="standardContextual"/>
              </w:rPr>
            </w:pPr>
            <w:r>
              <w:rPr>
                <w:rFonts w:ascii="Cambria" w:hAnsi="Cambria" w:eastAsia="仿宋"/>
                <w:sz w:val="21"/>
                <w:szCs w:val="20"/>
                <w14:ligatures w14:val="standardContextual"/>
              </w:rPr>
              <w:t>1.20%/</w:t>
            </w:r>
            <w:r>
              <w:rPr>
                <w:rFonts w:hint="eastAsia" w:ascii="宋体" w:hAnsi="宋体"/>
                <w:bCs/>
                <w:sz w:val="21"/>
                <w:szCs w:val="20"/>
                <w14:ligatures w14:val="standardContextual"/>
              </w:rPr>
              <w:t>年</w:t>
            </w:r>
          </w:p>
        </w:tc>
      </w:tr>
    </w:tbl>
    <w:p w14:paraId="58A25EAC">
      <w:pPr>
        <w:spacing w:line="360" w:lineRule="auto"/>
        <w:ind w:firstLine="480"/>
        <w:rPr>
          <w:bCs/>
          <w:sz w:val="21"/>
          <w:szCs w:val="21"/>
          <w:lang w:eastAsia="zh-CN"/>
          <w14:ligatures w14:val="standardContextual"/>
        </w:rPr>
      </w:pPr>
      <w:r>
        <w:rPr>
          <w:rFonts w:hint="eastAsia"/>
          <w:bCs/>
          <w:sz w:val="21"/>
          <w:szCs w:val="21"/>
          <w:lang w:eastAsia="zh-CN"/>
          <w14:ligatures w14:val="standardContextual"/>
        </w:rPr>
        <w:t>注：①</w:t>
      </w:r>
      <w:r>
        <w:rPr>
          <w:bCs/>
          <w:sz w:val="21"/>
          <w:szCs w:val="21"/>
          <w:lang w:eastAsia="zh-CN"/>
          <w14:ligatures w14:val="standardContextual"/>
        </w:rPr>
        <w:t>R</w:t>
      </w:r>
      <w:r>
        <w:rPr>
          <w:rFonts w:hint="eastAsia"/>
          <w:bCs/>
          <w:sz w:val="21"/>
          <w:szCs w:val="21"/>
          <w:lang w:eastAsia="zh-CN"/>
          <w14:ligatures w14:val="standardContextual"/>
        </w:rPr>
        <w:t>为该笔基金份额的年化收益率，</w:t>
      </w:r>
      <w:r>
        <w:rPr>
          <w:bCs/>
          <w:sz w:val="21"/>
          <w:szCs w:val="21"/>
          <w:lang w:eastAsia="zh-CN"/>
          <w14:ligatures w14:val="standardContextual"/>
        </w:rPr>
        <w:t>R</w:t>
      </w:r>
      <w:r>
        <w:rPr>
          <w:bCs/>
          <w:sz w:val="21"/>
          <w:szCs w:val="21"/>
          <w:vertAlign w:val="subscript"/>
          <w:lang w:eastAsia="zh-CN"/>
          <w14:ligatures w14:val="standardContextual"/>
        </w:rPr>
        <w:t>b</w:t>
      </w:r>
      <w:r>
        <w:rPr>
          <w:rFonts w:hint="eastAsia"/>
          <w:bCs/>
          <w:sz w:val="21"/>
          <w:szCs w:val="21"/>
          <w:lang w:eastAsia="zh-CN"/>
          <w14:ligatures w14:val="standardContextual"/>
        </w:rPr>
        <w:t>为本基金业绩比较基准同期年化收益率。</w:t>
      </w:r>
    </w:p>
    <w:p w14:paraId="2DF2DE81">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②特别的，当持有期限达到一年及以上，</w:t>
      </w:r>
      <w:r>
        <w:rPr>
          <w:bCs/>
          <w:sz w:val="21"/>
          <w:szCs w:val="21"/>
          <w:lang w:eastAsia="zh-CN"/>
          <w14:ligatures w14:val="standardContextual"/>
        </w:rPr>
        <w:t>R</w:t>
      </w:r>
      <w:r>
        <w:rPr>
          <w:rFonts w:hint="eastAsia"/>
          <w:bCs/>
          <w:sz w:val="21"/>
          <w:szCs w:val="21"/>
          <w:lang w:eastAsia="zh-CN"/>
          <w14:ligatures w14:val="standardContextual"/>
        </w:rPr>
        <w:t>＞</w:t>
      </w:r>
      <w:r>
        <w:rPr>
          <w:bCs/>
          <w:sz w:val="21"/>
          <w:szCs w:val="21"/>
          <w:lang w:eastAsia="zh-CN"/>
          <w14:ligatures w14:val="standardContextual"/>
        </w:rPr>
        <w:t>R</w:t>
      </w:r>
      <w:r>
        <w:rPr>
          <w:bCs/>
          <w:sz w:val="21"/>
          <w:szCs w:val="21"/>
          <w:vertAlign w:val="subscript"/>
          <w:lang w:eastAsia="zh-CN"/>
          <w14:ligatures w14:val="standardContextual"/>
        </w:rPr>
        <w:t>b</w:t>
      </w:r>
      <w:r>
        <w:rPr>
          <w:bCs/>
          <w:sz w:val="21"/>
          <w:szCs w:val="21"/>
          <w:lang w:eastAsia="zh-CN"/>
          <w14:ligatures w14:val="standardContextual"/>
        </w:rPr>
        <w:t>+6%</w:t>
      </w:r>
      <w:r>
        <w:rPr>
          <w:rFonts w:hint="eastAsia"/>
          <w:bCs/>
          <w:sz w:val="21"/>
          <w:szCs w:val="21"/>
          <w:lang w:eastAsia="zh-CN"/>
          <w14:ligatures w14:val="standardContextual"/>
        </w:rPr>
        <w:t>且</w:t>
      </w:r>
      <w:r>
        <w:rPr>
          <w:bCs/>
          <w:sz w:val="21"/>
          <w:szCs w:val="21"/>
          <w:lang w:eastAsia="zh-CN"/>
          <w14:ligatures w14:val="standardContextual"/>
        </w:rPr>
        <w:t>R</w:t>
      </w:r>
      <w:r>
        <w:rPr>
          <w:rFonts w:hint="eastAsia"/>
          <w:bCs/>
          <w:sz w:val="21"/>
          <w:szCs w:val="21"/>
          <w:lang w:eastAsia="zh-CN"/>
          <w14:ligatures w14:val="standardContextual"/>
        </w:rPr>
        <w:t>＞</w:t>
      </w:r>
      <w:r>
        <w:rPr>
          <w:bCs/>
          <w:sz w:val="21"/>
          <w:szCs w:val="21"/>
          <w:lang w:eastAsia="zh-CN"/>
          <w14:ligatures w14:val="standardContextual"/>
        </w:rPr>
        <w:t>0</w:t>
      </w:r>
      <w:r>
        <w:rPr>
          <w:rFonts w:hint="eastAsia"/>
          <w:bCs/>
          <w:sz w:val="21"/>
          <w:szCs w:val="21"/>
          <w:lang w:eastAsia="zh-CN"/>
          <w14:ligatures w14:val="standardContextual"/>
        </w:rPr>
        <w:t>的情形下，若拟扣除超额管理费后的年化收益率小于等于</w:t>
      </w:r>
      <w:r>
        <w:rPr>
          <w:bCs/>
          <w:sz w:val="21"/>
          <w:szCs w:val="21"/>
          <w:lang w:eastAsia="zh-CN"/>
          <w14:ligatures w14:val="standardContextual"/>
        </w:rPr>
        <w:t>R</w:t>
      </w:r>
      <w:r>
        <w:rPr>
          <w:bCs/>
          <w:sz w:val="21"/>
          <w:szCs w:val="21"/>
          <w:vertAlign w:val="subscript"/>
          <w:lang w:eastAsia="zh-CN"/>
          <w14:ligatures w14:val="standardContextual"/>
        </w:rPr>
        <w:t>b</w:t>
      </w:r>
      <w:r>
        <w:rPr>
          <w:bCs/>
          <w:sz w:val="21"/>
          <w:szCs w:val="21"/>
          <w:lang w:eastAsia="zh-CN"/>
          <w14:ligatures w14:val="standardContextual"/>
        </w:rPr>
        <w:t>+6%</w:t>
      </w:r>
      <w:r>
        <w:rPr>
          <w:rFonts w:hint="eastAsia"/>
          <w:bCs/>
          <w:sz w:val="21"/>
          <w:szCs w:val="21"/>
          <w:lang w:eastAsia="zh-CN"/>
          <w14:ligatures w14:val="standardContextual"/>
        </w:rPr>
        <w:t>，或小于等于</w:t>
      </w:r>
      <w:r>
        <w:rPr>
          <w:bCs/>
          <w:sz w:val="21"/>
          <w:szCs w:val="21"/>
          <w:lang w:eastAsia="zh-CN"/>
          <w14:ligatures w14:val="standardContextual"/>
        </w:rPr>
        <w:t>0</w:t>
      </w:r>
      <w:r>
        <w:rPr>
          <w:rFonts w:hint="eastAsia"/>
          <w:bCs/>
          <w:sz w:val="21"/>
          <w:szCs w:val="21"/>
          <w:lang w:eastAsia="zh-CN"/>
          <w14:ligatures w14:val="standardContextual"/>
        </w:rPr>
        <w:t>时，仍按</w:t>
      </w:r>
      <w:r>
        <w:rPr>
          <w:bCs/>
          <w:sz w:val="21"/>
          <w:szCs w:val="21"/>
          <w:lang w:eastAsia="zh-CN"/>
          <w14:ligatures w14:val="standardContextual"/>
        </w:rPr>
        <w:t>1.20%</w:t>
      </w:r>
      <w:r>
        <w:rPr>
          <w:rFonts w:hint="eastAsia"/>
          <w:bCs/>
          <w:sz w:val="21"/>
          <w:szCs w:val="21"/>
          <w:lang w:eastAsia="zh-CN"/>
          <w14:ligatures w14:val="standardContextual"/>
        </w:rPr>
        <w:t>年费率收取该笔基金份额的管理费，以使得该笔基金份额在扣除超额管理费后的年化收益率仍需满足本基金收取超额管理费的标准。</w:t>
      </w:r>
    </w:p>
    <w:p w14:paraId="602A3744">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具体而言，本基金的管理费包含固定管理费、或有管理费和超额管理费，按以下方式计算和确认。</w:t>
      </w:r>
    </w:p>
    <w:p w14:paraId="4C29D0B3">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1</w:t>
      </w:r>
      <w:r>
        <w:rPr>
          <w:rFonts w:hint="eastAsia"/>
          <w:bCs/>
          <w:sz w:val="21"/>
          <w:szCs w:val="21"/>
          <w:lang w:eastAsia="zh-CN"/>
          <w14:ligatures w14:val="standardContextual"/>
        </w:rPr>
        <w:t>）固定管理费</w:t>
      </w:r>
    </w:p>
    <w:p w14:paraId="3689F095">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固定管理费按前一日基金资产净值的</w:t>
      </w:r>
      <w:r>
        <w:rPr>
          <w:bCs/>
          <w:sz w:val="21"/>
          <w:szCs w:val="21"/>
          <w:lang w:eastAsia="zh-CN"/>
          <w14:ligatures w14:val="standardContextual"/>
        </w:rPr>
        <w:t>0.60%</w:t>
      </w:r>
      <w:r>
        <w:rPr>
          <w:rFonts w:hint="eastAsia"/>
          <w:bCs/>
          <w:sz w:val="21"/>
          <w:szCs w:val="21"/>
          <w:lang w:eastAsia="zh-CN"/>
          <w14:ligatures w14:val="standardContextual"/>
        </w:rPr>
        <w:t>年费率每日计提。固定管理费的计算方法如下：</w:t>
      </w:r>
    </w:p>
    <w:p w14:paraId="51CEB68E">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1</w:t>
      </w:r>
      <w:r>
        <w:rPr>
          <w:rFonts w:hint="eastAsia"/>
          <w:bCs/>
          <w:sz w:val="21"/>
          <w:szCs w:val="21"/>
          <w:lang w:eastAsia="zh-CN"/>
          <w14:ligatures w14:val="standardContextual"/>
        </w:rPr>
        <w:t>＝</w:t>
      </w:r>
      <w:r>
        <w:rPr>
          <w:bCs/>
          <w:sz w:val="21"/>
          <w:szCs w:val="21"/>
          <w:lang w:eastAsia="zh-CN"/>
          <w14:ligatures w14:val="standardContextual"/>
        </w:rPr>
        <w:t>E</w:t>
      </w:r>
      <w:r>
        <w:rPr>
          <w:rFonts w:hint="eastAsia"/>
          <w:bCs/>
          <w:sz w:val="21"/>
          <w:szCs w:val="21"/>
          <w:lang w:eastAsia="zh-CN"/>
          <w14:ligatures w14:val="standardContextual"/>
        </w:rPr>
        <w:t>×</w:t>
      </w:r>
      <w:r>
        <w:rPr>
          <w:bCs/>
          <w:sz w:val="21"/>
          <w:szCs w:val="21"/>
          <w:lang w:eastAsia="zh-CN"/>
          <w14:ligatures w14:val="standardContextual"/>
        </w:rPr>
        <w:t>0.60%</w:t>
      </w:r>
      <w:r>
        <w:rPr>
          <w:rFonts w:hint="eastAsia"/>
          <w:bCs/>
          <w:sz w:val="21"/>
          <w:szCs w:val="21"/>
          <w:lang w:eastAsia="zh-CN"/>
          <w14:ligatures w14:val="standardContextual"/>
        </w:rPr>
        <w:t>÷当年天数</w:t>
      </w:r>
    </w:p>
    <w:p w14:paraId="5CB60D90">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1</w:t>
      </w:r>
      <w:r>
        <w:rPr>
          <w:rFonts w:hint="eastAsia"/>
          <w:bCs/>
          <w:sz w:val="21"/>
          <w:szCs w:val="21"/>
          <w:lang w:eastAsia="zh-CN"/>
          <w14:ligatures w14:val="standardContextual"/>
        </w:rPr>
        <w:t>为每日应计提的固定管理费</w:t>
      </w:r>
    </w:p>
    <w:p w14:paraId="1DF349BD">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E</w:t>
      </w:r>
      <w:r>
        <w:rPr>
          <w:rFonts w:hint="eastAsia"/>
          <w:bCs/>
          <w:sz w:val="21"/>
          <w:szCs w:val="21"/>
          <w:lang w:eastAsia="zh-CN"/>
          <w14:ligatures w14:val="standardContextual"/>
        </w:rPr>
        <w:t>为前一日的基金资产净值</w:t>
      </w:r>
    </w:p>
    <w:p w14:paraId="33F3F9CE">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固定管理费每日计提，逐日累计至每个月月末，按月支付。由基金管理人向基金托管人发送基金管理费划款指令，基金托管人复核后于次月首日起</w:t>
      </w:r>
      <w:r>
        <w:rPr>
          <w:bCs/>
          <w:sz w:val="21"/>
          <w:szCs w:val="21"/>
          <w:lang w:eastAsia="zh-CN"/>
          <w14:ligatures w14:val="standardContextual"/>
        </w:rPr>
        <w:t>5</w:t>
      </w:r>
      <w:r>
        <w:rPr>
          <w:rFonts w:hint="eastAsia"/>
          <w:bCs/>
          <w:sz w:val="21"/>
          <w:szCs w:val="21"/>
          <w:lang w:eastAsia="zh-CN"/>
          <w14:ligatures w14:val="standardContextual"/>
        </w:rPr>
        <w:t>个工作日内从基金财产中一次性支付给基金管理人。若遇法定节假日、休息日或不可抗力致使无法按时支付的，支付日期顺延。</w:t>
      </w:r>
    </w:p>
    <w:p w14:paraId="2BAC53BA">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2</w:t>
      </w:r>
      <w:r>
        <w:rPr>
          <w:rFonts w:hint="eastAsia"/>
          <w:bCs/>
          <w:sz w:val="21"/>
          <w:szCs w:val="21"/>
          <w:lang w:eastAsia="zh-CN"/>
          <w14:ligatures w14:val="standardContextual"/>
        </w:rPr>
        <w:t>）或有管理费和超额管理费</w:t>
      </w:r>
    </w:p>
    <w:p w14:paraId="573AE7F1">
      <w:pPr>
        <w:ind w:firstLine="480"/>
        <w:rPr>
          <w:bCs/>
          <w:sz w:val="21"/>
          <w:szCs w:val="21"/>
          <w:lang w:eastAsia="zh-CN"/>
          <w14:ligatures w14:val="standardContextual"/>
        </w:rPr>
      </w:pPr>
      <w:r>
        <w:rPr>
          <w:rFonts w:hint="eastAsia"/>
          <w:bCs/>
          <w:sz w:val="21"/>
          <w:szCs w:val="21"/>
          <w:lang w:eastAsia="zh-CN"/>
          <w14:ligatures w14:val="standardContextual"/>
        </w:rPr>
        <w:t>或有管理费按前一日基金资产净值的</w:t>
      </w:r>
      <w:r>
        <w:rPr>
          <w:bCs/>
          <w:sz w:val="21"/>
          <w:szCs w:val="21"/>
          <w:lang w:eastAsia="zh-CN"/>
          <w14:ligatures w14:val="standardContextual"/>
        </w:rPr>
        <w:t>0.60%</w:t>
      </w:r>
      <w:r>
        <w:rPr>
          <w:rFonts w:hint="eastAsia"/>
          <w:bCs/>
          <w:sz w:val="21"/>
          <w:szCs w:val="21"/>
          <w:lang w:eastAsia="zh-CN"/>
          <w14:ligatures w14:val="standardContextual"/>
        </w:rPr>
        <w:t>年费率每日计提。或有管理费的计算方法如下：</w:t>
      </w:r>
    </w:p>
    <w:p w14:paraId="4F1A8D92">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2</w:t>
      </w:r>
      <w:r>
        <w:rPr>
          <w:rFonts w:hint="eastAsia"/>
          <w:bCs/>
          <w:sz w:val="21"/>
          <w:szCs w:val="21"/>
          <w:lang w:eastAsia="zh-CN"/>
          <w14:ligatures w14:val="standardContextual"/>
        </w:rPr>
        <w:t>＝</w:t>
      </w:r>
      <w:r>
        <w:rPr>
          <w:bCs/>
          <w:sz w:val="21"/>
          <w:szCs w:val="21"/>
          <w:lang w:eastAsia="zh-CN"/>
          <w14:ligatures w14:val="standardContextual"/>
        </w:rPr>
        <w:t>E</w:t>
      </w:r>
      <w:r>
        <w:rPr>
          <w:rFonts w:hint="eastAsia"/>
          <w:bCs/>
          <w:sz w:val="21"/>
          <w:szCs w:val="21"/>
          <w:lang w:eastAsia="zh-CN"/>
          <w14:ligatures w14:val="standardContextual"/>
        </w:rPr>
        <w:t>×</w:t>
      </w:r>
      <w:r>
        <w:rPr>
          <w:bCs/>
          <w:sz w:val="21"/>
          <w:szCs w:val="21"/>
          <w:lang w:eastAsia="zh-CN"/>
          <w14:ligatures w14:val="standardContextual"/>
        </w:rPr>
        <w:t>0.60%</w:t>
      </w:r>
      <w:r>
        <w:rPr>
          <w:rFonts w:hint="eastAsia"/>
          <w:bCs/>
          <w:sz w:val="21"/>
          <w:szCs w:val="21"/>
          <w:lang w:eastAsia="zh-CN"/>
          <w14:ligatures w14:val="standardContextual"/>
        </w:rPr>
        <w:t>÷当年天数</w:t>
      </w:r>
    </w:p>
    <w:p w14:paraId="1283C7DA">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2</w:t>
      </w:r>
      <w:r>
        <w:rPr>
          <w:rFonts w:hint="eastAsia"/>
          <w:bCs/>
          <w:sz w:val="21"/>
          <w:szCs w:val="21"/>
          <w:lang w:eastAsia="zh-CN"/>
          <w14:ligatures w14:val="standardContextual"/>
        </w:rPr>
        <w:t>为每日应计提的或有管理费</w:t>
      </w:r>
    </w:p>
    <w:p w14:paraId="2A61022C">
      <w:pPr>
        <w:spacing w:line="360" w:lineRule="auto"/>
        <w:ind w:firstLine="420" w:firstLineChars="200"/>
        <w:rPr>
          <w:sz w:val="21"/>
          <w:szCs w:val="21"/>
          <w:lang w:eastAsia="zh-CN"/>
          <w14:ligatures w14:val="standardContextual"/>
        </w:rPr>
      </w:pPr>
      <w:r>
        <w:rPr>
          <w:sz w:val="21"/>
          <w:szCs w:val="21"/>
          <w:lang w:eastAsia="zh-CN"/>
          <w14:ligatures w14:val="standardContextual"/>
        </w:rPr>
        <w:t>E</w:t>
      </w:r>
      <w:r>
        <w:rPr>
          <w:rFonts w:hint="eastAsia"/>
          <w:sz w:val="21"/>
          <w:szCs w:val="21"/>
          <w:lang w:eastAsia="zh-CN"/>
          <w14:ligatures w14:val="standardContextual"/>
        </w:rPr>
        <w:t>为前一日的基金资产净值</w:t>
      </w:r>
    </w:p>
    <w:p w14:paraId="70246A2E">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投资者赎回、转出基金份额或基金合同终止的情形发生时，若该笔基金份额持有天数达到或超过</w:t>
      </w:r>
      <w:r>
        <w:rPr>
          <w:bCs/>
          <w:sz w:val="21"/>
          <w:szCs w:val="21"/>
          <w:lang w:eastAsia="zh-CN"/>
          <w14:ligatures w14:val="standardContextual"/>
        </w:rPr>
        <w:t>365</w:t>
      </w:r>
      <w:r>
        <w:rPr>
          <w:rFonts w:hint="eastAsia"/>
          <w:bCs/>
          <w:sz w:val="21"/>
          <w:szCs w:val="21"/>
          <w:lang w:eastAsia="zh-CN"/>
          <w14:ligatures w14:val="standardContextual"/>
        </w:rPr>
        <w:t>天，且该笔基金份额的持有收益率</w:t>
      </w:r>
      <w:r>
        <w:rPr>
          <w:bCs/>
          <w:sz w:val="21"/>
          <w:szCs w:val="21"/>
          <w:lang w:eastAsia="zh-CN"/>
          <w14:ligatures w14:val="standardContextual"/>
        </w:rPr>
        <w:t>R</w:t>
      </w:r>
      <w:r>
        <w:rPr>
          <w:rFonts w:hint="eastAsia"/>
          <w:bCs/>
          <w:sz w:val="21"/>
          <w:szCs w:val="21"/>
          <w:lang w:eastAsia="zh-CN"/>
          <w14:ligatures w14:val="standardContextual"/>
        </w:rPr>
        <w:t>符合下表“情形一”的收取情形，或有管理费为</w:t>
      </w:r>
      <w:r>
        <w:rPr>
          <w:bCs/>
          <w:sz w:val="21"/>
          <w:szCs w:val="21"/>
          <w:lang w:eastAsia="zh-CN"/>
          <w14:ligatures w14:val="standardContextual"/>
        </w:rPr>
        <w:t>0</w:t>
      </w:r>
      <w:r>
        <w:rPr>
          <w:rFonts w:hint="eastAsia"/>
          <w:bCs/>
          <w:sz w:val="21"/>
          <w:szCs w:val="21"/>
          <w:lang w:eastAsia="zh-CN"/>
          <w14:ligatures w14:val="standardContextual"/>
        </w:rPr>
        <w:t>，则该笔基金份额</w:t>
      </w:r>
      <w:bookmarkStart w:id="20" w:name="_Hlk196468735"/>
      <w:r>
        <w:rPr>
          <w:rFonts w:hint="eastAsia"/>
          <w:bCs/>
          <w:sz w:val="21"/>
          <w:szCs w:val="21"/>
          <w:lang w:eastAsia="zh-CN"/>
          <w14:ligatures w14:val="standardContextual"/>
        </w:rPr>
        <w:t>持有期内计提的或有管理费将</w:t>
      </w:r>
      <w:bookmarkEnd w:id="20"/>
      <w:r>
        <w:rPr>
          <w:rFonts w:hint="eastAsia"/>
          <w:bCs/>
          <w:sz w:val="21"/>
          <w:szCs w:val="21"/>
          <w:lang w:eastAsia="zh-CN"/>
          <w14:ligatures w14:val="standardContextual"/>
        </w:rPr>
        <w:t>全额随赎回款（或清算款）一并返还给投资者；在其他情形下，该笔基金份额持有期内计提的或有管理费应确认为应由基金管理人收取的管理费。</w:t>
      </w:r>
    </w:p>
    <w:p w14:paraId="71B95214">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本基金每日预估计算并记录每笔基金份额的超额管理费，基金超额管理费的预估计算方法如下：</w:t>
      </w:r>
    </w:p>
    <w:p w14:paraId="5528CB2D">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3</w:t>
      </w:r>
      <w:r>
        <w:rPr>
          <w:rFonts w:hint="eastAsia"/>
          <w:bCs/>
          <w:sz w:val="21"/>
          <w:szCs w:val="21"/>
          <w:lang w:eastAsia="zh-CN"/>
          <w14:ligatures w14:val="standardContextual"/>
        </w:rPr>
        <w:t>＝</w:t>
      </w:r>
      <w:r>
        <w:rPr>
          <w:bCs/>
          <w:sz w:val="21"/>
          <w:szCs w:val="21"/>
          <w:lang w:eastAsia="zh-CN"/>
          <w14:ligatures w14:val="standardContextual"/>
        </w:rPr>
        <w:t>E</w:t>
      </w:r>
      <w:r>
        <w:rPr>
          <w:rFonts w:hint="eastAsia"/>
          <w:bCs/>
          <w:sz w:val="21"/>
          <w:szCs w:val="21"/>
          <w:lang w:eastAsia="zh-CN"/>
          <w14:ligatures w14:val="standardContextual"/>
        </w:rPr>
        <w:t>×</w:t>
      </w:r>
      <w:r>
        <w:rPr>
          <w:bCs/>
          <w:sz w:val="21"/>
          <w:szCs w:val="21"/>
          <w:lang w:eastAsia="zh-CN"/>
          <w14:ligatures w14:val="standardContextual"/>
        </w:rPr>
        <w:t>0.30%</w:t>
      </w:r>
      <w:r>
        <w:rPr>
          <w:rFonts w:hint="eastAsia"/>
          <w:bCs/>
          <w:sz w:val="21"/>
          <w:szCs w:val="21"/>
          <w:lang w:eastAsia="zh-CN"/>
          <w14:ligatures w14:val="standardContextual"/>
        </w:rPr>
        <w:t>÷当年天数</w:t>
      </w:r>
    </w:p>
    <w:p w14:paraId="048E7FCA">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H</w:t>
      </w:r>
      <w:r>
        <w:rPr>
          <w:bCs/>
          <w:sz w:val="21"/>
          <w:szCs w:val="21"/>
          <w:vertAlign w:val="subscript"/>
          <w:lang w:eastAsia="zh-CN"/>
          <w14:ligatures w14:val="standardContextual"/>
        </w:rPr>
        <w:t>3</w:t>
      </w:r>
      <w:r>
        <w:rPr>
          <w:rFonts w:hint="eastAsia"/>
          <w:bCs/>
          <w:sz w:val="21"/>
          <w:szCs w:val="21"/>
          <w:lang w:eastAsia="zh-CN"/>
          <w14:ligatures w14:val="standardContextual"/>
        </w:rPr>
        <w:t>为每日预估计算的基金超额管理费</w:t>
      </w:r>
    </w:p>
    <w:p w14:paraId="14EBEAF3">
      <w:pPr>
        <w:spacing w:line="360" w:lineRule="auto"/>
        <w:ind w:firstLine="420" w:firstLineChars="200"/>
        <w:rPr>
          <w:sz w:val="21"/>
          <w:szCs w:val="21"/>
          <w:lang w:eastAsia="zh-CN"/>
          <w14:ligatures w14:val="standardContextual"/>
        </w:rPr>
      </w:pPr>
      <w:r>
        <w:rPr>
          <w:sz w:val="21"/>
          <w:szCs w:val="21"/>
          <w:lang w:eastAsia="zh-CN"/>
          <w14:ligatures w14:val="standardContextual"/>
        </w:rPr>
        <w:t>E</w:t>
      </w:r>
      <w:r>
        <w:rPr>
          <w:rFonts w:hint="eastAsia"/>
          <w:sz w:val="21"/>
          <w:szCs w:val="21"/>
          <w:lang w:eastAsia="zh-CN"/>
          <w14:ligatures w14:val="standardContextual"/>
        </w:rPr>
        <w:t>为前一日的基金资产净值</w:t>
      </w:r>
    </w:p>
    <w:p w14:paraId="55778791">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sz w:val="21"/>
          <w:szCs w:val="21"/>
          <w:lang w:eastAsia="zh-CN"/>
          <w14:ligatures w14:val="standardContextual"/>
        </w:rPr>
        <w:t>365</w:t>
      </w:r>
      <w:r>
        <w:rPr>
          <w:rFonts w:hint="eastAsia"/>
          <w:bCs/>
          <w:sz w:val="21"/>
          <w:szCs w:val="21"/>
          <w:lang w:eastAsia="zh-CN"/>
          <w14:ligatures w14:val="standardContextual"/>
        </w:rPr>
        <w:t>天，且该笔基金份额的年化收益率（</w:t>
      </w:r>
      <w:r>
        <w:rPr>
          <w:bCs/>
          <w:sz w:val="21"/>
          <w:szCs w:val="21"/>
          <w:lang w:eastAsia="zh-CN"/>
          <w14:ligatures w14:val="standardContextual"/>
        </w:rPr>
        <w:t>R</w:t>
      </w:r>
      <w:r>
        <w:rPr>
          <w:rFonts w:hint="eastAsia"/>
          <w:bCs/>
          <w:sz w:val="21"/>
          <w:szCs w:val="21"/>
          <w:lang w:eastAsia="zh-CN"/>
          <w14:ligatures w14:val="standardContextual"/>
        </w:rPr>
        <w:t>）符合下表“情形三”的</w:t>
      </w:r>
      <w:bookmarkStart w:id="21" w:name="_Hlk196468430"/>
      <w:r>
        <w:rPr>
          <w:rFonts w:hint="eastAsia"/>
          <w:bCs/>
          <w:sz w:val="21"/>
          <w:szCs w:val="21"/>
          <w:lang w:eastAsia="zh-CN"/>
          <w14:ligatures w14:val="standardContextual"/>
        </w:rPr>
        <w:t>收取情形，将从该笔基金份额的赎回款（或清算款）中扣除</w:t>
      </w:r>
      <w:r>
        <w:rPr>
          <w:bCs/>
          <w:sz w:val="21"/>
          <w:szCs w:val="21"/>
          <w:lang w:eastAsia="zh-CN"/>
          <w14:ligatures w14:val="standardContextual"/>
        </w:rPr>
        <w:t>0.30%</w:t>
      </w:r>
      <w:r>
        <w:rPr>
          <w:rFonts w:hint="eastAsia"/>
          <w:bCs/>
          <w:sz w:val="21"/>
          <w:szCs w:val="21"/>
          <w:lang w:eastAsia="zh-CN"/>
          <w14:ligatures w14:val="standardContextual"/>
        </w:rPr>
        <w:t>年费率的超额管理费</w:t>
      </w:r>
      <w:bookmarkEnd w:id="21"/>
      <w:r>
        <w:rPr>
          <w:rFonts w:hint="eastAsia"/>
          <w:bCs/>
          <w:sz w:val="21"/>
          <w:szCs w:val="21"/>
          <w:lang w:eastAsia="zh-CN"/>
          <w14:ligatures w14:val="standardContextual"/>
        </w:rPr>
        <w:t>，并随已计提的或有管理费一同确认为应由基金管理人收取的管理费。</w:t>
      </w:r>
    </w:p>
    <w:p w14:paraId="1E8A36F7">
      <w:pPr>
        <w:spacing w:line="360" w:lineRule="auto"/>
        <w:ind w:firstLine="420" w:firstLineChars="200"/>
        <w:rPr>
          <w:bCs/>
          <w:lang w:eastAsia="zh-CN"/>
          <w14:ligatures w14:val="standardContextual"/>
        </w:rPr>
      </w:pPr>
      <w:r>
        <w:rPr>
          <w:rFonts w:hint="eastAsia"/>
          <w:bCs/>
          <w:sz w:val="21"/>
          <w:szCs w:val="21"/>
          <w:lang w:eastAsia="zh-CN"/>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236"/>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75C1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ADFB604">
            <w:pPr>
              <w:widowControl w:val="0"/>
              <w:jc w:val="center"/>
              <w:rPr>
                <w:rFonts w:ascii="宋体" w:hAnsi="宋体"/>
                <w:b/>
                <w:bCs/>
                <w:sz w:val="21"/>
                <w:szCs w:val="20"/>
                <w14:ligatures w14:val="standardContextual"/>
              </w:rPr>
            </w:pPr>
            <w:bookmarkStart w:id="22" w:name="_Hlk195865040"/>
            <w:r>
              <w:rPr>
                <w:rFonts w:hint="eastAsia" w:ascii="宋体" w:hAnsi="宋体"/>
                <w:b/>
                <w:bCs/>
                <w:sz w:val="21"/>
                <w:szCs w:val="20"/>
                <w14:ligatures w14:val="standardContextual"/>
              </w:rPr>
              <w:t>收取情形</w:t>
            </w:r>
          </w:p>
        </w:tc>
        <w:tc>
          <w:tcPr>
            <w:tcW w:w="2933" w:type="dxa"/>
            <w:vAlign w:val="center"/>
          </w:tcPr>
          <w:p w14:paraId="3503E950">
            <w:pPr>
              <w:widowControl w:val="0"/>
              <w:jc w:val="center"/>
              <w:rPr>
                <w:rFonts w:ascii="宋体" w:hAnsi="宋体"/>
                <w:b/>
                <w:bCs/>
                <w:sz w:val="21"/>
                <w:szCs w:val="20"/>
                <w14:ligatures w14:val="standardContextual"/>
              </w:rPr>
            </w:pPr>
            <w:r>
              <w:rPr>
                <w:rFonts w:hint="eastAsia" w:ascii="宋体" w:hAnsi="宋体"/>
                <w:b/>
                <w:bCs/>
                <w:sz w:val="21"/>
                <w:szCs w:val="20"/>
                <w14:ligatures w14:val="standardContextual"/>
              </w:rPr>
              <w:t>年化收益率（</w:t>
            </w:r>
            <w:r>
              <w:rPr>
                <w:rFonts w:ascii="宋体" w:hAnsi="宋体"/>
                <w:b/>
                <w:bCs/>
                <w:sz w:val="21"/>
                <w:szCs w:val="20"/>
                <w14:ligatures w14:val="standardContextual"/>
              </w:rPr>
              <w:t>R）</w:t>
            </w:r>
          </w:p>
        </w:tc>
        <w:tc>
          <w:tcPr>
            <w:tcW w:w="1701" w:type="dxa"/>
            <w:vAlign w:val="center"/>
          </w:tcPr>
          <w:p w14:paraId="553B5B91">
            <w:pPr>
              <w:widowControl w:val="0"/>
              <w:jc w:val="center"/>
              <w:rPr>
                <w:rFonts w:ascii="宋体" w:hAnsi="宋体"/>
                <w:b/>
                <w:bCs/>
                <w:sz w:val="21"/>
                <w:szCs w:val="20"/>
                <w:lang w:eastAsia="zh-CN"/>
                <w14:ligatures w14:val="standardContextual"/>
              </w:rPr>
            </w:pPr>
            <w:r>
              <w:rPr>
                <w:rFonts w:hint="eastAsia" w:ascii="宋体" w:hAnsi="宋体"/>
                <w:b/>
                <w:bCs/>
                <w:sz w:val="21"/>
                <w:szCs w:val="20"/>
                <w:lang w:eastAsia="zh-CN"/>
                <w14:ligatures w14:val="standardContextual"/>
              </w:rPr>
              <w:t>或有管理费</w:t>
            </w:r>
          </w:p>
          <w:p w14:paraId="2863DDF5">
            <w:pPr>
              <w:widowControl w:val="0"/>
              <w:jc w:val="center"/>
              <w:rPr>
                <w:rFonts w:ascii="宋体" w:hAnsi="宋体"/>
                <w:b/>
                <w:bCs/>
                <w:sz w:val="21"/>
                <w:szCs w:val="20"/>
                <w:lang w:eastAsia="zh-CN"/>
                <w14:ligatures w14:val="standardContextual"/>
              </w:rPr>
            </w:pPr>
            <w:r>
              <w:rPr>
                <w:rFonts w:hint="eastAsia" w:ascii="宋体" w:hAnsi="宋体"/>
                <w:b/>
                <w:bCs/>
                <w:sz w:val="21"/>
                <w:szCs w:val="20"/>
                <w:lang w:eastAsia="zh-CN"/>
                <w14:ligatures w14:val="standardContextual"/>
              </w:rPr>
              <w:t>（年费率）</w:t>
            </w:r>
          </w:p>
        </w:tc>
        <w:tc>
          <w:tcPr>
            <w:tcW w:w="1701" w:type="dxa"/>
            <w:vAlign w:val="center"/>
          </w:tcPr>
          <w:p w14:paraId="300D9B0B">
            <w:pPr>
              <w:widowControl w:val="0"/>
              <w:jc w:val="center"/>
              <w:rPr>
                <w:rFonts w:ascii="宋体" w:hAnsi="宋体"/>
                <w:b/>
                <w:bCs/>
                <w:sz w:val="21"/>
                <w:szCs w:val="20"/>
                <w:lang w:eastAsia="zh-CN"/>
                <w14:ligatures w14:val="standardContextual"/>
              </w:rPr>
            </w:pPr>
            <w:r>
              <w:rPr>
                <w:rFonts w:hint="eastAsia" w:ascii="宋体" w:hAnsi="宋体"/>
                <w:b/>
                <w:bCs/>
                <w:sz w:val="21"/>
                <w:szCs w:val="20"/>
                <w:lang w:eastAsia="zh-CN"/>
                <w14:ligatures w14:val="standardContextual"/>
              </w:rPr>
              <w:t>超额管理费</w:t>
            </w:r>
          </w:p>
          <w:p w14:paraId="64905B3D">
            <w:pPr>
              <w:widowControl w:val="0"/>
              <w:jc w:val="center"/>
              <w:rPr>
                <w:rFonts w:ascii="宋体" w:hAnsi="宋体"/>
                <w:b/>
                <w:bCs/>
                <w:sz w:val="21"/>
                <w:szCs w:val="20"/>
                <w:lang w:eastAsia="zh-CN"/>
                <w14:ligatures w14:val="standardContextual"/>
              </w:rPr>
            </w:pPr>
            <w:r>
              <w:rPr>
                <w:rFonts w:hint="eastAsia" w:ascii="宋体" w:hAnsi="宋体"/>
                <w:b/>
                <w:bCs/>
                <w:sz w:val="21"/>
                <w:szCs w:val="20"/>
                <w:lang w:eastAsia="zh-CN"/>
                <w14:ligatures w14:val="standardContextual"/>
              </w:rPr>
              <w:t>（年费率）</w:t>
            </w:r>
          </w:p>
        </w:tc>
      </w:tr>
      <w:tr w14:paraId="47C8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462A54BC">
            <w:pPr>
              <w:widowControl w:val="0"/>
              <w:jc w:val="center"/>
              <w:rPr>
                <w:rFonts w:ascii="宋体" w:hAnsi="宋体"/>
                <w:sz w:val="21"/>
                <w:szCs w:val="20"/>
                <w14:ligatures w14:val="standardContextual"/>
              </w:rPr>
            </w:pPr>
            <w:r>
              <w:rPr>
                <w:rFonts w:hint="eastAsia" w:ascii="宋体" w:hAnsi="宋体"/>
                <w:bCs/>
                <w:sz w:val="21"/>
                <w:szCs w:val="20"/>
                <w14:ligatures w14:val="standardContextual"/>
              </w:rPr>
              <w:t>情形</w:t>
            </w:r>
            <w:r>
              <w:rPr>
                <w:rFonts w:hint="eastAsia" w:ascii="宋体" w:hAnsi="宋体"/>
                <w:sz w:val="21"/>
                <w:szCs w:val="20"/>
                <w14:ligatures w14:val="standardContextual"/>
              </w:rPr>
              <w:t>一</w:t>
            </w:r>
          </w:p>
        </w:tc>
        <w:tc>
          <w:tcPr>
            <w:tcW w:w="2933" w:type="dxa"/>
            <w:vAlign w:val="center"/>
          </w:tcPr>
          <w:p w14:paraId="1CE8F666">
            <w:pPr>
              <w:widowControl w:val="0"/>
              <w:jc w:val="center"/>
              <w:rPr>
                <w:rFonts w:ascii="仿宋" w:hAnsi="仿宋" w:eastAsia="仿宋"/>
                <w:i/>
                <w:sz w:val="21"/>
                <w:szCs w:val="20"/>
                <w14:ligatures w14:val="standardContextual"/>
              </w:rPr>
            </w:pPr>
            <w:r>
              <w:rPr>
                <w:rFonts w:ascii="Cambria Math" w:hAnsi="Cambria Math" w:eastAsia="仿宋"/>
                <w:sz w:val="21"/>
                <w:szCs w:val="20"/>
                <w14:ligatures w14:val="standardContextual"/>
              </w:rPr>
              <w:t>R</w:t>
            </w:r>
            <w:r>
              <w:rPr>
                <w:rFonts w:hint="eastAsia" w:ascii="仿宋" w:hAnsi="仿宋" w:eastAsia="仿宋"/>
                <w:sz w:val="21"/>
                <w:szCs w:val="20"/>
                <w14:ligatures w14:val="standardContextual"/>
              </w:rPr>
              <w:t>≤</w:t>
            </w:r>
            <w:r>
              <w:rPr>
                <w:rFonts w:ascii="Cambria Math" w:hAnsi="Cambria Math" w:eastAsia="仿宋"/>
                <w:sz w:val="21"/>
                <w:szCs w:val="20"/>
                <w14:ligatures w14:val="standardContextual"/>
              </w:rPr>
              <w:t>R</w:t>
            </w:r>
            <w:r>
              <w:rPr>
                <w:rFonts w:ascii="Cambria Math" w:hAnsi="Cambria Math" w:eastAsia="仿宋"/>
                <w:sz w:val="21"/>
                <w:szCs w:val="20"/>
                <w:vertAlign w:val="subscript"/>
                <w14:ligatures w14:val="standardContextual"/>
              </w:rPr>
              <w:t>b</w:t>
            </w:r>
            <w:r>
              <w:rPr>
                <w:rFonts w:ascii="Cambria Math" w:hAnsi="Cambria Math" w:eastAsia="仿宋"/>
                <w:sz w:val="21"/>
                <w:szCs w:val="20"/>
                <w14:ligatures w14:val="standardContextual"/>
              </w:rPr>
              <w:t>-3%</w:t>
            </w:r>
          </w:p>
        </w:tc>
        <w:tc>
          <w:tcPr>
            <w:tcW w:w="1701" w:type="dxa"/>
            <w:vAlign w:val="center"/>
          </w:tcPr>
          <w:p w14:paraId="6E92FE46">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w:t>
            </w:r>
          </w:p>
        </w:tc>
        <w:tc>
          <w:tcPr>
            <w:tcW w:w="1701" w:type="dxa"/>
            <w:vAlign w:val="center"/>
          </w:tcPr>
          <w:p w14:paraId="4262D771">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w:t>
            </w:r>
          </w:p>
        </w:tc>
      </w:tr>
      <w:tr w14:paraId="4B73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0BAEA80">
            <w:pPr>
              <w:widowControl w:val="0"/>
              <w:jc w:val="center"/>
              <w:rPr>
                <w:rFonts w:ascii="宋体" w:hAnsi="宋体"/>
                <w:sz w:val="21"/>
                <w:szCs w:val="20"/>
                <w14:ligatures w14:val="standardContextual"/>
              </w:rPr>
            </w:pPr>
            <w:r>
              <w:rPr>
                <w:rFonts w:hint="eastAsia" w:ascii="宋体" w:hAnsi="宋体"/>
                <w:bCs/>
                <w:sz w:val="21"/>
                <w:szCs w:val="20"/>
                <w14:ligatures w14:val="standardContextual"/>
              </w:rPr>
              <w:t>情形</w:t>
            </w:r>
            <w:r>
              <w:rPr>
                <w:rFonts w:hint="eastAsia" w:ascii="宋体" w:hAnsi="宋体"/>
                <w:sz w:val="21"/>
                <w:szCs w:val="20"/>
                <w14:ligatures w14:val="standardContextual"/>
              </w:rPr>
              <w:t>二</w:t>
            </w:r>
          </w:p>
        </w:tc>
        <w:tc>
          <w:tcPr>
            <w:tcW w:w="2933" w:type="dxa"/>
            <w:vAlign w:val="center"/>
          </w:tcPr>
          <w:p w14:paraId="2BEE75D6">
            <w:pPr>
              <w:widowControl w:val="0"/>
              <w:jc w:val="center"/>
              <w:rPr>
                <w:rFonts w:ascii="仿宋" w:hAnsi="仿宋" w:eastAsia="仿宋"/>
                <w:sz w:val="21"/>
                <w:szCs w:val="20"/>
                <w14:ligatures w14:val="standardContextual"/>
              </w:rPr>
            </w:pPr>
            <w:r>
              <w:rPr>
                <w:rFonts w:hint="eastAsia" w:ascii="宋体" w:hAnsi="宋体"/>
                <w:bCs/>
                <w:sz w:val="21"/>
                <w:szCs w:val="20"/>
                <w14:ligatures w14:val="standardContextual"/>
              </w:rPr>
              <w:t>其他情形</w:t>
            </w:r>
          </w:p>
        </w:tc>
        <w:tc>
          <w:tcPr>
            <w:tcW w:w="1701" w:type="dxa"/>
            <w:vAlign w:val="center"/>
          </w:tcPr>
          <w:p w14:paraId="54A3B807">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0.60%</w:t>
            </w:r>
          </w:p>
        </w:tc>
        <w:tc>
          <w:tcPr>
            <w:tcW w:w="1701" w:type="dxa"/>
            <w:vAlign w:val="center"/>
          </w:tcPr>
          <w:p w14:paraId="1B4D90FB">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w:t>
            </w:r>
          </w:p>
        </w:tc>
      </w:tr>
      <w:tr w14:paraId="4592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A20DA45">
            <w:pPr>
              <w:widowControl w:val="0"/>
              <w:jc w:val="center"/>
              <w:rPr>
                <w:rFonts w:ascii="宋体" w:hAnsi="宋体"/>
                <w:sz w:val="21"/>
                <w:szCs w:val="20"/>
                <w14:ligatures w14:val="standardContextual"/>
              </w:rPr>
            </w:pPr>
            <w:r>
              <w:rPr>
                <w:rFonts w:hint="eastAsia" w:ascii="宋体" w:hAnsi="宋体"/>
                <w:sz w:val="21"/>
                <w:szCs w:val="20"/>
                <w14:ligatures w14:val="standardContextual"/>
              </w:rPr>
              <w:t>情形三</w:t>
            </w:r>
          </w:p>
        </w:tc>
        <w:tc>
          <w:tcPr>
            <w:tcW w:w="2933" w:type="dxa"/>
            <w:vAlign w:val="center"/>
          </w:tcPr>
          <w:p w14:paraId="2E75D9D2">
            <w:pPr>
              <w:widowControl w:val="0"/>
              <w:spacing w:line="276" w:lineRule="auto"/>
              <w:jc w:val="center"/>
              <w:rPr>
                <w:rFonts w:ascii="仿宋" w:hAnsi="仿宋" w:eastAsia="仿宋"/>
                <w:b/>
                <w:bCs/>
                <w:sz w:val="21"/>
                <w:szCs w:val="20"/>
                <w14:ligatures w14:val="standardContextual"/>
              </w:rPr>
            </w:pPr>
            <w:r>
              <w:rPr>
                <w:bCs/>
                <w:sz w:val="21"/>
                <w:szCs w:val="20"/>
                <w14:ligatures w14:val="standardContextual"/>
              </w:rPr>
              <w:t>R</w:t>
            </w:r>
            <w:r>
              <w:rPr>
                <w:rFonts w:hint="eastAsia" w:ascii="仿宋" w:hAnsi="仿宋" w:eastAsia="仿宋"/>
                <w:bCs/>
                <w:sz w:val="21"/>
                <w:szCs w:val="20"/>
                <w14:ligatures w14:val="standardContextual"/>
              </w:rPr>
              <w:t>＞</w:t>
            </w:r>
            <w:r>
              <w:rPr>
                <w:bCs/>
                <w:sz w:val="21"/>
                <w:szCs w:val="20"/>
                <w14:ligatures w14:val="standardContextual"/>
              </w:rPr>
              <w:t>R</w:t>
            </w:r>
            <w:r>
              <w:rPr>
                <w:rFonts w:asciiTheme="majorHAnsi" w:hAnsiTheme="majorHAnsi"/>
                <w:spacing w:val="-2"/>
                <w:sz w:val="21"/>
                <w:szCs w:val="20"/>
                <w:vertAlign w:val="subscript"/>
                <w14:ligatures w14:val="standardContextual"/>
              </w:rPr>
              <w:t>b</w:t>
            </w:r>
            <w:r>
              <w:rPr>
                <w:bCs/>
                <w:sz w:val="21"/>
                <w:szCs w:val="20"/>
                <w14:ligatures w14:val="standardContextual"/>
              </w:rPr>
              <w:t>+6%</w:t>
            </w:r>
            <w:r>
              <w:rPr>
                <w:rFonts w:hint="eastAsia"/>
                <w:bCs/>
                <w:sz w:val="21"/>
                <w:szCs w:val="20"/>
                <w14:ligatures w14:val="standardContextual"/>
              </w:rPr>
              <w:t>，</w:t>
            </w:r>
            <w:r>
              <w:rPr>
                <w:bCs/>
                <w:sz w:val="21"/>
                <w:szCs w:val="20"/>
                <w14:ligatures w14:val="standardContextual"/>
              </w:rPr>
              <w:t>R</w:t>
            </w:r>
            <w:r>
              <w:rPr>
                <w:rFonts w:hint="eastAsia" w:ascii="仿宋" w:hAnsi="仿宋" w:eastAsia="仿宋"/>
                <w:bCs/>
                <w:sz w:val="21"/>
                <w:szCs w:val="20"/>
                <w14:ligatures w14:val="standardContextual"/>
              </w:rPr>
              <w:t>＞</w:t>
            </w:r>
            <w:r>
              <w:rPr>
                <w:bCs/>
                <w:sz w:val="21"/>
                <w:szCs w:val="20"/>
                <w14:ligatures w14:val="standardContextual"/>
              </w:rPr>
              <w:t>0</w:t>
            </w:r>
          </w:p>
        </w:tc>
        <w:tc>
          <w:tcPr>
            <w:tcW w:w="1701" w:type="dxa"/>
            <w:vAlign w:val="center"/>
          </w:tcPr>
          <w:p w14:paraId="556B83E1">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0.60%</w:t>
            </w:r>
          </w:p>
        </w:tc>
        <w:tc>
          <w:tcPr>
            <w:tcW w:w="1701" w:type="dxa"/>
            <w:vAlign w:val="center"/>
          </w:tcPr>
          <w:p w14:paraId="2C69550B">
            <w:pPr>
              <w:widowControl w:val="0"/>
              <w:jc w:val="center"/>
              <w:rPr>
                <w:rFonts w:ascii="Cambria" w:hAnsi="Cambria" w:eastAsia="仿宋"/>
                <w:sz w:val="21"/>
                <w:szCs w:val="20"/>
                <w14:ligatures w14:val="standardContextual"/>
              </w:rPr>
            </w:pPr>
            <w:r>
              <w:rPr>
                <w:rFonts w:ascii="Cambria" w:hAnsi="Cambria" w:eastAsia="仿宋"/>
                <w:sz w:val="21"/>
                <w:szCs w:val="20"/>
                <w14:ligatures w14:val="standardContextual"/>
              </w:rPr>
              <w:t>0.30%</w:t>
            </w:r>
          </w:p>
        </w:tc>
      </w:tr>
      <w:bookmarkEnd w:id="22"/>
    </w:tbl>
    <w:p w14:paraId="0763AADD">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对于“情形三”，若拟扣除超额管理费后的年化收益率小于等于</w:t>
      </w:r>
      <w:r>
        <w:rPr>
          <w:bCs/>
          <w:sz w:val="21"/>
          <w:szCs w:val="21"/>
          <w:lang w:eastAsia="zh-CN"/>
        </w:rPr>
        <w:t>R</w:t>
      </w:r>
      <w:r>
        <w:rPr>
          <w:rFonts w:asciiTheme="majorHAnsi" w:hAnsiTheme="majorHAnsi"/>
          <w:spacing w:val="-2"/>
          <w:sz w:val="21"/>
          <w:szCs w:val="21"/>
          <w:vertAlign w:val="subscript"/>
          <w:lang w:eastAsia="zh-CN"/>
        </w:rPr>
        <w:t>b</w:t>
      </w:r>
      <w:r>
        <w:rPr>
          <w:bCs/>
          <w:sz w:val="21"/>
          <w:szCs w:val="21"/>
          <w:lang w:eastAsia="zh-CN"/>
          <w14:ligatures w14:val="standardContextual"/>
        </w:rPr>
        <w:t xml:space="preserve"> +6%</w:t>
      </w:r>
      <w:r>
        <w:rPr>
          <w:rFonts w:hint="eastAsia"/>
          <w:bCs/>
          <w:sz w:val="21"/>
          <w:szCs w:val="21"/>
          <w:lang w:eastAsia="zh-CN"/>
          <w14:ligatures w14:val="standardContextual"/>
        </w:rPr>
        <w:t>，或小于等于</w:t>
      </w:r>
      <w:r>
        <w:rPr>
          <w:bCs/>
          <w:sz w:val="21"/>
          <w:szCs w:val="21"/>
          <w:lang w:eastAsia="zh-CN"/>
          <w14:ligatures w14:val="standardContextual"/>
        </w:rPr>
        <w:t>0</w:t>
      </w:r>
      <w:r>
        <w:rPr>
          <w:rFonts w:hint="eastAsia"/>
          <w:bCs/>
          <w:sz w:val="21"/>
          <w:szCs w:val="21"/>
          <w:lang w:eastAsia="zh-CN"/>
          <w14:ligatures w14:val="standardContextual"/>
        </w:rPr>
        <w:t>时，仍按</w:t>
      </w:r>
      <w:r>
        <w:rPr>
          <w:bCs/>
          <w:sz w:val="21"/>
          <w:szCs w:val="21"/>
          <w:lang w:eastAsia="zh-CN"/>
          <w14:ligatures w14:val="standardContextual"/>
        </w:rPr>
        <w:t>1.20%</w:t>
      </w:r>
      <w:r>
        <w:rPr>
          <w:rFonts w:hint="eastAsia"/>
          <w:bCs/>
          <w:sz w:val="21"/>
          <w:szCs w:val="21"/>
          <w:lang w:eastAsia="zh-CN"/>
          <w14:ligatures w14:val="standardContextual"/>
        </w:rPr>
        <w:t>年费率收取该笔基金份额的管理费，以使得该笔基金份额在扣除超额管理费后的年化收益率仍需满足本基金收取超额管理费的标准。</w:t>
      </w:r>
    </w:p>
    <w:p w14:paraId="5C5BDA53">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每笔基金份额的年化收益率（</w:t>
      </w:r>
      <w:r>
        <w:rPr>
          <w:bCs/>
          <w:sz w:val="21"/>
          <w:szCs w:val="21"/>
          <w:lang w:eastAsia="zh-CN"/>
          <w14:ligatures w14:val="standardContextual"/>
        </w:rPr>
        <w:t>R</w:t>
      </w:r>
      <w:r>
        <w:rPr>
          <w:rFonts w:hint="eastAsia"/>
          <w:bCs/>
          <w:sz w:val="21"/>
          <w:szCs w:val="21"/>
          <w:lang w:eastAsia="zh-CN"/>
          <w14:ligatures w14:val="standardContextual"/>
        </w:rPr>
        <w:t>）计算方法如下：</w:t>
      </w:r>
    </w:p>
    <w:p w14:paraId="4F1741FB">
      <w:pPr>
        <w:ind w:firstLine="480"/>
        <w:rPr>
          <w:rFonts w:ascii="仿宋" w:hAnsi="仿宋" w:eastAsia="仿宋" w:cs="Arial"/>
          <w:iCs/>
          <w:sz w:val="21"/>
          <w:szCs w:val="21"/>
          <w14:ligatures w14:val="standardContextual"/>
        </w:rPr>
      </w:pPr>
      <m:oMathPara>
        <m:oMath>
          <w:bookmarkStart w:id="23" w:name="_Hlk195865107"/>
          <m:r>
            <m:rPr>
              <m:sty m:val="p"/>
            </m:rPr>
            <w:rPr>
              <w:rFonts w:hint="eastAsia" w:ascii="Cambria Math" w:hAnsi="Cambria Math" w:eastAsia="仿宋" w:cs="TimesNewRomanPSMT"/>
              <w:sz w:val="21"/>
              <w:szCs w:val="21"/>
              <w14:ligatures w14:val="standardContextual"/>
            </w:rPr>
            <m:t>R=</m:t>
          </m:r>
          <m:f>
            <m:fPr>
              <m:ctrlPr>
                <w:rPr>
                  <w:rFonts w:ascii="Cambria Math" w:hAnsi="Cambria Math" w:eastAsia="仿宋" w:cs="TimesNewRomanPSMT"/>
                  <w:sz w:val="21"/>
                  <w:szCs w:val="21"/>
                  <w14:ligatures w14:val="standardContextual"/>
                </w:rPr>
              </m:ctrlPr>
            </m:fPr>
            <m:num>
              <m:r>
                <m:rPr/>
                <w:rPr>
                  <w:rFonts w:ascii="Cambria Math" w:hAnsi="Cambria Math" w:eastAsia="仿宋" w:cs="TimesNewRomanPSMT"/>
                  <w:sz w:val="21"/>
                  <w:szCs w:val="21"/>
                  <w14:ligatures w14:val="standardContextual"/>
                </w:rPr>
                <m:t>A−B</m:t>
              </m:r>
              <m:ctrlPr>
                <w:rPr>
                  <w:rFonts w:ascii="Cambria Math" w:hAnsi="Cambria Math" w:eastAsia="仿宋" w:cs="TimesNewRomanPSMT"/>
                  <w:sz w:val="21"/>
                  <w:szCs w:val="21"/>
                  <w14:ligatures w14:val="standardContextual"/>
                </w:rPr>
              </m:ctrlPr>
            </m:num>
            <m:den>
              <m:r>
                <m:rPr/>
                <w:rPr>
                  <w:rFonts w:hint="eastAsia" w:ascii="Cambria Math" w:hAnsi="Cambria Math" w:eastAsia="仿宋" w:cs="TimesNewRomanPSMT"/>
                  <w:sz w:val="21"/>
                  <w:szCs w:val="21"/>
                  <w14:ligatures w14:val="standardContextual"/>
                </w:rPr>
                <m:t>C</m:t>
              </m:r>
              <m:ctrlPr>
                <w:rPr>
                  <w:rFonts w:ascii="Cambria Math" w:hAnsi="Cambria Math" w:eastAsia="仿宋" w:cs="TimesNewRomanPSMT"/>
                  <w:sz w:val="21"/>
                  <w:szCs w:val="21"/>
                  <w14:ligatures w14:val="standardContextual"/>
                </w:rPr>
              </m:ctrlPr>
            </m:den>
          </m:f>
          <m:r>
            <m:rPr/>
            <w:rPr>
              <w:rFonts w:hint="eastAsia" w:ascii="Cambria Math" w:hAnsi="Cambria Math" w:eastAsia="仿宋" w:cs="TimesNewRomanPSMT"/>
              <w:sz w:val="21"/>
              <w:szCs w:val="21"/>
              <w14:ligatures w14:val="standardContextual"/>
            </w:rPr>
            <m:t>×</m:t>
          </m:r>
          <m:f>
            <m:fPr>
              <m:ctrlPr>
                <w:rPr>
                  <w:rFonts w:ascii="Cambria Math" w:hAnsi="Cambria Math" w:eastAsia="仿宋" w:cs="TimesNewRomanPSMT"/>
                  <w:i/>
                  <w:sz w:val="21"/>
                  <w:szCs w:val="21"/>
                  <w14:ligatures w14:val="standardContextual"/>
                </w:rPr>
              </m:ctrlPr>
            </m:fPr>
            <m:num>
              <m:r>
                <m:rPr/>
                <w:rPr>
                  <w:rFonts w:hint="eastAsia" w:ascii="Cambria Math" w:hAnsi="Cambria Math" w:eastAsia="仿宋" w:cs="TimesNewRomanPSMT"/>
                  <w:sz w:val="21"/>
                  <w:szCs w:val="21"/>
                  <w14:ligatures w14:val="standardContextual"/>
                </w:rPr>
                <m:t>365</m:t>
              </m:r>
              <m:ctrlPr>
                <w:rPr>
                  <w:rFonts w:ascii="Cambria Math" w:hAnsi="Cambria Math" w:eastAsia="仿宋" w:cs="TimesNewRomanPSMT"/>
                  <w:i/>
                  <w:sz w:val="21"/>
                  <w:szCs w:val="21"/>
                  <w14:ligatures w14:val="standardContextual"/>
                </w:rPr>
              </m:ctrlPr>
            </m:num>
            <m:den>
              <m:r>
                <m:rPr/>
                <w:rPr>
                  <w:rFonts w:hint="eastAsia" w:ascii="Cambria Math" w:hAnsi="Cambria Math" w:eastAsia="仿宋" w:cs="TimesNewRomanPSMT"/>
                  <w:sz w:val="21"/>
                  <w:szCs w:val="21"/>
                  <w14:ligatures w14:val="standardContextual"/>
                </w:rPr>
                <m:t>D</m:t>
              </m:r>
              <m:ctrlPr>
                <w:rPr>
                  <w:rFonts w:ascii="Cambria Math" w:hAnsi="Cambria Math" w:eastAsia="仿宋" w:cs="TimesNewRomanPSMT"/>
                  <w:i/>
                  <w:sz w:val="21"/>
                  <w:szCs w:val="21"/>
                  <w14:ligatures w14:val="standardContextual"/>
                </w:rPr>
              </m:ctrlPr>
            </m:den>
          </m:f>
          <m:r>
            <m:rPr/>
            <w:rPr>
              <w:rFonts w:hint="eastAsia" w:ascii="Cambria Math" w:hAnsi="Cambria Math" w:eastAsia="仿宋" w:cs="TimesNewRomanPSMT"/>
              <w:sz w:val="21"/>
              <w:szCs w:val="21"/>
              <w14:ligatures w14:val="standardContextual"/>
            </w:rPr>
            <m:t>×100%</m:t>
          </m:r>
        </m:oMath>
      </m:oMathPara>
    </w:p>
    <w:bookmarkEnd w:id="23"/>
    <w:p w14:paraId="763DDC2A">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拟扣除超额管理费后的年化收益率（</w:t>
      </w:r>
      <w:r>
        <w:rPr>
          <w:bCs/>
          <w:sz w:val="21"/>
          <w:szCs w:val="21"/>
          <w:lang w:eastAsia="zh-CN"/>
          <w14:ligatures w14:val="standardContextual"/>
        </w:rPr>
        <w:t>R*</w:t>
      </w:r>
      <w:r>
        <w:rPr>
          <w:rFonts w:hint="eastAsia"/>
          <w:bCs/>
          <w:sz w:val="21"/>
          <w:szCs w:val="21"/>
          <w:lang w:eastAsia="zh-CN"/>
          <w14:ligatures w14:val="standardContextual"/>
        </w:rPr>
        <w:t>）的计算方法如下：</w:t>
      </w:r>
    </w:p>
    <w:p w14:paraId="177BC8D0">
      <w:pPr>
        <w:spacing w:line="360" w:lineRule="auto"/>
        <w:ind w:firstLine="420" w:firstLineChars="200"/>
        <w:jc w:val="center"/>
        <w:rPr>
          <w:bCs/>
          <w:sz w:val="21"/>
          <w:szCs w:val="21"/>
          <w14:ligatures w14:val="standardContextual"/>
        </w:rPr>
      </w:pPr>
      <m:oMathPara>
        <m:oMath>
          <m:r>
            <m:rPr>
              <m:sty m:val="p"/>
            </m:rPr>
            <w:rPr>
              <w:rFonts w:hint="eastAsia" w:ascii="Cambria Math" w:hAnsi="Cambria Math"/>
              <w:sz w:val="21"/>
              <w:szCs w:val="21"/>
              <w14:ligatures w14:val="standardContextual"/>
            </w:rPr>
            <m:t>R</m:t>
          </m:r>
          <m:r>
            <m:rPr/>
            <w:rPr>
              <w:rFonts w:ascii="Cambria Math" w:hAnsi="Cambria Math"/>
              <w:sz w:val="21"/>
              <w:szCs w:val="21"/>
              <w14:ligatures w14:val="standardContextual"/>
            </w:rPr>
            <m:t>∗=</m:t>
          </m:r>
          <m:f>
            <m:fPr>
              <m:ctrlPr>
                <w:rPr>
                  <w:rFonts w:ascii="Cambria Math" w:hAnsi="Cambria Math"/>
                  <w:bCs/>
                  <w:i/>
                  <w:sz w:val="21"/>
                  <w:szCs w:val="21"/>
                  <w14:ligatures w14:val="standardContextual"/>
                </w:rPr>
              </m:ctrlPr>
            </m:fPr>
            <m:num>
              <m:r>
                <m:rPr/>
                <w:rPr>
                  <w:rFonts w:hint="eastAsia" w:ascii="Cambria Math" w:hAnsi="Cambria Math"/>
                  <w:sz w:val="21"/>
                  <w:szCs w:val="21"/>
                  <w14:ligatures w14:val="standardContextual"/>
                </w:rPr>
                <m:t>F×</m:t>
              </m:r>
              <m:d>
                <m:dPr>
                  <m:ctrlPr>
                    <w:rPr>
                      <w:rFonts w:ascii="Cambria Math" w:hAnsi="Cambria Math"/>
                      <w:bCs/>
                      <w:i/>
                      <w:sz w:val="21"/>
                      <w:szCs w:val="21"/>
                      <w14:ligatures w14:val="standardContextual"/>
                    </w:rPr>
                  </m:ctrlPr>
                </m:dPr>
                <m:e>
                  <m:r>
                    <m:rPr/>
                    <w:rPr>
                      <w:rFonts w:hint="eastAsia" w:ascii="Cambria Math" w:hAnsi="Cambria Math"/>
                      <w:sz w:val="21"/>
                      <w:szCs w:val="21"/>
                      <w14:ligatures w14:val="standardContextual"/>
                    </w:rPr>
                    <m:t>A</m:t>
                  </m:r>
                  <m:r>
                    <m:rPr/>
                    <w:rPr>
                      <w:rFonts w:ascii="Cambria Math" w:hAnsi="Cambria Math"/>
                      <w:sz w:val="21"/>
                      <w:szCs w:val="21"/>
                      <w14:ligatures w14:val="standardContextual"/>
                    </w:rPr>
                    <m:t>−</m:t>
                  </m:r>
                  <m:r>
                    <m:rPr/>
                    <w:rPr>
                      <w:rFonts w:hint="eastAsia" w:ascii="Cambria Math" w:hAnsi="Cambria Math"/>
                      <w:sz w:val="21"/>
                      <w:szCs w:val="21"/>
                      <w14:ligatures w14:val="standardContextual"/>
                    </w:rPr>
                    <m:t>B</m:t>
                  </m:r>
                  <m:ctrlPr>
                    <w:rPr>
                      <w:rFonts w:ascii="Cambria Math" w:hAnsi="Cambria Math"/>
                      <w:bCs/>
                      <w:i/>
                      <w:sz w:val="21"/>
                      <w:szCs w:val="21"/>
                      <w14:ligatures w14:val="standardContextual"/>
                    </w:rPr>
                  </m:ctrlPr>
                </m:e>
              </m:d>
              <m:r>
                <m:rPr/>
                <w:rPr>
                  <w:rFonts w:ascii="Cambria Math" w:hAnsi="Cambria Math"/>
                  <w:sz w:val="21"/>
                  <w:szCs w:val="21"/>
                  <w14:ligatures w14:val="standardContextual"/>
                </w:rPr>
                <m:t>−</m:t>
              </m:r>
              <m:sSub>
                <m:sSubPr>
                  <m:ctrlPr>
                    <w:rPr>
                      <w:rFonts w:ascii="Cambria Math" w:hAnsi="Cambria Math"/>
                      <w:bCs/>
                      <w:i/>
                      <w:sz w:val="21"/>
                      <w:szCs w:val="21"/>
                      <w14:ligatures w14:val="standardContextual"/>
                    </w:rPr>
                  </m:ctrlPr>
                </m:sSubPr>
                <m:e>
                  <m:r>
                    <m:rPr/>
                    <w:rPr>
                      <w:rFonts w:hint="eastAsia" w:ascii="Cambria Math" w:hAnsi="Cambria Math"/>
                      <w:sz w:val="21"/>
                      <w:szCs w:val="21"/>
                      <w14:ligatures w14:val="standardContextual"/>
                    </w:rPr>
                    <m:t>M</m:t>
                  </m:r>
                  <m:ctrlPr>
                    <w:rPr>
                      <w:rFonts w:ascii="Cambria Math" w:hAnsi="Cambria Math"/>
                      <w:bCs/>
                      <w:i/>
                      <w:sz w:val="21"/>
                      <w:szCs w:val="21"/>
                      <w14:ligatures w14:val="standardContextual"/>
                    </w:rPr>
                  </m:ctrlPr>
                </m:e>
                <m:sub>
                  <m:r>
                    <m:rPr/>
                    <w:rPr>
                      <w:rFonts w:hint="eastAsia" w:ascii="Cambria Math" w:hAnsi="Cambria Math"/>
                      <w:sz w:val="21"/>
                      <w:szCs w:val="21"/>
                      <w14:ligatures w14:val="standardContextual"/>
                    </w:rPr>
                    <m:t>C</m:t>
                  </m:r>
                  <m:ctrlPr>
                    <w:rPr>
                      <w:rFonts w:ascii="Cambria Math" w:hAnsi="Cambria Math"/>
                      <w:bCs/>
                      <w:i/>
                      <w:sz w:val="21"/>
                      <w:szCs w:val="21"/>
                      <w14:ligatures w14:val="standardContextual"/>
                    </w:rPr>
                  </m:ctrlPr>
                </m:sub>
              </m:sSub>
              <m:ctrlPr>
                <w:rPr>
                  <w:rFonts w:ascii="Cambria Math" w:hAnsi="Cambria Math"/>
                  <w:bCs/>
                  <w:i/>
                  <w:sz w:val="21"/>
                  <w:szCs w:val="21"/>
                  <w14:ligatures w14:val="standardContextual"/>
                </w:rPr>
              </m:ctrlPr>
            </m:num>
            <m:den>
              <m:r>
                <m:rPr/>
                <w:rPr>
                  <w:rFonts w:hint="eastAsia" w:ascii="Cambria Math" w:hAnsi="Cambria Math"/>
                  <w:sz w:val="21"/>
                  <w:szCs w:val="21"/>
                  <w14:ligatures w14:val="standardContextual"/>
                </w:rPr>
                <m:t>F×C</m:t>
              </m:r>
              <m:ctrlPr>
                <w:rPr>
                  <w:rFonts w:ascii="Cambria Math" w:hAnsi="Cambria Math"/>
                  <w:bCs/>
                  <w:i/>
                  <w:sz w:val="21"/>
                  <w:szCs w:val="21"/>
                  <w14:ligatures w14:val="standardContextual"/>
                </w:rPr>
              </m:ctrlPr>
            </m:den>
          </m:f>
          <m:r>
            <m:rPr/>
            <w:rPr>
              <w:rFonts w:hint="eastAsia" w:ascii="Cambria Math" w:hAnsi="Cambria Math"/>
              <w:sz w:val="21"/>
              <w:szCs w:val="21"/>
              <w14:ligatures w14:val="standardContextual"/>
            </w:rPr>
            <m:t>×</m:t>
          </m:r>
          <m:f>
            <m:fPr>
              <m:ctrlPr>
                <w:rPr>
                  <w:rFonts w:ascii="Cambria Math" w:hAnsi="Cambria Math"/>
                  <w:bCs/>
                  <w:i/>
                  <w:sz w:val="21"/>
                  <w:szCs w:val="21"/>
                  <w14:ligatures w14:val="standardContextual"/>
                </w:rPr>
              </m:ctrlPr>
            </m:fPr>
            <m:num>
              <m:r>
                <m:rPr/>
                <w:rPr>
                  <w:rFonts w:hint="eastAsia" w:ascii="Cambria Math" w:hAnsi="Cambria Math"/>
                  <w:sz w:val="21"/>
                  <w:szCs w:val="21"/>
                  <w14:ligatures w14:val="standardContextual"/>
                </w:rPr>
                <m:t>365</m:t>
              </m:r>
              <m:ctrlPr>
                <w:rPr>
                  <w:rFonts w:ascii="Cambria Math" w:hAnsi="Cambria Math"/>
                  <w:bCs/>
                  <w:i/>
                  <w:sz w:val="21"/>
                  <w:szCs w:val="21"/>
                  <w14:ligatures w14:val="standardContextual"/>
                </w:rPr>
              </m:ctrlPr>
            </m:num>
            <m:den>
              <m:r>
                <m:rPr/>
                <w:rPr>
                  <w:rFonts w:hint="eastAsia" w:ascii="Cambria Math" w:hAnsi="Cambria Math"/>
                  <w:sz w:val="21"/>
                  <w:szCs w:val="21"/>
                  <w14:ligatures w14:val="standardContextual"/>
                </w:rPr>
                <m:t>D</m:t>
              </m:r>
              <m:ctrlPr>
                <w:rPr>
                  <w:rFonts w:ascii="Cambria Math" w:hAnsi="Cambria Math"/>
                  <w:bCs/>
                  <w:i/>
                  <w:sz w:val="21"/>
                  <w:szCs w:val="21"/>
                  <w14:ligatures w14:val="standardContextual"/>
                </w:rPr>
              </m:ctrlPr>
            </m:den>
          </m:f>
          <m:r>
            <m:rPr/>
            <w:rPr>
              <w:rFonts w:hint="eastAsia" w:ascii="Cambria Math" w:hAnsi="Cambria Math" w:eastAsia="仿宋" w:cs="TimesNewRomanPSMT"/>
              <w:sz w:val="21"/>
              <w:szCs w:val="21"/>
              <w14:ligatures w14:val="standardContextual"/>
            </w:rPr>
            <m:t>×100%</m:t>
          </m:r>
        </m:oMath>
      </m:oMathPara>
    </w:p>
    <w:p w14:paraId="72F6B6F7">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R</w:t>
      </w:r>
      <w:r>
        <w:rPr>
          <w:rFonts w:hint="eastAsia"/>
          <w:bCs/>
          <w:sz w:val="21"/>
          <w:szCs w:val="21"/>
          <w:lang w:eastAsia="zh-CN"/>
          <w14:ligatures w14:val="standardContextual"/>
        </w:rPr>
        <w:t>为该笔基金份额的年化收益率；</w:t>
      </w:r>
      <w:r>
        <w:rPr>
          <w:bCs/>
          <w:sz w:val="21"/>
          <w:szCs w:val="21"/>
          <w:lang w:eastAsia="zh-CN"/>
          <w14:ligatures w14:val="standardContextual"/>
        </w:rPr>
        <w:t>R</w:t>
      </w:r>
      <w:r>
        <w:rPr>
          <w:bCs/>
          <w:sz w:val="21"/>
          <w:szCs w:val="21"/>
          <w:vertAlign w:val="subscript"/>
          <w:lang w:eastAsia="zh-CN"/>
          <w14:ligatures w14:val="standardContextual"/>
        </w:rPr>
        <w:t>b</w:t>
      </w:r>
      <w:r>
        <w:rPr>
          <w:rFonts w:hint="eastAsia"/>
          <w:bCs/>
          <w:sz w:val="21"/>
          <w:szCs w:val="21"/>
          <w:lang w:eastAsia="zh-CN"/>
          <w14:ligatures w14:val="standardContextual"/>
        </w:rPr>
        <w:t>为本基金业绩比较基准同期年化收益率；</w:t>
      </w:r>
    </w:p>
    <w:p w14:paraId="44C92ADB">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A</w:t>
      </w:r>
      <w:r>
        <w:rPr>
          <w:rFonts w:hint="eastAsia"/>
          <w:bCs/>
          <w:sz w:val="21"/>
          <w:szCs w:val="21"/>
          <w:lang w:eastAsia="zh-CN"/>
          <w14:ligatures w14:val="standardContextual"/>
        </w:rPr>
        <w:t>为该笔基金份额赎回日、转出日或基金合同终止情形发生日的基金份额累计净值；</w:t>
      </w:r>
    </w:p>
    <w:p w14:paraId="6F3DE646">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B</w:t>
      </w:r>
      <w:r>
        <w:rPr>
          <w:rFonts w:hint="eastAsia"/>
          <w:bCs/>
          <w:sz w:val="21"/>
          <w:szCs w:val="21"/>
          <w:lang w:eastAsia="zh-CN"/>
          <w14:ligatures w14:val="standardContextual"/>
        </w:rPr>
        <w:t>为该笔基金份额认购</w:t>
      </w:r>
      <w:r>
        <w:rPr>
          <w:bCs/>
          <w:sz w:val="21"/>
          <w:szCs w:val="21"/>
          <w:lang w:eastAsia="zh-CN"/>
          <w14:ligatures w14:val="standardContextual"/>
        </w:rPr>
        <w:t>/</w:t>
      </w:r>
      <w:r>
        <w:rPr>
          <w:rFonts w:hint="eastAsia"/>
          <w:bCs/>
          <w:sz w:val="21"/>
          <w:szCs w:val="21"/>
          <w:lang w:eastAsia="zh-CN"/>
          <w14:ligatures w14:val="standardContextual"/>
        </w:rPr>
        <w:t>申购</w:t>
      </w:r>
      <w:r>
        <w:rPr>
          <w:bCs/>
          <w:sz w:val="21"/>
          <w:szCs w:val="21"/>
          <w:lang w:eastAsia="zh-CN"/>
          <w14:ligatures w14:val="standardContextual"/>
        </w:rPr>
        <w:t>/</w:t>
      </w:r>
      <w:r>
        <w:rPr>
          <w:rFonts w:hint="eastAsia"/>
          <w:bCs/>
          <w:sz w:val="21"/>
          <w:szCs w:val="21"/>
          <w:lang w:eastAsia="zh-CN"/>
          <w14:ligatures w14:val="standardContextual"/>
        </w:rPr>
        <w:t>转入日的基金份额累计净值，其中份额认购日的基金份额（累计）净值为</w:t>
      </w:r>
      <w:r>
        <w:rPr>
          <w:bCs/>
          <w:sz w:val="21"/>
          <w:szCs w:val="21"/>
          <w:lang w:eastAsia="zh-CN"/>
          <w14:ligatures w14:val="standardContextual"/>
        </w:rPr>
        <w:t>1.0000</w:t>
      </w:r>
      <w:r>
        <w:rPr>
          <w:rFonts w:hint="eastAsia"/>
          <w:bCs/>
          <w:sz w:val="21"/>
          <w:szCs w:val="21"/>
          <w:lang w:eastAsia="zh-CN"/>
          <w14:ligatures w14:val="standardContextual"/>
        </w:rPr>
        <w:t>元；</w:t>
      </w:r>
    </w:p>
    <w:p w14:paraId="5F9F136E">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C</w:t>
      </w:r>
      <w:r>
        <w:rPr>
          <w:rFonts w:hint="eastAsia"/>
          <w:bCs/>
          <w:sz w:val="21"/>
          <w:szCs w:val="21"/>
          <w:lang w:eastAsia="zh-CN"/>
          <w14:ligatures w14:val="standardContextual"/>
        </w:rPr>
        <w:t>为该笔基金份额认购</w:t>
      </w:r>
      <w:r>
        <w:rPr>
          <w:bCs/>
          <w:sz w:val="21"/>
          <w:szCs w:val="21"/>
          <w:lang w:eastAsia="zh-CN"/>
          <w14:ligatures w14:val="standardContextual"/>
        </w:rPr>
        <w:t>/</w:t>
      </w:r>
      <w:r>
        <w:rPr>
          <w:rFonts w:hint="eastAsia"/>
          <w:bCs/>
          <w:sz w:val="21"/>
          <w:szCs w:val="21"/>
          <w:lang w:eastAsia="zh-CN"/>
          <w14:ligatures w14:val="standardContextual"/>
        </w:rPr>
        <w:t>申购</w:t>
      </w:r>
      <w:r>
        <w:rPr>
          <w:bCs/>
          <w:sz w:val="21"/>
          <w:szCs w:val="21"/>
          <w:lang w:eastAsia="zh-CN"/>
          <w14:ligatures w14:val="standardContextual"/>
        </w:rPr>
        <w:t>/</w:t>
      </w:r>
      <w:r>
        <w:rPr>
          <w:rFonts w:hint="eastAsia"/>
          <w:bCs/>
          <w:sz w:val="21"/>
          <w:szCs w:val="21"/>
          <w:lang w:eastAsia="zh-CN"/>
          <w14:ligatures w14:val="standardContextual"/>
        </w:rPr>
        <w:t>转入日的基金份额净值，其中份额认购日的基金份额净值为</w:t>
      </w:r>
      <w:r>
        <w:rPr>
          <w:bCs/>
          <w:sz w:val="21"/>
          <w:szCs w:val="21"/>
          <w:lang w:eastAsia="zh-CN"/>
          <w14:ligatures w14:val="standardContextual"/>
        </w:rPr>
        <w:t>1.0000</w:t>
      </w:r>
      <w:r>
        <w:rPr>
          <w:rFonts w:hint="eastAsia"/>
          <w:bCs/>
          <w:sz w:val="21"/>
          <w:szCs w:val="21"/>
          <w:lang w:eastAsia="zh-CN"/>
          <w14:ligatures w14:val="standardContextual"/>
        </w:rPr>
        <w:t>元；</w:t>
      </w:r>
    </w:p>
    <w:p w14:paraId="35821167">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D</w:t>
      </w:r>
      <w:r>
        <w:rPr>
          <w:rFonts w:hint="eastAsia"/>
          <w:bCs/>
          <w:sz w:val="21"/>
          <w:szCs w:val="21"/>
          <w:lang w:eastAsia="zh-CN"/>
          <w14:ligatures w14:val="standardContextual"/>
        </w:rPr>
        <w:t>为基金合</w:t>
      </w:r>
      <w:bookmarkStart w:id="24" w:name="_Hlk198293667"/>
      <w:r>
        <w:rPr>
          <w:rFonts w:hint="eastAsia"/>
          <w:bCs/>
          <w:sz w:val="21"/>
          <w:szCs w:val="21"/>
          <w:lang w:eastAsia="zh-CN"/>
          <w14:ligatures w14:val="standardContextual"/>
        </w:rPr>
        <w:t>同生效日（针对募集期内认购的基金份额）或该笔</w:t>
      </w:r>
      <w:bookmarkEnd w:id="24"/>
      <w:r>
        <w:rPr>
          <w:rFonts w:hint="eastAsia"/>
          <w:bCs/>
          <w:sz w:val="21"/>
          <w:szCs w:val="21"/>
          <w:lang w:eastAsia="zh-CN"/>
          <w14:ligatures w14:val="standardContextual"/>
        </w:rPr>
        <w:t>基金份额申购确认日</w:t>
      </w:r>
      <w:bookmarkStart w:id="25" w:name="_Hlk198283755"/>
      <w:r>
        <w:rPr>
          <w:rFonts w:hint="eastAsia"/>
          <w:bCs/>
          <w:sz w:val="21"/>
          <w:szCs w:val="21"/>
          <w:lang w:eastAsia="zh-CN"/>
          <w14:ligatures w14:val="standardContextual"/>
        </w:rPr>
        <w:t>、转换转入确认日</w:t>
      </w:r>
      <w:bookmarkEnd w:id="25"/>
      <w:r>
        <w:rPr>
          <w:rFonts w:hint="eastAsia"/>
          <w:bCs/>
          <w:sz w:val="21"/>
          <w:szCs w:val="21"/>
          <w:lang w:eastAsia="zh-CN"/>
          <w14:ligatures w14:val="standardContextual"/>
        </w:rPr>
        <w:t>与赎回确认日、转换转出确认日或基金合同终止情形发生日下一工作日的间隔天数；</w:t>
      </w:r>
    </w:p>
    <w:p w14:paraId="59808419">
      <w:pPr>
        <w:spacing w:line="360" w:lineRule="auto"/>
        <w:ind w:firstLine="420" w:firstLineChars="200"/>
        <w:rPr>
          <w:bCs/>
          <w:sz w:val="21"/>
          <w:szCs w:val="21"/>
          <w:lang w:eastAsia="zh-CN"/>
          <w14:ligatures w14:val="standardContextual"/>
        </w:rPr>
      </w:pPr>
      <w:r>
        <w:rPr>
          <w:bCs/>
          <w:sz w:val="21"/>
          <w:szCs w:val="21"/>
          <w:lang w:eastAsia="zh-CN"/>
          <w14:ligatures w14:val="standardContextual"/>
        </w:rPr>
        <w:t>F</w:t>
      </w:r>
      <w:r>
        <w:rPr>
          <w:rFonts w:hint="eastAsia"/>
          <w:bCs/>
          <w:sz w:val="21"/>
          <w:szCs w:val="21"/>
          <w:lang w:eastAsia="zh-CN"/>
          <w14:ligatures w14:val="standardContextual"/>
        </w:rPr>
        <w:t>为该笔基金份额的份额数；</w:t>
      </w:r>
    </w:p>
    <w:p w14:paraId="6ADEC161">
      <w:pPr>
        <w:spacing w:line="360" w:lineRule="auto"/>
        <w:ind w:firstLine="420" w:firstLineChars="200"/>
        <w:rPr>
          <w:bCs/>
          <w:sz w:val="21"/>
          <w:szCs w:val="21"/>
          <w:lang w:eastAsia="zh-CN"/>
          <w14:ligatures w14:val="standardContextual"/>
        </w:rPr>
      </w:pPr>
      <w:r>
        <w:rPr>
          <w:rFonts w:hint="eastAsia" w:ascii="Cambria Math" w:hAnsi="Cambria Math" w:cs="Cambria Math"/>
          <w:bCs/>
          <w:sz w:val="21"/>
          <w:szCs w:val="21"/>
          <w:lang w:eastAsia="zh-CN"/>
          <w14:ligatures w14:val="standardContextual"/>
        </w:rPr>
        <w:t>𝑀𝑐</w:t>
      </w:r>
      <w:r>
        <w:rPr>
          <w:rFonts w:hint="eastAsia"/>
          <w:bCs/>
          <w:sz w:val="21"/>
          <w:szCs w:val="21"/>
          <w:lang w:eastAsia="zh-CN"/>
          <w14:ligatures w14:val="standardContextual"/>
        </w:rPr>
        <w:t>为该笔基金份额持有期内累计计算的超额管理费。</w:t>
      </w:r>
    </w:p>
    <w:p w14:paraId="0E475DC4">
      <w:pPr>
        <w:spacing w:line="360" w:lineRule="auto"/>
        <w:ind w:firstLine="420" w:firstLineChars="200"/>
        <w:rPr>
          <w:bCs/>
          <w:sz w:val="21"/>
          <w:szCs w:val="21"/>
          <w:lang w:eastAsia="zh-CN"/>
          <w14:ligatures w14:val="standardContextual"/>
        </w:rPr>
      </w:pPr>
      <w:r>
        <w:rPr>
          <w:rFonts w:hint="eastAsia"/>
          <w:bCs/>
          <w:sz w:val="21"/>
          <w:szCs w:val="21"/>
          <w:lang w:eastAsia="zh-CN"/>
          <w14:ligatures w14:val="standardContextual"/>
        </w:rPr>
        <w:t>对于已经确认为管理人收入的或有管理费，由基金管理人向基金托管人发送基金管理费划款指令，基金托管人复核后于次月首日起</w:t>
      </w:r>
      <w:r>
        <w:rPr>
          <w:bCs/>
          <w:sz w:val="21"/>
          <w:szCs w:val="21"/>
          <w:lang w:eastAsia="zh-CN"/>
          <w14:ligatures w14:val="standardContextual"/>
        </w:rPr>
        <w:t>5</w:t>
      </w:r>
      <w:r>
        <w:rPr>
          <w:rFonts w:hint="eastAsia"/>
          <w:bCs/>
          <w:sz w:val="21"/>
          <w:szCs w:val="21"/>
          <w:lang w:eastAsia="zh-CN"/>
          <w14:ligatures w14:val="standardContextual"/>
        </w:rPr>
        <w:t>个工作日内从基金财产中一次性支付给基金管理人。对于已经确认为管理人收入的超额管理费，基金托管人将按照与基金管理人双方协商一致的方式支付给管理人。若遇法定节假日、休息日或不可抗力致使无法按时支付的，支付日期顺延。费用扣划后，基金管理人应进行核对，如发现数据不符，及时联系基金托管人协商解决。</w:t>
      </w:r>
    </w:p>
    <w:p w14:paraId="622F10FD">
      <w:pPr>
        <w:spacing w:before="100" w:beforeAutospacing="1" w:after="100" w:afterAutospacing="1" w:line="360" w:lineRule="auto"/>
        <w:ind w:firstLine="420" w:firstLineChars="200"/>
        <w:rPr>
          <w:lang w:eastAsia="zh"/>
        </w:rPr>
      </w:pPr>
      <w:r>
        <w:rPr>
          <w:rFonts w:hint="eastAsia"/>
          <w:bCs/>
          <w:sz w:val="21"/>
          <w:szCs w:val="21"/>
          <w:lang w:eastAsia="zh-CN"/>
          <w14:ligatures w14:val="standardContextual"/>
        </w:rPr>
        <w:t>在不违反法律法规、基金合同的约定的情况下，基金管理人可根据基金实际运作情况和市场环境变化，经履行适当程序后，对本基金的管理费（含固定管理费、或有管理费和超额管理费）计提标准或收取方式进行调整。</w:t>
      </w:r>
      <w:r>
        <w:rPr>
          <w:rFonts w:hint="eastAsia"/>
          <w:bCs/>
          <w:sz w:val="21"/>
          <w:szCs w:val="21"/>
          <w:lang w:eastAsia="zh-CN"/>
          <w14:ligatures w14:val="standardContextual"/>
        </w:rPr>
        <w:t>因涉及相关数据，归属于投资者的或有管理费和超额管理费的计算，以登记机构的计算结果为准，基金托管人不承担复核责任。</w:t>
      </w:r>
    </w:p>
    <w:p w14:paraId="5CE50C77">
      <w:pPr>
        <w:pStyle w:val="197"/>
        <w:spacing w:before="100" w:beforeAutospacing="1" w:after="100" w:afterAutospacing="1" w:line="400" w:lineRule="exact"/>
        <w:ind w:firstLine="538"/>
        <w:rPr>
          <w:rFonts w:ascii="宋体"/>
        </w:rPr>
      </w:pPr>
      <w:r>
        <w:rPr>
          <w:rFonts w:ascii="宋体"/>
        </w:rPr>
        <w:t>（二）基金托管人的托管费</w:t>
      </w:r>
    </w:p>
    <w:p w14:paraId="2417D6C7">
      <w:pPr>
        <w:pStyle w:val="197"/>
        <w:spacing w:before="100" w:beforeAutospacing="1" w:after="100" w:afterAutospacing="1" w:line="400" w:lineRule="exact"/>
        <w:ind w:firstLine="420"/>
        <w:rPr>
          <w:rFonts w:ascii="宋体" w:hAnsi="宋体"/>
          <w:szCs w:val="21"/>
        </w:rPr>
      </w:pPr>
      <w:r>
        <w:rPr>
          <w:rFonts w:hint="eastAsia" w:ascii="宋体" w:hAnsi="宋体"/>
          <w:szCs w:val="21"/>
        </w:rPr>
        <w:t>本基金的托管费按前一日基金资产净值的0.20%的年费率计提。托管费的计算方法如下：</w:t>
      </w:r>
    </w:p>
    <w:p w14:paraId="5F5B5341">
      <w:pPr>
        <w:pStyle w:val="197"/>
        <w:spacing w:before="100" w:beforeAutospacing="1" w:after="100" w:afterAutospacing="1" w:line="400" w:lineRule="exact"/>
        <w:ind w:firstLine="420"/>
        <w:rPr>
          <w:rFonts w:ascii="宋体" w:hAnsi="宋体"/>
          <w:szCs w:val="21"/>
        </w:rPr>
      </w:pPr>
      <w:r>
        <w:rPr>
          <w:rFonts w:hint="eastAsia" w:ascii="宋体" w:hAnsi="宋体"/>
          <w:szCs w:val="21"/>
        </w:rPr>
        <w:t>H＝E×0.20%÷当年天数</w:t>
      </w:r>
    </w:p>
    <w:p w14:paraId="4B67C16F">
      <w:pPr>
        <w:pStyle w:val="197"/>
        <w:spacing w:before="100" w:beforeAutospacing="1" w:after="100" w:afterAutospacing="1" w:line="400" w:lineRule="exact"/>
        <w:ind w:firstLine="420"/>
        <w:rPr>
          <w:rFonts w:ascii="宋体" w:hAnsi="宋体"/>
          <w:szCs w:val="21"/>
        </w:rPr>
      </w:pPr>
      <w:r>
        <w:rPr>
          <w:rFonts w:hint="eastAsia" w:ascii="宋体" w:hAnsi="宋体"/>
          <w:szCs w:val="21"/>
        </w:rPr>
        <w:t>H为每日应计提的基金托管费</w:t>
      </w:r>
    </w:p>
    <w:p w14:paraId="42B474A1">
      <w:pPr>
        <w:pStyle w:val="197"/>
        <w:spacing w:before="100" w:beforeAutospacing="1" w:after="100" w:afterAutospacing="1" w:line="400" w:lineRule="exact"/>
        <w:ind w:firstLine="420"/>
        <w:rPr>
          <w:rFonts w:ascii="宋体" w:hAnsi="宋体"/>
          <w:szCs w:val="21"/>
        </w:rPr>
      </w:pPr>
      <w:r>
        <w:rPr>
          <w:rFonts w:hint="eastAsia" w:ascii="宋体" w:hAnsi="宋体"/>
          <w:szCs w:val="21"/>
        </w:rPr>
        <w:t>E为前一日的基金资产净值</w:t>
      </w:r>
    </w:p>
    <w:p w14:paraId="20B3929B">
      <w:pPr>
        <w:pStyle w:val="197"/>
        <w:spacing w:line="360" w:lineRule="auto"/>
        <w:ind w:firstLine="420"/>
        <w:rPr>
          <w:rFonts w:ascii="宋体"/>
          <w:szCs w:val="21"/>
        </w:rPr>
      </w:pPr>
      <w:r>
        <w:rPr>
          <w:rFonts w:hint="eastAsia" w:ascii="宋体" w:hAnsi="宋体"/>
          <w:szCs w:val="21"/>
        </w:rPr>
        <w:t>基金托管费每日计提，逐日累计至每个月月末，按月支付。由基金管理人向基金托管人发送基金托管费划款指令，基金托管人复核后于次月首日起5个工作日内从基金财产中一次性支取。若遇法定节假日、休息日或不可抗力等，支取日期顺延。</w:t>
      </w:r>
    </w:p>
    <w:p w14:paraId="58192B74">
      <w:pPr>
        <w:pStyle w:val="197"/>
        <w:spacing w:before="100" w:beforeAutospacing="1" w:after="100" w:afterAutospacing="1" w:line="400" w:lineRule="exact"/>
        <w:ind w:firstLine="538"/>
        <w:rPr>
          <w:rFonts w:ascii="宋体"/>
        </w:rPr>
      </w:pPr>
      <w:r>
        <w:rPr>
          <w:rFonts w:ascii="宋体"/>
        </w:rPr>
        <w:t>（三）</w:t>
      </w:r>
      <w:r>
        <w:rPr>
          <w:rFonts w:hint="eastAsia"/>
          <w:bCs/>
        </w:rPr>
        <w:t>C类基金份额的</w:t>
      </w:r>
      <w:r>
        <w:rPr>
          <w:rFonts w:ascii="宋体"/>
        </w:rPr>
        <w:t>销售服务费</w:t>
      </w:r>
    </w:p>
    <w:p w14:paraId="03D6B571">
      <w:pPr>
        <w:pStyle w:val="197"/>
        <w:spacing w:before="100" w:beforeAutospacing="1" w:after="100" w:afterAutospacing="1" w:line="400" w:lineRule="exact"/>
        <w:ind w:firstLine="538"/>
        <w:rPr>
          <w:rFonts w:ascii="宋体"/>
        </w:rPr>
      </w:pPr>
      <w:r>
        <w:rPr>
          <w:rFonts w:hint="eastAsia" w:ascii="宋体"/>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37EEA738">
      <w:pPr>
        <w:pStyle w:val="197"/>
        <w:spacing w:before="100" w:beforeAutospacing="1" w:after="100" w:afterAutospacing="1" w:line="400" w:lineRule="exact"/>
        <w:ind w:firstLine="538"/>
        <w:rPr>
          <w:rFonts w:ascii="宋体"/>
        </w:rPr>
      </w:pPr>
      <w:r>
        <w:rPr>
          <w:rFonts w:hint="eastAsia" w:ascii="宋体"/>
        </w:rPr>
        <w:t>H＝E×0.40%÷当年天数</w:t>
      </w:r>
    </w:p>
    <w:p w14:paraId="189C1085">
      <w:pPr>
        <w:pStyle w:val="197"/>
        <w:spacing w:before="100" w:beforeAutospacing="1" w:after="100" w:afterAutospacing="1" w:line="400" w:lineRule="exact"/>
        <w:ind w:firstLine="538"/>
        <w:rPr>
          <w:rFonts w:ascii="宋体"/>
        </w:rPr>
      </w:pPr>
      <w:r>
        <w:rPr>
          <w:rFonts w:hint="eastAsia" w:ascii="宋体"/>
        </w:rPr>
        <w:t>H为C类基金份额每日应计提的销售服务费</w:t>
      </w:r>
    </w:p>
    <w:p w14:paraId="3CD62EC9">
      <w:pPr>
        <w:pStyle w:val="197"/>
        <w:spacing w:before="100" w:beforeAutospacing="1" w:after="100" w:afterAutospacing="1" w:line="400" w:lineRule="exact"/>
        <w:ind w:firstLine="538"/>
        <w:rPr>
          <w:rFonts w:ascii="宋体"/>
        </w:rPr>
      </w:pPr>
      <w:r>
        <w:rPr>
          <w:rFonts w:hint="eastAsia" w:ascii="宋体"/>
        </w:rPr>
        <w:t>E为C类基金份额前一日的基金资产净值</w:t>
      </w:r>
    </w:p>
    <w:p w14:paraId="175895FC">
      <w:pPr>
        <w:pStyle w:val="197"/>
        <w:spacing w:before="100" w:beforeAutospacing="1" w:after="100" w:afterAutospacing="1" w:line="400" w:lineRule="exact"/>
        <w:ind w:firstLine="538"/>
        <w:rPr>
          <w:rFonts w:ascii="宋体"/>
        </w:rPr>
      </w:pPr>
      <w:r>
        <w:rPr>
          <w:rFonts w:hint="eastAsia" w:ascii="宋体"/>
        </w:rPr>
        <w:t>C类基金份额的销售服务费每日计提。</w:t>
      </w:r>
    </w:p>
    <w:p w14:paraId="0F8F70B7">
      <w:pPr>
        <w:pStyle w:val="197"/>
        <w:spacing w:before="100" w:beforeAutospacing="1" w:after="100" w:afterAutospacing="1" w:line="400" w:lineRule="exact"/>
        <w:ind w:firstLine="538"/>
        <w:rPr>
          <w:rFonts w:ascii="宋体"/>
        </w:rPr>
      </w:pPr>
      <w:r>
        <w:rPr>
          <w:rFonts w:hint="eastAsia" w:ascii="宋体"/>
        </w:rPr>
        <w:t>（1）直销机构：</w:t>
      </w:r>
    </w:p>
    <w:p w14:paraId="24D06B4E">
      <w:pPr>
        <w:pStyle w:val="197"/>
        <w:spacing w:before="100" w:beforeAutospacing="1" w:after="100" w:afterAutospacing="1" w:line="400" w:lineRule="exact"/>
        <w:ind w:firstLine="538"/>
        <w:rPr>
          <w:rFonts w:ascii="宋体"/>
        </w:rPr>
      </w:pPr>
      <w:r>
        <w:rPr>
          <w:rFonts w:hint="eastAsia" w:ascii="宋体"/>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E739E82">
      <w:pPr>
        <w:pStyle w:val="197"/>
        <w:spacing w:before="100" w:beforeAutospacing="1" w:after="100" w:afterAutospacing="1" w:line="400" w:lineRule="exact"/>
        <w:ind w:firstLine="538"/>
        <w:rPr>
          <w:rFonts w:ascii="宋体"/>
        </w:rPr>
      </w:pPr>
      <w:r>
        <w:rPr>
          <w:rFonts w:hint="eastAsia" w:ascii="宋体"/>
        </w:rPr>
        <w:t>（2）代销机构：</w:t>
      </w:r>
    </w:p>
    <w:p w14:paraId="6A910004">
      <w:pPr>
        <w:pStyle w:val="197"/>
        <w:spacing w:before="100" w:beforeAutospacing="1" w:after="100" w:afterAutospacing="1" w:line="400" w:lineRule="exact"/>
        <w:ind w:firstLine="538"/>
        <w:rPr>
          <w:rFonts w:ascii="宋体"/>
        </w:rPr>
      </w:pPr>
      <w:r>
        <w:rPr>
          <w:rFonts w:hint="eastAsia" w:ascii="宋体"/>
        </w:rPr>
        <w:t>对于投资者通过代销机构认购（申购）且持续持有期限未超过一年（即365天，下同）的C类基金份额计提的销售服务费，逐日累计至每月月末，按月支付，由基金托管人按照与基金管理人协商一致的方式于次月首日起5个工作日内从基金财产中按照指定的账户路径一次性支付给基金管理人并由基金管理人代付给各基金销售机构。</w:t>
      </w:r>
    </w:p>
    <w:p w14:paraId="40236D93">
      <w:pPr>
        <w:pStyle w:val="197"/>
        <w:spacing w:before="100" w:beforeAutospacing="1" w:after="100" w:afterAutospacing="1" w:line="400" w:lineRule="exact"/>
        <w:ind w:firstLine="538"/>
        <w:rPr>
          <w:rFonts w:ascii="宋体"/>
        </w:rPr>
      </w:pPr>
      <w:r>
        <w:rPr>
          <w:rFonts w:hint="eastAsia" w:ascii="宋体"/>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34CB3FB">
      <w:pPr>
        <w:pStyle w:val="197"/>
        <w:spacing w:before="100" w:beforeAutospacing="1" w:after="100" w:afterAutospacing="1" w:line="400" w:lineRule="exact"/>
        <w:ind w:firstLine="538"/>
        <w:rPr>
          <w:rFonts w:hint="eastAsia" w:ascii="宋体"/>
        </w:rPr>
      </w:pPr>
      <w:r>
        <w:rPr>
          <w:rFonts w:hint="eastAsia" w:ascii="宋体"/>
        </w:rPr>
        <w:t>若遇法定节假日、休息日或不可抗力致使无法按时支付的，顺延至最近可支付日支付。</w:t>
      </w:r>
    </w:p>
    <w:p w14:paraId="73649CD1">
      <w:pPr>
        <w:pStyle w:val="197"/>
        <w:spacing w:before="100" w:beforeAutospacing="1" w:after="100" w:afterAutospacing="1" w:line="400" w:lineRule="exact"/>
        <w:ind w:firstLine="538"/>
        <w:rPr>
          <w:rFonts w:hint="eastAsia" w:ascii="宋体"/>
        </w:rPr>
      </w:pPr>
      <w:r>
        <w:rPr>
          <w:rFonts w:hint="eastAsia" w:ascii="宋体"/>
          <w:lang w:eastAsia="zh"/>
        </w:rPr>
        <w:t>销售服务费计提后按规定收取或返还投资者的金额以登记机构的计算结果为准，托管人无需复核。</w:t>
      </w:r>
    </w:p>
    <w:p w14:paraId="12694DFE">
      <w:pPr>
        <w:pStyle w:val="197"/>
        <w:spacing w:before="100" w:beforeAutospacing="1" w:after="100" w:afterAutospacing="1" w:line="400" w:lineRule="exact"/>
        <w:ind w:firstLine="538"/>
        <w:rPr>
          <w:rFonts w:ascii="宋体"/>
        </w:rPr>
      </w:pPr>
      <w:r>
        <w:rPr>
          <w:rFonts w:hint="eastAsia" w:ascii="宋体"/>
        </w:rPr>
        <w:t>在不违反法律法规、基金合同的约定的情况下，基金管理人可根据基金实际运作情况和市场环境变化，经履行适当程序后，对本基金的销售服务费的计提或收取方式进行调整。</w:t>
      </w:r>
    </w:p>
    <w:p w14:paraId="441ED377">
      <w:pPr>
        <w:pStyle w:val="197"/>
        <w:spacing w:line="360" w:lineRule="auto"/>
        <w:ind w:firstLine="538"/>
        <w:rPr>
          <w:rFonts w:ascii="宋体"/>
        </w:rPr>
      </w:pPr>
      <w:r>
        <w:rPr>
          <w:rFonts w:ascii="宋体"/>
          <w:szCs w:val="21"/>
        </w:rPr>
        <w:t>（四</w:t>
      </w:r>
      <w:r>
        <w:rPr>
          <w:rFonts w:ascii="宋体"/>
        </w:rPr>
        <w:t>）从基金财产中列支基金管理费</w:t>
      </w:r>
      <w:r>
        <w:rPr>
          <w:rFonts w:hint="eastAsia" w:ascii="宋体"/>
        </w:rPr>
        <w:t>（包含固定管理费、或有管理费和超额管理费）</w:t>
      </w:r>
      <w:r>
        <w:rPr>
          <w:rFonts w:ascii="宋体"/>
        </w:rPr>
        <w:t>、托管费和销售服务费之外的其他基金费用，应当依据有关法律法规、《基金合同》的规定执行。</w:t>
      </w:r>
      <w:r>
        <w:rPr>
          <w:rFonts w:ascii="宋体"/>
          <w:szCs w:val="21"/>
        </w:rPr>
        <w:t>本基金实施侧袋机制的，与侧袋账户有关的费用可以从侧袋账户中列支，但应待侧袋账户资产变现后方可列支，有关费用可酌情收取或减免，但不得收取管理费</w:t>
      </w:r>
      <w:r>
        <w:rPr>
          <w:rFonts w:hint="eastAsia"/>
          <w:bCs/>
        </w:rPr>
        <w:t>（包含固定管理费、或有管理费和超额管理费）</w:t>
      </w:r>
      <w:r>
        <w:rPr>
          <w:rFonts w:ascii="宋体"/>
          <w:szCs w:val="21"/>
        </w:rPr>
        <w:t>。</w:t>
      </w:r>
    </w:p>
    <w:p w14:paraId="774A9464">
      <w:pPr>
        <w:pStyle w:val="220"/>
        <w:spacing w:before="100" w:beforeAutospacing="1" w:after="100" w:afterAutospacing="1"/>
        <w:ind w:firstLine="403"/>
        <w:rPr>
          <w:rFonts w:ascii="宋体" w:eastAsia="宋体"/>
          <w:sz w:val="21"/>
          <w:szCs w:val="21"/>
        </w:rPr>
      </w:pPr>
      <w:r>
        <w:rPr>
          <w:rFonts w:ascii="宋体" w:eastAsia="宋体"/>
          <w:sz w:val="21"/>
          <w:szCs w:val="21"/>
        </w:rPr>
        <w:t>（五）对于违反法律法规、《基金合同》、本协议及其他有关规定（包括基金费用的计提方法、计提标准、支付方式等）的基金费用，不得从任何基金财产中列支。</w:t>
      </w:r>
    </w:p>
    <w:p w14:paraId="7E0412EF">
      <w:pPr>
        <w:pStyle w:val="220"/>
        <w:spacing w:before="100" w:beforeAutospacing="1" w:after="100" w:afterAutospacing="1"/>
        <w:ind w:firstLine="403"/>
        <w:rPr>
          <w:rFonts w:ascii="宋体" w:eastAsia="宋体"/>
          <w:sz w:val="21"/>
          <w:szCs w:val="21"/>
        </w:rPr>
      </w:pPr>
      <w:r>
        <w:rPr>
          <w:rFonts w:ascii="宋体" w:eastAsia="宋体"/>
          <w:sz w:val="21"/>
          <w:szCs w:val="21"/>
        </w:rPr>
        <w:t>（六）本基金支付给基金管理人、基金托管人的各项费用均为含税价格，具体税率适用中国税务机关的相关规定。</w:t>
      </w:r>
    </w:p>
    <w:p w14:paraId="2305D592">
      <w:pPr>
        <w:pStyle w:val="220"/>
        <w:spacing w:before="100" w:beforeAutospacing="1" w:after="100" w:afterAutospacing="1"/>
        <w:ind w:firstLine="403"/>
        <w:rPr>
          <w:rFonts w:ascii="宋体" w:eastAsia="宋体"/>
          <w:sz w:val="21"/>
          <w:szCs w:val="21"/>
        </w:rPr>
      </w:pPr>
    </w:p>
    <w:bookmarkEnd w:id="15"/>
    <w:p w14:paraId="297EFFAB">
      <w:pPr>
        <w:pStyle w:val="198"/>
        <w:spacing w:before="100" w:beforeAutospacing="1" w:after="100" w:afterAutospacing="1" w:line="400" w:lineRule="exact"/>
        <w:ind w:firstLine="422"/>
        <w:rPr>
          <w:rFonts w:ascii="宋体" w:hAnsi="宋体"/>
          <w:sz w:val="21"/>
          <w:szCs w:val="21"/>
          <w:highlight w:val="lightGray"/>
        </w:rPr>
      </w:pPr>
      <w:bookmarkStart w:id="26" w:name="_Toc116900107"/>
      <w:r>
        <w:rPr>
          <w:rFonts w:ascii="宋体" w:hAnsi="宋体"/>
          <w:sz w:val="21"/>
          <w:szCs w:val="21"/>
        </w:rPr>
        <w:t>十二、基金份额持有人名册的保管</w:t>
      </w:r>
    </w:p>
    <w:p w14:paraId="618C4E36">
      <w:pPr>
        <w:pStyle w:val="197"/>
        <w:spacing w:before="100" w:beforeAutospacing="1" w:after="100" w:afterAutospacing="1" w:line="400" w:lineRule="exact"/>
        <w:ind w:firstLine="420"/>
        <w:rPr>
          <w:rFonts w:ascii="宋体" w:hAnsi="宋体"/>
          <w:color w:val="000000"/>
          <w:szCs w:val="21"/>
        </w:rPr>
      </w:pPr>
      <w:r>
        <w:rPr>
          <w:rFonts w:ascii="宋体"/>
        </w:rPr>
        <w:t>基金份额持有人名册至少应包括基金份额持有人的名称和持有的基金份额。基金份额持有人名册由基金登记机构根据基金管理人的指令编制和保管，基金管理人和基金托管人</w:t>
      </w:r>
      <w:r>
        <w:rPr>
          <w:rFonts w:ascii="宋体" w:hAnsi="宋体"/>
          <w:color w:val="000000"/>
          <w:szCs w:val="21"/>
        </w:rPr>
        <w:t>应分别保管基金份额持有人名册，基金登记机构保存期</w:t>
      </w:r>
      <w:r>
        <w:rPr>
          <w:rFonts w:hint="eastAsia" w:ascii="宋体" w:hAnsi="宋体"/>
          <w:color w:val="000000"/>
          <w:szCs w:val="21"/>
        </w:rPr>
        <w:t>限不低于法律法规规定的期限</w:t>
      </w:r>
      <w:r>
        <w:rPr>
          <w:rFonts w:ascii="宋体" w:hAnsi="宋体"/>
          <w:color w:val="000000"/>
          <w:szCs w:val="21"/>
        </w:rPr>
        <w:t>。如不能妥善保管，则按相关法规承担相应的责任。</w:t>
      </w:r>
    </w:p>
    <w:p w14:paraId="10F005D1">
      <w:pPr>
        <w:pStyle w:val="197"/>
        <w:spacing w:before="100" w:beforeAutospacing="1" w:after="100" w:afterAutospacing="1" w:line="400" w:lineRule="exact"/>
        <w:ind w:firstLine="420"/>
        <w:rPr>
          <w:rFonts w:ascii="宋体" w:hAnsi="宋体"/>
          <w:color w:val="FF0000"/>
          <w:szCs w:val="21"/>
          <w:highlight w:val="lightGray"/>
        </w:rPr>
      </w:pPr>
      <w:r>
        <w:rPr>
          <w:rFonts w:ascii="宋体" w:hAnsi="宋体"/>
          <w:color w:val="000000"/>
          <w:szCs w:val="21"/>
        </w:rPr>
        <w:t>在基金托管人要求或编制中期报告和</w:t>
      </w:r>
      <w:r>
        <w:rPr>
          <w:rFonts w:hint="eastAsia" w:ascii="宋体" w:hAnsi="宋体"/>
          <w:color w:val="000000"/>
          <w:szCs w:val="21"/>
        </w:rPr>
        <w:t>年度报告</w:t>
      </w:r>
      <w:r>
        <w:rPr>
          <w:rFonts w:ascii="宋体" w:hAnsi="宋体"/>
          <w:color w:val="000000"/>
          <w:szCs w:val="21"/>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2B0C0CC2">
      <w:pPr>
        <w:pStyle w:val="198"/>
        <w:spacing w:before="100" w:beforeAutospacing="1" w:after="100" w:afterAutospacing="1" w:line="400" w:lineRule="exact"/>
        <w:ind w:firstLine="422"/>
        <w:rPr>
          <w:rFonts w:ascii="宋体" w:hAnsi="宋体"/>
          <w:sz w:val="21"/>
          <w:szCs w:val="21"/>
        </w:rPr>
      </w:pPr>
      <w:r>
        <w:rPr>
          <w:rFonts w:ascii="宋体" w:hAnsi="宋体"/>
          <w:sz w:val="21"/>
          <w:szCs w:val="21"/>
        </w:rPr>
        <w:t>十三、基金有关文件档案的保存</w:t>
      </w:r>
    </w:p>
    <w:p w14:paraId="61F4A36A">
      <w:pPr>
        <w:pStyle w:val="220"/>
        <w:spacing w:before="100" w:beforeAutospacing="1" w:after="100" w:afterAutospacing="1"/>
        <w:ind w:firstLine="403"/>
        <w:rPr>
          <w:rFonts w:ascii="宋体" w:eastAsia="宋体"/>
          <w:sz w:val="21"/>
          <w:szCs w:val="21"/>
        </w:rPr>
      </w:pPr>
      <w:r>
        <w:rPr>
          <w:rFonts w:ascii="宋体" w:eastAsia="宋体"/>
          <w:sz w:val="21"/>
          <w:szCs w:val="21"/>
        </w:rPr>
        <w:t>（一）基金管理人应保存基金财产管理业务活动的记录、账册、报表和其他相关资料，基金托管人应保存基金托管业务活动的记录、账册、报表和其他相关资料，</w:t>
      </w:r>
      <w:r>
        <w:rPr>
          <w:rFonts w:ascii="宋体" w:eastAsia="宋体"/>
          <w:bCs/>
          <w:sz w:val="21"/>
          <w:szCs w:val="21"/>
        </w:rPr>
        <w:t>保存期限不低于法律法规规定的期限</w:t>
      </w:r>
      <w:r>
        <w:rPr>
          <w:rFonts w:ascii="宋体" w:eastAsia="宋体"/>
          <w:sz w:val="21"/>
          <w:szCs w:val="21"/>
        </w:rPr>
        <w:t>。</w:t>
      </w:r>
    </w:p>
    <w:p w14:paraId="324C9D89">
      <w:pPr>
        <w:pStyle w:val="220"/>
        <w:spacing w:before="100" w:beforeAutospacing="1" w:after="100" w:afterAutospacing="1"/>
        <w:ind w:firstLine="403"/>
        <w:rPr>
          <w:rFonts w:ascii="宋体" w:eastAsia="宋体"/>
          <w:sz w:val="21"/>
          <w:szCs w:val="21"/>
        </w:rPr>
      </w:pPr>
      <w:r>
        <w:rPr>
          <w:rFonts w:ascii="宋体" w:eastAsia="宋体"/>
          <w:sz w:val="21"/>
          <w:szCs w:val="21"/>
        </w:rPr>
        <w:t>（二）基金管理人和基金托管人应按本协议第十条的约定对各自保存的文件和档案履行保密义务，法律法规另有规定或有权机关另有要求的除外。</w:t>
      </w:r>
    </w:p>
    <w:p w14:paraId="5D7FA186">
      <w:pPr>
        <w:pStyle w:val="197"/>
        <w:spacing w:before="100" w:beforeAutospacing="1" w:after="100" w:afterAutospacing="1" w:line="400" w:lineRule="exact"/>
        <w:rPr>
          <w:rFonts w:ascii="宋体" w:hAnsi="宋体"/>
          <w:szCs w:val="21"/>
        </w:rPr>
      </w:pPr>
    </w:p>
    <w:p w14:paraId="6D3ED7E1">
      <w:pPr>
        <w:pStyle w:val="198"/>
        <w:spacing w:before="100" w:beforeAutospacing="1" w:after="100" w:afterAutospacing="1" w:line="400" w:lineRule="exact"/>
        <w:ind w:firstLine="422"/>
        <w:rPr>
          <w:rFonts w:ascii="宋体" w:hAnsi="宋体"/>
          <w:sz w:val="21"/>
          <w:szCs w:val="21"/>
        </w:rPr>
      </w:pPr>
      <w:r>
        <w:rPr>
          <w:rFonts w:ascii="宋体" w:hAnsi="宋体"/>
          <w:sz w:val="21"/>
          <w:szCs w:val="21"/>
        </w:rPr>
        <w:t>十四、</w:t>
      </w:r>
      <w:bookmarkEnd w:id="26"/>
      <w:bookmarkStart w:id="27" w:name="_Toc116900108"/>
      <w:r>
        <w:rPr>
          <w:rFonts w:ascii="宋体" w:hAnsi="宋体"/>
          <w:sz w:val="21"/>
          <w:szCs w:val="21"/>
        </w:rPr>
        <w:t>基金托管人和基金管理人的更换</w:t>
      </w:r>
      <w:bookmarkEnd w:id="27"/>
      <w:r>
        <w:rPr>
          <w:rFonts w:ascii="宋体" w:hAnsi="宋体"/>
          <w:sz w:val="21"/>
          <w:szCs w:val="21"/>
        </w:rPr>
        <w:t xml:space="preserve"> </w:t>
      </w:r>
    </w:p>
    <w:p w14:paraId="3BD31B61">
      <w:pPr>
        <w:pStyle w:val="197"/>
        <w:spacing w:before="100" w:beforeAutospacing="1" w:after="100" w:afterAutospacing="1" w:line="400" w:lineRule="exact"/>
        <w:ind w:firstLine="420"/>
        <w:rPr>
          <w:rFonts w:ascii="宋体" w:hAnsi="宋体"/>
          <w:szCs w:val="21"/>
        </w:rPr>
      </w:pPr>
      <w:r>
        <w:rPr>
          <w:rFonts w:ascii="宋体" w:hAnsi="宋体"/>
          <w:szCs w:val="21"/>
        </w:rPr>
        <w:t>（一）基金管理人职责终止后，仍应妥善保管基金管理业务资料，并与新任基金管理人或临时基金管理人及时办理基金管理业务的移交手续。基金托管人应给予积极配合，并与新任基金管理人或临时基金管理人核对基金资产总值和净值。</w:t>
      </w:r>
    </w:p>
    <w:p w14:paraId="6E3A6D23">
      <w:pPr>
        <w:pStyle w:val="197"/>
        <w:spacing w:before="100" w:beforeAutospacing="1" w:after="100" w:afterAutospacing="1" w:line="400" w:lineRule="exact"/>
        <w:ind w:firstLine="420"/>
        <w:rPr>
          <w:rFonts w:ascii="宋体" w:hAnsi="宋体"/>
          <w:szCs w:val="21"/>
        </w:rPr>
      </w:pPr>
      <w:r>
        <w:rPr>
          <w:rFonts w:ascii="宋体" w:hAnsi="宋体"/>
          <w:szCs w:val="21"/>
        </w:rPr>
        <w:t>（二）基金托管人职责终止后，仍应妥善保管基金财产和基金托管业务资料，并与新任基金托管人或临时基金托管人及时办理基金财产和基金托管业务的移交手续。基金管理人应给予积极配合，并与新任基金托管人或临时基金托管人核对基金资产总值和净值。</w:t>
      </w:r>
    </w:p>
    <w:p w14:paraId="4EA9AD47">
      <w:pPr>
        <w:pStyle w:val="197"/>
        <w:spacing w:before="100" w:beforeAutospacing="1" w:after="100" w:afterAutospacing="1" w:line="400" w:lineRule="exact"/>
        <w:ind w:firstLine="420"/>
        <w:rPr>
          <w:rFonts w:ascii="宋体" w:hAnsi="宋体"/>
          <w:szCs w:val="21"/>
        </w:rPr>
      </w:pPr>
      <w:r>
        <w:rPr>
          <w:rFonts w:ascii="宋体" w:hAnsi="宋体"/>
          <w:szCs w:val="21"/>
        </w:rPr>
        <w:t>（三）其他事宜见《基金合同》的相关约定。</w:t>
      </w:r>
    </w:p>
    <w:p w14:paraId="6F1CCC60">
      <w:pPr>
        <w:pStyle w:val="197"/>
        <w:spacing w:before="100" w:beforeAutospacing="1" w:after="100" w:afterAutospacing="1" w:line="400" w:lineRule="exact"/>
        <w:ind w:firstLine="540"/>
        <w:rPr>
          <w:rFonts w:ascii="宋体" w:hAnsi="宋体"/>
          <w:szCs w:val="21"/>
        </w:rPr>
      </w:pPr>
    </w:p>
    <w:p w14:paraId="00BEA22C">
      <w:pPr>
        <w:pStyle w:val="198"/>
        <w:spacing w:before="100" w:beforeAutospacing="1" w:after="100" w:afterAutospacing="1" w:line="400" w:lineRule="exact"/>
        <w:ind w:firstLine="422"/>
        <w:rPr>
          <w:rFonts w:ascii="宋体" w:hAnsi="宋体"/>
          <w:sz w:val="21"/>
          <w:szCs w:val="21"/>
        </w:rPr>
      </w:pPr>
      <w:bookmarkStart w:id="28" w:name="_Toc116900110"/>
      <w:r>
        <w:rPr>
          <w:rFonts w:ascii="宋体" w:hAnsi="宋体"/>
          <w:sz w:val="21"/>
          <w:szCs w:val="21"/>
        </w:rPr>
        <w:t>十五、禁止行为</w:t>
      </w:r>
      <w:bookmarkEnd w:id="28"/>
    </w:p>
    <w:p w14:paraId="07409D26">
      <w:pPr>
        <w:pStyle w:val="197"/>
        <w:spacing w:before="100" w:beforeAutospacing="1" w:after="100" w:afterAutospacing="1" w:line="400" w:lineRule="exact"/>
        <w:ind w:firstLine="420"/>
        <w:rPr>
          <w:rFonts w:ascii="宋体" w:hAnsi="宋体"/>
          <w:szCs w:val="21"/>
        </w:rPr>
      </w:pPr>
      <w:r>
        <w:rPr>
          <w:rFonts w:ascii="宋体" w:hAnsi="宋体"/>
          <w:szCs w:val="21"/>
        </w:rPr>
        <w:t>（一）《基金法》第二十条、第三十八条禁止的行为。</w:t>
      </w:r>
    </w:p>
    <w:p w14:paraId="215CD0CC">
      <w:pPr>
        <w:pStyle w:val="197"/>
        <w:spacing w:before="100" w:beforeAutospacing="1" w:after="100" w:afterAutospacing="1" w:line="400" w:lineRule="exact"/>
        <w:ind w:firstLine="420"/>
        <w:rPr>
          <w:rFonts w:ascii="宋体" w:hAnsi="宋体"/>
          <w:szCs w:val="21"/>
        </w:rPr>
      </w:pPr>
      <w:r>
        <w:rPr>
          <w:rFonts w:ascii="宋体" w:hAnsi="宋体"/>
          <w:szCs w:val="21"/>
        </w:rPr>
        <w:t>（二）《基金法》第七十三条禁止的投资或活动。</w:t>
      </w:r>
    </w:p>
    <w:p w14:paraId="34CFB821">
      <w:pPr>
        <w:pStyle w:val="197"/>
        <w:spacing w:before="100" w:beforeAutospacing="1" w:after="100" w:afterAutospacing="1" w:line="400" w:lineRule="exact"/>
        <w:ind w:firstLine="420"/>
        <w:rPr>
          <w:rFonts w:ascii="宋体" w:hAnsi="宋体"/>
          <w:szCs w:val="21"/>
        </w:rPr>
      </w:pPr>
      <w:r>
        <w:rPr>
          <w:rFonts w:ascii="宋体" w:hAnsi="宋体"/>
          <w:szCs w:val="21"/>
        </w:rPr>
        <w:t>（三）除根据基金管理人的指令或《基金合同》、本协议另有规定外，基金托管人不得动用或处分基金财产。</w:t>
      </w:r>
    </w:p>
    <w:p w14:paraId="69F2D63D">
      <w:pPr>
        <w:pStyle w:val="197"/>
        <w:spacing w:before="100" w:beforeAutospacing="1" w:after="100" w:afterAutospacing="1" w:line="400" w:lineRule="exact"/>
        <w:ind w:firstLine="420"/>
        <w:rPr>
          <w:rFonts w:ascii="宋体" w:hAnsi="宋体"/>
          <w:szCs w:val="21"/>
        </w:rPr>
      </w:pPr>
      <w:r>
        <w:rPr>
          <w:rFonts w:ascii="宋体" w:hAnsi="宋体"/>
          <w:szCs w:val="21"/>
        </w:rPr>
        <w:t>（四）基金管理人、基金托管人的高级管理人员和其他从业人员不得相互兼职。</w:t>
      </w:r>
    </w:p>
    <w:p w14:paraId="380EDE26">
      <w:pPr>
        <w:pStyle w:val="220"/>
        <w:spacing w:before="100" w:beforeAutospacing="1" w:after="100" w:afterAutospacing="1"/>
        <w:ind w:firstLine="403"/>
        <w:rPr>
          <w:rFonts w:ascii="宋体" w:eastAsia="宋体"/>
          <w:sz w:val="21"/>
          <w:szCs w:val="21"/>
        </w:rPr>
      </w:pPr>
      <w:r>
        <w:rPr>
          <w:rFonts w:ascii="宋体" w:eastAsia="宋体"/>
          <w:sz w:val="21"/>
          <w:szCs w:val="21"/>
        </w:rPr>
        <w:t>（五）法律法规、《基金合同》和本协议禁止的其他行为。</w:t>
      </w:r>
    </w:p>
    <w:p w14:paraId="59CB854B">
      <w:pPr>
        <w:pStyle w:val="220"/>
        <w:spacing w:before="100" w:beforeAutospacing="1" w:after="100" w:afterAutospacing="1"/>
        <w:ind w:firstLine="403"/>
        <w:rPr>
          <w:rFonts w:ascii="宋体" w:eastAsia="宋体"/>
          <w:sz w:val="21"/>
          <w:szCs w:val="21"/>
        </w:rPr>
      </w:pPr>
      <w:r>
        <w:rPr>
          <w:rFonts w:hint="eastAsia" w:ascii="宋体" w:eastAsia="宋体"/>
          <w:sz w:val="21"/>
          <w:szCs w:val="21"/>
        </w:rPr>
        <w:t>如法律法规或监管部门取消或调整上述禁止性规定，基金管理人在履行适当程序后，本基金可不受上述规定的限制或按调整后的规定执行，不需经基金份额持有人大会审议，但须提前公告。</w:t>
      </w:r>
    </w:p>
    <w:p w14:paraId="373C9B58">
      <w:pPr>
        <w:pStyle w:val="220"/>
        <w:spacing w:before="100" w:beforeAutospacing="1" w:after="100" w:afterAutospacing="1"/>
        <w:ind w:firstLine="403"/>
        <w:rPr>
          <w:rFonts w:ascii="宋体" w:eastAsia="宋体"/>
          <w:sz w:val="21"/>
          <w:szCs w:val="21"/>
        </w:rPr>
      </w:pPr>
    </w:p>
    <w:p w14:paraId="4911CDC6">
      <w:pPr>
        <w:pStyle w:val="198"/>
        <w:spacing w:before="100" w:beforeAutospacing="1" w:after="100" w:afterAutospacing="1" w:line="400" w:lineRule="exact"/>
        <w:ind w:firstLine="422"/>
        <w:rPr>
          <w:rFonts w:ascii="宋体" w:hAnsi="宋体"/>
          <w:sz w:val="21"/>
          <w:szCs w:val="21"/>
        </w:rPr>
      </w:pPr>
      <w:bookmarkStart w:id="29" w:name="_Toc116900111"/>
      <w:r>
        <w:rPr>
          <w:rFonts w:ascii="宋体" w:hAnsi="宋体"/>
          <w:sz w:val="21"/>
          <w:szCs w:val="21"/>
        </w:rPr>
        <w:t>十六、托管协议的变更、终止与基金财产的清算</w:t>
      </w:r>
    </w:p>
    <w:p w14:paraId="74EC1313">
      <w:pPr>
        <w:pStyle w:val="220"/>
        <w:spacing w:before="100" w:beforeAutospacing="1" w:after="100" w:afterAutospacing="1"/>
        <w:ind w:firstLine="403"/>
        <w:rPr>
          <w:rFonts w:ascii="宋体" w:eastAsia="宋体"/>
          <w:sz w:val="21"/>
          <w:szCs w:val="21"/>
        </w:rPr>
      </w:pPr>
      <w:r>
        <w:rPr>
          <w:rFonts w:ascii="宋体" w:eastAsia="宋体"/>
          <w:sz w:val="21"/>
          <w:szCs w:val="21"/>
        </w:rPr>
        <w:t>（一）托管协议的变更</w:t>
      </w:r>
    </w:p>
    <w:p w14:paraId="60579EC9">
      <w:pPr>
        <w:pStyle w:val="220"/>
        <w:spacing w:before="100" w:beforeAutospacing="1" w:after="100" w:afterAutospacing="1"/>
        <w:ind w:firstLine="403"/>
        <w:rPr>
          <w:rFonts w:ascii="宋体" w:eastAsia="宋体"/>
          <w:sz w:val="21"/>
          <w:szCs w:val="21"/>
        </w:rPr>
      </w:pPr>
      <w:r>
        <w:rPr>
          <w:rFonts w:ascii="宋体" w:eastAsia="宋体"/>
          <w:sz w:val="21"/>
          <w:szCs w:val="21"/>
        </w:rPr>
        <w:t>本协议双方当事人经协商一致，可以对协议进行变更。变更后的新协议，其内容不得与《基金合同》的规定有任何冲突。</w:t>
      </w:r>
    </w:p>
    <w:p w14:paraId="2D6AFF9B">
      <w:pPr>
        <w:pStyle w:val="220"/>
        <w:spacing w:before="100" w:beforeAutospacing="1" w:after="100" w:afterAutospacing="1"/>
        <w:ind w:firstLine="403"/>
        <w:rPr>
          <w:rFonts w:ascii="宋体" w:eastAsia="宋体"/>
          <w:sz w:val="21"/>
          <w:szCs w:val="21"/>
        </w:rPr>
      </w:pPr>
      <w:r>
        <w:rPr>
          <w:rFonts w:ascii="宋体" w:eastAsia="宋体"/>
          <w:sz w:val="21"/>
          <w:szCs w:val="21"/>
        </w:rPr>
        <w:t>（二）托管协议的终止</w:t>
      </w:r>
    </w:p>
    <w:p w14:paraId="33F6344D">
      <w:pPr>
        <w:pStyle w:val="220"/>
        <w:spacing w:before="100" w:beforeAutospacing="1" w:after="100" w:afterAutospacing="1"/>
        <w:ind w:firstLine="403"/>
        <w:rPr>
          <w:rFonts w:ascii="宋体" w:eastAsia="宋体"/>
          <w:sz w:val="21"/>
          <w:szCs w:val="21"/>
        </w:rPr>
      </w:pPr>
      <w:r>
        <w:rPr>
          <w:rFonts w:ascii="宋体" w:eastAsia="宋体"/>
          <w:sz w:val="21"/>
          <w:szCs w:val="21"/>
        </w:rPr>
        <w:t>发生以下情况，本托管协议应当终止：</w:t>
      </w:r>
    </w:p>
    <w:p w14:paraId="09D9D1FA">
      <w:pPr>
        <w:pStyle w:val="220"/>
        <w:spacing w:before="100" w:beforeAutospacing="1" w:after="100" w:afterAutospacing="1"/>
        <w:ind w:firstLine="403"/>
        <w:rPr>
          <w:rFonts w:ascii="宋体" w:eastAsia="宋体"/>
          <w:sz w:val="21"/>
          <w:szCs w:val="21"/>
        </w:rPr>
      </w:pPr>
      <w:r>
        <w:rPr>
          <w:rFonts w:ascii="宋体" w:eastAsia="宋体"/>
          <w:sz w:val="21"/>
          <w:szCs w:val="21"/>
        </w:rPr>
        <w:t>1、《基金合同》终止；</w:t>
      </w:r>
    </w:p>
    <w:p w14:paraId="6651B03D">
      <w:pPr>
        <w:pStyle w:val="220"/>
        <w:spacing w:before="100" w:beforeAutospacing="1" w:after="100" w:afterAutospacing="1"/>
        <w:ind w:firstLine="403"/>
        <w:rPr>
          <w:rFonts w:ascii="宋体" w:eastAsia="宋体"/>
          <w:sz w:val="21"/>
          <w:szCs w:val="21"/>
        </w:rPr>
      </w:pPr>
      <w:r>
        <w:rPr>
          <w:rFonts w:ascii="宋体" w:eastAsia="宋体"/>
          <w:sz w:val="21"/>
          <w:szCs w:val="21"/>
        </w:rPr>
        <w:t>2、本基金更换基金托管人；</w:t>
      </w:r>
    </w:p>
    <w:p w14:paraId="224393BF">
      <w:pPr>
        <w:pStyle w:val="220"/>
        <w:spacing w:before="100" w:beforeAutospacing="1" w:after="100" w:afterAutospacing="1"/>
        <w:ind w:firstLine="403"/>
        <w:rPr>
          <w:rFonts w:ascii="宋体" w:eastAsia="宋体"/>
          <w:sz w:val="21"/>
          <w:szCs w:val="21"/>
        </w:rPr>
      </w:pPr>
      <w:r>
        <w:rPr>
          <w:rFonts w:ascii="宋体" w:eastAsia="宋体"/>
          <w:sz w:val="21"/>
          <w:szCs w:val="21"/>
        </w:rPr>
        <w:t>3、本基金更换基金管理人；</w:t>
      </w:r>
    </w:p>
    <w:p w14:paraId="4DF5ABE1">
      <w:pPr>
        <w:pStyle w:val="220"/>
        <w:spacing w:before="100" w:beforeAutospacing="1" w:after="100" w:afterAutospacing="1"/>
        <w:ind w:firstLine="403"/>
        <w:rPr>
          <w:rFonts w:ascii="宋体" w:eastAsia="宋体"/>
          <w:sz w:val="21"/>
          <w:szCs w:val="21"/>
        </w:rPr>
      </w:pPr>
      <w:r>
        <w:rPr>
          <w:rFonts w:ascii="宋体" w:eastAsia="宋体"/>
          <w:sz w:val="21"/>
          <w:szCs w:val="21"/>
        </w:rPr>
        <w:t>4、发生《基金法》、《运作办法》或其他法律法规规定的终止事项。</w:t>
      </w:r>
    </w:p>
    <w:p w14:paraId="1CD075EE">
      <w:pPr>
        <w:pStyle w:val="220"/>
        <w:spacing w:before="100" w:beforeAutospacing="1" w:after="100" w:afterAutospacing="1"/>
        <w:ind w:firstLine="403"/>
        <w:rPr>
          <w:rFonts w:ascii="宋体" w:eastAsia="宋体"/>
          <w:sz w:val="21"/>
          <w:szCs w:val="21"/>
        </w:rPr>
      </w:pPr>
      <w:r>
        <w:rPr>
          <w:rFonts w:ascii="宋体" w:eastAsia="宋体"/>
          <w:sz w:val="21"/>
          <w:szCs w:val="21"/>
        </w:rPr>
        <w:t>（三）基金财产的清算</w:t>
      </w:r>
    </w:p>
    <w:p w14:paraId="4B9A09A0">
      <w:pPr>
        <w:pStyle w:val="197"/>
        <w:spacing w:before="100" w:beforeAutospacing="1" w:after="100" w:afterAutospacing="1" w:line="400" w:lineRule="exact"/>
        <w:ind w:firstLine="420"/>
        <w:rPr>
          <w:rFonts w:ascii="宋体" w:hAnsi="宋体"/>
          <w:color w:val="000000"/>
          <w:szCs w:val="21"/>
        </w:rPr>
      </w:pPr>
      <w:r>
        <w:rPr>
          <w:rFonts w:ascii="宋体" w:hAnsi="宋体"/>
          <w:color w:val="000000"/>
          <w:szCs w:val="21"/>
        </w:rPr>
        <w:t>基金管理人和基金托管人应按照《基金合同》及有关法律法规的规定对本基金的财产进行清算。</w:t>
      </w:r>
    </w:p>
    <w:p w14:paraId="6E344376">
      <w:pPr>
        <w:pStyle w:val="197"/>
        <w:spacing w:before="100" w:beforeAutospacing="1" w:after="100" w:afterAutospacing="1" w:line="400" w:lineRule="exact"/>
        <w:ind w:firstLine="449"/>
        <w:rPr>
          <w:rFonts w:ascii="宋体" w:hAnsi="宋体"/>
          <w:szCs w:val="21"/>
        </w:rPr>
      </w:pPr>
    </w:p>
    <w:p w14:paraId="2C809BD2">
      <w:pPr>
        <w:pStyle w:val="198"/>
        <w:spacing w:before="100" w:beforeAutospacing="1" w:after="100" w:afterAutospacing="1" w:line="400" w:lineRule="exact"/>
        <w:ind w:firstLine="422"/>
        <w:rPr>
          <w:rFonts w:ascii="宋体" w:hAnsi="宋体"/>
          <w:sz w:val="21"/>
          <w:szCs w:val="21"/>
        </w:rPr>
      </w:pPr>
      <w:r>
        <w:rPr>
          <w:rFonts w:ascii="宋体" w:hAnsi="宋体"/>
          <w:sz w:val="21"/>
          <w:szCs w:val="21"/>
        </w:rPr>
        <w:t>十七、违约责任和责任划分</w:t>
      </w:r>
      <w:bookmarkEnd w:id="29"/>
    </w:p>
    <w:p w14:paraId="1E41763C">
      <w:pPr>
        <w:pStyle w:val="197"/>
        <w:spacing w:before="100" w:beforeAutospacing="1" w:after="100" w:afterAutospacing="1" w:line="400" w:lineRule="exact"/>
        <w:ind w:firstLine="420"/>
        <w:rPr>
          <w:rFonts w:ascii="宋体" w:hAnsi="宋体"/>
          <w:szCs w:val="21"/>
        </w:rPr>
      </w:pPr>
      <w:r>
        <w:rPr>
          <w:rFonts w:ascii="宋体" w:hAnsi="宋体"/>
          <w:szCs w:val="21"/>
        </w:rPr>
        <w:t>（一）本协议当事人不履行本协议或履行本协议不符合约定的，应当承担违约责任。</w:t>
      </w:r>
    </w:p>
    <w:p w14:paraId="5B1FB20F">
      <w:pPr>
        <w:pStyle w:val="197"/>
        <w:spacing w:before="100" w:beforeAutospacing="1" w:after="100" w:afterAutospacing="1" w:line="400" w:lineRule="exact"/>
        <w:ind w:firstLine="420"/>
        <w:rPr>
          <w:rFonts w:ascii="宋体" w:hAnsi="宋体"/>
          <w:szCs w:val="21"/>
        </w:rPr>
      </w:pPr>
      <w:r>
        <w:rPr>
          <w:rFonts w:ascii="宋体" w:hAnsi="宋体"/>
          <w:szCs w:val="21"/>
        </w:rPr>
        <w:t>（二）因本协议当事人</w:t>
      </w:r>
      <w:r>
        <w:rPr>
          <w:rFonts w:hint="eastAsia" w:ascii="宋体" w:hAnsi="宋体"/>
          <w:szCs w:val="21"/>
        </w:rPr>
        <w:t>违反《基金法》等法律法规的规定或者基金合同和本协议约定，</w:t>
      </w:r>
      <w:r>
        <w:rPr>
          <w:rFonts w:ascii="宋体" w:hAnsi="宋体"/>
          <w:szCs w:val="21"/>
        </w:rPr>
        <w:t>给基金财产或者基金份额持有人造成损害的，应当分别对各自的行为依法承担赔偿责任</w:t>
      </w:r>
      <w:r>
        <w:rPr>
          <w:rFonts w:hint="eastAsia" w:ascii="宋体" w:hAnsi="宋体"/>
          <w:szCs w:val="21"/>
        </w:rPr>
        <w:t>；</w:t>
      </w:r>
      <w:r>
        <w:rPr>
          <w:rFonts w:ascii="宋体" w:hAnsi="宋体"/>
          <w:szCs w:val="21"/>
        </w:rPr>
        <w:t>因共同行为给基金财产或者基金份额持有人造成损害的，应当承担连带赔偿责任。对损失的赔偿，仅限于直接损失。</w:t>
      </w:r>
      <w:r>
        <w:rPr>
          <w:rFonts w:hint="eastAsia" w:ascii="宋体" w:hAnsi="宋体"/>
          <w:szCs w:val="21"/>
        </w:rPr>
        <w:t>一方承担连带责任后有权根据另一方过错程度向另一方追偿。</w:t>
      </w:r>
      <w:r>
        <w:rPr>
          <w:rFonts w:ascii="宋体" w:hAnsi="宋体"/>
          <w:szCs w:val="21"/>
        </w:rPr>
        <w:t>但是发生下列情况，当事人免责：</w:t>
      </w:r>
    </w:p>
    <w:p w14:paraId="622344D0">
      <w:pPr>
        <w:pStyle w:val="197"/>
        <w:spacing w:before="100" w:beforeAutospacing="1" w:after="100" w:afterAutospacing="1" w:line="400" w:lineRule="exact"/>
        <w:ind w:firstLine="420"/>
        <w:rPr>
          <w:rFonts w:ascii="宋体" w:hAnsi="宋体"/>
          <w:szCs w:val="21"/>
        </w:rPr>
      </w:pPr>
      <w:r>
        <w:rPr>
          <w:rFonts w:ascii="宋体" w:hAnsi="宋体"/>
          <w:szCs w:val="21"/>
        </w:rPr>
        <w:t>1、基金管理人</w:t>
      </w:r>
      <w:r>
        <w:rPr>
          <w:rFonts w:hint="eastAsia" w:ascii="宋体" w:hAnsi="宋体"/>
          <w:szCs w:val="21"/>
        </w:rPr>
        <w:t>和/或</w:t>
      </w:r>
      <w:r>
        <w:rPr>
          <w:rFonts w:ascii="宋体" w:hAnsi="宋体"/>
          <w:szCs w:val="21"/>
        </w:rPr>
        <w:t>基金托管人按照当时有效的法律法规或中国证监会的规定作为或不作为而造成的损失等；</w:t>
      </w:r>
    </w:p>
    <w:p w14:paraId="03239A03">
      <w:pPr>
        <w:pStyle w:val="197"/>
        <w:spacing w:before="100" w:beforeAutospacing="1" w:after="100" w:afterAutospacing="1" w:line="400" w:lineRule="exact"/>
        <w:ind w:firstLine="420"/>
        <w:rPr>
          <w:rFonts w:ascii="宋体" w:hAnsi="宋体"/>
          <w:szCs w:val="21"/>
        </w:rPr>
      </w:pPr>
      <w:r>
        <w:rPr>
          <w:rFonts w:ascii="宋体" w:hAnsi="宋体"/>
          <w:szCs w:val="21"/>
        </w:rPr>
        <w:t>2、基金管理人由于按照《基金合同》规定的投资原则而行使或不行使其投资权而造成的损失等；</w:t>
      </w:r>
    </w:p>
    <w:p w14:paraId="5B798796">
      <w:pPr>
        <w:pStyle w:val="197"/>
        <w:spacing w:before="100" w:beforeAutospacing="1" w:after="100" w:afterAutospacing="1" w:line="400" w:lineRule="exact"/>
        <w:ind w:firstLine="420"/>
        <w:rPr>
          <w:rFonts w:ascii="宋体" w:hAnsi="宋体"/>
          <w:szCs w:val="21"/>
        </w:rPr>
      </w:pPr>
      <w:r>
        <w:rPr>
          <w:rFonts w:ascii="宋体" w:hAnsi="宋体"/>
          <w:szCs w:val="21"/>
        </w:rPr>
        <w:t>3、不可抗力；</w:t>
      </w:r>
    </w:p>
    <w:p w14:paraId="77487705">
      <w:pPr>
        <w:pStyle w:val="197"/>
        <w:spacing w:before="100" w:beforeAutospacing="1" w:after="100" w:afterAutospacing="1" w:line="400" w:lineRule="exact"/>
        <w:ind w:firstLine="420"/>
        <w:rPr>
          <w:rFonts w:ascii="宋体" w:hAnsi="宋体"/>
          <w:szCs w:val="21"/>
        </w:rPr>
      </w:pPr>
      <w:r>
        <w:rPr>
          <w:rFonts w:ascii="宋体" w:hAnsi="宋体"/>
          <w:szCs w:val="21"/>
        </w:rPr>
        <w:t>4、基金托管人对存放或存管在基金托管人以外机构的基金资产，或交由证券公司等其他机构负责清算交收的基金资产及其收益不承担责任；</w:t>
      </w:r>
    </w:p>
    <w:p w14:paraId="35829E9C">
      <w:pPr>
        <w:pStyle w:val="197"/>
        <w:spacing w:before="100" w:beforeAutospacing="1" w:after="100" w:afterAutospacing="1" w:line="400" w:lineRule="exact"/>
        <w:ind w:firstLine="420"/>
        <w:rPr>
          <w:rFonts w:ascii="宋体" w:hAnsi="宋体"/>
          <w:szCs w:val="21"/>
        </w:rPr>
      </w:pPr>
      <w:r>
        <w:rPr>
          <w:rFonts w:ascii="宋体" w:hAnsi="宋体"/>
          <w:szCs w:val="21"/>
        </w:rPr>
        <w:t>5、计算机系统故障、网络故障、通讯故障、电力故障、计算机病毒攻击及其它非基金管理人、基金托管人过错造成的意外事故。</w:t>
      </w:r>
    </w:p>
    <w:p w14:paraId="50A6CB2A">
      <w:pPr>
        <w:pStyle w:val="220"/>
        <w:spacing w:before="100" w:beforeAutospacing="1" w:after="100" w:afterAutospacing="1"/>
        <w:ind w:firstLine="403"/>
        <w:rPr>
          <w:rFonts w:ascii="宋体" w:eastAsia="宋体"/>
          <w:sz w:val="21"/>
          <w:szCs w:val="21"/>
        </w:rPr>
      </w:pPr>
      <w:r>
        <w:rPr>
          <w:rFonts w:ascii="宋体" w:eastAsia="宋体"/>
          <w:sz w:val="21"/>
          <w:szCs w:val="21"/>
        </w:rPr>
        <w:t>（三）一方当事人违反本协议，给另一方当事人造成损失的，应承担赔偿责任。</w:t>
      </w:r>
    </w:p>
    <w:p w14:paraId="196F4E4D">
      <w:pPr>
        <w:pStyle w:val="197"/>
        <w:spacing w:before="100" w:beforeAutospacing="1" w:after="100" w:afterAutospacing="1" w:line="400" w:lineRule="exact"/>
        <w:ind w:firstLine="420"/>
        <w:rPr>
          <w:rFonts w:ascii="宋体" w:hAnsi="宋体"/>
          <w:szCs w:val="21"/>
        </w:rPr>
      </w:pPr>
      <w:r>
        <w:rPr>
          <w:rFonts w:ascii="宋体" w:hAnsi="宋体"/>
          <w:szCs w:val="21"/>
        </w:rPr>
        <w:t>（四）因不可抗力不能履行本协议的，根据不可抗力的影响，违约方部分或全部免除责任，但法律另有规定的除外。当事人迟延履行后发生不可抗力的，不能免除责任。</w:t>
      </w:r>
    </w:p>
    <w:p w14:paraId="311C4239">
      <w:pPr>
        <w:pStyle w:val="220"/>
        <w:spacing w:before="100" w:beforeAutospacing="1" w:after="100" w:afterAutospacing="1"/>
        <w:ind w:firstLine="403"/>
        <w:rPr>
          <w:rFonts w:ascii="宋体" w:eastAsia="宋体"/>
          <w:sz w:val="21"/>
          <w:szCs w:val="21"/>
        </w:rPr>
      </w:pPr>
      <w:r>
        <w:rPr>
          <w:rFonts w:ascii="宋体" w:eastAsia="宋体"/>
          <w:sz w:val="21"/>
          <w:szCs w:val="21"/>
        </w:rPr>
        <w:t>（五）当事人一方违约，另一方在职责范围内有义务及时采取必要的措施，尽力防止损失的扩大。</w:t>
      </w:r>
      <w:r>
        <w:rPr>
          <w:rFonts w:hint="eastAsia" w:ascii="宋体" w:eastAsia="宋体"/>
          <w:sz w:val="21"/>
          <w:szCs w:val="21"/>
        </w:rPr>
        <w:t>没有采取适当措施致使损失进一步扩大的，不得就扩大的损失要求赔偿。非违约方因防止损失扩大而支出的合理费用由违约方承担。</w:t>
      </w:r>
    </w:p>
    <w:p w14:paraId="39C283AE">
      <w:pPr>
        <w:pStyle w:val="220"/>
        <w:spacing w:before="100" w:beforeAutospacing="1" w:after="100" w:afterAutospacing="1"/>
        <w:ind w:firstLine="403"/>
        <w:rPr>
          <w:rFonts w:ascii="宋体" w:eastAsia="宋体"/>
          <w:sz w:val="21"/>
          <w:szCs w:val="21"/>
        </w:rPr>
      </w:pPr>
      <w:r>
        <w:rPr>
          <w:rFonts w:ascii="宋体" w:eastAsia="宋体"/>
          <w:sz w:val="21"/>
          <w:szCs w:val="21"/>
        </w:rPr>
        <w:t>（六）违约行为虽已发生，但本协议能够继续履行的，在最大限度地保护基金份额持有人利益的前提下，基金管理人和基金托管人应当继续履行本协议。</w:t>
      </w:r>
    </w:p>
    <w:p w14:paraId="668374C9">
      <w:pPr>
        <w:pStyle w:val="220"/>
        <w:spacing w:before="100" w:beforeAutospacing="1" w:after="100" w:afterAutospacing="1"/>
        <w:ind w:firstLine="403"/>
        <w:rPr>
          <w:rFonts w:ascii="宋体" w:eastAsia="宋体"/>
          <w:sz w:val="21"/>
          <w:szCs w:val="21"/>
        </w:rPr>
      </w:pPr>
      <w:r>
        <w:rPr>
          <w:rFonts w:ascii="宋体" w:eastAsia="宋体"/>
          <w:sz w:val="21"/>
          <w:szCs w:val="21"/>
        </w:rPr>
        <w:t>（七）为明确责任，在不影响本协议本条其他规定的普遍适用性的前提下，基金管理人和基金托管人对由于如下行为造成的损失的责任承担问题，明确如下：</w:t>
      </w:r>
    </w:p>
    <w:p w14:paraId="317A1B0C">
      <w:pPr>
        <w:pStyle w:val="220"/>
        <w:spacing w:before="100" w:beforeAutospacing="1" w:after="100" w:afterAutospacing="1"/>
        <w:ind w:firstLine="403"/>
        <w:rPr>
          <w:rFonts w:ascii="宋体" w:eastAsia="宋体"/>
          <w:sz w:val="21"/>
          <w:szCs w:val="21"/>
        </w:rPr>
      </w:pPr>
      <w:r>
        <w:rPr>
          <w:rFonts w:ascii="宋体" w:eastAsia="宋体"/>
          <w:sz w:val="21"/>
          <w:szCs w:val="21"/>
        </w:rPr>
        <w:t>1、由于下达违法、违规的指令所导致的责任，由基金管理人承担；</w:t>
      </w:r>
    </w:p>
    <w:p w14:paraId="7DBC03C7">
      <w:pPr>
        <w:pStyle w:val="220"/>
        <w:spacing w:before="100" w:beforeAutospacing="1" w:after="100" w:afterAutospacing="1"/>
        <w:ind w:firstLine="403"/>
        <w:rPr>
          <w:rFonts w:ascii="宋体" w:eastAsia="宋体"/>
          <w:sz w:val="21"/>
          <w:szCs w:val="21"/>
        </w:rPr>
      </w:pPr>
      <w:r>
        <w:rPr>
          <w:rFonts w:ascii="宋体" w:eastAsia="宋体"/>
          <w:sz w:val="21"/>
          <w:szCs w:val="21"/>
        </w:rPr>
        <w:t xml:space="preserve">2、指令下达人员在授权通知载明的权限范围内下达的指令所导致的责任，由基金管理人承担，即使该人员下达指令并没有获得基金管理人的实际授权（例如基金管理人在撤销或变更授权权限后未能及时通知基金托管人）； </w:t>
      </w:r>
    </w:p>
    <w:p w14:paraId="580F1653">
      <w:pPr>
        <w:pStyle w:val="220"/>
        <w:spacing w:before="100" w:beforeAutospacing="1" w:after="100" w:afterAutospacing="1"/>
        <w:ind w:firstLine="403"/>
        <w:rPr>
          <w:rFonts w:ascii="宋体" w:eastAsia="宋体"/>
          <w:sz w:val="21"/>
          <w:szCs w:val="21"/>
        </w:rPr>
      </w:pPr>
      <w:r>
        <w:rPr>
          <w:rFonts w:ascii="宋体" w:eastAsia="宋体"/>
          <w:sz w:val="21"/>
          <w:szCs w:val="21"/>
        </w:rPr>
        <w:t>3、基金托管人未对指令上签名和印鉴与预留签字样本和预留印鉴进行表面真实性审核，导致基金托管人执行了应当无效的指令，基金管理人与基金托管人应根据各自过错程度承担责任；</w:t>
      </w:r>
    </w:p>
    <w:p w14:paraId="5A402634">
      <w:pPr>
        <w:pStyle w:val="220"/>
        <w:spacing w:before="100" w:beforeAutospacing="1" w:after="100" w:afterAutospacing="1"/>
        <w:ind w:firstLine="403"/>
        <w:rPr>
          <w:rFonts w:ascii="宋体" w:eastAsia="宋体"/>
          <w:sz w:val="21"/>
          <w:szCs w:val="21"/>
        </w:rPr>
      </w:pPr>
      <w:r>
        <w:rPr>
          <w:rFonts w:ascii="宋体" w:eastAsia="宋体"/>
          <w:sz w:val="21"/>
          <w:szCs w:val="21"/>
        </w:rPr>
        <w:t>4、属于基金托管人实际有效控制下的基金财产（包括实物证券）在基金托管人保管期间的损坏、灭失，由此产生的责任应由基金托管人承担；</w:t>
      </w:r>
    </w:p>
    <w:p w14:paraId="7A92C4B9">
      <w:pPr>
        <w:pStyle w:val="220"/>
        <w:spacing w:before="100" w:beforeAutospacing="1" w:after="100" w:afterAutospacing="1"/>
        <w:ind w:firstLine="403"/>
        <w:rPr>
          <w:rFonts w:ascii="宋体" w:eastAsia="宋体"/>
          <w:sz w:val="21"/>
          <w:szCs w:val="21"/>
        </w:rPr>
      </w:pPr>
      <w:r>
        <w:rPr>
          <w:rFonts w:ascii="宋体" w:eastAsia="宋体"/>
          <w:sz w:val="21"/>
          <w:szCs w:val="21"/>
        </w:rPr>
        <w:t>5、基金管理人应承担对其应收取的管理费</w:t>
      </w:r>
      <w:r>
        <w:rPr>
          <w:rFonts w:hint="eastAsia" w:ascii="宋体" w:eastAsia="宋体"/>
          <w:sz w:val="21"/>
          <w:szCs w:val="21"/>
        </w:rPr>
        <w:t>（包含固定管理费、或有管理费和超额管理费）</w:t>
      </w:r>
      <w:r>
        <w:rPr>
          <w:rFonts w:ascii="宋体" w:eastAsia="宋体"/>
          <w:sz w:val="21"/>
          <w:szCs w:val="21"/>
        </w:rPr>
        <w:t>数额计算错误的责任。如果基金托管人复核后同意基金管理人的计算结果，则基金托管人也应承担未正确履行复核义务的相应责任；</w:t>
      </w:r>
    </w:p>
    <w:p w14:paraId="77421885">
      <w:pPr>
        <w:pStyle w:val="220"/>
        <w:spacing w:before="100" w:beforeAutospacing="1" w:after="100" w:afterAutospacing="1"/>
        <w:ind w:firstLine="403"/>
        <w:rPr>
          <w:rFonts w:ascii="宋体" w:eastAsia="宋体"/>
          <w:sz w:val="21"/>
          <w:szCs w:val="21"/>
        </w:rPr>
      </w:pPr>
      <w:r>
        <w:rPr>
          <w:rFonts w:ascii="宋体" w:eastAsia="宋体"/>
          <w:sz w:val="21"/>
          <w:szCs w:val="21"/>
        </w:rPr>
        <w:t>6、基金管理人应承担对基金托管人应收取的托管费数额计算错误的责任。如果基金托管人复核后同意基金管理人的计算结果，则基金托管人也应承担未正确履行复核义务的相应责任；</w:t>
      </w:r>
    </w:p>
    <w:p w14:paraId="31E3FDD2">
      <w:pPr>
        <w:pStyle w:val="220"/>
        <w:spacing w:before="100" w:beforeAutospacing="1" w:after="100" w:afterAutospacing="1"/>
        <w:ind w:firstLine="403"/>
        <w:rPr>
          <w:rFonts w:ascii="宋体" w:eastAsia="宋体"/>
          <w:sz w:val="21"/>
          <w:szCs w:val="21"/>
        </w:rPr>
      </w:pPr>
      <w:r>
        <w:rPr>
          <w:rFonts w:ascii="宋体" w:eastAsia="宋体"/>
          <w:sz w:val="21"/>
          <w:szCs w:val="21"/>
        </w:rPr>
        <w:t>7、由于基金管理人或基金托管人原因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14:paraId="1FD6E6F3">
      <w:pPr>
        <w:pStyle w:val="220"/>
        <w:spacing w:before="100" w:beforeAutospacing="1" w:after="100" w:afterAutospacing="1"/>
        <w:ind w:firstLine="403"/>
        <w:rPr>
          <w:rFonts w:ascii="宋体" w:eastAsia="宋体"/>
          <w:sz w:val="21"/>
          <w:szCs w:val="21"/>
        </w:rPr>
      </w:pPr>
      <w:r>
        <w:rPr>
          <w:rFonts w:ascii="宋体" w:eastAsia="宋体"/>
          <w:sz w:val="21"/>
          <w:szCs w:val="21"/>
        </w:rPr>
        <w:t>8、在资金交收日，基金</w:t>
      </w:r>
      <w:r>
        <w:rPr>
          <w:rFonts w:hint="eastAsia" w:ascii="宋体" w:eastAsia="宋体"/>
          <w:sz w:val="21"/>
          <w:szCs w:val="21"/>
        </w:rPr>
        <w:t>银行</w:t>
      </w:r>
      <w:r>
        <w:rPr>
          <w:rFonts w:ascii="宋体" w:eastAsia="宋体"/>
          <w:sz w:val="21"/>
          <w:szCs w:val="21"/>
        </w:rPr>
        <w:t>账户资金首先用于除新股申购以外的其他资金交收义务，交收完成后资金余额方可用于新股申购。如果因此资金不足造成新股申购失败或者新股申购不足，基金托管人不承担责任。</w:t>
      </w:r>
    </w:p>
    <w:p w14:paraId="616AD7E5">
      <w:pPr>
        <w:pStyle w:val="220"/>
        <w:spacing w:before="100" w:beforeAutospacing="1" w:after="100" w:afterAutospacing="1"/>
        <w:ind w:firstLine="403"/>
        <w:rPr>
          <w:rFonts w:ascii="宋体" w:eastAsia="宋体"/>
          <w:sz w:val="21"/>
          <w:szCs w:val="21"/>
        </w:rPr>
      </w:pPr>
    </w:p>
    <w:p w14:paraId="3DECCC2F">
      <w:pPr>
        <w:pStyle w:val="198"/>
        <w:spacing w:before="100" w:beforeAutospacing="1" w:after="100" w:afterAutospacing="1" w:line="400" w:lineRule="exact"/>
        <w:ind w:firstLine="422"/>
        <w:rPr>
          <w:rFonts w:ascii="宋体" w:hAnsi="宋体"/>
          <w:sz w:val="21"/>
          <w:szCs w:val="21"/>
        </w:rPr>
      </w:pPr>
      <w:bookmarkStart w:id="30" w:name="_Toc116900112"/>
      <w:r>
        <w:rPr>
          <w:rFonts w:ascii="宋体" w:hAnsi="宋体"/>
          <w:sz w:val="21"/>
          <w:szCs w:val="21"/>
        </w:rPr>
        <w:t>十八、适用法律与争议解决</w:t>
      </w:r>
      <w:bookmarkEnd w:id="30"/>
      <w:r>
        <w:rPr>
          <w:rFonts w:ascii="宋体" w:hAnsi="宋体"/>
          <w:sz w:val="21"/>
          <w:szCs w:val="21"/>
        </w:rPr>
        <w:t>方式</w:t>
      </w:r>
    </w:p>
    <w:p w14:paraId="2FF481EE">
      <w:pPr>
        <w:pStyle w:val="220"/>
        <w:spacing w:before="100" w:beforeAutospacing="1" w:after="100" w:afterAutospacing="1"/>
        <w:ind w:firstLine="403"/>
        <w:rPr>
          <w:rFonts w:ascii="宋体" w:eastAsia="宋体"/>
          <w:sz w:val="21"/>
          <w:szCs w:val="21"/>
        </w:rPr>
      </w:pPr>
      <w:r>
        <w:rPr>
          <w:rFonts w:ascii="宋体" w:eastAsia="宋体"/>
          <w:sz w:val="21"/>
          <w:szCs w:val="21"/>
        </w:rPr>
        <w:t>（一）本协议适用中华人民共和国法律（为本协议之目的，不包括香港特别行政区、澳门特别行政区和台湾地区法律）并从其解释。</w:t>
      </w:r>
    </w:p>
    <w:p w14:paraId="7B81AF02">
      <w:pPr>
        <w:pStyle w:val="220"/>
        <w:spacing w:before="100" w:beforeAutospacing="1" w:after="100" w:afterAutospacing="1"/>
        <w:ind w:firstLine="403"/>
        <w:rPr>
          <w:rFonts w:ascii="宋体" w:eastAsia="宋体"/>
          <w:sz w:val="21"/>
          <w:szCs w:val="21"/>
        </w:rPr>
      </w:pPr>
      <w:r>
        <w:rPr>
          <w:rFonts w:ascii="宋体" w:eastAsia="宋体"/>
          <w:sz w:val="21"/>
          <w:szCs w:val="21"/>
        </w:rPr>
        <w:t>（二）基金管理人与基金托管人之间因本协议产生的或与本协议有关的争议可通过友好协商解决。但若争议未能以协商方式解决的，则任何一方均应将争议提交中国国际经济贸易仲裁委员会，并按其届时有效的仲裁规则进行仲裁，仲裁地点为北京市。仲裁裁决是终局的，对仲裁双方当事人均具有约束力。除非仲裁裁决另有裁定，仲裁费用和律师费用由败诉方承担。</w:t>
      </w:r>
    </w:p>
    <w:p w14:paraId="25A8CE34">
      <w:pPr>
        <w:pStyle w:val="220"/>
        <w:spacing w:before="100" w:beforeAutospacing="1" w:after="100" w:afterAutospacing="1"/>
        <w:ind w:firstLine="403"/>
        <w:rPr>
          <w:rFonts w:ascii="宋体" w:eastAsia="宋体"/>
          <w:sz w:val="21"/>
          <w:szCs w:val="21"/>
        </w:rPr>
      </w:pPr>
      <w:r>
        <w:rPr>
          <w:rFonts w:ascii="宋体" w:eastAsia="宋体"/>
          <w:sz w:val="21"/>
          <w:szCs w:val="21"/>
        </w:rPr>
        <w:t>（三）除争议所涉的内容之外，本协议的当事人仍应履行基金合同和本协议的其他规定</w:t>
      </w:r>
      <w:r>
        <w:rPr>
          <w:rFonts w:hint="eastAsia" w:ascii="宋体" w:eastAsia="宋体"/>
          <w:sz w:val="21"/>
          <w:szCs w:val="21"/>
        </w:rPr>
        <w:t>，维护基金份额持有人的合法权益</w:t>
      </w:r>
      <w:r>
        <w:rPr>
          <w:rFonts w:ascii="宋体" w:eastAsia="宋体"/>
          <w:sz w:val="21"/>
          <w:szCs w:val="21"/>
        </w:rPr>
        <w:t>。</w:t>
      </w:r>
    </w:p>
    <w:p w14:paraId="14BE6567">
      <w:pPr>
        <w:pStyle w:val="220"/>
        <w:spacing w:before="100" w:beforeAutospacing="1" w:after="100" w:afterAutospacing="1"/>
        <w:ind w:firstLine="403"/>
        <w:rPr>
          <w:rFonts w:ascii="宋体" w:eastAsia="宋体"/>
          <w:sz w:val="21"/>
          <w:szCs w:val="21"/>
        </w:rPr>
      </w:pPr>
    </w:p>
    <w:p w14:paraId="28C2F923">
      <w:pPr>
        <w:pStyle w:val="198"/>
        <w:spacing w:before="100" w:beforeAutospacing="1" w:after="100" w:afterAutospacing="1" w:line="400" w:lineRule="exact"/>
        <w:ind w:firstLine="422"/>
        <w:rPr>
          <w:rFonts w:ascii="宋体" w:hAnsi="宋体"/>
          <w:sz w:val="21"/>
          <w:szCs w:val="21"/>
        </w:rPr>
      </w:pPr>
      <w:bookmarkStart w:id="31" w:name="_Toc116900113"/>
      <w:r>
        <w:rPr>
          <w:rFonts w:ascii="宋体" w:hAnsi="宋体"/>
          <w:sz w:val="21"/>
          <w:szCs w:val="21"/>
        </w:rPr>
        <w:t>十九、托管协议的效力</w:t>
      </w:r>
      <w:bookmarkEnd w:id="31"/>
    </w:p>
    <w:p w14:paraId="12600481">
      <w:pPr>
        <w:pStyle w:val="197"/>
        <w:spacing w:before="100" w:beforeAutospacing="1" w:after="100" w:afterAutospacing="1" w:line="400" w:lineRule="exact"/>
        <w:ind w:firstLine="420"/>
        <w:rPr>
          <w:rFonts w:ascii="宋体" w:hAnsi="宋体"/>
          <w:szCs w:val="21"/>
        </w:rPr>
      </w:pPr>
      <w:r>
        <w:rPr>
          <w:rFonts w:ascii="宋体" w:hAnsi="宋体"/>
          <w:szCs w:val="21"/>
        </w:rPr>
        <w:t>（一）基金管理人在向中国证监会申请发售基金份额时提交的基金托管协议草案，应经托管协议双方当事人的法定代表人或授权签字人签字或签章并加盖公章，协议当事人双方根据中国证监会的意见修改托管协议草案。托管协议以中国证监会注册的文本为正式文本。</w:t>
      </w:r>
    </w:p>
    <w:p w14:paraId="6B69CD8C">
      <w:pPr>
        <w:pStyle w:val="197"/>
        <w:spacing w:before="100" w:beforeAutospacing="1" w:after="100" w:afterAutospacing="1" w:line="400" w:lineRule="exact"/>
        <w:ind w:firstLine="420"/>
        <w:rPr>
          <w:rFonts w:ascii="宋体" w:hAnsi="宋体"/>
          <w:szCs w:val="21"/>
        </w:rPr>
      </w:pPr>
      <w:r>
        <w:rPr>
          <w:rFonts w:ascii="宋体" w:hAnsi="宋体"/>
          <w:szCs w:val="21"/>
        </w:rPr>
        <w:t>（二）本协议自双方签署之日起成立，自基金合同生效之日起生效。本协议的有效期自其生效之日起至基金财产清算结果报中国证监会备案并公告之日止。</w:t>
      </w:r>
    </w:p>
    <w:p w14:paraId="1438C62D">
      <w:pPr>
        <w:pStyle w:val="197"/>
        <w:spacing w:before="100" w:beforeAutospacing="1" w:after="100" w:afterAutospacing="1" w:line="400" w:lineRule="exact"/>
        <w:ind w:firstLine="420"/>
        <w:rPr>
          <w:rFonts w:ascii="宋体" w:hAnsi="宋体"/>
          <w:szCs w:val="21"/>
        </w:rPr>
      </w:pPr>
      <w:r>
        <w:rPr>
          <w:rFonts w:ascii="宋体" w:hAnsi="宋体"/>
          <w:szCs w:val="21"/>
        </w:rPr>
        <w:t>（三）本协议自生效之日起对双方当事人具有同等的法律约束力。</w:t>
      </w:r>
    </w:p>
    <w:p w14:paraId="4CAFD503">
      <w:pPr>
        <w:pStyle w:val="220"/>
        <w:spacing w:before="100" w:beforeAutospacing="1" w:after="100" w:afterAutospacing="1"/>
        <w:ind w:firstLine="403"/>
        <w:rPr>
          <w:rFonts w:ascii="宋体" w:eastAsia="宋体"/>
          <w:sz w:val="21"/>
          <w:szCs w:val="21"/>
        </w:rPr>
      </w:pPr>
      <w:r>
        <w:rPr>
          <w:rFonts w:ascii="宋体" w:eastAsia="宋体"/>
          <w:sz w:val="21"/>
          <w:szCs w:val="21"/>
        </w:rPr>
        <w:t>（四）本协议正本一式三份，协议双方各执一份，上报中国证监会</w:t>
      </w:r>
      <w:r>
        <w:rPr>
          <w:rFonts w:hint="eastAsia" w:ascii="宋体" w:eastAsia="宋体"/>
          <w:sz w:val="21"/>
          <w:szCs w:val="21"/>
        </w:rPr>
        <w:t>一</w:t>
      </w:r>
      <w:r>
        <w:rPr>
          <w:rFonts w:ascii="宋体" w:eastAsia="宋体"/>
          <w:sz w:val="21"/>
          <w:szCs w:val="21"/>
        </w:rPr>
        <w:t>份，每份具有同等法律效力。</w:t>
      </w:r>
    </w:p>
    <w:p w14:paraId="1196B5E4">
      <w:pPr>
        <w:rPr>
          <w:lang w:eastAsia="zh-CN"/>
        </w:rPr>
      </w:pPr>
      <w:bookmarkStart w:id="32" w:name="_Toc116900116"/>
    </w:p>
    <w:p w14:paraId="33740E3D">
      <w:pPr>
        <w:pStyle w:val="198"/>
        <w:spacing w:before="100" w:beforeAutospacing="1" w:after="100" w:afterAutospacing="1" w:line="400" w:lineRule="exact"/>
        <w:ind w:firstLine="422"/>
        <w:rPr>
          <w:rFonts w:ascii="宋体" w:hAnsi="宋体"/>
          <w:sz w:val="21"/>
          <w:szCs w:val="21"/>
        </w:rPr>
      </w:pPr>
      <w:r>
        <w:rPr>
          <w:rFonts w:ascii="宋体" w:hAnsi="宋体"/>
          <w:sz w:val="21"/>
          <w:szCs w:val="21"/>
        </w:rPr>
        <w:t>二十、托管协议</w:t>
      </w:r>
      <w:bookmarkEnd w:id="32"/>
      <w:r>
        <w:rPr>
          <w:rFonts w:ascii="宋体" w:hAnsi="宋体"/>
          <w:sz w:val="21"/>
          <w:szCs w:val="21"/>
        </w:rPr>
        <w:t>的签订</w:t>
      </w:r>
    </w:p>
    <w:p w14:paraId="35521D97">
      <w:pPr>
        <w:pStyle w:val="220"/>
        <w:spacing w:before="100" w:beforeAutospacing="1" w:after="100" w:afterAutospacing="1"/>
        <w:ind w:firstLine="403"/>
        <w:rPr>
          <w:rFonts w:ascii="宋体" w:eastAsia="宋体"/>
          <w:sz w:val="21"/>
          <w:szCs w:val="21"/>
        </w:rPr>
      </w:pPr>
      <w:r>
        <w:rPr>
          <w:rFonts w:ascii="宋体" w:eastAsia="宋体"/>
          <w:sz w:val="21"/>
          <w:szCs w:val="21"/>
        </w:rPr>
        <w:t>见签署页。</w:t>
      </w:r>
    </w:p>
    <w:p w14:paraId="19872C33">
      <w:pPr>
        <w:pStyle w:val="220"/>
        <w:spacing w:before="100" w:beforeAutospacing="1" w:after="100" w:afterAutospacing="1"/>
        <w:ind w:firstLine="403"/>
        <w:rPr>
          <w:rFonts w:ascii="宋体" w:eastAsia="宋体"/>
          <w:sz w:val="21"/>
          <w:szCs w:val="21"/>
        </w:rPr>
      </w:pPr>
      <w:r>
        <w:rPr>
          <w:rFonts w:ascii="宋体" w:eastAsia="宋体"/>
          <w:sz w:val="21"/>
          <w:szCs w:val="21"/>
        </w:rPr>
        <w:t>（以下无正文）</w:t>
      </w:r>
    </w:p>
    <w:p w14:paraId="6A61CEAF">
      <w:pPr>
        <w:pStyle w:val="220"/>
        <w:spacing w:before="100" w:beforeAutospacing="1" w:after="100" w:afterAutospacing="1"/>
        <w:ind w:firstLine="403"/>
        <w:rPr>
          <w:rFonts w:ascii="宋体" w:eastAsia="宋体"/>
          <w:sz w:val="21"/>
          <w:szCs w:val="21"/>
        </w:rPr>
        <w:sectPr>
          <w:footerReference r:id="rId3" w:type="default"/>
          <w:footerReference r:id="rId4" w:type="even"/>
          <w:type w:val="continuous"/>
          <w:pgSz w:w="11906" w:h="16838"/>
          <w:pgMar w:top="1440" w:right="1800" w:bottom="1440" w:left="1800" w:header="851" w:footer="992" w:gutter="0"/>
          <w:pgNumType w:start="1"/>
          <w:cols w:space="720" w:num="1"/>
          <w:titlePg/>
          <w:docGrid w:type="lines" w:linePitch="312" w:charSpace="0"/>
        </w:sectPr>
      </w:pPr>
    </w:p>
    <w:p w14:paraId="727C88BF">
      <w:pPr>
        <w:pStyle w:val="220"/>
        <w:spacing w:before="100" w:beforeAutospacing="1" w:after="100" w:afterAutospacing="1"/>
        <w:ind w:firstLine="403"/>
        <w:rPr>
          <w:rFonts w:ascii="宋体" w:eastAsia="宋体"/>
          <w:sz w:val="21"/>
          <w:szCs w:val="21"/>
        </w:rPr>
      </w:pPr>
      <w:r>
        <w:rPr>
          <w:rFonts w:ascii="宋体" w:eastAsia="宋体"/>
          <w:sz w:val="21"/>
          <w:szCs w:val="21"/>
        </w:rPr>
        <w:t>（本页为《</w:t>
      </w:r>
      <w:r>
        <w:rPr>
          <w:rFonts w:hint="eastAsia" w:ascii="宋体" w:eastAsia="宋体"/>
          <w:sz w:val="21"/>
          <w:szCs w:val="21"/>
        </w:rPr>
        <w:t>富国核心动力混合型证券投资基金</w:t>
      </w:r>
      <w:r>
        <w:rPr>
          <w:rFonts w:ascii="宋体" w:eastAsia="宋体"/>
          <w:sz w:val="21"/>
          <w:szCs w:val="21"/>
        </w:rPr>
        <w:t>托管协议》签署页，无正文）</w:t>
      </w:r>
    </w:p>
    <w:p w14:paraId="3873BCBF">
      <w:pPr>
        <w:pStyle w:val="222"/>
        <w:spacing w:line="400" w:lineRule="exact"/>
        <w:rPr>
          <w:color w:val="000000"/>
          <w:sz w:val="21"/>
          <w:szCs w:val="21"/>
        </w:rPr>
      </w:pPr>
      <w:r>
        <w:rPr>
          <w:color w:val="000000"/>
          <w:sz w:val="21"/>
          <w:szCs w:val="21"/>
        </w:rPr>
        <w:t>　　</w:t>
      </w:r>
    </w:p>
    <w:p w14:paraId="15509BBF">
      <w:pPr>
        <w:pStyle w:val="222"/>
        <w:spacing w:line="400" w:lineRule="exact"/>
        <w:ind w:firstLine="403"/>
        <w:rPr>
          <w:b/>
        </w:rPr>
      </w:pPr>
      <w:r>
        <w:rPr>
          <w:b/>
        </w:rPr>
        <w:t>基金托管人:中国银行股份有限公司</w:t>
      </w:r>
    </w:p>
    <w:p w14:paraId="763A12E9">
      <w:pPr>
        <w:pStyle w:val="222"/>
        <w:spacing w:line="400" w:lineRule="exact"/>
        <w:ind w:firstLine="403"/>
        <w:rPr>
          <w:b/>
        </w:rPr>
      </w:pPr>
    </w:p>
    <w:p w14:paraId="7F185A40">
      <w:pPr>
        <w:pStyle w:val="222"/>
        <w:spacing w:line="400" w:lineRule="exact"/>
        <w:ind w:firstLine="403"/>
        <w:rPr>
          <w:b/>
        </w:rPr>
      </w:pPr>
      <w:r>
        <w:rPr>
          <w:b/>
        </w:rPr>
        <w:t>法定代表人或授权签字人：</w:t>
      </w:r>
    </w:p>
    <w:p w14:paraId="43B3EFE4">
      <w:pPr>
        <w:pStyle w:val="222"/>
        <w:spacing w:line="400" w:lineRule="exact"/>
        <w:ind w:firstLine="420"/>
        <w:rPr>
          <w:b/>
        </w:rPr>
      </w:pPr>
    </w:p>
    <w:p w14:paraId="269F7F5D">
      <w:pPr>
        <w:pStyle w:val="222"/>
        <w:spacing w:line="400" w:lineRule="exact"/>
        <w:ind w:firstLine="420"/>
        <w:rPr>
          <w:b/>
        </w:rPr>
      </w:pPr>
    </w:p>
    <w:p w14:paraId="76E6B0E8">
      <w:pPr>
        <w:pStyle w:val="222"/>
        <w:spacing w:line="400" w:lineRule="exact"/>
        <w:ind w:firstLine="403"/>
        <w:rPr>
          <w:b/>
        </w:rPr>
      </w:pPr>
      <w:r>
        <w:rPr>
          <w:b/>
        </w:rPr>
        <w:t>签订日：</w:t>
      </w:r>
      <w:r>
        <w:rPr>
          <w:b/>
        </w:rPr>
        <w:tab/>
      </w:r>
    </w:p>
    <w:p w14:paraId="1B53A2F4">
      <w:pPr>
        <w:pStyle w:val="222"/>
        <w:spacing w:line="400" w:lineRule="exact"/>
        <w:ind w:firstLine="420"/>
        <w:rPr>
          <w:b/>
        </w:rPr>
      </w:pPr>
      <w:r>
        <w:rPr>
          <w:b/>
        </w:rPr>
        <w:t>签订地：　</w:t>
      </w:r>
    </w:p>
    <w:p w14:paraId="6F4436D3">
      <w:pPr>
        <w:pStyle w:val="222"/>
        <w:spacing w:line="400" w:lineRule="exact"/>
        <w:ind w:firstLine="540"/>
        <w:rPr>
          <w:b/>
        </w:rPr>
      </w:pPr>
    </w:p>
    <w:p w14:paraId="0AB53DCB">
      <w:pPr>
        <w:pStyle w:val="222"/>
        <w:spacing w:line="400" w:lineRule="exact"/>
        <w:ind w:firstLine="540"/>
        <w:rPr>
          <w:b/>
        </w:rPr>
      </w:pPr>
    </w:p>
    <w:p w14:paraId="45D9D152">
      <w:pPr>
        <w:pStyle w:val="222"/>
        <w:spacing w:line="400" w:lineRule="exact"/>
        <w:ind w:firstLine="403"/>
        <w:rPr>
          <w:b/>
        </w:rPr>
      </w:pPr>
    </w:p>
    <w:p w14:paraId="07ED4E27">
      <w:pPr>
        <w:pStyle w:val="197"/>
        <w:spacing w:before="100" w:beforeAutospacing="1" w:after="100" w:afterAutospacing="1" w:line="400" w:lineRule="exact"/>
        <w:ind w:firstLine="403"/>
        <w:rPr>
          <w:rFonts w:ascii="宋体" w:hAnsi="宋体"/>
          <w:b/>
          <w:sz w:val="24"/>
        </w:rPr>
      </w:pPr>
      <w:r>
        <w:rPr>
          <w:rFonts w:ascii="宋体" w:hAnsi="宋体"/>
          <w:b/>
          <w:sz w:val="24"/>
        </w:rPr>
        <w:t>基金管理人：富国基金管理有限公司</w:t>
      </w:r>
    </w:p>
    <w:p w14:paraId="1E8ADA06">
      <w:pPr>
        <w:pStyle w:val="222"/>
        <w:spacing w:line="400" w:lineRule="exact"/>
        <w:rPr>
          <w:b/>
        </w:rPr>
      </w:pPr>
    </w:p>
    <w:p w14:paraId="259E39A2">
      <w:pPr>
        <w:pStyle w:val="222"/>
        <w:spacing w:line="400" w:lineRule="exact"/>
        <w:ind w:firstLine="403"/>
        <w:rPr>
          <w:b/>
        </w:rPr>
      </w:pPr>
      <w:r>
        <w:rPr>
          <w:b/>
        </w:rPr>
        <w:t xml:space="preserve">法定代表人或授权签字人： </w:t>
      </w:r>
    </w:p>
    <w:p w14:paraId="48DE0358">
      <w:pPr>
        <w:pStyle w:val="222"/>
        <w:spacing w:line="400" w:lineRule="exact"/>
        <w:ind w:firstLine="420"/>
        <w:rPr>
          <w:b/>
        </w:rPr>
      </w:pPr>
    </w:p>
    <w:p w14:paraId="7A8BAB80">
      <w:pPr>
        <w:pStyle w:val="222"/>
        <w:spacing w:line="400" w:lineRule="exact"/>
        <w:ind w:firstLine="420"/>
        <w:rPr>
          <w:b/>
        </w:rPr>
      </w:pPr>
    </w:p>
    <w:p w14:paraId="2007D2D3">
      <w:pPr>
        <w:pStyle w:val="222"/>
        <w:spacing w:line="400" w:lineRule="exact"/>
        <w:ind w:firstLine="420"/>
        <w:rPr>
          <w:b/>
        </w:rPr>
      </w:pPr>
      <w:r>
        <w:rPr>
          <w:b/>
        </w:rPr>
        <w:t>签订日：</w:t>
      </w:r>
    </w:p>
    <w:p w14:paraId="6A03B8C0">
      <w:pPr>
        <w:pStyle w:val="222"/>
        <w:spacing w:line="400" w:lineRule="exact"/>
        <w:ind w:firstLine="403"/>
        <w:rPr>
          <w:b/>
        </w:rPr>
      </w:pPr>
      <w:r>
        <w:rPr>
          <w:b/>
        </w:rPr>
        <w:t>签订地：　</w:t>
      </w:r>
      <w:r>
        <w:rPr>
          <w:b/>
        </w:rPr>
        <w:tab/>
      </w:r>
    </w:p>
    <w:sectPr>
      <w:footerReference r:id="rId6" w:type="firs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仿宋">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CD05">
    <w:pPr>
      <w:pStyle w:val="218"/>
      <w:rPr>
        <w:rStyle w:val="206"/>
      </w:rPr>
    </w:pPr>
    <w:r>
      <w:fldChar w:fldCharType="begin"/>
    </w:r>
    <w:r>
      <w:rPr>
        <w:rStyle w:val="206"/>
      </w:rPr>
      <w:instrText xml:space="preserve">PAGE  </w:instrText>
    </w:r>
    <w:r>
      <w:fldChar w:fldCharType="separate"/>
    </w:r>
    <w:r>
      <w:rPr>
        <w:rStyle w:val="206"/>
      </w:rPr>
      <w:t>21</w:t>
    </w:r>
    <w:r>
      <w:fldChar w:fldCharType="end"/>
    </w:r>
  </w:p>
  <w:p w14:paraId="2D1B4AA1">
    <w:pPr>
      <w:pStyle w:val="2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FC34">
    <w:pPr>
      <w:pStyle w:val="218"/>
      <w:rPr>
        <w:rStyle w:val="206"/>
      </w:rPr>
    </w:pPr>
    <w:r>
      <w:fldChar w:fldCharType="begin"/>
    </w:r>
    <w:r>
      <w:rPr>
        <w:rStyle w:val="206"/>
      </w:rPr>
      <w:instrText xml:space="preserve">PAGE  </w:instrText>
    </w:r>
    <w:r>
      <w:fldChar w:fldCharType="end"/>
    </w:r>
  </w:p>
  <w:p w14:paraId="61B6C97A">
    <w:pPr>
      <w:pStyle w:val="2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6122">
    <w:pPr>
      <w:pStyle w:val="218"/>
      <w:rPr>
        <w:rStyle w:val="206"/>
      </w:rPr>
    </w:pPr>
  </w:p>
  <w:p w14:paraId="4E064BE2">
    <w:pPr>
      <w:pStyle w:val="2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E5BA">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97B4D"/>
    <w:multiLevelType w:val="singleLevel"/>
    <w:tmpl w:val="D8C97B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3C"/>
    <w:rsid w:val="0001766C"/>
    <w:rsid w:val="00054493"/>
    <w:rsid w:val="00087CF6"/>
    <w:rsid w:val="000A76C4"/>
    <w:rsid w:val="000B19B8"/>
    <w:rsid w:val="001068BD"/>
    <w:rsid w:val="001127FD"/>
    <w:rsid w:val="00122D6A"/>
    <w:rsid w:val="00132123"/>
    <w:rsid w:val="00176BDD"/>
    <w:rsid w:val="00186FB2"/>
    <w:rsid w:val="001A670A"/>
    <w:rsid w:val="001C4FBD"/>
    <w:rsid w:val="002137DB"/>
    <w:rsid w:val="00226F8B"/>
    <w:rsid w:val="00280975"/>
    <w:rsid w:val="00323A7D"/>
    <w:rsid w:val="00336F9B"/>
    <w:rsid w:val="00387F3C"/>
    <w:rsid w:val="00402175"/>
    <w:rsid w:val="004131C4"/>
    <w:rsid w:val="00447923"/>
    <w:rsid w:val="0047357B"/>
    <w:rsid w:val="005904EA"/>
    <w:rsid w:val="005A2D04"/>
    <w:rsid w:val="005C768B"/>
    <w:rsid w:val="006111DB"/>
    <w:rsid w:val="00615E73"/>
    <w:rsid w:val="00636F96"/>
    <w:rsid w:val="00655DE1"/>
    <w:rsid w:val="00677B73"/>
    <w:rsid w:val="00702C2A"/>
    <w:rsid w:val="00790233"/>
    <w:rsid w:val="00794726"/>
    <w:rsid w:val="007B1CB4"/>
    <w:rsid w:val="00802B9E"/>
    <w:rsid w:val="008C27D5"/>
    <w:rsid w:val="00915A52"/>
    <w:rsid w:val="009576CB"/>
    <w:rsid w:val="00A12D91"/>
    <w:rsid w:val="00AC2FF6"/>
    <w:rsid w:val="00B01D7E"/>
    <w:rsid w:val="00B44C5C"/>
    <w:rsid w:val="00B72337"/>
    <w:rsid w:val="00BA4995"/>
    <w:rsid w:val="00CB4909"/>
    <w:rsid w:val="00CE6E6D"/>
    <w:rsid w:val="00D207A2"/>
    <w:rsid w:val="00D3489C"/>
    <w:rsid w:val="00D374E0"/>
    <w:rsid w:val="00D82B2E"/>
    <w:rsid w:val="00DA30FA"/>
    <w:rsid w:val="00DC1ADC"/>
    <w:rsid w:val="00DC2E88"/>
    <w:rsid w:val="00DF7D01"/>
    <w:rsid w:val="00E26312"/>
    <w:rsid w:val="00E77AAF"/>
    <w:rsid w:val="00EA61F9"/>
    <w:rsid w:val="00ED77FF"/>
    <w:rsid w:val="00F065E0"/>
    <w:rsid w:val="00F36ECE"/>
    <w:rsid w:val="00FE7222"/>
    <w:rsid w:val="04545DA8"/>
    <w:rsid w:val="05F70103"/>
    <w:rsid w:val="0C5E603C"/>
    <w:rsid w:val="0CB03F25"/>
    <w:rsid w:val="14A81341"/>
    <w:rsid w:val="29BF391F"/>
    <w:rsid w:val="3D3D698F"/>
    <w:rsid w:val="409A4682"/>
    <w:rsid w:val="44C17227"/>
    <w:rsid w:val="508B7840"/>
    <w:rsid w:val="5C0E6D72"/>
    <w:rsid w:val="5D0C1F8A"/>
    <w:rsid w:val="61D87BD0"/>
    <w:rsid w:val="63777E4E"/>
    <w:rsid w:val="766D6F7F"/>
    <w:rsid w:val="BFFFCD53"/>
    <w:rsid w:val="FE7F75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2">
    <w:name w:val="heading 1"/>
    <w:next w:val="1"/>
    <w:link w:val="70"/>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480" w:after="200"/>
      <w:outlineLvl w:val="0"/>
    </w:pPr>
    <w:rPr>
      <w:rFonts w:ascii="Arial" w:hAnsi="Arial" w:eastAsia="Arial" w:cs="Arial"/>
      <w:sz w:val="40"/>
      <w:szCs w:val="40"/>
      <w:lang w:val="en-US" w:eastAsia="en-US" w:bidi="en-US"/>
    </w:rPr>
  </w:style>
  <w:style w:type="paragraph" w:styleId="3">
    <w:name w:val="heading 2"/>
    <w:next w:val="1"/>
    <w:link w:val="7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after="200"/>
      <w:outlineLvl w:val="1"/>
    </w:pPr>
    <w:rPr>
      <w:rFonts w:ascii="Arial" w:hAnsi="Arial" w:eastAsia="Arial" w:cs="Arial"/>
      <w:sz w:val="34"/>
      <w:szCs w:val="22"/>
      <w:lang w:val="en-US" w:eastAsia="en-US" w:bidi="en-US"/>
    </w:rPr>
  </w:style>
  <w:style w:type="paragraph" w:styleId="4">
    <w:name w:val="heading 3"/>
    <w:next w:val="1"/>
    <w:link w:val="72"/>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2"/>
    </w:pPr>
    <w:rPr>
      <w:rFonts w:ascii="Arial" w:hAnsi="Arial" w:eastAsia="Arial" w:cs="Arial"/>
      <w:sz w:val="30"/>
      <w:szCs w:val="30"/>
      <w:lang w:val="en-US" w:eastAsia="en-US" w:bidi="en-US"/>
    </w:rPr>
  </w:style>
  <w:style w:type="paragraph" w:styleId="5">
    <w:name w:val="heading 4"/>
    <w:next w:val="1"/>
    <w:link w:val="73"/>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3"/>
    </w:pPr>
    <w:rPr>
      <w:rFonts w:ascii="Arial" w:hAnsi="Arial" w:eastAsia="Arial" w:cs="Arial"/>
      <w:b/>
      <w:bCs/>
      <w:sz w:val="26"/>
      <w:szCs w:val="26"/>
      <w:lang w:val="en-US" w:eastAsia="en-US" w:bidi="en-US"/>
    </w:rPr>
  </w:style>
  <w:style w:type="paragraph" w:styleId="6">
    <w:name w:val="heading 5"/>
    <w:next w:val="1"/>
    <w:link w:val="74"/>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4"/>
    </w:pPr>
    <w:rPr>
      <w:rFonts w:ascii="Arial" w:hAnsi="Arial" w:eastAsia="Arial" w:cs="Arial"/>
      <w:b/>
      <w:bCs/>
      <w:sz w:val="24"/>
      <w:szCs w:val="24"/>
      <w:lang w:val="en-US" w:eastAsia="en-US" w:bidi="en-US"/>
    </w:rPr>
  </w:style>
  <w:style w:type="paragraph" w:styleId="7">
    <w:name w:val="heading 6"/>
    <w:next w:val="1"/>
    <w:link w:val="75"/>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5"/>
    </w:pPr>
    <w:rPr>
      <w:rFonts w:ascii="Arial" w:hAnsi="Arial" w:eastAsia="Arial" w:cs="Arial"/>
      <w:b/>
      <w:bCs/>
      <w:sz w:val="22"/>
      <w:szCs w:val="22"/>
      <w:lang w:val="en-US" w:eastAsia="en-US" w:bidi="en-US"/>
    </w:rPr>
  </w:style>
  <w:style w:type="paragraph" w:styleId="8">
    <w:name w:val="heading 7"/>
    <w:next w:val="1"/>
    <w:link w:val="76"/>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6"/>
    </w:pPr>
    <w:rPr>
      <w:rFonts w:ascii="Arial" w:hAnsi="Arial" w:eastAsia="Arial" w:cs="Arial"/>
      <w:b/>
      <w:bCs/>
      <w:i/>
      <w:iCs/>
      <w:sz w:val="22"/>
      <w:szCs w:val="22"/>
      <w:lang w:val="en-US" w:eastAsia="en-US" w:bidi="en-US"/>
    </w:rPr>
  </w:style>
  <w:style w:type="paragraph" w:styleId="9">
    <w:name w:val="heading 8"/>
    <w:next w:val="1"/>
    <w:link w:val="7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7"/>
    </w:pPr>
    <w:rPr>
      <w:rFonts w:ascii="Arial" w:hAnsi="Arial" w:eastAsia="Arial" w:cs="Arial"/>
      <w:i/>
      <w:iCs/>
      <w:sz w:val="22"/>
      <w:szCs w:val="22"/>
      <w:lang w:val="en-US" w:eastAsia="en-US" w:bidi="en-US"/>
    </w:rPr>
  </w:style>
  <w:style w:type="paragraph" w:styleId="10">
    <w:name w:val="heading 9"/>
    <w:next w:val="1"/>
    <w:link w:val="7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8"/>
    </w:pPr>
    <w:rPr>
      <w:rFonts w:ascii="Arial" w:hAnsi="Arial" w:eastAsia="Arial" w:cs="Arial"/>
      <w:i/>
      <w:iCs/>
      <w:sz w:val="21"/>
      <w:szCs w:val="21"/>
      <w:lang w:val="en-US" w:eastAsia="en-US" w:bidi="en-US"/>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701"/>
    </w:pPr>
    <w:rPr>
      <w:rFonts w:ascii="Times New Roman" w:hAnsi="Times New Roman" w:eastAsia="宋体" w:cs="Times New Roman"/>
      <w:szCs w:val="22"/>
      <w:lang w:val="en-US" w:eastAsia="en-US" w:bidi="en-US"/>
    </w:rPr>
  </w:style>
  <w:style w:type="paragraph" w:styleId="12">
    <w:name w:val="annotation text"/>
    <w:basedOn w:val="1"/>
    <w:link w:val="232"/>
    <w:semiHidden/>
    <w:unhideWhenUsed/>
    <w:qFormat/>
    <w:uiPriority w:val="99"/>
  </w:style>
  <w:style w:type="paragraph" w:styleId="13">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134"/>
    </w:pPr>
    <w:rPr>
      <w:rFonts w:ascii="Times New Roman" w:hAnsi="Times New Roman" w:eastAsia="宋体" w:cs="Times New Roman"/>
      <w:szCs w:val="22"/>
      <w:lang w:val="en-US" w:eastAsia="en-US" w:bidi="en-US"/>
    </w:rPr>
  </w:style>
  <w:style w:type="paragraph" w:styleId="14">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567"/>
    </w:pPr>
    <w:rPr>
      <w:rFonts w:ascii="Times New Roman" w:hAnsi="Times New Roman" w:eastAsia="宋体" w:cs="Times New Roman"/>
      <w:szCs w:val="22"/>
      <w:lang w:val="en-US" w:eastAsia="en-US" w:bidi="en-US"/>
    </w:rPr>
  </w:style>
  <w:style w:type="paragraph" w:styleId="15">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984"/>
    </w:pPr>
    <w:rPr>
      <w:rFonts w:ascii="Times New Roman" w:hAnsi="Times New Roman" w:eastAsia="宋体" w:cs="Times New Roman"/>
      <w:szCs w:val="22"/>
      <w:lang w:val="en-US" w:eastAsia="en-US" w:bidi="en-US"/>
    </w:rPr>
  </w:style>
  <w:style w:type="paragraph" w:styleId="16">
    <w:name w:val="Balloon Text"/>
    <w:basedOn w:val="1"/>
    <w:link w:val="233"/>
    <w:semiHidden/>
    <w:unhideWhenUsed/>
    <w:qFormat/>
    <w:uiPriority w:val="99"/>
    <w:rPr>
      <w:sz w:val="18"/>
      <w:szCs w:val="18"/>
    </w:rPr>
  </w:style>
  <w:style w:type="paragraph" w:styleId="17">
    <w:name w:val="footer"/>
    <w:link w:val="88"/>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pPr>
    <w:rPr>
      <w:rFonts w:ascii="Times New Roman" w:hAnsi="Times New Roman" w:eastAsia="宋体" w:cs="Times New Roman"/>
      <w:szCs w:val="22"/>
      <w:lang w:val="en-US" w:eastAsia="en-US" w:bidi="en-US"/>
    </w:rPr>
  </w:style>
  <w:style w:type="paragraph" w:styleId="18">
    <w:name w:val="header"/>
    <w:link w:val="87"/>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pPr>
    <w:rPr>
      <w:rFonts w:ascii="Times New Roman" w:hAnsi="Times New Roman" w:eastAsia="宋体" w:cs="Times New Roman"/>
      <w:szCs w:val="22"/>
      <w:lang w:val="en-US" w:eastAsia="en-US" w:bidi="en-US"/>
    </w:rPr>
  </w:style>
  <w:style w:type="paragraph" w:styleId="19">
    <w:name w:val="toc 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pPr>
    <w:rPr>
      <w:rFonts w:ascii="Times New Roman" w:hAnsi="Times New Roman" w:eastAsia="宋体" w:cs="Times New Roman"/>
      <w:szCs w:val="22"/>
      <w:lang w:val="en-US" w:eastAsia="en-US" w:bidi="en-US"/>
    </w:rPr>
  </w:style>
  <w:style w:type="paragraph" w:styleId="20">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850"/>
    </w:pPr>
    <w:rPr>
      <w:rFonts w:ascii="Times New Roman" w:hAnsi="Times New Roman" w:eastAsia="宋体" w:cs="Times New Roman"/>
      <w:szCs w:val="22"/>
      <w:lang w:val="en-US" w:eastAsia="en-US" w:bidi="en-US"/>
    </w:rPr>
  </w:style>
  <w:style w:type="paragraph" w:styleId="21">
    <w:name w:val="Subtitle"/>
    <w:link w:val="82"/>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after="200"/>
    </w:pPr>
    <w:rPr>
      <w:rFonts w:ascii="Times New Roman" w:hAnsi="Times New Roman" w:eastAsia="宋体" w:cs="Times New Roman"/>
      <w:sz w:val="24"/>
      <w:szCs w:val="24"/>
      <w:lang w:val="en-US" w:eastAsia="en-US" w:bidi="en-US"/>
    </w:rPr>
  </w:style>
  <w:style w:type="paragraph" w:styleId="22">
    <w:name w:val="footnote text"/>
    <w:link w:val="195"/>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40"/>
    </w:pPr>
    <w:rPr>
      <w:rFonts w:ascii="Times New Roman" w:hAnsi="Times New Roman" w:eastAsia="宋体" w:cs="Times New Roman"/>
      <w:sz w:val="18"/>
      <w:szCs w:val="22"/>
      <w:lang w:val="en-US" w:eastAsia="en-US" w:bidi="en-US"/>
    </w:rPr>
  </w:style>
  <w:style w:type="paragraph" w:styleId="23">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417"/>
    </w:pPr>
    <w:rPr>
      <w:rFonts w:ascii="Times New Roman" w:hAnsi="Times New Roman" w:eastAsia="宋体" w:cs="Times New Roman"/>
      <w:szCs w:val="22"/>
      <w:lang w:val="en-US" w:eastAsia="en-US" w:bidi="en-US"/>
    </w:rPr>
  </w:style>
  <w:style w:type="paragraph" w:styleId="24">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83"/>
    </w:pPr>
    <w:rPr>
      <w:rFonts w:ascii="Times New Roman" w:hAnsi="Times New Roman" w:eastAsia="宋体" w:cs="Times New Roman"/>
      <w:szCs w:val="22"/>
      <w:lang w:val="en-US" w:eastAsia="en-US" w:bidi="en-US"/>
    </w:rPr>
  </w:style>
  <w:style w:type="paragraph" w:styleId="25">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268"/>
    </w:pPr>
    <w:rPr>
      <w:rFonts w:ascii="Times New Roman" w:hAnsi="Times New Roman" w:eastAsia="宋体" w:cs="Times New Roman"/>
      <w:szCs w:val="22"/>
      <w:lang w:val="en-US" w:eastAsia="en-US" w:bidi="en-US"/>
    </w:rPr>
  </w:style>
  <w:style w:type="paragraph" w:styleId="26">
    <w:name w:val="Title"/>
    <w:link w:val="81"/>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after="200"/>
      <w:contextualSpacing/>
    </w:pPr>
    <w:rPr>
      <w:rFonts w:ascii="Times New Roman" w:hAnsi="Times New Roman" w:eastAsia="宋体" w:cs="Times New Roman"/>
      <w:sz w:val="48"/>
      <w:szCs w:val="48"/>
      <w:lang w:val="en-US" w:eastAsia="en-US" w:bidi="en-US"/>
    </w:rPr>
  </w:style>
  <w:style w:type="paragraph" w:styleId="27">
    <w:name w:val="annotation subject"/>
    <w:basedOn w:val="12"/>
    <w:next w:val="12"/>
    <w:link w:val="235"/>
    <w:semiHidden/>
    <w:unhideWhenUsed/>
    <w:qFormat/>
    <w:uiPriority w:val="99"/>
    <w:rPr>
      <w:b/>
      <w:bCs/>
    </w:rPr>
  </w:style>
  <w:style w:type="table" w:styleId="2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1">
    <w:name w:val="Hyperlink"/>
    <w:unhideWhenUsed/>
    <w:qFormat/>
    <w:uiPriority w:val="99"/>
    <w:rPr>
      <w:color w:val="0000FF"/>
      <w:u w:val="single"/>
    </w:rPr>
  </w:style>
  <w:style w:type="character" w:styleId="32">
    <w:name w:val="annotation reference"/>
    <w:semiHidden/>
    <w:unhideWhenUsed/>
    <w:qFormat/>
    <w:uiPriority w:val="99"/>
    <w:rPr>
      <w:sz w:val="21"/>
      <w:szCs w:val="21"/>
    </w:rPr>
  </w:style>
  <w:style w:type="character" w:styleId="33">
    <w:name w:val="footnote reference"/>
    <w:unhideWhenUsed/>
    <w:qFormat/>
    <w:uiPriority w:val="99"/>
    <w:rPr>
      <w:vertAlign w:val="superscript"/>
    </w:rPr>
  </w:style>
  <w:style w:type="character" w:customStyle="1" w:styleId="34">
    <w:name w:val="Heading 1 Char"/>
    <w:basedOn w:val="30"/>
    <w:qFormat/>
    <w:uiPriority w:val="9"/>
    <w:rPr>
      <w:rFonts w:ascii="Arial" w:hAnsi="Arial" w:eastAsia="Arial" w:cs="Arial"/>
      <w:sz w:val="40"/>
      <w:szCs w:val="40"/>
    </w:rPr>
  </w:style>
  <w:style w:type="character" w:customStyle="1" w:styleId="35">
    <w:name w:val="Heading 2 Char"/>
    <w:basedOn w:val="30"/>
    <w:qFormat/>
    <w:uiPriority w:val="9"/>
    <w:rPr>
      <w:rFonts w:ascii="Arial" w:hAnsi="Arial" w:eastAsia="Arial" w:cs="Arial"/>
      <w:sz w:val="34"/>
    </w:rPr>
  </w:style>
  <w:style w:type="character" w:customStyle="1" w:styleId="36">
    <w:name w:val="Heading 3 Char"/>
    <w:basedOn w:val="30"/>
    <w:qFormat/>
    <w:uiPriority w:val="9"/>
    <w:rPr>
      <w:rFonts w:ascii="Arial" w:hAnsi="Arial" w:eastAsia="Arial" w:cs="Arial"/>
      <w:sz w:val="30"/>
      <w:szCs w:val="30"/>
    </w:rPr>
  </w:style>
  <w:style w:type="character" w:customStyle="1" w:styleId="37">
    <w:name w:val="Heading 4 Char"/>
    <w:basedOn w:val="30"/>
    <w:qFormat/>
    <w:uiPriority w:val="9"/>
    <w:rPr>
      <w:rFonts w:ascii="Arial" w:hAnsi="Arial" w:eastAsia="Arial" w:cs="Arial"/>
      <w:b/>
      <w:bCs/>
      <w:sz w:val="26"/>
      <w:szCs w:val="26"/>
    </w:rPr>
  </w:style>
  <w:style w:type="character" w:customStyle="1" w:styleId="38">
    <w:name w:val="Heading 5 Char"/>
    <w:basedOn w:val="30"/>
    <w:qFormat/>
    <w:uiPriority w:val="9"/>
    <w:rPr>
      <w:rFonts w:ascii="Arial" w:hAnsi="Arial" w:eastAsia="Arial" w:cs="Arial"/>
      <w:b/>
      <w:bCs/>
      <w:sz w:val="24"/>
      <w:szCs w:val="24"/>
    </w:rPr>
  </w:style>
  <w:style w:type="character" w:customStyle="1" w:styleId="39">
    <w:name w:val="Heading 6 Char"/>
    <w:basedOn w:val="30"/>
    <w:qFormat/>
    <w:uiPriority w:val="9"/>
    <w:rPr>
      <w:rFonts w:ascii="Arial" w:hAnsi="Arial" w:eastAsia="Arial" w:cs="Arial"/>
      <w:b/>
      <w:bCs/>
      <w:sz w:val="22"/>
      <w:szCs w:val="22"/>
    </w:rPr>
  </w:style>
  <w:style w:type="character" w:customStyle="1" w:styleId="40">
    <w:name w:val="Heading 7 Char"/>
    <w:basedOn w:val="30"/>
    <w:qFormat/>
    <w:uiPriority w:val="9"/>
    <w:rPr>
      <w:rFonts w:ascii="Arial" w:hAnsi="Arial" w:eastAsia="Arial" w:cs="Arial"/>
      <w:b/>
      <w:bCs/>
      <w:i/>
      <w:iCs/>
      <w:sz w:val="22"/>
      <w:szCs w:val="22"/>
    </w:rPr>
  </w:style>
  <w:style w:type="character" w:customStyle="1" w:styleId="41">
    <w:name w:val="Heading 8 Char"/>
    <w:basedOn w:val="30"/>
    <w:qFormat/>
    <w:uiPriority w:val="9"/>
    <w:rPr>
      <w:rFonts w:ascii="Arial" w:hAnsi="Arial" w:eastAsia="Arial" w:cs="Arial"/>
      <w:i/>
      <w:iCs/>
      <w:sz w:val="22"/>
      <w:szCs w:val="22"/>
    </w:rPr>
  </w:style>
  <w:style w:type="character" w:customStyle="1" w:styleId="42">
    <w:name w:val="Heading 9 Char"/>
    <w:basedOn w:val="30"/>
    <w:qFormat/>
    <w:uiPriority w:val="9"/>
    <w:rPr>
      <w:rFonts w:ascii="Arial" w:hAnsi="Arial" w:eastAsia="Arial" w:cs="Arial"/>
      <w:i/>
      <w:iCs/>
      <w:sz w:val="21"/>
      <w:szCs w:val="21"/>
    </w:rPr>
  </w:style>
  <w:style w:type="character" w:customStyle="1" w:styleId="43">
    <w:name w:val="Title Char"/>
    <w:basedOn w:val="30"/>
    <w:qFormat/>
    <w:uiPriority w:val="10"/>
    <w:rPr>
      <w:sz w:val="48"/>
      <w:szCs w:val="48"/>
    </w:rPr>
  </w:style>
  <w:style w:type="character" w:customStyle="1" w:styleId="44">
    <w:name w:val="Subtitle Char"/>
    <w:basedOn w:val="30"/>
    <w:qFormat/>
    <w:uiPriority w:val="11"/>
    <w:rPr>
      <w:sz w:val="24"/>
      <w:szCs w:val="24"/>
    </w:rPr>
  </w:style>
  <w:style w:type="character" w:customStyle="1" w:styleId="45">
    <w:name w:val="Quote Char"/>
    <w:qFormat/>
    <w:uiPriority w:val="29"/>
    <w:rPr>
      <w:i/>
    </w:rPr>
  </w:style>
  <w:style w:type="character" w:customStyle="1" w:styleId="46">
    <w:name w:val="Intense Quote Char"/>
    <w:qFormat/>
    <w:uiPriority w:val="30"/>
    <w:rPr>
      <w:i/>
    </w:rPr>
  </w:style>
  <w:style w:type="character" w:customStyle="1" w:styleId="47">
    <w:name w:val="Header Char"/>
    <w:basedOn w:val="30"/>
    <w:qFormat/>
    <w:uiPriority w:val="99"/>
  </w:style>
  <w:style w:type="character" w:customStyle="1" w:styleId="48">
    <w:name w:val="Footer Char"/>
    <w:basedOn w:val="30"/>
    <w:qFormat/>
    <w:uiPriority w:val="99"/>
  </w:style>
  <w:style w:type="table" w:customStyle="1" w:styleId="49">
    <w:name w:val="无格式表格 11"/>
    <w:basedOn w:val="28"/>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0">
    <w:name w:val="无格式表格 21"/>
    <w:basedOn w:val="28"/>
    <w:qFormat/>
    <w:uiPriority w:val="59"/>
    <w:tblPr>
      <w:tblBorders>
        <w:top w:val="single" w:color="000000" w:sz="4" w:space="0"/>
        <w:left w:val="none" w:color="000000" w:sz="4" w:space="0"/>
        <w:bottom w:val="single" w:color="000000" w:sz="4" w:space="0"/>
        <w:right w:val="none" w:color="00000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31"/>
    <w:basedOn w:val="28"/>
    <w:qFormat/>
    <w:uiPriority w:val="99"/>
    <w:tblPr>
      <w:tblCellMar>
        <w:left w:w="0" w:type="dxa"/>
        <w:right w:w="0" w:type="dxa"/>
      </w:tblCellMar>
    </w:tblPr>
    <w:tblStylePr w:type="firstRow">
      <w:pPr>
        <w:snapToGrid/>
      </w:pPr>
      <w:rPr>
        <w:b/>
        <w:caps/>
        <w:color w:val="404040"/>
      </w:rPr>
    </w:tblStylePr>
    <w:tblStylePr w:type="lastRow">
      <w:pPr>
        <w:snapToGrid/>
      </w:pPr>
      <w:rPr>
        <w:b/>
        <w:caps/>
        <w:color w:val="404040"/>
      </w:rPr>
    </w:tblStylePr>
    <w:tblStylePr w:type="firstCol">
      <w:pPr>
        <w:snapToGrid/>
      </w:pPr>
      <w:rPr>
        <w:b/>
        <w:caps/>
        <w:color w:val="404040"/>
      </w:rPr>
    </w:tblStylePr>
    <w:tblStylePr w:type="lastCol">
      <w:pPr>
        <w:snapToGrid/>
      </w:pPr>
      <w:rPr>
        <w:b/>
        <w:caps/>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2">
    <w:name w:val="无格式表格 41"/>
    <w:basedOn w:val="28"/>
    <w:qFormat/>
    <w:uiPriority w:val="99"/>
    <w:tblPr>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3">
    <w:name w:val="无格式表格 51"/>
    <w:basedOn w:val="28"/>
    <w:qFormat/>
    <w:uiPriority w:val="99"/>
    <w:tblPr>
      <w:tblCellMar>
        <w:left w:w="0" w:type="dxa"/>
        <w:right w:w="0" w:type="dxa"/>
      </w:tblCellMar>
    </w:tblPr>
    <w:tblStylePr w:type="firstRow">
      <w:pPr>
        <w:snapToGrid/>
      </w:pPr>
      <w:rPr>
        <w:i/>
        <w:color w:val="404040"/>
      </w:rPr>
    </w:tblStylePr>
    <w:tblStylePr w:type="lastRow">
      <w:pPr>
        <w:snapToGrid/>
      </w:pPr>
      <w:rPr>
        <w:i/>
        <w:color w:val="404040"/>
      </w:rPr>
    </w:tblStylePr>
    <w:tblStylePr w:type="firstCol">
      <w:pPr>
        <w:snapToGrid/>
      </w:pPr>
      <w:rPr>
        <w:i/>
        <w:color w:val="404040"/>
      </w:rPr>
    </w:tblStylePr>
    <w:tblStylePr w:type="lastCol">
      <w:pPr>
        <w:snapToGrid/>
      </w:pPr>
      <w:rPr>
        <w:i/>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4">
    <w:name w:val="网格表 1 浅色1"/>
    <w:basedOn w:val="28"/>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5">
    <w:name w:val="网格表 21"/>
    <w:basedOn w:val="28"/>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6">
    <w:name w:val="网格表 31"/>
    <w:basedOn w:val="28"/>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i/>
        <w:color w:val="404040"/>
      </w:rPr>
    </w:tblStylePr>
    <w:tblStylePr w:type="lastCol">
      <w:pPr>
        <w:snapToGrid/>
      </w:pPr>
      <w:rPr>
        <w:i/>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7">
    <w:name w:val="网格表 41"/>
    <w:basedOn w:val="28"/>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网格表 5 深色1"/>
    <w:basedOn w:val="2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right w:w="0" w:type="dxa"/>
      </w:tblCellMar>
    </w:tblPr>
    <w:tblStylePr w:type="firstRow">
      <w:pPr>
        <w:snapToGrid/>
      </w:pPr>
      <w:rPr>
        <w:rFonts w:ascii="Arial" w:hAnsi="Arial"/>
        <w:b/>
        <w:color w:val="FFFFFF"/>
        <w:sz w:val="22"/>
      </w:rPr>
    </w:tblStylePr>
    <w:tblStylePr w:type="lastRow">
      <w:pPr>
        <w:snapToGrid/>
      </w:pPr>
      <w:rPr>
        <w:rFonts w:ascii="Arial" w:hAnsi="Arial"/>
        <w:b/>
        <w:color w:val="FFFFFF"/>
        <w:sz w:val="22"/>
      </w:rPr>
    </w:tblStylePr>
    <w:tblStylePr w:type="firstCol">
      <w:pPr>
        <w:snapToGrid/>
      </w:pPr>
      <w:rPr>
        <w:rFonts w:ascii="Arial" w:hAnsi="Arial"/>
        <w:b/>
        <w:color w:val="FFFFFF"/>
        <w:sz w:val="22"/>
      </w:rPr>
    </w:tblStylePr>
    <w:tblStylePr w:type="lastCol">
      <w:pPr>
        <w:snapToGrid/>
      </w:pPr>
      <w:rPr>
        <w:rFonts w:ascii="Arial" w:hAnsi="Arial"/>
        <w:b/>
        <w:color w:val="FFFFFF"/>
        <w:sz w:val="22"/>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网格表 6 彩色1"/>
    <w:basedOn w:val="28"/>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pPr>
        <w:snapToGrid/>
      </w:pPr>
      <w:rPr>
        <w:b/>
        <w:color w:val="808080" w:themeColor="text1" w:themeTint="80"/>
        <w14:textFill>
          <w14:solidFill>
            <w14:schemeClr w14:val="tx1">
              <w14:lumMod w14:val="50000"/>
              <w14:lumOff w14:val="50000"/>
            </w14:schemeClr>
          </w14:solidFill>
        </w14:textFill>
      </w:r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网格表 7 彩色1"/>
    <w:basedOn w:val="28"/>
    <w:qFormat/>
    <w:uiPriority w:val="99"/>
    <w:tblPr>
      <w:tblBorders>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blStylePr>
    <w:tblStylePr w:type="firstCol">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band1Vert">
      <w:pPr>
        <w:snapToGrid/>
      </w:p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清单表 1 浅色1"/>
    <w:basedOn w:val="28"/>
    <w:qFormat/>
    <w:uiPriority w:val="99"/>
    <w:tblPr>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清单表 21"/>
    <w:basedOn w:val="28"/>
    <w:qFormat/>
    <w:uiPriority w:val="99"/>
    <w:tblPr>
      <w:tblBorders>
        <w:top w:val="single" w:color="6F6F6F" w:sz="4" w:space="0"/>
        <w:bottom w:val="single" w:color="6F6F6F" w:sz="4" w:space="0"/>
        <w:insideH w:val="single" w:color="6F6F6F" w:sz="4" w:space="0"/>
      </w:tblBorders>
      <w:tblCellMar>
        <w:left w:w="0" w:type="dxa"/>
        <w:right w:w="0"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清单表 31"/>
    <w:basedOn w:val="28"/>
    <w:qFormat/>
    <w:uiPriority w:val="99"/>
    <w:tblPr>
      <w:tblBorders>
        <w:top w:val="single" w:color="000000" w:sz="4" w:space="0"/>
        <w:left w:val="single" w:color="000000" w:sz="4" w:space="0"/>
        <w:bottom w:val="single" w:color="000000" w:sz="4" w:space="0"/>
        <w:right w:val="single" w:color="000000" w:sz="4" w:space="0"/>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清单表 41"/>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left w:w="0" w:type="dxa"/>
        <w:right w:w="0" w:type="dxa"/>
      </w:tblCellMar>
    </w:tblPr>
    <w:tblStylePr w:type="firstRow">
      <w:pPr>
        <w:snapToGrid/>
      </w:pPr>
      <w:rPr>
        <w:rFonts w:ascii="Arial" w:hAnsi="Arial"/>
        <w:b/>
        <w:color w:val="FFFFFF"/>
        <w:sz w:val="22"/>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StylePr>
    <w:tblStylePr w:type="band2Vert">
      <w:pPr>
        <w:snapToGrid/>
      </w:pPr>
    </w:tblStylePr>
    <w:tblStylePr w:type="band1Horz">
      <w:pPr>
        <w:snapToGrid/>
      </w:pPr>
      <w:rPr>
        <w:rFonts w:ascii="Arial" w:hAnsi="Arial"/>
        <w:color w:val="404040"/>
        <w:sz w:val="22"/>
      </w:r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清单表 5 深色1"/>
    <w:basedOn w:val="28"/>
    <w:qFormat/>
    <w:uiPriority w:val="99"/>
    <w:tblPr>
      <w:tblBorders>
        <w:top w:val="single" w:color="7F7F7F" w:sz="32" w:space="0"/>
        <w:left w:val="single" w:color="7F7F7F" w:sz="32" w:space="0"/>
        <w:bottom w:val="single" w:color="7F7F7F" w:sz="32" w:space="0"/>
        <w:right w:val="single" w:color="7F7F7F" w:sz="32" w:space="0"/>
      </w:tblBorders>
      <w:tblCellMar>
        <w:left w:w="0" w:type="dxa"/>
        <w:right w:w="0" w:type="dxa"/>
      </w:tblCellMar>
    </w:tblPr>
    <w:tblStylePr w:type="firstRow">
      <w:pPr>
        <w:snapToGrid/>
      </w:pPr>
      <w:rPr>
        <w:rFonts w:ascii="Arial" w:hAnsi="Arial"/>
        <w:b/>
        <w:color w:val="FFFFFF" w:themeColor="light1"/>
        <w:sz w:val="22"/>
        <w14:textFill>
          <w14:solidFill>
            <w14:schemeClr w14:val="lt1"/>
          </w14:solidFill>
        </w14:textFill>
      </w:r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清单表 6 彩色1"/>
    <w:basedOn w:val="28"/>
    <w:qFormat/>
    <w:uiPriority w:val="99"/>
    <w:tblPr>
      <w:tblBorders>
        <w:top w:val="single" w:color="7F7F7F" w:sz="4" w:space="0"/>
        <w:bottom w:val="single" w:color="7F7F7F" w:sz="4" w:space="0"/>
      </w:tblBorders>
      <w:tblCellMar>
        <w:left w:w="0" w:type="dxa"/>
        <w:right w:w="0" w:type="dxa"/>
      </w:tblCellMar>
    </w:tblPr>
    <w:tblStylePr w:type="firstRow">
      <w:pPr>
        <w:snapToGrid/>
      </w:pPr>
      <w:rPr>
        <w:b/>
        <w:color w:val="000000" w:themeColor="text1"/>
        <w14:textFill>
          <w14:solidFill>
            <w14:schemeClr w14:val="tx1"/>
          </w14:solidFill>
        </w14:textFill>
      </w:rPr>
    </w:tblStylePr>
    <w:tblStylePr w:type="lastRow">
      <w:pPr>
        <w:snapToGrid/>
      </w:pPr>
      <w:rPr>
        <w:b/>
        <w:color w:val="000000" w:themeColor="text1"/>
        <w14:textFill>
          <w14:solidFill>
            <w14:schemeClr w14:val="tx1"/>
          </w14:solidFill>
        </w14:textFill>
      </w:r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清单表 7 彩色1"/>
    <w:basedOn w:val="28"/>
    <w:qFormat/>
    <w:uiPriority w:val="99"/>
    <w:tblPr>
      <w:tblBorders>
        <w:right w:val="single" w:color="7F7F7F" w:sz="4" w:space="0"/>
      </w:tblBorders>
      <w:tblCellMar>
        <w:left w:w="0" w:type="dxa"/>
        <w:right w:w="0" w:type="dxa"/>
      </w:tblCellMar>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firstCol">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blStylePr>
    <w:tblStylePr w:type="band1Vert">
      <w:pPr>
        <w:snapToGrid/>
      </w:p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68">
    <w:name w:val="Footnote Text Char"/>
    <w:qFormat/>
    <w:uiPriority w:val="99"/>
    <w:rPr>
      <w:sz w:val="18"/>
    </w:rPr>
  </w:style>
  <w:style w:type="paragraph" w:customStyle="1" w:styleId="69">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70">
    <w:name w:val="标题 1 字符"/>
    <w:link w:val="2"/>
    <w:qFormat/>
    <w:uiPriority w:val="9"/>
    <w:rPr>
      <w:rFonts w:ascii="Arial" w:hAnsi="Arial" w:eastAsia="Arial" w:cs="Arial"/>
      <w:sz w:val="40"/>
      <w:szCs w:val="40"/>
    </w:rPr>
  </w:style>
  <w:style w:type="character" w:customStyle="1" w:styleId="71">
    <w:name w:val="标题 2 字符"/>
    <w:link w:val="3"/>
    <w:qFormat/>
    <w:uiPriority w:val="9"/>
    <w:rPr>
      <w:rFonts w:ascii="Arial" w:hAnsi="Arial" w:eastAsia="Arial" w:cs="Arial"/>
      <w:sz w:val="34"/>
    </w:rPr>
  </w:style>
  <w:style w:type="character" w:customStyle="1" w:styleId="72">
    <w:name w:val="标题 3 字符"/>
    <w:link w:val="4"/>
    <w:qFormat/>
    <w:uiPriority w:val="9"/>
    <w:rPr>
      <w:rFonts w:ascii="Arial" w:hAnsi="Arial" w:eastAsia="Arial" w:cs="Arial"/>
      <w:sz w:val="30"/>
      <w:szCs w:val="30"/>
    </w:rPr>
  </w:style>
  <w:style w:type="character" w:customStyle="1" w:styleId="73">
    <w:name w:val="标题 4 字符"/>
    <w:link w:val="5"/>
    <w:qFormat/>
    <w:uiPriority w:val="9"/>
    <w:rPr>
      <w:rFonts w:ascii="Arial" w:hAnsi="Arial" w:eastAsia="Arial" w:cs="Arial"/>
      <w:b/>
      <w:bCs/>
      <w:sz w:val="26"/>
      <w:szCs w:val="26"/>
    </w:rPr>
  </w:style>
  <w:style w:type="character" w:customStyle="1" w:styleId="74">
    <w:name w:val="标题 5 字符"/>
    <w:link w:val="6"/>
    <w:qFormat/>
    <w:uiPriority w:val="9"/>
    <w:rPr>
      <w:rFonts w:ascii="Arial" w:hAnsi="Arial" w:eastAsia="Arial" w:cs="Arial"/>
      <w:b/>
      <w:bCs/>
      <w:sz w:val="24"/>
      <w:szCs w:val="24"/>
    </w:rPr>
  </w:style>
  <w:style w:type="character" w:customStyle="1" w:styleId="75">
    <w:name w:val="标题 6 字符"/>
    <w:link w:val="7"/>
    <w:qFormat/>
    <w:uiPriority w:val="9"/>
    <w:rPr>
      <w:rFonts w:ascii="Arial" w:hAnsi="Arial" w:eastAsia="Arial" w:cs="Arial"/>
      <w:b/>
      <w:bCs/>
      <w:sz w:val="22"/>
      <w:szCs w:val="22"/>
    </w:rPr>
  </w:style>
  <w:style w:type="character" w:customStyle="1" w:styleId="76">
    <w:name w:val="标题 7 字符"/>
    <w:link w:val="8"/>
    <w:qFormat/>
    <w:uiPriority w:val="9"/>
    <w:rPr>
      <w:rFonts w:ascii="Arial" w:hAnsi="Arial" w:eastAsia="Arial" w:cs="Arial"/>
      <w:b/>
      <w:bCs/>
      <w:i/>
      <w:iCs/>
      <w:sz w:val="22"/>
      <w:szCs w:val="22"/>
    </w:rPr>
  </w:style>
  <w:style w:type="character" w:customStyle="1" w:styleId="77">
    <w:name w:val="标题 8 字符"/>
    <w:link w:val="9"/>
    <w:qFormat/>
    <w:uiPriority w:val="9"/>
    <w:rPr>
      <w:rFonts w:ascii="Arial" w:hAnsi="Arial" w:eastAsia="Arial" w:cs="Arial"/>
      <w:i/>
      <w:iCs/>
      <w:sz w:val="22"/>
      <w:szCs w:val="22"/>
    </w:rPr>
  </w:style>
  <w:style w:type="character" w:customStyle="1" w:styleId="78">
    <w:name w:val="标题 9 字符"/>
    <w:link w:val="10"/>
    <w:qFormat/>
    <w:uiPriority w:val="9"/>
    <w:rPr>
      <w:rFonts w:ascii="Arial" w:hAnsi="Arial" w:eastAsia="Arial" w:cs="Arial"/>
      <w:i/>
      <w:iCs/>
      <w:sz w:val="21"/>
      <w:szCs w:val="21"/>
    </w:rPr>
  </w:style>
  <w:style w:type="paragraph" w:styleId="79">
    <w:name w:val="List Paragraph"/>
    <w:qFormat/>
    <w:uiPriority w:val="34"/>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contextualSpacing/>
    </w:pPr>
    <w:rPr>
      <w:rFonts w:ascii="Times New Roman" w:hAnsi="Times New Roman" w:eastAsia="宋体" w:cs="Times New Roman"/>
      <w:szCs w:val="22"/>
      <w:lang w:val="en-US" w:eastAsia="en-US" w:bidi="en-US"/>
    </w:rPr>
  </w:style>
  <w:style w:type="paragraph" w:styleId="80">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81">
    <w:name w:val="标题 字符"/>
    <w:link w:val="26"/>
    <w:qFormat/>
    <w:uiPriority w:val="10"/>
    <w:rPr>
      <w:sz w:val="48"/>
      <w:szCs w:val="48"/>
    </w:rPr>
  </w:style>
  <w:style w:type="character" w:customStyle="1" w:styleId="82">
    <w:name w:val="副标题 字符"/>
    <w:link w:val="21"/>
    <w:qFormat/>
    <w:uiPriority w:val="11"/>
    <w:rPr>
      <w:sz w:val="24"/>
      <w:szCs w:val="24"/>
    </w:rPr>
  </w:style>
  <w:style w:type="paragraph" w:styleId="83">
    <w:name w:val="Quote"/>
    <w:link w:val="84"/>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right="720"/>
    </w:pPr>
    <w:rPr>
      <w:rFonts w:ascii="Times New Roman" w:hAnsi="Times New Roman" w:eastAsia="宋体" w:cs="Times New Roman"/>
      <w:i/>
      <w:szCs w:val="22"/>
      <w:lang w:val="en-US" w:eastAsia="en-US" w:bidi="en-US"/>
    </w:rPr>
  </w:style>
  <w:style w:type="character" w:customStyle="1" w:styleId="84">
    <w:name w:val="引用 字符"/>
    <w:link w:val="83"/>
    <w:qFormat/>
    <w:uiPriority w:val="29"/>
    <w:rPr>
      <w:i/>
    </w:rPr>
  </w:style>
  <w:style w:type="paragraph" w:styleId="85">
    <w:name w:val="Intense Quote"/>
    <w:link w:val="86"/>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ind w:left="720" w:right="720"/>
    </w:pPr>
    <w:rPr>
      <w:rFonts w:ascii="Times New Roman" w:hAnsi="Times New Roman" w:eastAsia="宋体" w:cs="Times New Roman"/>
      <w:i/>
      <w:szCs w:val="22"/>
      <w:lang w:val="en-US" w:eastAsia="en-US" w:bidi="en-US"/>
    </w:rPr>
  </w:style>
  <w:style w:type="character" w:customStyle="1" w:styleId="86">
    <w:name w:val="明显引用 字符"/>
    <w:link w:val="85"/>
    <w:qFormat/>
    <w:uiPriority w:val="30"/>
    <w:rPr>
      <w:i/>
    </w:rPr>
  </w:style>
  <w:style w:type="character" w:customStyle="1" w:styleId="87">
    <w:name w:val="页眉 字符"/>
    <w:link w:val="18"/>
    <w:qFormat/>
    <w:uiPriority w:val="99"/>
  </w:style>
  <w:style w:type="character" w:customStyle="1" w:styleId="88">
    <w:name w:val="页脚 字符"/>
    <w:link w:val="17"/>
    <w:qFormat/>
    <w:uiPriority w:val="99"/>
  </w:style>
  <w:style w:type="table" w:customStyle="1" w:styleId="89">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1 Light - Accent 1"/>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1 Light - Accent 2"/>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1 Light - Accent 3"/>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1 Light - Accent 4"/>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1 Light - Accent 5"/>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1 Light - Accent 6"/>
    <w:qFormat/>
    <w:uiPriority w:val="99"/>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ned - Accent"/>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ned - Accent 1"/>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ned - Accent 2"/>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ned - Accent 3"/>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ned - Accent 4"/>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ned - Accent 5"/>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ned - Accent 6"/>
    <w:qFormat/>
    <w:uiPriority w:val="99"/>
    <w:rPr>
      <w:color w:val="404040"/>
    </w:rPr>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95">
    <w:name w:val="脚注文本 字符"/>
    <w:link w:val="22"/>
    <w:qFormat/>
    <w:uiPriority w:val="99"/>
    <w:rPr>
      <w:sz w:val="18"/>
    </w:rPr>
  </w:style>
  <w:style w:type="paragraph" w:customStyle="1" w:styleId="196">
    <w:name w:val="TOC 标题1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197">
    <w:name w:val="正文1"/>
    <w:link w:val="20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customStyle="1" w:styleId="198">
    <w:name w:val="标题 11"/>
    <w:basedOn w:val="197"/>
    <w:next w:val="197"/>
    <w:qFormat/>
    <w:uiPriority w:val="0"/>
    <w:pPr>
      <w:keepNext/>
      <w:keepLines/>
      <w:spacing w:before="340" w:after="330" w:line="578" w:lineRule="auto"/>
      <w:outlineLvl w:val="0"/>
    </w:pPr>
    <w:rPr>
      <w:b/>
      <w:sz w:val="44"/>
      <w:szCs w:val="20"/>
    </w:rPr>
  </w:style>
  <w:style w:type="character" w:customStyle="1" w:styleId="199">
    <w:name w:val="默认段落字体1"/>
    <w:semiHidden/>
    <w:qFormat/>
    <w:uiPriority w:val="0"/>
  </w:style>
  <w:style w:type="table" w:customStyle="1" w:styleId="200">
    <w:name w:val="普通表格1"/>
    <w:semiHidden/>
    <w:qFormat/>
    <w:uiPriority w:val="0"/>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01">
    <w:name w:val="unnamed11"/>
    <w:qFormat/>
    <w:uiPriority w:val="0"/>
    <w:rPr>
      <w:rFonts w:ascii="宋体" w:hAnsi="宋体" w:eastAsia="宋体"/>
      <w:sz w:val="18"/>
    </w:rPr>
  </w:style>
  <w:style w:type="character" w:customStyle="1" w:styleId="202">
    <w:name w:val="批注文字 Char"/>
    <w:link w:val="203"/>
    <w:qFormat/>
    <w:uiPriority w:val="0"/>
    <w:rPr>
      <w:sz w:val="21"/>
      <w:szCs w:val="24"/>
    </w:rPr>
  </w:style>
  <w:style w:type="paragraph" w:customStyle="1" w:styleId="203">
    <w:name w:val="批注文字1"/>
    <w:basedOn w:val="197"/>
    <w:link w:val="202"/>
    <w:qFormat/>
    <w:uiPriority w:val="0"/>
    <w:pPr>
      <w:jc w:val="left"/>
    </w:pPr>
  </w:style>
  <w:style w:type="character" w:customStyle="1" w:styleId="204">
    <w:name w:val="批注主题 Char"/>
    <w:link w:val="205"/>
    <w:qFormat/>
    <w:uiPriority w:val="0"/>
    <w:rPr>
      <w:b/>
      <w:bCs/>
      <w:sz w:val="21"/>
      <w:szCs w:val="24"/>
    </w:rPr>
  </w:style>
  <w:style w:type="paragraph" w:customStyle="1" w:styleId="205">
    <w:name w:val="批注主题1"/>
    <w:basedOn w:val="203"/>
    <w:next w:val="203"/>
    <w:link w:val="204"/>
    <w:qFormat/>
    <w:uiPriority w:val="0"/>
    <w:rPr>
      <w:b/>
      <w:bCs/>
    </w:rPr>
  </w:style>
  <w:style w:type="character" w:customStyle="1" w:styleId="206">
    <w:name w:val="页码1"/>
    <w:basedOn w:val="199"/>
    <w:qFormat/>
    <w:uiPriority w:val="0"/>
  </w:style>
  <w:style w:type="character" w:customStyle="1" w:styleId="207">
    <w:name w:val="超链接1"/>
    <w:qFormat/>
    <w:uiPriority w:val="0"/>
    <w:rPr>
      <w:color w:val="0000FF"/>
      <w:u w:val="single"/>
    </w:rPr>
  </w:style>
  <w:style w:type="character" w:customStyle="1" w:styleId="208">
    <w:name w:val="批注引用1"/>
    <w:link w:val="197"/>
    <w:qFormat/>
    <w:uiPriority w:val="0"/>
    <w:rPr>
      <w:sz w:val="21"/>
      <w:szCs w:val="21"/>
    </w:rPr>
  </w:style>
  <w:style w:type="paragraph" w:customStyle="1" w:styleId="209">
    <w:name w:val="目录 21"/>
    <w:basedOn w:val="197"/>
    <w:next w:val="197"/>
    <w:semiHidden/>
    <w:qFormat/>
    <w:uiPriority w:val="0"/>
    <w:pPr>
      <w:ind w:left="420"/>
    </w:pPr>
  </w:style>
  <w:style w:type="paragraph" w:customStyle="1" w:styleId="210">
    <w:name w:val="正文文本缩进 21"/>
    <w:basedOn w:val="197"/>
    <w:qFormat/>
    <w:uiPriority w:val="0"/>
    <w:pPr>
      <w:tabs>
        <w:tab w:val="left" w:pos="540"/>
      </w:tabs>
      <w:ind w:left="540" w:firstLine="540"/>
    </w:pPr>
    <w:rPr>
      <w:rFonts w:eastAsia="长城仿宋"/>
      <w:sz w:val="24"/>
      <w:szCs w:val="20"/>
    </w:rPr>
  </w:style>
  <w:style w:type="paragraph" w:customStyle="1" w:styleId="211">
    <w:name w:val="目录 31"/>
    <w:basedOn w:val="197"/>
    <w:next w:val="197"/>
    <w:semiHidden/>
    <w:qFormat/>
    <w:uiPriority w:val="0"/>
    <w:pPr>
      <w:ind w:left="840"/>
    </w:pPr>
  </w:style>
  <w:style w:type="paragraph" w:customStyle="1" w:styleId="212">
    <w:name w:val="目录 61"/>
    <w:basedOn w:val="197"/>
    <w:next w:val="197"/>
    <w:semiHidden/>
    <w:qFormat/>
    <w:uiPriority w:val="0"/>
    <w:pPr>
      <w:ind w:left="2100"/>
    </w:pPr>
  </w:style>
  <w:style w:type="paragraph" w:customStyle="1" w:styleId="213">
    <w:name w:val="批注框文本1"/>
    <w:basedOn w:val="197"/>
    <w:semiHidden/>
    <w:qFormat/>
    <w:uiPriority w:val="0"/>
    <w:rPr>
      <w:sz w:val="18"/>
      <w:szCs w:val="18"/>
    </w:rPr>
  </w:style>
  <w:style w:type="paragraph" w:customStyle="1" w:styleId="214">
    <w:name w:val="文档结构图1"/>
    <w:basedOn w:val="197"/>
    <w:semiHidden/>
    <w:qFormat/>
    <w:uiPriority w:val="0"/>
    <w:pPr>
      <w:shd w:val="clear" w:color="auto" w:fill="000080"/>
    </w:pPr>
  </w:style>
  <w:style w:type="paragraph" w:customStyle="1" w:styleId="215">
    <w:name w:val="目录 51"/>
    <w:basedOn w:val="197"/>
    <w:next w:val="197"/>
    <w:semiHidden/>
    <w:qFormat/>
    <w:uiPriority w:val="0"/>
    <w:pPr>
      <w:ind w:left="1680"/>
    </w:pPr>
  </w:style>
  <w:style w:type="paragraph" w:customStyle="1" w:styleId="216">
    <w:name w:val="正文文本缩进 31"/>
    <w:basedOn w:val="197"/>
    <w:qFormat/>
    <w:uiPriority w:val="0"/>
    <w:pPr>
      <w:ind w:left="360" w:firstLine="540"/>
    </w:pPr>
    <w:rPr>
      <w:rFonts w:eastAsia="长城仿宋"/>
      <w:sz w:val="24"/>
      <w:szCs w:val="20"/>
    </w:rPr>
  </w:style>
  <w:style w:type="paragraph" w:customStyle="1" w:styleId="217">
    <w:name w:val="目录 11"/>
    <w:basedOn w:val="197"/>
    <w:next w:val="197"/>
    <w:semiHidden/>
    <w:qFormat/>
    <w:uiPriority w:val="0"/>
  </w:style>
  <w:style w:type="paragraph" w:customStyle="1" w:styleId="218">
    <w:name w:val="页脚1"/>
    <w:basedOn w:val="197"/>
    <w:qFormat/>
    <w:uiPriority w:val="0"/>
    <w:pPr>
      <w:tabs>
        <w:tab w:val="center" w:pos="4153"/>
        <w:tab w:val="right" w:pos="8306"/>
      </w:tabs>
      <w:jc w:val="left"/>
    </w:pPr>
    <w:rPr>
      <w:sz w:val="18"/>
      <w:szCs w:val="18"/>
    </w:rPr>
  </w:style>
  <w:style w:type="paragraph" w:customStyle="1" w:styleId="219">
    <w:name w:val="目录 71"/>
    <w:basedOn w:val="197"/>
    <w:next w:val="197"/>
    <w:semiHidden/>
    <w:qFormat/>
    <w:uiPriority w:val="0"/>
    <w:pPr>
      <w:ind w:left="2520"/>
    </w:pPr>
  </w:style>
  <w:style w:type="paragraph" w:customStyle="1" w:styleId="220">
    <w:name w:val="正文文本缩进1"/>
    <w:basedOn w:val="197"/>
    <w:qFormat/>
    <w:uiPriority w:val="0"/>
    <w:pPr>
      <w:spacing w:line="400" w:lineRule="exact"/>
      <w:ind w:firstLine="538"/>
    </w:pPr>
    <w:rPr>
      <w:rFonts w:ascii="仿宋_GB2312" w:hAnsi="宋体" w:eastAsia="仿宋_GB2312"/>
      <w:color w:val="000000"/>
      <w:sz w:val="28"/>
    </w:rPr>
  </w:style>
  <w:style w:type="paragraph" w:customStyle="1" w:styleId="221">
    <w:name w:val="Char"/>
    <w:basedOn w:val="197"/>
    <w:qFormat/>
    <w:uiPriority w:val="0"/>
  </w:style>
  <w:style w:type="paragraph" w:customStyle="1" w:styleId="222">
    <w:name w:val="普通 (Web)"/>
    <w:basedOn w:val="197"/>
    <w:qFormat/>
    <w:uiPriority w:val="0"/>
    <w:pPr>
      <w:widowControl/>
      <w:spacing w:before="100" w:beforeAutospacing="1" w:after="100" w:afterAutospacing="1"/>
      <w:jc w:val="left"/>
    </w:pPr>
    <w:rPr>
      <w:rFonts w:ascii="宋体" w:hAnsi="宋体"/>
      <w:sz w:val="24"/>
    </w:rPr>
  </w:style>
  <w:style w:type="paragraph" w:customStyle="1" w:styleId="223">
    <w:name w:val="目录 81"/>
    <w:basedOn w:val="197"/>
    <w:next w:val="197"/>
    <w:semiHidden/>
    <w:qFormat/>
    <w:uiPriority w:val="0"/>
    <w:pPr>
      <w:ind w:left="2940"/>
    </w:pPr>
  </w:style>
  <w:style w:type="paragraph" w:customStyle="1" w:styleId="224">
    <w:name w:val="正文文本 21"/>
    <w:basedOn w:val="197"/>
    <w:qFormat/>
    <w:uiPriority w:val="0"/>
    <w:pPr>
      <w:spacing w:after="120" w:line="480" w:lineRule="auto"/>
    </w:pPr>
  </w:style>
  <w:style w:type="paragraph" w:customStyle="1" w:styleId="225">
    <w:name w:val="目录 41"/>
    <w:basedOn w:val="197"/>
    <w:next w:val="197"/>
    <w:qFormat/>
    <w:uiPriority w:val="0"/>
    <w:pPr>
      <w:ind w:left="1260"/>
    </w:pPr>
  </w:style>
  <w:style w:type="paragraph" w:customStyle="1" w:styleId="226">
    <w:name w:val="正文缩进1"/>
    <w:basedOn w:val="197"/>
    <w:qFormat/>
    <w:uiPriority w:val="0"/>
    <w:pPr>
      <w:ind w:firstLine="420"/>
    </w:pPr>
    <w:rPr>
      <w:szCs w:val="20"/>
    </w:rPr>
  </w:style>
  <w:style w:type="paragraph" w:customStyle="1" w:styleId="227">
    <w:name w:val="修订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 w:val="21"/>
      <w:szCs w:val="24"/>
      <w:lang w:val="en-US" w:eastAsia="zh-CN" w:bidi="ar-SA"/>
    </w:rPr>
  </w:style>
  <w:style w:type="paragraph" w:customStyle="1" w:styleId="228">
    <w:name w:val="纯文本1"/>
    <w:basedOn w:val="197"/>
    <w:qFormat/>
    <w:uiPriority w:val="0"/>
    <w:rPr>
      <w:rFonts w:ascii="宋体" w:hAnsi="Courier New"/>
      <w:szCs w:val="21"/>
    </w:rPr>
  </w:style>
  <w:style w:type="paragraph" w:customStyle="1" w:styleId="229">
    <w:name w:val="Char Char"/>
    <w:basedOn w:val="197"/>
    <w:qFormat/>
    <w:uiPriority w:val="0"/>
    <w:rPr>
      <w:szCs w:val="20"/>
    </w:rPr>
  </w:style>
  <w:style w:type="paragraph" w:customStyle="1" w:styleId="230">
    <w:name w:val="页眉1"/>
    <w:basedOn w:val="197"/>
    <w:qFormat/>
    <w:uiPriority w:val="0"/>
    <w:pPr>
      <w:pBdr>
        <w:bottom w:val="single" w:color="000000" w:sz="6" w:space="1"/>
      </w:pBdr>
      <w:tabs>
        <w:tab w:val="center" w:pos="4153"/>
        <w:tab w:val="right" w:pos="8306"/>
      </w:tabs>
      <w:jc w:val="center"/>
    </w:pPr>
    <w:rPr>
      <w:sz w:val="18"/>
      <w:szCs w:val="18"/>
    </w:rPr>
  </w:style>
  <w:style w:type="paragraph" w:customStyle="1" w:styleId="231">
    <w:name w:val="目录 91"/>
    <w:basedOn w:val="197"/>
    <w:next w:val="197"/>
    <w:semiHidden/>
    <w:qFormat/>
    <w:uiPriority w:val="0"/>
    <w:pPr>
      <w:ind w:left="3360"/>
    </w:pPr>
  </w:style>
  <w:style w:type="character" w:customStyle="1" w:styleId="232">
    <w:name w:val="批注文字 字符"/>
    <w:link w:val="12"/>
    <w:semiHidden/>
    <w:qFormat/>
    <w:uiPriority w:val="99"/>
    <w:rPr>
      <w:szCs w:val="22"/>
      <w:shd w:val="clear" w:color="auto" w:fill="FFFFFF"/>
      <w:lang w:eastAsia="en-US" w:bidi="en-US"/>
    </w:rPr>
  </w:style>
  <w:style w:type="character" w:customStyle="1" w:styleId="233">
    <w:name w:val="批注框文本 字符"/>
    <w:link w:val="16"/>
    <w:semiHidden/>
    <w:qFormat/>
    <w:uiPriority w:val="99"/>
    <w:rPr>
      <w:sz w:val="18"/>
      <w:szCs w:val="18"/>
      <w:shd w:val="clear" w:color="auto" w:fill="FFFFFF"/>
      <w:lang w:eastAsia="en-US" w:bidi="en-US"/>
    </w:rPr>
  </w:style>
  <w:style w:type="paragraph" w:customStyle="1" w:styleId="234">
    <w:name w:val="修订2"/>
    <w:hidden/>
    <w:semiHidden/>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en-US" w:bidi="en-US"/>
    </w:rPr>
  </w:style>
  <w:style w:type="character" w:customStyle="1" w:styleId="235">
    <w:name w:val="批注主题 字符"/>
    <w:link w:val="27"/>
    <w:semiHidden/>
    <w:qFormat/>
    <w:uiPriority w:val="99"/>
    <w:rPr>
      <w:b/>
      <w:bCs/>
      <w:szCs w:val="22"/>
      <w:shd w:val="clear" w:color="auto" w:fill="FFFFFF"/>
      <w:lang w:eastAsia="en-US" w:bidi="en-US"/>
    </w:rPr>
  </w:style>
  <w:style w:type="table" w:customStyle="1" w:styleId="236">
    <w:name w:val="网格型1"/>
    <w:basedOn w:val="28"/>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4052</Words>
  <Characters>23097</Characters>
  <Lines>192</Lines>
  <Paragraphs>54</Paragraphs>
  <TotalTime>0</TotalTime>
  <ScaleCrop>false</ScaleCrop>
  <LinksUpToDate>false</LinksUpToDate>
  <CharactersWithSpaces>27095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2025-01-21T23:19:00Z</dcterms:created>
  <dc:creator>官洋</dc:creator>
  <cp:lastModifiedBy>wangzijie_cp</cp:lastModifiedBy>
  <dcterms:modified xsi:type="dcterms:W3CDTF">2026-02-09T08:58:56Z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C00E2E40671E4125AD23D6C36F2411F8_13</vt:lpwstr>
  </property>
</Properties>
</file>