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富国核心动力混合型证券投资基金（C类份额）基金产品资料概要</w:t>
      </w:r>
    </w:p>
    <w:p w:rsidR="00084FBF" w:rsidRPr="00A14942" w:rsidRDefault="00AD6E2B"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2026年02月10日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2026年02月09日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富国核心动力混合</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026710</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富国核心动力混合C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026711</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中国银行股份有限公司</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jc w:val="center"/>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jc w:val="center"/>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吴栋栋</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jc w:val="center"/>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2016年12月01日</w:t>
            </w:r>
          </w:p>
        </w:tc>
      </w:tr>
    </w:tbl>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注：本基金为偏股混合型基金。</w:t>
      </w:r>
    </w:p>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jc w:val="center"/>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jc w:val="center"/>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pPr>
              <w:pStyle w:val="ae"/>
            </w:pPr>
            <w:r>
              <w:rPr>
                <w:rFonts w:hint="eastAsia"/>
              </w:rPr>
              <w:t>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pPr>
              <w:pStyle w:val="ae"/>
            </w:pPr>
            <w:r>
              <w:rPr>
                <w:rFonts w:hint="eastAsia"/>
              </w:rPr>
              <w:t>如果法律法规或监管机构对该比例要求有变更的，在履行适当程序后，以变更后的比例为准，本基金的投资比例会做相应调整。</w:t>
            </w:r>
          </w:p>
        </w:tc>
      </w:tr>
      <w:tr>
        <w:trPr>
          <w:trHeight w:val="340"/>
          <w:jc w:val="center"/>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性与定量的分析方法，并将投资理念和分析方法贯穿于资产配置、行业配置、个股选择以及组合风险管理的全过程。在股票投资方面，本基金主要采取“自下而上”的选股策略，通过定量筛选和定性分析，挑选出高性价比的上市公司股票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jc w:val="center"/>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中证800成长指数收益率×60%+恒生指数收益率(使用估值汇率折算)×20%+中债-国债总全价（1-3年）指数收益率×15%+银行人民币活期存款利率（税后）×5%</w:t>
            </w:r>
          </w:p>
        </w:tc>
      </w:tr>
      <w:tr>
        <w:trPr>
          <w:trHeight w:val="340"/>
          <w:jc w:val="center"/>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CA1E41" w:rsidRPr="00CA1E41" w:rsidRDefault="00AD6E2B"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r>
        <w:trPr>
          <w:trHeight w:val="340"/>
          <w:jc w:val="center"/>
        </w:trPr>
        <w:tc>
          <w:tcPr>
            <w:tcW w:w="1092" w:type="pct"/>
            <w:shd w:val="clear" w:color="auto" w:fill="auto"/>
            <w:vAlign w:val="center"/>
          </w:tcPr>
          <w:p>
            <w:pPr>
              <w:adjustRightInd w:val="0"/>
              <w:snapToGrid w:val="0"/>
              <w:jc w:val="center"/>
              <w:rPr>
                <w:rFonts w:ascii="宋体" w:eastAsia="宋体" w:hAnsi="宋体"/>
                <w:sz w:val="21"/>
              </w:rPr>
            </w:pPr>
            <w:r>
              <w:rPr>
                <w:rFonts w:ascii="宋体" w:eastAsia="宋体" w:hAnsi="宋体"/>
                <w:sz w:val="21"/>
              </w:rPr>
              <w:t>费用类型</w:t>
            </w:r>
          </w:p>
        </w:tc>
        <w:tc>
          <w:tcPr>
            <w:tcW w:w="1659" w:type="pct"/>
            <w:shd w:val="clear" w:color="auto" w:fill="auto"/>
            <w:vAlign w:val="center"/>
          </w:tcPr>
          <w:p>
            <w:pPr>
              <w:adjustRightInd w:val="0"/>
              <w:snapToGrid w:val="0"/>
              <w:jc w:val="center"/>
              <w:rPr>
                <w:rFonts w:ascii="宋体" w:eastAsia="宋体" w:hAnsi="宋体"/>
                <w:sz w:val="21"/>
              </w:rPr>
            </w:pPr>
            <w:r>
              <w:rPr>
                <w:rFonts w:ascii="宋体" w:eastAsia="宋体" w:hAnsi="宋体"/>
                <w:sz w:val="21"/>
              </w:rPr>
              <w:t>金额（M）/持有期限（N）</w:t>
            </w:r>
          </w:p>
        </w:tc>
        <w:tc>
          <w:tcPr>
            <w:tcW w:w="1125" w:type="pct"/>
            <w:shd w:val="clear" w:color="auto" w:fill="auto"/>
            <w:vAlign w:val="center"/>
            <w:gridSpan w:val="2"/>
          </w:tcPr>
          <w:p>
            <w:pPr>
              <w:adjustRightInd w:val="0"/>
              <w:snapToGrid w:val="0"/>
              <w:jc w:val="center"/>
              <w:rPr>
                <w:rFonts w:ascii="宋体" w:eastAsia="宋体" w:hAnsi="宋体"/>
                <w:sz w:val="21"/>
              </w:rPr>
            </w:pPr>
            <w:r>
              <w:rPr>
                <w:rFonts w:ascii="宋体" w:eastAsia="宋体" w:hAnsi="宋体"/>
                <w:sz w:val="21"/>
              </w:rPr>
              <w:t>费率</w:t>
            </w:r>
          </w:p>
        </w:tc>
      </w:tr>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046"/>
        <w:gridCol w:w="2066"/>
        <w:gridCol w:w="2064"/>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bl>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r>
        <w:trPr>
          <w:trHeight w:val="340"/>
          <w:jc w:val="center"/>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jc w:val="center"/>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1.0%</w:t>
            </w:r>
          </w:p>
        </w:tc>
      </w:tr>
      <w:tr>
        <w:trPr>
          <w:trHeight w:val="340"/>
          <w:jc w:val="center"/>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30≤N＜180天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trPr>
          <w:trHeight w:val="340"/>
          <w:jc w:val="center"/>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注：本基金C类基金份额不收取认购、申购费用，赎回费用在投资者赎回基金过程中收取，赎回费全额计入基金财产。普通客户与特定客户适用同等费率。</w:t>
      </w:r>
    </w:p>
    <w:p w:rsidR="00956AC1" w:rsidRDefault="00A535E9" w:rsidP="00F50507">
      <w:pPr>
        <w:pStyle w:val="2"/>
      </w:pPr>
      <w:r w:rsidRPr="00A14942">
        <w:rPr>
          <w:rFonts w:hint="eastAsia"/>
        </w:rPr>
        <w:t>基金运作相关费用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4916"/>
        <w:gridCol w:w="2191"/>
      </w:tblGrid>
      <w:tr>
        <w:trPr>
          <w:jc w:val="center"/>
        </w:trP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rPr>
          <w:jc w:val="center"/>
        </w:trP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adjustRightInd w:val="0"/>
              <w:snapToGrid w:val="0"/>
              <w:spacing w:beforeLines="10" w:before="43" w:line="264" w:lineRule="auto"/>
              <w:rPr>
                <w:rFonts w:ascii="宋体" w:eastAsia="宋体" w:hAnsi="宋体"/>
                <w:sz w:val="21"/>
              </w:rPr>
            </w:pPr>
            <w:r>
              <w:rPr>
                <w:rFonts w:ascii="宋体" w:eastAsia="宋体" w:hAnsi="宋体" w:hint="eastAsia"/>
                <w:sz w:val="21"/>
              </w:rPr>
              <w:t>若持有期间相对业绩比较基准的年化超额收益率（扣除超额管理费后）超过6%且持有收益率（扣除超额管理费后）为正，按1.50%年费率确认管理费；若持有期间相对业绩比较基准的年化超额收益率在-3%及以下，按0.60%年费率确认管理费；其他情形按1.20%年费率确认管理费。</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rPr>
          <w:jc w:val="center"/>
        </w:trP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rP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在投资者赎回基金份额或基金合同终止时，随赎回款（或清算款）一并返还给投资者。对于投资者通过代销机构认购（申购）且持续持有期限超过一年的C类基金份额继续计提的销售服务费，在投资者赎回基金份额或基金合同终止时，随赎回款（或清算款）一并返还给投资者。</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混合型基金，股票及存托凭证投资占基金资产的比例为60%-95%（其中，投资于港股通标的股票的比例占股票资产的比例为0%-50%）。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2、股指期货投资风险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本基金可投资股指期货，股指期货采用保证金交易制度，由于保证金交易具有杠杆性，当出现不利行情时，股价指数微小的变动就可能会使投资人权益遭受较大损失。</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3、国债期货投资风险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本基金投资范围包括国债期货，国债期货的投资可能面临市场风险、基差风险、流动性风险。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4、股票期权投资风险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5、资产支持证券投资风险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6、存托凭证风险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7、信用衍生品投资风险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基金资产可投资科创板股票，若本基金投资于科创板股票，会面临科创板机制下因投资标的、市场制度以及交易规则等差异带来的特有风险。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9、本基金可以投资于港股通标的股票，投资风险包括：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10、浮动管理费模式相关风险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（3）本基金采用浮动管理费的收费模式，不代表基金管理人对基金收益的保证。</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与本基金或基金合同相关的一切争议均应提交位于北京的中国国际经济贸易仲裁委员会，仲裁裁决是终局的，对仲裁各方当事人均具有约束力。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E2B" w:rsidRDefault="00AD6E2B" w:rsidP="00084FBF">
      <w:r>
        <w:separator/>
      </w:r>
    </w:p>
  </w:endnote>
  <w:endnote w:type="continuationSeparator" w:id="0">
    <w:p w:rsidR="00AD6E2B" w:rsidRDefault="00AD6E2B"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B637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B6371">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E2B" w:rsidRDefault="00AD6E2B" w:rsidP="00084FBF">
      <w:r>
        <w:separator/>
      </w:r>
    </w:p>
  </w:footnote>
  <w:footnote w:type="continuationSeparator" w:id="0">
    <w:p w:rsidR="00AD6E2B" w:rsidRDefault="00AD6E2B"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7BF"/>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B613C"/>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B6371"/>
    <w:rsid w:val="00AC219B"/>
    <w:rsid w:val="00AC3F57"/>
    <w:rsid w:val="00AD6E2B"/>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901c0bcb7adf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901c0bcb7adf4b4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7147AB"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7147AB"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7147AB"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361E55"/>
    <w:rsid w:val="00407B11"/>
    <w:rsid w:val="00445ADB"/>
    <w:rsid w:val="007147A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47</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26</cp:revision>
  <dcterms:created xsi:type="dcterms:W3CDTF">2022-09-28T03:08:00Z</dcterms:created>
  <dcterms:modified xsi:type="dcterms:W3CDTF">2026-01-26T02:30:00Z</dcterms:modified>
</cp:coreProperties>
</file>