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050CC0">
      <w:pPr>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Start w:id="7" w:name="_GoBack"/>
      <w:bookmarkEnd w:id="0"/>
      <w:bookmarkEnd w:id="1"/>
      <w:bookmarkEnd w:id="2"/>
      <w:bookmarkEnd w:id="3"/>
      <w:bookmarkEnd w:id="4"/>
      <w:bookmarkEnd w:id="5"/>
      <w:bookmarkEnd w:id="6"/>
      <w:bookmarkEnd w:id="7"/>
      <w:r>
        <w:rPr>
          <w:rFonts w:cs="Times New Roman" w:hint="eastAsia"/>
          <w:b/>
          <w:sz w:val="28"/>
          <w:szCs w:val="28"/>
        </w:rPr>
        <w:t>华安创新动能混合型证券投资基金（华安创新动能混合</w:t>
      </w:r>
      <w:r>
        <w:rPr>
          <w:rFonts w:cs="Times New Roman" w:hint="eastAsia"/>
          <w:b/>
          <w:sz w:val="28"/>
          <w:szCs w:val="28"/>
        </w:rPr>
        <w:t>A</w:t>
      </w:r>
      <w:r>
        <w:rPr>
          <w:rFonts w:cs="Times New Roman" w:hint="eastAsia"/>
          <w:b/>
          <w:sz w:val="28"/>
          <w:szCs w:val="28"/>
        </w:rPr>
        <w:t>）</w:t>
      </w:r>
      <w:r>
        <w:rPr>
          <w:rFonts w:cs="Times New Roman" w:hint="eastAsia"/>
          <w:b/>
          <w:sz w:val="28"/>
          <w:szCs w:val="28"/>
        </w:rPr>
        <w:br/>
      </w:r>
      <w:r>
        <w:rPr>
          <w:rFonts w:cs="Times New Roman" w:hint="eastAsia"/>
          <w:b/>
          <w:sz w:val="28"/>
          <w:szCs w:val="28"/>
        </w:rPr>
        <w:t>基金产品资料概</w:t>
      </w:r>
      <w:r>
        <w:rPr>
          <w:rFonts w:cs="Times New Roman" w:hint="eastAsia"/>
          <w:b/>
          <w:sz w:val="28"/>
          <w:szCs w:val="28"/>
        </w:rPr>
        <w:t>要</w:t>
      </w:r>
    </w:p>
    <w:p w:rsidR="00000000" w:rsidRDefault="00050CC0">
      <w:pPr>
        <w:spacing w:line="360" w:lineRule="auto"/>
        <w:ind w:firstLineChars="800" w:firstLine="1920"/>
        <w:jc w:val="right"/>
        <w:rPr>
          <w:rFonts w:hint="eastAsia"/>
        </w:rPr>
      </w:pPr>
      <w:r>
        <w:rPr>
          <w:rFonts w:hint="eastAsia"/>
          <w:bCs/>
          <w:sz w:val="24"/>
          <w:szCs w:val="30"/>
        </w:rPr>
        <w:t>编制日期</w:t>
      </w:r>
      <w:r>
        <w:rPr>
          <w:rFonts w:hint="eastAsia"/>
          <w:bCs/>
          <w:sz w:val="24"/>
          <w:szCs w:val="30"/>
        </w:rPr>
        <w:t>：</w:t>
      </w:r>
      <w:r>
        <w:rPr>
          <w:rFonts w:hint="eastAsia"/>
          <w:bCs/>
          <w:sz w:val="24"/>
          <w:szCs w:val="30"/>
        </w:rPr>
        <w:t>2026</w:t>
      </w:r>
      <w:r>
        <w:rPr>
          <w:rFonts w:hint="eastAsia"/>
          <w:bCs/>
          <w:sz w:val="24"/>
          <w:szCs w:val="30"/>
        </w:rPr>
        <w:t>年</w:t>
      </w:r>
      <w:r>
        <w:rPr>
          <w:rFonts w:hint="eastAsia"/>
          <w:bCs/>
          <w:sz w:val="24"/>
          <w:szCs w:val="30"/>
        </w:rPr>
        <w:t>2</w:t>
      </w:r>
      <w:r>
        <w:rPr>
          <w:rFonts w:hint="eastAsia"/>
          <w:bCs/>
          <w:sz w:val="24"/>
          <w:szCs w:val="30"/>
        </w:rPr>
        <w:t>月</w:t>
      </w:r>
      <w:r>
        <w:rPr>
          <w:rFonts w:hint="eastAsia"/>
          <w:bCs/>
          <w:sz w:val="24"/>
          <w:szCs w:val="30"/>
        </w:rPr>
        <w:t>13</w:t>
      </w:r>
      <w:r>
        <w:rPr>
          <w:rFonts w:hint="eastAsia"/>
          <w:bCs/>
          <w:sz w:val="24"/>
          <w:szCs w:val="30"/>
        </w:rPr>
        <w:t>日</w:t>
      </w:r>
    </w:p>
    <w:p w:rsidR="00000000" w:rsidRDefault="00050CC0">
      <w:pPr>
        <w:spacing w:line="360" w:lineRule="auto"/>
        <w:jc w:val="center"/>
        <w:rPr>
          <w:rFonts w:hint="eastAsia"/>
        </w:rPr>
      </w:pPr>
      <w:r>
        <w:rPr>
          <w:rFonts w:hint="eastAsia"/>
          <w:bCs/>
          <w:sz w:val="24"/>
          <w:szCs w:val="30"/>
        </w:rPr>
        <w:t>送出日期</w:t>
      </w:r>
      <w:r>
        <w:rPr>
          <w:rFonts w:hint="eastAsia"/>
          <w:bCs/>
          <w:sz w:val="24"/>
          <w:szCs w:val="30"/>
        </w:rPr>
        <w:t>：</w:t>
      </w:r>
      <w:r>
        <w:rPr>
          <w:rFonts w:hint="eastAsia"/>
          <w:bCs/>
          <w:sz w:val="24"/>
          <w:szCs w:val="30"/>
        </w:rPr>
        <w:t>2026</w:t>
      </w:r>
      <w:r>
        <w:rPr>
          <w:rFonts w:hint="eastAsia"/>
          <w:bCs/>
          <w:sz w:val="24"/>
          <w:szCs w:val="30"/>
        </w:rPr>
        <w:t>年</w:t>
      </w:r>
      <w:r>
        <w:rPr>
          <w:rFonts w:hint="eastAsia"/>
          <w:bCs/>
          <w:sz w:val="24"/>
          <w:szCs w:val="30"/>
        </w:rPr>
        <w:t>2</w:t>
      </w:r>
      <w:r>
        <w:rPr>
          <w:rFonts w:hint="eastAsia"/>
          <w:bCs/>
          <w:sz w:val="24"/>
          <w:szCs w:val="30"/>
        </w:rPr>
        <w:t>月</w:t>
      </w:r>
      <w:r>
        <w:rPr>
          <w:rFonts w:hint="eastAsia"/>
          <w:bCs/>
          <w:sz w:val="24"/>
          <w:szCs w:val="30"/>
        </w:rPr>
        <w:t>24</w:t>
      </w:r>
      <w:r>
        <w:rPr>
          <w:rFonts w:hint="eastAsia"/>
          <w:bCs/>
          <w:sz w:val="24"/>
          <w:szCs w:val="30"/>
        </w:rPr>
        <w:t>日</w:t>
      </w:r>
    </w:p>
    <w:p w:rsidR="00000000" w:rsidRDefault="00050CC0">
      <w:pPr>
        <w:spacing w:line="360" w:lineRule="auto"/>
        <w:jc w:val="center"/>
        <w:rPr>
          <w:rFonts w:hint="eastAsia"/>
        </w:rPr>
      </w:pPr>
      <w:r>
        <w:rPr>
          <w:rFonts w:cs="Times New Roman" w:hint="eastAsia"/>
          <w:b/>
          <w:sz w:val="24"/>
          <w:szCs w:val="24"/>
        </w:rPr>
        <w:t>本概要提供本基金的重要信息，是招募说明书的一部分。</w:t>
      </w:r>
      <w:r>
        <w:rPr>
          <w:rFonts w:cs="Times New Roman" w:hint="eastAsia"/>
          <w:b/>
          <w:sz w:val="24"/>
          <w:szCs w:val="24"/>
        </w:rPr>
        <w:t xml:space="preserve"> </w:t>
      </w:r>
    </w:p>
    <w:p w:rsidR="00000000" w:rsidRDefault="00050CC0">
      <w:pPr>
        <w:spacing w:line="360" w:lineRule="auto"/>
        <w:jc w:val="center"/>
        <w:rPr>
          <w:rFonts w:hint="eastAsia"/>
        </w:rPr>
      </w:pPr>
      <w:r>
        <w:rPr>
          <w:rFonts w:cs="Times New Roman" w:hint="eastAsia"/>
          <w:b/>
          <w:sz w:val="24"/>
          <w:szCs w:val="24"/>
        </w:rPr>
        <w:t>作出投资决定前，请阅读完整的招募说明书等销售文件。</w:t>
      </w:r>
      <w:r>
        <w:rPr>
          <w:rFonts w:cs="Times New Roman" w:hint="eastAsia"/>
          <w:b/>
          <w:sz w:val="24"/>
          <w:szCs w:val="24"/>
        </w:rPr>
        <w:t xml:space="preserve"> </w:t>
      </w:r>
    </w:p>
    <w:p w:rsidR="00000000" w:rsidRDefault="00050CC0">
      <w:pPr>
        <w:pStyle w:val="XBRLTitle1"/>
        <w:spacing w:before="156" w:line="312" w:lineRule="exact"/>
        <w:rPr>
          <w:rFonts w:hint="eastAsia"/>
        </w:rPr>
      </w:pPr>
      <w:bookmarkStart w:id="8" w:name="_Toc37433211"/>
      <w:bookmarkStart w:id="9" w:name="_Toc34758519"/>
      <w:bookmarkStart w:id="10" w:name="_Toc513295892"/>
      <w:bookmarkStart w:id="11" w:name="_Toc513295846"/>
      <w:bookmarkStart w:id="12" w:name="_Toc490050000"/>
      <w:bookmarkStart w:id="13" w:name="_Toc438646451"/>
      <w:bookmarkStart w:id="14" w:name="_Toc481075046"/>
      <w:bookmarkStart w:id="15" w:name="_Toc512519480"/>
      <w:bookmarkStart w:id="16" w:name="_Toc17897936"/>
      <w:bookmarkStart w:id="17" w:name="_Toc17898178"/>
      <w:bookmarkStart w:id="18" w:name="_Toc34841028"/>
      <w:bookmarkStart w:id="19" w:name="_Toc194311890"/>
      <w:bookmarkStart w:id="20" w:name="m01_01"/>
      <w:bookmarkStart w:id="21" w:name="m101"/>
      <w:r>
        <w:rPr>
          <w:rFonts w:hAnsi="宋体" w:hint="eastAsia"/>
        </w:rPr>
        <w:t>产品概</w:t>
      </w:r>
      <w:r>
        <w:rPr>
          <w:rFonts w:hAnsi="宋体" w:hint="eastAsia"/>
        </w:rPr>
        <w:t>况</w:t>
      </w:r>
      <w:bookmarkEnd w:id="8"/>
      <w:r>
        <w:rPr>
          <w:rFonts w:hAnsi="宋体" w:hint="eastAsia"/>
          <w:szCs w:val="44"/>
        </w:rPr>
        <w:t xml:space="preserve"> </w:t>
      </w:r>
    </w:p>
    <w:tbl>
      <w:tblPr>
        <w:tblW w:w="49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951"/>
        <w:gridCol w:w="3467"/>
        <w:gridCol w:w="2541"/>
        <w:gridCol w:w="3469"/>
      </w:tblGrid>
      <w:tr w:rsidR="00000000">
        <w:trPr>
          <w:divId w:val="1600403614"/>
          <w:trHeight w:val="387"/>
        </w:trPr>
        <w:tc>
          <w:tcPr>
            <w:tcW w:w="1951" w:type="dxa"/>
            <w:tcBorders>
              <w:top w:val="single" w:sz="4" w:space="0" w:color="auto"/>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bookmarkStart w:id="22" w:name="m04_01_02_tab"/>
            <w:r>
              <w:rPr>
                <w:rFonts w:hint="eastAsia"/>
                <w:b/>
                <w:szCs w:val="24"/>
              </w:rPr>
              <w:t>基金简称</w:t>
            </w:r>
            <w:r>
              <w:rPr>
                <w:rFonts w:hint="eastAsia"/>
                <w:szCs w:val="24"/>
                <w:lang w:eastAsia="zh-Hans"/>
              </w:rPr>
              <w:t xml:space="preserve"> </w:t>
            </w:r>
          </w:p>
        </w:tc>
        <w:tc>
          <w:tcPr>
            <w:tcW w:w="2987" w:type="dxa"/>
            <w:tcBorders>
              <w:top w:val="single" w:sz="4" w:space="0" w:color="auto"/>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szCs w:val="24"/>
              </w:rPr>
              <w:t>华安创新动能混</w:t>
            </w:r>
            <w:r>
              <w:rPr>
                <w:rFonts w:hint="eastAsia"/>
                <w:szCs w:val="24"/>
              </w:rPr>
              <w:t>合</w:t>
            </w:r>
            <w:r>
              <w:rPr>
                <w:rFonts w:hint="eastAsia"/>
                <w:szCs w:val="24"/>
                <w:lang w:eastAsia="zh-Hans"/>
              </w:rPr>
              <w:t xml:space="preserve"> </w:t>
            </w:r>
          </w:p>
        </w:tc>
        <w:tc>
          <w:tcPr>
            <w:tcW w:w="2541" w:type="dxa"/>
            <w:tcBorders>
              <w:top w:val="single" w:sz="4" w:space="0" w:color="auto"/>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b/>
                <w:szCs w:val="24"/>
              </w:rPr>
              <w:t>基金代码</w:t>
            </w:r>
            <w:r>
              <w:rPr>
                <w:rFonts w:hint="eastAsia"/>
                <w:szCs w:val="24"/>
                <w:lang w:eastAsia="zh-Hans"/>
              </w:rPr>
              <w:t xml:space="preserve"> </w:t>
            </w:r>
          </w:p>
        </w:tc>
        <w:tc>
          <w:tcPr>
            <w:tcW w:w="2989" w:type="dxa"/>
            <w:tcBorders>
              <w:top w:val="single" w:sz="4" w:space="0" w:color="auto"/>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szCs w:val="24"/>
              </w:rPr>
              <w:t>02684</w:t>
            </w:r>
            <w:r>
              <w:rPr>
                <w:rFonts w:hint="eastAsia"/>
                <w:szCs w:val="24"/>
              </w:rPr>
              <w:t>1</w:t>
            </w:r>
            <w:r>
              <w:rPr>
                <w:rFonts w:hint="eastAsia"/>
                <w:szCs w:val="24"/>
                <w:lang w:eastAsia="zh-Hans"/>
              </w:rPr>
              <w:t xml:space="preserve"> </w:t>
            </w:r>
          </w:p>
        </w:tc>
      </w:tr>
      <w:tr w:rsidR="00000000">
        <w:trPr>
          <w:divId w:val="1600403614"/>
          <w:trHeight w:val="387"/>
        </w:trPr>
        <w:tc>
          <w:tcPr>
            <w:tcW w:w="195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b/>
                <w:szCs w:val="24"/>
              </w:rPr>
              <w:t>下属基金简称</w:t>
            </w:r>
            <w:r>
              <w:rPr>
                <w:rFonts w:hint="eastAsia"/>
                <w:szCs w:val="24"/>
                <w:lang w:eastAsia="zh-Hans"/>
              </w:rPr>
              <w:t xml:space="preserve"> </w:t>
            </w:r>
          </w:p>
        </w:tc>
        <w:tc>
          <w:tcPr>
            <w:tcW w:w="2987"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szCs w:val="24"/>
              </w:rPr>
              <w:t>华安创新动能混合</w:t>
            </w:r>
            <w:r>
              <w:rPr>
                <w:rFonts w:hint="eastAsia"/>
                <w:szCs w:val="24"/>
              </w:rPr>
              <w:t>A</w:t>
            </w:r>
            <w:r>
              <w:rPr>
                <w:rFonts w:hint="eastAsia"/>
                <w:szCs w:val="24"/>
                <w:lang w:eastAsia="zh-Hans"/>
              </w:rPr>
              <w:t xml:space="preserve"> </w:t>
            </w:r>
          </w:p>
        </w:tc>
        <w:tc>
          <w:tcPr>
            <w:tcW w:w="254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b/>
                <w:szCs w:val="24"/>
              </w:rPr>
              <w:t>下属基金交易代码</w:t>
            </w:r>
            <w:r>
              <w:rPr>
                <w:rFonts w:hint="eastAsia"/>
                <w:szCs w:val="24"/>
                <w:lang w:eastAsia="zh-Hans"/>
              </w:rPr>
              <w:t xml:space="preserve"> </w:t>
            </w:r>
          </w:p>
        </w:tc>
        <w:tc>
          <w:tcPr>
            <w:tcW w:w="2989"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szCs w:val="24"/>
              </w:rPr>
              <w:t>02684</w:t>
            </w:r>
            <w:r>
              <w:rPr>
                <w:rFonts w:hint="eastAsia"/>
                <w:szCs w:val="24"/>
              </w:rPr>
              <w:t>1</w:t>
            </w:r>
            <w:r>
              <w:rPr>
                <w:rFonts w:hint="eastAsia"/>
                <w:szCs w:val="24"/>
                <w:lang w:eastAsia="zh-Hans"/>
              </w:rPr>
              <w:t xml:space="preserve"> </w:t>
            </w:r>
          </w:p>
        </w:tc>
      </w:tr>
      <w:tr w:rsidR="00000000">
        <w:trPr>
          <w:divId w:val="1600403614"/>
          <w:trHeight w:val="386"/>
        </w:trPr>
        <w:tc>
          <w:tcPr>
            <w:tcW w:w="195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b/>
                <w:szCs w:val="24"/>
                <w:lang w:eastAsia="zh-Hans"/>
              </w:rPr>
              <w:t>基金管理人</w:t>
            </w:r>
            <w:r>
              <w:rPr>
                <w:rFonts w:hint="eastAsia"/>
                <w:szCs w:val="24"/>
                <w:lang w:eastAsia="zh-Hans"/>
              </w:rPr>
              <w:t xml:space="preserve"> </w:t>
            </w:r>
          </w:p>
        </w:tc>
        <w:tc>
          <w:tcPr>
            <w:tcW w:w="2987"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szCs w:val="24"/>
                <w:lang w:eastAsia="zh-Hans"/>
              </w:rPr>
              <w:t>华安基金管理有限公</w:t>
            </w:r>
            <w:r>
              <w:rPr>
                <w:rFonts w:hint="eastAsia"/>
                <w:szCs w:val="24"/>
                <w:lang w:eastAsia="zh-Hans"/>
              </w:rPr>
              <w:t>司</w:t>
            </w:r>
          </w:p>
        </w:tc>
        <w:tc>
          <w:tcPr>
            <w:tcW w:w="254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b/>
                <w:szCs w:val="24"/>
                <w:lang w:eastAsia="zh-Hans"/>
              </w:rPr>
              <w:t>基金托管人</w:t>
            </w:r>
            <w:r>
              <w:rPr>
                <w:rFonts w:hint="eastAsia"/>
                <w:szCs w:val="24"/>
                <w:lang w:eastAsia="zh-Hans"/>
              </w:rPr>
              <w:t xml:space="preserve"> </w:t>
            </w:r>
          </w:p>
        </w:tc>
        <w:tc>
          <w:tcPr>
            <w:tcW w:w="2989"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szCs w:val="24"/>
                <w:lang w:eastAsia="zh-Hans"/>
              </w:rPr>
              <w:t>中国建设银行股份有限公</w:t>
            </w:r>
            <w:r>
              <w:rPr>
                <w:rFonts w:hint="eastAsia"/>
                <w:szCs w:val="24"/>
                <w:lang w:eastAsia="zh-Hans"/>
              </w:rPr>
              <w:t>司</w:t>
            </w:r>
          </w:p>
        </w:tc>
      </w:tr>
      <w:tr w:rsidR="00000000">
        <w:trPr>
          <w:divId w:val="1600403614"/>
          <w:trHeight w:val="386"/>
        </w:trPr>
        <w:tc>
          <w:tcPr>
            <w:tcW w:w="195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b/>
                <w:szCs w:val="24"/>
                <w:lang w:eastAsia="zh-Hans"/>
              </w:rPr>
              <w:t>基金合同生效日</w:t>
            </w:r>
            <w:r>
              <w:rPr>
                <w:rFonts w:hint="eastAsia"/>
                <w:szCs w:val="24"/>
                <w:lang w:eastAsia="zh-Hans"/>
              </w:rPr>
              <w:t xml:space="preserve"> </w:t>
            </w:r>
          </w:p>
        </w:tc>
        <w:tc>
          <w:tcPr>
            <w:tcW w:w="2987"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szCs w:val="24"/>
                <w:lang w:eastAsia="zh-Hans"/>
              </w:rPr>
              <w:t>-</w:t>
            </w:r>
          </w:p>
        </w:tc>
        <w:tc>
          <w:tcPr>
            <w:tcW w:w="254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b/>
                <w:szCs w:val="24"/>
                <w:lang w:eastAsia="zh-Hans"/>
              </w:rPr>
              <w:t>上市交易所及上市日期</w:t>
            </w:r>
            <w:r>
              <w:rPr>
                <w:rFonts w:hint="eastAsia"/>
                <w:szCs w:val="24"/>
                <w:lang w:eastAsia="zh-Hans"/>
              </w:rPr>
              <w:t xml:space="preserve"> </w:t>
            </w:r>
          </w:p>
        </w:tc>
        <w:tc>
          <w:tcPr>
            <w:tcW w:w="156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szCs w:val="24"/>
                <w:lang w:eastAsia="zh-Hans"/>
              </w:rPr>
              <w:t>-</w:t>
            </w:r>
          </w:p>
        </w:tc>
      </w:tr>
      <w:tr w:rsidR="00000000">
        <w:trPr>
          <w:divId w:val="1600403614"/>
          <w:trHeight w:val="386"/>
        </w:trPr>
        <w:tc>
          <w:tcPr>
            <w:tcW w:w="195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b/>
                <w:szCs w:val="24"/>
                <w:lang w:eastAsia="zh-Hans"/>
              </w:rPr>
              <w:t>基金类型</w:t>
            </w:r>
            <w:r>
              <w:rPr>
                <w:rFonts w:hint="eastAsia"/>
                <w:szCs w:val="24"/>
                <w:lang w:eastAsia="zh-Hans"/>
              </w:rPr>
              <w:t xml:space="preserve"> </w:t>
            </w:r>
          </w:p>
        </w:tc>
        <w:tc>
          <w:tcPr>
            <w:tcW w:w="2987"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szCs w:val="24"/>
                <w:lang w:eastAsia="zh-Hans"/>
              </w:rPr>
              <w:t>混合</w:t>
            </w:r>
            <w:r>
              <w:rPr>
                <w:rFonts w:hint="eastAsia"/>
                <w:szCs w:val="24"/>
                <w:lang w:eastAsia="zh-Hans"/>
              </w:rPr>
              <w:t>型</w:t>
            </w:r>
          </w:p>
        </w:tc>
        <w:tc>
          <w:tcPr>
            <w:tcW w:w="254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b/>
                <w:szCs w:val="24"/>
                <w:lang w:eastAsia="zh-Hans"/>
              </w:rPr>
              <w:t>交易币种</w:t>
            </w:r>
            <w:r>
              <w:rPr>
                <w:rFonts w:hint="eastAsia"/>
                <w:szCs w:val="24"/>
                <w:lang w:eastAsia="zh-Hans"/>
              </w:rPr>
              <w:t xml:space="preserve"> </w:t>
            </w:r>
          </w:p>
        </w:tc>
        <w:tc>
          <w:tcPr>
            <w:tcW w:w="2989"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szCs w:val="24"/>
                <w:lang w:eastAsia="zh-Hans"/>
              </w:rPr>
              <w:t>人民</w:t>
            </w:r>
            <w:r>
              <w:rPr>
                <w:rFonts w:hint="eastAsia"/>
                <w:szCs w:val="24"/>
                <w:lang w:eastAsia="zh-Hans"/>
              </w:rPr>
              <w:t>币</w:t>
            </w:r>
          </w:p>
        </w:tc>
      </w:tr>
      <w:tr w:rsidR="00000000">
        <w:trPr>
          <w:divId w:val="1600403614"/>
          <w:trHeight w:val="386"/>
        </w:trPr>
        <w:tc>
          <w:tcPr>
            <w:tcW w:w="195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b/>
                <w:szCs w:val="24"/>
                <w:lang w:eastAsia="zh-Hans"/>
              </w:rPr>
              <w:t>运作方式</w:t>
            </w:r>
            <w:r>
              <w:rPr>
                <w:rFonts w:hint="eastAsia"/>
                <w:szCs w:val="24"/>
                <w:lang w:eastAsia="zh-Hans"/>
              </w:rPr>
              <w:t xml:space="preserve"> </w:t>
            </w:r>
          </w:p>
        </w:tc>
        <w:tc>
          <w:tcPr>
            <w:tcW w:w="2987"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szCs w:val="24"/>
                <w:lang w:eastAsia="zh-Hans"/>
              </w:rPr>
              <w:t>普通开放</w:t>
            </w:r>
            <w:r>
              <w:rPr>
                <w:rFonts w:hint="eastAsia"/>
                <w:szCs w:val="24"/>
                <w:lang w:eastAsia="zh-Hans"/>
              </w:rPr>
              <w:t>式</w:t>
            </w:r>
          </w:p>
        </w:tc>
        <w:tc>
          <w:tcPr>
            <w:tcW w:w="254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b/>
                <w:szCs w:val="24"/>
                <w:lang w:eastAsia="zh-Hans"/>
              </w:rPr>
              <w:t>开放频率</w:t>
            </w:r>
            <w:r>
              <w:rPr>
                <w:rFonts w:hint="eastAsia"/>
                <w:szCs w:val="24"/>
                <w:lang w:eastAsia="zh-Hans"/>
              </w:rPr>
              <w:t xml:space="preserve"> </w:t>
            </w:r>
          </w:p>
        </w:tc>
        <w:tc>
          <w:tcPr>
            <w:tcW w:w="2989"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szCs w:val="24"/>
                <w:lang w:eastAsia="zh-Hans"/>
              </w:rPr>
              <w:t>每个开放</w:t>
            </w:r>
            <w:r>
              <w:rPr>
                <w:rFonts w:hint="eastAsia"/>
                <w:szCs w:val="24"/>
                <w:lang w:eastAsia="zh-Hans"/>
              </w:rPr>
              <w:t>日</w:t>
            </w:r>
          </w:p>
        </w:tc>
      </w:tr>
      <w:tr w:rsidR="00000000">
        <w:trPr>
          <w:divId w:val="1600403614"/>
          <w:trHeight w:val="386"/>
        </w:trPr>
        <w:tc>
          <w:tcPr>
            <w:tcW w:w="1951" w:type="dxa"/>
            <w:vMerge w:val="restart"/>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b/>
                <w:szCs w:val="24"/>
                <w:lang w:eastAsia="zh-Hans"/>
              </w:rPr>
              <w:t>基金经理</w:t>
            </w:r>
            <w:r>
              <w:rPr>
                <w:rFonts w:hint="eastAsia"/>
                <w:szCs w:val="24"/>
                <w:lang w:eastAsia="zh-Hans"/>
              </w:rPr>
              <w:t xml:space="preserve"> </w:t>
            </w:r>
          </w:p>
        </w:tc>
        <w:tc>
          <w:tcPr>
            <w:tcW w:w="2987" w:type="dxa"/>
            <w:vMerge w:val="restart"/>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szCs w:val="24"/>
                <w:lang w:eastAsia="zh-Hans"/>
              </w:rPr>
              <w:t>桑翔</w:t>
            </w:r>
            <w:r>
              <w:rPr>
                <w:rFonts w:hint="eastAsia"/>
                <w:szCs w:val="24"/>
                <w:lang w:eastAsia="zh-Hans"/>
              </w:rPr>
              <w:t>宇</w:t>
            </w:r>
          </w:p>
        </w:tc>
        <w:tc>
          <w:tcPr>
            <w:tcW w:w="254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b/>
                <w:szCs w:val="24"/>
                <w:lang w:eastAsia="zh-Hans"/>
              </w:rPr>
              <w:t>开始担任本基金基金经理的日期</w:t>
            </w:r>
            <w:r>
              <w:rPr>
                <w:rFonts w:hint="eastAsia"/>
                <w:szCs w:val="24"/>
                <w:lang w:eastAsia="zh-Hans"/>
              </w:rPr>
              <w:t xml:space="preserve"> </w:t>
            </w:r>
          </w:p>
        </w:tc>
        <w:tc>
          <w:tcPr>
            <w:tcW w:w="2989"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szCs w:val="24"/>
                <w:lang w:eastAsia="zh-Hans"/>
              </w:rPr>
              <w:t>-</w:t>
            </w:r>
          </w:p>
        </w:tc>
      </w:tr>
      <w:tr w:rsidR="00000000">
        <w:trPr>
          <w:divId w:val="1600403614"/>
          <w:trHeight w:val="386"/>
        </w:trPr>
        <w:tc>
          <w:tcPr>
            <w:tcW w:w="0" w:type="auto"/>
            <w:vMerge/>
            <w:tcBorders>
              <w:top w:val="nil"/>
              <w:left w:val="nil"/>
              <w:bottom w:val="dotted" w:sz="4" w:space="0" w:color="auto"/>
              <w:right w:val="nil"/>
            </w:tcBorders>
            <w:vAlign w:val="center"/>
            <w:hideMark/>
          </w:tcPr>
          <w:p w:rsidR="00000000" w:rsidRDefault="00050CC0">
            <w:pPr>
              <w:widowControl/>
              <w:jc w:val="left"/>
            </w:pPr>
          </w:p>
        </w:tc>
        <w:tc>
          <w:tcPr>
            <w:tcW w:w="0" w:type="auto"/>
            <w:vMerge/>
            <w:tcBorders>
              <w:top w:val="nil"/>
              <w:left w:val="nil"/>
              <w:bottom w:val="dotted" w:sz="4" w:space="0" w:color="auto"/>
              <w:right w:val="nil"/>
            </w:tcBorders>
            <w:vAlign w:val="center"/>
            <w:hideMark/>
          </w:tcPr>
          <w:p w:rsidR="00000000" w:rsidRDefault="00050CC0">
            <w:pPr>
              <w:widowControl/>
              <w:jc w:val="left"/>
            </w:pPr>
          </w:p>
        </w:tc>
        <w:tc>
          <w:tcPr>
            <w:tcW w:w="254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b/>
                <w:szCs w:val="24"/>
                <w:lang w:eastAsia="zh-Hans"/>
              </w:rPr>
              <w:t>证券从业日期</w:t>
            </w:r>
            <w:r>
              <w:rPr>
                <w:rFonts w:hint="eastAsia"/>
                <w:szCs w:val="24"/>
                <w:lang w:eastAsia="zh-Hans"/>
              </w:rPr>
              <w:t xml:space="preserve"> </w:t>
            </w:r>
          </w:p>
        </w:tc>
        <w:tc>
          <w:tcPr>
            <w:tcW w:w="2989"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szCs w:val="24"/>
                <w:lang w:eastAsia="zh-Hans"/>
              </w:rPr>
              <w:t>2016</w:t>
            </w:r>
            <w:r>
              <w:rPr>
                <w:rFonts w:hint="eastAsia"/>
                <w:szCs w:val="24"/>
                <w:lang w:eastAsia="zh-Hans"/>
              </w:rPr>
              <w:t>年</w:t>
            </w:r>
            <w:r>
              <w:rPr>
                <w:rFonts w:hint="eastAsia"/>
                <w:szCs w:val="24"/>
                <w:lang w:eastAsia="zh-Hans"/>
              </w:rPr>
              <w:t>6</w:t>
            </w:r>
            <w:r>
              <w:rPr>
                <w:rFonts w:hint="eastAsia"/>
                <w:szCs w:val="24"/>
                <w:lang w:eastAsia="zh-Hans"/>
              </w:rPr>
              <w:t>月</w:t>
            </w:r>
            <w:r>
              <w:rPr>
                <w:rFonts w:hint="eastAsia"/>
                <w:szCs w:val="24"/>
                <w:lang w:eastAsia="zh-Hans"/>
              </w:rPr>
              <w:t>27</w:t>
            </w:r>
            <w:r>
              <w:rPr>
                <w:rFonts w:hint="eastAsia"/>
                <w:szCs w:val="24"/>
                <w:lang w:eastAsia="zh-Hans"/>
              </w:rPr>
              <w:t>日</w:t>
            </w:r>
          </w:p>
        </w:tc>
      </w:tr>
    </w:tbl>
    <w:p w:rsidR="00000000" w:rsidRDefault="00050CC0">
      <w:pPr>
        <w:pStyle w:val="XBRLTitle1"/>
        <w:spacing w:before="156" w:line="312" w:lineRule="exact"/>
        <w:rPr>
          <w:rFonts w:hint="eastAsia"/>
        </w:rPr>
      </w:pPr>
      <w:bookmarkStart w:id="23" w:name="_Toc37433212"/>
      <w:bookmarkStart w:id="24" w:name="_Toc34758521"/>
      <w:bookmarkStart w:id="25" w:name="_Toc34841030"/>
      <w:bookmarkStart w:id="26" w:name="_Toc17898179"/>
      <w:bookmarkStart w:id="27" w:name="_Toc17897937"/>
      <w:bookmarkStart w:id="28" w:name="_Toc512519481"/>
      <w:bookmarkStart w:id="29" w:name="_Toc481075047"/>
      <w:bookmarkStart w:id="30" w:name="_Toc438646452"/>
      <w:bookmarkStart w:id="31" w:name="_Toc490050001"/>
      <w:bookmarkStart w:id="32" w:name="_Toc513295847"/>
      <w:bookmarkStart w:id="33" w:name="_Toc513295893"/>
      <w:bookmarkStart w:id="34" w:name="m07_04_13_00"/>
      <w:bookmarkStart w:id="35" w:name="m201"/>
      <w:bookmarkStart w:id="36" w:name="m07_04_07_09_tab"/>
      <w:bookmarkStart w:id="37" w:name="m07_04_07_09"/>
      <w:bookmarkStart w:id="38" w:name="_Toc17898180"/>
      <w:bookmarkStart w:id="39" w:name="_Toc17897938"/>
      <w:bookmarkStart w:id="40" w:name="_Toc512519482"/>
      <w:bookmarkStart w:id="41" w:name="_Toc481075049"/>
      <w:bookmarkStart w:id="42" w:name="_Toc438646455"/>
      <w:bookmarkStart w:id="43" w:name="_Toc490050003"/>
      <w:bookmarkStart w:id="44" w:name="_Toc513295848"/>
      <w:bookmarkStart w:id="45" w:name="_Toc513295894"/>
      <w:bookmarkStart w:id="46" w:name="m401_tab"/>
      <w:bookmarkStart w:id="47" w:name="m401"/>
      <w:bookmarkStart w:id="48" w:name="m201_01"/>
      <w:r>
        <w:rPr>
          <w:rFonts w:hAnsi="宋体" w:hint="eastAsia"/>
        </w:rPr>
        <w:t>基金投资与净值表</w:t>
      </w:r>
      <w:r>
        <w:rPr>
          <w:rFonts w:hAnsi="宋体" w:hint="eastAsia"/>
        </w:rPr>
        <w:t>现</w:t>
      </w:r>
      <w:bookmarkEnd w:id="23"/>
      <w:r>
        <w:rPr>
          <w:rFonts w:hAnsi="宋体" w:hint="eastAsia"/>
        </w:rPr>
        <w:t xml:space="preserve"> </w:t>
      </w:r>
    </w:p>
    <w:p w:rsidR="00000000" w:rsidRDefault="00050CC0">
      <w:pPr>
        <w:pStyle w:val="XBRLTitle2"/>
        <w:spacing w:before="156" w:line="312" w:lineRule="exact"/>
        <w:rPr>
          <w:rFonts w:hint="eastAsia"/>
        </w:rPr>
      </w:pPr>
      <w:bookmarkStart w:id="49" w:name="_Toc37433213"/>
      <w:bookmarkStart w:id="50" w:name="_Toc34758522"/>
      <w:bookmarkStart w:id="51" w:name="_Toc513295895"/>
      <w:bookmarkStart w:id="52" w:name="_Toc513295849"/>
      <w:bookmarkStart w:id="53" w:name="_Toc490050004"/>
      <w:bookmarkStart w:id="54" w:name="_Toc438646456"/>
      <w:bookmarkStart w:id="55" w:name="_Toc481075050"/>
      <w:bookmarkStart w:id="56" w:name="_Toc512519483"/>
      <w:bookmarkStart w:id="57" w:name="_Toc17897939"/>
      <w:bookmarkStart w:id="58" w:name="_Toc17898181"/>
      <w:bookmarkStart w:id="59" w:name="_Toc34841031"/>
      <w:r>
        <w:rPr>
          <w:rFonts w:hAnsi="宋体" w:hint="eastAsia"/>
          <w:sz w:val="21"/>
        </w:rPr>
        <w:t>投资目标与投资策</w:t>
      </w:r>
      <w:r>
        <w:rPr>
          <w:rFonts w:hAnsi="宋体" w:hint="eastAsia"/>
          <w:sz w:val="21"/>
        </w:rPr>
        <w:t>略</w:t>
      </w:r>
      <w:bookmarkEnd w:id="49"/>
      <w:r>
        <w:rPr>
          <w:rFonts w:hAnsi="宋体" w:hint="eastAsia"/>
          <w:sz w:val="21"/>
        </w:rPr>
        <w:t xml:space="preserve"> </w:t>
      </w:r>
    </w:p>
    <w:p w:rsidR="00000000" w:rsidRDefault="00050CC0">
      <w:pPr>
        <w:spacing w:line="312" w:lineRule="exact"/>
        <w:divId w:val="2036497915"/>
        <w:rPr>
          <w:rFonts w:hint="eastAsia"/>
        </w:rPr>
      </w:pPr>
      <w:bookmarkStart w:id="60" w:name="m04_02"/>
      <w:r>
        <w:rPr>
          <w:rFonts w:hint="eastAsia"/>
          <w:szCs w:val="21"/>
          <w:lang w:eastAsia="zh-Hans"/>
        </w:rPr>
        <w:t>详情请阅读《招募说明书》中“基金的投资”章节的相关内容</w:t>
      </w:r>
      <w:r>
        <w:rPr>
          <w:rFonts w:hint="eastAsia"/>
          <w:szCs w:val="21"/>
          <w:lang w:eastAsia="zh-Hans"/>
        </w:rPr>
        <w:t>。</w:t>
      </w:r>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526"/>
        <w:gridCol w:w="6996"/>
      </w:tblGrid>
      <w:tr w:rsidR="00000000">
        <w:trPr>
          <w:divId w:val="2036497915"/>
          <w:trHeight w:val="387"/>
        </w:trPr>
        <w:tc>
          <w:tcPr>
            <w:tcW w:w="1526" w:type="dxa"/>
            <w:tcBorders>
              <w:top w:val="single" w:sz="4" w:space="0" w:color="auto"/>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ascii="Times New Roman" w:hAnsi="Times New Roman" w:hint="eastAsia"/>
                <w:b/>
              </w:rPr>
              <w:t>投资目标</w:t>
            </w:r>
            <w:r>
              <w:rPr>
                <w:rFonts w:hint="eastAsia"/>
                <w:szCs w:val="24"/>
                <w:lang w:eastAsia="zh-Hans"/>
              </w:rPr>
              <w:t xml:space="preserve"> </w:t>
            </w:r>
          </w:p>
        </w:tc>
        <w:tc>
          <w:tcPr>
            <w:tcW w:w="6996" w:type="dxa"/>
            <w:tcBorders>
              <w:top w:val="single" w:sz="4" w:space="0" w:color="auto"/>
              <w:left w:val="nil"/>
              <w:bottom w:val="dotted" w:sz="4" w:space="0" w:color="auto"/>
              <w:right w:val="nil"/>
            </w:tcBorders>
            <w:tcMar>
              <w:top w:w="0" w:type="dxa"/>
              <w:left w:w="108" w:type="dxa"/>
              <w:bottom w:w="0" w:type="dxa"/>
              <w:right w:w="108" w:type="dxa"/>
            </w:tcMar>
            <w:vAlign w:val="center"/>
            <w:hideMark/>
          </w:tcPr>
          <w:p w:rsidR="00000000" w:rsidRDefault="00050CC0">
            <w:pPr>
              <w:spacing w:line="312" w:lineRule="exact"/>
              <w:jc w:val="left"/>
              <w:rPr>
                <w:rFonts w:hint="eastAsia"/>
              </w:rPr>
            </w:pPr>
            <w:r>
              <w:rPr>
                <w:rFonts w:hint="eastAsia"/>
                <w:szCs w:val="24"/>
              </w:rPr>
              <w:t>本基金在严格控制风险的前提下，力争实现基金资产的长期稳健增值</w:t>
            </w:r>
            <w:r>
              <w:rPr>
                <w:rFonts w:hint="eastAsia"/>
                <w:szCs w:val="24"/>
              </w:rPr>
              <w:t>。</w:t>
            </w:r>
            <w:r>
              <w:rPr>
                <w:rFonts w:hint="eastAsia"/>
                <w:szCs w:val="24"/>
                <w:lang w:eastAsia="zh-Hans"/>
              </w:rPr>
              <w:t xml:space="preserve"> </w:t>
            </w:r>
          </w:p>
        </w:tc>
      </w:tr>
      <w:tr w:rsidR="00000000">
        <w:trPr>
          <w:divId w:val="2036497915"/>
          <w:trHeight w:val="386"/>
        </w:trPr>
        <w:tc>
          <w:tcPr>
            <w:tcW w:w="152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bookmarkStart w:id="61" w:name="m02_02_tab"/>
            <w:r>
              <w:rPr>
                <w:rFonts w:ascii="Times New Roman" w:hAnsi="Times New Roman" w:hint="eastAsia"/>
                <w:b/>
                <w:szCs w:val="21"/>
                <w:shd w:val="clear" w:color="auto" w:fill="FFFFFF"/>
              </w:rPr>
              <w:t>投资范围</w:t>
            </w:r>
            <w:r>
              <w:rPr>
                <w:rFonts w:hint="eastAsia"/>
                <w:szCs w:val="24"/>
                <w:lang w:eastAsia="zh-Hans"/>
              </w:rPr>
              <w:t xml:space="preserve"> </w:t>
            </w:r>
          </w:p>
        </w:tc>
        <w:tc>
          <w:tcPr>
            <w:tcW w:w="699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312" w:lineRule="exact"/>
              <w:jc w:val="left"/>
              <w:rPr>
                <w:rFonts w:hint="eastAsia"/>
              </w:rPr>
            </w:pPr>
            <w:r>
              <w:rPr>
                <w:rFonts w:hint="eastAsia"/>
                <w:szCs w:val="24"/>
                <w:lang w:eastAsia="zh-Hans"/>
              </w:rPr>
              <w:t>本基金的投资范围为具有良好流动性的金融工具，包括国内依法发行或上市的股票（包括主板、创业板及其他经中国证监会核准或注册上市的股票、存托凭证）、内地与香港股票市场交易互联互通机制下允许投资的规定范围内的香港联合交易所上市的股票（以下简称“港股通标的股票”）、债券（包括国债、地方政府债、央行票据、金融债、企业债、公司债、次级债、可转换债券（含分离交易可转债）、可交换债券、短期融资券、超短期融资券、中期票据等）、资产支持证券、债券回购、银行存款、同业存单、货币市场工具、股指期货、国债期货以及法律法规或中国证监会允</w:t>
            </w:r>
            <w:r>
              <w:rPr>
                <w:rFonts w:hint="eastAsia"/>
                <w:szCs w:val="24"/>
                <w:lang w:eastAsia="zh-Hans"/>
              </w:rPr>
              <w:t>许基金投资的其他金融工具</w:t>
            </w:r>
            <w:r>
              <w:rPr>
                <w:rFonts w:hint="eastAsia"/>
                <w:szCs w:val="24"/>
                <w:lang w:eastAsia="zh-Hans"/>
              </w:rPr>
              <w:t>(</w:t>
            </w:r>
            <w:r>
              <w:rPr>
                <w:rFonts w:hint="eastAsia"/>
                <w:szCs w:val="24"/>
                <w:lang w:eastAsia="zh-Hans"/>
              </w:rPr>
              <w:t>但须符合中国证监会相关规定</w:t>
            </w:r>
            <w:r>
              <w:rPr>
                <w:rFonts w:hint="eastAsia"/>
                <w:szCs w:val="24"/>
                <w:lang w:eastAsia="zh-Hans"/>
              </w:rPr>
              <w:t>)</w:t>
            </w:r>
            <w:r>
              <w:rPr>
                <w:rFonts w:hint="eastAsia"/>
                <w:szCs w:val="24"/>
                <w:lang w:eastAsia="zh-Hans"/>
              </w:rPr>
              <w:t>。</w:t>
            </w:r>
            <w:r>
              <w:rPr>
                <w:rFonts w:hint="eastAsia"/>
                <w:szCs w:val="24"/>
                <w:lang w:eastAsia="zh-Hans"/>
              </w:rPr>
              <w:t xml:space="preserve"> </w:t>
            </w:r>
            <w:r>
              <w:rPr>
                <w:rFonts w:hint="eastAsia"/>
                <w:szCs w:val="24"/>
                <w:lang w:eastAsia="zh-Hans"/>
              </w:rPr>
              <w:t>本基金将根据法律法规的规定参与融资业务。</w:t>
            </w:r>
            <w:r>
              <w:rPr>
                <w:rFonts w:hint="eastAsia"/>
                <w:szCs w:val="24"/>
                <w:lang w:eastAsia="zh-Hans"/>
              </w:rPr>
              <w:t xml:space="preserve"> </w:t>
            </w:r>
            <w:r>
              <w:rPr>
                <w:rFonts w:hint="eastAsia"/>
                <w:szCs w:val="24"/>
                <w:lang w:eastAsia="zh-Hans"/>
              </w:rPr>
              <w:t>如法律法规或监管机构以后允许基金投资其他品种，基金管理人在履行适当程序后，可以将其纳入投资范围。</w:t>
            </w:r>
            <w:r>
              <w:rPr>
                <w:rFonts w:hint="eastAsia"/>
                <w:szCs w:val="24"/>
                <w:lang w:eastAsia="zh-Hans"/>
              </w:rPr>
              <w:t xml:space="preserve"> </w:t>
            </w:r>
            <w:r>
              <w:rPr>
                <w:rFonts w:hint="eastAsia"/>
                <w:szCs w:val="24"/>
                <w:lang w:eastAsia="zh-Hans"/>
              </w:rPr>
              <w:t>基金的投资组合比例为：股票资产投资比例为基金资产的</w:t>
            </w:r>
            <w:r>
              <w:rPr>
                <w:rFonts w:hint="eastAsia"/>
                <w:szCs w:val="24"/>
                <w:lang w:eastAsia="zh-Hans"/>
              </w:rPr>
              <w:t>60%-95%</w:t>
            </w:r>
            <w:r>
              <w:rPr>
                <w:rFonts w:hint="eastAsia"/>
                <w:szCs w:val="24"/>
                <w:lang w:eastAsia="zh-Hans"/>
              </w:rPr>
              <w:t>（其中港股通标的股票投资比例不超过股票资产的</w:t>
            </w:r>
            <w:r>
              <w:rPr>
                <w:rFonts w:hint="eastAsia"/>
                <w:szCs w:val="24"/>
                <w:lang w:eastAsia="zh-Hans"/>
              </w:rPr>
              <w:t>50%</w:t>
            </w:r>
            <w:r>
              <w:rPr>
                <w:rFonts w:hint="eastAsia"/>
                <w:szCs w:val="24"/>
                <w:lang w:eastAsia="zh-Hans"/>
              </w:rPr>
              <w:t>）；每个交易日日终，在扣除股指期货、国债期货合约需缴纳的交易保证金后，现金或者到期日在一年以内的政府债券不低于基金资产净值的</w:t>
            </w:r>
            <w:r>
              <w:rPr>
                <w:rFonts w:hint="eastAsia"/>
                <w:szCs w:val="24"/>
                <w:lang w:eastAsia="zh-Hans"/>
              </w:rPr>
              <w:t>5%</w:t>
            </w:r>
            <w:r>
              <w:rPr>
                <w:rFonts w:hint="eastAsia"/>
                <w:szCs w:val="24"/>
                <w:lang w:eastAsia="zh-Hans"/>
              </w:rPr>
              <w:t>，其中现金不包含结算备付金、存出保证金和应收申购款等。股指期货、国债期货</w:t>
            </w:r>
            <w:r>
              <w:rPr>
                <w:rFonts w:hint="eastAsia"/>
                <w:szCs w:val="24"/>
                <w:lang w:eastAsia="zh-Hans"/>
              </w:rPr>
              <w:t>及其他金融工具的投资比例依照法律法规或监管机构的规定执行。</w:t>
            </w:r>
            <w:r>
              <w:rPr>
                <w:rFonts w:hint="eastAsia"/>
                <w:szCs w:val="24"/>
                <w:lang w:eastAsia="zh-Hans"/>
              </w:rPr>
              <w:t xml:space="preserve"> </w:t>
            </w:r>
            <w:r>
              <w:rPr>
                <w:rFonts w:hint="eastAsia"/>
                <w:szCs w:val="24"/>
                <w:lang w:eastAsia="zh-Hans"/>
              </w:rPr>
              <w:t>如果法律法规对该比例要求有变更的，基金管理人在履行适当程序后，本基金的投资比例相应调整</w:t>
            </w:r>
            <w:r>
              <w:rPr>
                <w:rFonts w:hint="eastAsia"/>
                <w:szCs w:val="24"/>
                <w:lang w:eastAsia="zh-Hans"/>
              </w:rPr>
              <w:t>。</w:t>
            </w:r>
          </w:p>
        </w:tc>
      </w:tr>
      <w:tr w:rsidR="00000000">
        <w:trPr>
          <w:divId w:val="2036497915"/>
          <w:trHeight w:val="386"/>
        </w:trPr>
        <w:tc>
          <w:tcPr>
            <w:tcW w:w="152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ascii="Times New Roman" w:hAnsi="Times New Roman" w:hint="eastAsia"/>
                <w:b/>
              </w:rPr>
              <w:t>主要投资策略</w:t>
            </w:r>
            <w:r>
              <w:rPr>
                <w:rFonts w:hint="eastAsia"/>
                <w:szCs w:val="24"/>
                <w:lang w:eastAsia="zh-Hans"/>
              </w:rPr>
              <w:t xml:space="preserve"> </w:t>
            </w:r>
          </w:p>
        </w:tc>
        <w:tc>
          <w:tcPr>
            <w:tcW w:w="699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312" w:lineRule="exact"/>
              <w:jc w:val="left"/>
              <w:rPr>
                <w:rFonts w:hint="eastAsia"/>
              </w:rPr>
            </w:pPr>
            <w:r>
              <w:rPr>
                <w:rFonts w:hint="eastAsia"/>
                <w:szCs w:val="24"/>
                <w:lang w:eastAsia="zh-Hans"/>
              </w:rPr>
              <w:t>1</w:t>
            </w:r>
            <w:r>
              <w:rPr>
                <w:rFonts w:hint="eastAsia"/>
                <w:szCs w:val="24"/>
                <w:lang w:eastAsia="zh-Hans"/>
              </w:rPr>
              <w:t xml:space="preserve">、资产配置策略　　　</w:t>
            </w:r>
            <w:r>
              <w:rPr>
                <w:rFonts w:hint="eastAsia"/>
                <w:szCs w:val="24"/>
                <w:lang w:eastAsia="zh-Hans"/>
              </w:rPr>
              <w:br/>
              <w:t>2</w:t>
            </w:r>
            <w:r>
              <w:rPr>
                <w:rFonts w:hint="eastAsia"/>
                <w:szCs w:val="24"/>
                <w:lang w:eastAsia="zh-Hans"/>
              </w:rPr>
              <w:t xml:space="preserve">、股票投资策略　　　</w:t>
            </w:r>
            <w:r>
              <w:rPr>
                <w:rFonts w:hint="eastAsia"/>
                <w:szCs w:val="24"/>
                <w:lang w:eastAsia="zh-Hans"/>
              </w:rPr>
              <w:br/>
              <w:t>3</w:t>
            </w:r>
            <w:r>
              <w:rPr>
                <w:rFonts w:hint="eastAsia"/>
                <w:szCs w:val="24"/>
                <w:lang w:eastAsia="zh-Hans"/>
              </w:rPr>
              <w:t xml:space="preserve">、存托凭证投资策略　　　</w:t>
            </w:r>
            <w:r>
              <w:rPr>
                <w:rFonts w:hint="eastAsia"/>
                <w:szCs w:val="24"/>
                <w:lang w:eastAsia="zh-Hans"/>
              </w:rPr>
              <w:br/>
              <w:t>4</w:t>
            </w:r>
            <w:r>
              <w:rPr>
                <w:rFonts w:hint="eastAsia"/>
                <w:szCs w:val="24"/>
                <w:lang w:eastAsia="zh-Hans"/>
              </w:rPr>
              <w:t xml:space="preserve">、债券投资策略　　　</w:t>
            </w:r>
            <w:r>
              <w:rPr>
                <w:rFonts w:hint="eastAsia"/>
                <w:szCs w:val="24"/>
                <w:lang w:eastAsia="zh-Hans"/>
              </w:rPr>
              <w:br/>
              <w:t>5</w:t>
            </w:r>
            <w:r>
              <w:rPr>
                <w:rFonts w:hint="eastAsia"/>
                <w:szCs w:val="24"/>
                <w:lang w:eastAsia="zh-Hans"/>
              </w:rPr>
              <w:t xml:space="preserve">、资产支持证券投资策略　　　</w:t>
            </w:r>
            <w:r>
              <w:rPr>
                <w:rFonts w:hint="eastAsia"/>
                <w:szCs w:val="24"/>
                <w:lang w:eastAsia="zh-Hans"/>
              </w:rPr>
              <w:br/>
              <w:t>6</w:t>
            </w:r>
            <w:r>
              <w:rPr>
                <w:rFonts w:hint="eastAsia"/>
                <w:szCs w:val="24"/>
                <w:lang w:eastAsia="zh-Hans"/>
              </w:rPr>
              <w:t xml:space="preserve">、股指期货投资策略　　　</w:t>
            </w:r>
            <w:r>
              <w:rPr>
                <w:rFonts w:hint="eastAsia"/>
                <w:szCs w:val="24"/>
                <w:lang w:eastAsia="zh-Hans"/>
              </w:rPr>
              <w:br/>
              <w:t>7</w:t>
            </w:r>
            <w:r>
              <w:rPr>
                <w:rFonts w:hint="eastAsia"/>
                <w:szCs w:val="24"/>
                <w:lang w:eastAsia="zh-Hans"/>
              </w:rPr>
              <w:t xml:space="preserve">、国债期货投资策略　　　</w:t>
            </w:r>
            <w:r>
              <w:rPr>
                <w:rFonts w:hint="eastAsia"/>
                <w:szCs w:val="24"/>
                <w:lang w:eastAsia="zh-Hans"/>
              </w:rPr>
              <w:br/>
              <w:t>8</w:t>
            </w:r>
            <w:r>
              <w:rPr>
                <w:rFonts w:hint="eastAsia"/>
                <w:szCs w:val="24"/>
                <w:lang w:eastAsia="zh-Hans"/>
              </w:rPr>
              <w:t>、参与融资业务投资策</w:t>
            </w:r>
            <w:r>
              <w:rPr>
                <w:rFonts w:hint="eastAsia"/>
                <w:szCs w:val="24"/>
                <w:lang w:eastAsia="zh-Hans"/>
              </w:rPr>
              <w:t>略</w:t>
            </w:r>
            <w:r>
              <w:rPr>
                <w:rFonts w:hint="eastAsia"/>
                <w:szCs w:val="24"/>
              </w:rPr>
              <w:t xml:space="preserve"> </w:t>
            </w:r>
          </w:p>
        </w:tc>
      </w:tr>
      <w:tr w:rsidR="00000000">
        <w:trPr>
          <w:divId w:val="2036497915"/>
          <w:trHeight w:val="386"/>
        </w:trPr>
        <w:tc>
          <w:tcPr>
            <w:tcW w:w="152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ascii="Times New Roman" w:hAnsi="Times New Roman" w:hint="eastAsia"/>
                <w:b/>
              </w:rPr>
              <w:t>业绩比较基准</w:t>
            </w:r>
            <w:r>
              <w:rPr>
                <w:rFonts w:hint="eastAsia"/>
                <w:szCs w:val="24"/>
                <w:lang w:eastAsia="zh-Hans"/>
              </w:rPr>
              <w:t xml:space="preserve"> </w:t>
            </w:r>
          </w:p>
        </w:tc>
        <w:tc>
          <w:tcPr>
            <w:tcW w:w="699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312" w:lineRule="exact"/>
              <w:jc w:val="left"/>
              <w:rPr>
                <w:rFonts w:hint="eastAsia"/>
              </w:rPr>
            </w:pPr>
            <w:r>
              <w:rPr>
                <w:rFonts w:hint="eastAsia"/>
                <w:szCs w:val="24"/>
                <w:lang w:eastAsia="zh-Hans"/>
              </w:rPr>
              <w:t>中证</w:t>
            </w:r>
            <w:r>
              <w:rPr>
                <w:rFonts w:hint="eastAsia"/>
                <w:szCs w:val="24"/>
                <w:lang w:eastAsia="zh-Hans"/>
              </w:rPr>
              <w:t>A500</w:t>
            </w:r>
            <w:r>
              <w:rPr>
                <w:rFonts w:hint="eastAsia"/>
                <w:szCs w:val="24"/>
                <w:lang w:eastAsia="zh-Hans"/>
              </w:rPr>
              <w:t>指数收益率×</w:t>
            </w:r>
            <w:r>
              <w:rPr>
                <w:rFonts w:hint="eastAsia"/>
                <w:szCs w:val="24"/>
                <w:lang w:eastAsia="zh-Hans"/>
              </w:rPr>
              <w:t>65%+</w:t>
            </w:r>
            <w:r>
              <w:rPr>
                <w:rFonts w:hint="eastAsia"/>
                <w:szCs w:val="24"/>
                <w:lang w:eastAsia="zh-Hans"/>
              </w:rPr>
              <w:t>中证港股通综合指数（人民币）收益率×</w:t>
            </w:r>
            <w:r>
              <w:rPr>
                <w:rFonts w:hint="eastAsia"/>
                <w:szCs w:val="24"/>
                <w:lang w:eastAsia="zh-Hans"/>
              </w:rPr>
              <w:t>15%+</w:t>
            </w:r>
            <w:r>
              <w:rPr>
                <w:rFonts w:hint="eastAsia"/>
                <w:szCs w:val="24"/>
                <w:lang w:eastAsia="zh-Hans"/>
              </w:rPr>
              <w:t>中债总全价</w:t>
            </w:r>
            <w:r>
              <w:rPr>
                <w:rFonts w:hint="eastAsia"/>
                <w:szCs w:val="24"/>
                <w:lang w:eastAsia="zh-Hans"/>
              </w:rPr>
              <w:t>(1-3</w:t>
            </w:r>
            <w:r>
              <w:rPr>
                <w:rFonts w:hint="eastAsia"/>
                <w:szCs w:val="24"/>
                <w:lang w:eastAsia="zh-Hans"/>
              </w:rPr>
              <w:t>年</w:t>
            </w:r>
            <w:r>
              <w:rPr>
                <w:rFonts w:hint="eastAsia"/>
                <w:szCs w:val="24"/>
                <w:lang w:eastAsia="zh-Hans"/>
              </w:rPr>
              <w:t>)</w:t>
            </w:r>
            <w:r>
              <w:rPr>
                <w:rFonts w:hint="eastAsia"/>
                <w:szCs w:val="24"/>
                <w:lang w:eastAsia="zh-Hans"/>
              </w:rPr>
              <w:t>指数收益率×</w:t>
            </w:r>
            <w:r>
              <w:rPr>
                <w:rFonts w:hint="eastAsia"/>
                <w:szCs w:val="24"/>
                <w:lang w:eastAsia="zh-Hans"/>
              </w:rPr>
              <w:t>20</w:t>
            </w:r>
            <w:r>
              <w:rPr>
                <w:rFonts w:hint="eastAsia"/>
                <w:szCs w:val="24"/>
                <w:lang w:eastAsia="zh-Hans"/>
              </w:rPr>
              <w:t>%</w:t>
            </w:r>
          </w:p>
        </w:tc>
      </w:tr>
      <w:tr w:rsidR="00000000">
        <w:trPr>
          <w:divId w:val="2036497915"/>
          <w:trHeight w:val="386"/>
        </w:trPr>
        <w:tc>
          <w:tcPr>
            <w:tcW w:w="1526" w:type="dxa"/>
            <w:tcBorders>
              <w:top w:val="nil"/>
              <w:left w:val="nil"/>
              <w:bottom w:val="single"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b/>
                <w:szCs w:val="24"/>
                <w:lang w:eastAsia="zh-Hans"/>
              </w:rPr>
              <w:t>风险收益特征</w:t>
            </w:r>
            <w:r>
              <w:rPr>
                <w:rFonts w:hint="eastAsia"/>
                <w:szCs w:val="24"/>
                <w:lang w:eastAsia="zh-Hans"/>
              </w:rPr>
              <w:t xml:space="preserve"> </w:t>
            </w:r>
          </w:p>
        </w:tc>
        <w:tc>
          <w:tcPr>
            <w:tcW w:w="6996" w:type="dxa"/>
            <w:tcBorders>
              <w:top w:val="nil"/>
              <w:left w:val="nil"/>
              <w:bottom w:val="single" w:sz="4" w:space="0" w:color="auto"/>
              <w:right w:val="nil"/>
            </w:tcBorders>
            <w:tcMar>
              <w:top w:w="0" w:type="dxa"/>
              <w:left w:w="108" w:type="dxa"/>
              <w:bottom w:w="0" w:type="dxa"/>
              <w:right w:w="108" w:type="dxa"/>
            </w:tcMar>
            <w:vAlign w:val="center"/>
            <w:hideMark/>
          </w:tcPr>
          <w:p w:rsidR="00000000" w:rsidRDefault="00050CC0">
            <w:pPr>
              <w:spacing w:line="312" w:lineRule="exact"/>
              <w:jc w:val="left"/>
              <w:rPr>
                <w:rFonts w:hint="eastAsia"/>
              </w:rPr>
            </w:pPr>
            <w:r>
              <w:rPr>
                <w:rFonts w:hint="eastAsia"/>
                <w:szCs w:val="24"/>
                <w:lang w:eastAsia="zh-Hans"/>
              </w:rPr>
              <w:t>本基金为混合型基金，其预期收益及预期风险水平高于债券型基金和货币市场基金，但低于股票型基金。</w:t>
            </w:r>
            <w:r>
              <w:rPr>
                <w:rFonts w:hint="eastAsia"/>
                <w:szCs w:val="24"/>
                <w:lang w:eastAsia="zh-Hans"/>
              </w:rPr>
              <w:br/>
            </w:r>
            <w:r>
              <w:rPr>
                <w:rFonts w:hint="eastAsia"/>
                <w:szCs w:val="24"/>
                <w:lang w:eastAsia="zh-Hans"/>
              </w:rPr>
              <w:t>本基金若投资港股通标的股票，需承担港股通机制下因投资环境、投资标的、市场制度以及交易规则等差异带来的特有风险</w:t>
            </w:r>
            <w:r>
              <w:rPr>
                <w:rFonts w:hint="eastAsia"/>
                <w:szCs w:val="24"/>
                <w:lang w:eastAsia="zh-Hans"/>
              </w:rPr>
              <w:t>。</w:t>
            </w:r>
          </w:p>
        </w:tc>
      </w:tr>
    </w:tbl>
    <w:p w:rsidR="00000000" w:rsidRDefault="00050CC0">
      <w:pPr>
        <w:pStyle w:val="XBRLTitle2"/>
        <w:spacing w:before="156" w:line="312" w:lineRule="exact"/>
        <w:rPr>
          <w:rFonts w:hint="eastAsia"/>
        </w:rPr>
      </w:pPr>
      <w:bookmarkStart w:id="62" w:name="_Toc37433214"/>
      <w:bookmarkStart w:id="63" w:name="_Toc512519484"/>
      <w:bookmarkStart w:id="64" w:name="_Toc481075051"/>
      <w:bookmarkStart w:id="65" w:name="_Toc438646457"/>
      <w:bookmarkStart w:id="66" w:name="_Toc490050005"/>
      <w:bookmarkStart w:id="67" w:name="_Toc513465658"/>
      <w:r>
        <w:rPr>
          <w:rFonts w:hAnsi="宋体" w:hint="eastAsia"/>
          <w:sz w:val="21"/>
        </w:rPr>
        <w:t>投资组合资产配置图表</w:t>
      </w:r>
      <w:r>
        <w:rPr>
          <w:rFonts w:hAnsi="宋体" w:hint="eastAsia"/>
          <w:sz w:val="21"/>
        </w:rPr>
        <w:t>/</w:t>
      </w:r>
      <w:r>
        <w:rPr>
          <w:rFonts w:hAnsi="宋体" w:hint="eastAsia"/>
          <w:sz w:val="21"/>
        </w:rPr>
        <w:t>区域配置图</w:t>
      </w:r>
      <w:r>
        <w:rPr>
          <w:rFonts w:hAnsi="宋体" w:hint="eastAsia"/>
          <w:sz w:val="21"/>
        </w:rPr>
        <w:t>表</w:t>
      </w:r>
      <w:bookmarkEnd w:id="62"/>
      <w:r>
        <w:rPr>
          <w:rFonts w:hAnsi="宋体" w:hint="eastAsia"/>
          <w:sz w:val="21"/>
        </w:rPr>
        <w:t xml:space="preserve"> </w:t>
      </w:r>
    </w:p>
    <w:p w:rsidR="00000000" w:rsidRDefault="00050CC0">
      <w:pPr>
        <w:spacing w:line="360" w:lineRule="auto"/>
        <w:jc w:val="left"/>
        <w:divId w:val="617180813"/>
        <w:rPr>
          <w:rFonts w:hint="eastAsia"/>
          <w:vanish/>
        </w:rPr>
      </w:pPr>
      <w:r>
        <w:rPr>
          <w:rFonts w:hint="eastAsia"/>
          <w:vanish/>
        </w:rPr>
        <w:t>投资组合资产配置图表</w:t>
      </w:r>
      <w:r>
        <w:rPr>
          <w:rFonts w:hint="eastAsia"/>
          <w:vanish/>
        </w:rPr>
        <w:t xml:space="preserve"> </w:t>
      </w:r>
    </w:p>
    <w:p w:rsidR="00000000" w:rsidRDefault="00050CC0">
      <w:pPr>
        <w:spacing w:line="360" w:lineRule="auto"/>
        <w:jc w:val="left"/>
        <w:divId w:val="1308121497"/>
        <w:rPr>
          <w:rFonts w:hint="eastAsia"/>
          <w:vanish/>
        </w:rPr>
      </w:pPr>
      <w:r>
        <w:rPr>
          <w:rFonts w:hint="eastAsia"/>
          <w:vanish/>
        </w:rPr>
        <w:t>区域配置图表</w:t>
      </w:r>
      <w:r>
        <w:rPr>
          <w:rFonts w:hint="eastAsia"/>
          <w:vanish/>
        </w:rPr>
        <w:t xml:space="preserve"> </w:t>
      </w:r>
    </w:p>
    <w:p w:rsidR="00000000" w:rsidRDefault="00050CC0">
      <w:pPr>
        <w:pStyle w:val="XBRLTitle2"/>
        <w:spacing w:before="156" w:line="312" w:lineRule="exact"/>
        <w:rPr>
          <w:rFonts w:hint="eastAsia"/>
        </w:rPr>
      </w:pPr>
      <w:bookmarkStart w:id="68" w:name="_Toc37433215"/>
      <w:bookmarkStart w:id="69" w:name="m502"/>
      <w:bookmarkStart w:id="70" w:name="_Toc438646470"/>
      <w:bookmarkStart w:id="71" w:name="m504"/>
      <w:bookmarkStart w:id="72" w:name="_Toc34758531"/>
      <w:bookmarkStart w:id="73" w:name="_Toc513295913"/>
      <w:bookmarkStart w:id="74" w:name="_Toc513295861"/>
      <w:bookmarkStart w:id="75" w:name="_Toc512519501"/>
      <w:bookmarkStart w:id="76" w:name="_Toc490050022"/>
      <w:bookmarkStart w:id="77" w:name="_Toc481075069"/>
      <w:bookmarkStart w:id="78" w:name="_Toc17897952"/>
      <w:bookmarkStart w:id="79" w:name="_Toc17898200"/>
      <w:bookmarkStart w:id="80" w:name="_Toc34841040"/>
      <w:bookmarkStart w:id="81" w:name="m03_03"/>
      <w:bookmarkStart w:id="82" w:name="_Toc454983260"/>
      <w:bookmarkStart w:id="83" w:name="_Toc452398732"/>
      <w:bookmarkStart w:id="84" w:name="_Toc453852604"/>
      <w:bookmarkStart w:id="85" w:name="_Toc485300223"/>
      <w:bookmarkStart w:id="86" w:name="_Toc244948694"/>
      <w:bookmarkStart w:id="87" w:name="_Toc245003735"/>
      <w:bookmarkStart w:id="88" w:name="_Toc247616208"/>
      <w:bookmarkStart w:id="89" w:name="_Toc433036679"/>
      <w:bookmarkStart w:id="90" w:name="_Toc506208214"/>
      <w:bookmarkStart w:id="91" w:name="_Toc497398101"/>
      <w:bookmarkStart w:id="92" w:name="_Toc17897941"/>
      <w:bookmarkStart w:id="93" w:name="_Toc17898185"/>
      <w:bookmarkStart w:id="94" w:name="_Toc512519486"/>
      <w:bookmarkStart w:id="95" w:name="_Toc481075053"/>
      <w:bookmarkStart w:id="96" w:name="_Toc490050007"/>
      <w:bookmarkStart w:id="97" w:name="_Toc512519485"/>
      <w:bookmarkStart w:id="98" w:name="_Toc481075052"/>
      <w:bookmarkStart w:id="99" w:name="_Toc490050006"/>
      <w:bookmarkStart w:id="100" w:name="m501"/>
      <w:r>
        <w:rPr>
          <w:rFonts w:hAnsi="宋体" w:hint="eastAsia"/>
          <w:sz w:val="21"/>
        </w:rPr>
        <w:t>自基金合同生效以来基金每年的净值增长</w:t>
      </w:r>
      <w:r>
        <w:rPr>
          <w:rFonts w:hAnsi="宋体" w:hint="eastAsia"/>
          <w:sz w:val="21"/>
        </w:rPr>
        <w:t>率</w:t>
      </w:r>
      <w:r>
        <w:rPr>
          <w:rFonts w:hAnsi="宋体" w:hint="eastAsia"/>
          <w:sz w:val="21"/>
        </w:rPr>
        <w:t>及与同期业绩比较基准的比较</w:t>
      </w:r>
      <w:r>
        <w:rPr>
          <w:rFonts w:hAnsi="宋体" w:hint="eastAsia"/>
          <w:sz w:val="21"/>
        </w:rPr>
        <w:t>图</w:t>
      </w:r>
      <w:bookmarkEnd w:id="68"/>
      <w:bookmarkEnd w:id="69"/>
      <w:bookmarkEnd w:id="70"/>
      <w:bookmarkEnd w:id="71"/>
      <w:bookmarkEnd w:id="72"/>
      <w:bookmarkEnd w:id="73"/>
      <w:bookmarkEnd w:id="74"/>
      <w:bookmarkEnd w:id="75"/>
      <w:bookmarkEnd w:id="76"/>
      <w:bookmarkEnd w:id="77"/>
      <w:bookmarkEnd w:id="78"/>
      <w:bookmarkEnd w:id="79"/>
      <w:bookmarkEnd w:id="80"/>
      <w:r>
        <w:rPr>
          <w:rFonts w:hAnsi="宋体" w:hint="eastAsia"/>
          <w:sz w:val="21"/>
        </w:rPr>
        <w:t xml:space="preserve"> </w:t>
      </w:r>
    </w:p>
    <w:p w:rsidR="00000000" w:rsidRDefault="00050CC0">
      <w:pPr>
        <w:pStyle w:val="XBRLTitle1"/>
        <w:spacing w:before="156" w:line="312" w:lineRule="exact"/>
        <w:rPr>
          <w:rFonts w:hint="eastAsia"/>
        </w:rPr>
      </w:pPr>
      <w:bookmarkStart w:id="101" w:name="_Toc374332121"/>
      <w:r>
        <w:rPr>
          <w:rFonts w:hAnsi="宋体" w:hint="eastAsia"/>
        </w:rPr>
        <w:t>投资本基金涉及的费</w:t>
      </w:r>
      <w:r>
        <w:rPr>
          <w:rFonts w:hAnsi="宋体" w:hint="eastAsia"/>
        </w:rPr>
        <w:t>用</w:t>
      </w:r>
      <w:bookmarkEnd w:id="101"/>
      <w:r>
        <w:rPr>
          <w:rFonts w:hAnsi="宋体" w:hint="eastAsia"/>
        </w:rPr>
        <w:t xml:space="preserve"> </w:t>
      </w:r>
    </w:p>
    <w:p w:rsidR="00000000" w:rsidRDefault="00050CC0">
      <w:pPr>
        <w:pStyle w:val="XBRLTitle2"/>
        <w:spacing w:before="156" w:line="312" w:lineRule="exact"/>
        <w:rPr>
          <w:rFonts w:hint="eastAsia"/>
        </w:rPr>
      </w:pPr>
      <w:bookmarkStart w:id="102" w:name="_Toc374332131"/>
      <w:r>
        <w:rPr>
          <w:rFonts w:hAnsi="宋体" w:hint="eastAsia"/>
          <w:sz w:val="21"/>
        </w:rPr>
        <w:t>基金销售相关费</w:t>
      </w:r>
      <w:r>
        <w:rPr>
          <w:rFonts w:hAnsi="宋体" w:hint="eastAsia"/>
          <w:sz w:val="21"/>
        </w:rPr>
        <w:t>用</w:t>
      </w:r>
      <w:bookmarkEnd w:id="102"/>
      <w:r>
        <w:rPr>
          <w:rFonts w:hAnsi="宋体" w:hint="eastAsia"/>
          <w:sz w:val="21"/>
        </w:rPr>
        <w:t xml:space="preserve"> </w:t>
      </w:r>
    </w:p>
    <w:p w:rsidR="00000000" w:rsidRDefault="00050CC0">
      <w:pPr>
        <w:spacing w:line="312" w:lineRule="exact"/>
        <w:divId w:val="688333864"/>
        <w:rPr>
          <w:rFonts w:hint="eastAsia"/>
        </w:rPr>
      </w:pPr>
      <w:r>
        <w:rPr>
          <w:rFonts w:hint="eastAsia"/>
          <w:szCs w:val="21"/>
        </w:rPr>
        <w:t>以下费用在认购</w:t>
      </w:r>
      <w:r>
        <w:rPr>
          <w:rFonts w:hint="eastAsia"/>
          <w:szCs w:val="21"/>
        </w:rPr>
        <w:t>/</w:t>
      </w:r>
      <w:r>
        <w:rPr>
          <w:rFonts w:hint="eastAsia"/>
          <w:szCs w:val="21"/>
        </w:rPr>
        <w:t>申购</w:t>
      </w:r>
      <w:r>
        <w:rPr>
          <w:rFonts w:hint="eastAsia"/>
          <w:szCs w:val="21"/>
        </w:rPr>
        <w:t>/</w:t>
      </w:r>
      <w:r>
        <w:rPr>
          <w:rFonts w:hint="eastAsia"/>
          <w:szCs w:val="21"/>
        </w:rPr>
        <w:t>赎回基金过程中收取：</w:t>
      </w:r>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186"/>
        <w:gridCol w:w="5771"/>
        <w:gridCol w:w="3457"/>
        <w:gridCol w:w="850"/>
      </w:tblGrid>
      <w:tr w:rsidR="00000000">
        <w:trPr>
          <w:divId w:val="688333864"/>
        </w:trPr>
        <w:tc>
          <w:tcPr>
            <w:tcW w:w="1186" w:type="dxa"/>
            <w:tcBorders>
              <w:top w:val="single" w:sz="4" w:space="0" w:color="auto"/>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b/>
                <w:bCs/>
                <w:szCs w:val="21"/>
              </w:rPr>
              <w:t>费用类型</w:t>
            </w:r>
            <w:r>
              <w:rPr>
                <w:rFonts w:hint="eastAsia"/>
                <w:b/>
                <w:bCs/>
                <w:szCs w:val="21"/>
              </w:rPr>
              <w:t xml:space="preserve"> </w:t>
            </w:r>
          </w:p>
        </w:tc>
        <w:tc>
          <w:tcPr>
            <w:tcW w:w="2891" w:type="dxa"/>
            <w:tcBorders>
              <w:top w:val="single" w:sz="4" w:space="0" w:color="auto"/>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b/>
                <w:bCs/>
                <w:szCs w:val="21"/>
              </w:rPr>
              <w:t>份额（</w:t>
            </w:r>
            <w:r>
              <w:rPr>
                <w:rFonts w:hint="eastAsia"/>
                <w:b/>
                <w:bCs/>
                <w:szCs w:val="21"/>
              </w:rPr>
              <w:t>S</w:t>
            </w:r>
            <w:r>
              <w:rPr>
                <w:rFonts w:hint="eastAsia"/>
                <w:b/>
                <w:bCs/>
                <w:szCs w:val="21"/>
              </w:rPr>
              <w:t>）或金额（</w:t>
            </w:r>
            <w:r>
              <w:rPr>
                <w:rFonts w:hint="eastAsia"/>
                <w:b/>
                <w:bCs/>
                <w:szCs w:val="21"/>
              </w:rPr>
              <w:t>M</w:t>
            </w:r>
            <w:r>
              <w:rPr>
                <w:rFonts w:hint="eastAsia"/>
                <w:b/>
                <w:bCs/>
                <w:szCs w:val="21"/>
              </w:rPr>
              <w:t>）</w:t>
            </w:r>
            <w:r>
              <w:rPr>
                <w:rFonts w:hint="eastAsia"/>
                <w:b/>
                <w:bCs/>
                <w:szCs w:val="21"/>
              </w:rPr>
              <w:t xml:space="preserve"> </w:t>
            </w:r>
          </w:p>
          <w:p w:rsidR="00000000" w:rsidRDefault="00050CC0">
            <w:pPr>
              <w:spacing w:line="280" w:lineRule="exact"/>
              <w:jc w:val="center"/>
              <w:rPr>
                <w:rFonts w:hint="eastAsia"/>
              </w:rPr>
            </w:pPr>
            <w:r>
              <w:rPr>
                <w:rFonts w:hint="eastAsia"/>
                <w:b/>
                <w:bCs/>
                <w:szCs w:val="21"/>
              </w:rPr>
              <w:t>/</w:t>
            </w:r>
            <w:r>
              <w:rPr>
                <w:rFonts w:hint="eastAsia"/>
                <w:b/>
                <w:bCs/>
                <w:szCs w:val="21"/>
              </w:rPr>
              <w:t>持有期限（</w:t>
            </w:r>
            <w:r>
              <w:rPr>
                <w:rFonts w:hint="eastAsia"/>
                <w:b/>
                <w:bCs/>
                <w:szCs w:val="21"/>
              </w:rPr>
              <w:t>N</w:t>
            </w:r>
            <w:r>
              <w:rPr>
                <w:rFonts w:hint="eastAsia"/>
                <w:b/>
                <w:bCs/>
                <w:szCs w:val="21"/>
              </w:rPr>
              <w:t>）</w:t>
            </w:r>
            <w:r>
              <w:rPr>
                <w:rFonts w:hint="eastAsia"/>
                <w:b/>
                <w:bCs/>
                <w:szCs w:val="21"/>
              </w:rPr>
              <w:t xml:space="preserve"> </w:t>
            </w:r>
          </w:p>
        </w:tc>
        <w:tc>
          <w:tcPr>
            <w:tcW w:w="2977" w:type="dxa"/>
            <w:gridSpan w:val="2"/>
            <w:tcBorders>
              <w:top w:val="single" w:sz="4" w:space="0" w:color="auto"/>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b/>
                <w:bCs/>
                <w:szCs w:val="21"/>
              </w:rPr>
              <w:t>收费方式</w:t>
            </w:r>
            <w:r>
              <w:rPr>
                <w:rFonts w:hint="eastAsia"/>
                <w:b/>
                <w:bCs/>
                <w:szCs w:val="21"/>
              </w:rPr>
              <w:t>/</w:t>
            </w:r>
            <w:r>
              <w:rPr>
                <w:rFonts w:hint="eastAsia"/>
                <w:b/>
                <w:bCs/>
                <w:szCs w:val="21"/>
              </w:rPr>
              <w:t>费率</w:t>
            </w:r>
            <w:r>
              <w:rPr>
                <w:rFonts w:hint="eastAsia"/>
                <w:b/>
                <w:bCs/>
                <w:szCs w:val="21"/>
              </w:rPr>
              <w:t xml:space="preserve"> </w:t>
            </w:r>
          </w:p>
        </w:tc>
      </w:tr>
      <w:tr w:rsidR="00000000">
        <w:trPr>
          <w:divId w:val="688333864"/>
          <w:trHeight w:val="243"/>
        </w:trPr>
        <w:tc>
          <w:tcPr>
            <w:tcW w:w="1186" w:type="dxa"/>
            <w:vMerge w:val="restart"/>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b/>
                <w:bCs/>
                <w:szCs w:val="21"/>
              </w:rPr>
              <w:t>认购费</w:t>
            </w:r>
            <w:r>
              <w:rPr>
                <w:rFonts w:hint="eastAsia"/>
                <w:b/>
                <w:bCs/>
                <w:szCs w:val="21"/>
              </w:rPr>
              <w:t xml:space="preserve"> </w:t>
            </w:r>
          </w:p>
        </w:tc>
        <w:tc>
          <w:tcPr>
            <w:tcW w:w="765"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M</w:t>
            </w:r>
            <w:r>
              <w:rPr>
                <w:rFonts w:hint="eastAsia"/>
                <w:kern w:val="0"/>
                <w:szCs w:val="21"/>
              </w:rPr>
              <w:t>＜</w:t>
            </w:r>
            <w:r>
              <w:rPr>
                <w:rFonts w:hint="eastAsia"/>
                <w:kern w:val="0"/>
                <w:szCs w:val="21"/>
              </w:rPr>
              <w:t>300</w:t>
            </w:r>
            <w:r>
              <w:rPr>
                <w:rFonts w:hint="eastAsia"/>
                <w:kern w:val="0"/>
                <w:szCs w:val="21"/>
              </w:rPr>
              <w:t>万</w:t>
            </w:r>
            <w:r>
              <w:rPr>
                <w:rFonts w:hint="eastAsia"/>
                <w:kern w:val="0"/>
                <w:szCs w:val="21"/>
              </w:rPr>
              <w:t>元</w:t>
            </w:r>
            <w:r>
              <w:rPr>
                <w:rFonts w:hint="eastAsia"/>
                <w:szCs w:val="21"/>
              </w:rPr>
              <w:t xml:space="preserve"> </w:t>
            </w:r>
          </w:p>
        </w:tc>
        <w:tc>
          <w:tcPr>
            <w:tcW w:w="156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0.80</w:t>
            </w:r>
            <w:r>
              <w:rPr>
                <w:rFonts w:hint="eastAsia"/>
                <w:kern w:val="0"/>
                <w:szCs w:val="21"/>
              </w:rPr>
              <w:t>%</w:t>
            </w:r>
            <w:r>
              <w:rPr>
                <w:rFonts w:hint="eastAsia"/>
                <w:szCs w:val="21"/>
              </w:rPr>
              <w:t xml:space="preserve"> </w:t>
            </w:r>
          </w:p>
        </w:tc>
        <w:tc>
          <w:tcPr>
            <w:tcW w:w="85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w:t>
            </w:r>
            <w:r>
              <w:rPr>
                <w:rFonts w:hint="eastAsia"/>
                <w:szCs w:val="21"/>
              </w:rPr>
              <w:t xml:space="preserve"> </w:t>
            </w:r>
          </w:p>
        </w:tc>
      </w:tr>
      <w:tr w:rsidR="00000000">
        <w:trPr>
          <w:divId w:val="688333864"/>
          <w:trHeight w:val="243"/>
        </w:trPr>
        <w:tc>
          <w:tcPr>
            <w:tcW w:w="0" w:type="auto"/>
            <w:vMerge/>
            <w:tcBorders>
              <w:top w:val="nil"/>
              <w:left w:val="nil"/>
              <w:bottom w:val="dotted" w:sz="4" w:space="0" w:color="auto"/>
              <w:right w:val="nil"/>
            </w:tcBorders>
            <w:vAlign w:val="center"/>
            <w:hideMark/>
          </w:tcPr>
          <w:p w:rsidR="00000000" w:rsidRDefault="00050CC0">
            <w:pPr>
              <w:widowControl/>
              <w:jc w:val="left"/>
            </w:pPr>
          </w:p>
        </w:tc>
        <w:tc>
          <w:tcPr>
            <w:tcW w:w="765"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300</w:t>
            </w:r>
            <w:r>
              <w:rPr>
                <w:rFonts w:hint="eastAsia"/>
                <w:kern w:val="0"/>
                <w:szCs w:val="21"/>
              </w:rPr>
              <w:t>万元≤</w:t>
            </w:r>
            <w:r>
              <w:rPr>
                <w:rFonts w:hint="eastAsia"/>
                <w:kern w:val="0"/>
                <w:szCs w:val="21"/>
              </w:rPr>
              <w:t>M</w:t>
            </w:r>
            <w:r>
              <w:rPr>
                <w:rFonts w:hint="eastAsia"/>
                <w:kern w:val="0"/>
                <w:szCs w:val="21"/>
              </w:rPr>
              <w:t>＜</w:t>
            </w:r>
            <w:r>
              <w:rPr>
                <w:rFonts w:hint="eastAsia"/>
                <w:kern w:val="0"/>
                <w:szCs w:val="21"/>
              </w:rPr>
              <w:t>500</w:t>
            </w:r>
            <w:r>
              <w:rPr>
                <w:rFonts w:hint="eastAsia"/>
                <w:kern w:val="0"/>
                <w:szCs w:val="21"/>
              </w:rPr>
              <w:t>万</w:t>
            </w:r>
            <w:r>
              <w:rPr>
                <w:rFonts w:hint="eastAsia"/>
                <w:kern w:val="0"/>
                <w:szCs w:val="21"/>
              </w:rPr>
              <w:t>元</w:t>
            </w:r>
            <w:r>
              <w:rPr>
                <w:rFonts w:hint="eastAsia"/>
                <w:szCs w:val="21"/>
              </w:rPr>
              <w:t xml:space="preserve"> </w:t>
            </w:r>
          </w:p>
        </w:tc>
        <w:tc>
          <w:tcPr>
            <w:tcW w:w="156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0.60</w:t>
            </w:r>
            <w:r>
              <w:rPr>
                <w:rFonts w:hint="eastAsia"/>
                <w:kern w:val="0"/>
                <w:szCs w:val="21"/>
              </w:rPr>
              <w:t>%</w:t>
            </w:r>
            <w:r>
              <w:rPr>
                <w:rFonts w:hint="eastAsia"/>
                <w:szCs w:val="21"/>
              </w:rPr>
              <w:t xml:space="preserve"> </w:t>
            </w:r>
          </w:p>
        </w:tc>
        <w:tc>
          <w:tcPr>
            <w:tcW w:w="85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w:t>
            </w:r>
            <w:r>
              <w:rPr>
                <w:rFonts w:hint="eastAsia"/>
                <w:szCs w:val="21"/>
              </w:rPr>
              <w:t xml:space="preserve"> </w:t>
            </w:r>
          </w:p>
        </w:tc>
      </w:tr>
      <w:tr w:rsidR="00000000">
        <w:trPr>
          <w:divId w:val="688333864"/>
          <w:trHeight w:val="243"/>
        </w:trPr>
        <w:tc>
          <w:tcPr>
            <w:tcW w:w="0" w:type="auto"/>
            <w:vMerge/>
            <w:tcBorders>
              <w:top w:val="nil"/>
              <w:left w:val="nil"/>
              <w:bottom w:val="dotted" w:sz="4" w:space="0" w:color="auto"/>
              <w:right w:val="nil"/>
            </w:tcBorders>
            <w:vAlign w:val="center"/>
            <w:hideMark/>
          </w:tcPr>
          <w:p w:rsidR="00000000" w:rsidRDefault="00050CC0">
            <w:pPr>
              <w:widowControl/>
              <w:jc w:val="left"/>
            </w:pPr>
          </w:p>
        </w:tc>
        <w:tc>
          <w:tcPr>
            <w:tcW w:w="765"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M</w:t>
            </w:r>
            <w:r>
              <w:rPr>
                <w:rFonts w:hint="eastAsia"/>
                <w:kern w:val="0"/>
                <w:szCs w:val="21"/>
              </w:rPr>
              <w:t>≥</w:t>
            </w:r>
            <w:r>
              <w:rPr>
                <w:rFonts w:hint="eastAsia"/>
                <w:kern w:val="0"/>
                <w:szCs w:val="21"/>
              </w:rPr>
              <w:t>500</w:t>
            </w:r>
            <w:r>
              <w:rPr>
                <w:rFonts w:hint="eastAsia"/>
                <w:kern w:val="0"/>
                <w:szCs w:val="21"/>
              </w:rPr>
              <w:t>万</w:t>
            </w:r>
            <w:r>
              <w:rPr>
                <w:rFonts w:hint="eastAsia"/>
                <w:kern w:val="0"/>
                <w:szCs w:val="21"/>
              </w:rPr>
              <w:t>元</w:t>
            </w:r>
            <w:r>
              <w:rPr>
                <w:rFonts w:hint="eastAsia"/>
                <w:szCs w:val="21"/>
              </w:rPr>
              <w:t xml:space="preserve"> </w:t>
            </w:r>
          </w:p>
        </w:tc>
        <w:tc>
          <w:tcPr>
            <w:tcW w:w="156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w:t>
            </w:r>
            <w:r>
              <w:rPr>
                <w:rFonts w:hint="eastAsia"/>
                <w:szCs w:val="21"/>
              </w:rPr>
              <w:t xml:space="preserve"> </w:t>
            </w:r>
          </w:p>
        </w:tc>
        <w:tc>
          <w:tcPr>
            <w:tcW w:w="85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每笔</w:t>
            </w:r>
            <w:r>
              <w:rPr>
                <w:rFonts w:hint="eastAsia"/>
                <w:kern w:val="0"/>
                <w:szCs w:val="21"/>
              </w:rPr>
              <w:t>1000</w:t>
            </w:r>
            <w:r>
              <w:rPr>
                <w:rFonts w:hint="eastAsia"/>
                <w:kern w:val="0"/>
                <w:szCs w:val="21"/>
              </w:rPr>
              <w:t>元</w:t>
            </w:r>
            <w:r>
              <w:rPr>
                <w:rFonts w:hint="eastAsia"/>
                <w:szCs w:val="21"/>
              </w:rPr>
              <w:t xml:space="preserve"> </w:t>
            </w:r>
          </w:p>
        </w:tc>
      </w:tr>
      <w:tr w:rsidR="00000000">
        <w:trPr>
          <w:divId w:val="688333864"/>
          <w:trHeight w:val="243"/>
        </w:trPr>
        <w:tc>
          <w:tcPr>
            <w:tcW w:w="1186" w:type="dxa"/>
            <w:vMerge w:val="restart"/>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b/>
                <w:bCs/>
                <w:szCs w:val="21"/>
              </w:rPr>
              <w:t>申购费</w:t>
            </w:r>
            <w:r>
              <w:rPr>
                <w:rFonts w:hint="eastAsia"/>
                <w:b/>
                <w:bCs/>
                <w:szCs w:val="21"/>
              </w:rPr>
              <w:t xml:space="preserve"> </w:t>
            </w:r>
          </w:p>
          <w:p w:rsidR="00000000" w:rsidRDefault="00050CC0">
            <w:pPr>
              <w:spacing w:line="280" w:lineRule="exact"/>
              <w:jc w:val="center"/>
              <w:rPr>
                <w:rFonts w:hint="eastAsia"/>
              </w:rPr>
            </w:pPr>
            <w:r>
              <w:rPr>
                <w:rFonts w:hint="eastAsia"/>
                <w:b/>
                <w:bCs/>
                <w:szCs w:val="21"/>
              </w:rPr>
              <w:t>（前收费）</w:t>
            </w:r>
            <w:r>
              <w:rPr>
                <w:rFonts w:hint="eastAsia"/>
                <w:b/>
                <w:bCs/>
                <w:szCs w:val="21"/>
              </w:rPr>
              <w:t xml:space="preserve"> </w:t>
            </w:r>
          </w:p>
        </w:tc>
        <w:tc>
          <w:tcPr>
            <w:tcW w:w="765"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M</w:t>
            </w:r>
            <w:r>
              <w:rPr>
                <w:rFonts w:hint="eastAsia"/>
                <w:kern w:val="0"/>
                <w:szCs w:val="21"/>
              </w:rPr>
              <w:t>＜</w:t>
            </w:r>
            <w:r>
              <w:rPr>
                <w:rFonts w:hint="eastAsia"/>
                <w:kern w:val="0"/>
                <w:szCs w:val="21"/>
              </w:rPr>
              <w:t>300</w:t>
            </w:r>
            <w:r>
              <w:rPr>
                <w:rFonts w:hint="eastAsia"/>
                <w:kern w:val="0"/>
                <w:szCs w:val="21"/>
              </w:rPr>
              <w:t>万</w:t>
            </w:r>
            <w:r>
              <w:rPr>
                <w:rFonts w:hint="eastAsia"/>
                <w:kern w:val="0"/>
                <w:szCs w:val="21"/>
              </w:rPr>
              <w:t>元</w:t>
            </w:r>
            <w:r>
              <w:rPr>
                <w:rFonts w:hint="eastAsia"/>
                <w:szCs w:val="21"/>
              </w:rPr>
              <w:t xml:space="preserve"> </w:t>
            </w:r>
          </w:p>
        </w:tc>
        <w:tc>
          <w:tcPr>
            <w:tcW w:w="156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0.80</w:t>
            </w:r>
            <w:r>
              <w:rPr>
                <w:rFonts w:hint="eastAsia"/>
                <w:kern w:val="0"/>
                <w:szCs w:val="21"/>
              </w:rPr>
              <w:t>%</w:t>
            </w:r>
            <w:r>
              <w:rPr>
                <w:rFonts w:hint="eastAsia"/>
                <w:szCs w:val="21"/>
              </w:rPr>
              <w:t xml:space="preserve"> </w:t>
            </w:r>
          </w:p>
        </w:tc>
        <w:tc>
          <w:tcPr>
            <w:tcW w:w="85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w:t>
            </w:r>
            <w:r>
              <w:rPr>
                <w:rFonts w:hint="eastAsia"/>
                <w:szCs w:val="21"/>
              </w:rPr>
              <w:t xml:space="preserve"> </w:t>
            </w:r>
          </w:p>
        </w:tc>
      </w:tr>
      <w:tr w:rsidR="00000000">
        <w:trPr>
          <w:divId w:val="688333864"/>
          <w:trHeight w:val="243"/>
        </w:trPr>
        <w:tc>
          <w:tcPr>
            <w:tcW w:w="0" w:type="auto"/>
            <w:vMerge/>
            <w:tcBorders>
              <w:top w:val="nil"/>
              <w:left w:val="nil"/>
              <w:bottom w:val="dotted" w:sz="4" w:space="0" w:color="auto"/>
              <w:right w:val="nil"/>
            </w:tcBorders>
            <w:vAlign w:val="center"/>
            <w:hideMark/>
          </w:tcPr>
          <w:p w:rsidR="00000000" w:rsidRDefault="00050CC0">
            <w:pPr>
              <w:widowControl/>
              <w:jc w:val="left"/>
            </w:pPr>
          </w:p>
        </w:tc>
        <w:tc>
          <w:tcPr>
            <w:tcW w:w="765"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300</w:t>
            </w:r>
            <w:r>
              <w:rPr>
                <w:rFonts w:hint="eastAsia"/>
                <w:kern w:val="0"/>
                <w:szCs w:val="21"/>
              </w:rPr>
              <w:t>万元≤</w:t>
            </w:r>
            <w:r>
              <w:rPr>
                <w:rFonts w:hint="eastAsia"/>
                <w:kern w:val="0"/>
                <w:szCs w:val="21"/>
              </w:rPr>
              <w:t>M</w:t>
            </w:r>
            <w:r>
              <w:rPr>
                <w:rFonts w:hint="eastAsia"/>
                <w:kern w:val="0"/>
                <w:szCs w:val="21"/>
              </w:rPr>
              <w:t>＜</w:t>
            </w:r>
            <w:r>
              <w:rPr>
                <w:rFonts w:hint="eastAsia"/>
                <w:kern w:val="0"/>
                <w:szCs w:val="21"/>
              </w:rPr>
              <w:t>500</w:t>
            </w:r>
            <w:r>
              <w:rPr>
                <w:rFonts w:hint="eastAsia"/>
                <w:kern w:val="0"/>
                <w:szCs w:val="21"/>
              </w:rPr>
              <w:t>万</w:t>
            </w:r>
            <w:r>
              <w:rPr>
                <w:rFonts w:hint="eastAsia"/>
                <w:kern w:val="0"/>
                <w:szCs w:val="21"/>
              </w:rPr>
              <w:t>元</w:t>
            </w:r>
            <w:r>
              <w:rPr>
                <w:rFonts w:hint="eastAsia"/>
                <w:szCs w:val="21"/>
              </w:rPr>
              <w:t xml:space="preserve"> </w:t>
            </w:r>
          </w:p>
        </w:tc>
        <w:tc>
          <w:tcPr>
            <w:tcW w:w="156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0.60</w:t>
            </w:r>
            <w:r>
              <w:rPr>
                <w:rFonts w:hint="eastAsia"/>
                <w:kern w:val="0"/>
                <w:szCs w:val="21"/>
              </w:rPr>
              <w:t>%</w:t>
            </w:r>
            <w:r>
              <w:rPr>
                <w:rFonts w:hint="eastAsia"/>
                <w:szCs w:val="21"/>
              </w:rPr>
              <w:t xml:space="preserve"> </w:t>
            </w:r>
          </w:p>
        </w:tc>
        <w:tc>
          <w:tcPr>
            <w:tcW w:w="85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w:t>
            </w:r>
            <w:r>
              <w:rPr>
                <w:rFonts w:hint="eastAsia"/>
                <w:szCs w:val="21"/>
              </w:rPr>
              <w:t xml:space="preserve"> </w:t>
            </w:r>
          </w:p>
        </w:tc>
      </w:tr>
      <w:tr w:rsidR="00000000">
        <w:trPr>
          <w:divId w:val="688333864"/>
          <w:trHeight w:val="243"/>
        </w:trPr>
        <w:tc>
          <w:tcPr>
            <w:tcW w:w="0" w:type="auto"/>
            <w:vMerge/>
            <w:tcBorders>
              <w:top w:val="nil"/>
              <w:left w:val="nil"/>
              <w:bottom w:val="dotted" w:sz="4" w:space="0" w:color="auto"/>
              <w:right w:val="nil"/>
            </w:tcBorders>
            <w:vAlign w:val="center"/>
            <w:hideMark/>
          </w:tcPr>
          <w:p w:rsidR="00000000" w:rsidRDefault="00050CC0">
            <w:pPr>
              <w:widowControl/>
              <w:jc w:val="left"/>
            </w:pPr>
          </w:p>
        </w:tc>
        <w:tc>
          <w:tcPr>
            <w:tcW w:w="765"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M</w:t>
            </w:r>
            <w:r>
              <w:rPr>
                <w:rFonts w:hint="eastAsia"/>
                <w:kern w:val="0"/>
                <w:szCs w:val="21"/>
              </w:rPr>
              <w:t>≥</w:t>
            </w:r>
            <w:r>
              <w:rPr>
                <w:rFonts w:hint="eastAsia"/>
                <w:kern w:val="0"/>
                <w:szCs w:val="21"/>
              </w:rPr>
              <w:t>500</w:t>
            </w:r>
            <w:r>
              <w:rPr>
                <w:rFonts w:hint="eastAsia"/>
                <w:kern w:val="0"/>
                <w:szCs w:val="21"/>
              </w:rPr>
              <w:t>万</w:t>
            </w:r>
            <w:r>
              <w:rPr>
                <w:rFonts w:hint="eastAsia"/>
                <w:kern w:val="0"/>
                <w:szCs w:val="21"/>
              </w:rPr>
              <w:t>元</w:t>
            </w:r>
            <w:r>
              <w:rPr>
                <w:rFonts w:hint="eastAsia"/>
                <w:szCs w:val="21"/>
              </w:rPr>
              <w:t xml:space="preserve"> </w:t>
            </w:r>
          </w:p>
        </w:tc>
        <w:tc>
          <w:tcPr>
            <w:tcW w:w="156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w:t>
            </w:r>
            <w:r>
              <w:rPr>
                <w:rFonts w:hint="eastAsia"/>
                <w:szCs w:val="21"/>
              </w:rPr>
              <w:t xml:space="preserve"> </w:t>
            </w:r>
          </w:p>
        </w:tc>
        <w:tc>
          <w:tcPr>
            <w:tcW w:w="85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每笔</w:t>
            </w:r>
            <w:r>
              <w:rPr>
                <w:rFonts w:hint="eastAsia"/>
                <w:kern w:val="0"/>
                <w:szCs w:val="21"/>
              </w:rPr>
              <w:t>1000</w:t>
            </w:r>
            <w:r>
              <w:rPr>
                <w:rFonts w:hint="eastAsia"/>
                <w:kern w:val="0"/>
                <w:szCs w:val="21"/>
              </w:rPr>
              <w:t>元</w:t>
            </w:r>
            <w:r>
              <w:rPr>
                <w:rFonts w:hint="eastAsia"/>
                <w:szCs w:val="21"/>
              </w:rPr>
              <w:t xml:space="preserve"> </w:t>
            </w:r>
          </w:p>
        </w:tc>
      </w:tr>
      <w:tr w:rsidR="00000000">
        <w:trPr>
          <w:divId w:val="688333864"/>
          <w:trHeight w:val="353"/>
        </w:trPr>
        <w:tc>
          <w:tcPr>
            <w:tcW w:w="1186" w:type="dxa"/>
            <w:vMerge w:val="restart"/>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b/>
                <w:bCs/>
                <w:szCs w:val="21"/>
              </w:rPr>
              <w:t>赎回费</w:t>
            </w:r>
            <w:r>
              <w:rPr>
                <w:rFonts w:hint="eastAsia"/>
                <w:b/>
                <w:bCs/>
                <w:szCs w:val="21"/>
              </w:rPr>
              <w:t xml:space="preserve"> </w:t>
            </w:r>
          </w:p>
        </w:tc>
        <w:tc>
          <w:tcPr>
            <w:tcW w:w="765"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N</w:t>
            </w:r>
            <w:r>
              <w:rPr>
                <w:rFonts w:hint="eastAsia"/>
                <w:kern w:val="0"/>
                <w:szCs w:val="21"/>
              </w:rPr>
              <w:t>＜</w:t>
            </w:r>
            <w:r>
              <w:rPr>
                <w:rFonts w:hint="eastAsia"/>
                <w:kern w:val="0"/>
                <w:szCs w:val="21"/>
              </w:rPr>
              <w:t>7</w:t>
            </w:r>
            <w:r>
              <w:rPr>
                <w:rFonts w:hint="eastAsia"/>
                <w:kern w:val="0"/>
                <w:szCs w:val="21"/>
              </w:rPr>
              <w:t>天</w:t>
            </w:r>
            <w:r>
              <w:rPr>
                <w:rFonts w:hint="eastAsia"/>
                <w:szCs w:val="21"/>
              </w:rPr>
              <w:t xml:space="preserve"> </w:t>
            </w:r>
          </w:p>
        </w:tc>
        <w:tc>
          <w:tcPr>
            <w:tcW w:w="156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1.50</w:t>
            </w:r>
            <w:r>
              <w:rPr>
                <w:rFonts w:hint="eastAsia"/>
                <w:kern w:val="0"/>
                <w:szCs w:val="21"/>
              </w:rPr>
              <w:t>%</w:t>
            </w:r>
            <w:r>
              <w:rPr>
                <w:rFonts w:hint="eastAsia"/>
                <w:szCs w:val="21"/>
              </w:rPr>
              <w:t xml:space="preserve"> </w:t>
            </w:r>
          </w:p>
        </w:tc>
        <w:tc>
          <w:tcPr>
            <w:tcW w:w="85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w:t>
            </w:r>
            <w:r>
              <w:rPr>
                <w:rFonts w:hint="eastAsia"/>
                <w:szCs w:val="21"/>
              </w:rPr>
              <w:t xml:space="preserve"> </w:t>
            </w:r>
          </w:p>
        </w:tc>
      </w:tr>
      <w:tr w:rsidR="00000000">
        <w:trPr>
          <w:divId w:val="688333864"/>
          <w:trHeight w:val="353"/>
        </w:trPr>
        <w:tc>
          <w:tcPr>
            <w:tcW w:w="0" w:type="auto"/>
            <w:vMerge/>
            <w:tcBorders>
              <w:top w:val="nil"/>
              <w:left w:val="nil"/>
              <w:bottom w:val="dotted" w:sz="4" w:space="0" w:color="auto"/>
              <w:right w:val="nil"/>
            </w:tcBorders>
            <w:vAlign w:val="center"/>
            <w:hideMark/>
          </w:tcPr>
          <w:p w:rsidR="00000000" w:rsidRDefault="00050CC0">
            <w:pPr>
              <w:widowControl/>
              <w:jc w:val="left"/>
            </w:pPr>
          </w:p>
        </w:tc>
        <w:tc>
          <w:tcPr>
            <w:tcW w:w="765"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7</w:t>
            </w:r>
            <w:r>
              <w:rPr>
                <w:rFonts w:hint="eastAsia"/>
                <w:kern w:val="0"/>
                <w:szCs w:val="21"/>
              </w:rPr>
              <w:t>天≤</w:t>
            </w:r>
            <w:r>
              <w:rPr>
                <w:rFonts w:hint="eastAsia"/>
                <w:kern w:val="0"/>
                <w:szCs w:val="21"/>
              </w:rPr>
              <w:t>N</w:t>
            </w:r>
            <w:r>
              <w:rPr>
                <w:rFonts w:hint="eastAsia"/>
                <w:kern w:val="0"/>
                <w:szCs w:val="21"/>
              </w:rPr>
              <w:t>＜</w:t>
            </w:r>
            <w:r>
              <w:rPr>
                <w:rFonts w:hint="eastAsia"/>
                <w:kern w:val="0"/>
                <w:szCs w:val="21"/>
              </w:rPr>
              <w:t>30</w:t>
            </w:r>
            <w:r>
              <w:rPr>
                <w:rFonts w:hint="eastAsia"/>
                <w:kern w:val="0"/>
                <w:szCs w:val="21"/>
              </w:rPr>
              <w:t>天</w:t>
            </w:r>
            <w:r>
              <w:rPr>
                <w:rFonts w:hint="eastAsia"/>
                <w:szCs w:val="21"/>
              </w:rPr>
              <w:t xml:space="preserve"> </w:t>
            </w:r>
          </w:p>
        </w:tc>
        <w:tc>
          <w:tcPr>
            <w:tcW w:w="156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1.00</w:t>
            </w:r>
            <w:r>
              <w:rPr>
                <w:rFonts w:hint="eastAsia"/>
                <w:kern w:val="0"/>
                <w:szCs w:val="21"/>
              </w:rPr>
              <w:t>%</w:t>
            </w:r>
            <w:r>
              <w:rPr>
                <w:rFonts w:hint="eastAsia"/>
                <w:szCs w:val="21"/>
              </w:rPr>
              <w:t xml:space="preserve"> </w:t>
            </w:r>
          </w:p>
        </w:tc>
        <w:tc>
          <w:tcPr>
            <w:tcW w:w="85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w:t>
            </w:r>
            <w:r>
              <w:rPr>
                <w:rFonts w:hint="eastAsia"/>
                <w:szCs w:val="21"/>
              </w:rPr>
              <w:t xml:space="preserve"> </w:t>
            </w:r>
          </w:p>
        </w:tc>
      </w:tr>
      <w:tr w:rsidR="00000000">
        <w:trPr>
          <w:divId w:val="688333864"/>
          <w:trHeight w:val="353"/>
        </w:trPr>
        <w:tc>
          <w:tcPr>
            <w:tcW w:w="0" w:type="auto"/>
            <w:vMerge/>
            <w:tcBorders>
              <w:top w:val="nil"/>
              <w:left w:val="nil"/>
              <w:bottom w:val="dotted" w:sz="4" w:space="0" w:color="auto"/>
              <w:right w:val="nil"/>
            </w:tcBorders>
            <w:vAlign w:val="center"/>
            <w:hideMark/>
          </w:tcPr>
          <w:p w:rsidR="00000000" w:rsidRDefault="00050CC0">
            <w:pPr>
              <w:widowControl/>
              <w:jc w:val="left"/>
            </w:pPr>
          </w:p>
        </w:tc>
        <w:tc>
          <w:tcPr>
            <w:tcW w:w="765"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30</w:t>
            </w:r>
            <w:r>
              <w:rPr>
                <w:rFonts w:hint="eastAsia"/>
                <w:kern w:val="0"/>
                <w:szCs w:val="21"/>
              </w:rPr>
              <w:t>天≤</w:t>
            </w:r>
            <w:r>
              <w:rPr>
                <w:rFonts w:hint="eastAsia"/>
                <w:kern w:val="0"/>
                <w:szCs w:val="21"/>
              </w:rPr>
              <w:t>N</w:t>
            </w:r>
            <w:r>
              <w:rPr>
                <w:rFonts w:hint="eastAsia"/>
                <w:kern w:val="0"/>
                <w:szCs w:val="21"/>
              </w:rPr>
              <w:t>＜</w:t>
            </w:r>
            <w:r>
              <w:rPr>
                <w:rFonts w:hint="eastAsia"/>
                <w:kern w:val="0"/>
                <w:szCs w:val="21"/>
              </w:rPr>
              <w:t>180</w:t>
            </w:r>
            <w:r>
              <w:rPr>
                <w:rFonts w:hint="eastAsia"/>
                <w:kern w:val="0"/>
                <w:szCs w:val="21"/>
              </w:rPr>
              <w:t>天</w:t>
            </w:r>
            <w:r>
              <w:rPr>
                <w:rFonts w:hint="eastAsia"/>
                <w:szCs w:val="21"/>
              </w:rPr>
              <w:t xml:space="preserve"> </w:t>
            </w:r>
          </w:p>
        </w:tc>
        <w:tc>
          <w:tcPr>
            <w:tcW w:w="156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0.50</w:t>
            </w:r>
            <w:r>
              <w:rPr>
                <w:rFonts w:hint="eastAsia"/>
                <w:kern w:val="0"/>
                <w:szCs w:val="21"/>
              </w:rPr>
              <w:t>%</w:t>
            </w:r>
            <w:r>
              <w:rPr>
                <w:rFonts w:hint="eastAsia"/>
                <w:szCs w:val="21"/>
              </w:rPr>
              <w:t xml:space="preserve"> </w:t>
            </w:r>
          </w:p>
        </w:tc>
        <w:tc>
          <w:tcPr>
            <w:tcW w:w="85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w:t>
            </w:r>
            <w:r>
              <w:rPr>
                <w:rFonts w:hint="eastAsia"/>
                <w:szCs w:val="21"/>
              </w:rPr>
              <w:t xml:space="preserve"> </w:t>
            </w:r>
          </w:p>
        </w:tc>
      </w:tr>
      <w:tr w:rsidR="00000000">
        <w:trPr>
          <w:divId w:val="688333864"/>
          <w:trHeight w:val="353"/>
        </w:trPr>
        <w:tc>
          <w:tcPr>
            <w:tcW w:w="0" w:type="auto"/>
            <w:vMerge/>
            <w:tcBorders>
              <w:top w:val="nil"/>
              <w:left w:val="nil"/>
              <w:bottom w:val="dotted" w:sz="4" w:space="0" w:color="auto"/>
              <w:right w:val="nil"/>
            </w:tcBorders>
            <w:vAlign w:val="center"/>
            <w:hideMark/>
          </w:tcPr>
          <w:p w:rsidR="00000000" w:rsidRDefault="00050CC0">
            <w:pPr>
              <w:widowControl/>
              <w:jc w:val="left"/>
            </w:pPr>
          </w:p>
        </w:tc>
        <w:tc>
          <w:tcPr>
            <w:tcW w:w="765"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N</w:t>
            </w:r>
            <w:r>
              <w:rPr>
                <w:rFonts w:hint="eastAsia"/>
                <w:kern w:val="0"/>
                <w:szCs w:val="21"/>
              </w:rPr>
              <w:t>≥</w:t>
            </w:r>
            <w:r>
              <w:rPr>
                <w:rFonts w:hint="eastAsia"/>
                <w:kern w:val="0"/>
                <w:szCs w:val="21"/>
              </w:rPr>
              <w:t>180</w:t>
            </w:r>
            <w:r>
              <w:rPr>
                <w:rFonts w:hint="eastAsia"/>
                <w:kern w:val="0"/>
                <w:szCs w:val="21"/>
              </w:rPr>
              <w:t>天</w:t>
            </w:r>
            <w:r>
              <w:rPr>
                <w:rFonts w:hint="eastAsia"/>
                <w:szCs w:val="21"/>
              </w:rPr>
              <w:t xml:space="preserve"> </w:t>
            </w:r>
          </w:p>
        </w:tc>
        <w:tc>
          <w:tcPr>
            <w:tcW w:w="156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0.00</w:t>
            </w:r>
            <w:r>
              <w:rPr>
                <w:rFonts w:hint="eastAsia"/>
                <w:kern w:val="0"/>
                <w:szCs w:val="21"/>
              </w:rPr>
              <w:t>%</w:t>
            </w:r>
            <w:r>
              <w:rPr>
                <w:rFonts w:hint="eastAsia"/>
                <w:szCs w:val="21"/>
              </w:rPr>
              <w:t xml:space="preserve"> </w:t>
            </w:r>
          </w:p>
        </w:tc>
        <w:tc>
          <w:tcPr>
            <w:tcW w:w="850"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spacing w:line="280" w:lineRule="exact"/>
              <w:jc w:val="center"/>
              <w:rPr>
                <w:rFonts w:hint="eastAsia"/>
              </w:rPr>
            </w:pPr>
            <w:r>
              <w:rPr>
                <w:rFonts w:hint="eastAsia"/>
                <w:kern w:val="0"/>
                <w:szCs w:val="21"/>
              </w:rPr>
              <w:t>-</w:t>
            </w:r>
            <w:r>
              <w:rPr>
                <w:rFonts w:hint="eastAsia"/>
                <w:szCs w:val="21"/>
              </w:rPr>
              <w:t xml:space="preserve"> </w:t>
            </w:r>
          </w:p>
        </w:tc>
      </w:tr>
    </w:tbl>
    <w:p w:rsidR="00000000" w:rsidRDefault="00050CC0">
      <w:pPr>
        <w:spacing w:line="312" w:lineRule="exact"/>
        <w:rPr>
          <w:rFonts w:hint="eastAsia"/>
        </w:rPr>
      </w:pPr>
      <w:r>
        <w:rPr>
          <w:rFonts w:hint="eastAsia"/>
          <w:szCs w:val="21"/>
        </w:rPr>
        <w:t>注</w:t>
      </w:r>
      <w:r>
        <w:rPr>
          <w:rFonts w:hint="eastAsia"/>
          <w:szCs w:val="21"/>
        </w:rPr>
        <w:t>：</w:t>
      </w:r>
      <w:r>
        <w:rPr>
          <w:rFonts w:hint="eastAsia"/>
          <w:szCs w:val="21"/>
          <w:lang w:eastAsia="zh-Hans"/>
        </w:rPr>
        <w:t>投资者通过代销机构认购</w:t>
      </w:r>
      <w:r>
        <w:rPr>
          <w:rFonts w:hint="eastAsia"/>
          <w:szCs w:val="21"/>
          <w:lang w:eastAsia="zh-Hans"/>
        </w:rPr>
        <w:t>/</w:t>
      </w:r>
      <w:r>
        <w:rPr>
          <w:rFonts w:hint="eastAsia"/>
          <w:szCs w:val="21"/>
          <w:lang w:eastAsia="zh-Hans"/>
        </w:rPr>
        <w:t>申购</w:t>
      </w:r>
      <w:r>
        <w:rPr>
          <w:rFonts w:hint="eastAsia"/>
          <w:szCs w:val="21"/>
          <w:lang w:eastAsia="zh-Hans"/>
        </w:rPr>
        <w:t>A</w:t>
      </w:r>
      <w:r>
        <w:rPr>
          <w:rFonts w:hint="eastAsia"/>
          <w:szCs w:val="21"/>
          <w:lang w:eastAsia="zh-Hans"/>
        </w:rPr>
        <w:t>类基金份额收取认购</w:t>
      </w:r>
      <w:r>
        <w:rPr>
          <w:rFonts w:hint="eastAsia"/>
          <w:szCs w:val="21"/>
          <w:lang w:eastAsia="zh-Hans"/>
        </w:rPr>
        <w:t>/</w:t>
      </w:r>
      <w:r>
        <w:rPr>
          <w:rFonts w:hint="eastAsia"/>
          <w:szCs w:val="21"/>
          <w:lang w:eastAsia="zh-Hans"/>
        </w:rPr>
        <w:t>申购费，通过基金管理人认购</w:t>
      </w:r>
      <w:r>
        <w:rPr>
          <w:rFonts w:hint="eastAsia"/>
          <w:szCs w:val="21"/>
          <w:lang w:eastAsia="zh-Hans"/>
        </w:rPr>
        <w:t>/</w:t>
      </w:r>
      <w:r>
        <w:rPr>
          <w:rFonts w:hint="eastAsia"/>
          <w:szCs w:val="21"/>
          <w:lang w:eastAsia="zh-Hans"/>
        </w:rPr>
        <w:t>申购</w:t>
      </w:r>
      <w:r>
        <w:rPr>
          <w:rFonts w:hint="eastAsia"/>
          <w:szCs w:val="21"/>
          <w:lang w:eastAsia="zh-Hans"/>
        </w:rPr>
        <w:t>A</w:t>
      </w:r>
      <w:r>
        <w:rPr>
          <w:rFonts w:hint="eastAsia"/>
          <w:szCs w:val="21"/>
          <w:lang w:eastAsia="zh-Hans"/>
        </w:rPr>
        <w:t>类基金份额不收取认购</w:t>
      </w:r>
      <w:r>
        <w:rPr>
          <w:rFonts w:hint="eastAsia"/>
          <w:szCs w:val="21"/>
          <w:lang w:eastAsia="zh-Hans"/>
        </w:rPr>
        <w:t>/</w:t>
      </w:r>
      <w:r>
        <w:rPr>
          <w:rFonts w:hint="eastAsia"/>
          <w:szCs w:val="21"/>
          <w:lang w:eastAsia="zh-Hans"/>
        </w:rPr>
        <w:t>申购费。</w:t>
      </w:r>
      <w:r>
        <w:rPr>
          <w:rFonts w:hint="eastAsia"/>
          <w:szCs w:val="21"/>
          <w:lang w:eastAsia="zh-Hans"/>
        </w:rPr>
        <w:t>C</w:t>
      </w:r>
      <w:r>
        <w:rPr>
          <w:rFonts w:hint="eastAsia"/>
          <w:szCs w:val="21"/>
          <w:lang w:eastAsia="zh-Hans"/>
        </w:rPr>
        <w:t>类基金份额不收取认购</w:t>
      </w:r>
      <w:r>
        <w:rPr>
          <w:rFonts w:hint="eastAsia"/>
          <w:szCs w:val="21"/>
          <w:lang w:eastAsia="zh-Hans"/>
        </w:rPr>
        <w:t>/</w:t>
      </w:r>
      <w:r>
        <w:rPr>
          <w:rFonts w:hint="eastAsia"/>
          <w:szCs w:val="21"/>
          <w:lang w:eastAsia="zh-Hans"/>
        </w:rPr>
        <w:t>申购费</w:t>
      </w:r>
      <w:r>
        <w:rPr>
          <w:rFonts w:hint="eastAsia"/>
          <w:szCs w:val="21"/>
          <w:lang w:eastAsia="zh-Hans"/>
        </w:rPr>
        <w:t>。</w:t>
      </w:r>
      <w:r>
        <w:rPr>
          <w:rFonts w:hint="eastAsia"/>
        </w:rPr>
        <w:t xml:space="preserve"> </w:t>
      </w:r>
    </w:p>
    <w:p w:rsidR="00000000" w:rsidRDefault="00050CC0">
      <w:pPr>
        <w:pStyle w:val="XBRLTitle2"/>
        <w:spacing w:before="156" w:line="312" w:lineRule="exact"/>
        <w:rPr>
          <w:rFonts w:hint="eastAsia"/>
        </w:rPr>
      </w:pPr>
      <w:bookmarkStart w:id="103" w:name="_Toc374332141"/>
      <w:r>
        <w:rPr>
          <w:rFonts w:hAnsi="宋体" w:hint="eastAsia"/>
          <w:sz w:val="21"/>
        </w:rPr>
        <w:t>基金运作相关费</w:t>
      </w:r>
      <w:r>
        <w:rPr>
          <w:rFonts w:hAnsi="宋体" w:hint="eastAsia"/>
          <w:sz w:val="21"/>
        </w:rPr>
        <w:t>用</w:t>
      </w:r>
      <w:bookmarkEnd w:id="103"/>
      <w:r>
        <w:rPr>
          <w:rFonts w:hAnsi="宋体" w:hint="eastAsia"/>
          <w:sz w:val="21"/>
        </w:rPr>
        <w:t xml:space="preserve"> </w:t>
      </w:r>
    </w:p>
    <w:p w:rsidR="00000000" w:rsidRDefault="00050CC0">
      <w:pPr>
        <w:spacing w:line="312" w:lineRule="exact"/>
        <w:divId w:val="106388915"/>
        <w:rPr>
          <w:rFonts w:hint="eastAsia"/>
        </w:rPr>
      </w:pPr>
      <w:r>
        <w:rPr>
          <w:rFonts w:hint="eastAsia"/>
          <w:szCs w:val="21"/>
        </w:rPr>
        <w:t>以下费用将从基金资产中扣除：</w:t>
      </w:r>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726"/>
        <w:gridCol w:w="7853"/>
        <w:gridCol w:w="8333"/>
      </w:tblGrid>
      <w:tr w:rsidR="00000000">
        <w:trPr>
          <w:divId w:val="106388915"/>
          <w:trHeight w:val="387"/>
        </w:trPr>
        <w:tc>
          <w:tcPr>
            <w:tcW w:w="3726" w:type="dxa"/>
            <w:tcBorders>
              <w:top w:val="single" w:sz="4" w:space="0" w:color="auto"/>
              <w:left w:val="nil"/>
              <w:bottom w:val="dotted" w:sz="4" w:space="0" w:color="auto"/>
              <w:right w:val="nil"/>
            </w:tcBorders>
            <w:tcMar>
              <w:top w:w="0" w:type="dxa"/>
              <w:left w:w="108" w:type="dxa"/>
              <w:bottom w:w="0" w:type="dxa"/>
              <w:right w:w="108" w:type="dxa"/>
            </w:tcMar>
            <w:vAlign w:val="center"/>
            <w:hideMark/>
          </w:tcPr>
          <w:bookmarkEnd w:id="61"/>
          <w:p w:rsidR="00000000" w:rsidRDefault="00050CC0">
            <w:pPr>
              <w:rPr>
                <w:rFonts w:hint="eastAsia"/>
              </w:rPr>
            </w:pPr>
            <w:r>
              <w:rPr>
                <w:rFonts w:ascii="Times New Roman" w:hAnsi="Times New Roman" w:hint="eastAsia"/>
                <w:b/>
              </w:rPr>
              <w:t>费用类别</w:t>
            </w:r>
            <w:r>
              <w:rPr>
                <w:rFonts w:hint="eastAsia"/>
                <w:b/>
                <w:szCs w:val="24"/>
                <w:lang w:eastAsia="zh-Hans"/>
              </w:rPr>
              <w:t xml:space="preserve"> </w:t>
            </w:r>
          </w:p>
        </w:tc>
        <w:tc>
          <w:tcPr>
            <w:tcW w:w="6893" w:type="dxa"/>
            <w:tcBorders>
              <w:top w:val="single" w:sz="4" w:space="0" w:color="auto"/>
              <w:left w:val="nil"/>
              <w:bottom w:val="dotted" w:sz="4" w:space="0" w:color="auto"/>
              <w:right w:val="nil"/>
            </w:tcBorders>
            <w:vAlign w:val="center"/>
            <w:hideMark/>
          </w:tcPr>
          <w:p w:rsidR="00000000" w:rsidRDefault="00050CC0">
            <w:pPr>
              <w:jc w:val="center"/>
              <w:rPr>
                <w:rFonts w:hint="eastAsia"/>
              </w:rPr>
            </w:pPr>
            <w:r>
              <w:rPr>
                <w:rFonts w:hint="eastAsia"/>
                <w:b/>
                <w:szCs w:val="24"/>
              </w:rPr>
              <w:t>收费方式</w:t>
            </w:r>
            <w:r>
              <w:rPr>
                <w:rFonts w:hint="eastAsia"/>
                <w:b/>
                <w:szCs w:val="24"/>
              </w:rPr>
              <w:t>/</w:t>
            </w:r>
            <w:r>
              <w:rPr>
                <w:rFonts w:hint="eastAsia"/>
                <w:b/>
                <w:szCs w:val="24"/>
              </w:rPr>
              <w:t>年费率或金额</w:t>
            </w:r>
            <w:r>
              <w:rPr>
                <w:rFonts w:hint="eastAsia"/>
                <w:b/>
                <w:szCs w:val="24"/>
                <w:lang w:eastAsia="zh-Hans"/>
              </w:rPr>
              <w:t xml:space="preserve"> </w:t>
            </w:r>
          </w:p>
        </w:tc>
        <w:tc>
          <w:tcPr>
            <w:tcW w:w="6893" w:type="dxa"/>
            <w:tcBorders>
              <w:top w:val="single" w:sz="4" w:space="0" w:color="auto"/>
              <w:left w:val="nil"/>
              <w:bottom w:val="dotted" w:sz="4" w:space="0" w:color="auto"/>
              <w:right w:val="nil"/>
            </w:tcBorders>
            <w:vAlign w:val="center"/>
            <w:hideMark/>
          </w:tcPr>
          <w:p w:rsidR="00000000" w:rsidRDefault="00050CC0">
            <w:pPr>
              <w:jc w:val="center"/>
              <w:rPr>
                <w:rFonts w:hint="eastAsia"/>
              </w:rPr>
            </w:pPr>
            <w:r>
              <w:rPr>
                <w:rFonts w:hint="eastAsia"/>
                <w:b/>
                <w:szCs w:val="24"/>
              </w:rPr>
              <w:t>收取方</w:t>
            </w:r>
            <w:r>
              <w:rPr>
                <w:rFonts w:hint="eastAsia"/>
                <w:b/>
                <w:szCs w:val="24"/>
                <w:lang w:eastAsia="zh-Hans"/>
              </w:rPr>
              <w:t xml:space="preserve"> </w:t>
            </w:r>
          </w:p>
        </w:tc>
      </w:tr>
      <w:tr w:rsidR="00000000">
        <w:trPr>
          <w:divId w:val="106388915"/>
          <w:trHeight w:val="386"/>
        </w:trPr>
        <w:tc>
          <w:tcPr>
            <w:tcW w:w="372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ascii="Times New Roman" w:hAnsi="Times New Roman" w:hint="eastAsia"/>
                <w:b/>
              </w:rPr>
              <w:t>管理费</w:t>
            </w:r>
            <w:r>
              <w:rPr>
                <w:rFonts w:hint="eastAsia"/>
                <w:szCs w:val="24"/>
                <w:lang w:eastAsia="zh-Hans"/>
              </w:rPr>
              <w:t xml:space="preserve"> </w:t>
            </w:r>
          </w:p>
        </w:tc>
        <w:tc>
          <w:tcPr>
            <w:tcW w:w="3482" w:type="dxa"/>
            <w:tcBorders>
              <w:top w:val="nil"/>
              <w:left w:val="nil"/>
              <w:bottom w:val="dotted" w:sz="4" w:space="0" w:color="auto"/>
              <w:right w:val="nil"/>
            </w:tcBorders>
            <w:vAlign w:val="center"/>
            <w:hideMark/>
          </w:tcPr>
          <w:p w:rsidR="00000000" w:rsidRDefault="00050CC0">
            <w:pPr>
              <w:jc w:val="center"/>
              <w:rPr>
                <w:rFonts w:hint="eastAsia"/>
              </w:rPr>
            </w:pPr>
            <w:r>
              <w:rPr>
                <w:rFonts w:hint="eastAsia"/>
                <w:szCs w:val="24"/>
              </w:rPr>
              <w:t>-</w:t>
            </w:r>
          </w:p>
        </w:tc>
        <w:tc>
          <w:tcPr>
            <w:tcW w:w="341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jc w:val="center"/>
              <w:rPr>
                <w:rFonts w:hint="eastAsia"/>
              </w:rPr>
            </w:pPr>
            <w:r>
              <w:rPr>
                <w:rFonts w:hint="eastAsia"/>
                <w:szCs w:val="24"/>
                <w:lang w:eastAsia="zh-Hans"/>
              </w:rPr>
              <w:t>-</w:t>
            </w:r>
            <w:r>
              <w:rPr>
                <w:rFonts w:hint="eastAsia"/>
                <w:szCs w:val="24"/>
                <w:lang w:eastAsia="zh-Hans"/>
              </w:rPr>
              <w:t xml:space="preserve"> </w:t>
            </w:r>
          </w:p>
        </w:tc>
      </w:tr>
      <w:tr w:rsidR="00000000">
        <w:trPr>
          <w:divId w:val="106388915"/>
          <w:trHeight w:val="386"/>
        </w:trPr>
        <w:tc>
          <w:tcPr>
            <w:tcW w:w="372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ascii="Times New Roman" w:hAnsi="Times New Roman" w:hint="eastAsia"/>
                <w:b/>
              </w:rPr>
              <w:t>固定管理</w:t>
            </w:r>
            <w:r>
              <w:rPr>
                <w:rFonts w:ascii="Times New Roman" w:hAnsi="Times New Roman" w:hint="eastAsia"/>
                <w:b/>
              </w:rPr>
              <w:t>费</w:t>
            </w:r>
            <w:r>
              <w:rPr>
                <w:rFonts w:hint="eastAsia"/>
                <w:szCs w:val="24"/>
                <w:lang w:eastAsia="zh-Hans"/>
              </w:rPr>
              <w:t xml:space="preserve"> </w:t>
            </w:r>
          </w:p>
        </w:tc>
        <w:tc>
          <w:tcPr>
            <w:tcW w:w="341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jc w:val="center"/>
              <w:rPr>
                <w:rFonts w:hint="eastAsia"/>
              </w:rPr>
            </w:pPr>
            <w:r>
              <w:rPr>
                <w:rFonts w:hint="eastAsia"/>
                <w:szCs w:val="24"/>
                <w:lang w:eastAsia="zh-Hans"/>
              </w:rPr>
              <w:t>0.</w:t>
            </w:r>
            <w:r>
              <w:rPr>
                <w:rFonts w:hint="eastAsia"/>
                <w:szCs w:val="24"/>
                <w:lang w:eastAsia="zh-Hans"/>
              </w:rPr>
              <w:t>6</w:t>
            </w:r>
            <w:r>
              <w:rPr>
                <w:rFonts w:hint="eastAsia"/>
                <w:szCs w:val="21"/>
              </w:rPr>
              <w:t>%</w:t>
            </w:r>
            <w:r>
              <w:rPr>
                <w:rFonts w:hint="eastAsia"/>
                <w:szCs w:val="24"/>
                <w:lang w:eastAsia="zh-Hans"/>
              </w:rPr>
              <w:t xml:space="preserve"> </w:t>
            </w:r>
          </w:p>
        </w:tc>
        <w:tc>
          <w:tcPr>
            <w:tcW w:w="341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jc w:val="center"/>
              <w:rPr>
                <w:rFonts w:hint="eastAsia"/>
              </w:rPr>
            </w:pPr>
            <w:r>
              <w:rPr>
                <w:rFonts w:hint="eastAsia"/>
                <w:szCs w:val="24"/>
                <w:lang w:eastAsia="zh-Hans"/>
              </w:rPr>
              <w:t>基金管理人和销售机</w:t>
            </w:r>
            <w:r>
              <w:rPr>
                <w:rFonts w:hint="eastAsia"/>
                <w:szCs w:val="24"/>
                <w:lang w:eastAsia="zh-Hans"/>
              </w:rPr>
              <w:t>构</w:t>
            </w:r>
            <w:r>
              <w:rPr>
                <w:rFonts w:hint="eastAsia"/>
                <w:szCs w:val="24"/>
                <w:lang w:eastAsia="zh-Hans"/>
              </w:rPr>
              <w:t xml:space="preserve"> </w:t>
            </w:r>
          </w:p>
        </w:tc>
      </w:tr>
      <w:tr w:rsidR="00000000">
        <w:trPr>
          <w:divId w:val="106388915"/>
          <w:trHeight w:val="386"/>
        </w:trPr>
        <w:tc>
          <w:tcPr>
            <w:tcW w:w="372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ascii="Times New Roman" w:hAnsi="Times New Roman" w:hint="eastAsia"/>
                <w:b/>
              </w:rPr>
              <w:t>或有管理</w:t>
            </w:r>
            <w:r>
              <w:rPr>
                <w:rFonts w:ascii="Times New Roman" w:hAnsi="Times New Roman" w:hint="eastAsia"/>
                <w:b/>
              </w:rPr>
              <w:t>费</w:t>
            </w:r>
            <w:r>
              <w:rPr>
                <w:rFonts w:hint="eastAsia"/>
                <w:szCs w:val="24"/>
                <w:lang w:eastAsia="zh-Hans"/>
              </w:rPr>
              <w:t xml:space="preserve"> </w:t>
            </w:r>
          </w:p>
        </w:tc>
        <w:tc>
          <w:tcPr>
            <w:tcW w:w="341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jc w:val="center"/>
              <w:rPr>
                <w:rFonts w:hint="eastAsia"/>
              </w:rPr>
            </w:pPr>
            <w:r>
              <w:rPr>
                <w:rFonts w:hint="eastAsia"/>
                <w:szCs w:val="24"/>
                <w:lang w:eastAsia="zh-Hans"/>
              </w:rPr>
              <w:t>0.</w:t>
            </w:r>
            <w:r>
              <w:rPr>
                <w:rFonts w:hint="eastAsia"/>
                <w:szCs w:val="24"/>
                <w:lang w:eastAsia="zh-Hans"/>
              </w:rPr>
              <w:t>6</w:t>
            </w:r>
            <w:r>
              <w:rPr>
                <w:rFonts w:hint="eastAsia"/>
                <w:szCs w:val="21"/>
              </w:rPr>
              <w:t>%</w:t>
            </w:r>
            <w:r>
              <w:rPr>
                <w:rFonts w:hint="eastAsia"/>
                <w:szCs w:val="24"/>
                <w:lang w:eastAsia="zh-Hans"/>
              </w:rPr>
              <w:t xml:space="preserve"> </w:t>
            </w:r>
          </w:p>
        </w:tc>
        <w:tc>
          <w:tcPr>
            <w:tcW w:w="341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jc w:val="center"/>
              <w:rPr>
                <w:rFonts w:hint="eastAsia"/>
              </w:rPr>
            </w:pPr>
            <w:r>
              <w:rPr>
                <w:rFonts w:hint="eastAsia"/>
                <w:szCs w:val="24"/>
                <w:lang w:eastAsia="zh-Hans"/>
              </w:rPr>
              <w:t>基金管理人和销售机</w:t>
            </w:r>
            <w:r>
              <w:rPr>
                <w:rFonts w:hint="eastAsia"/>
                <w:szCs w:val="24"/>
                <w:lang w:eastAsia="zh-Hans"/>
              </w:rPr>
              <w:t>构</w:t>
            </w:r>
            <w:r>
              <w:rPr>
                <w:rFonts w:hint="eastAsia"/>
                <w:szCs w:val="24"/>
                <w:lang w:eastAsia="zh-Hans"/>
              </w:rPr>
              <w:t xml:space="preserve"> </w:t>
            </w:r>
          </w:p>
        </w:tc>
      </w:tr>
      <w:tr w:rsidR="00000000">
        <w:trPr>
          <w:divId w:val="106388915"/>
          <w:trHeight w:val="386"/>
        </w:trPr>
        <w:tc>
          <w:tcPr>
            <w:tcW w:w="372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ascii="Times New Roman" w:hAnsi="Times New Roman" w:hint="eastAsia"/>
                <w:b/>
              </w:rPr>
              <w:t>超额管理</w:t>
            </w:r>
            <w:r>
              <w:rPr>
                <w:rFonts w:ascii="Times New Roman" w:hAnsi="Times New Roman" w:hint="eastAsia"/>
                <w:b/>
              </w:rPr>
              <w:t>费</w:t>
            </w:r>
            <w:r>
              <w:rPr>
                <w:rFonts w:hint="eastAsia"/>
                <w:szCs w:val="24"/>
                <w:lang w:eastAsia="zh-Hans"/>
              </w:rPr>
              <w:t xml:space="preserve"> </w:t>
            </w:r>
          </w:p>
        </w:tc>
        <w:tc>
          <w:tcPr>
            <w:tcW w:w="341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jc w:val="center"/>
              <w:rPr>
                <w:rFonts w:hint="eastAsia"/>
              </w:rPr>
            </w:pPr>
            <w:r>
              <w:rPr>
                <w:rFonts w:hint="eastAsia"/>
                <w:szCs w:val="24"/>
                <w:lang w:eastAsia="zh-Hans"/>
              </w:rPr>
              <w:t>0.</w:t>
            </w:r>
            <w:r>
              <w:rPr>
                <w:rFonts w:hint="eastAsia"/>
                <w:szCs w:val="24"/>
                <w:lang w:eastAsia="zh-Hans"/>
              </w:rPr>
              <w:t>3</w:t>
            </w:r>
            <w:r>
              <w:rPr>
                <w:rFonts w:hint="eastAsia"/>
                <w:szCs w:val="21"/>
              </w:rPr>
              <w:t>%</w:t>
            </w:r>
            <w:r>
              <w:rPr>
                <w:rFonts w:hint="eastAsia"/>
                <w:szCs w:val="24"/>
                <w:lang w:eastAsia="zh-Hans"/>
              </w:rPr>
              <w:t xml:space="preserve"> </w:t>
            </w:r>
          </w:p>
        </w:tc>
        <w:tc>
          <w:tcPr>
            <w:tcW w:w="341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jc w:val="center"/>
              <w:rPr>
                <w:rFonts w:hint="eastAsia"/>
              </w:rPr>
            </w:pPr>
            <w:r>
              <w:rPr>
                <w:rFonts w:hint="eastAsia"/>
                <w:szCs w:val="24"/>
                <w:lang w:eastAsia="zh-Hans"/>
              </w:rPr>
              <w:t>基金管理人和销售机</w:t>
            </w:r>
            <w:r>
              <w:rPr>
                <w:rFonts w:hint="eastAsia"/>
                <w:szCs w:val="24"/>
                <w:lang w:eastAsia="zh-Hans"/>
              </w:rPr>
              <w:t>构</w:t>
            </w:r>
            <w:r>
              <w:rPr>
                <w:rFonts w:hint="eastAsia"/>
                <w:szCs w:val="24"/>
                <w:lang w:eastAsia="zh-Hans"/>
              </w:rPr>
              <w:t xml:space="preserve"> </w:t>
            </w:r>
          </w:p>
        </w:tc>
      </w:tr>
      <w:tr w:rsidR="00000000">
        <w:trPr>
          <w:divId w:val="106388915"/>
          <w:trHeight w:val="386"/>
        </w:trPr>
        <w:tc>
          <w:tcPr>
            <w:tcW w:w="3726"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ascii="Times New Roman" w:hAnsi="Times New Roman" w:hint="eastAsia"/>
                <w:b/>
              </w:rPr>
              <w:t>托管费</w:t>
            </w:r>
            <w:r>
              <w:rPr>
                <w:rFonts w:hint="eastAsia"/>
                <w:szCs w:val="24"/>
                <w:lang w:eastAsia="zh-Hans"/>
              </w:rPr>
              <w:t xml:space="preserve"> </w:t>
            </w:r>
          </w:p>
        </w:tc>
        <w:tc>
          <w:tcPr>
            <w:tcW w:w="3411" w:type="dxa"/>
            <w:tcBorders>
              <w:top w:val="nil"/>
              <w:left w:val="nil"/>
              <w:bottom w:val="dotted" w:sz="4" w:space="0" w:color="auto"/>
              <w:right w:val="nil"/>
            </w:tcBorders>
            <w:tcMar>
              <w:top w:w="0" w:type="dxa"/>
              <w:left w:w="108" w:type="dxa"/>
              <w:bottom w:w="0" w:type="dxa"/>
              <w:right w:w="108" w:type="dxa"/>
            </w:tcMar>
            <w:vAlign w:val="center"/>
            <w:hideMark/>
          </w:tcPr>
          <w:p w:rsidR="00000000" w:rsidRDefault="00050CC0">
            <w:pPr>
              <w:jc w:val="center"/>
              <w:rPr>
                <w:rFonts w:hint="eastAsia"/>
              </w:rPr>
            </w:pPr>
            <w:r>
              <w:rPr>
                <w:rFonts w:hint="eastAsia"/>
                <w:szCs w:val="24"/>
                <w:lang w:eastAsia="zh-Hans"/>
              </w:rPr>
              <w:t>0.</w:t>
            </w:r>
            <w:r>
              <w:rPr>
                <w:rFonts w:hint="eastAsia"/>
                <w:szCs w:val="24"/>
                <w:lang w:eastAsia="zh-Hans"/>
              </w:rPr>
              <w:t>2</w:t>
            </w:r>
            <w:r>
              <w:rPr>
                <w:rFonts w:hint="eastAsia"/>
                <w:szCs w:val="21"/>
              </w:rPr>
              <w:t>%</w:t>
            </w:r>
            <w:r>
              <w:rPr>
                <w:rFonts w:hint="eastAsia"/>
                <w:szCs w:val="24"/>
              </w:rPr>
              <w:t xml:space="preserve"> </w:t>
            </w:r>
          </w:p>
        </w:tc>
        <w:tc>
          <w:tcPr>
            <w:tcW w:w="3482" w:type="dxa"/>
            <w:tcBorders>
              <w:top w:val="nil"/>
              <w:left w:val="nil"/>
              <w:bottom w:val="dotted" w:sz="4" w:space="0" w:color="auto"/>
              <w:right w:val="nil"/>
            </w:tcBorders>
            <w:vAlign w:val="center"/>
            <w:hideMark/>
          </w:tcPr>
          <w:p w:rsidR="00000000" w:rsidRDefault="00050CC0">
            <w:pPr>
              <w:jc w:val="center"/>
              <w:rPr>
                <w:rFonts w:hint="eastAsia"/>
              </w:rPr>
            </w:pPr>
            <w:r>
              <w:rPr>
                <w:rFonts w:hint="eastAsia"/>
                <w:szCs w:val="24"/>
              </w:rPr>
              <w:t>基金托管人</w:t>
            </w:r>
            <w:r>
              <w:rPr>
                <w:rFonts w:hint="eastAsia"/>
                <w:szCs w:val="24"/>
              </w:rPr>
              <w:t xml:space="preserve"> </w:t>
            </w:r>
          </w:p>
        </w:tc>
      </w:tr>
      <w:tr w:rsidR="00000000">
        <w:trPr>
          <w:divId w:val="106388915"/>
          <w:trHeight w:val="386"/>
        </w:trPr>
        <w:tc>
          <w:tcPr>
            <w:tcW w:w="3726" w:type="dxa"/>
            <w:tcBorders>
              <w:top w:val="nil"/>
              <w:left w:val="nil"/>
              <w:bottom w:val="single" w:sz="4" w:space="0" w:color="auto"/>
              <w:right w:val="nil"/>
            </w:tcBorders>
            <w:tcMar>
              <w:top w:w="0" w:type="dxa"/>
              <w:left w:w="108" w:type="dxa"/>
              <w:bottom w:w="0" w:type="dxa"/>
              <w:right w:w="108" w:type="dxa"/>
            </w:tcMar>
            <w:vAlign w:val="center"/>
            <w:hideMark/>
          </w:tcPr>
          <w:p w:rsidR="00000000" w:rsidRDefault="00050CC0">
            <w:pPr>
              <w:rPr>
                <w:rFonts w:hint="eastAsia"/>
              </w:rPr>
            </w:pPr>
            <w:r>
              <w:rPr>
                <w:rFonts w:hint="eastAsia"/>
                <w:b/>
                <w:szCs w:val="24"/>
                <w:lang w:eastAsia="zh-Hans"/>
              </w:rPr>
              <w:t>其他费</w:t>
            </w:r>
            <w:r>
              <w:rPr>
                <w:rFonts w:hint="eastAsia"/>
                <w:b/>
                <w:szCs w:val="24"/>
                <w:lang w:eastAsia="zh-Hans"/>
              </w:rPr>
              <w:t>用</w:t>
            </w:r>
            <w:r>
              <w:rPr>
                <w:rFonts w:hint="eastAsia"/>
                <w:szCs w:val="24"/>
                <w:lang w:eastAsia="zh-Hans"/>
              </w:rPr>
              <w:t xml:space="preserve"> </w:t>
            </w:r>
          </w:p>
        </w:tc>
        <w:tc>
          <w:tcPr>
            <w:tcW w:w="3482" w:type="dxa"/>
            <w:gridSpan w:val="2"/>
            <w:tcBorders>
              <w:top w:val="nil"/>
              <w:left w:val="nil"/>
              <w:bottom w:val="single" w:sz="4" w:space="0" w:color="auto"/>
              <w:right w:val="nil"/>
            </w:tcBorders>
            <w:vAlign w:val="center"/>
            <w:hideMark/>
          </w:tcPr>
          <w:p w:rsidR="00000000" w:rsidRDefault="00050CC0">
            <w:pPr>
              <w:jc w:val="left"/>
              <w:rPr>
                <w:rFonts w:hint="eastAsia"/>
              </w:rPr>
            </w:pPr>
            <w:r>
              <w:rPr>
                <w:rFonts w:hint="eastAsia"/>
                <w:szCs w:val="24"/>
              </w:rPr>
              <w:t>《基金合同》生效后与基金相关的律师费、基金份额持有人大会费用、基金的证券交易费用、基金的银行汇划费用、基金的相关账户的开户费用、账户维护费用等费用，以及按照国家有关规定和《基金合同》约定，可以在基金财产中列支的其他费用。费用类别详见本基金《基金合同》及《招募说明书》或其更新</w:t>
            </w:r>
            <w:r>
              <w:rPr>
                <w:rFonts w:hint="eastAsia"/>
                <w:szCs w:val="24"/>
              </w:rPr>
              <w:t>。</w:t>
            </w:r>
          </w:p>
        </w:tc>
      </w:tr>
    </w:tbl>
    <w:bookmarkEnd w:id="22"/>
    <w:p w:rsidR="00000000" w:rsidRDefault="00050CC0">
      <w:pPr>
        <w:spacing w:line="312" w:lineRule="exact"/>
        <w:rPr>
          <w:rFonts w:hint="eastAsia"/>
        </w:rPr>
      </w:pPr>
      <w:r>
        <w:rPr>
          <w:rFonts w:hint="eastAsia"/>
          <w:szCs w:val="21"/>
        </w:rPr>
        <w:t>注</w:t>
      </w:r>
      <w:r>
        <w:rPr>
          <w:rFonts w:hint="eastAsia"/>
          <w:szCs w:val="21"/>
        </w:rPr>
        <w:t>：</w:t>
      </w:r>
      <w:r>
        <w:rPr>
          <w:rFonts w:hint="eastAsia"/>
          <w:szCs w:val="21"/>
          <w:lang w:eastAsia="zh-Hans"/>
        </w:rPr>
        <w:t>1</w:t>
      </w:r>
      <w:r>
        <w:rPr>
          <w:rFonts w:hint="eastAsia"/>
          <w:szCs w:val="21"/>
          <w:lang w:eastAsia="zh-Hans"/>
        </w:rPr>
        <w:t>、本基金根据每一基金份额的持有期限与持有期间年化收益率，在赎回、转出基金份额或基金合同终止的情形发生时确定该笔基金份额对应的管理费。当投资者赎回、转出基金份额或基金合同终止的情形发生时，持有期限不足一年（即</w:t>
      </w:r>
      <w:r>
        <w:rPr>
          <w:rFonts w:hint="eastAsia"/>
          <w:szCs w:val="21"/>
          <w:lang w:eastAsia="zh-Hans"/>
        </w:rPr>
        <w:t>365</w:t>
      </w:r>
      <w:r>
        <w:rPr>
          <w:rFonts w:hint="eastAsia"/>
          <w:szCs w:val="21"/>
          <w:lang w:eastAsia="zh-Hans"/>
        </w:rPr>
        <w:t>天，下同），则按</w:t>
      </w:r>
      <w:r>
        <w:rPr>
          <w:rFonts w:hint="eastAsia"/>
          <w:szCs w:val="21"/>
          <w:lang w:eastAsia="zh-Hans"/>
        </w:rPr>
        <w:t>1.20%</w:t>
      </w:r>
      <w:r>
        <w:rPr>
          <w:rFonts w:hint="eastAsia"/>
          <w:szCs w:val="21"/>
          <w:lang w:eastAsia="zh-Hans"/>
        </w:rPr>
        <w:t>年费率收取管理费；持有期限达到一年及以上，则根据持有期间年化收益率分为以下三种情况，分别确定对应的管理费率档位：若持有期间相对业绩比较基准的年化超额收益率（扣除超额管理费后）超过</w:t>
      </w:r>
      <w:r>
        <w:rPr>
          <w:rFonts w:hint="eastAsia"/>
          <w:szCs w:val="21"/>
          <w:lang w:eastAsia="zh-Hans"/>
        </w:rPr>
        <w:t>6%</w:t>
      </w:r>
      <w:r>
        <w:rPr>
          <w:rFonts w:hint="eastAsia"/>
          <w:szCs w:val="21"/>
          <w:lang w:eastAsia="zh-Hans"/>
        </w:rPr>
        <w:t>且持有收益率（扣除超额管理费后）为正，按</w:t>
      </w:r>
      <w:r>
        <w:rPr>
          <w:rFonts w:hint="eastAsia"/>
          <w:szCs w:val="21"/>
          <w:lang w:eastAsia="zh-Hans"/>
        </w:rPr>
        <w:t>1.50%</w:t>
      </w:r>
      <w:r>
        <w:rPr>
          <w:rFonts w:hint="eastAsia"/>
          <w:szCs w:val="21"/>
          <w:lang w:eastAsia="zh-Hans"/>
        </w:rPr>
        <w:t>年费率（固定管理费</w:t>
      </w:r>
      <w:r>
        <w:rPr>
          <w:rFonts w:hint="eastAsia"/>
          <w:szCs w:val="21"/>
          <w:lang w:eastAsia="zh-Hans"/>
        </w:rPr>
        <w:t>+</w:t>
      </w:r>
      <w:r>
        <w:rPr>
          <w:rFonts w:hint="eastAsia"/>
          <w:szCs w:val="21"/>
          <w:lang w:eastAsia="zh-Hans"/>
        </w:rPr>
        <w:t>或有管理费</w:t>
      </w:r>
      <w:r>
        <w:rPr>
          <w:rFonts w:hint="eastAsia"/>
          <w:szCs w:val="21"/>
          <w:lang w:eastAsia="zh-Hans"/>
        </w:rPr>
        <w:t>+</w:t>
      </w:r>
      <w:r>
        <w:rPr>
          <w:rFonts w:hint="eastAsia"/>
          <w:szCs w:val="21"/>
          <w:lang w:eastAsia="zh-Hans"/>
        </w:rPr>
        <w:t>超额管理</w:t>
      </w:r>
      <w:r>
        <w:rPr>
          <w:rFonts w:hint="eastAsia"/>
          <w:szCs w:val="21"/>
          <w:lang w:eastAsia="zh-Hans"/>
        </w:rPr>
        <w:t>费）确认管理费；若持有期间相对业绩比较基准的年化超额收益率在</w:t>
      </w:r>
      <w:r>
        <w:rPr>
          <w:rFonts w:hint="eastAsia"/>
          <w:szCs w:val="21"/>
          <w:lang w:eastAsia="zh-Hans"/>
        </w:rPr>
        <w:t>-3%</w:t>
      </w:r>
      <w:r>
        <w:rPr>
          <w:rFonts w:hint="eastAsia"/>
          <w:szCs w:val="21"/>
          <w:lang w:eastAsia="zh-Hans"/>
        </w:rPr>
        <w:t>及以下，按</w:t>
      </w:r>
      <w:r>
        <w:rPr>
          <w:rFonts w:hint="eastAsia"/>
          <w:szCs w:val="21"/>
          <w:lang w:eastAsia="zh-Hans"/>
        </w:rPr>
        <w:t>0.60%</w:t>
      </w:r>
      <w:r>
        <w:rPr>
          <w:rFonts w:hint="eastAsia"/>
          <w:szCs w:val="21"/>
          <w:lang w:eastAsia="zh-Hans"/>
        </w:rPr>
        <w:t>年费率（固定管理费）确认管理费；其他情形按</w:t>
      </w:r>
      <w:r>
        <w:rPr>
          <w:rFonts w:hint="eastAsia"/>
          <w:szCs w:val="21"/>
          <w:lang w:eastAsia="zh-Hans"/>
        </w:rPr>
        <w:t>1.20%</w:t>
      </w:r>
      <w:r>
        <w:rPr>
          <w:rFonts w:hint="eastAsia"/>
          <w:szCs w:val="21"/>
          <w:lang w:eastAsia="zh-Hans"/>
        </w:rPr>
        <w:t>年费率（固定管理费</w:t>
      </w:r>
      <w:r>
        <w:rPr>
          <w:rFonts w:hint="eastAsia"/>
          <w:szCs w:val="21"/>
          <w:lang w:eastAsia="zh-Hans"/>
        </w:rPr>
        <w:t>+</w:t>
      </w:r>
      <w:r>
        <w:rPr>
          <w:rFonts w:hint="eastAsia"/>
          <w:szCs w:val="21"/>
          <w:lang w:eastAsia="zh-Hans"/>
        </w:rPr>
        <w:t>或有管理费）确认管理费。</w:t>
      </w:r>
      <w:r>
        <w:rPr>
          <w:rFonts w:hint="eastAsia"/>
          <w:szCs w:val="21"/>
          <w:lang w:eastAsia="zh-Hans"/>
        </w:rPr>
        <w:br/>
      </w:r>
      <w:r>
        <w:rPr>
          <w:rFonts w:hint="eastAsia"/>
          <w:szCs w:val="21"/>
          <w:lang w:eastAsia="zh-Hans"/>
        </w:rPr>
        <w:t xml:space="preserve">　　</w:t>
      </w:r>
      <w:r>
        <w:rPr>
          <w:rFonts w:hint="eastAsia"/>
          <w:szCs w:val="21"/>
          <w:lang w:eastAsia="zh-Hans"/>
        </w:rPr>
        <w:t>2</w:t>
      </w:r>
      <w:r>
        <w:rPr>
          <w:rFonts w:hint="eastAsia"/>
          <w:szCs w:val="21"/>
          <w:lang w:eastAsia="zh-Hans"/>
        </w:rPr>
        <w:t>、本基金或有管理费、超额管理费的计算、支付等相关规定详见基金合同、招募说明书。</w:t>
      </w:r>
      <w:r>
        <w:rPr>
          <w:rFonts w:hint="eastAsia"/>
          <w:szCs w:val="21"/>
          <w:lang w:eastAsia="zh-Hans"/>
        </w:rPr>
        <w:br/>
      </w:r>
      <w:r>
        <w:rPr>
          <w:rFonts w:hint="eastAsia"/>
          <w:szCs w:val="21"/>
          <w:lang w:eastAsia="zh-Hans"/>
        </w:rPr>
        <w:t xml:space="preserve">　　</w:t>
      </w:r>
      <w:r>
        <w:rPr>
          <w:rFonts w:hint="eastAsia"/>
          <w:szCs w:val="21"/>
          <w:lang w:eastAsia="zh-Hans"/>
        </w:rPr>
        <w:t>3</w:t>
      </w:r>
      <w:r>
        <w:rPr>
          <w:rFonts w:hint="eastAsia"/>
          <w:szCs w:val="21"/>
          <w:lang w:eastAsia="zh-Hans"/>
        </w:rPr>
        <w:t>、本基金交易证券、基金等产生的费用和税负，按实际发生额从基金资产扣除</w:t>
      </w:r>
      <w:r>
        <w:rPr>
          <w:rFonts w:hint="eastAsia"/>
          <w:szCs w:val="21"/>
          <w:lang w:eastAsia="zh-Hans"/>
        </w:rPr>
        <w:t>。</w:t>
      </w:r>
      <w:bookmarkEnd w:id="60"/>
      <w:r>
        <w:rPr>
          <w:rFonts w:hint="eastAsia"/>
        </w:rPr>
        <w:t xml:space="preserve"> </w:t>
      </w:r>
    </w:p>
    <w:p w:rsidR="00000000" w:rsidRDefault="00050CC0">
      <w:pPr>
        <w:pStyle w:val="XBRLTitle1"/>
        <w:spacing w:before="156" w:line="312" w:lineRule="exact"/>
        <w:divId w:val="423301397"/>
        <w:rPr>
          <w:rFonts w:hint="eastAsia"/>
        </w:rPr>
      </w:pPr>
      <w:bookmarkStart w:id="104" w:name="_Toc374332122"/>
      <w:r>
        <w:rPr>
          <w:rFonts w:hAnsi="宋体" w:hint="eastAsia"/>
        </w:rPr>
        <w:t>风险揭示与重要提</w:t>
      </w:r>
      <w:r>
        <w:rPr>
          <w:rFonts w:hAnsi="宋体" w:hint="eastAsia"/>
        </w:rPr>
        <w:t>示</w:t>
      </w:r>
      <w:bookmarkEnd w:id="104"/>
      <w:bookmarkEnd w:id="24"/>
      <w:bookmarkEnd w:id="25"/>
      <w:r>
        <w:rPr>
          <w:rFonts w:hAnsi="宋体" w:hint="eastAsia"/>
        </w:rPr>
        <w:t xml:space="preserve"> </w:t>
      </w:r>
    </w:p>
    <w:p w:rsidR="00000000" w:rsidRDefault="00050CC0">
      <w:pPr>
        <w:pStyle w:val="XBRLTitle2"/>
        <w:spacing w:before="156" w:line="312" w:lineRule="exact"/>
        <w:divId w:val="1374502072"/>
        <w:rPr>
          <w:rFonts w:hint="eastAsia"/>
        </w:rPr>
      </w:pPr>
      <w:bookmarkStart w:id="105" w:name="_Toc374332132"/>
      <w:r>
        <w:rPr>
          <w:rFonts w:hAnsi="宋体" w:hint="eastAsia"/>
          <w:sz w:val="21"/>
        </w:rPr>
        <w:t>风险揭</w:t>
      </w:r>
      <w:r>
        <w:rPr>
          <w:rFonts w:hAnsi="宋体" w:hint="eastAsia"/>
          <w:sz w:val="21"/>
        </w:rPr>
        <w:t>示</w:t>
      </w:r>
      <w:bookmarkEnd w:id="105"/>
      <w:bookmarkEnd w:id="50"/>
      <w:bookmarkEnd w:id="51"/>
      <w:bookmarkEnd w:id="52"/>
      <w:bookmarkEnd w:id="53"/>
      <w:bookmarkEnd w:id="54"/>
      <w:bookmarkEnd w:id="55"/>
      <w:bookmarkEnd w:id="56"/>
      <w:bookmarkEnd w:id="57"/>
      <w:bookmarkEnd w:id="58"/>
      <w:bookmarkEnd w:id="59"/>
      <w:r>
        <w:rPr>
          <w:rFonts w:hAnsi="宋体" w:hint="eastAsia"/>
          <w:sz w:val="21"/>
        </w:rPr>
        <w:t xml:space="preserve"> </w:t>
      </w:r>
    </w:p>
    <w:p w:rsidR="00000000" w:rsidRDefault="00050CC0">
      <w:pPr>
        <w:spacing w:line="312" w:lineRule="exact"/>
        <w:ind w:firstLineChars="200" w:firstLine="422"/>
        <w:divId w:val="1374502072"/>
        <w:rPr>
          <w:rFonts w:hint="eastAsia"/>
        </w:rPr>
      </w:pPr>
      <w:r>
        <w:rPr>
          <w:rFonts w:hint="eastAsia"/>
          <w:b/>
          <w:bCs/>
          <w:kern w:val="0"/>
        </w:rPr>
        <w:t xml:space="preserve">本基金不提供任何保证。投资者可能损失投资本金。投资有风险，投资者购买基金时应认真阅读本基金的《招募说明书》等销售文件。　</w:t>
      </w:r>
      <w:r>
        <w:rPr>
          <w:rFonts w:hint="eastAsia"/>
          <w:b/>
          <w:bCs/>
          <w:kern w:val="0"/>
        </w:rPr>
        <w:br/>
      </w:r>
      <w:r>
        <w:rPr>
          <w:rFonts w:hint="eastAsia"/>
          <w:b/>
          <w:bCs/>
          <w:kern w:val="0"/>
        </w:rPr>
        <w:t xml:space="preserve">　　本基金投资于证券市场，基金净值会因为证券市场波动等因素产生波动，投资者在投资本基金前，应全面了解本基金的产品特性，理性判断市场，并承担基金投资中出现的各类风险，包括：市场风险、信用风险、浮动管理费模式相关风险、资产配置风险、国债期货</w:t>
      </w:r>
      <w:r>
        <w:rPr>
          <w:rFonts w:hint="eastAsia"/>
          <w:b/>
          <w:bCs/>
          <w:kern w:val="0"/>
        </w:rPr>
        <w:t>/</w:t>
      </w:r>
      <w:r>
        <w:rPr>
          <w:rFonts w:hint="eastAsia"/>
          <w:b/>
          <w:bCs/>
          <w:kern w:val="0"/>
        </w:rPr>
        <w:t>股指期货投资风险、资产支持证券投资风险、港股通机制下的投资风险、科创板股票的投资风险、参与融资业务相关风险、投资于存托凭证的风险、投资于北京证券交易所上市股票的风险、流动性风险、管理风险、合规性风险、操作风险、基金财产投资运营过程中的增值税风险、本基金法律文件风险收益特征表</w:t>
      </w:r>
      <w:r>
        <w:rPr>
          <w:rFonts w:hint="eastAsia"/>
          <w:b/>
          <w:bCs/>
          <w:kern w:val="0"/>
        </w:rPr>
        <w:t>述与销售机构基金风险评价可能不一致的风险、销售服务费采取先收后返模式的风险、其他风险等。</w:t>
      </w:r>
      <w:r>
        <w:rPr>
          <w:rFonts w:hint="eastAsia"/>
          <w:b/>
          <w:bCs/>
          <w:kern w:val="0"/>
        </w:rPr>
        <w:br/>
      </w:r>
      <w:r>
        <w:rPr>
          <w:rFonts w:hint="eastAsia"/>
          <w:b/>
          <w:bCs/>
          <w:kern w:val="0"/>
        </w:rPr>
        <w:t xml:space="preserve">　　本基金特有的风险：</w:t>
      </w:r>
      <w:r>
        <w:rPr>
          <w:rFonts w:hint="eastAsia"/>
          <w:b/>
          <w:bCs/>
          <w:kern w:val="0"/>
        </w:rPr>
        <w:br/>
      </w:r>
      <w:r>
        <w:rPr>
          <w:rFonts w:hint="eastAsia"/>
          <w:b/>
          <w:bCs/>
          <w:kern w:val="0"/>
        </w:rPr>
        <w:t xml:space="preserve">　　</w:t>
      </w:r>
      <w:r>
        <w:rPr>
          <w:rFonts w:hint="eastAsia"/>
          <w:b/>
          <w:bCs/>
          <w:kern w:val="0"/>
        </w:rPr>
        <w:t>1</w:t>
      </w:r>
      <w:r>
        <w:rPr>
          <w:rFonts w:hint="eastAsia"/>
          <w:b/>
          <w:bCs/>
          <w:kern w:val="0"/>
        </w:rPr>
        <w:t>、浮动管理费模式相关风险</w:t>
      </w:r>
      <w:r>
        <w:rPr>
          <w:rFonts w:hint="eastAsia"/>
          <w:b/>
          <w:bCs/>
          <w:kern w:val="0"/>
        </w:rPr>
        <w:br/>
      </w:r>
      <w:r>
        <w:rPr>
          <w:rFonts w:hint="eastAsia"/>
          <w:b/>
          <w:bCs/>
          <w:kern w:val="0"/>
        </w:rPr>
        <w:t xml:space="preserve">　　（</w:t>
      </w:r>
      <w:r>
        <w:rPr>
          <w:rFonts w:hint="eastAsia"/>
          <w:b/>
          <w:bCs/>
          <w:kern w:val="0"/>
        </w:rPr>
        <w:t>1</w:t>
      </w:r>
      <w:r>
        <w:rPr>
          <w:rFonts w:hint="eastAsia"/>
          <w:b/>
          <w:bCs/>
          <w:kern w:val="0"/>
        </w:rPr>
        <w:t>）本基金的管理费由固定管理费、或有管理费和超额管理费组成，其中或有管理费和超额管理费取决于每笔基金份额的持有时长和持有期间年化收益率水平（详见基金合同“第十五部分</w:t>
      </w:r>
      <w:r>
        <w:rPr>
          <w:rFonts w:hint="eastAsia"/>
          <w:b/>
          <w:bCs/>
          <w:kern w:val="0"/>
        </w:rPr>
        <w:t xml:space="preserve"> </w:t>
      </w:r>
      <w:r>
        <w:rPr>
          <w:rFonts w:hint="eastAsia"/>
          <w:b/>
          <w:bCs/>
          <w:kern w:val="0"/>
        </w:rPr>
        <w:t>基金费用与税收”），因此投资者在认</w:t>
      </w:r>
      <w:r>
        <w:rPr>
          <w:rFonts w:hint="eastAsia"/>
          <w:b/>
          <w:bCs/>
          <w:kern w:val="0"/>
        </w:rPr>
        <w:t>/</w:t>
      </w:r>
      <w:r>
        <w:rPr>
          <w:rFonts w:hint="eastAsia"/>
          <w:b/>
          <w:bCs/>
          <w:kern w:val="0"/>
        </w:rPr>
        <w:t>申购本基金时无法预先确定本基金的整体管理费水平。</w:t>
      </w:r>
      <w:r>
        <w:rPr>
          <w:rFonts w:hint="eastAsia"/>
          <w:b/>
          <w:bCs/>
          <w:kern w:val="0"/>
        </w:rPr>
        <w:br/>
      </w:r>
      <w:r>
        <w:rPr>
          <w:rFonts w:hint="eastAsia"/>
          <w:b/>
          <w:bCs/>
          <w:kern w:val="0"/>
        </w:rPr>
        <w:t xml:space="preserve">　　（</w:t>
      </w:r>
      <w:r>
        <w:rPr>
          <w:rFonts w:hint="eastAsia"/>
          <w:b/>
          <w:bCs/>
          <w:kern w:val="0"/>
        </w:rPr>
        <w:t>2</w:t>
      </w:r>
      <w:r>
        <w:rPr>
          <w:rFonts w:hint="eastAsia"/>
          <w:b/>
          <w:bCs/>
          <w:kern w:val="0"/>
        </w:rPr>
        <w:t>）由于本基金在计算基金份额净值时，按前一日基金资产净值的</w:t>
      </w:r>
      <w:r>
        <w:rPr>
          <w:rFonts w:hint="eastAsia"/>
          <w:b/>
          <w:bCs/>
          <w:kern w:val="0"/>
        </w:rPr>
        <w:t>1.20%</w:t>
      </w:r>
      <w:r>
        <w:rPr>
          <w:rFonts w:hint="eastAsia"/>
          <w:b/>
          <w:bCs/>
          <w:kern w:val="0"/>
        </w:rPr>
        <w:t>年费率计算管理费，该费率可能高于或</w:t>
      </w:r>
      <w:r>
        <w:rPr>
          <w:rFonts w:hint="eastAsia"/>
          <w:b/>
          <w:bCs/>
          <w:kern w:val="0"/>
        </w:rPr>
        <w:t>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r>
        <w:rPr>
          <w:rFonts w:hint="eastAsia"/>
          <w:b/>
          <w:bCs/>
          <w:kern w:val="0"/>
        </w:rPr>
        <w:br/>
      </w:r>
      <w:r>
        <w:rPr>
          <w:rFonts w:hint="eastAsia"/>
          <w:b/>
          <w:bCs/>
          <w:kern w:val="0"/>
        </w:rPr>
        <w:t xml:space="preserve">　　（</w:t>
      </w:r>
      <w:r>
        <w:rPr>
          <w:rFonts w:hint="eastAsia"/>
          <w:b/>
          <w:bCs/>
          <w:kern w:val="0"/>
        </w:rPr>
        <w:t>3</w:t>
      </w:r>
      <w:r>
        <w:rPr>
          <w:rFonts w:hint="eastAsia"/>
          <w:b/>
          <w:bCs/>
          <w:kern w:val="0"/>
        </w:rPr>
        <w:t>）本基金采用浮动管理费的收费模式，不代表基金管理人对基金收益的保证。</w:t>
      </w:r>
      <w:r>
        <w:rPr>
          <w:rFonts w:hint="eastAsia"/>
          <w:b/>
          <w:bCs/>
          <w:kern w:val="0"/>
        </w:rPr>
        <w:br/>
      </w:r>
      <w:r>
        <w:rPr>
          <w:rFonts w:hint="eastAsia"/>
          <w:b/>
          <w:bCs/>
          <w:kern w:val="0"/>
        </w:rPr>
        <w:t xml:space="preserve">　　（</w:t>
      </w:r>
      <w:r>
        <w:rPr>
          <w:rFonts w:hint="eastAsia"/>
          <w:b/>
          <w:bCs/>
          <w:kern w:val="0"/>
        </w:rPr>
        <w:t>4</w:t>
      </w:r>
      <w:r>
        <w:rPr>
          <w:rFonts w:hint="eastAsia"/>
          <w:b/>
          <w:bCs/>
          <w:kern w:val="0"/>
        </w:rPr>
        <w:t>）根据基金合同约定，对于投资者赎回或转换转出或基金合同终止的情形发生时持有期限不足一年的基金份额，将不考虑其收益率情况，均按</w:t>
      </w:r>
      <w:r>
        <w:rPr>
          <w:rFonts w:hint="eastAsia"/>
          <w:b/>
          <w:bCs/>
          <w:kern w:val="0"/>
        </w:rPr>
        <w:t>1.2%</w:t>
      </w:r>
      <w:r>
        <w:rPr>
          <w:rFonts w:hint="eastAsia"/>
          <w:b/>
          <w:bCs/>
          <w:kern w:val="0"/>
        </w:rPr>
        <w:t>年费率收取管理费，因此存在投资者的持有期间年化收益率低于业绩比较基</w:t>
      </w:r>
      <w:r>
        <w:rPr>
          <w:rFonts w:hint="eastAsia"/>
          <w:b/>
          <w:bCs/>
          <w:kern w:val="0"/>
        </w:rPr>
        <w:t>准一定比例，但因持有期限不满一年从而无法获得或有管理费返还的风险。</w:t>
      </w:r>
      <w:r>
        <w:rPr>
          <w:rFonts w:hint="eastAsia"/>
          <w:b/>
          <w:bCs/>
          <w:kern w:val="0"/>
        </w:rPr>
        <w:br/>
      </w:r>
      <w:r>
        <w:rPr>
          <w:rFonts w:hint="eastAsia"/>
          <w:b/>
          <w:bCs/>
          <w:kern w:val="0"/>
        </w:rPr>
        <w:t xml:space="preserve">　　</w:t>
      </w:r>
      <w:r>
        <w:rPr>
          <w:rFonts w:hint="eastAsia"/>
          <w:b/>
          <w:bCs/>
          <w:kern w:val="0"/>
        </w:rPr>
        <w:t>2</w:t>
      </w:r>
      <w:r>
        <w:rPr>
          <w:rFonts w:hint="eastAsia"/>
          <w:b/>
          <w:bCs/>
          <w:kern w:val="0"/>
        </w:rPr>
        <w:t>、资产配置风险</w:t>
      </w:r>
      <w:r>
        <w:rPr>
          <w:rFonts w:hint="eastAsia"/>
          <w:b/>
          <w:bCs/>
          <w:kern w:val="0"/>
        </w:rPr>
        <w:br/>
      </w:r>
      <w:r>
        <w:rPr>
          <w:rFonts w:hint="eastAsia"/>
          <w:b/>
          <w:bCs/>
          <w:kern w:val="0"/>
        </w:rPr>
        <w:t xml:space="preserve">　　本基金是混合型基金，股票资产投资比例为基金资产的</w:t>
      </w:r>
      <w:r>
        <w:rPr>
          <w:rFonts w:hint="eastAsia"/>
          <w:b/>
          <w:bCs/>
          <w:kern w:val="0"/>
        </w:rPr>
        <w:t>60%-95%</w:t>
      </w:r>
      <w:r>
        <w:rPr>
          <w:rFonts w:hint="eastAsia"/>
          <w:b/>
          <w:bCs/>
          <w:kern w:val="0"/>
        </w:rPr>
        <w:t>，属于股票仓位偏高且相对稳定的基金品种，受股票市场系统性风险影响较大。如果股票市场出现整体下跌，本基金的净值表现将受到影响，投资者面临无法获得收益甚至可能发生较大亏损的风险。</w:t>
      </w:r>
      <w:r>
        <w:rPr>
          <w:rFonts w:hint="eastAsia"/>
          <w:b/>
          <w:bCs/>
          <w:kern w:val="0"/>
        </w:rPr>
        <w:br/>
      </w:r>
      <w:r>
        <w:rPr>
          <w:rFonts w:hint="eastAsia"/>
          <w:b/>
          <w:bCs/>
          <w:kern w:val="0"/>
        </w:rPr>
        <w:t xml:space="preserve">　　</w:t>
      </w:r>
      <w:r>
        <w:rPr>
          <w:rFonts w:hint="eastAsia"/>
          <w:b/>
          <w:bCs/>
          <w:kern w:val="0"/>
        </w:rPr>
        <w:t>3</w:t>
      </w:r>
      <w:r>
        <w:rPr>
          <w:rFonts w:hint="eastAsia"/>
          <w:b/>
          <w:bCs/>
          <w:kern w:val="0"/>
        </w:rPr>
        <w:t>、股指期货、国债期货投资风险</w:t>
      </w:r>
      <w:r>
        <w:rPr>
          <w:rFonts w:hint="eastAsia"/>
          <w:b/>
          <w:bCs/>
          <w:kern w:val="0"/>
        </w:rPr>
        <w:br/>
      </w:r>
      <w:r>
        <w:rPr>
          <w:rFonts w:hint="eastAsia"/>
          <w:b/>
          <w:bCs/>
          <w:kern w:val="0"/>
        </w:rPr>
        <w:t xml:space="preserve">　　本基金可投资股指期货、国债期货，股指期货、国债期货采用保证金交易制度，由于保证金交易具有杠杆性，当出现不利行情时，可能会使投资人权益遭受较大</w:t>
      </w:r>
      <w:r>
        <w:rPr>
          <w:rFonts w:hint="eastAsia"/>
          <w:b/>
          <w:bCs/>
          <w:kern w:val="0"/>
        </w:rPr>
        <w:t>损失。股指期货、国债期货采用每日无负债结算制度，如果没有在规定的时间内补足保证金，按规定将被强制平仓，可能给投资带来重大损失。</w:t>
      </w:r>
      <w:r>
        <w:rPr>
          <w:rFonts w:hint="eastAsia"/>
          <w:b/>
          <w:bCs/>
          <w:kern w:val="0"/>
        </w:rPr>
        <w:br/>
      </w:r>
      <w:r>
        <w:rPr>
          <w:rFonts w:hint="eastAsia"/>
          <w:b/>
          <w:bCs/>
          <w:kern w:val="0"/>
        </w:rPr>
        <w:t xml:space="preserve">　　</w:t>
      </w:r>
      <w:r>
        <w:rPr>
          <w:rFonts w:hint="eastAsia"/>
          <w:b/>
          <w:bCs/>
          <w:kern w:val="0"/>
        </w:rPr>
        <w:t>4</w:t>
      </w:r>
      <w:r>
        <w:rPr>
          <w:rFonts w:hint="eastAsia"/>
          <w:b/>
          <w:bCs/>
          <w:kern w:val="0"/>
        </w:rPr>
        <w:t>、资产支持证券投资风险</w:t>
      </w:r>
      <w:r>
        <w:rPr>
          <w:rFonts w:hint="eastAsia"/>
          <w:b/>
          <w:bCs/>
          <w:kern w:val="0"/>
        </w:rPr>
        <w:br/>
      </w:r>
      <w:r>
        <w:rPr>
          <w:rFonts w:hint="eastAsia"/>
          <w:b/>
          <w:bCs/>
          <w:kern w:val="0"/>
        </w:rPr>
        <w:t xml:space="preserve">　　本基金可投资资产支持证券，资产支持证券在国内市场尚处发展初期，具有低流动性、高收益的特征，并存在一定的投资风险。资产支持证券的投资与基金资产密切相关，因此会受到特定原始权益人破产风险及现金流预测风险等的影响；当本基金投资的资产支持证券信用评级发生变化时，本基金将需要面对临时调整持仓的风险；此外当资产支持证券相关的发行人、基金管理人、基金托管人等出现</w:t>
      </w:r>
      <w:r>
        <w:rPr>
          <w:rFonts w:hint="eastAsia"/>
          <w:b/>
          <w:bCs/>
          <w:kern w:val="0"/>
        </w:rPr>
        <w:t>违规违约时，本基金将面临无法收取投资收益甚至损失本金的风险。</w:t>
      </w:r>
      <w:r>
        <w:rPr>
          <w:rFonts w:hint="eastAsia"/>
          <w:b/>
          <w:bCs/>
          <w:kern w:val="0"/>
        </w:rPr>
        <w:br/>
      </w:r>
      <w:r>
        <w:rPr>
          <w:rFonts w:hint="eastAsia"/>
          <w:b/>
          <w:bCs/>
          <w:kern w:val="0"/>
        </w:rPr>
        <w:t xml:space="preserve">　　</w:t>
      </w:r>
      <w:r>
        <w:rPr>
          <w:rFonts w:hint="eastAsia"/>
          <w:b/>
          <w:bCs/>
          <w:kern w:val="0"/>
        </w:rPr>
        <w:t>5</w:t>
      </w:r>
      <w:r>
        <w:rPr>
          <w:rFonts w:hint="eastAsia"/>
          <w:b/>
          <w:bCs/>
          <w:kern w:val="0"/>
        </w:rPr>
        <w:t>、港股通机制下的投资风险</w:t>
      </w:r>
      <w:r>
        <w:rPr>
          <w:rFonts w:hint="eastAsia"/>
          <w:b/>
          <w:bCs/>
          <w:kern w:val="0"/>
        </w:rPr>
        <w:br/>
      </w:r>
      <w:r>
        <w:rPr>
          <w:rFonts w:hint="eastAsia"/>
          <w:b/>
          <w:bCs/>
          <w:kern w:val="0"/>
        </w:rPr>
        <w:t xml:space="preserve">　　（</w:t>
      </w:r>
      <w:r>
        <w:rPr>
          <w:rFonts w:hint="eastAsia"/>
          <w:b/>
          <w:bCs/>
          <w:kern w:val="0"/>
        </w:rPr>
        <w:t>1</w:t>
      </w:r>
      <w:r>
        <w:rPr>
          <w:rFonts w:hint="eastAsia"/>
          <w:b/>
          <w:bCs/>
          <w:kern w:val="0"/>
        </w:rPr>
        <w:t>）港股交易失败风险</w:t>
      </w:r>
      <w:r>
        <w:rPr>
          <w:rFonts w:hint="eastAsia"/>
          <w:b/>
          <w:bCs/>
          <w:kern w:val="0"/>
        </w:rPr>
        <w:t xml:space="preserve"> </w:t>
      </w:r>
      <w:r>
        <w:rPr>
          <w:rFonts w:hint="eastAsia"/>
          <w:b/>
          <w:bCs/>
          <w:kern w:val="0"/>
        </w:rPr>
        <w:br/>
      </w:r>
      <w:r>
        <w:rPr>
          <w:rFonts w:hint="eastAsia"/>
          <w:b/>
          <w:bCs/>
          <w:kern w:val="0"/>
        </w:rPr>
        <w:t xml:space="preserve">　　（</w:t>
      </w:r>
      <w:r>
        <w:rPr>
          <w:rFonts w:hint="eastAsia"/>
          <w:b/>
          <w:bCs/>
          <w:kern w:val="0"/>
        </w:rPr>
        <w:t>2</w:t>
      </w:r>
      <w:r>
        <w:rPr>
          <w:rFonts w:hint="eastAsia"/>
          <w:b/>
          <w:bCs/>
          <w:kern w:val="0"/>
        </w:rPr>
        <w:t>）汇率风险</w:t>
      </w:r>
      <w:r>
        <w:rPr>
          <w:rFonts w:hint="eastAsia"/>
          <w:b/>
          <w:bCs/>
          <w:kern w:val="0"/>
        </w:rPr>
        <w:t xml:space="preserve"> </w:t>
      </w:r>
      <w:r>
        <w:rPr>
          <w:rFonts w:hint="eastAsia"/>
          <w:b/>
          <w:bCs/>
          <w:kern w:val="0"/>
        </w:rPr>
        <w:br/>
      </w:r>
      <w:r>
        <w:rPr>
          <w:rFonts w:hint="eastAsia"/>
          <w:b/>
          <w:bCs/>
          <w:kern w:val="0"/>
        </w:rPr>
        <w:t xml:space="preserve">　　（</w:t>
      </w:r>
      <w:r>
        <w:rPr>
          <w:rFonts w:hint="eastAsia"/>
          <w:b/>
          <w:bCs/>
          <w:kern w:val="0"/>
        </w:rPr>
        <w:t>3</w:t>
      </w:r>
      <w:r>
        <w:rPr>
          <w:rFonts w:hint="eastAsia"/>
          <w:b/>
          <w:bCs/>
          <w:kern w:val="0"/>
        </w:rPr>
        <w:t>）境外市场的风险</w:t>
      </w:r>
      <w:r>
        <w:rPr>
          <w:rFonts w:hint="eastAsia"/>
          <w:b/>
          <w:bCs/>
          <w:kern w:val="0"/>
        </w:rPr>
        <w:t xml:space="preserve"> </w:t>
      </w:r>
      <w:r>
        <w:rPr>
          <w:rFonts w:hint="eastAsia"/>
          <w:b/>
          <w:bCs/>
          <w:kern w:val="0"/>
        </w:rPr>
        <w:br/>
      </w:r>
      <w:r>
        <w:rPr>
          <w:rFonts w:hint="eastAsia"/>
          <w:b/>
          <w:bCs/>
          <w:kern w:val="0"/>
        </w:rPr>
        <w:t xml:space="preserve">　　</w:t>
      </w:r>
      <w:r>
        <w:rPr>
          <w:rFonts w:hint="eastAsia"/>
          <w:b/>
          <w:bCs/>
          <w:kern w:val="0"/>
        </w:rPr>
        <w:t>6</w:t>
      </w:r>
      <w:r>
        <w:rPr>
          <w:rFonts w:hint="eastAsia"/>
          <w:b/>
          <w:bCs/>
          <w:kern w:val="0"/>
        </w:rPr>
        <w:t>、科创板股票的投资风险</w:t>
      </w:r>
      <w:r>
        <w:rPr>
          <w:rFonts w:hint="eastAsia"/>
          <w:b/>
          <w:bCs/>
          <w:kern w:val="0"/>
        </w:rPr>
        <w:br/>
      </w:r>
      <w:r>
        <w:rPr>
          <w:rFonts w:hint="eastAsia"/>
          <w:b/>
          <w:bCs/>
          <w:kern w:val="0"/>
        </w:rPr>
        <w:t xml:space="preserve">　　本基金如投资科创板股票，将面临科创板股票相关的特有风险，包括但不限于：（</w:t>
      </w:r>
      <w:r>
        <w:rPr>
          <w:rFonts w:hint="eastAsia"/>
          <w:b/>
          <w:bCs/>
          <w:kern w:val="0"/>
        </w:rPr>
        <w:t>1</w:t>
      </w:r>
      <w:r>
        <w:rPr>
          <w:rFonts w:hint="eastAsia"/>
          <w:b/>
          <w:bCs/>
          <w:kern w:val="0"/>
        </w:rPr>
        <w:t>）市场风险；（</w:t>
      </w:r>
      <w:r>
        <w:rPr>
          <w:rFonts w:hint="eastAsia"/>
          <w:b/>
          <w:bCs/>
          <w:kern w:val="0"/>
        </w:rPr>
        <w:t>2</w:t>
      </w:r>
      <w:r>
        <w:rPr>
          <w:rFonts w:hint="eastAsia"/>
          <w:b/>
          <w:bCs/>
          <w:kern w:val="0"/>
        </w:rPr>
        <w:t>）股价大幅波动风险；（</w:t>
      </w:r>
      <w:r>
        <w:rPr>
          <w:rFonts w:hint="eastAsia"/>
          <w:b/>
          <w:bCs/>
          <w:kern w:val="0"/>
        </w:rPr>
        <w:t>3</w:t>
      </w:r>
      <w:r>
        <w:rPr>
          <w:rFonts w:hint="eastAsia"/>
          <w:b/>
          <w:bCs/>
          <w:kern w:val="0"/>
        </w:rPr>
        <w:t>）流动性风险；（</w:t>
      </w:r>
      <w:r>
        <w:rPr>
          <w:rFonts w:hint="eastAsia"/>
          <w:b/>
          <w:bCs/>
          <w:kern w:val="0"/>
        </w:rPr>
        <w:t>4</w:t>
      </w:r>
      <w:r>
        <w:rPr>
          <w:rFonts w:hint="eastAsia"/>
          <w:b/>
          <w:bCs/>
          <w:kern w:val="0"/>
        </w:rPr>
        <w:t>）退市风险；（</w:t>
      </w:r>
      <w:r>
        <w:rPr>
          <w:rFonts w:hint="eastAsia"/>
          <w:b/>
          <w:bCs/>
          <w:kern w:val="0"/>
        </w:rPr>
        <w:t>5</w:t>
      </w:r>
      <w:r>
        <w:rPr>
          <w:rFonts w:hint="eastAsia"/>
          <w:b/>
          <w:bCs/>
          <w:kern w:val="0"/>
        </w:rPr>
        <w:t>）系统性风险；（</w:t>
      </w:r>
      <w:r>
        <w:rPr>
          <w:rFonts w:hint="eastAsia"/>
          <w:b/>
          <w:bCs/>
          <w:kern w:val="0"/>
        </w:rPr>
        <w:t>6</w:t>
      </w:r>
      <w:r>
        <w:rPr>
          <w:rFonts w:hint="eastAsia"/>
          <w:b/>
          <w:bCs/>
          <w:kern w:val="0"/>
        </w:rPr>
        <w:t>）集中度风险；（</w:t>
      </w:r>
      <w:r>
        <w:rPr>
          <w:rFonts w:hint="eastAsia"/>
          <w:b/>
          <w:bCs/>
          <w:kern w:val="0"/>
        </w:rPr>
        <w:t>7</w:t>
      </w:r>
      <w:r>
        <w:rPr>
          <w:rFonts w:hint="eastAsia"/>
          <w:b/>
          <w:bCs/>
          <w:kern w:val="0"/>
        </w:rPr>
        <w:t>）政策及监管规则变化的风险。</w:t>
      </w:r>
      <w:r>
        <w:rPr>
          <w:rFonts w:hint="eastAsia"/>
          <w:b/>
          <w:bCs/>
          <w:kern w:val="0"/>
        </w:rPr>
        <w:br/>
      </w:r>
      <w:r>
        <w:rPr>
          <w:rFonts w:hint="eastAsia"/>
          <w:b/>
          <w:bCs/>
          <w:kern w:val="0"/>
        </w:rPr>
        <w:t xml:space="preserve">　　</w:t>
      </w:r>
      <w:r>
        <w:rPr>
          <w:rFonts w:hint="eastAsia"/>
          <w:b/>
          <w:bCs/>
          <w:kern w:val="0"/>
        </w:rPr>
        <w:t>7</w:t>
      </w:r>
      <w:r>
        <w:rPr>
          <w:rFonts w:hint="eastAsia"/>
          <w:b/>
          <w:bCs/>
          <w:kern w:val="0"/>
        </w:rPr>
        <w:t>、参与融资业务相关风险</w:t>
      </w:r>
      <w:r>
        <w:rPr>
          <w:rFonts w:hint="eastAsia"/>
          <w:b/>
          <w:bCs/>
          <w:kern w:val="0"/>
        </w:rPr>
        <w:br/>
      </w:r>
      <w:r>
        <w:rPr>
          <w:rFonts w:hint="eastAsia"/>
          <w:b/>
          <w:bCs/>
          <w:kern w:val="0"/>
        </w:rPr>
        <w:t xml:space="preserve">　　本基金可根据法律法规的规定参与融资业务，参与融资交易的风</w:t>
      </w:r>
      <w:r>
        <w:rPr>
          <w:rFonts w:hint="eastAsia"/>
          <w:b/>
          <w:bCs/>
          <w:kern w:val="0"/>
        </w:rPr>
        <w:t>险主要包括流动性风险、信用风险等，这些风险可能会给基金净值带来一定的负面影响和损失。为了更好的防范融资交易所面临的各类风险，基金管理人将遵守审慎经营原则，制定科学合理的投资策略和风险管理制度，有效防范和控制风险，切实维护基金财产的安全和基金份额持有人利益。</w:t>
      </w:r>
      <w:r>
        <w:rPr>
          <w:rFonts w:hint="eastAsia"/>
          <w:b/>
          <w:bCs/>
          <w:kern w:val="0"/>
        </w:rPr>
        <w:br/>
      </w:r>
      <w:r>
        <w:rPr>
          <w:rFonts w:hint="eastAsia"/>
          <w:b/>
          <w:bCs/>
          <w:kern w:val="0"/>
        </w:rPr>
        <w:t xml:space="preserve">　　</w:t>
      </w:r>
      <w:r>
        <w:rPr>
          <w:rFonts w:hint="eastAsia"/>
          <w:b/>
          <w:bCs/>
          <w:kern w:val="0"/>
        </w:rPr>
        <w:t>8</w:t>
      </w:r>
      <w:r>
        <w:rPr>
          <w:rFonts w:hint="eastAsia"/>
          <w:b/>
          <w:bCs/>
          <w:kern w:val="0"/>
        </w:rPr>
        <w:t>、投资于存托凭证的风险</w:t>
      </w:r>
      <w:r>
        <w:rPr>
          <w:rFonts w:hint="eastAsia"/>
          <w:b/>
          <w:bCs/>
          <w:kern w:val="0"/>
        </w:rPr>
        <w:br/>
      </w:r>
      <w:r>
        <w:rPr>
          <w:rFonts w:hint="eastAsia"/>
          <w:b/>
          <w:bCs/>
          <w:kern w:val="0"/>
        </w:rPr>
        <w:t xml:space="preserve">　　本基金的投资范围包括存托凭证，除与其他仅投资于境内市场股票的基金所面临的共同风险外，本基金还将面临中国存托凭证价格大幅波动甚至出现较大亏损的风险，以及与中国存托凭证发行机制相关的风险，包括存托凭证持有人与境外基础证券发行</w:t>
      </w:r>
      <w:r>
        <w:rPr>
          <w:rFonts w:hint="eastAsia"/>
          <w:b/>
          <w:bCs/>
          <w:kern w:val="0"/>
        </w:rPr>
        <w:t>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证券交易机制、法律制度、监管环境差异可能导致的其他风险。</w:t>
      </w:r>
      <w:r>
        <w:rPr>
          <w:rFonts w:hint="eastAsia"/>
          <w:b/>
          <w:bCs/>
          <w:kern w:val="0"/>
        </w:rPr>
        <w:br/>
      </w:r>
      <w:r>
        <w:rPr>
          <w:rFonts w:hint="eastAsia"/>
          <w:b/>
          <w:bCs/>
          <w:kern w:val="0"/>
        </w:rPr>
        <w:t xml:space="preserve">　　</w:t>
      </w:r>
      <w:r>
        <w:rPr>
          <w:rFonts w:hint="eastAsia"/>
          <w:b/>
          <w:bCs/>
          <w:kern w:val="0"/>
        </w:rPr>
        <w:t>9</w:t>
      </w:r>
      <w:r>
        <w:rPr>
          <w:rFonts w:hint="eastAsia"/>
          <w:b/>
          <w:bCs/>
          <w:kern w:val="0"/>
        </w:rPr>
        <w:t>、投资于北京证券交易所上市股票的风险</w:t>
      </w:r>
      <w:r>
        <w:rPr>
          <w:rFonts w:hint="eastAsia"/>
          <w:b/>
          <w:bCs/>
          <w:kern w:val="0"/>
        </w:rPr>
        <w:br/>
      </w:r>
      <w:r>
        <w:rPr>
          <w:rFonts w:hint="eastAsia"/>
          <w:b/>
          <w:bCs/>
          <w:kern w:val="0"/>
        </w:rPr>
        <w:t xml:space="preserve">　　北京证券交易所主要服务于创新型中小企业，在发行、上市、交易、</w:t>
      </w:r>
      <w:r>
        <w:rPr>
          <w:rFonts w:hint="eastAsia"/>
          <w:b/>
          <w:bCs/>
          <w:kern w:val="0"/>
        </w:rPr>
        <w:t>退市等方面的规则与其他交易场所存在差异，本基金须承受与之相关的特有风险。包括：（</w:t>
      </w:r>
      <w:r>
        <w:rPr>
          <w:rFonts w:hint="eastAsia"/>
          <w:b/>
          <w:bCs/>
          <w:kern w:val="0"/>
        </w:rPr>
        <w:t>1</w:t>
      </w:r>
      <w:r>
        <w:rPr>
          <w:rFonts w:hint="eastAsia"/>
          <w:b/>
          <w:bCs/>
          <w:kern w:val="0"/>
        </w:rPr>
        <w:t>）中小企业经营风险；（</w:t>
      </w:r>
      <w:r>
        <w:rPr>
          <w:rFonts w:hint="eastAsia"/>
          <w:b/>
          <w:bCs/>
          <w:kern w:val="0"/>
        </w:rPr>
        <w:t>2</w:t>
      </w:r>
      <w:r>
        <w:rPr>
          <w:rFonts w:hint="eastAsia"/>
          <w:b/>
          <w:bCs/>
          <w:kern w:val="0"/>
        </w:rPr>
        <w:t>）股价波动风险；（</w:t>
      </w:r>
      <w:r>
        <w:rPr>
          <w:rFonts w:hint="eastAsia"/>
          <w:b/>
          <w:bCs/>
          <w:kern w:val="0"/>
        </w:rPr>
        <w:t>3</w:t>
      </w:r>
      <w:r>
        <w:rPr>
          <w:rFonts w:hint="eastAsia"/>
          <w:b/>
          <w:bCs/>
          <w:kern w:val="0"/>
        </w:rPr>
        <w:t>）流动性风险；（</w:t>
      </w:r>
      <w:r>
        <w:rPr>
          <w:rFonts w:hint="eastAsia"/>
          <w:b/>
          <w:bCs/>
          <w:kern w:val="0"/>
        </w:rPr>
        <w:t>4</w:t>
      </w:r>
      <w:r>
        <w:rPr>
          <w:rFonts w:hint="eastAsia"/>
          <w:b/>
          <w:bCs/>
          <w:kern w:val="0"/>
        </w:rPr>
        <w:t>）集中度风险；（</w:t>
      </w:r>
      <w:r>
        <w:rPr>
          <w:rFonts w:hint="eastAsia"/>
          <w:b/>
          <w:bCs/>
          <w:kern w:val="0"/>
        </w:rPr>
        <w:t>5</w:t>
      </w:r>
      <w:r>
        <w:rPr>
          <w:rFonts w:hint="eastAsia"/>
          <w:b/>
          <w:bCs/>
          <w:kern w:val="0"/>
        </w:rPr>
        <w:t>）转板风险；（</w:t>
      </w:r>
      <w:r>
        <w:rPr>
          <w:rFonts w:hint="eastAsia"/>
          <w:b/>
          <w:bCs/>
          <w:kern w:val="0"/>
        </w:rPr>
        <w:t>6</w:t>
      </w:r>
      <w:r>
        <w:rPr>
          <w:rFonts w:hint="eastAsia"/>
          <w:b/>
          <w:bCs/>
          <w:kern w:val="0"/>
        </w:rPr>
        <w:t>）退市风险；（</w:t>
      </w:r>
      <w:r>
        <w:rPr>
          <w:rFonts w:hint="eastAsia"/>
          <w:b/>
          <w:bCs/>
          <w:kern w:val="0"/>
        </w:rPr>
        <w:t>7</w:t>
      </w:r>
      <w:r>
        <w:rPr>
          <w:rFonts w:hint="eastAsia"/>
          <w:b/>
          <w:bCs/>
          <w:kern w:val="0"/>
        </w:rPr>
        <w:t>）由于存在表决权差异安排可能引发的风险；（</w:t>
      </w:r>
      <w:r>
        <w:rPr>
          <w:rFonts w:hint="eastAsia"/>
          <w:b/>
          <w:bCs/>
          <w:kern w:val="0"/>
        </w:rPr>
        <w:t>8</w:t>
      </w:r>
      <w:r>
        <w:rPr>
          <w:rFonts w:hint="eastAsia"/>
          <w:b/>
          <w:bCs/>
          <w:kern w:val="0"/>
        </w:rPr>
        <w:t>）监管规则变化的风险。</w:t>
      </w:r>
      <w:r>
        <w:rPr>
          <w:rFonts w:hint="eastAsia"/>
          <w:b/>
          <w:bCs/>
          <w:kern w:val="0"/>
        </w:rPr>
        <w:t xml:space="preserve"> </w:t>
      </w:r>
    </w:p>
    <w:p w:rsidR="00000000" w:rsidRDefault="00050CC0">
      <w:pPr>
        <w:pStyle w:val="XBRLTitle2"/>
        <w:spacing w:before="156" w:line="312" w:lineRule="exact"/>
        <w:divId w:val="1746953180"/>
        <w:rPr>
          <w:rFonts w:hint="eastAsia"/>
        </w:rPr>
      </w:pPr>
      <w:bookmarkStart w:id="106" w:name="_Toc374332142"/>
      <w:r>
        <w:rPr>
          <w:rFonts w:hAnsi="宋体" w:hint="eastAsia"/>
          <w:sz w:val="21"/>
        </w:rPr>
        <w:t>重要提</w:t>
      </w:r>
      <w:r>
        <w:rPr>
          <w:rFonts w:hAnsi="宋体" w:hint="eastAsia"/>
          <w:sz w:val="21"/>
        </w:rPr>
        <w:t>示</w:t>
      </w:r>
      <w:bookmarkEnd w:id="106"/>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63"/>
      <w:bookmarkEnd w:id="64"/>
      <w:bookmarkEnd w:id="65"/>
      <w:bookmarkEnd w:id="66"/>
      <w:bookmarkEnd w:id="67"/>
      <w:r>
        <w:rPr>
          <w:rFonts w:hAnsi="宋体" w:hint="eastAsia"/>
          <w:sz w:val="21"/>
        </w:rPr>
        <w:t xml:space="preserve"> </w:t>
      </w:r>
    </w:p>
    <w:p w:rsidR="00000000" w:rsidRDefault="00050CC0">
      <w:pPr>
        <w:spacing w:line="312" w:lineRule="exact"/>
        <w:ind w:firstLineChars="200" w:firstLine="422"/>
        <w:divId w:val="1746953180"/>
        <w:rPr>
          <w:rFonts w:hint="eastAsia"/>
        </w:rPr>
      </w:pPr>
      <w:r>
        <w:rPr>
          <w:rFonts w:hint="eastAsia"/>
          <w:b/>
          <w:bCs/>
          <w:kern w:val="0"/>
        </w:rPr>
        <w:t>中国证监会对本基金募集的注册，并不表明其对本基金的价值和收益做出实质性判断或保证，也不表明投资于本基金没有风险。</w:t>
      </w:r>
      <w:r>
        <w:rPr>
          <w:rFonts w:hint="eastAsia"/>
          <w:b/>
          <w:bCs/>
          <w:kern w:val="0"/>
        </w:rPr>
        <w:br/>
      </w:r>
      <w:r>
        <w:rPr>
          <w:rFonts w:hint="eastAsia"/>
          <w:b/>
          <w:bCs/>
          <w:kern w:val="0"/>
        </w:rPr>
        <w:t xml:space="preserve">　　基金管理人依照恪尽职守、诚实守信、谨慎勤勉的原则管理和运用基金财产，但不保证基金一定盈利，也不得保证最低收益。</w:t>
      </w:r>
      <w:r>
        <w:rPr>
          <w:rFonts w:hint="eastAsia"/>
          <w:b/>
          <w:bCs/>
          <w:kern w:val="0"/>
        </w:rPr>
        <w:br/>
      </w:r>
      <w:r>
        <w:rPr>
          <w:rFonts w:hint="eastAsia"/>
          <w:b/>
          <w:bCs/>
          <w:kern w:val="0"/>
        </w:rPr>
        <w:t xml:space="preserve">　　基</w:t>
      </w:r>
      <w:r>
        <w:rPr>
          <w:rFonts w:hint="eastAsia"/>
          <w:b/>
          <w:bCs/>
          <w:kern w:val="0"/>
        </w:rPr>
        <w:t>金投资者自依基金合同取得基金份额，即成为基金份额持有人和基金合同的当事人。</w:t>
      </w:r>
      <w:r>
        <w:rPr>
          <w:rFonts w:hint="eastAsia"/>
          <w:b/>
          <w:bCs/>
          <w:kern w:val="0"/>
        </w:rPr>
        <w:br/>
      </w:r>
      <w:r>
        <w:rPr>
          <w:rFonts w:hint="eastAsia"/>
          <w:b/>
          <w:bCs/>
          <w:kern w:val="0"/>
        </w:rPr>
        <w:t xml:space="preserve">　　各方当事人同意，因《基金合同》而产生的或与《基金合同》有关的一切争议，如经友好协商未能解决的，任何一方均有权将争议提交中国国际经济贸易仲裁委员会，按照该机构届时有效的仲裁规则进行仲裁。仲裁地点为北京市，仲裁裁决是终局的，对当事人均有约束力。</w:t>
      </w:r>
      <w:r>
        <w:rPr>
          <w:rFonts w:hint="eastAsia"/>
          <w:b/>
          <w:bCs/>
          <w:kern w:val="0"/>
        </w:rPr>
        <w:br/>
      </w:r>
      <w:r>
        <w:rPr>
          <w:rFonts w:hint="eastAsia"/>
          <w:b/>
          <w:bCs/>
          <w:kern w:val="0"/>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w:t>
      </w:r>
      <w:r>
        <w:rPr>
          <w:rFonts w:hint="eastAsia"/>
          <w:b/>
          <w:bCs/>
          <w:kern w:val="0"/>
        </w:rPr>
        <w:t>金的相关信息，敬请同时关注基金管理人发布的相关临时公告等。</w:t>
      </w:r>
      <w:r>
        <w:rPr>
          <w:rFonts w:hint="eastAsia"/>
          <w:b/>
          <w:bCs/>
          <w:kern w:val="0"/>
        </w:rPr>
        <w:t xml:space="preserve"> </w:t>
      </w:r>
    </w:p>
    <w:p w:rsidR="00000000" w:rsidRDefault="00050CC0">
      <w:pPr>
        <w:pStyle w:val="XBRLTitle1"/>
        <w:spacing w:before="156" w:line="312" w:lineRule="exact"/>
        <w:rPr>
          <w:rFonts w:hint="eastAsia"/>
        </w:rPr>
      </w:pPr>
      <w:bookmarkStart w:id="107" w:name="_Toc374332111"/>
      <w:bookmarkEnd w:id="100"/>
      <w:r>
        <w:rPr>
          <w:rFonts w:hAnsi="宋体" w:hint="eastAsia"/>
        </w:rPr>
        <w:t>其他资料查询方</w:t>
      </w:r>
      <w:r>
        <w:rPr>
          <w:rFonts w:hAnsi="宋体" w:hint="eastAsia"/>
        </w:rPr>
        <w:t>式</w:t>
      </w:r>
      <w:bookmarkEnd w:id="107"/>
      <w:r>
        <w:rPr>
          <w:rFonts w:hAnsi="宋体" w:hint="eastAsia"/>
          <w:szCs w:val="44"/>
        </w:rPr>
        <w:t xml:space="preserve"> </w:t>
      </w:r>
      <w:bookmarkEnd w:id="9"/>
      <w:bookmarkEnd w:id="10"/>
      <w:bookmarkEnd w:id="11"/>
      <w:bookmarkEnd w:id="12"/>
      <w:bookmarkEnd w:id="13"/>
      <w:bookmarkEnd w:id="14"/>
      <w:bookmarkEnd w:id="15"/>
      <w:bookmarkEnd w:id="16"/>
      <w:bookmarkEnd w:id="17"/>
      <w:bookmarkEnd w:id="18"/>
    </w:p>
    <w:p w:rsidR="00000000" w:rsidRDefault="00050CC0">
      <w:pPr>
        <w:spacing w:line="312" w:lineRule="exact"/>
        <w:ind w:firstLineChars="200" w:firstLine="420"/>
        <w:rPr>
          <w:rFonts w:hint="eastAsia"/>
        </w:rPr>
      </w:pPr>
      <w:r>
        <w:rPr>
          <w:rFonts w:hint="eastAsia"/>
          <w:kern w:val="0"/>
        </w:rPr>
        <w:t>以下资料详见基金管理人网站：</w:t>
      </w:r>
      <w:r>
        <w:rPr>
          <w:rFonts w:hint="eastAsia"/>
          <w:kern w:val="0"/>
        </w:rPr>
        <w:t>www.huaan.com.cn</w:t>
      </w:r>
      <w:r>
        <w:rPr>
          <w:rFonts w:hint="eastAsia"/>
          <w:kern w:val="0"/>
        </w:rPr>
        <w:t>；客户服务电话：</w:t>
      </w:r>
      <w:r>
        <w:rPr>
          <w:rFonts w:hint="eastAsia"/>
          <w:kern w:val="0"/>
        </w:rPr>
        <w:t>40088-50099</w:t>
      </w:r>
      <w:r>
        <w:rPr>
          <w:rFonts w:hint="eastAsia"/>
          <w:kern w:val="0"/>
        </w:rPr>
        <w:t xml:space="preserve">　</w:t>
      </w:r>
      <w:r>
        <w:rPr>
          <w:rFonts w:hint="eastAsia"/>
          <w:kern w:val="0"/>
        </w:rPr>
        <w:br/>
      </w:r>
      <w:r>
        <w:rPr>
          <w:rFonts w:hint="eastAsia"/>
          <w:kern w:val="0"/>
        </w:rPr>
        <w:t>（一）基金合同、托管协议、招募说明书</w:t>
      </w:r>
      <w:r>
        <w:rPr>
          <w:rFonts w:hint="eastAsia"/>
          <w:kern w:val="0"/>
        </w:rPr>
        <w:br/>
      </w:r>
      <w:r>
        <w:rPr>
          <w:rFonts w:hint="eastAsia"/>
          <w:kern w:val="0"/>
        </w:rPr>
        <w:t>（二）定期报告、包括基金季度报告、中期报告、年度报告</w:t>
      </w:r>
      <w:r>
        <w:rPr>
          <w:rFonts w:hint="eastAsia"/>
          <w:kern w:val="0"/>
        </w:rPr>
        <w:br/>
      </w:r>
      <w:r>
        <w:rPr>
          <w:rFonts w:hint="eastAsia"/>
          <w:kern w:val="0"/>
        </w:rPr>
        <w:t>（三）基金份额净值</w:t>
      </w:r>
      <w:r>
        <w:rPr>
          <w:rFonts w:hint="eastAsia"/>
          <w:kern w:val="0"/>
        </w:rPr>
        <w:br/>
      </w:r>
      <w:r>
        <w:rPr>
          <w:rFonts w:hint="eastAsia"/>
          <w:kern w:val="0"/>
        </w:rPr>
        <w:t>（四）基金销售机构及联系方式</w:t>
      </w:r>
      <w:r>
        <w:rPr>
          <w:rFonts w:hint="eastAsia"/>
          <w:kern w:val="0"/>
        </w:rPr>
        <w:br/>
      </w:r>
      <w:r>
        <w:rPr>
          <w:rFonts w:hint="eastAsia"/>
          <w:kern w:val="0"/>
        </w:rPr>
        <w:t>（五）其他重要资</w:t>
      </w:r>
      <w:r>
        <w:rPr>
          <w:rFonts w:hint="eastAsia"/>
          <w:kern w:val="0"/>
        </w:rPr>
        <w:t>料</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19"/>
      <w:bookmarkEnd w:id="20"/>
      <w:bookmarkEnd w:id="21"/>
      <w:r>
        <w:rPr>
          <w:rFonts w:hint="eastAsia"/>
          <w:lang w:eastAsia="zh-Hans"/>
        </w:rPr>
        <w:t xml:space="preserve"> </w:t>
      </w:r>
    </w:p>
    <w:sectPr w:rsidR="00000000">
      <w:headerReference w:type="default" r:id="rId8"/>
      <w:footerReference w:type="default" r:id="rId9"/>
      <w:headerReference w:type="first" r:id="rId10"/>
      <w:footerReference w:type="first" r:id="rId11"/>
      <w:pgSz w:w="11907" w:h="16839"/>
      <w:pgMar w:top="1440" w:right="1080" w:bottom="1440" w:left="108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50CC0">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000000" w:rsidRDefault="00050CC0">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icrosoft YaHei UI">
    <w:altName w:val="宋体"/>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50CC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50CC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50CC0">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000000" w:rsidRDefault="00050CC0">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50CC0">
    <w:pPr>
      <w:pStyle w:val="a8"/>
      <w:jc w:val="right"/>
    </w:pPr>
    <w:r>
      <w:rPr>
        <w:rFonts w:hint="eastAsia"/>
      </w:rPr>
      <w:t>华安创新动能混合型证券投资基金（华安创新动能混合</w:t>
    </w:r>
    <w:r>
      <w:rPr>
        <w:rFonts w:hint="eastAsia"/>
      </w:rPr>
      <w:t>A</w:t>
    </w:r>
    <w:r>
      <w:rPr>
        <w:rFonts w:hint="eastAsia"/>
      </w:rPr>
      <w:t>）基金产品资料概</w:t>
    </w:r>
    <w:r>
      <w:rPr>
        <w:rFonts w:hint="eastAsia"/>
      </w:rPr>
      <w:t>要</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50CC0">
    <w:pPr>
      <w:pStyle w:val="a8"/>
      <w:jc w:val="right"/>
    </w:pPr>
    <w:r>
      <w:rPr>
        <w:rFonts w:hint="eastAsia"/>
      </w:rPr>
      <w:t>华安创新动能混合型证券投资基金（华安创新动能混合</w:t>
    </w:r>
    <w:r>
      <w:rPr>
        <w:rFonts w:hint="eastAsia"/>
      </w:rPr>
      <w:t>A</w:t>
    </w:r>
    <w:r>
      <w:rPr>
        <w:rFonts w:hint="eastAsia"/>
      </w:rPr>
      <w:t>）基金产品资料概</w:t>
    </w:r>
    <w:r>
      <w:rPr>
        <w:rFonts w:hint="eastAsia"/>
      </w:rPr>
      <w:t>要</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73EE"/>
    <w:multiLevelType w:val="multilevel"/>
    <w:tmpl w:val="606430B2"/>
    <w:lvl w:ilvl="0">
      <w:start w:val="1"/>
      <w:numFmt w:val="chineseCountingThousand"/>
      <w:pStyle w:val="XBRLTitle1"/>
      <w:lvlText w:val="%1、"/>
      <w:lvlJc w:val="left"/>
      <w:pPr>
        <w:ind w:left="425" w:hanging="425"/>
      </w:pPr>
      <w:rPr>
        <w:sz w:val="21"/>
        <w:szCs w:val="21"/>
      </w:rPr>
    </w:lvl>
    <w:lvl w:ilvl="1">
      <w:start w:val="1"/>
      <w:numFmt w:val="chineseCountingThousand"/>
      <w:pStyle w:val="XBRLTitle2"/>
      <w:lvlText w:val="(%2)"/>
      <w:lvlJc w:val="left"/>
      <w:pPr>
        <w:ind w:left="454" w:hanging="454"/>
      </w:pPr>
      <w:rPr>
        <w:sz w:val="21"/>
      </w:r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788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050CC0"/>
    <w:rsid w:val="00050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F53CE265-028D-4910-9E97-35C4D7E0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val="x-none" w:eastAsia="x-none"/>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link w:val="1"/>
    <w:uiPriority w:val="9"/>
    <w:locked/>
    <w:rPr>
      <w:b/>
      <w:bCs/>
      <w:kern w:val="44"/>
      <w:sz w:val="44"/>
      <w:szCs w:val="44"/>
    </w:rPr>
  </w:style>
  <w:style w:type="character" w:customStyle="1" w:styleId="20">
    <w:name w:val="标题 2 字符"/>
    <w:basedOn w:val="a0"/>
    <w:link w:val="2"/>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link w:val="3"/>
    <w:uiPriority w:val="9"/>
    <w:locked/>
    <w:rPr>
      <w:b/>
      <w:bCs/>
      <w:kern w:val="2"/>
      <w:sz w:val="32"/>
      <w:szCs w:val="32"/>
    </w:rPr>
  </w:style>
  <w:style w:type="character" w:customStyle="1" w:styleId="40">
    <w:name w:val="标题 4 字符"/>
    <w:basedOn w:val="a0"/>
    <w:link w:val="4"/>
    <w:locked/>
    <w:rPr>
      <w:rFonts w:asciiTheme="majorHAnsi" w:eastAsiaTheme="majorEastAsia" w:hAnsiTheme="majorHAnsi" w:cstheme="majorBidi" w:hint="default"/>
      <w:b/>
      <w:bCs/>
      <w:kern w:val="2"/>
      <w:sz w:val="24"/>
      <w:szCs w:val="24"/>
    </w:rPr>
  </w:style>
  <w:style w:type="character" w:customStyle="1" w:styleId="50">
    <w:name w:val="标题 5 字符"/>
    <w:basedOn w:val="a0"/>
    <w:link w:val="5"/>
    <w:uiPriority w:val="9"/>
    <w:semiHidden/>
    <w:rPr>
      <w:rFonts w:cs="宋体"/>
      <w:b/>
      <w:bCs/>
      <w:kern w:val="2"/>
      <w:sz w:val="28"/>
      <w:szCs w:val="28"/>
    </w:rPr>
  </w:style>
  <w:style w:type="character" w:customStyle="1" w:styleId="60">
    <w:name w:val="标题 6 字符"/>
    <w:basedOn w:val="a0"/>
    <w:link w:val="6"/>
    <w:uiPriority w:val="9"/>
    <w:semiHidden/>
    <w:rPr>
      <w:rFonts w:asciiTheme="majorHAnsi" w:eastAsiaTheme="majorEastAsia" w:hAnsiTheme="majorHAnsi" w:cstheme="majorBidi"/>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qFormat/>
    <w:pPr>
      <w:tabs>
        <w:tab w:val="right" w:leader="dot" w:pos="8834"/>
      </w:tabs>
      <w:ind w:left="210"/>
      <w:jc w:val="left"/>
    </w:pPr>
    <w:rPr>
      <w:rFonts w:asciiTheme="minorEastAsia" w:eastAsiaTheme="minorEastAsia" w:hAnsiTheme="minorEastAsia" w:cs="Times New Roman"/>
      <w:noProof/>
      <w:szCs w:val="21"/>
      <w:lang w:val="x-none" w:eastAsia="x-none"/>
    </w:r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basedOn w:val="a0"/>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link w:val="ac"/>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basedOn w:val="a0"/>
    <w:link w:val="ae"/>
    <w:locked/>
    <w:rPr>
      <w:rFonts w:asciiTheme="minorHAnsi" w:eastAsiaTheme="minorEastAsia" w:hAnsiTheme="minorHAnsi" w:cstheme="minorBidi" w:hint="default"/>
      <w:b/>
      <w:bCs/>
      <w:kern w:val="24"/>
      <w:sz w:val="32"/>
      <w:szCs w:val="32"/>
    </w:rPr>
  </w:style>
  <w:style w:type="paragraph" w:styleId="af0">
    <w:name w:val="Date"/>
    <w:basedOn w:val="a"/>
    <w:next w:val="a"/>
    <w:link w:val="17"/>
    <w:rPr>
      <w:sz w:val="32"/>
      <w:lang w:val="x-none" w:eastAsia="x-none"/>
    </w:rPr>
  </w:style>
  <w:style w:type="character" w:customStyle="1" w:styleId="af1">
    <w:name w:val="日期 字符"/>
    <w:basedOn w:val="a0"/>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basedOn w:val="a0"/>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before="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jc w:val="left"/>
    </w:pPr>
    <w:rPr>
      <w:rFonts w:hAnsi="Cambria"/>
      <w:sz w:val="21"/>
      <w:szCs w:val="32"/>
    </w:rPr>
  </w:style>
  <w:style w:type="paragraph" w:customStyle="1" w:styleId="XBRLTitle2">
    <w:name w:val="XBRLTitle2"/>
    <w:basedOn w:val="ae"/>
    <w:next w:val="4"/>
    <w:qFormat/>
    <w:pPr>
      <w:keepNext w:val="0"/>
      <w:keepLines w:val="0"/>
      <w:numPr>
        <w:ilvl w:val="1"/>
        <w:numId w:val="2"/>
      </w:numPr>
      <w:spacing w:beforeLines="50" w:before="0" w:after="0" w:line="240" w:lineRule="auto"/>
    </w:pPr>
    <w:rPr>
      <w:rFonts w:ascii="宋体"/>
      <w:bCs/>
    </w:rPr>
  </w:style>
  <w:style w:type="paragraph" w:customStyle="1" w:styleId="XBRLTitle5">
    <w:name w:val="XBRLTitle5"/>
    <w:basedOn w:val="ae"/>
    <w:next w:val="4"/>
    <w:qFormat/>
    <w:pPr>
      <w:numPr>
        <w:ilvl w:val="4"/>
        <w:numId w:val="2"/>
      </w:numPr>
      <w:spacing w:beforeLines="50" w:before="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4"/>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basedOn w:val="a0"/>
    <w:link w:val="1"/>
    <w:uiPriority w:val="9"/>
    <w:locked/>
    <w:rPr>
      <w:b/>
      <w:bCs/>
      <w:kern w:val="44"/>
      <w:sz w:val="44"/>
      <w:szCs w:val="44"/>
    </w:rPr>
  </w:style>
  <w:style w:type="character" w:customStyle="1" w:styleId="2Char">
    <w:name w:val="标题 2 Char"/>
    <w:basedOn w:val="a0"/>
    <w:link w:val="2"/>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Pr>
      <w:b/>
      <w:bCs/>
      <w:kern w:val="2"/>
      <w:sz w:val="32"/>
      <w:szCs w:val="32"/>
    </w:rPr>
  </w:style>
  <w:style w:type="character" w:customStyle="1" w:styleId="4Char">
    <w:name w:val="标题 4 Char"/>
    <w:basedOn w:val="a0"/>
    <w:link w:val="4"/>
    <w:locked/>
    <w:rPr>
      <w:rFonts w:asciiTheme="majorHAnsi" w:eastAsiaTheme="majorEastAsia" w:hAnsiTheme="majorHAnsi" w:cstheme="majorBidi" w:hint="default"/>
      <w:b/>
      <w:bCs/>
      <w:kern w:val="2"/>
      <w:sz w:val="24"/>
      <w:szCs w:val="24"/>
    </w:rPr>
  </w:style>
  <w:style w:type="character" w:customStyle="1" w:styleId="5Char">
    <w:name w:val="标题 5 Char"/>
    <w:basedOn w:val="a0"/>
    <w:link w:val="5"/>
    <w:uiPriority w:val="9"/>
    <w:semiHidden/>
    <w:locked/>
    <w:rPr>
      <w:b/>
      <w:bCs/>
      <w:kern w:val="2"/>
      <w:sz w:val="24"/>
      <w:szCs w:val="24"/>
    </w:rPr>
  </w:style>
  <w:style w:type="character" w:customStyle="1" w:styleId="6Char">
    <w:name w:val="标题 6 Char"/>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ink w:val="a6"/>
    <w:locked/>
    <w:rPr>
      <w:kern w:val="2"/>
      <w:sz w:val="18"/>
      <w:szCs w:val="18"/>
    </w:rPr>
  </w:style>
  <w:style w:type="character" w:customStyle="1" w:styleId="Char1">
    <w:name w:val="页眉 Char"/>
    <w:basedOn w:val="a0"/>
    <w:link w:val="a8"/>
    <w:uiPriority w:val="99"/>
    <w:locked/>
    <w:rPr>
      <w:kern w:val="2"/>
      <w:sz w:val="18"/>
      <w:szCs w:val="18"/>
    </w:rPr>
  </w:style>
  <w:style w:type="character" w:customStyle="1" w:styleId="Char2">
    <w:name w:val="页脚 Char"/>
    <w:basedOn w:val="a0"/>
    <w:link w:val="aa"/>
    <w:uiPriority w:val="99"/>
    <w:locked/>
    <w:rPr>
      <w:kern w:val="2"/>
      <w:sz w:val="18"/>
      <w:szCs w:val="18"/>
    </w:rPr>
  </w:style>
  <w:style w:type="character" w:customStyle="1" w:styleId="Char3">
    <w:name w:val="标题 Char"/>
    <w:basedOn w:val="a0"/>
    <w:link w:val="ac"/>
    <w:uiPriority w:val="10"/>
    <w:locked/>
    <w:rPr>
      <w:rFonts w:asciiTheme="majorHAnsi" w:hAnsiTheme="majorHAnsi" w:cstheme="majorBidi" w:hint="default"/>
      <w:b/>
      <w:bCs/>
      <w:kern w:val="2"/>
      <w:sz w:val="32"/>
      <w:szCs w:val="32"/>
    </w:rPr>
  </w:style>
  <w:style w:type="character" w:customStyle="1" w:styleId="Char4">
    <w:name w:val="副标题 Char"/>
    <w:basedOn w:val="a0"/>
    <w:link w:val="ae"/>
    <w:locked/>
    <w:rPr>
      <w:rFonts w:asciiTheme="majorHAnsi" w:hAnsiTheme="majorHAnsi" w:cstheme="majorBidi" w:hint="default"/>
      <w:b/>
      <w:bCs/>
      <w:kern w:val="24"/>
      <w:sz w:val="32"/>
      <w:szCs w:val="32"/>
    </w:rPr>
  </w:style>
  <w:style w:type="character" w:customStyle="1" w:styleId="Char5">
    <w:name w:val="日期 Char"/>
    <w:basedOn w:val="a0"/>
    <w:link w:val="af0"/>
    <w:locked/>
    <w:rPr>
      <w:kern w:val="2"/>
      <w:sz w:val="21"/>
    </w:rPr>
  </w:style>
  <w:style w:type="character" w:customStyle="1" w:styleId="Char6">
    <w:name w:val="文档结构图 Char"/>
    <w:basedOn w:val="a0"/>
    <w:link w:val="af2"/>
    <w:locked/>
    <w:rPr>
      <w:rFonts w:ascii="宋体" w:eastAsia="宋体" w:hAnsi="宋体" w:hint="eastAsia"/>
      <w:kern w:val="2"/>
      <w:sz w:val="18"/>
      <w:szCs w:val="18"/>
    </w:rPr>
  </w:style>
  <w:style w:type="character" w:customStyle="1" w:styleId="Char7">
    <w:name w:val="批注框文本 Char"/>
    <w:basedOn w:val="a0"/>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basedOn w:val="a0"/>
    <w:link w:val="a6"/>
    <w:locked/>
    <w:rPr>
      <w:kern w:val="2"/>
      <w:sz w:val="18"/>
      <w:szCs w:val="18"/>
    </w:rPr>
  </w:style>
  <w:style w:type="character" w:customStyle="1" w:styleId="23">
    <w:name w:val="页眉 字符2"/>
    <w:basedOn w:val="a0"/>
    <w:link w:val="a8"/>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4"/>
      <w:szCs w:val="24"/>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a">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88915">
      <w:marLeft w:val="0"/>
      <w:marRight w:val="0"/>
      <w:marTop w:val="0"/>
      <w:marBottom w:val="0"/>
      <w:divBdr>
        <w:top w:val="none" w:sz="0" w:space="0" w:color="auto"/>
        <w:left w:val="none" w:sz="0" w:space="0" w:color="auto"/>
        <w:bottom w:val="none" w:sz="0" w:space="0" w:color="auto"/>
        <w:right w:val="none" w:sz="0" w:space="0" w:color="auto"/>
      </w:divBdr>
    </w:div>
    <w:div w:id="423301397">
      <w:marLeft w:val="0"/>
      <w:marRight w:val="0"/>
      <w:marTop w:val="0"/>
      <w:marBottom w:val="0"/>
      <w:divBdr>
        <w:top w:val="none" w:sz="0" w:space="0" w:color="auto"/>
        <w:left w:val="none" w:sz="0" w:space="0" w:color="auto"/>
        <w:bottom w:val="none" w:sz="0" w:space="0" w:color="auto"/>
        <w:right w:val="none" w:sz="0" w:space="0" w:color="auto"/>
      </w:divBdr>
      <w:divsChild>
        <w:div w:id="1374502072">
          <w:marLeft w:val="0"/>
          <w:marRight w:val="0"/>
          <w:marTop w:val="0"/>
          <w:marBottom w:val="0"/>
          <w:divBdr>
            <w:top w:val="none" w:sz="0" w:space="0" w:color="auto"/>
            <w:left w:val="none" w:sz="0" w:space="0" w:color="auto"/>
            <w:bottom w:val="none" w:sz="0" w:space="0" w:color="auto"/>
            <w:right w:val="none" w:sz="0" w:space="0" w:color="auto"/>
          </w:divBdr>
        </w:div>
        <w:div w:id="1746953180">
          <w:marLeft w:val="0"/>
          <w:marRight w:val="0"/>
          <w:marTop w:val="0"/>
          <w:marBottom w:val="0"/>
          <w:divBdr>
            <w:top w:val="none" w:sz="0" w:space="0" w:color="auto"/>
            <w:left w:val="none" w:sz="0" w:space="0" w:color="auto"/>
            <w:bottom w:val="none" w:sz="0" w:space="0" w:color="auto"/>
            <w:right w:val="none" w:sz="0" w:space="0" w:color="auto"/>
          </w:divBdr>
        </w:div>
      </w:divsChild>
    </w:div>
    <w:div w:id="617180813">
      <w:marLeft w:val="0"/>
      <w:marRight w:val="0"/>
      <w:marTop w:val="0"/>
      <w:marBottom w:val="0"/>
      <w:divBdr>
        <w:top w:val="none" w:sz="0" w:space="0" w:color="auto"/>
        <w:left w:val="none" w:sz="0" w:space="0" w:color="auto"/>
        <w:bottom w:val="none" w:sz="0" w:space="0" w:color="auto"/>
        <w:right w:val="none" w:sz="0" w:space="0" w:color="auto"/>
      </w:divBdr>
    </w:div>
    <w:div w:id="688333864">
      <w:marLeft w:val="0"/>
      <w:marRight w:val="0"/>
      <w:marTop w:val="0"/>
      <w:marBottom w:val="0"/>
      <w:divBdr>
        <w:top w:val="none" w:sz="0" w:space="0" w:color="auto"/>
        <w:left w:val="none" w:sz="0" w:space="0" w:color="auto"/>
        <w:bottom w:val="none" w:sz="0" w:space="0" w:color="auto"/>
        <w:right w:val="none" w:sz="0" w:space="0" w:color="auto"/>
      </w:divBdr>
    </w:div>
    <w:div w:id="1308121497">
      <w:marLeft w:val="0"/>
      <w:marRight w:val="0"/>
      <w:marTop w:val="0"/>
      <w:marBottom w:val="0"/>
      <w:divBdr>
        <w:top w:val="none" w:sz="0" w:space="0" w:color="auto"/>
        <w:left w:val="none" w:sz="0" w:space="0" w:color="auto"/>
        <w:bottom w:val="none" w:sz="0" w:space="0" w:color="auto"/>
        <w:right w:val="none" w:sz="0" w:space="0" w:color="auto"/>
      </w:divBdr>
    </w:div>
    <w:div w:id="1600403614">
      <w:marLeft w:val="0"/>
      <w:marRight w:val="0"/>
      <w:marTop w:val="0"/>
      <w:marBottom w:val="0"/>
      <w:divBdr>
        <w:top w:val="none" w:sz="0" w:space="0" w:color="auto"/>
        <w:left w:val="none" w:sz="0" w:space="0" w:color="auto"/>
        <w:bottom w:val="none" w:sz="0" w:space="0" w:color="auto"/>
        <w:right w:val="none" w:sz="0" w:space="0" w:color="auto"/>
      </w:divBdr>
    </w:div>
    <w:div w:id="203649791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14AC5-0E1A-403E-934D-B68BC1156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801</Words>
  <Characters>4571</Characters>
  <Application>Microsoft Office Word</Application>
  <DocSecurity>4</DocSecurity>
  <Lines>38</Lines>
  <Paragraphs>10</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周佳玉</cp:lastModifiedBy>
  <cp:revision>2</cp:revision>
  <dcterms:created xsi:type="dcterms:W3CDTF">2026-02-13T05:57:00Z</dcterms:created>
  <dcterms:modified xsi:type="dcterms:W3CDTF">2026-02-13T05:57:00Z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