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AD3A6F">
      <w:pPr>
        <w:autoSpaceDE w:val="0"/>
        <w:autoSpaceDN w:val="0"/>
        <w:adjustRightInd w:val="0"/>
        <w:jc w:val="center"/>
        <w:rPr>
          <w:rFonts w:ascii="方正仿宋简体" w:eastAsia="方正仿宋简体" w:hAnsiTheme="minorEastAsia" w:cs="仿宋_GB2312"/>
          <w:kern w:val="0"/>
          <w:sz w:val="36"/>
          <w:szCs w:val="36"/>
        </w:rPr>
      </w:pPr>
    </w:p>
    <w:p w:rsidR="00AD3A6F">
      <w:pPr>
        <w:autoSpaceDE w:val="0"/>
        <w:autoSpaceDN w:val="0"/>
        <w:adjustRightInd w:val="0"/>
        <w:jc w:val="center"/>
        <w:rPr>
          <w:rFonts w:ascii="方正仿宋简体" w:eastAsia="方正仿宋简体" w:hAnsiTheme="minorEastAsia" w:cs="仿宋_GB2312"/>
          <w:kern w:val="0"/>
          <w:sz w:val="36"/>
          <w:szCs w:val="36"/>
        </w:rPr>
      </w:pPr>
      <w:r>
        <w:rPr>
          <w:rFonts w:ascii="方正仿宋简体" w:eastAsia="方正仿宋简体" w:hAnsiTheme="minorEastAsia" w:cs="仿宋_GB2312" w:hint="eastAsia"/>
          <w:kern w:val="0"/>
          <w:sz w:val="36"/>
          <w:szCs w:val="36"/>
        </w:rPr>
        <w:t>易方达港股通医药混合型证券投资基金（易方达港股通医药混合</w:t>
      </w:r>
      <w:r>
        <w:rPr>
          <w:rFonts w:ascii="方正仿宋简体" w:eastAsia="方正仿宋简体" w:hAnsiTheme="minorEastAsia" w:cs="仿宋_GB2312" w:hint="eastAsia"/>
          <w:kern w:val="0"/>
          <w:sz w:val="36"/>
          <w:szCs w:val="36"/>
        </w:rPr>
        <w:t>A</w:t>
      </w:r>
      <w:r>
        <w:rPr>
          <w:rFonts w:ascii="方正仿宋简体" w:eastAsia="方正仿宋简体" w:hAnsiTheme="minorEastAsia" w:cs="仿宋_GB2312" w:hint="eastAsia"/>
          <w:kern w:val="0"/>
          <w:sz w:val="36"/>
          <w:szCs w:val="36"/>
        </w:rPr>
        <w:t>）基金产品资料概要</w:t>
      </w:r>
    </w:p>
    <w:p w:rsidR="00AD3A6F" w:rsidP="0086475C">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编制日期：</w:t>
      </w:r>
      <w:r w:rsidRPr="0086475C">
        <w:rPr>
          <w:rFonts w:ascii="方正仿宋简体" w:eastAsia="方正仿宋简体" w:hAnsi="方正仿宋简体" w:cs="方正仿宋简体" w:hint="eastAsia"/>
          <w:iCs/>
          <w:sz w:val="24"/>
          <w:szCs w:val="24"/>
        </w:rPr>
        <w:t>2025</w:t>
      </w:r>
      <w:r w:rsidRPr="0086475C">
        <w:rPr>
          <w:rFonts w:ascii="方正仿宋简体" w:eastAsia="方正仿宋简体" w:hAnsi="方正仿宋简体" w:cs="方正仿宋简体" w:hint="eastAsia"/>
          <w:iCs/>
          <w:sz w:val="24"/>
          <w:szCs w:val="24"/>
        </w:rPr>
        <w:t>年</w:t>
      </w:r>
      <w:r w:rsidRPr="0086475C">
        <w:rPr>
          <w:rFonts w:ascii="方正仿宋简体" w:eastAsia="方正仿宋简体" w:hAnsi="方正仿宋简体" w:cs="方正仿宋简体" w:hint="eastAsia"/>
          <w:iCs/>
          <w:sz w:val="24"/>
          <w:szCs w:val="24"/>
        </w:rPr>
        <w:t>12</w:t>
      </w:r>
      <w:r w:rsidRPr="0086475C">
        <w:rPr>
          <w:rFonts w:ascii="方正仿宋简体" w:eastAsia="方正仿宋简体" w:hAnsi="方正仿宋简体" w:cs="方正仿宋简体" w:hint="eastAsia"/>
          <w:iCs/>
          <w:sz w:val="24"/>
          <w:szCs w:val="24"/>
        </w:rPr>
        <w:t>月</w:t>
      </w:r>
      <w:r w:rsidRPr="0086475C">
        <w:rPr>
          <w:rFonts w:ascii="方正仿宋简体" w:eastAsia="方正仿宋简体" w:hAnsi="方正仿宋简体" w:cs="方正仿宋简体" w:hint="eastAsia"/>
          <w:iCs/>
          <w:sz w:val="24"/>
          <w:szCs w:val="24"/>
        </w:rPr>
        <w:t>24</w:t>
      </w:r>
      <w:r w:rsidRPr="0086475C">
        <w:rPr>
          <w:rFonts w:ascii="方正仿宋简体" w:eastAsia="方正仿宋简体" w:hAnsi="方正仿宋简体" w:cs="方正仿宋简体" w:hint="eastAsia"/>
          <w:iCs/>
          <w:sz w:val="24"/>
          <w:szCs w:val="24"/>
        </w:rPr>
        <w:t>日</w:t>
      </w:r>
    </w:p>
    <w:p w:rsidR="00AD3A6F">
      <w:pPr>
        <w:autoSpaceDE w:val="0"/>
        <w:autoSpaceDN w:val="0"/>
        <w:adjustRightInd w:val="0"/>
        <w:jc w:val="center"/>
        <w:rPr>
          <w:rFonts w:ascii="方正仿宋简体" w:eastAsia="方正仿宋简体" w:hAnsi="方正仿宋简体" w:cs="方正仿宋简体"/>
          <w:iCs/>
          <w:sz w:val="24"/>
          <w:szCs w:val="24"/>
        </w:rPr>
      </w:pPr>
      <w:r>
        <w:rPr>
          <w:rFonts w:ascii="方正仿宋简体" w:eastAsia="方正仿宋简体" w:hAnsi="方正仿宋简体" w:cs="方正仿宋简体" w:hint="eastAsia"/>
          <w:iCs/>
          <w:sz w:val="24"/>
          <w:szCs w:val="24"/>
        </w:rPr>
        <w:t>送出日期：</w:t>
      </w:r>
      <w:r>
        <w:rPr>
          <w:rFonts w:ascii="方正仿宋简体" w:eastAsia="方正仿宋简体" w:hAnsi="方正仿宋简体" w:cs="方正仿宋简体" w:hint="eastAsia"/>
          <w:iCs/>
          <w:sz w:val="24"/>
          <w:szCs w:val="24"/>
        </w:rPr>
        <w:t>2025</w:t>
      </w:r>
      <w:r>
        <w:rPr>
          <w:rFonts w:ascii="方正仿宋简体" w:eastAsia="方正仿宋简体" w:hAnsi="方正仿宋简体" w:cs="方正仿宋简体" w:hint="eastAsia"/>
          <w:iCs/>
          <w:sz w:val="24"/>
          <w:szCs w:val="24"/>
        </w:rPr>
        <w:t>年</w:t>
      </w:r>
      <w:r>
        <w:rPr>
          <w:rFonts w:ascii="方正仿宋简体" w:eastAsia="方正仿宋简体" w:hAnsi="方正仿宋简体" w:cs="方正仿宋简体" w:hint="eastAsia"/>
          <w:iCs/>
          <w:sz w:val="24"/>
          <w:szCs w:val="24"/>
        </w:rPr>
        <w:t>12</w:t>
      </w:r>
      <w:r>
        <w:rPr>
          <w:rFonts w:ascii="方正仿宋简体" w:eastAsia="方正仿宋简体" w:hAnsi="方正仿宋简体" w:cs="方正仿宋简体" w:hint="eastAsia"/>
          <w:iCs/>
          <w:sz w:val="24"/>
          <w:szCs w:val="24"/>
        </w:rPr>
        <w:t>月</w:t>
      </w:r>
      <w:r>
        <w:rPr>
          <w:rFonts w:ascii="方正仿宋简体" w:eastAsia="方正仿宋简体" w:hAnsi="方正仿宋简体" w:cs="方正仿宋简体" w:hint="eastAsia"/>
          <w:iCs/>
          <w:sz w:val="24"/>
          <w:szCs w:val="24"/>
        </w:rPr>
        <w:t>25</w:t>
      </w:r>
      <w:r>
        <w:rPr>
          <w:rFonts w:ascii="方正仿宋简体" w:eastAsia="方正仿宋简体" w:hAnsi="方正仿宋简体" w:cs="方正仿宋简体" w:hint="eastAsia"/>
          <w:iCs/>
          <w:sz w:val="24"/>
          <w:szCs w:val="24"/>
        </w:rPr>
        <w:t>日</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本概要提供本基金的重要信息，是招募说明书的一部分。</w:t>
      </w:r>
    </w:p>
    <w:p w:rsidR="00AD3A6F">
      <w:pPr>
        <w:autoSpaceDE w:val="0"/>
        <w:autoSpaceDN w:val="0"/>
        <w:adjustRightInd w:val="0"/>
        <w:spacing w:line="380" w:lineRule="exact"/>
        <w:jc w:val="left"/>
        <w:rPr>
          <w:rFonts w:ascii="方正黑体简体" w:eastAsia="方正黑体简体" w:cs="黑体"/>
          <w:kern w:val="0"/>
          <w:sz w:val="32"/>
          <w:szCs w:val="32"/>
        </w:rPr>
      </w:pPr>
      <w:r>
        <w:rPr>
          <w:rFonts w:ascii="方正黑体简体" w:eastAsia="方正黑体简体" w:cs="黑体" w:hint="eastAsia"/>
          <w:kern w:val="0"/>
          <w:sz w:val="32"/>
          <w:szCs w:val="32"/>
        </w:rPr>
        <w:t>作出投资决定前，请阅读完整的招募说明书等销售文件。</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产品概况</w:t>
      </w:r>
    </w:p>
    <w:tbl>
      <w:tblPr>
        <w:tblStyle w:val="TableGrid"/>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
      <w:tblGrid>
        <w:gridCol w:w="1952"/>
        <w:gridCol w:w="2408"/>
        <w:gridCol w:w="1703"/>
        <w:gridCol w:w="2459"/>
      </w:tblGrid>
      <w:tr w:rsidTr="00584DC5">
        <w:tblPrEx>
          <w:tblW w:w="5000" w:type="pct"/>
          <w:tblBorders>
            <w:left w:val="none" w:sz="0" w:space="0" w:color="auto"/>
            <w:right w:val="none" w:sz="0" w:space="0" w:color="auto"/>
            <w:insideH w:val="dashSmallGap" w:sz="4" w:space="0" w:color="A6A6A6" w:themeColor="background1" w:themeShade="A6"/>
            <w:insideV w:val="none" w:sz="0" w:space="0" w:color="auto"/>
          </w:tblBorders>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基金简称</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易方达港股通医药混合</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基金代码</w:t>
            </w:r>
          </w:p>
        </w:tc>
        <w:tc>
          <w:tcPr>
            <w:tcW w:w="1443" w:type="pct"/>
            <w:tcBorders>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026195</w:t>
            </w:r>
          </w:p>
        </w:tc>
      </w:tr>
      <w:tr w:rsidTr="00B212F4">
        <w:tblPrEx>
          <w:tblW w:w="5000" w:type="pct"/>
          <w:tblLayout w:type="fixed"/>
          <w:tblLook w:val="04A0"/>
        </w:tblPrEx>
        <w:trPr>
          <w:trHeight w:val="150"/>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下属基金简称</w:t>
            </w:r>
          </w:p>
        </w:tc>
        <w:tc>
          <w:tcPr>
            <w:tcW w:w="141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易方达港股通医药混合</w:t>
            </w:r>
            <w:r>
              <w:rPr>
                <w:rFonts w:ascii="方正仿宋简体" w:eastAsia="方正仿宋简体" w:hAnsiTheme="minorEastAsia" w:cs="方正仿宋简体"/>
                <w:iCs/>
              </w:rPr>
              <w:t>A</w:t>
            </w:r>
          </w:p>
        </w:tc>
        <w:tc>
          <w:tcPr>
            <w:tcW w:w="999"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下属基金代码</w:t>
            </w:r>
          </w:p>
        </w:tc>
        <w:tc>
          <w:tcPr>
            <w:tcW w:w="1443" w:type="pct"/>
            <w:tcBorders>
              <w:top w:val="dashSmallGap" w:sz="4" w:space="0" w:color="A6A6A6" w:themeColor="background1" w:themeShade="A6"/>
              <w:bottom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026195</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基金管理人</w:t>
            </w:r>
          </w:p>
        </w:tc>
        <w:tc>
          <w:tcPr>
            <w:tcW w:w="141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易方达基金管理有限公司</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基金托管人</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交通银行股份有限公司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基金合同生效日</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w:t>
            </w:r>
          </w:p>
        </w:tc>
        <w:tc>
          <w:tcPr>
            <w:tcW w:w="999" w:type="pct"/>
            <w:vAlign w:val="center"/>
          </w:tcPr>
          <w:p w:rsidR="00AD3A6F">
            <w:pPr>
              <w:spacing w:line="280" w:lineRule="exact"/>
              <w:rPr>
                <w:rFonts w:ascii="方正仿宋简体" w:eastAsia="方正仿宋简体" w:hAnsiTheme="minorEastAsia" w:cs="方正仿宋简体"/>
                <w:b/>
                <w:iCs/>
              </w:rPr>
            </w:pPr>
          </w:p>
        </w:tc>
        <w:tc>
          <w:tcPr>
            <w:tcW w:w="1443" w:type="pct"/>
            <w:tcBorders>
              <w:top w:val="dashSmallGap" w:sz="4" w:space="0" w:color="A6A6A6" w:themeColor="background1" w:themeShade="A6"/>
              <w:bottom w:val="nil"/>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 xml:space="preserve"> </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基金类型</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混合型</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交易币种</w:t>
            </w:r>
          </w:p>
        </w:tc>
        <w:tc>
          <w:tcPr>
            <w:tcW w:w="1443" w:type="pct"/>
            <w:tcBorders>
              <w:top w:val="dashSmallGap" w:sz="4" w:space="0" w:color="A6A6A6" w:themeColor="background1" w:themeShade="A6"/>
            </w:tcBorders>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人民币</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运作方式</w:t>
            </w:r>
          </w:p>
        </w:tc>
        <w:tc>
          <w:tcPr>
            <w:tcW w:w="141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普通开放式</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开放频率</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每个开放日</w:t>
            </w:r>
          </w:p>
        </w:tc>
      </w:tr>
      <w:tr w:rsidTr="005F360D">
        <w:tblPrEx>
          <w:tblW w:w="5000" w:type="pct"/>
          <w:tblLayout w:type="fixed"/>
          <w:tblLook w:val="04A0"/>
        </w:tblPrEx>
        <w:trPr>
          <w:trHeight w:val="454"/>
        </w:trPr>
        <w:tc>
          <w:tcPr>
            <w:tcW w:w="1145" w:type="pct"/>
            <w:vMerge w:val="restar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基金经理</w:t>
            </w:r>
          </w:p>
        </w:tc>
        <w:tc>
          <w:tcPr>
            <w:tcW w:w="1413" w:type="pct"/>
            <w:vMerge w:val="restar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杨桢霄</w:t>
            </w: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开始担任本基金基金经理的日期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iCs/>
              </w:rPr>
              <w:t>-</w:t>
            </w:r>
          </w:p>
        </w:tc>
      </w:tr>
      <w:tr w:rsidTr="005F360D">
        <w:tblPrEx>
          <w:tblW w:w="5000" w:type="pct"/>
          <w:tblLayout w:type="fixed"/>
          <w:tblLook w:val="04A0"/>
        </w:tblPrEx>
        <w:trPr>
          <w:trHeight w:val="454"/>
        </w:trPr>
        <w:tc>
          <w:tcPr>
            <w:tcW w:w="1145" w:type="pct"/>
            <w:vMerge/>
            <w:vAlign w:val="center"/>
          </w:tcPr>
          <w:p w:rsidR="00AD3A6F">
            <w:pPr>
              <w:spacing w:line="280" w:lineRule="exact"/>
              <w:rPr>
                <w:rFonts w:ascii="方正仿宋简体" w:eastAsia="方正仿宋简体" w:hAnsiTheme="minorEastAsia" w:cs="方正仿宋简体"/>
                <w:b/>
                <w:iCs/>
              </w:rPr>
            </w:pPr>
          </w:p>
        </w:tc>
        <w:tc>
          <w:tcPr>
            <w:tcW w:w="1413" w:type="pct"/>
            <w:vMerge/>
            <w:vAlign w:val="center"/>
          </w:tcPr>
          <w:p w:rsidR="00AD3A6F">
            <w:pPr>
              <w:spacing w:line="280" w:lineRule="exact"/>
              <w:rPr>
                <w:rFonts w:ascii="方正仿宋简体" w:eastAsia="方正仿宋简体" w:hAnsiTheme="minorEastAsia" w:cs="方正仿宋简体"/>
                <w:b/>
                <w:iCs/>
              </w:rPr>
            </w:pPr>
          </w:p>
        </w:tc>
        <w:tc>
          <w:tcPr>
            <w:tcW w:w="999" w:type="pct"/>
            <w:vAlign w:val="center"/>
          </w:tcPr>
          <w:p w:rsidR="00AD3A6F">
            <w:pPr>
              <w:spacing w:line="280" w:lineRule="exact"/>
              <w:rPr>
                <w:rFonts w:ascii="方正仿宋简体" w:eastAsia="方正仿宋简体" w:hAnsiTheme="minorEastAsia" w:cs="方正仿宋简体"/>
                <w:b/>
                <w:iCs/>
              </w:rPr>
            </w:pPr>
            <w:r>
              <w:rPr>
                <w:rFonts w:ascii="方正仿宋简体" w:eastAsia="方正仿宋简体" w:hAnsiTheme="minorEastAsia" w:cs="方正仿宋简体" w:hint="eastAsia"/>
                <w:b/>
                <w:iCs/>
              </w:rPr>
              <w:t>证券从业日期</w:t>
            </w:r>
          </w:p>
        </w:tc>
        <w:tc>
          <w:tcPr>
            <w:tcW w:w="1443"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2011-07-25</w:t>
            </w:r>
          </w:p>
        </w:tc>
      </w:tr>
      <w:tr w:rsidTr="005F360D">
        <w:tblPrEx>
          <w:tblW w:w="5000" w:type="pct"/>
          <w:tblLayout w:type="fixed"/>
          <w:tblLook w:val="04A0"/>
        </w:tblPrEx>
        <w:trPr>
          <w:trHeight w:val="454"/>
        </w:trPr>
        <w:tc>
          <w:tcPr>
            <w:tcW w:w="1145" w:type="pct"/>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其他</w:t>
            </w:r>
          </w:p>
        </w:tc>
        <w:tc>
          <w:tcPr>
            <w:tcW w:w="3855" w:type="pct"/>
            <w:gridSpan w:val="3"/>
            <w:vAlign w:val="center"/>
          </w:tcPr>
          <w:p w:rsidR="00AD3A6F">
            <w:pPr>
              <w:spacing w:line="280" w:lineRule="exact"/>
              <w:rPr>
                <w:rFonts w:ascii="方正仿宋简体" w:eastAsia="方正仿宋简体" w:hAnsiTheme="minorEastAsia" w:cs="方正仿宋简体"/>
                <w:iCs/>
              </w:rPr>
            </w:pPr>
            <w:r>
              <w:rPr>
                <w:rFonts w:ascii="方正仿宋简体" w:eastAsia="方正仿宋简体" w:hAnsiTheme="minorEastAsia" w:cs="方正仿宋简体" w:hint="eastAsia"/>
                <w:iCs/>
              </w:rPr>
              <w:t>本基金场内投资采用证券公司交易和结算模式。</w:t>
            </w:r>
          </w:p>
        </w:tc>
      </w:tr>
    </w:tbl>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基金投资与净值表现</w:t>
      </w:r>
    </w:p>
    <w:p w:rsidR="00AD3A6F">
      <w:pPr>
        <w:pStyle w:val="ListParagraph"/>
        <w:numPr>
          <w:ilvl w:val="0"/>
          <w:numId w:val="2"/>
        </w:numPr>
        <w:spacing w:line="280" w:lineRule="exact"/>
        <w:ind w:firstLineChars="0"/>
        <w:outlineLvl w:val="1"/>
        <w:rPr>
          <w:rFonts w:ascii="方正仿宋简体" w:eastAsia="方正仿宋简体" w:hAnsiTheme="minorEastAsia" w:cs="方正仿宋简体"/>
          <w:b/>
          <w:iCs/>
          <w:sz w:val="24"/>
          <w:szCs w:val="24"/>
        </w:rPr>
      </w:pPr>
      <w:r>
        <w:rPr>
          <w:rFonts w:ascii="方正仿宋简体" w:eastAsia="方正仿宋简体" w:hAnsi="方正仿宋简体" w:cs="方正仿宋简体" w:hint="eastAsia"/>
          <w:b/>
          <w:iCs/>
          <w:sz w:val="24"/>
          <w:szCs w:val="24"/>
        </w:rPr>
        <w:t>投资目标与投资策略</w:t>
      </w:r>
    </w:p>
    <w:tbl>
      <w:tblPr>
        <w:tblStyle w:val="TableGrid"/>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
      <w:tblGrid>
        <w:gridCol w:w="1952"/>
        <w:gridCol w:w="6570"/>
      </w:tblGrid>
      <w:tr w:rsidTr="004473DA">
        <w:tblPrEx>
          <w:tblW w:w="5000" w:type="pct"/>
          <w:tblBorders>
            <w:left w:val="none" w:sz="0" w:space="0" w:color="auto"/>
            <w:right w:val="none" w:sz="0" w:space="0" w:color="auto"/>
            <w:insideH w:val="dashSmallGap" w:sz="4" w:space="0" w:color="808080" w:themeColor="background1" w:themeShade="80"/>
            <w:insideV w:val="none" w:sz="0" w:space="0" w:color="auto"/>
          </w:tblBorders>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投资目标</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本基金在控制风险的前提下，追求超越业绩比较基准的投资回报。</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投资范围</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的投资范围包括国内依法发行上市的股票（包括创业板、科创板及其他依法发行上市的股票、存托凭证）、内地与香港股票市场交易互联互通机制允许买卖的香港证券市场股票（简称“港股通股票”）、国内依法发行上市的债券（包括国债、央行票据、地方政府债、金融债、企业债、公司债、次级债、中期票据、短期融资券、超短期融资券、政府支持机构债券、可转换债券、可交换债券等）、资产支持证券、债券回购、银行存款、同业存单、货币市场工具、股指期货、国债期货、股票期权及法律法规或中国证监会允许基金投资的其他金融工具。</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如法律法规或监管机构</w:t>
            </w:r>
            <w:r>
              <w:rPr>
                <w:rFonts w:ascii="方正仿宋简体" w:eastAsia="方正仿宋简体" w:hAnsiTheme="minorEastAsia" w:cs="仿宋_GB2312" w:hint="eastAsia"/>
                <w:kern w:val="0"/>
                <w:szCs w:val="24"/>
              </w:rPr>
              <w:t>以后允许基金投资其他品种，基金管理人在履行适当程序后，本基金可以将其纳入投资范围。</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基金的投资组合比例为：本基金股票资产占基金资产的比例为</w:t>
            </w:r>
            <w:r>
              <w:rPr>
                <w:rFonts w:ascii="方正仿宋简体" w:eastAsia="方正仿宋简体" w:hAnsiTheme="minorEastAsia" w:cs="仿宋_GB2312" w:hint="eastAsia"/>
                <w:kern w:val="0"/>
                <w:szCs w:val="24"/>
              </w:rPr>
              <w:t>60%-95%</w:t>
            </w:r>
            <w:r>
              <w:rPr>
                <w:rFonts w:ascii="方正仿宋简体" w:eastAsia="方正仿宋简体" w:hAnsiTheme="minorEastAsia" w:cs="仿宋_GB2312" w:hint="eastAsia"/>
                <w:kern w:val="0"/>
                <w:szCs w:val="24"/>
              </w:rPr>
              <w:t>；非现金基金资产中不低于</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的资产将投资于港股通股票，投资于医药主题相关股票的资产不低于非现金基金资产的</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；保持不低于基金资产净值</w:t>
            </w:r>
            <w:r>
              <w:rPr>
                <w:rFonts w:ascii="方正仿宋简体" w:eastAsia="方正仿宋简体" w:hAnsiTheme="minorEastAsia" w:cs="仿宋_GB2312" w:hint="eastAsia"/>
                <w:kern w:val="0"/>
                <w:szCs w:val="24"/>
              </w:rPr>
              <w:t>5%</w:t>
            </w:r>
            <w:r>
              <w:rPr>
                <w:rFonts w:ascii="方正仿宋简体" w:eastAsia="方正仿宋简体" w:hAnsiTheme="minorEastAsia" w:cs="仿宋_GB2312" w:hint="eastAsia"/>
                <w:kern w:val="0"/>
                <w:szCs w:val="24"/>
              </w:rPr>
              <w:t>的现金或者到期日在一年以内的政府债券，其中现金不包括结算备付金、存出保证金和应收申购款等。股指期货、国债期货、股票期权及其他金融工具的投资比例依照法律法规或监管机构的规定执行。</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主要投资策略</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资产配置方面，本基金将综合</w:t>
            </w:r>
            <w:r>
              <w:rPr>
                <w:rFonts w:ascii="方正仿宋简体" w:eastAsia="方正仿宋简体" w:hAnsiTheme="minorEastAsia" w:cs="仿宋_GB2312" w:hint="eastAsia"/>
                <w:kern w:val="0"/>
                <w:szCs w:val="24"/>
              </w:rPr>
              <w:t>考虑宏观与微观经济、市场与政策等因素，确定组合中股票、债券、货币市场工具及其他金融工具的比例。股票投资方面，本基金主要投资医药主题相关股票。本基金将通过定量与定性分析相结合的方法分析和精选个股，在港股通股票中重点精选医药主题相关优质公司进行投资。本基金可在对内地股票市场投资价值进行综合评估的基础上，通过对内地证券市场上市公司经营情况、财务状况等因素的研究和分析，进行内地市场股票的选择。在债券投资方面，本基金将主要通过类属配置与券种选择两个层次进行投资管理。</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业绩比较基准</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中证港股通医药卫生综合指数收益率×</w:t>
            </w:r>
            <w:r>
              <w:rPr>
                <w:rFonts w:ascii="方正仿宋简体" w:eastAsia="方正仿宋简体" w:hAnsiTheme="minorEastAsia" w:cs="仿宋_GB2312" w:hint="eastAsia"/>
                <w:kern w:val="0"/>
                <w:szCs w:val="24"/>
              </w:rPr>
              <w:t>80%+</w:t>
            </w:r>
            <w:r>
              <w:rPr>
                <w:rFonts w:ascii="方正仿宋简体" w:eastAsia="方正仿宋简体" w:hAnsiTheme="minorEastAsia" w:cs="仿宋_GB2312" w:hint="eastAsia"/>
                <w:kern w:val="0"/>
                <w:szCs w:val="24"/>
              </w:rPr>
              <w:t>中债总指数收益率×</w:t>
            </w:r>
            <w:r>
              <w:rPr>
                <w:rFonts w:ascii="方正仿宋简体" w:eastAsia="方正仿宋简体" w:hAnsiTheme="minorEastAsia" w:cs="仿宋_GB2312" w:hint="eastAsia"/>
                <w:kern w:val="0"/>
                <w:szCs w:val="24"/>
              </w:rPr>
              <w:t>20%</w:t>
            </w:r>
          </w:p>
        </w:tc>
      </w:tr>
      <w:tr w:rsidTr="004473DA">
        <w:tblPrEx>
          <w:tblW w:w="5000" w:type="pct"/>
          <w:tblLook w:val="04A0"/>
        </w:tblPrEx>
        <w:trPr>
          <w:trHeight w:val="454"/>
        </w:trPr>
        <w:tc>
          <w:tcPr>
            <w:tcW w:w="1145" w:type="pct"/>
            <w:vAlign w:val="center"/>
          </w:tcPr>
          <w:p w:rsidR="00AD3A6F">
            <w:pPr>
              <w:autoSpaceDE w:val="0"/>
              <w:autoSpaceDN w:val="0"/>
              <w:adjustRightInd w:val="0"/>
              <w:spacing w:line="280" w:lineRule="exact"/>
              <w:rPr>
                <w:rFonts w:ascii="方正仿宋简体" w:eastAsia="方正仿宋简体" w:hAnsiTheme="minorEastAsia" w:cs="仿宋_GB2312"/>
                <w:kern w:val="0"/>
                <w:sz w:val="22"/>
                <w:szCs w:val="24"/>
              </w:rPr>
            </w:pPr>
            <w:r>
              <w:rPr>
                <w:rFonts w:ascii="方正仿宋简体" w:eastAsia="方正仿宋简体" w:hAnsiTheme="minorEastAsia" w:cs="方正仿宋简体" w:hint="eastAsia"/>
                <w:b/>
                <w:bCs/>
                <w:iCs/>
                <w:szCs w:val="24"/>
              </w:rPr>
              <w:t>风险收益特征</w:t>
            </w:r>
          </w:p>
        </w:tc>
        <w:tc>
          <w:tcPr>
            <w:tcW w:w="3855" w:type="pct"/>
            <w:vAlign w:val="center"/>
          </w:tcPr>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本基金为混合型基金，理论上其预期风险与预期收益水平低于股票型基金，高于债券型基金和货币市场基金。</w:t>
            </w:r>
          </w:p>
          <w:p w:rsidR="00AD3A6F">
            <w:pPr>
              <w:autoSpaceDE w:val="0"/>
              <w:autoSpaceDN w:val="0"/>
              <w:adjustRightInd w:val="0"/>
              <w:spacing w:line="280" w:lineRule="exact"/>
              <w:rPr>
                <w:rFonts w:ascii="方正仿宋简体" w:eastAsia="方正仿宋简体" w:hAnsiTheme="minorEastAsia" w:cs="仿宋_GB2312"/>
                <w:kern w:val="0"/>
                <w:szCs w:val="24"/>
              </w:rPr>
            </w:pPr>
            <w:r>
              <w:rPr>
                <w:rFonts w:ascii="方正仿宋简体" w:eastAsia="方正仿宋简体" w:hAnsiTheme="minorEastAsia" w:cs="仿宋_GB2312" w:hint="eastAsia"/>
                <w:kern w:val="0"/>
                <w:szCs w:val="24"/>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tc>
      </w:tr>
    </w:tbl>
    <w:p w:rsidR="00AD3A6F" w:rsidRPr="0086475C">
      <w:pPr>
        <w:spacing w:line="280" w:lineRule="exact"/>
        <w:rPr>
          <w:rFonts w:ascii="方正仿宋简体" w:eastAsia="方正仿宋简体" w:hAnsiTheme="minorEastAsia" w:cs="方正仿宋简体"/>
          <w:iCs/>
          <w:szCs w:val="24"/>
        </w:rPr>
      </w:pPr>
      <w:r>
        <w:rPr>
          <w:rFonts w:ascii="方正仿宋简体" w:eastAsia="方正仿宋简体" w:hAnsiTheme="minorEastAsia" w:cs="方正仿宋简体" w:hint="eastAsia"/>
          <w:iCs/>
          <w:szCs w:val="24"/>
        </w:rPr>
        <w:t>注：投资者可阅读《招募说明书》基金的投资章节了解详细情况。</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r>
        <w:rPr>
          <w:rFonts w:ascii="方正仿宋简体" w:eastAsia="方正仿宋简体" w:hAnsi="方正仿宋简体" w:cs="方正仿宋简体" w:hint="eastAsia"/>
          <w:b/>
          <w:iCs/>
          <w:sz w:val="24"/>
          <w:szCs w:val="24"/>
        </w:rPr>
        <w:t>/</w:t>
      </w:r>
      <w:r>
        <w:rPr>
          <w:rFonts w:ascii="方正仿宋简体" w:eastAsia="方正仿宋简体" w:hAnsi="方正仿宋简体" w:cs="方正仿宋简体" w:hint="eastAsia"/>
          <w:b/>
          <w:iCs/>
          <w:sz w:val="24"/>
          <w:szCs w:val="24"/>
        </w:rPr>
        <w:t>区域配置图表</w:t>
      </w:r>
    </w:p>
    <w:p w:rsidR="00AD3A6F">
      <w:pPr>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投资组合资产配置图表</w:t>
      </w:r>
    </w:p>
    <w:p w:rsidR="00AD3A6F" w:rsidRPr="00E27EE9" w:rsidP="00E27EE9">
      <w:pPr>
        <w:snapToGrid w:val="0"/>
        <w:jc w:val="left"/>
        <w:rPr>
          <w:rFonts w:ascii="方正仿宋简体" w:eastAsia="方正仿宋简体"/>
          <w:color w:val="000000" w:themeColor="text1"/>
        </w:rPr>
      </w:pPr>
      <w:r w:rsidRPr="003F6076">
        <w:rPr>
          <w:rFonts w:ascii="方正仿宋简体" w:eastAsia="方正仿宋简体"/>
          <w:color w:val="000000" w:themeColor="text1"/>
        </w:rPr>
        <w:t>无</w:t>
      </w:r>
    </w:p>
    <w:p w:rsidR="00AD3A6F">
      <w:pPr>
        <w:pStyle w:val="ListParagraph"/>
        <w:numPr>
          <w:ilvl w:val="0"/>
          <w:numId w:val="2"/>
        </w:numPr>
        <w:spacing w:line="28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自基金合同生效以来基金每年的净值增长率及与同期业绩比较基准的比较图</w:t>
      </w:r>
    </w:p>
    <w:p w:rsidR="00AD3A6F">
      <w:pPr>
        <w:autoSpaceDE w:val="0"/>
        <w:autoSpaceDN w:val="0"/>
        <w:adjustRightInd w:val="0"/>
        <w:spacing w:line="280" w:lineRule="exact"/>
        <w:jc w:val="left"/>
        <w:rPr>
          <w:rFonts w:ascii="方正仿宋简体" w:eastAsia="方正仿宋简体" w:hAnsiTheme="minorEastAsia"/>
          <w:color w:val="000000" w:themeColor="text1"/>
        </w:rPr>
      </w:pPr>
      <w:r>
        <w:rPr>
          <w:rFonts w:ascii="方正仿宋简体" w:eastAsia="方正仿宋简体" w:hAnsiTheme="minorEastAsia" w:hint="eastAsia"/>
          <w:color w:val="000000" w:themeColor="text1"/>
        </w:rPr>
        <w:t>无</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投资本基金涉及的费用</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基金销售相关费用</w:t>
      </w:r>
    </w:p>
    <w:p w:rsidR="00AD3A6F">
      <w:pPr>
        <w:autoSpaceDE w:val="0"/>
        <w:autoSpaceDN w:val="0"/>
        <w:adjustRightInd w:val="0"/>
        <w:spacing w:line="280" w:lineRule="exact"/>
        <w:jc w:val="left"/>
        <w:rPr>
          <w:rFonts w:ascii="方正仿宋简体" w:eastAsia="方正仿宋简体"/>
          <w:color w:val="000000" w:themeColor="text1"/>
        </w:rPr>
      </w:pPr>
      <w:r>
        <w:rPr>
          <w:rFonts w:ascii="方正仿宋简体" w:eastAsia="方正仿宋简体" w:hAnsi="方正仿宋简体" w:cs="方正仿宋简体" w:hint="eastAsia"/>
          <w:iCs/>
          <w:color w:val="000000" w:themeColor="text1"/>
        </w:rPr>
        <w:t>以下费用在认购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申购</w:t>
      </w:r>
      <w:r>
        <w:rPr>
          <w:rFonts w:ascii="方正仿宋简体" w:eastAsia="方正仿宋简体" w:hAnsi="方正仿宋简体" w:cs="方正仿宋简体" w:hint="eastAsia"/>
          <w:iCs/>
          <w:color w:val="000000" w:themeColor="text1"/>
        </w:rPr>
        <w:t>/</w:t>
      </w:r>
      <w:r>
        <w:rPr>
          <w:rFonts w:ascii="方正仿宋简体" w:eastAsia="方正仿宋简体" w:hAnsi="方正仿宋简体" w:cs="方正仿宋简体" w:hint="eastAsia"/>
          <w:iCs/>
          <w:color w:val="000000" w:themeColor="text1"/>
        </w:rPr>
        <w:t>赎回基金过程中收取：</w:t>
      </w:r>
    </w:p>
    <w:tbl>
      <w:tblPr>
        <w:tblW w:w="5000" w:type="pct"/>
        <w:tblBorders>
          <w:top w:val="single" w:sz="4" w:space="0" w:color="000000"/>
          <w:bottom w:val="single" w:sz="4" w:space="0" w:color="000000"/>
          <w:insideH w:val="dashSmallGap" w:sz="4" w:space="0" w:color="808080" w:themeColor="background1" w:themeShade="80"/>
        </w:tblBorders>
        <w:tblLook w:val="0000"/>
      </w:tblPr>
      <w:tblGrid>
        <w:gridCol w:w="1243"/>
        <w:gridCol w:w="3828"/>
        <w:gridCol w:w="1133"/>
        <w:gridCol w:w="2318"/>
      </w:tblGrid>
      <w:tr w:rsidTr="00575F3B">
        <w:tblPrEx>
          <w:tblW w:w="5000"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729"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费用类型</w:t>
            </w:r>
          </w:p>
        </w:tc>
        <w:tc>
          <w:tcPr>
            <w:tcW w:w="2246"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份额（</w:t>
            </w:r>
            <w:r>
              <w:rPr>
                <w:rFonts w:ascii="方正仿宋简体" w:eastAsia="方正仿宋简体" w:hAnsi="方正仿宋简体" w:cs="方正仿宋简体" w:hint="eastAsia"/>
                <w:b/>
                <w:bCs/>
                <w:iCs/>
                <w:color w:val="000000" w:themeColor="text1"/>
              </w:rPr>
              <w:t>S</w:t>
            </w:r>
            <w:r>
              <w:rPr>
                <w:rFonts w:ascii="方正仿宋简体" w:eastAsia="方正仿宋简体" w:hAnsi="方正仿宋简体" w:cs="方正仿宋简体" w:hint="eastAsia"/>
                <w:b/>
                <w:bCs/>
                <w:iCs/>
                <w:color w:val="000000" w:themeColor="text1"/>
              </w:rPr>
              <w:t>）或金额（</w:t>
            </w:r>
            <w:r>
              <w:rPr>
                <w:rFonts w:ascii="方正仿宋简体" w:eastAsia="方正仿宋简体" w:hAnsi="方正仿宋简体" w:cs="方正仿宋简体" w:hint="eastAsia"/>
                <w:b/>
                <w:bCs/>
                <w:iCs/>
                <w:color w:val="000000" w:themeColor="text1"/>
              </w:rPr>
              <w:t>M</w:t>
            </w:r>
            <w:r>
              <w:rPr>
                <w:rFonts w:ascii="方正仿宋简体" w:eastAsia="方正仿宋简体" w:hAnsi="方正仿宋简体" w:cs="方正仿宋简体" w:hint="eastAsia"/>
                <w:b/>
                <w:bCs/>
                <w:iCs/>
                <w:color w:val="000000" w:themeColor="text1"/>
              </w:rPr>
              <w:t>）</w:t>
            </w:r>
          </w:p>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持有期限（</w:t>
            </w:r>
            <w:r>
              <w:rPr>
                <w:rFonts w:ascii="方正仿宋简体" w:eastAsia="方正仿宋简体" w:hAnsi="方正仿宋简体" w:cs="方正仿宋简体" w:hint="eastAsia"/>
                <w:b/>
                <w:bCs/>
                <w:iCs/>
                <w:color w:val="000000" w:themeColor="text1"/>
              </w:rPr>
              <w:t>N</w:t>
            </w:r>
            <w:r>
              <w:rPr>
                <w:rFonts w:ascii="方正仿宋简体" w:eastAsia="方正仿宋简体" w:hAnsi="方正仿宋简体" w:cs="方正仿宋简体" w:hint="eastAsia"/>
                <w:b/>
                <w:bCs/>
                <w:iCs/>
                <w:color w:val="000000" w:themeColor="text1"/>
              </w:rPr>
              <w:t>）</w:t>
            </w:r>
          </w:p>
        </w:tc>
        <w:tc>
          <w:tcPr>
            <w:tcW w:w="665"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收费方式</w:t>
            </w:r>
            <w:r>
              <w:rPr>
                <w:rFonts w:ascii="方正仿宋简体" w:eastAsia="方正仿宋简体" w:hAnsi="方正仿宋简体" w:cs="方正仿宋简体" w:hint="eastAsia"/>
                <w:b/>
                <w:bCs/>
                <w:iCs/>
                <w:color w:val="000000" w:themeColor="text1"/>
              </w:rPr>
              <w:t>/</w:t>
            </w:r>
            <w:r>
              <w:rPr>
                <w:rFonts w:ascii="方正仿宋简体" w:eastAsia="方正仿宋简体" w:hAnsi="方正仿宋简体" w:cs="方正仿宋简体" w:hint="eastAsia"/>
                <w:b/>
                <w:bCs/>
                <w:iCs/>
                <w:color w:val="000000" w:themeColor="text1"/>
              </w:rPr>
              <w:t>费率</w:t>
            </w:r>
          </w:p>
        </w:tc>
        <w:tc>
          <w:tcPr>
            <w:tcW w:w="1360" w:type="pc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备注</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0.12%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通过本公司直销中心认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100万元 ≤ M &lt;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0.08%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100元/笔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1.20%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其他投资者</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100万元 ≤ M &lt;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0.80%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认购费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1000元/笔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0.15%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通过本公司直销中心申购的全国社会保障基金、依法设立的基本养老保险基金、依法制定的企业年金计划筹集的资金及其投资运营收益形成的企业补充养老保险基金（包括企业年金单一计划以及集合计划）、可以投资基金的其他社会保险基金、以及依法登记、认定的慈善组织；将来出现的可以投资基金的住房公积金、享受税收优惠的个人养老账户、经养老基金监管部门认可的新的养老基金类型</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100万元 ≤ M &lt;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0.12%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100元/笔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M &lt; 100万元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其他投资者</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100万元 ≤ M &lt;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1.20%  </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申购费（前收费）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M ≥ 500万元</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1000元/笔</w:t>
            </w:r>
          </w:p>
        </w:tc>
        <w:tc>
          <w:tcPr>
            <w:tcW w:w="1360" w:type="pct"/>
            <w:vAlign w:val="center"/>
          </w:tcPr>
          <w:p w:rsidR="00AD3A6F">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同上</w:t>
            </w:r>
          </w:p>
        </w:tc>
      </w:tr>
      <w:tr w:rsidTr="00575F3B">
        <w:tblPrEx>
          <w:tblW w:w="5000" w:type="pct"/>
          <w:tblLook w:val="0000"/>
        </w:tblPrEx>
        <w:trPr>
          <w:trHeight w:val="454"/>
        </w:trPr>
        <w:tc>
          <w:tcPr>
            <w:tcW w:w="729" w:type="pct"/>
            <w:vMerge w:val="restart"/>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0天 &lt; N ≤ 6天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1.50%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7天 ≤ N ≤ 29天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0.75%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30天 ≤ N ≤ 179天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0.50%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r w:rsidTr="00575F3B">
        <w:tblPrEx>
          <w:tblW w:w="5000" w:type="pct"/>
          <w:tblLook w:val="0000"/>
        </w:tblPrEx>
        <w:trPr>
          <w:trHeight w:val="454"/>
        </w:trPr>
        <w:tc>
          <w:tcPr>
            <w:tcW w:w="729" w:type="pct"/>
            <w:vMerge/>
            <w:vAlign w:val="center"/>
          </w:tcPr>
          <w:p w:rsidR="00AD3A6F">
            <w:pPr>
              <w:spacing w:line="280" w:lineRule="exact"/>
              <w:jc w:val="center"/>
              <w:rPr>
                <w:rFonts w:ascii="方正仿宋简体" w:eastAsia="方正仿宋简体" w:hAnsi="方正仿宋简体" w:cs="方正仿宋简体"/>
                <w:b/>
                <w:bCs/>
                <w:iCs/>
                <w:color w:val="000000" w:themeColor="text1"/>
              </w:rPr>
            </w:pPr>
            <w:r>
              <w:rPr>
                <w:rFonts w:ascii="方正仿宋简体" w:eastAsia="方正仿宋简体" w:hAnsi="方正仿宋简体" w:cs="方正仿宋简体" w:hint="eastAsia"/>
                <w:b/>
                <w:bCs/>
                <w:iCs/>
                <w:color w:val="000000" w:themeColor="text1"/>
              </w:rPr>
              <w:t>赎回费</w:t>
            </w:r>
          </w:p>
        </w:tc>
        <w:tc>
          <w:tcPr>
            <w:tcW w:w="2246"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　 　 N ≥ 180天 </w:t>
            </w:r>
          </w:p>
        </w:tc>
        <w:tc>
          <w:tcPr>
            <w:tcW w:w="665" w:type="pct"/>
            <w:vAlign w:val="center"/>
          </w:tcPr>
          <w:p w:rsidR="00AD3A6F">
            <w:pPr>
              <w:spacing w:line="280" w:lineRule="exact"/>
              <w:jc w:val="center"/>
              <w:rPr>
                <w:rFonts w:ascii="方正仿宋简体" w:eastAsia="方正仿宋简体" w:hAnsi="方正仿宋简体" w:cs="方正仿宋简体"/>
                <w:bCs/>
                <w:iCs/>
                <w:color w:val="000000" w:themeColor="text1"/>
              </w:rPr>
            </w:pPr>
            <w:r>
              <w:rPr>
                <w:rFonts w:ascii="方正仿宋简体" w:eastAsia="方正仿宋简体" w:hAnsi="方正仿宋简体" w:cs="方正仿宋简体" w:hint="eastAsia"/>
                <w:bCs/>
                <w:iCs/>
                <w:color w:val="000000" w:themeColor="text1"/>
              </w:rPr>
              <w:t xml:space="preserve">0.00%  </w:t>
            </w:r>
          </w:p>
        </w:tc>
        <w:tc>
          <w:tcPr>
            <w:tcW w:w="1360" w:type="pct"/>
            <w:vAlign w:val="center"/>
          </w:tcPr>
          <w:p w:rsidR="00AD3A6F">
            <w:pPr>
              <w:spacing w:line="280" w:lineRule="exact"/>
              <w:jc w:val="center"/>
              <w:rPr>
                <w:rFonts w:ascii="方正仿宋简体" w:eastAsia="方正仿宋简体" w:hAnsi="方正仿宋简体" w:cs="方正仿宋简体"/>
                <w:bCs/>
                <w:iCs/>
                <w:color w:val="000000" w:themeColor="text1"/>
              </w:rPr>
            </w:pPr>
          </w:p>
        </w:tc>
      </w:tr>
    </w:tbl>
    <w:p w:rsidR="00AD3A6F">
      <w:pPr>
        <w:autoSpaceDE w:val="0"/>
        <w:autoSpaceDN w:val="0"/>
        <w:adjustRightInd w:val="0"/>
        <w:spacing w:line="280" w:lineRule="exact"/>
        <w:jc w:val="left"/>
        <w:rPr>
          <w:rFonts w:ascii="方正仿宋简体" w:eastAsia="方正仿宋简体" w:hAnsi="方正仿宋简体" w:cs="方正仿宋简体"/>
          <w:iCs/>
          <w:color w:val="000000" w:themeColor="text1"/>
        </w:rPr>
      </w:pPr>
      <w:r>
        <w:rPr>
          <w:rFonts w:ascii="方正仿宋简体" w:eastAsia="方正仿宋简体" w:hAnsi="方正仿宋简体" w:cs="方正仿宋简体" w:hint="eastAsia"/>
          <w:iCs/>
          <w:color w:val="000000" w:themeColor="text1"/>
        </w:rPr>
        <w:t>注：如果投资者多次认购、申购，认购费、申购费适用单笔认购、申购金额所对应的费率。</w:t>
      </w:r>
    </w:p>
    <w:p w:rsidR="00AD3A6F">
      <w:pPr>
        <w:pStyle w:val="ListParagraph"/>
        <w:numPr>
          <w:ilvl w:val="0"/>
          <w:numId w:val="3"/>
        </w:numPr>
        <w:spacing w:line="340" w:lineRule="exact"/>
        <w:ind w:firstLineChars="0"/>
        <w:outlineLvl w:val="1"/>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基金运作相关费用</w:t>
      </w:r>
    </w:p>
    <w:p w:rsidR="00AD3A6F">
      <w:pPr>
        <w:autoSpaceDE w:val="0"/>
        <w:autoSpaceDN w:val="0"/>
        <w:adjustRightInd w:val="0"/>
        <w:spacing w:line="280" w:lineRule="exact"/>
        <w:jc w:val="left"/>
        <w:rPr>
          <w:rFonts w:ascii="方正仿宋简体" w:eastAsia="方正仿宋简体" w:hAnsi="方正仿宋简体" w:cs="方正仿宋简体"/>
          <w:iCs/>
        </w:rPr>
      </w:pPr>
      <w:r>
        <w:rPr>
          <w:rFonts w:ascii="方正仿宋简体" w:eastAsia="方正仿宋简体" w:hint="eastAsia"/>
        </w:rPr>
        <w:t>以下</w:t>
      </w:r>
      <w:r>
        <w:rPr>
          <w:rFonts w:ascii="方正仿宋简体" w:eastAsia="方正仿宋简体" w:hAnsi="方正仿宋简体" w:cs="方正仿宋简体" w:hint="eastAsia"/>
          <w:iCs/>
        </w:rPr>
        <w:t>费用将从基金资产中扣除：</w:t>
      </w:r>
    </w:p>
    <w:tbl>
      <w:tblPr>
        <w:tblW w:w="5001" w:type="pct"/>
        <w:tblBorders>
          <w:top w:val="single" w:sz="4" w:space="0" w:color="000000"/>
          <w:bottom w:val="single" w:sz="4" w:space="0" w:color="000000"/>
          <w:insideH w:val="dashSmallGap" w:sz="4" w:space="0" w:color="808080" w:themeColor="background1" w:themeShade="80"/>
        </w:tblBorders>
        <w:tblLook w:val="0000"/>
      </w:tblPr>
      <w:tblGrid>
        <w:gridCol w:w="1477"/>
        <w:gridCol w:w="3527"/>
        <w:gridCol w:w="3520"/>
      </w:tblGrid>
      <w:tr w:rsidTr="000D2645">
        <w:tblPrEx>
          <w:tblW w:w="5001" w:type="pct"/>
          <w:tblBorders>
            <w:top w:val="single" w:sz="4" w:space="0" w:color="000000"/>
            <w:bottom w:val="single" w:sz="4" w:space="0" w:color="000000"/>
            <w:insideH w:val="dashSmallGap" w:sz="4" w:space="0" w:color="808080" w:themeColor="background1" w:themeShade="80"/>
          </w:tblBorders>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b/>
                <w:bCs/>
              </w:rPr>
            </w:pPr>
            <w:r>
              <w:rPr>
                <w:rFonts w:ascii="方正仿宋简体" w:eastAsia="方正仿宋简体" w:hAnsi="方正仿宋简体" w:cs="方正仿宋简体" w:hint="eastAsia"/>
                <w:b/>
                <w:bCs/>
                <w:iCs/>
              </w:rPr>
              <w:t>费用类别</w:t>
            </w:r>
          </w:p>
        </w:tc>
        <w:tc>
          <w:tcPr>
            <w:tcW w:w="2069" w:type="pct"/>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收费方式</w:t>
            </w:r>
            <w:r>
              <w:rPr>
                <w:rFonts w:ascii="方正仿宋简体" w:eastAsia="方正仿宋简体" w:hAnsi="方正仿宋简体" w:cs="方正仿宋简体" w:hint="eastAsia"/>
                <w:b/>
                <w:bCs/>
                <w:iCs/>
              </w:rPr>
              <w:t>/</w:t>
            </w:r>
            <w:r>
              <w:rPr>
                <w:rFonts w:ascii="方正仿宋简体" w:eastAsia="方正仿宋简体" w:hAnsi="方正仿宋简体" w:cs="方正仿宋简体" w:hint="eastAsia"/>
                <w:b/>
                <w:bCs/>
                <w:iCs/>
              </w:rPr>
              <w:t>年费率或金额</w:t>
            </w:r>
          </w:p>
        </w:tc>
        <w:tc>
          <w:tcPr>
            <w:tcW w:w="2065" w:type="pct"/>
            <w:tcBorders>
              <w:bottom w:val="dashSmallGap" w:sz="4" w:space="0" w:color="808080" w:themeColor="background1" w:themeShade="80"/>
            </w:tcBorders>
            <w:vAlign w:val="center"/>
          </w:tcPr>
          <w:p w:rsidR="00AD3A6F">
            <w:pPr>
              <w:spacing w:line="280" w:lineRule="exact"/>
              <w:jc w:val="center"/>
              <w:rPr>
                <w:rFonts w:ascii="方正仿宋简体" w:eastAsia="方正仿宋简体" w:hAnsi="方正仿宋简体" w:cs="方正仿宋简体"/>
                <w:b/>
                <w:bCs/>
                <w:iCs/>
              </w:rPr>
            </w:pPr>
            <w:r>
              <w:rPr>
                <w:rFonts w:ascii="方正仿宋简体" w:eastAsia="方正仿宋简体" w:hAnsi="方正仿宋简体" w:cs="方正仿宋简体" w:hint="eastAsia"/>
                <w:b/>
                <w:bCs/>
                <w:iCs/>
              </w:rPr>
              <w:t>收取</w:t>
            </w:r>
            <w:r w:rsidR="00A73782">
              <w:rPr>
                <w:rFonts w:ascii="方正仿宋简体" w:eastAsia="方正仿宋简体" w:hAnsi="方正仿宋简体" w:cs="方正仿宋简体" w:hint="eastAsia"/>
                <w:b/>
                <w:bCs/>
                <w:iCs/>
              </w:rPr>
              <w:t>方</w:t>
            </w:r>
          </w:p>
        </w:tc>
      </w:tr>
      <w:tr w:rsidTr="000D2645">
        <w:tblPrEx>
          <w:tblW w:w="5001" w:type="pct"/>
          <w:tblLook w:val="0000"/>
        </w:tblPrEx>
        <w:trPr>
          <w:trHeight w:val="454"/>
        </w:trPr>
        <w:tc>
          <w:tcPr>
            <w:tcW w:w="866" w:type="pct"/>
            <w:vAlign w:val="center"/>
          </w:tcPr>
          <w:p w:rsidR="000D2645">
            <w:pPr>
              <w:spacing w:line="280" w:lineRule="exact"/>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管理费</w:t>
            </w:r>
          </w:p>
        </w:tc>
        <w:tc>
          <w:tcPr>
            <w:tcW w:w="2069" w:type="pct"/>
            <w:vAlign w:val="center"/>
          </w:tcPr>
          <w:p w:rsidR="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年费率</w:t>
            </w:r>
            <w:r>
              <w:rPr>
                <w:rFonts w:ascii="方正仿宋简体" w:eastAsia="方正仿宋简体" w:hAnsi="方正仿宋简体" w:cs="方正仿宋简体" w:hint="eastAsia"/>
                <w:bCs/>
                <w:iCs/>
              </w:rPr>
              <w:t xml:space="preserve">1.20% </w:t>
            </w:r>
          </w:p>
        </w:tc>
        <w:tc>
          <w:tcPr>
            <w:tcW w:w="2065" w:type="pct"/>
            <w:tcBorders>
              <w:top w:val="dashSmallGap" w:sz="4" w:space="0" w:color="808080" w:themeColor="background1" w:themeShade="80"/>
            </w:tcBorders>
            <w:vAlign w:val="center"/>
          </w:tcPr>
          <w:p w:rsidR="000D2645" w:rsidP="000D2645">
            <w:pPr>
              <w:spacing w:line="280" w:lineRule="exact"/>
              <w:jc w:val="center"/>
              <w:rPr>
                <w:rFonts w:ascii="方正仿宋简体" w:eastAsia="方正仿宋简体" w:hAnsi="方正仿宋简体" w:cs="方正仿宋简体"/>
                <w:bCs/>
                <w:iCs/>
              </w:rPr>
            </w:pPr>
            <w:r>
              <w:rPr>
                <w:rFonts w:ascii="方正仿宋简体" w:eastAsia="方正仿宋简体" w:hAnsi="方正仿宋简体" w:cs="方正仿宋简体" w:hint="eastAsia"/>
                <w:bCs/>
                <w:iCs/>
              </w:rPr>
              <w:t>基金管理人</w:t>
            </w:r>
            <w:bookmarkStart w:id="0" w:name="_GoBack"/>
            <w:r>
              <w:rPr>
                <w:rFonts w:ascii="方正仿宋简体" w:eastAsia="方正仿宋简体" w:hAnsi="方正仿宋简体" w:cs="方正仿宋简体" w:hint="eastAsia"/>
                <w:bCs/>
                <w:iCs/>
              </w:rPr>
              <w:t>、销售机构</w:t>
            </w:r>
            <w:bookmarkEnd w:id="0"/>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托管费</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年费率0.20% </w:t>
            </w:r>
          </w:p>
        </w:tc>
        <w:tc>
          <w:tcPr>
            <w:tcW w:w="2065"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基金托管人</w:t>
            </w:r>
          </w:p>
        </w:tc>
      </w:tr>
      <w:tr w:rsidTr="000D2645">
        <w:tblPrEx>
          <w:tblW w:w="5001" w:type="pct"/>
          <w:tblLook w:val="0000"/>
        </w:tblPrEx>
        <w:trPr>
          <w:trHeight w:val="454"/>
        </w:trPr>
        <w:tc>
          <w:tcPr>
            <w:tcW w:w="866" w:type="pct"/>
            <w:vAlign w:val="center"/>
          </w:tcPr>
          <w:p w:rsidR="00AD3A6F">
            <w:pPr>
              <w:spacing w:line="280" w:lineRule="exact"/>
              <w:rPr>
                <w:rFonts w:ascii="方正仿宋简体" w:eastAsia="方正仿宋简体" w:hAnsi="方正仿宋简体" w:cs="方正仿宋简体"/>
                <w:iCs/>
              </w:rPr>
            </w:pPr>
            <w:r>
              <w:rPr>
                <w:rFonts w:ascii="方正仿宋简体" w:eastAsia="方正仿宋简体" w:hAnsi="方正仿宋简体" w:cs="方正仿宋简体" w:hint="eastAsia"/>
                <w:iCs/>
              </w:rPr>
              <w:t>其他费用</w:t>
            </w:r>
          </w:p>
        </w:tc>
        <w:tc>
          <w:tcPr>
            <w:tcW w:w="2069" w:type="pct"/>
            <w:vAlign w:val="center"/>
          </w:tcPr>
          <w:p w:rsidR="00AD3A6F">
            <w:pPr>
              <w:spacing w:line="280" w:lineRule="exact"/>
              <w:jc w:val="center"/>
              <w:rPr>
                <w:rFonts w:ascii="方正仿宋简体" w:eastAsia="方正仿宋简体" w:hAnsiTheme="minorEastAsia" w:cs="方正仿宋简体"/>
                <w:bCs/>
                <w:iCs/>
              </w:rPr>
            </w:pPr>
            <w:r>
              <w:rPr>
                <w:rFonts w:ascii="方正仿宋简体" w:eastAsia="方正仿宋简体" w:hAnsiTheme="minorEastAsia" w:cs="方正仿宋简体" w:hint="eastAsia"/>
                <w:bCs/>
                <w:iCs/>
              </w:rPr>
              <w:t xml:space="preserve">详见招募说明书的基金费用与税收章节。  </w:t>
            </w:r>
          </w:p>
        </w:tc>
        <w:tc>
          <w:tcPr>
            <w:tcW w:w="2065" w:type="pct"/>
            <w:vAlign w:val="center"/>
          </w:tcPr>
          <w:p w:rsidR="00AD3A6F">
            <w:pPr>
              <w:spacing w:line="280" w:lineRule="exact"/>
              <w:jc w:val="center"/>
              <w:rPr>
                <w:rFonts w:ascii="方正仿宋简体" w:eastAsia="方正仿宋简体" w:hAnsiTheme="minorEastAsia" w:cs="方正仿宋简体"/>
                <w:bCs/>
                <w:iCs/>
              </w:rPr>
            </w:pPr>
          </w:p>
        </w:tc>
      </w:tr>
    </w:tbl>
    <w:p w:rsidR="00AD3A6F" w:rsidRPr="0086475C">
      <w:pPr>
        <w:autoSpaceDE w:val="0"/>
        <w:autoSpaceDN w:val="0"/>
        <w:adjustRightInd w:val="0"/>
        <w:spacing w:line="280" w:lineRule="exact"/>
        <w:jc w:val="left"/>
        <w:rPr>
          <w:rFonts w:ascii="方正仿宋简体" w:eastAsia="方正仿宋简体" w:hAnsi="方正仿宋简体" w:cs="方正仿宋简体"/>
          <w:bCs/>
          <w:iCs/>
        </w:rPr>
      </w:pPr>
      <w:r w:rsidRPr="003F6076">
        <w:rPr>
          <w:rFonts w:ascii="方正仿宋简体" w:eastAsia="方正仿宋简体" w:hAnsi="方正仿宋简体" w:cs="方正仿宋简体" w:hint="eastAsia"/>
          <w:bCs/>
          <w:iCs/>
        </w:rPr>
        <w:t>注：本基金交易证券、基金等产生的费用和税负，按实际发生额从基金资产扣除。</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风险揭示与重要提示</w:t>
      </w:r>
    </w:p>
    <w:p w:rsidR="00AD3A6F">
      <w:pPr>
        <w:spacing w:line="280" w:lineRule="exact"/>
        <w:outlineLvl w:val="1"/>
        <w:rPr>
          <w:rFonts w:ascii="方正仿宋简体" w:eastAsia="方正仿宋简体" w:hAnsi="宋体"/>
          <w:color w:val="0000FF"/>
          <w:kern w:val="0"/>
          <w:sz w:val="18"/>
        </w:rPr>
      </w:pPr>
      <w:r>
        <w:rPr>
          <w:rFonts w:ascii="方正仿宋简体" w:eastAsia="方正仿宋简体" w:hAnsi="方正仿宋简体" w:cs="方正仿宋简体" w:hint="eastAsia"/>
          <w:b/>
          <w:bCs/>
          <w:iCs/>
          <w:sz w:val="24"/>
          <w:szCs w:val="24"/>
        </w:rPr>
        <w:t>（一）风险揭示</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b/>
          <w:bCs/>
          <w:iCs/>
        </w:rPr>
        <w:t>本基金不提供任何保证。投资者可能损失投资本金。</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投资有风险，投资者购买基金时应认真阅读本基金的《招募说明书》等销售文件。</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投资本基金可能遇到的特有风险包括但不限于：（</w:t>
      </w: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）本基金股票资产仓位偏高而面临的资产配置风险；（</w:t>
      </w: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）医药主题相关股票集中度较高的风险；（</w:t>
      </w: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）本基金投资范围包括内地与香港股票市场交易互联互通机制允许买卖的香港证券市场股票而面临的香港股票市场及港股通机制带来的风险；（</w:t>
      </w: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）本基金投资范围包括股指期货、国债期货、股票期权等金融衍生品以及科创板股票、北交所股票、存托凭证、资产支持证券等特殊品种而面临的其他额外风险。此外，本基金还将面临市场风险、流</w:t>
      </w:r>
      <w:r>
        <w:rPr>
          <w:rFonts w:ascii="方正仿宋简体" w:eastAsia="方正仿宋简体" w:hAnsi="方正仿宋简体" w:cs="方正仿宋简体" w:hint="eastAsia"/>
          <w:iCs/>
        </w:rPr>
        <w:t>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本基金的特有风险及一般风险详见招募说明书的“风险揭示”部分。</w:t>
      </w:r>
    </w:p>
    <w:p w:rsidR="00AD3A6F">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w:t>
      </w:r>
      <w:r>
        <w:rPr>
          <w:rFonts w:ascii="方正仿宋简体" w:eastAsia="方正仿宋简体" w:hAnsi="方正仿宋简体" w:cs="方正仿宋简体" w:hint="eastAsia"/>
          <w:iCs/>
        </w:rPr>
        <w:t>资运作过程中的信息系统风险、操作风险、交易指令传输和资金使用效率降低的风险、无法完成当日估值的风险、交易结算风险、基金投资非公开信息泄露的风险等。</w:t>
      </w:r>
    </w:p>
    <w:p w:rsidR="00AD3A6F">
      <w:pPr>
        <w:spacing w:line="280" w:lineRule="exact"/>
        <w:outlineLvl w:val="1"/>
        <w:rPr>
          <w:rFonts w:ascii="方正仿宋简体" w:eastAsia="方正仿宋简体" w:hAnsi="方正仿宋简体" w:cs="方正仿宋简体"/>
          <w:b/>
          <w:iCs/>
          <w:sz w:val="22"/>
          <w:szCs w:val="24"/>
        </w:rPr>
      </w:pPr>
      <w:r>
        <w:rPr>
          <w:rFonts w:ascii="方正仿宋简体" w:eastAsia="方正仿宋简体" w:hAnsi="方正仿宋简体" w:cs="方正仿宋简体" w:hint="eastAsia"/>
          <w:b/>
          <w:iCs/>
          <w:sz w:val="24"/>
          <w:szCs w:val="24"/>
        </w:rPr>
        <w:t>（二）重要提示</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r>
        <w:rPr>
          <w:rFonts w:ascii="方正仿宋简体" w:eastAsia="方正仿宋简体" w:hAnsi="方正仿宋简体" w:cs="方正仿宋简体" w:hint="eastAsia"/>
          <w:b/>
          <w:bCs/>
          <w:iCs/>
        </w:rPr>
        <w:t>各方当事人因《基金合同》而产生的或与《基金合同》有关</w:t>
      </w:r>
      <w:r>
        <w:rPr>
          <w:rFonts w:ascii="方正仿宋简体" w:eastAsia="方正仿宋简体" w:hAnsi="方正仿宋简体" w:cs="方正仿宋简体" w:hint="eastAsia"/>
          <w:b/>
          <w:bCs/>
          <w:iCs/>
        </w:rPr>
        <w:t>的一切争议应尽量通过协商、调解途径解决，如经友好协商未能解决的最终将通过仲裁方式处理，详见《基金合同》</w:t>
      </w:r>
      <w:r>
        <w:rPr>
          <w:rFonts w:ascii="方正仿宋简体" w:eastAsia="方正仿宋简体" w:hAnsi="方正仿宋简体" w:cs="方正仿宋简体" w:hint="eastAsia"/>
          <w:iCs/>
        </w:rPr>
        <w:t>。</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rsidR="00AD3A6F">
      <w:pPr>
        <w:numPr>
          <w:ilvl w:val="0"/>
          <w:numId w:val="1"/>
        </w:numPr>
        <w:spacing w:line="280" w:lineRule="exact"/>
        <w:outlineLvl w:val="0"/>
        <w:rPr>
          <w:rFonts w:ascii="方正仿宋简体" w:eastAsia="方正仿宋简体" w:hAnsi="方正仿宋简体" w:cs="方正仿宋简体"/>
          <w:b/>
          <w:iCs/>
          <w:sz w:val="24"/>
          <w:szCs w:val="24"/>
        </w:rPr>
      </w:pPr>
      <w:r>
        <w:rPr>
          <w:rFonts w:ascii="方正仿宋简体" w:eastAsia="方正仿宋简体" w:hAnsi="方正仿宋简体" w:cs="方正仿宋简体" w:hint="eastAsia"/>
          <w:b/>
          <w:iCs/>
          <w:sz w:val="24"/>
          <w:szCs w:val="24"/>
        </w:rPr>
        <w:t>其他资料查询方式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以下资料详见基金管理人网站</w:t>
      </w:r>
      <w:r>
        <w:rPr>
          <w:rFonts w:ascii="方正仿宋简体" w:eastAsia="方正仿宋简体" w:hAnsi="方正仿宋简体" w:cs="方正仿宋简体" w:hint="eastAsia"/>
          <w:iCs/>
        </w:rPr>
        <w:t>[www.efunds.com.cn][</w:t>
      </w:r>
      <w:r>
        <w:rPr>
          <w:rFonts w:ascii="方正仿宋简体" w:eastAsia="方正仿宋简体" w:hAnsi="方正仿宋简体" w:cs="方正仿宋简体" w:hint="eastAsia"/>
          <w:iCs/>
        </w:rPr>
        <w:t>客服电话</w:t>
      </w:r>
      <w:r>
        <w:rPr>
          <w:rFonts w:ascii="方正仿宋简体" w:eastAsia="方正仿宋简体" w:hAnsi="方正仿宋简体" w:cs="方正仿宋简体" w:hint="eastAsia"/>
          <w:iCs/>
        </w:rPr>
        <w:t>:4008818088]</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1</w:t>
      </w:r>
      <w:r>
        <w:rPr>
          <w:rFonts w:ascii="方正仿宋简体" w:eastAsia="方正仿宋简体" w:hAnsi="方正仿宋简体" w:cs="方正仿宋简体" w:hint="eastAsia"/>
          <w:iCs/>
        </w:rPr>
        <w:t>、基金合同、托管协议、招募说明书</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2</w:t>
      </w:r>
      <w:r>
        <w:rPr>
          <w:rFonts w:ascii="方正仿宋简体" w:eastAsia="方正仿宋简体" w:hAnsi="方正仿宋简体" w:cs="方正仿宋简体" w:hint="eastAsia"/>
          <w:iCs/>
        </w:rPr>
        <w:t>、定期报告，包括基金季度报告、中期报告和年度报告</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3</w:t>
      </w:r>
      <w:r>
        <w:rPr>
          <w:rFonts w:ascii="方正仿宋简体" w:eastAsia="方正仿宋简体" w:hAnsi="方正仿宋简体" w:cs="方正仿宋简体" w:hint="eastAsia"/>
          <w:iCs/>
        </w:rPr>
        <w:t>、基金份额净值</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4</w:t>
      </w:r>
      <w:r>
        <w:rPr>
          <w:rFonts w:ascii="方正仿宋简体" w:eastAsia="方正仿宋简体" w:hAnsi="方正仿宋简体" w:cs="方正仿宋简体" w:hint="eastAsia"/>
          <w:iCs/>
        </w:rPr>
        <w:t>、基金销售机构及联系方式</w:t>
      </w:r>
    </w:p>
    <w:p w:rsidR="00AD3A6F" w:rsidRPr="0086475C" w:rsidP="0086475C">
      <w:pPr>
        <w:spacing w:line="280" w:lineRule="exact"/>
        <w:ind w:firstLine="420"/>
        <w:rPr>
          <w:rFonts w:ascii="方正仿宋简体" w:eastAsia="方正仿宋简体" w:hAnsi="方正仿宋简体" w:cs="方正仿宋简体"/>
          <w:iCs/>
        </w:rPr>
      </w:pPr>
      <w:r>
        <w:rPr>
          <w:rFonts w:ascii="方正仿宋简体" w:eastAsia="方正仿宋简体" w:hAnsi="方正仿宋简体" w:cs="方正仿宋简体" w:hint="eastAsia"/>
          <w:iCs/>
        </w:rPr>
        <w:t>5</w:t>
      </w:r>
      <w:r>
        <w:rPr>
          <w:rFonts w:ascii="方正仿宋简体" w:eastAsia="方正仿宋简体" w:hAnsi="方正仿宋简体" w:cs="方正仿宋简体" w:hint="eastAsia"/>
          <w:iCs/>
        </w:rPr>
        <w:t>、其他重要资料</w:t>
      </w:r>
    </w:p>
    <w:sectPr>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auto"/>
    <w:pitch w:val="default"/>
    <w:sig w:usb0="00000000" w:usb1="00000000" w:usb2="00000000" w:usb3="00000000" w:csb0="00040000" w:csb1="00000000"/>
  </w:font>
  <w:font w:name="仿宋_GB2312">
    <w:altName w:val="仿宋"/>
    <w:charset w:val="86"/>
    <w:family w:val="modern"/>
    <w:pitch w:val="fixed"/>
    <w:sig w:usb0="00000001" w:usb1="080E0000" w:usb2="00000010" w:usb3="00000000" w:csb0="00040000" w:csb1="00000000"/>
  </w:font>
  <w:font w:name="方正黑体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35751033"/>
      <w:docPartObj>
        <w:docPartGallery w:val="Page Numbers (Bottom of Page)"/>
        <w:docPartUnique/>
      </w:docPartObj>
    </w:sdtPr>
    <w:sdtContent>
      <w:sdt>
        <w:sdtPr>
          <w:id w:val="98381352"/>
          <w:docPartObj>
            <w:docPartGallery w:val="Page Numbers (Top of Page)"/>
            <w:docPartUnique/>
          </w:docPartObj>
        </w:sdtPr>
        <w:sdtContent>
          <w:p w:rsidR="00575F3B" w:rsidP="0025315A">
            <w:pPr>
              <w:pStyle w:val="Footer"/>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sdtContent>
      </w:sdt>
    </w:sdtContent>
  </w:sdt>
  <w:p w:rsidR="00575F3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8E6770"/>
    <w:multiLevelType w:val="hybridMultilevel"/>
    <w:tmpl w:val="C2F49F6C"/>
    <w:lvl w:ilvl="0">
      <w:start w:val="1"/>
      <w:numFmt w:val="japaneseCounting"/>
      <w:lvlText w:val="（%1）"/>
      <w:lvlJc w:val="left"/>
      <w:pPr>
        <w:ind w:left="765" w:hanging="765"/>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5AC33CF0"/>
    <w:multiLevelType w:val="singleLevel"/>
    <w:tmpl w:val="D92264B0"/>
    <w:lvl w:ilvl="0">
      <w:start w:val="1"/>
      <w:numFmt w:val="chineseCounting"/>
      <w:suff w:val="nothing"/>
      <w:lvlText w:val="%1、"/>
      <w:lvlJc w:val="left"/>
      <w:rPr>
        <w:rFonts w:asciiTheme="minorEastAsia" w:eastAsiaTheme="minorEastAsia" w:hAnsiTheme="minorEastAsia"/>
      </w:rPr>
    </w:lvl>
  </w:abstractNum>
  <w:abstractNum w:abstractNumId="2">
    <w:nsid w:val="7D0D3582"/>
    <w:multiLevelType w:val="hybridMultilevel"/>
    <w:tmpl w:val="256C1A40"/>
    <w:lvl w:ilvl="0">
      <w:start w:val="1"/>
      <w:numFmt w:val="chineseCountingThousand"/>
      <w:suff w:val="space"/>
      <w:lvlText w:val="(%1)"/>
      <w:lvlJc w:val="left"/>
      <w:pPr>
        <w:ind w:left="284" w:hanging="284"/>
      </w:pPr>
      <w:rPr>
        <w:rFonts w:eastAsia="宋体" w:asciiTheme="minorEastAsia" w:hAnsiTheme="minorEastAsia" w:hint="eastAsia"/>
        <w:b/>
      </w:rPr>
    </w:lvl>
    <w:lvl w:ilvl="1">
      <w:start w:val="1"/>
      <w:numFmt w:val="decimal"/>
      <w:lvlText w:val="%2、"/>
      <w:lvlJc w:val="left"/>
      <w:pPr>
        <w:ind w:left="780" w:hanging="36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卢春玲">
    <w15:presenceInfo w15:providerId="None" w15:userId="卢春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56"/>
    <w:rsid w:val="00002B50"/>
    <w:rsid w:val="00002F33"/>
    <w:rsid w:val="000034E5"/>
    <w:rsid w:val="00003561"/>
    <w:rsid w:val="000035EA"/>
    <w:rsid w:val="00004180"/>
    <w:rsid w:val="00006EAF"/>
    <w:rsid w:val="0000736D"/>
    <w:rsid w:val="0000782B"/>
    <w:rsid w:val="00010B3E"/>
    <w:rsid w:val="00015DD4"/>
    <w:rsid w:val="00017721"/>
    <w:rsid w:val="00022B9A"/>
    <w:rsid w:val="00024497"/>
    <w:rsid w:val="00024BB1"/>
    <w:rsid w:val="000302E4"/>
    <w:rsid w:val="00030595"/>
    <w:rsid w:val="000315CE"/>
    <w:rsid w:val="000321C8"/>
    <w:rsid w:val="00035A85"/>
    <w:rsid w:val="000431A9"/>
    <w:rsid w:val="0004462C"/>
    <w:rsid w:val="00045BE4"/>
    <w:rsid w:val="00046C88"/>
    <w:rsid w:val="00047F4E"/>
    <w:rsid w:val="0005053E"/>
    <w:rsid w:val="00052BDA"/>
    <w:rsid w:val="00053ADC"/>
    <w:rsid w:val="00053B2F"/>
    <w:rsid w:val="00054711"/>
    <w:rsid w:val="00056380"/>
    <w:rsid w:val="000567E4"/>
    <w:rsid w:val="000571BD"/>
    <w:rsid w:val="0005794F"/>
    <w:rsid w:val="00060B05"/>
    <w:rsid w:val="000612DA"/>
    <w:rsid w:val="00061AF3"/>
    <w:rsid w:val="00061B3E"/>
    <w:rsid w:val="00061BFD"/>
    <w:rsid w:val="00062543"/>
    <w:rsid w:val="0006363D"/>
    <w:rsid w:val="00064C2C"/>
    <w:rsid w:val="0006546B"/>
    <w:rsid w:val="00065CA6"/>
    <w:rsid w:val="0006758E"/>
    <w:rsid w:val="000676AA"/>
    <w:rsid w:val="0007014B"/>
    <w:rsid w:val="00070564"/>
    <w:rsid w:val="00071412"/>
    <w:rsid w:val="00075382"/>
    <w:rsid w:val="00075ECF"/>
    <w:rsid w:val="00076810"/>
    <w:rsid w:val="00077F97"/>
    <w:rsid w:val="0008034A"/>
    <w:rsid w:val="0008034B"/>
    <w:rsid w:val="00080C9E"/>
    <w:rsid w:val="00080D0F"/>
    <w:rsid w:val="00082C7C"/>
    <w:rsid w:val="00083BA6"/>
    <w:rsid w:val="00085A7A"/>
    <w:rsid w:val="00086076"/>
    <w:rsid w:val="000862CB"/>
    <w:rsid w:val="00086FAF"/>
    <w:rsid w:val="00090D03"/>
    <w:rsid w:val="00090E1B"/>
    <w:rsid w:val="00090E7D"/>
    <w:rsid w:val="000915A1"/>
    <w:rsid w:val="00092664"/>
    <w:rsid w:val="0009280C"/>
    <w:rsid w:val="000948A5"/>
    <w:rsid w:val="00095DA1"/>
    <w:rsid w:val="00096ECA"/>
    <w:rsid w:val="000A25FC"/>
    <w:rsid w:val="000A27CB"/>
    <w:rsid w:val="000A4485"/>
    <w:rsid w:val="000A69FE"/>
    <w:rsid w:val="000A6C27"/>
    <w:rsid w:val="000A6E34"/>
    <w:rsid w:val="000A71C1"/>
    <w:rsid w:val="000A7FF9"/>
    <w:rsid w:val="000B4934"/>
    <w:rsid w:val="000B578C"/>
    <w:rsid w:val="000B672F"/>
    <w:rsid w:val="000C0D50"/>
    <w:rsid w:val="000C0D79"/>
    <w:rsid w:val="000C3D2A"/>
    <w:rsid w:val="000C3D96"/>
    <w:rsid w:val="000C4A85"/>
    <w:rsid w:val="000C52B6"/>
    <w:rsid w:val="000C63E1"/>
    <w:rsid w:val="000C6C14"/>
    <w:rsid w:val="000D14A1"/>
    <w:rsid w:val="000D21EE"/>
    <w:rsid w:val="000D2645"/>
    <w:rsid w:val="000D36AB"/>
    <w:rsid w:val="000D3D44"/>
    <w:rsid w:val="000D4535"/>
    <w:rsid w:val="000D516E"/>
    <w:rsid w:val="000D6088"/>
    <w:rsid w:val="000D6D52"/>
    <w:rsid w:val="000D6F1A"/>
    <w:rsid w:val="000D753A"/>
    <w:rsid w:val="000D7961"/>
    <w:rsid w:val="000D7CDD"/>
    <w:rsid w:val="000D7E62"/>
    <w:rsid w:val="000E0465"/>
    <w:rsid w:val="000E10F0"/>
    <w:rsid w:val="000E1B15"/>
    <w:rsid w:val="000E2DA3"/>
    <w:rsid w:val="000E3CDB"/>
    <w:rsid w:val="000E44EE"/>
    <w:rsid w:val="000E56AA"/>
    <w:rsid w:val="000E7720"/>
    <w:rsid w:val="000E7A0D"/>
    <w:rsid w:val="000F1A6B"/>
    <w:rsid w:val="000F2324"/>
    <w:rsid w:val="000F35E6"/>
    <w:rsid w:val="000F3A56"/>
    <w:rsid w:val="000F3B8E"/>
    <w:rsid w:val="000F4870"/>
    <w:rsid w:val="000F4ADF"/>
    <w:rsid w:val="000F600C"/>
    <w:rsid w:val="000F650C"/>
    <w:rsid w:val="00100AF6"/>
    <w:rsid w:val="00101AE7"/>
    <w:rsid w:val="00101E69"/>
    <w:rsid w:val="001026B3"/>
    <w:rsid w:val="00103453"/>
    <w:rsid w:val="00104223"/>
    <w:rsid w:val="001042DD"/>
    <w:rsid w:val="00104B7B"/>
    <w:rsid w:val="00105E38"/>
    <w:rsid w:val="001062E8"/>
    <w:rsid w:val="001064D8"/>
    <w:rsid w:val="00106EB0"/>
    <w:rsid w:val="001073D4"/>
    <w:rsid w:val="00107BDE"/>
    <w:rsid w:val="00107C68"/>
    <w:rsid w:val="00110D35"/>
    <w:rsid w:val="0011161D"/>
    <w:rsid w:val="00111992"/>
    <w:rsid w:val="00111B19"/>
    <w:rsid w:val="001126C1"/>
    <w:rsid w:val="00114B35"/>
    <w:rsid w:val="00116CA0"/>
    <w:rsid w:val="00117377"/>
    <w:rsid w:val="00117831"/>
    <w:rsid w:val="00120454"/>
    <w:rsid w:val="00120E44"/>
    <w:rsid w:val="0012116F"/>
    <w:rsid w:val="00124437"/>
    <w:rsid w:val="0012454F"/>
    <w:rsid w:val="001302B4"/>
    <w:rsid w:val="0013061B"/>
    <w:rsid w:val="00130F4D"/>
    <w:rsid w:val="00132DDC"/>
    <w:rsid w:val="00133620"/>
    <w:rsid w:val="0013367D"/>
    <w:rsid w:val="001351D1"/>
    <w:rsid w:val="00135D07"/>
    <w:rsid w:val="00136038"/>
    <w:rsid w:val="0013609D"/>
    <w:rsid w:val="00137185"/>
    <w:rsid w:val="001373AB"/>
    <w:rsid w:val="0014192C"/>
    <w:rsid w:val="00142D38"/>
    <w:rsid w:val="00142FAC"/>
    <w:rsid w:val="00143189"/>
    <w:rsid w:val="00143519"/>
    <w:rsid w:val="001443DA"/>
    <w:rsid w:val="00144C18"/>
    <w:rsid w:val="001458B8"/>
    <w:rsid w:val="00150641"/>
    <w:rsid w:val="001506D6"/>
    <w:rsid w:val="00150A06"/>
    <w:rsid w:val="00150F72"/>
    <w:rsid w:val="00151549"/>
    <w:rsid w:val="0015352E"/>
    <w:rsid w:val="001546D4"/>
    <w:rsid w:val="001549B1"/>
    <w:rsid w:val="001552A2"/>
    <w:rsid w:val="001559E1"/>
    <w:rsid w:val="00160476"/>
    <w:rsid w:val="001608BD"/>
    <w:rsid w:val="00160EB7"/>
    <w:rsid w:val="00162EF9"/>
    <w:rsid w:val="001634DE"/>
    <w:rsid w:val="00163632"/>
    <w:rsid w:val="0016394B"/>
    <w:rsid w:val="00163A1B"/>
    <w:rsid w:val="00165561"/>
    <w:rsid w:val="001664CE"/>
    <w:rsid w:val="00166CB3"/>
    <w:rsid w:val="00171A01"/>
    <w:rsid w:val="00172DE2"/>
    <w:rsid w:val="001735C4"/>
    <w:rsid w:val="00174334"/>
    <w:rsid w:val="001752EA"/>
    <w:rsid w:val="00176B87"/>
    <w:rsid w:val="00177627"/>
    <w:rsid w:val="001777C9"/>
    <w:rsid w:val="00177C56"/>
    <w:rsid w:val="00177DFE"/>
    <w:rsid w:val="00183372"/>
    <w:rsid w:val="00184B5C"/>
    <w:rsid w:val="0018735D"/>
    <w:rsid w:val="00187ADF"/>
    <w:rsid w:val="00190373"/>
    <w:rsid w:val="0019077D"/>
    <w:rsid w:val="00191262"/>
    <w:rsid w:val="0019128C"/>
    <w:rsid w:val="001916CF"/>
    <w:rsid w:val="00193370"/>
    <w:rsid w:val="00194EF9"/>
    <w:rsid w:val="00196878"/>
    <w:rsid w:val="001976C2"/>
    <w:rsid w:val="001A0D4A"/>
    <w:rsid w:val="001A28F4"/>
    <w:rsid w:val="001A450C"/>
    <w:rsid w:val="001A45B4"/>
    <w:rsid w:val="001A4E24"/>
    <w:rsid w:val="001A4FC5"/>
    <w:rsid w:val="001A77C2"/>
    <w:rsid w:val="001A7E7C"/>
    <w:rsid w:val="001B046B"/>
    <w:rsid w:val="001B2359"/>
    <w:rsid w:val="001B2C1A"/>
    <w:rsid w:val="001B3C8B"/>
    <w:rsid w:val="001B525D"/>
    <w:rsid w:val="001C19CC"/>
    <w:rsid w:val="001C1A3B"/>
    <w:rsid w:val="001C1CAE"/>
    <w:rsid w:val="001C1D13"/>
    <w:rsid w:val="001C1F54"/>
    <w:rsid w:val="001C27FC"/>
    <w:rsid w:val="001C285F"/>
    <w:rsid w:val="001C2C37"/>
    <w:rsid w:val="001C3861"/>
    <w:rsid w:val="001C4114"/>
    <w:rsid w:val="001C44C3"/>
    <w:rsid w:val="001C55FF"/>
    <w:rsid w:val="001D1811"/>
    <w:rsid w:val="001D31F4"/>
    <w:rsid w:val="001D4A4E"/>
    <w:rsid w:val="001D4FBE"/>
    <w:rsid w:val="001D6241"/>
    <w:rsid w:val="001D6EC7"/>
    <w:rsid w:val="001E0982"/>
    <w:rsid w:val="001E27BF"/>
    <w:rsid w:val="001E3862"/>
    <w:rsid w:val="001E3F34"/>
    <w:rsid w:val="001E430F"/>
    <w:rsid w:val="001E61DC"/>
    <w:rsid w:val="001E6DE4"/>
    <w:rsid w:val="001F0651"/>
    <w:rsid w:val="001F33FD"/>
    <w:rsid w:val="001F3AEC"/>
    <w:rsid w:val="001F63FB"/>
    <w:rsid w:val="001F6C89"/>
    <w:rsid w:val="001F7FD1"/>
    <w:rsid w:val="0020147E"/>
    <w:rsid w:val="00205053"/>
    <w:rsid w:val="002056E7"/>
    <w:rsid w:val="00206017"/>
    <w:rsid w:val="002067FB"/>
    <w:rsid w:val="00206D9B"/>
    <w:rsid w:val="00207C8C"/>
    <w:rsid w:val="00211393"/>
    <w:rsid w:val="002113D2"/>
    <w:rsid w:val="00212DAC"/>
    <w:rsid w:val="00216A96"/>
    <w:rsid w:val="0022157A"/>
    <w:rsid w:val="0022206C"/>
    <w:rsid w:val="002226D8"/>
    <w:rsid w:val="00222EBF"/>
    <w:rsid w:val="00223123"/>
    <w:rsid w:val="00223E6A"/>
    <w:rsid w:val="0022487F"/>
    <w:rsid w:val="00225B28"/>
    <w:rsid w:val="00226C77"/>
    <w:rsid w:val="00226D4F"/>
    <w:rsid w:val="002271D8"/>
    <w:rsid w:val="002304C1"/>
    <w:rsid w:val="0023065E"/>
    <w:rsid w:val="00231814"/>
    <w:rsid w:val="00233FB5"/>
    <w:rsid w:val="002340C5"/>
    <w:rsid w:val="002343A0"/>
    <w:rsid w:val="002343D4"/>
    <w:rsid w:val="002349DA"/>
    <w:rsid w:val="00234D6F"/>
    <w:rsid w:val="0023676C"/>
    <w:rsid w:val="00236E18"/>
    <w:rsid w:val="002374DD"/>
    <w:rsid w:val="00240A33"/>
    <w:rsid w:val="002419CF"/>
    <w:rsid w:val="00243408"/>
    <w:rsid w:val="00243552"/>
    <w:rsid w:val="00243C17"/>
    <w:rsid w:val="0024571E"/>
    <w:rsid w:val="00246C1A"/>
    <w:rsid w:val="00246DC3"/>
    <w:rsid w:val="00247F81"/>
    <w:rsid w:val="00250329"/>
    <w:rsid w:val="00250BCA"/>
    <w:rsid w:val="00252624"/>
    <w:rsid w:val="00252FAA"/>
    <w:rsid w:val="0025315A"/>
    <w:rsid w:val="00253E38"/>
    <w:rsid w:val="00256B43"/>
    <w:rsid w:val="00257D0E"/>
    <w:rsid w:val="00257F1F"/>
    <w:rsid w:val="00260DEB"/>
    <w:rsid w:val="00261721"/>
    <w:rsid w:val="002618F7"/>
    <w:rsid w:val="0026413B"/>
    <w:rsid w:val="00265B51"/>
    <w:rsid w:val="00266322"/>
    <w:rsid w:val="002673EA"/>
    <w:rsid w:val="00267819"/>
    <w:rsid w:val="00270CFD"/>
    <w:rsid w:val="00271658"/>
    <w:rsid w:val="002724DA"/>
    <w:rsid w:val="00273BF8"/>
    <w:rsid w:val="00274372"/>
    <w:rsid w:val="002761C7"/>
    <w:rsid w:val="00276226"/>
    <w:rsid w:val="002767C0"/>
    <w:rsid w:val="0027718A"/>
    <w:rsid w:val="0028090B"/>
    <w:rsid w:val="00280B89"/>
    <w:rsid w:val="0028191B"/>
    <w:rsid w:val="0028218E"/>
    <w:rsid w:val="00284817"/>
    <w:rsid w:val="0028728C"/>
    <w:rsid w:val="00287867"/>
    <w:rsid w:val="00287FF4"/>
    <w:rsid w:val="00291912"/>
    <w:rsid w:val="00292B75"/>
    <w:rsid w:val="00292F69"/>
    <w:rsid w:val="00293DD2"/>
    <w:rsid w:val="002956E1"/>
    <w:rsid w:val="00296495"/>
    <w:rsid w:val="00296A84"/>
    <w:rsid w:val="00296D6A"/>
    <w:rsid w:val="00296F28"/>
    <w:rsid w:val="002A049B"/>
    <w:rsid w:val="002A2023"/>
    <w:rsid w:val="002A25FA"/>
    <w:rsid w:val="002A273F"/>
    <w:rsid w:val="002A29D8"/>
    <w:rsid w:val="002A2FFE"/>
    <w:rsid w:val="002A3B92"/>
    <w:rsid w:val="002A3CBD"/>
    <w:rsid w:val="002A4280"/>
    <w:rsid w:val="002A4FFB"/>
    <w:rsid w:val="002A56F1"/>
    <w:rsid w:val="002B0143"/>
    <w:rsid w:val="002B328D"/>
    <w:rsid w:val="002B3337"/>
    <w:rsid w:val="002B3AF5"/>
    <w:rsid w:val="002B4008"/>
    <w:rsid w:val="002B4E46"/>
    <w:rsid w:val="002B73E3"/>
    <w:rsid w:val="002B7FB5"/>
    <w:rsid w:val="002C001B"/>
    <w:rsid w:val="002C07FC"/>
    <w:rsid w:val="002C32E0"/>
    <w:rsid w:val="002C5189"/>
    <w:rsid w:val="002C64BD"/>
    <w:rsid w:val="002C6C9F"/>
    <w:rsid w:val="002C7128"/>
    <w:rsid w:val="002C7D40"/>
    <w:rsid w:val="002C7DBB"/>
    <w:rsid w:val="002D3460"/>
    <w:rsid w:val="002D3E31"/>
    <w:rsid w:val="002D53F1"/>
    <w:rsid w:val="002D6593"/>
    <w:rsid w:val="002D670B"/>
    <w:rsid w:val="002E1107"/>
    <w:rsid w:val="002E1288"/>
    <w:rsid w:val="002E268C"/>
    <w:rsid w:val="002E2B66"/>
    <w:rsid w:val="002E2DCB"/>
    <w:rsid w:val="002E4201"/>
    <w:rsid w:val="002E484E"/>
    <w:rsid w:val="002E6B76"/>
    <w:rsid w:val="002F0445"/>
    <w:rsid w:val="002F17B6"/>
    <w:rsid w:val="002F1D8A"/>
    <w:rsid w:val="002F22A9"/>
    <w:rsid w:val="002F280A"/>
    <w:rsid w:val="002F3F0D"/>
    <w:rsid w:val="002F55A5"/>
    <w:rsid w:val="002F6F97"/>
    <w:rsid w:val="002F715D"/>
    <w:rsid w:val="002F7A30"/>
    <w:rsid w:val="00301A05"/>
    <w:rsid w:val="00303D91"/>
    <w:rsid w:val="00304D8E"/>
    <w:rsid w:val="00305382"/>
    <w:rsid w:val="00305DFF"/>
    <w:rsid w:val="003069AA"/>
    <w:rsid w:val="00311BB3"/>
    <w:rsid w:val="00314524"/>
    <w:rsid w:val="00317576"/>
    <w:rsid w:val="00317FCB"/>
    <w:rsid w:val="00320127"/>
    <w:rsid w:val="00321387"/>
    <w:rsid w:val="00322043"/>
    <w:rsid w:val="003253B4"/>
    <w:rsid w:val="0032576F"/>
    <w:rsid w:val="0032656E"/>
    <w:rsid w:val="00327198"/>
    <w:rsid w:val="00327D04"/>
    <w:rsid w:val="003310CE"/>
    <w:rsid w:val="00332BE9"/>
    <w:rsid w:val="00332EC1"/>
    <w:rsid w:val="00333E7C"/>
    <w:rsid w:val="00335522"/>
    <w:rsid w:val="00335C3C"/>
    <w:rsid w:val="00335FDC"/>
    <w:rsid w:val="00342D67"/>
    <w:rsid w:val="00343096"/>
    <w:rsid w:val="0034383A"/>
    <w:rsid w:val="00343D44"/>
    <w:rsid w:val="00345A65"/>
    <w:rsid w:val="00351D5C"/>
    <w:rsid w:val="00351F88"/>
    <w:rsid w:val="00351FDD"/>
    <w:rsid w:val="003526A1"/>
    <w:rsid w:val="00353DF4"/>
    <w:rsid w:val="00355045"/>
    <w:rsid w:val="003553B7"/>
    <w:rsid w:val="0035595E"/>
    <w:rsid w:val="00357BB4"/>
    <w:rsid w:val="00360359"/>
    <w:rsid w:val="00360E9D"/>
    <w:rsid w:val="00364FA7"/>
    <w:rsid w:val="003665BF"/>
    <w:rsid w:val="003667EC"/>
    <w:rsid w:val="00367E76"/>
    <w:rsid w:val="00367F65"/>
    <w:rsid w:val="00370C84"/>
    <w:rsid w:val="003712CC"/>
    <w:rsid w:val="00373CC2"/>
    <w:rsid w:val="003744FE"/>
    <w:rsid w:val="0037519F"/>
    <w:rsid w:val="00375483"/>
    <w:rsid w:val="003800E8"/>
    <w:rsid w:val="00380BCD"/>
    <w:rsid w:val="00381CFE"/>
    <w:rsid w:val="00382845"/>
    <w:rsid w:val="00386A7F"/>
    <w:rsid w:val="003902A5"/>
    <w:rsid w:val="00390A07"/>
    <w:rsid w:val="00390F2A"/>
    <w:rsid w:val="003914C0"/>
    <w:rsid w:val="0039181C"/>
    <w:rsid w:val="00391FAF"/>
    <w:rsid w:val="00396FFE"/>
    <w:rsid w:val="003978D5"/>
    <w:rsid w:val="003A005F"/>
    <w:rsid w:val="003A0571"/>
    <w:rsid w:val="003A0ACD"/>
    <w:rsid w:val="003A1255"/>
    <w:rsid w:val="003A1F45"/>
    <w:rsid w:val="003A2523"/>
    <w:rsid w:val="003A56C9"/>
    <w:rsid w:val="003A698A"/>
    <w:rsid w:val="003B0BD0"/>
    <w:rsid w:val="003B0EDE"/>
    <w:rsid w:val="003B0FB4"/>
    <w:rsid w:val="003B2295"/>
    <w:rsid w:val="003B3103"/>
    <w:rsid w:val="003B3B69"/>
    <w:rsid w:val="003B47EF"/>
    <w:rsid w:val="003B4A12"/>
    <w:rsid w:val="003B5F1C"/>
    <w:rsid w:val="003B6B11"/>
    <w:rsid w:val="003B7E49"/>
    <w:rsid w:val="003C087D"/>
    <w:rsid w:val="003C1C5E"/>
    <w:rsid w:val="003C1CC4"/>
    <w:rsid w:val="003C21B7"/>
    <w:rsid w:val="003C2452"/>
    <w:rsid w:val="003C570B"/>
    <w:rsid w:val="003C6D4B"/>
    <w:rsid w:val="003C6FDD"/>
    <w:rsid w:val="003C79EE"/>
    <w:rsid w:val="003D0705"/>
    <w:rsid w:val="003D0B6F"/>
    <w:rsid w:val="003D1060"/>
    <w:rsid w:val="003D2954"/>
    <w:rsid w:val="003D5ECB"/>
    <w:rsid w:val="003E0BE3"/>
    <w:rsid w:val="003E0E61"/>
    <w:rsid w:val="003E11A4"/>
    <w:rsid w:val="003E4F18"/>
    <w:rsid w:val="003E66A5"/>
    <w:rsid w:val="003E6956"/>
    <w:rsid w:val="003E78BD"/>
    <w:rsid w:val="003E7F21"/>
    <w:rsid w:val="003F1DE3"/>
    <w:rsid w:val="003F324E"/>
    <w:rsid w:val="003F42E1"/>
    <w:rsid w:val="003F56C3"/>
    <w:rsid w:val="003F6076"/>
    <w:rsid w:val="003F6D43"/>
    <w:rsid w:val="003F6EF3"/>
    <w:rsid w:val="00401E99"/>
    <w:rsid w:val="00402B28"/>
    <w:rsid w:val="00403885"/>
    <w:rsid w:val="00407D4D"/>
    <w:rsid w:val="004103D9"/>
    <w:rsid w:val="004106A5"/>
    <w:rsid w:val="00411B1E"/>
    <w:rsid w:val="00411C1F"/>
    <w:rsid w:val="00415142"/>
    <w:rsid w:val="00416169"/>
    <w:rsid w:val="00417B28"/>
    <w:rsid w:val="00420623"/>
    <w:rsid w:val="00421441"/>
    <w:rsid w:val="004225D8"/>
    <w:rsid w:val="004241F4"/>
    <w:rsid w:val="00425E03"/>
    <w:rsid w:val="00425F60"/>
    <w:rsid w:val="00426A9B"/>
    <w:rsid w:val="00430064"/>
    <w:rsid w:val="00430BE8"/>
    <w:rsid w:val="0043184A"/>
    <w:rsid w:val="00432222"/>
    <w:rsid w:val="004324B8"/>
    <w:rsid w:val="004335EC"/>
    <w:rsid w:val="00435F11"/>
    <w:rsid w:val="004376A7"/>
    <w:rsid w:val="00437CC4"/>
    <w:rsid w:val="0044078C"/>
    <w:rsid w:val="00440F0C"/>
    <w:rsid w:val="004428A7"/>
    <w:rsid w:val="00443386"/>
    <w:rsid w:val="0044426B"/>
    <w:rsid w:val="00444874"/>
    <w:rsid w:val="0044609F"/>
    <w:rsid w:val="004473DA"/>
    <w:rsid w:val="004504DB"/>
    <w:rsid w:val="0045198C"/>
    <w:rsid w:val="00456164"/>
    <w:rsid w:val="00457457"/>
    <w:rsid w:val="00461408"/>
    <w:rsid w:val="00462FAF"/>
    <w:rsid w:val="00463DA7"/>
    <w:rsid w:val="00464A9D"/>
    <w:rsid w:val="00464C4E"/>
    <w:rsid w:val="004656CC"/>
    <w:rsid w:val="00466F82"/>
    <w:rsid w:val="004709CA"/>
    <w:rsid w:val="00470B24"/>
    <w:rsid w:val="0047161C"/>
    <w:rsid w:val="004727B4"/>
    <w:rsid w:val="00475599"/>
    <w:rsid w:val="00475E21"/>
    <w:rsid w:val="004761F4"/>
    <w:rsid w:val="00477547"/>
    <w:rsid w:val="00477F83"/>
    <w:rsid w:val="00481117"/>
    <w:rsid w:val="00487376"/>
    <w:rsid w:val="00487514"/>
    <w:rsid w:val="00494113"/>
    <w:rsid w:val="00497075"/>
    <w:rsid w:val="004972B7"/>
    <w:rsid w:val="004974D6"/>
    <w:rsid w:val="00497942"/>
    <w:rsid w:val="004A03E3"/>
    <w:rsid w:val="004A166C"/>
    <w:rsid w:val="004A1CE8"/>
    <w:rsid w:val="004A214B"/>
    <w:rsid w:val="004A28A8"/>
    <w:rsid w:val="004A3A2B"/>
    <w:rsid w:val="004A47CE"/>
    <w:rsid w:val="004A6488"/>
    <w:rsid w:val="004A7D45"/>
    <w:rsid w:val="004B35A1"/>
    <w:rsid w:val="004B3925"/>
    <w:rsid w:val="004B5C77"/>
    <w:rsid w:val="004B5D91"/>
    <w:rsid w:val="004B66B0"/>
    <w:rsid w:val="004C1E78"/>
    <w:rsid w:val="004C2008"/>
    <w:rsid w:val="004C4116"/>
    <w:rsid w:val="004C4D70"/>
    <w:rsid w:val="004C5B50"/>
    <w:rsid w:val="004C6220"/>
    <w:rsid w:val="004D0CA3"/>
    <w:rsid w:val="004D1BE1"/>
    <w:rsid w:val="004D1CFD"/>
    <w:rsid w:val="004D1E18"/>
    <w:rsid w:val="004D455A"/>
    <w:rsid w:val="004D5927"/>
    <w:rsid w:val="004E01B5"/>
    <w:rsid w:val="004E0E97"/>
    <w:rsid w:val="004E1F62"/>
    <w:rsid w:val="004E275A"/>
    <w:rsid w:val="004E29D3"/>
    <w:rsid w:val="004E46D3"/>
    <w:rsid w:val="004E55B4"/>
    <w:rsid w:val="004E5A80"/>
    <w:rsid w:val="004E736F"/>
    <w:rsid w:val="004E7553"/>
    <w:rsid w:val="004F0DA7"/>
    <w:rsid w:val="004F157A"/>
    <w:rsid w:val="004F2105"/>
    <w:rsid w:val="004F21FC"/>
    <w:rsid w:val="004F2EA3"/>
    <w:rsid w:val="004F38D7"/>
    <w:rsid w:val="004F4959"/>
    <w:rsid w:val="004F51E5"/>
    <w:rsid w:val="004F7753"/>
    <w:rsid w:val="0050081D"/>
    <w:rsid w:val="00502133"/>
    <w:rsid w:val="005026AC"/>
    <w:rsid w:val="005033AE"/>
    <w:rsid w:val="0050479A"/>
    <w:rsid w:val="00511D3A"/>
    <w:rsid w:val="00514055"/>
    <w:rsid w:val="00514D50"/>
    <w:rsid w:val="00516B14"/>
    <w:rsid w:val="00516E4A"/>
    <w:rsid w:val="005173DE"/>
    <w:rsid w:val="0052053C"/>
    <w:rsid w:val="00522E7E"/>
    <w:rsid w:val="00523969"/>
    <w:rsid w:val="00523DE3"/>
    <w:rsid w:val="00524640"/>
    <w:rsid w:val="00525E5E"/>
    <w:rsid w:val="00526D03"/>
    <w:rsid w:val="005303D3"/>
    <w:rsid w:val="005305B4"/>
    <w:rsid w:val="00530D39"/>
    <w:rsid w:val="0053188C"/>
    <w:rsid w:val="00532E71"/>
    <w:rsid w:val="005341C9"/>
    <w:rsid w:val="00534441"/>
    <w:rsid w:val="00536BA8"/>
    <w:rsid w:val="00536BCB"/>
    <w:rsid w:val="00536C05"/>
    <w:rsid w:val="00537A33"/>
    <w:rsid w:val="00537D22"/>
    <w:rsid w:val="0054307D"/>
    <w:rsid w:val="00543811"/>
    <w:rsid w:val="005438D4"/>
    <w:rsid w:val="005442A7"/>
    <w:rsid w:val="005445C1"/>
    <w:rsid w:val="00544653"/>
    <w:rsid w:val="00544EBD"/>
    <w:rsid w:val="005451CF"/>
    <w:rsid w:val="00545943"/>
    <w:rsid w:val="00550A83"/>
    <w:rsid w:val="00551F7A"/>
    <w:rsid w:val="0055285B"/>
    <w:rsid w:val="00553DB0"/>
    <w:rsid w:val="005540D2"/>
    <w:rsid w:val="00554969"/>
    <w:rsid w:val="00555C70"/>
    <w:rsid w:val="00555F7D"/>
    <w:rsid w:val="005610BB"/>
    <w:rsid w:val="005622C8"/>
    <w:rsid w:val="005626F8"/>
    <w:rsid w:val="00562E85"/>
    <w:rsid w:val="00563BCF"/>
    <w:rsid w:val="00563EC0"/>
    <w:rsid w:val="0056468E"/>
    <w:rsid w:val="00565C2C"/>
    <w:rsid w:val="00571BD4"/>
    <w:rsid w:val="00571F09"/>
    <w:rsid w:val="00572E76"/>
    <w:rsid w:val="00575F3B"/>
    <w:rsid w:val="005778C5"/>
    <w:rsid w:val="00581429"/>
    <w:rsid w:val="005815B2"/>
    <w:rsid w:val="00581EE1"/>
    <w:rsid w:val="0058429A"/>
    <w:rsid w:val="005846C3"/>
    <w:rsid w:val="00584DC5"/>
    <w:rsid w:val="00585183"/>
    <w:rsid w:val="00585DE1"/>
    <w:rsid w:val="0058643A"/>
    <w:rsid w:val="00590020"/>
    <w:rsid w:val="005900FF"/>
    <w:rsid w:val="00590AB6"/>
    <w:rsid w:val="0059107C"/>
    <w:rsid w:val="00591262"/>
    <w:rsid w:val="00591310"/>
    <w:rsid w:val="0059257B"/>
    <w:rsid w:val="0059394B"/>
    <w:rsid w:val="00594641"/>
    <w:rsid w:val="005973D3"/>
    <w:rsid w:val="005A0A2F"/>
    <w:rsid w:val="005A3B9B"/>
    <w:rsid w:val="005A48A0"/>
    <w:rsid w:val="005A549D"/>
    <w:rsid w:val="005A65CD"/>
    <w:rsid w:val="005B0619"/>
    <w:rsid w:val="005B2262"/>
    <w:rsid w:val="005B38BC"/>
    <w:rsid w:val="005B472E"/>
    <w:rsid w:val="005B66AE"/>
    <w:rsid w:val="005B68DF"/>
    <w:rsid w:val="005B6AFF"/>
    <w:rsid w:val="005B70B9"/>
    <w:rsid w:val="005B755C"/>
    <w:rsid w:val="005C0DBC"/>
    <w:rsid w:val="005C1A5C"/>
    <w:rsid w:val="005C24CC"/>
    <w:rsid w:val="005C5197"/>
    <w:rsid w:val="005C64D0"/>
    <w:rsid w:val="005C65CA"/>
    <w:rsid w:val="005C6897"/>
    <w:rsid w:val="005C68EB"/>
    <w:rsid w:val="005C7259"/>
    <w:rsid w:val="005C75B8"/>
    <w:rsid w:val="005C77E0"/>
    <w:rsid w:val="005D013C"/>
    <w:rsid w:val="005D2905"/>
    <w:rsid w:val="005D45F5"/>
    <w:rsid w:val="005D70F2"/>
    <w:rsid w:val="005E06A1"/>
    <w:rsid w:val="005E3245"/>
    <w:rsid w:val="005E41D1"/>
    <w:rsid w:val="005E539C"/>
    <w:rsid w:val="005E6746"/>
    <w:rsid w:val="005E6DA7"/>
    <w:rsid w:val="005E7F1E"/>
    <w:rsid w:val="005F0EC2"/>
    <w:rsid w:val="005F360D"/>
    <w:rsid w:val="005F45F8"/>
    <w:rsid w:val="005F46B9"/>
    <w:rsid w:val="005F5295"/>
    <w:rsid w:val="005F564F"/>
    <w:rsid w:val="005F7400"/>
    <w:rsid w:val="005F794C"/>
    <w:rsid w:val="005F7CEE"/>
    <w:rsid w:val="005F7E06"/>
    <w:rsid w:val="00600EE5"/>
    <w:rsid w:val="00601775"/>
    <w:rsid w:val="00601B0A"/>
    <w:rsid w:val="00601F54"/>
    <w:rsid w:val="0060316A"/>
    <w:rsid w:val="00605BCB"/>
    <w:rsid w:val="00605F01"/>
    <w:rsid w:val="006069E6"/>
    <w:rsid w:val="006112A2"/>
    <w:rsid w:val="00611FAF"/>
    <w:rsid w:val="0061345D"/>
    <w:rsid w:val="00614CA3"/>
    <w:rsid w:val="00620211"/>
    <w:rsid w:val="0062158C"/>
    <w:rsid w:val="006224B1"/>
    <w:rsid w:val="0062290A"/>
    <w:rsid w:val="00623286"/>
    <w:rsid w:val="00627395"/>
    <w:rsid w:val="006273A4"/>
    <w:rsid w:val="00627544"/>
    <w:rsid w:val="00627DC9"/>
    <w:rsid w:val="00627DF0"/>
    <w:rsid w:val="0063129E"/>
    <w:rsid w:val="00631EA2"/>
    <w:rsid w:val="00632D3B"/>
    <w:rsid w:val="00633283"/>
    <w:rsid w:val="00634B58"/>
    <w:rsid w:val="0063634C"/>
    <w:rsid w:val="00636AC5"/>
    <w:rsid w:val="0064010F"/>
    <w:rsid w:val="00640AE8"/>
    <w:rsid w:val="00641BA0"/>
    <w:rsid w:val="00642A45"/>
    <w:rsid w:val="00642C8D"/>
    <w:rsid w:val="00643A61"/>
    <w:rsid w:val="00643F76"/>
    <w:rsid w:val="006455FB"/>
    <w:rsid w:val="0064578E"/>
    <w:rsid w:val="0064728C"/>
    <w:rsid w:val="00651936"/>
    <w:rsid w:val="00652174"/>
    <w:rsid w:val="00652881"/>
    <w:rsid w:val="006529EB"/>
    <w:rsid w:val="00654A93"/>
    <w:rsid w:val="00654DF0"/>
    <w:rsid w:val="00655158"/>
    <w:rsid w:val="0065679F"/>
    <w:rsid w:val="006603E5"/>
    <w:rsid w:val="00660F5F"/>
    <w:rsid w:val="00660FD6"/>
    <w:rsid w:val="006613FB"/>
    <w:rsid w:val="0066183D"/>
    <w:rsid w:val="00661D67"/>
    <w:rsid w:val="006633F2"/>
    <w:rsid w:val="006646B8"/>
    <w:rsid w:val="00665726"/>
    <w:rsid w:val="006658F5"/>
    <w:rsid w:val="00666C3D"/>
    <w:rsid w:val="00667E4B"/>
    <w:rsid w:val="00670B3A"/>
    <w:rsid w:val="006710A4"/>
    <w:rsid w:val="00673295"/>
    <w:rsid w:val="0067358F"/>
    <w:rsid w:val="00675942"/>
    <w:rsid w:val="00676029"/>
    <w:rsid w:val="006762E2"/>
    <w:rsid w:val="00677271"/>
    <w:rsid w:val="00680FB6"/>
    <w:rsid w:val="00681669"/>
    <w:rsid w:val="0068168C"/>
    <w:rsid w:val="006825C9"/>
    <w:rsid w:val="00682CCB"/>
    <w:rsid w:val="00683266"/>
    <w:rsid w:val="00683640"/>
    <w:rsid w:val="00683914"/>
    <w:rsid w:val="00683944"/>
    <w:rsid w:val="006844DC"/>
    <w:rsid w:val="006846F3"/>
    <w:rsid w:val="00685873"/>
    <w:rsid w:val="006863A2"/>
    <w:rsid w:val="0068689E"/>
    <w:rsid w:val="00686A1D"/>
    <w:rsid w:val="00687021"/>
    <w:rsid w:val="006909BD"/>
    <w:rsid w:val="00690ABF"/>
    <w:rsid w:val="00690BAF"/>
    <w:rsid w:val="006919C2"/>
    <w:rsid w:val="00691DF1"/>
    <w:rsid w:val="006924B3"/>
    <w:rsid w:val="0069320A"/>
    <w:rsid w:val="006958E7"/>
    <w:rsid w:val="00697FD6"/>
    <w:rsid w:val="006A0F1D"/>
    <w:rsid w:val="006A1F36"/>
    <w:rsid w:val="006A202F"/>
    <w:rsid w:val="006A2869"/>
    <w:rsid w:val="006A409B"/>
    <w:rsid w:val="006A417D"/>
    <w:rsid w:val="006A476E"/>
    <w:rsid w:val="006A48A9"/>
    <w:rsid w:val="006A4E44"/>
    <w:rsid w:val="006A6105"/>
    <w:rsid w:val="006A6462"/>
    <w:rsid w:val="006A668D"/>
    <w:rsid w:val="006A71AF"/>
    <w:rsid w:val="006A7AFE"/>
    <w:rsid w:val="006B1B03"/>
    <w:rsid w:val="006B26D3"/>
    <w:rsid w:val="006B2E95"/>
    <w:rsid w:val="006B3403"/>
    <w:rsid w:val="006B697B"/>
    <w:rsid w:val="006C0AB1"/>
    <w:rsid w:val="006C0D66"/>
    <w:rsid w:val="006C12FF"/>
    <w:rsid w:val="006C37EF"/>
    <w:rsid w:val="006C3D12"/>
    <w:rsid w:val="006C608C"/>
    <w:rsid w:val="006C66E0"/>
    <w:rsid w:val="006C677F"/>
    <w:rsid w:val="006D13D9"/>
    <w:rsid w:val="006D1C04"/>
    <w:rsid w:val="006D1DEF"/>
    <w:rsid w:val="006D5620"/>
    <w:rsid w:val="006D580F"/>
    <w:rsid w:val="006D7011"/>
    <w:rsid w:val="006E09F9"/>
    <w:rsid w:val="006E4302"/>
    <w:rsid w:val="006E4D7F"/>
    <w:rsid w:val="006E4F54"/>
    <w:rsid w:val="006F3B05"/>
    <w:rsid w:val="006F5DDA"/>
    <w:rsid w:val="006F6174"/>
    <w:rsid w:val="006F644F"/>
    <w:rsid w:val="006F7A73"/>
    <w:rsid w:val="00700B21"/>
    <w:rsid w:val="00703359"/>
    <w:rsid w:val="00704D47"/>
    <w:rsid w:val="00710EE8"/>
    <w:rsid w:val="00710FD8"/>
    <w:rsid w:val="00711527"/>
    <w:rsid w:val="0071264A"/>
    <w:rsid w:val="00713D57"/>
    <w:rsid w:val="00714D53"/>
    <w:rsid w:val="00716B37"/>
    <w:rsid w:val="00717C5D"/>
    <w:rsid w:val="007262A0"/>
    <w:rsid w:val="00726BDA"/>
    <w:rsid w:val="00726D06"/>
    <w:rsid w:val="00727EC8"/>
    <w:rsid w:val="00730159"/>
    <w:rsid w:val="00731B5B"/>
    <w:rsid w:val="00732732"/>
    <w:rsid w:val="0073322B"/>
    <w:rsid w:val="00733A45"/>
    <w:rsid w:val="00733BBD"/>
    <w:rsid w:val="00735135"/>
    <w:rsid w:val="00735E04"/>
    <w:rsid w:val="00735F21"/>
    <w:rsid w:val="007367CA"/>
    <w:rsid w:val="00737FC3"/>
    <w:rsid w:val="007406DF"/>
    <w:rsid w:val="0074096A"/>
    <w:rsid w:val="007409DD"/>
    <w:rsid w:val="00745751"/>
    <w:rsid w:val="00746BC6"/>
    <w:rsid w:val="00750319"/>
    <w:rsid w:val="00751532"/>
    <w:rsid w:val="00752B07"/>
    <w:rsid w:val="00752C48"/>
    <w:rsid w:val="00753981"/>
    <w:rsid w:val="00754473"/>
    <w:rsid w:val="00754857"/>
    <w:rsid w:val="00754FB5"/>
    <w:rsid w:val="007570EE"/>
    <w:rsid w:val="00760071"/>
    <w:rsid w:val="007607AB"/>
    <w:rsid w:val="00760936"/>
    <w:rsid w:val="00760EE0"/>
    <w:rsid w:val="00761073"/>
    <w:rsid w:val="007613C9"/>
    <w:rsid w:val="007632D4"/>
    <w:rsid w:val="0076354E"/>
    <w:rsid w:val="007635F6"/>
    <w:rsid w:val="00763D1C"/>
    <w:rsid w:val="00763D5D"/>
    <w:rsid w:val="007650D3"/>
    <w:rsid w:val="0076533D"/>
    <w:rsid w:val="0076546F"/>
    <w:rsid w:val="0076590C"/>
    <w:rsid w:val="00765B54"/>
    <w:rsid w:val="00767617"/>
    <w:rsid w:val="0076779F"/>
    <w:rsid w:val="00770121"/>
    <w:rsid w:val="007706A6"/>
    <w:rsid w:val="00770C2F"/>
    <w:rsid w:val="0077542A"/>
    <w:rsid w:val="00775C2B"/>
    <w:rsid w:val="00775CBB"/>
    <w:rsid w:val="00776054"/>
    <w:rsid w:val="00777DE9"/>
    <w:rsid w:val="007801AD"/>
    <w:rsid w:val="007801CE"/>
    <w:rsid w:val="0078092F"/>
    <w:rsid w:val="00781198"/>
    <w:rsid w:val="007817A1"/>
    <w:rsid w:val="00781DF5"/>
    <w:rsid w:val="0078269B"/>
    <w:rsid w:val="00782B4D"/>
    <w:rsid w:val="00782CE1"/>
    <w:rsid w:val="00783141"/>
    <w:rsid w:val="00783176"/>
    <w:rsid w:val="0078384B"/>
    <w:rsid w:val="007854C1"/>
    <w:rsid w:val="007862E9"/>
    <w:rsid w:val="00787B68"/>
    <w:rsid w:val="0079221A"/>
    <w:rsid w:val="00792A98"/>
    <w:rsid w:val="00792C6C"/>
    <w:rsid w:val="007933D6"/>
    <w:rsid w:val="00795584"/>
    <w:rsid w:val="007A1BF5"/>
    <w:rsid w:val="007A3AAC"/>
    <w:rsid w:val="007A467F"/>
    <w:rsid w:val="007A5BAB"/>
    <w:rsid w:val="007A6BA1"/>
    <w:rsid w:val="007A6C09"/>
    <w:rsid w:val="007B0632"/>
    <w:rsid w:val="007B1E0F"/>
    <w:rsid w:val="007B23C7"/>
    <w:rsid w:val="007B3B56"/>
    <w:rsid w:val="007B3EC6"/>
    <w:rsid w:val="007B487D"/>
    <w:rsid w:val="007B4E50"/>
    <w:rsid w:val="007B693B"/>
    <w:rsid w:val="007B6F65"/>
    <w:rsid w:val="007C0C2E"/>
    <w:rsid w:val="007C0E0D"/>
    <w:rsid w:val="007C6958"/>
    <w:rsid w:val="007D075F"/>
    <w:rsid w:val="007D0982"/>
    <w:rsid w:val="007D2784"/>
    <w:rsid w:val="007D4128"/>
    <w:rsid w:val="007E1A14"/>
    <w:rsid w:val="007E1A79"/>
    <w:rsid w:val="007E27A0"/>
    <w:rsid w:val="007E3C1E"/>
    <w:rsid w:val="007E3F9D"/>
    <w:rsid w:val="007E402B"/>
    <w:rsid w:val="007E5665"/>
    <w:rsid w:val="007E6D53"/>
    <w:rsid w:val="007E7ED6"/>
    <w:rsid w:val="007F0E3B"/>
    <w:rsid w:val="007F18C3"/>
    <w:rsid w:val="007F39B7"/>
    <w:rsid w:val="007F3A09"/>
    <w:rsid w:val="007F408E"/>
    <w:rsid w:val="007F4E29"/>
    <w:rsid w:val="007F5E08"/>
    <w:rsid w:val="007F6315"/>
    <w:rsid w:val="007F681B"/>
    <w:rsid w:val="007F746D"/>
    <w:rsid w:val="007F770C"/>
    <w:rsid w:val="00801385"/>
    <w:rsid w:val="008018D1"/>
    <w:rsid w:val="00801E18"/>
    <w:rsid w:val="00804BAB"/>
    <w:rsid w:val="00805DFA"/>
    <w:rsid w:val="008064A9"/>
    <w:rsid w:val="008069ED"/>
    <w:rsid w:val="008122BD"/>
    <w:rsid w:val="00812E6B"/>
    <w:rsid w:val="00813E00"/>
    <w:rsid w:val="00815911"/>
    <w:rsid w:val="00815EFB"/>
    <w:rsid w:val="00816AFF"/>
    <w:rsid w:val="00817F10"/>
    <w:rsid w:val="00817F66"/>
    <w:rsid w:val="00820E3A"/>
    <w:rsid w:val="00821679"/>
    <w:rsid w:val="00822A86"/>
    <w:rsid w:val="00822D82"/>
    <w:rsid w:val="008232C0"/>
    <w:rsid w:val="00823822"/>
    <w:rsid w:val="00825D6B"/>
    <w:rsid w:val="0083024B"/>
    <w:rsid w:val="00830C08"/>
    <w:rsid w:val="00830FC9"/>
    <w:rsid w:val="00833BAF"/>
    <w:rsid w:val="008342E9"/>
    <w:rsid w:val="00836777"/>
    <w:rsid w:val="008410D4"/>
    <w:rsid w:val="00842753"/>
    <w:rsid w:val="00842811"/>
    <w:rsid w:val="00842FAE"/>
    <w:rsid w:val="00843FF1"/>
    <w:rsid w:val="008473B0"/>
    <w:rsid w:val="00847637"/>
    <w:rsid w:val="008503E1"/>
    <w:rsid w:val="00850420"/>
    <w:rsid w:val="00850654"/>
    <w:rsid w:val="00852E5B"/>
    <w:rsid w:val="00854596"/>
    <w:rsid w:val="00855452"/>
    <w:rsid w:val="008560FF"/>
    <w:rsid w:val="00856354"/>
    <w:rsid w:val="008572FE"/>
    <w:rsid w:val="00860FBB"/>
    <w:rsid w:val="008612FD"/>
    <w:rsid w:val="00861806"/>
    <w:rsid w:val="00862688"/>
    <w:rsid w:val="00862FE3"/>
    <w:rsid w:val="008637BE"/>
    <w:rsid w:val="008646B2"/>
    <w:rsid w:val="0086475C"/>
    <w:rsid w:val="00867328"/>
    <w:rsid w:val="00867C31"/>
    <w:rsid w:val="00870140"/>
    <w:rsid w:val="00870A51"/>
    <w:rsid w:val="00872076"/>
    <w:rsid w:val="00872D80"/>
    <w:rsid w:val="0087307E"/>
    <w:rsid w:val="0087384F"/>
    <w:rsid w:val="00873A0F"/>
    <w:rsid w:val="008740C8"/>
    <w:rsid w:val="008745A1"/>
    <w:rsid w:val="008746AF"/>
    <w:rsid w:val="0087523D"/>
    <w:rsid w:val="00875CA5"/>
    <w:rsid w:val="00877A01"/>
    <w:rsid w:val="0088032D"/>
    <w:rsid w:val="00882A29"/>
    <w:rsid w:val="00882B51"/>
    <w:rsid w:val="00882D76"/>
    <w:rsid w:val="00883039"/>
    <w:rsid w:val="008837AC"/>
    <w:rsid w:val="00884104"/>
    <w:rsid w:val="008844E4"/>
    <w:rsid w:val="00884CBE"/>
    <w:rsid w:val="00885809"/>
    <w:rsid w:val="008871F7"/>
    <w:rsid w:val="008903F8"/>
    <w:rsid w:val="00890E27"/>
    <w:rsid w:val="008926FD"/>
    <w:rsid w:val="008929F8"/>
    <w:rsid w:val="00893919"/>
    <w:rsid w:val="00895708"/>
    <w:rsid w:val="0089671C"/>
    <w:rsid w:val="00896A9C"/>
    <w:rsid w:val="00896F7D"/>
    <w:rsid w:val="00897522"/>
    <w:rsid w:val="008A036F"/>
    <w:rsid w:val="008A1173"/>
    <w:rsid w:val="008A13A2"/>
    <w:rsid w:val="008A1CB3"/>
    <w:rsid w:val="008A1D50"/>
    <w:rsid w:val="008A4638"/>
    <w:rsid w:val="008A46F0"/>
    <w:rsid w:val="008A492B"/>
    <w:rsid w:val="008A59EF"/>
    <w:rsid w:val="008A5DF1"/>
    <w:rsid w:val="008B2736"/>
    <w:rsid w:val="008B304E"/>
    <w:rsid w:val="008B41BB"/>
    <w:rsid w:val="008B5922"/>
    <w:rsid w:val="008B70EB"/>
    <w:rsid w:val="008B7E39"/>
    <w:rsid w:val="008C13E2"/>
    <w:rsid w:val="008C3B45"/>
    <w:rsid w:val="008C513D"/>
    <w:rsid w:val="008C5DD9"/>
    <w:rsid w:val="008C691D"/>
    <w:rsid w:val="008C69C2"/>
    <w:rsid w:val="008C7E7C"/>
    <w:rsid w:val="008D143A"/>
    <w:rsid w:val="008D18CA"/>
    <w:rsid w:val="008D1976"/>
    <w:rsid w:val="008D1E8A"/>
    <w:rsid w:val="008D2A52"/>
    <w:rsid w:val="008D2E30"/>
    <w:rsid w:val="008D30AD"/>
    <w:rsid w:val="008D52F5"/>
    <w:rsid w:val="008D5516"/>
    <w:rsid w:val="008D6FCA"/>
    <w:rsid w:val="008E2637"/>
    <w:rsid w:val="008E29C1"/>
    <w:rsid w:val="008E2D43"/>
    <w:rsid w:val="008E3637"/>
    <w:rsid w:val="008E4D3D"/>
    <w:rsid w:val="008E6ABC"/>
    <w:rsid w:val="008E7A33"/>
    <w:rsid w:val="008F03BA"/>
    <w:rsid w:val="008F11F0"/>
    <w:rsid w:val="008F1E7B"/>
    <w:rsid w:val="008F29BC"/>
    <w:rsid w:val="008F3006"/>
    <w:rsid w:val="008F3532"/>
    <w:rsid w:val="008F6139"/>
    <w:rsid w:val="008F66CB"/>
    <w:rsid w:val="008F7C89"/>
    <w:rsid w:val="00900B89"/>
    <w:rsid w:val="00900F97"/>
    <w:rsid w:val="00901015"/>
    <w:rsid w:val="00901138"/>
    <w:rsid w:val="0090178B"/>
    <w:rsid w:val="009022DA"/>
    <w:rsid w:val="00902310"/>
    <w:rsid w:val="00903355"/>
    <w:rsid w:val="009037B3"/>
    <w:rsid w:val="00903FCA"/>
    <w:rsid w:val="00904C29"/>
    <w:rsid w:val="00904E19"/>
    <w:rsid w:val="00905F05"/>
    <w:rsid w:val="009065EC"/>
    <w:rsid w:val="00910138"/>
    <w:rsid w:val="0091166C"/>
    <w:rsid w:val="0091221A"/>
    <w:rsid w:val="009122C0"/>
    <w:rsid w:val="009128A4"/>
    <w:rsid w:val="0091462D"/>
    <w:rsid w:val="00914A03"/>
    <w:rsid w:val="00916338"/>
    <w:rsid w:val="009169B1"/>
    <w:rsid w:val="0091716E"/>
    <w:rsid w:val="00921AE7"/>
    <w:rsid w:val="0092395F"/>
    <w:rsid w:val="00923F07"/>
    <w:rsid w:val="009253B1"/>
    <w:rsid w:val="0092719C"/>
    <w:rsid w:val="00930EE7"/>
    <w:rsid w:val="00932986"/>
    <w:rsid w:val="009367C5"/>
    <w:rsid w:val="00936ACE"/>
    <w:rsid w:val="00940A06"/>
    <w:rsid w:val="009413BB"/>
    <w:rsid w:val="00941CE2"/>
    <w:rsid w:val="009429BE"/>
    <w:rsid w:val="0094361C"/>
    <w:rsid w:val="009460FF"/>
    <w:rsid w:val="009463E9"/>
    <w:rsid w:val="00946AF0"/>
    <w:rsid w:val="00947D58"/>
    <w:rsid w:val="0095164B"/>
    <w:rsid w:val="009523E8"/>
    <w:rsid w:val="009526DD"/>
    <w:rsid w:val="00952E6A"/>
    <w:rsid w:val="00954A20"/>
    <w:rsid w:val="00960CF6"/>
    <w:rsid w:val="0096346C"/>
    <w:rsid w:val="00963CB7"/>
    <w:rsid w:val="0096418D"/>
    <w:rsid w:val="00964431"/>
    <w:rsid w:val="009647A6"/>
    <w:rsid w:val="009659C5"/>
    <w:rsid w:val="00970185"/>
    <w:rsid w:val="0097091A"/>
    <w:rsid w:val="009716F7"/>
    <w:rsid w:val="00972935"/>
    <w:rsid w:val="00972DF8"/>
    <w:rsid w:val="009743FC"/>
    <w:rsid w:val="009751A2"/>
    <w:rsid w:val="009768DC"/>
    <w:rsid w:val="00977308"/>
    <w:rsid w:val="00977790"/>
    <w:rsid w:val="00980E2C"/>
    <w:rsid w:val="0098143A"/>
    <w:rsid w:val="00981A67"/>
    <w:rsid w:val="00982537"/>
    <w:rsid w:val="009835A3"/>
    <w:rsid w:val="0098360E"/>
    <w:rsid w:val="0098401F"/>
    <w:rsid w:val="00985731"/>
    <w:rsid w:val="00985F4D"/>
    <w:rsid w:val="0098659B"/>
    <w:rsid w:val="00986AD6"/>
    <w:rsid w:val="009918D1"/>
    <w:rsid w:val="00992964"/>
    <w:rsid w:val="009929F9"/>
    <w:rsid w:val="00992A0F"/>
    <w:rsid w:val="0099324A"/>
    <w:rsid w:val="00993300"/>
    <w:rsid w:val="00994E4A"/>
    <w:rsid w:val="0099593F"/>
    <w:rsid w:val="0099690D"/>
    <w:rsid w:val="00996983"/>
    <w:rsid w:val="009A2391"/>
    <w:rsid w:val="009A24E6"/>
    <w:rsid w:val="009A25A1"/>
    <w:rsid w:val="009A3477"/>
    <w:rsid w:val="009A3C62"/>
    <w:rsid w:val="009A46F4"/>
    <w:rsid w:val="009A5FBA"/>
    <w:rsid w:val="009A6135"/>
    <w:rsid w:val="009A7355"/>
    <w:rsid w:val="009A77F0"/>
    <w:rsid w:val="009A7A4D"/>
    <w:rsid w:val="009A7B0D"/>
    <w:rsid w:val="009A7D1C"/>
    <w:rsid w:val="009B05A4"/>
    <w:rsid w:val="009B0BD9"/>
    <w:rsid w:val="009B2CE3"/>
    <w:rsid w:val="009B53D8"/>
    <w:rsid w:val="009B614F"/>
    <w:rsid w:val="009C1EDC"/>
    <w:rsid w:val="009C2834"/>
    <w:rsid w:val="009C371A"/>
    <w:rsid w:val="009C4762"/>
    <w:rsid w:val="009C4B20"/>
    <w:rsid w:val="009C7436"/>
    <w:rsid w:val="009D12E0"/>
    <w:rsid w:val="009E0049"/>
    <w:rsid w:val="009E0299"/>
    <w:rsid w:val="009E0E3A"/>
    <w:rsid w:val="009E27A2"/>
    <w:rsid w:val="009E2980"/>
    <w:rsid w:val="009E3605"/>
    <w:rsid w:val="009E36E7"/>
    <w:rsid w:val="009E3DC6"/>
    <w:rsid w:val="009E4A7E"/>
    <w:rsid w:val="009E726B"/>
    <w:rsid w:val="009F0325"/>
    <w:rsid w:val="009F104E"/>
    <w:rsid w:val="009F2C58"/>
    <w:rsid w:val="009F65B5"/>
    <w:rsid w:val="00A00479"/>
    <w:rsid w:val="00A004B0"/>
    <w:rsid w:val="00A009A7"/>
    <w:rsid w:val="00A01C85"/>
    <w:rsid w:val="00A02FB3"/>
    <w:rsid w:val="00A035ED"/>
    <w:rsid w:val="00A03BE5"/>
    <w:rsid w:val="00A03C1B"/>
    <w:rsid w:val="00A062B1"/>
    <w:rsid w:val="00A063AA"/>
    <w:rsid w:val="00A06758"/>
    <w:rsid w:val="00A06827"/>
    <w:rsid w:val="00A06C84"/>
    <w:rsid w:val="00A10DB2"/>
    <w:rsid w:val="00A119E4"/>
    <w:rsid w:val="00A136DF"/>
    <w:rsid w:val="00A1474F"/>
    <w:rsid w:val="00A1494A"/>
    <w:rsid w:val="00A14DF5"/>
    <w:rsid w:val="00A17116"/>
    <w:rsid w:val="00A17EE2"/>
    <w:rsid w:val="00A2040C"/>
    <w:rsid w:val="00A2073F"/>
    <w:rsid w:val="00A22596"/>
    <w:rsid w:val="00A22600"/>
    <w:rsid w:val="00A239EB"/>
    <w:rsid w:val="00A249B5"/>
    <w:rsid w:val="00A250CF"/>
    <w:rsid w:val="00A25AA8"/>
    <w:rsid w:val="00A26951"/>
    <w:rsid w:val="00A26A19"/>
    <w:rsid w:val="00A27367"/>
    <w:rsid w:val="00A27633"/>
    <w:rsid w:val="00A27965"/>
    <w:rsid w:val="00A279C5"/>
    <w:rsid w:val="00A30DB2"/>
    <w:rsid w:val="00A3100B"/>
    <w:rsid w:val="00A311A1"/>
    <w:rsid w:val="00A334CE"/>
    <w:rsid w:val="00A349DB"/>
    <w:rsid w:val="00A3547E"/>
    <w:rsid w:val="00A35D14"/>
    <w:rsid w:val="00A360E1"/>
    <w:rsid w:val="00A36164"/>
    <w:rsid w:val="00A37F4C"/>
    <w:rsid w:val="00A40113"/>
    <w:rsid w:val="00A402F8"/>
    <w:rsid w:val="00A4045A"/>
    <w:rsid w:val="00A439D0"/>
    <w:rsid w:val="00A464A6"/>
    <w:rsid w:val="00A472B6"/>
    <w:rsid w:val="00A47F72"/>
    <w:rsid w:val="00A501A7"/>
    <w:rsid w:val="00A52357"/>
    <w:rsid w:val="00A548E9"/>
    <w:rsid w:val="00A54A0E"/>
    <w:rsid w:val="00A54C47"/>
    <w:rsid w:val="00A5561A"/>
    <w:rsid w:val="00A575FB"/>
    <w:rsid w:val="00A57C38"/>
    <w:rsid w:val="00A57ED2"/>
    <w:rsid w:val="00A60373"/>
    <w:rsid w:val="00A61916"/>
    <w:rsid w:val="00A620D4"/>
    <w:rsid w:val="00A630BA"/>
    <w:rsid w:val="00A65B0A"/>
    <w:rsid w:val="00A6670E"/>
    <w:rsid w:val="00A705F3"/>
    <w:rsid w:val="00A70DD6"/>
    <w:rsid w:val="00A72B34"/>
    <w:rsid w:val="00A73468"/>
    <w:rsid w:val="00A734B5"/>
    <w:rsid w:val="00A73782"/>
    <w:rsid w:val="00A746B0"/>
    <w:rsid w:val="00A74E50"/>
    <w:rsid w:val="00A74F3D"/>
    <w:rsid w:val="00A75DE6"/>
    <w:rsid w:val="00A77B93"/>
    <w:rsid w:val="00A80DB9"/>
    <w:rsid w:val="00A80E65"/>
    <w:rsid w:val="00A8710A"/>
    <w:rsid w:val="00A916CE"/>
    <w:rsid w:val="00A92DE6"/>
    <w:rsid w:val="00A93429"/>
    <w:rsid w:val="00A93FAE"/>
    <w:rsid w:val="00AA0104"/>
    <w:rsid w:val="00AA01A2"/>
    <w:rsid w:val="00AA08C9"/>
    <w:rsid w:val="00AA1216"/>
    <w:rsid w:val="00AA2BE7"/>
    <w:rsid w:val="00AA4D00"/>
    <w:rsid w:val="00AA515B"/>
    <w:rsid w:val="00AA582D"/>
    <w:rsid w:val="00AA5997"/>
    <w:rsid w:val="00AA5A61"/>
    <w:rsid w:val="00AA64C3"/>
    <w:rsid w:val="00AB0258"/>
    <w:rsid w:val="00AB0A7B"/>
    <w:rsid w:val="00AB3C80"/>
    <w:rsid w:val="00AB3DE5"/>
    <w:rsid w:val="00AB5335"/>
    <w:rsid w:val="00AB7302"/>
    <w:rsid w:val="00AC0A9C"/>
    <w:rsid w:val="00AC0AF6"/>
    <w:rsid w:val="00AC0F3B"/>
    <w:rsid w:val="00AC3DA0"/>
    <w:rsid w:val="00AC4269"/>
    <w:rsid w:val="00AC5DCB"/>
    <w:rsid w:val="00AC648B"/>
    <w:rsid w:val="00AC6A2A"/>
    <w:rsid w:val="00AC6AA6"/>
    <w:rsid w:val="00AD17BB"/>
    <w:rsid w:val="00AD2391"/>
    <w:rsid w:val="00AD3A6F"/>
    <w:rsid w:val="00AD52F3"/>
    <w:rsid w:val="00AE05B8"/>
    <w:rsid w:val="00AE0640"/>
    <w:rsid w:val="00AE10CD"/>
    <w:rsid w:val="00AE1B02"/>
    <w:rsid w:val="00AE2207"/>
    <w:rsid w:val="00AE30F3"/>
    <w:rsid w:val="00AE567E"/>
    <w:rsid w:val="00AE6387"/>
    <w:rsid w:val="00AE6430"/>
    <w:rsid w:val="00AE6EA9"/>
    <w:rsid w:val="00AF3F04"/>
    <w:rsid w:val="00AF6503"/>
    <w:rsid w:val="00AF6AD4"/>
    <w:rsid w:val="00B00AB3"/>
    <w:rsid w:val="00B00F6E"/>
    <w:rsid w:val="00B030B3"/>
    <w:rsid w:val="00B037CB"/>
    <w:rsid w:val="00B04026"/>
    <w:rsid w:val="00B04AC4"/>
    <w:rsid w:val="00B062EB"/>
    <w:rsid w:val="00B11286"/>
    <w:rsid w:val="00B112AA"/>
    <w:rsid w:val="00B11983"/>
    <w:rsid w:val="00B11D50"/>
    <w:rsid w:val="00B14481"/>
    <w:rsid w:val="00B144F1"/>
    <w:rsid w:val="00B1459C"/>
    <w:rsid w:val="00B1543B"/>
    <w:rsid w:val="00B15934"/>
    <w:rsid w:val="00B159E0"/>
    <w:rsid w:val="00B168B6"/>
    <w:rsid w:val="00B1724A"/>
    <w:rsid w:val="00B203D1"/>
    <w:rsid w:val="00B21143"/>
    <w:rsid w:val="00B212F4"/>
    <w:rsid w:val="00B21547"/>
    <w:rsid w:val="00B225EC"/>
    <w:rsid w:val="00B22B29"/>
    <w:rsid w:val="00B239BA"/>
    <w:rsid w:val="00B24261"/>
    <w:rsid w:val="00B27817"/>
    <w:rsid w:val="00B30672"/>
    <w:rsid w:val="00B31ADA"/>
    <w:rsid w:val="00B32EF4"/>
    <w:rsid w:val="00B32FD2"/>
    <w:rsid w:val="00B356AC"/>
    <w:rsid w:val="00B35DAE"/>
    <w:rsid w:val="00B36345"/>
    <w:rsid w:val="00B36D86"/>
    <w:rsid w:val="00B37438"/>
    <w:rsid w:val="00B378D7"/>
    <w:rsid w:val="00B40E28"/>
    <w:rsid w:val="00B41624"/>
    <w:rsid w:val="00B41FE0"/>
    <w:rsid w:val="00B43F8A"/>
    <w:rsid w:val="00B440BC"/>
    <w:rsid w:val="00B44349"/>
    <w:rsid w:val="00B44E81"/>
    <w:rsid w:val="00B450D8"/>
    <w:rsid w:val="00B46076"/>
    <w:rsid w:val="00B46B32"/>
    <w:rsid w:val="00B4724B"/>
    <w:rsid w:val="00B50237"/>
    <w:rsid w:val="00B51233"/>
    <w:rsid w:val="00B51D18"/>
    <w:rsid w:val="00B54CCF"/>
    <w:rsid w:val="00B5605F"/>
    <w:rsid w:val="00B5741B"/>
    <w:rsid w:val="00B576E3"/>
    <w:rsid w:val="00B57C21"/>
    <w:rsid w:val="00B63F25"/>
    <w:rsid w:val="00B66AE9"/>
    <w:rsid w:val="00B66CCF"/>
    <w:rsid w:val="00B67B4E"/>
    <w:rsid w:val="00B67BD4"/>
    <w:rsid w:val="00B70E27"/>
    <w:rsid w:val="00B715B2"/>
    <w:rsid w:val="00B71AC6"/>
    <w:rsid w:val="00B73113"/>
    <w:rsid w:val="00B745AF"/>
    <w:rsid w:val="00B74FD3"/>
    <w:rsid w:val="00B75F7F"/>
    <w:rsid w:val="00B768A1"/>
    <w:rsid w:val="00B7723A"/>
    <w:rsid w:val="00B772F7"/>
    <w:rsid w:val="00B7751D"/>
    <w:rsid w:val="00B82250"/>
    <w:rsid w:val="00B824EF"/>
    <w:rsid w:val="00B8395D"/>
    <w:rsid w:val="00B83B48"/>
    <w:rsid w:val="00B84340"/>
    <w:rsid w:val="00B86537"/>
    <w:rsid w:val="00B87016"/>
    <w:rsid w:val="00B905BA"/>
    <w:rsid w:val="00B948AA"/>
    <w:rsid w:val="00B96635"/>
    <w:rsid w:val="00BA057C"/>
    <w:rsid w:val="00BA078D"/>
    <w:rsid w:val="00BA139F"/>
    <w:rsid w:val="00BA2E9E"/>
    <w:rsid w:val="00BA3793"/>
    <w:rsid w:val="00BA3B88"/>
    <w:rsid w:val="00BA47E0"/>
    <w:rsid w:val="00BA515B"/>
    <w:rsid w:val="00BA5AE0"/>
    <w:rsid w:val="00BA7BA6"/>
    <w:rsid w:val="00BB0835"/>
    <w:rsid w:val="00BB229C"/>
    <w:rsid w:val="00BB6C39"/>
    <w:rsid w:val="00BB7DDB"/>
    <w:rsid w:val="00BC07AA"/>
    <w:rsid w:val="00BC1488"/>
    <w:rsid w:val="00BC2FEF"/>
    <w:rsid w:val="00BC4028"/>
    <w:rsid w:val="00BC6407"/>
    <w:rsid w:val="00BC75E3"/>
    <w:rsid w:val="00BD1560"/>
    <w:rsid w:val="00BD16CB"/>
    <w:rsid w:val="00BD36F1"/>
    <w:rsid w:val="00BD3B1A"/>
    <w:rsid w:val="00BD3CAD"/>
    <w:rsid w:val="00BD755E"/>
    <w:rsid w:val="00BE0BCB"/>
    <w:rsid w:val="00BE1F92"/>
    <w:rsid w:val="00BE2A1D"/>
    <w:rsid w:val="00BE2C91"/>
    <w:rsid w:val="00BE2F82"/>
    <w:rsid w:val="00BE34CD"/>
    <w:rsid w:val="00BE3A68"/>
    <w:rsid w:val="00BE3D7F"/>
    <w:rsid w:val="00BE6614"/>
    <w:rsid w:val="00BF00D2"/>
    <w:rsid w:val="00BF05CF"/>
    <w:rsid w:val="00BF0B0B"/>
    <w:rsid w:val="00BF1A8D"/>
    <w:rsid w:val="00BF3A83"/>
    <w:rsid w:val="00BF66C7"/>
    <w:rsid w:val="00C006ED"/>
    <w:rsid w:val="00C01316"/>
    <w:rsid w:val="00C015EB"/>
    <w:rsid w:val="00C0339D"/>
    <w:rsid w:val="00C03922"/>
    <w:rsid w:val="00C03BA1"/>
    <w:rsid w:val="00C0587A"/>
    <w:rsid w:val="00C05EC6"/>
    <w:rsid w:val="00C06C2D"/>
    <w:rsid w:val="00C06E7B"/>
    <w:rsid w:val="00C06F66"/>
    <w:rsid w:val="00C07240"/>
    <w:rsid w:val="00C10266"/>
    <w:rsid w:val="00C10D6B"/>
    <w:rsid w:val="00C158A8"/>
    <w:rsid w:val="00C21B92"/>
    <w:rsid w:val="00C225D7"/>
    <w:rsid w:val="00C23F99"/>
    <w:rsid w:val="00C26054"/>
    <w:rsid w:val="00C26D4B"/>
    <w:rsid w:val="00C302BC"/>
    <w:rsid w:val="00C31A3A"/>
    <w:rsid w:val="00C31C36"/>
    <w:rsid w:val="00C346E2"/>
    <w:rsid w:val="00C34F45"/>
    <w:rsid w:val="00C360DB"/>
    <w:rsid w:val="00C36353"/>
    <w:rsid w:val="00C40363"/>
    <w:rsid w:val="00C40382"/>
    <w:rsid w:val="00C40EC4"/>
    <w:rsid w:val="00C419C3"/>
    <w:rsid w:val="00C4313B"/>
    <w:rsid w:val="00C43BF2"/>
    <w:rsid w:val="00C45262"/>
    <w:rsid w:val="00C45481"/>
    <w:rsid w:val="00C45AE3"/>
    <w:rsid w:val="00C4751F"/>
    <w:rsid w:val="00C52A45"/>
    <w:rsid w:val="00C53411"/>
    <w:rsid w:val="00C534C0"/>
    <w:rsid w:val="00C53B80"/>
    <w:rsid w:val="00C545FA"/>
    <w:rsid w:val="00C550AE"/>
    <w:rsid w:val="00C56134"/>
    <w:rsid w:val="00C57D41"/>
    <w:rsid w:val="00C61DF9"/>
    <w:rsid w:val="00C62787"/>
    <w:rsid w:val="00C62C60"/>
    <w:rsid w:val="00C65333"/>
    <w:rsid w:val="00C65584"/>
    <w:rsid w:val="00C70FFB"/>
    <w:rsid w:val="00C716FD"/>
    <w:rsid w:val="00C747FE"/>
    <w:rsid w:val="00C776B7"/>
    <w:rsid w:val="00C80665"/>
    <w:rsid w:val="00C81039"/>
    <w:rsid w:val="00C826A5"/>
    <w:rsid w:val="00C83165"/>
    <w:rsid w:val="00C8410B"/>
    <w:rsid w:val="00C846F6"/>
    <w:rsid w:val="00C84AA6"/>
    <w:rsid w:val="00C863B4"/>
    <w:rsid w:val="00C86986"/>
    <w:rsid w:val="00C87461"/>
    <w:rsid w:val="00C87F83"/>
    <w:rsid w:val="00C922E6"/>
    <w:rsid w:val="00C9315F"/>
    <w:rsid w:val="00C945F5"/>
    <w:rsid w:val="00C94BCA"/>
    <w:rsid w:val="00C94F00"/>
    <w:rsid w:val="00C96D58"/>
    <w:rsid w:val="00C97203"/>
    <w:rsid w:val="00C97AC3"/>
    <w:rsid w:val="00CA03C2"/>
    <w:rsid w:val="00CA09DA"/>
    <w:rsid w:val="00CA20A1"/>
    <w:rsid w:val="00CA437B"/>
    <w:rsid w:val="00CA49F9"/>
    <w:rsid w:val="00CA5FE7"/>
    <w:rsid w:val="00CA61AA"/>
    <w:rsid w:val="00CA6EA7"/>
    <w:rsid w:val="00CA78D6"/>
    <w:rsid w:val="00CB2515"/>
    <w:rsid w:val="00CB2C3F"/>
    <w:rsid w:val="00CB46CD"/>
    <w:rsid w:val="00CB5110"/>
    <w:rsid w:val="00CB57A4"/>
    <w:rsid w:val="00CB5FB2"/>
    <w:rsid w:val="00CB6459"/>
    <w:rsid w:val="00CB76CC"/>
    <w:rsid w:val="00CC0392"/>
    <w:rsid w:val="00CC190C"/>
    <w:rsid w:val="00CC1C37"/>
    <w:rsid w:val="00CC22C3"/>
    <w:rsid w:val="00CC2C3F"/>
    <w:rsid w:val="00CC306C"/>
    <w:rsid w:val="00CC477E"/>
    <w:rsid w:val="00CC4F7D"/>
    <w:rsid w:val="00CC5EDC"/>
    <w:rsid w:val="00CC69EE"/>
    <w:rsid w:val="00CC7072"/>
    <w:rsid w:val="00CC7BAA"/>
    <w:rsid w:val="00CD080B"/>
    <w:rsid w:val="00CD2004"/>
    <w:rsid w:val="00CD2D7E"/>
    <w:rsid w:val="00CD3BF9"/>
    <w:rsid w:val="00CD3EDF"/>
    <w:rsid w:val="00CD429B"/>
    <w:rsid w:val="00CD7C6C"/>
    <w:rsid w:val="00CE1975"/>
    <w:rsid w:val="00CE1C21"/>
    <w:rsid w:val="00CE4FAE"/>
    <w:rsid w:val="00CE595D"/>
    <w:rsid w:val="00CE5CD6"/>
    <w:rsid w:val="00CE741D"/>
    <w:rsid w:val="00CE7ABF"/>
    <w:rsid w:val="00CF0045"/>
    <w:rsid w:val="00CF0936"/>
    <w:rsid w:val="00CF104E"/>
    <w:rsid w:val="00CF233D"/>
    <w:rsid w:val="00CF3DA5"/>
    <w:rsid w:val="00CF402B"/>
    <w:rsid w:val="00CF7070"/>
    <w:rsid w:val="00CF7633"/>
    <w:rsid w:val="00D0006F"/>
    <w:rsid w:val="00D00527"/>
    <w:rsid w:val="00D00C0F"/>
    <w:rsid w:val="00D0300D"/>
    <w:rsid w:val="00D042C4"/>
    <w:rsid w:val="00D043B7"/>
    <w:rsid w:val="00D046CD"/>
    <w:rsid w:val="00D04B2B"/>
    <w:rsid w:val="00D04CC3"/>
    <w:rsid w:val="00D05F43"/>
    <w:rsid w:val="00D07CAA"/>
    <w:rsid w:val="00D107DC"/>
    <w:rsid w:val="00D14673"/>
    <w:rsid w:val="00D150CC"/>
    <w:rsid w:val="00D152CC"/>
    <w:rsid w:val="00D16468"/>
    <w:rsid w:val="00D20C97"/>
    <w:rsid w:val="00D21830"/>
    <w:rsid w:val="00D221A5"/>
    <w:rsid w:val="00D2457E"/>
    <w:rsid w:val="00D247FC"/>
    <w:rsid w:val="00D2548F"/>
    <w:rsid w:val="00D27500"/>
    <w:rsid w:val="00D276D7"/>
    <w:rsid w:val="00D27E9E"/>
    <w:rsid w:val="00D27F3B"/>
    <w:rsid w:val="00D309A5"/>
    <w:rsid w:val="00D31A33"/>
    <w:rsid w:val="00D326F8"/>
    <w:rsid w:val="00D32C39"/>
    <w:rsid w:val="00D332F5"/>
    <w:rsid w:val="00D358BB"/>
    <w:rsid w:val="00D36091"/>
    <w:rsid w:val="00D377A0"/>
    <w:rsid w:val="00D37892"/>
    <w:rsid w:val="00D40828"/>
    <w:rsid w:val="00D41D4A"/>
    <w:rsid w:val="00D41FD6"/>
    <w:rsid w:val="00D4205B"/>
    <w:rsid w:val="00D44B3A"/>
    <w:rsid w:val="00D455B1"/>
    <w:rsid w:val="00D4626F"/>
    <w:rsid w:val="00D46D01"/>
    <w:rsid w:val="00D4729F"/>
    <w:rsid w:val="00D47891"/>
    <w:rsid w:val="00D47ACE"/>
    <w:rsid w:val="00D53CEE"/>
    <w:rsid w:val="00D54D59"/>
    <w:rsid w:val="00D55AB8"/>
    <w:rsid w:val="00D56378"/>
    <w:rsid w:val="00D60808"/>
    <w:rsid w:val="00D6090D"/>
    <w:rsid w:val="00D60C92"/>
    <w:rsid w:val="00D61048"/>
    <w:rsid w:val="00D6110F"/>
    <w:rsid w:val="00D62816"/>
    <w:rsid w:val="00D639D1"/>
    <w:rsid w:val="00D652C2"/>
    <w:rsid w:val="00D65461"/>
    <w:rsid w:val="00D6563A"/>
    <w:rsid w:val="00D66871"/>
    <w:rsid w:val="00D66D1A"/>
    <w:rsid w:val="00D66DDF"/>
    <w:rsid w:val="00D6726A"/>
    <w:rsid w:val="00D67DCA"/>
    <w:rsid w:val="00D718C0"/>
    <w:rsid w:val="00D72047"/>
    <w:rsid w:val="00D73726"/>
    <w:rsid w:val="00D7408F"/>
    <w:rsid w:val="00D742DC"/>
    <w:rsid w:val="00D750AA"/>
    <w:rsid w:val="00D77134"/>
    <w:rsid w:val="00D779ED"/>
    <w:rsid w:val="00D81F13"/>
    <w:rsid w:val="00D82143"/>
    <w:rsid w:val="00D824C2"/>
    <w:rsid w:val="00D844AA"/>
    <w:rsid w:val="00D863EB"/>
    <w:rsid w:val="00D868A1"/>
    <w:rsid w:val="00D86BD9"/>
    <w:rsid w:val="00D87268"/>
    <w:rsid w:val="00D87CFD"/>
    <w:rsid w:val="00D9069A"/>
    <w:rsid w:val="00D908A8"/>
    <w:rsid w:val="00D91683"/>
    <w:rsid w:val="00D91758"/>
    <w:rsid w:val="00D93F6E"/>
    <w:rsid w:val="00D95B89"/>
    <w:rsid w:val="00D96A08"/>
    <w:rsid w:val="00D96B66"/>
    <w:rsid w:val="00D97034"/>
    <w:rsid w:val="00D973E6"/>
    <w:rsid w:val="00DA02D0"/>
    <w:rsid w:val="00DA063E"/>
    <w:rsid w:val="00DA1517"/>
    <w:rsid w:val="00DA21AD"/>
    <w:rsid w:val="00DA5F04"/>
    <w:rsid w:val="00DA63EB"/>
    <w:rsid w:val="00DA72F9"/>
    <w:rsid w:val="00DA779B"/>
    <w:rsid w:val="00DA7C6F"/>
    <w:rsid w:val="00DB07EC"/>
    <w:rsid w:val="00DB0B2B"/>
    <w:rsid w:val="00DB2606"/>
    <w:rsid w:val="00DB2BF6"/>
    <w:rsid w:val="00DB30D4"/>
    <w:rsid w:val="00DB5267"/>
    <w:rsid w:val="00DC050F"/>
    <w:rsid w:val="00DC06A5"/>
    <w:rsid w:val="00DC097F"/>
    <w:rsid w:val="00DC0C7D"/>
    <w:rsid w:val="00DC1228"/>
    <w:rsid w:val="00DC4269"/>
    <w:rsid w:val="00DC45B5"/>
    <w:rsid w:val="00DC4BC6"/>
    <w:rsid w:val="00DC6EF0"/>
    <w:rsid w:val="00DC7B89"/>
    <w:rsid w:val="00DD33C0"/>
    <w:rsid w:val="00DD420A"/>
    <w:rsid w:val="00DD48B1"/>
    <w:rsid w:val="00DD57E2"/>
    <w:rsid w:val="00DD59E3"/>
    <w:rsid w:val="00DD5FEE"/>
    <w:rsid w:val="00DD7810"/>
    <w:rsid w:val="00DD7D9A"/>
    <w:rsid w:val="00DE2042"/>
    <w:rsid w:val="00DE25B6"/>
    <w:rsid w:val="00DE32B4"/>
    <w:rsid w:val="00DE34EF"/>
    <w:rsid w:val="00DE370F"/>
    <w:rsid w:val="00DE3881"/>
    <w:rsid w:val="00DE40A4"/>
    <w:rsid w:val="00DE550E"/>
    <w:rsid w:val="00DE5C51"/>
    <w:rsid w:val="00DE7130"/>
    <w:rsid w:val="00DF02A4"/>
    <w:rsid w:val="00DF1BDC"/>
    <w:rsid w:val="00DF1E83"/>
    <w:rsid w:val="00DF1EE9"/>
    <w:rsid w:val="00DF39F0"/>
    <w:rsid w:val="00DF4A84"/>
    <w:rsid w:val="00DF5A00"/>
    <w:rsid w:val="00DF5C1F"/>
    <w:rsid w:val="00DF5FCF"/>
    <w:rsid w:val="00DF6811"/>
    <w:rsid w:val="00DF79D0"/>
    <w:rsid w:val="00E00A56"/>
    <w:rsid w:val="00E0175A"/>
    <w:rsid w:val="00E032CF"/>
    <w:rsid w:val="00E04ECA"/>
    <w:rsid w:val="00E05BF0"/>
    <w:rsid w:val="00E060AF"/>
    <w:rsid w:val="00E06B1B"/>
    <w:rsid w:val="00E06F3B"/>
    <w:rsid w:val="00E072A8"/>
    <w:rsid w:val="00E102D5"/>
    <w:rsid w:val="00E12471"/>
    <w:rsid w:val="00E124F3"/>
    <w:rsid w:val="00E12602"/>
    <w:rsid w:val="00E12A4F"/>
    <w:rsid w:val="00E15747"/>
    <w:rsid w:val="00E1665D"/>
    <w:rsid w:val="00E20489"/>
    <w:rsid w:val="00E206C7"/>
    <w:rsid w:val="00E20807"/>
    <w:rsid w:val="00E20E8F"/>
    <w:rsid w:val="00E218C9"/>
    <w:rsid w:val="00E2283D"/>
    <w:rsid w:val="00E2391A"/>
    <w:rsid w:val="00E24727"/>
    <w:rsid w:val="00E24912"/>
    <w:rsid w:val="00E27123"/>
    <w:rsid w:val="00E27EE9"/>
    <w:rsid w:val="00E31443"/>
    <w:rsid w:val="00E324E7"/>
    <w:rsid w:val="00E3381B"/>
    <w:rsid w:val="00E34663"/>
    <w:rsid w:val="00E3495E"/>
    <w:rsid w:val="00E35BD3"/>
    <w:rsid w:val="00E37BFF"/>
    <w:rsid w:val="00E4113C"/>
    <w:rsid w:val="00E41CE8"/>
    <w:rsid w:val="00E43629"/>
    <w:rsid w:val="00E436DD"/>
    <w:rsid w:val="00E50C97"/>
    <w:rsid w:val="00E5167A"/>
    <w:rsid w:val="00E51731"/>
    <w:rsid w:val="00E51D3E"/>
    <w:rsid w:val="00E52494"/>
    <w:rsid w:val="00E52866"/>
    <w:rsid w:val="00E52F9D"/>
    <w:rsid w:val="00E54053"/>
    <w:rsid w:val="00E554C5"/>
    <w:rsid w:val="00E55F27"/>
    <w:rsid w:val="00E5644C"/>
    <w:rsid w:val="00E6005A"/>
    <w:rsid w:val="00E61810"/>
    <w:rsid w:val="00E62856"/>
    <w:rsid w:val="00E62ED0"/>
    <w:rsid w:val="00E63400"/>
    <w:rsid w:val="00E63993"/>
    <w:rsid w:val="00E67600"/>
    <w:rsid w:val="00E67659"/>
    <w:rsid w:val="00E67E4D"/>
    <w:rsid w:val="00E70F68"/>
    <w:rsid w:val="00E71ACC"/>
    <w:rsid w:val="00E73DE5"/>
    <w:rsid w:val="00E76179"/>
    <w:rsid w:val="00E76E2F"/>
    <w:rsid w:val="00E76F50"/>
    <w:rsid w:val="00E800CB"/>
    <w:rsid w:val="00E83176"/>
    <w:rsid w:val="00E833FE"/>
    <w:rsid w:val="00E860A2"/>
    <w:rsid w:val="00E87585"/>
    <w:rsid w:val="00E878A0"/>
    <w:rsid w:val="00E9184E"/>
    <w:rsid w:val="00E924CD"/>
    <w:rsid w:val="00E97F50"/>
    <w:rsid w:val="00EA033C"/>
    <w:rsid w:val="00EA37EA"/>
    <w:rsid w:val="00EA3C76"/>
    <w:rsid w:val="00EA45D2"/>
    <w:rsid w:val="00EA482B"/>
    <w:rsid w:val="00EA564B"/>
    <w:rsid w:val="00EA6C5A"/>
    <w:rsid w:val="00EB0126"/>
    <w:rsid w:val="00EB0A00"/>
    <w:rsid w:val="00EB15D2"/>
    <w:rsid w:val="00EB393C"/>
    <w:rsid w:val="00EB44D6"/>
    <w:rsid w:val="00EB48AC"/>
    <w:rsid w:val="00EB4A8D"/>
    <w:rsid w:val="00EB6132"/>
    <w:rsid w:val="00EB6E8B"/>
    <w:rsid w:val="00EC006C"/>
    <w:rsid w:val="00EC0886"/>
    <w:rsid w:val="00EC08CE"/>
    <w:rsid w:val="00EC126F"/>
    <w:rsid w:val="00EC1FA4"/>
    <w:rsid w:val="00EC4CC3"/>
    <w:rsid w:val="00EC6A5F"/>
    <w:rsid w:val="00ED03AB"/>
    <w:rsid w:val="00ED0709"/>
    <w:rsid w:val="00ED0A51"/>
    <w:rsid w:val="00ED26AB"/>
    <w:rsid w:val="00ED4BAB"/>
    <w:rsid w:val="00ED4CCD"/>
    <w:rsid w:val="00ED50B2"/>
    <w:rsid w:val="00ED59DB"/>
    <w:rsid w:val="00ED7000"/>
    <w:rsid w:val="00EE01FF"/>
    <w:rsid w:val="00EE021E"/>
    <w:rsid w:val="00EE0685"/>
    <w:rsid w:val="00EE0C11"/>
    <w:rsid w:val="00EE1803"/>
    <w:rsid w:val="00EE254E"/>
    <w:rsid w:val="00EE26D3"/>
    <w:rsid w:val="00EE2785"/>
    <w:rsid w:val="00EE2DE4"/>
    <w:rsid w:val="00EE54E7"/>
    <w:rsid w:val="00EE7CF0"/>
    <w:rsid w:val="00EF4447"/>
    <w:rsid w:val="00EF525D"/>
    <w:rsid w:val="00EF5ABB"/>
    <w:rsid w:val="00EF6A80"/>
    <w:rsid w:val="00EF7C89"/>
    <w:rsid w:val="00F03325"/>
    <w:rsid w:val="00F037BB"/>
    <w:rsid w:val="00F0657B"/>
    <w:rsid w:val="00F068BA"/>
    <w:rsid w:val="00F07835"/>
    <w:rsid w:val="00F100AB"/>
    <w:rsid w:val="00F1153F"/>
    <w:rsid w:val="00F115D4"/>
    <w:rsid w:val="00F151FE"/>
    <w:rsid w:val="00F1556D"/>
    <w:rsid w:val="00F15D79"/>
    <w:rsid w:val="00F1678D"/>
    <w:rsid w:val="00F16A39"/>
    <w:rsid w:val="00F16E7C"/>
    <w:rsid w:val="00F20767"/>
    <w:rsid w:val="00F211A2"/>
    <w:rsid w:val="00F21640"/>
    <w:rsid w:val="00F21BBC"/>
    <w:rsid w:val="00F21E26"/>
    <w:rsid w:val="00F2297C"/>
    <w:rsid w:val="00F23774"/>
    <w:rsid w:val="00F25689"/>
    <w:rsid w:val="00F3062E"/>
    <w:rsid w:val="00F31D45"/>
    <w:rsid w:val="00F327CF"/>
    <w:rsid w:val="00F3394C"/>
    <w:rsid w:val="00F33EAB"/>
    <w:rsid w:val="00F344DE"/>
    <w:rsid w:val="00F35135"/>
    <w:rsid w:val="00F35DFB"/>
    <w:rsid w:val="00F363C5"/>
    <w:rsid w:val="00F377ED"/>
    <w:rsid w:val="00F37CF5"/>
    <w:rsid w:val="00F4193A"/>
    <w:rsid w:val="00F42E2F"/>
    <w:rsid w:val="00F43907"/>
    <w:rsid w:val="00F4462A"/>
    <w:rsid w:val="00F45124"/>
    <w:rsid w:val="00F473F0"/>
    <w:rsid w:val="00F50606"/>
    <w:rsid w:val="00F52070"/>
    <w:rsid w:val="00F5341C"/>
    <w:rsid w:val="00F54FC3"/>
    <w:rsid w:val="00F55C1F"/>
    <w:rsid w:val="00F57B9F"/>
    <w:rsid w:val="00F60031"/>
    <w:rsid w:val="00F625F5"/>
    <w:rsid w:val="00F63AA3"/>
    <w:rsid w:val="00F67554"/>
    <w:rsid w:val="00F74093"/>
    <w:rsid w:val="00F754EF"/>
    <w:rsid w:val="00F75AF2"/>
    <w:rsid w:val="00F77328"/>
    <w:rsid w:val="00F80D34"/>
    <w:rsid w:val="00F8111E"/>
    <w:rsid w:val="00F82191"/>
    <w:rsid w:val="00F827BC"/>
    <w:rsid w:val="00F85716"/>
    <w:rsid w:val="00F86A0B"/>
    <w:rsid w:val="00F86D14"/>
    <w:rsid w:val="00F90C74"/>
    <w:rsid w:val="00F91EC2"/>
    <w:rsid w:val="00F9272F"/>
    <w:rsid w:val="00F932C3"/>
    <w:rsid w:val="00F9356F"/>
    <w:rsid w:val="00FA0A90"/>
    <w:rsid w:val="00FA0F23"/>
    <w:rsid w:val="00FA16BC"/>
    <w:rsid w:val="00FA2C38"/>
    <w:rsid w:val="00FA5506"/>
    <w:rsid w:val="00FB0ADC"/>
    <w:rsid w:val="00FB1115"/>
    <w:rsid w:val="00FB1600"/>
    <w:rsid w:val="00FB220D"/>
    <w:rsid w:val="00FB2640"/>
    <w:rsid w:val="00FB3B24"/>
    <w:rsid w:val="00FB3C44"/>
    <w:rsid w:val="00FB4A72"/>
    <w:rsid w:val="00FB4C1B"/>
    <w:rsid w:val="00FB4FE0"/>
    <w:rsid w:val="00FB5BA5"/>
    <w:rsid w:val="00FB65B4"/>
    <w:rsid w:val="00FB70E5"/>
    <w:rsid w:val="00FB749C"/>
    <w:rsid w:val="00FB76D8"/>
    <w:rsid w:val="00FB793A"/>
    <w:rsid w:val="00FB7FFC"/>
    <w:rsid w:val="00FC1174"/>
    <w:rsid w:val="00FC2F24"/>
    <w:rsid w:val="00FC2F51"/>
    <w:rsid w:val="00FC455F"/>
    <w:rsid w:val="00FC53C5"/>
    <w:rsid w:val="00FC58AC"/>
    <w:rsid w:val="00FC715E"/>
    <w:rsid w:val="00FC7559"/>
    <w:rsid w:val="00FC7891"/>
    <w:rsid w:val="00FC7A01"/>
    <w:rsid w:val="00FC7BB5"/>
    <w:rsid w:val="00FD14B6"/>
    <w:rsid w:val="00FD1F22"/>
    <w:rsid w:val="00FD20BC"/>
    <w:rsid w:val="00FD262D"/>
    <w:rsid w:val="00FD2D8D"/>
    <w:rsid w:val="00FD40BF"/>
    <w:rsid w:val="00FD42D5"/>
    <w:rsid w:val="00FD4483"/>
    <w:rsid w:val="00FD44F2"/>
    <w:rsid w:val="00FD65BB"/>
    <w:rsid w:val="00FD6D18"/>
    <w:rsid w:val="00FD6E6D"/>
    <w:rsid w:val="00FD7CC8"/>
    <w:rsid w:val="00FE0733"/>
    <w:rsid w:val="00FE0B12"/>
    <w:rsid w:val="00FE1A73"/>
    <w:rsid w:val="00FE48D9"/>
    <w:rsid w:val="00FE681A"/>
    <w:rsid w:val="00FF13E8"/>
    <w:rsid w:val="00FF1656"/>
    <w:rsid w:val="00FF25D4"/>
    <w:rsid w:val="00FF4D13"/>
    <w:rsid w:val="00FF6A3D"/>
  </w:rsids>
  <w:docVars>
    <w:docVar w:name="Disclosure_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5079760D-A9C0-4147-994C-CD394A4A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CB"/>
    <w:pPr>
      <w:widowControl w:val="0"/>
      <w:jc w:val="both"/>
    </w:pPr>
  </w:style>
  <w:style w:type="paragraph" w:styleId="Heading1">
    <w:name w:val="heading 1"/>
    <w:basedOn w:val="Normal"/>
    <w:next w:val="Normal"/>
    <w:link w:val="1Char"/>
    <w:uiPriority w:val="9"/>
    <w:qFormat/>
    <w:rsid w:val="0006758E"/>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753"/>
    <w:pPr>
      <w:ind w:firstLine="420" w:firstLineChars="200"/>
    </w:pPr>
  </w:style>
  <w:style w:type="table" w:styleId="TableGrid">
    <w:name w:val="Table Grid"/>
    <w:basedOn w:val="TableNormal"/>
    <w:uiPriority w:val="59"/>
    <w:rsid w:val="00815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rsid w:val="009239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92395F"/>
    <w:rPr>
      <w:sz w:val="18"/>
      <w:szCs w:val="18"/>
    </w:rPr>
  </w:style>
  <w:style w:type="paragraph" w:styleId="Footer">
    <w:name w:val="footer"/>
    <w:basedOn w:val="Normal"/>
    <w:link w:val="Char0"/>
    <w:uiPriority w:val="99"/>
    <w:unhideWhenUsed/>
    <w:rsid w:val="0092395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92395F"/>
    <w:rPr>
      <w:sz w:val="18"/>
      <w:szCs w:val="18"/>
    </w:rPr>
  </w:style>
  <w:style w:type="paragraph" w:styleId="BalloonText">
    <w:name w:val="Balloon Text"/>
    <w:basedOn w:val="Normal"/>
    <w:link w:val="Char1"/>
    <w:uiPriority w:val="99"/>
    <w:semiHidden/>
    <w:unhideWhenUsed/>
    <w:rsid w:val="000676AA"/>
    <w:rPr>
      <w:sz w:val="18"/>
      <w:szCs w:val="18"/>
    </w:rPr>
  </w:style>
  <w:style w:type="character" w:customStyle="1" w:styleId="Char1">
    <w:name w:val="批注框文本 Char"/>
    <w:basedOn w:val="DefaultParagraphFont"/>
    <w:link w:val="BalloonText"/>
    <w:uiPriority w:val="99"/>
    <w:semiHidden/>
    <w:rsid w:val="000676AA"/>
    <w:rPr>
      <w:sz w:val="18"/>
      <w:szCs w:val="18"/>
    </w:rPr>
  </w:style>
  <w:style w:type="character" w:styleId="PlaceholderText">
    <w:name w:val="Placeholder Text"/>
    <w:basedOn w:val="DefaultParagraphFont"/>
    <w:uiPriority w:val="99"/>
    <w:semiHidden/>
    <w:rsid w:val="008B7E39"/>
    <w:rPr>
      <w:color w:val="808080"/>
    </w:rPr>
  </w:style>
  <w:style w:type="character" w:styleId="FootnoteReference">
    <w:name w:val="footnote reference"/>
    <w:unhideWhenUsed/>
    <w:qFormat/>
    <w:rsid w:val="00CC22C3"/>
    <w:rPr>
      <w:rFonts w:ascii="Times New Roman" w:eastAsia="宋体" w:hAnsi="Times New Roman" w:cs="Times New Roman"/>
      <w:vertAlign w:val="superscript"/>
    </w:rPr>
  </w:style>
  <w:style w:type="paragraph" w:styleId="FootnoteText">
    <w:name w:val="footnote text"/>
    <w:basedOn w:val="Normal"/>
    <w:link w:val="Char2"/>
    <w:unhideWhenUsed/>
    <w:qFormat/>
    <w:rsid w:val="00CC22C3"/>
    <w:pPr>
      <w:snapToGrid w:val="0"/>
      <w:jc w:val="left"/>
    </w:pPr>
    <w:rPr>
      <w:rFonts w:ascii="Calibri" w:eastAsia="宋体" w:hAnsi="Calibri" w:cs="Times New Roman"/>
      <w:sz w:val="18"/>
      <w:szCs w:val="24"/>
    </w:rPr>
  </w:style>
  <w:style w:type="character" w:customStyle="1" w:styleId="Char2">
    <w:name w:val="脚注文本 Char"/>
    <w:basedOn w:val="DefaultParagraphFont"/>
    <w:link w:val="FootnoteText"/>
    <w:qFormat/>
    <w:rsid w:val="00CC22C3"/>
    <w:rPr>
      <w:rFonts w:ascii="Calibri" w:eastAsia="宋体" w:hAnsi="Calibri" w:cs="Times New Roman"/>
      <w:sz w:val="18"/>
      <w:szCs w:val="24"/>
    </w:rPr>
  </w:style>
  <w:style w:type="character" w:customStyle="1" w:styleId="1Char">
    <w:name w:val="标题 1 Char"/>
    <w:basedOn w:val="DefaultParagraphFont"/>
    <w:link w:val="Heading1"/>
    <w:uiPriority w:val="9"/>
    <w:rsid w:val="0006758E"/>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609A5-E293-4580-88E3-C060E7273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