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广发中证800自由现金流交易型开放式指数证券投资基金发起式联接基金（广发中证800自由现金流ETF发起式联接C）基金产品资料概要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2025年12月30日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2025年12月31日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广发中证800自由现金流ETF发起式联接</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025680</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广发中证800自由现金流ETF发起式联接C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025681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中信银行股份有限公司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股票型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吕鑫</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2016-07-11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本基金基金合同生效满三年之日，若基金资产净值低于2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满三年后继续存续的，连续20个工作日出现基金份额持有人数量不满200人或者基金资产净值低于5000万元情形的，基金管理人应当在定期报告中予以披露；连续60个工作日出现上述情形的，基金管理人应当在10个工作日内向中国证监会报告并提出解决方案，解决方案包括持续运作、转换运作方式、与其他基金合并或者终止基金合同等，并在6个月内召集基金份额持有人大会。法律法规或中国证监会另有规定时，从其规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w:t>
            </w:r>
          </w:p>
        </w:tc>
      </w:tr>
    </w:tbl>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本基金通过主要投资于目标ETF，紧密跟踪业绩比较基准，追求跟踪偏离度和跟踪误差最小化。</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以目标ETF基金份额、标的指数成份股及备选成份股（含存托凭证）为主要投资对象。此外，为更好地实现投资目标，本基金可少量投资于非成份股（包括科创板、创业板及其他国内依法发行上市的股票、存托凭证）、债券、债券回购、资产支持证券、银行存款、同业存单、货币市场工具、金融衍生工具（包括股指期货、股票期权、国债期货等）以及法律法规或中国证监会允许本基金投资的其他金融工具（但须符合中国证监会的相关规定）。本基金的目标ETF为广发中证800自由现金流交易型开放式指数证券投资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本基金可根据相关法律法规的规定参与转融通证券出借及融资业务。</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如法律法规或监管机构以后允许基金投资于其他品种，基金管理人在履行适当程序后，可以将其纳入投资范围。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基金的投资组合比例为：投资于目标ETF的比例不低于基金资产净值的90%且不低于非现金基金资产的80%；每个交易日日终在扣除股指期货合约、股票期权合约、国债期货合约需缴纳的交易保证金后，现金及到期日在一年以内的政府债券的比例合计不低于基金资产净值的5%，现金不包括结算备付金、存出保证金、应收申购款等。股指期货、股票期权、国债期货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如法律法规或中国证监会变更投资品种的投资比例限制，基金管理人在履行适当程序后，可以做出相应调整。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ETF联接基金，主要通过投资于目标ETF实现对标的指数的紧密跟踪。本基金力争将本基金净值增长率与业绩比较基准之间的日均跟踪偏离度的绝对值控制在0.35%以内，年化跟踪误差控制在4%以内。具体包括：</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1、资产配置策略；2、目标ETF投资策略；3、股票投资策略；4、存托凭证投资策略；5、债券投资策略；6、金融衍生品投资策略；7、资产支持证券投资策略；8、参与转融通证券出借业务策略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中证800自由现金流指数收益率×95%+银行活期存款利率（税后）×5%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本基金为ETF联接基金，风险与收益高于混合型基金、债券型基金与货币市场基金。本基金为指数型基金，具有与标的指数、以及标的指数所代表的股票市场相似的风险收益特征。</w:t>
            </w:r>
          </w:p>
        </w:tc>
      </w:tr>
    </w:tbl>
    <w:p w:rsidR="00AD3A6F" w:rsidRPr="00E87B8A" w:rsidRDefault="00E71BEF">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注：详见《广发中证800自由现金流交易型开放式指数证券投资基金发起式联接基金招募说明书》及其更新文件中“基金的投资”。</w:t>
      </w:r>
    </w:p>
    <w:p w:rsidR="00AD3A6F" w:rsidRPr="00E87B8A" w:rsidRDefault="00E71BEF">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71BEF"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gbicc:emptyAbove="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71BEF">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0.50%</w:t>
            </w:r>
          </w:p>
        </w:tc>
        <w:tc>
          <w:tcPr>
            <w:tcW w:w="1457" w:type="pct"/>
            <w:tcBorders>
              <w:top w:val="dashSmallGap" w:sz="4" w:space="0" w:color="808080" w:themeColor="background1" w:themeShade="80"/>
            </w:tcBorders>
            <w:vAlign w:val="center"/>
          </w:tcPr>
          <w:p w:rsidR="000D2645" w:rsidRPr="00E87B8A" w:rsidRDefault="00E71BEF"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0.10%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r w:rsidRPr="00E87B8A">
              <w:rPr>
                <w:rFonts w:ascii="仿宋" w:eastAsia="仿宋" w:hAnsi="仿宋" w:cs="方正仿宋简体" w:hint="eastAsia"/>
                <w:iCs/>
              </w:rPr>
              <w:t/>
            </w:r>
            <w:r w:rsidRPr="00E87B8A">
              <w:rPr>
                <w:rFonts w:ascii="仿宋" w:eastAsia="仿宋" w:hAnsi="仿宋" w:cs="方正仿宋简体" w:hint="eastAsia"/>
                <w:iCs/>
              </w:rPr>
              <w:t/>
            </w:r>
            <w:r w:rsidRPr="00E87B8A">
              <w:rPr>
                <w:rFonts w:ascii="仿宋" w:eastAsia="仿宋" w:hAnsi="仿宋" w:cs="方正仿宋简体" w:hint="eastAsia"/>
                <w:iCs/>
              </w:rPr>
              <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0.30%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71BEF"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71BEF">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本基金交易证券、基金等产生的费用和税负，按实际发生额从基金资产扣除；</w:t>
        <w:br/>
        <w:t>本基金基金财产中投资于目标ETF的部分不收取管理费和托管费。</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（1）指数投资相关的风险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1）标的指数回报与目标股票市场平均回报偏离的风险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2）标的指数波动的风险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3）基金投资组合回报与标的指数回报偏离的风险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4）成份股权重较大的风险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5）成份股停牌的风险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6）指数成份股发生负面事件面临退市时的应对风险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7）指数编制机构停止服务的风险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8）标的指数值计算出错的风险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（2）ETF联接基金相关投资风险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1）投资于目标ETF的风险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2）跟踪误差控制未达约定目标的风险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3）本基金为目标ETF的联接基金，但不能保证本基金的表现与目标ETF的表现完全一致</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4）目标ETF面临的风险可能直接或间接成为本基金的风险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5）由目标ETF的联接基金变更为直接投资目标ETF标的指数成份股的指数基金的风险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（7）参与转融通证券出借业务风险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（8）参与融资业务相关风险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（9）投资股票期权的风险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（10）本基金基金合同生效满三年之日，若基金资产净值低于2亿元人民币，基金合同自动终止。投资者将面临触及上述事件导致基金合同终止的风险。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（1）《广发中证800自由现金流交易型开放式指数证券投资基金发起式联接基金基金合同》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（2）《广发中证800自由现金流交易型开放式指数证券投资基金发起式联接基金托管协议》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（3）《广发中证800自由现金流交易型开放式指数证券投资基金发起式联接基金招募说明书》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F" w:rsidRDefault="00E71BEF" w:rsidP="0092395F">
      <w:r>
        <w:separator/>
      </w:r>
    </w:p>
  </w:endnote>
  <w:endnote w:type="continuationSeparator" w:id="0">
    <w:p w:rsidR="00E71BEF" w:rsidRDefault="00E71BEF"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26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262">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F" w:rsidRDefault="00E71BEF" w:rsidP="0092395F">
      <w:r>
        <w:separator/>
      </w:r>
    </w:p>
  </w:footnote>
  <w:footnote w:type="continuationSeparator" w:id="0">
    <w:p w:rsidR="00E71BEF" w:rsidRDefault="00E71BEF"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988"/>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4A06648-8823-4AB8-A2C7-CD9D90AA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