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广发中证800自由现金流交易型开放式指数证券投资基金发起式联接基金（广发中证800自由现金流ETF发起式联接A）基金产品资料概要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2025年12月30日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2025年12月31日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广发中证800自由现金流ETF发起式联接</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025680</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广发中证800自由现金流ETF发起式联接A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025680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中信银行股份有限公司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股票型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吕鑫</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2016-07-11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法律法规或中国证监会另有规定时，从其规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tc>
      </w:tr>
    </w:tbl>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本基金通过主要投资于目标ETF，紧密跟踪业绩比较基准，追求跟踪偏离度和跟踪误差最小化。</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以目标ETF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ETF为广发中证800自由现金流交易型开放式指数证券投资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本基金可根据相关法律法规的规定参与转融通证券出借及融资业务。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如法律法规或监管机构以后允许基金投资于其他品种，基金管理人在履行适当程序后，可以将其纳入投资范围。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基金的投资组合比例为：投资于目标ETF的比例不低于基金资产净值的90%且不低于非现金基金资产的80%；每个交易日日终在扣除股指期货合约、股票期权合约、国债期货合约需缴纳的交易保证金后，现金及到期日在一年以内的政府债券的比例合计不低于基金资产净值的5%，现金不包括结算备付金、存出保证金、应收申购款等。股指期货、股票期权、国债期货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如法律法规或中国证监会变更投资品种的投资比例限制，基金管理人在履行适当程序后，可以做出相应调整。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ETF联接基金，主要通过投资于目标ETF实现对标的指数的紧密跟踪。本基金力争将本基金净值增长率与业绩比较基准之间的日均跟踪偏离度的绝对值控制在0.35%以内，年化跟踪误差控制在4%以内。具体包括：</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1、资产配置策略；2、目标ETF投资策略；3、股票投资策略；4、存托凭证投资策略；5、债券投资策略；6、金融衍生品投资策略；7、资产支持证券投资策略；8、参与转融通证券出借业务策略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中证800自由现金流指数收益率×95%+银行活期存款利率（税后）×5%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本基金为ETF联接基金，风险与收益高于混合型基金、债券型基金与货币市场基金。本基金为指数型基金，具有与标的指数、以及标的指数所代表的股票市场相似的风险收益特征。</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注：详见《广发中证800自由现金流交易型开放式指数证券投资基金发起式联接基金招募说明书》及其更新文件中“基金的投资”。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0.40%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1.20%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1、本基金的认/申购费用由认/申购人承担，可用于市场推广、销售、注册登记等各项费用，不列入基金资产。基金销售机构可以对销售费用实行一定的优惠，具体以实际收取为准。</w:t>
        <w:br/>
        <w:t>2、本基金对通过本公司直销中心认/申购A类基金份额的特定投资者与除此之外的其他普通投资者实施差别的认/申购费率，特定投资者范围及具体费率优惠详见基金管理人发布的相关公告。</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0.50%</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0.10%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本基金交易证券、基金等产生的费用和税负，按实际发生额从基金资产扣除；</w:t>
        <w:br/>
        <w:t>本基金基金财产中投资于目标ETF的部分不收取管理费和托管费。</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（1）指数投资相关的风险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1）标的指数回报与目标股票市场平均回报偏离的风险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2）标的指数波动的风险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3）基金投资组合回报与标的指数回报偏离的风险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4）成份股权重较大的风险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5）成份股停牌的风险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6）指数成份股发生负面事件面临退市时的应对风险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7）指数编制机构停止服务的风险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8）标的指数值计算出错的风险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（2）ETF联接基金相关投资风险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1）投资于目标ETF的风险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2）跟踪误差控制未达约定目标的风险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3）本基金为目标ETF的联接基金，但不能保证本基金的表现与目标ETF的表现完全一致</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4）目标ETF面临的风险可能直接或间接成为本基金的风险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5）由目标ETF的联接基金变更为直接投资目标ETF标的指数成份股的指数基金的风险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（7）参与转融通证券出借业务风险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（10）本基金基金合同生效满三年之日，若基金资产净值低于2亿元人民币，基金合同自动终止。投资者将面临触及上述事件导致基金合同终止的风险。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（1）《广发中证800自由现金流交易型开放式指数证券投资基金发起式联接基金基金合同》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（2）《广发中证800自由现金流交易型开放式指数证券投资基金发起式联接基金托管协议》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（3）《广发中证800自由现金流交易型开放式指数证券投资基金发起式联接基金招募说明书》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