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7CAB4" w14:textId="77777777" w:rsidR="005F1E3F" w:rsidRDefault="005F1E3F">
      <w:pPr>
        <w:spacing w:line="520" w:lineRule="exact"/>
        <w:rPr>
          <w:sz w:val="28"/>
          <w:szCs w:val="28"/>
          <w14:shadow w14:blurRad="50800" w14:dist="38100" w14:dir="2700000" w14:sx="100000" w14:sy="100000" w14:kx="0" w14:ky="0" w14:algn="tl">
            <w14:srgbClr w14:val="000000">
              <w14:alpha w14:val="60000"/>
            </w14:srgbClr>
          </w14:shadow>
        </w:rPr>
      </w:pPr>
    </w:p>
    <w:p w14:paraId="2578421F" w14:textId="77777777" w:rsidR="005F1E3F" w:rsidRDefault="006C56E6">
      <w:pPr>
        <w:spacing w:line="520" w:lineRule="exact"/>
        <w:jc w:val="center"/>
        <w:rPr>
          <w:sz w:val="28"/>
          <w:szCs w:val="28"/>
          <w14:shadow w14:blurRad="50800" w14:dist="38100" w14:dir="2700000" w14:sx="100000" w14:sy="100000" w14:kx="0" w14:ky="0" w14:algn="tl">
            <w14:srgbClr w14:val="000000">
              <w14:alpha w14:val="60000"/>
            </w14:srgbClr>
          </w14:shadow>
        </w:rPr>
      </w:pPr>
      <w:r>
        <w:rPr>
          <w:szCs w:val="28"/>
        </w:rPr>
        <w:t xml:space="preserve">                             </w:t>
      </w:r>
    </w:p>
    <w:p w14:paraId="118D53DD" w14:textId="77777777" w:rsidR="005F1E3F" w:rsidRDefault="005F1E3F">
      <w:pPr>
        <w:spacing w:line="520" w:lineRule="exact"/>
        <w:jc w:val="center"/>
        <w:rPr>
          <w:sz w:val="28"/>
          <w:szCs w:val="28"/>
          <w14:shadow w14:blurRad="50800" w14:dist="38100" w14:dir="2700000" w14:sx="100000" w14:sy="100000" w14:kx="0" w14:ky="0" w14:algn="tl">
            <w14:srgbClr w14:val="000000">
              <w14:alpha w14:val="60000"/>
            </w14:srgbClr>
          </w14:shadow>
        </w:rPr>
      </w:pPr>
    </w:p>
    <w:p w14:paraId="75D70C64" w14:textId="77777777" w:rsidR="005F1E3F" w:rsidRDefault="005F1E3F">
      <w:pPr>
        <w:spacing w:line="520" w:lineRule="exact"/>
        <w:jc w:val="center"/>
        <w:rPr>
          <w:sz w:val="28"/>
          <w:szCs w:val="28"/>
          <w14:shadow w14:blurRad="50800" w14:dist="38100" w14:dir="2700000" w14:sx="100000" w14:sy="100000" w14:kx="0" w14:ky="0" w14:algn="tl">
            <w14:srgbClr w14:val="000000">
              <w14:alpha w14:val="60000"/>
            </w14:srgbClr>
          </w14:shadow>
        </w:rPr>
      </w:pPr>
    </w:p>
    <w:p w14:paraId="560340A1" w14:textId="77777777" w:rsidR="005F1E3F" w:rsidRDefault="005F1E3F">
      <w:pPr>
        <w:spacing w:line="520" w:lineRule="exact"/>
        <w:jc w:val="center"/>
        <w:rPr>
          <w:sz w:val="28"/>
          <w:szCs w:val="28"/>
          <w14:shadow w14:blurRad="50800" w14:dist="38100" w14:dir="2700000" w14:sx="100000" w14:sy="100000" w14:kx="0" w14:ky="0" w14:algn="tl">
            <w14:srgbClr w14:val="000000">
              <w14:alpha w14:val="60000"/>
            </w14:srgbClr>
          </w14:shadow>
        </w:rPr>
      </w:pPr>
    </w:p>
    <w:p w14:paraId="55D33455" w14:textId="77777777" w:rsidR="005F1E3F" w:rsidRDefault="005F1E3F">
      <w:pPr>
        <w:spacing w:line="520" w:lineRule="exact"/>
        <w:jc w:val="center"/>
        <w:rPr>
          <w:sz w:val="28"/>
          <w:szCs w:val="28"/>
          <w14:shadow w14:blurRad="50800" w14:dist="38100" w14:dir="2700000" w14:sx="100000" w14:sy="100000" w14:kx="0" w14:ky="0" w14:algn="tl">
            <w14:srgbClr w14:val="000000">
              <w14:alpha w14:val="60000"/>
            </w14:srgbClr>
          </w14:shadow>
        </w:rPr>
      </w:pPr>
    </w:p>
    <w:p w14:paraId="3EF30697" w14:textId="0A681B7D" w:rsidR="005F1E3F" w:rsidRDefault="006C56E6">
      <w:pPr>
        <w:spacing w:line="360" w:lineRule="auto"/>
        <w:jc w:val="center"/>
        <w:rPr>
          <w:b/>
          <w:sz w:val="48"/>
        </w:rPr>
      </w:pPr>
      <w:r>
        <w:rPr>
          <w:b/>
          <w:sz w:val="48"/>
        </w:rPr>
        <w:t>广发中证</w:t>
      </w:r>
      <w:r>
        <w:rPr>
          <w:b/>
          <w:sz w:val="48"/>
        </w:rPr>
        <w:t>800</w:t>
      </w:r>
      <w:r>
        <w:rPr>
          <w:b/>
          <w:sz w:val="48"/>
        </w:rPr>
        <w:t>自由现金</w:t>
      </w:r>
      <w:proofErr w:type="gramStart"/>
      <w:r>
        <w:rPr>
          <w:b/>
          <w:sz w:val="48"/>
        </w:rPr>
        <w:t>流交易</w:t>
      </w:r>
      <w:proofErr w:type="gramEnd"/>
      <w:r>
        <w:rPr>
          <w:b/>
          <w:sz w:val="48"/>
        </w:rPr>
        <w:t>型开放式指数证券投资基金发起式联接基金</w:t>
      </w:r>
    </w:p>
    <w:p w14:paraId="0441EF06" w14:textId="0466CD34" w:rsidR="005F1E3F" w:rsidRDefault="006C56E6">
      <w:pPr>
        <w:spacing w:line="360" w:lineRule="auto"/>
        <w:jc w:val="center"/>
        <w:rPr>
          <w:b/>
          <w:sz w:val="48"/>
        </w:rPr>
      </w:pPr>
      <w:r>
        <w:rPr>
          <w:b/>
          <w:sz w:val="48"/>
        </w:rPr>
        <w:t>托管协议</w:t>
      </w:r>
    </w:p>
    <w:p w14:paraId="707B6BC1" w14:textId="77777777" w:rsidR="005F1E3F" w:rsidRDefault="005F1E3F">
      <w:pPr>
        <w:pStyle w:val="20"/>
        <w:spacing w:line="520" w:lineRule="exact"/>
        <w:ind w:left="0"/>
        <w:rPr>
          <w:rFonts w:ascii="Times New Roman"/>
          <w:sz w:val="44"/>
          <w:szCs w:val="44"/>
        </w:rPr>
      </w:pPr>
    </w:p>
    <w:p w14:paraId="49E1BC41" w14:textId="77777777" w:rsidR="005F1E3F" w:rsidRDefault="005F1E3F">
      <w:pPr>
        <w:pStyle w:val="20"/>
        <w:spacing w:line="520" w:lineRule="exact"/>
        <w:ind w:firstLine="560"/>
        <w:rPr>
          <w:rFonts w:ascii="Times New Roman"/>
          <w:sz w:val="28"/>
          <w:szCs w:val="28"/>
        </w:rPr>
      </w:pPr>
    </w:p>
    <w:p w14:paraId="73FFEE3D" w14:textId="77777777" w:rsidR="005F1E3F" w:rsidRDefault="005F1E3F">
      <w:pPr>
        <w:pStyle w:val="20"/>
        <w:spacing w:line="520" w:lineRule="exact"/>
        <w:ind w:firstLine="560"/>
        <w:rPr>
          <w:rFonts w:ascii="Times New Roman"/>
          <w:sz w:val="28"/>
          <w:szCs w:val="28"/>
        </w:rPr>
      </w:pPr>
    </w:p>
    <w:p w14:paraId="3C639831" w14:textId="77777777" w:rsidR="005F1E3F" w:rsidRDefault="005F1E3F">
      <w:pPr>
        <w:pStyle w:val="20"/>
        <w:spacing w:line="520" w:lineRule="exact"/>
        <w:ind w:firstLine="560"/>
        <w:rPr>
          <w:rFonts w:ascii="Times New Roman"/>
          <w:sz w:val="28"/>
          <w:szCs w:val="28"/>
        </w:rPr>
      </w:pPr>
    </w:p>
    <w:p w14:paraId="53D2575B" w14:textId="77777777" w:rsidR="005F1E3F" w:rsidRDefault="005F1E3F">
      <w:pPr>
        <w:pStyle w:val="20"/>
        <w:spacing w:line="520" w:lineRule="exact"/>
        <w:ind w:firstLine="560"/>
        <w:rPr>
          <w:rFonts w:ascii="Times New Roman"/>
          <w:sz w:val="28"/>
          <w:szCs w:val="28"/>
        </w:rPr>
      </w:pPr>
    </w:p>
    <w:p w14:paraId="476E29CE" w14:textId="77777777" w:rsidR="005F1E3F" w:rsidRDefault="006C56E6">
      <w:pPr>
        <w:spacing w:line="360" w:lineRule="auto"/>
        <w:jc w:val="center"/>
        <w:rPr>
          <w:b/>
          <w:sz w:val="36"/>
        </w:rPr>
      </w:pPr>
      <w:bookmarkStart w:id="0" w:name="_Toc139991726"/>
      <w:bookmarkStart w:id="1" w:name="_Toc123112263"/>
      <w:bookmarkStart w:id="2" w:name="_Toc123112224"/>
      <w:bookmarkStart w:id="3" w:name="_Toc139992301"/>
      <w:bookmarkStart w:id="4" w:name="_Toc123701383"/>
      <w:r>
        <w:rPr>
          <w:b/>
          <w:sz w:val="36"/>
        </w:rPr>
        <w:t>基金管理人：</w:t>
      </w:r>
      <w:bookmarkEnd w:id="0"/>
      <w:bookmarkEnd w:id="1"/>
      <w:bookmarkEnd w:id="2"/>
      <w:bookmarkEnd w:id="3"/>
      <w:bookmarkEnd w:id="4"/>
      <w:r>
        <w:rPr>
          <w:b/>
          <w:sz w:val="36"/>
        </w:rPr>
        <w:t>广发基金管理有限公司</w:t>
      </w:r>
    </w:p>
    <w:p w14:paraId="6846A551" w14:textId="77777777" w:rsidR="005F1E3F" w:rsidRDefault="006C56E6">
      <w:pPr>
        <w:spacing w:line="360" w:lineRule="auto"/>
        <w:jc w:val="center"/>
        <w:rPr>
          <w:b/>
          <w:sz w:val="36"/>
        </w:rPr>
      </w:pPr>
      <w:bookmarkStart w:id="5" w:name="_Toc123701384"/>
      <w:bookmarkStart w:id="6" w:name="_Toc123112225"/>
      <w:bookmarkStart w:id="7" w:name="_Toc139992302"/>
      <w:bookmarkStart w:id="8" w:name="_Toc139991727"/>
      <w:bookmarkStart w:id="9" w:name="_Toc123112264"/>
      <w:r>
        <w:rPr>
          <w:b/>
          <w:sz w:val="36"/>
        </w:rPr>
        <w:t>基金托管人：中信银行股份有限公司</w:t>
      </w:r>
      <w:bookmarkEnd w:id="5"/>
      <w:bookmarkEnd w:id="6"/>
      <w:bookmarkEnd w:id="7"/>
      <w:bookmarkEnd w:id="8"/>
      <w:bookmarkEnd w:id="9"/>
    </w:p>
    <w:p w14:paraId="7940FA53" w14:textId="77777777" w:rsidR="005F1E3F" w:rsidRDefault="005F1E3F">
      <w:pPr>
        <w:spacing w:line="360" w:lineRule="auto"/>
        <w:jc w:val="center"/>
        <w:rPr>
          <w:b/>
          <w:sz w:val="44"/>
          <w:szCs w:val="44"/>
        </w:rPr>
      </w:pPr>
    </w:p>
    <w:p w14:paraId="4CD0438E" w14:textId="77777777" w:rsidR="005F1E3F" w:rsidRDefault="005F1E3F">
      <w:pPr>
        <w:spacing w:line="360" w:lineRule="auto"/>
        <w:rPr>
          <w:b/>
          <w:szCs w:val="28"/>
        </w:rPr>
      </w:pPr>
    </w:p>
    <w:p w14:paraId="6CBC6CBC" w14:textId="77777777" w:rsidR="005F1E3F" w:rsidRDefault="005F1E3F">
      <w:pPr>
        <w:spacing w:line="360" w:lineRule="auto"/>
        <w:ind w:firstLineChars="200" w:firstLine="562"/>
        <w:jc w:val="center"/>
        <w:rPr>
          <w:b/>
          <w:bCs/>
          <w:sz w:val="28"/>
          <w:szCs w:val="28"/>
        </w:rPr>
      </w:pPr>
    </w:p>
    <w:p w14:paraId="13A45373" w14:textId="77777777" w:rsidR="005F1E3F" w:rsidRPr="00D2622F" w:rsidRDefault="005F1E3F">
      <w:pPr>
        <w:spacing w:line="360" w:lineRule="auto"/>
        <w:ind w:firstLineChars="200" w:firstLine="562"/>
        <w:jc w:val="center"/>
        <w:rPr>
          <w:b/>
          <w:bCs/>
          <w:sz w:val="28"/>
          <w:szCs w:val="28"/>
        </w:rPr>
      </w:pPr>
    </w:p>
    <w:p w14:paraId="22220CAA" w14:textId="77777777" w:rsidR="005F1E3F" w:rsidRDefault="005F1E3F">
      <w:pPr>
        <w:spacing w:line="360" w:lineRule="auto"/>
        <w:rPr>
          <w:b/>
          <w:bCs/>
          <w:sz w:val="28"/>
          <w:szCs w:val="28"/>
        </w:rPr>
      </w:pPr>
    </w:p>
    <w:p w14:paraId="0F4C9DD8" w14:textId="77777777" w:rsidR="005F1E3F" w:rsidRDefault="006C56E6">
      <w:pPr>
        <w:spacing w:line="360" w:lineRule="auto"/>
        <w:ind w:firstLineChars="200" w:firstLine="562"/>
        <w:jc w:val="center"/>
        <w:rPr>
          <w:b/>
          <w:bCs/>
          <w:sz w:val="28"/>
          <w:szCs w:val="28"/>
        </w:rPr>
      </w:pPr>
      <w:r>
        <w:rPr>
          <w:b/>
          <w:bCs/>
          <w:sz w:val="28"/>
          <w:szCs w:val="28"/>
        </w:rPr>
        <w:br w:type="page"/>
      </w:r>
      <w:r>
        <w:rPr>
          <w:b/>
          <w:bCs/>
          <w:sz w:val="28"/>
          <w:szCs w:val="28"/>
        </w:rPr>
        <w:lastRenderedPageBreak/>
        <w:t>目录</w:t>
      </w:r>
    </w:p>
    <w:p w14:paraId="095010E8" w14:textId="77777777" w:rsidR="005F1E3F" w:rsidRDefault="005F1E3F">
      <w:pPr>
        <w:spacing w:line="360" w:lineRule="auto"/>
        <w:ind w:firstLineChars="200" w:firstLine="562"/>
        <w:jc w:val="center"/>
        <w:rPr>
          <w:b/>
          <w:bCs/>
          <w:sz w:val="28"/>
          <w:szCs w:val="28"/>
        </w:rPr>
      </w:pPr>
    </w:p>
    <w:p w14:paraId="5CFCE9B8" w14:textId="65FEDD43" w:rsidR="005F1E3F" w:rsidRDefault="006C56E6">
      <w:pPr>
        <w:pStyle w:val="12"/>
        <w:rPr>
          <w:rFonts w:ascii="Times New Roman" w:hAnsi="Times New Roman"/>
          <w:noProof/>
          <w:sz w:val="21"/>
          <w:szCs w:val="22"/>
        </w:rPr>
      </w:pPr>
      <w:r>
        <w:rPr>
          <w:rFonts w:ascii="Times New Roman" w:hAnsi="Times New Roman"/>
          <w:b/>
          <w:sz w:val="28"/>
          <w:szCs w:val="28"/>
        </w:rPr>
        <w:fldChar w:fldCharType="begin"/>
      </w:r>
      <w:r>
        <w:rPr>
          <w:rFonts w:ascii="Times New Roman" w:hAnsi="Times New Roman"/>
          <w:b/>
          <w:sz w:val="28"/>
          <w:szCs w:val="28"/>
        </w:rPr>
        <w:instrText xml:space="preserve"> TOC \o "1-1" \h \z \u </w:instrText>
      </w:r>
      <w:r>
        <w:rPr>
          <w:rFonts w:ascii="Times New Roman" w:hAnsi="Times New Roman"/>
          <w:b/>
          <w:sz w:val="28"/>
          <w:szCs w:val="28"/>
        </w:rPr>
        <w:fldChar w:fldCharType="separate"/>
      </w:r>
      <w:hyperlink w:anchor="_Toc26170396" w:history="1">
        <w:r>
          <w:rPr>
            <w:rStyle w:val="af5"/>
            <w:rFonts w:ascii="Times New Roman" w:hAnsi="Times New Roman"/>
            <w:bCs/>
            <w:noProof/>
          </w:rPr>
          <w:t>第一条</w:t>
        </w:r>
        <w:r>
          <w:rPr>
            <w:rStyle w:val="af5"/>
            <w:rFonts w:ascii="Times New Roman" w:hAnsi="Times New Roman"/>
            <w:bCs/>
            <w:noProof/>
          </w:rPr>
          <w:t xml:space="preserve"> </w:t>
        </w:r>
        <w:r>
          <w:rPr>
            <w:rStyle w:val="af5"/>
            <w:rFonts w:ascii="Times New Roman" w:hAnsi="Times New Roman"/>
            <w:bCs/>
            <w:noProof/>
          </w:rPr>
          <w:t>基金托管协议当事人</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_Toc26170396 \h </w:instrText>
        </w:r>
        <w:r>
          <w:rPr>
            <w:rFonts w:ascii="Times New Roman" w:hAnsi="Times New Roman"/>
            <w:noProof/>
          </w:rPr>
        </w:r>
        <w:r>
          <w:rPr>
            <w:rFonts w:ascii="Times New Roman" w:hAnsi="Times New Roman"/>
            <w:noProof/>
          </w:rPr>
          <w:fldChar w:fldCharType="separate"/>
        </w:r>
        <w:r w:rsidR="00753A3A">
          <w:rPr>
            <w:rFonts w:ascii="Times New Roman" w:hAnsi="Times New Roman"/>
            <w:noProof/>
          </w:rPr>
          <w:t>3</w:t>
        </w:r>
        <w:r>
          <w:rPr>
            <w:rFonts w:ascii="Times New Roman" w:hAnsi="Times New Roman"/>
            <w:noProof/>
          </w:rPr>
          <w:fldChar w:fldCharType="end"/>
        </w:r>
      </w:hyperlink>
    </w:p>
    <w:p w14:paraId="6D9F102F" w14:textId="7E2CD994" w:rsidR="005F1E3F" w:rsidRDefault="00FF3764">
      <w:pPr>
        <w:pStyle w:val="12"/>
        <w:rPr>
          <w:rFonts w:ascii="Times New Roman" w:hAnsi="Times New Roman"/>
          <w:noProof/>
          <w:sz w:val="21"/>
          <w:szCs w:val="22"/>
        </w:rPr>
      </w:pPr>
      <w:hyperlink w:anchor="_Toc26170397" w:history="1">
        <w:r w:rsidR="006C56E6">
          <w:rPr>
            <w:rStyle w:val="af5"/>
            <w:rFonts w:ascii="Times New Roman" w:hAnsi="Times New Roman"/>
            <w:bCs/>
            <w:noProof/>
          </w:rPr>
          <w:t>第二条</w:t>
        </w:r>
        <w:r w:rsidR="006C56E6">
          <w:rPr>
            <w:rStyle w:val="af5"/>
            <w:rFonts w:ascii="Times New Roman" w:hAnsi="Times New Roman"/>
            <w:bCs/>
            <w:noProof/>
          </w:rPr>
          <w:t xml:space="preserve"> </w:t>
        </w:r>
        <w:r w:rsidR="006C56E6">
          <w:rPr>
            <w:rStyle w:val="af5"/>
            <w:rFonts w:ascii="Times New Roman" w:hAnsi="Times New Roman"/>
            <w:bCs/>
            <w:noProof/>
          </w:rPr>
          <w:t>基金托管协议的依据、目的和原则</w:t>
        </w:r>
        <w:r w:rsidR="006C56E6">
          <w:rPr>
            <w:rFonts w:ascii="Times New Roman" w:hAnsi="Times New Roman"/>
            <w:noProof/>
          </w:rPr>
          <w:tab/>
        </w:r>
        <w:r w:rsidR="006C56E6">
          <w:rPr>
            <w:rFonts w:ascii="Times New Roman" w:hAnsi="Times New Roman"/>
            <w:noProof/>
          </w:rPr>
          <w:fldChar w:fldCharType="begin"/>
        </w:r>
        <w:r w:rsidR="006C56E6">
          <w:rPr>
            <w:rFonts w:ascii="Times New Roman" w:hAnsi="Times New Roman"/>
            <w:noProof/>
          </w:rPr>
          <w:instrText xml:space="preserve"> PAGEREF _Toc26170397 \h </w:instrText>
        </w:r>
        <w:r w:rsidR="006C56E6">
          <w:rPr>
            <w:rFonts w:ascii="Times New Roman" w:hAnsi="Times New Roman"/>
            <w:noProof/>
          </w:rPr>
        </w:r>
        <w:r w:rsidR="006C56E6">
          <w:rPr>
            <w:rFonts w:ascii="Times New Roman" w:hAnsi="Times New Roman"/>
            <w:noProof/>
          </w:rPr>
          <w:fldChar w:fldCharType="separate"/>
        </w:r>
        <w:r w:rsidR="00753A3A">
          <w:rPr>
            <w:rFonts w:ascii="Times New Roman" w:hAnsi="Times New Roman"/>
            <w:noProof/>
          </w:rPr>
          <w:t>4</w:t>
        </w:r>
        <w:r w:rsidR="006C56E6">
          <w:rPr>
            <w:rFonts w:ascii="Times New Roman" w:hAnsi="Times New Roman"/>
            <w:noProof/>
          </w:rPr>
          <w:fldChar w:fldCharType="end"/>
        </w:r>
      </w:hyperlink>
    </w:p>
    <w:p w14:paraId="0A3CBAD6" w14:textId="45D321AA" w:rsidR="005F1E3F" w:rsidRDefault="00FF3764">
      <w:pPr>
        <w:pStyle w:val="12"/>
        <w:rPr>
          <w:rFonts w:ascii="Times New Roman" w:hAnsi="Times New Roman"/>
          <w:noProof/>
          <w:sz w:val="21"/>
          <w:szCs w:val="22"/>
        </w:rPr>
      </w:pPr>
      <w:hyperlink w:anchor="_Toc26170398" w:history="1">
        <w:r w:rsidR="006C56E6">
          <w:rPr>
            <w:rStyle w:val="af5"/>
            <w:rFonts w:ascii="Times New Roman" w:hAnsi="Times New Roman"/>
            <w:bCs/>
            <w:noProof/>
          </w:rPr>
          <w:t>第三条</w:t>
        </w:r>
        <w:r w:rsidR="006C56E6">
          <w:rPr>
            <w:rStyle w:val="af5"/>
            <w:rFonts w:ascii="Times New Roman" w:hAnsi="Times New Roman"/>
            <w:bCs/>
            <w:noProof/>
          </w:rPr>
          <w:t xml:space="preserve"> </w:t>
        </w:r>
        <w:r w:rsidR="006C56E6">
          <w:rPr>
            <w:rStyle w:val="af5"/>
            <w:rFonts w:ascii="Times New Roman" w:hAnsi="Times New Roman"/>
            <w:bCs/>
            <w:noProof/>
          </w:rPr>
          <w:t>基金托管人对基金管理人的业务监督和核查</w:t>
        </w:r>
        <w:r w:rsidR="006C56E6">
          <w:rPr>
            <w:rFonts w:ascii="Times New Roman" w:hAnsi="Times New Roman"/>
            <w:noProof/>
          </w:rPr>
          <w:tab/>
        </w:r>
        <w:r w:rsidR="006C56E6">
          <w:rPr>
            <w:rFonts w:ascii="Times New Roman" w:hAnsi="Times New Roman"/>
            <w:noProof/>
          </w:rPr>
          <w:fldChar w:fldCharType="begin"/>
        </w:r>
        <w:r w:rsidR="006C56E6">
          <w:rPr>
            <w:rFonts w:ascii="Times New Roman" w:hAnsi="Times New Roman"/>
            <w:noProof/>
          </w:rPr>
          <w:instrText xml:space="preserve"> PAGEREF _Toc26170398 \h </w:instrText>
        </w:r>
        <w:r w:rsidR="006C56E6">
          <w:rPr>
            <w:rFonts w:ascii="Times New Roman" w:hAnsi="Times New Roman"/>
            <w:noProof/>
          </w:rPr>
        </w:r>
        <w:r w:rsidR="006C56E6">
          <w:rPr>
            <w:rFonts w:ascii="Times New Roman" w:hAnsi="Times New Roman"/>
            <w:noProof/>
          </w:rPr>
          <w:fldChar w:fldCharType="separate"/>
        </w:r>
        <w:r w:rsidR="00753A3A">
          <w:rPr>
            <w:rFonts w:ascii="Times New Roman" w:hAnsi="Times New Roman"/>
            <w:noProof/>
          </w:rPr>
          <w:t>4</w:t>
        </w:r>
        <w:r w:rsidR="006C56E6">
          <w:rPr>
            <w:rFonts w:ascii="Times New Roman" w:hAnsi="Times New Roman"/>
            <w:noProof/>
          </w:rPr>
          <w:fldChar w:fldCharType="end"/>
        </w:r>
      </w:hyperlink>
    </w:p>
    <w:p w14:paraId="56D85C9D" w14:textId="7BE253F6" w:rsidR="005F1E3F" w:rsidRDefault="00FF3764">
      <w:pPr>
        <w:pStyle w:val="12"/>
        <w:rPr>
          <w:rFonts w:ascii="Times New Roman" w:hAnsi="Times New Roman"/>
          <w:noProof/>
          <w:sz w:val="21"/>
          <w:szCs w:val="22"/>
        </w:rPr>
      </w:pPr>
      <w:hyperlink w:anchor="_Toc26170399" w:history="1">
        <w:r w:rsidR="006C56E6">
          <w:rPr>
            <w:rStyle w:val="af5"/>
            <w:rFonts w:ascii="Times New Roman" w:hAnsi="Times New Roman"/>
            <w:bCs/>
            <w:noProof/>
          </w:rPr>
          <w:t>第四条</w:t>
        </w:r>
        <w:r w:rsidR="006C56E6">
          <w:rPr>
            <w:rStyle w:val="af5"/>
            <w:rFonts w:ascii="Times New Roman" w:hAnsi="Times New Roman"/>
            <w:bCs/>
            <w:noProof/>
          </w:rPr>
          <w:t xml:space="preserve"> </w:t>
        </w:r>
        <w:r w:rsidR="006C56E6">
          <w:rPr>
            <w:rStyle w:val="af5"/>
            <w:rFonts w:ascii="Times New Roman" w:hAnsi="Times New Roman"/>
            <w:bCs/>
            <w:noProof/>
          </w:rPr>
          <w:t>基金管理人对基金托管人的业务核查</w:t>
        </w:r>
        <w:r w:rsidR="006C56E6">
          <w:rPr>
            <w:rFonts w:ascii="Times New Roman" w:hAnsi="Times New Roman"/>
            <w:noProof/>
          </w:rPr>
          <w:tab/>
        </w:r>
        <w:r w:rsidR="006C56E6">
          <w:rPr>
            <w:rFonts w:ascii="Times New Roman" w:hAnsi="Times New Roman"/>
            <w:noProof/>
          </w:rPr>
          <w:fldChar w:fldCharType="begin"/>
        </w:r>
        <w:r w:rsidR="006C56E6">
          <w:rPr>
            <w:rFonts w:ascii="Times New Roman" w:hAnsi="Times New Roman"/>
            <w:noProof/>
          </w:rPr>
          <w:instrText xml:space="preserve"> PAGEREF _Toc26170399 \h </w:instrText>
        </w:r>
        <w:r w:rsidR="006C56E6">
          <w:rPr>
            <w:rFonts w:ascii="Times New Roman" w:hAnsi="Times New Roman"/>
            <w:noProof/>
          </w:rPr>
        </w:r>
        <w:r w:rsidR="006C56E6">
          <w:rPr>
            <w:rFonts w:ascii="Times New Roman" w:hAnsi="Times New Roman"/>
            <w:noProof/>
          </w:rPr>
          <w:fldChar w:fldCharType="separate"/>
        </w:r>
        <w:r w:rsidR="00753A3A">
          <w:rPr>
            <w:rFonts w:ascii="Times New Roman" w:hAnsi="Times New Roman"/>
            <w:noProof/>
          </w:rPr>
          <w:t>14</w:t>
        </w:r>
        <w:r w:rsidR="006C56E6">
          <w:rPr>
            <w:rFonts w:ascii="Times New Roman" w:hAnsi="Times New Roman"/>
            <w:noProof/>
          </w:rPr>
          <w:fldChar w:fldCharType="end"/>
        </w:r>
      </w:hyperlink>
    </w:p>
    <w:p w14:paraId="4565C7B4" w14:textId="2DE27160" w:rsidR="005F1E3F" w:rsidRDefault="00FF3764">
      <w:pPr>
        <w:pStyle w:val="12"/>
        <w:rPr>
          <w:rFonts w:ascii="Times New Roman" w:hAnsi="Times New Roman"/>
          <w:noProof/>
          <w:sz w:val="21"/>
          <w:szCs w:val="22"/>
        </w:rPr>
      </w:pPr>
      <w:hyperlink w:anchor="_Toc26170400" w:history="1">
        <w:r w:rsidR="006C56E6">
          <w:rPr>
            <w:rStyle w:val="af5"/>
            <w:rFonts w:ascii="Times New Roman" w:hAnsi="Times New Roman"/>
            <w:bCs/>
            <w:noProof/>
          </w:rPr>
          <w:t>第五条</w:t>
        </w:r>
        <w:r w:rsidR="006C56E6">
          <w:rPr>
            <w:rStyle w:val="af5"/>
            <w:rFonts w:ascii="Times New Roman" w:hAnsi="Times New Roman"/>
            <w:bCs/>
            <w:noProof/>
          </w:rPr>
          <w:t xml:space="preserve"> </w:t>
        </w:r>
        <w:r w:rsidR="006C56E6">
          <w:rPr>
            <w:rStyle w:val="af5"/>
            <w:rFonts w:ascii="Times New Roman" w:hAnsi="Times New Roman"/>
            <w:bCs/>
            <w:noProof/>
          </w:rPr>
          <w:t>基金财产保管</w:t>
        </w:r>
        <w:r w:rsidR="006C56E6">
          <w:rPr>
            <w:rFonts w:ascii="Times New Roman" w:hAnsi="Times New Roman"/>
            <w:noProof/>
          </w:rPr>
          <w:tab/>
        </w:r>
        <w:r w:rsidR="006C56E6">
          <w:rPr>
            <w:rFonts w:ascii="Times New Roman" w:hAnsi="Times New Roman"/>
            <w:noProof/>
          </w:rPr>
          <w:fldChar w:fldCharType="begin"/>
        </w:r>
        <w:r w:rsidR="006C56E6">
          <w:rPr>
            <w:rFonts w:ascii="Times New Roman" w:hAnsi="Times New Roman"/>
            <w:noProof/>
          </w:rPr>
          <w:instrText xml:space="preserve"> PAGEREF _Toc26170400 \h </w:instrText>
        </w:r>
        <w:r w:rsidR="006C56E6">
          <w:rPr>
            <w:rFonts w:ascii="Times New Roman" w:hAnsi="Times New Roman"/>
            <w:noProof/>
          </w:rPr>
        </w:r>
        <w:r w:rsidR="006C56E6">
          <w:rPr>
            <w:rFonts w:ascii="Times New Roman" w:hAnsi="Times New Roman"/>
            <w:noProof/>
          </w:rPr>
          <w:fldChar w:fldCharType="separate"/>
        </w:r>
        <w:r w:rsidR="00753A3A">
          <w:rPr>
            <w:rFonts w:ascii="Times New Roman" w:hAnsi="Times New Roman"/>
            <w:noProof/>
          </w:rPr>
          <w:t>15</w:t>
        </w:r>
        <w:r w:rsidR="006C56E6">
          <w:rPr>
            <w:rFonts w:ascii="Times New Roman" w:hAnsi="Times New Roman"/>
            <w:noProof/>
          </w:rPr>
          <w:fldChar w:fldCharType="end"/>
        </w:r>
      </w:hyperlink>
    </w:p>
    <w:p w14:paraId="6CAB27F8" w14:textId="7DF113E8" w:rsidR="005F1E3F" w:rsidRDefault="00FF3764">
      <w:pPr>
        <w:pStyle w:val="12"/>
        <w:rPr>
          <w:rFonts w:ascii="Times New Roman" w:hAnsi="Times New Roman"/>
          <w:noProof/>
          <w:sz w:val="21"/>
          <w:szCs w:val="22"/>
        </w:rPr>
      </w:pPr>
      <w:hyperlink w:anchor="_Toc26170401" w:history="1">
        <w:r w:rsidR="006C56E6">
          <w:rPr>
            <w:rStyle w:val="af5"/>
            <w:rFonts w:ascii="Times New Roman" w:hAnsi="Times New Roman"/>
            <w:bCs/>
            <w:noProof/>
          </w:rPr>
          <w:t>第六条</w:t>
        </w:r>
        <w:r w:rsidR="006C56E6">
          <w:rPr>
            <w:rStyle w:val="af5"/>
            <w:rFonts w:ascii="Times New Roman" w:hAnsi="Times New Roman"/>
            <w:bCs/>
            <w:noProof/>
          </w:rPr>
          <w:t xml:space="preserve"> </w:t>
        </w:r>
        <w:r w:rsidR="006C56E6">
          <w:rPr>
            <w:rStyle w:val="af5"/>
            <w:rFonts w:ascii="Times New Roman" w:hAnsi="Times New Roman"/>
            <w:bCs/>
            <w:noProof/>
          </w:rPr>
          <w:t>指令的发送、确认和执行</w:t>
        </w:r>
        <w:r w:rsidR="006C56E6">
          <w:rPr>
            <w:rFonts w:ascii="Times New Roman" w:hAnsi="Times New Roman"/>
            <w:noProof/>
          </w:rPr>
          <w:tab/>
        </w:r>
        <w:r w:rsidR="006C56E6">
          <w:rPr>
            <w:rFonts w:ascii="Times New Roman" w:hAnsi="Times New Roman"/>
            <w:noProof/>
          </w:rPr>
          <w:fldChar w:fldCharType="begin"/>
        </w:r>
        <w:r w:rsidR="006C56E6">
          <w:rPr>
            <w:rFonts w:ascii="Times New Roman" w:hAnsi="Times New Roman"/>
            <w:noProof/>
          </w:rPr>
          <w:instrText xml:space="preserve"> PAGEREF _Toc26170401 \h </w:instrText>
        </w:r>
        <w:r w:rsidR="006C56E6">
          <w:rPr>
            <w:rFonts w:ascii="Times New Roman" w:hAnsi="Times New Roman"/>
            <w:noProof/>
          </w:rPr>
        </w:r>
        <w:r w:rsidR="006C56E6">
          <w:rPr>
            <w:rFonts w:ascii="Times New Roman" w:hAnsi="Times New Roman"/>
            <w:noProof/>
          </w:rPr>
          <w:fldChar w:fldCharType="separate"/>
        </w:r>
        <w:r w:rsidR="00753A3A">
          <w:rPr>
            <w:rFonts w:ascii="Times New Roman" w:hAnsi="Times New Roman"/>
            <w:noProof/>
          </w:rPr>
          <w:t>18</w:t>
        </w:r>
        <w:r w:rsidR="006C56E6">
          <w:rPr>
            <w:rFonts w:ascii="Times New Roman" w:hAnsi="Times New Roman"/>
            <w:noProof/>
          </w:rPr>
          <w:fldChar w:fldCharType="end"/>
        </w:r>
      </w:hyperlink>
    </w:p>
    <w:p w14:paraId="7D293E4A" w14:textId="19EC87BC" w:rsidR="005F1E3F" w:rsidRDefault="00FF3764">
      <w:pPr>
        <w:pStyle w:val="12"/>
        <w:rPr>
          <w:rFonts w:ascii="Times New Roman" w:hAnsi="Times New Roman"/>
          <w:noProof/>
          <w:sz w:val="21"/>
          <w:szCs w:val="22"/>
        </w:rPr>
      </w:pPr>
      <w:hyperlink w:anchor="_Toc26170402" w:history="1">
        <w:r w:rsidR="006C56E6">
          <w:rPr>
            <w:rStyle w:val="af5"/>
            <w:rFonts w:ascii="Times New Roman" w:hAnsi="Times New Roman"/>
            <w:bCs/>
            <w:noProof/>
          </w:rPr>
          <w:t>第七条</w:t>
        </w:r>
        <w:r w:rsidR="006C56E6">
          <w:rPr>
            <w:rStyle w:val="af5"/>
            <w:rFonts w:ascii="Times New Roman" w:hAnsi="Times New Roman"/>
            <w:bCs/>
            <w:noProof/>
          </w:rPr>
          <w:t xml:space="preserve"> </w:t>
        </w:r>
        <w:r w:rsidR="006C56E6">
          <w:rPr>
            <w:rStyle w:val="af5"/>
            <w:rFonts w:ascii="Times New Roman" w:hAnsi="Times New Roman"/>
            <w:bCs/>
            <w:noProof/>
          </w:rPr>
          <w:t>交易及清算交收安排</w:t>
        </w:r>
        <w:r w:rsidR="006C56E6">
          <w:rPr>
            <w:rFonts w:ascii="Times New Roman" w:hAnsi="Times New Roman"/>
            <w:noProof/>
          </w:rPr>
          <w:tab/>
        </w:r>
        <w:r w:rsidR="006C56E6">
          <w:rPr>
            <w:rFonts w:ascii="Times New Roman" w:hAnsi="Times New Roman"/>
            <w:noProof/>
          </w:rPr>
          <w:fldChar w:fldCharType="begin"/>
        </w:r>
        <w:r w:rsidR="006C56E6">
          <w:rPr>
            <w:rFonts w:ascii="Times New Roman" w:hAnsi="Times New Roman"/>
            <w:noProof/>
          </w:rPr>
          <w:instrText xml:space="preserve"> PAGEREF _Toc26170402 \h </w:instrText>
        </w:r>
        <w:r w:rsidR="006C56E6">
          <w:rPr>
            <w:rFonts w:ascii="Times New Roman" w:hAnsi="Times New Roman"/>
            <w:noProof/>
          </w:rPr>
        </w:r>
        <w:r w:rsidR="006C56E6">
          <w:rPr>
            <w:rFonts w:ascii="Times New Roman" w:hAnsi="Times New Roman"/>
            <w:noProof/>
          </w:rPr>
          <w:fldChar w:fldCharType="separate"/>
        </w:r>
        <w:r w:rsidR="00753A3A">
          <w:rPr>
            <w:rFonts w:ascii="Times New Roman" w:hAnsi="Times New Roman"/>
            <w:noProof/>
          </w:rPr>
          <w:t>21</w:t>
        </w:r>
        <w:r w:rsidR="006C56E6">
          <w:rPr>
            <w:rFonts w:ascii="Times New Roman" w:hAnsi="Times New Roman"/>
            <w:noProof/>
          </w:rPr>
          <w:fldChar w:fldCharType="end"/>
        </w:r>
      </w:hyperlink>
    </w:p>
    <w:p w14:paraId="32479DFC" w14:textId="3EE00FB2" w:rsidR="005F1E3F" w:rsidRDefault="00FF3764">
      <w:pPr>
        <w:pStyle w:val="12"/>
        <w:rPr>
          <w:rFonts w:ascii="Times New Roman" w:hAnsi="Times New Roman"/>
          <w:noProof/>
          <w:sz w:val="21"/>
          <w:szCs w:val="22"/>
        </w:rPr>
      </w:pPr>
      <w:hyperlink w:anchor="_Toc26170403" w:history="1">
        <w:r w:rsidR="006C56E6">
          <w:rPr>
            <w:rStyle w:val="af5"/>
            <w:rFonts w:ascii="Times New Roman" w:hAnsi="Times New Roman"/>
            <w:bCs/>
            <w:noProof/>
          </w:rPr>
          <w:t>第八条</w:t>
        </w:r>
        <w:r w:rsidR="006C56E6">
          <w:rPr>
            <w:rStyle w:val="af5"/>
            <w:rFonts w:ascii="Times New Roman" w:hAnsi="Times New Roman"/>
            <w:bCs/>
            <w:noProof/>
          </w:rPr>
          <w:t xml:space="preserve"> </w:t>
        </w:r>
        <w:r w:rsidR="006C56E6">
          <w:rPr>
            <w:rStyle w:val="af5"/>
            <w:rFonts w:ascii="Times New Roman" w:hAnsi="Times New Roman"/>
            <w:bCs/>
            <w:noProof/>
          </w:rPr>
          <w:t>基金资产净值计算和会计核算</w:t>
        </w:r>
        <w:r w:rsidR="006C56E6">
          <w:rPr>
            <w:rFonts w:ascii="Times New Roman" w:hAnsi="Times New Roman"/>
            <w:noProof/>
          </w:rPr>
          <w:tab/>
        </w:r>
        <w:r w:rsidR="006C56E6">
          <w:rPr>
            <w:rFonts w:ascii="Times New Roman" w:hAnsi="Times New Roman"/>
            <w:noProof/>
          </w:rPr>
          <w:fldChar w:fldCharType="begin"/>
        </w:r>
        <w:r w:rsidR="006C56E6">
          <w:rPr>
            <w:rFonts w:ascii="Times New Roman" w:hAnsi="Times New Roman"/>
            <w:noProof/>
          </w:rPr>
          <w:instrText xml:space="preserve"> PAGEREF _Toc26170403 \h </w:instrText>
        </w:r>
        <w:r w:rsidR="006C56E6">
          <w:rPr>
            <w:rFonts w:ascii="Times New Roman" w:hAnsi="Times New Roman"/>
            <w:noProof/>
          </w:rPr>
        </w:r>
        <w:r w:rsidR="006C56E6">
          <w:rPr>
            <w:rFonts w:ascii="Times New Roman" w:hAnsi="Times New Roman"/>
            <w:noProof/>
          </w:rPr>
          <w:fldChar w:fldCharType="separate"/>
        </w:r>
        <w:r w:rsidR="00753A3A">
          <w:rPr>
            <w:rFonts w:ascii="Times New Roman" w:hAnsi="Times New Roman"/>
            <w:noProof/>
          </w:rPr>
          <w:t>23</w:t>
        </w:r>
        <w:r w:rsidR="006C56E6">
          <w:rPr>
            <w:rFonts w:ascii="Times New Roman" w:hAnsi="Times New Roman"/>
            <w:noProof/>
          </w:rPr>
          <w:fldChar w:fldCharType="end"/>
        </w:r>
      </w:hyperlink>
    </w:p>
    <w:p w14:paraId="0084A531" w14:textId="4F140A68" w:rsidR="005F1E3F" w:rsidRDefault="00FF3764">
      <w:pPr>
        <w:pStyle w:val="12"/>
        <w:rPr>
          <w:rFonts w:ascii="Times New Roman" w:hAnsi="Times New Roman"/>
          <w:noProof/>
          <w:sz w:val="21"/>
          <w:szCs w:val="22"/>
        </w:rPr>
      </w:pPr>
      <w:hyperlink w:anchor="_Toc26170404" w:history="1">
        <w:r w:rsidR="006C56E6">
          <w:rPr>
            <w:rStyle w:val="af5"/>
            <w:rFonts w:ascii="Times New Roman" w:hAnsi="Times New Roman"/>
            <w:bCs/>
            <w:noProof/>
          </w:rPr>
          <w:t>第九条</w:t>
        </w:r>
        <w:r w:rsidR="006C56E6">
          <w:rPr>
            <w:rStyle w:val="af5"/>
            <w:rFonts w:ascii="Times New Roman" w:hAnsi="Times New Roman"/>
            <w:bCs/>
            <w:noProof/>
          </w:rPr>
          <w:t xml:space="preserve"> </w:t>
        </w:r>
        <w:r w:rsidR="006C56E6">
          <w:rPr>
            <w:rStyle w:val="af5"/>
            <w:rFonts w:ascii="Times New Roman" w:hAnsi="Times New Roman"/>
            <w:bCs/>
            <w:noProof/>
          </w:rPr>
          <w:t>基金收益分配</w:t>
        </w:r>
        <w:r w:rsidR="006C56E6">
          <w:rPr>
            <w:rFonts w:ascii="Times New Roman" w:hAnsi="Times New Roman"/>
            <w:noProof/>
          </w:rPr>
          <w:tab/>
        </w:r>
        <w:r w:rsidR="006C56E6">
          <w:rPr>
            <w:rFonts w:ascii="Times New Roman" w:hAnsi="Times New Roman"/>
            <w:noProof/>
          </w:rPr>
          <w:fldChar w:fldCharType="begin"/>
        </w:r>
        <w:r w:rsidR="006C56E6">
          <w:rPr>
            <w:rFonts w:ascii="Times New Roman" w:hAnsi="Times New Roman"/>
            <w:noProof/>
          </w:rPr>
          <w:instrText xml:space="preserve"> PAGEREF _Toc26170404 \h </w:instrText>
        </w:r>
        <w:r w:rsidR="006C56E6">
          <w:rPr>
            <w:rFonts w:ascii="Times New Roman" w:hAnsi="Times New Roman"/>
            <w:noProof/>
          </w:rPr>
        </w:r>
        <w:r w:rsidR="006C56E6">
          <w:rPr>
            <w:rFonts w:ascii="Times New Roman" w:hAnsi="Times New Roman"/>
            <w:noProof/>
          </w:rPr>
          <w:fldChar w:fldCharType="separate"/>
        </w:r>
        <w:r w:rsidR="00753A3A">
          <w:rPr>
            <w:rFonts w:ascii="Times New Roman" w:hAnsi="Times New Roman"/>
            <w:noProof/>
          </w:rPr>
          <w:t>29</w:t>
        </w:r>
        <w:r w:rsidR="006C56E6">
          <w:rPr>
            <w:rFonts w:ascii="Times New Roman" w:hAnsi="Times New Roman"/>
            <w:noProof/>
          </w:rPr>
          <w:fldChar w:fldCharType="end"/>
        </w:r>
      </w:hyperlink>
    </w:p>
    <w:p w14:paraId="7BC1F7B4" w14:textId="0707DBCE" w:rsidR="005F1E3F" w:rsidRDefault="00FF3764">
      <w:pPr>
        <w:pStyle w:val="12"/>
        <w:rPr>
          <w:rFonts w:ascii="Times New Roman" w:hAnsi="Times New Roman"/>
          <w:noProof/>
          <w:sz w:val="21"/>
          <w:szCs w:val="22"/>
        </w:rPr>
      </w:pPr>
      <w:hyperlink w:anchor="_Toc26170405" w:history="1">
        <w:r w:rsidR="006C56E6">
          <w:rPr>
            <w:rStyle w:val="af5"/>
            <w:rFonts w:ascii="Times New Roman" w:hAnsi="Times New Roman"/>
            <w:bCs/>
            <w:noProof/>
          </w:rPr>
          <w:t>第十条</w:t>
        </w:r>
        <w:r w:rsidR="006C56E6">
          <w:rPr>
            <w:rStyle w:val="af5"/>
            <w:rFonts w:ascii="Times New Roman" w:hAnsi="Times New Roman"/>
            <w:bCs/>
            <w:noProof/>
          </w:rPr>
          <w:t xml:space="preserve"> </w:t>
        </w:r>
        <w:r w:rsidR="006C56E6">
          <w:rPr>
            <w:rStyle w:val="af5"/>
            <w:rFonts w:ascii="Times New Roman" w:hAnsi="Times New Roman"/>
            <w:bCs/>
            <w:noProof/>
          </w:rPr>
          <w:t>信息披露</w:t>
        </w:r>
        <w:r w:rsidR="006C56E6">
          <w:rPr>
            <w:rFonts w:ascii="Times New Roman" w:hAnsi="Times New Roman"/>
            <w:noProof/>
          </w:rPr>
          <w:tab/>
        </w:r>
        <w:r w:rsidR="006C56E6">
          <w:rPr>
            <w:rFonts w:ascii="Times New Roman" w:hAnsi="Times New Roman"/>
            <w:noProof/>
          </w:rPr>
          <w:fldChar w:fldCharType="begin"/>
        </w:r>
        <w:r w:rsidR="006C56E6">
          <w:rPr>
            <w:rFonts w:ascii="Times New Roman" w:hAnsi="Times New Roman"/>
            <w:noProof/>
          </w:rPr>
          <w:instrText xml:space="preserve"> PAGEREF _Toc26170405 \h </w:instrText>
        </w:r>
        <w:r w:rsidR="006C56E6">
          <w:rPr>
            <w:rFonts w:ascii="Times New Roman" w:hAnsi="Times New Roman"/>
            <w:noProof/>
          </w:rPr>
        </w:r>
        <w:r w:rsidR="006C56E6">
          <w:rPr>
            <w:rFonts w:ascii="Times New Roman" w:hAnsi="Times New Roman"/>
            <w:noProof/>
          </w:rPr>
          <w:fldChar w:fldCharType="separate"/>
        </w:r>
        <w:r w:rsidR="00753A3A">
          <w:rPr>
            <w:rFonts w:ascii="Times New Roman" w:hAnsi="Times New Roman"/>
            <w:noProof/>
          </w:rPr>
          <w:t>30</w:t>
        </w:r>
        <w:r w:rsidR="006C56E6">
          <w:rPr>
            <w:rFonts w:ascii="Times New Roman" w:hAnsi="Times New Roman"/>
            <w:noProof/>
          </w:rPr>
          <w:fldChar w:fldCharType="end"/>
        </w:r>
      </w:hyperlink>
    </w:p>
    <w:p w14:paraId="5B48A95B" w14:textId="29899F31" w:rsidR="005F1E3F" w:rsidRDefault="00FF3764">
      <w:pPr>
        <w:pStyle w:val="12"/>
        <w:rPr>
          <w:rFonts w:ascii="Times New Roman" w:hAnsi="Times New Roman"/>
          <w:noProof/>
          <w:sz w:val="21"/>
          <w:szCs w:val="22"/>
        </w:rPr>
      </w:pPr>
      <w:hyperlink w:anchor="_Toc26170406" w:history="1">
        <w:r w:rsidR="006C56E6">
          <w:rPr>
            <w:rStyle w:val="af5"/>
            <w:rFonts w:ascii="Times New Roman" w:hAnsi="Times New Roman"/>
            <w:bCs/>
            <w:noProof/>
          </w:rPr>
          <w:t>第十一条</w:t>
        </w:r>
        <w:r w:rsidR="006C56E6">
          <w:rPr>
            <w:rStyle w:val="af5"/>
            <w:rFonts w:ascii="Times New Roman" w:hAnsi="Times New Roman"/>
            <w:bCs/>
            <w:noProof/>
          </w:rPr>
          <w:t xml:space="preserve"> </w:t>
        </w:r>
        <w:r w:rsidR="006C56E6">
          <w:rPr>
            <w:rStyle w:val="af5"/>
            <w:rFonts w:ascii="Times New Roman" w:hAnsi="Times New Roman"/>
            <w:bCs/>
            <w:noProof/>
          </w:rPr>
          <w:t>基金费用</w:t>
        </w:r>
        <w:r w:rsidR="006C56E6">
          <w:rPr>
            <w:rFonts w:ascii="Times New Roman" w:hAnsi="Times New Roman"/>
            <w:noProof/>
          </w:rPr>
          <w:tab/>
        </w:r>
        <w:r w:rsidR="006C56E6">
          <w:rPr>
            <w:rFonts w:ascii="Times New Roman" w:hAnsi="Times New Roman"/>
            <w:noProof/>
          </w:rPr>
          <w:fldChar w:fldCharType="begin"/>
        </w:r>
        <w:r w:rsidR="006C56E6">
          <w:rPr>
            <w:rFonts w:ascii="Times New Roman" w:hAnsi="Times New Roman"/>
            <w:noProof/>
          </w:rPr>
          <w:instrText xml:space="preserve"> PAGEREF _Toc26170406 \h </w:instrText>
        </w:r>
        <w:r w:rsidR="006C56E6">
          <w:rPr>
            <w:rFonts w:ascii="Times New Roman" w:hAnsi="Times New Roman"/>
            <w:noProof/>
          </w:rPr>
        </w:r>
        <w:r w:rsidR="006C56E6">
          <w:rPr>
            <w:rFonts w:ascii="Times New Roman" w:hAnsi="Times New Roman"/>
            <w:noProof/>
          </w:rPr>
          <w:fldChar w:fldCharType="separate"/>
        </w:r>
        <w:r w:rsidR="00753A3A">
          <w:rPr>
            <w:rFonts w:ascii="Times New Roman" w:hAnsi="Times New Roman"/>
            <w:noProof/>
          </w:rPr>
          <w:t>32</w:t>
        </w:r>
        <w:r w:rsidR="006C56E6">
          <w:rPr>
            <w:rFonts w:ascii="Times New Roman" w:hAnsi="Times New Roman"/>
            <w:noProof/>
          </w:rPr>
          <w:fldChar w:fldCharType="end"/>
        </w:r>
      </w:hyperlink>
    </w:p>
    <w:p w14:paraId="0D95DBE8" w14:textId="46B6C5D5" w:rsidR="005F1E3F" w:rsidRDefault="00FF3764">
      <w:pPr>
        <w:pStyle w:val="12"/>
        <w:rPr>
          <w:rFonts w:ascii="Times New Roman" w:hAnsi="Times New Roman"/>
          <w:noProof/>
          <w:sz w:val="21"/>
          <w:szCs w:val="22"/>
        </w:rPr>
      </w:pPr>
      <w:hyperlink w:anchor="_Toc26170407" w:history="1">
        <w:r w:rsidR="006C56E6">
          <w:rPr>
            <w:rStyle w:val="af5"/>
            <w:rFonts w:ascii="Times New Roman" w:hAnsi="Times New Roman"/>
            <w:bCs/>
            <w:noProof/>
          </w:rPr>
          <w:t>第十二条</w:t>
        </w:r>
        <w:r w:rsidR="006C56E6">
          <w:rPr>
            <w:rStyle w:val="af5"/>
            <w:rFonts w:ascii="Times New Roman" w:hAnsi="Times New Roman"/>
            <w:bCs/>
            <w:noProof/>
          </w:rPr>
          <w:t xml:space="preserve"> </w:t>
        </w:r>
        <w:r w:rsidR="006C56E6">
          <w:rPr>
            <w:rStyle w:val="af5"/>
            <w:rFonts w:ascii="Times New Roman" w:hAnsi="Times New Roman"/>
            <w:bCs/>
            <w:noProof/>
          </w:rPr>
          <w:t>基金份额持有人名册的保管</w:t>
        </w:r>
        <w:r w:rsidR="006C56E6">
          <w:rPr>
            <w:rFonts w:ascii="Times New Roman" w:hAnsi="Times New Roman"/>
            <w:noProof/>
          </w:rPr>
          <w:tab/>
        </w:r>
        <w:r w:rsidR="006C56E6">
          <w:rPr>
            <w:rFonts w:ascii="Times New Roman" w:hAnsi="Times New Roman"/>
            <w:noProof/>
          </w:rPr>
          <w:fldChar w:fldCharType="begin"/>
        </w:r>
        <w:r w:rsidR="006C56E6">
          <w:rPr>
            <w:rFonts w:ascii="Times New Roman" w:hAnsi="Times New Roman"/>
            <w:noProof/>
          </w:rPr>
          <w:instrText xml:space="preserve"> PAGEREF _Toc26170407 \h </w:instrText>
        </w:r>
        <w:r w:rsidR="006C56E6">
          <w:rPr>
            <w:rFonts w:ascii="Times New Roman" w:hAnsi="Times New Roman"/>
            <w:noProof/>
          </w:rPr>
        </w:r>
        <w:r w:rsidR="006C56E6">
          <w:rPr>
            <w:rFonts w:ascii="Times New Roman" w:hAnsi="Times New Roman"/>
            <w:noProof/>
          </w:rPr>
          <w:fldChar w:fldCharType="separate"/>
        </w:r>
        <w:r w:rsidR="00753A3A">
          <w:rPr>
            <w:rFonts w:ascii="Times New Roman" w:hAnsi="Times New Roman"/>
            <w:noProof/>
          </w:rPr>
          <w:t>34</w:t>
        </w:r>
        <w:r w:rsidR="006C56E6">
          <w:rPr>
            <w:rFonts w:ascii="Times New Roman" w:hAnsi="Times New Roman"/>
            <w:noProof/>
          </w:rPr>
          <w:fldChar w:fldCharType="end"/>
        </w:r>
      </w:hyperlink>
    </w:p>
    <w:p w14:paraId="49221093" w14:textId="0DF8E5FF" w:rsidR="005F1E3F" w:rsidRDefault="00FF3764">
      <w:pPr>
        <w:pStyle w:val="12"/>
        <w:rPr>
          <w:rFonts w:ascii="Times New Roman" w:hAnsi="Times New Roman"/>
          <w:noProof/>
          <w:sz w:val="21"/>
          <w:szCs w:val="22"/>
        </w:rPr>
      </w:pPr>
      <w:hyperlink w:anchor="_Toc26170408" w:history="1">
        <w:r w:rsidR="006C56E6">
          <w:rPr>
            <w:rStyle w:val="af5"/>
            <w:rFonts w:ascii="Times New Roman" w:hAnsi="Times New Roman"/>
            <w:bCs/>
            <w:noProof/>
          </w:rPr>
          <w:t>第十三条</w:t>
        </w:r>
        <w:r w:rsidR="006C56E6">
          <w:rPr>
            <w:rStyle w:val="af5"/>
            <w:rFonts w:ascii="Times New Roman" w:hAnsi="Times New Roman"/>
            <w:bCs/>
            <w:noProof/>
          </w:rPr>
          <w:t xml:space="preserve"> </w:t>
        </w:r>
        <w:r w:rsidR="006C56E6">
          <w:rPr>
            <w:rStyle w:val="af5"/>
            <w:rFonts w:ascii="Times New Roman" w:hAnsi="Times New Roman"/>
            <w:bCs/>
            <w:noProof/>
          </w:rPr>
          <w:t>基金有关文件和档案的保存</w:t>
        </w:r>
        <w:r w:rsidR="006C56E6">
          <w:rPr>
            <w:rFonts w:ascii="Times New Roman" w:hAnsi="Times New Roman"/>
            <w:noProof/>
          </w:rPr>
          <w:tab/>
        </w:r>
        <w:r w:rsidR="006C56E6">
          <w:rPr>
            <w:rFonts w:ascii="Times New Roman" w:hAnsi="Times New Roman"/>
            <w:noProof/>
          </w:rPr>
          <w:fldChar w:fldCharType="begin"/>
        </w:r>
        <w:r w:rsidR="006C56E6">
          <w:rPr>
            <w:rFonts w:ascii="Times New Roman" w:hAnsi="Times New Roman"/>
            <w:noProof/>
          </w:rPr>
          <w:instrText xml:space="preserve"> PAGEREF _Toc26170408 \h </w:instrText>
        </w:r>
        <w:r w:rsidR="006C56E6">
          <w:rPr>
            <w:rFonts w:ascii="Times New Roman" w:hAnsi="Times New Roman"/>
            <w:noProof/>
          </w:rPr>
        </w:r>
        <w:r w:rsidR="006C56E6">
          <w:rPr>
            <w:rFonts w:ascii="Times New Roman" w:hAnsi="Times New Roman"/>
            <w:noProof/>
          </w:rPr>
          <w:fldChar w:fldCharType="separate"/>
        </w:r>
        <w:r w:rsidR="00753A3A">
          <w:rPr>
            <w:rFonts w:ascii="Times New Roman" w:hAnsi="Times New Roman"/>
            <w:noProof/>
          </w:rPr>
          <w:t>34</w:t>
        </w:r>
        <w:r w:rsidR="006C56E6">
          <w:rPr>
            <w:rFonts w:ascii="Times New Roman" w:hAnsi="Times New Roman"/>
            <w:noProof/>
          </w:rPr>
          <w:fldChar w:fldCharType="end"/>
        </w:r>
      </w:hyperlink>
    </w:p>
    <w:p w14:paraId="3AE2A135" w14:textId="1F55FE62" w:rsidR="005F1E3F" w:rsidRDefault="00FF3764">
      <w:pPr>
        <w:pStyle w:val="12"/>
        <w:rPr>
          <w:rFonts w:ascii="Times New Roman" w:hAnsi="Times New Roman"/>
          <w:noProof/>
          <w:sz w:val="21"/>
          <w:szCs w:val="22"/>
        </w:rPr>
      </w:pPr>
      <w:hyperlink w:anchor="_Toc26170409" w:history="1">
        <w:r w:rsidR="006C56E6">
          <w:rPr>
            <w:rStyle w:val="af5"/>
            <w:rFonts w:ascii="Times New Roman" w:hAnsi="Times New Roman"/>
            <w:bCs/>
            <w:noProof/>
          </w:rPr>
          <w:t>第十四条</w:t>
        </w:r>
        <w:r w:rsidR="006C56E6">
          <w:rPr>
            <w:rStyle w:val="af5"/>
            <w:rFonts w:ascii="Times New Roman" w:hAnsi="Times New Roman"/>
            <w:bCs/>
            <w:noProof/>
          </w:rPr>
          <w:t xml:space="preserve"> </w:t>
        </w:r>
        <w:r w:rsidR="006C56E6">
          <w:rPr>
            <w:rStyle w:val="af5"/>
            <w:rFonts w:ascii="Times New Roman" w:hAnsi="Times New Roman"/>
            <w:bCs/>
            <w:noProof/>
          </w:rPr>
          <w:t>基金管理人和基金托管人的更换</w:t>
        </w:r>
        <w:r w:rsidR="006C56E6">
          <w:rPr>
            <w:rFonts w:ascii="Times New Roman" w:hAnsi="Times New Roman"/>
            <w:noProof/>
          </w:rPr>
          <w:tab/>
        </w:r>
        <w:r w:rsidR="006C56E6">
          <w:rPr>
            <w:rFonts w:ascii="Times New Roman" w:hAnsi="Times New Roman"/>
            <w:noProof/>
          </w:rPr>
          <w:fldChar w:fldCharType="begin"/>
        </w:r>
        <w:r w:rsidR="006C56E6">
          <w:rPr>
            <w:rFonts w:ascii="Times New Roman" w:hAnsi="Times New Roman"/>
            <w:noProof/>
          </w:rPr>
          <w:instrText xml:space="preserve"> PAGEREF _Toc26170409 \h </w:instrText>
        </w:r>
        <w:r w:rsidR="006C56E6">
          <w:rPr>
            <w:rFonts w:ascii="Times New Roman" w:hAnsi="Times New Roman"/>
            <w:noProof/>
          </w:rPr>
        </w:r>
        <w:r w:rsidR="006C56E6">
          <w:rPr>
            <w:rFonts w:ascii="Times New Roman" w:hAnsi="Times New Roman"/>
            <w:noProof/>
          </w:rPr>
          <w:fldChar w:fldCharType="separate"/>
        </w:r>
        <w:r w:rsidR="00753A3A">
          <w:rPr>
            <w:rFonts w:ascii="Times New Roman" w:hAnsi="Times New Roman"/>
            <w:noProof/>
          </w:rPr>
          <w:t>35</w:t>
        </w:r>
        <w:r w:rsidR="006C56E6">
          <w:rPr>
            <w:rFonts w:ascii="Times New Roman" w:hAnsi="Times New Roman"/>
            <w:noProof/>
          </w:rPr>
          <w:fldChar w:fldCharType="end"/>
        </w:r>
      </w:hyperlink>
    </w:p>
    <w:p w14:paraId="234F44E0" w14:textId="1F62E30F" w:rsidR="005F1E3F" w:rsidRDefault="00FF3764">
      <w:pPr>
        <w:pStyle w:val="12"/>
        <w:rPr>
          <w:rFonts w:ascii="Times New Roman" w:hAnsi="Times New Roman"/>
          <w:noProof/>
          <w:sz w:val="21"/>
          <w:szCs w:val="22"/>
        </w:rPr>
      </w:pPr>
      <w:hyperlink w:anchor="_Toc26170410" w:history="1">
        <w:r w:rsidR="006C56E6">
          <w:rPr>
            <w:rStyle w:val="af5"/>
            <w:rFonts w:ascii="Times New Roman" w:hAnsi="Times New Roman"/>
            <w:bCs/>
            <w:noProof/>
          </w:rPr>
          <w:t>第十五条</w:t>
        </w:r>
        <w:r w:rsidR="006C56E6">
          <w:rPr>
            <w:rStyle w:val="af5"/>
            <w:rFonts w:ascii="Times New Roman" w:hAnsi="Times New Roman"/>
            <w:bCs/>
            <w:noProof/>
          </w:rPr>
          <w:t xml:space="preserve"> </w:t>
        </w:r>
        <w:r w:rsidR="006C56E6">
          <w:rPr>
            <w:rStyle w:val="af5"/>
            <w:rFonts w:ascii="Times New Roman" w:hAnsi="Times New Roman"/>
            <w:bCs/>
            <w:noProof/>
          </w:rPr>
          <w:t>禁止行为</w:t>
        </w:r>
        <w:r w:rsidR="006C56E6">
          <w:rPr>
            <w:rFonts w:ascii="Times New Roman" w:hAnsi="Times New Roman"/>
            <w:noProof/>
          </w:rPr>
          <w:tab/>
        </w:r>
        <w:r w:rsidR="006C56E6">
          <w:rPr>
            <w:rFonts w:ascii="Times New Roman" w:hAnsi="Times New Roman"/>
            <w:noProof/>
          </w:rPr>
          <w:fldChar w:fldCharType="begin"/>
        </w:r>
        <w:r w:rsidR="006C56E6">
          <w:rPr>
            <w:rFonts w:ascii="Times New Roman" w:hAnsi="Times New Roman"/>
            <w:noProof/>
          </w:rPr>
          <w:instrText xml:space="preserve"> PAGEREF _Toc26170410 \h </w:instrText>
        </w:r>
        <w:r w:rsidR="006C56E6">
          <w:rPr>
            <w:rFonts w:ascii="Times New Roman" w:hAnsi="Times New Roman"/>
            <w:noProof/>
          </w:rPr>
        </w:r>
        <w:r w:rsidR="006C56E6">
          <w:rPr>
            <w:rFonts w:ascii="Times New Roman" w:hAnsi="Times New Roman"/>
            <w:noProof/>
          </w:rPr>
          <w:fldChar w:fldCharType="separate"/>
        </w:r>
        <w:r w:rsidR="00753A3A">
          <w:rPr>
            <w:rFonts w:ascii="Times New Roman" w:hAnsi="Times New Roman"/>
            <w:noProof/>
          </w:rPr>
          <w:t>38</w:t>
        </w:r>
        <w:r w:rsidR="006C56E6">
          <w:rPr>
            <w:rFonts w:ascii="Times New Roman" w:hAnsi="Times New Roman"/>
            <w:noProof/>
          </w:rPr>
          <w:fldChar w:fldCharType="end"/>
        </w:r>
      </w:hyperlink>
    </w:p>
    <w:p w14:paraId="3311F7F4" w14:textId="2C85E699" w:rsidR="005F1E3F" w:rsidRDefault="00FF3764">
      <w:pPr>
        <w:pStyle w:val="12"/>
        <w:rPr>
          <w:rFonts w:ascii="Times New Roman" w:hAnsi="Times New Roman"/>
          <w:noProof/>
          <w:sz w:val="21"/>
          <w:szCs w:val="22"/>
        </w:rPr>
      </w:pPr>
      <w:hyperlink w:anchor="_Toc26170411" w:history="1">
        <w:r w:rsidR="006C56E6">
          <w:rPr>
            <w:rStyle w:val="af5"/>
            <w:rFonts w:ascii="Times New Roman" w:hAnsi="Times New Roman"/>
            <w:bCs/>
            <w:noProof/>
          </w:rPr>
          <w:t>第十六条</w:t>
        </w:r>
        <w:r w:rsidR="006C56E6">
          <w:rPr>
            <w:rStyle w:val="af5"/>
            <w:rFonts w:ascii="Times New Roman" w:hAnsi="Times New Roman"/>
            <w:bCs/>
            <w:noProof/>
          </w:rPr>
          <w:t xml:space="preserve"> </w:t>
        </w:r>
        <w:r w:rsidR="006C56E6">
          <w:rPr>
            <w:rStyle w:val="af5"/>
            <w:rFonts w:ascii="Times New Roman" w:hAnsi="Times New Roman"/>
            <w:bCs/>
            <w:noProof/>
          </w:rPr>
          <w:t>基金托管协议的变更、终止与基金财产的清算</w:t>
        </w:r>
        <w:r w:rsidR="006C56E6">
          <w:rPr>
            <w:rFonts w:ascii="Times New Roman" w:hAnsi="Times New Roman"/>
            <w:noProof/>
          </w:rPr>
          <w:tab/>
        </w:r>
        <w:r w:rsidR="006C56E6">
          <w:rPr>
            <w:rFonts w:ascii="Times New Roman" w:hAnsi="Times New Roman"/>
            <w:noProof/>
          </w:rPr>
          <w:fldChar w:fldCharType="begin"/>
        </w:r>
        <w:r w:rsidR="006C56E6">
          <w:rPr>
            <w:rFonts w:ascii="Times New Roman" w:hAnsi="Times New Roman"/>
            <w:noProof/>
          </w:rPr>
          <w:instrText xml:space="preserve"> PAGEREF _Toc26170411 \h </w:instrText>
        </w:r>
        <w:r w:rsidR="006C56E6">
          <w:rPr>
            <w:rFonts w:ascii="Times New Roman" w:hAnsi="Times New Roman"/>
            <w:noProof/>
          </w:rPr>
        </w:r>
        <w:r w:rsidR="006C56E6">
          <w:rPr>
            <w:rFonts w:ascii="Times New Roman" w:hAnsi="Times New Roman"/>
            <w:noProof/>
          </w:rPr>
          <w:fldChar w:fldCharType="separate"/>
        </w:r>
        <w:r w:rsidR="00753A3A">
          <w:rPr>
            <w:rFonts w:ascii="Times New Roman" w:hAnsi="Times New Roman"/>
            <w:noProof/>
          </w:rPr>
          <w:t>39</w:t>
        </w:r>
        <w:r w:rsidR="006C56E6">
          <w:rPr>
            <w:rFonts w:ascii="Times New Roman" w:hAnsi="Times New Roman"/>
            <w:noProof/>
          </w:rPr>
          <w:fldChar w:fldCharType="end"/>
        </w:r>
      </w:hyperlink>
    </w:p>
    <w:p w14:paraId="5362166B" w14:textId="2C2954DD" w:rsidR="005F1E3F" w:rsidRDefault="00FF3764">
      <w:pPr>
        <w:pStyle w:val="12"/>
        <w:rPr>
          <w:rFonts w:ascii="Times New Roman" w:hAnsi="Times New Roman"/>
          <w:noProof/>
          <w:sz w:val="21"/>
          <w:szCs w:val="22"/>
        </w:rPr>
      </w:pPr>
      <w:hyperlink w:anchor="_Toc26170412" w:history="1">
        <w:r w:rsidR="006C56E6">
          <w:rPr>
            <w:rStyle w:val="af5"/>
            <w:rFonts w:ascii="Times New Roman" w:hAnsi="Times New Roman"/>
            <w:bCs/>
            <w:noProof/>
          </w:rPr>
          <w:t>第十七条</w:t>
        </w:r>
        <w:r w:rsidR="006C56E6">
          <w:rPr>
            <w:rStyle w:val="af5"/>
            <w:rFonts w:ascii="Times New Roman" w:hAnsi="Times New Roman"/>
            <w:bCs/>
            <w:noProof/>
          </w:rPr>
          <w:t xml:space="preserve"> </w:t>
        </w:r>
        <w:r w:rsidR="006C56E6">
          <w:rPr>
            <w:rStyle w:val="af5"/>
            <w:rFonts w:ascii="Times New Roman" w:hAnsi="Times New Roman"/>
            <w:bCs/>
            <w:noProof/>
          </w:rPr>
          <w:t>违约责任</w:t>
        </w:r>
        <w:r w:rsidR="006C56E6">
          <w:rPr>
            <w:rFonts w:ascii="Times New Roman" w:hAnsi="Times New Roman"/>
            <w:noProof/>
          </w:rPr>
          <w:tab/>
        </w:r>
        <w:r w:rsidR="006C56E6">
          <w:rPr>
            <w:rFonts w:ascii="Times New Roman" w:hAnsi="Times New Roman"/>
            <w:noProof/>
          </w:rPr>
          <w:fldChar w:fldCharType="begin"/>
        </w:r>
        <w:r w:rsidR="006C56E6">
          <w:rPr>
            <w:rFonts w:ascii="Times New Roman" w:hAnsi="Times New Roman"/>
            <w:noProof/>
          </w:rPr>
          <w:instrText xml:space="preserve"> PAGEREF _Toc26170412 \h </w:instrText>
        </w:r>
        <w:r w:rsidR="006C56E6">
          <w:rPr>
            <w:rFonts w:ascii="Times New Roman" w:hAnsi="Times New Roman"/>
            <w:noProof/>
          </w:rPr>
        </w:r>
        <w:r w:rsidR="006C56E6">
          <w:rPr>
            <w:rFonts w:ascii="Times New Roman" w:hAnsi="Times New Roman"/>
            <w:noProof/>
          </w:rPr>
          <w:fldChar w:fldCharType="separate"/>
        </w:r>
        <w:r w:rsidR="00753A3A">
          <w:rPr>
            <w:rFonts w:ascii="Times New Roman" w:hAnsi="Times New Roman"/>
            <w:noProof/>
          </w:rPr>
          <w:t>41</w:t>
        </w:r>
        <w:r w:rsidR="006C56E6">
          <w:rPr>
            <w:rFonts w:ascii="Times New Roman" w:hAnsi="Times New Roman"/>
            <w:noProof/>
          </w:rPr>
          <w:fldChar w:fldCharType="end"/>
        </w:r>
      </w:hyperlink>
    </w:p>
    <w:p w14:paraId="7502EB59" w14:textId="2517D6D2" w:rsidR="005F1E3F" w:rsidRDefault="00FF3764">
      <w:pPr>
        <w:pStyle w:val="12"/>
        <w:rPr>
          <w:rFonts w:ascii="Times New Roman" w:hAnsi="Times New Roman"/>
          <w:noProof/>
          <w:sz w:val="21"/>
          <w:szCs w:val="22"/>
        </w:rPr>
      </w:pPr>
      <w:hyperlink w:anchor="_Toc26170413" w:history="1">
        <w:r w:rsidR="006C56E6">
          <w:rPr>
            <w:rStyle w:val="af5"/>
            <w:rFonts w:ascii="Times New Roman" w:hAnsi="Times New Roman"/>
            <w:bCs/>
            <w:noProof/>
          </w:rPr>
          <w:t>第十八条</w:t>
        </w:r>
        <w:r w:rsidR="006C56E6">
          <w:rPr>
            <w:rStyle w:val="af5"/>
            <w:rFonts w:ascii="Times New Roman" w:hAnsi="Times New Roman"/>
            <w:bCs/>
            <w:noProof/>
          </w:rPr>
          <w:t xml:space="preserve"> </w:t>
        </w:r>
        <w:r w:rsidR="006C56E6">
          <w:rPr>
            <w:rStyle w:val="af5"/>
            <w:rFonts w:ascii="Times New Roman" w:hAnsi="Times New Roman"/>
            <w:bCs/>
            <w:noProof/>
          </w:rPr>
          <w:t>争议解决方式</w:t>
        </w:r>
        <w:r w:rsidR="006C56E6">
          <w:rPr>
            <w:rFonts w:ascii="Times New Roman" w:hAnsi="Times New Roman"/>
            <w:noProof/>
          </w:rPr>
          <w:tab/>
        </w:r>
        <w:r w:rsidR="006C56E6">
          <w:rPr>
            <w:rFonts w:ascii="Times New Roman" w:hAnsi="Times New Roman"/>
            <w:noProof/>
          </w:rPr>
          <w:fldChar w:fldCharType="begin"/>
        </w:r>
        <w:r w:rsidR="006C56E6">
          <w:rPr>
            <w:rFonts w:ascii="Times New Roman" w:hAnsi="Times New Roman"/>
            <w:noProof/>
          </w:rPr>
          <w:instrText xml:space="preserve"> PAGEREF _Toc26170413 \h </w:instrText>
        </w:r>
        <w:r w:rsidR="006C56E6">
          <w:rPr>
            <w:rFonts w:ascii="Times New Roman" w:hAnsi="Times New Roman"/>
            <w:noProof/>
          </w:rPr>
        </w:r>
        <w:r w:rsidR="006C56E6">
          <w:rPr>
            <w:rFonts w:ascii="Times New Roman" w:hAnsi="Times New Roman"/>
            <w:noProof/>
          </w:rPr>
          <w:fldChar w:fldCharType="separate"/>
        </w:r>
        <w:r w:rsidR="00753A3A">
          <w:rPr>
            <w:rFonts w:ascii="Times New Roman" w:hAnsi="Times New Roman"/>
            <w:noProof/>
          </w:rPr>
          <w:t>42</w:t>
        </w:r>
        <w:r w:rsidR="006C56E6">
          <w:rPr>
            <w:rFonts w:ascii="Times New Roman" w:hAnsi="Times New Roman"/>
            <w:noProof/>
          </w:rPr>
          <w:fldChar w:fldCharType="end"/>
        </w:r>
      </w:hyperlink>
    </w:p>
    <w:p w14:paraId="0C0BA56E" w14:textId="6FE760D9" w:rsidR="005F1E3F" w:rsidRDefault="00FF3764">
      <w:pPr>
        <w:pStyle w:val="12"/>
        <w:rPr>
          <w:rFonts w:ascii="Times New Roman" w:hAnsi="Times New Roman"/>
          <w:noProof/>
          <w:sz w:val="21"/>
          <w:szCs w:val="22"/>
        </w:rPr>
      </w:pPr>
      <w:hyperlink w:anchor="_Toc26170414" w:history="1">
        <w:r w:rsidR="006C56E6">
          <w:rPr>
            <w:rStyle w:val="af5"/>
            <w:rFonts w:ascii="Times New Roman" w:hAnsi="Times New Roman"/>
            <w:bCs/>
            <w:noProof/>
          </w:rPr>
          <w:t>第十九条</w:t>
        </w:r>
        <w:r w:rsidR="006C56E6">
          <w:rPr>
            <w:rStyle w:val="af5"/>
            <w:rFonts w:ascii="Times New Roman" w:hAnsi="Times New Roman"/>
            <w:bCs/>
            <w:noProof/>
          </w:rPr>
          <w:t xml:space="preserve"> </w:t>
        </w:r>
        <w:r w:rsidR="006C56E6">
          <w:rPr>
            <w:rStyle w:val="af5"/>
            <w:rFonts w:ascii="Times New Roman" w:hAnsi="Times New Roman"/>
            <w:bCs/>
            <w:noProof/>
          </w:rPr>
          <w:t>基金托管协议的效力</w:t>
        </w:r>
        <w:r w:rsidR="006C56E6">
          <w:rPr>
            <w:rFonts w:ascii="Times New Roman" w:hAnsi="Times New Roman"/>
            <w:noProof/>
          </w:rPr>
          <w:tab/>
        </w:r>
        <w:r w:rsidR="006C56E6">
          <w:rPr>
            <w:rFonts w:ascii="Times New Roman" w:hAnsi="Times New Roman"/>
            <w:noProof/>
          </w:rPr>
          <w:fldChar w:fldCharType="begin"/>
        </w:r>
        <w:r w:rsidR="006C56E6">
          <w:rPr>
            <w:rFonts w:ascii="Times New Roman" w:hAnsi="Times New Roman"/>
            <w:noProof/>
          </w:rPr>
          <w:instrText xml:space="preserve"> PAGEREF _Toc26170414 \h </w:instrText>
        </w:r>
        <w:r w:rsidR="006C56E6">
          <w:rPr>
            <w:rFonts w:ascii="Times New Roman" w:hAnsi="Times New Roman"/>
            <w:noProof/>
          </w:rPr>
        </w:r>
        <w:r w:rsidR="006C56E6">
          <w:rPr>
            <w:rFonts w:ascii="Times New Roman" w:hAnsi="Times New Roman"/>
            <w:noProof/>
          </w:rPr>
          <w:fldChar w:fldCharType="separate"/>
        </w:r>
        <w:r w:rsidR="00753A3A">
          <w:rPr>
            <w:rFonts w:ascii="Times New Roman" w:hAnsi="Times New Roman"/>
            <w:noProof/>
          </w:rPr>
          <w:t>42</w:t>
        </w:r>
        <w:r w:rsidR="006C56E6">
          <w:rPr>
            <w:rFonts w:ascii="Times New Roman" w:hAnsi="Times New Roman"/>
            <w:noProof/>
          </w:rPr>
          <w:fldChar w:fldCharType="end"/>
        </w:r>
      </w:hyperlink>
    </w:p>
    <w:p w14:paraId="35D6163F" w14:textId="0A8F5FA4" w:rsidR="005F1E3F" w:rsidRDefault="00FF3764">
      <w:pPr>
        <w:pStyle w:val="12"/>
        <w:rPr>
          <w:rFonts w:ascii="Times New Roman" w:hAnsi="Times New Roman"/>
          <w:noProof/>
          <w:sz w:val="21"/>
          <w:szCs w:val="22"/>
        </w:rPr>
      </w:pPr>
      <w:hyperlink w:anchor="_Toc26170415" w:history="1">
        <w:r w:rsidR="006C56E6">
          <w:rPr>
            <w:rStyle w:val="af5"/>
            <w:rFonts w:ascii="Times New Roman" w:hAnsi="Times New Roman"/>
            <w:bCs/>
            <w:noProof/>
          </w:rPr>
          <w:t>第二十条</w:t>
        </w:r>
        <w:r w:rsidR="006C56E6">
          <w:rPr>
            <w:rStyle w:val="af5"/>
            <w:rFonts w:ascii="Times New Roman" w:hAnsi="Times New Roman"/>
            <w:bCs/>
            <w:noProof/>
          </w:rPr>
          <w:t xml:space="preserve"> </w:t>
        </w:r>
        <w:r w:rsidR="006C56E6">
          <w:rPr>
            <w:rStyle w:val="af5"/>
            <w:rFonts w:ascii="Times New Roman" w:hAnsi="Times New Roman"/>
            <w:bCs/>
            <w:noProof/>
          </w:rPr>
          <w:t>基金托管协议的签订</w:t>
        </w:r>
        <w:r w:rsidR="006C56E6">
          <w:rPr>
            <w:rFonts w:ascii="Times New Roman" w:hAnsi="Times New Roman"/>
            <w:noProof/>
          </w:rPr>
          <w:tab/>
        </w:r>
        <w:r w:rsidR="006C56E6">
          <w:rPr>
            <w:rFonts w:ascii="Times New Roman" w:hAnsi="Times New Roman"/>
            <w:noProof/>
          </w:rPr>
          <w:fldChar w:fldCharType="begin"/>
        </w:r>
        <w:r w:rsidR="006C56E6">
          <w:rPr>
            <w:rFonts w:ascii="Times New Roman" w:hAnsi="Times New Roman"/>
            <w:noProof/>
          </w:rPr>
          <w:instrText xml:space="preserve"> PAGEREF _Toc26170415 \h </w:instrText>
        </w:r>
        <w:r w:rsidR="006C56E6">
          <w:rPr>
            <w:rFonts w:ascii="Times New Roman" w:hAnsi="Times New Roman"/>
            <w:noProof/>
          </w:rPr>
        </w:r>
        <w:r w:rsidR="006C56E6">
          <w:rPr>
            <w:rFonts w:ascii="Times New Roman" w:hAnsi="Times New Roman"/>
            <w:noProof/>
          </w:rPr>
          <w:fldChar w:fldCharType="separate"/>
        </w:r>
        <w:r w:rsidR="00753A3A">
          <w:rPr>
            <w:rFonts w:ascii="Times New Roman" w:hAnsi="Times New Roman"/>
            <w:noProof/>
          </w:rPr>
          <w:t>43</w:t>
        </w:r>
        <w:r w:rsidR="006C56E6">
          <w:rPr>
            <w:rFonts w:ascii="Times New Roman" w:hAnsi="Times New Roman"/>
            <w:noProof/>
          </w:rPr>
          <w:fldChar w:fldCharType="end"/>
        </w:r>
      </w:hyperlink>
    </w:p>
    <w:p w14:paraId="71204BF2" w14:textId="05DDE0FE" w:rsidR="005F1E3F" w:rsidRDefault="00FF3764">
      <w:pPr>
        <w:pStyle w:val="12"/>
        <w:rPr>
          <w:rFonts w:ascii="Times New Roman" w:hAnsi="Times New Roman"/>
          <w:noProof/>
          <w:sz w:val="21"/>
          <w:szCs w:val="22"/>
        </w:rPr>
      </w:pPr>
      <w:hyperlink w:anchor="_Toc26170416" w:history="1">
        <w:r w:rsidR="006C56E6">
          <w:rPr>
            <w:rStyle w:val="af5"/>
            <w:rFonts w:ascii="Times New Roman" w:hAnsi="Times New Roman"/>
            <w:bCs/>
            <w:noProof/>
          </w:rPr>
          <w:t>第二十一条</w:t>
        </w:r>
        <w:r w:rsidR="006C56E6">
          <w:rPr>
            <w:rStyle w:val="af5"/>
            <w:rFonts w:ascii="Times New Roman" w:hAnsi="Times New Roman"/>
            <w:bCs/>
            <w:noProof/>
          </w:rPr>
          <w:t xml:space="preserve"> </w:t>
        </w:r>
        <w:r w:rsidR="006C56E6">
          <w:rPr>
            <w:rStyle w:val="af5"/>
            <w:rFonts w:ascii="Times New Roman" w:hAnsi="Times New Roman"/>
            <w:bCs/>
            <w:noProof/>
          </w:rPr>
          <w:t>不可抗力</w:t>
        </w:r>
        <w:r w:rsidR="006C56E6">
          <w:rPr>
            <w:rFonts w:ascii="Times New Roman" w:hAnsi="Times New Roman"/>
            <w:noProof/>
          </w:rPr>
          <w:tab/>
        </w:r>
        <w:r w:rsidR="006C56E6">
          <w:rPr>
            <w:rFonts w:ascii="Times New Roman" w:hAnsi="Times New Roman"/>
            <w:noProof/>
          </w:rPr>
          <w:fldChar w:fldCharType="begin"/>
        </w:r>
        <w:r w:rsidR="006C56E6">
          <w:rPr>
            <w:rFonts w:ascii="Times New Roman" w:hAnsi="Times New Roman"/>
            <w:noProof/>
          </w:rPr>
          <w:instrText xml:space="preserve"> PAGEREF _Toc26170416 \h </w:instrText>
        </w:r>
        <w:r w:rsidR="006C56E6">
          <w:rPr>
            <w:rFonts w:ascii="Times New Roman" w:hAnsi="Times New Roman"/>
            <w:noProof/>
          </w:rPr>
        </w:r>
        <w:r w:rsidR="006C56E6">
          <w:rPr>
            <w:rFonts w:ascii="Times New Roman" w:hAnsi="Times New Roman"/>
            <w:noProof/>
          </w:rPr>
          <w:fldChar w:fldCharType="separate"/>
        </w:r>
        <w:r w:rsidR="00753A3A">
          <w:rPr>
            <w:rFonts w:ascii="Times New Roman" w:hAnsi="Times New Roman"/>
            <w:noProof/>
          </w:rPr>
          <w:t>43</w:t>
        </w:r>
        <w:r w:rsidR="006C56E6">
          <w:rPr>
            <w:rFonts w:ascii="Times New Roman" w:hAnsi="Times New Roman"/>
            <w:noProof/>
          </w:rPr>
          <w:fldChar w:fldCharType="end"/>
        </w:r>
      </w:hyperlink>
    </w:p>
    <w:p w14:paraId="7F0E73AD" w14:textId="105AA054" w:rsidR="005F1E3F" w:rsidRDefault="00FF3764">
      <w:pPr>
        <w:pStyle w:val="12"/>
        <w:rPr>
          <w:rFonts w:ascii="Times New Roman" w:hAnsi="Times New Roman"/>
          <w:noProof/>
          <w:sz w:val="21"/>
          <w:szCs w:val="22"/>
        </w:rPr>
      </w:pPr>
      <w:hyperlink w:anchor="_Toc26170417" w:history="1">
        <w:r w:rsidR="006C56E6">
          <w:rPr>
            <w:rStyle w:val="af5"/>
            <w:rFonts w:ascii="Times New Roman" w:hAnsi="Times New Roman"/>
            <w:bCs/>
            <w:noProof/>
          </w:rPr>
          <w:t>第二十二条</w:t>
        </w:r>
        <w:r w:rsidR="006C56E6">
          <w:rPr>
            <w:rStyle w:val="af5"/>
            <w:rFonts w:ascii="Times New Roman" w:hAnsi="Times New Roman"/>
            <w:bCs/>
            <w:noProof/>
          </w:rPr>
          <w:t xml:space="preserve"> </w:t>
        </w:r>
        <w:r w:rsidR="006C56E6">
          <w:rPr>
            <w:rStyle w:val="af5"/>
            <w:rFonts w:ascii="Times New Roman" w:hAnsi="Times New Roman"/>
            <w:bCs/>
            <w:noProof/>
          </w:rPr>
          <w:t>可分割性</w:t>
        </w:r>
        <w:r w:rsidR="006C56E6">
          <w:rPr>
            <w:rFonts w:ascii="Times New Roman" w:hAnsi="Times New Roman"/>
            <w:noProof/>
          </w:rPr>
          <w:tab/>
        </w:r>
        <w:r w:rsidR="006C56E6">
          <w:rPr>
            <w:rFonts w:ascii="Times New Roman" w:hAnsi="Times New Roman"/>
            <w:noProof/>
          </w:rPr>
          <w:fldChar w:fldCharType="begin"/>
        </w:r>
        <w:r w:rsidR="006C56E6">
          <w:rPr>
            <w:rFonts w:ascii="Times New Roman" w:hAnsi="Times New Roman"/>
            <w:noProof/>
          </w:rPr>
          <w:instrText xml:space="preserve"> PAGEREF _Toc26170417 \h </w:instrText>
        </w:r>
        <w:r w:rsidR="006C56E6">
          <w:rPr>
            <w:rFonts w:ascii="Times New Roman" w:hAnsi="Times New Roman"/>
            <w:noProof/>
          </w:rPr>
        </w:r>
        <w:r w:rsidR="006C56E6">
          <w:rPr>
            <w:rFonts w:ascii="Times New Roman" w:hAnsi="Times New Roman"/>
            <w:noProof/>
          </w:rPr>
          <w:fldChar w:fldCharType="separate"/>
        </w:r>
        <w:r w:rsidR="00753A3A">
          <w:rPr>
            <w:rFonts w:ascii="Times New Roman" w:hAnsi="Times New Roman"/>
            <w:noProof/>
          </w:rPr>
          <w:t>43</w:t>
        </w:r>
        <w:r w:rsidR="006C56E6">
          <w:rPr>
            <w:rFonts w:ascii="Times New Roman" w:hAnsi="Times New Roman"/>
            <w:noProof/>
          </w:rPr>
          <w:fldChar w:fldCharType="end"/>
        </w:r>
      </w:hyperlink>
    </w:p>
    <w:p w14:paraId="6878C249" w14:textId="551B1473" w:rsidR="005F1E3F" w:rsidRDefault="00FF3764">
      <w:pPr>
        <w:pStyle w:val="12"/>
        <w:rPr>
          <w:rFonts w:ascii="Times New Roman" w:hAnsi="Times New Roman"/>
          <w:noProof/>
          <w:sz w:val="21"/>
          <w:szCs w:val="22"/>
        </w:rPr>
      </w:pPr>
      <w:hyperlink w:anchor="_Toc26170418" w:history="1">
        <w:r w:rsidR="006C56E6">
          <w:rPr>
            <w:rStyle w:val="af5"/>
            <w:rFonts w:ascii="Times New Roman" w:hAnsi="Times New Roman"/>
            <w:bCs/>
            <w:noProof/>
          </w:rPr>
          <w:t>第二十三条</w:t>
        </w:r>
        <w:r w:rsidR="006C56E6">
          <w:rPr>
            <w:rStyle w:val="af5"/>
            <w:rFonts w:ascii="Times New Roman" w:hAnsi="Times New Roman"/>
            <w:bCs/>
            <w:noProof/>
          </w:rPr>
          <w:t xml:space="preserve"> </w:t>
        </w:r>
        <w:r w:rsidR="006C56E6">
          <w:rPr>
            <w:rStyle w:val="af5"/>
            <w:rFonts w:ascii="Times New Roman" w:hAnsi="Times New Roman"/>
            <w:bCs/>
            <w:noProof/>
          </w:rPr>
          <w:t>通知与送达</w:t>
        </w:r>
        <w:r w:rsidR="006C56E6">
          <w:rPr>
            <w:rFonts w:ascii="Times New Roman" w:hAnsi="Times New Roman"/>
            <w:noProof/>
          </w:rPr>
          <w:tab/>
        </w:r>
        <w:r w:rsidR="006C56E6">
          <w:rPr>
            <w:rFonts w:ascii="Times New Roman" w:hAnsi="Times New Roman"/>
            <w:noProof/>
          </w:rPr>
          <w:fldChar w:fldCharType="begin"/>
        </w:r>
        <w:r w:rsidR="006C56E6">
          <w:rPr>
            <w:rFonts w:ascii="Times New Roman" w:hAnsi="Times New Roman"/>
            <w:noProof/>
          </w:rPr>
          <w:instrText xml:space="preserve"> PAGEREF _Toc26170418 \h </w:instrText>
        </w:r>
        <w:r w:rsidR="006C56E6">
          <w:rPr>
            <w:rFonts w:ascii="Times New Roman" w:hAnsi="Times New Roman"/>
            <w:noProof/>
          </w:rPr>
        </w:r>
        <w:r w:rsidR="006C56E6">
          <w:rPr>
            <w:rFonts w:ascii="Times New Roman" w:hAnsi="Times New Roman"/>
            <w:noProof/>
          </w:rPr>
          <w:fldChar w:fldCharType="separate"/>
        </w:r>
        <w:r w:rsidR="00753A3A">
          <w:rPr>
            <w:rFonts w:ascii="Times New Roman" w:hAnsi="Times New Roman"/>
            <w:noProof/>
          </w:rPr>
          <w:t>43</w:t>
        </w:r>
        <w:r w:rsidR="006C56E6">
          <w:rPr>
            <w:rFonts w:ascii="Times New Roman" w:hAnsi="Times New Roman"/>
            <w:noProof/>
          </w:rPr>
          <w:fldChar w:fldCharType="end"/>
        </w:r>
      </w:hyperlink>
    </w:p>
    <w:p w14:paraId="1B9DBECD" w14:textId="77777777" w:rsidR="005F1E3F" w:rsidRDefault="006C56E6">
      <w:pPr>
        <w:snapToGrid w:val="0"/>
        <w:spacing w:line="360" w:lineRule="auto"/>
        <w:jc w:val="center"/>
        <w:rPr>
          <w:b/>
          <w:sz w:val="28"/>
          <w:szCs w:val="28"/>
        </w:rPr>
      </w:pPr>
      <w:r>
        <w:rPr>
          <w:b/>
          <w:sz w:val="28"/>
          <w:szCs w:val="28"/>
        </w:rPr>
        <w:fldChar w:fldCharType="end"/>
      </w:r>
    </w:p>
    <w:p w14:paraId="0DAD7360" w14:textId="46DB1F24" w:rsidR="005F1E3F" w:rsidRDefault="006C56E6">
      <w:pPr>
        <w:snapToGrid w:val="0"/>
        <w:spacing w:line="360" w:lineRule="auto"/>
        <w:jc w:val="center"/>
        <w:rPr>
          <w:b/>
          <w:sz w:val="28"/>
          <w:szCs w:val="28"/>
        </w:rPr>
      </w:pPr>
      <w:r>
        <w:rPr>
          <w:b/>
          <w:sz w:val="28"/>
          <w:szCs w:val="28"/>
        </w:rPr>
        <w:br w:type="page"/>
      </w:r>
      <w:r>
        <w:rPr>
          <w:b/>
          <w:sz w:val="28"/>
          <w:szCs w:val="28"/>
        </w:rPr>
        <w:lastRenderedPageBreak/>
        <w:t>广发中证</w:t>
      </w:r>
      <w:r>
        <w:rPr>
          <w:b/>
          <w:sz w:val="28"/>
          <w:szCs w:val="28"/>
        </w:rPr>
        <w:t>800</w:t>
      </w:r>
      <w:r>
        <w:rPr>
          <w:b/>
          <w:sz w:val="28"/>
          <w:szCs w:val="28"/>
        </w:rPr>
        <w:t>自由现金</w:t>
      </w:r>
      <w:proofErr w:type="gramStart"/>
      <w:r>
        <w:rPr>
          <w:b/>
          <w:sz w:val="28"/>
          <w:szCs w:val="28"/>
        </w:rPr>
        <w:t>流交易</w:t>
      </w:r>
      <w:proofErr w:type="gramEnd"/>
      <w:r>
        <w:rPr>
          <w:b/>
          <w:sz w:val="28"/>
          <w:szCs w:val="28"/>
        </w:rPr>
        <w:t>型开放式指数证券投资基金发起式联接基金托管协议</w:t>
      </w:r>
    </w:p>
    <w:p w14:paraId="522FE67E" w14:textId="77777777" w:rsidR="005F1E3F" w:rsidRDefault="005F1E3F">
      <w:pPr>
        <w:snapToGrid w:val="0"/>
        <w:spacing w:line="360" w:lineRule="auto"/>
        <w:jc w:val="center"/>
        <w:rPr>
          <w:b/>
          <w:sz w:val="28"/>
          <w:szCs w:val="28"/>
        </w:rPr>
      </w:pPr>
    </w:p>
    <w:p w14:paraId="12AA4798" w14:textId="77777777" w:rsidR="005F1E3F" w:rsidRDefault="006C56E6">
      <w:pPr>
        <w:tabs>
          <w:tab w:val="left" w:pos="5940"/>
        </w:tabs>
        <w:snapToGrid w:val="0"/>
        <w:spacing w:line="360" w:lineRule="auto"/>
        <w:rPr>
          <w:b/>
          <w:sz w:val="24"/>
          <w:szCs w:val="24"/>
        </w:rPr>
      </w:pPr>
      <w:r>
        <w:rPr>
          <w:b/>
          <w:sz w:val="24"/>
          <w:szCs w:val="24"/>
        </w:rPr>
        <w:t>基金管理人：广发基金管理有限公司</w:t>
      </w:r>
    </w:p>
    <w:p w14:paraId="6AF4A8AB" w14:textId="77777777" w:rsidR="005F1E3F" w:rsidRDefault="006C56E6">
      <w:pPr>
        <w:tabs>
          <w:tab w:val="left" w:pos="5940"/>
        </w:tabs>
        <w:snapToGrid w:val="0"/>
        <w:spacing w:line="360" w:lineRule="auto"/>
        <w:rPr>
          <w:sz w:val="24"/>
          <w:szCs w:val="24"/>
        </w:rPr>
      </w:pPr>
      <w:r>
        <w:rPr>
          <w:sz w:val="24"/>
          <w:szCs w:val="24"/>
        </w:rPr>
        <w:t>住所：广东省珠海市横琴新区环岛东路</w:t>
      </w:r>
      <w:r>
        <w:rPr>
          <w:sz w:val="24"/>
          <w:szCs w:val="24"/>
        </w:rPr>
        <w:t>3018</w:t>
      </w:r>
      <w:r>
        <w:rPr>
          <w:sz w:val="24"/>
          <w:szCs w:val="24"/>
        </w:rPr>
        <w:t>号</w:t>
      </w:r>
      <w:r>
        <w:rPr>
          <w:sz w:val="24"/>
          <w:szCs w:val="24"/>
        </w:rPr>
        <w:t>2608</w:t>
      </w:r>
      <w:r>
        <w:rPr>
          <w:sz w:val="24"/>
          <w:szCs w:val="24"/>
        </w:rPr>
        <w:t>室</w:t>
      </w:r>
    </w:p>
    <w:p w14:paraId="32CFFE3B" w14:textId="77777777" w:rsidR="005F1E3F" w:rsidRDefault="006C56E6">
      <w:pPr>
        <w:tabs>
          <w:tab w:val="left" w:pos="5940"/>
        </w:tabs>
        <w:snapToGrid w:val="0"/>
        <w:spacing w:line="360" w:lineRule="auto"/>
        <w:rPr>
          <w:sz w:val="24"/>
          <w:szCs w:val="24"/>
        </w:rPr>
      </w:pPr>
      <w:r>
        <w:rPr>
          <w:sz w:val="24"/>
          <w:szCs w:val="24"/>
        </w:rPr>
        <w:t>邮政编码：</w:t>
      </w:r>
      <w:r>
        <w:rPr>
          <w:sz w:val="24"/>
          <w:szCs w:val="24"/>
        </w:rPr>
        <w:t>510335</w:t>
      </w:r>
    </w:p>
    <w:p w14:paraId="3230D67B" w14:textId="77777777" w:rsidR="005F1E3F" w:rsidRDefault="006C56E6">
      <w:pPr>
        <w:snapToGrid w:val="0"/>
        <w:spacing w:line="360" w:lineRule="auto"/>
        <w:rPr>
          <w:sz w:val="24"/>
          <w:szCs w:val="24"/>
        </w:rPr>
      </w:pPr>
      <w:r>
        <w:rPr>
          <w:sz w:val="24"/>
          <w:szCs w:val="24"/>
        </w:rPr>
        <w:t>电话：</w:t>
      </w:r>
      <w:r>
        <w:rPr>
          <w:sz w:val="24"/>
          <w:szCs w:val="24"/>
        </w:rPr>
        <w:t>020-83936666</w:t>
      </w:r>
    </w:p>
    <w:p w14:paraId="6C38D0DA" w14:textId="77777777" w:rsidR="005F1E3F" w:rsidRDefault="006C56E6">
      <w:pPr>
        <w:snapToGrid w:val="0"/>
        <w:spacing w:line="360" w:lineRule="auto"/>
        <w:rPr>
          <w:sz w:val="24"/>
          <w:szCs w:val="24"/>
        </w:rPr>
      </w:pPr>
      <w:r>
        <w:rPr>
          <w:sz w:val="24"/>
          <w:szCs w:val="24"/>
        </w:rPr>
        <w:t>传真：</w:t>
      </w:r>
      <w:r>
        <w:rPr>
          <w:sz w:val="24"/>
          <w:szCs w:val="24"/>
        </w:rPr>
        <w:t>020-89899158</w:t>
      </w:r>
    </w:p>
    <w:p w14:paraId="64273574" w14:textId="77777777" w:rsidR="005F1E3F" w:rsidRDefault="006C56E6">
      <w:pPr>
        <w:tabs>
          <w:tab w:val="left" w:pos="5940"/>
        </w:tabs>
        <w:snapToGrid w:val="0"/>
        <w:spacing w:line="360" w:lineRule="auto"/>
        <w:rPr>
          <w:sz w:val="24"/>
          <w:szCs w:val="24"/>
        </w:rPr>
      </w:pPr>
      <w:r>
        <w:rPr>
          <w:sz w:val="24"/>
          <w:szCs w:val="24"/>
        </w:rPr>
        <w:t>法定代表人：葛长伟</w:t>
      </w:r>
    </w:p>
    <w:p w14:paraId="39A48468" w14:textId="77777777" w:rsidR="005F1E3F" w:rsidRDefault="005F1E3F">
      <w:pPr>
        <w:snapToGrid w:val="0"/>
        <w:spacing w:line="360" w:lineRule="auto"/>
        <w:rPr>
          <w:sz w:val="24"/>
          <w:szCs w:val="24"/>
        </w:rPr>
      </w:pPr>
    </w:p>
    <w:p w14:paraId="77786D82" w14:textId="77777777" w:rsidR="005F1E3F" w:rsidRDefault="006C56E6">
      <w:pPr>
        <w:tabs>
          <w:tab w:val="left" w:pos="5940"/>
        </w:tabs>
        <w:snapToGrid w:val="0"/>
        <w:spacing w:line="360" w:lineRule="auto"/>
        <w:rPr>
          <w:b/>
          <w:sz w:val="24"/>
          <w:szCs w:val="24"/>
        </w:rPr>
      </w:pPr>
      <w:r>
        <w:rPr>
          <w:b/>
          <w:sz w:val="24"/>
          <w:szCs w:val="24"/>
        </w:rPr>
        <w:t>基金托管人：中信银行股份有限公司</w:t>
      </w:r>
      <w:r>
        <w:rPr>
          <w:b/>
          <w:sz w:val="24"/>
          <w:szCs w:val="24"/>
        </w:rPr>
        <w:t xml:space="preserve"> </w:t>
      </w:r>
    </w:p>
    <w:p w14:paraId="620E0B5C" w14:textId="77777777" w:rsidR="005F1E3F" w:rsidRDefault="006C56E6">
      <w:pPr>
        <w:snapToGrid w:val="0"/>
        <w:spacing w:line="360" w:lineRule="auto"/>
        <w:rPr>
          <w:sz w:val="24"/>
          <w:szCs w:val="24"/>
        </w:rPr>
      </w:pPr>
      <w:r>
        <w:rPr>
          <w:sz w:val="24"/>
          <w:szCs w:val="24"/>
        </w:rPr>
        <w:t>住所：北京市朝阳区光华路</w:t>
      </w:r>
      <w:r>
        <w:rPr>
          <w:sz w:val="24"/>
          <w:szCs w:val="24"/>
        </w:rPr>
        <w:t>10</w:t>
      </w:r>
      <w:r>
        <w:rPr>
          <w:sz w:val="24"/>
          <w:szCs w:val="24"/>
        </w:rPr>
        <w:t>号院</w:t>
      </w:r>
      <w:r>
        <w:rPr>
          <w:sz w:val="24"/>
          <w:szCs w:val="24"/>
        </w:rPr>
        <w:t>1</w:t>
      </w:r>
      <w:r>
        <w:rPr>
          <w:sz w:val="24"/>
          <w:szCs w:val="24"/>
        </w:rPr>
        <w:t>号楼</w:t>
      </w:r>
      <w:r>
        <w:rPr>
          <w:sz w:val="24"/>
          <w:szCs w:val="24"/>
        </w:rPr>
        <w:t>6-30</w:t>
      </w:r>
      <w:r>
        <w:rPr>
          <w:sz w:val="24"/>
          <w:szCs w:val="24"/>
        </w:rPr>
        <w:t>层、</w:t>
      </w:r>
      <w:r>
        <w:rPr>
          <w:sz w:val="24"/>
          <w:szCs w:val="24"/>
        </w:rPr>
        <w:t>32-42</w:t>
      </w:r>
      <w:r>
        <w:rPr>
          <w:sz w:val="24"/>
          <w:szCs w:val="24"/>
        </w:rPr>
        <w:t>层</w:t>
      </w:r>
    </w:p>
    <w:p w14:paraId="4FD6C16E" w14:textId="77777777" w:rsidR="005F1E3F" w:rsidRDefault="006C56E6">
      <w:pPr>
        <w:snapToGrid w:val="0"/>
        <w:spacing w:line="360" w:lineRule="auto"/>
        <w:rPr>
          <w:sz w:val="24"/>
          <w:szCs w:val="24"/>
        </w:rPr>
      </w:pPr>
      <w:r>
        <w:rPr>
          <w:sz w:val="24"/>
          <w:szCs w:val="24"/>
        </w:rPr>
        <w:t>邮政编码：</w:t>
      </w:r>
      <w:r>
        <w:rPr>
          <w:sz w:val="24"/>
          <w:szCs w:val="24"/>
        </w:rPr>
        <w:t>100010</w:t>
      </w:r>
    </w:p>
    <w:p w14:paraId="7CC78035" w14:textId="77777777" w:rsidR="005F1E3F" w:rsidRDefault="006C56E6">
      <w:pPr>
        <w:snapToGrid w:val="0"/>
        <w:spacing w:line="360" w:lineRule="auto"/>
        <w:rPr>
          <w:sz w:val="24"/>
          <w:szCs w:val="24"/>
        </w:rPr>
      </w:pPr>
      <w:r>
        <w:rPr>
          <w:sz w:val="24"/>
          <w:szCs w:val="24"/>
        </w:rPr>
        <w:t>电话：</w:t>
      </w:r>
      <w:r>
        <w:rPr>
          <w:sz w:val="24"/>
          <w:szCs w:val="24"/>
        </w:rPr>
        <w:t>4006800000</w:t>
      </w:r>
    </w:p>
    <w:p w14:paraId="0C8E7D00" w14:textId="77777777" w:rsidR="005F1E3F" w:rsidRDefault="006C56E6">
      <w:pPr>
        <w:snapToGrid w:val="0"/>
        <w:spacing w:line="360" w:lineRule="auto"/>
        <w:rPr>
          <w:sz w:val="24"/>
          <w:szCs w:val="24"/>
        </w:rPr>
      </w:pPr>
      <w:r>
        <w:rPr>
          <w:sz w:val="24"/>
          <w:szCs w:val="24"/>
        </w:rPr>
        <w:t>传真：</w:t>
      </w:r>
      <w:r>
        <w:rPr>
          <w:sz w:val="24"/>
          <w:szCs w:val="24"/>
        </w:rPr>
        <w:t>010-85230024</w:t>
      </w:r>
    </w:p>
    <w:p w14:paraId="515E1355" w14:textId="77777777" w:rsidR="005F1E3F" w:rsidRDefault="006C56E6">
      <w:pPr>
        <w:snapToGrid w:val="0"/>
        <w:spacing w:line="360" w:lineRule="auto"/>
        <w:rPr>
          <w:sz w:val="24"/>
          <w:szCs w:val="24"/>
        </w:rPr>
      </w:pPr>
      <w:r>
        <w:rPr>
          <w:sz w:val="24"/>
          <w:szCs w:val="24"/>
        </w:rPr>
        <w:t>法定代表人：方合英</w:t>
      </w:r>
      <w:bookmarkStart w:id="10" w:name="_GoBack"/>
      <w:bookmarkEnd w:id="10"/>
    </w:p>
    <w:p w14:paraId="211895C6" w14:textId="77777777" w:rsidR="005F1E3F" w:rsidRDefault="005F1E3F">
      <w:pPr>
        <w:autoSpaceDE w:val="0"/>
        <w:autoSpaceDN w:val="0"/>
        <w:adjustRightInd w:val="0"/>
        <w:spacing w:line="520" w:lineRule="exact"/>
        <w:rPr>
          <w:sz w:val="24"/>
          <w:szCs w:val="24"/>
        </w:rPr>
      </w:pPr>
    </w:p>
    <w:p w14:paraId="47368400" w14:textId="77777777" w:rsidR="005F1E3F" w:rsidRDefault="006C56E6">
      <w:pPr>
        <w:autoSpaceDE w:val="0"/>
        <w:autoSpaceDN w:val="0"/>
        <w:adjustRightInd w:val="0"/>
        <w:spacing w:line="520" w:lineRule="exact"/>
        <w:ind w:firstLineChars="200" w:firstLine="482"/>
        <w:rPr>
          <w:b/>
          <w:sz w:val="24"/>
          <w:szCs w:val="24"/>
        </w:rPr>
      </w:pPr>
      <w:r>
        <w:rPr>
          <w:b/>
          <w:sz w:val="24"/>
          <w:szCs w:val="24"/>
        </w:rPr>
        <w:t>鉴于：</w:t>
      </w:r>
    </w:p>
    <w:p w14:paraId="1172E140"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w:t>
      </w:r>
      <w:r>
        <w:rPr>
          <w:rFonts w:ascii="Times New Roman"/>
          <w:szCs w:val="24"/>
        </w:rPr>
        <w:t>．广发基金管理有限公司系一家依照中国法律合法成立并有效存续的有限责任公司，按照相关法律法规的规定具备担任基金管理人的资格和能力；</w:t>
      </w:r>
    </w:p>
    <w:p w14:paraId="7F380147"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2.</w:t>
      </w:r>
      <w:r>
        <w:rPr>
          <w:rFonts w:ascii="Times New Roman"/>
          <w:szCs w:val="24"/>
        </w:rPr>
        <w:t>中信银行股份有限公司系一家依照中国法律合法成立并有效存续的银行，按照相关法律法规的规定具备担任基金托管人的资格和能力；</w:t>
      </w:r>
    </w:p>
    <w:p w14:paraId="2296075E" w14:textId="68C0E51A" w:rsidR="005F1E3F" w:rsidRDefault="006C56E6">
      <w:pPr>
        <w:pStyle w:val="20"/>
        <w:spacing w:before="0" w:after="0" w:line="520" w:lineRule="exact"/>
        <w:ind w:left="0" w:firstLineChars="200" w:firstLine="480"/>
        <w:rPr>
          <w:rFonts w:ascii="Times New Roman"/>
          <w:szCs w:val="24"/>
        </w:rPr>
      </w:pPr>
      <w:r>
        <w:rPr>
          <w:rFonts w:ascii="Times New Roman"/>
          <w:szCs w:val="24"/>
        </w:rPr>
        <w:t>3.</w:t>
      </w:r>
      <w:r>
        <w:rPr>
          <w:rFonts w:ascii="Times New Roman"/>
          <w:szCs w:val="24"/>
        </w:rPr>
        <w:t>广发基金管理有限公司拟担任广发中证</w:t>
      </w:r>
      <w:r>
        <w:rPr>
          <w:rFonts w:ascii="Times New Roman"/>
          <w:szCs w:val="24"/>
        </w:rPr>
        <w:t>800</w:t>
      </w:r>
      <w:r>
        <w:rPr>
          <w:rFonts w:ascii="Times New Roman"/>
          <w:szCs w:val="24"/>
        </w:rPr>
        <w:t>自由现金</w:t>
      </w:r>
      <w:proofErr w:type="gramStart"/>
      <w:r>
        <w:rPr>
          <w:rFonts w:ascii="Times New Roman"/>
          <w:szCs w:val="24"/>
        </w:rPr>
        <w:t>流交易</w:t>
      </w:r>
      <w:proofErr w:type="gramEnd"/>
      <w:r>
        <w:rPr>
          <w:rFonts w:ascii="Times New Roman"/>
          <w:szCs w:val="24"/>
        </w:rPr>
        <w:t>型开放式指数证券投资基金发起式联接基金的基金管理人，中信银行股份有限公司拟担任广发中证</w:t>
      </w:r>
      <w:r>
        <w:rPr>
          <w:rFonts w:ascii="Times New Roman"/>
          <w:szCs w:val="24"/>
        </w:rPr>
        <w:t>800</w:t>
      </w:r>
      <w:r>
        <w:rPr>
          <w:rFonts w:ascii="Times New Roman"/>
          <w:szCs w:val="24"/>
        </w:rPr>
        <w:t>自由现金</w:t>
      </w:r>
      <w:proofErr w:type="gramStart"/>
      <w:r>
        <w:rPr>
          <w:rFonts w:ascii="Times New Roman"/>
          <w:szCs w:val="24"/>
        </w:rPr>
        <w:t>流交易</w:t>
      </w:r>
      <w:proofErr w:type="gramEnd"/>
      <w:r>
        <w:rPr>
          <w:rFonts w:ascii="Times New Roman"/>
          <w:szCs w:val="24"/>
        </w:rPr>
        <w:t>型开放式指数证券投资基金发起式联接基金的基金托管人；</w:t>
      </w:r>
    </w:p>
    <w:p w14:paraId="70A55D50"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为明确双方在基金托管中的权利、义务及责任，确保基金财产的安全，保护基金份额持有人的合法权益，依据《中华人民共和国民法典》等法律法规以及相关规定，双方本着平等自愿、诚实守信的原则特签订本协议。</w:t>
      </w:r>
    </w:p>
    <w:p w14:paraId="12F9C0CC" w14:textId="77777777" w:rsidR="005F1E3F" w:rsidRDefault="005F1E3F">
      <w:pPr>
        <w:pStyle w:val="20"/>
        <w:spacing w:before="0" w:after="0" w:line="520" w:lineRule="exact"/>
        <w:ind w:left="0" w:firstLineChars="200" w:firstLine="480"/>
        <w:rPr>
          <w:rFonts w:ascii="Times New Roman"/>
          <w:szCs w:val="24"/>
        </w:rPr>
      </w:pPr>
    </w:p>
    <w:p w14:paraId="286D735F" w14:textId="77777777" w:rsidR="005F1E3F" w:rsidRDefault="005F1E3F">
      <w:pPr>
        <w:pStyle w:val="20"/>
        <w:spacing w:before="0" w:after="0" w:line="520" w:lineRule="exact"/>
        <w:ind w:left="0" w:firstLineChars="200" w:firstLine="480"/>
        <w:rPr>
          <w:rFonts w:ascii="Times New Roman"/>
          <w:szCs w:val="24"/>
        </w:rPr>
      </w:pPr>
    </w:p>
    <w:p w14:paraId="126619F8" w14:textId="77777777" w:rsidR="005F1E3F" w:rsidRDefault="006C56E6">
      <w:pPr>
        <w:pStyle w:val="20"/>
        <w:spacing w:before="0" w:after="0" w:line="520" w:lineRule="exact"/>
        <w:ind w:left="0" w:firstLine="541"/>
        <w:rPr>
          <w:rFonts w:ascii="Times New Roman"/>
          <w:b/>
          <w:bCs/>
          <w:szCs w:val="24"/>
        </w:rPr>
      </w:pPr>
      <w:r>
        <w:rPr>
          <w:rFonts w:ascii="Times New Roman"/>
          <w:b/>
          <w:bCs/>
          <w:szCs w:val="24"/>
        </w:rPr>
        <w:t>释义：</w:t>
      </w:r>
    </w:p>
    <w:p w14:paraId="71FEF9FC" w14:textId="35EA7A7E" w:rsidR="005F1E3F" w:rsidRDefault="006C56E6">
      <w:pPr>
        <w:pStyle w:val="20"/>
        <w:spacing w:before="0" w:after="0" w:line="520" w:lineRule="exact"/>
        <w:ind w:left="0" w:firstLineChars="200" w:firstLine="480"/>
        <w:rPr>
          <w:rFonts w:ascii="Times New Roman"/>
          <w:szCs w:val="24"/>
        </w:rPr>
      </w:pPr>
      <w:r>
        <w:rPr>
          <w:rFonts w:ascii="Times New Roman"/>
          <w:szCs w:val="24"/>
        </w:rPr>
        <w:t>除非另有约定，《广发中证</w:t>
      </w:r>
      <w:r>
        <w:rPr>
          <w:rFonts w:ascii="Times New Roman"/>
          <w:szCs w:val="24"/>
        </w:rPr>
        <w:t>800</w:t>
      </w:r>
      <w:r>
        <w:rPr>
          <w:rFonts w:ascii="Times New Roman"/>
          <w:szCs w:val="24"/>
        </w:rPr>
        <w:t>自由现金流交易型开放式指数证券投资基金发起式联接基金基金合同》</w:t>
      </w:r>
      <w:r>
        <w:rPr>
          <w:rFonts w:ascii="Times New Roman"/>
          <w:szCs w:val="24"/>
        </w:rPr>
        <w:t>(</w:t>
      </w:r>
      <w:r>
        <w:rPr>
          <w:rFonts w:ascii="Times New Roman"/>
          <w:szCs w:val="24"/>
        </w:rPr>
        <w:t>以下简称</w:t>
      </w:r>
      <w:r>
        <w:rPr>
          <w:rFonts w:ascii="Times New Roman"/>
          <w:szCs w:val="24"/>
        </w:rPr>
        <w:t>“</w:t>
      </w:r>
      <w:r>
        <w:rPr>
          <w:rFonts w:ascii="Times New Roman"/>
          <w:szCs w:val="24"/>
        </w:rPr>
        <w:t>基金合同</w:t>
      </w:r>
      <w:r>
        <w:rPr>
          <w:rFonts w:ascii="Times New Roman"/>
          <w:szCs w:val="24"/>
        </w:rPr>
        <w:t>”)</w:t>
      </w:r>
      <w:r>
        <w:rPr>
          <w:rFonts w:ascii="Times New Roman"/>
          <w:szCs w:val="24"/>
        </w:rPr>
        <w:t>中定义的术语在用于本托管协议时应具有相同的含义；若有抵触应以基金合同为准，并依其条款解释。</w:t>
      </w:r>
      <w:r>
        <w:rPr>
          <w:rFonts w:ascii="Times New Roman"/>
          <w:szCs w:val="24"/>
        </w:rPr>
        <w:t xml:space="preserve"> </w:t>
      </w:r>
    </w:p>
    <w:p w14:paraId="5DC92FE8" w14:textId="77777777" w:rsidR="005F1E3F" w:rsidRDefault="005F1E3F">
      <w:pPr>
        <w:pStyle w:val="20"/>
        <w:spacing w:before="0" w:after="0" w:line="520" w:lineRule="exact"/>
        <w:ind w:left="0" w:firstLineChars="200" w:firstLine="480"/>
        <w:rPr>
          <w:rFonts w:ascii="Times New Roman"/>
          <w:szCs w:val="24"/>
        </w:rPr>
      </w:pPr>
    </w:p>
    <w:p w14:paraId="0A3FBEC3" w14:textId="77777777" w:rsidR="005F1E3F" w:rsidRDefault="006C56E6">
      <w:pPr>
        <w:pStyle w:val="1"/>
        <w:spacing w:line="520" w:lineRule="exact"/>
        <w:ind w:firstLineChars="200" w:firstLine="482"/>
        <w:rPr>
          <w:rFonts w:ascii="Times New Roman" w:hAnsi="Times New Roman"/>
          <w:bCs/>
          <w:color w:val="auto"/>
          <w:szCs w:val="24"/>
        </w:rPr>
      </w:pPr>
      <w:bookmarkStart w:id="11" w:name="_Toc296551337"/>
      <w:bookmarkStart w:id="12" w:name="_Toc26170396"/>
      <w:r>
        <w:rPr>
          <w:rFonts w:ascii="Times New Roman" w:hAnsi="Times New Roman"/>
          <w:bCs/>
          <w:color w:val="auto"/>
          <w:szCs w:val="24"/>
        </w:rPr>
        <w:t>第一条</w:t>
      </w:r>
      <w:r>
        <w:rPr>
          <w:rFonts w:ascii="Times New Roman" w:hAnsi="Times New Roman"/>
          <w:bCs/>
          <w:color w:val="auto"/>
          <w:szCs w:val="24"/>
        </w:rPr>
        <w:t xml:space="preserve"> </w:t>
      </w:r>
      <w:r>
        <w:rPr>
          <w:rFonts w:ascii="Times New Roman" w:hAnsi="Times New Roman"/>
          <w:bCs/>
          <w:color w:val="auto"/>
          <w:szCs w:val="24"/>
        </w:rPr>
        <w:t>基金托管协议当事人</w:t>
      </w:r>
      <w:bookmarkEnd w:id="11"/>
      <w:bookmarkEnd w:id="12"/>
    </w:p>
    <w:p w14:paraId="4A85EC6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1.1</w:t>
      </w:r>
      <w:r>
        <w:rPr>
          <w:rFonts w:ascii="Times New Roman"/>
          <w:szCs w:val="24"/>
        </w:rPr>
        <w:t>基金管理人：</w:t>
      </w:r>
    </w:p>
    <w:p w14:paraId="0ECAC951"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名称：广发基金管理有限公司</w:t>
      </w:r>
    </w:p>
    <w:p w14:paraId="0030E0F0"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住所：广东省珠海市横琴新区环岛东路</w:t>
      </w:r>
      <w:r>
        <w:rPr>
          <w:rFonts w:ascii="Times New Roman"/>
          <w:szCs w:val="24"/>
        </w:rPr>
        <w:t>3018</w:t>
      </w:r>
      <w:r>
        <w:rPr>
          <w:rFonts w:ascii="Times New Roman"/>
          <w:szCs w:val="24"/>
        </w:rPr>
        <w:t>号</w:t>
      </w:r>
      <w:r>
        <w:rPr>
          <w:rFonts w:ascii="Times New Roman"/>
          <w:szCs w:val="24"/>
        </w:rPr>
        <w:t>2608</w:t>
      </w:r>
      <w:r>
        <w:rPr>
          <w:rFonts w:ascii="Times New Roman"/>
          <w:szCs w:val="24"/>
        </w:rPr>
        <w:t>室</w:t>
      </w:r>
    </w:p>
    <w:p w14:paraId="6E31FDD9"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法定代表人：葛长伟</w:t>
      </w:r>
    </w:p>
    <w:p w14:paraId="0EE4638D"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成立时间：</w:t>
      </w:r>
      <w:r>
        <w:rPr>
          <w:rFonts w:ascii="Times New Roman"/>
          <w:szCs w:val="24"/>
        </w:rPr>
        <w:t>2003</w:t>
      </w:r>
      <w:r>
        <w:rPr>
          <w:rFonts w:ascii="Times New Roman"/>
          <w:szCs w:val="24"/>
        </w:rPr>
        <w:t>年</w:t>
      </w:r>
      <w:r>
        <w:rPr>
          <w:rFonts w:ascii="Times New Roman"/>
          <w:szCs w:val="24"/>
        </w:rPr>
        <w:t>8</w:t>
      </w:r>
      <w:r>
        <w:rPr>
          <w:rFonts w:ascii="Times New Roman"/>
          <w:szCs w:val="24"/>
        </w:rPr>
        <w:t>月</w:t>
      </w:r>
      <w:r>
        <w:rPr>
          <w:rFonts w:ascii="Times New Roman"/>
          <w:szCs w:val="24"/>
        </w:rPr>
        <w:t>5</w:t>
      </w:r>
      <w:r>
        <w:rPr>
          <w:rFonts w:ascii="Times New Roman"/>
          <w:szCs w:val="24"/>
        </w:rPr>
        <w:t>日</w:t>
      </w:r>
    </w:p>
    <w:p w14:paraId="6ACBC15B"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批准设立机关：中国证券监督管理委员会</w:t>
      </w:r>
    </w:p>
    <w:p w14:paraId="25C5B58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批准设立文号：中国证监会</w:t>
      </w:r>
      <w:proofErr w:type="gramStart"/>
      <w:r>
        <w:rPr>
          <w:rFonts w:ascii="Times New Roman"/>
          <w:szCs w:val="24"/>
        </w:rPr>
        <w:t>证监基字</w:t>
      </w:r>
      <w:proofErr w:type="gramEnd"/>
      <w:r>
        <w:rPr>
          <w:rFonts w:ascii="Times New Roman"/>
          <w:szCs w:val="24"/>
        </w:rPr>
        <w:t>[2003]91</w:t>
      </w:r>
      <w:r>
        <w:rPr>
          <w:rFonts w:ascii="Times New Roman"/>
          <w:szCs w:val="24"/>
        </w:rPr>
        <w:t>号</w:t>
      </w:r>
    </w:p>
    <w:p w14:paraId="2CD28E82"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组织形式：有限责任公司</w:t>
      </w:r>
    </w:p>
    <w:p w14:paraId="24B1D21E"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注册资本：</w:t>
      </w:r>
      <w:r>
        <w:rPr>
          <w:rFonts w:ascii="Times New Roman"/>
          <w:szCs w:val="24"/>
        </w:rPr>
        <w:t>14,097.8</w:t>
      </w:r>
      <w:r>
        <w:rPr>
          <w:rFonts w:ascii="Times New Roman"/>
          <w:szCs w:val="24"/>
        </w:rPr>
        <w:t>万元人民币</w:t>
      </w:r>
    </w:p>
    <w:p w14:paraId="54D687EA"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经营范围：基金募集、基金销售、资产管理、中国证监会许可的其他业务</w:t>
      </w:r>
    </w:p>
    <w:p w14:paraId="4E0AC769"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存续期间：持续经营</w:t>
      </w:r>
    </w:p>
    <w:p w14:paraId="709FF3FE"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1.2</w:t>
      </w:r>
      <w:r>
        <w:rPr>
          <w:rFonts w:ascii="Times New Roman"/>
          <w:szCs w:val="24"/>
        </w:rPr>
        <w:t>基金托管人：</w:t>
      </w:r>
    </w:p>
    <w:p w14:paraId="4C29C9D1"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名称：中信银行股份有限公司</w:t>
      </w:r>
    </w:p>
    <w:p w14:paraId="7A303ACD"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住所：北京市朝阳区光华路</w:t>
      </w:r>
      <w:r>
        <w:rPr>
          <w:rFonts w:ascii="Times New Roman"/>
          <w:szCs w:val="24"/>
        </w:rPr>
        <w:t>10</w:t>
      </w:r>
      <w:r>
        <w:rPr>
          <w:rFonts w:ascii="Times New Roman"/>
          <w:szCs w:val="24"/>
        </w:rPr>
        <w:t>号院</w:t>
      </w:r>
      <w:r>
        <w:rPr>
          <w:rFonts w:ascii="Times New Roman"/>
          <w:szCs w:val="24"/>
        </w:rPr>
        <w:t>1</w:t>
      </w:r>
      <w:r>
        <w:rPr>
          <w:rFonts w:ascii="Times New Roman"/>
          <w:szCs w:val="24"/>
        </w:rPr>
        <w:t>号楼</w:t>
      </w:r>
      <w:r>
        <w:rPr>
          <w:rFonts w:ascii="Times New Roman"/>
          <w:szCs w:val="24"/>
        </w:rPr>
        <w:t>6-30</w:t>
      </w:r>
      <w:r>
        <w:rPr>
          <w:rFonts w:ascii="Times New Roman"/>
          <w:szCs w:val="24"/>
        </w:rPr>
        <w:t>层、</w:t>
      </w:r>
      <w:r>
        <w:rPr>
          <w:rFonts w:ascii="Times New Roman"/>
          <w:szCs w:val="24"/>
        </w:rPr>
        <w:t>32-42</w:t>
      </w:r>
      <w:r>
        <w:rPr>
          <w:rFonts w:ascii="Times New Roman"/>
          <w:szCs w:val="24"/>
        </w:rPr>
        <w:t>层</w:t>
      </w:r>
    </w:p>
    <w:p w14:paraId="274CCF8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法定代表人：方合英</w:t>
      </w:r>
    </w:p>
    <w:p w14:paraId="48C2F81D"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成立时间：</w:t>
      </w:r>
      <w:r>
        <w:rPr>
          <w:rFonts w:ascii="Times New Roman"/>
          <w:szCs w:val="24"/>
        </w:rPr>
        <w:t>1987</w:t>
      </w:r>
      <w:r>
        <w:rPr>
          <w:rFonts w:ascii="Times New Roman"/>
          <w:szCs w:val="24"/>
        </w:rPr>
        <w:t>年</w:t>
      </w:r>
      <w:r>
        <w:rPr>
          <w:rFonts w:ascii="Times New Roman"/>
          <w:szCs w:val="24"/>
        </w:rPr>
        <w:t>4</w:t>
      </w:r>
      <w:r>
        <w:rPr>
          <w:rFonts w:ascii="Times New Roman"/>
          <w:szCs w:val="24"/>
        </w:rPr>
        <w:t>月</w:t>
      </w:r>
      <w:r>
        <w:rPr>
          <w:rFonts w:ascii="Times New Roman"/>
          <w:szCs w:val="24"/>
        </w:rPr>
        <w:t>20</w:t>
      </w:r>
      <w:r>
        <w:rPr>
          <w:rFonts w:ascii="Times New Roman"/>
          <w:szCs w:val="24"/>
        </w:rPr>
        <w:t>日</w:t>
      </w:r>
    </w:p>
    <w:p w14:paraId="7AB54A99"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批准设立文号：国办函</w:t>
      </w:r>
      <w:r>
        <w:rPr>
          <w:rFonts w:ascii="Times New Roman"/>
          <w:szCs w:val="24"/>
        </w:rPr>
        <w:t>[1987]14</w:t>
      </w:r>
      <w:r>
        <w:rPr>
          <w:rFonts w:ascii="Times New Roman"/>
          <w:szCs w:val="24"/>
        </w:rPr>
        <w:t>号</w:t>
      </w:r>
    </w:p>
    <w:p w14:paraId="17FBB629"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基金托管业务批准文号：证</w:t>
      </w:r>
      <w:proofErr w:type="gramStart"/>
      <w:r>
        <w:rPr>
          <w:rFonts w:ascii="Times New Roman"/>
          <w:szCs w:val="24"/>
        </w:rPr>
        <w:t>监基金字</w:t>
      </w:r>
      <w:proofErr w:type="gramEnd"/>
      <w:r>
        <w:rPr>
          <w:rFonts w:ascii="Times New Roman"/>
          <w:szCs w:val="24"/>
        </w:rPr>
        <w:t>[2004]125</w:t>
      </w:r>
      <w:r>
        <w:rPr>
          <w:rFonts w:ascii="Times New Roman"/>
          <w:szCs w:val="24"/>
        </w:rPr>
        <w:t>号</w:t>
      </w:r>
    </w:p>
    <w:p w14:paraId="2E880FFF"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组织形式：股份有限公司</w:t>
      </w:r>
    </w:p>
    <w:p w14:paraId="34DA7FF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注册资本：</w:t>
      </w:r>
      <w:r>
        <w:rPr>
          <w:rFonts w:ascii="Times New Roman"/>
          <w:szCs w:val="24"/>
        </w:rPr>
        <w:t>4893479.6573</w:t>
      </w:r>
      <w:r>
        <w:rPr>
          <w:rFonts w:ascii="Times New Roman"/>
          <w:szCs w:val="24"/>
        </w:rPr>
        <w:t>万元</w:t>
      </w:r>
    </w:p>
    <w:p w14:paraId="3D6B9712"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存续期间：持续经营</w:t>
      </w:r>
    </w:p>
    <w:p w14:paraId="638F68CD"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lastRenderedPageBreak/>
        <w:t>经营范围：保险兼业代理业务；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投资者托管业务；经国务院银行业监督管理机构批准的其他业务。（企业依法自主选择经营项目，开展经营活动；依法须经批准的项目，经相关部门批准后依批准的内容开展经营活动；不得从事本市产业政策禁止和限制类项目的经营活动。）</w:t>
      </w:r>
    </w:p>
    <w:p w14:paraId="2AB5EB54" w14:textId="77777777" w:rsidR="005F1E3F" w:rsidRDefault="005F1E3F">
      <w:pPr>
        <w:pStyle w:val="20"/>
        <w:spacing w:before="0" w:after="0" w:line="520" w:lineRule="exact"/>
        <w:ind w:left="0" w:firstLineChars="200" w:firstLine="480"/>
        <w:rPr>
          <w:rFonts w:ascii="Times New Roman"/>
          <w:szCs w:val="24"/>
        </w:rPr>
      </w:pPr>
    </w:p>
    <w:p w14:paraId="2011AF8D" w14:textId="77777777" w:rsidR="005F1E3F" w:rsidRDefault="006C56E6">
      <w:pPr>
        <w:pStyle w:val="1"/>
        <w:spacing w:line="520" w:lineRule="exact"/>
        <w:ind w:firstLineChars="200" w:firstLine="482"/>
        <w:rPr>
          <w:rFonts w:ascii="Times New Roman" w:hAnsi="Times New Roman"/>
          <w:bCs/>
          <w:color w:val="auto"/>
          <w:szCs w:val="24"/>
        </w:rPr>
      </w:pPr>
      <w:bookmarkStart w:id="13" w:name="_Toc296551338"/>
      <w:bookmarkStart w:id="14" w:name="_Toc26170397"/>
      <w:r>
        <w:rPr>
          <w:rFonts w:ascii="Times New Roman" w:hAnsi="Times New Roman"/>
          <w:bCs/>
          <w:color w:val="auto"/>
          <w:szCs w:val="24"/>
        </w:rPr>
        <w:t>第二条</w:t>
      </w:r>
      <w:r>
        <w:rPr>
          <w:rFonts w:ascii="Times New Roman" w:hAnsi="Times New Roman"/>
          <w:bCs/>
          <w:color w:val="auto"/>
          <w:szCs w:val="24"/>
        </w:rPr>
        <w:t xml:space="preserve"> </w:t>
      </w:r>
      <w:r>
        <w:rPr>
          <w:rFonts w:ascii="Times New Roman" w:hAnsi="Times New Roman"/>
          <w:bCs/>
          <w:color w:val="auto"/>
          <w:szCs w:val="24"/>
        </w:rPr>
        <w:t>基金托管协议的依据、目的和原则</w:t>
      </w:r>
      <w:bookmarkEnd w:id="13"/>
      <w:bookmarkEnd w:id="14"/>
    </w:p>
    <w:p w14:paraId="61886EA1"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2.1</w:t>
      </w:r>
      <w:r>
        <w:rPr>
          <w:rFonts w:ascii="Times New Roman"/>
          <w:szCs w:val="24"/>
        </w:rPr>
        <w:t>基金托管协议的依据</w:t>
      </w:r>
    </w:p>
    <w:p w14:paraId="4A08F3BC" w14:textId="6DED8F94" w:rsidR="005F1E3F" w:rsidRDefault="006C56E6">
      <w:pPr>
        <w:pStyle w:val="20"/>
        <w:spacing w:before="0" w:after="0" w:line="520" w:lineRule="exact"/>
        <w:ind w:left="0" w:firstLineChars="200" w:firstLine="480"/>
        <w:rPr>
          <w:rFonts w:ascii="Times New Roman"/>
          <w:szCs w:val="24"/>
        </w:rPr>
      </w:pPr>
      <w:r>
        <w:rPr>
          <w:rFonts w:ascii="Times New Roman"/>
          <w:szCs w:val="24"/>
        </w:rPr>
        <w:t>订立本协议的依据是《中华人民共和国民法典》《中华人民共和国证券投资基金法》（以下简称</w:t>
      </w:r>
      <w:r>
        <w:rPr>
          <w:rFonts w:ascii="Times New Roman"/>
          <w:szCs w:val="24"/>
        </w:rPr>
        <w:t>“</w:t>
      </w:r>
      <w:r>
        <w:rPr>
          <w:rFonts w:ascii="Times New Roman"/>
          <w:szCs w:val="24"/>
        </w:rPr>
        <w:t>《基金法》</w:t>
      </w:r>
      <w:r>
        <w:rPr>
          <w:rFonts w:ascii="Times New Roman"/>
          <w:szCs w:val="24"/>
        </w:rPr>
        <w:t>”</w:t>
      </w:r>
      <w:r>
        <w:rPr>
          <w:rFonts w:ascii="Times New Roman"/>
          <w:szCs w:val="24"/>
        </w:rPr>
        <w:t>）、《公开募集证券投资基金运作管理办法》（以下简称</w:t>
      </w:r>
      <w:r>
        <w:rPr>
          <w:rFonts w:ascii="Times New Roman"/>
          <w:szCs w:val="24"/>
        </w:rPr>
        <w:t>“</w:t>
      </w:r>
      <w:r>
        <w:rPr>
          <w:rFonts w:ascii="Times New Roman"/>
          <w:szCs w:val="24"/>
        </w:rPr>
        <w:t>《运作办法》</w:t>
      </w:r>
      <w:r>
        <w:rPr>
          <w:rFonts w:ascii="Times New Roman"/>
          <w:szCs w:val="24"/>
        </w:rPr>
        <w:t>”</w:t>
      </w:r>
      <w:r>
        <w:rPr>
          <w:rFonts w:ascii="Times New Roman"/>
          <w:szCs w:val="24"/>
        </w:rPr>
        <w:t>）、</w:t>
      </w:r>
      <w:r>
        <w:rPr>
          <w:rFonts w:ascii="Times New Roman"/>
          <w:bCs/>
        </w:rPr>
        <w:t>《公开募集证券投资基金销售机构监督管理办法》（以下简称</w:t>
      </w:r>
      <w:r>
        <w:rPr>
          <w:rFonts w:ascii="Times New Roman"/>
          <w:bCs/>
        </w:rPr>
        <w:t>“</w:t>
      </w:r>
      <w:r>
        <w:rPr>
          <w:rFonts w:ascii="Times New Roman"/>
          <w:bCs/>
        </w:rPr>
        <w:t>《销售办法》</w:t>
      </w:r>
      <w:r>
        <w:rPr>
          <w:rFonts w:ascii="Times New Roman"/>
          <w:bCs/>
        </w:rPr>
        <w:t>”</w:t>
      </w:r>
      <w:r>
        <w:rPr>
          <w:rFonts w:ascii="Times New Roman"/>
          <w:bCs/>
        </w:rPr>
        <w:t>）、</w:t>
      </w:r>
      <w:r>
        <w:rPr>
          <w:rFonts w:ascii="Times New Roman"/>
          <w:szCs w:val="24"/>
        </w:rPr>
        <w:t>《公开募集证券投资基金信息披露管理办法》（以下简称</w:t>
      </w:r>
      <w:r>
        <w:rPr>
          <w:rFonts w:ascii="Times New Roman"/>
          <w:szCs w:val="24"/>
        </w:rPr>
        <w:t>“</w:t>
      </w:r>
      <w:r>
        <w:rPr>
          <w:rFonts w:ascii="Times New Roman"/>
          <w:szCs w:val="24"/>
        </w:rPr>
        <w:t>《信息披露办法》</w:t>
      </w:r>
      <w:r>
        <w:rPr>
          <w:rFonts w:ascii="Times New Roman"/>
          <w:szCs w:val="24"/>
        </w:rPr>
        <w:t>”</w:t>
      </w:r>
      <w:r>
        <w:rPr>
          <w:rFonts w:ascii="Times New Roman"/>
          <w:szCs w:val="24"/>
        </w:rPr>
        <w:t>）、</w:t>
      </w:r>
      <w:r>
        <w:rPr>
          <w:rFonts w:ascii="Times New Roman"/>
          <w:bCs/>
        </w:rPr>
        <w:t>《公开募集开放式证券投资基金流动性风险管理规定》（以下简称</w:t>
      </w:r>
      <w:r>
        <w:rPr>
          <w:rFonts w:ascii="Times New Roman"/>
          <w:bCs/>
        </w:rPr>
        <w:t>“</w:t>
      </w:r>
      <w:r>
        <w:rPr>
          <w:rFonts w:ascii="Times New Roman"/>
          <w:bCs/>
        </w:rPr>
        <w:t>《流动性风险管理规定》</w:t>
      </w:r>
      <w:r>
        <w:rPr>
          <w:rFonts w:ascii="Times New Roman"/>
          <w:bCs/>
        </w:rPr>
        <w:t>”</w:t>
      </w:r>
      <w:r>
        <w:rPr>
          <w:rFonts w:ascii="Times New Roman"/>
          <w:bCs/>
        </w:rPr>
        <w:t>）、</w:t>
      </w:r>
      <w:r>
        <w:rPr>
          <w:rFonts w:ascii="Times New Roman"/>
          <w:szCs w:val="24"/>
        </w:rPr>
        <w:t>《证券投资基金信息披露内容与格式准则第</w:t>
      </w:r>
      <w:r>
        <w:rPr>
          <w:rFonts w:ascii="Times New Roman"/>
          <w:szCs w:val="24"/>
        </w:rPr>
        <w:t>7</w:t>
      </w:r>
      <w:r>
        <w:rPr>
          <w:rFonts w:ascii="Times New Roman"/>
          <w:szCs w:val="24"/>
        </w:rPr>
        <w:t>号〈托管协议的内容与格式〉》《基金合同》及其他有关规定。</w:t>
      </w:r>
    </w:p>
    <w:p w14:paraId="547B6257"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2.2</w:t>
      </w:r>
      <w:r>
        <w:rPr>
          <w:rFonts w:ascii="Times New Roman"/>
          <w:szCs w:val="24"/>
        </w:rPr>
        <w:t>基金托管协议的目的</w:t>
      </w:r>
    </w:p>
    <w:p w14:paraId="1C7884CA"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568B0369"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2.3</w:t>
      </w:r>
      <w:r>
        <w:rPr>
          <w:rFonts w:ascii="Times New Roman"/>
          <w:szCs w:val="24"/>
        </w:rPr>
        <w:t>基金托管协议的原则</w:t>
      </w:r>
    </w:p>
    <w:p w14:paraId="2E0EBEAB"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基金管理人和基金托管人本着平等自愿、诚实信用、充分保护基金份额持有人合法权益的原则，经协商一致，签订本协议。</w:t>
      </w:r>
    </w:p>
    <w:p w14:paraId="06B572B4" w14:textId="77777777" w:rsidR="005F1E3F" w:rsidRDefault="005F1E3F">
      <w:pPr>
        <w:pStyle w:val="20"/>
        <w:spacing w:before="0" w:after="0" w:line="360" w:lineRule="auto"/>
        <w:ind w:left="0" w:firstLineChars="200" w:firstLine="480"/>
        <w:rPr>
          <w:rFonts w:ascii="Times New Roman"/>
          <w:szCs w:val="24"/>
        </w:rPr>
      </w:pPr>
    </w:p>
    <w:p w14:paraId="79FE08ED" w14:textId="77777777" w:rsidR="005F1E3F" w:rsidRDefault="006C56E6">
      <w:pPr>
        <w:pStyle w:val="1"/>
        <w:ind w:firstLineChars="200" w:firstLine="482"/>
        <w:rPr>
          <w:rFonts w:ascii="Times New Roman" w:hAnsi="Times New Roman"/>
          <w:bCs/>
          <w:color w:val="auto"/>
          <w:szCs w:val="24"/>
        </w:rPr>
      </w:pPr>
      <w:bookmarkStart w:id="15" w:name="_Toc296551339"/>
      <w:bookmarkStart w:id="16" w:name="_Toc26170398"/>
      <w:r>
        <w:rPr>
          <w:rFonts w:ascii="Times New Roman" w:hAnsi="Times New Roman"/>
          <w:bCs/>
          <w:color w:val="auto"/>
          <w:szCs w:val="24"/>
        </w:rPr>
        <w:t>第三条</w:t>
      </w:r>
      <w:r>
        <w:rPr>
          <w:rFonts w:ascii="Times New Roman" w:hAnsi="Times New Roman"/>
          <w:bCs/>
          <w:color w:val="auto"/>
          <w:szCs w:val="24"/>
        </w:rPr>
        <w:t xml:space="preserve"> </w:t>
      </w:r>
      <w:r>
        <w:rPr>
          <w:rFonts w:ascii="Times New Roman" w:hAnsi="Times New Roman"/>
          <w:bCs/>
          <w:color w:val="auto"/>
          <w:szCs w:val="24"/>
        </w:rPr>
        <w:t>基金托管人对基金管理人的业务监督和核查</w:t>
      </w:r>
      <w:bookmarkEnd w:id="15"/>
      <w:bookmarkEnd w:id="16"/>
    </w:p>
    <w:p w14:paraId="21A96C61" w14:textId="77777777" w:rsidR="005F1E3F" w:rsidRDefault="006C56E6">
      <w:pPr>
        <w:pStyle w:val="20"/>
        <w:spacing w:before="0" w:after="0" w:line="360" w:lineRule="auto"/>
        <w:ind w:left="0" w:firstLineChars="200" w:firstLine="480"/>
        <w:rPr>
          <w:rFonts w:ascii="Times New Roman"/>
          <w:szCs w:val="24"/>
        </w:rPr>
      </w:pPr>
      <w:r>
        <w:rPr>
          <w:rFonts w:ascii="Times New Roman"/>
          <w:szCs w:val="24"/>
        </w:rPr>
        <w:t>3.1</w:t>
      </w:r>
      <w:r>
        <w:rPr>
          <w:rFonts w:ascii="Times New Roman"/>
          <w:szCs w:val="24"/>
        </w:rPr>
        <w:t>基金托管人对基金管理人的投资行为行使监督权</w:t>
      </w:r>
    </w:p>
    <w:p w14:paraId="7BAF7783" w14:textId="77777777" w:rsidR="005F1E3F" w:rsidRDefault="006C56E6">
      <w:pPr>
        <w:pStyle w:val="20"/>
        <w:spacing w:before="0" w:after="0" w:line="360" w:lineRule="auto"/>
        <w:ind w:left="0" w:firstLineChars="200" w:firstLine="480"/>
        <w:rPr>
          <w:rFonts w:ascii="Times New Roman"/>
          <w:szCs w:val="24"/>
        </w:rPr>
      </w:pPr>
      <w:r>
        <w:rPr>
          <w:rFonts w:ascii="Times New Roman"/>
          <w:szCs w:val="24"/>
        </w:rPr>
        <w:lastRenderedPageBreak/>
        <w:t>3.1.1</w:t>
      </w:r>
      <w:r>
        <w:rPr>
          <w:rFonts w:ascii="Times New Roman"/>
          <w:szCs w:val="24"/>
        </w:rPr>
        <w:t>基金托管人根据有关法律法规的规定和基金合同的约定，对下述基金投资范围、投资对象进行监督。本基金将投资于以下金融工具：</w:t>
      </w:r>
    </w:p>
    <w:p w14:paraId="23E39CFC" w14:textId="74961A7B" w:rsidR="005F1E3F" w:rsidRDefault="006C56E6">
      <w:pPr>
        <w:pStyle w:val="20"/>
        <w:adjustRightInd w:val="0"/>
        <w:snapToGrid w:val="0"/>
        <w:spacing w:before="0" w:after="0" w:line="360" w:lineRule="auto"/>
        <w:ind w:left="0" w:firstLineChars="200" w:firstLine="480"/>
        <w:rPr>
          <w:rFonts w:ascii="Times New Roman"/>
        </w:rPr>
      </w:pPr>
      <w:r>
        <w:rPr>
          <w:rFonts w:ascii="Times New Roman" w:hint="eastAsia"/>
        </w:rPr>
        <w:t>本基金以目标</w:t>
      </w:r>
      <w:r>
        <w:rPr>
          <w:rFonts w:ascii="Times New Roman" w:hint="eastAsia"/>
        </w:rPr>
        <w:t>ETF</w:t>
      </w:r>
      <w:r>
        <w:rPr>
          <w:rFonts w:ascii="Times New Roman" w:hint="eastAsia"/>
        </w:rPr>
        <w:t>基金份额、标的指数成份股及备选成份股（</w:t>
      </w:r>
      <w:proofErr w:type="gramStart"/>
      <w:r>
        <w:rPr>
          <w:rFonts w:ascii="Times New Roman" w:hint="eastAsia"/>
        </w:rPr>
        <w:t>含存托</w:t>
      </w:r>
      <w:proofErr w:type="gramEnd"/>
      <w:r>
        <w:rPr>
          <w:rFonts w:ascii="Times New Roman" w:hint="eastAsia"/>
        </w:rPr>
        <w:t>凭证）为主要投资对象。此外，为更好地实现投资目标，本基金可少量投资于非成份股（包括</w:t>
      </w:r>
      <w:proofErr w:type="gramStart"/>
      <w:r>
        <w:rPr>
          <w:rFonts w:ascii="Times New Roman" w:hint="eastAsia"/>
        </w:rPr>
        <w:t>科创板</w:t>
      </w:r>
      <w:proofErr w:type="gramEnd"/>
      <w:r>
        <w:rPr>
          <w:rFonts w:ascii="Times New Roman" w:hint="eastAsia"/>
        </w:rPr>
        <w:t>、创业板及其他国内依法发行上市的股票、存托凭证）、债券、债券回购、资产支持证券、银行存款、同业存单、货币市场工具、金融衍生工具（包括股指期货、股票期权、国债期货等）以及法律法规或中国证监会允许本基金投资的其他金融工具（但须符合中国证监会的相关规定）。本基金的目标</w:t>
      </w:r>
      <w:r>
        <w:rPr>
          <w:rFonts w:ascii="Times New Roman" w:hint="eastAsia"/>
        </w:rPr>
        <w:t>ETF</w:t>
      </w:r>
      <w:r>
        <w:rPr>
          <w:rFonts w:ascii="Times New Roman" w:hint="eastAsia"/>
        </w:rPr>
        <w:t>为广发中证</w:t>
      </w:r>
      <w:r>
        <w:rPr>
          <w:rFonts w:ascii="Times New Roman" w:hint="eastAsia"/>
        </w:rPr>
        <w:t>800</w:t>
      </w:r>
      <w:r>
        <w:rPr>
          <w:rFonts w:ascii="Times New Roman" w:hint="eastAsia"/>
        </w:rPr>
        <w:t>自由现金</w:t>
      </w:r>
      <w:proofErr w:type="gramStart"/>
      <w:r>
        <w:rPr>
          <w:rFonts w:ascii="Times New Roman" w:hint="eastAsia"/>
        </w:rPr>
        <w:t>流交易</w:t>
      </w:r>
      <w:proofErr w:type="gramEnd"/>
      <w:r>
        <w:rPr>
          <w:rFonts w:ascii="Times New Roman" w:hint="eastAsia"/>
        </w:rPr>
        <w:t>型开放式指数证券投资基金。</w:t>
      </w:r>
    </w:p>
    <w:p w14:paraId="6E0A2AAA" w14:textId="3D82C649" w:rsidR="005F1E3F" w:rsidRDefault="006C56E6">
      <w:pPr>
        <w:pStyle w:val="20"/>
        <w:adjustRightInd w:val="0"/>
        <w:snapToGrid w:val="0"/>
        <w:spacing w:before="0" w:after="0" w:line="360" w:lineRule="auto"/>
        <w:ind w:left="0" w:firstLineChars="200" w:firstLine="480"/>
        <w:rPr>
          <w:rFonts w:ascii="Times New Roman"/>
        </w:rPr>
      </w:pPr>
      <w:r>
        <w:rPr>
          <w:rFonts w:ascii="Times New Roman"/>
        </w:rPr>
        <w:t>本基金可根据法律法规的规定参与转融通证券出借</w:t>
      </w:r>
      <w:r>
        <w:rPr>
          <w:rFonts w:ascii="Times New Roman" w:hint="eastAsia"/>
        </w:rPr>
        <w:t>及融资</w:t>
      </w:r>
      <w:r>
        <w:rPr>
          <w:rFonts w:ascii="Times New Roman"/>
        </w:rPr>
        <w:t>业务。</w:t>
      </w:r>
    </w:p>
    <w:p w14:paraId="0AE6B319" w14:textId="77777777" w:rsidR="005F1E3F" w:rsidRDefault="006C56E6">
      <w:pPr>
        <w:pStyle w:val="20"/>
        <w:adjustRightInd w:val="0"/>
        <w:snapToGrid w:val="0"/>
        <w:spacing w:before="0" w:after="0" w:line="360" w:lineRule="auto"/>
        <w:ind w:left="0" w:firstLineChars="200" w:firstLine="480"/>
        <w:rPr>
          <w:rFonts w:ascii="Times New Roman"/>
        </w:rPr>
      </w:pPr>
      <w:r>
        <w:rPr>
          <w:rFonts w:ascii="Times New Roman" w:hint="eastAsia"/>
        </w:rPr>
        <w:t>如法律法规或监管机构以后允许基金投资于其他品种，基金管理人在履行适当程序后，可以将其纳入投资范围。</w:t>
      </w:r>
    </w:p>
    <w:p w14:paraId="2A796DD9" w14:textId="77777777" w:rsidR="005F1E3F" w:rsidRDefault="006C56E6" w:rsidP="0047036C">
      <w:pPr>
        <w:pStyle w:val="20"/>
        <w:adjustRightInd w:val="0"/>
        <w:snapToGrid w:val="0"/>
        <w:spacing w:before="0" w:after="0" w:line="360" w:lineRule="auto"/>
        <w:ind w:left="0" w:firstLineChars="200" w:firstLine="480"/>
        <w:rPr>
          <w:rFonts w:ascii="Times New Roman"/>
        </w:rPr>
      </w:pPr>
      <w:r>
        <w:rPr>
          <w:rFonts w:ascii="Times New Roman" w:hint="eastAsia"/>
        </w:rPr>
        <w:t>基金的投资组合比例为：投资于目标</w:t>
      </w:r>
      <w:r>
        <w:rPr>
          <w:rFonts w:ascii="Times New Roman" w:hint="eastAsia"/>
        </w:rPr>
        <w:t>ETF</w:t>
      </w:r>
      <w:r>
        <w:rPr>
          <w:rFonts w:ascii="Times New Roman" w:hint="eastAsia"/>
        </w:rPr>
        <w:t>的比例不低于基金资产净值的</w:t>
      </w:r>
      <w:r>
        <w:rPr>
          <w:rFonts w:ascii="Times New Roman" w:hint="eastAsia"/>
        </w:rPr>
        <w:t>90%</w:t>
      </w:r>
      <w:r>
        <w:rPr>
          <w:rFonts w:ascii="Times New Roman" w:hint="eastAsia"/>
        </w:rPr>
        <w:t>且不低于非现金基金资产的</w:t>
      </w:r>
      <w:r>
        <w:rPr>
          <w:rFonts w:ascii="Times New Roman" w:hint="eastAsia"/>
        </w:rPr>
        <w:t>80%</w:t>
      </w:r>
      <w:r>
        <w:rPr>
          <w:rFonts w:ascii="Times New Roman" w:hint="eastAsia"/>
        </w:rPr>
        <w:t>；每个交易日日终在扣除股指期货合约、股票期权合约、国债期货合约需缴纳的交易保证金后，现金及到期日在一年以内的政府债券的比例合计不低于基金资产净值的</w:t>
      </w:r>
      <w:r>
        <w:rPr>
          <w:rFonts w:ascii="Times New Roman" w:hint="eastAsia"/>
        </w:rPr>
        <w:t>5%</w:t>
      </w:r>
      <w:r>
        <w:rPr>
          <w:rFonts w:ascii="Times New Roman" w:hint="eastAsia"/>
        </w:rPr>
        <w:t>，现金不包括结算备付金、存出保证金、应收申购款等。股指期货、股票期权、国债期货及其他金融工具的投资比例依照法律法规或监管机构的规定执行。</w:t>
      </w:r>
    </w:p>
    <w:p w14:paraId="2DA9F975" w14:textId="6E3210F4" w:rsidR="005F1E3F" w:rsidRDefault="006C56E6">
      <w:pPr>
        <w:pStyle w:val="20"/>
        <w:adjustRightInd w:val="0"/>
        <w:snapToGrid w:val="0"/>
        <w:spacing w:before="0" w:after="0" w:line="360" w:lineRule="auto"/>
        <w:ind w:left="0" w:firstLineChars="200" w:firstLine="480"/>
        <w:rPr>
          <w:rFonts w:ascii="Times New Roman"/>
        </w:rPr>
      </w:pPr>
      <w:r>
        <w:rPr>
          <w:rFonts w:ascii="Times New Roman" w:hint="eastAsia"/>
        </w:rPr>
        <w:t>如法律法规或中国证监会变更投资品种的投资比例限制，基金管理人在履行适当程序后，可以做出相应调整。</w:t>
      </w:r>
    </w:p>
    <w:p w14:paraId="4B9A2F59" w14:textId="77777777" w:rsidR="005F1E3F" w:rsidRDefault="006C56E6" w:rsidP="0047036C">
      <w:pPr>
        <w:spacing w:line="360" w:lineRule="auto"/>
        <w:ind w:firstLineChars="200" w:firstLine="480"/>
        <w:rPr>
          <w:sz w:val="24"/>
          <w:szCs w:val="24"/>
        </w:rPr>
      </w:pPr>
      <w:r>
        <w:rPr>
          <w:sz w:val="24"/>
          <w:szCs w:val="24"/>
        </w:rPr>
        <w:t>3.1.2</w:t>
      </w:r>
      <w:r>
        <w:rPr>
          <w:sz w:val="24"/>
          <w:szCs w:val="24"/>
        </w:rPr>
        <w:t>基金托管人根据有关法律法规的规定及基金合同的约定对下述基金投融资比例进行监督：</w:t>
      </w:r>
      <w:r>
        <w:rPr>
          <w:sz w:val="24"/>
          <w:szCs w:val="24"/>
        </w:rPr>
        <w:t xml:space="preserve"> </w:t>
      </w:r>
    </w:p>
    <w:p w14:paraId="3FEA626A" w14:textId="77777777" w:rsidR="005F1E3F" w:rsidRDefault="006C56E6" w:rsidP="0047036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）本基金投资于目标</w:t>
      </w:r>
      <w:r>
        <w:rPr>
          <w:rFonts w:hint="eastAsia"/>
          <w:bCs/>
          <w:sz w:val="24"/>
        </w:rPr>
        <w:t>ETF</w:t>
      </w:r>
      <w:r>
        <w:rPr>
          <w:rFonts w:hint="eastAsia"/>
          <w:bCs/>
          <w:sz w:val="24"/>
        </w:rPr>
        <w:t>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w:t>
      </w:r>
    </w:p>
    <w:p w14:paraId="1DCE4857" w14:textId="77777777" w:rsidR="005F1E3F" w:rsidRDefault="006C56E6" w:rsidP="0047036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）每个交易日日终在扣除股指期货合约、股票期权合约、国债期货合约需缴纳的交易保证金后，保持不低于基金资产净值</w:t>
      </w:r>
      <w:r>
        <w:rPr>
          <w:rFonts w:hint="eastAsia"/>
          <w:bCs/>
          <w:sz w:val="24"/>
        </w:rPr>
        <w:t>5%</w:t>
      </w:r>
      <w:r>
        <w:rPr>
          <w:rFonts w:hint="eastAsia"/>
          <w:bCs/>
          <w:sz w:val="24"/>
        </w:rPr>
        <w:t>的现金或者到期日在一年以内的政府债券，其中现金不包括结算备付金、存出保证金及应收申购款等；</w:t>
      </w:r>
    </w:p>
    <w:p w14:paraId="0DB9F532" w14:textId="77777777" w:rsidR="005F1E3F" w:rsidRDefault="006C56E6" w:rsidP="0047036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）本基金参与股指期货交易的，应当符合下列投资限制：</w:t>
      </w:r>
    </w:p>
    <w:p w14:paraId="32002C7F" w14:textId="77777777" w:rsidR="005F1E3F" w:rsidRDefault="006C56E6" w:rsidP="0047036C">
      <w:pPr>
        <w:spacing w:line="360" w:lineRule="auto"/>
        <w:ind w:firstLineChars="200" w:firstLine="480"/>
        <w:rPr>
          <w:bCs/>
          <w:sz w:val="24"/>
        </w:rPr>
      </w:pPr>
      <w:r>
        <w:rPr>
          <w:rFonts w:hint="eastAsia"/>
          <w:bCs/>
          <w:sz w:val="24"/>
        </w:rPr>
        <w:t>在任何交易日日终，持有的买入股指期货合约价值，不得超过基金资产净值的</w:t>
      </w:r>
      <w:r>
        <w:rPr>
          <w:rFonts w:hint="eastAsia"/>
          <w:bCs/>
          <w:sz w:val="24"/>
        </w:rPr>
        <w:t>10%</w:t>
      </w:r>
      <w:r>
        <w:rPr>
          <w:rFonts w:hint="eastAsia"/>
          <w:bCs/>
          <w:sz w:val="24"/>
        </w:rPr>
        <w:t>；在任何交易日日终，持有的买入股指期货合约、国债期货合约价值与有价证券市值之和，不得超过基金资产净值的</w:t>
      </w:r>
      <w:r>
        <w:rPr>
          <w:rFonts w:hint="eastAsia"/>
          <w:bCs/>
          <w:sz w:val="24"/>
        </w:rPr>
        <w:t>100%</w:t>
      </w:r>
      <w:r>
        <w:rPr>
          <w:rFonts w:hint="eastAsia"/>
          <w:bCs/>
          <w:sz w:val="24"/>
        </w:rPr>
        <w:t>，其中，有价证券指目标</w:t>
      </w:r>
      <w:r>
        <w:rPr>
          <w:rFonts w:hint="eastAsia"/>
          <w:bCs/>
          <w:sz w:val="24"/>
        </w:rPr>
        <w:t>ETF</w:t>
      </w:r>
      <w:r>
        <w:rPr>
          <w:rFonts w:hint="eastAsia"/>
          <w:bCs/>
          <w:sz w:val="24"/>
        </w:rPr>
        <w:t>、股票、债券（不含到期日在一年以内的政府债券）、资产支持证券、买入返售金融资产（不</w:t>
      </w:r>
      <w:r>
        <w:rPr>
          <w:rFonts w:hint="eastAsia"/>
          <w:bCs/>
          <w:sz w:val="24"/>
        </w:rPr>
        <w:lastRenderedPageBreak/>
        <w:t>含质押式回购）等；在任何交易日日终，持有的卖出股指期货合约价值不得超过基金持有的股票及目标</w:t>
      </w:r>
      <w:r>
        <w:rPr>
          <w:rFonts w:hint="eastAsia"/>
          <w:bCs/>
          <w:sz w:val="24"/>
        </w:rPr>
        <w:t>ETF</w:t>
      </w:r>
      <w:r>
        <w:rPr>
          <w:rFonts w:hint="eastAsia"/>
          <w:bCs/>
          <w:sz w:val="24"/>
        </w:rPr>
        <w:t>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；本基金所持有的股票和买入、卖出股指期货合约价值合计（轧差计算）应当符合基金合同关于股票投资比例的有关约定；</w:t>
      </w:r>
    </w:p>
    <w:p w14:paraId="4BB7D9DB" w14:textId="77777777" w:rsidR="005F1E3F" w:rsidRDefault="006C56E6" w:rsidP="0047036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）本基金参与转融通证券出借业务的，还须符合以下限制：出借证券资产不得超过基金资产净值的</w:t>
      </w:r>
      <w:r>
        <w:rPr>
          <w:rFonts w:hint="eastAsia"/>
          <w:bCs/>
          <w:sz w:val="24"/>
        </w:rPr>
        <w:t>30%</w:t>
      </w:r>
      <w:r>
        <w:rPr>
          <w:rFonts w:hint="eastAsia"/>
          <w:bCs/>
          <w:sz w:val="24"/>
        </w:rPr>
        <w:t>；参与出借业务的单只证券不得超过基金持有该证券总量的</w:t>
      </w:r>
      <w:r>
        <w:rPr>
          <w:rFonts w:hint="eastAsia"/>
          <w:bCs/>
          <w:sz w:val="24"/>
        </w:rPr>
        <w:t>50%</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亿元；证券出借的平均剩余期限不得超过</w:t>
      </w:r>
      <w:r>
        <w:rPr>
          <w:rFonts w:hint="eastAsia"/>
          <w:bCs/>
          <w:sz w:val="24"/>
        </w:rPr>
        <w:t>30</w:t>
      </w:r>
      <w:r>
        <w:rPr>
          <w:rFonts w:hint="eastAsia"/>
          <w:bCs/>
          <w:sz w:val="24"/>
        </w:rPr>
        <w:t>天，平均剩余期限按照市值加权平均计算；</w:t>
      </w:r>
    </w:p>
    <w:p w14:paraId="672D789A" w14:textId="77777777" w:rsidR="005F1E3F" w:rsidRDefault="006C56E6" w:rsidP="0047036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5678A82D" w14:textId="77777777" w:rsidR="005F1E3F" w:rsidRDefault="006C56E6" w:rsidP="0047036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6DD8A654" w14:textId="77777777" w:rsidR="005F1E3F" w:rsidRDefault="006C56E6" w:rsidP="0047036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2B71D882" w14:textId="77777777" w:rsidR="005F1E3F" w:rsidRDefault="006C56E6" w:rsidP="0047036C">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）本基金管理人管理且由本基金托管人托管的全部基金投资于同一原始权益人的各类资产支持证券，不得超过其各类资产支持证券合计规模的</w:t>
      </w:r>
      <w:r>
        <w:rPr>
          <w:rFonts w:hint="eastAsia"/>
          <w:bCs/>
          <w:sz w:val="24"/>
        </w:rPr>
        <w:t>10%</w:t>
      </w:r>
      <w:r>
        <w:rPr>
          <w:rFonts w:hint="eastAsia"/>
          <w:bCs/>
          <w:sz w:val="24"/>
        </w:rPr>
        <w:t>；</w:t>
      </w:r>
    </w:p>
    <w:p w14:paraId="498BAD98" w14:textId="77777777" w:rsidR="005F1E3F" w:rsidRDefault="006C56E6" w:rsidP="0047036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0E8F8D2B" w14:textId="77777777" w:rsidR="005F1E3F" w:rsidRDefault="006C56E6" w:rsidP="0047036C">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）本基金主动投资于流动性受限资产的市值合计不得超过该基金资产净值的</w:t>
      </w:r>
      <w:r>
        <w:rPr>
          <w:rFonts w:hint="eastAsia"/>
          <w:bCs/>
          <w:sz w:val="24"/>
        </w:rPr>
        <w:t xml:space="preserve"> 15%</w:t>
      </w:r>
      <w:r>
        <w:rPr>
          <w:rFonts w:hint="eastAsia"/>
          <w:bCs/>
          <w:sz w:val="24"/>
        </w:rPr>
        <w:t>。因期货市场波动、证券市场波动、证券停牌、基金规模变动等基金管理人之外的因素致使基金不符合该比例限制的，基金管理人不得主动新增流动性受限资产的投资；</w:t>
      </w:r>
    </w:p>
    <w:p w14:paraId="34276225" w14:textId="77777777" w:rsidR="005F1E3F" w:rsidRDefault="006C56E6" w:rsidP="0047036C">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65ECEFC5" w14:textId="77777777" w:rsidR="005F1E3F" w:rsidRDefault="006C56E6" w:rsidP="0047036C">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）基金资产总值不得超过基金资产净值的</w:t>
      </w:r>
      <w:r>
        <w:rPr>
          <w:rFonts w:hint="eastAsia"/>
          <w:bCs/>
          <w:sz w:val="24"/>
        </w:rPr>
        <w:t>140%</w:t>
      </w:r>
      <w:r>
        <w:rPr>
          <w:rFonts w:hint="eastAsia"/>
          <w:bCs/>
          <w:sz w:val="24"/>
        </w:rPr>
        <w:t>；</w:t>
      </w:r>
    </w:p>
    <w:p w14:paraId="4DB73999" w14:textId="77777777" w:rsidR="005F1E3F" w:rsidRDefault="006C56E6" w:rsidP="0047036C">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）本基金投资存托凭证的比例限制依照境内上市交易的股票执行，与境内上市交易的股票合并计算；</w:t>
      </w:r>
    </w:p>
    <w:p w14:paraId="0929850B" w14:textId="77777777" w:rsidR="005F1E3F" w:rsidRDefault="006C56E6" w:rsidP="0047036C">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）本基金参与股票期权交易的，应当符合下列风险控制指标要求：因未平仓的期权合约支付和收取的权利金总额不得超过基金资产净值的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w:t>
      </w:r>
      <w:r>
        <w:rPr>
          <w:rFonts w:hint="eastAsia"/>
          <w:bCs/>
          <w:sz w:val="24"/>
        </w:rPr>
        <w:lastRenderedPageBreak/>
        <w:t>额现金或交易所规则认可的可冲抵期权保证金的现金等价物；未平仓的期权合约面值不得超过基金资产净值的</w:t>
      </w:r>
      <w:r>
        <w:rPr>
          <w:rFonts w:hint="eastAsia"/>
          <w:bCs/>
          <w:sz w:val="24"/>
        </w:rPr>
        <w:t>20%</w:t>
      </w:r>
      <w:r>
        <w:rPr>
          <w:rFonts w:hint="eastAsia"/>
          <w:bCs/>
          <w:sz w:val="24"/>
        </w:rPr>
        <w:t>。其中，合约面值按照行权价乘以合约乘数计算；</w:t>
      </w:r>
    </w:p>
    <w:p w14:paraId="18E19E09" w14:textId="77777777" w:rsidR="005F1E3F" w:rsidRDefault="006C56E6" w:rsidP="0047036C">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）本基金参与国债期货交易，应当符合下列投资限制：</w:t>
      </w:r>
    </w:p>
    <w:p w14:paraId="22788B19" w14:textId="425C93D6" w:rsidR="005F1E3F" w:rsidRDefault="006C56E6" w:rsidP="0047036C">
      <w:pPr>
        <w:spacing w:line="360" w:lineRule="auto"/>
        <w:ind w:firstLineChars="200" w:firstLine="480"/>
        <w:rPr>
          <w:bCs/>
          <w:sz w:val="24"/>
        </w:rPr>
      </w:pP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Pr>
          <w:rFonts w:hint="eastAsia"/>
          <w:bCs/>
          <w:sz w:val="24"/>
        </w:rPr>
        <w:t xml:space="preserve"> 30%</w:t>
      </w:r>
      <w:r>
        <w:rPr>
          <w:rFonts w:hint="eastAsia"/>
          <w:bCs/>
          <w:sz w:val="24"/>
        </w:rPr>
        <w:t>；</w:t>
      </w:r>
    </w:p>
    <w:p w14:paraId="057D1108" w14:textId="77777777" w:rsidR="005F1E3F" w:rsidRDefault="006C56E6" w:rsidP="0047036C">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）基金财产参与股票发行申购，本基金所申报的金额不超过本基金的总资产，本基金所申报的股票数量不超过拟发行股票公司本次发行股票的总量；</w:t>
      </w:r>
    </w:p>
    <w:p w14:paraId="2A03164E" w14:textId="77777777" w:rsidR="005F1E3F" w:rsidRDefault="006C56E6" w:rsidP="0047036C">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）法律法规及中国证监会规定的和《基金合同》约定的其他投资限制。</w:t>
      </w:r>
    </w:p>
    <w:p w14:paraId="537B833B" w14:textId="74A05966" w:rsidR="005F1E3F" w:rsidRDefault="006C56E6" w:rsidP="0047036C">
      <w:pPr>
        <w:spacing w:line="360" w:lineRule="auto"/>
        <w:ind w:firstLineChars="200" w:firstLine="480"/>
        <w:rPr>
          <w:bCs/>
          <w:sz w:val="24"/>
        </w:rPr>
      </w:pPr>
      <w:r>
        <w:rPr>
          <w:rFonts w:hint="eastAsia"/>
          <w:bCs/>
          <w:sz w:val="24"/>
        </w:rPr>
        <w:t>除第（</w:t>
      </w:r>
      <w:r>
        <w:rPr>
          <w:rFonts w:hint="eastAsia"/>
          <w:bCs/>
          <w:sz w:val="24"/>
        </w:rPr>
        <w:t>1</w:t>
      </w:r>
      <w:r>
        <w:rPr>
          <w:rFonts w:hint="eastAsia"/>
          <w:bCs/>
          <w:sz w:val="24"/>
        </w:rPr>
        <w:t>）、（</w:t>
      </w:r>
      <w:r>
        <w:rPr>
          <w:rFonts w:hint="eastAsia"/>
          <w:bCs/>
          <w:sz w:val="24"/>
        </w:rPr>
        <w:t>2</w:t>
      </w:r>
      <w:r>
        <w:rPr>
          <w:rFonts w:hint="eastAsia"/>
          <w:bCs/>
          <w:sz w:val="24"/>
        </w:rPr>
        <w:t>）、（</w:t>
      </w:r>
      <w:r>
        <w:rPr>
          <w:rFonts w:hint="eastAsia"/>
          <w:bCs/>
          <w:sz w:val="24"/>
        </w:rPr>
        <w:t>4</w:t>
      </w:r>
      <w:r>
        <w:rPr>
          <w:rFonts w:hint="eastAsia"/>
          <w:bCs/>
          <w:sz w:val="24"/>
        </w:rPr>
        <w:t>）、（</w:t>
      </w:r>
      <w:r>
        <w:rPr>
          <w:rFonts w:hint="eastAsia"/>
          <w:bCs/>
          <w:sz w:val="24"/>
        </w:rPr>
        <w:t>9</w:t>
      </w:r>
      <w:r>
        <w:rPr>
          <w:rFonts w:hint="eastAsia"/>
          <w:bCs/>
          <w:sz w:val="24"/>
        </w:rPr>
        <w:t>）、（</w:t>
      </w:r>
      <w:r>
        <w:rPr>
          <w:rFonts w:hint="eastAsia"/>
          <w:bCs/>
          <w:sz w:val="24"/>
        </w:rPr>
        <w:t>10</w:t>
      </w:r>
      <w:r>
        <w:rPr>
          <w:rFonts w:hint="eastAsia"/>
          <w:bCs/>
          <w:sz w:val="24"/>
        </w:rPr>
        <w:t>）、（</w:t>
      </w:r>
      <w:r>
        <w:rPr>
          <w:rFonts w:hint="eastAsia"/>
          <w:bCs/>
          <w:sz w:val="24"/>
        </w:rPr>
        <w:t>11</w:t>
      </w:r>
      <w:r>
        <w:rPr>
          <w:rFonts w:hint="eastAsia"/>
          <w:bCs/>
          <w:sz w:val="24"/>
        </w:rPr>
        <w:t>）条规定的情形外，因期货市场波动、证券市场波动、基金规模变动、目标</w:t>
      </w:r>
      <w:r>
        <w:rPr>
          <w:rFonts w:hint="eastAsia"/>
          <w:bCs/>
          <w:sz w:val="24"/>
        </w:rPr>
        <w:t>ETF</w:t>
      </w:r>
      <w:r>
        <w:rPr>
          <w:rFonts w:hint="eastAsia"/>
          <w:bCs/>
          <w:sz w:val="24"/>
        </w:rPr>
        <w:t>暂停申购、赎回或二级市场交易停牌等基金管理人之外的因素致使基金投资比例不符合上述规定投资比例的，基金管理人应当在</w:t>
      </w:r>
      <w:r>
        <w:rPr>
          <w:rFonts w:hint="eastAsia"/>
          <w:bCs/>
          <w:sz w:val="24"/>
        </w:rPr>
        <w:t>10</w:t>
      </w:r>
      <w:r>
        <w:rPr>
          <w:rFonts w:hint="eastAsia"/>
          <w:bCs/>
          <w:sz w:val="24"/>
        </w:rPr>
        <w:t>个交易日内进行调整。</w:t>
      </w:r>
    </w:p>
    <w:p w14:paraId="4466408E" w14:textId="7DE008FC" w:rsidR="005F1E3F" w:rsidRDefault="006C56E6" w:rsidP="0047036C">
      <w:pPr>
        <w:spacing w:line="360" w:lineRule="auto"/>
        <w:ind w:firstLineChars="200" w:firstLine="480"/>
        <w:rPr>
          <w:bCs/>
          <w:sz w:val="24"/>
        </w:rPr>
      </w:pPr>
      <w:r>
        <w:rPr>
          <w:rFonts w:hint="eastAsia"/>
          <w:bCs/>
          <w:sz w:val="24"/>
        </w:rPr>
        <w:t>因期货市场波动、证券市场波动、基金规模变动、目标</w:t>
      </w:r>
      <w:r>
        <w:rPr>
          <w:rFonts w:hint="eastAsia"/>
          <w:bCs/>
          <w:sz w:val="24"/>
        </w:rPr>
        <w:t>ETF</w:t>
      </w:r>
      <w:r>
        <w:rPr>
          <w:rFonts w:hint="eastAsia"/>
          <w:bCs/>
          <w:sz w:val="24"/>
        </w:rPr>
        <w:t>暂停申购、赎回或二级市场交易停牌等基金管理人之外的因素致使基金投资比例不符合上述第（</w:t>
      </w:r>
      <w:r>
        <w:rPr>
          <w:rFonts w:hint="eastAsia"/>
          <w:bCs/>
          <w:sz w:val="24"/>
        </w:rPr>
        <w:t>1</w:t>
      </w:r>
      <w:r>
        <w:rPr>
          <w:rFonts w:hint="eastAsia"/>
          <w:bCs/>
          <w:sz w:val="24"/>
        </w:rPr>
        <w:t>）项规定的比例的，基金管理人应当在</w:t>
      </w:r>
      <w:r>
        <w:rPr>
          <w:rFonts w:hint="eastAsia"/>
          <w:bCs/>
          <w:sz w:val="24"/>
        </w:rPr>
        <w:t>20</w:t>
      </w:r>
      <w:r>
        <w:rPr>
          <w:rFonts w:hint="eastAsia"/>
          <w:bCs/>
          <w:sz w:val="24"/>
        </w:rPr>
        <w:t>个交易日内进行调整，但中国证监会规定的特殊情形除外。</w:t>
      </w:r>
    </w:p>
    <w:p w14:paraId="21C7646D" w14:textId="77777777" w:rsidR="005F1E3F" w:rsidRDefault="006C56E6">
      <w:pPr>
        <w:spacing w:line="360" w:lineRule="auto"/>
        <w:ind w:firstLineChars="200" w:firstLine="480"/>
        <w:rPr>
          <w:bCs/>
          <w:sz w:val="24"/>
        </w:rPr>
      </w:pPr>
      <w:r>
        <w:rPr>
          <w:rFonts w:hint="eastAsia"/>
          <w:bCs/>
          <w:sz w:val="24"/>
        </w:rPr>
        <w:t>因证券市场波动、上市公司合并、基金规模变动等基金管理人之外的因素致使基金投资不符合第（</w:t>
      </w:r>
      <w:r>
        <w:rPr>
          <w:rFonts w:hint="eastAsia"/>
          <w:bCs/>
          <w:sz w:val="24"/>
        </w:rPr>
        <w:t>4</w:t>
      </w:r>
      <w:r>
        <w:rPr>
          <w:rFonts w:hint="eastAsia"/>
          <w:bCs/>
          <w:sz w:val="24"/>
        </w:rPr>
        <w:t>）项规定的，基金管理人不得新增出借业务。基金参与出借业务不终止确认出借证券。基金持有证券的持有期计算不因出借而受影响，出借证券应纳入基金投资运作指标计算范围。</w:t>
      </w:r>
    </w:p>
    <w:p w14:paraId="3E418DB4" w14:textId="22D8211B" w:rsidR="005F1E3F" w:rsidRDefault="006C56E6">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个月内使基金的投资组合比例符合基金合同的有关约定。基金托管人对基金的投资的监督与检查自基金合同生效之日起开始。</w:t>
      </w:r>
    </w:p>
    <w:p w14:paraId="0DE470EE" w14:textId="77777777" w:rsidR="005F1E3F" w:rsidRDefault="006C56E6">
      <w:pPr>
        <w:pStyle w:val="20"/>
        <w:spacing w:before="0" w:after="0" w:line="360" w:lineRule="auto"/>
        <w:ind w:left="0" w:firstLineChars="200" w:firstLine="480"/>
        <w:rPr>
          <w:rFonts w:ascii="Times New Roman"/>
          <w:szCs w:val="24"/>
        </w:rPr>
      </w:pPr>
      <w:r>
        <w:rPr>
          <w:rFonts w:ascii="Times New Roman"/>
          <w:szCs w:val="24"/>
        </w:rPr>
        <w:t>3.1.3</w:t>
      </w:r>
      <w:r>
        <w:rPr>
          <w:rFonts w:ascii="Times New Roman"/>
          <w:szCs w:val="24"/>
        </w:rPr>
        <w:t>基金托管人根据有关法律法规的规定及基金合同的约定对下述基金投资禁止行为进行监督：</w:t>
      </w:r>
    </w:p>
    <w:p w14:paraId="0FCD04CC" w14:textId="77777777" w:rsidR="005F1E3F" w:rsidRDefault="006C56E6">
      <w:pPr>
        <w:pStyle w:val="20"/>
        <w:spacing w:before="0" w:after="0" w:line="360" w:lineRule="auto"/>
        <w:ind w:left="0" w:firstLineChars="200" w:firstLine="480"/>
        <w:rPr>
          <w:rFonts w:ascii="Times New Roman"/>
          <w:szCs w:val="24"/>
        </w:rPr>
      </w:pPr>
      <w:r>
        <w:rPr>
          <w:rFonts w:ascii="Times New Roman"/>
          <w:szCs w:val="24"/>
        </w:rPr>
        <w:t>根据法律法规的规定及基金合同的约定，本基金禁止从事下列行为：</w:t>
      </w:r>
    </w:p>
    <w:p w14:paraId="0665B932" w14:textId="77777777" w:rsidR="005F1E3F" w:rsidRDefault="006C56E6">
      <w:pPr>
        <w:pBdr>
          <w:top w:val="none" w:sz="0" w:space="0" w:color="000000"/>
          <w:left w:val="none" w:sz="0" w:space="0" w:color="000000"/>
          <w:bottom w:val="none" w:sz="0" w:space="0" w:color="000000"/>
          <w:right w:val="none" w:sz="0" w:space="0" w:color="000000"/>
          <w:between w:val="none" w:sz="0" w:space="0" w:color="000000"/>
        </w:pBdr>
        <w:spacing w:line="360" w:lineRule="auto"/>
        <w:ind w:firstLine="480"/>
        <w:rPr>
          <w:bCs/>
          <w:kern w:val="0"/>
          <w:sz w:val="24"/>
          <w:szCs w:val="22"/>
        </w:rPr>
      </w:pPr>
      <w:r>
        <w:rPr>
          <w:bCs/>
          <w:kern w:val="0"/>
          <w:sz w:val="24"/>
          <w:szCs w:val="22"/>
        </w:rPr>
        <w:t>（</w:t>
      </w:r>
      <w:r>
        <w:rPr>
          <w:bCs/>
          <w:kern w:val="0"/>
          <w:sz w:val="24"/>
          <w:szCs w:val="22"/>
        </w:rPr>
        <w:t>1</w:t>
      </w:r>
      <w:r>
        <w:rPr>
          <w:bCs/>
          <w:kern w:val="0"/>
          <w:sz w:val="24"/>
          <w:szCs w:val="22"/>
        </w:rPr>
        <w:t>）承销证券；</w:t>
      </w:r>
      <w:r>
        <w:rPr>
          <w:bCs/>
          <w:kern w:val="0"/>
          <w:sz w:val="24"/>
          <w:szCs w:val="22"/>
        </w:rPr>
        <w:t xml:space="preserve"> </w:t>
      </w:r>
    </w:p>
    <w:p w14:paraId="077E7362" w14:textId="77777777" w:rsidR="005F1E3F" w:rsidRDefault="006C56E6">
      <w:pPr>
        <w:pBdr>
          <w:top w:val="none" w:sz="0" w:space="0" w:color="000000"/>
          <w:left w:val="none" w:sz="0" w:space="0" w:color="000000"/>
          <w:bottom w:val="none" w:sz="0" w:space="0" w:color="000000"/>
          <w:right w:val="none" w:sz="0" w:space="0" w:color="000000"/>
          <w:between w:val="none" w:sz="0" w:space="0" w:color="000000"/>
        </w:pBdr>
        <w:spacing w:line="360" w:lineRule="auto"/>
        <w:ind w:firstLine="480"/>
        <w:rPr>
          <w:bCs/>
          <w:kern w:val="0"/>
          <w:sz w:val="24"/>
          <w:szCs w:val="22"/>
        </w:rPr>
      </w:pPr>
      <w:r>
        <w:rPr>
          <w:bCs/>
          <w:kern w:val="0"/>
          <w:sz w:val="24"/>
          <w:szCs w:val="22"/>
        </w:rPr>
        <w:t>（</w:t>
      </w:r>
      <w:r>
        <w:rPr>
          <w:bCs/>
          <w:kern w:val="0"/>
          <w:sz w:val="24"/>
          <w:szCs w:val="22"/>
        </w:rPr>
        <w:t>2</w:t>
      </w:r>
      <w:r>
        <w:rPr>
          <w:bCs/>
          <w:kern w:val="0"/>
          <w:sz w:val="24"/>
          <w:szCs w:val="22"/>
        </w:rPr>
        <w:t>）违反规定向他人贷款或者提供担保；</w:t>
      </w:r>
      <w:r>
        <w:rPr>
          <w:bCs/>
          <w:kern w:val="0"/>
          <w:sz w:val="24"/>
          <w:szCs w:val="22"/>
        </w:rPr>
        <w:t xml:space="preserve"> </w:t>
      </w:r>
    </w:p>
    <w:p w14:paraId="191D1D44" w14:textId="77777777" w:rsidR="005F1E3F" w:rsidRDefault="006C56E6">
      <w:pPr>
        <w:pBdr>
          <w:top w:val="none" w:sz="0" w:space="0" w:color="000000"/>
          <w:left w:val="none" w:sz="0" w:space="0" w:color="000000"/>
          <w:bottom w:val="none" w:sz="0" w:space="0" w:color="000000"/>
          <w:right w:val="none" w:sz="0" w:space="0" w:color="000000"/>
          <w:between w:val="none" w:sz="0" w:space="0" w:color="000000"/>
        </w:pBdr>
        <w:spacing w:line="360" w:lineRule="auto"/>
        <w:ind w:firstLine="480"/>
        <w:rPr>
          <w:bCs/>
          <w:kern w:val="0"/>
          <w:sz w:val="24"/>
          <w:szCs w:val="22"/>
        </w:rPr>
      </w:pPr>
      <w:r>
        <w:rPr>
          <w:bCs/>
          <w:kern w:val="0"/>
          <w:sz w:val="24"/>
          <w:szCs w:val="22"/>
        </w:rPr>
        <w:lastRenderedPageBreak/>
        <w:t>（</w:t>
      </w:r>
      <w:r>
        <w:rPr>
          <w:bCs/>
          <w:kern w:val="0"/>
          <w:sz w:val="24"/>
          <w:szCs w:val="22"/>
        </w:rPr>
        <w:t>3</w:t>
      </w:r>
      <w:r>
        <w:rPr>
          <w:bCs/>
          <w:kern w:val="0"/>
          <w:sz w:val="24"/>
          <w:szCs w:val="22"/>
        </w:rPr>
        <w:t>）从事承担无限责任的投资；</w:t>
      </w:r>
      <w:r>
        <w:rPr>
          <w:bCs/>
          <w:kern w:val="0"/>
          <w:sz w:val="24"/>
          <w:szCs w:val="22"/>
        </w:rPr>
        <w:t xml:space="preserve"> </w:t>
      </w:r>
    </w:p>
    <w:p w14:paraId="35AE9F46" w14:textId="1D799B29" w:rsidR="005F1E3F" w:rsidRDefault="006C56E6">
      <w:pPr>
        <w:pBdr>
          <w:top w:val="none" w:sz="0" w:space="0" w:color="000000"/>
          <w:left w:val="none" w:sz="0" w:space="0" w:color="000000"/>
          <w:bottom w:val="none" w:sz="0" w:space="0" w:color="000000"/>
          <w:right w:val="none" w:sz="0" w:space="0" w:color="000000"/>
          <w:between w:val="none" w:sz="0" w:space="0" w:color="000000"/>
        </w:pBdr>
        <w:spacing w:line="360" w:lineRule="auto"/>
        <w:ind w:firstLine="480"/>
        <w:rPr>
          <w:bCs/>
          <w:kern w:val="0"/>
          <w:sz w:val="24"/>
          <w:szCs w:val="22"/>
        </w:rPr>
      </w:pPr>
      <w:r>
        <w:rPr>
          <w:bCs/>
          <w:kern w:val="0"/>
          <w:sz w:val="24"/>
          <w:szCs w:val="22"/>
        </w:rPr>
        <w:t>（</w:t>
      </w:r>
      <w:r>
        <w:rPr>
          <w:bCs/>
          <w:kern w:val="0"/>
          <w:sz w:val="24"/>
          <w:szCs w:val="22"/>
        </w:rPr>
        <w:t>4</w:t>
      </w:r>
      <w:r>
        <w:rPr>
          <w:bCs/>
          <w:kern w:val="0"/>
          <w:sz w:val="24"/>
          <w:szCs w:val="22"/>
        </w:rPr>
        <w:t>）向其基金管理人、基金托管人出资；</w:t>
      </w:r>
      <w:r>
        <w:rPr>
          <w:bCs/>
          <w:kern w:val="0"/>
          <w:sz w:val="24"/>
          <w:szCs w:val="22"/>
        </w:rPr>
        <w:t xml:space="preserve"> </w:t>
      </w:r>
    </w:p>
    <w:p w14:paraId="07211B52" w14:textId="5D4232C2" w:rsidR="005F1E3F" w:rsidRDefault="006C56E6">
      <w:pPr>
        <w:pBdr>
          <w:top w:val="none" w:sz="0" w:space="0" w:color="000000"/>
          <w:left w:val="none" w:sz="0" w:space="0" w:color="000000"/>
          <w:bottom w:val="none" w:sz="0" w:space="0" w:color="000000"/>
          <w:right w:val="none" w:sz="0" w:space="0" w:color="000000"/>
          <w:between w:val="none" w:sz="0" w:space="0" w:color="000000"/>
        </w:pBdr>
        <w:spacing w:line="360" w:lineRule="auto"/>
        <w:ind w:firstLine="480"/>
        <w:rPr>
          <w:bCs/>
          <w:kern w:val="0"/>
          <w:sz w:val="24"/>
          <w:szCs w:val="22"/>
        </w:rPr>
      </w:pPr>
      <w:r>
        <w:rPr>
          <w:bCs/>
          <w:kern w:val="0"/>
          <w:sz w:val="24"/>
          <w:szCs w:val="22"/>
        </w:rPr>
        <w:t>（</w:t>
      </w:r>
      <w:r>
        <w:rPr>
          <w:bCs/>
          <w:kern w:val="0"/>
          <w:sz w:val="24"/>
          <w:szCs w:val="22"/>
        </w:rPr>
        <w:t>5</w:t>
      </w:r>
      <w:r>
        <w:rPr>
          <w:bCs/>
          <w:kern w:val="0"/>
          <w:sz w:val="24"/>
          <w:szCs w:val="22"/>
        </w:rPr>
        <w:t>）从事内幕交易、操纵证券交易价格及其他不正当的证券交易活动；</w:t>
      </w:r>
      <w:r>
        <w:rPr>
          <w:bCs/>
          <w:kern w:val="0"/>
          <w:sz w:val="24"/>
          <w:szCs w:val="22"/>
        </w:rPr>
        <w:t xml:space="preserve"> </w:t>
      </w:r>
    </w:p>
    <w:p w14:paraId="130971ED" w14:textId="4FA22587" w:rsidR="005F1E3F" w:rsidRDefault="006C56E6">
      <w:pPr>
        <w:pStyle w:val="20"/>
        <w:adjustRightInd w:val="0"/>
        <w:snapToGrid w:val="0"/>
        <w:spacing w:line="360" w:lineRule="auto"/>
        <w:ind w:left="0" w:firstLineChars="200" w:firstLine="480"/>
        <w:rPr>
          <w:rFonts w:ascii="Times New Roman"/>
          <w:szCs w:val="24"/>
        </w:rPr>
      </w:pPr>
      <w:r>
        <w:rPr>
          <w:rFonts w:ascii="Times New Roman"/>
          <w:bCs/>
          <w:kern w:val="0"/>
          <w:szCs w:val="22"/>
        </w:rPr>
        <w:t>（</w:t>
      </w:r>
      <w:r>
        <w:rPr>
          <w:rFonts w:ascii="Times New Roman"/>
          <w:bCs/>
          <w:kern w:val="0"/>
          <w:szCs w:val="22"/>
        </w:rPr>
        <w:t>6</w:t>
      </w:r>
      <w:r>
        <w:rPr>
          <w:rFonts w:ascii="Times New Roman"/>
          <w:bCs/>
          <w:kern w:val="0"/>
          <w:szCs w:val="22"/>
        </w:rPr>
        <w:t>）法律、行政法规和中国证监会规定禁止的其他活动。</w:t>
      </w:r>
    </w:p>
    <w:p w14:paraId="6C644133" w14:textId="77777777" w:rsidR="005F1E3F" w:rsidRDefault="006C56E6">
      <w:pPr>
        <w:pStyle w:val="20"/>
        <w:adjustRightInd w:val="0"/>
        <w:snapToGrid w:val="0"/>
        <w:spacing w:line="360" w:lineRule="auto"/>
        <w:ind w:left="0" w:firstLineChars="200" w:firstLine="480"/>
        <w:rPr>
          <w:rFonts w:ascii="Times New Roman"/>
        </w:rPr>
      </w:pPr>
      <w:r>
        <w:rPr>
          <w:rFonts w:ascii="Times New Roma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w:t>
      </w:r>
      <w:r>
        <w:rPr>
          <w:rFonts w:ascii="Times New Roman"/>
          <w:szCs w:val="24"/>
        </w:rPr>
        <w:t>的</w:t>
      </w:r>
      <w:r>
        <w:rPr>
          <w:rFonts w:ascii="Times New Roman"/>
        </w:rPr>
        <w:t>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E50FC8B" w14:textId="5F4695B2" w:rsidR="005F1E3F" w:rsidRDefault="006C56E6">
      <w:pPr>
        <w:spacing w:line="360" w:lineRule="auto"/>
        <w:ind w:firstLineChars="200" w:firstLine="480"/>
        <w:rPr>
          <w:bCs/>
          <w:sz w:val="24"/>
        </w:rPr>
      </w:pPr>
      <w:r>
        <w:rPr>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w:t>
      </w:r>
      <w:r>
        <w:rPr>
          <w:rFonts w:hint="eastAsia"/>
          <w:bCs/>
          <w:sz w:val="24"/>
        </w:rPr>
        <w:t>在对基金份额持有人利益无实质性不利影响的前提下，</w:t>
      </w:r>
      <w:r>
        <w:rPr>
          <w:bCs/>
          <w:sz w:val="24"/>
        </w:rPr>
        <w:t>经与基金托管人协商一致，基金管理人可依据法律法规或监管部门规定直接对基金合同进行变更。</w:t>
      </w:r>
    </w:p>
    <w:p w14:paraId="1D7B4E4A" w14:textId="77777777" w:rsidR="005F1E3F" w:rsidRDefault="006C56E6">
      <w:pPr>
        <w:pStyle w:val="20"/>
        <w:spacing w:before="0" w:after="0" w:line="360" w:lineRule="auto"/>
        <w:ind w:left="0" w:firstLineChars="200" w:firstLine="480"/>
        <w:rPr>
          <w:rFonts w:ascii="Times New Roman"/>
          <w:szCs w:val="24"/>
        </w:rPr>
      </w:pPr>
      <w:r>
        <w:rPr>
          <w:rFonts w:ascii="Times New Roman"/>
          <w:szCs w:val="24"/>
        </w:rPr>
        <w:t>3.1.4</w:t>
      </w:r>
      <w:r>
        <w:rPr>
          <w:rFonts w:ascii="Times New Roman"/>
          <w:szCs w:val="24"/>
        </w:rPr>
        <w:t>基金托管人依据有关法律法规的规定和基金合同的约定对于基金关联投资限制进行监督：</w:t>
      </w:r>
    </w:p>
    <w:p w14:paraId="1E773138" w14:textId="77777777" w:rsidR="005F1E3F" w:rsidRDefault="006C56E6">
      <w:pPr>
        <w:pStyle w:val="20"/>
        <w:spacing w:before="0" w:after="0" w:line="360" w:lineRule="auto"/>
        <w:ind w:left="0" w:firstLineChars="200" w:firstLine="480"/>
        <w:rPr>
          <w:rFonts w:ascii="Times New Roman"/>
          <w:szCs w:val="24"/>
        </w:rPr>
      </w:pPr>
      <w:r>
        <w:rPr>
          <w:rFonts w:ascii="Times New Roman"/>
          <w:szCs w:val="24"/>
        </w:rPr>
        <w:t>根据法律法规有关从事关联交易的规定，基金管理人和基金托管人应事先相互提供与本机构有控股关系的股东或与本机构有其他重大利害关系的公司名单及其更新，加盖公章并书面提交，并确保所提供名单的真实性、完整性、全面性。名单变更后基金管理人应及时发送基金托管人，基金托管人于</w:t>
      </w:r>
      <w:r>
        <w:rPr>
          <w:rFonts w:ascii="Times New Roman"/>
          <w:szCs w:val="24"/>
        </w:rPr>
        <w:t>2</w:t>
      </w:r>
      <w:r>
        <w:rPr>
          <w:rFonts w:ascii="Times New Roman"/>
          <w:szCs w:val="24"/>
        </w:rPr>
        <w:t>个工作日内进行回函确认已知名单的变更。名单变更时间以基金托管人回函确认的发出时间为准。如果基金托管人在运作中严格遵循了监督流程，基金管理人仍违规进行交易，并造成基金资产损失的，由基金管理人承担责任，基金托管人不承担任何损失和责任。</w:t>
      </w:r>
    </w:p>
    <w:p w14:paraId="5DA7FDFE" w14:textId="77777777" w:rsidR="005F1E3F" w:rsidRDefault="006C56E6">
      <w:pPr>
        <w:pStyle w:val="20"/>
        <w:spacing w:before="0" w:after="0" w:line="360" w:lineRule="auto"/>
        <w:ind w:left="0" w:firstLineChars="200" w:firstLine="480"/>
        <w:rPr>
          <w:rFonts w:ascii="Times New Roman"/>
          <w:szCs w:val="24"/>
        </w:rPr>
      </w:pPr>
      <w:proofErr w:type="gramStart"/>
      <w:r>
        <w:rPr>
          <w:rFonts w:ascii="Times New Roman"/>
          <w:szCs w:val="24"/>
        </w:rPr>
        <w:t>若基金</w:t>
      </w:r>
      <w:proofErr w:type="gramEnd"/>
      <w:r>
        <w:rPr>
          <w:rFonts w:ascii="Times New Roman"/>
          <w:szCs w:val="24"/>
        </w:rPr>
        <w:t>托管人发现基金管理人与关联方进行法律法规禁止基金从事的交易时，基金托管人应及时提醒并协助基金管理人采取必要措施阻止该交易的发生，</w:t>
      </w:r>
      <w:proofErr w:type="gramStart"/>
      <w:r>
        <w:rPr>
          <w:rFonts w:ascii="Times New Roman"/>
          <w:szCs w:val="24"/>
        </w:rPr>
        <w:t>若基金</w:t>
      </w:r>
      <w:proofErr w:type="gramEnd"/>
      <w:r>
        <w:rPr>
          <w:rFonts w:ascii="Times New Roman"/>
          <w:szCs w:val="24"/>
        </w:rPr>
        <w:t>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14:paraId="10C7F283"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lastRenderedPageBreak/>
        <w:t>3.1.5</w:t>
      </w:r>
      <w:r>
        <w:rPr>
          <w:rFonts w:ascii="Times New Roman"/>
          <w:szCs w:val="24"/>
        </w:rPr>
        <w:t>基金托管人依据有关法律法规的规定和基金合同的约定对基金管理人参与银行间债券市场进行监督：</w:t>
      </w:r>
    </w:p>
    <w:p w14:paraId="61AF3B0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1</w:t>
      </w:r>
      <w:r>
        <w:rPr>
          <w:rFonts w:ascii="Times New Roman"/>
          <w:szCs w:val="24"/>
        </w:rPr>
        <w:t>）基金托管人依据有关法律法规的规定和基金合同的约定对于基金管理人参与银行间债券市场交易时面临的交易对手资信风险进行监督。</w:t>
      </w:r>
    </w:p>
    <w:p w14:paraId="1A7807D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基金管理人应在基金投资运作之前向基金托管人提供符合法律法规及行业标准的银行间债券市场交易对手的名单，并按照审慎的风险控制原则在该名单中约定各交易对手所适用的交易结算方式。基金托管人在收到名单后</w:t>
      </w:r>
      <w:r>
        <w:rPr>
          <w:rFonts w:ascii="Times New Roman"/>
          <w:szCs w:val="24"/>
        </w:rPr>
        <w:t>2</w:t>
      </w:r>
      <w:r>
        <w:rPr>
          <w:rFonts w:ascii="Times New Roman"/>
          <w:szCs w:val="24"/>
        </w:rPr>
        <w:t>个工作日内回函确认收到该名单。基金托管人向基金管理人确认之后，名单开始生效。基金管理人应定期或不定期对银行间债券市场现券及回购交易对手的名单进行更新，名单中增加或减少银行间债券市场交易对手时须及时通知基金托管人，基金托管人于</w:t>
      </w:r>
      <w:r>
        <w:rPr>
          <w:rFonts w:ascii="Times New Roman"/>
          <w:szCs w:val="24"/>
        </w:rPr>
        <w:t>2</w:t>
      </w:r>
      <w:r>
        <w:rPr>
          <w:rFonts w:ascii="Times New Roman"/>
          <w:szCs w:val="24"/>
        </w:rPr>
        <w:t>个工作日内回函确认收到后，对名单进行更新。基金托管人向基金管理人发出回函确认后，被确认调整的名单开始生效，新名单生效前已与本次剔除的交易对手所进行但尚未结算的交易，仍应按照双方原定协议进行结算。</w:t>
      </w:r>
    </w:p>
    <w:p w14:paraId="441C3872"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如果基金托管人发现基金管理人与不在名单内的银行间债券市场交易对手进行交易，应及时提醒基金管理人撤销交易，经提醒后基金管理人仍执行交易并造成基金资产损失的，基金托管人不承担责任。</w:t>
      </w:r>
    </w:p>
    <w:p w14:paraId="09D14821" w14:textId="77777777" w:rsidR="005F1E3F" w:rsidRDefault="006C56E6">
      <w:pPr>
        <w:pStyle w:val="20"/>
        <w:spacing w:before="0" w:after="0" w:line="520" w:lineRule="exact"/>
        <w:ind w:left="0" w:firstLineChars="200" w:firstLine="480"/>
        <w:rPr>
          <w:rFonts w:ascii="Times New Roman"/>
          <w:szCs w:val="24"/>
        </w:rPr>
      </w:pPr>
      <w:r>
        <w:rPr>
          <w:rFonts w:ascii="Times New Roman" w:hint="eastAsia"/>
          <w:szCs w:val="24"/>
        </w:rPr>
        <w:t>如果因基金管理人未及时通知基金托管人，造成基金资产损失的，基金托管人不承担责任。</w:t>
      </w:r>
    </w:p>
    <w:p w14:paraId="3CC8D3F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2</w:t>
      </w:r>
      <w:r>
        <w:rPr>
          <w:rFonts w:ascii="Times New Roman"/>
          <w:szCs w:val="24"/>
        </w:rPr>
        <w:t>）基金托管人对于基金管理人参与银行间债券市场交易的交易方式的控制</w:t>
      </w:r>
    </w:p>
    <w:p w14:paraId="7F7934A6"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基金管理人在银行间债券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并造成基金资产损失的，基金托管人不承担责任。</w:t>
      </w:r>
    </w:p>
    <w:p w14:paraId="72A27890"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3</w:t>
      </w:r>
      <w:r>
        <w:rPr>
          <w:rFonts w:ascii="Times New Roman"/>
          <w:szCs w:val="24"/>
        </w:rPr>
        <w:t>）基金管理人有责任控制交易对手的资信风险，按银行间债券市场的交易规则进行交易，并负责解决因交易对手不履行合同而造成的纠纷。若未履约的交易对手在基金管理人确定的时间内仍未承担违约责任及其他相关法律责任的，基金管理人可以对相应损失先行予以承担，然后再向相关交易对手追偿。基金托管人则根</w:t>
      </w:r>
      <w:r>
        <w:rPr>
          <w:rFonts w:ascii="Times New Roman"/>
          <w:szCs w:val="24"/>
        </w:rPr>
        <w:lastRenderedPageBreak/>
        <w:t>据银行间债券市场成交单对合同履行情况进行监督。如基金托管人事后发现基金管理人没有按照事先约定的交易对手进行交易时，基金托管人应及时提醒基金管理人，基金托管人不承担由此造成的任何损失和责任。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5DF81EF4"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3.1.6</w:t>
      </w:r>
      <w:r>
        <w:rPr>
          <w:rFonts w:ascii="Times New Roman"/>
          <w:szCs w:val="24"/>
        </w:rPr>
        <w:t>基金托管人对基金投资流通受限证券的监督：</w:t>
      </w:r>
    </w:p>
    <w:p w14:paraId="12C84D30"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1</w:t>
      </w:r>
      <w:r>
        <w:rPr>
          <w:rFonts w:ascii="Times New Roman"/>
          <w:szCs w:val="24"/>
        </w:rPr>
        <w:t>）基金投资流通受限证券，应遵守有关法律法规规定。流通受限证券指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Times New Roman"/>
          <w:szCs w:val="24"/>
        </w:rPr>
        <w:t>券</w:t>
      </w:r>
      <w:proofErr w:type="gramEnd"/>
      <w:r>
        <w:rPr>
          <w:rFonts w:ascii="Times New Roman"/>
          <w:szCs w:val="24"/>
        </w:rPr>
        <w:t>等流通受限证券。</w:t>
      </w:r>
    </w:p>
    <w:p w14:paraId="2945D60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2</w:t>
      </w:r>
      <w:r>
        <w:rPr>
          <w:rFonts w:ascii="Times New Roman"/>
          <w:szCs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77315941"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基金管理人应至少</w:t>
      </w:r>
      <w:proofErr w:type="gramStart"/>
      <w:r>
        <w:rPr>
          <w:rFonts w:ascii="Times New Roman"/>
          <w:szCs w:val="24"/>
        </w:rPr>
        <w:t>于首次</w:t>
      </w:r>
      <w:proofErr w:type="gramEnd"/>
      <w:r>
        <w:rPr>
          <w:rFonts w:ascii="Times New Roman"/>
          <w:szCs w:val="24"/>
        </w:rPr>
        <w:t>执行投资指令之前</w:t>
      </w:r>
      <w:r>
        <w:rPr>
          <w:rFonts w:ascii="Times New Roman"/>
          <w:szCs w:val="24"/>
        </w:rPr>
        <w:t>2</w:t>
      </w:r>
      <w:r>
        <w:rPr>
          <w:rFonts w:ascii="Times New Roman"/>
          <w:szCs w:val="24"/>
        </w:rPr>
        <w:t>个工作日将上述资料书面发至基金托管人，保证基金托管人有足够的时间进行审核。基金托管人应在收到上述资料后</w:t>
      </w:r>
      <w:r>
        <w:rPr>
          <w:rFonts w:ascii="Times New Roman"/>
          <w:szCs w:val="24"/>
        </w:rPr>
        <w:t>2</w:t>
      </w:r>
      <w:r>
        <w:rPr>
          <w:rFonts w:ascii="Times New Roman"/>
          <w:szCs w:val="24"/>
        </w:rPr>
        <w:t>个工作日内，以书面或其他双方认可的方式确认收到上述资料。</w:t>
      </w:r>
    </w:p>
    <w:p w14:paraId="3B3A1D1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3</w:t>
      </w:r>
      <w:r>
        <w:rPr>
          <w:rFonts w:ascii="Times New Roman"/>
          <w:szCs w:val="24"/>
        </w:rPr>
        <w:t>）基金投资流通受限证券前，基金管理人应向基金托管人提供符合法律法规要求的有关必要书面信息。基金管理人应保证上述信息的真实、完整，并应至少</w:t>
      </w:r>
      <w:proofErr w:type="gramStart"/>
      <w:r>
        <w:rPr>
          <w:rFonts w:ascii="Times New Roman"/>
          <w:szCs w:val="24"/>
        </w:rPr>
        <w:t>于拟执行</w:t>
      </w:r>
      <w:proofErr w:type="gramEnd"/>
      <w:r>
        <w:rPr>
          <w:rFonts w:ascii="Times New Roman"/>
          <w:szCs w:val="24"/>
        </w:rPr>
        <w:t>投资指令前将上述信息书面发至基金托管人。</w:t>
      </w:r>
    </w:p>
    <w:p w14:paraId="3F7A7BE1"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4</w:t>
      </w:r>
      <w:r>
        <w:rPr>
          <w:rFonts w:ascii="Times New Roman"/>
          <w:szCs w:val="24"/>
        </w:rPr>
        <w:t>）基金托管人应对基金管理人是否遵守法律法规、投资决策流程、风险控制制度情况进行监督，并审核基金管理人提供的有关书面信息。基金托管人认为上述资料可能导致基金出现风险的，有权要求基金管理人在投资流通受限证券前就该风险的消除或防范措施进行补充书面说明，否则，基金托管人有权拒绝执行有关指令。因拒绝执行该指令造成基金财产损失的，基金托管人不承担任何责任，并有权报告中国证监会。</w:t>
      </w:r>
    </w:p>
    <w:p w14:paraId="58EF4AFE"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lastRenderedPageBreak/>
        <w:t>如基金管理人和基金托管人无法达成一致，应及时上报中国证监会请求解决。如果基金托管人切实履行监督职责，则不承担任何责任。如果基金托管人没有切实履行监督职责，导致基金出现风险，基金托管人应承担相应责任。</w:t>
      </w:r>
    </w:p>
    <w:p w14:paraId="6F1CCD75" w14:textId="77777777" w:rsidR="005F1E3F" w:rsidRDefault="006C56E6">
      <w:pPr>
        <w:pStyle w:val="20"/>
        <w:spacing w:line="520" w:lineRule="exact"/>
        <w:rPr>
          <w:rFonts w:ascii="Times New Roman"/>
          <w:szCs w:val="24"/>
        </w:rPr>
      </w:pPr>
      <w:r>
        <w:rPr>
          <w:rFonts w:ascii="Times New Roman"/>
          <w:szCs w:val="24"/>
        </w:rPr>
        <w:t>3.1.7</w:t>
      </w:r>
      <w:r>
        <w:rPr>
          <w:rFonts w:ascii="Times New Roman"/>
          <w:szCs w:val="24"/>
        </w:rPr>
        <w:t>基金托管人对基金投资中期票据的监督：</w:t>
      </w:r>
    </w:p>
    <w:p w14:paraId="3F0303E1" w14:textId="77777777" w:rsidR="005F1E3F" w:rsidRDefault="006C56E6">
      <w:pPr>
        <w:pStyle w:val="20"/>
        <w:spacing w:line="520" w:lineRule="exact"/>
        <w:ind w:left="0" w:firstLineChars="200" w:firstLine="480"/>
        <w:jc w:val="left"/>
        <w:rPr>
          <w:rFonts w:ascii="Times New Roman"/>
          <w:szCs w:val="24"/>
        </w:rPr>
      </w:pPr>
      <w:r>
        <w:rPr>
          <w:rFonts w:ascii="Times New Roman"/>
          <w:szCs w:val="24"/>
        </w:rPr>
        <w:t>（</w:t>
      </w:r>
      <w:r>
        <w:rPr>
          <w:rFonts w:ascii="Times New Roman"/>
          <w:szCs w:val="24"/>
        </w:rPr>
        <w:t>1</w:t>
      </w:r>
      <w:r>
        <w:rPr>
          <w:rFonts w:ascii="Times New Roman"/>
          <w:szCs w:val="24"/>
        </w:rPr>
        <w:t>）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14:paraId="71B8AAAC" w14:textId="77777777" w:rsidR="005F1E3F" w:rsidRDefault="006C56E6">
      <w:pPr>
        <w:pStyle w:val="20"/>
        <w:spacing w:line="520" w:lineRule="exact"/>
        <w:ind w:left="0" w:firstLineChars="200" w:firstLine="480"/>
        <w:jc w:val="left"/>
        <w:rPr>
          <w:rFonts w:ascii="Times New Roman"/>
          <w:szCs w:val="24"/>
        </w:rPr>
      </w:pPr>
      <w:r>
        <w:rPr>
          <w:rFonts w:ascii="Times New Roman"/>
          <w:szCs w:val="24"/>
        </w:rPr>
        <w:t>（</w:t>
      </w:r>
      <w:r>
        <w:rPr>
          <w:rFonts w:ascii="Times New Roman"/>
          <w:szCs w:val="24"/>
        </w:rPr>
        <w:t>2</w:t>
      </w:r>
      <w:r>
        <w:rPr>
          <w:rFonts w:ascii="Times New Roman"/>
          <w:szCs w:val="24"/>
        </w:rPr>
        <w:t>）如未来有关监管部门发布的法律法规对证券投资基金投资中期票据另有规定的，从其约定。</w:t>
      </w:r>
    </w:p>
    <w:p w14:paraId="547883D1"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3</w:t>
      </w:r>
      <w:r>
        <w:rPr>
          <w:rFonts w:ascii="Times New Roman"/>
          <w:szCs w:val="24"/>
        </w:rPr>
        <w:t>）基金托管人有权监督基金管理人在相关基金投资中期票据时的法律法规遵守情况，有关制度、信用风险、流动性风险处置预案的完善情况，有关额度、比例限制的执行情况。基金托管人发现基金管理人的上述事项违反法律法规和基金合同以及本协议的规定，应及时以书面形式通知基金管理人纠正。基金管理人应积极配合和协助基金托管人的监督和核查。基金管理人应按相关托管协议要求向基金托管人及时发出回函，并及时改正。基金托管人有权随时对所通知事项进行复查</w:t>
      </w:r>
      <w:r>
        <w:rPr>
          <w:rFonts w:ascii="Times New Roman"/>
          <w:szCs w:val="24"/>
        </w:rPr>
        <w:t>,</w:t>
      </w:r>
      <w:r>
        <w:rPr>
          <w:rFonts w:ascii="Times New Roman"/>
          <w:szCs w:val="24"/>
        </w:rPr>
        <w:t>督促基金管理人改正。如果基金管理人违规事项未能在限期内纠正的，基金托管人应报告中国证监会。基金托管人不承担由此造成的任何损失和责任。</w:t>
      </w:r>
    </w:p>
    <w:p w14:paraId="583E71C3"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3.1.8</w:t>
      </w:r>
      <w:r>
        <w:rPr>
          <w:rFonts w:ascii="Times New Roman"/>
          <w:szCs w:val="24"/>
        </w:rPr>
        <w:t>基金托管人根据有关法律法规的规定及基金合同的约定，对基金管理人选择存款银行进行监督：</w:t>
      </w:r>
    </w:p>
    <w:p w14:paraId="6E9F1D34"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69304C26"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本基金投资银行存款应符合如下规定：</w:t>
      </w:r>
    </w:p>
    <w:p w14:paraId="7CE63C2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1</w:t>
      </w:r>
      <w:r>
        <w:rPr>
          <w:rFonts w:ascii="Times New Roman"/>
          <w:szCs w:val="24"/>
        </w:rPr>
        <w:t>）基金管理人、基金托管人应当与存款银行建立定期对账机制，确保基金银行存款业务账目及核算的真实、准确。</w:t>
      </w:r>
    </w:p>
    <w:p w14:paraId="279F532E"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2</w:t>
      </w:r>
      <w:r>
        <w:rPr>
          <w:rFonts w:ascii="Times New Roman"/>
          <w:szCs w:val="24"/>
        </w:rPr>
        <w:t>）基金管理人与基金托管人应根据相关规定，就本基金银行存款业务另行签订书面协议，明确双方在相关协议签署、账户开设与管理、投资指令传达与执行、</w:t>
      </w:r>
      <w:r>
        <w:rPr>
          <w:rFonts w:ascii="Times New Roman"/>
          <w:szCs w:val="24"/>
        </w:rPr>
        <w:lastRenderedPageBreak/>
        <w:t>资金划拨、账目核对、到期兑付、文件保管以及存款证实书的开立、传递、保管等流程中的权利、义务和职责，以确保基金财产的安全，保护基金份额持有人的合法权益。</w:t>
      </w:r>
    </w:p>
    <w:p w14:paraId="2646D478"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3</w:t>
      </w:r>
      <w:r>
        <w:rPr>
          <w:rFonts w:ascii="Times New Roman"/>
          <w:szCs w:val="24"/>
        </w:rPr>
        <w:t>）基金托管人应加强对基金银行存款业务的监督与核查，严格审查、复核相关协议、账户资料、投资指令、存款证实书等有关文件，切实履行托管职责。</w:t>
      </w:r>
    </w:p>
    <w:p w14:paraId="0651C162" w14:textId="1A8678D9"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4</w:t>
      </w:r>
      <w:r>
        <w:rPr>
          <w:rFonts w:ascii="Times New Roman"/>
          <w:szCs w:val="24"/>
        </w:rPr>
        <w:t>）基金管理人与基金托管人在开展基金存款业务时，应严格遵守《基金法》《运作办法》等有关法律法规，以及国家有关账户管理、利率管理、支付结算等的各项规定。</w:t>
      </w:r>
    </w:p>
    <w:p w14:paraId="7A270F10" w14:textId="77777777" w:rsidR="005F1E3F" w:rsidRDefault="006C56E6">
      <w:pPr>
        <w:pStyle w:val="20"/>
        <w:spacing w:before="0" w:after="0" w:line="520" w:lineRule="exact"/>
        <w:ind w:left="0" w:firstLineChars="200" w:firstLine="480"/>
        <w:rPr>
          <w:rFonts w:hAnsi="宋体"/>
          <w:szCs w:val="24"/>
        </w:rPr>
      </w:pPr>
      <w:r>
        <w:rPr>
          <w:rFonts w:ascii="Times New Roman"/>
          <w:szCs w:val="24"/>
        </w:rPr>
        <w:t>3.1.9</w:t>
      </w:r>
      <w:proofErr w:type="gramStart"/>
      <w:r>
        <w:rPr>
          <w:rFonts w:hAnsi="宋体" w:hint="eastAsia"/>
          <w:szCs w:val="24"/>
        </w:rPr>
        <w:t>侧袋机制</w:t>
      </w:r>
      <w:proofErr w:type="gramEnd"/>
      <w:r>
        <w:rPr>
          <w:rFonts w:hAnsi="宋体" w:hint="eastAsia"/>
          <w:szCs w:val="24"/>
        </w:rPr>
        <w:t>的实施和投资运作安排</w:t>
      </w:r>
    </w:p>
    <w:p w14:paraId="4779C47C" w14:textId="77777777" w:rsidR="005F1E3F" w:rsidRDefault="006C56E6">
      <w:pPr>
        <w:pStyle w:val="20"/>
        <w:spacing w:before="0" w:after="0" w:line="520" w:lineRule="exact"/>
        <w:ind w:left="0" w:firstLineChars="200" w:firstLine="480"/>
        <w:rPr>
          <w:rFonts w:hAnsi="宋体"/>
          <w:szCs w:val="24"/>
        </w:rPr>
      </w:pPr>
      <w:r>
        <w:rPr>
          <w:rFonts w:hAnsi="宋体" w:hint="eastAsia"/>
          <w:szCs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Ansi="宋体" w:hint="eastAsia"/>
          <w:szCs w:val="24"/>
        </w:rPr>
        <w:t>启用侧袋机制</w:t>
      </w:r>
      <w:proofErr w:type="gramEnd"/>
      <w:r>
        <w:rPr>
          <w:rFonts w:hAnsi="宋体" w:hint="eastAsia"/>
          <w:szCs w:val="24"/>
        </w:rPr>
        <w:t>。</w:t>
      </w:r>
    </w:p>
    <w:p w14:paraId="2573A3A3" w14:textId="77777777" w:rsidR="005F1E3F" w:rsidRDefault="006C56E6">
      <w:pPr>
        <w:pStyle w:val="20"/>
        <w:spacing w:before="0" w:after="0" w:line="520" w:lineRule="exact"/>
        <w:ind w:left="0" w:firstLineChars="200" w:firstLine="480"/>
        <w:rPr>
          <w:rFonts w:hAnsi="宋体"/>
          <w:szCs w:val="24"/>
        </w:rPr>
      </w:pPr>
      <w:r>
        <w:rPr>
          <w:rFonts w:hAnsi="宋体" w:hint="eastAsia"/>
          <w:szCs w:val="24"/>
        </w:rPr>
        <w:t>基金托管人依照相关法律法规的规定和基金合同的约定，对侧</w:t>
      </w:r>
      <w:proofErr w:type="gramStart"/>
      <w:r>
        <w:rPr>
          <w:rFonts w:hAnsi="宋体" w:hint="eastAsia"/>
          <w:szCs w:val="24"/>
        </w:rPr>
        <w:t>袋机制</w:t>
      </w:r>
      <w:proofErr w:type="gramEnd"/>
      <w:r>
        <w:rPr>
          <w:rFonts w:hAnsi="宋体" w:hint="eastAsia"/>
          <w:szCs w:val="24"/>
        </w:rPr>
        <w:t>启用、特定资产处置和信息披露等方面进行复核和监督。不满足中国证监会规定和基金合同约定实施条件的，不得</w:t>
      </w:r>
      <w:proofErr w:type="gramStart"/>
      <w:r>
        <w:rPr>
          <w:rFonts w:hAnsi="宋体" w:hint="eastAsia"/>
          <w:szCs w:val="24"/>
        </w:rPr>
        <w:t>启用侧袋机制</w:t>
      </w:r>
      <w:proofErr w:type="gramEnd"/>
      <w:r>
        <w:rPr>
          <w:rFonts w:hAnsi="宋体" w:hint="eastAsia"/>
          <w:szCs w:val="24"/>
        </w:rPr>
        <w:t>。</w:t>
      </w:r>
      <w:proofErr w:type="gramStart"/>
      <w:r>
        <w:rPr>
          <w:rFonts w:hAnsi="宋体" w:hint="eastAsia"/>
          <w:szCs w:val="24"/>
        </w:rPr>
        <w:t>侧袋机制</w:t>
      </w:r>
      <w:proofErr w:type="gramEnd"/>
      <w:r>
        <w:rPr>
          <w:rFonts w:hAnsi="宋体" w:hint="eastAsia"/>
          <w:szCs w:val="24"/>
        </w:rPr>
        <w:t>实施期间的具体规则依照相关法律法规的规定和基金合同的约定执行。</w:t>
      </w:r>
    </w:p>
    <w:p w14:paraId="60596ED7" w14:textId="77777777" w:rsidR="005F1E3F" w:rsidRDefault="006C56E6">
      <w:pPr>
        <w:pStyle w:val="20"/>
        <w:spacing w:before="0" w:after="0" w:line="520" w:lineRule="exact"/>
        <w:ind w:left="0" w:firstLineChars="200" w:firstLine="480"/>
        <w:rPr>
          <w:rFonts w:hAnsi="宋体"/>
          <w:szCs w:val="24"/>
        </w:rPr>
      </w:pPr>
      <w:proofErr w:type="gramStart"/>
      <w:r>
        <w:rPr>
          <w:rFonts w:hAnsi="宋体" w:hint="eastAsia"/>
          <w:szCs w:val="24"/>
        </w:rPr>
        <w:t>侧袋机制</w:t>
      </w:r>
      <w:proofErr w:type="gramEnd"/>
      <w:r>
        <w:rPr>
          <w:rFonts w:hAnsi="宋体" w:hint="eastAsia"/>
          <w:szCs w:val="24"/>
        </w:rPr>
        <w:t>实施期间，基金合同约定的投资组合比例、投资策略、组合限制、业绩比较基准、风险收益特征等约定仅</w:t>
      </w:r>
      <w:proofErr w:type="gramStart"/>
      <w:r>
        <w:rPr>
          <w:rFonts w:hAnsi="宋体" w:hint="eastAsia"/>
          <w:szCs w:val="24"/>
        </w:rPr>
        <w:t>适用于主袋账户</w:t>
      </w:r>
      <w:proofErr w:type="gramEnd"/>
      <w:r>
        <w:rPr>
          <w:rFonts w:hAnsi="宋体" w:hint="eastAsia"/>
          <w:szCs w:val="24"/>
        </w:rPr>
        <w:t>。</w:t>
      </w:r>
    </w:p>
    <w:p w14:paraId="69CDD023" w14:textId="77777777" w:rsidR="005F1E3F" w:rsidRDefault="006C56E6">
      <w:pPr>
        <w:pStyle w:val="20"/>
        <w:spacing w:before="0" w:after="0" w:line="520" w:lineRule="exact"/>
        <w:ind w:left="0" w:firstLineChars="200" w:firstLine="480"/>
        <w:rPr>
          <w:rFonts w:ascii="Times New Roman"/>
          <w:szCs w:val="24"/>
        </w:rPr>
      </w:pPr>
      <w:proofErr w:type="gramStart"/>
      <w:r>
        <w:rPr>
          <w:rFonts w:hAnsi="宋体" w:hint="eastAsia"/>
          <w:szCs w:val="24"/>
        </w:rPr>
        <w:t>侧袋账户</w:t>
      </w:r>
      <w:proofErr w:type="gramEnd"/>
      <w:r>
        <w:rPr>
          <w:rFonts w:hAnsi="宋体" w:hint="eastAsia"/>
          <w:szCs w:val="24"/>
        </w:rPr>
        <w:t>的实施条件、实施程序、运作安排、投资安排、特定资产的处置变现和支付等对投资者权益有重大影响的事项详见招募说明书的规定。</w:t>
      </w:r>
    </w:p>
    <w:p w14:paraId="09749283"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3.2</w:t>
      </w:r>
      <w:r>
        <w:rPr>
          <w:rFonts w:ascii="Times New Roman"/>
          <w:szCs w:val="24"/>
        </w:rPr>
        <w:t>基金托管人对基金管理人业务进行监督和核查的有关措施：</w:t>
      </w:r>
    </w:p>
    <w:p w14:paraId="5825711F"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3.2.1</w:t>
      </w:r>
      <w:r>
        <w:rPr>
          <w:rFonts w:ascii="Times New Roman"/>
          <w:szCs w:val="24"/>
        </w:rPr>
        <w:t>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2F71A1AE"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3.2.2</w:t>
      </w:r>
      <w:r>
        <w:rPr>
          <w:rFonts w:ascii="Times New Roman"/>
          <w:szCs w:val="24"/>
        </w:rPr>
        <w:t>基金托管人发现基金管理人的投资运作及其他运作违反《基金法》、基金合同、本托管协议及其他有关规定时，应及时以书面形式通知基金管理人限期纠正，基金管理人收到通知后应在下一个工作日及时核对，并以书面形式向基金托管人发</w:t>
      </w:r>
      <w:r>
        <w:rPr>
          <w:rFonts w:ascii="Times New Roman"/>
          <w:szCs w:val="24"/>
        </w:rPr>
        <w:lastRenderedPageBreak/>
        <w:t>出回函，进行解释或举证。</w:t>
      </w:r>
    </w:p>
    <w:p w14:paraId="35546DDF"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3.2.3</w:t>
      </w:r>
      <w:r>
        <w:rPr>
          <w:rFonts w:ascii="Times New Roman"/>
          <w:szCs w:val="24"/>
        </w:rPr>
        <w:t>在限期内，基金托管人有权随时对通知事项进行复查，督促基金管理人改正。基金管理人对基金托管人通知的违规事项未能在限期内纠正的，基金托管人应报告中国证监会</w:t>
      </w:r>
      <w:r>
        <w:rPr>
          <w:rFonts w:ascii="Times New Roman" w:hint="eastAsia"/>
          <w:szCs w:val="24"/>
        </w:rPr>
        <w:t>，由此造成的损失由基金管理人承担</w:t>
      </w:r>
      <w:r>
        <w:rPr>
          <w:rFonts w:ascii="Times New Roman"/>
          <w:szCs w:val="24"/>
        </w:rPr>
        <w:t>。</w:t>
      </w:r>
    </w:p>
    <w:p w14:paraId="5F26725F" w14:textId="33D6D747" w:rsidR="005F1E3F" w:rsidRDefault="006C56E6">
      <w:pPr>
        <w:pStyle w:val="20"/>
        <w:spacing w:before="0" w:after="0" w:line="520" w:lineRule="exact"/>
        <w:ind w:left="0" w:firstLineChars="200" w:firstLine="480"/>
        <w:rPr>
          <w:rFonts w:ascii="Times New Roman"/>
          <w:szCs w:val="24"/>
        </w:rPr>
      </w:pPr>
      <w:r>
        <w:rPr>
          <w:rFonts w:ascii="Times New Roman"/>
          <w:szCs w:val="24"/>
        </w:rPr>
        <w:t>3.2.4</w:t>
      </w:r>
      <w:r>
        <w:rPr>
          <w:rFonts w:ascii="Times New Roman"/>
          <w:szCs w:val="24"/>
        </w:rPr>
        <w:t>基金托管人发现基金管理人的投资指令违反有关法律法规或者违反基金合同约定的，应当拒绝执行，立即通知基金管理人，并及时向中国证监会报告，持续跟进基金管理人的后续处理，督促基金管理人依法履行披露义务。基金托管人发现基金管理人依据交易程序已经生效的投资指令违反法律、行政法规和其他有关规定，或者违反基金合同约定的，应当立即通知基金管理人，并及时向中国证监会报告，持续跟进基金管理人的后续处理，督促基金管理人依法履行披露义务。基金管理人的上述违规失信行为给基金财产或者基金份额持有人造成损害的，基金托管人应当督促基金管理人及时予以赔偿。若给基金托管人造成损失，基金托管人有权向基金管理人追偿由此造成的</w:t>
      </w:r>
      <w:r>
        <w:rPr>
          <w:rFonts w:ascii="Times New Roman" w:hint="eastAsia"/>
          <w:szCs w:val="24"/>
        </w:rPr>
        <w:t>全部</w:t>
      </w:r>
      <w:r>
        <w:rPr>
          <w:rFonts w:ascii="Times New Roman"/>
          <w:szCs w:val="24"/>
        </w:rPr>
        <w:t>损失。</w:t>
      </w:r>
    </w:p>
    <w:p w14:paraId="00987034"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3.2.5</w:t>
      </w:r>
      <w:r>
        <w:rPr>
          <w:rFonts w:ascii="Times New Roman"/>
          <w:szCs w:val="24"/>
        </w:rPr>
        <w:t>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14:paraId="73151D21"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3.2.6</w:t>
      </w:r>
      <w:r>
        <w:rPr>
          <w:rFonts w:ascii="Times New Roman"/>
          <w:szCs w:val="24"/>
        </w:rPr>
        <w:t>基金托管人发现基金管理人有重大违规行为，应立即报告中国证监会，同时通知基金管理人限期纠正</w:t>
      </w:r>
      <w:r>
        <w:rPr>
          <w:rFonts w:ascii="Times New Roman" w:hint="eastAsia"/>
          <w:szCs w:val="24"/>
        </w:rPr>
        <w:t>，由此造成的损失由基金管理人承担</w:t>
      </w:r>
      <w:r>
        <w:rPr>
          <w:rFonts w:ascii="Times New Roman"/>
          <w:szCs w:val="24"/>
        </w:rPr>
        <w:t>。</w:t>
      </w:r>
    </w:p>
    <w:p w14:paraId="0C0B7B92"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3.2.7</w:t>
      </w:r>
      <w:r>
        <w:rPr>
          <w:rFonts w:ascii="Times New Roman"/>
          <w:szCs w:val="24"/>
        </w:rPr>
        <w:t>基金管理人无正当理由，拒绝、阻挠基金托管人根据本协议规定行使监督权，或采取拖延、欺诈等手段妨碍基金托管人进行有效监督，情节严重或经基金托管人提出警告仍不改正的，基金托管人应报告中国证监会</w:t>
      </w:r>
      <w:r>
        <w:rPr>
          <w:rFonts w:ascii="Times New Roman" w:hint="eastAsia"/>
          <w:szCs w:val="24"/>
        </w:rPr>
        <w:t>，由此造成的损失由基金管理人承担</w:t>
      </w:r>
      <w:r>
        <w:rPr>
          <w:rFonts w:ascii="Times New Roman"/>
          <w:szCs w:val="24"/>
        </w:rPr>
        <w:t>。</w:t>
      </w:r>
    </w:p>
    <w:p w14:paraId="2F90435E"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3.2.8</w:t>
      </w:r>
      <w:r>
        <w:rPr>
          <w:rFonts w:ascii="Times New Roman"/>
          <w:szCs w:val="24"/>
        </w:rPr>
        <w:t>基金管理人应遵守中华人民共和国反洗</w:t>
      </w:r>
      <w:proofErr w:type="gramStart"/>
      <w:r>
        <w:rPr>
          <w:rFonts w:ascii="Times New Roman"/>
          <w:szCs w:val="24"/>
        </w:rPr>
        <w:t>钱法律</w:t>
      </w:r>
      <w:proofErr w:type="gramEnd"/>
      <w:r>
        <w:rPr>
          <w:rFonts w:ascii="Times New Roman"/>
          <w:szCs w:val="24"/>
        </w:rPr>
        <w:t>法规，不参与涉嫌洗钱、恐怖融资、扩散融资等违法犯罪活动；主动配合基金托管</w:t>
      </w:r>
      <w:proofErr w:type="gramStart"/>
      <w:r>
        <w:rPr>
          <w:rFonts w:ascii="Times New Roman"/>
          <w:szCs w:val="24"/>
        </w:rPr>
        <w:t>人客户</w:t>
      </w:r>
      <w:proofErr w:type="gramEnd"/>
      <w:r>
        <w:rPr>
          <w:rFonts w:ascii="Times New Roman"/>
          <w:szCs w:val="24"/>
        </w:rPr>
        <w:t>身份识别与尽职调查，提供真实、准确、完整客户资料，遵守基金托管人反洗钱与反恐怖融资相关管理规定。对具备合理理由怀疑涉嫌洗钱、恐怖融资的客户，基金托管人将按照中国人民银行反洗钱监管规定采取必要管控措施。</w:t>
      </w:r>
    </w:p>
    <w:p w14:paraId="78B2DD60"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lastRenderedPageBreak/>
        <w:t>3.3</w:t>
      </w:r>
      <w:r>
        <w:rPr>
          <w:rFonts w:ascii="Times New Roman"/>
          <w:szCs w:val="24"/>
        </w:rPr>
        <w:t>基金托管人对资金来源、投资收益不承担审核责任，特别是对于本基金所投标的</w:t>
      </w:r>
      <w:proofErr w:type="gramStart"/>
      <w:r>
        <w:rPr>
          <w:rFonts w:ascii="Times New Roman"/>
          <w:szCs w:val="24"/>
        </w:rPr>
        <w:t>的</w:t>
      </w:r>
      <w:proofErr w:type="gramEnd"/>
      <w:r>
        <w:rPr>
          <w:rFonts w:ascii="Times New Roman"/>
          <w:szCs w:val="24"/>
        </w:rPr>
        <w:t>后续资金使用情况无审核责任，不保证托管财产投资不受损失，不保证最低收益。</w:t>
      </w:r>
    </w:p>
    <w:p w14:paraId="4C7530E2" w14:textId="4CA169C7" w:rsidR="005F1E3F" w:rsidRDefault="00701FD4">
      <w:pPr>
        <w:pStyle w:val="20"/>
        <w:spacing w:before="0" w:after="0" w:line="520" w:lineRule="exact"/>
        <w:ind w:left="0" w:firstLineChars="200" w:firstLine="480"/>
        <w:rPr>
          <w:rFonts w:ascii="Times New Roman"/>
          <w:szCs w:val="24"/>
        </w:rPr>
      </w:pPr>
      <w:r>
        <w:rPr>
          <w:rFonts w:ascii="Times New Roman" w:hint="eastAsia"/>
          <w:szCs w:val="24"/>
        </w:rPr>
        <w:t>3</w:t>
      </w:r>
      <w:r>
        <w:rPr>
          <w:rFonts w:ascii="Times New Roman"/>
          <w:szCs w:val="24"/>
        </w:rPr>
        <w:t>.4</w:t>
      </w:r>
      <w:r w:rsidRPr="00701FD4">
        <w:rPr>
          <w:rFonts w:ascii="Times New Roman" w:hint="eastAsia"/>
          <w:szCs w:val="24"/>
        </w:rPr>
        <w:t>基金托管人应当依照法律法规和基金合同约定，加强对侧</w:t>
      </w:r>
      <w:proofErr w:type="gramStart"/>
      <w:r w:rsidRPr="00701FD4">
        <w:rPr>
          <w:rFonts w:ascii="Times New Roman" w:hint="eastAsia"/>
          <w:szCs w:val="24"/>
        </w:rPr>
        <w:t>袋机制</w:t>
      </w:r>
      <w:proofErr w:type="gramEnd"/>
      <w:r w:rsidRPr="00701FD4">
        <w:rPr>
          <w:rFonts w:ascii="Times New Roman" w:hint="eastAsia"/>
          <w:szCs w:val="24"/>
        </w:rPr>
        <w:t>启用、特定资产处置和信息披露等方面的复核和监督。不满足中国证监会规定和基金合同约定实施条件的，不得</w:t>
      </w:r>
      <w:proofErr w:type="gramStart"/>
      <w:r w:rsidRPr="00701FD4">
        <w:rPr>
          <w:rFonts w:ascii="Times New Roman" w:hint="eastAsia"/>
          <w:szCs w:val="24"/>
        </w:rPr>
        <w:t>启用侧袋机制</w:t>
      </w:r>
      <w:proofErr w:type="gramEnd"/>
      <w:r w:rsidRPr="00701FD4">
        <w:rPr>
          <w:rFonts w:ascii="Times New Roman" w:hint="eastAsia"/>
          <w:szCs w:val="24"/>
        </w:rPr>
        <w:t>。</w:t>
      </w:r>
    </w:p>
    <w:p w14:paraId="78A78354" w14:textId="77777777" w:rsidR="00701FD4" w:rsidRDefault="00701FD4">
      <w:pPr>
        <w:pStyle w:val="20"/>
        <w:spacing w:before="0" w:after="0" w:line="520" w:lineRule="exact"/>
        <w:ind w:left="0" w:firstLineChars="200" w:firstLine="480"/>
        <w:rPr>
          <w:rFonts w:ascii="Times New Roman"/>
          <w:szCs w:val="24"/>
        </w:rPr>
      </w:pPr>
    </w:p>
    <w:p w14:paraId="46E12FBC" w14:textId="77777777" w:rsidR="005F1E3F" w:rsidRDefault="006C56E6">
      <w:pPr>
        <w:pStyle w:val="1"/>
        <w:spacing w:line="520" w:lineRule="exact"/>
        <w:ind w:firstLineChars="200" w:firstLine="482"/>
        <w:rPr>
          <w:rFonts w:ascii="Times New Roman" w:hAnsi="Times New Roman"/>
          <w:bCs/>
          <w:color w:val="auto"/>
          <w:szCs w:val="24"/>
        </w:rPr>
      </w:pPr>
      <w:bookmarkStart w:id="17" w:name="_Toc26170399"/>
      <w:bookmarkStart w:id="18" w:name="_Toc296551340"/>
      <w:r>
        <w:rPr>
          <w:rFonts w:ascii="Times New Roman" w:hAnsi="Times New Roman"/>
          <w:bCs/>
          <w:color w:val="auto"/>
          <w:szCs w:val="24"/>
        </w:rPr>
        <w:t>第四条</w:t>
      </w:r>
      <w:r>
        <w:rPr>
          <w:rFonts w:ascii="Times New Roman" w:hAnsi="Times New Roman"/>
          <w:bCs/>
          <w:color w:val="auto"/>
          <w:szCs w:val="24"/>
        </w:rPr>
        <w:t xml:space="preserve"> </w:t>
      </w:r>
      <w:r>
        <w:rPr>
          <w:rFonts w:ascii="Times New Roman" w:hAnsi="Times New Roman"/>
          <w:bCs/>
          <w:color w:val="auto"/>
          <w:szCs w:val="24"/>
        </w:rPr>
        <w:t>基金管理人对基金托管人的业务核查</w:t>
      </w:r>
      <w:bookmarkEnd w:id="17"/>
      <w:bookmarkEnd w:id="18"/>
    </w:p>
    <w:p w14:paraId="47F10CC6"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4.1</w:t>
      </w:r>
      <w:r>
        <w:rPr>
          <w:rFonts w:ascii="Times New Roman" w:hint="eastAsia"/>
          <w:szCs w:val="24"/>
        </w:rPr>
        <w:t>根据《基金法》及其他有关法规的规定和基金合同及本协议约定，</w:t>
      </w:r>
      <w:r>
        <w:rPr>
          <w:rFonts w:ascii="Times New Roman"/>
          <w:szCs w:val="24"/>
        </w:rPr>
        <w:t>基金管理人对基金托管人履行托管职责情况进行核查，核查事项包括但不限于基金托管人安全保管基金财产、开设基金财产的资金账户和证券账户等投资所需的其他账户、复核基金管理人计算的基金资产净值和基金份额净值、根据基金管理人指令办理清算交收、相关信息披露和监督基金投资运作等行为。</w:t>
      </w:r>
    </w:p>
    <w:p w14:paraId="0583DABB"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4.2</w:t>
      </w:r>
      <w:r>
        <w:rPr>
          <w:rFonts w:ascii="Times New Roman"/>
          <w:szCs w:val="24"/>
        </w:rPr>
        <w:t>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基金管理人有义务要求基金托管人赔偿基金因此所遭受的损失。</w:t>
      </w:r>
    </w:p>
    <w:p w14:paraId="2E6AE06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4.3</w:t>
      </w:r>
      <w:r>
        <w:rPr>
          <w:rFonts w:ascii="Times New Roman"/>
          <w:szCs w:val="24"/>
        </w:rPr>
        <w:t>基金管理人发现基金托管人有重大违规行为，应立即报告中国证监会和银行业监督管理机构，同时通知基金托管人限期纠正。</w:t>
      </w:r>
    </w:p>
    <w:p w14:paraId="552F5FD4"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4.4</w:t>
      </w:r>
      <w:r>
        <w:rPr>
          <w:rFonts w:ascii="Times New Roman"/>
          <w:szCs w:val="24"/>
        </w:rPr>
        <w:t>基金托管人应积极配合基金管理人的核查行为，包括但不限于：提交相关资料以</w:t>
      </w:r>
      <w:proofErr w:type="gramStart"/>
      <w:r>
        <w:rPr>
          <w:rFonts w:ascii="Times New Roman"/>
          <w:szCs w:val="24"/>
        </w:rPr>
        <w:t>供基金</w:t>
      </w:r>
      <w:proofErr w:type="gramEnd"/>
      <w:r>
        <w:rPr>
          <w:rFonts w:ascii="Times New Roman"/>
          <w:szCs w:val="24"/>
        </w:rPr>
        <w:t>管理人核查托管财产的完整性和真实性，在规定时间内答复基金管理人并改正。</w:t>
      </w:r>
    </w:p>
    <w:p w14:paraId="157C1964"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4.5</w:t>
      </w:r>
      <w:r>
        <w:rPr>
          <w:rFonts w:ascii="Times New Roman"/>
          <w:szCs w:val="24"/>
        </w:rPr>
        <w:t>基金托管人无正当理由，拒绝、阻挠基金管理人根据本协议规定行使监督权，或采取拖延、欺诈等手段妨碍基金管理人进行有效监督，情节严重或经基金管</w:t>
      </w:r>
      <w:r>
        <w:rPr>
          <w:rFonts w:ascii="Times New Roman"/>
          <w:szCs w:val="24"/>
        </w:rPr>
        <w:lastRenderedPageBreak/>
        <w:t>理人提出警告仍不改正的，基金管理人应报告中国证监会。</w:t>
      </w:r>
    </w:p>
    <w:p w14:paraId="54E6CED8" w14:textId="77777777" w:rsidR="005F1E3F" w:rsidRDefault="005F1E3F">
      <w:pPr>
        <w:pStyle w:val="20"/>
        <w:spacing w:before="0" w:after="0" w:line="520" w:lineRule="exact"/>
        <w:ind w:left="0" w:firstLineChars="200" w:firstLine="480"/>
        <w:rPr>
          <w:rFonts w:ascii="Times New Roman"/>
          <w:szCs w:val="24"/>
        </w:rPr>
      </w:pPr>
    </w:p>
    <w:p w14:paraId="359A132E" w14:textId="77777777" w:rsidR="005F1E3F" w:rsidRDefault="006C56E6">
      <w:pPr>
        <w:pStyle w:val="1"/>
        <w:spacing w:line="520" w:lineRule="exact"/>
        <w:ind w:firstLineChars="200" w:firstLine="482"/>
        <w:rPr>
          <w:rFonts w:ascii="Times New Roman" w:hAnsi="Times New Roman"/>
          <w:bCs/>
          <w:color w:val="auto"/>
          <w:szCs w:val="24"/>
        </w:rPr>
      </w:pPr>
      <w:bookmarkStart w:id="19" w:name="_Toc26170400"/>
      <w:bookmarkStart w:id="20" w:name="_Toc296551341"/>
      <w:r>
        <w:rPr>
          <w:rFonts w:ascii="Times New Roman" w:hAnsi="Times New Roman"/>
          <w:bCs/>
          <w:color w:val="auto"/>
          <w:szCs w:val="24"/>
        </w:rPr>
        <w:t>第五条</w:t>
      </w:r>
      <w:r>
        <w:rPr>
          <w:rFonts w:ascii="Times New Roman" w:hAnsi="Times New Roman"/>
          <w:bCs/>
          <w:color w:val="auto"/>
          <w:szCs w:val="24"/>
        </w:rPr>
        <w:t xml:space="preserve"> </w:t>
      </w:r>
      <w:r>
        <w:rPr>
          <w:rFonts w:ascii="Times New Roman" w:hAnsi="Times New Roman"/>
          <w:bCs/>
          <w:color w:val="auto"/>
          <w:szCs w:val="24"/>
        </w:rPr>
        <w:t>基金财产保管</w:t>
      </w:r>
      <w:bookmarkEnd w:id="19"/>
      <w:bookmarkEnd w:id="20"/>
    </w:p>
    <w:p w14:paraId="72DE95F6"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5.1</w:t>
      </w:r>
      <w:r>
        <w:rPr>
          <w:rFonts w:ascii="Times New Roman"/>
          <w:szCs w:val="24"/>
        </w:rPr>
        <w:t>基金财产保管的原则</w:t>
      </w:r>
    </w:p>
    <w:p w14:paraId="602BFECB"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5.1.1</w:t>
      </w:r>
      <w:r>
        <w:rPr>
          <w:rFonts w:ascii="Times New Roman"/>
          <w:szCs w:val="24"/>
        </w:rPr>
        <w:t>基金财产应独立于基金管理人、基金托管人的固有财产。</w:t>
      </w:r>
    </w:p>
    <w:p w14:paraId="12DA987A"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5.1.2</w:t>
      </w:r>
      <w:r>
        <w:rPr>
          <w:rFonts w:ascii="Times New Roman"/>
          <w:szCs w:val="24"/>
        </w:rPr>
        <w:t>基金托管人应安全保管基金财产。除依据法律法规规定、基金合同和本托管协议约定及基金管理人的正当指令外，不得自行运用、处分、分配基金的任何财产。</w:t>
      </w:r>
    </w:p>
    <w:p w14:paraId="671834EB"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5.1.3</w:t>
      </w:r>
      <w:r>
        <w:rPr>
          <w:rFonts w:ascii="Times New Roman"/>
          <w:szCs w:val="24"/>
        </w:rPr>
        <w:t>基金托管人按照规定开设基金财产的资金账户和证券账户等投资所需的其他账户。</w:t>
      </w:r>
    </w:p>
    <w:p w14:paraId="26B308D8"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5.1.4</w:t>
      </w:r>
      <w:r>
        <w:rPr>
          <w:rFonts w:ascii="Times New Roman"/>
          <w:szCs w:val="24"/>
        </w:rPr>
        <w:t>基金托管人对所托管的不同基金财产分别设置账户，与基金托管人的其他业务和其他基金的托管业务实行严格的分账管理，确保基金财产的完整与独立。</w:t>
      </w:r>
    </w:p>
    <w:p w14:paraId="3D670868"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5.1.5</w:t>
      </w:r>
      <w:r>
        <w:rPr>
          <w:rFonts w:ascii="Times New Roman"/>
          <w:szCs w:val="24"/>
        </w:rPr>
        <w:t>基金托管人根据基金管理人的指令，按照基金合同和本协议的约定保管基金财产，如有特殊情况双方可另行协商解决。</w:t>
      </w:r>
    </w:p>
    <w:p w14:paraId="34BA51A1"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5.1.6</w:t>
      </w:r>
      <w:r>
        <w:rPr>
          <w:rFonts w:ascii="Times New Roman"/>
          <w:szCs w:val="24"/>
        </w:rPr>
        <w:t>除依据法律法规和基金合同的规定外，基金托管人不得委托第三人托管基金资产。</w:t>
      </w:r>
    </w:p>
    <w:p w14:paraId="07867D08"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5.1.7</w:t>
      </w:r>
      <w:r>
        <w:rPr>
          <w:rFonts w:ascii="Times New Roman"/>
          <w:szCs w:val="24"/>
        </w:rPr>
        <w:t>基金托管人仅对托管账户内的基金财产承担保管职责，对于该账户之外的财产或已从该托管账户支付出去的财产的损失不承担任何责任。</w:t>
      </w:r>
    </w:p>
    <w:p w14:paraId="6ADA4AC7"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5.2</w:t>
      </w:r>
      <w:r>
        <w:rPr>
          <w:rFonts w:ascii="Times New Roman"/>
          <w:szCs w:val="24"/>
        </w:rPr>
        <w:t>募集资金的验资</w:t>
      </w:r>
    </w:p>
    <w:p w14:paraId="5373A476"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5.2.1</w:t>
      </w:r>
      <w:r>
        <w:rPr>
          <w:rFonts w:ascii="Times New Roman"/>
          <w:szCs w:val="24"/>
        </w:rPr>
        <w:t>基金募集期间募集的资金应存放于专用账户，募集的股票按照交易所和登记结算机构的规则和流程办理股票的冻结与过户。</w:t>
      </w:r>
    </w:p>
    <w:p w14:paraId="16791990" w14:textId="26CDE5BC" w:rsidR="005F1E3F" w:rsidRDefault="006C56E6">
      <w:pPr>
        <w:pStyle w:val="20"/>
        <w:spacing w:before="0" w:after="0" w:line="520" w:lineRule="exact"/>
        <w:ind w:left="0" w:firstLineChars="200" w:firstLine="480"/>
        <w:rPr>
          <w:rFonts w:ascii="Times New Roman"/>
          <w:szCs w:val="24"/>
        </w:rPr>
      </w:pPr>
      <w:r>
        <w:rPr>
          <w:rFonts w:ascii="Times New Roman"/>
          <w:szCs w:val="24"/>
        </w:rPr>
        <w:t>5.2.2</w:t>
      </w:r>
      <w:r>
        <w:rPr>
          <w:rFonts w:ascii="Times New Roman"/>
          <w:szCs w:val="24"/>
        </w:rPr>
        <w:t>基金募集期满或基金提前结束募集时，募集的基金份额总额、基金募集金额、基金份额持有人人数符合《基金法》《运作办法》等有关规定后，基金管理人应将募集的属于本基金财产的全部资金划入基金托管人为本基金开立的资产托管专户中，基金托管人在收到资金当日出具确认文件。同时，基金管理人应聘</w:t>
      </w:r>
      <w:proofErr w:type="gramStart"/>
      <w:r>
        <w:rPr>
          <w:rFonts w:ascii="Times New Roman"/>
          <w:szCs w:val="24"/>
        </w:rPr>
        <w:t>请符合</w:t>
      </w:r>
      <w:proofErr w:type="gramEnd"/>
      <w:r>
        <w:rPr>
          <w:rFonts w:ascii="Times New Roman"/>
          <w:szCs w:val="24"/>
        </w:rPr>
        <w:t>《证券法》规定的会计师事务所进行验资，出具验资报告，出具的验资报告应由参加验资的</w:t>
      </w:r>
      <w:r>
        <w:rPr>
          <w:rFonts w:ascii="Times New Roman"/>
          <w:szCs w:val="24"/>
        </w:rPr>
        <w:t>2</w:t>
      </w:r>
      <w:r>
        <w:rPr>
          <w:rFonts w:ascii="Times New Roman"/>
          <w:szCs w:val="24"/>
        </w:rPr>
        <w:t>名以上（含</w:t>
      </w:r>
      <w:r>
        <w:rPr>
          <w:rFonts w:ascii="Times New Roman"/>
          <w:szCs w:val="24"/>
        </w:rPr>
        <w:t>2</w:t>
      </w:r>
      <w:r>
        <w:rPr>
          <w:rFonts w:ascii="Times New Roman"/>
          <w:szCs w:val="24"/>
        </w:rPr>
        <w:t>名）符合《证券法》规定的注册会计师签字有效。</w:t>
      </w:r>
    </w:p>
    <w:p w14:paraId="3ED662D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5.2.3</w:t>
      </w:r>
      <w:proofErr w:type="gramStart"/>
      <w:r>
        <w:rPr>
          <w:rFonts w:ascii="Times New Roman"/>
          <w:szCs w:val="24"/>
        </w:rPr>
        <w:t>若基金</w:t>
      </w:r>
      <w:proofErr w:type="gramEnd"/>
      <w:r>
        <w:rPr>
          <w:rFonts w:ascii="Times New Roman"/>
          <w:szCs w:val="24"/>
        </w:rPr>
        <w:t>募集期限届满，未能达到基金备案条件，由基金管理人按规定办</w:t>
      </w:r>
      <w:r>
        <w:rPr>
          <w:rFonts w:ascii="Times New Roman"/>
          <w:szCs w:val="24"/>
        </w:rPr>
        <w:lastRenderedPageBreak/>
        <w:t>理退款事宜。</w:t>
      </w:r>
    </w:p>
    <w:p w14:paraId="419B5894"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5.3</w:t>
      </w:r>
      <w:r>
        <w:rPr>
          <w:rFonts w:ascii="Times New Roman"/>
          <w:szCs w:val="24"/>
        </w:rPr>
        <w:t>基金的银行账户的开立和管理</w:t>
      </w:r>
    </w:p>
    <w:p w14:paraId="7FA20A9E"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5.3.1</w:t>
      </w:r>
      <w:r>
        <w:rPr>
          <w:rFonts w:ascii="Times New Roman"/>
          <w:szCs w:val="24"/>
        </w:rPr>
        <w:t>基金托管人以本基金的名义在其营业机构开立基金的银行账户</w:t>
      </w:r>
      <w:r>
        <w:rPr>
          <w:rFonts w:ascii="Times New Roman" w:hint="eastAsia"/>
          <w:szCs w:val="24"/>
        </w:rPr>
        <w:t>（账户具体名称以实际开立为准）</w:t>
      </w:r>
      <w:r>
        <w:rPr>
          <w:rFonts w:ascii="Times New Roman"/>
          <w:szCs w:val="24"/>
        </w:rPr>
        <w:t>，并根据基金管理人合法合</w:t>
      </w:r>
      <w:proofErr w:type="gramStart"/>
      <w:r>
        <w:rPr>
          <w:rFonts w:ascii="Times New Roman"/>
          <w:szCs w:val="24"/>
        </w:rPr>
        <w:t>规</w:t>
      </w:r>
      <w:proofErr w:type="gramEnd"/>
      <w:r>
        <w:rPr>
          <w:rFonts w:ascii="Times New Roman"/>
          <w:szCs w:val="24"/>
        </w:rPr>
        <w:t>的指令办理资金收付。本基金的银行预留印鉴由基金托管人刻制、保管和使用。</w:t>
      </w:r>
    </w:p>
    <w:p w14:paraId="067E3BF9"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5.3.2</w:t>
      </w:r>
      <w:r>
        <w:rPr>
          <w:rFonts w:ascii="Times New Roman"/>
          <w:szCs w:val="24"/>
        </w:rPr>
        <w:t>基金银行账户的开立和使用，限于满足开展本基金业务的需要。基金托管人和基金管理人不得假借本基金的名义开立任何其他银行账户；亦不得使用基金的任何账户进行本基金业务以外的活动。</w:t>
      </w:r>
    </w:p>
    <w:p w14:paraId="33CF7A94"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5.3.3</w:t>
      </w:r>
      <w:r>
        <w:rPr>
          <w:rFonts w:ascii="Times New Roman"/>
          <w:szCs w:val="24"/>
        </w:rPr>
        <w:t>基金银行账户的开立和管理应符合有关法律法规以及银行业监督管理机构的有关规定。</w:t>
      </w:r>
    </w:p>
    <w:p w14:paraId="399E3F4E"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5.4</w:t>
      </w:r>
      <w:r>
        <w:rPr>
          <w:rFonts w:ascii="Times New Roman"/>
          <w:szCs w:val="24"/>
        </w:rPr>
        <w:t>基金证券账户与证券交易资金账户的开设和管理：</w:t>
      </w:r>
    </w:p>
    <w:p w14:paraId="06EF6E61"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5.4.1</w:t>
      </w:r>
      <w:r>
        <w:rPr>
          <w:rFonts w:ascii="Times New Roman"/>
          <w:szCs w:val="24"/>
        </w:rPr>
        <w:t>基金托管人以基金托管人和本基金联名的方式在中国证券登记结算有限责任公司上海分公司</w:t>
      </w:r>
      <w:r>
        <w:rPr>
          <w:rFonts w:ascii="Times New Roman"/>
          <w:szCs w:val="24"/>
        </w:rPr>
        <w:t>/</w:t>
      </w:r>
      <w:r>
        <w:rPr>
          <w:rFonts w:ascii="Times New Roman"/>
          <w:szCs w:val="24"/>
        </w:rPr>
        <w:t>深圳分公司开设证券账户。</w:t>
      </w:r>
    </w:p>
    <w:p w14:paraId="3F10CAA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5.4.2</w:t>
      </w:r>
      <w:r>
        <w:rPr>
          <w:rFonts w:ascii="Times New Roman"/>
          <w:szCs w:val="24"/>
        </w:rPr>
        <w:t>基金管理人以基金名义在基金管理人选择的证券经营机构开立证券资金账户。证券经营机构根据相关法律法规、规范性文件为本基金开立相关资金账户并按照该证券经营机构开户的流程和要求与基金管理人签订相关协议。</w:t>
      </w:r>
    </w:p>
    <w:p w14:paraId="023C0F37"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交易所证券交易资金采用第三方存管模式，即用于证券交易结算的资金全额存放在基金管理人为基金开设的证券资金账户中，场内的证券交易资金清算由基金管理人所选择的证券公司负责。</w:t>
      </w:r>
    </w:p>
    <w:p w14:paraId="5DB69733"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5.4.3</w:t>
      </w:r>
      <w:r>
        <w:rPr>
          <w:rFonts w:ascii="Times New Roman"/>
          <w:szCs w:val="24"/>
        </w:rPr>
        <w:t>基金证券账户的开立和使用，限于满足开展本基金业务的需要。基金托管人和基金管理人不得出借和未经对方同意擅自转让基金的任何证券账户或证券资金账户；亦不得使用基金的任何账户进行本基金业务以外的活动。本基金通过证券经纪机构进行的交易由证券经纪机构作为结算参与人代理本基金进行结算。</w:t>
      </w:r>
    </w:p>
    <w:p w14:paraId="3F849811"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5.4.4</w:t>
      </w:r>
      <w:r>
        <w:rPr>
          <w:rFonts w:ascii="Times New Roman"/>
          <w:szCs w:val="24"/>
        </w:rPr>
        <w:t>基金证券账户与证券资金账户相关证明文件的保管由基金托管人或证券经纪机构负责，账户资产的管理和运用由基金管理人负责。</w:t>
      </w:r>
    </w:p>
    <w:p w14:paraId="530188B9"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5.5</w:t>
      </w:r>
      <w:r>
        <w:rPr>
          <w:rFonts w:ascii="Times New Roman"/>
          <w:szCs w:val="24"/>
        </w:rPr>
        <w:t>债券托管账户的开立和管理</w:t>
      </w:r>
    </w:p>
    <w:p w14:paraId="7CE70156"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5.5.1</w:t>
      </w:r>
      <w:r>
        <w:rPr>
          <w:rFonts w:ascii="Times New Roman"/>
          <w:szCs w:val="24"/>
        </w:rPr>
        <w:t>基金合同生效后，基金管理人负责以基金的名义申请并取得进入全国银行间同业拆借市场的交易资格，并代表基金进行交易；基金托管人负责以基金的名</w:t>
      </w:r>
      <w:r>
        <w:rPr>
          <w:rFonts w:ascii="Times New Roman"/>
          <w:szCs w:val="24"/>
        </w:rPr>
        <w:lastRenderedPageBreak/>
        <w:t>义在中央国债登记结算有限责任公司和银行间市场清算所股份有限公司开设银行间债券市场债券托管账户，并由基金托管人负责基金的债券的后台匹配及资金的清算。</w:t>
      </w:r>
    </w:p>
    <w:p w14:paraId="452B422B"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5.5.2</w:t>
      </w:r>
      <w:r>
        <w:rPr>
          <w:rFonts w:ascii="Times New Roman"/>
          <w:szCs w:val="24"/>
        </w:rPr>
        <w:t>基金管理人和基金托管人应一起负责为基金对外签订全国银行间国债市场回购主协议，正本由基金托管人保管，基金管理人保存副本。</w:t>
      </w:r>
    </w:p>
    <w:p w14:paraId="27964443"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5.6</w:t>
      </w:r>
      <w:r>
        <w:rPr>
          <w:rFonts w:ascii="Times New Roman"/>
          <w:szCs w:val="24"/>
        </w:rPr>
        <w:t>其他账户的开设和管理</w:t>
      </w:r>
    </w:p>
    <w:p w14:paraId="4AC5939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在本托管协议生效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18BC9646"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5.7</w:t>
      </w:r>
      <w:r>
        <w:rPr>
          <w:rFonts w:ascii="Times New Roman"/>
          <w:szCs w:val="24"/>
        </w:rPr>
        <w:t>基金财产投资的有关实物证券、银行定期存款存单等有价凭证的保管</w:t>
      </w:r>
    </w:p>
    <w:p w14:paraId="15DDC3AA" w14:textId="43F32800" w:rsidR="005F1E3F" w:rsidRDefault="006C56E6">
      <w:pPr>
        <w:pStyle w:val="20"/>
        <w:spacing w:before="0" w:after="0" w:line="520" w:lineRule="exact"/>
        <w:ind w:left="0" w:firstLineChars="200" w:firstLine="480"/>
        <w:rPr>
          <w:rFonts w:ascii="Times New Roman"/>
          <w:szCs w:val="24"/>
        </w:rPr>
      </w:pPr>
      <w:r>
        <w:rPr>
          <w:rFonts w:ascii="Times New Roman"/>
          <w:szCs w:val="24"/>
        </w:rPr>
        <w:t>基金财产投资的有关实物证券由基金托管人存放于基金托管人的保管库；其中实物证券也可存入中央国债登记结算有限责任公司、中国证券登记结算有限责任公司上海分公司</w:t>
      </w:r>
      <w:r>
        <w:rPr>
          <w:rFonts w:ascii="Times New Roman"/>
          <w:szCs w:val="24"/>
        </w:rPr>
        <w:t>/</w:t>
      </w:r>
      <w:r>
        <w:rPr>
          <w:rFonts w:ascii="Times New Roman"/>
          <w:szCs w:val="24"/>
        </w:rPr>
        <w:t>深圳分公司、银行间市场清算所股份有限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w:t>
      </w:r>
    </w:p>
    <w:p w14:paraId="77A80820"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5.8</w:t>
      </w:r>
      <w:r>
        <w:rPr>
          <w:rFonts w:ascii="Times New Roman"/>
          <w:szCs w:val="24"/>
        </w:rPr>
        <w:t>与基金财产有关的重大合同的保管</w:t>
      </w:r>
    </w:p>
    <w:p w14:paraId="044CBCBF" w14:textId="62526582" w:rsidR="005F1E3F" w:rsidRDefault="006C56E6">
      <w:pPr>
        <w:pStyle w:val="20"/>
        <w:spacing w:before="0" w:after="0" w:line="520" w:lineRule="exact"/>
        <w:ind w:left="0" w:firstLineChars="200" w:firstLine="480"/>
        <w:rPr>
          <w:rFonts w:ascii="Times New Roman"/>
          <w:szCs w:val="24"/>
        </w:rPr>
      </w:pPr>
      <w:r>
        <w:rPr>
          <w:rFonts w:ascii="Times New Roman"/>
          <w:szCs w:val="24"/>
        </w:rPr>
        <w:t>与基金财产有关的重大合同的签署，由基金管理人负责。由基金管理人代表基金签署的与基金有关的重大合同的原件分别应由基金托管人、基金管理人保管。基金管理人在代表基金签署与基金有关的重大合同时应保证基金一方持有两份以上的正本原件，以便基金管理人和基金托管人至少各持有一份正本的原件。基金管理人在合同签署后</w:t>
      </w:r>
      <w:r>
        <w:rPr>
          <w:rFonts w:ascii="Times New Roman"/>
          <w:szCs w:val="24"/>
        </w:rPr>
        <w:t>30</w:t>
      </w:r>
      <w:r>
        <w:rPr>
          <w:rFonts w:ascii="Times New Roman"/>
          <w:szCs w:val="24"/>
        </w:rPr>
        <w:t>个工作日内通过专人送达、挂号邮寄等安全方式将合同送达基金托管人处。合同应存放于基金管理人和基金托管人各自文件保管部门不少于法律法规</w:t>
      </w:r>
      <w:r>
        <w:rPr>
          <w:rFonts w:ascii="Times New Roman" w:hint="eastAsia"/>
          <w:szCs w:val="24"/>
        </w:rPr>
        <w:t>或监管规则</w:t>
      </w:r>
      <w:r>
        <w:rPr>
          <w:rFonts w:ascii="Times New Roman"/>
          <w:szCs w:val="24"/>
        </w:rPr>
        <w:t>规定的最低期限。对于无法取得二份以上的正本的，基金管理人应向基金托管人提供加盖授权业务章的合同传真件，未经双方协商或未在合同约定范围内，合同原件不得转移，由基金管理人保管。</w:t>
      </w:r>
    </w:p>
    <w:p w14:paraId="0EF1AE73" w14:textId="77777777" w:rsidR="005F1E3F" w:rsidRDefault="005F1E3F">
      <w:pPr>
        <w:pStyle w:val="20"/>
        <w:spacing w:before="0" w:after="0" w:line="520" w:lineRule="exact"/>
        <w:ind w:left="0" w:firstLineChars="200" w:firstLine="480"/>
        <w:rPr>
          <w:rFonts w:ascii="Times New Roman"/>
          <w:szCs w:val="24"/>
        </w:rPr>
      </w:pPr>
    </w:p>
    <w:p w14:paraId="68BE3B0E" w14:textId="77777777" w:rsidR="005F1E3F" w:rsidRDefault="006C56E6">
      <w:pPr>
        <w:pStyle w:val="1"/>
        <w:spacing w:line="520" w:lineRule="exact"/>
        <w:ind w:firstLineChars="200" w:firstLine="482"/>
        <w:rPr>
          <w:rFonts w:ascii="Times New Roman" w:hAnsi="Times New Roman"/>
          <w:bCs/>
          <w:color w:val="auto"/>
          <w:szCs w:val="24"/>
        </w:rPr>
      </w:pPr>
      <w:bookmarkStart w:id="21" w:name="_Toc26170401"/>
      <w:bookmarkStart w:id="22" w:name="_Toc296551342"/>
      <w:r>
        <w:rPr>
          <w:rFonts w:ascii="Times New Roman" w:hAnsi="Times New Roman"/>
          <w:bCs/>
          <w:color w:val="auto"/>
          <w:szCs w:val="24"/>
        </w:rPr>
        <w:t>第六条</w:t>
      </w:r>
      <w:r>
        <w:rPr>
          <w:rFonts w:ascii="Times New Roman" w:hAnsi="Times New Roman"/>
          <w:bCs/>
          <w:color w:val="auto"/>
          <w:szCs w:val="24"/>
        </w:rPr>
        <w:t xml:space="preserve"> </w:t>
      </w:r>
      <w:r>
        <w:rPr>
          <w:rFonts w:ascii="Times New Roman" w:hAnsi="Times New Roman"/>
          <w:bCs/>
          <w:color w:val="auto"/>
          <w:szCs w:val="24"/>
        </w:rPr>
        <w:t>指令的发送、确认和执行</w:t>
      </w:r>
      <w:bookmarkEnd w:id="21"/>
      <w:bookmarkEnd w:id="22"/>
    </w:p>
    <w:p w14:paraId="64EC7AA6"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6.1</w:t>
      </w:r>
      <w:r>
        <w:rPr>
          <w:rFonts w:ascii="Times New Roman"/>
          <w:szCs w:val="24"/>
        </w:rPr>
        <w:t>基金管理人对发送指令人员的书面授权</w:t>
      </w:r>
    </w:p>
    <w:p w14:paraId="131C96F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基金管理人应向基金托管人提供预留印鉴和被授权人签字样本，事先书面通知（以下简称</w:t>
      </w:r>
      <w:r>
        <w:rPr>
          <w:rFonts w:ascii="Times New Roman"/>
          <w:szCs w:val="24"/>
        </w:rPr>
        <w:t>“</w:t>
      </w:r>
      <w:r>
        <w:rPr>
          <w:rFonts w:ascii="Times New Roman"/>
          <w:szCs w:val="24"/>
        </w:rPr>
        <w:t>授权通知</w:t>
      </w:r>
      <w:r>
        <w:rPr>
          <w:rFonts w:ascii="Times New Roman"/>
          <w:szCs w:val="24"/>
        </w:rPr>
        <w:t>”</w:t>
      </w:r>
      <w:r>
        <w:rPr>
          <w:rFonts w:ascii="Times New Roman"/>
          <w:szCs w:val="24"/>
        </w:rPr>
        <w:t>）基金托管人有权发送指令的人员名单，注明相应的交易权限，并规定基金管理人向基金托管人发送指令时基金托管人确认有权发送人员身份的方法。授权通知应加盖基金管理人公章，并由基金管理人法定代表人或其授权代表签章（签字或加盖名章），如为授权代表签章，还应附上法定代表人的授权委托书。基金托管人在收到授权通知当日回函向基金管理人确认。基金托管人向基金管理人发出确认回函之后，授权通知生效。如授权通知中载明的生效日期早于基金托管人向基金管理人发出确认回函的时间，则以基金托管人向基金管理人发出确认回函的时间为授权通知生效日期；如授权通知中载明的生效日期晚于基金托管人向基金管理人发出确认回函的时间，则以授权通知中载明的日期为授权通知生效日期。</w:t>
      </w:r>
    </w:p>
    <w:p w14:paraId="5F2A2817"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基金管理人和基金托管人对授权文件负有保密义务，其内容不得向被授权人及相关操作人员以外的任何人泄露，法律法规另有规定或有权机关另有要求的除外。</w:t>
      </w:r>
    </w:p>
    <w:p w14:paraId="6F50E8DF"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6.2</w:t>
      </w:r>
      <w:r>
        <w:rPr>
          <w:rFonts w:ascii="Times New Roman"/>
          <w:szCs w:val="24"/>
        </w:rPr>
        <w:t>指令的内容</w:t>
      </w:r>
    </w:p>
    <w:p w14:paraId="0E02B02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指令是基金管理人在运用基金资产时，向基金托管人发出的资金划拨及其他款项支付的指令。基金管理人发给基金托管人的指令应写明款项事由、支付时间、到账时间、金额、账户等，加盖预留印鉴并由被授权人签字或盖章。</w:t>
      </w:r>
    </w:p>
    <w:p w14:paraId="182C3C1B"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6.3</w:t>
      </w:r>
      <w:r>
        <w:rPr>
          <w:rFonts w:ascii="Times New Roman"/>
          <w:szCs w:val="24"/>
        </w:rPr>
        <w:t>指令的发送、确认和执行的时间和程序</w:t>
      </w:r>
    </w:p>
    <w:p w14:paraId="740AA847"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6.3.1</w:t>
      </w:r>
      <w:r>
        <w:rPr>
          <w:rFonts w:ascii="Times New Roman"/>
          <w:szCs w:val="24"/>
        </w:rPr>
        <w:t>指令由</w:t>
      </w:r>
      <w:r>
        <w:rPr>
          <w:rFonts w:ascii="Times New Roman"/>
          <w:szCs w:val="24"/>
        </w:rPr>
        <w:t>“</w:t>
      </w:r>
      <w:r>
        <w:rPr>
          <w:rFonts w:ascii="Times New Roman"/>
          <w:szCs w:val="24"/>
        </w:rPr>
        <w:t>授权通知</w:t>
      </w:r>
      <w:r>
        <w:rPr>
          <w:rFonts w:ascii="Times New Roman"/>
          <w:szCs w:val="24"/>
        </w:rPr>
        <w:t>”</w:t>
      </w:r>
      <w:r>
        <w:rPr>
          <w:rFonts w:ascii="Times New Roman"/>
          <w:szCs w:val="24"/>
        </w:rPr>
        <w:t>确定的有权发送人（以下简称</w:t>
      </w:r>
      <w:r>
        <w:rPr>
          <w:rFonts w:ascii="Times New Roman"/>
          <w:szCs w:val="24"/>
        </w:rPr>
        <w:t>“</w:t>
      </w:r>
      <w:r>
        <w:rPr>
          <w:rFonts w:ascii="Times New Roman"/>
          <w:szCs w:val="24"/>
        </w:rPr>
        <w:t>被授权人</w:t>
      </w:r>
      <w:r>
        <w:rPr>
          <w:rFonts w:ascii="Times New Roman"/>
          <w:szCs w:val="24"/>
        </w:rPr>
        <w:t>”</w:t>
      </w:r>
      <w:r>
        <w:rPr>
          <w:rFonts w:ascii="Times New Roman"/>
          <w:szCs w:val="24"/>
        </w:rPr>
        <w:t>）代表基金管理人用传真的方式或其他基金托管人和基金管理人书面确认过的方式向基金托管人发送。基金管理人有义务在发送指令后及时与托管人进行确认，因基金管理人未能及时与基金托管人进行指令确认</w:t>
      </w:r>
      <w:r>
        <w:rPr>
          <w:rFonts w:ascii="Times New Roman"/>
          <w:szCs w:val="24"/>
        </w:rPr>
        <w:t>,</w:t>
      </w:r>
      <w:r>
        <w:rPr>
          <w:rFonts w:ascii="Times New Roman"/>
          <w:szCs w:val="24"/>
        </w:rPr>
        <w:t>致使资金未能及时到账所造成的损失不由基金托管人承担。基金托管人依照</w:t>
      </w:r>
      <w:r>
        <w:rPr>
          <w:rFonts w:ascii="Times New Roman"/>
          <w:szCs w:val="24"/>
        </w:rPr>
        <w:t>“</w:t>
      </w:r>
      <w:r>
        <w:rPr>
          <w:rFonts w:ascii="Times New Roman"/>
          <w:szCs w:val="24"/>
        </w:rPr>
        <w:t>授权通知</w:t>
      </w:r>
      <w:r>
        <w:rPr>
          <w:rFonts w:ascii="Times New Roman"/>
          <w:szCs w:val="24"/>
        </w:rPr>
        <w:t>”</w:t>
      </w:r>
      <w:r>
        <w:rPr>
          <w:rFonts w:ascii="Times New Roman"/>
          <w:szCs w:val="24"/>
        </w:rPr>
        <w:t>规定的方法确认指令有效后，方可执行指令。对于被授权人发出的指令，基金管理人不得否认其效力。基金管理人应按照《基金法》、有关法律法规和基金合同的规定，在其合法的经营权限和交易权限内发送划款指令，被授权人应按照其授权权限发送划款指令。基金管理人在发送指令时，</w:t>
      </w:r>
      <w:r>
        <w:rPr>
          <w:rFonts w:ascii="Times New Roman"/>
          <w:szCs w:val="24"/>
        </w:rPr>
        <w:lastRenderedPageBreak/>
        <w:t>应为基金托管人留出执行指令所必需的时间为</w:t>
      </w:r>
      <w:r>
        <w:rPr>
          <w:rFonts w:ascii="Times New Roman"/>
          <w:szCs w:val="24"/>
        </w:rPr>
        <w:t>2</w:t>
      </w:r>
      <w:r>
        <w:rPr>
          <w:rFonts w:ascii="Times New Roman" w:hint="eastAsia"/>
          <w:szCs w:val="24"/>
        </w:rPr>
        <w:t>个工作</w:t>
      </w:r>
      <w:r>
        <w:rPr>
          <w:rFonts w:ascii="Times New Roman"/>
          <w:szCs w:val="24"/>
        </w:rPr>
        <w:t>小时。基金管理人应在交易日</w:t>
      </w:r>
      <w:r>
        <w:rPr>
          <w:rFonts w:ascii="Times New Roman"/>
          <w:szCs w:val="24"/>
        </w:rPr>
        <w:t>15:00</w:t>
      </w:r>
      <w:r>
        <w:rPr>
          <w:rFonts w:ascii="Times New Roman"/>
          <w:szCs w:val="24"/>
        </w:rPr>
        <w:t>前发送当日划款指令，如在</w:t>
      </w:r>
      <w:r>
        <w:rPr>
          <w:rFonts w:ascii="Times New Roman"/>
          <w:szCs w:val="24"/>
        </w:rPr>
        <w:t>15:00</w:t>
      </w:r>
      <w:r>
        <w:rPr>
          <w:rFonts w:ascii="Times New Roman"/>
          <w:szCs w:val="24"/>
        </w:rPr>
        <w:t>后发送的指令，托管人尽量执行但不保证一定完成支付。由基金管理</w:t>
      </w:r>
      <w:proofErr w:type="gramStart"/>
      <w:r>
        <w:rPr>
          <w:rFonts w:ascii="Times New Roman"/>
          <w:szCs w:val="24"/>
        </w:rPr>
        <w:t>人原因</w:t>
      </w:r>
      <w:proofErr w:type="gramEnd"/>
      <w:r>
        <w:rPr>
          <w:rFonts w:ascii="Times New Roman"/>
          <w:szCs w:val="24"/>
        </w:rPr>
        <w:t>造成的指令传输不及时、未能留出足够划款所需时间，基金托管人不承担资金未能及时到账所造成的损失。</w:t>
      </w:r>
    </w:p>
    <w:p w14:paraId="57E6AF24" w14:textId="0E0D2072" w:rsidR="005F1E3F" w:rsidRDefault="006C56E6">
      <w:pPr>
        <w:pStyle w:val="20"/>
        <w:spacing w:before="0" w:after="0" w:line="520" w:lineRule="exact"/>
        <w:ind w:left="0" w:firstLineChars="200" w:firstLine="480"/>
        <w:rPr>
          <w:rFonts w:ascii="Times New Roman"/>
          <w:szCs w:val="24"/>
        </w:rPr>
      </w:pPr>
      <w:r>
        <w:rPr>
          <w:rFonts w:ascii="Times New Roman"/>
          <w:szCs w:val="24"/>
        </w:rPr>
        <w:t>6.3.2</w:t>
      </w:r>
      <w:r>
        <w:rPr>
          <w:rFonts w:ascii="Times New Roman"/>
          <w:szCs w:val="24"/>
        </w:rPr>
        <w:t>基金托管人根据本协议相关约定仅履行表面一致形式审核职责，对指令的真实性不承担责任。如果基金管理人的指令存在事实上未经授权、欺诈、伪造、变造或未能及时提供授权通知等情形，基金托管人不承担因执行有关指令或拒绝执行有关指令而给基金管理人或基金财产或任何第三</w:t>
      </w:r>
      <w:proofErr w:type="gramStart"/>
      <w:r>
        <w:rPr>
          <w:rFonts w:ascii="Times New Roman"/>
          <w:szCs w:val="24"/>
        </w:rPr>
        <w:t>方带来</w:t>
      </w:r>
      <w:proofErr w:type="gramEnd"/>
      <w:r>
        <w:rPr>
          <w:rFonts w:ascii="Times New Roman"/>
          <w:szCs w:val="24"/>
        </w:rPr>
        <w:t>的损失，</w:t>
      </w:r>
      <w:r>
        <w:rPr>
          <w:rFonts w:ascii="Times New Roman" w:hint="eastAsia"/>
          <w:szCs w:val="24"/>
        </w:rPr>
        <w:t>全部责任由基金管理人承担，基金托管人由此遭受的损失，由基金管理人负责赔偿</w:t>
      </w:r>
      <w:r>
        <w:rPr>
          <w:rFonts w:ascii="Times New Roman"/>
          <w:szCs w:val="24"/>
        </w:rPr>
        <w:t>。</w:t>
      </w:r>
    </w:p>
    <w:p w14:paraId="13D2673F"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 xml:space="preserve">6.3.3 </w:t>
      </w:r>
      <w:r>
        <w:rPr>
          <w:rFonts w:ascii="Times New Roman"/>
          <w:szCs w:val="24"/>
        </w:rPr>
        <w:t>基金托管人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基金托管人不承担任何形式的责任。</w:t>
      </w:r>
      <w:r>
        <w:rPr>
          <w:rFonts w:ascii="Times New Roman" w:hint="eastAsia"/>
          <w:szCs w:val="24"/>
        </w:rPr>
        <w:t>基金托管人由此遭受的损失，由基金管理人负责赔偿。</w:t>
      </w:r>
    </w:p>
    <w:p w14:paraId="66E40485" w14:textId="28A25E54" w:rsidR="005F1E3F" w:rsidRDefault="006C56E6">
      <w:pPr>
        <w:pStyle w:val="20"/>
        <w:spacing w:before="0" w:after="0" w:line="520" w:lineRule="exact"/>
        <w:ind w:left="0" w:firstLineChars="200" w:firstLine="480"/>
        <w:rPr>
          <w:rFonts w:ascii="Times New Roman"/>
          <w:szCs w:val="24"/>
        </w:rPr>
      </w:pPr>
      <w:r>
        <w:rPr>
          <w:rFonts w:ascii="Times New Roman"/>
          <w:szCs w:val="24"/>
        </w:rPr>
        <w:t xml:space="preserve">6.3.4 </w:t>
      </w:r>
      <w:r>
        <w:rPr>
          <w:rFonts w:ascii="Times New Roman"/>
          <w:szCs w:val="24"/>
        </w:rPr>
        <w:t>基金托管人应指定专人接收基金管理人的指令，预先通知基金管理人其名单，并与基金管理人商定指令发送和接收方式。基金托管人收到基金管理人发送的指令后，应对指令进行表面形式审查，验证指令的要素是否齐全，传真</w:t>
      </w:r>
      <w:proofErr w:type="gramStart"/>
      <w:r>
        <w:rPr>
          <w:rFonts w:ascii="Times New Roman"/>
          <w:szCs w:val="24"/>
        </w:rPr>
        <w:t>指令仅</w:t>
      </w:r>
      <w:proofErr w:type="gramEnd"/>
      <w:r>
        <w:rPr>
          <w:rFonts w:ascii="Times New Roman"/>
          <w:szCs w:val="24"/>
        </w:rPr>
        <w:t>对划款指令的印鉴及被授权人签章等通过肉眼辨识的方式与预留印鉴和签章样本进行比对，形式上不存在重大差异的，即视为通过表面审查。基金管理人出具的划款指令中的编号不属于指令要素，属于基金管理人内部业务信息，基金托管人不对指令编号承担任何审核职责；基金管理人应确保其在划款指令中填写的内容真实、准确、完整，划款指令编号不存在重复。指令复核无误后应在规定期限内及时执行。指令若以传真方式发出，则正本由基金管理人保管，基金托管人保管指令传真件。</w:t>
      </w:r>
      <w:r>
        <w:rPr>
          <w:rFonts w:ascii="Times New Roman" w:hint="eastAsia"/>
          <w:szCs w:val="24"/>
        </w:rPr>
        <w:t>当两者不一致时，以基金托管人收到的指令传真件为准。</w:t>
      </w:r>
    </w:p>
    <w:p w14:paraId="0CBE1A5F"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6.3.5</w:t>
      </w:r>
      <w:r>
        <w:rPr>
          <w:rFonts w:ascii="Times New Roman"/>
          <w:szCs w:val="24"/>
        </w:rPr>
        <w:t>基金管理人向基金托管人下达指令时，应确保基金银行账户有足够的资金余额，对基金管理人在没有充足资金的情况下向基金托管人发出的指令，基金托管人可不予执行，并立即通知基金管理人，基金托管人不承担因为不执行该指令而造成损失的责任。</w:t>
      </w:r>
    </w:p>
    <w:p w14:paraId="740661F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lastRenderedPageBreak/>
        <w:t>6.3.6</w:t>
      </w:r>
      <w:r>
        <w:rPr>
          <w:rFonts w:ascii="Times New Roman"/>
          <w:szCs w:val="24"/>
        </w:rPr>
        <w:t>基金管理人应将同业市场国债交易通知单加盖预留印鉴后传真给基金托管人。</w:t>
      </w:r>
    </w:p>
    <w:p w14:paraId="33E9F89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6.4</w:t>
      </w:r>
      <w:r>
        <w:rPr>
          <w:rFonts w:ascii="Times New Roman"/>
          <w:szCs w:val="24"/>
        </w:rPr>
        <w:t>基金管理人发送错误指令的情形和处理程序</w:t>
      </w:r>
    </w:p>
    <w:p w14:paraId="31F245AB"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6.4.1</w:t>
      </w:r>
      <w:r>
        <w:rPr>
          <w:rFonts w:ascii="Times New Roman"/>
          <w:szCs w:val="24"/>
        </w:rPr>
        <w:t>基金管理人发送错误指令的情形包括指令违反相关法律法规或基金合同、指令发送人员无权或超越权限发送指令及交割信息错误，指令中重要信息模糊不清或不全等。</w:t>
      </w:r>
    </w:p>
    <w:p w14:paraId="36678D49"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6.4.2</w:t>
      </w:r>
      <w:r>
        <w:rPr>
          <w:rFonts w:ascii="Times New Roman"/>
          <w:szCs w:val="24"/>
        </w:rPr>
        <w:t>基金托管人在履行监督职能时，发现基金管理人的指令错误时，有权拒绝执行，并及时通知基金管理人改正。</w:t>
      </w:r>
    </w:p>
    <w:p w14:paraId="3DA3ED08" w14:textId="780976BB" w:rsidR="005F1E3F" w:rsidRDefault="006C56E6">
      <w:pPr>
        <w:pStyle w:val="20"/>
        <w:spacing w:before="0" w:after="0" w:line="520" w:lineRule="exact"/>
        <w:ind w:left="0" w:firstLineChars="200" w:firstLine="480"/>
        <w:rPr>
          <w:rFonts w:ascii="Times New Roman"/>
          <w:szCs w:val="24"/>
        </w:rPr>
      </w:pPr>
      <w:r>
        <w:rPr>
          <w:rFonts w:ascii="Times New Roman"/>
          <w:szCs w:val="24"/>
        </w:rPr>
        <w:t>6.5</w:t>
      </w:r>
      <w:r>
        <w:rPr>
          <w:rFonts w:ascii="Times New Roman"/>
          <w:szCs w:val="24"/>
        </w:rPr>
        <w:t>基金托管人依照法律法规拒绝执行指令的情形和处理程序</w:t>
      </w:r>
    </w:p>
    <w:p w14:paraId="54C918A2"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基金托管人发现基金管理人的投资指令违反有关法律法规或者违反基金合同约定的，应当拒绝执行，立即通知基金管理人，并及时向中国证监会报告，持续跟进基金管理人的后续处理，督促基金管理人依法履行披露义务。对基金管理人更正并重新发送后的指令经基金托管人核对确认后方能执行。</w:t>
      </w:r>
    </w:p>
    <w:p w14:paraId="41C2D8B1"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6.6</w:t>
      </w:r>
      <w:r>
        <w:rPr>
          <w:rFonts w:ascii="Times New Roman"/>
          <w:szCs w:val="24"/>
        </w:rPr>
        <w:t>基金托管人未按照基金管理人指令执行的处理方法</w:t>
      </w:r>
    </w:p>
    <w:p w14:paraId="6AFFCFF8"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基金托管人由于自身</w:t>
      </w:r>
      <w:r>
        <w:rPr>
          <w:rFonts w:ascii="Times New Roman" w:hint="eastAsia"/>
          <w:szCs w:val="24"/>
        </w:rPr>
        <w:t>故意或重大过失</w:t>
      </w:r>
      <w:r>
        <w:rPr>
          <w:rFonts w:ascii="Times New Roman"/>
          <w:szCs w:val="24"/>
        </w:rPr>
        <w:t>原因造成未按照或者未及时按照基金管理人发送的符合法律法规规定以及基金合同约定的指令执行，给基金份额持有人或基金财产造成损失的，应负赔偿责任。</w:t>
      </w:r>
    </w:p>
    <w:p w14:paraId="72DA5CD8"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6.7</w:t>
      </w:r>
      <w:r>
        <w:rPr>
          <w:rFonts w:ascii="Times New Roman"/>
          <w:szCs w:val="24"/>
        </w:rPr>
        <w:t>更换被授权人的程序</w:t>
      </w:r>
    </w:p>
    <w:p w14:paraId="3E28BF22"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基金管理人撤换被授权人员或改变被授权人员的权限，必须提前至少</w:t>
      </w:r>
      <w:r>
        <w:rPr>
          <w:rFonts w:ascii="Times New Roman"/>
          <w:szCs w:val="24"/>
        </w:rPr>
        <w:t>1</w:t>
      </w:r>
      <w:r>
        <w:rPr>
          <w:rFonts w:ascii="Times New Roman"/>
          <w:szCs w:val="24"/>
        </w:rPr>
        <w:t>个交易日，使用传真或邮件向基金托管人发出由基金管理人签字和盖章的被授权人变更通知，同时电话通知基金托管人。被授权人变更通知应加盖基金管理人公章，并由基金管理人法定代表人或其授权代表签章（签字或加盖名章），如为授权代表签章，还应附上法定代表人的授权委托书。基金托管人收到变更通知当日将回函书面传真或邮件给基金管理人并通过电话向基金管理人确认。如授权通知中载明的生效日期早于基金托管人与基金管理人确认的时间，则以基金托管人与基金管理人确认的时间为授权通知生效日期；如授权通知中载明的生效日期晚于基金托管人与基金管理人确认的时间，则以授权通知中载明的日期为授权通知生效日期。基金管理人在此后</w:t>
      </w:r>
      <w:r>
        <w:rPr>
          <w:rFonts w:ascii="Times New Roman"/>
          <w:szCs w:val="24"/>
        </w:rPr>
        <w:t>5</w:t>
      </w:r>
      <w:r>
        <w:rPr>
          <w:rFonts w:ascii="Times New Roman"/>
          <w:szCs w:val="24"/>
        </w:rPr>
        <w:t>日内将被授权人变更通知的正本送交基金托管人。被授权人变更通知的正本应</w:t>
      </w:r>
      <w:r>
        <w:rPr>
          <w:rFonts w:ascii="Times New Roman"/>
          <w:szCs w:val="24"/>
        </w:rPr>
        <w:lastRenderedPageBreak/>
        <w:t>与传真或邮件内容一致，若有不一致的，以基金托管人收到的传真件或邮件为准。基金管理人更换被授权人通知生效后，对于已被撤换的人员无权发送的指令，或被改变授权人员超权限发送的指令，基金管理人不承担责任。</w:t>
      </w:r>
    </w:p>
    <w:p w14:paraId="5E9B9513" w14:textId="77777777" w:rsidR="005F1E3F" w:rsidRDefault="005F1E3F">
      <w:pPr>
        <w:pStyle w:val="20"/>
        <w:spacing w:before="0" w:after="0" w:line="520" w:lineRule="exact"/>
        <w:ind w:left="0" w:firstLineChars="200" w:firstLine="480"/>
        <w:rPr>
          <w:rFonts w:ascii="Times New Roman"/>
          <w:szCs w:val="24"/>
        </w:rPr>
      </w:pPr>
    </w:p>
    <w:p w14:paraId="3C394E26" w14:textId="77777777" w:rsidR="005F1E3F" w:rsidRDefault="006C56E6">
      <w:pPr>
        <w:pStyle w:val="1"/>
        <w:spacing w:line="520" w:lineRule="exact"/>
        <w:ind w:firstLineChars="200" w:firstLine="482"/>
        <w:rPr>
          <w:rFonts w:ascii="Times New Roman" w:hAnsi="Times New Roman"/>
          <w:bCs/>
          <w:color w:val="auto"/>
          <w:szCs w:val="24"/>
        </w:rPr>
      </w:pPr>
      <w:bookmarkStart w:id="23" w:name="_Toc26170402"/>
      <w:r>
        <w:rPr>
          <w:rFonts w:ascii="Times New Roman" w:hAnsi="Times New Roman"/>
          <w:bCs/>
          <w:color w:val="auto"/>
          <w:szCs w:val="24"/>
        </w:rPr>
        <w:t>第七条</w:t>
      </w:r>
      <w:r>
        <w:rPr>
          <w:rFonts w:ascii="Times New Roman" w:hAnsi="Times New Roman"/>
          <w:bCs/>
          <w:color w:val="auto"/>
          <w:szCs w:val="24"/>
        </w:rPr>
        <w:t xml:space="preserve"> </w:t>
      </w:r>
      <w:r>
        <w:rPr>
          <w:rFonts w:ascii="Times New Roman" w:hAnsi="Times New Roman"/>
          <w:bCs/>
          <w:color w:val="auto"/>
          <w:szCs w:val="24"/>
        </w:rPr>
        <w:t>交易及清算交收安排</w:t>
      </w:r>
      <w:bookmarkEnd w:id="23"/>
      <w:r>
        <w:rPr>
          <w:rFonts w:ascii="Times New Roman" w:hAnsi="Times New Roman"/>
          <w:bCs/>
          <w:color w:val="auto"/>
          <w:szCs w:val="24"/>
        </w:rPr>
        <w:t xml:space="preserve"> </w:t>
      </w:r>
    </w:p>
    <w:p w14:paraId="7B9644F2" w14:textId="77777777" w:rsidR="005F1E3F" w:rsidRDefault="006C56E6">
      <w:pPr>
        <w:pStyle w:val="20"/>
        <w:adjustRightInd w:val="0"/>
        <w:snapToGrid w:val="0"/>
        <w:spacing w:before="0" w:after="0" w:line="360" w:lineRule="auto"/>
        <w:ind w:left="0" w:firstLineChars="200" w:firstLine="480"/>
        <w:rPr>
          <w:rFonts w:ascii="Times New Roman"/>
          <w:szCs w:val="24"/>
        </w:rPr>
      </w:pPr>
      <w:r>
        <w:rPr>
          <w:rFonts w:ascii="Times New Roman"/>
          <w:szCs w:val="24"/>
        </w:rPr>
        <w:t>7.1</w:t>
      </w:r>
      <w:r>
        <w:rPr>
          <w:rFonts w:ascii="Times New Roman"/>
          <w:szCs w:val="24"/>
        </w:rPr>
        <w:t>选择代理证券、期货买卖的证券、期货经营机构</w:t>
      </w:r>
    </w:p>
    <w:p w14:paraId="4EDFF3EB" w14:textId="77777777" w:rsidR="005F1E3F" w:rsidRDefault="006C56E6">
      <w:pPr>
        <w:pStyle w:val="20"/>
        <w:adjustRightInd w:val="0"/>
        <w:snapToGrid w:val="0"/>
        <w:spacing w:before="0" w:after="0" w:line="360" w:lineRule="auto"/>
        <w:ind w:left="0" w:firstLineChars="200" w:firstLine="480"/>
        <w:rPr>
          <w:rFonts w:ascii="Times New Roman"/>
          <w:szCs w:val="24"/>
        </w:rPr>
      </w:pPr>
      <w:r>
        <w:rPr>
          <w:rFonts w:ascii="Times New Roman"/>
          <w:szCs w:val="24"/>
        </w:rPr>
        <w:t>7.1.1</w:t>
      </w:r>
      <w:r>
        <w:rPr>
          <w:rFonts w:ascii="Times New Roman"/>
          <w:szCs w:val="24"/>
        </w:rPr>
        <w:t>基金管理人负责选择代理本基金证券买卖的证券经纪机构，并与其签订证券经纪合同，基金管理人、基金托管人和证券经纪机构就基金参与证券交易的具体事项另行签订协议，明确三方在本基金参与场内证券买卖中各类证券交易、证券交收及相关资金交收、交易数据传输及接收过程中的职责和义务。</w:t>
      </w:r>
    </w:p>
    <w:p w14:paraId="009D6FE4" w14:textId="77777777" w:rsidR="005F1E3F" w:rsidRDefault="006C56E6">
      <w:pPr>
        <w:pStyle w:val="20"/>
        <w:adjustRightInd w:val="0"/>
        <w:snapToGrid w:val="0"/>
        <w:spacing w:before="0" w:after="0" w:line="360" w:lineRule="auto"/>
        <w:ind w:left="0" w:firstLineChars="200" w:firstLine="480"/>
        <w:rPr>
          <w:rFonts w:ascii="Times New Roman"/>
          <w:szCs w:val="24"/>
        </w:rPr>
      </w:pPr>
      <w:r>
        <w:rPr>
          <w:rFonts w:ascii="Times New Roman"/>
          <w:szCs w:val="24"/>
        </w:rPr>
        <w:t>7.1.2</w:t>
      </w:r>
      <w:r>
        <w:rPr>
          <w:rFonts w:ascii="Times New Roman"/>
          <w:szCs w:val="24"/>
        </w:rPr>
        <w:t>基金管理人应及时将本基金适用的佣金费率等基本信息以及变更情况以书面形式通知基金托管人，以便基金托管人估值核算使用。</w:t>
      </w:r>
    </w:p>
    <w:p w14:paraId="32DA386C" w14:textId="77777777" w:rsidR="005F1E3F" w:rsidRDefault="006C56E6">
      <w:pPr>
        <w:pStyle w:val="20"/>
        <w:adjustRightInd w:val="0"/>
        <w:snapToGrid w:val="0"/>
        <w:spacing w:before="0" w:after="0" w:line="360" w:lineRule="auto"/>
        <w:ind w:left="0" w:firstLineChars="200" w:firstLine="480"/>
        <w:rPr>
          <w:rFonts w:ascii="Times New Roman"/>
          <w:szCs w:val="24"/>
        </w:rPr>
      </w:pPr>
      <w:r>
        <w:rPr>
          <w:rFonts w:ascii="Times New Roman"/>
          <w:szCs w:val="24"/>
        </w:rPr>
        <w:t>7.1.3</w:t>
      </w:r>
      <w:r>
        <w:rPr>
          <w:rFonts w:ascii="Times New Roman"/>
          <w:szCs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78B362B8" w14:textId="5A9EAE50" w:rsidR="005F1E3F" w:rsidRDefault="006C56E6">
      <w:pPr>
        <w:pStyle w:val="20"/>
        <w:adjustRightInd w:val="0"/>
        <w:snapToGrid w:val="0"/>
        <w:spacing w:before="0" w:after="0" w:line="360" w:lineRule="auto"/>
        <w:ind w:left="0" w:firstLineChars="200" w:firstLine="480"/>
        <w:rPr>
          <w:rFonts w:ascii="Times New Roman"/>
          <w:szCs w:val="24"/>
        </w:rPr>
      </w:pPr>
      <w:r>
        <w:rPr>
          <w:rFonts w:ascii="Times New Roman"/>
          <w:szCs w:val="24"/>
        </w:rPr>
        <w:t>7.2</w:t>
      </w:r>
      <w:r>
        <w:rPr>
          <w:rFonts w:ascii="Times New Roman"/>
          <w:szCs w:val="24"/>
        </w:rPr>
        <w:t>清算与交割</w:t>
      </w:r>
    </w:p>
    <w:p w14:paraId="14920BB5" w14:textId="77D8139D" w:rsidR="00ED4963" w:rsidRDefault="00ED4963">
      <w:pPr>
        <w:pStyle w:val="20"/>
        <w:adjustRightInd w:val="0"/>
        <w:snapToGrid w:val="0"/>
        <w:spacing w:before="0" w:after="0" w:line="360" w:lineRule="auto"/>
        <w:ind w:left="0" w:firstLineChars="200" w:firstLine="480"/>
        <w:rPr>
          <w:rFonts w:ascii="Times New Roman"/>
          <w:szCs w:val="24"/>
        </w:rPr>
      </w:pPr>
      <w:r w:rsidRPr="00ED4963">
        <w:rPr>
          <w:rFonts w:ascii="Times New Roman" w:hint="eastAsia"/>
          <w:szCs w:val="24"/>
        </w:rPr>
        <w:t>基金清算交</w:t>
      </w:r>
      <w:proofErr w:type="gramStart"/>
      <w:r w:rsidRPr="00ED4963">
        <w:rPr>
          <w:rFonts w:ascii="Times New Roman" w:hint="eastAsia"/>
          <w:szCs w:val="24"/>
        </w:rPr>
        <w:t>收过程</w:t>
      </w:r>
      <w:proofErr w:type="gramEnd"/>
      <w:r w:rsidRPr="00ED4963">
        <w:rPr>
          <w:rFonts w:ascii="Times New Roman" w:hint="eastAsia"/>
          <w:szCs w:val="24"/>
        </w:rPr>
        <w:t>中，出现基金财产中资金或证券不足以交收的，基金托管人应当及时通知基金管理人，督促基金管理人积极采取措施、最大程度控制违约交收风险与相关损失，并报告中国证监会。</w:t>
      </w:r>
    </w:p>
    <w:p w14:paraId="14DF303C" w14:textId="77777777" w:rsidR="005F1E3F" w:rsidRDefault="006C56E6">
      <w:pPr>
        <w:pStyle w:val="20"/>
        <w:adjustRightInd w:val="0"/>
        <w:snapToGrid w:val="0"/>
        <w:spacing w:before="0" w:after="0" w:line="360" w:lineRule="auto"/>
        <w:ind w:left="0" w:firstLineChars="200" w:firstLine="480"/>
        <w:rPr>
          <w:rFonts w:ascii="Times New Roman"/>
          <w:szCs w:val="24"/>
        </w:rPr>
      </w:pPr>
      <w:r>
        <w:rPr>
          <w:rFonts w:ascii="Times New Roman"/>
          <w:szCs w:val="24"/>
        </w:rPr>
        <w:t>7.2.1</w:t>
      </w:r>
      <w:r>
        <w:rPr>
          <w:rFonts w:ascii="Times New Roman"/>
          <w:szCs w:val="24"/>
        </w:rPr>
        <w:t>基金投资证券后的清算交收安排</w:t>
      </w:r>
    </w:p>
    <w:p w14:paraId="514A2192" w14:textId="77777777" w:rsidR="005F1E3F" w:rsidRDefault="006C56E6">
      <w:pPr>
        <w:pStyle w:val="20"/>
        <w:adjustRightInd w:val="0"/>
        <w:snapToGrid w:val="0"/>
        <w:spacing w:before="0" w:after="0" w:line="360" w:lineRule="auto"/>
        <w:ind w:left="0" w:firstLineChars="200" w:firstLine="480"/>
        <w:rPr>
          <w:rFonts w:ascii="Times New Roman"/>
          <w:szCs w:val="24"/>
        </w:rPr>
      </w:pPr>
      <w:r>
        <w:rPr>
          <w:rFonts w:ascii="Times New Roman"/>
          <w:szCs w:val="24"/>
        </w:rPr>
        <w:t>本基金通过证券经纪机构进行的交易由证券经纪机构作为结算参与人代理本基金进行结算；本基金其它证券交易由基金托管人或相关机构负责结算。</w:t>
      </w:r>
    </w:p>
    <w:p w14:paraId="23F6CB96" w14:textId="77777777" w:rsidR="005F1E3F" w:rsidRDefault="006C56E6">
      <w:pPr>
        <w:pStyle w:val="20"/>
        <w:adjustRightInd w:val="0"/>
        <w:snapToGrid w:val="0"/>
        <w:spacing w:before="0" w:after="0" w:line="360" w:lineRule="auto"/>
        <w:ind w:left="0" w:firstLineChars="200" w:firstLine="480"/>
        <w:rPr>
          <w:rFonts w:ascii="Times New Roman"/>
          <w:szCs w:val="24"/>
        </w:rPr>
      </w:pPr>
      <w:r>
        <w:rPr>
          <w:rFonts w:ascii="Times New Roman"/>
          <w:szCs w:val="24"/>
        </w:rPr>
        <w:t>7.2.2</w:t>
      </w:r>
      <w:r>
        <w:rPr>
          <w:rFonts w:ascii="Times New Roman"/>
          <w:szCs w:val="24"/>
        </w:rPr>
        <w:t>证券交易所证券资金结算</w:t>
      </w:r>
    </w:p>
    <w:p w14:paraId="4DED0266" w14:textId="77777777" w:rsidR="005F1E3F" w:rsidRDefault="006C56E6">
      <w:pPr>
        <w:pStyle w:val="20"/>
        <w:adjustRightInd w:val="0"/>
        <w:snapToGrid w:val="0"/>
        <w:spacing w:before="0" w:after="0" w:line="360" w:lineRule="auto"/>
        <w:ind w:left="0" w:firstLineChars="200" w:firstLine="480"/>
        <w:rPr>
          <w:rFonts w:ascii="Times New Roman"/>
          <w:szCs w:val="24"/>
        </w:rPr>
      </w:pPr>
      <w:r>
        <w:rPr>
          <w:rFonts w:ascii="Times New Roman"/>
          <w:szCs w:val="24"/>
        </w:rPr>
        <w:t>基金托管人、基金管理人、证券经纪机构应共同遵守中登公司制定的相关业务规则和规定，该等规则和规定及其更新自动成为本协议组成部分。</w:t>
      </w:r>
    </w:p>
    <w:p w14:paraId="1881D2C8" w14:textId="77777777" w:rsidR="005F1E3F" w:rsidRDefault="006C56E6">
      <w:pPr>
        <w:pStyle w:val="20"/>
        <w:adjustRightInd w:val="0"/>
        <w:snapToGrid w:val="0"/>
        <w:spacing w:before="0" w:after="0" w:line="360" w:lineRule="auto"/>
        <w:ind w:left="0" w:firstLineChars="200" w:firstLine="480"/>
        <w:rPr>
          <w:rFonts w:ascii="Times New Roman"/>
          <w:szCs w:val="24"/>
        </w:rPr>
      </w:pPr>
      <w:r>
        <w:rPr>
          <w:rFonts w:ascii="Times New Roman"/>
          <w:szCs w:val="24"/>
        </w:rPr>
        <w:t>基金管理人在投资前，应充分知晓与理解中登公司针对各类交易品种制定的结算业务规则和规定。</w:t>
      </w:r>
    </w:p>
    <w:p w14:paraId="47800052" w14:textId="77777777" w:rsidR="005F1E3F" w:rsidRDefault="006C56E6">
      <w:pPr>
        <w:pStyle w:val="20"/>
        <w:adjustRightInd w:val="0"/>
        <w:snapToGrid w:val="0"/>
        <w:spacing w:before="0" w:after="0" w:line="360" w:lineRule="auto"/>
        <w:ind w:left="0" w:firstLineChars="200" w:firstLine="480"/>
        <w:rPr>
          <w:rFonts w:ascii="Times New Roman"/>
          <w:szCs w:val="24"/>
        </w:rPr>
      </w:pPr>
      <w:r>
        <w:rPr>
          <w:rFonts w:ascii="Times New Roman"/>
          <w:szCs w:val="24"/>
        </w:rPr>
        <w:t>证券经纪机构代理本基金与中登公司完成证券交易及</w:t>
      </w:r>
      <w:proofErr w:type="gramStart"/>
      <w:r>
        <w:rPr>
          <w:rFonts w:ascii="Times New Roman"/>
          <w:szCs w:val="24"/>
        </w:rPr>
        <w:t>非交易</w:t>
      </w:r>
      <w:proofErr w:type="gramEnd"/>
      <w:r>
        <w:rPr>
          <w:rFonts w:ascii="Times New Roman"/>
          <w:szCs w:val="24"/>
        </w:rPr>
        <w:t>涉及的证券资金结算业务，并承担由证券经纪机构原因造成的正常结算、交收业务无法完成的责任；若由于基金管理</w:t>
      </w:r>
      <w:proofErr w:type="gramStart"/>
      <w:r>
        <w:rPr>
          <w:rFonts w:ascii="Times New Roman"/>
          <w:szCs w:val="24"/>
        </w:rPr>
        <w:t>人原因</w:t>
      </w:r>
      <w:proofErr w:type="gramEnd"/>
      <w:r>
        <w:rPr>
          <w:rFonts w:ascii="Times New Roman"/>
          <w:szCs w:val="24"/>
        </w:rPr>
        <w:t>造成的正常结算业务无法完成，责任由基金管理人承担。</w:t>
      </w:r>
    </w:p>
    <w:p w14:paraId="14993670" w14:textId="77777777" w:rsidR="005F1E3F" w:rsidRDefault="006C56E6">
      <w:pPr>
        <w:pStyle w:val="20"/>
        <w:adjustRightInd w:val="0"/>
        <w:snapToGrid w:val="0"/>
        <w:spacing w:before="0" w:after="0" w:line="360" w:lineRule="auto"/>
        <w:ind w:left="0" w:firstLineChars="200" w:firstLine="480"/>
        <w:rPr>
          <w:rFonts w:ascii="Times New Roman"/>
          <w:szCs w:val="24"/>
        </w:rPr>
      </w:pPr>
      <w:r>
        <w:rPr>
          <w:rFonts w:ascii="Times New Roman"/>
          <w:szCs w:val="24"/>
        </w:rPr>
        <w:t>对于任何原因发生的证券资金交收违约事件，相关各方应当及时协商解决。</w:t>
      </w:r>
    </w:p>
    <w:p w14:paraId="54CA28B3" w14:textId="77777777" w:rsidR="005F1E3F" w:rsidRDefault="006C56E6">
      <w:pPr>
        <w:pStyle w:val="20"/>
        <w:adjustRightInd w:val="0"/>
        <w:snapToGrid w:val="0"/>
        <w:spacing w:before="0" w:after="0" w:line="360" w:lineRule="auto"/>
        <w:ind w:left="0" w:firstLineChars="200" w:firstLine="480"/>
        <w:rPr>
          <w:rFonts w:ascii="Times New Roman"/>
          <w:szCs w:val="24"/>
        </w:rPr>
      </w:pPr>
      <w:r>
        <w:rPr>
          <w:rFonts w:ascii="Times New Roman"/>
          <w:szCs w:val="24"/>
        </w:rPr>
        <w:lastRenderedPageBreak/>
        <w:t>7.2.3</w:t>
      </w:r>
      <w:r>
        <w:rPr>
          <w:rFonts w:ascii="Times New Roman"/>
          <w:szCs w:val="24"/>
        </w:rPr>
        <w:t>场外交易资金结算</w:t>
      </w:r>
    </w:p>
    <w:p w14:paraId="6C24142F" w14:textId="77777777" w:rsidR="005F1E3F" w:rsidRDefault="006C56E6">
      <w:pPr>
        <w:pStyle w:val="20"/>
        <w:adjustRightInd w:val="0"/>
        <w:snapToGrid w:val="0"/>
        <w:spacing w:before="0" w:after="0" w:line="360" w:lineRule="auto"/>
        <w:ind w:left="0" w:firstLineChars="200" w:firstLine="480"/>
        <w:rPr>
          <w:rFonts w:ascii="Times New Roman"/>
          <w:szCs w:val="24"/>
        </w:rPr>
      </w:pPr>
      <w:r>
        <w:rPr>
          <w:rFonts w:ascii="Times New Roman"/>
          <w:szCs w:val="24"/>
        </w:rPr>
        <w:t>场外资金对外投资划款由基金托管人</w:t>
      </w:r>
      <w:proofErr w:type="gramStart"/>
      <w:r>
        <w:rPr>
          <w:rFonts w:ascii="Times New Roman"/>
          <w:szCs w:val="24"/>
        </w:rPr>
        <w:t>凭基金</w:t>
      </w:r>
      <w:proofErr w:type="gramEnd"/>
      <w:r>
        <w:rPr>
          <w:rFonts w:ascii="Times New Roman"/>
          <w:szCs w:val="24"/>
        </w:rPr>
        <w:t>管理人符合本托管协议约定的有效资金划拨指令和相关投资合同（如有）进行资金划拨；</w:t>
      </w:r>
      <w:proofErr w:type="gramStart"/>
      <w:r>
        <w:rPr>
          <w:rFonts w:ascii="Times New Roman"/>
          <w:szCs w:val="24"/>
        </w:rPr>
        <w:t>场外投资</w:t>
      </w:r>
      <w:proofErr w:type="gramEnd"/>
      <w:r>
        <w:rPr>
          <w:rFonts w:ascii="Times New Roman"/>
          <w:szCs w:val="24"/>
        </w:rPr>
        <w:t>本金及收益的划回，由基金管理人负责协调相关资金</w:t>
      </w:r>
      <w:proofErr w:type="gramStart"/>
      <w:r>
        <w:rPr>
          <w:rFonts w:ascii="Times New Roman"/>
          <w:szCs w:val="24"/>
        </w:rPr>
        <w:t>划拨回产品托管户</w:t>
      </w:r>
      <w:proofErr w:type="gramEnd"/>
      <w:r>
        <w:rPr>
          <w:rFonts w:ascii="Times New Roman"/>
          <w:szCs w:val="24"/>
        </w:rPr>
        <w:t>事宜。</w:t>
      </w:r>
    </w:p>
    <w:p w14:paraId="44DA318D" w14:textId="77777777" w:rsidR="005F1E3F" w:rsidRDefault="006C56E6">
      <w:pPr>
        <w:pStyle w:val="20"/>
        <w:adjustRightInd w:val="0"/>
        <w:snapToGrid w:val="0"/>
        <w:spacing w:before="0" w:after="0" w:line="360" w:lineRule="auto"/>
        <w:ind w:left="0" w:firstLineChars="200" w:firstLine="480"/>
        <w:rPr>
          <w:rFonts w:ascii="Times New Roman"/>
          <w:szCs w:val="24"/>
        </w:rPr>
      </w:pPr>
      <w:r>
        <w:rPr>
          <w:rFonts w:ascii="Times New Roman"/>
          <w:szCs w:val="24"/>
        </w:rPr>
        <w:t>7.3</w:t>
      </w:r>
      <w:r>
        <w:rPr>
          <w:rFonts w:ascii="Times New Roman"/>
          <w:szCs w:val="24"/>
        </w:rPr>
        <w:t>资金、证券账目及交易记录的核对</w:t>
      </w:r>
    </w:p>
    <w:p w14:paraId="01ABD361" w14:textId="77777777" w:rsidR="005F1E3F" w:rsidRDefault="006C56E6">
      <w:pPr>
        <w:pStyle w:val="20"/>
        <w:adjustRightInd w:val="0"/>
        <w:snapToGrid w:val="0"/>
        <w:spacing w:before="0" w:after="0" w:line="360" w:lineRule="auto"/>
        <w:ind w:left="0" w:firstLineChars="200" w:firstLine="480"/>
        <w:rPr>
          <w:rFonts w:ascii="Times New Roman"/>
          <w:szCs w:val="24"/>
        </w:rPr>
      </w:pPr>
      <w:r>
        <w:rPr>
          <w:rFonts w:ascii="Times New Roman"/>
          <w:szCs w:val="24"/>
        </w:rPr>
        <w:t>7.3.1</w:t>
      </w:r>
      <w:r>
        <w:rPr>
          <w:rFonts w:ascii="Times New Roman"/>
          <w:szCs w:val="24"/>
        </w:rPr>
        <w:t>基金管理人与基金托管人按日进行交易记录的核对。每日对外披露基金份额净值之前，必须保证当天所有实际交易记录与基金会计账簿上的交易记录完全一致。如果实际交易记录与会计账簿记录不一致，造成基金会计核算不完整或不真实，由此导致的损失由责任方承担。</w:t>
      </w:r>
    </w:p>
    <w:p w14:paraId="63DECC7A" w14:textId="77777777" w:rsidR="005F1E3F" w:rsidRDefault="006C56E6">
      <w:pPr>
        <w:pStyle w:val="20"/>
        <w:adjustRightInd w:val="0"/>
        <w:snapToGrid w:val="0"/>
        <w:spacing w:before="0" w:after="0" w:line="360" w:lineRule="auto"/>
        <w:ind w:left="0" w:firstLineChars="200" w:firstLine="480"/>
        <w:rPr>
          <w:rFonts w:ascii="Times New Roman"/>
          <w:szCs w:val="24"/>
        </w:rPr>
      </w:pPr>
      <w:r>
        <w:rPr>
          <w:rFonts w:ascii="Times New Roman"/>
          <w:szCs w:val="24"/>
        </w:rPr>
        <w:t>托管人与基金管理人建立定期对账机制，定期核对资金头寸、证券账目、净值信息等数据，及时核查认购与申购资金的到账、赎回资金的支付以及投资资金的支付与到账情况。</w:t>
      </w:r>
    </w:p>
    <w:p w14:paraId="37D8EBF5" w14:textId="77777777" w:rsidR="005F1E3F" w:rsidRDefault="006C56E6">
      <w:pPr>
        <w:pStyle w:val="20"/>
        <w:adjustRightInd w:val="0"/>
        <w:snapToGrid w:val="0"/>
        <w:spacing w:before="0" w:after="0" w:line="360" w:lineRule="auto"/>
        <w:ind w:left="0" w:firstLineChars="200" w:firstLine="480"/>
        <w:rPr>
          <w:rFonts w:ascii="Times New Roman"/>
          <w:szCs w:val="24"/>
        </w:rPr>
      </w:pPr>
      <w:r>
        <w:rPr>
          <w:rFonts w:ascii="Times New Roman"/>
          <w:szCs w:val="24"/>
        </w:rPr>
        <w:t>7.3.2</w:t>
      </w:r>
      <w:r>
        <w:rPr>
          <w:rFonts w:ascii="Times New Roman"/>
          <w:szCs w:val="24"/>
        </w:rPr>
        <w:t>对基金的资金账目，由相关各方每日对账一次，确保相关各方账</w:t>
      </w:r>
      <w:proofErr w:type="gramStart"/>
      <w:r>
        <w:rPr>
          <w:rFonts w:ascii="Times New Roman"/>
          <w:szCs w:val="24"/>
        </w:rPr>
        <w:t>账</w:t>
      </w:r>
      <w:proofErr w:type="gramEnd"/>
      <w:r>
        <w:rPr>
          <w:rFonts w:ascii="Times New Roman"/>
          <w:szCs w:val="24"/>
        </w:rPr>
        <w:t>相符。对基金证券账目，由相关各方每日进行对账。对实物</w:t>
      </w:r>
      <w:proofErr w:type="gramStart"/>
      <w:r>
        <w:rPr>
          <w:rFonts w:ascii="Times New Roman"/>
          <w:szCs w:val="24"/>
        </w:rPr>
        <w:t>券</w:t>
      </w:r>
      <w:proofErr w:type="gramEnd"/>
      <w:r>
        <w:rPr>
          <w:rFonts w:ascii="Times New Roman"/>
          <w:szCs w:val="24"/>
        </w:rPr>
        <w:t>账目，每月月末由相关各方进行账实核对。对交易记录，由相关各方每日对账一次。</w:t>
      </w:r>
    </w:p>
    <w:p w14:paraId="10056E78" w14:textId="77777777" w:rsidR="005F1E3F" w:rsidRDefault="006C56E6">
      <w:pPr>
        <w:pStyle w:val="20"/>
        <w:adjustRightInd w:val="0"/>
        <w:snapToGrid w:val="0"/>
        <w:spacing w:before="0" w:after="0" w:line="360" w:lineRule="auto"/>
        <w:ind w:left="0" w:firstLineChars="200" w:firstLine="480"/>
        <w:rPr>
          <w:rFonts w:ascii="Times New Roman"/>
          <w:szCs w:val="24"/>
        </w:rPr>
      </w:pPr>
      <w:r>
        <w:rPr>
          <w:rFonts w:ascii="Times New Roman"/>
          <w:szCs w:val="24"/>
        </w:rPr>
        <w:t>7.4</w:t>
      </w:r>
      <w:r>
        <w:rPr>
          <w:rFonts w:ascii="Times New Roman"/>
          <w:szCs w:val="24"/>
        </w:rPr>
        <w:t>基金申购、赎回业务处理的基本规定</w:t>
      </w:r>
    </w:p>
    <w:p w14:paraId="568BB6F2" w14:textId="77777777" w:rsidR="005F1E3F" w:rsidRDefault="006C56E6" w:rsidP="0047036C">
      <w:pPr>
        <w:pStyle w:val="20"/>
        <w:adjustRightInd w:val="0"/>
        <w:snapToGrid w:val="0"/>
        <w:spacing w:before="0" w:after="0" w:line="360" w:lineRule="auto"/>
        <w:ind w:left="0" w:firstLineChars="200" w:firstLine="480"/>
        <w:rPr>
          <w:rFonts w:ascii="Times New Roman"/>
          <w:szCs w:val="24"/>
        </w:rPr>
      </w:pPr>
      <w:r>
        <w:rPr>
          <w:rFonts w:ascii="Times New Roman" w:hint="eastAsia"/>
          <w:szCs w:val="24"/>
        </w:rPr>
        <w:t>1</w:t>
      </w:r>
      <w:r>
        <w:rPr>
          <w:rFonts w:ascii="Times New Roman" w:hint="eastAsia"/>
          <w:szCs w:val="24"/>
        </w:rPr>
        <w:t>、托管协议当事人在开放式基金的申购赎回、转换中的责任</w:t>
      </w:r>
    </w:p>
    <w:p w14:paraId="48F63BC1" w14:textId="77777777" w:rsidR="005F1E3F" w:rsidRDefault="006C56E6" w:rsidP="0047036C">
      <w:pPr>
        <w:pStyle w:val="20"/>
        <w:adjustRightInd w:val="0"/>
        <w:snapToGrid w:val="0"/>
        <w:spacing w:before="0" w:after="0" w:line="360" w:lineRule="auto"/>
        <w:ind w:left="0" w:firstLineChars="200" w:firstLine="480"/>
        <w:rPr>
          <w:rFonts w:ascii="Times New Roman"/>
          <w:szCs w:val="24"/>
        </w:rPr>
      </w:pPr>
      <w:r>
        <w:rPr>
          <w:rFonts w:ascii="Times New Roman" w:hint="eastAsia"/>
          <w:szCs w:val="24"/>
        </w:rPr>
        <w:t>基金的投资者可通过基金管理人的直销中心和基金销售机构的销售网点进行申购和赎回申请，由基金登记机构办理基金份额的过户和登记，基金托管人负责接收并协助管理人确认资金的到账情况，以及依照基金管理人的投资指令来划付赎回款项。</w:t>
      </w:r>
    </w:p>
    <w:p w14:paraId="295F2CC9" w14:textId="77777777" w:rsidR="005F1E3F" w:rsidRDefault="006C56E6" w:rsidP="0047036C">
      <w:pPr>
        <w:pStyle w:val="20"/>
        <w:adjustRightInd w:val="0"/>
        <w:snapToGrid w:val="0"/>
        <w:spacing w:before="0" w:after="0" w:line="360" w:lineRule="auto"/>
        <w:ind w:left="0" w:firstLineChars="200" w:firstLine="480"/>
        <w:rPr>
          <w:rFonts w:ascii="Times New Roman"/>
          <w:szCs w:val="24"/>
        </w:rPr>
      </w:pPr>
      <w:r>
        <w:rPr>
          <w:rFonts w:ascii="Times New Roman" w:hint="eastAsia"/>
          <w:szCs w:val="24"/>
        </w:rPr>
        <w:t>2</w:t>
      </w:r>
      <w:r>
        <w:rPr>
          <w:rFonts w:ascii="Times New Roman" w:hint="eastAsia"/>
          <w:szCs w:val="24"/>
        </w:rPr>
        <w:t>、开放式基金的数据传递</w:t>
      </w:r>
    </w:p>
    <w:p w14:paraId="4345F469" w14:textId="77777777" w:rsidR="005F1E3F" w:rsidRDefault="006C56E6" w:rsidP="0047036C">
      <w:pPr>
        <w:pStyle w:val="20"/>
        <w:adjustRightInd w:val="0"/>
        <w:snapToGrid w:val="0"/>
        <w:spacing w:before="0" w:after="0" w:line="360" w:lineRule="auto"/>
        <w:ind w:left="0" w:firstLineChars="200" w:firstLine="480"/>
        <w:rPr>
          <w:rFonts w:ascii="Times New Roman"/>
          <w:szCs w:val="24"/>
        </w:rPr>
      </w:pPr>
      <w:r>
        <w:rPr>
          <w:rFonts w:ascii="Times New Roman" w:hint="eastAsia"/>
          <w:szCs w:val="24"/>
        </w:rPr>
        <w:t>基金管理人应将每个开放日的申购、赎回、转换开放式基金的数据传送给基金托管人。基金管理人应对传递的申购、赎回、转换开放式基金的数据的真实性、准确性和完整性负责。</w:t>
      </w:r>
    </w:p>
    <w:p w14:paraId="6DBE2E5E" w14:textId="77777777" w:rsidR="005F1E3F" w:rsidRDefault="006C56E6" w:rsidP="0047036C">
      <w:pPr>
        <w:pStyle w:val="20"/>
        <w:adjustRightInd w:val="0"/>
        <w:snapToGrid w:val="0"/>
        <w:spacing w:before="0" w:after="0" w:line="360" w:lineRule="auto"/>
        <w:ind w:left="0" w:firstLineChars="200" w:firstLine="480"/>
        <w:rPr>
          <w:rFonts w:ascii="Times New Roman"/>
          <w:szCs w:val="24"/>
        </w:rPr>
      </w:pPr>
      <w:r>
        <w:rPr>
          <w:rFonts w:ascii="Times New Roman" w:hint="eastAsia"/>
          <w:szCs w:val="24"/>
        </w:rPr>
        <w:t>3</w:t>
      </w:r>
      <w:r>
        <w:rPr>
          <w:rFonts w:ascii="Times New Roman" w:hint="eastAsia"/>
          <w:szCs w:val="24"/>
        </w:rPr>
        <w:t>、开放式基金的资金清算</w:t>
      </w:r>
    </w:p>
    <w:p w14:paraId="3405BE44" w14:textId="77777777" w:rsidR="005F1E3F" w:rsidRDefault="006C56E6" w:rsidP="0047036C">
      <w:pPr>
        <w:pStyle w:val="20"/>
        <w:adjustRightInd w:val="0"/>
        <w:snapToGrid w:val="0"/>
        <w:spacing w:before="0" w:after="0" w:line="360" w:lineRule="auto"/>
        <w:ind w:left="0" w:firstLineChars="200" w:firstLine="480"/>
        <w:rPr>
          <w:rFonts w:ascii="Times New Roman"/>
          <w:szCs w:val="24"/>
        </w:rPr>
      </w:pPr>
      <w:r>
        <w:rPr>
          <w:rFonts w:ascii="Times New Roman" w:hint="eastAsia"/>
          <w:szCs w:val="24"/>
        </w:rPr>
        <w:t>基金托管账户与“基金清算账户”间的资金结算遵循“全额清算、净额交收”的原则，每日按照托管账户应收资金与应付资金的差额来确定托管账户净应收额或净应付额，以此确定资金交收额。当存在托管账户净应收额时，基金管理人应在</w:t>
      </w:r>
      <w:proofErr w:type="gramStart"/>
      <w:r>
        <w:rPr>
          <w:rFonts w:ascii="Times New Roman" w:hint="eastAsia"/>
          <w:szCs w:val="24"/>
        </w:rPr>
        <w:t>交收日</w:t>
      </w:r>
      <w:proofErr w:type="gramEnd"/>
      <w:r>
        <w:rPr>
          <w:rFonts w:ascii="Times New Roman" w:hint="eastAsia"/>
          <w:szCs w:val="24"/>
        </w:rPr>
        <w:t>15:00</w:t>
      </w:r>
      <w:r>
        <w:rPr>
          <w:rFonts w:ascii="Times New Roman" w:hint="eastAsia"/>
          <w:szCs w:val="24"/>
        </w:rPr>
        <w:t>时之前从基金清算账户</w:t>
      </w:r>
      <w:proofErr w:type="gramStart"/>
      <w:r>
        <w:rPr>
          <w:rFonts w:ascii="Times New Roman" w:hint="eastAsia"/>
          <w:szCs w:val="24"/>
        </w:rPr>
        <w:t>划往基金</w:t>
      </w:r>
      <w:proofErr w:type="gramEnd"/>
      <w:r>
        <w:rPr>
          <w:rFonts w:ascii="Times New Roman" w:hint="eastAsia"/>
          <w:szCs w:val="24"/>
        </w:rPr>
        <w:t>托管账户；当存在托管账户净应付额时，基金托管人按照基金管理人的划款指令将托管账户净应付额在</w:t>
      </w:r>
      <w:proofErr w:type="gramStart"/>
      <w:r>
        <w:rPr>
          <w:rFonts w:ascii="Times New Roman" w:hint="eastAsia"/>
          <w:szCs w:val="24"/>
        </w:rPr>
        <w:t>交收日</w:t>
      </w:r>
      <w:proofErr w:type="gramEnd"/>
      <w:r>
        <w:rPr>
          <w:rFonts w:ascii="Times New Roman" w:hint="eastAsia"/>
          <w:szCs w:val="24"/>
        </w:rPr>
        <w:t>12</w:t>
      </w:r>
      <w:r>
        <w:rPr>
          <w:rFonts w:ascii="Times New Roman" w:hint="eastAsia"/>
          <w:szCs w:val="24"/>
        </w:rPr>
        <w:t>：</w:t>
      </w:r>
      <w:r>
        <w:rPr>
          <w:rFonts w:ascii="Times New Roman" w:hint="eastAsia"/>
          <w:szCs w:val="24"/>
        </w:rPr>
        <w:t>00</w:t>
      </w:r>
      <w:r>
        <w:rPr>
          <w:rFonts w:ascii="Times New Roman" w:hint="eastAsia"/>
          <w:szCs w:val="24"/>
        </w:rPr>
        <w:t>前</w:t>
      </w:r>
      <w:proofErr w:type="gramStart"/>
      <w:r>
        <w:rPr>
          <w:rFonts w:ascii="Times New Roman" w:hint="eastAsia"/>
          <w:szCs w:val="24"/>
        </w:rPr>
        <w:t>划往基金</w:t>
      </w:r>
      <w:proofErr w:type="gramEnd"/>
      <w:r>
        <w:rPr>
          <w:rFonts w:ascii="Times New Roman" w:hint="eastAsia"/>
          <w:szCs w:val="24"/>
        </w:rPr>
        <w:t>清算账户。发生巨额赎回的情形，款项的交收参照本</w:t>
      </w:r>
      <w:proofErr w:type="gramStart"/>
      <w:r>
        <w:rPr>
          <w:rFonts w:ascii="Times New Roman" w:hint="eastAsia"/>
          <w:szCs w:val="24"/>
        </w:rPr>
        <w:t>基金基金</w:t>
      </w:r>
      <w:proofErr w:type="gramEnd"/>
      <w:r>
        <w:rPr>
          <w:rFonts w:ascii="Times New Roman" w:hint="eastAsia"/>
          <w:szCs w:val="24"/>
        </w:rPr>
        <w:t>合同有关条款</w:t>
      </w:r>
      <w:r>
        <w:rPr>
          <w:rFonts w:ascii="Times New Roman" w:hint="eastAsia"/>
          <w:szCs w:val="24"/>
        </w:rPr>
        <w:lastRenderedPageBreak/>
        <w:t>处理。</w:t>
      </w:r>
    </w:p>
    <w:p w14:paraId="5B6102C1" w14:textId="77777777" w:rsidR="005F1E3F" w:rsidRDefault="006C56E6" w:rsidP="0047036C">
      <w:pPr>
        <w:pStyle w:val="20"/>
        <w:adjustRightInd w:val="0"/>
        <w:snapToGrid w:val="0"/>
        <w:spacing w:before="0" w:after="0" w:line="360" w:lineRule="auto"/>
        <w:ind w:left="0" w:firstLineChars="200" w:firstLine="480"/>
        <w:rPr>
          <w:rFonts w:ascii="Times New Roman"/>
          <w:szCs w:val="24"/>
        </w:rPr>
      </w:pPr>
      <w:r>
        <w:rPr>
          <w:rFonts w:ascii="Times New Roman" w:hint="eastAsia"/>
          <w:szCs w:val="24"/>
        </w:rPr>
        <w:t>如果当日基金为净应收款，基金管理人有权自行或通过基金托管人及时查收资金是否到账。对于未准时划付的资金，基金管理人负责通知相关方及时完成划付，由此产生的责任应由基金管理人承担。后果严重的基金托管人有权向中国证监会报告。</w:t>
      </w:r>
    </w:p>
    <w:p w14:paraId="39DF3894" w14:textId="0F63A647" w:rsidR="005F1E3F" w:rsidRDefault="006C56E6">
      <w:pPr>
        <w:pStyle w:val="20"/>
        <w:spacing w:before="0" w:after="0" w:line="520" w:lineRule="exact"/>
        <w:ind w:left="0" w:firstLineChars="200" w:firstLine="480"/>
        <w:rPr>
          <w:rFonts w:ascii="Times New Roman"/>
          <w:szCs w:val="24"/>
        </w:rPr>
      </w:pPr>
      <w:r>
        <w:rPr>
          <w:rFonts w:ascii="Times New Roman" w:hint="eastAsia"/>
          <w:szCs w:val="24"/>
        </w:rPr>
        <w:t>如果当日基金为净应付款，基金托管人应根据基金管理人的有效指令及时进行划付。对于已发送有效指令但因基金托管人过错未准时划付的资金，基金管理人应及时通知基金托管人划付，由此产生的责任应由基金托管人承担。后果严重的基金管理人有权向中国证监会报告。</w:t>
      </w:r>
    </w:p>
    <w:p w14:paraId="438A6899" w14:textId="77777777" w:rsidR="005F1E3F" w:rsidRDefault="006C56E6">
      <w:pPr>
        <w:pStyle w:val="1"/>
        <w:spacing w:line="520" w:lineRule="exact"/>
        <w:ind w:firstLineChars="200" w:firstLine="482"/>
        <w:rPr>
          <w:rFonts w:ascii="Times New Roman" w:hAnsi="Times New Roman"/>
          <w:bCs/>
          <w:color w:val="auto"/>
          <w:szCs w:val="24"/>
        </w:rPr>
      </w:pPr>
      <w:bookmarkStart w:id="24" w:name="_Toc26170403"/>
      <w:bookmarkStart w:id="25" w:name="_Toc296551344"/>
      <w:r>
        <w:rPr>
          <w:rFonts w:ascii="Times New Roman" w:hAnsi="Times New Roman"/>
          <w:bCs/>
          <w:color w:val="auto"/>
          <w:szCs w:val="24"/>
        </w:rPr>
        <w:t>第八条</w:t>
      </w:r>
      <w:r>
        <w:rPr>
          <w:rFonts w:ascii="Times New Roman" w:hAnsi="Times New Roman"/>
          <w:bCs/>
          <w:color w:val="auto"/>
          <w:szCs w:val="24"/>
        </w:rPr>
        <w:t xml:space="preserve"> </w:t>
      </w:r>
      <w:r>
        <w:rPr>
          <w:rFonts w:ascii="Times New Roman" w:hAnsi="Times New Roman"/>
          <w:bCs/>
          <w:color w:val="auto"/>
          <w:szCs w:val="24"/>
        </w:rPr>
        <w:t>基金资产净值计算和会计核算</w:t>
      </w:r>
      <w:bookmarkEnd w:id="24"/>
      <w:bookmarkEnd w:id="25"/>
    </w:p>
    <w:p w14:paraId="2FDB7F76"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8.1</w:t>
      </w:r>
      <w:r>
        <w:rPr>
          <w:rFonts w:ascii="Times New Roman"/>
          <w:szCs w:val="24"/>
        </w:rPr>
        <w:t>基金资产净值的计算、复核的时间和程序</w:t>
      </w:r>
    </w:p>
    <w:p w14:paraId="12B5AF75" w14:textId="1D5A4B5E" w:rsidR="005F1E3F" w:rsidRDefault="006C56E6">
      <w:pPr>
        <w:pStyle w:val="20"/>
        <w:spacing w:before="0" w:after="0" w:line="520" w:lineRule="exact"/>
        <w:ind w:left="0" w:firstLineChars="200" w:firstLine="480"/>
        <w:rPr>
          <w:rFonts w:ascii="Times New Roman"/>
          <w:szCs w:val="24"/>
        </w:rPr>
      </w:pPr>
      <w:r>
        <w:rPr>
          <w:rFonts w:ascii="Times New Roman"/>
          <w:szCs w:val="24"/>
        </w:rPr>
        <w:t>8.1.1</w:t>
      </w:r>
      <w:r>
        <w:rPr>
          <w:rFonts w:ascii="Times New Roman"/>
          <w:szCs w:val="24"/>
        </w:rPr>
        <w:t>基金资产净值是指基金资产总值减去负债后的净资产值。</w:t>
      </w:r>
      <w:r>
        <w:rPr>
          <w:rFonts w:ascii="Times New Roman" w:hint="eastAsia"/>
          <w:szCs w:val="24"/>
        </w:rPr>
        <w:t>各类基金份额净值是按照每个估值日闭市后，各类基金份额的基金资产净值除以当日该类基金份额的余额总数计算，精确到</w:t>
      </w:r>
      <w:r>
        <w:rPr>
          <w:rFonts w:ascii="Times New Roman" w:hint="eastAsia"/>
          <w:szCs w:val="24"/>
        </w:rPr>
        <w:t>0.0001</w:t>
      </w:r>
      <w:r>
        <w:rPr>
          <w:rFonts w:ascii="Times New Roman" w:hint="eastAsia"/>
          <w:szCs w:val="24"/>
        </w:rPr>
        <w:t>元，小数点后第</w:t>
      </w:r>
      <w:r>
        <w:rPr>
          <w:rFonts w:ascii="Times New Roman" w:hint="eastAsia"/>
          <w:szCs w:val="24"/>
        </w:rPr>
        <w:t>5</w:t>
      </w:r>
      <w:r>
        <w:rPr>
          <w:rFonts w:ascii="Times New Roman" w:hint="eastAsia"/>
          <w:szCs w:val="24"/>
        </w:rPr>
        <w:t>位四舍五入</w:t>
      </w:r>
      <w:r>
        <w:rPr>
          <w:rFonts w:ascii="Times New Roman"/>
          <w:szCs w:val="24"/>
        </w:rPr>
        <w:t>，由此产生的误差计入基金财产。</w:t>
      </w:r>
      <w:r>
        <w:rPr>
          <w:rFonts w:ascii="Times New Roman" w:hint="eastAsia"/>
          <w:szCs w:val="24"/>
        </w:rPr>
        <w:t>基金管理人可以设立大额赎回情形下的净值精度应急调整机制。</w:t>
      </w:r>
      <w:r>
        <w:rPr>
          <w:rFonts w:ascii="Times New Roman"/>
          <w:szCs w:val="24"/>
        </w:rPr>
        <w:t>国家</w:t>
      </w:r>
      <w:r>
        <w:rPr>
          <w:rFonts w:ascii="Times New Roman" w:hint="eastAsia"/>
          <w:szCs w:val="24"/>
        </w:rPr>
        <w:t>法律法规</w:t>
      </w:r>
      <w:r>
        <w:rPr>
          <w:rFonts w:ascii="Times New Roman"/>
          <w:szCs w:val="24"/>
        </w:rPr>
        <w:t>另有规定或基金合同另有约定的，从其规定。</w:t>
      </w:r>
    </w:p>
    <w:p w14:paraId="5F18C9F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8.1.2</w:t>
      </w:r>
      <w:r>
        <w:rPr>
          <w:rFonts w:ascii="Times New Roman"/>
          <w:szCs w:val="24"/>
        </w:rPr>
        <w:t>基金管理人</w:t>
      </w:r>
      <w:proofErr w:type="gramStart"/>
      <w:r>
        <w:rPr>
          <w:rFonts w:ascii="Times New Roman"/>
          <w:szCs w:val="24"/>
        </w:rPr>
        <w:t>应每个</w:t>
      </w:r>
      <w:proofErr w:type="gramEnd"/>
      <w:r>
        <w:rPr>
          <w:rFonts w:ascii="Times New Roman"/>
          <w:szCs w:val="24"/>
        </w:rPr>
        <w:t>估值日对基金资产估值，但基金管理人根据法律法规或基金合同的规定暂停估值时除外。估值原则应符合基金合同、《证券投资基金会计核算业务指引》及其他法律、法规的规定。基金资产净值和</w:t>
      </w:r>
      <w:r>
        <w:rPr>
          <w:rFonts w:ascii="Times New Roman" w:hint="eastAsia"/>
          <w:szCs w:val="24"/>
        </w:rPr>
        <w:t>各类</w:t>
      </w:r>
      <w:r>
        <w:rPr>
          <w:rFonts w:ascii="Times New Roman"/>
          <w:szCs w:val="24"/>
        </w:rPr>
        <w:t>基金份额净值由基金管理人负责计算，基金托管人复核。基金管理人应于每个估值日计算当日的</w:t>
      </w:r>
      <w:r>
        <w:rPr>
          <w:rFonts w:ascii="Times New Roman" w:hint="eastAsia"/>
          <w:szCs w:val="24"/>
        </w:rPr>
        <w:t>各类</w:t>
      </w:r>
      <w:r>
        <w:rPr>
          <w:rFonts w:ascii="Times New Roman"/>
          <w:szCs w:val="24"/>
        </w:rPr>
        <w:t>基金份额净值并以双方认可的方式发送给基金托管人。基金托管人对净值计算结果复核后以双方认可的方式发送给基金管理人，由基金管理人对基金净值信息按规定予以公布。</w:t>
      </w:r>
    </w:p>
    <w:p w14:paraId="5508AD8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8.1.3</w:t>
      </w:r>
      <w:r>
        <w:rPr>
          <w:rFonts w:ascii="Times New Roman"/>
          <w:szCs w:val="24"/>
        </w:rPr>
        <w:t>根据《基金法》，基金管理人计算并公告基金净值，基金托管人复核、审查基金管理人计算的基金净值。因此，本基金的会计责任方是基金管理人，就与本基金有关的会计问题，如经相关各方在平等基础上充分讨论后，仍无法达成一致的意见，按照基金管理人对基金净值的计算结果对外予以公布，</w:t>
      </w:r>
      <w:r>
        <w:rPr>
          <w:rFonts w:ascii="Times New Roman" w:hint="eastAsia"/>
          <w:szCs w:val="24"/>
        </w:rPr>
        <w:t>基金托管人对未达成一致意见的基金净值的计算结果不承担任何责任，</w:t>
      </w:r>
      <w:r>
        <w:rPr>
          <w:rFonts w:ascii="Times New Roman"/>
          <w:szCs w:val="24"/>
        </w:rPr>
        <w:t>由此给基金份额持有人和基金造成的损失以及因该交易日基金资产净值计算顺延而引起的损失，由基金管理人负责</w:t>
      </w:r>
      <w:r>
        <w:rPr>
          <w:rFonts w:ascii="Times New Roman"/>
          <w:szCs w:val="24"/>
        </w:rPr>
        <w:lastRenderedPageBreak/>
        <w:t>赔付。</w:t>
      </w:r>
    </w:p>
    <w:p w14:paraId="48F5A846"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8.2</w:t>
      </w:r>
      <w:r>
        <w:rPr>
          <w:rFonts w:ascii="Times New Roman"/>
          <w:szCs w:val="24"/>
        </w:rPr>
        <w:t>基金资产估值方法</w:t>
      </w:r>
    </w:p>
    <w:p w14:paraId="134560E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8.2.1</w:t>
      </w:r>
      <w:r>
        <w:rPr>
          <w:rFonts w:ascii="Times New Roman"/>
          <w:szCs w:val="24"/>
        </w:rPr>
        <w:t>估值对象</w:t>
      </w:r>
    </w:p>
    <w:p w14:paraId="2E07FCDC" w14:textId="2C0A23F9" w:rsidR="005F1E3F" w:rsidRDefault="006C56E6">
      <w:pPr>
        <w:pStyle w:val="20"/>
        <w:spacing w:before="0" w:after="0" w:line="520" w:lineRule="exact"/>
        <w:ind w:left="0" w:firstLineChars="200" w:firstLine="480"/>
        <w:rPr>
          <w:rFonts w:ascii="Times New Roman"/>
          <w:szCs w:val="24"/>
        </w:rPr>
      </w:pPr>
      <w:r>
        <w:rPr>
          <w:rFonts w:ascii="Times New Roman" w:hint="eastAsia"/>
          <w:szCs w:val="24"/>
        </w:rPr>
        <w:t>基金所拥有的目标</w:t>
      </w:r>
      <w:r>
        <w:rPr>
          <w:rFonts w:ascii="Times New Roman" w:hint="eastAsia"/>
          <w:szCs w:val="24"/>
        </w:rPr>
        <w:t>ETF</w:t>
      </w:r>
      <w:r>
        <w:rPr>
          <w:rFonts w:ascii="Times New Roman" w:hint="eastAsia"/>
          <w:szCs w:val="24"/>
        </w:rPr>
        <w:t>份额、股票、股指期货合约、股票期权合约、国债期货合约、债券和银行存款本息、应收款项、其它投资等资产及负债。</w:t>
      </w:r>
    </w:p>
    <w:p w14:paraId="162A64A6"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8.2.2</w:t>
      </w:r>
      <w:r>
        <w:rPr>
          <w:rFonts w:ascii="Times New Roman"/>
          <w:szCs w:val="24"/>
        </w:rPr>
        <w:t>估值方法</w:t>
      </w:r>
    </w:p>
    <w:p w14:paraId="502CC170"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本基金所持有的投资品种，按如下原则进行估值：</w:t>
      </w:r>
    </w:p>
    <w:p w14:paraId="3AFC7580" w14:textId="77777777" w:rsidR="005F1E3F" w:rsidRDefault="006C56E6">
      <w:pPr>
        <w:spacing w:line="360" w:lineRule="auto"/>
        <w:ind w:firstLineChars="200" w:firstLine="480"/>
        <w:rPr>
          <w:bCs/>
          <w:sz w:val="24"/>
        </w:rPr>
      </w:pPr>
      <w:r>
        <w:rPr>
          <w:rFonts w:hint="eastAsia"/>
          <w:bCs/>
          <w:sz w:val="24"/>
        </w:rPr>
        <w:t>1</w:t>
      </w:r>
      <w:r>
        <w:rPr>
          <w:rFonts w:hint="eastAsia"/>
          <w:bCs/>
          <w:sz w:val="24"/>
        </w:rPr>
        <w:t>、目标</w:t>
      </w:r>
      <w:r>
        <w:rPr>
          <w:rFonts w:hint="eastAsia"/>
          <w:bCs/>
          <w:sz w:val="24"/>
        </w:rPr>
        <w:t>ETF</w:t>
      </w:r>
      <w:r>
        <w:rPr>
          <w:rFonts w:hint="eastAsia"/>
          <w:bCs/>
          <w:sz w:val="24"/>
        </w:rPr>
        <w:t>份额的估值</w:t>
      </w:r>
    </w:p>
    <w:p w14:paraId="1F32F489" w14:textId="77777777" w:rsidR="005F1E3F" w:rsidRDefault="006C56E6">
      <w:pPr>
        <w:spacing w:line="360" w:lineRule="auto"/>
        <w:ind w:firstLineChars="200" w:firstLine="480"/>
        <w:rPr>
          <w:bCs/>
          <w:sz w:val="24"/>
        </w:rPr>
      </w:pPr>
      <w:r>
        <w:rPr>
          <w:rFonts w:hint="eastAsia"/>
          <w:bCs/>
          <w:sz w:val="24"/>
        </w:rPr>
        <w:t>本基金投资的目标</w:t>
      </w:r>
      <w:r>
        <w:rPr>
          <w:rFonts w:hint="eastAsia"/>
          <w:bCs/>
          <w:sz w:val="24"/>
        </w:rPr>
        <w:t>ETF</w:t>
      </w:r>
      <w:r>
        <w:rPr>
          <w:rFonts w:hint="eastAsia"/>
          <w:bCs/>
          <w:sz w:val="24"/>
        </w:rPr>
        <w:t>份额以目标</w:t>
      </w:r>
      <w:r>
        <w:rPr>
          <w:rFonts w:hint="eastAsia"/>
          <w:bCs/>
          <w:sz w:val="24"/>
        </w:rPr>
        <w:t>ETF</w:t>
      </w:r>
      <w:r>
        <w:rPr>
          <w:rFonts w:hint="eastAsia"/>
          <w:bCs/>
          <w:sz w:val="24"/>
        </w:rPr>
        <w:t>估值日基金份额净值估值，若估值日为非交易所营业日，以该基金最近估值日的基金份额净值估值。</w:t>
      </w:r>
    </w:p>
    <w:p w14:paraId="15CF5F19" w14:textId="1C12E498" w:rsidR="005F1E3F" w:rsidRDefault="006C56E6">
      <w:pPr>
        <w:spacing w:line="360" w:lineRule="auto"/>
        <w:ind w:firstLineChars="200" w:firstLine="480"/>
        <w:rPr>
          <w:bCs/>
        </w:rPr>
      </w:pPr>
      <w:r>
        <w:rPr>
          <w:bCs/>
          <w:sz w:val="24"/>
        </w:rPr>
        <w:t>2</w:t>
      </w:r>
      <w:r>
        <w:rPr>
          <w:bCs/>
          <w:sz w:val="24"/>
        </w:rPr>
        <w:t>、证券交易所上市的有价证券</w:t>
      </w:r>
      <w:r>
        <w:rPr>
          <w:rFonts w:hint="eastAsia"/>
          <w:bCs/>
          <w:sz w:val="24"/>
        </w:rPr>
        <w:t>（目标</w:t>
      </w:r>
      <w:r>
        <w:rPr>
          <w:rFonts w:hint="eastAsia"/>
          <w:bCs/>
          <w:sz w:val="24"/>
        </w:rPr>
        <w:t>ETF</w:t>
      </w:r>
      <w:r>
        <w:rPr>
          <w:rFonts w:hint="eastAsia"/>
          <w:bCs/>
          <w:sz w:val="24"/>
        </w:rPr>
        <w:t>除外）</w:t>
      </w:r>
      <w:r>
        <w:rPr>
          <w:bCs/>
          <w:sz w:val="24"/>
        </w:rPr>
        <w:t>的估值</w:t>
      </w:r>
    </w:p>
    <w:p w14:paraId="4F7FEE70" w14:textId="77777777" w:rsidR="005F1E3F" w:rsidRDefault="006C56E6">
      <w:pPr>
        <w:spacing w:line="360" w:lineRule="auto"/>
        <w:ind w:firstLineChars="200" w:firstLine="480"/>
        <w:rPr>
          <w:bCs/>
        </w:rPr>
      </w:pPr>
      <w:r>
        <w:rPr>
          <w:bCs/>
          <w:sz w:val="24"/>
        </w:rPr>
        <w:t>（</w:t>
      </w:r>
      <w:r>
        <w:rPr>
          <w:bCs/>
          <w:sz w:val="24"/>
        </w:rPr>
        <w:t>1</w:t>
      </w:r>
      <w:r>
        <w:rPr>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9EB2CE7" w14:textId="77777777" w:rsidR="005F1E3F" w:rsidRDefault="006C56E6">
      <w:pPr>
        <w:spacing w:line="360" w:lineRule="auto"/>
        <w:ind w:firstLineChars="200" w:firstLine="480"/>
        <w:rPr>
          <w:bCs/>
        </w:rPr>
      </w:pPr>
      <w:r>
        <w:rPr>
          <w:bCs/>
          <w:sz w:val="24"/>
        </w:rPr>
        <w:t>（</w:t>
      </w:r>
      <w:r>
        <w:rPr>
          <w:bCs/>
          <w:sz w:val="24"/>
        </w:rPr>
        <w:t>2</w:t>
      </w:r>
      <w:r>
        <w:rPr>
          <w:bCs/>
          <w:sz w:val="24"/>
        </w:rPr>
        <w:t>）交易所上市交易或挂牌转让的不含</w:t>
      </w:r>
      <w:proofErr w:type="gramStart"/>
      <w:r>
        <w:rPr>
          <w:bCs/>
          <w:sz w:val="24"/>
        </w:rPr>
        <w:t>权固定</w:t>
      </w:r>
      <w:proofErr w:type="gramEnd"/>
      <w:r>
        <w:rPr>
          <w:bCs/>
          <w:sz w:val="24"/>
        </w:rPr>
        <w:t>收益品种，选取估值日第三方估值基准服务机构提供的相应品种当日的估值全价；交易所上市交易或挂牌转让的含</w:t>
      </w:r>
      <w:proofErr w:type="gramStart"/>
      <w:r>
        <w:rPr>
          <w:bCs/>
          <w:sz w:val="24"/>
        </w:rPr>
        <w:t>权固定</w:t>
      </w:r>
      <w:proofErr w:type="gramEnd"/>
      <w:r>
        <w:rPr>
          <w:bCs/>
          <w:sz w:val="24"/>
        </w:rPr>
        <w:t>收益品种，选取估值日第三方估值基准服务机构提供的相应品种当日的唯一估值全价或推荐估值全价；</w:t>
      </w:r>
    </w:p>
    <w:p w14:paraId="4E26A18A" w14:textId="77777777" w:rsidR="005F1E3F" w:rsidRDefault="006C56E6">
      <w:pPr>
        <w:spacing w:line="360" w:lineRule="auto"/>
        <w:ind w:firstLineChars="200" w:firstLine="480"/>
        <w:rPr>
          <w:bCs/>
        </w:rPr>
      </w:pPr>
      <w:r>
        <w:rPr>
          <w:bCs/>
          <w:sz w:val="24"/>
        </w:rPr>
        <w:t>（</w:t>
      </w:r>
      <w:r>
        <w:rPr>
          <w:bCs/>
          <w:sz w:val="24"/>
        </w:rPr>
        <w:t>3</w:t>
      </w:r>
      <w:r>
        <w:rPr>
          <w:bCs/>
          <w:sz w:val="24"/>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36C1FD6" w14:textId="77777777" w:rsidR="005F1E3F" w:rsidRDefault="006C56E6">
      <w:pPr>
        <w:spacing w:line="360" w:lineRule="auto"/>
        <w:ind w:firstLineChars="200" w:firstLine="480"/>
        <w:rPr>
          <w:bCs/>
          <w:sz w:val="24"/>
        </w:rPr>
      </w:pPr>
      <w:r>
        <w:rPr>
          <w:bCs/>
          <w:sz w:val="24"/>
        </w:rPr>
        <w:t>（</w:t>
      </w:r>
      <w:r>
        <w:rPr>
          <w:bCs/>
          <w:sz w:val="24"/>
        </w:rPr>
        <w:t>4</w:t>
      </w:r>
      <w:r>
        <w:rPr>
          <w:bCs/>
          <w:sz w:val="24"/>
        </w:rPr>
        <w:t>）交易所上市不存在活跃市场的有价证券，采用估值技术确定公允价值</w:t>
      </w:r>
      <w:r>
        <w:rPr>
          <w:rFonts w:hint="eastAsia"/>
          <w:bCs/>
          <w:sz w:val="24"/>
        </w:rPr>
        <w:t>；</w:t>
      </w:r>
    </w:p>
    <w:p w14:paraId="6F4E2521" w14:textId="1785D853" w:rsidR="005F1E3F" w:rsidRDefault="006C56E6">
      <w:pPr>
        <w:spacing w:line="360" w:lineRule="auto"/>
        <w:ind w:firstLineChars="200" w:firstLine="480"/>
        <w:rPr>
          <w:bCs/>
        </w:rPr>
      </w:pPr>
      <w:r>
        <w:rPr>
          <w:bCs/>
          <w:sz w:val="24"/>
        </w:rPr>
        <w:t>3</w:t>
      </w:r>
      <w:r>
        <w:rPr>
          <w:bCs/>
          <w:sz w:val="24"/>
        </w:rPr>
        <w:t>、处于未上市期间或流通受限的有价证券应区分如下情况处理：</w:t>
      </w:r>
    </w:p>
    <w:p w14:paraId="23F34E10" w14:textId="77777777" w:rsidR="005F1E3F" w:rsidRDefault="006C56E6">
      <w:pPr>
        <w:spacing w:line="360" w:lineRule="auto"/>
        <w:ind w:firstLineChars="200" w:firstLine="480"/>
        <w:rPr>
          <w:bCs/>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r>
        <w:rPr>
          <w:bCs/>
          <w:sz w:val="24"/>
        </w:rPr>
        <w:t xml:space="preserve"> </w:t>
      </w:r>
    </w:p>
    <w:p w14:paraId="48068504" w14:textId="77777777" w:rsidR="005F1E3F" w:rsidRDefault="006C56E6">
      <w:pPr>
        <w:spacing w:line="360" w:lineRule="auto"/>
        <w:ind w:firstLineChars="200" w:firstLine="480"/>
        <w:rPr>
          <w:bCs/>
        </w:rPr>
      </w:pPr>
      <w:r>
        <w:rPr>
          <w:bCs/>
          <w:sz w:val="24"/>
        </w:rPr>
        <w:t>（</w:t>
      </w:r>
      <w:r>
        <w:rPr>
          <w:bCs/>
          <w:sz w:val="24"/>
        </w:rPr>
        <w:t>2</w:t>
      </w:r>
      <w:r>
        <w:rPr>
          <w:bCs/>
          <w:sz w:val="24"/>
        </w:rPr>
        <w:t>）首次公开发行未上市的股票，采用估值技术确定公允价值；</w:t>
      </w:r>
    </w:p>
    <w:p w14:paraId="3D29D60D" w14:textId="77777777" w:rsidR="005F1E3F" w:rsidRDefault="006C56E6">
      <w:pPr>
        <w:spacing w:line="360" w:lineRule="auto"/>
        <w:ind w:firstLineChars="200" w:firstLine="480"/>
        <w:rPr>
          <w:bCs/>
        </w:rPr>
      </w:pPr>
      <w:r>
        <w:rPr>
          <w:bCs/>
          <w:sz w:val="24"/>
        </w:rPr>
        <w:t>（</w:t>
      </w:r>
      <w:r>
        <w:rPr>
          <w:bCs/>
          <w:sz w:val="24"/>
        </w:rPr>
        <w:t>3</w:t>
      </w:r>
      <w:r>
        <w:rPr>
          <w:bCs/>
          <w:sz w:val="24"/>
        </w:rPr>
        <w:t>）在发行时明确一定期限限售期的股票，包括但不限于非公开发行股票、首次公开发行股票时公司股东公开发售股份、通过大宗交易取得的带限售期的股票</w:t>
      </w:r>
      <w:r>
        <w:rPr>
          <w:bCs/>
          <w:sz w:val="24"/>
        </w:rPr>
        <w:lastRenderedPageBreak/>
        <w:t>等，不包括停牌、新发行未上市、回购交易中的质押</w:t>
      </w:r>
      <w:proofErr w:type="gramStart"/>
      <w:r>
        <w:rPr>
          <w:bCs/>
          <w:sz w:val="24"/>
        </w:rPr>
        <w:t>券</w:t>
      </w:r>
      <w:proofErr w:type="gramEnd"/>
      <w:r>
        <w:rPr>
          <w:bCs/>
          <w:sz w:val="24"/>
        </w:rPr>
        <w:t>等流通受限股票，按监管机构或行业协会有关规定确定公允价值；</w:t>
      </w:r>
    </w:p>
    <w:p w14:paraId="09058445" w14:textId="77777777" w:rsidR="005F1E3F" w:rsidRDefault="006C56E6">
      <w:pPr>
        <w:spacing w:line="360" w:lineRule="auto"/>
        <w:ind w:firstLineChars="200" w:firstLine="480"/>
        <w:rPr>
          <w:bCs/>
        </w:rPr>
      </w:pPr>
      <w:r>
        <w:rPr>
          <w:bCs/>
          <w:sz w:val="24"/>
        </w:rPr>
        <w:t>（</w:t>
      </w:r>
      <w:r>
        <w:rPr>
          <w:bCs/>
          <w:sz w:val="24"/>
        </w:rPr>
        <w:t>4</w:t>
      </w:r>
      <w:r>
        <w:rPr>
          <w:bCs/>
          <w:sz w:val="24"/>
        </w:rPr>
        <w:t>）交易所未上市或未挂牌转让且不存在活跃市场的固定收益品种，应采用在当前情况下适用并且有足够可利用数据和其他信息支持的估值技术确定其公允价值。</w:t>
      </w:r>
    </w:p>
    <w:p w14:paraId="33B012D9" w14:textId="04C8AF57" w:rsidR="005F1E3F" w:rsidRDefault="006C56E6">
      <w:pPr>
        <w:spacing w:line="360" w:lineRule="auto"/>
        <w:ind w:firstLineChars="200" w:firstLine="480"/>
        <w:rPr>
          <w:bCs/>
        </w:rPr>
      </w:pPr>
      <w:r>
        <w:rPr>
          <w:bCs/>
          <w:sz w:val="24"/>
        </w:rPr>
        <w:t>4</w:t>
      </w:r>
      <w:r>
        <w:rPr>
          <w:bCs/>
          <w:sz w:val="24"/>
        </w:rPr>
        <w:t>、对全国银行间市场上不含权的固定收益品种，选取估值日第三方估值基准服务机构提供的相应品种当日的估值全价；对全国银行间市场上含权的固定收益品种，选取估值日第三方估值基准服务机构提供的相应品种当日的唯一估值全价或推荐估值全价。</w:t>
      </w:r>
    </w:p>
    <w:p w14:paraId="04CFE920" w14:textId="77777777" w:rsidR="005F1E3F" w:rsidRDefault="006C56E6">
      <w:pPr>
        <w:spacing w:line="360" w:lineRule="auto"/>
        <w:ind w:firstLineChars="200" w:firstLine="480"/>
        <w:rPr>
          <w:bCs/>
        </w:rPr>
      </w:pPr>
      <w:r>
        <w:rPr>
          <w:bCs/>
          <w:sz w:val="24"/>
        </w:rPr>
        <w:t>对全国银行间市场未上市或未挂牌转让且不存在活跃市场的固定收益品种，应采用在当前情况下适用并且有足够可利用数据和其他信息支持的估值技术确定其公允价值。</w:t>
      </w:r>
    </w:p>
    <w:p w14:paraId="372F1F62" w14:textId="21FB3F26" w:rsidR="005F1E3F" w:rsidRDefault="006C56E6">
      <w:pPr>
        <w:spacing w:line="360" w:lineRule="auto"/>
        <w:ind w:firstLineChars="200" w:firstLine="480"/>
        <w:rPr>
          <w:bCs/>
        </w:rPr>
      </w:pPr>
      <w:r>
        <w:rPr>
          <w:bCs/>
          <w:sz w:val="24"/>
        </w:rPr>
        <w:t>5</w:t>
      </w:r>
      <w:r>
        <w:rPr>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25D3B344" w14:textId="3EB26487" w:rsidR="005F1E3F" w:rsidRDefault="006C56E6">
      <w:pPr>
        <w:spacing w:line="360" w:lineRule="auto"/>
        <w:ind w:firstLineChars="200" w:firstLine="480"/>
        <w:rPr>
          <w:bCs/>
        </w:rPr>
      </w:pPr>
      <w:r>
        <w:rPr>
          <w:bCs/>
          <w:sz w:val="24"/>
        </w:rPr>
        <w:t>6</w:t>
      </w:r>
      <w:r>
        <w:rPr>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4591082D" w14:textId="5CC77312" w:rsidR="005F1E3F" w:rsidRDefault="006C56E6">
      <w:pPr>
        <w:spacing w:line="360" w:lineRule="auto"/>
        <w:ind w:firstLineChars="200" w:firstLine="480"/>
        <w:rPr>
          <w:bCs/>
        </w:rPr>
      </w:pPr>
      <w:r>
        <w:rPr>
          <w:bCs/>
          <w:sz w:val="24"/>
        </w:rPr>
        <w:t>7</w:t>
      </w:r>
      <w:r>
        <w:rPr>
          <w:bCs/>
          <w:sz w:val="24"/>
        </w:rPr>
        <w:t>、同一证券同时在两个或两个以上市场交易的，按证券所处的市场分别估值。</w:t>
      </w:r>
    </w:p>
    <w:p w14:paraId="67F38355" w14:textId="6A96662F" w:rsidR="005F1E3F" w:rsidRDefault="006C56E6">
      <w:pPr>
        <w:spacing w:line="360" w:lineRule="auto"/>
        <w:ind w:firstLineChars="200" w:firstLine="480"/>
        <w:rPr>
          <w:bCs/>
        </w:rPr>
      </w:pPr>
      <w:r>
        <w:rPr>
          <w:bCs/>
          <w:sz w:val="24"/>
        </w:rPr>
        <w:t>8</w:t>
      </w:r>
      <w:r>
        <w:rPr>
          <w:bCs/>
          <w:sz w:val="24"/>
        </w:rPr>
        <w:t>、期货合约以估值当日结算价进行估值，估值当日无结算价的，且最近交易日后经济环境未发生重大变化的，采用最近交易日结算价估值。</w:t>
      </w:r>
    </w:p>
    <w:p w14:paraId="04023DAE" w14:textId="26DB0174" w:rsidR="005F1E3F" w:rsidRDefault="006C56E6">
      <w:pPr>
        <w:spacing w:line="360" w:lineRule="auto"/>
        <w:ind w:firstLineChars="200" w:firstLine="480"/>
        <w:rPr>
          <w:bCs/>
        </w:rPr>
      </w:pPr>
      <w:r>
        <w:rPr>
          <w:bCs/>
          <w:sz w:val="24"/>
        </w:rPr>
        <w:t>9</w:t>
      </w:r>
      <w:r>
        <w:rPr>
          <w:bCs/>
          <w:sz w:val="24"/>
        </w:rPr>
        <w:t>、本基金投资存托凭证的估值核算，依照境内上市交易的股票执行。</w:t>
      </w:r>
    </w:p>
    <w:p w14:paraId="650501F8" w14:textId="3AD37397" w:rsidR="005F1E3F" w:rsidRDefault="006C56E6">
      <w:pPr>
        <w:spacing w:line="360" w:lineRule="auto"/>
        <w:ind w:firstLineChars="200" w:firstLine="480"/>
        <w:rPr>
          <w:bCs/>
        </w:rPr>
      </w:pPr>
      <w:r>
        <w:rPr>
          <w:bCs/>
          <w:sz w:val="24"/>
        </w:rPr>
        <w:t>10</w:t>
      </w:r>
      <w:r>
        <w:rPr>
          <w:bCs/>
          <w:sz w:val="24"/>
        </w:rPr>
        <w:t>、本基金投资股票期权，根据相关法律法规以及监管部门的规定估值。</w:t>
      </w:r>
    </w:p>
    <w:p w14:paraId="0C29650F" w14:textId="5D064763" w:rsidR="005F1E3F" w:rsidRDefault="006C56E6">
      <w:pPr>
        <w:spacing w:line="360" w:lineRule="auto"/>
        <w:ind w:firstLineChars="200" w:firstLine="480"/>
        <w:rPr>
          <w:bCs/>
          <w:sz w:val="24"/>
        </w:rPr>
      </w:pPr>
      <w:r>
        <w:rPr>
          <w:bCs/>
          <w:sz w:val="24"/>
        </w:rPr>
        <w:t>11</w:t>
      </w:r>
      <w:r>
        <w:rPr>
          <w:bCs/>
          <w:sz w:val="24"/>
        </w:rPr>
        <w:t>、本基金参与</w:t>
      </w:r>
      <w:r>
        <w:rPr>
          <w:rFonts w:hint="eastAsia"/>
          <w:bCs/>
          <w:sz w:val="24"/>
        </w:rPr>
        <w:t>融资及</w:t>
      </w:r>
      <w:r>
        <w:rPr>
          <w:bCs/>
          <w:sz w:val="24"/>
        </w:rPr>
        <w:t>转融通证券出借等业务的，按照相关法律法规、监管部门和行业协会的相关规定进行估值。</w:t>
      </w:r>
    </w:p>
    <w:p w14:paraId="3A10E9D7" w14:textId="77777777" w:rsidR="005F1E3F" w:rsidRPr="0047036C" w:rsidRDefault="006C56E6" w:rsidP="0047036C">
      <w:pPr>
        <w:spacing w:line="360" w:lineRule="auto"/>
        <w:ind w:firstLineChars="200" w:firstLine="480"/>
        <w:rPr>
          <w:bCs/>
          <w:sz w:val="24"/>
        </w:rPr>
      </w:pPr>
      <w:r w:rsidRPr="0047036C">
        <w:rPr>
          <w:bCs/>
          <w:sz w:val="24"/>
        </w:rPr>
        <w:t>1</w:t>
      </w:r>
      <w:r>
        <w:rPr>
          <w:bCs/>
          <w:sz w:val="24"/>
        </w:rPr>
        <w:t>2</w:t>
      </w:r>
      <w:r w:rsidRPr="0047036C">
        <w:rPr>
          <w:rFonts w:hint="eastAsia"/>
          <w:bCs/>
          <w:sz w:val="24"/>
        </w:rPr>
        <w:t>、当本基金发生大额申购或赎回情形时，基金管理人可以采用摆动定价机制，以确保基金估值的公平性。</w:t>
      </w:r>
    </w:p>
    <w:p w14:paraId="2B169B62" w14:textId="54ED9182" w:rsidR="005F1E3F" w:rsidRDefault="006C56E6">
      <w:pPr>
        <w:spacing w:line="360" w:lineRule="auto"/>
        <w:ind w:firstLineChars="200" w:firstLine="480"/>
        <w:rPr>
          <w:bCs/>
        </w:rPr>
      </w:pPr>
      <w:r>
        <w:rPr>
          <w:bCs/>
          <w:sz w:val="24"/>
        </w:rPr>
        <w:t>13</w:t>
      </w:r>
      <w:r>
        <w:rPr>
          <w:bCs/>
          <w:sz w:val="24"/>
        </w:rPr>
        <w:t>、如有确凿证据表明按上述方法进行估值不能客观反映其公允价值的，基金管理人可根据具体情况与基金托管人商定后，按最能反映公允价值的价格估值。</w:t>
      </w:r>
    </w:p>
    <w:p w14:paraId="7B27DBA2" w14:textId="38F3FB53" w:rsidR="005F1E3F" w:rsidRDefault="006C56E6">
      <w:pPr>
        <w:spacing w:line="360" w:lineRule="auto"/>
        <w:ind w:firstLineChars="200" w:firstLine="480"/>
        <w:rPr>
          <w:bCs/>
          <w:sz w:val="24"/>
        </w:rPr>
      </w:pPr>
      <w:r>
        <w:rPr>
          <w:bCs/>
          <w:sz w:val="24"/>
        </w:rPr>
        <w:lastRenderedPageBreak/>
        <w:t>14</w:t>
      </w:r>
      <w:r>
        <w:rPr>
          <w:bCs/>
          <w:sz w:val="24"/>
        </w:rPr>
        <w:t>、相关法律法规以及监管部门有强制规定的，从其规定。如有新增事项，按国家最新规定估值。</w:t>
      </w:r>
      <w:r>
        <w:rPr>
          <w:rFonts w:hint="eastAsia"/>
          <w:bCs/>
          <w:sz w:val="24"/>
        </w:rPr>
        <w:t>具体处理原则与操作规范遵循相关法律法规以及监管部门、自律规则的规定。</w:t>
      </w:r>
    </w:p>
    <w:p w14:paraId="05FDF202" w14:textId="77777777" w:rsidR="005F1E3F" w:rsidRDefault="006C56E6">
      <w:pPr>
        <w:spacing w:line="360" w:lineRule="auto"/>
        <w:ind w:firstLineChars="200" w:firstLine="480"/>
        <w:rPr>
          <w:bCs/>
          <w:sz w:val="24"/>
        </w:rPr>
      </w:pPr>
      <w:r>
        <w:rPr>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50D6E66" w14:textId="77777777" w:rsidR="005F1E3F" w:rsidRDefault="006C56E6">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r>
        <w:rPr>
          <w:rFonts w:hint="eastAsia"/>
          <w:bCs/>
          <w:sz w:val="24"/>
        </w:rPr>
        <w:t>基金托管人对未达成一致意见的基金净值信息的计算结果不承担任何责任，</w:t>
      </w:r>
      <w:r>
        <w:rPr>
          <w:bCs/>
          <w:sz w:val="24"/>
        </w:rPr>
        <w:t>由此给基金份额持有人和基金造成的损失以及因该交易日基金资产净值计算顺延而引起的损失，由基金管理人负责赔付。</w:t>
      </w:r>
    </w:p>
    <w:p w14:paraId="49D9F954" w14:textId="77777777" w:rsidR="005F1E3F" w:rsidRDefault="006C56E6">
      <w:pPr>
        <w:spacing w:line="360" w:lineRule="auto"/>
        <w:ind w:firstLineChars="200" w:firstLine="480"/>
        <w:rPr>
          <w:rStyle w:val="read"/>
          <w:sz w:val="24"/>
        </w:rPr>
      </w:pPr>
      <w:r>
        <w:rPr>
          <w:rFonts w:hint="eastAsia"/>
          <w:bCs/>
          <w:sz w:val="24"/>
        </w:rPr>
        <w:t>基金管理人应在业务管理制度中进一步明确相关估值监控程序，根据市场情况建立以上估值方法公允性的评估机制，完善相关风险监测、控制和报告机制，确保基金估值的公允合理。</w:t>
      </w:r>
    </w:p>
    <w:p w14:paraId="0DDA51A6"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8.3</w:t>
      </w:r>
      <w:r>
        <w:rPr>
          <w:rFonts w:ascii="Times New Roman"/>
          <w:szCs w:val="24"/>
        </w:rPr>
        <w:t>估值差错处理</w:t>
      </w:r>
    </w:p>
    <w:p w14:paraId="32B8E369" w14:textId="77777777" w:rsidR="005F1E3F" w:rsidRDefault="006C56E6">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bCs/>
          <w:sz w:val="24"/>
        </w:rPr>
        <w:t>4</w:t>
      </w:r>
      <w:r>
        <w:rPr>
          <w:bCs/>
          <w:sz w:val="24"/>
        </w:rPr>
        <w:t>位以内</w:t>
      </w:r>
      <w:r>
        <w:rPr>
          <w:bCs/>
          <w:sz w:val="24"/>
        </w:rPr>
        <w:t>(</w:t>
      </w:r>
      <w:r>
        <w:rPr>
          <w:bCs/>
          <w:sz w:val="24"/>
        </w:rPr>
        <w:t>含第</w:t>
      </w:r>
      <w:r>
        <w:rPr>
          <w:bCs/>
          <w:sz w:val="24"/>
        </w:rPr>
        <w:t>4</w:t>
      </w:r>
      <w:r>
        <w:rPr>
          <w:bCs/>
          <w:sz w:val="24"/>
        </w:rPr>
        <w:t>位</w:t>
      </w:r>
      <w:r>
        <w:rPr>
          <w:bCs/>
          <w:sz w:val="24"/>
        </w:rPr>
        <w:t>)</w:t>
      </w:r>
      <w:r>
        <w:rPr>
          <w:bCs/>
          <w:sz w:val="24"/>
        </w:rPr>
        <w:t>发生估值错误时，视为该类基金份额净值错误。</w:t>
      </w:r>
    </w:p>
    <w:p w14:paraId="79F8F9CC" w14:textId="02FD637E" w:rsidR="005F1E3F" w:rsidRDefault="006C56E6">
      <w:pPr>
        <w:spacing w:line="360" w:lineRule="auto"/>
        <w:ind w:firstLineChars="200" w:firstLine="480"/>
        <w:rPr>
          <w:bCs/>
          <w:sz w:val="24"/>
        </w:rPr>
      </w:pPr>
      <w:r>
        <w:rPr>
          <w:bCs/>
          <w:sz w:val="24"/>
        </w:rPr>
        <w:t>基金合同的当事人应按照以下约定处理：</w:t>
      </w:r>
    </w:p>
    <w:p w14:paraId="5F941253" w14:textId="77777777" w:rsidR="005F1E3F" w:rsidRDefault="006C56E6">
      <w:pPr>
        <w:spacing w:line="360" w:lineRule="auto"/>
        <w:ind w:firstLineChars="200" w:firstLine="480"/>
        <w:rPr>
          <w:bCs/>
          <w:sz w:val="24"/>
        </w:rPr>
      </w:pPr>
      <w:r>
        <w:rPr>
          <w:bCs/>
          <w:sz w:val="24"/>
        </w:rPr>
        <w:t>8.3.1</w:t>
      </w:r>
      <w:r>
        <w:rPr>
          <w:bCs/>
          <w:sz w:val="24"/>
        </w:rPr>
        <w:t>估值错误类型</w:t>
      </w:r>
    </w:p>
    <w:p w14:paraId="4E8FE6DF" w14:textId="77777777" w:rsidR="005F1E3F" w:rsidRDefault="006C56E6">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0198E85C" w14:textId="77777777" w:rsidR="005F1E3F" w:rsidRDefault="006C56E6">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6216C1C0" w14:textId="77777777" w:rsidR="005F1E3F" w:rsidRDefault="006C56E6">
      <w:pPr>
        <w:spacing w:line="360" w:lineRule="auto"/>
        <w:ind w:firstLineChars="200" w:firstLine="480"/>
        <w:rPr>
          <w:bCs/>
          <w:sz w:val="24"/>
        </w:rPr>
      </w:pPr>
      <w:r>
        <w:rPr>
          <w:bCs/>
          <w:sz w:val="24"/>
        </w:rPr>
        <w:t>8.3.2</w:t>
      </w:r>
      <w:r>
        <w:rPr>
          <w:bCs/>
          <w:sz w:val="24"/>
        </w:rPr>
        <w:t>估值错误处理原则</w:t>
      </w:r>
    </w:p>
    <w:p w14:paraId="1E13C2A9" w14:textId="77777777" w:rsidR="005F1E3F" w:rsidRDefault="006C56E6">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w:t>
      </w:r>
      <w:r>
        <w:rPr>
          <w:bCs/>
          <w:sz w:val="24"/>
        </w:rPr>
        <w:lastRenderedPageBreak/>
        <w:t>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71F9F83" w14:textId="77777777" w:rsidR="005F1E3F" w:rsidRDefault="006C56E6">
      <w:pPr>
        <w:spacing w:line="360" w:lineRule="auto"/>
        <w:ind w:firstLineChars="200" w:firstLine="480"/>
        <w:rPr>
          <w:bCs/>
          <w:sz w:val="24"/>
        </w:rPr>
      </w:pPr>
      <w:r>
        <w:rPr>
          <w:bCs/>
          <w:sz w:val="24"/>
        </w:rPr>
        <w:t>（</w:t>
      </w:r>
      <w:r>
        <w:rPr>
          <w:bCs/>
          <w:sz w:val="24"/>
        </w:rPr>
        <w:t>2</w:t>
      </w:r>
      <w:r>
        <w:rPr>
          <w:bCs/>
          <w:sz w:val="24"/>
        </w:rPr>
        <w:t>）估值错误的责任方对有关当事人的直接损失负责，不对间接损失负责，并且仅对估值错误的有关直接当事人负责，不对第三方负责。</w:t>
      </w:r>
    </w:p>
    <w:p w14:paraId="133767CB" w14:textId="77777777" w:rsidR="005F1E3F" w:rsidRDefault="006C56E6">
      <w:pPr>
        <w:spacing w:line="360" w:lineRule="auto"/>
        <w:ind w:firstLineChars="200" w:firstLine="480"/>
        <w:rPr>
          <w:bCs/>
          <w:sz w:val="24"/>
        </w:rPr>
      </w:pPr>
      <w:r>
        <w:rPr>
          <w:bCs/>
          <w:sz w:val="24"/>
        </w:rPr>
        <w:t>（</w:t>
      </w:r>
      <w:r>
        <w:rPr>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F958C52" w14:textId="77777777" w:rsidR="005F1E3F" w:rsidRDefault="006C56E6">
      <w:pPr>
        <w:spacing w:line="360" w:lineRule="auto"/>
        <w:ind w:firstLineChars="200" w:firstLine="480"/>
        <w:rPr>
          <w:bCs/>
          <w:sz w:val="24"/>
        </w:rPr>
      </w:pPr>
      <w:r>
        <w:rPr>
          <w:bCs/>
          <w:sz w:val="24"/>
        </w:rPr>
        <w:t>（</w:t>
      </w:r>
      <w:r>
        <w:rPr>
          <w:bCs/>
          <w:sz w:val="24"/>
        </w:rPr>
        <w:t>4</w:t>
      </w:r>
      <w:r>
        <w:rPr>
          <w:bCs/>
          <w:sz w:val="24"/>
        </w:rPr>
        <w:t>）估值错误调整采用尽量恢复至假设未发生估值错误的正确情形的方式。</w:t>
      </w:r>
    </w:p>
    <w:p w14:paraId="3734FAC2" w14:textId="77777777" w:rsidR="005F1E3F" w:rsidRDefault="006C56E6">
      <w:pPr>
        <w:spacing w:line="360" w:lineRule="auto"/>
        <w:ind w:firstLineChars="200" w:firstLine="480"/>
        <w:rPr>
          <w:bCs/>
          <w:sz w:val="24"/>
        </w:rPr>
      </w:pPr>
      <w:r>
        <w:rPr>
          <w:bCs/>
          <w:sz w:val="24"/>
        </w:rPr>
        <w:t>8.3.3</w:t>
      </w:r>
      <w:r>
        <w:rPr>
          <w:bCs/>
          <w:sz w:val="24"/>
        </w:rPr>
        <w:t>估值错误处理程序</w:t>
      </w:r>
    </w:p>
    <w:p w14:paraId="0684BD92" w14:textId="77777777" w:rsidR="005F1E3F" w:rsidRDefault="006C56E6">
      <w:pPr>
        <w:spacing w:line="360" w:lineRule="auto"/>
        <w:ind w:firstLineChars="200" w:firstLine="480"/>
        <w:rPr>
          <w:bCs/>
          <w:sz w:val="24"/>
        </w:rPr>
      </w:pPr>
      <w:r>
        <w:rPr>
          <w:bCs/>
          <w:sz w:val="24"/>
        </w:rPr>
        <w:t>估值错误被发现后，有关的当事人应当及时进行处理，处理的程序如下：</w:t>
      </w:r>
    </w:p>
    <w:p w14:paraId="2D693C64" w14:textId="77777777" w:rsidR="005F1E3F" w:rsidRDefault="006C56E6">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393EA491" w14:textId="77777777" w:rsidR="005F1E3F" w:rsidRDefault="006C56E6">
      <w:pPr>
        <w:spacing w:line="360" w:lineRule="auto"/>
        <w:ind w:firstLineChars="200" w:firstLine="480"/>
        <w:rPr>
          <w:bCs/>
          <w:sz w:val="24"/>
        </w:rPr>
      </w:pPr>
      <w:r>
        <w:rPr>
          <w:bCs/>
          <w:sz w:val="24"/>
        </w:rPr>
        <w:t>（</w:t>
      </w:r>
      <w:r>
        <w:rPr>
          <w:bCs/>
          <w:sz w:val="24"/>
        </w:rPr>
        <w:t>2</w:t>
      </w:r>
      <w:r>
        <w:rPr>
          <w:bCs/>
          <w:sz w:val="24"/>
        </w:rPr>
        <w:t>）根据估值错误处理原则或当事人协商的方法对因估值错误造成的损失进行评估；</w:t>
      </w:r>
    </w:p>
    <w:p w14:paraId="333C1928" w14:textId="77777777" w:rsidR="005F1E3F" w:rsidRDefault="006C56E6">
      <w:pPr>
        <w:spacing w:line="360" w:lineRule="auto"/>
        <w:ind w:firstLineChars="200" w:firstLine="480"/>
        <w:rPr>
          <w:bCs/>
          <w:sz w:val="24"/>
        </w:rPr>
      </w:pPr>
      <w:r>
        <w:rPr>
          <w:bCs/>
          <w:sz w:val="24"/>
        </w:rPr>
        <w:t>（</w:t>
      </w:r>
      <w:r>
        <w:rPr>
          <w:bCs/>
          <w:sz w:val="24"/>
        </w:rPr>
        <w:t>3</w:t>
      </w:r>
      <w:r>
        <w:rPr>
          <w:bCs/>
          <w:sz w:val="24"/>
        </w:rPr>
        <w:t>）根据估值错误处理原则或当事人协商的方法由估值错误的责任方进行更正和赔偿损失；</w:t>
      </w:r>
    </w:p>
    <w:p w14:paraId="239DDC24" w14:textId="77777777" w:rsidR="005F1E3F" w:rsidRDefault="006C56E6">
      <w:pPr>
        <w:spacing w:line="360" w:lineRule="auto"/>
        <w:ind w:firstLineChars="200" w:firstLine="480"/>
        <w:rPr>
          <w:bCs/>
          <w:sz w:val="24"/>
        </w:rPr>
      </w:pPr>
      <w:r>
        <w:rPr>
          <w:bCs/>
          <w:sz w:val="24"/>
        </w:rPr>
        <w:t>（</w:t>
      </w:r>
      <w:r>
        <w:rPr>
          <w:bCs/>
          <w:sz w:val="24"/>
        </w:rPr>
        <w:t>4</w:t>
      </w:r>
      <w:r>
        <w:rPr>
          <w:bCs/>
          <w:sz w:val="24"/>
        </w:rPr>
        <w:t>）根据估值错误处理的方法，需要修改基金登记机构交易数据的，由基金登记机构进行更正，并就估值错误的更正向有关当事人进行确认。</w:t>
      </w:r>
    </w:p>
    <w:p w14:paraId="7A1304ED" w14:textId="77777777" w:rsidR="005F1E3F" w:rsidRDefault="006C56E6">
      <w:pPr>
        <w:spacing w:line="360" w:lineRule="auto"/>
        <w:ind w:firstLineChars="200" w:firstLine="480"/>
        <w:rPr>
          <w:bCs/>
          <w:sz w:val="24"/>
        </w:rPr>
      </w:pPr>
      <w:r>
        <w:rPr>
          <w:bCs/>
          <w:sz w:val="24"/>
        </w:rPr>
        <w:t>8.3.4</w:t>
      </w:r>
      <w:r>
        <w:rPr>
          <w:bCs/>
          <w:sz w:val="24"/>
        </w:rPr>
        <w:t>基金份额净值估值错误处理的方法如下：</w:t>
      </w:r>
    </w:p>
    <w:p w14:paraId="46B0EC9C" w14:textId="77777777" w:rsidR="005F1E3F" w:rsidRDefault="006C56E6">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0C7207E6" w14:textId="77777777" w:rsidR="005F1E3F" w:rsidRDefault="006C56E6">
      <w:pPr>
        <w:spacing w:line="360" w:lineRule="auto"/>
        <w:ind w:firstLineChars="200" w:firstLine="480"/>
        <w:rPr>
          <w:bCs/>
          <w:sz w:val="24"/>
        </w:rPr>
      </w:pPr>
      <w:r>
        <w:rPr>
          <w:bCs/>
          <w:sz w:val="24"/>
        </w:rPr>
        <w:t>（</w:t>
      </w:r>
      <w:r>
        <w:rPr>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时，基金管理人应当公告，并报中国证监会备案。</w:t>
      </w:r>
    </w:p>
    <w:p w14:paraId="79FBF94B" w14:textId="77777777" w:rsidR="005F1E3F" w:rsidRDefault="006C56E6">
      <w:pPr>
        <w:pStyle w:val="20"/>
        <w:spacing w:before="0" w:after="0" w:line="520" w:lineRule="exact"/>
        <w:ind w:left="0" w:firstLineChars="200" w:firstLine="480"/>
        <w:rPr>
          <w:rFonts w:ascii="Times New Roman"/>
          <w:szCs w:val="24"/>
        </w:rPr>
      </w:pPr>
      <w:r>
        <w:rPr>
          <w:rFonts w:ascii="Times New Roman"/>
          <w:bCs/>
        </w:rPr>
        <w:t>（</w:t>
      </w:r>
      <w:r>
        <w:rPr>
          <w:rFonts w:ascii="Times New Roman"/>
          <w:bCs/>
        </w:rPr>
        <w:t>3</w:t>
      </w:r>
      <w:r>
        <w:rPr>
          <w:rFonts w:ascii="Times New Roman"/>
          <w:bCs/>
        </w:rPr>
        <w:t>）前述内容如法律法规或监管部门机关另有规定的，从其规定。</w:t>
      </w:r>
    </w:p>
    <w:p w14:paraId="5297BBF7"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8.4</w:t>
      </w:r>
      <w:r>
        <w:rPr>
          <w:rFonts w:ascii="Times New Roman"/>
          <w:szCs w:val="24"/>
        </w:rPr>
        <w:t>基金账册的建立</w:t>
      </w:r>
    </w:p>
    <w:p w14:paraId="2212C72D"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lastRenderedPageBreak/>
        <w:t>8.4.1</w:t>
      </w:r>
      <w:r>
        <w:rPr>
          <w:rFonts w:ascii="Times New Roman"/>
          <w:szCs w:val="24"/>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456FD806"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8.4.2</w:t>
      </w:r>
      <w:r>
        <w:rPr>
          <w:rFonts w:ascii="Times New Roman"/>
          <w:szCs w:val="24"/>
        </w:rPr>
        <w:t>经对账发现相关各方的账目存在不符的，基金管理人和基金托管人必须及时查明原因并纠正，保证相关各方平行登录的账册记录完全相符。若当日核对不符，暂时无法查找到错账的原因而影响到基金净值的计算和公告的，以基金管理人的账册为准。</w:t>
      </w:r>
    </w:p>
    <w:p w14:paraId="6EBF2D60"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8.5</w:t>
      </w:r>
      <w:r>
        <w:rPr>
          <w:rFonts w:ascii="Times New Roman"/>
          <w:szCs w:val="24"/>
        </w:rPr>
        <w:t>基金定期报告的编制和复核</w:t>
      </w:r>
    </w:p>
    <w:p w14:paraId="2FFF7D54"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8.5.1</w:t>
      </w:r>
      <w:r>
        <w:rPr>
          <w:rFonts w:ascii="Times New Roman"/>
          <w:szCs w:val="24"/>
        </w:rPr>
        <w:t>基金财务报表由基金管理人和基金托管人每</w:t>
      </w:r>
      <w:proofErr w:type="gramStart"/>
      <w:r>
        <w:rPr>
          <w:rFonts w:ascii="Times New Roman"/>
          <w:szCs w:val="24"/>
        </w:rPr>
        <w:t>月分别独立</w:t>
      </w:r>
      <w:proofErr w:type="gramEnd"/>
      <w:r>
        <w:rPr>
          <w:rFonts w:ascii="Times New Roman"/>
          <w:szCs w:val="24"/>
        </w:rPr>
        <w:t>编制。月度报表的编制，应于每月终了后</w:t>
      </w:r>
      <w:r>
        <w:rPr>
          <w:rFonts w:ascii="Times New Roman"/>
          <w:szCs w:val="24"/>
        </w:rPr>
        <w:t>5</w:t>
      </w:r>
      <w:r>
        <w:rPr>
          <w:rFonts w:ascii="Times New Roman"/>
          <w:szCs w:val="24"/>
        </w:rPr>
        <w:t>个工作日内完成。</w:t>
      </w:r>
    </w:p>
    <w:p w14:paraId="7777BEE7"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8.5.2</w:t>
      </w:r>
      <w:r>
        <w:rPr>
          <w:rFonts w:ascii="Times New Roman"/>
          <w:szCs w:val="24"/>
        </w:rPr>
        <w:t>基金管理人应当在每年结束之日起三个月内，编制完成基金年度报告，将年度报告登载于规定网站上，并将年度报告提示性公告登载在规定报刊上。基金年度报告中的财务会计报告应当经过符合《证券法》规定的会计师事务所审计。基金管理人应当在上半年结束之日起两个月内，编制完成基金中期报告，将中期报告登载在规定网站上，并将中期报告提示性公告登载在规定报刊上。基金管理人应当在季度结束之日起</w:t>
      </w:r>
      <w:r>
        <w:rPr>
          <w:rFonts w:ascii="Times New Roman"/>
          <w:szCs w:val="24"/>
        </w:rPr>
        <w:t>15</w:t>
      </w:r>
      <w:r>
        <w:rPr>
          <w:rFonts w:ascii="Times New Roman"/>
          <w:szCs w:val="24"/>
        </w:rPr>
        <w:t>个工作日内，编制完成基金季度报告，将季度报告登载在规定网站上，并将季度报告提示性公告登载在规定报刊上。《基金合同》生效不足</w:t>
      </w:r>
      <w:r>
        <w:rPr>
          <w:rFonts w:ascii="Times New Roman"/>
          <w:szCs w:val="24"/>
        </w:rPr>
        <w:t>2</w:t>
      </w:r>
      <w:r>
        <w:rPr>
          <w:rFonts w:ascii="Times New Roman"/>
          <w:szCs w:val="24"/>
        </w:rPr>
        <w:t>个月的，基金管理人可以不编制当期季度报告、中期报告或者年度报告。</w:t>
      </w:r>
    </w:p>
    <w:p w14:paraId="47E39762"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8.5.3</w:t>
      </w:r>
      <w:r>
        <w:rPr>
          <w:rFonts w:ascii="Times New Roman"/>
          <w:szCs w:val="24"/>
        </w:rPr>
        <w:t>《基金合同》生效后，基金招募说明书、基金产品资料概要的信息发生重大变更的，基金管理人应当在三个工作日内，更新基金招募说明书、基金产品资料概要，并登载在规定网站上，并将基金产品资料概要登载在基金销售机构网站或营业网点。基金招募说明书、基金产品资料概要其他信息发生变更的，基金管理人至少每年更新一次。</w:t>
      </w:r>
    </w:p>
    <w:p w14:paraId="013360FF" w14:textId="77777777" w:rsidR="005F1E3F" w:rsidRDefault="006C56E6">
      <w:pPr>
        <w:pStyle w:val="20"/>
        <w:spacing w:before="0" w:after="0" w:line="520" w:lineRule="exact"/>
        <w:ind w:left="0" w:firstLineChars="200" w:firstLine="480"/>
        <w:rPr>
          <w:rFonts w:ascii="Times New Roman"/>
          <w:szCs w:val="24"/>
        </w:rPr>
      </w:pPr>
      <w:bookmarkStart w:id="26" w:name="_DV_C270"/>
      <w:r>
        <w:rPr>
          <w:rFonts w:ascii="Times New Roman"/>
          <w:szCs w:val="24"/>
        </w:rPr>
        <w:t>8.5.4</w:t>
      </w:r>
      <w:r>
        <w:rPr>
          <w:rFonts w:ascii="Times New Roman"/>
          <w:szCs w:val="24"/>
        </w:rPr>
        <w:t>基金管理人应及时完成报表编制，将有关报表提供基金托管人复核；基金托管人应当在收到报告之日起</w:t>
      </w:r>
      <w:r>
        <w:rPr>
          <w:rFonts w:ascii="Times New Roman"/>
          <w:szCs w:val="24"/>
        </w:rPr>
        <w:t>2</w:t>
      </w:r>
      <w:r>
        <w:rPr>
          <w:rFonts w:ascii="Times New Roman"/>
          <w:szCs w:val="24"/>
        </w:rPr>
        <w:t>个工作日内完成月度报表的复核；在收到报告之日起</w:t>
      </w:r>
      <w:r>
        <w:rPr>
          <w:rFonts w:ascii="Times New Roman"/>
          <w:szCs w:val="24"/>
        </w:rPr>
        <w:t>7</w:t>
      </w:r>
      <w:r>
        <w:rPr>
          <w:rFonts w:ascii="Times New Roman"/>
          <w:szCs w:val="24"/>
        </w:rPr>
        <w:t>个工作日内完成基金季度报告的复核；在收到报告之日起</w:t>
      </w:r>
      <w:r>
        <w:rPr>
          <w:rFonts w:ascii="Times New Roman"/>
          <w:szCs w:val="24"/>
        </w:rPr>
        <w:t>20</w:t>
      </w:r>
      <w:r>
        <w:rPr>
          <w:rFonts w:ascii="Times New Roman"/>
          <w:szCs w:val="24"/>
        </w:rPr>
        <w:t>日内完成基金中期报告的复核；在收到报告之日起</w:t>
      </w:r>
      <w:r>
        <w:rPr>
          <w:rFonts w:ascii="Times New Roman"/>
          <w:szCs w:val="24"/>
        </w:rPr>
        <w:t>30</w:t>
      </w:r>
      <w:r>
        <w:rPr>
          <w:rFonts w:ascii="Times New Roman"/>
          <w:szCs w:val="24"/>
        </w:rPr>
        <w:t>日内完成基金年度报告的</w:t>
      </w:r>
      <w:bookmarkEnd w:id="26"/>
      <w:r>
        <w:rPr>
          <w:rFonts w:ascii="Times New Roman"/>
          <w:szCs w:val="24"/>
        </w:rPr>
        <w:t>复核。基金托管</w:t>
      </w:r>
      <w:r>
        <w:rPr>
          <w:rFonts w:ascii="Times New Roman"/>
          <w:szCs w:val="24"/>
        </w:rPr>
        <w:lastRenderedPageBreak/>
        <w:t>人在复核过程中，发现双方的报表存在不符时，基金管理人和基金托管人应共同查明原因，进行调整，调整以国家有关规定为准。</w:t>
      </w:r>
    </w:p>
    <w:p w14:paraId="2B1CDAA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8.5.5</w:t>
      </w:r>
      <w:r>
        <w:rPr>
          <w:rFonts w:ascii="Times New Roman"/>
          <w:szCs w:val="24"/>
        </w:rPr>
        <w:t>核对无误后，基金托管人在基金管理人提供的报告上加盖业务印鉴或者出具加盖托管业务部门公章的复核意见书，相关各方各自留存一份。</w:t>
      </w:r>
    </w:p>
    <w:p w14:paraId="0CFDCFA1"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8.5.6</w:t>
      </w:r>
      <w:r>
        <w:rPr>
          <w:rFonts w:ascii="Times New Roman"/>
          <w:szCs w:val="24"/>
        </w:rPr>
        <w:t>基金托管人在对财务会计报告、季度、中期报告或年度报告复核完毕后，需盖章确认或出具相应的复核确认书，以</w:t>
      </w:r>
      <w:proofErr w:type="gramStart"/>
      <w:r>
        <w:rPr>
          <w:rFonts w:ascii="Times New Roman"/>
          <w:szCs w:val="24"/>
        </w:rPr>
        <w:t>备有权</w:t>
      </w:r>
      <w:proofErr w:type="gramEnd"/>
      <w:r>
        <w:rPr>
          <w:rFonts w:ascii="Times New Roman"/>
          <w:szCs w:val="24"/>
        </w:rPr>
        <w:t>机构对相关文件审核时提示。</w:t>
      </w:r>
    </w:p>
    <w:p w14:paraId="00131BF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8.6</w:t>
      </w:r>
      <w:r>
        <w:rPr>
          <w:rFonts w:ascii="Times New Roman"/>
          <w:szCs w:val="24"/>
        </w:rPr>
        <w:t>暂停估值的情形</w:t>
      </w:r>
    </w:p>
    <w:p w14:paraId="1AF3E4AE" w14:textId="4DDE7F10" w:rsidR="005F1E3F" w:rsidRDefault="006C56E6" w:rsidP="0047036C">
      <w:pPr>
        <w:pStyle w:val="20"/>
        <w:spacing w:before="0" w:after="0" w:line="520" w:lineRule="exact"/>
        <w:ind w:left="0" w:firstLineChars="200" w:firstLine="480"/>
        <w:rPr>
          <w:rFonts w:ascii="Times New Roman"/>
          <w:szCs w:val="24"/>
        </w:rPr>
      </w:pPr>
      <w:r>
        <w:rPr>
          <w:rFonts w:ascii="Times New Roman" w:hint="eastAsia"/>
          <w:szCs w:val="24"/>
        </w:rPr>
        <w:t>（</w:t>
      </w:r>
      <w:r>
        <w:rPr>
          <w:rFonts w:ascii="Times New Roman" w:hint="eastAsia"/>
          <w:szCs w:val="24"/>
        </w:rPr>
        <w:t>1</w:t>
      </w:r>
      <w:r>
        <w:rPr>
          <w:rFonts w:ascii="Times New Roman" w:hint="eastAsia"/>
          <w:szCs w:val="24"/>
        </w:rPr>
        <w:t>）基金投资所涉及的交易市场遇法定节假日或因其他原因暂停营业时；</w:t>
      </w:r>
    </w:p>
    <w:p w14:paraId="1998B3CA" w14:textId="77777777" w:rsidR="005F1E3F" w:rsidRDefault="006C56E6" w:rsidP="0047036C">
      <w:pPr>
        <w:pStyle w:val="20"/>
        <w:spacing w:before="0" w:after="0" w:line="520" w:lineRule="exact"/>
        <w:ind w:left="0" w:firstLineChars="200" w:firstLine="480"/>
        <w:rPr>
          <w:rFonts w:ascii="Times New Roman"/>
          <w:szCs w:val="24"/>
        </w:rPr>
      </w:pPr>
      <w:r>
        <w:rPr>
          <w:rFonts w:ascii="Times New Roman" w:hint="eastAsia"/>
          <w:szCs w:val="24"/>
        </w:rPr>
        <w:t>（</w:t>
      </w:r>
      <w:r>
        <w:rPr>
          <w:rFonts w:ascii="Times New Roman" w:hint="eastAsia"/>
          <w:szCs w:val="24"/>
        </w:rPr>
        <w:t>2</w:t>
      </w:r>
      <w:r>
        <w:rPr>
          <w:rFonts w:ascii="Times New Roman" w:hint="eastAsia"/>
          <w:szCs w:val="24"/>
        </w:rPr>
        <w:t>）因不可抗力致使基金管理人、基金托管人无法准确评估基金资产价值时；</w:t>
      </w:r>
    </w:p>
    <w:p w14:paraId="5E5C2553" w14:textId="77777777" w:rsidR="005F1E3F" w:rsidRDefault="006C56E6">
      <w:pPr>
        <w:pStyle w:val="20"/>
        <w:spacing w:before="0" w:after="0" w:line="520" w:lineRule="exact"/>
        <w:ind w:left="0" w:firstLineChars="200" w:firstLine="480"/>
        <w:rPr>
          <w:rFonts w:ascii="Times New Roman"/>
          <w:szCs w:val="24"/>
        </w:rPr>
      </w:pPr>
      <w:r>
        <w:rPr>
          <w:rFonts w:ascii="Times New Roman" w:hint="eastAsia"/>
          <w:szCs w:val="24"/>
        </w:rPr>
        <w:t>（</w:t>
      </w:r>
      <w:r>
        <w:rPr>
          <w:rFonts w:ascii="Times New Roman" w:hint="eastAsia"/>
          <w:szCs w:val="24"/>
        </w:rPr>
        <w:t>3</w:t>
      </w:r>
      <w:r>
        <w:rPr>
          <w:rFonts w:ascii="Times New Roman" w:hint="eastAsia"/>
          <w:szCs w:val="24"/>
        </w:rPr>
        <w:t>）基金所投资的目标</w:t>
      </w:r>
      <w:r>
        <w:rPr>
          <w:rFonts w:ascii="Times New Roman" w:hint="eastAsia"/>
          <w:szCs w:val="24"/>
        </w:rPr>
        <w:t>ETF</w:t>
      </w:r>
      <w:r>
        <w:rPr>
          <w:rFonts w:ascii="Times New Roman" w:hint="eastAsia"/>
          <w:szCs w:val="24"/>
        </w:rPr>
        <w:t>发生暂停估值、暂停公告基金份额净值的情形；</w:t>
      </w:r>
    </w:p>
    <w:p w14:paraId="2A8659B8" w14:textId="77777777" w:rsidR="005F1E3F" w:rsidRDefault="006C56E6">
      <w:pPr>
        <w:pStyle w:val="20"/>
        <w:spacing w:before="0" w:after="0" w:line="520" w:lineRule="exact"/>
        <w:ind w:left="0" w:firstLineChars="200" w:firstLine="480"/>
        <w:rPr>
          <w:rFonts w:ascii="Times New Roman"/>
          <w:szCs w:val="24"/>
        </w:rPr>
      </w:pPr>
      <w:r>
        <w:rPr>
          <w:rFonts w:ascii="Times New Roman" w:hint="eastAsia"/>
          <w:szCs w:val="24"/>
        </w:rPr>
        <w:t>（</w:t>
      </w:r>
      <w:r>
        <w:rPr>
          <w:rFonts w:ascii="Times New Roman" w:hint="eastAsia"/>
          <w:szCs w:val="24"/>
        </w:rPr>
        <w:t>4</w:t>
      </w:r>
      <w:r>
        <w:rPr>
          <w:rFonts w:ascii="Times New Roman" w:hint="eastAsia"/>
          <w:szCs w:val="24"/>
        </w:rPr>
        <w:t>）当特定资产占前一估值日基金资产净值</w:t>
      </w:r>
      <w:r>
        <w:rPr>
          <w:rFonts w:ascii="Times New Roman" w:hint="eastAsia"/>
          <w:szCs w:val="24"/>
        </w:rPr>
        <w:t>50%</w:t>
      </w:r>
      <w:r>
        <w:rPr>
          <w:rFonts w:ascii="Times New Roman" w:hint="eastAsia"/>
          <w:szCs w:val="24"/>
        </w:rPr>
        <w:t>以上的，经与基金托管人协商确认后，基金管理人应当暂停估值；</w:t>
      </w:r>
    </w:p>
    <w:p w14:paraId="1F52F2C1" w14:textId="2B0D5274" w:rsidR="005F1E3F" w:rsidRDefault="006C56E6">
      <w:pPr>
        <w:pStyle w:val="20"/>
        <w:spacing w:before="0" w:after="0" w:line="520" w:lineRule="exact"/>
        <w:ind w:left="0" w:firstLineChars="200" w:firstLine="480"/>
        <w:rPr>
          <w:rFonts w:ascii="Times New Roman"/>
          <w:szCs w:val="24"/>
        </w:rPr>
      </w:pPr>
      <w:r>
        <w:rPr>
          <w:rFonts w:ascii="Times New Roman" w:hint="eastAsia"/>
          <w:szCs w:val="24"/>
        </w:rPr>
        <w:t>（</w:t>
      </w:r>
      <w:r>
        <w:rPr>
          <w:rFonts w:ascii="Times New Roman" w:hint="eastAsia"/>
          <w:szCs w:val="24"/>
        </w:rPr>
        <w:t>5</w:t>
      </w:r>
      <w:r>
        <w:rPr>
          <w:rFonts w:ascii="Times New Roman" w:hint="eastAsia"/>
          <w:szCs w:val="24"/>
        </w:rPr>
        <w:t>）中国证监会和基金合同认定的其它情形。</w:t>
      </w:r>
    </w:p>
    <w:p w14:paraId="4BB605B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8.7</w:t>
      </w:r>
      <w:r>
        <w:rPr>
          <w:rFonts w:ascii="Times New Roman"/>
          <w:szCs w:val="24"/>
        </w:rPr>
        <w:t>基金管理人和基金托管人应定期就会计数据和财务指标进行核对。如发现存在不符，双方应及时查明原因并纠正。</w:t>
      </w:r>
    </w:p>
    <w:p w14:paraId="0BCE1EB3" w14:textId="77777777" w:rsidR="005F1E3F" w:rsidRDefault="006C56E6">
      <w:pPr>
        <w:pStyle w:val="1"/>
        <w:spacing w:line="520" w:lineRule="exact"/>
        <w:ind w:firstLineChars="200" w:firstLine="482"/>
        <w:rPr>
          <w:rFonts w:ascii="Times New Roman" w:hAnsi="Times New Roman"/>
          <w:bCs/>
          <w:color w:val="auto"/>
          <w:szCs w:val="24"/>
        </w:rPr>
      </w:pPr>
      <w:bookmarkStart w:id="27" w:name="_Toc26170404"/>
      <w:bookmarkStart w:id="28" w:name="_Toc296551345"/>
      <w:r>
        <w:rPr>
          <w:rFonts w:ascii="Times New Roman" w:hAnsi="Times New Roman"/>
          <w:bCs/>
          <w:color w:val="auto"/>
          <w:szCs w:val="24"/>
        </w:rPr>
        <w:t>第九条</w:t>
      </w:r>
      <w:r>
        <w:rPr>
          <w:rFonts w:ascii="Times New Roman" w:hAnsi="Times New Roman"/>
          <w:bCs/>
          <w:color w:val="auto"/>
          <w:szCs w:val="24"/>
        </w:rPr>
        <w:t xml:space="preserve"> </w:t>
      </w:r>
      <w:r>
        <w:rPr>
          <w:rFonts w:ascii="Times New Roman" w:hAnsi="Times New Roman"/>
          <w:bCs/>
          <w:color w:val="auto"/>
          <w:szCs w:val="24"/>
        </w:rPr>
        <w:t>基金收益分配</w:t>
      </w:r>
      <w:bookmarkEnd w:id="27"/>
      <w:bookmarkEnd w:id="28"/>
    </w:p>
    <w:p w14:paraId="2D4EBE5E" w14:textId="77777777" w:rsidR="005F1E3F" w:rsidRDefault="006C56E6">
      <w:pPr>
        <w:pStyle w:val="20"/>
        <w:spacing w:before="0" w:after="0" w:line="520" w:lineRule="exact"/>
        <w:ind w:left="0" w:firstLineChars="200" w:firstLine="480"/>
        <w:rPr>
          <w:rFonts w:hAnsi="宋体"/>
          <w:szCs w:val="24"/>
        </w:rPr>
      </w:pPr>
      <w:r>
        <w:rPr>
          <w:rFonts w:ascii="Times New Roman"/>
          <w:szCs w:val="24"/>
        </w:rPr>
        <w:t>9.1</w:t>
      </w:r>
      <w:r>
        <w:rPr>
          <w:rFonts w:hAnsi="宋体" w:hint="eastAsia"/>
          <w:szCs w:val="24"/>
        </w:rPr>
        <w:t>基金利润的构成</w:t>
      </w:r>
    </w:p>
    <w:p w14:paraId="40E9E6C7" w14:textId="77777777" w:rsidR="005F1E3F" w:rsidRDefault="006C56E6">
      <w:pPr>
        <w:pStyle w:val="20"/>
        <w:spacing w:before="0" w:after="0" w:line="360" w:lineRule="auto"/>
        <w:ind w:left="0" w:firstLineChars="200" w:firstLine="480"/>
        <w:rPr>
          <w:rFonts w:hAnsi="宋体"/>
          <w:szCs w:val="24"/>
        </w:rPr>
      </w:pPr>
      <w:r>
        <w:rPr>
          <w:rFonts w:hAnsi="宋体" w:hint="eastAsia"/>
          <w:szCs w:val="24"/>
        </w:rPr>
        <w:t>基金利润指基金利息收入、投资收益、公允价值变动收益和其他收入扣除相关费用后的余额，基金已实现收益指基金利润减去公允价值变动收益后的余额。</w:t>
      </w:r>
    </w:p>
    <w:p w14:paraId="684736D5" w14:textId="77777777" w:rsidR="005F1E3F" w:rsidRDefault="006C56E6">
      <w:pPr>
        <w:pStyle w:val="20"/>
        <w:spacing w:before="0" w:after="0" w:line="360" w:lineRule="auto"/>
        <w:ind w:left="0" w:firstLineChars="200" w:firstLine="480"/>
        <w:rPr>
          <w:rFonts w:hAnsi="宋体"/>
          <w:szCs w:val="24"/>
        </w:rPr>
      </w:pPr>
      <w:r>
        <w:rPr>
          <w:rFonts w:ascii="Times New Roman"/>
          <w:szCs w:val="24"/>
        </w:rPr>
        <w:t>9.2</w:t>
      </w:r>
      <w:r>
        <w:rPr>
          <w:rFonts w:hAnsi="宋体" w:hint="eastAsia"/>
          <w:szCs w:val="24"/>
        </w:rPr>
        <w:t>基金可供分配利润</w:t>
      </w:r>
    </w:p>
    <w:p w14:paraId="356FB138" w14:textId="77777777" w:rsidR="005F1E3F" w:rsidRDefault="006C56E6">
      <w:pPr>
        <w:pStyle w:val="20"/>
        <w:spacing w:before="0" w:after="0" w:line="360" w:lineRule="auto"/>
        <w:ind w:left="0" w:firstLineChars="200" w:firstLine="480"/>
        <w:rPr>
          <w:rFonts w:ascii="Times New Roman"/>
          <w:szCs w:val="24"/>
        </w:rPr>
      </w:pPr>
      <w:r>
        <w:rPr>
          <w:rFonts w:hAnsi="宋体" w:hint="eastAsia"/>
          <w:szCs w:val="24"/>
        </w:rPr>
        <w:t>基金可供分配利润指截至收益分配基准日基金未分配利润与未分配利润中已实现收益的孰低数。</w:t>
      </w:r>
    </w:p>
    <w:p w14:paraId="5C0D45A5" w14:textId="392100CF" w:rsidR="005F1E3F" w:rsidRDefault="006C56E6">
      <w:pPr>
        <w:pStyle w:val="20"/>
        <w:spacing w:before="0" w:after="0" w:line="360" w:lineRule="auto"/>
        <w:ind w:left="0" w:firstLineChars="200" w:firstLine="480"/>
        <w:rPr>
          <w:rFonts w:ascii="Times New Roman"/>
          <w:szCs w:val="24"/>
        </w:rPr>
      </w:pPr>
      <w:r>
        <w:rPr>
          <w:rFonts w:ascii="Times New Roman"/>
          <w:szCs w:val="24"/>
        </w:rPr>
        <w:t>9.3</w:t>
      </w:r>
      <w:r>
        <w:rPr>
          <w:rFonts w:ascii="Times New Roman"/>
          <w:szCs w:val="24"/>
        </w:rPr>
        <w:t>收益分配原则</w:t>
      </w:r>
    </w:p>
    <w:p w14:paraId="7544CD14" w14:textId="77777777" w:rsidR="005F1E3F" w:rsidRDefault="006C56E6">
      <w:pPr>
        <w:spacing w:line="360" w:lineRule="auto"/>
        <w:ind w:firstLineChars="225" w:firstLine="540"/>
        <w:rPr>
          <w:bCs/>
          <w:sz w:val="24"/>
        </w:rPr>
      </w:pPr>
      <w:r>
        <w:rPr>
          <w:bCs/>
          <w:sz w:val="24"/>
        </w:rPr>
        <w:t>（</w:t>
      </w:r>
      <w:r>
        <w:rPr>
          <w:bCs/>
          <w:sz w:val="24"/>
        </w:rPr>
        <w:t>1</w:t>
      </w:r>
      <w:r>
        <w:rPr>
          <w:bCs/>
          <w:sz w:val="24"/>
        </w:rPr>
        <w:t>）</w:t>
      </w:r>
      <w:r>
        <w:rPr>
          <w:rFonts w:hint="eastAsia"/>
          <w:bCs/>
          <w:sz w:val="24"/>
        </w:rPr>
        <w:t>基金管理人可每月对基金相对业绩比较基准的超额收益率以及基金的可供收益分配利润进行评价，在符合收益分配相关规定的前提下，基金管理人可依据基金相对业绩比较基准的超额收益率或基金的可供收益分配利润进行收益分配；</w:t>
      </w:r>
    </w:p>
    <w:p w14:paraId="6B7C64D6" w14:textId="77777777" w:rsidR="005F1E3F" w:rsidRDefault="006C56E6">
      <w:pPr>
        <w:spacing w:line="360" w:lineRule="auto"/>
        <w:ind w:firstLineChars="225" w:firstLine="540"/>
        <w:rPr>
          <w:bCs/>
          <w:sz w:val="24"/>
        </w:rPr>
      </w:pPr>
      <w:r>
        <w:rPr>
          <w:rFonts w:hint="eastAsia"/>
          <w:bCs/>
          <w:sz w:val="24"/>
        </w:rPr>
        <w:t>（</w:t>
      </w:r>
      <w:r>
        <w:rPr>
          <w:rFonts w:hint="eastAsia"/>
          <w:bCs/>
          <w:sz w:val="24"/>
        </w:rPr>
        <w:t>2</w:t>
      </w:r>
      <w:r>
        <w:rPr>
          <w:rFonts w:hint="eastAsia"/>
          <w:bCs/>
          <w:sz w:val="24"/>
        </w:rPr>
        <w:t>）在符合上述基金分红条件的前提下，本基金可每月进行收益分配。评价时间、分配时间、分配方案及每次基金收益分配数额等内容，基金管理人可以根据实际情况确定并按照有关规定公告；</w:t>
      </w:r>
    </w:p>
    <w:p w14:paraId="1E35473A" w14:textId="77777777" w:rsidR="005F1E3F" w:rsidRDefault="006C56E6">
      <w:pPr>
        <w:spacing w:line="360" w:lineRule="auto"/>
        <w:ind w:firstLineChars="225" w:firstLine="540"/>
        <w:rPr>
          <w:bCs/>
          <w:sz w:val="24"/>
        </w:rPr>
      </w:pPr>
      <w:r>
        <w:rPr>
          <w:rFonts w:hint="eastAsia"/>
          <w:bCs/>
          <w:sz w:val="24"/>
        </w:rPr>
        <w:t>（</w:t>
      </w:r>
      <w:r>
        <w:rPr>
          <w:rFonts w:hint="eastAsia"/>
          <w:bCs/>
          <w:sz w:val="24"/>
        </w:rPr>
        <w:t>3</w:t>
      </w:r>
      <w:r>
        <w:rPr>
          <w:rFonts w:hint="eastAsia"/>
          <w:bCs/>
          <w:sz w:val="24"/>
        </w:rPr>
        <w:t>）本基金收益分配方式分两种：现金分红与红利再投资，投资者可选择现</w:t>
      </w:r>
      <w:r>
        <w:rPr>
          <w:rFonts w:hint="eastAsia"/>
          <w:bCs/>
          <w:sz w:val="24"/>
        </w:rPr>
        <w:lastRenderedPageBreak/>
        <w:t>金红利或将现金红利自动转为对应类别的基金份额进行再投资；若投资者不选择，本基金默认的收益分配方式是现金分红；</w:t>
      </w:r>
    </w:p>
    <w:p w14:paraId="071F543C" w14:textId="5CAA4D5D" w:rsidR="005F1E3F" w:rsidRDefault="006C56E6">
      <w:pPr>
        <w:spacing w:line="360" w:lineRule="auto"/>
        <w:ind w:firstLineChars="225" w:firstLine="540"/>
        <w:rPr>
          <w:bCs/>
          <w:sz w:val="24"/>
        </w:rPr>
      </w:pPr>
      <w:r>
        <w:rPr>
          <w:rFonts w:hint="eastAsia"/>
          <w:bCs/>
          <w:sz w:val="24"/>
        </w:rPr>
        <w:t>（</w:t>
      </w:r>
      <w:r>
        <w:rPr>
          <w:rFonts w:hint="eastAsia"/>
          <w:bCs/>
          <w:sz w:val="24"/>
        </w:rPr>
        <w:t>4</w:t>
      </w:r>
      <w:r>
        <w:rPr>
          <w:rFonts w:hint="eastAsia"/>
          <w:bCs/>
          <w:sz w:val="24"/>
        </w:rPr>
        <w:t>）本基金同一类别的每一基金份额享有同等分配权。由于本基金</w:t>
      </w:r>
      <w:r>
        <w:rPr>
          <w:rFonts w:hint="eastAsia"/>
          <w:bCs/>
          <w:sz w:val="24"/>
        </w:rPr>
        <w:t>A</w:t>
      </w:r>
      <w:r>
        <w:rPr>
          <w:rFonts w:hint="eastAsia"/>
          <w:bCs/>
          <w:sz w:val="24"/>
        </w:rPr>
        <w:t>类基金份额不收取销售服务费，而</w:t>
      </w:r>
      <w:r>
        <w:rPr>
          <w:rFonts w:hint="eastAsia"/>
          <w:bCs/>
          <w:sz w:val="24"/>
        </w:rPr>
        <w:t>C</w:t>
      </w:r>
      <w:r>
        <w:rPr>
          <w:rFonts w:hint="eastAsia"/>
          <w:bCs/>
          <w:sz w:val="24"/>
        </w:rPr>
        <w:t>类基金份额收取销售服务费，各基金份额类别对应的可分配收益将有所不同；</w:t>
      </w:r>
    </w:p>
    <w:p w14:paraId="57EF2623" w14:textId="0C66CB18" w:rsidR="005F1E3F" w:rsidRDefault="006C56E6">
      <w:pPr>
        <w:spacing w:line="360" w:lineRule="auto"/>
        <w:ind w:firstLineChars="225" w:firstLine="540"/>
        <w:rPr>
          <w:bCs/>
          <w:sz w:val="24"/>
        </w:rPr>
      </w:pPr>
      <w:r>
        <w:rPr>
          <w:bCs/>
          <w:sz w:val="24"/>
        </w:rPr>
        <w:t>（</w:t>
      </w:r>
      <w:r>
        <w:rPr>
          <w:bCs/>
          <w:sz w:val="24"/>
        </w:rPr>
        <w:t>5</w:t>
      </w:r>
      <w:r>
        <w:rPr>
          <w:bCs/>
          <w:sz w:val="24"/>
        </w:rPr>
        <w:t>）法律法规或监管机关另有规定的，从其规定。</w:t>
      </w:r>
    </w:p>
    <w:p w14:paraId="5B8B5400" w14:textId="31E9C3E7" w:rsidR="005F1E3F" w:rsidRDefault="006C56E6">
      <w:pPr>
        <w:pStyle w:val="20"/>
        <w:spacing w:before="0" w:after="0" w:line="360" w:lineRule="auto"/>
        <w:ind w:left="0" w:firstLineChars="200" w:firstLine="480"/>
        <w:rPr>
          <w:rFonts w:ascii="Times New Roman"/>
          <w:bCs/>
        </w:rPr>
      </w:pPr>
      <w:r>
        <w:rPr>
          <w:rFonts w:ascii="Times New Roman" w:hint="eastAsia"/>
          <w:bCs/>
        </w:rPr>
        <w:t>在符合法律法规及基金合同约定，并对基金份额持有人利益无实质性不利影响的前提下，经与基金托管人协商一致，履行适当程序后，基金管理人可对基金收益分配原则进行调整。</w:t>
      </w:r>
    </w:p>
    <w:p w14:paraId="56B003E6" w14:textId="2986A419" w:rsidR="005F1E3F" w:rsidRDefault="006C56E6">
      <w:pPr>
        <w:pStyle w:val="20"/>
        <w:spacing w:before="0" w:after="0" w:line="360" w:lineRule="auto"/>
        <w:ind w:left="0" w:firstLineChars="200" w:firstLine="480"/>
        <w:rPr>
          <w:rFonts w:ascii="Times New Roman"/>
          <w:szCs w:val="24"/>
        </w:rPr>
      </w:pPr>
      <w:r>
        <w:rPr>
          <w:rFonts w:ascii="Times New Roman"/>
          <w:szCs w:val="24"/>
        </w:rPr>
        <w:t>9.4</w:t>
      </w:r>
      <w:r>
        <w:rPr>
          <w:rFonts w:ascii="Times New Roman"/>
          <w:szCs w:val="24"/>
        </w:rPr>
        <w:t>收益分配方案</w:t>
      </w:r>
    </w:p>
    <w:p w14:paraId="39926207" w14:textId="77777777" w:rsidR="005F1E3F" w:rsidRDefault="006C56E6">
      <w:pPr>
        <w:pStyle w:val="20"/>
        <w:spacing w:before="0" w:after="0" w:line="360" w:lineRule="auto"/>
        <w:ind w:left="0" w:firstLineChars="200" w:firstLine="480"/>
        <w:rPr>
          <w:rFonts w:ascii="Times New Roman"/>
          <w:szCs w:val="24"/>
        </w:rPr>
      </w:pPr>
      <w:r>
        <w:rPr>
          <w:rFonts w:ascii="Times New Roman"/>
          <w:szCs w:val="24"/>
        </w:rPr>
        <w:t>基金收益分配方案中应载明</w:t>
      </w:r>
      <w:r>
        <w:rPr>
          <w:rFonts w:ascii="Times New Roman"/>
          <w:bCs/>
        </w:rPr>
        <w:t>截至</w:t>
      </w:r>
      <w:r>
        <w:rPr>
          <w:rFonts w:ascii="Times New Roman"/>
          <w:szCs w:val="24"/>
        </w:rPr>
        <w:t>收益分配基准日的可供分配利润、基金收益分配对象、分配时间、分配数额、分配方式等内容。</w:t>
      </w:r>
    </w:p>
    <w:p w14:paraId="3FC7675B" w14:textId="3F8D4537" w:rsidR="005F1E3F" w:rsidRDefault="006C56E6">
      <w:pPr>
        <w:pStyle w:val="20"/>
        <w:spacing w:before="0" w:after="0" w:line="360" w:lineRule="auto"/>
        <w:ind w:left="0" w:firstLineChars="200" w:firstLine="480"/>
        <w:rPr>
          <w:rFonts w:ascii="Times New Roman"/>
          <w:szCs w:val="24"/>
        </w:rPr>
      </w:pPr>
      <w:r>
        <w:rPr>
          <w:rFonts w:ascii="Times New Roman"/>
          <w:szCs w:val="24"/>
        </w:rPr>
        <w:t>9.5</w:t>
      </w:r>
      <w:r>
        <w:rPr>
          <w:rFonts w:ascii="Times New Roman" w:hint="eastAsia"/>
          <w:szCs w:val="24"/>
        </w:rPr>
        <w:t>收益分配方案的确定、公告与实施</w:t>
      </w:r>
    </w:p>
    <w:p w14:paraId="1253F260" w14:textId="77777777" w:rsidR="005F1E3F" w:rsidRDefault="006C56E6">
      <w:pPr>
        <w:spacing w:line="360" w:lineRule="auto"/>
        <w:ind w:firstLineChars="225" w:firstLine="540"/>
        <w:rPr>
          <w:sz w:val="24"/>
          <w:szCs w:val="24"/>
        </w:rPr>
      </w:pPr>
      <w:r>
        <w:rPr>
          <w:sz w:val="24"/>
          <w:szCs w:val="24"/>
        </w:rPr>
        <w:t>本基金收益分配方案由基金管理人拟定，并由基金托管人复核，</w:t>
      </w:r>
      <w:r>
        <w:rPr>
          <w:rFonts w:hint="eastAsia"/>
          <w:sz w:val="24"/>
          <w:szCs w:val="24"/>
        </w:rPr>
        <w:t>依照《信息披露办法》的有关规定</w:t>
      </w:r>
      <w:r>
        <w:rPr>
          <w:sz w:val="24"/>
          <w:szCs w:val="24"/>
        </w:rPr>
        <w:t>在规定媒介公告。</w:t>
      </w:r>
    </w:p>
    <w:p w14:paraId="03A330AD" w14:textId="77777777" w:rsidR="005F1E3F" w:rsidRPr="0047036C" w:rsidRDefault="006C56E6" w:rsidP="0047036C">
      <w:pPr>
        <w:pStyle w:val="20"/>
        <w:spacing w:line="360" w:lineRule="auto"/>
        <w:rPr>
          <w:rFonts w:ascii="Times New Roman"/>
          <w:szCs w:val="24"/>
        </w:rPr>
      </w:pPr>
      <w:r w:rsidRPr="0047036C">
        <w:rPr>
          <w:rFonts w:ascii="Times New Roman" w:hint="eastAsia"/>
          <w:szCs w:val="24"/>
        </w:rPr>
        <w:t>法律法规或监管机关另有规定的，从其规定。</w:t>
      </w:r>
    </w:p>
    <w:p w14:paraId="239497F8" w14:textId="47432DF7" w:rsidR="005F1E3F" w:rsidRDefault="006C56E6">
      <w:pPr>
        <w:pStyle w:val="20"/>
        <w:spacing w:line="520" w:lineRule="exact"/>
        <w:rPr>
          <w:rFonts w:ascii="Times New Roman"/>
          <w:szCs w:val="24"/>
        </w:rPr>
      </w:pPr>
      <w:r>
        <w:rPr>
          <w:rFonts w:ascii="Times New Roman"/>
          <w:szCs w:val="24"/>
        </w:rPr>
        <w:t>9.6</w:t>
      </w:r>
      <w:r>
        <w:rPr>
          <w:rFonts w:ascii="Times New Roman"/>
          <w:szCs w:val="24"/>
        </w:rPr>
        <w:t>基金收益分配中发生的费用</w:t>
      </w:r>
    </w:p>
    <w:p w14:paraId="47147954" w14:textId="77777777" w:rsidR="005F1E3F" w:rsidRDefault="006C56E6" w:rsidP="0047036C">
      <w:pPr>
        <w:pStyle w:val="20"/>
        <w:spacing w:line="520" w:lineRule="exact"/>
        <w:ind w:left="0" w:firstLineChars="200" w:firstLine="480"/>
        <w:rPr>
          <w:rFonts w:ascii="Times New Roman"/>
          <w:szCs w:val="24"/>
        </w:rPr>
      </w:pPr>
      <w:r>
        <w:rPr>
          <w:rFonts w:ascii="Times New Roman"/>
          <w:szCs w:val="24"/>
        </w:rPr>
        <w:t>基金收益分配时所发生的银行转账或其他手续费用由投资者自行承担。</w:t>
      </w:r>
      <w:r>
        <w:rPr>
          <w:rFonts w:ascii="Times New Roman" w:hint="eastAsia"/>
          <w:szCs w:val="24"/>
        </w:rPr>
        <w:t>当投资者的现金红利小于一定金额，不足以支付银行转账或其他手续费用时，基金登记机构可将基金份额持有人的现金红利自动转为对应类别的基金份额。红利再投资的计算方法，依照《业务规则》执行。</w:t>
      </w:r>
    </w:p>
    <w:p w14:paraId="550EC2E0" w14:textId="77777777" w:rsidR="005F1E3F" w:rsidRDefault="006C56E6">
      <w:pPr>
        <w:pStyle w:val="20"/>
        <w:spacing w:line="520" w:lineRule="exact"/>
        <w:rPr>
          <w:rFonts w:ascii="Times New Roman"/>
          <w:szCs w:val="24"/>
        </w:rPr>
      </w:pPr>
      <w:r>
        <w:rPr>
          <w:rFonts w:ascii="Times New Roman" w:hint="eastAsia"/>
          <w:szCs w:val="24"/>
        </w:rPr>
        <w:t>9</w:t>
      </w:r>
      <w:r>
        <w:rPr>
          <w:rFonts w:ascii="Times New Roman"/>
          <w:szCs w:val="24"/>
        </w:rPr>
        <w:t>.7</w:t>
      </w:r>
      <w:r>
        <w:rPr>
          <w:rFonts w:ascii="Times New Roman" w:hint="eastAsia"/>
          <w:szCs w:val="24"/>
        </w:rPr>
        <w:t>实施</w:t>
      </w:r>
      <w:proofErr w:type="gramStart"/>
      <w:r>
        <w:rPr>
          <w:rFonts w:ascii="Times New Roman" w:hint="eastAsia"/>
          <w:szCs w:val="24"/>
        </w:rPr>
        <w:t>侧袋机制</w:t>
      </w:r>
      <w:proofErr w:type="gramEnd"/>
      <w:r>
        <w:rPr>
          <w:rFonts w:ascii="Times New Roman" w:hint="eastAsia"/>
          <w:szCs w:val="24"/>
        </w:rPr>
        <w:t>期间的收益分配</w:t>
      </w:r>
    </w:p>
    <w:p w14:paraId="5E4BDF0C" w14:textId="77777777" w:rsidR="005F1E3F" w:rsidRDefault="006C56E6">
      <w:pPr>
        <w:pStyle w:val="20"/>
        <w:spacing w:line="520" w:lineRule="exact"/>
        <w:rPr>
          <w:rFonts w:ascii="Times New Roman"/>
          <w:szCs w:val="24"/>
        </w:rPr>
      </w:pPr>
      <w:r>
        <w:rPr>
          <w:rFonts w:ascii="Times New Roman" w:hint="eastAsia"/>
          <w:szCs w:val="24"/>
        </w:rPr>
        <w:t>本基金实施</w:t>
      </w:r>
      <w:proofErr w:type="gramStart"/>
      <w:r>
        <w:rPr>
          <w:rFonts w:ascii="Times New Roman" w:hint="eastAsia"/>
          <w:szCs w:val="24"/>
        </w:rPr>
        <w:t>侧袋机制</w:t>
      </w:r>
      <w:proofErr w:type="gramEnd"/>
      <w:r>
        <w:rPr>
          <w:rFonts w:ascii="Times New Roman" w:hint="eastAsia"/>
          <w:szCs w:val="24"/>
        </w:rPr>
        <w:t>的，</w:t>
      </w:r>
      <w:proofErr w:type="gramStart"/>
      <w:r>
        <w:rPr>
          <w:rFonts w:ascii="Times New Roman" w:hint="eastAsia"/>
          <w:szCs w:val="24"/>
        </w:rPr>
        <w:t>侧袋账户</w:t>
      </w:r>
      <w:proofErr w:type="gramEnd"/>
      <w:r>
        <w:rPr>
          <w:rFonts w:ascii="Times New Roman" w:hint="eastAsia"/>
          <w:szCs w:val="24"/>
        </w:rPr>
        <w:t>不进行收益分配。</w:t>
      </w:r>
    </w:p>
    <w:p w14:paraId="72F9D298" w14:textId="77777777" w:rsidR="005F1E3F" w:rsidRDefault="005F1E3F">
      <w:pPr>
        <w:pStyle w:val="20"/>
        <w:spacing w:before="0" w:after="0" w:line="520" w:lineRule="exact"/>
        <w:ind w:left="0" w:firstLineChars="200" w:firstLine="480"/>
        <w:rPr>
          <w:rFonts w:ascii="Times New Roman"/>
          <w:szCs w:val="24"/>
        </w:rPr>
      </w:pPr>
    </w:p>
    <w:p w14:paraId="1A867CFC" w14:textId="77777777" w:rsidR="005F1E3F" w:rsidRDefault="006C56E6">
      <w:pPr>
        <w:pStyle w:val="1"/>
        <w:spacing w:line="520" w:lineRule="exact"/>
        <w:ind w:firstLineChars="200" w:firstLine="482"/>
        <w:rPr>
          <w:rFonts w:ascii="Times New Roman" w:hAnsi="Times New Roman"/>
          <w:bCs/>
          <w:color w:val="auto"/>
          <w:szCs w:val="24"/>
        </w:rPr>
      </w:pPr>
      <w:bookmarkStart w:id="29" w:name="_Toc296551346"/>
      <w:bookmarkStart w:id="30" w:name="_Toc26170405"/>
      <w:r>
        <w:rPr>
          <w:rFonts w:ascii="Times New Roman" w:hAnsi="Times New Roman"/>
          <w:bCs/>
          <w:color w:val="auto"/>
          <w:szCs w:val="24"/>
        </w:rPr>
        <w:t>第十条</w:t>
      </w:r>
      <w:r>
        <w:rPr>
          <w:rFonts w:ascii="Times New Roman" w:hAnsi="Times New Roman"/>
          <w:bCs/>
          <w:color w:val="auto"/>
          <w:szCs w:val="24"/>
        </w:rPr>
        <w:t xml:space="preserve"> </w:t>
      </w:r>
      <w:r>
        <w:rPr>
          <w:rFonts w:ascii="Times New Roman" w:hAnsi="Times New Roman"/>
          <w:bCs/>
          <w:color w:val="auto"/>
          <w:szCs w:val="24"/>
        </w:rPr>
        <w:t>信息披露</w:t>
      </w:r>
      <w:bookmarkEnd w:id="29"/>
      <w:bookmarkEnd w:id="30"/>
    </w:p>
    <w:p w14:paraId="34757E3A"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10.1</w:t>
      </w:r>
      <w:r>
        <w:rPr>
          <w:rFonts w:ascii="Times New Roman"/>
          <w:szCs w:val="24"/>
        </w:rPr>
        <w:t>保密义务</w:t>
      </w:r>
    </w:p>
    <w:p w14:paraId="1A785722" w14:textId="23D2248A" w:rsidR="005F1E3F" w:rsidRDefault="006C56E6">
      <w:pPr>
        <w:pStyle w:val="20"/>
        <w:spacing w:before="0" w:after="0" w:line="520" w:lineRule="exact"/>
        <w:ind w:left="0" w:firstLineChars="200" w:firstLine="480"/>
        <w:rPr>
          <w:rFonts w:ascii="Times New Roman"/>
          <w:szCs w:val="24"/>
        </w:rPr>
      </w:pPr>
      <w:r>
        <w:rPr>
          <w:rFonts w:ascii="Times New Roman"/>
          <w:szCs w:val="24"/>
        </w:rPr>
        <w:t>10.1.1</w:t>
      </w:r>
      <w:r>
        <w:rPr>
          <w:rFonts w:ascii="Times New Roman"/>
          <w:szCs w:val="24"/>
        </w:rPr>
        <w:t>除按照《基金法》《信息披露办法》《流动性风险管理规定》、基金合同及中国证监会关于基金信息披露的有关规定进行披露以外，基金管理人和基金托管人对基金运作中产生的信息以及从对方获得的业务信息应恪守保密的义务。基金管理</w:t>
      </w:r>
      <w:r>
        <w:rPr>
          <w:rFonts w:ascii="Times New Roman"/>
          <w:szCs w:val="24"/>
        </w:rPr>
        <w:lastRenderedPageBreak/>
        <w:t>人与基金托管人对基金的任何信息及所获悉的有关投资人的个人信息、账户信息等投资人隐私信息，除法律法规规定或国家公权力机构要求之外，不得对任何第三方披露，向审计、法律等外部专业顾问提供的情况除外。但是，如下情况不应视为基金管理人或基金托管人违反保密义务：</w:t>
      </w:r>
    </w:p>
    <w:p w14:paraId="15B36196"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1</w:t>
      </w:r>
      <w:r>
        <w:rPr>
          <w:rFonts w:ascii="Times New Roman"/>
          <w:szCs w:val="24"/>
        </w:rPr>
        <w:t>）非因基金管理人和基金托管人的原因导致保密信息被披露、泄露或公开；</w:t>
      </w:r>
    </w:p>
    <w:p w14:paraId="74B1EAC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2</w:t>
      </w:r>
      <w:r>
        <w:rPr>
          <w:rFonts w:ascii="Times New Roman"/>
          <w:szCs w:val="24"/>
        </w:rPr>
        <w:t>）基金管理人和基金托管人为遵守和服从法院判决或裁定、仲裁裁决或中国证监会等监管机构的命令、决定所做出的信息披露或公开</w:t>
      </w:r>
      <w:r>
        <w:rPr>
          <w:rFonts w:ascii="Times New Roman" w:hint="eastAsia"/>
          <w:szCs w:val="24"/>
        </w:rPr>
        <w:t>；</w:t>
      </w:r>
    </w:p>
    <w:p w14:paraId="0785D8F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10.2</w:t>
      </w:r>
      <w:r>
        <w:rPr>
          <w:rFonts w:ascii="Times New Roman"/>
          <w:szCs w:val="24"/>
        </w:rPr>
        <w:t>基金管理人和基金托管人在信息披露中的职责和信息披露程序</w:t>
      </w:r>
    </w:p>
    <w:p w14:paraId="5AAFA9F2"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10.2.1</w:t>
      </w:r>
      <w:r>
        <w:rPr>
          <w:rFonts w:ascii="Times New Roman"/>
          <w:szCs w:val="24"/>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20178BD2"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10.2.2</w:t>
      </w:r>
      <w:r>
        <w:rPr>
          <w:rFonts w:ascii="Times New Roman"/>
          <w:szCs w:val="24"/>
        </w:rPr>
        <w:t>本基金信息披露的文件主要包括基金招募说明书、基金产品资料概要、基金合同、托管协议、基金份额发售公告、基金合同生效公告、基金净值信息、基金份额申购、赎回对价、基金定期报告（包括基金年度报告、基金中期报告和基金季度报告）、临时报告、澄清公告、基金份额持有人大会决议、清算报告、投资资产支持证券、股指期货、股票期权、国债期货的信息披露以及中国证监会规定的其他信息。</w:t>
      </w:r>
    </w:p>
    <w:p w14:paraId="425BC823"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10.2.3</w:t>
      </w:r>
      <w:r>
        <w:rPr>
          <w:rFonts w:ascii="Times New Roman"/>
          <w:szCs w:val="24"/>
        </w:rPr>
        <w:t>基金托管人应当按照相关法律法规、中国证监会的规定和《基金合同》的约定，对基金管理人编制的基金净值信息、基金份额申购赎回对价、基金定期报告、更新的招募说明书、基金产品资料概要、基金清算报告等公开披露的相关基金信息进行复核、审查，并向基金管理人进行书面或电子确认。</w:t>
      </w:r>
    </w:p>
    <w:p w14:paraId="5619C02E"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10.2.4</w:t>
      </w:r>
      <w:r>
        <w:rPr>
          <w:rFonts w:ascii="Times New Roman"/>
          <w:szCs w:val="24"/>
        </w:rPr>
        <w:t>基金年度报告中的财务报告部分，</w:t>
      </w:r>
      <w:proofErr w:type="gramStart"/>
      <w:r>
        <w:rPr>
          <w:rFonts w:ascii="Times New Roman"/>
          <w:szCs w:val="24"/>
        </w:rPr>
        <w:t>经符合</w:t>
      </w:r>
      <w:proofErr w:type="gramEnd"/>
      <w:r>
        <w:rPr>
          <w:rFonts w:ascii="Times New Roman"/>
          <w:szCs w:val="24"/>
        </w:rPr>
        <w:t>《证券法》规定的会计师事务所审计后，方可披露。</w:t>
      </w:r>
    </w:p>
    <w:p w14:paraId="34EE79E8"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10.2.5</w:t>
      </w:r>
      <w:r>
        <w:rPr>
          <w:rFonts w:ascii="Times New Roman"/>
          <w:szCs w:val="24"/>
        </w:rPr>
        <w:t>基金管理人应当在中国证监会规定的时间内，将应予披露的基金信息通过中国证监会规定媒介披露。根据法律法规应由基金托管人公开披露的信息，基金托管人将通过中国证监会规定媒介公开披露。</w:t>
      </w:r>
    </w:p>
    <w:p w14:paraId="3BC780EA" w14:textId="2EA44C66" w:rsidR="005F1E3F" w:rsidRDefault="006C56E6">
      <w:pPr>
        <w:pStyle w:val="20"/>
        <w:spacing w:before="0" w:after="0" w:line="520" w:lineRule="exact"/>
        <w:ind w:left="0" w:firstLineChars="200" w:firstLine="480"/>
        <w:rPr>
          <w:rFonts w:ascii="Times New Roman"/>
          <w:szCs w:val="24"/>
        </w:rPr>
      </w:pPr>
      <w:r>
        <w:rPr>
          <w:rFonts w:ascii="Times New Roman"/>
          <w:szCs w:val="24"/>
        </w:rPr>
        <w:t>10.2.6</w:t>
      </w:r>
      <w:r>
        <w:rPr>
          <w:rFonts w:ascii="Times New Roman"/>
          <w:szCs w:val="24"/>
        </w:rPr>
        <w:t>予以披露的信息文本，存放在基金管理人和基金托管人处，投资人可以免费查阅。在支付工本费后可在合理时间获得上述文件的复制件或复印件。基金管</w:t>
      </w:r>
      <w:r>
        <w:rPr>
          <w:rFonts w:ascii="Times New Roman"/>
          <w:szCs w:val="24"/>
        </w:rPr>
        <w:lastRenderedPageBreak/>
        <w:t>理人和基金托管人应保证文本的内容与所公告的内容完全一致。</w:t>
      </w:r>
    </w:p>
    <w:p w14:paraId="7EDADC9B"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10.3</w:t>
      </w:r>
      <w:r>
        <w:rPr>
          <w:rFonts w:ascii="Times New Roman"/>
          <w:szCs w:val="24"/>
        </w:rPr>
        <w:t>基金托管人报告</w:t>
      </w:r>
    </w:p>
    <w:p w14:paraId="2D4E2696" w14:textId="3C6798B7" w:rsidR="005F1E3F" w:rsidRDefault="006C56E6">
      <w:pPr>
        <w:pStyle w:val="20"/>
        <w:spacing w:before="0" w:after="0" w:line="520" w:lineRule="exact"/>
        <w:ind w:left="0" w:firstLineChars="200" w:firstLine="480"/>
        <w:rPr>
          <w:rFonts w:ascii="Times New Roman"/>
          <w:szCs w:val="24"/>
        </w:rPr>
      </w:pPr>
      <w:r>
        <w:rPr>
          <w:rFonts w:ascii="Times New Roman"/>
          <w:szCs w:val="24"/>
        </w:rPr>
        <w:t>基金托管人应按《基金法》《运作办法》《信息披露办法》和其他有关法律法规的规定于每个上半年度结束后两个月内、每个会计年度结束后三个月</w:t>
      </w:r>
      <w:proofErr w:type="gramStart"/>
      <w:r>
        <w:rPr>
          <w:rFonts w:ascii="Times New Roman"/>
          <w:szCs w:val="24"/>
        </w:rPr>
        <w:t>内在基金</w:t>
      </w:r>
      <w:proofErr w:type="gramEnd"/>
      <w:r>
        <w:rPr>
          <w:rFonts w:ascii="Times New Roman"/>
          <w:szCs w:val="24"/>
        </w:rPr>
        <w:t>中期报告及年度报告中分别出具基金托管人报告。</w:t>
      </w:r>
    </w:p>
    <w:p w14:paraId="2A2B2122" w14:textId="77777777" w:rsidR="005F1E3F" w:rsidRDefault="005F1E3F">
      <w:pPr>
        <w:pStyle w:val="20"/>
        <w:spacing w:before="0" w:after="0" w:line="520" w:lineRule="exact"/>
        <w:ind w:left="0" w:firstLineChars="200" w:firstLine="480"/>
        <w:rPr>
          <w:rFonts w:ascii="Times New Roman"/>
          <w:szCs w:val="24"/>
        </w:rPr>
      </w:pPr>
    </w:p>
    <w:p w14:paraId="53A2EA9E" w14:textId="77777777" w:rsidR="005F1E3F" w:rsidRDefault="006C56E6">
      <w:pPr>
        <w:pStyle w:val="1"/>
        <w:spacing w:line="520" w:lineRule="exact"/>
        <w:ind w:firstLineChars="200" w:firstLine="482"/>
        <w:rPr>
          <w:rFonts w:ascii="Times New Roman" w:hAnsi="Times New Roman"/>
          <w:bCs/>
          <w:color w:val="auto"/>
          <w:szCs w:val="24"/>
        </w:rPr>
      </w:pPr>
      <w:bookmarkStart w:id="31" w:name="_Toc296551347"/>
      <w:bookmarkStart w:id="32" w:name="_Toc26170406"/>
      <w:r>
        <w:rPr>
          <w:rFonts w:ascii="Times New Roman" w:hAnsi="Times New Roman"/>
          <w:bCs/>
          <w:color w:val="auto"/>
          <w:szCs w:val="24"/>
        </w:rPr>
        <w:t>第十一条</w:t>
      </w:r>
      <w:r>
        <w:rPr>
          <w:rFonts w:ascii="Times New Roman" w:hAnsi="Times New Roman"/>
          <w:bCs/>
          <w:color w:val="auto"/>
          <w:szCs w:val="24"/>
        </w:rPr>
        <w:t xml:space="preserve"> </w:t>
      </w:r>
      <w:r>
        <w:rPr>
          <w:rFonts w:ascii="Times New Roman" w:hAnsi="Times New Roman"/>
          <w:bCs/>
          <w:color w:val="auto"/>
          <w:szCs w:val="24"/>
        </w:rPr>
        <w:t>基金费用</w:t>
      </w:r>
      <w:bookmarkEnd w:id="31"/>
      <w:bookmarkEnd w:id="32"/>
    </w:p>
    <w:p w14:paraId="2F9C69B8" w14:textId="77777777" w:rsidR="005F1E3F" w:rsidRDefault="006C56E6">
      <w:pPr>
        <w:spacing w:line="360" w:lineRule="auto"/>
        <w:ind w:firstLineChars="200" w:firstLine="480"/>
        <w:rPr>
          <w:bCs/>
          <w:sz w:val="24"/>
        </w:rPr>
      </w:pPr>
      <w:r>
        <w:rPr>
          <w:bCs/>
          <w:sz w:val="24"/>
        </w:rPr>
        <w:t>11.1</w:t>
      </w:r>
      <w:r>
        <w:rPr>
          <w:bCs/>
          <w:sz w:val="24"/>
        </w:rPr>
        <w:t>基金管理人的管理费</w:t>
      </w:r>
      <w:r>
        <w:rPr>
          <w:bCs/>
          <w:sz w:val="24"/>
        </w:rPr>
        <w:t xml:space="preserve"> </w:t>
      </w:r>
    </w:p>
    <w:p w14:paraId="1E9076DC" w14:textId="77777777" w:rsidR="005F1E3F" w:rsidRDefault="006C56E6">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财产中投资于目标</w:t>
      </w:r>
      <w:r>
        <w:rPr>
          <w:rFonts w:hint="eastAsia"/>
          <w:bCs/>
          <w:sz w:val="24"/>
        </w:rPr>
        <w:t>ETF</w:t>
      </w:r>
      <w:r>
        <w:rPr>
          <w:rFonts w:hint="eastAsia"/>
          <w:bCs/>
          <w:sz w:val="24"/>
        </w:rPr>
        <w:t>的部分不收取管理费。本基金管理费按前一日基金资产净值扣除所持有目标</w:t>
      </w:r>
      <w:r>
        <w:rPr>
          <w:rFonts w:hint="eastAsia"/>
          <w:bCs/>
          <w:sz w:val="24"/>
        </w:rPr>
        <w:t>ETF</w:t>
      </w:r>
      <w:r>
        <w:rPr>
          <w:rFonts w:hint="eastAsia"/>
          <w:bCs/>
          <w:sz w:val="24"/>
        </w:rPr>
        <w:t>基金份额部分的基金资产净值后的余额（若为负数，则取</w:t>
      </w:r>
      <w:r>
        <w:rPr>
          <w:rFonts w:hint="eastAsia"/>
          <w:bCs/>
          <w:sz w:val="24"/>
        </w:rPr>
        <w:t>0</w:t>
      </w:r>
      <w:r>
        <w:rPr>
          <w:rFonts w:hint="eastAsia"/>
          <w:bCs/>
          <w:sz w:val="24"/>
        </w:rPr>
        <w:t>）</w:t>
      </w:r>
      <w:r>
        <w:rPr>
          <w:bCs/>
          <w:sz w:val="24"/>
        </w:rPr>
        <w:t>的</w:t>
      </w:r>
      <w:r>
        <w:rPr>
          <w:rFonts w:hint="eastAsia"/>
          <w:bCs/>
          <w:sz w:val="24"/>
        </w:rPr>
        <w:t>0.50</w:t>
      </w:r>
      <w:r>
        <w:rPr>
          <w:bCs/>
          <w:sz w:val="24"/>
        </w:rPr>
        <w:t>%</w:t>
      </w:r>
      <w:r>
        <w:rPr>
          <w:bCs/>
          <w:sz w:val="24"/>
        </w:rPr>
        <w:t>年费率计提。管理费的计算方法如下：</w:t>
      </w:r>
    </w:p>
    <w:p w14:paraId="272CA68C" w14:textId="77777777" w:rsidR="005F1E3F" w:rsidRDefault="006C56E6">
      <w:pPr>
        <w:spacing w:line="360" w:lineRule="auto"/>
        <w:ind w:firstLineChars="200" w:firstLine="480"/>
        <w:rPr>
          <w:bCs/>
          <w:sz w:val="24"/>
        </w:rPr>
      </w:pPr>
      <w:r>
        <w:rPr>
          <w:bCs/>
          <w:sz w:val="24"/>
        </w:rPr>
        <w:t>H</w:t>
      </w:r>
      <w:r>
        <w:rPr>
          <w:bCs/>
          <w:sz w:val="24"/>
        </w:rPr>
        <w:t>＝</w:t>
      </w:r>
      <w:r>
        <w:rPr>
          <w:bCs/>
          <w:sz w:val="24"/>
        </w:rPr>
        <w:t>E×</w:t>
      </w:r>
      <w:r>
        <w:rPr>
          <w:rFonts w:hint="eastAsia"/>
          <w:bCs/>
          <w:sz w:val="24"/>
        </w:rPr>
        <w:t>0.50%</w:t>
      </w:r>
      <w:r>
        <w:rPr>
          <w:bCs/>
          <w:sz w:val="24"/>
        </w:rPr>
        <w:t>÷</w:t>
      </w:r>
      <w:r>
        <w:rPr>
          <w:bCs/>
          <w:sz w:val="24"/>
        </w:rPr>
        <w:t>当年天数</w:t>
      </w:r>
    </w:p>
    <w:p w14:paraId="76FE0D6A" w14:textId="77777777" w:rsidR="005F1E3F" w:rsidRDefault="006C56E6">
      <w:pPr>
        <w:spacing w:line="360" w:lineRule="auto"/>
        <w:ind w:firstLineChars="200" w:firstLine="480"/>
        <w:rPr>
          <w:bCs/>
          <w:sz w:val="24"/>
        </w:rPr>
      </w:pPr>
      <w:r>
        <w:rPr>
          <w:bCs/>
          <w:sz w:val="24"/>
        </w:rPr>
        <w:t>H</w:t>
      </w:r>
      <w:r>
        <w:rPr>
          <w:bCs/>
          <w:sz w:val="24"/>
        </w:rPr>
        <w:t>为每日应计提的基金管理费</w:t>
      </w:r>
    </w:p>
    <w:p w14:paraId="0B55A36E" w14:textId="77777777" w:rsidR="005F1E3F" w:rsidRDefault="006C56E6">
      <w:pPr>
        <w:spacing w:line="360" w:lineRule="auto"/>
        <w:ind w:firstLineChars="200" w:firstLine="480"/>
        <w:rPr>
          <w:bCs/>
          <w:sz w:val="24"/>
        </w:rPr>
      </w:pPr>
      <w:r>
        <w:rPr>
          <w:bCs/>
          <w:sz w:val="24"/>
        </w:rPr>
        <w:t>E</w:t>
      </w:r>
      <w:r>
        <w:rPr>
          <w:bCs/>
          <w:sz w:val="24"/>
        </w:rPr>
        <w:t>为前一日的基金资产净值</w:t>
      </w:r>
      <w:r>
        <w:rPr>
          <w:rFonts w:hint="eastAsia"/>
          <w:bCs/>
          <w:sz w:val="24"/>
        </w:rPr>
        <w:t>－前一日所持有目标</w:t>
      </w:r>
      <w:r>
        <w:rPr>
          <w:rFonts w:hint="eastAsia"/>
          <w:bCs/>
          <w:sz w:val="24"/>
        </w:rPr>
        <w:t>ETF</w:t>
      </w:r>
      <w:r>
        <w:rPr>
          <w:rFonts w:hint="eastAsia"/>
          <w:bCs/>
          <w:sz w:val="24"/>
        </w:rPr>
        <w:t>基金份额部分的基金资产净值，若为负数，则</w:t>
      </w:r>
      <w:r>
        <w:rPr>
          <w:rFonts w:hint="eastAsia"/>
          <w:bCs/>
          <w:sz w:val="24"/>
        </w:rPr>
        <w:t>E</w:t>
      </w:r>
      <w:r>
        <w:rPr>
          <w:rFonts w:hint="eastAsia"/>
          <w:bCs/>
          <w:sz w:val="24"/>
        </w:rPr>
        <w:t>取</w:t>
      </w:r>
      <w:r>
        <w:rPr>
          <w:rFonts w:hint="eastAsia"/>
          <w:bCs/>
          <w:sz w:val="24"/>
        </w:rPr>
        <w:t>0</w:t>
      </w:r>
    </w:p>
    <w:p w14:paraId="6F6B799E" w14:textId="77777777" w:rsidR="005F1E3F" w:rsidRDefault="006C56E6">
      <w:pPr>
        <w:spacing w:line="360" w:lineRule="auto"/>
        <w:ind w:firstLineChars="200" w:firstLine="480"/>
        <w:rPr>
          <w:bCs/>
          <w:sz w:val="24"/>
        </w:rPr>
      </w:pPr>
      <w:r>
        <w:rPr>
          <w:rFonts w:hint="eastAsia"/>
          <w:bCs/>
          <w:sz w:val="24"/>
        </w:rPr>
        <w:t>基金管理费每日计算，逐日累计至每月月末，按月支付，由基金托管人根据与基金管理人核对一致的财务数据，按照与基金管理人协商一致的方式在月初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工作日内、按照指定的账户路径进行资金支付。若遇法定节假日、公休日等，支付日期顺延。费用扣划后，基金管理人应进行核对，如发现数据不符，及时联系基金托管人协商解决。</w:t>
      </w:r>
    </w:p>
    <w:p w14:paraId="09258741" w14:textId="77777777" w:rsidR="005F1E3F" w:rsidRDefault="006C56E6">
      <w:pPr>
        <w:spacing w:line="360" w:lineRule="auto"/>
        <w:ind w:firstLineChars="200" w:firstLine="480"/>
        <w:rPr>
          <w:bCs/>
          <w:sz w:val="24"/>
        </w:rPr>
      </w:pPr>
      <w:r>
        <w:rPr>
          <w:bCs/>
          <w:sz w:val="24"/>
        </w:rPr>
        <w:t>11.2</w:t>
      </w:r>
      <w:r>
        <w:rPr>
          <w:bCs/>
          <w:sz w:val="24"/>
        </w:rPr>
        <w:t>基金托管人的托管费</w:t>
      </w:r>
    </w:p>
    <w:p w14:paraId="7FC28EF8" w14:textId="77777777" w:rsidR="005F1E3F" w:rsidRDefault="006C56E6">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财产中投资于目标</w:t>
      </w:r>
      <w:r>
        <w:rPr>
          <w:rFonts w:hint="eastAsia"/>
          <w:bCs/>
          <w:sz w:val="24"/>
        </w:rPr>
        <w:t>ETF</w:t>
      </w:r>
      <w:r>
        <w:rPr>
          <w:rFonts w:hint="eastAsia"/>
          <w:bCs/>
          <w:sz w:val="24"/>
        </w:rPr>
        <w:t>的部分不收取托管费。本基金托管费按前一日基金资产净值扣除所持有目标</w:t>
      </w:r>
      <w:r>
        <w:rPr>
          <w:rFonts w:hint="eastAsia"/>
          <w:bCs/>
          <w:sz w:val="24"/>
        </w:rPr>
        <w:t>ETF</w:t>
      </w:r>
      <w:r>
        <w:rPr>
          <w:rFonts w:hint="eastAsia"/>
          <w:bCs/>
          <w:sz w:val="24"/>
        </w:rPr>
        <w:t>基金份额部分的基金资产净值后的余额（若为负数，则取</w:t>
      </w:r>
      <w:r>
        <w:rPr>
          <w:rFonts w:hint="eastAsia"/>
          <w:bCs/>
          <w:sz w:val="24"/>
        </w:rPr>
        <w:t>0</w:t>
      </w:r>
      <w:r>
        <w:rPr>
          <w:rFonts w:hint="eastAsia"/>
          <w:bCs/>
          <w:sz w:val="24"/>
        </w:rPr>
        <w:t>）</w:t>
      </w:r>
      <w:r>
        <w:rPr>
          <w:bCs/>
          <w:sz w:val="24"/>
        </w:rPr>
        <w:t>的</w:t>
      </w:r>
      <w:r>
        <w:rPr>
          <w:rFonts w:hint="eastAsia"/>
          <w:bCs/>
          <w:sz w:val="24"/>
        </w:rPr>
        <w:t>0.</w:t>
      </w:r>
      <w:r>
        <w:rPr>
          <w:bCs/>
          <w:sz w:val="24"/>
        </w:rPr>
        <w:t>10%</w:t>
      </w:r>
      <w:r>
        <w:rPr>
          <w:bCs/>
          <w:sz w:val="24"/>
        </w:rPr>
        <w:t>的年费率计提。托管费的计算方法如下：</w:t>
      </w:r>
    </w:p>
    <w:p w14:paraId="65F3AF6F" w14:textId="77777777" w:rsidR="005F1E3F" w:rsidRDefault="006C56E6">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Pr>
          <w:bCs/>
          <w:sz w:val="24"/>
        </w:rPr>
        <w:t>10%÷</w:t>
      </w:r>
      <w:r>
        <w:rPr>
          <w:bCs/>
          <w:sz w:val="24"/>
        </w:rPr>
        <w:t>当年天数</w:t>
      </w:r>
    </w:p>
    <w:p w14:paraId="509E3287" w14:textId="77777777" w:rsidR="005F1E3F" w:rsidRDefault="006C56E6">
      <w:pPr>
        <w:spacing w:line="360" w:lineRule="auto"/>
        <w:ind w:firstLineChars="200" w:firstLine="480"/>
        <w:rPr>
          <w:bCs/>
          <w:sz w:val="24"/>
        </w:rPr>
      </w:pPr>
      <w:r>
        <w:rPr>
          <w:bCs/>
          <w:sz w:val="24"/>
        </w:rPr>
        <w:t>H</w:t>
      </w:r>
      <w:r>
        <w:rPr>
          <w:bCs/>
          <w:sz w:val="24"/>
        </w:rPr>
        <w:t>为每日应计提的基金托管费</w:t>
      </w:r>
    </w:p>
    <w:p w14:paraId="600552E3" w14:textId="77777777" w:rsidR="005F1E3F" w:rsidRDefault="006C56E6">
      <w:pPr>
        <w:spacing w:line="360" w:lineRule="auto"/>
        <w:ind w:firstLineChars="200" w:firstLine="480"/>
        <w:rPr>
          <w:bCs/>
          <w:sz w:val="24"/>
        </w:rPr>
      </w:pPr>
      <w:r>
        <w:rPr>
          <w:bCs/>
          <w:sz w:val="24"/>
        </w:rPr>
        <w:t>E</w:t>
      </w:r>
      <w:r>
        <w:rPr>
          <w:bCs/>
          <w:sz w:val="24"/>
        </w:rPr>
        <w:t>为前一日的基金资产净值</w:t>
      </w:r>
      <w:r>
        <w:rPr>
          <w:rFonts w:hint="eastAsia"/>
          <w:bCs/>
          <w:sz w:val="24"/>
        </w:rPr>
        <w:t>－前一日所持有目标</w:t>
      </w:r>
      <w:r>
        <w:rPr>
          <w:rFonts w:hint="eastAsia"/>
          <w:bCs/>
          <w:sz w:val="24"/>
        </w:rPr>
        <w:t>ETF</w:t>
      </w:r>
      <w:r>
        <w:rPr>
          <w:rFonts w:hint="eastAsia"/>
          <w:bCs/>
          <w:sz w:val="24"/>
        </w:rPr>
        <w:t>基金份额部分的基金资产净值，若为负数，则</w:t>
      </w:r>
      <w:r>
        <w:rPr>
          <w:rFonts w:hint="eastAsia"/>
          <w:bCs/>
          <w:sz w:val="24"/>
        </w:rPr>
        <w:t>E</w:t>
      </w:r>
      <w:r>
        <w:rPr>
          <w:rFonts w:hint="eastAsia"/>
          <w:bCs/>
          <w:sz w:val="24"/>
        </w:rPr>
        <w:t>取</w:t>
      </w:r>
      <w:r>
        <w:rPr>
          <w:rFonts w:hint="eastAsia"/>
          <w:bCs/>
          <w:sz w:val="24"/>
        </w:rPr>
        <w:t>0</w:t>
      </w:r>
    </w:p>
    <w:p w14:paraId="4749B33E" w14:textId="77777777" w:rsidR="005F1E3F" w:rsidRDefault="006C56E6">
      <w:pPr>
        <w:spacing w:line="360" w:lineRule="auto"/>
        <w:ind w:firstLineChars="200" w:firstLine="480"/>
        <w:rPr>
          <w:bCs/>
          <w:sz w:val="24"/>
        </w:rPr>
      </w:pPr>
      <w:r>
        <w:rPr>
          <w:rFonts w:hint="eastAsia"/>
          <w:bCs/>
          <w:sz w:val="24"/>
        </w:rPr>
        <w:t>基金托管费每日计算，逐日累计至每月月末，按月支付，由基金托管人根据与基金管理人核对一致的财务数据，按照与基金管理人协商一致的方式在月初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工作日内、按照指定的账户路径进行资金支付。若遇法定节假日、公休日等，支付日</w:t>
      </w:r>
      <w:r>
        <w:rPr>
          <w:rFonts w:hint="eastAsia"/>
          <w:bCs/>
          <w:sz w:val="24"/>
        </w:rPr>
        <w:lastRenderedPageBreak/>
        <w:t>期顺延。费用扣划后，基金管理人应进行核对，如发现数据不符，及时联系基金托管人协商解决。</w:t>
      </w:r>
    </w:p>
    <w:p w14:paraId="716E3720" w14:textId="77777777" w:rsidR="005F1E3F" w:rsidRDefault="006C56E6">
      <w:pPr>
        <w:spacing w:line="360" w:lineRule="auto"/>
        <w:ind w:firstLineChars="200" w:firstLine="480"/>
        <w:rPr>
          <w:bCs/>
          <w:sz w:val="24"/>
        </w:rPr>
      </w:pPr>
      <w:r>
        <w:rPr>
          <w:bCs/>
          <w:sz w:val="24"/>
        </w:rPr>
        <w:t>11.3</w:t>
      </w:r>
      <w:r>
        <w:rPr>
          <w:rFonts w:hint="eastAsia"/>
          <w:bCs/>
          <w:sz w:val="24"/>
        </w:rPr>
        <w:t>基金销售服务费</w:t>
      </w:r>
    </w:p>
    <w:p w14:paraId="2C45AC28" w14:textId="77777777" w:rsidR="005F1E3F" w:rsidRDefault="006C56E6">
      <w:pPr>
        <w:spacing w:line="360" w:lineRule="auto"/>
        <w:ind w:firstLineChars="200" w:firstLine="480"/>
        <w:rPr>
          <w:bCs/>
          <w:sz w:val="24"/>
        </w:rPr>
      </w:pPr>
      <w:r>
        <w:rPr>
          <w:rFonts w:hint="eastAsia"/>
          <w:bCs/>
          <w:sz w:val="24"/>
        </w:rPr>
        <w:t>本基金</w:t>
      </w:r>
      <w:r>
        <w:rPr>
          <w:bCs/>
          <w:sz w:val="24"/>
        </w:rPr>
        <w:t xml:space="preserve"> A</w:t>
      </w:r>
      <w:r>
        <w:rPr>
          <w:rFonts w:hint="eastAsia"/>
          <w:bCs/>
          <w:sz w:val="24"/>
        </w:rPr>
        <w:t>类基金份额不收取销售服务费，</w:t>
      </w:r>
      <w:r>
        <w:rPr>
          <w:bCs/>
          <w:sz w:val="24"/>
        </w:rPr>
        <w:t>C</w:t>
      </w:r>
      <w:r>
        <w:rPr>
          <w:rFonts w:hint="eastAsia"/>
          <w:bCs/>
          <w:sz w:val="24"/>
        </w:rPr>
        <w:t>类基金份额的销售服务费按前一日</w:t>
      </w:r>
      <w:r>
        <w:rPr>
          <w:bCs/>
          <w:sz w:val="24"/>
        </w:rPr>
        <w:t>C</w:t>
      </w:r>
      <w:r>
        <w:rPr>
          <w:rFonts w:hint="eastAsia"/>
          <w:bCs/>
          <w:sz w:val="24"/>
        </w:rPr>
        <w:t>类基金份额资产净值的</w:t>
      </w:r>
      <w:r>
        <w:rPr>
          <w:bCs/>
          <w:sz w:val="24"/>
        </w:rPr>
        <w:t>0.30%</w:t>
      </w:r>
      <w:r>
        <w:rPr>
          <w:rFonts w:hint="eastAsia"/>
          <w:bCs/>
          <w:sz w:val="24"/>
        </w:rPr>
        <w:t>年费率计提。计算方法如下：</w:t>
      </w:r>
    </w:p>
    <w:p w14:paraId="07EA32CE" w14:textId="77777777" w:rsidR="005F1E3F" w:rsidRDefault="006C56E6">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0.30%</w:t>
      </w:r>
      <w:r>
        <w:rPr>
          <w:rFonts w:hint="eastAsia"/>
          <w:bCs/>
          <w:sz w:val="24"/>
        </w:rPr>
        <w:t>÷当年天数</w:t>
      </w:r>
    </w:p>
    <w:p w14:paraId="3EABCC1F" w14:textId="77777777" w:rsidR="005F1E3F" w:rsidRDefault="006C56E6">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5FC29F72" w14:textId="77777777" w:rsidR="005F1E3F" w:rsidRDefault="006C56E6">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486BBE9E" w14:textId="77777777" w:rsidR="005F1E3F" w:rsidRDefault="006C56E6">
      <w:pPr>
        <w:spacing w:line="360" w:lineRule="auto"/>
        <w:ind w:firstLineChars="200" w:firstLine="480"/>
        <w:rPr>
          <w:bCs/>
          <w:sz w:val="24"/>
        </w:rPr>
      </w:pPr>
      <w:r>
        <w:rPr>
          <w:rFonts w:hint="eastAsia"/>
          <w:bCs/>
          <w:sz w:val="24"/>
        </w:rPr>
        <w:t>基金销售服务费每日计算，逐日累计至每月月末，按月支付，由基金托管人根据与基金管理人核对一致的财务数据，按照与基金管理人协商一致的方式在月初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工作日内、按照指定的账户路径进行资金支付。若遇法定节假日、公休日等，支付日期顺延。费用扣划后，基金管理人应进行核对，如发现数据不符，及时联系基金托管人协商解决。</w:t>
      </w:r>
    </w:p>
    <w:p w14:paraId="687C83F2" w14:textId="77777777" w:rsidR="005F1E3F" w:rsidRDefault="006C56E6">
      <w:pPr>
        <w:spacing w:line="360" w:lineRule="auto"/>
        <w:ind w:firstLineChars="200" w:firstLine="480"/>
        <w:rPr>
          <w:bCs/>
          <w:sz w:val="24"/>
        </w:rPr>
      </w:pPr>
      <w:r>
        <w:rPr>
          <w:rFonts w:hint="eastAsia"/>
          <w:bCs/>
          <w:sz w:val="24"/>
        </w:rPr>
        <w:t>销售服务费主要用于支付销售机构佣金，</w:t>
      </w:r>
      <w:r>
        <w:rPr>
          <w:bCs/>
          <w:sz w:val="24"/>
        </w:rPr>
        <w:t>及</w:t>
      </w:r>
      <w:r>
        <w:rPr>
          <w:rFonts w:hint="eastAsia"/>
          <w:bCs/>
          <w:sz w:val="24"/>
        </w:rPr>
        <w:t>基金管理人的基金行销广告费、促销活动费、基金份额持有人服务费等。</w:t>
      </w:r>
    </w:p>
    <w:p w14:paraId="40136F36" w14:textId="126F30D9" w:rsidR="005F1E3F" w:rsidRDefault="006C56E6" w:rsidP="0047036C">
      <w:pPr>
        <w:spacing w:line="360" w:lineRule="auto"/>
        <w:rPr>
          <w:bCs/>
          <w:sz w:val="24"/>
        </w:rPr>
      </w:pPr>
      <w:r>
        <w:rPr>
          <w:rFonts w:hint="eastAsia"/>
          <w:bCs/>
          <w:sz w:val="24"/>
        </w:rPr>
        <w:t>销售服务费使用范围不包括基金募集期间的上述费用。</w:t>
      </w:r>
    </w:p>
    <w:p w14:paraId="3D319D87" w14:textId="4EB1C049" w:rsidR="005F1E3F" w:rsidRDefault="006C56E6">
      <w:pPr>
        <w:pStyle w:val="20"/>
        <w:spacing w:before="0" w:after="0" w:line="520" w:lineRule="exact"/>
        <w:ind w:left="0" w:firstLineChars="200" w:firstLine="480"/>
        <w:rPr>
          <w:rFonts w:ascii="Times New Roman"/>
          <w:szCs w:val="24"/>
        </w:rPr>
      </w:pPr>
      <w:r>
        <w:rPr>
          <w:rFonts w:ascii="Times New Roman"/>
          <w:szCs w:val="24"/>
        </w:rPr>
        <w:t>11.4</w:t>
      </w:r>
      <w:r>
        <w:rPr>
          <w:rFonts w:ascii="Times New Roman"/>
          <w:szCs w:val="24"/>
        </w:rPr>
        <w:t>为基金财产及基金运作所开立账户的开户费和维护费、证券</w:t>
      </w:r>
      <w:r>
        <w:rPr>
          <w:rFonts w:ascii="Times New Roman" w:hint="eastAsia"/>
          <w:szCs w:val="24"/>
        </w:rPr>
        <w:t>/</w:t>
      </w:r>
      <w:r>
        <w:rPr>
          <w:rFonts w:ascii="Times New Roman" w:hint="eastAsia"/>
          <w:szCs w:val="24"/>
        </w:rPr>
        <w:t>期货</w:t>
      </w:r>
      <w:r>
        <w:rPr>
          <w:rFonts w:ascii="Times New Roman" w:hint="eastAsia"/>
          <w:szCs w:val="24"/>
        </w:rPr>
        <w:t>/</w:t>
      </w:r>
      <w:r>
        <w:rPr>
          <w:rFonts w:ascii="Times New Roman" w:hint="eastAsia"/>
          <w:szCs w:val="24"/>
        </w:rPr>
        <w:t>期权</w:t>
      </w:r>
      <w:r>
        <w:rPr>
          <w:rFonts w:ascii="Times New Roman"/>
          <w:szCs w:val="24"/>
        </w:rPr>
        <w:t>交易费用、基金合同生效后与基金相关的信息披露费用、基金份额持有人大会费用、基金合同生效后与基金相关的会计师费、律师费</w:t>
      </w:r>
      <w:r>
        <w:rPr>
          <w:rFonts w:ascii="Times New Roman"/>
          <w:bCs/>
        </w:rPr>
        <w:t>、公证费、仲裁费和诉讼费、基金的银行划款费用</w:t>
      </w:r>
      <w:r>
        <w:rPr>
          <w:rFonts w:ascii="Times New Roman"/>
          <w:szCs w:val="24"/>
        </w:rPr>
        <w:t>等根据有关法律法规、基金合同及相应协议的规定，由基金托管人按基金管理人的划款指令并根据费用实际支出金额支付，列入或摊入当期基金费用。</w:t>
      </w:r>
    </w:p>
    <w:p w14:paraId="337522E7" w14:textId="142A86FD" w:rsidR="005F1E3F" w:rsidRDefault="006C56E6">
      <w:pPr>
        <w:pStyle w:val="20"/>
        <w:spacing w:before="0" w:after="0" w:line="520" w:lineRule="exact"/>
        <w:ind w:left="0" w:firstLineChars="200" w:firstLine="480"/>
        <w:rPr>
          <w:rFonts w:ascii="Times New Roman"/>
          <w:szCs w:val="24"/>
        </w:rPr>
      </w:pPr>
      <w:r>
        <w:rPr>
          <w:rFonts w:ascii="Times New Roman"/>
          <w:szCs w:val="24"/>
        </w:rPr>
        <w:t>11.5</w:t>
      </w:r>
      <w:r>
        <w:rPr>
          <w:rFonts w:ascii="Times New Roman"/>
          <w:szCs w:val="24"/>
        </w:rPr>
        <w:t>不列入基金费用的项目：</w:t>
      </w:r>
    </w:p>
    <w:p w14:paraId="2FC8D01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基金管理人与基金托管人因未履行或未完全履行义务导致的费用支出或基金财产的损失，以及处理与基金运作无关的事项发生的费用等不列入基金费用。</w:t>
      </w:r>
      <w:r>
        <w:rPr>
          <w:rFonts w:hAnsi="宋体" w:hint="eastAsia"/>
          <w:szCs w:val="24"/>
        </w:rPr>
        <w:t>标的指数许可使用费、</w:t>
      </w:r>
      <w:r>
        <w:rPr>
          <w:rFonts w:ascii="Times New Roman"/>
          <w:szCs w:val="24"/>
        </w:rPr>
        <w:t>基金合同生效前所发生的信息披露费、律师费、验资费和会计师费以及其他费用不从基金财产中支付。其他根据相关法律法规及中国证监会的有关规定不得列入基金费用的项目也不列入基金费用。</w:t>
      </w:r>
    </w:p>
    <w:p w14:paraId="271A1A1D" w14:textId="3E8962EA" w:rsidR="005F1E3F" w:rsidRDefault="006C56E6">
      <w:pPr>
        <w:pStyle w:val="20"/>
        <w:spacing w:before="0" w:after="0" w:line="520" w:lineRule="exact"/>
        <w:ind w:left="0" w:firstLineChars="200" w:firstLine="480"/>
        <w:rPr>
          <w:rFonts w:ascii="Times New Roman"/>
          <w:szCs w:val="24"/>
        </w:rPr>
      </w:pPr>
      <w:r>
        <w:rPr>
          <w:rFonts w:ascii="Times New Roman"/>
          <w:szCs w:val="24"/>
        </w:rPr>
        <w:t>11.6</w:t>
      </w:r>
      <w:r>
        <w:rPr>
          <w:rFonts w:ascii="Times New Roman"/>
          <w:szCs w:val="24"/>
        </w:rPr>
        <w:t>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14:paraId="650DEFBA" w14:textId="77777777" w:rsidR="005F1E3F" w:rsidRDefault="006C56E6">
      <w:pPr>
        <w:pStyle w:val="20"/>
        <w:spacing w:before="0" w:after="0" w:line="520" w:lineRule="exact"/>
        <w:ind w:left="0" w:firstLineChars="200" w:firstLine="480"/>
        <w:rPr>
          <w:rFonts w:ascii="Times New Roman"/>
          <w:szCs w:val="24"/>
        </w:rPr>
      </w:pPr>
      <w:r w:rsidRPr="0047036C">
        <w:rPr>
          <w:rFonts w:ascii="Times New Roman"/>
          <w:szCs w:val="24"/>
        </w:rPr>
        <w:lastRenderedPageBreak/>
        <w:t xml:space="preserve">11.7 </w:t>
      </w:r>
      <w:r w:rsidRPr="0047036C">
        <w:rPr>
          <w:rFonts w:ascii="Times New Roman" w:hint="eastAsia"/>
          <w:szCs w:val="24"/>
        </w:rPr>
        <w:t>本基金实施</w:t>
      </w:r>
      <w:proofErr w:type="gramStart"/>
      <w:r w:rsidRPr="0047036C">
        <w:rPr>
          <w:rFonts w:ascii="Times New Roman" w:hint="eastAsia"/>
          <w:szCs w:val="24"/>
        </w:rPr>
        <w:t>侧袋机制</w:t>
      </w:r>
      <w:proofErr w:type="gramEnd"/>
      <w:r w:rsidRPr="0047036C">
        <w:rPr>
          <w:rFonts w:ascii="Times New Roman" w:hint="eastAsia"/>
          <w:szCs w:val="24"/>
        </w:rPr>
        <w:t>的，</w:t>
      </w:r>
      <w:proofErr w:type="gramStart"/>
      <w:r w:rsidRPr="0047036C">
        <w:rPr>
          <w:rFonts w:ascii="Times New Roman" w:hint="eastAsia"/>
          <w:szCs w:val="24"/>
        </w:rPr>
        <w:t>与侧袋账户</w:t>
      </w:r>
      <w:proofErr w:type="gramEnd"/>
      <w:r w:rsidRPr="0047036C">
        <w:rPr>
          <w:rFonts w:ascii="Times New Roman" w:hint="eastAsia"/>
          <w:szCs w:val="24"/>
        </w:rPr>
        <w:t>有关的费用可以</w:t>
      </w:r>
      <w:proofErr w:type="gramStart"/>
      <w:r w:rsidRPr="0047036C">
        <w:rPr>
          <w:rFonts w:ascii="Times New Roman" w:hint="eastAsia"/>
          <w:szCs w:val="24"/>
        </w:rPr>
        <w:t>从侧袋账户</w:t>
      </w:r>
      <w:proofErr w:type="gramEnd"/>
      <w:r w:rsidRPr="0047036C">
        <w:rPr>
          <w:rFonts w:ascii="Times New Roman" w:hint="eastAsia"/>
          <w:szCs w:val="24"/>
        </w:rPr>
        <w:t>中列支，但应</w:t>
      </w:r>
      <w:proofErr w:type="gramStart"/>
      <w:r w:rsidRPr="0047036C">
        <w:rPr>
          <w:rFonts w:ascii="Times New Roman" w:hint="eastAsia"/>
          <w:szCs w:val="24"/>
        </w:rPr>
        <w:t>待侧袋</w:t>
      </w:r>
      <w:proofErr w:type="gramEnd"/>
      <w:r w:rsidRPr="0047036C">
        <w:rPr>
          <w:rFonts w:ascii="Times New Roman" w:hint="eastAsia"/>
          <w:szCs w:val="24"/>
        </w:rPr>
        <w:t>账户资产变现后方可列支，有关费用可酌情收取或减免，但基金管理人不得</w:t>
      </w:r>
      <w:proofErr w:type="gramStart"/>
      <w:r w:rsidRPr="0047036C">
        <w:rPr>
          <w:rFonts w:ascii="Times New Roman" w:hint="eastAsia"/>
          <w:szCs w:val="24"/>
        </w:rPr>
        <w:t>就侧袋账户</w:t>
      </w:r>
      <w:proofErr w:type="gramEnd"/>
      <w:r w:rsidRPr="0047036C">
        <w:rPr>
          <w:rFonts w:ascii="Times New Roman" w:hint="eastAsia"/>
          <w:szCs w:val="24"/>
        </w:rPr>
        <w:t>资产收取管理费。</w:t>
      </w:r>
    </w:p>
    <w:p w14:paraId="554AF4B7" w14:textId="77777777" w:rsidR="005F1E3F" w:rsidRDefault="005F1E3F">
      <w:pPr>
        <w:pStyle w:val="20"/>
        <w:spacing w:before="0" w:after="0" w:line="520" w:lineRule="exact"/>
        <w:ind w:left="0" w:firstLineChars="200" w:firstLine="480"/>
        <w:rPr>
          <w:rFonts w:ascii="Times New Roman"/>
          <w:szCs w:val="24"/>
        </w:rPr>
      </w:pPr>
    </w:p>
    <w:p w14:paraId="5B6B7493" w14:textId="77777777" w:rsidR="005F1E3F" w:rsidRDefault="006C56E6">
      <w:pPr>
        <w:pStyle w:val="1"/>
        <w:spacing w:line="520" w:lineRule="exact"/>
        <w:ind w:firstLineChars="200" w:firstLine="482"/>
        <w:rPr>
          <w:rFonts w:ascii="Times New Roman" w:hAnsi="Times New Roman"/>
          <w:bCs/>
          <w:color w:val="auto"/>
          <w:szCs w:val="24"/>
        </w:rPr>
      </w:pPr>
      <w:bookmarkStart w:id="33" w:name="_Toc26170407"/>
      <w:bookmarkStart w:id="34" w:name="_Toc296551348"/>
      <w:r>
        <w:rPr>
          <w:rFonts w:ascii="Times New Roman" w:hAnsi="Times New Roman"/>
          <w:bCs/>
          <w:color w:val="auto"/>
          <w:szCs w:val="24"/>
        </w:rPr>
        <w:t>第十二条</w:t>
      </w:r>
      <w:r>
        <w:rPr>
          <w:rFonts w:ascii="Times New Roman" w:hAnsi="Times New Roman"/>
          <w:bCs/>
          <w:color w:val="auto"/>
          <w:szCs w:val="24"/>
        </w:rPr>
        <w:t xml:space="preserve"> </w:t>
      </w:r>
      <w:r>
        <w:rPr>
          <w:rFonts w:ascii="Times New Roman" w:hAnsi="Times New Roman"/>
          <w:bCs/>
          <w:color w:val="auto"/>
          <w:szCs w:val="24"/>
        </w:rPr>
        <w:t>基金份额持有人名册的保管</w:t>
      </w:r>
      <w:bookmarkEnd w:id="33"/>
      <w:bookmarkEnd w:id="34"/>
    </w:p>
    <w:p w14:paraId="4464046B"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12.1</w:t>
      </w:r>
      <w:r>
        <w:rPr>
          <w:rFonts w:ascii="Times New Roman"/>
          <w:szCs w:val="24"/>
        </w:rPr>
        <w:t>基金管理人和基金托管人须分别妥善保管的基金份额持有人名册，基金份额持有人名册的内容必须包括基金份额持有人的名称和持有的基金份额。</w:t>
      </w:r>
    </w:p>
    <w:p w14:paraId="69329789" w14:textId="37A47E07" w:rsidR="005F1E3F" w:rsidRDefault="006C56E6">
      <w:pPr>
        <w:pStyle w:val="20"/>
        <w:spacing w:before="0" w:after="0" w:line="520" w:lineRule="exact"/>
        <w:ind w:left="0" w:firstLineChars="200" w:firstLine="480"/>
        <w:rPr>
          <w:rFonts w:ascii="Times New Roman"/>
          <w:szCs w:val="24"/>
        </w:rPr>
      </w:pPr>
      <w:r>
        <w:rPr>
          <w:rFonts w:ascii="Times New Roman"/>
          <w:szCs w:val="24"/>
        </w:rPr>
        <w:t>12.2</w:t>
      </w:r>
      <w:r>
        <w:rPr>
          <w:rFonts w:ascii="Times New Roman"/>
          <w:szCs w:val="24"/>
        </w:rPr>
        <w:t>基金份额持有人名册由基金的基金登记机构根据基金管理人的指令编制和保管，基金管理人和基金托管人应按照目前相关规则分别保管基金份额持有人名册。保管方式可以采用电子或文档的形式。保管期限不少于法律法规</w:t>
      </w:r>
      <w:r>
        <w:rPr>
          <w:rFonts w:ascii="Times New Roman" w:hint="eastAsia"/>
          <w:szCs w:val="24"/>
        </w:rPr>
        <w:t>或监管规则</w:t>
      </w:r>
      <w:r>
        <w:rPr>
          <w:rFonts w:ascii="Times New Roman"/>
          <w:szCs w:val="24"/>
        </w:rPr>
        <w:t>规定的最低期限。</w:t>
      </w:r>
    </w:p>
    <w:p w14:paraId="4276E3C2"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12.3</w:t>
      </w:r>
      <w:r>
        <w:rPr>
          <w:rFonts w:ascii="Times New Roman"/>
          <w:szCs w:val="24"/>
        </w:rPr>
        <w:t>在基金托管人要求或编制中期报告和年报前，基金管理人应将有关资料送交基金托管人，不得无故拒绝或延误提供，并保证其真实性、准确性和完整性。基金份额持有人名册的内容必须包括基金份额持有人的名称和持有的基金份额。基金托管人可以采用电子或文档的形式妥善保管基金份额持有人名册，保存期限不少于法律法规</w:t>
      </w:r>
      <w:r>
        <w:rPr>
          <w:rFonts w:ascii="Times New Roman" w:hint="eastAsia"/>
          <w:szCs w:val="24"/>
        </w:rPr>
        <w:t>或监管规则</w:t>
      </w:r>
      <w:r>
        <w:rPr>
          <w:rFonts w:ascii="Times New Roman"/>
          <w:szCs w:val="24"/>
        </w:rPr>
        <w:t>规定的最低期限。基金托管人不得将所保管的基金份额持有人名册用于基金托管业务以外的其他用途，并应遵守保密义务。法律法规或监管规则另有规定的，从其规定。</w:t>
      </w:r>
    </w:p>
    <w:p w14:paraId="660C5394"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12.4</w:t>
      </w:r>
      <w:proofErr w:type="gramStart"/>
      <w:r>
        <w:rPr>
          <w:rFonts w:ascii="Times New Roman"/>
          <w:szCs w:val="24"/>
        </w:rPr>
        <w:t>若基金</w:t>
      </w:r>
      <w:proofErr w:type="gramEnd"/>
      <w:r>
        <w:rPr>
          <w:rFonts w:ascii="Times New Roman"/>
          <w:szCs w:val="24"/>
        </w:rPr>
        <w:t>管理人或基金托管人由于自身原因无法妥善保管基金份额持有人名册，应按有关法规规定各自承担相应的责任。</w:t>
      </w:r>
    </w:p>
    <w:p w14:paraId="01EF4743" w14:textId="77777777" w:rsidR="005F1E3F" w:rsidRDefault="005F1E3F">
      <w:pPr>
        <w:pStyle w:val="20"/>
        <w:spacing w:before="0" w:after="0" w:line="520" w:lineRule="exact"/>
        <w:ind w:left="0" w:firstLineChars="200" w:firstLine="480"/>
        <w:rPr>
          <w:rFonts w:ascii="Times New Roman"/>
          <w:szCs w:val="24"/>
        </w:rPr>
      </w:pPr>
    </w:p>
    <w:p w14:paraId="538D776E" w14:textId="77777777" w:rsidR="005F1E3F" w:rsidRDefault="006C56E6">
      <w:pPr>
        <w:pStyle w:val="1"/>
        <w:spacing w:line="520" w:lineRule="exact"/>
        <w:ind w:firstLineChars="200" w:firstLine="482"/>
        <w:rPr>
          <w:rFonts w:ascii="Times New Roman" w:hAnsi="Times New Roman"/>
          <w:bCs/>
          <w:color w:val="auto"/>
          <w:szCs w:val="24"/>
        </w:rPr>
      </w:pPr>
      <w:bookmarkStart w:id="35" w:name="_Toc296551349"/>
      <w:bookmarkStart w:id="36" w:name="_Toc26170408"/>
      <w:r>
        <w:rPr>
          <w:rFonts w:ascii="Times New Roman" w:hAnsi="Times New Roman"/>
          <w:bCs/>
          <w:color w:val="auto"/>
          <w:szCs w:val="24"/>
        </w:rPr>
        <w:t>第十三条</w:t>
      </w:r>
      <w:r>
        <w:rPr>
          <w:rFonts w:ascii="Times New Roman" w:hAnsi="Times New Roman"/>
          <w:bCs/>
          <w:color w:val="auto"/>
          <w:szCs w:val="24"/>
        </w:rPr>
        <w:t xml:space="preserve"> </w:t>
      </w:r>
      <w:r>
        <w:rPr>
          <w:rFonts w:ascii="Times New Roman" w:hAnsi="Times New Roman"/>
          <w:bCs/>
          <w:color w:val="auto"/>
          <w:szCs w:val="24"/>
        </w:rPr>
        <w:t>基金有关文件和档案的保存</w:t>
      </w:r>
      <w:bookmarkEnd w:id="35"/>
      <w:bookmarkEnd w:id="36"/>
    </w:p>
    <w:p w14:paraId="752BA99A"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13.1</w:t>
      </w:r>
      <w:r>
        <w:rPr>
          <w:rFonts w:ascii="Times New Roman"/>
          <w:szCs w:val="24"/>
        </w:rPr>
        <w:t>基金管理人、基金托管人按各自职责完整保存原始凭证、记账凭证、基金账册、交易记录和重要合同等，保存期限不少于法律法规</w:t>
      </w:r>
      <w:r>
        <w:rPr>
          <w:rFonts w:ascii="Times New Roman" w:hint="eastAsia"/>
          <w:szCs w:val="24"/>
        </w:rPr>
        <w:t>或监管规则</w:t>
      </w:r>
      <w:r>
        <w:rPr>
          <w:rFonts w:ascii="Times New Roman"/>
          <w:szCs w:val="24"/>
        </w:rPr>
        <w:t>规定的最低期限，对相关信息负有保密义务，但司法强制检查情形及法律法规规定的其他情形除外。其中，基金管理人应保存基金财产管理业务活动的记录、账册、报表和其他相关资料，基金托管人应保存基金托管业务活动的记录、账册、报表和其他相关资料。</w:t>
      </w:r>
    </w:p>
    <w:p w14:paraId="27166658"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13.2</w:t>
      </w:r>
      <w:r>
        <w:rPr>
          <w:rFonts w:ascii="Times New Roman"/>
          <w:szCs w:val="24"/>
        </w:rPr>
        <w:t>基金管理人签署重大合同文本后，应及时将合同文本正本送达基金托管人</w:t>
      </w:r>
      <w:r>
        <w:rPr>
          <w:rFonts w:ascii="Times New Roman"/>
          <w:szCs w:val="24"/>
        </w:rPr>
        <w:lastRenderedPageBreak/>
        <w:t>处。基金管理人应及时将与本基金账务处理、资金划拨等有关的合同、协议传真给基金托管人。</w:t>
      </w:r>
    </w:p>
    <w:p w14:paraId="2160F8F1"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13.3</w:t>
      </w:r>
      <w:r>
        <w:rPr>
          <w:rFonts w:ascii="Times New Roman"/>
          <w:szCs w:val="24"/>
        </w:rPr>
        <w:t>基金管理人或基金托管人变更后，未变更的一方有义务协助接任人接受基金的有关文件。</w:t>
      </w:r>
    </w:p>
    <w:p w14:paraId="203AE728" w14:textId="77777777" w:rsidR="005F1E3F" w:rsidRDefault="005F1E3F">
      <w:pPr>
        <w:pStyle w:val="20"/>
        <w:spacing w:before="0" w:after="0" w:line="520" w:lineRule="exact"/>
        <w:ind w:left="0" w:firstLineChars="200" w:firstLine="480"/>
        <w:rPr>
          <w:rFonts w:ascii="Times New Roman"/>
          <w:szCs w:val="24"/>
        </w:rPr>
      </w:pPr>
    </w:p>
    <w:p w14:paraId="0EC2A674" w14:textId="77777777" w:rsidR="005F1E3F" w:rsidRDefault="006C56E6">
      <w:pPr>
        <w:pStyle w:val="1"/>
        <w:spacing w:line="520" w:lineRule="exact"/>
        <w:ind w:firstLineChars="200" w:firstLine="482"/>
        <w:rPr>
          <w:rFonts w:ascii="Times New Roman" w:hAnsi="Times New Roman"/>
          <w:bCs/>
          <w:color w:val="auto"/>
          <w:szCs w:val="24"/>
        </w:rPr>
      </w:pPr>
      <w:bookmarkStart w:id="37" w:name="_Toc26170409"/>
      <w:bookmarkStart w:id="38" w:name="_Toc296551350"/>
      <w:r>
        <w:rPr>
          <w:rFonts w:ascii="Times New Roman" w:hAnsi="Times New Roman"/>
          <w:bCs/>
          <w:color w:val="auto"/>
          <w:szCs w:val="24"/>
        </w:rPr>
        <w:t>第十四条</w:t>
      </w:r>
      <w:r>
        <w:rPr>
          <w:rFonts w:ascii="Times New Roman" w:hAnsi="Times New Roman"/>
          <w:bCs/>
          <w:color w:val="auto"/>
          <w:szCs w:val="24"/>
        </w:rPr>
        <w:t xml:space="preserve"> </w:t>
      </w:r>
      <w:r>
        <w:rPr>
          <w:rFonts w:ascii="Times New Roman" w:hAnsi="Times New Roman"/>
          <w:bCs/>
          <w:color w:val="auto"/>
          <w:szCs w:val="24"/>
        </w:rPr>
        <w:t>基金管理人和基金托管人的更换</w:t>
      </w:r>
      <w:bookmarkEnd w:id="37"/>
      <w:bookmarkEnd w:id="38"/>
    </w:p>
    <w:p w14:paraId="5C78571A"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14.1</w:t>
      </w:r>
      <w:r>
        <w:rPr>
          <w:rFonts w:ascii="Times New Roman"/>
          <w:szCs w:val="24"/>
        </w:rPr>
        <w:t>基金管理人的更换</w:t>
      </w:r>
    </w:p>
    <w:p w14:paraId="0FB26BA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14.1.1</w:t>
      </w:r>
      <w:r>
        <w:rPr>
          <w:rFonts w:ascii="Times New Roman"/>
          <w:szCs w:val="24"/>
        </w:rPr>
        <w:t>基金管理人的更换条件</w:t>
      </w:r>
    </w:p>
    <w:p w14:paraId="4AD95630"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有下列情形之一的，基金管理人职责终止：</w:t>
      </w:r>
    </w:p>
    <w:p w14:paraId="0ECC4BD4"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1</w:t>
      </w:r>
      <w:r>
        <w:rPr>
          <w:rFonts w:ascii="Times New Roman"/>
          <w:szCs w:val="24"/>
        </w:rPr>
        <w:t>）基金管理人被依法取消基金管理资格；</w:t>
      </w:r>
    </w:p>
    <w:p w14:paraId="4E85B611"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2</w:t>
      </w:r>
      <w:r>
        <w:rPr>
          <w:rFonts w:ascii="Times New Roman"/>
          <w:szCs w:val="24"/>
        </w:rPr>
        <w:t>）基金管理人依法解散、被依法撤销或者被依法宣告破产；</w:t>
      </w:r>
    </w:p>
    <w:p w14:paraId="7AA690E6"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3</w:t>
      </w:r>
      <w:r>
        <w:rPr>
          <w:rFonts w:ascii="Times New Roman"/>
          <w:szCs w:val="24"/>
        </w:rPr>
        <w:t>）基金管理人被基金份额持有人大会解任；</w:t>
      </w:r>
    </w:p>
    <w:p w14:paraId="6311C8E1"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4</w:t>
      </w:r>
      <w:r>
        <w:rPr>
          <w:rFonts w:ascii="Times New Roman"/>
          <w:szCs w:val="24"/>
        </w:rPr>
        <w:t>）法律法规</w:t>
      </w:r>
      <w:r>
        <w:rPr>
          <w:rFonts w:ascii="Times New Roman"/>
          <w:bCs/>
        </w:rPr>
        <w:t>及中国证监会规定的</w:t>
      </w:r>
      <w:r>
        <w:rPr>
          <w:rFonts w:ascii="Times New Roman"/>
          <w:szCs w:val="24"/>
        </w:rPr>
        <w:t>和基金合同规定的其他情形。</w:t>
      </w:r>
    </w:p>
    <w:p w14:paraId="3C544D5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14.1.2</w:t>
      </w:r>
      <w:r>
        <w:rPr>
          <w:rFonts w:ascii="Times New Roman"/>
          <w:szCs w:val="24"/>
        </w:rPr>
        <w:t>基金管理人的更换程序</w:t>
      </w:r>
    </w:p>
    <w:p w14:paraId="0928924D"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更换基金管理人必须依照如下程序进行：</w:t>
      </w:r>
    </w:p>
    <w:p w14:paraId="1C7CB106"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1</w:t>
      </w:r>
      <w:r>
        <w:rPr>
          <w:rFonts w:ascii="Times New Roman"/>
          <w:szCs w:val="24"/>
        </w:rPr>
        <w:t>）提名：临时基金管理人应向基金托管人、单独或合计持有</w:t>
      </w:r>
      <w:r>
        <w:rPr>
          <w:rFonts w:ascii="Times New Roman"/>
          <w:szCs w:val="24"/>
        </w:rPr>
        <w:t>10%</w:t>
      </w:r>
      <w:r>
        <w:rPr>
          <w:rFonts w:ascii="Times New Roman"/>
          <w:szCs w:val="24"/>
        </w:rPr>
        <w:t>以上（含</w:t>
      </w:r>
      <w:r>
        <w:rPr>
          <w:rFonts w:ascii="Times New Roman"/>
          <w:szCs w:val="24"/>
        </w:rPr>
        <w:t>10%</w:t>
      </w:r>
      <w:r>
        <w:rPr>
          <w:rFonts w:ascii="Times New Roman"/>
          <w:szCs w:val="24"/>
        </w:rPr>
        <w:t>）基金份额的基金份额持有人征集</w:t>
      </w:r>
      <w:proofErr w:type="gramStart"/>
      <w:r>
        <w:rPr>
          <w:rFonts w:ascii="Times New Roman"/>
          <w:szCs w:val="24"/>
        </w:rPr>
        <w:t>新任基金</w:t>
      </w:r>
      <w:proofErr w:type="gramEnd"/>
      <w:r>
        <w:rPr>
          <w:rFonts w:ascii="Times New Roman"/>
          <w:szCs w:val="24"/>
        </w:rPr>
        <w:t>管理人提名人选。</w:t>
      </w:r>
      <w:proofErr w:type="gramStart"/>
      <w:r>
        <w:rPr>
          <w:rFonts w:ascii="Times New Roman"/>
          <w:szCs w:val="24"/>
        </w:rPr>
        <w:t>新任基金</w:t>
      </w:r>
      <w:proofErr w:type="gramEnd"/>
      <w:r>
        <w:rPr>
          <w:rFonts w:ascii="Times New Roman"/>
          <w:szCs w:val="24"/>
        </w:rPr>
        <w:t>管理人提名人选由临时基金管理人、基金托管人、单独或合计持有</w:t>
      </w:r>
      <w:r>
        <w:rPr>
          <w:rFonts w:ascii="Times New Roman"/>
          <w:szCs w:val="24"/>
        </w:rPr>
        <w:t>10%</w:t>
      </w:r>
      <w:r>
        <w:rPr>
          <w:rFonts w:ascii="Times New Roman"/>
          <w:szCs w:val="24"/>
        </w:rPr>
        <w:t>以上（含</w:t>
      </w:r>
      <w:r>
        <w:rPr>
          <w:rFonts w:ascii="Times New Roman"/>
          <w:szCs w:val="24"/>
        </w:rPr>
        <w:t>10%</w:t>
      </w:r>
      <w:r>
        <w:rPr>
          <w:rFonts w:ascii="Times New Roman"/>
          <w:szCs w:val="24"/>
        </w:rPr>
        <w:t>）基金份额的基金份额持有人提名的人选构成；</w:t>
      </w:r>
      <w:r>
        <w:rPr>
          <w:rFonts w:ascii="Times New Roman"/>
          <w:szCs w:val="24"/>
        </w:rPr>
        <w:t xml:space="preserve"> </w:t>
      </w:r>
    </w:p>
    <w:p w14:paraId="769FF5F0"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2</w:t>
      </w:r>
      <w:r>
        <w:rPr>
          <w:rFonts w:ascii="Times New Roman"/>
          <w:szCs w:val="24"/>
        </w:rPr>
        <w:t>）决议：基金份额持有人大会在基金管理人职责终止后</w:t>
      </w:r>
      <w:r>
        <w:rPr>
          <w:rFonts w:ascii="Times New Roman"/>
          <w:szCs w:val="24"/>
        </w:rPr>
        <w:t>6</w:t>
      </w:r>
      <w:r>
        <w:rPr>
          <w:rFonts w:ascii="Times New Roman"/>
          <w:szCs w:val="24"/>
        </w:rPr>
        <w:t>个月内对被提名的基金管理人形成决议，该决议需经参加大会的基金份额持有人所持表决权的</w:t>
      </w:r>
      <w:r>
        <w:rPr>
          <w:rFonts w:ascii="Times New Roman"/>
          <w:szCs w:val="24"/>
        </w:rPr>
        <w:t xml:space="preserve">           </w:t>
      </w:r>
      <w:r>
        <w:rPr>
          <w:rFonts w:ascii="Times New Roman"/>
          <w:szCs w:val="24"/>
        </w:rPr>
        <w:t>三分之二以上（含三分之二）表决通过，决议自表决通过之日起生效</w:t>
      </w:r>
      <w:r>
        <w:rPr>
          <w:rFonts w:ascii="Times New Roman" w:hint="eastAsia"/>
          <w:szCs w:val="24"/>
        </w:rPr>
        <w:t>，</w:t>
      </w:r>
      <w:proofErr w:type="gramStart"/>
      <w:r>
        <w:rPr>
          <w:rFonts w:ascii="Times New Roman" w:hint="eastAsia"/>
          <w:szCs w:val="24"/>
        </w:rPr>
        <w:t>新任基金</w:t>
      </w:r>
      <w:proofErr w:type="gramEnd"/>
      <w:r>
        <w:rPr>
          <w:rFonts w:ascii="Times New Roman" w:hint="eastAsia"/>
          <w:szCs w:val="24"/>
        </w:rPr>
        <w:t>管理人应当符合法律法规及中国证监会规定的资格条件</w:t>
      </w:r>
      <w:r>
        <w:rPr>
          <w:rFonts w:ascii="Times New Roman"/>
          <w:szCs w:val="24"/>
        </w:rPr>
        <w:t>；</w:t>
      </w:r>
    </w:p>
    <w:p w14:paraId="71AAF251"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3</w:t>
      </w:r>
      <w:r>
        <w:rPr>
          <w:rFonts w:ascii="Times New Roman"/>
          <w:szCs w:val="24"/>
        </w:rPr>
        <w:t>）临时基金管理人：</w:t>
      </w:r>
      <w:proofErr w:type="gramStart"/>
      <w:r>
        <w:rPr>
          <w:rFonts w:ascii="Times New Roman"/>
          <w:szCs w:val="24"/>
        </w:rPr>
        <w:t>新任基金</w:t>
      </w:r>
      <w:proofErr w:type="gramEnd"/>
      <w:r>
        <w:rPr>
          <w:rFonts w:ascii="Times New Roman"/>
          <w:szCs w:val="24"/>
        </w:rPr>
        <w:t>管理人产生之前，临时基金管理人由基金管理人、基金托管人、单独或合计持有</w:t>
      </w:r>
      <w:r>
        <w:rPr>
          <w:rFonts w:ascii="Times New Roman"/>
          <w:szCs w:val="24"/>
        </w:rPr>
        <w:t>10%</w:t>
      </w:r>
      <w:r>
        <w:rPr>
          <w:rFonts w:ascii="Times New Roman"/>
          <w:szCs w:val="24"/>
        </w:rPr>
        <w:t>以上（含</w:t>
      </w:r>
      <w:r>
        <w:rPr>
          <w:rFonts w:ascii="Times New Roman"/>
          <w:szCs w:val="24"/>
        </w:rPr>
        <w:t>10%</w:t>
      </w:r>
      <w:r>
        <w:rPr>
          <w:rFonts w:ascii="Times New Roman"/>
          <w:szCs w:val="24"/>
        </w:rPr>
        <w:t>）基金份额的基金份额持有人提名，中国证监会根据《基金法》的规定，从提名人选中择优指定临时基金管理人。基金管理人、基金托管人、单独或合计持有</w:t>
      </w:r>
      <w:r>
        <w:rPr>
          <w:rFonts w:ascii="Times New Roman"/>
          <w:szCs w:val="24"/>
        </w:rPr>
        <w:t>10%</w:t>
      </w:r>
      <w:r>
        <w:rPr>
          <w:rFonts w:ascii="Times New Roman"/>
          <w:szCs w:val="24"/>
        </w:rPr>
        <w:t>以上（含</w:t>
      </w:r>
      <w:r>
        <w:rPr>
          <w:rFonts w:ascii="Times New Roman"/>
          <w:szCs w:val="24"/>
        </w:rPr>
        <w:t>10%</w:t>
      </w:r>
      <w:r>
        <w:rPr>
          <w:rFonts w:ascii="Times New Roman"/>
          <w:szCs w:val="24"/>
        </w:rPr>
        <w:t>）基金份额的基金份额持有人均不提名的，由中国证监会指定临时基金管理人；</w:t>
      </w:r>
    </w:p>
    <w:p w14:paraId="461F10A0"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lastRenderedPageBreak/>
        <w:t>（</w:t>
      </w:r>
      <w:r>
        <w:rPr>
          <w:rFonts w:ascii="Times New Roman"/>
          <w:szCs w:val="24"/>
        </w:rPr>
        <w:t>4</w:t>
      </w:r>
      <w:r>
        <w:rPr>
          <w:rFonts w:ascii="Times New Roman"/>
          <w:szCs w:val="24"/>
        </w:rPr>
        <w:t>）备案：基金份额持有人大会更换基金管理人的决议须报中国证监会备案；</w:t>
      </w:r>
    </w:p>
    <w:p w14:paraId="30CDA610"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5</w:t>
      </w:r>
      <w:r>
        <w:rPr>
          <w:rFonts w:ascii="Times New Roman"/>
          <w:szCs w:val="24"/>
        </w:rPr>
        <w:t>）公告：基金管理人更换后，由基金托管人在更换基金管理人的基金份额持有人大会决议生效后</w:t>
      </w:r>
      <w:r>
        <w:rPr>
          <w:rFonts w:ascii="Times New Roman"/>
          <w:szCs w:val="24"/>
        </w:rPr>
        <w:t>2</w:t>
      </w:r>
      <w:r>
        <w:rPr>
          <w:rFonts w:ascii="Times New Roman"/>
          <w:szCs w:val="24"/>
        </w:rPr>
        <w:t>日内在规定媒介公告；</w:t>
      </w:r>
    </w:p>
    <w:p w14:paraId="5C6888C8"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6</w:t>
      </w:r>
      <w:r>
        <w:rPr>
          <w:rFonts w:ascii="Times New Roman"/>
          <w:szCs w:val="24"/>
        </w:rPr>
        <w:t>）交接与责任划分：基金管理人职责终止的，基金管理人应妥善保管基金管理业务资料，及时向临时基金管理人或</w:t>
      </w:r>
      <w:proofErr w:type="gramStart"/>
      <w:r>
        <w:rPr>
          <w:rFonts w:ascii="Times New Roman"/>
          <w:szCs w:val="24"/>
        </w:rPr>
        <w:t>新任基金</w:t>
      </w:r>
      <w:proofErr w:type="gramEnd"/>
      <w:r>
        <w:rPr>
          <w:rFonts w:ascii="Times New Roman"/>
          <w:szCs w:val="24"/>
        </w:rPr>
        <w:t>管理人办理基金管理业务的移交手续，临时基金管理人或</w:t>
      </w:r>
      <w:proofErr w:type="gramStart"/>
      <w:r>
        <w:rPr>
          <w:rFonts w:ascii="Times New Roman"/>
          <w:szCs w:val="24"/>
        </w:rPr>
        <w:t>新任基金</w:t>
      </w:r>
      <w:proofErr w:type="gramEnd"/>
      <w:r>
        <w:rPr>
          <w:rFonts w:ascii="Times New Roman"/>
          <w:szCs w:val="24"/>
        </w:rPr>
        <w:t>管理人应及时接收。临时基金管理人或</w:t>
      </w:r>
      <w:proofErr w:type="gramStart"/>
      <w:r>
        <w:rPr>
          <w:rFonts w:ascii="Times New Roman"/>
          <w:szCs w:val="24"/>
        </w:rPr>
        <w:t>新任基金</w:t>
      </w:r>
      <w:proofErr w:type="gramEnd"/>
      <w:r>
        <w:rPr>
          <w:rFonts w:ascii="Times New Roman"/>
          <w:szCs w:val="24"/>
        </w:rPr>
        <w:t>管理人应与基金托管人核对基金资产总值和净值。基金管理人、临时基金管理人、</w:t>
      </w:r>
      <w:proofErr w:type="gramStart"/>
      <w:r>
        <w:rPr>
          <w:rFonts w:ascii="Times New Roman"/>
          <w:szCs w:val="24"/>
        </w:rPr>
        <w:t>新任基金</w:t>
      </w:r>
      <w:proofErr w:type="gramEnd"/>
      <w:r>
        <w:rPr>
          <w:rFonts w:ascii="Times New Roman"/>
          <w:szCs w:val="24"/>
        </w:rPr>
        <w:t>管理人应对各自履职行为依法承担责任；</w:t>
      </w:r>
    </w:p>
    <w:p w14:paraId="315439BF" w14:textId="23F46C34"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7</w:t>
      </w:r>
      <w:r>
        <w:rPr>
          <w:rFonts w:ascii="Times New Roman"/>
          <w:szCs w:val="24"/>
        </w:rPr>
        <w:t>）审计：基金管理人职责终止的，应当聘请</w:t>
      </w:r>
      <w:r>
        <w:rPr>
          <w:rFonts w:ascii="Times New Roman" w:hint="eastAsia"/>
          <w:szCs w:val="24"/>
        </w:rPr>
        <w:t>符合《</w:t>
      </w:r>
      <w:r w:rsidR="00ED4963">
        <w:rPr>
          <w:rFonts w:ascii="Times New Roman" w:hint="eastAsia"/>
          <w:szCs w:val="24"/>
        </w:rPr>
        <w:t>证券法</w:t>
      </w:r>
      <w:r>
        <w:rPr>
          <w:rFonts w:ascii="Times New Roman" w:hint="eastAsia"/>
          <w:szCs w:val="24"/>
        </w:rPr>
        <w:t>》规定的</w:t>
      </w:r>
      <w:r>
        <w:rPr>
          <w:rFonts w:ascii="Times New Roman"/>
          <w:szCs w:val="24"/>
        </w:rPr>
        <w:t>会计师事务所对基金财产进行审计，并将审计结果予以公告，同时报中国证监会备案；审计费用从基金财产中列支；</w:t>
      </w:r>
    </w:p>
    <w:p w14:paraId="07382D1B"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8</w:t>
      </w:r>
      <w:r>
        <w:rPr>
          <w:rFonts w:ascii="Times New Roman"/>
          <w:szCs w:val="24"/>
        </w:rPr>
        <w:t>）基金名称变更：基金管理人更换后，如果原任或</w:t>
      </w:r>
      <w:proofErr w:type="gramStart"/>
      <w:r>
        <w:rPr>
          <w:rFonts w:ascii="Times New Roman"/>
          <w:szCs w:val="24"/>
        </w:rPr>
        <w:t>新任基金</w:t>
      </w:r>
      <w:proofErr w:type="gramEnd"/>
      <w:r>
        <w:rPr>
          <w:rFonts w:ascii="Times New Roman"/>
          <w:szCs w:val="24"/>
        </w:rPr>
        <w:t>管理人要求，应按其要求替换或删除基金名称中与</w:t>
      </w:r>
      <w:proofErr w:type="gramStart"/>
      <w:r>
        <w:rPr>
          <w:rFonts w:ascii="Times New Roman"/>
          <w:szCs w:val="24"/>
        </w:rPr>
        <w:t>原基金</w:t>
      </w:r>
      <w:proofErr w:type="gramEnd"/>
      <w:r>
        <w:rPr>
          <w:rFonts w:ascii="Times New Roman"/>
          <w:szCs w:val="24"/>
        </w:rPr>
        <w:t>管理人有关的名称字样。</w:t>
      </w:r>
    </w:p>
    <w:p w14:paraId="081C5BDE"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14.2</w:t>
      </w:r>
      <w:r>
        <w:rPr>
          <w:rFonts w:ascii="Times New Roman"/>
          <w:szCs w:val="24"/>
        </w:rPr>
        <w:t>基金托管人的更换</w:t>
      </w:r>
    </w:p>
    <w:p w14:paraId="42FD1789"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14.2.1</w:t>
      </w:r>
      <w:r>
        <w:rPr>
          <w:rFonts w:ascii="Times New Roman"/>
          <w:szCs w:val="24"/>
        </w:rPr>
        <w:t>基金托管人的更换条件：</w:t>
      </w:r>
    </w:p>
    <w:p w14:paraId="027CABFB"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有下列情形之一的，基金托管人职责终止：</w:t>
      </w:r>
    </w:p>
    <w:p w14:paraId="03DE5B0F"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1</w:t>
      </w:r>
      <w:r>
        <w:rPr>
          <w:rFonts w:ascii="Times New Roman"/>
          <w:szCs w:val="24"/>
        </w:rPr>
        <w:t>）基金托管人被依法取消基金托管资格；</w:t>
      </w:r>
    </w:p>
    <w:p w14:paraId="0457FBA3"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2</w:t>
      </w:r>
      <w:r>
        <w:rPr>
          <w:rFonts w:ascii="Times New Roman"/>
          <w:szCs w:val="24"/>
        </w:rPr>
        <w:t>）基金托管人依法解散、被依法撤销或者被依法宣布破产；</w:t>
      </w:r>
    </w:p>
    <w:p w14:paraId="3E5D54A0"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3</w:t>
      </w:r>
      <w:r>
        <w:rPr>
          <w:rFonts w:ascii="Times New Roman"/>
          <w:szCs w:val="24"/>
        </w:rPr>
        <w:t>）基金托管人被基金份额持有人大会解任；</w:t>
      </w:r>
    </w:p>
    <w:p w14:paraId="1D84667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4</w:t>
      </w:r>
      <w:r>
        <w:rPr>
          <w:rFonts w:ascii="Times New Roman"/>
          <w:szCs w:val="24"/>
        </w:rPr>
        <w:t>）法律法规</w:t>
      </w:r>
      <w:r>
        <w:rPr>
          <w:rFonts w:ascii="Times New Roman"/>
          <w:bCs/>
        </w:rPr>
        <w:t>及中国证监会规定的</w:t>
      </w:r>
      <w:r>
        <w:rPr>
          <w:rFonts w:ascii="Times New Roman"/>
          <w:szCs w:val="24"/>
        </w:rPr>
        <w:t>和基金合同规定的其他情形。</w:t>
      </w:r>
    </w:p>
    <w:p w14:paraId="7B5B4B66"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14.2.2</w:t>
      </w:r>
      <w:r>
        <w:rPr>
          <w:rFonts w:ascii="Times New Roman"/>
          <w:szCs w:val="24"/>
        </w:rPr>
        <w:t>基金托管人的更换程序</w:t>
      </w:r>
    </w:p>
    <w:p w14:paraId="7868916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1</w:t>
      </w:r>
      <w:r>
        <w:rPr>
          <w:rFonts w:ascii="Times New Roman"/>
          <w:szCs w:val="24"/>
        </w:rPr>
        <w:t>）提名：</w:t>
      </w:r>
      <w:proofErr w:type="gramStart"/>
      <w:r>
        <w:rPr>
          <w:rFonts w:ascii="Times New Roman"/>
          <w:szCs w:val="24"/>
        </w:rPr>
        <w:t>新任基金</w:t>
      </w:r>
      <w:proofErr w:type="gramEnd"/>
      <w:r>
        <w:rPr>
          <w:rFonts w:ascii="Times New Roman"/>
          <w:szCs w:val="24"/>
        </w:rPr>
        <w:t>托管人由基金管理人或由单独或合计持有</w:t>
      </w:r>
      <w:r>
        <w:rPr>
          <w:rFonts w:ascii="Times New Roman"/>
          <w:szCs w:val="24"/>
        </w:rPr>
        <w:t>10%</w:t>
      </w:r>
      <w:r>
        <w:rPr>
          <w:rFonts w:ascii="Times New Roman"/>
          <w:szCs w:val="24"/>
        </w:rPr>
        <w:t>以上（含</w:t>
      </w:r>
      <w:r>
        <w:rPr>
          <w:rFonts w:ascii="Times New Roman"/>
          <w:szCs w:val="24"/>
        </w:rPr>
        <w:t>10%</w:t>
      </w:r>
      <w:r>
        <w:rPr>
          <w:rFonts w:ascii="Times New Roman"/>
          <w:szCs w:val="24"/>
        </w:rPr>
        <w:t>）基金份额的基金份额持有人提名；</w:t>
      </w:r>
    </w:p>
    <w:p w14:paraId="5E9ECDF2" w14:textId="72E7D962"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2</w:t>
      </w:r>
      <w:r>
        <w:rPr>
          <w:rFonts w:ascii="Times New Roman"/>
          <w:szCs w:val="24"/>
        </w:rPr>
        <w:t>）决议：基金份额持有人大会在基金托管人职责终止后</w:t>
      </w:r>
      <w:r>
        <w:rPr>
          <w:rFonts w:ascii="Times New Roman"/>
          <w:szCs w:val="24"/>
        </w:rPr>
        <w:t>6</w:t>
      </w:r>
      <w:r>
        <w:rPr>
          <w:rFonts w:ascii="Times New Roman"/>
          <w:szCs w:val="24"/>
        </w:rPr>
        <w:t>个月内对被提名的基金托管人形成决议，该决议需经参加大会的基金份额持有人所持表决权的三分之二以上（含三分之二）表决通过，决议自表决通过之日起生效</w:t>
      </w:r>
      <w:r>
        <w:rPr>
          <w:rFonts w:ascii="Times New Roman" w:hint="eastAsia"/>
          <w:szCs w:val="24"/>
        </w:rPr>
        <w:t>，</w:t>
      </w:r>
      <w:proofErr w:type="gramStart"/>
      <w:r>
        <w:rPr>
          <w:rFonts w:ascii="Times New Roman" w:hint="eastAsia"/>
          <w:szCs w:val="24"/>
        </w:rPr>
        <w:t>新任基金</w:t>
      </w:r>
      <w:proofErr w:type="gramEnd"/>
      <w:r>
        <w:rPr>
          <w:rFonts w:ascii="Times New Roman" w:hint="eastAsia"/>
          <w:szCs w:val="24"/>
        </w:rPr>
        <w:t>托管人应当符合法律法规及中国证监会规定的资格条件</w:t>
      </w:r>
      <w:r>
        <w:rPr>
          <w:rFonts w:ascii="Times New Roman"/>
          <w:szCs w:val="24"/>
        </w:rPr>
        <w:t>；</w:t>
      </w:r>
    </w:p>
    <w:p w14:paraId="0D4F994E"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3</w:t>
      </w:r>
      <w:r>
        <w:rPr>
          <w:rFonts w:ascii="Times New Roman"/>
          <w:szCs w:val="24"/>
        </w:rPr>
        <w:t>）临时基金托管人：</w:t>
      </w:r>
      <w:proofErr w:type="gramStart"/>
      <w:r>
        <w:rPr>
          <w:rFonts w:ascii="Times New Roman"/>
          <w:szCs w:val="24"/>
        </w:rPr>
        <w:t>新任基金</w:t>
      </w:r>
      <w:proofErr w:type="gramEnd"/>
      <w:r>
        <w:rPr>
          <w:rFonts w:ascii="Times New Roman"/>
          <w:szCs w:val="24"/>
        </w:rPr>
        <w:t>托管人产生之前，由中国证监会指定临时基</w:t>
      </w:r>
      <w:r>
        <w:rPr>
          <w:rFonts w:ascii="Times New Roman"/>
          <w:szCs w:val="24"/>
        </w:rPr>
        <w:lastRenderedPageBreak/>
        <w:t>金托管人；</w:t>
      </w:r>
    </w:p>
    <w:p w14:paraId="41B8F763"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4</w:t>
      </w:r>
      <w:r>
        <w:rPr>
          <w:rFonts w:ascii="Times New Roman"/>
          <w:szCs w:val="24"/>
        </w:rPr>
        <w:t>）备案：基金份额持有人大会更换基金托管人的决议须报中国证监会备案；</w:t>
      </w:r>
    </w:p>
    <w:p w14:paraId="6FF777B0"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5</w:t>
      </w:r>
      <w:r>
        <w:rPr>
          <w:rFonts w:ascii="Times New Roman"/>
          <w:szCs w:val="24"/>
        </w:rPr>
        <w:t>）公告：基金托管人更换后，由基金管理人在更换基金托管人的基金份额持有人大会决议生效后</w:t>
      </w:r>
      <w:r>
        <w:rPr>
          <w:rFonts w:ascii="Times New Roman"/>
          <w:szCs w:val="24"/>
        </w:rPr>
        <w:t>2</w:t>
      </w:r>
      <w:r>
        <w:rPr>
          <w:rFonts w:ascii="Times New Roman"/>
          <w:szCs w:val="24"/>
        </w:rPr>
        <w:t>日内在规定媒介公告；</w:t>
      </w:r>
    </w:p>
    <w:p w14:paraId="03B79C4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6</w:t>
      </w:r>
      <w:r>
        <w:rPr>
          <w:rFonts w:ascii="Times New Roman"/>
          <w:szCs w:val="24"/>
        </w:rPr>
        <w:t>）交接：基金托管人职责终止的，应当妥善保管基金财产和基金托管业务资料，及时办理基金财产和基金托管业务的移交手续，</w:t>
      </w:r>
      <w:proofErr w:type="gramStart"/>
      <w:r>
        <w:rPr>
          <w:rFonts w:ascii="Times New Roman"/>
          <w:szCs w:val="24"/>
        </w:rPr>
        <w:t>新任基金</w:t>
      </w:r>
      <w:proofErr w:type="gramEnd"/>
      <w:r>
        <w:rPr>
          <w:rFonts w:ascii="Times New Roman"/>
          <w:szCs w:val="24"/>
        </w:rPr>
        <w:t>托管人或者临时基金托管人应当及时接收。</w:t>
      </w:r>
      <w:proofErr w:type="gramStart"/>
      <w:r>
        <w:rPr>
          <w:rFonts w:ascii="Times New Roman"/>
          <w:szCs w:val="24"/>
        </w:rPr>
        <w:t>新任基金</w:t>
      </w:r>
      <w:proofErr w:type="gramEnd"/>
      <w:r>
        <w:rPr>
          <w:rFonts w:ascii="Times New Roman"/>
          <w:szCs w:val="24"/>
        </w:rPr>
        <w:t>托管人或者临时基金托管人与基金管理人核对基金资产总值和净值；</w:t>
      </w:r>
      <w:r>
        <w:rPr>
          <w:rFonts w:ascii="Times New Roman"/>
          <w:szCs w:val="24"/>
        </w:rPr>
        <w:t xml:space="preserve"> </w:t>
      </w:r>
    </w:p>
    <w:p w14:paraId="35F2A3F6" w14:textId="5A5E8569"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7</w:t>
      </w:r>
      <w:r>
        <w:rPr>
          <w:rFonts w:ascii="Times New Roman"/>
          <w:szCs w:val="24"/>
        </w:rPr>
        <w:t>）审计：基金托管人职责终止的，应当聘请</w:t>
      </w:r>
      <w:r>
        <w:rPr>
          <w:rFonts w:ascii="Times New Roman" w:hint="eastAsia"/>
          <w:szCs w:val="24"/>
        </w:rPr>
        <w:t>符合《证券法》规定的</w:t>
      </w:r>
      <w:r>
        <w:rPr>
          <w:rFonts w:ascii="Times New Roman"/>
          <w:szCs w:val="24"/>
        </w:rPr>
        <w:t>会计师事务所对基金财产进行审计，并将审计结果予以公告，同时报中国证监会备案。审计费用从基金财产中列支。</w:t>
      </w:r>
    </w:p>
    <w:p w14:paraId="57093BFB"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14.3</w:t>
      </w:r>
      <w:r>
        <w:rPr>
          <w:rFonts w:ascii="Times New Roman"/>
          <w:szCs w:val="24"/>
        </w:rPr>
        <w:t>基金管理人与基金托管人同时更换</w:t>
      </w:r>
    </w:p>
    <w:p w14:paraId="184EFFA7"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14.3.1</w:t>
      </w:r>
      <w:r>
        <w:rPr>
          <w:rFonts w:ascii="Times New Roman"/>
          <w:szCs w:val="24"/>
        </w:rPr>
        <w:t>提名：如果基金管理人和基金托管人同时更换，由单独或合计持有基金总份额</w:t>
      </w:r>
      <w:r>
        <w:rPr>
          <w:rFonts w:ascii="Times New Roman"/>
          <w:szCs w:val="24"/>
        </w:rPr>
        <w:t>10%</w:t>
      </w:r>
      <w:r>
        <w:rPr>
          <w:rFonts w:ascii="Times New Roman"/>
          <w:szCs w:val="24"/>
        </w:rPr>
        <w:t>以上</w:t>
      </w:r>
      <w:r>
        <w:rPr>
          <w:rFonts w:ascii="Times New Roman"/>
          <w:bCs/>
        </w:rPr>
        <w:t>（含</w:t>
      </w:r>
      <w:r>
        <w:rPr>
          <w:rFonts w:ascii="Times New Roman"/>
          <w:bCs/>
        </w:rPr>
        <w:t>10%</w:t>
      </w:r>
      <w:r>
        <w:rPr>
          <w:rFonts w:ascii="Times New Roman"/>
          <w:bCs/>
        </w:rPr>
        <w:t>）</w:t>
      </w:r>
      <w:r>
        <w:rPr>
          <w:rFonts w:ascii="Times New Roman"/>
          <w:szCs w:val="24"/>
        </w:rPr>
        <w:t>的基金份额持有人提名新的基金管理人和基金托管人。</w:t>
      </w:r>
    </w:p>
    <w:p w14:paraId="29B259A0"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14.3.2</w:t>
      </w:r>
      <w:r>
        <w:rPr>
          <w:rFonts w:ascii="Times New Roman"/>
          <w:szCs w:val="24"/>
        </w:rPr>
        <w:t>基金管理人和基金托管人的更换分别按上述程序进行。</w:t>
      </w:r>
    </w:p>
    <w:p w14:paraId="3A250C31"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14.3.3</w:t>
      </w:r>
      <w:r>
        <w:rPr>
          <w:rFonts w:ascii="Times New Roman"/>
          <w:szCs w:val="24"/>
        </w:rPr>
        <w:t>公告：</w:t>
      </w:r>
      <w:proofErr w:type="gramStart"/>
      <w:r>
        <w:rPr>
          <w:rFonts w:ascii="Times New Roman"/>
          <w:szCs w:val="24"/>
        </w:rPr>
        <w:t>新任基金</w:t>
      </w:r>
      <w:proofErr w:type="gramEnd"/>
      <w:r>
        <w:rPr>
          <w:rFonts w:ascii="Times New Roman"/>
          <w:szCs w:val="24"/>
        </w:rPr>
        <w:t>管理人和</w:t>
      </w:r>
      <w:proofErr w:type="gramStart"/>
      <w:r>
        <w:rPr>
          <w:rFonts w:ascii="Times New Roman"/>
          <w:szCs w:val="24"/>
        </w:rPr>
        <w:t>新任基金</w:t>
      </w:r>
      <w:proofErr w:type="gramEnd"/>
      <w:r>
        <w:rPr>
          <w:rFonts w:ascii="Times New Roman"/>
          <w:szCs w:val="24"/>
        </w:rPr>
        <w:t>托管人应在更换基金管理人和基金托管人的基金份额持有人大会决议生效后</w:t>
      </w:r>
      <w:r>
        <w:rPr>
          <w:rFonts w:ascii="Times New Roman"/>
          <w:szCs w:val="24"/>
        </w:rPr>
        <w:t>2</w:t>
      </w:r>
      <w:r>
        <w:rPr>
          <w:rFonts w:ascii="Times New Roman"/>
          <w:szCs w:val="24"/>
        </w:rPr>
        <w:t>日内在规定媒介上联合公告。</w:t>
      </w:r>
    </w:p>
    <w:p w14:paraId="3A518F10" w14:textId="77777777" w:rsidR="005F1E3F" w:rsidRDefault="006C56E6">
      <w:pPr>
        <w:pStyle w:val="20"/>
        <w:spacing w:before="0" w:after="0" w:line="520" w:lineRule="exact"/>
        <w:ind w:left="0" w:firstLineChars="200" w:firstLine="480"/>
        <w:rPr>
          <w:rFonts w:ascii="Times New Roman"/>
          <w:bCs/>
        </w:rPr>
      </w:pPr>
      <w:r>
        <w:rPr>
          <w:rFonts w:ascii="Times New Roman"/>
          <w:szCs w:val="24"/>
        </w:rPr>
        <w:t>14.4</w:t>
      </w:r>
      <w:r>
        <w:rPr>
          <w:rFonts w:ascii="Times New Roman"/>
          <w:szCs w:val="24"/>
        </w:rPr>
        <w:t>新任或临时基金管理人</w:t>
      </w:r>
      <w:r>
        <w:rPr>
          <w:rFonts w:ascii="Times New Roman"/>
          <w:bCs/>
        </w:rPr>
        <w:t>接受</w:t>
      </w:r>
      <w:r>
        <w:rPr>
          <w:rFonts w:ascii="Times New Roman"/>
          <w:szCs w:val="24"/>
        </w:rPr>
        <w:t>基金管理业务或新任或临时基金托管人</w:t>
      </w:r>
      <w:r>
        <w:rPr>
          <w:rFonts w:ascii="Times New Roman"/>
          <w:bCs/>
        </w:rPr>
        <w:t>接受</w:t>
      </w:r>
      <w:r>
        <w:rPr>
          <w:rFonts w:ascii="Times New Roman"/>
          <w:szCs w:val="24"/>
        </w:rPr>
        <w:t>基金财产和基金托管业务前，</w:t>
      </w:r>
      <w:proofErr w:type="gramStart"/>
      <w:r>
        <w:rPr>
          <w:rFonts w:ascii="Times New Roman"/>
          <w:szCs w:val="24"/>
        </w:rPr>
        <w:t>原基金</w:t>
      </w:r>
      <w:proofErr w:type="gramEnd"/>
      <w:r>
        <w:rPr>
          <w:rFonts w:ascii="Times New Roman"/>
          <w:szCs w:val="24"/>
        </w:rPr>
        <w:t>管理人或</w:t>
      </w:r>
      <w:proofErr w:type="gramStart"/>
      <w:r>
        <w:rPr>
          <w:rFonts w:ascii="Times New Roman"/>
          <w:szCs w:val="24"/>
        </w:rPr>
        <w:t>原基金</w:t>
      </w:r>
      <w:proofErr w:type="gramEnd"/>
      <w:r>
        <w:rPr>
          <w:rFonts w:ascii="Times New Roman"/>
          <w:szCs w:val="24"/>
        </w:rPr>
        <w:t>托管人应</w:t>
      </w:r>
      <w:r>
        <w:rPr>
          <w:rFonts w:ascii="Times New Roman"/>
          <w:bCs/>
        </w:rPr>
        <w:t>依据法律法规和基金合同的规定</w:t>
      </w:r>
      <w:r>
        <w:rPr>
          <w:rFonts w:ascii="Times New Roman"/>
          <w:szCs w:val="24"/>
        </w:rPr>
        <w:t>继续履行相关职责，并保证不对基金份额持有人的利益造成损害。</w:t>
      </w:r>
      <w:proofErr w:type="gramStart"/>
      <w:r>
        <w:rPr>
          <w:rFonts w:ascii="Times New Roman"/>
          <w:bCs/>
        </w:rPr>
        <w:t>原基金</w:t>
      </w:r>
      <w:proofErr w:type="gramEnd"/>
      <w:r>
        <w:rPr>
          <w:rFonts w:ascii="Times New Roman"/>
          <w:bCs/>
        </w:rPr>
        <w:t>管理人或</w:t>
      </w:r>
      <w:proofErr w:type="gramStart"/>
      <w:r>
        <w:rPr>
          <w:rFonts w:ascii="Times New Roman"/>
          <w:bCs/>
        </w:rPr>
        <w:t>原基金</w:t>
      </w:r>
      <w:proofErr w:type="gramEnd"/>
      <w:r>
        <w:rPr>
          <w:rFonts w:ascii="Times New Roman"/>
          <w:bCs/>
        </w:rPr>
        <w:t>托管人在继续履行相关职责期间，仍有权按照基金合同的规定收取基金管理费或基金托管费。</w:t>
      </w:r>
    </w:p>
    <w:p w14:paraId="65EA3BCA" w14:textId="77777777" w:rsidR="005F1E3F" w:rsidRDefault="006C56E6">
      <w:pPr>
        <w:pStyle w:val="20"/>
        <w:spacing w:before="0" w:after="0" w:line="520" w:lineRule="exact"/>
        <w:ind w:left="0" w:firstLineChars="200" w:firstLine="480"/>
        <w:rPr>
          <w:rFonts w:ascii="Times New Roman"/>
          <w:szCs w:val="24"/>
        </w:rPr>
      </w:pPr>
      <w:r>
        <w:rPr>
          <w:rFonts w:ascii="Times New Roman"/>
          <w:bCs/>
        </w:rPr>
        <w:t>14.5</w:t>
      </w:r>
      <w:r>
        <w:rPr>
          <w:rFonts w:ascii="Times New Roman"/>
          <w:bCs/>
        </w:rPr>
        <w:t>本部</w:t>
      </w:r>
      <w:proofErr w:type="gramStart"/>
      <w:r>
        <w:rPr>
          <w:rFonts w:ascii="Times New Roman"/>
          <w:bCs/>
        </w:rPr>
        <w:t>分关于</w:t>
      </w:r>
      <w:proofErr w:type="gramEnd"/>
      <w:r>
        <w:rPr>
          <w:rFonts w:ascii="Times New Roman"/>
          <w:bCs/>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6604B28F" w14:textId="77777777" w:rsidR="005F1E3F" w:rsidRDefault="005F1E3F">
      <w:pPr>
        <w:pStyle w:val="20"/>
        <w:spacing w:before="0" w:after="0" w:line="520" w:lineRule="exact"/>
        <w:ind w:left="0" w:firstLineChars="200" w:firstLine="480"/>
        <w:rPr>
          <w:rFonts w:ascii="Times New Roman"/>
          <w:szCs w:val="24"/>
        </w:rPr>
      </w:pPr>
    </w:p>
    <w:p w14:paraId="5D4313A8" w14:textId="77777777" w:rsidR="005F1E3F" w:rsidRDefault="006C56E6">
      <w:pPr>
        <w:pStyle w:val="1"/>
        <w:spacing w:line="520" w:lineRule="exact"/>
        <w:ind w:firstLineChars="200" w:firstLine="482"/>
        <w:rPr>
          <w:rFonts w:ascii="Times New Roman" w:hAnsi="Times New Roman"/>
          <w:bCs/>
          <w:color w:val="auto"/>
          <w:szCs w:val="24"/>
        </w:rPr>
      </w:pPr>
      <w:bookmarkStart w:id="39" w:name="_Toc26170410"/>
      <w:bookmarkStart w:id="40" w:name="_Toc296551351"/>
      <w:r>
        <w:rPr>
          <w:rFonts w:ascii="Times New Roman" w:hAnsi="Times New Roman"/>
          <w:bCs/>
          <w:color w:val="auto"/>
          <w:szCs w:val="24"/>
        </w:rPr>
        <w:lastRenderedPageBreak/>
        <w:t>第十五条</w:t>
      </w:r>
      <w:r>
        <w:rPr>
          <w:rFonts w:ascii="Times New Roman" w:hAnsi="Times New Roman"/>
          <w:bCs/>
          <w:color w:val="auto"/>
          <w:szCs w:val="24"/>
        </w:rPr>
        <w:t xml:space="preserve"> </w:t>
      </w:r>
      <w:r>
        <w:rPr>
          <w:rFonts w:ascii="Times New Roman" w:hAnsi="Times New Roman"/>
          <w:bCs/>
          <w:color w:val="auto"/>
          <w:szCs w:val="24"/>
        </w:rPr>
        <w:t>禁止行为</w:t>
      </w:r>
      <w:bookmarkEnd w:id="39"/>
      <w:bookmarkEnd w:id="40"/>
    </w:p>
    <w:p w14:paraId="7155E999"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15.1</w:t>
      </w:r>
      <w:r>
        <w:rPr>
          <w:rFonts w:ascii="Times New Roman"/>
          <w:szCs w:val="24"/>
        </w:rPr>
        <w:t>本协议当事人禁止从事的行为，包括但不限于：</w:t>
      </w:r>
    </w:p>
    <w:p w14:paraId="07EF7D0F"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15.1.1</w:t>
      </w:r>
      <w:r>
        <w:rPr>
          <w:rFonts w:ascii="Times New Roman"/>
          <w:szCs w:val="24"/>
        </w:rPr>
        <w:t>基金管理人、基金托管人将其固有财产或者他人财产混同于基金财产从事证券投资。</w:t>
      </w:r>
    </w:p>
    <w:p w14:paraId="099D6046"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15.1.2</w:t>
      </w:r>
      <w:r>
        <w:rPr>
          <w:rFonts w:ascii="Times New Roman"/>
          <w:szCs w:val="24"/>
        </w:rPr>
        <w:t>基金管理人不公平地对待其管理的不同基金财产，基金托管人不公平地对待其托管的不同基金财产。</w:t>
      </w:r>
    </w:p>
    <w:p w14:paraId="75831D44"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15.1.3</w:t>
      </w:r>
      <w:r>
        <w:rPr>
          <w:rFonts w:ascii="Times New Roman"/>
          <w:szCs w:val="24"/>
        </w:rPr>
        <w:t>基金管理人、基金托管人利用基金财产为基金份额持有人以外的第三人牟取利益。</w:t>
      </w:r>
    </w:p>
    <w:p w14:paraId="4206B09D"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15.1.4</w:t>
      </w:r>
      <w:r>
        <w:rPr>
          <w:rFonts w:ascii="Times New Roman"/>
          <w:szCs w:val="24"/>
        </w:rPr>
        <w:t>基金管理人、基金托管人向基金份额持有人违规承诺收益或者承担损失。</w:t>
      </w:r>
    </w:p>
    <w:p w14:paraId="15B25B11"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15.1.5</w:t>
      </w:r>
      <w:r>
        <w:rPr>
          <w:rFonts w:ascii="Times New Roman"/>
          <w:szCs w:val="24"/>
        </w:rPr>
        <w:t>基金管理人、基金托管人对他人泄漏基金运作和管理过程中任何尚未按法律法规规定的方式公开披露的信息。</w:t>
      </w:r>
    </w:p>
    <w:p w14:paraId="765C617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15.1.6</w:t>
      </w:r>
      <w:r>
        <w:rPr>
          <w:rFonts w:ascii="Times New Roman"/>
          <w:szCs w:val="24"/>
        </w:rPr>
        <w:t>基金管理人在没有充足资金的情况下向基金托管人发出投资指令和赎回、分红资金的划拨指令，或违规向基金托管人发出指令。</w:t>
      </w:r>
    </w:p>
    <w:p w14:paraId="5113ADE1"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15.1.7</w:t>
      </w:r>
      <w:r>
        <w:rPr>
          <w:rFonts w:ascii="Times New Roman"/>
          <w:szCs w:val="24"/>
        </w:rPr>
        <w:t>基金管理人、基金托管人在行政上、财务上不独立，其高级管理人员和其他从业人员相互兼职。</w:t>
      </w:r>
    </w:p>
    <w:p w14:paraId="7B026B9F"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15.1.8</w:t>
      </w:r>
      <w:r>
        <w:rPr>
          <w:rFonts w:ascii="Times New Roman"/>
          <w:szCs w:val="24"/>
        </w:rPr>
        <w:t>基金托管人私自动用或处分基金财产，根据基金管理人的合法指令、基金合同或托管协议的规定进行处分的除外。</w:t>
      </w:r>
    </w:p>
    <w:p w14:paraId="26E7BFA1"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15.1.9</w:t>
      </w:r>
      <w:r>
        <w:rPr>
          <w:rFonts w:ascii="Times New Roman"/>
          <w:szCs w:val="24"/>
        </w:rPr>
        <w:t>基金财产不得用于下列投资或者活动：</w:t>
      </w:r>
    </w:p>
    <w:p w14:paraId="36354B0E"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1</w:t>
      </w:r>
      <w:r>
        <w:rPr>
          <w:rFonts w:ascii="Times New Roman"/>
          <w:szCs w:val="24"/>
        </w:rPr>
        <w:t>）承销证券；</w:t>
      </w:r>
    </w:p>
    <w:p w14:paraId="358D18E6"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2</w:t>
      </w:r>
      <w:r>
        <w:rPr>
          <w:rFonts w:ascii="Times New Roman"/>
          <w:szCs w:val="24"/>
        </w:rPr>
        <w:t>）</w:t>
      </w:r>
      <w:r>
        <w:rPr>
          <w:rFonts w:ascii="Times New Roman"/>
          <w:bCs/>
        </w:rPr>
        <w:t>违反规定</w:t>
      </w:r>
      <w:r>
        <w:rPr>
          <w:rFonts w:ascii="Times New Roman"/>
          <w:szCs w:val="24"/>
        </w:rPr>
        <w:t>向他人贷款或者提供担保；</w:t>
      </w:r>
    </w:p>
    <w:p w14:paraId="01010DF8"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3</w:t>
      </w:r>
      <w:r>
        <w:rPr>
          <w:rFonts w:ascii="Times New Roman"/>
          <w:szCs w:val="24"/>
        </w:rPr>
        <w:t>）从事承担无限责任的投资；</w:t>
      </w:r>
    </w:p>
    <w:p w14:paraId="25B6B982" w14:textId="72483B3D"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4</w:t>
      </w:r>
      <w:r>
        <w:rPr>
          <w:rFonts w:ascii="Times New Roman"/>
          <w:szCs w:val="24"/>
        </w:rPr>
        <w:t>）向其基金管理人、基金托管人出资；</w:t>
      </w:r>
    </w:p>
    <w:p w14:paraId="6DF77A71" w14:textId="5815892C"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5</w:t>
      </w:r>
      <w:r>
        <w:rPr>
          <w:rFonts w:ascii="Times New Roman"/>
          <w:szCs w:val="24"/>
        </w:rPr>
        <w:t>）从事内幕交易、操纵证券交易价格及其他不正当的证券交易活动；</w:t>
      </w:r>
    </w:p>
    <w:p w14:paraId="4A212AD0" w14:textId="4D3C3A1F" w:rsidR="005F1E3F" w:rsidRDefault="006C56E6">
      <w:pPr>
        <w:pStyle w:val="20"/>
        <w:spacing w:before="0" w:after="0" w:line="520" w:lineRule="exact"/>
        <w:ind w:left="0" w:firstLineChars="200" w:firstLine="480"/>
        <w:rPr>
          <w:rFonts w:ascii="Times New Roman"/>
          <w:szCs w:val="24"/>
        </w:rPr>
      </w:pPr>
      <w:r>
        <w:rPr>
          <w:rFonts w:ascii="Times New Roman"/>
          <w:bCs/>
        </w:rPr>
        <w:t>（</w:t>
      </w:r>
      <w:r>
        <w:rPr>
          <w:rFonts w:ascii="Times New Roman"/>
          <w:bCs/>
        </w:rPr>
        <w:t>6</w:t>
      </w:r>
      <w:r>
        <w:rPr>
          <w:rFonts w:ascii="Times New Roman"/>
          <w:bCs/>
        </w:rPr>
        <w:t>）法律、行政法规和中国证监会规定禁止的其他活动</w:t>
      </w:r>
      <w:r>
        <w:rPr>
          <w:rFonts w:ascii="Times New Roman"/>
          <w:szCs w:val="24"/>
        </w:rPr>
        <w:t>。</w:t>
      </w:r>
    </w:p>
    <w:p w14:paraId="093BD77E"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15.1.10</w:t>
      </w:r>
      <w:r>
        <w:rPr>
          <w:rFonts w:ascii="Times New Roman"/>
          <w:szCs w:val="24"/>
        </w:rPr>
        <w:t>法律法规或监管部门取消</w:t>
      </w:r>
      <w:r>
        <w:rPr>
          <w:rFonts w:ascii="Times New Roman"/>
          <w:bCs/>
        </w:rPr>
        <w:t>或变更上述禁止性规定，如适用于本基金</w:t>
      </w:r>
      <w:r>
        <w:rPr>
          <w:rFonts w:ascii="Times New Roman"/>
          <w:szCs w:val="24"/>
        </w:rPr>
        <w:t>，基金管理人在履行适当程序后，</w:t>
      </w:r>
      <w:r>
        <w:rPr>
          <w:rFonts w:ascii="Times New Roman"/>
          <w:bCs/>
        </w:rPr>
        <w:t>可不受上述规定的限制或按变更后的规定执行</w:t>
      </w:r>
      <w:r>
        <w:rPr>
          <w:rFonts w:ascii="Times New Roman"/>
          <w:szCs w:val="24"/>
        </w:rPr>
        <w:t>。</w:t>
      </w:r>
    </w:p>
    <w:p w14:paraId="57C6ABD4" w14:textId="77777777" w:rsidR="005F1E3F" w:rsidRDefault="005F1E3F">
      <w:pPr>
        <w:pStyle w:val="20"/>
        <w:spacing w:before="0" w:after="0" w:line="520" w:lineRule="exact"/>
        <w:ind w:left="0" w:firstLineChars="200" w:firstLine="480"/>
        <w:rPr>
          <w:rFonts w:ascii="Times New Roman"/>
          <w:szCs w:val="24"/>
        </w:rPr>
      </w:pPr>
    </w:p>
    <w:p w14:paraId="7BBAC08C" w14:textId="77777777" w:rsidR="005F1E3F" w:rsidRDefault="006C56E6">
      <w:pPr>
        <w:pStyle w:val="1"/>
        <w:spacing w:line="520" w:lineRule="exact"/>
        <w:ind w:firstLineChars="200" w:firstLine="482"/>
        <w:rPr>
          <w:rFonts w:ascii="Times New Roman" w:hAnsi="Times New Roman"/>
          <w:bCs/>
          <w:color w:val="auto"/>
          <w:szCs w:val="24"/>
        </w:rPr>
      </w:pPr>
      <w:bookmarkStart w:id="41" w:name="_Toc296551352"/>
      <w:bookmarkStart w:id="42" w:name="_Toc26170411"/>
      <w:r>
        <w:rPr>
          <w:rFonts w:ascii="Times New Roman" w:hAnsi="Times New Roman"/>
          <w:bCs/>
          <w:color w:val="auto"/>
          <w:szCs w:val="24"/>
        </w:rPr>
        <w:lastRenderedPageBreak/>
        <w:t>第十六条</w:t>
      </w:r>
      <w:r>
        <w:rPr>
          <w:rFonts w:ascii="Times New Roman" w:hAnsi="Times New Roman"/>
          <w:bCs/>
          <w:color w:val="auto"/>
          <w:szCs w:val="24"/>
        </w:rPr>
        <w:t xml:space="preserve"> </w:t>
      </w:r>
      <w:r>
        <w:rPr>
          <w:rFonts w:ascii="Times New Roman" w:hAnsi="Times New Roman"/>
          <w:bCs/>
          <w:color w:val="auto"/>
          <w:szCs w:val="24"/>
        </w:rPr>
        <w:t>基金托管协议的变更、终止与基金财产的清算</w:t>
      </w:r>
      <w:bookmarkEnd w:id="41"/>
      <w:bookmarkEnd w:id="42"/>
    </w:p>
    <w:p w14:paraId="4679C793"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16.1</w:t>
      </w:r>
      <w:r>
        <w:rPr>
          <w:rFonts w:ascii="Times New Roman"/>
          <w:szCs w:val="24"/>
        </w:rPr>
        <w:t>托管协议的变更与终止</w:t>
      </w:r>
    </w:p>
    <w:p w14:paraId="48EA3109"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16.1.1</w:t>
      </w:r>
      <w:r>
        <w:rPr>
          <w:rFonts w:ascii="Times New Roman"/>
          <w:szCs w:val="24"/>
        </w:rPr>
        <w:t>托管协议的变更程序</w:t>
      </w:r>
    </w:p>
    <w:p w14:paraId="5B680FEB"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本协议双方当事人经协商一致，可以对协议的内容进行变更。变更后的托管协议，其内容不得与基金合同的规定有任何冲突。</w:t>
      </w:r>
    </w:p>
    <w:p w14:paraId="4237888E"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16.1.2</w:t>
      </w:r>
      <w:r>
        <w:rPr>
          <w:rFonts w:ascii="Times New Roman"/>
          <w:szCs w:val="24"/>
        </w:rPr>
        <w:t>基金托管协议终止的情形</w:t>
      </w:r>
    </w:p>
    <w:p w14:paraId="677E95C9"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发生以下情况，本托管协议终止：</w:t>
      </w:r>
    </w:p>
    <w:p w14:paraId="7E4536ED"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1</w:t>
      </w:r>
      <w:r>
        <w:rPr>
          <w:rFonts w:ascii="Times New Roman"/>
          <w:szCs w:val="24"/>
        </w:rPr>
        <w:t>）基金合同终止；</w:t>
      </w:r>
    </w:p>
    <w:p w14:paraId="63E75036"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2</w:t>
      </w:r>
      <w:r>
        <w:rPr>
          <w:rFonts w:ascii="Times New Roman"/>
          <w:szCs w:val="24"/>
        </w:rPr>
        <w:t>）基金托管人解散、依法被撤销、破产或职责终止后由其他基金托管人接管基金资产；</w:t>
      </w:r>
    </w:p>
    <w:p w14:paraId="518FF52A"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3</w:t>
      </w:r>
      <w:r>
        <w:rPr>
          <w:rFonts w:ascii="Times New Roman"/>
          <w:szCs w:val="24"/>
        </w:rPr>
        <w:t>）基金管理人解散、依法被撤销、破产或职责终止后由其他基金管理人接管基金管理权；</w:t>
      </w:r>
    </w:p>
    <w:p w14:paraId="6F85F420"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4</w:t>
      </w:r>
      <w:r>
        <w:rPr>
          <w:rFonts w:ascii="Times New Roman"/>
          <w:szCs w:val="24"/>
        </w:rPr>
        <w:t>）发生法律法规或基金合同规定的终止事项；</w:t>
      </w:r>
    </w:p>
    <w:p w14:paraId="69BDEB4F" w14:textId="1A8E88A3"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5</w:t>
      </w:r>
      <w:r>
        <w:rPr>
          <w:rFonts w:ascii="Times New Roman"/>
          <w:szCs w:val="24"/>
        </w:rPr>
        <w:t>）基金托管人发现基金管理人有下列情形的，有权终止本协议，并要求基金管理人赔偿损失：</w:t>
      </w:r>
      <w:r>
        <w:rPr>
          <w:rFonts w:hAnsi="宋体" w:cs="宋体" w:hint="eastAsia"/>
          <w:szCs w:val="24"/>
        </w:rPr>
        <w:t>①</w:t>
      </w:r>
      <w:r>
        <w:rPr>
          <w:rFonts w:ascii="Times New Roman"/>
          <w:szCs w:val="24"/>
        </w:rPr>
        <w:t>违反基金合同的投资目的，不当处分产品财产的；</w:t>
      </w:r>
      <w:r>
        <w:rPr>
          <w:rFonts w:hAnsi="宋体" w:cs="宋体" w:hint="eastAsia"/>
          <w:szCs w:val="24"/>
        </w:rPr>
        <w:t>②</w:t>
      </w:r>
      <w:r>
        <w:rPr>
          <w:rFonts w:ascii="Times New Roman"/>
          <w:szCs w:val="24"/>
        </w:rPr>
        <w:t>被依法取消基金管理人资质或经营异常。</w:t>
      </w:r>
    </w:p>
    <w:p w14:paraId="35F92E43"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16.2</w:t>
      </w:r>
      <w:r>
        <w:rPr>
          <w:rFonts w:ascii="Times New Roman"/>
          <w:szCs w:val="24"/>
        </w:rPr>
        <w:t>基金财产的清算</w:t>
      </w:r>
    </w:p>
    <w:p w14:paraId="33707DC8"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16.2.1</w:t>
      </w:r>
      <w:r>
        <w:rPr>
          <w:rFonts w:ascii="Times New Roman"/>
          <w:szCs w:val="24"/>
        </w:rPr>
        <w:t>基金财产清算小组：</w:t>
      </w:r>
    </w:p>
    <w:p w14:paraId="7D96396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1</w:t>
      </w:r>
      <w:r>
        <w:rPr>
          <w:rFonts w:ascii="Times New Roman"/>
          <w:szCs w:val="24"/>
        </w:rPr>
        <w:t>）自出现基金合同终止事由之日起</w:t>
      </w:r>
      <w:r>
        <w:rPr>
          <w:rFonts w:ascii="Times New Roman"/>
          <w:szCs w:val="24"/>
        </w:rPr>
        <w:t>30</w:t>
      </w:r>
      <w:r>
        <w:rPr>
          <w:rFonts w:ascii="Times New Roman"/>
          <w:szCs w:val="24"/>
        </w:rPr>
        <w:t>个工作日内成立基金财产清算小组，基金管理人或临时基金管理人组织基金财产清算小组并在中国证监会的监督下进行基金清算。</w:t>
      </w:r>
    </w:p>
    <w:p w14:paraId="0724CC6F"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2</w:t>
      </w:r>
      <w:r>
        <w:rPr>
          <w:rFonts w:ascii="Times New Roman"/>
          <w:szCs w:val="24"/>
        </w:rPr>
        <w:t>）在基金财产清算小组接管基金财产之前，基金管理人和基金托管人应按照基金合同和托管协议的规定继续履行保护基金财产安全的职责。</w:t>
      </w:r>
    </w:p>
    <w:p w14:paraId="29C371CD"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3</w:t>
      </w:r>
      <w:r>
        <w:rPr>
          <w:rFonts w:ascii="Times New Roman"/>
          <w:szCs w:val="24"/>
        </w:rPr>
        <w:t>）基金财产清算小组成员由基金管理人或临时基金管理人、基金托管人、符合《证券法》规定的注册会计师、律师以及中国证监会指定的人员组成。基金财产清算小组可以聘用必要的工作人员。</w:t>
      </w:r>
    </w:p>
    <w:p w14:paraId="54403FD4"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4</w:t>
      </w:r>
      <w:r>
        <w:rPr>
          <w:rFonts w:ascii="Times New Roman"/>
          <w:szCs w:val="24"/>
        </w:rPr>
        <w:t>）基金财产清算小组负责基金财产的保管、清理、估价、变现和分配。基金财产清算小组可以依法进行必要的民事活动。</w:t>
      </w:r>
    </w:p>
    <w:p w14:paraId="3FDD9C9B"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lastRenderedPageBreak/>
        <w:t>16.2.2</w:t>
      </w:r>
      <w:r>
        <w:rPr>
          <w:rFonts w:ascii="Times New Roman"/>
          <w:szCs w:val="24"/>
        </w:rPr>
        <w:t>基金财产清算程序</w:t>
      </w:r>
    </w:p>
    <w:p w14:paraId="33CDB210"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基金合同终止，应当按法律法规和基金合同的有关规定对基金财产进行清算。基金财产清算程序主要包括：</w:t>
      </w:r>
    </w:p>
    <w:p w14:paraId="7534DBC9"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1</w:t>
      </w:r>
      <w:r>
        <w:rPr>
          <w:rFonts w:ascii="Times New Roman"/>
          <w:szCs w:val="24"/>
        </w:rPr>
        <w:t>）基金合同终止情形出现时，由基金财产清算小组统一接管基金财产；</w:t>
      </w:r>
    </w:p>
    <w:p w14:paraId="07E0B54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2</w:t>
      </w:r>
      <w:r>
        <w:rPr>
          <w:rFonts w:ascii="Times New Roman"/>
          <w:szCs w:val="24"/>
        </w:rPr>
        <w:t>）对基金财产和债权债务进行清理和确认；</w:t>
      </w:r>
    </w:p>
    <w:p w14:paraId="5296C64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3</w:t>
      </w:r>
      <w:r>
        <w:rPr>
          <w:rFonts w:ascii="Times New Roman"/>
          <w:szCs w:val="24"/>
        </w:rPr>
        <w:t>）对基金财产进行估值和变现；</w:t>
      </w:r>
    </w:p>
    <w:p w14:paraId="7D422E38"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4</w:t>
      </w:r>
      <w:r>
        <w:rPr>
          <w:rFonts w:ascii="Times New Roman"/>
          <w:szCs w:val="24"/>
        </w:rPr>
        <w:t>）制作清算报告；</w:t>
      </w:r>
    </w:p>
    <w:p w14:paraId="6EF407A9"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5</w:t>
      </w:r>
      <w:r>
        <w:rPr>
          <w:rFonts w:ascii="Times New Roman"/>
          <w:szCs w:val="24"/>
        </w:rPr>
        <w:t>）聘请会计师事务所对清算报告进行外部审计，聘请律师事务所对清算报告出具法律意见书；</w:t>
      </w:r>
    </w:p>
    <w:p w14:paraId="22D6DF33"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6</w:t>
      </w:r>
      <w:r>
        <w:rPr>
          <w:rFonts w:ascii="Times New Roman"/>
          <w:szCs w:val="24"/>
        </w:rPr>
        <w:t>）将清算报告报中国证监会备案并公告；</w:t>
      </w:r>
    </w:p>
    <w:p w14:paraId="283D644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7</w:t>
      </w:r>
      <w:r>
        <w:rPr>
          <w:rFonts w:ascii="Times New Roman"/>
          <w:szCs w:val="24"/>
        </w:rPr>
        <w:t>）对基金剩余财产进行分配。</w:t>
      </w:r>
    </w:p>
    <w:p w14:paraId="563D76FF" w14:textId="77777777" w:rsidR="005F1E3F" w:rsidRDefault="006C56E6">
      <w:pPr>
        <w:pStyle w:val="20"/>
        <w:spacing w:before="0" w:after="0" w:line="520" w:lineRule="exact"/>
        <w:ind w:left="0" w:firstLineChars="200" w:firstLine="480"/>
        <w:rPr>
          <w:rFonts w:ascii="Times New Roman"/>
          <w:bCs/>
          <w:szCs w:val="24"/>
        </w:rPr>
      </w:pPr>
      <w:r>
        <w:rPr>
          <w:rFonts w:ascii="Times New Roman"/>
          <w:bCs/>
        </w:rPr>
        <w:t>基金财产清算的期限为</w:t>
      </w:r>
      <w:r>
        <w:rPr>
          <w:rFonts w:ascii="Times New Roman"/>
          <w:bCs/>
        </w:rPr>
        <w:t>6</w:t>
      </w:r>
      <w:r>
        <w:rPr>
          <w:rFonts w:ascii="Times New Roman"/>
          <w:bCs/>
        </w:rPr>
        <w:t>个月</w:t>
      </w:r>
      <w:r>
        <w:rPr>
          <w:rFonts w:ascii="Times New Roman"/>
          <w:bCs/>
          <w:szCs w:val="24"/>
        </w:rPr>
        <w:t>，但因本基金所持证券的流动性受到限制而不能及时变现的，清算期限相应顺延。</w:t>
      </w:r>
    </w:p>
    <w:p w14:paraId="0F0B081B"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16.2.3</w:t>
      </w:r>
      <w:r>
        <w:rPr>
          <w:rFonts w:ascii="Times New Roman"/>
          <w:szCs w:val="24"/>
        </w:rPr>
        <w:t>清算费用</w:t>
      </w:r>
    </w:p>
    <w:p w14:paraId="3542A3C4"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清算费用是指基金财产清算小组在进行基金财产清算过程中发生的所有合理费用，清算费用由基金财产清算小组优先从基金剩余财产中支付。</w:t>
      </w:r>
    </w:p>
    <w:p w14:paraId="5891534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16.2.4</w:t>
      </w:r>
      <w:r>
        <w:rPr>
          <w:rFonts w:ascii="Times New Roman"/>
          <w:szCs w:val="24"/>
        </w:rPr>
        <w:t>基金财产按下列顺序清偿：</w:t>
      </w:r>
    </w:p>
    <w:p w14:paraId="5A345954"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1</w:t>
      </w:r>
      <w:r>
        <w:rPr>
          <w:rFonts w:ascii="Times New Roman"/>
          <w:szCs w:val="24"/>
        </w:rPr>
        <w:t>）支付清算费用；</w:t>
      </w:r>
    </w:p>
    <w:p w14:paraId="2553CE7F"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2</w:t>
      </w:r>
      <w:r>
        <w:rPr>
          <w:rFonts w:ascii="Times New Roman"/>
          <w:szCs w:val="24"/>
        </w:rPr>
        <w:t>）交纳所欠税款；</w:t>
      </w:r>
    </w:p>
    <w:p w14:paraId="1B25B5F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3</w:t>
      </w:r>
      <w:r>
        <w:rPr>
          <w:rFonts w:ascii="Times New Roman"/>
          <w:szCs w:val="24"/>
        </w:rPr>
        <w:t>）清偿基金债务；</w:t>
      </w:r>
    </w:p>
    <w:p w14:paraId="10C226FD"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4</w:t>
      </w:r>
      <w:r>
        <w:rPr>
          <w:rFonts w:ascii="Times New Roman"/>
          <w:szCs w:val="24"/>
        </w:rPr>
        <w:t>）按基金份额持有人持有的基金份额比例进行分配。</w:t>
      </w:r>
    </w:p>
    <w:p w14:paraId="035E671E"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基金财产未按前款（</w:t>
      </w:r>
      <w:r>
        <w:rPr>
          <w:rFonts w:ascii="Times New Roman"/>
          <w:szCs w:val="24"/>
        </w:rPr>
        <w:t>1</w:t>
      </w:r>
      <w:r>
        <w:rPr>
          <w:rFonts w:ascii="Times New Roman"/>
          <w:szCs w:val="24"/>
        </w:rPr>
        <w:t>）－（</w:t>
      </w:r>
      <w:r>
        <w:rPr>
          <w:rFonts w:ascii="Times New Roman"/>
          <w:szCs w:val="24"/>
        </w:rPr>
        <w:t>3</w:t>
      </w:r>
      <w:r>
        <w:rPr>
          <w:rFonts w:ascii="Times New Roman"/>
          <w:szCs w:val="24"/>
        </w:rPr>
        <w:t>）项规定清偿前，不分配给基金份额持有人。</w:t>
      </w:r>
    </w:p>
    <w:p w14:paraId="57A6AE02"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16.2.5</w:t>
      </w:r>
      <w:r>
        <w:rPr>
          <w:rFonts w:ascii="Times New Roman"/>
          <w:szCs w:val="24"/>
        </w:rPr>
        <w:t>基金财产清算的公告：</w:t>
      </w:r>
    </w:p>
    <w:p w14:paraId="306E60D6"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清算过程中的有关重大事项须及时公告；基金财产清算报告</w:t>
      </w:r>
      <w:proofErr w:type="gramStart"/>
      <w:r>
        <w:rPr>
          <w:rFonts w:ascii="Times New Roman"/>
          <w:szCs w:val="24"/>
        </w:rPr>
        <w:t>经符合</w:t>
      </w:r>
      <w:proofErr w:type="gramEnd"/>
      <w:r>
        <w:rPr>
          <w:rFonts w:ascii="Times New Roman"/>
          <w:szCs w:val="24"/>
        </w:rPr>
        <w:t>《证券法》规定的会计师事务所审计并由律师事务所出具法律意见书后报中国证监会备案并公告。基金财产清算公告于基金财产清算报告报中国证监会备案后</w:t>
      </w:r>
      <w:r>
        <w:rPr>
          <w:rFonts w:ascii="Times New Roman"/>
          <w:szCs w:val="24"/>
        </w:rPr>
        <w:t>5</w:t>
      </w:r>
      <w:r>
        <w:rPr>
          <w:rFonts w:ascii="Times New Roman"/>
          <w:szCs w:val="24"/>
        </w:rPr>
        <w:t>个工作日内由基金财产清算小组进行公告。</w:t>
      </w:r>
    </w:p>
    <w:p w14:paraId="1585D0FB"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16.2.6</w:t>
      </w:r>
      <w:r>
        <w:rPr>
          <w:rFonts w:ascii="Times New Roman"/>
          <w:szCs w:val="24"/>
        </w:rPr>
        <w:t>基金财产清算账册及文件的保存</w:t>
      </w:r>
    </w:p>
    <w:p w14:paraId="49AEDB7D"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lastRenderedPageBreak/>
        <w:t>基金财产清算账册及有关文件由基金托管人保存不少于法律法规</w:t>
      </w:r>
      <w:r>
        <w:rPr>
          <w:rFonts w:ascii="Times New Roman" w:hint="eastAsia"/>
          <w:szCs w:val="24"/>
        </w:rPr>
        <w:t>或监管规则</w:t>
      </w:r>
      <w:r>
        <w:rPr>
          <w:rFonts w:ascii="Times New Roman"/>
          <w:szCs w:val="24"/>
        </w:rPr>
        <w:t>规定的最低期限。</w:t>
      </w:r>
      <w:bookmarkStart w:id="43" w:name="_Toc296551353"/>
    </w:p>
    <w:p w14:paraId="54272DFD" w14:textId="77777777" w:rsidR="005F1E3F" w:rsidRDefault="005F1E3F">
      <w:pPr>
        <w:pStyle w:val="20"/>
        <w:spacing w:before="0" w:after="0" w:line="520" w:lineRule="exact"/>
        <w:ind w:left="0" w:firstLineChars="200" w:firstLine="480"/>
        <w:rPr>
          <w:rFonts w:ascii="Times New Roman"/>
          <w:szCs w:val="24"/>
        </w:rPr>
      </w:pPr>
    </w:p>
    <w:p w14:paraId="7E1C2C1B" w14:textId="77777777" w:rsidR="005F1E3F" w:rsidRDefault="006C56E6">
      <w:pPr>
        <w:pStyle w:val="1"/>
        <w:spacing w:line="520" w:lineRule="exact"/>
        <w:ind w:firstLineChars="200" w:firstLine="482"/>
        <w:rPr>
          <w:rFonts w:ascii="Times New Roman" w:hAnsi="Times New Roman"/>
          <w:bCs/>
          <w:color w:val="auto"/>
          <w:szCs w:val="24"/>
        </w:rPr>
      </w:pPr>
      <w:bookmarkStart w:id="44" w:name="_Toc26170412"/>
      <w:r>
        <w:rPr>
          <w:rFonts w:ascii="Times New Roman" w:hAnsi="Times New Roman"/>
          <w:bCs/>
          <w:color w:val="auto"/>
          <w:szCs w:val="24"/>
        </w:rPr>
        <w:t>第十七条</w:t>
      </w:r>
      <w:r>
        <w:rPr>
          <w:rFonts w:ascii="Times New Roman" w:hAnsi="Times New Roman"/>
          <w:bCs/>
          <w:color w:val="auto"/>
          <w:szCs w:val="24"/>
        </w:rPr>
        <w:t xml:space="preserve"> </w:t>
      </w:r>
      <w:r>
        <w:rPr>
          <w:rFonts w:ascii="Times New Roman" w:hAnsi="Times New Roman"/>
          <w:bCs/>
          <w:color w:val="auto"/>
          <w:szCs w:val="24"/>
        </w:rPr>
        <w:t>违约责任</w:t>
      </w:r>
      <w:bookmarkEnd w:id="43"/>
      <w:bookmarkEnd w:id="44"/>
    </w:p>
    <w:p w14:paraId="19D508EA"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17.1</w:t>
      </w:r>
      <w:r>
        <w:rPr>
          <w:rFonts w:ascii="Times New Roman"/>
          <w:szCs w:val="24"/>
        </w:rPr>
        <w:t>如果基金管理人或基金托管人不履行本托管协议或者履行本托管协议不符合约定的，应当承担违约责任。</w:t>
      </w:r>
    </w:p>
    <w:p w14:paraId="1CC3AB4A"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17.2</w:t>
      </w:r>
      <w:r>
        <w:rPr>
          <w:rFonts w:ascii="Times New Roman"/>
          <w:szCs w:val="24"/>
        </w:rPr>
        <w:t>因托管协议当事人违约给基金财产或者基金份额持有人造成损害的，应当分别对各自的行为依法承担赔偿责任，因共同行为给基金财产或者基金份额持有人造成损害的，应当承担连带赔偿责任。但是发生下列情况之一的，当事人免责：</w:t>
      </w:r>
    </w:p>
    <w:p w14:paraId="198EE4CA"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1</w:t>
      </w:r>
      <w:r>
        <w:rPr>
          <w:rFonts w:ascii="Times New Roman"/>
          <w:szCs w:val="24"/>
        </w:rPr>
        <w:t>）不可抗力；</w:t>
      </w:r>
    </w:p>
    <w:p w14:paraId="19EBE7F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2</w:t>
      </w:r>
      <w:r>
        <w:rPr>
          <w:rFonts w:ascii="Times New Roman"/>
          <w:szCs w:val="24"/>
        </w:rPr>
        <w:t>）基金管理人</w:t>
      </w:r>
      <w:r>
        <w:rPr>
          <w:rFonts w:ascii="Times New Roman"/>
          <w:bCs/>
        </w:rPr>
        <w:t>和</w:t>
      </w:r>
      <w:r>
        <w:rPr>
          <w:rFonts w:ascii="Times New Roman"/>
          <w:bCs/>
        </w:rPr>
        <w:t>/</w:t>
      </w:r>
      <w:r>
        <w:rPr>
          <w:rFonts w:ascii="Times New Roman"/>
          <w:bCs/>
        </w:rPr>
        <w:t>或</w:t>
      </w:r>
      <w:r>
        <w:rPr>
          <w:rFonts w:ascii="Times New Roman"/>
          <w:szCs w:val="24"/>
        </w:rPr>
        <w:t>基金托管人按照</w:t>
      </w:r>
      <w:r>
        <w:rPr>
          <w:rFonts w:ascii="Times New Roman"/>
          <w:bCs/>
        </w:rPr>
        <w:t>届时</w:t>
      </w:r>
      <w:r>
        <w:rPr>
          <w:rFonts w:ascii="Times New Roman"/>
          <w:szCs w:val="24"/>
        </w:rPr>
        <w:t>有效的法律法规或中国证监会的规定作为或不作为而造成的损失等；</w:t>
      </w:r>
    </w:p>
    <w:p w14:paraId="0A2F76C8"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3</w:t>
      </w:r>
      <w:r>
        <w:rPr>
          <w:rFonts w:ascii="Times New Roman"/>
          <w:szCs w:val="24"/>
        </w:rPr>
        <w:t>）基金管理人由于按照基金合同规定的投资原则</w:t>
      </w:r>
      <w:r>
        <w:rPr>
          <w:rFonts w:ascii="Times New Roman"/>
          <w:bCs/>
        </w:rPr>
        <w:t>投资或不投资</w:t>
      </w:r>
      <w:r>
        <w:rPr>
          <w:rFonts w:ascii="Times New Roman"/>
          <w:szCs w:val="24"/>
        </w:rPr>
        <w:t>而造成的损失等；</w:t>
      </w:r>
    </w:p>
    <w:p w14:paraId="1015C02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4</w:t>
      </w:r>
      <w:r>
        <w:rPr>
          <w:rFonts w:ascii="Times New Roman"/>
          <w:szCs w:val="24"/>
        </w:rPr>
        <w:t>）计算机系统故障、网络故障、通讯故障、电力故障、计算机病毒攻击及其它</w:t>
      </w:r>
      <w:proofErr w:type="gramStart"/>
      <w:r>
        <w:rPr>
          <w:rFonts w:ascii="Times New Roman"/>
          <w:szCs w:val="24"/>
        </w:rPr>
        <w:t>非基金</w:t>
      </w:r>
      <w:proofErr w:type="gramEnd"/>
      <w:r>
        <w:rPr>
          <w:rFonts w:ascii="Times New Roman"/>
          <w:szCs w:val="24"/>
        </w:rPr>
        <w:t>管理人及基金托管</w:t>
      </w:r>
      <w:proofErr w:type="gramStart"/>
      <w:r>
        <w:rPr>
          <w:rFonts w:ascii="Times New Roman"/>
          <w:szCs w:val="24"/>
        </w:rPr>
        <w:t>人原因</w:t>
      </w:r>
      <w:proofErr w:type="gramEnd"/>
      <w:r>
        <w:rPr>
          <w:rFonts w:ascii="Times New Roman"/>
          <w:szCs w:val="24"/>
        </w:rPr>
        <w:t>造成的意外事故；</w:t>
      </w:r>
    </w:p>
    <w:p w14:paraId="66305C9F"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w:t>
      </w:r>
      <w:r>
        <w:rPr>
          <w:rFonts w:ascii="Times New Roman"/>
          <w:szCs w:val="24"/>
        </w:rPr>
        <w:t>5</w:t>
      </w:r>
      <w:r>
        <w:rPr>
          <w:rFonts w:ascii="Times New Roman"/>
          <w:szCs w:val="24"/>
        </w:rPr>
        <w:t>）基金托管人对存放或存管在基金托管人以外机构的基金资产，或交由证券公司等其他机构负责清算交收的基金资产及其收益不承担任何责任。</w:t>
      </w:r>
    </w:p>
    <w:p w14:paraId="59EC8E07"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17.3</w:t>
      </w:r>
      <w:r>
        <w:rPr>
          <w:rFonts w:ascii="Times New Roman"/>
          <w:szCs w:val="24"/>
        </w:rPr>
        <w:t>如果由于本协议一方当事人（以下简称</w:t>
      </w:r>
      <w:r>
        <w:rPr>
          <w:rFonts w:ascii="Times New Roman"/>
          <w:szCs w:val="24"/>
        </w:rPr>
        <w:t>“</w:t>
      </w:r>
      <w:r>
        <w:rPr>
          <w:rFonts w:ascii="Times New Roman"/>
          <w:szCs w:val="24"/>
        </w:rPr>
        <w:t>违约方</w:t>
      </w:r>
      <w:r>
        <w:rPr>
          <w:rFonts w:ascii="Times New Roman"/>
          <w:szCs w:val="24"/>
        </w:rPr>
        <w:t>”</w:t>
      </w:r>
      <w:r>
        <w:rPr>
          <w:rFonts w:ascii="Times New Roman"/>
          <w:szCs w:val="24"/>
        </w:rPr>
        <w:t>）的违约行为给基金财产或基金投资人造成损失，另一方当事人（以下简称</w:t>
      </w:r>
      <w:r>
        <w:rPr>
          <w:rFonts w:ascii="Times New Roman"/>
          <w:szCs w:val="24"/>
        </w:rPr>
        <w:t>“</w:t>
      </w:r>
      <w:r>
        <w:rPr>
          <w:rFonts w:ascii="Times New Roman"/>
          <w:szCs w:val="24"/>
        </w:rPr>
        <w:t>守约方</w:t>
      </w:r>
      <w:r>
        <w:rPr>
          <w:rFonts w:ascii="Times New Roman"/>
          <w:szCs w:val="24"/>
        </w:rPr>
        <w:t>”</w:t>
      </w:r>
      <w:r>
        <w:rPr>
          <w:rFonts w:ascii="Times New Roman"/>
          <w:szCs w:val="24"/>
        </w:rPr>
        <w:t>）有权利并且有义务代表基金对违约方进行追偿；如果由于违约方的违约行为导致守约方赔偿了该基金财产或基金投资人所遭受的损失，则守约方有权向违约方追索，违约方应赔偿和补偿守约方由此发生的所有成本、费用和支出，以及由此遭受的损失。</w:t>
      </w:r>
    </w:p>
    <w:p w14:paraId="6311854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17.4</w:t>
      </w:r>
      <w:r>
        <w:rPr>
          <w:rFonts w:ascii="Times New Roman"/>
          <w:szCs w:val="24"/>
        </w:rPr>
        <w:t>当事人一方违约，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32339DE3"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17.5</w:t>
      </w:r>
      <w:r>
        <w:rPr>
          <w:rFonts w:ascii="Times New Roman"/>
          <w:szCs w:val="24"/>
        </w:rPr>
        <w:t>违约行为虽已发生，但本托管协议能够继续履行的，在最大限度地保护基金份额持有人利益的前提下，基金管理人和基金托管人应当继续履行本协议。</w:t>
      </w:r>
    </w:p>
    <w:p w14:paraId="013CC8D0"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lastRenderedPageBreak/>
        <w:t>17.6</w:t>
      </w:r>
      <w:r>
        <w:rPr>
          <w:rFonts w:ascii="Times New Roman"/>
          <w:szCs w:val="24"/>
        </w:rPr>
        <w:t>由于基金管理人、基金托管人不可控制的因素导致业务出现差错，基金管理人和基金托管人虽然已经采取必要、适当、合理的措施进行检查，但未能发现该错误或未能避免错误发生或</w:t>
      </w:r>
      <w:proofErr w:type="gramStart"/>
      <w:r>
        <w:rPr>
          <w:rFonts w:ascii="Times New Roman"/>
          <w:szCs w:val="24"/>
        </w:rPr>
        <w:t>虽发现</w:t>
      </w:r>
      <w:proofErr w:type="gramEnd"/>
      <w:r>
        <w:rPr>
          <w:rFonts w:ascii="Times New Roman"/>
          <w:szCs w:val="24"/>
        </w:rPr>
        <w:t>错误但因前述原因无法及时更正的，由此造成基金财产或投资人损失，基金管理人和基金托管人免除赔偿责任。但是基金管理人和基金托管人应积极采取必要的措施减轻或消除由此造成的影响。</w:t>
      </w:r>
    </w:p>
    <w:p w14:paraId="13F081A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17.7</w:t>
      </w:r>
      <w:r>
        <w:rPr>
          <w:rFonts w:ascii="Times New Roman"/>
          <w:szCs w:val="24"/>
        </w:rPr>
        <w:t>本协议所指损失均为直接损失。</w:t>
      </w:r>
    </w:p>
    <w:p w14:paraId="0CAA659F" w14:textId="77777777" w:rsidR="005F1E3F" w:rsidRDefault="005F1E3F">
      <w:pPr>
        <w:pStyle w:val="20"/>
        <w:spacing w:before="0" w:after="0" w:line="360" w:lineRule="auto"/>
        <w:ind w:left="0" w:firstLineChars="200" w:firstLine="480"/>
        <w:rPr>
          <w:rFonts w:ascii="Times New Roman"/>
          <w:szCs w:val="24"/>
        </w:rPr>
      </w:pPr>
    </w:p>
    <w:p w14:paraId="0009391A" w14:textId="77777777" w:rsidR="005F1E3F" w:rsidRDefault="006C56E6">
      <w:pPr>
        <w:pStyle w:val="1"/>
        <w:ind w:firstLineChars="200" w:firstLine="482"/>
        <w:rPr>
          <w:rFonts w:ascii="Times New Roman" w:hAnsi="Times New Roman"/>
          <w:bCs/>
          <w:color w:val="auto"/>
          <w:szCs w:val="24"/>
        </w:rPr>
      </w:pPr>
      <w:bookmarkStart w:id="45" w:name="_Toc26170413"/>
      <w:bookmarkStart w:id="46" w:name="_Toc296551354"/>
      <w:r>
        <w:rPr>
          <w:rFonts w:ascii="Times New Roman" w:hAnsi="Times New Roman"/>
          <w:bCs/>
          <w:color w:val="auto"/>
          <w:szCs w:val="24"/>
        </w:rPr>
        <w:t>第十八条</w:t>
      </w:r>
      <w:r>
        <w:rPr>
          <w:rFonts w:ascii="Times New Roman" w:hAnsi="Times New Roman"/>
          <w:bCs/>
          <w:color w:val="auto"/>
          <w:szCs w:val="24"/>
        </w:rPr>
        <w:t xml:space="preserve"> </w:t>
      </w:r>
      <w:r>
        <w:rPr>
          <w:rFonts w:ascii="Times New Roman" w:hAnsi="Times New Roman"/>
          <w:bCs/>
          <w:color w:val="auto"/>
          <w:szCs w:val="24"/>
        </w:rPr>
        <w:t>争议解决方式</w:t>
      </w:r>
      <w:bookmarkEnd w:id="45"/>
      <w:bookmarkEnd w:id="46"/>
    </w:p>
    <w:p w14:paraId="7CE05C57" w14:textId="5D8847B3" w:rsidR="005F1E3F" w:rsidRDefault="006C56E6">
      <w:pPr>
        <w:spacing w:line="360" w:lineRule="auto"/>
        <w:ind w:firstLineChars="200" w:firstLine="480"/>
        <w:rPr>
          <w:bCs/>
          <w:sz w:val="24"/>
        </w:rPr>
      </w:pPr>
      <w:r>
        <w:rPr>
          <w:bCs/>
          <w:sz w:val="24"/>
        </w:rPr>
        <w:t>本协议及本协议项下各方的权利和义务适用中华人民共和国法律（为本协议之目的，不包括香港、澳门和台湾</w:t>
      </w:r>
      <w:r w:rsidR="00EF3397">
        <w:rPr>
          <w:rFonts w:hint="eastAsia"/>
          <w:bCs/>
          <w:sz w:val="24"/>
        </w:rPr>
        <w:t>地区</w:t>
      </w:r>
      <w:r>
        <w:rPr>
          <w:bCs/>
          <w:sz w:val="24"/>
        </w:rPr>
        <w:t>法律），并按照中华人民共和国法律解释。</w:t>
      </w:r>
    </w:p>
    <w:p w14:paraId="46437F83" w14:textId="77777777" w:rsidR="005F1E3F" w:rsidRDefault="006C56E6">
      <w:pPr>
        <w:spacing w:line="360" w:lineRule="auto"/>
        <w:ind w:firstLineChars="200" w:firstLine="480"/>
        <w:rPr>
          <w:bCs/>
          <w:sz w:val="24"/>
        </w:rPr>
      </w:pPr>
      <w:r>
        <w:rPr>
          <w:bCs/>
          <w:sz w:val="24"/>
        </w:rPr>
        <w:t>凡因本协议产生的及与本协议有关的争议，甲乙双方均应协商解决；协商不成的，双方均同意采取以下方式解决：</w:t>
      </w:r>
    </w:p>
    <w:p w14:paraId="267FA4E0" w14:textId="0835EEA6" w:rsidR="005F1E3F" w:rsidRDefault="006C56E6">
      <w:pPr>
        <w:spacing w:line="360" w:lineRule="auto"/>
        <w:ind w:firstLineChars="200" w:firstLine="480"/>
        <w:rPr>
          <w:bCs/>
          <w:sz w:val="24"/>
        </w:rPr>
      </w:pPr>
      <w:r>
        <w:rPr>
          <w:bCs/>
          <w:sz w:val="24"/>
        </w:rPr>
        <w:t>向</w:t>
      </w:r>
      <w:r>
        <w:rPr>
          <w:rFonts w:hint="eastAsia"/>
          <w:bCs/>
          <w:sz w:val="24"/>
        </w:rPr>
        <w:t>广州</w:t>
      </w:r>
      <w:r>
        <w:rPr>
          <w:bCs/>
          <w:sz w:val="24"/>
        </w:rPr>
        <w:t>仲裁委员会申请仲裁，并适用申请仲裁时该会现行有效的仲裁规则。仲裁地点为</w:t>
      </w:r>
      <w:r>
        <w:rPr>
          <w:rFonts w:hint="eastAsia"/>
          <w:bCs/>
          <w:sz w:val="24"/>
        </w:rPr>
        <w:t>广州</w:t>
      </w:r>
      <w:r>
        <w:rPr>
          <w:bCs/>
          <w:sz w:val="24"/>
        </w:rPr>
        <w:t>市。仲裁裁决是终局的，对当事人均有约束力，仲裁费用由败诉方承担，除非仲裁裁决另有决定。</w:t>
      </w:r>
    </w:p>
    <w:p w14:paraId="09E4E884" w14:textId="77777777" w:rsidR="005F1E3F" w:rsidRDefault="006C56E6">
      <w:pPr>
        <w:spacing w:line="360" w:lineRule="auto"/>
        <w:ind w:firstLineChars="200" w:firstLine="480"/>
        <w:rPr>
          <w:bCs/>
          <w:sz w:val="24"/>
        </w:rPr>
      </w:pPr>
      <w:r>
        <w:rPr>
          <w:bCs/>
          <w:sz w:val="24"/>
        </w:rPr>
        <w:t>争议处理期间，双方当事人应恪守基金管理人和基金托管人职责，继续忠实、勤勉、尽责地履行基金合同和托管协议规定的义务，维护基金份额持有人的合法权益。</w:t>
      </w:r>
    </w:p>
    <w:p w14:paraId="2DB8B9D7" w14:textId="77777777" w:rsidR="005F1E3F" w:rsidRDefault="005F1E3F">
      <w:pPr>
        <w:pStyle w:val="20"/>
        <w:spacing w:before="0" w:after="0" w:line="360" w:lineRule="auto"/>
        <w:ind w:left="0" w:firstLineChars="200" w:firstLine="480"/>
        <w:rPr>
          <w:rFonts w:ascii="Times New Roman"/>
          <w:szCs w:val="24"/>
        </w:rPr>
      </w:pPr>
    </w:p>
    <w:p w14:paraId="22BE3530" w14:textId="77777777" w:rsidR="005F1E3F" w:rsidRDefault="006C56E6">
      <w:pPr>
        <w:pStyle w:val="1"/>
        <w:ind w:firstLineChars="200" w:firstLine="482"/>
        <w:rPr>
          <w:rFonts w:ascii="Times New Roman" w:hAnsi="Times New Roman"/>
          <w:bCs/>
          <w:color w:val="auto"/>
          <w:szCs w:val="24"/>
        </w:rPr>
      </w:pPr>
      <w:bookmarkStart w:id="47" w:name="_Toc296551355"/>
      <w:bookmarkStart w:id="48" w:name="_Toc26170414"/>
      <w:r>
        <w:rPr>
          <w:rFonts w:ascii="Times New Roman" w:hAnsi="Times New Roman"/>
          <w:bCs/>
          <w:color w:val="auto"/>
          <w:szCs w:val="24"/>
        </w:rPr>
        <w:t>第十九条</w:t>
      </w:r>
      <w:r>
        <w:rPr>
          <w:rFonts w:ascii="Times New Roman" w:hAnsi="Times New Roman"/>
          <w:bCs/>
          <w:color w:val="auto"/>
          <w:szCs w:val="24"/>
        </w:rPr>
        <w:t xml:space="preserve"> </w:t>
      </w:r>
      <w:r>
        <w:rPr>
          <w:rFonts w:ascii="Times New Roman" w:hAnsi="Times New Roman"/>
          <w:bCs/>
          <w:color w:val="auto"/>
          <w:szCs w:val="24"/>
        </w:rPr>
        <w:t>基金托管协议的效力</w:t>
      </w:r>
      <w:bookmarkEnd w:id="47"/>
      <w:bookmarkEnd w:id="48"/>
    </w:p>
    <w:p w14:paraId="760B423C" w14:textId="77777777" w:rsidR="005F1E3F" w:rsidRDefault="006C56E6">
      <w:pPr>
        <w:pStyle w:val="20"/>
        <w:spacing w:before="0" w:after="0" w:line="360" w:lineRule="auto"/>
        <w:ind w:left="0" w:firstLineChars="200" w:firstLine="480"/>
        <w:rPr>
          <w:rFonts w:ascii="Times New Roman"/>
          <w:szCs w:val="24"/>
        </w:rPr>
      </w:pPr>
      <w:r>
        <w:rPr>
          <w:rFonts w:ascii="Times New Roman"/>
          <w:szCs w:val="24"/>
        </w:rPr>
        <w:t>19.1</w:t>
      </w:r>
      <w:r>
        <w:rPr>
          <w:rFonts w:ascii="Times New Roman"/>
          <w:szCs w:val="24"/>
        </w:rPr>
        <w:t>基金管理人在向中国证监会申请发售基金份额时提交的托管协议草案，应经托管协议当事人加盖公章或合同专用章以及双方法定代表人或授权代理人</w:t>
      </w:r>
      <w:r>
        <w:rPr>
          <w:rFonts w:ascii="Times New Roman" w:hint="eastAsia"/>
          <w:szCs w:val="24"/>
        </w:rPr>
        <w:t>签章（</w:t>
      </w:r>
      <w:r>
        <w:rPr>
          <w:rFonts w:ascii="Times New Roman"/>
          <w:szCs w:val="24"/>
        </w:rPr>
        <w:t>签字或</w:t>
      </w:r>
      <w:r>
        <w:rPr>
          <w:rFonts w:ascii="Times New Roman" w:hint="eastAsia"/>
          <w:szCs w:val="24"/>
        </w:rPr>
        <w:t>加</w:t>
      </w:r>
      <w:r>
        <w:rPr>
          <w:rFonts w:ascii="Times New Roman"/>
          <w:szCs w:val="24"/>
        </w:rPr>
        <w:t>盖</w:t>
      </w:r>
      <w:r>
        <w:rPr>
          <w:rFonts w:ascii="Times New Roman" w:hint="eastAsia"/>
          <w:szCs w:val="24"/>
        </w:rPr>
        <w:t>名</w:t>
      </w:r>
      <w:r>
        <w:rPr>
          <w:rFonts w:ascii="Times New Roman"/>
          <w:szCs w:val="24"/>
        </w:rPr>
        <w:t>章</w:t>
      </w:r>
      <w:r>
        <w:rPr>
          <w:rFonts w:ascii="Times New Roman" w:hint="eastAsia"/>
          <w:szCs w:val="24"/>
        </w:rPr>
        <w:t>）</w:t>
      </w:r>
      <w:r>
        <w:rPr>
          <w:rFonts w:ascii="Times New Roman"/>
          <w:szCs w:val="24"/>
        </w:rPr>
        <w:t>，协议当事人双方可能不时根据中国证监会的意见修改托管协议草案。托管协议以中国证监会注册的文本为正式文本。</w:t>
      </w:r>
    </w:p>
    <w:p w14:paraId="28F8E2C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19.2</w:t>
      </w:r>
      <w:r>
        <w:rPr>
          <w:rFonts w:ascii="Times New Roman"/>
          <w:szCs w:val="24"/>
        </w:rPr>
        <w:t>本托管协议自协议签订之日起成立，自基金合同生效之日起生效。本托管协议的有效期自其生效之日起至该基金财产清算结果报中国证监会备案并公告之日止。</w:t>
      </w:r>
    </w:p>
    <w:p w14:paraId="6F216E45"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19.3</w:t>
      </w:r>
      <w:r>
        <w:rPr>
          <w:rFonts w:ascii="Times New Roman"/>
          <w:szCs w:val="24"/>
        </w:rPr>
        <w:t>本托管协议自生效之日起对托管协议当事人具有同等的法律约束力。</w:t>
      </w:r>
    </w:p>
    <w:p w14:paraId="709035D0"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19.4</w:t>
      </w:r>
      <w:r>
        <w:rPr>
          <w:rFonts w:ascii="Times New Roman"/>
          <w:szCs w:val="24"/>
        </w:rPr>
        <w:t>本托管协议正本一式三份，除上报有关监管机构一份外，基金管理人和基金托管人分别持有一份，每份具有同等的法律效力。</w:t>
      </w:r>
    </w:p>
    <w:p w14:paraId="6B967116" w14:textId="77777777" w:rsidR="005F1E3F" w:rsidRDefault="005F1E3F">
      <w:pPr>
        <w:pStyle w:val="20"/>
        <w:spacing w:before="0" w:after="0" w:line="520" w:lineRule="exact"/>
        <w:ind w:left="0" w:firstLineChars="200" w:firstLine="480"/>
        <w:rPr>
          <w:rFonts w:ascii="Times New Roman"/>
          <w:szCs w:val="24"/>
        </w:rPr>
      </w:pPr>
    </w:p>
    <w:p w14:paraId="057D4A23" w14:textId="77777777" w:rsidR="005F1E3F" w:rsidRDefault="006C56E6">
      <w:pPr>
        <w:pStyle w:val="1"/>
        <w:spacing w:line="520" w:lineRule="exact"/>
        <w:ind w:firstLineChars="200" w:firstLine="482"/>
        <w:rPr>
          <w:rFonts w:ascii="Times New Roman" w:hAnsi="Times New Roman"/>
          <w:bCs/>
          <w:color w:val="auto"/>
          <w:szCs w:val="24"/>
        </w:rPr>
      </w:pPr>
      <w:bookmarkStart w:id="49" w:name="_Toc296551356"/>
      <w:bookmarkStart w:id="50" w:name="_Toc26170415"/>
      <w:r>
        <w:rPr>
          <w:rFonts w:ascii="Times New Roman" w:hAnsi="Times New Roman"/>
          <w:bCs/>
          <w:color w:val="auto"/>
          <w:szCs w:val="24"/>
        </w:rPr>
        <w:t>第二十条</w:t>
      </w:r>
      <w:r>
        <w:rPr>
          <w:rFonts w:ascii="Times New Roman" w:hAnsi="Times New Roman"/>
          <w:bCs/>
          <w:color w:val="auto"/>
          <w:szCs w:val="24"/>
        </w:rPr>
        <w:t xml:space="preserve"> </w:t>
      </w:r>
      <w:r>
        <w:rPr>
          <w:rFonts w:ascii="Times New Roman" w:hAnsi="Times New Roman"/>
          <w:bCs/>
          <w:color w:val="auto"/>
          <w:szCs w:val="24"/>
        </w:rPr>
        <w:t>基金托管协议的签订</w:t>
      </w:r>
      <w:bookmarkEnd w:id="49"/>
      <w:bookmarkEnd w:id="50"/>
    </w:p>
    <w:p w14:paraId="3291DEFB" w14:textId="77777777" w:rsidR="005F1E3F" w:rsidRDefault="006C56E6">
      <w:pPr>
        <w:snapToGrid w:val="0"/>
        <w:spacing w:line="520" w:lineRule="exact"/>
        <w:ind w:firstLineChars="200" w:firstLine="480"/>
        <w:rPr>
          <w:sz w:val="24"/>
          <w:szCs w:val="24"/>
        </w:rPr>
      </w:pPr>
      <w:r>
        <w:rPr>
          <w:sz w:val="24"/>
          <w:szCs w:val="24"/>
        </w:rPr>
        <w:t>20.1</w:t>
      </w:r>
      <w:r>
        <w:rPr>
          <w:sz w:val="24"/>
          <w:szCs w:val="24"/>
        </w:rPr>
        <w:t>本托管协议经基金管理人和基金托管人认可后，由该双方当事人在本托管协议上加盖公章或合同专用章，并由各自的法定代表人或授权代理人</w:t>
      </w:r>
      <w:r>
        <w:rPr>
          <w:rFonts w:hint="eastAsia"/>
          <w:sz w:val="24"/>
          <w:szCs w:val="24"/>
        </w:rPr>
        <w:t>签章（</w:t>
      </w:r>
      <w:r>
        <w:rPr>
          <w:sz w:val="24"/>
          <w:szCs w:val="24"/>
        </w:rPr>
        <w:t>签字或</w:t>
      </w:r>
      <w:r>
        <w:rPr>
          <w:rFonts w:hint="eastAsia"/>
          <w:sz w:val="24"/>
          <w:szCs w:val="24"/>
        </w:rPr>
        <w:t>加</w:t>
      </w:r>
      <w:r>
        <w:rPr>
          <w:sz w:val="24"/>
          <w:szCs w:val="24"/>
        </w:rPr>
        <w:t>盖</w:t>
      </w:r>
      <w:r>
        <w:rPr>
          <w:rFonts w:hint="eastAsia"/>
          <w:sz w:val="24"/>
          <w:szCs w:val="24"/>
        </w:rPr>
        <w:t>名</w:t>
      </w:r>
      <w:r>
        <w:rPr>
          <w:sz w:val="24"/>
          <w:szCs w:val="24"/>
        </w:rPr>
        <w:t>章</w:t>
      </w:r>
      <w:r>
        <w:rPr>
          <w:rFonts w:hint="eastAsia"/>
          <w:sz w:val="24"/>
          <w:szCs w:val="24"/>
        </w:rPr>
        <w:t>）</w:t>
      </w:r>
      <w:r>
        <w:rPr>
          <w:sz w:val="24"/>
          <w:szCs w:val="24"/>
        </w:rPr>
        <w:t>，并注明本托管协议的签订地点和签订日期。</w:t>
      </w:r>
    </w:p>
    <w:p w14:paraId="21241ADA" w14:textId="77777777" w:rsidR="005F1E3F" w:rsidRDefault="005F1E3F">
      <w:pPr>
        <w:pStyle w:val="20"/>
        <w:spacing w:before="0" w:after="0" w:line="520" w:lineRule="exact"/>
        <w:ind w:left="0" w:firstLineChars="200" w:firstLine="480"/>
        <w:rPr>
          <w:rFonts w:ascii="Times New Roman"/>
          <w:szCs w:val="24"/>
        </w:rPr>
      </w:pPr>
    </w:p>
    <w:p w14:paraId="0126E49B" w14:textId="77777777" w:rsidR="005F1E3F" w:rsidRDefault="006C56E6">
      <w:pPr>
        <w:pStyle w:val="1"/>
        <w:spacing w:line="520" w:lineRule="exact"/>
        <w:ind w:firstLineChars="200" w:firstLine="482"/>
        <w:rPr>
          <w:rFonts w:ascii="Times New Roman" w:hAnsi="Times New Roman"/>
          <w:bCs/>
          <w:color w:val="auto"/>
          <w:szCs w:val="24"/>
        </w:rPr>
      </w:pPr>
      <w:bookmarkStart w:id="51" w:name="_Toc26170416"/>
      <w:r>
        <w:rPr>
          <w:rFonts w:ascii="Times New Roman" w:hAnsi="Times New Roman"/>
          <w:bCs/>
          <w:color w:val="auto"/>
          <w:szCs w:val="24"/>
        </w:rPr>
        <w:t>第二十一条</w:t>
      </w:r>
      <w:r>
        <w:rPr>
          <w:rFonts w:ascii="Times New Roman" w:hAnsi="Times New Roman"/>
          <w:bCs/>
          <w:color w:val="auto"/>
          <w:szCs w:val="24"/>
        </w:rPr>
        <w:t xml:space="preserve"> </w:t>
      </w:r>
      <w:r>
        <w:rPr>
          <w:rFonts w:ascii="Times New Roman" w:hAnsi="Times New Roman"/>
          <w:bCs/>
          <w:color w:val="auto"/>
          <w:szCs w:val="24"/>
        </w:rPr>
        <w:t>不可抗力</w:t>
      </w:r>
      <w:bookmarkEnd w:id="51"/>
    </w:p>
    <w:p w14:paraId="4C1CC5C1"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21.1</w:t>
      </w:r>
      <w:r>
        <w:rPr>
          <w:rFonts w:ascii="Times New Roman"/>
          <w:szCs w:val="24"/>
        </w:rPr>
        <w:t>如果本协议任何一方因受不可抗力事件影响而未能履行其在本协议下的全部或部分义务，该义务的履行在不可抗力事件妨碍其履行期间应予中止。</w:t>
      </w:r>
    </w:p>
    <w:p w14:paraId="06DB66D8"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21.2</w:t>
      </w:r>
      <w:r>
        <w:rPr>
          <w:rFonts w:ascii="Times New Roman"/>
          <w:szCs w:val="24"/>
        </w:rPr>
        <w:t>声称受到不可抗力事件影响的一方应尽可能在最短的时间内通过书面形式将不可抗力事件的发生通知其他当事人，并及时向其他当事人提供关于此种不可抗力事件的适当证据。声称不可抗力事件导致其对本协议的履行在客观上成为不可能或不实际的一方，有责任尽一切合理的努力消除或减轻此等不可抗力事件的影响。</w:t>
      </w:r>
    </w:p>
    <w:p w14:paraId="2A05105C"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21.3</w:t>
      </w:r>
      <w:r>
        <w:rPr>
          <w:rFonts w:ascii="Times New Roman"/>
          <w:szCs w:val="24"/>
        </w:rPr>
        <w:t>不可抗力事件发生时，各方应立即通过友好协商决定如何执行本协议。不可抗力事件或其影响终止或消除后，各方须立即恢复履行各自在本协议项下的各项义务。</w:t>
      </w:r>
    </w:p>
    <w:p w14:paraId="1F51737D"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21.4</w:t>
      </w:r>
      <w:r>
        <w:rPr>
          <w:rFonts w:ascii="Times New Roman"/>
          <w:szCs w:val="24"/>
        </w:rPr>
        <w:t>本条所述的不可抗力事件是指不能预见、不能避免并不能克服的客观情况。</w:t>
      </w:r>
    </w:p>
    <w:p w14:paraId="12C842A0" w14:textId="77777777" w:rsidR="005F1E3F" w:rsidRDefault="005F1E3F">
      <w:pPr>
        <w:pStyle w:val="20"/>
        <w:spacing w:before="0" w:after="0" w:line="520" w:lineRule="exact"/>
        <w:ind w:left="0" w:firstLineChars="200" w:firstLine="480"/>
        <w:rPr>
          <w:rFonts w:ascii="Times New Roman"/>
          <w:szCs w:val="24"/>
        </w:rPr>
      </w:pPr>
    </w:p>
    <w:p w14:paraId="27B0C127" w14:textId="77777777" w:rsidR="005F1E3F" w:rsidRDefault="006C56E6">
      <w:pPr>
        <w:pStyle w:val="1"/>
        <w:spacing w:line="520" w:lineRule="exact"/>
        <w:ind w:firstLineChars="200" w:firstLine="482"/>
        <w:rPr>
          <w:rFonts w:ascii="Times New Roman" w:hAnsi="Times New Roman"/>
          <w:bCs/>
          <w:szCs w:val="24"/>
        </w:rPr>
      </w:pPr>
      <w:bookmarkStart w:id="52" w:name="_Toc132794329"/>
      <w:bookmarkStart w:id="53" w:name="_Toc132794324"/>
      <w:bookmarkStart w:id="54" w:name="_Toc132794328"/>
      <w:bookmarkStart w:id="55" w:name="_Toc132794327"/>
      <w:bookmarkStart w:id="56" w:name="_Toc132794330"/>
      <w:bookmarkStart w:id="57" w:name="_Toc132794325"/>
      <w:bookmarkStart w:id="58" w:name="_Toc132794326"/>
      <w:bookmarkStart w:id="59" w:name="_Toc26170417"/>
      <w:bookmarkEnd w:id="52"/>
      <w:bookmarkEnd w:id="53"/>
      <w:bookmarkEnd w:id="54"/>
      <w:bookmarkEnd w:id="55"/>
      <w:bookmarkEnd w:id="56"/>
      <w:bookmarkEnd w:id="57"/>
      <w:bookmarkEnd w:id="58"/>
      <w:r>
        <w:rPr>
          <w:rFonts w:ascii="Times New Roman" w:hAnsi="Times New Roman"/>
          <w:bCs/>
          <w:color w:val="auto"/>
          <w:szCs w:val="24"/>
        </w:rPr>
        <w:t>第二十二条</w:t>
      </w:r>
      <w:r>
        <w:rPr>
          <w:rFonts w:ascii="Times New Roman" w:hAnsi="Times New Roman"/>
          <w:bCs/>
          <w:color w:val="auto"/>
          <w:szCs w:val="24"/>
        </w:rPr>
        <w:t xml:space="preserve"> </w:t>
      </w:r>
      <w:r>
        <w:rPr>
          <w:rFonts w:ascii="Times New Roman" w:hAnsi="Times New Roman"/>
          <w:bCs/>
          <w:color w:val="auto"/>
          <w:szCs w:val="24"/>
        </w:rPr>
        <w:t>可分割性</w:t>
      </w:r>
      <w:bookmarkEnd w:id="59"/>
    </w:p>
    <w:p w14:paraId="42EEC484" w14:textId="77777777" w:rsidR="005F1E3F" w:rsidRDefault="006C56E6">
      <w:pPr>
        <w:pStyle w:val="20"/>
        <w:spacing w:before="0" w:after="0" w:line="520" w:lineRule="exact"/>
        <w:ind w:left="0" w:firstLineChars="200" w:firstLine="480"/>
        <w:rPr>
          <w:rFonts w:ascii="Times New Roman"/>
          <w:szCs w:val="24"/>
        </w:rPr>
      </w:pPr>
      <w:r>
        <w:rPr>
          <w:rFonts w:ascii="Times New Roman"/>
          <w:szCs w:val="24"/>
        </w:rPr>
        <w:t>22.1</w:t>
      </w:r>
      <w:r>
        <w:rPr>
          <w:rFonts w:ascii="Times New Roman"/>
          <w:szCs w:val="24"/>
        </w:rPr>
        <w:t>如果本协议任何约定依现行法律被确定为无效或无法实施，本协议的其他条款将继续有效。此种情况下，各方将积极协商以达成有效的约定，且该有效约定应尽可能接近原规定和本协议相应的精神和宗旨。</w:t>
      </w:r>
    </w:p>
    <w:p w14:paraId="5CF5E381" w14:textId="77777777" w:rsidR="005F1E3F" w:rsidRDefault="005F1E3F">
      <w:pPr>
        <w:pStyle w:val="20"/>
        <w:spacing w:line="520" w:lineRule="exact"/>
        <w:rPr>
          <w:rFonts w:ascii="Times New Roman"/>
          <w:sz w:val="28"/>
          <w:szCs w:val="28"/>
        </w:rPr>
      </w:pPr>
    </w:p>
    <w:p w14:paraId="6025A6C0" w14:textId="77777777" w:rsidR="005F1E3F" w:rsidRDefault="006C56E6">
      <w:pPr>
        <w:pStyle w:val="1"/>
        <w:spacing w:line="520" w:lineRule="exact"/>
        <w:ind w:firstLineChars="200" w:firstLine="482"/>
        <w:rPr>
          <w:rFonts w:ascii="Times New Roman" w:hAnsi="Times New Roman"/>
          <w:bCs/>
          <w:szCs w:val="24"/>
        </w:rPr>
      </w:pPr>
      <w:bookmarkStart w:id="60" w:name="_Toc26170418"/>
      <w:r>
        <w:rPr>
          <w:rFonts w:ascii="Times New Roman" w:hAnsi="Times New Roman"/>
          <w:bCs/>
          <w:color w:val="auto"/>
          <w:szCs w:val="24"/>
        </w:rPr>
        <w:t>第二十三条</w:t>
      </w:r>
      <w:r>
        <w:rPr>
          <w:rFonts w:ascii="Times New Roman" w:hAnsi="Times New Roman"/>
          <w:bCs/>
          <w:color w:val="auto"/>
          <w:szCs w:val="24"/>
        </w:rPr>
        <w:t xml:space="preserve"> </w:t>
      </w:r>
      <w:r>
        <w:rPr>
          <w:rFonts w:ascii="Times New Roman" w:hAnsi="Times New Roman"/>
          <w:bCs/>
          <w:color w:val="auto"/>
          <w:szCs w:val="24"/>
        </w:rPr>
        <w:t>通知与送达</w:t>
      </w:r>
      <w:bookmarkEnd w:id="60"/>
    </w:p>
    <w:p w14:paraId="1F7AFA41" w14:textId="77777777" w:rsidR="005F1E3F" w:rsidRDefault="006C56E6">
      <w:pPr>
        <w:pStyle w:val="20"/>
        <w:spacing w:line="520" w:lineRule="exact"/>
        <w:ind w:left="0" w:firstLineChars="200" w:firstLine="480"/>
        <w:rPr>
          <w:rFonts w:ascii="Times New Roman"/>
          <w:szCs w:val="24"/>
        </w:rPr>
      </w:pPr>
      <w:r>
        <w:rPr>
          <w:rFonts w:ascii="Times New Roman"/>
          <w:szCs w:val="24"/>
        </w:rPr>
        <w:t>23.1</w:t>
      </w:r>
      <w:r>
        <w:rPr>
          <w:rFonts w:ascii="Times New Roman"/>
          <w:szCs w:val="24"/>
        </w:rPr>
        <w:t>除本协议另有约定外，按本协议约定由任何一方发给其他方的正式通知或者书面通讯，应以挂号邮寄、图文传真、快递或者其他通讯形式发出，送至各方通知地址。</w:t>
      </w:r>
    </w:p>
    <w:p w14:paraId="4BDF55AC" w14:textId="77777777" w:rsidR="005F1E3F" w:rsidRDefault="006C56E6">
      <w:pPr>
        <w:pStyle w:val="20"/>
        <w:spacing w:line="520" w:lineRule="exact"/>
        <w:ind w:left="0" w:firstLineChars="200" w:firstLine="480"/>
        <w:rPr>
          <w:rFonts w:ascii="Times New Roman"/>
          <w:szCs w:val="24"/>
        </w:rPr>
      </w:pPr>
      <w:r>
        <w:rPr>
          <w:rFonts w:ascii="Times New Roman"/>
          <w:szCs w:val="24"/>
        </w:rPr>
        <w:t>23.2</w:t>
      </w:r>
      <w:r>
        <w:rPr>
          <w:rFonts w:ascii="Times New Roman"/>
          <w:szCs w:val="24"/>
        </w:rPr>
        <w:t>本协议各方的通知地址如下：</w:t>
      </w:r>
    </w:p>
    <w:p w14:paraId="51E67AF4" w14:textId="77777777" w:rsidR="005F1E3F" w:rsidRDefault="006C56E6">
      <w:pPr>
        <w:pStyle w:val="20"/>
        <w:spacing w:line="520" w:lineRule="exact"/>
        <w:ind w:left="0" w:firstLineChars="200" w:firstLine="480"/>
        <w:rPr>
          <w:rFonts w:ascii="Times New Roman"/>
          <w:szCs w:val="24"/>
        </w:rPr>
      </w:pPr>
      <w:r>
        <w:rPr>
          <w:rFonts w:ascii="Times New Roman"/>
          <w:szCs w:val="24"/>
        </w:rPr>
        <w:lastRenderedPageBreak/>
        <w:t>基金管理人：广发基金管理有限公司</w:t>
      </w:r>
    </w:p>
    <w:p w14:paraId="1207C9D2" w14:textId="77777777" w:rsidR="005F1E3F" w:rsidRDefault="006C56E6">
      <w:pPr>
        <w:pStyle w:val="20"/>
        <w:spacing w:line="520" w:lineRule="exact"/>
        <w:ind w:left="0" w:firstLineChars="200" w:firstLine="480"/>
        <w:rPr>
          <w:rFonts w:ascii="Times New Roman"/>
          <w:szCs w:val="24"/>
        </w:rPr>
      </w:pPr>
      <w:r>
        <w:rPr>
          <w:rFonts w:ascii="Times New Roman"/>
          <w:szCs w:val="24"/>
        </w:rPr>
        <w:t>联系人：广发基金产品设计部</w:t>
      </w:r>
    </w:p>
    <w:p w14:paraId="4FD63556" w14:textId="77777777" w:rsidR="005F1E3F" w:rsidRDefault="006C56E6">
      <w:pPr>
        <w:pStyle w:val="20"/>
        <w:spacing w:line="520" w:lineRule="exact"/>
        <w:ind w:left="0" w:firstLineChars="200" w:firstLine="480"/>
        <w:rPr>
          <w:rFonts w:ascii="Times New Roman"/>
          <w:szCs w:val="28"/>
        </w:rPr>
      </w:pPr>
      <w:r>
        <w:rPr>
          <w:rFonts w:ascii="Times New Roman"/>
          <w:szCs w:val="28"/>
        </w:rPr>
        <w:t>通信地址：广州市海珠区</w:t>
      </w:r>
      <w:proofErr w:type="gramStart"/>
      <w:r>
        <w:rPr>
          <w:rFonts w:ascii="Times New Roman"/>
          <w:szCs w:val="28"/>
        </w:rPr>
        <w:t>琶</w:t>
      </w:r>
      <w:proofErr w:type="gramEnd"/>
      <w:r>
        <w:rPr>
          <w:rFonts w:ascii="Times New Roman"/>
          <w:szCs w:val="28"/>
        </w:rPr>
        <w:t>洲大道东一号保利国际广场南塔</w:t>
      </w:r>
      <w:r>
        <w:rPr>
          <w:rFonts w:ascii="Times New Roman"/>
          <w:szCs w:val="28"/>
        </w:rPr>
        <w:t>17</w:t>
      </w:r>
      <w:r>
        <w:rPr>
          <w:rFonts w:ascii="Times New Roman"/>
          <w:szCs w:val="28"/>
        </w:rPr>
        <w:t>楼</w:t>
      </w:r>
    </w:p>
    <w:p w14:paraId="045AE0F2" w14:textId="77777777" w:rsidR="005F1E3F" w:rsidRDefault="006C56E6">
      <w:pPr>
        <w:pStyle w:val="20"/>
        <w:spacing w:line="520" w:lineRule="exact"/>
        <w:ind w:left="0" w:firstLineChars="200" w:firstLine="480"/>
        <w:rPr>
          <w:rFonts w:ascii="Times New Roman"/>
          <w:szCs w:val="28"/>
        </w:rPr>
      </w:pPr>
      <w:r>
        <w:rPr>
          <w:rFonts w:ascii="Times New Roman"/>
          <w:szCs w:val="28"/>
        </w:rPr>
        <w:t>电话：</w:t>
      </w:r>
      <w:r>
        <w:rPr>
          <w:rFonts w:ascii="Times New Roman"/>
          <w:szCs w:val="28"/>
        </w:rPr>
        <w:t>020-83936666</w:t>
      </w:r>
    </w:p>
    <w:p w14:paraId="63703741" w14:textId="77777777" w:rsidR="005F1E3F" w:rsidRDefault="006C56E6">
      <w:pPr>
        <w:pStyle w:val="20"/>
        <w:spacing w:line="520" w:lineRule="exact"/>
        <w:ind w:left="0" w:firstLineChars="200" w:firstLine="480"/>
        <w:rPr>
          <w:rFonts w:ascii="Times New Roman"/>
          <w:szCs w:val="28"/>
        </w:rPr>
      </w:pPr>
      <w:r>
        <w:rPr>
          <w:rFonts w:ascii="Times New Roman"/>
          <w:szCs w:val="28"/>
        </w:rPr>
        <w:t>传真：</w:t>
      </w:r>
      <w:r>
        <w:rPr>
          <w:rFonts w:ascii="Times New Roman"/>
          <w:szCs w:val="28"/>
        </w:rPr>
        <w:t>020-89899158</w:t>
      </w:r>
    </w:p>
    <w:p w14:paraId="66306BCC" w14:textId="77777777" w:rsidR="005F1E3F" w:rsidRDefault="006C56E6">
      <w:pPr>
        <w:pStyle w:val="20"/>
        <w:spacing w:line="520" w:lineRule="exact"/>
        <w:ind w:left="0" w:firstLineChars="200" w:firstLine="480"/>
        <w:rPr>
          <w:rFonts w:ascii="Times New Roman"/>
          <w:szCs w:val="24"/>
        </w:rPr>
      </w:pPr>
      <w:r>
        <w:rPr>
          <w:rFonts w:ascii="Times New Roman"/>
          <w:szCs w:val="24"/>
        </w:rPr>
        <w:t>基金托管人：中信银行股份有限公司</w:t>
      </w:r>
    </w:p>
    <w:p w14:paraId="3C0CFBC0" w14:textId="77777777" w:rsidR="005F1E3F" w:rsidRDefault="006C56E6">
      <w:pPr>
        <w:pStyle w:val="20"/>
        <w:spacing w:line="520" w:lineRule="exact"/>
        <w:ind w:left="0" w:firstLineChars="200" w:firstLine="480"/>
        <w:rPr>
          <w:rFonts w:ascii="Times New Roman"/>
          <w:szCs w:val="24"/>
        </w:rPr>
      </w:pPr>
      <w:r>
        <w:rPr>
          <w:rFonts w:ascii="Times New Roman"/>
          <w:szCs w:val="24"/>
        </w:rPr>
        <w:t>联系人：</w:t>
      </w:r>
      <w:r>
        <w:rPr>
          <w:rFonts w:ascii="Times New Roman"/>
          <w:szCs w:val="28"/>
        </w:rPr>
        <w:t>中信银行资产托管部</w:t>
      </w:r>
    </w:p>
    <w:p w14:paraId="5922D4CF" w14:textId="77777777" w:rsidR="005F1E3F" w:rsidRDefault="006C56E6">
      <w:pPr>
        <w:pStyle w:val="20"/>
        <w:spacing w:line="520" w:lineRule="exact"/>
        <w:ind w:left="0" w:firstLineChars="200" w:firstLine="480"/>
        <w:rPr>
          <w:rFonts w:ascii="Times New Roman"/>
          <w:szCs w:val="24"/>
        </w:rPr>
      </w:pPr>
      <w:r>
        <w:rPr>
          <w:rFonts w:ascii="Times New Roman"/>
          <w:szCs w:val="24"/>
        </w:rPr>
        <w:t>通信地址：北京市朝阳区光华路</w:t>
      </w:r>
      <w:r>
        <w:rPr>
          <w:rFonts w:ascii="Times New Roman"/>
          <w:szCs w:val="24"/>
        </w:rPr>
        <w:t>10</w:t>
      </w:r>
      <w:r>
        <w:rPr>
          <w:rFonts w:ascii="Times New Roman"/>
          <w:szCs w:val="24"/>
        </w:rPr>
        <w:t>号院</w:t>
      </w:r>
      <w:r>
        <w:rPr>
          <w:rFonts w:ascii="Times New Roman"/>
          <w:szCs w:val="24"/>
        </w:rPr>
        <w:t>1</w:t>
      </w:r>
      <w:r>
        <w:rPr>
          <w:rFonts w:ascii="Times New Roman"/>
          <w:szCs w:val="24"/>
        </w:rPr>
        <w:t>号楼</w:t>
      </w:r>
      <w:r>
        <w:rPr>
          <w:rFonts w:ascii="Times New Roman"/>
          <w:szCs w:val="24"/>
        </w:rPr>
        <w:t>6-30</w:t>
      </w:r>
      <w:r>
        <w:rPr>
          <w:rFonts w:ascii="Times New Roman"/>
          <w:szCs w:val="24"/>
        </w:rPr>
        <w:t>层、</w:t>
      </w:r>
      <w:r>
        <w:rPr>
          <w:rFonts w:ascii="Times New Roman"/>
          <w:szCs w:val="24"/>
        </w:rPr>
        <w:t>32-42</w:t>
      </w:r>
      <w:r>
        <w:rPr>
          <w:rFonts w:ascii="Times New Roman"/>
          <w:szCs w:val="24"/>
        </w:rPr>
        <w:t>层</w:t>
      </w:r>
    </w:p>
    <w:p w14:paraId="284ADDCC" w14:textId="77777777" w:rsidR="005F1E3F" w:rsidRDefault="006C56E6">
      <w:pPr>
        <w:pStyle w:val="20"/>
        <w:spacing w:line="520" w:lineRule="exact"/>
        <w:ind w:left="0" w:firstLineChars="200" w:firstLine="480"/>
        <w:rPr>
          <w:rFonts w:ascii="Times New Roman"/>
          <w:szCs w:val="24"/>
        </w:rPr>
      </w:pPr>
      <w:r>
        <w:rPr>
          <w:rFonts w:ascii="Times New Roman"/>
          <w:szCs w:val="24"/>
        </w:rPr>
        <w:t>电话：</w:t>
      </w:r>
      <w:r>
        <w:rPr>
          <w:rFonts w:ascii="Times New Roman"/>
          <w:szCs w:val="28"/>
        </w:rPr>
        <w:t>4006800000</w:t>
      </w:r>
    </w:p>
    <w:p w14:paraId="5B2B915B" w14:textId="77777777" w:rsidR="005F1E3F" w:rsidRDefault="006C56E6">
      <w:pPr>
        <w:pStyle w:val="20"/>
        <w:spacing w:line="520" w:lineRule="exact"/>
        <w:ind w:left="0" w:firstLineChars="200" w:firstLine="480"/>
        <w:rPr>
          <w:rFonts w:ascii="Times New Roman"/>
          <w:szCs w:val="24"/>
        </w:rPr>
      </w:pPr>
      <w:r>
        <w:rPr>
          <w:rFonts w:ascii="Times New Roman"/>
          <w:szCs w:val="24"/>
        </w:rPr>
        <w:t>传真：</w:t>
      </w:r>
      <w:r>
        <w:rPr>
          <w:rFonts w:ascii="Times New Roman"/>
          <w:szCs w:val="24"/>
        </w:rPr>
        <w:t>010-85230024</w:t>
      </w:r>
    </w:p>
    <w:p w14:paraId="31743D61" w14:textId="77777777" w:rsidR="005F1E3F" w:rsidRDefault="006C56E6">
      <w:pPr>
        <w:pStyle w:val="20"/>
        <w:spacing w:line="520" w:lineRule="exact"/>
        <w:ind w:left="0" w:firstLineChars="200" w:firstLine="480"/>
        <w:rPr>
          <w:rFonts w:ascii="Times New Roman"/>
          <w:szCs w:val="24"/>
        </w:rPr>
      </w:pPr>
      <w:r>
        <w:rPr>
          <w:rFonts w:ascii="Times New Roman"/>
          <w:szCs w:val="24"/>
        </w:rPr>
        <w:t>23.3</w:t>
      </w:r>
      <w:r>
        <w:rPr>
          <w:rFonts w:ascii="Times New Roman"/>
          <w:szCs w:val="24"/>
        </w:rPr>
        <w:t>如采用挂号邮寄方式，上述文件或通知在投邮后第</w:t>
      </w:r>
      <w:r>
        <w:rPr>
          <w:rFonts w:ascii="Times New Roman"/>
          <w:szCs w:val="24"/>
        </w:rPr>
        <w:t>4</w:t>
      </w:r>
      <w:r>
        <w:rPr>
          <w:rFonts w:ascii="Times New Roman"/>
          <w:szCs w:val="24"/>
        </w:rPr>
        <w:t>日，即视为送达；如采用快递方式，上述文件或通知在投邮后第</w:t>
      </w:r>
      <w:r>
        <w:rPr>
          <w:rFonts w:ascii="Times New Roman"/>
          <w:szCs w:val="24"/>
        </w:rPr>
        <w:t>2</w:t>
      </w:r>
      <w:r>
        <w:rPr>
          <w:rFonts w:ascii="Times New Roman"/>
          <w:szCs w:val="24"/>
        </w:rPr>
        <w:t>日，即视为送达；如采用图文传真方式，发送成功回执所示之日，即视为送达。</w:t>
      </w:r>
    </w:p>
    <w:p w14:paraId="53638C9A" w14:textId="77777777" w:rsidR="005F1E3F" w:rsidRDefault="006C56E6">
      <w:pPr>
        <w:pStyle w:val="20"/>
        <w:spacing w:line="520" w:lineRule="exact"/>
        <w:ind w:left="0" w:firstLineChars="200" w:firstLine="480"/>
        <w:rPr>
          <w:rFonts w:ascii="Times New Roman"/>
          <w:szCs w:val="24"/>
        </w:rPr>
      </w:pPr>
      <w:r>
        <w:rPr>
          <w:rFonts w:ascii="Times New Roman"/>
          <w:szCs w:val="24"/>
        </w:rPr>
        <w:t>23.4</w:t>
      </w:r>
      <w:r>
        <w:rPr>
          <w:rFonts w:ascii="Times New Roman"/>
          <w:szCs w:val="24"/>
        </w:rPr>
        <w:t>如果联系方式之任何一项发生变更，相关方应在变更后</w:t>
      </w:r>
      <w:r>
        <w:rPr>
          <w:rFonts w:ascii="Times New Roman"/>
          <w:szCs w:val="24"/>
        </w:rPr>
        <w:t>7</w:t>
      </w:r>
      <w:r>
        <w:rPr>
          <w:rFonts w:ascii="Times New Roman"/>
          <w:szCs w:val="24"/>
        </w:rPr>
        <w:t>日内将更改后的联系方式按本条的约定书面通知对方。此后，本条约定的文件或通知应按变更后的联系方式送达，如相关方未能及时通知的，由此引发的全部不利后果由责任方承担。</w:t>
      </w:r>
    </w:p>
    <w:p w14:paraId="2D15CC09" w14:textId="77777777" w:rsidR="005F1E3F" w:rsidRDefault="005F1E3F">
      <w:pPr>
        <w:pStyle w:val="20"/>
        <w:spacing w:before="0" w:after="0" w:line="520" w:lineRule="exact"/>
        <w:ind w:left="0"/>
        <w:rPr>
          <w:rFonts w:ascii="Times New Roman"/>
          <w:szCs w:val="24"/>
        </w:rPr>
      </w:pPr>
    </w:p>
    <w:p w14:paraId="384131D0" w14:textId="77777777" w:rsidR="005F1E3F" w:rsidRDefault="006C56E6">
      <w:pPr>
        <w:widowControl/>
        <w:jc w:val="left"/>
        <w:rPr>
          <w:sz w:val="28"/>
          <w:szCs w:val="28"/>
        </w:rPr>
      </w:pPr>
      <w:r>
        <w:rPr>
          <w:sz w:val="28"/>
          <w:szCs w:val="28"/>
        </w:rPr>
        <w:br w:type="page"/>
      </w:r>
    </w:p>
    <w:p w14:paraId="3820C969" w14:textId="700D4085" w:rsidR="005F1E3F" w:rsidRDefault="006C56E6">
      <w:pPr>
        <w:pStyle w:val="20"/>
        <w:spacing w:before="0" w:after="0" w:line="520" w:lineRule="exact"/>
        <w:ind w:left="0"/>
        <w:rPr>
          <w:rFonts w:ascii="Times New Roman"/>
          <w:szCs w:val="24"/>
        </w:rPr>
      </w:pPr>
      <w:r>
        <w:rPr>
          <w:rFonts w:ascii="Times New Roman"/>
          <w:szCs w:val="24"/>
        </w:rPr>
        <w:lastRenderedPageBreak/>
        <w:t>（本页无正文，为《广发中证</w:t>
      </w:r>
      <w:r>
        <w:rPr>
          <w:rFonts w:ascii="Times New Roman"/>
          <w:szCs w:val="24"/>
        </w:rPr>
        <w:t>800</w:t>
      </w:r>
      <w:r>
        <w:rPr>
          <w:rFonts w:ascii="Times New Roman"/>
          <w:szCs w:val="24"/>
        </w:rPr>
        <w:t>自由现金流交易型开放式指数证券投资基金发起式联接基金托管协议》签署页）</w:t>
      </w:r>
    </w:p>
    <w:p w14:paraId="5CDB9A9C" w14:textId="77777777" w:rsidR="005F1E3F" w:rsidRDefault="005F1E3F">
      <w:pPr>
        <w:pStyle w:val="20"/>
        <w:spacing w:before="0" w:after="0" w:line="520" w:lineRule="exact"/>
        <w:ind w:left="0" w:firstLineChars="200" w:firstLine="480"/>
        <w:rPr>
          <w:rFonts w:ascii="Times New Roman"/>
          <w:szCs w:val="24"/>
        </w:rPr>
      </w:pPr>
    </w:p>
    <w:p w14:paraId="6FC727DD" w14:textId="77777777" w:rsidR="005F1E3F" w:rsidRDefault="005F1E3F">
      <w:pPr>
        <w:pStyle w:val="20"/>
        <w:spacing w:before="0" w:after="0" w:line="520" w:lineRule="exact"/>
        <w:ind w:left="0" w:firstLineChars="200" w:firstLine="480"/>
        <w:rPr>
          <w:rFonts w:ascii="Times New Roman"/>
          <w:szCs w:val="24"/>
        </w:rPr>
      </w:pPr>
    </w:p>
    <w:p w14:paraId="46513748" w14:textId="77777777" w:rsidR="005F1E3F" w:rsidRDefault="005F1E3F">
      <w:pPr>
        <w:pStyle w:val="20"/>
        <w:spacing w:before="0" w:after="0" w:line="520" w:lineRule="exact"/>
        <w:ind w:left="0" w:firstLineChars="200" w:firstLine="480"/>
        <w:rPr>
          <w:rFonts w:ascii="Times New Roman"/>
          <w:szCs w:val="24"/>
        </w:rPr>
      </w:pPr>
    </w:p>
    <w:p w14:paraId="34C29182" w14:textId="77777777" w:rsidR="005F1E3F" w:rsidRDefault="006C56E6">
      <w:pPr>
        <w:pStyle w:val="20"/>
        <w:spacing w:before="0" w:after="0" w:line="520" w:lineRule="exact"/>
        <w:ind w:left="0"/>
        <w:rPr>
          <w:rFonts w:ascii="Times New Roman"/>
          <w:szCs w:val="24"/>
        </w:rPr>
      </w:pPr>
      <w:r>
        <w:rPr>
          <w:rFonts w:ascii="Times New Roman"/>
          <w:szCs w:val="24"/>
        </w:rPr>
        <w:t>基金管理人：广发基金管理有限公司（盖章）</w:t>
      </w:r>
    </w:p>
    <w:p w14:paraId="27550597" w14:textId="77777777" w:rsidR="005F1E3F" w:rsidRDefault="005F1E3F">
      <w:pPr>
        <w:pStyle w:val="20"/>
        <w:spacing w:before="0" w:after="0" w:line="520" w:lineRule="exact"/>
        <w:ind w:left="0"/>
        <w:rPr>
          <w:rFonts w:ascii="Times New Roman"/>
          <w:szCs w:val="24"/>
        </w:rPr>
      </w:pPr>
    </w:p>
    <w:p w14:paraId="03C431C6" w14:textId="77777777" w:rsidR="005F1E3F" w:rsidRDefault="005F1E3F">
      <w:pPr>
        <w:pStyle w:val="20"/>
        <w:spacing w:before="0" w:after="0" w:line="520" w:lineRule="exact"/>
        <w:ind w:left="0"/>
        <w:rPr>
          <w:rFonts w:ascii="Times New Roman"/>
          <w:szCs w:val="24"/>
        </w:rPr>
      </w:pPr>
    </w:p>
    <w:p w14:paraId="18B62A16" w14:textId="5FFD8254" w:rsidR="005F1E3F" w:rsidRDefault="006C56E6">
      <w:pPr>
        <w:pStyle w:val="20"/>
        <w:spacing w:before="0" w:after="0" w:line="520" w:lineRule="exact"/>
        <w:ind w:left="0"/>
        <w:rPr>
          <w:rFonts w:ascii="Times New Roman"/>
          <w:szCs w:val="24"/>
        </w:rPr>
      </w:pPr>
      <w:r>
        <w:rPr>
          <w:rFonts w:ascii="Times New Roman"/>
          <w:szCs w:val="24"/>
        </w:rPr>
        <w:t>法定代表人或授权代表（</w:t>
      </w:r>
      <w:r>
        <w:rPr>
          <w:rFonts w:ascii="Times New Roman"/>
        </w:rPr>
        <w:t>签章</w:t>
      </w:r>
      <w:r>
        <w:rPr>
          <w:rFonts w:ascii="Times New Roman"/>
          <w:szCs w:val="24"/>
        </w:rPr>
        <w:t>）：</w:t>
      </w:r>
      <w:r>
        <w:rPr>
          <w:rFonts w:ascii="Times New Roman"/>
          <w:szCs w:val="24"/>
        </w:rPr>
        <w:t xml:space="preserve">           </w:t>
      </w:r>
    </w:p>
    <w:p w14:paraId="1F794777" w14:textId="77777777" w:rsidR="005F1E3F" w:rsidRDefault="005F1E3F">
      <w:pPr>
        <w:pStyle w:val="20"/>
        <w:spacing w:before="0" w:after="0" w:line="520" w:lineRule="exact"/>
        <w:ind w:left="0" w:firstLineChars="200" w:firstLine="480"/>
        <w:rPr>
          <w:rFonts w:ascii="Times New Roman"/>
          <w:szCs w:val="24"/>
        </w:rPr>
      </w:pPr>
    </w:p>
    <w:p w14:paraId="0AB75FEC" w14:textId="77777777" w:rsidR="005F1E3F" w:rsidRDefault="005F1E3F">
      <w:pPr>
        <w:pStyle w:val="20"/>
        <w:spacing w:before="0" w:after="0" w:line="520" w:lineRule="exact"/>
        <w:ind w:left="0" w:firstLineChars="200" w:firstLine="480"/>
        <w:rPr>
          <w:rFonts w:ascii="Times New Roman"/>
          <w:szCs w:val="24"/>
        </w:rPr>
      </w:pPr>
    </w:p>
    <w:p w14:paraId="37E7A359" w14:textId="77777777" w:rsidR="005F1E3F" w:rsidRDefault="005F1E3F">
      <w:pPr>
        <w:pStyle w:val="20"/>
        <w:spacing w:before="0" w:after="0" w:line="520" w:lineRule="exact"/>
        <w:ind w:left="0" w:firstLineChars="200" w:firstLine="480"/>
        <w:rPr>
          <w:rFonts w:ascii="Times New Roman"/>
          <w:szCs w:val="24"/>
        </w:rPr>
      </w:pPr>
    </w:p>
    <w:p w14:paraId="4C72532A" w14:textId="77777777" w:rsidR="005F1E3F" w:rsidRDefault="005F1E3F">
      <w:pPr>
        <w:pStyle w:val="20"/>
        <w:spacing w:before="0" w:after="0" w:line="520" w:lineRule="exact"/>
        <w:ind w:left="0" w:firstLineChars="200" w:firstLine="480"/>
        <w:rPr>
          <w:rFonts w:ascii="Times New Roman"/>
          <w:szCs w:val="24"/>
        </w:rPr>
      </w:pPr>
    </w:p>
    <w:p w14:paraId="58ED572F" w14:textId="77777777" w:rsidR="005F1E3F" w:rsidRDefault="006C56E6">
      <w:pPr>
        <w:pStyle w:val="20"/>
        <w:spacing w:before="0" w:after="0" w:line="520" w:lineRule="exact"/>
        <w:ind w:left="0"/>
        <w:rPr>
          <w:rFonts w:ascii="Times New Roman"/>
          <w:szCs w:val="24"/>
        </w:rPr>
      </w:pPr>
      <w:r>
        <w:rPr>
          <w:rFonts w:ascii="Times New Roman"/>
          <w:szCs w:val="24"/>
        </w:rPr>
        <w:t>基金托管人：中信银行股份有限公司（盖章）</w:t>
      </w:r>
    </w:p>
    <w:p w14:paraId="2436999E" w14:textId="77777777" w:rsidR="005F1E3F" w:rsidRDefault="005F1E3F">
      <w:pPr>
        <w:pStyle w:val="20"/>
        <w:spacing w:before="0" w:after="0" w:line="520" w:lineRule="exact"/>
        <w:ind w:left="0" w:firstLineChars="200" w:firstLine="480"/>
        <w:rPr>
          <w:rFonts w:ascii="Times New Roman"/>
          <w:szCs w:val="24"/>
        </w:rPr>
      </w:pPr>
    </w:p>
    <w:p w14:paraId="5DAFF952" w14:textId="77777777" w:rsidR="005F1E3F" w:rsidRDefault="005F1E3F">
      <w:pPr>
        <w:pStyle w:val="20"/>
        <w:spacing w:before="0" w:after="0" w:line="520" w:lineRule="exact"/>
        <w:ind w:left="0"/>
        <w:rPr>
          <w:rFonts w:ascii="Times New Roman"/>
          <w:szCs w:val="24"/>
        </w:rPr>
      </w:pPr>
    </w:p>
    <w:p w14:paraId="42FC9E19" w14:textId="1B7DC63B" w:rsidR="005F1E3F" w:rsidRDefault="006C56E6">
      <w:pPr>
        <w:pStyle w:val="20"/>
        <w:spacing w:before="0" w:after="0" w:line="520" w:lineRule="exact"/>
        <w:ind w:left="0"/>
        <w:rPr>
          <w:rFonts w:ascii="Times New Roman"/>
          <w:sz w:val="28"/>
          <w:szCs w:val="28"/>
        </w:rPr>
      </w:pPr>
      <w:r>
        <w:rPr>
          <w:rFonts w:ascii="Times New Roman"/>
          <w:szCs w:val="24"/>
        </w:rPr>
        <w:t>法定代表人或授权代表（</w:t>
      </w:r>
      <w:r>
        <w:rPr>
          <w:rFonts w:ascii="Times New Roman"/>
        </w:rPr>
        <w:t>签章</w:t>
      </w:r>
      <w:r>
        <w:rPr>
          <w:rFonts w:ascii="Times New Roman"/>
          <w:szCs w:val="24"/>
        </w:rPr>
        <w:t>）：</w:t>
      </w:r>
      <w:r>
        <w:rPr>
          <w:rFonts w:ascii="Times New Roman"/>
          <w:szCs w:val="24"/>
        </w:rPr>
        <w:t xml:space="preserve">    </w:t>
      </w:r>
      <w:r>
        <w:rPr>
          <w:rFonts w:ascii="Times New Roman"/>
          <w:sz w:val="28"/>
          <w:szCs w:val="28"/>
        </w:rPr>
        <w:t xml:space="preserve">               </w:t>
      </w:r>
    </w:p>
    <w:p w14:paraId="704A00B7" w14:textId="77777777" w:rsidR="005F1E3F" w:rsidRDefault="005F1E3F">
      <w:pPr>
        <w:pStyle w:val="20"/>
        <w:spacing w:before="0" w:after="0" w:line="520" w:lineRule="exact"/>
        <w:ind w:left="0" w:firstLineChars="200" w:firstLine="560"/>
        <w:rPr>
          <w:rFonts w:ascii="Times New Roman"/>
          <w:sz w:val="28"/>
          <w:szCs w:val="28"/>
        </w:rPr>
      </w:pPr>
    </w:p>
    <w:p w14:paraId="620A724D" w14:textId="77777777" w:rsidR="005F1E3F" w:rsidRDefault="005F1E3F">
      <w:pPr>
        <w:pStyle w:val="20"/>
        <w:spacing w:before="0" w:after="0" w:line="520" w:lineRule="exact"/>
        <w:ind w:left="0"/>
        <w:rPr>
          <w:rFonts w:ascii="Times New Roman"/>
          <w:sz w:val="28"/>
          <w:szCs w:val="28"/>
        </w:rPr>
      </w:pPr>
    </w:p>
    <w:p w14:paraId="45CFDDB2" w14:textId="77777777" w:rsidR="005F1E3F" w:rsidRDefault="005F1E3F">
      <w:pPr>
        <w:pStyle w:val="20"/>
        <w:spacing w:before="0" w:after="0" w:line="520" w:lineRule="exact"/>
        <w:ind w:left="0"/>
        <w:rPr>
          <w:rFonts w:ascii="Times New Roman"/>
          <w:sz w:val="28"/>
          <w:szCs w:val="28"/>
        </w:rPr>
      </w:pPr>
    </w:p>
    <w:p w14:paraId="5278DAD1" w14:textId="77777777" w:rsidR="005F1E3F" w:rsidRDefault="005F1E3F">
      <w:pPr>
        <w:pStyle w:val="20"/>
        <w:spacing w:before="0" w:after="0" w:line="520" w:lineRule="exact"/>
        <w:ind w:left="0"/>
        <w:rPr>
          <w:rFonts w:ascii="Times New Roman"/>
          <w:sz w:val="28"/>
          <w:szCs w:val="28"/>
        </w:rPr>
      </w:pPr>
    </w:p>
    <w:p w14:paraId="016F6603" w14:textId="77777777" w:rsidR="005F1E3F" w:rsidRDefault="005F1E3F">
      <w:pPr>
        <w:pStyle w:val="20"/>
        <w:spacing w:before="0" w:after="0" w:line="520" w:lineRule="exact"/>
        <w:ind w:left="0"/>
        <w:rPr>
          <w:rFonts w:ascii="Times New Roman"/>
          <w:szCs w:val="24"/>
        </w:rPr>
      </w:pPr>
    </w:p>
    <w:p w14:paraId="29A92BA7" w14:textId="77777777" w:rsidR="005F1E3F" w:rsidRDefault="006C56E6">
      <w:pPr>
        <w:pStyle w:val="20"/>
        <w:spacing w:before="0" w:after="0" w:line="520" w:lineRule="exact"/>
        <w:ind w:left="0"/>
        <w:rPr>
          <w:rFonts w:ascii="Times New Roman"/>
          <w:szCs w:val="24"/>
        </w:rPr>
      </w:pPr>
      <w:r>
        <w:rPr>
          <w:rFonts w:ascii="Times New Roman"/>
          <w:szCs w:val="24"/>
        </w:rPr>
        <w:t>签订地：</w:t>
      </w:r>
      <w:r>
        <w:rPr>
          <w:rFonts w:ascii="Times New Roman"/>
          <w:szCs w:val="24"/>
        </w:rPr>
        <w:t xml:space="preserve"> </w:t>
      </w:r>
    </w:p>
    <w:p w14:paraId="59FC5FBD" w14:textId="77777777" w:rsidR="005F1E3F" w:rsidRDefault="005F1E3F">
      <w:pPr>
        <w:pStyle w:val="20"/>
        <w:spacing w:before="0" w:after="0" w:line="520" w:lineRule="exact"/>
        <w:ind w:left="0" w:firstLineChars="200" w:firstLine="480"/>
        <w:rPr>
          <w:rFonts w:ascii="Times New Roman"/>
          <w:szCs w:val="24"/>
        </w:rPr>
      </w:pPr>
    </w:p>
    <w:p w14:paraId="41F1B23C" w14:textId="77777777" w:rsidR="005F1E3F" w:rsidRDefault="006C56E6">
      <w:pPr>
        <w:pStyle w:val="20"/>
        <w:spacing w:before="0" w:after="0" w:line="520" w:lineRule="exact"/>
        <w:ind w:left="0"/>
        <w:rPr>
          <w:rFonts w:ascii="Times New Roman"/>
          <w:sz w:val="28"/>
          <w:szCs w:val="28"/>
        </w:rPr>
      </w:pPr>
      <w:r>
        <w:rPr>
          <w:rFonts w:ascii="Times New Roman"/>
          <w:szCs w:val="24"/>
        </w:rPr>
        <w:t>签订日期：</w:t>
      </w:r>
      <w:r>
        <w:rPr>
          <w:rFonts w:ascii="Times New Roman"/>
          <w:szCs w:val="24"/>
        </w:rPr>
        <w:t xml:space="preserve">        </w:t>
      </w:r>
      <w:r>
        <w:rPr>
          <w:rFonts w:ascii="Times New Roman"/>
          <w:szCs w:val="24"/>
        </w:rPr>
        <w:t>年</w:t>
      </w:r>
      <w:r>
        <w:rPr>
          <w:rFonts w:ascii="Times New Roman"/>
          <w:szCs w:val="24"/>
        </w:rPr>
        <w:t xml:space="preserve">     </w:t>
      </w:r>
      <w:r>
        <w:rPr>
          <w:rFonts w:ascii="Times New Roman"/>
          <w:szCs w:val="24"/>
        </w:rPr>
        <w:t>月</w:t>
      </w:r>
      <w:r>
        <w:rPr>
          <w:rFonts w:ascii="Times New Roman"/>
          <w:szCs w:val="24"/>
        </w:rPr>
        <w:t xml:space="preserve">    </w:t>
      </w:r>
      <w:r>
        <w:rPr>
          <w:rFonts w:ascii="Times New Roman"/>
          <w:szCs w:val="24"/>
        </w:rPr>
        <w:t>日</w:t>
      </w:r>
      <w:r>
        <w:rPr>
          <w:rFonts w:ascii="Times New Roman"/>
          <w:szCs w:val="24"/>
        </w:rPr>
        <w:t xml:space="preserve"> </w:t>
      </w:r>
      <w:r>
        <w:rPr>
          <w:rFonts w:ascii="Times New Roman"/>
          <w:sz w:val="28"/>
          <w:szCs w:val="28"/>
        </w:rPr>
        <w:t xml:space="preserve">  </w:t>
      </w:r>
    </w:p>
    <w:p w14:paraId="704F7E69" w14:textId="77777777" w:rsidR="005F1E3F" w:rsidRDefault="005F1E3F">
      <w:pPr>
        <w:autoSpaceDE w:val="0"/>
        <w:autoSpaceDN w:val="0"/>
        <w:adjustRightInd w:val="0"/>
        <w:spacing w:line="520" w:lineRule="exact"/>
        <w:ind w:rightChars="11" w:right="23"/>
        <w:rPr>
          <w:sz w:val="28"/>
          <w:szCs w:val="28"/>
        </w:rPr>
      </w:pPr>
    </w:p>
    <w:sectPr w:rsidR="005F1E3F">
      <w:footerReference w:type="even" r:id="rId8"/>
      <w:footerReference w:type="default" r:id="rId9"/>
      <w:pgSz w:w="11907" w:h="16840"/>
      <w:pgMar w:top="1090" w:right="1678" w:bottom="935" w:left="167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9BA9B" w14:textId="77777777" w:rsidR="00FF3764" w:rsidRDefault="00FF3764">
      <w:r>
        <w:separator/>
      </w:r>
    </w:p>
  </w:endnote>
  <w:endnote w:type="continuationSeparator" w:id="0">
    <w:p w14:paraId="4984EA7A" w14:textId="77777777" w:rsidR="00FF3764" w:rsidRDefault="00FF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4F72E" w14:textId="77777777" w:rsidR="00C74D2C" w:rsidRDefault="00C74D2C">
    <w:pPr>
      <w:pStyle w:val="ad"/>
      <w:framePr w:wrap="around" w:vAnchor="text" w:hAnchor="margin" w:xAlign="center" w:y="1"/>
      <w:rPr>
        <w:rStyle w:val="af3"/>
      </w:rPr>
    </w:pPr>
    <w:r>
      <w:fldChar w:fldCharType="begin"/>
    </w:r>
    <w:r>
      <w:rPr>
        <w:rStyle w:val="af3"/>
      </w:rPr>
      <w:instrText xml:space="preserve">PAGE  </w:instrText>
    </w:r>
    <w:r>
      <w:fldChar w:fldCharType="separate"/>
    </w:r>
    <w:r>
      <w:rPr>
        <w:rStyle w:val="af3"/>
      </w:rPr>
      <w:t>41</w:t>
    </w:r>
    <w:r>
      <w:fldChar w:fldCharType="end"/>
    </w:r>
  </w:p>
  <w:p w14:paraId="748B7E7E" w14:textId="77777777" w:rsidR="00C74D2C" w:rsidRDefault="00C74D2C">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72626" w14:textId="2672937E" w:rsidR="00C74D2C" w:rsidRDefault="00C74D2C">
    <w:pPr>
      <w:pStyle w:val="ad"/>
      <w:framePr w:wrap="around" w:vAnchor="text" w:hAnchor="margin" w:xAlign="center" w:y="1"/>
      <w:rPr>
        <w:rStyle w:val="af3"/>
      </w:rPr>
    </w:pPr>
    <w:r>
      <w:fldChar w:fldCharType="begin"/>
    </w:r>
    <w:r>
      <w:rPr>
        <w:rStyle w:val="af3"/>
      </w:rPr>
      <w:instrText xml:space="preserve">PAGE  </w:instrText>
    </w:r>
    <w:r>
      <w:fldChar w:fldCharType="separate"/>
    </w:r>
    <w:r w:rsidR="00753A3A">
      <w:rPr>
        <w:rStyle w:val="af3"/>
        <w:noProof/>
      </w:rPr>
      <w:t>41</w:t>
    </w:r>
    <w:r>
      <w:fldChar w:fldCharType="end"/>
    </w:r>
  </w:p>
  <w:p w14:paraId="2DBF45F0" w14:textId="77777777" w:rsidR="00C74D2C" w:rsidRDefault="00C74D2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9D0CD" w14:textId="77777777" w:rsidR="00FF3764" w:rsidRDefault="00FF3764">
      <w:r>
        <w:separator/>
      </w:r>
    </w:p>
  </w:footnote>
  <w:footnote w:type="continuationSeparator" w:id="0">
    <w:p w14:paraId="3E4E0689" w14:textId="77777777" w:rsidR="00FF3764" w:rsidRDefault="00FF37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isplayBackgroundShape/>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CB"/>
    <w:rsid w:val="00000A77"/>
    <w:rsid w:val="00005F02"/>
    <w:rsid w:val="000107EC"/>
    <w:rsid w:val="00012F9F"/>
    <w:rsid w:val="00014405"/>
    <w:rsid w:val="00014C75"/>
    <w:rsid w:val="00014D0C"/>
    <w:rsid w:val="000156D9"/>
    <w:rsid w:val="00021B18"/>
    <w:rsid w:val="00023A92"/>
    <w:rsid w:val="00024363"/>
    <w:rsid w:val="00027285"/>
    <w:rsid w:val="00037404"/>
    <w:rsid w:val="00037818"/>
    <w:rsid w:val="00037980"/>
    <w:rsid w:val="00042A25"/>
    <w:rsid w:val="00042EEE"/>
    <w:rsid w:val="00043FB7"/>
    <w:rsid w:val="0004660B"/>
    <w:rsid w:val="00046B2A"/>
    <w:rsid w:val="00050CAE"/>
    <w:rsid w:val="000559C3"/>
    <w:rsid w:val="00062021"/>
    <w:rsid w:val="00063FBC"/>
    <w:rsid w:val="00066BF4"/>
    <w:rsid w:val="0006754D"/>
    <w:rsid w:val="00071935"/>
    <w:rsid w:val="00071F28"/>
    <w:rsid w:val="0007356D"/>
    <w:rsid w:val="00074856"/>
    <w:rsid w:val="0008163D"/>
    <w:rsid w:val="00093120"/>
    <w:rsid w:val="00096BAB"/>
    <w:rsid w:val="000A359E"/>
    <w:rsid w:val="000A3C3E"/>
    <w:rsid w:val="000A6FC1"/>
    <w:rsid w:val="000B1E50"/>
    <w:rsid w:val="000C0905"/>
    <w:rsid w:val="000C152B"/>
    <w:rsid w:val="000C2C33"/>
    <w:rsid w:val="000D17C9"/>
    <w:rsid w:val="000D388A"/>
    <w:rsid w:val="000D59DE"/>
    <w:rsid w:val="000E216E"/>
    <w:rsid w:val="000E3608"/>
    <w:rsid w:val="000F27EA"/>
    <w:rsid w:val="000F6613"/>
    <w:rsid w:val="000F6BE6"/>
    <w:rsid w:val="001022CC"/>
    <w:rsid w:val="0010239C"/>
    <w:rsid w:val="00102F71"/>
    <w:rsid w:val="00107051"/>
    <w:rsid w:val="00110A38"/>
    <w:rsid w:val="00115299"/>
    <w:rsid w:val="001177F0"/>
    <w:rsid w:val="00130C38"/>
    <w:rsid w:val="00132302"/>
    <w:rsid w:val="00132BE4"/>
    <w:rsid w:val="00137C67"/>
    <w:rsid w:val="0014134F"/>
    <w:rsid w:val="0014323B"/>
    <w:rsid w:val="00145C16"/>
    <w:rsid w:val="00147F88"/>
    <w:rsid w:val="00156C3A"/>
    <w:rsid w:val="00160CE7"/>
    <w:rsid w:val="001657D8"/>
    <w:rsid w:val="00165AE8"/>
    <w:rsid w:val="00175B0A"/>
    <w:rsid w:val="00180F27"/>
    <w:rsid w:val="00196144"/>
    <w:rsid w:val="001B0A60"/>
    <w:rsid w:val="001B0F1A"/>
    <w:rsid w:val="001B2AF0"/>
    <w:rsid w:val="001B5944"/>
    <w:rsid w:val="001B687D"/>
    <w:rsid w:val="001B7022"/>
    <w:rsid w:val="001C2ACF"/>
    <w:rsid w:val="001C66BC"/>
    <w:rsid w:val="001D026C"/>
    <w:rsid w:val="001D03D4"/>
    <w:rsid w:val="001D0979"/>
    <w:rsid w:val="001D09A0"/>
    <w:rsid w:val="001D328A"/>
    <w:rsid w:val="001D3E64"/>
    <w:rsid w:val="001D444B"/>
    <w:rsid w:val="001E33B7"/>
    <w:rsid w:val="001E6B63"/>
    <w:rsid w:val="001F5108"/>
    <w:rsid w:val="00203D12"/>
    <w:rsid w:val="00205409"/>
    <w:rsid w:val="00214195"/>
    <w:rsid w:val="002150D4"/>
    <w:rsid w:val="002158ED"/>
    <w:rsid w:val="002169CF"/>
    <w:rsid w:val="00216A38"/>
    <w:rsid w:val="00217901"/>
    <w:rsid w:val="002216DF"/>
    <w:rsid w:val="00221C8C"/>
    <w:rsid w:val="00225A43"/>
    <w:rsid w:val="00234CB5"/>
    <w:rsid w:val="00236A8F"/>
    <w:rsid w:val="00244076"/>
    <w:rsid w:val="00244F0B"/>
    <w:rsid w:val="002464DB"/>
    <w:rsid w:val="00256509"/>
    <w:rsid w:val="002567AE"/>
    <w:rsid w:val="002620B5"/>
    <w:rsid w:val="00270B1B"/>
    <w:rsid w:val="00273F36"/>
    <w:rsid w:val="0027511C"/>
    <w:rsid w:val="00275823"/>
    <w:rsid w:val="002758E7"/>
    <w:rsid w:val="00280105"/>
    <w:rsid w:val="00280DEF"/>
    <w:rsid w:val="00281B7D"/>
    <w:rsid w:val="00282CB6"/>
    <w:rsid w:val="00283722"/>
    <w:rsid w:val="00292E49"/>
    <w:rsid w:val="00293EC5"/>
    <w:rsid w:val="002A153D"/>
    <w:rsid w:val="002A23C1"/>
    <w:rsid w:val="002A34FB"/>
    <w:rsid w:val="002A4594"/>
    <w:rsid w:val="002C2C7B"/>
    <w:rsid w:val="002C4590"/>
    <w:rsid w:val="002E145C"/>
    <w:rsid w:val="002E334D"/>
    <w:rsid w:val="002E4385"/>
    <w:rsid w:val="002F1D9A"/>
    <w:rsid w:val="002F1FB2"/>
    <w:rsid w:val="002F7C1F"/>
    <w:rsid w:val="003107A6"/>
    <w:rsid w:val="00312E40"/>
    <w:rsid w:val="00314EE7"/>
    <w:rsid w:val="00315EDA"/>
    <w:rsid w:val="00321863"/>
    <w:rsid w:val="00342101"/>
    <w:rsid w:val="00342E1A"/>
    <w:rsid w:val="00343200"/>
    <w:rsid w:val="0035177F"/>
    <w:rsid w:val="0035616B"/>
    <w:rsid w:val="00363BF9"/>
    <w:rsid w:val="00370E6A"/>
    <w:rsid w:val="00376470"/>
    <w:rsid w:val="00380257"/>
    <w:rsid w:val="003820CE"/>
    <w:rsid w:val="0038599A"/>
    <w:rsid w:val="00385CF5"/>
    <w:rsid w:val="00393A4B"/>
    <w:rsid w:val="0039704D"/>
    <w:rsid w:val="003A4D22"/>
    <w:rsid w:val="003B240A"/>
    <w:rsid w:val="003C20E6"/>
    <w:rsid w:val="003C235D"/>
    <w:rsid w:val="003C2DEB"/>
    <w:rsid w:val="003C2F48"/>
    <w:rsid w:val="003C3C90"/>
    <w:rsid w:val="003C5A81"/>
    <w:rsid w:val="003C67A3"/>
    <w:rsid w:val="003C6E19"/>
    <w:rsid w:val="003D0785"/>
    <w:rsid w:val="003D24E0"/>
    <w:rsid w:val="003D6E5F"/>
    <w:rsid w:val="003D7086"/>
    <w:rsid w:val="003D778D"/>
    <w:rsid w:val="003E25E9"/>
    <w:rsid w:val="003E5B9D"/>
    <w:rsid w:val="003E619A"/>
    <w:rsid w:val="003F26BF"/>
    <w:rsid w:val="003F38FA"/>
    <w:rsid w:val="003F6BBC"/>
    <w:rsid w:val="003F76F1"/>
    <w:rsid w:val="00402929"/>
    <w:rsid w:val="00411EC2"/>
    <w:rsid w:val="0041673C"/>
    <w:rsid w:val="00417D16"/>
    <w:rsid w:val="004202DE"/>
    <w:rsid w:val="004311E8"/>
    <w:rsid w:val="004319D8"/>
    <w:rsid w:val="004339DF"/>
    <w:rsid w:val="00436366"/>
    <w:rsid w:val="004412E4"/>
    <w:rsid w:val="004464B7"/>
    <w:rsid w:val="0044652B"/>
    <w:rsid w:val="00451371"/>
    <w:rsid w:val="004535D2"/>
    <w:rsid w:val="004568E5"/>
    <w:rsid w:val="00456A15"/>
    <w:rsid w:val="00462A74"/>
    <w:rsid w:val="004642B6"/>
    <w:rsid w:val="0047036C"/>
    <w:rsid w:val="004734B3"/>
    <w:rsid w:val="00474712"/>
    <w:rsid w:val="00476800"/>
    <w:rsid w:val="004908B7"/>
    <w:rsid w:val="00490CB7"/>
    <w:rsid w:val="004925F3"/>
    <w:rsid w:val="004A0749"/>
    <w:rsid w:val="004A2093"/>
    <w:rsid w:val="004A26BE"/>
    <w:rsid w:val="004A360A"/>
    <w:rsid w:val="004A4507"/>
    <w:rsid w:val="004A7698"/>
    <w:rsid w:val="004B0A2F"/>
    <w:rsid w:val="004B76D3"/>
    <w:rsid w:val="004C14BD"/>
    <w:rsid w:val="004E306E"/>
    <w:rsid w:val="004E5621"/>
    <w:rsid w:val="004E56F1"/>
    <w:rsid w:val="004E7254"/>
    <w:rsid w:val="004F5C01"/>
    <w:rsid w:val="004F5ED3"/>
    <w:rsid w:val="004F7098"/>
    <w:rsid w:val="00500435"/>
    <w:rsid w:val="00507836"/>
    <w:rsid w:val="005147D9"/>
    <w:rsid w:val="00514ECE"/>
    <w:rsid w:val="005223A4"/>
    <w:rsid w:val="00524C2C"/>
    <w:rsid w:val="00525457"/>
    <w:rsid w:val="00526AF5"/>
    <w:rsid w:val="00526BD9"/>
    <w:rsid w:val="00530616"/>
    <w:rsid w:val="005307DB"/>
    <w:rsid w:val="00533B7B"/>
    <w:rsid w:val="00543408"/>
    <w:rsid w:val="00552CCB"/>
    <w:rsid w:val="005576FE"/>
    <w:rsid w:val="00561507"/>
    <w:rsid w:val="00565173"/>
    <w:rsid w:val="0057726E"/>
    <w:rsid w:val="00583D40"/>
    <w:rsid w:val="00591B16"/>
    <w:rsid w:val="005A11E0"/>
    <w:rsid w:val="005A1862"/>
    <w:rsid w:val="005A1FC8"/>
    <w:rsid w:val="005A52A1"/>
    <w:rsid w:val="005A745C"/>
    <w:rsid w:val="005B0CCB"/>
    <w:rsid w:val="005B0F25"/>
    <w:rsid w:val="005B3F89"/>
    <w:rsid w:val="005B4A54"/>
    <w:rsid w:val="005B4AEA"/>
    <w:rsid w:val="005B7532"/>
    <w:rsid w:val="005C5DC0"/>
    <w:rsid w:val="005C5DFC"/>
    <w:rsid w:val="005C7FA6"/>
    <w:rsid w:val="005D00EF"/>
    <w:rsid w:val="005D0467"/>
    <w:rsid w:val="005D11F0"/>
    <w:rsid w:val="005D18F6"/>
    <w:rsid w:val="005D442A"/>
    <w:rsid w:val="005D4DA3"/>
    <w:rsid w:val="005D5ABE"/>
    <w:rsid w:val="005E0DF0"/>
    <w:rsid w:val="005E27BB"/>
    <w:rsid w:val="005E2FF6"/>
    <w:rsid w:val="005E3419"/>
    <w:rsid w:val="005E3FB2"/>
    <w:rsid w:val="005E787A"/>
    <w:rsid w:val="005F012D"/>
    <w:rsid w:val="005F0CA6"/>
    <w:rsid w:val="005F1E3F"/>
    <w:rsid w:val="005F221B"/>
    <w:rsid w:val="005F305D"/>
    <w:rsid w:val="005F42C5"/>
    <w:rsid w:val="005F593F"/>
    <w:rsid w:val="005F7024"/>
    <w:rsid w:val="00600611"/>
    <w:rsid w:val="0060330F"/>
    <w:rsid w:val="006039BB"/>
    <w:rsid w:val="00604C7B"/>
    <w:rsid w:val="00616872"/>
    <w:rsid w:val="00627E17"/>
    <w:rsid w:val="00630C12"/>
    <w:rsid w:val="006333AF"/>
    <w:rsid w:val="006433ED"/>
    <w:rsid w:val="0064370E"/>
    <w:rsid w:val="00645BD9"/>
    <w:rsid w:val="00645DAB"/>
    <w:rsid w:val="00646351"/>
    <w:rsid w:val="0065050A"/>
    <w:rsid w:val="006513FE"/>
    <w:rsid w:val="0065472A"/>
    <w:rsid w:val="0065631C"/>
    <w:rsid w:val="0066277C"/>
    <w:rsid w:val="006628BB"/>
    <w:rsid w:val="00671709"/>
    <w:rsid w:val="006745D6"/>
    <w:rsid w:val="00676F66"/>
    <w:rsid w:val="00680D15"/>
    <w:rsid w:val="00681B36"/>
    <w:rsid w:val="00682F3F"/>
    <w:rsid w:val="0068465B"/>
    <w:rsid w:val="00685BDD"/>
    <w:rsid w:val="006A1268"/>
    <w:rsid w:val="006B22AA"/>
    <w:rsid w:val="006B3419"/>
    <w:rsid w:val="006B34FF"/>
    <w:rsid w:val="006B5645"/>
    <w:rsid w:val="006B567E"/>
    <w:rsid w:val="006B6CDA"/>
    <w:rsid w:val="006C2C3D"/>
    <w:rsid w:val="006C56E6"/>
    <w:rsid w:val="006C7C1E"/>
    <w:rsid w:val="006D73C8"/>
    <w:rsid w:val="006E1C21"/>
    <w:rsid w:val="006E5F66"/>
    <w:rsid w:val="006E616F"/>
    <w:rsid w:val="006E6265"/>
    <w:rsid w:val="006F2D92"/>
    <w:rsid w:val="006F4830"/>
    <w:rsid w:val="00700DC8"/>
    <w:rsid w:val="00701FD4"/>
    <w:rsid w:val="007033D9"/>
    <w:rsid w:val="0070432C"/>
    <w:rsid w:val="0070544A"/>
    <w:rsid w:val="007066E6"/>
    <w:rsid w:val="0070751F"/>
    <w:rsid w:val="007105D4"/>
    <w:rsid w:val="007108A4"/>
    <w:rsid w:val="00715596"/>
    <w:rsid w:val="00715971"/>
    <w:rsid w:val="00722360"/>
    <w:rsid w:val="00723602"/>
    <w:rsid w:val="00723A7F"/>
    <w:rsid w:val="00731689"/>
    <w:rsid w:val="00733C35"/>
    <w:rsid w:val="00742138"/>
    <w:rsid w:val="00744174"/>
    <w:rsid w:val="007451E3"/>
    <w:rsid w:val="007472CF"/>
    <w:rsid w:val="00753A3A"/>
    <w:rsid w:val="0075595F"/>
    <w:rsid w:val="007564E2"/>
    <w:rsid w:val="0076371C"/>
    <w:rsid w:val="00772F6C"/>
    <w:rsid w:val="00773CE9"/>
    <w:rsid w:val="00774EA2"/>
    <w:rsid w:val="0077672C"/>
    <w:rsid w:val="00777674"/>
    <w:rsid w:val="0078441B"/>
    <w:rsid w:val="00786DDE"/>
    <w:rsid w:val="00792ABE"/>
    <w:rsid w:val="007A4FFD"/>
    <w:rsid w:val="007B0920"/>
    <w:rsid w:val="007B0DCD"/>
    <w:rsid w:val="007C1D84"/>
    <w:rsid w:val="007C3B71"/>
    <w:rsid w:val="007C56B2"/>
    <w:rsid w:val="007C6C55"/>
    <w:rsid w:val="007D21F7"/>
    <w:rsid w:val="007D6F0D"/>
    <w:rsid w:val="007E3074"/>
    <w:rsid w:val="007E66C2"/>
    <w:rsid w:val="007E70DE"/>
    <w:rsid w:val="007F28F2"/>
    <w:rsid w:val="007F780A"/>
    <w:rsid w:val="00801535"/>
    <w:rsid w:val="00802EA5"/>
    <w:rsid w:val="00802F6E"/>
    <w:rsid w:val="008047F5"/>
    <w:rsid w:val="008051C2"/>
    <w:rsid w:val="00810562"/>
    <w:rsid w:val="008138B1"/>
    <w:rsid w:val="00815538"/>
    <w:rsid w:val="00815E67"/>
    <w:rsid w:val="0081755C"/>
    <w:rsid w:val="0082011A"/>
    <w:rsid w:val="0083307F"/>
    <w:rsid w:val="00833334"/>
    <w:rsid w:val="00842E5E"/>
    <w:rsid w:val="00844028"/>
    <w:rsid w:val="0084464F"/>
    <w:rsid w:val="00844681"/>
    <w:rsid w:val="00850A81"/>
    <w:rsid w:val="00852422"/>
    <w:rsid w:val="00853123"/>
    <w:rsid w:val="00853FDC"/>
    <w:rsid w:val="008625F6"/>
    <w:rsid w:val="00864E01"/>
    <w:rsid w:val="008723BB"/>
    <w:rsid w:val="0087434D"/>
    <w:rsid w:val="008758F6"/>
    <w:rsid w:val="00876E7E"/>
    <w:rsid w:val="00885429"/>
    <w:rsid w:val="00886001"/>
    <w:rsid w:val="0088674B"/>
    <w:rsid w:val="00895349"/>
    <w:rsid w:val="008A1C89"/>
    <w:rsid w:val="008A237A"/>
    <w:rsid w:val="008A772E"/>
    <w:rsid w:val="008A77A6"/>
    <w:rsid w:val="008B7214"/>
    <w:rsid w:val="008C6E3E"/>
    <w:rsid w:val="008D7344"/>
    <w:rsid w:val="008E0CC2"/>
    <w:rsid w:val="008E3AE4"/>
    <w:rsid w:val="008F3907"/>
    <w:rsid w:val="008F3F36"/>
    <w:rsid w:val="008F4E91"/>
    <w:rsid w:val="008F5F62"/>
    <w:rsid w:val="008F7242"/>
    <w:rsid w:val="00901F55"/>
    <w:rsid w:val="00910563"/>
    <w:rsid w:val="00910BB9"/>
    <w:rsid w:val="00912E35"/>
    <w:rsid w:val="0091346D"/>
    <w:rsid w:val="00922C37"/>
    <w:rsid w:val="00922E0D"/>
    <w:rsid w:val="00923621"/>
    <w:rsid w:val="00933577"/>
    <w:rsid w:val="009413AB"/>
    <w:rsid w:val="00942E0B"/>
    <w:rsid w:val="0095172C"/>
    <w:rsid w:val="00951D67"/>
    <w:rsid w:val="00951E30"/>
    <w:rsid w:val="009547ED"/>
    <w:rsid w:val="009568E1"/>
    <w:rsid w:val="00972E11"/>
    <w:rsid w:val="00976194"/>
    <w:rsid w:val="00980965"/>
    <w:rsid w:val="009812E4"/>
    <w:rsid w:val="00983432"/>
    <w:rsid w:val="00983D29"/>
    <w:rsid w:val="00983EC2"/>
    <w:rsid w:val="00987F5F"/>
    <w:rsid w:val="00992C48"/>
    <w:rsid w:val="00994EDA"/>
    <w:rsid w:val="00996D63"/>
    <w:rsid w:val="00997CAB"/>
    <w:rsid w:val="009A0F29"/>
    <w:rsid w:val="009B0D83"/>
    <w:rsid w:val="009B756C"/>
    <w:rsid w:val="009B7AFF"/>
    <w:rsid w:val="009D3DFA"/>
    <w:rsid w:val="009D5128"/>
    <w:rsid w:val="009D5D04"/>
    <w:rsid w:val="009D6659"/>
    <w:rsid w:val="009E0844"/>
    <w:rsid w:val="009E3456"/>
    <w:rsid w:val="009E4F5A"/>
    <w:rsid w:val="009E7153"/>
    <w:rsid w:val="009F232A"/>
    <w:rsid w:val="00A11937"/>
    <w:rsid w:val="00A15603"/>
    <w:rsid w:val="00A20AA8"/>
    <w:rsid w:val="00A317FB"/>
    <w:rsid w:val="00A45ADC"/>
    <w:rsid w:val="00A464EF"/>
    <w:rsid w:val="00A478F7"/>
    <w:rsid w:val="00A5325C"/>
    <w:rsid w:val="00A56F33"/>
    <w:rsid w:val="00A76D15"/>
    <w:rsid w:val="00A7786B"/>
    <w:rsid w:val="00A80572"/>
    <w:rsid w:val="00A82BB8"/>
    <w:rsid w:val="00A872C3"/>
    <w:rsid w:val="00A90358"/>
    <w:rsid w:val="00AB08D8"/>
    <w:rsid w:val="00AB76A9"/>
    <w:rsid w:val="00AC7A32"/>
    <w:rsid w:val="00AD7AAE"/>
    <w:rsid w:val="00AE1DD4"/>
    <w:rsid w:val="00AE61A9"/>
    <w:rsid w:val="00AE7148"/>
    <w:rsid w:val="00B03495"/>
    <w:rsid w:val="00B04826"/>
    <w:rsid w:val="00B049FA"/>
    <w:rsid w:val="00B13317"/>
    <w:rsid w:val="00B162CE"/>
    <w:rsid w:val="00B21865"/>
    <w:rsid w:val="00B240D8"/>
    <w:rsid w:val="00B34B8F"/>
    <w:rsid w:val="00B37F3D"/>
    <w:rsid w:val="00B42A85"/>
    <w:rsid w:val="00B4393F"/>
    <w:rsid w:val="00B4586E"/>
    <w:rsid w:val="00B61FF9"/>
    <w:rsid w:val="00B63690"/>
    <w:rsid w:val="00B66ABD"/>
    <w:rsid w:val="00B72756"/>
    <w:rsid w:val="00B73796"/>
    <w:rsid w:val="00B74A93"/>
    <w:rsid w:val="00B76F64"/>
    <w:rsid w:val="00B82B87"/>
    <w:rsid w:val="00B84D64"/>
    <w:rsid w:val="00B90203"/>
    <w:rsid w:val="00B92165"/>
    <w:rsid w:val="00B93E39"/>
    <w:rsid w:val="00BA1995"/>
    <w:rsid w:val="00BA7CDA"/>
    <w:rsid w:val="00BB6B31"/>
    <w:rsid w:val="00BC11DF"/>
    <w:rsid w:val="00BC13E0"/>
    <w:rsid w:val="00BC397C"/>
    <w:rsid w:val="00BD1B35"/>
    <w:rsid w:val="00BD46AC"/>
    <w:rsid w:val="00BD6014"/>
    <w:rsid w:val="00BD6A1B"/>
    <w:rsid w:val="00BE173F"/>
    <w:rsid w:val="00BE1C22"/>
    <w:rsid w:val="00BE3072"/>
    <w:rsid w:val="00BE46D4"/>
    <w:rsid w:val="00BE75F2"/>
    <w:rsid w:val="00BF3381"/>
    <w:rsid w:val="00BF3754"/>
    <w:rsid w:val="00C00B3A"/>
    <w:rsid w:val="00C06901"/>
    <w:rsid w:val="00C118AC"/>
    <w:rsid w:val="00C20FE1"/>
    <w:rsid w:val="00C232A0"/>
    <w:rsid w:val="00C25D19"/>
    <w:rsid w:val="00C30B34"/>
    <w:rsid w:val="00C34241"/>
    <w:rsid w:val="00C37C51"/>
    <w:rsid w:val="00C37F60"/>
    <w:rsid w:val="00C44C0D"/>
    <w:rsid w:val="00C51673"/>
    <w:rsid w:val="00C51A27"/>
    <w:rsid w:val="00C520BD"/>
    <w:rsid w:val="00C62AF4"/>
    <w:rsid w:val="00C63682"/>
    <w:rsid w:val="00C72967"/>
    <w:rsid w:val="00C73D4F"/>
    <w:rsid w:val="00C74275"/>
    <w:rsid w:val="00C747D9"/>
    <w:rsid w:val="00C74D2C"/>
    <w:rsid w:val="00C80CE4"/>
    <w:rsid w:val="00C86B5C"/>
    <w:rsid w:val="00C92673"/>
    <w:rsid w:val="00CA43D4"/>
    <w:rsid w:val="00CA4D10"/>
    <w:rsid w:val="00CB1E25"/>
    <w:rsid w:val="00CB595B"/>
    <w:rsid w:val="00CB7531"/>
    <w:rsid w:val="00CC0238"/>
    <w:rsid w:val="00CC0307"/>
    <w:rsid w:val="00CD0802"/>
    <w:rsid w:val="00CD0F9B"/>
    <w:rsid w:val="00CD1D8E"/>
    <w:rsid w:val="00CD2738"/>
    <w:rsid w:val="00CD2AB3"/>
    <w:rsid w:val="00CD3A61"/>
    <w:rsid w:val="00CD5CD3"/>
    <w:rsid w:val="00CE187B"/>
    <w:rsid w:val="00CE6405"/>
    <w:rsid w:val="00CF0833"/>
    <w:rsid w:val="00CF1814"/>
    <w:rsid w:val="00CF2E69"/>
    <w:rsid w:val="00CF7AF1"/>
    <w:rsid w:val="00D0057E"/>
    <w:rsid w:val="00D039C5"/>
    <w:rsid w:val="00D03C31"/>
    <w:rsid w:val="00D1081C"/>
    <w:rsid w:val="00D15D80"/>
    <w:rsid w:val="00D167CB"/>
    <w:rsid w:val="00D176C5"/>
    <w:rsid w:val="00D23C7C"/>
    <w:rsid w:val="00D25D94"/>
    <w:rsid w:val="00D2622F"/>
    <w:rsid w:val="00D267C4"/>
    <w:rsid w:val="00D27F44"/>
    <w:rsid w:val="00D348CE"/>
    <w:rsid w:val="00D3501B"/>
    <w:rsid w:val="00D40F8E"/>
    <w:rsid w:val="00D4246A"/>
    <w:rsid w:val="00D45F9C"/>
    <w:rsid w:val="00D470C6"/>
    <w:rsid w:val="00D70AB1"/>
    <w:rsid w:val="00D71350"/>
    <w:rsid w:val="00D736CF"/>
    <w:rsid w:val="00D8222B"/>
    <w:rsid w:val="00D836E6"/>
    <w:rsid w:val="00D9729F"/>
    <w:rsid w:val="00D9774E"/>
    <w:rsid w:val="00DA222F"/>
    <w:rsid w:val="00DA3524"/>
    <w:rsid w:val="00DA548D"/>
    <w:rsid w:val="00DA7F7F"/>
    <w:rsid w:val="00DB0358"/>
    <w:rsid w:val="00DC33C9"/>
    <w:rsid w:val="00DC3413"/>
    <w:rsid w:val="00DC65B3"/>
    <w:rsid w:val="00DC7AE0"/>
    <w:rsid w:val="00DD26B1"/>
    <w:rsid w:val="00DD3B63"/>
    <w:rsid w:val="00DE15C9"/>
    <w:rsid w:val="00DE7037"/>
    <w:rsid w:val="00DE71CB"/>
    <w:rsid w:val="00DE723D"/>
    <w:rsid w:val="00DE7D0B"/>
    <w:rsid w:val="00DE7DCF"/>
    <w:rsid w:val="00DF1530"/>
    <w:rsid w:val="00DF29C3"/>
    <w:rsid w:val="00DF447B"/>
    <w:rsid w:val="00E000EB"/>
    <w:rsid w:val="00E00D3F"/>
    <w:rsid w:val="00E02E28"/>
    <w:rsid w:val="00E035F4"/>
    <w:rsid w:val="00E03EA0"/>
    <w:rsid w:val="00E069ED"/>
    <w:rsid w:val="00E06F07"/>
    <w:rsid w:val="00E142BD"/>
    <w:rsid w:val="00E15F56"/>
    <w:rsid w:val="00E20017"/>
    <w:rsid w:val="00E23CD4"/>
    <w:rsid w:val="00E24C6C"/>
    <w:rsid w:val="00E41872"/>
    <w:rsid w:val="00E45E88"/>
    <w:rsid w:val="00E47EEE"/>
    <w:rsid w:val="00E53B68"/>
    <w:rsid w:val="00E53F89"/>
    <w:rsid w:val="00E564E2"/>
    <w:rsid w:val="00E60EE5"/>
    <w:rsid w:val="00E60FDA"/>
    <w:rsid w:val="00E612F0"/>
    <w:rsid w:val="00E65237"/>
    <w:rsid w:val="00E658FF"/>
    <w:rsid w:val="00E71B58"/>
    <w:rsid w:val="00E72767"/>
    <w:rsid w:val="00E7429F"/>
    <w:rsid w:val="00E74AEA"/>
    <w:rsid w:val="00E758C6"/>
    <w:rsid w:val="00E7654E"/>
    <w:rsid w:val="00E80307"/>
    <w:rsid w:val="00E81892"/>
    <w:rsid w:val="00E855F4"/>
    <w:rsid w:val="00E8622A"/>
    <w:rsid w:val="00E86688"/>
    <w:rsid w:val="00E925E0"/>
    <w:rsid w:val="00E93ADB"/>
    <w:rsid w:val="00E960C8"/>
    <w:rsid w:val="00E97D32"/>
    <w:rsid w:val="00EA2A7F"/>
    <w:rsid w:val="00EA5145"/>
    <w:rsid w:val="00EB55B3"/>
    <w:rsid w:val="00EC0057"/>
    <w:rsid w:val="00EC007A"/>
    <w:rsid w:val="00EC517B"/>
    <w:rsid w:val="00EC71E7"/>
    <w:rsid w:val="00ED07E9"/>
    <w:rsid w:val="00ED4963"/>
    <w:rsid w:val="00ED799A"/>
    <w:rsid w:val="00EE13AA"/>
    <w:rsid w:val="00EE6BDD"/>
    <w:rsid w:val="00EE7BEC"/>
    <w:rsid w:val="00EF3397"/>
    <w:rsid w:val="00EF3671"/>
    <w:rsid w:val="00EF5A21"/>
    <w:rsid w:val="00F01507"/>
    <w:rsid w:val="00F02AC7"/>
    <w:rsid w:val="00F14DEF"/>
    <w:rsid w:val="00F152E4"/>
    <w:rsid w:val="00F21554"/>
    <w:rsid w:val="00F21570"/>
    <w:rsid w:val="00F25E9F"/>
    <w:rsid w:val="00F30B45"/>
    <w:rsid w:val="00F3208D"/>
    <w:rsid w:val="00F32FC8"/>
    <w:rsid w:val="00F334A5"/>
    <w:rsid w:val="00F415A9"/>
    <w:rsid w:val="00F42130"/>
    <w:rsid w:val="00F43079"/>
    <w:rsid w:val="00F4392A"/>
    <w:rsid w:val="00F44C76"/>
    <w:rsid w:val="00F523E4"/>
    <w:rsid w:val="00F53C8C"/>
    <w:rsid w:val="00F5560C"/>
    <w:rsid w:val="00F55DCE"/>
    <w:rsid w:val="00F565AB"/>
    <w:rsid w:val="00F578FD"/>
    <w:rsid w:val="00F64D12"/>
    <w:rsid w:val="00F744ED"/>
    <w:rsid w:val="00F778EE"/>
    <w:rsid w:val="00F821F1"/>
    <w:rsid w:val="00F8357E"/>
    <w:rsid w:val="00F91330"/>
    <w:rsid w:val="00FA228E"/>
    <w:rsid w:val="00FA4707"/>
    <w:rsid w:val="00FA600E"/>
    <w:rsid w:val="00FA7568"/>
    <w:rsid w:val="00FC0D21"/>
    <w:rsid w:val="00FC450E"/>
    <w:rsid w:val="00FC4EC8"/>
    <w:rsid w:val="00FD0230"/>
    <w:rsid w:val="00FD1371"/>
    <w:rsid w:val="00FD317B"/>
    <w:rsid w:val="00FD320B"/>
    <w:rsid w:val="00FD42F0"/>
    <w:rsid w:val="00FD4BCB"/>
    <w:rsid w:val="00FE584E"/>
    <w:rsid w:val="00FF3396"/>
    <w:rsid w:val="00FF3764"/>
    <w:rsid w:val="00FF559D"/>
    <w:rsid w:val="00FF579A"/>
    <w:rsid w:val="0102476F"/>
    <w:rsid w:val="01223B82"/>
    <w:rsid w:val="016F1D40"/>
    <w:rsid w:val="01B45C64"/>
    <w:rsid w:val="0228212F"/>
    <w:rsid w:val="027E5B0F"/>
    <w:rsid w:val="03E33DD9"/>
    <w:rsid w:val="03F77D27"/>
    <w:rsid w:val="067430DD"/>
    <w:rsid w:val="072816E4"/>
    <w:rsid w:val="072C6F3F"/>
    <w:rsid w:val="08123319"/>
    <w:rsid w:val="083262D9"/>
    <w:rsid w:val="08340E53"/>
    <w:rsid w:val="089922DC"/>
    <w:rsid w:val="08A4733D"/>
    <w:rsid w:val="08E82E1A"/>
    <w:rsid w:val="093101A0"/>
    <w:rsid w:val="099039B7"/>
    <w:rsid w:val="0AE94E74"/>
    <w:rsid w:val="0B6E3D38"/>
    <w:rsid w:val="0BE61695"/>
    <w:rsid w:val="0C5B5A70"/>
    <w:rsid w:val="0C8A706E"/>
    <w:rsid w:val="0CB34026"/>
    <w:rsid w:val="0CD6485D"/>
    <w:rsid w:val="0DAB0BDA"/>
    <w:rsid w:val="0E8A67D0"/>
    <w:rsid w:val="0EAD298F"/>
    <w:rsid w:val="0EFC24EB"/>
    <w:rsid w:val="0F237B85"/>
    <w:rsid w:val="100D62B5"/>
    <w:rsid w:val="1019112E"/>
    <w:rsid w:val="104A4359"/>
    <w:rsid w:val="112F3D42"/>
    <w:rsid w:val="112F5E3A"/>
    <w:rsid w:val="113A36F4"/>
    <w:rsid w:val="11D44300"/>
    <w:rsid w:val="12A929C2"/>
    <w:rsid w:val="12E63EC5"/>
    <w:rsid w:val="138C05F6"/>
    <w:rsid w:val="13C42C60"/>
    <w:rsid w:val="13C802B2"/>
    <w:rsid w:val="14D15DE7"/>
    <w:rsid w:val="14F60022"/>
    <w:rsid w:val="15510D7C"/>
    <w:rsid w:val="176C72F7"/>
    <w:rsid w:val="17D50F45"/>
    <w:rsid w:val="18973A8F"/>
    <w:rsid w:val="189A3704"/>
    <w:rsid w:val="194D783E"/>
    <w:rsid w:val="19E94CE5"/>
    <w:rsid w:val="1ABB305F"/>
    <w:rsid w:val="1B6E115E"/>
    <w:rsid w:val="1B9C380A"/>
    <w:rsid w:val="1C697E73"/>
    <w:rsid w:val="1CCF7A32"/>
    <w:rsid w:val="1D0C287A"/>
    <w:rsid w:val="1D400206"/>
    <w:rsid w:val="1D8612C1"/>
    <w:rsid w:val="1DCA68B3"/>
    <w:rsid w:val="1E7D777E"/>
    <w:rsid w:val="1EB636DE"/>
    <w:rsid w:val="1EF878DC"/>
    <w:rsid w:val="1F1152E6"/>
    <w:rsid w:val="203C61B2"/>
    <w:rsid w:val="206E419C"/>
    <w:rsid w:val="21427C33"/>
    <w:rsid w:val="2148363F"/>
    <w:rsid w:val="23AC2782"/>
    <w:rsid w:val="24DD7D78"/>
    <w:rsid w:val="24E20342"/>
    <w:rsid w:val="24F50F6D"/>
    <w:rsid w:val="25F76485"/>
    <w:rsid w:val="26217475"/>
    <w:rsid w:val="265F3588"/>
    <w:rsid w:val="26B94585"/>
    <w:rsid w:val="26C55620"/>
    <w:rsid w:val="272B250C"/>
    <w:rsid w:val="27780E44"/>
    <w:rsid w:val="289D4493"/>
    <w:rsid w:val="28D661F6"/>
    <w:rsid w:val="297A4F2C"/>
    <w:rsid w:val="298037E5"/>
    <w:rsid w:val="2A433FAD"/>
    <w:rsid w:val="2AB9153C"/>
    <w:rsid w:val="2B0A49AA"/>
    <w:rsid w:val="2B6809E7"/>
    <w:rsid w:val="2C5603E2"/>
    <w:rsid w:val="2C797EDB"/>
    <w:rsid w:val="2C866FCC"/>
    <w:rsid w:val="2CAF2B4E"/>
    <w:rsid w:val="2CFC4D36"/>
    <w:rsid w:val="2D425799"/>
    <w:rsid w:val="2DFC6E55"/>
    <w:rsid w:val="2E121A67"/>
    <w:rsid w:val="2E6415F4"/>
    <w:rsid w:val="2EEA3406"/>
    <w:rsid w:val="2EF867C2"/>
    <w:rsid w:val="2F786F19"/>
    <w:rsid w:val="2FFD1697"/>
    <w:rsid w:val="30040158"/>
    <w:rsid w:val="312B29DB"/>
    <w:rsid w:val="3134274F"/>
    <w:rsid w:val="31AE0165"/>
    <w:rsid w:val="31C9220B"/>
    <w:rsid w:val="31E242B8"/>
    <w:rsid w:val="31EC68B3"/>
    <w:rsid w:val="3283099B"/>
    <w:rsid w:val="32921894"/>
    <w:rsid w:val="339A412E"/>
    <w:rsid w:val="34016273"/>
    <w:rsid w:val="340267EF"/>
    <w:rsid w:val="346C413E"/>
    <w:rsid w:val="346D7BCB"/>
    <w:rsid w:val="34894473"/>
    <w:rsid w:val="34A9324C"/>
    <w:rsid w:val="353347C7"/>
    <w:rsid w:val="36130BC8"/>
    <w:rsid w:val="3658101D"/>
    <w:rsid w:val="3816412B"/>
    <w:rsid w:val="38646A8B"/>
    <w:rsid w:val="38CB6F8D"/>
    <w:rsid w:val="3A26724D"/>
    <w:rsid w:val="3AA95DCE"/>
    <w:rsid w:val="3B352BB1"/>
    <w:rsid w:val="3B722AA0"/>
    <w:rsid w:val="3B7E60E0"/>
    <w:rsid w:val="3E0E0E0D"/>
    <w:rsid w:val="3E98676B"/>
    <w:rsid w:val="3EE53802"/>
    <w:rsid w:val="3F4B577F"/>
    <w:rsid w:val="40F65A5E"/>
    <w:rsid w:val="410D6FF6"/>
    <w:rsid w:val="41A31CB5"/>
    <w:rsid w:val="41B53C48"/>
    <w:rsid w:val="4229641F"/>
    <w:rsid w:val="4264338E"/>
    <w:rsid w:val="42987A28"/>
    <w:rsid w:val="43A87EB7"/>
    <w:rsid w:val="43FC7CEC"/>
    <w:rsid w:val="441875C0"/>
    <w:rsid w:val="455425FB"/>
    <w:rsid w:val="45C328A6"/>
    <w:rsid w:val="46021DDB"/>
    <w:rsid w:val="46114EAF"/>
    <w:rsid w:val="46553530"/>
    <w:rsid w:val="468254D9"/>
    <w:rsid w:val="474C7FF2"/>
    <w:rsid w:val="47993222"/>
    <w:rsid w:val="48326572"/>
    <w:rsid w:val="48837643"/>
    <w:rsid w:val="48873504"/>
    <w:rsid w:val="49193AAD"/>
    <w:rsid w:val="49384DFC"/>
    <w:rsid w:val="4A6827D4"/>
    <w:rsid w:val="4A766C7B"/>
    <w:rsid w:val="4B297411"/>
    <w:rsid w:val="4B640800"/>
    <w:rsid w:val="4B873A46"/>
    <w:rsid w:val="4B931DE9"/>
    <w:rsid w:val="4BA27B6B"/>
    <w:rsid w:val="4BB9442F"/>
    <w:rsid w:val="4CAF5BB3"/>
    <w:rsid w:val="4CE74C74"/>
    <w:rsid w:val="4DD20152"/>
    <w:rsid w:val="4DF97453"/>
    <w:rsid w:val="4E6939FD"/>
    <w:rsid w:val="4E8E0F10"/>
    <w:rsid w:val="4EB837D2"/>
    <w:rsid w:val="4EEF62E0"/>
    <w:rsid w:val="4FCE2CD2"/>
    <w:rsid w:val="501F5C3C"/>
    <w:rsid w:val="50887A53"/>
    <w:rsid w:val="50A5138D"/>
    <w:rsid w:val="50BE55B0"/>
    <w:rsid w:val="50E625FD"/>
    <w:rsid w:val="51095345"/>
    <w:rsid w:val="515E062A"/>
    <w:rsid w:val="517074F6"/>
    <w:rsid w:val="51801BBC"/>
    <w:rsid w:val="52AC3758"/>
    <w:rsid w:val="539E4C07"/>
    <w:rsid w:val="53D7429F"/>
    <w:rsid w:val="54A218AB"/>
    <w:rsid w:val="54E35FFB"/>
    <w:rsid w:val="55FC5D36"/>
    <w:rsid w:val="566E1F7B"/>
    <w:rsid w:val="56B4379B"/>
    <w:rsid w:val="574222EF"/>
    <w:rsid w:val="57C60B99"/>
    <w:rsid w:val="57FB20C8"/>
    <w:rsid w:val="585624D8"/>
    <w:rsid w:val="5866170B"/>
    <w:rsid w:val="58BB3AAA"/>
    <w:rsid w:val="58C87F71"/>
    <w:rsid w:val="58D361A5"/>
    <w:rsid w:val="598108EB"/>
    <w:rsid w:val="59A61CD2"/>
    <w:rsid w:val="59BA16E2"/>
    <w:rsid w:val="59E61CF0"/>
    <w:rsid w:val="5A1464FF"/>
    <w:rsid w:val="5A3D0EAF"/>
    <w:rsid w:val="5A615B7D"/>
    <w:rsid w:val="5A83341D"/>
    <w:rsid w:val="5AA2566A"/>
    <w:rsid w:val="5B0D63C7"/>
    <w:rsid w:val="5B1332C5"/>
    <w:rsid w:val="5BD52F3C"/>
    <w:rsid w:val="5C9F6108"/>
    <w:rsid w:val="5EED3C80"/>
    <w:rsid w:val="5F664004"/>
    <w:rsid w:val="5F84428B"/>
    <w:rsid w:val="5FB2527F"/>
    <w:rsid w:val="60291FA0"/>
    <w:rsid w:val="603D6C6B"/>
    <w:rsid w:val="605815A8"/>
    <w:rsid w:val="6124517B"/>
    <w:rsid w:val="612C143D"/>
    <w:rsid w:val="61790F07"/>
    <w:rsid w:val="62225D5A"/>
    <w:rsid w:val="625D10C4"/>
    <w:rsid w:val="62BE087E"/>
    <w:rsid w:val="62E0673F"/>
    <w:rsid w:val="63011BB9"/>
    <w:rsid w:val="6334621A"/>
    <w:rsid w:val="63B2112B"/>
    <w:rsid w:val="63F5365E"/>
    <w:rsid w:val="64A768DE"/>
    <w:rsid w:val="64D4774E"/>
    <w:rsid w:val="65F270D5"/>
    <w:rsid w:val="66186419"/>
    <w:rsid w:val="67641282"/>
    <w:rsid w:val="680F3443"/>
    <w:rsid w:val="682B438E"/>
    <w:rsid w:val="687C4ED3"/>
    <w:rsid w:val="68B056E1"/>
    <w:rsid w:val="68B43F5D"/>
    <w:rsid w:val="695C1F04"/>
    <w:rsid w:val="6968062E"/>
    <w:rsid w:val="6A73603D"/>
    <w:rsid w:val="6A98270B"/>
    <w:rsid w:val="6B0C2D7F"/>
    <w:rsid w:val="6BEE7AA2"/>
    <w:rsid w:val="6C5573C4"/>
    <w:rsid w:val="6C557C7F"/>
    <w:rsid w:val="6C877360"/>
    <w:rsid w:val="6C8F11A3"/>
    <w:rsid w:val="6CA33347"/>
    <w:rsid w:val="6CCA3489"/>
    <w:rsid w:val="6CFA26E7"/>
    <w:rsid w:val="6DA64C53"/>
    <w:rsid w:val="6DB3193C"/>
    <w:rsid w:val="6E143C82"/>
    <w:rsid w:val="6E2451F7"/>
    <w:rsid w:val="6E4375BC"/>
    <w:rsid w:val="6E581859"/>
    <w:rsid w:val="6F287C8A"/>
    <w:rsid w:val="6F854B6E"/>
    <w:rsid w:val="71504F02"/>
    <w:rsid w:val="71776553"/>
    <w:rsid w:val="71B67C9F"/>
    <w:rsid w:val="71C346B5"/>
    <w:rsid w:val="7283589A"/>
    <w:rsid w:val="728B7848"/>
    <w:rsid w:val="734310E8"/>
    <w:rsid w:val="73D12212"/>
    <w:rsid w:val="73FB75CC"/>
    <w:rsid w:val="742B0D13"/>
    <w:rsid w:val="74AE76E5"/>
    <w:rsid w:val="74BE0AFF"/>
    <w:rsid w:val="750C35AF"/>
    <w:rsid w:val="75EA0CE1"/>
    <w:rsid w:val="762227EF"/>
    <w:rsid w:val="762C7FFC"/>
    <w:rsid w:val="76637CB4"/>
    <w:rsid w:val="76AD16BF"/>
    <w:rsid w:val="77191104"/>
    <w:rsid w:val="77CC40D6"/>
    <w:rsid w:val="78A432B2"/>
    <w:rsid w:val="78BE57C1"/>
    <w:rsid w:val="78D041FD"/>
    <w:rsid w:val="78E263F1"/>
    <w:rsid w:val="79320C8F"/>
    <w:rsid w:val="7AA253B0"/>
    <w:rsid w:val="7B3E5E16"/>
    <w:rsid w:val="7B9C7E5D"/>
    <w:rsid w:val="7BB431F1"/>
    <w:rsid w:val="7C005151"/>
    <w:rsid w:val="7DDA7DA9"/>
    <w:rsid w:val="7E652E5E"/>
    <w:rsid w:val="7EE73AE3"/>
    <w:rsid w:val="7F1B5648"/>
    <w:rsid w:val="7F1D2D93"/>
    <w:rsid w:val="7F312EAA"/>
    <w:rsid w:val="7F4F1DD7"/>
    <w:rsid w:val="7F9A5A7E"/>
    <w:rsid w:val="7FF86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CA0CD3"/>
  <w15:docId w15:val="{8F24D553-6932-4AB3-91AA-2292923F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napToGrid w:val="0"/>
      <w:spacing w:line="360" w:lineRule="auto"/>
      <w:ind w:firstLine="541"/>
      <w:outlineLvl w:val="0"/>
    </w:pPr>
    <w:rPr>
      <w:rFonts w:ascii="宋体" w:hAnsi="宋体"/>
      <w:b/>
      <w:color w:val="000000"/>
      <w:sz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hAnsi="Calibri"/>
      <w:kern w:val="0"/>
      <w:sz w:val="18"/>
      <w:szCs w:val="18"/>
    </w:rPr>
  </w:style>
  <w:style w:type="paragraph" w:styleId="a5">
    <w:name w:val="annotation text"/>
    <w:basedOn w:val="a"/>
    <w:link w:val="11"/>
    <w:qFormat/>
    <w:pPr>
      <w:jc w:val="left"/>
    </w:pPr>
  </w:style>
  <w:style w:type="paragraph" w:styleId="a6">
    <w:name w:val="Body Text Indent"/>
    <w:basedOn w:val="a"/>
    <w:link w:val="a7"/>
    <w:qFormat/>
    <w:pPr>
      <w:autoSpaceDE w:val="0"/>
      <w:autoSpaceDN w:val="0"/>
      <w:adjustRightInd w:val="0"/>
      <w:spacing w:line="360" w:lineRule="auto"/>
      <w:ind w:firstLineChars="199" w:firstLine="478"/>
    </w:pPr>
    <w:rPr>
      <w:rFonts w:ascii="宋体" w:hAnsi="宋体"/>
      <w:kern w:val="0"/>
      <w:sz w:val="24"/>
      <w:szCs w:val="21"/>
    </w:rPr>
  </w:style>
  <w:style w:type="paragraph" w:styleId="30">
    <w:name w:val="toc 3"/>
    <w:basedOn w:val="a"/>
    <w:next w:val="a"/>
    <w:qFormat/>
    <w:pPr>
      <w:ind w:leftChars="400" w:left="840"/>
    </w:pPr>
  </w:style>
  <w:style w:type="paragraph" w:styleId="a8">
    <w:name w:val="Plain Text"/>
    <w:basedOn w:val="a"/>
    <w:link w:val="a9"/>
    <w:qFormat/>
    <w:rPr>
      <w:rFonts w:ascii="宋体" w:hAnsi="Courier New"/>
      <w:szCs w:val="21"/>
    </w:rPr>
  </w:style>
  <w:style w:type="paragraph" w:styleId="aa">
    <w:name w:val="Date"/>
    <w:basedOn w:val="a"/>
    <w:next w:val="a"/>
    <w:qFormat/>
    <w:pPr>
      <w:ind w:leftChars="2500" w:left="100"/>
    </w:pPr>
    <w:rPr>
      <w:rFonts w:ascii="宋体" w:hAnsi="宋体"/>
      <w:sz w:val="24"/>
    </w:rPr>
  </w:style>
  <w:style w:type="paragraph" w:styleId="20">
    <w:name w:val="Body Text Indent 2"/>
    <w:basedOn w:val="a"/>
    <w:link w:val="21"/>
    <w:qFormat/>
    <w:pPr>
      <w:spacing w:before="60" w:after="60"/>
      <w:ind w:left="479"/>
    </w:pPr>
    <w:rPr>
      <w:rFonts w:ascii="宋体"/>
      <w:sz w:val="24"/>
    </w:rPr>
  </w:style>
  <w:style w:type="paragraph" w:styleId="ab">
    <w:name w:val="Balloon Text"/>
    <w:basedOn w:val="a"/>
    <w:link w:val="ac"/>
    <w:uiPriority w:val="99"/>
    <w:semiHidden/>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unhideWhenUsed/>
    <w:qFormat/>
    <w:pPr>
      <w:tabs>
        <w:tab w:val="right" w:leader="hyphen" w:pos="8296"/>
      </w:tabs>
      <w:spacing w:line="360" w:lineRule="auto"/>
    </w:pPr>
    <w:rPr>
      <w:rFonts w:ascii="宋体" w:hAnsi="宋体"/>
      <w:sz w:val="24"/>
      <w:szCs w:val="24"/>
    </w:rPr>
  </w:style>
  <w:style w:type="paragraph" w:styleId="af1">
    <w:name w:val="annotation subject"/>
    <w:basedOn w:val="a5"/>
    <w:next w:val="a5"/>
    <w:link w:val="af2"/>
    <w:uiPriority w:val="99"/>
    <w:semiHidden/>
    <w:qFormat/>
    <w:rPr>
      <w:b/>
      <w:bCs/>
    </w:rPr>
  </w:style>
  <w:style w:type="character" w:styleId="af3">
    <w:name w:val="page number"/>
    <w:basedOn w:val="a0"/>
    <w:qFormat/>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uiPriority w:val="99"/>
    <w:semiHidden/>
    <w:qFormat/>
    <w:rPr>
      <w:sz w:val="21"/>
      <w:szCs w:val="21"/>
    </w:rPr>
  </w:style>
  <w:style w:type="character" w:customStyle="1" w:styleId="af0">
    <w:name w:val="页眉 字符"/>
    <w:link w:val="af"/>
    <w:uiPriority w:val="99"/>
    <w:qFormat/>
    <w:rPr>
      <w:kern w:val="2"/>
      <w:sz w:val="18"/>
      <w:szCs w:val="18"/>
    </w:rPr>
  </w:style>
  <w:style w:type="character" w:customStyle="1" w:styleId="DeltaViewInsertion">
    <w:name w:val="DeltaView Insertion"/>
    <w:qFormat/>
    <w:rPr>
      <w:color w:val="0000FF"/>
      <w:spacing w:val="0"/>
      <w:u w:val="double"/>
    </w:rPr>
  </w:style>
  <w:style w:type="character" w:customStyle="1" w:styleId="21">
    <w:name w:val="正文文本缩进 2 字符"/>
    <w:link w:val="20"/>
    <w:qFormat/>
    <w:rPr>
      <w:rFonts w:ascii="宋体"/>
      <w:kern w:val="2"/>
      <w:sz w:val="24"/>
    </w:rPr>
  </w:style>
  <w:style w:type="character" w:customStyle="1" w:styleId="a9">
    <w:name w:val="纯文本 字符"/>
    <w:link w:val="a8"/>
    <w:qFormat/>
    <w:rPr>
      <w:rFonts w:ascii="宋体" w:hAnsi="Courier New" w:cs="Courier New"/>
      <w:kern w:val="2"/>
      <w:sz w:val="21"/>
      <w:szCs w:val="21"/>
    </w:rPr>
  </w:style>
  <w:style w:type="character" w:customStyle="1" w:styleId="e-arialb101">
    <w:name w:val="e-arialb101"/>
    <w:qFormat/>
    <w:rPr>
      <w:rFonts w:ascii="Arial" w:hAnsi="Arial" w:cs="Arial" w:hint="default"/>
      <w:color w:val="000000"/>
      <w:sz w:val="14"/>
      <w:szCs w:val="14"/>
    </w:rPr>
  </w:style>
  <w:style w:type="character" w:customStyle="1" w:styleId="10">
    <w:name w:val="标题 1 字符"/>
    <w:link w:val="1"/>
    <w:uiPriority w:val="9"/>
    <w:qFormat/>
    <w:rPr>
      <w:rFonts w:ascii="宋体" w:hAnsi="宋体"/>
      <w:b/>
      <w:color w:val="000000"/>
      <w:kern w:val="2"/>
      <w:sz w:val="24"/>
    </w:rPr>
  </w:style>
  <w:style w:type="character" w:customStyle="1" w:styleId="af2">
    <w:name w:val="批注主题 字符"/>
    <w:link w:val="af1"/>
    <w:uiPriority w:val="99"/>
    <w:semiHidden/>
    <w:qFormat/>
    <w:rPr>
      <w:b/>
      <w:bCs/>
      <w:kern w:val="2"/>
      <w:sz w:val="21"/>
    </w:rPr>
  </w:style>
  <w:style w:type="character" w:customStyle="1" w:styleId="a4">
    <w:name w:val="文档结构图 字符"/>
    <w:link w:val="a3"/>
    <w:uiPriority w:val="99"/>
    <w:qFormat/>
    <w:rPr>
      <w:rFonts w:ascii="宋体" w:hAnsi="Calibri"/>
      <w:sz w:val="18"/>
      <w:szCs w:val="18"/>
    </w:rPr>
  </w:style>
  <w:style w:type="character" w:customStyle="1" w:styleId="ac">
    <w:name w:val="批注框文本 字符"/>
    <w:link w:val="ab"/>
    <w:uiPriority w:val="99"/>
    <w:semiHidden/>
    <w:qFormat/>
    <w:rPr>
      <w:kern w:val="2"/>
      <w:sz w:val="18"/>
      <w:szCs w:val="18"/>
    </w:rPr>
  </w:style>
  <w:style w:type="character" w:customStyle="1" w:styleId="11">
    <w:name w:val="批注文字 字符1"/>
    <w:link w:val="a5"/>
    <w:uiPriority w:val="99"/>
    <w:qFormat/>
    <w:rPr>
      <w:kern w:val="2"/>
      <w:sz w:val="21"/>
    </w:rPr>
  </w:style>
  <w:style w:type="character" w:customStyle="1" w:styleId="a7">
    <w:name w:val="正文文本缩进 字符"/>
    <w:link w:val="a6"/>
    <w:qFormat/>
    <w:rPr>
      <w:rFonts w:ascii="宋体" w:hAnsi="宋体" w:cs="Arial"/>
      <w:sz w:val="24"/>
      <w:szCs w:val="21"/>
    </w:rPr>
  </w:style>
  <w:style w:type="character" w:customStyle="1" w:styleId="apple-style-span">
    <w:name w:val="apple-style-span"/>
    <w:qFormat/>
  </w:style>
  <w:style w:type="character" w:customStyle="1" w:styleId="ae">
    <w:name w:val="页脚 字符"/>
    <w:link w:val="ad"/>
    <w:uiPriority w:val="99"/>
    <w:qFormat/>
    <w:rPr>
      <w:kern w:val="2"/>
      <w:sz w:val="18"/>
      <w:szCs w:val="18"/>
    </w:rPr>
  </w:style>
  <w:style w:type="paragraph" w:customStyle="1" w:styleId="13">
    <w:name w:val="修订1"/>
    <w:uiPriority w:val="99"/>
    <w:semiHidden/>
    <w:qFormat/>
    <w:rPr>
      <w:rFonts w:ascii="Calibri" w:hAnsi="Calibri"/>
      <w:kern w:val="2"/>
      <w:sz w:val="21"/>
      <w:szCs w:val="22"/>
    </w:rPr>
  </w:style>
  <w:style w:type="paragraph" w:customStyle="1" w:styleId="NormalJustified">
    <w:name w:val="Normal (Justified)"/>
    <w:basedOn w:val="a"/>
    <w:semiHidden/>
    <w:qFormat/>
    <w:pPr>
      <w:widowControl/>
      <w:snapToGrid w:val="0"/>
    </w:pPr>
    <w:rPr>
      <w:kern w:val="28"/>
      <w:sz w:val="24"/>
    </w:rPr>
  </w:style>
  <w:style w:type="paragraph" w:customStyle="1" w:styleId="CharCharCharCharCharCharCharCharCharCharCharCharChar1CharCharCharChar">
    <w:name w:val="Char Char Char Char Char Char Char Char Char Char Char Char Char1 Char Char Char Char"/>
    <w:basedOn w:val="a"/>
    <w:qFormat/>
    <w:rPr>
      <w:rFonts w:ascii="Tahoma" w:hAnsi="Tahoma"/>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Char">
    <w:name w:val="Char"/>
    <w:basedOn w:val="a"/>
    <w:qFormat/>
    <w:pPr>
      <w:widowControl/>
      <w:spacing w:after="160" w:line="240" w:lineRule="exact"/>
      <w:jc w:val="left"/>
    </w:pPr>
  </w:style>
  <w:style w:type="paragraph" w:customStyle="1" w:styleId="CharCharChar">
    <w:name w:val="Char Char Char"/>
    <w:basedOn w:val="a"/>
    <w:qFormat/>
    <w:rPr>
      <w:szCs w:val="24"/>
    </w:rPr>
  </w:style>
  <w:style w:type="paragraph" w:customStyle="1" w:styleId="CharCharCharCharCharCharChar">
    <w:name w:val="Char Char Char Char Char Char Char"/>
    <w:basedOn w:val="a"/>
    <w:qFormat/>
    <w:pPr>
      <w:tabs>
        <w:tab w:val="left" w:pos="360"/>
      </w:tabs>
      <w:adjustRightInd w:val="0"/>
      <w:textAlignment w:val="baseline"/>
    </w:pPr>
    <w:rPr>
      <w:sz w:val="24"/>
    </w:rPr>
  </w:style>
  <w:style w:type="paragraph" w:customStyle="1" w:styleId="CM16">
    <w:name w:val="CM16"/>
    <w:basedOn w:val="Default"/>
    <w:next w:val="Default"/>
    <w:qFormat/>
    <w:pPr>
      <w:spacing w:line="471" w:lineRule="atLeast"/>
    </w:pPr>
    <w:rPr>
      <w:rFonts w:ascii="黑体" w:eastAsia="黑体" w:hAnsi="Times New Roman" w:cs="Times New Roman"/>
      <w:color w:val="auto"/>
    </w:rPr>
  </w:style>
  <w:style w:type="paragraph" w:customStyle="1" w:styleId="CharCharChar1CharCharCharChar">
    <w:name w:val="Char Char Char1 Char Char Char Char"/>
    <w:basedOn w:val="a"/>
    <w:qFormat/>
    <w:pPr>
      <w:tabs>
        <w:tab w:val="left" w:pos="360"/>
      </w:tabs>
    </w:pPr>
    <w:rPr>
      <w:sz w:val="24"/>
      <w:szCs w:val="24"/>
    </w:rPr>
  </w:style>
  <w:style w:type="paragraph" w:customStyle="1" w:styleId="4CharCharCharChar">
    <w:name w:val="4 Char Char Char Char"/>
    <w:basedOn w:val="a"/>
    <w:qFormat/>
    <w:rPr>
      <w:rFonts w:ascii="Tahoma" w:hAnsi="Tahoma"/>
      <w:sz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style>
  <w:style w:type="character" w:customStyle="1" w:styleId="af7">
    <w:name w:val="批注文字 字符"/>
    <w:qFormat/>
    <w:rPr>
      <w:rFonts w:ascii="Times New Roman" w:eastAsia="宋体" w:hAnsi="Times New Roman" w:cs="Times New Roman"/>
      <w:szCs w:val="24"/>
    </w:rPr>
  </w:style>
  <w:style w:type="paragraph" w:customStyle="1" w:styleId="22">
    <w:name w:val="修订2"/>
    <w:hidden/>
    <w:uiPriority w:val="99"/>
    <w:semiHidden/>
    <w:qFormat/>
    <w:rPr>
      <w:kern w:val="2"/>
      <w:sz w:val="21"/>
    </w:rPr>
  </w:style>
  <w:style w:type="paragraph" w:customStyle="1" w:styleId="31">
    <w:name w:val="修订3"/>
    <w:hidden/>
    <w:uiPriority w:val="99"/>
    <w:semiHidden/>
    <w:qFormat/>
    <w:rPr>
      <w:kern w:val="2"/>
      <w:sz w:val="21"/>
    </w:rPr>
  </w:style>
  <w:style w:type="character" w:customStyle="1" w:styleId="read">
    <w:name w:val="read"/>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2F0F8-9FEC-456A-B69E-DA23DFC95F99}">
  <ds:schemaRefs>
    <ds:schemaRef ds:uri="http://schemas.openxmlformats.org/officeDocument/2006/bibliography"/>
  </ds:schemaRefs>
</ds:datastoreItem>
</file>

<file path=customXml/itemProps2.xml><?xml version="1.0" encoding="utf-8"?>
<ds:datastoreItem xmlns:ds="http://schemas.openxmlformats.org/officeDocument/2006/customXml" ds:itemID="{431CB0C8-A745-4223-8589-8B4E13226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5572</Words>
  <Characters>31764</Characters>
  <Application>Microsoft Office Word</Application>
  <DocSecurity>0</DocSecurity>
  <Lines>264</Lines>
  <Paragraphs>74</Paragraphs>
  <ScaleCrop>false</ScaleCrop>
  <Company>Lenovo</Company>
  <LinksUpToDate>false</LinksUpToDate>
  <CharactersWithSpaces>37262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刘斓</dc:creator>
  <cp:lastModifiedBy>晁梦婷</cp:lastModifiedBy>
  <cp:revision>11</cp:revision>
  <cp:lastPrinted>2025-03-10T02:03:00Z</cp:lastPrinted>
  <dcterms:created xsi:type="dcterms:W3CDTF">2025-09-09T11:10:00Z</dcterms:created>
  <dcterms:modified xsi:type="dcterms:W3CDTF">2025-12-17T06:38:00Z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ACE5047818A24010B3A7A76CC69AF5ED_13</vt:lpwstr>
  </property>
</Properties>
</file>