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E1CB" w14:textId="77777777" w:rsidR="004061EF" w:rsidRDefault="00701A1C">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富国新兴产业股票型证券投资基金（</w:t>
      </w:r>
      <w:r>
        <w:rPr>
          <w:rFonts w:ascii="宋体" w:eastAsia="宋体" w:hAnsi="宋体" w:cs="方正黑体简体"/>
          <w:b/>
          <w:bCs/>
          <w:iCs/>
          <w:sz w:val="30"/>
          <w:szCs w:val="30"/>
        </w:rPr>
        <w:t>C</w:t>
      </w:r>
      <w:r>
        <w:rPr>
          <w:rFonts w:ascii="宋体" w:eastAsia="宋体" w:hAnsi="宋体" w:cs="方正黑体简体"/>
          <w:b/>
          <w:bCs/>
          <w:iCs/>
          <w:sz w:val="30"/>
          <w:szCs w:val="30"/>
        </w:rPr>
        <w:t>类份额）基金产品资料概要更新</w:t>
      </w:r>
    </w:p>
    <w:p w14:paraId="77D6ED9A" w14:textId="77777777"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2025年11月20日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2025年11月19日</w:t>
      </w:r>
      <w:r w:rsidR="0043556E" w:rsidRPr="00A14942">
        <w:rPr>
          <w:rFonts w:ascii="宋体" w:eastAsia="宋体" w:hAnsi="宋体" w:hint="eastAsia"/>
          <w:sz w:val="21"/>
          <w:szCs w:val="21"/>
        </w:rPr>
        <w:t>）</w:t>
      </w:r>
    </w:p>
    <w:p w14:paraId="0B662A61" w14:textId="77777777"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14:paraId="69748169" w14:textId="77777777" w:rsidR="006F366F" w:rsidRPr="00F50507" w:rsidRDefault="006F366F" w:rsidP="00F50507">
      <w:pPr>
        <w:pStyle w:val="1"/>
      </w:pPr>
      <w:r w:rsidRPr="00F50507">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4061EF" w14:paraId="5107110E" w14:textId="77777777">
        <w:trPr>
          <w:trHeight w:val="340"/>
          <w:jc w:val="center"/>
        </w:trPr>
        <w:tc>
          <w:tcPr>
            <w:tcW w:w="1757" w:type="dxa"/>
            <w:shd w:val="clear" w:color="auto" w:fill="auto"/>
            <w:vAlign w:val="center"/>
          </w:tcPr>
          <w:p w14:paraId="35957F7F"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14:paraId="4349099F" w14:textId="77777777" w:rsidR="004061EF" w:rsidRDefault="00701A1C">
            <w:pPr>
              <w:adjustRightInd w:val="0"/>
              <w:snapToGrid w:val="0"/>
              <w:rPr>
                <w:rFonts w:ascii="宋体" w:eastAsia="宋体" w:hAnsi="宋体" w:cs="方正仿宋简体"/>
                <w:iCs/>
                <w:sz w:val="21"/>
                <w:szCs w:val="21"/>
              </w:rPr>
            </w:pPr>
            <w:r>
              <w:rPr>
                <w:rFonts w:ascii="宋体" w:eastAsia="宋体" w:hAnsi="宋体"/>
                <w:kern w:val="0"/>
                <w:sz w:val="21"/>
                <w:szCs w:val="21"/>
              </w:rPr>
              <w:t>富国新兴产业股票</w:t>
            </w:r>
          </w:p>
        </w:tc>
        <w:tc>
          <w:tcPr>
            <w:tcW w:w="1701" w:type="dxa"/>
            <w:shd w:val="clear" w:color="auto" w:fill="auto"/>
            <w:vAlign w:val="center"/>
          </w:tcPr>
          <w:p w14:paraId="6402F479"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14:paraId="6069AC62" w14:textId="77777777" w:rsidR="004061EF" w:rsidRDefault="00701A1C">
            <w:pPr>
              <w:adjustRightInd w:val="0"/>
              <w:snapToGrid w:val="0"/>
              <w:rPr>
                <w:rFonts w:ascii="宋体" w:eastAsia="宋体" w:hAnsi="宋体" w:cs="方正仿宋简体"/>
                <w:iCs/>
                <w:sz w:val="21"/>
                <w:szCs w:val="21"/>
              </w:rPr>
            </w:pPr>
            <w:r>
              <w:rPr>
                <w:rFonts w:ascii="宋体" w:eastAsia="宋体" w:hAnsi="宋体" w:hint="eastAsia"/>
                <w:kern w:val="0"/>
                <w:sz w:val="21"/>
                <w:szCs w:val="21"/>
              </w:rPr>
              <w:t>001048</w:t>
            </w:r>
          </w:p>
        </w:tc>
      </w:tr>
      <w:tr w:rsidR="004061EF" w14:paraId="42937D1E" w14:textId="77777777">
        <w:trPr>
          <w:trHeight w:val="340"/>
          <w:jc w:val="center"/>
        </w:trPr>
        <w:tc>
          <w:tcPr>
            <w:tcW w:w="1757" w:type="dxa"/>
            <w:shd w:val="clear" w:color="auto" w:fill="auto"/>
            <w:vAlign w:val="center"/>
          </w:tcPr>
          <w:p w14:paraId="17261DAE"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14:paraId="2C4D5CA7" w14:textId="77777777" w:rsidR="004061EF" w:rsidRDefault="00701A1C">
            <w:pPr>
              <w:adjustRightInd w:val="0"/>
              <w:snapToGrid w:val="0"/>
              <w:rPr>
                <w:rFonts w:ascii="宋体" w:eastAsia="宋体" w:hAnsi="宋体"/>
                <w:kern w:val="0"/>
                <w:sz w:val="21"/>
                <w:szCs w:val="21"/>
              </w:rPr>
            </w:pPr>
            <w:r>
              <w:rPr>
                <w:rFonts w:ascii="宋体" w:eastAsia="宋体" w:hAnsi="宋体" w:hint="eastAsia"/>
                <w:kern w:val="0"/>
                <w:sz w:val="21"/>
                <w:szCs w:val="21"/>
              </w:rPr>
              <w:t>富国新兴产业股票</w:t>
            </w:r>
            <w:r>
              <w:rPr>
                <w:rFonts w:ascii="宋体" w:eastAsia="宋体" w:hAnsi="宋体" w:hint="eastAsia"/>
                <w:kern w:val="0"/>
                <w:sz w:val="21"/>
                <w:szCs w:val="21"/>
              </w:rPr>
              <w:t>C</w:t>
            </w:r>
          </w:p>
        </w:tc>
        <w:tc>
          <w:tcPr>
            <w:tcW w:w="1701" w:type="dxa"/>
            <w:shd w:val="clear" w:color="auto" w:fill="auto"/>
            <w:vAlign w:val="center"/>
          </w:tcPr>
          <w:p w14:paraId="2EE82E3D"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14:paraId="1C429D26" w14:textId="77777777" w:rsidR="004061EF" w:rsidRDefault="00701A1C">
            <w:pPr>
              <w:adjustRightInd w:val="0"/>
              <w:snapToGrid w:val="0"/>
              <w:rPr>
                <w:rFonts w:ascii="宋体" w:eastAsia="宋体" w:hAnsi="宋体"/>
                <w:kern w:val="0"/>
                <w:sz w:val="21"/>
                <w:szCs w:val="21"/>
              </w:rPr>
            </w:pPr>
            <w:r>
              <w:rPr>
                <w:rFonts w:ascii="宋体" w:eastAsia="宋体" w:hAnsi="宋体" w:hint="eastAsia"/>
                <w:kern w:val="0"/>
                <w:sz w:val="21"/>
                <w:szCs w:val="21"/>
              </w:rPr>
              <w:t>015686</w:t>
            </w:r>
          </w:p>
        </w:tc>
      </w:tr>
      <w:tr w:rsidR="004061EF" w14:paraId="00E36CE2" w14:textId="77777777">
        <w:trPr>
          <w:trHeight w:val="340"/>
          <w:jc w:val="center"/>
        </w:trPr>
        <w:tc>
          <w:tcPr>
            <w:tcW w:w="1757" w:type="dxa"/>
            <w:shd w:val="clear" w:color="auto" w:fill="auto"/>
            <w:vAlign w:val="center"/>
          </w:tcPr>
          <w:p w14:paraId="2F33B839"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14:paraId="6E2F31C1" w14:textId="77777777" w:rsidR="004061EF" w:rsidRDefault="00701A1C">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14:paraId="2394AB28"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14:paraId="1976E2B1" w14:textId="77777777" w:rsidR="004061EF" w:rsidRDefault="00701A1C">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中国工商银行股份有限公司</w:t>
            </w:r>
          </w:p>
        </w:tc>
      </w:tr>
      <w:tr w:rsidR="004061EF" w14:paraId="76A2B41B" w14:textId="77777777">
        <w:trPr>
          <w:trHeight w:val="340"/>
          <w:jc w:val="center"/>
        </w:trPr>
        <w:tc>
          <w:tcPr>
            <w:tcW w:w="1757" w:type="dxa"/>
            <w:shd w:val="clear" w:color="auto" w:fill="auto"/>
            <w:vAlign w:val="center"/>
          </w:tcPr>
          <w:p w14:paraId="2FD4BFA4"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14:paraId="0FC8D07F" w14:textId="77777777" w:rsidR="004061EF" w:rsidRDefault="00701A1C">
            <w:pPr>
              <w:adjustRightInd w:val="0"/>
              <w:snapToGrid w:val="0"/>
              <w:rPr>
                <w:rFonts w:ascii="宋体" w:eastAsia="宋体" w:hAnsi="宋体" w:cs="方正仿宋简体"/>
                <w:iCs/>
                <w:sz w:val="21"/>
                <w:szCs w:val="21"/>
              </w:rPr>
            </w:pPr>
            <w:r>
              <w:rPr>
                <w:rFonts w:ascii="宋体" w:eastAsia="宋体" w:hAnsi="宋体"/>
                <w:kern w:val="0"/>
                <w:sz w:val="21"/>
                <w:szCs w:val="21"/>
              </w:rPr>
              <w:t>2015</w:t>
            </w:r>
            <w:r>
              <w:rPr>
                <w:rFonts w:ascii="宋体" w:eastAsia="宋体" w:hAnsi="宋体"/>
                <w:kern w:val="0"/>
                <w:sz w:val="21"/>
                <w:szCs w:val="21"/>
              </w:rPr>
              <w:t>年</w:t>
            </w:r>
            <w:r>
              <w:rPr>
                <w:rFonts w:ascii="宋体" w:eastAsia="宋体" w:hAnsi="宋体"/>
                <w:kern w:val="0"/>
                <w:sz w:val="21"/>
                <w:szCs w:val="21"/>
              </w:rPr>
              <w:t>03</w:t>
            </w:r>
            <w:r>
              <w:rPr>
                <w:rFonts w:ascii="宋体" w:eastAsia="宋体" w:hAnsi="宋体"/>
                <w:kern w:val="0"/>
                <w:sz w:val="21"/>
                <w:szCs w:val="21"/>
              </w:rPr>
              <w:t>月</w:t>
            </w:r>
            <w:r>
              <w:rPr>
                <w:rFonts w:ascii="宋体" w:eastAsia="宋体" w:hAnsi="宋体"/>
                <w:kern w:val="0"/>
                <w:sz w:val="21"/>
                <w:szCs w:val="21"/>
              </w:rPr>
              <w:t>12</w:t>
            </w:r>
            <w:r>
              <w:rPr>
                <w:rFonts w:ascii="宋体" w:eastAsia="宋体" w:hAnsi="宋体"/>
                <w:kern w:val="0"/>
                <w:sz w:val="21"/>
                <w:szCs w:val="21"/>
              </w:rPr>
              <w:t>日</w:t>
            </w:r>
          </w:p>
        </w:tc>
        <w:tc>
          <w:tcPr>
            <w:tcW w:w="1701" w:type="dxa"/>
            <w:shd w:val="clear" w:color="auto" w:fill="auto"/>
            <w:vAlign w:val="center"/>
          </w:tcPr>
          <w:p w14:paraId="25F355EB"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14:paraId="0333D5EE" w14:textId="77777777" w:rsidR="004061EF" w:rsidRDefault="00701A1C">
            <w:pPr>
              <w:adjustRightInd w:val="0"/>
              <w:snapToGrid w:val="0"/>
              <w:rPr>
                <w:rFonts w:ascii="宋体" w:eastAsia="宋体" w:hAnsi="宋体" w:cs="方正仿宋简体"/>
                <w:iCs/>
                <w:sz w:val="21"/>
                <w:szCs w:val="21"/>
              </w:rPr>
            </w:pPr>
            <w:r>
              <w:rPr>
                <w:rFonts w:ascii="宋体" w:eastAsia="宋体" w:hAnsi="宋体" w:hint="eastAsia"/>
                <w:kern w:val="0"/>
                <w:sz w:val="21"/>
                <w:szCs w:val="21"/>
              </w:rPr>
              <w:t>股票型</w:t>
            </w:r>
          </w:p>
        </w:tc>
      </w:tr>
      <w:tr w:rsidR="004061EF" w14:paraId="491CDBC4" w14:textId="77777777">
        <w:trPr>
          <w:trHeight w:val="340"/>
          <w:jc w:val="center"/>
        </w:trPr>
        <w:tc>
          <w:tcPr>
            <w:tcW w:w="1757" w:type="dxa"/>
            <w:shd w:val="clear" w:color="auto" w:fill="auto"/>
            <w:vAlign w:val="center"/>
          </w:tcPr>
          <w:p w14:paraId="5AE4718C"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14:paraId="08E4F93B" w14:textId="77777777" w:rsidR="004061EF" w:rsidRDefault="00701A1C">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14:paraId="5339F917"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14:paraId="7215CB15" w14:textId="77777777" w:rsidR="004061EF" w:rsidRDefault="00701A1C">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rsidR="004061EF" w14:paraId="14671D0A" w14:textId="77777777">
        <w:trPr>
          <w:trHeight w:val="340"/>
          <w:jc w:val="center"/>
        </w:trPr>
        <w:tc>
          <w:tcPr>
            <w:tcW w:w="1757" w:type="dxa"/>
            <w:shd w:val="clear" w:color="auto" w:fill="auto"/>
            <w:vAlign w:val="center"/>
          </w:tcPr>
          <w:p w14:paraId="7327C0D9"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14:paraId="571E2C15" w14:textId="77777777" w:rsidR="004061EF" w:rsidRDefault="00701A1C">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14:paraId="3B8E0728" w14:textId="77777777" w:rsidR="00A970AF" w:rsidRPr="004A1547" w:rsidRDefault="00A970AF" w:rsidP="00A14942">
            <w:pPr>
              <w:adjustRightInd w:val="0"/>
              <w:snapToGrid w:val="0"/>
              <w:rPr>
                <w:rFonts w:ascii="宋体" w:eastAsia="宋体" w:hAnsi="宋体" w:cs="方正仿宋简体"/>
                <w:iCs/>
                <w:sz w:val="21"/>
                <w:szCs w:val="21"/>
              </w:rPr>
            </w:pPr>
          </w:p>
        </w:tc>
        <w:tc>
          <w:tcPr>
            <w:tcW w:w="2835" w:type="dxa"/>
            <w:shd w:val="clear" w:color="auto" w:fill="auto"/>
            <w:vAlign w:val="center"/>
          </w:tcPr>
          <w:p w14:paraId="52B56817" w14:textId="77777777" w:rsidR="004061EF" w:rsidRDefault="004061EF">
            <w:pPr>
              <w:adjustRightInd w:val="0"/>
              <w:snapToGrid w:val="0"/>
              <w:rPr>
                <w:rFonts w:ascii="宋体" w:eastAsia="宋体" w:hAnsi="宋体" w:cs="方正仿宋简体"/>
                <w:iCs/>
                <w:sz w:val="21"/>
                <w:szCs w:val="21"/>
              </w:rPr>
            </w:pPr>
          </w:p>
        </w:tc>
      </w:tr>
      <w:tr w:rsidR="004061EF" w14:paraId="3EBD3641" w14:textId="77777777">
        <w:trPr>
          <w:trHeight w:val="340"/>
          <w:jc w:val="center"/>
        </w:trPr>
        <w:tc>
          <w:tcPr>
            <w:tcW w:w="1757" w:type="dxa"/>
            <w:vMerge w:val="restart"/>
            <w:shd w:val="clear" w:color="auto" w:fill="auto"/>
            <w:vAlign w:val="center"/>
          </w:tcPr>
          <w:p w14:paraId="52D1C493"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14:paraId="546F213B"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孙权</w:t>
            </w:r>
          </w:p>
        </w:tc>
        <w:tc>
          <w:tcPr>
            <w:tcW w:w="1701" w:type="dxa"/>
            <w:shd w:val="clear" w:color="auto" w:fill="auto"/>
            <w:vAlign w:val="center"/>
          </w:tcPr>
          <w:p w14:paraId="465AA881"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14:paraId="1EFF2F10"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2022</w:t>
            </w:r>
            <w:r>
              <w:rPr>
                <w:rFonts w:ascii="宋体" w:eastAsia="宋体" w:hAnsi="宋体" w:cs="方正仿宋简体" w:hint="eastAsia"/>
                <w:iCs/>
                <w:sz w:val="21"/>
                <w:szCs w:val="21"/>
              </w:rPr>
              <w:t>年</w:t>
            </w:r>
            <w:r>
              <w:rPr>
                <w:rFonts w:ascii="宋体" w:eastAsia="宋体" w:hAnsi="宋体" w:cs="方正仿宋简体" w:hint="eastAsia"/>
                <w:iCs/>
                <w:sz w:val="21"/>
                <w:szCs w:val="21"/>
              </w:rPr>
              <w:t>02</w:t>
            </w:r>
            <w:r>
              <w:rPr>
                <w:rFonts w:ascii="宋体" w:eastAsia="宋体" w:hAnsi="宋体" w:cs="方正仿宋简体" w:hint="eastAsia"/>
                <w:iCs/>
                <w:sz w:val="21"/>
                <w:szCs w:val="21"/>
              </w:rPr>
              <w:t>月</w:t>
            </w:r>
            <w:r>
              <w:rPr>
                <w:rFonts w:ascii="宋体" w:eastAsia="宋体" w:hAnsi="宋体" w:cs="方正仿宋简体" w:hint="eastAsia"/>
                <w:iCs/>
                <w:sz w:val="21"/>
                <w:szCs w:val="21"/>
              </w:rPr>
              <w:t>28</w:t>
            </w:r>
            <w:r>
              <w:rPr>
                <w:rFonts w:ascii="宋体" w:eastAsia="宋体" w:hAnsi="宋体" w:cs="方正仿宋简体" w:hint="eastAsia"/>
                <w:iCs/>
                <w:sz w:val="21"/>
                <w:szCs w:val="21"/>
              </w:rPr>
              <w:t>日</w:t>
            </w:r>
          </w:p>
        </w:tc>
      </w:tr>
      <w:tr w:rsidR="004061EF" w14:paraId="3CFDE3DA" w14:textId="77777777">
        <w:trPr>
          <w:trHeight w:val="340"/>
          <w:jc w:val="center"/>
        </w:trPr>
        <w:tc>
          <w:tcPr>
            <w:tcW w:w="1757" w:type="dxa"/>
            <w:vMerge/>
            <w:shd w:val="clear" w:color="auto" w:fill="auto"/>
            <w:vAlign w:val="center"/>
          </w:tcPr>
          <w:p w14:paraId="7BD7335A" w14:textId="77777777"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14:paraId="09D9F870" w14:textId="77777777"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14:paraId="0A1C942B"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14:paraId="056CE0EF"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2013</w:t>
            </w:r>
            <w:r>
              <w:rPr>
                <w:rFonts w:ascii="宋体" w:eastAsia="宋体" w:hAnsi="宋体" w:cs="方正仿宋简体" w:hint="eastAsia"/>
                <w:iCs/>
                <w:sz w:val="21"/>
                <w:szCs w:val="21"/>
              </w:rPr>
              <w:t>年</w:t>
            </w:r>
            <w:r>
              <w:rPr>
                <w:rFonts w:ascii="宋体" w:eastAsia="宋体" w:hAnsi="宋体" w:cs="方正仿宋简体" w:hint="eastAsia"/>
                <w:iCs/>
                <w:sz w:val="21"/>
                <w:szCs w:val="21"/>
              </w:rPr>
              <w:t>07</w:t>
            </w:r>
            <w:r>
              <w:rPr>
                <w:rFonts w:ascii="宋体" w:eastAsia="宋体" w:hAnsi="宋体" w:cs="方正仿宋简体" w:hint="eastAsia"/>
                <w:iCs/>
                <w:sz w:val="21"/>
                <w:szCs w:val="21"/>
              </w:rPr>
              <w:t>月</w:t>
            </w:r>
            <w:r>
              <w:rPr>
                <w:rFonts w:ascii="宋体" w:eastAsia="宋体" w:hAnsi="宋体" w:cs="方正仿宋简体" w:hint="eastAsia"/>
                <w:iCs/>
                <w:sz w:val="21"/>
                <w:szCs w:val="21"/>
              </w:rPr>
              <w:t>22</w:t>
            </w:r>
            <w:r>
              <w:rPr>
                <w:rFonts w:ascii="宋体" w:eastAsia="宋体" w:hAnsi="宋体" w:cs="方正仿宋简体" w:hint="eastAsia"/>
                <w:iCs/>
                <w:sz w:val="21"/>
                <w:szCs w:val="21"/>
              </w:rPr>
              <w:t>日</w:t>
            </w:r>
          </w:p>
        </w:tc>
      </w:tr>
    </w:tbl>
    <w:p w14:paraId="731AF06B" w14:textId="77777777" w:rsidR="006F366F" w:rsidRPr="00A14942" w:rsidRDefault="006F366F" w:rsidP="00F50507">
      <w:pPr>
        <w:pStyle w:val="1"/>
      </w:pPr>
      <w:r w:rsidRPr="00A14942">
        <w:rPr>
          <w:rFonts w:hint="eastAsia"/>
        </w:rPr>
        <w:t>基金投资与净值表现</w:t>
      </w:r>
    </w:p>
    <w:p w14:paraId="6B862AFC" w14:textId="77777777" w:rsidR="00BC4EFB" w:rsidRPr="00F50507" w:rsidRDefault="00BC4EFB" w:rsidP="00F50507">
      <w:pPr>
        <w:pStyle w:val="2"/>
      </w:pPr>
      <w:r w:rsidRPr="00F50507">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4061EF" w14:paraId="3D4A949D" w14:textId="77777777">
        <w:trPr>
          <w:trHeight w:val="340"/>
          <w:jc w:val="center"/>
        </w:trPr>
        <w:tc>
          <w:tcPr>
            <w:tcW w:w="1757" w:type="dxa"/>
            <w:shd w:val="clear" w:color="auto" w:fill="auto"/>
            <w:vAlign w:val="center"/>
          </w:tcPr>
          <w:p w14:paraId="152BF7F7" w14:textId="77777777" w:rsidR="004061EF" w:rsidRDefault="00701A1C">
            <w:pPr>
              <w:pStyle w:val="af4"/>
            </w:pPr>
            <w:r>
              <w:rPr>
                <w:rFonts w:hint="eastAsia"/>
              </w:rPr>
              <w:t>投资目标</w:t>
            </w:r>
          </w:p>
        </w:tc>
        <w:tc>
          <w:tcPr>
            <w:tcW w:w="7423" w:type="dxa"/>
            <w:shd w:val="clear" w:color="auto" w:fill="auto"/>
            <w:vAlign w:val="center"/>
          </w:tcPr>
          <w:p w14:paraId="52D4804B" w14:textId="77777777" w:rsidR="004061EF" w:rsidRDefault="00701A1C">
            <w:pPr>
              <w:pStyle w:val="af4"/>
            </w:pPr>
            <w:r>
              <w:rPr>
                <w:rFonts w:hint="eastAsia"/>
              </w:rPr>
              <w:t>本基金主要投资于新兴产业相关股票，通过精选个股和风险控制，力求为基金份额持有人获取超过业绩比较基准的收益。</w:t>
            </w:r>
          </w:p>
        </w:tc>
      </w:tr>
      <w:tr w:rsidR="004061EF" w14:paraId="59E82E0F" w14:textId="77777777">
        <w:trPr>
          <w:trHeight w:val="340"/>
          <w:jc w:val="center"/>
        </w:trPr>
        <w:tc>
          <w:tcPr>
            <w:tcW w:w="1757" w:type="dxa"/>
            <w:shd w:val="clear" w:color="auto" w:fill="auto"/>
            <w:vAlign w:val="center"/>
          </w:tcPr>
          <w:p w14:paraId="71341CEE" w14:textId="77777777" w:rsidR="004061EF" w:rsidRDefault="00701A1C">
            <w:pPr>
              <w:pStyle w:val="af4"/>
            </w:pPr>
            <w:r>
              <w:rPr>
                <w:rFonts w:hint="eastAsia"/>
              </w:rPr>
              <w:t>投资范围</w:t>
            </w:r>
          </w:p>
        </w:tc>
        <w:tc>
          <w:tcPr>
            <w:tcW w:w="7423" w:type="dxa"/>
            <w:shd w:val="clear" w:color="auto" w:fill="auto"/>
            <w:vAlign w:val="center"/>
          </w:tcPr>
          <w:p w14:paraId="7746C4C1" w14:textId="77777777" w:rsidR="004061EF" w:rsidRDefault="00701A1C">
            <w:pPr>
              <w:pStyle w:val="af4"/>
            </w:pPr>
            <w:r>
              <w:rPr>
                <w:rFonts w:hint="eastAsia"/>
              </w:rPr>
              <w:t>本基金的投资范围为具有良好流动性的金融工具，包括国内依法发行上市的股票（包括主板、创业板、科创板以及其他经中国证监会允许发行的股票）、存托凭证、港股通标的股票、固定收益类资产（国债、金融债、企业债、公司债、次级债、可转换债券、分离交易可转债、央行票据、中期票据、短期融资券（含超短期融资券）、资产支持证券、债券回购、银行存款等）、衍生工具（股指期货等）以及经中国证监会批准允许基金投资的其他金融工具（但需符合中国证监会的相关规定）。</w:t>
            </w:r>
          </w:p>
          <w:p w14:paraId="70F70856" w14:textId="77777777" w:rsidR="004061EF" w:rsidRDefault="00701A1C">
            <w:pPr>
              <w:pStyle w:val="af4"/>
            </w:pPr>
            <w:r>
              <w:rPr>
                <w:rFonts w:hint="eastAsia"/>
              </w:rPr>
              <w:t>如法律法规或监管机构以后允许基金投资其他品种，基金管理人在履行适当程序后，可以</w:t>
            </w:r>
            <w:r>
              <w:rPr>
                <w:rFonts w:hint="eastAsia"/>
              </w:rPr>
              <w:t>将其纳入投资范围。</w:t>
            </w:r>
          </w:p>
          <w:p w14:paraId="5007BE8E" w14:textId="77777777" w:rsidR="004061EF" w:rsidRDefault="00701A1C">
            <w:pPr>
              <w:pStyle w:val="af4"/>
            </w:pPr>
            <w:r>
              <w:rPr>
                <w:rFonts w:hint="eastAsia"/>
              </w:rPr>
              <w:t>股票及存托凭证投资占基金资产的比例为</w:t>
            </w:r>
            <w:r>
              <w:rPr>
                <w:rFonts w:hint="eastAsia"/>
              </w:rPr>
              <w:t>80%-95%</w:t>
            </w:r>
            <w:r>
              <w:rPr>
                <w:rFonts w:hint="eastAsia"/>
              </w:rPr>
              <w:t>（其中，投资于港股通标的股票的比例占股票资产的</w:t>
            </w:r>
            <w:r>
              <w:rPr>
                <w:rFonts w:hint="eastAsia"/>
              </w:rPr>
              <w:t>0%-50%</w:t>
            </w:r>
            <w:r>
              <w:rPr>
                <w:rFonts w:hint="eastAsia"/>
              </w:rPr>
              <w:t>），其中投资于新兴产业相关股票及存托凭证不低于非现金基金资产的</w:t>
            </w:r>
            <w:r>
              <w:rPr>
                <w:rFonts w:hint="eastAsia"/>
              </w:rPr>
              <w:t>80%</w:t>
            </w:r>
            <w:r>
              <w:rPr>
                <w:rFonts w:hint="eastAsia"/>
              </w:rPr>
              <w:t>；每个交易日日终在扣除股指期货合约需缴纳的交易保证金后，现金或者到期日在一年以内的政府债券不低于基金资产净值的</w:t>
            </w:r>
            <w:r>
              <w:rPr>
                <w:rFonts w:hint="eastAsia"/>
              </w:rPr>
              <w:t>5%</w:t>
            </w:r>
            <w:r>
              <w:rPr>
                <w:rFonts w:hint="eastAsia"/>
              </w:rPr>
              <w:t>，其中现金不包括结算备付金、存出保证金、应收申购款等。</w:t>
            </w:r>
          </w:p>
          <w:p w14:paraId="54263C67" w14:textId="77777777" w:rsidR="004061EF" w:rsidRDefault="00701A1C">
            <w:pPr>
              <w:pStyle w:val="af4"/>
            </w:pPr>
            <w:r>
              <w:rPr>
                <w:rFonts w:hint="eastAsia"/>
              </w:rPr>
              <w:t>如果法律法规或监管机构对该比例要求有变更的，在履行适当程序后，以变更后的比例为准，本基金的投资比例会做相应调整。</w:t>
            </w:r>
          </w:p>
        </w:tc>
      </w:tr>
      <w:tr w:rsidR="004061EF" w14:paraId="4962E901" w14:textId="77777777">
        <w:trPr>
          <w:trHeight w:val="340"/>
          <w:jc w:val="center"/>
        </w:trPr>
        <w:tc>
          <w:tcPr>
            <w:tcW w:w="1757" w:type="dxa"/>
            <w:shd w:val="clear" w:color="auto" w:fill="auto"/>
            <w:vAlign w:val="center"/>
          </w:tcPr>
          <w:p w14:paraId="3B3BCBD8" w14:textId="77777777" w:rsidR="004061EF" w:rsidRDefault="00701A1C">
            <w:pPr>
              <w:pStyle w:val="af4"/>
            </w:pPr>
            <w:r>
              <w:rPr>
                <w:rFonts w:hint="eastAsia"/>
              </w:rPr>
              <w:t>主要投资策略</w:t>
            </w:r>
          </w:p>
        </w:tc>
        <w:tc>
          <w:tcPr>
            <w:tcW w:w="7423" w:type="dxa"/>
            <w:shd w:val="clear" w:color="auto" w:fill="auto"/>
            <w:vAlign w:val="center"/>
          </w:tcPr>
          <w:p w14:paraId="0007E182" w14:textId="77777777" w:rsidR="004061EF" w:rsidRDefault="00701A1C">
            <w:pPr>
              <w:pStyle w:val="af4"/>
            </w:pPr>
            <w:r>
              <w:rPr>
                <w:rFonts w:hint="eastAsia"/>
              </w:rPr>
              <w:t>本基金主要投资于</w:t>
            </w:r>
            <w:r>
              <w:rPr>
                <w:rFonts w:hint="eastAsia"/>
              </w:rPr>
              <w:t>新兴产业相关股票，新兴产业指具备新技术、新工艺、新市场需求、新商业模式等新兴要素的产业。本基金将采用自下而上的研究方法，采取定性和定量分析相结合的方法对上市公司基本面进行深入分析，运用不同的估值方法对上市公司的估值水平进行分析，精选优质股票构建投资组合。本基金的大类资产配置策略、港股通标的股票投资策略、存托凭证投资策略、债券投资策略及金融衍生工具投资策略详见法律文件。</w:t>
            </w:r>
          </w:p>
        </w:tc>
      </w:tr>
      <w:tr w:rsidR="004061EF" w14:paraId="4DEC575A" w14:textId="77777777">
        <w:trPr>
          <w:trHeight w:val="340"/>
          <w:jc w:val="center"/>
        </w:trPr>
        <w:tc>
          <w:tcPr>
            <w:tcW w:w="1757" w:type="dxa"/>
            <w:shd w:val="clear" w:color="auto" w:fill="auto"/>
            <w:vAlign w:val="center"/>
          </w:tcPr>
          <w:p w14:paraId="7291AEB8" w14:textId="77777777" w:rsidR="004061EF" w:rsidRDefault="00701A1C">
            <w:pPr>
              <w:pStyle w:val="af4"/>
            </w:pPr>
            <w:r>
              <w:rPr>
                <w:rFonts w:hint="eastAsia"/>
              </w:rPr>
              <w:t>业绩比较基准</w:t>
            </w:r>
          </w:p>
        </w:tc>
        <w:tc>
          <w:tcPr>
            <w:tcW w:w="7423" w:type="dxa"/>
            <w:shd w:val="clear" w:color="auto" w:fill="auto"/>
            <w:vAlign w:val="center"/>
          </w:tcPr>
          <w:p w14:paraId="59E8AAC6" w14:textId="77777777" w:rsidR="004061EF" w:rsidRDefault="00701A1C">
            <w:pPr>
              <w:pStyle w:val="af4"/>
            </w:pPr>
            <w:r>
              <w:rPr>
                <w:rFonts w:hint="eastAsia"/>
              </w:rPr>
              <w:t>中证</w:t>
            </w:r>
            <w:r>
              <w:rPr>
                <w:rFonts w:hint="eastAsia"/>
              </w:rPr>
              <w:t>800</w:t>
            </w:r>
            <w:r>
              <w:rPr>
                <w:rFonts w:hint="eastAsia"/>
              </w:rPr>
              <w:t>指数收益率×</w:t>
            </w:r>
            <w:r>
              <w:rPr>
                <w:rFonts w:hint="eastAsia"/>
              </w:rPr>
              <w:t>70%+</w:t>
            </w:r>
            <w:r>
              <w:rPr>
                <w:rFonts w:hint="eastAsia"/>
              </w:rPr>
              <w:t>中债综合指数收益率×</w:t>
            </w:r>
            <w:r>
              <w:rPr>
                <w:rFonts w:hint="eastAsia"/>
              </w:rPr>
              <w:t>20%+</w:t>
            </w:r>
            <w:r>
              <w:rPr>
                <w:rFonts w:hint="eastAsia"/>
              </w:rPr>
              <w:t>中证港股通综合指数</w:t>
            </w:r>
            <w:r>
              <w:rPr>
                <w:rFonts w:hint="eastAsia"/>
              </w:rPr>
              <w:t>(</w:t>
            </w:r>
            <w:r>
              <w:rPr>
                <w:rFonts w:hint="eastAsia"/>
              </w:rPr>
              <w:t>人民币</w:t>
            </w:r>
            <w:r>
              <w:rPr>
                <w:rFonts w:hint="eastAsia"/>
              </w:rPr>
              <w:t>)</w:t>
            </w:r>
            <w:r>
              <w:rPr>
                <w:rFonts w:hint="eastAsia"/>
              </w:rPr>
              <w:t>收益率×</w:t>
            </w:r>
            <w:r>
              <w:rPr>
                <w:rFonts w:hint="eastAsia"/>
              </w:rPr>
              <w:t>10%</w:t>
            </w:r>
          </w:p>
        </w:tc>
      </w:tr>
      <w:tr w:rsidR="004061EF" w14:paraId="053CB4B4" w14:textId="77777777">
        <w:trPr>
          <w:trHeight w:val="340"/>
          <w:jc w:val="center"/>
        </w:trPr>
        <w:tc>
          <w:tcPr>
            <w:tcW w:w="1757" w:type="dxa"/>
            <w:shd w:val="clear" w:color="auto" w:fill="auto"/>
            <w:vAlign w:val="center"/>
          </w:tcPr>
          <w:p w14:paraId="7EE00756" w14:textId="77777777" w:rsidR="004061EF" w:rsidRDefault="00701A1C">
            <w:pPr>
              <w:pStyle w:val="af4"/>
            </w:pPr>
            <w:r>
              <w:rPr>
                <w:rFonts w:hint="eastAsia"/>
              </w:rPr>
              <w:lastRenderedPageBreak/>
              <w:t>风险收益特征</w:t>
            </w:r>
          </w:p>
        </w:tc>
        <w:tc>
          <w:tcPr>
            <w:tcW w:w="7423" w:type="dxa"/>
            <w:shd w:val="clear" w:color="auto" w:fill="auto"/>
            <w:vAlign w:val="center"/>
          </w:tcPr>
          <w:p w14:paraId="738660CE" w14:textId="77777777" w:rsidR="004061EF" w:rsidRDefault="00701A1C">
            <w:pPr>
              <w:pStyle w:val="af4"/>
            </w:pPr>
            <w:r>
              <w:rPr>
                <w:rFonts w:hint="eastAsia"/>
              </w:rPr>
              <w:t>本基金</w:t>
            </w:r>
            <w:r>
              <w:rPr>
                <w:rFonts w:hint="eastAsia"/>
              </w:rPr>
              <w:t>为股票型基金，其预期收益及预期风险水平高于混合型基金、债券型基金和货币市场基金。本基金投资港股通标的股票的，需承担港股通机制下因投资环境、投资标的、市场制度以及交易规则等差异带来的特有风险。</w:t>
            </w:r>
          </w:p>
        </w:tc>
      </w:tr>
    </w:tbl>
    <w:p w14:paraId="04ED063B" w14:textId="77777777"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14:paraId="1414B8B0" w14:textId="77777777" w:rsidR="00DA42C1" w:rsidRDefault="00DA42C1" w:rsidP="00F50507">
      <w:pPr>
        <w:pStyle w:val="2"/>
      </w:pPr>
      <w:r w:rsidRPr="00A14942">
        <w:rPr>
          <w:rFonts w:hint="eastAsia"/>
        </w:rPr>
        <w:t>投资组合资产配置图表</w:t>
      </w:r>
    </w:p>
    <w:p w14:paraId="79FDF4B3" w14:textId="77777777" w:rsidR="000675A4" w:rsidRDefault="000675A4" w:rsidP="00257D7C">
      <w:pPr>
        <w:adjustRightInd w:val="0"/>
        <w:snapToGrid w:val="0"/>
        <w:rPr>
          <w:rFonts w:ascii="宋体" w:eastAsia="宋体" w:hAnsi="宋体" w:cs="方正仿宋简体"/>
          <w:iCs/>
          <w:sz w:val="21"/>
          <w:szCs w:val="21"/>
        </w:rPr>
      </w:pPr>
      <w:r>
        <w:rPr>
          <w:noProof/>
        </w:rPr>
        <w:drawing>
          <wp:inline distT="0" distB="0" distL="0" distR="0" wp14:anchorId="7A6CD0BC" wp14:editId="3B90A965">
            <wp:extent cx="5943600" cy="3803904"/>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_50100000_001048_FA010080_20250018_01.jpg"/>
                    <pic:cNvPicPr/>
                  </pic:nvPicPr>
                  <pic:blipFill>
                    <a:blip r:embed="rId7" cstate="print"/>
                    <a:stretch>
                      <a:fillRect/>
                    </a:stretch>
                  </pic:blipFill>
                  <pic:spPr>
                    <a:xfrm>
                      <a:off x="0" y="0"/>
                      <a:ext cx="5943600" cy="3803904"/>
                    </a:xfrm>
                    <a:prstGeom prst="rect">
                      <a:avLst/>
                    </a:prstGeom>
                  </pic:spPr>
                </pic:pic>
              </a:graphicData>
            </a:graphic>
          </wp:inline>
        </w:drawing>
      </w:r>
    </w:p>
    <w:p w14:paraId="1EA18325" w14:textId="77777777" w:rsidR="000675A4" w:rsidRDefault="000675A4" w:rsidP="00257D7C">
      <w:pPr>
        <w:adjustRightInd w:val="0"/>
        <w:snapToGrid w:val="0"/>
        <w:rPr>
          <w:rFonts w:ascii="宋体" w:eastAsia="宋体" w:hAnsi="宋体" w:cs="方正仿宋简体"/>
          <w:iCs/>
          <w:sz w:val="21"/>
          <w:szCs w:val="21"/>
        </w:rPr>
      </w:pPr>
    </w:p>
    <w:p w14:paraId="3530EFB2" w14:textId="77777777" w:rsidR="004061EF" w:rsidRDefault="00701A1C">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注：截止日期</w:t>
      </w:r>
      <w:r>
        <w:rPr>
          <w:rFonts w:ascii="宋体" w:eastAsia="宋体" w:hAnsi="宋体" w:cs="方正仿宋简体" w:hint="eastAsia"/>
          <w:iCs/>
          <w:sz w:val="21"/>
          <w:szCs w:val="21"/>
        </w:rPr>
        <w:t>2025</w:t>
      </w:r>
      <w:r>
        <w:rPr>
          <w:rFonts w:ascii="宋体" w:eastAsia="宋体" w:hAnsi="宋体" w:cs="方正仿宋简体" w:hint="eastAsia"/>
          <w:iCs/>
          <w:sz w:val="21"/>
          <w:szCs w:val="21"/>
        </w:rPr>
        <w:t>年</w:t>
      </w:r>
      <w:r>
        <w:rPr>
          <w:rFonts w:ascii="宋体" w:eastAsia="宋体" w:hAnsi="宋体" w:cs="方正仿宋简体" w:hint="eastAsia"/>
          <w:iCs/>
          <w:sz w:val="21"/>
          <w:szCs w:val="21"/>
        </w:rPr>
        <w:t>09</w:t>
      </w:r>
      <w:r>
        <w:rPr>
          <w:rFonts w:ascii="宋体" w:eastAsia="宋体" w:hAnsi="宋体" w:cs="方正仿宋简体" w:hint="eastAsia"/>
          <w:iCs/>
          <w:sz w:val="21"/>
          <w:szCs w:val="21"/>
        </w:rPr>
        <w:t>月</w:t>
      </w:r>
      <w:r>
        <w:rPr>
          <w:rFonts w:ascii="宋体" w:eastAsia="宋体" w:hAnsi="宋体" w:cs="方正仿宋简体" w:hint="eastAsia"/>
          <w:iCs/>
          <w:sz w:val="21"/>
          <w:szCs w:val="21"/>
        </w:rPr>
        <w:t>30</w:t>
      </w:r>
      <w:r>
        <w:rPr>
          <w:rFonts w:ascii="宋体" w:eastAsia="宋体" w:hAnsi="宋体" w:cs="方正仿宋简体" w:hint="eastAsia"/>
          <w:iCs/>
          <w:sz w:val="21"/>
          <w:szCs w:val="21"/>
        </w:rPr>
        <w:t>日。</w:t>
      </w:r>
    </w:p>
    <w:p w14:paraId="31683D8E" w14:textId="77777777" w:rsidR="00124B97" w:rsidRPr="00645219" w:rsidRDefault="009548E7" w:rsidP="00F50507">
      <w:pPr>
        <w:pStyle w:val="2"/>
      </w:pPr>
      <w:r>
        <w:rPr>
          <w:rFonts w:hint="eastAsia"/>
        </w:rPr>
        <w:t>自基金合同生效以来</w:t>
      </w:r>
      <w:r w:rsidR="00196B69" w:rsidRPr="00645219">
        <w:rPr>
          <w:rFonts w:hint="eastAsia"/>
        </w:rPr>
        <w:t>基金</w:t>
      </w:r>
      <w:r w:rsidR="009230A7" w:rsidRPr="00645219">
        <w:rPr>
          <w:rFonts w:hint="eastAsia"/>
        </w:rPr>
        <w:t>（</w:t>
      </w:r>
      <w:r w:rsidR="00D803DA">
        <w:rPr>
          <w:rFonts w:hint="eastAsia"/>
        </w:rPr>
        <w:t>C</w:t>
      </w:r>
      <w:r w:rsidR="009230A7" w:rsidRPr="00645219">
        <w:rPr>
          <w:rFonts w:hint="eastAsia"/>
        </w:rPr>
        <w:t>份额）</w:t>
      </w:r>
      <w:r w:rsidR="00196B69" w:rsidRPr="00645219">
        <w:rPr>
          <w:rFonts w:hint="eastAsia"/>
        </w:rPr>
        <w:t>每年的净值</w:t>
      </w:r>
      <w:r>
        <w:rPr>
          <w:rFonts w:hint="eastAsia"/>
        </w:rPr>
        <w:t>增长率</w:t>
      </w:r>
      <w:r w:rsidR="00196B69" w:rsidRPr="00645219">
        <w:rPr>
          <w:rFonts w:hint="eastAsia"/>
        </w:rPr>
        <w:t>及与同期业绩比较基准的比较图</w:t>
      </w:r>
    </w:p>
    <w:p w14:paraId="070E4BC7" w14:textId="77777777" w:rsidR="007F229D" w:rsidRDefault="007F229D" w:rsidP="00257D7C">
      <w:pPr>
        <w:adjustRightInd w:val="0"/>
        <w:snapToGrid w:val="0"/>
        <w:rPr>
          <w:rFonts w:ascii="宋体" w:eastAsia="宋体" w:hAnsi="宋体" w:cs="方正仿宋简体"/>
          <w:iCs/>
          <w:sz w:val="21"/>
          <w:szCs w:val="21"/>
        </w:rPr>
      </w:pPr>
      <w:r>
        <w:rPr>
          <w:noProof/>
        </w:rPr>
        <w:drawing>
          <wp:inline distT="0" distB="0" distL="0" distR="0" wp14:anchorId="37BF4D27" wp14:editId="40FF9341">
            <wp:extent cx="5943600" cy="3803904"/>
            <wp:effectExtent l="0" t="0" r="0" b="0"/>
            <wp:docPr id="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_50100000_001048_FA010080_20250020_24.jpg"/>
                    <pic:cNvPicPr/>
                  </pic:nvPicPr>
                  <pic:blipFill>
                    <a:blip r:embed="rId8" cstate="print"/>
                    <a:stretch>
                      <a:fillRect/>
                    </a:stretch>
                  </pic:blipFill>
                  <pic:spPr>
                    <a:xfrm>
                      <a:off x="0" y="0"/>
                      <a:ext cx="5943600" cy="3803904"/>
                    </a:xfrm>
                    <a:prstGeom prst="rect">
                      <a:avLst/>
                    </a:prstGeom>
                  </pic:spPr>
                </pic:pic>
              </a:graphicData>
            </a:graphic>
          </wp:inline>
        </w:drawing>
      </w:r>
    </w:p>
    <w:p w14:paraId="4A7DC6F1" w14:textId="77777777" w:rsidR="004061EF" w:rsidRDefault="00701A1C">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hint="eastAsia"/>
          <w:iCs/>
          <w:sz w:val="21"/>
          <w:szCs w:val="21"/>
        </w:rPr>
        <w:lastRenderedPageBreak/>
        <w:t>注：本基金合同生效日</w:t>
      </w:r>
      <w:r>
        <w:rPr>
          <w:rFonts w:ascii="宋体" w:eastAsia="宋体" w:hAnsi="宋体" w:cs="方正仿宋简体" w:hint="eastAsia"/>
          <w:iCs/>
          <w:sz w:val="21"/>
          <w:szCs w:val="21"/>
        </w:rPr>
        <w:t>2015</w:t>
      </w:r>
      <w:r>
        <w:rPr>
          <w:rFonts w:ascii="宋体" w:eastAsia="宋体" w:hAnsi="宋体" w:cs="方正仿宋简体" w:hint="eastAsia"/>
          <w:iCs/>
          <w:sz w:val="21"/>
          <w:szCs w:val="21"/>
        </w:rPr>
        <w:t>年</w:t>
      </w:r>
      <w:r>
        <w:rPr>
          <w:rFonts w:ascii="宋体" w:eastAsia="宋体" w:hAnsi="宋体" w:cs="方正仿宋简体" w:hint="eastAsia"/>
          <w:iCs/>
          <w:sz w:val="21"/>
          <w:szCs w:val="21"/>
        </w:rPr>
        <w:t>03</w:t>
      </w:r>
      <w:r>
        <w:rPr>
          <w:rFonts w:ascii="宋体" w:eastAsia="宋体" w:hAnsi="宋体" w:cs="方正仿宋简体" w:hint="eastAsia"/>
          <w:iCs/>
          <w:sz w:val="21"/>
          <w:szCs w:val="21"/>
        </w:rPr>
        <w:t>月</w:t>
      </w:r>
      <w:r>
        <w:rPr>
          <w:rFonts w:ascii="宋体" w:eastAsia="宋体" w:hAnsi="宋体" w:cs="方正仿宋简体" w:hint="eastAsia"/>
          <w:iCs/>
          <w:sz w:val="21"/>
          <w:szCs w:val="21"/>
        </w:rPr>
        <w:t>12</w:t>
      </w:r>
      <w:r>
        <w:rPr>
          <w:rFonts w:ascii="宋体" w:eastAsia="宋体" w:hAnsi="宋体" w:cs="方正仿宋简体" w:hint="eastAsia"/>
          <w:iCs/>
          <w:sz w:val="21"/>
          <w:szCs w:val="21"/>
        </w:rPr>
        <w:t>日。</w:t>
      </w:r>
      <w:r>
        <w:rPr>
          <w:rFonts w:ascii="宋体" w:eastAsia="宋体" w:hAnsi="宋体" w:cs="方正仿宋简体" w:hint="eastAsia"/>
          <w:iCs/>
          <w:sz w:val="21"/>
          <w:szCs w:val="21"/>
        </w:rPr>
        <w:t>C</w:t>
      </w:r>
      <w:r>
        <w:rPr>
          <w:rFonts w:ascii="宋体" w:eastAsia="宋体" w:hAnsi="宋体" w:cs="方正仿宋简体" w:hint="eastAsia"/>
          <w:iCs/>
          <w:sz w:val="21"/>
          <w:szCs w:val="21"/>
        </w:rPr>
        <w:t>类份额自</w:t>
      </w:r>
      <w:r>
        <w:rPr>
          <w:rFonts w:ascii="宋体" w:eastAsia="宋体" w:hAnsi="宋体" w:cs="方正仿宋简体" w:hint="eastAsia"/>
          <w:iCs/>
          <w:sz w:val="21"/>
          <w:szCs w:val="21"/>
        </w:rPr>
        <w:t>2022</w:t>
      </w:r>
      <w:r>
        <w:rPr>
          <w:rFonts w:ascii="宋体" w:eastAsia="宋体" w:hAnsi="宋体" w:cs="方正仿宋简体" w:hint="eastAsia"/>
          <w:iCs/>
          <w:sz w:val="21"/>
          <w:szCs w:val="21"/>
        </w:rPr>
        <w:t>年</w:t>
      </w:r>
      <w:r>
        <w:rPr>
          <w:rFonts w:ascii="宋体" w:eastAsia="宋体" w:hAnsi="宋体" w:cs="方正仿宋简体" w:hint="eastAsia"/>
          <w:iCs/>
          <w:sz w:val="21"/>
          <w:szCs w:val="21"/>
        </w:rPr>
        <w:t>6</w:t>
      </w:r>
      <w:r>
        <w:rPr>
          <w:rFonts w:ascii="宋体" w:eastAsia="宋体" w:hAnsi="宋体" w:cs="方正仿宋简体" w:hint="eastAsia"/>
          <w:iCs/>
          <w:sz w:val="21"/>
          <w:szCs w:val="21"/>
        </w:rPr>
        <w:t>月</w:t>
      </w:r>
      <w:r>
        <w:rPr>
          <w:rFonts w:ascii="宋体" w:eastAsia="宋体" w:hAnsi="宋体" w:cs="方正仿宋简体" w:hint="eastAsia"/>
          <w:iCs/>
          <w:sz w:val="21"/>
          <w:szCs w:val="21"/>
        </w:rPr>
        <w:t>17</w:t>
      </w:r>
      <w:r>
        <w:rPr>
          <w:rFonts w:ascii="宋体" w:eastAsia="宋体" w:hAnsi="宋体" w:cs="方正仿宋简体" w:hint="eastAsia"/>
          <w:iCs/>
          <w:sz w:val="21"/>
          <w:szCs w:val="21"/>
        </w:rPr>
        <w:t>日起有基金份额。业绩表现截止日期</w:t>
      </w:r>
      <w:r>
        <w:rPr>
          <w:rFonts w:ascii="宋体" w:eastAsia="宋体" w:hAnsi="宋体" w:cs="方正仿宋简体" w:hint="eastAsia"/>
          <w:iCs/>
          <w:sz w:val="21"/>
          <w:szCs w:val="21"/>
        </w:rPr>
        <w:t>2024</w:t>
      </w:r>
      <w:r>
        <w:rPr>
          <w:rFonts w:ascii="宋体" w:eastAsia="宋体" w:hAnsi="宋体" w:cs="方正仿宋简体" w:hint="eastAsia"/>
          <w:iCs/>
          <w:sz w:val="21"/>
          <w:szCs w:val="21"/>
        </w:rPr>
        <w:t>年</w:t>
      </w:r>
      <w:r>
        <w:rPr>
          <w:rFonts w:ascii="宋体" w:eastAsia="宋体" w:hAnsi="宋体" w:cs="方正仿宋简体" w:hint="eastAsia"/>
          <w:iCs/>
          <w:sz w:val="21"/>
          <w:szCs w:val="21"/>
        </w:rPr>
        <w:t>12</w:t>
      </w:r>
      <w:r>
        <w:rPr>
          <w:rFonts w:ascii="宋体" w:eastAsia="宋体" w:hAnsi="宋体" w:cs="方正仿宋简体" w:hint="eastAsia"/>
          <w:iCs/>
          <w:sz w:val="21"/>
          <w:szCs w:val="21"/>
        </w:rPr>
        <w:t>月</w:t>
      </w:r>
      <w:r>
        <w:rPr>
          <w:rFonts w:ascii="宋体" w:eastAsia="宋体" w:hAnsi="宋体" w:cs="方正仿宋简体" w:hint="eastAsia"/>
          <w:iCs/>
          <w:sz w:val="21"/>
          <w:szCs w:val="21"/>
        </w:rPr>
        <w:t>31</w:t>
      </w:r>
      <w:r>
        <w:rPr>
          <w:rFonts w:ascii="宋体" w:eastAsia="宋体" w:hAnsi="宋体" w:cs="方正仿宋简体" w:hint="eastAsia"/>
          <w:iCs/>
          <w:sz w:val="21"/>
          <w:szCs w:val="21"/>
        </w:rPr>
        <w:t>日。基金过往业绩不代表未来表现。</w:t>
      </w:r>
    </w:p>
    <w:p w14:paraId="5645E77D" w14:textId="77777777" w:rsidR="006F366F" w:rsidRPr="00A14942" w:rsidRDefault="006F366F" w:rsidP="00F50507">
      <w:pPr>
        <w:pStyle w:val="1"/>
      </w:pPr>
      <w:r w:rsidRPr="00A14942">
        <w:rPr>
          <w:rFonts w:hint="eastAsia"/>
        </w:rPr>
        <w:t>投资本基金涉及的费用</w:t>
      </w:r>
    </w:p>
    <w:p w14:paraId="52CE7B61" w14:textId="77777777"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14:paraId="3640B356" w14:textId="77777777" w:rsidTr="00BA5426">
        <w:trPr>
          <w:trHeight w:val="340"/>
        </w:trPr>
        <w:tc>
          <w:tcPr>
            <w:tcW w:w="1092" w:type="pct"/>
            <w:shd w:val="clear" w:color="auto" w:fill="auto"/>
            <w:vAlign w:val="center"/>
          </w:tcPr>
          <w:p w14:paraId="56601154"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14:paraId="3E859C3B"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14:paraId="26C75FAC"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14:paraId="49AE13F6" w14:textId="77777777"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r w:rsidR="004061EF" w14:paraId="110CE8E6" w14:textId="77777777">
        <w:trPr>
          <w:trHeight w:val="340"/>
        </w:trPr>
        <w:tc>
          <w:tcPr>
            <w:tcW w:w="1092" w:type="pct"/>
            <w:vMerge w:val="restart"/>
            <w:shd w:val="clear" w:color="auto" w:fill="auto"/>
            <w:vAlign w:val="center"/>
          </w:tcPr>
          <w:p w14:paraId="6B2CC474"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14:paraId="2F798AA8"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w:t>
            </w:r>
            <w:r>
              <w:rPr>
                <w:rFonts w:ascii="宋体" w:eastAsia="宋体" w:hAnsi="宋体" w:cs="方正仿宋简体"/>
                <w:iCs/>
                <w:sz w:val="21"/>
                <w:szCs w:val="21"/>
              </w:rPr>
              <w:t>＜</w:t>
            </w:r>
            <w:r>
              <w:rPr>
                <w:rFonts w:ascii="宋体" w:eastAsia="宋体" w:hAnsi="宋体" w:cs="方正仿宋简体"/>
                <w:iCs/>
                <w:sz w:val="21"/>
                <w:szCs w:val="21"/>
              </w:rPr>
              <w:t>7</w:t>
            </w:r>
            <w:r>
              <w:rPr>
                <w:rFonts w:ascii="宋体" w:eastAsia="宋体" w:hAnsi="宋体" w:cs="方正仿宋简体"/>
                <w:iCs/>
                <w:sz w:val="21"/>
                <w:szCs w:val="21"/>
              </w:rPr>
              <w:t>天</w:t>
            </w:r>
          </w:p>
        </w:tc>
        <w:tc>
          <w:tcPr>
            <w:tcW w:w="2249" w:type="pct"/>
            <w:gridSpan w:val="2"/>
            <w:shd w:val="clear" w:color="auto" w:fill="auto"/>
            <w:vAlign w:val="center"/>
          </w:tcPr>
          <w:p w14:paraId="64C913E3"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rsidR="004061EF" w14:paraId="1C5361BA" w14:textId="77777777">
        <w:trPr>
          <w:trHeight w:val="340"/>
        </w:trPr>
        <w:tc>
          <w:tcPr>
            <w:tcW w:w="1092" w:type="pct"/>
            <w:vMerge/>
            <w:shd w:val="clear" w:color="auto" w:fill="auto"/>
            <w:vAlign w:val="center"/>
          </w:tcPr>
          <w:p w14:paraId="374F7594" w14:textId="77777777" w:rsidR="004061EF" w:rsidRDefault="004061EF">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7E5E872D"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w:t>
            </w:r>
            <w:r>
              <w:rPr>
                <w:rFonts w:ascii="宋体" w:eastAsia="宋体" w:hAnsi="宋体" w:cs="方正仿宋简体"/>
                <w:iCs/>
                <w:sz w:val="21"/>
                <w:szCs w:val="21"/>
              </w:rPr>
              <w:t>＜</w:t>
            </w:r>
            <w:r>
              <w:rPr>
                <w:rFonts w:ascii="宋体" w:eastAsia="宋体" w:hAnsi="宋体" w:cs="方正仿宋简体"/>
                <w:iCs/>
                <w:sz w:val="21"/>
                <w:szCs w:val="21"/>
              </w:rPr>
              <w:t>30</w:t>
            </w:r>
            <w:r>
              <w:rPr>
                <w:rFonts w:ascii="宋体" w:eastAsia="宋体" w:hAnsi="宋体" w:cs="方正仿宋简体"/>
                <w:iCs/>
                <w:sz w:val="21"/>
                <w:szCs w:val="21"/>
              </w:rPr>
              <w:t>天</w:t>
            </w:r>
          </w:p>
        </w:tc>
        <w:tc>
          <w:tcPr>
            <w:tcW w:w="2249" w:type="pct"/>
            <w:gridSpan w:val="2"/>
            <w:shd w:val="clear" w:color="auto" w:fill="auto"/>
            <w:vAlign w:val="center"/>
          </w:tcPr>
          <w:p w14:paraId="0B74D671"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rsidR="004061EF" w14:paraId="32A9E3D1" w14:textId="77777777">
        <w:trPr>
          <w:trHeight w:val="340"/>
        </w:trPr>
        <w:tc>
          <w:tcPr>
            <w:tcW w:w="1092" w:type="pct"/>
            <w:vMerge/>
            <w:shd w:val="clear" w:color="auto" w:fill="auto"/>
            <w:vAlign w:val="center"/>
          </w:tcPr>
          <w:p w14:paraId="45D8EAA5" w14:textId="77777777" w:rsidR="004061EF" w:rsidRDefault="004061EF">
            <w:pPr>
              <w:adjustRightInd w:val="0"/>
              <w:snapToGrid w:val="0"/>
              <w:jc w:val="center"/>
              <w:rPr>
                <w:rFonts w:ascii="宋体" w:eastAsia="宋体" w:hAnsi="宋体" w:cs="方正仿宋简体"/>
                <w:iCs/>
                <w:sz w:val="21"/>
                <w:szCs w:val="21"/>
              </w:rPr>
            </w:pPr>
          </w:p>
        </w:tc>
        <w:tc>
          <w:tcPr>
            <w:tcW w:w="1659" w:type="pct"/>
            <w:shd w:val="clear" w:color="auto" w:fill="auto"/>
            <w:vAlign w:val="center"/>
          </w:tcPr>
          <w:p w14:paraId="2DAEA01F"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N≥30</w:t>
            </w:r>
            <w:r>
              <w:rPr>
                <w:rFonts w:ascii="宋体" w:eastAsia="宋体" w:hAnsi="宋体" w:cs="方正仿宋简体"/>
                <w:iCs/>
                <w:sz w:val="21"/>
                <w:szCs w:val="21"/>
              </w:rPr>
              <w:t>天</w:t>
            </w:r>
          </w:p>
        </w:tc>
        <w:tc>
          <w:tcPr>
            <w:tcW w:w="2249" w:type="pct"/>
            <w:gridSpan w:val="2"/>
            <w:shd w:val="clear" w:color="auto" w:fill="auto"/>
            <w:vAlign w:val="center"/>
          </w:tcPr>
          <w:p w14:paraId="1F41997C" w14:textId="77777777" w:rsidR="004061EF" w:rsidRDefault="00701A1C">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p w14:paraId="3A95A47D" w14:textId="77777777" w:rsidR="004061EF" w:rsidRDefault="00701A1C">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w:t>
      </w:r>
      <w:r>
        <w:rPr>
          <w:rFonts w:ascii="宋体" w:eastAsia="宋体" w:hAnsi="宋体" w:cs="方正仿宋简体"/>
          <w:iCs/>
          <w:sz w:val="21"/>
          <w:szCs w:val="21"/>
        </w:rPr>
        <w:t>C</w:t>
      </w:r>
      <w:r>
        <w:rPr>
          <w:rFonts w:ascii="宋体" w:eastAsia="宋体" w:hAnsi="宋体" w:cs="方正仿宋简体"/>
          <w:iCs/>
          <w:sz w:val="21"/>
          <w:szCs w:val="21"/>
        </w:rPr>
        <w:t>类基金份额不收取申购费用，赎回费用在投资者赎回基金过程中收取，具体请见《招募说明书》相关内容。</w:t>
      </w:r>
    </w:p>
    <w:p w14:paraId="19D427E7" w14:textId="77777777" w:rsidR="00956AC1" w:rsidRDefault="00A535E9" w:rsidP="00F50507">
      <w:pPr>
        <w:pStyle w:val="2"/>
      </w:pPr>
      <w:r w:rsidRPr="00A14942">
        <w:rPr>
          <w:rFonts w:hint="eastAsia"/>
        </w:rPr>
        <w:t>基金运作相关费用</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74"/>
        <w:gridCol w:w="2172"/>
      </w:tblGrid>
      <w:tr w:rsidR="004061EF" w14:paraId="63D6772D" w14:textId="77777777">
        <w:trPr>
          <w:jc w:val="center"/>
        </w:trPr>
        <w:tc>
          <w:tcPr>
            <w:tcW w:w="1984" w:type="dxa"/>
            <w:shd w:val="clear" w:color="auto" w:fill="auto"/>
            <w:vAlign w:val="center"/>
          </w:tcPr>
          <w:p w14:paraId="7B0B903F"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14:paraId="05A9BE19"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sz w:val="21"/>
              </w:rPr>
              <w:t>年费率</w:t>
            </w:r>
            <w:r>
              <w:rPr>
                <w:rFonts w:ascii="宋体" w:eastAsia="宋体" w:hAnsi="宋体"/>
                <w:sz w:val="21"/>
              </w:rPr>
              <w:t>/</w:t>
            </w:r>
            <w:r>
              <w:rPr>
                <w:rFonts w:ascii="宋体" w:eastAsia="宋体" w:hAnsi="宋体"/>
                <w:sz w:val="21"/>
              </w:rPr>
              <w:t>收费方式</w:t>
            </w:r>
          </w:p>
        </w:tc>
        <w:tc>
          <w:tcPr>
            <w:tcW w:w="2098" w:type="dxa"/>
            <w:shd w:val="clear" w:color="auto" w:fill="auto"/>
            <w:vAlign w:val="center"/>
          </w:tcPr>
          <w:p w14:paraId="5BEE6646"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rsidR="004061EF" w14:paraId="5864D038" w14:textId="77777777">
        <w:trPr>
          <w:jc w:val="center"/>
        </w:trPr>
        <w:tc>
          <w:tcPr>
            <w:tcW w:w="1984" w:type="dxa"/>
            <w:shd w:val="clear" w:color="auto" w:fill="auto"/>
            <w:vAlign w:val="center"/>
          </w:tcPr>
          <w:p w14:paraId="35A6DAD5"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14:paraId="5D25DCEB" w14:textId="77777777" w:rsidR="004061EF" w:rsidRDefault="00701A1C">
            <w:pPr>
              <w:adjustRightInd w:val="0"/>
              <w:snapToGrid w:val="0"/>
              <w:spacing w:beforeLines="10" w:before="43" w:line="264" w:lineRule="auto"/>
              <w:rPr>
                <w:rFonts w:ascii="宋体" w:eastAsia="宋体" w:hAnsi="宋体"/>
                <w:sz w:val="21"/>
              </w:rPr>
            </w:pPr>
            <w:r>
              <w:rPr>
                <w:rFonts w:ascii="宋体" w:eastAsia="宋体" w:hAnsi="宋体" w:hint="eastAsia"/>
                <w:sz w:val="21"/>
              </w:rPr>
              <w:t>1.20%</w:t>
            </w:r>
          </w:p>
        </w:tc>
        <w:tc>
          <w:tcPr>
            <w:tcW w:w="2098" w:type="dxa"/>
            <w:shd w:val="clear" w:color="auto" w:fill="auto"/>
            <w:vAlign w:val="center"/>
          </w:tcPr>
          <w:p w14:paraId="1098FE6A" w14:textId="77777777" w:rsidR="004061EF" w:rsidRDefault="00701A1C">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rsidR="004061EF" w14:paraId="6C0A367F" w14:textId="77777777">
        <w:trPr>
          <w:jc w:val="center"/>
        </w:trPr>
        <w:tc>
          <w:tcPr>
            <w:tcW w:w="1984" w:type="dxa"/>
            <w:shd w:val="clear" w:color="auto" w:fill="auto"/>
            <w:vAlign w:val="center"/>
          </w:tcPr>
          <w:p w14:paraId="2E94D886"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14:paraId="1F4360E7" w14:textId="77777777" w:rsidR="004061EF" w:rsidRDefault="00701A1C">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14:paraId="76E937AF" w14:textId="77777777" w:rsidR="004061EF" w:rsidRDefault="00701A1C">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rsidR="004061EF" w14:paraId="2197D9F3" w14:textId="77777777">
        <w:trPr>
          <w:jc w:val="center"/>
        </w:trPr>
        <w:tc>
          <w:tcPr>
            <w:tcW w:w="1984" w:type="dxa"/>
          </w:tcPr>
          <w:p w14:paraId="5ED9A523" w14:textId="77777777" w:rsidR="004061EF" w:rsidRDefault="00701A1C">
            <w:pPr>
              <w:adjustRightInd w:val="0"/>
              <w:snapToGrid w:val="0"/>
              <w:spacing w:beforeLines="10" w:before="43" w:line="264" w:lineRule="auto"/>
              <w:jc w:val="center"/>
            </w:pPr>
            <w:r>
              <w:rPr>
                <w:rFonts w:ascii="宋体" w:eastAsia="宋体" w:hAnsi="宋体"/>
                <w:sz w:val="21"/>
              </w:rPr>
              <w:t>销售服务费</w:t>
            </w:r>
          </w:p>
        </w:tc>
        <w:tc>
          <w:tcPr>
            <w:tcW w:w="4707" w:type="dxa"/>
            <w:shd w:val="clear" w:color="auto" w:fill="auto"/>
            <w:vAlign w:val="center"/>
          </w:tcPr>
          <w:p w14:paraId="5EA12B6B" w14:textId="77777777" w:rsidR="004061EF" w:rsidRDefault="00701A1C">
            <w:pPr>
              <w:adjustRightInd w:val="0"/>
              <w:snapToGrid w:val="0"/>
              <w:spacing w:beforeLines="10" w:before="43" w:line="264" w:lineRule="auto"/>
              <w:rPr>
                <w:rFonts w:ascii="宋体" w:eastAsia="宋体" w:hAnsi="宋体"/>
                <w:sz w:val="21"/>
              </w:rPr>
            </w:pPr>
            <w:r>
              <w:rPr>
                <w:rFonts w:ascii="宋体" w:eastAsia="宋体" w:hAnsi="宋体" w:hint="eastAsia"/>
                <w:sz w:val="21"/>
              </w:rPr>
              <w:t>0.60%</w:t>
            </w:r>
          </w:p>
        </w:tc>
        <w:tc>
          <w:tcPr>
            <w:tcW w:w="2098" w:type="dxa"/>
            <w:shd w:val="clear" w:color="auto" w:fill="auto"/>
            <w:vAlign w:val="center"/>
          </w:tcPr>
          <w:p w14:paraId="680BA3CD" w14:textId="77777777" w:rsidR="004061EF" w:rsidRDefault="00701A1C">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r w:rsidR="004061EF" w14:paraId="30B99CEE" w14:textId="77777777">
        <w:trPr>
          <w:jc w:val="center"/>
        </w:trPr>
        <w:tc>
          <w:tcPr>
            <w:tcW w:w="1984" w:type="dxa"/>
            <w:shd w:val="clear" w:color="auto" w:fill="auto"/>
            <w:vAlign w:val="center"/>
          </w:tcPr>
          <w:p w14:paraId="5990F706" w14:textId="77777777" w:rsidR="004061EF" w:rsidRDefault="00701A1C">
            <w:pPr>
              <w:pStyle w:val="af4"/>
              <w:spacing w:beforeLines="10" w:before="43" w:line="264" w:lineRule="auto"/>
              <w:contextualSpacing w:val="0"/>
              <w:jc w:val="center"/>
              <w:rPr>
                <w:szCs w:val="21"/>
              </w:rPr>
            </w:pPr>
            <w:r>
              <w:rPr>
                <w:szCs w:val="21"/>
              </w:rPr>
              <w:t>审计费用</w:t>
            </w:r>
          </w:p>
        </w:tc>
        <w:tc>
          <w:tcPr>
            <w:tcW w:w="4707" w:type="dxa"/>
            <w:shd w:val="clear" w:color="auto" w:fill="auto"/>
            <w:vAlign w:val="center"/>
          </w:tcPr>
          <w:p w14:paraId="2961806A" w14:textId="77777777" w:rsidR="004061EF" w:rsidRDefault="00701A1C">
            <w:pPr>
              <w:pStyle w:val="af4"/>
              <w:spacing w:beforeLines="10" w:before="43" w:line="264" w:lineRule="auto"/>
              <w:contextualSpacing w:val="0"/>
              <w:rPr>
                <w:szCs w:val="21"/>
              </w:rPr>
            </w:pPr>
            <w:r>
              <w:rPr>
                <w:rFonts w:hint="eastAsia"/>
                <w:szCs w:val="21"/>
              </w:rPr>
              <w:t>60,000.00</w:t>
            </w:r>
            <w:r>
              <w:rPr>
                <w:rFonts w:hint="eastAsia"/>
                <w:szCs w:val="21"/>
              </w:rPr>
              <w:t>元</w:t>
            </w:r>
            <w:r>
              <w:rPr>
                <w:rFonts w:hint="eastAsia"/>
                <w:szCs w:val="21"/>
              </w:rPr>
              <w:t>/</w:t>
            </w:r>
            <w:r>
              <w:rPr>
                <w:rFonts w:hint="eastAsia"/>
                <w:szCs w:val="21"/>
              </w:rPr>
              <w:t>年</w:t>
            </w:r>
          </w:p>
        </w:tc>
        <w:tc>
          <w:tcPr>
            <w:tcW w:w="2098" w:type="dxa"/>
            <w:shd w:val="clear" w:color="auto" w:fill="auto"/>
          </w:tcPr>
          <w:p w14:paraId="1C88372E" w14:textId="77777777" w:rsidR="004061EF" w:rsidRDefault="00701A1C">
            <w:pPr>
              <w:pStyle w:val="af4"/>
              <w:spacing w:beforeLines="10" w:before="43" w:line="264" w:lineRule="auto"/>
              <w:contextualSpacing w:val="0"/>
              <w:jc w:val="left"/>
              <w:rPr>
                <w:szCs w:val="21"/>
              </w:rPr>
            </w:pPr>
            <w:r>
              <w:rPr>
                <w:rFonts w:hint="eastAsia"/>
                <w:szCs w:val="21"/>
              </w:rPr>
              <w:t>会计师事务所</w:t>
            </w:r>
          </w:p>
        </w:tc>
      </w:tr>
      <w:tr w:rsidR="004061EF" w14:paraId="6DBB26DA" w14:textId="77777777">
        <w:trPr>
          <w:jc w:val="center"/>
        </w:trPr>
        <w:tc>
          <w:tcPr>
            <w:tcW w:w="1984" w:type="dxa"/>
            <w:shd w:val="clear" w:color="auto" w:fill="auto"/>
            <w:vAlign w:val="center"/>
          </w:tcPr>
          <w:p w14:paraId="5BC6194C" w14:textId="77777777" w:rsidR="004061EF" w:rsidRDefault="00701A1C">
            <w:pPr>
              <w:pStyle w:val="af4"/>
              <w:spacing w:beforeLines="10" w:before="43" w:line="264" w:lineRule="auto"/>
              <w:contextualSpacing w:val="0"/>
              <w:jc w:val="center"/>
              <w:rPr>
                <w:szCs w:val="21"/>
              </w:rPr>
            </w:pPr>
            <w:r>
              <w:rPr>
                <w:rFonts w:ascii="方正仿宋简体" w:hAnsi="方正仿宋简体" w:cs="方正仿宋简体" w:hint="eastAsia"/>
                <w:iCs/>
                <w:szCs w:val="21"/>
              </w:rPr>
              <w:t>信息披露费</w:t>
            </w:r>
          </w:p>
        </w:tc>
        <w:tc>
          <w:tcPr>
            <w:tcW w:w="4707" w:type="dxa"/>
            <w:shd w:val="clear" w:color="auto" w:fill="auto"/>
            <w:vAlign w:val="center"/>
          </w:tcPr>
          <w:p w14:paraId="59C55359" w14:textId="77777777" w:rsidR="004061EF" w:rsidRDefault="00701A1C">
            <w:pPr>
              <w:pStyle w:val="af4"/>
              <w:spacing w:beforeLines="10" w:before="43" w:line="264" w:lineRule="auto"/>
              <w:contextualSpacing w:val="0"/>
              <w:rPr>
                <w:szCs w:val="21"/>
              </w:rPr>
            </w:pPr>
            <w:r>
              <w:rPr>
                <w:rFonts w:hint="eastAsia"/>
                <w:szCs w:val="21"/>
              </w:rPr>
              <w:t>120,000.00</w:t>
            </w:r>
            <w:r>
              <w:rPr>
                <w:rFonts w:hint="eastAsia"/>
                <w:szCs w:val="21"/>
              </w:rPr>
              <w:t>元</w:t>
            </w:r>
            <w:r>
              <w:rPr>
                <w:rFonts w:hint="eastAsia"/>
                <w:szCs w:val="21"/>
              </w:rPr>
              <w:t>/</w:t>
            </w:r>
            <w:r>
              <w:rPr>
                <w:rFonts w:hint="eastAsia"/>
                <w:szCs w:val="21"/>
              </w:rPr>
              <w:t>年</w:t>
            </w:r>
          </w:p>
        </w:tc>
        <w:tc>
          <w:tcPr>
            <w:tcW w:w="2098" w:type="dxa"/>
            <w:shd w:val="clear" w:color="auto" w:fill="auto"/>
          </w:tcPr>
          <w:p w14:paraId="021B55E7" w14:textId="77777777" w:rsidR="004061EF" w:rsidRDefault="00701A1C">
            <w:pPr>
              <w:pStyle w:val="af4"/>
              <w:spacing w:beforeLines="10" w:before="43" w:line="264" w:lineRule="auto"/>
              <w:contextualSpacing w:val="0"/>
              <w:jc w:val="left"/>
              <w:rPr>
                <w:szCs w:val="21"/>
              </w:rPr>
            </w:pPr>
            <w:r>
              <w:rPr>
                <w:rFonts w:hint="eastAsia"/>
                <w:szCs w:val="21"/>
              </w:rPr>
              <w:t>规定披露报刊</w:t>
            </w:r>
          </w:p>
        </w:tc>
      </w:tr>
    </w:tbl>
    <w:p w14:paraId="3FCE7248" w14:textId="77777777" w:rsidR="004061EF" w:rsidRDefault="00701A1C">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审计费用、信息披露费为基金整体承担的年费用金额，非单个份额类别费用。年费用金额为预估值，最终实际金额以基金定期报告披露为准。除上述费用外的其他运作费用，详见《招募说明书》中的</w:t>
      </w:r>
      <w:r>
        <w:rPr>
          <w:rFonts w:ascii="宋体" w:eastAsia="宋体" w:hAnsi="宋体" w:cs="方正仿宋简体"/>
          <w:iCs/>
          <w:sz w:val="21"/>
          <w:szCs w:val="21"/>
        </w:rPr>
        <w:t>“</w:t>
      </w:r>
      <w:r>
        <w:rPr>
          <w:rFonts w:ascii="宋体" w:eastAsia="宋体" w:hAnsi="宋体" w:cs="方正仿宋简体"/>
          <w:iCs/>
          <w:sz w:val="21"/>
          <w:szCs w:val="21"/>
        </w:rPr>
        <w:t>基金费用与税收</w:t>
      </w:r>
      <w:r>
        <w:rPr>
          <w:rFonts w:ascii="宋体" w:eastAsia="宋体" w:hAnsi="宋体" w:cs="方正仿宋简体"/>
          <w:iCs/>
          <w:sz w:val="21"/>
          <w:szCs w:val="21"/>
        </w:rPr>
        <w:t>”</w:t>
      </w:r>
      <w:r>
        <w:rPr>
          <w:rFonts w:ascii="宋体" w:eastAsia="宋体" w:hAnsi="宋体" w:cs="方正仿宋简体"/>
          <w:iCs/>
          <w:sz w:val="21"/>
          <w:szCs w:val="21"/>
        </w:rPr>
        <w:t>章节。若本基金触发基金合同中关于</w:t>
      </w:r>
      <w:r>
        <w:rPr>
          <w:rFonts w:ascii="宋体" w:eastAsia="宋体" w:hAnsi="宋体" w:cs="方正仿宋简体"/>
          <w:iCs/>
          <w:sz w:val="21"/>
          <w:szCs w:val="21"/>
        </w:rPr>
        <w:t>“</w:t>
      </w:r>
      <w:r>
        <w:rPr>
          <w:rFonts w:ascii="宋体" w:eastAsia="宋体" w:hAnsi="宋体" w:cs="方正仿宋简体"/>
          <w:iCs/>
          <w:sz w:val="21"/>
          <w:szCs w:val="21"/>
        </w:rPr>
        <w:t>基金份额持有人数量和资产规模</w:t>
      </w:r>
      <w:r>
        <w:rPr>
          <w:rFonts w:ascii="宋体" w:eastAsia="宋体" w:hAnsi="宋体" w:cs="方正仿宋简体"/>
          <w:iCs/>
          <w:sz w:val="21"/>
          <w:szCs w:val="21"/>
        </w:rPr>
        <w:t>”</w:t>
      </w:r>
      <w:r>
        <w:rPr>
          <w:rFonts w:ascii="宋体" w:eastAsia="宋体" w:hAnsi="宋体" w:cs="方正仿宋简体"/>
          <w:iCs/>
          <w:sz w:val="21"/>
          <w:szCs w:val="21"/>
        </w:rPr>
        <w:t>的预警情形，基金管理人可决定是否承担本基金项下相关固定费用，最终实际情况以基金定期报告披露为准。</w:t>
      </w:r>
    </w:p>
    <w:p w14:paraId="6E031317" w14:textId="77777777" w:rsidR="00C95C66" w:rsidRDefault="00C95C66" w:rsidP="00C95C66">
      <w:pPr>
        <w:pStyle w:val="2"/>
      </w:pPr>
      <w:r w:rsidRPr="00B32DAD">
        <w:t>基金运作综合费用测算</w:t>
      </w:r>
    </w:p>
    <w:tbl>
      <w:tblPr>
        <w:tblStyle w:val="ac"/>
        <w:tblW w:w="5000" w:type="pct"/>
        <w:jc w:val="center"/>
        <w:tblLook w:val="04A0" w:firstRow="1" w:lastRow="0" w:firstColumn="1" w:lastColumn="0" w:noHBand="0" w:noVBand="1"/>
      </w:tblPr>
      <w:tblGrid>
        <w:gridCol w:w="8948"/>
      </w:tblGrid>
      <w:tr w:rsidR="004061EF" w14:paraId="2E84EDCE" w14:textId="77777777">
        <w:trPr>
          <w:jc w:val="center"/>
        </w:trPr>
        <w:tc>
          <w:tcPr>
            <w:tcW w:w="4417" w:type="dxa"/>
          </w:tcPr>
          <w:p w14:paraId="07003885"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基金运作综合费率（年化）</w:t>
            </w:r>
          </w:p>
        </w:tc>
      </w:tr>
      <w:tr w:rsidR="004061EF" w14:paraId="721A5DC0" w14:textId="77777777">
        <w:trPr>
          <w:jc w:val="center"/>
        </w:trPr>
        <w:tc>
          <w:tcPr>
            <w:tcW w:w="4417" w:type="dxa"/>
          </w:tcPr>
          <w:p w14:paraId="3CA3C71C" w14:textId="77777777" w:rsidR="004061EF" w:rsidRDefault="00701A1C">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2.01%</w:t>
            </w:r>
          </w:p>
        </w:tc>
      </w:tr>
    </w:tbl>
    <w:p w14:paraId="788B941F" w14:textId="77777777" w:rsidR="004061EF" w:rsidRDefault="00701A1C">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注：若投资者认购</w:t>
      </w:r>
      <w:r>
        <w:rPr>
          <w:rFonts w:ascii="宋体" w:eastAsia="宋体" w:hAnsi="宋体" w:cs="方正仿宋简体"/>
          <w:iCs/>
          <w:sz w:val="21"/>
          <w:szCs w:val="21"/>
        </w:rPr>
        <w:t>/</w:t>
      </w:r>
      <w:r>
        <w:rPr>
          <w:rFonts w:ascii="宋体" w:eastAsia="宋体" w:hAnsi="宋体" w:cs="方正仿宋简体"/>
          <w:iCs/>
          <w:sz w:val="21"/>
          <w:szCs w:val="21"/>
        </w:rPr>
        <w:t>申购本基金份额，在持有期间，投资者需支出的运作费率如上表所示。基金管理费率、托管费率、销售服务费率为基金现行费率，其他运作费用以最近一次基金年报披露的相关数据为基准测算。</w:t>
      </w:r>
    </w:p>
    <w:p w14:paraId="1DBE4F64" w14:textId="77777777" w:rsidR="008F585B" w:rsidRPr="008F585B" w:rsidRDefault="008F585B" w:rsidP="00C36380">
      <w:pPr>
        <w:pStyle w:val="1"/>
      </w:pPr>
      <w:r w:rsidRPr="008F585B">
        <w:rPr>
          <w:rFonts w:hint="eastAsia"/>
        </w:rPr>
        <w:t>风险揭示与重要提示</w:t>
      </w:r>
    </w:p>
    <w:p w14:paraId="28F878FC" w14:textId="77777777" w:rsidR="008F585B" w:rsidRPr="008F585B" w:rsidRDefault="008F585B" w:rsidP="00C36380">
      <w:pPr>
        <w:pStyle w:val="2"/>
      </w:pPr>
      <w:r w:rsidRPr="008F585B">
        <w:rPr>
          <w:rFonts w:hint="eastAsia"/>
        </w:rPr>
        <w:t>风险揭示</w:t>
      </w:r>
    </w:p>
    <w:p w14:paraId="5F46243A"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14:paraId="20E8A641"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本基金投资中的风险包括：证券市场整体环境引发的系统性风险、个别证券特有的非系统性风险、大量赎回或暴跌导致的流动性风险、基金管理人在</w:t>
      </w:r>
      <w:r>
        <w:rPr>
          <w:rFonts w:ascii="宋体" w:eastAsia="宋体" w:hAnsi="宋体" w:cs="方正仿宋简体"/>
          <w:iCs/>
          <w:sz w:val="21"/>
          <w:szCs w:val="21"/>
        </w:rPr>
        <w:t>投资经营过程中产生的操作风险以及本基金特有风险等。</w:t>
      </w:r>
    </w:p>
    <w:p w14:paraId="183ED5A5"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w:t>
      </w:r>
    </w:p>
    <w:p w14:paraId="3D96E01A"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、本基金是股票型基金，股票及存托凭证投资占基金资产的比例为</w:t>
      </w:r>
      <w:r>
        <w:rPr>
          <w:rFonts w:ascii="宋体" w:eastAsia="宋体" w:hAnsi="宋体" w:cs="方正仿宋简体"/>
          <w:iCs/>
          <w:sz w:val="21"/>
          <w:szCs w:val="21"/>
        </w:rPr>
        <w:t>80%-95%</w:t>
      </w:r>
      <w:r>
        <w:rPr>
          <w:rFonts w:ascii="宋体" w:eastAsia="宋体" w:hAnsi="宋体" w:cs="方正仿宋简体"/>
          <w:iCs/>
          <w:sz w:val="21"/>
          <w:szCs w:val="21"/>
        </w:rPr>
        <w:t>（其中，投资于港股通标的股票的比例占股票资产的</w:t>
      </w:r>
      <w:r>
        <w:rPr>
          <w:rFonts w:ascii="宋体" w:eastAsia="宋体" w:hAnsi="宋体" w:cs="方正仿宋简体"/>
          <w:iCs/>
          <w:sz w:val="21"/>
          <w:szCs w:val="21"/>
        </w:rPr>
        <w:t>0%-50%</w:t>
      </w:r>
      <w:r>
        <w:rPr>
          <w:rFonts w:ascii="宋体" w:eastAsia="宋体" w:hAnsi="宋体" w:cs="方正仿宋简体"/>
          <w:iCs/>
          <w:sz w:val="21"/>
          <w:szCs w:val="21"/>
        </w:rPr>
        <w:t>）；投资于本基金定义的新兴产业相关股票及存托凭证不低于非现金基金资产的</w:t>
      </w:r>
      <w:r>
        <w:rPr>
          <w:rFonts w:ascii="宋体" w:eastAsia="宋体" w:hAnsi="宋体" w:cs="方正仿宋简体"/>
          <w:iCs/>
          <w:sz w:val="21"/>
          <w:szCs w:val="21"/>
        </w:rPr>
        <w:t>80%</w:t>
      </w:r>
      <w:r>
        <w:rPr>
          <w:rFonts w:ascii="宋体" w:eastAsia="宋体" w:hAnsi="宋体" w:cs="方正仿宋简体"/>
          <w:iCs/>
          <w:sz w:val="21"/>
          <w:szCs w:val="21"/>
        </w:rPr>
        <w:t>。因此股市、债市的变化将影响到本基金的业绩表现。本基金管理人将</w:t>
      </w:r>
      <w:r>
        <w:rPr>
          <w:rFonts w:ascii="宋体" w:eastAsia="宋体" w:hAnsi="宋体" w:cs="方正仿宋简体"/>
          <w:iCs/>
          <w:sz w:val="21"/>
          <w:szCs w:val="21"/>
        </w:rPr>
        <w:lastRenderedPageBreak/>
        <w:t>发挥专业研究优势，加强对市场、上市公司基本面和固定收益类产品的深入研究，持续优化组合配置，以控制特定风险。</w:t>
      </w:r>
    </w:p>
    <w:p w14:paraId="60201205"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、本基金可以投资于港股通标的股票，投资风险包括：</w:t>
      </w:r>
    </w:p>
    <w:p w14:paraId="49603C15"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）本</w:t>
      </w:r>
      <w:r>
        <w:rPr>
          <w:rFonts w:ascii="宋体" w:eastAsia="宋体" w:hAnsi="宋体" w:cs="方正仿宋简体"/>
          <w:iCs/>
          <w:sz w:val="21"/>
          <w:szCs w:val="21"/>
        </w:rPr>
        <w:t>基金将通过</w:t>
      </w:r>
      <w:r>
        <w:rPr>
          <w:rFonts w:ascii="宋体" w:eastAsia="宋体" w:hAnsi="宋体" w:cs="方正仿宋简体"/>
          <w:iCs/>
          <w:sz w:val="21"/>
          <w:szCs w:val="21"/>
        </w:rPr>
        <w:t>“</w:t>
      </w:r>
      <w:r>
        <w:rPr>
          <w:rFonts w:ascii="宋体" w:eastAsia="宋体" w:hAnsi="宋体" w:cs="方正仿宋简体"/>
          <w:iCs/>
          <w:sz w:val="21"/>
          <w:szCs w:val="21"/>
        </w:rPr>
        <w:t>港股通</w:t>
      </w:r>
      <w:r>
        <w:rPr>
          <w:rFonts w:ascii="宋体" w:eastAsia="宋体" w:hAnsi="宋体" w:cs="方正仿宋简体"/>
          <w:iCs/>
          <w:sz w:val="21"/>
          <w:szCs w:val="21"/>
        </w:rPr>
        <w:t>”</w:t>
      </w:r>
      <w:r>
        <w:rPr>
          <w:rFonts w:ascii="宋体" w:eastAsia="宋体" w:hAnsi="宋体" w:cs="方正仿宋简体"/>
          <w:iCs/>
          <w:sz w:val="21"/>
          <w:szCs w:val="21"/>
        </w:rPr>
        <w:t>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0BEDCB8C"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）香港市场交易规则有别于内地</w:t>
      </w:r>
      <w:r>
        <w:rPr>
          <w:rFonts w:ascii="宋体" w:eastAsia="宋体" w:hAnsi="宋体" w:cs="方正仿宋简体"/>
          <w:iCs/>
          <w:sz w:val="21"/>
          <w:szCs w:val="21"/>
        </w:rPr>
        <w:t>A</w:t>
      </w:r>
      <w:r>
        <w:rPr>
          <w:rFonts w:ascii="宋体" w:eastAsia="宋体" w:hAnsi="宋体" w:cs="方正仿宋简体"/>
          <w:iCs/>
          <w:sz w:val="21"/>
          <w:szCs w:val="21"/>
        </w:rPr>
        <w:t>股市场规则，此外，在港股通下参与香港股票投资还将面临包括但不限于如下特殊风险：涨跌幅限制、交易日不同、临时停市、交易机制、代理投票、汇率风险、港股通每日额度限制等。</w:t>
      </w:r>
    </w:p>
    <w:p w14:paraId="3CA66C23"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）本基金可根据投资策略需要或不同配置地市场环境的变化，选择将部分基金资</w:t>
      </w:r>
      <w:r>
        <w:rPr>
          <w:rFonts w:ascii="宋体" w:eastAsia="宋体" w:hAnsi="宋体" w:cs="方正仿宋简体"/>
          <w:iCs/>
          <w:sz w:val="21"/>
          <w:szCs w:val="21"/>
        </w:rPr>
        <w:t>产投资于港股或选择不将基金资产投资于港股，基金资产并非必然投资港股。</w:t>
      </w:r>
    </w:p>
    <w:p w14:paraId="578F4FFB"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、本基金可投资于股指期货，股指期货的投资可能面临价格波动较大风险、强制平仓风险等。</w:t>
      </w:r>
    </w:p>
    <w:p w14:paraId="2FFC4526"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、本基金投资科创板上市交易股票将承担科创板因上市条件、交易规则、退市制度等差异带来的特有风险。</w:t>
      </w:r>
    </w:p>
    <w:p w14:paraId="7BF58B08"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、本基金投资存托凭证在承担境内上市交易股票投资的共同风险外，还将承担与存托凭证、创新企业发行、境外发行人以及交易机制相关的特有风险。</w:t>
      </w:r>
    </w:p>
    <w:p w14:paraId="15E3B602"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w:t>
      </w: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14:paraId="5BCA2731" w14:textId="77777777" w:rsidR="008F585B" w:rsidRPr="008F585B" w:rsidRDefault="008F585B" w:rsidP="00C36380">
      <w:pPr>
        <w:pStyle w:val="2"/>
      </w:pPr>
      <w:r w:rsidRPr="008F585B">
        <w:rPr>
          <w:rFonts w:hint="eastAsia"/>
        </w:rPr>
        <w:t>重要提示</w:t>
      </w:r>
    </w:p>
    <w:p w14:paraId="754E730A"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w:t>
      </w:r>
      <w:r>
        <w:rPr>
          <w:rFonts w:ascii="宋体" w:eastAsia="宋体" w:hAnsi="宋体" w:cs="方正仿宋简体"/>
          <w:iCs/>
          <w:sz w:val="21"/>
          <w:szCs w:val="21"/>
        </w:rPr>
        <w:t>/</w:t>
      </w:r>
      <w:r>
        <w:rPr>
          <w:rFonts w:ascii="宋体" w:eastAsia="宋体" w:hAnsi="宋体" w:cs="方正仿宋简体"/>
          <w:iCs/>
          <w:sz w:val="21"/>
          <w:szCs w:val="21"/>
        </w:rPr>
        <w:t>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14:paraId="5DA04A94"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与本基金或基金合同相关的一切争议将提交位于北京的中国国际经济贸易仲裁委员会仲裁，仲裁裁决是终局的，对仲裁各方当事人均具有约束力。</w:t>
      </w:r>
    </w:p>
    <w:p w14:paraId="695A0B05"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14:paraId="3E65B74D" w14:textId="77777777" w:rsidR="008F585B" w:rsidRPr="008F585B" w:rsidRDefault="008F585B" w:rsidP="00C36380">
      <w:pPr>
        <w:pStyle w:val="1"/>
      </w:pPr>
      <w:r w:rsidRPr="008F585B">
        <w:rPr>
          <w:rFonts w:hint="eastAsia"/>
        </w:rPr>
        <w:t>其他资料查询方式</w:t>
      </w:r>
    </w:p>
    <w:p w14:paraId="5F35E1CF"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t>
      </w:r>
      <w:r>
        <w:rPr>
          <w:rFonts w:ascii="宋体" w:eastAsia="宋体" w:hAnsi="宋体" w:cs="方正仿宋简体"/>
          <w:iCs/>
          <w:sz w:val="21"/>
          <w:szCs w:val="21"/>
        </w:rPr>
        <w:t>www.fullgoal.com.cn</w:t>
      </w:r>
      <w:r>
        <w:rPr>
          <w:rFonts w:ascii="宋体" w:eastAsia="宋体" w:hAnsi="宋体" w:cs="方正仿宋简体"/>
          <w:iCs/>
          <w:sz w:val="21"/>
          <w:szCs w:val="21"/>
        </w:rPr>
        <w:t>），客户服务热线：</w:t>
      </w:r>
      <w:r>
        <w:rPr>
          <w:rFonts w:ascii="宋体" w:eastAsia="宋体" w:hAnsi="宋体" w:cs="方正仿宋简体"/>
          <w:iCs/>
          <w:sz w:val="21"/>
          <w:szCs w:val="21"/>
        </w:rPr>
        <w:t>95105686</w:t>
      </w:r>
      <w:r>
        <w:rPr>
          <w:rFonts w:ascii="宋体" w:eastAsia="宋体" w:hAnsi="宋体" w:cs="方正仿宋简体"/>
          <w:iCs/>
          <w:sz w:val="21"/>
          <w:szCs w:val="21"/>
        </w:rPr>
        <w:t>，</w:t>
      </w:r>
      <w:r>
        <w:rPr>
          <w:rFonts w:ascii="宋体" w:eastAsia="宋体" w:hAnsi="宋体" w:cs="方正仿宋简体"/>
          <w:iCs/>
          <w:sz w:val="21"/>
          <w:szCs w:val="21"/>
        </w:rPr>
        <w:t>4008880688</w:t>
      </w:r>
      <w:r>
        <w:rPr>
          <w:rFonts w:ascii="宋体" w:eastAsia="宋体" w:hAnsi="宋体" w:cs="方正仿宋简体"/>
          <w:iCs/>
          <w:sz w:val="21"/>
          <w:szCs w:val="21"/>
        </w:rPr>
        <w:t>（全国统一，免长途话费）</w:t>
      </w:r>
    </w:p>
    <w:p w14:paraId="31249E10"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w:t>
      </w:r>
      <w:r>
        <w:rPr>
          <w:rFonts w:ascii="宋体" w:eastAsia="宋体" w:hAnsi="宋体" w:cs="方正仿宋简体"/>
          <w:iCs/>
          <w:sz w:val="21"/>
          <w:szCs w:val="21"/>
        </w:rPr>
        <w:t>、基金合同、托管协议、招募说明书</w:t>
      </w:r>
    </w:p>
    <w:p w14:paraId="64D099D0"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w:t>
      </w:r>
      <w:r>
        <w:rPr>
          <w:rFonts w:ascii="宋体" w:eastAsia="宋体" w:hAnsi="宋体" w:cs="方正仿宋简体"/>
          <w:iCs/>
          <w:sz w:val="21"/>
          <w:szCs w:val="21"/>
        </w:rPr>
        <w:t>、定期报告，包括基金季度报告、中期报告和年度报告</w:t>
      </w:r>
    </w:p>
    <w:p w14:paraId="31A99DC6"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w:t>
      </w:r>
      <w:r>
        <w:rPr>
          <w:rFonts w:ascii="宋体" w:eastAsia="宋体" w:hAnsi="宋体" w:cs="方正仿宋简体"/>
          <w:iCs/>
          <w:sz w:val="21"/>
          <w:szCs w:val="21"/>
        </w:rPr>
        <w:t>、基金份额净值</w:t>
      </w:r>
    </w:p>
    <w:p w14:paraId="53168D45"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w:t>
      </w:r>
      <w:r>
        <w:rPr>
          <w:rFonts w:ascii="宋体" w:eastAsia="宋体" w:hAnsi="宋体" w:cs="方正仿宋简体"/>
          <w:iCs/>
          <w:sz w:val="21"/>
          <w:szCs w:val="21"/>
        </w:rPr>
        <w:t>、基金销售机构及联系方式</w:t>
      </w:r>
    </w:p>
    <w:p w14:paraId="23366FD4" w14:textId="77777777" w:rsidR="004061EF" w:rsidRDefault="00701A1C">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w:t>
      </w:r>
      <w:r>
        <w:rPr>
          <w:rFonts w:ascii="宋体" w:eastAsia="宋体" w:hAnsi="宋体" w:cs="方正仿宋简体"/>
          <w:iCs/>
          <w:sz w:val="21"/>
          <w:szCs w:val="21"/>
        </w:rPr>
        <w:t>、其他重要资料</w:t>
      </w:r>
    </w:p>
    <w:sectPr w:rsidR="004061EF" w:rsidSect="00F50507">
      <w:footerReference w:type="default" r:id="rId9"/>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A0AD" w14:textId="77777777" w:rsidR="00701A1C" w:rsidRDefault="00701A1C" w:rsidP="00084FBF">
      <w:r>
        <w:separator/>
      </w:r>
    </w:p>
  </w:endnote>
  <w:endnote w:type="continuationSeparator" w:id="0">
    <w:p w14:paraId="78109725" w14:textId="77777777" w:rsidR="00701A1C" w:rsidRDefault="00701A1C"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2000000000000000000"/>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2239" w14:textId="77777777" w:rsidR="00953F87" w:rsidRDefault="00953F87">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14:paraId="2811D507" w14:textId="77777777" w:rsidR="00953F87" w:rsidRDefault="00953F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4FD3" w14:textId="77777777" w:rsidR="00701A1C" w:rsidRDefault="00701A1C" w:rsidP="00084FBF">
      <w:r>
        <w:separator/>
      </w:r>
    </w:p>
  </w:footnote>
  <w:footnote w:type="continuationSeparator" w:id="0">
    <w:p w14:paraId="0CB56C6D" w14:textId="77777777" w:rsidR="00701A1C" w:rsidRDefault="00701A1C" w:rsidP="0008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5AC33CF0"/>
    <w:multiLevelType w:val="singleLevel"/>
    <w:tmpl w:val="5AC33CF0"/>
    <w:lvl w:ilvl="0">
      <w:start w:val="1"/>
      <w:numFmt w:val="chineseCounting"/>
      <w:suff w:val="nothing"/>
      <w:lvlText w:val="%1、"/>
      <w:lvlJc w:val="left"/>
    </w:lvl>
  </w:abstractNum>
  <w:abstractNum w:abstractNumId="6" w15:restartNumberingAfterBreak="0">
    <w:nsid w:val="5C21FE0E"/>
    <w:multiLevelType w:val="singleLevel"/>
    <w:tmpl w:val="5C21FE0E"/>
    <w:lvl w:ilvl="0">
      <w:start w:val="2"/>
      <w:numFmt w:val="chineseCounting"/>
      <w:suff w:val="nothing"/>
      <w:lvlText w:val="（%1）"/>
      <w:lvlJc w:val="left"/>
    </w:lvl>
  </w:abstractNum>
  <w:abstractNum w:abstractNumId="7" w15:restartNumberingAfterBreak="0">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061EF"/>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1A1C"/>
    <w:rsid w:val="00704EE8"/>
    <w:rsid w:val="007059E2"/>
    <w:rsid w:val="00712BE7"/>
    <w:rsid w:val="00731748"/>
    <w:rsid w:val="00736BD2"/>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795B1"/>
  <w15:chartTrackingRefBased/>
  <w15:docId w15:val="{A5D43651-D895-4BBF-8532-B4E6827D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0"/>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0"/>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文本 字符"/>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a7">
    <w:name w:val="批注文字 字符"/>
    <w:link w:val="a8"/>
    <w:uiPriority w:val="99"/>
    <w:rsid w:val="00084FBF"/>
    <w:rPr>
      <w:rFonts w:ascii="Times New Roman" w:eastAsia="方正仿宋简体" w:hAnsi="Times New Roman"/>
      <w:sz w:val="32"/>
    </w:rPr>
  </w:style>
  <w:style w:type="paragraph" w:styleId="a4">
    <w:name w:val="footnote text"/>
    <w:basedOn w:val="a"/>
    <w:link w:val="a3"/>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8">
    <w:name w:val="annotation text"/>
    <w:basedOn w:val="a"/>
    <w:link w:val="a7"/>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9">
    <w:name w:val="Balloon Text"/>
    <w:link w:val="aa"/>
    <w:uiPriority w:val="99"/>
    <w:semiHidden/>
    <w:unhideWhenUsed/>
    <w:rPr>
      <w:rFonts w:ascii="Tahoma" w:hAnsi="Tahoma" w:cs="Tahoma"/>
      <w:sz w:val="16"/>
      <w:szCs w:val="16"/>
    </w:rPr>
  </w:style>
  <w:style w:type="character" w:customStyle="1" w:styleId="Char">
    <w:name w:val="批注框文本 Char"/>
    <w:uiPriority w:val="99"/>
    <w:semiHidden/>
    <w:rsid w:val="00084FBF"/>
    <w:rPr>
      <w:rFonts w:ascii="Times New Roman" w:eastAsia="方正仿宋简体" w:hAnsi="Times New Roman" w:cs="Times New Roman"/>
      <w:sz w:val="18"/>
      <w:szCs w:val="18"/>
    </w:rPr>
  </w:style>
  <w:style w:type="paragraph" w:styleId="ab">
    <w:name w:val="List Paragraph"/>
    <w:basedOn w:val="a"/>
    <w:uiPriority w:val="34"/>
    <w:qFormat/>
    <w:rsid w:val="006F366F"/>
    <w:pPr>
      <w:ind w:firstLineChars="200" w:firstLine="420"/>
    </w:pPr>
  </w:style>
  <w:style w:type="table" w:styleId="ac">
    <w:name w:val="Table Grid"/>
    <w:basedOn w:val="a1"/>
    <w:uiPriority w:val="39"/>
    <w:rsid w:val="0080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8"/>
    <w:next w:val="a8"/>
    <w:link w:val="af"/>
    <w:uiPriority w:val="99"/>
    <w:semiHidden/>
    <w:unhideWhenUsed/>
    <w:rsid w:val="00DC28DE"/>
    <w:rPr>
      <w:b/>
      <w:bCs/>
      <w:szCs w:val="20"/>
    </w:rPr>
  </w:style>
  <w:style w:type="character" w:customStyle="1" w:styleId="af">
    <w:name w:val="批注主题 字符"/>
    <w:link w:val="ae"/>
    <w:uiPriority w:val="99"/>
    <w:semiHidden/>
    <w:rsid w:val="00DC28DE"/>
    <w:rPr>
      <w:rFonts w:ascii="Times New Roman" w:eastAsia="方正仿宋简体" w:hAnsi="Times New Roman" w:cs="Times New Roman"/>
      <w:b/>
      <w:bCs/>
      <w:sz w:val="32"/>
      <w:szCs w:val="20"/>
    </w:rPr>
  </w:style>
  <w:style w:type="paragraph" w:styleId="af0">
    <w:name w:val="header"/>
    <w:basedOn w:val="a"/>
    <w:link w:val="af1"/>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953F87"/>
    <w:rPr>
      <w:rFonts w:ascii="Times New Roman" w:eastAsia="方正仿宋简体" w:hAnsi="Times New Roman" w:cs="Times New Roman"/>
      <w:sz w:val="18"/>
      <w:szCs w:val="18"/>
    </w:rPr>
  </w:style>
  <w:style w:type="paragraph" w:styleId="af2">
    <w:name w:val="footer"/>
    <w:basedOn w:val="a"/>
    <w:link w:val="af3"/>
    <w:uiPriority w:val="99"/>
    <w:unhideWhenUsed/>
    <w:rsid w:val="00953F87"/>
    <w:pPr>
      <w:tabs>
        <w:tab w:val="center" w:pos="4153"/>
        <w:tab w:val="right" w:pos="8306"/>
      </w:tabs>
      <w:snapToGrid w:val="0"/>
      <w:jc w:val="left"/>
    </w:pPr>
    <w:rPr>
      <w:sz w:val="18"/>
      <w:szCs w:val="18"/>
    </w:rPr>
  </w:style>
  <w:style w:type="character" w:customStyle="1" w:styleId="af3">
    <w:name w:val="页脚 字符"/>
    <w:link w:val="af2"/>
    <w:uiPriority w:val="99"/>
    <w:rsid w:val="00953F87"/>
    <w:rPr>
      <w:rFonts w:ascii="Times New Roman" w:eastAsia="方正仿宋简体" w:hAnsi="Times New Roman" w:cs="Times New Roman"/>
      <w:sz w:val="18"/>
      <w:szCs w:val="18"/>
    </w:rPr>
  </w:style>
  <w:style w:type="character" w:customStyle="1" w:styleId="10">
    <w:name w:val="标题 1 字符"/>
    <w:link w:val="1"/>
    <w:uiPriority w:val="9"/>
    <w:rsid w:val="00F50507"/>
    <w:rPr>
      <w:rFonts w:ascii="宋体" w:hAnsi="宋体"/>
      <w:b/>
      <w:bCs/>
      <w:kern w:val="44"/>
      <w:sz w:val="24"/>
      <w:szCs w:val="44"/>
    </w:rPr>
  </w:style>
  <w:style w:type="character" w:customStyle="1" w:styleId="20">
    <w:name w:val="标题 2 字符"/>
    <w:link w:val="2"/>
    <w:uiPriority w:val="9"/>
    <w:rsid w:val="00F50507"/>
    <w:rPr>
      <w:rFonts w:ascii="宋体" w:hAnsi="宋体" w:cs="方正仿宋简体"/>
      <w:b/>
      <w:iCs/>
      <w:kern w:val="2"/>
      <w:sz w:val="22"/>
      <w:szCs w:val="24"/>
    </w:rPr>
  </w:style>
  <w:style w:type="paragraph" w:styleId="af4">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5">
    <w:name w:val="Placeholder Text"/>
    <w:basedOn w:val="a0"/>
    <w:uiPriority w:val="99"/>
    <w:semiHidden/>
    <w:rsid w:val="00E26DA8"/>
    <w:rPr>
      <w:color w:val="808080"/>
    </w:rPr>
  </w:style>
  <w:style w:type="paragraph" w:styleId="TOC">
    <w:name w:val="TOC Heading"/>
    <w:uiPriority w:val="39"/>
    <w:semiHidden/>
    <w:unhideWhenUsed/>
    <w:qFormat/>
    <w:rPr>
      <w:lang w:eastAsia="ja-JP"/>
    </w:r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paragraph" w:styleId="TOC4">
    <w:name w:val="toc 4"/>
    <w:autoRedefine/>
    <w:uiPriority w:val="39"/>
    <w:unhideWhenUsed/>
    <w:pPr>
      <w:spacing w:after="100"/>
      <w:ind w:left="660"/>
    </w:pPr>
  </w:style>
  <w:style w:type="character" w:styleId="af6">
    <w:name w:val="Hyperlink"/>
    <w:uiPriority w:val="99"/>
    <w:unhideWhenUsed/>
    <w:rPr>
      <w:color w:val="0563C1" w:themeColor="hyperlink"/>
      <w:u w:val="single"/>
    </w:rPr>
  </w:style>
  <w:style w:type="character" w:customStyle="1" w:styleId="aa">
    <w:name w:val="批注框文本 字符"/>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C.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0</TotalTime>
  <Pages>4</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2</cp:revision>
  <dcterms:created xsi:type="dcterms:W3CDTF">2026-01-09T07:35:00Z</dcterms:created>
  <dcterms:modified xsi:type="dcterms:W3CDTF">2026-01-09T07:35:00Z</dcterms:modified>
</cp:coreProperties>
</file>