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289B3" w14:textId="77777777" w:rsidR="009C7B0A" w:rsidRDefault="001C17B1">
      <w:pPr>
        <w:adjustRightInd w:val="0"/>
        <w:snapToGrid w:val="0"/>
        <w:jc w:val="center"/>
        <w:rPr>
          <w:rFonts w:ascii="宋体" w:eastAsia="宋体" w:hAnsi="宋体" w:cs="方正黑体简体"/>
          <w:b/>
          <w:bCs/>
          <w:iCs/>
          <w:sz w:val="30"/>
          <w:szCs w:val="30"/>
        </w:rPr>
      </w:pPr>
      <w:r>
        <w:rPr>
          <w:rFonts w:ascii="宋体" w:eastAsia="宋体" w:hAnsi="宋体" w:cs="方正黑体简体"/>
          <w:b/>
          <w:bCs/>
          <w:iCs/>
          <w:sz w:val="30"/>
          <w:szCs w:val="30"/>
        </w:rPr>
        <w:t>富国天瑞强势地区精选混合型证券投资基金（</w:t>
      </w:r>
      <w:r>
        <w:rPr>
          <w:rFonts w:ascii="宋体" w:eastAsia="宋体" w:hAnsi="宋体" w:cs="方正黑体简体"/>
          <w:b/>
          <w:bCs/>
          <w:iCs/>
          <w:sz w:val="30"/>
          <w:szCs w:val="30"/>
        </w:rPr>
        <w:t>C</w:t>
      </w:r>
      <w:r>
        <w:rPr>
          <w:rFonts w:ascii="宋体" w:eastAsia="宋体" w:hAnsi="宋体" w:cs="方正黑体简体"/>
          <w:b/>
          <w:bCs/>
          <w:iCs/>
          <w:sz w:val="30"/>
          <w:szCs w:val="30"/>
        </w:rPr>
        <w:t>类份额）基金产品资料概要更新</w:t>
      </w:r>
    </w:p>
    <w:p w14:paraId="60A97144" w14:textId="77777777" w:rsidR="00084FBF" w:rsidRPr="00A14942" w:rsidRDefault="009548E7" w:rsidP="0043556E">
      <w:pPr>
        <w:adjustRightInd w:val="0"/>
        <w:snapToGrid w:val="0"/>
        <w:jc w:val="right"/>
        <w:rPr>
          <w:rFonts w:ascii="宋体" w:eastAsia="宋体" w:hAnsi="宋体" w:cs="方正仿宋简体"/>
          <w:iCs/>
          <w:color w:val="FF0000"/>
          <w:sz w:val="21"/>
          <w:szCs w:val="21"/>
        </w:rPr>
      </w:pPr>
      <w:r>
        <w:rPr>
          <w:rFonts w:ascii="宋体" w:eastAsia="宋体" w:hAnsi="宋体" w:hint="eastAsia"/>
          <w:sz w:val="21"/>
          <w:szCs w:val="21"/>
        </w:rPr>
        <w:t>2025年12月15日</w:t>
      </w:r>
      <w:r w:rsidR="0043556E" w:rsidRPr="00A14942">
        <w:rPr>
          <w:rFonts w:ascii="宋体" w:eastAsia="宋体" w:hAnsi="宋体" w:hint="eastAsia"/>
          <w:sz w:val="21"/>
          <w:szCs w:val="21"/>
        </w:rPr>
        <w:t>（</w:t>
      </w:r>
      <w:r w:rsidR="0043556E" w:rsidRPr="00A14942">
        <w:rPr>
          <w:rFonts w:ascii="宋体" w:eastAsia="宋体" w:hAnsi="宋体" w:cs="方正仿宋简体" w:hint="eastAsia"/>
          <w:iCs/>
          <w:sz w:val="21"/>
          <w:szCs w:val="21"/>
        </w:rPr>
        <w:t>信息截至：</w:t>
      </w:r>
      <w:r>
        <w:rPr>
          <w:rFonts w:ascii="宋体" w:eastAsia="宋体" w:hAnsi="宋体" w:cs="方正仿宋简体" w:hint="eastAsia"/>
          <w:iCs/>
          <w:sz w:val="21"/>
          <w:szCs w:val="21"/>
        </w:rPr>
        <w:t>2025年12月12日</w:t>
      </w:r>
      <w:r w:rsidR="0043556E" w:rsidRPr="00A14942">
        <w:rPr>
          <w:rFonts w:ascii="宋体" w:eastAsia="宋体" w:hAnsi="宋体" w:hint="eastAsia"/>
          <w:sz w:val="21"/>
          <w:szCs w:val="21"/>
        </w:rPr>
        <w:t>）</w:t>
      </w:r>
    </w:p>
    <w:p w14:paraId="5F6B245A" w14:textId="77777777" w:rsidR="00DE25AF" w:rsidRPr="00A14942" w:rsidRDefault="004E7FF3" w:rsidP="00084FBF">
      <w:pPr>
        <w:adjustRightInd w:val="0"/>
        <w:snapToGrid w:val="0"/>
        <w:jc w:val="center"/>
        <w:rPr>
          <w:rFonts w:ascii="宋体" w:eastAsia="宋体" w:hAnsi="宋体" w:cs="方正黑体简体"/>
          <w:b/>
          <w:bCs/>
          <w:iCs/>
          <w:sz w:val="24"/>
          <w:szCs w:val="21"/>
        </w:rPr>
      </w:pPr>
      <w:r w:rsidRPr="00A14942">
        <w:rPr>
          <w:rFonts w:ascii="宋体" w:eastAsia="宋体" w:hAnsi="宋体" w:cs="方正黑体简体" w:hint="eastAsia"/>
          <w:b/>
          <w:bCs/>
          <w:iCs/>
          <w:sz w:val="24"/>
          <w:szCs w:val="21"/>
        </w:rPr>
        <w:t>本概要提供本基金的重要信息，是招募说明书的一部分。作出投资决定前，请阅读完整的招募说明书等销售文件。</w:t>
      </w:r>
    </w:p>
    <w:p w14:paraId="2C5E8B0E" w14:textId="77777777" w:rsidR="006F366F" w:rsidRPr="00F50507" w:rsidRDefault="006F366F" w:rsidP="00F50507">
      <w:pPr>
        <w:pStyle w:val="1"/>
      </w:pPr>
      <w:r w:rsidRPr="00F50507">
        <w:rPr>
          <w:rFonts w:hint="eastAsia"/>
        </w:rPr>
        <w:t>产品概况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rsidR="009C7B0A" w14:paraId="36825EF9" w14:textId="77777777">
        <w:trPr>
          <w:trHeight w:val="340"/>
        </w:trPr>
        <w:tc>
          <w:tcPr>
            <w:tcW w:w="1757" w:type="dxa"/>
            <w:shd w:val="clear" w:color="auto" w:fill="auto"/>
            <w:vAlign w:val="center"/>
          </w:tcPr>
          <w:p w14:paraId="42096350"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基金简称</w:t>
            </w:r>
          </w:p>
        </w:tc>
        <w:tc>
          <w:tcPr>
            <w:tcW w:w="2887" w:type="dxa"/>
            <w:shd w:val="clear" w:color="auto" w:fill="auto"/>
            <w:vAlign w:val="center"/>
          </w:tcPr>
          <w:p w14:paraId="7D33DBFC" w14:textId="77777777" w:rsidR="009C7B0A" w:rsidRDefault="001C17B1">
            <w:pPr>
              <w:adjustRightInd w:val="0"/>
              <w:snapToGrid w:val="0"/>
              <w:rPr>
                <w:rFonts w:ascii="宋体" w:eastAsia="宋体" w:hAnsi="宋体" w:cs="方正仿宋简体"/>
                <w:iCs/>
                <w:sz w:val="21"/>
                <w:szCs w:val="21"/>
              </w:rPr>
            </w:pPr>
            <w:r>
              <w:rPr>
                <w:rFonts w:ascii="宋体" w:eastAsia="宋体" w:hAnsi="宋体"/>
                <w:kern w:val="0"/>
                <w:sz w:val="21"/>
                <w:szCs w:val="21"/>
              </w:rPr>
              <w:t>富国天瑞强势混合</w:t>
            </w:r>
          </w:p>
        </w:tc>
        <w:tc>
          <w:tcPr>
            <w:tcW w:w="1701" w:type="dxa"/>
            <w:shd w:val="clear" w:color="auto" w:fill="auto"/>
            <w:vAlign w:val="center"/>
          </w:tcPr>
          <w:p w14:paraId="498B5047"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基金代码</w:t>
            </w:r>
          </w:p>
        </w:tc>
        <w:tc>
          <w:tcPr>
            <w:tcW w:w="2835" w:type="dxa"/>
            <w:shd w:val="clear" w:color="auto" w:fill="auto"/>
            <w:vAlign w:val="center"/>
          </w:tcPr>
          <w:p w14:paraId="009385D8" w14:textId="77777777" w:rsidR="009C7B0A" w:rsidRDefault="001C17B1">
            <w:pPr>
              <w:adjustRightInd w:val="0"/>
              <w:snapToGrid w:val="0"/>
              <w:rPr>
                <w:rFonts w:ascii="宋体" w:eastAsia="宋体" w:hAnsi="宋体" w:cs="方正仿宋简体"/>
                <w:iCs/>
                <w:sz w:val="21"/>
                <w:szCs w:val="21"/>
              </w:rPr>
            </w:pPr>
            <w:r>
              <w:rPr>
                <w:rFonts w:ascii="宋体" w:eastAsia="宋体" w:hAnsi="宋体" w:hint="eastAsia"/>
                <w:kern w:val="0"/>
                <w:sz w:val="21"/>
                <w:szCs w:val="21"/>
              </w:rPr>
              <w:t>100022</w:t>
            </w:r>
          </w:p>
        </w:tc>
      </w:tr>
      <w:tr w:rsidR="009C7B0A" w14:paraId="42A75C1A" w14:textId="77777777">
        <w:trPr>
          <w:trHeight w:val="340"/>
        </w:trPr>
        <w:tc>
          <w:tcPr>
            <w:tcW w:w="1757" w:type="dxa"/>
            <w:shd w:val="clear" w:color="auto" w:fill="auto"/>
            <w:vAlign w:val="center"/>
          </w:tcPr>
          <w:p w14:paraId="42825671"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份额简称</w:t>
            </w:r>
          </w:p>
        </w:tc>
        <w:tc>
          <w:tcPr>
            <w:tcW w:w="2887" w:type="dxa"/>
            <w:shd w:val="clear" w:color="auto" w:fill="auto"/>
            <w:vAlign w:val="center"/>
          </w:tcPr>
          <w:p w14:paraId="1D3B0625" w14:textId="77777777" w:rsidR="009C7B0A" w:rsidRDefault="001C17B1">
            <w:pPr>
              <w:adjustRightInd w:val="0"/>
              <w:snapToGrid w:val="0"/>
              <w:rPr>
                <w:rFonts w:ascii="宋体" w:eastAsia="宋体" w:hAnsi="宋体"/>
                <w:kern w:val="0"/>
                <w:sz w:val="21"/>
                <w:szCs w:val="21"/>
              </w:rPr>
            </w:pPr>
            <w:r>
              <w:rPr>
                <w:rFonts w:ascii="宋体" w:eastAsia="宋体" w:hAnsi="宋体" w:hint="eastAsia"/>
                <w:kern w:val="0"/>
                <w:sz w:val="21"/>
                <w:szCs w:val="21"/>
              </w:rPr>
              <w:t>富国天瑞强势地区精选混合</w:t>
            </w:r>
            <w:r>
              <w:rPr>
                <w:rFonts w:ascii="宋体" w:eastAsia="宋体" w:hAnsi="宋体" w:hint="eastAsia"/>
                <w:kern w:val="0"/>
                <w:sz w:val="21"/>
                <w:szCs w:val="21"/>
              </w:rPr>
              <w:t>C</w:t>
            </w:r>
          </w:p>
        </w:tc>
        <w:tc>
          <w:tcPr>
            <w:tcW w:w="1701" w:type="dxa"/>
            <w:shd w:val="clear" w:color="auto" w:fill="auto"/>
            <w:vAlign w:val="center"/>
          </w:tcPr>
          <w:p w14:paraId="7C676BCA"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份额代码</w:t>
            </w:r>
          </w:p>
        </w:tc>
        <w:tc>
          <w:tcPr>
            <w:tcW w:w="2835" w:type="dxa"/>
            <w:shd w:val="clear" w:color="auto" w:fill="auto"/>
            <w:vAlign w:val="center"/>
          </w:tcPr>
          <w:p w14:paraId="269F26FC" w14:textId="77777777" w:rsidR="009C7B0A" w:rsidRDefault="001C17B1">
            <w:pPr>
              <w:adjustRightInd w:val="0"/>
              <w:snapToGrid w:val="0"/>
              <w:rPr>
                <w:rFonts w:ascii="宋体" w:eastAsia="宋体" w:hAnsi="宋体"/>
                <w:kern w:val="0"/>
                <w:sz w:val="21"/>
                <w:szCs w:val="21"/>
              </w:rPr>
            </w:pPr>
            <w:r>
              <w:rPr>
                <w:rFonts w:ascii="宋体" w:eastAsia="宋体" w:hAnsi="宋体" w:hint="eastAsia"/>
                <w:kern w:val="0"/>
                <w:sz w:val="21"/>
                <w:szCs w:val="21"/>
              </w:rPr>
              <w:t>023954</w:t>
            </w:r>
          </w:p>
        </w:tc>
      </w:tr>
      <w:tr w:rsidR="009C7B0A" w14:paraId="7403C2D1" w14:textId="77777777">
        <w:trPr>
          <w:trHeight w:val="340"/>
        </w:trPr>
        <w:tc>
          <w:tcPr>
            <w:tcW w:w="1757" w:type="dxa"/>
            <w:shd w:val="clear" w:color="auto" w:fill="auto"/>
            <w:vAlign w:val="center"/>
          </w:tcPr>
          <w:p w14:paraId="29852105"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基金管理人</w:t>
            </w:r>
          </w:p>
        </w:tc>
        <w:tc>
          <w:tcPr>
            <w:tcW w:w="2887" w:type="dxa"/>
            <w:shd w:val="clear" w:color="auto" w:fill="auto"/>
            <w:vAlign w:val="center"/>
          </w:tcPr>
          <w:p w14:paraId="735092E8" w14:textId="77777777" w:rsidR="009C7B0A" w:rsidRDefault="001C17B1">
            <w:pPr>
              <w:adjustRightInd w:val="0"/>
              <w:snapToGrid w:val="0"/>
              <w:rPr>
                <w:rFonts w:ascii="宋体" w:eastAsia="宋体" w:hAnsi="宋体" w:cs="方正仿宋简体"/>
                <w:iCs/>
                <w:sz w:val="21"/>
                <w:szCs w:val="21"/>
              </w:rPr>
            </w:pPr>
            <w:r>
              <w:rPr>
                <w:rFonts w:ascii="宋体" w:eastAsia="宋体" w:hAnsi="宋体" w:hint="eastAsia"/>
                <w:kern w:val="0"/>
                <w:sz w:val="21"/>
                <w:szCs w:val="21"/>
              </w:rPr>
              <w:t>富国基金管理有限公司</w:t>
            </w:r>
          </w:p>
        </w:tc>
        <w:tc>
          <w:tcPr>
            <w:tcW w:w="1701" w:type="dxa"/>
            <w:shd w:val="clear" w:color="auto" w:fill="auto"/>
            <w:vAlign w:val="center"/>
          </w:tcPr>
          <w:p w14:paraId="7520C32B"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基金托管人</w:t>
            </w:r>
          </w:p>
        </w:tc>
        <w:tc>
          <w:tcPr>
            <w:tcW w:w="2835" w:type="dxa"/>
            <w:shd w:val="clear" w:color="auto" w:fill="auto"/>
            <w:vAlign w:val="center"/>
          </w:tcPr>
          <w:p w14:paraId="04EC3040" w14:textId="77777777" w:rsidR="009C7B0A" w:rsidRDefault="001C17B1">
            <w:pPr>
              <w:adjustRightInd w:val="0"/>
              <w:snapToGrid w:val="0"/>
              <w:rPr>
                <w:rFonts w:ascii="宋体" w:eastAsia="宋体" w:hAnsi="宋体" w:cs="方正仿宋简体"/>
                <w:iCs/>
                <w:sz w:val="21"/>
                <w:szCs w:val="21"/>
              </w:rPr>
            </w:pPr>
            <w:r>
              <w:rPr>
                <w:rFonts w:ascii="宋体" w:eastAsia="宋体" w:hAnsi="宋体" w:hint="eastAsia"/>
                <w:kern w:val="0"/>
                <w:sz w:val="21"/>
                <w:szCs w:val="21"/>
              </w:rPr>
              <w:t>中国农业银行股份有限公司</w:t>
            </w:r>
          </w:p>
        </w:tc>
      </w:tr>
      <w:tr w:rsidR="009C7B0A" w14:paraId="38194580" w14:textId="77777777">
        <w:trPr>
          <w:trHeight w:val="340"/>
        </w:trPr>
        <w:tc>
          <w:tcPr>
            <w:tcW w:w="1757" w:type="dxa"/>
            <w:shd w:val="clear" w:color="auto" w:fill="auto"/>
            <w:vAlign w:val="center"/>
          </w:tcPr>
          <w:p w14:paraId="4F55B546"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基金合同生效日</w:t>
            </w:r>
          </w:p>
        </w:tc>
        <w:tc>
          <w:tcPr>
            <w:tcW w:w="2887" w:type="dxa"/>
            <w:shd w:val="clear" w:color="auto" w:fill="auto"/>
            <w:vAlign w:val="center"/>
          </w:tcPr>
          <w:p w14:paraId="26182742" w14:textId="77777777" w:rsidR="009C7B0A" w:rsidRDefault="001C17B1">
            <w:pPr>
              <w:adjustRightInd w:val="0"/>
              <w:snapToGrid w:val="0"/>
              <w:rPr>
                <w:rFonts w:ascii="宋体" w:eastAsia="宋体" w:hAnsi="宋体" w:cs="方正仿宋简体"/>
                <w:iCs/>
                <w:sz w:val="21"/>
                <w:szCs w:val="21"/>
              </w:rPr>
            </w:pPr>
            <w:r>
              <w:rPr>
                <w:rFonts w:ascii="宋体" w:eastAsia="宋体" w:hAnsi="宋体"/>
                <w:kern w:val="0"/>
                <w:sz w:val="21"/>
                <w:szCs w:val="21"/>
              </w:rPr>
              <w:t>2005</w:t>
            </w:r>
            <w:r>
              <w:rPr>
                <w:rFonts w:ascii="宋体" w:eastAsia="宋体" w:hAnsi="宋体"/>
                <w:kern w:val="0"/>
                <w:sz w:val="21"/>
                <w:szCs w:val="21"/>
              </w:rPr>
              <w:t>年</w:t>
            </w:r>
            <w:r>
              <w:rPr>
                <w:rFonts w:ascii="宋体" w:eastAsia="宋体" w:hAnsi="宋体"/>
                <w:kern w:val="0"/>
                <w:sz w:val="21"/>
                <w:szCs w:val="21"/>
              </w:rPr>
              <w:t>04</w:t>
            </w:r>
            <w:r>
              <w:rPr>
                <w:rFonts w:ascii="宋体" w:eastAsia="宋体" w:hAnsi="宋体"/>
                <w:kern w:val="0"/>
                <w:sz w:val="21"/>
                <w:szCs w:val="21"/>
              </w:rPr>
              <w:t>月</w:t>
            </w:r>
            <w:r>
              <w:rPr>
                <w:rFonts w:ascii="宋体" w:eastAsia="宋体" w:hAnsi="宋体"/>
                <w:kern w:val="0"/>
                <w:sz w:val="21"/>
                <w:szCs w:val="21"/>
              </w:rPr>
              <w:t>05</w:t>
            </w:r>
            <w:r>
              <w:rPr>
                <w:rFonts w:ascii="宋体" w:eastAsia="宋体" w:hAnsi="宋体"/>
                <w:kern w:val="0"/>
                <w:sz w:val="21"/>
                <w:szCs w:val="21"/>
              </w:rPr>
              <w:t>日</w:t>
            </w:r>
          </w:p>
        </w:tc>
        <w:tc>
          <w:tcPr>
            <w:tcW w:w="1701" w:type="dxa"/>
            <w:shd w:val="clear" w:color="auto" w:fill="auto"/>
            <w:vAlign w:val="center"/>
          </w:tcPr>
          <w:p w14:paraId="07A6C6E0"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基金类型</w:t>
            </w:r>
          </w:p>
        </w:tc>
        <w:tc>
          <w:tcPr>
            <w:tcW w:w="2835" w:type="dxa"/>
            <w:shd w:val="clear" w:color="auto" w:fill="auto"/>
            <w:vAlign w:val="center"/>
          </w:tcPr>
          <w:p w14:paraId="2428462F" w14:textId="77777777" w:rsidR="009C7B0A" w:rsidRDefault="001C17B1">
            <w:pPr>
              <w:adjustRightInd w:val="0"/>
              <w:snapToGrid w:val="0"/>
              <w:rPr>
                <w:rFonts w:ascii="宋体" w:eastAsia="宋体" w:hAnsi="宋体" w:cs="方正仿宋简体"/>
                <w:iCs/>
                <w:sz w:val="21"/>
                <w:szCs w:val="21"/>
              </w:rPr>
            </w:pPr>
            <w:r>
              <w:rPr>
                <w:rFonts w:ascii="宋体" w:eastAsia="宋体" w:hAnsi="宋体" w:hint="eastAsia"/>
                <w:kern w:val="0"/>
                <w:sz w:val="21"/>
                <w:szCs w:val="21"/>
              </w:rPr>
              <w:t>混合型</w:t>
            </w:r>
          </w:p>
        </w:tc>
      </w:tr>
      <w:tr w:rsidR="009C7B0A" w14:paraId="0B3CC763" w14:textId="77777777">
        <w:trPr>
          <w:trHeight w:val="340"/>
        </w:trPr>
        <w:tc>
          <w:tcPr>
            <w:tcW w:w="1757" w:type="dxa"/>
            <w:shd w:val="clear" w:color="auto" w:fill="auto"/>
            <w:vAlign w:val="center"/>
          </w:tcPr>
          <w:p w14:paraId="3C8C23D4"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运作方式</w:t>
            </w:r>
          </w:p>
        </w:tc>
        <w:tc>
          <w:tcPr>
            <w:tcW w:w="2887" w:type="dxa"/>
            <w:shd w:val="clear" w:color="auto" w:fill="auto"/>
            <w:vAlign w:val="center"/>
          </w:tcPr>
          <w:p w14:paraId="67475E2B" w14:textId="77777777" w:rsidR="009C7B0A" w:rsidRDefault="001C17B1">
            <w:pPr>
              <w:adjustRightInd w:val="0"/>
              <w:snapToGrid w:val="0"/>
              <w:rPr>
                <w:rFonts w:ascii="宋体" w:eastAsia="宋体" w:hAnsi="宋体" w:cs="方正仿宋简体"/>
                <w:iCs/>
                <w:sz w:val="21"/>
                <w:szCs w:val="21"/>
              </w:rPr>
            </w:pPr>
            <w:r>
              <w:rPr>
                <w:rFonts w:ascii="宋体" w:eastAsia="宋体" w:hAnsi="宋体"/>
                <w:kern w:val="0"/>
                <w:sz w:val="21"/>
                <w:szCs w:val="21"/>
              </w:rPr>
              <w:t>普通开放式</w:t>
            </w:r>
          </w:p>
        </w:tc>
        <w:tc>
          <w:tcPr>
            <w:tcW w:w="1701" w:type="dxa"/>
            <w:shd w:val="clear" w:color="auto" w:fill="auto"/>
            <w:vAlign w:val="center"/>
          </w:tcPr>
          <w:p w14:paraId="37F495E0"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开放频率</w:t>
            </w:r>
          </w:p>
        </w:tc>
        <w:tc>
          <w:tcPr>
            <w:tcW w:w="2835" w:type="dxa"/>
            <w:shd w:val="clear" w:color="auto" w:fill="auto"/>
            <w:vAlign w:val="center"/>
          </w:tcPr>
          <w:p w14:paraId="3D268EB0" w14:textId="77777777" w:rsidR="009C7B0A" w:rsidRDefault="001C17B1">
            <w:pPr>
              <w:adjustRightInd w:val="0"/>
              <w:snapToGrid w:val="0"/>
              <w:rPr>
                <w:rFonts w:ascii="宋体" w:eastAsia="宋体" w:hAnsi="宋体" w:cs="方正仿宋简体"/>
                <w:iCs/>
                <w:sz w:val="21"/>
                <w:szCs w:val="21"/>
              </w:rPr>
            </w:pPr>
            <w:r>
              <w:rPr>
                <w:rFonts w:ascii="宋体" w:eastAsia="宋体" w:hAnsi="宋体" w:hint="eastAsia"/>
                <w:kern w:val="0"/>
                <w:sz w:val="21"/>
                <w:szCs w:val="21"/>
              </w:rPr>
              <w:t>每个开放日</w:t>
            </w:r>
          </w:p>
        </w:tc>
      </w:tr>
      <w:tr w:rsidR="009C7B0A" w14:paraId="00C32EB8" w14:textId="77777777">
        <w:trPr>
          <w:trHeight w:val="340"/>
        </w:trPr>
        <w:tc>
          <w:tcPr>
            <w:tcW w:w="1757" w:type="dxa"/>
            <w:shd w:val="clear" w:color="auto" w:fill="auto"/>
            <w:vAlign w:val="center"/>
          </w:tcPr>
          <w:p w14:paraId="35B9E573"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交易币种</w:t>
            </w:r>
          </w:p>
        </w:tc>
        <w:tc>
          <w:tcPr>
            <w:tcW w:w="2887" w:type="dxa"/>
            <w:shd w:val="clear" w:color="auto" w:fill="auto"/>
            <w:vAlign w:val="center"/>
          </w:tcPr>
          <w:p w14:paraId="37A4475E" w14:textId="77777777" w:rsidR="009C7B0A" w:rsidRDefault="001C17B1">
            <w:pPr>
              <w:adjustRightInd w:val="0"/>
              <w:snapToGrid w:val="0"/>
              <w:rPr>
                <w:rFonts w:ascii="宋体" w:eastAsia="宋体" w:hAnsi="宋体" w:cs="方正仿宋简体"/>
                <w:iCs/>
                <w:sz w:val="21"/>
                <w:szCs w:val="21"/>
              </w:rPr>
            </w:pPr>
            <w:r>
              <w:rPr>
                <w:rFonts w:ascii="宋体" w:eastAsia="宋体" w:hAnsi="宋体" w:hint="eastAsia"/>
                <w:kern w:val="0"/>
                <w:sz w:val="21"/>
                <w:szCs w:val="21"/>
              </w:rPr>
              <w:t>人民币</w:t>
            </w:r>
          </w:p>
        </w:tc>
        <w:tc>
          <w:tcPr>
            <w:tcW w:w="1701" w:type="dxa"/>
            <w:shd w:val="clear" w:color="auto" w:fill="auto"/>
            <w:vAlign w:val="center"/>
          </w:tcPr>
          <w:p w14:paraId="3452ABC7" w14:textId="77777777" w:rsidR="00A970AF" w:rsidRPr="004A1547" w:rsidRDefault="00A970AF" w:rsidP="00A14942">
            <w:pPr>
              <w:adjustRightInd w:val="0"/>
              <w:snapToGrid w:val="0"/>
              <w:rPr>
                <w:rFonts w:ascii="宋体" w:eastAsia="宋体" w:hAnsi="宋体" w:cs="方正仿宋简体"/>
                <w:iCs/>
                <w:sz w:val="21"/>
                <w:szCs w:val="21"/>
              </w:rPr>
            </w:pPr>
          </w:p>
        </w:tc>
        <w:tc>
          <w:tcPr>
            <w:tcW w:w="2835" w:type="dxa"/>
            <w:shd w:val="clear" w:color="auto" w:fill="auto"/>
            <w:vAlign w:val="center"/>
          </w:tcPr>
          <w:p w14:paraId="6294C7D5" w14:textId="77777777" w:rsidR="009C7B0A" w:rsidRDefault="009C7B0A">
            <w:pPr>
              <w:adjustRightInd w:val="0"/>
              <w:snapToGrid w:val="0"/>
              <w:rPr>
                <w:rFonts w:ascii="宋体" w:eastAsia="宋体" w:hAnsi="宋体" w:cs="方正仿宋简体"/>
                <w:iCs/>
                <w:sz w:val="21"/>
                <w:szCs w:val="21"/>
              </w:rPr>
            </w:pPr>
          </w:p>
        </w:tc>
      </w:tr>
      <w:tr w:rsidR="009C7B0A" w14:paraId="1294C11F" w14:textId="77777777">
        <w:trPr>
          <w:trHeight w:val="340"/>
        </w:trPr>
        <w:tc>
          <w:tcPr>
            <w:tcW w:w="1757" w:type="dxa"/>
            <w:vMerge w:val="restart"/>
            <w:shd w:val="clear" w:color="auto" w:fill="auto"/>
            <w:vAlign w:val="center"/>
          </w:tcPr>
          <w:p w14:paraId="5AE3F161"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基金经理</w:t>
            </w:r>
          </w:p>
        </w:tc>
        <w:tc>
          <w:tcPr>
            <w:tcW w:w="2887" w:type="dxa"/>
            <w:vMerge w:val="restart"/>
            <w:shd w:val="clear" w:color="auto" w:fill="auto"/>
            <w:vAlign w:val="center"/>
          </w:tcPr>
          <w:p w14:paraId="75AFFA57"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徐智翔</w:t>
            </w:r>
          </w:p>
        </w:tc>
        <w:tc>
          <w:tcPr>
            <w:tcW w:w="1701" w:type="dxa"/>
            <w:shd w:val="clear" w:color="auto" w:fill="auto"/>
            <w:vAlign w:val="center"/>
          </w:tcPr>
          <w:p w14:paraId="7B23DAAE"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任职日期</w:t>
            </w:r>
          </w:p>
        </w:tc>
        <w:tc>
          <w:tcPr>
            <w:tcW w:w="2835" w:type="dxa"/>
            <w:shd w:val="clear" w:color="auto" w:fill="auto"/>
            <w:vAlign w:val="center"/>
          </w:tcPr>
          <w:p w14:paraId="298947D0"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2023</w:t>
            </w:r>
            <w:r>
              <w:rPr>
                <w:rFonts w:ascii="宋体" w:eastAsia="宋体" w:hAnsi="宋体" w:cs="方正仿宋简体" w:hint="eastAsia"/>
                <w:iCs/>
                <w:sz w:val="21"/>
                <w:szCs w:val="21"/>
              </w:rPr>
              <w:t>年</w:t>
            </w:r>
            <w:r>
              <w:rPr>
                <w:rFonts w:ascii="宋体" w:eastAsia="宋体" w:hAnsi="宋体" w:cs="方正仿宋简体" w:hint="eastAsia"/>
                <w:iCs/>
                <w:sz w:val="21"/>
                <w:szCs w:val="21"/>
              </w:rPr>
              <w:t>07</w:t>
            </w:r>
            <w:r>
              <w:rPr>
                <w:rFonts w:ascii="宋体" w:eastAsia="宋体" w:hAnsi="宋体" w:cs="方正仿宋简体" w:hint="eastAsia"/>
                <w:iCs/>
                <w:sz w:val="21"/>
                <w:szCs w:val="21"/>
              </w:rPr>
              <w:t>月</w:t>
            </w:r>
            <w:r>
              <w:rPr>
                <w:rFonts w:ascii="宋体" w:eastAsia="宋体" w:hAnsi="宋体" w:cs="方正仿宋简体" w:hint="eastAsia"/>
                <w:iCs/>
                <w:sz w:val="21"/>
                <w:szCs w:val="21"/>
              </w:rPr>
              <w:t>28</w:t>
            </w:r>
            <w:r>
              <w:rPr>
                <w:rFonts w:ascii="宋体" w:eastAsia="宋体" w:hAnsi="宋体" w:cs="方正仿宋简体" w:hint="eastAsia"/>
                <w:iCs/>
                <w:sz w:val="21"/>
                <w:szCs w:val="21"/>
              </w:rPr>
              <w:t>日</w:t>
            </w:r>
          </w:p>
        </w:tc>
      </w:tr>
      <w:tr w:rsidR="009C7B0A" w14:paraId="63F7A156" w14:textId="77777777">
        <w:trPr>
          <w:trHeight w:val="340"/>
        </w:trPr>
        <w:tc>
          <w:tcPr>
            <w:tcW w:w="1757" w:type="dxa"/>
            <w:vMerge/>
            <w:shd w:val="clear" w:color="auto" w:fill="auto"/>
            <w:vAlign w:val="center"/>
          </w:tcPr>
          <w:p w14:paraId="6FC16B78" w14:textId="77777777" w:rsidR="00CB47DA" w:rsidRPr="00CB47DA" w:rsidRDefault="00CB47DA" w:rsidP="00BA5426">
            <w:pPr>
              <w:adjustRightInd w:val="0"/>
              <w:snapToGrid w:val="0"/>
              <w:rPr>
                <w:rFonts w:ascii="宋体" w:eastAsia="宋体" w:hAnsi="宋体" w:cs="方正仿宋简体"/>
                <w:iCs/>
                <w:sz w:val="21"/>
                <w:szCs w:val="21"/>
              </w:rPr>
            </w:pPr>
          </w:p>
        </w:tc>
        <w:tc>
          <w:tcPr>
            <w:tcW w:w="2887" w:type="dxa"/>
            <w:vMerge/>
            <w:shd w:val="clear" w:color="auto" w:fill="auto"/>
            <w:vAlign w:val="center"/>
          </w:tcPr>
          <w:p w14:paraId="6A44D70C" w14:textId="77777777" w:rsidR="00CB47DA" w:rsidRPr="00CB47DA" w:rsidRDefault="00CB47DA" w:rsidP="00BA5426">
            <w:pPr>
              <w:adjustRightInd w:val="0"/>
              <w:snapToGrid w:val="0"/>
              <w:rPr>
                <w:rFonts w:ascii="宋体" w:eastAsia="宋体" w:hAnsi="宋体" w:cs="方正仿宋简体"/>
                <w:iCs/>
                <w:sz w:val="21"/>
                <w:szCs w:val="21"/>
              </w:rPr>
            </w:pPr>
          </w:p>
        </w:tc>
        <w:tc>
          <w:tcPr>
            <w:tcW w:w="1701" w:type="dxa"/>
            <w:shd w:val="clear" w:color="auto" w:fill="auto"/>
            <w:vAlign w:val="center"/>
          </w:tcPr>
          <w:p w14:paraId="6DFADC52"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证券从业日期</w:t>
            </w:r>
          </w:p>
        </w:tc>
        <w:tc>
          <w:tcPr>
            <w:tcW w:w="2835" w:type="dxa"/>
            <w:shd w:val="clear" w:color="auto" w:fill="auto"/>
            <w:vAlign w:val="center"/>
          </w:tcPr>
          <w:p w14:paraId="4BE32462"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2015</w:t>
            </w:r>
            <w:r>
              <w:rPr>
                <w:rFonts w:ascii="宋体" w:eastAsia="宋体" w:hAnsi="宋体" w:cs="方正仿宋简体" w:hint="eastAsia"/>
                <w:iCs/>
                <w:sz w:val="21"/>
                <w:szCs w:val="21"/>
              </w:rPr>
              <w:t>年</w:t>
            </w:r>
            <w:r>
              <w:rPr>
                <w:rFonts w:ascii="宋体" w:eastAsia="宋体" w:hAnsi="宋体" w:cs="方正仿宋简体" w:hint="eastAsia"/>
                <w:iCs/>
                <w:sz w:val="21"/>
                <w:szCs w:val="21"/>
              </w:rPr>
              <w:t>06</w:t>
            </w:r>
            <w:r>
              <w:rPr>
                <w:rFonts w:ascii="宋体" w:eastAsia="宋体" w:hAnsi="宋体" w:cs="方正仿宋简体" w:hint="eastAsia"/>
                <w:iCs/>
                <w:sz w:val="21"/>
                <w:szCs w:val="21"/>
              </w:rPr>
              <w:t>月</w:t>
            </w:r>
            <w:r>
              <w:rPr>
                <w:rFonts w:ascii="宋体" w:eastAsia="宋体" w:hAnsi="宋体" w:cs="方正仿宋简体" w:hint="eastAsia"/>
                <w:iCs/>
                <w:sz w:val="21"/>
                <w:szCs w:val="21"/>
              </w:rPr>
              <w:t>01</w:t>
            </w:r>
            <w:r>
              <w:rPr>
                <w:rFonts w:ascii="宋体" w:eastAsia="宋体" w:hAnsi="宋体" w:cs="方正仿宋简体" w:hint="eastAsia"/>
                <w:iCs/>
                <w:sz w:val="21"/>
                <w:szCs w:val="21"/>
              </w:rPr>
              <w:t>日</w:t>
            </w:r>
          </w:p>
        </w:tc>
      </w:tr>
    </w:tbl>
    <w:p w14:paraId="2DF54300" w14:textId="77777777" w:rsidR="006F366F" w:rsidRPr="00A14942" w:rsidRDefault="006F366F" w:rsidP="00F50507">
      <w:pPr>
        <w:pStyle w:val="1"/>
      </w:pPr>
      <w:r w:rsidRPr="00A14942">
        <w:rPr>
          <w:rFonts w:hint="eastAsia"/>
        </w:rPr>
        <w:t>基金投资与净值表现</w:t>
      </w:r>
    </w:p>
    <w:p w14:paraId="351819E9" w14:textId="77777777" w:rsidR="00BC4EFB" w:rsidRPr="00F50507" w:rsidRDefault="00BC4EFB" w:rsidP="00F50507">
      <w:pPr>
        <w:pStyle w:val="2"/>
      </w:pPr>
      <w:r w:rsidRPr="00F50507">
        <w:rPr>
          <w:rFonts w:hint="eastAsia"/>
        </w:rPr>
        <w:t>投资目标与投资策略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rsidR="009C7B0A" w14:paraId="29CB49D4" w14:textId="77777777">
        <w:trPr>
          <w:trHeight w:val="340"/>
        </w:trPr>
        <w:tc>
          <w:tcPr>
            <w:tcW w:w="1757" w:type="dxa"/>
            <w:shd w:val="clear" w:color="auto" w:fill="auto"/>
            <w:vAlign w:val="center"/>
          </w:tcPr>
          <w:p w14:paraId="78A6E159" w14:textId="77777777" w:rsidR="009C7B0A" w:rsidRDefault="001C17B1">
            <w:pPr>
              <w:pStyle w:val="af4"/>
            </w:pPr>
            <w:r>
              <w:rPr>
                <w:rFonts w:hint="eastAsia"/>
              </w:rPr>
              <w:t>投资目标</w:t>
            </w:r>
          </w:p>
        </w:tc>
        <w:tc>
          <w:tcPr>
            <w:tcW w:w="7423" w:type="dxa"/>
            <w:shd w:val="clear" w:color="auto" w:fill="auto"/>
            <w:vAlign w:val="center"/>
          </w:tcPr>
          <w:p w14:paraId="35200E24" w14:textId="77777777" w:rsidR="009C7B0A" w:rsidRDefault="001C17B1">
            <w:pPr>
              <w:pStyle w:val="af4"/>
            </w:pPr>
            <w:r>
              <w:rPr>
                <w:rFonts w:hint="eastAsia"/>
              </w:rPr>
              <w:t>本基金主要投资于强势地区（区域经济发展较快、已经形成一定产群规模且居民购买力较强）具有较强竞争力、经营管理稳健、诚信、业绩优良的上市公司的股票。本基金遵循“风险调整后收益最大化”原则，通过“自上而下”的积极投资策略，在合理运用金融工程技术的基础上，动态调整投资组合比例，注重基金资产安全，谋求基金资产的长期稳定增值。</w:t>
            </w:r>
          </w:p>
        </w:tc>
      </w:tr>
      <w:tr w:rsidR="009C7B0A" w14:paraId="1B101E42" w14:textId="77777777">
        <w:trPr>
          <w:trHeight w:val="340"/>
        </w:trPr>
        <w:tc>
          <w:tcPr>
            <w:tcW w:w="1757" w:type="dxa"/>
            <w:shd w:val="clear" w:color="auto" w:fill="auto"/>
            <w:vAlign w:val="center"/>
          </w:tcPr>
          <w:p w14:paraId="76DC202E" w14:textId="77777777" w:rsidR="009C7B0A" w:rsidRDefault="001C17B1">
            <w:pPr>
              <w:pStyle w:val="af4"/>
            </w:pPr>
            <w:r>
              <w:rPr>
                <w:rFonts w:hint="eastAsia"/>
              </w:rPr>
              <w:t>投资范围</w:t>
            </w:r>
          </w:p>
        </w:tc>
        <w:tc>
          <w:tcPr>
            <w:tcW w:w="7423" w:type="dxa"/>
            <w:shd w:val="clear" w:color="auto" w:fill="auto"/>
            <w:vAlign w:val="center"/>
          </w:tcPr>
          <w:p w14:paraId="75CB8090" w14:textId="77777777" w:rsidR="009C7B0A" w:rsidRDefault="001C17B1">
            <w:pPr>
              <w:pStyle w:val="af4"/>
            </w:pPr>
            <w:r>
              <w:rPr>
                <w:rFonts w:hint="eastAsia"/>
              </w:rPr>
              <w:t>本基金投资范围为具有良好流动性的金融工具，包括国内依法公开发行、上市的股票、存托凭证、债券以及中国证监会允许基金投资的其它金融工具。其中债券包括国债、金融债、企业（公司）债（包括可转债）等。本基金投资组合中的股票及存托凭证投资比例浮动范围为：</w:t>
            </w:r>
            <w:r>
              <w:rPr>
                <w:rFonts w:hint="eastAsia"/>
              </w:rPr>
              <w:t>45%-95%</w:t>
            </w:r>
            <w:r>
              <w:rPr>
                <w:rFonts w:hint="eastAsia"/>
              </w:rPr>
              <w:t>；债券和短期金融工具的投资比例浮动范围为：</w:t>
            </w:r>
            <w:r>
              <w:rPr>
                <w:rFonts w:hint="eastAsia"/>
              </w:rPr>
              <w:t>5%-55%</w:t>
            </w:r>
            <w:r>
              <w:rPr>
                <w:rFonts w:hint="eastAsia"/>
              </w:rPr>
              <w:t>。投资于强势地区的股票及存托凭证比例不低于基金股票投资的</w:t>
            </w:r>
            <w:r>
              <w:rPr>
                <w:rFonts w:hint="eastAsia"/>
              </w:rPr>
              <w:t>80%</w:t>
            </w:r>
            <w:r>
              <w:rPr>
                <w:rFonts w:hint="eastAsia"/>
              </w:rPr>
              <w:t>。</w:t>
            </w:r>
          </w:p>
        </w:tc>
      </w:tr>
      <w:tr w:rsidR="009C7B0A" w14:paraId="2157E66E" w14:textId="77777777">
        <w:trPr>
          <w:trHeight w:val="340"/>
        </w:trPr>
        <w:tc>
          <w:tcPr>
            <w:tcW w:w="1757" w:type="dxa"/>
            <w:shd w:val="clear" w:color="auto" w:fill="auto"/>
            <w:vAlign w:val="center"/>
          </w:tcPr>
          <w:p w14:paraId="54658CE3" w14:textId="77777777" w:rsidR="009C7B0A" w:rsidRDefault="001C17B1">
            <w:pPr>
              <w:pStyle w:val="af4"/>
            </w:pPr>
            <w:r>
              <w:rPr>
                <w:rFonts w:hint="eastAsia"/>
              </w:rPr>
              <w:t>主要投资策略</w:t>
            </w:r>
          </w:p>
        </w:tc>
        <w:tc>
          <w:tcPr>
            <w:tcW w:w="7423" w:type="dxa"/>
            <w:shd w:val="clear" w:color="auto" w:fill="auto"/>
            <w:vAlign w:val="center"/>
          </w:tcPr>
          <w:p w14:paraId="56DAC22C" w14:textId="77777777" w:rsidR="009C7B0A" w:rsidRDefault="001C17B1">
            <w:pPr>
              <w:pStyle w:val="af4"/>
            </w:pPr>
            <w:r>
              <w:rPr>
                <w:rFonts w:hint="eastAsia"/>
              </w:rPr>
              <w:t>本基金主要投资于强势地区（区域经济发展较快、已经形成一定产群规模且居民购买力较强）具有较强竞争力、经营管理稳健、诚信、业</w:t>
            </w:r>
            <w:r>
              <w:rPr>
                <w:rFonts w:hint="eastAsia"/>
              </w:rPr>
              <w:t>绩优良的上市公司的股票。本基金主要采用“自上而下”的主动投资管理策略，在充分研判宏观经济状况、资本市场运行特征的前提下，以强势地区内单个证券的投资价值评判为核心，追求投资组合流动性、赢利性、安全性的中长期有效结合。本基金管理人借鉴外方股东加拿大蒙特利尔银行金融集团（</w:t>
            </w:r>
            <w:r>
              <w:rPr>
                <w:rFonts w:hint="eastAsia"/>
              </w:rPr>
              <w:t>BMO Financial Group</w:t>
            </w:r>
            <w:r>
              <w:rPr>
                <w:rFonts w:hint="eastAsia"/>
              </w:rPr>
              <w:t>）的投资管理经验及技能，根据国内市场的特征，应用“富国</w:t>
            </w:r>
            <w:r>
              <w:rPr>
                <w:rFonts w:hint="eastAsia"/>
              </w:rPr>
              <w:t>3S</w:t>
            </w:r>
            <w:r>
              <w:rPr>
                <w:rFonts w:hint="eastAsia"/>
              </w:rPr>
              <w:t>股票滤网系统（</w:t>
            </w:r>
            <w:r>
              <w:rPr>
                <w:rFonts w:hint="eastAsia"/>
              </w:rPr>
              <w:t>Stock Screening System</w:t>
            </w:r>
            <w:r>
              <w:rPr>
                <w:rFonts w:hint="eastAsia"/>
              </w:rPr>
              <w:t>）”，挖掘具有投资价值的股票。在债券投资方面，基金管理人将采用久期控制下的主动性投资策略。本</w:t>
            </w:r>
            <w:r>
              <w:rPr>
                <w:rFonts w:hint="eastAsia"/>
              </w:rPr>
              <w:t>基金将根据投资目标和股票投资策略，基于对基础证券投资价值的研究判断，进行存托凭证的投资。</w:t>
            </w:r>
          </w:p>
        </w:tc>
      </w:tr>
      <w:tr w:rsidR="009C7B0A" w14:paraId="02942020" w14:textId="77777777">
        <w:trPr>
          <w:trHeight w:val="340"/>
        </w:trPr>
        <w:tc>
          <w:tcPr>
            <w:tcW w:w="1757" w:type="dxa"/>
            <w:shd w:val="clear" w:color="auto" w:fill="auto"/>
            <w:vAlign w:val="center"/>
          </w:tcPr>
          <w:p w14:paraId="442FD8A3" w14:textId="77777777" w:rsidR="009C7B0A" w:rsidRDefault="001C17B1">
            <w:pPr>
              <w:pStyle w:val="af4"/>
            </w:pPr>
            <w:r>
              <w:rPr>
                <w:rFonts w:hint="eastAsia"/>
              </w:rPr>
              <w:t>业绩比较基准</w:t>
            </w:r>
          </w:p>
        </w:tc>
        <w:tc>
          <w:tcPr>
            <w:tcW w:w="7423" w:type="dxa"/>
            <w:shd w:val="clear" w:color="auto" w:fill="auto"/>
            <w:vAlign w:val="center"/>
          </w:tcPr>
          <w:p w14:paraId="7A96B469" w14:textId="77777777" w:rsidR="009C7B0A" w:rsidRDefault="001C17B1">
            <w:pPr>
              <w:pStyle w:val="af4"/>
            </w:pPr>
            <w:r>
              <w:rPr>
                <w:rFonts w:hint="eastAsia"/>
              </w:rPr>
              <w:t>上证</w:t>
            </w:r>
            <w:r>
              <w:rPr>
                <w:rFonts w:hint="eastAsia"/>
              </w:rPr>
              <w:t>A</w:t>
            </w:r>
            <w:r>
              <w:rPr>
                <w:rFonts w:hint="eastAsia"/>
              </w:rPr>
              <w:t>股指数收益率×</w:t>
            </w:r>
            <w:r>
              <w:rPr>
                <w:rFonts w:hint="eastAsia"/>
              </w:rPr>
              <w:t>70%</w:t>
            </w:r>
            <w:r>
              <w:rPr>
                <w:rFonts w:hint="eastAsia"/>
              </w:rPr>
              <w:t>＋上证国债指数收益率×</w:t>
            </w:r>
            <w:r>
              <w:rPr>
                <w:rFonts w:hint="eastAsia"/>
              </w:rPr>
              <w:t>25%</w:t>
            </w:r>
            <w:r>
              <w:rPr>
                <w:rFonts w:hint="eastAsia"/>
              </w:rPr>
              <w:t>＋同业存款利率×</w:t>
            </w:r>
            <w:r>
              <w:rPr>
                <w:rFonts w:hint="eastAsia"/>
              </w:rPr>
              <w:t>5%</w:t>
            </w:r>
          </w:p>
        </w:tc>
      </w:tr>
      <w:tr w:rsidR="009C7B0A" w14:paraId="67CD8BB9" w14:textId="77777777">
        <w:trPr>
          <w:trHeight w:val="340"/>
        </w:trPr>
        <w:tc>
          <w:tcPr>
            <w:tcW w:w="1757" w:type="dxa"/>
            <w:shd w:val="clear" w:color="auto" w:fill="auto"/>
            <w:vAlign w:val="center"/>
          </w:tcPr>
          <w:p w14:paraId="07A12865" w14:textId="77777777" w:rsidR="009C7B0A" w:rsidRDefault="001C17B1">
            <w:pPr>
              <w:pStyle w:val="af4"/>
            </w:pPr>
            <w:r>
              <w:rPr>
                <w:rFonts w:hint="eastAsia"/>
              </w:rPr>
              <w:t>风险收益特征</w:t>
            </w:r>
          </w:p>
        </w:tc>
        <w:tc>
          <w:tcPr>
            <w:tcW w:w="7423" w:type="dxa"/>
            <w:shd w:val="clear" w:color="auto" w:fill="auto"/>
            <w:vAlign w:val="center"/>
          </w:tcPr>
          <w:p w14:paraId="4C976A15" w14:textId="77777777" w:rsidR="009C7B0A" w:rsidRDefault="001C17B1">
            <w:pPr>
              <w:pStyle w:val="af4"/>
            </w:pPr>
            <w:r>
              <w:rPr>
                <w:rFonts w:hint="eastAsia"/>
              </w:rPr>
              <w:t>本基金是一只主动投资的混合型基金，主要投资于强势地区中定价合理且具有成长潜力的优质股票，属于中度风险的证券投资基金品种。本基金力争在严格控制风险的前提下谋求实现基金资产长期稳定增长，实现较高的超额收益。</w:t>
            </w:r>
          </w:p>
        </w:tc>
      </w:tr>
    </w:tbl>
    <w:p w14:paraId="53761C89" w14:textId="77777777" w:rsidR="00CA1E41" w:rsidRPr="00CA1E41" w:rsidRDefault="009548E7" w:rsidP="00CA1E4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注：详情请阅读《招募说明书》中“基金的投资”章节的相关内容。</w:t>
      </w:r>
    </w:p>
    <w:p w14:paraId="753195EC" w14:textId="77777777" w:rsidR="00DA42C1" w:rsidRDefault="00DA42C1" w:rsidP="00F50507">
      <w:pPr>
        <w:pStyle w:val="2"/>
      </w:pPr>
      <w:r w:rsidRPr="00A14942">
        <w:rPr>
          <w:rFonts w:hint="eastAsia"/>
        </w:rPr>
        <w:lastRenderedPageBreak/>
        <w:t>投资组合资产配置图表</w:t>
      </w:r>
    </w:p>
    <w:p w14:paraId="0A517CFE" w14:textId="77777777" w:rsidR="000675A4" w:rsidRDefault="000675A4" w:rsidP="00257D7C">
      <w:pPr>
        <w:adjustRightInd w:val="0"/>
        <w:snapToGrid w:val="0"/>
        <w:rPr>
          <w:rFonts w:ascii="宋体" w:eastAsia="宋体" w:hAnsi="宋体" w:cs="方正仿宋简体"/>
          <w:iCs/>
          <w:sz w:val="21"/>
          <w:szCs w:val="21"/>
        </w:rPr>
      </w:pPr>
      <w:r>
        <w:rPr>
          <w:noProof/>
        </w:rPr>
        <w:drawing>
          <wp:inline distT="0" distB="0" distL="0" distR="0" wp14:anchorId="31D509A5" wp14:editId="54DFD93B">
            <wp:extent cx="5943600" cy="3803904"/>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_50100000_100022_FA010080_20250016_01.jpg"/>
                    <pic:cNvPicPr/>
                  </pic:nvPicPr>
                  <pic:blipFill>
                    <a:blip r:embed="rId7" cstate="print"/>
                    <a:stretch>
                      <a:fillRect/>
                    </a:stretch>
                  </pic:blipFill>
                  <pic:spPr>
                    <a:xfrm>
                      <a:off x="0" y="0"/>
                      <a:ext cx="5943600" cy="3803904"/>
                    </a:xfrm>
                    <a:prstGeom prst="rect">
                      <a:avLst/>
                    </a:prstGeom>
                  </pic:spPr>
                </pic:pic>
              </a:graphicData>
            </a:graphic>
          </wp:inline>
        </w:drawing>
      </w:r>
    </w:p>
    <w:p w14:paraId="7334D24B" w14:textId="77777777" w:rsidR="000675A4" w:rsidRDefault="000675A4" w:rsidP="00257D7C">
      <w:pPr>
        <w:adjustRightInd w:val="0"/>
        <w:snapToGrid w:val="0"/>
        <w:rPr>
          <w:rFonts w:ascii="宋体" w:eastAsia="宋体" w:hAnsi="宋体" w:cs="方正仿宋简体"/>
          <w:iCs/>
          <w:sz w:val="21"/>
          <w:szCs w:val="21"/>
        </w:rPr>
      </w:pPr>
    </w:p>
    <w:p w14:paraId="4C748606" w14:textId="77777777" w:rsidR="009C7B0A" w:rsidRDefault="001C17B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注：截止日期</w:t>
      </w:r>
      <w:r>
        <w:rPr>
          <w:rFonts w:ascii="宋体" w:eastAsia="宋体" w:hAnsi="宋体" w:cs="方正仿宋简体" w:hint="eastAsia"/>
          <w:iCs/>
          <w:sz w:val="21"/>
          <w:szCs w:val="21"/>
        </w:rPr>
        <w:t>2025</w:t>
      </w:r>
      <w:r>
        <w:rPr>
          <w:rFonts w:ascii="宋体" w:eastAsia="宋体" w:hAnsi="宋体" w:cs="方正仿宋简体" w:hint="eastAsia"/>
          <w:iCs/>
          <w:sz w:val="21"/>
          <w:szCs w:val="21"/>
        </w:rPr>
        <w:t>年</w:t>
      </w:r>
      <w:r>
        <w:rPr>
          <w:rFonts w:ascii="宋体" w:eastAsia="宋体" w:hAnsi="宋体" w:cs="方正仿宋简体" w:hint="eastAsia"/>
          <w:iCs/>
          <w:sz w:val="21"/>
          <w:szCs w:val="21"/>
        </w:rPr>
        <w:t>09</w:t>
      </w:r>
      <w:r>
        <w:rPr>
          <w:rFonts w:ascii="宋体" w:eastAsia="宋体" w:hAnsi="宋体" w:cs="方正仿宋简体" w:hint="eastAsia"/>
          <w:iCs/>
          <w:sz w:val="21"/>
          <w:szCs w:val="21"/>
        </w:rPr>
        <w:t>月</w:t>
      </w:r>
      <w:r>
        <w:rPr>
          <w:rFonts w:ascii="宋体" w:eastAsia="宋体" w:hAnsi="宋体" w:cs="方正仿宋简体" w:hint="eastAsia"/>
          <w:iCs/>
          <w:sz w:val="21"/>
          <w:szCs w:val="21"/>
        </w:rPr>
        <w:t>30</w:t>
      </w:r>
      <w:r>
        <w:rPr>
          <w:rFonts w:ascii="宋体" w:eastAsia="宋体" w:hAnsi="宋体" w:cs="方正仿宋简体" w:hint="eastAsia"/>
          <w:iCs/>
          <w:sz w:val="21"/>
          <w:szCs w:val="21"/>
        </w:rPr>
        <w:t>日。</w:t>
      </w:r>
    </w:p>
    <w:p w14:paraId="2D467AE8" w14:textId="77777777" w:rsidR="006F366F" w:rsidRPr="00A14942" w:rsidRDefault="006F366F" w:rsidP="00F50507">
      <w:pPr>
        <w:pStyle w:val="1"/>
      </w:pPr>
      <w:r w:rsidRPr="00A14942">
        <w:rPr>
          <w:rFonts w:hint="eastAsia"/>
        </w:rPr>
        <w:t>投资本基金涉及的费用</w:t>
      </w:r>
    </w:p>
    <w:p w14:paraId="03E5F140" w14:textId="77777777" w:rsidR="00D5603D" w:rsidRPr="00645219" w:rsidRDefault="00A535E9" w:rsidP="00F50507">
      <w:pPr>
        <w:pStyle w:val="2"/>
      </w:pPr>
      <w:r w:rsidRPr="00645219">
        <w:rPr>
          <w:rFonts w:hint="eastAsia"/>
        </w:rPr>
        <w:t>基金销售相关费用</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rsidR="000675A4" w:rsidRPr="000675A4" w14:paraId="27A1F14D" w14:textId="77777777" w:rsidTr="00BA5426">
        <w:trPr>
          <w:trHeight w:val="340"/>
        </w:trPr>
        <w:tc>
          <w:tcPr>
            <w:tcW w:w="1092" w:type="pct"/>
            <w:shd w:val="clear" w:color="auto" w:fill="auto"/>
            <w:vAlign w:val="center"/>
          </w:tcPr>
          <w:p w14:paraId="2764C4FF" w14:textId="77777777"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费用类型</w:t>
            </w:r>
          </w:p>
        </w:tc>
        <w:tc>
          <w:tcPr>
            <w:tcW w:w="1659" w:type="pct"/>
            <w:shd w:val="clear" w:color="auto" w:fill="auto"/>
            <w:vAlign w:val="center"/>
          </w:tcPr>
          <w:p w14:paraId="5FE62C92" w14:textId="77777777"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金额（M）/持有期限（N）</w:t>
            </w:r>
          </w:p>
        </w:tc>
        <w:tc>
          <w:tcPr>
            <w:tcW w:w="1125" w:type="pct"/>
            <w:shd w:val="clear" w:color="auto" w:fill="auto"/>
            <w:vAlign w:val="center"/>
          </w:tcPr>
          <w:p w14:paraId="1C48D740" w14:textId="77777777"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费率（普通客户）</w:t>
            </w:r>
          </w:p>
        </w:tc>
        <w:tc>
          <w:tcPr>
            <w:tcW w:w="1124" w:type="pct"/>
            <w:shd w:val="clear" w:color="auto" w:fill="auto"/>
            <w:vAlign w:val="center"/>
          </w:tcPr>
          <w:p w14:paraId="31766F8B" w14:textId="77777777"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费率（特定客户）</w:t>
            </w:r>
          </w:p>
        </w:tc>
      </w:tr>
      <w:tr w:rsidR="009C7B0A" w14:paraId="056CF6F3" w14:textId="77777777">
        <w:trPr>
          <w:trHeight w:val="340"/>
        </w:trPr>
        <w:tc>
          <w:tcPr>
            <w:tcW w:w="1092" w:type="pct"/>
            <w:vMerge w:val="restart"/>
            <w:shd w:val="clear" w:color="auto" w:fill="auto"/>
            <w:vAlign w:val="center"/>
          </w:tcPr>
          <w:p w14:paraId="0AB2ED98" w14:textId="77777777" w:rsidR="009C7B0A" w:rsidRDefault="001C17B1">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赎回费</w:t>
            </w:r>
          </w:p>
        </w:tc>
        <w:tc>
          <w:tcPr>
            <w:tcW w:w="1659" w:type="pct"/>
            <w:shd w:val="clear" w:color="auto" w:fill="auto"/>
            <w:vAlign w:val="center"/>
          </w:tcPr>
          <w:p w14:paraId="0D5192CC" w14:textId="77777777" w:rsidR="009C7B0A" w:rsidRDefault="001C17B1">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w:t>
            </w:r>
            <w:r>
              <w:rPr>
                <w:rFonts w:ascii="宋体" w:eastAsia="宋体" w:hAnsi="宋体" w:cs="方正仿宋简体"/>
                <w:iCs/>
                <w:sz w:val="21"/>
                <w:szCs w:val="21"/>
              </w:rPr>
              <w:t>＜</w:t>
            </w:r>
            <w:r>
              <w:rPr>
                <w:rFonts w:ascii="宋体" w:eastAsia="宋体" w:hAnsi="宋体" w:cs="方正仿宋简体"/>
                <w:iCs/>
                <w:sz w:val="21"/>
                <w:szCs w:val="21"/>
              </w:rPr>
              <w:t>7</w:t>
            </w:r>
            <w:r>
              <w:rPr>
                <w:rFonts w:ascii="宋体" w:eastAsia="宋体" w:hAnsi="宋体" w:cs="方正仿宋简体"/>
                <w:iCs/>
                <w:sz w:val="21"/>
                <w:szCs w:val="21"/>
              </w:rPr>
              <w:t>天</w:t>
            </w:r>
          </w:p>
        </w:tc>
        <w:tc>
          <w:tcPr>
            <w:tcW w:w="2249" w:type="pct"/>
            <w:gridSpan w:val="2"/>
            <w:shd w:val="clear" w:color="auto" w:fill="auto"/>
            <w:vAlign w:val="center"/>
          </w:tcPr>
          <w:p w14:paraId="0D7966E4" w14:textId="77777777" w:rsidR="009C7B0A" w:rsidRDefault="001C17B1">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1.5%</w:t>
            </w:r>
          </w:p>
        </w:tc>
      </w:tr>
      <w:tr w:rsidR="009C7B0A" w14:paraId="0F4C12C8" w14:textId="77777777">
        <w:trPr>
          <w:trHeight w:val="340"/>
        </w:trPr>
        <w:tc>
          <w:tcPr>
            <w:tcW w:w="1092" w:type="pct"/>
            <w:vMerge/>
            <w:shd w:val="clear" w:color="auto" w:fill="auto"/>
            <w:vAlign w:val="center"/>
          </w:tcPr>
          <w:p w14:paraId="404A6BA5" w14:textId="77777777" w:rsidR="009C7B0A" w:rsidRDefault="009C7B0A">
            <w:pPr>
              <w:adjustRightInd w:val="0"/>
              <w:snapToGrid w:val="0"/>
              <w:jc w:val="center"/>
              <w:rPr>
                <w:rFonts w:ascii="宋体" w:eastAsia="宋体" w:hAnsi="宋体" w:cs="方正仿宋简体"/>
                <w:iCs/>
                <w:sz w:val="21"/>
                <w:szCs w:val="21"/>
              </w:rPr>
            </w:pPr>
          </w:p>
        </w:tc>
        <w:tc>
          <w:tcPr>
            <w:tcW w:w="1659" w:type="pct"/>
            <w:shd w:val="clear" w:color="auto" w:fill="auto"/>
            <w:vAlign w:val="center"/>
          </w:tcPr>
          <w:p w14:paraId="02106898" w14:textId="77777777" w:rsidR="009C7B0A" w:rsidRDefault="001C17B1">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7≤N</w:t>
            </w:r>
            <w:r>
              <w:rPr>
                <w:rFonts w:ascii="宋体" w:eastAsia="宋体" w:hAnsi="宋体" w:cs="方正仿宋简体"/>
                <w:iCs/>
                <w:sz w:val="21"/>
                <w:szCs w:val="21"/>
              </w:rPr>
              <w:t>＜</w:t>
            </w:r>
            <w:r>
              <w:rPr>
                <w:rFonts w:ascii="宋体" w:eastAsia="宋体" w:hAnsi="宋体" w:cs="方正仿宋简体"/>
                <w:iCs/>
                <w:sz w:val="21"/>
                <w:szCs w:val="21"/>
              </w:rPr>
              <w:t>30</w:t>
            </w:r>
            <w:r>
              <w:rPr>
                <w:rFonts w:ascii="宋体" w:eastAsia="宋体" w:hAnsi="宋体" w:cs="方正仿宋简体"/>
                <w:iCs/>
                <w:sz w:val="21"/>
                <w:szCs w:val="21"/>
              </w:rPr>
              <w:t>天</w:t>
            </w:r>
          </w:p>
        </w:tc>
        <w:tc>
          <w:tcPr>
            <w:tcW w:w="2249" w:type="pct"/>
            <w:gridSpan w:val="2"/>
            <w:shd w:val="clear" w:color="auto" w:fill="auto"/>
            <w:vAlign w:val="center"/>
          </w:tcPr>
          <w:p w14:paraId="4A8945EB" w14:textId="77777777" w:rsidR="009C7B0A" w:rsidRDefault="001C17B1">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0.5%</w:t>
            </w:r>
          </w:p>
        </w:tc>
      </w:tr>
      <w:tr w:rsidR="009C7B0A" w14:paraId="501C96C3" w14:textId="77777777">
        <w:trPr>
          <w:trHeight w:val="340"/>
        </w:trPr>
        <w:tc>
          <w:tcPr>
            <w:tcW w:w="1092" w:type="pct"/>
            <w:vMerge/>
            <w:shd w:val="clear" w:color="auto" w:fill="auto"/>
            <w:vAlign w:val="center"/>
          </w:tcPr>
          <w:p w14:paraId="747934EE" w14:textId="77777777" w:rsidR="009C7B0A" w:rsidRDefault="009C7B0A">
            <w:pPr>
              <w:adjustRightInd w:val="0"/>
              <w:snapToGrid w:val="0"/>
              <w:jc w:val="center"/>
              <w:rPr>
                <w:rFonts w:ascii="宋体" w:eastAsia="宋体" w:hAnsi="宋体" w:cs="方正仿宋简体"/>
                <w:iCs/>
                <w:sz w:val="21"/>
                <w:szCs w:val="21"/>
              </w:rPr>
            </w:pPr>
          </w:p>
        </w:tc>
        <w:tc>
          <w:tcPr>
            <w:tcW w:w="1659" w:type="pct"/>
            <w:shd w:val="clear" w:color="auto" w:fill="auto"/>
            <w:vAlign w:val="center"/>
          </w:tcPr>
          <w:p w14:paraId="68F08A17" w14:textId="77777777" w:rsidR="009C7B0A" w:rsidRDefault="001C17B1">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N≥30</w:t>
            </w:r>
            <w:r>
              <w:rPr>
                <w:rFonts w:ascii="宋体" w:eastAsia="宋体" w:hAnsi="宋体" w:cs="方正仿宋简体"/>
                <w:iCs/>
                <w:sz w:val="21"/>
                <w:szCs w:val="21"/>
              </w:rPr>
              <w:t>天</w:t>
            </w:r>
          </w:p>
        </w:tc>
        <w:tc>
          <w:tcPr>
            <w:tcW w:w="2249" w:type="pct"/>
            <w:gridSpan w:val="2"/>
            <w:shd w:val="clear" w:color="auto" w:fill="auto"/>
            <w:vAlign w:val="center"/>
          </w:tcPr>
          <w:p w14:paraId="6EEE8977" w14:textId="77777777" w:rsidR="009C7B0A" w:rsidRDefault="001C17B1">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w:t>
            </w:r>
          </w:p>
        </w:tc>
      </w:tr>
    </w:tbl>
    <w:p w14:paraId="73D08C7B" w14:textId="77777777" w:rsidR="009C7B0A" w:rsidRDefault="001C17B1">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注：本基金</w:t>
      </w:r>
      <w:r>
        <w:rPr>
          <w:rFonts w:ascii="宋体" w:eastAsia="宋体" w:hAnsi="宋体" w:cs="方正仿宋简体"/>
          <w:iCs/>
          <w:sz w:val="21"/>
          <w:szCs w:val="21"/>
        </w:rPr>
        <w:t>C</w:t>
      </w:r>
      <w:r>
        <w:rPr>
          <w:rFonts w:ascii="宋体" w:eastAsia="宋体" w:hAnsi="宋体" w:cs="方正仿宋简体"/>
          <w:iCs/>
          <w:sz w:val="21"/>
          <w:szCs w:val="21"/>
        </w:rPr>
        <w:t>类基金份额不收取申购费用，赎回费用在投资者赎回基金过程中收取，具体请见《招募说明书》相关内容。</w:t>
      </w:r>
    </w:p>
    <w:p w14:paraId="22AA3C21" w14:textId="77777777" w:rsidR="00956AC1" w:rsidRDefault="00A535E9" w:rsidP="00F50507">
      <w:pPr>
        <w:pStyle w:val="2"/>
      </w:pPr>
      <w:r w:rsidRPr="00A14942">
        <w:rPr>
          <w:rFonts w:hint="eastAsia"/>
        </w:rPr>
        <w:t>基金运作相关费用</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0"/>
        <w:gridCol w:w="4835"/>
        <w:gridCol w:w="2155"/>
      </w:tblGrid>
      <w:tr w:rsidR="009C7B0A" w14:paraId="74356B79" w14:textId="77777777">
        <w:tc>
          <w:tcPr>
            <w:tcW w:w="1984" w:type="dxa"/>
            <w:shd w:val="clear" w:color="auto" w:fill="auto"/>
            <w:vAlign w:val="center"/>
          </w:tcPr>
          <w:p w14:paraId="77D171C3" w14:textId="77777777" w:rsidR="009C7B0A" w:rsidRDefault="001C17B1">
            <w:pPr>
              <w:adjustRightInd w:val="0"/>
              <w:snapToGrid w:val="0"/>
              <w:spacing w:beforeLines="10" w:before="43" w:line="264" w:lineRule="auto"/>
              <w:jc w:val="center"/>
              <w:rPr>
                <w:rFonts w:ascii="宋体" w:eastAsia="宋体" w:hAnsi="宋体"/>
                <w:sz w:val="21"/>
              </w:rPr>
            </w:pPr>
            <w:r>
              <w:rPr>
                <w:rFonts w:ascii="宋体" w:eastAsia="宋体" w:hAnsi="宋体"/>
                <w:sz w:val="21"/>
              </w:rPr>
              <w:t>费用类别</w:t>
            </w:r>
          </w:p>
        </w:tc>
        <w:tc>
          <w:tcPr>
            <w:tcW w:w="4707" w:type="dxa"/>
            <w:shd w:val="clear" w:color="auto" w:fill="auto"/>
            <w:vAlign w:val="center"/>
          </w:tcPr>
          <w:p w14:paraId="39063363" w14:textId="77777777" w:rsidR="009C7B0A" w:rsidRDefault="001C17B1">
            <w:pPr>
              <w:adjustRightInd w:val="0"/>
              <w:snapToGrid w:val="0"/>
              <w:spacing w:beforeLines="10" w:before="43" w:line="264" w:lineRule="auto"/>
              <w:jc w:val="center"/>
              <w:rPr>
                <w:rFonts w:ascii="宋体" w:eastAsia="宋体" w:hAnsi="宋体"/>
                <w:sz w:val="21"/>
              </w:rPr>
            </w:pPr>
            <w:r>
              <w:rPr>
                <w:rFonts w:ascii="宋体" w:eastAsia="宋体" w:hAnsi="宋体"/>
                <w:sz w:val="21"/>
              </w:rPr>
              <w:t>年费率</w:t>
            </w:r>
            <w:r>
              <w:rPr>
                <w:rFonts w:ascii="宋体" w:eastAsia="宋体" w:hAnsi="宋体"/>
                <w:sz w:val="21"/>
              </w:rPr>
              <w:t>/</w:t>
            </w:r>
            <w:r>
              <w:rPr>
                <w:rFonts w:ascii="宋体" w:eastAsia="宋体" w:hAnsi="宋体"/>
                <w:sz w:val="21"/>
              </w:rPr>
              <w:t>收费方式</w:t>
            </w:r>
          </w:p>
        </w:tc>
        <w:tc>
          <w:tcPr>
            <w:tcW w:w="2098" w:type="dxa"/>
            <w:shd w:val="clear" w:color="auto" w:fill="auto"/>
            <w:vAlign w:val="center"/>
          </w:tcPr>
          <w:p w14:paraId="3DEE2605" w14:textId="77777777" w:rsidR="009C7B0A" w:rsidRDefault="001C17B1">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收取方</w:t>
            </w:r>
          </w:p>
        </w:tc>
      </w:tr>
      <w:tr w:rsidR="009C7B0A" w14:paraId="45F3D890" w14:textId="77777777">
        <w:tc>
          <w:tcPr>
            <w:tcW w:w="1984" w:type="dxa"/>
            <w:shd w:val="clear" w:color="auto" w:fill="auto"/>
            <w:vAlign w:val="center"/>
          </w:tcPr>
          <w:p w14:paraId="4069031C" w14:textId="77777777" w:rsidR="009C7B0A" w:rsidRDefault="001C17B1">
            <w:pPr>
              <w:adjustRightInd w:val="0"/>
              <w:snapToGrid w:val="0"/>
              <w:spacing w:beforeLines="10" w:before="43" w:line="264" w:lineRule="auto"/>
              <w:jc w:val="center"/>
              <w:rPr>
                <w:rFonts w:ascii="宋体" w:eastAsia="宋体" w:hAnsi="宋体"/>
                <w:sz w:val="21"/>
              </w:rPr>
            </w:pPr>
            <w:r>
              <w:rPr>
                <w:rFonts w:ascii="宋体" w:eastAsia="宋体" w:hAnsi="宋体"/>
                <w:sz w:val="21"/>
              </w:rPr>
              <w:t>管理费</w:t>
            </w:r>
          </w:p>
        </w:tc>
        <w:tc>
          <w:tcPr>
            <w:tcW w:w="4707" w:type="dxa"/>
            <w:shd w:val="clear" w:color="auto" w:fill="auto"/>
            <w:vAlign w:val="center"/>
          </w:tcPr>
          <w:p w14:paraId="17A91048" w14:textId="77777777" w:rsidR="009C7B0A" w:rsidRDefault="001C17B1">
            <w:pPr>
              <w:adjustRightInd w:val="0"/>
              <w:snapToGrid w:val="0"/>
              <w:spacing w:beforeLines="10" w:before="43" w:line="264" w:lineRule="auto"/>
              <w:rPr>
                <w:rFonts w:ascii="宋体" w:eastAsia="宋体" w:hAnsi="宋体"/>
                <w:sz w:val="21"/>
              </w:rPr>
            </w:pPr>
            <w:r>
              <w:rPr>
                <w:rFonts w:ascii="宋体" w:eastAsia="宋体" w:hAnsi="宋体" w:hint="eastAsia"/>
                <w:sz w:val="21"/>
              </w:rPr>
              <w:t>1.20%</w:t>
            </w:r>
          </w:p>
        </w:tc>
        <w:tc>
          <w:tcPr>
            <w:tcW w:w="2098" w:type="dxa"/>
            <w:shd w:val="clear" w:color="auto" w:fill="auto"/>
            <w:vAlign w:val="center"/>
          </w:tcPr>
          <w:p w14:paraId="4BE25C18" w14:textId="77777777" w:rsidR="009C7B0A" w:rsidRDefault="001C17B1">
            <w:pPr>
              <w:adjustRightInd w:val="0"/>
              <w:snapToGrid w:val="0"/>
              <w:spacing w:beforeLines="10" w:before="43" w:line="264" w:lineRule="auto"/>
              <w:rPr>
                <w:rFonts w:ascii="宋体" w:eastAsia="宋体" w:hAnsi="宋体"/>
                <w:sz w:val="21"/>
              </w:rPr>
            </w:pPr>
            <w:r>
              <w:rPr>
                <w:rFonts w:ascii="宋体" w:eastAsia="宋体" w:hAnsi="宋体" w:hint="eastAsia"/>
                <w:sz w:val="21"/>
              </w:rPr>
              <w:t>基金管理人、销售机构</w:t>
            </w:r>
          </w:p>
        </w:tc>
      </w:tr>
      <w:tr w:rsidR="009C7B0A" w14:paraId="4A153CED" w14:textId="77777777">
        <w:tc>
          <w:tcPr>
            <w:tcW w:w="1984" w:type="dxa"/>
            <w:shd w:val="clear" w:color="auto" w:fill="auto"/>
            <w:vAlign w:val="center"/>
          </w:tcPr>
          <w:p w14:paraId="36C7EFF8" w14:textId="77777777" w:rsidR="009C7B0A" w:rsidRDefault="001C17B1">
            <w:pPr>
              <w:adjustRightInd w:val="0"/>
              <w:snapToGrid w:val="0"/>
              <w:spacing w:beforeLines="10" w:before="43" w:line="264" w:lineRule="auto"/>
              <w:jc w:val="center"/>
              <w:rPr>
                <w:rFonts w:ascii="宋体" w:eastAsia="宋体" w:hAnsi="宋体"/>
                <w:sz w:val="21"/>
              </w:rPr>
            </w:pPr>
            <w:r>
              <w:rPr>
                <w:rFonts w:ascii="宋体" w:eastAsia="宋体" w:hAnsi="宋体"/>
                <w:sz w:val="21"/>
              </w:rPr>
              <w:t>托管费</w:t>
            </w:r>
          </w:p>
        </w:tc>
        <w:tc>
          <w:tcPr>
            <w:tcW w:w="4707" w:type="dxa"/>
            <w:shd w:val="clear" w:color="auto" w:fill="auto"/>
            <w:vAlign w:val="center"/>
          </w:tcPr>
          <w:p w14:paraId="2F4DC6E6" w14:textId="77777777" w:rsidR="009C7B0A" w:rsidRDefault="001C17B1">
            <w:pPr>
              <w:adjustRightInd w:val="0"/>
              <w:snapToGrid w:val="0"/>
              <w:spacing w:beforeLines="10" w:before="43" w:line="264" w:lineRule="auto"/>
              <w:rPr>
                <w:rFonts w:ascii="宋体" w:eastAsia="宋体" w:hAnsi="宋体"/>
                <w:sz w:val="21"/>
              </w:rPr>
            </w:pPr>
            <w:r>
              <w:rPr>
                <w:rFonts w:ascii="宋体" w:eastAsia="宋体" w:hAnsi="宋体" w:hint="eastAsia"/>
                <w:sz w:val="21"/>
              </w:rPr>
              <w:t>0.20%</w:t>
            </w:r>
          </w:p>
        </w:tc>
        <w:tc>
          <w:tcPr>
            <w:tcW w:w="2098" w:type="dxa"/>
            <w:shd w:val="clear" w:color="auto" w:fill="auto"/>
            <w:vAlign w:val="center"/>
          </w:tcPr>
          <w:p w14:paraId="55D43C2C" w14:textId="77777777" w:rsidR="009C7B0A" w:rsidRDefault="001C17B1">
            <w:pPr>
              <w:adjustRightInd w:val="0"/>
              <w:snapToGrid w:val="0"/>
              <w:spacing w:beforeLines="10" w:before="43" w:line="264" w:lineRule="auto"/>
              <w:rPr>
                <w:rFonts w:ascii="宋体" w:eastAsia="宋体" w:hAnsi="宋体"/>
                <w:sz w:val="21"/>
              </w:rPr>
            </w:pPr>
            <w:r>
              <w:rPr>
                <w:rFonts w:ascii="宋体" w:eastAsia="宋体" w:hAnsi="宋体" w:hint="eastAsia"/>
                <w:sz w:val="21"/>
              </w:rPr>
              <w:t>基金托管人</w:t>
            </w:r>
          </w:p>
        </w:tc>
      </w:tr>
      <w:tr w:rsidR="009C7B0A" w14:paraId="43E19488" w14:textId="77777777">
        <w:tc>
          <w:tcPr>
            <w:tcW w:w="2054" w:type="dxa"/>
          </w:tcPr>
          <w:p w14:paraId="2BCF1AE1" w14:textId="77777777" w:rsidR="009C7B0A" w:rsidRDefault="001C17B1">
            <w:pPr>
              <w:adjustRightInd w:val="0"/>
              <w:snapToGrid w:val="0"/>
              <w:spacing w:beforeLines="10" w:before="43" w:line="264" w:lineRule="auto"/>
              <w:jc w:val="center"/>
            </w:pPr>
            <w:r>
              <w:rPr>
                <w:rFonts w:ascii="宋体" w:eastAsia="宋体" w:hAnsi="宋体"/>
                <w:sz w:val="21"/>
              </w:rPr>
              <w:t>销售服务费</w:t>
            </w:r>
          </w:p>
        </w:tc>
        <w:tc>
          <w:tcPr>
            <w:tcW w:w="4707" w:type="dxa"/>
            <w:shd w:val="clear" w:color="auto" w:fill="auto"/>
            <w:vAlign w:val="center"/>
          </w:tcPr>
          <w:p w14:paraId="4346E7DB" w14:textId="77777777" w:rsidR="009C7B0A" w:rsidRDefault="001C17B1">
            <w:pPr>
              <w:adjustRightInd w:val="0"/>
              <w:snapToGrid w:val="0"/>
              <w:spacing w:beforeLines="10" w:before="43" w:line="264" w:lineRule="auto"/>
              <w:rPr>
                <w:rFonts w:ascii="宋体" w:eastAsia="宋体" w:hAnsi="宋体"/>
                <w:sz w:val="21"/>
              </w:rPr>
            </w:pPr>
            <w:r>
              <w:rPr>
                <w:rFonts w:ascii="宋体" w:eastAsia="宋体" w:hAnsi="宋体" w:hint="eastAsia"/>
                <w:sz w:val="21"/>
              </w:rPr>
              <w:t>0.40%</w:t>
            </w:r>
          </w:p>
        </w:tc>
        <w:tc>
          <w:tcPr>
            <w:tcW w:w="2098" w:type="dxa"/>
            <w:shd w:val="clear" w:color="auto" w:fill="auto"/>
            <w:vAlign w:val="center"/>
          </w:tcPr>
          <w:p w14:paraId="1239864B" w14:textId="77777777" w:rsidR="009C7B0A" w:rsidRDefault="001C17B1">
            <w:pPr>
              <w:adjustRightInd w:val="0"/>
              <w:snapToGrid w:val="0"/>
              <w:spacing w:beforeLines="10" w:before="43" w:line="264" w:lineRule="auto"/>
              <w:rPr>
                <w:rFonts w:ascii="宋体" w:eastAsia="宋体" w:hAnsi="宋体"/>
                <w:sz w:val="21"/>
              </w:rPr>
            </w:pPr>
            <w:r>
              <w:rPr>
                <w:rFonts w:ascii="宋体" w:eastAsia="宋体" w:hAnsi="宋体" w:hint="eastAsia"/>
                <w:sz w:val="21"/>
              </w:rPr>
              <w:t>销售机构</w:t>
            </w:r>
          </w:p>
        </w:tc>
      </w:tr>
      <w:tr w:rsidR="009C7B0A" w14:paraId="5890E88C" w14:textId="77777777">
        <w:tc>
          <w:tcPr>
            <w:tcW w:w="1984" w:type="dxa"/>
            <w:shd w:val="clear" w:color="auto" w:fill="auto"/>
            <w:vAlign w:val="center"/>
          </w:tcPr>
          <w:p w14:paraId="400C0278" w14:textId="77777777" w:rsidR="009C7B0A" w:rsidRDefault="001C17B1">
            <w:pPr>
              <w:pStyle w:val="af4"/>
              <w:spacing w:beforeLines="10" w:before="43" w:line="264" w:lineRule="auto"/>
              <w:contextualSpacing w:val="0"/>
              <w:jc w:val="center"/>
              <w:rPr>
                <w:szCs w:val="21"/>
              </w:rPr>
            </w:pPr>
            <w:r>
              <w:rPr>
                <w:szCs w:val="21"/>
              </w:rPr>
              <w:t>审计费用</w:t>
            </w:r>
          </w:p>
        </w:tc>
        <w:tc>
          <w:tcPr>
            <w:tcW w:w="4707" w:type="dxa"/>
            <w:shd w:val="clear" w:color="auto" w:fill="auto"/>
            <w:vAlign w:val="center"/>
          </w:tcPr>
          <w:p w14:paraId="27C78000" w14:textId="77777777" w:rsidR="009C7B0A" w:rsidRDefault="001C17B1">
            <w:pPr>
              <w:pStyle w:val="af4"/>
              <w:spacing w:beforeLines="10" w:before="43" w:line="264" w:lineRule="auto"/>
              <w:contextualSpacing w:val="0"/>
              <w:rPr>
                <w:szCs w:val="21"/>
              </w:rPr>
            </w:pPr>
            <w:r>
              <w:rPr>
                <w:rFonts w:hint="eastAsia"/>
                <w:szCs w:val="21"/>
              </w:rPr>
              <w:t>55,000.00</w:t>
            </w:r>
            <w:r>
              <w:rPr>
                <w:rFonts w:hint="eastAsia"/>
                <w:szCs w:val="21"/>
              </w:rPr>
              <w:t>元</w:t>
            </w:r>
            <w:r>
              <w:rPr>
                <w:rFonts w:hint="eastAsia"/>
                <w:szCs w:val="21"/>
              </w:rPr>
              <w:t>/</w:t>
            </w:r>
            <w:r>
              <w:rPr>
                <w:rFonts w:hint="eastAsia"/>
                <w:szCs w:val="21"/>
              </w:rPr>
              <w:t>年</w:t>
            </w:r>
          </w:p>
        </w:tc>
        <w:tc>
          <w:tcPr>
            <w:tcW w:w="2098" w:type="dxa"/>
            <w:shd w:val="clear" w:color="auto" w:fill="auto"/>
          </w:tcPr>
          <w:p w14:paraId="2B8641A4" w14:textId="77777777" w:rsidR="009C7B0A" w:rsidRDefault="001C17B1">
            <w:pPr>
              <w:pStyle w:val="af4"/>
              <w:spacing w:beforeLines="10" w:before="43" w:line="264" w:lineRule="auto"/>
              <w:contextualSpacing w:val="0"/>
              <w:jc w:val="left"/>
              <w:rPr>
                <w:szCs w:val="21"/>
              </w:rPr>
            </w:pPr>
            <w:r>
              <w:rPr>
                <w:rFonts w:hint="eastAsia"/>
                <w:szCs w:val="21"/>
              </w:rPr>
              <w:t>会计师事务所</w:t>
            </w:r>
          </w:p>
        </w:tc>
      </w:tr>
      <w:tr w:rsidR="009C7B0A" w14:paraId="20D29A45" w14:textId="77777777">
        <w:tc>
          <w:tcPr>
            <w:tcW w:w="1984" w:type="dxa"/>
            <w:shd w:val="clear" w:color="auto" w:fill="auto"/>
            <w:vAlign w:val="center"/>
          </w:tcPr>
          <w:p w14:paraId="4A3636FF" w14:textId="77777777" w:rsidR="009C7B0A" w:rsidRDefault="001C17B1">
            <w:pPr>
              <w:pStyle w:val="af4"/>
              <w:spacing w:beforeLines="10" w:before="43" w:line="264" w:lineRule="auto"/>
              <w:contextualSpacing w:val="0"/>
              <w:jc w:val="center"/>
              <w:rPr>
                <w:szCs w:val="21"/>
              </w:rPr>
            </w:pPr>
            <w:r>
              <w:rPr>
                <w:rFonts w:ascii="方正仿宋简体" w:hAnsi="方正仿宋简体" w:cs="方正仿宋简体" w:hint="eastAsia"/>
                <w:iCs/>
                <w:szCs w:val="21"/>
              </w:rPr>
              <w:t>信息披露费</w:t>
            </w:r>
          </w:p>
        </w:tc>
        <w:tc>
          <w:tcPr>
            <w:tcW w:w="4707" w:type="dxa"/>
            <w:shd w:val="clear" w:color="auto" w:fill="auto"/>
            <w:vAlign w:val="center"/>
          </w:tcPr>
          <w:p w14:paraId="1CE8C34F" w14:textId="77777777" w:rsidR="009C7B0A" w:rsidRDefault="001C17B1">
            <w:pPr>
              <w:pStyle w:val="af4"/>
              <w:spacing w:beforeLines="10" w:before="43" w:line="264" w:lineRule="auto"/>
              <w:contextualSpacing w:val="0"/>
              <w:rPr>
                <w:szCs w:val="21"/>
              </w:rPr>
            </w:pPr>
            <w:r>
              <w:rPr>
                <w:rFonts w:hint="eastAsia"/>
                <w:szCs w:val="21"/>
              </w:rPr>
              <w:t>120,000.00</w:t>
            </w:r>
            <w:r>
              <w:rPr>
                <w:rFonts w:hint="eastAsia"/>
                <w:szCs w:val="21"/>
              </w:rPr>
              <w:t>元</w:t>
            </w:r>
            <w:r>
              <w:rPr>
                <w:rFonts w:hint="eastAsia"/>
                <w:szCs w:val="21"/>
              </w:rPr>
              <w:t>/</w:t>
            </w:r>
            <w:r>
              <w:rPr>
                <w:rFonts w:hint="eastAsia"/>
                <w:szCs w:val="21"/>
              </w:rPr>
              <w:t>年</w:t>
            </w:r>
          </w:p>
        </w:tc>
        <w:tc>
          <w:tcPr>
            <w:tcW w:w="2098" w:type="dxa"/>
            <w:shd w:val="clear" w:color="auto" w:fill="auto"/>
          </w:tcPr>
          <w:p w14:paraId="28996C0B" w14:textId="77777777" w:rsidR="009C7B0A" w:rsidRDefault="001C17B1">
            <w:pPr>
              <w:pStyle w:val="af4"/>
              <w:spacing w:beforeLines="10" w:before="43" w:line="264" w:lineRule="auto"/>
              <w:contextualSpacing w:val="0"/>
              <w:jc w:val="left"/>
              <w:rPr>
                <w:szCs w:val="21"/>
              </w:rPr>
            </w:pPr>
            <w:r>
              <w:rPr>
                <w:rFonts w:hint="eastAsia"/>
                <w:szCs w:val="21"/>
              </w:rPr>
              <w:t>规定披露报刊</w:t>
            </w:r>
          </w:p>
        </w:tc>
      </w:tr>
    </w:tbl>
    <w:p w14:paraId="4A750C5A" w14:textId="77777777" w:rsidR="009C7B0A" w:rsidRDefault="001C17B1">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以上费用将从基金资产中扣除；本基金交易证券等产生的费用和税负，按实际发生额从基金资产扣除。审计费用、信息披露费为基金整体承担的年费用金额，非单个份额类别费用。年费用金额为预估值，最终实际金额以基金定期报告披露为准。除上述费用外的其他运作费用，详见《招募说明书》中的</w:t>
      </w:r>
      <w:r>
        <w:rPr>
          <w:rFonts w:ascii="宋体" w:eastAsia="宋体" w:hAnsi="宋体" w:cs="方正仿宋简体"/>
          <w:iCs/>
          <w:sz w:val="21"/>
          <w:szCs w:val="21"/>
        </w:rPr>
        <w:t>“</w:t>
      </w:r>
      <w:r>
        <w:rPr>
          <w:rFonts w:ascii="宋体" w:eastAsia="宋体" w:hAnsi="宋体" w:cs="方正仿宋简体"/>
          <w:iCs/>
          <w:sz w:val="21"/>
          <w:szCs w:val="21"/>
        </w:rPr>
        <w:t>基金费用与税收</w:t>
      </w:r>
      <w:r>
        <w:rPr>
          <w:rFonts w:ascii="宋体" w:eastAsia="宋体" w:hAnsi="宋体" w:cs="方正仿宋简体"/>
          <w:iCs/>
          <w:sz w:val="21"/>
          <w:szCs w:val="21"/>
        </w:rPr>
        <w:t>”</w:t>
      </w:r>
      <w:r>
        <w:rPr>
          <w:rFonts w:ascii="宋体" w:eastAsia="宋体" w:hAnsi="宋体" w:cs="方正仿宋简体"/>
          <w:iCs/>
          <w:sz w:val="21"/>
          <w:szCs w:val="21"/>
        </w:rPr>
        <w:t>章节。若本基金触发基金合同中关于</w:t>
      </w:r>
      <w:r>
        <w:rPr>
          <w:rFonts w:ascii="宋体" w:eastAsia="宋体" w:hAnsi="宋体" w:cs="方正仿宋简体"/>
          <w:iCs/>
          <w:sz w:val="21"/>
          <w:szCs w:val="21"/>
        </w:rPr>
        <w:t>“</w:t>
      </w:r>
      <w:r>
        <w:rPr>
          <w:rFonts w:ascii="宋体" w:eastAsia="宋体" w:hAnsi="宋体" w:cs="方正仿宋简体"/>
          <w:iCs/>
          <w:sz w:val="21"/>
          <w:szCs w:val="21"/>
        </w:rPr>
        <w:t>基金份额持有人数量和资产规模</w:t>
      </w:r>
      <w:r>
        <w:rPr>
          <w:rFonts w:ascii="宋体" w:eastAsia="宋体" w:hAnsi="宋体" w:cs="方正仿宋简体"/>
          <w:iCs/>
          <w:sz w:val="21"/>
          <w:szCs w:val="21"/>
        </w:rPr>
        <w:t>”</w:t>
      </w:r>
      <w:r>
        <w:rPr>
          <w:rFonts w:ascii="宋体" w:eastAsia="宋体" w:hAnsi="宋体" w:cs="方正仿宋简体"/>
          <w:iCs/>
          <w:sz w:val="21"/>
          <w:szCs w:val="21"/>
        </w:rPr>
        <w:t>的预警情形，基金管理人可决定是否承担本基金项下相关固定费用，最终实际情况以基金定</w:t>
      </w:r>
      <w:r>
        <w:rPr>
          <w:rFonts w:ascii="宋体" w:eastAsia="宋体" w:hAnsi="宋体" w:cs="方正仿宋简体"/>
          <w:iCs/>
          <w:sz w:val="21"/>
          <w:szCs w:val="21"/>
        </w:rPr>
        <w:lastRenderedPageBreak/>
        <w:t>期报告披露为准。</w:t>
      </w:r>
    </w:p>
    <w:p w14:paraId="0767B6E2" w14:textId="77777777" w:rsidR="00C95C66" w:rsidRDefault="00C95C66" w:rsidP="00C95C66">
      <w:pPr>
        <w:pStyle w:val="2"/>
      </w:pPr>
      <w:r w:rsidRPr="00B32DAD">
        <w:t>基金运作综合费用测算</w:t>
      </w:r>
    </w:p>
    <w:tbl>
      <w:tblPr>
        <w:tblStyle w:val="ac"/>
        <w:tblW w:w="9100" w:type="dxa"/>
        <w:tblLook w:val="04A0" w:firstRow="1" w:lastRow="0" w:firstColumn="1" w:lastColumn="0" w:noHBand="0" w:noVBand="1"/>
      </w:tblPr>
      <w:tblGrid>
        <w:gridCol w:w="9100"/>
      </w:tblGrid>
      <w:tr w:rsidR="009C7B0A" w14:paraId="1239DD1A" w14:textId="77777777">
        <w:tc>
          <w:tcPr>
            <w:tcW w:w="4417" w:type="dxa"/>
          </w:tcPr>
          <w:p w14:paraId="30DFBBF1" w14:textId="77777777" w:rsidR="009C7B0A" w:rsidRDefault="001C17B1">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基金运作综合费率（年化）</w:t>
            </w:r>
          </w:p>
        </w:tc>
      </w:tr>
      <w:tr w:rsidR="009C7B0A" w14:paraId="52E2FAF2" w14:textId="77777777">
        <w:tc>
          <w:tcPr>
            <w:tcW w:w="4417" w:type="dxa"/>
          </w:tcPr>
          <w:p w14:paraId="50E3EC09" w14:textId="77777777" w:rsidR="009C7B0A" w:rsidRDefault="001C17B1">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1.81%</w:t>
            </w:r>
          </w:p>
        </w:tc>
      </w:tr>
    </w:tbl>
    <w:p w14:paraId="68C20268" w14:textId="77777777" w:rsidR="009C7B0A" w:rsidRDefault="001C17B1">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注：若投资者认购</w:t>
      </w:r>
      <w:r>
        <w:rPr>
          <w:rFonts w:ascii="宋体" w:eastAsia="宋体" w:hAnsi="宋体" w:cs="方正仿宋简体"/>
          <w:iCs/>
          <w:sz w:val="21"/>
          <w:szCs w:val="21"/>
        </w:rPr>
        <w:t>/</w:t>
      </w:r>
      <w:r>
        <w:rPr>
          <w:rFonts w:ascii="宋体" w:eastAsia="宋体" w:hAnsi="宋体" w:cs="方正仿宋简体"/>
          <w:iCs/>
          <w:sz w:val="21"/>
          <w:szCs w:val="21"/>
        </w:rPr>
        <w:t>申购本基金份额，在持有期间，投资者需支出的运作费率如上表所示。基金管理费率、托管费率、销售服务费率为基金现行费率，其他运作费用以最近一次基金年报披露的相关数据为基准测算。</w:t>
      </w:r>
    </w:p>
    <w:p w14:paraId="75E35094" w14:textId="77777777" w:rsidR="008F585B" w:rsidRPr="008F585B" w:rsidRDefault="008F585B" w:rsidP="00C36380">
      <w:pPr>
        <w:pStyle w:val="1"/>
      </w:pPr>
      <w:r w:rsidRPr="008F585B">
        <w:rPr>
          <w:rFonts w:hint="eastAsia"/>
        </w:rPr>
        <w:t>风险揭示与重要提示</w:t>
      </w:r>
    </w:p>
    <w:p w14:paraId="2C974730" w14:textId="77777777" w:rsidR="008F585B" w:rsidRPr="008F585B" w:rsidRDefault="008F585B" w:rsidP="00C36380">
      <w:pPr>
        <w:pStyle w:val="2"/>
      </w:pPr>
      <w:r w:rsidRPr="008F585B">
        <w:rPr>
          <w:rFonts w:hint="eastAsia"/>
        </w:rPr>
        <w:t>风险揭示</w:t>
      </w:r>
    </w:p>
    <w:p w14:paraId="4292B502" w14:textId="77777777" w:rsidR="009C7B0A" w:rsidRDefault="001C17B1">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本基金不提供任何保证。投资者可能损失投资本金。投资有风险，投资者购买基金时应认真阅读本基金的《招募说明书》等销售文件。</w:t>
      </w:r>
    </w:p>
    <w:p w14:paraId="1136ECE4" w14:textId="77777777" w:rsidR="009C7B0A" w:rsidRDefault="001C17B1">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本基金投资中的风险包括：市场风险、信用风险、债券收益率曲线变动风险、再投资风险、流动性风险、管理风险、操作或技术风险、合规性风险、基金投资科创板股票的风险、基金风险评价不一致的风险等。</w:t>
      </w:r>
    </w:p>
    <w:p w14:paraId="032A8E2B" w14:textId="77777777" w:rsidR="009C7B0A" w:rsidRDefault="001C17B1">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其中市场风险主要包括政策风险、经济周期风险、利率风险、上市公司经营风险、购买力风险等。</w:t>
      </w:r>
    </w:p>
    <w:p w14:paraId="129CC8F6" w14:textId="77777777" w:rsidR="009C7B0A" w:rsidRDefault="001C17B1">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本基金的特有风险包括：本基金投资存托凭证在承担境内上市交易股票投资的共同风险外，还将承担与存托凭证、创新企业发行、境外发行人以及交易机制相关的特有风险。</w:t>
      </w:r>
    </w:p>
    <w:p w14:paraId="23D647D5" w14:textId="77777777" w:rsidR="008F585B" w:rsidRPr="008F585B" w:rsidRDefault="008F585B" w:rsidP="00C36380">
      <w:pPr>
        <w:pStyle w:val="2"/>
      </w:pPr>
      <w:r w:rsidRPr="008F585B">
        <w:rPr>
          <w:rFonts w:hint="eastAsia"/>
        </w:rPr>
        <w:t>重要提示</w:t>
      </w:r>
    </w:p>
    <w:p w14:paraId="6E8E8547" w14:textId="77777777" w:rsidR="009C7B0A" w:rsidRDefault="001C17B1">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中国证监会对本基金募集的注册</w:t>
      </w:r>
      <w:r>
        <w:rPr>
          <w:rFonts w:ascii="宋体" w:eastAsia="宋体" w:hAnsi="宋体" w:cs="方正仿宋简体"/>
          <w:iCs/>
          <w:sz w:val="21"/>
          <w:szCs w:val="21"/>
        </w:rPr>
        <w:t>/</w:t>
      </w:r>
      <w:r>
        <w:rPr>
          <w:rFonts w:ascii="宋体" w:eastAsia="宋体" w:hAnsi="宋体" w:cs="方正仿宋简体"/>
          <w:iCs/>
          <w:sz w:val="21"/>
          <w:szCs w:val="21"/>
        </w:rPr>
        <w:t>核准，并不表明其对本基金的价值和收益作出实质</w:t>
      </w:r>
      <w:r>
        <w:rPr>
          <w:rFonts w:ascii="宋体" w:eastAsia="宋体" w:hAnsi="宋体" w:cs="方正仿宋简体"/>
          <w:iCs/>
          <w:sz w:val="21"/>
          <w:szCs w:val="21"/>
        </w:rPr>
        <w:t>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14:paraId="6C9BD8E5" w14:textId="77777777" w:rsidR="009C7B0A" w:rsidRDefault="001C17B1">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与本基金或基金合同相关的一切争议将提交中国国际经济贸易仲裁委员会仲裁，仲裁的地点在上海分会，仲裁裁决是终局的，对仲裁各方当事人均具有约束力。</w:t>
      </w:r>
    </w:p>
    <w:p w14:paraId="31DCBCCF" w14:textId="77777777" w:rsidR="009C7B0A" w:rsidRDefault="001C17B1">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基金产品资料概要信息发生重大变更的，基金管理人将在三个工作日内更新，其他信息发生变更的，基金管理人每年更新一次。因此，本文件内容相比基金的实</w:t>
      </w:r>
      <w:r>
        <w:rPr>
          <w:rFonts w:ascii="宋体" w:eastAsia="宋体" w:hAnsi="宋体" w:cs="方正仿宋简体"/>
          <w:iCs/>
          <w:sz w:val="21"/>
          <w:szCs w:val="21"/>
        </w:rPr>
        <w:t>际情况可能存在一定的滞后，如需及时、准确获取基金的相关信息，敬请同时关注基金管理人发布的相关临时公告、定期公告等披露文件。</w:t>
      </w:r>
    </w:p>
    <w:p w14:paraId="7C440F29" w14:textId="77777777" w:rsidR="008F585B" w:rsidRPr="008F585B" w:rsidRDefault="008F585B" w:rsidP="00C36380">
      <w:pPr>
        <w:pStyle w:val="1"/>
      </w:pPr>
      <w:r w:rsidRPr="008F585B">
        <w:rPr>
          <w:rFonts w:hint="eastAsia"/>
        </w:rPr>
        <w:t>其他资料查询方式</w:t>
      </w:r>
    </w:p>
    <w:p w14:paraId="5A06A06A" w14:textId="77777777" w:rsidR="009C7B0A" w:rsidRDefault="001C17B1">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以下资料详见基金管理人网站（</w:t>
      </w:r>
      <w:r>
        <w:rPr>
          <w:rFonts w:ascii="宋体" w:eastAsia="宋体" w:hAnsi="宋体" w:cs="方正仿宋简体"/>
          <w:iCs/>
          <w:sz w:val="21"/>
          <w:szCs w:val="21"/>
        </w:rPr>
        <w:t>www.fullgoal.com.cn</w:t>
      </w:r>
      <w:r>
        <w:rPr>
          <w:rFonts w:ascii="宋体" w:eastAsia="宋体" w:hAnsi="宋体" w:cs="方正仿宋简体"/>
          <w:iCs/>
          <w:sz w:val="21"/>
          <w:szCs w:val="21"/>
        </w:rPr>
        <w:t>），客户服务热线：</w:t>
      </w:r>
      <w:r>
        <w:rPr>
          <w:rFonts w:ascii="宋体" w:eastAsia="宋体" w:hAnsi="宋体" w:cs="方正仿宋简体"/>
          <w:iCs/>
          <w:sz w:val="21"/>
          <w:szCs w:val="21"/>
        </w:rPr>
        <w:t>95105686</w:t>
      </w:r>
      <w:r>
        <w:rPr>
          <w:rFonts w:ascii="宋体" w:eastAsia="宋体" w:hAnsi="宋体" w:cs="方正仿宋简体"/>
          <w:iCs/>
          <w:sz w:val="21"/>
          <w:szCs w:val="21"/>
        </w:rPr>
        <w:t>，</w:t>
      </w:r>
      <w:r>
        <w:rPr>
          <w:rFonts w:ascii="宋体" w:eastAsia="宋体" w:hAnsi="宋体" w:cs="方正仿宋简体"/>
          <w:iCs/>
          <w:sz w:val="21"/>
          <w:szCs w:val="21"/>
        </w:rPr>
        <w:t>4008880688</w:t>
      </w:r>
      <w:r>
        <w:rPr>
          <w:rFonts w:ascii="宋体" w:eastAsia="宋体" w:hAnsi="宋体" w:cs="方正仿宋简体"/>
          <w:iCs/>
          <w:sz w:val="21"/>
          <w:szCs w:val="21"/>
        </w:rPr>
        <w:t>（全国统一，免长途话费）</w:t>
      </w:r>
    </w:p>
    <w:p w14:paraId="4B44DA8C" w14:textId="77777777" w:rsidR="009C7B0A" w:rsidRDefault="001C17B1">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w:t>
      </w:r>
      <w:r>
        <w:rPr>
          <w:rFonts w:ascii="宋体" w:eastAsia="宋体" w:hAnsi="宋体" w:cs="方正仿宋简体"/>
          <w:iCs/>
          <w:sz w:val="21"/>
          <w:szCs w:val="21"/>
        </w:rPr>
        <w:t>、基金合同、托管协议、招募说明书</w:t>
      </w:r>
    </w:p>
    <w:p w14:paraId="2B81171C" w14:textId="77777777" w:rsidR="009C7B0A" w:rsidRDefault="001C17B1">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w:t>
      </w:r>
      <w:r>
        <w:rPr>
          <w:rFonts w:ascii="宋体" w:eastAsia="宋体" w:hAnsi="宋体" w:cs="方正仿宋简体"/>
          <w:iCs/>
          <w:sz w:val="21"/>
          <w:szCs w:val="21"/>
        </w:rPr>
        <w:t>、定期报告，包括基金季度报告、中期报告和年度报告</w:t>
      </w:r>
    </w:p>
    <w:p w14:paraId="12605661" w14:textId="77777777" w:rsidR="009C7B0A" w:rsidRDefault="001C17B1">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w:t>
      </w:r>
      <w:r>
        <w:rPr>
          <w:rFonts w:ascii="宋体" w:eastAsia="宋体" w:hAnsi="宋体" w:cs="方正仿宋简体"/>
          <w:iCs/>
          <w:sz w:val="21"/>
          <w:szCs w:val="21"/>
        </w:rPr>
        <w:t>、基金份额净值</w:t>
      </w:r>
    </w:p>
    <w:p w14:paraId="14DE8C7A" w14:textId="77777777" w:rsidR="009C7B0A" w:rsidRDefault="001C17B1">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w:t>
      </w:r>
      <w:r>
        <w:rPr>
          <w:rFonts w:ascii="宋体" w:eastAsia="宋体" w:hAnsi="宋体" w:cs="方正仿宋简体"/>
          <w:iCs/>
          <w:sz w:val="21"/>
          <w:szCs w:val="21"/>
        </w:rPr>
        <w:t>、基金销售机构及联系方式</w:t>
      </w:r>
    </w:p>
    <w:p w14:paraId="38BFD181" w14:textId="77777777" w:rsidR="009C7B0A" w:rsidRDefault="001C17B1">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w:t>
      </w:r>
      <w:r>
        <w:rPr>
          <w:rFonts w:ascii="宋体" w:eastAsia="宋体" w:hAnsi="宋体" w:cs="方正仿宋简体"/>
          <w:iCs/>
          <w:sz w:val="21"/>
          <w:szCs w:val="21"/>
        </w:rPr>
        <w:t>、其他重要资料</w:t>
      </w:r>
    </w:p>
    <w:sectPr w:rsidR="009C7B0A" w:rsidSect="00F50507">
      <w:footerReference w:type="default" r:id="rId8"/>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9634E" w14:textId="77777777" w:rsidR="001C17B1" w:rsidRDefault="001C17B1" w:rsidP="00084FBF">
      <w:r>
        <w:separator/>
      </w:r>
    </w:p>
  </w:endnote>
  <w:endnote w:type="continuationSeparator" w:id="0">
    <w:p w14:paraId="10AECB49" w14:textId="77777777" w:rsidR="001C17B1" w:rsidRDefault="001C17B1"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仿宋简体">
    <w:altName w:val="Arial Unicode MS"/>
    <w:panose1 w:val="02000000000000000000"/>
    <w:charset w:val="86"/>
    <w:family w:val="auto"/>
    <w:pitch w:val="variable"/>
    <w:sig w:usb0="A00002BF" w:usb1="184F6CFA" w:usb2="00000012" w:usb3="00000000" w:csb0="00040001" w:csb1="00000000"/>
  </w:font>
  <w:font w:name="Tahoma">
    <w:panose1 w:val="020B0604030504040204"/>
    <w:charset w:val="00"/>
    <w:family w:val="swiss"/>
    <w:pitch w:val="variable"/>
    <w:sig w:usb0="E1002EFF" w:usb1="C000605B" w:usb2="00000029" w:usb3="00000000" w:csb0="000101FF" w:csb1="00000000"/>
  </w:font>
  <w:font w:name="方正黑体简体">
    <w:altName w:val="微软雅黑"/>
    <w:panose1 w:val="02000000000000000000"/>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2E05" w14:textId="77777777" w:rsidR="00953F87" w:rsidRDefault="00953F87">
    <w:pPr>
      <w:pStyle w:val="af2"/>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7537C">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7537C">
      <w:rPr>
        <w:b/>
        <w:bCs/>
        <w:noProof/>
      </w:rPr>
      <w:t>3</w:t>
    </w:r>
    <w:r>
      <w:rPr>
        <w:b/>
        <w:bCs/>
        <w:sz w:val="24"/>
        <w:szCs w:val="24"/>
      </w:rPr>
      <w:fldChar w:fldCharType="end"/>
    </w:r>
  </w:p>
  <w:p w14:paraId="2D775AAC" w14:textId="77777777" w:rsidR="00953F87" w:rsidRDefault="00953F8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F107A" w14:textId="77777777" w:rsidR="001C17B1" w:rsidRDefault="001C17B1" w:rsidP="00084FBF">
      <w:r>
        <w:separator/>
      </w:r>
    </w:p>
  </w:footnote>
  <w:footnote w:type="continuationSeparator" w:id="0">
    <w:p w14:paraId="367A1A81" w14:textId="77777777" w:rsidR="001C17B1" w:rsidRDefault="001C17B1" w:rsidP="00084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1E66571"/>
    <w:multiLevelType w:val="multilevel"/>
    <w:tmpl w:val="15721ABE"/>
    <w:lvl w:ilvl="0">
      <w:start w:val="1"/>
      <w:numFmt w:val="chineseCountingThousand"/>
      <w:pStyle w:val="1"/>
      <w:suff w:val="space"/>
      <w:lvlText w:val="%1、"/>
      <w:lvlJc w:val="left"/>
      <w:pPr>
        <w:ind w:left="0" w:firstLine="0"/>
      </w:pPr>
      <w:rPr>
        <w:rFonts w:hint="eastAsia"/>
      </w:rPr>
    </w:lvl>
    <w:lvl w:ilvl="1">
      <w:start w:val="1"/>
      <w:numFmt w:val="chineseCountingThousand"/>
      <w:pStyle w:val="2"/>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5AC33CF0"/>
    <w:multiLevelType w:val="singleLevel"/>
    <w:tmpl w:val="5AC33CF0"/>
    <w:lvl w:ilvl="0">
      <w:start w:val="1"/>
      <w:numFmt w:val="chineseCounting"/>
      <w:suff w:val="nothing"/>
      <w:lvlText w:val="%1、"/>
      <w:lvlJc w:val="left"/>
    </w:lvl>
  </w:abstractNum>
  <w:abstractNum w:abstractNumId="6" w15:restartNumberingAfterBreak="0">
    <w:nsid w:val="5C21FE0E"/>
    <w:multiLevelType w:val="singleLevel"/>
    <w:tmpl w:val="5C21FE0E"/>
    <w:lvl w:ilvl="0">
      <w:start w:val="2"/>
      <w:numFmt w:val="chineseCounting"/>
      <w:suff w:val="nothing"/>
      <w:lvlText w:val="（%1）"/>
      <w:lvlJc w:val="left"/>
    </w:lvl>
  </w:abstractNum>
  <w:abstractNum w:abstractNumId="7" w15:restartNumberingAfterBreak="0">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1"/>
  </w:num>
  <w:num w:numId="5">
    <w:abstractNumId w:val="8"/>
  </w:num>
  <w:num w:numId="6">
    <w:abstractNumId w:val="2"/>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994"/>
    <w:rsid w:val="00022545"/>
    <w:rsid w:val="00023E7E"/>
    <w:rsid w:val="00036483"/>
    <w:rsid w:val="000459B5"/>
    <w:rsid w:val="00054D53"/>
    <w:rsid w:val="00055507"/>
    <w:rsid w:val="00064982"/>
    <w:rsid w:val="00066BCF"/>
    <w:rsid w:val="000675A4"/>
    <w:rsid w:val="000827C1"/>
    <w:rsid w:val="00084FBF"/>
    <w:rsid w:val="000865B1"/>
    <w:rsid w:val="000A3B4B"/>
    <w:rsid w:val="000A6B95"/>
    <w:rsid w:val="000A7B26"/>
    <w:rsid w:val="000B64A8"/>
    <w:rsid w:val="000C6242"/>
    <w:rsid w:val="000D070D"/>
    <w:rsid w:val="000D10B4"/>
    <w:rsid w:val="000D57C1"/>
    <w:rsid w:val="000E2AAC"/>
    <w:rsid w:val="000F5546"/>
    <w:rsid w:val="001000DB"/>
    <w:rsid w:val="00112B35"/>
    <w:rsid w:val="00120CE6"/>
    <w:rsid w:val="00124046"/>
    <w:rsid w:val="00124B97"/>
    <w:rsid w:val="00155DF6"/>
    <w:rsid w:val="00162500"/>
    <w:rsid w:val="00162B21"/>
    <w:rsid w:val="00165774"/>
    <w:rsid w:val="00190175"/>
    <w:rsid w:val="00196B69"/>
    <w:rsid w:val="001A1651"/>
    <w:rsid w:val="001A545B"/>
    <w:rsid w:val="001A7B4D"/>
    <w:rsid w:val="001C17B1"/>
    <w:rsid w:val="001C2BCE"/>
    <w:rsid w:val="001C35F9"/>
    <w:rsid w:val="001C64F1"/>
    <w:rsid w:val="001D1255"/>
    <w:rsid w:val="001E5192"/>
    <w:rsid w:val="002060B7"/>
    <w:rsid w:val="00206308"/>
    <w:rsid w:val="00217143"/>
    <w:rsid w:val="00237E86"/>
    <w:rsid w:val="00241330"/>
    <w:rsid w:val="002449E0"/>
    <w:rsid w:val="002500AA"/>
    <w:rsid w:val="002502EF"/>
    <w:rsid w:val="00257D13"/>
    <w:rsid w:val="00257D7C"/>
    <w:rsid w:val="002618FF"/>
    <w:rsid w:val="00275953"/>
    <w:rsid w:val="00297710"/>
    <w:rsid w:val="002B2574"/>
    <w:rsid w:val="002C27FD"/>
    <w:rsid w:val="002D0197"/>
    <w:rsid w:val="002D42AF"/>
    <w:rsid w:val="002D4A95"/>
    <w:rsid w:val="002D7116"/>
    <w:rsid w:val="003134F0"/>
    <w:rsid w:val="00351815"/>
    <w:rsid w:val="0035634C"/>
    <w:rsid w:val="00360C64"/>
    <w:rsid w:val="0036593B"/>
    <w:rsid w:val="003A593D"/>
    <w:rsid w:val="003B7C3A"/>
    <w:rsid w:val="003C147C"/>
    <w:rsid w:val="003F7FAE"/>
    <w:rsid w:val="0042333C"/>
    <w:rsid w:val="0043556E"/>
    <w:rsid w:val="0046074E"/>
    <w:rsid w:val="00473EC1"/>
    <w:rsid w:val="0047537C"/>
    <w:rsid w:val="004A1547"/>
    <w:rsid w:val="004E7FF3"/>
    <w:rsid w:val="00532A3B"/>
    <w:rsid w:val="005354AA"/>
    <w:rsid w:val="005442CE"/>
    <w:rsid w:val="0055000C"/>
    <w:rsid w:val="0057007F"/>
    <w:rsid w:val="00583686"/>
    <w:rsid w:val="005925E3"/>
    <w:rsid w:val="005D322F"/>
    <w:rsid w:val="005E2DF2"/>
    <w:rsid w:val="005E5E27"/>
    <w:rsid w:val="005F5DD9"/>
    <w:rsid w:val="00617F04"/>
    <w:rsid w:val="006209A4"/>
    <w:rsid w:val="00625A98"/>
    <w:rsid w:val="00626941"/>
    <w:rsid w:val="00641C70"/>
    <w:rsid w:val="00644603"/>
    <w:rsid w:val="00645219"/>
    <w:rsid w:val="00653821"/>
    <w:rsid w:val="00663258"/>
    <w:rsid w:val="0066613E"/>
    <w:rsid w:val="00670ED5"/>
    <w:rsid w:val="00671DFC"/>
    <w:rsid w:val="00687CB7"/>
    <w:rsid w:val="00694559"/>
    <w:rsid w:val="006D1921"/>
    <w:rsid w:val="006D5811"/>
    <w:rsid w:val="006E5A42"/>
    <w:rsid w:val="006F1A17"/>
    <w:rsid w:val="006F366F"/>
    <w:rsid w:val="006F6CCD"/>
    <w:rsid w:val="00704EE8"/>
    <w:rsid w:val="007059E2"/>
    <w:rsid w:val="00712BE7"/>
    <w:rsid w:val="00731748"/>
    <w:rsid w:val="00742A36"/>
    <w:rsid w:val="00744E9B"/>
    <w:rsid w:val="00755994"/>
    <w:rsid w:val="00766DB6"/>
    <w:rsid w:val="00780D3C"/>
    <w:rsid w:val="0079300B"/>
    <w:rsid w:val="00797D09"/>
    <w:rsid w:val="007C4CD9"/>
    <w:rsid w:val="007C59E6"/>
    <w:rsid w:val="007E11E4"/>
    <w:rsid w:val="007E4369"/>
    <w:rsid w:val="007F229D"/>
    <w:rsid w:val="007F2FCA"/>
    <w:rsid w:val="00803F3E"/>
    <w:rsid w:val="008225B1"/>
    <w:rsid w:val="00841786"/>
    <w:rsid w:val="00871193"/>
    <w:rsid w:val="00877150"/>
    <w:rsid w:val="0089091B"/>
    <w:rsid w:val="008C1DCE"/>
    <w:rsid w:val="008D1684"/>
    <w:rsid w:val="008D1C0D"/>
    <w:rsid w:val="008D51DC"/>
    <w:rsid w:val="008E5B4E"/>
    <w:rsid w:val="008F585B"/>
    <w:rsid w:val="00904A22"/>
    <w:rsid w:val="009230A7"/>
    <w:rsid w:val="009240F7"/>
    <w:rsid w:val="00935D26"/>
    <w:rsid w:val="00953F87"/>
    <w:rsid w:val="009548E7"/>
    <w:rsid w:val="00956AC1"/>
    <w:rsid w:val="00957AF4"/>
    <w:rsid w:val="0097286C"/>
    <w:rsid w:val="00972D0E"/>
    <w:rsid w:val="00987050"/>
    <w:rsid w:val="009935BF"/>
    <w:rsid w:val="009969A0"/>
    <w:rsid w:val="009A0575"/>
    <w:rsid w:val="009C3307"/>
    <w:rsid w:val="009C7B0A"/>
    <w:rsid w:val="009F414C"/>
    <w:rsid w:val="009F438B"/>
    <w:rsid w:val="009F501F"/>
    <w:rsid w:val="00A14942"/>
    <w:rsid w:val="00A21AB8"/>
    <w:rsid w:val="00A3092D"/>
    <w:rsid w:val="00A35D5E"/>
    <w:rsid w:val="00A43181"/>
    <w:rsid w:val="00A535E9"/>
    <w:rsid w:val="00A61D1B"/>
    <w:rsid w:val="00A7537D"/>
    <w:rsid w:val="00A970AF"/>
    <w:rsid w:val="00AA31CE"/>
    <w:rsid w:val="00AB4BBA"/>
    <w:rsid w:val="00AC219B"/>
    <w:rsid w:val="00AC3F57"/>
    <w:rsid w:val="00AE6F8E"/>
    <w:rsid w:val="00B048B1"/>
    <w:rsid w:val="00B10F72"/>
    <w:rsid w:val="00B71600"/>
    <w:rsid w:val="00BA35E1"/>
    <w:rsid w:val="00BB4F1D"/>
    <w:rsid w:val="00BC2891"/>
    <w:rsid w:val="00BC4EFB"/>
    <w:rsid w:val="00BD0F8C"/>
    <w:rsid w:val="00BD10F0"/>
    <w:rsid w:val="00BE07DA"/>
    <w:rsid w:val="00C2026D"/>
    <w:rsid w:val="00C21CFB"/>
    <w:rsid w:val="00C27B72"/>
    <w:rsid w:val="00C3471C"/>
    <w:rsid w:val="00C36380"/>
    <w:rsid w:val="00C50D1E"/>
    <w:rsid w:val="00C52A81"/>
    <w:rsid w:val="00C93F0E"/>
    <w:rsid w:val="00C94A07"/>
    <w:rsid w:val="00C95C66"/>
    <w:rsid w:val="00CA1E41"/>
    <w:rsid w:val="00CB47DA"/>
    <w:rsid w:val="00CB4871"/>
    <w:rsid w:val="00CB6C6F"/>
    <w:rsid w:val="00CC7F6D"/>
    <w:rsid w:val="00CF7532"/>
    <w:rsid w:val="00D117F8"/>
    <w:rsid w:val="00D13550"/>
    <w:rsid w:val="00D15F82"/>
    <w:rsid w:val="00D46EE2"/>
    <w:rsid w:val="00D5603D"/>
    <w:rsid w:val="00D803DA"/>
    <w:rsid w:val="00D83A1C"/>
    <w:rsid w:val="00D964EC"/>
    <w:rsid w:val="00D97BE2"/>
    <w:rsid w:val="00DA42C1"/>
    <w:rsid w:val="00DB5927"/>
    <w:rsid w:val="00DC28DE"/>
    <w:rsid w:val="00DE25AF"/>
    <w:rsid w:val="00E114CB"/>
    <w:rsid w:val="00E12C12"/>
    <w:rsid w:val="00E16037"/>
    <w:rsid w:val="00E23FD3"/>
    <w:rsid w:val="00E26DA8"/>
    <w:rsid w:val="00E30200"/>
    <w:rsid w:val="00E316C6"/>
    <w:rsid w:val="00E337A7"/>
    <w:rsid w:val="00E53787"/>
    <w:rsid w:val="00E9097A"/>
    <w:rsid w:val="00EC1FD8"/>
    <w:rsid w:val="00EC6D81"/>
    <w:rsid w:val="00ED45C6"/>
    <w:rsid w:val="00EF3E83"/>
    <w:rsid w:val="00F01742"/>
    <w:rsid w:val="00F06215"/>
    <w:rsid w:val="00F216B8"/>
    <w:rsid w:val="00F24B93"/>
    <w:rsid w:val="00F2645B"/>
    <w:rsid w:val="00F26678"/>
    <w:rsid w:val="00F30D4F"/>
    <w:rsid w:val="00F35B32"/>
    <w:rsid w:val="00F376D4"/>
    <w:rsid w:val="00F50507"/>
    <w:rsid w:val="00F562DC"/>
    <w:rsid w:val="00F62ED2"/>
    <w:rsid w:val="00F828D6"/>
    <w:rsid w:val="00F90BB2"/>
    <w:rsid w:val="00F974C8"/>
    <w:rsid w:val="00FA15EA"/>
    <w:rsid w:val="00FA5DC0"/>
    <w:rsid w:val="00FC384E"/>
    <w:rsid w:val="00FD37D2"/>
    <w:rsid w:val="00FE4D48"/>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49A19"/>
  <w15:chartTrackingRefBased/>
  <w15:docId w15:val="{4BDDCE71-88F5-4110-8775-B8956835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FBF"/>
    <w:pPr>
      <w:widowControl w:val="0"/>
      <w:jc w:val="both"/>
    </w:pPr>
    <w:rPr>
      <w:rFonts w:ascii="Times New Roman" w:eastAsia="方正仿宋简体" w:hAnsi="Times New Roman"/>
      <w:kern w:val="2"/>
      <w:sz w:val="32"/>
    </w:rPr>
  </w:style>
  <w:style w:type="paragraph" w:styleId="1">
    <w:name w:val="heading 1"/>
    <w:basedOn w:val="a"/>
    <w:next w:val="a"/>
    <w:link w:val="10"/>
    <w:uiPriority w:val="9"/>
    <w:qFormat/>
    <w:rsid w:val="00F50507"/>
    <w:pPr>
      <w:keepNext/>
      <w:keepLines/>
      <w:numPr>
        <w:numId w:val="4"/>
      </w:numPr>
      <w:adjustRightInd w:val="0"/>
      <w:snapToGrid w:val="0"/>
      <w:spacing w:beforeLines="30" w:before="130" w:afterLines="30" w:after="130"/>
      <w:outlineLvl w:val="0"/>
    </w:pPr>
    <w:rPr>
      <w:rFonts w:ascii="宋体" w:eastAsia="宋体" w:hAnsi="宋体"/>
      <w:b/>
      <w:bCs/>
      <w:kern w:val="44"/>
      <w:sz w:val="24"/>
      <w:szCs w:val="44"/>
    </w:rPr>
  </w:style>
  <w:style w:type="paragraph" w:styleId="2">
    <w:name w:val="heading 2"/>
    <w:basedOn w:val="a"/>
    <w:next w:val="a"/>
    <w:link w:val="20"/>
    <w:uiPriority w:val="9"/>
    <w:unhideWhenUsed/>
    <w:qFormat/>
    <w:rsid w:val="00F50507"/>
    <w:pPr>
      <w:numPr>
        <w:ilvl w:val="1"/>
        <w:numId w:val="4"/>
      </w:numPr>
      <w:adjustRightInd w:val="0"/>
      <w:snapToGrid w:val="0"/>
      <w:spacing w:beforeLines="20" w:before="87" w:afterLines="20" w:after="87"/>
      <w:outlineLvl w:val="1"/>
    </w:pPr>
    <w:rPr>
      <w:rFonts w:ascii="宋体" w:eastAsia="宋体" w:hAnsi="宋体" w:cs="方正仿宋简体"/>
      <w:b/>
      <w:i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文本 字符"/>
    <w:link w:val="a4"/>
    <w:qFormat/>
    <w:rsid w:val="00084FBF"/>
    <w:rPr>
      <w:sz w:val="18"/>
      <w:szCs w:val="24"/>
    </w:rPr>
  </w:style>
  <w:style w:type="character" w:styleId="a5">
    <w:name w:val="annotation reference"/>
    <w:uiPriority w:val="99"/>
    <w:unhideWhenUsed/>
    <w:rsid w:val="00084FBF"/>
    <w:rPr>
      <w:sz w:val="21"/>
      <w:szCs w:val="21"/>
    </w:rPr>
  </w:style>
  <w:style w:type="character" w:styleId="a6">
    <w:name w:val="footnote reference"/>
    <w:unhideWhenUsed/>
    <w:qFormat/>
    <w:rsid w:val="00084FBF"/>
    <w:rPr>
      <w:rFonts w:ascii="Times New Roman" w:eastAsia="宋体" w:hAnsi="Times New Roman" w:cs="Times New Roman"/>
      <w:vertAlign w:val="superscript"/>
    </w:rPr>
  </w:style>
  <w:style w:type="character" w:customStyle="1" w:styleId="a7">
    <w:name w:val="批注文字 字符"/>
    <w:link w:val="a8"/>
    <w:uiPriority w:val="99"/>
    <w:rsid w:val="00084FBF"/>
    <w:rPr>
      <w:rFonts w:ascii="Times New Roman" w:eastAsia="方正仿宋简体" w:hAnsi="Times New Roman"/>
      <w:sz w:val="32"/>
    </w:rPr>
  </w:style>
  <w:style w:type="paragraph" w:styleId="a4">
    <w:name w:val="footnote text"/>
    <w:basedOn w:val="a"/>
    <w:link w:val="a3"/>
    <w:unhideWhenUsed/>
    <w:qFormat/>
    <w:rsid w:val="00084FBF"/>
    <w:pPr>
      <w:snapToGrid w:val="0"/>
      <w:jc w:val="left"/>
    </w:pPr>
    <w:rPr>
      <w:rFonts w:ascii="Calibri" w:eastAsia="宋体"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8">
    <w:name w:val="annotation text"/>
    <w:basedOn w:val="a"/>
    <w:link w:val="a7"/>
    <w:uiPriority w:val="99"/>
    <w:unhideWhenUsed/>
    <w:rsid w:val="00084FBF"/>
    <w:pPr>
      <w:jc w:val="left"/>
    </w:pPr>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9">
    <w:name w:val="Balloon Text"/>
    <w:link w:val="aa"/>
    <w:uiPriority w:val="99"/>
    <w:semiHidden/>
    <w:unhideWhenUsed/>
    <w:rPr>
      <w:rFonts w:ascii="Tahoma" w:hAnsi="Tahoma" w:cs="Tahoma"/>
      <w:sz w:val="16"/>
      <w:szCs w:val="16"/>
    </w:rPr>
  </w:style>
  <w:style w:type="character" w:customStyle="1" w:styleId="Char">
    <w:name w:val="批注框文本 Char"/>
    <w:uiPriority w:val="99"/>
    <w:semiHidden/>
    <w:rsid w:val="00084FBF"/>
    <w:rPr>
      <w:rFonts w:ascii="Times New Roman" w:eastAsia="方正仿宋简体" w:hAnsi="Times New Roman" w:cs="Times New Roman"/>
      <w:sz w:val="18"/>
      <w:szCs w:val="18"/>
    </w:rPr>
  </w:style>
  <w:style w:type="paragraph" w:styleId="ab">
    <w:name w:val="List Paragraph"/>
    <w:basedOn w:val="a"/>
    <w:uiPriority w:val="34"/>
    <w:qFormat/>
    <w:rsid w:val="006F366F"/>
    <w:pPr>
      <w:ind w:firstLineChars="200" w:firstLine="420"/>
    </w:pPr>
  </w:style>
  <w:style w:type="table" w:styleId="ac">
    <w:name w:val="Table Grid"/>
    <w:basedOn w:val="a1"/>
    <w:uiPriority w:val="39"/>
    <w:rsid w:val="00803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641C70"/>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8"/>
    <w:next w:val="a8"/>
    <w:link w:val="af"/>
    <w:uiPriority w:val="99"/>
    <w:semiHidden/>
    <w:unhideWhenUsed/>
    <w:rsid w:val="00DC28DE"/>
    <w:rPr>
      <w:b/>
      <w:bCs/>
      <w:szCs w:val="20"/>
    </w:rPr>
  </w:style>
  <w:style w:type="character" w:customStyle="1" w:styleId="af">
    <w:name w:val="批注主题 字符"/>
    <w:link w:val="ae"/>
    <w:uiPriority w:val="99"/>
    <w:semiHidden/>
    <w:rsid w:val="00DC28DE"/>
    <w:rPr>
      <w:rFonts w:ascii="Times New Roman" w:eastAsia="方正仿宋简体" w:hAnsi="Times New Roman" w:cs="Times New Roman"/>
      <w:b/>
      <w:bCs/>
      <w:sz w:val="32"/>
      <w:szCs w:val="20"/>
    </w:rPr>
  </w:style>
  <w:style w:type="paragraph" w:styleId="af0">
    <w:name w:val="header"/>
    <w:basedOn w:val="a"/>
    <w:link w:val="af1"/>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af1">
    <w:name w:val="页眉 字符"/>
    <w:link w:val="af0"/>
    <w:uiPriority w:val="99"/>
    <w:rsid w:val="00953F87"/>
    <w:rPr>
      <w:rFonts w:ascii="Times New Roman" w:eastAsia="方正仿宋简体" w:hAnsi="Times New Roman" w:cs="Times New Roman"/>
      <w:sz w:val="18"/>
      <w:szCs w:val="18"/>
    </w:rPr>
  </w:style>
  <w:style w:type="paragraph" w:styleId="af2">
    <w:name w:val="footer"/>
    <w:basedOn w:val="a"/>
    <w:link w:val="af3"/>
    <w:uiPriority w:val="99"/>
    <w:unhideWhenUsed/>
    <w:rsid w:val="00953F87"/>
    <w:pPr>
      <w:tabs>
        <w:tab w:val="center" w:pos="4153"/>
        <w:tab w:val="right" w:pos="8306"/>
      </w:tabs>
      <w:snapToGrid w:val="0"/>
      <w:jc w:val="left"/>
    </w:pPr>
    <w:rPr>
      <w:sz w:val="18"/>
      <w:szCs w:val="18"/>
    </w:rPr>
  </w:style>
  <w:style w:type="character" w:customStyle="1" w:styleId="af3">
    <w:name w:val="页脚 字符"/>
    <w:link w:val="af2"/>
    <w:uiPriority w:val="99"/>
    <w:rsid w:val="00953F87"/>
    <w:rPr>
      <w:rFonts w:ascii="Times New Roman" w:eastAsia="方正仿宋简体" w:hAnsi="Times New Roman" w:cs="Times New Roman"/>
      <w:sz w:val="18"/>
      <w:szCs w:val="18"/>
    </w:rPr>
  </w:style>
  <w:style w:type="character" w:customStyle="1" w:styleId="10">
    <w:name w:val="标题 1 字符"/>
    <w:link w:val="1"/>
    <w:uiPriority w:val="9"/>
    <w:rsid w:val="00F50507"/>
    <w:rPr>
      <w:rFonts w:ascii="宋体" w:hAnsi="宋体"/>
      <w:b/>
      <w:bCs/>
      <w:kern w:val="44"/>
      <w:sz w:val="24"/>
      <w:szCs w:val="44"/>
    </w:rPr>
  </w:style>
  <w:style w:type="character" w:customStyle="1" w:styleId="20">
    <w:name w:val="标题 2 字符"/>
    <w:link w:val="2"/>
    <w:uiPriority w:val="9"/>
    <w:rsid w:val="00F50507"/>
    <w:rPr>
      <w:rFonts w:ascii="宋体" w:hAnsi="宋体" w:cs="方正仿宋简体"/>
      <w:b/>
      <w:iCs/>
      <w:kern w:val="2"/>
      <w:sz w:val="22"/>
      <w:szCs w:val="24"/>
    </w:rPr>
  </w:style>
  <w:style w:type="paragraph" w:styleId="af4">
    <w:name w:val="No Spacing"/>
    <w:basedOn w:val="a"/>
    <w:uiPriority w:val="1"/>
    <w:qFormat/>
    <w:rsid w:val="00935D26"/>
    <w:pPr>
      <w:adjustRightInd w:val="0"/>
      <w:snapToGrid w:val="0"/>
      <w:spacing w:beforeLines="20" w:before="87" w:line="288" w:lineRule="auto"/>
      <w:contextualSpacing/>
    </w:pPr>
    <w:rPr>
      <w:rFonts w:ascii="宋体" w:eastAsia="宋体" w:hAnsi="宋体"/>
      <w:sz w:val="21"/>
    </w:rPr>
  </w:style>
  <w:style w:type="character" w:styleId="af5">
    <w:name w:val="Placeholder Text"/>
    <w:basedOn w:val="a0"/>
    <w:uiPriority w:val="99"/>
    <w:semiHidden/>
    <w:rsid w:val="00E26DA8"/>
    <w:rPr>
      <w:color w:val="808080"/>
    </w:rPr>
  </w:style>
  <w:style w:type="paragraph" w:styleId="TOC">
    <w:name w:val="TOC Heading"/>
    <w:uiPriority w:val="39"/>
    <w:semiHidden/>
    <w:unhideWhenUsed/>
    <w:qFormat/>
    <w:rPr>
      <w:lang w:eastAsia="ja-JP"/>
    </w:rPr>
  </w:style>
  <w:style w:type="paragraph" w:styleId="TOC1">
    <w:name w:val="toc 1"/>
    <w:autoRedefine/>
    <w:uiPriority w:val="39"/>
    <w:unhideWhenUsed/>
    <w:pPr>
      <w:spacing w:after="100"/>
    </w:pPr>
  </w:style>
  <w:style w:type="paragraph" w:styleId="TOC2">
    <w:name w:val="toc 2"/>
    <w:autoRedefine/>
    <w:uiPriority w:val="39"/>
    <w:unhideWhenUsed/>
    <w:pPr>
      <w:spacing w:after="100"/>
      <w:ind w:left="220"/>
    </w:pPr>
  </w:style>
  <w:style w:type="paragraph" w:styleId="TOC3">
    <w:name w:val="toc 3"/>
    <w:autoRedefine/>
    <w:uiPriority w:val="39"/>
    <w:unhideWhenUsed/>
    <w:pPr>
      <w:spacing w:after="100"/>
      <w:ind w:left="440"/>
    </w:pPr>
  </w:style>
  <w:style w:type="paragraph" w:styleId="TOC4">
    <w:name w:val="toc 4"/>
    <w:autoRedefine/>
    <w:uiPriority w:val="39"/>
    <w:unhideWhenUsed/>
    <w:pPr>
      <w:spacing w:after="100"/>
      <w:ind w:left="660"/>
    </w:pPr>
  </w:style>
  <w:style w:type="character" w:styleId="af6">
    <w:name w:val="Hyperlink"/>
    <w:uiPriority w:val="99"/>
    <w:unhideWhenUsed/>
    <w:rPr>
      <w:color w:val="0563C1" w:themeColor="hyperlink"/>
      <w:u w:val="single"/>
    </w:rPr>
  </w:style>
  <w:style w:type="character" w:customStyle="1" w:styleId="aa">
    <w:name w:val="批注框文本 字符"/>
    <w:link w:val="a9"/>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620645865">
      <w:bodyDiv w:val="1"/>
      <w:marLeft w:val="0"/>
      <w:marRight w:val="0"/>
      <w:marTop w:val="0"/>
      <w:marBottom w:val="0"/>
      <w:divBdr>
        <w:top w:val="none" w:sz="0" w:space="0" w:color="auto"/>
        <w:left w:val="none" w:sz="0" w:space="0" w:color="auto"/>
        <w:bottom w:val="none" w:sz="0" w:space="0" w:color="auto"/>
        <w:right w:val="none" w:sz="0" w:space="0" w:color="auto"/>
      </w:divBdr>
    </w:div>
    <w:div w:id="1479300270">
      <w:bodyDiv w:val="1"/>
      <w:marLeft w:val="0"/>
      <w:marRight w:val="0"/>
      <w:marTop w:val="0"/>
      <w:marBottom w:val="0"/>
      <w:divBdr>
        <w:top w:val="none" w:sz="0" w:space="0" w:color="auto"/>
        <w:left w:val="none" w:sz="0" w:space="0" w:color="auto"/>
        <w:bottom w:val="none" w:sz="0" w:space="0" w:color="auto"/>
        <w:right w:val="none" w:sz="0" w:space="0" w:color="auto"/>
      </w:divBdr>
    </w:div>
    <w:div w:id="1489712282">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2522;&#37329;&#20135;&#21697;&#36164;&#26009;&#27010;&#35201;&#27169;&#26495;_C.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基金产品资料概要模板_C.dotx</Template>
  <TotalTime>0</TotalTime>
  <Pages>3</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马天蕊</cp:lastModifiedBy>
  <cp:revision>2</cp:revision>
  <dcterms:created xsi:type="dcterms:W3CDTF">2026-01-09T07:52:00Z</dcterms:created>
  <dcterms:modified xsi:type="dcterms:W3CDTF">2026-01-09T07:52:00Z</dcterms:modified>
</cp:coreProperties>
</file>