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D28E" w14:textId="77777777" w:rsidR="00AE3DEF" w:rsidRDefault="00557546">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富国鑫年混合型基金中基金（</w:t>
      </w:r>
      <w:r>
        <w:rPr>
          <w:rFonts w:ascii="宋体" w:eastAsia="宋体" w:hAnsi="宋体" w:cs="方正黑体简体"/>
          <w:b/>
          <w:bCs/>
          <w:iCs/>
          <w:sz w:val="30"/>
          <w:szCs w:val="30"/>
        </w:rPr>
        <w:t>FOF</w:t>
      </w:r>
      <w:r>
        <w:rPr>
          <w:rFonts w:ascii="宋体" w:eastAsia="宋体" w:hAnsi="宋体" w:cs="方正黑体简体"/>
          <w:b/>
          <w:bCs/>
          <w:iCs/>
          <w:sz w:val="30"/>
          <w:szCs w:val="30"/>
        </w:rPr>
        <w:t>）（</w:t>
      </w:r>
      <w:r>
        <w:rPr>
          <w:rFonts w:ascii="宋体" w:eastAsia="宋体" w:hAnsi="宋体" w:cs="方正黑体简体"/>
          <w:b/>
          <w:bCs/>
          <w:iCs/>
          <w:sz w:val="30"/>
          <w:szCs w:val="30"/>
        </w:rPr>
        <w:t>C</w:t>
      </w:r>
      <w:r>
        <w:rPr>
          <w:rFonts w:ascii="宋体" w:eastAsia="宋体" w:hAnsi="宋体" w:cs="方正黑体简体"/>
          <w:b/>
          <w:bCs/>
          <w:iCs/>
          <w:sz w:val="30"/>
          <w:szCs w:val="30"/>
        </w:rPr>
        <w:t>类份额）基金产品资料概要更新</w:t>
      </w:r>
    </w:p>
    <w:p w14:paraId="460B3E9E" w14:textId="77777777" w:rsidR="00084FBF" w:rsidRPr="00A14942" w:rsidRDefault="009548E7"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2026年01月04日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2025年12月31日</w:t>
      </w:r>
      <w:r w:rsidR="0043556E" w:rsidRPr="00A14942">
        <w:rPr>
          <w:rFonts w:ascii="宋体" w:eastAsia="宋体" w:hAnsi="宋体" w:hint="eastAsia"/>
          <w:sz w:val="21"/>
          <w:szCs w:val="21"/>
        </w:rPr>
        <w:t>）</w:t>
      </w:r>
    </w:p>
    <w:p w14:paraId="386E139C" w14:textId="77777777"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14:paraId="71F31239" w14:textId="77777777" w:rsidR="006F366F" w:rsidRPr="00F50507" w:rsidRDefault="006F366F" w:rsidP="00F50507">
      <w:pPr>
        <w:pStyle w:val="1"/>
      </w:pPr>
      <w:r w:rsidRPr="00F50507">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rsidR="00AE3DEF" w14:paraId="47393E84" w14:textId="77777777">
        <w:trPr>
          <w:trHeight w:val="340"/>
        </w:trPr>
        <w:tc>
          <w:tcPr>
            <w:tcW w:w="1757" w:type="dxa"/>
            <w:shd w:val="clear" w:color="auto" w:fill="auto"/>
            <w:vAlign w:val="center"/>
          </w:tcPr>
          <w:p w14:paraId="150F0AA6"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14:paraId="7D18322E" w14:textId="77777777" w:rsidR="00AE3DEF" w:rsidRDefault="00557546">
            <w:pPr>
              <w:adjustRightInd w:val="0"/>
              <w:snapToGrid w:val="0"/>
              <w:rPr>
                <w:rFonts w:ascii="宋体" w:eastAsia="宋体" w:hAnsi="宋体" w:cs="方正仿宋简体"/>
                <w:iCs/>
                <w:sz w:val="21"/>
                <w:szCs w:val="21"/>
              </w:rPr>
            </w:pPr>
            <w:r>
              <w:rPr>
                <w:rFonts w:ascii="宋体" w:eastAsia="宋体" w:hAnsi="宋体"/>
                <w:kern w:val="0"/>
                <w:sz w:val="21"/>
                <w:szCs w:val="21"/>
              </w:rPr>
              <w:t>富国鑫年混合（</w:t>
            </w:r>
            <w:r>
              <w:rPr>
                <w:rFonts w:ascii="宋体" w:eastAsia="宋体" w:hAnsi="宋体"/>
                <w:kern w:val="0"/>
                <w:sz w:val="21"/>
                <w:szCs w:val="21"/>
              </w:rPr>
              <w:t>FOF</w:t>
            </w:r>
            <w:r>
              <w:rPr>
                <w:rFonts w:ascii="宋体" w:eastAsia="宋体" w:hAnsi="宋体"/>
                <w:kern w:val="0"/>
                <w:sz w:val="21"/>
                <w:szCs w:val="21"/>
              </w:rPr>
              <w:t>）</w:t>
            </w:r>
          </w:p>
        </w:tc>
        <w:tc>
          <w:tcPr>
            <w:tcW w:w="1701" w:type="dxa"/>
            <w:shd w:val="clear" w:color="auto" w:fill="auto"/>
            <w:vAlign w:val="center"/>
          </w:tcPr>
          <w:p w14:paraId="244A118A"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14:paraId="488F944E" w14:textId="77777777" w:rsidR="00AE3DEF" w:rsidRDefault="00557546">
            <w:pPr>
              <w:adjustRightInd w:val="0"/>
              <w:snapToGrid w:val="0"/>
              <w:rPr>
                <w:rFonts w:ascii="宋体" w:eastAsia="宋体" w:hAnsi="宋体" w:cs="方正仿宋简体"/>
                <w:iCs/>
                <w:sz w:val="21"/>
                <w:szCs w:val="21"/>
              </w:rPr>
            </w:pPr>
            <w:r>
              <w:rPr>
                <w:rFonts w:ascii="宋体" w:eastAsia="宋体" w:hAnsi="宋体" w:hint="eastAsia"/>
                <w:kern w:val="0"/>
                <w:sz w:val="21"/>
                <w:szCs w:val="21"/>
              </w:rPr>
              <w:t>013421</w:t>
            </w:r>
          </w:p>
        </w:tc>
      </w:tr>
      <w:tr w:rsidR="00AE3DEF" w14:paraId="56EBC138" w14:textId="77777777">
        <w:trPr>
          <w:trHeight w:val="340"/>
        </w:trPr>
        <w:tc>
          <w:tcPr>
            <w:tcW w:w="1757" w:type="dxa"/>
            <w:shd w:val="clear" w:color="auto" w:fill="auto"/>
            <w:vAlign w:val="center"/>
          </w:tcPr>
          <w:p w14:paraId="7A20210C"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14:paraId="3DA0B40F" w14:textId="77777777" w:rsidR="00AE3DEF" w:rsidRDefault="00557546">
            <w:pPr>
              <w:adjustRightInd w:val="0"/>
              <w:snapToGrid w:val="0"/>
              <w:rPr>
                <w:rFonts w:ascii="宋体" w:eastAsia="宋体" w:hAnsi="宋体"/>
                <w:kern w:val="0"/>
                <w:sz w:val="21"/>
                <w:szCs w:val="21"/>
              </w:rPr>
            </w:pPr>
            <w:r>
              <w:rPr>
                <w:rFonts w:ascii="宋体" w:eastAsia="宋体" w:hAnsi="宋体" w:hint="eastAsia"/>
                <w:kern w:val="0"/>
                <w:sz w:val="21"/>
                <w:szCs w:val="21"/>
              </w:rPr>
              <w:t>富国鑫年混合（</w:t>
            </w:r>
            <w:r>
              <w:rPr>
                <w:rFonts w:ascii="宋体" w:eastAsia="宋体" w:hAnsi="宋体" w:hint="eastAsia"/>
                <w:kern w:val="0"/>
                <w:sz w:val="21"/>
                <w:szCs w:val="21"/>
              </w:rPr>
              <w:t>FOF</w:t>
            </w:r>
            <w:r>
              <w:rPr>
                <w:rFonts w:ascii="宋体" w:eastAsia="宋体" w:hAnsi="宋体" w:hint="eastAsia"/>
                <w:kern w:val="0"/>
                <w:sz w:val="21"/>
                <w:szCs w:val="21"/>
              </w:rPr>
              <w:t>）</w:t>
            </w:r>
            <w:r>
              <w:rPr>
                <w:rFonts w:ascii="宋体" w:eastAsia="宋体" w:hAnsi="宋体" w:hint="eastAsia"/>
                <w:kern w:val="0"/>
                <w:sz w:val="21"/>
                <w:szCs w:val="21"/>
              </w:rPr>
              <w:t>C</w:t>
            </w:r>
          </w:p>
        </w:tc>
        <w:tc>
          <w:tcPr>
            <w:tcW w:w="1701" w:type="dxa"/>
            <w:shd w:val="clear" w:color="auto" w:fill="auto"/>
            <w:vAlign w:val="center"/>
          </w:tcPr>
          <w:p w14:paraId="5928701A"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14:paraId="7F616850" w14:textId="77777777" w:rsidR="00AE3DEF" w:rsidRDefault="00557546">
            <w:pPr>
              <w:adjustRightInd w:val="0"/>
              <w:snapToGrid w:val="0"/>
              <w:rPr>
                <w:rFonts w:ascii="宋体" w:eastAsia="宋体" w:hAnsi="宋体"/>
                <w:kern w:val="0"/>
                <w:sz w:val="21"/>
                <w:szCs w:val="21"/>
              </w:rPr>
            </w:pPr>
            <w:r>
              <w:rPr>
                <w:rFonts w:ascii="宋体" w:eastAsia="宋体" w:hAnsi="宋体" w:hint="eastAsia"/>
                <w:kern w:val="0"/>
                <w:sz w:val="21"/>
                <w:szCs w:val="21"/>
              </w:rPr>
              <w:t>026531</w:t>
            </w:r>
          </w:p>
        </w:tc>
      </w:tr>
      <w:tr w:rsidR="00AE3DEF" w14:paraId="13C63F62" w14:textId="77777777">
        <w:trPr>
          <w:trHeight w:val="340"/>
        </w:trPr>
        <w:tc>
          <w:tcPr>
            <w:tcW w:w="1757" w:type="dxa"/>
            <w:shd w:val="clear" w:color="auto" w:fill="auto"/>
            <w:vAlign w:val="center"/>
          </w:tcPr>
          <w:p w14:paraId="2D605A6F"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14:paraId="647A2D0A" w14:textId="77777777" w:rsidR="00AE3DEF" w:rsidRDefault="00557546">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14:paraId="3E1EB4DF"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14:paraId="3B0D997E" w14:textId="77777777" w:rsidR="00AE3DEF" w:rsidRDefault="00557546">
            <w:pPr>
              <w:adjustRightInd w:val="0"/>
              <w:snapToGrid w:val="0"/>
              <w:rPr>
                <w:rFonts w:ascii="宋体" w:eastAsia="宋体" w:hAnsi="宋体" w:cs="方正仿宋简体"/>
                <w:iCs/>
                <w:sz w:val="21"/>
                <w:szCs w:val="21"/>
              </w:rPr>
            </w:pPr>
            <w:r>
              <w:rPr>
                <w:rFonts w:ascii="宋体" w:eastAsia="宋体" w:hAnsi="宋体" w:hint="eastAsia"/>
                <w:kern w:val="0"/>
                <w:sz w:val="21"/>
                <w:szCs w:val="21"/>
              </w:rPr>
              <w:t>中国农业银行股份有限公司</w:t>
            </w:r>
          </w:p>
        </w:tc>
      </w:tr>
      <w:tr w:rsidR="00AE3DEF" w14:paraId="6AFDC5F2" w14:textId="77777777">
        <w:trPr>
          <w:trHeight w:val="340"/>
        </w:trPr>
        <w:tc>
          <w:tcPr>
            <w:tcW w:w="1757" w:type="dxa"/>
            <w:shd w:val="clear" w:color="auto" w:fill="auto"/>
            <w:vAlign w:val="center"/>
          </w:tcPr>
          <w:p w14:paraId="377A4674"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14:paraId="68ED9E4A" w14:textId="77777777" w:rsidR="00AE3DEF" w:rsidRDefault="00557546">
            <w:pPr>
              <w:adjustRightInd w:val="0"/>
              <w:snapToGrid w:val="0"/>
              <w:rPr>
                <w:rFonts w:ascii="宋体" w:eastAsia="宋体" w:hAnsi="宋体" w:cs="方正仿宋简体"/>
                <w:iCs/>
                <w:sz w:val="21"/>
                <w:szCs w:val="21"/>
              </w:rPr>
            </w:pPr>
            <w:r>
              <w:rPr>
                <w:rFonts w:ascii="宋体" w:eastAsia="宋体" w:hAnsi="宋体"/>
                <w:kern w:val="0"/>
                <w:sz w:val="21"/>
                <w:szCs w:val="21"/>
              </w:rPr>
              <w:t>2022</w:t>
            </w:r>
            <w:r>
              <w:rPr>
                <w:rFonts w:ascii="宋体" w:eastAsia="宋体" w:hAnsi="宋体"/>
                <w:kern w:val="0"/>
                <w:sz w:val="21"/>
                <w:szCs w:val="21"/>
              </w:rPr>
              <w:t>年</w:t>
            </w:r>
            <w:r>
              <w:rPr>
                <w:rFonts w:ascii="宋体" w:eastAsia="宋体" w:hAnsi="宋体"/>
                <w:kern w:val="0"/>
                <w:sz w:val="21"/>
                <w:szCs w:val="21"/>
              </w:rPr>
              <w:t>06</w:t>
            </w:r>
            <w:r>
              <w:rPr>
                <w:rFonts w:ascii="宋体" w:eastAsia="宋体" w:hAnsi="宋体"/>
                <w:kern w:val="0"/>
                <w:sz w:val="21"/>
                <w:szCs w:val="21"/>
              </w:rPr>
              <w:t>月</w:t>
            </w:r>
            <w:r>
              <w:rPr>
                <w:rFonts w:ascii="宋体" w:eastAsia="宋体" w:hAnsi="宋体"/>
                <w:kern w:val="0"/>
                <w:sz w:val="21"/>
                <w:szCs w:val="21"/>
              </w:rPr>
              <w:t>14</w:t>
            </w:r>
            <w:r>
              <w:rPr>
                <w:rFonts w:ascii="宋体" w:eastAsia="宋体" w:hAnsi="宋体"/>
                <w:kern w:val="0"/>
                <w:sz w:val="21"/>
                <w:szCs w:val="21"/>
              </w:rPr>
              <w:t>日</w:t>
            </w:r>
          </w:p>
        </w:tc>
        <w:tc>
          <w:tcPr>
            <w:tcW w:w="1701" w:type="dxa"/>
            <w:shd w:val="clear" w:color="auto" w:fill="auto"/>
            <w:vAlign w:val="center"/>
          </w:tcPr>
          <w:p w14:paraId="7EDE6807"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14:paraId="3549CB01" w14:textId="77777777" w:rsidR="00AE3DEF" w:rsidRDefault="00557546">
            <w:pPr>
              <w:adjustRightInd w:val="0"/>
              <w:snapToGrid w:val="0"/>
              <w:rPr>
                <w:rFonts w:ascii="宋体" w:eastAsia="宋体" w:hAnsi="宋体" w:cs="方正仿宋简体"/>
                <w:iCs/>
                <w:sz w:val="21"/>
                <w:szCs w:val="21"/>
              </w:rPr>
            </w:pPr>
            <w:r>
              <w:rPr>
                <w:rFonts w:ascii="宋体" w:eastAsia="宋体" w:hAnsi="宋体" w:hint="eastAsia"/>
                <w:kern w:val="0"/>
                <w:sz w:val="21"/>
                <w:szCs w:val="21"/>
              </w:rPr>
              <w:t>基金中基金</w:t>
            </w:r>
          </w:p>
        </w:tc>
      </w:tr>
      <w:tr w:rsidR="00AE3DEF" w14:paraId="5FFBADB9" w14:textId="77777777">
        <w:trPr>
          <w:trHeight w:val="340"/>
        </w:trPr>
        <w:tc>
          <w:tcPr>
            <w:tcW w:w="1757" w:type="dxa"/>
            <w:shd w:val="clear" w:color="auto" w:fill="auto"/>
            <w:vAlign w:val="center"/>
          </w:tcPr>
          <w:p w14:paraId="249FB3ED"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14:paraId="1DC64ADD" w14:textId="77777777" w:rsidR="00AE3DEF" w:rsidRDefault="00557546">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14:paraId="5B32C9DD"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14:paraId="46770B5C" w14:textId="77777777" w:rsidR="00AE3DEF" w:rsidRDefault="00557546">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rsidR="00AE3DEF" w14:paraId="16225DB8" w14:textId="77777777">
        <w:trPr>
          <w:trHeight w:val="340"/>
        </w:trPr>
        <w:tc>
          <w:tcPr>
            <w:tcW w:w="1757" w:type="dxa"/>
            <w:shd w:val="clear" w:color="auto" w:fill="auto"/>
            <w:vAlign w:val="center"/>
          </w:tcPr>
          <w:p w14:paraId="55448239"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14:paraId="4044B3C0" w14:textId="77777777" w:rsidR="00AE3DEF" w:rsidRDefault="00557546">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14:paraId="26B0ADEF" w14:textId="77777777" w:rsidR="00A970AF" w:rsidRPr="004A1547" w:rsidRDefault="00A970AF" w:rsidP="00A14942">
            <w:pPr>
              <w:adjustRightInd w:val="0"/>
              <w:snapToGrid w:val="0"/>
              <w:rPr>
                <w:rFonts w:ascii="宋体" w:eastAsia="宋体" w:hAnsi="宋体" w:cs="方正仿宋简体"/>
                <w:iCs/>
                <w:sz w:val="21"/>
                <w:szCs w:val="21"/>
              </w:rPr>
            </w:pPr>
          </w:p>
        </w:tc>
        <w:tc>
          <w:tcPr>
            <w:tcW w:w="2835" w:type="dxa"/>
            <w:shd w:val="clear" w:color="auto" w:fill="auto"/>
            <w:vAlign w:val="center"/>
          </w:tcPr>
          <w:p w14:paraId="630D73DA" w14:textId="77777777" w:rsidR="00AE3DEF" w:rsidRDefault="00AE3DEF">
            <w:pPr>
              <w:adjustRightInd w:val="0"/>
              <w:snapToGrid w:val="0"/>
              <w:rPr>
                <w:rFonts w:ascii="宋体" w:eastAsia="宋体" w:hAnsi="宋体" w:cs="方正仿宋简体"/>
                <w:iCs/>
                <w:sz w:val="21"/>
                <w:szCs w:val="21"/>
              </w:rPr>
            </w:pPr>
          </w:p>
        </w:tc>
      </w:tr>
      <w:tr w:rsidR="00AE3DEF" w14:paraId="4056A342" w14:textId="77777777">
        <w:trPr>
          <w:trHeight w:val="340"/>
        </w:trPr>
        <w:tc>
          <w:tcPr>
            <w:tcW w:w="1757" w:type="dxa"/>
            <w:vMerge w:val="restart"/>
            <w:shd w:val="clear" w:color="auto" w:fill="auto"/>
            <w:vAlign w:val="center"/>
          </w:tcPr>
          <w:p w14:paraId="3F72286C"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14:paraId="19858324"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王登元</w:t>
            </w:r>
          </w:p>
        </w:tc>
        <w:tc>
          <w:tcPr>
            <w:tcW w:w="1701" w:type="dxa"/>
            <w:shd w:val="clear" w:color="auto" w:fill="auto"/>
            <w:vAlign w:val="center"/>
          </w:tcPr>
          <w:p w14:paraId="3204AFA1"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14:paraId="78D28C20"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2022</w:t>
            </w:r>
            <w:r>
              <w:rPr>
                <w:rFonts w:ascii="宋体" w:eastAsia="宋体" w:hAnsi="宋体" w:cs="方正仿宋简体" w:hint="eastAsia"/>
                <w:iCs/>
                <w:sz w:val="21"/>
                <w:szCs w:val="21"/>
              </w:rPr>
              <w:t>年</w:t>
            </w:r>
            <w:r>
              <w:rPr>
                <w:rFonts w:ascii="宋体" w:eastAsia="宋体" w:hAnsi="宋体" w:cs="方正仿宋简体" w:hint="eastAsia"/>
                <w:iCs/>
                <w:sz w:val="21"/>
                <w:szCs w:val="21"/>
              </w:rPr>
              <w:t>06</w:t>
            </w:r>
            <w:r>
              <w:rPr>
                <w:rFonts w:ascii="宋体" w:eastAsia="宋体" w:hAnsi="宋体" w:cs="方正仿宋简体" w:hint="eastAsia"/>
                <w:iCs/>
                <w:sz w:val="21"/>
                <w:szCs w:val="21"/>
              </w:rPr>
              <w:t>月</w:t>
            </w:r>
            <w:r>
              <w:rPr>
                <w:rFonts w:ascii="宋体" w:eastAsia="宋体" w:hAnsi="宋体" w:cs="方正仿宋简体" w:hint="eastAsia"/>
                <w:iCs/>
                <w:sz w:val="21"/>
                <w:szCs w:val="21"/>
              </w:rPr>
              <w:t>14</w:t>
            </w:r>
            <w:r>
              <w:rPr>
                <w:rFonts w:ascii="宋体" w:eastAsia="宋体" w:hAnsi="宋体" w:cs="方正仿宋简体" w:hint="eastAsia"/>
                <w:iCs/>
                <w:sz w:val="21"/>
                <w:szCs w:val="21"/>
              </w:rPr>
              <w:t>日</w:t>
            </w:r>
          </w:p>
        </w:tc>
      </w:tr>
      <w:tr w:rsidR="00AE3DEF" w14:paraId="43D0C1B7" w14:textId="77777777">
        <w:trPr>
          <w:trHeight w:val="340"/>
        </w:trPr>
        <w:tc>
          <w:tcPr>
            <w:tcW w:w="1757" w:type="dxa"/>
            <w:vMerge/>
            <w:shd w:val="clear" w:color="auto" w:fill="auto"/>
            <w:vAlign w:val="center"/>
          </w:tcPr>
          <w:p w14:paraId="56C1E9BA" w14:textId="77777777"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14:paraId="68305ABC" w14:textId="77777777"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14:paraId="2215DA28"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14:paraId="3B5EEDAC"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2011</w:t>
            </w:r>
            <w:r>
              <w:rPr>
                <w:rFonts w:ascii="宋体" w:eastAsia="宋体" w:hAnsi="宋体" w:cs="方正仿宋简体" w:hint="eastAsia"/>
                <w:iCs/>
                <w:sz w:val="21"/>
                <w:szCs w:val="21"/>
              </w:rPr>
              <w:t>年</w:t>
            </w:r>
            <w:r>
              <w:rPr>
                <w:rFonts w:ascii="宋体" w:eastAsia="宋体" w:hAnsi="宋体" w:cs="方正仿宋简体" w:hint="eastAsia"/>
                <w:iCs/>
                <w:sz w:val="21"/>
                <w:szCs w:val="21"/>
              </w:rPr>
              <w:t>07</w:t>
            </w:r>
            <w:r>
              <w:rPr>
                <w:rFonts w:ascii="宋体" w:eastAsia="宋体" w:hAnsi="宋体" w:cs="方正仿宋简体" w:hint="eastAsia"/>
                <w:iCs/>
                <w:sz w:val="21"/>
                <w:szCs w:val="21"/>
              </w:rPr>
              <w:t>月</w:t>
            </w:r>
            <w:r>
              <w:rPr>
                <w:rFonts w:ascii="宋体" w:eastAsia="宋体" w:hAnsi="宋体" w:cs="方正仿宋简体" w:hint="eastAsia"/>
                <w:iCs/>
                <w:sz w:val="21"/>
                <w:szCs w:val="21"/>
              </w:rPr>
              <w:t>01</w:t>
            </w:r>
            <w:r>
              <w:rPr>
                <w:rFonts w:ascii="宋体" w:eastAsia="宋体" w:hAnsi="宋体" w:cs="方正仿宋简体" w:hint="eastAsia"/>
                <w:iCs/>
                <w:sz w:val="21"/>
                <w:szCs w:val="21"/>
              </w:rPr>
              <w:t>日</w:t>
            </w:r>
          </w:p>
        </w:tc>
      </w:tr>
    </w:tbl>
    <w:p w14:paraId="3AA46857"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注：本基金于</w:t>
      </w:r>
      <w:r>
        <w:rPr>
          <w:rFonts w:ascii="宋体" w:eastAsia="宋体" w:hAnsi="宋体" w:cs="方正仿宋简体" w:hint="eastAsia"/>
          <w:iCs/>
          <w:sz w:val="21"/>
          <w:szCs w:val="21"/>
        </w:rPr>
        <w:t>2026</w:t>
      </w:r>
      <w:r>
        <w:rPr>
          <w:rFonts w:ascii="宋体" w:eastAsia="宋体" w:hAnsi="宋体" w:cs="方正仿宋简体" w:hint="eastAsia"/>
          <w:iCs/>
          <w:sz w:val="21"/>
          <w:szCs w:val="21"/>
        </w:rPr>
        <w:t>年</w:t>
      </w:r>
      <w:r>
        <w:rPr>
          <w:rFonts w:ascii="宋体" w:eastAsia="宋体" w:hAnsi="宋体" w:cs="方正仿宋简体" w:hint="eastAsia"/>
          <w:iCs/>
          <w:sz w:val="21"/>
          <w:szCs w:val="21"/>
        </w:rPr>
        <w:t>1</w:t>
      </w:r>
      <w:r>
        <w:rPr>
          <w:rFonts w:ascii="宋体" w:eastAsia="宋体" w:hAnsi="宋体" w:cs="方正仿宋简体" w:hint="eastAsia"/>
          <w:iCs/>
          <w:sz w:val="21"/>
          <w:szCs w:val="21"/>
        </w:rPr>
        <w:t>月</w:t>
      </w:r>
      <w:r>
        <w:rPr>
          <w:rFonts w:ascii="宋体" w:eastAsia="宋体" w:hAnsi="宋体" w:cs="方正仿宋简体" w:hint="eastAsia"/>
          <w:iCs/>
          <w:sz w:val="21"/>
          <w:szCs w:val="21"/>
        </w:rPr>
        <w:t>1</w:t>
      </w:r>
      <w:r>
        <w:rPr>
          <w:rFonts w:ascii="宋体" w:eastAsia="宋体" w:hAnsi="宋体" w:cs="方正仿宋简体" w:hint="eastAsia"/>
          <w:iCs/>
          <w:sz w:val="21"/>
          <w:szCs w:val="21"/>
        </w:rPr>
        <w:t>日由富国鑫汇养老目标日期</w:t>
      </w:r>
      <w:r>
        <w:rPr>
          <w:rFonts w:ascii="宋体" w:eastAsia="宋体" w:hAnsi="宋体" w:cs="方正仿宋简体" w:hint="eastAsia"/>
          <w:iCs/>
          <w:sz w:val="21"/>
          <w:szCs w:val="21"/>
        </w:rPr>
        <w:t>2025</w:t>
      </w:r>
      <w:r>
        <w:rPr>
          <w:rFonts w:ascii="宋体" w:eastAsia="宋体" w:hAnsi="宋体" w:cs="方正仿宋简体" w:hint="eastAsia"/>
          <w:iCs/>
          <w:sz w:val="21"/>
          <w:szCs w:val="21"/>
        </w:rPr>
        <w:t>一年持有期混合型基金中基金（</w:t>
      </w:r>
      <w:r>
        <w:rPr>
          <w:rFonts w:ascii="宋体" w:eastAsia="宋体" w:hAnsi="宋体" w:cs="方正仿宋简体" w:hint="eastAsia"/>
          <w:iCs/>
          <w:sz w:val="21"/>
          <w:szCs w:val="21"/>
        </w:rPr>
        <w:t>FOF</w:t>
      </w:r>
      <w:r>
        <w:rPr>
          <w:rFonts w:ascii="宋体" w:eastAsia="宋体" w:hAnsi="宋体" w:cs="方正仿宋简体" w:hint="eastAsia"/>
          <w:iCs/>
          <w:sz w:val="21"/>
          <w:szCs w:val="21"/>
        </w:rPr>
        <w:t>）目标日期届满转型而来。</w:t>
      </w:r>
    </w:p>
    <w:p w14:paraId="5043A9CC" w14:textId="77777777" w:rsidR="006F366F" w:rsidRPr="00A14942" w:rsidRDefault="006F366F" w:rsidP="00F50507">
      <w:pPr>
        <w:pStyle w:val="1"/>
      </w:pPr>
      <w:r w:rsidRPr="00A14942">
        <w:rPr>
          <w:rFonts w:hint="eastAsia"/>
        </w:rPr>
        <w:t>基金投资与净值表现</w:t>
      </w:r>
    </w:p>
    <w:p w14:paraId="4ED5C8EE" w14:textId="77777777" w:rsidR="00BC4EFB" w:rsidRPr="00F50507" w:rsidRDefault="00BC4EFB" w:rsidP="00F50507">
      <w:pPr>
        <w:pStyle w:val="2"/>
      </w:pPr>
      <w:r w:rsidRPr="00F50507">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rsidR="00AE3DEF" w14:paraId="26FBA2CD" w14:textId="77777777">
        <w:trPr>
          <w:trHeight w:val="340"/>
        </w:trPr>
        <w:tc>
          <w:tcPr>
            <w:tcW w:w="1757" w:type="dxa"/>
            <w:shd w:val="clear" w:color="auto" w:fill="auto"/>
            <w:vAlign w:val="center"/>
          </w:tcPr>
          <w:p w14:paraId="7A8A39C9" w14:textId="77777777" w:rsidR="00AE3DEF" w:rsidRDefault="00557546">
            <w:pPr>
              <w:pStyle w:val="af4"/>
            </w:pPr>
            <w:r>
              <w:rPr>
                <w:rFonts w:hint="eastAsia"/>
              </w:rPr>
              <w:t>投资目标</w:t>
            </w:r>
          </w:p>
        </w:tc>
        <w:tc>
          <w:tcPr>
            <w:tcW w:w="7423" w:type="dxa"/>
            <w:shd w:val="clear" w:color="auto" w:fill="auto"/>
            <w:vAlign w:val="center"/>
          </w:tcPr>
          <w:p w14:paraId="23D7C05E" w14:textId="77777777" w:rsidR="00AE3DEF" w:rsidRDefault="00557546">
            <w:pPr>
              <w:pStyle w:val="af4"/>
            </w:pPr>
            <w:r>
              <w:rPr>
                <w:rFonts w:hint="eastAsia"/>
              </w:rPr>
              <w:t>本基金在严格控制风险的基础上，通过积极主动的投资管理、基金优选，追求基金长期稳健增值。</w:t>
            </w:r>
          </w:p>
        </w:tc>
      </w:tr>
      <w:tr w:rsidR="00AE3DEF" w14:paraId="5E43AEB1" w14:textId="77777777">
        <w:trPr>
          <w:trHeight w:val="340"/>
        </w:trPr>
        <w:tc>
          <w:tcPr>
            <w:tcW w:w="1757" w:type="dxa"/>
            <w:shd w:val="clear" w:color="auto" w:fill="auto"/>
            <w:vAlign w:val="center"/>
          </w:tcPr>
          <w:p w14:paraId="1EA16559" w14:textId="77777777" w:rsidR="00AE3DEF" w:rsidRDefault="00557546">
            <w:pPr>
              <w:pStyle w:val="af4"/>
            </w:pPr>
            <w:r>
              <w:rPr>
                <w:rFonts w:hint="eastAsia"/>
              </w:rPr>
              <w:t>投资范围</w:t>
            </w:r>
          </w:p>
        </w:tc>
        <w:tc>
          <w:tcPr>
            <w:tcW w:w="7423" w:type="dxa"/>
            <w:shd w:val="clear" w:color="auto" w:fill="auto"/>
            <w:vAlign w:val="center"/>
          </w:tcPr>
          <w:p w14:paraId="30B9B6C3" w14:textId="77777777" w:rsidR="00AE3DEF" w:rsidRDefault="00557546">
            <w:pPr>
              <w:pStyle w:val="af4"/>
            </w:pPr>
            <w:r>
              <w:rPr>
                <w:rFonts w:hint="eastAsia"/>
              </w:rPr>
              <w:t>本基金的投资范围包括经中国证监会依法核准或注册的公开募集的基金份额（包括</w:t>
            </w:r>
            <w:r>
              <w:rPr>
                <w:rFonts w:hint="eastAsia"/>
              </w:rPr>
              <w:t>QDII</w:t>
            </w:r>
            <w:r>
              <w:rPr>
                <w:rFonts w:hint="eastAsia"/>
              </w:rPr>
              <w:t>基金、商品基金（含商品期货基金和黄金</w:t>
            </w:r>
            <w:r>
              <w:rPr>
                <w:rFonts w:hint="eastAsia"/>
              </w:rPr>
              <w:t>ETF</w:t>
            </w:r>
            <w:r>
              <w:rPr>
                <w:rFonts w:hint="eastAsia"/>
              </w:rPr>
              <w:t>，下同）、公开募集基础设施证券投资基金（以下简称“公募</w:t>
            </w:r>
            <w:r>
              <w:rPr>
                <w:rFonts w:hint="eastAsia"/>
              </w:rPr>
              <w:t>REITs</w:t>
            </w:r>
            <w:r>
              <w:rPr>
                <w:rFonts w:hint="eastAsia"/>
              </w:rPr>
              <w:t>”）及其他经中国证监会核准或注册的公开募集证券投资基金、香港互认基金）、国内依法公开发行上市交易的股票（包括主板、创业板及其他中国证监会允许发行的股票）、存托凭证、港股通标的股票、债券（包括国债、地方政府债、金融债、企业债、公司债、政府支持债券、政府支持机构债、次级债、可转换债券、分离交易可转债、央行票据、中期票据、短期融资</w:t>
            </w:r>
            <w:r>
              <w:rPr>
                <w:rFonts w:hint="eastAsia"/>
              </w:rPr>
              <w:t>券（含超短期融资券）、可交换债券）、资产支持证券、债券回购、银行存款（包括定期存款、协议存款、通知存款等）、同业存单以及法律法规或中国证监会允许基金投资的其他金融工具（但须符合中国证监会的相关规定）。</w:t>
            </w:r>
          </w:p>
          <w:p w14:paraId="5FA52FDA" w14:textId="77777777" w:rsidR="00AE3DEF" w:rsidRDefault="00557546">
            <w:pPr>
              <w:pStyle w:val="af4"/>
            </w:pPr>
            <w:r>
              <w:rPr>
                <w:rFonts w:hint="eastAsia"/>
              </w:rPr>
              <w:t>基金的投资组合比例为：本基金投资于经中国证监会依法核准或注册的公开募集的基金份额的资产占基金资产的比例不低于</w:t>
            </w:r>
            <w:r>
              <w:rPr>
                <w:rFonts w:hint="eastAsia"/>
              </w:rPr>
              <w:t>80%</w:t>
            </w:r>
            <w:r>
              <w:rPr>
                <w:rFonts w:hint="eastAsia"/>
              </w:rPr>
              <w:t>；本基金投资于股票、存托凭证、股票型基金、混合型基金和商品基金（含商品期货基金和黄金</w:t>
            </w:r>
            <w:r>
              <w:rPr>
                <w:rFonts w:hint="eastAsia"/>
              </w:rPr>
              <w:t>ETF</w:t>
            </w:r>
            <w:r>
              <w:rPr>
                <w:rFonts w:hint="eastAsia"/>
              </w:rPr>
              <w:t>）等品种的比例合计原则上不高于基金资产的</w:t>
            </w:r>
            <w:r>
              <w:rPr>
                <w:rFonts w:hint="eastAsia"/>
              </w:rPr>
              <w:t>24.6%</w:t>
            </w:r>
            <w:r>
              <w:rPr>
                <w:rFonts w:hint="eastAsia"/>
              </w:rPr>
              <w:t>。本基金投资于货币市场基金的资产占基金资产的比例不高于</w:t>
            </w:r>
            <w:r>
              <w:rPr>
                <w:rFonts w:hint="eastAsia"/>
              </w:rPr>
              <w:t>1</w:t>
            </w:r>
            <w:r>
              <w:rPr>
                <w:rFonts w:hint="eastAsia"/>
              </w:rPr>
              <w:t>5%</w:t>
            </w:r>
            <w:r>
              <w:rPr>
                <w:rFonts w:hint="eastAsia"/>
              </w:rPr>
              <w:t>。本基金投资于港股通标的股票的比例占股票资产的</w:t>
            </w:r>
            <w:r>
              <w:rPr>
                <w:rFonts w:hint="eastAsia"/>
              </w:rPr>
              <w:t>0%-50%</w:t>
            </w:r>
            <w:r>
              <w:rPr>
                <w:rFonts w:hint="eastAsia"/>
              </w:rPr>
              <w:t>。</w:t>
            </w:r>
          </w:p>
          <w:p w14:paraId="5F29B64E" w14:textId="77777777" w:rsidR="00AE3DEF" w:rsidRDefault="00557546">
            <w:pPr>
              <w:pStyle w:val="af4"/>
            </w:pPr>
            <w:r>
              <w:rPr>
                <w:rFonts w:hint="eastAsia"/>
              </w:rPr>
              <w:t>本基金持有的现金或者到期日在一年以内的政府债券不低于基金资产净值的</w:t>
            </w:r>
            <w:r>
              <w:rPr>
                <w:rFonts w:hint="eastAsia"/>
              </w:rPr>
              <w:t>5%</w:t>
            </w:r>
            <w:r>
              <w:rPr>
                <w:rFonts w:hint="eastAsia"/>
              </w:rPr>
              <w:t>，其中现金不包括结算备付金、存出保证金、应收申购款等。</w:t>
            </w:r>
          </w:p>
        </w:tc>
      </w:tr>
      <w:tr w:rsidR="00AE3DEF" w14:paraId="60E8EE1E" w14:textId="77777777">
        <w:trPr>
          <w:trHeight w:val="340"/>
        </w:trPr>
        <w:tc>
          <w:tcPr>
            <w:tcW w:w="1757" w:type="dxa"/>
            <w:shd w:val="clear" w:color="auto" w:fill="auto"/>
            <w:vAlign w:val="center"/>
          </w:tcPr>
          <w:p w14:paraId="6591ACC4" w14:textId="77777777" w:rsidR="00AE3DEF" w:rsidRDefault="00557546">
            <w:pPr>
              <w:pStyle w:val="af4"/>
            </w:pPr>
            <w:r>
              <w:rPr>
                <w:rFonts w:hint="eastAsia"/>
              </w:rPr>
              <w:t>主要投资策略</w:t>
            </w:r>
          </w:p>
        </w:tc>
        <w:tc>
          <w:tcPr>
            <w:tcW w:w="7423" w:type="dxa"/>
            <w:shd w:val="clear" w:color="auto" w:fill="auto"/>
            <w:vAlign w:val="center"/>
          </w:tcPr>
          <w:p w14:paraId="209DCDB2" w14:textId="77777777" w:rsidR="00AE3DEF" w:rsidRDefault="00557546">
            <w:pPr>
              <w:pStyle w:val="af4"/>
            </w:pPr>
            <w:r>
              <w:rPr>
                <w:rFonts w:hint="eastAsia"/>
              </w:rPr>
              <w:t>本基金在有效控制风险的前提下确定大类资产配置比例，并通过定量分析和定性分析相结合的方式筛选出优质基金组成投资组合，争取实现基金资产的长期稳健增值。本基金在对宏观经济、政策环境、利率走势、资金供给以及证券市场的现状及发展趋势等因素进行深入分析研究的基础上，动态配置权益类资产、</w:t>
            </w:r>
            <w:r>
              <w:rPr>
                <w:rFonts w:hint="eastAsia"/>
              </w:rPr>
              <w:lastRenderedPageBreak/>
              <w:t>固定收益类资产以及现金类资产等</w:t>
            </w:r>
            <w:r>
              <w:rPr>
                <w:rFonts w:hint="eastAsia"/>
              </w:rPr>
              <w:t>大类资产之间的比例；在基金投资方面，本基金采用定量分析和定性分析相结合的方式，一方面通过严格的量化规则筛选有潜在投资价值的标的纳入研究范围，另一方面结合所选基金的基金管理人的基本情况和投研文化等定性因素进行二次研判，双重维度筛选出中长期业绩稳定的优秀基金；在股票投资方面，以价值选股、组合投资为原则，通过分散投资、组合投资，降低个股风险与集中性风险；在债券投资方面，本基金将采用久期控制下的主动性投资策略。本基金的港股通标的股票投资策略、存托凭证投资策略、资产支持证券投资策略和公募</w:t>
            </w:r>
            <w:r>
              <w:rPr>
                <w:rFonts w:hint="eastAsia"/>
              </w:rPr>
              <w:t>REITs</w:t>
            </w:r>
            <w:r>
              <w:rPr>
                <w:rFonts w:hint="eastAsia"/>
              </w:rPr>
              <w:t>投资策略详见法律文件</w:t>
            </w:r>
            <w:r>
              <w:rPr>
                <w:rFonts w:hint="eastAsia"/>
              </w:rPr>
              <w:t>。</w:t>
            </w:r>
          </w:p>
        </w:tc>
      </w:tr>
      <w:tr w:rsidR="00AE3DEF" w14:paraId="68815213" w14:textId="77777777">
        <w:trPr>
          <w:trHeight w:val="340"/>
        </w:trPr>
        <w:tc>
          <w:tcPr>
            <w:tcW w:w="1757" w:type="dxa"/>
            <w:shd w:val="clear" w:color="auto" w:fill="auto"/>
            <w:vAlign w:val="center"/>
          </w:tcPr>
          <w:p w14:paraId="6303E789" w14:textId="77777777" w:rsidR="00AE3DEF" w:rsidRDefault="00557546">
            <w:pPr>
              <w:pStyle w:val="af4"/>
            </w:pPr>
            <w:r>
              <w:rPr>
                <w:rFonts w:hint="eastAsia"/>
              </w:rPr>
              <w:lastRenderedPageBreak/>
              <w:t>业绩比较基准</w:t>
            </w:r>
          </w:p>
        </w:tc>
        <w:tc>
          <w:tcPr>
            <w:tcW w:w="7423" w:type="dxa"/>
            <w:shd w:val="clear" w:color="auto" w:fill="auto"/>
            <w:vAlign w:val="center"/>
          </w:tcPr>
          <w:p w14:paraId="27D66F87" w14:textId="77777777" w:rsidR="00AE3DEF" w:rsidRDefault="00557546">
            <w:pPr>
              <w:pStyle w:val="af4"/>
            </w:pPr>
            <w:r>
              <w:rPr>
                <w:rFonts w:hint="eastAsia"/>
              </w:rPr>
              <w:t>沪深</w:t>
            </w:r>
            <w:r>
              <w:rPr>
                <w:rFonts w:hint="eastAsia"/>
              </w:rPr>
              <w:t>300</w:t>
            </w:r>
            <w:r>
              <w:rPr>
                <w:rFonts w:hint="eastAsia"/>
              </w:rPr>
              <w:t>指数收益率</w:t>
            </w:r>
            <w:r>
              <w:rPr>
                <w:rFonts w:hint="eastAsia"/>
              </w:rPr>
              <w:t>*13.5%+</w:t>
            </w:r>
            <w:r>
              <w:rPr>
                <w:rFonts w:hint="eastAsia"/>
              </w:rPr>
              <w:t>恒生指数收益率</w:t>
            </w:r>
            <w:r>
              <w:rPr>
                <w:rFonts w:hint="eastAsia"/>
              </w:rPr>
              <w:t>(</w:t>
            </w:r>
            <w:r>
              <w:rPr>
                <w:rFonts w:hint="eastAsia"/>
              </w:rPr>
              <w:t>使用汇率估值折算</w:t>
            </w:r>
            <w:r>
              <w:rPr>
                <w:rFonts w:hint="eastAsia"/>
              </w:rPr>
              <w:t>)*1.5%+</w:t>
            </w:r>
            <w:r>
              <w:rPr>
                <w:rFonts w:hint="eastAsia"/>
              </w:rPr>
              <w:t>中债综合全价指数收益率</w:t>
            </w:r>
            <w:r>
              <w:rPr>
                <w:rFonts w:hint="eastAsia"/>
              </w:rPr>
              <w:t>*85%</w:t>
            </w:r>
          </w:p>
        </w:tc>
      </w:tr>
      <w:tr w:rsidR="00AE3DEF" w14:paraId="7163A802" w14:textId="77777777">
        <w:trPr>
          <w:trHeight w:val="340"/>
        </w:trPr>
        <w:tc>
          <w:tcPr>
            <w:tcW w:w="1757" w:type="dxa"/>
            <w:shd w:val="clear" w:color="auto" w:fill="auto"/>
            <w:vAlign w:val="center"/>
          </w:tcPr>
          <w:p w14:paraId="4436A068" w14:textId="77777777" w:rsidR="00AE3DEF" w:rsidRDefault="00557546">
            <w:pPr>
              <w:pStyle w:val="af4"/>
            </w:pPr>
            <w:r>
              <w:rPr>
                <w:rFonts w:hint="eastAsia"/>
              </w:rPr>
              <w:t>风险收益特征</w:t>
            </w:r>
          </w:p>
        </w:tc>
        <w:tc>
          <w:tcPr>
            <w:tcW w:w="7423" w:type="dxa"/>
            <w:shd w:val="clear" w:color="auto" w:fill="auto"/>
            <w:vAlign w:val="center"/>
          </w:tcPr>
          <w:p w14:paraId="7EB49922" w14:textId="77777777" w:rsidR="00AE3DEF" w:rsidRDefault="00557546">
            <w:pPr>
              <w:pStyle w:val="af4"/>
            </w:pPr>
            <w:r>
              <w:rPr>
                <w:rFonts w:hint="eastAsia"/>
              </w:rPr>
              <w:t>本基金为混合型基金中基金，在通常情况下其预期收益及预期风险水平高于债券型基金、货币市场基金、债券型基金中基金和货币型基金中基金，低于股票型基金和股票型基金中基金。本基金投资港股通标的股票的，需承担港股通机制下因投资环境、投资标的、市场制度以及交易规则等差异带来的特有风险。</w:t>
            </w:r>
          </w:p>
        </w:tc>
      </w:tr>
    </w:tbl>
    <w:p w14:paraId="17313BE8" w14:textId="77777777" w:rsidR="00CA1E41" w:rsidRPr="00CA1E41" w:rsidRDefault="009548E7"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14:paraId="56D3EB67" w14:textId="77777777" w:rsidR="00DA42C1" w:rsidRDefault="00DA42C1" w:rsidP="00F50507">
      <w:pPr>
        <w:pStyle w:val="2"/>
      </w:pPr>
      <w:r w:rsidRPr="00A14942">
        <w:rPr>
          <w:rFonts w:hint="eastAsia"/>
        </w:rPr>
        <w:t>投资组合资产配置图表</w:t>
      </w:r>
    </w:p>
    <w:p w14:paraId="1AFAAA22" w14:textId="77777777" w:rsidR="000675A4" w:rsidRDefault="000675A4" w:rsidP="00257D7C">
      <w:pPr>
        <w:adjustRightInd w:val="0"/>
        <w:snapToGrid w:val="0"/>
        <w:rPr>
          <w:rFonts w:ascii="宋体" w:eastAsia="宋体" w:hAnsi="宋体" w:cs="方正仿宋简体"/>
          <w:iCs/>
          <w:sz w:val="21"/>
          <w:szCs w:val="21"/>
        </w:rPr>
      </w:pPr>
      <w:r>
        <w:rPr>
          <w:noProof/>
        </w:rPr>
        <w:drawing>
          <wp:inline distT="0" distB="0" distL="0" distR="0" wp14:anchorId="54445699" wp14:editId="5CBB05B8">
            <wp:extent cx="5943600" cy="3803904"/>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_50100000_013421_FA010080_20250020_01.jpg"/>
                    <pic:cNvPicPr/>
                  </pic:nvPicPr>
                  <pic:blipFill>
                    <a:blip r:embed="rId7" cstate="print"/>
                    <a:stretch>
                      <a:fillRect/>
                    </a:stretch>
                  </pic:blipFill>
                  <pic:spPr>
                    <a:xfrm>
                      <a:off x="0" y="0"/>
                      <a:ext cx="5943600" cy="3803904"/>
                    </a:xfrm>
                    <a:prstGeom prst="rect">
                      <a:avLst/>
                    </a:prstGeom>
                  </pic:spPr>
                </pic:pic>
              </a:graphicData>
            </a:graphic>
          </wp:inline>
        </w:drawing>
      </w:r>
    </w:p>
    <w:p w14:paraId="1D5D9A6B" w14:textId="77777777" w:rsidR="000675A4" w:rsidRDefault="000675A4" w:rsidP="00257D7C">
      <w:pPr>
        <w:adjustRightInd w:val="0"/>
        <w:snapToGrid w:val="0"/>
        <w:rPr>
          <w:rFonts w:ascii="宋体" w:eastAsia="宋体" w:hAnsi="宋体" w:cs="方正仿宋简体"/>
          <w:iCs/>
          <w:sz w:val="21"/>
          <w:szCs w:val="21"/>
        </w:rPr>
      </w:pPr>
    </w:p>
    <w:p w14:paraId="2AF9B9F6" w14:textId="77777777" w:rsidR="00AE3DEF" w:rsidRDefault="00557546">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注：截止日期</w:t>
      </w:r>
      <w:r>
        <w:rPr>
          <w:rFonts w:ascii="宋体" w:eastAsia="宋体" w:hAnsi="宋体" w:cs="方正仿宋简体" w:hint="eastAsia"/>
          <w:iCs/>
          <w:sz w:val="21"/>
          <w:szCs w:val="21"/>
        </w:rPr>
        <w:t>2025</w:t>
      </w:r>
      <w:r>
        <w:rPr>
          <w:rFonts w:ascii="宋体" w:eastAsia="宋体" w:hAnsi="宋体" w:cs="方正仿宋简体" w:hint="eastAsia"/>
          <w:iCs/>
          <w:sz w:val="21"/>
          <w:szCs w:val="21"/>
        </w:rPr>
        <w:t>年</w:t>
      </w:r>
      <w:r>
        <w:rPr>
          <w:rFonts w:ascii="宋体" w:eastAsia="宋体" w:hAnsi="宋体" w:cs="方正仿宋简体" w:hint="eastAsia"/>
          <w:iCs/>
          <w:sz w:val="21"/>
          <w:szCs w:val="21"/>
        </w:rPr>
        <w:t>09</w:t>
      </w:r>
      <w:r>
        <w:rPr>
          <w:rFonts w:ascii="宋体" w:eastAsia="宋体" w:hAnsi="宋体" w:cs="方正仿宋简体" w:hint="eastAsia"/>
          <w:iCs/>
          <w:sz w:val="21"/>
          <w:szCs w:val="21"/>
        </w:rPr>
        <w:t>月</w:t>
      </w:r>
      <w:r>
        <w:rPr>
          <w:rFonts w:ascii="宋体" w:eastAsia="宋体" w:hAnsi="宋体" w:cs="方正仿宋简体" w:hint="eastAsia"/>
          <w:iCs/>
          <w:sz w:val="21"/>
          <w:szCs w:val="21"/>
        </w:rPr>
        <w:t>30</w:t>
      </w:r>
      <w:r>
        <w:rPr>
          <w:rFonts w:ascii="宋体" w:eastAsia="宋体" w:hAnsi="宋体" w:cs="方正仿宋简体" w:hint="eastAsia"/>
          <w:iCs/>
          <w:sz w:val="21"/>
          <w:szCs w:val="21"/>
        </w:rPr>
        <w:t>日。</w:t>
      </w:r>
    </w:p>
    <w:p w14:paraId="495FE9F5" w14:textId="77777777" w:rsidR="006F366F" w:rsidRPr="00A14942" w:rsidRDefault="006F366F" w:rsidP="00F50507">
      <w:pPr>
        <w:pStyle w:val="1"/>
      </w:pPr>
      <w:r w:rsidRPr="00A14942">
        <w:rPr>
          <w:rFonts w:hint="eastAsia"/>
        </w:rPr>
        <w:t>投资本基金涉及的费用</w:t>
      </w:r>
    </w:p>
    <w:p w14:paraId="7F9F42CD" w14:textId="77777777" w:rsidR="00D5603D" w:rsidRPr="00645219" w:rsidRDefault="00A535E9" w:rsidP="00F50507">
      <w:pPr>
        <w:pStyle w:val="2"/>
      </w:pPr>
      <w:r w:rsidRPr="00645219">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0675A4" w:rsidRPr="000675A4" w14:paraId="5088B4CE" w14:textId="77777777" w:rsidTr="00BA5426">
        <w:trPr>
          <w:trHeight w:val="340"/>
        </w:trPr>
        <w:tc>
          <w:tcPr>
            <w:tcW w:w="1092" w:type="pct"/>
            <w:shd w:val="clear" w:color="auto" w:fill="auto"/>
            <w:vAlign w:val="center"/>
          </w:tcPr>
          <w:p w14:paraId="1BD2BAC5"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费用类型</w:t>
            </w:r>
          </w:p>
        </w:tc>
        <w:tc>
          <w:tcPr>
            <w:tcW w:w="1659" w:type="pct"/>
            <w:shd w:val="clear" w:color="auto" w:fill="auto"/>
            <w:vAlign w:val="center"/>
          </w:tcPr>
          <w:p w14:paraId="7E53DAA0"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金额（M）/持有期限（N）</w:t>
            </w:r>
          </w:p>
        </w:tc>
        <w:tc>
          <w:tcPr>
            <w:tcW w:w="1125" w:type="pct"/>
            <w:shd w:val="clear" w:color="auto" w:fill="auto"/>
            <w:vAlign w:val="center"/>
          </w:tcPr>
          <w:p w14:paraId="71F71BC4"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费率（普通客户）</w:t>
            </w:r>
          </w:p>
        </w:tc>
        <w:tc>
          <w:tcPr>
            <w:tcW w:w="1124" w:type="pct"/>
            <w:shd w:val="clear" w:color="auto" w:fill="auto"/>
            <w:vAlign w:val="center"/>
          </w:tcPr>
          <w:p w14:paraId="2FF120EB"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费率（特定客户）</w:t>
            </w:r>
          </w:p>
        </w:tc>
      </w:tr>
      <w:tr w:rsidR="00AE3DEF" w14:paraId="6F22177E" w14:textId="77777777">
        <w:trPr>
          <w:trHeight w:val="340"/>
        </w:trPr>
        <w:tc>
          <w:tcPr>
            <w:tcW w:w="1092" w:type="pct"/>
            <w:vMerge w:val="restart"/>
            <w:shd w:val="clear" w:color="auto" w:fill="auto"/>
            <w:vAlign w:val="center"/>
          </w:tcPr>
          <w:p w14:paraId="278D3015" w14:textId="77777777" w:rsidR="00AE3DEF" w:rsidRDefault="00557546">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14:paraId="6E7A6906" w14:textId="77777777" w:rsidR="00AE3DEF" w:rsidRDefault="00557546">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w:t>
            </w:r>
            <w:r>
              <w:rPr>
                <w:rFonts w:ascii="宋体" w:eastAsia="宋体" w:hAnsi="宋体" w:cs="方正仿宋简体"/>
                <w:iCs/>
                <w:sz w:val="21"/>
                <w:szCs w:val="21"/>
              </w:rPr>
              <w:t>＜</w:t>
            </w:r>
            <w:r>
              <w:rPr>
                <w:rFonts w:ascii="宋体" w:eastAsia="宋体" w:hAnsi="宋体" w:cs="方正仿宋简体"/>
                <w:iCs/>
                <w:sz w:val="21"/>
                <w:szCs w:val="21"/>
              </w:rPr>
              <w:t>7</w:t>
            </w:r>
            <w:r>
              <w:rPr>
                <w:rFonts w:ascii="宋体" w:eastAsia="宋体" w:hAnsi="宋体" w:cs="方正仿宋简体"/>
                <w:iCs/>
                <w:sz w:val="21"/>
                <w:szCs w:val="21"/>
              </w:rPr>
              <w:t>天</w:t>
            </w:r>
          </w:p>
        </w:tc>
        <w:tc>
          <w:tcPr>
            <w:tcW w:w="2249" w:type="pct"/>
            <w:gridSpan w:val="2"/>
            <w:shd w:val="clear" w:color="auto" w:fill="auto"/>
            <w:vAlign w:val="center"/>
          </w:tcPr>
          <w:p w14:paraId="691BEB63" w14:textId="77777777" w:rsidR="00AE3DEF" w:rsidRDefault="00557546">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rsidR="00AE3DEF" w14:paraId="7D45B175" w14:textId="77777777">
        <w:trPr>
          <w:trHeight w:val="340"/>
        </w:trPr>
        <w:tc>
          <w:tcPr>
            <w:tcW w:w="1092" w:type="pct"/>
            <w:vMerge/>
            <w:shd w:val="clear" w:color="auto" w:fill="auto"/>
            <w:vAlign w:val="center"/>
          </w:tcPr>
          <w:p w14:paraId="09EC3782" w14:textId="77777777" w:rsidR="00AE3DEF" w:rsidRDefault="00AE3DEF">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461A3E15" w14:textId="77777777" w:rsidR="00AE3DEF" w:rsidRDefault="00557546">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w:t>
            </w:r>
            <w:r>
              <w:rPr>
                <w:rFonts w:ascii="宋体" w:eastAsia="宋体" w:hAnsi="宋体" w:cs="方正仿宋简体"/>
                <w:iCs/>
                <w:sz w:val="21"/>
                <w:szCs w:val="21"/>
              </w:rPr>
              <w:t>＜</w:t>
            </w:r>
            <w:r>
              <w:rPr>
                <w:rFonts w:ascii="宋体" w:eastAsia="宋体" w:hAnsi="宋体" w:cs="方正仿宋简体"/>
                <w:iCs/>
                <w:sz w:val="21"/>
                <w:szCs w:val="21"/>
              </w:rPr>
              <w:t>30</w:t>
            </w:r>
            <w:r>
              <w:rPr>
                <w:rFonts w:ascii="宋体" w:eastAsia="宋体" w:hAnsi="宋体" w:cs="方正仿宋简体"/>
                <w:iCs/>
                <w:sz w:val="21"/>
                <w:szCs w:val="21"/>
              </w:rPr>
              <w:t>天</w:t>
            </w:r>
          </w:p>
        </w:tc>
        <w:tc>
          <w:tcPr>
            <w:tcW w:w="2249" w:type="pct"/>
            <w:gridSpan w:val="2"/>
            <w:shd w:val="clear" w:color="auto" w:fill="auto"/>
            <w:vAlign w:val="center"/>
          </w:tcPr>
          <w:p w14:paraId="77CC8CE2" w14:textId="77777777" w:rsidR="00AE3DEF" w:rsidRDefault="00557546">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rsidR="00AE3DEF" w14:paraId="18691ECE" w14:textId="77777777">
        <w:trPr>
          <w:trHeight w:val="340"/>
        </w:trPr>
        <w:tc>
          <w:tcPr>
            <w:tcW w:w="1092" w:type="pct"/>
            <w:vMerge/>
            <w:shd w:val="clear" w:color="auto" w:fill="auto"/>
            <w:vAlign w:val="center"/>
          </w:tcPr>
          <w:p w14:paraId="75B5E357" w14:textId="77777777" w:rsidR="00AE3DEF" w:rsidRDefault="00AE3DEF">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5DDF7AF6" w14:textId="77777777" w:rsidR="00AE3DEF" w:rsidRDefault="00557546">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N≥30</w:t>
            </w:r>
            <w:r>
              <w:rPr>
                <w:rFonts w:ascii="宋体" w:eastAsia="宋体" w:hAnsi="宋体" w:cs="方正仿宋简体"/>
                <w:iCs/>
                <w:sz w:val="21"/>
                <w:szCs w:val="21"/>
              </w:rPr>
              <w:t>天</w:t>
            </w:r>
          </w:p>
        </w:tc>
        <w:tc>
          <w:tcPr>
            <w:tcW w:w="2249" w:type="pct"/>
            <w:gridSpan w:val="2"/>
            <w:shd w:val="clear" w:color="auto" w:fill="auto"/>
            <w:vAlign w:val="center"/>
          </w:tcPr>
          <w:p w14:paraId="617D2108" w14:textId="77777777" w:rsidR="00AE3DEF" w:rsidRDefault="00557546">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p w14:paraId="13CF71B9" w14:textId="77777777" w:rsidR="00AE3DEF" w:rsidRDefault="00557546">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w:t>
      </w:r>
      <w:r>
        <w:rPr>
          <w:rFonts w:ascii="宋体" w:eastAsia="宋体" w:hAnsi="宋体" w:cs="方正仿宋简体"/>
          <w:iCs/>
          <w:sz w:val="21"/>
          <w:szCs w:val="21"/>
        </w:rPr>
        <w:t>C</w:t>
      </w:r>
      <w:r>
        <w:rPr>
          <w:rFonts w:ascii="宋体" w:eastAsia="宋体" w:hAnsi="宋体" w:cs="方正仿宋简体"/>
          <w:iCs/>
          <w:sz w:val="21"/>
          <w:szCs w:val="21"/>
        </w:rPr>
        <w:t>类基金份额不收取申购费用，赎回费用在投资者赎回基金过程中收取，具体请见《招</w:t>
      </w:r>
      <w:r>
        <w:rPr>
          <w:rFonts w:ascii="宋体" w:eastAsia="宋体" w:hAnsi="宋体" w:cs="方正仿宋简体"/>
          <w:iCs/>
          <w:sz w:val="21"/>
          <w:szCs w:val="21"/>
        </w:rPr>
        <w:lastRenderedPageBreak/>
        <w:t>募说明书》相关内容。</w:t>
      </w:r>
    </w:p>
    <w:p w14:paraId="184A721E" w14:textId="77777777" w:rsidR="00956AC1" w:rsidRDefault="00A535E9" w:rsidP="00F50507">
      <w:pPr>
        <w:pStyle w:val="2"/>
      </w:pPr>
      <w:r w:rsidRPr="00A14942">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4835"/>
        <w:gridCol w:w="2155"/>
      </w:tblGrid>
      <w:tr w:rsidR="00AE3DEF" w14:paraId="4402174D" w14:textId="77777777">
        <w:tc>
          <w:tcPr>
            <w:tcW w:w="1984" w:type="dxa"/>
            <w:shd w:val="clear" w:color="auto" w:fill="auto"/>
            <w:vAlign w:val="center"/>
          </w:tcPr>
          <w:p w14:paraId="7B08AD4E" w14:textId="77777777" w:rsidR="00AE3DEF" w:rsidRDefault="00557546">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14:paraId="16ED8352" w14:textId="77777777" w:rsidR="00AE3DEF" w:rsidRDefault="00557546">
            <w:pPr>
              <w:adjustRightInd w:val="0"/>
              <w:snapToGrid w:val="0"/>
              <w:spacing w:beforeLines="10" w:before="43" w:line="264" w:lineRule="auto"/>
              <w:jc w:val="center"/>
              <w:rPr>
                <w:rFonts w:ascii="宋体" w:eastAsia="宋体" w:hAnsi="宋体"/>
                <w:sz w:val="21"/>
              </w:rPr>
            </w:pPr>
            <w:r>
              <w:rPr>
                <w:rFonts w:ascii="宋体" w:eastAsia="宋体" w:hAnsi="宋体"/>
                <w:sz w:val="21"/>
              </w:rPr>
              <w:t>年费率</w:t>
            </w:r>
            <w:r>
              <w:rPr>
                <w:rFonts w:ascii="宋体" w:eastAsia="宋体" w:hAnsi="宋体"/>
                <w:sz w:val="21"/>
              </w:rPr>
              <w:t>/</w:t>
            </w:r>
            <w:r>
              <w:rPr>
                <w:rFonts w:ascii="宋体" w:eastAsia="宋体" w:hAnsi="宋体"/>
                <w:sz w:val="21"/>
              </w:rPr>
              <w:t>收费方式</w:t>
            </w:r>
          </w:p>
        </w:tc>
        <w:tc>
          <w:tcPr>
            <w:tcW w:w="2098" w:type="dxa"/>
            <w:shd w:val="clear" w:color="auto" w:fill="auto"/>
            <w:vAlign w:val="center"/>
          </w:tcPr>
          <w:p w14:paraId="30D3AF8A" w14:textId="77777777" w:rsidR="00AE3DEF" w:rsidRDefault="00557546">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rsidR="00AE3DEF" w14:paraId="6DBD49E6" w14:textId="77777777">
        <w:tc>
          <w:tcPr>
            <w:tcW w:w="2054" w:type="dxa"/>
          </w:tcPr>
          <w:p w14:paraId="1F44BA78" w14:textId="77777777" w:rsidR="00AE3DEF" w:rsidRDefault="00557546">
            <w:pPr>
              <w:adjustRightInd w:val="0"/>
              <w:snapToGrid w:val="0"/>
              <w:spacing w:beforeLines="10" w:before="43" w:line="264" w:lineRule="auto"/>
              <w:jc w:val="center"/>
            </w:pPr>
            <w:r>
              <w:rPr>
                <w:rFonts w:ascii="宋体" w:eastAsia="宋体" w:hAnsi="宋体"/>
                <w:sz w:val="21"/>
              </w:rPr>
              <w:t>管理费</w:t>
            </w:r>
          </w:p>
        </w:tc>
        <w:tc>
          <w:tcPr>
            <w:tcW w:w="4707" w:type="dxa"/>
            <w:shd w:val="clear" w:color="auto" w:fill="auto"/>
            <w:vAlign w:val="center"/>
          </w:tcPr>
          <w:p w14:paraId="2AB24ABD" w14:textId="77777777" w:rsidR="00AE3DEF" w:rsidRDefault="00557546">
            <w:pPr>
              <w:adjustRightInd w:val="0"/>
              <w:snapToGrid w:val="0"/>
              <w:spacing w:beforeLines="10" w:before="43" w:line="264" w:lineRule="auto"/>
              <w:rPr>
                <w:rFonts w:ascii="宋体" w:eastAsia="宋体" w:hAnsi="宋体"/>
                <w:sz w:val="21"/>
              </w:rPr>
            </w:pPr>
            <w:r>
              <w:rPr>
                <w:rFonts w:ascii="宋体" w:eastAsia="宋体" w:hAnsi="宋体" w:hint="eastAsia"/>
                <w:sz w:val="21"/>
              </w:rPr>
              <w:t>0.40%</w:t>
            </w:r>
          </w:p>
        </w:tc>
        <w:tc>
          <w:tcPr>
            <w:tcW w:w="2098" w:type="dxa"/>
            <w:shd w:val="clear" w:color="auto" w:fill="auto"/>
            <w:vAlign w:val="center"/>
          </w:tcPr>
          <w:p w14:paraId="14E9F088" w14:textId="77777777" w:rsidR="00AE3DEF" w:rsidRDefault="00557546">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rsidR="00AE3DEF" w14:paraId="462F40D2" w14:textId="77777777">
        <w:tc>
          <w:tcPr>
            <w:tcW w:w="2054" w:type="dxa"/>
          </w:tcPr>
          <w:p w14:paraId="11C8FB1D" w14:textId="77777777" w:rsidR="00AE3DEF" w:rsidRDefault="00557546">
            <w:pPr>
              <w:adjustRightInd w:val="0"/>
              <w:snapToGrid w:val="0"/>
              <w:spacing w:beforeLines="10" w:before="43" w:line="264" w:lineRule="auto"/>
              <w:jc w:val="center"/>
            </w:pPr>
            <w:r>
              <w:rPr>
                <w:rFonts w:ascii="宋体" w:eastAsia="宋体" w:hAnsi="宋体"/>
                <w:sz w:val="21"/>
              </w:rPr>
              <w:t>托管费</w:t>
            </w:r>
          </w:p>
        </w:tc>
        <w:tc>
          <w:tcPr>
            <w:tcW w:w="4707" w:type="dxa"/>
            <w:shd w:val="clear" w:color="auto" w:fill="auto"/>
            <w:vAlign w:val="center"/>
          </w:tcPr>
          <w:p w14:paraId="66563311" w14:textId="77777777" w:rsidR="00AE3DEF" w:rsidRDefault="00557546">
            <w:pPr>
              <w:adjustRightInd w:val="0"/>
              <w:snapToGrid w:val="0"/>
              <w:spacing w:beforeLines="10" w:before="43" w:line="264" w:lineRule="auto"/>
              <w:rPr>
                <w:rFonts w:ascii="宋体" w:eastAsia="宋体" w:hAnsi="宋体"/>
                <w:sz w:val="21"/>
              </w:rPr>
            </w:pPr>
            <w:r>
              <w:rPr>
                <w:rFonts w:ascii="宋体" w:eastAsia="宋体" w:hAnsi="宋体" w:hint="eastAsia"/>
                <w:sz w:val="21"/>
              </w:rPr>
              <w:t>0.15%</w:t>
            </w:r>
          </w:p>
        </w:tc>
        <w:tc>
          <w:tcPr>
            <w:tcW w:w="2098" w:type="dxa"/>
            <w:shd w:val="clear" w:color="auto" w:fill="auto"/>
            <w:vAlign w:val="center"/>
          </w:tcPr>
          <w:p w14:paraId="13F20179" w14:textId="77777777" w:rsidR="00AE3DEF" w:rsidRDefault="00557546">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rsidR="00AE3DEF" w14:paraId="5028AB2A" w14:textId="77777777">
        <w:tc>
          <w:tcPr>
            <w:tcW w:w="1984" w:type="dxa"/>
            <w:shd w:val="clear" w:color="auto" w:fill="auto"/>
            <w:vAlign w:val="center"/>
          </w:tcPr>
          <w:p w14:paraId="1DD6852B" w14:textId="77777777" w:rsidR="00AE3DEF" w:rsidRDefault="00557546">
            <w:pPr>
              <w:adjustRightInd w:val="0"/>
              <w:snapToGrid w:val="0"/>
              <w:spacing w:beforeLines="10" w:before="43" w:line="264" w:lineRule="auto"/>
              <w:jc w:val="center"/>
              <w:rPr>
                <w:rFonts w:ascii="宋体" w:eastAsia="宋体" w:hAnsi="宋体"/>
                <w:sz w:val="21"/>
              </w:rPr>
            </w:pPr>
            <w:r>
              <w:rPr>
                <w:rFonts w:ascii="宋体" w:eastAsia="宋体" w:hAnsi="宋体"/>
                <w:sz w:val="21"/>
              </w:rPr>
              <w:t>销售服务费</w:t>
            </w:r>
          </w:p>
        </w:tc>
        <w:tc>
          <w:tcPr>
            <w:tcW w:w="4707" w:type="dxa"/>
            <w:shd w:val="clear" w:color="auto" w:fill="auto"/>
            <w:vAlign w:val="center"/>
          </w:tcPr>
          <w:p w14:paraId="49BF8409" w14:textId="77777777" w:rsidR="00AE3DEF" w:rsidRDefault="00557546">
            <w:pPr>
              <w:adjustRightInd w:val="0"/>
              <w:snapToGrid w:val="0"/>
              <w:spacing w:beforeLines="10" w:before="43" w:line="264" w:lineRule="auto"/>
              <w:rPr>
                <w:rFonts w:ascii="宋体" w:eastAsia="宋体" w:hAnsi="宋体"/>
                <w:sz w:val="21"/>
              </w:rPr>
            </w:pPr>
            <w:r>
              <w:rPr>
                <w:rFonts w:ascii="宋体" w:eastAsia="宋体" w:hAnsi="宋体" w:hint="eastAsia"/>
                <w:sz w:val="21"/>
              </w:rPr>
              <w:t>0.30%</w:t>
            </w:r>
          </w:p>
        </w:tc>
        <w:tc>
          <w:tcPr>
            <w:tcW w:w="2098" w:type="dxa"/>
            <w:shd w:val="clear" w:color="auto" w:fill="auto"/>
            <w:vAlign w:val="center"/>
          </w:tcPr>
          <w:p w14:paraId="533916B3" w14:textId="77777777" w:rsidR="00AE3DEF" w:rsidRDefault="00557546">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r w:rsidR="00AE3DEF" w14:paraId="238A7D6B" w14:textId="77777777">
        <w:tc>
          <w:tcPr>
            <w:tcW w:w="1984" w:type="dxa"/>
            <w:shd w:val="clear" w:color="auto" w:fill="auto"/>
            <w:vAlign w:val="center"/>
          </w:tcPr>
          <w:p w14:paraId="433B57CE" w14:textId="77777777" w:rsidR="00AE3DEF" w:rsidRDefault="00557546">
            <w:pPr>
              <w:pStyle w:val="af4"/>
              <w:spacing w:beforeLines="10" w:before="43" w:line="264" w:lineRule="auto"/>
              <w:contextualSpacing w:val="0"/>
              <w:jc w:val="center"/>
              <w:rPr>
                <w:szCs w:val="21"/>
              </w:rPr>
            </w:pPr>
            <w:r>
              <w:rPr>
                <w:szCs w:val="21"/>
              </w:rPr>
              <w:t>审计费用</w:t>
            </w:r>
          </w:p>
        </w:tc>
        <w:tc>
          <w:tcPr>
            <w:tcW w:w="4707" w:type="dxa"/>
            <w:shd w:val="clear" w:color="auto" w:fill="auto"/>
            <w:vAlign w:val="center"/>
          </w:tcPr>
          <w:p w14:paraId="56A442BD" w14:textId="77777777" w:rsidR="00AE3DEF" w:rsidRDefault="00557546">
            <w:pPr>
              <w:pStyle w:val="af4"/>
              <w:spacing w:beforeLines="10" w:before="43" w:line="264" w:lineRule="auto"/>
              <w:contextualSpacing w:val="0"/>
              <w:rPr>
                <w:szCs w:val="21"/>
              </w:rPr>
            </w:pPr>
            <w:r>
              <w:rPr>
                <w:rFonts w:hint="eastAsia"/>
                <w:szCs w:val="21"/>
              </w:rPr>
              <w:t>33,000.00</w:t>
            </w:r>
            <w:r>
              <w:rPr>
                <w:rFonts w:hint="eastAsia"/>
                <w:szCs w:val="21"/>
              </w:rPr>
              <w:t>元</w:t>
            </w:r>
            <w:r>
              <w:rPr>
                <w:rFonts w:hint="eastAsia"/>
                <w:szCs w:val="21"/>
              </w:rPr>
              <w:t>/</w:t>
            </w:r>
            <w:r>
              <w:rPr>
                <w:rFonts w:hint="eastAsia"/>
                <w:szCs w:val="21"/>
              </w:rPr>
              <w:t>年</w:t>
            </w:r>
          </w:p>
        </w:tc>
        <w:tc>
          <w:tcPr>
            <w:tcW w:w="2098" w:type="dxa"/>
            <w:shd w:val="clear" w:color="auto" w:fill="auto"/>
          </w:tcPr>
          <w:p w14:paraId="76A142BE" w14:textId="77777777" w:rsidR="00AE3DEF" w:rsidRDefault="00557546">
            <w:pPr>
              <w:pStyle w:val="af4"/>
              <w:spacing w:beforeLines="10" w:before="43" w:line="264" w:lineRule="auto"/>
              <w:contextualSpacing w:val="0"/>
              <w:jc w:val="left"/>
              <w:rPr>
                <w:szCs w:val="21"/>
              </w:rPr>
            </w:pPr>
            <w:r>
              <w:rPr>
                <w:rFonts w:hint="eastAsia"/>
                <w:szCs w:val="21"/>
              </w:rPr>
              <w:t>会计师事务所</w:t>
            </w:r>
          </w:p>
        </w:tc>
      </w:tr>
      <w:tr w:rsidR="00AE3DEF" w14:paraId="55B7716F" w14:textId="77777777">
        <w:tc>
          <w:tcPr>
            <w:tcW w:w="1984" w:type="dxa"/>
            <w:shd w:val="clear" w:color="auto" w:fill="auto"/>
            <w:vAlign w:val="center"/>
          </w:tcPr>
          <w:p w14:paraId="12FA383B" w14:textId="77777777" w:rsidR="00AE3DEF" w:rsidRDefault="00557546">
            <w:pPr>
              <w:pStyle w:val="af4"/>
              <w:spacing w:beforeLines="10" w:before="43" w:line="264" w:lineRule="auto"/>
              <w:contextualSpacing w:val="0"/>
              <w:jc w:val="center"/>
              <w:rPr>
                <w:szCs w:val="21"/>
              </w:rPr>
            </w:pPr>
            <w:r>
              <w:rPr>
                <w:rFonts w:ascii="方正仿宋简体" w:hAnsi="方正仿宋简体" w:cs="方正仿宋简体" w:hint="eastAsia"/>
                <w:iCs/>
                <w:szCs w:val="21"/>
              </w:rPr>
              <w:t>信息披露费</w:t>
            </w:r>
          </w:p>
        </w:tc>
        <w:tc>
          <w:tcPr>
            <w:tcW w:w="4707" w:type="dxa"/>
            <w:shd w:val="clear" w:color="auto" w:fill="auto"/>
            <w:vAlign w:val="center"/>
          </w:tcPr>
          <w:p w14:paraId="244BF86A" w14:textId="77777777" w:rsidR="00AE3DEF" w:rsidRDefault="00557546">
            <w:pPr>
              <w:pStyle w:val="af4"/>
              <w:spacing w:beforeLines="10" w:before="43" w:line="264" w:lineRule="auto"/>
              <w:contextualSpacing w:val="0"/>
              <w:rPr>
                <w:szCs w:val="21"/>
              </w:rPr>
            </w:pPr>
            <w:r>
              <w:rPr>
                <w:rFonts w:hint="eastAsia"/>
                <w:szCs w:val="21"/>
              </w:rPr>
              <w:t>120,000.00</w:t>
            </w:r>
            <w:r>
              <w:rPr>
                <w:rFonts w:hint="eastAsia"/>
                <w:szCs w:val="21"/>
              </w:rPr>
              <w:t>元</w:t>
            </w:r>
            <w:r>
              <w:rPr>
                <w:rFonts w:hint="eastAsia"/>
                <w:szCs w:val="21"/>
              </w:rPr>
              <w:t>/</w:t>
            </w:r>
            <w:r>
              <w:rPr>
                <w:rFonts w:hint="eastAsia"/>
                <w:szCs w:val="21"/>
              </w:rPr>
              <w:t>年</w:t>
            </w:r>
          </w:p>
        </w:tc>
        <w:tc>
          <w:tcPr>
            <w:tcW w:w="2098" w:type="dxa"/>
            <w:shd w:val="clear" w:color="auto" w:fill="auto"/>
          </w:tcPr>
          <w:p w14:paraId="1185D134" w14:textId="77777777" w:rsidR="00AE3DEF" w:rsidRDefault="00557546">
            <w:pPr>
              <w:pStyle w:val="af4"/>
              <w:spacing w:beforeLines="10" w:before="43" w:line="264" w:lineRule="auto"/>
              <w:contextualSpacing w:val="0"/>
              <w:jc w:val="left"/>
              <w:rPr>
                <w:szCs w:val="21"/>
              </w:rPr>
            </w:pPr>
            <w:r>
              <w:rPr>
                <w:rFonts w:hint="eastAsia"/>
                <w:szCs w:val="21"/>
              </w:rPr>
              <w:t>规定披露报刊</w:t>
            </w:r>
          </w:p>
        </w:tc>
      </w:tr>
    </w:tbl>
    <w:p w14:paraId="79879C57" w14:textId="77777777" w:rsidR="00AE3DEF" w:rsidRDefault="00557546">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对基金财产中持有的本基金管理人自身管理的基金部分不收取管理费，对基金财产中持有的本基金托管人自身托管的基金部分不收取托管费；本基金交易证券、基金等产生的费用和税负，按实际发生额从基金资产扣除。审计费用、信息披露费为基金整体承担的年费用金额，非单个份额类别费用；年费用金额为预估值，最终实际金额以基金定期报告披露为准。除上述费用外的其他运作费用，详见《招募说明书》中的</w:t>
      </w:r>
      <w:r>
        <w:rPr>
          <w:rFonts w:ascii="宋体" w:eastAsia="宋体" w:hAnsi="宋体" w:cs="方正仿宋简体"/>
          <w:iCs/>
          <w:sz w:val="21"/>
          <w:szCs w:val="21"/>
        </w:rPr>
        <w:t>“</w:t>
      </w:r>
      <w:r>
        <w:rPr>
          <w:rFonts w:ascii="宋体" w:eastAsia="宋体" w:hAnsi="宋体" w:cs="方正仿宋简体"/>
          <w:iCs/>
          <w:sz w:val="21"/>
          <w:szCs w:val="21"/>
        </w:rPr>
        <w:t>基金费用与税收</w:t>
      </w:r>
      <w:r>
        <w:rPr>
          <w:rFonts w:ascii="宋体" w:eastAsia="宋体" w:hAnsi="宋体" w:cs="方正仿宋简体"/>
          <w:iCs/>
          <w:sz w:val="21"/>
          <w:szCs w:val="21"/>
        </w:rPr>
        <w:t>”</w:t>
      </w:r>
      <w:r>
        <w:rPr>
          <w:rFonts w:ascii="宋体" w:eastAsia="宋体" w:hAnsi="宋体" w:cs="方正仿宋简体"/>
          <w:iCs/>
          <w:sz w:val="21"/>
          <w:szCs w:val="21"/>
        </w:rPr>
        <w:t>章节。若本基金触发基金合同中关于</w:t>
      </w:r>
      <w:r>
        <w:rPr>
          <w:rFonts w:ascii="宋体" w:eastAsia="宋体" w:hAnsi="宋体" w:cs="方正仿宋简体"/>
          <w:iCs/>
          <w:sz w:val="21"/>
          <w:szCs w:val="21"/>
        </w:rPr>
        <w:t>“</w:t>
      </w:r>
      <w:r>
        <w:rPr>
          <w:rFonts w:ascii="宋体" w:eastAsia="宋体" w:hAnsi="宋体" w:cs="方正仿宋简体"/>
          <w:iCs/>
          <w:sz w:val="21"/>
          <w:szCs w:val="21"/>
        </w:rPr>
        <w:t>基金份额持有人数量和资产规模</w:t>
      </w:r>
      <w:r>
        <w:rPr>
          <w:rFonts w:ascii="宋体" w:eastAsia="宋体" w:hAnsi="宋体" w:cs="方正仿宋简体"/>
          <w:iCs/>
          <w:sz w:val="21"/>
          <w:szCs w:val="21"/>
        </w:rPr>
        <w:t>”</w:t>
      </w:r>
      <w:r>
        <w:rPr>
          <w:rFonts w:ascii="宋体" w:eastAsia="宋体" w:hAnsi="宋体" w:cs="方正仿宋简体"/>
          <w:iCs/>
          <w:sz w:val="21"/>
          <w:szCs w:val="21"/>
        </w:rPr>
        <w:t>的预警情形，基金管理人可决</w:t>
      </w:r>
      <w:r>
        <w:rPr>
          <w:rFonts w:ascii="宋体" w:eastAsia="宋体" w:hAnsi="宋体" w:cs="方正仿宋简体"/>
          <w:iCs/>
          <w:sz w:val="21"/>
          <w:szCs w:val="21"/>
        </w:rPr>
        <w:t>定是否承担本基金项下相关固定费用，最终实际情况以基金定期报告披露为准。</w:t>
      </w:r>
    </w:p>
    <w:p w14:paraId="6285C0D2" w14:textId="77777777" w:rsidR="00C95C66" w:rsidRDefault="00C95C66" w:rsidP="00C95C66">
      <w:pPr>
        <w:pStyle w:val="2"/>
      </w:pPr>
      <w:r w:rsidRPr="00B32DAD">
        <w:t>基金运作综合费用测算</w:t>
      </w:r>
    </w:p>
    <w:tbl>
      <w:tblPr>
        <w:tblStyle w:val="ac"/>
        <w:tblW w:w="9100" w:type="dxa"/>
        <w:tblLook w:val="04A0" w:firstRow="1" w:lastRow="0" w:firstColumn="1" w:lastColumn="0" w:noHBand="0" w:noVBand="1"/>
      </w:tblPr>
      <w:tblGrid>
        <w:gridCol w:w="9100"/>
      </w:tblGrid>
      <w:tr w:rsidR="00AE3DEF" w14:paraId="6AEFAD11" w14:textId="77777777">
        <w:tc>
          <w:tcPr>
            <w:tcW w:w="4417" w:type="dxa"/>
          </w:tcPr>
          <w:p w14:paraId="40432503" w14:textId="77777777" w:rsidR="00AE3DEF" w:rsidRDefault="00557546">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基金运作综合费率（年化）</w:t>
            </w:r>
          </w:p>
        </w:tc>
      </w:tr>
      <w:tr w:rsidR="00AE3DEF" w14:paraId="39F8516B" w14:textId="77777777">
        <w:tc>
          <w:tcPr>
            <w:tcW w:w="4417" w:type="dxa"/>
          </w:tcPr>
          <w:p w14:paraId="07CF623C" w14:textId="77777777" w:rsidR="00AE3DEF" w:rsidRDefault="00557546">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0.97%</w:t>
            </w:r>
          </w:p>
        </w:tc>
      </w:tr>
    </w:tbl>
    <w:p w14:paraId="06584380" w14:textId="77777777" w:rsidR="00AE3DEF" w:rsidRDefault="00557546">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注：若投资者申购本基金份额，在持有期间，投资者需支出的运作费率如上表所示。基金管理费率、托管费率、销售服务费率为基金现行费率，其他运作费用以最近一次基金年报披露的相关数据为基准测算。</w:t>
      </w:r>
    </w:p>
    <w:p w14:paraId="03223FE0" w14:textId="77777777" w:rsidR="008F585B" w:rsidRPr="008F585B" w:rsidRDefault="008F585B" w:rsidP="00C36380">
      <w:pPr>
        <w:pStyle w:val="1"/>
      </w:pPr>
      <w:r w:rsidRPr="008F585B">
        <w:rPr>
          <w:rFonts w:hint="eastAsia"/>
        </w:rPr>
        <w:t>风险揭示与重要提示</w:t>
      </w:r>
    </w:p>
    <w:p w14:paraId="53F91498" w14:textId="77777777" w:rsidR="008F585B" w:rsidRPr="008F585B" w:rsidRDefault="008F585B" w:rsidP="00C36380">
      <w:pPr>
        <w:pStyle w:val="2"/>
      </w:pPr>
      <w:r w:rsidRPr="008F585B">
        <w:rPr>
          <w:rFonts w:hint="eastAsia"/>
        </w:rPr>
        <w:t>风险揭示</w:t>
      </w:r>
    </w:p>
    <w:p w14:paraId="1597E91C"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14:paraId="7FD69223"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w:t>
      </w:r>
      <w:r>
        <w:rPr>
          <w:rFonts w:ascii="宋体" w:eastAsia="宋体" w:hAnsi="宋体" w:cs="方正仿宋简体"/>
          <w:iCs/>
          <w:sz w:val="21"/>
          <w:szCs w:val="21"/>
        </w:rPr>
        <w:t>“</w:t>
      </w:r>
      <w:r>
        <w:rPr>
          <w:rFonts w:ascii="宋体" w:eastAsia="宋体" w:hAnsi="宋体" w:cs="方正仿宋简体"/>
          <w:iCs/>
          <w:sz w:val="21"/>
          <w:szCs w:val="21"/>
        </w:rPr>
        <w:t>买者自负</w:t>
      </w:r>
      <w:r>
        <w:rPr>
          <w:rFonts w:ascii="宋体" w:eastAsia="宋体" w:hAnsi="宋体" w:cs="方正仿宋简体"/>
          <w:iCs/>
          <w:sz w:val="21"/>
          <w:szCs w:val="21"/>
        </w:rPr>
        <w:t>”</w:t>
      </w:r>
      <w:r>
        <w:rPr>
          <w:rFonts w:ascii="宋体" w:eastAsia="宋体" w:hAnsi="宋体" w:cs="方正仿宋简体"/>
          <w:iCs/>
          <w:sz w:val="21"/>
          <w:szCs w:val="21"/>
        </w:rPr>
        <w:t>原则，在投资者作出投资决策后，基金运营状况与基金净值变化引致的投资风险，由投资者自行负责。</w:t>
      </w:r>
    </w:p>
    <w:p w14:paraId="65B1470B"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w:t>
      </w:r>
    </w:p>
    <w:p w14:paraId="5CFF546D"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、基金</w:t>
      </w:r>
      <w:r>
        <w:rPr>
          <w:rFonts w:ascii="宋体" w:eastAsia="宋体" w:hAnsi="宋体" w:cs="方正仿宋简体"/>
          <w:iCs/>
          <w:sz w:val="21"/>
          <w:szCs w:val="21"/>
        </w:rPr>
        <w:t>运作的风险</w:t>
      </w:r>
    </w:p>
    <w:p w14:paraId="4A56B4DC"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是混合型基金中基金，存在大类资产配置风险，有可能受到经济周期、市场环境或基金管理人对市场所处的经济周期和产业周期的判断不足等因素的影响，导致基金的大类资产配置比例偏离最优化水平，给基金投资组合的绩效带来风险。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在特定时期内低于其他基金。本基金坚持价值和长期投资理念，重视基金投资风</w:t>
      </w:r>
      <w:r>
        <w:rPr>
          <w:rFonts w:ascii="宋体" w:eastAsia="宋体" w:hAnsi="宋体" w:cs="方正仿宋简体"/>
          <w:iCs/>
          <w:sz w:val="21"/>
          <w:szCs w:val="21"/>
        </w:rPr>
        <w:t>险的防范，但是基于投资范围的规定，本基金无法完全规避基金市场、股票市场和债券市场的下跌风险。</w:t>
      </w:r>
    </w:p>
    <w:p w14:paraId="7B653EE6"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、投资于其他基金所特有的风险</w:t>
      </w:r>
    </w:p>
    <w:p w14:paraId="762AFBBB"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本基金投资于其他基金的资产不低于基金资产的</w:t>
      </w:r>
      <w:r>
        <w:rPr>
          <w:rFonts w:ascii="宋体" w:eastAsia="宋体" w:hAnsi="宋体" w:cs="方正仿宋简体"/>
          <w:iCs/>
          <w:sz w:val="21"/>
          <w:szCs w:val="21"/>
        </w:rPr>
        <w:t>80%</w:t>
      </w:r>
      <w:r>
        <w:rPr>
          <w:rFonts w:ascii="宋体" w:eastAsia="宋体" w:hAnsi="宋体" w:cs="方正仿宋简体"/>
          <w:iCs/>
          <w:sz w:val="21"/>
          <w:szCs w:val="21"/>
        </w:rPr>
        <w:t>，由此可能面临被投资基金的业绩风险、</w:t>
      </w:r>
      <w:r>
        <w:rPr>
          <w:rFonts w:ascii="宋体" w:eastAsia="宋体" w:hAnsi="宋体" w:cs="方正仿宋简体"/>
          <w:iCs/>
          <w:sz w:val="21"/>
          <w:szCs w:val="21"/>
        </w:rPr>
        <w:lastRenderedPageBreak/>
        <w:t>赎回资金到账时间较晚的风险、可上市交易基金的二级市场投资风险、被投资基金的运作风险、被投资基金的基金管理人经营风险、商品基金投资风险、</w:t>
      </w:r>
      <w:r>
        <w:rPr>
          <w:rFonts w:ascii="宋体" w:eastAsia="宋体" w:hAnsi="宋体" w:cs="方正仿宋简体"/>
          <w:iCs/>
          <w:sz w:val="21"/>
          <w:szCs w:val="21"/>
        </w:rPr>
        <w:t>QDII</w:t>
      </w:r>
      <w:r>
        <w:rPr>
          <w:rFonts w:ascii="宋体" w:eastAsia="宋体" w:hAnsi="宋体" w:cs="方正仿宋简体"/>
          <w:iCs/>
          <w:sz w:val="21"/>
          <w:szCs w:val="21"/>
        </w:rPr>
        <w:t>基金和香港互认基金投资风险等。</w:t>
      </w:r>
    </w:p>
    <w:p w14:paraId="6A0830A3"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、资产支持证券投资风险</w:t>
      </w:r>
    </w:p>
    <w:p w14:paraId="573ED938"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本基金的投资范围包括资产支持证券。资产支持证券存在信用风险、利率风险、流动性风险、提前偿付风险、操作风</w:t>
      </w:r>
      <w:r>
        <w:rPr>
          <w:rFonts w:ascii="宋体" w:eastAsia="宋体" w:hAnsi="宋体" w:cs="方正仿宋简体"/>
          <w:iCs/>
          <w:sz w:val="21"/>
          <w:szCs w:val="21"/>
        </w:rPr>
        <w:t>险和法律风险等。</w:t>
      </w:r>
    </w:p>
    <w:p w14:paraId="21202ACA"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w:t>
      </w:r>
      <w:r>
        <w:rPr>
          <w:rFonts w:ascii="宋体" w:eastAsia="宋体" w:hAnsi="宋体" w:cs="方正仿宋简体"/>
          <w:iCs/>
          <w:sz w:val="21"/>
          <w:szCs w:val="21"/>
        </w:rPr>
        <w:t>、存托凭证投资风险</w:t>
      </w:r>
    </w:p>
    <w:p w14:paraId="6A163B02"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本基金投资存托凭证在承担境内上市交易股票投资的共同风险外，还将承担与存托凭证、创新企业发行、境外发行人以及交易机制相关的特有风险。</w:t>
      </w:r>
    </w:p>
    <w:p w14:paraId="71E29B55"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w:t>
      </w:r>
      <w:r>
        <w:rPr>
          <w:rFonts w:ascii="宋体" w:eastAsia="宋体" w:hAnsi="宋体" w:cs="方正仿宋简体"/>
          <w:iCs/>
          <w:sz w:val="21"/>
          <w:szCs w:val="21"/>
        </w:rPr>
        <w:t>、本基金可以投资于港股通标的股票，投资风险包括：</w:t>
      </w:r>
    </w:p>
    <w:p w14:paraId="1D6E0364"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）本基金将通过</w:t>
      </w:r>
      <w:r>
        <w:rPr>
          <w:rFonts w:ascii="宋体" w:eastAsia="宋体" w:hAnsi="宋体" w:cs="方正仿宋简体"/>
          <w:iCs/>
          <w:sz w:val="21"/>
          <w:szCs w:val="21"/>
        </w:rPr>
        <w:t>“</w:t>
      </w:r>
      <w:r>
        <w:rPr>
          <w:rFonts w:ascii="宋体" w:eastAsia="宋体" w:hAnsi="宋体" w:cs="方正仿宋简体"/>
          <w:iCs/>
          <w:sz w:val="21"/>
          <w:szCs w:val="21"/>
        </w:rPr>
        <w:t>港股通</w:t>
      </w:r>
      <w:r>
        <w:rPr>
          <w:rFonts w:ascii="宋体" w:eastAsia="宋体" w:hAnsi="宋体" w:cs="方正仿宋简体"/>
          <w:iCs/>
          <w:sz w:val="21"/>
          <w:szCs w:val="21"/>
        </w:rPr>
        <w:t>”</w:t>
      </w:r>
      <w:r>
        <w:rPr>
          <w:rFonts w:ascii="宋体" w:eastAsia="宋体" w:hAnsi="宋体" w:cs="方正仿宋简体"/>
          <w:iCs/>
          <w:sz w:val="21"/>
          <w:szCs w:val="21"/>
        </w:rPr>
        <w:t>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2084E261"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）香港市场交易规则有别于内地</w:t>
      </w:r>
      <w:r>
        <w:rPr>
          <w:rFonts w:ascii="宋体" w:eastAsia="宋体" w:hAnsi="宋体" w:cs="方正仿宋简体"/>
          <w:iCs/>
          <w:sz w:val="21"/>
          <w:szCs w:val="21"/>
        </w:rPr>
        <w:t>A</w:t>
      </w:r>
      <w:r>
        <w:rPr>
          <w:rFonts w:ascii="宋体" w:eastAsia="宋体" w:hAnsi="宋体" w:cs="方正仿宋简体"/>
          <w:iCs/>
          <w:sz w:val="21"/>
          <w:szCs w:val="21"/>
        </w:rPr>
        <w:t>股市场规则，此外，在港股通下参与香港股票投资还将面临包括但不限于如下特殊风险：涨跌幅限制、交易日不同、临时停市、交易机制、代理投票、汇率风险、港股通每日额度限制等。</w:t>
      </w:r>
    </w:p>
    <w:p w14:paraId="24ED6EEB"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）本基金可根据投资策略需要或不同配置地市场环境的变化，选择将部分</w:t>
      </w:r>
      <w:r>
        <w:rPr>
          <w:rFonts w:ascii="宋体" w:eastAsia="宋体" w:hAnsi="宋体" w:cs="方正仿宋简体"/>
          <w:iCs/>
          <w:sz w:val="21"/>
          <w:szCs w:val="21"/>
        </w:rPr>
        <w:t>基金资产投资于港股或选择不将基金资产投资于港股，基金资产并非必然投资港股。</w:t>
      </w:r>
    </w:p>
    <w:p w14:paraId="43C4F261"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w:t>
      </w:r>
      <w:r>
        <w:rPr>
          <w:rFonts w:ascii="宋体" w:eastAsia="宋体" w:hAnsi="宋体" w:cs="方正仿宋简体"/>
          <w:iCs/>
          <w:sz w:val="21"/>
          <w:szCs w:val="21"/>
        </w:rPr>
        <w:t>、公募</w:t>
      </w:r>
      <w:r>
        <w:rPr>
          <w:rFonts w:ascii="宋体" w:eastAsia="宋体" w:hAnsi="宋体" w:cs="方正仿宋简体"/>
          <w:iCs/>
          <w:sz w:val="21"/>
          <w:szCs w:val="21"/>
        </w:rPr>
        <w:t>REITs</w:t>
      </w:r>
      <w:r>
        <w:rPr>
          <w:rFonts w:ascii="宋体" w:eastAsia="宋体" w:hAnsi="宋体" w:cs="方正仿宋简体"/>
          <w:iCs/>
          <w:sz w:val="21"/>
          <w:szCs w:val="21"/>
        </w:rPr>
        <w:t>投资风险</w:t>
      </w:r>
    </w:p>
    <w:p w14:paraId="7593583D"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本基金投资公募</w:t>
      </w:r>
      <w:r>
        <w:rPr>
          <w:rFonts w:ascii="宋体" w:eastAsia="宋体" w:hAnsi="宋体" w:cs="方正仿宋简体"/>
          <w:iCs/>
          <w:sz w:val="21"/>
          <w:szCs w:val="21"/>
        </w:rPr>
        <w:t>REITs</w:t>
      </w:r>
      <w:r>
        <w:rPr>
          <w:rFonts w:ascii="宋体" w:eastAsia="宋体" w:hAnsi="宋体" w:cs="方正仿宋简体"/>
          <w:iCs/>
          <w:sz w:val="21"/>
          <w:szCs w:val="21"/>
        </w:rPr>
        <w:t>可能面临的风险包括但不限于基金价格波动风险、基础设施项目运营风险、基础设施估值无法体现公允价值的风险、基金份额交易价格折溢价风险、流动性风险、终止上市风险、政策调整风险、利益冲突风险。</w:t>
      </w:r>
    </w:p>
    <w:p w14:paraId="30AD16AB"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w:t>
      </w:r>
      <w:r>
        <w:rPr>
          <w:rFonts w:ascii="宋体" w:eastAsia="宋体" w:hAnsi="宋体" w:cs="方正仿宋简体"/>
          <w:iCs/>
          <w:sz w:val="21"/>
          <w:szCs w:val="21"/>
        </w:rPr>
        <w:t>、本基金运作过程中可能出现不符合相关条件从而被移出个人养老金基金名录的情形，届时本基金将暂停办理</w:t>
      </w:r>
      <w:r>
        <w:rPr>
          <w:rFonts w:ascii="宋体" w:eastAsia="宋体" w:hAnsi="宋体" w:cs="方正仿宋简体"/>
          <w:iCs/>
          <w:sz w:val="21"/>
          <w:szCs w:val="21"/>
        </w:rPr>
        <w:t>Y</w:t>
      </w:r>
      <w:r>
        <w:rPr>
          <w:rFonts w:ascii="宋体" w:eastAsia="宋体" w:hAnsi="宋体" w:cs="方正仿宋简体"/>
          <w:iCs/>
          <w:sz w:val="21"/>
          <w:szCs w:val="21"/>
        </w:rPr>
        <w:t>类份额的申购，投资者由此可能面临无法继续投资</w:t>
      </w:r>
      <w:r>
        <w:rPr>
          <w:rFonts w:ascii="宋体" w:eastAsia="宋体" w:hAnsi="宋体" w:cs="方正仿宋简体"/>
          <w:iCs/>
          <w:sz w:val="21"/>
          <w:szCs w:val="21"/>
        </w:rPr>
        <w:t>Y</w:t>
      </w:r>
      <w:r>
        <w:rPr>
          <w:rFonts w:ascii="宋体" w:eastAsia="宋体" w:hAnsi="宋体" w:cs="方正仿宋简体"/>
          <w:iCs/>
          <w:sz w:val="21"/>
          <w:szCs w:val="21"/>
        </w:rPr>
        <w:t>类份额的风险。</w:t>
      </w:r>
    </w:p>
    <w:p w14:paraId="7B4B775B" w14:textId="77777777" w:rsidR="008F585B" w:rsidRPr="008F585B" w:rsidRDefault="008F585B" w:rsidP="00C36380">
      <w:pPr>
        <w:pStyle w:val="2"/>
      </w:pPr>
      <w:r w:rsidRPr="008F585B">
        <w:rPr>
          <w:rFonts w:hint="eastAsia"/>
        </w:rPr>
        <w:t>重要提示</w:t>
      </w:r>
    </w:p>
    <w:p w14:paraId="192EEB14"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w:t>
      </w:r>
      <w:r>
        <w:rPr>
          <w:rFonts w:ascii="宋体" w:eastAsia="宋体" w:hAnsi="宋体" w:cs="方正仿宋简体"/>
          <w:iCs/>
          <w:sz w:val="21"/>
          <w:szCs w:val="21"/>
        </w:rPr>
        <w:t>册</w:t>
      </w:r>
      <w:r>
        <w:rPr>
          <w:rFonts w:ascii="宋体" w:eastAsia="宋体" w:hAnsi="宋体" w:cs="方正仿宋简体"/>
          <w:iCs/>
          <w:sz w:val="21"/>
          <w:szCs w:val="21"/>
        </w:rPr>
        <w:t>/</w:t>
      </w:r>
      <w:r>
        <w:rPr>
          <w:rFonts w:ascii="宋体" w:eastAsia="宋体" w:hAnsi="宋体" w:cs="方正仿宋简体"/>
          <w:iCs/>
          <w:sz w:val="21"/>
          <w:szCs w:val="21"/>
        </w:rPr>
        <w:t>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14:paraId="37FD0C0C"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w:t>
      </w:r>
    </w:p>
    <w:p w14:paraId="01C40187"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w:t>
      </w:r>
      <w:r>
        <w:rPr>
          <w:rFonts w:ascii="宋体" w:eastAsia="宋体" w:hAnsi="宋体" w:cs="方正仿宋简体"/>
          <w:iCs/>
          <w:sz w:val="21"/>
          <w:szCs w:val="21"/>
        </w:rPr>
        <w:t>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14:paraId="577B515D" w14:textId="77777777" w:rsidR="008F585B" w:rsidRPr="008F585B" w:rsidRDefault="008F585B" w:rsidP="00C36380">
      <w:pPr>
        <w:pStyle w:val="1"/>
      </w:pPr>
      <w:r w:rsidRPr="008F585B">
        <w:rPr>
          <w:rFonts w:hint="eastAsia"/>
        </w:rPr>
        <w:t>其他资料查询方式</w:t>
      </w:r>
    </w:p>
    <w:p w14:paraId="30ED34E8"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t>
      </w:r>
      <w:r>
        <w:rPr>
          <w:rFonts w:ascii="宋体" w:eastAsia="宋体" w:hAnsi="宋体" w:cs="方正仿宋简体"/>
          <w:iCs/>
          <w:sz w:val="21"/>
          <w:szCs w:val="21"/>
        </w:rPr>
        <w:t>www.fullgoal.com.cn</w:t>
      </w:r>
      <w:r>
        <w:rPr>
          <w:rFonts w:ascii="宋体" w:eastAsia="宋体" w:hAnsi="宋体" w:cs="方正仿宋简体"/>
          <w:iCs/>
          <w:sz w:val="21"/>
          <w:szCs w:val="21"/>
        </w:rPr>
        <w:t>），客户服务热线：</w:t>
      </w:r>
      <w:r>
        <w:rPr>
          <w:rFonts w:ascii="宋体" w:eastAsia="宋体" w:hAnsi="宋体" w:cs="方正仿宋简体"/>
          <w:iCs/>
          <w:sz w:val="21"/>
          <w:szCs w:val="21"/>
        </w:rPr>
        <w:t>95105686</w:t>
      </w:r>
      <w:r>
        <w:rPr>
          <w:rFonts w:ascii="宋体" w:eastAsia="宋体" w:hAnsi="宋体" w:cs="方正仿宋简体"/>
          <w:iCs/>
          <w:sz w:val="21"/>
          <w:szCs w:val="21"/>
        </w:rPr>
        <w:t>，</w:t>
      </w:r>
      <w:r>
        <w:rPr>
          <w:rFonts w:ascii="宋体" w:eastAsia="宋体" w:hAnsi="宋体" w:cs="方正仿宋简体"/>
          <w:iCs/>
          <w:sz w:val="21"/>
          <w:szCs w:val="21"/>
        </w:rPr>
        <w:t>4008880688</w:t>
      </w:r>
      <w:r>
        <w:rPr>
          <w:rFonts w:ascii="宋体" w:eastAsia="宋体" w:hAnsi="宋体" w:cs="方正仿宋简体"/>
          <w:iCs/>
          <w:sz w:val="21"/>
          <w:szCs w:val="21"/>
        </w:rPr>
        <w:t>（全国统一，免长途话费）</w:t>
      </w:r>
    </w:p>
    <w:p w14:paraId="171363C7"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基金合同、托管协议、招募说明书</w:t>
      </w:r>
    </w:p>
    <w:p w14:paraId="5DE7854F"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定期报告，包括基金季度报告、中期报告和年度报告</w:t>
      </w:r>
    </w:p>
    <w:p w14:paraId="15F2147F"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基金份额</w:t>
      </w:r>
      <w:r>
        <w:rPr>
          <w:rFonts w:ascii="宋体" w:eastAsia="宋体" w:hAnsi="宋体" w:cs="方正仿宋简体"/>
          <w:iCs/>
          <w:sz w:val="21"/>
          <w:szCs w:val="21"/>
        </w:rPr>
        <w:t>净值</w:t>
      </w:r>
    </w:p>
    <w:p w14:paraId="03091C17"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w:t>
      </w:r>
      <w:r>
        <w:rPr>
          <w:rFonts w:ascii="宋体" w:eastAsia="宋体" w:hAnsi="宋体" w:cs="方正仿宋简体"/>
          <w:iCs/>
          <w:sz w:val="21"/>
          <w:szCs w:val="21"/>
        </w:rPr>
        <w:t>基金销售机构及联系方式</w:t>
      </w:r>
    </w:p>
    <w:p w14:paraId="0F874A91" w14:textId="77777777" w:rsidR="00AE3DEF" w:rsidRDefault="00557546">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w:t>
      </w:r>
      <w:r>
        <w:rPr>
          <w:rFonts w:ascii="宋体" w:eastAsia="宋体" w:hAnsi="宋体" w:cs="方正仿宋简体"/>
          <w:iCs/>
          <w:sz w:val="21"/>
          <w:szCs w:val="21"/>
        </w:rPr>
        <w:t>其他重要资料</w:t>
      </w:r>
    </w:p>
    <w:sectPr w:rsidR="00AE3DEF" w:rsidSect="00F50507">
      <w:footerReference w:type="default" r:id="rId8"/>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8610E" w14:textId="77777777" w:rsidR="00557546" w:rsidRDefault="00557546" w:rsidP="00084FBF">
      <w:r>
        <w:separator/>
      </w:r>
    </w:p>
  </w:endnote>
  <w:endnote w:type="continuationSeparator" w:id="0">
    <w:p w14:paraId="2D8A14BE" w14:textId="77777777" w:rsidR="00557546" w:rsidRDefault="00557546"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Arial Unicode MS"/>
    <w:panose1 w:val="02000000000000000000"/>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altName w:val="微软雅黑"/>
    <w:panose1 w:val="02000000000000000000"/>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4C4F" w14:textId="77777777" w:rsidR="00953F87" w:rsidRDefault="00953F87">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537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537C">
      <w:rPr>
        <w:b/>
        <w:bCs/>
        <w:noProof/>
      </w:rPr>
      <w:t>3</w:t>
    </w:r>
    <w:r>
      <w:rPr>
        <w:b/>
        <w:bCs/>
        <w:sz w:val="24"/>
        <w:szCs w:val="24"/>
      </w:rPr>
      <w:fldChar w:fldCharType="end"/>
    </w:r>
  </w:p>
  <w:p w14:paraId="746B6C28" w14:textId="77777777" w:rsidR="00953F87" w:rsidRDefault="00953F8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CD56" w14:textId="77777777" w:rsidR="00557546" w:rsidRDefault="00557546" w:rsidP="00084FBF">
      <w:r>
        <w:separator/>
      </w:r>
    </w:p>
  </w:footnote>
  <w:footnote w:type="continuationSeparator" w:id="0">
    <w:p w14:paraId="5B74774C" w14:textId="77777777" w:rsidR="00557546" w:rsidRDefault="00557546" w:rsidP="0008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5AC33CF0"/>
    <w:multiLevelType w:val="singleLevel"/>
    <w:tmpl w:val="5AC33CF0"/>
    <w:lvl w:ilvl="0">
      <w:start w:val="1"/>
      <w:numFmt w:val="chineseCounting"/>
      <w:suff w:val="nothing"/>
      <w:lvlText w:val="%1、"/>
      <w:lvlJc w:val="left"/>
    </w:lvl>
  </w:abstractNum>
  <w:abstractNum w:abstractNumId="6" w15:restartNumberingAfterBreak="0">
    <w:nsid w:val="5C21FE0E"/>
    <w:multiLevelType w:val="singleLevel"/>
    <w:tmpl w:val="5C21FE0E"/>
    <w:lvl w:ilvl="0">
      <w:start w:val="2"/>
      <w:numFmt w:val="chineseCounting"/>
      <w:suff w:val="nothing"/>
      <w:lvlText w:val="（%1）"/>
      <w:lvlJc w:val="left"/>
    </w:lvl>
  </w:abstractNum>
  <w:abstractNum w:abstractNumId="7" w15:restartNumberingAfterBreak="0">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4F610C"/>
    <w:rsid w:val="00532A3B"/>
    <w:rsid w:val="005354AA"/>
    <w:rsid w:val="005442CE"/>
    <w:rsid w:val="0055000C"/>
    <w:rsid w:val="00557546"/>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C219B"/>
    <w:rsid w:val="00AC3F57"/>
    <w:rsid w:val="00AE3DEF"/>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C5715"/>
  <w15:chartTrackingRefBased/>
  <w15:docId w15:val="{C0F0A5CD-E53D-453A-8B9E-A5C8E238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0"/>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0"/>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文本 字符"/>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a7">
    <w:name w:val="批注文字 字符"/>
    <w:link w:val="a8"/>
    <w:uiPriority w:val="99"/>
    <w:rsid w:val="00084FBF"/>
    <w:rPr>
      <w:rFonts w:ascii="Times New Roman" w:eastAsia="方正仿宋简体" w:hAnsi="Times New Roman"/>
      <w:sz w:val="32"/>
    </w:rPr>
  </w:style>
  <w:style w:type="paragraph" w:styleId="a4">
    <w:name w:val="footnote text"/>
    <w:basedOn w:val="a"/>
    <w:link w:val="a3"/>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8">
    <w:name w:val="annotation text"/>
    <w:basedOn w:val="a"/>
    <w:link w:val="a7"/>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9">
    <w:name w:val="Balloon Text"/>
    <w:link w:val="aa"/>
    <w:uiPriority w:val="99"/>
    <w:semiHidden/>
    <w:unhideWhenUsed/>
    <w:rPr>
      <w:rFonts w:ascii="Tahoma" w:hAnsi="Tahoma" w:cs="Tahoma"/>
      <w:sz w:val="16"/>
      <w:szCs w:val="16"/>
    </w:rPr>
  </w:style>
  <w:style w:type="character" w:customStyle="1" w:styleId="Char">
    <w:name w:val="批注框文本 Char"/>
    <w:uiPriority w:val="99"/>
    <w:semiHidden/>
    <w:rsid w:val="00084FBF"/>
    <w:rPr>
      <w:rFonts w:ascii="Times New Roman" w:eastAsia="方正仿宋简体" w:hAnsi="Times New Roman" w:cs="Times New Roman"/>
      <w:sz w:val="18"/>
      <w:szCs w:val="18"/>
    </w:rPr>
  </w:style>
  <w:style w:type="paragraph" w:styleId="ab">
    <w:name w:val="List Paragraph"/>
    <w:basedOn w:val="a"/>
    <w:uiPriority w:val="34"/>
    <w:qFormat/>
    <w:rsid w:val="006F366F"/>
    <w:pPr>
      <w:ind w:firstLineChars="200" w:firstLine="420"/>
    </w:pPr>
  </w:style>
  <w:style w:type="table" w:styleId="ac">
    <w:name w:val="Table Grid"/>
    <w:basedOn w:val="a1"/>
    <w:uiPriority w:val="39"/>
    <w:rsid w:val="00803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8"/>
    <w:next w:val="a8"/>
    <w:link w:val="af"/>
    <w:uiPriority w:val="99"/>
    <w:semiHidden/>
    <w:unhideWhenUsed/>
    <w:rsid w:val="00DC28DE"/>
    <w:rPr>
      <w:b/>
      <w:bCs/>
      <w:szCs w:val="20"/>
    </w:rPr>
  </w:style>
  <w:style w:type="character" w:customStyle="1" w:styleId="af">
    <w:name w:val="批注主题 字符"/>
    <w:link w:val="ae"/>
    <w:uiPriority w:val="99"/>
    <w:semiHidden/>
    <w:rsid w:val="00DC28DE"/>
    <w:rPr>
      <w:rFonts w:ascii="Times New Roman" w:eastAsia="方正仿宋简体" w:hAnsi="Times New Roman" w:cs="Times New Roman"/>
      <w:b/>
      <w:bCs/>
      <w:sz w:val="32"/>
      <w:szCs w:val="20"/>
    </w:rPr>
  </w:style>
  <w:style w:type="paragraph" w:styleId="af0">
    <w:name w:val="header"/>
    <w:basedOn w:val="a"/>
    <w:link w:val="af1"/>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af1">
    <w:name w:val="页眉 字符"/>
    <w:link w:val="af0"/>
    <w:uiPriority w:val="99"/>
    <w:rsid w:val="00953F87"/>
    <w:rPr>
      <w:rFonts w:ascii="Times New Roman" w:eastAsia="方正仿宋简体" w:hAnsi="Times New Roman" w:cs="Times New Roman"/>
      <w:sz w:val="18"/>
      <w:szCs w:val="18"/>
    </w:rPr>
  </w:style>
  <w:style w:type="paragraph" w:styleId="af2">
    <w:name w:val="footer"/>
    <w:basedOn w:val="a"/>
    <w:link w:val="af3"/>
    <w:uiPriority w:val="99"/>
    <w:unhideWhenUsed/>
    <w:rsid w:val="00953F87"/>
    <w:pPr>
      <w:tabs>
        <w:tab w:val="center" w:pos="4153"/>
        <w:tab w:val="right" w:pos="8306"/>
      </w:tabs>
      <w:snapToGrid w:val="0"/>
      <w:jc w:val="left"/>
    </w:pPr>
    <w:rPr>
      <w:sz w:val="18"/>
      <w:szCs w:val="18"/>
    </w:rPr>
  </w:style>
  <w:style w:type="character" w:customStyle="1" w:styleId="af3">
    <w:name w:val="页脚 字符"/>
    <w:link w:val="af2"/>
    <w:uiPriority w:val="99"/>
    <w:rsid w:val="00953F87"/>
    <w:rPr>
      <w:rFonts w:ascii="Times New Roman" w:eastAsia="方正仿宋简体" w:hAnsi="Times New Roman" w:cs="Times New Roman"/>
      <w:sz w:val="18"/>
      <w:szCs w:val="18"/>
    </w:rPr>
  </w:style>
  <w:style w:type="character" w:customStyle="1" w:styleId="10">
    <w:name w:val="标题 1 字符"/>
    <w:link w:val="1"/>
    <w:uiPriority w:val="9"/>
    <w:rsid w:val="00F50507"/>
    <w:rPr>
      <w:rFonts w:ascii="宋体" w:hAnsi="宋体"/>
      <w:b/>
      <w:bCs/>
      <w:kern w:val="44"/>
      <w:sz w:val="24"/>
      <w:szCs w:val="44"/>
    </w:rPr>
  </w:style>
  <w:style w:type="character" w:customStyle="1" w:styleId="20">
    <w:name w:val="标题 2 字符"/>
    <w:link w:val="2"/>
    <w:uiPriority w:val="9"/>
    <w:rsid w:val="00F50507"/>
    <w:rPr>
      <w:rFonts w:ascii="宋体" w:hAnsi="宋体" w:cs="方正仿宋简体"/>
      <w:b/>
      <w:iCs/>
      <w:kern w:val="2"/>
      <w:sz w:val="22"/>
      <w:szCs w:val="24"/>
    </w:rPr>
  </w:style>
  <w:style w:type="paragraph" w:styleId="af4">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5">
    <w:name w:val="Placeholder Text"/>
    <w:basedOn w:val="a0"/>
    <w:uiPriority w:val="99"/>
    <w:semiHidden/>
    <w:rsid w:val="00E26DA8"/>
    <w:rPr>
      <w:color w:val="808080"/>
    </w:rPr>
  </w:style>
  <w:style w:type="paragraph" w:styleId="TOC">
    <w:name w:val="TOC Heading"/>
    <w:uiPriority w:val="39"/>
    <w:semiHidden/>
    <w:unhideWhenUsed/>
    <w:qFormat/>
    <w:rPr>
      <w:lang w:eastAsia="ja-JP"/>
    </w:r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paragraph" w:styleId="TOC4">
    <w:name w:val="toc 4"/>
    <w:autoRedefine/>
    <w:uiPriority w:val="39"/>
    <w:unhideWhenUsed/>
    <w:pPr>
      <w:spacing w:after="100"/>
      <w:ind w:left="660"/>
    </w:pPr>
  </w:style>
  <w:style w:type="character" w:styleId="af6">
    <w:name w:val="Hyperlink"/>
    <w:uiPriority w:val="99"/>
    <w:unhideWhenUsed/>
    <w:rPr>
      <w:color w:val="0563C1" w:themeColor="hyperlink"/>
      <w:u w:val="single"/>
    </w:rPr>
  </w:style>
  <w:style w:type="character" w:customStyle="1" w:styleId="aa">
    <w:name w:val="批注框文本 字符"/>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2522;&#37329;&#20135;&#21697;&#36164;&#26009;&#27010;&#35201;&#27169;&#26495;_C.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0</TotalTime>
  <Pages>4</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马天蕊</cp:lastModifiedBy>
  <cp:revision>2</cp:revision>
  <dcterms:created xsi:type="dcterms:W3CDTF">2026-01-09T07:59:00Z</dcterms:created>
  <dcterms:modified xsi:type="dcterms:W3CDTF">2026-01-09T07:59:00Z</dcterms:modified>
</cp:coreProperties>
</file>