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2.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footer11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theme/theme111.xml" ContentType="application/vnd.openxmlformats-officedocument.theme+xml"/>
  <Override PartName="/word/webSettings.xml" ContentType="application/vnd.openxmlformats-officedocument.wordprocessingml.webSettings+xml"/>
  <Override PartName="/word/glossary/document.xml" ContentType="application/vnd.openxmlformats-officedocument.wordprocessingml.document.glossary+xml"/>
  <Override PartName="/word/glossary/webSettings22.xml" ContentType="application/vnd.openxmlformats-officedocument.wordprocessingml.webSettings+xml"/>
  <Override PartName="/word/glossary/settings22.xml" ContentType="application/vnd.openxmlformats-officedocument.wordprocessingml.settings+xml"/>
  <Override PartName="/word/glossary/styles22.xml" ContentType="application/vnd.openxmlformats-officedocument.wordprocessingml.styles+xml"/>
  <Override PartName="/word/glossary/fontTable2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jc w:val="center"/>
        <w:rPr>
          <w:rFonts w:cs="方正黑体简体"/>
          <w:b/>
          <w:bCs/>
          <w:iCs/>
          <w:sz w:val="30"/>
          <w:szCs w:val="30"/>
        </w:rPr>
      </w:pPr>
      <w:r>
        <w:rPr>
          <w:rFonts w:cs="方正黑体简体"/>
          <w:b/>
          <w:bCs/>
          <w:iCs/>
          <w:sz w:val="30"/>
          <w:szCs w:val="30"/>
        </w:rPr>
        <w:t>富国消费优选混合型证券投资基金（A类份额）基金产品资料概要</w:t>
      </w:r>
    </w:p>
    <w:p w:rsidR="00084FBF" w:rsidRPr="00A14942" w:rsidRDefault="008B72D1" w:rsidP="0043556E">
      <w:pPr>
        <w:adjustRightInd w:val="0"/>
        <w:snapToGrid w:val="0"/>
        <w:jc w:val="right"/>
        <w:rPr>
          <w:rFonts w:cs="方正仿宋简体"/>
          <w:iCs/>
          <w:color w:val="FF0000"/>
          <w:szCs w:val="21"/>
        </w:rPr>
      </w:pPr>
      <w:r>
        <w:rPr>
          <w:rFonts w:hint="eastAsia"/>
          <w:szCs w:val="21"/>
        </w:rPr>
        <w:t>2025年12月31日</w:t>
      </w:r>
      <w:r w:rsidR="0043556E" w:rsidRPr="00A14942">
        <w:rPr>
          <w:rFonts w:hint="eastAsia"/>
          <w:szCs w:val="21"/>
        </w:rPr>
        <w:t>（</w:t>
      </w:r>
      <w:r w:rsidR="0043556E" w:rsidRPr="00A14942">
        <w:rPr>
          <w:rFonts w:cs="方正仿宋简体" w:hint="eastAsia"/>
          <w:iCs/>
          <w:szCs w:val="21"/>
        </w:rPr>
        <w:t>信息截至：</w:t>
      </w:r>
      <w:r>
        <w:rPr>
          <w:rFonts w:cs="方正仿宋简体" w:hint="eastAsia"/>
          <w:iCs/>
          <w:szCs w:val="21"/>
        </w:rPr>
        <w:t>2025年12月30日</w:t>
      </w:r>
      <w:r w:rsidR="0043556E" w:rsidRPr="00A14942">
        <w:rPr>
          <w:rFonts w:hint="eastAsia"/>
          <w:szCs w:val="21"/>
        </w:rPr>
        <w:t>）</w:t>
      </w:r>
    </w:p>
    <w:p w:rsidR="00DE25AF" w:rsidRPr="00A14942" w:rsidRDefault="004E7FF3" w:rsidP="00084FBF">
      <w:pPr>
        <w:adjustRightInd w:val="0"/>
        <w:snapToGrid w:val="0"/>
        <w:jc w:val="center"/>
        <w:rPr>
          <w:rFonts w:cs="方正黑体简体"/>
          <w:b/>
          <w:bCs/>
          <w:iCs/>
          <w:sz w:val="24"/>
          <w:szCs w:val="21"/>
        </w:rPr>
      </w:pPr>
      <w:r w:rsidRPr="00A14942">
        <w:rPr>
          <w:rFonts w:cs="方正黑体简体" w:hint="eastAsia"/>
          <w:b/>
          <w:bCs/>
          <w:iCs/>
          <w:sz w:val="24"/>
          <w:szCs w:val="21"/>
        </w:rPr>
        <w:t>本概要提供本基金的重要信息，是招募说明书的一部分。</w:t>
      </w:r>
      <w:proofErr w:type="gramStart"/>
      <w:r w:rsidRPr="00A14942">
        <w:rPr>
          <w:rFonts w:cs="方正黑体简体" w:hint="eastAsia"/>
          <w:b/>
          <w:bCs/>
          <w:iCs/>
          <w:sz w:val="24"/>
          <w:szCs w:val="21"/>
        </w:rPr>
        <w:t>作出</w:t>
      </w:r>
      <w:proofErr w:type="gramEnd"/>
      <w:r w:rsidRPr="00A14942">
        <w:rPr>
          <w:rFonts w:cs="方正黑体简体" w:hint="eastAsia"/>
          <w:b/>
          <w:bCs/>
          <w:iCs/>
          <w:sz w:val="24"/>
          <w:szCs w:val="21"/>
        </w:rPr>
        <w:t>投资决定前，请阅读完整的招募说明书等销售文件。</w:t>
      </w:r>
    </w:p>
    <w:p w:rsidR="006F366F" w:rsidRPr="000776C8" w:rsidRDefault="006F366F" w:rsidP="00E31F9B">
      <w:pPr>
        <w:pStyle w:val="1"/>
      </w:pPr>
      <w:r w:rsidRPr="000776C8">
        <w:rPr>
          <w:rFonts w:hint="eastAsia"/>
        </w:rPr>
        <w:t>产品概况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基金简称</w:t>
            </w:r>
          </w:p>
        </w:tc>
        <w:tc>
          <w:tcPr>
            <w:tcW w:w="2887" w:type="dxa"/>
            <w:shd w:val="clear" w:color="auto" w:fill="auto"/>
            <w:vAlign w:val="center"/>
          </w:tcPr>
          <w:p>
            <w:pPr>
              <w:adjustRightInd w:val="0"/>
              <w:snapToGrid w:val="0"/>
              <w:rPr>
                <w:rFonts w:cs="方正仿宋简体"/>
                <w:iCs/>
                <w:szCs w:val="21"/>
              </w:rPr>
            </w:pPr>
            <w:r>
              <w:rPr>
                <w:kern w:val="0"/>
                <w:szCs w:val="21"/>
              </w:rPr>
              <w:t>富国消费优选混合</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基金代码</w:t>
            </w:r>
          </w:p>
        </w:tc>
        <w:tc>
          <w:tcPr>
            <w:tcW w:w="2835" w:type="dxa"/>
            <w:shd w:val="clear" w:color="auto" w:fill="auto"/>
            <w:vAlign w:val="center"/>
          </w:tcPr>
          <w:p>
            <w:pPr>
              <w:adjustRightInd w:val="0"/>
              <w:snapToGrid w:val="0"/>
              <w:rPr>
                <w:rFonts w:cs="方正仿宋简体"/>
                <w:iCs/>
                <w:szCs w:val="21"/>
              </w:rPr>
            </w:pPr>
            <w:r>
              <w:rPr>
                <w:rFonts w:hint="eastAsia"/>
                <w:kern w:val="0"/>
                <w:szCs w:val="21"/>
              </w:rPr>
              <w:t>024812</w:t>
            </w:r>
          </w:p>
        </w:tc>
      </w:tr>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份额简称</w:t>
            </w:r>
          </w:p>
        </w:tc>
        <w:tc>
          <w:tcPr>
            <w:tcW w:w="2887" w:type="dxa"/>
            <w:shd w:val="clear" w:color="auto" w:fill="auto"/>
            <w:vAlign w:val="center"/>
          </w:tcPr>
          <w:p>
            <w:pPr>
              <w:adjustRightInd w:val="0"/>
              <w:snapToGrid w:val="0"/>
              <w:rPr>
                <w:rFonts w:cs="方正仿宋简体"/>
                <w:iCs/>
                <w:szCs w:val="21"/>
              </w:rPr>
            </w:pPr>
            <w:r>
              <w:rPr>
                <w:kern w:val="0"/>
                <w:szCs w:val="21"/>
              </w:rPr>
              <w:t>富国消费优选混合A</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份额代码</w:t>
            </w:r>
          </w:p>
        </w:tc>
        <w:tc>
          <w:tcPr>
            <w:tcW w:w="2835" w:type="dxa"/>
            <w:shd w:val="clear" w:color="auto" w:fill="auto"/>
            <w:vAlign w:val="center"/>
          </w:tcPr>
          <w:p>
            <w:pPr>
              <w:adjustRightInd w:val="0"/>
              <w:snapToGrid w:val="0"/>
              <w:rPr>
                <w:rFonts w:cs="方正仿宋简体"/>
                <w:iCs/>
                <w:szCs w:val="21"/>
              </w:rPr>
            </w:pPr>
            <w:r>
              <w:rPr>
                <w:rFonts w:hint="eastAsia"/>
                <w:kern w:val="0"/>
                <w:szCs w:val="21"/>
              </w:rPr>
              <w:t>024812</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基金管理人</w:t>
            </w:r>
          </w:p>
        </w:tc>
        <w:tc>
          <w:tcPr>
            <w:tcW w:w="2887" w:type="dxa"/>
            <w:shd w:val="clear" w:color="auto" w:fill="auto"/>
            <w:vAlign w:val="center"/>
          </w:tcPr>
          <w:p>
            <w:pPr>
              <w:adjustRightInd w:val="0"/>
              <w:snapToGrid w:val="0"/>
              <w:rPr>
                <w:rFonts w:cs="方正仿宋简体"/>
                <w:iCs/>
                <w:szCs w:val="21"/>
              </w:rPr>
            </w:pPr>
            <w:r>
              <w:rPr>
                <w:rFonts w:hint="eastAsia"/>
                <w:kern w:val="0"/>
                <w:szCs w:val="21"/>
              </w:rPr>
              <w:t>富国基金管理有限公司</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基金托管人</w:t>
            </w:r>
          </w:p>
        </w:tc>
        <w:tc>
          <w:tcPr>
            <w:tcW w:w="2835" w:type="dxa"/>
            <w:shd w:val="clear" w:color="auto" w:fill="auto"/>
            <w:vAlign w:val="center"/>
          </w:tcPr>
          <w:p>
            <w:pPr>
              <w:adjustRightInd w:val="0"/>
              <w:snapToGrid w:val="0"/>
              <w:rPr>
                <w:rFonts w:cs="方正仿宋简体"/>
                <w:iCs/>
                <w:szCs w:val="21"/>
              </w:rPr>
            </w:pPr>
            <w:r>
              <w:rPr>
                <w:rFonts w:hint="eastAsia"/>
                <w:kern w:val="0"/>
                <w:szCs w:val="21"/>
              </w:rPr>
              <w:t>中国建设银行股份有限公司</w:t>
            </w:r>
          </w:p>
        </w:tc>
      </w:tr>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基金合同生效日</w:t>
            </w:r>
          </w:p>
        </w:tc>
        <w:tc>
          <w:tcPr>
            <w:tcW w:w="2887" w:type="dxa"/>
            <w:shd w:val="clear" w:color="auto" w:fill="auto"/>
            <w:vAlign w:val="center"/>
          </w:tcPr>
          <w:p>
            <w:pPr>
              <w:adjustRightInd w:val="0"/>
              <w:snapToGrid w:val="0"/>
              <w:rPr>
                <w:rFonts w:cs="方正仿宋简体"/>
                <w:iCs/>
                <w:szCs w:val="21"/>
              </w:rPr>
            </w:pPr>
            <w:r>
              <w:rPr>
                <w:kern w:val="0"/>
                <w:szCs w:val="21"/>
              </w:rPr>
              <w:t>－</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基金类型</w:t>
            </w:r>
          </w:p>
        </w:tc>
        <w:tc>
          <w:tcPr>
            <w:tcW w:w="2835" w:type="dxa"/>
            <w:shd w:val="clear" w:color="auto" w:fill="auto"/>
            <w:vAlign w:val="center"/>
          </w:tcPr>
          <w:p>
            <w:pPr>
              <w:adjustRightInd w:val="0"/>
              <w:snapToGrid w:val="0"/>
              <w:rPr>
                <w:rFonts w:cs="方正仿宋简体"/>
                <w:iCs/>
                <w:szCs w:val="21"/>
              </w:rPr>
            </w:pPr>
            <w:r>
              <w:rPr>
                <w:rFonts w:hint="eastAsia"/>
                <w:kern w:val="0"/>
                <w:szCs w:val="21"/>
              </w:rPr>
              <w:t>混合型</w:t>
            </w:r>
          </w:p>
        </w:tc>
      </w:tr>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运作方式</w:t>
            </w:r>
          </w:p>
        </w:tc>
        <w:tc>
          <w:tcPr>
            <w:tcW w:w="2887" w:type="dxa"/>
            <w:shd w:val="clear" w:color="auto" w:fill="auto"/>
            <w:vAlign w:val="center"/>
          </w:tcPr>
          <w:p>
            <w:pPr>
              <w:adjustRightInd w:val="0"/>
              <w:snapToGrid w:val="0"/>
              <w:rPr>
                <w:rFonts w:cs="方正仿宋简体"/>
                <w:iCs/>
                <w:szCs w:val="21"/>
              </w:rPr>
            </w:pPr>
            <w:r>
              <w:rPr>
                <w:kern w:val="0"/>
                <w:szCs w:val="21"/>
              </w:rPr>
              <w:t>普通开放式</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开放频率</w:t>
            </w:r>
          </w:p>
        </w:tc>
        <w:tc>
          <w:tcPr>
            <w:tcW w:w="2835" w:type="dxa"/>
            <w:shd w:val="clear" w:color="auto" w:fill="auto"/>
            <w:vAlign w:val="center"/>
          </w:tcPr>
          <w:p>
            <w:pPr>
              <w:adjustRightInd w:val="0"/>
              <w:snapToGrid w:val="0"/>
              <w:rPr>
                <w:rFonts w:cs="方正仿宋简体"/>
                <w:iCs/>
                <w:szCs w:val="21"/>
              </w:rPr>
            </w:pPr>
            <w:r>
              <w:rPr>
                <w:rFonts w:hint="eastAsia"/>
                <w:kern w:val="0"/>
                <w:szCs w:val="21"/>
              </w:rPr>
              <w:t>每个开放日</w:t>
            </w:r>
          </w:p>
        </w:tc>
      </w:tr>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交易币种</w:t>
            </w:r>
          </w:p>
        </w:tc>
        <w:tc>
          <w:tcPr>
            <w:tcW w:w="2887" w:type="dxa"/>
            <w:shd w:val="clear" w:color="auto" w:fill="auto"/>
            <w:vAlign w:val="center"/>
          </w:tcPr>
          <w:p>
            <w:pPr>
              <w:adjustRightInd w:val="0"/>
              <w:snapToGrid w:val="0"/>
              <w:rPr>
                <w:rFonts w:cs="方正仿宋简体"/>
                <w:iCs/>
                <w:szCs w:val="21"/>
              </w:rPr>
            </w:pPr>
            <w:r>
              <w:rPr>
                <w:rFonts w:hint="eastAsia"/>
                <w:kern w:val="0"/>
                <w:szCs w:val="21"/>
              </w:rPr>
              <w:t>人民币</w:t>
            </w:r>
          </w:p>
        </w:tc>
        <w:tc>
          <w:tcPr>
            <w:tcW w:w="1701" w:type="dxa"/>
            <w:shd w:val="clear" w:color="auto" w:fill="auto"/>
            <w:vAlign w:val="center"/>
          </w:tcPr>
          <w:p w:rsidR="00F64027" w:rsidRPr="00315D72" w:rsidRDefault="00F64027" w:rsidP="00F64027">
            <w:pPr>
              <w:adjustRightInd w:val="0"/>
              <w:snapToGrid w:val="0"/>
              <w:rPr>
                <w:rFonts w:cs="方正仿宋简体"/>
                <w:iCs/>
                <w:szCs w:val="21"/>
              </w:rPr>
            </w:pPr>
            <w:r w:rsidRPr="00315D72">
              <w:rPr/>
            </w:r>
          </w:p>
        </w:tc>
        <w:tc>
          <w:tcPr>
            <w:tcW w:w="2835" w:type="dxa"/>
            <w:shd w:val="clear" w:color="auto" w:fill="auto"/>
            <w:vAlign w:val="center"/>
          </w:tcPr>
          <w:p>
            <w:pPr>
              <w:adjustRightInd w:val="0"/>
              <w:snapToGrid w:val="0"/>
              <w:rPr>
                <w:rFonts w:cs="方正仿宋简体"/>
                <w:iCs/>
                <w:szCs w:val="21"/>
              </w:rPr>
            </w:pPr>
            <w:r>
              <w:rPr>
                <w:rFonts w:cs="方正仿宋简体" w:hint="eastAsia"/>
                <w:iCs/>
                <w:szCs w:val="21"/>
              </w:rPr>
              <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trPr>
        <w:tc>
          <w:tcPr>
            <w:tcW w:w="1757" w:type="dxa"/>
            <w:vMerge w:val="restart"/>
            <w:shd w:val="clear" w:color="auto" w:fill="auto"/>
            <w:vAlign w:val="center"/>
          </w:tcPr>
          <w:p>
            <w:pPr>
              <w:adjustRightInd w:val="0"/>
              <w:snapToGrid w:val="0"/>
              <w:rPr>
                <w:rFonts w:cs="方正仿宋简体"/>
                <w:iCs/>
                <w:szCs w:val="21"/>
              </w:rPr>
            </w:pPr>
            <w:r>
              <w:rPr>
                <w:rFonts w:cs="方正仿宋简体" w:hint="eastAsia"/>
                <w:iCs/>
                <w:szCs w:val="21"/>
              </w:rPr>
              <w:t>基金经理</w:t>
            </w:r>
          </w:p>
        </w:tc>
        <w:tc>
          <w:tcPr>
            <w:tcW w:w="2887" w:type="dxa"/>
            <w:vMerge w:val="restart"/>
            <w:shd w:val="clear" w:color="auto" w:fill="auto"/>
            <w:vAlign w:val="center"/>
          </w:tcPr>
          <w:p>
            <w:pPr>
              <w:adjustRightInd w:val="0"/>
              <w:snapToGrid w:val="0"/>
              <w:rPr>
                <w:rFonts w:cs="方正仿宋简体"/>
                <w:iCs/>
                <w:szCs w:val="21"/>
              </w:rPr>
            </w:pPr>
            <w:r>
              <w:rPr>
                <w:rFonts w:cs="方正仿宋简体" w:hint="eastAsia"/>
                <w:iCs/>
                <w:szCs w:val="21"/>
              </w:rPr>
              <w:t>周文波</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任职日期</w:t>
            </w:r>
          </w:p>
        </w:tc>
        <w:tc>
          <w:tcPr>
            <w:tcW w:w="2835" w:type="dxa"/>
            <w:shd w:val="clear" w:color="auto" w:fill="auto"/>
            <w:vAlign w:val="center"/>
          </w:tcPr>
          <w:p>
            <w:pPr>
              <w:adjustRightInd w:val="0"/>
              <w:snapToGrid w:val="0"/>
              <w:rPr>
                <w:rFonts w:cs="方正仿宋简体"/>
                <w:iCs/>
                <w:szCs w:val="21"/>
              </w:rPr>
            </w:pPr>
            <w:r>
              <w:rPr>
                <w:rFonts w:cs="方正仿宋简体" w:hint="eastAsia"/>
                <w:iCs/>
                <w:szCs w:val="21"/>
              </w:rPr>
              <w:t>－</w:t>
            </w:r>
          </w:p>
        </w:tc>
      </w:tr>
      <w:tr>
        <w:trPr>
          <w:trHeight w:val="340"/>
        </w:trPr>
        <w:tc>
          <w:tcPr>
            <w:tcW w:w="1757" w:type="dxa"/>
            <w:vMerge/>
            <w:shd w:val="clear" w:color="auto" w:fill="auto"/>
            <w:vAlign w:val="center"/>
          </w:tcPr>
          <w:p w:rsidR="004E1601" w:rsidRPr="00315D72" w:rsidRDefault="004E1601" w:rsidP="004E1601">
            <w:pPr>
              <w:adjustRightInd w:val="0"/>
              <w:snapToGrid w:val="0"/>
              <w:rPr>
                <w:rFonts w:cs="方正仿宋简体"/>
                <w:iCs/>
                <w:szCs w:val="21"/>
              </w:rPr>
            </w:pPr>
          </w:p>
        </w:tc>
        <w:tc>
          <w:tcPr>
            <w:tcW w:w="2887" w:type="dxa"/>
            <w:vMerge/>
            <w:shd w:val="clear" w:color="auto" w:fill="auto"/>
            <w:vAlign w:val="center"/>
          </w:tcPr>
          <w:p w:rsidR="004E1601" w:rsidRPr="00315D72" w:rsidRDefault="004E1601" w:rsidP="004E1601">
            <w:pPr>
              <w:adjustRightInd w:val="0"/>
              <w:snapToGrid w:val="0"/>
              <w:rPr>
                <w:rFonts w:cs="方正仿宋简体"/>
                <w:iCs/>
                <w:szCs w:val="21"/>
              </w:rPr>
            </w:pP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证券从业日期</w:t>
            </w:r>
          </w:p>
        </w:tc>
        <w:tc>
          <w:tcPr>
            <w:tcW w:w="2835" w:type="dxa"/>
            <w:shd w:val="clear" w:color="auto" w:fill="auto"/>
            <w:vAlign w:val="center"/>
          </w:tcPr>
          <w:p>
            <w:pPr>
              <w:adjustRightInd w:val="0"/>
              <w:snapToGrid w:val="0"/>
              <w:rPr>
                <w:rFonts w:cs="方正仿宋简体"/>
                <w:iCs/>
                <w:szCs w:val="21"/>
              </w:rPr>
            </w:pPr>
            <w:r>
              <w:rPr>
                <w:rFonts w:cs="方正仿宋简体" w:hint="eastAsia"/>
                <w:iCs/>
                <w:szCs w:val="21"/>
              </w:rPr>
              <w:t>2011年01月01日</w:t>
            </w:r>
          </w:p>
        </w:tc>
      </w:tr>
    </w:tbl>
    <w:p w:rsidR="006F366F" w:rsidRPr="005F6CAD" w:rsidRDefault="006F366F" w:rsidP="000776C8">
      <w:pPr>
        <w:pStyle w:val="1"/>
      </w:pPr>
      <w:r w:rsidRPr="005F6CAD">
        <w:rPr>
          <w:rFonts w:hint="eastAsia"/>
        </w:rPr>
        <w:t>基金投资与净值表现</w:t>
      </w:r>
    </w:p>
    <w:p w:rsidR="00BC4EFB" w:rsidRDefault="00BC4EFB" w:rsidP="000776C8">
      <w:pPr>
        <w:pStyle w:val="2"/>
      </w:pPr>
      <w:r w:rsidRPr="000776C8">
        <w:rPr>
          <w:rFonts w:hint="eastAsia"/>
        </w:rPr>
        <w:t>投资目标与投资策略</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423"/>
      </w:tblGrid>
      <w:tr>
        <w:trPr>
          <w:trHeight w:val="340"/>
        </w:trPr>
        <w:tc>
          <w:tcPr>
            <w:tcW w:w="1757" w:type="dxa"/>
            <w:shd w:val="clear" w:color="auto" w:fill="auto"/>
            <w:vAlign w:val="center"/>
          </w:tcPr>
          <w:p>
            <w:pPr>
              <w:pStyle w:val="ae"/>
            </w:pPr>
            <w:r>
              <w:rPr>
                <w:rFonts w:hint="eastAsia"/>
              </w:rPr>
              <w:t>投资目标</w:t>
            </w:r>
          </w:p>
        </w:tc>
        <w:tc>
          <w:tcPr>
            <w:tcW w:w="7423" w:type="dxa"/>
            <w:shd w:val="clear" w:color="auto" w:fill="auto"/>
            <w:vAlign w:val="center"/>
          </w:tcPr>
          <w:p>
            <w:pPr>
              <w:pStyle w:val="ae"/>
            </w:pPr>
            <w:r>
              <w:rPr>
                <w:rFonts w:hint="eastAsia"/>
              </w:rPr>
              <w:t>本基金将优选消费主题的优质上市公司，在有效控制组合风险并保持基金资产良好的流动性的前提下，力争为基金份额持有人获得超越业绩比较基准的收益。</w:t>
            </w:r>
          </w:p>
        </w:tc>
      </w:tr>
      <w:tr>
        <w:trPr>
          <w:trHeight w:val="340"/>
        </w:trPr>
        <w:tc>
          <w:tcPr>
            <w:tcW w:w="1757" w:type="dxa"/>
            <w:shd w:val="clear" w:color="auto" w:fill="auto"/>
            <w:vAlign w:val="center"/>
          </w:tcPr>
          <w:p>
            <w:pPr>
              <w:pStyle w:val="ae"/>
            </w:pPr>
            <w:r>
              <w:rPr>
                <w:rFonts w:hint="eastAsia"/>
              </w:rPr>
              <w:t>投资范围</w:t>
            </w:r>
          </w:p>
        </w:tc>
        <w:tc>
          <w:tcPr>
            <w:tcW w:w="7423" w:type="dxa"/>
            <w:shd w:val="clear" w:color="auto" w:fill="auto"/>
            <w:vAlign w:val="center"/>
          </w:tcPr>
          <w:p>
            <w:pPr>
              <w:pStyle w:val="ae"/>
            </w:pPr>
            <w:r>
              <w:rPr>
                <w:rFonts w:hint="eastAsia"/>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债、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 如法律法规或监管机构以后允许基金投资其他品种，基金管理人在履行适当程序后，可以将其纳入投资范围。</w:t>
            </w:r>
          </w:p>
          <w:p>
            <w:pPr>
              <w:pStyle w:val="ae"/>
            </w:pPr>
            <w:r>
              <w:rPr>
                <w:rFonts w:hint="eastAsia"/>
              </w:rPr>
              <w:t>基金的投资组合比例为：本基金股票及存托凭证投资占基金资产的比例为60%-95%（其中，投资于港股通标的股票的比例占股票资产的比例为0-50%），本基金投资于消费主题相关的股票及存托凭证比例不低于非现金基金资产的80%；每个交易日日终在扣除股指期货合约、国债期货合约和股票期权合约需缴纳的交易保证金后，现金或者到期日在一年以内的政府债券不低于基金资产净值的5%，其中现金不包括结算备付金、存出保证金、应收申购款等。 如果法律法规或监管机构对该比例要求有变更的，在履行适当程序后，以变更后的比例为准，本基金的投资比例会做相应调整。</w:t>
            </w:r>
          </w:p>
        </w:tc>
      </w:tr>
      <w:tr>
        <w:trPr>
          <w:trHeight w:val="340"/>
        </w:trPr>
        <w:tc>
          <w:tcPr>
            <w:tcW w:w="1757" w:type="dxa"/>
            <w:shd w:val="clear" w:color="auto" w:fill="auto"/>
            <w:vAlign w:val="center"/>
          </w:tcPr>
          <w:p>
            <w:pPr>
              <w:pStyle w:val="ae"/>
            </w:pPr>
            <w:r>
              <w:rPr>
                <w:rFonts w:hint="eastAsia"/>
              </w:rPr>
              <w:t>主要投资策略</w:t>
            </w:r>
          </w:p>
        </w:tc>
        <w:tc>
          <w:tcPr>
            <w:tcW w:w="7423" w:type="dxa"/>
            <w:shd w:val="clear" w:color="auto" w:fill="auto"/>
            <w:vAlign w:val="center"/>
          </w:tcPr>
          <w:p>
            <w:pPr>
              <w:pStyle w:val="ae"/>
            </w:pPr>
            <w:r>
              <w:rPr>
                <w:rFonts w:hint="eastAsia"/>
              </w:rPr>
              <w:t>本基金将以“深入研究、自下而上、尊重个性、长期回报”为投资理念，结合定性与定量的分析方法，将投资理念和分析方法贯穿于资产配置、行业配置、个股选择以及组合风险管理的全过程。在股票投资方面，本基金秉承公司的投资理念，主要投资于优选行业中的绩优股票。具体操作上，主要采取“自下而上”的选股策略。通过定量筛选和定性分析，精选具有长期投资价值的优质企业进行投资，力求获得超越业绩比较基准的投资回报；本基金投资存托凭证将根据投资目标和股票投资策略，基于对基础证券投资价值的研究判断进行投资；在债券投资方面，本基金将采用久期控制下的主动性投资策略；本基金的股指期货、国债期货、股票期权、资产支持证券、信用衍生品的投资策略详见法律文件。</w:t>
            </w:r>
          </w:p>
        </w:tc>
      </w:tr>
      <w:tr>
        <w:trPr>
          <w:trHeight w:val="340"/>
        </w:trPr>
        <w:tc>
          <w:tcPr>
            <w:tcW w:w="1757" w:type="dxa"/>
            <w:shd w:val="clear" w:color="auto" w:fill="auto"/>
            <w:vAlign w:val="center"/>
          </w:tcPr>
          <w:p>
            <w:pPr>
              <w:pStyle w:val="ae"/>
            </w:pPr>
            <w:r>
              <w:rPr>
                <w:rFonts w:hint="eastAsia"/>
              </w:rPr>
              <w:t>业绩比较基准</w:t>
            </w:r>
          </w:p>
        </w:tc>
        <w:tc>
          <w:tcPr>
            <w:tcW w:w="7423" w:type="dxa"/>
            <w:shd w:val="clear" w:color="auto" w:fill="auto"/>
            <w:vAlign w:val="center"/>
          </w:tcPr>
          <w:p>
            <w:pPr>
              <w:pStyle w:val="ae"/>
            </w:pPr>
            <w:r>
              <w:rPr>
                <w:rFonts w:hint="eastAsia"/>
              </w:rPr>
              <w:t>中证内地消费主题指数收益率×60%+中证港股通大消费主题指数收益率×20%+中债-国债总全价（1-3年）指数收益率×15%+银行活期存款利率（税后）×5%</w:t>
            </w:r>
          </w:p>
        </w:tc>
      </w:tr>
      <w:tr>
        <w:trPr>
          <w:trHeight w:val="340"/>
        </w:trPr>
        <w:tc>
          <w:tcPr>
            <w:tcW w:w="1757" w:type="dxa"/>
            <w:shd w:val="clear" w:color="auto" w:fill="auto"/>
            <w:vAlign w:val="center"/>
          </w:tcPr>
          <w:p>
            <w:pPr>
              <w:pStyle w:val="ae"/>
            </w:pPr>
            <w:r>
              <w:rPr>
                <w:rFonts w:hint="eastAsia"/>
              </w:rPr>
              <w:t>风险收益特征</w:t>
            </w:r>
          </w:p>
        </w:tc>
        <w:tc>
          <w:tcPr>
            <w:tcW w:w="7423" w:type="dxa"/>
            <w:shd w:val="clear" w:color="auto" w:fill="auto"/>
            <w:vAlign w:val="center"/>
          </w:tcPr>
          <w:p>
            <w:pPr>
              <w:pStyle w:val="ae"/>
            </w:pPr>
            <w:r>
              <w:rPr>
                <w:rFonts w:hint="eastAsia"/>
              </w:rPr>
              <w:t>本基金为混合型基金，其预期收益及预期风险水平低于股票型基金，高于债券型基金和货币市场基金。本基金投资港股通标的股票的，需承担港股通机制下因投资环境、投资标的、市场制度以及交易规则等差异带来的特有风险。</w:t>
            </w:r>
          </w:p>
        </w:tc>
      </w:tr>
    </w:tbl>
    <w:p w:rsidR="00E10111" w:rsidRPr="00AA62CC" w:rsidRDefault="008B72D1" w:rsidP="00E10111">
      <w:pPr>
        <w:adjustRightInd w:val="0"/>
        <w:snapToGrid w:val="0"/>
        <w:spacing w:beforeLines="20" w:before="87" w:line="288" w:lineRule="auto"/>
        <w:rPr>
          <w:rFonts w:cs="方正仿宋简体"/>
          <w:iCs/>
          <w:szCs w:val="21"/>
        </w:rPr>
      </w:pPr>
      <w:r>
        <w:rPr>
          <w:rFonts w:cs="方正仿宋简体" w:hint="eastAsia"/>
          <w:iCs/>
          <w:szCs w:val="21"/>
        </w:rPr>
        <w:t>注：详情请阅读《招募说明书》中“基金的投资”章节的相关内容。</w:t>
      </w:r>
    </w:p>
    <w:p w:rsidR="006F366F" w:rsidRPr="00A14942" w:rsidRDefault="006F366F" w:rsidP="000776C8">
      <w:pPr>
        <w:pStyle w:val="1"/>
      </w:pPr>
      <w:r w:rsidRPr="00A14942">
        <w:rPr>
          <w:rFonts w:hint="eastAsia"/>
        </w:rPr>
        <w:t>投资本基金涉及的费用</w:t>
      </w:r>
    </w:p>
    <w:p w:rsidR="00D5603D" w:rsidRDefault="00A535E9" w:rsidP="000776C8">
      <w:pPr>
        <w:pStyle w:val="2"/>
        <w:numPr>
          <w:ilvl w:val="1"/>
          <w:numId w:val="14"/>
        </w:numPr>
      </w:pPr>
      <w:r w:rsidRPr="00ED3BD1">
        <w:rPr>
          <w:rFonts w:hint="eastAsia"/>
        </w:rPr>
        <w:t>基金销售相关费用</w:t>
      </w:r>
    </w:p>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rsidR="00D97BE2" w:rsidRPr="00165774" w:rsidTr="00B457F0">
        <w:trPr>
          <w:trHeight w:val="340"/>
        </w:trPr>
        <w:tc>
          <w:tcPr>
            <w:tcW w:w="1092"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费用类型</w:t>
            </w:r>
          </w:p>
        </w:tc>
        <w:tc>
          <w:tcPr>
            <w:tcW w:w="1659"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金额（M）</w:t>
            </w:r>
            <w:r w:rsidR="00A7537D" w:rsidRPr="00BA55B0">
              <w:rPr>
                <w:rFonts w:hint="eastAsia"/>
              </w:rPr>
              <w:t>/</w:t>
            </w:r>
            <w:r w:rsidR="003134F0" w:rsidRPr="00BA55B0">
              <w:rPr>
                <w:rFonts w:hint="eastAsia"/>
              </w:rPr>
              <w:t>持有期限（N）</w:t>
            </w:r>
          </w:p>
        </w:tc>
        <w:tc>
          <w:tcPr>
            <w:tcW w:w="1125"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费率（普通客户）</w:t>
            </w:r>
          </w:p>
        </w:tc>
        <w:tc>
          <w:tcPr>
            <w:tcW w:w="1124"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费率（特定客户）</w:t>
            </w:r>
          </w:p>
        </w:tc>
      </w:tr>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trPr>
          <w:trHeight w:val="340"/>
        </w:trPr>
        <w:tc>
          <w:tcPr>
            <w:tcW w:w="1092" w:type="pct"/>
            <w:shd w:val="clear" w:color="auto" w:fill="auto"/>
            <w:vAlign w:val="center"/>
            <w:vMerge w:val="restart"/>
          </w:tcPr>
          <w:p>
            <w:pPr>
              <w:adjustRightInd w:val="0"/>
              <w:snapToGrid w:val="0"/>
              <w:jc w:val="center"/>
              <w:rPr>
                <w:rFonts w:cs="方正仿宋简体"/>
                <w:iCs/>
                <w:szCs w:val="21"/>
              </w:rPr>
            </w:pPr>
            <w:r>
              <w:rPr>
                <w:rFonts w:cs="方正仿宋简体"/>
                <w:iCs/>
                <w:szCs w:val="21"/>
              </w:rPr>
              <w:t>认购费</w:t>
            </w:r>
          </w:p>
        </w:tc>
        <w:tc>
          <w:tcPr>
            <w:tcW w:w="1659" w:type="pct"/>
            <w:shd w:val="clear" w:color="auto" w:fill="FFFFFF"/>
            <w:vAlign w:val="center"/>
          </w:tcPr>
          <w:p>
            <w:pPr>
              <w:adjustRightInd w:val="0"/>
              <w:snapToGrid w:val="0"/>
              <w:jc w:val="center"/>
              <w:rPr>
                <w:rFonts w:cs="方正仿宋简体"/>
                <w:iCs/>
                <w:szCs w:val="21"/>
              </w:rPr>
            </w:pPr>
            <w:r>
              <w:rPr>
                <w:rFonts w:cs="方正仿宋简体"/>
                <w:iCs/>
                <w:szCs w:val="21"/>
              </w:rPr>
              <w:t>M＜100万</w:t>
            </w:r>
          </w:p>
        </w:tc>
        <w:tc>
          <w:tcPr>
            <w:tcW w:w="1125" w:type="pct"/>
            <w:shd w:val="clear" w:color="auto" w:fill="FFFFFF"/>
            <w:vAlign w:val="center"/>
          </w:tcPr>
          <w:p>
            <w:pPr>
              <w:adjustRightInd w:val="0"/>
              <w:snapToGrid w:val="0"/>
              <w:jc w:val="center"/>
              <w:rPr>
                <w:rFonts w:cs="方正仿宋简体"/>
                <w:iCs/>
                <w:szCs w:val="21"/>
              </w:rPr>
            </w:pPr>
            <w:r>
              <w:rPr>
                <w:rFonts w:cs="方正仿宋简体"/>
                <w:iCs/>
                <w:szCs w:val="21"/>
              </w:rPr>
              <w:t>1.2%</w:t>
            </w:r>
          </w:p>
        </w:tc>
        <w:tc>
          <w:tcPr>
            <w:tcW w:w="1124" w:type="pct"/>
            <w:shd w:val="clear" w:color="auto" w:fill="auto"/>
            <w:vAlign w:val="center"/>
          </w:tcPr>
          <w:p>
            <w:pPr>
              <w:adjustRightInd w:val="0"/>
              <w:snapToGrid w:val="0"/>
              <w:jc w:val="center"/>
              <w:rPr>
                <w:rFonts w:cs="方正仿宋简体"/>
                <w:iCs/>
                <w:szCs w:val="21"/>
              </w:rPr>
            </w:pPr>
            <w:r>
              <w:rPr>
                <w:rFonts w:cs="方正仿宋简体"/>
                <w:iCs/>
                <w:szCs w:val="21"/>
              </w:rPr>
              <w:t>0.12%</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FFFFFF"/>
            <w:vAlign w:val="center"/>
          </w:tcPr>
          <w:p>
            <w:pPr>
              <w:adjustRightInd w:val="0"/>
              <w:snapToGrid w:val="0"/>
              <w:jc w:val="center"/>
              <w:rPr>
                <w:rFonts w:cs="方正仿宋简体"/>
                <w:iCs/>
                <w:szCs w:val="21"/>
              </w:rPr>
            </w:pPr>
            <w:r>
              <w:rPr>
                <w:rFonts w:cs="方正仿宋简体"/>
                <w:iCs/>
                <w:szCs w:val="21"/>
              </w:rPr>
              <w:t>100万≤M＜500万</w:t>
            </w:r>
          </w:p>
        </w:tc>
        <w:tc>
          <w:tcPr>
            <w:tcW w:w="1125" w:type="pct"/>
            <w:shd w:val="clear" w:color="auto" w:fill="FFFFFF"/>
            <w:vAlign w:val="center"/>
          </w:tcPr>
          <w:p>
            <w:pPr>
              <w:adjustRightInd w:val="0"/>
              <w:snapToGrid w:val="0"/>
              <w:jc w:val="center"/>
              <w:rPr>
                <w:rFonts w:cs="方正仿宋简体"/>
                <w:iCs/>
                <w:szCs w:val="21"/>
              </w:rPr>
            </w:pPr>
            <w:r>
              <w:rPr>
                <w:rFonts w:cs="方正仿宋简体"/>
                <w:iCs/>
                <w:szCs w:val="21"/>
              </w:rPr>
              <w:t>0.8%</w:t>
            </w:r>
          </w:p>
        </w:tc>
        <w:tc>
          <w:tcPr>
            <w:tcW w:w="1124" w:type="pct"/>
            <w:shd w:val="clear" w:color="auto" w:fill="auto"/>
            <w:vAlign w:val="center"/>
          </w:tcPr>
          <w:p>
            <w:pPr>
              <w:adjustRightInd w:val="0"/>
              <w:snapToGrid w:val="0"/>
              <w:jc w:val="center"/>
              <w:rPr>
                <w:rFonts w:cs="方正仿宋简体"/>
                <w:iCs/>
                <w:szCs w:val="21"/>
              </w:rPr>
            </w:pPr>
            <w:r>
              <w:rPr>
                <w:rFonts w:cs="方正仿宋简体"/>
                <w:iCs/>
                <w:szCs w:val="21"/>
              </w:rPr>
              <w:t>0.08%</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FFFFFF"/>
            <w:vAlign w:val="center"/>
          </w:tcPr>
          <w:p>
            <w:pPr>
              <w:adjustRightInd w:val="0"/>
              <w:snapToGrid w:val="0"/>
              <w:jc w:val="center"/>
              <w:rPr>
                <w:rFonts w:cs="方正仿宋简体"/>
                <w:iCs/>
                <w:szCs w:val="21"/>
              </w:rPr>
            </w:pPr>
            <w:r>
              <w:rPr>
                <w:rFonts w:cs="方正仿宋简体"/>
                <w:iCs/>
                <w:szCs w:val="21"/>
              </w:rPr>
              <w:t>M≥500万</w:t>
            </w:r>
          </w:p>
        </w:tc>
        <w:tc>
          <w:tcPr>
            <w:tcW w:w="1125" w:type="pct"/>
            <w:shd w:val="clear" w:color="auto" w:fill="FFFFFF"/>
            <w:vAlign w:val="center"/>
          </w:tcPr>
          <w:p>
            <w:pPr>
              <w:adjustRightInd w:val="0"/>
              <w:snapToGrid w:val="0"/>
              <w:jc w:val="center"/>
              <w:rPr>
                <w:rFonts w:cs="方正仿宋简体"/>
                <w:iCs/>
                <w:szCs w:val="21"/>
              </w:rPr>
            </w:pPr>
            <w:r>
              <w:rPr>
                <w:rFonts w:cs="方正仿宋简体"/>
                <w:iCs/>
                <w:szCs w:val="21"/>
              </w:rPr>
              <w:t>1000元/笔</w:t>
            </w:r>
          </w:p>
        </w:tc>
        <w:tc>
          <w:tcPr>
            <w:tcW w:w="1124" w:type="pct"/>
            <w:shd w:val="clear" w:color="auto" w:fill="auto"/>
            <w:vAlign w:val="center"/>
          </w:tcPr>
          <w:p>
            <w:pPr>
              <w:adjustRightInd w:val="0"/>
              <w:snapToGrid w:val="0"/>
              <w:jc w:val="center"/>
              <w:rPr>
                <w:rFonts w:cs="方正仿宋简体"/>
                <w:iCs/>
                <w:szCs w:val="21"/>
              </w:rPr>
            </w:pPr>
            <w:r>
              <w:rPr>
                <w:rFonts w:cs="方正仿宋简体"/>
                <w:iCs/>
                <w:szCs w:val="21"/>
              </w:rPr>
              <w:t>1000元/笔</w:t>
            </w:r>
          </w:p>
        </w:tc>
      </w:tr>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trPr>
          <w:trHeight w:val="340"/>
        </w:trPr>
        <w:tc>
          <w:tcPr>
            <w:tcW w:w="1092" w:type="pct"/>
            <w:shd w:val="clear" w:color="auto" w:fill="auto"/>
            <w:vAlign w:val="center"/>
            <w:vMerge w:val="restart"/>
          </w:tcPr>
          <w:p>
            <w:pPr>
              <w:adjustRightInd w:val="0"/>
              <w:snapToGrid w:val="0"/>
              <w:jc w:val="center"/>
              <w:rPr>
                <w:rFonts w:cs="方正仿宋简体"/>
                <w:iCs/>
                <w:szCs w:val="21"/>
              </w:rPr>
            </w:pPr>
            <w:r>
              <w:rPr>
                <w:rFonts w:cs="方正仿宋简体"/>
                <w:iCs/>
                <w:szCs w:val="21"/>
              </w:rPr>
              <w:t>申购费（前端）</w:t>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M＜100万</w:t>
            </w:r>
          </w:p>
        </w:tc>
        <w:tc>
          <w:tcPr>
            <w:tcW w:w="1125" w:type="pct"/>
            <w:shd w:val="clear" w:color="auto" w:fill="auto"/>
            <w:vAlign w:val="center"/>
          </w:tcPr>
          <w:p>
            <w:pPr>
              <w:adjustRightInd w:val="0"/>
              <w:snapToGrid w:val="0"/>
              <w:jc w:val="center"/>
              <w:rPr>
                <w:rFonts w:cs="方正仿宋简体"/>
                <w:iCs/>
                <w:szCs w:val="21"/>
              </w:rPr>
            </w:pPr>
            <w:r>
              <w:rPr>
                <w:rFonts w:cs="方正仿宋简体"/>
                <w:iCs/>
                <w:szCs w:val="21"/>
              </w:rPr>
              <w:t>1.5%</w:t>
            </w:r>
          </w:p>
        </w:tc>
        <w:tc>
          <w:tcPr>
            <w:tcW w:w="1124" w:type="pct"/>
            <w:shd w:val="clear" w:color="auto" w:fill="auto"/>
            <w:vAlign w:val="center"/>
          </w:tcPr>
          <w:p>
            <w:pPr>
              <w:adjustRightInd w:val="0"/>
              <w:snapToGrid w:val="0"/>
              <w:jc w:val="center"/>
              <w:rPr>
                <w:rFonts w:cs="方正仿宋简体"/>
                <w:iCs/>
                <w:szCs w:val="21"/>
              </w:rPr>
            </w:pPr>
            <w:r>
              <w:rPr>
                <w:rFonts w:cs="方正仿宋简体"/>
                <w:iCs/>
                <w:szCs w:val="21"/>
              </w:rPr>
              <w:t>0.15%</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100万≤M＜500万</w:t>
            </w:r>
          </w:p>
        </w:tc>
        <w:tc>
          <w:tcPr>
            <w:tcW w:w="1125" w:type="pct"/>
            <w:shd w:val="clear" w:color="auto" w:fill="auto"/>
            <w:vAlign w:val="center"/>
          </w:tcPr>
          <w:p>
            <w:pPr>
              <w:adjustRightInd w:val="0"/>
              <w:snapToGrid w:val="0"/>
              <w:jc w:val="center"/>
              <w:rPr>
                <w:rFonts w:cs="方正仿宋简体"/>
                <w:iCs/>
                <w:szCs w:val="21"/>
              </w:rPr>
            </w:pPr>
            <w:r>
              <w:rPr>
                <w:rFonts w:cs="方正仿宋简体"/>
                <w:iCs/>
                <w:szCs w:val="21"/>
              </w:rPr>
              <w:t>1.2%</w:t>
            </w:r>
          </w:p>
        </w:tc>
        <w:tc>
          <w:tcPr>
            <w:tcW w:w="1124" w:type="pct"/>
            <w:shd w:val="clear" w:color="auto" w:fill="auto"/>
            <w:vAlign w:val="center"/>
          </w:tcPr>
          <w:p>
            <w:pPr>
              <w:adjustRightInd w:val="0"/>
              <w:snapToGrid w:val="0"/>
              <w:jc w:val="center"/>
              <w:rPr>
                <w:rFonts w:cs="方正仿宋简体"/>
                <w:iCs/>
                <w:szCs w:val="21"/>
              </w:rPr>
            </w:pPr>
            <w:r>
              <w:rPr>
                <w:rFonts w:cs="方正仿宋简体"/>
                <w:iCs/>
                <w:szCs w:val="21"/>
              </w:rPr>
              <w:t>0.12%</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M≥500万</w:t>
            </w:r>
          </w:p>
        </w:tc>
        <w:tc>
          <w:tcPr>
            <w:tcW w:w="1125" w:type="pct"/>
            <w:shd w:val="clear" w:color="auto" w:fill="auto"/>
            <w:vAlign w:val="center"/>
          </w:tcPr>
          <w:p>
            <w:pPr>
              <w:adjustRightInd w:val="0"/>
              <w:snapToGrid w:val="0"/>
              <w:jc w:val="center"/>
              <w:rPr>
                <w:rFonts w:cs="方正仿宋简体"/>
                <w:iCs/>
                <w:szCs w:val="21"/>
              </w:rPr>
            </w:pPr>
            <w:r>
              <w:rPr>
                <w:rFonts w:cs="方正仿宋简体"/>
                <w:iCs/>
                <w:szCs w:val="21"/>
              </w:rPr>
              <w:t>1000元/笔</w:t>
            </w:r>
          </w:p>
        </w:tc>
        <w:tc>
          <w:tcPr>
            <w:tcW w:w="1124" w:type="pct"/>
            <w:shd w:val="clear" w:color="auto" w:fill="auto"/>
            <w:vAlign w:val="center"/>
          </w:tcPr>
          <w:p>
            <w:pPr>
              <w:adjustRightInd w:val="0"/>
              <w:snapToGrid w:val="0"/>
              <w:jc w:val="center"/>
              <w:rPr>
                <w:rFonts w:cs="方正仿宋简体"/>
                <w:iCs/>
                <w:szCs w:val="21"/>
              </w:rPr>
            </w:pPr>
            <w:r>
              <w:rPr>
                <w:rFonts w:cs="方正仿宋简体"/>
                <w:iCs/>
                <w:szCs w:val="21"/>
              </w:rPr>
              <w:t>1000元/笔</w:t>
            </w:r>
          </w:p>
        </w:tc>
      </w:tr>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3966"/>
      </w:tblGrid>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3966"/>
      </w:tblGrid>
      <w:tr>
        <w:trPr>
          <w:trHeight w:val="340"/>
        </w:trPr>
        <w:tc>
          <w:tcPr>
            <w:tcW w:w="1092" w:type="pct"/>
            <w:shd w:val="clear" w:color="auto" w:fill="auto"/>
            <w:vAlign w:val="center"/>
            <w:vMerge w:val="restart"/>
          </w:tcPr>
          <w:p>
            <w:pPr>
              <w:adjustRightInd w:val="0"/>
              <w:snapToGrid w:val="0"/>
              <w:jc w:val="center"/>
              <w:rPr>
                <w:rFonts w:cs="方正仿宋简体"/>
                <w:iCs/>
                <w:szCs w:val="21"/>
              </w:rPr>
            </w:pPr>
            <w:r>
              <w:rPr>
                <w:rFonts w:cs="方正仿宋简体"/>
                <w:iCs/>
                <w:szCs w:val="21"/>
              </w:rPr>
              <w:t>赎回费</w:t>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N＜7天</w:t>
            </w:r>
          </w:p>
        </w:tc>
        <w:tc>
          <w:tcPr>
            <w:tcW w:w="2249" w:type="pct"/>
            <w:shd w:val="clear" w:color="auto" w:fill="auto"/>
            <w:vAlign w:val="center"/>
          </w:tcPr>
          <w:p>
            <w:pPr>
              <w:adjustRightInd w:val="0"/>
              <w:snapToGrid w:val="0"/>
              <w:jc w:val="center"/>
              <w:rPr>
                <w:rFonts w:cs="方正仿宋简体"/>
                <w:iCs/>
                <w:szCs w:val="21"/>
              </w:rPr>
            </w:pPr>
            <w:r>
              <w:rPr>
                <w:rFonts w:cs="方正仿宋简体"/>
                <w:iCs/>
                <w:szCs w:val="21"/>
              </w:rPr>
              <w:t>1.5%</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7≤N＜30天</w:t>
            </w:r>
          </w:p>
        </w:tc>
        <w:tc>
          <w:tcPr>
            <w:tcW w:w="2249" w:type="pct"/>
            <w:shd w:val="clear" w:color="auto" w:fill="auto"/>
            <w:vAlign w:val="center"/>
          </w:tcPr>
          <w:p>
            <w:pPr>
              <w:adjustRightInd w:val="0"/>
              <w:snapToGrid w:val="0"/>
              <w:jc w:val="center"/>
              <w:rPr>
                <w:rFonts w:cs="方正仿宋简体"/>
                <w:iCs/>
                <w:szCs w:val="21"/>
              </w:rPr>
            </w:pPr>
            <w:r>
              <w:rPr>
                <w:rFonts w:cs="方正仿宋简体"/>
                <w:iCs/>
                <w:szCs w:val="21"/>
              </w:rPr>
              <w:t>0.75%</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30≤N＜180天</w:t>
            </w:r>
          </w:p>
        </w:tc>
        <w:tc>
          <w:tcPr>
            <w:tcW w:w="2249" w:type="pct"/>
            <w:shd w:val="clear" w:color="auto" w:fill="auto"/>
            <w:vAlign w:val="center"/>
          </w:tcPr>
          <w:p>
            <w:pPr>
              <w:adjustRightInd w:val="0"/>
              <w:snapToGrid w:val="0"/>
              <w:jc w:val="center"/>
              <w:rPr>
                <w:rFonts w:cs="方正仿宋简体"/>
                <w:iCs/>
                <w:szCs w:val="21"/>
              </w:rPr>
            </w:pPr>
            <w:r>
              <w:rPr>
                <w:rFonts w:cs="方正仿宋简体"/>
                <w:iCs/>
                <w:szCs w:val="21"/>
              </w:rPr>
              <w:t>0.5%</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N≥180天</w:t>
            </w:r>
          </w:p>
        </w:tc>
        <w:tc>
          <w:tcPr>
            <w:tcW w:w="2249" w:type="pct"/>
            <w:shd w:val="clear" w:color="auto" w:fill="auto"/>
            <w:vAlign w:val="center"/>
          </w:tcPr>
          <w:p>
            <w:pPr>
              <w:adjustRightInd w:val="0"/>
              <w:snapToGrid w:val="0"/>
              <w:jc w:val="center"/>
              <w:rPr>
                <w:rFonts w:cs="方正仿宋简体"/>
                <w:iCs/>
                <w:szCs w:val="21"/>
              </w:rPr>
            </w:pPr>
            <w:r>
              <w:rPr>
                <w:rFonts w:cs="方正仿宋简体"/>
                <w:iCs/>
                <w:szCs w:val="21"/>
              </w:rPr>
              <w:t>0</w:t>
            </w:r>
          </w:p>
        </w:tc>
      </w:tr>
    </w:tbl>
    <w:bookmarkEnd w:id="11" w:displacedByCustomXml="next"/>
    <w:p>
      <w:pPr>
        <w:widowControl w:val="0"/>
        <w:adjustRightInd w:val="0"/>
        <w:snapToGrid w:val="0"/>
        <w:spacing w:beforeLines="20" w:before="87" w:line="288" w:lineRule="auto"/>
        <w:jc w:val="both"/>
        <w:rPr>
          <w:rFonts w:cs="方正仿宋简体"/>
          <w:iCs/>
          <w:szCs w:val="21"/>
        </w:rPr>
      </w:pPr>
      <w:r>
        <w:rPr>
          <w:rFonts w:cs="方正仿宋简体"/>
          <w:iCs/>
          <w:szCs w:val="21"/>
        </w:rPr>
        <w:t>注：以上费用在投资者认购/申购/赎回基金过程中收取，特定客户的具体含义请见《招募说明书》相关内容。</w:t>
      </w:r>
    </w:p>
    <w:p w:rsidR="00956AC1" w:rsidRDefault="00A535E9" w:rsidP="000776C8">
      <w:pPr>
        <w:pStyle w:val="2"/>
      </w:pPr>
      <w:r w:rsidRPr="00ED3BD1">
        <w:rPr>
          <w:rFonts w:hint="eastAsia"/>
        </w:rPr>
        <w:t>基金运作相关费用</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4728"/>
        <w:gridCol w:w="2318"/>
      </w:tblGrid>
      <w:tr>
        <w:tc>
          <w:tcPr>
            <w:tcW w:w="1984" w:type="dxa"/>
            <w:shd w:val="clear" w:color="auto" w:fill="auto"/>
            <w:vAlign w:val="center"/>
          </w:tcPr>
          <w:p>
            <w:pPr>
              <w:pStyle w:val="ae"/>
              <w:spacing w:beforeLines="10" w:before="43" w:line="264" w:lineRule="auto"/>
              <w:contextualSpacing w:val="0"/>
              <w:jc w:val="center"/>
            </w:pPr>
            <w:r>
              <w:t>费用类别</w:t>
            </w:r>
          </w:p>
        </w:tc>
        <w:tc>
          <w:tcPr>
            <w:tcW w:w="4566" w:type="dxa"/>
            <w:shd w:val="clear" w:color="auto" w:fill="auto"/>
            <w:vAlign w:val="center"/>
          </w:tcPr>
          <w:p>
            <w:pPr>
              <w:pStyle w:val="ae"/>
              <w:spacing w:beforeLines="10" w:before="43" w:line="264" w:lineRule="auto"/>
              <w:contextualSpacing w:val="0"/>
              <w:jc w:val="center"/>
            </w:pPr>
            <w:r>
              <w:rPr>
                <w:rFonts w:hint="eastAsia"/>
              </w:rPr>
              <w:t>年费率/收费方式</w:t>
            </w:r>
          </w:p>
        </w:tc>
        <w:tc>
          <w:tcPr>
            <w:tcW w:w="2239" w:type="dxa"/>
            <w:shd w:val="clear" w:color="auto" w:fill="auto"/>
            <w:vAlign w:val="center"/>
          </w:tcPr>
          <w:p>
            <w:pPr>
              <w:pStyle w:val="ae"/>
              <w:spacing w:beforeLines="10" w:before="43" w:line="264" w:lineRule="auto"/>
              <w:contextualSpacing w:val="0"/>
              <w:jc w:val="center"/>
            </w:pPr>
            <w:r>
              <w:rPr>
                <w:rFonts w:hint="eastAsia"/>
              </w:rPr>
              <w:t>收取方</w:t>
            </w:r>
          </w:p>
        </w:tc>
      </w:tr>
      <w:tr>
        <w:tc>
          <w:tcPr>
            <w:tcW w:w="1984" w:type="dxa"/>
            <w:shd w:val="clear" w:color="auto" w:fill="auto"/>
            <w:vAlign w:val="center"/>
          </w:tcPr>
          <w:p>
            <w:pPr>
              <w:pStyle w:val="ae"/>
              <w:spacing w:beforeLines="10" w:before="43" w:line="264" w:lineRule="auto"/>
              <w:contextualSpacing w:val="0"/>
              <w:jc w:val="center"/>
            </w:pPr>
            <w:r>
              <w:t>管理费</w:t>
            </w:r>
          </w:p>
        </w:tc>
        <w:tc>
          <w:tcPr>
            <w:tcW w:w="4566" w:type="dxa"/>
            <w:shd w:val="clear" w:color="auto" w:fill="auto"/>
            <w:vAlign w:val="center"/>
          </w:tcPr>
          <w:p>
            <w:pPr>
              <w:pStyle w:val="ae"/>
              <w:spacing w:beforeLines="10" w:before="43" w:line="264" w:lineRule="auto"/>
              <w:contextualSpacing w:val="0"/>
            </w:pPr>
            <w:r>
              <w:rPr>
                <w:rFonts w:hint="eastAsia"/>
              </w:rPr>
              <w:t>本基金根据每一基金份额的持有期限与持有期间年化收益率，在赎回、转出基金份额或基金合同终止的情形发生时确定该笔基金份额对应的管理费。当投资者赎回、转出基金份额或基金合同终止的情形发生时，持有期限不足一年（即365天，下同），则按1.20%年费率收取管理费；持有期限达到一年及以上，则根据持有期间年化收益率分为以下三种情况，分别确定对应的管理费率档位： 若持有期间相对业绩比较基准的年化超额收益率（扣除超额管理费后）超过6%且持有收益率（扣除超额管理费后）为正，按1.50%年费率确认管理费；若持有期间的年化超额收益率在-3%及以下，按0.60%年费率确认管理费；其他情形按1.20%年费率确认管理费。</w:t>
            </w:r>
          </w:p>
        </w:tc>
        <w:tc>
          <w:tcPr>
            <w:tcW w:w="2239" w:type="dxa"/>
            <w:shd w:val="clear" w:color="auto" w:fill="auto"/>
            <w:vAlign w:val="center"/>
          </w:tcPr>
          <w:p>
            <w:pPr>
              <w:pStyle w:val="ae"/>
              <w:spacing w:beforeLines="10" w:before="43" w:line="264" w:lineRule="auto"/>
              <w:contextualSpacing w:val="0"/>
              <w:jc w:val="left"/>
            </w:pPr>
            <w:r>
              <w:rPr>
                <w:rFonts w:hint="eastAsia"/>
              </w:rPr>
              <w:t>基金管理人、销售机构</w:t>
            </w:r>
          </w:p>
        </w:tc>
      </w:tr>
      <w:tr>
        <w:tc>
          <w:tcPr>
            <w:tcW w:w="1984" w:type="dxa"/>
            <w:shd w:val="clear" w:color="auto" w:fill="auto"/>
            <w:vAlign w:val="center"/>
          </w:tcPr>
          <w:p>
            <w:pPr>
              <w:pStyle w:val="ae"/>
              <w:spacing w:beforeLines="10" w:before="43" w:line="264" w:lineRule="auto"/>
              <w:contextualSpacing w:val="0"/>
              <w:jc w:val="center"/>
            </w:pPr>
            <w:r>
              <w:t>托管费</w:t>
            </w:r>
          </w:p>
        </w:tc>
        <w:tc>
          <w:tcPr>
            <w:tcW w:w="4566" w:type="dxa"/>
            <w:shd w:val="clear" w:color="auto" w:fill="auto"/>
            <w:vAlign w:val="center"/>
          </w:tcPr>
          <w:p>
            <w:pPr>
              <w:pStyle w:val="ae"/>
              <w:spacing w:beforeLines="10" w:before="43" w:line="264" w:lineRule="auto"/>
              <w:contextualSpacing w:val="0"/>
            </w:pPr>
            <w:r>
              <w:rPr>
                <w:rFonts w:hint="eastAsia"/>
              </w:rPr>
              <w:t>0.20%</w:t>
            </w:r>
          </w:p>
        </w:tc>
        <w:tc>
          <w:tcPr>
            <w:tcW w:w="2239" w:type="dxa"/>
            <w:shd w:val="clear" w:color="auto" w:fill="auto"/>
            <w:vAlign w:val="center"/>
          </w:tcPr>
          <w:p>
            <w:pPr>
              <w:pStyle w:val="ae"/>
              <w:spacing w:beforeLines="10" w:before="43" w:line="264" w:lineRule="auto"/>
              <w:contextualSpacing w:val="0"/>
              <w:jc w:val="left"/>
            </w:pPr>
            <w:r>
              <w:rPr>
                <w:rFonts w:hint="eastAsia"/>
              </w:rPr>
              <w:t>基金托管人</w:t>
            </w:r>
          </w:p>
        </w:tc>
      </w:tr>
    </w:tbl>
    <w:p>
      <w:pPr>
        <w:adjustRightInd w:val="0"/>
        <w:snapToGrid w:val="0"/>
        <w:spacing w:beforeLines="20" w:before="87" w:line="288" w:lineRule="auto"/>
        <w:rPr>
          <w:rFonts w:cs="方正仿宋简体"/>
          <w:iCs/>
          <w:szCs w:val="21"/>
        </w:rPr>
      </w:pPr>
      <w:r>
        <w:rPr>
          <w:rFonts w:cs="方正仿宋简体"/>
          <w:iCs/>
          <w:szCs w:val="21"/>
        </w:rPr>
        <w:t>注：以上费用将从基金资产中扣除；本基金交易证券等产生的费用和税负，按实际发生额从基金资产扣除。审计费用、信息披露费为基金整体承担的年费用金额，非单个份额类别费用。年费用金额为预估值，最终实际金额以基金定期报告披露为准。管理费的具体计算和收取方法、除上述费用外的其他运作费用，详见《招募说明书》中的“基金费用与税收”章节。若本基金触发基金合同中关于“基金份额持有人数量和资产规模”的预警情形，基金管理人可决定是否承担本基金项下相关固定费用，最终实际情况以基金定期报告披露为准。</w:t>
      </w:r>
    </w:p>
    <w:p w:rsidR="006370B9" w:rsidRPr="00A14942" w:rsidRDefault="006370B9" w:rsidP="006370B9">
      <w:pPr>
        <w:pStyle w:val="1"/>
        <w:ind w:left="425" w:hanging="425"/>
      </w:pPr>
      <w:r w:rsidRPr="00A14942">
        <w:rPr>
          <w:rFonts w:hint="eastAsia"/>
        </w:rPr>
        <w:t>风险揭示与重要提示</w:t>
      </w:r>
    </w:p>
    <w:p w:rsidR="006370B9" w:rsidRPr="00006391" w:rsidRDefault="006370B9" w:rsidP="006370B9">
      <w:pPr>
        <w:pStyle w:val="2"/>
        <w:numPr>
          <w:ilvl w:val="1"/>
          <w:numId w:val="18"/>
        </w:numPr>
      </w:pPr>
      <w:r w:rsidRPr="00006391">
        <w:rPr>
          <w:rFonts w:hint="eastAsia"/>
        </w:rPr>
        <w:t>风险揭示</w:t>
      </w:r>
    </w:p>
    <w:p>
      <w:pPr>
        <w:adjustRightInd w:val="0"/>
        <w:snapToGrid w:val="0"/>
        <w:spacing w:line="288" w:lineRule="auto"/>
        <w:ind w:firstLineChars="200" w:firstLine="420"/>
        <w:rPr>
          <w:rFonts w:cs="方正仿宋简体"/>
          <w:iCs/>
          <w:szCs w:val="21"/>
        </w:rPr>
      </w:pPr>
      <w:r>
        <w:rPr>
          <w:rFonts w:cs="方正仿宋简体"/>
          <w:iCs/>
          <w:szCs w:val="21"/>
        </w:rPr>
        <w:t>本基金不提供任何保证。投资者可能损失投资本金。投资有风险，投资者购买基金时应认真阅读本基金的《招募说明书》等销售文件。</w:t>
      </w:r>
    </w:p>
    <w:p>
      <w:pPr>
        <w:adjustRightInd w:val="0"/>
        <w:snapToGrid w:val="0"/>
        <w:spacing w:line="288" w:lineRule="auto"/>
        <w:ind w:firstLineChars="200" w:firstLine="420"/>
        <w:rPr>
          <w:rFonts w:cs="方正仿宋简体"/>
          <w:iCs/>
          <w:szCs w:val="21"/>
        </w:rPr>
      </w:pPr>
      <w:r>
        <w:rPr>
          <w:rFonts w:cs="方正仿宋简体"/>
          <w:iCs/>
          <w:szCs w:val="21"/>
        </w:rPr>
        <w:t>本基金投资中的风险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基金管理人提醒投资者基金投资的“买者自负”原则，在投资者作出投资决策后，基金运营状况与基金净值变化引致的投资风险，由投资者自行负责。</w:t>
      </w:r>
    </w:p>
    <w:p>
      <w:pPr>
        <w:adjustRightInd w:val="0"/>
        <w:snapToGrid w:val="0"/>
        <w:spacing w:line="288" w:lineRule="auto"/>
        <w:ind w:firstLineChars="200" w:firstLine="420"/>
        <w:rPr>
          <w:rFonts w:cs="方正仿宋简体"/>
          <w:iCs/>
          <w:szCs w:val="21"/>
        </w:rPr>
      </w:pPr>
      <w:r>
        <w:rPr>
          <w:rFonts w:cs="方正仿宋简体"/>
          <w:iCs/>
          <w:szCs w:val="21"/>
        </w:rPr>
        <w:t>本基金的特有风险包括：1、本基金为混合型基金，股票及存托凭证投资占基金资产的比例为60%-95%（其中，投资于港股通标的股票的比例占股票资产的比例为0-50%），本基金投资于消费主题相关的股票及存托凭证比例不低于非现金基金资产的80%。股票市场和债券市场的变化均会影响到基金业绩表现，基金净值表现因此可能受到影响。本基金管理人将发挥专业研究优势，加强对市场、证券基本面的深入研究，持续优化组合配置，以控制特定风险。</w:t>
      </w:r>
    </w:p>
    <w:p>
      <w:pPr>
        <w:adjustRightInd w:val="0"/>
        <w:snapToGrid w:val="0"/>
        <w:spacing w:line="288" w:lineRule="auto"/>
        <w:ind w:firstLineChars="200" w:firstLine="420"/>
        <w:rPr>
          <w:rFonts w:cs="方正仿宋简体"/>
          <w:iCs/>
          <w:szCs w:val="21"/>
        </w:rPr>
      </w:pPr>
      <w:r>
        <w:rPr>
          <w:rFonts w:cs="方正仿宋简体"/>
          <w:iCs/>
          <w:szCs w:val="21"/>
        </w:rPr>
        <w:t>2、股指期货的投资风险</w:t>
      </w:r>
    </w:p>
    <w:p>
      <w:pPr>
        <w:adjustRightInd w:val="0"/>
        <w:snapToGrid w:val="0"/>
        <w:spacing w:line="288" w:lineRule="auto"/>
        <w:ind w:firstLineChars="200" w:firstLine="420"/>
        <w:rPr>
          <w:rFonts w:cs="方正仿宋简体"/>
          <w:iCs/>
          <w:szCs w:val="21"/>
        </w:rPr>
      </w:pPr>
      <w:r>
        <w:rPr>
          <w:rFonts w:cs="方正仿宋简体"/>
          <w:iCs/>
          <w:szCs w:val="21"/>
        </w:rPr>
        <w:t>本基金可投资股指期货，股指期货采用保证金交易制度，由于保证金交易具有杠杆性，当出现不利行情时，股价指数微小的变动就可能会使投资人权益遭受较大损失。</w:t>
      </w:r>
    </w:p>
    <w:p>
      <w:pPr>
        <w:adjustRightInd w:val="0"/>
        <w:snapToGrid w:val="0"/>
        <w:spacing w:line="288" w:lineRule="auto"/>
        <w:ind w:firstLineChars="200" w:firstLine="420"/>
        <w:rPr>
          <w:rFonts w:cs="方正仿宋简体"/>
          <w:iCs/>
          <w:szCs w:val="21"/>
        </w:rPr>
      </w:pPr>
      <w:r>
        <w:rPr>
          <w:rFonts w:cs="方正仿宋简体"/>
          <w:iCs/>
          <w:szCs w:val="21"/>
        </w:rPr>
        <w:t>3、国债期货的投资风险</w:t>
      </w:r>
    </w:p>
    <w:p>
      <w:pPr>
        <w:adjustRightInd w:val="0"/>
        <w:snapToGrid w:val="0"/>
        <w:spacing w:line="288" w:lineRule="auto"/>
        <w:ind w:firstLineChars="200" w:firstLine="420"/>
        <w:rPr>
          <w:rFonts w:cs="方正仿宋简体"/>
          <w:iCs/>
          <w:szCs w:val="21"/>
        </w:rPr>
      </w:pPr>
      <w:r>
        <w:rPr>
          <w:rFonts w:cs="方正仿宋简体"/>
          <w:iCs/>
          <w:szCs w:val="21"/>
        </w:rPr>
        <w:t>本基金投资范围包括国债期货，国债期货的投资可能面临市场风险、基差风险、流动性风险。</w:t>
      </w:r>
    </w:p>
    <w:p>
      <w:pPr>
        <w:adjustRightInd w:val="0"/>
        <w:snapToGrid w:val="0"/>
        <w:spacing w:line="288" w:lineRule="auto"/>
        <w:ind w:firstLineChars="200" w:firstLine="420"/>
        <w:rPr>
          <w:rFonts w:cs="方正仿宋简体"/>
          <w:iCs/>
          <w:szCs w:val="21"/>
        </w:rPr>
      </w:pPr>
      <w:r>
        <w:rPr>
          <w:rFonts w:cs="方正仿宋简体"/>
          <w:iCs/>
          <w:szCs w:val="21"/>
        </w:rPr>
        <w:t>4、股票期权的投资风险</w:t>
      </w:r>
    </w:p>
    <w:p>
      <w:pPr>
        <w:adjustRightInd w:val="0"/>
        <w:snapToGrid w:val="0"/>
        <w:spacing w:line="288" w:lineRule="auto"/>
        <w:ind w:firstLineChars="200" w:firstLine="420"/>
        <w:rPr>
          <w:rFonts w:cs="方正仿宋简体"/>
          <w:iCs/>
          <w:szCs w:val="21"/>
        </w:rPr>
      </w:pPr>
      <w:r>
        <w:rPr>
          <w:rFonts w:cs="方正仿宋简体"/>
          <w:iCs/>
          <w:szCs w:val="21"/>
        </w:rPr>
        <w:t>本基金投资股票期权，股票期权投资可能面临市场风险、流动性风险、基差风险、保证金风险、信用风险以及各类操作风险等</w:t>
      </w:r>
    </w:p>
    <w:p>
      <w:pPr>
        <w:adjustRightInd w:val="0"/>
        <w:snapToGrid w:val="0"/>
        <w:spacing w:line="288" w:lineRule="auto"/>
        <w:ind w:firstLineChars="200" w:firstLine="420"/>
        <w:rPr>
          <w:rFonts w:cs="方正仿宋简体"/>
          <w:iCs/>
          <w:szCs w:val="21"/>
        </w:rPr>
      </w:pPr>
      <w:r>
        <w:rPr>
          <w:rFonts w:cs="方正仿宋简体"/>
          <w:iCs/>
          <w:szCs w:val="21"/>
        </w:rPr>
        <w:t>5、资产支持证券的投资风险</w:t>
      </w:r>
    </w:p>
    <w:p>
      <w:pPr>
        <w:adjustRightInd w:val="0"/>
        <w:snapToGrid w:val="0"/>
        <w:spacing w:line="288" w:lineRule="auto"/>
        <w:ind w:firstLineChars="200" w:firstLine="420"/>
        <w:rPr>
          <w:rFonts w:cs="方正仿宋简体"/>
          <w:iCs/>
          <w:szCs w:val="21"/>
        </w:rPr>
      </w:pPr>
      <w:r>
        <w:rPr>
          <w:rFonts w:cs="方正仿宋简体"/>
          <w:iCs/>
          <w:szCs w:val="21"/>
        </w:rPr>
        <w:t>本基金可投资资产支持证券，资产支持证券在国内市场尚处发展初期，具有低流动性、高收益的特征，并存在一定的投资风险。</w:t>
      </w:r>
    </w:p>
    <w:p>
      <w:pPr>
        <w:adjustRightInd w:val="0"/>
        <w:snapToGrid w:val="0"/>
        <w:spacing w:line="288" w:lineRule="auto"/>
        <w:ind w:firstLineChars="200" w:firstLine="420"/>
        <w:rPr>
          <w:rFonts w:cs="方正仿宋简体"/>
          <w:iCs/>
          <w:szCs w:val="21"/>
        </w:rPr>
      </w:pPr>
      <w:r>
        <w:rPr>
          <w:rFonts w:cs="方正仿宋简体"/>
          <w:iCs/>
          <w:szCs w:val="21"/>
        </w:rPr>
        <w:t>6、存托凭证的风险</w:t>
      </w:r>
    </w:p>
    <w:p>
      <w:pPr>
        <w:adjustRightInd w:val="0"/>
        <w:snapToGrid w:val="0"/>
        <w:spacing w:line="288" w:lineRule="auto"/>
        <w:ind w:firstLineChars="200" w:firstLine="420"/>
        <w:rPr>
          <w:rFonts w:cs="方正仿宋简体"/>
          <w:iCs/>
          <w:szCs w:val="21"/>
        </w:rPr>
      </w:pPr>
      <w:r>
        <w:rPr>
          <w:rFonts w:cs="方正仿宋简体"/>
          <w:iCs/>
          <w:szCs w:val="21"/>
        </w:rPr>
        <w:t>若本基金投资存托凭证，在承担境内上市交易股票投资的共同风险外，还将承担与存托凭证、创新企业发行、境外发行人以及交易机制相关的特有风险。</w:t>
      </w:r>
    </w:p>
    <w:p>
      <w:pPr>
        <w:adjustRightInd w:val="0"/>
        <w:snapToGrid w:val="0"/>
        <w:spacing w:line="288" w:lineRule="auto"/>
        <w:ind w:firstLineChars="200" w:firstLine="420"/>
        <w:rPr>
          <w:rFonts w:cs="方正仿宋简体"/>
          <w:iCs/>
          <w:szCs w:val="21"/>
        </w:rPr>
      </w:pPr>
      <w:r>
        <w:rPr>
          <w:rFonts w:cs="方正仿宋简体"/>
          <w:iCs/>
          <w:szCs w:val="21"/>
        </w:rPr>
        <w:t>7、信用衍生品分投资风险</w:t>
      </w:r>
    </w:p>
    <w:p>
      <w:pPr>
        <w:adjustRightInd w:val="0"/>
        <w:snapToGrid w:val="0"/>
        <w:spacing w:line="288" w:lineRule="auto"/>
        <w:ind w:firstLineChars="200" w:firstLine="420"/>
        <w:rPr>
          <w:rFonts w:cs="方正仿宋简体"/>
          <w:iCs/>
          <w:szCs w:val="21"/>
        </w:rPr>
      </w:pPr>
      <w:r>
        <w:rPr>
          <w:rFonts w:cs="方正仿宋简体"/>
          <w:iCs/>
          <w:szCs w:val="21"/>
        </w:rPr>
        <w:t>为对冲信用风险，本基金可能投资于信用衍生品，信用衍生品的投资可能面临流动性风险、偿付风险以及价格波动风险等。</w:t>
      </w:r>
    </w:p>
    <w:p>
      <w:pPr>
        <w:adjustRightInd w:val="0"/>
        <w:snapToGrid w:val="0"/>
        <w:spacing w:line="288" w:lineRule="auto"/>
        <w:ind w:firstLineChars="200" w:firstLine="420"/>
        <w:rPr>
          <w:rFonts w:cs="方正仿宋简体"/>
          <w:iCs/>
          <w:szCs w:val="21"/>
        </w:rPr>
      </w:pPr>
      <w:r>
        <w:rPr>
          <w:rFonts w:cs="方正仿宋简体"/>
          <w:iCs/>
          <w:szCs w:val="21"/>
        </w:rPr>
        <w:t>8、投资科创板股票的风险</w:t>
      </w:r>
    </w:p>
    <w:p>
      <w:pPr>
        <w:adjustRightInd w:val="0"/>
        <w:snapToGrid w:val="0"/>
        <w:spacing w:line="288" w:lineRule="auto"/>
        <w:ind w:firstLineChars="200" w:firstLine="420"/>
        <w:rPr>
          <w:rFonts w:cs="方正仿宋简体"/>
          <w:iCs/>
          <w:szCs w:val="21"/>
        </w:rPr>
      </w:pPr>
      <w:r>
        <w:rPr>
          <w:rFonts w:cs="方正仿宋简体"/>
          <w:iCs/>
          <w:szCs w:val="21"/>
        </w:rPr>
        <w:t>本基金可投资于科创板股票，若本基金投资于科创板股票，会面临科创板机制下因投资标的、市场制度以及交易规则等差异带来的特有风险，包括但不限于：退市风险、市场风险、流动性风险、系统性风险、政策风险等。</w:t>
      </w:r>
    </w:p>
    <w:p>
      <w:pPr>
        <w:adjustRightInd w:val="0"/>
        <w:snapToGrid w:val="0"/>
        <w:spacing w:line="288" w:lineRule="auto"/>
        <w:ind w:firstLineChars="200" w:firstLine="420"/>
        <w:rPr>
          <w:rFonts w:cs="方正仿宋简体"/>
          <w:iCs/>
          <w:szCs w:val="21"/>
        </w:rPr>
      </w:pPr>
      <w:r>
        <w:rPr>
          <w:rFonts w:cs="方正仿宋简体"/>
          <w:iCs/>
          <w:szCs w:val="21"/>
        </w:rPr>
        <w:t>9、港股通标的股票投资风险：</w:t>
      </w:r>
    </w:p>
    <w:p>
      <w:pPr>
        <w:adjustRightInd w:val="0"/>
        <w:snapToGrid w:val="0"/>
        <w:spacing w:line="288" w:lineRule="auto"/>
        <w:ind w:firstLineChars="200" w:firstLine="420"/>
        <w:rPr>
          <w:rFonts w:cs="方正仿宋简体"/>
          <w:iCs/>
          <w:szCs w:val="21"/>
        </w:rPr>
      </w:pPr>
      <w:r>
        <w:rPr>
          <w:rFonts w:cs="方正仿宋简体"/>
          <w:iCs/>
          <w:szCs w:val="21"/>
        </w:rPr>
        <w:t>（1）本基金可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pPr>
        <w:adjustRightInd w:val="0"/>
        <w:snapToGrid w:val="0"/>
        <w:spacing w:line="288" w:lineRule="auto"/>
        <w:ind w:firstLineChars="200" w:firstLine="420"/>
        <w:rPr>
          <w:rFonts w:cs="方正仿宋简体"/>
          <w:iCs/>
          <w:szCs w:val="21"/>
        </w:rPr>
      </w:pPr>
      <w:r>
        <w:rPr>
          <w:rFonts w:cs="方正仿宋简体"/>
          <w:iCs/>
          <w:szCs w:val="21"/>
        </w:rPr>
        <w:t>（2）香港市场交易规则有别于内地A股市场规则，此外，在港股通下参与香港股票投资还将面临包括但不限于如下特殊风险：涨跌幅限制、交易日不同、临时停市、交易机制、代理投票、汇率风险、港股通每日额度限制等。</w:t>
      </w:r>
    </w:p>
    <w:p>
      <w:pPr>
        <w:adjustRightInd w:val="0"/>
        <w:snapToGrid w:val="0"/>
        <w:spacing w:line="288" w:lineRule="auto"/>
        <w:ind w:firstLineChars="200" w:firstLine="420"/>
        <w:rPr>
          <w:rFonts w:cs="方正仿宋简体"/>
          <w:iCs/>
          <w:szCs w:val="21"/>
        </w:rPr>
      </w:pPr>
      <w:r>
        <w:rPr>
          <w:rFonts w:cs="方正仿宋简体"/>
          <w:iCs/>
          <w:szCs w:val="21"/>
        </w:rPr>
        <w:t>（3）本基金可根据投资策略需要或不同配置地市场环境的变化，选择将部分基金资产投资于港股或选择不将基金资产投资于港股，基金资产并非必然投资港股。</w:t>
      </w:r>
    </w:p>
    <w:p>
      <w:pPr>
        <w:adjustRightInd w:val="0"/>
        <w:snapToGrid w:val="0"/>
        <w:spacing w:line="288" w:lineRule="auto"/>
        <w:ind w:firstLineChars="200" w:firstLine="420"/>
        <w:rPr>
          <w:rFonts w:cs="方正仿宋简体"/>
          <w:iCs/>
          <w:szCs w:val="21"/>
        </w:rPr>
      </w:pPr>
      <w:r>
        <w:rPr>
          <w:rFonts w:cs="方正仿宋简体"/>
          <w:iCs/>
          <w:szCs w:val="21"/>
        </w:rPr>
        <w:t>10、浮动管理费模式相关风险</w:t>
      </w:r>
    </w:p>
    <w:p>
      <w:pPr>
        <w:adjustRightInd w:val="0"/>
        <w:snapToGrid w:val="0"/>
        <w:spacing w:line="288" w:lineRule="auto"/>
        <w:ind w:firstLineChars="200" w:firstLine="420"/>
        <w:rPr>
          <w:rFonts w:cs="方正仿宋简体"/>
          <w:iCs/>
          <w:szCs w:val="21"/>
        </w:rPr>
      </w:pPr>
      <w:r>
        <w:rPr>
          <w:rFonts w:cs="方正仿宋简体"/>
          <w:iCs/>
          <w:szCs w:val="21"/>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pPr>
        <w:adjustRightInd w:val="0"/>
        <w:snapToGrid w:val="0"/>
        <w:spacing w:line="288" w:lineRule="auto"/>
        <w:ind w:firstLineChars="200" w:firstLine="420"/>
        <w:rPr>
          <w:rFonts w:cs="方正仿宋简体"/>
          <w:iCs/>
          <w:szCs w:val="21"/>
        </w:rPr>
      </w:pPr>
      <w:r>
        <w:rPr>
          <w:rFonts w:cs="方正仿宋简体"/>
          <w:iCs/>
          <w:szCs w:val="21"/>
        </w:rPr>
        <w:t>（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pPr>
        <w:adjustRightInd w:val="0"/>
        <w:snapToGrid w:val="0"/>
        <w:spacing w:line="288" w:lineRule="auto"/>
        <w:ind w:firstLineChars="200" w:firstLine="420"/>
        <w:rPr>
          <w:rFonts w:cs="方正仿宋简体"/>
          <w:iCs/>
          <w:szCs w:val="21"/>
        </w:rPr>
      </w:pPr>
      <w:r>
        <w:rPr>
          <w:rFonts w:cs="方正仿宋简体"/>
          <w:iCs/>
          <w:szCs w:val="21"/>
        </w:rPr>
        <w:t>（3）本基金采用浮动管理费的收费模式，不代表基金管理人对基金收益的保证。</w:t>
      </w:r>
    </w:p>
    <w:p w:rsidR="006370B9" w:rsidRPr="00006391" w:rsidRDefault="006370B9" w:rsidP="006370B9">
      <w:pPr>
        <w:pStyle w:val="2"/>
        <w:numPr>
          <w:ilvl w:val="1"/>
          <w:numId w:val="17"/>
        </w:numPr>
      </w:pPr>
      <w:r w:rsidRPr="00006391">
        <w:rPr>
          <w:rFonts w:hint="eastAsia"/>
        </w:rPr>
        <w:t>重要提示</w:t>
      </w:r>
    </w:p>
    <w:p>
      <w:pPr>
        <w:adjustRightInd w:val="0"/>
        <w:snapToGrid w:val="0"/>
        <w:spacing w:line="288" w:lineRule="auto"/>
        <w:ind w:firstLineChars="200" w:firstLine="420"/>
        <w:rPr>
          <w:rFonts w:cs="方正仿宋简体"/>
          <w:iCs/>
          <w:szCs w:val="21"/>
        </w:rPr>
      </w:pPr>
      <w:r>
        <w:rPr>
          <w:rFonts w:cs="方正仿宋简体"/>
          <w:iCs/>
          <w:szCs w:val="21"/>
        </w:rPr>
        <w:t>中国证监会对本基金募集的注册/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p>
    <w:p>
      <w:pPr>
        <w:adjustRightInd w:val="0"/>
        <w:snapToGrid w:val="0"/>
        <w:spacing w:line="288" w:lineRule="auto"/>
        <w:ind w:firstLineChars="200" w:firstLine="420"/>
        <w:rPr>
          <w:rFonts w:cs="方正仿宋简体"/>
          <w:iCs/>
          <w:szCs w:val="21"/>
        </w:rPr>
      </w:pPr>
      <w:r>
        <w:rPr>
          <w:rFonts w:cs="方正仿宋简体"/>
          <w:iCs/>
          <w:szCs w:val="21"/>
        </w:rPr>
        <w:t>与本基金或基金合同相关的一切争议均应提交中国国际经济贸易仲裁委员会仲裁，仲裁裁决是终局的，对仲裁各方当事人均具有约束力。</w:t>
      </w:r>
    </w:p>
    <w:p>
      <w:pPr>
        <w:adjustRightInd w:val="0"/>
        <w:snapToGrid w:val="0"/>
        <w:spacing w:line="288" w:lineRule="auto"/>
        <w:ind w:firstLineChars="200" w:firstLine="420"/>
        <w:rPr>
          <w:rFonts w:cs="方正仿宋简体"/>
          <w:iCs/>
          <w:szCs w:val="21"/>
        </w:rPr>
      </w:pPr>
      <w:r>
        <w:rPr>
          <w:rFonts w:cs="方正仿宋简体"/>
          <w:iCs/>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定期公告等披露文件。</w:t>
      </w:r>
    </w:p>
    <w:p w:rsidR="006370B9" w:rsidRPr="00A14942" w:rsidRDefault="006370B9" w:rsidP="006370B9">
      <w:pPr>
        <w:pStyle w:val="1"/>
        <w:ind w:left="425" w:hanging="425"/>
      </w:pPr>
      <w:r w:rsidRPr="00A14942">
        <w:rPr>
          <w:rFonts w:hint="eastAsia"/>
        </w:rPr>
        <w:t>其他资料查询方式</w:t>
      </w:r>
    </w:p>
    <w:p>
      <w:pPr>
        <w:adjustRightInd w:val="0"/>
        <w:snapToGrid w:val="0"/>
        <w:spacing w:line="288" w:lineRule="auto"/>
        <w:ind w:firstLineChars="200" w:firstLine="420"/>
        <w:rPr>
          <w:rFonts w:cs="方正仿宋简体"/>
          <w:iCs/>
          <w:szCs w:val="21"/>
        </w:rPr>
      </w:pPr>
      <w:r>
        <w:rPr>
          <w:rFonts w:cs="方正仿宋简体"/>
          <w:iCs/>
          <w:szCs w:val="21"/>
        </w:rPr>
        <w:t>以下资料详见基金管理人网站（www.fullgoal.com.cn），客户服务热线：95105686，4008880688（全国统一，免长途话费）</w:t>
      </w:r>
    </w:p>
    <w:p>
      <w:pPr>
        <w:adjustRightInd w:val="0"/>
        <w:snapToGrid w:val="0"/>
        <w:spacing w:line="288" w:lineRule="auto"/>
        <w:ind w:firstLineChars="200" w:firstLine="420"/>
        <w:rPr>
          <w:rFonts w:cs="方正仿宋简体"/>
          <w:iCs/>
          <w:szCs w:val="21"/>
        </w:rPr>
      </w:pPr>
      <w:r>
        <w:rPr>
          <w:rFonts w:cs="方正仿宋简体"/>
          <w:iCs/>
          <w:szCs w:val="21"/>
        </w:rPr>
        <w:t>1.基金合同、托管协议、招募说明书</w:t>
      </w:r>
    </w:p>
    <w:p>
      <w:pPr>
        <w:adjustRightInd w:val="0"/>
        <w:snapToGrid w:val="0"/>
        <w:spacing w:line="288" w:lineRule="auto"/>
        <w:ind w:firstLineChars="200" w:firstLine="420"/>
        <w:rPr>
          <w:rFonts w:cs="方正仿宋简体"/>
          <w:iCs/>
          <w:szCs w:val="21"/>
        </w:rPr>
      </w:pPr>
      <w:r>
        <w:rPr>
          <w:rFonts w:cs="方正仿宋简体"/>
          <w:iCs/>
          <w:szCs w:val="21"/>
        </w:rPr>
        <w:t>2.定期报告，包括基金季度报告、中期报告和年度报告</w:t>
      </w:r>
    </w:p>
    <w:p>
      <w:pPr>
        <w:adjustRightInd w:val="0"/>
        <w:snapToGrid w:val="0"/>
        <w:spacing w:line="288" w:lineRule="auto"/>
        <w:ind w:firstLineChars="200" w:firstLine="420"/>
        <w:rPr>
          <w:rFonts w:cs="方正仿宋简体"/>
          <w:iCs/>
          <w:szCs w:val="21"/>
        </w:rPr>
      </w:pPr>
      <w:r>
        <w:rPr>
          <w:rFonts w:cs="方正仿宋简体"/>
          <w:iCs/>
          <w:szCs w:val="21"/>
        </w:rPr>
        <w:t>3.基金份额净值</w:t>
      </w:r>
    </w:p>
    <w:p>
      <w:pPr>
        <w:adjustRightInd w:val="0"/>
        <w:snapToGrid w:val="0"/>
        <w:spacing w:line="288" w:lineRule="auto"/>
        <w:ind w:firstLineChars="200" w:firstLine="420"/>
        <w:rPr>
          <w:rFonts w:cs="方正仿宋简体"/>
          <w:iCs/>
          <w:szCs w:val="21"/>
        </w:rPr>
      </w:pPr>
      <w:r>
        <w:rPr>
          <w:rFonts w:cs="方正仿宋简体"/>
          <w:iCs/>
          <w:szCs w:val="21"/>
        </w:rPr>
        <w:t>4.基金销售机构及联系方式</w:t>
      </w:r>
    </w:p>
    <w:p>
      <w:pPr>
        <w:adjustRightInd w:val="0"/>
        <w:snapToGrid w:val="0"/>
        <w:spacing w:line="288" w:lineRule="auto"/>
        <w:ind w:firstLineChars="200" w:firstLine="420"/>
        <w:rPr>
          <w:rFonts w:cs="方正仿宋简体"/>
          <w:iCs/>
          <w:szCs w:val="21"/>
        </w:rPr>
      </w:pPr>
      <w:r>
        <w:rPr>
          <w:rFonts w:cs="方正仿宋简体"/>
          <w:iCs/>
          <w:szCs w:val="21"/>
        </w:rPr>
        <w:t>5.其他重要资料</w:t>
      </w:r>
    </w:p>
    <w:sectPr w:rsidR="006370B9" w:rsidRPr="00C21CFB" w:rsidSect="00AD4857">
      <w:footerReference w:type="default" r:id="rId7"/>
      <w:pgSz w:w="11906" w:h="16838"/>
      <w:pgMar w:top="1021" w:right="1474" w:bottom="1021" w:left="1474" w:header="851" w:footer="454"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2D1" w:rsidRDefault="008B72D1" w:rsidP="00084FBF">
      <w:r>
        <w:separator/>
      </w:r>
    </w:p>
  </w:endnote>
  <w:endnote w:type="continuationSeparator" w:id="0">
    <w:p w:rsidR="008B72D1" w:rsidRDefault="008B72D1" w:rsidP="0008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F87" w:rsidRDefault="00953F87">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84068">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84068">
      <w:rPr>
        <w:b/>
        <w:bCs/>
        <w:noProof/>
      </w:rPr>
      <w:t>3</w:t>
    </w:r>
    <w:r>
      <w:rPr>
        <w:b/>
        <w:bCs/>
        <w:sz w:val="24"/>
        <w:szCs w:val="24"/>
      </w:rPr>
      <w:fldChar w:fldCharType="end"/>
    </w:r>
  </w:p>
  <w:p w:rsidR="00953F87" w:rsidRDefault="00953F8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2D1" w:rsidRDefault="008B72D1" w:rsidP="00084FBF">
      <w:r>
        <w:separator/>
      </w:r>
    </w:p>
  </w:footnote>
  <w:footnote w:type="continuationSeparator" w:id="0">
    <w:p w:rsidR="008B72D1" w:rsidRDefault="008B72D1" w:rsidP="00084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51409CC"/>
    <w:multiLevelType w:val="hybridMultilevel"/>
    <w:tmpl w:val="035A1476"/>
    <w:lvl w:ilvl="0" w:tplc="99480BE8">
      <w:start w:val="1"/>
      <w:numFmt w:val="chineseCountingThousand"/>
      <w:pStyle w:val="3"/>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213A5"/>
    <w:multiLevelType w:val="hybridMultilevel"/>
    <w:tmpl w:val="A8DC98DE"/>
    <w:lvl w:ilvl="0" w:tplc="67C8E684">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E66571"/>
    <w:multiLevelType w:val="multilevel"/>
    <w:tmpl w:val="D868A662"/>
    <w:lvl w:ilvl="0">
      <w:start w:val="1"/>
      <w:numFmt w:val="chineseCountingThousand"/>
      <w:pStyle w:val="1"/>
      <w:suff w:val="space"/>
      <w:lvlText w:val="%1、"/>
      <w:lvlJc w:val="left"/>
      <w:pPr>
        <w:ind w:left="0" w:firstLine="0"/>
      </w:pPr>
      <w:rPr>
        <w:rFonts w:hint="eastAsia"/>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148B39D6"/>
    <w:multiLevelType w:val="hybridMultilevel"/>
    <w:tmpl w:val="E92CCC70"/>
    <w:lvl w:ilvl="0" w:tplc="5C21FE0E">
      <w:start w:val="2"/>
      <w:numFmt w:val="chineseCounting"/>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A76D66"/>
    <w:multiLevelType w:val="multilevel"/>
    <w:tmpl w:val="F000C7D6"/>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307B2E9D"/>
    <w:multiLevelType w:val="multilevel"/>
    <w:tmpl w:val="3E7A3EF0"/>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3D5E12D9"/>
    <w:multiLevelType w:val="hybridMultilevel"/>
    <w:tmpl w:val="8FE843C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nsid w:val="4F606D61"/>
    <w:multiLevelType w:val="multilevel"/>
    <w:tmpl w:val="811EEC96"/>
    <w:lvl w:ilvl="0">
      <w:start w:val="1"/>
      <w:numFmt w:val="japaneseCounting"/>
      <w:lvlText w:val="（%1）"/>
      <w:lvlJc w:val="left"/>
      <w:pPr>
        <w:ind w:left="420" w:hanging="420"/>
      </w:pPr>
      <w:rPr>
        <w:rFonts w:hint="default"/>
      </w:rPr>
    </w:lvl>
    <w:lvl w:ilvl="1">
      <w:start w:val="1"/>
      <w:numFmt w:val="chineseCountingThousand"/>
      <w:pStyle w:val="2"/>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5AC33CF0"/>
    <w:multiLevelType w:val="singleLevel"/>
    <w:tmpl w:val="5AC33CF0"/>
    <w:lvl w:ilvl="0">
      <w:start w:val="1"/>
      <w:numFmt w:val="chineseCounting"/>
      <w:suff w:val="nothing"/>
      <w:lvlText w:val="%1、"/>
      <w:lvlJc w:val="left"/>
    </w:lvl>
  </w:abstractNum>
  <w:abstractNum w:abstractNumId="10">
    <w:nsid w:val="5C21FE0E"/>
    <w:multiLevelType w:val="singleLevel"/>
    <w:tmpl w:val="5C21FE0E"/>
    <w:lvl w:ilvl="0">
      <w:start w:val="2"/>
      <w:numFmt w:val="chineseCounting"/>
      <w:suff w:val="nothing"/>
      <w:lvlText w:val="（%1）"/>
      <w:lvlJc w:val="left"/>
    </w:lvl>
  </w:abstractNum>
  <w:abstractNum w:abstractNumId="11">
    <w:nsid w:val="622E5A63"/>
    <w:multiLevelType w:val="hybridMultilevel"/>
    <w:tmpl w:val="3FBC99F8"/>
    <w:lvl w:ilvl="0" w:tplc="5C21FE0E">
      <w:start w:val="2"/>
      <w:numFmt w:val="chineseCounting"/>
      <w:lvlText w:val="（%1）"/>
      <w:lvlJc w:val="left"/>
      <w:pPr>
        <w:ind w:left="420" w:hanging="420"/>
      </w:pPr>
    </w:lvl>
    <w:lvl w:ilvl="1" w:tplc="F9CA7E8C">
      <w:start w:val="1"/>
      <w:numFmt w:val="decimal"/>
      <w:lvlText w:val="（%2）"/>
      <w:lvlJc w:val="left"/>
      <w:pPr>
        <w:ind w:left="704"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C855BF"/>
    <w:multiLevelType w:val="hybridMultilevel"/>
    <w:tmpl w:val="6C2AEB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0"/>
  </w:num>
  <w:num w:numId="3">
    <w:abstractNumId w:val="0"/>
  </w:num>
  <w:num w:numId="4">
    <w:abstractNumId w:val="3"/>
  </w:num>
  <w:num w:numId="5">
    <w:abstractNumId w:val="12"/>
  </w:num>
  <w:num w:numId="6">
    <w:abstractNumId w:val="4"/>
  </w:num>
  <w:num w:numId="7">
    <w:abstractNumId w:val="11"/>
  </w:num>
  <w:num w:numId="8">
    <w:abstractNumId w:val="7"/>
  </w:num>
  <w:num w:numId="9">
    <w:abstractNumId w:val="3"/>
  </w:num>
  <w:num w:numId="10">
    <w:abstractNumId w:val="2"/>
  </w:num>
  <w:num w:numId="11">
    <w:abstractNumId w:val="8"/>
  </w:num>
  <w:num w:numId="12">
    <w:abstractNumId w:val="8"/>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grammar="clean"/>
  <w:defaultTabStop w:val="420"/>
  <w:drawingGridHorizontalSpacing w:val="105"/>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CD"/>
    <w:rsid w:val="00005219"/>
    <w:rsid w:val="00011D44"/>
    <w:rsid w:val="00013020"/>
    <w:rsid w:val="00020BC0"/>
    <w:rsid w:val="00022545"/>
    <w:rsid w:val="000232C6"/>
    <w:rsid w:val="00036483"/>
    <w:rsid w:val="000418D7"/>
    <w:rsid w:val="00042918"/>
    <w:rsid w:val="000477E3"/>
    <w:rsid w:val="00051C0C"/>
    <w:rsid w:val="00053417"/>
    <w:rsid w:val="00064982"/>
    <w:rsid w:val="000776C8"/>
    <w:rsid w:val="000827C1"/>
    <w:rsid w:val="00084FBF"/>
    <w:rsid w:val="000A7B26"/>
    <w:rsid w:val="000C530A"/>
    <w:rsid w:val="000D10B4"/>
    <w:rsid w:val="000D218F"/>
    <w:rsid w:val="000D57C1"/>
    <w:rsid w:val="001000DB"/>
    <w:rsid w:val="00106AF7"/>
    <w:rsid w:val="00120CE6"/>
    <w:rsid w:val="00124B97"/>
    <w:rsid w:val="0013684A"/>
    <w:rsid w:val="00142362"/>
    <w:rsid w:val="00151E19"/>
    <w:rsid w:val="00154E3B"/>
    <w:rsid w:val="00162B21"/>
    <w:rsid w:val="00165774"/>
    <w:rsid w:val="00186F72"/>
    <w:rsid w:val="00196B69"/>
    <w:rsid w:val="001A1651"/>
    <w:rsid w:val="001A78ED"/>
    <w:rsid w:val="001A7B4D"/>
    <w:rsid w:val="001C35F9"/>
    <w:rsid w:val="001C6EE3"/>
    <w:rsid w:val="001C7BFB"/>
    <w:rsid w:val="001E5192"/>
    <w:rsid w:val="001E7595"/>
    <w:rsid w:val="001F6EBF"/>
    <w:rsid w:val="002060B7"/>
    <w:rsid w:val="00235084"/>
    <w:rsid w:val="00237E86"/>
    <w:rsid w:val="00240B15"/>
    <w:rsid w:val="00257D13"/>
    <w:rsid w:val="00257FDD"/>
    <w:rsid w:val="00275953"/>
    <w:rsid w:val="00286D86"/>
    <w:rsid w:val="00290A40"/>
    <w:rsid w:val="00295B43"/>
    <w:rsid w:val="002C27FD"/>
    <w:rsid w:val="002D0197"/>
    <w:rsid w:val="002D37DC"/>
    <w:rsid w:val="002D42AF"/>
    <w:rsid w:val="002D4A95"/>
    <w:rsid w:val="002D7116"/>
    <w:rsid w:val="0030389D"/>
    <w:rsid w:val="003134F0"/>
    <w:rsid w:val="00315D72"/>
    <w:rsid w:val="00327F91"/>
    <w:rsid w:val="00337FB1"/>
    <w:rsid w:val="00347591"/>
    <w:rsid w:val="003504A0"/>
    <w:rsid w:val="003539CD"/>
    <w:rsid w:val="0035634C"/>
    <w:rsid w:val="00360C64"/>
    <w:rsid w:val="003652C5"/>
    <w:rsid w:val="00373E2A"/>
    <w:rsid w:val="00377863"/>
    <w:rsid w:val="003A2DC6"/>
    <w:rsid w:val="003A5D1B"/>
    <w:rsid w:val="003B35F0"/>
    <w:rsid w:val="003C4AB4"/>
    <w:rsid w:val="003E23FE"/>
    <w:rsid w:val="003E480C"/>
    <w:rsid w:val="003F7FAE"/>
    <w:rsid w:val="004023B8"/>
    <w:rsid w:val="0041084F"/>
    <w:rsid w:val="00417D05"/>
    <w:rsid w:val="004246E6"/>
    <w:rsid w:val="0043556E"/>
    <w:rsid w:val="00455495"/>
    <w:rsid w:val="0046074E"/>
    <w:rsid w:val="00480EB1"/>
    <w:rsid w:val="004A428B"/>
    <w:rsid w:val="004C1AD1"/>
    <w:rsid w:val="004C1DD8"/>
    <w:rsid w:val="004C4CD9"/>
    <w:rsid w:val="004E1601"/>
    <w:rsid w:val="004E7FF3"/>
    <w:rsid w:val="005147EF"/>
    <w:rsid w:val="00530C6C"/>
    <w:rsid w:val="005354AA"/>
    <w:rsid w:val="00542A87"/>
    <w:rsid w:val="0055000C"/>
    <w:rsid w:val="00555D8A"/>
    <w:rsid w:val="00556076"/>
    <w:rsid w:val="00561D0D"/>
    <w:rsid w:val="00571244"/>
    <w:rsid w:val="00571DAB"/>
    <w:rsid w:val="00575E82"/>
    <w:rsid w:val="005856EF"/>
    <w:rsid w:val="005925E3"/>
    <w:rsid w:val="00593075"/>
    <w:rsid w:val="00593E9D"/>
    <w:rsid w:val="005A32CA"/>
    <w:rsid w:val="005A489D"/>
    <w:rsid w:val="005B44EB"/>
    <w:rsid w:val="005C1B06"/>
    <w:rsid w:val="005D1E03"/>
    <w:rsid w:val="005D322F"/>
    <w:rsid w:val="005D32D4"/>
    <w:rsid w:val="005D415A"/>
    <w:rsid w:val="005D721D"/>
    <w:rsid w:val="005D72AE"/>
    <w:rsid w:val="005E2DF2"/>
    <w:rsid w:val="005E5E27"/>
    <w:rsid w:val="005E71AC"/>
    <w:rsid w:val="005F5DD9"/>
    <w:rsid w:val="005F6CAD"/>
    <w:rsid w:val="00600EBD"/>
    <w:rsid w:val="00620C7A"/>
    <w:rsid w:val="00626941"/>
    <w:rsid w:val="006370B9"/>
    <w:rsid w:val="00641C70"/>
    <w:rsid w:val="00643E4E"/>
    <w:rsid w:val="00645219"/>
    <w:rsid w:val="00653821"/>
    <w:rsid w:val="00663258"/>
    <w:rsid w:val="00664AC2"/>
    <w:rsid w:val="00670ED5"/>
    <w:rsid w:val="00671DFC"/>
    <w:rsid w:val="00687CB7"/>
    <w:rsid w:val="006C2B49"/>
    <w:rsid w:val="006C5632"/>
    <w:rsid w:val="006D2F59"/>
    <w:rsid w:val="006D5811"/>
    <w:rsid w:val="006F1A17"/>
    <w:rsid w:val="006F2A34"/>
    <w:rsid w:val="006F366F"/>
    <w:rsid w:val="006F6CCD"/>
    <w:rsid w:val="007059E2"/>
    <w:rsid w:val="00712140"/>
    <w:rsid w:val="00724683"/>
    <w:rsid w:val="00732D16"/>
    <w:rsid w:val="00744E9B"/>
    <w:rsid w:val="00764765"/>
    <w:rsid w:val="00766DB6"/>
    <w:rsid w:val="0077109C"/>
    <w:rsid w:val="00773D1E"/>
    <w:rsid w:val="00780D3C"/>
    <w:rsid w:val="00791A62"/>
    <w:rsid w:val="00797D09"/>
    <w:rsid w:val="007F229D"/>
    <w:rsid w:val="007F2FCA"/>
    <w:rsid w:val="007F325A"/>
    <w:rsid w:val="00803F3E"/>
    <w:rsid w:val="00804EB8"/>
    <w:rsid w:val="00820676"/>
    <w:rsid w:val="008215E2"/>
    <w:rsid w:val="00825AC7"/>
    <w:rsid w:val="00861058"/>
    <w:rsid w:val="00861D61"/>
    <w:rsid w:val="00884068"/>
    <w:rsid w:val="008867F2"/>
    <w:rsid w:val="00892D27"/>
    <w:rsid w:val="008B0257"/>
    <w:rsid w:val="008B58DF"/>
    <w:rsid w:val="008B72D1"/>
    <w:rsid w:val="008C1DCE"/>
    <w:rsid w:val="008C4F6A"/>
    <w:rsid w:val="008D1684"/>
    <w:rsid w:val="008D51DC"/>
    <w:rsid w:val="008D6A76"/>
    <w:rsid w:val="008E5B4E"/>
    <w:rsid w:val="008E5ED8"/>
    <w:rsid w:val="008F56AE"/>
    <w:rsid w:val="00922B26"/>
    <w:rsid w:val="009230A7"/>
    <w:rsid w:val="00923525"/>
    <w:rsid w:val="009240F7"/>
    <w:rsid w:val="0095268E"/>
    <w:rsid w:val="00953F87"/>
    <w:rsid w:val="00956AC1"/>
    <w:rsid w:val="00957AF4"/>
    <w:rsid w:val="00996A51"/>
    <w:rsid w:val="009A009A"/>
    <w:rsid w:val="009A3C6C"/>
    <w:rsid w:val="009B06D2"/>
    <w:rsid w:val="009D4653"/>
    <w:rsid w:val="009D7239"/>
    <w:rsid w:val="009E4601"/>
    <w:rsid w:val="009F414C"/>
    <w:rsid w:val="009F438B"/>
    <w:rsid w:val="00A10531"/>
    <w:rsid w:val="00A14942"/>
    <w:rsid w:val="00A21AB8"/>
    <w:rsid w:val="00A35D5E"/>
    <w:rsid w:val="00A379A9"/>
    <w:rsid w:val="00A410CD"/>
    <w:rsid w:val="00A535E9"/>
    <w:rsid w:val="00A554DC"/>
    <w:rsid w:val="00A7537D"/>
    <w:rsid w:val="00A831DA"/>
    <w:rsid w:val="00A90C21"/>
    <w:rsid w:val="00A970AF"/>
    <w:rsid w:val="00AA31CE"/>
    <w:rsid w:val="00AA6735"/>
    <w:rsid w:val="00AC3F57"/>
    <w:rsid w:val="00AD1CF7"/>
    <w:rsid w:val="00AD4857"/>
    <w:rsid w:val="00AE5EB2"/>
    <w:rsid w:val="00AE6F8E"/>
    <w:rsid w:val="00B048B1"/>
    <w:rsid w:val="00B10F72"/>
    <w:rsid w:val="00B40E30"/>
    <w:rsid w:val="00B41430"/>
    <w:rsid w:val="00B457F0"/>
    <w:rsid w:val="00B52380"/>
    <w:rsid w:val="00B73002"/>
    <w:rsid w:val="00BA35E1"/>
    <w:rsid w:val="00BA55B0"/>
    <w:rsid w:val="00BB4F1D"/>
    <w:rsid w:val="00BB6C96"/>
    <w:rsid w:val="00BC2891"/>
    <w:rsid w:val="00BC4EFB"/>
    <w:rsid w:val="00BC6985"/>
    <w:rsid w:val="00BD0E3E"/>
    <w:rsid w:val="00BD240D"/>
    <w:rsid w:val="00BF30B8"/>
    <w:rsid w:val="00C21CFB"/>
    <w:rsid w:val="00C50D1E"/>
    <w:rsid w:val="00C8249E"/>
    <w:rsid w:val="00C93F0E"/>
    <w:rsid w:val="00CA07A1"/>
    <w:rsid w:val="00CA6633"/>
    <w:rsid w:val="00CE2847"/>
    <w:rsid w:val="00CF7532"/>
    <w:rsid w:val="00CF7ECD"/>
    <w:rsid w:val="00D13550"/>
    <w:rsid w:val="00D3709A"/>
    <w:rsid w:val="00D37428"/>
    <w:rsid w:val="00D41EF3"/>
    <w:rsid w:val="00D52D8E"/>
    <w:rsid w:val="00D5603D"/>
    <w:rsid w:val="00D964EC"/>
    <w:rsid w:val="00D97BE2"/>
    <w:rsid w:val="00DA42C1"/>
    <w:rsid w:val="00DA4545"/>
    <w:rsid w:val="00DA6330"/>
    <w:rsid w:val="00DB07FB"/>
    <w:rsid w:val="00DB5927"/>
    <w:rsid w:val="00DB6C2B"/>
    <w:rsid w:val="00DC28DE"/>
    <w:rsid w:val="00DC4285"/>
    <w:rsid w:val="00DD5F15"/>
    <w:rsid w:val="00DE25AF"/>
    <w:rsid w:val="00E05193"/>
    <w:rsid w:val="00E10111"/>
    <w:rsid w:val="00E12C12"/>
    <w:rsid w:val="00E150B7"/>
    <w:rsid w:val="00E1562C"/>
    <w:rsid w:val="00E16037"/>
    <w:rsid w:val="00E26663"/>
    <w:rsid w:val="00E31F9B"/>
    <w:rsid w:val="00E40601"/>
    <w:rsid w:val="00E5471F"/>
    <w:rsid w:val="00E54AFC"/>
    <w:rsid w:val="00E9097A"/>
    <w:rsid w:val="00EA07C2"/>
    <w:rsid w:val="00EC1B37"/>
    <w:rsid w:val="00EC6D81"/>
    <w:rsid w:val="00EC722A"/>
    <w:rsid w:val="00ED3BD1"/>
    <w:rsid w:val="00ED45C6"/>
    <w:rsid w:val="00ED6A6A"/>
    <w:rsid w:val="00EE02CA"/>
    <w:rsid w:val="00EF3E83"/>
    <w:rsid w:val="00EF447B"/>
    <w:rsid w:val="00F0044B"/>
    <w:rsid w:val="00F01742"/>
    <w:rsid w:val="00F01D71"/>
    <w:rsid w:val="00F06C60"/>
    <w:rsid w:val="00F1019B"/>
    <w:rsid w:val="00F216B8"/>
    <w:rsid w:val="00F24B93"/>
    <w:rsid w:val="00F26678"/>
    <w:rsid w:val="00F376D4"/>
    <w:rsid w:val="00F6203B"/>
    <w:rsid w:val="00F62ED2"/>
    <w:rsid w:val="00F64027"/>
    <w:rsid w:val="00F90BB2"/>
    <w:rsid w:val="00F974C8"/>
    <w:rsid w:val="00FD37D2"/>
    <w:rsid w:val="00FF5E45"/>
    <w:rsid w:val="00FF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attachedTemplate r:id="Rb3676960342a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25A"/>
    <w:rPr>
      <w:rFonts w:ascii="宋体" w:hAnsi="宋体"/>
      <w:kern w:val="2"/>
      <w:sz w:val="21"/>
    </w:rPr>
  </w:style>
  <w:style w:type="paragraph" w:styleId="1">
    <w:name w:val="heading 1"/>
    <w:basedOn w:val="a0"/>
    <w:next w:val="a"/>
    <w:link w:val="1Char"/>
    <w:uiPriority w:val="9"/>
    <w:qFormat/>
    <w:rsid w:val="000776C8"/>
    <w:pPr>
      <w:keepNext/>
      <w:keepLines/>
      <w:widowControl w:val="0"/>
      <w:numPr>
        <w:numId w:val="4"/>
      </w:numPr>
      <w:adjustRightInd w:val="0"/>
      <w:snapToGrid w:val="0"/>
      <w:spacing w:beforeLines="30" w:before="130" w:afterLines="30" w:after="130"/>
      <w:ind w:firstLineChars="0"/>
      <w:jc w:val="both"/>
      <w:outlineLvl w:val="0"/>
    </w:pPr>
    <w:rPr>
      <w:b/>
      <w:bCs/>
      <w:kern w:val="44"/>
      <w:sz w:val="24"/>
      <w:szCs w:val="44"/>
    </w:rPr>
  </w:style>
  <w:style w:type="paragraph" w:styleId="2">
    <w:name w:val="heading 2"/>
    <w:basedOn w:val="a"/>
    <w:next w:val="a"/>
    <w:link w:val="2Char"/>
    <w:uiPriority w:val="9"/>
    <w:unhideWhenUsed/>
    <w:qFormat/>
    <w:rsid w:val="000776C8"/>
    <w:pPr>
      <w:widowControl w:val="0"/>
      <w:numPr>
        <w:ilvl w:val="1"/>
        <w:numId w:val="11"/>
      </w:numPr>
      <w:adjustRightInd w:val="0"/>
      <w:snapToGrid w:val="0"/>
      <w:spacing w:beforeLines="20" w:before="87" w:afterLines="20" w:after="87"/>
      <w:jc w:val="both"/>
      <w:outlineLvl w:val="1"/>
    </w:pPr>
    <w:rPr>
      <w:rFonts w:cs="方正仿宋简体"/>
      <w:b/>
      <w:iCs/>
      <w:sz w:val="22"/>
      <w:szCs w:val="24"/>
    </w:rPr>
  </w:style>
  <w:style w:type="paragraph" w:styleId="3">
    <w:name w:val="heading 3"/>
    <w:basedOn w:val="a"/>
    <w:next w:val="a"/>
    <w:link w:val="3Char"/>
    <w:uiPriority w:val="9"/>
    <w:semiHidden/>
    <w:unhideWhenUsed/>
    <w:qFormat/>
    <w:rsid w:val="00561D0D"/>
    <w:pPr>
      <w:keepNext/>
      <w:keepLines/>
      <w:widowControl w:val="0"/>
      <w:numPr>
        <w:numId w:val="19"/>
      </w:numPr>
      <w:spacing w:before="260" w:after="260" w:line="416" w:lineRule="auto"/>
      <w:jc w:val="both"/>
      <w:outlineLvl w:val="2"/>
    </w:pPr>
    <w:rPr>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脚注文本 Char"/>
    <w:link w:val="a4"/>
    <w:qFormat/>
    <w:rsid w:val="00084FBF"/>
    <w:rPr>
      <w:sz w:val="18"/>
      <w:szCs w:val="24"/>
    </w:rPr>
  </w:style>
  <w:style w:type="character" w:styleId="a5">
    <w:name w:val="annotation reference"/>
    <w:uiPriority w:val="99"/>
    <w:unhideWhenUsed/>
    <w:rsid w:val="00084FBF"/>
    <w:rPr>
      <w:sz w:val="21"/>
      <w:szCs w:val="21"/>
    </w:rPr>
  </w:style>
  <w:style w:type="character" w:styleId="a6">
    <w:name w:val="footnote reference"/>
    <w:unhideWhenUsed/>
    <w:qFormat/>
    <w:rsid w:val="00084FBF"/>
    <w:rPr>
      <w:rFonts w:ascii="Times New Roman" w:eastAsia="宋体" w:hAnsi="Times New Roman" w:cs="Times New Roman"/>
      <w:vertAlign w:val="superscript"/>
    </w:rPr>
  </w:style>
  <w:style w:type="character" w:customStyle="1" w:styleId="Char0">
    <w:name w:val="批注文字 Char"/>
    <w:link w:val="a7"/>
    <w:uiPriority w:val="99"/>
    <w:rsid w:val="00084FBF"/>
    <w:rPr>
      <w:rFonts w:ascii="Times New Roman" w:eastAsia="方正仿宋简体" w:hAnsi="Times New Roman"/>
      <w:sz w:val="32"/>
    </w:rPr>
  </w:style>
  <w:style w:type="paragraph" w:styleId="a4">
    <w:name w:val="footnote text"/>
    <w:basedOn w:val="a"/>
    <w:link w:val="Char"/>
    <w:unhideWhenUsed/>
    <w:qFormat/>
    <w:rsid w:val="00084FBF"/>
    <w:pPr>
      <w:snapToGrid w:val="0"/>
    </w:pPr>
    <w:rPr>
      <w:rFonts w:ascii="Calibri" w:hAnsi="Calibri"/>
      <w:sz w:val="18"/>
      <w:szCs w:val="24"/>
    </w:rPr>
  </w:style>
  <w:style w:type="character" w:customStyle="1" w:styleId="Char1">
    <w:name w:val="脚注文本 Char1"/>
    <w:uiPriority w:val="99"/>
    <w:semiHidden/>
    <w:rsid w:val="00084FBF"/>
    <w:rPr>
      <w:rFonts w:ascii="Times New Roman" w:eastAsia="方正仿宋简体" w:hAnsi="Times New Roman" w:cs="Times New Roman"/>
      <w:sz w:val="18"/>
      <w:szCs w:val="18"/>
    </w:rPr>
  </w:style>
  <w:style w:type="paragraph" w:styleId="a7">
    <w:name w:val="annotation text"/>
    <w:basedOn w:val="a"/>
    <w:link w:val="Char0"/>
    <w:uiPriority w:val="99"/>
    <w:unhideWhenUsed/>
    <w:rsid w:val="00084FBF"/>
    <w:rPr>
      <w:szCs w:val="22"/>
    </w:rPr>
  </w:style>
  <w:style w:type="character" w:customStyle="1" w:styleId="Char10">
    <w:name w:val="批注文字 Char1"/>
    <w:uiPriority w:val="99"/>
    <w:semiHidden/>
    <w:rsid w:val="00084FBF"/>
    <w:rPr>
      <w:rFonts w:ascii="Times New Roman" w:eastAsia="方正仿宋简体" w:hAnsi="Times New Roman" w:cs="Times New Roman"/>
      <w:sz w:val="32"/>
      <w:szCs w:val="20"/>
    </w:rPr>
  </w:style>
  <w:style w:type="paragraph" w:styleId="a8">
    <w:name w:val="Balloon Text"/>
    <w:basedOn w:val="a"/>
    <w:link w:val="Char2"/>
    <w:uiPriority w:val="99"/>
    <w:semiHidden/>
    <w:unhideWhenUsed/>
    <w:rsid w:val="00084FBF"/>
    <w:rPr>
      <w:sz w:val="18"/>
      <w:szCs w:val="18"/>
    </w:rPr>
  </w:style>
  <w:style w:type="character" w:customStyle="1" w:styleId="Char2">
    <w:name w:val="批注框文本 Char"/>
    <w:link w:val="a8"/>
    <w:uiPriority w:val="99"/>
    <w:semiHidden/>
    <w:rsid w:val="00084FBF"/>
    <w:rPr>
      <w:rFonts w:ascii="Times New Roman" w:eastAsia="方正仿宋简体" w:hAnsi="Times New Roman" w:cs="Times New Roman"/>
      <w:sz w:val="18"/>
      <w:szCs w:val="18"/>
    </w:rPr>
  </w:style>
  <w:style w:type="paragraph" w:styleId="a0">
    <w:name w:val="List Paragraph"/>
    <w:basedOn w:val="a"/>
    <w:uiPriority w:val="34"/>
    <w:qFormat/>
    <w:rsid w:val="006F366F"/>
    <w:pPr>
      <w:ind w:firstLineChars="200" w:firstLine="420"/>
    </w:pPr>
  </w:style>
  <w:style w:type="table" w:styleId="a9">
    <w:name w:val="Table Grid"/>
    <w:basedOn w:val="a2"/>
    <w:uiPriority w:val="39"/>
    <w:rsid w:val="0080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641C70"/>
    <w:pPr>
      <w:spacing w:before="100" w:beforeAutospacing="1" w:after="100" w:afterAutospacing="1"/>
    </w:pPr>
    <w:rPr>
      <w:rFonts w:cs="宋体"/>
      <w:kern w:val="0"/>
      <w:sz w:val="24"/>
      <w:szCs w:val="24"/>
    </w:rPr>
  </w:style>
  <w:style w:type="paragraph" w:styleId="ab">
    <w:name w:val="annotation subject"/>
    <w:basedOn w:val="a7"/>
    <w:next w:val="a7"/>
    <w:link w:val="Char3"/>
    <w:uiPriority w:val="99"/>
    <w:semiHidden/>
    <w:unhideWhenUsed/>
    <w:rsid w:val="00DC28DE"/>
    <w:rPr>
      <w:b/>
      <w:bCs/>
      <w:szCs w:val="20"/>
    </w:rPr>
  </w:style>
  <w:style w:type="character" w:customStyle="1" w:styleId="Char3">
    <w:name w:val="批注主题 Char"/>
    <w:link w:val="ab"/>
    <w:uiPriority w:val="99"/>
    <w:semiHidden/>
    <w:rsid w:val="00DC28DE"/>
    <w:rPr>
      <w:rFonts w:ascii="Times New Roman" w:eastAsia="方正仿宋简体" w:hAnsi="Times New Roman" w:cs="Times New Roman"/>
      <w:b/>
      <w:bCs/>
      <w:sz w:val="32"/>
      <w:szCs w:val="20"/>
    </w:rPr>
  </w:style>
  <w:style w:type="paragraph" w:styleId="ac">
    <w:name w:val="header"/>
    <w:basedOn w:val="a"/>
    <w:link w:val="Char4"/>
    <w:uiPriority w:val="99"/>
    <w:unhideWhenUsed/>
    <w:rsid w:val="00953F87"/>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c"/>
    <w:uiPriority w:val="99"/>
    <w:rsid w:val="00953F87"/>
    <w:rPr>
      <w:rFonts w:ascii="Times New Roman" w:eastAsia="方正仿宋简体" w:hAnsi="Times New Roman" w:cs="Times New Roman"/>
      <w:sz w:val="18"/>
      <w:szCs w:val="18"/>
    </w:rPr>
  </w:style>
  <w:style w:type="paragraph" w:styleId="ad">
    <w:name w:val="footer"/>
    <w:basedOn w:val="a"/>
    <w:link w:val="Char5"/>
    <w:uiPriority w:val="99"/>
    <w:unhideWhenUsed/>
    <w:rsid w:val="00953F87"/>
    <w:pPr>
      <w:tabs>
        <w:tab w:val="center" w:pos="4153"/>
        <w:tab w:val="right" w:pos="8306"/>
      </w:tabs>
      <w:snapToGrid w:val="0"/>
    </w:pPr>
    <w:rPr>
      <w:sz w:val="18"/>
      <w:szCs w:val="18"/>
    </w:rPr>
  </w:style>
  <w:style w:type="character" w:customStyle="1" w:styleId="Char5">
    <w:name w:val="页脚 Char"/>
    <w:link w:val="ad"/>
    <w:uiPriority w:val="99"/>
    <w:rsid w:val="00953F87"/>
    <w:rPr>
      <w:rFonts w:ascii="Times New Roman" w:eastAsia="方正仿宋简体" w:hAnsi="Times New Roman" w:cs="Times New Roman"/>
      <w:sz w:val="18"/>
      <w:szCs w:val="18"/>
    </w:rPr>
  </w:style>
  <w:style w:type="character" w:customStyle="1" w:styleId="1Char">
    <w:name w:val="标题 1 Char"/>
    <w:link w:val="1"/>
    <w:uiPriority w:val="9"/>
    <w:rsid w:val="000776C8"/>
    <w:rPr>
      <w:rFonts w:ascii="宋体" w:hAnsi="宋体"/>
      <w:b/>
      <w:bCs/>
      <w:kern w:val="44"/>
      <w:sz w:val="24"/>
      <w:szCs w:val="44"/>
    </w:rPr>
  </w:style>
  <w:style w:type="character" w:customStyle="1" w:styleId="2Char">
    <w:name w:val="标题 2 Char"/>
    <w:link w:val="2"/>
    <w:uiPriority w:val="9"/>
    <w:rsid w:val="000776C8"/>
    <w:rPr>
      <w:rFonts w:ascii="宋体" w:hAnsi="宋体" w:cs="方正仿宋简体"/>
      <w:b/>
      <w:iCs/>
      <w:kern w:val="2"/>
      <w:sz w:val="22"/>
      <w:szCs w:val="24"/>
    </w:rPr>
  </w:style>
  <w:style w:type="paragraph" w:styleId="ae">
    <w:name w:val="No Spacing"/>
    <w:basedOn w:val="a"/>
    <w:uiPriority w:val="1"/>
    <w:qFormat/>
    <w:rsid w:val="00ED3BD1"/>
    <w:pPr>
      <w:widowControl w:val="0"/>
      <w:adjustRightInd w:val="0"/>
      <w:snapToGrid w:val="0"/>
      <w:spacing w:beforeLines="20" w:before="87" w:line="288" w:lineRule="auto"/>
      <w:contextualSpacing/>
      <w:jc w:val="both"/>
    </w:pPr>
  </w:style>
  <w:style w:type="character" w:styleId="af">
    <w:name w:val="Placeholder Text"/>
    <w:basedOn w:val="a1"/>
    <w:uiPriority w:val="99"/>
    <w:semiHidden/>
    <w:rsid w:val="005D1E03"/>
    <w:rPr>
      <w:color w:val="808080"/>
    </w:rPr>
  </w:style>
  <w:style w:type="character" w:customStyle="1" w:styleId="3Char">
    <w:name w:val="标题 3 Char"/>
    <w:basedOn w:val="a1"/>
    <w:link w:val="3"/>
    <w:uiPriority w:val="9"/>
    <w:semiHidden/>
    <w:rsid w:val="00561D0D"/>
    <w:rPr>
      <w:rFonts w:ascii="宋体" w:hAnsi="宋体"/>
      <w:b/>
      <w:bCs/>
      <w:kern w:val="2"/>
      <w:sz w:val="24"/>
      <w:szCs w:val="32"/>
    </w:rPr>
  </w:style>
  <w:style w:type="paragraph" w:styleId="TOCHeading">
    <w:name w:val="TOC Heading"/>
    <w:basedOn w:val="Heading1"/>
    <w:next w:val="Normal"/>
    <w:uiPriority w:val="39"/>
    <w:semiHidden/>
    <w:unhideWhenUsed/>
    <w:qFormat/>
    <w:pPr>
      <w:outlineLvl w:val="9"/>
    </w:pPr>
    <w:rPr>
      <w:lang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00016">
      <w:bodyDiv w:val="1"/>
      <w:marLeft w:val="0"/>
      <w:marRight w:val="0"/>
      <w:marTop w:val="0"/>
      <w:marBottom w:val="0"/>
      <w:divBdr>
        <w:top w:val="none" w:sz="0" w:space="0" w:color="auto"/>
        <w:left w:val="none" w:sz="0" w:space="0" w:color="auto"/>
        <w:bottom w:val="none" w:sz="0" w:space="0" w:color="auto"/>
        <w:right w:val="none" w:sz="0" w:space="0" w:color="auto"/>
      </w:divBdr>
    </w:div>
    <w:div w:id="15534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footer" Target="/word/footer11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1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_rels/settings.xml.rels>&#65279;<?xml version="1.0" encoding="utf-8"?><Relationships xmlns="http://schemas.openxmlformats.org/package/2006/relationships"><Relationship Type="http://schemas.openxmlformats.org/officeDocument/2006/relationships/attachedTemplate" Target="C:\DotNetWorkSpace\smartdoc\&#22522;&#37329;&#20135;&#21697;&#36164;&#26009;&#27010;&#35201;&#27169;&#26495;_A.dotx" TargetMode="External" Id="Rb3676960342a4189"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22.xml" Id="rId3" /><Relationship Type="http://schemas.openxmlformats.org/officeDocument/2006/relationships/settings" Target="/word/glossary/settings22.xml" Id="rId2" /><Relationship Type="http://schemas.openxmlformats.org/officeDocument/2006/relationships/styles" Target="/word/glossary/styles22.xml" Id="rId1" /><Relationship Type="http://schemas.openxmlformats.org/officeDocument/2006/relationships/fontTable" Target="/word/glossary/fontTable22.xml"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常规"/>
          <w:gallery w:val="placeholder"/>
        </w:category>
        <w:types>
          <w:type w:val="bbPlcHdr"/>
        </w:types>
        <w:behaviors>
          <w:behavior w:val="content"/>
        </w:behaviors>
        <w:guid w:val="{0B0F15BD-3020-4396-B53A-3DF258BA3896}"/>
      </w:docPartPr>
      <w:docPartBody>
        <w:p w:rsidR="00193E14" w:rsidRDefault="00236B4F">
          <w:r w:rsidRPr="00DE286C">
            <w:rPr>
              <w:rStyle w:val="a3"/>
              <w:rFonts w:hint="eastAsia"/>
            </w:rPr>
            <w:t>单击此处输入文字。</w:t>
          </w:r>
        </w:p>
      </w:docPartBody>
    </w:docPart>
    <w:docPart>
      <w:docPartPr>
        <w:name w:val="6DFE9B50E1754663BC792DB0159E621F"/>
        <w:category>
          <w:name w:val="常规"/>
          <w:gallery w:val="placeholder"/>
        </w:category>
        <w:types>
          <w:type w:val="bbPlcHdr"/>
        </w:types>
        <w:behaviors>
          <w:behavior w:val="content"/>
        </w:behaviors>
        <w:guid w:val="{82B53E3C-7E1C-4E31-8A75-936D0B03F513}"/>
      </w:docPartPr>
      <w:docPartBody>
        <w:p w:rsidR="00193E14" w:rsidRDefault="00236B4F" w:rsidP="00236B4F">
          <w:pPr>
            <w:pStyle w:val="6DFE9B50E1754663BC792DB0159E621F"/>
          </w:pPr>
          <w:r w:rsidRPr="00270D03">
            <w:rPr>
              <w:rStyle w:val="a3"/>
              <w:rFonts w:hint="eastAsia"/>
            </w:rPr>
            <w:t>单击此处输入文字。</w:t>
          </w:r>
        </w:p>
      </w:docPartBody>
    </w:docPart>
    <w:docPart>
      <w:docPartPr>
        <w:name w:val="ECAAA645E46A4539A5B8969496418767"/>
        <w:category>
          <w:name w:val="常规"/>
          <w:gallery w:val="placeholder"/>
        </w:category>
        <w:types>
          <w:type w:val="bbPlcHdr"/>
        </w:types>
        <w:behaviors>
          <w:behavior w:val="content"/>
        </w:behaviors>
        <w:guid w:val="{28EAC0B9-A076-4F86-BAC6-BDF7368277D4}"/>
      </w:docPartPr>
      <w:docPartBody>
        <w:p w:rsidR="00193E14" w:rsidRDefault="00236B4F" w:rsidP="00236B4F">
          <w:pPr>
            <w:pStyle w:val="ECAAA645E46A4539A5B8969496418767"/>
          </w:pPr>
          <w:r w:rsidRPr="00270D03">
            <w:rPr>
              <w:rStyle w:val="a3"/>
              <w:rFonts w:hint="eastAsia"/>
            </w:rPr>
            <w:t>单击此处输入文字。</w:t>
          </w:r>
        </w:p>
      </w:docPartBody>
    </w:docPart>
    <w:docPart>
      <w:docPartPr>
        <w:name w:val="31478744214A4BC2A3D63117CD9A799C"/>
        <w:category>
          <w:name w:val="常规"/>
          <w:gallery w:val="placeholder"/>
        </w:category>
        <w:types>
          <w:type w:val="bbPlcHdr"/>
        </w:types>
        <w:behaviors>
          <w:behavior w:val="content"/>
        </w:behaviors>
        <w:guid w:val="{AE10B0D0-1E16-412C-A27A-58069277B5D6}"/>
      </w:docPartPr>
      <w:docPartBody>
        <w:p w:rsidR="00193E14" w:rsidRDefault="00236B4F" w:rsidP="00236B4F">
          <w:pPr>
            <w:pStyle w:val="31478744214A4BC2A3D63117CD9A799C"/>
          </w:pPr>
          <w:r w:rsidRPr="00270D03">
            <w:rPr>
              <w:rStyle w:val="a3"/>
              <w:rFonts w:hint="eastAsia"/>
            </w:rPr>
            <w:t>单击此处输入文字。</w:t>
          </w:r>
        </w:p>
      </w:docPartBody>
    </w:docPart>
    <w:docPart>
      <w:docPartPr>
        <w:name w:val="DE12C3EE1B1C4A2E853584D403553087"/>
        <w:category>
          <w:name w:val="常规"/>
          <w:gallery w:val="placeholder"/>
        </w:category>
        <w:types>
          <w:type w:val="bbPlcHdr"/>
        </w:types>
        <w:behaviors>
          <w:behavior w:val="content"/>
        </w:behaviors>
        <w:guid w:val="{775ACB11-F91E-40A0-9763-F33E36C19173}"/>
      </w:docPartPr>
      <w:docPartBody>
        <w:p w:rsidR="00193E14" w:rsidRDefault="00236B4F" w:rsidP="00236B4F">
          <w:pPr>
            <w:pStyle w:val="DE12C3EE1B1C4A2E853584D403553087"/>
          </w:pPr>
          <w:r w:rsidRPr="00270D03">
            <w:rPr>
              <w:rStyle w:val="a3"/>
              <w:rFonts w:hint="eastAsia"/>
            </w:rPr>
            <w:t>单击此处输入文字。</w:t>
          </w:r>
        </w:p>
      </w:docPartBody>
    </w:docPart>
    <w:docPart>
      <w:docPartPr>
        <w:name w:val="015D2D973B584C438A004C15F186A279"/>
        <w:category>
          <w:name w:val="常规"/>
          <w:gallery w:val="placeholder"/>
        </w:category>
        <w:types>
          <w:type w:val="bbPlcHdr"/>
        </w:types>
        <w:behaviors>
          <w:behavior w:val="content"/>
        </w:behaviors>
        <w:guid w:val="{E82E57E1-7C4C-4469-B565-0BBAECFD3BD3}"/>
      </w:docPartPr>
      <w:docPartBody>
        <w:p w:rsidR="00193E14" w:rsidRDefault="00236B4F" w:rsidP="00236B4F">
          <w:pPr>
            <w:pStyle w:val="015D2D973B584C438A004C15F186A279"/>
          </w:pPr>
          <w:r w:rsidRPr="00270D03">
            <w:rPr>
              <w:rStyle w:val="a3"/>
              <w:rFonts w:hint="eastAsia"/>
            </w:rPr>
            <w:t>单击此处输入文字。</w:t>
          </w:r>
        </w:p>
      </w:docPartBody>
    </w:docPart>
    <w:docPart>
      <w:docPartPr>
        <w:name w:val="D89A75F4739040EB84C767808B14DD28"/>
        <w:category>
          <w:name w:val="常规"/>
          <w:gallery w:val="placeholder"/>
        </w:category>
        <w:types>
          <w:type w:val="bbPlcHdr"/>
        </w:types>
        <w:behaviors>
          <w:behavior w:val="content"/>
        </w:behaviors>
        <w:guid w:val="{4D10FF88-7E3F-4A3E-AF8B-A747806AE3E1}"/>
      </w:docPartPr>
      <w:docPartBody>
        <w:p w:rsidR="00193E14" w:rsidRDefault="00236B4F" w:rsidP="00236B4F">
          <w:pPr>
            <w:pStyle w:val="D89A75F4739040EB84C767808B14DD28"/>
          </w:pPr>
          <w:r w:rsidRPr="00270D03">
            <w:rPr>
              <w:rStyle w:val="a3"/>
              <w:rFonts w:hint="eastAsia"/>
            </w:rPr>
            <w:t>单击此处输入文字。</w:t>
          </w:r>
        </w:p>
      </w:docPartBody>
    </w:docPart>
    <w:docPart>
      <w:docPartPr>
        <w:name w:val="50571351C8234561BD5786224B031756"/>
        <w:category>
          <w:name w:val="常规"/>
          <w:gallery w:val="placeholder"/>
        </w:category>
        <w:types>
          <w:type w:val="bbPlcHdr"/>
        </w:types>
        <w:behaviors>
          <w:behavior w:val="content"/>
        </w:behaviors>
        <w:guid w:val="{F4F24DE5-E76E-4A48-9B69-9952D34A935E}"/>
      </w:docPartPr>
      <w:docPartBody>
        <w:p w:rsidR="00193E14" w:rsidRDefault="00236B4F" w:rsidP="00236B4F">
          <w:pPr>
            <w:pStyle w:val="50571351C8234561BD5786224B031756"/>
          </w:pPr>
          <w:r w:rsidRPr="00270D03">
            <w:rPr>
              <w:rStyle w:val="a3"/>
              <w:rFonts w:hint="eastAsia"/>
            </w:rPr>
            <w:t>单击此处输入文字。</w:t>
          </w:r>
        </w:p>
      </w:docPartBody>
    </w:docPart>
    <w:docPart>
      <w:docPartPr>
        <w:name w:val="4EB2F590BAF64DE09C9EE0898F142F4B"/>
        <w:category>
          <w:name w:val="常规"/>
          <w:gallery w:val="placeholder"/>
        </w:category>
        <w:types>
          <w:type w:val="bbPlcHdr"/>
        </w:types>
        <w:behaviors>
          <w:behavior w:val="content"/>
        </w:behaviors>
        <w:guid w:val="{889BF7C0-6B02-42FA-933F-A1A0CA90E1AA}"/>
      </w:docPartPr>
      <w:docPartBody>
        <w:p w:rsidR="00193E14" w:rsidRDefault="00236B4F" w:rsidP="00236B4F">
          <w:pPr>
            <w:pStyle w:val="4EB2F590BAF64DE09C9EE0898F142F4B"/>
          </w:pPr>
          <w:r w:rsidRPr="00270D03">
            <w:rPr>
              <w:rStyle w:val="a3"/>
              <w:rFonts w:hint="eastAsia"/>
            </w:rPr>
            <w:t>单击此处输入文字。</w:t>
          </w:r>
        </w:p>
      </w:docPartBody>
    </w:docPart>
    <w:docPart>
      <w:docPartPr>
        <w:name w:val="2A8ACAF9B1DD4D77B333D5AA648F0838"/>
        <w:category>
          <w:name w:val="常规"/>
          <w:gallery w:val="placeholder"/>
        </w:category>
        <w:types>
          <w:type w:val="bbPlcHdr"/>
        </w:types>
        <w:behaviors>
          <w:behavior w:val="content"/>
        </w:behaviors>
        <w:guid w:val="{F80F236C-CA87-40E2-BC9B-80C0D183A8A7}"/>
      </w:docPartPr>
      <w:docPartBody>
        <w:p w:rsidR="00193E14" w:rsidRDefault="00236B4F" w:rsidP="00236B4F">
          <w:pPr>
            <w:pStyle w:val="2A8ACAF9B1DD4D77B333D5AA648F0838"/>
          </w:pPr>
          <w:r w:rsidRPr="00270D03">
            <w:rPr>
              <w:rStyle w:val="a3"/>
              <w:rFonts w:hint="eastAsia"/>
            </w:rPr>
            <w:t>单击此处输入文字。</w:t>
          </w:r>
        </w:p>
      </w:docPartBody>
    </w:docPart>
    <w:docPart>
      <w:docPartPr>
        <w:name w:val="AF1B7898569640F29B656D42B911A95A"/>
        <w:category>
          <w:name w:val="常规"/>
          <w:gallery w:val="placeholder"/>
        </w:category>
        <w:types>
          <w:type w:val="bbPlcHdr"/>
        </w:types>
        <w:behaviors>
          <w:behavior w:val="content"/>
        </w:behaviors>
        <w:guid w:val="{F1024D32-8E43-407D-9507-928E4147CF04}"/>
      </w:docPartPr>
      <w:docPartBody>
        <w:p w:rsidR="00193E14" w:rsidRDefault="00236B4F" w:rsidP="00236B4F">
          <w:pPr>
            <w:pStyle w:val="AF1B7898569640F29B656D42B911A95A"/>
          </w:pPr>
          <w:r w:rsidRPr="00270D03">
            <w:rPr>
              <w:rStyle w:val="a3"/>
              <w:rFonts w:hint="eastAsia"/>
            </w:rPr>
            <w:t>单击此处输入文字。</w:t>
          </w:r>
        </w:p>
      </w:docPartBody>
    </w:docPart>
    <w:docPart>
      <w:docPartPr>
        <w:name w:val="07BC32722F0D49049D494EB2B76DFAE5"/>
        <w:category>
          <w:name w:val="常规"/>
          <w:gallery w:val="placeholder"/>
        </w:category>
        <w:types>
          <w:type w:val="bbPlcHdr"/>
        </w:types>
        <w:behaviors>
          <w:behavior w:val="content"/>
        </w:behaviors>
        <w:guid w:val="{F1FD7BF2-311D-498C-ACA8-54CB21454753}"/>
      </w:docPartPr>
      <w:docPartBody>
        <w:p w:rsidR="00193E14" w:rsidRDefault="00236B4F" w:rsidP="00236B4F">
          <w:pPr>
            <w:pStyle w:val="07BC32722F0D49049D494EB2B76DFAE5"/>
          </w:pPr>
          <w:r w:rsidRPr="00270D03">
            <w:rPr>
              <w:rStyle w:val="a3"/>
              <w:rFonts w:hint="eastAsia"/>
            </w:rPr>
            <w:t>单击此处输入文字。</w:t>
          </w:r>
        </w:p>
      </w:docPartBody>
    </w:docPart>
    <w:docPart>
      <w:docPartPr>
        <w:name w:val="A9A9F54D9EBD4C9AB313A8F7296D2D53"/>
        <w:category>
          <w:name w:val="常规"/>
          <w:gallery w:val="placeholder"/>
        </w:category>
        <w:types>
          <w:type w:val="bbPlcHdr"/>
        </w:types>
        <w:behaviors>
          <w:behavior w:val="content"/>
        </w:behaviors>
        <w:guid w:val="{D730C0C1-A7AC-44C4-8A7C-FB28DED6DBD1}"/>
      </w:docPartPr>
      <w:docPartBody>
        <w:p w:rsidR="001673C7" w:rsidRDefault="00193E14" w:rsidP="00193E14">
          <w:pPr>
            <w:pStyle w:val="A9A9F54D9EBD4C9AB313A8F7296D2D53"/>
          </w:pPr>
          <w:r w:rsidRPr="00270D03">
            <w:rPr>
              <w:rStyle w:val="a3"/>
              <w:rFonts w:hint="eastAsia"/>
            </w:rPr>
            <w:t>单击此处输入文字。</w:t>
          </w:r>
        </w:p>
      </w:docPartBody>
    </w:docPart>
    <w:docPart>
      <w:docPartPr>
        <w:name w:val="4C037B77345B48E183B3F5E032F9AABC"/>
        <w:category>
          <w:name w:val="常规"/>
          <w:gallery w:val="placeholder"/>
        </w:category>
        <w:types>
          <w:type w:val="bbPlcHdr"/>
        </w:types>
        <w:behaviors>
          <w:behavior w:val="content"/>
        </w:behaviors>
        <w:guid w:val="{3677FA86-2BE0-42A7-B2D9-A70BCC6481A2}"/>
      </w:docPartPr>
      <w:docPartBody>
        <w:p w:rsidR="005D4876" w:rsidRDefault="008D3D39" w:rsidP="008D3D39">
          <w:pPr>
            <w:pStyle w:val="4C037B77345B48E183B3F5E032F9AABC"/>
          </w:pPr>
          <w:r w:rsidRPr="00270D03">
            <w:rPr>
              <w:rStyle w:val="a3"/>
              <w:rFonts w:hint="eastAsia"/>
            </w:rPr>
            <w:t>单击此处输入文字。</w:t>
          </w:r>
        </w:p>
      </w:docPartBody>
    </w:docPart>
    <w:docPart>
      <w:docPartPr>
        <w:name w:val="BD4832FB266841DF9D21507C69D78062"/>
        <w:category>
          <w:name w:val="常规"/>
          <w:gallery w:val="placeholder"/>
        </w:category>
        <w:types>
          <w:type w:val="bbPlcHdr"/>
        </w:types>
        <w:behaviors>
          <w:behavior w:val="content"/>
        </w:behaviors>
        <w:guid w:val="{2954ED93-DCF6-4976-ADB5-1D3E4F608BBF}"/>
      </w:docPartPr>
      <w:docPartBody>
        <w:p w:rsidR="005D4876" w:rsidRDefault="008D3D39" w:rsidP="008D3D39">
          <w:pPr>
            <w:pStyle w:val="BD4832FB266841DF9D21507C69D78062"/>
          </w:pPr>
          <w:r w:rsidRPr="00270D03">
            <w:rPr>
              <w:rStyle w:val="a3"/>
              <w:rFonts w:hint="eastAsia"/>
            </w:rPr>
            <w:t>单击此处输入文字。</w:t>
          </w:r>
        </w:p>
      </w:docPartBody>
    </w:docPart>
    <w:docPart>
      <w:docPartPr>
        <w:name w:val="FD51F9879CA94CBABE03DF6007A6D1F4"/>
        <w:category>
          <w:name w:val="常规"/>
          <w:gallery w:val="placeholder"/>
        </w:category>
        <w:types>
          <w:type w:val="bbPlcHdr"/>
        </w:types>
        <w:behaviors>
          <w:behavior w:val="content"/>
        </w:behaviors>
        <w:guid w:val="{20837947-968B-4A68-AF07-6D569B300D15}"/>
      </w:docPartPr>
      <w:docPartBody>
        <w:p w:rsidR="005D4876" w:rsidRDefault="008D3D39" w:rsidP="008D3D39">
          <w:pPr>
            <w:pStyle w:val="FD51F9879CA94CBABE03DF6007A6D1F4"/>
          </w:pPr>
          <w:r w:rsidRPr="00270D03">
            <w:rPr>
              <w:rStyle w:val="a3"/>
              <w:rFonts w:hint="eastAsia"/>
            </w:rPr>
            <w:t>单击此处输入文字。</w:t>
          </w:r>
        </w:p>
      </w:docPartBody>
    </w:docPart>
    <w:docPart>
      <w:docPartPr>
        <w:name w:val="C538DA0AB3024D33B42461907E8DAA16"/>
        <w:category>
          <w:name w:val="常规"/>
          <w:gallery w:val="placeholder"/>
        </w:category>
        <w:types>
          <w:type w:val="bbPlcHdr"/>
        </w:types>
        <w:behaviors>
          <w:behavior w:val="content"/>
        </w:behaviors>
        <w:guid w:val="{C3CA2582-47BC-413D-BE93-F9129B7E254E}"/>
      </w:docPartPr>
      <w:docPartBody>
        <w:p w:rsidR="005D4876" w:rsidRDefault="008D3D39" w:rsidP="008D3D39">
          <w:pPr>
            <w:pStyle w:val="C538DA0AB3024D33B42461907E8DAA16"/>
          </w:pPr>
          <w:r w:rsidRPr="00575675">
            <w:rPr>
              <w:rStyle w:val="a3"/>
              <w:rFonts w:hint="eastAsia"/>
            </w:rPr>
            <w:t>单击或点击此处输入文字。</w:t>
          </w:r>
        </w:p>
      </w:docPartBody>
    </w:docPart>
    <w:docPart>
      <w:docPartPr>
        <w:name w:val="0F16B921776C49459EC805FC89DB4C47"/>
        <w:category>
          <w:name w:val="常规"/>
          <w:gallery w:val="placeholder"/>
        </w:category>
        <w:types>
          <w:type w:val="bbPlcHdr"/>
        </w:types>
        <w:behaviors>
          <w:behavior w:val="content"/>
        </w:behaviors>
        <w:guid w:val="{365DFECC-5470-46DB-81B8-7F5E871A69D5}"/>
      </w:docPartPr>
      <w:docPartBody>
        <w:p w:rsidR="005D4876" w:rsidRDefault="008D3D39" w:rsidP="008D3D39">
          <w:pPr>
            <w:pStyle w:val="0F16B921776C49459EC805FC89DB4C47"/>
          </w:pPr>
          <w:r w:rsidRPr="00270D03">
            <w:rPr>
              <w:rStyle w:val="a3"/>
              <w:rFonts w:hint="eastAsia"/>
            </w:rPr>
            <w:t>单击此处输入文字。</w:t>
          </w:r>
        </w:p>
      </w:docPartBody>
    </w:docPart>
    <w:docPart>
      <w:docPartPr>
        <w:name w:val="952FCA8B5C2B4F9EB2867C068F3C50F6"/>
        <w:category>
          <w:name w:val="常规"/>
          <w:gallery w:val="placeholder"/>
        </w:category>
        <w:types>
          <w:type w:val="bbPlcHdr"/>
        </w:types>
        <w:behaviors>
          <w:behavior w:val="content"/>
        </w:behaviors>
        <w:guid w:val="{D8569BA5-CEB6-4625-8A3F-E1621AB878DA}"/>
      </w:docPartPr>
      <w:docPartBody>
        <w:p w:rsidR="008B094E" w:rsidRDefault="0084236E" w:rsidP="0084236E">
          <w:pPr>
            <w:pStyle w:val="952FCA8B5C2B4F9EB2867C068F3C50F6"/>
          </w:pPr>
          <w:r w:rsidRPr="00270D03">
            <w:rPr>
              <w:rStyle w:val="a3"/>
              <w:rFonts w:hint="eastAsia"/>
            </w:rPr>
            <w:t>单击此处输入文字。</w:t>
          </w:r>
        </w:p>
      </w:docPartBody>
    </w:docPart>
    <w:docPart>
      <w:docPartPr>
        <w:name w:val="D76B5F5561E34367AA01495B9C613456"/>
        <w:category>
          <w:name w:val="常规"/>
          <w:gallery w:val="placeholder"/>
        </w:category>
        <w:types>
          <w:type w:val="bbPlcHdr"/>
        </w:types>
        <w:behaviors>
          <w:behavior w:val="content"/>
        </w:behaviors>
        <w:guid w:val="{B597CA68-CB1B-4EA1-B89B-8B637381A961}"/>
      </w:docPartPr>
      <w:docPartBody>
        <w:p w:rsidR="00392E70" w:rsidRDefault="008B094E" w:rsidP="008B094E">
          <w:pPr>
            <w:pStyle w:val="D76B5F5561E34367AA01495B9C613456"/>
          </w:pPr>
          <w:r w:rsidRPr="00270D03">
            <w:rPr>
              <w:rStyle w:val="a3"/>
              <w:rFonts w:hint="eastAsia"/>
            </w:rPr>
            <w:t>单击此处输入文字。</w:t>
          </w:r>
        </w:p>
      </w:docPartBody>
    </w:docPart>
    <w:docPart>
      <w:docPartPr>
        <w:name w:val="279CFD2E58D74FE38A1676111D736368"/>
        <w:category>
          <w:name w:val="常规"/>
          <w:gallery w:val="placeholder"/>
        </w:category>
        <w:types>
          <w:type w:val="bbPlcHdr"/>
        </w:types>
        <w:behaviors>
          <w:behavior w:val="content"/>
        </w:behaviors>
        <w:guid w:val="{B9F001F1-BA46-4C4A-B317-66143D783098}"/>
      </w:docPartPr>
      <w:docPartBody>
        <w:p w:rsidR="00392E70" w:rsidRDefault="008B094E" w:rsidP="008B094E">
          <w:pPr>
            <w:pStyle w:val="279CFD2E58D74FE38A1676111D736368"/>
          </w:pPr>
          <w:r w:rsidRPr="00270D03">
            <w:rPr>
              <w:rStyle w:val="a3"/>
              <w:rFonts w:hint="eastAsia"/>
            </w:rPr>
            <w:t>单击此处输入文字。</w:t>
          </w:r>
        </w:p>
      </w:docPartBody>
    </w:docPart>
    <w:docPart>
      <w:docPartPr>
        <w:name w:val="8B32D2C919F14F77A9DABC5AB7ECF5BA"/>
        <w:category>
          <w:name w:val="常规"/>
          <w:gallery w:val="placeholder"/>
        </w:category>
        <w:types>
          <w:type w:val="bbPlcHdr"/>
        </w:types>
        <w:behaviors>
          <w:behavior w:val="content"/>
        </w:behaviors>
        <w:guid w:val="{CB889393-3A63-4F65-8FA1-5A9D9F84C817}"/>
      </w:docPartPr>
      <w:docPartBody>
        <w:p w:rsidR="00392E70" w:rsidRDefault="008B094E" w:rsidP="008B094E">
          <w:pPr>
            <w:pStyle w:val="8B32D2C919F14F77A9DABC5AB7ECF5BA"/>
          </w:pPr>
          <w:r w:rsidRPr="00270D03">
            <w:rPr>
              <w:rStyle w:val="a3"/>
              <w:rFonts w:hint="eastAsia"/>
            </w:rPr>
            <w:t>单击此处输入文字。</w:t>
          </w:r>
        </w:p>
      </w:docPartBody>
    </w:docPart>
    <w:docPart>
      <w:docPartPr>
        <w:name w:val="13442EF105224D599A99EF8780017941"/>
        <w:category>
          <w:name w:val="常规"/>
          <w:gallery w:val="placeholder"/>
        </w:category>
        <w:types>
          <w:type w:val="bbPlcHdr"/>
        </w:types>
        <w:behaviors>
          <w:behavior w:val="content"/>
        </w:behaviors>
        <w:guid w:val="{BA0101EA-4B0A-4802-BE69-F2383914C4D3}"/>
      </w:docPartPr>
      <w:docPartBody>
        <w:p w:rsidR="007E4C53" w:rsidRDefault="008915D2" w:rsidP="008915D2">
          <w:pPr>
            <w:pStyle w:val="13442EF105224D599A99EF8780017941"/>
          </w:pPr>
          <w:r w:rsidRPr="00DE286C">
            <w:rPr>
              <w:rStyle w:val="a3"/>
              <w:rFonts w:hint="eastAsia"/>
            </w:rPr>
            <w:t>单击此处输入文字。</w:t>
          </w:r>
        </w:p>
      </w:docPartBody>
    </w:docPart>
  </w:docParts>
</w:glossaryDocument>
</file>

<file path=word/glossary/fontTable2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2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4F"/>
    <w:rsid w:val="00073B2C"/>
    <w:rsid w:val="00110953"/>
    <w:rsid w:val="001673C7"/>
    <w:rsid w:val="00180BF5"/>
    <w:rsid w:val="00193E14"/>
    <w:rsid w:val="001C3986"/>
    <w:rsid w:val="00236B4F"/>
    <w:rsid w:val="0028125A"/>
    <w:rsid w:val="00392E70"/>
    <w:rsid w:val="003D31EF"/>
    <w:rsid w:val="003F74A4"/>
    <w:rsid w:val="00477363"/>
    <w:rsid w:val="004D4C1E"/>
    <w:rsid w:val="005D4876"/>
    <w:rsid w:val="005E3532"/>
    <w:rsid w:val="005E4094"/>
    <w:rsid w:val="00676B68"/>
    <w:rsid w:val="006A6FFF"/>
    <w:rsid w:val="00723EA7"/>
    <w:rsid w:val="007B4D35"/>
    <w:rsid w:val="007E4C53"/>
    <w:rsid w:val="0084236E"/>
    <w:rsid w:val="0087057A"/>
    <w:rsid w:val="00881623"/>
    <w:rsid w:val="008915D2"/>
    <w:rsid w:val="008B094E"/>
    <w:rsid w:val="008D3D39"/>
    <w:rsid w:val="008D4101"/>
    <w:rsid w:val="009177A8"/>
    <w:rsid w:val="0097547A"/>
    <w:rsid w:val="00A12EE3"/>
    <w:rsid w:val="00A951F7"/>
    <w:rsid w:val="00AB3D3F"/>
    <w:rsid w:val="00B220FA"/>
    <w:rsid w:val="00C61FA5"/>
    <w:rsid w:val="00C907A1"/>
    <w:rsid w:val="00CB4B63"/>
    <w:rsid w:val="00D023B8"/>
    <w:rsid w:val="00DC56D3"/>
    <w:rsid w:val="00DC6F56"/>
    <w:rsid w:val="00EA223B"/>
    <w:rsid w:val="00EA4B5E"/>
    <w:rsid w:val="00F11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B4F"/>
    <w:pPr>
      <w:widowControl w:val="0"/>
      <w:jc w:val="both"/>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915D2"/>
    <w:rPr>
      <w:color w:val="808080"/>
    </w:rPr>
  </w:style>
  <w:style w:type="paragraph" w:customStyle="1" w:styleId="6DFE9B50E1754663BC792DB0159E621F">
    <w:name w:val="6DFE9B50E1754663BC792DB0159E621F"/>
    <w:rsid w:val="00236B4F"/>
    <w:pPr>
      <w:widowControl w:val="0"/>
      <w:jc w:val="both"/>
    </w:pPr>
  </w:style>
  <w:style w:type="paragraph" w:customStyle="1" w:styleId="ECAAA645E46A4539A5B8969496418767">
    <w:name w:val="ECAAA645E46A4539A5B8969496418767"/>
    <w:rsid w:val="00236B4F"/>
    <w:pPr>
      <w:widowControl w:val="0"/>
      <w:jc w:val="both"/>
    </w:pPr>
  </w:style>
  <w:style w:type="paragraph" w:customStyle="1" w:styleId="31478744214A4BC2A3D63117CD9A799C">
    <w:name w:val="31478744214A4BC2A3D63117CD9A799C"/>
    <w:rsid w:val="00236B4F"/>
    <w:pPr>
      <w:widowControl w:val="0"/>
      <w:jc w:val="both"/>
    </w:pPr>
  </w:style>
  <w:style w:type="paragraph" w:customStyle="1" w:styleId="DE12C3EE1B1C4A2E853584D403553087">
    <w:name w:val="DE12C3EE1B1C4A2E853584D403553087"/>
    <w:rsid w:val="00236B4F"/>
    <w:pPr>
      <w:widowControl w:val="0"/>
      <w:jc w:val="both"/>
    </w:pPr>
  </w:style>
  <w:style w:type="paragraph" w:customStyle="1" w:styleId="015D2D973B584C438A004C15F186A279">
    <w:name w:val="015D2D973B584C438A004C15F186A279"/>
    <w:rsid w:val="00236B4F"/>
    <w:pPr>
      <w:widowControl w:val="0"/>
      <w:jc w:val="both"/>
    </w:pPr>
  </w:style>
  <w:style w:type="paragraph" w:customStyle="1" w:styleId="D89A75F4739040EB84C767808B14DD28">
    <w:name w:val="D89A75F4739040EB84C767808B14DD28"/>
    <w:rsid w:val="00236B4F"/>
    <w:pPr>
      <w:widowControl w:val="0"/>
      <w:jc w:val="both"/>
    </w:pPr>
  </w:style>
  <w:style w:type="paragraph" w:customStyle="1" w:styleId="50571351C8234561BD5786224B031756">
    <w:name w:val="50571351C8234561BD5786224B031756"/>
    <w:rsid w:val="00236B4F"/>
    <w:pPr>
      <w:widowControl w:val="0"/>
      <w:jc w:val="both"/>
    </w:pPr>
  </w:style>
  <w:style w:type="paragraph" w:customStyle="1" w:styleId="4EB2F590BAF64DE09C9EE0898F142F4B">
    <w:name w:val="4EB2F590BAF64DE09C9EE0898F142F4B"/>
    <w:rsid w:val="00236B4F"/>
    <w:pPr>
      <w:widowControl w:val="0"/>
      <w:jc w:val="both"/>
    </w:pPr>
  </w:style>
  <w:style w:type="paragraph" w:customStyle="1" w:styleId="2A8ACAF9B1DD4D77B333D5AA648F0838">
    <w:name w:val="2A8ACAF9B1DD4D77B333D5AA648F0838"/>
    <w:rsid w:val="00236B4F"/>
    <w:pPr>
      <w:widowControl w:val="0"/>
      <w:jc w:val="both"/>
    </w:pPr>
  </w:style>
  <w:style w:type="paragraph" w:customStyle="1" w:styleId="AF1B7898569640F29B656D42B911A95A">
    <w:name w:val="AF1B7898569640F29B656D42B911A95A"/>
    <w:rsid w:val="00236B4F"/>
    <w:pPr>
      <w:widowControl w:val="0"/>
      <w:jc w:val="both"/>
    </w:pPr>
  </w:style>
  <w:style w:type="paragraph" w:customStyle="1" w:styleId="07BC32722F0D49049D494EB2B76DFAE5">
    <w:name w:val="07BC32722F0D49049D494EB2B76DFAE5"/>
    <w:rsid w:val="00236B4F"/>
    <w:pPr>
      <w:widowControl w:val="0"/>
      <w:jc w:val="both"/>
    </w:pPr>
  </w:style>
  <w:style w:type="paragraph" w:customStyle="1" w:styleId="A9A9F54D9EBD4C9AB313A8F7296D2D53">
    <w:name w:val="A9A9F54D9EBD4C9AB313A8F7296D2D53"/>
    <w:rsid w:val="00193E14"/>
    <w:pPr>
      <w:widowControl w:val="0"/>
      <w:jc w:val="both"/>
    </w:pPr>
  </w:style>
  <w:style w:type="paragraph" w:customStyle="1" w:styleId="E898EDD05ACC43EEB48C03217B61EB43">
    <w:name w:val="E898EDD05ACC43EEB48C03217B61EB43"/>
    <w:rsid w:val="00EA4B5E"/>
    <w:pPr>
      <w:widowControl w:val="0"/>
      <w:jc w:val="both"/>
    </w:pPr>
  </w:style>
  <w:style w:type="paragraph" w:customStyle="1" w:styleId="FDBFEA8031B747A59614F3F0EAF5978A">
    <w:name w:val="FDBFEA8031B747A59614F3F0EAF5978A"/>
    <w:rsid w:val="00EA4B5E"/>
    <w:pPr>
      <w:widowControl w:val="0"/>
      <w:jc w:val="both"/>
    </w:pPr>
  </w:style>
  <w:style w:type="paragraph" w:customStyle="1" w:styleId="58A58B24240C48C4A62FD0E1235F008E">
    <w:name w:val="58A58B24240C48C4A62FD0E1235F008E"/>
    <w:rsid w:val="00EA4B5E"/>
    <w:pPr>
      <w:widowControl w:val="0"/>
      <w:jc w:val="both"/>
    </w:pPr>
  </w:style>
  <w:style w:type="paragraph" w:customStyle="1" w:styleId="D9FC05BB666B41B3804B7002BF24AA08">
    <w:name w:val="D9FC05BB666B41B3804B7002BF24AA08"/>
    <w:rsid w:val="00EA4B5E"/>
    <w:pPr>
      <w:widowControl w:val="0"/>
      <w:jc w:val="both"/>
    </w:pPr>
  </w:style>
  <w:style w:type="paragraph" w:customStyle="1" w:styleId="4C037B77345B48E183B3F5E032F9AABC">
    <w:name w:val="4C037B77345B48E183B3F5E032F9AABC"/>
    <w:rsid w:val="008D3D39"/>
    <w:pPr>
      <w:widowControl w:val="0"/>
      <w:jc w:val="both"/>
    </w:pPr>
  </w:style>
  <w:style w:type="paragraph" w:customStyle="1" w:styleId="BD4832FB266841DF9D21507C69D78062">
    <w:name w:val="BD4832FB266841DF9D21507C69D78062"/>
    <w:rsid w:val="008D3D39"/>
    <w:pPr>
      <w:widowControl w:val="0"/>
      <w:jc w:val="both"/>
    </w:pPr>
  </w:style>
  <w:style w:type="paragraph" w:customStyle="1" w:styleId="5A2559711B704C57B285FE2922D9251F">
    <w:name w:val="5A2559711B704C57B285FE2922D9251F"/>
    <w:rsid w:val="008D3D39"/>
    <w:pPr>
      <w:widowControl w:val="0"/>
      <w:jc w:val="both"/>
    </w:pPr>
  </w:style>
  <w:style w:type="paragraph" w:customStyle="1" w:styleId="FB516EFFCE6B4498A4F691B7974AF2A2">
    <w:name w:val="FB516EFFCE6B4498A4F691B7974AF2A2"/>
    <w:rsid w:val="008D3D39"/>
    <w:pPr>
      <w:widowControl w:val="0"/>
      <w:jc w:val="both"/>
    </w:pPr>
  </w:style>
  <w:style w:type="paragraph" w:customStyle="1" w:styleId="DF301BE2D41149D4B0FDC96CD63F7DFD">
    <w:name w:val="DF301BE2D41149D4B0FDC96CD63F7DFD"/>
    <w:rsid w:val="008D3D39"/>
    <w:pPr>
      <w:widowControl w:val="0"/>
      <w:jc w:val="both"/>
    </w:pPr>
  </w:style>
  <w:style w:type="paragraph" w:customStyle="1" w:styleId="38A7A5CCC37F4C70BD63755B49F7A832">
    <w:name w:val="38A7A5CCC37F4C70BD63755B49F7A832"/>
    <w:rsid w:val="008D3D39"/>
    <w:pPr>
      <w:widowControl w:val="0"/>
      <w:jc w:val="both"/>
    </w:pPr>
  </w:style>
  <w:style w:type="paragraph" w:customStyle="1" w:styleId="33CF656E393C4E8DB00AF959E45EF3E3">
    <w:name w:val="33CF656E393C4E8DB00AF959E45EF3E3"/>
    <w:rsid w:val="008D3D39"/>
    <w:pPr>
      <w:widowControl w:val="0"/>
      <w:jc w:val="both"/>
    </w:pPr>
  </w:style>
  <w:style w:type="paragraph" w:customStyle="1" w:styleId="FD51F9879CA94CBABE03DF6007A6D1F4">
    <w:name w:val="FD51F9879CA94CBABE03DF6007A6D1F4"/>
    <w:rsid w:val="008D3D39"/>
    <w:pPr>
      <w:widowControl w:val="0"/>
      <w:jc w:val="both"/>
    </w:pPr>
  </w:style>
  <w:style w:type="paragraph" w:customStyle="1" w:styleId="C538DA0AB3024D33B42461907E8DAA16">
    <w:name w:val="C538DA0AB3024D33B42461907E8DAA16"/>
    <w:rsid w:val="008D3D39"/>
    <w:pPr>
      <w:widowControl w:val="0"/>
      <w:jc w:val="both"/>
    </w:pPr>
  </w:style>
  <w:style w:type="paragraph" w:customStyle="1" w:styleId="0F16B921776C49459EC805FC89DB4C47">
    <w:name w:val="0F16B921776C49459EC805FC89DB4C47"/>
    <w:rsid w:val="008D3D39"/>
    <w:pPr>
      <w:widowControl w:val="0"/>
      <w:jc w:val="both"/>
    </w:pPr>
  </w:style>
  <w:style w:type="paragraph" w:customStyle="1" w:styleId="952FCA8B5C2B4F9EB2867C068F3C50F6">
    <w:name w:val="952FCA8B5C2B4F9EB2867C068F3C50F6"/>
    <w:rsid w:val="0084236E"/>
    <w:pPr>
      <w:widowControl w:val="0"/>
      <w:jc w:val="both"/>
    </w:pPr>
  </w:style>
  <w:style w:type="paragraph" w:customStyle="1" w:styleId="D76B5F5561E34367AA01495B9C613456">
    <w:name w:val="D76B5F5561E34367AA01495B9C613456"/>
    <w:rsid w:val="008B094E"/>
    <w:pPr>
      <w:widowControl w:val="0"/>
      <w:jc w:val="both"/>
    </w:pPr>
  </w:style>
  <w:style w:type="paragraph" w:customStyle="1" w:styleId="279CFD2E58D74FE38A1676111D736368">
    <w:name w:val="279CFD2E58D74FE38A1676111D736368"/>
    <w:rsid w:val="008B094E"/>
    <w:pPr>
      <w:widowControl w:val="0"/>
      <w:jc w:val="both"/>
    </w:pPr>
  </w:style>
  <w:style w:type="paragraph" w:customStyle="1" w:styleId="8B32D2C919F14F77A9DABC5AB7ECF5BA">
    <w:name w:val="8B32D2C919F14F77A9DABC5AB7ECF5BA"/>
    <w:rsid w:val="008B094E"/>
    <w:pPr>
      <w:widowControl w:val="0"/>
      <w:jc w:val="both"/>
    </w:pPr>
  </w:style>
  <w:style w:type="paragraph" w:customStyle="1" w:styleId="39DE9826DDE740F393698A21EF367FBE">
    <w:name w:val="39DE9826DDE740F393698A21EF367FBE"/>
    <w:rsid w:val="008915D2"/>
    <w:pPr>
      <w:widowControl w:val="0"/>
      <w:jc w:val="both"/>
    </w:pPr>
  </w:style>
  <w:style w:type="paragraph" w:customStyle="1" w:styleId="13442EF105224D599A99EF8780017941">
    <w:name w:val="13442EF105224D599A99EF8780017941"/>
    <w:rsid w:val="008915D2"/>
    <w:pPr>
      <w:widowControl w:val="0"/>
      <w:jc w:val="both"/>
    </w:pPr>
  </w:style>
</w:styles>
</file>

<file path=word/glossary/webSettings2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1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基金产品资料概要模板_A.dotx</Template>
  <TotalTime>94</TotalTime>
  <Pages>3</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马维娜</dc:creator>
  <cp:keywords/>
  <dc:description/>
  <cp:lastModifiedBy>姚龙庆</cp:lastModifiedBy>
  <cp:revision>48</cp:revision>
  <dcterms:created xsi:type="dcterms:W3CDTF">2022-09-27T06:56:00Z</dcterms:created>
  <dcterms:modified xsi:type="dcterms:W3CDTF">2025-12-02T08:44:00Z</dcterms:modified>
</cp:coreProperties>
</file>