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cs="方正黑体简体"/>
          <w:b/>
          <w:bCs/>
          <w:iCs/>
          <w:sz w:val="30"/>
          <w:szCs w:val="30"/>
        </w:rPr>
      </w:pPr>
      <w:r>
        <w:rPr>
          <w:rFonts w:cs="方正黑体简体"/>
          <w:b/>
          <w:bCs/>
          <w:iCs/>
          <w:sz w:val="30"/>
          <w:szCs w:val="30"/>
        </w:rPr>
        <w:t>富国智汇稳健3个月持有期混合型基金中基金（FOF）（A类份额）基金产品资料概要</w:t>
      </w:r>
    </w:p>
    <w:p w:rsidR="00084FBF" w:rsidRPr="00A14942" w:rsidRDefault="008B72D1" w:rsidP="0043556E">
      <w:pPr>
        <w:adjustRightInd w:val="0"/>
        <w:snapToGrid w:val="0"/>
        <w:jc w:val="right"/>
        <w:rPr>
          <w:rFonts w:cs="方正仿宋简体"/>
          <w:iCs/>
          <w:color w:val="FF0000"/>
          <w:szCs w:val="21"/>
        </w:rPr>
      </w:pPr>
      <w:r>
        <w:rPr>
          <w:rFonts w:hint="eastAsia"/>
          <w:szCs w:val="21"/>
        </w:rPr>
        <w:t>2025年12月31日</w:t>
      </w:r>
      <w:r w:rsidR="0043556E" w:rsidRPr="00A14942">
        <w:rPr>
          <w:rFonts w:hint="eastAsia"/>
          <w:szCs w:val="21"/>
        </w:rPr>
        <w:t>（</w:t>
      </w:r>
      <w:r w:rsidR="0043556E" w:rsidRPr="00A14942">
        <w:rPr>
          <w:rFonts w:cs="方正仿宋简体" w:hint="eastAsia"/>
          <w:iCs/>
          <w:szCs w:val="21"/>
        </w:rPr>
        <w:t>信息截至：</w:t>
      </w:r>
      <w:r>
        <w:rPr>
          <w:rFonts w:cs="方正仿宋简体" w:hint="eastAsia"/>
          <w:iCs/>
          <w:szCs w:val="21"/>
        </w:rPr>
        <w:t>2025年12月30日</w:t>
      </w:r>
      <w:r w:rsidR="0043556E" w:rsidRPr="00A14942">
        <w:rPr>
          <w:rFonts w:hint="eastAsia"/>
          <w:szCs w:val="21"/>
        </w:rPr>
        <w:t>）</w:t>
      </w:r>
    </w:p>
    <w:p w:rsidR="00DE25AF" w:rsidRPr="00A14942" w:rsidRDefault="004E7FF3" w:rsidP="00084FBF">
      <w:pPr>
        <w:adjustRightInd w:val="0"/>
        <w:snapToGrid w:val="0"/>
        <w:jc w:val="center"/>
        <w:rPr>
          <w:rFonts w:cs="方正黑体简体"/>
          <w:b/>
          <w:bCs/>
          <w:iCs/>
          <w:sz w:val="24"/>
          <w:szCs w:val="21"/>
        </w:rPr>
      </w:pPr>
      <w:r w:rsidRPr="00A14942">
        <w:rPr>
          <w:rFonts w:cs="方正黑体简体" w:hint="eastAsia"/>
          <w:b/>
          <w:bCs/>
          <w:iCs/>
          <w:sz w:val="24"/>
          <w:szCs w:val="21"/>
        </w:rPr>
        <w:t>本概要提供本基金的重要信息，是招募说明书的一部分。</w:t>
      </w:r>
      <w:proofErr w:type="gramStart"/>
      <w:r w:rsidRPr="00A14942">
        <w:rPr>
          <w:rFonts w:cs="方正黑体简体" w:hint="eastAsia"/>
          <w:b/>
          <w:bCs/>
          <w:iCs/>
          <w:sz w:val="24"/>
          <w:szCs w:val="21"/>
        </w:rPr>
        <w:t>作出</w:t>
      </w:r>
      <w:proofErr w:type="gramEnd"/>
      <w:r w:rsidRPr="00A14942">
        <w:rPr>
          <w:rFonts w:cs="方正黑体简体" w:hint="eastAsia"/>
          <w:b/>
          <w:bCs/>
          <w:iCs/>
          <w:sz w:val="24"/>
          <w:szCs w:val="21"/>
        </w:rPr>
        <w:t>投资决定前，请阅读完整的招募说明书等销售文件。</w:t>
      </w:r>
    </w:p>
    <w:p w:rsidR="006F366F" w:rsidRPr="000776C8" w:rsidRDefault="006F366F" w:rsidP="00E31F9B">
      <w:pPr>
        <w:pStyle w:val="1"/>
      </w:pPr>
      <w:r w:rsidRPr="000776C8">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基金简称</w:t>
            </w:r>
          </w:p>
        </w:tc>
        <w:tc>
          <w:tcPr>
            <w:tcW w:w="2887" w:type="dxa"/>
            <w:shd w:val="clear" w:color="auto" w:fill="auto"/>
            <w:vAlign w:val="center"/>
          </w:tcPr>
          <w:p>
            <w:pPr>
              <w:adjustRightInd w:val="0"/>
              <w:snapToGrid w:val="0"/>
              <w:rPr>
                <w:rFonts w:cs="方正仿宋简体"/>
                <w:iCs/>
                <w:szCs w:val="21"/>
              </w:rPr>
            </w:pPr>
            <w:r>
              <w:rPr>
                <w:kern w:val="0"/>
                <w:szCs w:val="21"/>
              </w:rPr>
              <w:t>富国智汇稳健3个月持有期混合（FOF）</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026564</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份额简称</w:t>
            </w:r>
          </w:p>
        </w:tc>
        <w:tc>
          <w:tcPr>
            <w:tcW w:w="2887" w:type="dxa"/>
            <w:shd w:val="clear" w:color="auto" w:fill="auto"/>
            <w:vAlign w:val="center"/>
          </w:tcPr>
          <w:p>
            <w:pPr>
              <w:adjustRightInd w:val="0"/>
              <w:snapToGrid w:val="0"/>
              <w:rPr>
                <w:rFonts w:cs="方正仿宋简体"/>
                <w:iCs/>
                <w:szCs w:val="21"/>
              </w:rPr>
            </w:pPr>
            <w:r>
              <w:rPr>
                <w:kern w:val="0"/>
                <w:szCs w:val="21"/>
              </w:rPr>
              <w:t>富国智汇稳健3个月持有期混合（FOF）A</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份额代码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026564</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基金管理人</w:t>
            </w:r>
          </w:p>
        </w:tc>
        <w:tc>
          <w:tcPr>
            <w:tcW w:w="2887" w:type="dxa"/>
            <w:shd w:val="clear" w:color="auto" w:fill="auto"/>
            <w:vAlign w:val="center"/>
          </w:tcPr>
          <w:p>
            <w:pPr>
              <w:adjustRightInd w:val="0"/>
              <w:snapToGrid w:val="0"/>
              <w:rPr>
                <w:rFonts w:cs="方正仿宋简体"/>
                <w:iCs/>
                <w:szCs w:val="21"/>
              </w:rPr>
            </w:pPr>
            <w:r>
              <w:rPr>
                <w:rFonts w:hint="eastAsia"/>
                <w:kern w:val="0"/>
                <w:szCs w:val="21"/>
              </w:rPr>
              <w:t>富国基金管理有限公司</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基金托管人</w:t>
            </w:r>
          </w:p>
        </w:tc>
        <w:tc>
          <w:tcPr>
            <w:tcW w:w="2835" w:type="dxa"/>
            <w:shd w:val="clear" w:color="auto" w:fill="auto"/>
            <w:vAlign w:val="center"/>
          </w:tcPr>
          <w:p>
            <w:pPr>
              <w:adjustRightInd w:val="0"/>
              <w:snapToGrid w:val="0"/>
              <w:rPr>
                <w:rFonts w:cs="方正仿宋简体"/>
                <w:iCs/>
                <w:szCs w:val="21"/>
              </w:rPr>
            </w:pPr>
            <w:r>
              <w:rPr>
                <w:rFonts w:hint="eastAsia"/>
                <w:kern w:val="0"/>
                <w:szCs w:val="21"/>
              </w:rPr>
              <w:t>中国银行股份有限公司</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基金合同生效日</w:t>
            </w:r>
          </w:p>
        </w:tc>
        <w:tc>
          <w:tcPr>
            <w:tcW w:w="2887" w:type="dxa"/>
            <w:shd w:val="clear" w:color="auto" w:fill="auto"/>
            <w:vAlign w:val="center"/>
          </w:tcPr>
          <w:p>
            <w:pPr>
              <w:adjustRightInd w:val="0"/>
              <w:snapToGrid w:val="0"/>
              <w:rPr>
                <w:rFonts w:cs="方正仿宋简体"/>
                <w:iCs/>
                <w:szCs w:val="21"/>
              </w:rPr>
            </w:pPr>
            <w:r>
              <w:rPr>
                <w:kern w:val="0"/>
                <w:szCs w:val="21"/>
              </w:rPr>
              <w:t>－</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基金类型</w:t>
            </w:r>
          </w:p>
        </w:tc>
        <w:tc>
          <w:tcPr>
            <w:tcW w:w="2835" w:type="dxa"/>
            <w:shd w:val="clear" w:color="auto" w:fill="auto"/>
            <w:vAlign w:val="center"/>
          </w:tcPr>
          <w:p>
            <w:pPr>
              <w:adjustRightInd w:val="0"/>
              <w:snapToGrid w:val="0"/>
              <w:rPr>
                <w:rFonts w:cs="方正仿宋简体"/>
                <w:iCs/>
                <w:szCs w:val="21"/>
              </w:rPr>
            </w:pPr>
            <w:r>
              <w:rPr>
                <w:rFonts w:hint="eastAsia"/>
                <w:kern w:val="0"/>
                <w:szCs w:val="21"/>
              </w:rPr>
              <w:t>基金中基金</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运作方式</w:t>
            </w:r>
          </w:p>
        </w:tc>
        <w:tc>
          <w:tcPr>
            <w:tcW w:w="2887" w:type="dxa"/>
            <w:shd w:val="clear" w:color="auto" w:fill="auto"/>
            <w:vAlign w:val="center"/>
          </w:tcPr>
          <w:p>
            <w:pPr>
              <w:adjustRightInd w:val="0"/>
              <w:snapToGrid w:val="0"/>
              <w:rPr>
                <w:rFonts w:cs="方正仿宋简体"/>
                <w:iCs/>
                <w:szCs w:val="21"/>
              </w:rPr>
            </w:pPr>
            <w:r>
              <w:rPr>
                <w:kern w:val="0"/>
                <w:szCs w:val="21"/>
              </w:rPr>
              <w:t>其他开放式</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开放频率</w:t>
            </w:r>
          </w:p>
        </w:tc>
        <w:tc>
          <w:tcPr>
            <w:tcW w:w="2835" w:type="dxa"/>
            <w:shd w:val="clear" w:color="auto" w:fill="auto"/>
            <w:vAlign w:val="center"/>
          </w:tcPr>
          <w:p>
            <w:pPr>
              <w:adjustRightInd w:val="0"/>
              <w:snapToGrid w:val="0"/>
              <w:rPr>
                <w:rFonts w:cs="方正仿宋简体"/>
                <w:iCs/>
                <w:szCs w:val="21"/>
              </w:rPr>
            </w:pPr>
            <w:r>
              <w:rPr>
                <w:rFonts w:hint="eastAsia"/>
                <w:kern w:val="0"/>
                <w:szCs w:val="21"/>
              </w:rPr>
              <w:t>对每份基金份额设置3个月的最短持有期限</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交易币种</w:t>
            </w:r>
          </w:p>
        </w:tc>
        <w:tc>
          <w:tcPr>
            <w:tcW w:w="2887" w:type="dxa"/>
            <w:shd w:val="clear" w:color="auto" w:fill="auto"/>
            <w:vAlign w:val="center"/>
          </w:tcPr>
          <w:p>
            <w:pPr>
              <w:adjustRightInd w:val="0"/>
              <w:snapToGrid w:val="0"/>
              <w:rPr>
                <w:rFonts w:cs="方正仿宋简体"/>
                <w:iCs/>
                <w:szCs w:val="21"/>
              </w:rPr>
            </w:pPr>
            <w:r>
              <w:rPr>
                <w:rFonts w:hint="eastAsia"/>
                <w:kern w:val="0"/>
                <w:szCs w:val="21"/>
              </w:rPr>
              <w:t>人民币</w:t>
            </w:r>
          </w:p>
        </w:tc>
        <w:tc>
          <w:tcPr>
            <w:tcW w:w="1701" w:type="dxa"/>
            <w:shd w:val="clear" w:color="auto" w:fill="auto"/>
            <w:vAlign w:val="center"/>
          </w:tcPr>
          <w:p w:rsidR="00F64027" w:rsidRPr="00315D72" w:rsidRDefault="00F64027" w:rsidP="00F64027">
            <w:pPr>
              <w:adjustRightInd w:val="0"/>
              <w:snapToGrid w:val="0"/>
              <w:rPr>
                <w:rFonts w:cs="方正仿宋简体"/>
                <w:iCs/>
                <w:szCs w:val="21"/>
              </w:rPr>
            </w:pPr>
            <w:r w:rsidRPr="00315D72">
              <w:rPr/>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基金经理</w:t>
            </w:r>
          </w:p>
        </w:tc>
        <w:tc>
          <w:tcPr>
            <w:tcW w:w="288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王登元</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任职日期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w:t>
            </w:r>
          </w:p>
        </w:tc>
      </w:tr>
      <w:tr>
        <w:trPr>
          <w:trHeight w:val="340"/>
        </w:trPr>
        <w:tc>
          <w:tcPr>
            <w:tcW w:w="175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288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证券从业日期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2011年07月01日</w:t>
            </w:r>
          </w:p>
        </w:tc>
      </w:tr>
    </w:tbl>
    <w:p>
      <w:pPr>
        <w:adjustRightInd w:val="0"/>
        <w:snapToGrid w:val="0"/>
        <w:spacing w:beforeLines="20" w:before="87" w:line="288" w:lineRule="auto"/>
        <w:rPr>
          <w:rFonts w:cs="方正仿宋简体"/>
          <w:iCs/>
          <w:szCs w:val="21"/>
        </w:rPr>
      </w:pPr>
      <w:r>
        <w:rPr>
          <w:rFonts w:cs="方正仿宋简体" w:hint="eastAsia"/>
          <w:iCs/>
          <w:szCs w:val="21"/>
        </w:rPr>
        <w:t>注：本基金基金类型为混合型基金中基金。</w:t>
      </w:r>
    </w:p>
    <w:p w:rsidR="006F366F" w:rsidRPr="005F6CAD" w:rsidRDefault="006F366F" w:rsidP="000776C8">
      <w:pPr>
        <w:pStyle w:val="1"/>
      </w:pPr>
      <w:r w:rsidRPr="005F6CAD">
        <w:rPr>
          <w:rFonts w:hint="eastAsia"/>
        </w:rPr>
        <w:t>基金投资与净值表现</w:t>
      </w:r>
    </w:p>
    <w:p w:rsidR="00BC4EFB" w:rsidRDefault="00BC4EFB" w:rsidP="000776C8">
      <w:pPr>
        <w:pStyle w:val="2"/>
      </w:pPr>
      <w:r w:rsidRPr="000776C8">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本基金在严格控制风险的前提下，通过资产配置和基金精选策略，力争实现基金资产的长期稳健增值。</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包括经中国证监会依法核准或注册的公开募集的基金份额（包括商品基金（含商品期货基金和黄金ETF，下同）、QDII基金、香港互认基金、公开募集基础设施证券投资基金（以下简称“公募REITs”））、国内依法公开发行上市交易的股票（包括主板、科创板、创业板及其他中国证监会允许发行的股票）、存托凭证、港股通标的证券（包括股票和ETF）、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货币市场工具以及法律法规或中国证监会允许基金投资的其他金融工具（但须符合中国证监会的相关规定）。如法律法规或监管机构以后允许基金投资其他品种，基金管理人在履行适当程序后，可以将其纳入投资范围。</w:t>
            </w:r>
          </w:p>
          <w:p>
            <w:pPr>
              <w:pStyle w:val="ae"/>
            </w:pPr>
            <w:r>
              <w:rPr>
                <w:rFonts w:hint="eastAsia"/>
              </w:rPr>
              <w:t>基金的投资组合比例为：本基金投资于经中国证监会依法核准或注册的公开募集的基金份额的资产占基金资产的比例不低于80%。本基金投资于股票、存托凭证、股票型基金（含股票型指数基金）、偏股混合型基金等权益类资产合计占基金资产的比例为5%-30%，投资于QDII基金和香港互认基金的资产占基金资产的比例不高于20%，投资于货币市场基金的资产占基金资产的比例不高于15%。本基金投资于港股通标的股票的比例占股票资产的0%-50%。本基金应当保持不低于基金资产净值5%的现金或者到期日在一年以内的政府债券；其中，现金不包括结算备付金、存出保证金、应收申购款等。其中，计入上述权益类资产的偏股混合型基金需符合下列两个条件之一：1、基金合同约定股票及存托凭证资产投资比例不低于基金资产60%的混合型基金；2、根据基金披露的定期报告，最近四个季度股票及存托凭证资产占基金资产比例均不低于60%的混合型基金。如果法律法规或监管机构对该比例要求有变更的，在履行适当程序后，以变更后的比例为准，本基金的投资比例会做相应调整。</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在对宏观经济、政策环境、利率走势、资金供给以及证券市场的现状及发展趋势等因素进行深入分析研究的基础上，动态配置权益类资产、固定收益类资产以及现金类资产等大类资产之间的比例。在基金投资方面，本基金采用定量分析和定性分析相结合的方式，一方面通过严格的量化规则筛选有潜在投资价值的标的纳入研究范围，另一方面结合所选基金的基金管理人的基本情况和投研文化等定性因素进行二次研判，双重维度力求筛选出中长期业绩稳定的优秀基金；在债券投资方面，本基金将基于对国内外宏观经济形势的深入分析、国内财政政策与货币政策等因素对债券市场的影响，进行合理的利率预期，判断债券市场的基本走势，制定久期控制下的资产类属配置策略；在股票投资方面，本基金注重控制股票市场下跌风险，力求分享股票市场成长收益。本基金的可转换债券（含分离交易可转债）及可交换债券投资策略、资产支持证券投资策略、港股通标的证券投资策略、存托凭证投资策略和公募REITs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中证偏股型基金指数收益率×10%+中证纯债债券型基金指数收益率×82%+上海黄金交易所Au99.99现货实盘合约收益率×3%+银行人民币活期存款利率(税后)×5%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中基金，在通常情况下其预期收益及预期风险水平高于债券型基金、货币市场基金、债券型基金中基金和货币型基金中基金，低于股票型基金和股票型基金中基金。本基金投资港股通标的证券的，需承担港股通机制下因投资环境、投资标的、市场制度以及交易规则等差异带来的特有风险。</w:t>
            </w:r>
          </w:p>
        </w:tc>
      </w:tr>
    </w:tbl>
    <w:p w:rsidR="00E10111" w:rsidRPr="00AA62CC" w:rsidRDefault="008B72D1" w:rsidP="00E10111">
      <w:pPr>
        <w:adjustRightInd w:val="0"/>
        <w:snapToGrid w:val="0"/>
        <w:spacing w:beforeLines="20" w:before="87" w:line="288" w:lineRule="auto"/>
        <w:rPr>
          <w:rFonts w:cs="方正仿宋简体"/>
          <w:iCs/>
          <w:szCs w:val="21"/>
        </w:rPr>
      </w:pPr>
      <w:r>
        <w:rPr>
          <w:rFonts w:cs="方正仿宋简体" w:hint="eastAsia"/>
          <w:iCs/>
          <w:szCs w:val="21"/>
        </w:rPr>
        <w:t>注：详情请阅读《招募说明书》中“基金的投资”章节的相关内容。</w:t>
      </w:r>
    </w:p>
    <w:p w:rsidR="006F366F" w:rsidRPr="00A14942" w:rsidRDefault="006F366F" w:rsidP="000776C8">
      <w:pPr>
        <w:pStyle w:val="1"/>
      </w:pPr>
      <w:r w:rsidRPr="00A14942">
        <w:rPr>
          <w:rFonts w:hint="eastAsia"/>
        </w:rPr>
        <w:t>投资本基金涉及的费用</w:t>
      </w:r>
    </w:p>
    <w:p w:rsidR="00D5603D" w:rsidRDefault="00A535E9" w:rsidP="000776C8">
      <w:pPr>
        <w:pStyle w:val="2"/>
        <w:numPr>
          <w:ilvl w:val="1"/>
          <w:numId w:val="14"/>
        </w:numPr>
      </w:pPr>
      <w:r w:rsidRPr="00ED3BD1">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D97BE2" w:rsidRPr="00165774" w:rsidTr="00B457F0">
        <w:trPr>
          <w:trHeight w:val="340"/>
        </w:trPr>
        <w:tc>
          <w:tcPr>
            <w:tcW w:w="1092"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费用类型</w:t>
            </w:r>
          </w:p>
        </w:tc>
        <w:tc>
          <w:tcPr>
            <w:tcW w:w="1659"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金额（M）</w:t>
            </w:r>
            <w:r w:rsidR="00A7537D" w:rsidRPr="00BA55B0">
              <w:rPr>
                <w:rFonts w:hint="eastAsia"/>
              </w:rPr>
              <w:t>/</w:t>
            </w:r>
            <w:r w:rsidR="003134F0" w:rsidRPr="00BA55B0">
              <w:rPr>
                <w:rFonts w:hint="eastAsia"/>
              </w:rPr>
              <w:t>持有期限（N）</w:t>
            </w:r>
          </w:p>
        </w:tc>
        <w:tc>
          <w:tcPr>
            <w:tcW w:w="1125"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费率（普通客户）</w:t>
            </w:r>
          </w:p>
        </w:tc>
        <w:tc>
          <w:tcPr>
            <w:tcW w:w="1124"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费率（特定客户）</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认购费</w:t>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0.6%</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0.06%</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0.2%</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0.02%</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FFFFFF"/>
            <w:vAlign w:val="center"/>
          </w:tcPr>
          <w:p>
            <w:pPr>
              <w:adjustRightInd w:val="0"/>
              <w:snapToGrid w:val="0"/>
              <w:jc w:val="center"/>
              <w:rPr>
                <w:rFonts w:cs="方正仿宋简体"/>
                <w:iCs/>
                <w:szCs w:val="21"/>
              </w:rPr>
            </w:pPr>
            <w:r>
              <w:rPr>
                <w:rFonts w:cs="方正仿宋简体"/>
                <w:iCs/>
                <w:szCs w:val="21"/>
              </w:rPr>
              <w:t>1000元/笔</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申购费（前端）</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0.8%</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0.08%</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0.4%</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0.04%</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c>
          <w:tcPr>
            <w:tcW w:w="1124" w:type="pct"/>
            <w:shd w:val="clear" w:color="auto" w:fill="auto"/>
            <w:vAlign w:val="center"/>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赎回费</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w:t>
            </w:r>
          </w:p>
        </w:tc>
      </w:tr>
    </w:tbl>
    <w:bookmarkEnd w:id="11" w:displacedByCustomXml="next"/>
    <w:p>
      <w:pPr>
        <w:widowControl w:val="0"/>
        <w:adjustRightInd w:val="0"/>
        <w:snapToGrid w:val="0"/>
        <w:spacing w:beforeLines="20" w:before="87" w:line="288" w:lineRule="auto"/>
        <w:jc w:val="both"/>
        <w:rPr>
          <w:rFonts w:cs="方正仿宋简体"/>
          <w:iCs/>
          <w:szCs w:val="21"/>
        </w:rPr>
      </w:pPr>
      <w:r>
        <w:rPr>
          <w:rFonts w:cs="方正仿宋简体"/>
          <w:iCs/>
          <w:szCs w:val="21"/>
        </w:rPr>
        <w:t>注：以上费用在投资者认购/申购/赎回基金过程中收取，特定客户的具体含义请见《招募说明书》相关内容。</w:t>
      </w:r>
    </w:p>
    <w:p w:rsidR="00956AC1" w:rsidRDefault="00A535E9" w:rsidP="000776C8">
      <w:pPr>
        <w:pStyle w:val="2"/>
      </w:pPr>
      <w:r w:rsidRPr="00ED3BD1">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728"/>
        <w:gridCol w:w="2318"/>
      </w:tblGrid>
      <w:tr>
        <w:tc>
          <w:tcPr>
            <w:tcW w:w="1984" w:type="dxa"/>
            <w:shd w:val="clear" w:color="auto" w:fill="auto"/>
            <w:vAlign w:val="center"/>
          </w:tcPr>
          <w:p>
            <w:pPr>
              <w:pStyle w:val="ae"/>
              <w:spacing w:beforeLines="10" w:before="43" w:line="264" w:lineRule="auto"/>
              <w:contextualSpacing w:val="0"/>
              <w:jc w:val="center"/>
            </w:pPr>
            <w:r>
              <w:t>费用类别</w:t>
            </w:r>
          </w:p>
        </w:tc>
        <w:tc>
          <w:tcPr>
            <w:tcW w:w="4566" w:type="dxa"/>
            <w:shd w:val="clear" w:color="auto" w:fill="auto"/>
            <w:vAlign w:val="center"/>
          </w:tcPr>
          <w:p>
            <w:pPr>
              <w:pStyle w:val="ae"/>
              <w:spacing w:beforeLines="10" w:before="43" w:line="264" w:lineRule="auto"/>
              <w:contextualSpacing w:val="0"/>
              <w:jc w:val="center"/>
            </w:pPr>
            <w:r>
              <w:rPr>
                <w:rFonts w:hint="eastAsia"/>
              </w:rPr>
              <w:t>年费率/收费方式</w:t>
            </w:r>
          </w:p>
        </w:tc>
        <w:tc>
          <w:tcPr>
            <w:tcW w:w="2239" w:type="dxa"/>
            <w:shd w:val="clear" w:color="auto" w:fill="auto"/>
            <w:vAlign w:val="center"/>
          </w:tcPr>
          <w:p>
            <w:pPr>
              <w:pStyle w:val="ae"/>
              <w:spacing w:beforeLines="10" w:before="43" w:line="264" w:lineRule="auto"/>
              <w:contextualSpacing w:val="0"/>
              <w:jc w:val="center"/>
            </w:pPr>
            <w:r>
              <w:rPr>
                <w:rFonts w:hint="eastAsia"/>
              </w:rPr>
              <w:t>收取方</w:t>
            </w:r>
          </w:p>
        </w:tc>
      </w:tr>
      <w:tr>
        <w:tc>
          <w:tcPr>
            <w:tcW w:w="1984" w:type="dxa"/>
            <w:shd w:val="clear" w:color="auto" w:fill="auto"/>
            <w:vAlign w:val="center"/>
          </w:tcPr>
          <w:p>
            <w:pPr>
              <w:pStyle w:val="ae"/>
              <w:spacing w:beforeLines="10" w:before="43" w:line="264" w:lineRule="auto"/>
              <w:contextualSpacing w:val="0"/>
              <w:jc w:val="center"/>
            </w:pPr>
            <w:r>
              <w:t>管理费</w:t>
            </w:r>
          </w:p>
        </w:tc>
        <w:tc>
          <w:tcPr>
            <w:tcW w:w="4566" w:type="dxa"/>
            <w:shd w:val="clear" w:color="auto" w:fill="auto"/>
            <w:vAlign w:val="center"/>
          </w:tcPr>
          <w:p>
            <w:pPr>
              <w:pStyle w:val="ae"/>
              <w:spacing w:beforeLines="10" w:before="43" w:line="264" w:lineRule="auto"/>
              <w:contextualSpacing w:val="0"/>
            </w:pPr>
            <w:r>
              <w:rPr>
                <w:rFonts w:hint="eastAsia"/>
              </w:rPr>
              <w:t>0.50%</w:t>
            </w:r>
          </w:p>
        </w:tc>
        <w:tc>
          <w:tcPr>
            <w:tcW w:w="2239" w:type="dxa"/>
            <w:shd w:val="clear" w:color="auto" w:fill="auto"/>
            <w:vAlign w:val="center"/>
          </w:tcPr>
          <w:p>
            <w:pPr>
              <w:pStyle w:val="ae"/>
              <w:spacing w:beforeLines="10" w:before="43" w:line="264" w:lineRule="auto"/>
              <w:contextualSpacing w:val="0"/>
              <w:jc w:val="left"/>
            </w:pPr>
            <w:r>
              <w:rPr>
                <w:rFonts w:hint="eastAsia"/>
              </w:rPr>
              <w:t>基金管理人、销售机构</w:t>
            </w:r>
          </w:p>
        </w:tc>
      </w:tr>
      <w:tr>
        <w:tc>
          <w:tcPr>
            <w:tcW w:w="1984" w:type="dxa"/>
            <w:shd w:val="clear" w:color="auto" w:fill="auto"/>
            <w:vAlign w:val="center"/>
          </w:tcPr>
          <w:p>
            <w:pPr>
              <w:pStyle w:val="ae"/>
              <w:spacing w:beforeLines="10" w:before="43" w:line="264" w:lineRule="auto"/>
              <w:contextualSpacing w:val="0"/>
              <w:jc w:val="center"/>
            </w:pPr>
            <w:r>
              <w:t>托管费</w:t>
            </w:r>
          </w:p>
        </w:tc>
        <w:tc>
          <w:tcPr>
            <w:tcW w:w="4566" w:type="dxa"/>
            <w:shd w:val="clear" w:color="auto" w:fill="auto"/>
            <w:vAlign w:val="center"/>
          </w:tcPr>
          <w:p>
            <w:pPr>
              <w:pStyle w:val="ae"/>
              <w:spacing w:beforeLines="10" w:before="43" w:line="264" w:lineRule="auto"/>
              <w:contextualSpacing w:val="0"/>
            </w:pPr>
            <w:r>
              <w:rPr>
                <w:rFonts w:hint="eastAsia"/>
              </w:rPr>
              <w:t>0.10%</w:t>
            </w:r>
          </w:p>
        </w:tc>
        <w:tc>
          <w:tcPr>
            <w:tcW w:w="2239" w:type="dxa"/>
            <w:shd w:val="clear" w:color="auto" w:fill="auto"/>
            <w:vAlign w:val="center"/>
          </w:tcPr>
          <w:p>
            <w:pPr>
              <w:pStyle w:val="ae"/>
              <w:spacing w:beforeLines="10" w:before="43" w:line="264" w:lineRule="auto"/>
              <w:contextualSpacing w:val="0"/>
              <w:jc w:val="left"/>
            </w:pPr>
            <w:r>
              <w:rPr>
                <w:rFonts w:hint="eastAsia"/>
              </w:rPr>
              <w:t>基金托管人</w:t>
            </w:r>
          </w:p>
        </w:tc>
      </w:tr>
    </w:tbl>
    <w:p>
      <w:pPr>
        <w:adjustRightInd w:val="0"/>
        <w:snapToGrid w:val="0"/>
        <w:spacing w:beforeLines="20" w:before="87" w:line="288" w:lineRule="auto"/>
        <w:rPr>
          <w:rFonts w:cs="方正仿宋简体"/>
          <w:iCs/>
          <w:szCs w:val="21"/>
        </w:rPr>
      </w:pPr>
      <w:r>
        <w:rPr>
          <w:rFonts w:cs="方正仿宋简体"/>
          <w:iCs/>
          <w:szCs w:val="21"/>
        </w:rPr>
        <w:t>注：以上费用将从基金资产中扣除；本基金对基金财产中持有的本基金管理人自身管理的基金部分不收取管理费，对基金财产中持有的本基金托管人自身托管的基金部分不收取托管费；本基金交易证券等产生的费用和税负，按实际发生额从基金资产扣除。</w:t>
      </w:r>
    </w:p>
    <w:p w:rsidR="006370B9" w:rsidRPr="00A14942" w:rsidRDefault="006370B9" w:rsidP="006370B9">
      <w:pPr>
        <w:pStyle w:val="1"/>
        <w:ind w:left="425" w:hanging="425"/>
      </w:pPr>
      <w:r w:rsidRPr="00A14942">
        <w:rPr>
          <w:rFonts w:hint="eastAsia"/>
        </w:rPr>
        <w:t>风险揭示与重要提示</w:t>
      </w:r>
    </w:p>
    <w:p w:rsidR="006370B9" w:rsidRPr="00006391" w:rsidRDefault="006370B9" w:rsidP="006370B9">
      <w:pPr>
        <w:pStyle w:val="2"/>
        <w:numPr>
          <w:ilvl w:val="1"/>
          <w:numId w:val="18"/>
        </w:numPr>
      </w:pPr>
      <w:r w:rsidRPr="00006391">
        <w:rPr>
          <w:rFonts w:hint="eastAsia"/>
        </w:rPr>
        <w:t>风险揭示</w:t>
      </w:r>
    </w:p>
    <w:p>
      <w:pPr>
        <w:adjustRightInd w:val="0"/>
        <w:snapToGrid w:val="0"/>
        <w:spacing w:line="288" w:lineRule="auto"/>
        <w:ind w:firstLineChars="200" w:firstLine="420"/>
        <w:rPr>
          <w:rFonts w:cs="方正仿宋简体"/>
          <w:iCs/>
          <w:szCs w:val="21"/>
        </w:rPr>
      </w:pPr>
      <w:r>
        <w:rPr>
          <w:rFonts w:cs="方正仿宋简体"/>
          <w:iCs/>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cs="方正仿宋简体"/>
          <w:iCs/>
          <w:szCs w:val="21"/>
        </w:rPr>
      </w:pPr>
      <w:r>
        <w:rPr>
          <w:rFonts w:cs="方正仿宋简体"/>
          <w:iCs/>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cs="方正仿宋简体"/>
          <w:iCs/>
          <w:szCs w:val="21"/>
        </w:rPr>
      </w:pPr>
      <w:r>
        <w:rPr>
          <w:rFonts w:cs="方正仿宋简体"/>
          <w:iCs/>
          <w:szCs w:val="21"/>
        </w:rPr>
        <w:t>本基金的特有风险包括：1、本基金是混合型基金中基金，本基金投资于经中国证监会依法核准或注册的公开募集的基金份额的资产占基金资产的比例不低于80%；本基金投资于股票、存托凭证、股票型基金（含股票型指数基金）、偏股混合型基金等权益类资产合计占基金资产的比例为5%-30%，投资于QDII基金和香港互认基金的资产占基金资产的比例不高于20%，投资于货币市场基金的资产占基金资产的比例不高于15%。本基金存在大类资产配置风险，有可能受到经济周期、市场环境或基金管理人对市场所处的经济周期和产业周期的判断不足等因素的影响，导致基金的大类资产配置比例偏离最优化水平，给基金投资组合的表现带来风险。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在特定时期内低于其他基金。本基金坚持价值和长期投资理念，重视基金投资风险的防范，但是基于投资范围的规定，本基金无法完全规避基金市场、股票市场和债券市场的下跌风险。</w:t>
      </w:r>
    </w:p>
    <w:p>
      <w:pPr>
        <w:adjustRightInd w:val="0"/>
        <w:snapToGrid w:val="0"/>
        <w:spacing w:line="288" w:lineRule="auto"/>
        <w:ind w:firstLineChars="200" w:firstLine="420"/>
        <w:rPr>
          <w:rFonts w:cs="方正仿宋简体"/>
          <w:iCs/>
          <w:szCs w:val="21"/>
        </w:rPr>
      </w:pPr>
      <w:r>
        <w:rPr>
          <w:rFonts w:cs="方正仿宋简体"/>
          <w:iCs/>
          <w:szCs w:val="21"/>
        </w:rPr>
        <w:t>2、投资于其他基金所特有的风险</w:t>
      </w:r>
    </w:p>
    <w:p>
      <w:pPr>
        <w:adjustRightInd w:val="0"/>
        <w:snapToGrid w:val="0"/>
        <w:spacing w:line="288" w:lineRule="auto"/>
        <w:ind w:firstLineChars="200" w:firstLine="420"/>
        <w:rPr>
          <w:rFonts w:cs="方正仿宋简体"/>
          <w:iCs/>
          <w:szCs w:val="21"/>
        </w:rPr>
      </w:pPr>
      <w:r>
        <w:rPr>
          <w:rFonts w:cs="方正仿宋简体"/>
          <w:iCs/>
          <w:szCs w:val="21"/>
        </w:rPr>
        <w:t>本基金投资于其他基金的资产不低于基金资产的80%，由此可能面临被投资基金的业绩风险、赎回资金到账时间较晚的风险、可上市交易基金的二级市场投资风险、被投资基金的运作风险、被投资基金的基金管理人经营风险。</w:t>
      </w:r>
    </w:p>
    <w:p>
      <w:pPr>
        <w:adjustRightInd w:val="0"/>
        <w:snapToGrid w:val="0"/>
        <w:spacing w:line="288" w:lineRule="auto"/>
        <w:ind w:firstLineChars="200" w:firstLine="420"/>
        <w:rPr>
          <w:rFonts w:cs="方正仿宋简体"/>
          <w:iCs/>
          <w:szCs w:val="21"/>
        </w:rPr>
      </w:pPr>
      <w:r>
        <w:rPr>
          <w:rFonts w:cs="方正仿宋简体"/>
          <w:iCs/>
          <w:szCs w:val="21"/>
        </w:rPr>
        <w:t>3、商品基金投资风险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本基金可投资于商品基金（包括商品期货基金和黄金ETF），由此可能间接面临商品价格波动风险、商品期货市场波动风险等投资风险，从而使基金收益水平发生变化，产生风险。</w:t>
      </w:r>
    </w:p>
    <w:p>
      <w:pPr>
        <w:adjustRightInd w:val="0"/>
        <w:snapToGrid w:val="0"/>
        <w:spacing w:line="288" w:lineRule="auto"/>
        <w:ind w:firstLineChars="200" w:firstLine="420"/>
        <w:rPr>
          <w:rFonts w:cs="方正仿宋简体"/>
          <w:iCs/>
          <w:szCs w:val="21"/>
        </w:rPr>
      </w:pPr>
      <w:r>
        <w:rPr>
          <w:rFonts w:cs="方正仿宋简体"/>
          <w:iCs/>
          <w:szCs w:val="21"/>
        </w:rPr>
        <w:t>4、本基金可以投资于港股通标的证券，投资风险包括：</w:t>
      </w:r>
    </w:p>
    <w:p>
      <w:pPr>
        <w:adjustRightInd w:val="0"/>
        <w:snapToGrid w:val="0"/>
        <w:spacing w:line="288" w:lineRule="auto"/>
        <w:ind w:firstLineChars="200" w:firstLine="420"/>
        <w:rPr>
          <w:rFonts w:cs="方正仿宋简体"/>
          <w:iCs/>
          <w:szCs w:val="21"/>
        </w:rPr>
      </w:pPr>
      <w:r>
        <w:rPr>
          <w:rFonts w:cs="方正仿宋简体"/>
          <w:iCs/>
          <w:szCs w:val="21"/>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cs="方正仿宋简体"/>
          <w:iCs/>
          <w:szCs w:val="21"/>
        </w:rPr>
      </w:pPr>
      <w:r>
        <w:rPr>
          <w:rFonts w:cs="方正仿宋简体"/>
          <w:iCs/>
          <w:szCs w:val="21"/>
        </w:rPr>
        <w:t>2）香港市场交易规则有别于内地A股市场规则，此外，在港股通下参与香港证券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cs="方正仿宋简体"/>
          <w:iCs/>
          <w:szCs w:val="21"/>
        </w:rPr>
      </w:pPr>
      <w:r>
        <w:rPr>
          <w:rFonts w:cs="方正仿宋简体"/>
          <w:iCs/>
          <w:szCs w:val="21"/>
        </w:rPr>
        <w:t>3）本基金可根据投资策略需要或不同配置地市场环境的变化，选择将部分基金资产投资于港股通标的证券或选择不将基金资产投资于港股通标的证券，基金资产并非必然投资港股通标的证券。</w:t>
      </w:r>
    </w:p>
    <w:p>
      <w:pPr>
        <w:adjustRightInd w:val="0"/>
        <w:snapToGrid w:val="0"/>
        <w:spacing w:line="288" w:lineRule="auto"/>
        <w:ind w:firstLineChars="200" w:firstLine="420"/>
        <w:rPr>
          <w:rFonts w:cs="方正仿宋简体"/>
          <w:iCs/>
          <w:szCs w:val="21"/>
        </w:rPr>
      </w:pPr>
      <w:r>
        <w:rPr>
          <w:rFonts w:cs="方正仿宋简体"/>
          <w:iCs/>
          <w:szCs w:val="21"/>
        </w:rPr>
        <w:t>4）本基金投资范围包括港股通ETF，可能出现因港股通ETF跟踪标的指数成份证券大幅波动、流动性不佳、受有关场外结构化产品影响、交易异常情形等原因而引起价格较大波动、折溢价率和跟踪误差偏离合理区间等情形，从而导致本基金所持投资组合在资产估值上出现波动增大的风险。</w:t>
      </w:r>
    </w:p>
    <w:p>
      <w:pPr>
        <w:adjustRightInd w:val="0"/>
        <w:snapToGrid w:val="0"/>
        <w:spacing w:line="288" w:lineRule="auto"/>
        <w:ind w:firstLineChars="200" w:firstLine="420"/>
        <w:rPr>
          <w:rFonts w:cs="方正仿宋简体"/>
          <w:iCs/>
          <w:szCs w:val="21"/>
        </w:rPr>
      </w:pPr>
      <w:r>
        <w:rPr>
          <w:rFonts w:cs="方正仿宋简体"/>
          <w:iCs/>
          <w:szCs w:val="21"/>
        </w:rPr>
        <w:t>5、本基金的投资范围包括QDII基金和香港互认基金，因此本基金可能间接面临海外市场风险、汇率风险、法律和政治风险、会计制度风险、税务风险等风险。</w:t>
      </w:r>
    </w:p>
    <w:p>
      <w:pPr>
        <w:adjustRightInd w:val="0"/>
        <w:snapToGrid w:val="0"/>
        <w:spacing w:line="288" w:lineRule="auto"/>
        <w:ind w:firstLineChars="200" w:firstLine="420"/>
        <w:rPr>
          <w:rFonts w:cs="方正仿宋简体"/>
          <w:iCs/>
          <w:szCs w:val="21"/>
        </w:rPr>
      </w:pPr>
      <w:r>
        <w:rPr>
          <w:rFonts w:cs="方正仿宋简体"/>
          <w:iCs/>
          <w:szCs w:val="21"/>
        </w:rPr>
        <w:t>6、存托凭证投资风险</w:t>
      </w:r>
    </w:p>
    <w:p>
      <w:pPr>
        <w:adjustRightInd w:val="0"/>
        <w:snapToGrid w:val="0"/>
        <w:spacing w:line="288" w:lineRule="auto"/>
        <w:ind w:firstLineChars="200" w:firstLine="420"/>
        <w:rPr>
          <w:rFonts w:cs="方正仿宋简体"/>
          <w:iCs/>
          <w:szCs w:val="21"/>
        </w:rPr>
      </w:pPr>
      <w:r>
        <w:rPr>
          <w:rFonts w:cs="方正仿宋简体"/>
          <w:iCs/>
          <w:szCs w:val="21"/>
        </w:rPr>
        <w:t>本基金如投资存托凭证的，在承担境内上市交易股票投资的共同风险外，还将承担与存托凭证、创新企业发行、境外发行人以及交易机制相关的特有风险。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cs="方正仿宋简体"/>
          <w:iCs/>
          <w:szCs w:val="21"/>
        </w:rPr>
      </w:pPr>
      <w:r>
        <w:rPr>
          <w:rFonts w:cs="方正仿宋简体"/>
          <w:iCs/>
          <w:szCs w:val="21"/>
        </w:rPr>
        <w:t>7、投资科创板股票的风险</w:t>
      </w:r>
    </w:p>
    <w:p>
      <w:pPr>
        <w:adjustRightInd w:val="0"/>
        <w:snapToGrid w:val="0"/>
        <w:spacing w:line="288" w:lineRule="auto"/>
        <w:ind w:firstLineChars="200" w:firstLine="420"/>
        <w:rPr>
          <w:rFonts w:cs="方正仿宋简体"/>
          <w:iCs/>
          <w:szCs w:val="21"/>
        </w:rPr>
      </w:pPr>
      <w:r>
        <w:rPr>
          <w:rFonts w:cs="方正仿宋简体"/>
          <w:iCs/>
          <w:szCs w:val="21"/>
        </w:rPr>
        <w:t>基金资产可投资科创板股票，若本基金投资于科创板股票，会面临科创板机制下因投资标的、市场制度以及交易规则等差异带来的特有风险。</w:t>
      </w:r>
    </w:p>
    <w:p>
      <w:pPr>
        <w:adjustRightInd w:val="0"/>
        <w:snapToGrid w:val="0"/>
        <w:spacing w:line="288" w:lineRule="auto"/>
        <w:ind w:firstLineChars="200" w:firstLine="420"/>
        <w:rPr>
          <w:rFonts w:cs="方正仿宋简体"/>
          <w:iCs/>
          <w:szCs w:val="21"/>
        </w:rPr>
      </w:pPr>
      <w:r>
        <w:rPr>
          <w:rFonts w:cs="方正仿宋简体"/>
          <w:iCs/>
          <w:szCs w:val="21"/>
        </w:rPr>
        <w:t>8、公募REITs投资风险</w:t>
      </w:r>
    </w:p>
    <w:p>
      <w:pPr>
        <w:adjustRightInd w:val="0"/>
        <w:snapToGrid w:val="0"/>
        <w:spacing w:line="288" w:lineRule="auto"/>
        <w:ind w:firstLineChars="200" w:firstLine="420"/>
        <w:rPr>
          <w:rFonts w:cs="方正仿宋简体"/>
          <w:iCs/>
          <w:szCs w:val="21"/>
        </w:rPr>
      </w:pPr>
      <w:r>
        <w:rPr>
          <w:rFonts w:cs="方正仿宋简体"/>
          <w:iCs/>
          <w:szCs w:val="21"/>
        </w:rPr>
        <w:t>本基金投资公募REITs可能面临的风险包括但不限于基金价格波动风险、基础设施项目运营风险、基金份额交易价格折溢价风险、流动性风险、终止上市风险、政策调整风险、利益冲突风险。</w:t>
      </w:r>
    </w:p>
    <w:p>
      <w:pPr>
        <w:adjustRightInd w:val="0"/>
        <w:snapToGrid w:val="0"/>
        <w:spacing w:line="288" w:lineRule="auto"/>
        <w:ind w:firstLineChars="200" w:firstLine="420"/>
        <w:rPr>
          <w:rFonts w:cs="方正仿宋简体"/>
          <w:iCs/>
          <w:szCs w:val="21"/>
        </w:rPr>
      </w:pPr>
      <w:r>
        <w:rPr>
          <w:rFonts w:cs="方正仿宋简体"/>
          <w:iCs/>
          <w:szCs w:val="21"/>
        </w:rPr>
        <w:t>9、资产支持证券投资风险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本基金可投资资产支持证券，资产支持证券在国内市场尚处发展初期，具有低流动性、高收益的特征，并存在一定的投资风险。</w:t>
      </w:r>
    </w:p>
    <w:p>
      <w:pPr>
        <w:adjustRightInd w:val="0"/>
        <w:snapToGrid w:val="0"/>
        <w:spacing w:line="288" w:lineRule="auto"/>
        <w:ind w:firstLineChars="200" w:firstLine="420"/>
        <w:rPr>
          <w:rFonts w:cs="方正仿宋简体"/>
          <w:iCs/>
          <w:szCs w:val="21"/>
        </w:rPr>
      </w:pPr>
      <w:r>
        <w:rPr>
          <w:rFonts w:cs="方正仿宋简体"/>
          <w:iCs/>
          <w:szCs w:val="21"/>
        </w:rPr>
        <w:t>10、最短持有期内不能赎回的风险</w:t>
      </w:r>
    </w:p>
    <w:p>
      <w:pPr>
        <w:adjustRightInd w:val="0"/>
        <w:snapToGrid w:val="0"/>
        <w:spacing w:line="288" w:lineRule="auto"/>
        <w:ind w:firstLineChars="200" w:firstLine="420"/>
        <w:rPr>
          <w:rFonts w:cs="方正仿宋简体"/>
          <w:iCs/>
          <w:szCs w:val="21"/>
        </w:rPr>
      </w:pPr>
      <w:r>
        <w:rPr>
          <w:rFonts w:cs="方正仿宋简体"/>
          <w:iCs/>
          <w:szCs w:val="21"/>
        </w:rPr>
        <w:t>基金合同生效后，本基金对每一份认购/申购/转换转入的基金份额分别计算3个月的“最短持有期”，投资者持有的基金份额自基金合同生效日（对于认购份额而言）或基金份额申购、转换转入确认日（对于申购、转换转入份额而言）3个月后的月度对日（若不存在该对应日期的，则取该月最后一日）的下一个工作日起（含当日）起，方可申请办理赎回或转换转出业务。因此基金份额持有人面临在最短持有期内不能赎回或转换转出基金份额的风险。</w:t>
      </w:r>
    </w:p>
    <w:p w:rsidR="006370B9" w:rsidRPr="00006391" w:rsidRDefault="006370B9" w:rsidP="006370B9">
      <w:pPr>
        <w:pStyle w:val="2"/>
        <w:numPr>
          <w:ilvl w:val="1"/>
          <w:numId w:val="17"/>
        </w:numPr>
      </w:pPr>
      <w:r w:rsidRPr="00006391">
        <w:rPr>
          <w:rFonts w:hint="eastAsia"/>
        </w:rPr>
        <w:t>重要提示</w:t>
      </w:r>
    </w:p>
    <w:p>
      <w:pPr>
        <w:adjustRightInd w:val="0"/>
        <w:snapToGrid w:val="0"/>
        <w:spacing w:line="288" w:lineRule="auto"/>
        <w:ind w:firstLineChars="200" w:firstLine="420"/>
        <w:rPr>
          <w:rFonts w:cs="方正仿宋简体"/>
          <w:iCs/>
          <w:szCs w:val="21"/>
        </w:rPr>
      </w:pPr>
      <w:r>
        <w:rPr>
          <w:rFonts w:cs="方正仿宋简体"/>
          <w:iCs/>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cs="方正仿宋简体"/>
          <w:iCs/>
          <w:szCs w:val="21"/>
        </w:rPr>
      </w:pPr>
      <w:r>
        <w:rPr>
          <w:rFonts w:cs="方正仿宋简体"/>
          <w:iCs/>
          <w:szCs w:val="21"/>
        </w:rPr>
        <w:t>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w:t>
      </w:r>
    </w:p>
    <w:p>
      <w:pPr>
        <w:adjustRightInd w:val="0"/>
        <w:snapToGrid w:val="0"/>
        <w:spacing w:line="288" w:lineRule="auto"/>
        <w:ind w:firstLineChars="200" w:firstLine="420"/>
        <w:rPr>
          <w:rFonts w:cs="方正仿宋简体"/>
          <w:iCs/>
          <w:szCs w:val="21"/>
        </w:rPr>
      </w:pPr>
      <w:r>
        <w:rPr>
          <w:rFonts w:cs="方正仿宋简体"/>
          <w:iCs/>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6370B9" w:rsidRPr="00A14942" w:rsidRDefault="006370B9" w:rsidP="006370B9">
      <w:pPr>
        <w:pStyle w:val="1"/>
        <w:ind w:left="425" w:hanging="425"/>
      </w:pPr>
      <w:r w:rsidRPr="00A14942">
        <w:rPr>
          <w:rFonts w:hint="eastAsia"/>
        </w:rPr>
        <w:t>其他资料查询方式</w:t>
      </w:r>
    </w:p>
    <w:p>
      <w:pPr>
        <w:adjustRightInd w:val="0"/>
        <w:snapToGrid w:val="0"/>
        <w:spacing w:line="288" w:lineRule="auto"/>
        <w:ind w:firstLineChars="200" w:firstLine="420"/>
        <w:rPr>
          <w:rFonts w:cs="方正仿宋简体"/>
          <w:iCs/>
          <w:szCs w:val="21"/>
        </w:rPr>
      </w:pPr>
      <w:r>
        <w:rPr>
          <w:rFonts w:cs="方正仿宋简体"/>
          <w:iCs/>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cs="方正仿宋简体"/>
          <w:iCs/>
          <w:szCs w:val="21"/>
        </w:rPr>
      </w:pPr>
      <w:r>
        <w:rPr>
          <w:rFonts w:cs="方正仿宋简体"/>
          <w:iCs/>
          <w:szCs w:val="21"/>
        </w:rPr>
        <w:t>1.基金合同、托管协议、招募说明书</w:t>
      </w:r>
    </w:p>
    <w:p>
      <w:pPr>
        <w:adjustRightInd w:val="0"/>
        <w:snapToGrid w:val="0"/>
        <w:spacing w:line="288" w:lineRule="auto"/>
        <w:ind w:firstLineChars="200" w:firstLine="420"/>
        <w:rPr>
          <w:rFonts w:cs="方正仿宋简体"/>
          <w:iCs/>
          <w:szCs w:val="21"/>
        </w:rPr>
      </w:pPr>
      <w:r>
        <w:rPr>
          <w:rFonts w:cs="方正仿宋简体"/>
          <w:iCs/>
          <w:szCs w:val="21"/>
        </w:rPr>
        <w:t>2.定期报告，包括基金季度报告、中期报告和年度报告</w:t>
      </w:r>
    </w:p>
    <w:p>
      <w:pPr>
        <w:adjustRightInd w:val="0"/>
        <w:snapToGrid w:val="0"/>
        <w:spacing w:line="288" w:lineRule="auto"/>
        <w:ind w:firstLineChars="200" w:firstLine="420"/>
        <w:rPr>
          <w:rFonts w:cs="方正仿宋简体"/>
          <w:iCs/>
          <w:szCs w:val="21"/>
        </w:rPr>
      </w:pPr>
      <w:r>
        <w:rPr>
          <w:rFonts w:cs="方正仿宋简体"/>
          <w:iCs/>
          <w:szCs w:val="21"/>
        </w:rPr>
        <w:t>3.基金份额净值</w:t>
      </w:r>
    </w:p>
    <w:p>
      <w:pPr>
        <w:adjustRightInd w:val="0"/>
        <w:snapToGrid w:val="0"/>
        <w:spacing w:line="288" w:lineRule="auto"/>
        <w:ind w:firstLineChars="200" w:firstLine="420"/>
        <w:rPr>
          <w:rFonts w:cs="方正仿宋简体"/>
          <w:iCs/>
          <w:szCs w:val="21"/>
        </w:rPr>
      </w:pPr>
      <w:r>
        <w:rPr>
          <w:rFonts w:cs="方正仿宋简体"/>
          <w:iCs/>
          <w:szCs w:val="21"/>
        </w:rPr>
        <w:t>4.基金销售机构及联系方式</w:t>
      </w:r>
    </w:p>
    <w:p>
      <w:pPr>
        <w:adjustRightInd w:val="0"/>
        <w:snapToGrid w:val="0"/>
        <w:spacing w:line="288" w:lineRule="auto"/>
        <w:ind w:firstLineChars="200" w:firstLine="420"/>
        <w:rPr>
          <w:rFonts w:cs="方正仿宋简体"/>
          <w:iCs/>
          <w:szCs w:val="21"/>
        </w:rPr>
      </w:pPr>
      <w:r>
        <w:rPr>
          <w:rFonts w:cs="方正仿宋简体"/>
          <w:iCs/>
          <w:szCs w:val="21"/>
        </w:rPr>
        <w:t>5.其他重要资料</w:t>
      </w:r>
    </w:p>
    <w:sectPr w:rsidR="006370B9" w:rsidRPr="00C21CFB" w:rsidSect="00AD485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2D1" w:rsidRDefault="008B72D1" w:rsidP="00084FBF">
      <w:r>
        <w:separator/>
      </w:r>
    </w:p>
  </w:endnote>
  <w:endnote w:type="continuationSeparator" w:id="0">
    <w:p w:rsidR="008B72D1" w:rsidRDefault="008B72D1"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84068">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84068">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2D1" w:rsidRDefault="008B72D1" w:rsidP="00084FBF">
      <w:r>
        <w:separator/>
      </w:r>
    </w:p>
  </w:footnote>
  <w:footnote w:type="continuationSeparator" w:id="0">
    <w:p w:rsidR="008B72D1" w:rsidRDefault="008B72D1"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1409CC"/>
    <w:multiLevelType w:val="hybridMultilevel"/>
    <w:tmpl w:val="035A1476"/>
    <w:lvl w:ilvl="0" w:tplc="99480BE8">
      <w:start w:val="1"/>
      <w:numFmt w:val="chineseCountingThousand"/>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213A5"/>
    <w:multiLevelType w:val="hybridMultilevel"/>
    <w:tmpl w:val="A8DC98DE"/>
    <w:lvl w:ilvl="0" w:tplc="67C8E684">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E66571"/>
    <w:multiLevelType w:val="multilevel"/>
    <w:tmpl w:val="D868A662"/>
    <w:lvl w:ilvl="0">
      <w:start w:val="1"/>
      <w:numFmt w:val="chineseCountingThousand"/>
      <w:pStyle w:val="1"/>
      <w:suff w:val="space"/>
      <w:lvlText w:val="%1、"/>
      <w:lvlJc w:val="left"/>
      <w:pPr>
        <w:ind w:left="0" w:firstLine="0"/>
      </w:pPr>
      <w:rPr>
        <w:rFonts w:hint="eastAsia"/>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307B2E9D"/>
    <w:multiLevelType w:val="multilevel"/>
    <w:tmpl w:val="3E7A3EF0"/>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4F606D61"/>
    <w:multiLevelType w:val="multilevel"/>
    <w:tmpl w:val="811EEC96"/>
    <w:lvl w:ilvl="0">
      <w:start w:val="1"/>
      <w:numFmt w:val="japaneseCounting"/>
      <w:lvlText w:val="（%1）"/>
      <w:lvlJc w:val="left"/>
      <w:pPr>
        <w:ind w:left="420" w:hanging="420"/>
      </w:pPr>
      <w:rPr>
        <w:rFonts w:hint="default"/>
      </w:rPr>
    </w:lvl>
    <w:lvl w:ilvl="1">
      <w:start w:val="1"/>
      <w:numFmt w:val="chineseCountingThousand"/>
      <w:pStyle w:val="2"/>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5AC33CF0"/>
    <w:multiLevelType w:val="singleLevel"/>
    <w:tmpl w:val="5AC33CF0"/>
    <w:lvl w:ilvl="0">
      <w:start w:val="1"/>
      <w:numFmt w:val="chineseCounting"/>
      <w:suff w:val="nothing"/>
      <w:lvlText w:val="%1、"/>
      <w:lvlJc w:val="left"/>
    </w:lvl>
  </w:abstractNum>
  <w:abstractNum w:abstractNumId="10">
    <w:nsid w:val="5C21FE0E"/>
    <w:multiLevelType w:val="singleLevel"/>
    <w:tmpl w:val="5C21FE0E"/>
    <w:lvl w:ilvl="0">
      <w:start w:val="2"/>
      <w:numFmt w:val="chineseCounting"/>
      <w:suff w:val="nothing"/>
      <w:lvlText w:val="（%1）"/>
      <w:lvlJc w:val="left"/>
    </w:lvl>
  </w:abstractNum>
  <w:abstractNum w:abstractNumId="11">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0"/>
  </w:num>
  <w:num w:numId="4">
    <w:abstractNumId w:val="3"/>
  </w:num>
  <w:num w:numId="5">
    <w:abstractNumId w:val="12"/>
  </w:num>
  <w:num w:numId="6">
    <w:abstractNumId w:val="4"/>
  </w:num>
  <w:num w:numId="7">
    <w:abstractNumId w:val="11"/>
  </w:num>
  <w:num w:numId="8">
    <w:abstractNumId w:val="7"/>
  </w:num>
  <w:num w:numId="9">
    <w:abstractNumId w:val="3"/>
  </w:num>
  <w:num w:numId="10">
    <w:abstractNumId w:val="2"/>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grammar="clean"/>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D"/>
    <w:rsid w:val="00005219"/>
    <w:rsid w:val="00011D44"/>
    <w:rsid w:val="00013020"/>
    <w:rsid w:val="00020BC0"/>
    <w:rsid w:val="00022545"/>
    <w:rsid w:val="000232C6"/>
    <w:rsid w:val="00036483"/>
    <w:rsid w:val="000418D7"/>
    <w:rsid w:val="00042918"/>
    <w:rsid w:val="000477E3"/>
    <w:rsid w:val="00051C0C"/>
    <w:rsid w:val="00053417"/>
    <w:rsid w:val="00064982"/>
    <w:rsid w:val="000776C8"/>
    <w:rsid w:val="000827C1"/>
    <w:rsid w:val="00084FBF"/>
    <w:rsid w:val="000A7B26"/>
    <w:rsid w:val="000C530A"/>
    <w:rsid w:val="000D10B4"/>
    <w:rsid w:val="000D218F"/>
    <w:rsid w:val="000D57C1"/>
    <w:rsid w:val="001000DB"/>
    <w:rsid w:val="00106AF7"/>
    <w:rsid w:val="00120CE6"/>
    <w:rsid w:val="00124B97"/>
    <w:rsid w:val="0013684A"/>
    <w:rsid w:val="00142362"/>
    <w:rsid w:val="00151E19"/>
    <w:rsid w:val="00154E3B"/>
    <w:rsid w:val="00162B21"/>
    <w:rsid w:val="00165774"/>
    <w:rsid w:val="00186F72"/>
    <w:rsid w:val="00196B69"/>
    <w:rsid w:val="001A1651"/>
    <w:rsid w:val="001A78ED"/>
    <w:rsid w:val="001A7B4D"/>
    <w:rsid w:val="001C35F9"/>
    <w:rsid w:val="001C6EE3"/>
    <w:rsid w:val="001C7BFB"/>
    <w:rsid w:val="001E5192"/>
    <w:rsid w:val="001E7595"/>
    <w:rsid w:val="001F6EBF"/>
    <w:rsid w:val="002060B7"/>
    <w:rsid w:val="00235084"/>
    <w:rsid w:val="00237E86"/>
    <w:rsid w:val="00240B15"/>
    <w:rsid w:val="00257D13"/>
    <w:rsid w:val="00257FDD"/>
    <w:rsid w:val="00275953"/>
    <w:rsid w:val="00286D86"/>
    <w:rsid w:val="00290A40"/>
    <w:rsid w:val="00295B43"/>
    <w:rsid w:val="002C27FD"/>
    <w:rsid w:val="002D0197"/>
    <w:rsid w:val="002D37DC"/>
    <w:rsid w:val="002D42AF"/>
    <w:rsid w:val="002D4A95"/>
    <w:rsid w:val="002D7116"/>
    <w:rsid w:val="0030389D"/>
    <w:rsid w:val="003134F0"/>
    <w:rsid w:val="00315D72"/>
    <w:rsid w:val="00327F91"/>
    <w:rsid w:val="00337FB1"/>
    <w:rsid w:val="00347591"/>
    <w:rsid w:val="003504A0"/>
    <w:rsid w:val="003539CD"/>
    <w:rsid w:val="0035634C"/>
    <w:rsid w:val="00360C64"/>
    <w:rsid w:val="003652C5"/>
    <w:rsid w:val="00373E2A"/>
    <w:rsid w:val="00377863"/>
    <w:rsid w:val="003A2DC6"/>
    <w:rsid w:val="003A5D1B"/>
    <w:rsid w:val="003B35F0"/>
    <w:rsid w:val="003C4AB4"/>
    <w:rsid w:val="003E23FE"/>
    <w:rsid w:val="003E480C"/>
    <w:rsid w:val="003F7FAE"/>
    <w:rsid w:val="004023B8"/>
    <w:rsid w:val="0041084F"/>
    <w:rsid w:val="00417D05"/>
    <w:rsid w:val="004246E6"/>
    <w:rsid w:val="0043556E"/>
    <w:rsid w:val="00455495"/>
    <w:rsid w:val="0046074E"/>
    <w:rsid w:val="00480EB1"/>
    <w:rsid w:val="004A428B"/>
    <w:rsid w:val="004C1AD1"/>
    <w:rsid w:val="004C1DD8"/>
    <w:rsid w:val="004C4CD9"/>
    <w:rsid w:val="004E1601"/>
    <w:rsid w:val="004E7FF3"/>
    <w:rsid w:val="005147EF"/>
    <w:rsid w:val="00530C6C"/>
    <w:rsid w:val="005354AA"/>
    <w:rsid w:val="00542A87"/>
    <w:rsid w:val="0055000C"/>
    <w:rsid w:val="00555D8A"/>
    <w:rsid w:val="00556076"/>
    <w:rsid w:val="00561D0D"/>
    <w:rsid w:val="00571244"/>
    <w:rsid w:val="00571DAB"/>
    <w:rsid w:val="00575E82"/>
    <w:rsid w:val="005856EF"/>
    <w:rsid w:val="005925E3"/>
    <w:rsid w:val="00593075"/>
    <w:rsid w:val="00593E9D"/>
    <w:rsid w:val="005A32CA"/>
    <w:rsid w:val="005A489D"/>
    <w:rsid w:val="005B44EB"/>
    <w:rsid w:val="005C1B06"/>
    <w:rsid w:val="005D1E03"/>
    <w:rsid w:val="005D322F"/>
    <w:rsid w:val="005D32D4"/>
    <w:rsid w:val="005D415A"/>
    <w:rsid w:val="005D721D"/>
    <w:rsid w:val="005D72AE"/>
    <w:rsid w:val="005E2DF2"/>
    <w:rsid w:val="005E5E27"/>
    <w:rsid w:val="005E71AC"/>
    <w:rsid w:val="005F5DD9"/>
    <w:rsid w:val="005F6CAD"/>
    <w:rsid w:val="00600EBD"/>
    <w:rsid w:val="00620C7A"/>
    <w:rsid w:val="00626941"/>
    <w:rsid w:val="006370B9"/>
    <w:rsid w:val="00641C70"/>
    <w:rsid w:val="00643E4E"/>
    <w:rsid w:val="00645219"/>
    <w:rsid w:val="00653821"/>
    <w:rsid w:val="00663258"/>
    <w:rsid w:val="00664AC2"/>
    <w:rsid w:val="00670ED5"/>
    <w:rsid w:val="00671DFC"/>
    <w:rsid w:val="00687CB7"/>
    <w:rsid w:val="006C2B49"/>
    <w:rsid w:val="006C5632"/>
    <w:rsid w:val="006D2F59"/>
    <w:rsid w:val="006D5811"/>
    <w:rsid w:val="006F1A17"/>
    <w:rsid w:val="006F2A34"/>
    <w:rsid w:val="006F366F"/>
    <w:rsid w:val="006F6CCD"/>
    <w:rsid w:val="007059E2"/>
    <w:rsid w:val="00712140"/>
    <w:rsid w:val="00724683"/>
    <w:rsid w:val="00732D16"/>
    <w:rsid w:val="00744E9B"/>
    <w:rsid w:val="00764765"/>
    <w:rsid w:val="00766DB6"/>
    <w:rsid w:val="0077109C"/>
    <w:rsid w:val="00773D1E"/>
    <w:rsid w:val="00780D3C"/>
    <w:rsid w:val="00791A62"/>
    <w:rsid w:val="00797D09"/>
    <w:rsid w:val="007F229D"/>
    <w:rsid w:val="007F2FCA"/>
    <w:rsid w:val="007F325A"/>
    <w:rsid w:val="00803F3E"/>
    <w:rsid w:val="00804EB8"/>
    <w:rsid w:val="00820676"/>
    <w:rsid w:val="008215E2"/>
    <w:rsid w:val="00825AC7"/>
    <w:rsid w:val="00861058"/>
    <w:rsid w:val="00861D61"/>
    <w:rsid w:val="00884068"/>
    <w:rsid w:val="008867F2"/>
    <w:rsid w:val="00892D27"/>
    <w:rsid w:val="008B0257"/>
    <w:rsid w:val="008B58DF"/>
    <w:rsid w:val="008B72D1"/>
    <w:rsid w:val="008C1DCE"/>
    <w:rsid w:val="008C4F6A"/>
    <w:rsid w:val="008D1684"/>
    <w:rsid w:val="008D51DC"/>
    <w:rsid w:val="008D6A76"/>
    <w:rsid w:val="008E5B4E"/>
    <w:rsid w:val="008E5ED8"/>
    <w:rsid w:val="008F56AE"/>
    <w:rsid w:val="00922B26"/>
    <w:rsid w:val="009230A7"/>
    <w:rsid w:val="00923525"/>
    <w:rsid w:val="009240F7"/>
    <w:rsid w:val="0095268E"/>
    <w:rsid w:val="00953F87"/>
    <w:rsid w:val="00956AC1"/>
    <w:rsid w:val="00957AF4"/>
    <w:rsid w:val="00996A51"/>
    <w:rsid w:val="009A009A"/>
    <w:rsid w:val="009A3C6C"/>
    <w:rsid w:val="009B06D2"/>
    <w:rsid w:val="009D4653"/>
    <w:rsid w:val="009D7239"/>
    <w:rsid w:val="009E4601"/>
    <w:rsid w:val="009F414C"/>
    <w:rsid w:val="009F438B"/>
    <w:rsid w:val="00A10531"/>
    <w:rsid w:val="00A14942"/>
    <w:rsid w:val="00A21AB8"/>
    <w:rsid w:val="00A35D5E"/>
    <w:rsid w:val="00A379A9"/>
    <w:rsid w:val="00A410CD"/>
    <w:rsid w:val="00A535E9"/>
    <w:rsid w:val="00A554DC"/>
    <w:rsid w:val="00A7537D"/>
    <w:rsid w:val="00A831DA"/>
    <w:rsid w:val="00A90C21"/>
    <w:rsid w:val="00A970AF"/>
    <w:rsid w:val="00AA31CE"/>
    <w:rsid w:val="00AA6735"/>
    <w:rsid w:val="00AC3F57"/>
    <w:rsid w:val="00AD1CF7"/>
    <w:rsid w:val="00AD4857"/>
    <w:rsid w:val="00AE5EB2"/>
    <w:rsid w:val="00AE6F8E"/>
    <w:rsid w:val="00B048B1"/>
    <w:rsid w:val="00B10F72"/>
    <w:rsid w:val="00B40E30"/>
    <w:rsid w:val="00B41430"/>
    <w:rsid w:val="00B457F0"/>
    <w:rsid w:val="00B52380"/>
    <w:rsid w:val="00B73002"/>
    <w:rsid w:val="00BA35E1"/>
    <w:rsid w:val="00BA55B0"/>
    <w:rsid w:val="00BB4F1D"/>
    <w:rsid w:val="00BB6C96"/>
    <w:rsid w:val="00BC2891"/>
    <w:rsid w:val="00BC4EFB"/>
    <w:rsid w:val="00BC6985"/>
    <w:rsid w:val="00BD0E3E"/>
    <w:rsid w:val="00BD240D"/>
    <w:rsid w:val="00BF30B8"/>
    <w:rsid w:val="00C21CFB"/>
    <w:rsid w:val="00C50D1E"/>
    <w:rsid w:val="00C8249E"/>
    <w:rsid w:val="00C93F0E"/>
    <w:rsid w:val="00CA07A1"/>
    <w:rsid w:val="00CA6633"/>
    <w:rsid w:val="00CE2847"/>
    <w:rsid w:val="00CF7532"/>
    <w:rsid w:val="00CF7ECD"/>
    <w:rsid w:val="00D13550"/>
    <w:rsid w:val="00D3709A"/>
    <w:rsid w:val="00D37428"/>
    <w:rsid w:val="00D41EF3"/>
    <w:rsid w:val="00D52D8E"/>
    <w:rsid w:val="00D5603D"/>
    <w:rsid w:val="00D964EC"/>
    <w:rsid w:val="00D97BE2"/>
    <w:rsid w:val="00DA42C1"/>
    <w:rsid w:val="00DA4545"/>
    <w:rsid w:val="00DA6330"/>
    <w:rsid w:val="00DB07FB"/>
    <w:rsid w:val="00DB5927"/>
    <w:rsid w:val="00DB6C2B"/>
    <w:rsid w:val="00DC28DE"/>
    <w:rsid w:val="00DC4285"/>
    <w:rsid w:val="00DD5F15"/>
    <w:rsid w:val="00DE25AF"/>
    <w:rsid w:val="00E05193"/>
    <w:rsid w:val="00E10111"/>
    <w:rsid w:val="00E12C12"/>
    <w:rsid w:val="00E150B7"/>
    <w:rsid w:val="00E1562C"/>
    <w:rsid w:val="00E16037"/>
    <w:rsid w:val="00E26663"/>
    <w:rsid w:val="00E31F9B"/>
    <w:rsid w:val="00E40601"/>
    <w:rsid w:val="00E5471F"/>
    <w:rsid w:val="00E54AFC"/>
    <w:rsid w:val="00E9097A"/>
    <w:rsid w:val="00EA07C2"/>
    <w:rsid w:val="00EC1B37"/>
    <w:rsid w:val="00EC6D81"/>
    <w:rsid w:val="00EC722A"/>
    <w:rsid w:val="00ED3BD1"/>
    <w:rsid w:val="00ED45C6"/>
    <w:rsid w:val="00ED6A6A"/>
    <w:rsid w:val="00EE02CA"/>
    <w:rsid w:val="00EF3E83"/>
    <w:rsid w:val="00EF447B"/>
    <w:rsid w:val="00F0044B"/>
    <w:rsid w:val="00F01742"/>
    <w:rsid w:val="00F01D71"/>
    <w:rsid w:val="00F06C60"/>
    <w:rsid w:val="00F1019B"/>
    <w:rsid w:val="00F216B8"/>
    <w:rsid w:val="00F24B93"/>
    <w:rsid w:val="00F26678"/>
    <w:rsid w:val="00F376D4"/>
    <w:rsid w:val="00F6203B"/>
    <w:rsid w:val="00F62ED2"/>
    <w:rsid w:val="00F64027"/>
    <w:rsid w:val="00F90BB2"/>
    <w:rsid w:val="00F974C8"/>
    <w:rsid w:val="00FD37D2"/>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9589636ab0c8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25A"/>
    <w:rPr>
      <w:rFonts w:ascii="宋体" w:hAnsi="宋体"/>
      <w:kern w:val="2"/>
      <w:sz w:val="21"/>
    </w:rPr>
  </w:style>
  <w:style w:type="paragraph" w:styleId="1">
    <w:name w:val="heading 1"/>
    <w:basedOn w:val="a0"/>
    <w:next w:val="a"/>
    <w:link w:val="1Char"/>
    <w:uiPriority w:val="9"/>
    <w:qFormat/>
    <w:rsid w:val="000776C8"/>
    <w:pPr>
      <w:keepNext/>
      <w:keepLines/>
      <w:widowControl w:val="0"/>
      <w:numPr>
        <w:numId w:val="4"/>
      </w:numPr>
      <w:adjustRightInd w:val="0"/>
      <w:snapToGrid w:val="0"/>
      <w:spacing w:beforeLines="30" w:before="130" w:afterLines="30" w:after="130"/>
      <w:ind w:firstLineChars="0"/>
      <w:jc w:val="both"/>
      <w:outlineLvl w:val="0"/>
    </w:pPr>
    <w:rPr>
      <w:b/>
      <w:bCs/>
      <w:kern w:val="44"/>
      <w:sz w:val="24"/>
      <w:szCs w:val="44"/>
    </w:rPr>
  </w:style>
  <w:style w:type="paragraph" w:styleId="2">
    <w:name w:val="heading 2"/>
    <w:basedOn w:val="a"/>
    <w:next w:val="a"/>
    <w:link w:val="2Char"/>
    <w:uiPriority w:val="9"/>
    <w:unhideWhenUsed/>
    <w:qFormat/>
    <w:rsid w:val="000776C8"/>
    <w:pPr>
      <w:widowControl w:val="0"/>
      <w:numPr>
        <w:ilvl w:val="1"/>
        <w:numId w:val="11"/>
      </w:numPr>
      <w:adjustRightInd w:val="0"/>
      <w:snapToGrid w:val="0"/>
      <w:spacing w:beforeLines="20" w:before="87" w:afterLines="20" w:after="87"/>
      <w:jc w:val="both"/>
      <w:outlineLvl w:val="1"/>
    </w:pPr>
    <w:rPr>
      <w:rFonts w:cs="方正仿宋简体"/>
      <w:b/>
      <w:iCs/>
      <w:sz w:val="22"/>
      <w:szCs w:val="24"/>
    </w:rPr>
  </w:style>
  <w:style w:type="paragraph" w:styleId="3">
    <w:name w:val="heading 3"/>
    <w:basedOn w:val="a"/>
    <w:next w:val="a"/>
    <w:link w:val="3Char"/>
    <w:uiPriority w:val="9"/>
    <w:semiHidden/>
    <w:unhideWhenUsed/>
    <w:qFormat/>
    <w:rsid w:val="00561D0D"/>
    <w:pPr>
      <w:keepNext/>
      <w:keepLines/>
      <w:widowControl w:val="0"/>
      <w:numPr>
        <w:numId w:val="19"/>
      </w:numPr>
      <w:spacing w:before="260" w:after="260" w:line="416" w:lineRule="auto"/>
      <w:jc w:val="both"/>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脚注文本 Char"/>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7"/>
    <w:uiPriority w:val="99"/>
    <w:rsid w:val="00084FBF"/>
    <w:rPr>
      <w:rFonts w:ascii="Times New Roman" w:eastAsia="方正仿宋简体" w:hAnsi="Times New Roman"/>
      <w:sz w:val="32"/>
    </w:rPr>
  </w:style>
  <w:style w:type="paragraph" w:styleId="a4">
    <w:name w:val="footnote text"/>
    <w:basedOn w:val="a"/>
    <w:link w:val="Char"/>
    <w:unhideWhenUsed/>
    <w:qFormat/>
    <w:rsid w:val="00084FBF"/>
    <w:pPr>
      <w:snapToGrid w:val="0"/>
    </w:pPr>
    <w:rPr>
      <w:rFonts w:ascii="Calibri"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7">
    <w:name w:val="annotation text"/>
    <w:basedOn w:val="a"/>
    <w:link w:val="Char0"/>
    <w:uiPriority w:val="99"/>
    <w:unhideWhenUsed/>
    <w:rsid w:val="00084FBF"/>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8">
    <w:name w:val="Balloon Text"/>
    <w:basedOn w:val="a"/>
    <w:link w:val="Char2"/>
    <w:uiPriority w:val="99"/>
    <w:semiHidden/>
    <w:unhideWhenUsed/>
    <w:rsid w:val="00084FBF"/>
    <w:rPr>
      <w:sz w:val="18"/>
      <w:szCs w:val="18"/>
    </w:rPr>
  </w:style>
  <w:style w:type="character" w:customStyle="1" w:styleId="Char2">
    <w:name w:val="批注框文本 Char"/>
    <w:link w:val="a8"/>
    <w:uiPriority w:val="99"/>
    <w:semiHidden/>
    <w:rsid w:val="00084FBF"/>
    <w:rPr>
      <w:rFonts w:ascii="Times New Roman" w:eastAsia="方正仿宋简体" w:hAnsi="Times New Roman" w:cs="Times New Roman"/>
      <w:sz w:val="18"/>
      <w:szCs w:val="18"/>
    </w:rPr>
  </w:style>
  <w:style w:type="paragraph" w:styleId="a0">
    <w:name w:val="List Paragraph"/>
    <w:basedOn w:val="a"/>
    <w:uiPriority w:val="34"/>
    <w:qFormat/>
    <w:rsid w:val="006F366F"/>
    <w:pPr>
      <w:ind w:firstLineChars="200" w:firstLine="420"/>
    </w:pPr>
  </w:style>
  <w:style w:type="table" w:styleId="a9">
    <w:name w:val="Table Grid"/>
    <w:basedOn w:val="a2"/>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spacing w:before="100" w:beforeAutospacing="1" w:after="100" w:afterAutospacing="1"/>
    </w:pPr>
    <w:rPr>
      <w:rFonts w:cs="宋体"/>
      <w:kern w:val="0"/>
      <w:sz w:val="24"/>
      <w:szCs w:val="24"/>
    </w:rPr>
  </w:style>
  <w:style w:type="paragraph" w:styleId="ab">
    <w:name w:val="annotation subject"/>
    <w:basedOn w:val="a7"/>
    <w:next w:val="a7"/>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0776C8"/>
    <w:rPr>
      <w:rFonts w:ascii="宋体" w:hAnsi="宋体"/>
      <w:b/>
      <w:bCs/>
      <w:kern w:val="44"/>
      <w:sz w:val="24"/>
      <w:szCs w:val="44"/>
    </w:rPr>
  </w:style>
  <w:style w:type="character" w:customStyle="1" w:styleId="2Char">
    <w:name w:val="标题 2 Char"/>
    <w:link w:val="2"/>
    <w:uiPriority w:val="9"/>
    <w:rsid w:val="000776C8"/>
    <w:rPr>
      <w:rFonts w:ascii="宋体" w:hAnsi="宋体" w:cs="方正仿宋简体"/>
      <w:b/>
      <w:iCs/>
      <w:kern w:val="2"/>
      <w:sz w:val="22"/>
      <w:szCs w:val="24"/>
    </w:rPr>
  </w:style>
  <w:style w:type="paragraph" w:styleId="ae">
    <w:name w:val="No Spacing"/>
    <w:basedOn w:val="a"/>
    <w:uiPriority w:val="1"/>
    <w:qFormat/>
    <w:rsid w:val="00ED3BD1"/>
    <w:pPr>
      <w:widowControl w:val="0"/>
      <w:adjustRightInd w:val="0"/>
      <w:snapToGrid w:val="0"/>
      <w:spacing w:beforeLines="20" w:before="87" w:line="288" w:lineRule="auto"/>
      <w:contextualSpacing/>
      <w:jc w:val="both"/>
    </w:pPr>
  </w:style>
  <w:style w:type="character" w:styleId="af">
    <w:name w:val="Placeholder Text"/>
    <w:basedOn w:val="a1"/>
    <w:uiPriority w:val="99"/>
    <w:semiHidden/>
    <w:rsid w:val="005D1E03"/>
    <w:rPr>
      <w:color w:val="808080"/>
    </w:rPr>
  </w:style>
  <w:style w:type="character" w:customStyle="1" w:styleId="3Char">
    <w:name w:val="标题 3 Char"/>
    <w:basedOn w:val="a1"/>
    <w:link w:val="3"/>
    <w:uiPriority w:val="9"/>
    <w:semiHidden/>
    <w:rsid w:val="00561D0D"/>
    <w:rPr>
      <w:rFonts w:ascii="宋体" w:hAnsi="宋体"/>
      <w:b/>
      <w:bCs/>
      <w:kern w:val="2"/>
      <w:sz w:val="24"/>
      <w:szCs w:val="32"/>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A.dotx" TargetMode="External" Id="R9589636ab0c8490d"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0B0F15BD-3020-4396-B53A-3DF258BA3896}"/>
      </w:docPartPr>
      <w:docPartBody>
        <w:p w:rsidR="00193E14" w:rsidRDefault="00236B4F">
          <w:r w:rsidRPr="00DE286C">
            <w:rPr>
              <w:rStyle w:val="a3"/>
              <w:rFonts w:hint="eastAsia"/>
            </w:rPr>
            <w:t>单击此处输入文字。</w:t>
          </w:r>
        </w:p>
      </w:docPartBody>
    </w:docPart>
    <w:docPart>
      <w:docPartPr>
        <w:name w:val="6DFE9B50E1754663BC792DB0159E621F"/>
        <w:category>
          <w:name w:val="常规"/>
          <w:gallery w:val="placeholder"/>
        </w:category>
        <w:types>
          <w:type w:val="bbPlcHdr"/>
        </w:types>
        <w:behaviors>
          <w:behavior w:val="content"/>
        </w:behaviors>
        <w:guid w:val="{82B53E3C-7E1C-4E31-8A75-936D0B03F513}"/>
      </w:docPartPr>
      <w:docPartBody>
        <w:p w:rsidR="00193E14" w:rsidRDefault="00236B4F" w:rsidP="00236B4F">
          <w:pPr>
            <w:pStyle w:val="6DFE9B50E1754663BC792DB0159E621F"/>
          </w:pPr>
          <w:r w:rsidRPr="00270D03">
            <w:rPr>
              <w:rStyle w:val="a3"/>
              <w:rFonts w:hint="eastAsia"/>
            </w:rPr>
            <w:t>单击此处输入文字。</w:t>
          </w:r>
        </w:p>
      </w:docPartBody>
    </w:docPart>
    <w:docPart>
      <w:docPartPr>
        <w:name w:val="ECAAA645E46A4539A5B8969496418767"/>
        <w:category>
          <w:name w:val="常规"/>
          <w:gallery w:val="placeholder"/>
        </w:category>
        <w:types>
          <w:type w:val="bbPlcHdr"/>
        </w:types>
        <w:behaviors>
          <w:behavior w:val="content"/>
        </w:behaviors>
        <w:guid w:val="{28EAC0B9-A076-4F86-BAC6-BDF7368277D4}"/>
      </w:docPartPr>
      <w:docPartBody>
        <w:p w:rsidR="00193E14" w:rsidRDefault="00236B4F" w:rsidP="00236B4F">
          <w:pPr>
            <w:pStyle w:val="ECAAA645E46A4539A5B8969496418767"/>
          </w:pPr>
          <w:r w:rsidRPr="00270D03">
            <w:rPr>
              <w:rStyle w:val="a3"/>
              <w:rFonts w:hint="eastAsia"/>
            </w:rPr>
            <w:t>单击此处输入文字。</w:t>
          </w:r>
        </w:p>
      </w:docPartBody>
    </w:docPart>
    <w:docPart>
      <w:docPartPr>
        <w:name w:val="31478744214A4BC2A3D63117CD9A799C"/>
        <w:category>
          <w:name w:val="常规"/>
          <w:gallery w:val="placeholder"/>
        </w:category>
        <w:types>
          <w:type w:val="bbPlcHdr"/>
        </w:types>
        <w:behaviors>
          <w:behavior w:val="content"/>
        </w:behaviors>
        <w:guid w:val="{AE10B0D0-1E16-412C-A27A-58069277B5D6}"/>
      </w:docPartPr>
      <w:docPartBody>
        <w:p w:rsidR="00193E14" w:rsidRDefault="00236B4F" w:rsidP="00236B4F">
          <w:pPr>
            <w:pStyle w:val="31478744214A4BC2A3D63117CD9A799C"/>
          </w:pPr>
          <w:r w:rsidRPr="00270D03">
            <w:rPr>
              <w:rStyle w:val="a3"/>
              <w:rFonts w:hint="eastAsia"/>
            </w:rPr>
            <w:t>单击此处输入文字。</w:t>
          </w:r>
        </w:p>
      </w:docPartBody>
    </w:docPart>
    <w:docPart>
      <w:docPartPr>
        <w:name w:val="DE12C3EE1B1C4A2E853584D403553087"/>
        <w:category>
          <w:name w:val="常规"/>
          <w:gallery w:val="placeholder"/>
        </w:category>
        <w:types>
          <w:type w:val="bbPlcHdr"/>
        </w:types>
        <w:behaviors>
          <w:behavior w:val="content"/>
        </w:behaviors>
        <w:guid w:val="{775ACB11-F91E-40A0-9763-F33E36C19173}"/>
      </w:docPartPr>
      <w:docPartBody>
        <w:p w:rsidR="00193E14" w:rsidRDefault="00236B4F" w:rsidP="00236B4F">
          <w:pPr>
            <w:pStyle w:val="DE12C3EE1B1C4A2E853584D403553087"/>
          </w:pPr>
          <w:r w:rsidRPr="00270D03">
            <w:rPr>
              <w:rStyle w:val="a3"/>
              <w:rFonts w:hint="eastAsia"/>
            </w:rPr>
            <w:t>单击此处输入文字。</w:t>
          </w:r>
        </w:p>
      </w:docPartBody>
    </w:docPart>
    <w:docPart>
      <w:docPartPr>
        <w:name w:val="015D2D973B584C438A004C15F186A279"/>
        <w:category>
          <w:name w:val="常规"/>
          <w:gallery w:val="placeholder"/>
        </w:category>
        <w:types>
          <w:type w:val="bbPlcHdr"/>
        </w:types>
        <w:behaviors>
          <w:behavior w:val="content"/>
        </w:behaviors>
        <w:guid w:val="{E82E57E1-7C4C-4469-B565-0BBAECFD3BD3}"/>
      </w:docPartPr>
      <w:docPartBody>
        <w:p w:rsidR="00193E14" w:rsidRDefault="00236B4F" w:rsidP="00236B4F">
          <w:pPr>
            <w:pStyle w:val="015D2D973B584C438A004C15F186A279"/>
          </w:pPr>
          <w:r w:rsidRPr="00270D03">
            <w:rPr>
              <w:rStyle w:val="a3"/>
              <w:rFonts w:hint="eastAsia"/>
            </w:rPr>
            <w:t>单击此处输入文字。</w:t>
          </w:r>
        </w:p>
      </w:docPartBody>
    </w:docPart>
    <w:docPart>
      <w:docPartPr>
        <w:name w:val="D89A75F4739040EB84C767808B14DD28"/>
        <w:category>
          <w:name w:val="常规"/>
          <w:gallery w:val="placeholder"/>
        </w:category>
        <w:types>
          <w:type w:val="bbPlcHdr"/>
        </w:types>
        <w:behaviors>
          <w:behavior w:val="content"/>
        </w:behaviors>
        <w:guid w:val="{4D10FF88-7E3F-4A3E-AF8B-A747806AE3E1}"/>
      </w:docPartPr>
      <w:docPartBody>
        <w:p w:rsidR="00193E14" w:rsidRDefault="00236B4F" w:rsidP="00236B4F">
          <w:pPr>
            <w:pStyle w:val="D89A75F4739040EB84C767808B14DD28"/>
          </w:pPr>
          <w:r w:rsidRPr="00270D03">
            <w:rPr>
              <w:rStyle w:val="a3"/>
              <w:rFonts w:hint="eastAsia"/>
            </w:rPr>
            <w:t>单击此处输入文字。</w:t>
          </w:r>
        </w:p>
      </w:docPartBody>
    </w:docPart>
    <w:docPart>
      <w:docPartPr>
        <w:name w:val="50571351C8234561BD5786224B031756"/>
        <w:category>
          <w:name w:val="常规"/>
          <w:gallery w:val="placeholder"/>
        </w:category>
        <w:types>
          <w:type w:val="bbPlcHdr"/>
        </w:types>
        <w:behaviors>
          <w:behavior w:val="content"/>
        </w:behaviors>
        <w:guid w:val="{F4F24DE5-E76E-4A48-9B69-9952D34A935E}"/>
      </w:docPartPr>
      <w:docPartBody>
        <w:p w:rsidR="00193E14" w:rsidRDefault="00236B4F" w:rsidP="00236B4F">
          <w:pPr>
            <w:pStyle w:val="50571351C8234561BD5786224B031756"/>
          </w:pPr>
          <w:r w:rsidRPr="00270D03">
            <w:rPr>
              <w:rStyle w:val="a3"/>
              <w:rFonts w:hint="eastAsia"/>
            </w:rPr>
            <w:t>单击此处输入文字。</w:t>
          </w:r>
        </w:p>
      </w:docPartBody>
    </w:docPart>
    <w:docPart>
      <w:docPartPr>
        <w:name w:val="4EB2F590BAF64DE09C9EE0898F142F4B"/>
        <w:category>
          <w:name w:val="常规"/>
          <w:gallery w:val="placeholder"/>
        </w:category>
        <w:types>
          <w:type w:val="bbPlcHdr"/>
        </w:types>
        <w:behaviors>
          <w:behavior w:val="content"/>
        </w:behaviors>
        <w:guid w:val="{889BF7C0-6B02-42FA-933F-A1A0CA90E1AA}"/>
      </w:docPartPr>
      <w:docPartBody>
        <w:p w:rsidR="00193E14" w:rsidRDefault="00236B4F" w:rsidP="00236B4F">
          <w:pPr>
            <w:pStyle w:val="4EB2F590BAF64DE09C9EE0898F142F4B"/>
          </w:pPr>
          <w:r w:rsidRPr="00270D03">
            <w:rPr>
              <w:rStyle w:val="a3"/>
              <w:rFonts w:hint="eastAsia"/>
            </w:rPr>
            <w:t>单击此处输入文字。</w:t>
          </w:r>
        </w:p>
      </w:docPartBody>
    </w:docPart>
    <w:docPart>
      <w:docPartPr>
        <w:name w:val="2A8ACAF9B1DD4D77B333D5AA648F0838"/>
        <w:category>
          <w:name w:val="常规"/>
          <w:gallery w:val="placeholder"/>
        </w:category>
        <w:types>
          <w:type w:val="bbPlcHdr"/>
        </w:types>
        <w:behaviors>
          <w:behavior w:val="content"/>
        </w:behaviors>
        <w:guid w:val="{F80F236C-CA87-40E2-BC9B-80C0D183A8A7}"/>
      </w:docPartPr>
      <w:docPartBody>
        <w:p w:rsidR="00193E14" w:rsidRDefault="00236B4F" w:rsidP="00236B4F">
          <w:pPr>
            <w:pStyle w:val="2A8ACAF9B1DD4D77B333D5AA648F0838"/>
          </w:pPr>
          <w:r w:rsidRPr="00270D03">
            <w:rPr>
              <w:rStyle w:val="a3"/>
              <w:rFonts w:hint="eastAsia"/>
            </w:rPr>
            <w:t>单击此处输入文字。</w:t>
          </w:r>
        </w:p>
      </w:docPartBody>
    </w:docPart>
    <w:docPart>
      <w:docPartPr>
        <w:name w:val="AF1B7898569640F29B656D42B911A95A"/>
        <w:category>
          <w:name w:val="常规"/>
          <w:gallery w:val="placeholder"/>
        </w:category>
        <w:types>
          <w:type w:val="bbPlcHdr"/>
        </w:types>
        <w:behaviors>
          <w:behavior w:val="content"/>
        </w:behaviors>
        <w:guid w:val="{F1024D32-8E43-407D-9507-928E4147CF04}"/>
      </w:docPartPr>
      <w:docPartBody>
        <w:p w:rsidR="00193E14" w:rsidRDefault="00236B4F" w:rsidP="00236B4F">
          <w:pPr>
            <w:pStyle w:val="AF1B7898569640F29B656D42B911A95A"/>
          </w:pPr>
          <w:r w:rsidRPr="00270D03">
            <w:rPr>
              <w:rStyle w:val="a3"/>
              <w:rFonts w:hint="eastAsia"/>
            </w:rPr>
            <w:t>单击此处输入文字。</w:t>
          </w:r>
        </w:p>
      </w:docPartBody>
    </w:docPart>
    <w:docPart>
      <w:docPartPr>
        <w:name w:val="07BC32722F0D49049D494EB2B76DFAE5"/>
        <w:category>
          <w:name w:val="常规"/>
          <w:gallery w:val="placeholder"/>
        </w:category>
        <w:types>
          <w:type w:val="bbPlcHdr"/>
        </w:types>
        <w:behaviors>
          <w:behavior w:val="content"/>
        </w:behaviors>
        <w:guid w:val="{F1FD7BF2-311D-498C-ACA8-54CB21454753}"/>
      </w:docPartPr>
      <w:docPartBody>
        <w:p w:rsidR="00193E14" w:rsidRDefault="00236B4F" w:rsidP="00236B4F">
          <w:pPr>
            <w:pStyle w:val="07BC32722F0D49049D494EB2B76DFAE5"/>
          </w:pPr>
          <w:r w:rsidRPr="00270D03">
            <w:rPr>
              <w:rStyle w:val="a3"/>
              <w:rFonts w:hint="eastAsia"/>
            </w:rPr>
            <w:t>单击此处输入文字。</w:t>
          </w:r>
        </w:p>
      </w:docPartBody>
    </w:docPart>
    <w:docPart>
      <w:docPartPr>
        <w:name w:val="A9A9F54D9EBD4C9AB313A8F7296D2D53"/>
        <w:category>
          <w:name w:val="常规"/>
          <w:gallery w:val="placeholder"/>
        </w:category>
        <w:types>
          <w:type w:val="bbPlcHdr"/>
        </w:types>
        <w:behaviors>
          <w:behavior w:val="content"/>
        </w:behaviors>
        <w:guid w:val="{D730C0C1-A7AC-44C4-8A7C-FB28DED6DBD1}"/>
      </w:docPartPr>
      <w:docPartBody>
        <w:p w:rsidR="001673C7" w:rsidRDefault="00193E14" w:rsidP="00193E14">
          <w:pPr>
            <w:pStyle w:val="A9A9F54D9EBD4C9AB313A8F7296D2D53"/>
          </w:pPr>
          <w:r w:rsidRPr="00270D03">
            <w:rPr>
              <w:rStyle w:val="a3"/>
              <w:rFonts w:hint="eastAsia"/>
            </w:rPr>
            <w:t>单击此处输入文字。</w:t>
          </w:r>
        </w:p>
      </w:docPartBody>
    </w:docPart>
    <w:docPart>
      <w:docPartPr>
        <w:name w:val="4C037B77345B48E183B3F5E032F9AABC"/>
        <w:category>
          <w:name w:val="常规"/>
          <w:gallery w:val="placeholder"/>
        </w:category>
        <w:types>
          <w:type w:val="bbPlcHdr"/>
        </w:types>
        <w:behaviors>
          <w:behavior w:val="content"/>
        </w:behaviors>
        <w:guid w:val="{3677FA86-2BE0-42A7-B2D9-A70BCC6481A2}"/>
      </w:docPartPr>
      <w:docPartBody>
        <w:p w:rsidR="005D4876" w:rsidRDefault="008D3D39" w:rsidP="008D3D39">
          <w:pPr>
            <w:pStyle w:val="4C037B77345B48E183B3F5E032F9AABC"/>
          </w:pPr>
          <w:r w:rsidRPr="00270D03">
            <w:rPr>
              <w:rStyle w:val="a3"/>
              <w:rFonts w:hint="eastAsia"/>
            </w:rPr>
            <w:t>单击此处输入文字。</w:t>
          </w:r>
        </w:p>
      </w:docPartBody>
    </w:docPart>
    <w:docPart>
      <w:docPartPr>
        <w:name w:val="BD4832FB266841DF9D21507C69D78062"/>
        <w:category>
          <w:name w:val="常规"/>
          <w:gallery w:val="placeholder"/>
        </w:category>
        <w:types>
          <w:type w:val="bbPlcHdr"/>
        </w:types>
        <w:behaviors>
          <w:behavior w:val="content"/>
        </w:behaviors>
        <w:guid w:val="{2954ED93-DCF6-4976-ADB5-1D3E4F608BBF}"/>
      </w:docPartPr>
      <w:docPartBody>
        <w:p w:rsidR="005D4876" w:rsidRDefault="008D3D39" w:rsidP="008D3D39">
          <w:pPr>
            <w:pStyle w:val="BD4832FB266841DF9D21507C69D78062"/>
          </w:pPr>
          <w:r w:rsidRPr="00270D03">
            <w:rPr>
              <w:rStyle w:val="a3"/>
              <w:rFonts w:hint="eastAsia"/>
            </w:rPr>
            <w:t>单击此处输入文字。</w:t>
          </w:r>
        </w:p>
      </w:docPartBody>
    </w:docPart>
    <w:docPart>
      <w:docPartPr>
        <w:name w:val="FD51F9879CA94CBABE03DF6007A6D1F4"/>
        <w:category>
          <w:name w:val="常规"/>
          <w:gallery w:val="placeholder"/>
        </w:category>
        <w:types>
          <w:type w:val="bbPlcHdr"/>
        </w:types>
        <w:behaviors>
          <w:behavior w:val="content"/>
        </w:behaviors>
        <w:guid w:val="{20837947-968B-4A68-AF07-6D569B300D15}"/>
      </w:docPartPr>
      <w:docPartBody>
        <w:p w:rsidR="005D4876" w:rsidRDefault="008D3D39" w:rsidP="008D3D39">
          <w:pPr>
            <w:pStyle w:val="FD51F9879CA94CBABE03DF6007A6D1F4"/>
          </w:pPr>
          <w:r w:rsidRPr="00270D03">
            <w:rPr>
              <w:rStyle w:val="a3"/>
              <w:rFonts w:hint="eastAsia"/>
            </w:rPr>
            <w:t>单击此处输入文字。</w:t>
          </w:r>
        </w:p>
      </w:docPartBody>
    </w:docPart>
    <w:docPart>
      <w:docPartPr>
        <w:name w:val="C538DA0AB3024D33B42461907E8DAA16"/>
        <w:category>
          <w:name w:val="常规"/>
          <w:gallery w:val="placeholder"/>
        </w:category>
        <w:types>
          <w:type w:val="bbPlcHdr"/>
        </w:types>
        <w:behaviors>
          <w:behavior w:val="content"/>
        </w:behaviors>
        <w:guid w:val="{C3CA2582-47BC-413D-BE93-F9129B7E254E}"/>
      </w:docPartPr>
      <w:docPartBody>
        <w:p w:rsidR="005D4876" w:rsidRDefault="008D3D39" w:rsidP="008D3D39">
          <w:pPr>
            <w:pStyle w:val="C538DA0AB3024D33B42461907E8DAA16"/>
          </w:pPr>
          <w:r w:rsidRPr="00575675">
            <w:rPr>
              <w:rStyle w:val="a3"/>
              <w:rFonts w:hint="eastAsia"/>
            </w:rPr>
            <w:t>单击或点击此处输入文字。</w:t>
          </w:r>
        </w:p>
      </w:docPartBody>
    </w:docPart>
    <w:docPart>
      <w:docPartPr>
        <w:name w:val="0F16B921776C49459EC805FC89DB4C47"/>
        <w:category>
          <w:name w:val="常规"/>
          <w:gallery w:val="placeholder"/>
        </w:category>
        <w:types>
          <w:type w:val="bbPlcHdr"/>
        </w:types>
        <w:behaviors>
          <w:behavior w:val="content"/>
        </w:behaviors>
        <w:guid w:val="{365DFECC-5470-46DB-81B8-7F5E871A69D5}"/>
      </w:docPartPr>
      <w:docPartBody>
        <w:p w:rsidR="005D4876" w:rsidRDefault="008D3D39" w:rsidP="008D3D39">
          <w:pPr>
            <w:pStyle w:val="0F16B921776C49459EC805FC89DB4C47"/>
          </w:pPr>
          <w:r w:rsidRPr="00270D03">
            <w:rPr>
              <w:rStyle w:val="a3"/>
              <w:rFonts w:hint="eastAsia"/>
            </w:rPr>
            <w:t>单击此处输入文字。</w:t>
          </w:r>
        </w:p>
      </w:docPartBody>
    </w:docPart>
    <w:docPart>
      <w:docPartPr>
        <w:name w:val="952FCA8B5C2B4F9EB2867C068F3C50F6"/>
        <w:category>
          <w:name w:val="常规"/>
          <w:gallery w:val="placeholder"/>
        </w:category>
        <w:types>
          <w:type w:val="bbPlcHdr"/>
        </w:types>
        <w:behaviors>
          <w:behavior w:val="content"/>
        </w:behaviors>
        <w:guid w:val="{D8569BA5-CEB6-4625-8A3F-E1621AB878DA}"/>
      </w:docPartPr>
      <w:docPartBody>
        <w:p w:rsidR="008B094E" w:rsidRDefault="0084236E" w:rsidP="0084236E">
          <w:pPr>
            <w:pStyle w:val="952FCA8B5C2B4F9EB2867C068F3C50F6"/>
          </w:pPr>
          <w:r w:rsidRPr="00270D03">
            <w:rPr>
              <w:rStyle w:val="a3"/>
              <w:rFonts w:hint="eastAsia"/>
            </w:rPr>
            <w:t>单击此处输入文字。</w:t>
          </w:r>
        </w:p>
      </w:docPartBody>
    </w:docPart>
    <w:docPart>
      <w:docPartPr>
        <w:name w:val="D76B5F5561E34367AA01495B9C613456"/>
        <w:category>
          <w:name w:val="常规"/>
          <w:gallery w:val="placeholder"/>
        </w:category>
        <w:types>
          <w:type w:val="bbPlcHdr"/>
        </w:types>
        <w:behaviors>
          <w:behavior w:val="content"/>
        </w:behaviors>
        <w:guid w:val="{B597CA68-CB1B-4EA1-B89B-8B637381A961}"/>
      </w:docPartPr>
      <w:docPartBody>
        <w:p w:rsidR="00392E70" w:rsidRDefault="008B094E" w:rsidP="008B094E">
          <w:pPr>
            <w:pStyle w:val="D76B5F5561E34367AA01495B9C613456"/>
          </w:pPr>
          <w:r w:rsidRPr="00270D03">
            <w:rPr>
              <w:rStyle w:val="a3"/>
              <w:rFonts w:hint="eastAsia"/>
            </w:rPr>
            <w:t>单击此处输入文字。</w:t>
          </w:r>
        </w:p>
      </w:docPartBody>
    </w:docPart>
    <w:docPart>
      <w:docPartPr>
        <w:name w:val="279CFD2E58D74FE38A1676111D736368"/>
        <w:category>
          <w:name w:val="常规"/>
          <w:gallery w:val="placeholder"/>
        </w:category>
        <w:types>
          <w:type w:val="bbPlcHdr"/>
        </w:types>
        <w:behaviors>
          <w:behavior w:val="content"/>
        </w:behaviors>
        <w:guid w:val="{B9F001F1-BA46-4C4A-B317-66143D783098}"/>
      </w:docPartPr>
      <w:docPartBody>
        <w:p w:rsidR="00392E70" w:rsidRDefault="008B094E" w:rsidP="008B094E">
          <w:pPr>
            <w:pStyle w:val="279CFD2E58D74FE38A1676111D736368"/>
          </w:pPr>
          <w:r w:rsidRPr="00270D03">
            <w:rPr>
              <w:rStyle w:val="a3"/>
              <w:rFonts w:hint="eastAsia"/>
            </w:rPr>
            <w:t>单击此处输入文字。</w:t>
          </w:r>
        </w:p>
      </w:docPartBody>
    </w:docPart>
    <w:docPart>
      <w:docPartPr>
        <w:name w:val="8B32D2C919F14F77A9DABC5AB7ECF5BA"/>
        <w:category>
          <w:name w:val="常规"/>
          <w:gallery w:val="placeholder"/>
        </w:category>
        <w:types>
          <w:type w:val="bbPlcHdr"/>
        </w:types>
        <w:behaviors>
          <w:behavior w:val="content"/>
        </w:behaviors>
        <w:guid w:val="{CB889393-3A63-4F65-8FA1-5A9D9F84C817}"/>
      </w:docPartPr>
      <w:docPartBody>
        <w:p w:rsidR="00392E70" w:rsidRDefault="008B094E" w:rsidP="008B094E">
          <w:pPr>
            <w:pStyle w:val="8B32D2C919F14F77A9DABC5AB7ECF5BA"/>
          </w:pPr>
          <w:r w:rsidRPr="00270D03">
            <w:rPr>
              <w:rStyle w:val="a3"/>
              <w:rFonts w:hint="eastAsia"/>
            </w:rPr>
            <w:t>单击此处输入文字。</w:t>
          </w:r>
        </w:p>
      </w:docPartBody>
    </w:docPart>
    <w:docPart>
      <w:docPartPr>
        <w:name w:val="13442EF105224D599A99EF8780017941"/>
        <w:category>
          <w:name w:val="常规"/>
          <w:gallery w:val="placeholder"/>
        </w:category>
        <w:types>
          <w:type w:val="bbPlcHdr"/>
        </w:types>
        <w:behaviors>
          <w:behavior w:val="content"/>
        </w:behaviors>
        <w:guid w:val="{BA0101EA-4B0A-4802-BE69-F2383914C4D3}"/>
      </w:docPartPr>
      <w:docPartBody>
        <w:p w:rsidR="007E4C53" w:rsidRDefault="008915D2" w:rsidP="008915D2">
          <w:pPr>
            <w:pStyle w:val="13442EF105224D599A99EF8780017941"/>
          </w:pPr>
          <w:r w:rsidRPr="00DE286C">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4F"/>
    <w:rsid w:val="00073B2C"/>
    <w:rsid w:val="00110953"/>
    <w:rsid w:val="001673C7"/>
    <w:rsid w:val="00180BF5"/>
    <w:rsid w:val="00193E14"/>
    <w:rsid w:val="001C3986"/>
    <w:rsid w:val="00236B4F"/>
    <w:rsid w:val="0028125A"/>
    <w:rsid w:val="00392E70"/>
    <w:rsid w:val="003D31EF"/>
    <w:rsid w:val="003F74A4"/>
    <w:rsid w:val="00477363"/>
    <w:rsid w:val="004D4C1E"/>
    <w:rsid w:val="005D4876"/>
    <w:rsid w:val="005E3532"/>
    <w:rsid w:val="005E4094"/>
    <w:rsid w:val="00676B68"/>
    <w:rsid w:val="006A6FFF"/>
    <w:rsid w:val="00723EA7"/>
    <w:rsid w:val="007B4D35"/>
    <w:rsid w:val="007E4C53"/>
    <w:rsid w:val="0084236E"/>
    <w:rsid w:val="0087057A"/>
    <w:rsid w:val="00881623"/>
    <w:rsid w:val="008915D2"/>
    <w:rsid w:val="008B094E"/>
    <w:rsid w:val="008D3D39"/>
    <w:rsid w:val="008D4101"/>
    <w:rsid w:val="009177A8"/>
    <w:rsid w:val="0097547A"/>
    <w:rsid w:val="00A12EE3"/>
    <w:rsid w:val="00A951F7"/>
    <w:rsid w:val="00AB3D3F"/>
    <w:rsid w:val="00B220FA"/>
    <w:rsid w:val="00C61FA5"/>
    <w:rsid w:val="00C907A1"/>
    <w:rsid w:val="00CB4B63"/>
    <w:rsid w:val="00D023B8"/>
    <w:rsid w:val="00DC56D3"/>
    <w:rsid w:val="00DC6F56"/>
    <w:rsid w:val="00EA223B"/>
    <w:rsid w:val="00EA4B5E"/>
    <w:rsid w:val="00F1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B4F"/>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5D2"/>
    <w:rPr>
      <w:color w:val="808080"/>
    </w:rPr>
  </w:style>
  <w:style w:type="paragraph" w:customStyle="1" w:styleId="6DFE9B50E1754663BC792DB0159E621F">
    <w:name w:val="6DFE9B50E1754663BC792DB0159E621F"/>
    <w:rsid w:val="00236B4F"/>
    <w:pPr>
      <w:widowControl w:val="0"/>
      <w:jc w:val="both"/>
    </w:pPr>
  </w:style>
  <w:style w:type="paragraph" w:customStyle="1" w:styleId="ECAAA645E46A4539A5B8969496418767">
    <w:name w:val="ECAAA645E46A4539A5B8969496418767"/>
    <w:rsid w:val="00236B4F"/>
    <w:pPr>
      <w:widowControl w:val="0"/>
      <w:jc w:val="both"/>
    </w:pPr>
  </w:style>
  <w:style w:type="paragraph" w:customStyle="1" w:styleId="31478744214A4BC2A3D63117CD9A799C">
    <w:name w:val="31478744214A4BC2A3D63117CD9A799C"/>
    <w:rsid w:val="00236B4F"/>
    <w:pPr>
      <w:widowControl w:val="0"/>
      <w:jc w:val="both"/>
    </w:pPr>
  </w:style>
  <w:style w:type="paragraph" w:customStyle="1" w:styleId="DE12C3EE1B1C4A2E853584D403553087">
    <w:name w:val="DE12C3EE1B1C4A2E853584D403553087"/>
    <w:rsid w:val="00236B4F"/>
    <w:pPr>
      <w:widowControl w:val="0"/>
      <w:jc w:val="both"/>
    </w:pPr>
  </w:style>
  <w:style w:type="paragraph" w:customStyle="1" w:styleId="015D2D973B584C438A004C15F186A279">
    <w:name w:val="015D2D973B584C438A004C15F186A279"/>
    <w:rsid w:val="00236B4F"/>
    <w:pPr>
      <w:widowControl w:val="0"/>
      <w:jc w:val="both"/>
    </w:pPr>
  </w:style>
  <w:style w:type="paragraph" w:customStyle="1" w:styleId="D89A75F4739040EB84C767808B14DD28">
    <w:name w:val="D89A75F4739040EB84C767808B14DD28"/>
    <w:rsid w:val="00236B4F"/>
    <w:pPr>
      <w:widowControl w:val="0"/>
      <w:jc w:val="both"/>
    </w:pPr>
  </w:style>
  <w:style w:type="paragraph" w:customStyle="1" w:styleId="50571351C8234561BD5786224B031756">
    <w:name w:val="50571351C8234561BD5786224B031756"/>
    <w:rsid w:val="00236B4F"/>
    <w:pPr>
      <w:widowControl w:val="0"/>
      <w:jc w:val="both"/>
    </w:pPr>
  </w:style>
  <w:style w:type="paragraph" w:customStyle="1" w:styleId="4EB2F590BAF64DE09C9EE0898F142F4B">
    <w:name w:val="4EB2F590BAF64DE09C9EE0898F142F4B"/>
    <w:rsid w:val="00236B4F"/>
    <w:pPr>
      <w:widowControl w:val="0"/>
      <w:jc w:val="both"/>
    </w:pPr>
  </w:style>
  <w:style w:type="paragraph" w:customStyle="1" w:styleId="2A8ACAF9B1DD4D77B333D5AA648F0838">
    <w:name w:val="2A8ACAF9B1DD4D77B333D5AA648F0838"/>
    <w:rsid w:val="00236B4F"/>
    <w:pPr>
      <w:widowControl w:val="0"/>
      <w:jc w:val="both"/>
    </w:pPr>
  </w:style>
  <w:style w:type="paragraph" w:customStyle="1" w:styleId="AF1B7898569640F29B656D42B911A95A">
    <w:name w:val="AF1B7898569640F29B656D42B911A95A"/>
    <w:rsid w:val="00236B4F"/>
    <w:pPr>
      <w:widowControl w:val="0"/>
      <w:jc w:val="both"/>
    </w:pPr>
  </w:style>
  <w:style w:type="paragraph" w:customStyle="1" w:styleId="07BC32722F0D49049D494EB2B76DFAE5">
    <w:name w:val="07BC32722F0D49049D494EB2B76DFAE5"/>
    <w:rsid w:val="00236B4F"/>
    <w:pPr>
      <w:widowControl w:val="0"/>
      <w:jc w:val="both"/>
    </w:pPr>
  </w:style>
  <w:style w:type="paragraph" w:customStyle="1" w:styleId="A9A9F54D9EBD4C9AB313A8F7296D2D53">
    <w:name w:val="A9A9F54D9EBD4C9AB313A8F7296D2D53"/>
    <w:rsid w:val="00193E14"/>
    <w:pPr>
      <w:widowControl w:val="0"/>
      <w:jc w:val="both"/>
    </w:pPr>
  </w:style>
  <w:style w:type="paragraph" w:customStyle="1" w:styleId="E898EDD05ACC43EEB48C03217B61EB43">
    <w:name w:val="E898EDD05ACC43EEB48C03217B61EB43"/>
    <w:rsid w:val="00EA4B5E"/>
    <w:pPr>
      <w:widowControl w:val="0"/>
      <w:jc w:val="both"/>
    </w:pPr>
  </w:style>
  <w:style w:type="paragraph" w:customStyle="1" w:styleId="FDBFEA8031B747A59614F3F0EAF5978A">
    <w:name w:val="FDBFEA8031B747A59614F3F0EAF5978A"/>
    <w:rsid w:val="00EA4B5E"/>
    <w:pPr>
      <w:widowControl w:val="0"/>
      <w:jc w:val="both"/>
    </w:pPr>
  </w:style>
  <w:style w:type="paragraph" w:customStyle="1" w:styleId="58A58B24240C48C4A62FD0E1235F008E">
    <w:name w:val="58A58B24240C48C4A62FD0E1235F008E"/>
    <w:rsid w:val="00EA4B5E"/>
    <w:pPr>
      <w:widowControl w:val="0"/>
      <w:jc w:val="both"/>
    </w:pPr>
  </w:style>
  <w:style w:type="paragraph" w:customStyle="1" w:styleId="D9FC05BB666B41B3804B7002BF24AA08">
    <w:name w:val="D9FC05BB666B41B3804B7002BF24AA08"/>
    <w:rsid w:val="00EA4B5E"/>
    <w:pPr>
      <w:widowControl w:val="0"/>
      <w:jc w:val="both"/>
    </w:pPr>
  </w:style>
  <w:style w:type="paragraph" w:customStyle="1" w:styleId="4C037B77345B48E183B3F5E032F9AABC">
    <w:name w:val="4C037B77345B48E183B3F5E032F9AABC"/>
    <w:rsid w:val="008D3D39"/>
    <w:pPr>
      <w:widowControl w:val="0"/>
      <w:jc w:val="both"/>
    </w:pPr>
  </w:style>
  <w:style w:type="paragraph" w:customStyle="1" w:styleId="BD4832FB266841DF9D21507C69D78062">
    <w:name w:val="BD4832FB266841DF9D21507C69D78062"/>
    <w:rsid w:val="008D3D39"/>
    <w:pPr>
      <w:widowControl w:val="0"/>
      <w:jc w:val="both"/>
    </w:pPr>
  </w:style>
  <w:style w:type="paragraph" w:customStyle="1" w:styleId="5A2559711B704C57B285FE2922D9251F">
    <w:name w:val="5A2559711B704C57B285FE2922D9251F"/>
    <w:rsid w:val="008D3D39"/>
    <w:pPr>
      <w:widowControl w:val="0"/>
      <w:jc w:val="both"/>
    </w:pPr>
  </w:style>
  <w:style w:type="paragraph" w:customStyle="1" w:styleId="FB516EFFCE6B4498A4F691B7974AF2A2">
    <w:name w:val="FB516EFFCE6B4498A4F691B7974AF2A2"/>
    <w:rsid w:val="008D3D39"/>
    <w:pPr>
      <w:widowControl w:val="0"/>
      <w:jc w:val="both"/>
    </w:pPr>
  </w:style>
  <w:style w:type="paragraph" w:customStyle="1" w:styleId="DF301BE2D41149D4B0FDC96CD63F7DFD">
    <w:name w:val="DF301BE2D41149D4B0FDC96CD63F7DFD"/>
    <w:rsid w:val="008D3D39"/>
    <w:pPr>
      <w:widowControl w:val="0"/>
      <w:jc w:val="both"/>
    </w:pPr>
  </w:style>
  <w:style w:type="paragraph" w:customStyle="1" w:styleId="38A7A5CCC37F4C70BD63755B49F7A832">
    <w:name w:val="38A7A5CCC37F4C70BD63755B49F7A832"/>
    <w:rsid w:val="008D3D39"/>
    <w:pPr>
      <w:widowControl w:val="0"/>
      <w:jc w:val="both"/>
    </w:pPr>
  </w:style>
  <w:style w:type="paragraph" w:customStyle="1" w:styleId="33CF656E393C4E8DB00AF959E45EF3E3">
    <w:name w:val="33CF656E393C4E8DB00AF959E45EF3E3"/>
    <w:rsid w:val="008D3D39"/>
    <w:pPr>
      <w:widowControl w:val="0"/>
      <w:jc w:val="both"/>
    </w:pPr>
  </w:style>
  <w:style w:type="paragraph" w:customStyle="1" w:styleId="FD51F9879CA94CBABE03DF6007A6D1F4">
    <w:name w:val="FD51F9879CA94CBABE03DF6007A6D1F4"/>
    <w:rsid w:val="008D3D39"/>
    <w:pPr>
      <w:widowControl w:val="0"/>
      <w:jc w:val="both"/>
    </w:pPr>
  </w:style>
  <w:style w:type="paragraph" w:customStyle="1" w:styleId="C538DA0AB3024D33B42461907E8DAA16">
    <w:name w:val="C538DA0AB3024D33B42461907E8DAA16"/>
    <w:rsid w:val="008D3D39"/>
    <w:pPr>
      <w:widowControl w:val="0"/>
      <w:jc w:val="both"/>
    </w:pPr>
  </w:style>
  <w:style w:type="paragraph" w:customStyle="1" w:styleId="0F16B921776C49459EC805FC89DB4C47">
    <w:name w:val="0F16B921776C49459EC805FC89DB4C47"/>
    <w:rsid w:val="008D3D39"/>
    <w:pPr>
      <w:widowControl w:val="0"/>
      <w:jc w:val="both"/>
    </w:pPr>
  </w:style>
  <w:style w:type="paragraph" w:customStyle="1" w:styleId="952FCA8B5C2B4F9EB2867C068F3C50F6">
    <w:name w:val="952FCA8B5C2B4F9EB2867C068F3C50F6"/>
    <w:rsid w:val="0084236E"/>
    <w:pPr>
      <w:widowControl w:val="0"/>
      <w:jc w:val="both"/>
    </w:pPr>
  </w:style>
  <w:style w:type="paragraph" w:customStyle="1" w:styleId="D76B5F5561E34367AA01495B9C613456">
    <w:name w:val="D76B5F5561E34367AA01495B9C613456"/>
    <w:rsid w:val="008B094E"/>
    <w:pPr>
      <w:widowControl w:val="0"/>
      <w:jc w:val="both"/>
    </w:pPr>
  </w:style>
  <w:style w:type="paragraph" w:customStyle="1" w:styleId="279CFD2E58D74FE38A1676111D736368">
    <w:name w:val="279CFD2E58D74FE38A1676111D736368"/>
    <w:rsid w:val="008B094E"/>
    <w:pPr>
      <w:widowControl w:val="0"/>
      <w:jc w:val="both"/>
    </w:pPr>
  </w:style>
  <w:style w:type="paragraph" w:customStyle="1" w:styleId="8B32D2C919F14F77A9DABC5AB7ECF5BA">
    <w:name w:val="8B32D2C919F14F77A9DABC5AB7ECF5BA"/>
    <w:rsid w:val="008B094E"/>
    <w:pPr>
      <w:widowControl w:val="0"/>
      <w:jc w:val="both"/>
    </w:pPr>
  </w:style>
  <w:style w:type="paragraph" w:customStyle="1" w:styleId="39DE9826DDE740F393698A21EF367FBE">
    <w:name w:val="39DE9826DDE740F393698A21EF367FBE"/>
    <w:rsid w:val="008915D2"/>
    <w:pPr>
      <w:widowControl w:val="0"/>
      <w:jc w:val="both"/>
    </w:pPr>
  </w:style>
  <w:style w:type="paragraph" w:customStyle="1" w:styleId="13442EF105224D599A99EF8780017941">
    <w:name w:val="13442EF105224D599A99EF8780017941"/>
    <w:rsid w:val="008915D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基金产品资料概要模板_A.dotx</Template>
  <TotalTime>94</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48</cp:revision>
  <dcterms:created xsi:type="dcterms:W3CDTF">2022-09-27T06:56:00Z</dcterms:created>
  <dcterms:modified xsi:type="dcterms:W3CDTF">2025-12-02T08:44:00Z</dcterms:modified>
</cp:coreProperties>
</file>