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4E" w:rsidRDefault="0068684E">
      <w:pPr>
        <w:spacing w:line="360" w:lineRule="auto"/>
        <w:jc w:val="center"/>
        <w:rPr>
          <w:rFonts w:ascii="Times New Roman" w:eastAsia="宋体" w:hAnsi="Times New Roman" w:cs="Times New Roman"/>
          <w:sz w:val="44"/>
          <w:szCs w:val="44"/>
        </w:rPr>
      </w:pPr>
      <w:bookmarkStart w:id="0" w:name="OLE_LINK119"/>
      <w:bookmarkStart w:id="1" w:name="OLE_LINK118"/>
      <w:bookmarkStart w:id="2" w:name="OLE_LINK117"/>
    </w:p>
    <w:p w:rsidR="0068684E" w:rsidRDefault="0068684E">
      <w:pPr>
        <w:spacing w:line="360" w:lineRule="auto"/>
        <w:jc w:val="center"/>
        <w:rPr>
          <w:rFonts w:ascii="Times New Roman" w:eastAsia="宋体" w:hAnsi="Times New Roman" w:cs="Times New Roman"/>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0021E4">
      <w:pPr>
        <w:spacing w:line="360" w:lineRule="auto"/>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富国智汇稳健</w:t>
      </w:r>
      <w:r>
        <w:rPr>
          <w:rFonts w:ascii="Times New Roman" w:eastAsia="宋体" w:hAnsi="Times New Roman" w:cs="Times New Roman" w:hint="eastAsia"/>
          <w:b/>
          <w:sz w:val="44"/>
          <w:szCs w:val="44"/>
        </w:rPr>
        <w:t>3</w:t>
      </w:r>
      <w:r>
        <w:rPr>
          <w:rFonts w:ascii="Times New Roman" w:eastAsia="宋体" w:hAnsi="Times New Roman" w:cs="Times New Roman" w:hint="eastAsia"/>
          <w:b/>
          <w:sz w:val="44"/>
          <w:szCs w:val="44"/>
        </w:rPr>
        <w:t>个月持有期混合型</w:t>
      </w:r>
    </w:p>
    <w:p w:rsidR="0068684E" w:rsidRDefault="000021E4">
      <w:pPr>
        <w:spacing w:line="360" w:lineRule="auto"/>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基金中基金（</w:t>
      </w:r>
      <w:r>
        <w:rPr>
          <w:rFonts w:ascii="Times New Roman" w:eastAsia="宋体" w:hAnsi="Times New Roman" w:cs="Times New Roman" w:hint="eastAsia"/>
          <w:b/>
          <w:sz w:val="44"/>
          <w:szCs w:val="44"/>
        </w:rPr>
        <w:t>FOF</w:t>
      </w:r>
      <w:r>
        <w:rPr>
          <w:rFonts w:ascii="Times New Roman" w:eastAsia="宋体" w:hAnsi="Times New Roman" w:cs="Times New Roman" w:hint="eastAsia"/>
          <w:b/>
          <w:sz w:val="44"/>
          <w:szCs w:val="44"/>
        </w:rPr>
        <w:t>）</w:t>
      </w:r>
    </w:p>
    <w:p w:rsidR="0068684E" w:rsidRDefault="000021E4">
      <w:pPr>
        <w:spacing w:line="360" w:lineRule="auto"/>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招募说明书</w:t>
      </w:r>
    </w:p>
    <w:p w:rsidR="0068684E" w:rsidRDefault="0068684E">
      <w:pPr>
        <w:spacing w:line="360" w:lineRule="auto"/>
        <w:jc w:val="center"/>
        <w:rPr>
          <w:rFonts w:ascii="Times New Roman" w:eastAsia="宋体" w:hAnsi="Times New Roman" w:cs="Times New Roman"/>
          <w:b/>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68684E">
      <w:pPr>
        <w:spacing w:line="360" w:lineRule="auto"/>
        <w:jc w:val="center"/>
        <w:rPr>
          <w:rFonts w:ascii="Times New Roman" w:eastAsia="宋体" w:hAnsi="Times New Roman" w:cs="Times New Roman"/>
          <w:sz w:val="44"/>
          <w:szCs w:val="44"/>
        </w:rPr>
      </w:pPr>
    </w:p>
    <w:p w:rsidR="0068684E" w:rsidRDefault="000021E4">
      <w:pPr>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基金管理人：富国基金管理有限公司</w:t>
      </w:r>
    </w:p>
    <w:p w:rsidR="0068684E" w:rsidRDefault="000021E4">
      <w:pPr>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基金托管人：中国银行股份有限公司</w:t>
      </w:r>
    </w:p>
    <w:p w:rsidR="0068684E" w:rsidRDefault="0068684E">
      <w:pPr>
        <w:spacing w:line="360" w:lineRule="auto"/>
        <w:jc w:val="center"/>
        <w:rPr>
          <w:rFonts w:ascii="Times New Roman" w:eastAsia="宋体" w:hAnsi="Times New Roman" w:cs="Times New Roman"/>
          <w:b/>
          <w:bCs/>
          <w:sz w:val="30"/>
          <w:szCs w:val="30"/>
        </w:rPr>
      </w:pPr>
    </w:p>
    <w:p w:rsidR="0068684E" w:rsidRDefault="0068684E">
      <w:pPr>
        <w:spacing w:line="360" w:lineRule="auto"/>
        <w:jc w:val="center"/>
        <w:rPr>
          <w:rFonts w:ascii="Times New Roman" w:eastAsia="宋体" w:hAnsi="Times New Roman" w:cs="Times New Roman"/>
          <w:b/>
          <w:bCs/>
          <w:sz w:val="30"/>
          <w:szCs w:val="30"/>
        </w:rPr>
      </w:pPr>
    </w:p>
    <w:p w:rsidR="0068684E" w:rsidRDefault="0068684E">
      <w:pPr>
        <w:spacing w:line="360" w:lineRule="auto"/>
        <w:jc w:val="center"/>
        <w:rPr>
          <w:rFonts w:ascii="Times New Roman" w:eastAsia="宋体" w:hAnsi="Times New Roman" w:cs="Times New Roman"/>
          <w:b/>
          <w:bCs/>
          <w:sz w:val="30"/>
          <w:szCs w:val="30"/>
        </w:rPr>
      </w:pPr>
    </w:p>
    <w:p w:rsidR="0068684E" w:rsidRDefault="0068684E">
      <w:pPr>
        <w:spacing w:line="360" w:lineRule="auto"/>
        <w:jc w:val="center"/>
        <w:rPr>
          <w:rFonts w:ascii="Times New Roman" w:eastAsia="宋体" w:hAnsi="Times New Roman" w:cs="Times New Roman"/>
          <w:b/>
          <w:bCs/>
          <w:sz w:val="30"/>
          <w:szCs w:val="30"/>
        </w:rPr>
      </w:pPr>
    </w:p>
    <w:p w:rsidR="0068684E" w:rsidRDefault="000021E4">
      <w:pPr>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二零二</w:t>
      </w:r>
      <w:r>
        <w:rPr>
          <w:rFonts w:ascii="Times New Roman" w:eastAsia="宋体" w:hAnsi="Times New Roman" w:cs="Times New Roman"/>
          <w:b/>
          <w:bCs/>
          <w:sz w:val="30"/>
          <w:szCs w:val="30"/>
        </w:rPr>
        <w:t>五</w:t>
      </w:r>
      <w:r>
        <w:rPr>
          <w:rFonts w:ascii="Times New Roman" w:eastAsia="宋体" w:hAnsi="Times New Roman" w:cs="Times New Roman" w:hint="eastAsia"/>
          <w:b/>
          <w:bCs/>
          <w:sz w:val="30"/>
          <w:szCs w:val="30"/>
        </w:rPr>
        <w:t>年</w:t>
      </w:r>
      <w:r>
        <w:rPr>
          <w:rFonts w:ascii="Times New Roman" w:eastAsia="宋体" w:hAnsi="Times New Roman" w:cs="Times New Roman"/>
          <w:b/>
          <w:bCs/>
          <w:sz w:val="30"/>
          <w:szCs w:val="30"/>
        </w:rPr>
        <w:t>十二</w:t>
      </w:r>
      <w:r>
        <w:rPr>
          <w:rFonts w:ascii="Times New Roman" w:eastAsia="宋体" w:hAnsi="Times New Roman" w:cs="Times New Roman" w:hint="eastAsia"/>
          <w:b/>
          <w:bCs/>
          <w:sz w:val="30"/>
          <w:szCs w:val="30"/>
        </w:rPr>
        <w:t>月</w:t>
      </w:r>
    </w:p>
    <w:p w:rsidR="0068684E" w:rsidRDefault="0068684E">
      <w:pPr>
        <w:widowControl/>
        <w:spacing w:line="360" w:lineRule="auto"/>
        <w:rPr>
          <w:rFonts w:ascii="Times New Roman" w:eastAsia="宋体" w:hAnsi="Times New Roman" w:cs="Times New Roman"/>
          <w:kern w:val="0"/>
          <w:sz w:val="30"/>
          <w:szCs w:val="30"/>
        </w:rPr>
      </w:pPr>
    </w:p>
    <w:p w:rsidR="0068684E" w:rsidRDefault="0068684E">
      <w:pPr>
        <w:widowControl/>
        <w:spacing w:line="360" w:lineRule="auto"/>
        <w:ind w:firstLineChars="200" w:firstLine="480"/>
        <w:rPr>
          <w:rFonts w:ascii="Times New Roman" w:eastAsia="宋体" w:hAnsi="Times New Roman" w:cs="Times New Roman"/>
          <w:kern w:val="0"/>
          <w:sz w:val="24"/>
          <w:szCs w:val="24"/>
        </w:rPr>
        <w:sectPr w:rsidR="0068684E">
          <w:headerReference w:type="even" r:id="rId9"/>
          <w:headerReference w:type="default" r:id="rId10"/>
          <w:footerReference w:type="even" r:id="rId11"/>
          <w:footerReference w:type="default" r:id="rId12"/>
          <w:headerReference w:type="first" r:id="rId13"/>
          <w:footerReference w:type="first" r:id="rId14"/>
          <w:pgSz w:w="11906" w:h="16838"/>
          <w:pgMar w:top="1575" w:right="1826" w:bottom="1440" w:left="1620" w:header="851" w:footer="992" w:gutter="0"/>
          <w:pgNumType w:start="0"/>
          <w:cols w:space="425"/>
          <w:docGrid w:type="lines" w:linePitch="312"/>
        </w:sectPr>
      </w:pPr>
    </w:p>
    <w:p w:rsidR="0068684E" w:rsidRDefault="0068684E">
      <w:pPr>
        <w:keepNext/>
        <w:keepLines/>
        <w:spacing w:beforeLines="100" w:before="312" w:afterLines="100" w:after="312" w:line="360" w:lineRule="auto"/>
        <w:ind w:firstLine="960"/>
        <w:jc w:val="center"/>
        <w:outlineLvl w:val="0"/>
        <w:rPr>
          <w:rFonts w:ascii="Times New Roman" w:eastAsia="宋体" w:hAnsi="Times New Roman" w:cs="Times New Roman"/>
          <w:b/>
          <w:kern w:val="44"/>
          <w:sz w:val="32"/>
          <w:szCs w:val="20"/>
        </w:rPr>
        <w:sectPr w:rsidR="0068684E">
          <w:headerReference w:type="default" r:id="rId15"/>
          <w:footerReference w:type="default" r:id="rId16"/>
          <w:type w:val="continuous"/>
          <w:pgSz w:w="11906" w:h="16838"/>
          <w:pgMar w:top="1440" w:right="1826" w:bottom="1440" w:left="1622" w:header="851" w:footer="992" w:gutter="0"/>
          <w:cols w:space="425"/>
          <w:docGrid w:type="lines" w:linePitch="312"/>
        </w:sectPr>
      </w:pPr>
      <w:bookmarkStart w:id="3" w:name="_Toc68261814"/>
      <w:bookmarkStart w:id="4" w:name="_Toc450218554"/>
      <w:bookmarkStart w:id="5" w:name="_Toc468181941"/>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6" w:name="_Toc208913373"/>
      <w:bookmarkStart w:id="7" w:name="_Toc3252"/>
      <w:r>
        <w:rPr>
          <w:rFonts w:ascii="Times New Roman" w:eastAsia="宋体" w:hAnsi="Times New Roman" w:cs="Times New Roman" w:hint="eastAsia"/>
          <w:b/>
          <w:kern w:val="44"/>
          <w:sz w:val="32"/>
          <w:szCs w:val="20"/>
        </w:rPr>
        <w:lastRenderedPageBreak/>
        <w:t>重要提示</w:t>
      </w:r>
      <w:bookmarkEnd w:id="3"/>
      <w:bookmarkEnd w:id="4"/>
      <w:bookmarkEnd w:id="5"/>
      <w:bookmarkEnd w:id="6"/>
      <w:bookmarkEnd w:id="7"/>
    </w:p>
    <w:p w:rsidR="0068684E" w:rsidRDefault="000021E4">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富国智汇稳健</w:t>
      </w:r>
      <w:r>
        <w:rPr>
          <w:rFonts w:ascii="Times New Roman" w:eastAsia="宋体" w:hAnsi="Times New Roman" w:cs="Times New Roman" w:hint="eastAsia"/>
          <w:sz w:val="24"/>
          <w:szCs w:val="20"/>
        </w:rPr>
        <w:t>3</w:t>
      </w:r>
      <w:r>
        <w:rPr>
          <w:rFonts w:ascii="Times New Roman" w:eastAsia="宋体" w:hAnsi="Times New Roman" w:cs="Times New Roman" w:hint="eastAsia"/>
          <w:sz w:val="24"/>
          <w:szCs w:val="20"/>
        </w:rPr>
        <w:t>个月持有期混合型基金中基金（</w:t>
      </w:r>
      <w:r>
        <w:rPr>
          <w:rFonts w:ascii="Times New Roman" w:eastAsia="宋体" w:hAnsi="Times New Roman" w:cs="Times New Roman" w:hint="eastAsia"/>
          <w:sz w:val="24"/>
          <w:szCs w:val="20"/>
        </w:rPr>
        <w:t>FOF</w:t>
      </w:r>
      <w:r>
        <w:rPr>
          <w:rFonts w:ascii="Times New Roman" w:eastAsia="宋体" w:hAnsi="Times New Roman" w:cs="Times New Roman" w:hint="eastAsia"/>
          <w:sz w:val="24"/>
          <w:szCs w:val="20"/>
        </w:rPr>
        <w:t>）（以下简称“本基金”）已于</w:t>
      </w:r>
      <w:r>
        <w:rPr>
          <w:rFonts w:ascii="Times New Roman" w:eastAsia="宋体" w:hAnsi="Times New Roman" w:cs="Times New Roman"/>
          <w:sz w:val="24"/>
          <w:szCs w:val="20"/>
        </w:rPr>
        <w:t>2025</w:t>
      </w:r>
      <w:r>
        <w:rPr>
          <w:rFonts w:ascii="Times New Roman" w:eastAsia="宋体" w:hAnsi="Times New Roman" w:cs="Times New Roman" w:hint="eastAsia"/>
          <w:sz w:val="24"/>
          <w:szCs w:val="20"/>
        </w:rPr>
        <w:t>年</w:t>
      </w:r>
      <w:r>
        <w:rPr>
          <w:rFonts w:ascii="Times New Roman" w:eastAsia="宋体" w:hAnsi="Times New Roman" w:cs="Times New Roman"/>
          <w:sz w:val="24"/>
          <w:szCs w:val="20"/>
        </w:rPr>
        <w:t>12</w:t>
      </w:r>
      <w:r>
        <w:rPr>
          <w:rFonts w:ascii="Times New Roman" w:eastAsia="宋体" w:hAnsi="Times New Roman" w:cs="Times New Roman" w:hint="eastAsia"/>
          <w:sz w:val="24"/>
          <w:szCs w:val="20"/>
        </w:rPr>
        <w:t>月</w:t>
      </w:r>
      <w:r>
        <w:rPr>
          <w:rFonts w:ascii="Times New Roman" w:eastAsia="宋体" w:hAnsi="Times New Roman" w:cs="Times New Roman"/>
          <w:sz w:val="24"/>
          <w:szCs w:val="20"/>
        </w:rPr>
        <w:t>25</w:t>
      </w:r>
      <w:r>
        <w:rPr>
          <w:rFonts w:ascii="Times New Roman" w:eastAsia="宋体" w:hAnsi="Times New Roman" w:cs="Times New Roman" w:hint="eastAsia"/>
          <w:sz w:val="24"/>
          <w:szCs w:val="20"/>
        </w:rPr>
        <w:t>日获得中国证监会准予注册的批复（证监许可【</w:t>
      </w:r>
      <w:r>
        <w:rPr>
          <w:rFonts w:ascii="Times New Roman" w:eastAsia="宋体" w:hAnsi="Times New Roman" w:cs="Times New Roman"/>
          <w:sz w:val="24"/>
          <w:szCs w:val="20"/>
        </w:rPr>
        <w:t>2025</w:t>
      </w:r>
      <w:r>
        <w:rPr>
          <w:rFonts w:ascii="Times New Roman" w:eastAsia="宋体" w:hAnsi="Times New Roman" w:cs="Times New Roman" w:hint="eastAsia"/>
          <w:sz w:val="24"/>
          <w:szCs w:val="20"/>
        </w:rPr>
        <w:t>】</w:t>
      </w:r>
      <w:r>
        <w:rPr>
          <w:rFonts w:ascii="Times New Roman" w:eastAsia="宋体" w:hAnsi="Times New Roman" w:cs="Times New Roman"/>
          <w:sz w:val="24"/>
          <w:szCs w:val="20"/>
        </w:rPr>
        <w:t>2926</w:t>
      </w:r>
      <w:r>
        <w:rPr>
          <w:rFonts w:ascii="Times New Roman" w:eastAsia="宋体" w:hAnsi="Times New Roman" w:cs="Times New Roman" w:hint="eastAsia"/>
          <w:sz w:val="24"/>
          <w:szCs w:val="20"/>
        </w:rPr>
        <w:t>号《关于准予富国智汇稳健</w:t>
      </w:r>
      <w:r>
        <w:rPr>
          <w:rFonts w:ascii="Times New Roman" w:eastAsia="宋体" w:hAnsi="Times New Roman" w:cs="Times New Roman" w:hint="eastAsia"/>
          <w:sz w:val="24"/>
          <w:szCs w:val="20"/>
        </w:rPr>
        <w:t>3</w:t>
      </w:r>
      <w:r>
        <w:rPr>
          <w:rFonts w:ascii="Times New Roman" w:eastAsia="宋体" w:hAnsi="Times New Roman" w:cs="Times New Roman" w:hint="eastAsia"/>
          <w:sz w:val="24"/>
          <w:szCs w:val="20"/>
        </w:rPr>
        <w:t>个月持有期混合型基金中基金（</w:t>
      </w:r>
      <w:r>
        <w:rPr>
          <w:rFonts w:ascii="Times New Roman" w:eastAsia="宋体" w:hAnsi="Times New Roman" w:cs="Times New Roman" w:hint="eastAsia"/>
          <w:sz w:val="24"/>
          <w:szCs w:val="20"/>
        </w:rPr>
        <w:t>FOF</w:t>
      </w:r>
      <w:r>
        <w:rPr>
          <w:rFonts w:ascii="Times New Roman" w:eastAsia="宋体" w:hAnsi="Times New Roman" w:cs="Times New Roman" w:hint="eastAsia"/>
          <w:sz w:val="24"/>
          <w:szCs w:val="20"/>
        </w:rPr>
        <w:t>）注册的批复》）。</w:t>
      </w:r>
    </w:p>
    <w:p w:rsidR="0068684E" w:rsidRDefault="000021E4">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基金管理人保证本招募说明书的内容真实、准确、完整。本招募说明书经中国证监会注册，但</w:t>
      </w:r>
      <w:r>
        <w:rPr>
          <w:rFonts w:ascii="Times New Roman" w:eastAsia="宋体" w:hAnsi="Times New Roman" w:cs="Times New Roman"/>
          <w:sz w:val="24"/>
          <w:szCs w:val="20"/>
        </w:rPr>
        <w:t>中国证监会对本基金募集的</w:t>
      </w:r>
      <w:r>
        <w:rPr>
          <w:rFonts w:ascii="Times New Roman" w:eastAsia="宋体" w:hAnsi="Times New Roman" w:cs="Times New Roman" w:hint="eastAsia"/>
          <w:sz w:val="24"/>
          <w:szCs w:val="20"/>
        </w:rPr>
        <w:t>注册</w:t>
      </w:r>
      <w:r>
        <w:rPr>
          <w:rFonts w:ascii="Times New Roman" w:eastAsia="宋体" w:hAnsi="Times New Roman" w:cs="Times New Roman"/>
          <w:sz w:val="24"/>
          <w:szCs w:val="20"/>
        </w:rPr>
        <w:t>，并不表明其对本基金的</w:t>
      </w:r>
      <w:r>
        <w:rPr>
          <w:rFonts w:ascii="Times New Roman" w:eastAsia="宋体" w:hAnsi="Times New Roman" w:cs="Times New Roman" w:hint="eastAsia"/>
          <w:sz w:val="24"/>
          <w:szCs w:val="20"/>
        </w:rPr>
        <w:t>投资</w:t>
      </w:r>
      <w:r>
        <w:rPr>
          <w:rFonts w:ascii="Times New Roman" w:eastAsia="宋体" w:hAnsi="Times New Roman" w:cs="Times New Roman"/>
          <w:sz w:val="24"/>
          <w:szCs w:val="20"/>
        </w:rPr>
        <w:t>价值</w:t>
      </w:r>
      <w:r>
        <w:rPr>
          <w:rFonts w:ascii="Times New Roman" w:eastAsia="宋体" w:hAnsi="Times New Roman" w:cs="Times New Roman" w:hint="eastAsia"/>
          <w:sz w:val="24"/>
          <w:szCs w:val="20"/>
        </w:rPr>
        <w:t>、收益</w:t>
      </w:r>
      <w:r>
        <w:rPr>
          <w:rFonts w:ascii="Times New Roman" w:eastAsia="宋体" w:hAnsi="Times New Roman" w:cs="Times New Roman"/>
          <w:sz w:val="24"/>
          <w:szCs w:val="20"/>
        </w:rPr>
        <w:t>和</w:t>
      </w:r>
      <w:r>
        <w:rPr>
          <w:rFonts w:ascii="Times New Roman" w:eastAsia="宋体" w:hAnsi="Times New Roman" w:cs="Times New Roman" w:hint="eastAsia"/>
          <w:sz w:val="24"/>
          <w:szCs w:val="20"/>
        </w:rPr>
        <w:t>市场前景等</w:t>
      </w:r>
      <w:r>
        <w:rPr>
          <w:rFonts w:ascii="Times New Roman" w:eastAsia="宋体" w:hAnsi="Times New Roman" w:cs="Times New Roman"/>
          <w:sz w:val="24"/>
          <w:szCs w:val="20"/>
        </w:rPr>
        <w:t>做出实质性判断或保证，也不表明投资于本基金没有风险</w:t>
      </w:r>
      <w:r>
        <w:rPr>
          <w:rFonts w:ascii="Times New Roman" w:eastAsia="宋体" w:hAnsi="Times New Roman" w:cs="Times New Roman" w:hint="eastAsia"/>
          <w:sz w:val="24"/>
          <w:szCs w:val="20"/>
        </w:rPr>
        <w:t>。</w:t>
      </w:r>
    </w:p>
    <w:p w:rsidR="0068684E" w:rsidRDefault="000021E4">
      <w:pPr>
        <w:spacing w:line="360" w:lineRule="auto"/>
        <w:ind w:firstLineChars="200" w:firstLine="480"/>
        <w:rPr>
          <w:rFonts w:ascii="Times New Roman" w:eastAsia="宋体" w:hAnsi="宋体" w:cs="Times New Roman"/>
          <w:bCs/>
          <w:color w:val="000000"/>
          <w:sz w:val="24"/>
          <w:szCs w:val="24"/>
        </w:rPr>
      </w:pPr>
      <w:r>
        <w:rPr>
          <w:rFonts w:ascii="Times New Roman" w:eastAsia="宋体" w:hAnsi="宋体" w:cs="Times New Roman" w:hint="eastAsia"/>
          <w:bCs/>
          <w:color w:val="000000"/>
          <w:sz w:val="24"/>
          <w:szCs w:val="24"/>
        </w:rPr>
        <w:t>本基金主要投资于经中国证监会依法核准或注册的公开募集的基金份额</w:t>
      </w:r>
      <w:r>
        <w:rPr>
          <w:rFonts w:ascii="Times New Roman" w:eastAsia="宋体" w:hAnsi="宋体" w:cs="Times New Roman"/>
          <w:bCs/>
          <w:color w:val="000000"/>
          <w:sz w:val="24"/>
          <w:szCs w:val="24"/>
        </w:rPr>
        <w:t>，基金净值会因为证券市场波动等因素产生波动，</w:t>
      </w:r>
      <w:r>
        <w:rPr>
          <w:rFonts w:ascii="Times New Roman" w:eastAsia="宋体" w:hAnsi="宋体" w:cs="Times New Roman" w:hint="eastAsia"/>
          <w:bCs/>
          <w:color w:val="000000"/>
          <w:sz w:val="24"/>
          <w:szCs w:val="24"/>
        </w:rPr>
        <w:t>投资本基金风险详见招募说明书“风险揭示”章节，</w:t>
      </w:r>
      <w:r>
        <w:rPr>
          <w:rFonts w:ascii="Times New Roman" w:eastAsia="宋体" w:hAnsi="宋体" w:cs="Times New Roman"/>
          <w:bCs/>
          <w:color w:val="000000"/>
          <w:sz w:val="24"/>
          <w:szCs w:val="24"/>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rsidR="0068684E" w:rsidRDefault="000021E4">
      <w:pPr>
        <w:spacing w:line="360" w:lineRule="auto"/>
        <w:ind w:firstLineChars="200" w:firstLine="480"/>
        <w:rPr>
          <w:rFonts w:ascii="Times New Roman" w:eastAsia="宋体" w:hAnsi="Times New Roman" w:cs="Times New Roman"/>
          <w:bCs/>
          <w:color w:val="000000"/>
          <w:sz w:val="24"/>
          <w:szCs w:val="24"/>
        </w:rPr>
      </w:pPr>
      <w:bookmarkStart w:id="8" w:name="OLE_LINK1"/>
      <w:r>
        <w:rPr>
          <w:rFonts w:ascii="Times New Roman" w:eastAsia="宋体" w:hAnsi="Times New Roman" w:cs="Times New Roman" w:hint="eastAsia"/>
          <w:bCs/>
          <w:color w:val="000000"/>
          <w:sz w:val="24"/>
          <w:szCs w:val="24"/>
        </w:rPr>
        <w:t>本基金为混合型基金中基金，在通常情况下其预期收益及预期风险水平高于债券型基金、货币市场基金、债券型基金中基金和货币型基金中基金，低于股票型基金和股票型基金中基金</w:t>
      </w:r>
      <w:bookmarkEnd w:id="8"/>
      <w:r>
        <w:rPr>
          <w:rFonts w:ascii="Times New Roman" w:eastAsia="宋体" w:hAnsi="Times New Roman" w:cs="Times New Roman" w:hint="eastAsia"/>
          <w:bCs/>
          <w:color w:val="000000"/>
          <w:sz w:val="24"/>
          <w:szCs w:val="24"/>
        </w:rPr>
        <w:t>。</w:t>
      </w:r>
    </w:p>
    <w:p w:rsidR="0068684E" w:rsidRDefault="000021E4">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投资有风险，投资者认购（或申购）基金前，应认真阅读本招募说明书、</w:t>
      </w:r>
      <w:r>
        <w:rPr>
          <w:rFonts w:ascii="Times New Roman" w:eastAsia="宋体" w:hAnsi="Times New Roman" w:cs="Times New Roman"/>
          <w:sz w:val="24"/>
          <w:szCs w:val="20"/>
        </w:rPr>
        <w:t>基金合同</w:t>
      </w:r>
      <w:r>
        <w:rPr>
          <w:rFonts w:ascii="Times New Roman" w:eastAsia="宋体" w:hAnsi="Times New Roman" w:cs="Times New Roman" w:hint="eastAsia"/>
          <w:sz w:val="24"/>
          <w:szCs w:val="20"/>
        </w:rPr>
        <w:t>、基金产品资料概要</w:t>
      </w:r>
      <w:r>
        <w:rPr>
          <w:rFonts w:ascii="Times New Roman" w:eastAsia="宋体" w:hAnsi="Times New Roman" w:cs="Times New Roman"/>
          <w:sz w:val="24"/>
          <w:szCs w:val="20"/>
        </w:rPr>
        <w:t>等信息披露文件</w:t>
      </w:r>
      <w:r>
        <w:rPr>
          <w:rFonts w:ascii="Times New Roman" w:eastAsia="宋体" w:hAnsi="Times New Roman" w:cs="Times New Roman" w:hint="eastAsia"/>
          <w:sz w:val="24"/>
          <w:szCs w:val="20"/>
        </w:rPr>
        <w:t>，全面认识本基金产品的风险收益特征和产品特性，自主判断基金的投资价值，并根据自身的投资目的、投资期限、投资经验、资产状况等判断本基金是否和自身的风险承受能力相适应；投资者应充分考虑自身的风险承受能力，理性判断市场，对认购（或申购）基金的意愿、时机、数量等投资行为作出独立决策，获得基金投资收益，亦自行承担基金投资中出现的各类风险。</w:t>
      </w:r>
    </w:p>
    <w:p w:rsidR="0068684E" w:rsidRDefault="000021E4">
      <w:pPr>
        <w:spacing w:line="360" w:lineRule="auto"/>
        <w:ind w:firstLineChars="200" w:firstLine="480"/>
        <w:rPr>
          <w:rFonts w:ascii="Times New Roman" w:eastAsia="宋体" w:hAnsi="Times New Roman" w:cs="Times New Roman"/>
          <w:bCs/>
          <w:color w:val="000000"/>
          <w:sz w:val="24"/>
          <w:szCs w:val="24"/>
        </w:rPr>
      </w:pPr>
      <w:bookmarkStart w:id="9" w:name="OLE_LINK36"/>
      <w:bookmarkStart w:id="10" w:name="OLE_LINK37"/>
      <w:r>
        <w:rPr>
          <w:rFonts w:ascii="Times New Roman" w:eastAsia="宋体" w:hAnsi="Times New Roman" w:cs="Times New Roman" w:hint="eastAsia"/>
          <w:bCs/>
          <w:color w:val="000000"/>
          <w:sz w:val="24"/>
          <w:szCs w:val="24"/>
        </w:rPr>
        <w:t>本基金是混合型基金中基金，存在大类资产配置风险，有可能受到经济周期、市场环境或基金管理人对市场所处的经济周期和产业周期的判断不足等因素的影响，导致基金的大类资产配置比例偏离最优化水平，给基金投资组合的表现带来风险。本基金对被投资基金的评估具有一定的主观性，将在基金投资决策中给基</w:t>
      </w:r>
      <w:r>
        <w:rPr>
          <w:rFonts w:ascii="Times New Roman" w:eastAsia="宋体" w:hAnsi="Times New Roman" w:cs="Times New Roman" w:hint="eastAsia"/>
          <w:bCs/>
          <w:color w:val="000000"/>
          <w:sz w:val="24"/>
          <w:szCs w:val="24"/>
        </w:rPr>
        <w:lastRenderedPageBreak/>
        <w:t>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rsidR="0068684E" w:rsidRDefault="000021E4">
      <w:pPr>
        <w:spacing w:line="360" w:lineRule="auto"/>
        <w:ind w:firstLineChars="200" w:firstLine="480"/>
        <w:rPr>
          <w:rFonts w:ascii="Times New Roman" w:eastAsia="宋体" w:hAnsi="Times New Roman" w:cs="Times New Roman"/>
          <w:bCs/>
          <w:color w:val="000000"/>
          <w:sz w:val="24"/>
          <w:szCs w:val="24"/>
        </w:rPr>
      </w:pPr>
      <w:bookmarkStart w:id="11" w:name="OLE_LINK2"/>
      <w:bookmarkStart w:id="12" w:name="OLE_LINK3"/>
      <w:r>
        <w:rPr>
          <w:rFonts w:ascii="Times New Roman" w:eastAsia="宋体" w:hAnsi="Times New Roman" w:cs="Times New Roman" w:hint="eastAsia"/>
          <w:bCs/>
          <w:color w:val="000000"/>
          <w:sz w:val="24"/>
          <w:szCs w:val="24"/>
        </w:rPr>
        <w:t>本基金投资内地与香港股票市场交易互</w:t>
      </w:r>
      <w:bookmarkEnd w:id="9"/>
      <w:bookmarkEnd w:id="10"/>
      <w:r>
        <w:rPr>
          <w:rFonts w:ascii="Times New Roman" w:eastAsia="宋体" w:hAnsi="Times New Roman" w:cs="Times New Roman" w:hint="eastAsia"/>
          <w:bCs/>
          <w:color w:val="000000"/>
          <w:sz w:val="24"/>
          <w:szCs w:val="24"/>
        </w:rPr>
        <w:t>联互通机制允许买卖的规定范围内的香港联合交易所上市的股票、</w:t>
      </w:r>
      <w:r>
        <w:rPr>
          <w:rFonts w:ascii="Times New Roman" w:eastAsia="宋体" w:hAnsi="Times New Roman" w:cs="Times New Roman" w:hint="eastAsia"/>
          <w:bCs/>
          <w:color w:val="000000"/>
          <w:sz w:val="24"/>
          <w:szCs w:val="24"/>
        </w:rPr>
        <w:t>ETF</w:t>
      </w:r>
      <w:r>
        <w:rPr>
          <w:rFonts w:ascii="Times New Roman" w:eastAsia="宋体" w:hAnsi="Times New Roman" w:cs="Times New Roman" w:hint="eastAsia"/>
          <w:bCs/>
          <w:color w:val="000000"/>
          <w:sz w:val="24"/>
          <w:szCs w:val="24"/>
        </w:rPr>
        <w:t>（以下合称“港股通标的证券”），会面临港股通机制下因投资环境、投资标的、市场制度以及交易规则等差异带来的特有风险，包括港股市场股价波动较大的风险（港股市场实行</w:t>
      </w:r>
      <w:r>
        <w:rPr>
          <w:rFonts w:ascii="Times New Roman" w:eastAsia="宋体" w:hAnsi="Times New Roman" w:cs="Times New Roman" w:hint="eastAsia"/>
          <w:bCs/>
          <w:color w:val="000000"/>
          <w:sz w:val="24"/>
          <w:szCs w:val="24"/>
        </w:rPr>
        <w:t>T+0</w:t>
      </w:r>
      <w:r>
        <w:rPr>
          <w:rFonts w:ascii="Times New Roman" w:eastAsia="宋体" w:hAnsi="Times New Roman" w:cs="Times New Roman" w:hint="eastAsia"/>
          <w:bCs/>
          <w:color w:val="000000"/>
          <w:sz w:val="24"/>
          <w:szCs w:val="24"/>
        </w:rPr>
        <w:t>回转交易，且对个股不设涨跌幅限制，港股股价可能表现出比</w:t>
      </w:r>
      <w:r>
        <w:rPr>
          <w:rFonts w:ascii="Times New Roman" w:eastAsia="宋体" w:hAnsi="Times New Roman" w:cs="Times New Roman" w:hint="eastAsia"/>
          <w:bCs/>
          <w:color w:val="000000"/>
          <w:sz w:val="24"/>
          <w:szCs w:val="24"/>
        </w:rPr>
        <w:t>A</w:t>
      </w:r>
      <w:r>
        <w:rPr>
          <w:rFonts w:ascii="Times New Roman" w:eastAsia="宋体" w:hAnsi="Times New Roman" w:cs="Times New Roman" w:hint="eastAsia"/>
          <w:bCs/>
          <w:color w:val="000000"/>
          <w:sz w:val="24"/>
          <w:szCs w:val="24"/>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港股通</w:t>
      </w:r>
      <w:r>
        <w:rPr>
          <w:rFonts w:ascii="Times New Roman" w:eastAsia="宋体" w:hAnsi="Times New Roman" w:cs="Times New Roman" w:hint="eastAsia"/>
          <w:bCs/>
          <w:color w:val="000000"/>
          <w:sz w:val="24"/>
          <w:szCs w:val="24"/>
        </w:rPr>
        <w:t>ETF</w:t>
      </w:r>
      <w:r>
        <w:rPr>
          <w:rFonts w:ascii="Times New Roman" w:eastAsia="宋体" w:hAnsi="Times New Roman" w:cs="Times New Roman" w:hint="eastAsia"/>
          <w:bCs/>
          <w:color w:val="000000"/>
          <w:sz w:val="24"/>
          <w:szCs w:val="24"/>
        </w:rPr>
        <w:t>价格较大波动的风险（因跟踪标的指数成份证券大幅波动、流动性不佳、受有关场外结构化产品影响、交易异常情形等原因而引起价格较大波动）等。具体风险请查阅本基金招募说明书的“风险揭示”章节的具体内容。本基金可根据投资策略需要或不同配置地市场环境的变化，选择将部分基金资产投资于港股通标的证券或选择不将基金资产投资于港股通标的证券，基金资产并非必然投资港股通标的证券。</w:t>
      </w:r>
    </w:p>
    <w:p w:rsidR="0068684E" w:rsidRDefault="000021E4">
      <w:pPr>
        <w:spacing w:line="360" w:lineRule="auto"/>
        <w:ind w:firstLineChars="200" w:firstLine="480"/>
        <w:rPr>
          <w:rFonts w:ascii="Times New Roman" w:eastAsia="宋体" w:hAnsi="Times New Roman" w:cs="Times New Roman"/>
          <w:bCs/>
          <w:sz w:val="24"/>
          <w:szCs w:val="20"/>
        </w:rPr>
      </w:pPr>
      <w:bookmarkStart w:id="13" w:name="OLE_LINK28"/>
      <w:bookmarkEnd w:id="11"/>
      <w:bookmarkEnd w:id="12"/>
      <w:r>
        <w:rPr>
          <w:rFonts w:ascii="Times New Roman" w:eastAsia="宋体" w:hAnsi="Times New Roman" w:cs="Times New Roman" w:hint="eastAsia"/>
          <w:bCs/>
          <w:sz w:val="24"/>
          <w:szCs w:val="20"/>
        </w:rPr>
        <w:t>本基金的投资范围包括存托凭证。存托凭证是新证券品种，本基金若投资存托凭证的，在承担境内上市交易股票投资的共同风险外，还将承担与存托凭证、创新企业发行、境外发行人以及交易机制相关的特有风险。</w:t>
      </w:r>
    </w:p>
    <w:p w:rsidR="0068684E" w:rsidRDefault="000021E4">
      <w:pPr>
        <w:spacing w:line="360" w:lineRule="auto"/>
        <w:ind w:firstLineChars="200" w:firstLine="480"/>
        <w:rPr>
          <w:rFonts w:ascii="Times New Roman" w:eastAsia="宋体" w:hAnsi="Times New Roman" w:cs="Times New Roman"/>
          <w:bCs/>
          <w:sz w:val="24"/>
          <w:szCs w:val="24"/>
        </w:rPr>
      </w:pPr>
      <w:bookmarkStart w:id="14" w:name="OLE_LINK29"/>
      <w:bookmarkEnd w:id="13"/>
      <w:r>
        <w:rPr>
          <w:rFonts w:ascii="Times New Roman" w:eastAsia="宋体" w:hAnsi="Times New Roman" w:cs="Times New Roman" w:hint="eastAsia"/>
          <w:bCs/>
          <w:sz w:val="24"/>
          <w:szCs w:val="24"/>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bookmarkEnd w:id="14"/>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本基金可投资资产支持证券，存在一定的流动性风险、违约风险、信用风险、现金流预测风险、操作风险。</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基金合同生效后，本基金对每一份认购</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申购</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转换转入的基金份额分别计算</w:t>
      </w:r>
      <w:r>
        <w:rPr>
          <w:rFonts w:ascii="Times New Roman" w:eastAsia="宋体" w:hAnsi="Times New Roman" w:cs="Times New Roman"/>
          <w:bCs/>
          <w:sz w:val="24"/>
          <w:szCs w:val="20"/>
        </w:rPr>
        <w:t>3</w:t>
      </w:r>
      <w:r>
        <w:rPr>
          <w:rFonts w:ascii="Times New Roman" w:eastAsia="宋体" w:hAnsi="Times New Roman" w:cs="Times New Roman"/>
          <w:bCs/>
          <w:sz w:val="24"/>
          <w:szCs w:val="20"/>
        </w:rPr>
        <w:t>个月</w:t>
      </w:r>
      <w:r>
        <w:rPr>
          <w:rFonts w:ascii="Times New Roman" w:eastAsia="宋体" w:hAnsi="Times New Roman" w:cs="Times New Roman" w:hint="eastAsia"/>
          <w:bCs/>
          <w:sz w:val="24"/>
          <w:szCs w:val="20"/>
        </w:rPr>
        <w:t>的最短持有期。投资者持有的基金份额自最短持有期到期日的下一个工作日起（含当日），方可申请办理赎回或转换转出业务。因此基金份额持有人面临在最</w:t>
      </w:r>
      <w:r>
        <w:rPr>
          <w:rFonts w:ascii="Times New Roman" w:eastAsia="宋体" w:hAnsi="Times New Roman" w:cs="Times New Roman" w:hint="eastAsia"/>
          <w:bCs/>
          <w:sz w:val="24"/>
          <w:szCs w:val="20"/>
        </w:rPr>
        <w:lastRenderedPageBreak/>
        <w:t>短持有期内不能赎回或转换转出基金份额的风险。</w:t>
      </w:r>
    </w:p>
    <w:p w:rsidR="0068684E" w:rsidRDefault="000021E4">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rsidR="0068684E" w:rsidRDefault="000021E4">
      <w:pPr>
        <w:spacing w:line="360" w:lineRule="auto"/>
        <w:ind w:firstLineChars="200" w:firstLine="480"/>
        <w:rPr>
          <w:rFonts w:ascii="Times New Roman" w:eastAsia="宋体" w:hAnsi="Times New Roman" w:cs="Times New Roman"/>
          <w:sz w:val="24"/>
          <w:szCs w:val="24"/>
        </w:rPr>
      </w:pPr>
      <w:bookmarkStart w:id="15" w:name="OLE_LINK35"/>
      <w:r>
        <w:rPr>
          <w:rFonts w:ascii="Times New Roman" w:eastAsia="宋体" w:hAnsi="Times New Roman" w:cs="Times New Roman" w:hint="eastAsia"/>
          <w:bCs/>
          <w:sz w:val="24"/>
          <w:szCs w:val="24"/>
        </w:rPr>
        <w:t>本基金单一投资者持有基金份额数不得达到或超过基金总份额的</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，但在基金运作过程中因基金份额赎回等情形导致被动达到或超过</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的情形除外。法律法规、监管机构另有规定的，从其规定</w:t>
      </w:r>
      <w:r>
        <w:rPr>
          <w:rFonts w:ascii="Times New Roman" w:eastAsia="宋体" w:hAnsi="Times New Roman" w:cs="Times New Roman" w:hint="eastAsia"/>
          <w:sz w:val="24"/>
          <w:szCs w:val="24"/>
        </w:rPr>
        <w:t>。</w:t>
      </w:r>
    </w:p>
    <w:p w:rsidR="0068684E" w:rsidRDefault="000021E4">
      <w:pPr>
        <w:spacing w:line="360" w:lineRule="auto"/>
        <w:ind w:firstLineChars="200" w:firstLine="480"/>
        <w:rPr>
          <w:rFonts w:ascii="Times New Roman" w:eastAsia="宋体" w:hAnsi="Times New Roman" w:cs="Times New Roman"/>
          <w:bCs/>
          <w:sz w:val="24"/>
          <w:szCs w:val="20"/>
        </w:rPr>
      </w:pPr>
      <w:bookmarkStart w:id="16" w:name="OLE_LINK54"/>
      <w:bookmarkStart w:id="17" w:name="OLE_LINK55"/>
      <w:r>
        <w:rPr>
          <w:rFonts w:ascii="Times New Roman" w:eastAsia="宋体" w:hAnsi="Times New Roman" w:cs="Times New Roman" w:hint="eastAsia"/>
          <w:bCs/>
          <w:sz w:val="24"/>
          <w:szCs w:val="20"/>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r>
        <w:rPr>
          <w:rFonts w:ascii="Times New Roman" w:eastAsia="宋体" w:hAnsi="Times New Roman" w:cs="Times New Roman" w:hint="eastAsia"/>
          <w:sz w:val="24"/>
          <w:szCs w:val="20"/>
        </w:rPr>
        <w:t>。</w:t>
      </w:r>
    </w:p>
    <w:bookmarkEnd w:id="16"/>
    <w:bookmarkEnd w:id="17"/>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32"/>
          <w:szCs w:val="20"/>
        </w:rPr>
        <w:br w:type="page"/>
      </w:r>
      <w:bookmarkStart w:id="18" w:name="_Toc174109135"/>
      <w:bookmarkStart w:id="19" w:name="_Toc68200270"/>
      <w:bookmarkStart w:id="20" w:name="_Toc468181942"/>
      <w:bookmarkStart w:id="21" w:name="_Toc208913374"/>
      <w:bookmarkStart w:id="22" w:name="_Toc133593445"/>
      <w:bookmarkStart w:id="23" w:name="_Toc203563319"/>
      <w:bookmarkStart w:id="24" w:name="_Toc22210"/>
      <w:bookmarkStart w:id="25" w:name="_Toc450218555"/>
      <w:bookmarkStart w:id="26" w:name="_Toc121491707"/>
      <w:bookmarkStart w:id="27" w:name="_Toc182316556"/>
      <w:bookmarkStart w:id="28" w:name="_Toc68261815"/>
      <w:bookmarkStart w:id="29" w:name="_Toc1594"/>
      <w:bookmarkEnd w:id="15"/>
      <w:r>
        <w:rPr>
          <w:rFonts w:ascii="Times New Roman" w:eastAsia="宋体" w:hAnsi="Times New Roman" w:cs="Times New Roman"/>
          <w:b/>
          <w:kern w:val="0"/>
          <w:sz w:val="32"/>
          <w:szCs w:val="20"/>
        </w:rPr>
        <w:lastRenderedPageBreak/>
        <w:t>目</w:t>
      </w:r>
      <w:r>
        <w:rPr>
          <w:rFonts w:ascii="Times New Roman" w:eastAsia="宋体" w:hAnsi="Times New Roman" w:cs="Times New Roman"/>
          <w:b/>
          <w:kern w:val="0"/>
          <w:sz w:val="32"/>
          <w:szCs w:val="20"/>
        </w:rPr>
        <w:t xml:space="preserve"> </w:t>
      </w:r>
      <w:r>
        <w:rPr>
          <w:rFonts w:ascii="Times New Roman" w:eastAsia="宋体" w:hAnsi="Times New Roman" w:cs="Times New Roman"/>
          <w:b/>
          <w:kern w:val="0"/>
          <w:sz w:val="32"/>
          <w:szCs w:val="20"/>
        </w:rPr>
        <w:t>录</w:t>
      </w:r>
      <w:bookmarkEnd w:id="18"/>
      <w:bookmarkEnd w:id="19"/>
      <w:bookmarkEnd w:id="20"/>
      <w:bookmarkEnd w:id="21"/>
      <w:bookmarkEnd w:id="22"/>
      <w:bookmarkEnd w:id="23"/>
      <w:bookmarkEnd w:id="24"/>
      <w:bookmarkEnd w:id="25"/>
      <w:bookmarkEnd w:id="26"/>
      <w:bookmarkEnd w:id="27"/>
      <w:bookmarkEnd w:id="28"/>
      <w:bookmarkEnd w:id="29"/>
    </w:p>
    <w:bookmarkStart w:id="30" w:name="_Toc109537379"/>
    <w:p w:rsidR="0068684E" w:rsidRDefault="000021E4">
      <w:pPr>
        <w:pStyle w:val="10"/>
        <w:tabs>
          <w:tab w:val="clear" w:pos="8450"/>
          <w:tab w:val="right" w:leader="dot" w:pos="8458"/>
        </w:tabs>
      </w:pPr>
      <w:r>
        <w:rPr>
          <w:rFonts w:ascii="Times New Roman" w:hAnsi="Times New Roman"/>
          <w:u w:val="single"/>
        </w:rPr>
        <w:fldChar w:fldCharType="begin"/>
      </w:r>
      <w:r>
        <w:rPr>
          <w:rFonts w:ascii="Times New Roman" w:eastAsia="宋体" w:hAnsi="Times New Roman"/>
          <w:bCs/>
          <w:u w:val="single"/>
        </w:rPr>
        <w:instrText xml:space="preserve"> TOC \o "1-1" \h \z \u </w:instrText>
      </w:r>
      <w:r>
        <w:rPr>
          <w:rFonts w:ascii="Times New Roman" w:hAnsi="Times New Roman"/>
          <w:u w:val="single"/>
        </w:rPr>
        <w:fldChar w:fldCharType="separate"/>
      </w:r>
      <w:hyperlink w:anchor="_Toc30984" w:history="1">
        <w:r>
          <w:rPr>
            <w:rFonts w:ascii="Times New Roman" w:eastAsia="宋体" w:hAnsi="Times New Roman" w:hint="eastAsia"/>
            <w:kern w:val="44"/>
            <w:szCs w:val="20"/>
          </w:rPr>
          <w:t>第一部分</w:t>
        </w:r>
        <w:r>
          <w:rPr>
            <w:rFonts w:ascii="Times New Roman" w:eastAsia="宋体" w:hAnsi="Times New Roman"/>
            <w:kern w:val="44"/>
            <w:szCs w:val="20"/>
          </w:rPr>
          <w:t xml:space="preserve">  </w:t>
        </w:r>
        <w:r>
          <w:rPr>
            <w:rFonts w:ascii="Times New Roman" w:eastAsia="宋体" w:hAnsi="Times New Roman" w:hint="eastAsia"/>
            <w:kern w:val="44"/>
            <w:szCs w:val="20"/>
          </w:rPr>
          <w:t>前言</w:t>
        </w:r>
        <w:r>
          <w:tab/>
        </w:r>
        <w:r>
          <w:fldChar w:fldCharType="begin"/>
        </w:r>
        <w:r>
          <w:instrText xml:space="preserve"> PAGEREF _Toc30984 \h </w:instrText>
        </w:r>
        <w:r>
          <w:fldChar w:fldCharType="separate"/>
        </w:r>
        <w:r>
          <w:t>1</w:t>
        </w:r>
        <w:r>
          <w:fldChar w:fldCharType="end"/>
        </w:r>
      </w:hyperlink>
    </w:p>
    <w:p w:rsidR="0068684E" w:rsidRDefault="00AA4C24">
      <w:pPr>
        <w:pStyle w:val="10"/>
        <w:tabs>
          <w:tab w:val="clear" w:pos="8450"/>
          <w:tab w:val="right" w:leader="dot" w:pos="8458"/>
        </w:tabs>
      </w:pPr>
      <w:hyperlink w:anchor="_Toc26089" w:history="1">
        <w:r w:rsidR="000021E4">
          <w:rPr>
            <w:rFonts w:ascii="Times New Roman" w:eastAsia="宋体" w:hAnsi="Times New Roman"/>
            <w:kern w:val="0"/>
            <w:szCs w:val="20"/>
          </w:rPr>
          <w:t>第二部分</w:t>
        </w:r>
        <w:r w:rsidR="000021E4">
          <w:rPr>
            <w:rFonts w:ascii="Times New Roman" w:eastAsia="宋体" w:hAnsi="Times New Roman"/>
            <w:kern w:val="0"/>
            <w:szCs w:val="20"/>
          </w:rPr>
          <w:t xml:space="preserve">  </w:t>
        </w:r>
        <w:r w:rsidR="000021E4">
          <w:rPr>
            <w:rFonts w:ascii="Times New Roman" w:eastAsia="宋体" w:hAnsi="Times New Roman"/>
            <w:kern w:val="0"/>
            <w:szCs w:val="20"/>
          </w:rPr>
          <w:t>释义</w:t>
        </w:r>
        <w:r w:rsidR="000021E4">
          <w:tab/>
        </w:r>
        <w:r w:rsidR="000021E4">
          <w:fldChar w:fldCharType="begin"/>
        </w:r>
        <w:r w:rsidR="000021E4">
          <w:instrText xml:space="preserve"> PAGEREF _Toc26089 \h </w:instrText>
        </w:r>
        <w:r w:rsidR="000021E4">
          <w:fldChar w:fldCharType="separate"/>
        </w:r>
        <w:r w:rsidR="000021E4">
          <w:t>2</w:t>
        </w:r>
        <w:r w:rsidR="000021E4">
          <w:fldChar w:fldCharType="end"/>
        </w:r>
      </w:hyperlink>
    </w:p>
    <w:p w:rsidR="0068684E" w:rsidRDefault="00AA4C24">
      <w:pPr>
        <w:pStyle w:val="10"/>
        <w:tabs>
          <w:tab w:val="clear" w:pos="8450"/>
          <w:tab w:val="right" w:leader="dot" w:pos="8458"/>
        </w:tabs>
      </w:pPr>
      <w:hyperlink w:anchor="_Toc25881" w:history="1">
        <w:r w:rsidR="000021E4">
          <w:rPr>
            <w:rFonts w:ascii="Times New Roman" w:eastAsia="宋体" w:hAnsi="Times New Roman" w:hint="eastAsia"/>
            <w:kern w:val="0"/>
            <w:szCs w:val="20"/>
          </w:rPr>
          <w:t>第三部分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基金管理人</w:t>
        </w:r>
        <w:r w:rsidR="000021E4">
          <w:tab/>
        </w:r>
        <w:r w:rsidR="000021E4">
          <w:fldChar w:fldCharType="begin"/>
        </w:r>
        <w:r w:rsidR="000021E4">
          <w:instrText xml:space="preserve"> PAGEREF _Toc25881 \h </w:instrText>
        </w:r>
        <w:r w:rsidR="000021E4">
          <w:fldChar w:fldCharType="separate"/>
        </w:r>
        <w:r w:rsidR="000021E4">
          <w:t>8</w:t>
        </w:r>
        <w:r w:rsidR="000021E4">
          <w:fldChar w:fldCharType="end"/>
        </w:r>
      </w:hyperlink>
    </w:p>
    <w:p w:rsidR="0068684E" w:rsidRDefault="00AA4C24">
      <w:pPr>
        <w:pStyle w:val="10"/>
        <w:tabs>
          <w:tab w:val="clear" w:pos="8450"/>
          <w:tab w:val="right" w:leader="dot" w:pos="8458"/>
        </w:tabs>
      </w:pPr>
      <w:hyperlink w:anchor="_Toc5376" w:history="1">
        <w:r w:rsidR="000021E4">
          <w:rPr>
            <w:rFonts w:ascii="Times New Roman" w:eastAsia="宋体" w:hAnsi="Times New Roman"/>
            <w:kern w:val="0"/>
            <w:szCs w:val="20"/>
          </w:rPr>
          <w:t>第四部分</w:t>
        </w:r>
        <w:r w:rsidR="000021E4">
          <w:rPr>
            <w:rFonts w:ascii="Times New Roman" w:eastAsia="宋体" w:hAnsi="Times New Roman"/>
            <w:kern w:val="0"/>
            <w:szCs w:val="20"/>
          </w:rPr>
          <w:t xml:space="preserve">  </w:t>
        </w:r>
        <w:r w:rsidR="000021E4">
          <w:rPr>
            <w:rFonts w:ascii="Times New Roman" w:eastAsia="宋体" w:hAnsi="Times New Roman"/>
            <w:kern w:val="0"/>
            <w:szCs w:val="20"/>
          </w:rPr>
          <w:t>基金托管人</w:t>
        </w:r>
        <w:r w:rsidR="000021E4">
          <w:tab/>
        </w:r>
        <w:r w:rsidR="000021E4">
          <w:fldChar w:fldCharType="begin"/>
        </w:r>
        <w:r w:rsidR="000021E4">
          <w:instrText xml:space="preserve"> PAGEREF _Toc5376 \h </w:instrText>
        </w:r>
        <w:r w:rsidR="000021E4">
          <w:fldChar w:fldCharType="separate"/>
        </w:r>
        <w:r w:rsidR="000021E4">
          <w:t>20</w:t>
        </w:r>
        <w:r w:rsidR="000021E4">
          <w:fldChar w:fldCharType="end"/>
        </w:r>
      </w:hyperlink>
    </w:p>
    <w:p w:rsidR="0068684E" w:rsidRDefault="00AA4C24">
      <w:pPr>
        <w:pStyle w:val="10"/>
        <w:tabs>
          <w:tab w:val="clear" w:pos="8450"/>
          <w:tab w:val="right" w:leader="dot" w:pos="8458"/>
        </w:tabs>
      </w:pPr>
      <w:hyperlink w:anchor="_Toc16406" w:history="1">
        <w:r w:rsidR="000021E4">
          <w:rPr>
            <w:rFonts w:ascii="Times New Roman" w:eastAsia="宋体" w:hAnsi="Times New Roman" w:hint="eastAsia"/>
            <w:kern w:val="44"/>
            <w:szCs w:val="20"/>
          </w:rPr>
          <w:t>第五部分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相关服务机构</w:t>
        </w:r>
        <w:r w:rsidR="000021E4">
          <w:tab/>
        </w:r>
        <w:r w:rsidR="000021E4">
          <w:fldChar w:fldCharType="begin"/>
        </w:r>
        <w:r w:rsidR="000021E4">
          <w:instrText xml:space="preserve"> PAGEREF _Toc16406 \h </w:instrText>
        </w:r>
        <w:r w:rsidR="000021E4">
          <w:fldChar w:fldCharType="separate"/>
        </w:r>
        <w:r w:rsidR="000021E4">
          <w:t>22</w:t>
        </w:r>
        <w:r w:rsidR="000021E4">
          <w:fldChar w:fldCharType="end"/>
        </w:r>
      </w:hyperlink>
    </w:p>
    <w:p w:rsidR="0068684E" w:rsidRDefault="00AA4C24">
      <w:pPr>
        <w:pStyle w:val="10"/>
        <w:tabs>
          <w:tab w:val="clear" w:pos="8450"/>
          <w:tab w:val="right" w:leader="dot" w:pos="8458"/>
        </w:tabs>
      </w:pPr>
      <w:hyperlink w:anchor="_Toc1252" w:history="1">
        <w:r w:rsidR="000021E4">
          <w:rPr>
            <w:rFonts w:ascii="Times New Roman" w:eastAsia="宋体" w:hAnsi="Times New Roman" w:hint="eastAsia"/>
            <w:kern w:val="44"/>
            <w:szCs w:val="20"/>
          </w:rPr>
          <w:t>第六部分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基金的募集</w:t>
        </w:r>
        <w:r w:rsidR="000021E4">
          <w:tab/>
        </w:r>
        <w:r w:rsidR="000021E4">
          <w:fldChar w:fldCharType="begin"/>
        </w:r>
        <w:r w:rsidR="000021E4">
          <w:instrText xml:space="preserve"> PAGEREF _Toc1252 \h </w:instrText>
        </w:r>
        <w:r w:rsidR="000021E4">
          <w:fldChar w:fldCharType="separate"/>
        </w:r>
        <w:r w:rsidR="000021E4">
          <w:t>24</w:t>
        </w:r>
        <w:r w:rsidR="000021E4">
          <w:fldChar w:fldCharType="end"/>
        </w:r>
      </w:hyperlink>
    </w:p>
    <w:p w:rsidR="0068684E" w:rsidRDefault="00AA4C24">
      <w:pPr>
        <w:pStyle w:val="10"/>
        <w:tabs>
          <w:tab w:val="clear" w:pos="8450"/>
          <w:tab w:val="right" w:leader="dot" w:pos="8458"/>
        </w:tabs>
      </w:pPr>
      <w:hyperlink w:anchor="_Toc16634" w:history="1">
        <w:r w:rsidR="000021E4">
          <w:rPr>
            <w:rFonts w:ascii="Times New Roman" w:eastAsia="宋体" w:hAnsi="Times New Roman" w:hint="eastAsia"/>
            <w:kern w:val="0"/>
            <w:szCs w:val="20"/>
          </w:rPr>
          <w:t>第七部分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w:t>
        </w:r>
        <w:r w:rsidR="000021E4">
          <w:rPr>
            <w:rFonts w:ascii="Times New Roman" w:eastAsia="宋体" w:hAnsi="Times New Roman"/>
            <w:kern w:val="0"/>
            <w:szCs w:val="20"/>
          </w:rPr>
          <w:t>合同的生效</w:t>
        </w:r>
        <w:r w:rsidR="000021E4">
          <w:tab/>
        </w:r>
        <w:r w:rsidR="000021E4">
          <w:fldChar w:fldCharType="begin"/>
        </w:r>
        <w:r w:rsidR="000021E4">
          <w:instrText xml:space="preserve"> PAGEREF _Toc16634 \h </w:instrText>
        </w:r>
        <w:r w:rsidR="000021E4">
          <w:fldChar w:fldCharType="separate"/>
        </w:r>
        <w:r w:rsidR="000021E4">
          <w:t>29</w:t>
        </w:r>
        <w:r w:rsidR="000021E4">
          <w:fldChar w:fldCharType="end"/>
        </w:r>
      </w:hyperlink>
    </w:p>
    <w:p w:rsidR="0068684E" w:rsidRDefault="00AA4C24">
      <w:pPr>
        <w:pStyle w:val="10"/>
        <w:tabs>
          <w:tab w:val="clear" w:pos="8450"/>
          <w:tab w:val="right" w:leader="dot" w:pos="8458"/>
        </w:tabs>
      </w:pPr>
      <w:hyperlink w:anchor="_Toc5925" w:history="1">
        <w:r w:rsidR="000021E4">
          <w:rPr>
            <w:rFonts w:ascii="Times New Roman" w:eastAsia="宋体" w:hAnsi="Times New Roman" w:hint="eastAsia"/>
            <w:kern w:val="44"/>
            <w:szCs w:val="20"/>
          </w:rPr>
          <w:t>第八部分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基金份额的申购与赎回</w:t>
        </w:r>
        <w:r w:rsidR="000021E4">
          <w:tab/>
        </w:r>
        <w:r w:rsidR="000021E4">
          <w:fldChar w:fldCharType="begin"/>
        </w:r>
        <w:r w:rsidR="000021E4">
          <w:instrText xml:space="preserve"> PAGEREF _Toc5925 \h </w:instrText>
        </w:r>
        <w:r w:rsidR="000021E4">
          <w:fldChar w:fldCharType="separate"/>
        </w:r>
        <w:r w:rsidR="000021E4">
          <w:t>30</w:t>
        </w:r>
        <w:r w:rsidR="000021E4">
          <w:fldChar w:fldCharType="end"/>
        </w:r>
      </w:hyperlink>
    </w:p>
    <w:p w:rsidR="0068684E" w:rsidRDefault="00AA4C24">
      <w:pPr>
        <w:pStyle w:val="10"/>
        <w:tabs>
          <w:tab w:val="clear" w:pos="8450"/>
          <w:tab w:val="right" w:leader="dot" w:pos="8458"/>
        </w:tabs>
      </w:pPr>
      <w:hyperlink w:anchor="_Toc14227" w:history="1">
        <w:r w:rsidR="000021E4">
          <w:rPr>
            <w:rFonts w:ascii="Times New Roman" w:eastAsia="宋体" w:hAnsi="Times New Roman" w:hint="eastAsia"/>
            <w:kern w:val="0"/>
            <w:szCs w:val="20"/>
          </w:rPr>
          <w:t>第九部分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基金的投资</w:t>
        </w:r>
        <w:r w:rsidR="000021E4">
          <w:tab/>
        </w:r>
        <w:r w:rsidR="000021E4">
          <w:fldChar w:fldCharType="begin"/>
        </w:r>
        <w:r w:rsidR="000021E4">
          <w:instrText xml:space="preserve"> PAGEREF _Toc14227 \h </w:instrText>
        </w:r>
        <w:r w:rsidR="000021E4">
          <w:fldChar w:fldCharType="separate"/>
        </w:r>
        <w:r w:rsidR="000021E4">
          <w:t>45</w:t>
        </w:r>
        <w:r w:rsidR="000021E4">
          <w:fldChar w:fldCharType="end"/>
        </w:r>
      </w:hyperlink>
    </w:p>
    <w:p w:rsidR="0068684E" w:rsidRDefault="00AA4C24">
      <w:pPr>
        <w:pStyle w:val="10"/>
        <w:tabs>
          <w:tab w:val="clear" w:pos="8450"/>
          <w:tab w:val="right" w:leader="dot" w:pos="8458"/>
        </w:tabs>
      </w:pPr>
      <w:hyperlink w:anchor="_Toc26347" w:history="1">
        <w:r w:rsidR="000021E4">
          <w:rPr>
            <w:rFonts w:ascii="Times New Roman" w:eastAsia="宋体" w:hAnsi="Times New Roman" w:hint="eastAsia"/>
            <w:kern w:val="44"/>
            <w:szCs w:val="20"/>
          </w:rPr>
          <w:t>第十部分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基金的财产</w:t>
        </w:r>
        <w:r w:rsidR="000021E4">
          <w:tab/>
        </w:r>
        <w:r w:rsidR="000021E4">
          <w:fldChar w:fldCharType="begin"/>
        </w:r>
        <w:r w:rsidR="000021E4">
          <w:instrText xml:space="preserve"> PAGEREF _Toc26347 \h </w:instrText>
        </w:r>
        <w:r w:rsidR="000021E4">
          <w:fldChar w:fldCharType="separate"/>
        </w:r>
        <w:r w:rsidR="000021E4">
          <w:t>54</w:t>
        </w:r>
        <w:r w:rsidR="000021E4">
          <w:fldChar w:fldCharType="end"/>
        </w:r>
      </w:hyperlink>
    </w:p>
    <w:p w:rsidR="0068684E" w:rsidRDefault="00AA4C24">
      <w:pPr>
        <w:pStyle w:val="10"/>
        <w:tabs>
          <w:tab w:val="clear" w:pos="8450"/>
          <w:tab w:val="right" w:leader="dot" w:pos="8458"/>
        </w:tabs>
      </w:pPr>
      <w:hyperlink w:anchor="_Toc31406" w:history="1">
        <w:r w:rsidR="000021E4">
          <w:rPr>
            <w:rFonts w:ascii="Times New Roman" w:eastAsia="宋体" w:hAnsi="Times New Roman" w:hint="eastAsia"/>
            <w:kern w:val="44"/>
            <w:szCs w:val="20"/>
          </w:rPr>
          <w:t>第十一部分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基金资产估值</w:t>
        </w:r>
        <w:r w:rsidR="000021E4">
          <w:tab/>
        </w:r>
        <w:r w:rsidR="000021E4">
          <w:fldChar w:fldCharType="begin"/>
        </w:r>
        <w:r w:rsidR="000021E4">
          <w:instrText xml:space="preserve"> PAGEREF _Toc31406 \h </w:instrText>
        </w:r>
        <w:r w:rsidR="000021E4">
          <w:fldChar w:fldCharType="separate"/>
        </w:r>
        <w:r w:rsidR="000021E4">
          <w:t>55</w:t>
        </w:r>
        <w:r w:rsidR="000021E4">
          <w:fldChar w:fldCharType="end"/>
        </w:r>
      </w:hyperlink>
    </w:p>
    <w:p w:rsidR="0068684E" w:rsidRDefault="00AA4C24">
      <w:pPr>
        <w:pStyle w:val="10"/>
        <w:tabs>
          <w:tab w:val="clear" w:pos="8450"/>
          <w:tab w:val="right" w:leader="dot" w:pos="8458"/>
        </w:tabs>
      </w:pPr>
      <w:hyperlink w:anchor="_Toc7921" w:history="1">
        <w:r w:rsidR="000021E4">
          <w:rPr>
            <w:rFonts w:ascii="Times New Roman" w:eastAsia="宋体" w:hAnsi="Times New Roman" w:hint="eastAsia"/>
            <w:kern w:val="0"/>
            <w:szCs w:val="20"/>
          </w:rPr>
          <w:t>第十二部分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基金的收益与分配</w:t>
        </w:r>
        <w:r w:rsidR="000021E4">
          <w:tab/>
        </w:r>
        <w:r w:rsidR="000021E4">
          <w:fldChar w:fldCharType="begin"/>
        </w:r>
        <w:r w:rsidR="000021E4">
          <w:instrText xml:space="preserve"> PAGEREF _Toc7921 \h </w:instrText>
        </w:r>
        <w:r w:rsidR="000021E4">
          <w:fldChar w:fldCharType="separate"/>
        </w:r>
        <w:r w:rsidR="000021E4">
          <w:t>62</w:t>
        </w:r>
        <w:r w:rsidR="000021E4">
          <w:fldChar w:fldCharType="end"/>
        </w:r>
      </w:hyperlink>
    </w:p>
    <w:p w:rsidR="0068684E" w:rsidRDefault="00AA4C24">
      <w:pPr>
        <w:pStyle w:val="10"/>
        <w:tabs>
          <w:tab w:val="clear" w:pos="8450"/>
          <w:tab w:val="right" w:leader="dot" w:pos="8458"/>
        </w:tabs>
      </w:pPr>
      <w:hyperlink w:anchor="_Toc1207" w:history="1">
        <w:r w:rsidR="000021E4">
          <w:rPr>
            <w:rFonts w:ascii="Times New Roman" w:eastAsia="宋体" w:hAnsi="Times New Roman" w:hint="eastAsia"/>
            <w:kern w:val="0"/>
            <w:szCs w:val="20"/>
          </w:rPr>
          <w:t>第十三部分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基金的费用与税收</w:t>
        </w:r>
        <w:r w:rsidR="000021E4">
          <w:tab/>
        </w:r>
        <w:r w:rsidR="000021E4">
          <w:fldChar w:fldCharType="begin"/>
        </w:r>
        <w:r w:rsidR="000021E4">
          <w:instrText xml:space="preserve"> PAGEREF _Toc1207 \h </w:instrText>
        </w:r>
        <w:r w:rsidR="000021E4">
          <w:fldChar w:fldCharType="separate"/>
        </w:r>
        <w:r w:rsidR="000021E4">
          <w:t>64</w:t>
        </w:r>
        <w:r w:rsidR="000021E4">
          <w:fldChar w:fldCharType="end"/>
        </w:r>
      </w:hyperlink>
    </w:p>
    <w:p w:rsidR="0068684E" w:rsidRDefault="00AA4C24">
      <w:pPr>
        <w:pStyle w:val="10"/>
        <w:tabs>
          <w:tab w:val="clear" w:pos="8450"/>
          <w:tab w:val="right" w:leader="dot" w:pos="8458"/>
        </w:tabs>
      </w:pPr>
      <w:hyperlink w:anchor="_Toc18467" w:history="1">
        <w:r w:rsidR="000021E4">
          <w:rPr>
            <w:rFonts w:ascii="Times New Roman" w:eastAsia="宋体" w:hAnsi="Times New Roman" w:hint="eastAsia"/>
            <w:kern w:val="0"/>
            <w:szCs w:val="20"/>
          </w:rPr>
          <w:t>第十四部分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基金的会计与审计</w:t>
        </w:r>
        <w:r w:rsidR="000021E4">
          <w:tab/>
        </w:r>
        <w:r w:rsidR="000021E4">
          <w:fldChar w:fldCharType="begin"/>
        </w:r>
        <w:r w:rsidR="000021E4">
          <w:instrText xml:space="preserve"> PAGEREF _Toc18467 \h </w:instrText>
        </w:r>
        <w:r w:rsidR="000021E4">
          <w:fldChar w:fldCharType="separate"/>
        </w:r>
        <w:r w:rsidR="000021E4">
          <w:t>67</w:t>
        </w:r>
        <w:r w:rsidR="000021E4">
          <w:fldChar w:fldCharType="end"/>
        </w:r>
      </w:hyperlink>
    </w:p>
    <w:p w:rsidR="0068684E" w:rsidRDefault="00AA4C24">
      <w:pPr>
        <w:pStyle w:val="10"/>
        <w:tabs>
          <w:tab w:val="clear" w:pos="8450"/>
          <w:tab w:val="right" w:leader="dot" w:pos="8458"/>
        </w:tabs>
      </w:pPr>
      <w:hyperlink w:anchor="_Toc6739" w:history="1">
        <w:r w:rsidR="000021E4">
          <w:rPr>
            <w:rFonts w:ascii="Times New Roman" w:eastAsia="宋体" w:hAnsi="Times New Roman" w:hint="eastAsia"/>
            <w:kern w:val="44"/>
            <w:szCs w:val="20"/>
          </w:rPr>
          <w:t>第十五部分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基金的信息披露</w:t>
        </w:r>
        <w:r w:rsidR="000021E4">
          <w:tab/>
        </w:r>
        <w:r w:rsidR="000021E4">
          <w:fldChar w:fldCharType="begin"/>
        </w:r>
        <w:r w:rsidR="000021E4">
          <w:instrText xml:space="preserve"> PAGEREF _Toc6739 \h </w:instrText>
        </w:r>
        <w:r w:rsidR="000021E4">
          <w:fldChar w:fldCharType="separate"/>
        </w:r>
        <w:r w:rsidR="000021E4">
          <w:t>68</w:t>
        </w:r>
        <w:r w:rsidR="000021E4">
          <w:fldChar w:fldCharType="end"/>
        </w:r>
      </w:hyperlink>
    </w:p>
    <w:p w:rsidR="0068684E" w:rsidRDefault="00AA4C24">
      <w:pPr>
        <w:pStyle w:val="10"/>
        <w:tabs>
          <w:tab w:val="clear" w:pos="8450"/>
          <w:tab w:val="right" w:leader="dot" w:pos="8458"/>
        </w:tabs>
      </w:pPr>
      <w:hyperlink w:anchor="_Toc7769" w:history="1">
        <w:r w:rsidR="000021E4">
          <w:rPr>
            <w:rFonts w:ascii="Times New Roman" w:eastAsia="宋体" w:hAnsi="Times New Roman"/>
            <w:kern w:val="0"/>
            <w:szCs w:val="20"/>
          </w:rPr>
          <w:t>第十六部分</w:t>
        </w:r>
        <w:r w:rsidR="000021E4">
          <w:rPr>
            <w:rFonts w:ascii="Times New Roman" w:eastAsia="宋体" w:hAnsi="Times New Roman" w:hint="eastAsia"/>
            <w:kern w:val="0"/>
            <w:szCs w:val="20"/>
          </w:rPr>
          <w:t xml:space="preserve"> </w:t>
        </w:r>
        <w:r w:rsidR="000021E4">
          <w:rPr>
            <w:rFonts w:ascii="Times New Roman" w:eastAsia="宋体" w:hAnsi="Times New Roman"/>
            <w:kern w:val="0"/>
            <w:szCs w:val="20"/>
          </w:rPr>
          <w:t xml:space="preserve"> </w:t>
        </w:r>
        <w:r w:rsidR="000021E4">
          <w:rPr>
            <w:rFonts w:ascii="Times New Roman" w:eastAsia="宋体"/>
            <w:bCs/>
            <w:kern w:val="44"/>
            <w:szCs w:val="32"/>
          </w:rPr>
          <w:t>侧袋机制</w:t>
        </w:r>
        <w:r w:rsidR="000021E4">
          <w:tab/>
        </w:r>
        <w:r w:rsidR="000021E4">
          <w:fldChar w:fldCharType="begin"/>
        </w:r>
        <w:r w:rsidR="000021E4">
          <w:instrText xml:space="preserve"> PAGEREF _Toc7769 \h </w:instrText>
        </w:r>
        <w:r w:rsidR="000021E4">
          <w:fldChar w:fldCharType="separate"/>
        </w:r>
        <w:r w:rsidR="000021E4">
          <w:t>76</w:t>
        </w:r>
        <w:r w:rsidR="000021E4">
          <w:fldChar w:fldCharType="end"/>
        </w:r>
      </w:hyperlink>
    </w:p>
    <w:p w:rsidR="0068684E" w:rsidRDefault="00AA4C24">
      <w:pPr>
        <w:pStyle w:val="10"/>
        <w:tabs>
          <w:tab w:val="clear" w:pos="8450"/>
          <w:tab w:val="right" w:leader="dot" w:pos="8458"/>
        </w:tabs>
      </w:pPr>
      <w:hyperlink w:anchor="_Toc29365" w:history="1">
        <w:r w:rsidR="000021E4">
          <w:rPr>
            <w:rFonts w:ascii="Times New Roman" w:eastAsia="宋体" w:hAnsi="Times New Roman" w:hint="eastAsia"/>
            <w:kern w:val="0"/>
            <w:szCs w:val="20"/>
          </w:rPr>
          <w:t>第十七部分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风险揭示</w:t>
        </w:r>
        <w:r w:rsidR="000021E4">
          <w:tab/>
        </w:r>
        <w:r w:rsidR="000021E4">
          <w:fldChar w:fldCharType="begin"/>
        </w:r>
        <w:r w:rsidR="000021E4">
          <w:instrText xml:space="preserve"> PAGEREF _Toc29365 \h </w:instrText>
        </w:r>
        <w:r w:rsidR="000021E4">
          <w:fldChar w:fldCharType="separate"/>
        </w:r>
        <w:r w:rsidR="000021E4">
          <w:t>79</w:t>
        </w:r>
        <w:r w:rsidR="000021E4">
          <w:fldChar w:fldCharType="end"/>
        </w:r>
      </w:hyperlink>
    </w:p>
    <w:p w:rsidR="0068684E" w:rsidRDefault="00AA4C24">
      <w:pPr>
        <w:pStyle w:val="10"/>
        <w:tabs>
          <w:tab w:val="clear" w:pos="8450"/>
          <w:tab w:val="right" w:leader="dot" w:pos="8458"/>
        </w:tabs>
      </w:pPr>
      <w:hyperlink w:anchor="_Toc9161" w:history="1">
        <w:r w:rsidR="000021E4">
          <w:rPr>
            <w:rFonts w:ascii="Times New Roman" w:eastAsia="宋体" w:hAnsi="Times New Roman" w:hint="eastAsia"/>
            <w:kern w:val="0"/>
            <w:szCs w:val="20"/>
          </w:rPr>
          <w:t>第十八部分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基金合同的变更、终止与基金财产的清算</w:t>
        </w:r>
        <w:r w:rsidR="000021E4">
          <w:tab/>
        </w:r>
        <w:r w:rsidR="000021E4">
          <w:fldChar w:fldCharType="begin"/>
        </w:r>
        <w:r w:rsidR="000021E4">
          <w:instrText xml:space="preserve"> PAGEREF _Toc9161 \h </w:instrText>
        </w:r>
        <w:r w:rsidR="000021E4">
          <w:fldChar w:fldCharType="separate"/>
        </w:r>
        <w:r w:rsidR="000021E4">
          <w:t>96</w:t>
        </w:r>
        <w:r w:rsidR="000021E4">
          <w:fldChar w:fldCharType="end"/>
        </w:r>
      </w:hyperlink>
    </w:p>
    <w:p w:rsidR="0068684E" w:rsidRDefault="00AA4C24">
      <w:pPr>
        <w:pStyle w:val="10"/>
        <w:tabs>
          <w:tab w:val="clear" w:pos="8450"/>
          <w:tab w:val="right" w:leader="dot" w:pos="8458"/>
        </w:tabs>
      </w:pPr>
      <w:hyperlink w:anchor="_Toc22467" w:history="1">
        <w:r w:rsidR="000021E4">
          <w:rPr>
            <w:rFonts w:ascii="Times New Roman" w:eastAsia="宋体" w:hAnsi="Times New Roman" w:hint="eastAsia"/>
            <w:kern w:val="44"/>
            <w:szCs w:val="20"/>
          </w:rPr>
          <w:t>第十九部分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基金合同的内容摘要</w:t>
        </w:r>
        <w:r w:rsidR="000021E4">
          <w:tab/>
        </w:r>
        <w:r w:rsidR="000021E4">
          <w:fldChar w:fldCharType="begin"/>
        </w:r>
        <w:r w:rsidR="000021E4">
          <w:instrText xml:space="preserve"> PAGEREF _Toc22467 \h </w:instrText>
        </w:r>
        <w:r w:rsidR="000021E4">
          <w:fldChar w:fldCharType="separate"/>
        </w:r>
        <w:r w:rsidR="000021E4">
          <w:t>98</w:t>
        </w:r>
        <w:r w:rsidR="000021E4">
          <w:fldChar w:fldCharType="end"/>
        </w:r>
      </w:hyperlink>
    </w:p>
    <w:p w:rsidR="0068684E" w:rsidRDefault="00AA4C24">
      <w:pPr>
        <w:pStyle w:val="10"/>
        <w:tabs>
          <w:tab w:val="clear" w:pos="8450"/>
          <w:tab w:val="right" w:leader="dot" w:pos="8458"/>
        </w:tabs>
      </w:pPr>
      <w:hyperlink w:anchor="_Toc12579" w:history="1">
        <w:r w:rsidR="000021E4">
          <w:rPr>
            <w:rFonts w:ascii="Times New Roman" w:eastAsia="宋体" w:hAnsi="Times New Roman" w:hint="eastAsia"/>
            <w:kern w:val="44"/>
            <w:szCs w:val="20"/>
          </w:rPr>
          <w:t>第二十部分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基金托管协议的内容摘要</w:t>
        </w:r>
        <w:r w:rsidR="000021E4">
          <w:tab/>
        </w:r>
        <w:r w:rsidR="000021E4">
          <w:fldChar w:fldCharType="begin"/>
        </w:r>
        <w:r w:rsidR="000021E4">
          <w:instrText xml:space="preserve"> PAGEREF _Toc12579 \h </w:instrText>
        </w:r>
        <w:r w:rsidR="000021E4">
          <w:fldChar w:fldCharType="separate"/>
        </w:r>
        <w:r w:rsidR="000021E4">
          <w:t>116</w:t>
        </w:r>
        <w:r w:rsidR="000021E4">
          <w:fldChar w:fldCharType="end"/>
        </w:r>
      </w:hyperlink>
    </w:p>
    <w:p w:rsidR="0068684E" w:rsidRDefault="00AA4C24">
      <w:pPr>
        <w:pStyle w:val="10"/>
        <w:tabs>
          <w:tab w:val="clear" w:pos="8450"/>
          <w:tab w:val="right" w:leader="dot" w:pos="8458"/>
        </w:tabs>
      </w:pPr>
      <w:hyperlink w:anchor="_Toc9289" w:history="1">
        <w:r w:rsidR="000021E4">
          <w:rPr>
            <w:rFonts w:ascii="Times New Roman" w:eastAsia="宋体" w:hAnsi="Times New Roman" w:hint="eastAsia"/>
            <w:kern w:val="44"/>
            <w:szCs w:val="20"/>
          </w:rPr>
          <w:t>第二十一部分</w:t>
        </w:r>
        <w:r w:rsidR="000021E4">
          <w:rPr>
            <w:rFonts w:ascii="Times New Roman" w:eastAsia="宋体" w:hAnsi="Times New Roman"/>
            <w:kern w:val="44"/>
            <w:szCs w:val="20"/>
          </w:rPr>
          <w:t xml:space="preserve">  </w:t>
        </w:r>
        <w:r w:rsidR="000021E4">
          <w:rPr>
            <w:rFonts w:ascii="Times New Roman" w:eastAsia="宋体" w:hAnsi="Times New Roman" w:hint="eastAsia"/>
            <w:kern w:val="44"/>
            <w:szCs w:val="20"/>
          </w:rPr>
          <w:t>对基金份额持有人的服务</w:t>
        </w:r>
        <w:r w:rsidR="000021E4">
          <w:tab/>
        </w:r>
        <w:r w:rsidR="000021E4">
          <w:fldChar w:fldCharType="begin"/>
        </w:r>
        <w:r w:rsidR="000021E4">
          <w:instrText xml:space="preserve"> PAGEREF _Toc9289 \h </w:instrText>
        </w:r>
        <w:r w:rsidR="000021E4">
          <w:fldChar w:fldCharType="separate"/>
        </w:r>
        <w:r w:rsidR="000021E4">
          <w:t>129</w:t>
        </w:r>
        <w:r w:rsidR="000021E4">
          <w:fldChar w:fldCharType="end"/>
        </w:r>
      </w:hyperlink>
    </w:p>
    <w:p w:rsidR="0068684E" w:rsidRDefault="00AA4C24">
      <w:pPr>
        <w:pStyle w:val="10"/>
        <w:tabs>
          <w:tab w:val="clear" w:pos="8450"/>
          <w:tab w:val="right" w:leader="dot" w:pos="8458"/>
        </w:tabs>
      </w:pPr>
      <w:hyperlink w:anchor="_Toc28534" w:history="1">
        <w:r w:rsidR="000021E4">
          <w:rPr>
            <w:rFonts w:ascii="Times New Roman" w:eastAsia="宋体" w:hAnsi="Times New Roman" w:hint="eastAsia"/>
            <w:kern w:val="0"/>
            <w:szCs w:val="20"/>
          </w:rPr>
          <w:t>第二十二部分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招募说明书的存放及查阅方式</w:t>
        </w:r>
        <w:r w:rsidR="000021E4">
          <w:tab/>
        </w:r>
        <w:r w:rsidR="000021E4">
          <w:fldChar w:fldCharType="begin"/>
        </w:r>
        <w:r w:rsidR="000021E4">
          <w:instrText xml:space="preserve"> PAGEREF _Toc28534 \h </w:instrText>
        </w:r>
        <w:r w:rsidR="000021E4">
          <w:fldChar w:fldCharType="separate"/>
        </w:r>
        <w:r w:rsidR="000021E4">
          <w:t>131</w:t>
        </w:r>
        <w:r w:rsidR="000021E4">
          <w:fldChar w:fldCharType="end"/>
        </w:r>
      </w:hyperlink>
    </w:p>
    <w:p w:rsidR="0068684E" w:rsidRDefault="00AA4C24">
      <w:pPr>
        <w:pStyle w:val="10"/>
        <w:tabs>
          <w:tab w:val="clear" w:pos="8450"/>
          <w:tab w:val="right" w:leader="dot" w:pos="8458"/>
        </w:tabs>
      </w:pPr>
      <w:hyperlink w:anchor="_Toc30916" w:history="1">
        <w:r w:rsidR="000021E4">
          <w:rPr>
            <w:rFonts w:ascii="Times New Roman" w:eastAsia="宋体" w:hAnsi="Times New Roman" w:hint="eastAsia"/>
            <w:kern w:val="0"/>
            <w:szCs w:val="20"/>
          </w:rPr>
          <w:t>第二十三部分</w:t>
        </w:r>
        <w:r w:rsidR="000021E4">
          <w:rPr>
            <w:rFonts w:ascii="Times New Roman" w:eastAsia="宋体" w:hAnsi="Times New Roman"/>
            <w:kern w:val="0"/>
            <w:szCs w:val="20"/>
          </w:rPr>
          <w:t xml:space="preserve">  </w:t>
        </w:r>
        <w:r w:rsidR="000021E4">
          <w:rPr>
            <w:rFonts w:ascii="Times New Roman" w:eastAsia="宋体" w:hAnsi="Times New Roman" w:hint="eastAsia"/>
            <w:kern w:val="0"/>
            <w:szCs w:val="20"/>
          </w:rPr>
          <w:t>备查文件</w:t>
        </w:r>
        <w:r w:rsidR="000021E4">
          <w:tab/>
        </w:r>
        <w:r w:rsidR="000021E4">
          <w:fldChar w:fldCharType="begin"/>
        </w:r>
        <w:r w:rsidR="000021E4">
          <w:instrText xml:space="preserve"> PAGEREF _Toc30916 \h </w:instrText>
        </w:r>
        <w:r w:rsidR="000021E4">
          <w:fldChar w:fldCharType="separate"/>
        </w:r>
        <w:r w:rsidR="000021E4">
          <w:t>132</w:t>
        </w:r>
        <w:r w:rsidR="000021E4">
          <w:fldChar w:fldCharType="end"/>
        </w:r>
      </w:hyperlink>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sectPr w:rsidR="0068684E">
          <w:pgSz w:w="11906" w:h="16838"/>
          <w:pgMar w:top="1440" w:right="1826" w:bottom="1440" w:left="1622" w:header="851" w:footer="992" w:gutter="0"/>
          <w:cols w:space="425"/>
          <w:docGrid w:type="lines" w:linePitch="312"/>
        </w:sectPr>
      </w:pPr>
      <w:r>
        <w:rPr>
          <w:rFonts w:ascii="Times New Roman" w:eastAsia="宋体" w:hAnsi="Times New Roman" w:cs="Times New Roman"/>
          <w:bCs/>
          <w:sz w:val="24"/>
          <w:szCs w:val="24"/>
        </w:rPr>
        <w:fldChar w:fldCharType="end"/>
      </w:r>
      <w:bookmarkStart w:id="31" w:name="_Toc390614981"/>
      <w:bookmarkStart w:id="32" w:name="_Toc11660"/>
      <w:bookmarkStart w:id="33" w:name="_Toc208913375"/>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34" w:name="_Toc30984"/>
      <w:r>
        <w:rPr>
          <w:rFonts w:ascii="Times New Roman" w:eastAsia="宋体" w:hAnsi="Times New Roman" w:cs="Times New Roman" w:hint="eastAsia"/>
          <w:b/>
          <w:kern w:val="44"/>
          <w:sz w:val="32"/>
          <w:szCs w:val="20"/>
        </w:rPr>
        <w:lastRenderedPageBreak/>
        <w:t>第一部分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前言</w:t>
      </w:r>
      <w:bookmarkEnd w:id="30"/>
      <w:bookmarkEnd w:id="31"/>
      <w:bookmarkEnd w:id="32"/>
      <w:bookmarkEnd w:id="33"/>
      <w:bookmarkEnd w:id="34"/>
    </w:p>
    <w:p w:rsidR="0068684E" w:rsidRDefault="000021E4">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w:t>
      </w:r>
      <w:r>
        <w:rPr>
          <w:rFonts w:ascii="Times New Roman" w:eastAsia="宋体" w:hAnsi="Times New Roman" w:cs="Times New Roman" w:hint="eastAsia"/>
          <w:sz w:val="24"/>
          <w:szCs w:val="20"/>
        </w:rPr>
        <w:t>2</w:t>
      </w:r>
      <w:r>
        <w:rPr>
          <w:rFonts w:ascii="Times New Roman" w:eastAsia="宋体" w:hAnsi="Times New Roman" w:cs="Times New Roman" w:hint="eastAsia"/>
          <w:sz w:val="24"/>
          <w:szCs w:val="20"/>
        </w:rPr>
        <w:t>号——基金中基金指引》和其他有关法律法规的规定，以及《富国智汇稳健</w:t>
      </w:r>
      <w:r>
        <w:rPr>
          <w:rFonts w:ascii="Times New Roman" w:eastAsia="宋体" w:hAnsi="Times New Roman" w:cs="Times New Roman" w:hint="eastAsia"/>
          <w:sz w:val="24"/>
          <w:szCs w:val="20"/>
        </w:rPr>
        <w:t>3</w:t>
      </w:r>
      <w:r>
        <w:rPr>
          <w:rFonts w:ascii="Times New Roman" w:eastAsia="宋体" w:hAnsi="Times New Roman" w:cs="Times New Roman" w:hint="eastAsia"/>
          <w:sz w:val="24"/>
          <w:szCs w:val="20"/>
        </w:rPr>
        <w:t>个月持有期混合型基金中基金（</w:t>
      </w:r>
      <w:r>
        <w:rPr>
          <w:rFonts w:ascii="Times New Roman" w:eastAsia="宋体" w:hAnsi="Times New Roman" w:cs="Times New Roman" w:hint="eastAsia"/>
          <w:sz w:val="24"/>
          <w:szCs w:val="20"/>
        </w:rPr>
        <w:t>FOF</w:t>
      </w:r>
      <w:r>
        <w:rPr>
          <w:rFonts w:ascii="Times New Roman" w:eastAsia="宋体" w:hAnsi="Times New Roman" w:cs="Times New Roman" w:hint="eastAsia"/>
          <w:sz w:val="24"/>
          <w:szCs w:val="20"/>
        </w:rPr>
        <w:t>）基金合同》（以下简称“基金合同”或“《基金合同》”）编写。</w:t>
      </w:r>
    </w:p>
    <w:p w:rsidR="0068684E" w:rsidRDefault="000021E4">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4"/>
        </w:rPr>
        <w:t>本招募说明书阐述</w:t>
      </w:r>
      <w:r>
        <w:rPr>
          <w:rFonts w:ascii="Times New Roman" w:eastAsia="宋体" w:hAnsi="Times New Roman" w:cs="Times New Roman" w:hint="eastAsia"/>
          <w:sz w:val="24"/>
          <w:szCs w:val="20"/>
        </w:rPr>
        <w:t>了富国智汇稳健</w:t>
      </w:r>
      <w:r>
        <w:rPr>
          <w:rFonts w:ascii="Times New Roman" w:eastAsia="宋体" w:hAnsi="Times New Roman" w:cs="Times New Roman" w:hint="eastAsia"/>
          <w:sz w:val="24"/>
          <w:szCs w:val="20"/>
        </w:rPr>
        <w:t>3</w:t>
      </w:r>
      <w:r>
        <w:rPr>
          <w:rFonts w:ascii="Times New Roman" w:eastAsia="宋体" w:hAnsi="Times New Roman" w:cs="Times New Roman" w:hint="eastAsia"/>
          <w:sz w:val="24"/>
          <w:szCs w:val="20"/>
        </w:rPr>
        <w:t>个月持有期混合型基金中基金（</w:t>
      </w:r>
      <w:r>
        <w:rPr>
          <w:rFonts w:ascii="Times New Roman" w:eastAsia="宋体" w:hAnsi="Times New Roman" w:cs="Times New Roman" w:hint="eastAsia"/>
          <w:sz w:val="24"/>
          <w:szCs w:val="20"/>
        </w:rPr>
        <w:t>FOF</w:t>
      </w:r>
      <w:r>
        <w:rPr>
          <w:rFonts w:ascii="Times New Roman" w:eastAsia="宋体" w:hAnsi="Times New Roman" w:cs="Times New Roman" w:hint="eastAsia"/>
          <w:sz w:val="24"/>
          <w:szCs w:val="20"/>
        </w:rPr>
        <w:t>）</w:t>
      </w:r>
      <w:r>
        <w:rPr>
          <w:rFonts w:ascii="Times New Roman" w:eastAsia="宋体" w:hAnsi="Times New Roman" w:cs="Times New Roman" w:hint="eastAsia"/>
          <w:sz w:val="24"/>
          <w:szCs w:val="24"/>
        </w:rPr>
        <w:t>的投资目标、策略、风险、费率等与投资者投资决策有关的全部必要事项，投资者在做出投资决策前应仔细阅读本招募说明书。</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本基金管理人承诺本招募说明书不存在任何虚假内容、误导性陈述或重大遗漏，并对其真实性、准确性、完整性承担法律责任。</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rsidR="0068684E" w:rsidRDefault="000021E4">
      <w:pPr>
        <w:spacing w:line="360" w:lineRule="auto"/>
        <w:ind w:firstLineChars="200" w:firstLine="480"/>
        <w:rPr>
          <w:rFonts w:ascii="Times New Roman" w:eastAsia="宋体" w:hAnsi="Times New Roman" w:cs="Times New Roman"/>
          <w:b/>
          <w:kern w:val="0"/>
          <w:sz w:val="24"/>
          <w:szCs w:val="24"/>
        </w:rPr>
      </w:pPr>
      <w:r>
        <w:rPr>
          <w:rFonts w:ascii="Times New Roman" w:eastAsia="宋体" w:hAnsi="Times New Roman" w:cs="Times New Roman" w:hint="eastAsia"/>
          <w:sz w:val="24"/>
          <w:szCs w:val="24"/>
        </w:rPr>
        <w:t>本招募说明书根据本基金的基金合同编写，并经中国证监会注册。基金合同是约定基金合同当事人之间权利、义务的法律文件。如本招募说明书内容与基金合同有冲突或不一致之处，均以基金合同为准。基金投资者自依基金合同取得基金份额，即成为基金份额持有人和基金合同的当事人，其持有基金份额的行为本身即表明其对基金合同的承认和接受，并按照《基金法》、基金合同及其他有关规定享有权利、承担义务。基金份额持有人作为基金合同当事人并不以在基金合同上书面签章或签字为必要条件。基金投资者欲了解基金份额持有人的权利和义务，应详细查阅基金合同。</w:t>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35" w:name="_Toc109537380"/>
      <w:r>
        <w:rPr>
          <w:rFonts w:ascii="Times New Roman" w:eastAsia="宋体" w:hAnsi="Times New Roman" w:cs="Times New Roman"/>
          <w:b/>
          <w:kern w:val="0"/>
          <w:sz w:val="32"/>
          <w:szCs w:val="20"/>
        </w:rPr>
        <w:br w:type="page"/>
      </w:r>
      <w:bookmarkStart w:id="36" w:name="_Toc22864"/>
      <w:bookmarkStart w:id="37" w:name="_Toc208913376"/>
      <w:bookmarkStart w:id="38" w:name="_Toc6617"/>
      <w:bookmarkStart w:id="39" w:name="_Toc3224"/>
      <w:bookmarkStart w:id="40" w:name="_Toc21301"/>
      <w:bookmarkStart w:id="41" w:name="_Toc15067"/>
      <w:bookmarkStart w:id="42" w:name="_Toc390614982"/>
      <w:bookmarkStart w:id="43" w:name="_Toc31551"/>
      <w:bookmarkStart w:id="44" w:name="_Toc2465"/>
      <w:bookmarkStart w:id="45" w:name="_Toc19592"/>
      <w:bookmarkStart w:id="46" w:name="_Toc24860"/>
      <w:bookmarkStart w:id="47" w:name="_Toc819"/>
      <w:bookmarkStart w:id="48" w:name="_Toc13020"/>
      <w:bookmarkStart w:id="49" w:name="_Toc26089"/>
      <w:r>
        <w:rPr>
          <w:rFonts w:ascii="Times New Roman" w:eastAsia="宋体" w:hAnsi="Times New Roman" w:cs="Times New Roman"/>
          <w:b/>
          <w:kern w:val="0"/>
          <w:sz w:val="32"/>
          <w:szCs w:val="20"/>
        </w:rPr>
        <w:lastRenderedPageBreak/>
        <w:t>第二部分</w:t>
      </w:r>
      <w:r>
        <w:rPr>
          <w:rFonts w:ascii="Times New Roman" w:eastAsia="宋体" w:hAnsi="Times New Roman" w:cs="Times New Roman"/>
          <w:b/>
          <w:kern w:val="0"/>
          <w:sz w:val="32"/>
          <w:szCs w:val="20"/>
        </w:rPr>
        <w:t xml:space="preserve">  </w:t>
      </w:r>
      <w:r>
        <w:rPr>
          <w:rFonts w:ascii="Times New Roman" w:eastAsia="宋体" w:hAnsi="Times New Roman" w:cs="Times New Roman"/>
          <w:b/>
          <w:kern w:val="0"/>
          <w:sz w:val="32"/>
          <w:szCs w:val="20"/>
        </w:rPr>
        <w:t>释义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在本招募说明</w:t>
      </w:r>
      <w:r>
        <w:rPr>
          <w:rFonts w:ascii="Times New Roman" w:eastAsia="宋体" w:hAnsi="Times New Roman" w:cs="Times New Roman"/>
          <w:sz w:val="24"/>
          <w:szCs w:val="24"/>
        </w:rPr>
        <w:t>书</w:t>
      </w:r>
      <w:r>
        <w:rPr>
          <w:rFonts w:ascii="Times New Roman" w:eastAsia="宋体" w:hAnsi="Times New Roman" w:cs="Times New Roman" w:hint="eastAsia"/>
          <w:sz w:val="24"/>
          <w:szCs w:val="24"/>
        </w:rPr>
        <w:t>中，除非文意另有所指，下列词语或简称具有如下含义：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、基金或本基金：指富国智汇稳健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个月持有期混合型基金中基金（</w:t>
      </w:r>
      <w:r>
        <w:rPr>
          <w:rFonts w:ascii="Times New Roman" w:eastAsia="宋体" w:hAnsi="Times New Roman" w:cs="Times New Roman" w:hint="eastAsia"/>
          <w:bCs/>
          <w:sz w:val="24"/>
          <w:szCs w:val="24"/>
        </w:rPr>
        <w:t>FOF</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、基金管理人：指富国基金管理有限公司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、基金托管人：指中国银行股份有限公司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、基金合同：指《富国智汇稳健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个月持有期混合型基金中基金（</w:t>
      </w:r>
      <w:r>
        <w:rPr>
          <w:rFonts w:ascii="Times New Roman" w:eastAsia="宋体" w:hAnsi="Times New Roman" w:cs="Times New Roman" w:hint="eastAsia"/>
          <w:bCs/>
          <w:sz w:val="24"/>
          <w:szCs w:val="24"/>
        </w:rPr>
        <w:t>FOF</w:t>
      </w:r>
      <w:r>
        <w:rPr>
          <w:rFonts w:ascii="Times New Roman" w:eastAsia="宋体" w:hAnsi="Times New Roman" w:cs="Times New Roman" w:hint="eastAsia"/>
          <w:bCs/>
          <w:sz w:val="24"/>
          <w:szCs w:val="24"/>
        </w:rPr>
        <w:t>）基金合同》及对基金合同的任何有效修订和补充</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、托管协议：指基金管理人与基金托管人就本基金签订之《富国智汇稳健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个月持有期混合型基金中基金（</w:t>
      </w:r>
      <w:r>
        <w:rPr>
          <w:rFonts w:ascii="Times New Roman" w:eastAsia="宋体" w:hAnsi="Times New Roman" w:cs="Times New Roman" w:hint="eastAsia"/>
          <w:bCs/>
          <w:sz w:val="24"/>
          <w:szCs w:val="24"/>
        </w:rPr>
        <w:t>FOF</w:t>
      </w:r>
      <w:r>
        <w:rPr>
          <w:rFonts w:ascii="Times New Roman" w:eastAsia="宋体" w:hAnsi="Times New Roman" w:cs="Times New Roman" w:hint="eastAsia"/>
          <w:bCs/>
          <w:sz w:val="24"/>
          <w:szCs w:val="24"/>
        </w:rPr>
        <w:t>）托管协议》及对该托管协议的任何有效修订和补充</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、招募说明书或本招募说明书：指《富国智汇稳健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个月持有期混合型基金中基金（</w:t>
      </w:r>
      <w:r>
        <w:rPr>
          <w:rFonts w:ascii="Times New Roman" w:eastAsia="宋体" w:hAnsi="Times New Roman" w:cs="Times New Roman" w:hint="eastAsia"/>
          <w:bCs/>
          <w:sz w:val="24"/>
          <w:szCs w:val="24"/>
        </w:rPr>
        <w:t>FOF</w:t>
      </w:r>
      <w:r>
        <w:rPr>
          <w:rFonts w:ascii="Times New Roman" w:eastAsia="宋体" w:hAnsi="Times New Roman" w:cs="Times New Roman" w:hint="eastAsia"/>
          <w:bCs/>
          <w:sz w:val="24"/>
          <w:szCs w:val="24"/>
        </w:rPr>
        <w:t>）招募说明书》及其更新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、基金产品资料概要：指《富国智汇稳健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个月持有期混合型基金中基金（</w:t>
      </w:r>
      <w:r>
        <w:rPr>
          <w:rFonts w:ascii="Times New Roman" w:eastAsia="宋体" w:hAnsi="Times New Roman" w:cs="Times New Roman" w:hint="eastAsia"/>
          <w:bCs/>
          <w:sz w:val="24"/>
          <w:szCs w:val="24"/>
        </w:rPr>
        <w:t>FOF</w:t>
      </w:r>
      <w:r>
        <w:rPr>
          <w:rFonts w:ascii="Times New Roman" w:eastAsia="宋体" w:hAnsi="Times New Roman" w:cs="Times New Roman" w:hint="eastAsia"/>
          <w:bCs/>
          <w:sz w:val="24"/>
          <w:szCs w:val="24"/>
        </w:rPr>
        <w:t>）基金产品资料概要》及其更新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、基金份额发售公告：指《富国智汇稳健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个月持有期混合型基金中基金（</w:t>
      </w:r>
      <w:r>
        <w:rPr>
          <w:rFonts w:ascii="Times New Roman" w:eastAsia="宋体" w:hAnsi="Times New Roman" w:cs="Times New Roman" w:hint="eastAsia"/>
          <w:bCs/>
          <w:sz w:val="24"/>
          <w:szCs w:val="24"/>
        </w:rPr>
        <w:t>FOF</w:t>
      </w:r>
      <w:r>
        <w:rPr>
          <w:rFonts w:ascii="Times New Roman" w:eastAsia="宋体" w:hAnsi="Times New Roman" w:cs="Times New Roman" w:hint="eastAsia"/>
          <w:bCs/>
          <w:sz w:val="24"/>
          <w:szCs w:val="24"/>
        </w:rPr>
        <w:t>）基金份额发售公告》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、法律法规：指中国现行有效并公布实施的法律、行政法规、规范性文件、司法解释、行政规章以及其他对基金合同当事人有约束力的决定、决议、通知等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、《基金法》：指</w:t>
      </w:r>
      <w:r>
        <w:rPr>
          <w:rFonts w:ascii="Times New Roman" w:eastAsia="宋体" w:hAnsi="Times New Roman" w:cs="Times New Roman" w:hint="eastAsia"/>
          <w:bCs/>
          <w:sz w:val="24"/>
          <w:szCs w:val="24"/>
        </w:rPr>
        <w:t>2003</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日经第十届全国人民代表大会常务委员会第五次会议通过，经</w:t>
      </w:r>
      <w:r>
        <w:rPr>
          <w:rFonts w:ascii="Times New Roman" w:eastAsia="宋体" w:hAnsi="Times New Roman" w:cs="Times New Roman" w:hint="eastAsia"/>
          <w:bCs/>
          <w:sz w:val="24"/>
          <w:szCs w:val="24"/>
        </w:rPr>
        <w:t>2012</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日第十一届全国人民代表大会常务委员会第三十次会议修订，自</w:t>
      </w:r>
      <w:r>
        <w:rPr>
          <w:rFonts w:ascii="Times New Roman" w:eastAsia="宋体" w:hAnsi="Times New Roman" w:cs="Times New Roman" w:hint="eastAsia"/>
          <w:bCs/>
          <w:sz w:val="24"/>
          <w:szCs w:val="24"/>
        </w:rPr>
        <w:t>2013</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日起实施，并经</w:t>
      </w:r>
      <w:r>
        <w:rPr>
          <w:rFonts w:ascii="Times New Roman" w:eastAsia="宋体" w:hAnsi="Times New Roman" w:cs="Times New Roman" w:hint="eastAsia"/>
          <w:bCs/>
          <w:sz w:val="24"/>
          <w:szCs w:val="24"/>
        </w:rPr>
        <w:t>2015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日第十二届全国人民代表大会常务委员会第十四次会议《全国人民代表大会常务委员会关于修改</w:t>
      </w:r>
      <w:r>
        <w:rPr>
          <w:rFonts w:ascii="Times New Roman" w:eastAsia="宋体" w:hAnsi="Times New Roman" w:cs="Times New Roman" w:hint="eastAsia"/>
          <w:bCs/>
          <w:sz w:val="24"/>
          <w:szCs w:val="24"/>
        </w:rPr>
        <w:t>&lt;</w:t>
      </w:r>
      <w:r>
        <w:rPr>
          <w:rFonts w:ascii="Times New Roman" w:eastAsia="宋体" w:hAnsi="Times New Roman" w:cs="Times New Roman" w:hint="eastAsia"/>
          <w:bCs/>
          <w:sz w:val="24"/>
          <w:szCs w:val="24"/>
        </w:rPr>
        <w:t>中华人民共和国港口法</w:t>
      </w:r>
      <w:r>
        <w:rPr>
          <w:rFonts w:ascii="Times New Roman" w:eastAsia="宋体" w:hAnsi="Times New Roman" w:cs="Times New Roman" w:hint="eastAsia"/>
          <w:bCs/>
          <w:sz w:val="24"/>
          <w:szCs w:val="24"/>
        </w:rPr>
        <w:t>&gt;</w:t>
      </w:r>
      <w:r>
        <w:rPr>
          <w:rFonts w:ascii="Times New Roman" w:eastAsia="宋体" w:hAnsi="Times New Roman" w:cs="Times New Roman" w:hint="eastAsia"/>
          <w:bCs/>
          <w:sz w:val="24"/>
          <w:szCs w:val="24"/>
        </w:rPr>
        <w:t>等七部法律的决定》修正的《中华人民共和国证券投资基金法》及颁布机关对其不时做出的修订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、《销售办法》：指中国证监会</w:t>
      </w:r>
      <w:r>
        <w:rPr>
          <w:rFonts w:ascii="Times New Roman" w:eastAsia="宋体" w:hAnsi="Times New Roman" w:cs="Times New Roman" w:hint="eastAsia"/>
          <w:bCs/>
          <w:sz w:val="24"/>
          <w:szCs w:val="24"/>
        </w:rPr>
        <w:t>2020</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日实施的《公开募集证券投资基金销售机构监督管理办法》及颁布机关对其不时做出的修订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、《信息披露办法》：指中国证监会</w:t>
      </w:r>
      <w:r>
        <w:rPr>
          <w:rFonts w:ascii="Times New Roman" w:eastAsia="宋体" w:hAnsi="Times New Roman" w:cs="Times New Roman" w:hint="eastAsia"/>
          <w:bCs/>
          <w:sz w:val="24"/>
          <w:szCs w:val="24"/>
        </w:rPr>
        <w:t>2019</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26</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lastRenderedPageBreak/>
        <w:t>日实施的，并经</w:t>
      </w:r>
      <w:r>
        <w:rPr>
          <w:rFonts w:ascii="Times New Roman" w:eastAsia="宋体" w:hAnsi="Times New Roman" w:cs="Times New Roman" w:hint="eastAsia"/>
          <w:bCs/>
          <w:sz w:val="24"/>
          <w:szCs w:val="24"/>
        </w:rPr>
        <w:t>2020</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日中国证监会《关于修改部分证券期货规章的决定》修正的《公开募集证券投资基金信息披露管理办法》及颁布机关对其不时做出的修订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、《运作办法》：指中国证监会</w:t>
      </w:r>
      <w:r>
        <w:rPr>
          <w:rFonts w:ascii="Times New Roman" w:eastAsia="宋体" w:hAnsi="Times New Roman" w:cs="Times New Roman" w:hint="eastAsia"/>
          <w:bCs/>
          <w:sz w:val="24"/>
          <w:szCs w:val="24"/>
        </w:rPr>
        <w:t>2014</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日实施的《公开募集证券投资基金运作管理办法》及颁布机关对其不时做出的修订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、《流动性风险管理规定》：指中国证监会</w:t>
      </w:r>
      <w:r>
        <w:rPr>
          <w:rFonts w:ascii="Times New Roman" w:eastAsia="宋体" w:hAnsi="Times New Roman" w:cs="Times New Roman" w:hint="eastAsia"/>
          <w:bCs/>
          <w:sz w:val="24"/>
          <w:szCs w:val="24"/>
        </w:rPr>
        <w:t>2017</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31</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日实施的《公开募集开放式证券投资基金流动性风险管理规定》及颁布机关对其不时做出的修订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、中国证监会：指中国证券监督管理委员会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、银行业监督管理机构：指中国人民银行和</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或国家金融监督管理总局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、基金合同当事人：指受基金合同约束，根据基金合同享有权利并承担义务的法律主体，包括基金管理人、基金托管人和基金份额持有人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、个人投资者：指依据有关法律法规规定可投资于证券投资基金的自然人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、机构投资者：指依法可以投资证券投资基金的、在中华人民共和国境内合法登记并存续或经有关政府部门批准设立并存续的企业法人、事业法人、社会团体或其他组织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21</w:t>
      </w:r>
      <w:r>
        <w:rPr>
          <w:rFonts w:ascii="Times New Roman" w:eastAsia="宋体" w:hAnsi="Times New Roman" w:cs="Times New Roman" w:hint="eastAsia"/>
          <w:bCs/>
          <w:sz w:val="24"/>
          <w:szCs w:val="24"/>
        </w:rPr>
        <w:t>、投资人、投资者：指个人投资者、机构投资者、合格境外投资者以及法律法规或中国证监会允许购买证券投资基金的其他投资者的合称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22</w:t>
      </w:r>
      <w:r>
        <w:rPr>
          <w:rFonts w:ascii="Times New Roman" w:eastAsia="宋体" w:hAnsi="Times New Roman" w:cs="Times New Roman" w:hint="eastAsia"/>
          <w:bCs/>
          <w:sz w:val="24"/>
          <w:szCs w:val="24"/>
        </w:rPr>
        <w:t>、基金份额持有人：指依基金合同和招募说明书合法取得基金份额的投资者</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23</w:t>
      </w:r>
      <w:r>
        <w:rPr>
          <w:rFonts w:ascii="Times New Roman" w:eastAsia="宋体" w:hAnsi="Times New Roman" w:cs="Times New Roman" w:hint="eastAsia"/>
          <w:bCs/>
          <w:sz w:val="24"/>
          <w:szCs w:val="24"/>
        </w:rPr>
        <w:t>、基金销售业务：指基金管理人或销售机构宣传推介基金，发售基金份额，办理基金份额的申购、赎回、转换、转托管及定期定额投资等业务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、销售机构：指富国基金管理有限公司以及符合《销售办法》和中国证监会规定的其他条件，取得基金销售业务资格并与基金管理人签订了基金销售服务协议，办理基金销售业务的机构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25</w:t>
      </w:r>
      <w:r>
        <w:rPr>
          <w:rFonts w:ascii="Times New Roman" w:eastAsia="宋体" w:hAnsi="Times New Roman" w:cs="Times New Roman" w:hint="eastAsia"/>
          <w:bCs/>
          <w:sz w:val="24"/>
          <w:szCs w:val="24"/>
        </w:rPr>
        <w:t>、登记业务：指基金登记、存管、过户、清算和结算业务，具体内容包括投资者基金账户的建立和管理、基金份额登记、基金销售业务的确认、清算和结算、代理发放红利、建立并保管基金份额持有人名册和办理非交易过户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26</w:t>
      </w:r>
      <w:r>
        <w:rPr>
          <w:rFonts w:ascii="Times New Roman" w:eastAsia="宋体" w:hAnsi="Times New Roman" w:cs="Times New Roman" w:hint="eastAsia"/>
          <w:bCs/>
          <w:sz w:val="24"/>
          <w:szCs w:val="24"/>
        </w:rPr>
        <w:t>、登记机构：指办理登记业务的机构。基金的登记机构为富国基金管理有限公司或接受富国基金管理有限公司委托代为办理登记业务的机构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27</w:t>
      </w:r>
      <w:r>
        <w:rPr>
          <w:rFonts w:ascii="Times New Roman" w:eastAsia="宋体" w:hAnsi="Times New Roman" w:cs="Times New Roman" w:hint="eastAsia"/>
          <w:bCs/>
          <w:sz w:val="24"/>
          <w:szCs w:val="24"/>
        </w:rPr>
        <w:t>、基金账户：指登记机构为投资者开立的、记录其持有的、基金管理人所管理的基金份额余额及其变动情况的账户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、基金交易账户：指销售机构为投资者开立的、记录投资者通过该销售机构办理认购、申购、赎回、转换、转托管及定期定额投资等业务而引起的基金份额变动及结余情况的账户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29</w:t>
      </w:r>
      <w:r>
        <w:rPr>
          <w:rFonts w:ascii="Times New Roman" w:eastAsia="宋体" w:hAnsi="Times New Roman" w:cs="Times New Roman" w:hint="eastAsia"/>
          <w:bCs/>
          <w:sz w:val="24"/>
          <w:szCs w:val="24"/>
        </w:rPr>
        <w:t>、基金合同生效日：指基金募集达到法律法规规定及基金合同规定的条件，基金管理人向中国证监会办理基金备案手续完毕，并获得中国证监会书面确认的日期</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、基金合同终止日：指基金合同规定的基金合同终止事由出现后，基金财产清算完毕，清算结果报中国证监会备案并予以公告的日期</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31</w:t>
      </w:r>
      <w:r>
        <w:rPr>
          <w:rFonts w:ascii="Times New Roman" w:eastAsia="宋体" w:hAnsi="Times New Roman" w:cs="Times New Roman" w:hint="eastAsia"/>
          <w:bCs/>
          <w:sz w:val="24"/>
          <w:szCs w:val="24"/>
        </w:rPr>
        <w:t>、基金募集期：指自基金份额发售之日起至发售结束之日止的期间，最长不得超过</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32</w:t>
      </w:r>
      <w:r>
        <w:rPr>
          <w:rFonts w:ascii="Times New Roman" w:eastAsia="宋体" w:hAnsi="Times New Roman" w:cs="Times New Roman" w:hint="eastAsia"/>
          <w:bCs/>
          <w:sz w:val="24"/>
          <w:szCs w:val="24"/>
        </w:rPr>
        <w:t>、存续期：指基金合同生效至终止之间的不定期期限</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33</w:t>
      </w:r>
      <w:r>
        <w:rPr>
          <w:rFonts w:ascii="Times New Roman" w:eastAsia="宋体" w:hAnsi="Times New Roman" w:cs="Times New Roman" w:hint="eastAsia"/>
          <w:bCs/>
          <w:sz w:val="24"/>
          <w:szCs w:val="24"/>
        </w:rPr>
        <w:t>、工作日：指上海证券交易所、深圳证券交易所的正常交易日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日：指销售机构在规定时间受理投资者申购、赎回或其他业务申请的开放日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T+n</w:t>
      </w:r>
      <w:r>
        <w:rPr>
          <w:rFonts w:ascii="Times New Roman" w:eastAsia="宋体" w:hAnsi="Times New Roman" w:cs="Times New Roman" w:hint="eastAsia"/>
          <w:bCs/>
          <w:sz w:val="24"/>
          <w:szCs w:val="24"/>
        </w:rPr>
        <w:t>日：指自</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日起第</w:t>
      </w:r>
      <w:r>
        <w:rPr>
          <w:rFonts w:ascii="Times New Roman" w:eastAsia="宋体" w:hAnsi="Times New Roman" w:cs="Times New Roman" w:hint="eastAsia"/>
          <w:bCs/>
          <w:sz w:val="24"/>
          <w:szCs w:val="24"/>
        </w:rPr>
        <w:t>n</w:t>
      </w:r>
      <w:r>
        <w:rPr>
          <w:rFonts w:ascii="Times New Roman" w:eastAsia="宋体" w:hAnsi="Times New Roman" w:cs="Times New Roman" w:hint="eastAsia"/>
          <w:bCs/>
          <w:sz w:val="24"/>
          <w:szCs w:val="24"/>
        </w:rPr>
        <w:t>个工作日（不包含</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w:t>
      </w:r>
      <w:r>
        <w:rPr>
          <w:rFonts w:ascii="Times New Roman" w:eastAsia="宋体" w:hAnsi="Times New Roman" w:cs="Times New Roman" w:hint="eastAsia"/>
          <w:bCs/>
          <w:sz w:val="24"/>
          <w:szCs w:val="24"/>
        </w:rPr>
        <w:t>n</w:t>
      </w:r>
      <w:r>
        <w:rPr>
          <w:rFonts w:ascii="Times New Roman" w:eastAsia="宋体" w:hAnsi="Times New Roman" w:cs="Times New Roman" w:hint="eastAsia"/>
          <w:bCs/>
          <w:sz w:val="24"/>
          <w:szCs w:val="24"/>
        </w:rPr>
        <w:t>为自然数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36</w:t>
      </w:r>
      <w:r>
        <w:rPr>
          <w:rFonts w:ascii="Times New Roman" w:eastAsia="宋体" w:hAnsi="Times New Roman" w:cs="Times New Roman" w:hint="eastAsia"/>
          <w:bCs/>
          <w:sz w:val="24"/>
          <w:szCs w:val="24"/>
        </w:rPr>
        <w:t>、开放日：指为投资者办理基金份额申购、赎回或其他业务的工作日（若本基金参与港股通交易且该工作日为非港股通交易日时，则本基金可以不开放申购和赎回等业务，具体以届时公告为准）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37</w:t>
      </w:r>
      <w:r>
        <w:rPr>
          <w:rFonts w:ascii="Times New Roman" w:eastAsia="宋体" w:hAnsi="Times New Roman" w:cs="Times New Roman" w:hint="eastAsia"/>
          <w:bCs/>
          <w:sz w:val="24"/>
          <w:szCs w:val="24"/>
        </w:rPr>
        <w:t>、开放时间：指开放日基金接受申购、赎回或其他交易的时间段</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38</w:t>
      </w:r>
      <w:r>
        <w:rPr>
          <w:rFonts w:ascii="Times New Roman" w:eastAsia="宋体" w:hAnsi="Times New Roman" w:cs="Times New Roman" w:hint="eastAsia"/>
          <w:bCs/>
          <w:sz w:val="24"/>
          <w:szCs w:val="24"/>
        </w:rPr>
        <w:t>、《业务规则》：指《富国基金管理有限公司开放式基金业务规则》，是规范基金管理人所管理的开放式证券投资基金登记方面的业务规则，由基金管理人和投资者共同遵守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39</w:t>
      </w:r>
      <w:r>
        <w:rPr>
          <w:rFonts w:ascii="Times New Roman" w:eastAsia="宋体" w:hAnsi="Times New Roman" w:cs="Times New Roman" w:hint="eastAsia"/>
          <w:bCs/>
          <w:sz w:val="24"/>
          <w:szCs w:val="24"/>
        </w:rPr>
        <w:t>、认购：指在基金募集期内，投资者根据基金合同和招募说明书的规定申请购买基金份额的行为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40</w:t>
      </w:r>
      <w:r>
        <w:rPr>
          <w:rFonts w:ascii="Times New Roman" w:eastAsia="宋体" w:hAnsi="Times New Roman" w:cs="Times New Roman" w:hint="eastAsia"/>
          <w:bCs/>
          <w:sz w:val="24"/>
          <w:szCs w:val="24"/>
        </w:rPr>
        <w:t>、申购：指基金合同生效后，投资者根据基金合同和招募说明书的规定申请购买基金份额的行为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41</w:t>
      </w:r>
      <w:r>
        <w:rPr>
          <w:rFonts w:ascii="Times New Roman" w:eastAsia="宋体" w:hAnsi="Times New Roman" w:cs="Times New Roman" w:hint="eastAsia"/>
          <w:bCs/>
          <w:sz w:val="24"/>
          <w:szCs w:val="24"/>
        </w:rPr>
        <w:t>、最短持有期：本基金对每份基金份额设置</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个月的最短持有期，即：自基金合同生效日（对认购份额而言）或基金份额申购或转换转入确认日（对申购或转换转入份额而言）起至该日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个月后的月度对日（含当日）的期间内，投资者不能提出赎回或转换转出申请；该日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个月后的月度对日（若不存在该对应日期的，则取该月最后一日）的下一个工作日起（含当日），投资者方可申请办理赎回或转换转出业务。基金份额在最短持有期内不办理赎回或转换转出业务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42</w:t>
      </w:r>
      <w:r>
        <w:rPr>
          <w:rFonts w:ascii="Times New Roman" w:eastAsia="宋体" w:hAnsi="Times New Roman" w:cs="Times New Roman" w:hint="eastAsia"/>
          <w:bCs/>
          <w:sz w:val="24"/>
          <w:szCs w:val="24"/>
        </w:rPr>
        <w:t>、赎回：指基金合同生效后，基金份额持有人按基金合同和招募说明书规定的条件要求将基金份额兑换为现金的行为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43</w:t>
      </w:r>
      <w:r>
        <w:rPr>
          <w:rFonts w:ascii="Times New Roman" w:eastAsia="宋体" w:hAnsi="Times New Roman" w:cs="Times New Roman" w:hint="eastAsia"/>
          <w:bCs/>
          <w:sz w:val="24"/>
          <w:szCs w:val="24"/>
        </w:rPr>
        <w:t>、基金转换：指基金份额持有人按照基金合同和基金管理人届时有效公告规定的条件，申请将其持有基金管理人管理的、某一类基金份额转换为基金管理人管理的其他基金份额的行为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44</w:t>
      </w:r>
      <w:r>
        <w:rPr>
          <w:rFonts w:ascii="Times New Roman" w:eastAsia="宋体" w:hAnsi="Times New Roman" w:cs="Times New Roman" w:hint="eastAsia"/>
          <w:bCs/>
          <w:sz w:val="24"/>
          <w:szCs w:val="24"/>
        </w:rPr>
        <w:t>、转托管：指基金份额持有人在本基金的不同销售机构之间实施的变更所持基金份额销售机构的操作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45</w:t>
      </w:r>
      <w:r>
        <w:rPr>
          <w:rFonts w:ascii="Times New Roman" w:eastAsia="宋体" w:hAnsi="Times New Roman" w:cs="Times New Roman" w:hint="eastAsia"/>
          <w:bCs/>
          <w:sz w:val="24"/>
          <w:szCs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46</w:t>
      </w:r>
      <w:r>
        <w:rPr>
          <w:rFonts w:ascii="Times New Roman" w:eastAsia="宋体" w:hAnsi="Times New Roman" w:cs="Times New Roman" w:hint="eastAsia"/>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imes New Roman" w:eastAsia="宋体" w:hAnsi="Times New Roman" w:cs="Times New Roman" w:hint="eastAsia"/>
          <w:bCs/>
          <w:sz w:val="24"/>
          <w:szCs w:val="24"/>
        </w:rPr>
        <w:t>10%</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47</w:t>
      </w:r>
      <w:r>
        <w:rPr>
          <w:rFonts w:ascii="Times New Roman" w:eastAsia="宋体" w:hAnsi="Times New Roman" w:cs="Times New Roman" w:hint="eastAsia"/>
          <w:bCs/>
          <w:sz w:val="24"/>
          <w:szCs w:val="24"/>
        </w:rPr>
        <w:t>、元：指人民币元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48</w:t>
      </w:r>
      <w:r>
        <w:rPr>
          <w:rFonts w:ascii="Times New Roman" w:eastAsia="宋体" w:hAnsi="Times New Roman" w:cs="Times New Roman" w:hint="eastAsia"/>
          <w:bCs/>
          <w:sz w:val="24"/>
          <w:szCs w:val="24"/>
        </w:rPr>
        <w:t>、基金收益：指基金投资所得红利、股息、债券利息、买卖证券价差、银行存款利息、已实现的其他合法收入及因运用基金财产带来的成本和费用的节约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49</w:t>
      </w:r>
      <w:r>
        <w:rPr>
          <w:rFonts w:ascii="Times New Roman" w:eastAsia="宋体" w:hAnsi="Times New Roman" w:cs="Times New Roman" w:hint="eastAsia"/>
          <w:bCs/>
          <w:sz w:val="24"/>
          <w:szCs w:val="24"/>
        </w:rPr>
        <w:t>、基金资产总值：指基金拥有的各类有价证券、基金份额、银行存款本息、基金应收款项及其他资产的价值总和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、基金资产净值：指基金资产总值减去基金负债后的价值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51</w:t>
      </w:r>
      <w:r>
        <w:rPr>
          <w:rFonts w:ascii="Times New Roman" w:eastAsia="宋体" w:hAnsi="Times New Roman" w:cs="Times New Roman" w:hint="eastAsia"/>
          <w:bCs/>
          <w:sz w:val="24"/>
          <w:szCs w:val="24"/>
        </w:rPr>
        <w:t>、基金份额净值：指计算日基金资产净值除以计算日基金份额总数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52</w:t>
      </w:r>
      <w:r>
        <w:rPr>
          <w:rFonts w:ascii="Times New Roman" w:eastAsia="宋体" w:hAnsi="Times New Roman" w:cs="Times New Roman" w:hint="eastAsia"/>
          <w:bCs/>
          <w:sz w:val="24"/>
          <w:szCs w:val="24"/>
        </w:rPr>
        <w:t>、基金资产估值：指计算评估基金资产和负债的价值，以确定基金资产净值和基金份额净值的过程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53</w:t>
      </w:r>
      <w:r>
        <w:rPr>
          <w:rFonts w:ascii="Times New Roman" w:eastAsia="宋体" w:hAnsi="Times New Roman" w:cs="Times New Roman" w:hint="eastAsia"/>
          <w:bCs/>
          <w:sz w:val="24"/>
          <w:szCs w:val="24"/>
        </w:rPr>
        <w:t>、销售服务费：指从基金财产中计提的，用于本基金市场推广、销售以及基金份额持有人服务的费用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54</w:t>
      </w:r>
      <w:r>
        <w:rPr>
          <w:rFonts w:ascii="Times New Roman" w:eastAsia="宋体" w:hAnsi="Times New Roman" w:cs="Times New Roman" w:hint="eastAsia"/>
          <w:bCs/>
          <w:sz w:val="24"/>
          <w:szCs w:val="24"/>
        </w:rPr>
        <w:t>、流动性受限资产：指由于法律法规、监管、合同或操作障碍等原因无法以合理价格予以变现的资产，包括但不限于到期日在</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个交易日以上的逆回购与银行定期存款（含协议约定有条件提前支取的银行存款）、停牌股票、流通受限的新股及非公开发行股票、资产支持证券、因发行人债务违约无法进行转让或交易的债券等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55</w:t>
      </w:r>
      <w:r>
        <w:rPr>
          <w:rFonts w:ascii="Times New Roman" w:eastAsia="宋体" w:hAnsi="Times New Roman" w:cs="Times New Roman" w:hint="eastAsia"/>
          <w:bCs/>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56</w:t>
      </w:r>
      <w:r>
        <w:rPr>
          <w:rFonts w:ascii="Times New Roman" w:eastAsia="宋体" w:hAnsi="Times New Roman" w:cs="Times New Roman" w:hint="eastAsia"/>
          <w:bCs/>
          <w:sz w:val="24"/>
          <w:szCs w:val="24"/>
        </w:rPr>
        <w:t>、港股通：指内地投资者委托内地证券公司，经由内地证券交易所设立的证券交易服务公司，向香港联合交易所进行申报，买卖规定范围内的香港联合交易所上市的证券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57</w:t>
      </w:r>
      <w:r>
        <w:rPr>
          <w:rFonts w:ascii="Times New Roman" w:eastAsia="宋体" w:hAnsi="Times New Roman" w:cs="Times New Roman"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58</w:t>
      </w:r>
      <w:r>
        <w:rPr>
          <w:rFonts w:ascii="Times New Roman" w:eastAsia="宋体" w:hAnsi="Times New Roman" w:cs="Times New Roman" w:hint="eastAsia"/>
          <w:bCs/>
          <w:sz w:val="24"/>
          <w:szCs w:val="24"/>
        </w:rPr>
        <w:t>、基金份额类别：指根据认购费、申购费、销售服务费收取方式的不同将基金份额分为不同的类别，各基金份额类别分别设置代码，分别计算和公告基金份额净值和基金份额累计净值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59</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类基金份额：指在投资者认</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申购时收取认</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申购费，但不再从本类别基金财产中计提销售服务费的一类基金份额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类基金份额：指在投资者认</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申购时不收取认</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申购费，但从本类别基金财产中计提销售服务费的一类基金份额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61</w:t>
      </w:r>
      <w:r>
        <w:rPr>
          <w:rFonts w:ascii="Times New Roman" w:eastAsia="宋体" w:hAnsi="Times New Roman" w:cs="Times New Roman" w:hint="eastAsia"/>
          <w:bCs/>
          <w:sz w:val="24"/>
          <w:szCs w:val="24"/>
        </w:rPr>
        <w:t>、侧袋机制：指将基金投资组合中的特定资产从原有账户分离至一个专门账户进行处置清算，目的在于有效隔离并化解风险，确保投资者得到公平对待，</w:t>
      </w:r>
      <w:r>
        <w:rPr>
          <w:rFonts w:ascii="Times New Roman" w:eastAsia="宋体" w:hAnsi="Times New Roman" w:cs="Times New Roman" w:hint="eastAsia"/>
          <w:bCs/>
          <w:sz w:val="24"/>
          <w:szCs w:val="24"/>
        </w:rPr>
        <w:lastRenderedPageBreak/>
        <w:t>属于流动性风险管理工具。侧袋机制实施期间，原有账户称为主袋账户，专门账户称为侧袋账户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62</w:t>
      </w:r>
      <w:r>
        <w:rPr>
          <w:rFonts w:ascii="Times New Roman" w:eastAsia="宋体" w:hAnsi="Times New Roman" w:cs="Times New Roman" w:hint="eastAsia"/>
          <w:bCs/>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63</w:t>
      </w:r>
      <w:r>
        <w:rPr>
          <w:rFonts w:ascii="Times New Roman" w:eastAsia="宋体" w:hAnsi="Times New Roman" w:cs="Times New Roman" w:hint="eastAsia"/>
          <w:bCs/>
          <w:sz w:val="24"/>
          <w:szCs w:val="24"/>
        </w:rPr>
        <w:t>、不可抗力：指基金合同当事人不能预见、不能避免且不能克服的客观事件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以上释义中涉及法律法规、业务规则的内容，法律法规、业务规则修订后，如适用本基金，相关内容以修订后法律法规、业务规则为准。</w:t>
      </w:r>
      <w:r>
        <w:rPr>
          <w:rFonts w:ascii="Times New Roman" w:eastAsia="宋体" w:hAnsi="Times New Roman" w:cs="Times New Roman"/>
          <w:bCs/>
          <w:sz w:val="24"/>
          <w:szCs w:val="24"/>
        </w:rPr>
        <w:br w:type="page"/>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50" w:name="_Toc208913377"/>
      <w:bookmarkStart w:id="51" w:name="_Toc390614983"/>
      <w:bookmarkStart w:id="52" w:name="_Toc25881"/>
      <w:bookmarkStart w:id="53" w:name="_Toc109537381"/>
      <w:r>
        <w:rPr>
          <w:rFonts w:ascii="Times New Roman" w:eastAsia="宋体" w:hAnsi="Times New Roman" w:cs="Times New Roman" w:hint="eastAsia"/>
          <w:b/>
          <w:kern w:val="0"/>
          <w:sz w:val="32"/>
          <w:szCs w:val="20"/>
        </w:rPr>
        <w:lastRenderedPageBreak/>
        <w:t>第三部分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基金管理人</w:t>
      </w:r>
      <w:bookmarkEnd w:id="50"/>
      <w:bookmarkEnd w:id="51"/>
      <w:bookmarkEnd w:id="52"/>
    </w:p>
    <w:p w:rsidR="0068684E" w:rsidRDefault="000021E4">
      <w:pPr>
        <w:widowControl/>
        <w:spacing w:line="360" w:lineRule="auto"/>
        <w:ind w:firstLineChars="200" w:firstLine="482"/>
        <w:rPr>
          <w:rFonts w:ascii="Times New Roman" w:eastAsia="宋体" w:hAnsi="Times New Roman" w:cs="Times New Roman"/>
          <w:b/>
          <w:sz w:val="24"/>
          <w:szCs w:val="24"/>
        </w:rPr>
      </w:pPr>
      <w:bookmarkStart w:id="54" w:name="_Toc327457284"/>
      <w:bookmarkStart w:id="55" w:name="_Toc327457146"/>
      <w:bookmarkStart w:id="56" w:name="_Toc327457147"/>
      <w:bookmarkStart w:id="57" w:name="_Toc327457285"/>
      <w:bookmarkStart w:id="58" w:name="_Toc252963063"/>
      <w:bookmarkEnd w:id="53"/>
      <w:r>
        <w:rPr>
          <w:rFonts w:ascii="Times New Roman" w:eastAsia="宋体" w:hAnsi="Times New Roman" w:cs="Times New Roman" w:hint="eastAsia"/>
          <w:b/>
          <w:sz w:val="24"/>
          <w:szCs w:val="24"/>
        </w:rPr>
        <w:t>一、基金管理人概况</w:t>
      </w:r>
      <w:bookmarkEnd w:id="54"/>
      <w:bookmarkEnd w:id="55"/>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名称：富国基金管理有限公司</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办公地址：上海市浦东新区世纪大道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法定代表人：裴长江</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总经理：陈戈</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hint="eastAsia"/>
          <w:sz w:val="24"/>
          <w:szCs w:val="24"/>
        </w:rPr>
        <w:t>1999</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日</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hint="eastAsia"/>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20361818</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hint="eastAsia"/>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20361616</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联系人：赵瑛</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注册资本：</w:t>
      </w:r>
      <w:r>
        <w:rPr>
          <w:rFonts w:ascii="Times New Roman" w:eastAsia="宋体" w:hAnsi="Times New Roman" w:cs="Times New Roman" w:hint="eastAsia"/>
          <w:sz w:val="24"/>
          <w:szCs w:val="24"/>
        </w:rPr>
        <w:t>5.2</w:t>
      </w:r>
      <w:r>
        <w:rPr>
          <w:rFonts w:ascii="Times New Roman" w:eastAsia="宋体" w:hAnsi="Times New Roman" w:cs="Times New Roman" w:hint="eastAsia"/>
          <w:sz w:val="24"/>
          <w:szCs w:val="24"/>
        </w:rPr>
        <w:t>亿元人民币</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股权结构（截至</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sz w:val="24"/>
          <w:szCs w:val="24"/>
        </w:rPr>
        <w:t>30</w:t>
      </w:r>
      <w:r>
        <w:rPr>
          <w:rFonts w:ascii="Times New Roman" w:eastAsia="宋体" w:hAnsi="Times New Roman" w:cs="Times New Roman"/>
          <w:sz w:val="24"/>
          <w:szCs w:val="24"/>
        </w:rPr>
        <w:t>日）：</w:t>
      </w: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014"/>
      </w:tblGrid>
      <w:tr w:rsidR="0068684E">
        <w:trPr>
          <w:jc w:val="center"/>
        </w:trPr>
        <w:tc>
          <w:tcPr>
            <w:tcW w:w="3968" w:type="dxa"/>
            <w:tcBorders>
              <w:top w:val="single" w:sz="4" w:space="0" w:color="auto"/>
              <w:left w:val="single" w:sz="4" w:space="0" w:color="auto"/>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股东名称</w:t>
            </w:r>
          </w:p>
        </w:tc>
        <w:tc>
          <w:tcPr>
            <w:tcW w:w="4014" w:type="dxa"/>
            <w:tcBorders>
              <w:top w:val="single" w:sz="4" w:space="0" w:color="auto"/>
              <w:left w:val="nil"/>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出资比例</w:t>
            </w:r>
          </w:p>
        </w:tc>
      </w:tr>
      <w:tr w:rsidR="0068684E">
        <w:trPr>
          <w:jc w:val="center"/>
        </w:trPr>
        <w:tc>
          <w:tcPr>
            <w:tcW w:w="3968" w:type="dxa"/>
            <w:tcBorders>
              <w:top w:val="single" w:sz="4" w:space="0" w:color="auto"/>
              <w:left w:val="single" w:sz="4" w:space="0" w:color="auto"/>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国泰海通证券股份有限公司</w:t>
            </w:r>
          </w:p>
        </w:tc>
        <w:tc>
          <w:tcPr>
            <w:tcW w:w="4014" w:type="dxa"/>
            <w:tcBorders>
              <w:top w:val="single" w:sz="4" w:space="0" w:color="auto"/>
              <w:left w:val="nil"/>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27.775%</w:t>
            </w:r>
          </w:p>
        </w:tc>
      </w:tr>
      <w:tr w:rsidR="0068684E">
        <w:trPr>
          <w:jc w:val="center"/>
        </w:trPr>
        <w:tc>
          <w:tcPr>
            <w:tcW w:w="3968" w:type="dxa"/>
            <w:tcBorders>
              <w:top w:val="single" w:sz="4" w:space="0" w:color="auto"/>
              <w:left w:val="single" w:sz="4" w:space="0" w:color="auto"/>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宋体" w:cs="Times New Roman" w:hint="eastAsia"/>
                <w:sz w:val="24"/>
                <w:szCs w:val="24"/>
              </w:rPr>
              <w:t>申万宏源</w:t>
            </w:r>
            <w:r>
              <w:rPr>
                <w:rFonts w:ascii="Times New Roman" w:eastAsia="宋体" w:hAnsi="宋体" w:cs="Times New Roman"/>
                <w:sz w:val="24"/>
                <w:szCs w:val="24"/>
              </w:rPr>
              <w:t>证券有限公司</w:t>
            </w:r>
          </w:p>
        </w:tc>
        <w:tc>
          <w:tcPr>
            <w:tcW w:w="4014" w:type="dxa"/>
            <w:tcBorders>
              <w:top w:val="single" w:sz="4" w:space="0" w:color="auto"/>
              <w:left w:val="nil"/>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27.775%</w:t>
            </w:r>
          </w:p>
        </w:tc>
      </w:tr>
      <w:tr w:rsidR="0068684E">
        <w:trPr>
          <w:jc w:val="center"/>
        </w:trPr>
        <w:tc>
          <w:tcPr>
            <w:tcW w:w="3968" w:type="dxa"/>
            <w:tcBorders>
              <w:top w:val="single" w:sz="4" w:space="0" w:color="auto"/>
              <w:left w:val="single" w:sz="4" w:space="0" w:color="auto"/>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加拿大蒙特利尔银行</w:t>
            </w:r>
          </w:p>
        </w:tc>
        <w:tc>
          <w:tcPr>
            <w:tcW w:w="4014" w:type="dxa"/>
            <w:tcBorders>
              <w:top w:val="single" w:sz="4" w:space="0" w:color="auto"/>
              <w:left w:val="nil"/>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27.775%</w:t>
            </w:r>
          </w:p>
        </w:tc>
      </w:tr>
      <w:tr w:rsidR="0068684E">
        <w:trPr>
          <w:jc w:val="center"/>
        </w:trPr>
        <w:tc>
          <w:tcPr>
            <w:tcW w:w="3968" w:type="dxa"/>
            <w:tcBorders>
              <w:top w:val="single" w:sz="4" w:space="0" w:color="auto"/>
              <w:left w:val="single" w:sz="4" w:space="0" w:color="auto"/>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宋体" w:cs="Times New Roman" w:hint="eastAsia"/>
                <w:sz w:val="24"/>
                <w:szCs w:val="24"/>
              </w:rPr>
              <w:t>山东省金融资产管理股份有限公司</w:t>
            </w:r>
          </w:p>
        </w:tc>
        <w:tc>
          <w:tcPr>
            <w:tcW w:w="4014" w:type="dxa"/>
            <w:tcBorders>
              <w:top w:val="single" w:sz="4" w:space="0" w:color="auto"/>
              <w:left w:val="nil"/>
              <w:bottom w:val="single" w:sz="4" w:space="0" w:color="auto"/>
              <w:right w:val="single" w:sz="4" w:space="0" w:color="auto"/>
            </w:tcBorders>
          </w:tcPr>
          <w:p w:rsidR="0068684E" w:rsidRDefault="000021E4">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16.675%</w:t>
            </w:r>
          </w:p>
        </w:tc>
      </w:tr>
    </w:tbl>
    <w:p w:rsidR="0068684E" w:rsidRDefault="000021E4">
      <w:pPr>
        <w:widowControl/>
        <w:spacing w:line="360" w:lineRule="auto"/>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二、主要人员情况</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1</w:t>
      </w:r>
      <w:r>
        <w:rPr>
          <w:rFonts w:ascii="Times New Roman" w:eastAsia="宋体" w:hAnsi="Times New Roman" w:cs="Times New Roman" w:hint="eastAsia"/>
          <w:bCs/>
          <w:sz w:val="24"/>
          <w:szCs w:val="20"/>
        </w:rPr>
        <w:t>、董事会成员</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方荣义先生，董事，副董事长，博士，高级会计师。现任申万宏源集团股份有限公司和申万宏源证券有限公司党委副书记、监事会主席，申万宏源证券有限公司工会主席；兼任中国证券业协会财务会计专业委员会副主任委员；兼任华东政法大学兼职</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源证券有限公司副总经理、执行委员会成员、财务总监、董事会秘书、首席风险官，中国上市公司协会监事会专业委员会副主任委员。</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William Bamber</w:t>
      </w:r>
      <w:r>
        <w:rPr>
          <w:rFonts w:ascii="Times New Roman" w:eastAsia="宋体" w:hAnsi="Times New Roman" w:cs="Times New Roman" w:hint="eastAsia"/>
          <w:bCs/>
          <w:sz w:val="24"/>
          <w:szCs w:val="20"/>
        </w:rPr>
        <w:t>，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w:t>
      </w:r>
      <w:r>
        <w:rPr>
          <w:rFonts w:ascii="Times New Roman" w:eastAsia="宋体" w:hAnsi="Times New Roman" w:cs="Times New Roman" w:hint="eastAsia"/>
          <w:bCs/>
          <w:sz w:val="24"/>
          <w:szCs w:val="20"/>
        </w:rPr>
        <w:t>Corp Capital</w:t>
      </w:r>
      <w:r>
        <w:rPr>
          <w:rFonts w:ascii="Times New Roman" w:eastAsia="宋体" w:hAnsi="Times New Roman" w:cs="Times New Roman" w:hint="eastAsia"/>
          <w:bCs/>
          <w:sz w:val="24"/>
          <w:szCs w:val="20"/>
        </w:rPr>
        <w:t>银行结构化产品主管，美国汇丰银行结构化产品部高级副总裁，美国贝尔斯登公司结构化权益类产品高级董事总经理，加拿大帝国商业银行结构化产品部全球负责人、董事总经理兼财富解决方案中心负责人，蒙特利尔银行环球资产管理联席首席执行官。</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吴惠明先生，董事，硕士。现任申万宏源证券有限公司内核负责人、内核评审总部总经理。历任上海申银证券公司浦西管理总部交易部员工，申银万国证券股份有限公司经纪管理总部员工、办公室秘书、固定收益总部财务经理、党委办公室主任兼党委组织部副部长、人力资源总部副总经理，申万宏源证券有限公司党建工作部</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党委办公室主任，申万宏源证券有限公司计划财务管理总部总经理。</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西班牙对外银行私人银行管理团队成员、亚洲零售银行助理副总裁、西班牙对外银行全球青年领导层培训生，上海复星高科技（集团）有限公司国际发展部执行总经理兼集团财富管理和私人银行委员会委员，蒙特利尔银行（中国）有限公司亚洲区战略发展总监，蒙特利尔银行（中国）有限公司董事总经理。</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产管理股份有限公司财务管理副部长（主持工作），财务管理部部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陈戈先生，董事，研究生学历。现任富国基金管理有限公司总经理。历任国泰君安证券有限责任公司研究所研究员，富国基金管理有限公司研究员、基金经理、研究部总经理、总经理助理、副总经理，</w:t>
      </w:r>
      <w:r>
        <w:rPr>
          <w:rFonts w:ascii="Times New Roman" w:eastAsia="宋体" w:hAnsi="Times New Roman" w:cs="Times New Roman" w:hint="eastAsia"/>
          <w:bCs/>
          <w:sz w:val="24"/>
          <w:szCs w:val="20"/>
        </w:rPr>
        <w:t>2005</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4</w:t>
      </w:r>
      <w:r>
        <w:rPr>
          <w:rFonts w:ascii="Times New Roman" w:eastAsia="宋体" w:hAnsi="Times New Roman" w:cs="Times New Roman" w:hint="eastAsia"/>
          <w:bCs/>
          <w:sz w:val="24"/>
          <w:szCs w:val="20"/>
        </w:rPr>
        <w:t>月至</w:t>
      </w:r>
      <w:r>
        <w:rPr>
          <w:rFonts w:ascii="Times New Roman" w:eastAsia="宋体" w:hAnsi="Times New Roman" w:cs="Times New Roman" w:hint="eastAsia"/>
          <w:bCs/>
          <w:sz w:val="24"/>
          <w:szCs w:val="20"/>
        </w:rPr>
        <w:t>2014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4</w:t>
      </w:r>
      <w:r>
        <w:rPr>
          <w:rFonts w:ascii="Times New Roman" w:eastAsia="宋体" w:hAnsi="Times New Roman" w:cs="Times New Roman" w:hint="eastAsia"/>
          <w:bCs/>
          <w:sz w:val="24"/>
          <w:szCs w:val="20"/>
        </w:rPr>
        <w:t>月任富国天益价值证券投资基金基金经理。</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李彧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王叙果女士，独立董事，博士。现任南京审计大学金融学教授、硕士生导师，从事金融学教学科研工作。历任安徽铜陵财经专科学校（现铜陵学院）财金系讲师、副教授，南京审计学院副教授。</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2</w:t>
      </w:r>
      <w:r>
        <w:rPr>
          <w:rFonts w:ascii="Times New Roman" w:eastAsia="宋体" w:hAnsi="Times New Roman" w:cs="Times New Roman" w:hint="eastAsia"/>
          <w:bCs/>
          <w:sz w:val="24"/>
          <w:szCs w:val="20"/>
        </w:rPr>
        <w:t>、监事会成员</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孟祥元先生，监事长，研究生学历。现任山东省鲁信投资控股集团有限公司投资发展部（基金管理部、战略规划部）部长。历任中国重汽集团济南桥箱有限公司职员，中国重型汽车有限公司证券部政策研究员，山东省鲁信投资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叶康先生，监事，博士。现任国泰海通证券股份有限公司财富管理委员会委员、资产配置部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rsidR="0068684E" w:rsidRDefault="0091797B">
      <w:pPr>
        <w:widowControl/>
        <w:spacing w:line="360" w:lineRule="auto"/>
        <w:ind w:firstLineChars="200" w:firstLine="480"/>
        <w:rPr>
          <w:rFonts w:ascii="Times New Roman" w:eastAsia="宋体" w:hAnsi="Times New Roman" w:cs="Times New Roman"/>
          <w:bCs/>
          <w:sz w:val="24"/>
          <w:szCs w:val="20"/>
        </w:rPr>
      </w:pPr>
      <w:r w:rsidRPr="0091797B">
        <w:rPr>
          <w:rFonts w:ascii="Times New Roman" w:eastAsia="宋体" w:hAnsi="Times New Roman" w:cs="Times New Roman" w:hint="eastAsia"/>
          <w:bCs/>
          <w:sz w:val="24"/>
          <w:szCs w:val="20"/>
        </w:rPr>
        <w:t>赵伟先生，监事，硕士。现任申万宏源证券有限公司法律合规总部副总经理。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助理、申万宏源证券承销保荐有限责任公司监事、申万宏源西部证券有限公司监事。</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黄晓先生，监事，硕士。现任蒙特利尔银行</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中国</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有限公司战略规划与市场部总监。历任加拿大帝国商业银行客户经理，诺基亚</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中国</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投资有限公司财务分析师，蒙特利尔银行</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中国</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有限公司战略规划与市场部经理，高级经理。</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交易部风控总监助理、风控副总监。</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马兰女士，监事，研究生学历。现任富国基金营销管理部市场策略副总监兼高级市场策略经理。历任营销策划经理、高级营销策划经理、市场策略总监助理。</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马维娜女士，监事，本科学历。现任富国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、督察长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w:t>
      </w:r>
      <w:r>
        <w:rPr>
          <w:rFonts w:ascii="Times New Roman" w:eastAsia="宋体" w:hAnsi="Times New Roman" w:cs="Times New Roman" w:hint="eastAsia"/>
          <w:bCs/>
          <w:sz w:val="24"/>
          <w:szCs w:val="20"/>
        </w:rPr>
        <w:t>2015</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7</w:t>
      </w:r>
      <w:r>
        <w:rPr>
          <w:rFonts w:ascii="Times New Roman" w:eastAsia="宋体" w:hAnsi="Times New Roman" w:cs="Times New Roman" w:hint="eastAsia"/>
          <w:bCs/>
          <w:sz w:val="24"/>
          <w:szCs w:val="20"/>
        </w:rPr>
        <w:t>月加入富国基金管理有限公司，历任监察稽核部总经理。现任富国基金管理有限公司督察长。</w:t>
      </w:r>
    </w:p>
    <w:p w:rsidR="0068684E" w:rsidRDefault="000021E4">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4</w:t>
      </w:r>
      <w:r>
        <w:rPr>
          <w:rFonts w:ascii="Times New Roman" w:eastAsia="宋体" w:hAnsi="Times New Roman" w:cs="Times New Roman" w:hint="eastAsia"/>
          <w:bCs/>
          <w:sz w:val="24"/>
          <w:szCs w:val="20"/>
        </w:rPr>
        <w:t>、经营管理层人员</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陈戈先生，总经理（简历请参见上述关于董事的介绍）。</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林志松先生，本科学历，工商管理硕士学位。曾任漳州进出口商品检验局秘书、晋江进出口商品检验局办事处负责人、厦门证券公司业务经理；</w:t>
      </w:r>
      <w:r>
        <w:rPr>
          <w:rFonts w:ascii="Times New Roman" w:eastAsia="宋体" w:hAnsi="Times New Roman" w:cs="Times New Roman" w:hint="eastAsia"/>
          <w:bCs/>
          <w:sz w:val="24"/>
          <w:szCs w:val="20"/>
        </w:rPr>
        <w:t>1998</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10</w:t>
      </w:r>
      <w:r>
        <w:rPr>
          <w:rFonts w:ascii="Times New Roman" w:eastAsia="宋体" w:hAnsi="Times New Roman" w:cs="Times New Roman" w:hint="eastAsia"/>
          <w:bCs/>
          <w:sz w:val="24"/>
          <w:szCs w:val="20"/>
        </w:rPr>
        <w:t>月参与富国基金管理有限公司筹备，历任监察稽核部稽察员、高级稽察员、部门副经理、部门经理、督察长、首席信息官，现任富国基金管理有限公司副总经理。</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陆文佳女士，研究生学历，硕士学位。曾任中国建设银行上海市分行职员，华安基金管理有限公司市场总监、副营销总裁；</w:t>
      </w:r>
      <w:r>
        <w:rPr>
          <w:rFonts w:ascii="Times New Roman" w:eastAsia="宋体" w:hAnsi="Times New Roman" w:cs="Times New Roman" w:hint="eastAsia"/>
          <w:bCs/>
          <w:sz w:val="24"/>
          <w:szCs w:val="20"/>
        </w:rPr>
        <w:t>2014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5</w:t>
      </w:r>
      <w:r>
        <w:rPr>
          <w:rFonts w:ascii="Times New Roman" w:eastAsia="宋体" w:hAnsi="Times New Roman" w:cs="Times New Roman" w:hint="eastAsia"/>
          <w:bCs/>
          <w:sz w:val="24"/>
          <w:szCs w:val="20"/>
        </w:rPr>
        <w:t>月加入富国基金管理有限公司，现任富国基金管理有限公司副总经理。</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李笑薇女士，研究生学历，博士学位，高级经济师。曾任国家教委外资贷款办公室项目官员，摩根士丹利资本国际</w:t>
      </w:r>
      <w:r>
        <w:rPr>
          <w:rFonts w:ascii="Times New Roman" w:eastAsia="宋体" w:hAnsi="Times New Roman" w:cs="Times New Roman" w:hint="eastAsia"/>
          <w:bCs/>
          <w:sz w:val="24"/>
          <w:szCs w:val="20"/>
        </w:rPr>
        <w:t>Barra</w:t>
      </w:r>
      <w:r>
        <w:rPr>
          <w:rFonts w:ascii="Times New Roman" w:eastAsia="宋体" w:hAnsi="Times New Roman" w:cs="Times New Roman" w:hint="eastAsia"/>
          <w:bCs/>
          <w:sz w:val="24"/>
          <w:szCs w:val="20"/>
        </w:rPr>
        <w:t>公司（</w:t>
      </w:r>
      <w:r>
        <w:rPr>
          <w:rFonts w:ascii="Times New Roman" w:eastAsia="宋体" w:hAnsi="Times New Roman" w:cs="Times New Roman" w:hint="eastAsia"/>
          <w:bCs/>
          <w:sz w:val="24"/>
          <w:szCs w:val="20"/>
        </w:rPr>
        <w:t>MSCI BARRA</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BARRA</w:t>
      </w:r>
      <w:r>
        <w:rPr>
          <w:rFonts w:ascii="Times New Roman" w:eastAsia="宋体" w:hAnsi="Times New Roman" w:cs="Times New Roman" w:hint="eastAsia"/>
          <w:bCs/>
          <w:sz w:val="24"/>
          <w:szCs w:val="20"/>
        </w:rPr>
        <w:t>股票风险评估部高级研究员，巴克莱国际投资管理公司（</w:t>
      </w:r>
      <w:r>
        <w:rPr>
          <w:rFonts w:ascii="Times New Roman" w:eastAsia="宋体" w:hAnsi="Times New Roman" w:cs="Times New Roman" w:hint="eastAsia"/>
          <w:bCs/>
          <w:sz w:val="24"/>
          <w:szCs w:val="20"/>
        </w:rPr>
        <w:t>Barclays Global Investors</w:t>
      </w:r>
      <w:r>
        <w:rPr>
          <w:rFonts w:ascii="Times New Roman" w:eastAsia="宋体" w:hAnsi="Times New Roman" w:cs="Times New Roman" w:hint="eastAsia"/>
          <w:bCs/>
          <w:sz w:val="24"/>
          <w:szCs w:val="20"/>
        </w:rPr>
        <w:t>）大中华主动股票投资总监、高级基金经理及高级研究员；</w:t>
      </w:r>
      <w:r>
        <w:rPr>
          <w:rFonts w:ascii="Times New Roman" w:eastAsia="宋体" w:hAnsi="Times New Roman" w:cs="Times New Roman" w:hint="eastAsia"/>
          <w:bCs/>
          <w:sz w:val="24"/>
          <w:szCs w:val="20"/>
        </w:rPr>
        <w:t>2009</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6</w:t>
      </w:r>
      <w:r>
        <w:rPr>
          <w:rFonts w:ascii="Times New Roman" w:eastAsia="宋体" w:hAnsi="Times New Roman" w:cs="Times New Roman" w:hint="eastAsia"/>
          <w:bCs/>
          <w:sz w:val="24"/>
          <w:szCs w:val="20"/>
        </w:rPr>
        <w:t>月加入富国基金管理有限公司，历任基金经理、量化与海外投资部总经理、公司总经理助理，现任富国基金管理有限公司副总经理兼基金经理。</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朱少醒先生，研究生学历，博士学位。</w:t>
      </w:r>
      <w:r>
        <w:rPr>
          <w:rFonts w:ascii="Times New Roman" w:eastAsia="宋体" w:hAnsi="Times New Roman" w:cs="Times New Roman" w:hint="eastAsia"/>
          <w:bCs/>
          <w:sz w:val="24"/>
          <w:szCs w:val="20"/>
        </w:rPr>
        <w:t>2000</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6</w:t>
      </w:r>
      <w:r>
        <w:rPr>
          <w:rFonts w:ascii="Times New Roman" w:eastAsia="宋体" w:hAnsi="Times New Roman" w:cs="Times New Roman" w:hint="eastAsia"/>
          <w:bCs/>
          <w:sz w:val="24"/>
          <w:szCs w:val="20"/>
        </w:rPr>
        <w:t>月加入富国基金管理有限公司，历任产品开发主管、基金经理助理、基金经理、研究部总经理、权益投资部总经理、公司总经理助理，现任富国基金管理有限公司副总经理兼基金经理。</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李强先生，研究生学历，硕士学位，曾任苏州大学助教，上海银行信息技术部高级经理助理；自</w:t>
      </w:r>
      <w:r>
        <w:rPr>
          <w:rFonts w:ascii="Times New Roman" w:eastAsia="宋体" w:hAnsi="Times New Roman" w:cs="Times New Roman" w:hint="eastAsia"/>
          <w:bCs/>
          <w:sz w:val="24"/>
          <w:szCs w:val="20"/>
        </w:rPr>
        <w:t>2014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月加入富国基金管理有限公司，历任客服与电子商务部副总经理、信息技术部副总经理、信息技术部总经理、数字金融业务部副总经理；现任富国基金管理有限公司首席信息官兼信息技术部总经理。</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5</w:t>
      </w:r>
      <w:r>
        <w:rPr>
          <w:rFonts w:ascii="Times New Roman" w:eastAsia="宋体" w:hAnsi="Times New Roman" w:cs="Times New Roman" w:hint="eastAsia"/>
          <w:bCs/>
          <w:sz w:val="24"/>
          <w:szCs w:val="20"/>
        </w:rPr>
        <w:t>、本基金基金经理</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王登元，硕士，曾任原兴业全球基金管理有限公司研究员，兴业证券股份有限公司投资经理；自</w:t>
      </w:r>
      <w:r>
        <w:rPr>
          <w:rFonts w:ascii="Times New Roman" w:eastAsia="宋体" w:hAnsi="Times New Roman" w:cs="Times New Roman" w:hint="eastAsia"/>
          <w:bCs/>
          <w:sz w:val="24"/>
          <w:szCs w:val="20"/>
        </w:rPr>
        <w:t>2016</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10</w:t>
      </w:r>
      <w:r>
        <w:rPr>
          <w:rFonts w:ascii="Times New Roman" w:eastAsia="宋体" w:hAnsi="Times New Roman" w:cs="Times New Roman" w:hint="eastAsia"/>
          <w:bCs/>
          <w:sz w:val="24"/>
          <w:szCs w:val="20"/>
        </w:rPr>
        <w:t>月加入富国基金管理有限公司，历任定量研究员、定量投资经理、</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投资经理、</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基金经理、多元资产投资部多元资产投资总监助理、多元资产投资部副总经理；现任富国基金多元资产投资部总经理，兼任富国基金高级</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2019</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09</w:t>
      </w:r>
      <w:r>
        <w:rPr>
          <w:rFonts w:ascii="Times New Roman" w:eastAsia="宋体" w:hAnsi="Times New Roman" w:cs="Times New Roman" w:hint="eastAsia"/>
          <w:bCs/>
          <w:sz w:val="24"/>
          <w:szCs w:val="20"/>
        </w:rPr>
        <w:t>月起任富国智诚精选</w:t>
      </w: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个月持有期混合型基金中基金（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2021</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11</w:t>
      </w:r>
      <w:r>
        <w:rPr>
          <w:rFonts w:ascii="Times New Roman" w:eastAsia="宋体" w:hAnsi="Times New Roman" w:cs="Times New Roman" w:hint="eastAsia"/>
          <w:bCs/>
          <w:sz w:val="24"/>
          <w:szCs w:val="20"/>
        </w:rPr>
        <w:t>月起任富国智浦精选</w:t>
      </w:r>
      <w:r>
        <w:rPr>
          <w:rFonts w:ascii="Times New Roman" w:eastAsia="宋体" w:hAnsi="Times New Roman" w:cs="Times New Roman" w:hint="eastAsia"/>
          <w:bCs/>
          <w:sz w:val="24"/>
          <w:szCs w:val="20"/>
        </w:rPr>
        <w:t>12</w:t>
      </w:r>
      <w:r>
        <w:rPr>
          <w:rFonts w:ascii="Times New Roman" w:eastAsia="宋体" w:hAnsi="Times New Roman" w:cs="Times New Roman" w:hint="eastAsia"/>
          <w:bCs/>
          <w:sz w:val="24"/>
          <w:szCs w:val="20"/>
        </w:rPr>
        <w:t>个月持有期混合型基金中基金（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2022</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03</w:t>
      </w:r>
      <w:r>
        <w:rPr>
          <w:rFonts w:ascii="Times New Roman" w:eastAsia="宋体" w:hAnsi="Times New Roman" w:cs="Times New Roman" w:hint="eastAsia"/>
          <w:bCs/>
          <w:sz w:val="24"/>
          <w:szCs w:val="20"/>
        </w:rPr>
        <w:t>月起任富国智选稳进</w:t>
      </w: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个月持有期混合型基金中基金（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2022</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03</w:t>
      </w:r>
      <w:r>
        <w:rPr>
          <w:rFonts w:ascii="Times New Roman" w:eastAsia="宋体" w:hAnsi="Times New Roman" w:cs="Times New Roman" w:hint="eastAsia"/>
          <w:bCs/>
          <w:sz w:val="24"/>
          <w:szCs w:val="20"/>
        </w:rPr>
        <w:t>月起任富国鑫汇养老目标日期</w:t>
      </w:r>
      <w:r>
        <w:rPr>
          <w:rFonts w:ascii="Times New Roman" w:eastAsia="宋体" w:hAnsi="Times New Roman" w:cs="Times New Roman" w:hint="eastAsia"/>
          <w:bCs/>
          <w:sz w:val="24"/>
          <w:szCs w:val="20"/>
        </w:rPr>
        <w:t>2045</w:t>
      </w:r>
      <w:r>
        <w:rPr>
          <w:rFonts w:ascii="Times New Roman" w:eastAsia="宋体" w:hAnsi="Times New Roman" w:cs="Times New Roman" w:hint="eastAsia"/>
          <w:bCs/>
          <w:sz w:val="24"/>
          <w:szCs w:val="20"/>
        </w:rPr>
        <w:t>五年持有期混合型发起式基金中基金（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2022</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06</w:t>
      </w:r>
      <w:r>
        <w:rPr>
          <w:rFonts w:ascii="Times New Roman" w:eastAsia="宋体" w:hAnsi="Times New Roman" w:cs="Times New Roman" w:hint="eastAsia"/>
          <w:bCs/>
          <w:sz w:val="24"/>
          <w:szCs w:val="20"/>
        </w:rPr>
        <w:t>月起任富国鑫汇养老目标日期</w:t>
      </w:r>
      <w:r>
        <w:rPr>
          <w:rFonts w:ascii="Times New Roman" w:eastAsia="宋体" w:hAnsi="Times New Roman" w:cs="Times New Roman" w:hint="eastAsia"/>
          <w:bCs/>
          <w:sz w:val="24"/>
          <w:szCs w:val="20"/>
        </w:rPr>
        <w:t>2025</w:t>
      </w:r>
      <w:r>
        <w:rPr>
          <w:rFonts w:ascii="Times New Roman" w:eastAsia="宋体" w:hAnsi="Times New Roman" w:cs="Times New Roman" w:hint="eastAsia"/>
          <w:bCs/>
          <w:sz w:val="24"/>
          <w:szCs w:val="20"/>
        </w:rPr>
        <w:t>一年持有期混合型基金中基金（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2023</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05</w:t>
      </w:r>
      <w:r>
        <w:rPr>
          <w:rFonts w:ascii="Times New Roman" w:eastAsia="宋体" w:hAnsi="Times New Roman" w:cs="Times New Roman" w:hint="eastAsia"/>
          <w:bCs/>
          <w:sz w:val="24"/>
          <w:szCs w:val="20"/>
        </w:rPr>
        <w:t>月起任富国鑫汇养老目标日期</w:t>
      </w:r>
      <w:r>
        <w:rPr>
          <w:rFonts w:ascii="Times New Roman" w:eastAsia="宋体" w:hAnsi="Times New Roman" w:cs="Times New Roman" w:hint="eastAsia"/>
          <w:bCs/>
          <w:sz w:val="24"/>
          <w:szCs w:val="20"/>
        </w:rPr>
        <w:t>2035</w:t>
      </w:r>
      <w:r>
        <w:rPr>
          <w:rFonts w:ascii="Times New Roman" w:eastAsia="宋体" w:hAnsi="Times New Roman" w:cs="Times New Roman" w:hint="eastAsia"/>
          <w:bCs/>
          <w:sz w:val="24"/>
          <w:szCs w:val="20"/>
        </w:rPr>
        <w:t>三年持有期混合型发起式基金中基金（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2025</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02</w:t>
      </w:r>
      <w:r>
        <w:rPr>
          <w:rFonts w:ascii="Times New Roman" w:eastAsia="宋体" w:hAnsi="Times New Roman" w:cs="Times New Roman" w:hint="eastAsia"/>
          <w:bCs/>
          <w:sz w:val="24"/>
          <w:szCs w:val="20"/>
        </w:rPr>
        <w:t>月起任富国盈和臻选</w:t>
      </w: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个月持</w:t>
      </w:r>
      <w:r>
        <w:rPr>
          <w:rFonts w:ascii="Times New Roman" w:eastAsia="宋体" w:hAnsi="Times New Roman" w:cs="Times New Roman" w:hint="eastAsia"/>
          <w:bCs/>
          <w:sz w:val="24"/>
          <w:szCs w:val="20"/>
        </w:rPr>
        <w:lastRenderedPageBreak/>
        <w:t>有期混合型基金中基金（</w:t>
      </w:r>
      <w:r>
        <w:rPr>
          <w:rFonts w:ascii="Times New Roman" w:eastAsia="宋体" w:hAnsi="Times New Roman" w:cs="Times New Roman" w:hint="eastAsia"/>
          <w:bCs/>
          <w:sz w:val="24"/>
          <w:szCs w:val="20"/>
        </w:rPr>
        <w:t>FOF</w:t>
      </w:r>
      <w:r>
        <w:rPr>
          <w:rFonts w:ascii="Times New Roman" w:eastAsia="宋体" w:hAnsi="Times New Roman" w:cs="Times New Roman" w:hint="eastAsia"/>
          <w:bCs/>
          <w:sz w:val="24"/>
          <w:szCs w:val="20"/>
        </w:rPr>
        <w:t>）基金经理；具有基金从业资格。</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6</w:t>
      </w:r>
      <w:r>
        <w:rPr>
          <w:rFonts w:ascii="Times New Roman" w:eastAsia="宋体" w:hAnsi="Times New Roman" w:cs="Times New Roman" w:hint="eastAsia"/>
          <w:bCs/>
          <w:sz w:val="24"/>
          <w:szCs w:val="20"/>
        </w:rPr>
        <w:t>、投资决策委员会成员</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公司投委会成员：总经理陈戈，分管副总经理朱少醒，分管副总经理李笑薇。</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7</w:t>
      </w:r>
      <w:r>
        <w:rPr>
          <w:rFonts w:ascii="Times New Roman" w:eastAsia="宋体" w:hAnsi="Times New Roman" w:cs="Times New Roman" w:hint="eastAsia"/>
          <w:bCs/>
          <w:sz w:val="24"/>
          <w:szCs w:val="20"/>
        </w:rPr>
        <w:t>、上述人员之间不存在近亲属关系。</w:t>
      </w:r>
    </w:p>
    <w:bookmarkEnd w:id="56"/>
    <w:bookmarkEnd w:id="57"/>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三、基金管理人的职责</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、依法募集资金，</w:t>
      </w:r>
      <w:r>
        <w:rPr>
          <w:rFonts w:ascii="Times New Roman" w:eastAsia="宋体" w:hAnsi="Times New Roman" w:cs="Times New Roman" w:hint="eastAsia"/>
          <w:sz w:val="24"/>
          <w:szCs w:val="24"/>
        </w:rPr>
        <w:t>办理或者委托经中国证监会认定的其他机构代为</w:t>
      </w:r>
      <w:r>
        <w:rPr>
          <w:rFonts w:ascii="Times New Roman" w:eastAsia="宋体" w:hAnsi="Times New Roman" w:cs="Times New Roman"/>
          <w:sz w:val="24"/>
          <w:szCs w:val="24"/>
        </w:rPr>
        <w:t>办理基金份额的发售</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申购</w:t>
      </w:r>
      <w:r>
        <w:rPr>
          <w:rFonts w:ascii="Times New Roman" w:eastAsia="宋体" w:hAnsi="Times New Roman" w:cs="Times New Roman" w:hint="eastAsia"/>
          <w:sz w:val="24"/>
          <w:szCs w:val="24"/>
        </w:rPr>
        <w:t>、</w:t>
      </w:r>
      <w:r>
        <w:rPr>
          <w:rFonts w:ascii="Times New Roman" w:eastAsia="宋体" w:hAnsi="Times New Roman" w:cs="Times New Roman"/>
          <w:sz w:val="24"/>
          <w:szCs w:val="24"/>
        </w:rPr>
        <w:t>赎回和登记事宜；</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、办理基金备案手续；</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、对所管理的不同基金财产分别管理、分别记账，进行基金、证券投资；</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、按照基金合同的约定确定基金收益分配方案，及时向基金份额持有人分配收益；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、进行基金会计核算并编制基金财务会计报告；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、编制季度报告、</w:t>
      </w:r>
      <w:r>
        <w:rPr>
          <w:rFonts w:ascii="Times New Roman" w:eastAsia="宋体" w:hAnsi="Times New Roman" w:cs="Times New Roman" w:hint="eastAsia"/>
          <w:sz w:val="24"/>
          <w:szCs w:val="24"/>
        </w:rPr>
        <w:t>中期</w:t>
      </w:r>
      <w:r>
        <w:rPr>
          <w:rFonts w:ascii="Times New Roman" w:eastAsia="宋体" w:hAnsi="Times New Roman" w:cs="Times New Roman"/>
          <w:sz w:val="24"/>
          <w:szCs w:val="24"/>
        </w:rPr>
        <w:t>报告和年度报告；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、计算并公告基金净值信息，确定</w:t>
      </w:r>
      <w:r>
        <w:rPr>
          <w:rFonts w:ascii="Times New Roman" w:eastAsia="宋体" w:hAnsi="Times New Roman" w:cs="Times New Roman" w:hint="eastAsia"/>
          <w:sz w:val="24"/>
          <w:szCs w:val="24"/>
        </w:rPr>
        <w:t>基金份额</w:t>
      </w:r>
      <w:r>
        <w:rPr>
          <w:rFonts w:ascii="Times New Roman" w:eastAsia="宋体" w:hAnsi="Times New Roman" w:cs="Times New Roman"/>
          <w:sz w:val="24"/>
          <w:szCs w:val="24"/>
        </w:rPr>
        <w:t>申购、赎回</w:t>
      </w:r>
      <w:r>
        <w:rPr>
          <w:rFonts w:ascii="Times New Roman" w:eastAsia="宋体" w:hAnsi="Times New Roman" w:cs="Times New Roman" w:hint="eastAsia"/>
          <w:sz w:val="24"/>
          <w:szCs w:val="24"/>
        </w:rPr>
        <w:t>价格</w:t>
      </w:r>
      <w:r>
        <w:rPr>
          <w:rFonts w:ascii="Times New Roman" w:eastAsia="宋体" w:hAnsi="Times New Roman" w:cs="Times New Roman"/>
          <w:sz w:val="24"/>
          <w:szCs w:val="24"/>
        </w:rPr>
        <w:t>；</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sz w:val="24"/>
          <w:szCs w:val="24"/>
        </w:rPr>
        <w:t>、办理与基金财产管理业务活动有关的信息披露事项；</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9</w:t>
      </w:r>
      <w:r>
        <w:rPr>
          <w:rFonts w:ascii="Times New Roman" w:eastAsia="宋体" w:hAnsi="Times New Roman" w:cs="Times New Roman"/>
          <w:sz w:val="24"/>
          <w:szCs w:val="24"/>
        </w:rPr>
        <w:t>、按照规定召集基金份额持有人大会；</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10</w:t>
      </w:r>
      <w:r>
        <w:rPr>
          <w:rFonts w:ascii="Times New Roman" w:eastAsia="宋体" w:hAnsi="Times New Roman" w:cs="Times New Roman"/>
          <w:sz w:val="24"/>
          <w:szCs w:val="24"/>
        </w:rPr>
        <w:t>、保存基金财产管理业务活动的记录、账册、报表和其他相关资料；</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、以基金管理人名义，代表基金份额持有人利益行使诉讼权利或者实施其他法律行为；</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、法律法规和中国证监会规定的或基金合同约定的其他职责。</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四、基金管理人关于遵守法律法规的承诺</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基金管理人承诺不从事违反《中华人民共和国证券法》、《基金法》、《运作办法》、《销售办法》、《信息披露办法》等法律法规的行为，并承诺建立健全的内部控制制度，采取有效措施，防止违法行为的发生。</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、基金管理人承诺不从事以下违反《基金法》的行为，并承诺建立健全的内部风险控制制度，采取有效措施，防止下列行为的发生：</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）将基金管理人固有财产或者他人财产混同于基金财产从事证券投资；</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）不公平地对待管理的不同基金财产；</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）利用基金财产</w:t>
      </w:r>
      <w:r>
        <w:rPr>
          <w:rFonts w:ascii="Times New Roman" w:eastAsia="宋体" w:hAnsi="Times New Roman" w:cs="Times New Roman" w:hint="eastAsia"/>
          <w:sz w:val="24"/>
          <w:szCs w:val="24"/>
        </w:rPr>
        <w:t>或者职务之便</w:t>
      </w:r>
      <w:r>
        <w:rPr>
          <w:rFonts w:ascii="Times New Roman" w:eastAsia="宋体" w:hAnsi="Times New Roman" w:cs="Times New Roman"/>
          <w:sz w:val="24"/>
          <w:szCs w:val="24"/>
        </w:rPr>
        <w:t>为基金份额持有人以外的第三人牟取利益；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w:t>
      </w:r>
      <w:r>
        <w:rPr>
          <w:rFonts w:ascii="Times New Roman" w:eastAsia="宋体" w:hAnsi="Times New Roman" w:cs="Times New Roman"/>
          <w:sz w:val="24"/>
          <w:szCs w:val="24"/>
        </w:rPr>
        <w:t>4</w:t>
      </w:r>
      <w:r>
        <w:rPr>
          <w:rFonts w:ascii="Times New Roman" w:eastAsia="宋体" w:hAnsi="Times New Roman" w:cs="Times New Roman"/>
          <w:sz w:val="24"/>
          <w:szCs w:val="24"/>
        </w:rPr>
        <w:t>）向基金份额持有人违规承诺收益或者承担损失；</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）侵占、挪用基金财产；</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）泄露因职务便利获取的未公开信息、利用该信息从事或者明示、暗示他人从事相关的交易活动；</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）玩忽职守，不按照规定履行职责；</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）法律、行政法规</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中国证监会规定禁止的其他行为。</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、基金管理人承诺加强人员管理，强化职业操守，督促和约束员工遵守国家有关法律、法规及行业规范，诚实信用、勤勉尽责，不从事以下活动：</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）越权或违规经营；</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）违反基金合同或托管协议；</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）故意损害基金份额持有人或其他基金相关机构的合法权益；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）在向中国证监会报送的资料中弄虚作假；</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）拒绝、干扰、阻挠或严重影响中国证监会依法监管；</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）玩忽职守、滥用职权，不按照规定履行职责；</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7</w:t>
      </w:r>
      <w:r>
        <w:rPr>
          <w:rFonts w:ascii="Times New Roman" w:eastAsia="宋体" w:hAnsi="Times New Roman" w:cs="Times New Roman"/>
          <w:sz w:val="24"/>
          <w:szCs w:val="24"/>
        </w:rPr>
        <w:t>）违</w:t>
      </w:r>
      <w:r>
        <w:rPr>
          <w:rFonts w:ascii="Times New Roman" w:eastAsia="宋体" w:hAnsi="Times New Roman" w:cs="Times New Roman" w:hint="eastAsia"/>
          <w:sz w:val="24"/>
          <w:szCs w:val="24"/>
        </w:rPr>
        <w:t>反</w:t>
      </w:r>
      <w:r>
        <w:rPr>
          <w:rFonts w:ascii="Times New Roman" w:eastAsia="宋体" w:hAnsi="Times New Roman" w:cs="Times New Roman"/>
          <w:sz w:val="24"/>
          <w:szCs w:val="24"/>
        </w:rPr>
        <w:t>现行有效的有关法律、法规、规章、基金合同和中国证监会的有关规定，泄露在任职期间知悉的有关证券、基金的商业秘密、尚未依法公开的基金投资内容、基金投资计划等信息，或利用该信息从事或者明示、</w:t>
      </w:r>
      <w:r>
        <w:rPr>
          <w:rFonts w:ascii="Times New Roman" w:eastAsia="宋体" w:hAnsi="Times New Roman" w:cs="Times New Roman" w:hint="eastAsia"/>
          <w:sz w:val="24"/>
          <w:szCs w:val="24"/>
        </w:rPr>
        <w:t>暗示</w:t>
      </w:r>
      <w:r>
        <w:rPr>
          <w:rFonts w:ascii="Times New Roman" w:eastAsia="宋体" w:hAnsi="Times New Roman" w:cs="Times New Roman"/>
          <w:sz w:val="24"/>
          <w:szCs w:val="24"/>
        </w:rPr>
        <w:t>他人从事相关的交易活动；</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）协助、接受委托或以其他任何形式为其他组织或个人进行证券交易；</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9</w:t>
      </w:r>
      <w:r>
        <w:rPr>
          <w:rFonts w:ascii="Times New Roman" w:eastAsia="宋体" w:hAnsi="Times New Roman" w:cs="Times New Roman"/>
          <w:sz w:val="24"/>
          <w:szCs w:val="24"/>
        </w:rPr>
        <w:t>）违反证券交易场所业务规则，利用对敲、倒仓等手段操纵市场价格，扰乱市场秩序；</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）贬损同行，以提高自己；</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11</w:t>
      </w:r>
      <w:r>
        <w:rPr>
          <w:rFonts w:ascii="Times New Roman" w:eastAsia="宋体" w:hAnsi="Times New Roman" w:cs="Times New Roman"/>
          <w:sz w:val="24"/>
          <w:szCs w:val="24"/>
        </w:rPr>
        <w:t>）在公开信息披露和广告中故意含有虚假、误导、欺诈成分；</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12</w:t>
      </w:r>
      <w:r>
        <w:rPr>
          <w:rFonts w:ascii="Times New Roman" w:eastAsia="宋体" w:hAnsi="Times New Roman" w:cs="Times New Roman"/>
          <w:sz w:val="24"/>
          <w:szCs w:val="24"/>
        </w:rPr>
        <w:t>）以不正当手段谋求业务发展；</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13</w:t>
      </w:r>
      <w:r>
        <w:rPr>
          <w:rFonts w:ascii="Times New Roman" w:eastAsia="宋体" w:hAnsi="Times New Roman" w:cs="Times New Roman"/>
          <w:sz w:val="24"/>
          <w:szCs w:val="24"/>
        </w:rPr>
        <w:t>）有悖社会公德，损害证券投资基金从业人员形象；</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14</w:t>
      </w:r>
      <w:r>
        <w:rPr>
          <w:rFonts w:ascii="Times New Roman" w:eastAsia="宋体" w:hAnsi="Times New Roman" w:cs="Times New Roman"/>
          <w:sz w:val="24"/>
          <w:szCs w:val="24"/>
        </w:rPr>
        <w:t>）其他法律、行政法规禁止的行为。</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五、基金管理人关于禁止性行为的承诺</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为维护基金份额持有人的合法权益，基金财产不得用于下列投资或者活动：</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、承销</w:t>
      </w:r>
      <w:r>
        <w:rPr>
          <w:rFonts w:ascii="Times New Roman" w:eastAsia="宋体" w:hAnsi="Times New Roman" w:cs="Times New Roman" w:hint="eastAsia"/>
          <w:sz w:val="24"/>
          <w:szCs w:val="24"/>
        </w:rPr>
        <w:t>证券</w:t>
      </w:r>
      <w:r>
        <w:rPr>
          <w:rFonts w:ascii="Times New Roman" w:eastAsia="宋体" w:hAnsi="Times New Roman" w:cs="Times New Roman" w:hint="eastAsia"/>
          <w:bCs/>
          <w:sz w:val="24"/>
          <w:szCs w:val="24"/>
        </w:rPr>
        <w:t>；</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2</w:t>
      </w:r>
      <w:r>
        <w:rPr>
          <w:rFonts w:ascii="Times New Roman" w:eastAsia="宋体" w:hAnsi="Times New Roman" w:cs="Times New Roman" w:hint="eastAsia"/>
          <w:bCs/>
          <w:sz w:val="24"/>
          <w:szCs w:val="24"/>
        </w:rPr>
        <w:t>、违反规定向他人贷款或者提供担保；</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hint="eastAsia"/>
          <w:bCs/>
          <w:sz w:val="24"/>
          <w:szCs w:val="24"/>
        </w:rPr>
        <w:t>、从事承担无限责任的投资；</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、向其基金管理人、基金托管人出资；</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、从事内幕交易、操纵证券交易价格及其他不正当的证券交易活动；</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、持有具有复杂、衍生品性质的基金份额；</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hint="eastAsia"/>
          <w:bCs/>
          <w:sz w:val="24"/>
          <w:szCs w:val="24"/>
        </w:rPr>
        <w:t>、法律、行政法规和中国证监会规定禁止的其他活动。</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本基金投资基金管理人或基金管理人关联方管理的基金的情况，不属于前述重大关联交易，但是应当按照法律法规或监管规定的要求履行信息披露义务。</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w:t>
      </w:r>
      <w:bookmarkStart w:id="59" w:name="_Hlk66464912"/>
      <w:r>
        <w:rPr>
          <w:rFonts w:ascii="Times New Roman" w:eastAsia="宋体" w:hAnsi="Times New Roman" w:cs="Times New Roman" w:hint="eastAsia"/>
          <w:bCs/>
          <w:sz w:val="24"/>
          <w:szCs w:val="24"/>
        </w:rPr>
        <w:t>法律法规或监管部门取消或调整上述禁止性规定，基金管理人在履行适当程序后，本基金可不受上述规定的限制或按调整后的规定执行，但须</w:t>
      </w:r>
      <w:r>
        <w:rPr>
          <w:rFonts w:ascii="Times New Roman" w:eastAsia="宋体" w:hAnsi="Times New Roman" w:cs="Times New Roman"/>
          <w:bCs/>
          <w:sz w:val="24"/>
          <w:szCs w:val="24"/>
        </w:rPr>
        <w:t>按规定</w:t>
      </w:r>
      <w:r>
        <w:rPr>
          <w:rFonts w:ascii="Times New Roman" w:eastAsia="宋体" w:hAnsi="Times New Roman" w:cs="Times New Roman" w:hint="eastAsia"/>
          <w:bCs/>
          <w:sz w:val="24"/>
          <w:szCs w:val="24"/>
        </w:rPr>
        <w:t>公告</w:t>
      </w:r>
      <w:bookmarkEnd w:id="59"/>
      <w:r>
        <w:rPr>
          <w:rFonts w:ascii="Times New Roman" w:eastAsia="宋体" w:hAnsi="Times New Roman" w:cs="Times New Roman" w:hint="eastAsia"/>
          <w:bCs/>
          <w:sz w:val="24"/>
          <w:szCs w:val="24"/>
        </w:rPr>
        <w:t>。</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六、基金经理承诺</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、依照有关法律法规和基金合同的规定，本着谨慎的原则为基金份额持有人谋取最大利益；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、不利用职务之便为自己、受雇人或任何第三者谋取利益；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、不违反现行有效的有关法律法规、基金合同和中国证监会的有关规定，泄露在任职期间知悉的有关证券、基金的商业秘密，尚未依法公开的基金投资内容、基金投资计划等信息，或利用该信息从事或者明示、</w:t>
      </w:r>
      <w:r>
        <w:rPr>
          <w:rFonts w:ascii="Times New Roman" w:eastAsia="宋体" w:hAnsi="Times New Roman" w:cs="Times New Roman" w:hint="eastAsia"/>
          <w:sz w:val="24"/>
          <w:szCs w:val="24"/>
        </w:rPr>
        <w:t>暗示</w:t>
      </w:r>
      <w:r>
        <w:rPr>
          <w:rFonts w:ascii="Times New Roman" w:eastAsia="宋体" w:hAnsi="Times New Roman" w:cs="Times New Roman"/>
          <w:sz w:val="24"/>
          <w:szCs w:val="24"/>
        </w:rPr>
        <w:t>他人从事相关的交易活动；</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、不以任何形式为其他组织或个人进行证券交易。</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七、基金管理人的风险管理体系和内部控制制度</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、风险管理体系</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本基金在运作过程中面临的风险主要包括</w:t>
      </w:r>
      <w:r>
        <w:rPr>
          <w:rFonts w:ascii="Times New Roman" w:eastAsia="宋体" w:hAnsi="Times New Roman" w:cs="Times New Roman" w:hint="eastAsia"/>
          <w:sz w:val="24"/>
          <w:szCs w:val="24"/>
        </w:rPr>
        <w:t>特有风险、</w:t>
      </w:r>
      <w:r>
        <w:rPr>
          <w:rFonts w:ascii="Times New Roman" w:eastAsia="宋体" w:hAnsi="Times New Roman" w:cs="Times New Roman"/>
          <w:sz w:val="24"/>
          <w:szCs w:val="24"/>
        </w:rPr>
        <w:t>市场风险、流动性风险、管理风险、操作风险、合规性风险</w:t>
      </w:r>
      <w:r>
        <w:rPr>
          <w:rFonts w:ascii="Times New Roman" w:eastAsia="宋体" w:hAnsi="Times New Roman" w:cs="Times New Roman" w:hint="eastAsia"/>
          <w:sz w:val="24"/>
          <w:szCs w:val="24"/>
        </w:rPr>
        <w:t>、本基金法律文件风险收益特征表述与销售机构基金风险评价可能不一致的风险</w:t>
      </w:r>
      <w:r>
        <w:rPr>
          <w:rFonts w:ascii="Times New Roman" w:eastAsia="宋体" w:hAnsi="Times New Roman" w:cs="Times New Roman"/>
          <w:sz w:val="24"/>
          <w:szCs w:val="24"/>
        </w:rPr>
        <w:t>以及其他风险。</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针对上述各种风险，基金管理人建立了一套完整的风险管理体系，具体包括以下内容：</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）建立风险管理环境。具体包括制定风险管理战略、目标，设置相应的组织机构，配备相应的人力资源与技术系统，设定风险管理的时间范围与空间范围等内容。</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）识别风险。辨识组织系统与业务流程中存在的风险以及风险存在的原因。</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）分析风险。检查存在的控制措施，分析风险发生的可能性及其引起的后果。</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）处理风险。将风险水平与既定的标准相对比，对于那些级别较低的风险，则承担它，但需加以监控。而对较为严重的风险，则实施一定的管理计划，对于一些后果极其严重的风险，则准备相应的应急处理措施。</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）监视与检查。对已有的风险管理系统要监视及评价其管理绩效，在必要时加以改变。</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7</w:t>
      </w:r>
      <w:r>
        <w:rPr>
          <w:rFonts w:ascii="Times New Roman" w:eastAsia="宋体" w:hAnsi="Times New Roman" w:cs="Times New Roman"/>
          <w:sz w:val="24"/>
          <w:szCs w:val="24"/>
        </w:rPr>
        <w:t>）报告与咨询。建立风险管理的报告系统，使公司股东、公司董事会、公司高级管理人员及监管部门了解公司风险管理状况，并寻求咨询意见。</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、内部控制制度</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）内部控制的原则</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GB3 </w:instrText>
      </w:r>
      <w:r>
        <w:rPr>
          <w:rFonts w:ascii="Times New Roman" w:eastAsia="宋体" w:hAnsi="Times New Roman" w:cs="Times New Roman"/>
          <w:sz w:val="24"/>
          <w:szCs w:val="24"/>
        </w:rPr>
        <w:fldChar w:fldCharType="separate"/>
      </w:r>
      <w:r>
        <w:rPr>
          <w:rFonts w:ascii="宋体" w:eastAsia="宋体" w:hAnsi="宋体" w:cs="宋体"/>
          <w:sz w:val="24"/>
          <w:szCs w:val="24"/>
        </w:rPr>
        <w:t>①</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全面性原则。内部控制制度覆盖公司的各项业务、各个部门和各级人员，并渗透到决策、执行、监督、反馈等各个经营环节。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2 \* GB3 </w:instrText>
      </w:r>
      <w:r>
        <w:rPr>
          <w:rFonts w:ascii="Times New Roman" w:eastAsia="宋体" w:hAnsi="Times New Roman" w:cs="Times New Roman"/>
          <w:sz w:val="24"/>
          <w:szCs w:val="24"/>
        </w:rPr>
        <w:fldChar w:fldCharType="separate"/>
      </w:r>
      <w:r>
        <w:rPr>
          <w:rFonts w:ascii="宋体" w:eastAsia="宋体" w:hAnsi="宋体" w:cs="宋体"/>
          <w:sz w:val="24"/>
          <w:szCs w:val="24"/>
        </w:rPr>
        <w:t>②</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独立性原则。公司设立独立的督察长与监察稽核</w:t>
      </w:r>
      <w:r>
        <w:rPr>
          <w:rFonts w:ascii="Times New Roman" w:eastAsia="宋体" w:hAnsi="Times New Roman" w:cs="Times New Roman" w:hint="eastAsia"/>
          <w:sz w:val="24"/>
          <w:szCs w:val="24"/>
        </w:rPr>
        <w:t>职能</w:t>
      </w:r>
      <w:r>
        <w:rPr>
          <w:rFonts w:ascii="Times New Roman" w:eastAsia="宋体" w:hAnsi="Times New Roman" w:cs="Times New Roman"/>
          <w:sz w:val="24"/>
          <w:szCs w:val="24"/>
        </w:rPr>
        <w:t>部门，并使它们保持高度的独立性与权威性。</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fldChar w:fldCharType="begin"/>
      </w:r>
      <w:r>
        <w:rPr>
          <w:rFonts w:ascii="Times New Roman" w:eastAsia="宋体" w:hAnsi="Times New Roman" w:cs="Times New Roman"/>
          <w:sz w:val="24"/>
          <w:szCs w:val="24"/>
        </w:rPr>
        <w:instrText xml:space="preserve"> = 3 \* GB3 </w:instrText>
      </w:r>
      <w:r>
        <w:rPr>
          <w:rFonts w:ascii="Times New Roman" w:eastAsia="宋体" w:hAnsi="Times New Roman" w:cs="Times New Roman"/>
          <w:sz w:val="24"/>
          <w:szCs w:val="24"/>
        </w:rPr>
        <w:fldChar w:fldCharType="separate"/>
      </w:r>
      <w:r>
        <w:rPr>
          <w:rFonts w:ascii="宋体" w:eastAsia="宋体" w:hAnsi="宋体" w:cs="宋体"/>
          <w:sz w:val="24"/>
          <w:szCs w:val="24"/>
        </w:rPr>
        <w:t>③</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相互制约原则。公司部门和岗位的设置权责分明、相互牵制，并通过切实可行的相互制衡措施来消除内部控制中的盲点。</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4 \* GB3 </w:instrText>
      </w:r>
      <w:r>
        <w:rPr>
          <w:rFonts w:ascii="Times New Roman" w:eastAsia="宋体" w:hAnsi="Times New Roman" w:cs="Times New Roman"/>
          <w:sz w:val="24"/>
          <w:szCs w:val="24"/>
        </w:rPr>
        <w:fldChar w:fldCharType="separate"/>
      </w:r>
      <w:r>
        <w:rPr>
          <w:rFonts w:ascii="宋体" w:eastAsia="宋体" w:hAnsi="宋体" w:cs="宋体"/>
          <w:sz w:val="24"/>
          <w:szCs w:val="24"/>
        </w:rPr>
        <w:t>④</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重要性原则</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公司的发展必须建立在风险控制完善和稳固的基础上，内部风险控制与公司业务发展同等重要。</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）内部控制的主要内容</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GB3 </w:instrText>
      </w:r>
      <w:r>
        <w:rPr>
          <w:rFonts w:ascii="Times New Roman" w:eastAsia="宋体" w:hAnsi="Times New Roman" w:cs="Times New Roman"/>
          <w:sz w:val="24"/>
          <w:szCs w:val="24"/>
        </w:rPr>
        <w:fldChar w:fldCharType="separate"/>
      </w:r>
      <w:r>
        <w:rPr>
          <w:rFonts w:ascii="宋体" w:eastAsia="宋体" w:hAnsi="宋体" w:cs="宋体"/>
          <w:sz w:val="24"/>
          <w:szCs w:val="24"/>
        </w:rPr>
        <w:t>①</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控制环境</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此外，公司设有督察长，全权负责公司的监察与稽核工作，对公司和基金运作的合法性、合规性及合理性进行全面检查与监督，参与公司风险控制工作，发生重大风险事件时向公司董事长和中国证监会报告。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2 \* GB3 </w:instrText>
      </w:r>
      <w:r>
        <w:rPr>
          <w:rFonts w:ascii="Times New Roman" w:eastAsia="宋体" w:hAnsi="Times New Roman" w:cs="Times New Roman"/>
          <w:sz w:val="24"/>
          <w:szCs w:val="24"/>
        </w:rPr>
        <w:fldChar w:fldCharType="separate"/>
      </w:r>
      <w:r>
        <w:rPr>
          <w:rFonts w:ascii="宋体" w:eastAsia="宋体" w:hAnsi="宋体" w:cs="宋体"/>
          <w:sz w:val="24"/>
          <w:szCs w:val="24"/>
        </w:rPr>
        <w:t>②</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风险评估</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3 \* GB3 </w:instrText>
      </w:r>
      <w:r>
        <w:rPr>
          <w:rFonts w:ascii="Times New Roman" w:eastAsia="宋体" w:hAnsi="Times New Roman" w:cs="Times New Roman"/>
          <w:sz w:val="24"/>
          <w:szCs w:val="24"/>
        </w:rPr>
        <w:fldChar w:fldCharType="separate"/>
      </w:r>
      <w:r>
        <w:rPr>
          <w:rFonts w:ascii="宋体" w:eastAsia="宋体" w:hAnsi="宋体" w:cs="宋体"/>
          <w:sz w:val="24"/>
          <w:szCs w:val="24"/>
        </w:rPr>
        <w:t>③</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操作控制</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各业务部门内部工作岗位分工合理、职责明确，形成相互检查、相互制约的关系，以减少舞弊或差错发生的风险，各工作岗位均制定有相应的书面管理制度。</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在明确的岗位责任制度基础上，设置科学、合理、标准化的业务操作流程，每项业务操作有清晰、书面化的操作手册，同时，规定完备的处理手续，保存完整的业务记录，制定严格的检查、复核标准。</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4 \* GB3 </w:instrText>
      </w:r>
      <w:r>
        <w:rPr>
          <w:rFonts w:ascii="Times New Roman" w:eastAsia="宋体" w:hAnsi="Times New Roman" w:cs="Times New Roman"/>
          <w:sz w:val="24"/>
          <w:szCs w:val="24"/>
        </w:rPr>
        <w:fldChar w:fldCharType="separate"/>
      </w:r>
      <w:r>
        <w:rPr>
          <w:rFonts w:ascii="宋体" w:eastAsia="宋体" w:hAnsi="宋体" w:cs="宋体"/>
          <w:sz w:val="24"/>
          <w:szCs w:val="24"/>
        </w:rPr>
        <w:t>④</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信息与沟通</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公司建立了内部办公自动化信息系统与业务汇报体系，通过建立有效的信息交流渠道，保证公司员工及各级管理人员可以充分了解与其职责相关的信息，保证信息及时送达适当的人员进行处理。</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5 \* GB3 </w:instrText>
      </w:r>
      <w:r>
        <w:rPr>
          <w:rFonts w:ascii="Times New Roman" w:eastAsia="宋体" w:hAnsi="Times New Roman" w:cs="Times New Roman"/>
          <w:sz w:val="24"/>
          <w:szCs w:val="24"/>
        </w:rPr>
        <w:fldChar w:fldCharType="separate"/>
      </w:r>
      <w:r>
        <w:rPr>
          <w:rFonts w:ascii="宋体" w:eastAsia="宋体" w:hAnsi="宋体" w:cs="宋体"/>
          <w:sz w:val="24"/>
          <w:szCs w:val="24"/>
        </w:rPr>
        <w:t>⑤</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监督与内部稽核</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基金管理人设立了独立于各业务部门的监察稽核</w:t>
      </w:r>
      <w:r>
        <w:rPr>
          <w:rFonts w:ascii="Times New Roman" w:eastAsia="宋体" w:hAnsi="Times New Roman" w:cs="Times New Roman" w:hint="eastAsia"/>
          <w:sz w:val="24"/>
          <w:szCs w:val="24"/>
        </w:rPr>
        <w:t>职能</w:t>
      </w:r>
      <w:r>
        <w:rPr>
          <w:rFonts w:ascii="Times New Roman" w:eastAsia="宋体" w:hAnsi="Times New Roman" w:cs="Times New Roman"/>
          <w:sz w:val="24"/>
          <w:szCs w:val="24"/>
        </w:rPr>
        <w:t>部</w:t>
      </w:r>
      <w:r>
        <w:rPr>
          <w:rFonts w:ascii="Times New Roman" w:eastAsia="宋体" w:hAnsi="Times New Roman" w:cs="Times New Roman" w:hint="eastAsia"/>
          <w:sz w:val="24"/>
          <w:szCs w:val="24"/>
        </w:rPr>
        <w:t>门</w:t>
      </w:r>
      <w:r>
        <w:rPr>
          <w:rFonts w:ascii="Times New Roman" w:eastAsia="宋体" w:hAnsi="Times New Roman" w:cs="Times New Roman"/>
          <w:sz w:val="24"/>
          <w:szCs w:val="24"/>
        </w:rPr>
        <w:t>，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、基金管理人关于内部控制的声明</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）基金管理人确知建立、实施和维持内部控制制度是基金管理人董事会及管理层的责任；</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）上述关于内部控制的披露真实、准确；</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）基金管理人承诺将根据市场环境的变化及公司的发展不断完善内部控制制度。</w:t>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60" w:name="_Toc327457286"/>
      <w:bookmarkStart w:id="61" w:name="_Toc327457148"/>
      <w:r>
        <w:rPr>
          <w:rFonts w:ascii="Times New Roman" w:eastAsia="宋体" w:hAnsi="Times New Roman" w:cs="Times New Roman"/>
          <w:b/>
          <w:kern w:val="44"/>
          <w:sz w:val="24"/>
          <w:szCs w:val="20"/>
        </w:rPr>
        <w:br w:type="page"/>
      </w:r>
      <w:bookmarkStart w:id="62" w:name="_Hlt81032341"/>
      <w:bookmarkStart w:id="63" w:name="_Toc390614984"/>
      <w:bookmarkStart w:id="64" w:name="_Toc208913378"/>
      <w:bookmarkStart w:id="65" w:name="_Toc5376"/>
      <w:bookmarkStart w:id="66" w:name="_Toc109537383"/>
      <w:bookmarkEnd w:id="58"/>
      <w:bookmarkEnd w:id="60"/>
      <w:bookmarkEnd w:id="61"/>
      <w:bookmarkEnd w:id="62"/>
      <w:r>
        <w:rPr>
          <w:rFonts w:ascii="Times New Roman" w:eastAsia="宋体" w:hAnsi="Times New Roman" w:cs="Times New Roman"/>
          <w:b/>
          <w:kern w:val="0"/>
          <w:sz w:val="32"/>
          <w:szCs w:val="20"/>
        </w:rPr>
        <w:lastRenderedPageBreak/>
        <w:t>第四部分</w:t>
      </w:r>
      <w:r>
        <w:rPr>
          <w:rFonts w:ascii="Times New Roman" w:eastAsia="宋体" w:hAnsi="Times New Roman" w:cs="Times New Roman"/>
          <w:b/>
          <w:kern w:val="0"/>
          <w:sz w:val="32"/>
          <w:szCs w:val="20"/>
        </w:rPr>
        <w:t xml:space="preserve">  </w:t>
      </w:r>
      <w:r>
        <w:rPr>
          <w:rFonts w:ascii="Times New Roman" w:eastAsia="宋体" w:hAnsi="Times New Roman" w:cs="Times New Roman"/>
          <w:b/>
          <w:kern w:val="0"/>
          <w:sz w:val="32"/>
          <w:szCs w:val="20"/>
        </w:rPr>
        <w:t>基金托管人</w:t>
      </w:r>
      <w:bookmarkEnd w:id="63"/>
      <w:bookmarkEnd w:id="64"/>
      <w:bookmarkEnd w:id="65"/>
    </w:p>
    <w:p w:rsidR="0068684E" w:rsidRDefault="000021E4">
      <w:pPr>
        <w:widowControl/>
        <w:spacing w:line="360" w:lineRule="auto"/>
        <w:ind w:firstLineChars="200" w:firstLine="482"/>
        <w:rPr>
          <w:rFonts w:ascii="Times New Roman" w:eastAsia="宋体" w:hAnsi="Times New Roman" w:cs="Times New Roman"/>
          <w:b/>
          <w:bCs/>
          <w:sz w:val="24"/>
          <w:szCs w:val="24"/>
        </w:rPr>
      </w:pPr>
      <w:bookmarkStart w:id="67" w:name="_Toc116971120"/>
      <w:bookmarkStart w:id="68" w:name="_Toc116970834"/>
      <w:bookmarkStart w:id="69" w:name="_Toc116971000"/>
      <w:r>
        <w:rPr>
          <w:rFonts w:ascii="Times New Roman" w:eastAsia="宋体" w:hAnsi="Times New Roman" w:cs="Times New Roman" w:hint="eastAsia"/>
          <w:b/>
          <w:bCs/>
          <w:sz w:val="24"/>
          <w:szCs w:val="24"/>
        </w:rPr>
        <w:t>一、基本情况</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名称：中国银行股份有限公司（简称“中国银行”）</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住所及办公地址：北京市西城区复兴门内大街1号</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首次注册登记日期：1983年10月31日</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注册资本：人民币贰仟玖佰肆拾叁亿捌仟柒佰柒拾玖万壹仟贰佰肆拾壹元整</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法定代表人：葛海蛟</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基金托管业务批准文号：中国证监会证监基字【1998】24 号</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托管部门信息披露联系人：许俊</w:t>
      </w:r>
    </w:p>
    <w:p w:rsidR="0068684E" w:rsidRDefault="000021E4">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传真：（010）66594942</w:t>
      </w:r>
    </w:p>
    <w:p w:rsidR="0068684E" w:rsidRDefault="000021E4">
      <w:pPr>
        <w:spacing w:line="360" w:lineRule="auto"/>
        <w:ind w:firstLineChars="200" w:firstLine="480"/>
        <w:rPr>
          <w:rFonts w:ascii="Times New Roman" w:eastAsia="宋体" w:hAnsi="Times New Roman" w:cs="Times New Roman"/>
          <w:sz w:val="24"/>
          <w:szCs w:val="21"/>
        </w:rPr>
      </w:pPr>
      <w:r>
        <w:rPr>
          <w:rFonts w:ascii="宋体" w:eastAsia="宋体" w:hAnsi="宋体" w:cs="Times New Roman" w:hint="eastAsia"/>
          <w:sz w:val="24"/>
          <w:szCs w:val="21"/>
        </w:rPr>
        <w:t>中国银行客服电话：95566</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二、基金托管部门及主要人员情况</w:t>
      </w:r>
    </w:p>
    <w:p w:rsidR="0068684E" w:rsidRDefault="000021E4">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中国银行托管业务部设立于</w:t>
      </w:r>
      <w:r>
        <w:rPr>
          <w:rFonts w:ascii="Times New Roman" w:eastAsia="宋体" w:hAnsi="Times New Roman" w:cs="Times New Roman" w:hint="eastAsia"/>
          <w:sz w:val="24"/>
          <w:szCs w:val="21"/>
        </w:rPr>
        <w:t>1998</w:t>
      </w:r>
      <w:r>
        <w:rPr>
          <w:rFonts w:ascii="Times New Roman" w:eastAsia="宋体" w:hAnsi="Times New Roman" w:cs="Times New Roman" w:hint="eastAsia"/>
          <w:sz w:val="24"/>
          <w:szCs w:val="21"/>
        </w:rPr>
        <w:t>年，现有员工</w:t>
      </w:r>
      <w:r>
        <w:rPr>
          <w:rFonts w:ascii="Times New Roman" w:eastAsia="宋体" w:hAnsi="Times New Roman" w:cs="Times New Roman" w:hint="eastAsia"/>
          <w:sz w:val="24"/>
          <w:szCs w:val="21"/>
        </w:rPr>
        <w:t>110</w:t>
      </w:r>
      <w:r>
        <w:rPr>
          <w:rFonts w:ascii="Times New Roman" w:eastAsia="宋体" w:hAnsi="Times New Roman" w:cs="Times New Roman" w:hint="eastAsia"/>
          <w:sz w:val="24"/>
          <w:szCs w:val="21"/>
        </w:rPr>
        <w:t>余人，大部分员工具有丰富的银行、证券、基金、信托从业经验，且具有海外工作、学习或培训经历，</w:t>
      </w:r>
      <w:r>
        <w:rPr>
          <w:rFonts w:ascii="Times New Roman" w:eastAsia="宋体" w:hAnsi="Times New Roman" w:cs="Times New Roman" w:hint="eastAsia"/>
          <w:sz w:val="24"/>
          <w:szCs w:val="21"/>
        </w:rPr>
        <w:t>60</w:t>
      </w:r>
      <w:r>
        <w:rPr>
          <w:rFonts w:ascii="Times New Roman" w:eastAsia="宋体" w:hAnsi="Times New Roman" w:cs="Times New Roman" w:hint="eastAsia"/>
          <w:sz w:val="24"/>
          <w:szCs w:val="21"/>
        </w:rPr>
        <w:t>％以上的员工具有硕士以上学位或高级职称。为给客户提供专业化的托管服务，中国银行已在境内、外分行开展托管业务。</w:t>
      </w:r>
    </w:p>
    <w:p w:rsidR="0068684E" w:rsidRDefault="000021E4">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作为国内首批开展证券投资基金托管业务的商业银行，中国银行拥有证券投资基金、基金（一对多、一对一）、社保基金、保险资金、</w:t>
      </w:r>
      <w:r>
        <w:rPr>
          <w:rFonts w:ascii="Times New Roman" w:eastAsia="宋体" w:hAnsi="Times New Roman" w:cs="Times New Roman" w:hint="eastAsia"/>
          <w:sz w:val="24"/>
          <w:szCs w:val="21"/>
        </w:rPr>
        <w:t>QFII</w:t>
      </w:r>
      <w:r>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RQFII</w:t>
      </w:r>
      <w:r>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QDII</w:t>
      </w:r>
      <w:r>
        <w:rPr>
          <w:rFonts w:ascii="Times New Roman" w:eastAsia="宋体" w:hAnsi="Times New Roman" w:cs="Times New Roman" w:hint="eastAsia"/>
          <w:sz w:val="24"/>
          <w:szCs w:val="21"/>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68684E" w:rsidRDefault="000021E4">
      <w:pPr>
        <w:spacing w:line="360" w:lineRule="auto"/>
        <w:ind w:firstLineChars="200" w:firstLine="482"/>
        <w:rPr>
          <w:rFonts w:ascii="Times New Roman" w:eastAsia="宋体" w:hAnsi="Times New Roman" w:cs="Times New Roman"/>
          <w:b/>
          <w:sz w:val="24"/>
          <w:szCs w:val="21"/>
        </w:rPr>
      </w:pPr>
      <w:r>
        <w:rPr>
          <w:rFonts w:ascii="Times New Roman" w:eastAsia="宋体" w:hAnsi="Times New Roman" w:cs="Times New Roman"/>
          <w:b/>
          <w:sz w:val="24"/>
          <w:szCs w:val="21"/>
        </w:rPr>
        <w:t>三、证券投资基金托管情况</w:t>
      </w:r>
    </w:p>
    <w:p w:rsidR="0068684E" w:rsidRDefault="000021E4">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截至</w:t>
      </w:r>
      <w:r>
        <w:rPr>
          <w:rFonts w:ascii="Times New Roman" w:eastAsia="宋体" w:hAnsi="Times New Roman" w:cs="Times New Roman" w:hint="eastAsia"/>
          <w:sz w:val="24"/>
          <w:szCs w:val="21"/>
        </w:rPr>
        <w:t>2025</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6</w:t>
      </w:r>
      <w:r>
        <w:rPr>
          <w:rFonts w:ascii="Times New Roman" w:eastAsia="宋体" w:hAnsi="Times New Roman" w:cs="Times New Roman" w:hint="eastAsia"/>
          <w:sz w:val="24"/>
          <w:szCs w:val="21"/>
        </w:rPr>
        <w:t>月</w:t>
      </w:r>
      <w:r>
        <w:rPr>
          <w:rFonts w:ascii="Times New Roman" w:eastAsia="宋体" w:hAnsi="Times New Roman" w:cs="Times New Roman" w:hint="eastAsia"/>
          <w:sz w:val="24"/>
          <w:szCs w:val="21"/>
        </w:rPr>
        <w:t>30</w:t>
      </w:r>
      <w:r>
        <w:rPr>
          <w:rFonts w:ascii="Times New Roman" w:eastAsia="宋体" w:hAnsi="Times New Roman" w:cs="Times New Roman" w:hint="eastAsia"/>
          <w:sz w:val="24"/>
          <w:szCs w:val="21"/>
        </w:rPr>
        <w:t>日，中国银行已托管</w:t>
      </w:r>
      <w:r>
        <w:rPr>
          <w:rFonts w:ascii="Times New Roman" w:eastAsia="宋体" w:hAnsi="Times New Roman" w:cs="Times New Roman" w:hint="eastAsia"/>
          <w:sz w:val="24"/>
          <w:szCs w:val="21"/>
        </w:rPr>
        <w:t>1156</w:t>
      </w:r>
      <w:r>
        <w:rPr>
          <w:rFonts w:ascii="Times New Roman" w:eastAsia="宋体" w:hAnsi="Times New Roman" w:cs="Times New Roman" w:hint="eastAsia"/>
          <w:sz w:val="24"/>
          <w:szCs w:val="21"/>
        </w:rPr>
        <w:t>只证券投资基金，其中境内基金</w:t>
      </w:r>
      <w:r>
        <w:rPr>
          <w:rFonts w:ascii="Times New Roman" w:eastAsia="宋体" w:hAnsi="Times New Roman" w:cs="Times New Roman" w:hint="eastAsia"/>
          <w:sz w:val="24"/>
          <w:szCs w:val="21"/>
        </w:rPr>
        <w:t>1088</w:t>
      </w:r>
      <w:r>
        <w:rPr>
          <w:rFonts w:ascii="Times New Roman" w:eastAsia="宋体" w:hAnsi="Times New Roman" w:cs="Times New Roman" w:hint="eastAsia"/>
          <w:sz w:val="24"/>
          <w:szCs w:val="21"/>
        </w:rPr>
        <w:t>只，</w:t>
      </w:r>
      <w:r>
        <w:rPr>
          <w:rFonts w:ascii="Times New Roman" w:eastAsia="宋体" w:hAnsi="Times New Roman" w:cs="Times New Roman" w:hint="eastAsia"/>
          <w:sz w:val="24"/>
          <w:szCs w:val="21"/>
        </w:rPr>
        <w:t>QDII</w:t>
      </w:r>
      <w:r>
        <w:rPr>
          <w:rFonts w:ascii="Times New Roman" w:eastAsia="宋体" w:hAnsi="Times New Roman" w:cs="Times New Roman" w:hint="eastAsia"/>
          <w:sz w:val="24"/>
          <w:szCs w:val="21"/>
        </w:rPr>
        <w:t>基金</w:t>
      </w:r>
      <w:r>
        <w:rPr>
          <w:rFonts w:ascii="Times New Roman" w:eastAsia="宋体" w:hAnsi="Times New Roman" w:cs="Times New Roman" w:hint="eastAsia"/>
          <w:sz w:val="24"/>
          <w:szCs w:val="21"/>
        </w:rPr>
        <w:t>68</w:t>
      </w:r>
      <w:r>
        <w:rPr>
          <w:rFonts w:ascii="Times New Roman" w:eastAsia="宋体" w:hAnsi="Times New Roman" w:cs="Times New Roman" w:hint="eastAsia"/>
          <w:sz w:val="24"/>
          <w:szCs w:val="21"/>
        </w:rPr>
        <w:t>只，覆盖了股票型、债券型、混合型、货币型、指数型、</w:t>
      </w:r>
      <w:r>
        <w:rPr>
          <w:rFonts w:ascii="Times New Roman" w:eastAsia="宋体" w:hAnsi="Times New Roman" w:cs="Times New Roman" w:hint="eastAsia"/>
          <w:sz w:val="24"/>
          <w:szCs w:val="21"/>
        </w:rPr>
        <w:t>FOF</w:t>
      </w:r>
      <w:r>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REITs</w:t>
      </w:r>
      <w:r>
        <w:rPr>
          <w:rFonts w:ascii="Times New Roman" w:eastAsia="宋体" w:hAnsi="Times New Roman" w:cs="Times New Roman" w:hint="eastAsia"/>
          <w:sz w:val="24"/>
          <w:szCs w:val="21"/>
        </w:rPr>
        <w:t>等多种类型的基金，满足了不同客户多元化的投资理财需求，基金托管规模位居同业前列。</w:t>
      </w:r>
    </w:p>
    <w:p w:rsidR="0068684E" w:rsidRDefault="000021E4">
      <w:pPr>
        <w:spacing w:line="360" w:lineRule="auto"/>
        <w:ind w:firstLineChars="200" w:firstLine="482"/>
        <w:rPr>
          <w:rFonts w:ascii="Times New Roman" w:eastAsia="宋体" w:hAnsi="Times New Roman" w:cs="Times New Roman"/>
          <w:b/>
          <w:sz w:val="24"/>
          <w:szCs w:val="21"/>
        </w:rPr>
      </w:pPr>
      <w:r>
        <w:rPr>
          <w:rFonts w:ascii="Times New Roman" w:eastAsia="宋体" w:hAnsi="Times New Roman" w:cs="Times New Roman"/>
          <w:b/>
          <w:sz w:val="24"/>
          <w:szCs w:val="21"/>
        </w:rPr>
        <w:t>四、</w:t>
      </w:r>
      <w:r>
        <w:rPr>
          <w:rFonts w:ascii="Times New Roman" w:eastAsia="宋体" w:hAnsi="Times New Roman" w:cs="Times New Roman" w:hint="eastAsia"/>
          <w:b/>
          <w:sz w:val="24"/>
          <w:szCs w:val="21"/>
        </w:rPr>
        <w:t>托管业务的内部控制制度</w:t>
      </w:r>
    </w:p>
    <w:p w:rsidR="0068684E" w:rsidRDefault="000021E4">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lastRenderedPageBreak/>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rsidR="0068684E" w:rsidRDefault="000021E4">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2007</w:t>
      </w:r>
      <w:r>
        <w:rPr>
          <w:rFonts w:ascii="Times New Roman" w:eastAsia="宋体" w:hAnsi="Times New Roman" w:cs="Times New Roman" w:hint="eastAsia"/>
          <w:sz w:val="24"/>
          <w:szCs w:val="21"/>
        </w:rPr>
        <w:t>年起，中国银行连续聘请外部会计会计师事务所开展托管业务内部控制审阅工作。先后获得基于“</w:t>
      </w:r>
      <w:r>
        <w:rPr>
          <w:rFonts w:ascii="Times New Roman" w:eastAsia="宋体" w:hAnsi="Times New Roman" w:cs="Times New Roman" w:hint="eastAsia"/>
          <w:sz w:val="24"/>
          <w:szCs w:val="21"/>
        </w:rPr>
        <w:t>SAS70</w:t>
      </w:r>
      <w:r>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AAF01/06</w:t>
      </w:r>
      <w:r>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ISAE3402</w:t>
      </w:r>
      <w:r>
        <w:rPr>
          <w:rFonts w:ascii="Times New Roman" w:eastAsia="宋体" w:hAnsi="Times New Roman" w:cs="Times New Roman" w:hint="eastAsia"/>
          <w:sz w:val="24"/>
          <w:szCs w:val="21"/>
        </w:rPr>
        <w:t>”和“</w:t>
      </w:r>
      <w:r>
        <w:rPr>
          <w:rFonts w:ascii="Times New Roman" w:eastAsia="宋体" w:hAnsi="Times New Roman" w:cs="Times New Roman" w:hint="eastAsia"/>
          <w:sz w:val="24"/>
          <w:szCs w:val="21"/>
        </w:rPr>
        <w:t>SSAE16</w:t>
      </w:r>
      <w:r>
        <w:rPr>
          <w:rFonts w:ascii="Times New Roman" w:eastAsia="宋体" w:hAnsi="Times New Roman" w:cs="Times New Roman" w:hint="eastAsia"/>
          <w:sz w:val="24"/>
          <w:szCs w:val="21"/>
        </w:rPr>
        <w:t>”等国际主流内控审阅准则的无保留意见的审阅报告。</w:t>
      </w:r>
      <w:r>
        <w:rPr>
          <w:rFonts w:ascii="Times New Roman" w:eastAsia="宋体" w:hAnsi="Times New Roman" w:cs="Times New Roman" w:hint="eastAsia"/>
          <w:sz w:val="24"/>
          <w:szCs w:val="21"/>
        </w:rPr>
        <w:t>2020</w:t>
      </w:r>
      <w:r>
        <w:rPr>
          <w:rFonts w:ascii="Times New Roman" w:eastAsia="宋体" w:hAnsi="Times New Roman" w:cs="Times New Roman" w:hint="eastAsia"/>
          <w:sz w:val="24"/>
          <w:szCs w:val="21"/>
        </w:rPr>
        <w:t>年，中国银行继续获得了基于“</w:t>
      </w:r>
      <w:r>
        <w:rPr>
          <w:rFonts w:ascii="Times New Roman" w:eastAsia="宋体" w:hAnsi="Times New Roman" w:cs="Times New Roman" w:hint="eastAsia"/>
          <w:sz w:val="24"/>
          <w:szCs w:val="21"/>
        </w:rPr>
        <w:t>ISAE3402</w:t>
      </w:r>
      <w:r>
        <w:rPr>
          <w:rFonts w:ascii="Times New Roman" w:eastAsia="宋体" w:hAnsi="Times New Roman" w:cs="Times New Roman" w:hint="eastAsia"/>
          <w:sz w:val="24"/>
          <w:szCs w:val="21"/>
        </w:rPr>
        <w:t>”和“</w:t>
      </w:r>
      <w:r>
        <w:rPr>
          <w:rFonts w:ascii="Times New Roman" w:eastAsia="宋体" w:hAnsi="Times New Roman" w:cs="Times New Roman" w:hint="eastAsia"/>
          <w:sz w:val="24"/>
          <w:szCs w:val="21"/>
        </w:rPr>
        <w:t>SSAE16</w:t>
      </w:r>
      <w:r>
        <w:rPr>
          <w:rFonts w:ascii="Times New Roman" w:eastAsia="宋体" w:hAnsi="Times New Roman" w:cs="Times New Roman" w:hint="eastAsia"/>
          <w:sz w:val="24"/>
          <w:szCs w:val="21"/>
        </w:rPr>
        <w:t>”双准则的内部控制审计报告。中国银行托管业务内控制度完善，内控措施严密，能够有效保证托管资产的安全。</w:t>
      </w:r>
    </w:p>
    <w:p w:rsidR="0068684E" w:rsidRDefault="000021E4">
      <w:pPr>
        <w:spacing w:line="360" w:lineRule="auto"/>
        <w:ind w:firstLineChars="200" w:firstLine="482"/>
        <w:rPr>
          <w:rFonts w:ascii="Times New Roman" w:eastAsia="宋体" w:hAnsi="Times New Roman" w:cs="Times New Roman"/>
          <w:b/>
          <w:sz w:val="24"/>
          <w:szCs w:val="21"/>
        </w:rPr>
      </w:pPr>
      <w:r>
        <w:rPr>
          <w:rFonts w:ascii="Times New Roman" w:eastAsia="宋体" w:hAnsi="Times New Roman" w:cs="Times New Roman"/>
          <w:b/>
          <w:sz w:val="24"/>
          <w:szCs w:val="21"/>
        </w:rPr>
        <w:t>五、</w:t>
      </w:r>
      <w:r>
        <w:rPr>
          <w:rFonts w:ascii="Times New Roman" w:eastAsia="宋体" w:hAnsi="Times New Roman" w:cs="Times New Roman" w:hint="eastAsia"/>
          <w:b/>
          <w:sz w:val="24"/>
          <w:szCs w:val="21"/>
        </w:rPr>
        <w:t>基金托管人对基金管理人运作基金进行监督的方法和程序</w:t>
      </w:r>
    </w:p>
    <w:p w:rsidR="0068684E" w:rsidRDefault="000021E4">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根据《基金法》、《运作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Pr>
          <w:rFonts w:ascii="Times New Roman" w:eastAsia="宋体" w:hAnsi="Times New Roman" w:cs="Times New Roman" w:hint="eastAsia"/>
          <w:sz w:val="24"/>
          <w:szCs w:val="21"/>
        </w:rPr>
        <w:t>,</w:t>
      </w:r>
      <w:r>
        <w:rPr>
          <w:rFonts w:ascii="Times New Roman" w:eastAsia="宋体" w:hAnsi="Times New Roman" w:cs="Times New Roman" w:hint="eastAsia"/>
          <w:sz w:val="24"/>
          <w:szCs w:val="21"/>
        </w:rPr>
        <w:t>应当及时通知基金管理人，并及时向国务院证券监督管理机构报告。</w:t>
      </w:r>
    </w:p>
    <w:bookmarkEnd w:id="67"/>
    <w:bookmarkEnd w:id="68"/>
    <w:bookmarkEnd w:id="69"/>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Cs/>
          <w:kern w:val="44"/>
          <w:sz w:val="32"/>
          <w:szCs w:val="20"/>
        </w:rPr>
        <w:br w:type="page"/>
      </w:r>
      <w:bookmarkStart w:id="70" w:name="_Toc390614985"/>
      <w:bookmarkStart w:id="71" w:name="_Toc208913379"/>
      <w:bookmarkStart w:id="72" w:name="_Toc16406"/>
      <w:bookmarkStart w:id="73" w:name="_Toc327457184"/>
      <w:r>
        <w:rPr>
          <w:rFonts w:ascii="Times New Roman" w:eastAsia="宋体" w:hAnsi="Times New Roman" w:cs="Times New Roman" w:hint="eastAsia"/>
          <w:b/>
          <w:kern w:val="44"/>
          <w:sz w:val="32"/>
          <w:szCs w:val="20"/>
        </w:rPr>
        <w:lastRenderedPageBreak/>
        <w:t>第五部分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相关服务机构</w:t>
      </w:r>
      <w:bookmarkEnd w:id="70"/>
      <w:bookmarkEnd w:id="71"/>
      <w:bookmarkEnd w:id="72"/>
    </w:p>
    <w:bookmarkEnd w:id="66"/>
    <w:bookmarkEnd w:id="73"/>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基金份额发售机构</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、直销机构</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名称：富国基金管理有限公司</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住所：中国（上海）自由贸易试验区世纪大道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法定代表人：裴长江</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总经理：陈戈</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hint="eastAsia"/>
          <w:sz w:val="24"/>
          <w:szCs w:val="24"/>
        </w:rPr>
        <w:t>1999</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日</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直销网点：直销中心</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直销中心地址：中国（上海）自由贸易试验区世纪大道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号世纪汇二座</w:t>
      </w:r>
      <w:r>
        <w:rPr>
          <w:rFonts w:ascii="Times New Roman" w:eastAsia="宋体" w:hAnsi="Times New Roman" w:cs="Times New Roman" w:hint="eastAsia"/>
          <w:sz w:val="24"/>
          <w:szCs w:val="24"/>
        </w:rPr>
        <w:t>27</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客户服务统一咨询电话：</w:t>
      </w:r>
      <w:r>
        <w:rPr>
          <w:rFonts w:ascii="Times New Roman" w:eastAsia="宋体" w:hAnsi="Times New Roman" w:cs="Times New Roman" w:hint="eastAsia"/>
          <w:sz w:val="24"/>
          <w:szCs w:val="24"/>
        </w:rPr>
        <w:t>95105686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4008880688</w:t>
      </w:r>
      <w:r>
        <w:rPr>
          <w:rFonts w:ascii="Times New Roman" w:eastAsia="宋体" w:hAnsi="Times New Roman" w:cs="Times New Roman" w:hint="eastAsia"/>
          <w:sz w:val="24"/>
          <w:szCs w:val="24"/>
        </w:rPr>
        <w:t>（全国统一，免长途话费）</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hint="eastAsia"/>
          <w:sz w:val="24"/>
          <w:szCs w:val="24"/>
        </w:rPr>
        <w:t>021-</w:t>
      </w:r>
      <w:r>
        <w:rPr>
          <w:rFonts w:ascii="Times New Roman" w:eastAsia="宋体" w:hAnsi="Times New Roman" w:cs="Times New Roman"/>
          <w:sz w:val="24"/>
          <w:szCs w:val="24"/>
        </w:rPr>
        <w:t>20513177</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联系人：吕铭泽</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公司网站：</w:t>
      </w:r>
      <w:r>
        <w:rPr>
          <w:rFonts w:ascii="Times New Roman" w:eastAsia="宋体" w:hAnsi="Times New Roman" w:cs="Times New Roman" w:hint="eastAsia"/>
          <w:sz w:val="24"/>
          <w:szCs w:val="24"/>
        </w:rPr>
        <w:t>www.fullgoal.com.cn</w:t>
      </w:r>
    </w:p>
    <w:p w:rsidR="0068684E" w:rsidRDefault="000021E4">
      <w:pPr>
        <w:widowControl/>
        <w:spacing w:line="360" w:lineRule="auto"/>
        <w:ind w:left="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其</w:t>
      </w:r>
      <w:bookmarkStart w:id="74" w:name="_GoBack"/>
      <w:bookmarkEnd w:id="74"/>
      <w:r>
        <w:rPr>
          <w:rFonts w:ascii="Times New Roman" w:eastAsia="宋体" w:hAnsi="Times New Roman" w:cs="Times New Roman" w:hint="eastAsia"/>
          <w:sz w:val="24"/>
          <w:szCs w:val="24"/>
        </w:rPr>
        <w:t>他</w:t>
      </w:r>
      <w:r>
        <w:rPr>
          <w:rFonts w:ascii="Times New Roman" w:eastAsia="宋体" w:hAnsi="Times New Roman" w:cs="Times New Roman"/>
          <w:sz w:val="24"/>
          <w:szCs w:val="24"/>
        </w:rPr>
        <w:t>销</w:t>
      </w:r>
      <w:r>
        <w:rPr>
          <w:rFonts w:ascii="Times New Roman" w:eastAsia="宋体" w:hAnsi="Times New Roman" w:cs="Times New Roman" w:hint="eastAsia"/>
          <w:sz w:val="24"/>
          <w:szCs w:val="24"/>
        </w:rPr>
        <w:t>售</w:t>
      </w:r>
      <w:r>
        <w:rPr>
          <w:rFonts w:ascii="Times New Roman" w:eastAsia="宋体" w:hAnsi="Times New Roman" w:cs="Times New Roman"/>
          <w:sz w:val="24"/>
          <w:szCs w:val="24"/>
        </w:rPr>
        <w:t>机构</w:t>
      </w:r>
    </w:p>
    <w:p w:rsidR="00697035" w:rsidRPr="00697035" w:rsidRDefault="00697035" w:rsidP="00697035">
      <w:pPr>
        <w:widowControl/>
        <w:spacing w:line="360" w:lineRule="auto"/>
        <w:ind w:firstLineChars="200" w:firstLine="480"/>
        <w:rPr>
          <w:rFonts w:ascii="Times New Roman" w:eastAsia="宋体" w:hAnsi="Times New Roman" w:cs="Times New Roman"/>
          <w:sz w:val="24"/>
          <w:szCs w:val="24"/>
        </w:rPr>
      </w:pPr>
      <w:r w:rsidRPr="00697035">
        <w:rPr>
          <w:rFonts w:ascii="Times New Roman" w:eastAsia="宋体" w:hAnsi="Times New Roman" w:cs="Times New Roman" w:hint="eastAsia"/>
          <w:sz w:val="24"/>
          <w:szCs w:val="24"/>
        </w:rPr>
        <w:t>中国银行股份有限公司</w:t>
      </w:r>
    </w:p>
    <w:p w:rsidR="00697035" w:rsidRPr="00697035" w:rsidRDefault="00697035" w:rsidP="00697035">
      <w:pPr>
        <w:widowControl/>
        <w:spacing w:line="360" w:lineRule="auto"/>
        <w:ind w:firstLineChars="200" w:firstLine="480"/>
        <w:rPr>
          <w:rFonts w:ascii="Times New Roman" w:eastAsia="宋体" w:hAnsi="Times New Roman" w:cs="Times New Roman"/>
          <w:sz w:val="24"/>
          <w:szCs w:val="24"/>
        </w:rPr>
      </w:pPr>
      <w:r w:rsidRPr="00697035">
        <w:rPr>
          <w:rFonts w:ascii="Times New Roman" w:eastAsia="宋体" w:hAnsi="Times New Roman" w:cs="Times New Roman" w:hint="eastAsia"/>
          <w:sz w:val="24"/>
          <w:szCs w:val="24"/>
        </w:rPr>
        <w:t>注册地址：北京市西城区复兴门内大街</w:t>
      </w:r>
      <w:r w:rsidRPr="00697035">
        <w:rPr>
          <w:rFonts w:ascii="Times New Roman" w:eastAsia="宋体" w:hAnsi="Times New Roman" w:cs="Times New Roman" w:hint="eastAsia"/>
          <w:sz w:val="24"/>
          <w:szCs w:val="24"/>
        </w:rPr>
        <w:t>1</w:t>
      </w:r>
      <w:r w:rsidRPr="00697035">
        <w:rPr>
          <w:rFonts w:ascii="Times New Roman" w:eastAsia="宋体" w:hAnsi="Times New Roman" w:cs="Times New Roman" w:hint="eastAsia"/>
          <w:sz w:val="24"/>
          <w:szCs w:val="24"/>
        </w:rPr>
        <w:t>号</w:t>
      </w:r>
    </w:p>
    <w:p w:rsidR="00697035" w:rsidRPr="00697035" w:rsidRDefault="00697035" w:rsidP="00697035">
      <w:pPr>
        <w:widowControl/>
        <w:spacing w:line="360" w:lineRule="auto"/>
        <w:ind w:firstLineChars="200" w:firstLine="480"/>
        <w:rPr>
          <w:rFonts w:ascii="Times New Roman" w:eastAsia="宋体" w:hAnsi="Times New Roman" w:cs="Times New Roman"/>
          <w:sz w:val="24"/>
          <w:szCs w:val="24"/>
        </w:rPr>
      </w:pPr>
      <w:r w:rsidRPr="00697035">
        <w:rPr>
          <w:rFonts w:ascii="Times New Roman" w:eastAsia="宋体" w:hAnsi="Times New Roman" w:cs="Times New Roman" w:hint="eastAsia"/>
          <w:sz w:val="24"/>
          <w:szCs w:val="24"/>
        </w:rPr>
        <w:t>办公地址：北京市西城区复兴门内大街</w:t>
      </w:r>
      <w:r w:rsidRPr="00697035">
        <w:rPr>
          <w:rFonts w:ascii="Times New Roman" w:eastAsia="宋体" w:hAnsi="Times New Roman" w:cs="Times New Roman" w:hint="eastAsia"/>
          <w:sz w:val="24"/>
          <w:szCs w:val="24"/>
        </w:rPr>
        <w:t>1</w:t>
      </w:r>
      <w:r w:rsidRPr="00697035">
        <w:rPr>
          <w:rFonts w:ascii="Times New Roman" w:eastAsia="宋体" w:hAnsi="Times New Roman" w:cs="Times New Roman" w:hint="eastAsia"/>
          <w:sz w:val="24"/>
          <w:szCs w:val="24"/>
        </w:rPr>
        <w:t>号中国银行总行办公大楼</w:t>
      </w:r>
    </w:p>
    <w:p w:rsidR="00697035" w:rsidRPr="00697035" w:rsidRDefault="00697035" w:rsidP="00697035">
      <w:pPr>
        <w:widowControl/>
        <w:spacing w:line="360" w:lineRule="auto"/>
        <w:ind w:firstLineChars="200" w:firstLine="480"/>
        <w:rPr>
          <w:rFonts w:ascii="Times New Roman" w:eastAsia="宋体" w:hAnsi="Times New Roman" w:cs="Times New Roman"/>
          <w:sz w:val="24"/>
          <w:szCs w:val="24"/>
        </w:rPr>
      </w:pPr>
      <w:r w:rsidRPr="00697035">
        <w:rPr>
          <w:rFonts w:ascii="Times New Roman" w:eastAsia="宋体" w:hAnsi="Times New Roman" w:cs="Times New Roman" w:hint="eastAsia"/>
          <w:sz w:val="24"/>
          <w:szCs w:val="24"/>
        </w:rPr>
        <w:t>法人代表：葛海蛟</w:t>
      </w:r>
    </w:p>
    <w:p w:rsidR="00697035" w:rsidRPr="00697035" w:rsidRDefault="00697035" w:rsidP="00697035">
      <w:pPr>
        <w:widowControl/>
        <w:spacing w:line="360" w:lineRule="auto"/>
        <w:ind w:firstLineChars="200" w:firstLine="480"/>
        <w:rPr>
          <w:rFonts w:ascii="Times New Roman" w:eastAsia="宋体" w:hAnsi="Times New Roman" w:cs="Times New Roman"/>
          <w:sz w:val="24"/>
          <w:szCs w:val="24"/>
        </w:rPr>
      </w:pPr>
      <w:r w:rsidRPr="00697035">
        <w:rPr>
          <w:rFonts w:ascii="Times New Roman" w:eastAsia="宋体" w:hAnsi="Times New Roman" w:cs="Times New Roman" w:hint="eastAsia"/>
          <w:sz w:val="24"/>
          <w:szCs w:val="24"/>
        </w:rPr>
        <w:t>客服电话：</w:t>
      </w:r>
      <w:r w:rsidRPr="00697035">
        <w:rPr>
          <w:rFonts w:ascii="Times New Roman" w:eastAsia="宋体" w:hAnsi="Times New Roman" w:cs="Times New Roman" w:hint="eastAsia"/>
          <w:sz w:val="24"/>
          <w:szCs w:val="24"/>
        </w:rPr>
        <w:t>95566</w:t>
      </w:r>
    </w:p>
    <w:p w:rsidR="00697035" w:rsidRDefault="00697035" w:rsidP="00697035">
      <w:pPr>
        <w:widowControl/>
        <w:spacing w:line="360" w:lineRule="auto"/>
        <w:ind w:firstLineChars="200" w:firstLine="480"/>
        <w:rPr>
          <w:rFonts w:ascii="Times New Roman" w:eastAsia="宋体" w:hAnsi="Times New Roman" w:cs="Times New Roman"/>
          <w:sz w:val="24"/>
          <w:szCs w:val="24"/>
        </w:rPr>
      </w:pPr>
      <w:r w:rsidRPr="00697035">
        <w:rPr>
          <w:rFonts w:ascii="Times New Roman" w:eastAsia="宋体" w:hAnsi="Times New Roman" w:cs="Times New Roman" w:hint="eastAsia"/>
          <w:sz w:val="24"/>
          <w:szCs w:val="24"/>
        </w:rPr>
        <w:t>公司网站：</w:t>
      </w:r>
      <w:r w:rsidRPr="00697035">
        <w:rPr>
          <w:rFonts w:ascii="Times New Roman" w:eastAsia="宋体" w:hAnsi="Times New Roman" w:cs="Times New Roman" w:hint="eastAsia"/>
          <w:sz w:val="24"/>
          <w:szCs w:val="24"/>
        </w:rPr>
        <w:t>www.boc.cn</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基金管理人可根据有关法律法规的要求，选择其它符合要求的机构销售本基金，并在基金管理人网站公示。</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二</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登记机构</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名称：富国基金管理有限公司</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住所：中国（上海）自由贸易试验区世纪大道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法定代表人：裴长江</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sz w:val="24"/>
          <w:szCs w:val="24"/>
        </w:rPr>
        <w:t>1999</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sz w:val="24"/>
          <w:szCs w:val="24"/>
        </w:rPr>
        <w:t>13</w:t>
      </w:r>
      <w:r>
        <w:rPr>
          <w:rFonts w:ascii="Times New Roman" w:eastAsia="宋体" w:hAnsi="Times New Roman" w:cs="Times New Roman"/>
          <w:sz w:val="24"/>
          <w:szCs w:val="24"/>
        </w:rPr>
        <w:t>日</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20361818</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20361616</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联系人：徐慧</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三</w:t>
      </w:r>
      <w:r>
        <w:rPr>
          <w:rFonts w:ascii="Times New Roman" w:eastAsia="宋体" w:hAnsi="Times New Roman" w:cs="Times New Roman" w:hint="eastAsia"/>
          <w:b/>
          <w:sz w:val="24"/>
          <w:szCs w:val="24"/>
        </w:rPr>
        <w:t>、出具法律意见书的律师事务所</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名称：</w:t>
      </w:r>
      <w:r>
        <w:rPr>
          <w:rFonts w:ascii="Times New Roman" w:eastAsia="宋体" w:hAnsi="Times New Roman" w:cs="Times New Roman" w:hint="eastAsia"/>
          <w:sz w:val="24"/>
          <w:szCs w:val="24"/>
        </w:rPr>
        <w:t>上海源泰律师事务所</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住所：</w:t>
      </w:r>
      <w:r>
        <w:rPr>
          <w:rFonts w:ascii="Times New Roman" w:eastAsia="宋体" w:hAnsi="Times New Roman" w:cs="Times New Roman" w:hint="eastAsia"/>
          <w:sz w:val="24"/>
          <w:szCs w:val="24"/>
        </w:rPr>
        <w:t>上海市浦东南路</w:t>
      </w: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号华夏银行大厦</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楼</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办公地址：</w:t>
      </w:r>
      <w:r>
        <w:rPr>
          <w:rFonts w:ascii="Times New Roman" w:eastAsia="宋体" w:hAnsi="Times New Roman" w:cs="Times New Roman" w:hint="eastAsia"/>
          <w:sz w:val="24"/>
          <w:szCs w:val="24"/>
        </w:rPr>
        <w:t>上海市浦东南路</w:t>
      </w: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号华夏银行大厦</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楼</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负责人：廖海</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hint="eastAsia"/>
          <w:sz w:val="24"/>
          <w:szCs w:val="24"/>
        </w:rPr>
        <w:t>51150298</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传真：（</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hint="eastAsia"/>
          <w:sz w:val="24"/>
          <w:szCs w:val="24"/>
        </w:rPr>
        <w:t>51150398</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联系人：</w:t>
      </w:r>
      <w:r>
        <w:rPr>
          <w:rFonts w:ascii="Times New Roman" w:eastAsia="宋体" w:hAnsi="Times New Roman" w:cs="Times New Roman" w:hint="eastAsia"/>
          <w:sz w:val="24"/>
          <w:szCs w:val="24"/>
        </w:rPr>
        <w:t>刘佳</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经办律师：刘佳</w:t>
      </w:r>
      <w:r>
        <w:rPr>
          <w:rFonts w:ascii="Times New Roman" w:eastAsia="宋体" w:hAnsi="Times New Roman" w:cs="Times New Roman" w:hint="eastAsia"/>
          <w:sz w:val="24"/>
          <w:szCs w:val="24"/>
        </w:rPr>
        <w:t>、吴卫英</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四</w:t>
      </w:r>
      <w:r>
        <w:rPr>
          <w:rFonts w:ascii="Times New Roman" w:eastAsia="宋体" w:hAnsi="Times New Roman" w:cs="Times New Roman" w:hint="eastAsia"/>
          <w:b/>
          <w:sz w:val="24"/>
          <w:szCs w:val="24"/>
        </w:rPr>
        <w:t>、审计基金财产的会计师事务所</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德勤华永会计师事务所（特殊普通合伙）</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注册地址：上海市黄浦区延安东路</w:t>
      </w:r>
      <w:r>
        <w:rPr>
          <w:rFonts w:ascii="Times New Roman" w:eastAsia="宋体" w:hAnsi="Times New Roman" w:cs="Times New Roman" w:hint="eastAsia"/>
          <w:bCs/>
          <w:sz w:val="24"/>
          <w:szCs w:val="20"/>
        </w:rPr>
        <w:t>222</w:t>
      </w:r>
      <w:r>
        <w:rPr>
          <w:rFonts w:ascii="Times New Roman" w:eastAsia="宋体" w:hAnsi="Times New Roman" w:cs="Times New Roman" w:hint="eastAsia"/>
          <w:bCs/>
          <w:sz w:val="24"/>
          <w:szCs w:val="20"/>
        </w:rPr>
        <w:t>号</w:t>
      </w:r>
      <w:r>
        <w:rPr>
          <w:rFonts w:ascii="Times New Roman" w:eastAsia="宋体" w:hAnsi="Times New Roman" w:cs="Times New Roman" w:hint="eastAsia"/>
          <w:bCs/>
          <w:sz w:val="24"/>
          <w:szCs w:val="20"/>
        </w:rPr>
        <w:t>30</w:t>
      </w:r>
      <w:r>
        <w:rPr>
          <w:rFonts w:ascii="Times New Roman" w:eastAsia="宋体" w:hAnsi="Times New Roman" w:cs="Times New Roman" w:hint="eastAsia"/>
          <w:bCs/>
          <w:sz w:val="24"/>
          <w:szCs w:val="20"/>
        </w:rPr>
        <w:t>楼</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办公地址：上海市黄浦区延安东路</w:t>
      </w:r>
      <w:r>
        <w:rPr>
          <w:rFonts w:ascii="Times New Roman" w:eastAsia="宋体" w:hAnsi="Times New Roman" w:cs="Times New Roman" w:hint="eastAsia"/>
          <w:bCs/>
          <w:sz w:val="24"/>
          <w:szCs w:val="20"/>
        </w:rPr>
        <w:t>222</w:t>
      </w:r>
      <w:r>
        <w:rPr>
          <w:rFonts w:ascii="Times New Roman" w:eastAsia="宋体" w:hAnsi="Times New Roman" w:cs="Times New Roman" w:hint="eastAsia"/>
          <w:bCs/>
          <w:sz w:val="24"/>
          <w:szCs w:val="20"/>
        </w:rPr>
        <w:t>号</w:t>
      </w:r>
      <w:r>
        <w:rPr>
          <w:rFonts w:ascii="Times New Roman" w:eastAsia="宋体" w:hAnsi="Times New Roman" w:cs="Times New Roman" w:hint="eastAsia"/>
          <w:bCs/>
          <w:sz w:val="24"/>
          <w:szCs w:val="20"/>
        </w:rPr>
        <w:t>30</w:t>
      </w:r>
      <w:r>
        <w:rPr>
          <w:rFonts w:ascii="Times New Roman" w:eastAsia="宋体" w:hAnsi="Times New Roman" w:cs="Times New Roman" w:hint="eastAsia"/>
          <w:bCs/>
          <w:sz w:val="24"/>
          <w:szCs w:val="20"/>
        </w:rPr>
        <w:t>楼</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执行事务合伙人：唐恋炯</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联系电话：</w:t>
      </w:r>
      <w:r>
        <w:rPr>
          <w:rFonts w:ascii="Times New Roman" w:eastAsia="宋体" w:hAnsi="Times New Roman" w:cs="Times New Roman" w:hint="eastAsia"/>
          <w:bCs/>
          <w:sz w:val="24"/>
          <w:szCs w:val="20"/>
        </w:rPr>
        <w:t>+86 21 61418888</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传真：</w:t>
      </w:r>
      <w:r>
        <w:rPr>
          <w:rFonts w:ascii="Times New Roman" w:eastAsia="宋体" w:hAnsi="Times New Roman" w:cs="Times New Roman" w:hint="eastAsia"/>
          <w:bCs/>
          <w:sz w:val="24"/>
          <w:szCs w:val="20"/>
        </w:rPr>
        <w:t>+86 21 63350003</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联系人：汪芳、冯适</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经办注册会计师：汪芳、冯适</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kern w:val="0"/>
          <w:sz w:val="24"/>
          <w:szCs w:val="20"/>
        </w:rPr>
        <w:br w:type="page"/>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75" w:name="_Toc208913380"/>
      <w:bookmarkStart w:id="76" w:name="_Toc390614986"/>
      <w:bookmarkStart w:id="77" w:name="_Toc1252"/>
      <w:r>
        <w:rPr>
          <w:rFonts w:ascii="Times New Roman" w:eastAsia="宋体" w:hAnsi="Times New Roman" w:cs="Times New Roman" w:hint="eastAsia"/>
          <w:b/>
          <w:kern w:val="44"/>
          <w:sz w:val="32"/>
          <w:szCs w:val="20"/>
        </w:rPr>
        <w:lastRenderedPageBreak/>
        <w:t>第六部分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基金的募集</w:t>
      </w:r>
      <w:bookmarkEnd w:id="75"/>
      <w:bookmarkEnd w:id="76"/>
      <w:bookmarkEnd w:id="77"/>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本基金由基金管理人依照《基金法》、《运作办法》、《销售办法》、《流动性风险管理规定》、基金合同及其他有关规定募集，募集申请经中国证监会</w:t>
      </w:r>
      <w:r>
        <w:rPr>
          <w:rFonts w:ascii="Times New Roman" w:eastAsia="宋体" w:hAnsi="Times New Roman" w:cs="Times New Roman"/>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25</w:t>
      </w:r>
      <w:r>
        <w:rPr>
          <w:rFonts w:ascii="Times New Roman" w:eastAsia="宋体" w:hAnsi="Times New Roman" w:cs="Times New Roman" w:hint="eastAsia"/>
          <w:sz w:val="24"/>
          <w:szCs w:val="24"/>
        </w:rPr>
        <w:t>日证监许可【</w:t>
      </w:r>
      <w:r>
        <w:rPr>
          <w:rFonts w:ascii="Times New Roman" w:eastAsia="宋体" w:hAnsi="Times New Roman" w:cs="Times New Roman"/>
          <w:sz w:val="24"/>
          <w:szCs w:val="24"/>
        </w:rPr>
        <w:t>2025</w:t>
      </w:r>
      <w:r>
        <w:rPr>
          <w:rFonts w:ascii="Times New Roman" w:eastAsia="宋体" w:hAnsi="Times New Roman" w:cs="Times New Roman" w:hint="eastAsia"/>
          <w:sz w:val="24"/>
          <w:szCs w:val="24"/>
        </w:rPr>
        <w:t>】</w:t>
      </w:r>
      <w:r>
        <w:rPr>
          <w:rFonts w:ascii="Times New Roman" w:eastAsia="宋体" w:hAnsi="Times New Roman" w:cs="Times New Roman"/>
          <w:sz w:val="24"/>
          <w:szCs w:val="24"/>
        </w:rPr>
        <w:t>2926</w:t>
      </w:r>
      <w:r>
        <w:rPr>
          <w:rFonts w:ascii="Times New Roman" w:eastAsia="宋体" w:hAnsi="Times New Roman" w:cs="Times New Roman" w:hint="eastAsia"/>
          <w:sz w:val="24"/>
          <w:szCs w:val="24"/>
        </w:rPr>
        <w:t>号文</w:t>
      </w:r>
      <w:r>
        <w:rPr>
          <w:rFonts w:ascii="Times New Roman" w:eastAsia="宋体" w:hAnsi="Times New Roman" w:cs="Times New Roman"/>
          <w:sz w:val="24"/>
          <w:szCs w:val="24"/>
        </w:rPr>
        <w:t>注册。</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本基金的类别为混合型基金中基金。</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本基金的运作方式为</w:t>
      </w:r>
      <w:r>
        <w:rPr>
          <w:rFonts w:ascii="Times New Roman" w:eastAsia="宋体" w:hAnsi="Times New Roman" w:cs="Times New Roman"/>
          <w:bCs/>
          <w:sz w:val="24"/>
          <w:szCs w:val="24"/>
        </w:rPr>
        <w:t>契约型开</w:t>
      </w:r>
      <w:r>
        <w:rPr>
          <w:rFonts w:ascii="Times New Roman" w:eastAsia="宋体" w:hAnsi="Times New Roman" w:cs="Times New Roman" w:hint="eastAsia"/>
          <w:bCs/>
          <w:sz w:val="24"/>
          <w:szCs w:val="24"/>
        </w:rPr>
        <w:t>放</w:t>
      </w:r>
      <w:r>
        <w:rPr>
          <w:rFonts w:ascii="Times New Roman" w:eastAsia="宋体" w:hAnsi="Times New Roman" w:cs="Times New Roman"/>
          <w:bCs/>
          <w:sz w:val="24"/>
          <w:szCs w:val="24"/>
        </w:rPr>
        <w:t>式</w:t>
      </w:r>
      <w:r>
        <w:rPr>
          <w:rFonts w:ascii="Times New Roman" w:eastAsia="宋体" w:hAnsi="Times New Roman" w:cs="Times New Roman" w:hint="eastAsia"/>
          <w:sz w:val="24"/>
          <w:szCs w:val="24"/>
        </w:rPr>
        <w:t>。</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本基金每个开放日开放申购，本基金对每份基金份额设置</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个月的最短持有期，即：自基金合同生效日（对认购份额而言）或基金份额申购或转换转入确认日（对申购或转换转入份额而言）起至该日</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个月后的月度对日（含当日）的期间内，投资者不能提出赎回或转换转出申请；该日</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个月后的月度对日（若不存在该对应日期的，则取该月最后一日）的下一个工作日起（含当日），投资者方可申请办理赎回或转换转出业务。</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基金存续期限为不定期。</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w:t>
      </w:r>
      <w:r>
        <w:rPr>
          <w:rFonts w:ascii="Times New Roman" w:eastAsia="宋体" w:hAnsi="Times New Roman" w:cs="Times New Roman"/>
          <w:b/>
          <w:bCs/>
          <w:sz w:val="24"/>
          <w:szCs w:val="24"/>
        </w:rPr>
        <w:t>募集期</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自基金份额发售之日起最长不得超过</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个月，具体发售时间见基金份额发售公告。</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基金管理人可根据基金销售情况在募集期限内适当延长或缩短基金发售时间，并及时公告。</w:t>
      </w:r>
    </w:p>
    <w:p w:rsidR="0068684E" w:rsidRDefault="000021E4">
      <w:pPr>
        <w:widowControl/>
        <w:spacing w:line="360" w:lineRule="auto"/>
        <w:ind w:firstLineChars="200" w:firstLine="482"/>
        <w:rPr>
          <w:rFonts w:ascii="Times New Roman" w:eastAsia="宋体" w:hAnsi="Times New Roman" w:cs="Times New Roman"/>
          <w:b/>
          <w:bCs/>
          <w:sz w:val="24"/>
          <w:szCs w:val="24"/>
        </w:rPr>
      </w:pPr>
      <w:bookmarkStart w:id="78" w:name="OLE_LINK64"/>
      <w:bookmarkStart w:id="79" w:name="OLE_LINK65"/>
      <w:r>
        <w:rPr>
          <w:rFonts w:ascii="Times New Roman" w:eastAsia="宋体" w:hAnsi="Times New Roman" w:cs="Times New Roman" w:hint="eastAsia"/>
          <w:b/>
          <w:bCs/>
          <w:sz w:val="24"/>
          <w:szCs w:val="24"/>
        </w:rPr>
        <w:t>二、</w:t>
      </w:r>
      <w:r>
        <w:rPr>
          <w:rFonts w:ascii="Times New Roman" w:eastAsia="宋体" w:hAnsi="Times New Roman" w:cs="Times New Roman"/>
          <w:b/>
          <w:bCs/>
          <w:sz w:val="24"/>
          <w:szCs w:val="24"/>
        </w:rPr>
        <w:t>发售对象</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符合法律法规规定的可投资于证券投资基金的个人投资者、机构投资者、合格境外投资者以及法律法规或中国证监会允许购买证券投资基金的其他投资者。</w:t>
      </w:r>
    </w:p>
    <w:p w:rsidR="0068684E" w:rsidRDefault="000021E4">
      <w:pPr>
        <w:widowControl/>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基金的最低</w:t>
      </w:r>
      <w:r>
        <w:rPr>
          <w:rFonts w:ascii="Times New Roman" w:eastAsia="宋体" w:hAnsi="Times New Roman" w:cs="Times New Roman" w:hint="eastAsia"/>
          <w:b/>
          <w:bCs/>
          <w:sz w:val="24"/>
          <w:szCs w:val="24"/>
        </w:rPr>
        <w:t>募集份额总额和募集金额</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本基金的最低募集份额总额为</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亿份，最低募集金额为</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亿元人民币。</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发售方式</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通过各销售机构的基金销售网点公开发售，各销售机构的具体名单见基金份额发售公告及基金管理人网站。</w:t>
      </w:r>
    </w:p>
    <w:p w:rsidR="0068684E" w:rsidRDefault="000021E4">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五、基金份额类别设置</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本基金根据认购费、申购费、销售服务费收取方式的不同，将基金份额分为不同的类别。在投资者认</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申购时收取认购费、申购费，而不从本类别基金财产中计提销售服务费的，称为</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类基金份额；在投资者认</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申购时不收取认购费、申购费，但从本类别基金财产中计提销售服务费的，称为</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类基金份额分别设置基金代码。由于基金费用的不同，本基金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类基金份额和</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类基金份额将分别计算并公告基金份额净值。</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投资者在认购、申购基金份额时可自行选择基金份额类别。</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不违反法律法规、基金合同的约定以及对基金份额持有人利益无实质性不利影响的情况下，经履行适当程序，基金管理人可增加、减少或调整基金份额类别设置、对基金份额分类办法及规则进行调整并在调整实施之日前依照《信息披露办法》的有关规定在规定媒介上公告，不需要召开基金份额持有人大会。</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六</w:t>
      </w:r>
      <w:r>
        <w:rPr>
          <w:rFonts w:ascii="Times New Roman" w:eastAsia="宋体" w:hAnsi="Times New Roman" w:cs="Times New Roman" w:hint="eastAsia"/>
          <w:b/>
          <w:sz w:val="24"/>
          <w:szCs w:val="24"/>
        </w:rPr>
        <w:t>、认购原则</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、投资者认购时，需按销售机构规定的方式全额缴款</w:t>
      </w:r>
      <w:r>
        <w:rPr>
          <w:rFonts w:ascii="Times New Roman" w:eastAsia="宋体" w:hAnsi="Times New Roman" w:cs="Times New Roman"/>
          <w:bCs/>
          <w:sz w:val="24"/>
          <w:szCs w:val="24"/>
        </w:rPr>
        <w:t>。</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bCs/>
          <w:color w:val="000000"/>
          <w:sz w:val="24"/>
          <w:szCs w:val="24"/>
        </w:rPr>
        <w:t>投资者在募集期内可以多次认购基金份额，</w:t>
      </w:r>
      <w:r>
        <w:rPr>
          <w:rFonts w:ascii="Times New Roman" w:eastAsia="宋体" w:hAnsi="Times New Roman" w:cs="Times New Roman" w:hint="eastAsia"/>
          <w:bCs/>
          <w:color w:val="000000"/>
          <w:sz w:val="24"/>
          <w:szCs w:val="24"/>
        </w:rPr>
        <w:t>A</w:t>
      </w:r>
      <w:r>
        <w:rPr>
          <w:rFonts w:ascii="Times New Roman" w:eastAsia="宋体" w:hAnsi="Times New Roman" w:cs="Times New Roman" w:hint="eastAsia"/>
          <w:bCs/>
          <w:color w:val="000000"/>
          <w:sz w:val="24"/>
          <w:szCs w:val="24"/>
        </w:rPr>
        <w:t>类基金份额的认购费用按每笔</w:t>
      </w:r>
      <w:r>
        <w:rPr>
          <w:rFonts w:ascii="Times New Roman" w:eastAsia="宋体" w:hAnsi="Times New Roman" w:cs="Times New Roman" w:hint="eastAsia"/>
          <w:bCs/>
          <w:color w:val="000000"/>
          <w:sz w:val="24"/>
          <w:szCs w:val="24"/>
        </w:rPr>
        <w:t>A</w:t>
      </w:r>
      <w:r>
        <w:rPr>
          <w:rFonts w:ascii="Times New Roman" w:eastAsia="宋体" w:hAnsi="Times New Roman" w:cs="Times New Roman" w:hint="eastAsia"/>
          <w:bCs/>
          <w:color w:val="000000"/>
          <w:sz w:val="24"/>
          <w:szCs w:val="24"/>
        </w:rPr>
        <w:t>类基金份额的认购申请单独计算，但已受理的认购申请不允许撤销。</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bookmarkStart w:id="80" w:name="OLE_LINK71"/>
      <w:r>
        <w:rPr>
          <w:rFonts w:ascii="Times New Roman" w:eastAsia="宋体" w:hAnsi="Times New Roman" w:cs="Times New Roman" w:hint="eastAsia"/>
          <w:sz w:val="24"/>
          <w:szCs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bookmarkEnd w:id="80"/>
      <w:r>
        <w:rPr>
          <w:rFonts w:ascii="Times New Roman" w:eastAsia="宋体" w:hAnsi="Times New Roman" w:cs="Times New Roman" w:hint="eastAsia"/>
          <w:sz w:val="24"/>
          <w:szCs w:val="24"/>
        </w:rPr>
        <w:t>。</w:t>
      </w:r>
    </w:p>
    <w:bookmarkEnd w:id="78"/>
    <w:bookmarkEnd w:id="79"/>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七</w:t>
      </w:r>
      <w:r>
        <w:rPr>
          <w:rFonts w:ascii="Times New Roman" w:eastAsia="宋体" w:hAnsi="Times New Roman" w:cs="Times New Roman" w:hint="eastAsia"/>
          <w:b/>
          <w:sz w:val="24"/>
          <w:szCs w:val="24"/>
        </w:rPr>
        <w:t>、认购费用</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类基金份额收取认购费用，</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类基金份额不收取认购费用，而是从本类别基金财产中计提销售服务费。募集期内投资者可以多次认购本基金，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类基金份额的认购费用按每笔</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类基金份额的认购申请单独计算。</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本基金对通过直销中心认购本基金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类基金份额的养老金客户与除此之外的其他投资者实施差别的认购费率。</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养老金客户指基本养老基金与依法成立的养老计划筹集的资金及其投资运营收益形成的补充养老基金等，具体包括：</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、全国社会保障基金；</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b</w:t>
      </w:r>
      <w:r>
        <w:rPr>
          <w:rFonts w:ascii="Times New Roman" w:eastAsia="宋体" w:hAnsi="Times New Roman" w:cs="Times New Roman" w:hint="eastAsia"/>
          <w:bCs/>
          <w:sz w:val="24"/>
          <w:szCs w:val="24"/>
        </w:rPr>
        <w:t>、可以投资基金的地方社会保障基金；</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、企业年金单一计划以及集合计划；</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d</w:t>
      </w:r>
      <w:r>
        <w:rPr>
          <w:rFonts w:ascii="Times New Roman" w:eastAsia="宋体" w:hAnsi="Times New Roman" w:cs="Times New Roman" w:hint="eastAsia"/>
          <w:bCs/>
          <w:sz w:val="24"/>
          <w:szCs w:val="24"/>
        </w:rPr>
        <w:t>、企业年金理事会委托的特定客户资产管理计划；</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、企业年金养老金产品；</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f</w:t>
      </w:r>
      <w:r>
        <w:rPr>
          <w:rFonts w:ascii="Times New Roman" w:eastAsia="宋体" w:hAnsi="Times New Roman" w:cs="Times New Roman" w:hint="eastAsia"/>
          <w:bCs/>
          <w:sz w:val="24"/>
          <w:szCs w:val="24"/>
        </w:rPr>
        <w:t>、个人税收递延型商业养老保险等产品；</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g</w:t>
      </w:r>
      <w:r>
        <w:rPr>
          <w:rFonts w:ascii="Times New Roman" w:eastAsia="宋体" w:hAnsi="Times New Roman" w:cs="Times New Roman" w:hint="eastAsia"/>
          <w:bCs/>
          <w:sz w:val="24"/>
          <w:szCs w:val="24"/>
        </w:rPr>
        <w:t>、职业年金计划。</w:t>
      </w:r>
    </w:p>
    <w:p w:rsidR="0068684E" w:rsidRDefault="000021E4">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如将来出现经养老基金监管部门认可的新的养老基金类型，本公司将发布临时公告将其纳入养老金客户范围。非养老金客户指除养老金客户外的其他投资者。</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w:t>
      </w:r>
      <w:r>
        <w:rPr>
          <w:rFonts w:ascii="Times New Roman" w:eastAsia="宋体" w:hAnsi="Times New Roman" w:cs="Times New Roman" w:hint="eastAsia"/>
          <w:sz w:val="24"/>
          <w:szCs w:val="24"/>
        </w:rPr>
        <w:t>的认购费率具体如下：</w:t>
      </w:r>
    </w:p>
    <w:tbl>
      <w:tblPr>
        <w:tblW w:w="8448" w:type="dxa"/>
        <w:jc w:val="center"/>
        <w:tblLayout w:type="fixed"/>
        <w:tblCellMar>
          <w:left w:w="0" w:type="dxa"/>
          <w:right w:w="0" w:type="dxa"/>
        </w:tblCellMar>
        <w:tblLook w:val="04A0" w:firstRow="1" w:lastRow="0" w:firstColumn="1" w:lastColumn="0" w:noHBand="0" w:noVBand="1"/>
      </w:tblPr>
      <w:tblGrid>
        <w:gridCol w:w="3093"/>
        <w:gridCol w:w="2788"/>
        <w:gridCol w:w="2567"/>
      </w:tblGrid>
      <w:tr w:rsidR="0068684E">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认购金额（</w:t>
            </w:r>
            <w:r>
              <w:rPr>
                <w:rFonts w:ascii="Times New Roman" w:eastAsia="宋体" w:hAnsi="Times New Roman" w:cs="Times New Roman"/>
                <w:b/>
                <w:bCs/>
                <w:kern w:val="0"/>
                <w:sz w:val="24"/>
                <w:szCs w:val="24"/>
              </w:rPr>
              <w:t>M</w:t>
            </w:r>
            <w:r>
              <w:rPr>
                <w:rFonts w:ascii="Times New Roman" w:eastAsia="宋体" w:hAnsi="Times New Roman" w:cs="Times New Roman" w:hint="eastAsia"/>
                <w:b/>
                <w:bCs/>
                <w:kern w:val="0"/>
                <w:sz w:val="24"/>
                <w:szCs w:val="24"/>
              </w:rPr>
              <w:t>，含认购费）</w:t>
            </w:r>
          </w:p>
        </w:tc>
        <w:tc>
          <w:tcPr>
            <w:tcW w:w="27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jc w:val="center"/>
              <w:rPr>
                <w:rFonts w:ascii="Times New Roman" w:eastAsia="宋体" w:hAnsi="Times New Roman" w:cs="Times New Roman"/>
                <w:b/>
                <w:bCs/>
                <w:sz w:val="18"/>
                <w:szCs w:val="18"/>
              </w:rPr>
            </w:pPr>
            <w:r>
              <w:rPr>
                <w:rFonts w:ascii="Times New Roman" w:eastAsia="宋体" w:hAnsi="Times New Roman" w:cs="Times New Roman" w:hint="eastAsia"/>
                <w:b/>
                <w:bCs/>
                <w:kern w:val="0"/>
                <w:sz w:val="24"/>
                <w:szCs w:val="24"/>
              </w:rPr>
              <w:t>认购费率</w:t>
            </w:r>
          </w:p>
          <w:p w:rsidR="0068684E" w:rsidRDefault="000021E4">
            <w:pPr>
              <w:jc w:val="center"/>
              <w:rPr>
                <w:rFonts w:ascii="Times New Roman" w:eastAsia="宋体" w:hAnsi="Times New Roman" w:cs="Times New Roman"/>
                <w:b/>
                <w:bCs/>
                <w:sz w:val="18"/>
                <w:szCs w:val="18"/>
              </w:rPr>
            </w:pPr>
            <w:r>
              <w:rPr>
                <w:rFonts w:ascii="Times New Roman" w:eastAsia="宋体" w:hAnsi="Times New Roman" w:cs="Times New Roman" w:hint="eastAsia"/>
                <w:b/>
                <w:bCs/>
                <w:kern w:val="0"/>
                <w:sz w:val="24"/>
                <w:szCs w:val="24"/>
              </w:rPr>
              <w:t>（通过直销中心认购的养老金客户）</w:t>
            </w:r>
          </w:p>
        </w:tc>
        <w:tc>
          <w:tcPr>
            <w:tcW w:w="2567" w:type="dxa"/>
            <w:tcBorders>
              <w:top w:val="single" w:sz="4" w:space="0" w:color="auto"/>
              <w:left w:val="nil"/>
              <w:bottom w:val="single" w:sz="4" w:space="0" w:color="auto"/>
              <w:right w:val="single" w:sz="4" w:space="0" w:color="auto"/>
            </w:tcBorders>
            <w:vAlign w:val="center"/>
          </w:tcPr>
          <w:p w:rsidR="0068684E" w:rsidRDefault="000021E4">
            <w:pPr>
              <w:ind w:firstLineChars="300" w:firstLine="723"/>
              <w:rPr>
                <w:rFonts w:ascii="Times New Roman" w:eastAsia="宋体" w:hAnsi="Times New Roman" w:cs="Times New Roman"/>
                <w:b/>
                <w:bCs/>
                <w:sz w:val="18"/>
                <w:szCs w:val="18"/>
              </w:rPr>
            </w:pPr>
            <w:r>
              <w:rPr>
                <w:rFonts w:ascii="Times New Roman" w:eastAsia="宋体" w:hAnsi="Times New Roman" w:cs="Times New Roman" w:hint="eastAsia"/>
                <w:b/>
                <w:bCs/>
                <w:kern w:val="0"/>
                <w:sz w:val="24"/>
                <w:szCs w:val="24"/>
              </w:rPr>
              <w:t>认购费率</w:t>
            </w:r>
          </w:p>
          <w:p w:rsidR="0068684E" w:rsidRDefault="000021E4">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（其他投资者）</w:t>
            </w:r>
          </w:p>
        </w:tc>
      </w:tr>
      <w:tr w:rsidR="0068684E">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宋体" w:eastAsia="宋体" w:hAnsi="宋体" w:cs="Times New Roman"/>
                <w:kern w:val="0"/>
                <w:sz w:val="24"/>
                <w:szCs w:val="24"/>
              </w:rPr>
              <w:t>＜</w:t>
            </w:r>
            <w:r>
              <w:rPr>
                <w:rFonts w:ascii="Times New Roman" w:eastAsia="宋体" w:hAnsi="Times New Roman" w:cs="Times New Roman"/>
                <w:kern w:val="0"/>
                <w:sz w:val="24"/>
                <w:szCs w:val="24"/>
              </w:rPr>
              <w:t>100</w:t>
            </w:r>
            <w:r>
              <w:rPr>
                <w:rFonts w:ascii="宋体" w:eastAsia="宋体" w:hAnsi="宋体" w:cs="Times New Roman"/>
                <w:kern w:val="0"/>
                <w:sz w:val="24"/>
                <w:szCs w:val="24"/>
              </w:rPr>
              <w:t>万元</w:t>
            </w:r>
          </w:p>
        </w:tc>
        <w:tc>
          <w:tcPr>
            <w:tcW w:w="27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0.06%</w:t>
            </w:r>
          </w:p>
        </w:tc>
        <w:tc>
          <w:tcPr>
            <w:tcW w:w="2567" w:type="dxa"/>
            <w:tcBorders>
              <w:top w:val="single" w:sz="4" w:space="0" w:color="auto"/>
              <w:left w:val="nil"/>
              <w:bottom w:val="single" w:sz="4" w:space="0" w:color="auto"/>
              <w:right w:val="single" w:sz="4" w:space="0" w:color="auto"/>
            </w:tcBorders>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0.60%</w:t>
            </w:r>
          </w:p>
        </w:tc>
      </w:tr>
      <w:tr w:rsidR="0068684E">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100</w:t>
            </w:r>
            <w:r>
              <w:rPr>
                <w:rFonts w:ascii="宋体" w:eastAsia="宋体" w:hAnsi="宋体" w:cs="Times New Roman" w:hint="eastAsia"/>
                <w:kern w:val="0"/>
                <w:sz w:val="24"/>
                <w:szCs w:val="24"/>
              </w:rPr>
              <w:t>万元≤</w:t>
            </w:r>
            <w:r>
              <w:rPr>
                <w:rFonts w:ascii="Times New Roman" w:eastAsia="宋体" w:hAnsi="Times New Roman" w:cs="Times New Roman" w:hint="eastAsia"/>
                <w:kern w:val="0"/>
                <w:sz w:val="24"/>
                <w:szCs w:val="24"/>
              </w:rPr>
              <w:t>M</w:t>
            </w:r>
            <w:r>
              <w:rPr>
                <w:rFonts w:ascii="宋体" w:eastAsia="宋体" w:hAnsi="宋体" w:cs="Times New Roman" w:hint="eastAsia"/>
                <w:kern w:val="0"/>
                <w:sz w:val="24"/>
                <w:szCs w:val="24"/>
              </w:rPr>
              <w:t>＜</w:t>
            </w:r>
            <w:r>
              <w:rPr>
                <w:rFonts w:ascii="Times New Roman" w:eastAsia="宋体" w:hAnsi="Times New Roman" w:cs="Times New Roman" w:hint="eastAsia"/>
                <w:kern w:val="0"/>
                <w:sz w:val="24"/>
                <w:szCs w:val="24"/>
              </w:rPr>
              <w:t>500</w:t>
            </w:r>
            <w:r>
              <w:rPr>
                <w:rFonts w:ascii="宋体" w:eastAsia="宋体" w:hAnsi="宋体" w:cs="Times New Roman" w:hint="eastAsia"/>
                <w:kern w:val="0"/>
                <w:sz w:val="24"/>
                <w:szCs w:val="24"/>
              </w:rPr>
              <w:t>万元</w:t>
            </w:r>
          </w:p>
        </w:tc>
        <w:tc>
          <w:tcPr>
            <w:tcW w:w="27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0.02</w:t>
            </w:r>
            <w:r>
              <w:rPr>
                <w:rFonts w:ascii="Times New Roman" w:eastAsia="宋体" w:hAnsi="Times New Roman" w:cs="Times New Roman" w:hint="eastAsia"/>
                <w:kern w:val="0"/>
                <w:sz w:val="24"/>
                <w:szCs w:val="24"/>
              </w:rPr>
              <w:t>%</w:t>
            </w:r>
          </w:p>
        </w:tc>
        <w:tc>
          <w:tcPr>
            <w:tcW w:w="2567" w:type="dxa"/>
            <w:tcBorders>
              <w:top w:val="single" w:sz="4" w:space="0" w:color="auto"/>
              <w:left w:val="nil"/>
              <w:bottom w:val="single" w:sz="4" w:space="0" w:color="auto"/>
              <w:right w:val="single" w:sz="4" w:space="0" w:color="auto"/>
            </w:tcBorders>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0.20%</w:t>
            </w:r>
          </w:p>
        </w:tc>
      </w:tr>
      <w:tr w:rsidR="0068684E">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500</w:t>
            </w:r>
            <w:r>
              <w:rPr>
                <w:rFonts w:ascii="宋体" w:eastAsia="宋体" w:hAnsi="宋体" w:cs="Times New Roman"/>
                <w:kern w:val="0"/>
                <w:sz w:val="24"/>
                <w:szCs w:val="24"/>
              </w:rPr>
              <w:t>万元</w:t>
            </w:r>
          </w:p>
        </w:tc>
        <w:tc>
          <w:tcPr>
            <w:tcW w:w="5355"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1,000</w:t>
            </w:r>
            <w:r>
              <w:rPr>
                <w:rFonts w:ascii="宋体" w:eastAsia="宋体" w:hAnsi="宋体" w:cs="Times New Roman" w:hint="eastAsia"/>
                <w:kern w:val="0"/>
                <w:sz w:val="24"/>
                <w:szCs w:val="24"/>
              </w:rPr>
              <w:t>元/笔</w:t>
            </w:r>
          </w:p>
        </w:tc>
      </w:tr>
    </w:tbl>
    <w:p w:rsidR="0068684E" w:rsidRDefault="000021E4">
      <w:pPr>
        <w:autoSpaceDE w:val="0"/>
        <w:autoSpaceDN w:val="0"/>
        <w:adjustRightInd w:val="0"/>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w:t>
      </w:r>
      <w:r>
        <w:rPr>
          <w:rFonts w:ascii="Times New Roman" w:eastAsia="宋体" w:hAnsi="Times New Roman" w:cs="Times New Roman"/>
          <w:kern w:val="0"/>
          <w:sz w:val="24"/>
          <w:szCs w:val="24"/>
        </w:rPr>
        <w:t>认购费用用于本基金的市场推广、销售、登记等募集期间发生的各项费用，不列入基金资产。</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八</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认购期认购资金及利息的处理方式</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基金管理人应将基金募集期间募集的资金存入专门账户，在基金募集行为结束前，任何人不得动用。有效认购款项在募集期间产生的利息将折算为</w:t>
      </w:r>
      <w:r>
        <w:rPr>
          <w:rFonts w:ascii="Times New Roman" w:eastAsia="宋体" w:hAnsi="Times New Roman" w:cs="Times New Roman" w:hint="eastAsia"/>
          <w:sz w:val="24"/>
          <w:szCs w:val="24"/>
        </w:rPr>
        <w:t>相应类别的</w:t>
      </w:r>
      <w:r>
        <w:rPr>
          <w:rFonts w:ascii="Times New Roman" w:eastAsia="宋体" w:hAnsi="Times New Roman" w:cs="Times New Roman"/>
          <w:sz w:val="24"/>
          <w:szCs w:val="24"/>
        </w:rPr>
        <w:t>基金份额归基金份额持有人所有，</w:t>
      </w:r>
      <w:r>
        <w:rPr>
          <w:rFonts w:ascii="Times New Roman" w:eastAsia="宋体" w:hAnsi="Times New Roman" w:cs="Times New Roman" w:hint="eastAsia"/>
          <w:sz w:val="24"/>
          <w:szCs w:val="24"/>
        </w:rPr>
        <w:t>其中利息</w:t>
      </w:r>
      <w:r>
        <w:rPr>
          <w:rFonts w:ascii="Times New Roman" w:eastAsia="宋体" w:hAnsi="Times New Roman" w:cs="Times New Roman"/>
          <w:sz w:val="24"/>
          <w:szCs w:val="24"/>
        </w:rPr>
        <w:t>转份额</w:t>
      </w:r>
      <w:r>
        <w:rPr>
          <w:rFonts w:ascii="Times New Roman" w:eastAsia="宋体" w:hAnsi="Times New Roman" w:cs="Times New Roman" w:hint="eastAsia"/>
          <w:bCs/>
          <w:sz w:val="24"/>
          <w:szCs w:val="24"/>
        </w:rPr>
        <w:t>的具体数额</w:t>
      </w:r>
      <w:r>
        <w:rPr>
          <w:rFonts w:ascii="Times New Roman" w:eastAsia="宋体" w:hAnsi="Times New Roman" w:cs="Times New Roman"/>
          <w:sz w:val="24"/>
          <w:szCs w:val="24"/>
        </w:rPr>
        <w:t>以登记机构的记录为准</w:t>
      </w:r>
      <w:r>
        <w:rPr>
          <w:rFonts w:ascii="Times New Roman" w:eastAsia="宋体" w:hAnsi="Times New Roman" w:cs="Times New Roman" w:hint="eastAsia"/>
          <w:sz w:val="24"/>
          <w:szCs w:val="24"/>
        </w:rPr>
        <w:t>。</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九</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基金认购份额的计算</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、本基金基金份额发售面值为人民币</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类基金份额收取认购费用，认购</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类基金份额不收取认购费用。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、基金认购采用金额认购的方式。</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类基金份额时收取认购费用，</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类基金份额的认购金额包</w:t>
      </w:r>
      <w:r>
        <w:rPr>
          <w:rFonts w:ascii="Times New Roman" w:eastAsia="宋体" w:hAnsi="Times New Roman" w:cs="Times New Roman" w:hint="eastAsia"/>
          <w:sz w:val="24"/>
          <w:szCs w:val="24"/>
        </w:rPr>
        <w:lastRenderedPageBreak/>
        <w:t>括认购费用和净认购金额，认购份额的计算方法如下：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当认购费用适用比例费率时，认购份额的计算方法如下：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净认购金额＝认购金额</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hint="eastAsia"/>
          <w:sz w:val="24"/>
          <w:szCs w:val="24"/>
        </w:rPr>
        <w:t>认购费率）</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认购费用＝认购金额－净认购金额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认购份额＝（净认购金额</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认购利息）</w:t>
      </w:r>
      <w:r>
        <w:rPr>
          <w:rFonts w:ascii="Times New Roman" w:eastAsia="宋体" w:hAnsi="Times New Roman" w:cs="Times New Roman"/>
          <w:sz w:val="24"/>
          <w:szCs w:val="24"/>
        </w:rPr>
        <w:t>/</w:t>
      </w:r>
      <w:r>
        <w:rPr>
          <w:rFonts w:ascii="Times New Roman" w:eastAsia="宋体" w:hAnsi="Times New Roman" w:cs="Times New Roman" w:hint="eastAsia"/>
          <w:sz w:val="24"/>
          <w:szCs w:val="24"/>
        </w:rPr>
        <w:t>基金份额发售面值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当认购费用为固定金额时，认购份额的计算方法如下：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认购费用＝固定金额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净认购金额＝认购金额－认购费用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认购份额＝（净认购金额</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认购利息）</w:t>
      </w:r>
      <w:r>
        <w:rPr>
          <w:rFonts w:ascii="Times New Roman" w:eastAsia="宋体" w:hAnsi="Times New Roman" w:cs="Times New Roman"/>
          <w:sz w:val="24"/>
          <w:szCs w:val="24"/>
        </w:rPr>
        <w:t>/</w:t>
      </w:r>
      <w:r>
        <w:rPr>
          <w:rFonts w:ascii="Times New Roman" w:eastAsia="宋体" w:hAnsi="Times New Roman" w:cs="Times New Roman" w:hint="eastAsia"/>
          <w:sz w:val="24"/>
          <w:szCs w:val="24"/>
        </w:rPr>
        <w:t>基金份额发售面值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）认购本基金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类基金份额时不收取认购费用，认购份额的计算方法如下：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认购份额＝（认购金额＋认购利息）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基金份额发售面值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）上述计算结果均按四舍五入方法，保留到小数点后</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位，由此产生的收益或损失由基金财产承担。</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例：某投资者（非养老金客户）投资</w:t>
      </w:r>
      <w:r>
        <w:rPr>
          <w:rFonts w:ascii="Times New Roman" w:eastAsia="宋体" w:hAnsi="Times New Roman" w:cs="Times New Roman"/>
          <w:sz w:val="24"/>
          <w:szCs w:val="24"/>
        </w:rPr>
        <w:t>100</w:t>
      </w:r>
      <w:r>
        <w:rPr>
          <w:rFonts w:ascii="Times New Roman" w:eastAsia="宋体" w:hAnsi="Times New Roman" w:cs="Times New Roman" w:hint="eastAsia"/>
          <w:sz w:val="24"/>
          <w:szCs w:val="24"/>
        </w:rPr>
        <w:t>,</w:t>
      </w:r>
      <w:r>
        <w:rPr>
          <w:rFonts w:ascii="Times New Roman" w:eastAsia="宋体" w:hAnsi="Times New Roman" w:cs="Times New Roman"/>
          <w:sz w:val="24"/>
          <w:szCs w:val="24"/>
        </w:rPr>
        <w:t>000</w:t>
      </w:r>
      <w:r>
        <w:rPr>
          <w:rFonts w:ascii="Times New Roman" w:eastAsia="宋体" w:hAnsi="Times New Roman" w:cs="Times New Roman"/>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r>
        <w:rPr>
          <w:rFonts w:ascii="Times New Roman" w:eastAsia="宋体" w:hAnsi="Times New Roman" w:cs="Times New Roman"/>
          <w:sz w:val="24"/>
          <w:szCs w:val="24"/>
        </w:rPr>
        <w:t>，则对应的认购费率为</w:t>
      </w:r>
      <w:r>
        <w:rPr>
          <w:rFonts w:ascii="Times New Roman" w:eastAsia="宋体" w:hAnsi="Times New Roman" w:cs="Times New Roman"/>
          <w:sz w:val="24"/>
          <w:szCs w:val="24"/>
        </w:rPr>
        <w:t>0.60%</w:t>
      </w:r>
      <w:r>
        <w:rPr>
          <w:rFonts w:ascii="Times New Roman" w:eastAsia="宋体" w:hAnsi="Times New Roman" w:cs="Times New Roman"/>
          <w:sz w:val="24"/>
          <w:szCs w:val="24"/>
        </w:rPr>
        <w:t>，假定募集期产生的利息为</w:t>
      </w:r>
      <w:r>
        <w:rPr>
          <w:rFonts w:ascii="Times New Roman" w:eastAsia="宋体" w:hAnsi="Times New Roman" w:cs="Times New Roman"/>
          <w:sz w:val="24"/>
          <w:szCs w:val="24"/>
        </w:rPr>
        <w:t>55.00</w:t>
      </w:r>
      <w:r>
        <w:rPr>
          <w:rFonts w:ascii="Times New Roman" w:eastAsia="宋体" w:hAnsi="Times New Roman" w:cs="Times New Roman"/>
          <w:sz w:val="24"/>
          <w:szCs w:val="24"/>
        </w:rPr>
        <w:t>元，则可认购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w:t>
      </w:r>
      <w:r>
        <w:rPr>
          <w:rFonts w:ascii="Times New Roman" w:eastAsia="宋体" w:hAnsi="Times New Roman" w:cs="Times New Roman"/>
          <w:sz w:val="24"/>
          <w:szCs w:val="24"/>
        </w:rPr>
        <w:t>基金份额为：</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净认购金额＝</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,000/</w:t>
      </w: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0.60%</w:t>
      </w:r>
      <w:r>
        <w:rPr>
          <w:rFonts w:ascii="Times New Roman" w:eastAsia="宋体" w:hAnsi="Times New Roman" w:cs="Times New Roman"/>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403</w:t>
      </w:r>
      <w:r>
        <w:rPr>
          <w:rFonts w:ascii="Times New Roman" w:eastAsia="宋体" w:hAnsi="Times New Roman" w:cs="Times New Roman" w:hint="eastAsia"/>
          <w:sz w:val="24"/>
          <w:szCs w:val="24"/>
        </w:rPr>
        <w:t>.</w:t>
      </w:r>
      <w:r>
        <w:rPr>
          <w:rFonts w:ascii="Times New Roman" w:eastAsia="宋体" w:hAnsi="Times New Roman" w:cs="Times New Roman"/>
          <w:sz w:val="24"/>
          <w:szCs w:val="24"/>
        </w:rPr>
        <w:t>58</w:t>
      </w:r>
      <w:r>
        <w:rPr>
          <w:rFonts w:ascii="Times New Roman" w:eastAsia="宋体" w:hAnsi="Times New Roman" w:cs="Times New Roman"/>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,000-</w:t>
      </w:r>
      <w:r>
        <w:rPr>
          <w:rFonts w:ascii="Times New Roman" w:eastAsia="宋体" w:hAnsi="Times New Roman" w:cs="Times New Roman" w:hint="eastAsia"/>
          <w:sz w:val="24"/>
          <w:szCs w:val="24"/>
        </w:rPr>
        <w:t>9</w:t>
      </w:r>
      <w:r>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403</w:t>
      </w:r>
      <w:r>
        <w:rPr>
          <w:rFonts w:ascii="Times New Roman" w:eastAsia="宋体" w:hAnsi="Times New Roman" w:cs="Times New Roman" w:hint="eastAsia"/>
          <w:sz w:val="24"/>
          <w:szCs w:val="24"/>
        </w:rPr>
        <w:t>.</w:t>
      </w:r>
      <w:r>
        <w:rPr>
          <w:rFonts w:ascii="Times New Roman" w:eastAsia="宋体" w:hAnsi="Times New Roman" w:cs="Times New Roman"/>
          <w:sz w:val="24"/>
          <w:szCs w:val="24"/>
        </w:rPr>
        <w:t>58</w:t>
      </w:r>
      <w:r>
        <w:rPr>
          <w:rFonts w:ascii="Times New Roman" w:eastAsia="宋体" w:hAnsi="Times New Roman" w:cs="Times New Roman"/>
          <w:sz w:val="24"/>
          <w:szCs w:val="24"/>
        </w:rPr>
        <w:t>＝</w:t>
      </w:r>
      <w:r>
        <w:rPr>
          <w:rFonts w:ascii="Times New Roman" w:eastAsia="宋体" w:hAnsi="Times New Roman" w:cs="Times New Roman"/>
          <w:sz w:val="24"/>
          <w:szCs w:val="24"/>
        </w:rPr>
        <w:t>596</w:t>
      </w:r>
      <w:r>
        <w:rPr>
          <w:rFonts w:ascii="Times New Roman" w:eastAsia="宋体" w:hAnsi="Times New Roman" w:cs="Times New Roman" w:hint="eastAsia"/>
          <w:sz w:val="24"/>
          <w:szCs w:val="24"/>
        </w:rPr>
        <w:t>.</w:t>
      </w:r>
      <w:r>
        <w:rPr>
          <w:rFonts w:ascii="Times New Roman" w:eastAsia="宋体" w:hAnsi="Times New Roman" w:cs="Times New Roman"/>
          <w:sz w:val="24"/>
          <w:szCs w:val="24"/>
        </w:rPr>
        <w:t>42</w:t>
      </w:r>
      <w:r>
        <w:rPr>
          <w:rFonts w:ascii="Times New Roman" w:eastAsia="宋体" w:hAnsi="Times New Roman" w:cs="Times New Roman"/>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w:t>
      </w:r>
      <w:r>
        <w:rPr>
          <w:rFonts w:ascii="Times New Roman" w:eastAsia="宋体" w:hAnsi="Times New Roman" w:cs="Times New Roman"/>
          <w:sz w:val="24"/>
          <w:szCs w:val="24"/>
        </w:rPr>
        <w:t>99,403.58</w:t>
      </w:r>
      <w:r>
        <w:rPr>
          <w:rFonts w:ascii="Times New Roman" w:eastAsia="宋体" w:hAnsi="Times New Roman" w:cs="Times New Roman"/>
          <w:sz w:val="24"/>
          <w:szCs w:val="24"/>
        </w:rPr>
        <w:t>＋</w:t>
      </w:r>
      <w:r>
        <w:rPr>
          <w:rFonts w:ascii="Times New Roman" w:eastAsia="宋体" w:hAnsi="Times New Roman" w:cs="Times New Roman"/>
          <w:sz w:val="24"/>
          <w:szCs w:val="24"/>
        </w:rPr>
        <w:t>55</w:t>
      </w:r>
      <w:r>
        <w:rPr>
          <w:rFonts w:ascii="Times New Roman" w:eastAsia="宋体" w:hAnsi="Times New Roman" w:cs="Times New Roman" w:hint="eastAsia"/>
          <w:sz w:val="24"/>
          <w:szCs w:val="24"/>
        </w:rPr>
        <w:t>.00</w:t>
      </w:r>
      <w:r>
        <w:rPr>
          <w:rFonts w:ascii="Times New Roman" w:eastAsia="宋体" w:hAnsi="Times New Roman" w:cs="Times New Roman"/>
          <w:sz w:val="24"/>
          <w:szCs w:val="24"/>
        </w:rPr>
        <w:t>）</w:t>
      </w:r>
      <w:r>
        <w:rPr>
          <w:rFonts w:ascii="Times New Roman" w:eastAsia="宋体" w:hAnsi="Times New Roman" w:cs="Times New Roman"/>
          <w:sz w:val="24"/>
          <w:szCs w:val="24"/>
        </w:rPr>
        <w:t>/1.00</w:t>
      </w:r>
      <w:r>
        <w:rPr>
          <w:rFonts w:ascii="Times New Roman" w:eastAsia="宋体" w:hAnsi="Times New Roman" w:cs="Times New Roman"/>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458</w:t>
      </w:r>
      <w:r>
        <w:rPr>
          <w:rFonts w:ascii="Times New Roman" w:eastAsia="宋体" w:hAnsi="Times New Roman" w:cs="Times New Roman" w:hint="eastAsia"/>
          <w:sz w:val="24"/>
          <w:szCs w:val="24"/>
        </w:rPr>
        <w:t>.</w:t>
      </w:r>
      <w:r>
        <w:rPr>
          <w:rFonts w:ascii="Times New Roman" w:eastAsia="宋体" w:hAnsi="Times New Roman" w:cs="Times New Roman"/>
          <w:sz w:val="24"/>
          <w:szCs w:val="24"/>
        </w:rPr>
        <w:t>58</w:t>
      </w:r>
      <w:r>
        <w:rPr>
          <w:rFonts w:ascii="Times New Roman" w:eastAsia="宋体" w:hAnsi="Times New Roman" w:cs="Times New Roman"/>
          <w:sz w:val="24"/>
          <w:szCs w:val="24"/>
        </w:rPr>
        <w:t>份</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即：该投资者（非养老金客户）投资</w:t>
      </w:r>
      <w:r>
        <w:rPr>
          <w:rFonts w:ascii="Times New Roman" w:eastAsia="宋体" w:hAnsi="Times New Roman" w:cs="Times New Roman"/>
          <w:sz w:val="24"/>
          <w:szCs w:val="24"/>
        </w:rPr>
        <w:t>100,000</w:t>
      </w:r>
      <w:r>
        <w:rPr>
          <w:rFonts w:ascii="Times New Roman" w:eastAsia="宋体" w:hAnsi="Times New Roman" w:cs="Times New Roman"/>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r>
        <w:rPr>
          <w:rFonts w:ascii="Times New Roman" w:eastAsia="宋体" w:hAnsi="Times New Roman" w:cs="Times New Roman"/>
          <w:sz w:val="24"/>
          <w:szCs w:val="24"/>
        </w:rPr>
        <w:t>，</w:t>
      </w:r>
      <w:r>
        <w:rPr>
          <w:rFonts w:ascii="Times New Roman" w:eastAsia="宋体" w:hAnsi="Times New Roman" w:cs="Times New Roman" w:hint="eastAsia"/>
          <w:sz w:val="24"/>
          <w:szCs w:val="24"/>
        </w:rPr>
        <w:t>则对应的认购费率为</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假定募集期产生的利息为</w:t>
      </w:r>
      <w:r>
        <w:rPr>
          <w:rFonts w:ascii="Times New Roman" w:eastAsia="宋体" w:hAnsi="Times New Roman" w:cs="Times New Roman"/>
          <w:sz w:val="24"/>
          <w:szCs w:val="24"/>
        </w:rPr>
        <w:t>55.00</w:t>
      </w:r>
      <w:r>
        <w:rPr>
          <w:rFonts w:ascii="Times New Roman" w:eastAsia="宋体" w:hAnsi="Times New Roman" w:cs="Times New Roman"/>
          <w:sz w:val="24"/>
          <w:szCs w:val="24"/>
        </w:rPr>
        <w:t>元，可得到</w:t>
      </w:r>
      <w:r>
        <w:rPr>
          <w:rFonts w:ascii="Times New Roman" w:eastAsia="宋体" w:hAnsi="Times New Roman" w:cs="Times New Roman"/>
          <w:sz w:val="24"/>
          <w:szCs w:val="24"/>
        </w:rPr>
        <w:t>99,458.58</w:t>
      </w:r>
      <w:r>
        <w:rPr>
          <w:rFonts w:ascii="Times New Roman" w:eastAsia="宋体" w:hAnsi="Times New Roman" w:cs="Times New Roman"/>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w:t>
      </w:r>
      <w:r>
        <w:rPr>
          <w:rFonts w:ascii="Times New Roman" w:eastAsia="宋体" w:hAnsi="Times New Roman" w:cs="Times New Roman"/>
          <w:sz w:val="24"/>
          <w:szCs w:val="24"/>
        </w:rPr>
        <w:t>基金份额。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例：某投资者（养老金客户）投资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元通过基金管理人直销中心认购本基金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类基金份额，则对应的认购费率为</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，假定募集期产生的利息为</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元，则可认购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类基金份额为：</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净认购金额＝</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99,</w:t>
      </w:r>
      <w:r>
        <w:rPr>
          <w:rFonts w:ascii="Times New Roman" w:eastAsia="宋体" w:hAnsi="Times New Roman" w:cs="Times New Roman"/>
          <w:sz w:val="24"/>
          <w:szCs w:val="24"/>
        </w:rPr>
        <w:t>94</w:t>
      </w:r>
      <w:r>
        <w:rPr>
          <w:rFonts w:ascii="Times New Roman" w:eastAsia="宋体" w:hAnsi="Times New Roman" w:cs="Times New Roman" w:hint="eastAsia"/>
          <w:sz w:val="24"/>
          <w:szCs w:val="24"/>
        </w:rPr>
        <w:t>0.04</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w:t>
      </w:r>
      <w:r>
        <w:rPr>
          <w:rFonts w:ascii="Times New Roman" w:eastAsia="宋体" w:hAnsi="Times New Roman" w:cs="Times New Roman" w:hint="eastAsia"/>
          <w:sz w:val="24"/>
          <w:szCs w:val="24"/>
        </w:rPr>
        <w:t>100,000-99,</w:t>
      </w:r>
      <w:r>
        <w:rPr>
          <w:rFonts w:ascii="Times New Roman" w:eastAsia="宋体" w:hAnsi="Times New Roman" w:cs="Times New Roman"/>
          <w:sz w:val="24"/>
          <w:szCs w:val="24"/>
        </w:rPr>
        <w:t>94</w:t>
      </w:r>
      <w:r>
        <w:rPr>
          <w:rFonts w:ascii="Times New Roman" w:eastAsia="宋体" w:hAnsi="Times New Roman" w:cs="Times New Roman" w:hint="eastAsia"/>
          <w:sz w:val="24"/>
          <w:szCs w:val="24"/>
        </w:rPr>
        <w:t>0.04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59.96</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w:t>
      </w:r>
      <w:r>
        <w:rPr>
          <w:rFonts w:ascii="Times New Roman" w:eastAsia="宋体" w:hAnsi="Times New Roman" w:cs="Times New Roman" w:hint="eastAsia"/>
          <w:sz w:val="24"/>
          <w:szCs w:val="24"/>
        </w:rPr>
        <w:t>99,</w:t>
      </w:r>
      <w:r>
        <w:rPr>
          <w:rFonts w:ascii="Times New Roman" w:eastAsia="宋体" w:hAnsi="Times New Roman" w:cs="Times New Roman"/>
          <w:sz w:val="24"/>
          <w:szCs w:val="24"/>
        </w:rPr>
        <w:t>94</w:t>
      </w:r>
      <w:r>
        <w:rPr>
          <w:rFonts w:ascii="Times New Roman" w:eastAsia="宋体" w:hAnsi="Times New Roman" w:cs="Times New Roman" w:hint="eastAsia"/>
          <w:sz w:val="24"/>
          <w:szCs w:val="24"/>
        </w:rPr>
        <w:t>0.04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99,</w:t>
      </w:r>
      <w:r>
        <w:rPr>
          <w:rFonts w:ascii="Times New Roman" w:eastAsia="宋体" w:hAnsi="Times New Roman" w:cs="Times New Roman"/>
          <w:sz w:val="24"/>
          <w:szCs w:val="24"/>
        </w:rPr>
        <w:t>94</w:t>
      </w:r>
      <w:r>
        <w:rPr>
          <w:rFonts w:ascii="Times New Roman" w:eastAsia="宋体" w:hAnsi="Times New Roman" w:cs="Times New Roman" w:hint="eastAsia"/>
          <w:sz w:val="24"/>
          <w:szCs w:val="24"/>
        </w:rPr>
        <w:t>3.04</w:t>
      </w:r>
      <w:r>
        <w:rPr>
          <w:rFonts w:ascii="Times New Roman" w:eastAsia="宋体" w:hAnsi="Times New Roman" w:cs="Times New Roman" w:hint="eastAsia"/>
          <w:sz w:val="24"/>
          <w:szCs w:val="24"/>
        </w:rPr>
        <w:t>份</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即：该投资者（养老金客户）投资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元通过基金管理人直销中心认购本基金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类基金份额，则对应的认购费率为</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，假定募集期产生的利息为</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元，可得到</w:t>
      </w:r>
      <w:r>
        <w:rPr>
          <w:rFonts w:ascii="Times New Roman" w:eastAsia="宋体" w:hAnsi="Times New Roman" w:cs="Times New Roman" w:hint="eastAsia"/>
          <w:sz w:val="24"/>
          <w:szCs w:val="24"/>
        </w:rPr>
        <w:t>99,</w:t>
      </w:r>
      <w:r>
        <w:rPr>
          <w:rFonts w:ascii="Times New Roman" w:eastAsia="宋体" w:hAnsi="Times New Roman" w:cs="Times New Roman"/>
          <w:sz w:val="24"/>
          <w:szCs w:val="24"/>
        </w:rPr>
        <w:t>94</w:t>
      </w:r>
      <w:r>
        <w:rPr>
          <w:rFonts w:ascii="Times New Roman" w:eastAsia="宋体" w:hAnsi="Times New Roman" w:cs="Times New Roman" w:hint="eastAsia"/>
          <w:sz w:val="24"/>
          <w:szCs w:val="24"/>
        </w:rPr>
        <w:t>3.04</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例：某投资者投资</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r>
        <w:rPr>
          <w:rFonts w:ascii="Times New Roman" w:eastAsia="宋体" w:hAnsi="Times New Roman" w:cs="Times New Roman"/>
          <w:sz w:val="24"/>
          <w:szCs w:val="24"/>
        </w:rPr>
        <w:t>假定募集期产生的利息为</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元，则可认购</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类基金份额为：</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10,003.00</w:t>
      </w:r>
      <w:r>
        <w:rPr>
          <w:rFonts w:ascii="Times New Roman" w:eastAsia="宋体" w:hAnsi="Times New Roman" w:cs="Times New Roman" w:hint="eastAsia"/>
          <w:sz w:val="24"/>
          <w:szCs w:val="24"/>
        </w:rPr>
        <w:t>份</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即：该投资者投资</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r>
        <w:rPr>
          <w:rFonts w:ascii="Times New Roman" w:eastAsia="宋体" w:hAnsi="Times New Roman" w:cs="Times New Roman"/>
          <w:sz w:val="24"/>
          <w:szCs w:val="24"/>
        </w:rPr>
        <w:t>假定募集期产生的利息为</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元</w:t>
      </w:r>
      <w:r>
        <w:rPr>
          <w:rFonts w:ascii="Times New Roman" w:eastAsia="宋体" w:hAnsi="Times New Roman" w:cs="Times New Roman"/>
          <w:sz w:val="24"/>
          <w:szCs w:val="24"/>
        </w:rPr>
        <w:t>，可得到</w:t>
      </w:r>
      <w:r>
        <w:rPr>
          <w:rFonts w:ascii="Times New Roman" w:eastAsia="宋体" w:hAnsi="Times New Roman" w:cs="Times New Roman" w:hint="eastAsia"/>
          <w:sz w:val="24"/>
          <w:szCs w:val="24"/>
        </w:rPr>
        <w:t>10,003.00</w:t>
      </w:r>
      <w:r>
        <w:rPr>
          <w:rFonts w:ascii="Times New Roman" w:eastAsia="宋体" w:hAnsi="Times New Roman" w:cs="Times New Roman"/>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r>
        <w:rPr>
          <w:rFonts w:ascii="Times New Roman" w:eastAsia="宋体" w:hAnsi="Times New Roman" w:cs="Times New Roman"/>
          <w:sz w:val="24"/>
          <w:szCs w:val="24"/>
        </w:rPr>
        <w:t>基金份额。</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十、</w:t>
      </w:r>
      <w:r>
        <w:rPr>
          <w:rFonts w:ascii="Times New Roman" w:eastAsia="宋体" w:hAnsi="Times New Roman" w:cs="Times New Roman"/>
          <w:b/>
          <w:sz w:val="24"/>
          <w:szCs w:val="24"/>
        </w:rPr>
        <w:t>基金认购金额的限制</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基金管理人规定，本基金的认购金额起点为人民币</w:t>
      </w:r>
      <w:r>
        <w:rPr>
          <w:rFonts w:ascii="Times New Roman" w:eastAsia="宋体" w:hAnsi="Times New Roman" w:cs="Times New Roman"/>
          <w:sz w:val="24"/>
          <w:szCs w:val="24"/>
        </w:rPr>
        <w:t>10</w:t>
      </w:r>
      <w:r>
        <w:rPr>
          <w:rFonts w:ascii="Times New Roman" w:eastAsia="宋体" w:hAnsi="Times New Roman" w:cs="Times New Roman"/>
          <w:sz w:val="24"/>
          <w:szCs w:val="24"/>
        </w:rPr>
        <w:t>元（含认购费）。</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投资者通过销售机构认购本基金时，除需满足基金管理人最低认购金额限制外，当销售机构设定的最低金额高于上述金额限制时，投资者还应遵循相关销售机构的业务规定。</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基金管理人直销网点接受首次认购申请的最低金额为单笔人民币</w:t>
      </w:r>
      <w:r>
        <w:rPr>
          <w:rFonts w:ascii="Times New Roman" w:eastAsia="宋体" w:hAnsi="Times New Roman" w:cs="Times New Roman"/>
          <w:sz w:val="24"/>
          <w:szCs w:val="24"/>
        </w:rPr>
        <w:t>50,000</w:t>
      </w:r>
      <w:r>
        <w:rPr>
          <w:rFonts w:ascii="Times New Roman" w:eastAsia="宋体" w:hAnsi="Times New Roman" w:cs="Times New Roman"/>
          <w:sz w:val="24"/>
          <w:szCs w:val="24"/>
        </w:rPr>
        <w:t>元（含认购费），追加认购的最低金额为单笔人民币</w:t>
      </w:r>
      <w:r>
        <w:rPr>
          <w:rFonts w:ascii="Times New Roman" w:eastAsia="宋体" w:hAnsi="Times New Roman" w:cs="Times New Roman"/>
          <w:sz w:val="24"/>
          <w:szCs w:val="24"/>
        </w:rPr>
        <w:t>20,000</w:t>
      </w:r>
      <w:r>
        <w:rPr>
          <w:rFonts w:ascii="Times New Roman" w:eastAsia="宋体" w:hAnsi="Times New Roman" w:cs="Times New Roman"/>
          <w:sz w:val="24"/>
          <w:szCs w:val="24"/>
        </w:rPr>
        <w:t>元（含认购费）。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w:t>
      </w:r>
      <w:r>
        <w:rPr>
          <w:rFonts w:ascii="Times New Roman" w:eastAsia="宋体" w:hAnsi="Times New Roman" w:cs="Times New Roman"/>
          <w:sz w:val="24"/>
          <w:szCs w:val="24"/>
        </w:rPr>
        <w:t>10</w:t>
      </w:r>
      <w:r>
        <w:rPr>
          <w:rFonts w:ascii="Times New Roman" w:eastAsia="宋体" w:hAnsi="Times New Roman" w:cs="Times New Roman"/>
          <w:sz w:val="24"/>
          <w:szCs w:val="24"/>
        </w:rPr>
        <w:t>元（含认购费），追加认购的单笔最低认购金额为人民币</w:t>
      </w:r>
      <w:r>
        <w:rPr>
          <w:rFonts w:ascii="Times New Roman" w:eastAsia="宋体" w:hAnsi="Times New Roman" w:cs="Times New Roman"/>
          <w:sz w:val="24"/>
          <w:szCs w:val="24"/>
        </w:rPr>
        <w:t>10</w:t>
      </w:r>
      <w:r>
        <w:rPr>
          <w:rFonts w:ascii="Times New Roman" w:eastAsia="宋体" w:hAnsi="Times New Roman" w:cs="Times New Roman"/>
          <w:sz w:val="24"/>
          <w:szCs w:val="24"/>
        </w:rPr>
        <w:t>元（含认购费）。</w:t>
      </w:r>
    </w:p>
    <w:p w:rsidR="0068684E" w:rsidRDefault="000021E4">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十</w:t>
      </w:r>
      <w:r>
        <w:rPr>
          <w:rFonts w:ascii="Times New Roman" w:eastAsia="宋体" w:hAnsi="Times New Roman" w:cs="Times New Roman"/>
          <w:b/>
          <w:sz w:val="24"/>
          <w:szCs w:val="24"/>
        </w:rPr>
        <w:t>一</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基金份额的认购和持有限额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如本基金单个投资人累计认购的基金份额数达到或者超过基金总份额的</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，基金管理人可以采取比例确认等方式对该投资人的认购申请进行限制。基金管理人接受某笔或者某些认购申请有可能导致投资者变相规避前述</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比例要求的，基金管理人有权拒绝该等全部或者部分认购申请。投资人认购的基金份额数以基金合同生效后登记机构的确认为准。</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基金管理人可以对每个账户的认购和持有基金份额的限制进行调整，具体限制请参见相关公告。</w:t>
      </w:r>
    </w:p>
    <w:p w:rsidR="0068684E" w:rsidRDefault="0068684E">
      <w:pPr>
        <w:spacing w:line="360" w:lineRule="auto"/>
        <w:ind w:firstLineChars="200" w:firstLine="480"/>
        <w:rPr>
          <w:rFonts w:ascii="Times New Roman" w:eastAsia="宋体" w:hAnsi="Times New Roman" w:cs="Times New Roman"/>
          <w:bCs/>
          <w:sz w:val="24"/>
          <w:szCs w:val="24"/>
        </w:rPr>
      </w:pPr>
    </w:p>
    <w:p w:rsidR="0068684E" w:rsidRDefault="0068684E">
      <w:pPr>
        <w:ind w:firstLineChars="200" w:firstLine="360"/>
        <w:rPr>
          <w:rFonts w:ascii="Times New Roman" w:eastAsia="宋体" w:hAnsi="Times New Roman" w:cs="Times New Roman"/>
          <w:sz w:val="18"/>
          <w:szCs w:val="18"/>
        </w:rPr>
        <w:sectPr w:rsidR="0068684E">
          <w:footerReference w:type="default" r:id="rId17"/>
          <w:pgSz w:w="11906" w:h="16838"/>
          <w:pgMar w:top="1440" w:right="1826" w:bottom="1440" w:left="1622" w:header="851" w:footer="992" w:gutter="0"/>
          <w:pgNumType w:start="1"/>
          <w:cols w:space="425"/>
          <w:docGrid w:type="lines" w:linePitch="312"/>
        </w:sectPr>
      </w:pP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81" w:name="_Toc208913381"/>
      <w:bookmarkStart w:id="82" w:name="_Toc16634"/>
      <w:r>
        <w:rPr>
          <w:rFonts w:ascii="Times New Roman" w:eastAsia="宋体" w:hAnsi="Times New Roman" w:cs="Times New Roman" w:hint="eastAsia"/>
          <w:b/>
          <w:kern w:val="0"/>
          <w:sz w:val="32"/>
          <w:szCs w:val="20"/>
        </w:rPr>
        <w:lastRenderedPageBreak/>
        <w:t>第七部分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w:t>
      </w:r>
      <w:r>
        <w:rPr>
          <w:rFonts w:ascii="Times New Roman" w:eastAsia="宋体" w:hAnsi="Times New Roman" w:cs="Times New Roman"/>
          <w:b/>
          <w:kern w:val="0"/>
          <w:sz w:val="32"/>
          <w:szCs w:val="20"/>
        </w:rPr>
        <w:t>合同的生效</w:t>
      </w:r>
      <w:bookmarkEnd w:id="81"/>
      <w:bookmarkEnd w:id="82"/>
    </w:p>
    <w:p w:rsidR="0068684E" w:rsidRDefault="000021E4">
      <w:pPr>
        <w:spacing w:line="360" w:lineRule="auto"/>
        <w:ind w:firstLineChars="200" w:firstLine="482"/>
        <w:rPr>
          <w:rFonts w:ascii="Times New Roman" w:eastAsia="宋体" w:hAnsi="Times New Roman" w:cs="Times New Roman"/>
          <w:b/>
          <w:bCs/>
          <w:sz w:val="24"/>
          <w:szCs w:val="24"/>
        </w:rPr>
      </w:pPr>
      <w:bookmarkStart w:id="83" w:name="_Hlk68182508"/>
      <w:r>
        <w:rPr>
          <w:rFonts w:ascii="宋体" w:eastAsia="宋体" w:hAnsi="宋体" w:cs="Times New Roman"/>
          <w:b/>
          <w:bCs/>
          <w:sz w:val="24"/>
          <w:szCs w:val="24"/>
        </w:rPr>
        <w:t>一、基金备案的条件</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本基金自基金份额发售之日起3个月内，在基金募集份额总额不少于2亿份</w:t>
      </w:r>
      <w:r>
        <w:rPr>
          <w:rFonts w:ascii="宋体" w:eastAsia="宋体" w:hAnsi="宋体" w:cs="Times New Roman"/>
          <w:bCs/>
          <w:sz w:val="24"/>
          <w:szCs w:val="24"/>
        </w:rPr>
        <w:t>，</w:t>
      </w:r>
      <w:r>
        <w:rPr>
          <w:rFonts w:ascii="宋体" w:eastAsia="宋体" w:hAnsi="宋体" w:cs="Times New Roman" w:hint="eastAsia"/>
          <w:bCs/>
          <w:sz w:val="24"/>
          <w:szCs w:val="24"/>
        </w:rPr>
        <w:t>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二、基金合同不能生效时募集资金的处理方式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如果募集期限届满，未满足</w:t>
      </w:r>
      <w:r>
        <w:rPr>
          <w:rFonts w:ascii="宋体" w:eastAsia="宋体" w:hAnsi="宋体" w:cs="Times New Roman" w:hint="eastAsia"/>
          <w:bCs/>
          <w:sz w:val="24"/>
          <w:szCs w:val="24"/>
        </w:rPr>
        <w:t>基金备案</w:t>
      </w:r>
      <w:r>
        <w:rPr>
          <w:rFonts w:ascii="宋体" w:eastAsia="宋体" w:hAnsi="宋体" w:cs="Times New Roman"/>
          <w:bCs/>
          <w:sz w:val="24"/>
          <w:szCs w:val="24"/>
        </w:rPr>
        <w:t>条件，基金管理人应当承担下列责任：</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、以其固有财产承担因募集行为而产生的债务和费用；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、在基金募集期限届满后</w:t>
      </w:r>
      <w:r>
        <w:rPr>
          <w:rFonts w:ascii="Times New Roman" w:eastAsia="宋体" w:hAnsi="Times New Roman" w:cs="Times New Roman" w:hint="eastAsia"/>
          <w:bCs/>
          <w:sz w:val="24"/>
          <w:szCs w:val="24"/>
        </w:rPr>
        <w:t>30</w:t>
      </w:r>
      <w:r>
        <w:rPr>
          <w:rFonts w:ascii="宋体" w:eastAsia="宋体" w:hAnsi="宋体" w:cs="Times New Roman"/>
          <w:bCs/>
          <w:sz w:val="24"/>
          <w:szCs w:val="24"/>
        </w:rPr>
        <w:t>日内返还投资者已</w:t>
      </w:r>
      <w:r>
        <w:rPr>
          <w:rFonts w:ascii="宋体" w:eastAsia="宋体" w:hAnsi="宋体" w:cs="Times New Roman" w:hint="eastAsia"/>
          <w:bCs/>
          <w:sz w:val="24"/>
          <w:szCs w:val="24"/>
        </w:rPr>
        <w:t>交纳</w:t>
      </w:r>
      <w:r>
        <w:rPr>
          <w:rFonts w:ascii="宋体" w:eastAsia="宋体" w:hAnsi="宋体" w:cs="Times New Roman"/>
          <w:bCs/>
          <w:sz w:val="24"/>
          <w:szCs w:val="24"/>
        </w:rPr>
        <w:t>的款项，并加计银行同期</w:t>
      </w:r>
      <w:r>
        <w:rPr>
          <w:rFonts w:ascii="宋体" w:eastAsia="宋体" w:hAnsi="宋体" w:cs="Times New Roman" w:hint="eastAsia"/>
          <w:bCs/>
          <w:sz w:val="24"/>
          <w:szCs w:val="24"/>
        </w:rPr>
        <w:t>活期</w:t>
      </w:r>
      <w:r>
        <w:rPr>
          <w:rFonts w:ascii="宋体" w:eastAsia="宋体" w:hAnsi="宋体" w:cs="Times New Roman"/>
          <w:bCs/>
          <w:sz w:val="24"/>
          <w:szCs w:val="24"/>
        </w:rPr>
        <w:t>存款利息</w:t>
      </w:r>
      <w:r>
        <w:rPr>
          <w:rFonts w:ascii="宋体" w:eastAsia="宋体" w:hAnsi="宋体"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、如基金募集失败，基金管理人、基金托管人及</w:t>
      </w:r>
      <w:r>
        <w:rPr>
          <w:rFonts w:ascii="宋体" w:eastAsia="宋体" w:hAnsi="宋体" w:cs="Times New Roman" w:hint="eastAsia"/>
          <w:bCs/>
          <w:sz w:val="24"/>
          <w:szCs w:val="24"/>
        </w:rPr>
        <w:t>销售</w:t>
      </w:r>
      <w:r>
        <w:rPr>
          <w:rFonts w:ascii="宋体" w:eastAsia="宋体" w:hAnsi="宋体" w:cs="Times New Roman"/>
          <w:bCs/>
          <w:sz w:val="24"/>
          <w:szCs w:val="24"/>
        </w:rPr>
        <w:t>机构不得请求报酬。基金管理人、基金托管人和</w:t>
      </w:r>
      <w:r>
        <w:rPr>
          <w:rFonts w:ascii="宋体" w:eastAsia="宋体" w:hAnsi="宋体" w:cs="Times New Roman" w:hint="eastAsia"/>
          <w:bCs/>
          <w:sz w:val="24"/>
          <w:szCs w:val="24"/>
        </w:rPr>
        <w:t>销售</w:t>
      </w:r>
      <w:r>
        <w:rPr>
          <w:rFonts w:ascii="宋体" w:eastAsia="宋体" w:hAnsi="宋体" w:cs="Times New Roman"/>
          <w:bCs/>
          <w:sz w:val="24"/>
          <w:szCs w:val="24"/>
        </w:rPr>
        <w:t>机构为基金募集支付之一切费用应由各方各自承担。</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三、基金存续期内的基金份额持有人数量和资产规模</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bCs/>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bCs/>
          <w:sz w:val="24"/>
          <w:szCs w:val="24"/>
        </w:rPr>
        <w:t>法律法规</w:t>
      </w:r>
      <w:r>
        <w:rPr>
          <w:rFonts w:ascii="宋体" w:eastAsia="宋体" w:hAnsi="宋体" w:cs="Times New Roman" w:hint="eastAsia"/>
          <w:bCs/>
          <w:sz w:val="24"/>
          <w:szCs w:val="24"/>
        </w:rPr>
        <w:t>或中国证监会</w:t>
      </w:r>
      <w:r>
        <w:rPr>
          <w:rFonts w:ascii="宋体" w:eastAsia="宋体" w:hAnsi="宋体" w:cs="Times New Roman"/>
          <w:bCs/>
          <w:sz w:val="24"/>
          <w:szCs w:val="24"/>
        </w:rPr>
        <w:t>另有规定时，从其规定。</w:t>
      </w:r>
    </w:p>
    <w:p w:rsidR="0068684E" w:rsidRDefault="0068684E">
      <w:pPr>
        <w:spacing w:line="360" w:lineRule="auto"/>
        <w:ind w:firstLineChars="200" w:firstLine="480"/>
        <w:rPr>
          <w:rFonts w:ascii="Times New Roman" w:eastAsia="宋体" w:hAnsi="Times New Roman" w:cs="Times New Roman"/>
          <w:bCs/>
          <w:sz w:val="24"/>
          <w:szCs w:val="24"/>
        </w:rPr>
      </w:pPr>
    </w:p>
    <w:bookmarkEnd w:id="83"/>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bCs/>
          <w:kern w:val="44"/>
          <w:sz w:val="24"/>
          <w:szCs w:val="20"/>
        </w:rPr>
        <w:br w:type="page"/>
      </w:r>
      <w:bookmarkStart w:id="84" w:name="_Toc208913382"/>
      <w:bookmarkStart w:id="85" w:name="_Toc5925"/>
      <w:bookmarkStart w:id="86" w:name="_Hlk58005583"/>
      <w:r>
        <w:rPr>
          <w:rFonts w:ascii="Times New Roman" w:eastAsia="宋体" w:hAnsi="Times New Roman" w:cs="Times New Roman" w:hint="eastAsia"/>
          <w:b/>
          <w:kern w:val="44"/>
          <w:sz w:val="32"/>
          <w:szCs w:val="20"/>
        </w:rPr>
        <w:lastRenderedPageBreak/>
        <w:t>第八部分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基金份额的申购与赎回</w:t>
      </w:r>
      <w:bookmarkEnd w:id="84"/>
      <w:bookmarkEnd w:id="85"/>
    </w:p>
    <w:p w:rsidR="0068684E" w:rsidRDefault="000021E4">
      <w:p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一、基金的运作方式</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契约型开放式</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每个开放日开放申购，本基金对每份基金份额设置3个月的最短持有期，即：自基金合同生效日（对认购份额而言）或基金份额申购或转换转入确认日（对申购或转换转入份额而言）起至该日3个月后的月度对日（含当日）的期间内，投资者不能提出赎回或转换转出申请；该日3个月后的月度对日（若不存在该对应日期的，则取该月最后一日）的下一个工作日起（含当日），投资者方可申请办理赎回或转换转出业务。</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二、申购和赎回场所</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bCs/>
          <w:sz w:val="24"/>
          <w:szCs w:val="24"/>
        </w:rPr>
        <w:t>本基金的申购与赎回将通过销售机构进行。具体的销售</w:t>
      </w:r>
      <w:r>
        <w:rPr>
          <w:rFonts w:ascii="宋体" w:eastAsia="宋体" w:hAnsi="宋体" w:cs="Times New Roman" w:hint="eastAsia"/>
          <w:bCs/>
          <w:sz w:val="24"/>
          <w:szCs w:val="24"/>
        </w:rPr>
        <w:t>机构</w:t>
      </w:r>
      <w:r>
        <w:rPr>
          <w:rFonts w:ascii="宋体" w:eastAsia="宋体" w:hAnsi="宋体" w:cs="Times New Roman"/>
          <w:bCs/>
          <w:sz w:val="24"/>
          <w:szCs w:val="24"/>
        </w:rPr>
        <w:t>将由基金管理人在招募说明书</w:t>
      </w:r>
      <w:r>
        <w:rPr>
          <w:rFonts w:ascii="宋体" w:eastAsia="宋体" w:hAnsi="宋体" w:cs="Times New Roman" w:hint="eastAsia"/>
          <w:bCs/>
          <w:sz w:val="24"/>
          <w:szCs w:val="24"/>
        </w:rPr>
        <w:t>或其他相关公告</w:t>
      </w:r>
      <w:r>
        <w:rPr>
          <w:rFonts w:ascii="宋体" w:eastAsia="宋体" w:hAnsi="宋体" w:cs="Times New Roman"/>
          <w:bCs/>
          <w:sz w:val="24"/>
          <w:szCs w:val="24"/>
        </w:rPr>
        <w:t>中列明</w:t>
      </w:r>
      <w:r>
        <w:rPr>
          <w:rFonts w:ascii="宋体" w:eastAsia="宋体" w:hAnsi="宋体" w:cs="Times New Roman" w:hint="eastAsia"/>
          <w:bCs/>
          <w:sz w:val="24"/>
          <w:szCs w:val="24"/>
        </w:rPr>
        <w:t>，</w:t>
      </w:r>
      <w:r>
        <w:rPr>
          <w:rFonts w:ascii="宋体" w:eastAsia="宋体" w:hAnsi="宋体" w:cs="Times New Roman"/>
          <w:bCs/>
          <w:sz w:val="24"/>
          <w:szCs w:val="24"/>
        </w:rPr>
        <w:t>或在</w:t>
      </w:r>
      <w:r>
        <w:rPr>
          <w:rFonts w:ascii="宋体" w:eastAsia="宋体" w:hAnsi="宋体" w:cs="Times New Roman" w:hint="eastAsia"/>
          <w:bCs/>
          <w:sz w:val="24"/>
          <w:szCs w:val="24"/>
        </w:rPr>
        <w:t>基金管理人网站公示</w:t>
      </w:r>
      <w:r>
        <w:rPr>
          <w:rFonts w:ascii="宋体" w:eastAsia="宋体" w:hAnsi="宋体" w:cs="Times New Roman"/>
          <w:bCs/>
          <w:sz w:val="24"/>
          <w:szCs w:val="24"/>
        </w:rPr>
        <w:t>。基金管理人可根据情况变更或增减销售机构，</w:t>
      </w:r>
      <w:r>
        <w:rPr>
          <w:rFonts w:ascii="宋体" w:eastAsia="宋体" w:hAnsi="宋体" w:cs="Times New Roman" w:hint="eastAsia"/>
          <w:bCs/>
          <w:sz w:val="24"/>
          <w:szCs w:val="24"/>
        </w:rPr>
        <w:t>并在基金管理人网站公示</w:t>
      </w:r>
      <w:r>
        <w:rPr>
          <w:rFonts w:ascii="宋体" w:eastAsia="宋体" w:hAnsi="宋体" w:cs="Times New Roman"/>
          <w:bCs/>
          <w:sz w:val="24"/>
          <w:szCs w:val="24"/>
        </w:rPr>
        <w:t>。基金投资者应当</w:t>
      </w:r>
      <w:r>
        <w:rPr>
          <w:rFonts w:ascii="宋体" w:eastAsia="宋体" w:hAnsi="宋体" w:cs="Times New Roman" w:hint="eastAsia"/>
          <w:bCs/>
          <w:sz w:val="24"/>
          <w:szCs w:val="24"/>
        </w:rPr>
        <w:t>在</w:t>
      </w:r>
      <w:r>
        <w:rPr>
          <w:rFonts w:ascii="宋体" w:eastAsia="宋体" w:hAnsi="宋体" w:cs="Times New Roman"/>
          <w:bCs/>
          <w:sz w:val="24"/>
          <w:szCs w:val="24"/>
        </w:rPr>
        <w:t>销售机构办理基金销售业务的营业场所或按销售机构提供的其他方式办理基金份额的申购与赎回。</w:t>
      </w:r>
    </w:p>
    <w:p w:rsidR="0068684E" w:rsidRDefault="000021E4">
      <w:pPr>
        <w:spacing w:line="360" w:lineRule="auto"/>
        <w:ind w:firstLineChars="200" w:firstLine="480"/>
        <w:rPr>
          <w:rFonts w:ascii="Times New Roman" w:eastAsia="宋体" w:hAnsi="Times New Roman" w:cs="Times New Roman"/>
          <w:bCs/>
          <w:szCs w:val="21"/>
        </w:rPr>
      </w:pPr>
      <w:r>
        <w:rPr>
          <w:rFonts w:ascii="宋体" w:eastAsia="宋体" w:hAnsi="宋体" w:cs="Times New Roman" w:hint="eastAsia"/>
          <w:bCs/>
          <w:sz w:val="24"/>
          <w:szCs w:val="24"/>
        </w:rPr>
        <w:t>本基金不同类别份额的申购、赎回的销售机构可能不同，具体以销售机构规定为准。</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三、申购和赎回的开放日及时间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开放日及开放时间</w:t>
      </w:r>
    </w:p>
    <w:p w:rsidR="0068684E" w:rsidRDefault="000021E4">
      <w:pPr>
        <w:spacing w:line="360" w:lineRule="auto"/>
        <w:ind w:firstLineChars="200" w:firstLine="480"/>
        <w:rPr>
          <w:rFonts w:ascii="宋体" w:eastAsia="宋体" w:hAnsi="宋体" w:cs="Times New Roman"/>
          <w:bCs/>
          <w:sz w:val="24"/>
          <w:szCs w:val="24"/>
        </w:rPr>
      </w:pPr>
      <w:bookmarkStart w:id="87" w:name="OLE_LINK80"/>
      <w:r>
        <w:rPr>
          <w:rFonts w:ascii="宋体" w:eastAsia="宋体" w:hAnsi="宋体" w:cs="Times New Roman" w:hint="eastAsia"/>
          <w:bCs/>
          <w:sz w:val="24"/>
          <w:szCs w:val="24"/>
        </w:rPr>
        <w:t>投资者在开放日办理基金份额的申购和赎回，具体办理时间为上海证券交易所、深圳证券交易所的正常交易日的交易时间（若本基金参与港股通交易且该工作日为非港股通交易日时，则本基金可以不开放申购和赎回等业务，具体以届时公告为准），但基金管理人根据法律法规、中国证监会的要求或基金合同的规定公告暂停申购、赎回时除外。开放日的具体业务办理时间在相关公告中载明。</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合同生效后，若出现不可抗力，或者新的证券交易市场、证券交易所交易时间变更、港股通交易规则变更、其他特殊情况或根据业务需要，基金管理人将视情况对前述开放日及开放时间进行相应的调整，但应在实施日前依照《信息披露办法》的有关规定在规定媒介上公告。</w:t>
      </w:r>
      <w:bookmarkEnd w:id="87"/>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2</w:t>
      </w:r>
      <w:r>
        <w:rPr>
          <w:rFonts w:ascii="宋体" w:eastAsia="宋体" w:hAnsi="宋体" w:cs="Times New Roman" w:hint="eastAsia"/>
          <w:bCs/>
          <w:sz w:val="24"/>
          <w:szCs w:val="24"/>
        </w:rPr>
        <w:t>、</w:t>
      </w:r>
      <w:r>
        <w:rPr>
          <w:rFonts w:ascii="宋体" w:eastAsia="宋体" w:hAnsi="宋体" w:cs="Times New Roman"/>
          <w:bCs/>
          <w:sz w:val="24"/>
          <w:szCs w:val="24"/>
        </w:rPr>
        <w:t>申购、赎回开始日及业务办理时间</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w:t>
      </w:r>
      <w:r>
        <w:rPr>
          <w:rFonts w:ascii="宋体" w:eastAsia="宋体" w:hAnsi="宋体" w:cs="Times New Roman" w:hint="eastAsia"/>
          <w:bCs/>
          <w:sz w:val="24"/>
          <w:szCs w:val="24"/>
        </w:rPr>
        <w:t>可根据实际情况依法决定本基金开始办理申购的具体日期</w:t>
      </w:r>
      <w:r>
        <w:rPr>
          <w:rFonts w:ascii="宋体" w:eastAsia="宋体" w:hAnsi="宋体" w:cs="Times New Roman"/>
          <w:bCs/>
          <w:sz w:val="24"/>
          <w:szCs w:val="24"/>
        </w:rPr>
        <w:t>，具体业务办理时间在</w:t>
      </w:r>
      <w:r>
        <w:rPr>
          <w:rFonts w:ascii="宋体" w:eastAsia="宋体" w:hAnsi="宋体" w:cs="Times New Roman" w:hint="eastAsia"/>
          <w:bCs/>
          <w:sz w:val="24"/>
          <w:szCs w:val="24"/>
        </w:rPr>
        <w:t>相关</w:t>
      </w:r>
      <w:r>
        <w:rPr>
          <w:rFonts w:ascii="宋体" w:eastAsia="宋体" w:hAnsi="宋体" w:cs="Times New Roman"/>
          <w:bCs/>
          <w:sz w:val="24"/>
          <w:szCs w:val="24"/>
        </w:rPr>
        <w:t>公告中规定。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自认购份额的最短持有期到期日（即自基金合同生效之日起的3个月后的月度对日，若不存在该对应日期的，则取该月最后一日）的下一个工作日起（含当日），基金管理人开始办理赎回，具体业务办理时间在相关公告中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在确定申购开始与赎回开始时间后，基金管理人应在申购、赎回开放日前依照《信息披露办法》的有关规定在规定媒介上公告申购与赎回的开始时间。</w:t>
      </w:r>
    </w:p>
    <w:p w:rsidR="0068684E" w:rsidRDefault="000021E4">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基金管理人不得在基金合同约定之外的日期或者时间办理基金份额的申购</w:t>
      </w:r>
      <w:r>
        <w:rPr>
          <w:rFonts w:ascii="宋体" w:eastAsia="宋体" w:hAnsi="宋体" w:cs="Times New Roman" w:hint="eastAsia"/>
          <w:bCs/>
          <w:sz w:val="24"/>
          <w:szCs w:val="24"/>
        </w:rPr>
        <w:t>、</w:t>
      </w:r>
      <w:r>
        <w:rPr>
          <w:rFonts w:ascii="宋体" w:eastAsia="宋体" w:hAnsi="宋体" w:cs="Times New Roman"/>
          <w:bCs/>
          <w:sz w:val="24"/>
          <w:szCs w:val="24"/>
        </w:rPr>
        <w:t>赎回或者转换。投资者在基金合同约定之外的日期和时间提出申购、赎回或转换申请</w:t>
      </w:r>
      <w:r>
        <w:rPr>
          <w:rFonts w:ascii="宋体" w:eastAsia="宋体" w:hAnsi="宋体" w:cs="Times New Roman" w:hint="eastAsia"/>
          <w:bCs/>
          <w:sz w:val="24"/>
          <w:szCs w:val="24"/>
        </w:rPr>
        <w:t>且登记机构确认接受</w:t>
      </w:r>
      <w:r>
        <w:rPr>
          <w:rFonts w:ascii="宋体" w:eastAsia="宋体" w:hAnsi="宋体" w:cs="Times New Roman"/>
          <w:bCs/>
          <w:sz w:val="24"/>
          <w:szCs w:val="24"/>
        </w:rPr>
        <w:t>的，其基金份额申购、赎回价格为下一开放日</w:t>
      </w:r>
      <w:r>
        <w:rPr>
          <w:rFonts w:ascii="宋体" w:eastAsia="宋体" w:hAnsi="宋体" w:cs="Times New Roman" w:hint="eastAsia"/>
          <w:bCs/>
          <w:sz w:val="24"/>
          <w:szCs w:val="24"/>
        </w:rPr>
        <w:t>相应类别的</w:t>
      </w:r>
      <w:r>
        <w:rPr>
          <w:rFonts w:ascii="宋体" w:eastAsia="宋体" w:hAnsi="宋体" w:cs="Times New Roman"/>
          <w:bCs/>
          <w:sz w:val="24"/>
          <w:szCs w:val="24"/>
        </w:rPr>
        <w:t>基金份额申购、赎回的价格。</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四、申购与赎回的原则</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Times New Roman" w:eastAsia="宋体" w:hAnsi="Times New Roman" w:cs="Times New Roman" w:hint="eastAsia"/>
          <w:bCs/>
          <w:sz w:val="24"/>
          <w:szCs w:val="24"/>
        </w:rPr>
        <w:t>“</w:t>
      </w:r>
      <w:r>
        <w:rPr>
          <w:rFonts w:ascii="宋体" w:eastAsia="宋体" w:hAnsi="宋体" w:cs="Times New Roman"/>
          <w:bCs/>
          <w:sz w:val="24"/>
          <w:szCs w:val="24"/>
        </w:rPr>
        <w:t>未知价</w:t>
      </w:r>
      <w:r>
        <w:rPr>
          <w:rFonts w:ascii="宋体" w:eastAsia="宋体" w:hAnsi="宋体" w:cs="Times New Roman" w:hint="eastAsia"/>
          <w:bCs/>
          <w:sz w:val="24"/>
          <w:szCs w:val="24"/>
        </w:rPr>
        <w:t>”</w:t>
      </w:r>
      <w:r>
        <w:rPr>
          <w:rFonts w:ascii="宋体" w:eastAsia="宋体" w:hAnsi="宋体" w:cs="Times New Roman"/>
          <w:bCs/>
          <w:sz w:val="24"/>
          <w:szCs w:val="24"/>
        </w:rPr>
        <w:t>原则，即申购、赎回价格以申请当日的各类基金份额净值为基准进行计算；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Times New Roman" w:eastAsia="宋体" w:hAnsi="Times New Roman" w:cs="Times New Roman" w:hint="eastAsia"/>
          <w:bCs/>
          <w:sz w:val="24"/>
          <w:szCs w:val="24"/>
        </w:rPr>
        <w:t>“</w:t>
      </w:r>
      <w:r>
        <w:rPr>
          <w:rFonts w:ascii="宋体" w:eastAsia="宋体" w:hAnsi="宋体" w:cs="Times New Roman"/>
          <w:bCs/>
          <w:sz w:val="24"/>
          <w:szCs w:val="24"/>
        </w:rPr>
        <w:t>金额申购、份额赎回</w:t>
      </w:r>
      <w:r>
        <w:rPr>
          <w:rFonts w:ascii="宋体" w:eastAsia="宋体" w:hAnsi="宋体" w:cs="Times New Roman" w:hint="eastAsia"/>
          <w:bCs/>
          <w:sz w:val="24"/>
          <w:szCs w:val="24"/>
        </w:rPr>
        <w:t>”</w:t>
      </w:r>
      <w:r>
        <w:rPr>
          <w:rFonts w:ascii="宋体" w:eastAsia="宋体" w:hAnsi="宋体" w:cs="Times New Roman"/>
          <w:bCs/>
          <w:sz w:val="24"/>
          <w:szCs w:val="24"/>
        </w:rPr>
        <w:t>原则，即申购以金额申请，赎回以份额申请；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hint="eastAsia"/>
          <w:bCs/>
          <w:sz w:val="24"/>
          <w:szCs w:val="24"/>
        </w:rPr>
        <w:t>、</w:t>
      </w:r>
      <w:r>
        <w:rPr>
          <w:rFonts w:ascii="宋体" w:eastAsia="宋体" w:hAnsi="宋体" w:cs="Times New Roman"/>
          <w:bCs/>
          <w:sz w:val="24"/>
          <w:szCs w:val="24"/>
        </w:rPr>
        <w:t>当日的申购与赎回申请可以在基金管理人规定的时间以内撤销</w:t>
      </w:r>
      <w:r>
        <w:rPr>
          <w:rFonts w:ascii="宋体" w:eastAsia="宋体" w:hAnsi="宋体" w:cs="Times New Roman" w:hint="eastAsia"/>
          <w:bCs/>
          <w:sz w:val="24"/>
          <w:szCs w:val="24"/>
        </w:rPr>
        <w:t>，在当日业务办理时间结束后不得撤销；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hint="eastAsia"/>
          <w:bCs/>
          <w:sz w:val="24"/>
          <w:szCs w:val="24"/>
        </w:rPr>
        <w:t>、</w:t>
      </w:r>
      <w:r>
        <w:rPr>
          <w:rFonts w:ascii="宋体" w:eastAsia="宋体" w:hAnsi="宋体" w:cs="Times New Roman"/>
          <w:bCs/>
          <w:sz w:val="24"/>
          <w:szCs w:val="24"/>
        </w:rPr>
        <w:t>赎回遵循</w:t>
      </w:r>
      <w:r>
        <w:rPr>
          <w:rFonts w:ascii="宋体" w:eastAsia="宋体" w:hAnsi="宋体" w:cs="Times New Roman" w:hint="eastAsia"/>
          <w:bCs/>
          <w:sz w:val="24"/>
          <w:szCs w:val="24"/>
        </w:rPr>
        <w:t>“</w:t>
      </w:r>
      <w:r>
        <w:rPr>
          <w:rFonts w:ascii="宋体" w:eastAsia="宋体" w:hAnsi="宋体" w:cs="Times New Roman"/>
          <w:bCs/>
          <w:sz w:val="24"/>
          <w:szCs w:val="24"/>
        </w:rPr>
        <w:t>先进先出</w:t>
      </w:r>
      <w:r>
        <w:rPr>
          <w:rFonts w:ascii="宋体" w:eastAsia="宋体" w:hAnsi="宋体" w:cs="Times New Roman" w:hint="eastAsia"/>
          <w:bCs/>
          <w:sz w:val="24"/>
          <w:szCs w:val="24"/>
        </w:rPr>
        <w:t>”</w:t>
      </w:r>
      <w:r>
        <w:rPr>
          <w:rFonts w:ascii="宋体" w:eastAsia="宋体" w:hAnsi="宋体" w:cs="Times New Roman"/>
          <w:bCs/>
          <w:sz w:val="24"/>
          <w:szCs w:val="24"/>
        </w:rPr>
        <w:t>原则，即按照投资者认购、申购的先后次序进行顺序赎回；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宋体" w:eastAsia="宋体" w:hAnsi="宋体" w:cs="Times New Roman" w:hint="eastAsia"/>
          <w:bCs/>
          <w:sz w:val="24"/>
          <w:szCs w:val="24"/>
        </w:rPr>
        <w:t>、投资者办理申购、赎回等业务时应提交的文件和办理手续、办理时间、处理规则等，在遵守基金合同和招募说明书规定的前提下，以各销售机构的具体规定为准；</w:t>
      </w:r>
    </w:p>
    <w:p w:rsidR="0068684E" w:rsidRDefault="000021E4">
      <w:pPr>
        <w:spacing w:line="360" w:lineRule="auto"/>
        <w:ind w:firstLineChars="200" w:firstLine="480"/>
        <w:rPr>
          <w:rFonts w:ascii="Times New Roman" w:eastAsia="宋体" w:hAnsi="Times New Roman" w:cs="Times New Roman"/>
          <w:b/>
          <w:sz w:val="24"/>
          <w:szCs w:val="24"/>
          <w:u w:val="single"/>
        </w:rPr>
      </w:pPr>
      <w:r>
        <w:rPr>
          <w:rFonts w:ascii="Times New Roman" w:eastAsia="宋体" w:hAnsi="Times New Roman" w:cs="Times New Roman"/>
          <w:bCs/>
          <w:sz w:val="24"/>
          <w:szCs w:val="24"/>
        </w:rPr>
        <w:t>6</w:t>
      </w:r>
      <w:r>
        <w:rPr>
          <w:rFonts w:ascii="宋体" w:eastAsia="宋体" w:hAnsi="宋体" w:cs="Times New Roman"/>
          <w:bCs/>
          <w:sz w:val="24"/>
          <w:szCs w:val="24"/>
        </w:rPr>
        <w:t>、办理申购、赎回业务时，应当遵循基金份额持有人利益优先原则</w:t>
      </w:r>
      <w:r>
        <w:rPr>
          <w:rFonts w:ascii="宋体" w:eastAsia="宋体" w:hAnsi="宋体" w:cs="Times New Roman" w:hint="eastAsia"/>
          <w:sz w:val="24"/>
          <w:szCs w:val="24"/>
        </w:rPr>
        <w:t>，确保投资者的合法权益不受损害并得到公平对待</w:t>
      </w:r>
      <w:r>
        <w:rPr>
          <w:rFonts w:ascii="宋体" w:eastAsia="宋体" w:hAnsi="宋体"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基金管理人可在</w:t>
      </w:r>
      <w:r>
        <w:rPr>
          <w:rFonts w:ascii="宋体" w:eastAsia="宋体" w:hAnsi="宋体" w:cs="Times New Roman" w:hint="eastAsia"/>
          <w:bCs/>
          <w:sz w:val="24"/>
          <w:szCs w:val="24"/>
        </w:rPr>
        <w:t>不违反</w:t>
      </w:r>
      <w:r>
        <w:rPr>
          <w:rFonts w:ascii="宋体" w:eastAsia="宋体" w:hAnsi="宋体" w:cs="Times New Roman"/>
          <w:bCs/>
          <w:sz w:val="24"/>
          <w:szCs w:val="24"/>
        </w:rPr>
        <w:t>法律法规的情况下，对上述原则进行调整。基金管理人必须在新规则开始实施前依照《信息披露办法》的有关规定在规定媒介上公告。</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五、申购与赎回的程序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申购和赎回的申请方式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lastRenderedPageBreak/>
        <w:t>投资者必须根据销售机构规定的程序，在开放日的具体业务办理时间内提出申购或赎回的申请。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宋体" w:eastAsia="宋体" w:hAnsi="宋体" w:cs="Times New Roman"/>
          <w:bCs/>
          <w:sz w:val="24"/>
          <w:szCs w:val="24"/>
        </w:rPr>
        <w:t>申购和赎回的款项支付</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投资者申购基金份额时，必须</w:t>
      </w:r>
      <w:r>
        <w:rPr>
          <w:rFonts w:ascii="宋体" w:eastAsia="宋体" w:hAnsi="宋体" w:cs="Times New Roman" w:hint="eastAsia"/>
          <w:bCs/>
          <w:sz w:val="24"/>
          <w:szCs w:val="24"/>
        </w:rPr>
        <w:t>在规定的时间内</w:t>
      </w:r>
      <w:r>
        <w:rPr>
          <w:rFonts w:ascii="宋体" w:eastAsia="宋体" w:hAnsi="宋体" w:cs="Times New Roman"/>
          <w:bCs/>
          <w:sz w:val="24"/>
          <w:szCs w:val="24"/>
        </w:rPr>
        <w:t>全额交付申购款项，</w:t>
      </w:r>
      <w:r>
        <w:rPr>
          <w:rFonts w:ascii="宋体" w:eastAsia="宋体" w:hAnsi="宋体" w:cs="Times New Roman" w:hint="eastAsia"/>
          <w:bCs/>
          <w:sz w:val="24"/>
          <w:szCs w:val="24"/>
        </w:rPr>
        <w:t>否则所提交的申购申请不成立。</w:t>
      </w:r>
      <w:r>
        <w:rPr>
          <w:rFonts w:ascii="宋体" w:eastAsia="宋体" w:hAnsi="宋体" w:cs="Times New Roman"/>
          <w:bCs/>
          <w:sz w:val="24"/>
          <w:szCs w:val="24"/>
        </w:rPr>
        <w:t>投资</w:t>
      </w:r>
      <w:r>
        <w:rPr>
          <w:rFonts w:ascii="宋体" w:eastAsia="宋体" w:hAnsi="宋体" w:cs="Times New Roman" w:hint="eastAsia"/>
          <w:bCs/>
          <w:sz w:val="24"/>
          <w:szCs w:val="24"/>
        </w:rPr>
        <w:t>者在规定的时间内全额</w:t>
      </w:r>
      <w:r>
        <w:rPr>
          <w:rFonts w:ascii="宋体" w:eastAsia="宋体" w:hAnsi="宋体" w:cs="Times New Roman"/>
          <w:bCs/>
          <w:sz w:val="24"/>
          <w:szCs w:val="24"/>
        </w:rPr>
        <w:t>交付</w:t>
      </w:r>
      <w:r>
        <w:rPr>
          <w:rFonts w:ascii="宋体" w:eastAsia="宋体" w:hAnsi="宋体" w:cs="Times New Roman" w:hint="eastAsia"/>
          <w:bCs/>
          <w:sz w:val="24"/>
          <w:szCs w:val="24"/>
        </w:rPr>
        <w:t>申购</w:t>
      </w:r>
      <w:r>
        <w:rPr>
          <w:rFonts w:ascii="宋体" w:eastAsia="宋体" w:hAnsi="宋体" w:cs="Times New Roman"/>
          <w:bCs/>
          <w:sz w:val="24"/>
          <w:szCs w:val="24"/>
        </w:rPr>
        <w:t>款项，申购成立；登记机构确认基金份额时，申购生效。</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基金份额持有人递交赎回申请，必须持有足够的基金份额余额，否则所提交的赎回申请不成立。对于尚未满足最短持有期要求的基金份额，基金份额持有人递交的赎回申请不成立。基金份额持有人在规定的时间内递交赎回申请，赎回成立；登记机构确认赎回时，赎回生效。</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投资者T日赎回申请生效后，基金管理人将在T＋10日（包括该日）内支付赎回款项。遇交易所或交易市场数据传输延迟、通讯系统故障、银行数据交换系统故障、港股通交易系统或港股通资金交收规则限制或其他非基金管理人及基金托管人所能控制的因素影响业务处理流程，则赎回款顺延至上述情形消除后划往投资者银行账户。在发生巨额赎回或基金合同载明的其他暂停赎回或延缓支付赎回款项的情形时，款项的支付办法参照基金合同有关条款处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基金管理人可以在法律法规和基金合同允许的范围内，对上述业务办理时间进行调整，基金管理人必须在调整实施前依照《信息披露办法》的有关规定在规定媒介上公告。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hint="eastAsia"/>
          <w:bCs/>
          <w:sz w:val="24"/>
          <w:szCs w:val="24"/>
        </w:rPr>
        <w:t>、</w:t>
      </w:r>
      <w:r>
        <w:rPr>
          <w:rFonts w:ascii="宋体" w:eastAsia="宋体" w:hAnsi="宋体" w:cs="Times New Roman"/>
          <w:bCs/>
          <w:sz w:val="24"/>
          <w:szCs w:val="24"/>
        </w:rPr>
        <w:t>申购和赎回申请的确认</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基金管理人应以交易时间结束前受理</w:t>
      </w:r>
      <w:r>
        <w:rPr>
          <w:rFonts w:ascii="宋体" w:eastAsia="宋体" w:hAnsi="宋体" w:cs="Times New Roman" w:hint="eastAsia"/>
          <w:bCs/>
          <w:sz w:val="24"/>
          <w:szCs w:val="24"/>
        </w:rPr>
        <w:t>有效</w:t>
      </w:r>
      <w:r>
        <w:rPr>
          <w:rFonts w:ascii="宋体" w:eastAsia="宋体" w:hAnsi="宋体" w:cs="Times New Roman"/>
          <w:bCs/>
          <w:sz w:val="24"/>
          <w:szCs w:val="24"/>
        </w:rPr>
        <w:t>申购和赎回申请的当天作为申购或赎回申请日</w:t>
      </w:r>
      <w:r>
        <w:rPr>
          <w:rFonts w:ascii="宋体" w:eastAsia="宋体" w:hAnsi="宋体" w:cs="Times New Roman" w:hint="eastAsia"/>
          <w:bCs/>
          <w:sz w:val="24"/>
          <w:szCs w:val="24"/>
        </w:rPr>
        <w:t>（</w:t>
      </w:r>
      <w:r>
        <w:rPr>
          <w:rFonts w:ascii="Times New Roman" w:eastAsia="宋体" w:hAnsi="Times New Roman" w:cs="Times New Roman"/>
          <w:bCs/>
          <w:sz w:val="24"/>
          <w:szCs w:val="24"/>
        </w:rPr>
        <w:t>T</w:t>
      </w:r>
      <w:r>
        <w:rPr>
          <w:rFonts w:ascii="宋体" w:eastAsia="宋体" w:hAnsi="宋体" w:cs="Times New Roman"/>
          <w:bCs/>
          <w:sz w:val="24"/>
          <w:szCs w:val="24"/>
        </w:rPr>
        <w:t>日</w:t>
      </w:r>
      <w:r>
        <w:rPr>
          <w:rFonts w:ascii="宋体" w:eastAsia="宋体" w:hAnsi="宋体" w:cs="Times New Roman" w:hint="eastAsia"/>
          <w:bCs/>
          <w:sz w:val="24"/>
          <w:szCs w:val="24"/>
        </w:rPr>
        <w:t>）</w:t>
      </w:r>
      <w:r>
        <w:rPr>
          <w:rFonts w:ascii="宋体" w:eastAsia="宋体" w:hAnsi="宋体" w:cs="Times New Roman"/>
          <w:bCs/>
          <w:sz w:val="24"/>
          <w:szCs w:val="24"/>
        </w:rPr>
        <w:t>，在正常情况下，本基金登记机构在</w:t>
      </w:r>
      <w:r>
        <w:rPr>
          <w:rFonts w:ascii="Times New Roman" w:eastAsia="宋体" w:hAnsi="Times New Roman" w:cs="Times New Roman"/>
          <w:bCs/>
          <w:sz w:val="24"/>
          <w:szCs w:val="24"/>
        </w:rPr>
        <w:t>T+3</w:t>
      </w:r>
      <w:r>
        <w:rPr>
          <w:rFonts w:ascii="宋体" w:eastAsia="宋体" w:hAnsi="宋体" w:cs="Times New Roman"/>
          <w:bCs/>
          <w:sz w:val="24"/>
          <w:szCs w:val="24"/>
        </w:rPr>
        <w:t>日内对该交易的有效性进行确认。</w:t>
      </w:r>
      <w:r>
        <w:rPr>
          <w:rFonts w:ascii="Times New Roman" w:eastAsia="宋体" w:hAnsi="Times New Roman" w:cs="Times New Roman"/>
          <w:bCs/>
          <w:sz w:val="24"/>
          <w:szCs w:val="24"/>
        </w:rPr>
        <w:t>T</w:t>
      </w:r>
      <w:r>
        <w:rPr>
          <w:rFonts w:ascii="宋体" w:eastAsia="宋体" w:hAnsi="宋体" w:cs="Times New Roman"/>
          <w:bCs/>
          <w:sz w:val="24"/>
          <w:szCs w:val="24"/>
        </w:rPr>
        <w:t>日提交的有效申请，投资者</w:t>
      </w:r>
      <w:r>
        <w:rPr>
          <w:rFonts w:ascii="宋体" w:eastAsia="宋体" w:hAnsi="宋体" w:cs="Times New Roman" w:hint="eastAsia"/>
          <w:bCs/>
          <w:sz w:val="24"/>
          <w:szCs w:val="24"/>
        </w:rPr>
        <w:t>应在</w:t>
      </w:r>
      <w:r>
        <w:rPr>
          <w:rFonts w:ascii="Times New Roman" w:eastAsia="宋体" w:hAnsi="Times New Roman" w:cs="Times New Roman"/>
          <w:bCs/>
          <w:sz w:val="24"/>
          <w:szCs w:val="24"/>
        </w:rPr>
        <w:t>T+4</w:t>
      </w:r>
      <w:r>
        <w:rPr>
          <w:rFonts w:ascii="宋体" w:eastAsia="宋体" w:hAnsi="宋体" w:cs="Times New Roman"/>
          <w:bCs/>
          <w:sz w:val="24"/>
          <w:szCs w:val="24"/>
        </w:rPr>
        <w:t>日后</w:t>
      </w:r>
      <w:r>
        <w:rPr>
          <w:rFonts w:ascii="宋体" w:eastAsia="宋体" w:hAnsi="宋体" w:cs="Times New Roman" w:hint="eastAsia"/>
          <w:bCs/>
          <w:sz w:val="24"/>
          <w:szCs w:val="24"/>
        </w:rPr>
        <w:t>（</w:t>
      </w:r>
      <w:r>
        <w:rPr>
          <w:rFonts w:ascii="宋体" w:eastAsia="宋体" w:hAnsi="宋体" w:cs="Times New Roman"/>
          <w:bCs/>
          <w:sz w:val="24"/>
          <w:szCs w:val="24"/>
        </w:rPr>
        <w:t>包括该日</w:t>
      </w:r>
      <w:r>
        <w:rPr>
          <w:rFonts w:ascii="宋体" w:eastAsia="宋体" w:hAnsi="宋体" w:cs="Times New Roman" w:hint="eastAsia"/>
          <w:bCs/>
          <w:sz w:val="24"/>
          <w:szCs w:val="24"/>
        </w:rPr>
        <w:t>）及时</w:t>
      </w:r>
      <w:r>
        <w:rPr>
          <w:rFonts w:ascii="宋体" w:eastAsia="宋体" w:hAnsi="宋体" w:cs="Times New Roman"/>
          <w:bCs/>
          <w:sz w:val="24"/>
          <w:szCs w:val="24"/>
        </w:rPr>
        <w:t>到销售</w:t>
      </w:r>
      <w:r>
        <w:rPr>
          <w:rFonts w:ascii="宋体" w:eastAsia="宋体" w:hAnsi="宋体" w:cs="Times New Roman" w:hint="eastAsia"/>
          <w:bCs/>
          <w:sz w:val="24"/>
          <w:szCs w:val="24"/>
        </w:rPr>
        <w:t>机构</w:t>
      </w:r>
      <w:r>
        <w:rPr>
          <w:rFonts w:ascii="宋体" w:eastAsia="宋体" w:hAnsi="宋体" w:cs="Times New Roman"/>
          <w:bCs/>
          <w:sz w:val="24"/>
          <w:szCs w:val="24"/>
        </w:rPr>
        <w:t>或以销售机构规定的其他方式查询申请的确认情况。若申购不</w:t>
      </w:r>
      <w:r>
        <w:rPr>
          <w:rFonts w:ascii="宋体" w:eastAsia="宋体" w:hAnsi="宋体" w:cs="Times New Roman" w:hint="eastAsia"/>
          <w:bCs/>
          <w:sz w:val="24"/>
          <w:szCs w:val="24"/>
        </w:rPr>
        <w:t>成立或无效</w:t>
      </w:r>
      <w:r>
        <w:rPr>
          <w:rFonts w:ascii="宋体" w:eastAsia="宋体" w:hAnsi="宋体" w:cs="Times New Roman"/>
          <w:bCs/>
          <w:sz w:val="24"/>
          <w:szCs w:val="24"/>
        </w:rPr>
        <w:t>，则申购款项</w:t>
      </w:r>
      <w:r>
        <w:rPr>
          <w:rFonts w:ascii="宋体" w:eastAsia="宋体" w:hAnsi="宋体" w:cs="Times New Roman" w:hint="eastAsia"/>
          <w:bCs/>
          <w:sz w:val="24"/>
          <w:szCs w:val="24"/>
        </w:rPr>
        <w:t>本金</w:t>
      </w:r>
      <w:r>
        <w:rPr>
          <w:rFonts w:ascii="宋体" w:eastAsia="宋体" w:hAnsi="宋体" w:cs="Times New Roman"/>
          <w:bCs/>
          <w:sz w:val="24"/>
          <w:szCs w:val="24"/>
        </w:rPr>
        <w:t>退还给投资</w:t>
      </w:r>
      <w:r>
        <w:rPr>
          <w:rFonts w:ascii="宋体" w:eastAsia="宋体" w:hAnsi="宋体" w:cs="Times New Roman" w:hint="eastAsia"/>
          <w:bCs/>
          <w:sz w:val="24"/>
          <w:szCs w:val="24"/>
        </w:rPr>
        <w:t>者，基金管理人及基金托管人不承担该退回款项产生的利息等损失。因投资者未及时进行查询而造成的后果由其自行承担</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w:t>
      </w:r>
      <w:r>
        <w:rPr>
          <w:rFonts w:ascii="宋体" w:eastAsia="宋体" w:hAnsi="宋体" w:cs="Times New Roman" w:hint="eastAsia"/>
          <w:bCs/>
          <w:sz w:val="24"/>
          <w:szCs w:val="24"/>
        </w:rPr>
        <w:lastRenderedPageBreak/>
        <w:t>法权利。因投资人怠于履行该项查询等各项义务，致使其相关权益受损的，基金管理人、基金托管人、基金销售机构不承担由此造成的损失或不利后果。</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基金管理人可以在法律法规允许的范围内对上述申购和赎回申请的确认时间进行调整，并在调整实施日前按照《信息披露办法》的有关规定在规定媒介上公告。</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六</w:t>
      </w:r>
      <w:r>
        <w:rPr>
          <w:rFonts w:ascii="Times New Roman" w:eastAsia="宋体" w:hAnsi="Times New Roman" w:cs="Times New Roman" w:hint="eastAsia"/>
          <w:b/>
          <w:sz w:val="24"/>
          <w:szCs w:val="24"/>
        </w:rPr>
        <w:t>、申购和赎回的数量限制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、基金管理人规定，本基金单笔最低申购金额为人民币</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元（含申购费），投资者通过销售机构申购本基金时，除需满足基金管理人最低申购金额限制外，当销售机构设定的最低金额高于上述金额限制时，投资者还应遵循相关销售机构的业务规定。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直销网点单个账户首次申购的最低金额为人民币</w:t>
      </w:r>
      <w:r>
        <w:rPr>
          <w:rFonts w:ascii="Times New Roman" w:eastAsia="宋体" w:hAnsi="Times New Roman" w:cs="Times New Roman"/>
          <w:bCs/>
          <w:sz w:val="24"/>
          <w:szCs w:val="24"/>
        </w:rPr>
        <w:t>50,000</w:t>
      </w:r>
      <w:r>
        <w:rPr>
          <w:rFonts w:ascii="Times New Roman" w:eastAsia="宋体" w:hAnsi="Times New Roman" w:cs="Times New Roman" w:hint="eastAsia"/>
          <w:bCs/>
          <w:sz w:val="24"/>
          <w:szCs w:val="24"/>
        </w:rPr>
        <w:t>元（含申购费），追加申购的最低金额为单笔人民币</w:t>
      </w:r>
      <w:r>
        <w:rPr>
          <w:rFonts w:ascii="Times New Roman" w:eastAsia="宋体" w:hAnsi="Times New Roman" w:cs="Times New Roman"/>
          <w:bCs/>
          <w:sz w:val="24"/>
          <w:szCs w:val="24"/>
        </w:rPr>
        <w:t>20,000</w:t>
      </w:r>
      <w:r>
        <w:rPr>
          <w:rFonts w:ascii="Times New Roman" w:eastAsia="宋体" w:hAnsi="Times New Roman" w:cs="Times New Roman" w:hint="eastAsia"/>
          <w:bCs/>
          <w:sz w:val="24"/>
          <w:szCs w:val="24"/>
        </w:rPr>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元（含申购费）。基金管理人可根据市场情况，调整本基金申购的最低金额。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投资者可多次申购，但单一投资者持有基金份额数不得达到或超过基金份额总数的</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（在基金运作过程中因基金份额赎回等情形导致被动达到或超过</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的除外）。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、基金份额持有人在销售机构赎回时，每次对本基金的赎回申请不得低于</w:t>
      </w:r>
      <w:r>
        <w:rPr>
          <w:rFonts w:ascii="Times New Roman" w:eastAsia="宋体" w:hAnsi="Times New Roman" w:cs="Times New Roman"/>
          <w:bCs/>
          <w:sz w:val="24"/>
          <w:szCs w:val="24"/>
        </w:rPr>
        <w:t>0.01</w:t>
      </w:r>
      <w:r>
        <w:rPr>
          <w:rFonts w:ascii="Times New Roman" w:eastAsia="宋体" w:hAnsi="Times New Roman" w:cs="Times New Roman" w:hint="eastAsia"/>
          <w:bCs/>
          <w:sz w:val="24"/>
          <w:szCs w:val="24"/>
        </w:rPr>
        <w:t>份基金份额。基金份额持有人赎回时或赎回后在销售机构（网点）保留的基金份额余额不足</w:t>
      </w:r>
      <w:r>
        <w:rPr>
          <w:rFonts w:ascii="Times New Roman" w:eastAsia="宋体" w:hAnsi="Times New Roman" w:cs="Times New Roman"/>
          <w:bCs/>
          <w:sz w:val="24"/>
          <w:szCs w:val="24"/>
        </w:rPr>
        <w:t>0.01</w:t>
      </w:r>
      <w:r>
        <w:rPr>
          <w:rFonts w:ascii="Times New Roman" w:eastAsia="宋体" w:hAnsi="Times New Roman" w:cs="Times New Roman" w:hint="eastAsia"/>
          <w:bCs/>
          <w:sz w:val="24"/>
          <w:szCs w:val="24"/>
        </w:rPr>
        <w:t>份的，在赎回时需一次全部申请赎回。但各销售机构对交易账户最低份额余额有其他规定的，以各销售机构的业务规定为准。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、基金管理人可以规定单个投资者累计持有的基金份额上限，具体规定请参见更新的招募说明书或相关公告。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、基金管理人可以规定单个投资者单日或单笔申购金额上限，具体规定请参见更新的招募说明书或相关公告。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5</w:t>
      </w:r>
      <w:r>
        <w:rPr>
          <w:rFonts w:ascii="Times New Roman" w:eastAsia="宋体" w:hAnsi="Times New Roman" w:cs="Times New Roman" w:hint="eastAsia"/>
          <w:bCs/>
          <w:sz w:val="24"/>
          <w:szCs w:val="24"/>
        </w:rPr>
        <w:t>、基金管理人有权规定本基金的总规模限额、单日申购金额限制、单日净申购比例上限，具体规定请参见更新的招募说明书或相关公告。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、基金管理人可在法律法规允许的情况下，调整上述规定申购金额和赎回份额的数量限制。基金管理人必须在调整实施前依照《信息披露办法》的有关规定在规定媒介上公告。</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七</w:t>
      </w:r>
      <w:r>
        <w:rPr>
          <w:rFonts w:ascii="Times New Roman" w:eastAsia="宋体" w:hAnsi="Times New Roman" w:cs="Times New Roman" w:hint="eastAsia"/>
          <w:b/>
          <w:sz w:val="24"/>
          <w:szCs w:val="24"/>
        </w:rPr>
        <w:t>、申购费用和赎回费用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、申购费率</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投资者申购本基金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类基金份额时，需交纳申购费用。投资者如果有多笔</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类基金份额的申购，适用费率按单笔</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类基金份额申购金额分别计算。</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类基金份额不收取申购费用。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本基金对通过直销中心申购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类基金份额的养老金客户与除此之外的其他投资者实施差别的申购费率。</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养老金客户指基本养老基金与依法成立的养老计划筹集的资金及其投资运营收益形成的补充养老基金等，具体包括：</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、全国社会保障基金；</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、可以投资基金的地方社会保障基金；</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、企业年金单一计划以及集合计划；</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hint="eastAsia"/>
          <w:sz w:val="24"/>
          <w:szCs w:val="24"/>
        </w:rPr>
        <w:t>、企业年金理事会委托的特定客户资产管理计划；</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e</w:t>
      </w:r>
      <w:r>
        <w:rPr>
          <w:rFonts w:ascii="Times New Roman" w:eastAsia="宋体" w:hAnsi="Times New Roman" w:cs="Times New Roman" w:hint="eastAsia"/>
          <w:sz w:val="24"/>
          <w:szCs w:val="24"/>
        </w:rPr>
        <w:t>、企业年金养老金产品；</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f</w:t>
      </w:r>
      <w:r>
        <w:rPr>
          <w:rFonts w:ascii="Times New Roman" w:eastAsia="宋体" w:hAnsi="Times New Roman" w:cs="Times New Roman" w:hint="eastAsia"/>
          <w:sz w:val="24"/>
          <w:szCs w:val="24"/>
        </w:rPr>
        <w:t>、个人税收递延型商业养老保险等产品；</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g</w:t>
      </w:r>
      <w:r>
        <w:rPr>
          <w:rFonts w:ascii="Times New Roman" w:eastAsia="宋体" w:hAnsi="Times New Roman" w:cs="Times New Roman" w:hint="eastAsia"/>
          <w:sz w:val="24"/>
          <w:szCs w:val="24"/>
        </w:rPr>
        <w:t>、职业年金计划。</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如将来出现经养老基金监管部门认可的新的养老基金类型，本公司将发布临时公告将其纳入养老金客户范围。非养老金客户指除养老金客户外的其他投资者。</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类基金份额的申购费率具体如下：</w:t>
      </w:r>
    </w:p>
    <w:tbl>
      <w:tblPr>
        <w:tblW w:w="8603" w:type="dxa"/>
        <w:jc w:val="center"/>
        <w:tblCellMar>
          <w:left w:w="0" w:type="dxa"/>
          <w:right w:w="0" w:type="dxa"/>
        </w:tblCellMar>
        <w:tblLook w:val="04A0" w:firstRow="1" w:lastRow="0" w:firstColumn="1" w:lastColumn="0" w:noHBand="0" w:noVBand="1"/>
      </w:tblPr>
      <w:tblGrid>
        <w:gridCol w:w="3256"/>
        <w:gridCol w:w="2693"/>
        <w:gridCol w:w="2654"/>
      </w:tblGrid>
      <w:tr w:rsidR="0068684E">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lastRenderedPageBreak/>
              <w:t>申购金额（</w:t>
            </w:r>
            <w:r>
              <w:rPr>
                <w:rFonts w:ascii="Times New Roman" w:eastAsia="宋体" w:hAnsi="Times New Roman" w:cs="Times New Roman"/>
                <w:b/>
                <w:bCs/>
                <w:kern w:val="0"/>
                <w:sz w:val="24"/>
                <w:szCs w:val="24"/>
              </w:rPr>
              <w:t>M</w:t>
            </w:r>
            <w:r>
              <w:rPr>
                <w:rFonts w:ascii="Times New Roman" w:eastAsia="宋体" w:hAnsi="Times New Roman" w:cs="Times New Roman" w:hint="eastAsia"/>
                <w:b/>
                <w:bCs/>
                <w:kern w:val="0"/>
                <w:sz w:val="24"/>
                <w:szCs w:val="24"/>
              </w:rPr>
              <w:t>，含申购费）</w:t>
            </w:r>
          </w:p>
        </w:tc>
        <w:tc>
          <w:tcPr>
            <w:tcW w:w="26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申购费率</w:t>
            </w:r>
          </w:p>
          <w:p w:rsidR="0068684E" w:rsidRDefault="000021E4">
            <w:pPr>
              <w:autoSpaceDE w:val="0"/>
              <w:autoSpaceDN w:val="0"/>
              <w:adjustRightInd w:val="0"/>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kern w:val="0"/>
                <w:sz w:val="24"/>
                <w:szCs w:val="24"/>
              </w:rPr>
              <w:t>（通过直销中心申购的养老金客户）</w:t>
            </w:r>
          </w:p>
        </w:tc>
        <w:tc>
          <w:tcPr>
            <w:tcW w:w="2654" w:type="dxa"/>
            <w:tcBorders>
              <w:top w:val="single" w:sz="4" w:space="0" w:color="auto"/>
              <w:left w:val="nil"/>
              <w:bottom w:val="single" w:sz="4" w:space="0" w:color="auto"/>
              <w:right w:val="single" w:sz="4" w:space="0" w:color="auto"/>
            </w:tcBorders>
            <w:vAlign w:val="center"/>
          </w:tcPr>
          <w:p w:rsidR="0068684E" w:rsidRDefault="000021E4">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申购费率</w:t>
            </w:r>
          </w:p>
          <w:p w:rsidR="0068684E" w:rsidRDefault="000021E4">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（其他投资者）</w:t>
            </w:r>
          </w:p>
        </w:tc>
      </w:tr>
      <w:tr w:rsidR="0068684E">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宋体" w:eastAsia="宋体" w:hAnsi="宋体" w:cs="Times New Roman"/>
                <w:kern w:val="0"/>
                <w:sz w:val="24"/>
                <w:szCs w:val="24"/>
              </w:rPr>
              <w:t>＜</w:t>
            </w:r>
            <w:r>
              <w:rPr>
                <w:rFonts w:ascii="Times New Roman" w:eastAsia="宋体" w:hAnsi="Times New Roman" w:cs="Times New Roman"/>
                <w:kern w:val="0"/>
                <w:sz w:val="24"/>
                <w:szCs w:val="24"/>
              </w:rPr>
              <w:t>100</w:t>
            </w:r>
            <w:r>
              <w:rPr>
                <w:rFonts w:ascii="宋体" w:eastAsia="宋体" w:hAnsi="宋体" w:cs="Times New Roman"/>
                <w:kern w:val="0"/>
                <w:sz w:val="24"/>
                <w:szCs w:val="24"/>
              </w:rPr>
              <w:t>万元</w:t>
            </w:r>
          </w:p>
        </w:tc>
        <w:tc>
          <w:tcPr>
            <w:tcW w:w="26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0.08%</w:t>
            </w:r>
          </w:p>
        </w:tc>
        <w:tc>
          <w:tcPr>
            <w:tcW w:w="2654" w:type="dxa"/>
            <w:tcBorders>
              <w:top w:val="single" w:sz="4" w:space="0" w:color="auto"/>
              <w:left w:val="nil"/>
              <w:bottom w:val="single" w:sz="4" w:space="0" w:color="auto"/>
              <w:right w:val="single" w:sz="4" w:space="0" w:color="auto"/>
            </w:tcBorders>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0.80%</w:t>
            </w:r>
          </w:p>
        </w:tc>
      </w:tr>
      <w:tr w:rsidR="0068684E">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100</w:t>
            </w:r>
            <w:r>
              <w:rPr>
                <w:rFonts w:ascii="宋体" w:eastAsia="宋体" w:hAnsi="宋体" w:cs="Times New Roman" w:hint="eastAsia"/>
                <w:kern w:val="0"/>
                <w:sz w:val="24"/>
                <w:szCs w:val="24"/>
              </w:rPr>
              <w:t>万元≤</w:t>
            </w:r>
            <w:r>
              <w:rPr>
                <w:rFonts w:ascii="Times New Roman" w:eastAsia="宋体" w:hAnsi="Times New Roman" w:cs="Times New Roman" w:hint="eastAsia"/>
                <w:kern w:val="0"/>
                <w:sz w:val="24"/>
                <w:szCs w:val="24"/>
              </w:rPr>
              <w:t>M</w:t>
            </w:r>
            <w:r>
              <w:rPr>
                <w:rFonts w:ascii="宋体" w:eastAsia="宋体" w:hAnsi="宋体" w:cs="Times New Roman" w:hint="eastAsia"/>
                <w:kern w:val="0"/>
                <w:sz w:val="24"/>
                <w:szCs w:val="24"/>
              </w:rPr>
              <w:t>＜</w:t>
            </w:r>
            <w:r>
              <w:rPr>
                <w:rFonts w:ascii="Times New Roman" w:eastAsia="宋体" w:hAnsi="Times New Roman" w:cs="Times New Roman" w:hint="eastAsia"/>
                <w:kern w:val="0"/>
                <w:sz w:val="24"/>
                <w:szCs w:val="24"/>
              </w:rPr>
              <w:t>500</w:t>
            </w:r>
            <w:r>
              <w:rPr>
                <w:rFonts w:ascii="宋体" w:eastAsia="宋体" w:hAnsi="宋体" w:cs="Times New Roman" w:hint="eastAsia"/>
                <w:kern w:val="0"/>
                <w:sz w:val="24"/>
                <w:szCs w:val="24"/>
              </w:rPr>
              <w:t>万元</w:t>
            </w:r>
          </w:p>
        </w:tc>
        <w:tc>
          <w:tcPr>
            <w:tcW w:w="26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0.04</w:t>
            </w:r>
            <w:r>
              <w:rPr>
                <w:rFonts w:ascii="Times New Roman" w:eastAsia="宋体" w:hAnsi="Times New Roman" w:cs="Times New Roman" w:hint="eastAsia"/>
                <w:kern w:val="0"/>
                <w:sz w:val="24"/>
                <w:szCs w:val="24"/>
              </w:rPr>
              <w:t>%</w:t>
            </w:r>
          </w:p>
        </w:tc>
        <w:tc>
          <w:tcPr>
            <w:tcW w:w="2654" w:type="dxa"/>
            <w:tcBorders>
              <w:top w:val="single" w:sz="4" w:space="0" w:color="auto"/>
              <w:left w:val="nil"/>
              <w:bottom w:val="single" w:sz="4" w:space="0" w:color="auto"/>
              <w:right w:val="single" w:sz="4" w:space="0" w:color="auto"/>
            </w:tcBorders>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0.40%</w:t>
            </w:r>
          </w:p>
        </w:tc>
      </w:tr>
      <w:tr w:rsidR="0068684E">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500</w:t>
            </w:r>
            <w:r>
              <w:rPr>
                <w:rFonts w:ascii="宋体" w:eastAsia="宋体" w:hAnsi="宋体" w:cs="Times New Roman"/>
                <w:kern w:val="0"/>
                <w:sz w:val="24"/>
                <w:szCs w:val="24"/>
              </w:rPr>
              <w:t>万元</w:t>
            </w:r>
          </w:p>
        </w:tc>
        <w:tc>
          <w:tcPr>
            <w:tcW w:w="5347"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1,000</w:t>
            </w:r>
            <w:r>
              <w:rPr>
                <w:rFonts w:ascii="宋体" w:eastAsia="宋体" w:hAnsi="宋体" w:cs="Times New Roman" w:hint="eastAsia"/>
                <w:kern w:val="0"/>
                <w:sz w:val="24"/>
                <w:szCs w:val="24"/>
              </w:rPr>
              <w:t>元/笔</w:t>
            </w:r>
          </w:p>
        </w:tc>
      </w:tr>
    </w:tbl>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类基金份额的申购费用由</w:t>
      </w:r>
      <w:r>
        <w:rPr>
          <w:rFonts w:ascii="Times New Roman" w:eastAsia="宋体" w:hAnsi="Times New Roman" w:cs="Times New Roman" w:hint="eastAsia"/>
          <w:bCs/>
          <w:sz w:val="24"/>
          <w:szCs w:val="24"/>
        </w:rPr>
        <w:t>申购</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w:t>
      </w:r>
      <w:r>
        <w:rPr>
          <w:rFonts w:ascii="Times New Roman" w:eastAsia="宋体" w:hAnsi="Times New Roman" w:cs="Times New Roman" w:hint="eastAsia"/>
          <w:sz w:val="24"/>
          <w:szCs w:val="24"/>
        </w:rPr>
        <w:t>投资人承担，不列入基金财产，主要用于基金的市场推广、销售、登记等各项费用。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、赎回费率</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类基金份额不收取赎回费。</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类基金份额的赎回费用由赎回</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类基金份额的基金份额持有人承担，在基金份额持有人赎回基金份额时收取。赎回费率见下表：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宋体" w:eastAsia="宋体" w:hAnsi="宋体" w:cs="Times New Roman" w:hint="eastAsia"/>
          <w:sz w:val="24"/>
          <w:szCs w:val="24"/>
        </w:rPr>
        <w:t>类基金份额赎回费率：</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7"/>
        <w:gridCol w:w="3547"/>
      </w:tblGrid>
      <w:tr w:rsidR="0068684E">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684E" w:rsidRDefault="000021E4">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持有期限（</w:t>
            </w:r>
            <w:r>
              <w:rPr>
                <w:rFonts w:ascii="Times New Roman" w:eastAsia="宋体" w:hAnsi="Times New Roman" w:cs="Times New Roman"/>
                <w:b/>
                <w:bCs/>
                <w:sz w:val="24"/>
                <w:szCs w:val="24"/>
              </w:rPr>
              <w:t>N</w:t>
            </w:r>
            <w:r>
              <w:rPr>
                <w:rFonts w:ascii="宋体" w:eastAsia="宋体" w:hAnsi="宋体" w:cs="Times New Roman"/>
                <w:b/>
                <w:bCs/>
                <w:sz w:val="24"/>
                <w:szCs w:val="24"/>
              </w:rPr>
              <w:t>）</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8684E" w:rsidRDefault="000021E4">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赎回费率</w:t>
            </w:r>
          </w:p>
        </w:tc>
      </w:tr>
      <w:tr w:rsidR="0068684E">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N</w:t>
            </w:r>
            <w:r>
              <w:rPr>
                <w:rFonts w:ascii="宋体" w:eastAsia="宋体" w:hAnsi="宋体" w:cs="Times New Roman"/>
                <w:sz w:val="24"/>
                <w:szCs w:val="24"/>
              </w:rPr>
              <w:t>＜</w:t>
            </w:r>
            <w:r>
              <w:rPr>
                <w:rFonts w:ascii="Times New Roman" w:eastAsia="宋体" w:hAnsi="Times New Roman" w:cs="Times New Roman"/>
                <w:sz w:val="24"/>
                <w:szCs w:val="24"/>
              </w:rPr>
              <w:t>180</w:t>
            </w:r>
            <w:r>
              <w:rPr>
                <w:rFonts w:ascii="宋体" w:eastAsia="宋体" w:hAnsi="宋体"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8684E" w:rsidRDefault="000021E4">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0.50%</w:t>
            </w:r>
          </w:p>
        </w:tc>
      </w:tr>
      <w:tr w:rsidR="0068684E">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684E" w:rsidRDefault="000021E4">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N</w:t>
            </w:r>
            <w:r>
              <w:rPr>
                <w:rFonts w:ascii="宋体" w:eastAsia="宋体" w:hAnsi="宋体" w:cs="Times New Roman" w:hint="eastAsia"/>
                <w:sz w:val="24"/>
                <w:szCs w:val="24"/>
              </w:rPr>
              <w:t>≥</w:t>
            </w:r>
            <w:r>
              <w:rPr>
                <w:rFonts w:ascii="Times New Roman" w:eastAsia="宋体" w:hAnsi="Times New Roman" w:cs="Times New Roman"/>
                <w:sz w:val="24"/>
                <w:szCs w:val="24"/>
              </w:rPr>
              <w:t>180</w:t>
            </w:r>
            <w:r>
              <w:rPr>
                <w:rFonts w:ascii="Times New Roman" w:eastAsia="宋体" w:hAnsi="Times New Roman"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8684E" w:rsidRDefault="000021E4">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0</w:t>
            </w:r>
          </w:p>
        </w:tc>
      </w:tr>
    </w:tbl>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（注：赎回份额持有时间的计算，以该份额自登记机构确认之日开始计算。）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对持续持有期少于</w:t>
      </w:r>
      <w:r>
        <w:rPr>
          <w:rFonts w:ascii="Times New Roman" w:eastAsia="宋体" w:hAnsi="Times New Roman" w:cs="Times New Roman"/>
          <w:bCs/>
          <w:sz w:val="24"/>
          <w:szCs w:val="24"/>
        </w:rPr>
        <w:t>180</w:t>
      </w:r>
      <w:r>
        <w:rPr>
          <w:rFonts w:ascii="Times New Roman" w:eastAsia="宋体" w:hAnsi="Times New Roman" w:cs="Times New Roman" w:hint="eastAsia"/>
          <w:bCs/>
          <w:sz w:val="24"/>
          <w:szCs w:val="24"/>
        </w:rPr>
        <w:t>日的投资者收取的赎回费，将赎回费总额的</w:t>
      </w:r>
      <w:r>
        <w:rPr>
          <w:rFonts w:ascii="Times New Roman" w:eastAsia="宋体" w:hAnsi="Times New Roman" w:cs="Times New Roman"/>
          <w:bCs/>
          <w:sz w:val="24"/>
          <w:szCs w:val="24"/>
        </w:rPr>
        <w:t>50%</w:t>
      </w:r>
      <w:r>
        <w:rPr>
          <w:rFonts w:ascii="Times New Roman" w:eastAsia="宋体" w:hAnsi="Times New Roman" w:cs="Times New Roman" w:hint="eastAsia"/>
          <w:bCs/>
          <w:sz w:val="24"/>
          <w:szCs w:val="24"/>
        </w:rPr>
        <w:t>计入基金财产。未归入基金财产的部分用于支付登记费和其他必要的手续费。</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、基金管理人可以在基金合同约定的范围内调整费率或收费方式，并最迟应于新的费率或收费方式实施日前依照《信息披露办法》的有关规定在规定媒介上公告。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rsidR="0068684E" w:rsidRDefault="000021E4">
      <w:pPr>
        <w:spacing w:line="360" w:lineRule="auto"/>
        <w:ind w:firstLineChars="200" w:firstLine="482"/>
        <w:rPr>
          <w:rFonts w:ascii="Times New Roman" w:eastAsia="宋体" w:hAnsi="Times New Roman" w:cs="Times New Roman"/>
          <w:b/>
          <w:sz w:val="24"/>
          <w:szCs w:val="24"/>
        </w:rPr>
      </w:pPr>
      <w:bookmarkStart w:id="88" w:name="_Toc79392613"/>
      <w:r>
        <w:rPr>
          <w:rFonts w:ascii="Times New Roman" w:eastAsia="宋体" w:hAnsi="Times New Roman" w:cs="Times New Roman"/>
          <w:b/>
          <w:sz w:val="24"/>
          <w:szCs w:val="24"/>
        </w:rPr>
        <w:lastRenderedPageBreak/>
        <w:t>八</w:t>
      </w:r>
      <w:r>
        <w:rPr>
          <w:rFonts w:ascii="Times New Roman" w:eastAsia="宋体" w:hAnsi="Times New Roman" w:cs="Times New Roman" w:hint="eastAsia"/>
          <w:b/>
          <w:sz w:val="24"/>
          <w:szCs w:val="24"/>
        </w:rPr>
        <w:t>、申购份额与赎回金额的计算</w:t>
      </w:r>
      <w:bookmarkEnd w:id="88"/>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、申购份额的计算</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类基金份额时收取申购费用，申购份额计算方法如下：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当申购费用适用比例费率时，申购份额的计算方法如下：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＋申购费率）</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申购费用＝申购金额－净申购金额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申购份额＝净申购金额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当申购费用为固定金额时，申购份额的计算方法如下：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申购费用＝固定金额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净申购金额＝申购金额－申购费用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申购份额＝净申购金额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）申购本基金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类基金份额时不收取申购费用，申购份额计算方法如下：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）上述计算结果均按四舍五入方法，保留到小数点后</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位，由此产生的收益或损失由基金财产承担。</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例：某投资者（非养老金客户）投资</w:t>
      </w:r>
      <w:r>
        <w:rPr>
          <w:rFonts w:ascii="Times New Roman" w:eastAsia="宋体" w:hAnsi="Times New Roman" w:cs="Times New Roman"/>
          <w:sz w:val="24"/>
          <w:szCs w:val="24"/>
        </w:rPr>
        <w:t>40,000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类基金份额，则对应的申购费率为</w:t>
      </w:r>
      <w:r>
        <w:rPr>
          <w:rFonts w:ascii="Times New Roman" w:eastAsia="宋体" w:hAnsi="Times New Roman" w:cs="Times New Roman"/>
          <w:kern w:val="0"/>
          <w:sz w:val="24"/>
          <w:szCs w:val="24"/>
        </w:rPr>
        <w:t>0.80</w:t>
      </w:r>
      <w:r>
        <w:rPr>
          <w:rFonts w:ascii="Times New Roman" w:eastAsia="宋体" w:hAnsi="Times New Roman" w:cs="Times New Roman"/>
          <w:sz w:val="24"/>
          <w:szCs w:val="24"/>
        </w:rPr>
        <w:t>%</w:t>
      </w:r>
      <w:r>
        <w:rPr>
          <w:rFonts w:ascii="Times New Roman" w:eastAsia="宋体" w:hAnsi="Times New Roman" w:cs="Times New Roman" w:hint="eastAsia"/>
          <w:sz w:val="24"/>
          <w:szCs w:val="24"/>
        </w:rPr>
        <w:t>，假设申购当日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sz w:val="24"/>
          <w:szCs w:val="24"/>
        </w:rPr>
        <w:t>1.040</w:t>
      </w: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元，则其可得到的申购份额为：</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w:t>
      </w:r>
      <w:r>
        <w:rPr>
          <w:rFonts w:ascii="Times New Roman" w:eastAsia="宋体" w:hAnsi="Times New Roman" w:cs="Times New Roman"/>
          <w:sz w:val="24"/>
          <w:szCs w:val="24"/>
        </w:rPr>
        <w:t>=40,000/</w:t>
      </w: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kern w:val="0"/>
          <w:sz w:val="24"/>
          <w:szCs w:val="24"/>
        </w:rPr>
        <w:t>0.80</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hint="eastAsia"/>
          <w:sz w:val="24"/>
          <w:szCs w:val="24"/>
        </w:rPr>
        <w:t>9,</w:t>
      </w:r>
      <w:r>
        <w:rPr>
          <w:rFonts w:ascii="Times New Roman" w:eastAsia="宋体" w:hAnsi="Times New Roman" w:cs="Times New Roman"/>
          <w:sz w:val="24"/>
          <w:szCs w:val="24"/>
        </w:rPr>
        <w:t>682</w:t>
      </w:r>
      <w:r>
        <w:rPr>
          <w:rFonts w:ascii="Times New Roman" w:eastAsia="宋体" w:hAnsi="Times New Roman" w:cs="Times New Roman" w:hint="eastAsia"/>
          <w:sz w:val="24"/>
          <w:szCs w:val="24"/>
        </w:rPr>
        <w:t>.</w:t>
      </w:r>
      <w:r>
        <w:rPr>
          <w:rFonts w:ascii="Times New Roman" w:eastAsia="宋体" w:hAnsi="Times New Roman" w:cs="Times New Roman"/>
          <w:sz w:val="24"/>
          <w:szCs w:val="24"/>
        </w:rPr>
        <w:t>54</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w:t>
      </w:r>
      <w:r>
        <w:rPr>
          <w:rFonts w:ascii="Times New Roman" w:eastAsia="宋体" w:hAnsi="Times New Roman" w:cs="Times New Roman"/>
          <w:sz w:val="24"/>
          <w:szCs w:val="24"/>
        </w:rPr>
        <w:t>=40,000-3</w:t>
      </w:r>
      <w:r>
        <w:rPr>
          <w:rFonts w:ascii="Times New Roman" w:eastAsia="宋体" w:hAnsi="Times New Roman" w:cs="Times New Roman" w:hint="eastAsia"/>
          <w:sz w:val="24"/>
          <w:szCs w:val="24"/>
        </w:rPr>
        <w:t>9,</w:t>
      </w:r>
      <w:r>
        <w:rPr>
          <w:rFonts w:ascii="Times New Roman" w:eastAsia="宋体" w:hAnsi="Times New Roman" w:cs="Times New Roman"/>
          <w:sz w:val="24"/>
          <w:szCs w:val="24"/>
        </w:rPr>
        <w:t>682</w:t>
      </w:r>
      <w:r>
        <w:rPr>
          <w:rFonts w:ascii="Times New Roman" w:eastAsia="宋体" w:hAnsi="Times New Roman" w:cs="Times New Roman" w:hint="eastAsia"/>
          <w:sz w:val="24"/>
          <w:szCs w:val="24"/>
        </w:rPr>
        <w:t>.</w:t>
      </w:r>
      <w:r>
        <w:rPr>
          <w:rFonts w:ascii="Times New Roman" w:eastAsia="宋体" w:hAnsi="Times New Roman" w:cs="Times New Roman"/>
          <w:sz w:val="24"/>
          <w:szCs w:val="24"/>
        </w:rPr>
        <w:t>54=317.46</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sz w:val="24"/>
          <w:szCs w:val="24"/>
        </w:rPr>
        <w:t>=3</w:t>
      </w:r>
      <w:r>
        <w:rPr>
          <w:rFonts w:ascii="Times New Roman" w:eastAsia="宋体" w:hAnsi="Times New Roman" w:cs="Times New Roman" w:hint="eastAsia"/>
          <w:sz w:val="24"/>
          <w:szCs w:val="24"/>
        </w:rPr>
        <w:t>9,</w:t>
      </w:r>
      <w:r>
        <w:rPr>
          <w:rFonts w:ascii="Times New Roman" w:eastAsia="宋体" w:hAnsi="Times New Roman" w:cs="Times New Roman"/>
          <w:sz w:val="24"/>
          <w:szCs w:val="24"/>
        </w:rPr>
        <w:t>682</w:t>
      </w:r>
      <w:r>
        <w:rPr>
          <w:rFonts w:ascii="Times New Roman" w:eastAsia="宋体" w:hAnsi="Times New Roman" w:cs="Times New Roman" w:hint="eastAsia"/>
          <w:sz w:val="24"/>
          <w:szCs w:val="24"/>
        </w:rPr>
        <w:t>.</w:t>
      </w:r>
      <w:r>
        <w:rPr>
          <w:rFonts w:ascii="Times New Roman" w:eastAsia="宋体" w:hAnsi="Times New Roman" w:cs="Times New Roman"/>
          <w:sz w:val="24"/>
          <w:szCs w:val="24"/>
        </w:rPr>
        <w:t>54/1.040</w:t>
      </w:r>
      <w:r>
        <w:rPr>
          <w:rFonts w:ascii="Times New Roman" w:eastAsia="宋体" w:hAnsi="Times New Roman" w:cs="Times New Roman" w:hint="eastAsia"/>
          <w:sz w:val="24"/>
          <w:szCs w:val="24"/>
        </w:rPr>
        <w:t>0</w:t>
      </w:r>
      <w:r>
        <w:rPr>
          <w:rFonts w:ascii="Times New Roman" w:eastAsia="宋体" w:hAnsi="Times New Roman" w:cs="Times New Roman"/>
          <w:sz w:val="24"/>
          <w:szCs w:val="24"/>
        </w:rPr>
        <w:t>=38</w:t>
      </w:r>
      <w:r>
        <w:rPr>
          <w:rFonts w:ascii="Times New Roman" w:eastAsia="宋体" w:hAnsi="Times New Roman" w:cs="Times New Roman" w:hint="eastAsia"/>
          <w:sz w:val="24"/>
          <w:szCs w:val="24"/>
        </w:rPr>
        <w:t>,</w:t>
      </w:r>
      <w:r>
        <w:rPr>
          <w:rFonts w:ascii="Times New Roman" w:eastAsia="宋体" w:hAnsi="Times New Roman" w:cs="Times New Roman"/>
          <w:sz w:val="24"/>
          <w:szCs w:val="24"/>
        </w:rPr>
        <w:t>156</w:t>
      </w:r>
      <w:r>
        <w:rPr>
          <w:rFonts w:ascii="Times New Roman" w:eastAsia="宋体" w:hAnsi="Times New Roman" w:cs="Times New Roman" w:hint="eastAsia"/>
          <w:sz w:val="24"/>
          <w:szCs w:val="24"/>
        </w:rPr>
        <w:t>.</w:t>
      </w:r>
      <w:r>
        <w:rPr>
          <w:rFonts w:ascii="Times New Roman" w:eastAsia="宋体" w:hAnsi="Times New Roman" w:cs="Times New Roman"/>
          <w:sz w:val="24"/>
          <w:szCs w:val="24"/>
        </w:rPr>
        <w:t>29</w:t>
      </w:r>
      <w:r>
        <w:rPr>
          <w:rFonts w:ascii="Times New Roman" w:eastAsia="宋体" w:hAnsi="Times New Roman" w:cs="Times New Roman" w:hint="eastAsia"/>
          <w:sz w:val="24"/>
          <w:szCs w:val="24"/>
        </w:rPr>
        <w:t>份</w:t>
      </w:r>
    </w:p>
    <w:p w:rsidR="0068684E" w:rsidRDefault="000021E4">
      <w:pPr>
        <w:spacing w:line="360" w:lineRule="auto"/>
        <w:ind w:firstLineChars="200" w:firstLine="480"/>
        <w:rPr>
          <w:rFonts w:ascii="Times New Roman" w:eastAsia="宋体" w:hAnsi="Times New Roman" w:cs="Times New Roman"/>
          <w:sz w:val="24"/>
          <w:szCs w:val="24"/>
        </w:rPr>
      </w:pPr>
      <w:bookmarkStart w:id="89" w:name="OLE_LINK120"/>
      <w:bookmarkStart w:id="90" w:name="OLE_LINK121"/>
      <w:r>
        <w:rPr>
          <w:rFonts w:ascii="Times New Roman" w:eastAsia="宋体" w:hAnsi="Times New Roman" w:cs="Times New Roman" w:hint="eastAsia"/>
          <w:sz w:val="24"/>
          <w:szCs w:val="24"/>
        </w:rPr>
        <w:t>即：该投资者（非养老金客户）投资</w:t>
      </w:r>
      <w:r>
        <w:rPr>
          <w:rFonts w:ascii="Times New Roman" w:eastAsia="宋体" w:hAnsi="Times New Roman" w:cs="Times New Roman"/>
          <w:sz w:val="24"/>
          <w:szCs w:val="24"/>
        </w:rPr>
        <w:t>40,000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类基金份额，则对应的申购费率为</w:t>
      </w:r>
      <w:r>
        <w:rPr>
          <w:rFonts w:ascii="Times New Roman" w:eastAsia="宋体" w:hAnsi="Times New Roman" w:cs="Times New Roman"/>
          <w:kern w:val="0"/>
          <w:sz w:val="24"/>
          <w:szCs w:val="24"/>
        </w:rPr>
        <w:t>0.80</w:t>
      </w:r>
      <w:r>
        <w:rPr>
          <w:rFonts w:ascii="Times New Roman" w:eastAsia="宋体" w:hAnsi="Times New Roman" w:cs="Times New Roman"/>
          <w:sz w:val="24"/>
          <w:szCs w:val="24"/>
        </w:rPr>
        <w:t>%</w:t>
      </w:r>
      <w:r>
        <w:rPr>
          <w:rFonts w:ascii="Times New Roman" w:eastAsia="宋体" w:hAnsi="Times New Roman" w:cs="Times New Roman" w:hint="eastAsia"/>
          <w:sz w:val="24"/>
          <w:szCs w:val="24"/>
        </w:rPr>
        <w:t>，假设申购当日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sz w:val="24"/>
          <w:szCs w:val="24"/>
        </w:rPr>
        <w:t>1.040</w:t>
      </w: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元，则可得到</w:t>
      </w:r>
      <w:r>
        <w:rPr>
          <w:rFonts w:ascii="Times New Roman" w:eastAsia="宋体" w:hAnsi="Times New Roman" w:cs="Times New Roman"/>
          <w:sz w:val="24"/>
          <w:szCs w:val="24"/>
        </w:rPr>
        <w:t>38</w:t>
      </w:r>
      <w:r>
        <w:rPr>
          <w:rFonts w:ascii="Times New Roman" w:eastAsia="宋体" w:hAnsi="Times New Roman" w:cs="Times New Roman" w:hint="eastAsia"/>
          <w:sz w:val="24"/>
          <w:szCs w:val="24"/>
        </w:rPr>
        <w:t>,</w:t>
      </w:r>
      <w:r>
        <w:rPr>
          <w:rFonts w:ascii="Times New Roman" w:eastAsia="宋体" w:hAnsi="Times New Roman" w:cs="Times New Roman"/>
          <w:sz w:val="24"/>
          <w:szCs w:val="24"/>
        </w:rPr>
        <w:t>156</w:t>
      </w:r>
      <w:r>
        <w:rPr>
          <w:rFonts w:ascii="Times New Roman" w:eastAsia="宋体" w:hAnsi="Times New Roman" w:cs="Times New Roman" w:hint="eastAsia"/>
          <w:sz w:val="24"/>
          <w:szCs w:val="24"/>
        </w:rPr>
        <w:t>.</w:t>
      </w:r>
      <w:r>
        <w:rPr>
          <w:rFonts w:ascii="Times New Roman" w:eastAsia="宋体" w:hAnsi="Times New Roman" w:cs="Times New Roman"/>
          <w:sz w:val="24"/>
          <w:szCs w:val="24"/>
        </w:rPr>
        <w:t>29</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bookmarkEnd w:id="89"/>
    <w:bookmarkEnd w:id="90"/>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例：某投资者（养老金客户）投资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元通过基金管理人直销中心申购本基金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类基金份额，则对应的申购费率为</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1.1500</w:t>
      </w:r>
      <w:r>
        <w:rPr>
          <w:rFonts w:ascii="Times New Roman" w:eastAsia="宋体" w:hAnsi="Times New Roman" w:cs="Times New Roman" w:hint="eastAsia"/>
          <w:sz w:val="24"/>
          <w:szCs w:val="24"/>
        </w:rPr>
        <w:t>元，则其可得到的申购份额为：</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w:t>
      </w:r>
      <w:r>
        <w:rPr>
          <w:rFonts w:ascii="Times New Roman" w:eastAsia="宋体" w:hAnsi="Times New Roman" w:cs="Times New Roman"/>
          <w:sz w:val="24"/>
          <w:szCs w:val="24"/>
        </w:rPr>
        <w:t>08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=99,</w:t>
      </w:r>
      <w:r>
        <w:rPr>
          <w:rFonts w:ascii="Times New Roman" w:eastAsia="宋体" w:hAnsi="Times New Roman" w:cs="Times New Roman"/>
          <w:sz w:val="24"/>
          <w:szCs w:val="24"/>
        </w:rPr>
        <w:t>92</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w:t>
      </w:r>
      <w:r>
        <w:rPr>
          <w:rFonts w:ascii="Times New Roman" w:eastAsia="宋体" w:hAnsi="Times New Roman" w:cs="Times New Roman" w:hint="eastAsia"/>
          <w:sz w:val="24"/>
          <w:szCs w:val="24"/>
        </w:rPr>
        <w:t>=100,000-99,</w:t>
      </w:r>
      <w:r>
        <w:rPr>
          <w:rFonts w:ascii="Times New Roman" w:eastAsia="宋体" w:hAnsi="Times New Roman" w:cs="Times New Roman"/>
          <w:sz w:val="24"/>
          <w:szCs w:val="24"/>
        </w:rPr>
        <w:t>92</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w:t>
      </w:r>
      <w:r>
        <w:rPr>
          <w:rFonts w:ascii="Times New Roman" w:eastAsia="宋体" w:hAnsi="Times New Roman" w:cs="Times New Roman"/>
          <w:sz w:val="24"/>
          <w:szCs w:val="24"/>
        </w:rPr>
        <w:t>7</w:t>
      </w:r>
      <w:r>
        <w:rPr>
          <w:rFonts w:ascii="Times New Roman" w:eastAsia="宋体" w:hAnsi="Times New Roman" w:cs="Times New Roman" w:hint="eastAsia"/>
          <w:sz w:val="24"/>
          <w:szCs w:val="24"/>
        </w:rPr>
        <w:t>9.</w:t>
      </w:r>
      <w:r>
        <w:rPr>
          <w:rFonts w:ascii="Times New Roman" w:eastAsia="宋体" w:hAnsi="Times New Roman" w:cs="Times New Roman"/>
          <w:sz w:val="24"/>
          <w:szCs w:val="24"/>
        </w:rPr>
        <w:t>94</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申购份额</w:t>
      </w:r>
      <w:r>
        <w:rPr>
          <w:rFonts w:ascii="Times New Roman" w:eastAsia="宋体" w:hAnsi="Times New Roman" w:cs="Times New Roman" w:hint="eastAsia"/>
          <w:sz w:val="24"/>
          <w:szCs w:val="24"/>
        </w:rPr>
        <w:t>=99,</w:t>
      </w:r>
      <w:r>
        <w:rPr>
          <w:rFonts w:ascii="Times New Roman" w:eastAsia="宋体" w:hAnsi="Times New Roman" w:cs="Times New Roman"/>
          <w:sz w:val="24"/>
          <w:szCs w:val="24"/>
        </w:rPr>
        <w:t>92</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/1.1500=86,</w:t>
      </w:r>
      <w:r>
        <w:rPr>
          <w:rFonts w:ascii="Times New Roman" w:eastAsia="宋体" w:hAnsi="Times New Roman" w:cs="Times New Roman"/>
          <w:sz w:val="24"/>
          <w:szCs w:val="24"/>
        </w:rPr>
        <w:t>887</w:t>
      </w:r>
      <w:r>
        <w:rPr>
          <w:rFonts w:ascii="Times New Roman" w:eastAsia="宋体" w:hAnsi="Times New Roman" w:cs="Times New Roman" w:hint="eastAsia"/>
          <w:sz w:val="24"/>
          <w:szCs w:val="24"/>
        </w:rPr>
        <w:t>.</w:t>
      </w:r>
      <w:r>
        <w:rPr>
          <w:rFonts w:ascii="Times New Roman" w:eastAsia="宋体" w:hAnsi="Times New Roman" w:cs="Times New Roman"/>
          <w:sz w:val="24"/>
          <w:szCs w:val="24"/>
        </w:rPr>
        <w:t>01</w:t>
      </w:r>
      <w:r>
        <w:rPr>
          <w:rFonts w:ascii="Times New Roman" w:eastAsia="宋体" w:hAnsi="Times New Roman" w:cs="Times New Roman" w:hint="eastAsia"/>
          <w:sz w:val="24"/>
          <w:szCs w:val="24"/>
        </w:rPr>
        <w:t>份</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即：该投资者（养老金客户）投资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元通过基金管理人直销中心申购本基金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类基金份额，则对应的申购费率为</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1.1500</w:t>
      </w:r>
      <w:r>
        <w:rPr>
          <w:rFonts w:ascii="Times New Roman" w:eastAsia="宋体" w:hAnsi="Times New Roman" w:cs="Times New Roman" w:hint="eastAsia"/>
          <w:sz w:val="24"/>
          <w:szCs w:val="24"/>
        </w:rPr>
        <w:t>元，则可得到</w:t>
      </w:r>
      <w:r>
        <w:rPr>
          <w:rFonts w:ascii="Times New Roman" w:eastAsia="宋体" w:hAnsi="Times New Roman" w:cs="Times New Roman" w:hint="eastAsia"/>
          <w:sz w:val="24"/>
          <w:szCs w:val="24"/>
        </w:rPr>
        <w:t>86,</w:t>
      </w:r>
      <w:r>
        <w:rPr>
          <w:rFonts w:ascii="Times New Roman" w:eastAsia="宋体" w:hAnsi="Times New Roman" w:cs="Times New Roman"/>
          <w:sz w:val="24"/>
          <w:szCs w:val="24"/>
        </w:rPr>
        <w:t>887</w:t>
      </w:r>
      <w:r>
        <w:rPr>
          <w:rFonts w:ascii="Times New Roman" w:eastAsia="宋体" w:hAnsi="Times New Roman" w:cs="Times New Roman" w:hint="eastAsia"/>
          <w:sz w:val="24"/>
          <w:szCs w:val="24"/>
        </w:rPr>
        <w:t>.</w:t>
      </w:r>
      <w:r>
        <w:rPr>
          <w:rFonts w:ascii="Times New Roman" w:eastAsia="宋体" w:hAnsi="Times New Roman" w:cs="Times New Roman"/>
          <w:sz w:val="24"/>
          <w:szCs w:val="24"/>
        </w:rPr>
        <w:t>01</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例：某投资者投资</w:t>
      </w:r>
      <w:r>
        <w:rPr>
          <w:rFonts w:ascii="Times New Roman" w:eastAsia="宋体" w:hAnsi="Times New Roman" w:cs="Times New Roman" w:hint="eastAsia"/>
          <w:sz w:val="24"/>
          <w:szCs w:val="24"/>
        </w:rPr>
        <w:t>50,000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类基金份额，假设申购当日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1.2000</w:t>
      </w:r>
      <w:r>
        <w:rPr>
          <w:rFonts w:ascii="Times New Roman" w:eastAsia="宋体" w:hAnsi="Times New Roman" w:cs="Times New Roman" w:hint="eastAsia"/>
          <w:sz w:val="24"/>
          <w:szCs w:val="24"/>
        </w:rPr>
        <w:t>元，则其可得到的申购份额为：</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hint="eastAsia"/>
          <w:sz w:val="24"/>
          <w:szCs w:val="24"/>
        </w:rPr>
        <w:t>=50,000/1.2000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41,666.67</w:t>
      </w:r>
      <w:r>
        <w:rPr>
          <w:rFonts w:ascii="Times New Roman" w:eastAsia="宋体" w:hAnsi="Times New Roman" w:cs="Times New Roman" w:hint="eastAsia"/>
          <w:sz w:val="24"/>
          <w:szCs w:val="24"/>
        </w:rPr>
        <w:t>份</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即：该投资者投资</w:t>
      </w:r>
      <w:r>
        <w:rPr>
          <w:rFonts w:ascii="Times New Roman" w:eastAsia="宋体" w:hAnsi="Times New Roman" w:cs="Times New Roman" w:hint="eastAsia"/>
          <w:sz w:val="24"/>
          <w:szCs w:val="24"/>
        </w:rPr>
        <w:t>50,000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类基金份额，假设申购当日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1.2000</w:t>
      </w:r>
      <w:r>
        <w:rPr>
          <w:rFonts w:ascii="Times New Roman" w:eastAsia="宋体" w:hAnsi="Times New Roman" w:cs="Times New Roman" w:hint="eastAsia"/>
          <w:sz w:val="24"/>
          <w:szCs w:val="24"/>
        </w:rPr>
        <w:t>元，则可得到</w:t>
      </w:r>
      <w:r>
        <w:rPr>
          <w:rFonts w:ascii="Times New Roman" w:eastAsia="宋体" w:hAnsi="Times New Roman" w:cs="Times New Roman" w:hint="eastAsia"/>
          <w:sz w:val="24"/>
          <w:szCs w:val="24"/>
        </w:rPr>
        <w:t>41,666.67</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、赎回金额的计算</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赎回金额的计算方法如下：</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赎回金额＝赎回份额×赎回当日该类基金份额净值</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赎回费用＝赎回金额×赎回费率</w:t>
      </w:r>
    </w:p>
    <w:p w:rsidR="0068684E" w:rsidRDefault="000021E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净赎回金额＝赎回金额</w:t>
      </w:r>
      <w:r>
        <w:rPr>
          <w:rFonts w:ascii="Times New Roman" w:eastAsia="宋体" w:hAnsi="Times New Roman" w:cs="Times New Roman" w:hint="eastAsia"/>
          <w:sz w:val="24"/>
          <w:szCs w:val="24"/>
        </w:rPr>
        <w:t>-</w:t>
      </w:r>
      <w:r>
        <w:rPr>
          <w:rFonts w:ascii="宋体" w:eastAsia="宋体" w:hAnsi="宋体" w:cs="Times New Roman" w:hint="eastAsia"/>
          <w:sz w:val="24"/>
          <w:szCs w:val="24"/>
        </w:rPr>
        <w:t>赎回费用</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上述计算结果均按四舍五入方法，保留到小数点后</w:t>
      </w:r>
      <w:r>
        <w:rPr>
          <w:rFonts w:ascii="Times New Roman" w:eastAsia="宋体" w:hAnsi="Times New Roman" w:cs="Times New Roman" w:hint="eastAsia"/>
          <w:sz w:val="24"/>
          <w:szCs w:val="24"/>
        </w:rPr>
        <w:t>2</w:t>
      </w:r>
      <w:r>
        <w:rPr>
          <w:rFonts w:ascii="宋体" w:eastAsia="宋体" w:hAnsi="宋体" w:cs="Times New Roman" w:hint="eastAsia"/>
          <w:sz w:val="24"/>
          <w:szCs w:val="24"/>
        </w:rPr>
        <w:t>位，由此产生的收益或损失由基金财产承担。</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例：某投资者在</w:t>
      </w:r>
      <w:r>
        <w:rPr>
          <w:rFonts w:ascii="Times New Roman" w:eastAsia="宋体" w:hAnsi="Times New Roman" w:cs="Times New Roman" w:hint="eastAsia"/>
          <w:sz w:val="24"/>
          <w:szCs w:val="24"/>
        </w:rPr>
        <w:t>T</w:t>
      </w:r>
      <w:r>
        <w:rPr>
          <w:rFonts w:ascii="宋体" w:eastAsia="宋体" w:hAnsi="宋体" w:cs="Times New Roman" w:hint="eastAsia"/>
          <w:sz w:val="24"/>
          <w:szCs w:val="24"/>
        </w:rPr>
        <w:t>日赎回</w:t>
      </w:r>
      <w:r>
        <w:rPr>
          <w:rFonts w:ascii="Times New Roman" w:eastAsia="宋体" w:hAnsi="Times New Roman" w:cs="Times New Roman" w:hint="eastAsia"/>
          <w:sz w:val="24"/>
          <w:szCs w:val="24"/>
        </w:rPr>
        <w:t>10,000</w:t>
      </w:r>
      <w:r>
        <w:rPr>
          <w:rFonts w:ascii="宋体" w:eastAsia="宋体" w:hAnsi="宋体" w:cs="Times New Roman" w:hint="eastAsia"/>
          <w:sz w:val="24"/>
          <w:szCs w:val="24"/>
        </w:rPr>
        <w:t>份</w:t>
      </w:r>
      <w:r>
        <w:rPr>
          <w:rFonts w:ascii="Times New Roman" w:eastAsia="宋体" w:hAnsi="Times New Roman" w:cs="Times New Roman" w:hint="eastAsia"/>
          <w:sz w:val="24"/>
          <w:szCs w:val="24"/>
        </w:rPr>
        <w:t>A</w:t>
      </w:r>
      <w:r>
        <w:rPr>
          <w:rFonts w:ascii="宋体" w:eastAsia="宋体" w:hAnsi="宋体" w:cs="Times New Roman" w:hint="eastAsia"/>
          <w:sz w:val="24"/>
          <w:szCs w:val="24"/>
        </w:rPr>
        <w:t>类基金份额，持有时间为</w:t>
      </w:r>
      <w:r>
        <w:rPr>
          <w:rFonts w:ascii="Times New Roman" w:eastAsia="宋体" w:hAnsi="Times New Roman" w:cs="Times New Roman"/>
          <w:sz w:val="24"/>
          <w:szCs w:val="24"/>
        </w:rPr>
        <w:t>150</w:t>
      </w:r>
      <w:r>
        <w:rPr>
          <w:rFonts w:ascii="宋体" w:eastAsia="宋体" w:hAnsi="宋体" w:cs="Times New Roman" w:hint="eastAsia"/>
          <w:sz w:val="24"/>
          <w:szCs w:val="24"/>
        </w:rPr>
        <w:t>日，对应的赎回费率为</w:t>
      </w:r>
      <w:r>
        <w:rPr>
          <w:rFonts w:ascii="Times New Roman" w:eastAsia="宋体" w:hAnsi="Times New Roman" w:cs="Times New Roman" w:hint="eastAsia"/>
          <w:sz w:val="24"/>
          <w:szCs w:val="24"/>
        </w:rPr>
        <w:t>0.50%</w:t>
      </w:r>
      <w:r>
        <w:rPr>
          <w:rFonts w:ascii="宋体" w:eastAsia="宋体" w:hAnsi="宋体" w:cs="Times New Roman" w:hint="eastAsia"/>
          <w:sz w:val="24"/>
          <w:szCs w:val="24"/>
        </w:rPr>
        <w:t>，假设赎回当日</w:t>
      </w:r>
      <w:r>
        <w:rPr>
          <w:rFonts w:ascii="Times New Roman" w:eastAsia="宋体" w:hAnsi="Times New Roman" w:cs="Times New Roman" w:hint="eastAsia"/>
          <w:sz w:val="24"/>
          <w:szCs w:val="24"/>
        </w:rPr>
        <w:t>A</w:t>
      </w:r>
      <w:r>
        <w:rPr>
          <w:rFonts w:ascii="宋体" w:eastAsia="宋体" w:hAnsi="宋体" w:cs="Times New Roman" w:hint="eastAsia"/>
          <w:sz w:val="24"/>
          <w:szCs w:val="24"/>
        </w:rPr>
        <w:t>类基金份额净值为</w:t>
      </w:r>
      <w:r>
        <w:rPr>
          <w:rFonts w:ascii="Times New Roman" w:eastAsia="宋体" w:hAnsi="Times New Roman" w:cs="Times New Roman" w:hint="eastAsia"/>
          <w:sz w:val="24"/>
          <w:szCs w:val="24"/>
        </w:rPr>
        <w:t>1.2500</w:t>
      </w:r>
      <w:r>
        <w:rPr>
          <w:rFonts w:ascii="宋体" w:eastAsia="宋体" w:hAnsi="宋体" w:cs="Times New Roman" w:hint="eastAsia"/>
          <w:sz w:val="24"/>
          <w:szCs w:val="24"/>
        </w:rPr>
        <w:t>元，则其获得的赎回金额计算如下：</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赎回金额＝</w:t>
      </w:r>
      <w:r>
        <w:rPr>
          <w:rFonts w:ascii="Times New Roman" w:eastAsia="宋体" w:hAnsi="Times New Roman" w:cs="Times New Roman" w:hint="eastAsia"/>
          <w:sz w:val="24"/>
          <w:szCs w:val="24"/>
        </w:rPr>
        <w:t>10,000</w:t>
      </w:r>
      <w:r>
        <w:rPr>
          <w:rFonts w:ascii="宋体" w:eastAsia="宋体" w:hAnsi="宋体" w:cs="Times New Roman" w:hint="eastAsia"/>
          <w:sz w:val="24"/>
          <w:szCs w:val="24"/>
        </w:rPr>
        <w:t>×</w:t>
      </w:r>
      <w:r>
        <w:rPr>
          <w:rFonts w:ascii="Times New Roman" w:eastAsia="宋体" w:hAnsi="Times New Roman" w:cs="Times New Roman" w:hint="eastAsia"/>
          <w:sz w:val="24"/>
          <w:szCs w:val="24"/>
        </w:rPr>
        <w:t>1.2500</w:t>
      </w:r>
      <w:r>
        <w:rPr>
          <w:rFonts w:ascii="宋体" w:eastAsia="宋体" w:hAnsi="宋体" w:cs="Times New Roman" w:hint="eastAsia"/>
          <w:sz w:val="24"/>
          <w:szCs w:val="24"/>
        </w:rPr>
        <w:t>＝</w:t>
      </w:r>
      <w:r>
        <w:rPr>
          <w:rFonts w:ascii="Times New Roman" w:eastAsia="宋体" w:hAnsi="Times New Roman" w:cs="Times New Roman" w:hint="eastAsia"/>
          <w:sz w:val="24"/>
          <w:szCs w:val="24"/>
        </w:rPr>
        <w:t>12,500.00</w:t>
      </w:r>
      <w:r>
        <w:rPr>
          <w:rFonts w:ascii="宋体" w:eastAsia="宋体" w:hAnsi="宋体"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赎回费用＝</w:t>
      </w:r>
      <w:r>
        <w:rPr>
          <w:rFonts w:ascii="Times New Roman" w:eastAsia="宋体" w:hAnsi="Times New Roman" w:cs="Times New Roman" w:hint="eastAsia"/>
          <w:sz w:val="24"/>
          <w:szCs w:val="24"/>
        </w:rPr>
        <w:t>12,500.00</w:t>
      </w:r>
      <w:r>
        <w:rPr>
          <w:rFonts w:ascii="宋体" w:eastAsia="宋体" w:hAnsi="宋体" w:cs="Times New Roman" w:hint="eastAsia"/>
          <w:sz w:val="24"/>
          <w:szCs w:val="24"/>
        </w:rPr>
        <w:t>×</w:t>
      </w:r>
      <w:r>
        <w:rPr>
          <w:rFonts w:ascii="Times New Roman" w:eastAsia="宋体" w:hAnsi="Times New Roman" w:cs="Times New Roman" w:hint="eastAsia"/>
          <w:sz w:val="24"/>
          <w:szCs w:val="24"/>
        </w:rPr>
        <w:t>0.50%</w:t>
      </w:r>
      <w:r>
        <w:rPr>
          <w:rFonts w:ascii="宋体" w:eastAsia="宋体" w:hAnsi="宋体" w:cs="Times New Roman" w:hint="eastAsia"/>
          <w:sz w:val="24"/>
          <w:szCs w:val="24"/>
        </w:rPr>
        <w:t>＝</w:t>
      </w:r>
      <w:r>
        <w:rPr>
          <w:rFonts w:ascii="Times New Roman" w:eastAsia="宋体" w:hAnsi="Times New Roman" w:cs="Times New Roman" w:hint="eastAsia"/>
          <w:sz w:val="24"/>
          <w:szCs w:val="24"/>
        </w:rPr>
        <w:t>62.50</w:t>
      </w:r>
      <w:r>
        <w:rPr>
          <w:rFonts w:ascii="宋体" w:eastAsia="宋体" w:hAnsi="宋体"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净赎回金额＝</w:t>
      </w:r>
      <w:r>
        <w:rPr>
          <w:rFonts w:ascii="Times New Roman" w:eastAsia="宋体" w:hAnsi="Times New Roman" w:cs="Times New Roman" w:hint="eastAsia"/>
          <w:sz w:val="24"/>
          <w:szCs w:val="24"/>
        </w:rPr>
        <w:t>12,500.00</w:t>
      </w:r>
      <w:r>
        <w:rPr>
          <w:rFonts w:ascii="宋体" w:eastAsia="宋体" w:hAnsi="宋体" w:cs="Times New Roman" w:hint="eastAsia"/>
          <w:sz w:val="24"/>
          <w:szCs w:val="24"/>
        </w:rPr>
        <w:t>－</w:t>
      </w:r>
      <w:r>
        <w:rPr>
          <w:rFonts w:ascii="Times New Roman" w:eastAsia="宋体" w:hAnsi="Times New Roman" w:cs="Times New Roman" w:hint="eastAsia"/>
          <w:sz w:val="24"/>
          <w:szCs w:val="24"/>
        </w:rPr>
        <w:t>62.50</w:t>
      </w:r>
      <w:r>
        <w:rPr>
          <w:rFonts w:ascii="宋体" w:eastAsia="宋体" w:hAnsi="宋体" w:cs="Times New Roman" w:hint="eastAsia"/>
          <w:sz w:val="24"/>
          <w:szCs w:val="24"/>
        </w:rPr>
        <w:t>＝</w:t>
      </w:r>
      <w:r>
        <w:rPr>
          <w:rFonts w:ascii="Times New Roman" w:eastAsia="宋体" w:hAnsi="Times New Roman" w:cs="Times New Roman" w:hint="eastAsia"/>
          <w:sz w:val="24"/>
          <w:szCs w:val="24"/>
        </w:rPr>
        <w:t>12,437.50</w:t>
      </w:r>
      <w:r>
        <w:rPr>
          <w:rFonts w:ascii="宋体" w:eastAsia="宋体" w:hAnsi="宋体"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即：该投资者赎回</w:t>
      </w:r>
      <w:r>
        <w:rPr>
          <w:rFonts w:ascii="Times New Roman" w:eastAsia="宋体" w:hAnsi="Times New Roman" w:cs="Times New Roman" w:hint="eastAsia"/>
          <w:sz w:val="24"/>
          <w:szCs w:val="24"/>
        </w:rPr>
        <w:t>10,000</w:t>
      </w:r>
      <w:r>
        <w:rPr>
          <w:rFonts w:ascii="宋体" w:eastAsia="宋体" w:hAnsi="宋体" w:cs="Times New Roman" w:hint="eastAsia"/>
          <w:sz w:val="24"/>
          <w:szCs w:val="24"/>
        </w:rPr>
        <w:t>份</w:t>
      </w:r>
      <w:r>
        <w:rPr>
          <w:rFonts w:ascii="Times New Roman" w:eastAsia="宋体" w:hAnsi="Times New Roman" w:cs="Times New Roman" w:hint="eastAsia"/>
          <w:sz w:val="24"/>
          <w:szCs w:val="24"/>
        </w:rPr>
        <w:t>A</w:t>
      </w:r>
      <w:r>
        <w:rPr>
          <w:rFonts w:ascii="宋体" w:eastAsia="宋体" w:hAnsi="宋体" w:cs="Times New Roman" w:hint="eastAsia"/>
          <w:sz w:val="24"/>
          <w:szCs w:val="24"/>
        </w:rPr>
        <w:t>类基金份额，持有时间为</w:t>
      </w:r>
      <w:r>
        <w:rPr>
          <w:rFonts w:ascii="Times New Roman" w:eastAsia="宋体" w:hAnsi="Times New Roman" w:cs="Times New Roman"/>
          <w:sz w:val="24"/>
          <w:szCs w:val="24"/>
        </w:rPr>
        <w:t>150</w:t>
      </w:r>
      <w:r>
        <w:rPr>
          <w:rFonts w:ascii="宋体" w:eastAsia="宋体" w:hAnsi="宋体" w:cs="Times New Roman" w:hint="eastAsia"/>
          <w:sz w:val="24"/>
          <w:szCs w:val="24"/>
        </w:rPr>
        <w:t>日，对应的赎回费率为</w:t>
      </w:r>
      <w:r>
        <w:rPr>
          <w:rFonts w:ascii="Times New Roman" w:eastAsia="宋体" w:hAnsi="Times New Roman" w:cs="Times New Roman" w:hint="eastAsia"/>
          <w:sz w:val="24"/>
          <w:szCs w:val="24"/>
        </w:rPr>
        <w:t>0.50%</w:t>
      </w:r>
      <w:r>
        <w:rPr>
          <w:rFonts w:ascii="宋体" w:eastAsia="宋体" w:hAnsi="宋体" w:cs="Times New Roman" w:hint="eastAsia"/>
          <w:sz w:val="24"/>
          <w:szCs w:val="24"/>
        </w:rPr>
        <w:t>，假设赎回当日</w:t>
      </w:r>
      <w:r>
        <w:rPr>
          <w:rFonts w:ascii="Times New Roman" w:eastAsia="宋体" w:hAnsi="Times New Roman" w:cs="Times New Roman" w:hint="eastAsia"/>
          <w:sz w:val="24"/>
          <w:szCs w:val="24"/>
        </w:rPr>
        <w:t>A</w:t>
      </w:r>
      <w:r>
        <w:rPr>
          <w:rFonts w:ascii="宋体" w:eastAsia="宋体" w:hAnsi="宋体" w:cs="Times New Roman" w:hint="eastAsia"/>
          <w:sz w:val="24"/>
          <w:szCs w:val="24"/>
        </w:rPr>
        <w:t>类基金份额净值为</w:t>
      </w:r>
      <w:r>
        <w:rPr>
          <w:rFonts w:ascii="Times New Roman" w:eastAsia="宋体" w:hAnsi="Times New Roman" w:cs="Times New Roman" w:hint="eastAsia"/>
          <w:sz w:val="24"/>
          <w:szCs w:val="24"/>
        </w:rPr>
        <w:t>1.2500</w:t>
      </w:r>
      <w:r>
        <w:rPr>
          <w:rFonts w:ascii="宋体" w:eastAsia="宋体" w:hAnsi="宋体" w:cs="Times New Roman" w:hint="eastAsia"/>
          <w:sz w:val="24"/>
          <w:szCs w:val="24"/>
        </w:rPr>
        <w:t>元，则其获得的赎回金额为</w:t>
      </w:r>
      <w:r>
        <w:rPr>
          <w:rFonts w:ascii="Times New Roman" w:eastAsia="宋体" w:hAnsi="Times New Roman" w:cs="Times New Roman" w:hint="eastAsia"/>
          <w:sz w:val="24"/>
          <w:szCs w:val="24"/>
        </w:rPr>
        <w:t>12,437.50</w:t>
      </w:r>
      <w:r>
        <w:rPr>
          <w:rFonts w:ascii="宋体" w:eastAsia="宋体" w:hAnsi="宋体"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例：某投资者在</w:t>
      </w:r>
      <w:r>
        <w:rPr>
          <w:rFonts w:ascii="Times New Roman" w:eastAsia="宋体" w:hAnsi="Times New Roman" w:cs="Times New Roman" w:hint="eastAsia"/>
          <w:sz w:val="24"/>
          <w:szCs w:val="24"/>
        </w:rPr>
        <w:t>T</w:t>
      </w:r>
      <w:r>
        <w:rPr>
          <w:rFonts w:ascii="宋体" w:eastAsia="宋体" w:hAnsi="宋体" w:cs="Times New Roman" w:hint="eastAsia"/>
          <w:sz w:val="24"/>
          <w:szCs w:val="24"/>
        </w:rPr>
        <w:t>日赎回</w:t>
      </w:r>
      <w:r>
        <w:rPr>
          <w:rFonts w:ascii="Times New Roman" w:eastAsia="宋体" w:hAnsi="Times New Roman" w:cs="Times New Roman" w:hint="eastAsia"/>
          <w:sz w:val="24"/>
          <w:szCs w:val="24"/>
        </w:rPr>
        <w:t>10,000</w:t>
      </w:r>
      <w:r>
        <w:rPr>
          <w:rFonts w:ascii="宋体" w:eastAsia="宋体" w:hAnsi="宋体" w:cs="Times New Roman" w:hint="eastAsia"/>
          <w:sz w:val="24"/>
          <w:szCs w:val="24"/>
        </w:rPr>
        <w:t>份</w:t>
      </w:r>
      <w:r>
        <w:rPr>
          <w:rFonts w:ascii="Times New Roman" w:eastAsia="宋体" w:hAnsi="Times New Roman" w:cs="Times New Roman" w:hint="eastAsia"/>
          <w:sz w:val="24"/>
          <w:szCs w:val="24"/>
        </w:rPr>
        <w:t>C</w:t>
      </w:r>
      <w:r>
        <w:rPr>
          <w:rFonts w:ascii="宋体" w:eastAsia="宋体" w:hAnsi="宋体" w:cs="Times New Roman" w:hint="eastAsia"/>
          <w:sz w:val="24"/>
          <w:szCs w:val="24"/>
        </w:rPr>
        <w:t>类基金份额，持有时间为</w:t>
      </w:r>
      <w:r>
        <w:rPr>
          <w:rFonts w:ascii="Times New Roman" w:eastAsia="宋体" w:hAnsi="Times New Roman" w:cs="Times New Roman"/>
          <w:sz w:val="24"/>
          <w:szCs w:val="24"/>
        </w:rPr>
        <w:t>150</w:t>
      </w:r>
      <w:r>
        <w:rPr>
          <w:rFonts w:ascii="宋体" w:eastAsia="宋体" w:hAnsi="宋体" w:cs="Times New Roman" w:hint="eastAsia"/>
          <w:sz w:val="24"/>
          <w:szCs w:val="24"/>
        </w:rPr>
        <w:t>日，不收取赎回费用，假设赎回当日</w:t>
      </w:r>
      <w:r>
        <w:rPr>
          <w:rFonts w:ascii="Times New Roman" w:eastAsia="宋体" w:hAnsi="Times New Roman" w:cs="Times New Roman" w:hint="eastAsia"/>
          <w:sz w:val="24"/>
          <w:szCs w:val="24"/>
        </w:rPr>
        <w:t>C</w:t>
      </w:r>
      <w:r>
        <w:rPr>
          <w:rFonts w:ascii="宋体" w:eastAsia="宋体" w:hAnsi="宋体" w:cs="Times New Roman" w:hint="eastAsia"/>
          <w:sz w:val="24"/>
          <w:szCs w:val="24"/>
        </w:rPr>
        <w:t>类基金份额净值为</w:t>
      </w:r>
      <w:r>
        <w:rPr>
          <w:rFonts w:ascii="Times New Roman" w:eastAsia="宋体" w:hAnsi="Times New Roman" w:cs="Times New Roman" w:hint="eastAsia"/>
          <w:sz w:val="24"/>
          <w:szCs w:val="24"/>
        </w:rPr>
        <w:t>1.2500</w:t>
      </w:r>
      <w:r>
        <w:rPr>
          <w:rFonts w:ascii="宋体" w:eastAsia="宋体" w:hAnsi="宋体" w:cs="Times New Roman" w:hint="eastAsia"/>
          <w:sz w:val="24"/>
          <w:szCs w:val="24"/>
        </w:rPr>
        <w:t>元，则其获得的赎回金额计算如下：</w:t>
      </w:r>
    </w:p>
    <w:p w:rsidR="0068684E" w:rsidRDefault="000021E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赎回金额＝</w:t>
      </w:r>
      <w:r>
        <w:rPr>
          <w:rFonts w:ascii="Times New Roman" w:eastAsia="宋体" w:hAnsi="Times New Roman" w:cs="Times New Roman" w:hint="eastAsia"/>
          <w:sz w:val="24"/>
          <w:szCs w:val="24"/>
        </w:rPr>
        <w:t>10,000</w:t>
      </w:r>
      <w:r>
        <w:rPr>
          <w:rFonts w:ascii="宋体" w:eastAsia="宋体" w:hAnsi="宋体" w:cs="Times New Roman" w:hint="eastAsia"/>
          <w:sz w:val="24"/>
          <w:szCs w:val="24"/>
        </w:rPr>
        <w:t>×</w:t>
      </w:r>
      <w:r>
        <w:rPr>
          <w:rFonts w:ascii="Times New Roman" w:eastAsia="宋体" w:hAnsi="Times New Roman" w:cs="Times New Roman" w:hint="eastAsia"/>
          <w:sz w:val="24"/>
          <w:szCs w:val="24"/>
        </w:rPr>
        <w:t>1.2500</w:t>
      </w:r>
      <w:r>
        <w:rPr>
          <w:rFonts w:ascii="宋体" w:eastAsia="宋体" w:hAnsi="宋体" w:cs="Times New Roman" w:hint="eastAsia"/>
          <w:sz w:val="24"/>
          <w:szCs w:val="24"/>
        </w:rPr>
        <w:t>＝</w:t>
      </w:r>
      <w:r>
        <w:rPr>
          <w:rFonts w:ascii="Times New Roman" w:eastAsia="宋体" w:hAnsi="Times New Roman" w:cs="Times New Roman" w:hint="eastAsia"/>
          <w:sz w:val="24"/>
          <w:szCs w:val="24"/>
        </w:rPr>
        <w:t>12,500.00</w:t>
      </w:r>
      <w:r>
        <w:rPr>
          <w:rFonts w:ascii="宋体" w:eastAsia="宋体" w:hAnsi="宋体"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赎回费用＝</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0.00</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w:t>
      </w:r>
      <w:r>
        <w:rPr>
          <w:rFonts w:ascii="Times New Roman" w:eastAsia="宋体" w:hAnsi="Times New Roman" w:cs="Times New Roman"/>
          <w:sz w:val="24"/>
          <w:szCs w:val="24"/>
        </w:rPr>
        <w:t>.</w:t>
      </w:r>
      <w:r>
        <w:rPr>
          <w:rFonts w:ascii="Times New Roman" w:eastAsia="宋体" w:hAnsi="Times New Roman" w:cs="Times New Roman" w:hint="eastAsia"/>
          <w:sz w:val="24"/>
          <w:szCs w:val="24"/>
        </w:rPr>
        <w:t>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即：该投资者赎回</w:t>
      </w:r>
      <w:r>
        <w:rPr>
          <w:rFonts w:ascii="Times New Roman" w:eastAsia="宋体" w:hAnsi="Times New Roman" w:cs="Times New Roman" w:hint="eastAsia"/>
          <w:sz w:val="24"/>
          <w:szCs w:val="24"/>
        </w:rPr>
        <w:t>10,000</w:t>
      </w:r>
      <w:r>
        <w:rPr>
          <w:rFonts w:ascii="宋体" w:eastAsia="宋体" w:hAnsi="宋体" w:cs="Times New Roman" w:hint="eastAsia"/>
          <w:sz w:val="24"/>
          <w:szCs w:val="24"/>
        </w:rPr>
        <w:t>份</w:t>
      </w:r>
      <w:r>
        <w:rPr>
          <w:rFonts w:ascii="Times New Roman" w:eastAsia="宋体" w:hAnsi="Times New Roman" w:cs="Times New Roman" w:hint="eastAsia"/>
          <w:sz w:val="24"/>
          <w:szCs w:val="24"/>
        </w:rPr>
        <w:t>C</w:t>
      </w:r>
      <w:r>
        <w:rPr>
          <w:rFonts w:ascii="宋体" w:eastAsia="宋体" w:hAnsi="宋体" w:cs="Times New Roman" w:hint="eastAsia"/>
          <w:sz w:val="24"/>
          <w:szCs w:val="24"/>
        </w:rPr>
        <w:t>类基金份额，持有时间为</w:t>
      </w:r>
      <w:r>
        <w:rPr>
          <w:rFonts w:ascii="Times New Roman" w:eastAsia="宋体" w:hAnsi="Times New Roman" w:cs="Times New Roman"/>
          <w:sz w:val="24"/>
          <w:szCs w:val="24"/>
        </w:rPr>
        <w:t>150</w:t>
      </w:r>
      <w:r>
        <w:rPr>
          <w:rFonts w:ascii="宋体" w:eastAsia="宋体" w:hAnsi="宋体" w:cs="Times New Roman" w:hint="eastAsia"/>
          <w:sz w:val="24"/>
          <w:szCs w:val="24"/>
        </w:rPr>
        <w:t>日，不收取赎回费用，假设赎回当日</w:t>
      </w:r>
      <w:r>
        <w:rPr>
          <w:rFonts w:ascii="Times New Roman" w:eastAsia="宋体" w:hAnsi="Times New Roman" w:cs="Times New Roman" w:hint="eastAsia"/>
          <w:sz w:val="24"/>
          <w:szCs w:val="24"/>
        </w:rPr>
        <w:t>C</w:t>
      </w:r>
      <w:r>
        <w:rPr>
          <w:rFonts w:ascii="宋体" w:eastAsia="宋体" w:hAnsi="宋体" w:cs="Times New Roman" w:hint="eastAsia"/>
          <w:sz w:val="24"/>
          <w:szCs w:val="24"/>
        </w:rPr>
        <w:t>类基金份额净值为</w:t>
      </w:r>
      <w:r>
        <w:rPr>
          <w:rFonts w:ascii="Times New Roman" w:eastAsia="宋体" w:hAnsi="Times New Roman" w:cs="Times New Roman" w:hint="eastAsia"/>
          <w:sz w:val="24"/>
          <w:szCs w:val="24"/>
        </w:rPr>
        <w:t>1.2500</w:t>
      </w:r>
      <w:r>
        <w:rPr>
          <w:rFonts w:ascii="宋体" w:eastAsia="宋体" w:hAnsi="宋体" w:cs="Times New Roman" w:hint="eastAsia"/>
          <w:sz w:val="24"/>
          <w:szCs w:val="24"/>
        </w:rPr>
        <w:t>元，则其获得的赎回金额为</w:t>
      </w:r>
      <w:r>
        <w:rPr>
          <w:rFonts w:ascii="Times New Roman" w:eastAsia="宋体" w:hAnsi="Times New Roman" w:cs="Times New Roman" w:hint="eastAsia"/>
          <w:sz w:val="24"/>
          <w:szCs w:val="24"/>
        </w:rPr>
        <w:t>12,500.00</w:t>
      </w:r>
      <w:r>
        <w:rPr>
          <w:rFonts w:ascii="宋体" w:eastAsia="宋体" w:hAnsi="宋体" w:cs="Times New Roman" w:hint="eastAsia"/>
          <w:sz w:val="24"/>
          <w:szCs w:val="24"/>
        </w:rPr>
        <w:t>元。</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、本基金基金份额净值的计算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本基金各类基金份额净值的计算，均保留到小数点后</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位，小数点后第</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位四舍五入，由此产生的收益或损失由基金财产承担。</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日的各类基金份额净值在</w:t>
      </w:r>
      <w:r>
        <w:rPr>
          <w:rFonts w:ascii="Times New Roman" w:eastAsia="宋体" w:hAnsi="Times New Roman" w:cs="Times New Roman" w:hint="eastAsia"/>
          <w:bCs/>
          <w:sz w:val="24"/>
          <w:szCs w:val="24"/>
        </w:rPr>
        <w:t>T+2</w:t>
      </w:r>
      <w:r>
        <w:rPr>
          <w:rFonts w:ascii="Times New Roman" w:eastAsia="宋体" w:hAnsi="Times New Roman" w:cs="Times New Roman" w:hint="eastAsia"/>
          <w:bCs/>
          <w:sz w:val="24"/>
          <w:szCs w:val="24"/>
        </w:rPr>
        <w:t>日内计算，并在</w:t>
      </w:r>
      <w:r>
        <w:rPr>
          <w:rFonts w:ascii="Times New Roman" w:eastAsia="宋体" w:hAnsi="Times New Roman" w:cs="Times New Roman" w:hint="eastAsia"/>
          <w:bCs/>
          <w:sz w:val="24"/>
          <w:szCs w:val="24"/>
        </w:rPr>
        <w:t>T+3</w:t>
      </w:r>
      <w:r>
        <w:rPr>
          <w:rFonts w:ascii="Times New Roman" w:eastAsia="宋体" w:hAnsi="Times New Roman" w:cs="Times New Roman" w:hint="eastAsia"/>
          <w:bCs/>
          <w:sz w:val="24"/>
          <w:szCs w:val="24"/>
        </w:rPr>
        <w:t>日内公告。遇特殊情况，经履行适当程序，可以适当延迟计算或公告。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、申购份额的计算及余额的处理方式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申购的有效份额为净申购金额除以当日的</w:t>
      </w:r>
      <w:r>
        <w:rPr>
          <w:rFonts w:ascii="Times New Roman" w:eastAsia="宋体" w:hAnsi="Times New Roman" w:cs="Times New Roman" w:hint="eastAsia"/>
          <w:bCs/>
          <w:sz w:val="24"/>
        </w:rPr>
        <w:t>该类</w:t>
      </w:r>
      <w:r>
        <w:rPr>
          <w:rFonts w:ascii="Times New Roman" w:eastAsia="宋体" w:hAnsi="Times New Roman" w:cs="Times New Roman"/>
          <w:bCs/>
          <w:sz w:val="24"/>
          <w:szCs w:val="24"/>
        </w:rPr>
        <w:t>基金份额净值，有效份额单位为份，上述计算结果均按四舍五入方法，保留到小数点后</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位，由此产生的收益或损失由基金财产承担。</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、赎回金额的计算及处理方式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赎回金额为按实际确认的有效赎回份额乘以当日</w:t>
      </w:r>
      <w:r>
        <w:rPr>
          <w:rFonts w:ascii="Times New Roman" w:eastAsia="宋体" w:hAnsi="Times New Roman" w:cs="Times New Roman" w:hint="eastAsia"/>
          <w:bCs/>
          <w:sz w:val="24"/>
        </w:rPr>
        <w:t>该类</w:t>
      </w:r>
      <w:r>
        <w:rPr>
          <w:rFonts w:ascii="Times New Roman" w:eastAsia="宋体" w:hAnsi="Times New Roman" w:cs="Times New Roman" w:hint="eastAsia"/>
          <w:bCs/>
          <w:sz w:val="24"/>
          <w:szCs w:val="24"/>
        </w:rPr>
        <w:t>基金份额净值并扣除相应的费用，赎回金额单位为元。上述计算结果均按四舍五入方法，保留到小数点后</w:t>
      </w: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位，由此产生的收益或损失由基金财产承担。</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申购和赎回的登记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w:t>
      </w:r>
      <w:r>
        <w:rPr>
          <w:rFonts w:ascii="Times New Roman" w:eastAsia="宋体" w:hAnsi="Times New Roman" w:cs="Times New Roman"/>
          <w:bCs/>
          <w:sz w:val="24"/>
          <w:szCs w:val="24"/>
        </w:rPr>
        <w:t>T</w:t>
      </w:r>
      <w:r>
        <w:rPr>
          <w:rFonts w:ascii="Times New Roman" w:eastAsia="宋体" w:hAnsi="Times New Roman" w:cs="Times New Roman" w:hint="eastAsia"/>
          <w:bCs/>
          <w:sz w:val="24"/>
          <w:szCs w:val="24"/>
        </w:rPr>
        <w:t>日申购基金成功后，正常情况下，基金登记机构在</w:t>
      </w:r>
      <w:r>
        <w:rPr>
          <w:rFonts w:ascii="Times New Roman" w:eastAsia="宋体" w:hAnsi="Times New Roman" w:cs="Times New Roman"/>
          <w:bCs/>
          <w:sz w:val="24"/>
          <w:szCs w:val="24"/>
        </w:rPr>
        <w:t>T+3</w:t>
      </w:r>
      <w:r>
        <w:rPr>
          <w:rFonts w:ascii="Times New Roman" w:eastAsia="宋体" w:hAnsi="Times New Roman" w:cs="Times New Roman" w:hint="eastAsia"/>
          <w:bCs/>
          <w:sz w:val="24"/>
          <w:szCs w:val="24"/>
        </w:rPr>
        <w:t>日内为投资者登记权益并办理登记手续。</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w:t>
      </w:r>
      <w:r>
        <w:rPr>
          <w:rFonts w:ascii="Times New Roman" w:eastAsia="宋体" w:hAnsi="Times New Roman" w:cs="Times New Roman"/>
          <w:bCs/>
          <w:sz w:val="24"/>
          <w:szCs w:val="24"/>
        </w:rPr>
        <w:t>T</w:t>
      </w:r>
      <w:r>
        <w:rPr>
          <w:rFonts w:ascii="Times New Roman" w:eastAsia="宋体" w:hAnsi="Times New Roman" w:cs="Times New Roman" w:hint="eastAsia"/>
          <w:bCs/>
          <w:sz w:val="24"/>
          <w:szCs w:val="24"/>
        </w:rPr>
        <w:t>日赎回基金成功后，正常情况下，基金登记机构在</w:t>
      </w:r>
      <w:r>
        <w:rPr>
          <w:rFonts w:ascii="Times New Roman" w:eastAsia="宋体" w:hAnsi="Times New Roman" w:cs="Times New Roman"/>
          <w:bCs/>
          <w:sz w:val="24"/>
          <w:szCs w:val="24"/>
        </w:rPr>
        <w:t>T+3</w:t>
      </w:r>
      <w:r>
        <w:rPr>
          <w:rFonts w:ascii="Times New Roman" w:eastAsia="宋体" w:hAnsi="Times New Roman" w:cs="Times New Roman" w:hint="eastAsia"/>
          <w:bCs/>
          <w:sz w:val="24"/>
          <w:szCs w:val="24"/>
        </w:rPr>
        <w:t>日内为投资者办理扣除权益的登记手续。</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基金管理人可以在法律法规允许的范围内，对上述登记办理时间进行调整，但不得实质影响投资者的合法权益，并最迟于开始实施前在规定媒介公告。</w:t>
      </w:r>
    </w:p>
    <w:p w:rsidR="0068684E" w:rsidRDefault="000021E4">
      <w:pPr>
        <w:numPr>
          <w:ilvl w:val="0"/>
          <w:numId w:val="6"/>
        </w:num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lastRenderedPageBreak/>
        <w:t>拒绝或暂停申购的情形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发生下列情况时，基金管理人可拒绝或暂停接受投资者的申购申请：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、因不可抗力导致基金无法正常运作。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、发生基金合同规定的暂停基金资产估值情况时，基金管理人可暂停接受投资人的申购申请。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、证券交易所或外汇市场交易时间非正常停市，或基金参与港股通交易且港股通暂停交易，导致基金管理人无法计算当日基金资产净值。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、接受某笔或某些申购申请可能会影响或损害现有基金份额持有人利益时。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、基金管理人接受某笔或者某些申购申请有可能导致单一投资者持有基金份额的比例达到或者超过</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，或者变相规避</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集中度的情形时。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、基金资产规模过大，使基金管理人无法找到合适的投资品种，或其他可能对基金业绩产生负面影响，或发生其他损害现有基金份额持有人利益的情形。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、占本基金相当比例的被投资基金暂停估值，导致基金管理人无法计算当日基金资产净值。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、占本基金相当比例的被投资基金暂停申购、暂停上市或二级市场交易停牌，基金管理人认为有必要暂停本基金申购的情形。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、基金管理人、基金托管人、基金销售机构或登记机构的异常情况导致基金销售系统、登记系统或基金会计系统无法正常运行。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、当前一估值日基金资产净值</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以上的资产出现无可参考的活跃市场价格且采用估值技术仍导致公允价值存在重大不确定性时，经与基金托管人协商确认后，基金管理人应当暂停接受基金申购申请。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、接受某笔或某些申购申请超过基金管理人设定的本基金的总规模限额、单日申购金额限制、单日净申购比例上限、单个投资者单日或单笔申购金额上限、单个投资者累计持有的基金份额上限的。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、法律法规规定或中国证监会认定的其他情形。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发生上述除第</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项以外的暂停申购情形之一且基金管理人决定暂停接</w:t>
      </w:r>
      <w:r>
        <w:rPr>
          <w:rFonts w:ascii="Times New Roman" w:eastAsia="宋体" w:hAnsi="Times New Roman" w:cs="Times New Roman" w:hint="eastAsia"/>
          <w:bCs/>
          <w:sz w:val="24"/>
          <w:szCs w:val="24"/>
        </w:rPr>
        <w:lastRenderedPageBreak/>
        <w:t>受投资者的申购申请时，基金管理人应当根据有关规定在规定媒介上刊登暂停申购公告。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如果投资者的申购申请被全部或部分拒绝，被拒绝的申购款项本金将退还给投资者，基金管理人及基金托管人不承担该退回款项产生的利息等损失。在暂停申购的情况消除时，基金管理人应及时恢复申购业务的办理。</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暂停赎回或延缓支付赎回款项的情形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发生下列情形时，基金管理人可暂停接受投资者的赎回申请或延缓支付赎回款项：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、因不可抗力导致基金管理人不能支付赎回款项。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、发生基金合同规定的暂停基金资产估值情况时，基金管理人可暂停接受投资人的赎回申请或延缓支付赎回款项。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、证券交易所或外汇市场交易时间非正常停市，或基金参与港股通交易且港股通暂停交易，导致基金管理人无法计算当日基金资产净值。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、连续两个或两个以上开放日发生巨额赎回。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、发生继续接受赎回申请将损害现有基金份额持有人利益的情形时，基金管理人可暂停接受基金份额持有人的赎回申请。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、占本基金相当比例的被投资基金暂停估值，导致基金管理人无法计算当日基金资产净值。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、占本基金相当比例的被投资基金暂停赎回、暂停上市或二级市场交易停牌、延缓支付赎回款项</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对价，基金管理人认为有必要暂停本基金赎回的情形。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、当前一估值日基金资产净值</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、基金份额持有人持有基金份额的期限不满足基金合同约定的最短持有期要求的。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、法律法规规定或中国证监会认定的其他情形。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发生上述情形之一（第</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项、第</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项除外）且基金管理人决定暂停赎回或延缓支付赎回款项时，基金管理人应按规定报中国证监会备案，根据有关规定在规定媒介上刊登暂停赎回公告，已确认的赎回申请，基金管理人应足额支付；如暂</w:t>
      </w:r>
      <w:r>
        <w:rPr>
          <w:rFonts w:ascii="Times New Roman" w:eastAsia="宋体" w:hAnsi="Times New Roman" w:cs="Times New Roman" w:hint="eastAsia"/>
          <w:bCs/>
          <w:sz w:val="24"/>
          <w:szCs w:val="24"/>
        </w:rPr>
        <w:lastRenderedPageBreak/>
        <w:t>时不能足额支付，应将可支付部分按单个账户申请量占申请总量的比例分配给赎回申请人，未支付部分可延期支付。</w:t>
      </w:r>
    </w:p>
    <w:p w:rsidR="0068684E" w:rsidRDefault="000021E4">
      <w:pPr>
        <w:spacing w:line="360" w:lineRule="auto"/>
        <w:ind w:firstLineChars="200" w:firstLine="480"/>
        <w:rPr>
          <w:rFonts w:ascii="Times New Roman" w:eastAsia="宋体" w:hAnsi="Times New Roman" w:cs="Times New Roman"/>
          <w:bCs/>
          <w:szCs w:val="21"/>
        </w:rPr>
      </w:pPr>
      <w:r>
        <w:rPr>
          <w:rFonts w:ascii="Times New Roman" w:eastAsia="宋体" w:hAnsi="Times New Roman" w:cs="Times New Roman" w:hint="eastAsia"/>
          <w:bCs/>
          <w:sz w:val="24"/>
          <w:szCs w:val="24"/>
        </w:rPr>
        <w:t>若出现上述第</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巨额赎回的情形及处理方式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巨额赎回的认定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若本基金单个开放日内的基金份额净赎回申请</w:t>
      </w:r>
      <w:r>
        <w:rPr>
          <w:rFonts w:ascii="宋体" w:eastAsia="宋体" w:hAnsi="宋体" w:cs="Times New Roman" w:hint="eastAsia"/>
          <w:bCs/>
          <w:sz w:val="24"/>
          <w:szCs w:val="24"/>
        </w:rPr>
        <w:t>（</w:t>
      </w:r>
      <w:r>
        <w:rPr>
          <w:rFonts w:ascii="宋体" w:eastAsia="宋体" w:hAnsi="宋体" w:cs="Times New Roman"/>
          <w:bCs/>
          <w:sz w:val="24"/>
          <w:szCs w:val="24"/>
        </w:rPr>
        <w:t>赎回申请份额总数加上基金转换中转出申请份额总数后扣除申购申请份额总数及基金转换中转入申请份额总数后的余额</w:t>
      </w:r>
      <w:r>
        <w:rPr>
          <w:rFonts w:ascii="宋体" w:eastAsia="宋体" w:hAnsi="宋体" w:cs="Times New Roman" w:hint="eastAsia"/>
          <w:bCs/>
          <w:sz w:val="24"/>
          <w:szCs w:val="24"/>
        </w:rPr>
        <w:t>）</w:t>
      </w:r>
      <w:r>
        <w:rPr>
          <w:rFonts w:ascii="宋体" w:eastAsia="宋体" w:hAnsi="宋体" w:cs="Times New Roman"/>
          <w:bCs/>
          <w:sz w:val="24"/>
          <w:szCs w:val="24"/>
        </w:rPr>
        <w:t>超过前一开放日的基金总份额的</w:t>
      </w:r>
      <w:r>
        <w:rPr>
          <w:rFonts w:ascii="Times New Roman" w:eastAsia="宋体" w:hAnsi="Times New Roman" w:cs="Times New Roman"/>
          <w:bCs/>
          <w:sz w:val="24"/>
          <w:szCs w:val="24"/>
        </w:rPr>
        <w:t>10</w:t>
      </w:r>
      <w:r>
        <w:rPr>
          <w:rFonts w:ascii="Times New Roman" w:eastAsia="宋体" w:hAnsi="Times New Roman" w:cs="Times New Roman" w:hint="eastAsia"/>
          <w:bCs/>
          <w:sz w:val="24"/>
          <w:szCs w:val="24"/>
        </w:rPr>
        <w:t>%</w:t>
      </w:r>
      <w:r>
        <w:rPr>
          <w:rFonts w:ascii="宋体" w:eastAsia="宋体" w:hAnsi="宋体" w:cs="Times New Roman"/>
          <w:bCs/>
          <w:sz w:val="24"/>
          <w:szCs w:val="24"/>
        </w:rPr>
        <w:t>，即认为是发生了巨额赎回。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宋体" w:eastAsia="宋体" w:hAnsi="宋体" w:cs="Times New Roman"/>
          <w:bCs/>
          <w:sz w:val="24"/>
          <w:szCs w:val="24"/>
        </w:rPr>
        <w:t>巨额赎回的处理方式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当基金出现巨额赎回时，基金管理人可以根据基金当时的资产组合状况决定全额赎回</w:t>
      </w:r>
      <w:r>
        <w:rPr>
          <w:rFonts w:ascii="宋体" w:eastAsia="宋体" w:hAnsi="宋体" w:cs="Times New Roman" w:hint="eastAsia"/>
          <w:bCs/>
          <w:sz w:val="24"/>
          <w:szCs w:val="24"/>
        </w:rPr>
        <w:t>、</w:t>
      </w:r>
      <w:r>
        <w:rPr>
          <w:rFonts w:ascii="宋体" w:eastAsia="宋体" w:hAnsi="宋体" w:cs="Times New Roman"/>
          <w:bCs/>
          <w:sz w:val="24"/>
          <w:szCs w:val="24"/>
        </w:rPr>
        <w:t>部分延期赎回或暂停赎回。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）全额赎回：当基金管理人认为有能力支付投资者的全部赎回申请时，按正常赎回程序执行。</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ascii="Times New Roman" w:eastAsia="宋体" w:hAnsi="Times New Roman" w:cs="Times New Roman" w:hint="eastAsia"/>
          <w:bCs/>
          <w:sz w:val="24"/>
          <w:szCs w:val="24"/>
        </w:rPr>
        <w:t>10%</w:t>
      </w:r>
      <w:r>
        <w:rPr>
          <w:rFonts w:ascii="宋体" w:eastAsia="宋体" w:hAnsi="宋体" w:cs="Times New Roman" w:hint="eastAsia"/>
          <w:bCs/>
          <w:sz w:val="24"/>
          <w:szCs w:val="24"/>
        </w:rPr>
        <w:t>的前</w:t>
      </w:r>
      <w:r>
        <w:rPr>
          <w:rFonts w:ascii="宋体" w:eastAsia="宋体" w:hAnsi="宋体" w:cs="Times New Roman"/>
          <w:bCs/>
          <w:sz w:val="24"/>
          <w:szCs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ascii="宋体" w:eastAsia="宋体" w:hAnsi="宋体" w:cs="Times New Roman" w:hint="eastAsia"/>
          <w:bCs/>
          <w:sz w:val="24"/>
          <w:szCs w:val="24"/>
        </w:rPr>
        <w:t>者</w:t>
      </w:r>
      <w:r>
        <w:rPr>
          <w:rFonts w:ascii="宋体" w:eastAsia="宋体" w:hAnsi="宋体" w:cs="Times New Roman"/>
          <w:bCs/>
          <w:sz w:val="24"/>
          <w:szCs w:val="24"/>
        </w:rPr>
        <w:t>在提交赎回申请时未作明确选择，投资者未能赎回部分作自动延期赎回处理。</w:t>
      </w:r>
      <w:r>
        <w:rPr>
          <w:rFonts w:ascii="宋体" w:eastAsia="宋体" w:hAnsi="宋体" w:cs="Times New Roman" w:hint="eastAsia"/>
          <w:bCs/>
          <w:sz w:val="24"/>
          <w:szCs w:val="24"/>
        </w:rPr>
        <w:t>部分延期赎回不受单笔赎回最低份额的限制。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若基金发生巨额赎回，在出现单个开放日内单个基金份额持有人申请赎回的基金份额超过前一开放日基金总份额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（“大额赎回申请人”）情形下，基金管理人可以对大额赎回申请人的赎回申请延期办理，即按照保护其他赎回申请人</w:t>
      </w:r>
      <w:r>
        <w:rPr>
          <w:rFonts w:ascii="Times New Roman" w:eastAsia="宋体" w:hAnsi="Times New Roman" w:cs="Times New Roman" w:hint="eastAsia"/>
          <w:bCs/>
          <w:sz w:val="24"/>
          <w:szCs w:val="24"/>
        </w:rPr>
        <w:lastRenderedPageBreak/>
        <w:t>（“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3</w:t>
      </w:r>
      <w:r>
        <w:rPr>
          <w:rFonts w:ascii="宋体" w:eastAsia="宋体" w:hAnsi="宋体" w:cs="Times New Roman"/>
          <w:bCs/>
          <w:sz w:val="24"/>
          <w:szCs w:val="24"/>
        </w:rPr>
        <w:t>）暂停赎回：连续</w:t>
      </w: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个开放</w:t>
      </w:r>
      <w:r>
        <w:rPr>
          <w:rFonts w:ascii="宋体" w:eastAsia="宋体" w:hAnsi="宋体" w:cs="Times New Roman"/>
          <w:bCs/>
          <w:sz w:val="24"/>
          <w:szCs w:val="24"/>
        </w:rPr>
        <w:t>日以上</w:t>
      </w:r>
      <w:r>
        <w:rPr>
          <w:rFonts w:ascii="宋体" w:eastAsia="宋体" w:hAnsi="宋体" w:cs="Times New Roman" w:hint="eastAsia"/>
          <w:bCs/>
          <w:sz w:val="24"/>
          <w:szCs w:val="24"/>
        </w:rPr>
        <w:t>（</w:t>
      </w:r>
      <w:r>
        <w:rPr>
          <w:rFonts w:ascii="宋体" w:eastAsia="宋体" w:hAnsi="宋体" w:cs="Times New Roman"/>
          <w:bCs/>
          <w:sz w:val="24"/>
          <w:szCs w:val="24"/>
        </w:rPr>
        <w:t>含本数</w:t>
      </w:r>
      <w:r>
        <w:rPr>
          <w:rFonts w:ascii="宋体" w:eastAsia="宋体" w:hAnsi="宋体" w:cs="Times New Roman" w:hint="eastAsia"/>
          <w:bCs/>
          <w:sz w:val="24"/>
          <w:szCs w:val="24"/>
        </w:rPr>
        <w:t>）</w:t>
      </w:r>
      <w:r>
        <w:rPr>
          <w:rFonts w:ascii="宋体" w:eastAsia="宋体" w:hAnsi="宋体" w:cs="Times New Roman"/>
          <w:bCs/>
          <w:sz w:val="24"/>
          <w:szCs w:val="24"/>
        </w:rPr>
        <w:t>发生巨额赎回，如基金管理人认为有必要，可暂停接受基金的赎回申请；已经接受的赎回申请可以延缓支付赎回款项，但不得超过</w:t>
      </w:r>
      <w:r>
        <w:rPr>
          <w:rFonts w:ascii="Times New Roman" w:eastAsia="宋体" w:hAnsi="Times New Roman" w:cs="Times New Roman"/>
          <w:bCs/>
          <w:sz w:val="24"/>
          <w:szCs w:val="24"/>
        </w:rPr>
        <w:t>20</w:t>
      </w:r>
      <w:r>
        <w:rPr>
          <w:rFonts w:ascii="宋体" w:eastAsia="宋体" w:hAnsi="宋体" w:cs="Times New Roman"/>
          <w:bCs/>
          <w:sz w:val="24"/>
          <w:szCs w:val="24"/>
        </w:rPr>
        <w:t>个工作日，并应当在规定媒介上进行公告。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hint="eastAsia"/>
          <w:bCs/>
          <w:sz w:val="24"/>
          <w:szCs w:val="24"/>
        </w:rPr>
        <w:t>、</w:t>
      </w:r>
      <w:r>
        <w:rPr>
          <w:rFonts w:ascii="宋体" w:eastAsia="宋体" w:hAnsi="宋体" w:cs="Times New Roman"/>
          <w:bCs/>
          <w:sz w:val="24"/>
          <w:szCs w:val="24"/>
        </w:rPr>
        <w:t>巨额赎回的公告</w:t>
      </w:r>
    </w:p>
    <w:p w:rsidR="0068684E" w:rsidRDefault="000021E4">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当发生上述</w:t>
      </w:r>
      <w:r>
        <w:rPr>
          <w:rFonts w:ascii="宋体" w:eastAsia="宋体" w:hAnsi="宋体" w:cs="Times New Roman" w:hint="eastAsia"/>
          <w:bCs/>
          <w:sz w:val="24"/>
          <w:szCs w:val="24"/>
        </w:rPr>
        <w:t>巨额</w:t>
      </w:r>
      <w:r>
        <w:rPr>
          <w:rFonts w:ascii="宋体" w:eastAsia="宋体" w:hAnsi="宋体" w:cs="Times New Roman"/>
          <w:bCs/>
          <w:sz w:val="24"/>
          <w:szCs w:val="24"/>
        </w:rPr>
        <w:t>赎回并延期办理时，基金管理人应当通过邮寄、传真或者招募说明书规定的其他方式在</w:t>
      </w:r>
      <w:r>
        <w:rPr>
          <w:rFonts w:ascii="Times New Roman" w:eastAsia="宋体" w:hAnsi="Times New Roman" w:cs="Times New Roman" w:hint="eastAsia"/>
          <w:bCs/>
          <w:sz w:val="24"/>
          <w:szCs w:val="24"/>
        </w:rPr>
        <w:t>3</w:t>
      </w:r>
      <w:r>
        <w:rPr>
          <w:rFonts w:ascii="宋体" w:eastAsia="宋体" w:hAnsi="宋体" w:cs="Times New Roman"/>
          <w:bCs/>
          <w:sz w:val="24"/>
          <w:szCs w:val="24"/>
        </w:rPr>
        <w:t>个交易日内通知基金份额持有人，说明有关处理方法，</w:t>
      </w:r>
      <w:r>
        <w:rPr>
          <w:rFonts w:ascii="宋体" w:eastAsia="宋体" w:hAnsi="宋体" w:cs="Times New Roman" w:hint="eastAsia"/>
          <w:bCs/>
          <w:sz w:val="24"/>
          <w:szCs w:val="24"/>
        </w:rPr>
        <w:t>并在</w:t>
      </w: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日内</w:t>
      </w:r>
      <w:r>
        <w:rPr>
          <w:rFonts w:ascii="宋体" w:eastAsia="宋体" w:hAnsi="宋体" w:cs="Times New Roman"/>
          <w:bCs/>
          <w:sz w:val="24"/>
          <w:szCs w:val="24"/>
        </w:rPr>
        <w:t>在规定媒介上刊登公告。</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暂停申购或赎回的公告和重新开放申购或赎回的公告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发生上述暂停申购或赎回情况的，基金管理人应在规定期限内在规定媒介上刊登暂停公告。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基金转换</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基金份额的转让</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基金的非交易过户</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基金的非交易过户是指基金登记机构受理继承、捐赠和司法强制执行</w:t>
      </w:r>
      <w:r>
        <w:rPr>
          <w:rFonts w:ascii="宋体" w:eastAsia="宋体" w:hAnsi="宋体" w:cs="Times New Roman" w:hint="eastAsia"/>
          <w:bCs/>
          <w:sz w:val="24"/>
          <w:szCs w:val="24"/>
        </w:rPr>
        <w:t>等情形</w:t>
      </w:r>
      <w:r>
        <w:rPr>
          <w:rFonts w:ascii="宋体" w:eastAsia="宋体" w:hAnsi="宋体" w:cs="Times New Roman"/>
          <w:bCs/>
          <w:sz w:val="24"/>
          <w:szCs w:val="24"/>
        </w:rPr>
        <w:t>而产生的非交易过户以及登记机构认可、符合法律法规的</w:t>
      </w:r>
      <w:r>
        <w:rPr>
          <w:rFonts w:ascii="宋体" w:eastAsia="宋体" w:hAnsi="宋体" w:cs="Times New Roman" w:hint="eastAsia"/>
          <w:bCs/>
          <w:sz w:val="24"/>
          <w:szCs w:val="24"/>
        </w:rPr>
        <w:t>其他</w:t>
      </w:r>
      <w:r>
        <w:rPr>
          <w:rFonts w:ascii="宋体" w:eastAsia="宋体" w:hAnsi="宋体" w:cs="Times New Roman"/>
          <w:bCs/>
          <w:sz w:val="24"/>
          <w:szCs w:val="24"/>
        </w:rPr>
        <w:t>非交易过户</w:t>
      </w:r>
      <w:r>
        <w:rPr>
          <w:rFonts w:ascii="宋体" w:eastAsia="宋体" w:hAnsi="宋体" w:cs="Times New Roman" w:hint="eastAsia"/>
          <w:bCs/>
          <w:sz w:val="24"/>
          <w:szCs w:val="24"/>
        </w:rPr>
        <w:t>，或者按照相关法律法规或国家有权机关要求的方式进行处理的行为</w:t>
      </w:r>
      <w:r>
        <w:rPr>
          <w:rFonts w:ascii="宋体" w:eastAsia="宋体" w:hAnsi="宋体" w:cs="Times New Roman"/>
          <w:bCs/>
          <w:sz w:val="24"/>
          <w:szCs w:val="24"/>
        </w:rPr>
        <w:t>。无论在上述何种情况下，接受划转的主体必须是依法可以持有本基金基金份额的投资者</w:t>
      </w:r>
      <w:r>
        <w:rPr>
          <w:rFonts w:ascii="宋体" w:eastAsia="宋体" w:hAnsi="宋体" w:cs="Times New Roman" w:hint="eastAsia"/>
          <w:bCs/>
          <w:sz w:val="24"/>
          <w:szCs w:val="24"/>
        </w:rPr>
        <w:t>或者是按照相关法律法规或国家有权机关要求的方式进行处理</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基金的转托管</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基金份额持有人可办理已持有基金份额在不同销售机构之间的转托管，基金销售机构可以按照规定的标准收取转托管费。</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定期定额投资计划</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基金</w:t>
      </w:r>
      <w:r>
        <w:rPr>
          <w:rFonts w:ascii="宋体" w:eastAsia="宋体" w:hAnsi="宋体" w:cs="Times New Roman" w:hint="eastAsia"/>
          <w:b/>
          <w:bCs/>
          <w:sz w:val="24"/>
          <w:szCs w:val="24"/>
        </w:rPr>
        <w:t>份额</w:t>
      </w:r>
      <w:r>
        <w:rPr>
          <w:rFonts w:ascii="宋体" w:eastAsia="宋体" w:hAnsi="宋体" w:cs="Times New Roman"/>
          <w:b/>
          <w:bCs/>
          <w:sz w:val="24"/>
          <w:szCs w:val="24"/>
        </w:rPr>
        <w:t>的冻结</w:t>
      </w:r>
      <w:r>
        <w:rPr>
          <w:rFonts w:ascii="宋体" w:eastAsia="宋体" w:hAnsi="宋体" w:cs="Times New Roman" w:hint="eastAsia"/>
          <w:b/>
          <w:bCs/>
          <w:sz w:val="24"/>
          <w:szCs w:val="24"/>
        </w:rPr>
        <w:t>、</w:t>
      </w:r>
      <w:r>
        <w:rPr>
          <w:rFonts w:ascii="宋体" w:eastAsia="宋体" w:hAnsi="宋体" w:cs="Times New Roman"/>
          <w:b/>
          <w:bCs/>
          <w:sz w:val="24"/>
          <w:szCs w:val="24"/>
        </w:rPr>
        <w:t>解冻</w:t>
      </w:r>
      <w:r>
        <w:rPr>
          <w:rFonts w:ascii="宋体" w:eastAsia="宋体" w:hAnsi="宋体" w:cs="Times New Roman" w:hint="eastAsia"/>
          <w:b/>
          <w:bCs/>
          <w:sz w:val="24"/>
          <w:szCs w:val="24"/>
        </w:rPr>
        <w:t>和质押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基金登记机构只受理国家有权机关依法要求的基金份额的冻结与解冻，以及登记机构认可、符合法律法规的其他情况下的冻结与解冻。</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基金账户或基金份额被冻结的，被冻结部分产生的权益一并冻结，被冻结部分份额仍然参与收益分配与支付。法律法规或监管部门另有规定的除外。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lastRenderedPageBreak/>
        <w:t>如相关法律法规允许基金管理人办理基金份额的质押业务或其他基金业务，基金管理人将制定和实施相应的业务规则，并可收取一定的手续费。</w:t>
      </w:r>
    </w:p>
    <w:p w:rsidR="0068684E" w:rsidRDefault="000021E4">
      <w:pPr>
        <w:numPr>
          <w:ilvl w:val="0"/>
          <w:numId w:val="6"/>
        </w:num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实施侧袋机制期间本基金的申购与赎回</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本基金实施侧袋机制的，本基金的申购和赎回安排详见招募说明书“侧袋机制”部分的规定或相关公告。</w:t>
      </w: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32"/>
          <w:szCs w:val="20"/>
        </w:rPr>
        <w:br w:type="page"/>
      </w:r>
      <w:bookmarkStart w:id="91" w:name="_Hlt88820748"/>
      <w:bookmarkStart w:id="92" w:name="_Toc208913383"/>
      <w:bookmarkStart w:id="93" w:name="_Toc14227"/>
      <w:bookmarkEnd w:id="91"/>
      <w:r>
        <w:rPr>
          <w:rFonts w:ascii="Times New Roman" w:eastAsia="宋体" w:hAnsi="Times New Roman" w:cs="Times New Roman" w:hint="eastAsia"/>
          <w:b/>
          <w:kern w:val="0"/>
          <w:sz w:val="32"/>
          <w:szCs w:val="20"/>
        </w:rPr>
        <w:lastRenderedPageBreak/>
        <w:t>第九部分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基金的投资</w:t>
      </w:r>
      <w:bookmarkEnd w:id="92"/>
      <w:bookmarkEnd w:id="93"/>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一、投资目标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本基金在严格控制风险的前提下，通过资产配置和基金精选策略，力争实现基金资产的长期稳健增值。</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二、投资范围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本基金的投资范围包括经中国证监会依法核准或注册的公开募集的基金份额（包括商品基金（含商品期货基金和黄金</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，下同）、</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基金、香港互认基金、公开募集基础设施证券投资基金（以下简称“公募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”））、国内依法公开发行上市交易的股票（包括主板、科创板、创业板及其他中国证监会允许发行的股票）、存托凭证、港股通标的证券（包括股票和</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如法律法规或监管机构以后允许基金投资其他品种，基金管理人在履行适当程序后，可以将其纳入投资范围。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基金的投资组合比例为：本基金投资于经中国证监会依法核准或注册的公开募集的基金份额的资产占基金资产的比例不低于</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。本基金投资于股票、存托凭证、股票型基金（含股票型指数基金）、偏股混合型基金等权益类资产合计占基金资产的比例为</w:t>
      </w:r>
      <w:r>
        <w:rPr>
          <w:rFonts w:ascii="Times New Roman" w:eastAsia="宋体" w:hAnsi="Times New Roman" w:cs="Times New Roman" w:hint="eastAsia"/>
          <w:bCs/>
          <w:sz w:val="24"/>
          <w:szCs w:val="24"/>
        </w:rPr>
        <w:t>5%-30%</w:t>
      </w:r>
      <w:r>
        <w:rPr>
          <w:rFonts w:ascii="Times New Roman" w:eastAsia="宋体" w:hAnsi="Times New Roman" w:cs="Times New Roman" w:hint="eastAsia"/>
          <w:bCs/>
          <w:sz w:val="24"/>
          <w:szCs w:val="24"/>
        </w:rPr>
        <w:t>，投资于</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基金和香港互认基金的资产占基金资产的比例不高于</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，投资于货币市场基金的资产占基金资产的比例不高于</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。本基金投资于港股通标的股票的比例占股票资产的</w:t>
      </w:r>
      <w:r>
        <w:rPr>
          <w:rFonts w:ascii="Times New Roman" w:eastAsia="宋体" w:hAnsi="Times New Roman" w:cs="Times New Roman" w:hint="eastAsia"/>
          <w:bCs/>
          <w:sz w:val="24"/>
          <w:szCs w:val="24"/>
        </w:rPr>
        <w:t>0%-50%</w:t>
      </w:r>
      <w:r>
        <w:rPr>
          <w:rFonts w:ascii="Times New Roman" w:eastAsia="宋体" w:hAnsi="Times New Roman" w:cs="Times New Roman" w:hint="eastAsia"/>
          <w:bCs/>
          <w:sz w:val="24"/>
          <w:szCs w:val="24"/>
        </w:rPr>
        <w:t>。本基金应当保持不低于基金资产净值</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的现金或者到期日在一年以内的政府债券；其中，现金不包括结算备付金、存出保证金、应收申购款等。其中，计入上述权益类资产的偏股混合型基金需符合下列两个条件之一：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、基金合同约定股票及存托凭证资产投资比例不低于基金资产</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的混合型基金；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2</w:t>
      </w:r>
      <w:r>
        <w:rPr>
          <w:rFonts w:ascii="Times New Roman" w:eastAsia="宋体" w:hAnsi="Times New Roman" w:cs="Times New Roman" w:hint="eastAsia"/>
          <w:bCs/>
          <w:sz w:val="24"/>
          <w:szCs w:val="24"/>
        </w:rPr>
        <w:t>、根据基金披露的定期报告，最近四个季度股票及存托凭证资产占基金资产比例均不低于</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的混合型基金。</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如果法律法规或监管机构对该比例要求有变更的，在履行适当程序后，以变更后的比例为准，本基金的投资比例会做相应调整。</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、大类资产配置策略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本基金在对宏观经济、政策环境、利率走势、资金供给以及证券市场的现状及发展趋势等因素进行深入分析研究的基础上，动态配置权益类资产、固定收益类资产以及现金类资产等大类资产之间的比例。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动态监测代表性强的宏观经济高频指标以及微观企业指标，前瞻性地把脉经济运行状况，基于宏观经济发展趋势、政策导向、市场未来的发展趋势以及各大类资产未来的风险收益比等因素，判断权益类资产和非权益类资产之间的相对吸引力，在一定范围内调整大类资产配置的比例。</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对于固定收益类基金，本基金主要通过基金规模、历史业绩表现、净值回撤等指标进行筛选，优先选取规模较大、历史业绩稳定的固定收益类基金，力争实现目标风险下的收益最大化。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对于权益类基金，本基金从基金风格、业绩表现、稳定性、规模变化等多角度进行分析，选取出预期能够获得良好业绩的基金。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对于商品类基金，本基金重点选择具备有效抵御通胀，与其他资产的相关度低的基金。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同时，本基金还将通过分析基金经理的投资风格、投资逻辑等因素，对标的基金的业绩稳定性、风险控制能力等方面进行筛选。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本基金还将定期对投资组合进行回顾和动态调整，剔除不再符合筛选标准的标的基金，增加符合筛选标准的基金，以实现基金投资组合的优化。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3</w:t>
      </w:r>
      <w:r>
        <w:rPr>
          <w:rFonts w:ascii="Times New Roman" w:eastAsia="宋体" w:hAnsi="Times New Roman" w:cs="Times New Roman" w:hint="eastAsia"/>
          <w:bCs/>
          <w:sz w:val="24"/>
          <w:szCs w:val="24"/>
        </w:rPr>
        <w:t>、债券投资策略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管理人将基于对国内外宏观经济形势的深入分析、国内财政政策与货币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寻求投资组合赢利性和安全性的中长期有效结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、可转换债券（含分离交易可转债）及可交换债券投资策略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、资产支持证券投资策略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、股票投资策略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注重控制股票市场下跌风险，力求分享股票市场成长收益。本基金的股票投资以价值选股、组合投资为原则，精选基本面良好、有长期投资价值的优质企业，并通过分散投资、组合投资，降低个股风险与集中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、港股通标的证券投资策略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本基金可通过内地与香港证券市场交易互联互通机制投资于香港证券市场（包括股票和</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）。本基金将自下而上精选具有健康的商业模式、领先的行业竞争优势、良好的公司治理、广阔的发展空间、估值合理的港股通标的证券及行业纳入本基金的投资组合。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、存托凭证投资策略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本基金将根据投资目标和股票投资策略，基于对基础证券投资价值的研究判</w:t>
      </w:r>
      <w:r>
        <w:rPr>
          <w:rFonts w:ascii="Times New Roman" w:eastAsia="宋体" w:hAnsi="Times New Roman" w:cs="Times New Roman" w:hint="eastAsia"/>
          <w:bCs/>
          <w:sz w:val="24"/>
          <w:szCs w:val="24"/>
        </w:rPr>
        <w:lastRenderedPageBreak/>
        <w:t>断，进行存托凭证的投资。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投资策略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本基金将针对公募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的底层基础资产所属的行业周期（供需结构、运营收入和资产价格波动等）以及其他可比投资资产项目的风险和预期收益率来判断公募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持有基础资产项目当前的投资价值以及未来的发展空间，同时结合公募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流动性及估值等因素，研究并精选出具有较高投资价值的公募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进行投资。本基金根据投资策略需要或市场环境变化，可选择将部分基金资产投资于公募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，也可以选择不投资公募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未来，随着市场的发展和基金管理运作的需要，基金管理人可以在不改变投资目标的前提下，遵循法律法规对基金投资的规定，履行适当程序后相应调整或更新投资策略。</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四、投资限制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、组合限制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基金的投资组合应遵循以下限制：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）本基金投资于经中国证监会依法核准或注册的公开募集的基金份额的资产占基金资产的比例不低于</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，其中，投资于</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基金和香港互认基金的资产占基金资产的比例不高于</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，投资于货币市场基金的资产占基金资产的比例不高于</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）本基金投资于股票、存托凭证、股票型基金（含股票型指数基金）、偏股混合型基金等权益类资产合计占基金资产的比例为</w:t>
      </w:r>
      <w:r>
        <w:rPr>
          <w:rFonts w:ascii="Times New Roman" w:eastAsia="宋体" w:hAnsi="Times New Roman" w:cs="Times New Roman" w:hint="eastAsia"/>
          <w:bCs/>
          <w:sz w:val="24"/>
          <w:szCs w:val="24"/>
        </w:rPr>
        <w:t>5%-30%</w:t>
      </w:r>
      <w:r>
        <w:rPr>
          <w:rFonts w:ascii="Times New Roman" w:eastAsia="宋体" w:hAnsi="Times New Roman" w:cs="Times New Roman" w:hint="eastAsia"/>
          <w:bCs/>
          <w:sz w:val="24"/>
          <w:szCs w:val="24"/>
        </w:rPr>
        <w:t>；其中，计入上述权益类资产的偏股混合型基金需符合下列两个条件之一：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）基金合同约定股票及存托凭证资产投资比例不低于基金资产</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的混合型基金；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）根据基金披露的定期报告，最近四个季度股票及存托凭证资产占基金资产比例均不低于</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的混合型基金；</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）本基金港股通标的股票投资占股票资产的比例为</w:t>
      </w:r>
      <w:r>
        <w:rPr>
          <w:rFonts w:ascii="Times New Roman" w:eastAsia="宋体" w:hAnsi="Times New Roman" w:cs="Times New Roman" w:hint="eastAsia"/>
          <w:bCs/>
          <w:sz w:val="24"/>
          <w:szCs w:val="24"/>
        </w:rPr>
        <w:t>0%-50%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）本基金持有的现金或者到期日在一年以内的政府债券不低于基金资产净值的</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，其中现金不包括结算备付金、存出保证金、应收申购款等；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）本基金持有单只基金的市值不高于本基金资产净值的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，且不得持有</w:t>
      </w:r>
      <w:r>
        <w:rPr>
          <w:rFonts w:ascii="Times New Roman" w:eastAsia="宋体" w:hAnsi="Times New Roman" w:cs="Times New Roman" w:hint="eastAsia"/>
          <w:bCs/>
          <w:sz w:val="24"/>
          <w:szCs w:val="24"/>
        </w:rPr>
        <w:lastRenderedPageBreak/>
        <w:t>其他基金中基金；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）本基金管理人管理的全部基金（</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联接基金除外）持有单只基金不得超过被投资基金净资产的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，被投资基金净资产规模以最近定期报告披露的规模为准；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）本基金投资其他基金，被投资基金的运作期限应当不少于</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年、最近定期报告披露的基金净资产应当不低于</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亿元；</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）本基金投资于封闭运作基金、定期开放基金等流通受限基金（不包括</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LOF</w:t>
      </w:r>
      <w:r>
        <w:rPr>
          <w:rFonts w:ascii="Times New Roman" w:eastAsia="宋体" w:hAnsi="Times New Roman" w:cs="Times New Roman" w:hint="eastAsia"/>
          <w:bCs/>
          <w:sz w:val="24"/>
          <w:szCs w:val="24"/>
        </w:rPr>
        <w:t>等可上市交易的基金）的市值不超过本基金资产净值的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）本基金持有一家公司发行的证券（不含证券投资基金），其市值（同一家公司在内地和香港同时上市的</w:t>
      </w:r>
      <w:r>
        <w:rPr>
          <w:rFonts w:ascii="Times New Roman" w:eastAsia="宋体" w:hAnsi="Times New Roman" w:cs="Times New Roman" w:hint="eastAsia"/>
          <w:bCs/>
          <w:sz w:val="24"/>
          <w:szCs w:val="24"/>
        </w:rPr>
        <w:t>A+H</w:t>
      </w:r>
      <w:r>
        <w:rPr>
          <w:rFonts w:ascii="Times New Roman" w:eastAsia="宋体" w:hAnsi="Times New Roman" w:cs="Times New Roman" w:hint="eastAsia"/>
          <w:bCs/>
          <w:sz w:val="24"/>
          <w:szCs w:val="24"/>
        </w:rPr>
        <w:t>股合计计算）不超过基金资产净值的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）本基金管理人管理的全部基金持有一家公司发行的证券（不含证券投资基金）（同一家公司在内地和香港同时上市的</w:t>
      </w:r>
      <w:r>
        <w:rPr>
          <w:rFonts w:ascii="Times New Roman" w:eastAsia="宋体" w:hAnsi="Times New Roman" w:cs="Times New Roman" w:hint="eastAsia"/>
          <w:bCs/>
          <w:sz w:val="24"/>
          <w:szCs w:val="24"/>
        </w:rPr>
        <w:t>A+H</w:t>
      </w:r>
      <w:r>
        <w:rPr>
          <w:rFonts w:ascii="Times New Roman" w:eastAsia="宋体" w:hAnsi="Times New Roman" w:cs="Times New Roman" w:hint="eastAsia"/>
          <w:bCs/>
          <w:sz w:val="24"/>
          <w:szCs w:val="24"/>
        </w:rPr>
        <w:t>股合计计算），不超过该证券的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；本基金管理人管理的全部开放式基金（包括开放式基金以及处于开放期的定期开放基金）持有一家上市公司发行的可流通股票，不得超过该上市公司可流通股票的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；本基金管理人管理的全部投资组合持有一家上市公司发行的可流通股票，不得超过该上市公司可流通股票的</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；完全按照有关指数的构成比例进行证券投资的基金品种以及中国证监会认定的特殊投资组合可以不受此条款规定的比例限制；</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）本基金投资于同一原始权益人的各类资产支持证券的比例，不得超过基金资产净值的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）本基金持有的全部资产支持证券，其市值不得超过基金资产净值的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）本基金持有的同一（指同一信用级别）资产支持证券的比例，不得超过该资产支持证券规模的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）本基金管理人管理的全部基金投资于同一原始权益人的各类资产支持证券，不得超过其各类资产支持证券合计规模的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）本基金应投资于信用级别评级为</w:t>
      </w:r>
      <w:r>
        <w:rPr>
          <w:rFonts w:ascii="Times New Roman" w:eastAsia="宋体" w:hAnsi="Times New Roman" w:cs="Times New Roman" w:hint="eastAsia"/>
          <w:bCs/>
          <w:sz w:val="24"/>
          <w:szCs w:val="24"/>
        </w:rPr>
        <w:t>BBB</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BBB</w:t>
      </w:r>
      <w:r>
        <w:rPr>
          <w:rFonts w:ascii="Times New Roman" w:eastAsia="宋体" w:hAnsi="Times New Roman" w:cs="Times New Roman" w:hint="eastAsia"/>
          <w:bCs/>
          <w:sz w:val="24"/>
          <w:szCs w:val="24"/>
        </w:rPr>
        <w:t>）的资产支持证券。基金持有资产支持证券期间，如果其信用等级下降、不再符合投资标准，应在评级报告发布之日起</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个月内予以全部卖出；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）基金财产参与股票发行申购，本基金所申报的金额不超过本基金的总</w:t>
      </w:r>
      <w:r>
        <w:rPr>
          <w:rFonts w:ascii="Times New Roman" w:eastAsia="宋体" w:hAnsi="Times New Roman" w:cs="Times New Roman" w:hint="eastAsia"/>
          <w:bCs/>
          <w:sz w:val="24"/>
          <w:szCs w:val="24"/>
        </w:rPr>
        <w:lastRenderedPageBreak/>
        <w:t>资产，本基金所申报的股票数量不超过拟发行股票公司本次发行股票的总量；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）本基金资产总值不得超过基金资产净值的</w:t>
      </w:r>
      <w:r>
        <w:rPr>
          <w:rFonts w:ascii="Times New Roman" w:eastAsia="宋体" w:hAnsi="Times New Roman" w:cs="Times New Roman" w:hint="eastAsia"/>
          <w:bCs/>
          <w:sz w:val="24"/>
          <w:szCs w:val="24"/>
        </w:rPr>
        <w:t>140%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）本基金主动投资于流动性受限资产的市值合计不得超过本基金资产净值的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；因证券市场波动、上市公司股票停牌、基金规模变动等基金管理人之外的因素致使基金不符合该比例限制的，基金管理人不得主动新增流动性受限资产的投资；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）本基金与私募类证券资管产品及中国证监会认定的其他主体为交易对手开展逆回购交易的，可接受质押品的资质要求应当与基金合同约定的投资范围保持一致；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）本基金投资存托凭证的比例限制依照境内上市交易的股票执行，并与境内上市交易的股票合并计算，法律法规或监管机构另有规定的从其规定；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21</w:t>
      </w:r>
      <w:r>
        <w:rPr>
          <w:rFonts w:ascii="Times New Roman" w:eastAsia="宋体" w:hAnsi="Times New Roman" w:cs="Times New Roman" w:hint="eastAsia"/>
          <w:bCs/>
          <w:sz w:val="24"/>
          <w:szCs w:val="24"/>
        </w:rPr>
        <w:t>）法律法规及中国证监会规定的和基金合同约定的其他投资限制。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因证券市场波动、证券发行人合并、基金规模变动等基金管理人之外的因素致使基金投资比例不符合上述第（</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）项规定投资比例的，基金管理人应当在被投资基金可交易或可赎回之日起</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个交易日内进行调整，对于除第（</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）和（</w:t>
      </w: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）项规定的其他情形，基金管理人应当在被投资证券或基金可交易或可赎回之日起</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个交易日内进行调整，但中国证监会规定的特殊情形除外。法律法规另有规定的，从其规定。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基金管理人应当自基金合同生效之日起</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个月内使基金的投资组合比例符合基金合同的有关约定。在上述期间内，本基金的投资范围、投资策略应当符合基金合同的约定。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基金托管人对基金的投资的监督与检查自基金合同生效之日起开始。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法律法规或监管部门取消或变更上述限制，如适用于本基金，基金管理人在履行适当程序后，则本基金投资不再受相关限制或以变更后的规定为准，但须提前公告。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、禁止行为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为维护基金份额持有人的合法权益，基金财产不得用于下列投资或者活动：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）承销证券；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）违反规定向他人贷款或者提供担保；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）从事承担无限责任的投资；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）向其基金管理人、基金托管人出资；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）从事内幕交易、操纵证券交易价格及其他不正当的证券交易活动；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）持有具有复杂、衍生品性质的基金份额；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）法律、行政法规和中国证监会规定禁止的其他活动。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本基金投资基金管理人或基金管理人关联方管理的基金的情况，不属于前述重大关联交易，但是应当按照法律法规或监管规定的要求履行信息披露义务。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如法律法规或监管部门取消或调整上述禁止性规定，基金管理人在履行适当程序后，本基金可不受上述规定的限制或按调整后的规定执行，但须按规定公告。</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五、业绩比较基准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中证偏股型基金指数收益率×</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中证纯债债券型基金指数收益率×</w:t>
      </w:r>
      <w:r>
        <w:rPr>
          <w:rFonts w:ascii="Times New Roman" w:eastAsia="宋体" w:hAnsi="Times New Roman" w:cs="Times New Roman" w:hint="eastAsia"/>
          <w:bCs/>
          <w:sz w:val="24"/>
          <w:szCs w:val="24"/>
        </w:rPr>
        <w:t>82%+</w:t>
      </w:r>
      <w:r>
        <w:rPr>
          <w:rFonts w:ascii="Times New Roman" w:eastAsia="宋体" w:hAnsi="Times New Roman" w:cs="Times New Roman" w:hint="eastAsia"/>
          <w:bCs/>
          <w:sz w:val="24"/>
          <w:szCs w:val="24"/>
        </w:rPr>
        <w:t>上海黄金交易所</w:t>
      </w:r>
      <w:r>
        <w:rPr>
          <w:rFonts w:ascii="Times New Roman" w:eastAsia="宋体" w:hAnsi="Times New Roman" w:cs="Times New Roman" w:hint="eastAsia"/>
          <w:bCs/>
          <w:sz w:val="24"/>
          <w:szCs w:val="24"/>
        </w:rPr>
        <w:t>Au99.99</w:t>
      </w:r>
      <w:r>
        <w:rPr>
          <w:rFonts w:ascii="Times New Roman" w:eastAsia="宋体" w:hAnsi="Times New Roman" w:cs="Times New Roman" w:hint="eastAsia"/>
          <w:bCs/>
          <w:sz w:val="24"/>
          <w:szCs w:val="24"/>
        </w:rPr>
        <w:t>现货实盘合约收益率×</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银行人民币活期存款利率</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税后</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证偏股型基金指数选取内地市场所有股票型基金以及混合型基金中以股票为主要投资对象的基金作为样本，采用净值规模加权，以较好的反映所有偏股型开放式证券投资基金的整体走势，适合作为本基金境内权益投资部分的业绩比较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中证纯债债券型基金指数由中证指数有限公司编制，选取按基金合同规定只投资债券的基金作为样本，且排除分级基金、可转债基金、定期开放式基金、</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，采用净值规模加权，适合作为本基金固定收益投资部分的业绩比较基准。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上海黄金交易所</w:t>
      </w:r>
      <w:r>
        <w:rPr>
          <w:rFonts w:ascii="Times New Roman" w:eastAsia="宋体" w:hAnsi="Times New Roman" w:cs="Times New Roman" w:hint="eastAsia"/>
          <w:bCs/>
          <w:sz w:val="24"/>
          <w:szCs w:val="24"/>
        </w:rPr>
        <w:t>Au99.99</w:t>
      </w:r>
      <w:r>
        <w:rPr>
          <w:rFonts w:ascii="Times New Roman" w:eastAsia="宋体" w:hAnsi="Times New Roman" w:cs="Times New Roman" w:hint="eastAsia"/>
          <w:bCs/>
          <w:sz w:val="24"/>
          <w:szCs w:val="24"/>
        </w:rPr>
        <w:t>现货实盘合约为在上海黄金交易所交易，代表黄金资产的现货合约，该黄金现货合约能较好的代表黄金这个商品资产，适合作为本</w:t>
      </w:r>
      <w:r>
        <w:rPr>
          <w:rFonts w:ascii="Times New Roman" w:eastAsia="宋体" w:hAnsi="Times New Roman" w:cs="Times New Roman" w:hint="eastAsia"/>
          <w:bCs/>
          <w:sz w:val="24"/>
          <w:szCs w:val="24"/>
        </w:rPr>
        <w:lastRenderedPageBreak/>
        <w:t>基金商品类资产部分的业绩比较基准。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基于本基金的投资范围和投资比例限制，选用上述业绩比较基准能够较好地反映本基金的风险收益特征。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果今后法律法规发生变化，或者指数编制单位停止编制以上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本基金的业绩比较基准仅作为衡量本基金业绩的参照，不决定也不必然反映本基金的投资策略。</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六、风险收益特征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为混合型基金中基金，在通常情况下其预期收益及预期风险水平高于债券型基金、货币市场基金、债券型基金中基金和货币型基金中基金，低于股票型基金和股票型基金中基金。本基金投资港股通标的证券的，需承担港股通机制下因投资环境、投资标的、市场制度以及交易规则等差异带来的特有风险。</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七、基金管理人代表基金行使相关权利的处理原则及方法</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、有利于基金财产的安全与增值；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、基金管理人按照国家有关规定代表基金独立行使相关权利，保护基金份额持有人的利益；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、不谋求对上市公司经营管理的实质控制；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、不通过关联交易为自身、雇员、授权代理人或任何存在利害关系的第三人牟取任何不当利益。</w:t>
      </w:r>
    </w:p>
    <w:p w:rsidR="0068684E" w:rsidRDefault="000021E4">
      <w:pPr>
        <w:spacing w:line="360" w:lineRule="auto"/>
        <w:ind w:firstLineChars="200" w:firstLine="482"/>
        <w:rPr>
          <w:rFonts w:ascii="Times New Roman" w:eastAsia="宋体" w:hAnsi="Times New Roman" w:cs="Times New Roman"/>
          <w:b/>
          <w:sz w:val="24"/>
          <w:szCs w:val="24"/>
        </w:rPr>
      </w:pPr>
      <w:r>
        <w:rPr>
          <w:rFonts w:ascii="宋体" w:eastAsia="宋体" w:hAnsi="宋体" w:cs="Times New Roman" w:hint="eastAsia"/>
          <w:b/>
          <w:sz w:val="24"/>
          <w:szCs w:val="24"/>
        </w:rPr>
        <w:t>八、侧袋机制的实施和投资运作安排</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侧袋机制实施期间，本部分约定的投资组合比例、投资策略、组合限制、业绩比较基准、风险收益特征等约定仅适用于主袋账户。</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sz w:val="24"/>
          <w:szCs w:val="24"/>
        </w:rPr>
        <w:lastRenderedPageBreak/>
        <w:t>侧袋账户的实施条件、实施程序、运作安排、投资安排、特定资产的处置变现和支付等对投资者权益有重大影响的事项详见招募说明书“侧袋机制”部分的规定。</w:t>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kern w:val="44"/>
          <w:sz w:val="32"/>
          <w:szCs w:val="20"/>
        </w:rPr>
        <w:br w:type="page"/>
      </w:r>
      <w:bookmarkStart w:id="94" w:name="_Toc208913384"/>
      <w:bookmarkStart w:id="95" w:name="_Toc26347"/>
      <w:r>
        <w:rPr>
          <w:rFonts w:ascii="Times New Roman" w:eastAsia="宋体" w:hAnsi="Times New Roman" w:cs="Times New Roman" w:hint="eastAsia"/>
          <w:b/>
          <w:kern w:val="44"/>
          <w:sz w:val="32"/>
          <w:szCs w:val="20"/>
        </w:rPr>
        <w:lastRenderedPageBreak/>
        <w:t>第十部分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基金的财产</w:t>
      </w:r>
      <w:bookmarkEnd w:id="94"/>
      <w:bookmarkEnd w:id="95"/>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一、基金资产总值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基金资产总值是指</w:t>
      </w:r>
      <w:r>
        <w:rPr>
          <w:rFonts w:ascii="宋体" w:eastAsia="宋体" w:hAnsi="宋体" w:cs="Times New Roman" w:hint="eastAsia"/>
          <w:bCs/>
          <w:sz w:val="24"/>
          <w:szCs w:val="24"/>
        </w:rPr>
        <w:t>基金拥有的</w:t>
      </w:r>
      <w:r>
        <w:rPr>
          <w:rFonts w:ascii="宋体" w:eastAsia="宋体" w:hAnsi="宋体" w:cs="Times New Roman"/>
          <w:bCs/>
          <w:sz w:val="24"/>
          <w:szCs w:val="24"/>
        </w:rPr>
        <w:t>各类</w:t>
      </w:r>
      <w:r>
        <w:rPr>
          <w:rFonts w:ascii="宋体" w:eastAsia="宋体" w:hAnsi="宋体" w:cs="Times New Roman" w:hint="eastAsia"/>
          <w:bCs/>
          <w:sz w:val="24"/>
          <w:szCs w:val="24"/>
        </w:rPr>
        <w:t>有价</w:t>
      </w:r>
      <w:r>
        <w:rPr>
          <w:rFonts w:ascii="宋体" w:eastAsia="宋体" w:hAnsi="宋体" w:cs="Times New Roman"/>
          <w:bCs/>
          <w:sz w:val="24"/>
          <w:szCs w:val="24"/>
        </w:rPr>
        <w:t>证券、基金份额、银行存款本息</w:t>
      </w:r>
      <w:r>
        <w:rPr>
          <w:rFonts w:ascii="宋体" w:eastAsia="宋体" w:hAnsi="宋体" w:cs="Times New Roman" w:hint="eastAsia"/>
          <w:bCs/>
          <w:sz w:val="24"/>
          <w:szCs w:val="24"/>
        </w:rPr>
        <w:t>、</w:t>
      </w:r>
      <w:r>
        <w:rPr>
          <w:rFonts w:ascii="宋体" w:eastAsia="宋体" w:hAnsi="宋体" w:cs="Times New Roman"/>
          <w:bCs/>
          <w:sz w:val="24"/>
          <w:szCs w:val="24"/>
        </w:rPr>
        <w:t>基金应</w:t>
      </w:r>
      <w:r>
        <w:rPr>
          <w:rFonts w:ascii="宋体" w:eastAsia="宋体" w:hAnsi="宋体" w:cs="Times New Roman" w:hint="eastAsia"/>
          <w:bCs/>
          <w:sz w:val="24"/>
          <w:szCs w:val="24"/>
        </w:rPr>
        <w:t>收款项</w:t>
      </w:r>
      <w:r>
        <w:rPr>
          <w:rFonts w:ascii="宋体" w:eastAsia="宋体" w:hAnsi="宋体" w:cs="Times New Roman"/>
          <w:bCs/>
          <w:sz w:val="24"/>
          <w:szCs w:val="24"/>
        </w:rPr>
        <w:t>以及其他</w:t>
      </w:r>
      <w:r>
        <w:rPr>
          <w:rFonts w:ascii="宋体" w:eastAsia="宋体" w:hAnsi="宋体" w:cs="Times New Roman" w:hint="eastAsia"/>
          <w:bCs/>
          <w:sz w:val="24"/>
          <w:szCs w:val="24"/>
        </w:rPr>
        <w:t>资产</w:t>
      </w:r>
      <w:r>
        <w:rPr>
          <w:rFonts w:ascii="宋体" w:eastAsia="宋体" w:hAnsi="宋体" w:cs="Times New Roman"/>
          <w:bCs/>
          <w:sz w:val="24"/>
          <w:szCs w:val="24"/>
        </w:rPr>
        <w:t>的价值总和。</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二、基金资产净值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基金资产净值是指基金资产总值减去基金负债后的价值。</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三、基金财产的账户</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四、基金财产的保管和处分</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68684E" w:rsidRDefault="0068684E">
      <w:pPr>
        <w:spacing w:line="360" w:lineRule="auto"/>
        <w:ind w:firstLineChars="200" w:firstLine="480"/>
        <w:rPr>
          <w:rFonts w:ascii="Times New Roman" w:eastAsia="宋体" w:hAnsi="Times New Roman" w:cs="Times New Roman"/>
          <w:bCs/>
          <w:sz w:val="24"/>
          <w:szCs w:val="24"/>
        </w:rPr>
      </w:pP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kern w:val="0"/>
          <w:sz w:val="32"/>
          <w:szCs w:val="20"/>
        </w:rPr>
        <w:br w:type="page"/>
      </w:r>
      <w:bookmarkStart w:id="96" w:name="_Toc208913385"/>
      <w:bookmarkStart w:id="97" w:name="_Toc31406"/>
      <w:r>
        <w:rPr>
          <w:rFonts w:ascii="Times New Roman" w:eastAsia="宋体" w:hAnsi="Times New Roman" w:cs="Times New Roman" w:hint="eastAsia"/>
          <w:b/>
          <w:kern w:val="44"/>
          <w:sz w:val="32"/>
          <w:szCs w:val="20"/>
        </w:rPr>
        <w:lastRenderedPageBreak/>
        <w:t>第十一部分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基金资产估值</w:t>
      </w:r>
      <w:bookmarkEnd w:id="96"/>
      <w:bookmarkEnd w:id="97"/>
    </w:p>
    <w:p w:rsidR="0068684E" w:rsidRDefault="000021E4">
      <w:pPr>
        <w:spacing w:line="360" w:lineRule="auto"/>
        <w:ind w:firstLineChars="200" w:firstLine="482"/>
        <w:rPr>
          <w:rFonts w:ascii="Times New Roman" w:eastAsia="宋体" w:hAnsi="Times New Roman" w:cs="Times New Roman"/>
          <w:b/>
          <w:bCs/>
          <w:sz w:val="24"/>
          <w:szCs w:val="24"/>
        </w:rPr>
      </w:pPr>
      <w:bookmarkStart w:id="98" w:name="_Hlk68189767"/>
      <w:r>
        <w:rPr>
          <w:rFonts w:ascii="宋体" w:eastAsia="宋体" w:hAnsi="宋体" w:cs="Times New Roman"/>
          <w:b/>
          <w:bCs/>
          <w:sz w:val="24"/>
          <w:szCs w:val="24"/>
        </w:rPr>
        <w:t>一、估值日</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本基金的估值日为本基金相关的证券交易场所的交易日以及国家法律法规规定需要对外披露基金净值的非交易日，即本基金的各类基金份额净值和各类基金份额累计净值的归属日。</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二、估值对象</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基金所拥有的基金份额、股票、存托凭证、资产支持证券、债券和银行存款本息、应收款项、其它投资等资产及负债。</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三、估值原则</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基金管理人在确定相关金融资产和金融负债的公允价值时，应符合《企业会计准则》、监管部门有关规定。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与上述投资品种</w:t>
      </w:r>
      <w:r>
        <w:rPr>
          <w:rFonts w:ascii="宋体" w:eastAsia="宋体" w:hAnsi="宋体" w:cs="Times New Roman"/>
          <w:sz w:val="24"/>
          <w:szCs w:val="24"/>
        </w:rPr>
        <w:t>相</w:t>
      </w:r>
      <w:r>
        <w:rPr>
          <w:rFonts w:ascii="宋体" w:eastAsia="宋体" w:hAnsi="宋体" w:cs="Times New Roman" w:hint="eastAsia"/>
          <w:sz w:val="24"/>
          <w:szCs w:val="24"/>
        </w:rPr>
        <w:t>同</w:t>
      </w:r>
      <w:r>
        <w:rPr>
          <w:rFonts w:ascii="宋体" w:eastAsia="宋体" w:hAnsi="宋体" w:cs="Times New Roman" w:hint="eastAsia"/>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（三）如经济环境发生重大变化或证券发行人发生影响证券价格的重大事件，使潜在估值调整对前一估值日的基金资产净值的影响在</w:t>
      </w:r>
      <w:r>
        <w:rPr>
          <w:rFonts w:ascii="Times New Roman" w:eastAsia="宋体" w:hAnsi="Times New Roman" w:cs="Times New Roman" w:hint="eastAsia"/>
          <w:bCs/>
          <w:sz w:val="24"/>
          <w:szCs w:val="24"/>
        </w:rPr>
        <w:t>0.25%</w:t>
      </w:r>
      <w:r>
        <w:rPr>
          <w:rFonts w:ascii="宋体" w:eastAsia="宋体" w:hAnsi="宋体" w:cs="Times New Roman" w:hint="eastAsia"/>
          <w:bCs/>
          <w:sz w:val="24"/>
          <w:szCs w:val="24"/>
        </w:rPr>
        <w:t>以上的，应对估值</w:t>
      </w:r>
      <w:r>
        <w:rPr>
          <w:rFonts w:ascii="宋体" w:eastAsia="宋体" w:hAnsi="宋体" w:cs="Times New Roman" w:hint="eastAsia"/>
          <w:bCs/>
          <w:sz w:val="24"/>
          <w:szCs w:val="24"/>
        </w:rPr>
        <w:lastRenderedPageBreak/>
        <w:t>进行调整并确定公允价值。</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四、</w:t>
      </w:r>
      <w:r>
        <w:rPr>
          <w:rFonts w:ascii="宋体" w:eastAsia="宋体" w:hAnsi="宋体" w:cs="Times New Roman"/>
          <w:b/>
          <w:bCs/>
          <w:sz w:val="24"/>
          <w:szCs w:val="24"/>
        </w:rPr>
        <w:t>估值方法</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、基金份额的估值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）非上市基金的估值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）境内非货币市场基金按其估值日的基金份额净值估值；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）境内货币市场基金，如其披露基金份额净值，则按其估值日的基金份额净值估值；如其披露万份（百份）收益，按其前一估值日后至估值日期间（含节假日）的万份（百份）收益计提估值日基金收益。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）上市基金的估值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基金按其估值日的收盘价估值；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）境内上市开放式基金（</w:t>
      </w:r>
      <w:r>
        <w:rPr>
          <w:rFonts w:ascii="Times New Roman" w:eastAsia="宋体" w:hAnsi="Times New Roman" w:cs="Times New Roman" w:hint="eastAsia"/>
          <w:bCs/>
          <w:sz w:val="24"/>
          <w:szCs w:val="24"/>
        </w:rPr>
        <w:t>LOF</w:t>
      </w:r>
      <w:r>
        <w:rPr>
          <w:rFonts w:ascii="Times New Roman" w:eastAsia="宋体" w:hAnsi="Times New Roman" w:cs="Times New Roman" w:hint="eastAsia"/>
          <w:bCs/>
          <w:sz w:val="24"/>
          <w:szCs w:val="24"/>
        </w:rPr>
        <w:t>）按其估值日的基金份额净值估值；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）境内上市定期开放式基金、封闭式基金按其估值日的收盘价估值；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对于境内上市交易型货币市场基金，如其披露基金份额净值，则按其估值日的基金份额净值估值；如其披露万份（百份）收益，则按其前一估值日后至估值日期间（含节假日）的万份（百份）收益计提估值日基金收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）如遇所投资基金不公布基金份额净值、进行折算或拆分、估值日无交易等特殊情况，基金管理人根据以下原则进行估值：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）以所投资基金的基金份额净值估值的，若所投资基金与本基金估值频率一致但未公布估值日基金份额净值，按其最近公布的基金份额净值为基础估值；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）如果所投资基金前一估值日至估值日期间发生分红除权、折算或拆分，基金管理人应根据基金份额净值或收盘价、单位基金份额分红金额、折算拆分比例、持仓份额等因素合理确定公允价值。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）当基金管理人认为所投资基金按上述第（</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）至第（</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）项进行估值存在不公允时，应与基金托管人协商一致采用合理的估值技术或估值标准确定其公允价值。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2</w:t>
      </w:r>
      <w:r>
        <w:rPr>
          <w:rFonts w:ascii="Times New Roman" w:eastAsia="宋体" w:hAnsi="Times New Roman" w:cs="Times New Roman" w:hint="eastAsia"/>
          <w:bCs/>
          <w:sz w:val="24"/>
          <w:szCs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、处于未上市期间以及流通受限的有价证券应区分如下情况处理：</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）送股、转增股、配股和公开增发的新股，按估值日在证券交易所挂牌的同一股票的估值方法估值；该日无交易的，以最近一日的市价（收盘价）估值；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）首次公开发行未上市的股票，采用估值技术确定公允价值；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、对于已上市或已挂牌转让的不含权固定收益品种，选取第三方估值基准服务机构提供的相应品种当日的估值全价进行估值。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、对于已上市或已挂牌转让的含权固定收益品种，选取第三方估值基准服务机构提供的相应品种当日的唯一估值全价或推荐估值全价进行估值。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、对于未上市或未挂牌转让且不存在活跃市场的固定收益品种，采用在当前情况下适用并且有足够可利用数据和其他信息支持的估值技术确定其公允价值。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、本基金投资存托凭证的估值核算依照境内上市交易的股票执行。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9</w:t>
      </w:r>
      <w:r>
        <w:rPr>
          <w:rFonts w:ascii="Times New Roman" w:eastAsia="宋体" w:hAnsi="Times New Roman" w:cs="Times New Roman" w:hint="eastAsia"/>
          <w:bCs/>
          <w:sz w:val="24"/>
          <w:szCs w:val="24"/>
        </w:rPr>
        <w:t>、同一证券同时在两个或两个以上市场交易的，按证券所处的市场分别估值。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、如有确凿证据表明按上述方法进行估值不能客观反映其公允价值的，基金管理人可根据具体情况与基金托管人商定后，按最能反映公允价值的价格估值。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、当发生大额申购或赎回情形时，基金管理人可以采用摆动定价机制，以确保基金估值的公平性。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、估值计算中涉及港币对人民币汇率的，将依据下列信息提供机构所提供的汇率为基准：当日中国人民银行或其授权机构公布的人民币与港币的中间价，或其他可以反映公允价值的汇率。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税收：对于按照中国法律法规和基金投资境内外证券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、相关法律法规以及监管部门有强制规定的，从其规定。如有新增事项，按国家最新规定估值。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五</w:t>
      </w:r>
      <w:r>
        <w:rPr>
          <w:rFonts w:ascii="宋体" w:eastAsia="宋体" w:hAnsi="宋体" w:cs="Times New Roman"/>
          <w:b/>
          <w:bCs/>
          <w:sz w:val="24"/>
          <w:szCs w:val="24"/>
        </w:rPr>
        <w:t>、估值程序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、各类基金份额净值是按照某类基金资产净值除以当日该类基金份额的余额数量计算，均精确到</w:t>
      </w:r>
      <w:r>
        <w:rPr>
          <w:rFonts w:ascii="Times New Roman" w:eastAsia="宋体" w:hAnsi="Times New Roman" w:cs="Times New Roman" w:hint="eastAsia"/>
          <w:bCs/>
          <w:sz w:val="24"/>
          <w:szCs w:val="24"/>
        </w:rPr>
        <w:t>0.0001</w:t>
      </w:r>
      <w:r>
        <w:rPr>
          <w:rFonts w:ascii="Times New Roman" w:eastAsia="宋体" w:hAnsi="Times New Roman" w:cs="Times New Roman" w:hint="eastAsia"/>
          <w:bCs/>
          <w:sz w:val="24"/>
          <w:szCs w:val="24"/>
        </w:rPr>
        <w:t>元，小数点后第</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位四舍五入，由此产生的收益或损失由基金财产承担。基金管理人可以设立大额赎回情形下的净值精度应急调整机制。法律法规、监管机构、基金合同另有规定的，从其规定。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基金管理人于每个估值日的次二个工作日内计算该估值日的基金资产净值及各类基金份额净值，并按规定公告。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2</w:t>
      </w:r>
      <w:r>
        <w:rPr>
          <w:rFonts w:ascii="Times New Roman" w:eastAsia="宋体" w:hAnsi="Times New Roman" w:cs="Times New Roman" w:hint="eastAsia"/>
          <w:bCs/>
          <w:sz w:val="24"/>
          <w:szCs w:val="24"/>
        </w:rPr>
        <w:t>、基金管理人应在每个估值日的次二个工作日内对该估值日的基金资产估值，但基金管理人根据法律法规或基金合同的规定暂停估值时除外。基金管理人对基金资产估值后，将各类基金份额净值结果发送基金托管人，经基金托管人复核无误后，由基金管理人按规定对外公布。</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六</w:t>
      </w:r>
      <w:r>
        <w:rPr>
          <w:rFonts w:ascii="宋体" w:eastAsia="宋体" w:hAnsi="宋体" w:cs="Times New Roman"/>
          <w:b/>
          <w:bCs/>
          <w:sz w:val="24"/>
          <w:szCs w:val="24"/>
        </w:rPr>
        <w:t>、估值错误的处理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基金管理人和基金托管人将采取必要、适当、合理的措施确保基金资产估值的准确性、及时性。当任一类基金份额净值小数点后</w:t>
      </w:r>
      <w:r>
        <w:rPr>
          <w:rFonts w:ascii="Times New Roman" w:eastAsia="宋体" w:hAnsi="Times New Roman" w:cs="Times New Roman" w:hint="eastAsia"/>
          <w:bCs/>
          <w:sz w:val="24"/>
          <w:szCs w:val="24"/>
        </w:rPr>
        <w:t>4</w:t>
      </w:r>
      <w:r>
        <w:rPr>
          <w:rFonts w:ascii="宋体" w:eastAsia="宋体" w:hAnsi="宋体" w:cs="Times New Roman"/>
          <w:bCs/>
          <w:sz w:val="24"/>
          <w:szCs w:val="24"/>
        </w:rPr>
        <w:t>位以内</w:t>
      </w:r>
      <w:r>
        <w:rPr>
          <w:rFonts w:ascii="宋体" w:eastAsia="宋体" w:hAnsi="宋体" w:cs="Times New Roman" w:hint="eastAsia"/>
          <w:bCs/>
          <w:sz w:val="24"/>
          <w:szCs w:val="24"/>
        </w:rPr>
        <w:t>（</w:t>
      </w:r>
      <w:r>
        <w:rPr>
          <w:rFonts w:ascii="宋体" w:eastAsia="宋体" w:hAnsi="宋体" w:cs="Times New Roman"/>
          <w:bCs/>
          <w:sz w:val="24"/>
          <w:szCs w:val="24"/>
        </w:rPr>
        <w:t>含第</w:t>
      </w:r>
      <w:r>
        <w:rPr>
          <w:rFonts w:ascii="Times New Roman" w:eastAsia="宋体" w:hAnsi="Times New Roman" w:cs="Times New Roman" w:hint="eastAsia"/>
          <w:bCs/>
          <w:sz w:val="24"/>
          <w:szCs w:val="24"/>
        </w:rPr>
        <w:t>4</w:t>
      </w:r>
      <w:r>
        <w:rPr>
          <w:rFonts w:ascii="宋体" w:eastAsia="宋体" w:hAnsi="宋体" w:cs="Times New Roman"/>
          <w:bCs/>
          <w:sz w:val="24"/>
          <w:szCs w:val="24"/>
        </w:rPr>
        <w:t>位</w:t>
      </w:r>
      <w:r>
        <w:rPr>
          <w:rFonts w:ascii="宋体" w:eastAsia="宋体" w:hAnsi="宋体" w:cs="Times New Roman" w:hint="eastAsia"/>
          <w:bCs/>
          <w:sz w:val="24"/>
          <w:szCs w:val="24"/>
        </w:rPr>
        <w:t>）</w:t>
      </w:r>
      <w:r>
        <w:rPr>
          <w:rFonts w:ascii="宋体" w:eastAsia="宋体" w:hAnsi="宋体" w:cs="Times New Roman"/>
          <w:bCs/>
          <w:sz w:val="24"/>
          <w:szCs w:val="24"/>
        </w:rPr>
        <w:t>发生估值错误时，视为该类基金份额净值错误。</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基金合同的当事人应按照以下约定处理：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、估值错误类型</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ascii="宋体" w:eastAsia="宋体" w:hAnsi="宋体" w:cs="Times New Roman" w:hint="eastAsia"/>
          <w:bCs/>
          <w:sz w:val="24"/>
          <w:szCs w:val="24"/>
        </w:rPr>
        <w:t>（</w:t>
      </w:r>
      <w:r>
        <w:rPr>
          <w:rFonts w:ascii="宋体" w:eastAsia="宋体" w:hAnsi="宋体" w:cs="Times New Roman"/>
          <w:bCs/>
          <w:sz w:val="24"/>
          <w:szCs w:val="24"/>
        </w:rPr>
        <w:t>“受损方”</w:t>
      </w:r>
      <w:r>
        <w:rPr>
          <w:rFonts w:ascii="宋体" w:eastAsia="宋体" w:hAnsi="宋体" w:cs="Times New Roman" w:hint="eastAsia"/>
          <w:bCs/>
          <w:sz w:val="24"/>
          <w:szCs w:val="24"/>
        </w:rPr>
        <w:t>）</w:t>
      </w:r>
      <w:r>
        <w:rPr>
          <w:rFonts w:ascii="宋体" w:eastAsia="宋体" w:hAnsi="宋体" w:cs="Times New Roman"/>
          <w:bCs/>
          <w:sz w:val="24"/>
          <w:szCs w:val="24"/>
        </w:rPr>
        <w:t>的直接损失按下述“估值错误处理原则”给予赔偿，承担赔偿责任。</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上述估值错误的主要类型包括但不限于：资料申报差错、数据传输差错、数据计算差错、系统故障差错、下达指令差错等。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、估值错误处理原则</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）估值错误的责任方对有关当事人的直接损失负责，不对间接损失负责，并且仅对估值错误的有关直接当事人负责，不对第三方负责。</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3</w:t>
      </w:r>
      <w:r>
        <w:rPr>
          <w:rFonts w:ascii="宋体" w:eastAsia="宋体" w:hAnsi="宋体" w:cs="Times New Roman"/>
          <w:bCs/>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eastAsia="宋体" w:hAnsi="宋体" w:cs="Times New Roman" w:hint="eastAsia"/>
          <w:bCs/>
          <w:sz w:val="24"/>
          <w:szCs w:val="24"/>
        </w:rPr>
        <w:t>（</w:t>
      </w:r>
      <w:r>
        <w:rPr>
          <w:rFonts w:ascii="宋体" w:eastAsia="宋体" w:hAnsi="宋体" w:cs="Times New Roman"/>
          <w:bCs/>
          <w:sz w:val="24"/>
          <w:szCs w:val="24"/>
        </w:rPr>
        <w:t>“受损方”</w:t>
      </w:r>
      <w:r>
        <w:rPr>
          <w:rFonts w:ascii="宋体" w:eastAsia="宋体" w:hAnsi="宋体" w:cs="Times New Roman" w:hint="eastAsia"/>
          <w:bCs/>
          <w:sz w:val="24"/>
          <w:szCs w:val="24"/>
        </w:rPr>
        <w:t>）</w:t>
      </w:r>
      <w:r>
        <w:rPr>
          <w:rFonts w:ascii="宋体" w:eastAsia="宋体" w:hAnsi="宋体" w:cs="Times New Roman"/>
          <w:bCs/>
          <w:sz w:val="24"/>
          <w:szCs w:val="24"/>
        </w:rPr>
        <w:t>，则估值错误责</w:t>
      </w:r>
      <w:r>
        <w:rPr>
          <w:rFonts w:ascii="宋体" w:eastAsia="宋体" w:hAnsi="宋体" w:cs="Times New Roman"/>
          <w:bCs/>
          <w:sz w:val="24"/>
          <w:szCs w:val="24"/>
        </w:rPr>
        <w:lastRenderedPageBreak/>
        <w:t>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4</w:t>
      </w:r>
      <w:r>
        <w:rPr>
          <w:rFonts w:ascii="宋体" w:eastAsia="宋体" w:hAnsi="宋体" w:cs="Times New Roman"/>
          <w:bCs/>
          <w:sz w:val="24"/>
          <w:szCs w:val="24"/>
        </w:rPr>
        <w:t>）估值错误调整采用尽量恢复至假设未发生估值错误的正确情形的方式。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、估值错误处理程序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估值错误被发现后，有关的当事人应当及时进行处理，处理的程序如下：</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）查明估值错误发生的原因，列明所有的当事人，并根据估值错误发生的原因确定估值错误的责任方；</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）根据估值错误处理原则或当事人协商的方法对因估值错误造成的损失进行评估；</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3</w:t>
      </w:r>
      <w:r>
        <w:rPr>
          <w:rFonts w:ascii="宋体" w:eastAsia="宋体" w:hAnsi="宋体" w:cs="Times New Roman"/>
          <w:bCs/>
          <w:sz w:val="24"/>
          <w:szCs w:val="24"/>
        </w:rPr>
        <w:t>）根据估值错误处理原则或当事人协商的方法由估值错误的责任方进行更正和赔偿损失；</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4</w:t>
      </w:r>
      <w:r>
        <w:rPr>
          <w:rFonts w:ascii="宋体" w:eastAsia="宋体" w:hAnsi="宋体" w:cs="Times New Roman"/>
          <w:bCs/>
          <w:sz w:val="24"/>
          <w:szCs w:val="24"/>
        </w:rPr>
        <w:t>）根据估值错误处理的方法，需要修改基金登记机构交易数据的，由基金登记机构进行更正，并就估值错误的更正向有关当事人进行确认。</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、基金份额净值估值错误处理的方法如下：</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）任一类基金份额净值计算出现错误时，基金管理人应当立即予以纠正，通报基金托管人，并采取合理的措施防止损失进一步扩大。</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）错误偏差达到该类基金份额净值的</w:t>
      </w:r>
      <w:r>
        <w:rPr>
          <w:rFonts w:ascii="Times New Roman" w:eastAsia="宋体" w:hAnsi="Times New Roman" w:cs="Times New Roman"/>
          <w:bCs/>
          <w:sz w:val="24"/>
          <w:szCs w:val="24"/>
        </w:rPr>
        <w:t>0.25%</w:t>
      </w:r>
      <w:r>
        <w:rPr>
          <w:rFonts w:ascii="宋体" w:eastAsia="宋体" w:hAnsi="宋体" w:cs="Times New Roman"/>
          <w:bCs/>
          <w:sz w:val="24"/>
          <w:szCs w:val="24"/>
        </w:rPr>
        <w:t>时，基金管理人应当通报基金托管人并报中国证监会备案；错误偏差达到该类基金份额净值的</w:t>
      </w:r>
      <w:r>
        <w:rPr>
          <w:rFonts w:ascii="Times New Roman" w:eastAsia="宋体" w:hAnsi="Times New Roman" w:cs="Times New Roman"/>
          <w:bCs/>
          <w:sz w:val="24"/>
          <w:szCs w:val="24"/>
        </w:rPr>
        <w:t>0.5%</w:t>
      </w:r>
      <w:r>
        <w:rPr>
          <w:rFonts w:ascii="宋体" w:eastAsia="宋体" w:hAnsi="宋体" w:cs="Times New Roman"/>
          <w:bCs/>
          <w:sz w:val="24"/>
          <w:szCs w:val="24"/>
        </w:rPr>
        <w:t>时，基金管理人应当</w:t>
      </w:r>
      <w:r>
        <w:rPr>
          <w:rFonts w:ascii="宋体" w:eastAsia="宋体" w:hAnsi="宋体" w:cs="Times New Roman" w:hint="eastAsia"/>
          <w:bCs/>
          <w:sz w:val="24"/>
          <w:szCs w:val="24"/>
        </w:rPr>
        <w:t>公告，并报中国证监会备案</w:t>
      </w:r>
      <w:r>
        <w:rPr>
          <w:rFonts w:ascii="宋体" w:eastAsia="宋体" w:hAnsi="宋体" w:cs="Times New Roman"/>
          <w:bCs/>
          <w:sz w:val="24"/>
          <w:szCs w:val="24"/>
        </w:rPr>
        <w:t>。</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（3）前述内容如法律法规或监管机关另有规定的，从其规定处理。如果行业有通行做法，基金管理人与基金托管人应本着平等和保护基金份额持有人利益的原则进行协商。</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七</w:t>
      </w:r>
      <w:r>
        <w:rPr>
          <w:rFonts w:ascii="宋体" w:eastAsia="宋体" w:hAnsi="宋体" w:cs="Times New Roman"/>
          <w:b/>
          <w:bCs/>
          <w:sz w:val="24"/>
          <w:szCs w:val="24"/>
        </w:rPr>
        <w:t>、暂停估值的情形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、基金投资所涉及的证券交易市场或外汇市场遇法定节假日或因其他原因暂停营业时；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、因不可抗力致使基金管理人、基金托管人无法准确评估基金资产价值时；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、占本基金相当比例的被投资基金发生暂停估值、暂停公告基金份额净值或</w:t>
      </w:r>
      <w:r>
        <w:rPr>
          <w:rFonts w:ascii="Times New Roman" w:eastAsia="宋体" w:hAnsi="Times New Roman" w:cs="Times New Roman" w:hint="eastAsia"/>
          <w:bCs/>
          <w:sz w:val="24"/>
          <w:szCs w:val="24"/>
        </w:rPr>
        <w:lastRenderedPageBreak/>
        <w:t>暂停公告万份（百份）收益的情形；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、当特定资产占前一估值日基金资产净值</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以上的，经与基金托管人协商确认后，基金管理人应当暂停估值；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、法律法规规定、中国证监会和基金合同认定的其他情形。</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八</w:t>
      </w:r>
      <w:r>
        <w:rPr>
          <w:rFonts w:ascii="宋体" w:eastAsia="宋体" w:hAnsi="宋体" w:cs="Times New Roman"/>
          <w:b/>
          <w:bCs/>
          <w:sz w:val="24"/>
          <w:szCs w:val="24"/>
        </w:rPr>
        <w:t>、基金净值的确认</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基金资产净值和各类基金份额净值由基金管理人负责计算，基金托管人负责进行复核。基金管理人应于每个估值日的次二个工作日内计算该估值日的基金资产净值和各类基金份额净值并发送给基金托管人。基金托管人对净值计算结果复核确认后发送给基金管理人，由基金管理人对基金净值按规定予以公布。</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九、特殊情形的处理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、基金管理人或基金托管人按估值方法的第</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项进行估值时，所造成的误差不作为基金资产估值错误处理；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由于不可抗力，或证券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减轻或消除由此造成的影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、对于因税收规定调整或其他原因导致基金实际交纳税金与基金按照权责发生制进行估值的应交税金有差异的，相关估值调整不作为基金资产估值错误处理。</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十、实施侧袋机制期间的基金资产估值</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本基金实施侧袋机制的，应根据本部分的约定对主袋账户资产进行估值并披露主袋账户的基金净值信息，暂停披露侧袋账户份额净值。</w:t>
      </w:r>
    </w:p>
    <w:bookmarkEnd w:id="98"/>
    <w:p w:rsidR="0068684E" w:rsidRDefault="0068684E">
      <w:pPr>
        <w:spacing w:line="360" w:lineRule="auto"/>
        <w:ind w:firstLineChars="200" w:firstLine="480"/>
        <w:rPr>
          <w:rFonts w:ascii="Times New Roman" w:eastAsia="宋体" w:hAnsi="Times New Roman" w:cs="Times New Roman"/>
          <w:bCs/>
          <w:sz w:val="24"/>
          <w:szCs w:val="24"/>
        </w:rPr>
      </w:pPr>
    </w:p>
    <w:p w:rsidR="0068684E" w:rsidRDefault="000021E4">
      <w:pPr>
        <w:widowControl/>
        <w:jc w:val="left"/>
        <w:rPr>
          <w:rFonts w:ascii="Times New Roman" w:eastAsia="宋体" w:hAnsi="Times New Roman" w:cs="Times New Roman"/>
          <w:bCs/>
          <w:sz w:val="24"/>
          <w:szCs w:val="24"/>
        </w:rPr>
      </w:pPr>
      <w:r>
        <w:rPr>
          <w:rFonts w:ascii="Times New Roman" w:eastAsia="宋体" w:hAnsi="Times New Roman" w:cs="Times New Roman"/>
          <w:bCs/>
          <w:sz w:val="24"/>
          <w:szCs w:val="24"/>
        </w:rPr>
        <w:br w:type="page"/>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99" w:name="_Toc208913386"/>
      <w:bookmarkStart w:id="100" w:name="_Toc7921"/>
      <w:r>
        <w:rPr>
          <w:rFonts w:ascii="Times New Roman" w:eastAsia="宋体" w:hAnsi="Times New Roman" w:cs="Times New Roman" w:hint="eastAsia"/>
          <w:b/>
          <w:kern w:val="0"/>
          <w:sz w:val="32"/>
          <w:szCs w:val="20"/>
        </w:rPr>
        <w:lastRenderedPageBreak/>
        <w:t>第十二部分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基金的收益与分配</w:t>
      </w:r>
      <w:bookmarkEnd w:id="99"/>
      <w:bookmarkEnd w:id="100"/>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一、基金利润的构成</w:t>
      </w:r>
    </w:p>
    <w:p w:rsidR="0068684E" w:rsidRDefault="000021E4">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基金利润指基金利息收入、投资收益、公允价值变动收益和其他收入扣除相关费用后的余额，基金已实现收益指基金利润减去公允价值变动收益后的余额。</w:t>
      </w:r>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二、基金可供分配利润</w:t>
      </w:r>
    </w:p>
    <w:p w:rsidR="0068684E" w:rsidRDefault="000021E4">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基金可供分配利润指截至收益分配基准日基金未分配利润与未分配利润中已实现收益的孰低数。</w:t>
      </w:r>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三、基金收益分配原则</w:t>
      </w:r>
    </w:p>
    <w:p w:rsidR="0068684E" w:rsidRDefault="000021E4">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宋体" w:eastAsia="宋体" w:hAnsi="宋体" w:cs="Times New Roman" w:hint="eastAsia"/>
          <w:bCs/>
          <w:sz w:val="24"/>
          <w:szCs w:val="24"/>
        </w:rPr>
        <w:t>、在符合有关基金分红条件的前提下，基金管理人可对本基金进行基金分红；若基金合同生效不满</w:t>
      </w: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个月，本基金可不进行收益分配；</w:t>
      </w:r>
    </w:p>
    <w:p w:rsidR="0068684E" w:rsidRDefault="000021E4">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、本基金收益分配方式分两种：现金分红与红利再投资，投资者可选择现金红利或将现金红利自动转为相应类别的基金份额进行再投资；若投资者不选择，本基金默认的收益分配方式是现金分红；</w:t>
      </w:r>
    </w:p>
    <w:p w:rsidR="0068684E" w:rsidRDefault="000021E4">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、基金收益分配后各类基金份额净值不能低于面值；即基金收益分配基准日的各类基金份额净值减去每单位该类基金份额收益分配金额后不能低于面值；</w:t>
      </w:r>
    </w:p>
    <w:p w:rsidR="0068684E" w:rsidRDefault="000021E4">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、本基金同一类别的每一基金份额享有同等分配权，由于本基金</w:t>
      </w:r>
      <w:r>
        <w:rPr>
          <w:rFonts w:ascii="Times New Roman" w:eastAsia="宋体" w:hAnsi="Times New Roman" w:cs="Times New Roman" w:hint="eastAsia"/>
          <w:bCs/>
          <w:sz w:val="24"/>
          <w:szCs w:val="24"/>
        </w:rPr>
        <w:t>A</w:t>
      </w:r>
      <w:r>
        <w:rPr>
          <w:rFonts w:ascii="宋体" w:eastAsia="宋体" w:hAnsi="宋体" w:cs="Times New Roman" w:hint="eastAsia"/>
          <w:bCs/>
          <w:sz w:val="24"/>
          <w:szCs w:val="24"/>
        </w:rPr>
        <w:t>类基金份额不收取销售服务费，</w:t>
      </w:r>
      <w:r>
        <w:rPr>
          <w:rFonts w:ascii="Times New Roman" w:eastAsia="宋体" w:hAnsi="Times New Roman" w:cs="Times New Roman" w:hint="eastAsia"/>
          <w:bCs/>
          <w:sz w:val="24"/>
          <w:szCs w:val="24"/>
        </w:rPr>
        <w:t>C</w:t>
      </w:r>
      <w:r>
        <w:rPr>
          <w:rFonts w:ascii="宋体" w:eastAsia="宋体" w:hAnsi="宋体" w:cs="Times New Roman" w:hint="eastAsia"/>
          <w:bCs/>
          <w:sz w:val="24"/>
          <w:szCs w:val="24"/>
        </w:rPr>
        <w:t>类基金份额收取销售服务费，各基金份额类别对应的可供分配利润将有所不同；</w:t>
      </w:r>
    </w:p>
    <w:p w:rsidR="0068684E" w:rsidRDefault="000021E4">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、对于收益分配方式为红利再投资的基金份额，每份基金份额（即原份额）红利再投资所获得的基金份额的持有期限，按原份额的持有期限计算，即红利再投资所得份额与原份额最短持有期到期日相同；</w:t>
      </w:r>
    </w:p>
    <w:p w:rsidR="0068684E" w:rsidRDefault="000021E4">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hint="eastAsia"/>
          <w:bCs/>
          <w:sz w:val="24"/>
          <w:szCs w:val="24"/>
        </w:rPr>
        <w:t>、法律法规或监管机关另有规定的，从其规定。</w:t>
      </w:r>
    </w:p>
    <w:p w:rsidR="0068684E" w:rsidRDefault="000021E4">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hint="eastAsia"/>
          <w:bCs/>
          <w:sz w:val="24"/>
          <w:szCs w:val="24"/>
        </w:rPr>
        <w:t>在遵守法律法规和监管部门的规定，且对基金份额持有人利益无实质性不利影响的前提下，基金管理人履行适当程序</w:t>
      </w:r>
      <w:r>
        <w:rPr>
          <w:rFonts w:ascii="宋体" w:eastAsia="宋体" w:hAnsi="宋体" w:cs="Times New Roman"/>
          <w:bCs/>
          <w:sz w:val="24"/>
          <w:szCs w:val="24"/>
        </w:rPr>
        <w:t>后</w:t>
      </w:r>
      <w:r>
        <w:rPr>
          <w:rFonts w:ascii="宋体" w:eastAsia="宋体" w:hAnsi="宋体" w:cs="Times New Roman" w:hint="eastAsia"/>
          <w:bCs/>
          <w:sz w:val="24"/>
          <w:szCs w:val="24"/>
        </w:rPr>
        <w:t>可对基金收益分配原则和支付方式进行调整，但应于变更实施日前在规定媒介公告。</w:t>
      </w:r>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四、收益分配方案</w:t>
      </w:r>
    </w:p>
    <w:p w:rsidR="0068684E" w:rsidRDefault="000021E4">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hint="eastAsia"/>
          <w:bCs/>
          <w:sz w:val="24"/>
          <w:szCs w:val="24"/>
        </w:rPr>
        <w:t>基金收益分配方案中应载明截止收益分配基准日的可供分配利润、基金收益分配对象、分配时间、分配数额及比例、分配方式等内容。</w:t>
      </w:r>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lastRenderedPageBreak/>
        <w:t>五、收益分配方案的确定、公告与实施</w:t>
      </w:r>
    </w:p>
    <w:p w:rsidR="0068684E" w:rsidRDefault="000021E4">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本基金收益分配方案由基金管理人拟定，并由基金托管人复核，</w:t>
      </w:r>
      <w:r>
        <w:rPr>
          <w:rFonts w:ascii="宋体" w:eastAsia="宋体" w:hAnsi="宋体" w:cs="Times New Roman" w:hint="eastAsia"/>
          <w:bCs/>
          <w:sz w:val="24"/>
          <w:szCs w:val="24"/>
        </w:rPr>
        <w:t>依照《信息披露办法》的有关规定</w:t>
      </w:r>
      <w:r>
        <w:rPr>
          <w:rFonts w:ascii="宋体" w:eastAsia="宋体" w:hAnsi="宋体" w:cs="Times New Roman"/>
          <w:bCs/>
          <w:sz w:val="24"/>
          <w:szCs w:val="24"/>
        </w:rPr>
        <w:t>在规定媒介公告。</w:t>
      </w:r>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六、基金收益分配中发生的费用</w:t>
      </w:r>
    </w:p>
    <w:p w:rsidR="0068684E" w:rsidRDefault="000021E4">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基金收益分配时所发生的银行转账或其他手续费用由投资者自行承担。</w:t>
      </w:r>
      <w:r>
        <w:rPr>
          <w:rFonts w:ascii="宋体" w:eastAsia="宋体" w:hAnsi="宋体" w:cs="Times New Roman" w:hint="eastAsia"/>
          <w:bCs/>
          <w:sz w:val="24"/>
          <w:szCs w:val="24"/>
        </w:rPr>
        <w:t>当投资者的现金红利小于一定金额，不足以支付银行转账或其他手续费用时，基金登记机构可将基金份额持有人的现金红利自动转为相应类别的基金份额。红利再投资的计算方法，依照《业务规则》执行。</w:t>
      </w:r>
    </w:p>
    <w:p w:rsidR="0068684E" w:rsidRDefault="000021E4">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hint="eastAsia"/>
          <w:b/>
          <w:bCs/>
          <w:sz w:val="24"/>
          <w:szCs w:val="24"/>
        </w:rPr>
        <w:t>七、实施侧袋机制期间的收益分配</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本基金实施侧袋机制的，侧袋账户不进行收益分配，详见招募说明书“侧袋机制”部分的规定。</w:t>
      </w:r>
    </w:p>
    <w:p w:rsidR="0068684E" w:rsidRDefault="0068684E">
      <w:pPr>
        <w:spacing w:line="360" w:lineRule="auto"/>
        <w:ind w:firstLineChars="225" w:firstLine="540"/>
        <w:rPr>
          <w:rFonts w:ascii="Times New Roman" w:eastAsia="宋体" w:hAnsi="Times New Roman" w:cs="Times New Roman"/>
          <w:sz w:val="24"/>
          <w:szCs w:val="20"/>
        </w:rPr>
      </w:pPr>
    </w:p>
    <w:p w:rsidR="0068684E" w:rsidRDefault="000021E4">
      <w:pPr>
        <w:spacing w:line="360" w:lineRule="auto"/>
        <w:ind w:firstLineChars="200" w:firstLine="482"/>
        <w:rPr>
          <w:rFonts w:ascii="Times New Roman" w:eastAsia="宋体" w:hAnsi="Times New Roman" w:cs="Times New Roman"/>
          <w:bCs/>
          <w:sz w:val="24"/>
          <w:szCs w:val="20"/>
        </w:rPr>
      </w:pPr>
      <w:r>
        <w:rPr>
          <w:rFonts w:ascii="Times New Roman" w:eastAsia="宋体" w:hAnsi="Times New Roman" w:cs="Times New Roman"/>
          <w:b/>
          <w:bCs/>
          <w:sz w:val="24"/>
          <w:szCs w:val="20"/>
        </w:rPr>
        <w:br w:type="page"/>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101" w:name="_Toc208913387"/>
      <w:bookmarkStart w:id="102" w:name="_Toc1207"/>
      <w:r>
        <w:rPr>
          <w:rFonts w:ascii="Times New Roman" w:eastAsia="宋体" w:hAnsi="Times New Roman" w:cs="Times New Roman" w:hint="eastAsia"/>
          <w:b/>
          <w:kern w:val="0"/>
          <w:sz w:val="32"/>
          <w:szCs w:val="20"/>
        </w:rPr>
        <w:lastRenderedPageBreak/>
        <w:t>第十三部分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基金的费用与税收</w:t>
      </w:r>
      <w:bookmarkEnd w:id="101"/>
      <w:bookmarkEnd w:id="102"/>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一、基金费用的种类</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、基金管理人的管理费；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、基金托管人的托管费；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w:t>
      </w:r>
      <w:r>
        <w:rPr>
          <w:rFonts w:ascii="Times New Roman" w:eastAsia="宋体" w:hAnsi="Times New Roman" w:cs="Times New Roman" w:hint="eastAsia"/>
          <w:bCs/>
          <w:sz w:val="24"/>
          <w:szCs w:val="24"/>
        </w:rPr>
        <w:t>C</w:t>
      </w:r>
      <w:r>
        <w:rPr>
          <w:rFonts w:ascii="宋体" w:eastAsia="宋体" w:hAnsi="宋体" w:cs="Times New Roman" w:hint="eastAsia"/>
          <w:bCs/>
          <w:sz w:val="24"/>
          <w:szCs w:val="24"/>
        </w:rPr>
        <w:t>类基金份额的销售服务费；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hint="eastAsia"/>
          <w:bCs/>
          <w:sz w:val="24"/>
          <w:szCs w:val="24"/>
        </w:rPr>
        <w:t>、</w:t>
      </w:r>
      <w:r>
        <w:rPr>
          <w:rFonts w:ascii="宋体" w:eastAsia="宋体" w:hAnsi="宋体" w:cs="Times New Roman"/>
          <w:bCs/>
          <w:sz w:val="24"/>
          <w:szCs w:val="24"/>
        </w:rPr>
        <w:t>基金合同生效后与基金相关的信息披露费用；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、基金合同生效后与基金相关的会计师费、律师费</w:t>
      </w:r>
      <w:r>
        <w:rPr>
          <w:rFonts w:ascii="宋体" w:eastAsia="宋体" w:hAnsi="宋体" w:cs="Times New Roman" w:hint="eastAsia"/>
          <w:bCs/>
          <w:sz w:val="24"/>
          <w:szCs w:val="24"/>
        </w:rPr>
        <w:t>、</w:t>
      </w:r>
      <w:r>
        <w:rPr>
          <w:rFonts w:ascii="宋体" w:eastAsia="宋体" w:hAnsi="宋体" w:cs="Times New Roman"/>
          <w:bCs/>
          <w:sz w:val="24"/>
          <w:szCs w:val="24"/>
        </w:rPr>
        <w:t>诉讼费</w:t>
      </w:r>
      <w:r>
        <w:rPr>
          <w:rFonts w:ascii="宋体" w:eastAsia="宋体" w:hAnsi="宋体" w:cs="Times New Roman" w:hint="eastAsia"/>
          <w:bCs/>
          <w:sz w:val="24"/>
          <w:szCs w:val="24"/>
        </w:rPr>
        <w:t>和仲裁费</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bCs/>
          <w:sz w:val="24"/>
          <w:szCs w:val="24"/>
        </w:rPr>
        <w:t>、基金份额持有人大会费用；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宋体" w:eastAsia="宋体" w:hAnsi="宋体" w:cs="Times New Roman"/>
          <w:bCs/>
          <w:sz w:val="24"/>
          <w:szCs w:val="24"/>
        </w:rPr>
        <w:t>、基金的证券交易</w:t>
      </w:r>
      <w:r>
        <w:rPr>
          <w:rFonts w:ascii="宋体" w:eastAsia="宋体" w:hAnsi="宋体" w:cs="Times New Roman" w:hint="eastAsia"/>
          <w:bCs/>
          <w:sz w:val="24"/>
          <w:szCs w:val="24"/>
        </w:rPr>
        <w:t>、结算</w:t>
      </w:r>
      <w:r>
        <w:rPr>
          <w:rFonts w:ascii="宋体" w:eastAsia="宋体" w:hAnsi="宋体" w:cs="Times New Roman"/>
          <w:bCs/>
          <w:sz w:val="24"/>
          <w:szCs w:val="24"/>
        </w:rPr>
        <w:t>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宋体" w:eastAsia="宋体" w:hAnsi="宋体" w:cs="Times New Roman"/>
          <w:bCs/>
          <w:sz w:val="24"/>
          <w:szCs w:val="24"/>
        </w:rPr>
        <w:t>、基金的银行汇划费用；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9</w:t>
      </w:r>
      <w:r>
        <w:rPr>
          <w:rFonts w:ascii="宋体" w:eastAsia="宋体" w:hAnsi="宋体" w:cs="Times New Roman"/>
          <w:bCs/>
          <w:sz w:val="24"/>
          <w:szCs w:val="24"/>
        </w:rPr>
        <w:t>、</w:t>
      </w:r>
      <w:r>
        <w:rPr>
          <w:rFonts w:ascii="宋体" w:eastAsia="宋体" w:hAnsi="宋体" w:cs="Times New Roman" w:hint="eastAsia"/>
          <w:bCs/>
          <w:sz w:val="24"/>
          <w:szCs w:val="24"/>
        </w:rPr>
        <w:t>基金相关账户的开户和维护费用；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、因投资港股通标的</w:t>
      </w:r>
      <w:r>
        <w:rPr>
          <w:rFonts w:ascii="Times New Roman" w:eastAsia="宋体" w:hAnsi="Times New Roman" w:cs="Times New Roman"/>
          <w:bCs/>
          <w:sz w:val="24"/>
          <w:szCs w:val="24"/>
        </w:rPr>
        <w:t>证券</w:t>
      </w:r>
      <w:r>
        <w:rPr>
          <w:rFonts w:ascii="Times New Roman" w:eastAsia="宋体" w:hAnsi="Times New Roman" w:cs="Times New Roman" w:hint="eastAsia"/>
          <w:bCs/>
          <w:sz w:val="24"/>
          <w:szCs w:val="24"/>
        </w:rPr>
        <w:t>而产生的各项费用；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、基金投资其他基金产生的其他基金的销售费用，但法律法规禁止从基金财产中列支的除外；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bCs/>
          <w:sz w:val="24"/>
          <w:szCs w:val="24"/>
        </w:rPr>
        <w:t>2</w:t>
      </w:r>
      <w:r>
        <w:rPr>
          <w:rFonts w:ascii="宋体" w:eastAsia="宋体" w:hAnsi="宋体" w:cs="Times New Roman"/>
          <w:bCs/>
          <w:sz w:val="24"/>
          <w:szCs w:val="24"/>
        </w:rPr>
        <w:t>、按照国家有关规定和基金合同约定，可以在基金财产中列支的其他费用。</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二、基金费用计提方法、计提标准和支付方式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、基金管理人的管理费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本基金对基金财产中持有的本基金管理人自身管理的基金部分不收取管理费。本基金的管理费按前一日基金资产净值扣除基金资产中本基金管理人管理的基金份额所对应资产净值后剩余部分（若为负数，则取</w:t>
      </w:r>
      <w:r>
        <w:rPr>
          <w:rFonts w:ascii="Times New Roman" w:eastAsia="宋体" w:hAnsi="Times New Roman" w:cs="Times New Roman" w:hint="eastAsia"/>
          <w:bCs/>
          <w:sz w:val="24"/>
          <w:szCs w:val="24"/>
        </w:rPr>
        <w:t>0</w:t>
      </w:r>
      <w:r>
        <w:rPr>
          <w:rFonts w:ascii="Times New Roman" w:eastAsia="宋体" w:hAnsi="Times New Roman" w:cs="Times New Roman" w:hint="eastAsia"/>
          <w:bCs/>
          <w:sz w:val="24"/>
          <w:szCs w:val="24"/>
        </w:rPr>
        <w:t>）的</w:t>
      </w:r>
      <w:r>
        <w:rPr>
          <w:rFonts w:ascii="Times New Roman" w:eastAsia="宋体" w:hAnsi="Times New Roman" w:cs="Times New Roman" w:hint="eastAsia"/>
          <w:bCs/>
          <w:sz w:val="24"/>
          <w:szCs w:val="24"/>
        </w:rPr>
        <w:t>0.50%</w:t>
      </w:r>
      <w:r>
        <w:rPr>
          <w:rFonts w:ascii="Times New Roman" w:eastAsia="宋体" w:hAnsi="Times New Roman" w:cs="Times New Roman" w:hint="eastAsia"/>
          <w:bCs/>
          <w:sz w:val="24"/>
          <w:szCs w:val="24"/>
        </w:rPr>
        <w:t>的年费率计提。管理费的计算方法如下：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0.50%</w:t>
      </w:r>
      <w:r>
        <w:rPr>
          <w:rFonts w:ascii="Times New Roman" w:eastAsia="宋体" w:hAnsi="Times New Roman" w:cs="Times New Roman" w:hint="eastAsia"/>
          <w:bCs/>
          <w:sz w:val="24"/>
          <w:szCs w:val="24"/>
        </w:rPr>
        <w:t>÷当年天数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为每日应计提的基金管理费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为前一日的基金资产净值扣除基金资产中本基金管理人管理的基金份额所对应资产净值后剩余部分（若为负数，则取</w:t>
      </w:r>
      <w:r>
        <w:rPr>
          <w:rFonts w:ascii="Times New Roman" w:eastAsia="宋体" w:hAnsi="Times New Roman" w:cs="Times New Roman" w:hint="eastAsia"/>
          <w:bCs/>
          <w:sz w:val="24"/>
          <w:szCs w:val="24"/>
        </w:rPr>
        <w:t>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w:t>
      </w:r>
      <w:r>
        <w:rPr>
          <w:rFonts w:ascii="Times New Roman" w:eastAsia="宋体" w:hAnsi="Times New Roman" w:cs="Times New Roman" w:hint="eastAsia"/>
          <w:bCs/>
          <w:sz w:val="24"/>
          <w:szCs w:val="24"/>
        </w:rPr>
        <w:lastRenderedPageBreak/>
        <w:t>公休日或不可抗力等，支付日期顺延。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、基金托管人的托管费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本基金对基金财产中持有的本基金托管人自身托管的基金部分不收取托管费。本基金的托管费按前一日基金资产净值扣除基金资产中本基金托管人托管的基金份额所对应资产净值后剩余部分（若为负数，则取</w:t>
      </w:r>
      <w:r>
        <w:rPr>
          <w:rFonts w:ascii="Times New Roman" w:eastAsia="宋体" w:hAnsi="Times New Roman" w:cs="Times New Roman" w:hint="eastAsia"/>
          <w:bCs/>
          <w:sz w:val="24"/>
          <w:szCs w:val="24"/>
        </w:rPr>
        <w:t>0</w:t>
      </w:r>
      <w:r>
        <w:rPr>
          <w:rFonts w:ascii="Times New Roman" w:eastAsia="宋体" w:hAnsi="Times New Roman" w:cs="Times New Roman" w:hint="eastAsia"/>
          <w:bCs/>
          <w:sz w:val="24"/>
          <w:szCs w:val="24"/>
        </w:rPr>
        <w:t>）的</w:t>
      </w:r>
      <w:r>
        <w:rPr>
          <w:rFonts w:ascii="Times New Roman" w:eastAsia="宋体" w:hAnsi="Times New Roman" w:cs="Times New Roman" w:hint="eastAsia"/>
          <w:bCs/>
          <w:sz w:val="24"/>
          <w:szCs w:val="24"/>
        </w:rPr>
        <w:t>0.10%</w:t>
      </w:r>
      <w:r>
        <w:rPr>
          <w:rFonts w:ascii="Times New Roman" w:eastAsia="宋体" w:hAnsi="Times New Roman" w:cs="Times New Roman" w:hint="eastAsia"/>
          <w:bCs/>
          <w:sz w:val="24"/>
          <w:szCs w:val="24"/>
        </w:rPr>
        <w:t>的年费率计提。托管费的计算方法如下：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0.10%</w:t>
      </w:r>
      <w:r>
        <w:rPr>
          <w:rFonts w:ascii="Times New Roman" w:eastAsia="宋体" w:hAnsi="Times New Roman" w:cs="Times New Roman" w:hint="eastAsia"/>
          <w:bCs/>
          <w:sz w:val="24"/>
          <w:szCs w:val="24"/>
        </w:rPr>
        <w:t>÷当年天数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为每日应计提的基金托管费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为前一日的基金资产净值扣除基金资产中本基金托管人托管的基金份额所对应资产净值后剩余部分（若为负数，则取</w:t>
      </w:r>
      <w:r>
        <w:rPr>
          <w:rFonts w:ascii="Times New Roman" w:eastAsia="宋体" w:hAnsi="Times New Roman" w:cs="Times New Roman" w:hint="eastAsia"/>
          <w:bCs/>
          <w:sz w:val="24"/>
          <w:szCs w:val="24"/>
        </w:rPr>
        <w:t>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类基金份额的销售服务费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类基金份额不收取销售服务费，</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类基金份额的销售服务费按前一日</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类基金份额资产净值的</w:t>
      </w:r>
      <w:r>
        <w:rPr>
          <w:rFonts w:ascii="Times New Roman" w:eastAsia="宋体" w:hAnsi="Times New Roman" w:cs="Times New Roman" w:hint="eastAsia"/>
          <w:bCs/>
          <w:sz w:val="24"/>
          <w:szCs w:val="24"/>
        </w:rPr>
        <w:t>0.30%</w:t>
      </w:r>
      <w:r>
        <w:rPr>
          <w:rFonts w:ascii="Times New Roman" w:eastAsia="宋体" w:hAnsi="Times New Roman" w:cs="Times New Roman" w:hint="eastAsia"/>
          <w:bCs/>
          <w:sz w:val="24"/>
          <w:szCs w:val="24"/>
        </w:rPr>
        <w:t>的年费率计提。销售服务费的计算方法如下：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0.30%</w:t>
      </w:r>
      <w:r>
        <w:rPr>
          <w:rFonts w:ascii="Times New Roman" w:eastAsia="宋体" w:hAnsi="Times New Roman" w:cs="Times New Roman" w:hint="eastAsia"/>
          <w:bCs/>
          <w:sz w:val="24"/>
          <w:szCs w:val="24"/>
        </w:rPr>
        <w:t>÷当年天数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为</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类基金份额每日应计提的销售服务费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为</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类基金份额前一日的基金资产净值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的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上述“一、基金费用的种类”中第</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项费用，根据有关法规及相应协议规定，按费用实际支出金额列入当期费用，由基金托管人从基金财产中支付。</w:t>
      </w:r>
    </w:p>
    <w:p w:rsidR="0068684E" w:rsidRDefault="000021E4">
      <w:p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三、基金管理人运用本基金财产申购自身管理的其他基金（ETF除外），应当通过直销渠道申购且不得收取申购费、赎回费（按照相关法规、基金招募说明书约定应当收取，并记入基金财产的赎回费用除外）、销售服务费等销售费用。</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lastRenderedPageBreak/>
        <w:t>四、不列入基金费用的项目</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下列费用不列入基金费用：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、基金管理人和基金托管人因未履行或未完全履行义务导致的费用支出或基金财产的损失；</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、基金管理人和基金托管人处理与基金运作无关的事项发生的费用；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、基金合同生效前的相关费用；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、其他根据相关法律法规及中国证监会的有关规定不得列入基金费用的项目。</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五</w:t>
      </w:r>
      <w:r>
        <w:rPr>
          <w:rFonts w:ascii="宋体" w:eastAsia="宋体" w:hAnsi="宋体" w:cs="Times New Roman" w:hint="eastAsia"/>
          <w:b/>
          <w:bCs/>
          <w:sz w:val="24"/>
          <w:szCs w:val="24"/>
        </w:rPr>
        <w:t>、实施侧袋机制期间的基金费用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本基金实施侧袋机制的，与侧袋账户有关的费用可以从侧袋账户中列支，但应待侧袋账户资产变现后方可列支，有关费用可酌情收取或减免，但不得收取管理费，详见招募说明书“侧袋机制”部分的规定。</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六</w:t>
      </w:r>
      <w:r>
        <w:rPr>
          <w:rFonts w:ascii="宋体" w:eastAsia="宋体" w:hAnsi="宋体" w:cs="Times New Roman" w:hint="eastAsia"/>
          <w:b/>
          <w:bCs/>
          <w:sz w:val="24"/>
          <w:szCs w:val="24"/>
        </w:rPr>
        <w:t>、</w:t>
      </w:r>
      <w:r>
        <w:rPr>
          <w:rFonts w:ascii="宋体" w:eastAsia="宋体" w:hAnsi="宋体" w:cs="Times New Roman"/>
          <w:b/>
          <w:bCs/>
          <w:sz w:val="24"/>
          <w:szCs w:val="24"/>
        </w:rPr>
        <w:t>基金税收</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本基金运作过程中涉及的各纳税主体，其纳税义务按国家税收法律、法规执行。</w:t>
      </w:r>
      <w:r>
        <w:rPr>
          <w:rFonts w:ascii="宋体" w:eastAsia="宋体" w:hAnsi="宋体" w:cs="Times New Roman" w:hint="eastAsia"/>
          <w:bCs/>
          <w:sz w:val="24"/>
          <w:szCs w:val="24"/>
        </w:rPr>
        <w:t>基金财产投资的相关税收，由基金份额持有人承担，基金管理人或者其他扣缴义务人按照国家有关税收征收的规定代扣代缴。</w:t>
      </w:r>
      <w:bookmarkStart w:id="103" w:name="_Hlt88827255"/>
      <w:bookmarkEnd w:id="103"/>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sz w:val="24"/>
          <w:szCs w:val="20"/>
        </w:rPr>
        <w:br w:type="page"/>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104" w:name="_Toc208913388"/>
      <w:bookmarkStart w:id="105" w:name="_Toc18467"/>
      <w:r>
        <w:rPr>
          <w:rFonts w:ascii="Times New Roman" w:eastAsia="宋体" w:hAnsi="Times New Roman" w:cs="Times New Roman" w:hint="eastAsia"/>
          <w:b/>
          <w:kern w:val="0"/>
          <w:sz w:val="32"/>
          <w:szCs w:val="20"/>
        </w:rPr>
        <w:lastRenderedPageBreak/>
        <w:t>第十四部分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基金的会计与审计</w:t>
      </w:r>
      <w:bookmarkEnd w:id="104"/>
      <w:bookmarkEnd w:id="105"/>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一、基金会计政策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、基金管理人为本基金的基金会计责任方；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、基金的会计年度为公历年度的</w:t>
      </w:r>
      <w:r>
        <w:rPr>
          <w:rFonts w:ascii="Times New Roman" w:eastAsia="宋体" w:hAnsi="Times New Roman" w:cs="Times New Roman"/>
          <w:bCs/>
          <w:sz w:val="24"/>
          <w:szCs w:val="24"/>
        </w:rPr>
        <w:t>1</w:t>
      </w:r>
      <w:r>
        <w:rPr>
          <w:rFonts w:ascii="Times New Roman" w:eastAsia="宋体" w:hAnsi="Times New Roman" w:cs="Times New Roman"/>
          <w:bCs/>
          <w:sz w:val="24"/>
          <w:szCs w:val="24"/>
        </w:rPr>
        <w:t>月</w:t>
      </w:r>
      <w:r>
        <w:rPr>
          <w:rFonts w:ascii="Times New Roman" w:eastAsia="宋体" w:hAnsi="Times New Roman" w:cs="Times New Roman"/>
          <w:bCs/>
          <w:sz w:val="24"/>
          <w:szCs w:val="24"/>
        </w:rPr>
        <w:t>1</w:t>
      </w:r>
      <w:r>
        <w:rPr>
          <w:rFonts w:ascii="Times New Roman" w:eastAsia="宋体" w:hAnsi="Times New Roman" w:cs="Times New Roman"/>
          <w:bCs/>
          <w:sz w:val="24"/>
          <w:szCs w:val="24"/>
        </w:rPr>
        <w:t>日至</w:t>
      </w:r>
      <w:r>
        <w:rPr>
          <w:rFonts w:ascii="Times New Roman" w:eastAsia="宋体" w:hAnsi="Times New Roman" w:cs="Times New Roman"/>
          <w:bCs/>
          <w:sz w:val="24"/>
          <w:szCs w:val="24"/>
        </w:rPr>
        <w:t>12</w:t>
      </w:r>
      <w:r>
        <w:rPr>
          <w:rFonts w:ascii="Times New Roman" w:eastAsia="宋体" w:hAnsi="Times New Roman" w:cs="Times New Roman"/>
          <w:bCs/>
          <w:sz w:val="24"/>
          <w:szCs w:val="24"/>
        </w:rPr>
        <w:t>月</w:t>
      </w:r>
      <w:r>
        <w:rPr>
          <w:rFonts w:ascii="Times New Roman" w:eastAsia="宋体" w:hAnsi="Times New Roman" w:cs="Times New Roman"/>
          <w:bCs/>
          <w:sz w:val="24"/>
          <w:szCs w:val="24"/>
        </w:rPr>
        <w:t>31</w:t>
      </w:r>
      <w:r>
        <w:rPr>
          <w:rFonts w:ascii="Times New Roman" w:eastAsia="宋体" w:hAnsi="Times New Roman" w:cs="Times New Roman"/>
          <w:bCs/>
          <w:sz w:val="24"/>
          <w:szCs w:val="24"/>
        </w:rPr>
        <w:t>日；基金首次募集的会计年度按如下原则：如果基金合同生效少于</w:t>
      </w:r>
      <w:r>
        <w:rPr>
          <w:rFonts w:ascii="Times New Roman" w:eastAsia="宋体" w:hAnsi="Times New Roman" w:cs="Times New Roman"/>
          <w:bCs/>
          <w:sz w:val="24"/>
          <w:szCs w:val="24"/>
        </w:rPr>
        <w:t>2</w:t>
      </w:r>
      <w:r>
        <w:rPr>
          <w:rFonts w:ascii="Times New Roman" w:eastAsia="宋体" w:hAnsi="Times New Roman" w:cs="Times New Roman"/>
          <w:bCs/>
          <w:sz w:val="24"/>
          <w:szCs w:val="24"/>
        </w:rPr>
        <w:t>个月，可以并入下一个会计年度</w:t>
      </w:r>
      <w:r>
        <w:rPr>
          <w:rFonts w:ascii="Times New Roman" w:eastAsia="宋体" w:hAnsi="Times New Roman" w:cs="Times New Roman" w:hint="eastAsia"/>
          <w:bCs/>
          <w:sz w:val="24"/>
          <w:szCs w:val="24"/>
        </w:rPr>
        <w:t>披露</w:t>
      </w:r>
      <w:r>
        <w:rPr>
          <w:rFonts w:ascii="Times New Roman" w:eastAsia="宋体" w:hAnsi="Times New Roman"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、基金核算以人民币为记账本位币，以人民币元为记账单位；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、会计制度执行国家有关会计制度；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、本基金独立建账、独立核算；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bCs/>
          <w:sz w:val="24"/>
          <w:szCs w:val="24"/>
        </w:rPr>
        <w:t>、基金管理人及基金托管人各自保留完整的会计账目、凭证并进行日常的会计核算，按照有关规定编制基金会计报表；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bCs/>
          <w:sz w:val="24"/>
          <w:szCs w:val="24"/>
        </w:rPr>
        <w:t>、基金托管人每月与基金管理人就基金的会计核算、报表编制等进行核对并以书面方式确认。</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二、基金的年度审计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、基金管理人聘请与基金管理人、基金托管人相互独立的</w:t>
      </w:r>
      <w:r>
        <w:rPr>
          <w:rFonts w:ascii="Times New Roman" w:eastAsia="宋体" w:hAnsi="Times New Roman" w:cs="Times New Roman" w:hint="eastAsia"/>
          <w:bCs/>
          <w:sz w:val="24"/>
          <w:szCs w:val="24"/>
        </w:rPr>
        <w:t>符合《中华人民共和国证券法》规定</w:t>
      </w:r>
      <w:r>
        <w:rPr>
          <w:rFonts w:ascii="Times New Roman" w:eastAsia="宋体" w:hAnsi="Times New Roman" w:cs="Times New Roman"/>
          <w:bCs/>
          <w:sz w:val="24"/>
          <w:szCs w:val="24"/>
        </w:rPr>
        <w:t>的会计师事务所及其注册会计师对本基金的年度财务报表进行审计。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、会计师事务所更换经办注册会计师，应事先征得基金管理人同意。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w:t>
      </w:r>
      <w:bookmarkStart w:id="106" w:name="_Hlt4221115"/>
      <w:bookmarkEnd w:id="106"/>
      <w:r>
        <w:rPr>
          <w:rFonts w:ascii="Times New Roman" w:eastAsia="宋体" w:hAnsi="Times New Roman" w:cs="Times New Roman"/>
          <w:bCs/>
          <w:sz w:val="24"/>
          <w:szCs w:val="24"/>
        </w:rPr>
        <w:t>基金管理人认为有充足理由更换会计师事务所，须通报基金托管人。更换会计师事务所需</w:t>
      </w:r>
      <w:r>
        <w:rPr>
          <w:rFonts w:ascii="Times New Roman" w:eastAsia="宋体" w:hAnsi="Times New Roman" w:cs="Times New Roman" w:hint="eastAsia"/>
          <w:bCs/>
          <w:sz w:val="24"/>
          <w:szCs w:val="24"/>
        </w:rPr>
        <w:t>按照《信息披露办法》的有关规定</w:t>
      </w:r>
      <w:r>
        <w:rPr>
          <w:rFonts w:ascii="Times New Roman" w:eastAsia="宋体" w:hAnsi="Times New Roman" w:cs="Times New Roman"/>
          <w:bCs/>
          <w:sz w:val="24"/>
          <w:szCs w:val="24"/>
        </w:rPr>
        <w:t>在</w:t>
      </w:r>
      <w:r>
        <w:rPr>
          <w:rFonts w:ascii="Times New Roman" w:eastAsia="宋体" w:hAnsi="Times New Roman" w:cs="Times New Roman" w:hint="eastAsia"/>
          <w:bCs/>
          <w:sz w:val="24"/>
          <w:szCs w:val="24"/>
        </w:rPr>
        <w:t>规定媒介</w:t>
      </w:r>
      <w:r>
        <w:rPr>
          <w:rFonts w:ascii="Times New Roman" w:eastAsia="宋体" w:hAnsi="Times New Roman" w:cs="Times New Roman"/>
          <w:bCs/>
          <w:sz w:val="24"/>
          <w:szCs w:val="24"/>
        </w:rPr>
        <w:t>公告。</w:t>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kern w:val="0"/>
          <w:sz w:val="32"/>
          <w:szCs w:val="20"/>
        </w:rPr>
        <w:br w:type="page"/>
      </w:r>
      <w:bookmarkStart w:id="107" w:name="_Toc208913389"/>
      <w:bookmarkStart w:id="108" w:name="_Toc6739"/>
      <w:r>
        <w:rPr>
          <w:rFonts w:ascii="Times New Roman" w:eastAsia="宋体" w:hAnsi="Times New Roman" w:cs="Times New Roman" w:hint="eastAsia"/>
          <w:b/>
          <w:kern w:val="44"/>
          <w:sz w:val="32"/>
          <w:szCs w:val="20"/>
        </w:rPr>
        <w:lastRenderedPageBreak/>
        <w:t>第十五部分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基金的信息披露</w:t>
      </w:r>
      <w:bookmarkEnd w:id="107"/>
      <w:bookmarkEnd w:id="108"/>
    </w:p>
    <w:p w:rsidR="0068684E" w:rsidRDefault="000021E4">
      <w:pPr>
        <w:spacing w:line="360" w:lineRule="auto"/>
        <w:ind w:firstLineChars="200" w:firstLine="482"/>
        <w:rPr>
          <w:rFonts w:ascii="Times New Roman" w:eastAsia="宋体" w:hAnsi="Times New Roman" w:cs="Times New Roman"/>
          <w:bCs/>
          <w:sz w:val="24"/>
          <w:szCs w:val="24"/>
        </w:rPr>
      </w:pPr>
      <w:r>
        <w:rPr>
          <w:rFonts w:ascii="宋体" w:eastAsia="宋体" w:hAnsi="宋体" w:cs="Times New Roman"/>
          <w:b/>
          <w:bCs/>
          <w:sz w:val="24"/>
          <w:szCs w:val="24"/>
        </w:rPr>
        <w:t>一、本基金的信息披露应符合《基金法》、《运作办法》、《信息披露办法》、</w:t>
      </w:r>
      <w:r>
        <w:rPr>
          <w:rFonts w:ascii="宋体" w:eastAsia="宋体" w:hAnsi="宋体" w:cs="Times New Roman" w:hint="eastAsia"/>
          <w:b/>
          <w:bCs/>
          <w:sz w:val="24"/>
          <w:szCs w:val="24"/>
        </w:rPr>
        <w:t>《流动性风险管理规定》、</w:t>
      </w:r>
      <w:r>
        <w:rPr>
          <w:rFonts w:ascii="宋体" w:eastAsia="宋体" w:hAnsi="宋体" w:cs="Times New Roman"/>
          <w:b/>
          <w:bCs/>
          <w:sz w:val="24"/>
          <w:szCs w:val="24"/>
        </w:rPr>
        <w:t>基金合同及其他有关规定。</w:t>
      </w:r>
      <w:r>
        <w:rPr>
          <w:rFonts w:ascii="宋体" w:eastAsia="宋体" w:hAnsi="宋体" w:cs="Times New Roman" w:hint="eastAsia"/>
          <w:b/>
          <w:bCs/>
          <w:sz w:val="24"/>
          <w:szCs w:val="24"/>
        </w:rPr>
        <w:t>相关法律法规关于信息披露的披露方式、登载媒介、报备方式等规定发生变化时，本基金从其最新规定。</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二、信息披露义务人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本基金信息披露义务人包括基金管理人、基金托管人、召集基金份额持有人大会的基金份额持有人</w:t>
      </w:r>
      <w:r>
        <w:rPr>
          <w:rFonts w:ascii="宋体" w:eastAsia="宋体" w:hAnsi="宋体" w:cs="Times New Roman" w:hint="eastAsia"/>
          <w:bCs/>
          <w:sz w:val="24"/>
          <w:szCs w:val="24"/>
        </w:rPr>
        <w:t>及其日常机构（如有）等法律、行政法规</w:t>
      </w:r>
      <w:r>
        <w:rPr>
          <w:rFonts w:ascii="宋体" w:eastAsia="宋体" w:hAnsi="宋体" w:cs="Times New Roman"/>
          <w:bCs/>
          <w:sz w:val="24"/>
          <w:szCs w:val="24"/>
        </w:rPr>
        <w:t>和中国证监会规定的自然人、法人和</w:t>
      </w:r>
      <w:r>
        <w:rPr>
          <w:rFonts w:ascii="宋体" w:eastAsia="宋体" w:hAnsi="宋体" w:cs="Times New Roman" w:hint="eastAsia"/>
          <w:bCs/>
          <w:sz w:val="24"/>
          <w:szCs w:val="24"/>
        </w:rPr>
        <w:t>非法人</w:t>
      </w:r>
      <w:r>
        <w:rPr>
          <w:rFonts w:ascii="宋体" w:eastAsia="宋体" w:hAnsi="宋体" w:cs="Times New Roman"/>
          <w:bCs/>
          <w:sz w:val="24"/>
          <w:szCs w:val="24"/>
        </w:rPr>
        <w:t>组织。</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本基金信息披露义务人</w:t>
      </w:r>
      <w:r>
        <w:rPr>
          <w:rFonts w:ascii="宋体" w:eastAsia="宋体" w:hAnsi="宋体" w:cs="Times New Roman" w:hint="eastAsia"/>
          <w:bCs/>
          <w:sz w:val="24"/>
          <w:szCs w:val="24"/>
        </w:rPr>
        <w:t>以保护基金份额持有人利益为根本出发点，</w:t>
      </w:r>
      <w:r>
        <w:rPr>
          <w:rFonts w:ascii="宋体" w:eastAsia="宋体" w:hAnsi="宋体" w:cs="Times New Roman"/>
          <w:bCs/>
          <w:sz w:val="24"/>
          <w:szCs w:val="24"/>
        </w:rPr>
        <w:t>按照法律法规和中国证监会的规定披露基金信息，并保证所披露信息的真实性、准确性</w:t>
      </w:r>
      <w:r>
        <w:rPr>
          <w:rFonts w:ascii="宋体" w:eastAsia="宋体" w:hAnsi="宋体" w:cs="Times New Roman" w:hint="eastAsia"/>
          <w:bCs/>
          <w:sz w:val="24"/>
          <w:szCs w:val="24"/>
        </w:rPr>
        <w:t>、</w:t>
      </w:r>
      <w:r>
        <w:rPr>
          <w:rFonts w:ascii="宋体" w:eastAsia="宋体" w:hAnsi="宋体" w:cs="Times New Roman"/>
          <w:bCs/>
          <w:sz w:val="24"/>
          <w:szCs w:val="24"/>
        </w:rPr>
        <w:t>完整性</w:t>
      </w:r>
      <w:r>
        <w:rPr>
          <w:rFonts w:ascii="宋体" w:eastAsia="宋体" w:hAnsi="宋体" w:cs="Times New Roman" w:hint="eastAsia"/>
          <w:bCs/>
          <w:sz w:val="24"/>
          <w:szCs w:val="24"/>
        </w:rPr>
        <w:t>、及时性、简明性和易得性</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本基金信息披露义务人应当在中国证监会规定时间内，将应予披露的基金信息通过</w:t>
      </w:r>
      <w:r>
        <w:rPr>
          <w:rFonts w:ascii="宋体" w:eastAsia="宋体" w:hAnsi="宋体" w:cs="Times New Roman" w:hint="eastAsia"/>
          <w:bCs/>
          <w:sz w:val="24"/>
          <w:szCs w:val="24"/>
        </w:rPr>
        <w:t>符合</w:t>
      </w:r>
      <w:r>
        <w:rPr>
          <w:rFonts w:ascii="宋体" w:eastAsia="宋体" w:hAnsi="宋体" w:cs="Times New Roman"/>
          <w:bCs/>
          <w:sz w:val="24"/>
          <w:szCs w:val="24"/>
        </w:rPr>
        <w:t>中国证监会</w:t>
      </w:r>
      <w:r>
        <w:rPr>
          <w:rFonts w:ascii="宋体" w:eastAsia="宋体" w:hAnsi="宋体" w:cs="Times New Roman" w:hint="eastAsia"/>
          <w:bCs/>
          <w:sz w:val="24"/>
          <w:szCs w:val="24"/>
        </w:rPr>
        <w:t>规定条件</w:t>
      </w:r>
      <w:r>
        <w:rPr>
          <w:rFonts w:ascii="宋体" w:eastAsia="宋体" w:hAnsi="宋体" w:cs="Times New Roman"/>
          <w:bCs/>
          <w:sz w:val="24"/>
          <w:szCs w:val="24"/>
        </w:rPr>
        <w:t>的</w:t>
      </w:r>
      <w:r>
        <w:rPr>
          <w:rFonts w:ascii="宋体" w:eastAsia="宋体" w:hAnsi="宋体" w:cs="Times New Roman" w:hint="eastAsia"/>
          <w:bCs/>
          <w:sz w:val="24"/>
          <w:szCs w:val="24"/>
        </w:rPr>
        <w:t>全国性报刊（以下简称</w:t>
      </w:r>
      <w:r>
        <w:rPr>
          <w:rFonts w:ascii="Times New Roman" w:eastAsia="宋体" w:hAnsi="Times New Roman" w:cs="Times New Roman" w:hint="eastAsia"/>
          <w:bCs/>
          <w:sz w:val="24"/>
          <w:szCs w:val="24"/>
        </w:rPr>
        <w:t>“规定报刊”）及《信息披露办法》规定的</w:t>
      </w:r>
      <w:r>
        <w:rPr>
          <w:rFonts w:ascii="宋体" w:eastAsia="宋体" w:hAnsi="宋体" w:cs="Times New Roman"/>
          <w:bCs/>
          <w:sz w:val="24"/>
          <w:szCs w:val="24"/>
        </w:rPr>
        <w:t>互联网网站（以下简称</w:t>
      </w:r>
      <w:r>
        <w:rPr>
          <w:rFonts w:ascii="宋体" w:eastAsia="宋体" w:hAnsi="宋体" w:cs="Times New Roman" w:hint="eastAsia"/>
          <w:bCs/>
          <w:sz w:val="24"/>
          <w:szCs w:val="24"/>
        </w:rPr>
        <w:t>“规定</w:t>
      </w:r>
      <w:r>
        <w:rPr>
          <w:rFonts w:ascii="宋体" w:eastAsia="宋体" w:hAnsi="宋体" w:cs="Times New Roman"/>
          <w:bCs/>
          <w:sz w:val="24"/>
          <w:szCs w:val="24"/>
        </w:rPr>
        <w:t>网站</w:t>
      </w:r>
      <w:r>
        <w:rPr>
          <w:rFonts w:ascii="宋体" w:eastAsia="宋体" w:hAnsi="宋体" w:cs="Times New Roman" w:hint="eastAsia"/>
          <w:bCs/>
          <w:sz w:val="24"/>
          <w:szCs w:val="24"/>
        </w:rPr>
        <w:t>”</w:t>
      </w:r>
      <w:r>
        <w:rPr>
          <w:rFonts w:ascii="宋体" w:eastAsia="宋体" w:hAnsi="宋体" w:cs="Times New Roman"/>
          <w:bCs/>
          <w:sz w:val="24"/>
          <w:szCs w:val="24"/>
        </w:rPr>
        <w:t>）等</w:t>
      </w:r>
      <w:r>
        <w:rPr>
          <w:rFonts w:ascii="宋体" w:eastAsia="宋体" w:hAnsi="宋体" w:cs="Times New Roman" w:hint="eastAsia"/>
          <w:bCs/>
          <w:sz w:val="24"/>
          <w:szCs w:val="24"/>
        </w:rPr>
        <w:t>媒介</w:t>
      </w:r>
      <w:r>
        <w:rPr>
          <w:rFonts w:ascii="宋体" w:eastAsia="宋体" w:hAnsi="宋体" w:cs="Times New Roman"/>
          <w:bCs/>
          <w:sz w:val="24"/>
          <w:szCs w:val="24"/>
        </w:rPr>
        <w:t>披露，并保证基金投资者能够按照基金合同约定的时间和方式查阅或者复制公开披露的信息资料。</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三、本基金信息披露义务人承诺公开披露的基金信息，不得有下列行为：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、虚假记载、误导性陈述或者重大遗漏；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、对证券投资业绩进行预测；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、违规承诺收益或者承担损失；</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、诋毁其他基金管理人、基金托管人或者基金销售机构；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、登载任何自然人、法人</w:t>
      </w:r>
      <w:r>
        <w:rPr>
          <w:rFonts w:ascii="宋体" w:eastAsia="宋体" w:hAnsi="宋体" w:cs="Times New Roman" w:hint="eastAsia"/>
          <w:bCs/>
          <w:sz w:val="24"/>
          <w:szCs w:val="24"/>
        </w:rPr>
        <w:t>和</w:t>
      </w:r>
      <w:r>
        <w:rPr>
          <w:rFonts w:ascii="宋体" w:eastAsia="宋体" w:hAnsi="宋体" w:cs="Times New Roman"/>
          <w:bCs/>
          <w:sz w:val="24"/>
          <w:szCs w:val="24"/>
        </w:rPr>
        <w:t>非法人组织的祝贺性、恭维性或推荐性的文字；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bCs/>
          <w:sz w:val="24"/>
          <w:szCs w:val="24"/>
        </w:rPr>
        <w:t>、中国证监会禁止的其他行为。</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四、本基金公开披露的信息应采用中文文本。同时采用外文文本的，基金信息披露义务人应保证</w:t>
      </w:r>
      <w:r>
        <w:rPr>
          <w:rFonts w:ascii="宋体" w:eastAsia="宋体" w:hAnsi="宋体" w:cs="Times New Roman" w:hint="eastAsia"/>
          <w:b/>
          <w:bCs/>
          <w:sz w:val="24"/>
          <w:szCs w:val="24"/>
        </w:rPr>
        <w:t>不同</w:t>
      </w:r>
      <w:r>
        <w:rPr>
          <w:rFonts w:ascii="宋体" w:eastAsia="宋体" w:hAnsi="宋体" w:cs="Times New Roman"/>
          <w:b/>
          <w:bCs/>
          <w:sz w:val="24"/>
          <w:szCs w:val="24"/>
        </w:rPr>
        <w:t>文本的内容一致。</w:t>
      </w:r>
      <w:r>
        <w:rPr>
          <w:rFonts w:ascii="宋体" w:eastAsia="宋体" w:hAnsi="宋体" w:cs="Times New Roman" w:hint="eastAsia"/>
          <w:b/>
          <w:bCs/>
          <w:sz w:val="24"/>
          <w:szCs w:val="24"/>
        </w:rPr>
        <w:t>不同</w:t>
      </w:r>
      <w:r>
        <w:rPr>
          <w:rFonts w:ascii="宋体" w:eastAsia="宋体" w:hAnsi="宋体" w:cs="Times New Roman"/>
          <w:b/>
          <w:bCs/>
          <w:sz w:val="24"/>
          <w:szCs w:val="24"/>
        </w:rPr>
        <w:t>文本之间发生歧义的，以中文文本为准。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本基金公开披露的信息采用阿拉伯数字；除特别说明外，货币单位为人民币元。</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五、公开披露的基金信息</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lastRenderedPageBreak/>
        <w:t>公开披露的基金信息包括：</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（一）基金招募说明书、基金合同、基金托管协议</w:t>
      </w:r>
      <w:r>
        <w:rPr>
          <w:rFonts w:ascii="宋体" w:eastAsia="宋体" w:hAnsi="宋体" w:cs="Times New Roman" w:hint="eastAsia"/>
          <w:bCs/>
          <w:sz w:val="24"/>
          <w:szCs w:val="24"/>
        </w:rPr>
        <w:t>、基金产品资料概要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、基金合同是界定基金合同当事人的各项权利、义务关系，明确基金份额持有人大会召开的规则及具体程序，说明基金产品的特性等涉及基金投资者重大利益的事项的法律文件。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ascii="宋体" w:eastAsia="宋体" w:hAnsi="宋体" w:cs="Times New Roman" w:hint="eastAsia"/>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、基金托管协议是界定基金托管人和基金管理人在基金财产保管及基金运作监督等活动中的权利、义务关系的法律文件。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基金募集申请经中国证监会</w:t>
      </w:r>
      <w:r>
        <w:rPr>
          <w:rFonts w:ascii="宋体" w:eastAsia="宋体" w:hAnsi="宋体" w:cs="Times New Roman" w:hint="eastAsia"/>
          <w:bCs/>
          <w:sz w:val="24"/>
          <w:szCs w:val="24"/>
        </w:rPr>
        <w:t>注册</w:t>
      </w:r>
      <w:r>
        <w:rPr>
          <w:rFonts w:ascii="宋体" w:eastAsia="宋体" w:hAnsi="宋体" w:cs="Times New Roman"/>
          <w:bCs/>
          <w:sz w:val="24"/>
          <w:szCs w:val="24"/>
        </w:rPr>
        <w:t>后，基金管理人在基金份额发售的</w:t>
      </w:r>
      <w:r>
        <w:rPr>
          <w:rFonts w:ascii="宋体" w:eastAsia="宋体" w:hAnsi="宋体" w:cs="Times New Roman" w:hint="eastAsia"/>
          <w:bCs/>
          <w:sz w:val="24"/>
          <w:szCs w:val="24"/>
        </w:rPr>
        <w:t>三</w:t>
      </w:r>
      <w:r>
        <w:rPr>
          <w:rFonts w:ascii="宋体" w:eastAsia="宋体" w:hAnsi="宋体" w:cs="Times New Roman"/>
          <w:bCs/>
          <w:sz w:val="24"/>
          <w:szCs w:val="24"/>
        </w:rPr>
        <w:t>日前，将</w:t>
      </w:r>
      <w:r>
        <w:rPr>
          <w:rFonts w:ascii="宋体" w:eastAsia="宋体" w:hAnsi="宋体" w:cs="Times New Roman" w:hint="eastAsia"/>
          <w:bCs/>
          <w:sz w:val="24"/>
          <w:szCs w:val="24"/>
        </w:rPr>
        <w:t>基金份额发售公告、</w:t>
      </w:r>
      <w:r>
        <w:rPr>
          <w:rFonts w:ascii="宋体" w:eastAsia="宋体" w:hAnsi="宋体" w:cs="Times New Roman"/>
          <w:bCs/>
          <w:sz w:val="24"/>
          <w:szCs w:val="24"/>
        </w:rPr>
        <w:t>基金招募说明书</w:t>
      </w:r>
      <w:r>
        <w:rPr>
          <w:rFonts w:ascii="宋体" w:eastAsia="宋体" w:hAnsi="宋体" w:cs="Times New Roman" w:hint="eastAsia"/>
          <w:bCs/>
          <w:sz w:val="24"/>
          <w:szCs w:val="24"/>
        </w:rPr>
        <w:t>提示性公告和</w:t>
      </w:r>
      <w:r>
        <w:rPr>
          <w:rFonts w:ascii="宋体" w:eastAsia="宋体" w:hAnsi="宋体" w:cs="Times New Roman"/>
          <w:bCs/>
          <w:sz w:val="24"/>
          <w:szCs w:val="24"/>
        </w:rPr>
        <w:t>基金合同</w:t>
      </w:r>
      <w:r>
        <w:rPr>
          <w:rFonts w:ascii="宋体" w:eastAsia="宋体" w:hAnsi="宋体" w:cs="Times New Roman" w:hint="eastAsia"/>
          <w:bCs/>
          <w:sz w:val="24"/>
          <w:szCs w:val="24"/>
        </w:rPr>
        <w:t>提示性公告</w:t>
      </w:r>
      <w:r>
        <w:rPr>
          <w:rFonts w:ascii="宋体" w:eastAsia="宋体" w:hAnsi="宋体" w:cs="Times New Roman"/>
          <w:bCs/>
          <w:sz w:val="24"/>
          <w:szCs w:val="24"/>
        </w:rPr>
        <w:t>登载在</w:t>
      </w:r>
      <w:r>
        <w:rPr>
          <w:rFonts w:ascii="宋体" w:eastAsia="宋体" w:hAnsi="宋体" w:cs="Times New Roman" w:hint="eastAsia"/>
          <w:bCs/>
          <w:sz w:val="24"/>
          <w:szCs w:val="24"/>
        </w:rPr>
        <w:t>规定报刊</w:t>
      </w:r>
      <w:r>
        <w:rPr>
          <w:rFonts w:ascii="宋体" w:eastAsia="宋体" w:hAnsi="宋体" w:cs="Times New Roman"/>
          <w:bCs/>
          <w:sz w:val="24"/>
          <w:szCs w:val="24"/>
        </w:rPr>
        <w:t>上</w:t>
      </w:r>
      <w:r>
        <w:rPr>
          <w:rFonts w:ascii="宋体" w:eastAsia="宋体" w:hAnsi="宋体" w:cs="Times New Roman" w:hint="eastAsia"/>
          <w:bCs/>
          <w:sz w:val="24"/>
          <w:szCs w:val="24"/>
        </w:rPr>
        <w:t>，将基金份额发售公告、基金招募说明书、基金产品资料概要、基金合同和基金托管协议登载在规定网站上，并将基金产品资料概要登载在基金销售机构网站或营业网点</w:t>
      </w:r>
      <w:r>
        <w:rPr>
          <w:rFonts w:ascii="宋体" w:eastAsia="宋体" w:hAnsi="宋体" w:cs="Times New Roman"/>
          <w:bCs/>
          <w:sz w:val="24"/>
          <w:szCs w:val="24"/>
        </w:rPr>
        <w:t>；基金托管人应当同时将基金合同、基金托管协议登载在</w:t>
      </w:r>
      <w:r>
        <w:rPr>
          <w:rFonts w:ascii="宋体" w:eastAsia="宋体" w:hAnsi="宋体" w:cs="Times New Roman" w:hint="eastAsia"/>
          <w:bCs/>
          <w:sz w:val="24"/>
          <w:szCs w:val="24"/>
        </w:rPr>
        <w:t>规定网站</w:t>
      </w:r>
      <w:r>
        <w:rPr>
          <w:rFonts w:ascii="宋体" w:eastAsia="宋体" w:hAnsi="宋体" w:cs="Times New Roman"/>
          <w:bCs/>
          <w:sz w:val="24"/>
          <w:szCs w:val="24"/>
        </w:rPr>
        <w:t>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（二）基金份额发售公告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基金管理人应当就基金份额发售的具体事宜编制基金份额发售公告，并在披露招募说明书的当日登载于规定媒介上。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（三）基金合同生效公告</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bCs/>
          <w:sz w:val="24"/>
          <w:szCs w:val="24"/>
        </w:rPr>
        <w:lastRenderedPageBreak/>
        <w:t>基金管理人应当</w:t>
      </w:r>
      <w:r>
        <w:rPr>
          <w:rFonts w:ascii="宋体" w:eastAsia="宋体" w:hAnsi="宋体" w:cs="Times New Roman" w:hint="eastAsia"/>
          <w:bCs/>
          <w:sz w:val="24"/>
          <w:szCs w:val="24"/>
        </w:rPr>
        <w:t>在收到中国证监会确认文件的次日在规定媒介上登载基金合同生效公告。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（四）基金净值信息</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基金合同生效后，在开始办理基金份额申购或者赎回前，基金管理人应当至少每周</w:t>
      </w:r>
      <w:r>
        <w:rPr>
          <w:rFonts w:ascii="宋体" w:eastAsia="宋体" w:hAnsi="宋体" w:cs="Times New Roman" w:hint="eastAsia"/>
          <w:bCs/>
          <w:sz w:val="24"/>
          <w:szCs w:val="24"/>
        </w:rPr>
        <w:t>在规定网站披露一次各类基金份额净值和各类基金份额累计净值。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在开始办理基金份额申购或者赎回后，基金管理人应当在不晚于每个开放日的次三个工作日，通过</w:t>
      </w:r>
      <w:r>
        <w:rPr>
          <w:rFonts w:ascii="宋体" w:eastAsia="宋体" w:hAnsi="宋体" w:cs="Times New Roman" w:hint="eastAsia"/>
          <w:bCs/>
          <w:sz w:val="24"/>
          <w:szCs w:val="24"/>
        </w:rPr>
        <w:t>规定网站</w:t>
      </w:r>
      <w:r>
        <w:rPr>
          <w:rFonts w:ascii="宋体" w:eastAsia="宋体" w:hAnsi="宋体" w:cs="Times New Roman"/>
          <w:bCs/>
          <w:sz w:val="24"/>
          <w:szCs w:val="24"/>
        </w:rPr>
        <w:t>、基金</w:t>
      </w:r>
      <w:r>
        <w:rPr>
          <w:rFonts w:ascii="宋体" w:eastAsia="宋体" w:hAnsi="宋体" w:cs="Times New Roman" w:hint="eastAsia"/>
          <w:bCs/>
          <w:sz w:val="24"/>
          <w:szCs w:val="24"/>
        </w:rPr>
        <w:t>销售机构网站</w:t>
      </w:r>
      <w:r>
        <w:rPr>
          <w:rFonts w:ascii="宋体" w:eastAsia="宋体" w:hAnsi="宋体" w:cs="Times New Roman"/>
          <w:bCs/>
          <w:sz w:val="24"/>
          <w:szCs w:val="24"/>
        </w:rPr>
        <w:t>或营业</w:t>
      </w:r>
      <w:r>
        <w:rPr>
          <w:rFonts w:ascii="宋体" w:eastAsia="宋体" w:hAnsi="宋体" w:cs="Times New Roman" w:hint="eastAsia"/>
          <w:bCs/>
          <w:sz w:val="24"/>
          <w:szCs w:val="24"/>
        </w:rPr>
        <w:t>网点</w:t>
      </w:r>
      <w:r>
        <w:rPr>
          <w:rFonts w:ascii="宋体" w:eastAsia="宋体" w:hAnsi="宋体" w:cs="Times New Roman"/>
          <w:bCs/>
          <w:sz w:val="24"/>
          <w:szCs w:val="24"/>
        </w:rPr>
        <w:t>披露开放日的</w:t>
      </w:r>
      <w:r>
        <w:rPr>
          <w:rFonts w:ascii="宋体" w:eastAsia="宋体" w:hAnsi="宋体" w:cs="Times New Roman" w:hint="eastAsia"/>
          <w:bCs/>
          <w:sz w:val="24"/>
          <w:szCs w:val="24"/>
        </w:rPr>
        <w:t>各类</w:t>
      </w:r>
      <w:r>
        <w:rPr>
          <w:rFonts w:ascii="宋体" w:eastAsia="宋体" w:hAnsi="宋体" w:cs="Times New Roman"/>
          <w:bCs/>
          <w:sz w:val="24"/>
          <w:szCs w:val="24"/>
        </w:rPr>
        <w:t>基金份额净值和</w:t>
      </w:r>
      <w:r>
        <w:rPr>
          <w:rFonts w:ascii="宋体" w:eastAsia="宋体" w:hAnsi="宋体" w:cs="Times New Roman" w:hint="eastAsia"/>
          <w:bCs/>
          <w:sz w:val="24"/>
          <w:szCs w:val="24"/>
        </w:rPr>
        <w:t>各类</w:t>
      </w:r>
      <w:r>
        <w:rPr>
          <w:rFonts w:ascii="宋体" w:eastAsia="宋体" w:hAnsi="宋体" w:cs="Times New Roman"/>
          <w:bCs/>
          <w:sz w:val="24"/>
          <w:szCs w:val="24"/>
        </w:rPr>
        <w:t>基金份额累计净值。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基金管理人应在不晚于半年度和年度最后一日的次三个工作日，在规定网站披露半年度和年度最后一日的各类基金份额净值和各类基金份额累计净值。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（五）基金份额申购、赎回价格</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基金管理人应当在基金合同、招募说明书等信息披露文件上载明基金份额申购、赎回价格的计算方式及有关申购、赎回费率，并保证投资者能够在</w:t>
      </w:r>
      <w:r>
        <w:rPr>
          <w:rFonts w:ascii="宋体" w:eastAsia="宋体" w:hAnsi="宋体" w:cs="Times New Roman" w:hint="eastAsia"/>
          <w:bCs/>
          <w:sz w:val="24"/>
          <w:szCs w:val="24"/>
        </w:rPr>
        <w:t>基金销售机构网站或营业网点</w:t>
      </w:r>
      <w:r>
        <w:rPr>
          <w:rFonts w:ascii="宋体" w:eastAsia="宋体" w:hAnsi="宋体" w:cs="Times New Roman"/>
          <w:bCs/>
          <w:sz w:val="24"/>
          <w:szCs w:val="24"/>
        </w:rPr>
        <w:t>查阅或者复制前述信息资料。</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（六）基金定期报告，包括基金年度报告、基金</w:t>
      </w:r>
      <w:r>
        <w:rPr>
          <w:rFonts w:ascii="宋体" w:eastAsia="宋体" w:hAnsi="宋体" w:cs="Times New Roman" w:hint="eastAsia"/>
          <w:bCs/>
          <w:sz w:val="24"/>
          <w:szCs w:val="24"/>
        </w:rPr>
        <w:t>中期</w:t>
      </w:r>
      <w:r>
        <w:rPr>
          <w:rFonts w:ascii="宋体" w:eastAsia="宋体" w:hAnsi="宋体" w:cs="Times New Roman"/>
          <w:bCs/>
          <w:sz w:val="24"/>
          <w:szCs w:val="24"/>
        </w:rPr>
        <w:t>报告和基金季度报告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基金管理人应当在每年结束之日起</w:t>
      </w:r>
      <w:r>
        <w:rPr>
          <w:rFonts w:ascii="宋体" w:eastAsia="宋体" w:hAnsi="宋体" w:cs="Times New Roman" w:hint="eastAsia"/>
          <w:bCs/>
          <w:sz w:val="24"/>
          <w:szCs w:val="24"/>
        </w:rPr>
        <w:t>三个月</w:t>
      </w:r>
      <w:r>
        <w:rPr>
          <w:rFonts w:ascii="宋体" w:eastAsia="宋体" w:hAnsi="宋体" w:cs="Times New Roman"/>
          <w:bCs/>
          <w:sz w:val="24"/>
          <w:szCs w:val="24"/>
        </w:rPr>
        <w:t>内，编制完成基金年度报告，将年度报告登载</w:t>
      </w:r>
      <w:r>
        <w:rPr>
          <w:rFonts w:ascii="宋体" w:eastAsia="宋体" w:hAnsi="宋体" w:cs="Times New Roman" w:hint="eastAsia"/>
          <w:bCs/>
          <w:sz w:val="24"/>
          <w:szCs w:val="24"/>
        </w:rPr>
        <w:t>在规定网站</w:t>
      </w:r>
      <w:r>
        <w:rPr>
          <w:rFonts w:ascii="宋体" w:eastAsia="宋体" w:hAnsi="宋体" w:cs="Times New Roman"/>
          <w:bCs/>
          <w:sz w:val="24"/>
          <w:szCs w:val="24"/>
        </w:rPr>
        <w:t>上，并</w:t>
      </w:r>
      <w:r>
        <w:rPr>
          <w:rFonts w:ascii="宋体" w:eastAsia="宋体" w:hAnsi="宋体" w:cs="Times New Roman" w:hint="eastAsia"/>
          <w:bCs/>
          <w:sz w:val="24"/>
          <w:szCs w:val="24"/>
        </w:rPr>
        <w:t>将年度报告提示性公告登载在规定报刊上。基金年度报告中的财务会计报告应当经过符合《中华人民共和国证券法》规定的会计师事务所审计。</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基金管理人应当在上半年结束之日起</w:t>
      </w:r>
      <w:r>
        <w:rPr>
          <w:rFonts w:ascii="宋体" w:eastAsia="宋体" w:hAnsi="宋体" w:cs="Times New Roman" w:hint="eastAsia"/>
          <w:bCs/>
          <w:sz w:val="24"/>
          <w:szCs w:val="24"/>
        </w:rPr>
        <w:t>两个月</w:t>
      </w:r>
      <w:r>
        <w:rPr>
          <w:rFonts w:ascii="宋体" w:eastAsia="宋体" w:hAnsi="宋体" w:cs="Times New Roman"/>
          <w:bCs/>
          <w:sz w:val="24"/>
          <w:szCs w:val="24"/>
        </w:rPr>
        <w:t>内，编制完成基金</w:t>
      </w:r>
      <w:r>
        <w:rPr>
          <w:rFonts w:ascii="宋体" w:eastAsia="宋体" w:hAnsi="宋体" w:cs="Times New Roman" w:hint="eastAsia"/>
          <w:bCs/>
          <w:sz w:val="24"/>
          <w:szCs w:val="24"/>
        </w:rPr>
        <w:t>中期</w:t>
      </w:r>
      <w:r>
        <w:rPr>
          <w:rFonts w:ascii="宋体" w:eastAsia="宋体" w:hAnsi="宋体" w:cs="Times New Roman"/>
          <w:bCs/>
          <w:sz w:val="24"/>
          <w:szCs w:val="24"/>
        </w:rPr>
        <w:t>报告，将</w:t>
      </w:r>
      <w:r>
        <w:rPr>
          <w:rFonts w:ascii="宋体" w:eastAsia="宋体" w:hAnsi="宋体" w:cs="Times New Roman" w:hint="eastAsia"/>
          <w:bCs/>
          <w:sz w:val="24"/>
          <w:szCs w:val="24"/>
        </w:rPr>
        <w:t>中期报告登载在规定网站上，并将中期报告提示性公告登载在规定报刊上。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基金管理人应当在季度结束之日起</w:t>
      </w:r>
      <w:r>
        <w:rPr>
          <w:rFonts w:ascii="Times New Roman" w:eastAsia="宋体" w:hAnsi="Times New Roman" w:cs="Times New Roman"/>
          <w:bCs/>
          <w:sz w:val="24"/>
          <w:szCs w:val="24"/>
        </w:rPr>
        <w:t>15</w:t>
      </w:r>
      <w:r>
        <w:rPr>
          <w:rFonts w:ascii="宋体" w:eastAsia="宋体" w:hAnsi="宋体" w:cs="Times New Roman"/>
          <w:bCs/>
          <w:sz w:val="24"/>
          <w:szCs w:val="24"/>
        </w:rPr>
        <w:t>个工作日内，编制完成基金季度报告，</w:t>
      </w:r>
      <w:r>
        <w:rPr>
          <w:rFonts w:ascii="宋体" w:eastAsia="宋体" w:hAnsi="宋体" w:cs="Times New Roman" w:hint="eastAsia"/>
          <w:bCs/>
          <w:sz w:val="24"/>
          <w:szCs w:val="24"/>
        </w:rPr>
        <w:t>将季度报告登载在规定网站上，并将季度报告提示性公告登载在规定报刊上</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bCs/>
          <w:sz w:val="24"/>
          <w:szCs w:val="24"/>
        </w:rPr>
        <w:t>基金合同生效不足</w:t>
      </w:r>
      <w:r>
        <w:rPr>
          <w:rFonts w:ascii="Times New Roman" w:eastAsia="宋体" w:hAnsi="Times New Roman" w:cs="Times New Roman"/>
          <w:bCs/>
          <w:sz w:val="24"/>
          <w:szCs w:val="24"/>
        </w:rPr>
        <w:t>2</w:t>
      </w:r>
      <w:r>
        <w:rPr>
          <w:rFonts w:ascii="宋体" w:eastAsia="宋体" w:hAnsi="宋体" w:cs="Times New Roman"/>
          <w:bCs/>
          <w:sz w:val="24"/>
          <w:szCs w:val="24"/>
        </w:rPr>
        <w:t>个月的，基金管理人可以不编制当期季度报告、</w:t>
      </w:r>
      <w:r>
        <w:rPr>
          <w:rFonts w:ascii="宋体" w:eastAsia="宋体" w:hAnsi="宋体" w:cs="Times New Roman" w:hint="eastAsia"/>
          <w:bCs/>
          <w:sz w:val="24"/>
          <w:szCs w:val="24"/>
        </w:rPr>
        <w:t>中期</w:t>
      </w:r>
      <w:r>
        <w:rPr>
          <w:rFonts w:ascii="宋体" w:eastAsia="宋体" w:hAnsi="宋体" w:cs="Times New Roman"/>
          <w:bCs/>
          <w:sz w:val="24"/>
          <w:szCs w:val="24"/>
        </w:rPr>
        <w:t>报告或者年度报告。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如报告期内出现单一投资者持有基金份额达到或超过基金总份额</w:t>
      </w:r>
      <w:r>
        <w:rPr>
          <w:rFonts w:ascii="Times New Roman" w:eastAsia="宋体" w:hAnsi="Times New Roman" w:cs="Times New Roman"/>
          <w:bCs/>
          <w:sz w:val="24"/>
          <w:szCs w:val="24"/>
        </w:rPr>
        <w:t>20%</w:t>
      </w:r>
      <w:r>
        <w:rPr>
          <w:rFonts w:ascii="宋体" w:eastAsia="宋体" w:hAnsi="宋体" w:cs="Times New Roman"/>
          <w:bCs/>
          <w:sz w:val="24"/>
          <w:szCs w:val="24"/>
        </w:rPr>
        <w:t>的情形，为保障其他投资者的权益，基金管理人至少应当在定期报告</w:t>
      </w:r>
      <w:r>
        <w:rPr>
          <w:rFonts w:ascii="宋体" w:eastAsia="宋体" w:hAnsi="宋体" w:cs="Times New Roman" w:hint="eastAsia"/>
          <w:bCs/>
          <w:sz w:val="24"/>
          <w:szCs w:val="24"/>
        </w:rPr>
        <w:t>“</w:t>
      </w:r>
      <w:r>
        <w:rPr>
          <w:rFonts w:ascii="宋体" w:eastAsia="宋体" w:hAnsi="宋体" w:cs="Times New Roman"/>
          <w:bCs/>
          <w:sz w:val="24"/>
          <w:szCs w:val="24"/>
        </w:rPr>
        <w:t>影响投资者决策的其他重要信息</w:t>
      </w:r>
      <w:r>
        <w:rPr>
          <w:rFonts w:ascii="宋体" w:eastAsia="宋体" w:hAnsi="宋体" w:cs="Times New Roman" w:hint="eastAsia"/>
          <w:bCs/>
          <w:sz w:val="24"/>
          <w:szCs w:val="24"/>
        </w:rPr>
        <w:t>”</w:t>
      </w:r>
      <w:r>
        <w:rPr>
          <w:rFonts w:ascii="宋体" w:eastAsia="宋体" w:hAnsi="宋体" w:cs="Times New Roman"/>
          <w:bCs/>
          <w:sz w:val="24"/>
          <w:szCs w:val="24"/>
        </w:rPr>
        <w:t>项下披露该投资者的类别、报告期末持有份额及占比、报告期内持有份额变化情况及本基金的特有风险，中国证监会认定的特殊情形除外。</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lastRenderedPageBreak/>
        <w:t>基金管理人应当在基金年度报告和中期报告中披露基金组合资产情况及其流动性风险分析等。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（七）临时报告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本基金发生重大事件，有关信息披露义务人应当在</w:t>
      </w:r>
      <w:r>
        <w:rPr>
          <w:rFonts w:ascii="Times New Roman" w:eastAsia="宋体" w:hAnsi="Times New Roman" w:cs="Times New Roman"/>
          <w:bCs/>
          <w:sz w:val="24"/>
          <w:szCs w:val="24"/>
        </w:rPr>
        <w:t>2</w:t>
      </w:r>
      <w:r>
        <w:rPr>
          <w:rFonts w:ascii="宋体" w:eastAsia="宋体" w:hAnsi="宋体" w:cs="Times New Roman"/>
          <w:bCs/>
          <w:sz w:val="24"/>
          <w:szCs w:val="24"/>
        </w:rPr>
        <w:t>日内编制临时报告书，</w:t>
      </w:r>
      <w:r>
        <w:rPr>
          <w:rFonts w:ascii="宋体" w:eastAsia="宋体" w:hAnsi="宋体" w:cs="Times New Roman" w:hint="eastAsia"/>
          <w:bCs/>
          <w:sz w:val="24"/>
          <w:szCs w:val="24"/>
        </w:rPr>
        <w:t>并登载在规定报刊和规定网站上。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前款所称重大事件，是指可能对基金份额持有人权益或者基金份额的价格产生重大影响的下列事件：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、基金份额持有人大会的召开</w:t>
      </w:r>
      <w:r>
        <w:rPr>
          <w:rFonts w:ascii="宋体" w:eastAsia="宋体" w:hAnsi="宋体" w:cs="Times New Roman" w:hint="eastAsia"/>
          <w:bCs/>
          <w:sz w:val="24"/>
          <w:szCs w:val="24"/>
        </w:rPr>
        <w:t>及决定的事项</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、基金合同终止</w:t>
      </w:r>
      <w:r>
        <w:rPr>
          <w:rFonts w:ascii="宋体" w:eastAsia="宋体" w:hAnsi="宋体" w:cs="Times New Roman" w:hint="eastAsia"/>
          <w:bCs/>
          <w:sz w:val="24"/>
          <w:szCs w:val="24"/>
        </w:rPr>
        <w:t>、</w:t>
      </w:r>
      <w:r>
        <w:rPr>
          <w:rFonts w:ascii="宋体" w:eastAsia="宋体" w:hAnsi="宋体" w:cs="Times New Roman"/>
          <w:bCs/>
          <w:sz w:val="24"/>
          <w:szCs w:val="24"/>
        </w:rPr>
        <w:t>基金清算；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、转换基金运作方式</w:t>
      </w:r>
      <w:r>
        <w:rPr>
          <w:rFonts w:ascii="宋体" w:eastAsia="宋体" w:hAnsi="宋体" w:cs="Times New Roman" w:hint="eastAsia"/>
          <w:bCs/>
          <w:sz w:val="24"/>
          <w:szCs w:val="24"/>
        </w:rPr>
        <w:t>、</w:t>
      </w:r>
      <w:r>
        <w:rPr>
          <w:rFonts w:ascii="宋体" w:eastAsia="宋体" w:hAnsi="宋体" w:cs="Times New Roman"/>
          <w:bCs/>
          <w:sz w:val="24"/>
          <w:szCs w:val="24"/>
        </w:rPr>
        <w:t>基金合并；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、更换基金管理人、基金托管人</w:t>
      </w:r>
      <w:r>
        <w:rPr>
          <w:rFonts w:ascii="宋体" w:eastAsia="宋体" w:hAnsi="宋体" w:cs="Times New Roman" w:hint="eastAsia"/>
          <w:bCs/>
          <w:sz w:val="24"/>
          <w:szCs w:val="24"/>
        </w:rPr>
        <w:t>、基金份额登记机构，基金改聘会计师事务所</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w:t>
      </w:r>
      <w:r>
        <w:rPr>
          <w:rFonts w:ascii="宋体" w:eastAsia="宋体" w:hAnsi="宋体" w:cs="Times New Roman" w:hint="eastAsia"/>
          <w:bCs/>
          <w:sz w:val="24"/>
          <w:szCs w:val="24"/>
        </w:rPr>
        <w:t>基金管理人委托基金服务机构代为办理基金的份额登记、核算、估值等事项，基金托管人委托基金服务机构代为办理基金的核算、估值、复核等事项；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宋体" w:eastAsia="宋体" w:hAnsi="宋体" w:cs="Times New Roman" w:hint="eastAsia"/>
          <w:bCs/>
          <w:sz w:val="24"/>
          <w:szCs w:val="24"/>
        </w:rPr>
        <w:t>、</w:t>
      </w:r>
      <w:r>
        <w:rPr>
          <w:rFonts w:ascii="宋体" w:eastAsia="宋体" w:hAnsi="宋体" w:cs="Times New Roman"/>
          <w:bCs/>
          <w:sz w:val="24"/>
          <w:szCs w:val="24"/>
        </w:rPr>
        <w:t>基金管理人、基金托管人的法定名称、住所发生变更；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宋体" w:eastAsia="宋体" w:hAnsi="宋体" w:cs="Times New Roman"/>
          <w:bCs/>
          <w:sz w:val="24"/>
          <w:szCs w:val="24"/>
        </w:rPr>
        <w:t>、基金管理人</w:t>
      </w:r>
      <w:r>
        <w:rPr>
          <w:rFonts w:ascii="宋体" w:eastAsia="宋体" w:hAnsi="宋体" w:cs="Times New Roman" w:hint="eastAsia"/>
          <w:bCs/>
          <w:sz w:val="24"/>
          <w:szCs w:val="24"/>
        </w:rPr>
        <w:t>变更持有百分之五以上股权的</w:t>
      </w:r>
      <w:r>
        <w:rPr>
          <w:rFonts w:ascii="宋体" w:eastAsia="宋体" w:hAnsi="宋体" w:cs="Times New Roman"/>
          <w:bCs/>
          <w:sz w:val="24"/>
          <w:szCs w:val="24"/>
        </w:rPr>
        <w:t>股东</w:t>
      </w:r>
      <w:r>
        <w:rPr>
          <w:rFonts w:ascii="宋体" w:eastAsia="宋体" w:hAnsi="宋体" w:cs="Times New Roman" w:hint="eastAsia"/>
          <w:bCs/>
          <w:sz w:val="24"/>
          <w:szCs w:val="24"/>
        </w:rPr>
        <w:t>、基金管理人的实际控制人变更</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宋体" w:eastAsia="宋体" w:hAnsi="宋体" w:cs="Times New Roman"/>
          <w:bCs/>
          <w:sz w:val="24"/>
          <w:szCs w:val="24"/>
        </w:rPr>
        <w:t>、基金募集期延长</w:t>
      </w:r>
      <w:r>
        <w:rPr>
          <w:rFonts w:ascii="宋体" w:eastAsia="宋体" w:hAnsi="宋体" w:cs="Times New Roman" w:hint="eastAsia"/>
          <w:bCs/>
          <w:sz w:val="24"/>
          <w:szCs w:val="24"/>
        </w:rPr>
        <w:t>或提前结束募集</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9</w:t>
      </w:r>
      <w:r>
        <w:rPr>
          <w:rFonts w:ascii="宋体" w:eastAsia="宋体" w:hAnsi="宋体" w:cs="Times New Roman"/>
          <w:bCs/>
          <w:sz w:val="24"/>
          <w:szCs w:val="24"/>
        </w:rPr>
        <w:t>、基金管理人的高级管理人员、基金经理和基金托管人</w:t>
      </w:r>
      <w:r>
        <w:rPr>
          <w:rFonts w:ascii="宋体" w:eastAsia="宋体" w:hAnsi="宋体" w:cs="Times New Roman" w:hint="eastAsia"/>
          <w:bCs/>
          <w:sz w:val="24"/>
          <w:szCs w:val="24"/>
        </w:rPr>
        <w:t>专门</w:t>
      </w:r>
      <w:r>
        <w:rPr>
          <w:rFonts w:ascii="宋体" w:eastAsia="宋体" w:hAnsi="宋体" w:cs="Times New Roman"/>
          <w:bCs/>
          <w:sz w:val="24"/>
          <w:szCs w:val="24"/>
        </w:rPr>
        <w:t>基金托管部门负责人发生变动；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10</w:t>
      </w:r>
      <w:r>
        <w:rPr>
          <w:rFonts w:ascii="宋体" w:eastAsia="宋体" w:hAnsi="宋体" w:cs="Times New Roman"/>
          <w:bCs/>
          <w:sz w:val="24"/>
          <w:szCs w:val="24"/>
        </w:rPr>
        <w:t>、基金管理人的董事在</w:t>
      </w:r>
      <w:r>
        <w:rPr>
          <w:rFonts w:ascii="宋体" w:eastAsia="宋体" w:hAnsi="宋体" w:cs="Times New Roman" w:hint="eastAsia"/>
          <w:bCs/>
          <w:sz w:val="24"/>
          <w:szCs w:val="24"/>
        </w:rPr>
        <w:t>最近</w:t>
      </w:r>
      <w:r>
        <w:rPr>
          <w:rFonts w:ascii="Times New Roman" w:eastAsia="宋体" w:hAnsi="Times New Roman" w:cs="Times New Roman" w:hint="eastAsia"/>
          <w:bCs/>
          <w:sz w:val="24"/>
          <w:szCs w:val="24"/>
        </w:rPr>
        <w:t>12</w:t>
      </w:r>
      <w:r>
        <w:rPr>
          <w:rFonts w:ascii="宋体" w:eastAsia="宋体" w:hAnsi="宋体" w:cs="Times New Roman" w:hint="eastAsia"/>
          <w:bCs/>
          <w:sz w:val="24"/>
          <w:szCs w:val="24"/>
        </w:rPr>
        <w:t>个月</w:t>
      </w:r>
      <w:r>
        <w:rPr>
          <w:rFonts w:ascii="宋体" w:eastAsia="宋体" w:hAnsi="宋体" w:cs="Times New Roman"/>
          <w:bCs/>
          <w:sz w:val="24"/>
          <w:szCs w:val="24"/>
        </w:rPr>
        <w:t>内变更超过百分之五十</w:t>
      </w:r>
      <w:r>
        <w:rPr>
          <w:rFonts w:ascii="宋体" w:eastAsia="宋体" w:hAnsi="宋体" w:cs="Times New Roman" w:hint="eastAsia"/>
          <w:bCs/>
          <w:sz w:val="24"/>
          <w:szCs w:val="24"/>
        </w:rPr>
        <w:t>，</w:t>
      </w:r>
      <w:r>
        <w:rPr>
          <w:rFonts w:ascii="宋体" w:eastAsia="宋体" w:hAnsi="宋体" w:cs="Times New Roman"/>
          <w:bCs/>
          <w:sz w:val="24"/>
          <w:szCs w:val="24"/>
        </w:rPr>
        <w:t>基金管理人、基金托管人专门基金托管部门的主要业务人员在</w:t>
      </w:r>
      <w:r>
        <w:rPr>
          <w:rFonts w:ascii="宋体" w:eastAsia="宋体" w:hAnsi="宋体" w:cs="Times New Roman" w:hint="eastAsia"/>
          <w:bCs/>
          <w:sz w:val="24"/>
          <w:szCs w:val="24"/>
        </w:rPr>
        <w:t>最近</w:t>
      </w:r>
      <w:r>
        <w:rPr>
          <w:rFonts w:ascii="Times New Roman" w:eastAsia="宋体" w:hAnsi="Times New Roman" w:cs="Times New Roman" w:hint="eastAsia"/>
          <w:bCs/>
          <w:sz w:val="24"/>
          <w:szCs w:val="24"/>
        </w:rPr>
        <w:t>12</w:t>
      </w:r>
      <w:r>
        <w:rPr>
          <w:rFonts w:ascii="宋体" w:eastAsia="宋体" w:hAnsi="宋体" w:cs="Times New Roman" w:hint="eastAsia"/>
          <w:bCs/>
          <w:sz w:val="24"/>
          <w:szCs w:val="24"/>
        </w:rPr>
        <w:t>个月</w:t>
      </w:r>
      <w:r>
        <w:rPr>
          <w:rFonts w:ascii="宋体" w:eastAsia="宋体" w:hAnsi="宋体" w:cs="Times New Roman"/>
          <w:bCs/>
          <w:sz w:val="24"/>
          <w:szCs w:val="24"/>
        </w:rPr>
        <w:t>内变动超过百分之三十；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11</w:t>
      </w:r>
      <w:r>
        <w:rPr>
          <w:rFonts w:ascii="宋体" w:eastAsia="宋体" w:hAnsi="宋体" w:cs="Times New Roman"/>
          <w:bCs/>
          <w:sz w:val="24"/>
          <w:szCs w:val="24"/>
        </w:rPr>
        <w:t>、涉及基金管理</w:t>
      </w:r>
      <w:r>
        <w:rPr>
          <w:rFonts w:ascii="宋体" w:eastAsia="宋体" w:hAnsi="宋体" w:cs="Times New Roman" w:hint="eastAsia"/>
          <w:bCs/>
          <w:sz w:val="24"/>
          <w:szCs w:val="24"/>
        </w:rPr>
        <w:t>业务</w:t>
      </w:r>
      <w:r>
        <w:rPr>
          <w:rFonts w:ascii="宋体" w:eastAsia="宋体" w:hAnsi="宋体" w:cs="Times New Roman"/>
          <w:bCs/>
          <w:sz w:val="24"/>
          <w:szCs w:val="24"/>
        </w:rPr>
        <w:t>、基金财产、基金托管业务的诉讼</w:t>
      </w:r>
      <w:r>
        <w:rPr>
          <w:rFonts w:ascii="宋体" w:eastAsia="宋体" w:hAnsi="宋体" w:cs="Times New Roman" w:hint="eastAsia"/>
          <w:bCs/>
          <w:sz w:val="24"/>
          <w:szCs w:val="24"/>
        </w:rPr>
        <w:t>或仲裁</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12</w:t>
      </w:r>
      <w:r>
        <w:rPr>
          <w:rFonts w:ascii="宋体" w:eastAsia="宋体" w:hAnsi="宋体" w:cs="Times New Roman"/>
          <w:bCs/>
          <w:sz w:val="24"/>
          <w:szCs w:val="24"/>
        </w:rPr>
        <w:t>、基金管理人</w:t>
      </w:r>
      <w:r>
        <w:rPr>
          <w:rFonts w:ascii="宋体" w:eastAsia="宋体" w:hAnsi="宋体" w:cs="Times New Roman" w:hint="eastAsia"/>
          <w:bCs/>
          <w:sz w:val="24"/>
          <w:szCs w:val="24"/>
        </w:rPr>
        <w:t>或其</w:t>
      </w:r>
      <w:r>
        <w:rPr>
          <w:rFonts w:ascii="宋体" w:eastAsia="宋体" w:hAnsi="宋体" w:cs="Times New Roman"/>
          <w:bCs/>
          <w:sz w:val="24"/>
          <w:szCs w:val="24"/>
        </w:rPr>
        <w:t>高级管理人员、基金经理</w:t>
      </w:r>
      <w:r>
        <w:rPr>
          <w:rFonts w:ascii="宋体" w:eastAsia="宋体" w:hAnsi="宋体" w:cs="Times New Roman" w:hint="eastAsia"/>
          <w:bCs/>
          <w:sz w:val="24"/>
          <w:szCs w:val="24"/>
        </w:rPr>
        <w:t>因基金管理业务相关行为</w:t>
      </w:r>
      <w:r>
        <w:rPr>
          <w:rFonts w:ascii="宋体" w:eastAsia="宋体" w:hAnsi="宋体" w:cs="Times New Roman"/>
          <w:bCs/>
          <w:sz w:val="24"/>
          <w:szCs w:val="24"/>
        </w:rPr>
        <w:t>受到</w:t>
      </w:r>
      <w:r>
        <w:rPr>
          <w:rFonts w:ascii="宋体" w:eastAsia="宋体" w:hAnsi="宋体" w:cs="Times New Roman" w:hint="eastAsia"/>
          <w:bCs/>
          <w:sz w:val="24"/>
          <w:szCs w:val="24"/>
        </w:rPr>
        <w:t>重大</w:t>
      </w:r>
      <w:r>
        <w:rPr>
          <w:rFonts w:ascii="宋体" w:eastAsia="宋体" w:hAnsi="宋体" w:cs="Times New Roman"/>
          <w:bCs/>
          <w:sz w:val="24"/>
          <w:szCs w:val="24"/>
        </w:rPr>
        <w:t>行政处罚</w:t>
      </w:r>
      <w:r>
        <w:rPr>
          <w:rFonts w:ascii="宋体" w:eastAsia="宋体" w:hAnsi="宋体" w:cs="Times New Roman" w:hint="eastAsia"/>
          <w:bCs/>
          <w:sz w:val="24"/>
          <w:szCs w:val="24"/>
        </w:rPr>
        <w:t>、刑事处罚</w:t>
      </w:r>
      <w:r>
        <w:rPr>
          <w:rFonts w:ascii="宋体" w:eastAsia="宋体" w:hAnsi="宋体" w:cs="Times New Roman"/>
          <w:bCs/>
          <w:sz w:val="24"/>
          <w:szCs w:val="24"/>
        </w:rPr>
        <w:t>，基金托管人</w:t>
      </w:r>
      <w:r>
        <w:rPr>
          <w:rFonts w:ascii="宋体" w:eastAsia="宋体" w:hAnsi="宋体" w:cs="Times New Roman" w:hint="eastAsia"/>
          <w:bCs/>
          <w:sz w:val="24"/>
          <w:szCs w:val="24"/>
        </w:rPr>
        <w:t>或</w:t>
      </w:r>
      <w:r>
        <w:rPr>
          <w:rFonts w:ascii="宋体" w:eastAsia="宋体" w:hAnsi="宋体" w:cs="Times New Roman"/>
          <w:bCs/>
          <w:sz w:val="24"/>
          <w:szCs w:val="24"/>
        </w:rPr>
        <w:t>其专门基金托管部门负责人</w:t>
      </w:r>
      <w:r>
        <w:rPr>
          <w:rFonts w:ascii="宋体" w:eastAsia="宋体" w:hAnsi="宋体" w:cs="Times New Roman" w:hint="eastAsia"/>
          <w:bCs/>
          <w:sz w:val="24"/>
          <w:szCs w:val="24"/>
        </w:rPr>
        <w:t>因基金托管业务相关行为</w:t>
      </w:r>
      <w:r>
        <w:rPr>
          <w:rFonts w:ascii="宋体" w:eastAsia="宋体" w:hAnsi="宋体" w:cs="Times New Roman"/>
          <w:bCs/>
          <w:sz w:val="24"/>
          <w:szCs w:val="24"/>
        </w:rPr>
        <w:t>受到</w:t>
      </w:r>
      <w:r>
        <w:rPr>
          <w:rFonts w:ascii="宋体" w:eastAsia="宋体" w:hAnsi="宋体" w:cs="Times New Roman" w:hint="eastAsia"/>
          <w:bCs/>
          <w:sz w:val="24"/>
          <w:szCs w:val="24"/>
        </w:rPr>
        <w:t>重大</w:t>
      </w:r>
      <w:r>
        <w:rPr>
          <w:rFonts w:ascii="宋体" w:eastAsia="宋体" w:hAnsi="宋体" w:cs="Times New Roman"/>
          <w:bCs/>
          <w:sz w:val="24"/>
          <w:szCs w:val="24"/>
        </w:rPr>
        <w:t>行政处罚</w:t>
      </w:r>
      <w:r>
        <w:rPr>
          <w:rFonts w:ascii="宋体" w:eastAsia="宋体" w:hAnsi="宋体" w:cs="Times New Roman" w:hint="eastAsia"/>
          <w:bCs/>
          <w:sz w:val="24"/>
          <w:szCs w:val="24"/>
        </w:rPr>
        <w:t>、刑事处罚</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宋体" w:eastAsia="宋体" w:hAnsi="宋体" w:cs="Times New Roman" w:hint="eastAsia"/>
          <w:bCs/>
          <w:sz w:val="24"/>
          <w:szCs w:val="24"/>
        </w:rPr>
        <w:t>、基金管理人运用基金财产买卖基金管理人、基金托管人及其控股股东、实际控制人或者与其有重大利害关系的公司发行的证券或者承销期内承销的证券，</w:t>
      </w:r>
      <w:r>
        <w:rPr>
          <w:rFonts w:ascii="宋体" w:eastAsia="宋体" w:hAnsi="宋体" w:cs="Times New Roman" w:hint="eastAsia"/>
          <w:bCs/>
          <w:sz w:val="24"/>
          <w:szCs w:val="24"/>
        </w:rPr>
        <w:lastRenderedPageBreak/>
        <w:t>或者从事其他重大关联交易事项，中国证监会另有规定的情形除外；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14</w:t>
      </w:r>
      <w:r>
        <w:rPr>
          <w:rFonts w:ascii="宋体" w:eastAsia="宋体" w:hAnsi="宋体" w:cs="Times New Roman"/>
          <w:bCs/>
          <w:sz w:val="24"/>
          <w:szCs w:val="24"/>
        </w:rPr>
        <w:t>、基金收益分配事项；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15</w:t>
      </w:r>
      <w:r>
        <w:rPr>
          <w:rFonts w:ascii="宋体" w:eastAsia="宋体" w:hAnsi="宋体" w:cs="Times New Roman"/>
          <w:bCs/>
          <w:sz w:val="24"/>
          <w:szCs w:val="24"/>
        </w:rPr>
        <w:t>、</w:t>
      </w:r>
      <w:r>
        <w:rPr>
          <w:rFonts w:ascii="宋体" w:eastAsia="宋体" w:hAnsi="宋体" w:cs="Times New Roman" w:hint="eastAsia"/>
          <w:bCs/>
          <w:sz w:val="24"/>
          <w:szCs w:val="24"/>
        </w:rPr>
        <w:t>管理费、托管费、申购费、赎回费、销售服务费等费用计提标准、计提方式和费率发生变更</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、任一类基金份额净值计价错误达该类基金份额净值百分之零点五；</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、本基金开始办理申购、认购份额的赎回；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18</w:t>
      </w:r>
      <w:r>
        <w:rPr>
          <w:rFonts w:ascii="宋体" w:eastAsia="宋体" w:hAnsi="宋体" w:cs="Times New Roman" w:hint="eastAsia"/>
          <w:bCs/>
          <w:sz w:val="24"/>
          <w:szCs w:val="24"/>
        </w:rPr>
        <w:t>、本基金暂停接受申购、赎回申请或重新接受申购、赎回申请；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19</w:t>
      </w:r>
      <w:r>
        <w:rPr>
          <w:rFonts w:ascii="宋体" w:eastAsia="宋体" w:hAnsi="宋体" w:cs="Times New Roman" w:hint="eastAsia"/>
          <w:bCs/>
          <w:sz w:val="24"/>
          <w:szCs w:val="24"/>
        </w:rPr>
        <w:t>、调整基金份额类别的设置；</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0</w:t>
      </w:r>
      <w:r>
        <w:rPr>
          <w:rFonts w:ascii="宋体" w:eastAsia="宋体" w:hAnsi="宋体" w:cs="Times New Roman" w:hint="eastAsia"/>
          <w:bCs/>
          <w:sz w:val="24"/>
          <w:szCs w:val="24"/>
        </w:rPr>
        <w:t>、基金推出新业务或新服务；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1</w:t>
      </w:r>
      <w:r>
        <w:rPr>
          <w:rFonts w:ascii="宋体" w:eastAsia="宋体" w:hAnsi="宋体" w:cs="Times New Roman"/>
          <w:bCs/>
          <w:sz w:val="24"/>
          <w:szCs w:val="24"/>
        </w:rPr>
        <w:t>、本基金发生巨额赎回并延期</w:t>
      </w:r>
      <w:r>
        <w:rPr>
          <w:rFonts w:ascii="宋体" w:eastAsia="宋体" w:hAnsi="宋体" w:cs="Times New Roman" w:hint="eastAsia"/>
          <w:bCs/>
          <w:sz w:val="24"/>
          <w:szCs w:val="24"/>
        </w:rPr>
        <w:t>办理</w:t>
      </w:r>
      <w:r>
        <w:rPr>
          <w:rFonts w:ascii="宋体" w:eastAsia="宋体" w:hAnsi="宋体" w:cs="Times New Roman"/>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2</w:t>
      </w:r>
      <w:r>
        <w:rPr>
          <w:rFonts w:ascii="宋体" w:eastAsia="宋体" w:hAnsi="宋体" w:cs="Times New Roman"/>
          <w:bCs/>
          <w:sz w:val="24"/>
          <w:szCs w:val="24"/>
        </w:rPr>
        <w:t>、本基金连续发生巨额赎回并暂停接受赎回申请或延缓支付赎回款项；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3</w:t>
      </w:r>
      <w:r>
        <w:rPr>
          <w:rFonts w:ascii="宋体" w:eastAsia="宋体" w:hAnsi="宋体" w:cs="Times New Roman"/>
          <w:bCs/>
          <w:sz w:val="24"/>
          <w:szCs w:val="24"/>
        </w:rPr>
        <w:t>、基金管理人采用摆动定价机制进行估值</w:t>
      </w:r>
      <w:r>
        <w:rPr>
          <w:rFonts w:ascii="宋体" w:eastAsia="宋体" w:hAnsi="宋体"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w:t>
      </w:r>
      <w:r>
        <w:rPr>
          <w:rFonts w:ascii="宋体" w:eastAsia="宋体" w:hAnsi="宋体" w:cs="Times New Roman" w:hint="eastAsia"/>
          <w:bCs/>
          <w:sz w:val="24"/>
          <w:szCs w:val="24"/>
        </w:rPr>
        <w:t>发生涉及基金申购、赎回事项调整或潜在影响投资者赎回等重大事项时；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25</w:t>
      </w:r>
      <w:r>
        <w:rPr>
          <w:rFonts w:ascii="Times New Roman" w:eastAsia="宋体" w:hAnsi="Times New Roman" w:cs="Times New Roman" w:hint="eastAsia"/>
          <w:bCs/>
          <w:sz w:val="24"/>
          <w:szCs w:val="24"/>
        </w:rPr>
        <w:t>、基金信息披露义务人认为可能对基金份额持有人权益或者基金份额的价格产生重大影响的其他事项或中国证监会规定和基金合同</w:t>
      </w:r>
      <w:r>
        <w:rPr>
          <w:rFonts w:ascii="Times New Roman" w:eastAsia="宋体" w:hAnsi="Times New Roman" w:cs="Times New Roman"/>
          <w:bCs/>
          <w:sz w:val="24"/>
          <w:szCs w:val="24"/>
        </w:rPr>
        <w:t>约</w:t>
      </w:r>
      <w:r>
        <w:rPr>
          <w:rFonts w:ascii="Times New Roman" w:eastAsia="宋体" w:hAnsi="Times New Roman" w:cs="Times New Roman" w:hint="eastAsia"/>
          <w:bCs/>
          <w:sz w:val="24"/>
          <w:szCs w:val="24"/>
        </w:rPr>
        <w:t>定的其他事项。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（八）澄清公告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在基金合同存续期限内，任何公共</w:t>
      </w:r>
      <w:r>
        <w:rPr>
          <w:rFonts w:ascii="宋体" w:eastAsia="宋体" w:hAnsi="宋体" w:cs="Times New Roman" w:hint="eastAsia"/>
          <w:bCs/>
          <w:sz w:val="24"/>
          <w:szCs w:val="24"/>
        </w:rPr>
        <w:t>媒介</w:t>
      </w:r>
      <w:r>
        <w:rPr>
          <w:rFonts w:ascii="宋体" w:eastAsia="宋体" w:hAnsi="宋体" w:cs="Times New Roman"/>
          <w:bCs/>
          <w:sz w:val="24"/>
          <w:szCs w:val="24"/>
        </w:rPr>
        <w:t>中出现的或者在市场上流传的消息可能对基金份额价格产生误导性影响或者引起较大波动，</w:t>
      </w:r>
      <w:r>
        <w:rPr>
          <w:rFonts w:ascii="宋体" w:eastAsia="宋体" w:hAnsi="宋体" w:cs="Times New Roman" w:hint="eastAsia"/>
          <w:bCs/>
          <w:sz w:val="24"/>
          <w:szCs w:val="24"/>
        </w:rPr>
        <w:t>以及可能损害基金份额持有人权益的，</w:t>
      </w:r>
      <w:r>
        <w:rPr>
          <w:rFonts w:ascii="宋体" w:eastAsia="宋体" w:hAnsi="宋体" w:cs="Times New Roman"/>
          <w:bCs/>
          <w:sz w:val="24"/>
          <w:szCs w:val="24"/>
        </w:rPr>
        <w:t>相关信息披露义务人知悉后应当立即对该消息进行公开澄清。</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（九）清算报告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宋体" w:eastAsia="宋体" w:hAnsi="宋体" w:cs="Times New Roman" w:hint="eastAsia"/>
          <w:bCs/>
          <w:sz w:val="24"/>
          <w:szCs w:val="24"/>
        </w:rPr>
        <w:t>十</w:t>
      </w:r>
      <w:r>
        <w:rPr>
          <w:rFonts w:ascii="宋体" w:eastAsia="宋体" w:hAnsi="宋体" w:cs="Times New Roman"/>
          <w:bCs/>
          <w:sz w:val="24"/>
          <w:szCs w:val="24"/>
        </w:rPr>
        <w:t>）基金份额持有人大会决议</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基金份额持有人大会决定的事项，应当依法报</w:t>
      </w:r>
      <w:r>
        <w:rPr>
          <w:rFonts w:ascii="宋体" w:eastAsia="宋体" w:hAnsi="宋体" w:cs="Times New Roman" w:hint="eastAsia"/>
          <w:bCs/>
          <w:sz w:val="24"/>
          <w:szCs w:val="24"/>
        </w:rPr>
        <w:t>中国证监会</w:t>
      </w:r>
      <w:r>
        <w:rPr>
          <w:rFonts w:ascii="宋体" w:eastAsia="宋体" w:hAnsi="宋体" w:cs="Times New Roman"/>
          <w:bCs/>
          <w:sz w:val="24"/>
          <w:szCs w:val="24"/>
        </w:rPr>
        <w:t>备案，并予以公告。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（十一）实施侧袋机制期间的信息披露</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本基金实施侧袋机制的，相关信息披露义务人应当根据法律法规、基金合同和招募说明书的规定进行信息披露，详见招募说明书“侧袋机制”部分的规定。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（十二）</w:t>
      </w:r>
      <w:r>
        <w:rPr>
          <w:rFonts w:ascii="宋体" w:eastAsia="宋体" w:hAnsi="宋体" w:cs="Times New Roman"/>
          <w:bCs/>
          <w:sz w:val="24"/>
          <w:szCs w:val="24"/>
        </w:rPr>
        <w:t>中国证监会规定的其他信息</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1</w:t>
      </w:r>
      <w:r>
        <w:rPr>
          <w:rFonts w:ascii="Times New Roman" w:eastAsia="宋体" w:hAnsi="Times New Roman" w:cs="Times New Roman" w:hint="eastAsia"/>
          <w:bCs/>
          <w:sz w:val="24"/>
          <w:szCs w:val="24"/>
        </w:rPr>
        <w:t>、投资基金份额的信息披露</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基金管理人应在季度报告、中期报告、年度报告等定期报告和招募说明书（更新）等文件中披露所持基金的以下相关情况，包括：（</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）投资政策、持仓情况、损益情况、净值披露时间等。（</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）交易及持有基金产生的费用，包括申购费、赎回费、销售服务费、管理费、托管费等，招募说明书中应当列明计算方法并举例说明。（</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）本基金持有的基金发生的重大影响事件，如转换运作方式、与其他基金合并、终止基金合同以及召开基金份额持有人大会等。（</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）本基金投资于基金管理人以及基金管理人关联方所管理基金的情况。</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、投资资产支持证券的信息披露</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本基金投资资产支持证券的，</w:t>
      </w:r>
      <w:r>
        <w:rPr>
          <w:rFonts w:ascii="宋体" w:eastAsia="宋体" w:hAnsi="宋体" w:cs="Times New Roman" w:hint="eastAsia"/>
          <w:bCs/>
          <w:sz w:val="24"/>
          <w:szCs w:val="24"/>
        </w:rPr>
        <w:t>基金管理人应在基金</w:t>
      </w:r>
      <w:r>
        <w:rPr>
          <w:rFonts w:ascii="宋体" w:eastAsia="宋体" w:hAnsi="宋体" w:cs="Times New Roman"/>
          <w:bCs/>
          <w:sz w:val="24"/>
          <w:szCs w:val="24"/>
        </w:rPr>
        <w:t>年度报告</w:t>
      </w:r>
      <w:r>
        <w:rPr>
          <w:rFonts w:ascii="宋体" w:eastAsia="宋体" w:hAnsi="宋体" w:cs="Times New Roman" w:hint="eastAsia"/>
          <w:bCs/>
          <w:sz w:val="24"/>
          <w:szCs w:val="24"/>
        </w:rPr>
        <w:t>及中期报告中披露其持有的资产支持证券总额、资产支持证券市值占基金净资产的比例和报告期内所有的资产支持证券明细。</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基金管理人应在基金季度报告中披露其持有的资产支持证券总额、资产支持证券市值占基金净资产的比例和报告期末按市值占基金净资产比例大小排序的前</w:t>
      </w:r>
      <w:r>
        <w:rPr>
          <w:rFonts w:ascii="Times New Roman" w:eastAsia="宋体" w:hAnsi="Times New Roman" w:cs="Times New Roman" w:hint="eastAsia"/>
          <w:bCs/>
          <w:sz w:val="24"/>
          <w:szCs w:val="24"/>
        </w:rPr>
        <w:t>10</w:t>
      </w:r>
      <w:r>
        <w:rPr>
          <w:rFonts w:ascii="宋体" w:eastAsia="宋体" w:hAnsi="宋体" w:cs="Times New Roman" w:hint="eastAsia"/>
          <w:bCs/>
          <w:sz w:val="24"/>
          <w:szCs w:val="24"/>
        </w:rPr>
        <w:t>名资产支持证券明细。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、参与港股通交易的信息披露</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本基金投资港股通标的证券的，基金管理人应在季度报告、中期报告、年度报告等定期报告和招募说明书（更新）等文件中披露参与港股通交易的相关情况。</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、投资存托凭证的信息披露</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本基金投资存托凭证的信息披露依照境内上市交易的股票执行。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（十三）当相关法律法规关于上述信息披露的规定发生变化时，基金管理人将按最新规定进行信息披露。</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六、信息披露事务管理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基金管理人、基金托管人应当建立健全信息披露管理制度，指定</w:t>
      </w:r>
      <w:r>
        <w:rPr>
          <w:rFonts w:ascii="宋体" w:eastAsia="宋体" w:hAnsi="宋体" w:cs="Times New Roman" w:hint="eastAsia"/>
          <w:bCs/>
          <w:sz w:val="24"/>
          <w:szCs w:val="24"/>
        </w:rPr>
        <w:t>专门部门及高级管理人员</w:t>
      </w:r>
      <w:r>
        <w:rPr>
          <w:rFonts w:ascii="宋体" w:eastAsia="宋体" w:hAnsi="宋体" w:cs="Times New Roman"/>
          <w:bCs/>
          <w:sz w:val="24"/>
          <w:szCs w:val="24"/>
        </w:rPr>
        <w:t>负责管理信息披露事务。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基金信息披露义务人公开披露基金信息，应当符合中国证监会相关基金信息披露内容与格式准则</w:t>
      </w:r>
      <w:r>
        <w:rPr>
          <w:rFonts w:ascii="宋体" w:eastAsia="宋体" w:hAnsi="宋体" w:cs="Times New Roman" w:hint="eastAsia"/>
          <w:bCs/>
          <w:sz w:val="24"/>
          <w:szCs w:val="24"/>
        </w:rPr>
        <w:t>等法规</w:t>
      </w:r>
      <w:r>
        <w:rPr>
          <w:rFonts w:ascii="宋体" w:eastAsia="宋体" w:hAnsi="宋体" w:cs="Times New Roman"/>
          <w:bCs/>
          <w:sz w:val="24"/>
          <w:szCs w:val="24"/>
        </w:rPr>
        <w:t>的规定。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基金托管人应当按照相关法律法规、中国证监会的规定和基金合同的约定，对基金管理人编制的基金资产净值、各类基金份额净值、基金份额申购赎回</w:t>
      </w:r>
      <w:r>
        <w:rPr>
          <w:rFonts w:ascii="宋体" w:eastAsia="宋体" w:hAnsi="宋体" w:cs="Times New Roman" w:hint="eastAsia"/>
          <w:bCs/>
          <w:sz w:val="24"/>
          <w:szCs w:val="24"/>
        </w:rPr>
        <w:t>价格</w:t>
      </w:r>
      <w:r>
        <w:rPr>
          <w:rFonts w:ascii="宋体" w:eastAsia="宋体" w:hAnsi="宋体" w:cs="Times New Roman"/>
          <w:bCs/>
          <w:sz w:val="24"/>
          <w:szCs w:val="24"/>
        </w:rPr>
        <w:t>、</w:t>
      </w:r>
      <w:r>
        <w:rPr>
          <w:rFonts w:ascii="宋体" w:eastAsia="宋体" w:hAnsi="宋体" w:cs="Times New Roman"/>
          <w:bCs/>
          <w:sz w:val="24"/>
          <w:szCs w:val="24"/>
        </w:rPr>
        <w:lastRenderedPageBreak/>
        <w:t>基金定期报告</w:t>
      </w:r>
      <w:r>
        <w:rPr>
          <w:rFonts w:ascii="宋体" w:eastAsia="宋体" w:hAnsi="宋体" w:cs="Times New Roman" w:hint="eastAsia"/>
          <w:bCs/>
          <w:sz w:val="24"/>
          <w:szCs w:val="24"/>
        </w:rPr>
        <w:t>、</w:t>
      </w:r>
      <w:r>
        <w:rPr>
          <w:rFonts w:ascii="宋体" w:eastAsia="宋体" w:hAnsi="宋体" w:cs="Times New Roman"/>
          <w:bCs/>
          <w:sz w:val="24"/>
          <w:szCs w:val="24"/>
        </w:rPr>
        <w:t>更新的招募说明书</w:t>
      </w:r>
      <w:r>
        <w:rPr>
          <w:rFonts w:ascii="宋体" w:eastAsia="宋体" w:hAnsi="宋体" w:cs="Times New Roman" w:hint="eastAsia"/>
          <w:bCs/>
          <w:sz w:val="24"/>
          <w:szCs w:val="24"/>
        </w:rPr>
        <w:t>、基金产品资料概要、基金清算报告</w:t>
      </w:r>
      <w:r>
        <w:rPr>
          <w:rFonts w:ascii="宋体" w:eastAsia="宋体" w:hAnsi="宋体" w:cs="Times New Roman"/>
          <w:bCs/>
          <w:sz w:val="24"/>
          <w:szCs w:val="24"/>
        </w:rPr>
        <w:t>等公开披露的相关基金信息进行复核、审查，并向基金管理人</w:t>
      </w:r>
      <w:r>
        <w:rPr>
          <w:rFonts w:ascii="宋体" w:eastAsia="宋体" w:hAnsi="宋体" w:cs="Times New Roman" w:hint="eastAsia"/>
          <w:bCs/>
          <w:sz w:val="24"/>
          <w:szCs w:val="24"/>
        </w:rPr>
        <w:t>进行</w:t>
      </w:r>
      <w:r>
        <w:rPr>
          <w:rFonts w:ascii="宋体" w:eastAsia="宋体" w:hAnsi="宋体" w:cs="Times New Roman"/>
          <w:bCs/>
          <w:sz w:val="24"/>
          <w:szCs w:val="24"/>
        </w:rPr>
        <w:t>书面或者</w:t>
      </w:r>
      <w:r>
        <w:rPr>
          <w:rFonts w:ascii="宋体" w:eastAsia="宋体" w:hAnsi="宋体" w:cs="Times New Roman" w:hint="eastAsia"/>
          <w:bCs/>
          <w:sz w:val="24"/>
          <w:szCs w:val="24"/>
        </w:rPr>
        <w:t>电子</w:t>
      </w:r>
      <w:r>
        <w:rPr>
          <w:rFonts w:ascii="宋体" w:eastAsia="宋体" w:hAnsi="宋体" w:cs="Times New Roman"/>
          <w:bCs/>
          <w:sz w:val="24"/>
          <w:szCs w:val="24"/>
        </w:rPr>
        <w:t>确认。</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基金管理人、基金托管人应当在</w:t>
      </w:r>
      <w:r>
        <w:rPr>
          <w:rFonts w:ascii="宋体" w:eastAsia="宋体" w:hAnsi="宋体" w:cs="Times New Roman" w:hint="eastAsia"/>
          <w:bCs/>
          <w:sz w:val="24"/>
          <w:szCs w:val="24"/>
        </w:rPr>
        <w:t>规定报刊中选择一家报刊披露本基金的信息。基金管理人、基金托管人应当向中国证监会基金电子披露网站报送拟披露的基金信息，并保证相关报送信息的真实、准确、完整、及时。</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基金管理人、基金托管人除依法在规定媒介上披露信息外，还可以根据需要在其他公共</w:t>
      </w:r>
      <w:r>
        <w:rPr>
          <w:rFonts w:ascii="宋体" w:eastAsia="宋体" w:hAnsi="宋体" w:cs="Times New Roman" w:hint="eastAsia"/>
          <w:bCs/>
          <w:sz w:val="24"/>
          <w:szCs w:val="24"/>
        </w:rPr>
        <w:t>媒介</w:t>
      </w:r>
      <w:r>
        <w:rPr>
          <w:rFonts w:ascii="宋体" w:eastAsia="宋体" w:hAnsi="宋体" w:cs="Times New Roman"/>
          <w:bCs/>
          <w:sz w:val="24"/>
          <w:szCs w:val="24"/>
        </w:rPr>
        <w:t>披露信息，但是其他公共</w:t>
      </w:r>
      <w:r>
        <w:rPr>
          <w:rFonts w:ascii="宋体" w:eastAsia="宋体" w:hAnsi="宋体" w:cs="Times New Roman" w:hint="eastAsia"/>
          <w:bCs/>
          <w:sz w:val="24"/>
          <w:szCs w:val="24"/>
        </w:rPr>
        <w:t>媒介</w:t>
      </w:r>
      <w:r>
        <w:rPr>
          <w:rFonts w:ascii="宋体" w:eastAsia="宋体" w:hAnsi="宋体" w:cs="Times New Roman"/>
          <w:bCs/>
          <w:sz w:val="24"/>
          <w:szCs w:val="24"/>
        </w:rPr>
        <w:t>不得早于规定媒介披露信息，并且在不同媒介上披露同一信息的内容应当一致。</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为基金信息披露义务人公开披露的基金信息出具审计报告、法律意见书的专业机构，应当制作工作底稿，并将相关档案至少保存到基金合同终止后</w:t>
      </w:r>
      <w:r>
        <w:rPr>
          <w:rFonts w:ascii="Times New Roman" w:eastAsia="宋体" w:hAnsi="Times New Roman" w:cs="Times New Roman" w:hint="eastAsia"/>
          <w:bCs/>
          <w:sz w:val="24"/>
          <w:szCs w:val="24"/>
        </w:rPr>
        <w:t>10</w:t>
      </w:r>
      <w:r>
        <w:rPr>
          <w:rFonts w:ascii="宋体" w:eastAsia="宋体" w:hAnsi="宋体" w:cs="Times New Roman"/>
          <w:bCs/>
          <w:sz w:val="24"/>
          <w:szCs w:val="24"/>
        </w:rPr>
        <w:t>年。</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七、暂停或延迟信息披露的情形</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当出现下述情况时，基金管理人和基金托管人可暂停或延迟披露基金相关信息：</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1、基金投资所涉及的证券交易市场或外汇市场遇法定节假日或因其他原因暂停交易时；</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2、因不可抗力致使基金管理人、基金托管人无法准确评估基金资产价值或无法进行信息披露时；</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3、占本基金相当比例的被投资基金发生暂停估值、暂停公告基金份额净值或暂停公告万份（百份）收益的情形；</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4、当特定资产占前一估值日基金资产净值50%以上的，经与基金托管人协商确认后暂停估值的；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5、法律法规、基金合同或中国证监会规定的情况。</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八</w:t>
      </w:r>
      <w:r>
        <w:rPr>
          <w:rFonts w:ascii="宋体" w:eastAsia="宋体" w:hAnsi="宋体" w:cs="Times New Roman"/>
          <w:b/>
          <w:bCs/>
          <w:sz w:val="24"/>
          <w:szCs w:val="24"/>
        </w:rPr>
        <w:t>、信息披露文件的存放与查阅</w:t>
      </w:r>
    </w:p>
    <w:p w:rsidR="0068684E" w:rsidRDefault="000021E4">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依法必须披露的信息发布后，基金管理人、基金托管人应当按照相关法律法</w:t>
      </w:r>
      <w:r>
        <w:rPr>
          <w:rFonts w:ascii="宋体" w:eastAsia="宋体" w:hAnsi="宋体" w:cs="Times New Roman" w:hint="eastAsia"/>
          <w:bCs/>
          <w:sz w:val="24"/>
          <w:szCs w:val="24"/>
        </w:rPr>
        <w:lastRenderedPageBreak/>
        <w:t>规规定将信息置备于</w:t>
      </w:r>
      <w:r>
        <w:rPr>
          <w:rFonts w:ascii="宋体" w:eastAsia="宋体" w:hAnsi="宋体" w:cs="Times New Roman"/>
          <w:bCs/>
          <w:sz w:val="24"/>
          <w:szCs w:val="24"/>
        </w:rPr>
        <w:t>各自</w:t>
      </w:r>
      <w:r>
        <w:rPr>
          <w:rFonts w:ascii="宋体" w:eastAsia="宋体" w:hAnsi="宋体" w:cs="Times New Roman" w:hint="eastAsia"/>
          <w:bCs/>
          <w:sz w:val="24"/>
          <w:szCs w:val="24"/>
        </w:rPr>
        <w:t>住所，供社会公众查阅、复制。</w:t>
      </w:r>
    </w:p>
    <w:p w:rsidR="0068684E" w:rsidRDefault="0068684E">
      <w:pPr>
        <w:spacing w:line="360" w:lineRule="auto"/>
        <w:ind w:firstLineChars="200" w:firstLine="480"/>
        <w:rPr>
          <w:rFonts w:ascii="Times New Roman" w:eastAsia="宋体" w:hAnsi="Times New Roman" w:cs="Times New Roman"/>
          <w:bCs/>
          <w:sz w:val="24"/>
          <w:szCs w:val="24"/>
        </w:rPr>
      </w:pPr>
    </w:p>
    <w:bookmarkEnd w:id="86"/>
    <w:p w:rsidR="0068684E" w:rsidRDefault="000021E4">
      <w:pPr>
        <w:keepNext/>
        <w:keepLines/>
        <w:spacing w:beforeLines="100" w:before="312" w:afterLines="100" w:after="312" w:line="360" w:lineRule="auto"/>
        <w:jc w:val="center"/>
        <w:outlineLvl w:val="0"/>
        <w:rPr>
          <w:rFonts w:ascii="Times New Roman" w:eastAsia="宋体" w:hAnsi="宋体" w:cs="Times New Roman"/>
          <w:b/>
          <w:bCs/>
          <w:kern w:val="44"/>
          <w:sz w:val="32"/>
          <w:szCs w:val="32"/>
        </w:rPr>
      </w:pPr>
      <w:r>
        <w:rPr>
          <w:rFonts w:ascii="Times New Roman" w:eastAsia="宋体" w:hAnsi="Times New Roman" w:cs="Times New Roman"/>
          <w:b/>
          <w:kern w:val="0"/>
          <w:sz w:val="32"/>
          <w:szCs w:val="20"/>
        </w:rPr>
        <w:br w:type="page"/>
      </w:r>
      <w:bookmarkStart w:id="109" w:name="_Toc208913390"/>
      <w:bookmarkStart w:id="110" w:name="_Toc7769"/>
      <w:r>
        <w:rPr>
          <w:rFonts w:ascii="Times New Roman" w:eastAsia="宋体" w:hAnsi="Times New Roman" w:cs="Times New Roman"/>
          <w:b/>
          <w:kern w:val="0"/>
          <w:sz w:val="32"/>
          <w:szCs w:val="20"/>
        </w:rPr>
        <w:lastRenderedPageBreak/>
        <w:t>第十六部分</w:t>
      </w:r>
      <w:r>
        <w:rPr>
          <w:rFonts w:ascii="Times New Roman" w:eastAsia="宋体" w:hAnsi="Times New Roman" w:cs="Times New Roman" w:hint="eastAsia"/>
          <w:b/>
          <w:kern w:val="0"/>
          <w:sz w:val="32"/>
          <w:szCs w:val="20"/>
        </w:rPr>
        <w:t xml:space="preserve"> </w:t>
      </w:r>
      <w:r>
        <w:rPr>
          <w:rFonts w:ascii="Times New Roman" w:eastAsia="宋体" w:hAnsi="Times New Roman" w:cs="Times New Roman"/>
          <w:b/>
          <w:kern w:val="0"/>
          <w:sz w:val="32"/>
          <w:szCs w:val="20"/>
        </w:rPr>
        <w:t xml:space="preserve"> </w:t>
      </w:r>
      <w:r>
        <w:rPr>
          <w:rFonts w:ascii="Times New Roman" w:eastAsia="宋体" w:hAnsi="宋体" w:cs="Times New Roman"/>
          <w:b/>
          <w:bCs/>
          <w:kern w:val="44"/>
          <w:sz w:val="32"/>
          <w:szCs w:val="32"/>
        </w:rPr>
        <w:t>侧袋机制</w:t>
      </w:r>
      <w:bookmarkEnd w:id="109"/>
      <w:bookmarkEnd w:id="110"/>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一、侧袋机制的实施条件</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当基金持有特定资产且存在或潜在</w:t>
      </w:r>
      <w:r>
        <w:rPr>
          <w:rFonts w:ascii="Times New Roman" w:eastAsia="宋体" w:hAnsi="Times New Roman" w:cs="Times New Roman"/>
          <w:sz w:val="24"/>
          <w:szCs w:val="24"/>
        </w:rPr>
        <w:t>大额</w:t>
      </w:r>
      <w:r>
        <w:rPr>
          <w:rFonts w:ascii="Times New Roman" w:eastAsia="宋体" w:hAnsi="Times New Roman" w:cs="Times New Roman" w:hint="eastAsia"/>
          <w:sz w:val="24"/>
          <w:szCs w:val="24"/>
        </w:rPr>
        <w:t>赎回申请时，根据最大限度保护基金份额持有人利益的原则，基金管理人经与基金托管人协商一致，并咨询会计师事务所意见后，可以依照法律法规及基金合同的约定启用侧袋机制</w:t>
      </w:r>
      <w:r>
        <w:rPr>
          <w:rFonts w:ascii="Times New Roman" w:eastAsia="宋体" w:hAnsi="Times New Roman" w:cs="Times New Roman" w:hint="eastAsia"/>
          <w:bCs/>
          <w:sz w:val="24"/>
          <w:szCs w:val="24"/>
        </w:rPr>
        <w:t>，无需召开基金份额持有人大会审议</w:t>
      </w:r>
      <w:r>
        <w:rPr>
          <w:rFonts w:ascii="Times New Roman" w:eastAsia="宋体" w:hAnsi="Times New Roman" w:cs="Times New Roman" w:hint="eastAsia"/>
          <w:sz w:val="24"/>
          <w:szCs w:val="24"/>
        </w:rPr>
        <w:t>。</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基金管理人应当在启用侧袋机制后及时发布临时公告，并及时聘请符合《中华人民共和国证券法》规定的会计师事务所进行审计并披露专项审计意见。</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二、实施侧袋机制期间基金份额的申购与赎回</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认定。</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三、实施侧袋机制期间的基金投资</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侧袋机制实施期间，招募说明书“基金的投资”部分约定的</w:t>
      </w:r>
      <w:r>
        <w:rPr>
          <w:rFonts w:ascii="Times New Roman" w:eastAsia="宋体" w:hAnsi="Times New Roman" w:cs="Times New Roman"/>
          <w:sz w:val="24"/>
          <w:szCs w:val="24"/>
        </w:rPr>
        <w:t>投资组合比例</w:t>
      </w:r>
      <w:r>
        <w:rPr>
          <w:rFonts w:ascii="Times New Roman" w:eastAsia="宋体" w:hAnsi="Times New Roman" w:cs="Times New Roman" w:hint="eastAsia"/>
          <w:sz w:val="24"/>
          <w:szCs w:val="24"/>
        </w:rPr>
        <w:t>、投资策略、</w:t>
      </w:r>
      <w:r>
        <w:rPr>
          <w:rFonts w:ascii="Times New Roman" w:eastAsia="宋体" w:hAnsi="Times New Roman" w:cs="Times New Roman"/>
          <w:sz w:val="24"/>
          <w:szCs w:val="24"/>
        </w:rPr>
        <w:t>组合限制</w:t>
      </w:r>
      <w:r>
        <w:rPr>
          <w:rFonts w:ascii="Times New Roman" w:eastAsia="宋体" w:hAnsi="Times New Roman" w:cs="Times New Roman" w:hint="eastAsia"/>
          <w:sz w:val="24"/>
          <w:szCs w:val="24"/>
        </w:rPr>
        <w:t>、业绩比较基准、风险收益特征等约定仅适用于主袋账户。基金管理人计算各项投资运作指标和基金业绩指标时应当以主袋账户资产</w:t>
      </w:r>
      <w:r>
        <w:rPr>
          <w:rFonts w:ascii="Times New Roman" w:eastAsia="宋体" w:hAnsi="Times New Roman" w:cs="Times New Roman" w:hint="eastAsia"/>
          <w:bCs/>
          <w:sz w:val="24"/>
          <w:szCs w:val="24"/>
        </w:rPr>
        <w:t>为基准</w:t>
      </w:r>
      <w:r>
        <w:rPr>
          <w:rFonts w:ascii="Times New Roman" w:eastAsia="宋体" w:hAnsi="Times New Roman" w:cs="Times New Roman" w:hint="eastAsia"/>
          <w:sz w:val="24"/>
          <w:szCs w:val="24"/>
        </w:rPr>
        <w:t>。</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基金管理人原则上应当在侧袋</w:t>
      </w:r>
      <w:r>
        <w:rPr>
          <w:rFonts w:ascii="Times New Roman" w:eastAsia="宋体" w:hAnsi="Times New Roman" w:cs="Times New Roman"/>
          <w:sz w:val="24"/>
          <w:szCs w:val="24"/>
        </w:rPr>
        <w:t>机制启用后</w:t>
      </w:r>
      <w:r>
        <w:rPr>
          <w:rFonts w:ascii="Times New Roman" w:eastAsia="宋体" w:hAnsi="Times New Roman" w:cs="Times New Roman"/>
          <w:sz w:val="24"/>
          <w:szCs w:val="24"/>
        </w:rPr>
        <w:t>20</w:t>
      </w:r>
      <w:r>
        <w:rPr>
          <w:rFonts w:ascii="Times New Roman" w:eastAsia="宋体" w:hAnsi="Times New Roman" w:cs="Times New Roman"/>
          <w:sz w:val="24"/>
          <w:szCs w:val="24"/>
        </w:rPr>
        <w:t>个交易日内完成对主袋账户投资组合的调整，</w:t>
      </w:r>
      <w:r>
        <w:rPr>
          <w:rFonts w:ascii="Times New Roman" w:eastAsia="宋体" w:hAnsi="Times New Roman" w:cs="Times New Roman" w:hint="eastAsia"/>
          <w:sz w:val="24"/>
          <w:szCs w:val="24"/>
        </w:rPr>
        <w:t>因资产流动性受限等中国证监会规定的情形除外。</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基金管理人不得在侧袋账户中进行除特定资产处置变现以外的其他投资操作。</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四、实施侧袋机制期间的基金估值与会计核算</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本基金实施侧袋机制的，基金管理人和基金托管人应对主袋账户资产进行估值并披露主袋账户的基金资产净值和基金份额净值，暂停披露侧袋账户基金份额净值。侧袋账户的会计核算应符合《企业会计准则》的相关要求。</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五、实施侧袋机制期间的基金费用</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、本基金实施侧袋机制的，管理费、托管费和销售服务费等按主袋账户基金资产净值作为基数计提。</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、与侧袋账户有关的费用可从侧袋账户中列支，但应待侧袋账户资产变现后方可列支，有关费用可酌情收取或减免，但不得收取管理费。</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六、侧袋账户中特定资产的处置变现和支付</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侧袋账户资产全部完成变现并终止侧袋机制后，基金管理人应及时聘请符合《中华人民共和国证券法》规定的会计师事务所进行审计并披露专项审计意见。</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七、侧袋机制的信息披露</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、临时公告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在启用侧袋机制、处置特定资产、终止侧袋机制以及发生其他可能对投资者利益产生重大影响的事项后基金管理人应及时发布临时公告。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、基金净值信息</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、定期报告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侧袋机制实施期间，基金管理人应当在基金定期报告中披露报告期内侧袋账户相关信息，基金定期报告中的基金会计报表仅需针对主袋账户进行编制。会计</w:t>
      </w:r>
      <w:r>
        <w:rPr>
          <w:rFonts w:ascii="Times New Roman" w:eastAsia="宋体" w:hAnsi="Times New Roman" w:cs="Times New Roman" w:hint="eastAsia"/>
          <w:sz w:val="24"/>
          <w:szCs w:val="24"/>
        </w:rPr>
        <w:lastRenderedPageBreak/>
        <w:t>师事务所对基金年度报告进行审计时，应对报告期内基金侧袋机制运行相关的会计核算和年度报告披露等发表审计意见。</w:t>
      </w:r>
      <w:bookmarkStart w:id="111" w:name="_Hlk58013755"/>
    </w:p>
    <w:bookmarkEnd w:id="111"/>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经履行适当程序后，可直接对本部分内容进行修改和调整，无需召开基金份额持有人大会审议。</w:t>
      </w:r>
    </w:p>
    <w:p w:rsidR="0068684E" w:rsidRDefault="000021E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p w:rsidR="0068684E" w:rsidRDefault="000021E4">
      <w:pPr>
        <w:keepNext/>
        <w:keepLines/>
        <w:spacing w:beforeLines="100" w:before="312" w:afterLines="100" w:after="312" w:line="360" w:lineRule="auto"/>
        <w:ind w:firstLine="960"/>
        <w:jc w:val="center"/>
        <w:outlineLvl w:val="0"/>
        <w:rPr>
          <w:rFonts w:ascii="Times New Roman" w:eastAsia="宋体" w:hAnsi="Times New Roman" w:cs="Times New Roman"/>
          <w:b/>
          <w:kern w:val="0"/>
          <w:sz w:val="32"/>
          <w:szCs w:val="20"/>
        </w:rPr>
      </w:pPr>
      <w:bookmarkStart w:id="112" w:name="_Toc208913391"/>
      <w:bookmarkStart w:id="113" w:name="_Toc29365"/>
      <w:r>
        <w:rPr>
          <w:rFonts w:ascii="Times New Roman" w:eastAsia="宋体" w:hAnsi="Times New Roman" w:cs="Times New Roman" w:hint="eastAsia"/>
          <w:b/>
          <w:kern w:val="0"/>
          <w:sz w:val="32"/>
          <w:szCs w:val="20"/>
        </w:rPr>
        <w:lastRenderedPageBreak/>
        <w:t>第十七部分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风险揭示</w:t>
      </w:r>
      <w:bookmarkEnd w:id="112"/>
      <w:bookmarkEnd w:id="113"/>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一、投资于本基金的主要风险</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（一）特有风险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、基金运作的风险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本基金是混合型基金中基金，本基金投资于经中国证监会依法核准或注册的公开募集的基金份额的资产占基金资产的比例不低于</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；本基金投资于股票、存托凭证、股票型基金（含股票型指数基金）、偏股混合型基金等权益类资产合计占基金资产的比例为</w:t>
      </w:r>
      <w:r>
        <w:rPr>
          <w:rFonts w:ascii="Times New Roman" w:eastAsia="宋体" w:hAnsi="Times New Roman" w:cs="Times New Roman" w:hint="eastAsia"/>
          <w:bCs/>
          <w:sz w:val="24"/>
          <w:szCs w:val="24"/>
        </w:rPr>
        <w:t>5%-30%</w:t>
      </w:r>
      <w:r>
        <w:rPr>
          <w:rFonts w:ascii="Times New Roman" w:eastAsia="宋体" w:hAnsi="Times New Roman" w:cs="Times New Roman" w:hint="eastAsia"/>
          <w:bCs/>
          <w:sz w:val="24"/>
          <w:szCs w:val="24"/>
        </w:rPr>
        <w:t>，投资于</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基金和香港互认基金的资产占基金资产的比例不高于</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，投资于货币市场基金的资产占基金资产的比例不高于</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本基金存在大类资产配置风险，有可能受到经济周期、市场环境或基金管理人对市场所处的经济周期和产业周期的判断不足等因素的影响，导致基金的大类资产配置比例偏离最优化水平，给基金投资组合的表现带来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rsidR="0068684E" w:rsidRDefault="000021E4">
      <w:pPr>
        <w:spacing w:line="360" w:lineRule="auto"/>
        <w:ind w:firstLineChars="200" w:firstLine="480"/>
        <w:rPr>
          <w:rFonts w:ascii="Times New Roman" w:eastAsia="宋体" w:hAnsi="Times New Roman" w:cs="Times New Roman"/>
          <w:bCs/>
          <w:sz w:val="24"/>
          <w:szCs w:val="24"/>
        </w:rPr>
      </w:pPr>
      <w:bookmarkStart w:id="114" w:name="OLE_LINK56"/>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）本基金除了承担投资其他基金的管理费、托管费和销售费用（其中申购本基金基金管理人自身管理的其他基金（</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除外）应当通过直销渠道申购且不收取申购费、赎回费（不包括按照相关法规、基金招募说明书约定应当收取，并计入基金财产的赎回费用）、销售服务费等）外，还须承担本基金本身的管理费、托管费（其中不收取基金财产中持有本基金管理人管理的其他基金部分的管理费、本基金托管人托管的其他基金部分的托管费）、销售服务费，因此，本基金最终获取的回报与直接投资于其他基金获取的回报存在差异。</w:t>
      </w:r>
    </w:p>
    <w:p w:rsidR="0068684E" w:rsidRDefault="000021E4">
      <w:pPr>
        <w:spacing w:line="360" w:lineRule="auto"/>
        <w:ind w:firstLineChars="200" w:firstLine="480"/>
        <w:rPr>
          <w:rFonts w:ascii="Times New Roman" w:eastAsia="宋体" w:hAnsi="Times New Roman" w:cs="Times New Roman"/>
          <w:bCs/>
          <w:sz w:val="24"/>
          <w:szCs w:val="24"/>
        </w:rPr>
      </w:pPr>
      <w:bookmarkStart w:id="115" w:name="OLE_LINK58"/>
      <w:bookmarkStart w:id="116" w:name="OLE_LINK57"/>
      <w:bookmarkEnd w:id="114"/>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、投资于其他基金所特有的风险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本基金投资于其他基金的资产不低于基金资产的</w:t>
      </w:r>
      <w:r>
        <w:rPr>
          <w:rFonts w:ascii="Times New Roman" w:eastAsia="宋体" w:hAnsi="Times New Roman" w:cs="Times New Roman"/>
          <w:bCs/>
          <w:sz w:val="24"/>
          <w:szCs w:val="24"/>
        </w:rPr>
        <w:t>80%</w:t>
      </w:r>
      <w:r>
        <w:rPr>
          <w:rFonts w:ascii="Times New Roman" w:eastAsia="宋体" w:hAnsi="Times New Roman" w:cs="Times New Roman" w:hint="eastAsia"/>
          <w:bCs/>
          <w:sz w:val="24"/>
          <w:szCs w:val="24"/>
        </w:rPr>
        <w:t>，由此可能面临如下风险：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）被投资基金的业绩风险。本基金投资于其他基金的资产不低于基金资产的</w:t>
      </w:r>
      <w:r>
        <w:rPr>
          <w:rFonts w:ascii="Times New Roman" w:eastAsia="宋体" w:hAnsi="Times New Roman" w:cs="Times New Roman"/>
          <w:bCs/>
          <w:sz w:val="24"/>
          <w:szCs w:val="24"/>
        </w:rPr>
        <w:t>80%</w:t>
      </w:r>
      <w:r>
        <w:rPr>
          <w:rFonts w:ascii="Times New Roman" w:eastAsia="宋体" w:hAnsi="Times New Roman" w:cs="Times New Roman" w:hint="eastAsia"/>
          <w:bCs/>
          <w:sz w:val="24"/>
          <w:szCs w:val="24"/>
        </w:rPr>
        <w:t>，因此本基金投资目标的实现建立在被投资基金本身投资目标实现的基础上。如果由于被投资基金未能实现投资目标，则本基金存在达不成投资目标的风险。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）赎回资金到账时间较晚的风险。基金赎回的资金交收效率慢于基础证券市场交易的证券，因此本基金赎回款实际到达投资者账户的时间可能晚于普通境内开放式基金，存在对投资者资金安排造成影响的风险。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）可上市交易基金的二级市场投资风险。本基金可通过二级市场进行</w:t>
      </w:r>
      <w:r>
        <w:rPr>
          <w:rFonts w:ascii="Times New Roman" w:eastAsia="宋体" w:hAnsi="Times New Roman" w:cs="Times New Roman"/>
          <w:bCs/>
          <w:sz w:val="24"/>
          <w:szCs w:val="24"/>
        </w:rPr>
        <w:t>ETF</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LOF</w:t>
      </w:r>
      <w:r>
        <w:rPr>
          <w:rFonts w:ascii="Times New Roman" w:eastAsia="宋体" w:hAnsi="Times New Roman" w:cs="Times New Roman" w:hint="eastAsia"/>
          <w:bCs/>
          <w:sz w:val="24"/>
          <w:szCs w:val="24"/>
        </w:rPr>
        <w:t>、封闭式基金的买卖交易，由此可能面临交易量不足所引起的流动性风险、交易价格与基金份额净值之间的折溢价风险以及被投资基金暂停交易或退市的风险等。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被投资基金的运作风险。具体包括基金经理变更风险、基金实际运作风险以及基金产品设计开发创新风险等。此外，封闭式基金到期转开放、基金清算、基金合并等事件也会带来风险。虽然本基金管理人将会从基金风格、投资能力、管理团队、实际运作情况等多方面精选基金投资品种，但无法完全规避基金运作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被投资基金的基金管理人经营风险。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这种情况下，本基金将无法通过投资多样化来分散这种非系统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、商品基金投资风险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本基金可投资于商品基金（包括商品期货基金和黄金</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），由此可能间接面临商品价格波动风险、商品期货市场波动风险等投资风险，从而使基金收益水平发生变化，产生风险。</w:t>
      </w:r>
    </w:p>
    <w:bookmarkEnd w:id="115"/>
    <w:bookmarkEnd w:id="116"/>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港股通标的证券投资风险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本基金可以投资于港股通标的证券，本基金投资于港股通标的股票的比例占股票资产的</w:t>
      </w:r>
      <w:r>
        <w:rPr>
          <w:rFonts w:ascii="Times New Roman" w:eastAsia="宋体" w:hAnsi="Times New Roman" w:cs="Times New Roman" w:hint="eastAsia"/>
          <w:bCs/>
          <w:sz w:val="24"/>
          <w:szCs w:val="24"/>
        </w:rPr>
        <w:t>0%-50%</w:t>
      </w:r>
      <w:r>
        <w:rPr>
          <w:rFonts w:ascii="Times New Roman" w:eastAsia="宋体" w:hAnsi="Times New Roman" w:cs="Times New Roman" w:hint="eastAsia"/>
          <w:bCs/>
          <w:sz w:val="24"/>
          <w:szCs w:val="24"/>
        </w:rPr>
        <w:t>。内地和港股通标的证券市场和债券市场的变化均会影响到</w:t>
      </w:r>
      <w:r>
        <w:rPr>
          <w:rFonts w:ascii="Times New Roman" w:eastAsia="宋体" w:hAnsi="Times New Roman" w:cs="Times New Roman" w:hint="eastAsia"/>
          <w:bCs/>
          <w:sz w:val="24"/>
          <w:szCs w:val="24"/>
        </w:rPr>
        <w:lastRenderedPageBreak/>
        <w:t>基金业绩表现，基金净值表现因此可能受到影响。本基金管理人将发挥专业研究优势，加强对市场、证券基本面的深入研究，持续优化组合配置，以控制特定风险。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港股通标的证券的投资风险包括：</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）香港市场交易规则有别于内地</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股市场规则，此外，在港股通下参与香港</w:t>
      </w:r>
      <w:r>
        <w:rPr>
          <w:rFonts w:ascii="Times New Roman" w:eastAsia="宋体" w:hAnsi="Times New Roman" w:cs="Times New Roman"/>
          <w:bCs/>
          <w:sz w:val="24"/>
          <w:szCs w:val="24"/>
        </w:rPr>
        <w:t>证券</w:t>
      </w:r>
      <w:r>
        <w:rPr>
          <w:rFonts w:ascii="Times New Roman" w:eastAsia="宋体" w:hAnsi="Times New Roman" w:cs="Times New Roman" w:hint="eastAsia"/>
          <w:bCs/>
          <w:sz w:val="24"/>
          <w:szCs w:val="24"/>
        </w:rPr>
        <w:t>投资还将面临包括但不限于如下特殊风险：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①香港市场实行</w:t>
      </w:r>
      <w:r>
        <w:rPr>
          <w:rFonts w:ascii="Times New Roman" w:eastAsia="宋体" w:hAnsi="Times New Roman" w:cs="Times New Roman" w:hint="eastAsia"/>
          <w:bCs/>
          <w:sz w:val="24"/>
          <w:szCs w:val="24"/>
        </w:rPr>
        <w:t>T+0</w:t>
      </w:r>
      <w:r>
        <w:rPr>
          <w:rFonts w:ascii="Times New Roman" w:eastAsia="宋体" w:hAnsi="Times New Roman" w:cs="Times New Roman" w:hint="eastAsia"/>
          <w:bCs/>
          <w:sz w:val="24"/>
          <w:szCs w:val="24"/>
        </w:rPr>
        <w:t>回转交易，且证券交易价格并无涨跌幅上下限的规定，因此每日涨跌幅空间相对较大，港股股价可能表现出比</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股更为剧烈的股价波动。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②只有内地和香港两地均为交易日的日期才为港股通交易日，在内地开市香港休市的情形下，</w:t>
      </w:r>
      <w:bookmarkStart w:id="117" w:name="OLE_LINK59"/>
      <w:bookmarkStart w:id="118" w:name="OLE_LINK60"/>
      <w:r>
        <w:rPr>
          <w:rFonts w:ascii="Times New Roman" w:eastAsia="宋体" w:hAnsi="Times New Roman" w:cs="Times New Roman" w:hint="eastAsia"/>
          <w:bCs/>
          <w:sz w:val="24"/>
          <w:szCs w:val="24"/>
        </w:rPr>
        <w:t>港股通不能正常交易，港股通标的证券不能及时卖出</w:t>
      </w:r>
      <w:bookmarkEnd w:id="117"/>
      <w:bookmarkEnd w:id="118"/>
      <w:r>
        <w:rPr>
          <w:rFonts w:ascii="Times New Roman" w:eastAsia="宋体" w:hAnsi="Times New Roman" w:cs="Times New Roman" w:hint="eastAsia"/>
          <w:bCs/>
          <w:sz w:val="24"/>
          <w:szCs w:val="24"/>
        </w:rPr>
        <w:t>，可能带来一定的流动性风险。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③香港出现香港联合交易所（以下简称“联交所”）规定的</w:t>
      </w:r>
      <w:r>
        <w:rPr>
          <w:rFonts w:ascii="Times New Roman" w:eastAsia="宋体" w:hAnsi="Times New Roman" w:cs="Times New Roman"/>
          <w:bCs/>
          <w:sz w:val="24"/>
          <w:szCs w:val="24"/>
        </w:rPr>
        <w:t>相关</w:t>
      </w:r>
      <w:r>
        <w:rPr>
          <w:rFonts w:ascii="Times New Roman" w:eastAsia="宋体" w:hAnsi="Times New Roman" w:cs="Times New Roman" w:hint="eastAsia"/>
          <w:bCs/>
          <w:sz w:val="24"/>
          <w:szCs w:val="24"/>
        </w:rPr>
        <w:t>情形时，联交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w:t>
      </w:r>
      <w:r>
        <w:rPr>
          <w:rFonts w:ascii="Times New Roman" w:eastAsia="宋体" w:hAnsi="Times New Roman" w:cs="Times New Roman" w:hint="eastAsia"/>
          <w:bCs/>
          <w:sz w:val="24"/>
          <w:szCs w:val="24"/>
        </w:rPr>
        <w:lastRenderedPageBreak/>
        <w:t>按照比例分配持有基数。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⑥汇率风险。本基金可投资港股通标的</w:t>
      </w:r>
      <w:r>
        <w:rPr>
          <w:rFonts w:ascii="Times New Roman" w:eastAsia="宋体" w:hAnsi="Times New Roman" w:cs="Times New Roman"/>
          <w:bCs/>
          <w:sz w:val="24"/>
          <w:szCs w:val="24"/>
        </w:rPr>
        <w:t>证券</w:t>
      </w:r>
      <w:r>
        <w:rPr>
          <w:rFonts w:ascii="Times New Roman" w:eastAsia="宋体" w:hAnsi="Times New Roman" w:cs="Times New Roman" w:hint="eastAsia"/>
          <w:bCs/>
          <w:sz w:val="24"/>
          <w:szCs w:val="24"/>
        </w:rPr>
        <w:t>，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港股通标的</w:t>
      </w:r>
      <w:r>
        <w:rPr>
          <w:rFonts w:ascii="Times New Roman" w:eastAsia="宋体" w:hAnsi="Times New Roman" w:cs="Times New Roman"/>
          <w:bCs/>
          <w:sz w:val="24"/>
          <w:szCs w:val="24"/>
        </w:rPr>
        <w:t>证券</w:t>
      </w:r>
      <w:r>
        <w:rPr>
          <w:rFonts w:ascii="Times New Roman" w:eastAsia="宋体" w:hAnsi="Times New Roman" w:cs="Times New Roman" w:hint="eastAsia"/>
          <w:bCs/>
          <w:sz w:val="24"/>
          <w:szCs w:val="24"/>
        </w:rPr>
        <w:t>还面临汇率风险，汇率波动可能对基金的投资收益造成影响。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）本基金可根据投资策略需要或不同配置地市场环境的变化，选择将部分基金资产投资于港股通标的证券或选择不将基金资产投资于港股通标的证券，基金资产并非必然投资港股通标的证券。</w:t>
      </w:r>
    </w:p>
    <w:p w:rsidR="0068684E" w:rsidRDefault="000021E4">
      <w:pPr>
        <w:spacing w:line="360" w:lineRule="auto"/>
        <w:ind w:firstLineChars="200" w:firstLine="480"/>
        <w:rPr>
          <w:rFonts w:ascii="Times New Roman" w:eastAsia="宋体" w:hAnsi="Times New Roman" w:cs="Times New Roman"/>
          <w:bCs/>
          <w:sz w:val="24"/>
          <w:szCs w:val="24"/>
        </w:rPr>
      </w:pPr>
      <w:bookmarkStart w:id="119" w:name="OLE_LINK62"/>
      <w:bookmarkStart w:id="120" w:name="OLE_LINK61"/>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）本基金投资范围包括港股通</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，可能出现因港股通</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基金和香港互认基金投资风险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本基金的投资范围包括</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基金和香港互认基金，因此本基金可能间接面临海外市场风险、汇率风险、法律和政治风险、会计制度风险、税务风险等风险。</w:t>
      </w:r>
    </w:p>
    <w:bookmarkEnd w:id="119"/>
    <w:bookmarkEnd w:id="120"/>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hint="eastAsia"/>
          <w:bCs/>
          <w:sz w:val="24"/>
          <w:szCs w:val="24"/>
        </w:rPr>
        <w:t>、存托凭证投资风险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本基金如投资存托凭证的，在承担境内上市交易股票投资的共同风险外，还将承担与存托凭证、创新企业发行、境外发行人以及交易机制相关的特有风险，具体包括但不限于以下风险：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）与存托凭证相关的风险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）本基金买入或者持有红筹公司境内发行的存托凭证，即被视为自动加入存</w:t>
      </w:r>
      <w:r>
        <w:rPr>
          <w:rFonts w:ascii="Times New Roman" w:eastAsia="宋体" w:hAnsi="Times New Roman" w:cs="Times New Roman" w:hint="eastAsia"/>
          <w:bCs/>
          <w:sz w:val="24"/>
          <w:szCs w:val="24"/>
        </w:rPr>
        <w:lastRenderedPageBreak/>
        <w:t>托协议，成为存托协议的当事人。存托协议可能通过红筹公司和存托人商议等方式进行修改，本基金无法单独要求红筹公司或者存托人对存托协议作出额外修改。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）本基金持有红筹公司存托凭证，不是红筹公司登记在册的股东，不能以股东身份直接行使股东权利；本基金仅能根据存托协议的约定，通过存托人享有并行使分红、投票等权利。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）存托凭证存续期间，对应的基础证券等财产可能出现被质押、挪用、司法冻结、强制执行等情形，本基金可能存在失去应有权利的风险。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）存托人可能向存托凭证持有人收取存托凭证相关费用。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存托凭证退市的，本基金可能面临存托人无法根据存托协议的约定卖出基础证券，本基金持有的存托凭证无法转到境内其他市场进行公开交易或者转让，存托人无法继续按照存托协议的约定为本基金提供相应服务等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）与创新企业发行相关的风险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创新企业证券首次公开发行的价格可能高于公司每股净资产账面值，或者高于公司在境外其他市场公开发行的股票或者存托凭证的发行价格或者二级市场交易价格。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）与境外发行人相关的风险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）红筹公司可能仅在境内市场发行并上市较小规模的股票或者存托凭证，公司大部分或者绝大部分的表决权由境外股东等持有，基金作为境内投资者可能无法实际参与公司重大事务的决策。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）基金作为红筹公司存托凭证的境内投资者可以依据境内《中华人民共和国证券法》提起证券诉讼，但境内投资者无法直接作为红筹公司境外注册地或者境</w:t>
      </w:r>
      <w:r>
        <w:rPr>
          <w:rFonts w:ascii="Times New Roman" w:eastAsia="宋体" w:hAnsi="Times New Roman" w:cs="Times New Roman" w:hint="eastAsia"/>
          <w:bCs/>
          <w:sz w:val="24"/>
          <w:szCs w:val="24"/>
        </w:rPr>
        <w:lastRenderedPageBreak/>
        <w:t>外上市地的投资者，依据当地法律制度提起证券诉讼。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）与交易机制相关的风险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）境内外市场证券停复牌制度存在差异，红筹公司境内外上市的股票或者存托凭证可能出现在一个市场正常交易而在另一个市场实施停牌等现象。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）红筹公司在境外上市股票或存托凭证的价格可能因基本面变化、第三方研究报告观点、境内外交易机制差异、异常交易情形、做空机制等出现较大波动，可能对境内证券价格产生影响。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）本基金持有的红筹公司境内发行的证券，暂不允许转换为公司在境外发行的相同类别的股票或者存托凭证；本基金持有境内发行的存托凭证，暂不允许转换为境外基础证券。</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hint="eastAsia"/>
          <w:bCs/>
          <w:sz w:val="24"/>
          <w:szCs w:val="24"/>
        </w:rPr>
        <w:t>、科创板股票的投资风险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基金资产可投资科创板股票，若本基金投资于科创板股票，会面临科创板机制下因投资标的、市场制度以及交易规则等差异带来的特有风险，包括但不限于：</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）退市风险</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）科创板退市制度较主板更为严格，退市时间更短，退市速度更快；</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）退市情形更多，新增市值低于规定标准、上市公司信息披露或者规范运作存在重大缺陷导致退市的情形；</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）执行标准更严，明显丧失持续经营能力，仅依赖与主业无关的贸易或者不具备商业实质的关联交易维持收入的上市公司可能会被退市；</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）不再设置暂停上市、恢复上市和重新上市环节，上市公司退市风险更大。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）市场风险</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科创板企业相对集中于新一代信息技术、高端装备、新材料、新能源、节能环保及生物医药等高新技术产业和战略新兴产业，大多数企业为初创型公司，企业未来盈利、现金流、估值均存在不确定性，股票投资市场风险加大。科创板股票竞价交易设置较宽的涨跌幅限制，上市后的前</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个交易日不设涨跌幅限制，其后涨</w:t>
      </w:r>
      <w:r>
        <w:rPr>
          <w:rFonts w:ascii="Times New Roman" w:eastAsia="宋体" w:hAnsi="Times New Roman" w:cs="Times New Roman" w:hint="eastAsia"/>
          <w:bCs/>
          <w:sz w:val="24"/>
          <w:szCs w:val="24"/>
        </w:rPr>
        <w:lastRenderedPageBreak/>
        <w:t>跌幅限制为</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，科创板股票上市首日即可作为融资融券标的，可能导致较大的股票价格波动。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）流动性风险</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）系统性风险</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科创板企业均为市场认可度较高的科技创新企业，在企业经营及盈利模式上存在趋同，所以科创板股票相关性较高，市场表现不佳时，系统性风险将更为显著。</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）政策风险</w:t>
      </w:r>
      <w:r>
        <w:rPr>
          <w:rFonts w:ascii="Times New Roman" w:eastAsia="宋体" w:hAnsi="Times New Roman" w:cs="Times New Roman" w:hint="eastAsia"/>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国家对高新技术产业扶持力度及重视程度的变化会对科创板企业带来较大影响，国际经济形势变化对战略新兴产业及科创板股票也会带来政策影响。</w:t>
      </w:r>
    </w:p>
    <w:p w:rsidR="0068684E" w:rsidRDefault="000021E4">
      <w:pPr>
        <w:spacing w:line="360" w:lineRule="auto"/>
        <w:ind w:firstLineChars="200" w:firstLine="480"/>
        <w:rPr>
          <w:rFonts w:ascii="Times New Roman" w:eastAsia="宋体" w:hAnsi="Times New Roman" w:cs="Times New Roman"/>
          <w:bCs/>
          <w:sz w:val="24"/>
          <w:szCs w:val="24"/>
        </w:rPr>
      </w:pPr>
      <w:bookmarkStart w:id="121" w:name="OLE_LINK63"/>
      <w:r>
        <w:rPr>
          <w:rFonts w:ascii="Times New Roman" w:eastAsia="宋体" w:hAnsi="Times New Roman" w:cs="Times New Roman"/>
          <w:bCs/>
          <w:sz w:val="24"/>
          <w:szCs w:val="24"/>
        </w:rPr>
        <w:t>8</w:t>
      </w: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采用“公募基金</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基础设施资产支持证券”的产品结构，主要特点如下：一是公募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与投资股票或债券的公募基金具有不同的风险收益特征，</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以上基金资产投资于基础设施资产支持证券，并持有其全部份额，基金通过基础设施资产支持证券持有基础设施项目公司全部股权，穿透取得基础设施项目完全所有权或经营权利；二是公募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以获取基础设施项目租金、收费等稳定现金流为主要目的，收益分配比例不低于合并后基金年度可供分配金额的</w:t>
      </w:r>
      <w:r>
        <w:rPr>
          <w:rFonts w:ascii="Times New Roman" w:eastAsia="宋体" w:hAnsi="Times New Roman" w:cs="Times New Roman" w:hint="eastAsia"/>
          <w:bCs/>
          <w:sz w:val="24"/>
          <w:szCs w:val="24"/>
        </w:rPr>
        <w:t>90%</w:t>
      </w:r>
      <w:r>
        <w:rPr>
          <w:rFonts w:ascii="Times New Roman" w:eastAsia="宋体" w:hAnsi="Times New Roman" w:cs="Times New Roman" w:hint="eastAsia"/>
          <w:bCs/>
          <w:sz w:val="24"/>
          <w:szCs w:val="24"/>
        </w:rPr>
        <w:t>；三是公募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采取封闭式运作，不开放申购与赎回，在证券交易所上市，场外份额持有人需将基金份额转托管至场内才可卖出或申报预受要约。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可能面临以下风险，包括但不限于：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）基金价格波动风险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大部分资产投资于基础设施项目，具有权益属性，受经济环境、运营管理等因素影响，基础设施项目市场价值及现金流情况可能发生变化，可能引起公募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价格波动，甚至存在基础设施项目遭遇极端事件（如地震、台风等）发生较大损失而影响基金价格的风险。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）基础设施项目运营风险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可直接或间接对外借款，存在基础设施项目经营不达预期，基金无法偿还借款的风险。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）基金份额交易价格折溢价风险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基金合同生效后，将根据相关法律法规和交易所规定申请在交易所上市，在每个交易日的交易时间将根据相关交易规则确定交易价格，该交易价格可能受诸多因素影响；此外，公募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还将按照相关业务规则、基金合同约定进行估值并披露基金份额净值等信息。由于基金份额交易价格与基金份额净值形成机制以及影响因素不同，存在基金份额交易价格相对于基金份额净值折溢价的风险。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）流动性风险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采取封闭式运作，不开通申购赎回，只能在二级市场交易，存在流动性不足的风险。此外，公募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持有所投资的基础设施资产支持证券的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）终止上市风险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运作过程中可能因触发法律法规或交易所规定的终止上市情形而终止上市，导致投资者无法在二级市场交易。</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）政策调整风险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存在因相关法律法规修改或监管机构政策变更等基金管理人无法控制的因素的变化，使基金或投资者利益受到影响的风险，例如：公募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w:t>
      </w:r>
      <w:r>
        <w:rPr>
          <w:rFonts w:ascii="Times New Roman" w:eastAsia="宋体" w:hAnsi="Times New Roman" w:cs="Times New Roman" w:hint="eastAsia"/>
          <w:bCs/>
          <w:sz w:val="24"/>
          <w:szCs w:val="24"/>
        </w:rPr>
        <w:lastRenderedPageBreak/>
        <w:t>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）利益冲突风险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基金管理人可能同时管理多只同类型的公募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基金管理人聘请的运营管理机构可能持有或为其他同类型的基础设施项目提供运营管理服务；公募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原始权益人也可能持有或管理其他同类型的基础设施项目等。由于上述情况，公募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的关联方可能与公募</w:t>
      </w:r>
      <w:r>
        <w:rPr>
          <w:rFonts w:ascii="Times New Roman" w:eastAsia="宋体" w:hAnsi="Times New Roman" w:cs="Times New Roman" w:hint="eastAsia"/>
          <w:bCs/>
          <w:sz w:val="24"/>
          <w:szCs w:val="24"/>
        </w:rPr>
        <w:t xml:space="preserve">REITs </w:t>
      </w:r>
      <w:r>
        <w:rPr>
          <w:rFonts w:ascii="Times New Roman" w:eastAsia="宋体" w:hAnsi="Times New Roman" w:cs="Times New Roman" w:hint="eastAsia"/>
          <w:bCs/>
          <w:sz w:val="24"/>
          <w:szCs w:val="24"/>
        </w:rPr>
        <w:t>存在一定的利益冲突。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）公募</w:t>
      </w:r>
      <w:r>
        <w:rPr>
          <w:rFonts w:ascii="Times New Roman" w:eastAsia="宋体" w:hAnsi="Times New Roman" w:cs="Times New Roman" w:hint="eastAsia"/>
          <w:bCs/>
          <w:sz w:val="24"/>
          <w:szCs w:val="24"/>
        </w:rPr>
        <w:t>REITs</w:t>
      </w:r>
      <w:r>
        <w:rPr>
          <w:rFonts w:ascii="Times New Roman" w:eastAsia="宋体" w:hAnsi="Times New Roman" w:cs="Times New Roman" w:hint="eastAsia"/>
          <w:bCs/>
          <w:sz w:val="24"/>
          <w:szCs w:val="24"/>
        </w:rPr>
        <w:t>相关法律法规和交易所业务规则，可能根据市场情况进行修改，或者制定新的法律法规和业务规则，投资者应当及时予以关注和了解。</w:t>
      </w:r>
    </w:p>
    <w:bookmarkEnd w:id="121"/>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、资产支持证券投资风险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资产支持证券，资产支持证券是由受托机构发行的、代表特定目的信托的信托受益权份额。受托机构以信托财产为限向投资机构承担支付资产支持证券收益的义务，其支付主要来源于支持证券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、最短持有期内不能赎回的风险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基金合同生效后，本基金对每一份认购</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申购</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转换转入的基金份额分别计算</w:t>
      </w:r>
      <w:r>
        <w:rPr>
          <w:rFonts w:ascii="Times New Roman" w:eastAsia="宋体" w:hAnsi="Times New Roman" w:cs="Times New Roman"/>
          <w:bCs/>
          <w:sz w:val="24"/>
          <w:szCs w:val="24"/>
        </w:rPr>
        <w:t>3</w:t>
      </w:r>
      <w:r>
        <w:rPr>
          <w:rFonts w:ascii="Times New Roman" w:eastAsia="宋体" w:hAnsi="Times New Roman" w:cs="Times New Roman"/>
          <w:bCs/>
          <w:sz w:val="24"/>
          <w:szCs w:val="24"/>
        </w:rPr>
        <w:t>个月</w:t>
      </w:r>
      <w:r>
        <w:rPr>
          <w:rFonts w:ascii="Times New Roman" w:eastAsia="宋体" w:hAnsi="Times New Roman" w:cs="Times New Roman" w:hint="eastAsia"/>
          <w:bCs/>
          <w:sz w:val="24"/>
          <w:szCs w:val="24"/>
        </w:rPr>
        <w:t>的最短持有期，</w:t>
      </w:r>
      <w:bookmarkStart w:id="122" w:name="OLE_LINK69"/>
      <w:bookmarkStart w:id="123" w:name="OLE_LINK68"/>
      <w:r>
        <w:rPr>
          <w:rFonts w:ascii="Times New Roman" w:eastAsia="宋体" w:hAnsi="Times New Roman" w:cs="Times New Roman" w:hint="eastAsia"/>
          <w:bCs/>
          <w:sz w:val="24"/>
          <w:szCs w:val="24"/>
        </w:rPr>
        <w:t>对于收益分配方式为红利再投资的基金份额，每份基金份额（即原份额）红利再投资所获得的基金份额的持有期限，按原份额的持有期限计算，即红利再投资所得份额与原份额最短持有期到期日相同</w:t>
      </w:r>
      <w:bookmarkEnd w:id="122"/>
      <w:bookmarkEnd w:id="123"/>
      <w:r>
        <w:rPr>
          <w:rFonts w:ascii="Times New Roman" w:eastAsia="宋体" w:hAnsi="Times New Roman" w:cs="Times New Roman" w:hint="eastAsia"/>
          <w:bCs/>
          <w:sz w:val="24"/>
          <w:szCs w:val="24"/>
        </w:rPr>
        <w:t>。投资者持有的基金</w:t>
      </w:r>
      <w:r>
        <w:rPr>
          <w:rFonts w:ascii="Times New Roman" w:eastAsia="宋体" w:hAnsi="Times New Roman" w:cs="Times New Roman" w:hint="eastAsia"/>
          <w:bCs/>
          <w:sz w:val="24"/>
          <w:szCs w:val="24"/>
        </w:rPr>
        <w:lastRenderedPageBreak/>
        <w:t>份额自基金合同生效日（对认购份额而言）或基金份额申购</w:t>
      </w:r>
      <w:r>
        <w:rPr>
          <w:rFonts w:ascii="Times New Roman" w:eastAsia="宋体" w:hAnsi="Times New Roman" w:cs="Times New Roman"/>
          <w:bCs/>
          <w:sz w:val="24"/>
          <w:szCs w:val="24"/>
        </w:rPr>
        <w:t>或</w:t>
      </w:r>
      <w:r>
        <w:rPr>
          <w:rFonts w:ascii="Times New Roman" w:eastAsia="宋体" w:hAnsi="Times New Roman" w:cs="Times New Roman" w:hint="eastAsia"/>
          <w:bCs/>
          <w:sz w:val="24"/>
          <w:szCs w:val="24"/>
        </w:rPr>
        <w:t>转换转入确认日（对申购</w:t>
      </w:r>
      <w:r>
        <w:rPr>
          <w:rFonts w:ascii="Times New Roman" w:eastAsia="宋体" w:hAnsi="Times New Roman" w:cs="Times New Roman"/>
          <w:bCs/>
          <w:sz w:val="24"/>
          <w:szCs w:val="24"/>
        </w:rPr>
        <w:t>或</w:t>
      </w:r>
      <w:r>
        <w:rPr>
          <w:rFonts w:ascii="Times New Roman" w:eastAsia="宋体" w:hAnsi="Times New Roman" w:cs="Times New Roman" w:hint="eastAsia"/>
          <w:bCs/>
          <w:sz w:val="24"/>
          <w:szCs w:val="24"/>
        </w:rPr>
        <w:t>转换转入份额而言）起至该日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个月后的月度对日（含当日）的期间内，投资者不能提出赎回或转换转出申请；该日</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后的月度对日（若不存在该对应日期的，则取该月最后一日）的下一个工作日起（含当日），投资者方可申请办理赎回或转换转出业务。因此基金份额持有人面临在最短持有期内不能赎回或转换转出基金份额的风险。</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w:t>
      </w:r>
      <w:r>
        <w:rPr>
          <w:rFonts w:ascii="Times New Roman" w:eastAsia="宋体" w:hAnsi="Times New Roman" w:cs="Times New Roman"/>
          <w:b/>
          <w:sz w:val="24"/>
          <w:szCs w:val="24"/>
        </w:rPr>
        <w:t>市场风险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市场风险是指证券市场价格受到经济因素、政治因素、投资心理和交易制度等各种因素的影响而变化，导致收益水平存在的不确定性。市场风险主要包括：</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政策风险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因国家宏观政策（如货币政策、财政政策、行业政策、地区发展政策等）发生变化，导致市场价格波动而产生风险。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经济周期风险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随经济运行的周期性变化，证券市场的收益水平也呈周期性变化。基金投资于</w:t>
      </w:r>
      <w:bookmarkStart w:id="124" w:name="OLE_LINK72"/>
      <w:bookmarkStart w:id="125" w:name="OLE_LINK70"/>
      <w:r>
        <w:rPr>
          <w:rFonts w:ascii="Times New Roman" w:eastAsia="宋体" w:hAnsi="Times New Roman" w:cs="Times New Roman"/>
          <w:bCs/>
          <w:sz w:val="24"/>
          <w:szCs w:val="24"/>
        </w:rPr>
        <w:t>公开募集的</w:t>
      </w:r>
      <w:bookmarkEnd w:id="124"/>
      <w:bookmarkEnd w:id="125"/>
      <w:r>
        <w:rPr>
          <w:rFonts w:ascii="Times New Roman" w:eastAsia="宋体" w:hAnsi="Times New Roman" w:cs="Times New Roman"/>
          <w:bCs/>
          <w:sz w:val="24"/>
          <w:szCs w:val="24"/>
        </w:rPr>
        <w:t>基金份额、债券</w:t>
      </w:r>
      <w:r>
        <w:rPr>
          <w:rFonts w:ascii="Times New Roman" w:eastAsia="宋体" w:hAnsi="Times New Roman" w:cs="Times New Roman" w:hint="eastAsia"/>
          <w:bCs/>
          <w:sz w:val="24"/>
          <w:szCs w:val="24"/>
        </w:rPr>
        <w:t>与上市公司的股票</w:t>
      </w:r>
      <w:r>
        <w:rPr>
          <w:rFonts w:ascii="Times New Roman" w:eastAsia="宋体" w:hAnsi="Times New Roman" w:cs="Times New Roman"/>
          <w:bCs/>
          <w:sz w:val="24"/>
          <w:szCs w:val="24"/>
        </w:rPr>
        <w:t>，收益水平也会随之变化，从而产生风险。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利率风险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金融市场利率的波动会导致证券市场价格和收益率的变动。利率直接影响着债券的价格和收益率，影响着企业的融资成本和利润。基金投资于</w:t>
      </w:r>
      <w:r>
        <w:rPr>
          <w:rFonts w:ascii="Times New Roman" w:eastAsia="宋体" w:hAnsi="Times New Roman" w:cs="Times New Roman" w:hint="eastAsia"/>
          <w:bCs/>
          <w:sz w:val="24"/>
          <w:szCs w:val="24"/>
        </w:rPr>
        <w:t>公开募集的</w:t>
      </w:r>
      <w:r>
        <w:rPr>
          <w:rFonts w:ascii="Times New Roman" w:eastAsia="宋体" w:hAnsi="Times New Roman" w:cs="Times New Roman"/>
          <w:bCs/>
          <w:sz w:val="24"/>
          <w:szCs w:val="24"/>
        </w:rPr>
        <w:t>基金份额、债券</w:t>
      </w:r>
      <w:r>
        <w:rPr>
          <w:rFonts w:ascii="Times New Roman" w:eastAsia="宋体" w:hAnsi="Times New Roman" w:cs="Times New Roman" w:hint="eastAsia"/>
          <w:bCs/>
          <w:sz w:val="24"/>
          <w:szCs w:val="24"/>
        </w:rPr>
        <w:t>和股票</w:t>
      </w:r>
      <w:r>
        <w:rPr>
          <w:rFonts w:ascii="Times New Roman" w:eastAsia="宋体" w:hAnsi="Times New Roman" w:cs="Times New Roman"/>
          <w:bCs/>
          <w:sz w:val="24"/>
          <w:szCs w:val="24"/>
        </w:rPr>
        <w:t>，其收益水平会受到利率变化的影响。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、上市公司经营风险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信用风险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主要是指债务人的违约风险，若债务人经营不善，资不抵债，债权人可能会损失掉大部分的投资，这主要体现在企业债中。</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6</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购买力风险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基金的利润将主要通过现金形式来分配，而现金可能因为通货膨胀的影响而导致购买力下降，从而使基金的实际收益下降。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债券收益率曲线风险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债券收益率曲线风险是指与收益率曲线非平行移动有关的风险，单一的久期指标并不能充分反映这一风险的存在。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再投资风险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波动性风险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流动性风险</w:t>
      </w:r>
      <w:r>
        <w:rPr>
          <w:rFonts w:ascii="Times New Roman" w:eastAsia="宋体" w:hAnsi="Times New Roman" w:cs="Times New Roman"/>
          <w:b/>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、拟投资市场、行业及资产的流动性风险评估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）投资市场的流动性风险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主要投资于经中国证监会依法核准或注册的公开募集的基金份额、国内依法公开发行上市交易的股票（包括主板、科创板、创业板及其他中国证监会允许发行的股票）、存托凭证、港股通标的证券、债券、资产支持证券、债券回购、银行存款、同业存单</w:t>
      </w:r>
      <w:r>
        <w:rPr>
          <w:rFonts w:hint="eastAsia"/>
          <w:bCs/>
          <w:sz w:val="24"/>
        </w:rPr>
        <w:t>、货币市场工具</w:t>
      </w:r>
      <w:r>
        <w:rPr>
          <w:rFonts w:ascii="Times New Roman" w:eastAsia="宋体" w:hAnsi="Times New Roman" w:cs="Times New Roman" w:hint="eastAsia"/>
          <w:bCs/>
          <w:sz w:val="24"/>
          <w:szCs w:val="24"/>
        </w:rPr>
        <w:t>等投资品种。本基金投资于经中国证监会依法核准或注册的公开募集的基金份额的资产占基金资产的比例不低于</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。本基金投资于股票、存托凭证、股票型基金（含股票型指数基金）、偏股混合型基金等权益类资产合计占基金资产的比例为</w:t>
      </w:r>
      <w:r>
        <w:rPr>
          <w:rFonts w:ascii="Times New Roman" w:eastAsia="宋体" w:hAnsi="Times New Roman" w:cs="Times New Roman" w:hint="eastAsia"/>
          <w:bCs/>
          <w:sz w:val="24"/>
          <w:szCs w:val="24"/>
        </w:rPr>
        <w:t>5%-30%</w:t>
      </w:r>
      <w:r>
        <w:rPr>
          <w:rFonts w:ascii="Times New Roman" w:eastAsia="宋体" w:hAnsi="Times New Roman" w:cs="Times New Roman" w:hint="eastAsia"/>
          <w:bCs/>
          <w:sz w:val="24"/>
          <w:szCs w:val="24"/>
        </w:rPr>
        <w:t>，投资于</w:t>
      </w:r>
      <w:r>
        <w:rPr>
          <w:rFonts w:ascii="Times New Roman" w:eastAsia="宋体" w:hAnsi="Times New Roman" w:cs="Times New Roman" w:hint="eastAsia"/>
          <w:bCs/>
          <w:sz w:val="24"/>
          <w:szCs w:val="24"/>
        </w:rPr>
        <w:t>QDII</w:t>
      </w:r>
      <w:r>
        <w:rPr>
          <w:rFonts w:ascii="Times New Roman" w:eastAsia="宋体" w:hAnsi="Times New Roman" w:cs="Times New Roman" w:hint="eastAsia"/>
          <w:bCs/>
          <w:sz w:val="24"/>
          <w:szCs w:val="24"/>
        </w:rPr>
        <w:t>基金和香港互认基金的资产占基金资产的比例不高于</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，投资于货币市场基金的资产占基金资产的比例不高于</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。本基金投资于港股通标的股票的比例占股票资产的</w:t>
      </w:r>
      <w:r>
        <w:rPr>
          <w:rFonts w:ascii="Times New Roman" w:eastAsia="宋体" w:hAnsi="Times New Roman" w:cs="Times New Roman" w:hint="eastAsia"/>
          <w:bCs/>
          <w:sz w:val="24"/>
          <w:szCs w:val="24"/>
        </w:rPr>
        <w:t>0%-50%</w:t>
      </w:r>
      <w:r>
        <w:rPr>
          <w:rFonts w:ascii="Times New Roman" w:eastAsia="宋体" w:hAnsi="Times New Roman" w:cs="Times New Roman" w:hint="eastAsia"/>
          <w:bCs/>
          <w:sz w:val="24"/>
          <w:szCs w:val="24"/>
        </w:rPr>
        <w:t>。上述资产均在规范的交易场所，运作时间长，市场透明度较高，运作方式规范，历</w:t>
      </w:r>
      <w:r>
        <w:rPr>
          <w:rFonts w:ascii="Times New Roman" w:eastAsia="宋体" w:hAnsi="Times New Roman" w:cs="Times New Roman" w:hint="eastAsia"/>
          <w:bCs/>
          <w:sz w:val="24"/>
          <w:szCs w:val="24"/>
        </w:rPr>
        <w:lastRenderedPageBreak/>
        <w:t>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）投资行业的流动性风险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基金投资方面，</w:t>
      </w:r>
      <w:r>
        <w:rPr>
          <w:rFonts w:ascii="Times New Roman" w:eastAsia="宋体" w:hAnsi="Times New Roman" w:cs="Times New Roman" w:hint="eastAsia"/>
          <w:bCs/>
          <w:sz w:val="24"/>
          <w:szCs w:val="24"/>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股票投资方面，本基金注重控制股票市场下跌风险，力求分享股票市场成长收益。本基金的股票投资以价值选股、组合投资为原则，精选基本面良好、有长期投资价值的优质企业，并通过分散投资、组合投资，降低个股风险与集中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债券投资方面，本基金管理人将基于对国内外宏观经济形势的深入分析、国内财政政策与货币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因此本基金在投资运作过程中的行业配置较为灵活，在综合考虑宏观因素及行业基本面的前提下进行配置，行业分散度较高，受到单一行业流动性风险的影响较小。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）投资资产的流动性风险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本基金针对流动性较低资产的投资进行了严格的限制，以降低基金的流动性风险：本基金主动投资于流动性受限资产的市值合计不得超过基金资产净值的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；本基金投资于封闭运作基金、定期开放基金等流通受限基金（不包括</w:t>
      </w:r>
      <w:r>
        <w:rPr>
          <w:rFonts w:ascii="Times New Roman" w:eastAsia="宋体" w:hAnsi="Times New Roman" w:cs="Times New Roman" w:hint="eastAsia"/>
          <w:bCs/>
          <w:sz w:val="24"/>
          <w:szCs w:val="24"/>
        </w:rPr>
        <w:t>ETF</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LOF</w:t>
      </w:r>
      <w:r>
        <w:rPr>
          <w:rFonts w:ascii="Times New Roman" w:eastAsia="宋体" w:hAnsi="Times New Roman" w:cs="Times New Roman" w:hint="eastAsia"/>
          <w:bCs/>
          <w:sz w:val="24"/>
          <w:szCs w:val="24"/>
        </w:rPr>
        <w:t>等可上市交易的基金）的市值不超过本基金资产净值的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w:t>
      </w:r>
      <w:r>
        <w:rPr>
          <w:rFonts w:ascii="Times New Roman" w:eastAsia="宋体" w:hAnsi="Times New Roman" w:cs="Times New Roman"/>
          <w:bCs/>
          <w:sz w:val="24"/>
          <w:szCs w:val="24"/>
        </w:rPr>
        <w:t>为开放式基金</w:t>
      </w:r>
      <w:r>
        <w:rPr>
          <w:rFonts w:ascii="Times New Roman" w:eastAsia="宋体" w:hAnsi="Times New Roman" w:cs="Times New Roman" w:hint="eastAsia"/>
          <w:bCs/>
          <w:sz w:val="24"/>
          <w:szCs w:val="24"/>
        </w:rPr>
        <w:t>，本基金为保持较高的组合流动性，方便投资人安排投资，在遵守本基金有关投资限制与投资比例的前提下，将主要投资于高流动性的</w:t>
      </w:r>
      <w:r>
        <w:rPr>
          <w:rFonts w:ascii="Times New Roman" w:eastAsia="宋体" w:hAnsi="Times New Roman" w:cs="Times New Roman" w:hint="eastAsia"/>
          <w:bCs/>
          <w:sz w:val="24"/>
          <w:szCs w:val="24"/>
        </w:rPr>
        <w:lastRenderedPageBreak/>
        <w:t>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、本基金申购、赎回安排</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投资人在开放日办理基金份额的申购和赎回，但对每份基金份额设置</w:t>
      </w:r>
      <w:r>
        <w:rPr>
          <w:rFonts w:ascii="Times New Roman" w:eastAsia="宋体" w:hAnsi="Times New Roman" w:cs="Times New Roman"/>
          <w:bCs/>
          <w:sz w:val="24"/>
          <w:szCs w:val="24"/>
        </w:rPr>
        <w:t>3</w:t>
      </w:r>
      <w:r>
        <w:rPr>
          <w:rFonts w:ascii="Times New Roman" w:eastAsia="宋体" w:hAnsi="Times New Roman" w:cs="Times New Roman"/>
          <w:bCs/>
          <w:sz w:val="24"/>
          <w:szCs w:val="24"/>
        </w:rPr>
        <w:t>个月</w:t>
      </w:r>
      <w:r>
        <w:rPr>
          <w:rFonts w:ascii="Times New Roman" w:eastAsia="宋体" w:hAnsi="Times New Roman" w:cs="Times New Roman" w:hint="eastAsia"/>
          <w:bCs/>
          <w:sz w:val="24"/>
          <w:szCs w:val="24"/>
        </w:rPr>
        <w:t>的最短持有期限。为切实保护存量基金份额持有人的合法权益，遵循基金份额持有人利益优先原则，本基金管理人将合理控制基金份额持有人集中度，审慎确认申购赎回业务申请，包括但不限于：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）当发生大额申购或赎回情形时，基金管理人可以采用摆动定价机制，以确保基金估值的公平性。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）当前一估值日基金资产净值</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以上的资产出现无可参考的活跃市场价格且采用估值技术仍导致公允价值存在重大不确定性时，经与基金托管人协商确认后，基金管理人应当暂停接受基金申购申请、延缓支付赎回款项或暂停接受基金赎回申请。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具体措施</w:t>
      </w:r>
      <w:r>
        <w:rPr>
          <w:rFonts w:ascii="Times New Roman" w:eastAsia="宋体" w:hAnsi="Times New Roman" w:cs="Times New Roman" w:hint="eastAsia"/>
          <w:bCs/>
          <w:sz w:val="24"/>
          <w:szCs w:val="24"/>
        </w:rPr>
        <w:t>详见本招募说明书“</w:t>
      </w:r>
      <w:r>
        <w:rPr>
          <w:rFonts w:ascii="Times New Roman" w:eastAsia="宋体" w:hAnsi="Times New Roman" w:cs="Times New Roman" w:hint="eastAsia"/>
          <w:sz w:val="24"/>
          <w:szCs w:val="24"/>
        </w:rPr>
        <w:t>基金份额的申购与赎回</w:t>
      </w:r>
      <w:r>
        <w:rPr>
          <w:rFonts w:ascii="Times New Roman" w:eastAsia="宋体" w:hAnsi="Times New Roman" w:cs="Times New Roman" w:hint="eastAsia"/>
          <w:bCs/>
          <w:sz w:val="24"/>
          <w:szCs w:val="24"/>
        </w:rPr>
        <w:t>”部分。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、巨额赎回情形下流动性风险管理措施</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当本基金出现巨额赎回情形时，本基金管理人经内部决策后，将运用多种流动性风险管理工具对赎回申请进行适度调整，以应对流动性风险，保护基金份额持有人的利益，包括但不限于：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）全额赎回；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ascii="Times New Roman" w:eastAsia="宋体" w:hAnsi="Times New Roman" w:cs="Times New Roman"/>
          <w:bCs/>
          <w:sz w:val="24"/>
          <w:szCs w:val="24"/>
        </w:rPr>
        <w:t>10%</w:t>
      </w:r>
      <w:r>
        <w:rPr>
          <w:rFonts w:ascii="Times New Roman" w:eastAsia="宋体" w:hAnsi="Times New Roman" w:cs="Times New Roman" w:hint="eastAsia"/>
          <w:bCs/>
          <w:sz w:val="24"/>
          <w:szCs w:val="24"/>
        </w:rPr>
        <w:t>的前提下，可对其余赎回申请延期办理。若基金发生巨额赎回，在出现单个开放日内单个基金份额持有人申请赎回的基金份额超过前一开放日基金总份额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（“大额赎回申请人”）的情形下，基金管理人可以对大额赎回申请人的赎回申请延期办</w:t>
      </w:r>
      <w:r>
        <w:rPr>
          <w:rFonts w:ascii="Times New Roman" w:eastAsia="宋体" w:hAnsi="Times New Roman" w:cs="Times New Roman" w:hint="eastAsia"/>
          <w:bCs/>
          <w:sz w:val="24"/>
          <w:szCs w:val="24"/>
        </w:rPr>
        <w:lastRenderedPageBreak/>
        <w:t>理，即按照保护其他赎回申请人（“小额赎回申请人”）利益的原则，基金管理人可以优先确认小额赎回申请人的赎回申请；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）暂停赎回；</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）中国证监会认可的其他措施。</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具体措施详见本招募说明书“基金份额的申购与赎回”部分。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、实施备用的流动性风险管理工具的情形、程序及对投资者的潜在影响</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赎回申请、延缓支付赎回款项、暂停估值、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、实施侧袋机制对投资者的影响</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投资者具体请参见招募说明书“侧袋机制”部分，详细了解本基金侧袋机制的情形及程序。</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w:t>
      </w:r>
      <w:r>
        <w:rPr>
          <w:rFonts w:ascii="Times New Roman" w:eastAsia="宋体" w:hAnsi="Times New Roman" w:cs="Times New Roman" w:hint="eastAsia"/>
          <w:sz w:val="24"/>
          <w:szCs w:val="24"/>
        </w:rPr>
        <w:lastRenderedPageBreak/>
        <w:t>金管理人不承担任何保证和承诺的责任。</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基金管理人将根据主袋账户运作情况合理确定申购政策，因此实施侧袋机制后主袋账户份额存在暂停申购的可能。</w:t>
      </w:r>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操作风险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相关当事人在业务各环节操作过程中，因内部控制存在缺陷或者人为因素造成操作失误或违反操作规程等引致的风险，例如，越权违规交易、会计部门欺诈、交易错误、</w:t>
      </w:r>
      <w:r>
        <w:rPr>
          <w:rFonts w:ascii="Times New Roman" w:eastAsia="宋体" w:hAnsi="Times New Roman" w:cs="Times New Roman"/>
          <w:bCs/>
          <w:sz w:val="24"/>
          <w:szCs w:val="24"/>
        </w:rPr>
        <w:t>IT</w:t>
      </w:r>
      <w:r>
        <w:rPr>
          <w:rFonts w:ascii="Times New Roman" w:eastAsia="宋体" w:hAnsi="Times New Roman" w:cs="Times New Roman"/>
          <w:bCs/>
          <w:sz w:val="24"/>
          <w:szCs w:val="24"/>
        </w:rPr>
        <w:t>系统故障等风险。</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五</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管理风险</w:t>
      </w:r>
      <w:r>
        <w:rPr>
          <w:rFonts w:ascii="Times New Roman" w:eastAsia="宋体" w:hAnsi="Times New Roman" w:cs="Times New Roman"/>
          <w:b/>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在基金管理运作过程中，基金管理人的知识、技能、经验、判断等主观因素会影响其对相关信息和经济形势、证券价格走势的判断，从而影响基金收益水平。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、在符合本基金投资理念的新型投资工具出现和发展后，如果投资于这些工具，基金可能会面临一些特殊的风险。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、对主要业务人员如基金经理的依赖可能产生的风险。</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六</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合规性风险</w:t>
      </w:r>
      <w:r>
        <w:rPr>
          <w:rFonts w:ascii="Times New Roman" w:eastAsia="宋体" w:hAnsi="Times New Roman" w:cs="Times New Roman"/>
          <w:b/>
          <w:bCs/>
          <w:sz w:val="24"/>
          <w:szCs w:val="24"/>
        </w:rPr>
        <w:t xml:space="preserve"> </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、合规风险指基金管理或运作过程中，违反国家法律、法规的规定，或者违反基金合同有关规定的风险。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、因基金业务快速发展而在制度建设、人员配备、内控制度建立等方面不完善而产生的风险。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、因人为因素而产生的风险，如内幕交易、欺诈行为等产生的风险</w:t>
      </w:r>
      <w:r>
        <w:rPr>
          <w:rFonts w:ascii="Times New Roman" w:eastAsia="宋体" w:hAnsi="Times New Roman" w:cs="Times New Roman"/>
          <w:bCs/>
          <w:sz w:val="24"/>
          <w:szCs w:val="24"/>
        </w:rPr>
        <w:t>。</w:t>
      </w:r>
    </w:p>
    <w:p w:rsidR="0068684E" w:rsidRDefault="000021E4">
      <w:pPr>
        <w:spacing w:line="360" w:lineRule="auto"/>
        <w:ind w:firstLineChars="200" w:firstLine="482"/>
        <w:rPr>
          <w:rFonts w:ascii="Times New Roman" w:eastAsia="宋体" w:hAnsi="Times New Roman" w:cs="Times New Roman"/>
          <w:b/>
          <w:bCs/>
          <w:sz w:val="18"/>
          <w:szCs w:val="18"/>
        </w:rPr>
      </w:pPr>
      <w:r>
        <w:rPr>
          <w:rFonts w:ascii="Times New Roman" w:eastAsia="宋体" w:hAnsi="Times New Roman" w:cs="Times New Roman" w:hint="eastAsia"/>
          <w:b/>
          <w:bCs/>
          <w:sz w:val="24"/>
          <w:szCs w:val="24"/>
        </w:rPr>
        <w:t>（七）本基金法律文件风险收益特征表述与销售机构基金风险评价可能不一致的风险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w:t>
      </w:r>
      <w:r>
        <w:rPr>
          <w:rFonts w:ascii="Times New Roman" w:eastAsia="宋体" w:hAnsi="Times New Roman" w:cs="Times New Roman" w:hint="eastAsia"/>
          <w:bCs/>
          <w:sz w:val="24"/>
          <w:szCs w:val="24"/>
        </w:rPr>
        <w:lastRenderedPageBreak/>
        <w:t>风险级别评定划分，其风险评级结果所依据的评价要素可能更多、范围更广，与本基金法律文件中的风险收益特征或风险状况表述并不必然一致或存在对应关系。</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同时，不同销售机构因其采取的具体评价标准和方法的差异，对同一产品风险级别的评定也可能各有不同；销售机构还可能根据监管要求、市场变化及基金实际运作情况等适时调整对本基金的风险评级。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敬请投资者知悉，在购买本基金时按照销售机构的要求完成风险承受能力与产品风险之间的匹配检验，并须及时关注销售机构对于本基金风险评级的调整情况，自主作出投资决策。</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（八）基金管理人职责终止风险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rsidR="0068684E" w:rsidRDefault="000021E4">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九</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其他风险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不可抗力。战争、自然灾害等不可抗力可能导致基金资产的损失，影响基金收益水平，从而带来风险。基金管理人、基金托管人、证券交易所、登记结算机构和销售机构等可能因不可抗力无法正常工作，从而影响基金的各项业务按正常时限完成，使投资人和基金份额持有人无法及时查询权益、进行日常交易以致利益受损。</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技术风险。在本基金的投资、交易、服务与后台运作等业务过程中，可能因为技术系统的故障或者差错而影响交易的正常进行或者导致投资者的利益受到影响。这种技术风险可能来自基金管理人、基金托管人、销售机构、证券交易所、证券登记结算机构等等。</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、金融市场危机、行业竞争、代理商违约、基金托管人违约等超出基金管理人自身直接控制能力之外的风险，也可能导致基金或者基金份额持有人利益受损。</w:t>
      </w:r>
    </w:p>
    <w:p w:rsidR="0068684E" w:rsidRDefault="000021E4">
      <w:p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二、</w:t>
      </w:r>
      <w:r>
        <w:rPr>
          <w:rFonts w:ascii="宋体" w:eastAsia="宋体" w:hAnsi="宋体" w:cs="Times New Roman"/>
          <w:b/>
          <w:bCs/>
          <w:sz w:val="24"/>
          <w:szCs w:val="24"/>
        </w:rPr>
        <w:t>声明</w:t>
      </w:r>
    </w:p>
    <w:p w:rsidR="0068684E" w:rsidRDefault="000021E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投资者</w:t>
      </w:r>
      <w:r>
        <w:rPr>
          <w:rFonts w:ascii="宋体" w:eastAsia="宋体" w:hAnsi="宋体" w:cs="Times New Roman" w:hint="eastAsia"/>
          <w:sz w:val="24"/>
          <w:szCs w:val="24"/>
        </w:rPr>
        <w:t>自主</w:t>
      </w:r>
      <w:r>
        <w:rPr>
          <w:rFonts w:ascii="宋体" w:eastAsia="宋体" w:hAnsi="宋体" w:cs="Times New Roman"/>
          <w:sz w:val="24"/>
          <w:szCs w:val="24"/>
        </w:rPr>
        <w:t>投资于本基金，须自行承担投资风险</w:t>
      </w:r>
      <w:r>
        <w:rPr>
          <w:rFonts w:ascii="宋体" w:eastAsia="宋体" w:hAnsi="宋体" w:cs="Times New Roman" w:hint="eastAsia"/>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sz w:val="24"/>
          <w:szCs w:val="24"/>
        </w:rPr>
        <w:t>2、</w:t>
      </w:r>
      <w:r>
        <w:rPr>
          <w:rFonts w:ascii="宋体" w:eastAsia="宋体" w:hAnsi="宋体" w:cs="Times New Roman"/>
          <w:sz w:val="24"/>
          <w:szCs w:val="24"/>
        </w:rPr>
        <w:t>本基金通过基金管理人直销</w:t>
      </w:r>
      <w:r>
        <w:rPr>
          <w:rFonts w:ascii="宋体" w:eastAsia="宋体" w:hAnsi="宋体" w:cs="Times New Roman" w:hint="eastAsia"/>
          <w:sz w:val="24"/>
          <w:szCs w:val="24"/>
        </w:rPr>
        <w:t>机构</w:t>
      </w:r>
      <w:r>
        <w:rPr>
          <w:rFonts w:ascii="宋体" w:eastAsia="宋体" w:hAnsi="宋体" w:cs="Times New Roman"/>
          <w:sz w:val="24"/>
          <w:szCs w:val="24"/>
        </w:rPr>
        <w:t>和指定的</w:t>
      </w:r>
      <w:r>
        <w:rPr>
          <w:rFonts w:ascii="宋体" w:eastAsia="宋体" w:hAnsi="宋体" w:cs="Times New Roman" w:hint="eastAsia"/>
          <w:sz w:val="24"/>
          <w:szCs w:val="24"/>
        </w:rPr>
        <w:t>其他</w:t>
      </w:r>
      <w:r>
        <w:rPr>
          <w:rFonts w:ascii="宋体" w:eastAsia="宋体" w:hAnsi="宋体" w:cs="Times New Roman"/>
          <w:sz w:val="24"/>
          <w:szCs w:val="24"/>
        </w:rPr>
        <w:t>基金销</w:t>
      </w:r>
      <w:r>
        <w:rPr>
          <w:rFonts w:ascii="宋体" w:eastAsia="宋体" w:hAnsi="宋体" w:cs="Times New Roman" w:hint="eastAsia"/>
          <w:sz w:val="24"/>
          <w:szCs w:val="24"/>
        </w:rPr>
        <w:t>售</w:t>
      </w:r>
      <w:r>
        <w:rPr>
          <w:rFonts w:ascii="宋体" w:eastAsia="宋体" w:hAnsi="宋体" w:cs="Times New Roman"/>
          <w:sz w:val="24"/>
          <w:szCs w:val="24"/>
        </w:rPr>
        <w:t>机构公开发售，基</w:t>
      </w:r>
      <w:r>
        <w:rPr>
          <w:rFonts w:ascii="宋体" w:eastAsia="宋体" w:hAnsi="宋体" w:cs="Times New Roman"/>
          <w:sz w:val="24"/>
          <w:szCs w:val="24"/>
        </w:rPr>
        <w:lastRenderedPageBreak/>
        <w:t>金管理人与基金销</w:t>
      </w:r>
      <w:r>
        <w:rPr>
          <w:rFonts w:ascii="宋体" w:eastAsia="宋体" w:hAnsi="宋体" w:cs="Times New Roman" w:hint="eastAsia"/>
          <w:sz w:val="24"/>
          <w:szCs w:val="24"/>
        </w:rPr>
        <w:t>售</w:t>
      </w:r>
      <w:r>
        <w:rPr>
          <w:rFonts w:ascii="宋体" w:eastAsia="宋体" w:hAnsi="宋体" w:cs="Times New Roman"/>
          <w:sz w:val="24"/>
          <w:szCs w:val="24"/>
        </w:rPr>
        <w:t>机构都不保证其收益或本金安全。</w:t>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44"/>
          <w:sz w:val="24"/>
          <w:szCs w:val="20"/>
        </w:rPr>
        <w:br w:type="page"/>
      </w:r>
      <w:bookmarkStart w:id="126" w:name="_Toc208913392"/>
      <w:bookmarkStart w:id="127" w:name="_Toc9161"/>
      <w:bookmarkStart w:id="128" w:name="_Hlk58005597"/>
      <w:r>
        <w:rPr>
          <w:rFonts w:ascii="Times New Roman" w:eastAsia="宋体" w:hAnsi="Times New Roman" w:cs="Times New Roman" w:hint="eastAsia"/>
          <w:b/>
          <w:kern w:val="0"/>
          <w:sz w:val="32"/>
          <w:szCs w:val="20"/>
        </w:rPr>
        <w:lastRenderedPageBreak/>
        <w:t>第十八部分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基金合同的变更、终止与基金财产的清算</w:t>
      </w:r>
      <w:bookmarkEnd w:id="126"/>
      <w:bookmarkEnd w:id="127"/>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一、基金合同的变更</w:t>
      </w:r>
    </w:p>
    <w:p w:rsidR="0068684E" w:rsidRDefault="000021E4">
      <w:pPr>
        <w:autoSpaceDE w:val="0"/>
        <w:autoSpaceDN w:val="0"/>
        <w:adjustRightIn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、变更基金合同</w:t>
      </w:r>
      <w:r>
        <w:rPr>
          <w:rFonts w:ascii="宋体" w:eastAsia="宋体" w:hAnsi="宋体" w:cs="Times New Roman" w:hint="eastAsia"/>
          <w:bCs/>
          <w:sz w:val="24"/>
          <w:szCs w:val="24"/>
        </w:rPr>
        <w:t>涉及</w:t>
      </w:r>
      <w:r>
        <w:rPr>
          <w:rFonts w:ascii="宋体" w:eastAsia="宋体" w:hAnsi="宋体" w:cs="Times New Roman"/>
          <w:bCs/>
          <w:sz w:val="24"/>
          <w:szCs w:val="24"/>
        </w:rPr>
        <w:t>法律法规规定或</w:t>
      </w:r>
      <w:r>
        <w:rPr>
          <w:rFonts w:ascii="宋体" w:eastAsia="宋体" w:hAnsi="宋体" w:cs="Times New Roman" w:hint="eastAsia"/>
          <w:bCs/>
          <w:sz w:val="24"/>
          <w:szCs w:val="24"/>
        </w:rPr>
        <w:t>基金</w:t>
      </w:r>
      <w:r>
        <w:rPr>
          <w:rFonts w:ascii="宋体" w:eastAsia="宋体" w:hAnsi="宋体" w:cs="Times New Roman"/>
          <w:bCs/>
          <w:sz w:val="24"/>
          <w:szCs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、关于基金合同变更的基金份额持有人大会决议自生效后方可执行，自决议生效后两日内在规定媒介公告。</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二、基金合同的终止事由</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有下列情形之一的，</w:t>
      </w:r>
      <w:r>
        <w:rPr>
          <w:rFonts w:ascii="宋体" w:eastAsia="宋体" w:hAnsi="宋体" w:cs="Times New Roman" w:hint="eastAsia"/>
          <w:bCs/>
          <w:sz w:val="24"/>
          <w:szCs w:val="24"/>
        </w:rPr>
        <w:t>经履行相关程序后，</w:t>
      </w:r>
      <w:r>
        <w:rPr>
          <w:rFonts w:ascii="宋体" w:eastAsia="宋体" w:hAnsi="宋体" w:cs="Times New Roman"/>
          <w:bCs/>
          <w:sz w:val="24"/>
          <w:szCs w:val="24"/>
        </w:rPr>
        <w:t>基金合同应当终止：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、基金份额持有人大会决定终止的；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、基金管理人、基金托管人职责终止，在</w:t>
      </w:r>
      <w:r>
        <w:rPr>
          <w:rFonts w:ascii="Times New Roman" w:eastAsia="宋体" w:hAnsi="Times New Roman" w:cs="Times New Roman"/>
          <w:bCs/>
          <w:sz w:val="24"/>
          <w:szCs w:val="24"/>
        </w:rPr>
        <w:t>6</w:t>
      </w:r>
      <w:r>
        <w:rPr>
          <w:rFonts w:ascii="宋体" w:eastAsia="宋体" w:hAnsi="宋体" w:cs="Times New Roman"/>
          <w:bCs/>
          <w:sz w:val="24"/>
          <w:szCs w:val="24"/>
        </w:rPr>
        <w:t>个月内没有新基金管理人、新基金托管人承接的；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、基金合同约定的其他情形；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、相关法律法规和中国证监会规定的其他情况。</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三、基金财产的清算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、基金财产清算小组：自出现基金合同终止事由之日起</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个工作日内成立基金财产清算小组，基金管理人或临时基金管理人组织基金财产清算小组并在中国证监会的监督下进行基金清算。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、基金财产清算小组职责：基金财产清算小组负责基金财产的保管、清理、估价、变现和分配。基金财产清算小组可以依法进行必要的民事活动。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、基金财产清算程序：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）基金合同终止情形出现时，由基金财产清算小组统一接管基金财产；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2</w:t>
      </w:r>
      <w:r>
        <w:rPr>
          <w:rFonts w:ascii="宋体" w:eastAsia="宋体" w:hAnsi="宋体" w:cs="Times New Roman"/>
          <w:bCs/>
          <w:sz w:val="24"/>
          <w:szCs w:val="24"/>
        </w:rPr>
        <w:t>）对基金财产和债权债务进行清理和确认；</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3</w:t>
      </w:r>
      <w:r>
        <w:rPr>
          <w:rFonts w:ascii="宋体" w:eastAsia="宋体" w:hAnsi="宋体" w:cs="Times New Roman"/>
          <w:bCs/>
          <w:sz w:val="24"/>
          <w:szCs w:val="24"/>
        </w:rPr>
        <w:t>）对基金财产进行估值和变现；</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lastRenderedPageBreak/>
        <w:t>（</w:t>
      </w:r>
      <w:r>
        <w:rPr>
          <w:rFonts w:ascii="Times New Roman" w:eastAsia="宋体" w:hAnsi="Times New Roman" w:cs="Times New Roman"/>
          <w:bCs/>
          <w:sz w:val="24"/>
          <w:szCs w:val="24"/>
        </w:rPr>
        <w:t>4</w:t>
      </w:r>
      <w:r>
        <w:rPr>
          <w:rFonts w:ascii="宋体" w:eastAsia="宋体" w:hAnsi="宋体" w:cs="Times New Roman"/>
          <w:bCs/>
          <w:sz w:val="24"/>
          <w:szCs w:val="24"/>
        </w:rPr>
        <w:t>）制作清算报告；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5</w:t>
      </w:r>
      <w:r>
        <w:rPr>
          <w:rFonts w:ascii="宋体" w:eastAsia="宋体" w:hAnsi="宋体" w:cs="Times New Roman"/>
          <w:bCs/>
          <w:sz w:val="24"/>
          <w:szCs w:val="24"/>
        </w:rPr>
        <w:t>）聘请会计师事务所对清算报告进行外部审计，聘请律师事务所对清算报告出具法律意见书；</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6</w:t>
      </w:r>
      <w:r>
        <w:rPr>
          <w:rFonts w:ascii="宋体" w:eastAsia="宋体" w:hAnsi="宋体" w:cs="Times New Roman"/>
          <w:bCs/>
          <w:sz w:val="24"/>
          <w:szCs w:val="24"/>
        </w:rPr>
        <w:t>）将清算报告报中国证监会备案并公告</w:t>
      </w:r>
      <w:r>
        <w:rPr>
          <w:rFonts w:ascii="宋体" w:eastAsia="宋体" w:hAnsi="宋体"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7</w:t>
      </w:r>
      <w:r>
        <w:rPr>
          <w:rFonts w:ascii="宋体" w:eastAsia="宋体" w:hAnsi="宋体" w:cs="Times New Roman"/>
          <w:bCs/>
          <w:sz w:val="24"/>
          <w:szCs w:val="24"/>
        </w:rPr>
        <w:t>）对基金</w:t>
      </w:r>
      <w:r>
        <w:rPr>
          <w:rFonts w:ascii="宋体" w:eastAsia="宋体" w:hAnsi="宋体" w:cs="Times New Roman" w:hint="eastAsia"/>
          <w:bCs/>
          <w:sz w:val="24"/>
          <w:szCs w:val="24"/>
        </w:rPr>
        <w:t>剩余</w:t>
      </w:r>
      <w:r>
        <w:rPr>
          <w:rFonts w:ascii="宋体" w:eastAsia="宋体" w:hAnsi="宋体" w:cs="Times New Roman"/>
          <w:bCs/>
          <w:sz w:val="24"/>
          <w:szCs w:val="24"/>
        </w:rPr>
        <w:t>财产进行分配</w:t>
      </w:r>
      <w:r>
        <w:rPr>
          <w:rFonts w:ascii="宋体" w:eastAsia="宋体" w:hAnsi="宋体"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、基金财产清算的期限为</w:t>
      </w:r>
      <w:r>
        <w:rPr>
          <w:rFonts w:ascii="Times New Roman" w:eastAsia="宋体" w:hAnsi="Times New Roman" w:cs="Times New Roman" w:hint="eastAsia"/>
          <w:bCs/>
          <w:sz w:val="24"/>
          <w:szCs w:val="24"/>
        </w:rPr>
        <w:t>6</w:t>
      </w:r>
      <w:r>
        <w:rPr>
          <w:rFonts w:ascii="宋体" w:eastAsia="宋体" w:hAnsi="宋体" w:cs="Times New Roman"/>
          <w:bCs/>
          <w:sz w:val="24"/>
          <w:szCs w:val="24"/>
        </w:rPr>
        <w:t>个月，但因本基金所持基金、证券的流动性受到限制而不能及时变现的，清算期限相应顺延。</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四、清算费用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清算费用是指基金财产清算小组在进行基金财产清算过程中发生的所有合理费用，清算费用由基金财产清算小组优先从基金</w:t>
      </w:r>
      <w:r>
        <w:rPr>
          <w:rFonts w:ascii="宋体" w:eastAsia="宋体" w:hAnsi="宋体" w:cs="Times New Roman" w:hint="eastAsia"/>
          <w:bCs/>
          <w:sz w:val="24"/>
          <w:szCs w:val="24"/>
        </w:rPr>
        <w:t>剩余</w:t>
      </w:r>
      <w:r>
        <w:rPr>
          <w:rFonts w:ascii="宋体" w:eastAsia="宋体" w:hAnsi="宋体" w:cs="Times New Roman"/>
          <w:bCs/>
          <w:sz w:val="24"/>
          <w:szCs w:val="24"/>
        </w:rPr>
        <w:t>财产中支付。</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五、基金财产清算剩余资产的分配</w:t>
      </w:r>
    </w:p>
    <w:p w:rsidR="0068684E" w:rsidRDefault="000021E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六、基金财产清算的公告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清算过程中的有关重大事项须及时公告；基金财产清算报告经</w:t>
      </w:r>
      <w:r>
        <w:rPr>
          <w:rFonts w:ascii="宋体" w:eastAsia="宋体" w:hAnsi="宋体" w:cs="Times New Roman" w:hint="eastAsia"/>
          <w:bCs/>
          <w:sz w:val="24"/>
          <w:szCs w:val="24"/>
        </w:rPr>
        <w:t>符合《中华人民共和国证券法》规定的</w:t>
      </w:r>
      <w:r>
        <w:rPr>
          <w:rFonts w:ascii="宋体" w:eastAsia="宋体" w:hAnsi="宋体" w:cs="Times New Roman"/>
          <w:bCs/>
          <w:sz w:val="24"/>
          <w:szCs w:val="24"/>
        </w:rPr>
        <w:t>会计师事务所审计并由律师事务所出具法律意见书后</w:t>
      </w:r>
      <w:r>
        <w:rPr>
          <w:rFonts w:ascii="宋体" w:eastAsia="宋体" w:hAnsi="宋体" w:cs="Times New Roman" w:hint="eastAsia"/>
          <w:bCs/>
          <w:sz w:val="24"/>
          <w:szCs w:val="24"/>
        </w:rPr>
        <w:t>，由基金财产清算小组</w:t>
      </w:r>
      <w:r>
        <w:rPr>
          <w:rFonts w:ascii="宋体" w:eastAsia="宋体" w:hAnsi="宋体" w:cs="Times New Roman"/>
          <w:bCs/>
          <w:sz w:val="24"/>
          <w:szCs w:val="24"/>
        </w:rPr>
        <w:t>报中国证监会备案并公告。基金财产清算公告于基金财产清算报告报中国证监会备案后</w:t>
      </w:r>
      <w:r>
        <w:rPr>
          <w:rFonts w:ascii="Times New Roman" w:eastAsia="宋体" w:hAnsi="Times New Roman" w:cs="Times New Roman"/>
          <w:bCs/>
          <w:sz w:val="24"/>
          <w:szCs w:val="24"/>
        </w:rPr>
        <w:t>5</w:t>
      </w:r>
      <w:r>
        <w:rPr>
          <w:rFonts w:ascii="宋体" w:eastAsia="宋体" w:hAnsi="宋体" w:cs="Times New Roman"/>
          <w:bCs/>
          <w:sz w:val="24"/>
          <w:szCs w:val="24"/>
        </w:rPr>
        <w:t>个工作日内由基金财产清算小组进行公告</w:t>
      </w:r>
      <w:r>
        <w:rPr>
          <w:rFonts w:ascii="宋体" w:eastAsia="宋体" w:hAnsi="宋体" w:cs="Times New Roman" w:hint="eastAsia"/>
          <w:bCs/>
          <w:sz w:val="24"/>
          <w:szCs w:val="24"/>
        </w:rPr>
        <w:t>，基金财产清算小组应当将清算报告登载在规定网站上，并将清算报告提示性公告登载在规定报刊上</w:t>
      </w:r>
      <w:r>
        <w:rPr>
          <w:rFonts w:ascii="宋体" w:eastAsia="宋体" w:hAnsi="宋体" w:cs="Times New Roman"/>
          <w:bCs/>
          <w:sz w:val="24"/>
          <w:szCs w:val="24"/>
        </w:rPr>
        <w:t>。</w:t>
      </w:r>
    </w:p>
    <w:p w:rsidR="0068684E" w:rsidRDefault="000021E4">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七、基金财产清算账册及文件的保存</w:t>
      </w:r>
    </w:p>
    <w:p w:rsidR="0068684E" w:rsidRDefault="000021E4">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基金财产清算账册及有关文件由基金托管人保存</w:t>
      </w:r>
      <w:r>
        <w:rPr>
          <w:rFonts w:ascii="宋体" w:eastAsia="宋体" w:hAnsi="宋体" w:cs="Times New Roman" w:hint="eastAsia"/>
          <w:bCs/>
          <w:sz w:val="24"/>
          <w:szCs w:val="24"/>
        </w:rPr>
        <w:t>，保存期限不低于法律法规规定的期限。</w:t>
      </w:r>
    </w:p>
    <w:p w:rsidR="0068684E" w:rsidRDefault="0068684E">
      <w:pPr>
        <w:spacing w:line="360" w:lineRule="auto"/>
        <w:ind w:firstLineChars="200" w:firstLine="480"/>
        <w:rPr>
          <w:rFonts w:ascii="Times New Roman" w:eastAsia="宋体" w:hAnsi="Times New Roman" w:cs="Times New Roman"/>
          <w:bCs/>
          <w:sz w:val="24"/>
          <w:szCs w:val="24"/>
        </w:rPr>
      </w:pP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bCs/>
          <w:kern w:val="44"/>
          <w:sz w:val="24"/>
          <w:szCs w:val="20"/>
        </w:rPr>
        <w:br w:type="page"/>
      </w:r>
      <w:bookmarkStart w:id="129" w:name="_Toc208913393"/>
      <w:bookmarkStart w:id="130" w:name="_Toc22467"/>
      <w:bookmarkEnd w:id="128"/>
      <w:r>
        <w:rPr>
          <w:rFonts w:ascii="Times New Roman" w:eastAsia="宋体" w:hAnsi="Times New Roman" w:cs="Times New Roman" w:hint="eastAsia"/>
          <w:b/>
          <w:kern w:val="44"/>
          <w:sz w:val="32"/>
          <w:szCs w:val="20"/>
        </w:rPr>
        <w:lastRenderedPageBreak/>
        <w:t>第十九部分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基金合同的内容摘要</w:t>
      </w:r>
      <w:bookmarkEnd w:id="129"/>
      <w:bookmarkEnd w:id="130"/>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一、基金份额持有人、基金管理人和基金托管人的权利与义务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（一）基金份额持有人的权利与义务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除法律法规另有规定或基金合同另有约定外，同一类别每份基金份额具有同等的合法权益。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、根据《基金法》、《运作办法》及其他有关规定，基金份额持有人的权利包括但不限于：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）分享基金财产收益；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）参与分配清算后的剩余基金财产；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）依法转让或申请赎回其持有的基金份额；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）按照规定要求召开基金份额持有人大会或者召集基金份额持有人大会；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）出席或者委派代表出席基金份额持有人大会，对基金份额持有人大会审议事项行使表决权；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）查阅或者复制公开披露的基金信息资料；</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）监督基金管理人的投资运作；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）对基金管理人、基金托管人、基金服务机构损害其合法权益的行为依法提起诉讼或仲裁；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）法律法规及中国证监会规定的和基金合同约定的其他权利。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、根据《基金法》、《运作办法》及其他有关规定，基金份额持有人的义务包括但不限于：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）认真阅读并遵守基金合同、招募说明书、基金产品资料概要等信息披露文件；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）了解所投资基金产品，了解自身风险承受能力，自主判断基金的投资价值，自主做出投资决策，自行承担投资风险；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）关注基金信息披露，及时行使权利和履行义务；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）交纳基金认购、申购款项及法律法规和基金合同所规定的费用；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）在其持有的基金份额范围内，承担基金亏损或者基金合同终止的有限责任；</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）不从事任何有损基金及其他基金合同当事人合法权益的活动；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）执行生效的基金份额持有人大会的决议；</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）返还在基金交易过程中因任何原因获得的不当得利；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）法律法规及中国证监会规定的和基金合同约定的其他义务。</w:t>
      </w:r>
      <w:bookmarkStart w:id="131" w:name="_Hlt88825574"/>
      <w:bookmarkEnd w:id="131"/>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（二）基金管理人的权利与义务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、根据《基金法》、《运作办法》及其他有关规定，基金管理人的权利包括但不限于：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）依法募集资金；</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）自基金合同生效之日起，根据法律法规和基金合同独立运用并管理基金财产；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）依照基金合同收取基金管理费以及法律法规规定或中国证监会批准的其他费用；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）销售基金份额；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）按照规定召集基金份额持有人大会；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）在基金托管人更换时，提名新的基金托管人；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）选择、更换基金销售机构，对基金销售机构的相关行为进行监督和处理；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）担任或委托其他符合条件的机构担任基金登记机构办理基金登记业务并获得基金合同规定的费用；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）依据基金合同及有关法律规定决定基金收益的分配方案；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）在基金合同约定的范围内，拒绝或暂停受理申购、赎回或转换申请；</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）代表基金份额持有人的利益行使因基金财产投资于证券投资基金所产生的权利，基金合同另有约定的除外；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）依照法律法规为基金的利益对被投资公司行使股东权利，为基金的利益行使因基金财产投资于证券所产生的权利；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）在法律法规允许的前提下，为基金的利益依法为基金进行融资；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）以基金管理人的名义，代表基金份额持有人的利益行使诉讼权利或者实施其他法律行为；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）选择、更换律师事务所、会计师事务所、证券经纪商或其他为基金提供服务的外部机构；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）在符合有关法律、法规的前提下，制订和调整有关基金认购、申购、赎回、转换、非交易过户、转托管、定期定额投资、收益分配等业务规则；</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）法律法规及中国证监会规定的和基金合同约定的其他权利。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、根据《基金法》、《运作办法》及其他有关规定，基金管理人的义务包括但不限于：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）依法募集资金，办理或者委托经中国证监会认定的其他机构代为办理基金份额的发售、申购、赎回和登记事宜；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）办理基金备案手续；</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）自基金合同生效之日起，以诚实信用、谨慎勤勉的原则管理和运用基金财产；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）配备足够的具有专业资格的人员进行基金投资分析、决策，以专业化的经营方式管理和运作基金财产；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）建立健全内部风险控制、监察与稽核、财务管理及人事管理等制度，保证所管理的基金财产和基金管理人的财产相互独立，对所管理的不同基金分别管理，分别记账，进行基金、证券投资；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）除依据《基金法》、基金合同及其他有关规定外，不得利用基金财产为自己及任何第三人谋取利益，不得委托第三人运作基金财产；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）依法接受基金托管人的监督；</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）采取适当合理的措施使计算基金份额认购、申购、赎回和注销价格的方法符合基金合同等法律文件的规定，按有关规定计算并公告基金净值信息，确定基金份额申购、赎回的价格；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）进行基金会计核算并编制基金财务会计报告；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）编制季度报告、中期报告和年度报告；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）严格按照《基金法》、基金合同及其他有关规定，履行信息披露及报告义务；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保守基金商业秘密，不泄露基金投资计划、投资意向等。除《基金法》、基金合同及其他有关规定另有规定外，在基金信息公开披露前应予保密，不向他人泄露，但因向监管机构、司法机关等有权机关提供，或因审计、法律等外部专业顾问要求提供的情况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）按基金合同的约定确定基金收益分配方案，及时向基金份额持有人分配基金收益；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）按规定受理申购与赎回申请，及时、足额支付赎回款项；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）依据《基金法》、基金合同及其他有关规定召集基金份额持有人大会或配合基金托管人、基金份额持有人依法召集基金份额持有人大会；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）按规定保存基金财产管理业务活动的会计账册、报表、记录和其他相关资料，保存期限不少于法律法规的规定；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）组织并参加基金财产清算小组，参与基金财产的保管、清理、估价、变现和分配；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）面临解散、依法被撤销或者被依法宣告破产时，及时报告中国证监会并通知基金托管人；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）因违反基金合同导致基金财产的损失或损害基金份额持有人合法权益时，应当承担赔偿责任，其赔偿责任不因其退任而免除；</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21</w:t>
      </w:r>
      <w:r>
        <w:rPr>
          <w:rFonts w:ascii="Times New Roman" w:eastAsia="宋体" w:hAnsi="Times New Roman" w:cs="Times New Roman" w:hint="eastAsia"/>
          <w:bCs/>
          <w:sz w:val="24"/>
          <w:szCs w:val="24"/>
        </w:rPr>
        <w:t>）监督基金托管人按法律法规和基金合同规定履行自己的义务，基金托管人违反基金合同造成基金财产损失时，基金管理人应为基金份额持有人利益向基金托管人追偿；</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22</w:t>
      </w:r>
      <w:r>
        <w:rPr>
          <w:rFonts w:ascii="Times New Roman" w:eastAsia="宋体" w:hAnsi="Times New Roman" w:cs="Times New Roman" w:hint="eastAsia"/>
          <w:bCs/>
          <w:sz w:val="24"/>
          <w:szCs w:val="24"/>
        </w:rPr>
        <w:t>）当基金管理人将其义务委托第三方处理时，应当对第三方处理有关基金事务的行为承担责任；</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23</w:t>
      </w:r>
      <w:r>
        <w:rPr>
          <w:rFonts w:ascii="Times New Roman" w:eastAsia="宋体" w:hAnsi="Times New Roman" w:cs="Times New Roman" w:hint="eastAsia"/>
          <w:bCs/>
          <w:sz w:val="24"/>
          <w:szCs w:val="24"/>
        </w:rPr>
        <w:t>）以基金管理人名义，代表基金份额持有人利益行使诉讼权利或实施其</w:t>
      </w:r>
      <w:r>
        <w:rPr>
          <w:rFonts w:ascii="Times New Roman" w:eastAsia="宋体" w:hAnsi="Times New Roman" w:cs="Times New Roman" w:hint="eastAsia"/>
          <w:bCs/>
          <w:sz w:val="24"/>
          <w:szCs w:val="24"/>
        </w:rPr>
        <w:lastRenderedPageBreak/>
        <w:t>他法律行为；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）基金管理人在募集期间未能达到基金的备案条件，基金合同不能生效，基金管理人承担全部募集费用，将已募集资金并加计银行同期活期存款利息在基金募集期结束后</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日内退还基金认购人；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25</w:t>
      </w:r>
      <w:r>
        <w:rPr>
          <w:rFonts w:ascii="Times New Roman" w:eastAsia="宋体" w:hAnsi="Times New Roman" w:cs="Times New Roman" w:hint="eastAsia"/>
          <w:bCs/>
          <w:sz w:val="24"/>
          <w:szCs w:val="24"/>
        </w:rPr>
        <w:t>）执行生效的基金份额持有人大会的决议；</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26</w:t>
      </w:r>
      <w:r>
        <w:rPr>
          <w:rFonts w:ascii="Times New Roman" w:eastAsia="宋体" w:hAnsi="Times New Roman" w:cs="Times New Roman" w:hint="eastAsia"/>
          <w:bCs/>
          <w:sz w:val="24"/>
          <w:szCs w:val="24"/>
        </w:rPr>
        <w:t>）建立并保存基金份额持有人名册；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27</w:t>
      </w:r>
      <w:r>
        <w:rPr>
          <w:rFonts w:ascii="Times New Roman" w:eastAsia="宋体" w:hAnsi="Times New Roman" w:cs="Times New Roman" w:hint="eastAsia"/>
          <w:bCs/>
          <w:sz w:val="24"/>
          <w:szCs w:val="24"/>
        </w:rPr>
        <w:t>）法律法规及中国证监会规定的和基金合同约定的其他义务。</w:t>
      </w:r>
      <w:bookmarkStart w:id="132" w:name="_Hlt88897298"/>
      <w:bookmarkEnd w:id="132"/>
    </w:p>
    <w:p w:rsidR="0068684E" w:rsidRDefault="000021E4">
      <w:pPr>
        <w:spacing w:line="360" w:lineRule="auto"/>
        <w:ind w:firstLineChars="200" w:firstLine="480"/>
        <w:rPr>
          <w:rFonts w:ascii="Times New Roman" w:eastAsia="宋体" w:hAnsi="Times New Roman" w:cs="Times New Roman"/>
          <w:bCs/>
          <w:sz w:val="24"/>
          <w:szCs w:val="24"/>
        </w:rPr>
      </w:pPr>
      <w:bookmarkStart w:id="133" w:name="_Toc15118240"/>
      <w:r>
        <w:rPr>
          <w:rFonts w:ascii="Times New Roman" w:eastAsia="宋体" w:hAnsi="Times New Roman" w:cs="Times New Roman"/>
          <w:bCs/>
          <w:sz w:val="24"/>
          <w:szCs w:val="24"/>
        </w:rPr>
        <w:t>（三）基金托管人的权利与义务</w:t>
      </w:r>
      <w:bookmarkEnd w:id="133"/>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、根据《基金法》、《运作办法》及其他有关规定，基金托管人的权利包括但不限于：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）自基金合同生效之日起，依法律法规和基金合同的规定安全保管基金财产；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）依基金合同约定获得基金托管费以及法律法规规定或监管部门批准的其他费用；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）根据相关市场规则，为基金开设资金账户、证券账户等投资所需账户，为基金办理证券交易资金清算；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）提议召开或召集基金份额持有人大会；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）在基金管理人更换时，提名新的基金管理人；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7</w:t>
      </w:r>
      <w:r>
        <w:rPr>
          <w:rFonts w:ascii="Times New Roman" w:eastAsia="宋体" w:hAnsi="Times New Roman" w:cs="Times New Roman" w:hint="eastAsia"/>
          <w:bCs/>
          <w:sz w:val="24"/>
          <w:szCs w:val="24"/>
        </w:rPr>
        <w:t>）法律法规及中国证监会规定的和基金合同约定的其他权利。</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、根据《基金法》、《运作办法》及其他有关规定，基金托管人的义务包括但不限于：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）以诚实信用、勤勉尽责的原则持有并安全保管基金财产；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）设立专门的基金托管部门，具有符合要求的营业场所，配备足够的、合格的熟悉基金托管业务的专职人员，负责基金财产托管事宜；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）建立健全内部风险控制、监察与稽核、财务管理及人事管理等制度，确保基金财产的安全，保证其托管的基金财产与基金托管人自有财产以及不同的基</w:t>
      </w:r>
      <w:r>
        <w:rPr>
          <w:rFonts w:ascii="Times New Roman" w:eastAsia="宋体" w:hAnsi="Times New Roman" w:cs="Times New Roman" w:hint="eastAsia"/>
          <w:bCs/>
          <w:sz w:val="24"/>
          <w:szCs w:val="24"/>
        </w:rPr>
        <w:lastRenderedPageBreak/>
        <w:t>金财产相互独立；对所托管的不同的基金分别设置账户，独立核算，分账管理，保证不同基金之间在账户设置、资金划拨、账册记录等方面相互独立；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）除依据《基金法》、基金合同及其他有关规定外，不得利用基金财产为自己及任何第三人谋取利益，不得委托第三人托管基金财产；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）保管由基金管理人代表基金签订的与基金有关的重大合同及有关凭证；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）按规定开设基金财产的资金账户和证券账户等投资所需账户，按照基金合同的约定，根据基金管理人的投资指令，及时办理清算、交割事宜；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保守基金商业秘密，除《基金法》、基金合同及其他有关规定另有规定外，在基金信息公开披露前予以保密，不得向他人泄露，但因向监管机构、司法机关等有权机关提供，或因审计、法律等外部专业顾问要求提供的情况除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）复核、审查基金管理人计算的基金资产净值、各类基金份额净值、基金份额申购、赎回价格；</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）办理与基金托管业务活动有关的信息披露事项；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）保存基金托管业务活动的记录、账册、报表和其他相关资料，保存期限不少于法律法规的规定；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）从基金管理人或其委托的登记机构处接收并保存基金份额持有人名册；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）按规定制作相关账册并与基金管理人核对；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）依据基金管理人的指令或有关规定向基金份额持有人支付基金收益和赎回款项；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）依据《基金法》、基金合同及其他有关规定，召集基金份额持有人大会或配合基金管理人、基金份额持有人依法召集基金份额持有人大会；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）按照法律法规和基金合同的规定监督基金管理人的投资运作；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）参加基金财产清算小组，参与基金财产的保管、清理、估价、变现和分配；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）面临解散、依法被撤销或者被依法宣告破产时，及时报告中国证监会</w:t>
      </w:r>
      <w:r>
        <w:rPr>
          <w:rFonts w:ascii="Times New Roman" w:eastAsia="宋体" w:hAnsi="Times New Roman" w:cs="Times New Roman" w:hint="eastAsia"/>
          <w:bCs/>
          <w:sz w:val="24"/>
          <w:szCs w:val="24"/>
        </w:rPr>
        <w:lastRenderedPageBreak/>
        <w:t>和银行业监督管理机构，并通知基金管理人；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）因违反基金合同导致基金财产损失时，应承担赔偿责任，其赔偿责任不因其退任而免除；</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）按规定监督基金管理人按法律法规和基金合同规定履行自己的义务，基金管理人因违反基金合同造成基金财产损失时，应为基金份额持有人利益向基金管理人追偿；</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21</w:t>
      </w:r>
      <w:r>
        <w:rPr>
          <w:rFonts w:ascii="Times New Roman" w:eastAsia="宋体" w:hAnsi="Times New Roman" w:cs="Times New Roman" w:hint="eastAsia"/>
          <w:bCs/>
          <w:sz w:val="24"/>
          <w:szCs w:val="24"/>
        </w:rPr>
        <w:t>）执行生效的基金份额持有人大会的决议；</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22</w:t>
      </w:r>
      <w:r>
        <w:rPr>
          <w:rFonts w:ascii="Times New Roman" w:eastAsia="宋体" w:hAnsi="Times New Roman" w:cs="Times New Roman" w:hint="eastAsia"/>
          <w:bCs/>
          <w:sz w:val="24"/>
          <w:szCs w:val="24"/>
        </w:rPr>
        <w:t>）法律法规及中国证监会规定的和基金合同约定的其他义务。</w:t>
      </w:r>
      <w:bookmarkStart w:id="134" w:name="_Toc523711670"/>
    </w:p>
    <w:bookmarkEnd w:id="134"/>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二、基金份额持有人大会召集、议事及表决的程序和规则</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本基金基金份额持有人大会不设日常机构。若未来本基金基金份额持有人大会成立日常机构，则按照届时有效的法律法规的规定执行。</w:t>
      </w:r>
    </w:p>
    <w:p w:rsidR="0068684E" w:rsidRDefault="000021E4">
      <w:pPr>
        <w:spacing w:line="360" w:lineRule="auto"/>
        <w:ind w:firstLineChars="200" w:firstLine="480"/>
        <w:rPr>
          <w:rFonts w:ascii="Times New Roman" w:eastAsia="宋体" w:hAnsi="Times New Roman" w:cs="Times New Roman"/>
          <w:bCs/>
          <w:sz w:val="24"/>
          <w:szCs w:val="24"/>
        </w:rPr>
      </w:pPr>
      <w:bookmarkStart w:id="135" w:name="OLE_LINK102"/>
      <w:bookmarkStart w:id="136" w:name="OLE_LINK103"/>
      <w:r>
        <w:rPr>
          <w:rFonts w:ascii="Times New Roman" w:eastAsia="宋体" w:hAnsi="Times New Roman" w:cs="Times New Roman" w:hint="eastAsia"/>
          <w:bCs/>
          <w:sz w:val="24"/>
          <w:szCs w:val="24"/>
        </w:rPr>
        <w:t>（一）</w:t>
      </w:r>
      <w:bookmarkEnd w:id="135"/>
      <w:bookmarkEnd w:id="136"/>
      <w:r>
        <w:rPr>
          <w:rFonts w:ascii="Times New Roman" w:eastAsia="宋体" w:hAnsi="Times New Roman" w:cs="Times New Roman" w:hint="eastAsia"/>
          <w:bCs/>
          <w:sz w:val="24"/>
          <w:szCs w:val="24"/>
        </w:rPr>
        <w:t>召开事由</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、除法律法规、监管机构或基金合同另有规定的，当出现或需要决定下列事由之一的，应当召开基金份额持有人大会：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）终止基金合同；</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）更换基金管理人；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）更换基金托管人；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）转换基金运作方式；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）调整基金管理人、基金托管人的报酬标准或提高销售服务费率；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）变更基金类别；</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）本基金与其他基金的合并；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）变更基金投资目标、范围或策略；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）变更基金份额持有人大会程序；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）基金管理人或基金托管人要求召开基金份额持有人大会；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）单独或合计持有本基金总份额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）基金份额的基金份额持有人（以基金管理人收到提议当日的基金份额计算，下同）就同一事项书面</w:t>
      </w:r>
      <w:r>
        <w:rPr>
          <w:rFonts w:ascii="Times New Roman" w:eastAsia="宋体" w:hAnsi="Times New Roman" w:cs="Times New Roman" w:hint="eastAsia"/>
          <w:bCs/>
          <w:sz w:val="24"/>
          <w:szCs w:val="24"/>
        </w:rPr>
        <w:lastRenderedPageBreak/>
        <w:t>要求召开基金份额持有人大会；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）对基金合同当事人权利和义务产生重大影响的其他事项；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）法律法规、基金合同或中国证监会规定的其他应当召开基金份额持有人大会的事项。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、在法律法规规定和基金合同约定的范围内且对基金份额持有人利益无实质性不利影响的前提下，以下情况可由基金管理人和基金托管人协商后修改，不需召开基金份额持有人大会：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）法律法规要求增加的基金费用的收取；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）调整本基金的申购费率、调低销售服务费率或者变更收费方式；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）调整基金份额类别的设置，或对基金份额分类办法及规则进行调整；</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）因相应的法律法规发生变动而应当对基金合同进行修改；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）对基金合同的修改对基金份额持有人利益无实质性不利影响或修改不涉及基金合同当事人权利义务关系发生重大变化；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）基金管理人在履行适当程序后，基金推出新业务或新服务；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）基金管理人、基金登记机构在法律法规规定或中国证监会许可的范围内调整或修改《业务规则》，包括但不限于有关基金认购、申购、赎回、转换、基金交易、非交易过户、转托管、定期定额投资等内容；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）按照法律法规和基金合同规定不需召开基金份额持有人大会的其他情形。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（二）会议召集人及召集方式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、除法律法规规定或基金合同另有约定外，基金份额持有人大会由基金管理人召集。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、基金管理人未按规定召集或不能召集时，由基金托管人召集。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、基金托管人认为有必要召开基金份额持有人大会的，应当向基金管理人提出书面提议。基金管理人应当自收到书面提议之日起</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日内决定是否召集，并书面告知基金托管人。基金管理人决定召集的，应当自出具书面决定之日起</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日内召开；基金管理人决定不召集，基金托管人仍认为有必要召开的，应当由基金托管人自行召集，并自出具书面决定之日起</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日内召开并告知基金管理人，基金管理人应当配合。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、代表基金份额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）的基金份额持有人就同一事项书面要求</w:t>
      </w:r>
      <w:r>
        <w:rPr>
          <w:rFonts w:ascii="Times New Roman" w:eastAsia="宋体" w:hAnsi="Times New Roman" w:cs="Times New Roman" w:hint="eastAsia"/>
          <w:bCs/>
          <w:sz w:val="24"/>
          <w:szCs w:val="24"/>
        </w:rPr>
        <w:lastRenderedPageBreak/>
        <w:t>召开基金份额持有人大会，应当向基金管理人提出书面提议。基金管理人应当自收到书面提议之日起</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日内决定是否召集，并书面告知提出提议的基金份额持有人代表和基金托管人。基金管理人决定召集的，应当自出具书面决定之日起</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日内召开；基金管理人决定不召集，代表基金份额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）的基金份额持有人仍认为有必要召开的，应当向基金托管人提出书面提议。基金托管人应当自收到书面提议之日起</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日内决定是否召集，并书面告知提出提议的基金份额持有人代表和基金管理人；基金托管人决定召集的，应当自出具书面决定之日起</w:t>
      </w: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日内召开并告知基金管理人，基金管理人应当配合。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、代表基金份额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）的基金份额持有人就同一事项要求召开基金份额持有人大会，而基金管理人、基金托管人都不召集的，单独或合计代表基金份额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）的基金份额持有人有权自行召集，并至少提前</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日报中国证监会备案。基金份额持有人依法自行召集基金份额持有人大会的，基金管理人、基金托管人应当配合，不得阻碍、干扰。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、基金份额持有人会议的召集人负责选择确定开会时间、地点、方式和权益登记日。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（三）召开基金份额持有人大会的通知时间、通知内容、通知方式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、召开基金份额持有人大会，召集人应于会议召开前</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日，在规定媒介公告。基金份额持有人大会通知应至少载明以下内容：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）会议召开的时间、地点和会议形式；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）会议拟审议的事项、议事程序和表决方式；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）有权出席基金份额持有人大会的基金份额持有人的权益登记日；</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）授权委托证明的内容要求（包括但不限于代理人身份，代理权限和代理有效期限等）、送达时间和地点；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）会务常设联系人姓名及联系电话；</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）出席会议者必须准备的文件和必须履行的手续；</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）召集人需要通知的其他事项。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3</w:t>
      </w:r>
      <w:r>
        <w:rPr>
          <w:rFonts w:ascii="Times New Roman" w:eastAsia="宋体" w:hAnsi="Times New Roman" w:cs="Times New Roman"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（四）基金份额持有人出席会议的方式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基金份额持有人大会可通过现场开会方式、通讯开会方式或法律法规和监管机构允许的其他方式召开，会议的召开方式由会议召集人确定。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个月以后、</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在同时符合以下条件时，通讯开会的方式视为有效：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）会议召集人按基金合同约定公布会议通知后，在</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个工作日内连续公布相关提示性公告；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个月以后、</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）上述第（</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、在法律法规和监管机构允许的情况下，本基金的基金份额持有人亦可采用其他书面或非书面方式授权其代理人出席基金份额持有人大会并行使表决权，具体方式在会议通知中列明。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（五）议事内容与程序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、议事内容及提案权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w:t>
      </w:r>
      <w:r>
        <w:rPr>
          <w:rFonts w:ascii="Times New Roman" w:eastAsia="宋体" w:hAnsi="Times New Roman" w:cs="Times New Roman" w:hint="eastAsia"/>
          <w:bCs/>
          <w:sz w:val="24"/>
          <w:szCs w:val="24"/>
        </w:rPr>
        <w:lastRenderedPageBreak/>
        <w:t>论的其他事项。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基金份额持有人大会的召集人发出召集会议的通知后，对原有提案的修改应当在基金份额持有人大会召开前及时公告。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基金份额持有人大会不得对未事先公告的议事内容进行表决。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、议事程序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）现场开会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）通讯开会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在通讯开会的情况下，首先由召集人提前</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日公布提案，在所通知的表决截止日期后</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个工作日内在公证机关监督下由召集人统计全部有效表决，在公证机关监督下形成决议。</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（六）表决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基金份额持有人所持每份基金份额有一票表决权。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基金份额持有人大会决议分为一般决议和特别决议：</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、一般决议，一般决议须经参加大会的基金份额持有人或其代理人所持表决权的二分之一以上（含二分之一）通过方为有效；除下列第</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项所规定的须以特别决议通过事项以外的其他事项均以一般决议的方式通过。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、特别决议，特别决议应当经参加大会的基金份额持有人或其代理人所持表决权的三分之二以上（含三分之二）通过方可做出。除法律法规、监管机构另有规</w:t>
      </w:r>
      <w:r>
        <w:rPr>
          <w:rFonts w:ascii="Times New Roman" w:eastAsia="宋体" w:hAnsi="Times New Roman" w:cs="Times New Roman" w:hint="eastAsia"/>
          <w:bCs/>
          <w:sz w:val="24"/>
          <w:szCs w:val="24"/>
        </w:rPr>
        <w:lastRenderedPageBreak/>
        <w:t>定或基金合同另有约定外，转换基金运作方式、更换基金管理人或者基金托管人、终止基金合同、本基金与其他基金合并以特别决议通过方为有效。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基金份额持有人大会采取记名方式进行投票表决。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基金份额持有人大会的各项提案或同一项提案内并列的各项议题应当分开审议、逐项表决。</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在符合上述规则的前提下，具体规则以召集人发布的基金份额持有人大会通知为准。</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（七）计票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、现场开会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）监票人应当在基金份额持有人表决后立即进行清点并由大会主持人当场公布计票结果。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）计票过程应由公证机关予以公证，基金管理人或基金托管人拒不出席大会的，不影响计票的效力。</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、通讯开会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（八）生效与公告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基金份额持有人大会的决议，召集人应当自通过之日起</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日内报中国证监会备案。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基金份额持有人大会的决议自表决通过之日起生效。</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基金份额持有人大会决议自生效之日起</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日内在规定媒介上公告。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（九）实施侧袋机制期间基金份额持有人大会的特殊约定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、基金份额持有人行使提议权、召集权、提名权所需单独或合计代表相关基金份额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、现场开会的到会者在权益登记日代表的基金份额不少于本基金在权益登记日相关基金份额的二分之一（含二分之一）；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、通讯开会的直接出具表决意见或授权他人代表出具表决意见的基金份额持有人所持有的基金份额不小于在权益登记日相关基金份额的二分之一（含二分之一）；</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、若参与基金份额持有人大会投票的基金份额持有人所持有的基金份额小于在权益登记日相关基金份额的二分之一，召集人在原公告的基金份额持有人大会召开时间的</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个月以后、</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个月以内就原定审议事项重新召集的基金份额持有人大会应当有代表三分之一以上（含三分之一）相关基金份额的持有人参与或授权他人参与基金份额持有人大会投票；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5</w:t>
      </w:r>
      <w:r>
        <w:rPr>
          <w:rFonts w:ascii="Times New Roman" w:eastAsia="宋体" w:hAnsi="Times New Roman" w:cs="Times New Roman" w:hint="eastAsia"/>
          <w:bCs/>
          <w:sz w:val="24"/>
          <w:szCs w:val="24"/>
        </w:rPr>
        <w:t>、现场开会由出席大会的基金份额持有人和代理人所持表决权的二分之一以上（含二分之一）选举产生一名基金份额持有人作为该次基金份额持有人大会的主持人；</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、一般决议须经参加大会的基金份额持有人或其代理人所持表决权的二分之一以上（含二分之一）通过；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、特别决议应当经参加大会的基金份额持有人或其代理人所持表决权的三分之二以上（含三分之二）通过。</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侧袋机制实施期间，关于基金份额持有人大会的相关规定以本节特殊约定内容为准，本节没有规定的适用本部分的相关规定。</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rsidR="0068684E" w:rsidRDefault="000021E4">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bCs/>
          <w:sz w:val="24"/>
          <w:szCs w:val="24"/>
        </w:rPr>
        <w:t>（十一）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137" w:name="_Hlt88820702"/>
      <w:bookmarkEnd w:id="137"/>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三、</w:t>
      </w:r>
      <w:r>
        <w:rPr>
          <w:rFonts w:ascii="Times New Roman" w:eastAsia="宋体" w:hAnsi="Times New Roman" w:cs="Times New Roman" w:hint="eastAsia"/>
          <w:b/>
          <w:sz w:val="24"/>
          <w:szCs w:val="24"/>
        </w:rPr>
        <w:t>基金合同的变更、终止与基金财产的清算</w:t>
      </w:r>
    </w:p>
    <w:p w:rsidR="0068684E" w:rsidRDefault="000021E4">
      <w:pPr>
        <w:spacing w:line="360" w:lineRule="auto"/>
        <w:ind w:firstLineChars="200" w:firstLine="480"/>
        <w:rPr>
          <w:rFonts w:ascii="Times New Roman" w:eastAsia="宋体" w:hAnsi="Times New Roman" w:cs="Times New Roman"/>
          <w:bCs/>
          <w:sz w:val="24"/>
          <w:szCs w:val="24"/>
        </w:rPr>
      </w:pPr>
      <w:bookmarkStart w:id="138" w:name="_Toc79392639"/>
      <w:r>
        <w:rPr>
          <w:rFonts w:ascii="Times New Roman" w:eastAsia="宋体" w:hAnsi="Times New Roman" w:cs="Times New Roman"/>
          <w:bCs/>
          <w:sz w:val="24"/>
          <w:szCs w:val="24"/>
        </w:rPr>
        <w:t>（一）基金合同的变更</w:t>
      </w:r>
      <w:bookmarkEnd w:id="138"/>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、变更基金合同涉及法律法规规定或本基金合同约定应经基金份额持有人大</w:t>
      </w:r>
      <w:r>
        <w:rPr>
          <w:rFonts w:ascii="Times New Roman" w:eastAsia="宋体" w:hAnsi="Times New Roman" w:cs="Times New Roman" w:hint="eastAsia"/>
          <w:bCs/>
          <w:sz w:val="24"/>
          <w:szCs w:val="24"/>
        </w:rPr>
        <w:lastRenderedPageBreak/>
        <w:t>会决议通过的事项的，应召开基金份额持有人大会决议通过。对于法律法规规定和基金合同约定可不经基金份额持有人大会决议通过的事项，由基金管理人和基金托管人同意后变更并公告。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、关于基金合同变更的基金份额持有人大会决议自生效后方可执行，自决议生效后两日内在规定媒介公告。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（二）基金合同的终止事由</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有下列情形之一的，经履行相关程序后，基金合同应当终止：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、基金份额持有人大会决定终止的；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、基金管理人、基金托管人职责终止，在</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个月内没有新基金管理人、新基金托管人承接的；</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、基金合同约定的其他情形；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、相关法律法规和中国证监会规定的其他情况。</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（三）基金财产的清算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、基金财产清算小组：自出现基金合同终止事由之日起</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个工作日内成立基金财产清算小组，基金管理人或临时基金管理人组织基金财产清算小组并在中国证监会的监督下进行基金清算。</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、基金财产清算小组职责：基金财产清算小组负责基金财产的保管、清理、估价、变现和分配。基金财产清算小组可以依法进行必要的民事活动。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、基金财产清算程序：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）基金合同终止情形出现时，由基金财产清算小组统一接管基金财产；</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）对基金财产和债权债务进行清理和确认；</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）对基金财产进行估值和变现；</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）制作清算报告；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）聘请会计师事务所对清算报告进行外部审计，聘请律师事务所对清算报告出具法律意见书；</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）将清算报告报中国证监会备案并公告；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）对基金剩余财产进行分配。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、基金财产清算的期限为</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个月，但因本基金所持基金、证券的流动性受到限制而不能及时变现的，清算期限相应顺延。</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（四）清算费用</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清算费用是指基金财产清算小组在进行基金财产清算过程中发生的所有合理费用，清算费用由基金财产清算小组优先从基金剩余财产中支付。</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（五）基金财产清算剩余资产的分配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（六）基金财产清算的公告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个工作日内由基金财产清算小组进行公告，基金财产清算小组应当将清算报告登载在规定网站上，并将清算报告提示性公告登载在规定报刊上。</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（七）基金财产清算账册及文件的保存</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基金财产清算账册及有关文件由基金托管人保存，保存期限不低于法律法规规定的期限。</w:t>
      </w:r>
    </w:p>
    <w:p w:rsidR="0068684E" w:rsidRDefault="000021E4">
      <w:pPr>
        <w:spacing w:line="360" w:lineRule="auto"/>
        <w:ind w:firstLineChars="200" w:firstLine="482"/>
        <w:rPr>
          <w:rFonts w:ascii="Times New Roman" w:eastAsia="宋体" w:hAnsi="Times New Roman" w:cs="Times New Roman"/>
          <w:b/>
          <w:sz w:val="24"/>
          <w:szCs w:val="24"/>
        </w:rPr>
      </w:pPr>
      <w:bookmarkStart w:id="139" w:name="_Hlk68192592"/>
      <w:r>
        <w:rPr>
          <w:rFonts w:ascii="Times New Roman" w:eastAsia="宋体" w:hAnsi="Times New Roman" w:cs="Times New Roman"/>
          <w:b/>
          <w:sz w:val="24"/>
          <w:szCs w:val="24"/>
        </w:rPr>
        <w:t>四、争议解决方式</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裁定，仲裁费用和律师费用由败诉方承担。</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争议处理期间，基金管理人和基金托管人应恪守各自的职责，继续忠实、勤勉、尽责地履行基金合同规定的义务，维护基金份额持有人的合法权益。</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基金合同受中国法律（为本基金合同之目的，不包括香港特别行政区、澳门</w:t>
      </w:r>
      <w:r>
        <w:rPr>
          <w:rFonts w:ascii="Times New Roman" w:eastAsia="宋体" w:hAnsi="Times New Roman" w:cs="Times New Roman" w:hint="eastAsia"/>
          <w:b/>
          <w:sz w:val="24"/>
          <w:szCs w:val="24"/>
        </w:rPr>
        <w:lastRenderedPageBreak/>
        <w:t>特别行政区和台湾地区法律）管辖并从其解释。</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五、基金合同存放地和投资者取得基金合同的方式</w:t>
      </w:r>
    </w:p>
    <w:p w:rsidR="0068684E" w:rsidRDefault="000021E4">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基金合同可印制成册，供投资者在基金管理人、基金托管人、销售机构的办公场所和营业场所查阅。</w:t>
      </w:r>
      <w:bookmarkEnd w:id="139"/>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bCs/>
          <w:kern w:val="44"/>
          <w:sz w:val="24"/>
          <w:szCs w:val="20"/>
        </w:rPr>
        <w:br w:type="page"/>
      </w:r>
      <w:bookmarkStart w:id="140" w:name="_Toc208913394"/>
      <w:bookmarkStart w:id="141" w:name="_Toc12579"/>
      <w:r>
        <w:rPr>
          <w:rFonts w:ascii="Times New Roman" w:eastAsia="宋体" w:hAnsi="Times New Roman" w:cs="Times New Roman" w:hint="eastAsia"/>
          <w:b/>
          <w:kern w:val="44"/>
          <w:sz w:val="32"/>
          <w:szCs w:val="20"/>
        </w:rPr>
        <w:lastRenderedPageBreak/>
        <w:t>第二十部分</w:t>
      </w:r>
      <w:r>
        <w:rPr>
          <w:rFonts w:ascii="Times New Roman" w:eastAsia="宋体" w:hAnsi="Times New Roman" w:cs="Times New Roman"/>
          <w:b/>
          <w:kern w:val="44"/>
          <w:sz w:val="32"/>
          <w:szCs w:val="20"/>
        </w:rPr>
        <w:t xml:space="preserve">  </w:t>
      </w:r>
      <w:bookmarkStart w:id="142" w:name="OLE_LINK104"/>
      <w:bookmarkStart w:id="143" w:name="OLE_LINK105"/>
      <w:r>
        <w:rPr>
          <w:rFonts w:ascii="Times New Roman" w:eastAsia="宋体" w:hAnsi="Times New Roman" w:cs="Times New Roman" w:hint="eastAsia"/>
          <w:b/>
          <w:kern w:val="44"/>
          <w:sz w:val="32"/>
          <w:szCs w:val="20"/>
        </w:rPr>
        <w:t>基金托管协议的内容摘要</w:t>
      </w:r>
      <w:bookmarkEnd w:id="140"/>
      <w:bookmarkEnd w:id="141"/>
    </w:p>
    <w:p w:rsidR="0068684E" w:rsidRDefault="000021E4">
      <w:pPr>
        <w:spacing w:line="360" w:lineRule="auto"/>
        <w:ind w:firstLine="480"/>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一、托管协议当事人</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（一）基金管理人（或简称“管理人”）</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名称：富国基金管理有限公司</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住所：中国（上海）自由贸易试验区世纪大道1196号世纪汇办公楼二座27-30层</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法定代表人：裴长江</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设立日期：1999年4月13日</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批准设立机关及批准设立文号：中国证券监督管理委员会证监基金字【1999】11号</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组织形式：有限责任公司</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注册资本：人民币5.2亿元</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存续期限：持续经营</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联系电话：021-20361818</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（二）基金托管人（或简称“托管人”）</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名称：中国银行股份有限公司</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住所：北京市西城区复兴门内大街1号</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法定代表人:葛海蛟</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成立时间：1983年10月31日</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基金托管业务批准文号：中国证监会证监基字【1998】24号</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组织形式：股份有限公司</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注册资本：人民币贰仟玖佰肆拾叁亿捌仟柒佰柒拾玖万壹仟贰佰肆拾壹元整</w:t>
      </w:r>
    </w:p>
    <w:p w:rsidR="0068684E" w:rsidRDefault="000021E4">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w:t>
      </w:r>
      <w:r>
        <w:rPr>
          <w:rFonts w:ascii="宋体" w:eastAsia="宋体" w:hAnsi="宋体" w:cs="Times New Roman" w:hint="eastAsia"/>
          <w:sz w:val="24"/>
          <w:szCs w:val="24"/>
        </w:rPr>
        <w:lastRenderedPageBreak/>
        <w:t>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68684E" w:rsidRDefault="000021E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存续期间：持续经营</w:t>
      </w:r>
    </w:p>
    <w:p w:rsidR="0068684E" w:rsidRDefault="000021E4">
      <w:pPr>
        <w:spacing w:line="360" w:lineRule="auto"/>
        <w:ind w:firstLineChars="200" w:firstLine="482"/>
        <w:rPr>
          <w:rFonts w:ascii="Times New Roman" w:eastAsia="宋体" w:hAnsi="宋体" w:cs="Times New Roman"/>
          <w:sz w:val="24"/>
          <w:szCs w:val="24"/>
        </w:rPr>
      </w:pPr>
      <w:r>
        <w:rPr>
          <w:rFonts w:ascii="Times New Roman" w:eastAsia="宋体" w:hAnsi="Times New Roman" w:cs="Times New Roman" w:hint="eastAsia"/>
          <w:b/>
          <w:bCs/>
          <w:kern w:val="0"/>
          <w:sz w:val="24"/>
          <w:szCs w:val="24"/>
        </w:rPr>
        <w:t>二、基金托管人对基金管理人的业务监督和核查</w:t>
      </w:r>
      <w:bookmarkStart w:id="144" w:name="_Toc382819073"/>
    </w:p>
    <w:bookmarkEnd w:id="144"/>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（一）基金托管人根据有关法律法规的规定对基金管理人的下列投资运作进行监督：</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1、对基金的投资范围、投资对象进行监督。</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的投资范围包括经中国证监会依法核准或注册的公开募集的基金份额（包括商品基金（含商品期货基金和黄金ETF，下同）、QDII基金、香港互认基金、公开募集基础设施证券投资基金（以下简称“公募REITs”））、国内依法公开发行上市交易的股票（包括主板、科创板、创业板及其他中国证监会允许发行的股票）、存托凭证、港股通标的证券（包括股票和ETF）、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如法律法规或监管机构以后允许基金投资其他品种，基金管理人在履行适当程序后，可以将其纳入投资范围。</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的投资组合比例为：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投资于港股通标的股票的比例占股票资产的0%-50%。本基金应当保持不低于基金资产净值5%的现金或者到期日在一年以内的政府债券；其中，现金不包括结算备付金、存出保证金、应收申购款等。其中，计入上述权益类资产的偏股混合型基金</w:t>
      </w:r>
      <w:r>
        <w:rPr>
          <w:rFonts w:ascii="宋体" w:eastAsia="宋体" w:hAnsi="宋体" w:cs="Arial" w:hint="eastAsia"/>
          <w:sz w:val="24"/>
          <w:szCs w:val="24"/>
        </w:rPr>
        <w:lastRenderedPageBreak/>
        <w:t>需符合下列两个条件之一：</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（1）基金合同约定股票及存托凭证资产投资比例不低于基金资产60%的混合型基金；</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 xml:space="preserve">（2）根据基金披露的定期报告，最近四个季度股票及存托凭证资产占基金资产比例均不低于60%的混合型基金。 </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如果法律法规或监管机构对该比例要求有变更的，在履行适当程序后，以变更后的比例为准，本基金的投资比例会做相应调整。</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2、对基金投融资比例进行监督；</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本基金投资于经中国证监会依法核准或注册的公开募集的基金份额的资产占基金资产的比例不低于80%，其中，投资于QDII基金和香港互认基金的资产占基金资产的比例不高于20%，投资于货币市场基金的资产占基金资产的比例不高于15%；</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（2）本基金投资于股票、存托凭证、股票型基金（含股票型指数基金）、偏股混合型基金等权益类资产合计占基金资产的比例为5%-30%；其中，计入上述权益类资产的偏股混合型基金需符合下列两个条件之一：</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1）基金合同约定股票及存托凭证资产投资比例不低于基金资产60%的混合型基金；</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2）根据基金披露的定期报告，最近四个季度股票及存托凭证资产占基金资产比例均不低于60%的混合型基金；</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（3）本基金港股通标的股票投资占股票资产的比例为0%-50%；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（4）本基金持有的现金或者到期日在一年以内的政府债券不低于基金资产净值的5%，其中现金不包括结算备付金、存出保证金、应收申购款等；</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（5）本基金持有单只基金的市值不高于本基金资产净值的20%，且不得持有其他基金中基金；</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（6）本基金管理人管理且由本基金托管人托管的全部基金（ETF联接基金除外）持有单只基金不得超过被投资基金净资产的20%，被投资基金净资产规模以最近定期报告披露的规模为准；</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 xml:space="preserve">（7）本基金投资其他基金，被投资基金的运作期限应当不少于1年、最近定期报告披露的基金净资产应当不低于1亿元； </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（8）本基金投资于封闭运作基金、定期开放基金等流通受限基金（不包括ETF、LOF等可上市交易的基金）的市值不超过本基金资产净值的10%；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（9）本基金持有一家公司发行的证券（不含证券投资基金），其市值（同一家公司在内地和香港同时上市的A+H股合计计算）不超过基金资产净值的10%；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 xml:space="preserve">（10）本基金管理人管理且由本基金托管人托管的全部基金持有一家公司发行的证券（不含证券投资基金）（同一家公司在内地和香港同时上市的A+H股合计计算），不超过该证券的10%；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（11）本基金投资于同一原始权益人的各类资产支持证券的比例，不得超过基金资产净值的10%；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（12）本基金持有的全部资产支持证券，其市值不得超过基金资产净值的20%；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（13）本基金持有的同一（指同一信用级别）资产支持证券的比例，不得超过该资产支持证券规模的10%；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（14）本基金管理人管理且由本基金托管人托管的全部基金投资于同一原始权益人的各类资产支持证券，不得超过其各类资产支持证券合计规模的10%；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（15）本基金应投资于信用级别评级为BBB以上（含BBB）的资产支持证券。基金持有资产支持证券期间，如果其信用等级下降、不再符合投资标准，应在评级报告发布之日起3个月内予以全部卖出；</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（16）基金财产参与股票发行申购，本基金所申报的金额不超过本基金的总资产，本基金所申报的股票数量不超过拟发行股票公司本次发行股票的总量；</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（17）本基金资产总值不得超过基金资产净值的140%；</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18）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w:t>
      </w:r>
      <w:r>
        <w:rPr>
          <w:rFonts w:ascii="宋体" w:eastAsia="宋体" w:hAnsi="宋体" w:cs="Arial" w:hint="eastAsia"/>
          <w:sz w:val="24"/>
          <w:szCs w:val="24"/>
        </w:rPr>
        <w:lastRenderedPageBreak/>
        <w:t>的投资；</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（19）本基金与私募类证券资管产品及中国证监会认定的其他主体为交易对手开展逆回购交易的，可接受质押品的资质要求应当与基金合同约定的投资范围保持一致；</w:t>
      </w:r>
    </w:p>
    <w:p w:rsidR="0068684E" w:rsidRDefault="000021E4">
      <w:pPr>
        <w:spacing w:line="360" w:lineRule="auto"/>
        <w:ind w:firstLineChars="200" w:firstLine="480"/>
        <w:rPr>
          <w:rFonts w:ascii="宋体" w:eastAsia="宋体" w:hAnsi="宋体" w:cs="Arial"/>
          <w:sz w:val="24"/>
          <w:szCs w:val="24"/>
        </w:rPr>
      </w:pPr>
      <w:bookmarkStart w:id="145" w:name="OLE_LINK122"/>
      <w:bookmarkStart w:id="146" w:name="OLE_LINK123"/>
      <w:r>
        <w:rPr>
          <w:rFonts w:ascii="宋体" w:eastAsia="宋体" w:hAnsi="宋体" w:cs="Arial" w:hint="eastAsia"/>
          <w:sz w:val="24"/>
          <w:szCs w:val="24"/>
        </w:rPr>
        <w:t>（20）本基金投资存托凭证的比例限制依照境内上市交易的股票执行，并与境内上市交易的股票合并计算，法律法规或监管机构另有规定的从其规定；</w:t>
      </w:r>
    </w:p>
    <w:bookmarkEnd w:id="145"/>
    <w:bookmarkEnd w:id="146"/>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（21）法律法规及中国证监会规定的其他投资比例限制。</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因证券市场波动、证券发行人合并、基金规模变动等基金管理人之外的因素致使基金投资比例不符合上述第（5）、（6）项规定投资比例的，基金管理人应当在被投资基金可交易或可赎回之日起20个交易日内进行调整，对于除第（4）-（6）、（15）、（18）和（19）项规定的其他情形，基金管理人应当在被投资证券或基金可交易或可赎回之日起10个交易日内进行调整，但中国证监会规定的特殊情形除外。法律法规另有规定的，从其规定。</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基金管理人应当自基金合同生效之日起6个月内使基金的投资组合比例符合基金合同的有关约定。在上述期间内，本基金的投资范围、投资策略应当符合基金合同的约定。</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基金托管人对基金的投资的监督与检查自基金合同生效之日起开始。</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法律法规或监管部门取消或变更上述限制，如适用于本基金，基金管理人在履行适当程序后，则本基金投资不再受相关限制或以变更后的规定为准，但须提前公告。</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本基金投资基金管理人或基金管理人关联方管理的基金的情况，不属于前述重大关联交易，但是应当按照法律法规或监管规定的要求履行信息披露义务。</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二）基金托管人应根据有关法律法规的规定及《基金合同》的约定，对基金资产净值计算、各类基金份额净值计算、应收资金到账、基金费用开支及收入确定、基金收益分配、相关信息披露及基金宣传推介材料中登载基金业绩表现数据等进行复核。</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Arial" w:hint="eastAsia"/>
          <w:sz w:val="24"/>
          <w:szCs w:val="24"/>
        </w:rPr>
        <w:t>（五）基金管理人应积极配合和协助基金托管人的监督和核查，包括但不限于：在规定时间内答复基金托管人并改正，就基金托管人的疑义进行解释或举证，提供相关数据资料和制度等。</w:t>
      </w:r>
    </w:p>
    <w:p w:rsidR="0068684E" w:rsidRDefault="000021E4">
      <w:pPr>
        <w:spacing w:line="360" w:lineRule="auto"/>
        <w:ind w:firstLineChars="200" w:firstLine="482"/>
        <w:rPr>
          <w:rFonts w:ascii="Times New Roman" w:eastAsia="宋体" w:hAnsi="Times New Roman" w:cs="Times New Roman"/>
          <w:bCs/>
          <w:kern w:val="0"/>
          <w:sz w:val="24"/>
          <w:szCs w:val="24"/>
        </w:rPr>
      </w:pPr>
      <w:r>
        <w:rPr>
          <w:rFonts w:ascii="Times New Roman" w:eastAsia="宋体" w:hAnsi="Times New Roman" w:cs="Times New Roman" w:hint="eastAsia"/>
          <w:b/>
          <w:bCs/>
          <w:kern w:val="0"/>
          <w:sz w:val="24"/>
          <w:szCs w:val="24"/>
        </w:rPr>
        <w:t>三、基金管理人对基金托管人的业务核查</w:t>
      </w:r>
    </w:p>
    <w:p w:rsidR="0068684E" w:rsidRDefault="000021E4">
      <w:pPr>
        <w:spacing w:line="360" w:lineRule="auto"/>
        <w:ind w:firstLineChars="200" w:firstLine="480"/>
        <w:rPr>
          <w:rFonts w:ascii="宋体" w:eastAsia="宋体" w:hAnsi="宋体" w:cs="Arial"/>
          <w:sz w:val="24"/>
          <w:szCs w:val="24"/>
        </w:rPr>
      </w:pPr>
      <w:bookmarkStart w:id="147" w:name="OLE_LINK109"/>
      <w:bookmarkStart w:id="148" w:name="OLE_LINK108"/>
      <w:r>
        <w:rPr>
          <w:rFonts w:ascii="宋体" w:eastAsia="宋体" w:hAnsi="宋体" w:cs="Arial" w:hint="eastAsia"/>
          <w:sz w:val="24"/>
          <w:szCs w:val="24"/>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w:t>
      </w:r>
      <w:r>
        <w:rPr>
          <w:rFonts w:ascii="宋体" w:eastAsia="宋体" w:hAnsi="宋体" w:cs="Arial" w:hint="eastAsia"/>
          <w:sz w:val="24"/>
          <w:szCs w:val="24"/>
        </w:rPr>
        <w:lastRenderedPageBreak/>
        <w:t>人改正。基金托管人对基金管理人通知的违规事项未能在限期内纠正的，基金管理人应依照法律法规的规定报告中国证监会。</w:t>
      </w:r>
    </w:p>
    <w:p w:rsidR="0068684E" w:rsidRDefault="000021E4">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3、基金托管人应积极配合基金管理人的核查行为，包括但不限于：提交相关资料以供基金管理人核查托管财产的完整性和真实性，在规定时间内答复基金管理人并改正。</w:t>
      </w:r>
    </w:p>
    <w:p w:rsidR="0068684E" w:rsidRDefault="000021E4">
      <w:pPr>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四、基金财产的保管</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（一）基金财产保管的原则</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1、基金财产应独立于基金管理人、基金托管人的固有财产。</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2、基金托管人应安全保管基金财产，未经基金管理人的合法合规指令或法律法规、《基金合同》及本协议另有规定，不得自行运用、处分、分配基金的任何财产。</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3、基金托管人按照规定开设基金财产的资金账户和证券账户等投资所需账户。</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4、基金托管人对所托管的不同基金财产分别设置账户，确保基金财产的完整与独立。</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5、除依据《基金法》、《运作办法》、《基金合同》及其他有关法律法规规定外，基金托管人不得委托第三人托管基金财产。</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（二）基金合同生效前募集资金的验资和入账</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募集期满或基金管理人宣布停止募集时，募集的基金份额总额、基金募集金额、基金份额持有人人数符合《基金法》、《运作办法》等有关规定的，由基金管理人在法定期限内聘请符合《中华人民共和国证券法》规定的会计师事务所对基金进行验资，并出具验资报告，出具的验资报告应由参加验资的2名以上（含2名）中国注册会计师签字方为有效。</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2、基金管理人应将属于本基金财产的全部资金划入在基金托管人处为本基金开立的基金银行账户中，并确保划入的资金与验资确认金额相一致。</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（三）基金的银行账户的开设和管理</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1、基金托管人应负责本基金的银行账户的开设和管理。</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3、本基金银行账户的开立和使用，限于满足开展本基金业务的需要。基金托管人和基金管理人不得假借本基金的名义开立其他任何银行账户；亦不得使用本基金的银行账户进行本基金业务以外的活动。</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4、基金银行账户的管理应符合法律法规的有关规定。</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（四）基金进行定期存款投资的账户开设和管理</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（五）基金证券账户、结算备付金账户及其他投资账户的开设和管理</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1、基金托管人应当代表本基金，以基金托管人和本基金联名的方式在中国证券登记结算有限责任公司开设证券账户。</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2、本基金证券账户的开立和使用，限于满足开展本基金业务的需要。基金托管人和基金管理人不得出借或转让本基金的证券账户，亦不得使用本基金的证券账户进行本基金业务以外的活动。</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4、在本托管协议生效日之后，本基金被允许从事其他投资品种的投资业务的，涉及相关账户的开设、使用的，若无相关规定，则基金托管人应当比照并遵守上述关于账户开设、使用的规定。</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（六）债券托管专户的开设和管理</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（七）基金财产投资的有关有价凭证的保管</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基金财产投资的实物证券、银行定期存款存单等有价凭证由基金托管人负责妥善保管。基金托管人对其以外机构实际有效控制的有价凭证不承担责任。</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（八）与基金财产有关的重大合同及有关凭证的保管</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尽可能保证基金一方持有两份以上的正本，以便基金管理人和基金托管人至少各持有一份正本的原件。重大合同由基金管理人与基金托管人按规定各自保管，保管期限不少于法律法规的规定。</w:t>
      </w:r>
    </w:p>
    <w:p w:rsidR="0068684E" w:rsidRDefault="000021E4">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Arial" w:hint="eastAsia"/>
          <w:sz w:val="24"/>
          <w:szCs w:val="24"/>
        </w:rPr>
        <w:t>对于无法取得二份以上的正本的，基金管理人应向基金托管人提供与合同原件核对一致并加盖公章的合同复印件或传真件，未经双方协商一致，合同原件不得转移。</w:t>
      </w:r>
    </w:p>
    <w:bookmarkEnd w:id="147"/>
    <w:bookmarkEnd w:id="148"/>
    <w:p w:rsidR="0068684E" w:rsidRDefault="000021E4">
      <w:pPr>
        <w:spacing w:line="360" w:lineRule="auto"/>
        <w:ind w:firstLineChars="196" w:firstLine="472"/>
        <w:rPr>
          <w:rFonts w:ascii="Times New Roman" w:eastAsia="宋体" w:hAnsi="Times New Roman" w:cs="Times New Roman"/>
          <w:bCs/>
          <w:kern w:val="0"/>
          <w:sz w:val="24"/>
          <w:szCs w:val="24"/>
        </w:rPr>
      </w:pPr>
      <w:r>
        <w:rPr>
          <w:rFonts w:ascii="Times New Roman" w:eastAsia="宋体" w:hAnsi="Times New Roman" w:cs="Times New Roman" w:hint="eastAsia"/>
          <w:b/>
          <w:bCs/>
          <w:kern w:val="0"/>
          <w:sz w:val="24"/>
          <w:szCs w:val="24"/>
        </w:rPr>
        <w:t>五、基金资产净值计算和会计核算</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（一）基金资产净值的计算和复核</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基金资产净值是指基金资产总值减去基金负债后的价值。各类基金份额净值是按照某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基金管理人应在每个估值日的次二个工作日内对该估值日的基金财产估值，但基金管理人根据法律法规或《基金合同》的规定暂停估值时除外。估值原则应符合《基金合同》、《证券投资基金会计核算业务指引》及其他法律法规的规定。基金资产净值和各类基金份额净值由基金管理人负责计算，基金托管人复核。基金管理人应于每个估值日的次二个工作日内计算该估值日的基金资产净值和各类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3、当相关法律法规或《基金合同》规定的估值方法不能客观反映基金财产公允价值时，基金管理人可根据具体情况，并与基金托管人商定后，按最能反映公</w:t>
      </w:r>
      <w:r>
        <w:rPr>
          <w:rFonts w:ascii="宋体" w:eastAsia="宋体" w:hAnsi="宋体" w:cs="Arial" w:hint="eastAsia"/>
          <w:sz w:val="24"/>
          <w:szCs w:val="24"/>
        </w:rPr>
        <w:lastRenderedPageBreak/>
        <w:t>允价值的价格估值。本基金实施侧袋机制的，应根据本部分的约定对主袋账户资产进行估值并披露主袋账户的基金净值信息，暂停披露侧袋账户份额净值。</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4、基金管理人、基金托管人发现基金估值违反《基金合同》订明的估值方法、程序以及相关法律法规的规定或者未能充分维护基金份额持有人利益时，双方应及时进行协商和纠正。</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5、当任一类基金份额净值小数点后4位以内（含第4位）发生估值错误时，视为该类基金份额净值错误。任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如法律法规或监管机关对前述内容另有规定的，按其规定处理。</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6、由于基金管理人对外公布的任何基金净值数据错误，导致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7、由于不可抗力，或证券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减轻或消除由此造成的影响。</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8、如果基金托管人的复核结果与基金管理人的计算结果存在差异，且双方经协商未能达成一致，基金管理人可以按照其对各类基金份额净值的计算结果对外予以公布，基金托管人可以将相关情况报中国证监会备案。</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lastRenderedPageBreak/>
        <w:t>（二）基金会计核算</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1、基金账册的建立</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2、会计数据和财务指标的核对</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基金管理人和基金托管人应定期就会计数据和财务指标进行核对。如发现存在不符，双方应及时查明原因并纠正。</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3、基金财务报表和定期报告的编制和复核</w:t>
      </w:r>
    </w:p>
    <w:p w:rsidR="0068684E" w:rsidRDefault="000021E4">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基金财务报表由基金管理人和基金托管人每月分别独立编制。月度报表的编制，应于每月终了后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rsidR="0068684E" w:rsidRDefault="000021E4">
      <w:pPr>
        <w:spacing w:line="360" w:lineRule="auto"/>
        <w:ind w:firstLineChars="200" w:firstLine="480"/>
        <w:rPr>
          <w:rFonts w:ascii="Times New Roman" w:eastAsia="宋体" w:hAnsi="Times New Roman" w:cs="Times New Roman"/>
          <w:sz w:val="24"/>
          <w:szCs w:val="24"/>
        </w:rPr>
      </w:pPr>
      <w:r>
        <w:rPr>
          <w:rFonts w:ascii="宋体" w:eastAsia="宋体" w:hAnsi="宋体" w:cs="Arial" w:hint="eastAsia"/>
          <w:sz w:val="24"/>
          <w:szCs w:val="24"/>
        </w:rPr>
        <w:t>基金管理人应及时完成报表和报告的编制，将有关报表和报告提供给基金托管人复核，基金托管人在收到后应及时进行复核，并将复核结果书面通知基金管理人；基金管理人应留足充分的时间，便于基金托管人复核相关报表及报告。基金托管人在复核过程中，发现双方的报表或报告存在不符时，基金管理人和基金</w:t>
      </w:r>
      <w:r>
        <w:rPr>
          <w:rFonts w:ascii="宋体" w:eastAsia="宋体" w:hAnsi="宋体" w:cs="Arial" w:hint="eastAsia"/>
          <w:sz w:val="24"/>
          <w:szCs w:val="24"/>
        </w:rPr>
        <w:lastRenderedPageBreak/>
        <w:t>托管人应共同查明原因，进行调整，调整以双方认可的账务处理方式为准；若双方无法达成一致以基金管理人的账务处理为准。核对无误后，基金托管人在基金管理人提供的报表或报告上加盖托管业务部门公章或者出具加盖托管业务部门公章的复核意见书或进行电子确认，双方各自留存一份。如果基金管理人与基金托管人不能于应当发布公告之日之前就相关报表或报告达成一致，基金管理人有权按照其编制的报表或报告对外发布公告，基金托管人有权就相关情况报中国证监会备案。</w:t>
      </w:r>
    </w:p>
    <w:p w:rsidR="0068684E" w:rsidRDefault="000021E4">
      <w:pPr>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六、基金份额持有人名册的保管</w:t>
      </w:r>
    </w:p>
    <w:p w:rsidR="0068684E" w:rsidRDefault="000021E4">
      <w:pPr>
        <w:spacing w:line="360" w:lineRule="auto"/>
        <w:ind w:firstLineChars="200" w:firstLine="480"/>
        <w:rPr>
          <w:rFonts w:ascii="宋体" w:eastAsia="宋体" w:hAnsi="宋体" w:cs="Arial"/>
          <w:sz w:val="24"/>
          <w:szCs w:val="24"/>
        </w:rPr>
      </w:pPr>
      <w:bookmarkStart w:id="149" w:name="_Hlt112616834"/>
      <w:bookmarkEnd w:id="149"/>
      <w:r>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限不少于法律法规规定的期限。如不能妥善保管，则按相关法规承担责任。</w:t>
      </w:r>
    </w:p>
    <w:p w:rsidR="0068684E" w:rsidRDefault="000021E4">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68684E" w:rsidRDefault="000021E4">
      <w:pPr>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七、适用法律</w:t>
      </w:r>
      <w:r>
        <w:rPr>
          <w:rFonts w:ascii="Times New Roman" w:eastAsia="宋体" w:hAnsi="Times New Roman" w:cs="Times New Roman"/>
          <w:b/>
          <w:bCs/>
          <w:kern w:val="0"/>
          <w:sz w:val="24"/>
          <w:szCs w:val="24"/>
        </w:rPr>
        <w:t>与</w:t>
      </w:r>
      <w:r>
        <w:rPr>
          <w:rFonts w:ascii="Times New Roman" w:eastAsia="宋体" w:hAnsi="Times New Roman" w:cs="Times New Roman" w:hint="eastAsia"/>
          <w:b/>
          <w:bCs/>
          <w:kern w:val="0"/>
          <w:sz w:val="24"/>
          <w:szCs w:val="24"/>
        </w:rPr>
        <w:t>争议解决方式</w:t>
      </w:r>
    </w:p>
    <w:p w:rsidR="0068684E" w:rsidRDefault="000021E4">
      <w:pPr>
        <w:spacing w:line="360" w:lineRule="auto"/>
        <w:ind w:firstLineChars="200" w:firstLine="482"/>
        <w:rPr>
          <w:rFonts w:ascii="宋体" w:eastAsia="宋体" w:hAnsi="宋体" w:cs="Arial"/>
          <w:b/>
          <w:bCs/>
          <w:sz w:val="24"/>
          <w:szCs w:val="24"/>
        </w:rPr>
      </w:pPr>
      <w:r>
        <w:rPr>
          <w:rFonts w:ascii="宋体" w:eastAsia="宋体" w:hAnsi="宋体" w:cs="Arial" w:hint="eastAsia"/>
          <w:b/>
          <w:bCs/>
          <w:sz w:val="24"/>
          <w:szCs w:val="24"/>
        </w:rPr>
        <w:t>（一）本协议适用中华人民共和国法律（为本协议之目的，不包括香港特别行政区、澳门特别行政区和台湾地区法律）并从其解释。</w:t>
      </w:r>
    </w:p>
    <w:p w:rsidR="0068684E" w:rsidRDefault="000021E4">
      <w:pPr>
        <w:spacing w:line="360" w:lineRule="auto"/>
        <w:ind w:firstLineChars="200" w:firstLine="482"/>
        <w:rPr>
          <w:rFonts w:ascii="宋体" w:eastAsia="宋体" w:hAnsi="宋体" w:cs="Arial"/>
          <w:b/>
          <w:bCs/>
          <w:sz w:val="24"/>
          <w:szCs w:val="24"/>
        </w:rPr>
      </w:pPr>
      <w:r>
        <w:rPr>
          <w:rFonts w:ascii="宋体" w:eastAsia="宋体" w:hAnsi="宋体" w:cs="Arial" w:hint="eastAsia"/>
          <w:b/>
          <w:bCs/>
          <w:sz w:val="24"/>
          <w:szCs w:val="24"/>
        </w:rPr>
        <w:t>（二）基金管理人与基金托管人之间因本协议产生的或与本协议有关的争议可通过友好协商解决。如经友好协商未能解决的，均应提交中国国际经济贸易仲裁委员会按照申请仲裁时该会届时有效的仲裁规则进行仲裁，仲裁地点为北京市。仲裁裁决是终局的，并对双方当事人具有约束力。除非仲裁裁决另有裁定，仲裁费用和律师费用由败诉方承担。</w:t>
      </w:r>
    </w:p>
    <w:p w:rsidR="0068684E" w:rsidRDefault="000021E4">
      <w:pPr>
        <w:spacing w:line="360" w:lineRule="auto"/>
        <w:ind w:firstLineChars="200" w:firstLine="482"/>
        <w:rPr>
          <w:rFonts w:ascii="宋体" w:eastAsia="宋体" w:hAnsi="宋体" w:cs="Arial"/>
          <w:b/>
          <w:bCs/>
          <w:sz w:val="24"/>
          <w:szCs w:val="24"/>
        </w:rPr>
      </w:pPr>
      <w:r>
        <w:rPr>
          <w:rFonts w:ascii="宋体" w:eastAsia="宋体" w:hAnsi="宋体" w:cs="Arial" w:hint="eastAsia"/>
          <w:b/>
          <w:bCs/>
          <w:sz w:val="24"/>
          <w:szCs w:val="24"/>
        </w:rPr>
        <w:t>（三）争议处理期间，除争议所涉的内容之外，本协议的当事人仍应履行本协议的其他规定。</w:t>
      </w:r>
    </w:p>
    <w:p w:rsidR="0068684E" w:rsidRDefault="000021E4">
      <w:pPr>
        <w:spacing w:line="360" w:lineRule="auto"/>
        <w:ind w:leftChars="200" w:left="420"/>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八、托管协议的变更、终止与基金财产的清算</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（一）托管协议的变更</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本协议双方当事人经协商一致，可以对协议进行变更。变更后的新协议，其内容不得与《基金合同》的规定有任何冲突。</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lastRenderedPageBreak/>
        <w:t>（二）托管协议的终止</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发生以下情况，本托管协议应当终止：</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1、《基金合同》终止；</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2、本基金更换基金托管人；</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3、本基金更换基金管理人；</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4、发生《基金法》、《运作办法》或其他法律法规规定的终止事项。</w:t>
      </w:r>
    </w:p>
    <w:p w:rsidR="0068684E" w:rsidRDefault="000021E4">
      <w:pPr>
        <w:spacing w:line="360" w:lineRule="auto"/>
        <w:ind w:leftChars="200" w:left="420"/>
        <w:rPr>
          <w:rFonts w:ascii="宋体" w:eastAsia="宋体" w:hAnsi="宋体" w:cs="Arial"/>
          <w:sz w:val="24"/>
          <w:szCs w:val="24"/>
        </w:rPr>
      </w:pPr>
      <w:r>
        <w:rPr>
          <w:rFonts w:ascii="宋体" w:eastAsia="宋体" w:hAnsi="宋体" w:cs="Arial" w:hint="eastAsia"/>
          <w:sz w:val="24"/>
          <w:szCs w:val="24"/>
        </w:rPr>
        <w:t>（三）基金财产的清算</w:t>
      </w:r>
    </w:p>
    <w:p w:rsidR="0068684E" w:rsidRDefault="000021E4">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基金管理人和基金托管人应按照《基金合同》及有关法律法规的规定对本基金的财产进行清算。</w:t>
      </w:r>
    </w:p>
    <w:p w:rsidR="0068684E" w:rsidRDefault="000021E4">
      <w:pPr>
        <w:jc w:val="left"/>
        <w:rPr>
          <w:rFonts w:ascii="Times New Roman" w:eastAsia="宋体" w:hAnsi="Times New Roman" w:cs="Times New Roman"/>
          <w:b/>
          <w:kern w:val="44"/>
          <w:sz w:val="32"/>
          <w:szCs w:val="20"/>
        </w:rPr>
      </w:pPr>
      <w:r>
        <w:rPr>
          <w:rFonts w:ascii="Times New Roman" w:eastAsia="宋体" w:hAnsi="Times New Roman" w:cs="Times New Roman" w:hint="eastAsia"/>
          <w:b/>
          <w:kern w:val="44"/>
          <w:sz w:val="32"/>
          <w:szCs w:val="20"/>
        </w:rPr>
        <w:br w:type="page"/>
      </w: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150" w:name="_Toc208913395"/>
      <w:bookmarkStart w:id="151" w:name="_Toc9289"/>
      <w:bookmarkEnd w:id="142"/>
      <w:bookmarkEnd w:id="143"/>
      <w:r>
        <w:rPr>
          <w:rFonts w:ascii="Times New Roman" w:eastAsia="宋体" w:hAnsi="Times New Roman" w:cs="Times New Roman" w:hint="eastAsia"/>
          <w:b/>
          <w:kern w:val="44"/>
          <w:sz w:val="32"/>
          <w:szCs w:val="20"/>
        </w:rPr>
        <w:lastRenderedPageBreak/>
        <w:t>第二十一部分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对基金份额持有人的服务</w:t>
      </w:r>
      <w:bookmarkEnd w:id="150"/>
      <w:bookmarkEnd w:id="151"/>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基金管理人承诺为基金份额持有人提供一系列的服务。基金管理人将根据基金份额持有人的需要和市场的变化，增加或变更服务项目。主要服务内容如下：</w:t>
      </w:r>
    </w:p>
    <w:p w:rsidR="0068684E" w:rsidRDefault="000021E4">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一、基金份额持有人交易资料服务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投资者在交易申请被受理的</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rsidR="0068684E" w:rsidRDefault="000021E4">
      <w:pPr>
        <w:spacing w:line="360" w:lineRule="auto"/>
        <w:ind w:firstLineChars="200" w:firstLine="482"/>
        <w:rPr>
          <w:rFonts w:ascii="Times New Roman" w:eastAsia="宋体" w:hAnsi="Times New Roman" w:cs="Times New Roman"/>
          <w:bCs/>
          <w:sz w:val="24"/>
          <w:szCs w:val="24"/>
          <w:lang w:val="zh-CN"/>
        </w:rPr>
      </w:pPr>
      <w:r>
        <w:rPr>
          <w:rFonts w:ascii="Times New Roman" w:eastAsia="宋体" w:hAnsi="Times New Roman" w:cs="Times New Roman" w:hint="eastAsia"/>
          <w:b/>
          <w:bCs/>
          <w:sz w:val="24"/>
          <w:szCs w:val="24"/>
          <w:lang w:val="zh-CN"/>
        </w:rPr>
        <w:t>二、</w:t>
      </w:r>
      <w:r>
        <w:rPr>
          <w:rFonts w:ascii="Times New Roman" w:eastAsia="宋体" w:hAnsi="Times New Roman" w:cs="Times New Roman"/>
          <w:b/>
          <w:bCs/>
          <w:sz w:val="24"/>
          <w:szCs w:val="24"/>
          <w:lang w:val="zh-CN"/>
        </w:rPr>
        <w:t>网上交易</w:t>
      </w:r>
      <w:r>
        <w:rPr>
          <w:rFonts w:ascii="Times New Roman" w:eastAsia="宋体" w:hAnsi="Times New Roman" w:cs="Times New Roman" w:hint="eastAsia"/>
          <w:b/>
          <w:bCs/>
          <w:sz w:val="24"/>
          <w:szCs w:val="24"/>
          <w:lang w:val="zh-CN"/>
        </w:rPr>
        <w:t>、查询</w:t>
      </w:r>
      <w:r>
        <w:rPr>
          <w:rFonts w:ascii="Times New Roman" w:eastAsia="宋体" w:hAnsi="Times New Roman" w:cs="Times New Roman"/>
          <w:b/>
          <w:bCs/>
          <w:sz w:val="24"/>
          <w:szCs w:val="24"/>
          <w:lang w:val="zh-CN"/>
        </w:rPr>
        <w:t>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投资者除可通过基金管理人的直销网点和代销机构的代销网点办理申购、赎回等交易以及账户查询外，还可通过基金管理人的网站（</w:t>
      </w:r>
      <w:r>
        <w:rPr>
          <w:rFonts w:ascii="Times New Roman" w:eastAsia="宋体" w:hAnsi="Times New Roman" w:cs="Times New Roman" w:hint="eastAsia"/>
          <w:bCs/>
          <w:sz w:val="24"/>
          <w:szCs w:val="24"/>
        </w:rPr>
        <w:t>www.fullgoal.com.cn</w:t>
      </w:r>
      <w:r>
        <w:rPr>
          <w:rFonts w:ascii="Times New Roman" w:eastAsia="宋体" w:hAnsi="Times New Roman" w:cs="Times New Roman" w:hint="eastAsia"/>
          <w:bCs/>
          <w:sz w:val="24"/>
          <w:szCs w:val="24"/>
        </w:rPr>
        <w:t>）微信服务号（搜索“富国基金微管家”或“</w:t>
      </w:r>
      <w:r>
        <w:rPr>
          <w:rFonts w:ascii="Times New Roman" w:eastAsia="宋体" w:hAnsi="Times New Roman" w:cs="Times New Roman" w:hint="eastAsia"/>
          <w:bCs/>
          <w:sz w:val="24"/>
          <w:szCs w:val="24"/>
        </w:rPr>
        <w:t>FullgoalWeFund</w:t>
      </w:r>
      <w:r>
        <w:rPr>
          <w:rFonts w:ascii="Times New Roman" w:eastAsia="宋体" w:hAnsi="Times New Roman" w:cs="Times New Roman" w:hint="eastAsia"/>
          <w:bCs/>
          <w:sz w:val="24"/>
          <w:szCs w:val="24"/>
        </w:rPr>
        <w:t>”）、或客户端“富国富钱包”</w:t>
      </w:r>
      <w:r>
        <w:rPr>
          <w:rFonts w:ascii="Times New Roman" w:eastAsia="宋体" w:hAnsi="Times New Roman" w:cs="Times New Roman" w:hint="eastAsia"/>
          <w:bCs/>
          <w:sz w:val="24"/>
          <w:szCs w:val="24"/>
        </w:rPr>
        <w:t>APP</w:t>
      </w:r>
      <w:r>
        <w:rPr>
          <w:rFonts w:ascii="Times New Roman" w:eastAsia="宋体" w:hAnsi="Times New Roman" w:cs="Times New Roman" w:hint="eastAsia"/>
          <w:bCs/>
          <w:sz w:val="24"/>
          <w:szCs w:val="24"/>
        </w:rPr>
        <w:t>享受网上交易、查询服务。具体业务规则详见基金管理人网站公告或相关说明。</w:t>
      </w:r>
    </w:p>
    <w:p w:rsidR="0068684E" w:rsidRDefault="000021E4">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三、</w:t>
      </w:r>
      <w:r>
        <w:rPr>
          <w:rFonts w:ascii="Times New Roman" w:eastAsia="宋体" w:hAnsi="Times New Roman" w:cs="Times New Roman"/>
          <w:b/>
          <w:bCs/>
          <w:sz w:val="24"/>
          <w:szCs w:val="24"/>
          <w:lang w:val="zh-CN"/>
        </w:rPr>
        <w:t>信息定制</w:t>
      </w:r>
      <w:r>
        <w:rPr>
          <w:rFonts w:ascii="Times New Roman" w:eastAsia="宋体" w:hAnsi="Times New Roman" w:cs="Times New Roman" w:hint="eastAsia"/>
          <w:b/>
          <w:bCs/>
          <w:sz w:val="24"/>
          <w:szCs w:val="24"/>
          <w:lang w:val="zh-CN"/>
        </w:rPr>
        <w:t>及资讯</w:t>
      </w:r>
      <w:r>
        <w:rPr>
          <w:rFonts w:ascii="Times New Roman" w:eastAsia="宋体" w:hAnsi="Times New Roman" w:cs="Times New Roman"/>
          <w:b/>
          <w:bCs/>
          <w:sz w:val="24"/>
          <w:szCs w:val="24"/>
          <w:lang w:val="zh-CN"/>
        </w:rPr>
        <w:t>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lang w:val="zh-CN"/>
        </w:rPr>
        <w:t>投资者</w:t>
      </w:r>
      <w:r>
        <w:rPr>
          <w:rFonts w:ascii="Times New Roman" w:eastAsia="宋体" w:hAnsi="Times New Roman" w:cs="Times New Roman" w:hint="eastAsia"/>
          <w:bCs/>
          <w:sz w:val="24"/>
          <w:szCs w:val="24"/>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rsidR="0068684E" w:rsidRDefault="000021E4">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四、</w:t>
      </w:r>
      <w:r>
        <w:rPr>
          <w:rFonts w:ascii="Times New Roman" w:eastAsia="宋体" w:hAnsi="Times New Roman" w:cs="Times New Roman"/>
          <w:b/>
          <w:bCs/>
          <w:sz w:val="24"/>
          <w:szCs w:val="24"/>
          <w:lang w:val="zh-CN"/>
        </w:rPr>
        <w:t>网络在线服务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投资者可通过基金管理人网站、微信公众号或客户端获得投资咨询、业务咨询、信息查询、信息定制、服务投诉及建议等多项在线服务。</w:t>
      </w:r>
    </w:p>
    <w:p w:rsidR="0068684E" w:rsidRDefault="000021E4">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五、</w:t>
      </w:r>
      <w:r>
        <w:rPr>
          <w:rFonts w:ascii="Times New Roman" w:eastAsia="宋体" w:hAnsi="Times New Roman" w:cs="Times New Roman"/>
          <w:b/>
          <w:bCs/>
          <w:sz w:val="24"/>
          <w:szCs w:val="24"/>
          <w:lang w:val="zh-CN"/>
        </w:rPr>
        <w:t>客户服务中心电话服务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客户服务中心自动语音系统提供</w:t>
      </w:r>
      <w:r>
        <w:rPr>
          <w:rFonts w:ascii="Times New Roman" w:eastAsia="宋体" w:hAnsi="Times New Roman" w:cs="Times New Roman"/>
          <w:bCs/>
          <w:sz w:val="24"/>
          <w:szCs w:val="24"/>
        </w:rPr>
        <w:t>7×24</w:t>
      </w:r>
      <w:r>
        <w:rPr>
          <w:rFonts w:ascii="Times New Roman" w:eastAsia="宋体" w:hAnsi="Times New Roman" w:cs="Times New Roman" w:hint="eastAsia"/>
          <w:bCs/>
          <w:sz w:val="24"/>
          <w:szCs w:val="24"/>
        </w:rPr>
        <w:t>小时基金净值信息、账户交易情况、基金产品与服务等信息查询。</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客户服务中心人工坐席提供每周</w:t>
      </w: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天、每天不少于</w:t>
      </w:r>
      <w:r>
        <w:rPr>
          <w:rFonts w:ascii="Times New Roman" w:eastAsia="宋体" w:hAnsi="Times New Roman" w:cs="Times New Roman"/>
          <w:bCs/>
          <w:sz w:val="24"/>
          <w:szCs w:val="24"/>
        </w:rPr>
        <w:t>8</w:t>
      </w:r>
      <w:r>
        <w:rPr>
          <w:rFonts w:ascii="Times New Roman" w:eastAsia="宋体" w:hAnsi="Times New Roman" w:cs="Times New Roman" w:hint="eastAsia"/>
          <w:bCs/>
          <w:sz w:val="24"/>
          <w:szCs w:val="24"/>
        </w:rPr>
        <w:t>小时的座席服务，投资者可以通过该热线获得业务咨询、信息查询、服务投诉、信息定制、资料修改等专项服务，节假日除外。</w:t>
      </w:r>
    </w:p>
    <w:p w:rsidR="0068684E" w:rsidRDefault="000021E4">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lastRenderedPageBreak/>
        <w:t>六、</w:t>
      </w:r>
      <w:r>
        <w:rPr>
          <w:rFonts w:ascii="Times New Roman" w:eastAsia="宋体" w:hAnsi="Times New Roman" w:cs="Times New Roman"/>
          <w:b/>
          <w:bCs/>
          <w:sz w:val="24"/>
          <w:szCs w:val="24"/>
          <w:lang w:val="zh-CN"/>
        </w:rPr>
        <w:t>客户投诉受理服务</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可以通过各销售机构网点柜台、基金管理人网站投诉栏目、客户服务中心人工热线、在线客服、微客服、书信、电子邮件、短信、传真等多渠道对基金管理人和销售网点所提供的服务以及公司的政策规定提出投诉或意见。</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七、基金管理人个人信息保护政策</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搜索“富国基金微管家”或“</w:t>
      </w:r>
      <w:r>
        <w:rPr>
          <w:rFonts w:ascii="Times New Roman" w:eastAsia="宋体" w:hAnsi="Times New Roman" w:cs="Times New Roman" w:hint="eastAsia"/>
          <w:bCs/>
          <w:sz w:val="24"/>
          <w:szCs w:val="24"/>
        </w:rPr>
        <w:t>FullgoalWeFund</w:t>
      </w:r>
      <w:r>
        <w:rPr>
          <w:rFonts w:ascii="Times New Roman" w:eastAsia="宋体" w:hAnsi="Times New Roman" w:cs="Times New Roman" w:hint="eastAsia"/>
          <w:bCs/>
          <w:sz w:val="24"/>
          <w:szCs w:val="24"/>
        </w:rPr>
        <w:t>”）、客户端“富国富钱包”</w:t>
      </w:r>
      <w:r>
        <w:rPr>
          <w:rFonts w:ascii="Times New Roman" w:eastAsia="宋体" w:hAnsi="Times New Roman" w:cs="Times New Roman" w:hint="eastAsia"/>
          <w:bCs/>
          <w:sz w:val="24"/>
          <w:szCs w:val="24"/>
        </w:rPr>
        <w:t>APP</w:t>
      </w:r>
      <w:r>
        <w:rPr>
          <w:rFonts w:ascii="Times New Roman" w:eastAsia="宋体" w:hAnsi="Times New Roman" w:cs="Times New Roman" w:hint="eastAsia"/>
          <w:bCs/>
          <w:sz w:val="24"/>
          <w:szCs w:val="24"/>
        </w:rPr>
        <w:t>查看《富国基金个人信息保护政策》，了解基金管理人处理个人信息的规则。</w:t>
      </w:r>
    </w:p>
    <w:p w:rsidR="0068684E" w:rsidRDefault="000021E4">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八、基金管理人客户服务联络方式</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客户服务热线：</w:t>
      </w:r>
      <w:r>
        <w:rPr>
          <w:rFonts w:ascii="Times New Roman" w:eastAsia="宋体" w:hAnsi="Times New Roman" w:cs="Times New Roman"/>
          <w:bCs/>
          <w:sz w:val="24"/>
          <w:szCs w:val="24"/>
        </w:rPr>
        <w:t>95105686</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4008880688</w:t>
      </w:r>
      <w:r>
        <w:rPr>
          <w:rFonts w:ascii="Times New Roman" w:eastAsia="宋体" w:hAnsi="Times New Roman" w:cs="Times New Roman" w:hint="eastAsia"/>
          <w:bCs/>
          <w:sz w:val="24"/>
          <w:szCs w:val="24"/>
        </w:rPr>
        <w:t>（全国统一，免长途话费），工作时间内可转人工坐席。</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客户服务传真：</w:t>
      </w:r>
      <w:r>
        <w:rPr>
          <w:rFonts w:ascii="Times New Roman" w:eastAsia="宋体" w:hAnsi="Times New Roman" w:cs="Times New Roman"/>
          <w:bCs/>
          <w:sz w:val="24"/>
          <w:szCs w:val="24"/>
        </w:rPr>
        <w:t>021-20513277</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公司网址：</w:t>
      </w:r>
      <w:r>
        <w:rPr>
          <w:rFonts w:ascii="Times New Roman" w:eastAsia="宋体" w:hAnsi="Times New Roman" w:cs="Times New Roman"/>
          <w:sz w:val="24"/>
          <w:szCs w:val="24"/>
        </w:rPr>
        <w:t>http://www.fullgoal.com.cn</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电子信箱：</w:t>
      </w:r>
      <w:r>
        <w:rPr>
          <w:rFonts w:ascii="Times New Roman" w:eastAsia="宋体" w:hAnsi="Times New Roman" w:cs="Times New Roman"/>
          <w:sz w:val="24"/>
          <w:szCs w:val="24"/>
        </w:rPr>
        <w:t>public@fullgoal.com.cn</w:t>
      </w:r>
    </w:p>
    <w:p w:rsidR="0068684E" w:rsidRDefault="000021E4">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客服中心地址：中国（上海）自由贸易试验区世纪大道</w:t>
      </w:r>
      <w:r>
        <w:rPr>
          <w:rFonts w:ascii="Times New Roman" w:eastAsia="宋体" w:hAnsi="Times New Roman" w:cs="Times New Roman" w:hint="eastAsia"/>
          <w:bCs/>
          <w:sz w:val="24"/>
          <w:szCs w:val="24"/>
        </w:rPr>
        <w:t>1196</w:t>
      </w:r>
      <w:r>
        <w:rPr>
          <w:rFonts w:ascii="Times New Roman" w:eastAsia="宋体" w:hAnsi="Times New Roman" w:cs="Times New Roman" w:hint="eastAsia"/>
          <w:bCs/>
          <w:sz w:val="24"/>
          <w:szCs w:val="24"/>
        </w:rPr>
        <w:t>号世纪汇办公楼二座</w:t>
      </w:r>
      <w:r>
        <w:rPr>
          <w:rFonts w:ascii="Times New Roman" w:eastAsia="宋体" w:hAnsi="Times New Roman" w:cs="Times New Roman" w:hint="eastAsia"/>
          <w:bCs/>
          <w:sz w:val="24"/>
          <w:szCs w:val="24"/>
        </w:rPr>
        <w:t>27</w:t>
      </w:r>
      <w:r>
        <w:rPr>
          <w:rFonts w:ascii="Times New Roman" w:eastAsia="宋体" w:hAnsi="Times New Roman" w:cs="Times New Roman" w:hint="eastAsia"/>
          <w:bCs/>
          <w:sz w:val="24"/>
          <w:szCs w:val="24"/>
        </w:rPr>
        <w:t>层</w:t>
      </w:r>
    </w:p>
    <w:p w:rsidR="0068684E" w:rsidRDefault="000021E4">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九、如本招募说明书存在任何您</w:t>
      </w:r>
      <w:r>
        <w:rPr>
          <w:rFonts w:ascii="Times New Roman" w:eastAsia="宋体" w:hAnsi="Times New Roman" w:cs="Times New Roman"/>
          <w:b/>
          <w:bCs/>
          <w:sz w:val="24"/>
          <w:szCs w:val="24"/>
          <w:lang w:val="zh-CN"/>
        </w:rPr>
        <w:t>/</w:t>
      </w:r>
      <w:r>
        <w:rPr>
          <w:rFonts w:ascii="Times New Roman" w:eastAsia="宋体" w:hAnsi="Times New Roman" w:cs="Times New Roman" w:hint="eastAsia"/>
          <w:b/>
          <w:bCs/>
          <w:sz w:val="24"/>
          <w:szCs w:val="24"/>
          <w:lang w:val="zh-CN"/>
        </w:rPr>
        <w:t>贵机构无法理解的内容，请联系基金管理人客户服务中心热线，或通过电子邮件、传真、信件等方式联系基金管理人。请确保投资前，您</w:t>
      </w:r>
      <w:r>
        <w:rPr>
          <w:rFonts w:ascii="Times New Roman" w:eastAsia="宋体" w:hAnsi="Times New Roman" w:cs="Times New Roman"/>
          <w:b/>
          <w:bCs/>
          <w:sz w:val="24"/>
          <w:szCs w:val="24"/>
          <w:lang w:val="zh-CN"/>
        </w:rPr>
        <w:t>/</w:t>
      </w:r>
      <w:r>
        <w:rPr>
          <w:rFonts w:ascii="Times New Roman" w:eastAsia="宋体" w:hAnsi="Times New Roman" w:cs="Times New Roman" w:hint="eastAsia"/>
          <w:b/>
          <w:bCs/>
          <w:sz w:val="24"/>
          <w:szCs w:val="24"/>
          <w:lang w:val="zh-CN"/>
        </w:rPr>
        <w:t>贵机构已经全面理解了本招募说明书。</w:t>
      </w:r>
    </w:p>
    <w:p w:rsidR="0068684E" w:rsidRDefault="0068684E">
      <w:pPr>
        <w:spacing w:line="360" w:lineRule="auto"/>
        <w:ind w:firstLineChars="200" w:firstLine="482"/>
        <w:rPr>
          <w:rFonts w:ascii="Times New Roman" w:eastAsia="宋体" w:hAnsi="Times New Roman" w:cs="Times New Roman"/>
          <w:b/>
          <w:bCs/>
          <w:sz w:val="24"/>
          <w:szCs w:val="24"/>
        </w:rPr>
      </w:pP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24"/>
          <w:szCs w:val="20"/>
        </w:rPr>
        <w:br w:type="page"/>
      </w:r>
      <w:bookmarkStart w:id="152" w:name="_Toc208913396"/>
      <w:bookmarkStart w:id="153" w:name="_Toc28534"/>
      <w:r>
        <w:rPr>
          <w:rFonts w:ascii="Times New Roman" w:eastAsia="宋体" w:hAnsi="Times New Roman" w:cs="Times New Roman" w:hint="eastAsia"/>
          <w:b/>
          <w:kern w:val="0"/>
          <w:sz w:val="32"/>
          <w:szCs w:val="20"/>
        </w:rPr>
        <w:lastRenderedPageBreak/>
        <w:t>第二十二部分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招募说明书的存放及查阅方式</w:t>
      </w:r>
      <w:bookmarkEnd w:id="152"/>
      <w:bookmarkEnd w:id="153"/>
    </w:p>
    <w:p w:rsidR="0068684E" w:rsidRDefault="000021E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招募说明书公布后，应当分别置备于</w:t>
      </w:r>
      <w:r>
        <w:rPr>
          <w:rFonts w:ascii="Times New Roman" w:eastAsia="宋体" w:hAnsi="Times New Roman" w:cs="Times New Roman"/>
          <w:sz w:val="24"/>
          <w:szCs w:val="24"/>
        </w:rPr>
        <w:t>基金管理人、基金托管人</w:t>
      </w:r>
      <w:r>
        <w:rPr>
          <w:rFonts w:ascii="Times New Roman" w:eastAsia="宋体" w:hAnsi="Times New Roman" w:cs="Times New Roman"/>
          <w:bCs/>
          <w:sz w:val="24"/>
          <w:szCs w:val="24"/>
        </w:rPr>
        <w:t>和基金销售机构的住所</w:t>
      </w:r>
      <w:r>
        <w:rPr>
          <w:rFonts w:ascii="Times New Roman" w:eastAsia="宋体" w:hAnsi="Times New Roman" w:cs="Times New Roman" w:hint="eastAsia"/>
          <w:sz w:val="24"/>
          <w:szCs w:val="24"/>
        </w:rPr>
        <w:t>，供公众查阅、复制。投资者在支付工本费后，可在合理时间内取得上述文件的复制件或复印件</w:t>
      </w:r>
      <w:r>
        <w:rPr>
          <w:rFonts w:ascii="Times New Roman" w:eastAsia="宋体" w:hAnsi="Times New Roman" w:cs="Times New Roman"/>
          <w:sz w:val="24"/>
          <w:szCs w:val="24"/>
        </w:rPr>
        <w:t>，但应以基金备查文件正本为准</w:t>
      </w:r>
      <w:r>
        <w:rPr>
          <w:rFonts w:ascii="Times New Roman" w:eastAsia="宋体" w:hAnsi="Times New Roman" w:cs="Times New Roman" w:hint="eastAsia"/>
          <w:sz w:val="24"/>
          <w:szCs w:val="24"/>
        </w:rPr>
        <w:t>。</w:t>
      </w:r>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sz w:val="24"/>
          <w:szCs w:val="24"/>
        </w:rPr>
        <w:t>基金管理人和基金托管人保证文本的内容与公告的内容完全一致。</w:t>
      </w:r>
    </w:p>
    <w:p w:rsidR="0068684E" w:rsidRDefault="0068684E">
      <w:pPr>
        <w:widowControl/>
        <w:spacing w:line="360" w:lineRule="auto"/>
        <w:ind w:firstLineChars="200" w:firstLine="480"/>
        <w:rPr>
          <w:rFonts w:ascii="Times New Roman" w:eastAsia="宋体" w:hAnsi="Times New Roman" w:cs="Times New Roman"/>
          <w:kern w:val="0"/>
          <w:sz w:val="24"/>
          <w:szCs w:val="24"/>
        </w:rPr>
      </w:pPr>
    </w:p>
    <w:p w:rsidR="0068684E" w:rsidRDefault="000021E4">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32"/>
          <w:szCs w:val="20"/>
        </w:rPr>
        <w:br w:type="page"/>
      </w:r>
      <w:bookmarkStart w:id="154" w:name="_Toc208913397"/>
      <w:bookmarkStart w:id="155" w:name="_Toc30916"/>
      <w:r>
        <w:rPr>
          <w:rFonts w:ascii="Times New Roman" w:eastAsia="宋体" w:hAnsi="Times New Roman" w:cs="Times New Roman" w:hint="eastAsia"/>
          <w:b/>
          <w:kern w:val="0"/>
          <w:sz w:val="32"/>
          <w:szCs w:val="20"/>
        </w:rPr>
        <w:lastRenderedPageBreak/>
        <w:t>第二十三部分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备查文件</w:t>
      </w:r>
      <w:bookmarkEnd w:id="154"/>
      <w:bookmarkEnd w:id="155"/>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以下备查文件存放在基金管理人、基金托管人的办公场所，在办公时间可供免费查阅。</w:t>
      </w:r>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（一）</w:t>
      </w:r>
      <w:r>
        <w:rPr>
          <w:rFonts w:ascii="Times New Roman" w:eastAsia="宋体" w:hAnsi="Times New Roman" w:cs="Times New Roman"/>
          <w:sz w:val="24"/>
          <w:szCs w:val="24"/>
        </w:rPr>
        <w:t>中国证监会准予</w:t>
      </w:r>
      <w:r>
        <w:rPr>
          <w:rFonts w:ascii="Times New Roman" w:eastAsia="宋体" w:hAnsi="Times New Roman" w:cs="Times New Roman" w:hint="eastAsia"/>
          <w:sz w:val="24"/>
          <w:szCs w:val="24"/>
        </w:rPr>
        <w:t>富国智汇稳健</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个月持有期混合型基金中基金（</w:t>
      </w:r>
      <w:r>
        <w:rPr>
          <w:rFonts w:ascii="Times New Roman" w:eastAsia="宋体" w:hAnsi="Times New Roman" w:cs="Times New Roman" w:hint="eastAsia"/>
          <w:sz w:val="24"/>
          <w:szCs w:val="24"/>
        </w:rPr>
        <w:t>FOF</w:t>
      </w:r>
      <w:r>
        <w:rPr>
          <w:rFonts w:ascii="Times New Roman" w:eastAsia="宋体" w:hAnsi="Times New Roman" w:cs="Times New Roman" w:hint="eastAsia"/>
          <w:sz w:val="24"/>
          <w:szCs w:val="24"/>
        </w:rPr>
        <w:t>）</w:t>
      </w:r>
      <w:r>
        <w:rPr>
          <w:rFonts w:ascii="Times New Roman" w:eastAsia="宋体" w:hAnsi="Times New Roman" w:cs="Times New Roman"/>
          <w:sz w:val="24"/>
          <w:szCs w:val="24"/>
        </w:rPr>
        <w:t>募集</w:t>
      </w:r>
      <w:r>
        <w:rPr>
          <w:rFonts w:ascii="Times New Roman" w:eastAsia="宋体" w:hAnsi="Times New Roman" w:cs="Times New Roman" w:hint="eastAsia"/>
          <w:sz w:val="24"/>
          <w:szCs w:val="24"/>
        </w:rPr>
        <w:t>注册</w:t>
      </w:r>
      <w:r>
        <w:rPr>
          <w:rFonts w:ascii="Times New Roman" w:eastAsia="宋体" w:hAnsi="Times New Roman" w:cs="Times New Roman"/>
          <w:sz w:val="24"/>
          <w:szCs w:val="24"/>
        </w:rPr>
        <w:t>的文件</w:t>
      </w:r>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（二）《</w:t>
      </w:r>
      <w:r>
        <w:rPr>
          <w:rFonts w:ascii="Times New Roman" w:eastAsia="宋体" w:hAnsi="Times New Roman" w:cs="Times New Roman" w:hint="eastAsia"/>
          <w:kern w:val="0"/>
          <w:sz w:val="24"/>
          <w:szCs w:val="24"/>
        </w:rPr>
        <w:t>富国智汇稳健</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个月持有期混合型基金中基金（</w:t>
      </w:r>
      <w:r>
        <w:rPr>
          <w:rFonts w:ascii="Times New Roman" w:eastAsia="宋体" w:hAnsi="Times New Roman" w:cs="Times New Roman" w:hint="eastAsia"/>
          <w:kern w:val="0"/>
          <w:sz w:val="24"/>
          <w:szCs w:val="24"/>
        </w:rPr>
        <w:t>FOF</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基金合同》</w:t>
      </w:r>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（三）《富国智汇稳健</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个月持有期混合型基金中基金（</w:t>
      </w:r>
      <w:r>
        <w:rPr>
          <w:rFonts w:ascii="Times New Roman" w:eastAsia="宋体" w:hAnsi="Times New Roman" w:cs="Times New Roman" w:hint="eastAsia"/>
          <w:kern w:val="0"/>
          <w:sz w:val="24"/>
          <w:szCs w:val="24"/>
        </w:rPr>
        <w:t>FOF</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托管协议》</w:t>
      </w:r>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w:t>
      </w:r>
      <w:r>
        <w:rPr>
          <w:rFonts w:ascii="Times New Roman" w:eastAsia="宋体" w:hAnsi="Times New Roman" w:cs="Times New Roman"/>
          <w:kern w:val="0"/>
          <w:sz w:val="24"/>
          <w:szCs w:val="24"/>
        </w:rPr>
        <w:t>基金管理人业务资格批件、营业执照</w:t>
      </w:r>
    </w:p>
    <w:p w:rsidR="0068684E" w:rsidRDefault="000021E4">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（五）基金托管人业务资格批件、营业执照</w:t>
      </w:r>
    </w:p>
    <w:p w:rsidR="0068684E" w:rsidRDefault="000021E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（六）关于申请募集</w:t>
      </w:r>
      <w:r>
        <w:rPr>
          <w:rFonts w:ascii="Times New Roman" w:eastAsia="宋体" w:hAnsi="Times New Roman" w:cs="Times New Roman" w:hint="eastAsia"/>
          <w:kern w:val="0"/>
          <w:sz w:val="24"/>
          <w:szCs w:val="24"/>
        </w:rPr>
        <w:t>富国智汇稳健</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个月持有期混合型基金中基金（</w:t>
      </w:r>
      <w:r>
        <w:rPr>
          <w:rFonts w:ascii="Times New Roman" w:eastAsia="宋体" w:hAnsi="Times New Roman" w:cs="Times New Roman" w:hint="eastAsia"/>
          <w:kern w:val="0"/>
          <w:sz w:val="24"/>
          <w:szCs w:val="24"/>
        </w:rPr>
        <w:t>FOF</w:t>
      </w:r>
      <w:r>
        <w:rPr>
          <w:rFonts w:ascii="Times New Roman" w:eastAsia="宋体" w:hAnsi="Times New Roman" w:cs="Times New Roman" w:hint="eastAsia"/>
          <w:kern w:val="0"/>
          <w:sz w:val="24"/>
          <w:szCs w:val="24"/>
        </w:rPr>
        <w:t>）之法律意见书</w:t>
      </w:r>
    </w:p>
    <w:p w:rsidR="0068684E" w:rsidRDefault="000021E4">
      <w:pPr>
        <w:tabs>
          <w:tab w:val="left" w:pos="1501"/>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（七）中国证监会要求的其他文件</w:t>
      </w:r>
    </w:p>
    <w:p w:rsidR="0068684E" w:rsidRDefault="0068684E">
      <w:pPr>
        <w:widowControl/>
        <w:spacing w:line="360" w:lineRule="auto"/>
        <w:ind w:firstLineChars="200" w:firstLine="480"/>
        <w:rPr>
          <w:rFonts w:ascii="Times New Roman" w:eastAsia="宋体" w:hAnsi="Times New Roman" w:cs="Times New Roman"/>
          <w:kern w:val="0"/>
          <w:sz w:val="24"/>
          <w:szCs w:val="24"/>
        </w:rPr>
      </w:pPr>
    </w:p>
    <w:p w:rsidR="0068684E" w:rsidRDefault="000021E4">
      <w:pPr>
        <w:spacing w:line="360" w:lineRule="auto"/>
        <w:ind w:firstLineChars="2200" w:firstLine="5280"/>
        <w:jc w:val="right"/>
        <w:rPr>
          <w:rFonts w:ascii="Times New Roman" w:eastAsia="宋体" w:hAnsi="Times New Roman" w:cs="Times New Roman"/>
          <w:sz w:val="24"/>
          <w:szCs w:val="24"/>
        </w:rPr>
      </w:pPr>
      <w:r>
        <w:rPr>
          <w:rFonts w:ascii="Times New Roman" w:eastAsia="宋体" w:hAnsi="Times New Roman" w:cs="Times New Roman"/>
          <w:sz w:val="24"/>
          <w:szCs w:val="24"/>
        </w:rPr>
        <w:t>富国基金管理有限公司</w:t>
      </w:r>
    </w:p>
    <w:p w:rsidR="0068684E" w:rsidRDefault="000021E4">
      <w:pPr>
        <w:wordWrap w:val="0"/>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31</w:t>
      </w:r>
      <w:r>
        <w:rPr>
          <w:rFonts w:ascii="Times New Roman" w:eastAsia="宋体" w:hAnsi="Times New Roman" w:cs="Times New Roman" w:hint="eastAsia"/>
          <w:sz w:val="24"/>
          <w:szCs w:val="24"/>
        </w:rPr>
        <w:t>日</w:t>
      </w:r>
    </w:p>
    <w:p w:rsidR="0068684E" w:rsidRDefault="0068684E">
      <w:pPr>
        <w:wordWrap w:val="0"/>
        <w:spacing w:line="360" w:lineRule="auto"/>
        <w:ind w:firstLineChars="200" w:firstLine="480"/>
        <w:jc w:val="right"/>
        <w:rPr>
          <w:rFonts w:ascii="Times New Roman" w:eastAsia="宋体" w:hAnsi="Times New Roman" w:cs="Times New Roman"/>
          <w:sz w:val="24"/>
          <w:szCs w:val="24"/>
        </w:rPr>
      </w:pP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68684E">
      <w:pPr>
        <w:spacing w:line="360" w:lineRule="auto"/>
        <w:ind w:firstLineChars="200" w:firstLine="480"/>
        <w:rPr>
          <w:rFonts w:ascii="Times New Roman" w:eastAsia="宋体" w:hAnsi="Times New Roman" w:cs="Times New Roman"/>
          <w:sz w:val="24"/>
          <w:szCs w:val="24"/>
        </w:rPr>
      </w:pPr>
    </w:p>
    <w:p w:rsidR="0068684E" w:rsidRDefault="0068684E">
      <w:pPr>
        <w:spacing w:line="360" w:lineRule="auto"/>
        <w:rPr>
          <w:rFonts w:ascii="Times New Roman" w:eastAsia="宋体" w:hAnsi="Times New Roman" w:cs="Times New Roman"/>
          <w:sz w:val="24"/>
          <w:szCs w:val="24"/>
        </w:rPr>
      </w:pPr>
    </w:p>
    <w:bookmarkEnd w:id="0"/>
    <w:bookmarkEnd w:id="1"/>
    <w:bookmarkEnd w:id="2"/>
    <w:p w:rsidR="0068684E" w:rsidRDefault="0068684E"/>
    <w:sectPr w:rsidR="0068684E">
      <w:footerReference w:type="default" r:id="rId18"/>
      <w:pgSz w:w="11906" w:h="16838"/>
      <w:pgMar w:top="1440" w:right="1826" w:bottom="1440" w:left="1622"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C24" w:rsidRDefault="00AA4C24">
      <w:r>
        <w:separator/>
      </w:r>
    </w:p>
  </w:endnote>
  <w:endnote w:type="continuationSeparator" w:id="0">
    <w:p w:rsidR="00AA4C24" w:rsidRDefault="00AA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charset w:val="00"/>
    <w:family w:val="auto"/>
    <w:pitch w:val="default"/>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0021E4">
    <w:pPr>
      <w:pStyle w:val="ae"/>
      <w:framePr w:wrap="around" w:vAnchor="text" w:hAnchor="margin" w:xAlign="center" w:y="1"/>
      <w:ind w:firstLine="360"/>
      <w:rPr>
        <w:rStyle w:val="af7"/>
      </w:rPr>
    </w:pPr>
    <w:r>
      <w:rPr>
        <w:rStyle w:val="af7"/>
      </w:rPr>
      <w:fldChar w:fldCharType="begin"/>
    </w:r>
    <w:r>
      <w:rPr>
        <w:rStyle w:val="af7"/>
      </w:rPr>
      <w:instrText xml:space="preserve">PAGE  </w:instrText>
    </w:r>
    <w:r>
      <w:rPr>
        <w:rStyle w:val="af7"/>
      </w:rPr>
      <w:fldChar w:fldCharType="end"/>
    </w:r>
  </w:p>
  <w:p w:rsidR="0068684E" w:rsidRDefault="0068684E">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0021E4">
    <w:pPr>
      <w:pStyle w:val="ae"/>
      <w:framePr w:wrap="around" w:vAnchor="text" w:hAnchor="margin" w:xAlign="center" w:y="1"/>
      <w:ind w:firstLine="360"/>
      <w:rPr>
        <w:rStyle w:val="af7"/>
        <w:color w:val="FFFFFF"/>
      </w:rPr>
    </w:pPr>
    <w:r>
      <w:rPr>
        <w:rStyle w:val="af7"/>
        <w:color w:val="FFFFFF"/>
      </w:rPr>
      <w:fldChar w:fldCharType="begin"/>
    </w:r>
    <w:r>
      <w:rPr>
        <w:rStyle w:val="af7"/>
        <w:color w:val="FFFFFF"/>
      </w:rPr>
      <w:instrText xml:space="preserve">PAGE  </w:instrText>
    </w:r>
    <w:r>
      <w:rPr>
        <w:rStyle w:val="af7"/>
        <w:color w:val="FFFFFF"/>
      </w:rPr>
      <w:fldChar w:fldCharType="separate"/>
    </w:r>
    <w:r w:rsidR="00FB1ECD">
      <w:rPr>
        <w:rStyle w:val="af7"/>
        <w:noProof/>
        <w:color w:val="FFFFFF"/>
      </w:rPr>
      <w:t>0</w:t>
    </w:r>
    <w:r>
      <w:rPr>
        <w:rStyle w:val="af7"/>
        <w:color w:val="FFFFFF"/>
      </w:rPr>
      <w:fldChar w:fldCharType="end"/>
    </w:r>
  </w:p>
  <w:p w:rsidR="0068684E" w:rsidRDefault="0068684E">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68684E">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0021E4">
    <w:pPr>
      <w:pStyle w:val="ae"/>
      <w:framePr w:wrap="around" w:vAnchor="text" w:hAnchor="margin" w:xAlign="center" w:y="1"/>
      <w:ind w:firstLine="360"/>
      <w:rPr>
        <w:rStyle w:val="af7"/>
        <w:rFonts w:ascii="宋体" w:hAnsi="宋体"/>
      </w:rPr>
    </w:pPr>
    <w:r>
      <w:rPr>
        <w:rStyle w:val="af7"/>
        <w:rFonts w:ascii="宋体" w:hAnsi="宋体"/>
      </w:rPr>
      <w:fldChar w:fldCharType="begin"/>
    </w:r>
    <w:r>
      <w:rPr>
        <w:rStyle w:val="af7"/>
        <w:rFonts w:ascii="宋体" w:hAnsi="宋体"/>
      </w:rPr>
      <w:instrText xml:space="preserve">PAGE  </w:instrText>
    </w:r>
    <w:r>
      <w:rPr>
        <w:rStyle w:val="af7"/>
        <w:rFonts w:ascii="宋体" w:hAnsi="宋体"/>
      </w:rPr>
      <w:fldChar w:fldCharType="separate"/>
    </w:r>
    <w:r w:rsidR="00FB1ECD">
      <w:rPr>
        <w:rStyle w:val="af7"/>
        <w:rFonts w:ascii="宋体" w:hAnsi="宋体"/>
        <w:noProof/>
      </w:rPr>
      <w:t>4</w:t>
    </w:r>
    <w:r>
      <w:rPr>
        <w:rStyle w:val="af7"/>
        <w:rFonts w:ascii="宋体" w:hAnsi="宋体"/>
      </w:rPr>
      <w:fldChar w:fldCharType="end"/>
    </w:r>
  </w:p>
  <w:p w:rsidR="0068684E" w:rsidRDefault="0068684E">
    <w:pPr>
      <w:pStyle w:val="ae"/>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0021E4">
    <w:pPr>
      <w:pStyle w:val="ae"/>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8684E" w:rsidRDefault="000021E4">
                          <w:pPr>
                            <w:pStyle w:val="ae"/>
                            <w:ind w:firstLine="360"/>
                            <w:rPr>
                              <w:rStyle w:val="af7"/>
                              <w:rFonts w:ascii="宋体" w:hAnsi="宋体"/>
                            </w:rPr>
                          </w:pPr>
                          <w:r>
                            <w:rPr>
                              <w:rStyle w:val="af7"/>
                              <w:rFonts w:ascii="宋体" w:hAnsi="宋体"/>
                            </w:rPr>
                            <w:fldChar w:fldCharType="begin"/>
                          </w:r>
                          <w:r>
                            <w:rPr>
                              <w:rStyle w:val="af7"/>
                              <w:rFonts w:ascii="宋体" w:hAnsi="宋体"/>
                            </w:rPr>
                            <w:instrText xml:space="preserve">PAGE  </w:instrText>
                          </w:r>
                          <w:r>
                            <w:rPr>
                              <w:rStyle w:val="af7"/>
                              <w:rFonts w:ascii="宋体" w:hAnsi="宋体"/>
                            </w:rPr>
                            <w:fldChar w:fldCharType="separate"/>
                          </w:r>
                          <w:r w:rsidR="00FB1ECD">
                            <w:rPr>
                              <w:rStyle w:val="af7"/>
                              <w:rFonts w:ascii="宋体" w:hAnsi="宋体"/>
                              <w:noProof/>
                            </w:rPr>
                            <w:t>23</w:t>
                          </w:r>
                          <w:r>
                            <w:rPr>
                              <w:rStyle w:val="af7"/>
                              <w:rFonts w:ascii="宋体" w:hAnsi="宋体"/>
                            </w:rPr>
                            <w:fldChar w:fldCharType="end"/>
                          </w:r>
                        </w:p>
                        <w:p w:rsidR="0068684E" w:rsidRDefault="006868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8684E" w:rsidRDefault="000021E4">
                    <w:pPr>
                      <w:pStyle w:val="ae"/>
                      <w:ind w:firstLine="360"/>
                      <w:rPr>
                        <w:rStyle w:val="af7"/>
                        <w:rFonts w:ascii="宋体" w:hAnsi="宋体"/>
                      </w:rPr>
                    </w:pPr>
                    <w:r>
                      <w:rPr>
                        <w:rStyle w:val="af7"/>
                        <w:rFonts w:ascii="宋体" w:hAnsi="宋体"/>
                      </w:rPr>
                      <w:fldChar w:fldCharType="begin"/>
                    </w:r>
                    <w:r>
                      <w:rPr>
                        <w:rStyle w:val="af7"/>
                        <w:rFonts w:ascii="宋体" w:hAnsi="宋体"/>
                      </w:rPr>
                      <w:instrText xml:space="preserve">PAGE  </w:instrText>
                    </w:r>
                    <w:r>
                      <w:rPr>
                        <w:rStyle w:val="af7"/>
                        <w:rFonts w:ascii="宋体" w:hAnsi="宋体"/>
                      </w:rPr>
                      <w:fldChar w:fldCharType="separate"/>
                    </w:r>
                    <w:r w:rsidR="00FB1ECD">
                      <w:rPr>
                        <w:rStyle w:val="af7"/>
                        <w:rFonts w:ascii="宋体" w:hAnsi="宋体"/>
                        <w:noProof/>
                      </w:rPr>
                      <w:t>23</w:t>
                    </w:r>
                    <w:r>
                      <w:rPr>
                        <w:rStyle w:val="af7"/>
                        <w:rFonts w:ascii="宋体" w:hAnsi="宋体"/>
                      </w:rPr>
                      <w:fldChar w:fldCharType="end"/>
                    </w:r>
                  </w:p>
                  <w:p w:rsidR="0068684E" w:rsidRDefault="0068684E"/>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0021E4">
    <w:pPr>
      <w:pStyle w:val="ae"/>
      <w:ind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334"/>
                          </w:sdtPr>
                          <w:sdtEndPr/>
                          <w:sdtContent>
                            <w:p w:rsidR="0068684E" w:rsidRDefault="000021E4">
                              <w:pPr>
                                <w:pStyle w:val="ae"/>
                                <w:ind w:firstLine="360"/>
                                <w:jc w:val="center"/>
                              </w:pPr>
                              <w:r>
                                <w:fldChar w:fldCharType="begin"/>
                              </w:r>
                              <w:r>
                                <w:instrText>PAGE   \* MERGEFORMAT</w:instrText>
                              </w:r>
                              <w:r>
                                <w:fldChar w:fldCharType="separate"/>
                              </w:r>
                              <w:r w:rsidR="00FB1ECD" w:rsidRPr="00FB1ECD">
                                <w:rPr>
                                  <w:noProof/>
                                  <w:lang w:val="zh-CN"/>
                                </w:rPr>
                                <w:t>132</w:t>
                              </w:r>
                              <w:r>
                                <w:rPr>
                                  <w:lang w:val="zh-CN"/>
                                </w:rPr>
                                <w:fldChar w:fldCharType="end"/>
                              </w:r>
                            </w:p>
                          </w:sdtContent>
                        </w:sdt>
                        <w:p w:rsidR="0068684E" w:rsidRDefault="006868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sdt>
                    <w:sdtPr>
                      <w:id w:val="147463334"/>
                    </w:sdtPr>
                    <w:sdtEndPr/>
                    <w:sdtContent>
                      <w:p w:rsidR="0068684E" w:rsidRDefault="000021E4">
                        <w:pPr>
                          <w:pStyle w:val="ae"/>
                          <w:ind w:firstLine="360"/>
                          <w:jc w:val="center"/>
                        </w:pPr>
                        <w:r>
                          <w:fldChar w:fldCharType="begin"/>
                        </w:r>
                        <w:r>
                          <w:instrText>PAGE   \* MERGEFORMAT</w:instrText>
                        </w:r>
                        <w:r>
                          <w:fldChar w:fldCharType="separate"/>
                        </w:r>
                        <w:r w:rsidR="00FB1ECD" w:rsidRPr="00FB1ECD">
                          <w:rPr>
                            <w:noProof/>
                            <w:lang w:val="zh-CN"/>
                          </w:rPr>
                          <w:t>132</w:t>
                        </w:r>
                        <w:r>
                          <w:rPr>
                            <w:lang w:val="zh-CN"/>
                          </w:rPr>
                          <w:fldChar w:fldCharType="end"/>
                        </w:r>
                      </w:p>
                    </w:sdtContent>
                  </w:sdt>
                  <w:p w:rsidR="0068684E" w:rsidRDefault="0068684E"/>
                </w:txbxContent>
              </v:textbox>
              <w10:wrap anchorx="margin"/>
            </v:shape>
          </w:pict>
        </mc:Fallback>
      </mc:AlternateContent>
    </w:r>
  </w:p>
  <w:p w:rsidR="0068684E" w:rsidRDefault="0068684E">
    <w:pPr>
      <w:pStyle w:val="a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C24" w:rsidRDefault="00AA4C24">
      <w:r>
        <w:separator/>
      </w:r>
    </w:p>
  </w:footnote>
  <w:footnote w:type="continuationSeparator" w:id="0">
    <w:p w:rsidR="00AA4C24" w:rsidRDefault="00AA4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68684E">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68684E">
    <w:pPr>
      <w:pStyle w:val="af"/>
      <w:tabs>
        <w:tab w:val="right" w:pos="8280"/>
      </w:tabs>
      <w:spacing w:line="160" w:lineRule="exact"/>
      <w:ind w:firstLine="360"/>
      <w:jc w:val="right"/>
    </w:pPr>
  </w:p>
  <w:p w:rsidR="0068684E" w:rsidRDefault="0068684E">
    <w:pPr>
      <w:pStyle w:val="af"/>
      <w:tabs>
        <w:tab w:val="right" w:pos="8280"/>
      </w:tabs>
      <w:spacing w:line="160" w:lineRule="exact"/>
      <w:ind w:firstLine="360"/>
      <w:jc w:val="right"/>
      <w:rPr>
        <w:rFonts w:ascii="宋体" w:hAnsi="宋体"/>
      </w:rPr>
    </w:pPr>
  </w:p>
  <w:p w:rsidR="0068684E" w:rsidRDefault="0068684E">
    <w:pPr>
      <w:pStyle w:val="af"/>
      <w:tabs>
        <w:tab w:val="right" w:pos="8280"/>
      </w:tabs>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68684E">
    <w:pPr>
      <w:pStyle w:val="af"/>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4E" w:rsidRDefault="000021E4">
    <w:pPr>
      <w:pStyle w:val="af"/>
      <w:jc w:val="left"/>
      <w:rPr>
        <w:rFonts w:ascii="华文行楷"/>
        <w:u w:val="single"/>
      </w:rPr>
    </w:pPr>
    <w:r>
      <w:rPr>
        <w:rFonts w:ascii="宋体" w:eastAsia="宋体" w:hAnsi="宋体" w:hint="eastAsia"/>
        <w:u w:val="single"/>
      </w:rPr>
      <w:t>富国智汇稳健3个月持有期混合型基金中基金（FOF）</w:t>
    </w:r>
    <w:r>
      <w:rPr>
        <w:rFonts w:ascii="华文行楷"/>
        <w:u w:val="single"/>
      </w:rPr>
      <w:ptab w:relativeTo="margin" w:alignment="right" w:leader="none"/>
    </w:r>
    <w:r>
      <w:rPr>
        <w:rFonts w:ascii="华文行楷" w:hint="eastAsia"/>
        <w:u w:val="single"/>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845599"/>
    <w:multiLevelType w:val="multilevel"/>
    <w:tmpl w:val="1B845599"/>
    <w:lvl w:ilvl="0">
      <w:start w:val="1"/>
      <w:numFmt w:val="chineseCountingThousand"/>
      <w:pStyle w:val="21013"/>
      <w:suff w:val="nothing"/>
      <w:lvlText w:val="%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start w:val="1"/>
      <w:numFmt w:val="lowerLetter"/>
      <w:lvlText w:val="%2)"/>
      <w:lvlJc w:val="left"/>
      <w:pPr>
        <w:ind w:left="-3271" w:hanging="420"/>
      </w:pPr>
    </w:lvl>
    <w:lvl w:ilvl="2">
      <w:start w:val="1"/>
      <w:numFmt w:val="lowerRoman"/>
      <w:lvlText w:val="%3."/>
      <w:lvlJc w:val="right"/>
      <w:pPr>
        <w:ind w:left="-2851" w:hanging="420"/>
      </w:pPr>
    </w:lvl>
    <w:lvl w:ilvl="3">
      <w:start w:val="1"/>
      <w:numFmt w:val="decimal"/>
      <w:lvlText w:val="%4."/>
      <w:lvlJc w:val="left"/>
      <w:pPr>
        <w:ind w:left="-2431" w:hanging="420"/>
      </w:pPr>
    </w:lvl>
    <w:lvl w:ilvl="4">
      <w:start w:val="1"/>
      <w:numFmt w:val="lowerLetter"/>
      <w:lvlText w:val="%5)"/>
      <w:lvlJc w:val="left"/>
      <w:pPr>
        <w:ind w:left="-2011" w:hanging="420"/>
      </w:pPr>
    </w:lvl>
    <w:lvl w:ilvl="5">
      <w:start w:val="1"/>
      <w:numFmt w:val="lowerRoman"/>
      <w:lvlText w:val="%6."/>
      <w:lvlJc w:val="right"/>
      <w:pPr>
        <w:ind w:left="-1591" w:hanging="420"/>
      </w:pPr>
    </w:lvl>
    <w:lvl w:ilvl="6">
      <w:start w:val="1"/>
      <w:numFmt w:val="decimal"/>
      <w:lvlText w:val="%7."/>
      <w:lvlJc w:val="left"/>
      <w:pPr>
        <w:ind w:left="-1171" w:hanging="420"/>
      </w:pPr>
    </w:lvl>
    <w:lvl w:ilvl="7">
      <w:start w:val="1"/>
      <w:numFmt w:val="lowerLetter"/>
      <w:lvlText w:val="%8)"/>
      <w:lvlJc w:val="left"/>
      <w:pPr>
        <w:ind w:left="-751" w:hanging="420"/>
      </w:pPr>
    </w:lvl>
    <w:lvl w:ilvl="8">
      <w:start w:val="1"/>
      <w:numFmt w:val="lowerRoman"/>
      <w:lvlText w:val="%9."/>
      <w:lvlJc w:val="right"/>
      <w:pPr>
        <w:ind w:left="-331" w:hanging="420"/>
      </w:pPr>
    </w:lvl>
  </w:abstractNum>
  <w:abstractNum w:abstractNumId="2">
    <w:nsid w:val="3549643A"/>
    <w:multiLevelType w:val="multilevel"/>
    <w:tmpl w:val="3549643A"/>
    <w:lvl w:ilvl="0">
      <w:start w:val="1"/>
      <w:numFmt w:val="decimal"/>
      <w:pStyle w:val="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607F4CB2"/>
    <w:multiLevelType w:val="singleLevel"/>
    <w:tmpl w:val="607F4CB2"/>
    <w:lvl w:ilvl="0">
      <w:start w:val="9"/>
      <w:numFmt w:val="chineseCounting"/>
      <w:suff w:val="nothing"/>
      <w:lvlText w:val="%1、"/>
      <w:lvlJc w:val="left"/>
      <w:rPr>
        <w:rFonts w:hint="eastAsia"/>
      </w:rPr>
    </w:lvl>
  </w:abstractNum>
  <w:abstractNum w:abstractNumId="5">
    <w:nsid w:val="6FE147B6"/>
    <w:multiLevelType w:val="singleLevel"/>
    <w:tmpl w:val="6FE147B6"/>
    <w:lvl w:ilvl="0">
      <w:start w:val="1"/>
      <w:numFmt w:val="decimal"/>
      <w:pStyle w:val="20"/>
      <w:lvlText w:val="(%1)"/>
      <w:lvlJc w:val="left"/>
      <w:pPr>
        <w:tabs>
          <w:tab w:val="left" w:pos="360"/>
        </w:tabs>
        <w:ind w:left="0" w:firstLine="0"/>
      </w:pPr>
      <w:rPr>
        <w:rFonts w:hint="eastAsia"/>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NzYyYjI1OGUwMjNjMTMzZDE5MGI1OTNlNWM5YWQifQ=="/>
  </w:docVars>
  <w:rsids>
    <w:rsidRoot w:val="00C41CCC"/>
    <w:rsid w:val="0000023D"/>
    <w:rsid w:val="00000FDC"/>
    <w:rsid w:val="000021E4"/>
    <w:rsid w:val="00004830"/>
    <w:rsid w:val="00020188"/>
    <w:rsid w:val="000273E8"/>
    <w:rsid w:val="00036682"/>
    <w:rsid w:val="00037938"/>
    <w:rsid w:val="000417CC"/>
    <w:rsid w:val="0004274F"/>
    <w:rsid w:val="00044C38"/>
    <w:rsid w:val="00055FDF"/>
    <w:rsid w:val="00056CA1"/>
    <w:rsid w:val="0006092C"/>
    <w:rsid w:val="0006578F"/>
    <w:rsid w:val="00066E38"/>
    <w:rsid w:val="000676A0"/>
    <w:rsid w:val="00067979"/>
    <w:rsid w:val="00072B15"/>
    <w:rsid w:val="0007392C"/>
    <w:rsid w:val="00077294"/>
    <w:rsid w:val="0008169B"/>
    <w:rsid w:val="000826A4"/>
    <w:rsid w:val="00082D30"/>
    <w:rsid w:val="00085B7F"/>
    <w:rsid w:val="00092A17"/>
    <w:rsid w:val="00096B59"/>
    <w:rsid w:val="000A0E19"/>
    <w:rsid w:val="000A33AB"/>
    <w:rsid w:val="000B017F"/>
    <w:rsid w:val="000B4A74"/>
    <w:rsid w:val="000D36F9"/>
    <w:rsid w:val="000E1B89"/>
    <w:rsid w:val="000E5D65"/>
    <w:rsid w:val="000F190C"/>
    <w:rsid w:val="000F53E0"/>
    <w:rsid w:val="000F5E0E"/>
    <w:rsid w:val="000F7B95"/>
    <w:rsid w:val="00100736"/>
    <w:rsid w:val="00100D18"/>
    <w:rsid w:val="001015CC"/>
    <w:rsid w:val="00104086"/>
    <w:rsid w:val="0010490E"/>
    <w:rsid w:val="00104DC2"/>
    <w:rsid w:val="0010635F"/>
    <w:rsid w:val="00110726"/>
    <w:rsid w:val="0011316B"/>
    <w:rsid w:val="00116D30"/>
    <w:rsid w:val="00121F92"/>
    <w:rsid w:val="001276A0"/>
    <w:rsid w:val="00132B88"/>
    <w:rsid w:val="0013567F"/>
    <w:rsid w:val="00135734"/>
    <w:rsid w:val="0013586D"/>
    <w:rsid w:val="001408BC"/>
    <w:rsid w:val="00141C35"/>
    <w:rsid w:val="0015035F"/>
    <w:rsid w:val="00150B8B"/>
    <w:rsid w:val="001603BE"/>
    <w:rsid w:val="00170870"/>
    <w:rsid w:val="001773A5"/>
    <w:rsid w:val="00182CD5"/>
    <w:rsid w:val="00193C58"/>
    <w:rsid w:val="00196B38"/>
    <w:rsid w:val="001A6963"/>
    <w:rsid w:val="001A767D"/>
    <w:rsid w:val="001B1B29"/>
    <w:rsid w:val="001B7D40"/>
    <w:rsid w:val="001C2EBB"/>
    <w:rsid w:val="001C62E7"/>
    <w:rsid w:val="001D4A48"/>
    <w:rsid w:val="001D4D53"/>
    <w:rsid w:val="001F6A7F"/>
    <w:rsid w:val="0020062C"/>
    <w:rsid w:val="00207C67"/>
    <w:rsid w:val="00221FC8"/>
    <w:rsid w:val="0022739B"/>
    <w:rsid w:val="00234199"/>
    <w:rsid w:val="002422A3"/>
    <w:rsid w:val="00242680"/>
    <w:rsid w:val="002449AC"/>
    <w:rsid w:val="00246D90"/>
    <w:rsid w:val="00255005"/>
    <w:rsid w:val="00255E2D"/>
    <w:rsid w:val="00265906"/>
    <w:rsid w:val="00267AE7"/>
    <w:rsid w:val="002708DD"/>
    <w:rsid w:val="002731A2"/>
    <w:rsid w:val="0027652B"/>
    <w:rsid w:val="00280942"/>
    <w:rsid w:val="0028382C"/>
    <w:rsid w:val="0028503D"/>
    <w:rsid w:val="00285227"/>
    <w:rsid w:val="002876B5"/>
    <w:rsid w:val="0029080C"/>
    <w:rsid w:val="002A0AF7"/>
    <w:rsid w:val="002A6634"/>
    <w:rsid w:val="002B043F"/>
    <w:rsid w:val="002B3D7C"/>
    <w:rsid w:val="002B4973"/>
    <w:rsid w:val="002B5703"/>
    <w:rsid w:val="002C07CF"/>
    <w:rsid w:val="002C131B"/>
    <w:rsid w:val="002C736C"/>
    <w:rsid w:val="002C75A4"/>
    <w:rsid w:val="002D02BC"/>
    <w:rsid w:val="002D3486"/>
    <w:rsid w:val="002D65DA"/>
    <w:rsid w:val="002E06D3"/>
    <w:rsid w:val="002E36E8"/>
    <w:rsid w:val="002E5E99"/>
    <w:rsid w:val="002F058E"/>
    <w:rsid w:val="002F2211"/>
    <w:rsid w:val="00300956"/>
    <w:rsid w:val="00300C3A"/>
    <w:rsid w:val="00306DD3"/>
    <w:rsid w:val="003072F4"/>
    <w:rsid w:val="00312BCF"/>
    <w:rsid w:val="00314595"/>
    <w:rsid w:val="00314F84"/>
    <w:rsid w:val="0031776B"/>
    <w:rsid w:val="00325CC7"/>
    <w:rsid w:val="003329CB"/>
    <w:rsid w:val="003334E4"/>
    <w:rsid w:val="00341B07"/>
    <w:rsid w:val="00347278"/>
    <w:rsid w:val="00352813"/>
    <w:rsid w:val="00354E17"/>
    <w:rsid w:val="00371731"/>
    <w:rsid w:val="00371B08"/>
    <w:rsid w:val="00372265"/>
    <w:rsid w:val="003738B4"/>
    <w:rsid w:val="00376546"/>
    <w:rsid w:val="003766D8"/>
    <w:rsid w:val="0037722F"/>
    <w:rsid w:val="00381849"/>
    <w:rsid w:val="00382FD5"/>
    <w:rsid w:val="00383AE1"/>
    <w:rsid w:val="00385948"/>
    <w:rsid w:val="00392061"/>
    <w:rsid w:val="00392D11"/>
    <w:rsid w:val="003A13BA"/>
    <w:rsid w:val="003A4AF8"/>
    <w:rsid w:val="003B25C2"/>
    <w:rsid w:val="003C17BB"/>
    <w:rsid w:val="003C7953"/>
    <w:rsid w:val="003D3B51"/>
    <w:rsid w:val="003D5A08"/>
    <w:rsid w:val="003E1A1E"/>
    <w:rsid w:val="003F1A8B"/>
    <w:rsid w:val="00404DCB"/>
    <w:rsid w:val="004252DE"/>
    <w:rsid w:val="004264AB"/>
    <w:rsid w:val="004268CD"/>
    <w:rsid w:val="00434C36"/>
    <w:rsid w:val="00444853"/>
    <w:rsid w:val="00446852"/>
    <w:rsid w:val="00453544"/>
    <w:rsid w:val="00454D0A"/>
    <w:rsid w:val="004617AA"/>
    <w:rsid w:val="00463263"/>
    <w:rsid w:val="0046726C"/>
    <w:rsid w:val="00470E63"/>
    <w:rsid w:val="00474D1D"/>
    <w:rsid w:val="00477487"/>
    <w:rsid w:val="00481547"/>
    <w:rsid w:val="004835A0"/>
    <w:rsid w:val="0049088D"/>
    <w:rsid w:val="004A4BB3"/>
    <w:rsid w:val="004B3A64"/>
    <w:rsid w:val="004B411A"/>
    <w:rsid w:val="004B6401"/>
    <w:rsid w:val="004C2753"/>
    <w:rsid w:val="004D09C4"/>
    <w:rsid w:val="004E209C"/>
    <w:rsid w:val="004E4DCC"/>
    <w:rsid w:val="004E5FA9"/>
    <w:rsid w:val="004E6C59"/>
    <w:rsid w:val="004F15E4"/>
    <w:rsid w:val="004F6498"/>
    <w:rsid w:val="004F7CAD"/>
    <w:rsid w:val="00500378"/>
    <w:rsid w:val="005060C4"/>
    <w:rsid w:val="00521932"/>
    <w:rsid w:val="005239CB"/>
    <w:rsid w:val="00524191"/>
    <w:rsid w:val="0052468A"/>
    <w:rsid w:val="00525D1B"/>
    <w:rsid w:val="0053581D"/>
    <w:rsid w:val="00537912"/>
    <w:rsid w:val="00555D47"/>
    <w:rsid w:val="00560912"/>
    <w:rsid w:val="005748CD"/>
    <w:rsid w:val="00581A31"/>
    <w:rsid w:val="005825AD"/>
    <w:rsid w:val="00583E1D"/>
    <w:rsid w:val="00590156"/>
    <w:rsid w:val="005906AE"/>
    <w:rsid w:val="005A0397"/>
    <w:rsid w:val="005A58D5"/>
    <w:rsid w:val="005A688D"/>
    <w:rsid w:val="005A74BA"/>
    <w:rsid w:val="005B0AA3"/>
    <w:rsid w:val="005B5D16"/>
    <w:rsid w:val="005B652A"/>
    <w:rsid w:val="005B7F9F"/>
    <w:rsid w:val="005C7088"/>
    <w:rsid w:val="005D759F"/>
    <w:rsid w:val="005E445F"/>
    <w:rsid w:val="005E46AA"/>
    <w:rsid w:val="005F3329"/>
    <w:rsid w:val="005F50EB"/>
    <w:rsid w:val="005F57DE"/>
    <w:rsid w:val="005F69E0"/>
    <w:rsid w:val="00600C02"/>
    <w:rsid w:val="006024B7"/>
    <w:rsid w:val="00613324"/>
    <w:rsid w:val="00613C68"/>
    <w:rsid w:val="00615FE2"/>
    <w:rsid w:val="006179CD"/>
    <w:rsid w:val="006232E6"/>
    <w:rsid w:val="006253B7"/>
    <w:rsid w:val="00630DD0"/>
    <w:rsid w:val="00636461"/>
    <w:rsid w:val="006404F7"/>
    <w:rsid w:val="0064179D"/>
    <w:rsid w:val="00647663"/>
    <w:rsid w:val="00657863"/>
    <w:rsid w:val="006650B6"/>
    <w:rsid w:val="00665204"/>
    <w:rsid w:val="006764FF"/>
    <w:rsid w:val="006850F5"/>
    <w:rsid w:val="0068684E"/>
    <w:rsid w:val="0069283B"/>
    <w:rsid w:val="00696B23"/>
    <w:rsid w:val="00697035"/>
    <w:rsid w:val="006A0860"/>
    <w:rsid w:val="006A0A45"/>
    <w:rsid w:val="006A44AE"/>
    <w:rsid w:val="006A68B4"/>
    <w:rsid w:val="006B33A5"/>
    <w:rsid w:val="006B4286"/>
    <w:rsid w:val="006C0EB1"/>
    <w:rsid w:val="006C747F"/>
    <w:rsid w:val="006D3463"/>
    <w:rsid w:val="006D3988"/>
    <w:rsid w:val="006E4E9E"/>
    <w:rsid w:val="006E625C"/>
    <w:rsid w:val="006E65C3"/>
    <w:rsid w:val="006E66CC"/>
    <w:rsid w:val="006E7BFD"/>
    <w:rsid w:val="006F61C9"/>
    <w:rsid w:val="00703A6C"/>
    <w:rsid w:val="00713890"/>
    <w:rsid w:val="007144EC"/>
    <w:rsid w:val="00715EA5"/>
    <w:rsid w:val="0071694F"/>
    <w:rsid w:val="007176E5"/>
    <w:rsid w:val="00723D41"/>
    <w:rsid w:val="00726278"/>
    <w:rsid w:val="007318B0"/>
    <w:rsid w:val="00731AA0"/>
    <w:rsid w:val="00731DFA"/>
    <w:rsid w:val="00732464"/>
    <w:rsid w:val="00751906"/>
    <w:rsid w:val="00755798"/>
    <w:rsid w:val="007907D6"/>
    <w:rsid w:val="0079163E"/>
    <w:rsid w:val="007A2F37"/>
    <w:rsid w:val="007B0102"/>
    <w:rsid w:val="007B3D44"/>
    <w:rsid w:val="007B58A9"/>
    <w:rsid w:val="007C1F9D"/>
    <w:rsid w:val="007C217C"/>
    <w:rsid w:val="007C5F8E"/>
    <w:rsid w:val="007D0E13"/>
    <w:rsid w:val="007E7270"/>
    <w:rsid w:val="007E7C32"/>
    <w:rsid w:val="007F335D"/>
    <w:rsid w:val="007F3454"/>
    <w:rsid w:val="00800088"/>
    <w:rsid w:val="00806936"/>
    <w:rsid w:val="0081472E"/>
    <w:rsid w:val="00820E88"/>
    <w:rsid w:val="008267F4"/>
    <w:rsid w:val="00826A1B"/>
    <w:rsid w:val="00832E28"/>
    <w:rsid w:val="008353E8"/>
    <w:rsid w:val="00835A60"/>
    <w:rsid w:val="00842AA4"/>
    <w:rsid w:val="0084712F"/>
    <w:rsid w:val="00847C59"/>
    <w:rsid w:val="00855E06"/>
    <w:rsid w:val="00856E6F"/>
    <w:rsid w:val="00862C99"/>
    <w:rsid w:val="00866647"/>
    <w:rsid w:val="008719D5"/>
    <w:rsid w:val="0088073D"/>
    <w:rsid w:val="0088537C"/>
    <w:rsid w:val="00887F1C"/>
    <w:rsid w:val="00893767"/>
    <w:rsid w:val="00894367"/>
    <w:rsid w:val="008A5BA8"/>
    <w:rsid w:val="008B484B"/>
    <w:rsid w:val="008B4A80"/>
    <w:rsid w:val="008B7068"/>
    <w:rsid w:val="008C66ED"/>
    <w:rsid w:val="008D08F5"/>
    <w:rsid w:val="008D2FE2"/>
    <w:rsid w:val="008D47EE"/>
    <w:rsid w:val="008D4AA6"/>
    <w:rsid w:val="008D640F"/>
    <w:rsid w:val="008E4121"/>
    <w:rsid w:val="008E700D"/>
    <w:rsid w:val="008E787E"/>
    <w:rsid w:val="008F29DD"/>
    <w:rsid w:val="00901E81"/>
    <w:rsid w:val="00903EC4"/>
    <w:rsid w:val="009057DD"/>
    <w:rsid w:val="009134A4"/>
    <w:rsid w:val="009156C4"/>
    <w:rsid w:val="0091584E"/>
    <w:rsid w:val="0091797B"/>
    <w:rsid w:val="009275A7"/>
    <w:rsid w:val="009364DA"/>
    <w:rsid w:val="00944A8E"/>
    <w:rsid w:val="009460BD"/>
    <w:rsid w:val="00946BAF"/>
    <w:rsid w:val="00950095"/>
    <w:rsid w:val="0095228F"/>
    <w:rsid w:val="009536BF"/>
    <w:rsid w:val="009548A2"/>
    <w:rsid w:val="00956A22"/>
    <w:rsid w:val="00957DAA"/>
    <w:rsid w:val="00963712"/>
    <w:rsid w:val="00963DF1"/>
    <w:rsid w:val="00965573"/>
    <w:rsid w:val="0096600D"/>
    <w:rsid w:val="00966A8F"/>
    <w:rsid w:val="00966FEE"/>
    <w:rsid w:val="009671E2"/>
    <w:rsid w:val="0097367C"/>
    <w:rsid w:val="009912BE"/>
    <w:rsid w:val="00993276"/>
    <w:rsid w:val="00993E4D"/>
    <w:rsid w:val="009946C3"/>
    <w:rsid w:val="00995675"/>
    <w:rsid w:val="009959D0"/>
    <w:rsid w:val="00996D6D"/>
    <w:rsid w:val="009A1578"/>
    <w:rsid w:val="009A7CF2"/>
    <w:rsid w:val="009B46D3"/>
    <w:rsid w:val="009B74FD"/>
    <w:rsid w:val="009E4F3D"/>
    <w:rsid w:val="009F6BAD"/>
    <w:rsid w:val="00A01223"/>
    <w:rsid w:val="00A01492"/>
    <w:rsid w:val="00A02187"/>
    <w:rsid w:val="00A02A59"/>
    <w:rsid w:val="00A078AC"/>
    <w:rsid w:val="00A13E7A"/>
    <w:rsid w:val="00A14388"/>
    <w:rsid w:val="00A15E87"/>
    <w:rsid w:val="00A23588"/>
    <w:rsid w:val="00A23D3A"/>
    <w:rsid w:val="00A277CB"/>
    <w:rsid w:val="00A32D1B"/>
    <w:rsid w:val="00A3477F"/>
    <w:rsid w:val="00A4571F"/>
    <w:rsid w:val="00A53C0E"/>
    <w:rsid w:val="00A565A0"/>
    <w:rsid w:val="00A601D9"/>
    <w:rsid w:val="00A62A9C"/>
    <w:rsid w:val="00A7209C"/>
    <w:rsid w:val="00A76F80"/>
    <w:rsid w:val="00A83D03"/>
    <w:rsid w:val="00A85108"/>
    <w:rsid w:val="00A868BC"/>
    <w:rsid w:val="00A91963"/>
    <w:rsid w:val="00A979B3"/>
    <w:rsid w:val="00AA01E7"/>
    <w:rsid w:val="00AA4C24"/>
    <w:rsid w:val="00AB037A"/>
    <w:rsid w:val="00AB1227"/>
    <w:rsid w:val="00AB663C"/>
    <w:rsid w:val="00AC6E91"/>
    <w:rsid w:val="00AC7E1F"/>
    <w:rsid w:val="00AD3A80"/>
    <w:rsid w:val="00AD5081"/>
    <w:rsid w:val="00AD6020"/>
    <w:rsid w:val="00AE2EB6"/>
    <w:rsid w:val="00AE2F8B"/>
    <w:rsid w:val="00AE459F"/>
    <w:rsid w:val="00AE5279"/>
    <w:rsid w:val="00B00C8E"/>
    <w:rsid w:val="00B12E36"/>
    <w:rsid w:val="00B135B6"/>
    <w:rsid w:val="00B15CE0"/>
    <w:rsid w:val="00B31556"/>
    <w:rsid w:val="00B32943"/>
    <w:rsid w:val="00B340DD"/>
    <w:rsid w:val="00B34FBD"/>
    <w:rsid w:val="00B35710"/>
    <w:rsid w:val="00B42944"/>
    <w:rsid w:val="00B42E70"/>
    <w:rsid w:val="00B436BE"/>
    <w:rsid w:val="00B61CB2"/>
    <w:rsid w:val="00B6296F"/>
    <w:rsid w:val="00B65E2B"/>
    <w:rsid w:val="00B6617B"/>
    <w:rsid w:val="00B71AEC"/>
    <w:rsid w:val="00B72EC0"/>
    <w:rsid w:val="00B80D60"/>
    <w:rsid w:val="00B82DED"/>
    <w:rsid w:val="00B86CBB"/>
    <w:rsid w:val="00BA04A5"/>
    <w:rsid w:val="00BA4657"/>
    <w:rsid w:val="00BA515D"/>
    <w:rsid w:val="00BB03AC"/>
    <w:rsid w:val="00BB18CC"/>
    <w:rsid w:val="00BB5722"/>
    <w:rsid w:val="00BB7376"/>
    <w:rsid w:val="00BB7878"/>
    <w:rsid w:val="00BC0D0B"/>
    <w:rsid w:val="00BC7325"/>
    <w:rsid w:val="00BD03E1"/>
    <w:rsid w:val="00BD23D5"/>
    <w:rsid w:val="00BD2C75"/>
    <w:rsid w:val="00BD6B81"/>
    <w:rsid w:val="00BE1CE4"/>
    <w:rsid w:val="00BE2D4B"/>
    <w:rsid w:val="00BE7B27"/>
    <w:rsid w:val="00BF593C"/>
    <w:rsid w:val="00BF78DD"/>
    <w:rsid w:val="00C04112"/>
    <w:rsid w:val="00C10C9D"/>
    <w:rsid w:val="00C129C7"/>
    <w:rsid w:val="00C1521C"/>
    <w:rsid w:val="00C17583"/>
    <w:rsid w:val="00C21EB1"/>
    <w:rsid w:val="00C2680B"/>
    <w:rsid w:val="00C340F4"/>
    <w:rsid w:val="00C34963"/>
    <w:rsid w:val="00C40F5B"/>
    <w:rsid w:val="00C41CCC"/>
    <w:rsid w:val="00C5535A"/>
    <w:rsid w:val="00C55CD3"/>
    <w:rsid w:val="00C64215"/>
    <w:rsid w:val="00C65846"/>
    <w:rsid w:val="00C701EF"/>
    <w:rsid w:val="00C71755"/>
    <w:rsid w:val="00C72642"/>
    <w:rsid w:val="00C72CF0"/>
    <w:rsid w:val="00C73D8B"/>
    <w:rsid w:val="00C7782D"/>
    <w:rsid w:val="00C80DED"/>
    <w:rsid w:val="00C82F92"/>
    <w:rsid w:val="00C83213"/>
    <w:rsid w:val="00C91273"/>
    <w:rsid w:val="00C91F5A"/>
    <w:rsid w:val="00C943F6"/>
    <w:rsid w:val="00CA37FB"/>
    <w:rsid w:val="00CB58D9"/>
    <w:rsid w:val="00CC14ED"/>
    <w:rsid w:val="00CC3AB1"/>
    <w:rsid w:val="00CC7755"/>
    <w:rsid w:val="00CD072B"/>
    <w:rsid w:val="00CD279C"/>
    <w:rsid w:val="00CD2C2F"/>
    <w:rsid w:val="00CE2DF8"/>
    <w:rsid w:val="00CE2F53"/>
    <w:rsid w:val="00CE522C"/>
    <w:rsid w:val="00CF438B"/>
    <w:rsid w:val="00CF45E1"/>
    <w:rsid w:val="00CF511E"/>
    <w:rsid w:val="00CF6683"/>
    <w:rsid w:val="00CF6C3C"/>
    <w:rsid w:val="00D01621"/>
    <w:rsid w:val="00D04F91"/>
    <w:rsid w:val="00D0735D"/>
    <w:rsid w:val="00D10F13"/>
    <w:rsid w:val="00D222CD"/>
    <w:rsid w:val="00D2400B"/>
    <w:rsid w:val="00D24FC9"/>
    <w:rsid w:val="00D32EEE"/>
    <w:rsid w:val="00D35E79"/>
    <w:rsid w:val="00D44064"/>
    <w:rsid w:val="00D50645"/>
    <w:rsid w:val="00D54D35"/>
    <w:rsid w:val="00D57CAB"/>
    <w:rsid w:val="00D60631"/>
    <w:rsid w:val="00D6216A"/>
    <w:rsid w:val="00D63EB1"/>
    <w:rsid w:val="00D64253"/>
    <w:rsid w:val="00D675C9"/>
    <w:rsid w:val="00D67A3B"/>
    <w:rsid w:val="00D73997"/>
    <w:rsid w:val="00D77A90"/>
    <w:rsid w:val="00D80575"/>
    <w:rsid w:val="00D852C2"/>
    <w:rsid w:val="00DA4E4C"/>
    <w:rsid w:val="00DB0C13"/>
    <w:rsid w:val="00DC0F94"/>
    <w:rsid w:val="00DC27B0"/>
    <w:rsid w:val="00DD0CE8"/>
    <w:rsid w:val="00DD3247"/>
    <w:rsid w:val="00DD626A"/>
    <w:rsid w:val="00DD6B94"/>
    <w:rsid w:val="00DD71BB"/>
    <w:rsid w:val="00DE6E90"/>
    <w:rsid w:val="00DF299A"/>
    <w:rsid w:val="00E01377"/>
    <w:rsid w:val="00E0255E"/>
    <w:rsid w:val="00E13364"/>
    <w:rsid w:val="00E1413C"/>
    <w:rsid w:val="00E2778E"/>
    <w:rsid w:val="00E33892"/>
    <w:rsid w:val="00E33CA9"/>
    <w:rsid w:val="00E34D7F"/>
    <w:rsid w:val="00E433E4"/>
    <w:rsid w:val="00E5530A"/>
    <w:rsid w:val="00E57540"/>
    <w:rsid w:val="00E65DA1"/>
    <w:rsid w:val="00E77D62"/>
    <w:rsid w:val="00E93042"/>
    <w:rsid w:val="00EB4628"/>
    <w:rsid w:val="00EB51DA"/>
    <w:rsid w:val="00EB7C41"/>
    <w:rsid w:val="00ED1270"/>
    <w:rsid w:val="00ED6ED1"/>
    <w:rsid w:val="00EE52C7"/>
    <w:rsid w:val="00EE6F66"/>
    <w:rsid w:val="00F01741"/>
    <w:rsid w:val="00F03222"/>
    <w:rsid w:val="00F03F6E"/>
    <w:rsid w:val="00F07FE1"/>
    <w:rsid w:val="00F143D7"/>
    <w:rsid w:val="00F14CBB"/>
    <w:rsid w:val="00F33CED"/>
    <w:rsid w:val="00F36575"/>
    <w:rsid w:val="00F47D9D"/>
    <w:rsid w:val="00F51977"/>
    <w:rsid w:val="00F61B09"/>
    <w:rsid w:val="00F661EC"/>
    <w:rsid w:val="00F67C6F"/>
    <w:rsid w:val="00F722A4"/>
    <w:rsid w:val="00F7468D"/>
    <w:rsid w:val="00F753CA"/>
    <w:rsid w:val="00F84183"/>
    <w:rsid w:val="00F91FB1"/>
    <w:rsid w:val="00FA3F5D"/>
    <w:rsid w:val="00FA4A98"/>
    <w:rsid w:val="00FA5E8C"/>
    <w:rsid w:val="00FA6049"/>
    <w:rsid w:val="00FA6D13"/>
    <w:rsid w:val="00FB0211"/>
    <w:rsid w:val="00FB03A3"/>
    <w:rsid w:val="00FB142A"/>
    <w:rsid w:val="00FB1ECD"/>
    <w:rsid w:val="00FC1C7F"/>
    <w:rsid w:val="00FC32DF"/>
    <w:rsid w:val="00FD4F6C"/>
    <w:rsid w:val="00FE53A4"/>
    <w:rsid w:val="00FE546C"/>
    <w:rsid w:val="00FF183E"/>
    <w:rsid w:val="00FF3E86"/>
    <w:rsid w:val="019F14EE"/>
    <w:rsid w:val="06467E52"/>
    <w:rsid w:val="082B1C87"/>
    <w:rsid w:val="0DFA26A5"/>
    <w:rsid w:val="10275F54"/>
    <w:rsid w:val="17E77F06"/>
    <w:rsid w:val="18703323"/>
    <w:rsid w:val="1A8E20E7"/>
    <w:rsid w:val="1B013140"/>
    <w:rsid w:val="273D485E"/>
    <w:rsid w:val="28164551"/>
    <w:rsid w:val="2F3B588F"/>
    <w:rsid w:val="2FBF59E8"/>
    <w:rsid w:val="344D5C5B"/>
    <w:rsid w:val="350B07A9"/>
    <w:rsid w:val="3D865143"/>
    <w:rsid w:val="3F063E87"/>
    <w:rsid w:val="4C480557"/>
    <w:rsid w:val="4CFE157B"/>
    <w:rsid w:val="4E892EF3"/>
    <w:rsid w:val="4EAB0D3D"/>
    <w:rsid w:val="54DB0CF3"/>
    <w:rsid w:val="56372C39"/>
    <w:rsid w:val="5D3D1243"/>
    <w:rsid w:val="5F201DF8"/>
    <w:rsid w:val="616C05A3"/>
    <w:rsid w:val="61DF509A"/>
    <w:rsid w:val="641E4661"/>
    <w:rsid w:val="698737E5"/>
    <w:rsid w:val="70A1107F"/>
    <w:rsid w:val="72BB37F9"/>
    <w:rsid w:val="739369E5"/>
    <w:rsid w:val="7BCC752E"/>
    <w:rsid w:val="7D29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A3D927-F81E-41F3-9524-DE121E02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1">
    <w:name w:val="heading 2"/>
    <w:basedOn w:val="a0"/>
    <w:next w:val="a0"/>
    <w:link w:val="2Char"/>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0"/>
    <w:next w:val="a0"/>
    <w:link w:val="3Char"/>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0"/>
    <w:next w:val="a0"/>
    <w:link w:val="4Char"/>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0"/>
    <w:next w:val="a0"/>
    <w:link w:val="5Char"/>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0"/>
    <w:next w:val="a0"/>
    <w:link w:val="6Char"/>
    <w:unhideWhenUsed/>
    <w:qFormat/>
    <w:pPr>
      <w:keepNext/>
      <w:keepLines/>
      <w:spacing w:before="40"/>
      <w:outlineLvl w:val="5"/>
    </w:pPr>
    <w:rPr>
      <w:rFonts w:cstheme="majorBidi"/>
      <w:b/>
      <w:bCs/>
      <w:color w:val="2E74B5" w:themeColor="accent1" w:themeShade="BF"/>
    </w:rPr>
  </w:style>
  <w:style w:type="paragraph" w:styleId="7">
    <w:name w:val="heading 7"/>
    <w:basedOn w:val="a0"/>
    <w:next w:val="a0"/>
    <w:link w:val="7Char"/>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Char"/>
    <w:unhideWhenUsed/>
    <w:qFormat/>
    <w:pPr>
      <w:keepNext/>
      <w:keepLines/>
      <w:outlineLvl w:val="7"/>
    </w:pPr>
    <w:rPr>
      <w:rFonts w:cstheme="majorBidi"/>
      <w:color w:val="595959" w:themeColor="text1" w:themeTint="A6"/>
    </w:rPr>
  </w:style>
  <w:style w:type="paragraph" w:styleId="9">
    <w:name w:val="heading 9"/>
    <w:basedOn w:val="a0"/>
    <w:next w:val="a0"/>
    <w:link w:val="9Char"/>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2">
    <w:name w:val="List Number 2"/>
    <w:basedOn w:val="a0"/>
    <w:qFormat/>
    <w:pPr>
      <w:tabs>
        <w:tab w:val="left" w:pos="780"/>
      </w:tabs>
      <w:spacing w:line="360" w:lineRule="auto"/>
      <w:ind w:leftChars="200" w:left="780" w:hangingChars="200" w:hanging="360"/>
    </w:pPr>
    <w:rPr>
      <w:rFonts w:ascii="Times New Roman" w:eastAsia="宋体" w:hAnsi="Times New Roman" w:cs="Times New Roman"/>
      <w:sz w:val="24"/>
      <w:szCs w:val="20"/>
    </w:rPr>
  </w:style>
  <w:style w:type="paragraph" w:styleId="40">
    <w:name w:val="List Bullet 4"/>
    <w:basedOn w:val="a0"/>
    <w:qFormat/>
    <w:pPr>
      <w:tabs>
        <w:tab w:val="left" w:pos="1620"/>
      </w:tabs>
      <w:spacing w:line="360" w:lineRule="auto"/>
      <w:ind w:leftChars="600" w:left="1620" w:hangingChars="200" w:hanging="360"/>
    </w:pPr>
    <w:rPr>
      <w:rFonts w:ascii="Times New Roman" w:eastAsia="宋体" w:hAnsi="Times New Roman" w:cs="Times New Roman"/>
      <w:sz w:val="24"/>
      <w:szCs w:val="20"/>
    </w:rPr>
  </w:style>
  <w:style w:type="paragraph" w:styleId="a4">
    <w:name w:val="List Number"/>
    <w:basedOn w:val="a0"/>
    <w:qFormat/>
    <w:pPr>
      <w:tabs>
        <w:tab w:val="left" w:pos="360"/>
      </w:tabs>
      <w:spacing w:line="360" w:lineRule="auto"/>
      <w:ind w:left="360" w:hangingChars="200" w:hanging="360"/>
    </w:pPr>
    <w:rPr>
      <w:rFonts w:ascii="Times New Roman" w:eastAsia="宋体" w:hAnsi="Times New Roman" w:cs="Times New Roman"/>
      <w:sz w:val="24"/>
      <w:szCs w:val="20"/>
    </w:rPr>
  </w:style>
  <w:style w:type="paragraph" w:styleId="a5">
    <w:name w:val="Normal Indent"/>
    <w:basedOn w:val="a0"/>
    <w:qFormat/>
    <w:pPr>
      <w:spacing w:line="360" w:lineRule="auto"/>
      <w:ind w:firstLineChars="200" w:firstLine="420"/>
    </w:pPr>
    <w:rPr>
      <w:rFonts w:ascii="Times New Roman" w:eastAsia="宋体" w:hAnsi="Times New Roman" w:cs="Times New Roman"/>
      <w:sz w:val="24"/>
      <w:szCs w:val="24"/>
    </w:rPr>
  </w:style>
  <w:style w:type="paragraph" w:styleId="a6">
    <w:name w:val="List Bullet"/>
    <w:basedOn w:val="a0"/>
    <w:qFormat/>
    <w:pPr>
      <w:tabs>
        <w:tab w:val="left" w:pos="360"/>
      </w:tabs>
      <w:spacing w:line="360" w:lineRule="auto"/>
      <w:ind w:left="360" w:hangingChars="200" w:hanging="360"/>
    </w:pPr>
    <w:rPr>
      <w:rFonts w:ascii="Times New Roman" w:eastAsia="宋体" w:hAnsi="Times New Roman" w:cs="Times New Roman"/>
      <w:sz w:val="24"/>
      <w:szCs w:val="20"/>
    </w:rPr>
  </w:style>
  <w:style w:type="paragraph" w:styleId="a7">
    <w:name w:val="Document Map"/>
    <w:basedOn w:val="a0"/>
    <w:link w:val="Char0"/>
    <w:semiHidden/>
    <w:qFormat/>
    <w:pPr>
      <w:shd w:val="clear" w:color="auto" w:fill="000080"/>
      <w:spacing w:line="360" w:lineRule="auto"/>
      <w:ind w:firstLineChars="200" w:firstLine="200"/>
    </w:pPr>
    <w:rPr>
      <w:rFonts w:ascii="Times New Roman" w:eastAsia="宋体" w:hAnsi="Times New Roman" w:cs="Times New Roman"/>
      <w:sz w:val="24"/>
      <w:szCs w:val="24"/>
    </w:rPr>
  </w:style>
  <w:style w:type="paragraph" w:styleId="a8">
    <w:name w:val="annotation text"/>
    <w:basedOn w:val="a0"/>
    <w:link w:val="Char1"/>
    <w:qFormat/>
    <w:pPr>
      <w:spacing w:line="360" w:lineRule="auto"/>
      <w:ind w:firstLineChars="200" w:firstLine="200"/>
      <w:jc w:val="left"/>
    </w:pPr>
    <w:rPr>
      <w:rFonts w:ascii="Times New Roman" w:eastAsia="宋体" w:hAnsi="Times New Roman" w:cs="Times New Roman"/>
      <w:szCs w:val="24"/>
    </w:rPr>
  </w:style>
  <w:style w:type="paragraph" w:styleId="30">
    <w:name w:val="Body Text 3"/>
    <w:basedOn w:val="a0"/>
    <w:link w:val="3Char0"/>
    <w:qFormat/>
    <w:pPr>
      <w:spacing w:line="360" w:lineRule="auto"/>
      <w:ind w:firstLineChars="200" w:firstLine="200"/>
    </w:pPr>
    <w:rPr>
      <w:rFonts w:ascii="仿宋_GB2312" w:eastAsia="仿宋_GB2312" w:hAnsi="Arial" w:cs="Times New Roman"/>
      <w:sz w:val="24"/>
      <w:szCs w:val="24"/>
    </w:rPr>
  </w:style>
  <w:style w:type="paragraph" w:styleId="31">
    <w:name w:val="List Bullet 3"/>
    <w:basedOn w:val="a0"/>
    <w:qFormat/>
    <w:pPr>
      <w:tabs>
        <w:tab w:val="left" w:pos="1200"/>
      </w:tabs>
      <w:spacing w:line="360" w:lineRule="auto"/>
      <w:ind w:leftChars="400" w:left="1200" w:hangingChars="200" w:hanging="360"/>
    </w:pPr>
    <w:rPr>
      <w:rFonts w:ascii="Times New Roman" w:eastAsia="宋体" w:hAnsi="Times New Roman" w:cs="Times New Roman"/>
      <w:sz w:val="24"/>
      <w:szCs w:val="20"/>
    </w:rPr>
  </w:style>
  <w:style w:type="paragraph" w:styleId="a9">
    <w:name w:val="Body Text"/>
    <w:basedOn w:val="a0"/>
    <w:link w:val="Char2"/>
    <w:qFormat/>
    <w:pPr>
      <w:spacing w:after="120" w:line="360" w:lineRule="auto"/>
      <w:ind w:firstLineChars="200" w:firstLine="200"/>
    </w:pPr>
    <w:rPr>
      <w:rFonts w:ascii="Times New Roman" w:eastAsia="宋体" w:hAnsi="Times New Roman" w:cs="Times New Roman"/>
      <w:szCs w:val="24"/>
    </w:rPr>
  </w:style>
  <w:style w:type="paragraph" w:styleId="aa">
    <w:name w:val="Body Text Indent"/>
    <w:basedOn w:val="a0"/>
    <w:link w:val="Char3"/>
    <w:qFormat/>
    <w:pPr>
      <w:widowControl/>
      <w:spacing w:line="360" w:lineRule="auto"/>
      <w:ind w:rightChars="-85" w:right="-178" w:firstLineChars="150" w:firstLine="360"/>
      <w:jc w:val="left"/>
    </w:pPr>
    <w:rPr>
      <w:rFonts w:ascii="宋体" w:eastAsia="宋体" w:hAnsi="宋体" w:cs="Times New Roman"/>
      <w:sz w:val="24"/>
      <w:szCs w:val="24"/>
    </w:rPr>
  </w:style>
  <w:style w:type="paragraph" w:styleId="32">
    <w:name w:val="List Number 3"/>
    <w:basedOn w:val="a0"/>
    <w:qFormat/>
    <w:pPr>
      <w:tabs>
        <w:tab w:val="left" w:pos="1200"/>
      </w:tabs>
      <w:spacing w:line="360" w:lineRule="auto"/>
      <w:ind w:leftChars="400" w:left="1200" w:hangingChars="200" w:hanging="360"/>
    </w:pPr>
    <w:rPr>
      <w:rFonts w:ascii="Times New Roman" w:eastAsia="宋体" w:hAnsi="Times New Roman" w:cs="Times New Roman"/>
      <w:sz w:val="24"/>
      <w:szCs w:val="20"/>
    </w:rPr>
  </w:style>
  <w:style w:type="paragraph" w:styleId="23">
    <w:name w:val="List Bullet 2"/>
    <w:basedOn w:val="a0"/>
    <w:qFormat/>
    <w:pPr>
      <w:tabs>
        <w:tab w:val="left" w:pos="780"/>
      </w:tabs>
      <w:spacing w:line="360" w:lineRule="auto"/>
      <w:ind w:leftChars="200" w:left="780" w:hangingChars="200" w:hanging="360"/>
    </w:pPr>
    <w:rPr>
      <w:rFonts w:ascii="Times New Roman" w:eastAsia="宋体" w:hAnsi="Times New Roman" w:cs="Times New Roman"/>
      <w:sz w:val="24"/>
      <w:szCs w:val="20"/>
    </w:rPr>
  </w:style>
  <w:style w:type="paragraph" w:styleId="ab">
    <w:name w:val="Plain Text"/>
    <w:basedOn w:val="a0"/>
    <w:link w:val="Char4"/>
    <w:uiPriority w:val="99"/>
    <w:qFormat/>
    <w:pPr>
      <w:widowControl/>
      <w:spacing w:line="360" w:lineRule="auto"/>
      <w:ind w:firstLineChars="200" w:firstLine="200"/>
      <w:jc w:val="left"/>
    </w:pPr>
    <w:rPr>
      <w:rFonts w:ascii="Courier New" w:eastAsia="宋体" w:hAnsi="Courier New" w:cs="Courier New"/>
      <w:kern w:val="0"/>
      <w:sz w:val="20"/>
      <w:szCs w:val="20"/>
    </w:rPr>
  </w:style>
  <w:style w:type="paragraph" w:styleId="50">
    <w:name w:val="List Bullet 5"/>
    <w:basedOn w:val="a0"/>
    <w:qFormat/>
    <w:pPr>
      <w:tabs>
        <w:tab w:val="left" w:pos="2040"/>
      </w:tabs>
      <w:spacing w:line="360" w:lineRule="auto"/>
      <w:ind w:leftChars="800" w:left="2040" w:hangingChars="200" w:hanging="360"/>
    </w:pPr>
    <w:rPr>
      <w:rFonts w:ascii="Times New Roman" w:eastAsia="宋体" w:hAnsi="Times New Roman" w:cs="Times New Roman"/>
      <w:sz w:val="24"/>
      <w:szCs w:val="20"/>
    </w:rPr>
  </w:style>
  <w:style w:type="paragraph" w:styleId="41">
    <w:name w:val="List Number 4"/>
    <w:basedOn w:val="a0"/>
    <w:qFormat/>
    <w:pPr>
      <w:tabs>
        <w:tab w:val="left" w:pos="1620"/>
      </w:tabs>
      <w:spacing w:line="360" w:lineRule="auto"/>
      <w:ind w:leftChars="600" w:left="1620" w:hangingChars="200" w:hanging="360"/>
    </w:pPr>
    <w:rPr>
      <w:rFonts w:ascii="Times New Roman" w:eastAsia="宋体" w:hAnsi="Times New Roman" w:cs="Times New Roman"/>
      <w:sz w:val="24"/>
      <w:szCs w:val="20"/>
    </w:rPr>
  </w:style>
  <w:style w:type="paragraph" w:styleId="ac">
    <w:name w:val="Date"/>
    <w:basedOn w:val="a0"/>
    <w:next w:val="a0"/>
    <w:link w:val="Char5"/>
    <w:qFormat/>
    <w:pPr>
      <w:spacing w:line="360" w:lineRule="auto"/>
      <w:ind w:leftChars="2500" w:left="100" w:firstLineChars="200" w:firstLine="200"/>
    </w:pPr>
    <w:rPr>
      <w:rFonts w:ascii="Times New Roman" w:eastAsia="宋体" w:hAnsi="Times New Roman" w:cs="Times New Roman"/>
      <w:sz w:val="24"/>
      <w:szCs w:val="24"/>
    </w:rPr>
  </w:style>
  <w:style w:type="paragraph" w:styleId="24">
    <w:name w:val="Body Text Indent 2"/>
    <w:basedOn w:val="a0"/>
    <w:link w:val="2Char0"/>
    <w:qFormat/>
    <w:pPr>
      <w:widowControl/>
      <w:spacing w:before="100" w:beforeAutospacing="1" w:after="100" w:afterAutospacing="1" w:line="360" w:lineRule="auto"/>
      <w:ind w:rightChars="-85" w:right="-178" w:firstLineChars="200" w:firstLine="480"/>
      <w:outlineLvl w:val="0"/>
    </w:pPr>
    <w:rPr>
      <w:rFonts w:ascii="宋体" w:eastAsia="宋体" w:hAnsi="宋体" w:cs="Times New Roman"/>
      <w:color w:val="000000"/>
      <w:sz w:val="24"/>
      <w:szCs w:val="24"/>
    </w:rPr>
  </w:style>
  <w:style w:type="paragraph" w:styleId="ad">
    <w:name w:val="Balloon Text"/>
    <w:basedOn w:val="a0"/>
    <w:link w:val="Char6"/>
    <w:uiPriority w:val="99"/>
    <w:semiHidden/>
    <w:unhideWhenUsed/>
    <w:qFormat/>
    <w:pPr>
      <w:ind w:firstLineChars="200" w:firstLine="200"/>
    </w:pPr>
    <w:rPr>
      <w:rFonts w:ascii="Times New Roman" w:eastAsia="宋体" w:hAnsi="Times New Roman" w:cs="Times New Roman"/>
      <w:sz w:val="18"/>
      <w:szCs w:val="18"/>
    </w:rPr>
  </w:style>
  <w:style w:type="paragraph" w:styleId="ae">
    <w:name w:val="footer"/>
    <w:basedOn w:val="a0"/>
    <w:link w:val="Char7"/>
    <w:uiPriority w:val="99"/>
    <w:unhideWhenUsed/>
    <w:qFormat/>
    <w:pPr>
      <w:tabs>
        <w:tab w:val="center" w:pos="4153"/>
        <w:tab w:val="right" w:pos="8306"/>
      </w:tabs>
      <w:snapToGrid w:val="0"/>
      <w:jc w:val="left"/>
    </w:pPr>
    <w:rPr>
      <w:sz w:val="18"/>
      <w:szCs w:val="18"/>
    </w:rPr>
  </w:style>
  <w:style w:type="paragraph" w:styleId="af">
    <w:name w:val="header"/>
    <w:basedOn w:val="a0"/>
    <w:link w:val="Char8"/>
    <w:uiPriority w:val="99"/>
    <w:unhideWhenUsed/>
    <w:qFormat/>
    <w:pPr>
      <w:tabs>
        <w:tab w:val="center" w:pos="4153"/>
        <w:tab w:val="right" w:pos="8306"/>
      </w:tabs>
      <w:snapToGrid w:val="0"/>
      <w:jc w:val="center"/>
    </w:pPr>
    <w:rPr>
      <w:sz w:val="18"/>
      <w:szCs w:val="18"/>
    </w:rPr>
  </w:style>
  <w:style w:type="paragraph" w:styleId="10">
    <w:name w:val="toc 1"/>
    <w:basedOn w:val="a0"/>
    <w:next w:val="a0"/>
    <w:uiPriority w:val="39"/>
    <w:qFormat/>
    <w:pPr>
      <w:tabs>
        <w:tab w:val="right" w:leader="dot" w:pos="8450"/>
      </w:tabs>
      <w:spacing w:line="360" w:lineRule="auto"/>
    </w:pPr>
    <w:rPr>
      <w:rFonts w:ascii="黑体" w:eastAsia="黑体" w:hAnsi="宋体" w:cs="Times New Roman"/>
      <w:sz w:val="24"/>
      <w:szCs w:val="24"/>
    </w:rPr>
  </w:style>
  <w:style w:type="paragraph" w:styleId="af0">
    <w:name w:val="Subtitle"/>
    <w:basedOn w:val="a0"/>
    <w:next w:val="a0"/>
    <w:link w:val="Char9"/>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51">
    <w:name w:val="List Number 5"/>
    <w:basedOn w:val="a0"/>
    <w:qFormat/>
    <w:pPr>
      <w:tabs>
        <w:tab w:val="left" w:pos="2040"/>
      </w:tabs>
      <w:spacing w:line="360" w:lineRule="auto"/>
      <w:ind w:leftChars="800" w:left="2040" w:hangingChars="200" w:hanging="360"/>
    </w:pPr>
    <w:rPr>
      <w:rFonts w:ascii="Times New Roman" w:eastAsia="宋体" w:hAnsi="Times New Roman" w:cs="Times New Roman"/>
      <w:sz w:val="24"/>
      <w:szCs w:val="20"/>
    </w:rPr>
  </w:style>
  <w:style w:type="paragraph" w:styleId="33">
    <w:name w:val="Body Text Indent 3"/>
    <w:basedOn w:val="a0"/>
    <w:link w:val="3Char1"/>
    <w:qFormat/>
    <w:pPr>
      <w:spacing w:after="120" w:line="360" w:lineRule="auto"/>
      <w:ind w:leftChars="200" w:left="420" w:firstLineChars="200" w:firstLine="200"/>
    </w:pPr>
    <w:rPr>
      <w:rFonts w:ascii="Times New Roman" w:eastAsia="宋体" w:hAnsi="Times New Roman" w:cs="Times New Roman"/>
      <w:sz w:val="16"/>
      <w:szCs w:val="16"/>
    </w:rPr>
  </w:style>
  <w:style w:type="paragraph" w:styleId="25">
    <w:name w:val="toc 2"/>
    <w:basedOn w:val="a0"/>
    <w:next w:val="a0"/>
    <w:semiHidden/>
    <w:qFormat/>
    <w:pPr>
      <w:spacing w:line="360" w:lineRule="auto"/>
      <w:ind w:leftChars="200" w:left="420" w:firstLineChars="200" w:firstLine="200"/>
    </w:pPr>
    <w:rPr>
      <w:rFonts w:ascii="Times New Roman" w:eastAsia="宋体" w:hAnsi="Times New Roman" w:cs="Times New Roman"/>
      <w:sz w:val="24"/>
      <w:szCs w:val="24"/>
    </w:rPr>
  </w:style>
  <w:style w:type="paragraph" w:styleId="26">
    <w:name w:val="Body Text 2"/>
    <w:basedOn w:val="a0"/>
    <w:link w:val="2Char1"/>
    <w:qFormat/>
    <w:pPr>
      <w:spacing w:line="360" w:lineRule="auto"/>
      <w:ind w:firstLineChars="200" w:firstLine="200"/>
    </w:pPr>
    <w:rPr>
      <w:rFonts w:ascii="Times New Roman" w:eastAsia="宋体" w:hAnsi="Times New Roman" w:cs="Times New Roman"/>
      <w:sz w:val="24"/>
      <w:szCs w:val="20"/>
    </w:rPr>
  </w:style>
  <w:style w:type="paragraph" w:styleId="af1">
    <w:name w:val="Normal (Web)"/>
    <w:basedOn w:val="a0"/>
    <w:qFormat/>
    <w:pPr>
      <w:widowControl/>
      <w:tabs>
        <w:tab w:val="left" w:pos="360"/>
      </w:tabs>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styleId="af2">
    <w:name w:val="Title"/>
    <w:basedOn w:val="a0"/>
    <w:next w:val="a0"/>
    <w:link w:val="Chara"/>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8"/>
    <w:next w:val="a8"/>
    <w:link w:val="Charb"/>
    <w:semiHidden/>
    <w:qFormat/>
    <w:rPr>
      <w:b/>
      <w:bCs/>
    </w:rPr>
  </w:style>
  <w:style w:type="paragraph" w:styleId="af4">
    <w:name w:val="Body Text First Indent"/>
    <w:basedOn w:val="a9"/>
    <w:link w:val="Charc"/>
    <w:qFormat/>
    <w:pPr>
      <w:spacing w:line="300" w:lineRule="auto"/>
      <w:ind w:firstLine="425"/>
    </w:pPr>
    <w:rPr>
      <w:szCs w:val="20"/>
    </w:rPr>
  </w:style>
  <w:style w:type="table" w:styleId="af5">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1"/>
    <w:qFormat/>
  </w:style>
  <w:style w:type="character" w:styleId="af8">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9">
    <w:name w:val="Hyperlink"/>
    <w:uiPriority w:val="99"/>
    <w:qFormat/>
    <w:rPr>
      <w:color w:val="0000FF"/>
      <w:u w:val="single"/>
    </w:rPr>
  </w:style>
  <w:style w:type="character" w:styleId="afa">
    <w:name w:val="annotation reference"/>
    <w:basedOn w:val="a1"/>
    <w:uiPriority w:val="99"/>
    <w:qFormat/>
    <w:rPr>
      <w:sz w:val="21"/>
      <w:szCs w:val="21"/>
    </w:rPr>
  </w:style>
  <w:style w:type="character" w:customStyle="1" w:styleId="1Char">
    <w:name w:val="标题 1 Char"/>
    <w:basedOn w:val="a1"/>
    <w:link w:val="1"/>
    <w:qFormat/>
    <w:rPr>
      <w:rFonts w:asciiTheme="majorHAnsi" w:eastAsiaTheme="majorEastAsia" w:hAnsiTheme="majorHAnsi" w:cstheme="majorBidi"/>
      <w:color w:val="2E74B5" w:themeColor="accent1" w:themeShade="BF"/>
      <w:sz w:val="48"/>
      <w:szCs w:val="48"/>
    </w:rPr>
  </w:style>
  <w:style w:type="character" w:customStyle="1" w:styleId="2Char">
    <w:name w:val="标题 2 Char"/>
    <w:basedOn w:val="a1"/>
    <w:link w:val="21"/>
    <w:qFormat/>
    <w:rPr>
      <w:rFonts w:asciiTheme="majorHAnsi" w:eastAsiaTheme="majorEastAsia" w:hAnsiTheme="majorHAnsi" w:cstheme="majorBidi"/>
      <w:color w:val="2E74B5" w:themeColor="accent1" w:themeShade="BF"/>
      <w:sz w:val="40"/>
      <w:szCs w:val="40"/>
    </w:rPr>
  </w:style>
  <w:style w:type="character" w:customStyle="1" w:styleId="3Char">
    <w:name w:val="标题 3 Char"/>
    <w:basedOn w:val="a1"/>
    <w:link w:val="3"/>
    <w:qFormat/>
    <w:rPr>
      <w:rFonts w:asciiTheme="majorHAnsi" w:eastAsiaTheme="majorEastAsia" w:hAnsiTheme="majorHAnsi" w:cstheme="majorBidi"/>
      <w:color w:val="2E74B5" w:themeColor="accent1" w:themeShade="BF"/>
      <w:sz w:val="32"/>
      <w:szCs w:val="32"/>
    </w:rPr>
  </w:style>
  <w:style w:type="character" w:customStyle="1" w:styleId="4Char">
    <w:name w:val="标题 4 Char"/>
    <w:basedOn w:val="a1"/>
    <w:link w:val="4"/>
    <w:qFormat/>
    <w:rPr>
      <w:rFonts w:cstheme="majorBidi"/>
      <w:color w:val="2E74B5" w:themeColor="accent1" w:themeShade="BF"/>
      <w:sz w:val="28"/>
      <w:szCs w:val="28"/>
    </w:rPr>
  </w:style>
  <w:style w:type="character" w:customStyle="1" w:styleId="5Char">
    <w:name w:val="标题 5 Char"/>
    <w:basedOn w:val="a1"/>
    <w:link w:val="5"/>
    <w:qFormat/>
    <w:rPr>
      <w:rFonts w:cstheme="majorBidi"/>
      <w:color w:val="2E74B5" w:themeColor="accent1" w:themeShade="BF"/>
      <w:sz w:val="24"/>
      <w:szCs w:val="24"/>
    </w:rPr>
  </w:style>
  <w:style w:type="character" w:customStyle="1" w:styleId="6Char">
    <w:name w:val="标题 6 Char"/>
    <w:basedOn w:val="a1"/>
    <w:link w:val="6"/>
    <w:qFormat/>
    <w:rPr>
      <w:rFonts w:cstheme="majorBidi"/>
      <w:b/>
      <w:bCs/>
      <w:color w:val="2E74B5" w:themeColor="accent1" w:themeShade="BF"/>
    </w:rPr>
  </w:style>
  <w:style w:type="character" w:customStyle="1" w:styleId="7Char">
    <w:name w:val="标题 7 Char"/>
    <w:basedOn w:val="a1"/>
    <w:link w:val="7"/>
    <w:qFormat/>
    <w:rPr>
      <w:rFonts w:cstheme="majorBidi"/>
      <w:b/>
      <w:bCs/>
      <w:color w:val="595959" w:themeColor="text1" w:themeTint="A6"/>
    </w:rPr>
  </w:style>
  <w:style w:type="character" w:customStyle="1" w:styleId="8Char">
    <w:name w:val="标题 8 Char"/>
    <w:basedOn w:val="a1"/>
    <w:link w:val="8"/>
    <w:qFormat/>
    <w:rPr>
      <w:rFonts w:cstheme="majorBidi"/>
      <w:color w:val="595959" w:themeColor="text1" w:themeTint="A6"/>
    </w:rPr>
  </w:style>
  <w:style w:type="character" w:customStyle="1" w:styleId="9Char">
    <w:name w:val="标题 9 Char"/>
    <w:basedOn w:val="a1"/>
    <w:link w:val="9"/>
    <w:qFormat/>
    <w:rPr>
      <w:rFonts w:eastAsiaTheme="majorEastAsia" w:cstheme="majorBidi"/>
      <w:color w:val="595959" w:themeColor="text1" w:themeTint="A6"/>
    </w:rPr>
  </w:style>
  <w:style w:type="character" w:customStyle="1" w:styleId="Chara">
    <w:name w:val="标题 Char"/>
    <w:basedOn w:val="a1"/>
    <w:link w:val="af2"/>
    <w:qFormat/>
    <w:rPr>
      <w:rFonts w:asciiTheme="majorHAnsi" w:eastAsiaTheme="majorEastAsia" w:hAnsiTheme="majorHAnsi" w:cstheme="majorBidi"/>
      <w:spacing w:val="-10"/>
      <w:kern w:val="28"/>
      <w:sz w:val="56"/>
      <w:szCs w:val="56"/>
    </w:rPr>
  </w:style>
  <w:style w:type="character" w:customStyle="1" w:styleId="Char9">
    <w:name w:val="副标题 Char"/>
    <w:basedOn w:val="a1"/>
    <w:link w:val="af0"/>
    <w:qFormat/>
    <w:rPr>
      <w:rFonts w:asciiTheme="majorHAnsi" w:eastAsiaTheme="majorEastAsia" w:hAnsiTheme="majorHAnsi" w:cstheme="majorBidi"/>
      <w:color w:val="595959" w:themeColor="text1" w:themeTint="A6"/>
      <w:spacing w:val="15"/>
      <w:sz w:val="28"/>
      <w:szCs w:val="28"/>
    </w:rPr>
  </w:style>
  <w:style w:type="paragraph" w:styleId="afb">
    <w:name w:val="Quote"/>
    <w:basedOn w:val="a0"/>
    <w:next w:val="a0"/>
    <w:link w:val="Chard"/>
    <w:uiPriority w:val="29"/>
    <w:qFormat/>
    <w:pPr>
      <w:spacing w:before="160" w:after="160"/>
      <w:jc w:val="center"/>
    </w:pPr>
    <w:rPr>
      <w:i/>
      <w:iCs/>
      <w:color w:val="404040" w:themeColor="text1" w:themeTint="BF"/>
    </w:rPr>
  </w:style>
  <w:style w:type="character" w:customStyle="1" w:styleId="Chard">
    <w:name w:val="引用 Char"/>
    <w:basedOn w:val="a1"/>
    <w:link w:val="afb"/>
    <w:uiPriority w:val="29"/>
    <w:qFormat/>
    <w:rPr>
      <w:i/>
      <w:iCs/>
      <w:color w:val="404040" w:themeColor="text1" w:themeTint="BF"/>
    </w:rPr>
  </w:style>
  <w:style w:type="paragraph" w:styleId="afc">
    <w:name w:val="List Paragraph"/>
    <w:basedOn w:val="a0"/>
    <w:uiPriority w:val="99"/>
    <w:qFormat/>
    <w:pPr>
      <w:ind w:left="720"/>
      <w:contextualSpacing/>
    </w:pPr>
  </w:style>
  <w:style w:type="character" w:customStyle="1" w:styleId="11">
    <w:name w:val="明显强调1"/>
    <w:basedOn w:val="a1"/>
    <w:uiPriority w:val="21"/>
    <w:qFormat/>
    <w:rPr>
      <w:i/>
      <w:iCs/>
      <w:color w:val="2E74B5" w:themeColor="accent1" w:themeShade="BF"/>
    </w:rPr>
  </w:style>
  <w:style w:type="paragraph" w:styleId="afd">
    <w:name w:val="Intense Quote"/>
    <w:basedOn w:val="a0"/>
    <w:next w:val="a0"/>
    <w:link w:val="Chare"/>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e">
    <w:name w:val="明显引用 Char"/>
    <w:basedOn w:val="a1"/>
    <w:link w:val="afd"/>
    <w:uiPriority w:val="30"/>
    <w:qFormat/>
    <w:rPr>
      <w:i/>
      <w:iCs/>
      <w:color w:val="2E74B5" w:themeColor="accent1" w:themeShade="BF"/>
    </w:rPr>
  </w:style>
  <w:style w:type="character" w:customStyle="1" w:styleId="12">
    <w:name w:val="明显参考1"/>
    <w:basedOn w:val="a1"/>
    <w:uiPriority w:val="32"/>
    <w:qFormat/>
    <w:rPr>
      <w:b/>
      <w:bCs/>
      <w:smallCaps/>
      <w:color w:val="2E74B5" w:themeColor="accent1" w:themeShade="BF"/>
      <w:spacing w:val="5"/>
    </w:rPr>
  </w:style>
  <w:style w:type="character" w:customStyle="1" w:styleId="Char8">
    <w:name w:val="页眉 Char"/>
    <w:basedOn w:val="a1"/>
    <w:link w:val="af"/>
    <w:uiPriority w:val="99"/>
    <w:qFormat/>
    <w:rPr>
      <w:sz w:val="18"/>
      <w:szCs w:val="18"/>
    </w:rPr>
  </w:style>
  <w:style w:type="character" w:customStyle="1" w:styleId="Char7">
    <w:name w:val="页脚 Char"/>
    <w:basedOn w:val="a1"/>
    <w:link w:val="ae"/>
    <w:uiPriority w:val="99"/>
    <w:qFormat/>
    <w:rPr>
      <w:sz w:val="18"/>
      <w:szCs w:val="18"/>
    </w:rPr>
  </w:style>
  <w:style w:type="character" w:customStyle="1" w:styleId="Char6">
    <w:name w:val="批注框文本 Char"/>
    <w:basedOn w:val="a1"/>
    <w:link w:val="ad"/>
    <w:uiPriority w:val="99"/>
    <w:semiHidden/>
    <w:qFormat/>
    <w:rPr>
      <w:rFonts w:ascii="Times New Roman" w:eastAsia="宋体" w:hAnsi="Times New Roman" w:cs="Times New Roman"/>
      <w:sz w:val="18"/>
      <w:szCs w:val="18"/>
    </w:rPr>
  </w:style>
  <w:style w:type="character" w:customStyle="1" w:styleId="Char0">
    <w:name w:val="文档结构图 Char"/>
    <w:basedOn w:val="a1"/>
    <w:link w:val="a7"/>
    <w:semiHidden/>
    <w:qFormat/>
    <w:rPr>
      <w:rFonts w:ascii="Times New Roman" w:eastAsia="宋体" w:hAnsi="Times New Roman" w:cs="Times New Roman"/>
      <w:sz w:val="24"/>
      <w:szCs w:val="24"/>
      <w:shd w:val="clear" w:color="auto" w:fill="000080"/>
    </w:rPr>
  </w:style>
  <w:style w:type="character" w:customStyle="1" w:styleId="Char1">
    <w:name w:val="批注文字 Char"/>
    <w:basedOn w:val="a1"/>
    <w:link w:val="a8"/>
    <w:qFormat/>
    <w:rPr>
      <w:rFonts w:ascii="Times New Roman" w:eastAsia="宋体" w:hAnsi="Times New Roman" w:cs="Times New Roman"/>
      <w:szCs w:val="24"/>
    </w:rPr>
  </w:style>
  <w:style w:type="character" w:customStyle="1" w:styleId="3Char0">
    <w:name w:val="正文文本 3 Char"/>
    <w:basedOn w:val="a1"/>
    <w:link w:val="30"/>
    <w:qFormat/>
    <w:rPr>
      <w:rFonts w:ascii="仿宋_GB2312" w:eastAsia="仿宋_GB2312" w:hAnsi="Arial" w:cs="Times New Roman"/>
      <w:sz w:val="24"/>
      <w:szCs w:val="24"/>
    </w:rPr>
  </w:style>
  <w:style w:type="character" w:customStyle="1" w:styleId="Char2">
    <w:name w:val="正文文本 Char"/>
    <w:basedOn w:val="a1"/>
    <w:link w:val="a9"/>
    <w:qFormat/>
    <w:rPr>
      <w:rFonts w:ascii="Times New Roman" w:eastAsia="宋体" w:hAnsi="Times New Roman" w:cs="Times New Roman"/>
      <w:szCs w:val="24"/>
    </w:rPr>
  </w:style>
  <w:style w:type="character" w:customStyle="1" w:styleId="Char3">
    <w:name w:val="正文文本缩进 Char"/>
    <w:basedOn w:val="a1"/>
    <w:link w:val="aa"/>
    <w:qFormat/>
    <w:rPr>
      <w:rFonts w:ascii="宋体" w:eastAsia="宋体" w:hAnsi="宋体" w:cs="Times New Roman"/>
      <w:sz w:val="24"/>
      <w:szCs w:val="24"/>
    </w:rPr>
  </w:style>
  <w:style w:type="character" w:customStyle="1" w:styleId="Char4">
    <w:name w:val="纯文本 Char"/>
    <w:basedOn w:val="a1"/>
    <w:link w:val="ab"/>
    <w:uiPriority w:val="99"/>
    <w:qFormat/>
    <w:rPr>
      <w:rFonts w:ascii="Courier New" w:eastAsia="宋体" w:hAnsi="Courier New" w:cs="Courier New"/>
      <w:kern w:val="0"/>
      <w:sz w:val="20"/>
      <w:szCs w:val="20"/>
    </w:rPr>
  </w:style>
  <w:style w:type="character" w:customStyle="1" w:styleId="Char5">
    <w:name w:val="日期 Char"/>
    <w:basedOn w:val="a1"/>
    <w:link w:val="ac"/>
    <w:qFormat/>
    <w:rPr>
      <w:rFonts w:ascii="Times New Roman" w:eastAsia="宋体" w:hAnsi="Times New Roman" w:cs="Times New Roman"/>
      <w:sz w:val="24"/>
      <w:szCs w:val="24"/>
    </w:rPr>
  </w:style>
  <w:style w:type="character" w:customStyle="1" w:styleId="2Char0">
    <w:name w:val="正文文本缩进 2 Char"/>
    <w:basedOn w:val="a1"/>
    <w:link w:val="24"/>
    <w:qFormat/>
    <w:rPr>
      <w:rFonts w:ascii="宋体" w:eastAsia="宋体" w:hAnsi="宋体" w:cs="Times New Roman"/>
      <w:color w:val="000000"/>
      <w:sz w:val="24"/>
      <w:szCs w:val="24"/>
    </w:rPr>
  </w:style>
  <w:style w:type="character" w:customStyle="1" w:styleId="3Char1">
    <w:name w:val="正文文本缩进 3 Char"/>
    <w:basedOn w:val="a1"/>
    <w:link w:val="33"/>
    <w:qFormat/>
    <w:rPr>
      <w:rFonts w:ascii="Times New Roman" w:eastAsia="宋体" w:hAnsi="Times New Roman" w:cs="Times New Roman"/>
      <w:sz w:val="16"/>
      <w:szCs w:val="16"/>
    </w:rPr>
  </w:style>
  <w:style w:type="character" w:customStyle="1" w:styleId="2Char1">
    <w:name w:val="正文文本 2 Char"/>
    <w:basedOn w:val="a1"/>
    <w:link w:val="26"/>
    <w:qFormat/>
    <w:rPr>
      <w:rFonts w:ascii="Times New Roman" w:eastAsia="宋体" w:hAnsi="Times New Roman" w:cs="Times New Roman"/>
      <w:sz w:val="24"/>
      <w:szCs w:val="20"/>
    </w:rPr>
  </w:style>
  <w:style w:type="character" w:customStyle="1" w:styleId="Charb">
    <w:name w:val="批注主题 Char"/>
    <w:basedOn w:val="Char1"/>
    <w:link w:val="af3"/>
    <w:semiHidden/>
    <w:qFormat/>
    <w:rPr>
      <w:rFonts w:ascii="Times New Roman" w:eastAsia="宋体" w:hAnsi="Times New Roman" w:cs="Times New Roman"/>
      <w:b/>
      <w:bCs/>
      <w:szCs w:val="24"/>
    </w:rPr>
  </w:style>
  <w:style w:type="character" w:customStyle="1" w:styleId="Charc">
    <w:name w:val="正文首行缩进 Char"/>
    <w:basedOn w:val="Char2"/>
    <w:link w:val="af4"/>
    <w:qFormat/>
    <w:rPr>
      <w:rFonts w:ascii="Times New Roman" w:eastAsia="宋体" w:hAnsi="Times New Roman" w:cs="Times New Roman"/>
      <w:szCs w:val="20"/>
    </w:rPr>
  </w:style>
  <w:style w:type="paragraph" w:customStyle="1" w:styleId="xl22">
    <w:name w:val="xl22"/>
    <w:basedOn w:val="a0"/>
    <w:qFormat/>
    <w:pPr>
      <w:widowControl/>
      <w:spacing w:before="100" w:beforeAutospacing="1" w:after="100" w:afterAutospacing="1" w:line="360" w:lineRule="auto"/>
      <w:ind w:firstLineChars="200" w:firstLine="200"/>
      <w:textAlignment w:val="top"/>
    </w:pPr>
    <w:rPr>
      <w:rFonts w:ascii="宋体" w:eastAsia="宋体" w:hAnsi="宋体" w:cs="Arial Unicode MS" w:hint="eastAsia"/>
      <w:kern w:val="0"/>
      <w:sz w:val="18"/>
      <w:szCs w:val="18"/>
    </w:rPr>
  </w:style>
  <w:style w:type="paragraph" w:customStyle="1" w:styleId="afe">
    <w:name w:val="表格正文"/>
    <w:basedOn w:val="a5"/>
    <w:qFormat/>
    <w:pPr>
      <w:spacing w:beforeLines="50"/>
      <w:ind w:firstLineChars="0" w:firstLine="0"/>
      <w:jc w:val="center"/>
    </w:pPr>
    <w:rPr>
      <w:szCs w:val="20"/>
    </w:rPr>
  </w:style>
  <w:style w:type="paragraph" w:customStyle="1" w:styleId="a">
    <w:name w:val="项目"/>
    <w:basedOn w:val="4"/>
    <w:qFormat/>
    <w:pPr>
      <w:numPr>
        <w:ilvl w:val="3"/>
        <w:numId w:val="1"/>
      </w:numPr>
      <w:snapToGrid w:val="0"/>
      <w:spacing w:before="120" w:after="120" w:line="360" w:lineRule="auto"/>
      <w:ind w:firstLineChars="200" w:firstLine="200"/>
    </w:pPr>
    <w:rPr>
      <w:rFonts w:ascii="Times New Roman" w:eastAsia="楷体_GB2312" w:hAnsi="Times New Roman" w:cs="Times New Roman"/>
      <w:bCs/>
      <w:color w:val="auto"/>
      <w:sz w:val="24"/>
      <w:szCs w:val="20"/>
    </w:rPr>
  </w:style>
  <w:style w:type="paragraph" w:customStyle="1" w:styleId="aff">
    <w:name w:val="报告署名"/>
    <w:basedOn w:val="a0"/>
    <w:next w:val="a0"/>
    <w:qFormat/>
    <w:pPr>
      <w:spacing w:line="360" w:lineRule="auto"/>
      <w:ind w:firstLineChars="200" w:firstLine="200"/>
      <w:jc w:val="center"/>
    </w:pPr>
    <w:rPr>
      <w:rFonts w:ascii="宋体" w:eastAsia="宋体" w:hAnsi="宋体" w:cs="Times New Roman"/>
      <w:sz w:val="24"/>
      <w:szCs w:val="20"/>
    </w:rPr>
  </w:style>
  <w:style w:type="character" w:customStyle="1" w:styleId="big1">
    <w:name w:val="big1"/>
    <w:qFormat/>
    <w:rPr>
      <w:spacing w:val="360"/>
      <w:sz w:val="22"/>
      <w:szCs w:val="22"/>
    </w:rPr>
  </w:style>
  <w:style w:type="paragraph" w:customStyle="1" w:styleId="20">
    <w:name w:val="列表2"/>
    <w:basedOn w:val="a0"/>
    <w:next w:val="af2"/>
    <w:qFormat/>
    <w:pPr>
      <w:numPr>
        <w:numId w:val="2"/>
      </w:numPr>
      <w:tabs>
        <w:tab w:val="clear" w:pos="360"/>
        <w:tab w:val="left" w:pos="1125"/>
      </w:tabs>
      <w:spacing w:line="360" w:lineRule="auto"/>
      <w:ind w:left="1125" w:firstLineChars="200" w:hanging="1125"/>
    </w:pPr>
    <w:rPr>
      <w:rFonts w:ascii="宋体" w:eastAsia="宋体" w:hAnsi="Times New Roman" w:cs="Times New Roman"/>
      <w:sz w:val="24"/>
      <w:szCs w:val="20"/>
    </w:rPr>
  </w:style>
  <w:style w:type="character" w:customStyle="1" w:styleId="ten51">
    <w:name w:val="ten51"/>
    <w:qFormat/>
    <w:rPr>
      <w:sz w:val="21"/>
      <w:szCs w:val="21"/>
    </w:rPr>
  </w:style>
  <w:style w:type="paragraph" w:customStyle="1" w:styleId="2">
    <w:name w:val="编号正文2"/>
    <w:basedOn w:val="a0"/>
    <w:qFormat/>
    <w:pPr>
      <w:numPr>
        <w:numId w:val="3"/>
      </w:numPr>
      <w:autoSpaceDE w:val="0"/>
      <w:autoSpaceDN w:val="0"/>
      <w:adjustRightInd w:val="0"/>
      <w:spacing w:after="120" w:line="300" w:lineRule="auto"/>
      <w:ind w:firstLineChars="200" w:firstLine="200"/>
      <w:textAlignment w:val="baseline"/>
    </w:pPr>
    <w:rPr>
      <w:rFonts w:ascii="宋体" w:eastAsia="宋体" w:hAnsi="Times New Roman" w:cs="Times New Roman"/>
      <w:kern w:val="0"/>
      <w:sz w:val="24"/>
      <w:szCs w:val="20"/>
    </w:rPr>
  </w:style>
  <w:style w:type="character" w:customStyle="1" w:styleId="read">
    <w:name w:val="read"/>
    <w:basedOn w:val="a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
    <w:name w:val="Char"/>
    <w:basedOn w:val="a0"/>
    <w:qFormat/>
    <w:pPr>
      <w:numPr>
        <w:numId w:val="4"/>
      </w:numPr>
      <w:tabs>
        <w:tab w:val="clear" w:pos="425"/>
      </w:tabs>
      <w:spacing w:line="360" w:lineRule="auto"/>
      <w:ind w:left="0" w:firstLineChars="200" w:firstLine="0"/>
    </w:pPr>
    <w:rPr>
      <w:rFonts w:ascii="Times New Roman" w:eastAsia="宋体" w:hAnsi="Times New Roman" w:cs="Times New Roman"/>
      <w:sz w:val="24"/>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CharCharCharCharCharCharChar">
    <w:name w:val="Char Char Char Char Char Char Char"/>
    <w:basedOn w:val="a0"/>
    <w:qFormat/>
    <w:pPr>
      <w:tabs>
        <w:tab w:val="left" w:pos="840"/>
      </w:tabs>
      <w:spacing w:line="360" w:lineRule="auto"/>
      <w:ind w:left="840" w:firstLineChars="200" w:hanging="360"/>
    </w:pPr>
    <w:rPr>
      <w:rFonts w:ascii="Times New Roman" w:eastAsia="宋体" w:hAnsi="Times New Roman" w:cs="Times New Roman"/>
      <w:sz w:val="24"/>
      <w:szCs w:val="24"/>
    </w:rPr>
  </w:style>
  <w:style w:type="paragraph" w:customStyle="1" w:styleId="ParaCharCharCharCharCharChar">
    <w:name w:val="默认段落字体 Para Char Char Char Char Char Char"/>
    <w:basedOn w:val="a0"/>
    <w:qFormat/>
    <w:pPr>
      <w:tabs>
        <w:tab w:val="left" w:pos="840"/>
      </w:tabs>
      <w:spacing w:line="360" w:lineRule="auto"/>
      <w:ind w:left="840" w:firstLineChars="200" w:hanging="360"/>
    </w:pPr>
    <w:rPr>
      <w:rFonts w:ascii="Times New Roman" w:eastAsia="宋体" w:hAnsi="Times New Roman" w:cs="Times New Roman"/>
      <w:sz w:val="24"/>
      <w:szCs w:val="24"/>
    </w:rPr>
  </w:style>
  <w:style w:type="paragraph" w:customStyle="1" w:styleId="CharCharCharChar1CharCharChar">
    <w:name w:val="Char Char Char Char1 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13">
    <w:name w:val="列表1"/>
    <w:basedOn w:val="a0"/>
    <w:next w:val="a0"/>
    <w:qFormat/>
    <w:pPr>
      <w:tabs>
        <w:tab w:val="left" w:pos="644"/>
      </w:tabs>
      <w:spacing w:line="360" w:lineRule="auto"/>
      <w:ind w:left="567" w:firstLineChars="200" w:hanging="283"/>
    </w:pPr>
    <w:rPr>
      <w:rFonts w:ascii="Times New Roman" w:eastAsia="宋体" w:hAnsi="Times New Roman" w:cs="Times New Roman"/>
      <w:sz w:val="24"/>
      <w:szCs w:val="20"/>
    </w:rPr>
  </w:style>
  <w:style w:type="character" w:customStyle="1" w:styleId="unnamed11">
    <w:name w:val="unnamed11"/>
    <w:qFormat/>
    <w:rPr>
      <w:rFonts w:ascii="宋体" w:eastAsia="宋体" w:hAnsi="宋体" w:hint="eastAsia"/>
      <w:sz w:val="18"/>
      <w:szCs w:val="18"/>
    </w:rPr>
  </w:style>
  <w:style w:type="paragraph" w:customStyle="1" w:styleId="CharCharChar">
    <w:name w:val="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Char20">
    <w:name w:val="Char2"/>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0">
    <w:name w:val="正文正文"/>
    <w:basedOn w:val="a0"/>
    <w:qFormat/>
    <w:pPr>
      <w:spacing w:afterLines="25" w:line="360" w:lineRule="auto"/>
      <w:ind w:firstLineChars="200" w:firstLine="200"/>
    </w:pPr>
    <w:rPr>
      <w:rFonts w:ascii="Times New Roman" w:eastAsia="宋体" w:hAnsi="Times New Roman" w:cs="Times New Roman"/>
      <w:sz w:val="24"/>
      <w:szCs w:val="24"/>
    </w:rPr>
  </w:style>
  <w:style w:type="paragraph" w:customStyle="1" w:styleId="aff1">
    <w:name w:val="正文所"/>
    <w:basedOn w:val="a0"/>
    <w:qFormat/>
    <w:pPr>
      <w:spacing w:line="360" w:lineRule="auto"/>
      <w:ind w:firstLineChars="200" w:firstLine="420"/>
    </w:pPr>
    <w:rPr>
      <w:rFonts w:ascii="宋体" w:eastAsia="宋体" w:hAnsi="Times New Roman" w:cs="Times New Roman"/>
      <w:sz w:val="24"/>
      <w:szCs w:val="20"/>
    </w:rPr>
  </w:style>
  <w:style w:type="paragraph" w:customStyle="1" w:styleId="14">
    <w:name w:val="修订1"/>
    <w:hidden/>
    <w:semiHidden/>
    <w:qFormat/>
    <w:rPr>
      <w:kern w:val="2"/>
      <w:sz w:val="21"/>
      <w:szCs w:val="24"/>
    </w:rPr>
  </w:style>
  <w:style w:type="character" w:customStyle="1" w:styleId="heigh1801">
    <w:name w:val="heigh1801"/>
    <w:qFormat/>
    <w:rPr>
      <w:rFonts w:eastAsia="宋体"/>
      <w:kern w:val="2"/>
      <w:sz w:val="24"/>
      <w:szCs w:val="24"/>
      <w:lang w:val="en-US" w:eastAsia="zh-CN" w:bidi="ar-SA"/>
    </w:rPr>
  </w:style>
  <w:style w:type="character" w:customStyle="1" w:styleId="EmailStyle73">
    <w:name w:val="EmailStyle73"/>
    <w:semiHidden/>
    <w:qFormat/>
    <w:rPr>
      <w:rFonts w:ascii="宋体" w:eastAsia="宋体"/>
      <w:color w:val="auto"/>
      <w:kern w:val="2"/>
      <w:sz w:val="20"/>
      <w:szCs w:val="20"/>
      <w:u w:val="none"/>
      <w:lang w:val="en-US" w:eastAsia="zh-CN" w:bidi="ar-SA"/>
    </w:rPr>
  </w:style>
  <w:style w:type="paragraph" w:customStyle="1" w:styleId="ParaCharCharCharCharCharCharChar">
    <w:name w:val="默认段落字体 Para Char Char Char Char Char Char Char"/>
    <w:basedOn w:val="a0"/>
    <w:qFormat/>
    <w:pPr>
      <w:widowControl/>
      <w:spacing w:line="360" w:lineRule="auto"/>
      <w:ind w:firstLineChars="200" w:firstLine="200"/>
      <w:jc w:val="left"/>
    </w:pPr>
    <w:rPr>
      <w:rFonts w:ascii="Tahoma" w:eastAsia="宋体" w:hAnsi="Tahoma" w:cs="Times New Roman"/>
      <w:color w:val="000000"/>
      <w:kern w:val="0"/>
      <w:sz w:val="24"/>
      <w:szCs w:val="20"/>
    </w:rPr>
  </w:style>
  <w:style w:type="character" w:customStyle="1" w:styleId="eng1">
    <w:name w:val="eng1"/>
    <w:qFormat/>
    <w:rPr>
      <w:rFonts w:ascii="Verdana" w:hAnsi="Verdana" w:cs="Arial" w:hint="default"/>
      <w:sz w:val="15"/>
      <w:szCs w:val="15"/>
    </w:rPr>
  </w:style>
  <w:style w:type="paragraph" w:customStyle="1" w:styleId="15">
    <w:name w:val="列出段落1"/>
    <w:basedOn w:val="a0"/>
    <w:uiPriority w:val="34"/>
    <w:qFormat/>
    <w:pPr>
      <w:spacing w:line="360" w:lineRule="auto"/>
      <w:ind w:firstLineChars="200" w:firstLine="420"/>
    </w:pPr>
    <w:rPr>
      <w:rFonts w:ascii="Times New Roman" w:eastAsia="宋体" w:hAnsi="Times New Roman" w:cs="Times New Roman"/>
      <w:sz w:val="24"/>
      <w:szCs w:val="24"/>
    </w:rPr>
  </w:style>
  <w:style w:type="paragraph" w:customStyle="1" w:styleId="unnamed1">
    <w:name w:val="unnamed1"/>
    <w:basedOn w:val="a0"/>
    <w:qFormat/>
    <w:pPr>
      <w:spacing w:before="60" w:after="60" w:line="360" w:lineRule="auto"/>
      <w:ind w:left="15" w:right="15" w:firstLineChars="200" w:firstLine="200"/>
    </w:pPr>
    <w:rPr>
      <w:rFonts w:ascii="宋体" w:eastAsia="宋体" w:hAnsi="宋体" w:cs="Times New Roman" w:hint="eastAsia"/>
      <w:color w:val="000000"/>
      <w:sz w:val="18"/>
      <w:szCs w:val="18"/>
    </w:rPr>
  </w:style>
  <w:style w:type="paragraph" w:customStyle="1" w:styleId="27">
    <w:name w:val="修订2"/>
    <w:hidden/>
    <w:uiPriority w:val="99"/>
    <w:semiHidden/>
    <w:qFormat/>
    <w:rPr>
      <w:kern w:val="2"/>
      <w:sz w:val="21"/>
      <w:szCs w:val="24"/>
    </w:rPr>
  </w:style>
  <w:style w:type="paragraph" w:customStyle="1" w:styleId="aff2">
    <w:name w:val="合同正文"/>
    <w:basedOn w:val="a0"/>
    <w:link w:val="Charf"/>
    <w:qFormat/>
    <w:pPr>
      <w:spacing w:line="360" w:lineRule="auto"/>
      <w:ind w:firstLineChars="200" w:firstLine="200"/>
    </w:pPr>
    <w:rPr>
      <w:rFonts w:ascii="Times New Roman" w:eastAsia="宋体" w:hAnsi="Times New Roman" w:cs="Times New Roman"/>
      <w:bCs/>
      <w:sz w:val="24"/>
      <w:szCs w:val="20"/>
    </w:rPr>
  </w:style>
  <w:style w:type="character" w:customStyle="1" w:styleId="Charf">
    <w:name w:val="合同正文 Char"/>
    <w:link w:val="aff2"/>
    <w:qFormat/>
    <w:rPr>
      <w:rFonts w:ascii="Times New Roman" w:eastAsia="宋体" w:hAnsi="Times New Roman" w:cs="Times New Roman"/>
      <w:bCs/>
      <w:sz w:val="24"/>
      <w:szCs w:val="20"/>
    </w:rPr>
  </w:style>
  <w:style w:type="paragraph" w:customStyle="1" w:styleId="c">
    <w:name w:val="c_"/>
    <w:qFormat/>
    <w:pPr>
      <w:widowControl w:val="0"/>
      <w:autoSpaceDE w:val="0"/>
      <w:autoSpaceDN w:val="0"/>
      <w:adjustRightInd w:val="0"/>
      <w:jc w:val="both"/>
    </w:pPr>
    <w:rPr>
      <w:rFonts w:ascii="五" w:eastAsia="五"/>
      <w:sz w:val="24"/>
    </w:rPr>
  </w:style>
  <w:style w:type="character" w:customStyle="1" w:styleId="CharChar">
    <w:name w:val="合同正文 Char Char"/>
    <w:qFormat/>
    <w:rPr>
      <w:bCs/>
      <w:kern w:val="2"/>
      <w:sz w:val="24"/>
    </w:rPr>
  </w:style>
  <w:style w:type="character" w:styleId="aff3">
    <w:name w:val="Placeholder Text"/>
    <w:basedOn w:val="a1"/>
    <w:uiPriority w:val="99"/>
    <w:semiHidden/>
    <w:qFormat/>
    <w:rPr>
      <w:color w:val="808080"/>
    </w:rPr>
  </w:style>
  <w:style w:type="character" w:customStyle="1" w:styleId="disabled">
    <w:name w:val="disabled"/>
    <w:basedOn w:val="a1"/>
    <w:qFormat/>
    <w:rPr>
      <w:color w:val="888888"/>
    </w:rPr>
  </w:style>
  <w:style w:type="paragraph" w:customStyle="1" w:styleId="34">
    <w:name w:val="修订3"/>
    <w:hidden/>
    <w:uiPriority w:val="99"/>
    <w:semiHidden/>
    <w:qFormat/>
    <w:rPr>
      <w:kern w:val="2"/>
      <w:sz w:val="24"/>
      <w:szCs w:val="24"/>
    </w:rPr>
  </w:style>
  <w:style w:type="paragraph" w:customStyle="1" w:styleId="21013">
    <w:name w:val="样式 标题 2(一)(一)1 + 左侧:  0 厘米 段前: 13 磅"/>
    <w:basedOn w:val="21"/>
    <w:qFormat/>
    <w:pPr>
      <w:numPr>
        <w:numId w:val="5"/>
      </w:numPr>
      <w:tabs>
        <w:tab w:val="left" w:pos="1182"/>
        <w:tab w:val="left" w:pos="2434"/>
      </w:tabs>
      <w:spacing w:beforeLines="100" w:afterLines="100" w:line="360" w:lineRule="auto"/>
    </w:pPr>
    <w:rPr>
      <w:rFonts w:ascii="Times New Roman" w:eastAsia="宋体" w:hAnsi="Times New Roman" w:cs="Arial"/>
      <w:b/>
      <w:bCs/>
      <w:color w:val="auto"/>
      <w:sz w:val="24"/>
      <w:szCs w:val="20"/>
    </w:rPr>
  </w:style>
  <w:style w:type="paragraph" w:customStyle="1" w:styleId="42">
    <w:name w:val="修订4"/>
    <w:hidden/>
    <w:uiPriority w:val="99"/>
    <w:semiHidden/>
    <w:qFormat/>
    <w:rPr>
      <w:kern w:val="2"/>
      <w:sz w:val="24"/>
      <w:szCs w:val="24"/>
    </w:rPr>
  </w:style>
  <w:style w:type="paragraph" w:customStyle="1" w:styleId="52">
    <w:name w:val="修订5"/>
    <w:hidden/>
    <w:uiPriority w:val="99"/>
    <w:semiHidden/>
    <w:qFormat/>
    <w:rPr>
      <w:kern w:val="2"/>
      <w:sz w:val="24"/>
      <w:szCs w:val="24"/>
    </w:rPr>
  </w:style>
  <w:style w:type="paragraph" w:customStyle="1" w:styleId="60">
    <w:name w:val="修订6"/>
    <w:hidden/>
    <w:uiPriority w:val="99"/>
    <w:semiHidden/>
    <w:qFormat/>
    <w:rPr>
      <w:kern w:val="2"/>
      <w:sz w:val="24"/>
      <w:szCs w:val="24"/>
    </w:rPr>
  </w:style>
  <w:style w:type="paragraph" w:customStyle="1" w:styleId="70">
    <w:name w:val="修订7"/>
    <w:hidden/>
    <w:uiPriority w:val="99"/>
    <w:semiHidden/>
    <w:qFormat/>
    <w:rPr>
      <w:kern w:val="2"/>
      <w:sz w:val="24"/>
      <w:szCs w:val="24"/>
    </w:rPr>
  </w:style>
  <w:style w:type="paragraph" w:customStyle="1" w:styleId="80">
    <w:name w:val="修订8"/>
    <w:hidden/>
    <w:uiPriority w:val="99"/>
    <w:semiHidden/>
    <w:qFormat/>
    <w:rPr>
      <w:kern w:val="2"/>
      <w:sz w:val="24"/>
      <w:szCs w:val="24"/>
    </w:rPr>
  </w:style>
  <w:style w:type="paragraph" w:customStyle="1" w:styleId="90">
    <w:name w:val="修订9"/>
    <w:hidden/>
    <w:uiPriority w:val="99"/>
    <w:semiHidden/>
    <w:qFormat/>
    <w:rPr>
      <w:kern w:val="2"/>
      <w:sz w:val="24"/>
      <w:szCs w:val="24"/>
    </w:rPr>
  </w:style>
  <w:style w:type="paragraph" w:customStyle="1" w:styleId="100">
    <w:name w:val="修订10"/>
    <w:hidden/>
    <w:uiPriority w:val="99"/>
    <w:unhideWhenUsed/>
    <w:qFormat/>
    <w:rPr>
      <w:kern w:val="2"/>
      <w:sz w:val="24"/>
      <w:szCs w:val="24"/>
    </w:rPr>
  </w:style>
  <w:style w:type="character" w:customStyle="1" w:styleId="150">
    <w:name w:val="15"/>
    <w:basedOn w:val="a1"/>
    <w:qFormat/>
    <w:rPr>
      <w:rFonts w:ascii="Times New Roman" w:hAnsi="Times New Roman" w:cs="Times New Roman" w:hint="default"/>
    </w:rPr>
  </w:style>
  <w:style w:type="paragraph" w:customStyle="1" w:styleId="110">
    <w:name w:val="修订11"/>
    <w:hidden/>
    <w:uiPriority w:val="99"/>
    <w:semiHidden/>
    <w:qFormat/>
    <w:rPr>
      <w:rFonts w:asciiTheme="minorHAnsi" w:eastAsiaTheme="minorEastAsia" w:hAnsiTheme="minorHAnsi" w:cstheme="minorBidi"/>
      <w:kern w:val="2"/>
      <w:sz w:val="21"/>
      <w:szCs w:val="22"/>
    </w:rPr>
  </w:style>
  <w:style w:type="table" w:customStyle="1" w:styleId="16">
    <w:name w:val="网格型1"/>
    <w:basedOn w:val="a2"/>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 w:type="paragraph" w:styleId="aff4">
    <w:name w:val="Revision"/>
    <w:hidden/>
    <w:uiPriority w:val="99"/>
    <w:semiHidden/>
    <w:rsid w:val="0091797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38408-33B9-49E3-B103-19647B8D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14797</Words>
  <Characters>84343</Characters>
  <Application>Microsoft Office Word</Application>
  <DocSecurity>0</DocSecurity>
  <Lines>702</Lines>
  <Paragraphs>197</Paragraphs>
  <ScaleCrop>false</ScaleCrop>
  <Company/>
  <LinksUpToDate>false</LinksUpToDate>
  <CharactersWithSpaces>98943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YuanTai</dc:creator>
  <cp:lastModifiedBy>hjy1230</cp:lastModifiedBy>
  <cp:revision>4</cp:revision>
  <dcterms:created xsi:type="dcterms:W3CDTF">2025-12-30T09:55:00Z</dcterms:created>
  <dcterms:modified xsi:type="dcterms:W3CDTF">2025-12-30T09:57:00Z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F9139955C7C240268C4583DD22A68700_13</vt:lpwstr>
  </property>
  <property fmtid="{D5CDD505-2E9C-101B-9397-08002B2CF9AE}" pid="4" name="KSOTemplateDocerSaveRecord">
    <vt:lpwstr>eyJoZGlkIjoiMjEwNzU4NjYzODM2MzYzYzM4MTc0ZWU1M2ZiYjZkYWIiLCJ1c2VySWQiOiIzNDAxMTI0MjMifQ==</vt:lpwstr>
  </property>
</Properties>
</file>