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7409C" w14:textId="77777777" w:rsidR="00701DDF" w:rsidRDefault="00701DDF">
      <w:pPr>
        <w:spacing w:before="960" w:line="320" w:lineRule="exact"/>
        <w:jc w:val="center"/>
        <w:outlineLvl w:val="2"/>
        <w:rPr>
          <w:rFonts w:ascii="宋体" w:hAnsi="宋体"/>
          <w:b/>
          <w:w w:val="200"/>
        </w:rPr>
      </w:pPr>
      <w:bookmarkStart w:id="0" w:name="OLE_LINK4"/>
      <w:bookmarkStart w:id="1" w:name="OLE_LINK5"/>
    </w:p>
    <w:p w14:paraId="720680CD" w14:textId="3BC55B41" w:rsidR="00701DDF" w:rsidRDefault="003F1F2B">
      <w:pPr>
        <w:spacing w:before="960" w:line="620" w:lineRule="exact"/>
        <w:jc w:val="center"/>
        <w:outlineLvl w:val="2"/>
        <w:rPr>
          <w:rFonts w:ascii="宋体" w:hAnsi="宋体"/>
          <w:b/>
          <w:sz w:val="44"/>
        </w:rPr>
      </w:pPr>
      <w:r>
        <w:rPr>
          <w:rFonts w:ascii="宋体" w:hAnsi="宋体" w:hint="eastAsia"/>
          <w:b/>
          <w:sz w:val="44"/>
        </w:rPr>
        <w:t>富国智汇稳健3个月持有期混合型基金中基金（FOF）托管协议</w:t>
      </w:r>
    </w:p>
    <w:p w14:paraId="7E883A65" w14:textId="29FA31D2" w:rsidR="00701DDF" w:rsidRDefault="00701DDF">
      <w:pPr>
        <w:spacing w:before="960" w:line="620" w:lineRule="exact"/>
        <w:jc w:val="center"/>
        <w:outlineLvl w:val="2"/>
        <w:rPr>
          <w:rFonts w:ascii="宋体" w:hAnsi="宋体"/>
          <w:b/>
          <w:sz w:val="32"/>
          <w:szCs w:val="32"/>
        </w:rPr>
      </w:pPr>
    </w:p>
    <w:p w14:paraId="4B3533B2" w14:textId="77777777" w:rsidR="00701DDF" w:rsidRDefault="00701DDF">
      <w:pPr>
        <w:spacing w:before="960" w:line="620" w:lineRule="exact"/>
        <w:jc w:val="center"/>
        <w:outlineLvl w:val="2"/>
        <w:rPr>
          <w:rFonts w:ascii="宋体" w:hAnsi="宋体"/>
          <w:b/>
          <w:sz w:val="44"/>
        </w:rPr>
      </w:pPr>
    </w:p>
    <w:p w14:paraId="530D0902" w14:textId="77777777" w:rsidR="00701DDF" w:rsidRDefault="00701DDF">
      <w:pPr>
        <w:spacing w:line="320" w:lineRule="exact"/>
        <w:ind w:left="360" w:right="26"/>
        <w:jc w:val="center"/>
        <w:rPr>
          <w:rFonts w:ascii="宋体" w:hAnsi="宋体"/>
          <w:b/>
          <w:sz w:val="30"/>
        </w:rPr>
      </w:pPr>
    </w:p>
    <w:p w14:paraId="361F674C" w14:textId="15FBA0C5" w:rsidR="00701DDF" w:rsidRDefault="003F1F2B">
      <w:pPr>
        <w:spacing w:line="320" w:lineRule="exact"/>
        <w:ind w:left="479" w:right="26" w:firstLine="1200"/>
        <w:rPr>
          <w:rFonts w:ascii="宋体" w:hAnsi="宋体"/>
          <w:sz w:val="28"/>
          <w:szCs w:val="28"/>
        </w:rPr>
      </w:pPr>
      <w:r>
        <w:rPr>
          <w:rFonts w:ascii="宋体" w:hAnsi="宋体" w:hint="eastAsia"/>
          <w:sz w:val="28"/>
          <w:szCs w:val="28"/>
        </w:rPr>
        <w:t>基金管理人：富国基金管理有限公司</w:t>
      </w:r>
    </w:p>
    <w:p w14:paraId="6DCA92B7" w14:textId="77777777" w:rsidR="00701DDF" w:rsidRDefault="00701DDF">
      <w:pPr>
        <w:spacing w:line="320" w:lineRule="exact"/>
        <w:ind w:left="359" w:right="26" w:firstLine="1200"/>
        <w:rPr>
          <w:rFonts w:ascii="宋体" w:hAnsi="宋体"/>
          <w:sz w:val="28"/>
          <w:szCs w:val="28"/>
        </w:rPr>
      </w:pPr>
    </w:p>
    <w:p w14:paraId="0F6B7AF5" w14:textId="77777777" w:rsidR="00701DDF" w:rsidRDefault="003F1F2B">
      <w:pPr>
        <w:spacing w:line="320" w:lineRule="exact"/>
        <w:ind w:left="479" w:right="26" w:firstLine="1200"/>
        <w:rPr>
          <w:rFonts w:ascii="宋体" w:hAnsi="宋体"/>
          <w:sz w:val="28"/>
          <w:szCs w:val="28"/>
        </w:rPr>
      </w:pPr>
      <w:r>
        <w:rPr>
          <w:rFonts w:ascii="宋体" w:hAnsi="宋体" w:hint="eastAsia"/>
          <w:sz w:val="28"/>
          <w:szCs w:val="28"/>
        </w:rPr>
        <w:t>基金托管人：中国银行股份有限公司</w:t>
      </w:r>
    </w:p>
    <w:p w14:paraId="2958C1E0" w14:textId="77777777" w:rsidR="00701DDF" w:rsidRDefault="00701DDF">
      <w:pPr>
        <w:spacing w:line="320" w:lineRule="exact"/>
        <w:ind w:right="26"/>
        <w:rPr>
          <w:rFonts w:ascii="宋体" w:hAnsi="宋体"/>
          <w:sz w:val="28"/>
          <w:szCs w:val="28"/>
        </w:rPr>
      </w:pPr>
    </w:p>
    <w:p w14:paraId="4D12830B" w14:textId="77777777" w:rsidR="00701DDF" w:rsidRDefault="00701DDF">
      <w:pPr>
        <w:spacing w:line="320" w:lineRule="exact"/>
        <w:ind w:right="26"/>
        <w:rPr>
          <w:rFonts w:ascii="宋体" w:hAnsi="宋体"/>
          <w:sz w:val="28"/>
          <w:szCs w:val="28"/>
        </w:rPr>
      </w:pPr>
    </w:p>
    <w:p w14:paraId="5A3A2093" w14:textId="77777777" w:rsidR="00701DDF" w:rsidRDefault="00701DDF">
      <w:pPr>
        <w:spacing w:line="320" w:lineRule="exact"/>
        <w:ind w:right="26"/>
        <w:jc w:val="center"/>
        <w:rPr>
          <w:rFonts w:ascii="宋体" w:hAnsi="宋体"/>
          <w:sz w:val="28"/>
          <w:szCs w:val="28"/>
        </w:rPr>
      </w:pPr>
    </w:p>
    <w:p w14:paraId="0300909B" w14:textId="77777777" w:rsidR="00701DDF" w:rsidRDefault="00701DDF">
      <w:pPr>
        <w:spacing w:line="320" w:lineRule="exact"/>
        <w:ind w:right="26"/>
        <w:jc w:val="center"/>
        <w:rPr>
          <w:rFonts w:ascii="宋体" w:hAnsi="宋体"/>
          <w:sz w:val="28"/>
          <w:szCs w:val="28"/>
        </w:rPr>
      </w:pPr>
    </w:p>
    <w:p w14:paraId="47B83EAF" w14:textId="77777777" w:rsidR="00701DDF" w:rsidRDefault="00701DDF">
      <w:pPr>
        <w:spacing w:line="320" w:lineRule="exact"/>
        <w:ind w:right="26"/>
        <w:jc w:val="center"/>
        <w:rPr>
          <w:rFonts w:ascii="宋体" w:hAnsi="宋体"/>
          <w:sz w:val="28"/>
          <w:szCs w:val="28"/>
        </w:rPr>
      </w:pPr>
    </w:p>
    <w:p w14:paraId="02499825" w14:textId="77777777" w:rsidR="00701DDF" w:rsidRDefault="00701DDF">
      <w:pPr>
        <w:spacing w:line="320" w:lineRule="exact"/>
        <w:ind w:right="26"/>
        <w:jc w:val="center"/>
        <w:rPr>
          <w:rFonts w:ascii="宋体" w:hAnsi="宋体"/>
          <w:sz w:val="28"/>
          <w:szCs w:val="28"/>
        </w:rPr>
      </w:pPr>
    </w:p>
    <w:p w14:paraId="5C5E8261" w14:textId="77777777" w:rsidR="00701DDF" w:rsidRDefault="00701DDF">
      <w:pPr>
        <w:spacing w:line="320" w:lineRule="exact"/>
        <w:ind w:right="26"/>
        <w:jc w:val="center"/>
        <w:rPr>
          <w:rFonts w:ascii="宋体" w:hAnsi="宋体"/>
          <w:sz w:val="28"/>
          <w:szCs w:val="28"/>
        </w:rPr>
      </w:pPr>
    </w:p>
    <w:p w14:paraId="30BCB342" w14:textId="7E560067" w:rsidR="00701DDF" w:rsidRDefault="003F1F2B">
      <w:pPr>
        <w:spacing w:line="320" w:lineRule="exact"/>
        <w:ind w:right="26"/>
        <w:jc w:val="center"/>
        <w:rPr>
          <w:rFonts w:ascii="宋体" w:hAnsi="宋体"/>
          <w:sz w:val="28"/>
          <w:szCs w:val="28"/>
        </w:rPr>
      </w:pPr>
      <w:r>
        <w:rPr>
          <w:rFonts w:ascii="宋体" w:hAnsi="宋体" w:hint="eastAsia"/>
          <w:sz w:val="28"/>
          <w:szCs w:val="28"/>
        </w:rPr>
        <w:t>二○</w:t>
      </w:r>
      <w:r>
        <w:rPr>
          <w:rFonts w:ascii="宋体" w:hAnsi="宋体"/>
          <w:sz w:val="28"/>
          <w:szCs w:val="28"/>
        </w:rPr>
        <w:t>二五</w:t>
      </w:r>
      <w:r>
        <w:rPr>
          <w:rFonts w:ascii="宋体" w:hAnsi="宋体" w:hint="eastAsia"/>
          <w:sz w:val="28"/>
          <w:szCs w:val="28"/>
        </w:rPr>
        <w:t>年</w:t>
      </w:r>
      <w:r w:rsidR="00BA4380">
        <w:rPr>
          <w:rFonts w:ascii="宋体" w:hAnsi="宋体"/>
          <w:sz w:val="28"/>
          <w:szCs w:val="28"/>
        </w:rPr>
        <w:t>十二</w:t>
      </w:r>
      <w:r>
        <w:rPr>
          <w:rFonts w:ascii="宋体" w:hAnsi="宋体" w:hint="eastAsia"/>
          <w:sz w:val="28"/>
          <w:szCs w:val="28"/>
        </w:rPr>
        <w:t>月</w:t>
      </w:r>
    </w:p>
    <w:p w14:paraId="5235CAA9" w14:textId="6B254A7D" w:rsidR="00701DDF" w:rsidRDefault="003F1F2B">
      <w:pPr>
        <w:tabs>
          <w:tab w:val="left" w:pos="0"/>
        </w:tabs>
        <w:spacing w:before="100" w:beforeAutospacing="1" w:after="100" w:afterAutospacing="1" w:line="400" w:lineRule="exact"/>
        <w:ind w:right="26" w:firstLine="422"/>
        <w:outlineLvl w:val="0"/>
        <w:rPr>
          <w:rFonts w:ascii="宋体" w:hAnsi="宋体"/>
          <w:szCs w:val="21"/>
        </w:rPr>
      </w:pPr>
      <w:r>
        <w:rPr>
          <w:rFonts w:ascii="宋体" w:hAnsi="宋体"/>
          <w:b/>
        </w:rPr>
        <w:br w:type="page"/>
      </w:r>
      <w:r>
        <w:rPr>
          <w:rFonts w:ascii="宋体" w:hAnsi="宋体" w:hint="eastAsia"/>
          <w:szCs w:val="21"/>
        </w:rPr>
        <w:lastRenderedPageBreak/>
        <w:t>鉴于富国基金管理有限公司是一家依照中国法律合法成立并有效存续的有限责任公司，按照相关法律法规的规定具备担任基金管理人的资格和能力；</w:t>
      </w:r>
    </w:p>
    <w:p w14:paraId="74AC8D82" w14:textId="77777777" w:rsidR="00701DDF" w:rsidRDefault="003F1F2B" w:rsidP="003C4531">
      <w:pPr>
        <w:pStyle w:val="af1"/>
        <w:spacing w:before="100" w:beforeAutospacing="1" w:after="100" w:afterAutospacing="1" w:line="400" w:lineRule="exact"/>
        <w:ind w:firstLine="420"/>
        <w:rPr>
          <w:rFonts w:hAnsi="宋体"/>
        </w:rPr>
      </w:pPr>
      <w:r>
        <w:rPr>
          <w:rFonts w:hAnsi="宋体" w:hint="eastAsia"/>
        </w:rPr>
        <w:t>鉴于中国银行股份有限公司是一家依照中国法律合法成立并有效存续的银行，按照相关法律法规的规定具备担任基金托管人的资格和能力；</w:t>
      </w:r>
    </w:p>
    <w:p w14:paraId="1ABDA572" w14:textId="47CB732F" w:rsidR="00701DDF" w:rsidRDefault="003F1F2B" w:rsidP="003C4531">
      <w:pPr>
        <w:pStyle w:val="af1"/>
        <w:spacing w:before="100" w:beforeAutospacing="1" w:after="100" w:afterAutospacing="1" w:line="400" w:lineRule="exact"/>
        <w:ind w:firstLine="420"/>
        <w:rPr>
          <w:rFonts w:hAnsi="宋体"/>
        </w:rPr>
      </w:pPr>
      <w:r>
        <w:rPr>
          <w:rFonts w:hAnsi="宋体" w:hint="eastAsia"/>
        </w:rPr>
        <w:t>鉴于富国基金管理有限公司拟担任富国智汇稳健3个月持有期混合型基金中基金（FOF）的基金管理人，中国银行股份有限公司拟担任富国智汇稳健3个月持有期混合型基金中基金（FOF）的基金托管人；</w:t>
      </w:r>
    </w:p>
    <w:p w14:paraId="7880CB92" w14:textId="151EF815" w:rsidR="00701DDF" w:rsidRDefault="003F1F2B" w:rsidP="003C4531">
      <w:pPr>
        <w:pStyle w:val="af1"/>
        <w:spacing w:before="100" w:beforeAutospacing="1" w:after="100" w:afterAutospacing="1" w:line="400" w:lineRule="exact"/>
        <w:ind w:firstLine="420"/>
        <w:rPr>
          <w:rFonts w:hAnsi="宋体"/>
        </w:rPr>
      </w:pPr>
      <w:r>
        <w:rPr>
          <w:rFonts w:hAnsi="宋体" w:hint="eastAsia"/>
        </w:rPr>
        <w:t>为明确富国智汇稳健3个月持有期混合型基金中基金（FOF）基金管理人和基金托管人之间的权利义务关系，特制订本协议</w:t>
      </w:r>
      <w:r>
        <w:rPr>
          <w:rFonts w:hAnsi="宋体"/>
        </w:rPr>
        <w:t>；</w:t>
      </w:r>
    </w:p>
    <w:p w14:paraId="000E92FC" w14:textId="601FFDEA" w:rsidR="00701DDF" w:rsidRDefault="003F1F2B" w:rsidP="003C4531">
      <w:pPr>
        <w:pStyle w:val="af1"/>
        <w:spacing w:before="100" w:beforeAutospacing="1" w:after="100" w:afterAutospacing="1" w:line="400" w:lineRule="exact"/>
        <w:ind w:firstLine="420"/>
        <w:rPr>
          <w:rFonts w:hAnsi="宋体"/>
        </w:rPr>
      </w:pPr>
      <w:r>
        <w:rPr>
          <w:rFonts w:hAnsi="宋体" w:hint="eastAsia"/>
        </w:rPr>
        <w:t>若本基金实施侧袋机制的，侧袋机制实施期间的相关安排见基金合同和招募说明书的规定。</w:t>
      </w:r>
      <w:bookmarkStart w:id="2" w:name="_Toc30230313"/>
    </w:p>
    <w:p w14:paraId="4A29733C" w14:textId="77777777" w:rsidR="00701DDF" w:rsidRDefault="00701DDF">
      <w:pPr>
        <w:pStyle w:val="af1"/>
        <w:spacing w:before="100" w:beforeAutospacing="1" w:after="100" w:afterAutospacing="1" w:line="400" w:lineRule="exact"/>
        <w:ind w:firstLine="549"/>
        <w:rPr>
          <w:rFonts w:hAnsi="宋体"/>
        </w:rPr>
      </w:pPr>
    </w:p>
    <w:p w14:paraId="3336ACA6" w14:textId="77777777" w:rsidR="00701DDF" w:rsidRDefault="003F1F2B">
      <w:pPr>
        <w:pStyle w:val="1"/>
        <w:spacing w:before="100" w:beforeAutospacing="1" w:after="100" w:afterAutospacing="1" w:line="400" w:lineRule="exact"/>
        <w:ind w:firstLine="422"/>
        <w:rPr>
          <w:rFonts w:ascii="宋体" w:hAnsi="宋体"/>
          <w:sz w:val="21"/>
          <w:szCs w:val="21"/>
        </w:rPr>
      </w:pPr>
      <w:bookmarkStart w:id="3" w:name="_Toc116900096"/>
      <w:r>
        <w:rPr>
          <w:rFonts w:ascii="宋体" w:hAnsi="宋体" w:hint="eastAsia"/>
          <w:sz w:val="21"/>
          <w:szCs w:val="21"/>
        </w:rPr>
        <w:t>一、托管协议当事人</w:t>
      </w:r>
      <w:bookmarkEnd w:id="2"/>
      <w:bookmarkEnd w:id="3"/>
    </w:p>
    <w:p w14:paraId="538A3A57" w14:textId="77777777" w:rsidR="00701DDF" w:rsidRDefault="003F1F2B">
      <w:pPr>
        <w:pStyle w:val="af1"/>
        <w:spacing w:before="100" w:beforeAutospacing="1" w:after="100" w:afterAutospacing="1" w:line="400" w:lineRule="exact"/>
        <w:ind w:firstLine="403"/>
        <w:rPr>
          <w:rFonts w:hAnsi="宋体"/>
        </w:rPr>
      </w:pPr>
      <w:r>
        <w:rPr>
          <w:rFonts w:hAnsi="宋体" w:hint="eastAsia"/>
        </w:rPr>
        <w:t>（一）基金管理人（或简称“管理人”）</w:t>
      </w:r>
    </w:p>
    <w:p w14:paraId="48FBC448" w14:textId="07D4226C" w:rsidR="00701DDF" w:rsidRDefault="003F1F2B">
      <w:pPr>
        <w:pStyle w:val="af1"/>
        <w:spacing w:before="100" w:beforeAutospacing="1" w:after="100" w:afterAutospacing="1" w:line="400" w:lineRule="exact"/>
        <w:ind w:firstLine="403"/>
        <w:rPr>
          <w:rFonts w:hAnsi="宋体"/>
        </w:rPr>
      </w:pPr>
      <w:r>
        <w:rPr>
          <w:rFonts w:hAnsi="宋体" w:hint="eastAsia"/>
        </w:rPr>
        <w:t>名称：富国基金管理有限公司</w:t>
      </w:r>
    </w:p>
    <w:p w14:paraId="7DA5D3A3" w14:textId="77777777" w:rsidR="00701DDF" w:rsidRDefault="003F1F2B">
      <w:pPr>
        <w:pStyle w:val="af1"/>
        <w:spacing w:before="100" w:beforeAutospacing="1" w:after="100" w:afterAutospacing="1" w:line="400" w:lineRule="exact"/>
        <w:ind w:firstLine="403"/>
        <w:rPr>
          <w:rFonts w:hAnsi="宋体"/>
        </w:rPr>
      </w:pPr>
      <w:r>
        <w:rPr>
          <w:rFonts w:hAnsi="宋体" w:hint="eastAsia"/>
        </w:rPr>
        <w:t>住所：中国（上海）自由贸易试验区世纪大道1196号世纪汇办公楼二座27-30层</w:t>
      </w:r>
    </w:p>
    <w:p w14:paraId="5DB50ECC" w14:textId="77777777" w:rsidR="00701DDF" w:rsidRDefault="003F1F2B">
      <w:pPr>
        <w:pStyle w:val="af1"/>
        <w:spacing w:before="100" w:beforeAutospacing="1" w:after="100" w:afterAutospacing="1" w:line="400" w:lineRule="exact"/>
        <w:ind w:firstLine="403"/>
        <w:rPr>
          <w:rFonts w:hAnsi="宋体"/>
        </w:rPr>
      </w:pPr>
      <w:r>
        <w:rPr>
          <w:rFonts w:hAnsi="宋体" w:hint="eastAsia"/>
        </w:rPr>
        <w:t>法定代表人：裴长江</w:t>
      </w:r>
    </w:p>
    <w:p w14:paraId="0605883F" w14:textId="77777777" w:rsidR="00701DDF" w:rsidRDefault="003F1F2B">
      <w:pPr>
        <w:pStyle w:val="af1"/>
        <w:spacing w:before="100" w:beforeAutospacing="1" w:after="100" w:afterAutospacing="1" w:line="400" w:lineRule="exact"/>
        <w:ind w:firstLine="403"/>
        <w:rPr>
          <w:rFonts w:hAnsi="宋体"/>
        </w:rPr>
      </w:pPr>
      <w:r>
        <w:rPr>
          <w:rFonts w:hAnsi="宋体" w:hint="eastAsia"/>
        </w:rPr>
        <w:t>设立日期：1999年4月13日</w:t>
      </w:r>
    </w:p>
    <w:p w14:paraId="1D488E17" w14:textId="77777777" w:rsidR="00701DDF" w:rsidRDefault="003F1F2B">
      <w:pPr>
        <w:pStyle w:val="af1"/>
        <w:spacing w:before="100" w:beforeAutospacing="1" w:after="100" w:afterAutospacing="1" w:line="400" w:lineRule="exact"/>
        <w:ind w:firstLine="403"/>
        <w:rPr>
          <w:rFonts w:hAnsi="宋体"/>
        </w:rPr>
      </w:pPr>
      <w:r>
        <w:rPr>
          <w:rFonts w:hAnsi="宋体" w:hint="eastAsia"/>
        </w:rPr>
        <w:t>批准设立机关及批准设立文号：中国证券监督管理委员会证监基金字【1999】11号</w:t>
      </w:r>
    </w:p>
    <w:p w14:paraId="037FBA7D" w14:textId="77777777" w:rsidR="00701DDF" w:rsidRDefault="003F1F2B">
      <w:pPr>
        <w:pStyle w:val="af1"/>
        <w:spacing w:before="100" w:beforeAutospacing="1" w:after="100" w:afterAutospacing="1" w:line="400" w:lineRule="exact"/>
        <w:ind w:firstLine="403"/>
        <w:rPr>
          <w:rFonts w:hAnsi="宋体"/>
        </w:rPr>
      </w:pPr>
      <w:r>
        <w:rPr>
          <w:rFonts w:hAnsi="宋体" w:hint="eastAsia"/>
        </w:rPr>
        <w:t>组织形式：有限责任公司</w:t>
      </w:r>
    </w:p>
    <w:p w14:paraId="5621EE61" w14:textId="77777777" w:rsidR="00701DDF" w:rsidRDefault="003F1F2B">
      <w:pPr>
        <w:pStyle w:val="af1"/>
        <w:spacing w:before="100" w:beforeAutospacing="1" w:after="100" w:afterAutospacing="1" w:line="400" w:lineRule="exact"/>
        <w:ind w:firstLine="403"/>
        <w:rPr>
          <w:rFonts w:hAnsi="宋体"/>
        </w:rPr>
      </w:pPr>
      <w:r>
        <w:rPr>
          <w:rFonts w:hAnsi="宋体" w:hint="eastAsia"/>
        </w:rPr>
        <w:t>注册资本：人民币5.2亿元</w:t>
      </w:r>
    </w:p>
    <w:p w14:paraId="6EC2D614" w14:textId="77777777" w:rsidR="00701DDF" w:rsidRDefault="003F1F2B">
      <w:pPr>
        <w:pStyle w:val="af1"/>
        <w:spacing w:before="100" w:beforeAutospacing="1" w:after="100" w:afterAutospacing="1" w:line="400" w:lineRule="exact"/>
        <w:ind w:firstLine="403"/>
        <w:rPr>
          <w:rFonts w:hAnsi="宋体"/>
        </w:rPr>
      </w:pPr>
      <w:r>
        <w:rPr>
          <w:rFonts w:hAnsi="宋体" w:hint="eastAsia"/>
        </w:rPr>
        <w:t>存续期限：持续经营</w:t>
      </w:r>
    </w:p>
    <w:p w14:paraId="439BAB1C" w14:textId="77777777" w:rsidR="00701DDF" w:rsidRDefault="003F1F2B">
      <w:pPr>
        <w:pStyle w:val="af1"/>
        <w:spacing w:before="100" w:beforeAutospacing="1" w:after="100" w:afterAutospacing="1" w:line="400" w:lineRule="exact"/>
        <w:ind w:firstLine="403"/>
        <w:rPr>
          <w:rFonts w:hAnsi="宋体"/>
        </w:rPr>
      </w:pPr>
      <w:r>
        <w:rPr>
          <w:rFonts w:hAnsi="宋体" w:hint="eastAsia"/>
        </w:rPr>
        <w:t>联系电话：021-20361818</w:t>
      </w:r>
    </w:p>
    <w:p w14:paraId="4600361A" w14:textId="77777777" w:rsidR="00701DDF" w:rsidRDefault="00701DDF">
      <w:pPr>
        <w:pStyle w:val="af1"/>
        <w:spacing w:before="100" w:beforeAutospacing="1" w:after="100" w:afterAutospacing="1" w:line="400" w:lineRule="exact"/>
        <w:ind w:firstLine="403"/>
        <w:rPr>
          <w:rFonts w:hAnsi="宋体"/>
        </w:rPr>
      </w:pPr>
    </w:p>
    <w:p w14:paraId="112850A0" w14:textId="77777777" w:rsidR="00701DDF" w:rsidRDefault="003F1F2B">
      <w:pPr>
        <w:pStyle w:val="af1"/>
        <w:spacing w:before="100" w:beforeAutospacing="1" w:after="100" w:afterAutospacing="1" w:line="400" w:lineRule="exact"/>
        <w:ind w:firstLine="403"/>
        <w:rPr>
          <w:rFonts w:hAnsi="宋体"/>
        </w:rPr>
      </w:pPr>
      <w:r>
        <w:rPr>
          <w:rFonts w:hAnsi="宋体" w:hint="eastAsia"/>
        </w:rPr>
        <w:t>（二）基金托管人（或简称“托管人”）</w:t>
      </w:r>
    </w:p>
    <w:p w14:paraId="52A9C10C" w14:textId="77777777" w:rsidR="00701DDF" w:rsidRDefault="003F1F2B">
      <w:pPr>
        <w:spacing w:before="100" w:beforeAutospacing="1" w:after="100" w:afterAutospacing="1" w:line="400" w:lineRule="exact"/>
        <w:ind w:right="26" w:firstLine="403"/>
        <w:rPr>
          <w:rFonts w:ascii="宋体" w:hAnsi="宋体"/>
          <w:szCs w:val="21"/>
        </w:rPr>
      </w:pPr>
      <w:r>
        <w:rPr>
          <w:rFonts w:ascii="宋体" w:hAnsi="宋体" w:hint="eastAsia"/>
          <w:szCs w:val="21"/>
        </w:rPr>
        <w:t>名称：</w:t>
      </w:r>
      <w:r>
        <w:rPr>
          <w:rFonts w:ascii="宋体" w:hAnsi="宋体" w:hint="eastAsia"/>
          <w:szCs w:val="21"/>
        </w:rPr>
        <w:tab/>
      </w:r>
      <w:r>
        <w:rPr>
          <w:rFonts w:ascii="宋体" w:hAnsi="宋体" w:hint="eastAsia"/>
          <w:szCs w:val="21"/>
        </w:rPr>
        <w:tab/>
        <w:t>中国银行股份有限公司</w:t>
      </w:r>
    </w:p>
    <w:p w14:paraId="555FC8AB" w14:textId="77777777" w:rsidR="00701DDF" w:rsidRDefault="003F1F2B">
      <w:pPr>
        <w:spacing w:before="100" w:beforeAutospacing="1" w:after="100" w:afterAutospacing="1" w:line="400" w:lineRule="exact"/>
        <w:ind w:right="26" w:firstLine="403"/>
        <w:rPr>
          <w:rFonts w:ascii="宋体" w:hAnsi="宋体"/>
          <w:szCs w:val="21"/>
        </w:rPr>
      </w:pPr>
      <w:r>
        <w:rPr>
          <w:rFonts w:ascii="宋体" w:hAnsi="宋体" w:hint="eastAsia"/>
          <w:szCs w:val="21"/>
        </w:rPr>
        <w:t>住所：</w:t>
      </w:r>
      <w:r>
        <w:rPr>
          <w:rFonts w:ascii="宋体" w:hAnsi="宋体" w:hint="eastAsia"/>
          <w:szCs w:val="21"/>
        </w:rPr>
        <w:tab/>
      </w:r>
      <w:r>
        <w:rPr>
          <w:rFonts w:ascii="宋体" w:hAnsi="宋体" w:hint="eastAsia"/>
          <w:szCs w:val="21"/>
        </w:rPr>
        <w:tab/>
        <w:t>北京市西城区复兴门内大街1号</w:t>
      </w:r>
    </w:p>
    <w:p w14:paraId="56A223C2" w14:textId="77777777" w:rsidR="00701DDF" w:rsidRDefault="003F1F2B">
      <w:pPr>
        <w:spacing w:before="100" w:beforeAutospacing="1" w:after="100" w:afterAutospacing="1" w:line="400" w:lineRule="exact"/>
        <w:ind w:right="26" w:firstLine="403"/>
        <w:rPr>
          <w:rFonts w:ascii="宋体" w:hAnsi="宋体"/>
          <w:szCs w:val="21"/>
        </w:rPr>
      </w:pPr>
      <w:r>
        <w:rPr>
          <w:rFonts w:ascii="宋体" w:hAnsi="宋体" w:hint="eastAsia"/>
          <w:szCs w:val="21"/>
        </w:rPr>
        <w:t>法定代表人: 葛海蛟</w:t>
      </w:r>
    </w:p>
    <w:p w14:paraId="2542A8F0" w14:textId="77777777" w:rsidR="00701DDF" w:rsidRDefault="003F1F2B">
      <w:pPr>
        <w:spacing w:before="100" w:beforeAutospacing="1" w:after="100" w:afterAutospacing="1" w:line="400" w:lineRule="exact"/>
        <w:ind w:firstLine="435"/>
        <w:rPr>
          <w:rFonts w:ascii="宋体" w:hAnsi="宋体"/>
          <w:szCs w:val="21"/>
        </w:rPr>
      </w:pPr>
      <w:r>
        <w:rPr>
          <w:rFonts w:ascii="宋体" w:hAnsi="宋体" w:hint="eastAsia"/>
          <w:szCs w:val="21"/>
        </w:rPr>
        <w:t>成立时间：  1983年10月31日</w:t>
      </w:r>
    </w:p>
    <w:p w14:paraId="0957C267" w14:textId="77777777"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t>基金托管业务批准文号：中国证监会证监基字【1998】24号</w:t>
      </w:r>
    </w:p>
    <w:p w14:paraId="06C99A46" w14:textId="77777777" w:rsidR="00701DDF" w:rsidRDefault="003F1F2B">
      <w:pPr>
        <w:tabs>
          <w:tab w:val="left" w:pos="1110"/>
        </w:tabs>
        <w:spacing w:before="100" w:beforeAutospacing="1" w:after="100" w:afterAutospacing="1" w:line="400" w:lineRule="exact"/>
        <w:ind w:firstLine="420"/>
        <w:rPr>
          <w:rFonts w:ascii="宋体" w:hAnsi="宋体"/>
          <w:szCs w:val="21"/>
        </w:rPr>
      </w:pPr>
      <w:r>
        <w:rPr>
          <w:rFonts w:ascii="宋体" w:hAnsi="宋体" w:hint="eastAsia"/>
          <w:szCs w:val="21"/>
        </w:rPr>
        <w:t>组织形式：  股份有限公司</w:t>
      </w:r>
    </w:p>
    <w:p w14:paraId="7F303363" w14:textId="77777777" w:rsidR="00701DDF" w:rsidRDefault="003F1F2B">
      <w:pPr>
        <w:spacing w:before="100" w:beforeAutospacing="1" w:after="100" w:afterAutospacing="1" w:line="400" w:lineRule="exact"/>
        <w:ind w:right="26" w:firstLine="403"/>
        <w:rPr>
          <w:rFonts w:ascii="宋体" w:hAnsi="宋体"/>
          <w:szCs w:val="21"/>
        </w:rPr>
      </w:pPr>
      <w:r>
        <w:rPr>
          <w:rFonts w:ascii="宋体" w:hAnsi="宋体" w:hint="eastAsia"/>
          <w:szCs w:val="21"/>
        </w:rPr>
        <w:t>注册资本：</w:t>
      </w:r>
      <w:r>
        <w:rPr>
          <w:rFonts w:ascii="宋体" w:hAnsi="宋体" w:hint="eastAsia"/>
          <w:szCs w:val="21"/>
        </w:rPr>
        <w:tab/>
        <w:t>人民币贰仟玖佰肆拾叁亿捌仟柒佰柒拾玖万壹仟贰佰肆拾壹元整</w:t>
      </w:r>
    </w:p>
    <w:p w14:paraId="77305380" w14:textId="77777777" w:rsidR="00701DDF" w:rsidRDefault="003F1F2B">
      <w:pPr>
        <w:spacing w:before="100" w:beforeAutospacing="1" w:after="100" w:afterAutospacing="1" w:line="400" w:lineRule="exact"/>
        <w:ind w:left="1674" w:right="26" w:hanging="1271"/>
        <w:rPr>
          <w:rFonts w:ascii="宋体" w:hAnsi="宋体"/>
          <w:szCs w:val="21"/>
        </w:rPr>
      </w:pPr>
      <w:r>
        <w:rPr>
          <w:rFonts w:ascii="宋体" w:hAnsi="宋体" w:hint="eastAsia"/>
          <w:szCs w:val="21"/>
        </w:rPr>
        <w:t>经营范围：</w:t>
      </w:r>
      <w:r>
        <w:rPr>
          <w:rFonts w:ascii="宋体" w:hAnsi="宋体" w:hint="eastAsia"/>
          <w:szCs w:val="21"/>
        </w:rPr>
        <w:tab/>
        <w:t>吸收人民币存款；发放短期、中期和长期贷款；办理结算；办理票据贴现；发行金融债券；代理发行、代理兑付、承销政府债券；买卖政府债券；从事同业拆借；提供信用证服务及担保；代理收付款项及代理保险业务；提供保险箱服务；外汇存款；外汇贷款；外汇汇款；外汇兑换；国际结算；同业外汇拆借；外汇票据的承兑和贴现；外汇借款；外汇担保；结汇、售汇；发行和代理发行股票以外的外币有价证券；买卖和代理买卖股票以外的外币有价证券；自营外汇买卖；代客外汇买卖；外汇信用卡的发行和代理国外信用卡的发行及付款；资信调查、咨询、见证业务；组织或参加银团贷款；国际贵金属买卖；海外分支机构经营与当地法律许可的一切银行业务；在港澳地区的分行依据当地法令可发行或参与代理发行当地货币；经中国人民银行批准的其他业务。</w:t>
      </w:r>
    </w:p>
    <w:p w14:paraId="14003D21" w14:textId="77777777" w:rsidR="00701DDF" w:rsidRDefault="003F1F2B">
      <w:pPr>
        <w:spacing w:before="100" w:beforeAutospacing="1" w:after="100" w:afterAutospacing="1" w:line="400" w:lineRule="exact"/>
        <w:ind w:firstLine="403"/>
        <w:rPr>
          <w:rFonts w:ascii="宋体" w:hAnsi="宋体"/>
          <w:szCs w:val="21"/>
        </w:rPr>
      </w:pPr>
      <w:r>
        <w:rPr>
          <w:rFonts w:ascii="宋体" w:hAnsi="宋体" w:hint="eastAsia"/>
          <w:szCs w:val="21"/>
        </w:rPr>
        <w:t>存续期间：</w:t>
      </w:r>
      <w:r>
        <w:rPr>
          <w:rFonts w:ascii="宋体" w:hAnsi="宋体" w:hint="eastAsia"/>
          <w:szCs w:val="21"/>
        </w:rPr>
        <w:tab/>
        <w:t>持续经营</w:t>
      </w:r>
    </w:p>
    <w:p w14:paraId="6835D68E" w14:textId="77777777" w:rsidR="00701DDF" w:rsidRDefault="00701DDF">
      <w:pPr>
        <w:spacing w:before="100" w:beforeAutospacing="1" w:after="100" w:afterAutospacing="1" w:line="400" w:lineRule="exact"/>
        <w:ind w:firstLine="403"/>
        <w:rPr>
          <w:rFonts w:ascii="宋体" w:hAnsi="宋体"/>
          <w:szCs w:val="21"/>
        </w:rPr>
      </w:pPr>
    </w:p>
    <w:p w14:paraId="7474EEEF" w14:textId="77777777" w:rsidR="00701DDF" w:rsidRDefault="003F1F2B">
      <w:pPr>
        <w:pStyle w:val="1"/>
        <w:spacing w:before="100" w:beforeAutospacing="1" w:after="100" w:afterAutospacing="1" w:line="400" w:lineRule="exact"/>
        <w:ind w:firstLine="422"/>
        <w:rPr>
          <w:rFonts w:ascii="宋体" w:hAnsi="宋体"/>
          <w:sz w:val="21"/>
          <w:szCs w:val="21"/>
        </w:rPr>
      </w:pPr>
      <w:bookmarkStart w:id="4" w:name="_Toc116900097"/>
      <w:r>
        <w:rPr>
          <w:rFonts w:ascii="宋体" w:hAnsi="宋体" w:hint="eastAsia"/>
          <w:sz w:val="21"/>
          <w:szCs w:val="21"/>
        </w:rPr>
        <w:t>二、托管协议的依据、目的、原则和解释</w:t>
      </w:r>
      <w:bookmarkEnd w:id="4"/>
    </w:p>
    <w:p w14:paraId="44FF2F80" w14:textId="77777777" w:rsidR="00701DDF" w:rsidRDefault="003F1F2B">
      <w:pPr>
        <w:spacing w:before="100" w:beforeAutospacing="1" w:after="100" w:afterAutospacing="1" w:line="400" w:lineRule="exact"/>
        <w:ind w:firstLine="403"/>
        <w:rPr>
          <w:rFonts w:ascii="宋体" w:hAnsi="宋体"/>
          <w:szCs w:val="21"/>
        </w:rPr>
      </w:pPr>
      <w:r>
        <w:rPr>
          <w:rFonts w:ascii="宋体" w:hAnsi="宋体" w:hint="eastAsia"/>
          <w:szCs w:val="21"/>
        </w:rPr>
        <w:t>（一）依据</w:t>
      </w:r>
    </w:p>
    <w:p w14:paraId="0CCE11E7" w14:textId="21A6771C"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本协议依据</w:t>
      </w:r>
      <w:r>
        <w:rPr>
          <w:rFonts w:ascii="宋体" w:eastAsia="宋体"/>
          <w:color w:val="auto"/>
          <w:sz w:val="21"/>
          <w:szCs w:val="21"/>
        </w:rPr>
        <w:t>《中华人民共和国</w:t>
      </w:r>
      <w:r>
        <w:rPr>
          <w:rFonts w:ascii="宋体" w:eastAsia="宋体" w:hint="eastAsia"/>
          <w:color w:val="auto"/>
          <w:sz w:val="21"/>
          <w:szCs w:val="21"/>
        </w:rPr>
        <w:t>民法典</w:t>
      </w:r>
      <w:r>
        <w:rPr>
          <w:rFonts w:ascii="宋体" w:eastAsia="宋体"/>
          <w:color w:val="auto"/>
          <w:sz w:val="21"/>
          <w:szCs w:val="21"/>
        </w:rPr>
        <w:t>》、</w:t>
      </w:r>
      <w:r>
        <w:rPr>
          <w:rFonts w:ascii="宋体" w:eastAsia="宋体" w:hint="eastAsia"/>
          <w:color w:val="auto"/>
          <w:sz w:val="21"/>
          <w:szCs w:val="21"/>
        </w:rPr>
        <w:t>《中华人民共和国证券投资基金法》（以下</w:t>
      </w:r>
      <w:r>
        <w:rPr>
          <w:rFonts w:ascii="宋体" w:eastAsia="宋体" w:hint="eastAsia"/>
          <w:color w:val="auto"/>
          <w:sz w:val="21"/>
          <w:szCs w:val="21"/>
        </w:rPr>
        <w:lastRenderedPageBreak/>
        <w:t>简称“《基金法》”）、《公开募集证券投资基金运作管理办法》（以下简称“《运作办法》”）、《公开募集证券投资基金运作指引第2号——基金中基金指引》、《证券投资基金托管业务管理办法》、《公开募集证券投资基金信息披露管理办法》（以下简称“《信息披露办法》”）、《证券投资基金信息披露内容与格式准则第7号〈托管协议的内容与格式〉》、《公开募集开放式证券投资基金流动性风险管理规定》及其他有关法律法规与《富国智汇稳健3个月持有期混合型基金中基金（FOF）基金合同》（以下简称“《基金合同》”或“基金合同”）订立。</w:t>
      </w:r>
    </w:p>
    <w:p w14:paraId="1E0C3A57"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（二）目的</w:t>
      </w:r>
    </w:p>
    <w:p w14:paraId="5626D047" w14:textId="573B625E"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订立本协议的目的是明确富国智汇稳健3个月持有期混合型基金中基金（FOF）基金托管人和富国智汇稳健3个月持有期混合型基金中基金（FOF）基金管理人之间在基金财产的保管、投资运作、净值计算、收益分配、信息披露及相互监督等相关事宜中的权利、义务及职责，确保基金财产的安全，保护基金份额持有人的合法权益。</w:t>
      </w:r>
    </w:p>
    <w:p w14:paraId="2A11283C"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（三）原则</w:t>
      </w:r>
    </w:p>
    <w:p w14:paraId="6F41439C"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基金管理人和基金托管人本着平等自愿、诚实信用的原则，经协商一致，签订本协议。</w:t>
      </w:r>
    </w:p>
    <w:p w14:paraId="35CBB241"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（四）解释</w:t>
      </w:r>
    </w:p>
    <w:p w14:paraId="628247BF"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除非文义另有所指，本协议的所有术语与</w:t>
      </w:r>
      <w:bookmarkStart w:id="5" w:name="OLE_LINK3"/>
      <w:r>
        <w:rPr>
          <w:rFonts w:ascii="宋体" w:eastAsia="宋体" w:hint="eastAsia"/>
          <w:color w:val="auto"/>
          <w:sz w:val="21"/>
          <w:szCs w:val="21"/>
        </w:rPr>
        <w:t>《基金合同》</w:t>
      </w:r>
      <w:bookmarkEnd w:id="5"/>
      <w:r>
        <w:rPr>
          <w:rFonts w:ascii="宋体" w:eastAsia="宋体" w:hint="eastAsia"/>
          <w:color w:val="auto"/>
          <w:sz w:val="21"/>
          <w:szCs w:val="21"/>
        </w:rPr>
        <w:t>的相应术语具有相同含义。若有抵触，应以《基金合同》为准，并依其条款解释。</w:t>
      </w:r>
    </w:p>
    <w:p w14:paraId="3B0745F3" w14:textId="77777777" w:rsidR="00701DDF" w:rsidRDefault="00701DDF">
      <w:pPr>
        <w:pStyle w:val="af0"/>
        <w:spacing w:before="100" w:beforeAutospacing="1" w:after="100" w:afterAutospacing="1"/>
        <w:ind w:firstLine="403"/>
        <w:rPr>
          <w:rFonts w:ascii="宋体" w:eastAsia="宋体"/>
          <w:color w:val="auto"/>
          <w:sz w:val="21"/>
          <w:szCs w:val="21"/>
        </w:rPr>
      </w:pPr>
    </w:p>
    <w:p w14:paraId="211353C5" w14:textId="77777777" w:rsidR="00701DDF" w:rsidRDefault="003F1F2B">
      <w:pPr>
        <w:pStyle w:val="1"/>
        <w:spacing w:before="100" w:beforeAutospacing="1" w:after="100" w:afterAutospacing="1" w:line="400" w:lineRule="exact"/>
        <w:ind w:firstLine="422"/>
        <w:rPr>
          <w:rFonts w:ascii="宋体" w:hAnsi="宋体"/>
          <w:sz w:val="21"/>
          <w:szCs w:val="21"/>
        </w:rPr>
      </w:pPr>
      <w:bookmarkStart w:id="6" w:name="_Toc116900098"/>
      <w:r>
        <w:rPr>
          <w:rFonts w:ascii="宋体" w:hAnsi="宋体" w:hint="eastAsia"/>
          <w:sz w:val="21"/>
          <w:szCs w:val="21"/>
        </w:rPr>
        <w:t>三、基金托管人对基金管理人的业务监督和核查</w:t>
      </w:r>
      <w:bookmarkEnd w:id="6"/>
    </w:p>
    <w:p w14:paraId="7D8173E5"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（一）基金托管人根据有关法律法规的规定对基金管理人的下列投资运作进行监督：</w:t>
      </w:r>
    </w:p>
    <w:p w14:paraId="6A481565"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1、对基金的投资范围、投资对象进行监督。</w:t>
      </w:r>
    </w:p>
    <w:p w14:paraId="6A69B19C" w14:textId="1C3995AE" w:rsidR="00701DDF" w:rsidRPr="003C4531" w:rsidRDefault="003F1F2B">
      <w:pPr>
        <w:snapToGrid w:val="0"/>
        <w:spacing w:before="100" w:beforeAutospacing="1" w:after="100" w:afterAutospacing="1" w:line="400" w:lineRule="exact"/>
        <w:ind w:firstLine="420"/>
        <w:rPr>
          <w:rFonts w:ascii="宋体" w:hAnsi="宋体" w:cs="方正仿宋简体"/>
          <w:szCs w:val="21"/>
        </w:rPr>
      </w:pPr>
      <w:r w:rsidRPr="003C4531">
        <w:rPr>
          <w:rFonts w:ascii="宋体" w:hAnsi="宋体" w:cs="方正仿宋简体" w:hint="eastAsia"/>
          <w:szCs w:val="21"/>
        </w:rPr>
        <w:t>本基金的投资范围包括经中国证监会依法核准或注册的公开募集的基金份额（包括商品基金（含商品期货基金和黄金</w:t>
      </w:r>
      <w:r w:rsidRPr="003C4531">
        <w:rPr>
          <w:rFonts w:ascii="宋体" w:hAnsi="宋体" w:cs="方正仿宋简体"/>
          <w:szCs w:val="21"/>
        </w:rPr>
        <w:t>ETF，下同）、QDII基金、香港互认基金、公开募集基础设施证券投资基金（以下简称“公募REITs”））、国内依法公开发行上市交易的股票（包括主板、</w:t>
      </w:r>
      <w:r w:rsidRPr="003C4531">
        <w:rPr>
          <w:rFonts w:ascii="宋体" w:hAnsi="宋体" w:cs="方正仿宋简体" w:hint="eastAsia"/>
          <w:szCs w:val="21"/>
        </w:rPr>
        <w:t>科创板、创业板及其他中国证监会允许发行的股票）、存托凭证、港股通标的证券（包括股票和</w:t>
      </w:r>
      <w:r w:rsidRPr="003C4531">
        <w:rPr>
          <w:rFonts w:ascii="宋体" w:hAnsi="宋体" w:cs="方正仿宋简体"/>
          <w:szCs w:val="21"/>
        </w:rPr>
        <w:t>ETF）、债券（包括国债、地方政府债、金融债、企业债、公司债、</w:t>
      </w:r>
      <w:r w:rsidRPr="003C4531">
        <w:rPr>
          <w:rFonts w:ascii="宋体" w:hAnsi="宋体" w:cs="方正仿宋简体"/>
          <w:szCs w:val="21"/>
        </w:rPr>
        <w:lastRenderedPageBreak/>
        <w:t>政府支持债券、政府支持机构债、次级债、可转换债券、分离交易可转债、央行票据、中期票据、短期融资</w:t>
      </w:r>
      <w:r w:rsidRPr="003C4531">
        <w:rPr>
          <w:rFonts w:ascii="宋体" w:hAnsi="宋体" w:cs="方正仿宋简体" w:hint="eastAsia"/>
          <w:szCs w:val="21"/>
        </w:rPr>
        <w:t>券（含超短期融资券）、可交换债券）、资产支持证券、债券回购、银行存款（包括定期存款、协议存款、通知存款等）、同业存单、货币市场工具以及法律法规或中国证监会允许基金投资的其他金融工具（但须符合中国证监会的相关规定）。</w:t>
      </w:r>
    </w:p>
    <w:p w14:paraId="73CF996A" w14:textId="77777777" w:rsidR="00701DDF" w:rsidRPr="003C4531" w:rsidRDefault="003F1F2B">
      <w:pPr>
        <w:snapToGrid w:val="0"/>
        <w:spacing w:before="100" w:beforeAutospacing="1" w:after="100" w:afterAutospacing="1" w:line="400" w:lineRule="exact"/>
        <w:ind w:firstLine="420"/>
        <w:rPr>
          <w:rFonts w:ascii="宋体" w:hAnsi="宋体" w:cs="方正仿宋简体"/>
          <w:szCs w:val="21"/>
        </w:rPr>
      </w:pPr>
      <w:r w:rsidRPr="003C4531">
        <w:rPr>
          <w:rFonts w:ascii="宋体" w:hAnsi="宋体" w:cs="方正仿宋简体" w:hint="eastAsia"/>
          <w:szCs w:val="21"/>
        </w:rPr>
        <w:t>如法律法规或监管机构以后允许基金投资其他品种，基金管理人在履行适当程序后，可以将其纳入投资范围。</w:t>
      </w:r>
      <w:bookmarkStart w:id="7" w:name="_GoBack"/>
      <w:bookmarkEnd w:id="7"/>
    </w:p>
    <w:p w14:paraId="7E3D7F59" w14:textId="51F5FED0"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基金的投资组合比例为：本基金投资于经中国证监会依法核准或注册的公开募集的基金份额的资产占基金资产的比例不低于80%。本基金投资于股票、存托凭证、股票型基金（含股票型指数基金）、偏股混合型基金等权益类资产合计占基金资产的比例为5%-30%，投资于QDII基金和香港互认基金的资产占基金资产的比例不高于20%，投资于货币市场基金的资产占基金资产的比例不高于15%。本基金投资于港股通标的股票的比例占股票资产的0%-50%。本基金应当保持不低于基金资产净值5%的现金或者到期日在一年以内的政府债券；其中，现金不包括结算备付金、存出保证金、应收申购款等。其中，计入上述权益类资产的偏股混合型基金需符合下列两个条件之一：</w:t>
      </w:r>
    </w:p>
    <w:p w14:paraId="184B85AD" w14:textId="7AA809EA"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（1）基金合同约定股票及存托凭证资产投资比例不低于基金资产60%的混合型基金；</w:t>
      </w:r>
    </w:p>
    <w:p w14:paraId="2453F991" w14:textId="32855D47"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 xml:space="preserve">（2）根据基金披露的定期报告，最近四个季度股票及存托凭证资产占基金资产比例均不低于60%的混合型基金。 </w:t>
      </w:r>
    </w:p>
    <w:p w14:paraId="449A0099"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hint="eastAsia"/>
          <w:szCs w:val="21"/>
        </w:rPr>
        <w:t>如果法律法规或监管机构对该比例要求有变更的，在履行适当程序后，以变更后的比例为准，本基金的投资比例会做相应调整。</w:t>
      </w:r>
    </w:p>
    <w:p w14:paraId="6315CE03" w14:textId="77777777" w:rsidR="00701DDF" w:rsidRDefault="003F1F2B">
      <w:pPr>
        <w:spacing w:line="360" w:lineRule="auto"/>
        <w:ind w:firstLine="420"/>
        <w:rPr>
          <w:rFonts w:ascii="宋体" w:hAnsi="宋体" w:cs="方正仿宋简体"/>
          <w:szCs w:val="21"/>
        </w:rPr>
      </w:pPr>
      <w:r>
        <w:rPr>
          <w:rFonts w:ascii="宋体" w:hAnsi="宋体" w:cs="方正仿宋简体" w:hint="eastAsia"/>
          <w:szCs w:val="21"/>
        </w:rPr>
        <w:t>2、对基金投融资比例进行监督；</w:t>
      </w:r>
    </w:p>
    <w:p w14:paraId="5C56BD27" w14:textId="58768CF9"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w:t>
      </w:r>
      <w:r>
        <w:rPr>
          <w:rFonts w:hAnsi="宋体" w:hint="eastAsia"/>
          <w:szCs w:val="21"/>
        </w:rPr>
        <w:t>）本基金投资于经中国证监会依法核准或注册的公开募集的基金份额的资产占基金资产的比例不低于</w:t>
      </w:r>
      <w:r>
        <w:rPr>
          <w:rFonts w:hAnsi="宋体" w:hint="eastAsia"/>
          <w:szCs w:val="21"/>
        </w:rPr>
        <w:t>80%</w:t>
      </w:r>
      <w:r>
        <w:rPr>
          <w:rFonts w:hAnsi="宋体" w:hint="eastAsia"/>
          <w:szCs w:val="21"/>
        </w:rPr>
        <w:t>，其中，投资于</w:t>
      </w:r>
      <w:r>
        <w:rPr>
          <w:rFonts w:hAnsi="宋体" w:hint="eastAsia"/>
          <w:szCs w:val="21"/>
        </w:rPr>
        <w:t>QDII</w:t>
      </w:r>
      <w:r>
        <w:rPr>
          <w:rFonts w:hAnsi="宋体" w:hint="eastAsia"/>
          <w:szCs w:val="21"/>
        </w:rPr>
        <w:t>基金和香港互认基金的资产占基金资产的比例不高于</w:t>
      </w:r>
      <w:r>
        <w:rPr>
          <w:rFonts w:hAnsi="宋体" w:hint="eastAsia"/>
          <w:szCs w:val="21"/>
        </w:rPr>
        <w:t>20%</w:t>
      </w:r>
      <w:r>
        <w:rPr>
          <w:rFonts w:hAnsi="宋体" w:hint="eastAsia"/>
          <w:szCs w:val="21"/>
        </w:rPr>
        <w:t>，投资于货币市场基金的资产占基金资产的比例不高于</w:t>
      </w:r>
      <w:r>
        <w:rPr>
          <w:rFonts w:hAnsi="宋体" w:hint="eastAsia"/>
          <w:szCs w:val="21"/>
        </w:rPr>
        <w:t>15%</w:t>
      </w:r>
      <w:r>
        <w:rPr>
          <w:rFonts w:hAnsi="宋体" w:hint="eastAsia"/>
          <w:szCs w:val="21"/>
        </w:rPr>
        <w:t>；</w:t>
      </w:r>
    </w:p>
    <w:p w14:paraId="06A36C52"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2</w:t>
      </w:r>
      <w:r>
        <w:rPr>
          <w:rFonts w:hAnsi="宋体" w:hint="eastAsia"/>
          <w:szCs w:val="21"/>
        </w:rPr>
        <w:t>）本基金投资于股票、存托凭证、股票型基金（含股票型指数基金）、偏股混合型基金等权益类资产合计占基金资产的比例为</w:t>
      </w:r>
      <w:r>
        <w:rPr>
          <w:rFonts w:hAnsi="宋体" w:hint="eastAsia"/>
          <w:szCs w:val="21"/>
        </w:rPr>
        <w:t>5%-30%</w:t>
      </w:r>
      <w:r>
        <w:rPr>
          <w:rFonts w:hAnsi="宋体" w:hint="eastAsia"/>
          <w:szCs w:val="21"/>
        </w:rPr>
        <w:t>；其中，计入上述权益类资产的偏股混合型基金需符合下列两个条件之一：</w:t>
      </w:r>
    </w:p>
    <w:p w14:paraId="467F2F86" w14:textId="77777777" w:rsidR="00701DDF" w:rsidRDefault="003F1F2B">
      <w:pPr>
        <w:widowControl/>
        <w:spacing w:line="360" w:lineRule="auto"/>
        <w:ind w:firstLine="420"/>
        <w:contextualSpacing/>
        <w:rPr>
          <w:rFonts w:hAnsi="宋体"/>
          <w:szCs w:val="21"/>
        </w:rPr>
      </w:pPr>
      <w:r>
        <w:rPr>
          <w:rFonts w:hAnsi="宋体" w:hint="eastAsia"/>
          <w:szCs w:val="21"/>
        </w:rPr>
        <w:t>1</w:t>
      </w:r>
      <w:r>
        <w:rPr>
          <w:rFonts w:hAnsi="宋体" w:hint="eastAsia"/>
          <w:szCs w:val="21"/>
        </w:rPr>
        <w:t>）基金合同约定股票及存托凭证资产投资比例不低于基金资产</w:t>
      </w:r>
      <w:r>
        <w:rPr>
          <w:rFonts w:hAnsi="宋体" w:hint="eastAsia"/>
          <w:szCs w:val="21"/>
        </w:rPr>
        <w:t>60%</w:t>
      </w:r>
      <w:r>
        <w:rPr>
          <w:rFonts w:hAnsi="宋体" w:hint="eastAsia"/>
          <w:szCs w:val="21"/>
        </w:rPr>
        <w:t>的混合型基金；</w:t>
      </w:r>
    </w:p>
    <w:p w14:paraId="184F0831" w14:textId="570B0300" w:rsidR="00701DDF" w:rsidRDefault="003F1F2B">
      <w:pPr>
        <w:widowControl/>
        <w:spacing w:line="360" w:lineRule="auto"/>
        <w:ind w:firstLine="420"/>
        <w:contextualSpacing/>
        <w:rPr>
          <w:rFonts w:hAnsi="宋体"/>
          <w:szCs w:val="21"/>
        </w:rPr>
      </w:pPr>
      <w:r>
        <w:rPr>
          <w:rFonts w:hAnsi="宋体" w:hint="eastAsia"/>
          <w:szCs w:val="21"/>
        </w:rPr>
        <w:t>2</w:t>
      </w:r>
      <w:r>
        <w:rPr>
          <w:rFonts w:hAnsi="宋体" w:hint="eastAsia"/>
          <w:szCs w:val="21"/>
        </w:rPr>
        <w:t>）根据基金披露的定期报告，最近四个季度股票及存托凭证资产占基金资产比例均不低于</w:t>
      </w:r>
      <w:r>
        <w:rPr>
          <w:rFonts w:hAnsi="宋体" w:hint="eastAsia"/>
          <w:szCs w:val="21"/>
        </w:rPr>
        <w:t>60%</w:t>
      </w:r>
      <w:r>
        <w:rPr>
          <w:rFonts w:hAnsi="宋体" w:hint="eastAsia"/>
          <w:szCs w:val="21"/>
        </w:rPr>
        <w:t>的混合型基金；</w:t>
      </w:r>
    </w:p>
    <w:p w14:paraId="2AF9F17B" w14:textId="77777777" w:rsidR="00701DDF" w:rsidRDefault="003F1F2B">
      <w:pPr>
        <w:widowControl/>
        <w:spacing w:line="360" w:lineRule="auto"/>
        <w:ind w:firstLine="420"/>
        <w:contextualSpacing/>
        <w:rPr>
          <w:rFonts w:hAnsi="宋体"/>
          <w:szCs w:val="21"/>
        </w:rPr>
      </w:pPr>
      <w:r>
        <w:rPr>
          <w:rFonts w:hAnsi="宋体" w:hint="eastAsia"/>
          <w:szCs w:val="21"/>
        </w:rPr>
        <w:lastRenderedPageBreak/>
        <w:t>（</w:t>
      </w:r>
      <w:r>
        <w:rPr>
          <w:rFonts w:hAnsi="宋体" w:hint="eastAsia"/>
          <w:szCs w:val="21"/>
        </w:rPr>
        <w:t>3</w:t>
      </w:r>
      <w:r>
        <w:rPr>
          <w:rFonts w:hAnsi="宋体" w:hint="eastAsia"/>
          <w:szCs w:val="21"/>
        </w:rPr>
        <w:t>）本基金港股通标的股票投资占股票资产的比例为</w:t>
      </w:r>
      <w:r>
        <w:rPr>
          <w:rFonts w:hAnsi="宋体" w:hint="eastAsia"/>
          <w:szCs w:val="21"/>
        </w:rPr>
        <w:t>0%-50%</w:t>
      </w:r>
      <w:r>
        <w:rPr>
          <w:rFonts w:hAnsi="宋体" w:hint="eastAsia"/>
          <w:szCs w:val="21"/>
        </w:rPr>
        <w:t>；</w:t>
      </w:r>
    </w:p>
    <w:p w14:paraId="51B1BF91"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4</w:t>
      </w:r>
      <w:r>
        <w:rPr>
          <w:rFonts w:hAnsi="宋体" w:hint="eastAsia"/>
          <w:szCs w:val="21"/>
        </w:rPr>
        <w:t>）本基金持有的现金或者到期日在一年以内的政府债券不低于基金资产净值的</w:t>
      </w:r>
      <w:r>
        <w:rPr>
          <w:rFonts w:hAnsi="宋体" w:hint="eastAsia"/>
          <w:szCs w:val="21"/>
        </w:rPr>
        <w:t>5%</w:t>
      </w:r>
      <w:r>
        <w:rPr>
          <w:rFonts w:hAnsi="宋体" w:hint="eastAsia"/>
          <w:szCs w:val="21"/>
        </w:rPr>
        <w:t>，其中现金不包括结算备付金、存出保证金、应收申购款等；</w:t>
      </w:r>
    </w:p>
    <w:p w14:paraId="2B0F0D3F"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5</w:t>
      </w:r>
      <w:r>
        <w:rPr>
          <w:rFonts w:hAnsi="宋体" w:hint="eastAsia"/>
          <w:szCs w:val="21"/>
        </w:rPr>
        <w:t>）本基金持有单只基金的市值不高于本基金资产净值的</w:t>
      </w:r>
      <w:r>
        <w:rPr>
          <w:rFonts w:hAnsi="宋体" w:hint="eastAsia"/>
          <w:szCs w:val="21"/>
        </w:rPr>
        <w:t>20%</w:t>
      </w:r>
      <w:r>
        <w:rPr>
          <w:rFonts w:hAnsi="宋体" w:hint="eastAsia"/>
          <w:szCs w:val="21"/>
        </w:rPr>
        <w:t>，且不得持有其他基金中基金；</w:t>
      </w:r>
    </w:p>
    <w:p w14:paraId="7B7BEF1E"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6</w:t>
      </w:r>
      <w:r>
        <w:rPr>
          <w:rFonts w:hAnsi="宋体" w:hint="eastAsia"/>
          <w:szCs w:val="21"/>
        </w:rPr>
        <w:t>）本基金管理人管理</w:t>
      </w:r>
      <w:r>
        <w:rPr>
          <w:rFonts w:hAnsi="宋体"/>
          <w:szCs w:val="21"/>
        </w:rPr>
        <w:t>且由本基金托管人托管的全部基金（</w:t>
      </w:r>
      <w:r>
        <w:rPr>
          <w:rFonts w:hAnsi="宋体" w:hint="eastAsia"/>
          <w:szCs w:val="21"/>
        </w:rPr>
        <w:t>ETF</w:t>
      </w:r>
      <w:r>
        <w:rPr>
          <w:rFonts w:hAnsi="宋体" w:hint="eastAsia"/>
          <w:szCs w:val="21"/>
        </w:rPr>
        <w:t>联接基金除外）持有单只基金不得超过被投资基金净资产的</w:t>
      </w:r>
      <w:r>
        <w:rPr>
          <w:rFonts w:hAnsi="宋体" w:hint="eastAsia"/>
          <w:szCs w:val="21"/>
        </w:rPr>
        <w:t>20%</w:t>
      </w:r>
      <w:r>
        <w:rPr>
          <w:rFonts w:hAnsi="宋体" w:hint="eastAsia"/>
          <w:szCs w:val="21"/>
        </w:rPr>
        <w:t>，被投资基金净资产规模以最近定期报告披露的规模为准；</w:t>
      </w:r>
    </w:p>
    <w:p w14:paraId="5C914BCE"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7</w:t>
      </w:r>
      <w:r>
        <w:rPr>
          <w:rFonts w:hAnsi="宋体" w:hint="eastAsia"/>
          <w:szCs w:val="21"/>
        </w:rPr>
        <w:t>）本基金投资其他基金，被投资基金的运作期限应当不少于</w:t>
      </w:r>
      <w:r>
        <w:rPr>
          <w:rFonts w:hAnsi="宋体" w:hint="eastAsia"/>
          <w:szCs w:val="21"/>
        </w:rPr>
        <w:t>1</w:t>
      </w:r>
      <w:r>
        <w:rPr>
          <w:rFonts w:hAnsi="宋体" w:hint="eastAsia"/>
          <w:szCs w:val="21"/>
        </w:rPr>
        <w:t>年、最近定期报告披露的基金净资产应当不低于</w:t>
      </w:r>
      <w:r>
        <w:rPr>
          <w:rFonts w:hAnsi="宋体" w:hint="eastAsia"/>
          <w:szCs w:val="21"/>
        </w:rPr>
        <w:t>1</w:t>
      </w:r>
      <w:r>
        <w:rPr>
          <w:rFonts w:hAnsi="宋体" w:hint="eastAsia"/>
          <w:szCs w:val="21"/>
        </w:rPr>
        <w:t>亿元；</w:t>
      </w:r>
      <w:r>
        <w:rPr>
          <w:rFonts w:hAnsi="宋体" w:hint="eastAsia"/>
          <w:szCs w:val="21"/>
        </w:rPr>
        <w:t xml:space="preserve"> </w:t>
      </w:r>
    </w:p>
    <w:p w14:paraId="4D160C0E"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8</w:t>
      </w:r>
      <w:r>
        <w:rPr>
          <w:rFonts w:hAnsi="宋体" w:hint="eastAsia"/>
          <w:szCs w:val="21"/>
        </w:rPr>
        <w:t>）本基金投资于封闭运作基金、定期开放基金等流通受限基金（不包括</w:t>
      </w:r>
      <w:r>
        <w:rPr>
          <w:rFonts w:hAnsi="宋体" w:hint="eastAsia"/>
          <w:szCs w:val="21"/>
        </w:rPr>
        <w:t>ETF</w:t>
      </w:r>
      <w:r>
        <w:rPr>
          <w:rFonts w:hAnsi="宋体" w:hint="eastAsia"/>
          <w:szCs w:val="21"/>
        </w:rPr>
        <w:t>、</w:t>
      </w:r>
      <w:r>
        <w:rPr>
          <w:rFonts w:hAnsi="宋体" w:hint="eastAsia"/>
          <w:szCs w:val="21"/>
        </w:rPr>
        <w:t>LOF</w:t>
      </w:r>
      <w:r>
        <w:rPr>
          <w:rFonts w:hAnsi="宋体" w:hint="eastAsia"/>
          <w:szCs w:val="21"/>
        </w:rPr>
        <w:t>等可上市交易的基金）的市值不超过本基金资产净值的</w:t>
      </w:r>
      <w:r>
        <w:rPr>
          <w:rFonts w:hAnsi="宋体" w:hint="eastAsia"/>
          <w:szCs w:val="21"/>
        </w:rPr>
        <w:t>10%</w:t>
      </w:r>
      <w:r>
        <w:rPr>
          <w:rFonts w:hAnsi="宋体" w:hint="eastAsia"/>
          <w:szCs w:val="21"/>
        </w:rPr>
        <w:t>；</w:t>
      </w:r>
    </w:p>
    <w:p w14:paraId="61D95657"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9</w:t>
      </w:r>
      <w:r>
        <w:rPr>
          <w:rFonts w:hAnsi="宋体" w:hint="eastAsia"/>
          <w:szCs w:val="21"/>
        </w:rPr>
        <w:t>）本基金持有一家公司发行的证券（不含证券投资基金），其市值（同一家公司在内地和香港同时上市的</w:t>
      </w:r>
      <w:r>
        <w:rPr>
          <w:rFonts w:hAnsi="宋体" w:hint="eastAsia"/>
          <w:szCs w:val="21"/>
        </w:rPr>
        <w:t>A+H</w:t>
      </w:r>
      <w:r>
        <w:rPr>
          <w:rFonts w:hAnsi="宋体" w:hint="eastAsia"/>
          <w:szCs w:val="21"/>
        </w:rPr>
        <w:t>股合计计算）不超过基金资产净值的</w:t>
      </w:r>
      <w:r>
        <w:rPr>
          <w:rFonts w:hAnsi="宋体" w:hint="eastAsia"/>
          <w:szCs w:val="21"/>
        </w:rPr>
        <w:t>10%</w:t>
      </w:r>
      <w:r>
        <w:rPr>
          <w:rFonts w:hAnsi="宋体" w:hint="eastAsia"/>
          <w:szCs w:val="21"/>
        </w:rPr>
        <w:t>；</w:t>
      </w:r>
    </w:p>
    <w:p w14:paraId="69D23EF7"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10</w:t>
      </w:r>
      <w:r>
        <w:rPr>
          <w:rFonts w:hAnsi="宋体" w:hint="eastAsia"/>
          <w:szCs w:val="21"/>
        </w:rPr>
        <w:t>）本基金管理人管理</w:t>
      </w:r>
      <w:r>
        <w:rPr>
          <w:rFonts w:hAnsi="宋体"/>
          <w:szCs w:val="21"/>
        </w:rPr>
        <w:t>且由本基金托管人托管的全部基金持有一家公司发行的证券（不含证券投资基金）（同一家公司在</w:t>
      </w:r>
      <w:r>
        <w:rPr>
          <w:rFonts w:hAnsi="宋体" w:hint="eastAsia"/>
          <w:szCs w:val="21"/>
        </w:rPr>
        <w:t>内地和香港同时上市的</w:t>
      </w:r>
      <w:r>
        <w:rPr>
          <w:rFonts w:hAnsi="宋体" w:hint="eastAsia"/>
          <w:szCs w:val="21"/>
        </w:rPr>
        <w:t>A+H</w:t>
      </w:r>
      <w:r>
        <w:rPr>
          <w:rFonts w:hAnsi="宋体" w:hint="eastAsia"/>
          <w:szCs w:val="21"/>
        </w:rPr>
        <w:t>股合计计算），不超过该证券的</w:t>
      </w:r>
      <w:r>
        <w:rPr>
          <w:rFonts w:hAnsi="宋体" w:hint="eastAsia"/>
          <w:szCs w:val="21"/>
        </w:rPr>
        <w:t>10%</w:t>
      </w:r>
      <w:r>
        <w:rPr>
          <w:rFonts w:hAnsi="宋体" w:hint="eastAsia"/>
          <w:szCs w:val="21"/>
        </w:rPr>
        <w:t>；本基金管理人管理</w:t>
      </w:r>
      <w:r>
        <w:rPr>
          <w:rFonts w:hAnsi="宋体"/>
          <w:szCs w:val="21"/>
        </w:rPr>
        <w:t>且由本基金托管人托管的全部开放式基金（包括开放式基金以及处于开放期的定期开放基金）持有一家上市公司发行的可流通股票，不得超过该上市公司可流通股票的</w:t>
      </w:r>
      <w:r>
        <w:rPr>
          <w:rFonts w:hAnsi="宋体" w:hint="eastAsia"/>
          <w:szCs w:val="21"/>
        </w:rPr>
        <w:t>15%</w:t>
      </w:r>
      <w:r>
        <w:rPr>
          <w:rFonts w:hAnsi="宋体" w:hint="eastAsia"/>
          <w:szCs w:val="21"/>
        </w:rPr>
        <w:t>；本基金管理人管理</w:t>
      </w:r>
      <w:r>
        <w:rPr>
          <w:rFonts w:hAnsi="宋体"/>
          <w:szCs w:val="21"/>
        </w:rPr>
        <w:t>且由本基金托管人托管的全部投资组合持有一家上市公司发行的可流通股票，不得超过该上市公司可流通股票的</w:t>
      </w:r>
      <w:r>
        <w:rPr>
          <w:rFonts w:hAnsi="宋体" w:hint="eastAsia"/>
          <w:szCs w:val="21"/>
        </w:rPr>
        <w:t>30%</w:t>
      </w:r>
      <w:r>
        <w:rPr>
          <w:rFonts w:hAnsi="宋体" w:hint="eastAsia"/>
          <w:szCs w:val="21"/>
        </w:rPr>
        <w:t>；完全按照有关指数的构成比例进行证券投资的基金品种以及中国证监会认定的特殊投资组合可以不受此条款规定的比例限制；</w:t>
      </w:r>
      <w:r>
        <w:rPr>
          <w:rFonts w:hAnsi="宋体" w:hint="eastAsia"/>
          <w:szCs w:val="21"/>
        </w:rPr>
        <w:t xml:space="preserve"> </w:t>
      </w:r>
    </w:p>
    <w:p w14:paraId="41C67122"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11</w:t>
      </w:r>
      <w:r>
        <w:rPr>
          <w:rFonts w:hAnsi="宋体" w:hint="eastAsia"/>
          <w:szCs w:val="21"/>
        </w:rPr>
        <w:t>）本基金投资于同一原始权益人的各类资产支持证券的比例，不得超过基金资产净值的</w:t>
      </w:r>
      <w:r>
        <w:rPr>
          <w:rFonts w:hAnsi="宋体" w:hint="eastAsia"/>
          <w:szCs w:val="21"/>
        </w:rPr>
        <w:t>10%</w:t>
      </w:r>
      <w:r>
        <w:rPr>
          <w:rFonts w:hAnsi="宋体" w:hint="eastAsia"/>
          <w:szCs w:val="21"/>
        </w:rPr>
        <w:t>；</w:t>
      </w:r>
    </w:p>
    <w:p w14:paraId="74EEF24D"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12</w:t>
      </w:r>
      <w:r>
        <w:rPr>
          <w:rFonts w:hAnsi="宋体" w:hint="eastAsia"/>
          <w:szCs w:val="21"/>
        </w:rPr>
        <w:t>）本基金持有的全部资产支持证券，其市值不得超过基金资产净值的</w:t>
      </w:r>
      <w:r>
        <w:rPr>
          <w:rFonts w:hAnsi="宋体" w:hint="eastAsia"/>
          <w:szCs w:val="21"/>
        </w:rPr>
        <w:t>20%</w:t>
      </w:r>
      <w:r>
        <w:rPr>
          <w:rFonts w:hAnsi="宋体" w:hint="eastAsia"/>
          <w:szCs w:val="21"/>
        </w:rPr>
        <w:t>；</w:t>
      </w:r>
    </w:p>
    <w:p w14:paraId="0DD262B8"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13</w:t>
      </w:r>
      <w:r>
        <w:rPr>
          <w:rFonts w:hAnsi="宋体" w:hint="eastAsia"/>
          <w:szCs w:val="21"/>
        </w:rPr>
        <w:t>）本基金持有的同一（指同一信用级别）资产支持证券的比例，不得超过该资产支持证券规模的</w:t>
      </w:r>
      <w:r>
        <w:rPr>
          <w:rFonts w:hAnsi="宋体" w:hint="eastAsia"/>
          <w:szCs w:val="21"/>
        </w:rPr>
        <w:t>10%</w:t>
      </w:r>
      <w:r>
        <w:rPr>
          <w:rFonts w:hAnsi="宋体" w:hint="eastAsia"/>
          <w:szCs w:val="21"/>
        </w:rPr>
        <w:t>；</w:t>
      </w:r>
    </w:p>
    <w:p w14:paraId="5B21F24D"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14</w:t>
      </w:r>
      <w:r>
        <w:rPr>
          <w:rFonts w:hAnsi="宋体" w:hint="eastAsia"/>
          <w:szCs w:val="21"/>
        </w:rPr>
        <w:t>）本基金管理人管理</w:t>
      </w:r>
      <w:r>
        <w:rPr>
          <w:rFonts w:hAnsi="宋体"/>
          <w:szCs w:val="21"/>
        </w:rPr>
        <w:t>且由本基金托管人托管的全部基金投资于同一原始权益人的各类资产支持证券，不得超过其各类资产支持证券合计规模的</w:t>
      </w:r>
      <w:r>
        <w:rPr>
          <w:rFonts w:hAnsi="宋体" w:hint="eastAsia"/>
          <w:szCs w:val="21"/>
        </w:rPr>
        <w:t>10%</w:t>
      </w:r>
      <w:r>
        <w:rPr>
          <w:rFonts w:hAnsi="宋体" w:hint="eastAsia"/>
          <w:szCs w:val="21"/>
        </w:rPr>
        <w:t>；</w:t>
      </w:r>
    </w:p>
    <w:p w14:paraId="40595C6C" w14:textId="77777777" w:rsidR="00701DDF" w:rsidRDefault="003F1F2B">
      <w:pPr>
        <w:widowControl/>
        <w:spacing w:line="360" w:lineRule="auto"/>
        <w:ind w:firstLine="420"/>
        <w:contextualSpacing/>
        <w:rPr>
          <w:rFonts w:hAnsi="宋体"/>
          <w:szCs w:val="21"/>
        </w:rPr>
      </w:pPr>
      <w:r>
        <w:rPr>
          <w:rFonts w:hAnsi="宋体" w:hint="eastAsia"/>
          <w:szCs w:val="21"/>
        </w:rPr>
        <w:lastRenderedPageBreak/>
        <w:t>（</w:t>
      </w:r>
      <w:r>
        <w:rPr>
          <w:rFonts w:hAnsi="宋体" w:hint="eastAsia"/>
          <w:szCs w:val="21"/>
        </w:rPr>
        <w:t>15</w:t>
      </w:r>
      <w:r>
        <w:rPr>
          <w:rFonts w:hAnsi="宋体" w:hint="eastAsia"/>
          <w:szCs w:val="21"/>
        </w:rPr>
        <w:t>）本基金应投资于信用级别评级为</w:t>
      </w:r>
      <w:r>
        <w:rPr>
          <w:rFonts w:hAnsi="宋体" w:hint="eastAsia"/>
          <w:szCs w:val="21"/>
        </w:rPr>
        <w:t>BBB</w:t>
      </w:r>
      <w:r>
        <w:rPr>
          <w:rFonts w:hAnsi="宋体" w:hint="eastAsia"/>
          <w:szCs w:val="21"/>
        </w:rPr>
        <w:t>以上（含</w:t>
      </w:r>
      <w:r>
        <w:rPr>
          <w:rFonts w:hAnsi="宋体" w:hint="eastAsia"/>
          <w:szCs w:val="21"/>
        </w:rPr>
        <w:t>BBB</w:t>
      </w:r>
      <w:r>
        <w:rPr>
          <w:rFonts w:hAnsi="宋体" w:hint="eastAsia"/>
          <w:szCs w:val="21"/>
        </w:rPr>
        <w:t>）的资产支持证券。基金持有资产支持证券期间，如果其信用等级下降、不再符合投资标准，应在评级报告发布之日起</w:t>
      </w:r>
      <w:r>
        <w:rPr>
          <w:rFonts w:hAnsi="宋体" w:hint="eastAsia"/>
          <w:szCs w:val="21"/>
        </w:rPr>
        <w:t>3</w:t>
      </w:r>
      <w:r>
        <w:rPr>
          <w:rFonts w:hAnsi="宋体" w:hint="eastAsia"/>
          <w:szCs w:val="21"/>
        </w:rPr>
        <w:t>个月内予以全部卖出；</w:t>
      </w:r>
    </w:p>
    <w:p w14:paraId="3F3B7D04"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16</w:t>
      </w:r>
      <w:r>
        <w:rPr>
          <w:rFonts w:hAnsi="宋体" w:hint="eastAsia"/>
          <w:szCs w:val="21"/>
        </w:rPr>
        <w:t>）基金财产参与股票发行申购，本基金所申报的金额不超过本基金的总资产，本基金所申报的股票数量不超过拟发行股票公司本次发行股票的总量；</w:t>
      </w:r>
    </w:p>
    <w:p w14:paraId="6837DDDD"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17</w:t>
      </w:r>
      <w:r>
        <w:rPr>
          <w:rFonts w:hAnsi="宋体" w:hint="eastAsia"/>
          <w:szCs w:val="21"/>
        </w:rPr>
        <w:t>）本基金资产总值不得超过基金资产净值的</w:t>
      </w:r>
      <w:r>
        <w:rPr>
          <w:rFonts w:hAnsi="宋体" w:hint="eastAsia"/>
          <w:szCs w:val="21"/>
        </w:rPr>
        <w:t>140%</w:t>
      </w:r>
      <w:r>
        <w:rPr>
          <w:rFonts w:hAnsi="宋体" w:hint="eastAsia"/>
          <w:szCs w:val="21"/>
        </w:rPr>
        <w:t>；</w:t>
      </w:r>
    </w:p>
    <w:p w14:paraId="42475834"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18</w:t>
      </w:r>
      <w:r>
        <w:rPr>
          <w:rFonts w:hAnsi="宋体" w:hint="eastAsia"/>
          <w:szCs w:val="21"/>
        </w:rPr>
        <w:t>）本基金主动投资于流动性受限资产的市值合计不得超过本基金资产净值的</w:t>
      </w:r>
      <w:r>
        <w:rPr>
          <w:rFonts w:hAnsi="宋体" w:hint="eastAsia"/>
          <w:szCs w:val="21"/>
        </w:rPr>
        <w:t>15%</w:t>
      </w:r>
      <w:r>
        <w:rPr>
          <w:rFonts w:hAnsi="宋体" w:hint="eastAsia"/>
          <w:szCs w:val="21"/>
        </w:rPr>
        <w:t>；因证券市场波动、上市公司股票停牌、基金规模变动等基金管理人之外的因素致使基金不符合该比例限制的，基金管理人不得主动新增流动性受限资产的投资；</w:t>
      </w:r>
    </w:p>
    <w:p w14:paraId="460F9277"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19</w:t>
      </w:r>
      <w:r>
        <w:rPr>
          <w:rFonts w:hAnsi="宋体" w:hint="eastAsia"/>
          <w:szCs w:val="21"/>
        </w:rPr>
        <w:t>）本基金与私募类证券资管产品及中国证监会认定的其他主体为交易对手开展逆回购交易的，可接受质押品的资质要求应当与基金合同约定的投资范围保持一致；</w:t>
      </w:r>
    </w:p>
    <w:p w14:paraId="5E72B552" w14:textId="77777777"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20</w:t>
      </w:r>
      <w:r>
        <w:rPr>
          <w:rFonts w:hAnsi="宋体" w:hint="eastAsia"/>
          <w:szCs w:val="21"/>
        </w:rPr>
        <w:t>）本基金投资存托凭证的比例限制依照境内上市交易的股票执行</w:t>
      </w:r>
      <w:r>
        <w:rPr>
          <w:rFonts w:hAnsi="宋体"/>
          <w:szCs w:val="21"/>
        </w:rPr>
        <w:t>，并与境内上市交易的股票合并计算，法律法规或监管机构另有规定的从其规定；</w:t>
      </w:r>
    </w:p>
    <w:p w14:paraId="71A2FFAD" w14:textId="5C7EE8F8" w:rsidR="00701DDF" w:rsidRDefault="003F1F2B">
      <w:pPr>
        <w:widowControl/>
        <w:spacing w:line="360" w:lineRule="auto"/>
        <w:ind w:firstLine="420"/>
        <w:contextualSpacing/>
        <w:rPr>
          <w:rFonts w:hAnsi="宋体"/>
          <w:szCs w:val="21"/>
        </w:rPr>
      </w:pPr>
      <w:r>
        <w:rPr>
          <w:rFonts w:hAnsi="宋体" w:hint="eastAsia"/>
          <w:szCs w:val="21"/>
        </w:rPr>
        <w:t>（</w:t>
      </w:r>
      <w:r>
        <w:rPr>
          <w:rFonts w:hAnsi="宋体" w:hint="eastAsia"/>
          <w:szCs w:val="21"/>
        </w:rPr>
        <w:t>21</w:t>
      </w:r>
      <w:r>
        <w:rPr>
          <w:rFonts w:hAnsi="宋体" w:hint="eastAsia"/>
          <w:szCs w:val="21"/>
        </w:rPr>
        <w:t>）法律法规及中国证监会规定的</w:t>
      </w:r>
      <w:r>
        <w:rPr>
          <w:rFonts w:hAnsi="宋体"/>
          <w:szCs w:val="21"/>
        </w:rPr>
        <w:t>其他投资比例限制。</w:t>
      </w:r>
    </w:p>
    <w:p w14:paraId="1537777A" w14:textId="77777777" w:rsidR="00701DDF" w:rsidRDefault="003F1F2B">
      <w:pPr>
        <w:widowControl/>
        <w:spacing w:line="360" w:lineRule="auto"/>
        <w:ind w:firstLine="420"/>
        <w:contextualSpacing/>
        <w:rPr>
          <w:rFonts w:hAnsi="宋体"/>
          <w:szCs w:val="21"/>
        </w:rPr>
      </w:pPr>
      <w:r>
        <w:rPr>
          <w:rFonts w:hAnsi="宋体" w:hint="eastAsia"/>
          <w:szCs w:val="21"/>
        </w:rPr>
        <w:t>因证券市场波动、证券发行人合并、基金规模变动等基金管理人之外的因素致使基金投资比例不符合上述第（</w:t>
      </w:r>
      <w:r>
        <w:rPr>
          <w:rFonts w:hAnsi="宋体" w:hint="eastAsia"/>
          <w:szCs w:val="21"/>
        </w:rPr>
        <w:t>5</w:t>
      </w:r>
      <w:r>
        <w:rPr>
          <w:rFonts w:hAnsi="宋体" w:hint="eastAsia"/>
          <w:szCs w:val="21"/>
        </w:rPr>
        <w:t>）、（</w:t>
      </w:r>
      <w:r>
        <w:rPr>
          <w:rFonts w:hAnsi="宋体" w:hint="eastAsia"/>
          <w:szCs w:val="21"/>
        </w:rPr>
        <w:t>6</w:t>
      </w:r>
      <w:r>
        <w:rPr>
          <w:rFonts w:hAnsi="宋体" w:hint="eastAsia"/>
          <w:szCs w:val="21"/>
        </w:rPr>
        <w:t>）项规定投资比例的，基金管理人应当在被投资基金可交易或可赎回之日起</w:t>
      </w:r>
      <w:r>
        <w:rPr>
          <w:rFonts w:hAnsi="宋体" w:hint="eastAsia"/>
          <w:szCs w:val="21"/>
        </w:rPr>
        <w:t>20</w:t>
      </w:r>
      <w:r>
        <w:rPr>
          <w:rFonts w:hAnsi="宋体" w:hint="eastAsia"/>
          <w:szCs w:val="21"/>
        </w:rPr>
        <w:t>个交易日内进行调整，对于除第（</w:t>
      </w:r>
      <w:r>
        <w:rPr>
          <w:rFonts w:hAnsi="宋体" w:hint="eastAsia"/>
          <w:szCs w:val="21"/>
        </w:rPr>
        <w:t>4</w:t>
      </w:r>
      <w:r>
        <w:rPr>
          <w:rFonts w:hAnsi="宋体" w:hint="eastAsia"/>
          <w:szCs w:val="21"/>
        </w:rPr>
        <w:t>）</w:t>
      </w:r>
      <w:r>
        <w:rPr>
          <w:rFonts w:hAnsi="宋体" w:hint="eastAsia"/>
          <w:szCs w:val="21"/>
        </w:rPr>
        <w:t>-</w:t>
      </w:r>
      <w:r>
        <w:rPr>
          <w:rFonts w:hAnsi="宋体" w:hint="eastAsia"/>
          <w:szCs w:val="21"/>
        </w:rPr>
        <w:t>（</w:t>
      </w:r>
      <w:r>
        <w:rPr>
          <w:rFonts w:hAnsi="宋体" w:hint="eastAsia"/>
          <w:szCs w:val="21"/>
        </w:rPr>
        <w:t>6</w:t>
      </w:r>
      <w:r>
        <w:rPr>
          <w:rFonts w:hAnsi="宋体" w:hint="eastAsia"/>
          <w:szCs w:val="21"/>
        </w:rPr>
        <w:t>）、（</w:t>
      </w:r>
      <w:r>
        <w:rPr>
          <w:rFonts w:hAnsi="宋体" w:hint="eastAsia"/>
          <w:szCs w:val="21"/>
        </w:rPr>
        <w:t>15</w:t>
      </w:r>
      <w:r>
        <w:rPr>
          <w:rFonts w:hAnsi="宋体" w:hint="eastAsia"/>
          <w:szCs w:val="21"/>
        </w:rPr>
        <w:t>）、（</w:t>
      </w:r>
      <w:r>
        <w:rPr>
          <w:rFonts w:hAnsi="宋体" w:hint="eastAsia"/>
          <w:szCs w:val="21"/>
        </w:rPr>
        <w:t>18</w:t>
      </w:r>
      <w:r>
        <w:rPr>
          <w:rFonts w:hAnsi="宋体" w:hint="eastAsia"/>
          <w:szCs w:val="21"/>
        </w:rPr>
        <w:t>）和（</w:t>
      </w:r>
      <w:r>
        <w:rPr>
          <w:rFonts w:hAnsi="宋体" w:hint="eastAsia"/>
          <w:szCs w:val="21"/>
        </w:rPr>
        <w:t>19</w:t>
      </w:r>
      <w:r>
        <w:rPr>
          <w:rFonts w:hAnsi="宋体" w:hint="eastAsia"/>
          <w:szCs w:val="21"/>
        </w:rPr>
        <w:t>）项规定的其他情形，基金管理人应当在被投资证券或基金可交易或可赎回之日起</w:t>
      </w:r>
      <w:r>
        <w:rPr>
          <w:rFonts w:hAnsi="宋体" w:hint="eastAsia"/>
          <w:szCs w:val="21"/>
        </w:rPr>
        <w:t>10</w:t>
      </w:r>
      <w:r>
        <w:rPr>
          <w:rFonts w:hAnsi="宋体" w:hint="eastAsia"/>
          <w:szCs w:val="21"/>
        </w:rPr>
        <w:t>个交易日内进行调整，但中国证监会规定的特殊情形除外。法律法规另有规定的，从其规定。</w:t>
      </w:r>
    </w:p>
    <w:p w14:paraId="0BEF3EE4" w14:textId="77777777" w:rsidR="00701DDF" w:rsidRDefault="003F1F2B">
      <w:pPr>
        <w:widowControl/>
        <w:spacing w:line="360" w:lineRule="auto"/>
        <w:ind w:firstLine="420"/>
        <w:contextualSpacing/>
        <w:rPr>
          <w:rFonts w:hAnsi="宋体"/>
          <w:szCs w:val="21"/>
        </w:rPr>
      </w:pPr>
      <w:r>
        <w:rPr>
          <w:rFonts w:hAnsi="宋体" w:hint="eastAsia"/>
          <w:szCs w:val="21"/>
        </w:rPr>
        <w:t>基金管理人应当自基金合同生效之日起</w:t>
      </w:r>
      <w:r>
        <w:rPr>
          <w:rFonts w:hAnsi="宋体" w:hint="eastAsia"/>
          <w:szCs w:val="21"/>
        </w:rPr>
        <w:t>6</w:t>
      </w:r>
      <w:r>
        <w:rPr>
          <w:rFonts w:hAnsi="宋体" w:hint="eastAsia"/>
          <w:szCs w:val="21"/>
        </w:rPr>
        <w:t>个月内使基金的投资组合比例符合基金合同的有关约定。在上述期间内，本基金的投资范围、投资策略应当符合基金合同的约定。</w:t>
      </w:r>
    </w:p>
    <w:p w14:paraId="744C73D0" w14:textId="0BBC675C" w:rsidR="00701DDF" w:rsidRDefault="003F1F2B">
      <w:pPr>
        <w:widowControl/>
        <w:spacing w:line="360" w:lineRule="auto"/>
        <w:ind w:firstLine="420"/>
        <w:contextualSpacing/>
        <w:rPr>
          <w:rFonts w:hAnsi="宋体"/>
          <w:szCs w:val="21"/>
        </w:rPr>
      </w:pPr>
      <w:r>
        <w:rPr>
          <w:rFonts w:hAnsi="宋体" w:hint="eastAsia"/>
          <w:szCs w:val="21"/>
        </w:rPr>
        <w:t>基金托管人对基金的投资的监督与检查自基金合同生效之日起开始。</w:t>
      </w:r>
    </w:p>
    <w:p w14:paraId="3403DB3D" w14:textId="445A7BAF" w:rsidR="00701DDF" w:rsidRDefault="003F1F2B">
      <w:pPr>
        <w:widowControl/>
        <w:spacing w:line="360" w:lineRule="auto"/>
        <w:ind w:firstLine="420"/>
        <w:contextualSpacing/>
        <w:rPr>
          <w:rFonts w:hAnsi="宋体"/>
          <w:szCs w:val="21"/>
        </w:rPr>
      </w:pPr>
      <w:r>
        <w:rPr>
          <w:rFonts w:hAnsi="宋体" w:hint="eastAsia"/>
          <w:szCs w:val="21"/>
        </w:rPr>
        <w:t>法律法规或监管部门取消或变更上述限制，如适用于本基金，基金管理人在履行适当程序后，则本基金投资不再受相关限制或以变更后的规定为准，但须提前公告。</w:t>
      </w:r>
    </w:p>
    <w:p w14:paraId="12FE8390" w14:textId="77777777" w:rsidR="00701DDF" w:rsidRDefault="003F1F2B">
      <w:pPr>
        <w:widowControl/>
        <w:spacing w:line="360" w:lineRule="auto"/>
        <w:ind w:firstLine="420"/>
        <w:contextualSpacing/>
        <w:rPr>
          <w:rFonts w:hAnsi="宋体"/>
          <w:szCs w:val="21"/>
        </w:rPr>
      </w:pPr>
      <w:r>
        <w:rPr>
          <w:rFonts w:hAnsi="宋体" w:hint="eastAsia"/>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w:t>
      </w:r>
      <w:r>
        <w:rPr>
          <w:rFonts w:hAnsi="宋体" w:hint="eastAsia"/>
          <w:szCs w:val="21"/>
        </w:rPr>
        <w:lastRenderedPageBreak/>
        <w:t>人董事会审议，并经过三分之二以上的独立董事通过。基金管理人董事会应至少每半年对关联交易事项进行审查。</w:t>
      </w:r>
    </w:p>
    <w:p w14:paraId="1A2223A7" w14:textId="77777777" w:rsidR="00701DDF" w:rsidRDefault="003F1F2B">
      <w:pPr>
        <w:widowControl/>
        <w:spacing w:line="360" w:lineRule="auto"/>
        <w:ind w:firstLine="420"/>
        <w:contextualSpacing/>
        <w:rPr>
          <w:rFonts w:hAnsi="宋体"/>
          <w:szCs w:val="21"/>
        </w:rPr>
      </w:pPr>
      <w:r>
        <w:rPr>
          <w:rFonts w:hAnsi="宋体" w:hint="eastAsia"/>
          <w:szCs w:val="21"/>
        </w:rPr>
        <w:t>本基金投资基金管理人或基金管理人关联方管理的基金的情况，不属于前述重大关联交易，但是应当按照法律法规或监管规定的要求履行信息披露义务。</w:t>
      </w:r>
    </w:p>
    <w:p w14:paraId="2ABE830E"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（二）基金托管人应根据有关法律法规的规定及</w:t>
      </w:r>
      <w:r>
        <w:rPr>
          <w:rFonts w:ascii="宋体" w:hAnsi="宋体" w:hint="eastAsia"/>
          <w:szCs w:val="21"/>
        </w:rPr>
        <w:t>《基金合同》</w:t>
      </w:r>
      <w:r>
        <w:rPr>
          <w:rFonts w:ascii="宋体" w:hAnsi="宋体" w:cs="方正仿宋简体" w:hint="eastAsia"/>
          <w:szCs w:val="21"/>
        </w:rPr>
        <w:t>的约定，对基金资产净值计算、各类基金份额净值计算、应收资金到账、基金费用开支及收入确定、基金收益分配、相关信息披露及基金宣传推介材料中登载基金业绩表现数据等进行复核。</w:t>
      </w:r>
    </w:p>
    <w:p w14:paraId="69B66B34"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（三）基金托管人在上述第（一）、（二）款的监督和核查中发现基金管理人违反上述</w:t>
      </w:r>
      <w:r>
        <w:rPr>
          <w:rFonts w:ascii="宋体" w:hAnsi="宋体" w:hint="eastAsia"/>
          <w:szCs w:val="21"/>
        </w:rPr>
        <w:t>约定</w:t>
      </w:r>
      <w:r>
        <w:rPr>
          <w:rFonts w:ascii="宋体" w:hAnsi="宋体" w:cs="方正仿宋简体" w:hint="eastAsia"/>
          <w:szCs w:val="21"/>
        </w:rPr>
        <w:t>，</w:t>
      </w:r>
      <w:r>
        <w:rPr>
          <w:rFonts w:ascii="宋体" w:hAnsi="宋体" w:hint="eastAsia"/>
          <w:szCs w:val="21"/>
        </w:rPr>
        <w:t>应及时提示基金管理人，基金管理人收到提示后应及时核对确认并以书面形式对基金托管人发出回函并改正。在限期内，基金托管人有权随时对提示事项进行复查。基金管理人对基金托管人提示的违规事项未能在限期内纠正的，基金托管人应及时向中国证监会报告。</w:t>
      </w:r>
    </w:p>
    <w:p w14:paraId="163B8FCC" w14:textId="55D5F229"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（四）基金托管人发现基金管理人的投资指令违反法律法规、本协议的规定，</w:t>
      </w:r>
      <w:r>
        <w:rPr>
          <w:rFonts w:ascii="宋体" w:hAnsi="宋体" w:hint="eastAsia"/>
          <w:szCs w:val="21"/>
        </w:rPr>
        <w:t>应当拒绝执行，及时提示基金管理人，并依照法律法规的规定及时向中国证监会报告。基金托管人发现基金管理人依据交易程序已经生效的指令违反法律法规、本协议规定的，应当及时提示基金管理人，并依照法律法规的规定及时向中国证监会报告。</w:t>
      </w:r>
    </w:p>
    <w:p w14:paraId="060839CA" w14:textId="77777777" w:rsidR="00701DDF" w:rsidRDefault="003F1F2B">
      <w:pPr>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（五）基金管理人应积极配合和协助基金托管人的监督和核查，包括但不限于：在规定时间内答复基金托管人并改正，就基金托管人的疑义进行解释或举证，提供相关数据资料和制度等。</w:t>
      </w:r>
    </w:p>
    <w:p w14:paraId="049DA219" w14:textId="77777777" w:rsidR="00701DDF" w:rsidRDefault="00701DDF">
      <w:pPr>
        <w:spacing w:before="100" w:beforeAutospacing="1" w:after="100" w:afterAutospacing="1" w:line="400" w:lineRule="exact"/>
        <w:ind w:firstLine="420"/>
        <w:rPr>
          <w:rFonts w:ascii="宋体" w:hAnsi="宋体"/>
          <w:szCs w:val="21"/>
        </w:rPr>
      </w:pPr>
    </w:p>
    <w:p w14:paraId="2E6056E6" w14:textId="77777777" w:rsidR="00701DDF" w:rsidRDefault="003F1F2B">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四、基金管理人对基金托管人的业务核查</w:t>
      </w:r>
    </w:p>
    <w:p w14:paraId="40F289C6"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1、在本协议的有效期内，在不违反公平、合理原则以及不妨碍基金托管人遵守相关法律法规及其行业监管要求的基础上，基金管理人有权对基金托管人履行本协议的情况进行必要的核查，核查事项包括但不限于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339C5110"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2、基金管理人发现基金托管人擅自挪用基金财产、未对基金财产实行分账管理、无正当理由未执行或延迟执行基金管理人资金划拨指令、泄露基金投资信息等违反法律法规、</w:t>
      </w:r>
      <w:r>
        <w:rPr>
          <w:rFonts w:ascii="宋体" w:hAnsi="宋体" w:hint="eastAsia"/>
          <w:szCs w:val="21"/>
        </w:rPr>
        <w:lastRenderedPageBreak/>
        <w:t>《基金合同》及本协议有关规定时，应及时以书面形式通知基金托管人限期纠正，基金托管人收到通知后应及时核对并以书面形式对基金管理人发出回函。在限期内，基金管理人有权随时对通知事项进行复查，督促基金托管人改正。基金托管人对基金管理人通知的违规事项未能在限期内纠正的，基金管理人应依照法律法规的规定报告中国证监会。</w:t>
      </w:r>
    </w:p>
    <w:p w14:paraId="0EDEAE61"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3、基金托管人应积极配合基金管理人的核查行为，包括但不限于：提交相关资料以供基金管理人核查托管财产的完整性和真实性，在规定时间内答复基金管理人并改正。</w:t>
      </w:r>
    </w:p>
    <w:p w14:paraId="0FD4715E" w14:textId="77777777" w:rsidR="00701DDF" w:rsidRDefault="003F1F2B">
      <w:pPr>
        <w:pStyle w:val="1"/>
        <w:spacing w:before="100" w:beforeAutospacing="1" w:after="100" w:afterAutospacing="1" w:line="400" w:lineRule="exact"/>
        <w:ind w:firstLine="422"/>
        <w:rPr>
          <w:rFonts w:ascii="宋体" w:hAnsi="宋体"/>
          <w:sz w:val="21"/>
          <w:szCs w:val="21"/>
        </w:rPr>
      </w:pPr>
      <w:bookmarkStart w:id="8" w:name="_Toc116900099"/>
      <w:r>
        <w:rPr>
          <w:rFonts w:ascii="宋体" w:hAnsi="宋体" w:hint="eastAsia"/>
          <w:sz w:val="21"/>
          <w:szCs w:val="21"/>
        </w:rPr>
        <w:t>五、基金财产的保管</w:t>
      </w:r>
      <w:bookmarkEnd w:id="8"/>
    </w:p>
    <w:p w14:paraId="640DEA7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（一）基金财产保管的原则</w:t>
      </w:r>
    </w:p>
    <w:p w14:paraId="04E94788"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1、</w:t>
      </w:r>
      <w:r>
        <w:rPr>
          <w:rFonts w:ascii="宋体" w:hAnsi="宋体" w:cs="方正仿宋简体" w:hint="eastAsia"/>
          <w:szCs w:val="21"/>
        </w:rPr>
        <w:t>基金财产应独立于基金管理人、基金托管人的固有财产。</w:t>
      </w:r>
    </w:p>
    <w:p w14:paraId="0469CD87"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2、基金托管人应安全保管基金财产，</w:t>
      </w:r>
      <w:r>
        <w:rPr>
          <w:rFonts w:ascii="宋体" w:hAnsi="宋体" w:hint="eastAsia"/>
          <w:szCs w:val="21"/>
        </w:rPr>
        <w:t>未经基金管理人的合法合规指令或法律法规、《基金合同》及本协议另有规定，不得自行运用、处分、分配基金的任何财产。</w:t>
      </w:r>
    </w:p>
    <w:p w14:paraId="69FE7275"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3、基金托管人按照规定开设基金财产的资金账户和证券账户等投资所需账户。</w:t>
      </w:r>
    </w:p>
    <w:p w14:paraId="6179D81B"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cs="方正仿宋简体" w:hint="eastAsia"/>
          <w:color w:val="auto"/>
          <w:sz w:val="21"/>
          <w:szCs w:val="21"/>
        </w:rPr>
        <w:t>4、基金托管人对所托管的不同基金财产分别设置账户，确保基金财产的完整与独立。</w:t>
      </w:r>
    </w:p>
    <w:p w14:paraId="1A646957"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5、除依据《基金法》、《运作办法》、《基金合同》及其他有关法律法规规定外，基金托管人不得委托第三人托管基金财产。</w:t>
      </w:r>
    </w:p>
    <w:p w14:paraId="1929E6CE"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（二）基金合同生效前募集资金的验资和入账</w:t>
      </w:r>
    </w:p>
    <w:p w14:paraId="7788292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1、基金募集期满或基金管理人宣布停止募集时，</w:t>
      </w:r>
      <w:r>
        <w:rPr>
          <w:rFonts w:ascii="宋体" w:eastAsia="宋体" w:cs="方正仿宋简体" w:hint="eastAsia"/>
          <w:color w:val="auto"/>
          <w:sz w:val="21"/>
          <w:szCs w:val="21"/>
        </w:rPr>
        <w:t>募集的基金份额总额、基金募集金额、基金份额持有人人数符合《基金法》、《运作办法》等有关规定的，</w:t>
      </w:r>
      <w:r>
        <w:rPr>
          <w:rFonts w:ascii="宋体" w:eastAsia="宋体" w:hint="eastAsia"/>
          <w:color w:val="auto"/>
          <w:sz w:val="21"/>
          <w:szCs w:val="21"/>
        </w:rPr>
        <w:t>由基金管理人在法定期限内聘请符合《中华人民共和国证券法》规定的会计师事务所对基金进行验资，并出具验资报告，出具的验资报告应由参加验资的</w:t>
      </w:r>
      <w:r>
        <w:rPr>
          <w:rFonts w:ascii="宋体" w:eastAsia="宋体"/>
          <w:color w:val="auto"/>
          <w:sz w:val="21"/>
          <w:szCs w:val="21"/>
        </w:rPr>
        <w:t>2</w:t>
      </w:r>
      <w:r>
        <w:rPr>
          <w:rFonts w:ascii="宋体" w:eastAsia="宋体" w:hint="eastAsia"/>
          <w:color w:val="auto"/>
          <w:sz w:val="21"/>
          <w:szCs w:val="21"/>
        </w:rPr>
        <w:t>名以上（含</w:t>
      </w:r>
      <w:r>
        <w:rPr>
          <w:rFonts w:ascii="宋体" w:eastAsia="宋体"/>
          <w:color w:val="auto"/>
          <w:sz w:val="21"/>
          <w:szCs w:val="21"/>
        </w:rPr>
        <w:t>2</w:t>
      </w:r>
      <w:r>
        <w:rPr>
          <w:rFonts w:ascii="宋体" w:eastAsia="宋体" w:hint="eastAsia"/>
          <w:color w:val="auto"/>
          <w:sz w:val="21"/>
          <w:szCs w:val="21"/>
        </w:rPr>
        <w:t>名）中国注册会计师签字方为有效。</w:t>
      </w:r>
    </w:p>
    <w:p w14:paraId="3D9F9F79"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2、基金管理人应将属于本基金财产的全部资金划入在基金托管人处为本基金开立的基金银行账户中，并确保划入的资金与验资确认金额相一致。</w:t>
      </w:r>
    </w:p>
    <w:p w14:paraId="2FB5CAC9"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（三）基金的银行账户的开设和管理</w:t>
      </w:r>
    </w:p>
    <w:p w14:paraId="6C31551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1、基金托管人应负责本基金的银行账户的开设和管理。</w:t>
      </w:r>
    </w:p>
    <w:p w14:paraId="3B9A258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lastRenderedPageBreak/>
        <w:t>2、基金托管人以本基金的名义开设本基金的银行账户。本基金的银行预留印鉴由基金托管人保管和使用。本基金的一切货币收支活动，包括但不限于投资、支付赎回金额、支付基金收益、收取申购款，均需通过本基金的银行账户进行。</w:t>
      </w:r>
    </w:p>
    <w:p w14:paraId="239F761B"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3、本基金银行账户的开立和使用，限于满足开展本基金业务的需要。基金托管人和基金管理人不得假借本基金的名义开立其他任何银行账户；亦不得使用本基金的银行账户进行本基金业务以外的活动。</w:t>
      </w:r>
    </w:p>
    <w:p w14:paraId="3782A22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4、基金银行账户的管理应符合法律法规的有关规定。</w:t>
      </w:r>
    </w:p>
    <w:p w14:paraId="2993A2C9"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（四）基金进行定期存款投资的账户开设和管理</w:t>
      </w:r>
    </w:p>
    <w:p w14:paraId="1FD8D31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以基金名义在基金托管人认可的存款银行的指定营业网点开立存款账户，基金托管人负责该账户银行预留印鉴的保管和使用。在上述账户开立和账户相关信息变更过程中，基金管理人应提前向基金托管人提供开户或账户变更所需的相关资料。</w:t>
      </w:r>
    </w:p>
    <w:p w14:paraId="5C26B334"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（五）基金证券账户、结算备付金账户及其他投资账户的开设和管理</w:t>
      </w:r>
    </w:p>
    <w:p w14:paraId="53B5C54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1、基金托管人应当代表本基金，以基金托管人和本基金联名的方式在中国证券登记结算有限责任公司开设证券账户。</w:t>
      </w:r>
    </w:p>
    <w:p w14:paraId="7F5E2A80"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2、本基金证券账户的开立和使用，限于满足开展本基金业务的需要。基金托管人和基金管理人不得出借或转让本基金的证券账户，亦不得使用本基金的证券账户进行本基金业务以外的活动。</w:t>
      </w:r>
    </w:p>
    <w:p w14:paraId="5A917E6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w:t>
      </w:r>
      <w:r>
        <w:rPr>
          <w:rFonts w:ascii="宋体" w:eastAsia="宋体"/>
          <w:color w:val="auto"/>
          <w:sz w:val="21"/>
          <w:szCs w:val="21"/>
        </w:rPr>
        <w:t>基金托管人以自身法人名义在中国证券登记结算</w:t>
      </w:r>
      <w:r>
        <w:rPr>
          <w:rFonts w:ascii="宋体" w:eastAsia="宋体" w:hint="eastAsia"/>
          <w:color w:val="auto"/>
          <w:sz w:val="21"/>
          <w:szCs w:val="21"/>
        </w:rPr>
        <w:t>有限责任</w:t>
      </w:r>
      <w:r>
        <w:rPr>
          <w:rFonts w:ascii="宋体" w:eastAsia="宋体"/>
          <w:color w:val="auto"/>
          <w:sz w:val="21"/>
          <w:szCs w:val="21"/>
        </w:rPr>
        <w:t>公司开立结算备付金账户，用于办理基金托管人所托管的</w:t>
      </w:r>
      <w:r>
        <w:rPr>
          <w:rFonts w:ascii="宋体" w:eastAsia="宋体" w:hint="eastAsia"/>
          <w:color w:val="auto"/>
          <w:sz w:val="21"/>
          <w:szCs w:val="21"/>
        </w:rPr>
        <w:t>包括本基金在内的</w:t>
      </w:r>
      <w:r>
        <w:rPr>
          <w:rFonts w:ascii="宋体" w:eastAsia="宋体"/>
          <w:color w:val="auto"/>
          <w:sz w:val="21"/>
          <w:szCs w:val="21"/>
        </w:rPr>
        <w:t>全部基金在证券交易所进行证券投资所涉及的资金结算业务。结算备付金的收取按照中国证券登记结算</w:t>
      </w:r>
      <w:r>
        <w:rPr>
          <w:rFonts w:ascii="宋体" w:eastAsia="宋体" w:hint="eastAsia"/>
          <w:color w:val="auto"/>
          <w:sz w:val="21"/>
          <w:szCs w:val="21"/>
        </w:rPr>
        <w:t>有限责任</w:t>
      </w:r>
      <w:r>
        <w:rPr>
          <w:rFonts w:ascii="宋体" w:eastAsia="宋体"/>
          <w:color w:val="auto"/>
          <w:sz w:val="21"/>
          <w:szCs w:val="21"/>
        </w:rPr>
        <w:t>公司的规定执行。</w:t>
      </w:r>
    </w:p>
    <w:p w14:paraId="1AAB838C"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4、在本托管协议生效日之后，本基金被允许从事其他投资品种的投资业务的，涉及相关账户的开设、使用的，若无相关规定，则基金托管人应当比照并遵守上述关于账户开设、使用的规定。</w:t>
      </w:r>
    </w:p>
    <w:p w14:paraId="40E25FEF" w14:textId="77777777" w:rsidR="00701DDF" w:rsidRDefault="003F1F2B">
      <w:pPr>
        <w:pStyle w:val="af0"/>
        <w:spacing w:before="100" w:beforeAutospacing="1" w:after="100" w:afterAutospacing="1"/>
        <w:ind w:firstLine="420"/>
        <w:rPr>
          <w:rFonts w:ascii="宋体" w:eastAsia="宋体"/>
          <w:color w:val="auto"/>
          <w:sz w:val="21"/>
          <w:szCs w:val="21"/>
        </w:rPr>
      </w:pPr>
      <w:r>
        <w:rPr>
          <w:rFonts w:ascii="宋体" w:eastAsia="宋体" w:hint="eastAsia"/>
          <w:color w:val="auto"/>
          <w:sz w:val="21"/>
          <w:szCs w:val="21"/>
        </w:rPr>
        <w:t>（六）债券托管专户的开设和管理</w:t>
      </w:r>
    </w:p>
    <w:p w14:paraId="47873801"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基金合同生效后，基金管理人负责以基金的名义申请并取得进入全国银行间同业拆借市场的交易资格，并代表基金进行交易；由基金管理人负责向中国人民银行报备，在上述</w:t>
      </w:r>
      <w:r>
        <w:rPr>
          <w:rFonts w:ascii="宋体" w:eastAsia="宋体" w:hint="eastAsia"/>
          <w:color w:val="auto"/>
          <w:sz w:val="21"/>
          <w:szCs w:val="21"/>
        </w:rPr>
        <w:lastRenderedPageBreak/>
        <w:t>手续办理完毕之后，基金托管人负责以基金的名义在中央国债登记结算有限责任公司和银行间市场清算所股份有限公司开设银行间债券市场债券托管账户</w:t>
      </w:r>
      <w:r w:rsidRPr="003C4531">
        <w:rPr>
          <w:rFonts w:ascii="宋体" w:eastAsia="宋体" w:hint="eastAsia"/>
          <w:color w:val="000000" w:themeColor="text1"/>
          <w:sz w:val="21"/>
          <w:szCs w:val="21"/>
        </w:rPr>
        <w:t>和资金结算专户</w:t>
      </w:r>
      <w:r>
        <w:rPr>
          <w:rFonts w:ascii="宋体" w:eastAsia="宋体" w:hint="eastAsia"/>
          <w:color w:val="auto"/>
          <w:sz w:val="21"/>
          <w:szCs w:val="21"/>
        </w:rPr>
        <w:t>，并代表基金进行银行间债券市场债券和资金的清算</w:t>
      </w:r>
      <w:r>
        <w:rPr>
          <w:rFonts w:ascii="宋体" w:hint="eastAsia"/>
          <w:color w:val="auto"/>
          <w:sz w:val="21"/>
        </w:rPr>
        <w:t>。</w:t>
      </w:r>
    </w:p>
    <w:p w14:paraId="297C529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（七）基金财产投资的有关有价凭证的保管</w:t>
      </w:r>
    </w:p>
    <w:p w14:paraId="2178FE44"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基金财产投资的实物证券、银行定期存款存单等有价凭证由基金托管人负责妥善保管。基金托管人对其以外机构实际有效控制的有价凭证不承担责任。</w:t>
      </w:r>
    </w:p>
    <w:p w14:paraId="39BF2BE7"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（八）与基金财产有关的重大合同及有关凭证的保管</w:t>
      </w:r>
    </w:p>
    <w:p w14:paraId="7604156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按照法律法规保管由基金管理人代表基金签署的与基金有关的重大合同及有关凭证。基金管理人代表基金签署有关重大合同后应在收到合同正本后30日内将一份正本的原件提交给基金托管人。除本协议另有规定外，基金管理人在代表基金签署与基金有关的重大合同时应尽可能保证基金一方持有两份以上的正本，以便基金管理人和基金托管人至少各持有一份正本的原件。重大合同由基金管理人与基金托管人按规定各自保管，保管期限不少于法律法规的规定。</w:t>
      </w:r>
    </w:p>
    <w:p w14:paraId="15B6247B" w14:textId="77777777" w:rsidR="00701DDF" w:rsidRDefault="003F1F2B">
      <w:pPr>
        <w:pStyle w:val="af0"/>
        <w:spacing w:line="360" w:lineRule="auto"/>
        <w:ind w:firstLine="403"/>
        <w:rPr>
          <w:rFonts w:ascii="宋体" w:eastAsia="宋体"/>
          <w:color w:val="auto"/>
          <w:sz w:val="21"/>
          <w:szCs w:val="21"/>
        </w:rPr>
      </w:pPr>
      <w:r>
        <w:rPr>
          <w:rFonts w:ascii="宋体" w:eastAsia="宋体" w:hint="eastAsia"/>
          <w:color w:val="auto"/>
          <w:sz w:val="21"/>
          <w:szCs w:val="21"/>
        </w:rPr>
        <w:t>对于无法取得二份以上的正本的，基金管理人应向基金托管人提供与合同原件核对一致并加盖公章的合同复印件或传真件，未经双方协商一致，合同原件不得转移。</w:t>
      </w:r>
    </w:p>
    <w:p w14:paraId="07A2332A" w14:textId="77777777" w:rsidR="00701DDF" w:rsidRDefault="003F1F2B">
      <w:pPr>
        <w:pStyle w:val="1"/>
        <w:spacing w:before="100" w:beforeAutospacing="1" w:after="100" w:afterAutospacing="1" w:line="400" w:lineRule="exact"/>
        <w:ind w:firstLine="422"/>
        <w:rPr>
          <w:rFonts w:ascii="宋体" w:hAnsi="宋体"/>
          <w:sz w:val="21"/>
          <w:szCs w:val="21"/>
        </w:rPr>
      </w:pPr>
      <w:bookmarkStart w:id="9" w:name="_Toc116900100"/>
      <w:r>
        <w:rPr>
          <w:rFonts w:ascii="宋体" w:hAnsi="宋体" w:hint="eastAsia"/>
          <w:sz w:val="21"/>
          <w:szCs w:val="21"/>
        </w:rPr>
        <w:t>六、指令的发送、确认及执行</w:t>
      </w:r>
      <w:bookmarkEnd w:id="9"/>
    </w:p>
    <w:p w14:paraId="749199B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基金管理人发送的指令包括电子指令和纸质指令。</w:t>
      </w:r>
    </w:p>
    <w:p w14:paraId="10C3CC71" w14:textId="0BB80283"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电子指令包括基金管理人发送的电子指令（采用深证通金融数据交换平台发送的电子指令、采用SWIFT电子报文发送的电子指令、通过中国银行托管网银发送的电子指令）、自动产生的电子指令（基金托管人的全球托管系统根据基金管理人的授权通过预先设定的业务规则自动产生的电子指令）。电子指令一经发出即被视为合法有效指令，纸质指令作为应急方式备用。基金管理人通过深证通金融数据交换平台发送的电子指令，基金托管人根据USER ID和APP ID唯一识别基金管理人身份，基金管理人应妥善保管USER ID和APP ID，基金托管人身份识别后对于执行该电子指令造成的任何损失基金托管人不承担责任。</w:t>
      </w:r>
    </w:p>
    <w:p w14:paraId="480E3E48" w14:textId="77777777" w:rsidR="00701DDF" w:rsidRPr="003C4531" w:rsidRDefault="003F1F2B">
      <w:pPr>
        <w:pStyle w:val="af0"/>
        <w:spacing w:before="100" w:beforeAutospacing="1" w:after="100" w:afterAutospacing="1"/>
        <w:ind w:firstLine="403"/>
        <w:rPr>
          <w:rFonts w:ascii="宋体" w:eastAsia="宋体"/>
          <w:sz w:val="21"/>
          <w:szCs w:val="21"/>
        </w:rPr>
      </w:pPr>
      <w:r w:rsidRPr="003C4531">
        <w:rPr>
          <w:rFonts w:ascii="宋体" w:eastAsia="宋体" w:cs="宋体" w:hint="eastAsia"/>
          <w:color w:val="000000" w:themeColor="text1"/>
          <w:sz w:val="21"/>
          <w:szCs w:val="21"/>
        </w:rPr>
        <w:t>纸质指令是指基金管理人无法通过以上电子传送渠道传送到基金托管人全球托管系统的指令，纸质指令的传送方式为传真、邮件等双方认可的方式。</w:t>
      </w:r>
    </w:p>
    <w:p w14:paraId="65782A9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（一）基金管理人对发送纸质指令人员的书面授权</w:t>
      </w:r>
    </w:p>
    <w:p w14:paraId="4E06EC4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lastRenderedPageBreak/>
        <w:t>1、基金管理人应当事先向基金托管人发出书面通知（以下称“授权通知”），载明基金管理人有权发送指令的人员名单（以下称“指令发送人员”）及各个人员的权限范围。基金管理人应向基金托管人提供指令发送人员的人名印鉴的预留印鉴样本和签字样本。</w:t>
      </w:r>
    </w:p>
    <w:p w14:paraId="7AA3183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基金管理人向基金托管人发出的授权通知应加盖公章并由法定代表人或其授权签字人签署，若由授权签字人签署，还应附上法定代表人的授权书。基金管理人向基金托管人以传真的形式发送授权通知后同时电话通知基金托管人。授权通知自基金托管人接到基金管理人的电话确认后于通知载明的生效时间起生效。通知载明的生效时间不得早于电话确认时间。基金管理人在此后3个工作日内将授权通知原件送交基金托管人。</w:t>
      </w:r>
    </w:p>
    <w:p w14:paraId="5DE4C734"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3、基金管理人和基金托管人对授权通知及其更改负有保密义务，其内容不得向指令发送人员及相关操作人员以外的任何人披露、泄露。法律法规另有规定或有权机关另有要求的除外。</w:t>
      </w:r>
    </w:p>
    <w:p w14:paraId="2CBAEBD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（二）指令的内容</w:t>
      </w:r>
    </w:p>
    <w:p w14:paraId="19F63155"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指令是基金管理人在运作基金财产时，向基金托管人发出的资金划拨及投资指令。相关登记结算公司向基金托管人发送的结算通知视为基金管理人向基金托管人发出的指令。</w:t>
      </w:r>
    </w:p>
    <w:p w14:paraId="14CF5363"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（三）指令的发送、确认和执行</w:t>
      </w:r>
    </w:p>
    <w:p w14:paraId="70BEB7B5"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w:t>
      </w:r>
      <w:r>
        <w:rPr>
          <w:rFonts w:ascii="宋体" w:eastAsia="宋体"/>
          <w:color w:val="auto"/>
          <w:sz w:val="21"/>
          <w:szCs w:val="21"/>
        </w:rPr>
        <w:t>纸质指令由“授权通知”确定的指令发送人员代表基金管理人用传真的方式或其他双方确认的方式向基金托管人发送。对于指令发送人员发出的指令，基金管理人不得否认其效力。但如果基金管理人已经撤销或更改对指令发送人员的授权，并且基金托管人已收到该通知，则对于此后该指令发送人员无权发送的指令，或超权限发送的指令，基金管理人不承担责任。</w:t>
      </w:r>
    </w:p>
    <w:p w14:paraId="5F9A842D" w14:textId="77777777" w:rsidR="00701DDF" w:rsidRDefault="003F1F2B">
      <w:pPr>
        <w:pStyle w:val="af0"/>
        <w:spacing w:before="100" w:beforeAutospacing="1" w:after="100" w:afterAutospacing="1"/>
        <w:ind w:firstLine="403"/>
        <w:rPr>
          <w:rFonts w:ascii="宋体" w:eastAsia="宋体"/>
          <w:color w:val="FF0000"/>
          <w:sz w:val="21"/>
          <w:szCs w:val="21"/>
        </w:rPr>
      </w:pPr>
      <w:r>
        <w:rPr>
          <w:rFonts w:ascii="宋体" w:eastAsia="宋体" w:hint="eastAsia"/>
          <w:color w:val="auto"/>
          <w:sz w:val="21"/>
          <w:szCs w:val="21"/>
        </w:rPr>
        <w:t>2、基金管理人应按照《基金法》、《运作办法》、《基金合同》和有关法律法规的规定，在其合法的经营权限和交易权限内，并依据相关业务规则发送指令。指令发出后，</w:t>
      </w:r>
      <w:r w:rsidRPr="003C4531">
        <w:rPr>
          <w:rFonts w:ascii="宋体" w:eastAsia="宋体" w:hint="eastAsia"/>
          <w:color w:val="auto"/>
          <w:sz w:val="21"/>
          <w:szCs w:val="21"/>
        </w:rPr>
        <w:t>基金管理人应及时通过电话或其他双方认可的方式通知基金托管人，基金管理人应确保基金托管人收到指令。</w:t>
      </w:r>
    </w:p>
    <w:p w14:paraId="45CDA211" w14:textId="2D45197B"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3、基金托管人在接收</w:t>
      </w:r>
      <w:r w:rsidRPr="003C4531">
        <w:rPr>
          <w:rFonts w:ascii="宋体" w:eastAsia="宋体" w:hint="eastAsia"/>
          <w:color w:val="auto"/>
          <w:sz w:val="21"/>
          <w:szCs w:val="21"/>
        </w:rPr>
        <w:t>纸质</w:t>
      </w:r>
      <w:r>
        <w:rPr>
          <w:rFonts w:ascii="宋体" w:eastAsia="宋体" w:hint="eastAsia"/>
          <w:color w:val="auto"/>
          <w:sz w:val="21"/>
          <w:szCs w:val="21"/>
        </w:rPr>
        <w:t>指令时，应对指令的要素是否齐全、印鉴、签字是否与授权通知相符等进行表面一致性的检查。对合法合规的指令，基金托管人应在规定期限内执行，不得不合理延误。</w:t>
      </w:r>
    </w:p>
    <w:p w14:paraId="7CCF395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w:t>
      </w:r>
      <w:r w:rsidRPr="003C4531">
        <w:rPr>
          <w:rFonts w:ascii="宋体" w:eastAsia="宋体" w:hint="eastAsia"/>
          <w:color w:val="auto"/>
          <w:sz w:val="21"/>
          <w:szCs w:val="21"/>
        </w:rPr>
        <w:t>对于银行间业务，如需发送银行间成交单的，基金管理人应在交易结束后将银行间</w:t>
      </w:r>
      <w:r w:rsidRPr="003C4531">
        <w:rPr>
          <w:rFonts w:ascii="宋体" w:eastAsia="宋体" w:hint="eastAsia"/>
          <w:color w:val="auto"/>
          <w:sz w:val="21"/>
          <w:szCs w:val="21"/>
        </w:rPr>
        <w:lastRenderedPageBreak/>
        <w:t>同业市场债券交易成交单经有权人员签字并加盖印章后及时发送给基金托管人。如不需采用发送交易成交单的形式，基金管理人应对基金托管人进行书面授权确认。如果银行间簿记系统已经生成的交易需要取消或终止，基金管理人需书面通知基金托管人。</w:t>
      </w:r>
    </w:p>
    <w:p w14:paraId="34D7D6A3"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5、基金管理人在发送指令时，应为基金托管人执行指令留出执行指令时所必需的时间。</w:t>
      </w:r>
      <w:bookmarkStart w:id="10" w:name="OLE_LINK2"/>
      <w:bookmarkStart w:id="11" w:name="OLE_LINK1"/>
      <w:r>
        <w:rPr>
          <w:rFonts w:ascii="宋体" w:eastAsia="宋体" w:hint="eastAsia"/>
          <w:color w:val="auto"/>
          <w:sz w:val="21"/>
          <w:szCs w:val="21"/>
        </w:rPr>
        <w:t>因基金管理人指令传输不及时未能留出足够的执行时间，致使指令未能及时执行所造成的损失由基金管理人承担。</w:t>
      </w:r>
      <w:bookmarkEnd w:id="10"/>
      <w:bookmarkEnd w:id="11"/>
    </w:p>
    <w:p w14:paraId="5751F3D2"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（四）基金管理人发送错误指令的情形和处理程序</w:t>
      </w:r>
    </w:p>
    <w:p w14:paraId="7E039980" w14:textId="67E8A673"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基金管理人发送错误指令的情形主要包括：指令要素错误</w:t>
      </w:r>
      <w:r>
        <w:rPr>
          <w:rFonts w:ascii="宋体" w:eastAsia="宋体"/>
          <w:color w:val="auto"/>
          <w:sz w:val="21"/>
          <w:szCs w:val="21"/>
        </w:rPr>
        <w:t>的指令、预留印</w:t>
      </w:r>
      <w:r>
        <w:rPr>
          <w:rFonts w:ascii="宋体" w:eastAsia="宋体" w:hint="eastAsia"/>
          <w:color w:val="auto"/>
          <w:sz w:val="21"/>
          <w:szCs w:val="21"/>
        </w:rPr>
        <w:t>鉴错误等情形。</w:t>
      </w:r>
    </w:p>
    <w:p w14:paraId="6B24B803"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基金托管人发现基金管理人的指令错误时，有权拒绝执行，并及时通知基金管理人改正。对基金管理人更正并重新发送后的指令经基金托管人核对确认后方能执行。</w:t>
      </w:r>
    </w:p>
    <w:p w14:paraId="7AB4364F"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（五）基金托管人依照法律法规暂缓、拒绝执行指令的情形和处理程序</w:t>
      </w:r>
    </w:p>
    <w:p w14:paraId="6E947234"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发现基金管理人的指令违反法律法规规定或者《基金合同》约定，应当不予执行，并及时通知基金管理人要求其变更或撤销相关指令，若基金管理人在基金托管人发出上述通知后仍未变更或撤销相关指令，基金托管人应当拒绝执行，并向中国证监会报告。</w:t>
      </w:r>
    </w:p>
    <w:p w14:paraId="4FEE1852"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向基金托管人下达指令时，应确保基金的银行存款账户有足够的资金余额，确保基金的证券账户有足够的证券余额。对超头寸的指令，以及超过证券账户证券余额的指令，基金托管人可不予执行，但应及时通知基金管理人，由此造成的损失，由基金管理人承担。</w:t>
      </w:r>
    </w:p>
    <w:p w14:paraId="7C27DD20"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（六）基金托管人未按照基金管理人指令执行的处理方法</w:t>
      </w:r>
    </w:p>
    <w:p w14:paraId="205AFE93"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托管人因未正确执行基金管理人合法合规的指令，致使本基金、基金管理人的利益受到损害，基金托管人应在发现后及时采取措施予以补救，并承担相应的责任。除此之外，基金托管人对执行基金管理人的合法合规指令对基金造成的损失不承担任何责任。</w:t>
      </w:r>
    </w:p>
    <w:p w14:paraId="5DE5213F"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（七）被授权人员及授权权限的变更</w:t>
      </w:r>
      <w:r>
        <w:rPr>
          <w:rFonts w:ascii="宋体" w:eastAsia="宋体"/>
          <w:color w:val="auto"/>
          <w:sz w:val="21"/>
          <w:szCs w:val="21"/>
        </w:rPr>
        <w:tab/>
      </w:r>
    </w:p>
    <w:p w14:paraId="3A39518B"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基金管理人若对授权通知的内容进行修改（包括但不限于指令发送人员的名单的修改，及/或权限的修改），应当至少提前1个工作日通知基金托管人；修改授权通知的文件</w:t>
      </w:r>
      <w:r>
        <w:rPr>
          <w:rFonts w:ascii="宋体" w:eastAsia="宋体" w:hint="eastAsia"/>
          <w:color w:val="auto"/>
          <w:sz w:val="21"/>
          <w:szCs w:val="21"/>
        </w:rPr>
        <w:lastRenderedPageBreak/>
        <w:t>应由基金管理人加盖公章并由法定代表人或其授权签字人签署，若由授权签字人签署，还应附上法定代表人的授权书。基金管理人对授权通知的修改应当以传真的形式发送给基金托管人，同时电话通知基金托管人。基金管理人对授权通知的内容的修改自基金托管人电话确认后于通知载明的生效时间起生效。通知载明的生效时间不得早于电话确认时间。基金管理人在此后3个工作日内将对授权通知修改的文件原件送交基金托管人。</w:t>
      </w:r>
    </w:p>
    <w:p w14:paraId="43FA0B4D" w14:textId="77777777" w:rsidR="00701DDF" w:rsidRDefault="00701DDF">
      <w:pPr>
        <w:pStyle w:val="af0"/>
        <w:spacing w:before="100" w:beforeAutospacing="1" w:after="100" w:afterAutospacing="1"/>
        <w:ind w:firstLine="403"/>
        <w:rPr>
          <w:rFonts w:ascii="宋体" w:eastAsia="宋体"/>
          <w:color w:val="auto"/>
          <w:sz w:val="21"/>
          <w:szCs w:val="21"/>
        </w:rPr>
      </w:pPr>
    </w:p>
    <w:p w14:paraId="6A905F96" w14:textId="77777777" w:rsidR="00701DDF" w:rsidRDefault="003F1F2B">
      <w:pPr>
        <w:pStyle w:val="1"/>
        <w:spacing w:before="100" w:beforeAutospacing="1" w:after="100" w:afterAutospacing="1" w:line="400" w:lineRule="exact"/>
        <w:ind w:firstLine="422"/>
        <w:rPr>
          <w:rFonts w:ascii="宋体" w:hAnsi="宋体"/>
          <w:sz w:val="21"/>
          <w:szCs w:val="21"/>
        </w:rPr>
      </w:pPr>
      <w:bookmarkStart w:id="12" w:name="_Toc116900101"/>
      <w:r>
        <w:rPr>
          <w:rFonts w:ascii="宋体" w:hAnsi="宋体" w:hint="eastAsia"/>
          <w:sz w:val="21"/>
          <w:szCs w:val="21"/>
        </w:rPr>
        <w:t>七、交易及清算交收安排</w:t>
      </w:r>
      <w:bookmarkEnd w:id="12"/>
    </w:p>
    <w:p w14:paraId="3FAFFCCC" w14:textId="77777777" w:rsidR="00701DDF" w:rsidRDefault="003F1F2B">
      <w:pPr>
        <w:pStyle w:val="34"/>
        <w:spacing w:before="100" w:beforeAutospacing="1" w:after="100" w:afterAutospacing="1" w:line="400" w:lineRule="exact"/>
        <w:ind w:left="0" w:firstLine="403"/>
        <w:rPr>
          <w:rFonts w:ascii="宋体" w:eastAsia="宋体" w:hAnsi="宋体"/>
          <w:b/>
          <w:sz w:val="21"/>
          <w:szCs w:val="21"/>
        </w:rPr>
      </w:pPr>
      <w:r>
        <w:rPr>
          <w:rFonts w:ascii="宋体" w:eastAsia="宋体" w:hAnsi="宋体" w:hint="eastAsia"/>
          <w:sz w:val="21"/>
          <w:szCs w:val="21"/>
        </w:rPr>
        <w:t>（一）基金管理人负责选择代理本基金证券买卖的证券经营机构。</w:t>
      </w:r>
    </w:p>
    <w:p w14:paraId="38EDCFEE" w14:textId="702ADF55"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1、选择代理证券买卖的证券经营机构的程序</w:t>
      </w:r>
    </w:p>
    <w:p w14:paraId="164EBBCC" w14:textId="37C6AE8C"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根据相关标准进行考察后确定证券经营机构的选择。基金管理人与被选择的证券经营机构签订委托协议，并按照法律法规的规定向中国证监会报告。基金管理人应将委托协议（或交易单元租用协议）的原件及时送交基金托管人。</w:t>
      </w:r>
    </w:p>
    <w:p w14:paraId="65874EE2" w14:textId="5C2315A3"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2、相关信息的通知</w:t>
      </w:r>
    </w:p>
    <w:p w14:paraId="12EA22C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应及时以书面形式通知基金托管人基金专用交易单元的号码、券商名称、佣金费率等基金基本信息以及变更情况，其中交易单元租用应至少在首次进行交易的10个工作日前通知基金托管人，交易单元退租应在次日内通知到基金托管人。</w:t>
      </w:r>
    </w:p>
    <w:p w14:paraId="3B44C445"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（二）基金清算交收</w:t>
      </w:r>
    </w:p>
    <w:p w14:paraId="582A69B3"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1、因本基金投资于证券发生的所有场内、场外交易的清算交收，由基金托管人负责根据相关登记结算公司的结算规则办理。</w:t>
      </w:r>
    </w:p>
    <w:p w14:paraId="6E25E1AC"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由于基金管理人或基金托管人原因导致基金资金透支、超买或超卖等情形的，由责任方承担相应的责任。基金管理人同意在发生以上情形时，基金托管人应当及时通知基金管理人，督促基金管理人积极采取措施、最大程度控制违约交收风险与相关损失，报告中国证监会，并按照中国证券登记结算有限责任公司的有关规定办理。</w:t>
      </w:r>
    </w:p>
    <w:p w14:paraId="3E4F880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3、由于基金管理人或基金托管人原因导致基金无法按时支付清算款时，责任方应对由此给基金财产造成的损失承担相应的赔偿责任。</w:t>
      </w:r>
    </w:p>
    <w:p w14:paraId="0C228130"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4、基金管理人应保证在交收日（</w:t>
      </w:r>
      <w:r>
        <w:rPr>
          <w:rFonts w:ascii="宋体" w:eastAsia="宋体"/>
          <w:color w:val="auto"/>
          <w:sz w:val="21"/>
          <w:szCs w:val="21"/>
        </w:rPr>
        <w:t>T+1</w:t>
      </w:r>
      <w:r>
        <w:rPr>
          <w:rFonts w:ascii="宋体" w:eastAsia="宋体" w:hint="eastAsia"/>
          <w:color w:val="auto"/>
          <w:sz w:val="21"/>
          <w:szCs w:val="21"/>
        </w:rPr>
        <w:t>日）</w:t>
      </w:r>
      <w:r>
        <w:rPr>
          <w:rFonts w:ascii="宋体" w:eastAsia="宋体"/>
          <w:color w:val="auto"/>
          <w:sz w:val="21"/>
          <w:szCs w:val="21"/>
        </w:rPr>
        <w:t>10</w:t>
      </w:r>
      <w:r>
        <w:rPr>
          <w:rFonts w:ascii="宋体" w:eastAsia="宋体" w:hint="eastAsia"/>
          <w:color w:val="auto"/>
          <w:sz w:val="21"/>
          <w:szCs w:val="21"/>
        </w:rPr>
        <w:t>：</w:t>
      </w:r>
      <w:r>
        <w:rPr>
          <w:rFonts w:ascii="宋体" w:eastAsia="宋体"/>
          <w:color w:val="auto"/>
          <w:sz w:val="21"/>
          <w:szCs w:val="21"/>
        </w:rPr>
        <w:t>00</w:t>
      </w:r>
      <w:r>
        <w:rPr>
          <w:rFonts w:ascii="宋体" w:eastAsia="宋体" w:hint="eastAsia"/>
          <w:color w:val="auto"/>
          <w:sz w:val="21"/>
          <w:szCs w:val="21"/>
        </w:rPr>
        <w:t>前基金银行账户有足够的资金用于交</w:t>
      </w:r>
      <w:r>
        <w:rPr>
          <w:rFonts w:ascii="宋体" w:eastAsia="宋体" w:hint="eastAsia"/>
          <w:color w:val="auto"/>
          <w:sz w:val="21"/>
          <w:szCs w:val="21"/>
        </w:rPr>
        <w:lastRenderedPageBreak/>
        <w:t>易所的证券交易资金清算，如基金的资金头寸不足则基金托管人应按照中国证券登记结算有限责任公司的有关规定办理。</w:t>
      </w:r>
    </w:p>
    <w:p w14:paraId="22C2BF9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基金管理人应保证基金托管人在执行基金管理人发送的划款指令时，基金银行账户或资金交收账户上有充足的资金。基金的资金头寸不足时，基金托管人有权拒绝基金管理人发送的划款指令，由此造成的损失，由基金管理人负责赔偿。基金管理人在发送划款指令时应充分考虑基金托管人的划款处理时间。对于要求当天到账的指令，应在当天15:00前发送；对于要求当天某一时点到账，则指令需提前2个工作小时发送，并相关付款条件已经具备。对于新股申购网下公开发行业务，基金管理人应在网下申购缴款日(T日)的前一工作日下班前将新股申购指令发送给托管人，指令发送时间最迟不应晚于T日上午10：00时。</w:t>
      </w:r>
    </w:p>
    <w:p w14:paraId="4EF7BCFD" w14:textId="77777777" w:rsidR="00701DDF" w:rsidRPr="003C4531" w:rsidRDefault="003F1F2B" w:rsidP="003C4531">
      <w:pPr>
        <w:pStyle w:val="af0"/>
        <w:spacing w:before="100" w:beforeAutospacing="1" w:after="100" w:afterAutospacing="1"/>
        <w:ind w:firstLine="403"/>
        <w:rPr>
          <w:rFonts w:ascii="宋体" w:eastAsia="宋体"/>
          <w:sz w:val="21"/>
          <w:szCs w:val="21"/>
        </w:rPr>
      </w:pPr>
      <w:r w:rsidRPr="005648EA">
        <w:rPr>
          <w:rFonts w:ascii="宋体" w:eastAsia="宋体" w:hint="eastAsia"/>
          <w:color w:val="auto"/>
          <w:sz w:val="21"/>
          <w:szCs w:val="21"/>
        </w:rPr>
        <w:t>对于</w:t>
      </w:r>
      <w:r w:rsidRPr="003C4531">
        <w:rPr>
          <w:rFonts w:ascii="宋体" w:eastAsia="宋体" w:hint="eastAsia"/>
          <w:color w:val="auto"/>
          <w:sz w:val="21"/>
          <w:szCs w:val="21"/>
        </w:rPr>
        <w:t>中国证券登记结算有限责任公司</w:t>
      </w:r>
      <w:r w:rsidRPr="005648EA">
        <w:rPr>
          <w:rFonts w:ascii="宋体" w:eastAsia="宋体" w:hint="eastAsia"/>
          <w:color w:val="auto"/>
          <w:sz w:val="21"/>
          <w:szCs w:val="21"/>
        </w:rPr>
        <w:t>实行</w:t>
      </w:r>
      <w:r w:rsidRPr="005648EA">
        <w:rPr>
          <w:rFonts w:ascii="宋体" w:eastAsia="宋体"/>
          <w:color w:val="auto"/>
          <w:sz w:val="21"/>
          <w:szCs w:val="21"/>
        </w:rPr>
        <w:t>T+0</w:t>
      </w:r>
      <w:r w:rsidRPr="005648EA">
        <w:rPr>
          <w:rFonts w:ascii="宋体" w:eastAsia="宋体" w:hint="eastAsia"/>
          <w:color w:val="auto"/>
          <w:sz w:val="21"/>
          <w:szCs w:val="21"/>
        </w:rPr>
        <w:t>非担保交收的业务，基金管理人应在交易日</w:t>
      </w:r>
      <w:r w:rsidRPr="005648EA">
        <w:rPr>
          <w:rFonts w:ascii="宋体" w:eastAsia="宋体"/>
          <w:color w:val="auto"/>
          <w:sz w:val="21"/>
          <w:szCs w:val="21"/>
        </w:rPr>
        <w:t>14</w:t>
      </w:r>
      <w:r w:rsidRPr="005648EA">
        <w:rPr>
          <w:rFonts w:ascii="宋体" w:eastAsia="宋体" w:hint="eastAsia"/>
          <w:color w:val="auto"/>
          <w:sz w:val="21"/>
          <w:szCs w:val="21"/>
        </w:rPr>
        <w:t>：</w:t>
      </w:r>
      <w:r w:rsidRPr="005648EA">
        <w:rPr>
          <w:rFonts w:ascii="宋体" w:eastAsia="宋体"/>
          <w:color w:val="auto"/>
          <w:sz w:val="21"/>
          <w:szCs w:val="21"/>
        </w:rPr>
        <w:t>00</w:t>
      </w:r>
      <w:r w:rsidRPr="005648EA">
        <w:rPr>
          <w:rFonts w:ascii="宋体" w:eastAsia="宋体" w:hint="eastAsia"/>
          <w:color w:val="auto"/>
          <w:sz w:val="21"/>
          <w:szCs w:val="21"/>
        </w:rPr>
        <w:t>前将划款指令发送至托管人</w:t>
      </w:r>
      <w:r w:rsidRPr="003C4531">
        <w:rPr>
          <w:rFonts w:ascii="宋体" w:eastAsia="宋体"/>
          <w:color w:val="auto"/>
          <w:sz w:val="21"/>
          <w:szCs w:val="21"/>
        </w:rPr>
        <w:t>，或在前期授权托管行依据中登数据自行处理相关业务，并且配合托管人备足托管资产头寸以完成限时</w:t>
      </w:r>
      <w:r w:rsidRPr="005648EA">
        <w:rPr>
          <w:rFonts w:ascii="宋体" w:eastAsia="宋体"/>
          <w:color w:val="auto"/>
          <w:sz w:val="21"/>
          <w:szCs w:val="21"/>
        </w:rPr>
        <w:t>T+0业务的交收。若今后结算规则调整，此条款相应调整。</w:t>
      </w:r>
    </w:p>
    <w:p w14:paraId="321FB04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因基金管理人指令传输不及时，致使资金未能及时划入中国证券登记结算有限责任公司所造成的损失由基金管理人承担，包括赔偿在深圳市场引起其他托管客户交易失败、赔偿因占用中国证券登记结算有限责任公司深圳分公司最低备付金带来的利息损失。在基金资金头寸充足的情况下，基金托管人对基金管理人符合法律法规、《基金合同》、</w:t>
      </w:r>
      <w:r>
        <w:rPr>
          <w:rFonts w:ascii="宋体" w:eastAsia="宋体" w:cs="方正仿宋简体" w:hint="eastAsia"/>
          <w:color w:val="auto"/>
          <w:sz w:val="21"/>
          <w:szCs w:val="21"/>
        </w:rPr>
        <w:t>本协议的指令不得</w:t>
      </w:r>
      <w:r>
        <w:rPr>
          <w:rFonts w:ascii="宋体" w:eastAsia="宋体" w:hint="eastAsia"/>
          <w:color w:val="auto"/>
          <w:sz w:val="21"/>
          <w:szCs w:val="21"/>
        </w:rPr>
        <w:t>不合理</w:t>
      </w:r>
      <w:r>
        <w:rPr>
          <w:rFonts w:ascii="宋体" w:eastAsia="宋体" w:cs="方正仿宋简体" w:hint="eastAsia"/>
          <w:color w:val="auto"/>
          <w:sz w:val="21"/>
          <w:szCs w:val="21"/>
        </w:rPr>
        <w:t>拖延或拒绝执行。</w:t>
      </w:r>
    </w:p>
    <w:p w14:paraId="04BB388B"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（三）资金、证券账目和交易记录核对</w:t>
      </w:r>
    </w:p>
    <w:p w14:paraId="1D74D350"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基金管理人和基金托管人应对本基金的资金、证券账目及交易记录进行核对。</w:t>
      </w:r>
    </w:p>
    <w:p w14:paraId="25DB5AFD"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（四）申购、赎回和基金转换的资金清算</w:t>
      </w:r>
    </w:p>
    <w:p w14:paraId="6B3E54DA"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T日，投资者进行基金申购、赎回和转换申请，基金管理人和基金托管人于T+2日内分别计算基金资产净值，并进行核对；基金管理人将双方确认的或基金管理人决定采用的各类基金份额净值以基金份额净值公告的形式传真至相关信息披露媒介。</w:t>
      </w:r>
    </w:p>
    <w:p w14:paraId="514A3132" w14:textId="1206DC20"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2、T+</w:t>
      </w:r>
      <w:r>
        <w:rPr>
          <w:rFonts w:ascii="宋体" w:eastAsia="宋体" w:hAnsi="宋体"/>
          <w:sz w:val="21"/>
          <w:szCs w:val="21"/>
        </w:rPr>
        <w:t>3</w:t>
      </w:r>
      <w:r>
        <w:rPr>
          <w:rFonts w:ascii="宋体" w:eastAsia="宋体" w:hAnsi="宋体" w:hint="eastAsia"/>
          <w:sz w:val="21"/>
          <w:szCs w:val="21"/>
        </w:rPr>
        <w:t>日内，登记机构根据T日各类基金份额净值计算申购份额、赎回金额及转换份额，更新基金份额持有人数据库；并将确认的申购、赎回及转换数据向基金托管人、基金管理人传送。基金管理人、基金托管人根据确认数据进行账务处理。</w:t>
      </w:r>
    </w:p>
    <w:p w14:paraId="0763DB90" w14:textId="5861663D"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lastRenderedPageBreak/>
        <w:t>3、基金托管账户与“基金清算账户”间的资金清算遵循“净额清算、净额交收”的原则，即按照托管账户当日应收资金（包括申购资金及基金转换转入款）与托管账户应付额（含赎回资金、赎回费、基金转换转出款及转换费）的差额来确定托管账户净应收额或净应付额，以此确定资金交收额。当存在托管账户净应收额时，基金管理人负责将托管账户净应收额在交收日16:00前从“基金清算账户”划到基金托管账户；当存在托管账户净应付额时，基金托管人按管理人的划款指令将托管账户净应付额在交收日16:00前划到“基金清算账户”。</w:t>
      </w:r>
    </w:p>
    <w:p w14:paraId="2C561AB1" w14:textId="1D3765A8" w:rsidR="00701DDF" w:rsidRDefault="003F1F2B">
      <w:pPr>
        <w:pStyle w:val="af0"/>
        <w:spacing w:before="100" w:beforeAutospacing="1" w:after="100" w:afterAutospacing="1"/>
        <w:ind w:firstLine="403"/>
        <w:rPr>
          <w:rFonts w:ascii="宋体" w:eastAsia="宋体"/>
          <w:color w:val="auto"/>
          <w:sz w:val="21"/>
          <w:szCs w:val="21"/>
        </w:rPr>
      </w:pPr>
      <w:bookmarkStart w:id="13" w:name="OLE_LINK6"/>
      <w:bookmarkStart w:id="14" w:name="OLE_LINK7"/>
      <w:r>
        <w:rPr>
          <w:rFonts w:ascii="宋体" w:eastAsia="宋体"/>
          <w:color w:val="auto"/>
          <w:sz w:val="21"/>
          <w:szCs w:val="21"/>
        </w:rPr>
        <w:t>4</w:t>
      </w:r>
      <w:r>
        <w:rPr>
          <w:rFonts w:ascii="宋体" w:eastAsia="宋体" w:hint="eastAsia"/>
          <w:color w:val="auto"/>
          <w:sz w:val="21"/>
          <w:szCs w:val="21"/>
        </w:rPr>
        <w:t>、基金管理人未能按上款约定将托管账户净应收额全额、及时汇至基金托管账户，由此产生的责任应由基金管理人承担（不可抗力或基金管理人无过错的情况除外）；基金托管人未能按上款约定将托管账户净应付额全额、及时汇至“基金清算账户”，由此产生的责任应由基金托管人承担</w:t>
      </w:r>
      <w:r>
        <w:rPr>
          <w:rFonts w:ascii="宋体" w:eastAsia="宋体" w:cs="方正仿宋简体"/>
          <w:color w:val="auto"/>
          <w:sz w:val="21"/>
          <w:szCs w:val="21"/>
        </w:rPr>
        <w:t>(不可抗力或基金托管人无过错的情况除外)</w:t>
      </w:r>
      <w:r>
        <w:rPr>
          <w:rFonts w:ascii="宋体" w:eastAsia="宋体" w:hint="eastAsia"/>
          <w:color w:val="auto"/>
          <w:sz w:val="21"/>
          <w:szCs w:val="21"/>
        </w:rPr>
        <w:t>。</w:t>
      </w:r>
      <w:bookmarkEnd w:id="13"/>
      <w:bookmarkEnd w:id="14"/>
    </w:p>
    <w:p w14:paraId="7E4AB24B" w14:textId="49D5AB0B"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color w:val="auto"/>
          <w:sz w:val="21"/>
          <w:szCs w:val="21"/>
        </w:rPr>
        <w:t>5</w:t>
      </w:r>
      <w:r>
        <w:rPr>
          <w:rFonts w:ascii="宋体" w:eastAsia="宋体" w:hint="eastAsia"/>
          <w:color w:val="auto"/>
          <w:sz w:val="21"/>
          <w:szCs w:val="21"/>
        </w:rPr>
        <w:t>、基金管理人应将每个开放日的申购、赎回、转换开放式基金的数据传送给基金托管人。基金管理人应对传递的申购、赎回、转换开放式基金的数据真实性负责。基金托管人应及时查收申购资金的到账情况并根据基金管理人指令及时划付赎回款项。</w:t>
      </w:r>
    </w:p>
    <w:p w14:paraId="12A6D7B7" w14:textId="250FA6A1" w:rsidR="00701DDF" w:rsidRDefault="003F1F2B">
      <w:pPr>
        <w:pStyle w:val="Default"/>
        <w:spacing w:line="400" w:lineRule="exact"/>
        <w:ind w:firstLine="420"/>
        <w:jc w:val="both"/>
        <w:rPr>
          <w:rFonts w:ascii="宋体" w:hAnsi="宋体"/>
          <w:i/>
          <w:color w:val="auto"/>
          <w:szCs w:val="21"/>
        </w:rPr>
      </w:pPr>
      <w:r>
        <w:rPr>
          <w:rFonts w:ascii="宋体" w:eastAsia="宋体" w:hAnsi="宋体" w:cs="Times New Roman" w:hint="eastAsia"/>
          <w:color w:val="auto"/>
          <w:sz w:val="21"/>
          <w:szCs w:val="21"/>
        </w:rPr>
        <w:t>（</w:t>
      </w:r>
      <w:r>
        <w:rPr>
          <w:rFonts w:ascii="宋体" w:eastAsia="宋体" w:hAnsi="宋体" w:cs="Times New Roman"/>
          <w:color w:val="auto"/>
          <w:sz w:val="21"/>
          <w:szCs w:val="21"/>
        </w:rPr>
        <w:t>五）港股通交易</w:t>
      </w:r>
    </w:p>
    <w:p w14:paraId="25AE53AF" w14:textId="77777777" w:rsidR="00701DDF" w:rsidRPr="003C4531" w:rsidRDefault="003F1F2B" w:rsidP="003C4531">
      <w:pPr>
        <w:pStyle w:val="Default"/>
        <w:spacing w:line="360" w:lineRule="auto"/>
        <w:ind w:firstLine="420"/>
        <w:jc w:val="both"/>
        <w:rPr>
          <w:rFonts w:ascii="宋体" w:eastAsia="宋体" w:hAnsi="宋体" w:cs="Times New Roman"/>
          <w:color w:val="auto"/>
          <w:sz w:val="21"/>
          <w:szCs w:val="21"/>
        </w:rPr>
      </w:pPr>
      <w:r w:rsidRPr="003C4531">
        <w:rPr>
          <w:rFonts w:ascii="宋体" w:eastAsia="宋体" w:hAnsi="宋体" w:cs="Times New Roman"/>
          <w:color w:val="auto"/>
          <w:sz w:val="21"/>
          <w:szCs w:val="21"/>
        </w:rPr>
        <w:t>本基金的港股通交易应遵守相关法律法规及业务规则，股票投资比例合计应当符合法律法规和基金合同的约定，并充分揭示风险。</w:t>
      </w:r>
    </w:p>
    <w:p w14:paraId="2BCD3000" w14:textId="77777777" w:rsidR="00701DDF" w:rsidRDefault="003F1F2B" w:rsidP="003C4531">
      <w:pPr>
        <w:pStyle w:val="Default"/>
        <w:spacing w:line="360" w:lineRule="auto"/>
        <w:ind w:firstLine="422"/>
        <w:jc w:val="both"/>
        <w:rPr>
          <w:rFonts w:ascii="宋体" w:eastAsia="宋体" w:hAnsi="宋体" w:cs="Times New Roman"/>
          <w:b/>
          <w:color w:val="auto"/>
          <w:sz w:val="21"/>
          <w:szCs w:val="21"/>
        </w:rPr>
      </w:pPr>
      <w:r>
        <w:rPr>
          <w:rFonts w:ascii="宋体" w:eastAsia="宋体" w:hAnsi="宋体" w:cs="Times New Roman"/>
          <w:b/>
          <w:color w:val="auto"/>
          <w:sz w:val="21"/>
          <w:szCs w:val="21"/>
        </w:rPr>
        <w:t>1</w:t>
      </w:r>
      <w:r>
        <w:rPr>
          <w:rFonts w:ascii="宋体" w:eastAsia="宋体" w:hAnsi="宋体" w:cs="Times New Roman" w:hint="eastAsia"/>
          <w:b/>
          <w:color w:val="auto"/>
          <w:sz w:val="21"/>
          <w:szCs w:val="21"/>
        </w:rPr>
        <w:t xml:space="preserve">、 </w:t>
      </w:r>
      <w:r>
        <w:rPr>
          <w:rFonts w:ascii="宋体" w:eastAsia="宋体" w:hAnsi="宋体" w:cs="Times New Roman"/>
          <w:b/>
          <w:color w:val="auto"/>
          <w:sz w:val="21"/>
          <w:szCs w:val="21"/>
        </w:rPr>
        <w:t xml:space="preserve"> </w:t>
      </w:r>
      <w:r>
        <w:rPr>
          <w:rFonts w:ascii="宋体" w:eastAsia="宋体" w:hAnsi="宋体" w:cs="Times New Roman" w:hint="eastAsia"/>
          <w:b/>
          <w:color w:val="auto"/>
          <w:sz w:val="21"/>
          <w:szCs w:val="21"/>
        </w:rPr>
        <w:t>基金管理人声明和承诺</w:t>
      </w:r>
    </w:p>
    <w:p w14:paraId="79B73827" w14:textId="77777777" w:rsidR="00701DDF" w:rsidRDefault="003F1F2B">
      <w:pPr>
        <w:spacing w:line="400" w:lineRule="exact"/>
        <w:ind w:firstLine="564"/>
        <w:rPr>
          <w:rFonts w:ascii="宋体" w:hAnsi="宋体"/>
          <w:szCs w:val="21"/>
        </w:rPr>
      </w:pPr>
      <w:r>
        <w:rPr>
          <w:rFonts w:ascii="宋体" w:hint="eastAsia"/>
          <w:szCs w:val="21"/>
        </w:rPr>
        <w:t>（1）</w:t>
      </w:r>
      <w:r>
        <w:rPr>
          <w:rFonts w:ascii="宋体" w:hAnsi="宋体" w:hint="eastAsia"/>
          <w:szCs w:val="21"/>
        </w:rPr>
        <w:t>基金管理人承诺其是依照中国内地法律设立且有效存续的法人机构，具备从事港股通业务的资质；</w:t>
      </w:r>
    </w:p>
    <w:p w14:paraId="04F22D4D" w14:textId="77777777" w:rsidR="00701DDF" w:rsidRDefault="003F1F2B">
      <w:pPr>
        <w:spacing w:line="400" w:lineRule="exact"/>
        <w:ind w:firstLine="564"/>
        <w:rPr>
          <w:rFonts w:ascii="宋体" w:hAnsi="宋体"/>
          <w:szCs w:val="21"/>
        </w:rPr>
      </w:pPr>
      <w:r>
        <w:rPr>
          <w:rFonts w:ascii="宋体" w:hAnsi="宋体" w:hint="eastAsia"/>
          <w:szCs w:val="21"/>
        </w:rPr>
        <w:t>（2）基金管理人承诺托管资产具有合法的港股通交易资格，不存在相关法律、行政法规、部门规章、规范性文件以及业务规则等规定的禁止、限制或不适于参与港股通交易的情形；</w:t>
      </w:r>
    </w:p>
    <w:p w14:paraId="59C0A3A2" w14:textId="77777777" w:rsidR="00701DDF" w:rsidRDefault="003F1F2B">
      <w:pPr>
        <w:spacing w:line="400" w:lineRule="exact"/>
        <w:ind w:firstLine="525"/>
        <w:rPr>
          <w:rFonts w:ascii="宋体" w:hAnsi="宋体"/>
          <w:szCs w:val="21"/>
        </w:rPr>
      </w:pPr>
      <w:r>
        <w:rPr>
          <w:rFonts w:ascii="宋体" w:hAnsi="宋体" w:hint="eastAsia"/>
          <w:szCs w:val="21"/>
        </w:rPr>
        <w:t>（3）基金管理人保证其提供的所有证件、资料均真实、准确、完整、合法、有效，且用于港股通交易的资金来源合法，并保证遵守国家反洗钱的相关规定；</w:t>
      </w:r>
      <w:r>
        <w:rPr>
          <w:rFonts w:ascii="宋体" w:hAnsi="宋体"/>
          <w:szCs w:val="21"/>
        </w:rPr>
        <w:t xml:space="preserve"> </w:t>
      </w:r>
    </w:p>
    <w:p w14:paraId="4E5274B0" w14:textId="77777777" w:rsidR="00701DDF" w:rsidRDefault="003F1F2B">
      <w:pPr>
        <w:spacing w:line="400" w:lineRule="exact"/>
        <w:ind w:firstLine="525"/>
        <w:rPr>
          <w:rFonts w:ascii="宋体" w:hAnsi="宋体"/>
          <w:szCs w:val="21"/>
        </w:rPr>
      </w:pPr>
      <w:r>
        <w:rPr>
          <w:rFonts w:ascii="宋体" w:hAnsi="宋体" w:hint="eastAsia"/>
          <w:szCs w:val="21"/>
        </w:rPr>
        <w:t>（</w:t>
      </w:r>
      <w:r>
        <w:rPr>
          <w:rFonts w:ascii="宋体" w:hAnsi="宋体"/>
          <w:szCs w:val="21"/>
        </w:rPr>
        <w:t>4</w:t>
      </w:r>
      <w:r>
        <w:rPr>
          <w:rFonts w:ascii="宋体" w:hAnsi="宋体" w:hint="eastAsia"/>
          <w:szCs w:val="21"/>
        </w:rPr>
        <w:t>）基金管理人承诺遵守港股通交易的中国内地与香港地区法律、行政法规、部门规章、规范性文件、业务规则等相关规定，并承诺按照基金托管人的相关业务流程办理业务；基金管理人应准确理解港股通交易的业务规则，包括不限于交收规则、投资额度、汇兑安排、交易日、风险管理要求、延迟交收等，由于基金管理人对港股通业务规则理解错误而导致的交收失败及其他损害基金份额持有人合法权益的行为，基金管理人自行承担全部赔偿责任，基金托管人不承担任何责任；</w:t>
      </w:r>
    </w:p>
    <w:p w14:paraId="4C5360EC" w14:textId="77777777" w:rsidR="00701DDF" w:rsidRDefault="003F1F2B">
      <w:pPr>
        <w:spacing w:line="400" w:lineRule="exact"/>
        <w:ind w:firstLine="525"/>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）基金管理人承诺，同意由中国证券登记结算有限责任公司（以下简称</w:t>
      </w:r>
      <w:r>
        <w:rPr>
          <w:rFonts w:ascii="宋体" w:hAnsi="宋体"/>
          <w:szCs w:val="21"/>
        </w:rPr>
        <w:t>“</w:t>
      </w:r>
      <w:r>
        <w:rPr>
          <w:rFonts w:ascii="宋体" w:hAnsi="宋体" w:hint="eastAsia"/>
          <w:szCs w:val="21"/>
        </w:rPr>
        <w:t>中国结</w:t>
      </w:r>
      <w:r>
        <w:rPr>
          <w:rFonts w:ascii="宋体" w:hAnsi="宋体" w:hint="eastAsia"/>
          <w:szCs w:val="21"/>
        </w:rPr>
        <w:lastRenderedPageBreak/>
        <w:t>算</w:t>
      </w:r>
      <w:r>
        <w:rPr>
          <w:rFonts w:ascii="宋体" w:hAnsi="宋体"/>
          <w:szCs w:val="21"/>
        </w:rPr>
        <w:t>”</w:t>
      </w:r>
      <w:r>
        <w:rPr>
          <w:rFonts w:ascii="宋体" w:hAnsi="宋体" w:hint="eastAsia"/>
          <w:szCs w:val="21"/>
        </w:rPr>
        <w:t>）以自己的名义持有通过港股通取得的证券；基金管理人已清楚认识并愿意承担从事港股通交易的相关风险，</w:t>
      </w:r>
      <w:r>
        <w:rPr>
          <w:rFonts w:ascii="宋体" w:hAnsi="宋体"/>
          <w:szCs w:val="21"/>
        </w:rPr>
        <w:t>特别是其中有关基金托管人的免责条款。</w:t>
      </w:r>
    </w:p>
    <w:p w14:paraId="35BA2789" w14:textId="77777777" w:rsidR="00701DDF" w:rsidRDefault="003F1F2B">
      <w:pPr>
        <w:pStyle w:val="Default"/>
        <w:spacing w:line="400" w:lineRule="exact"/>
        <w:ind w:firstLine="417"/>
        <w:jc w:val="both"/>
        <w:rPr>
          <w:rFonts w:ascii="宋体" w:eastAsia="宋体" w:hAnsi="宋体" w:cs="Times New Roman"/>
          <w:b/>
          <w:color w:val="auto"/>
          <w:sz w:val="21"/>
          <w:szCs w:val="21"/>
        </w:rPr>
      </w:pPr>
      <w:r>
        <w:rPr>
          <w:rFonts w:ascii="宋体" w:eastAsia="宋体" w:hAnsi="宋体" w:cs="Times New Roman"/>
          <w:b/>
          <w:color w:val="auto"/>
          <w:sz w:val="21"/>
          <w:szCs w:val="21"/>
        </w:rPr>
        <w:t>2</w:t>
      </w:r>
      <w:r>
        <w:rPr>
          <w:rFonts w:ascii="宋体" w:eastAsia="宋体" w:hAnsi="宋体" w:cs="Times New Roman" w:hint="eastAsia"/>
          <w:b/>
          <w:color w:val="auto"/>
          <w:sz w:val="21"/>
          <w:szCs w:val="21"/>
        </w:rPr>
        <w:t>、    账户开立</w:t>
      </w:r>
    </w:p>
    <w:p w14:paraId="418B7887"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基金管理人在参与港股通交易前，应先依照法律法规、相关业务规则委托基金托管人代为在中国结算开立人民币普通股票（A股）证券账户及资金账户用于证券交易、清算交收和计付利息等。基金管理人已经开立人民币普通股票（A股）证券账户及资金账户的，可使用上述现有账户进行港股通交易。</w:t>
      </w:r>
    </w:p>
    <w:p w14:paraId="1E9BB101"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基金管理人通过港股通购买的证券记录在中国结算在香港中央结算有限公司（以下简称“香港结算”）开立的证券账户，并由中国结算存管。基金管理人以中国结算名义持有的证券，以香港中央结算（代理人）有限公司的名义登记于香港联合交易所有限公司（以下简称“联交所”）上市公司的股东名册。基金管理人不能要求存入或提取纸面股票，中国证监会另有规定的除外。</w:t>
      </w:r>
    </w:p>
    <w:p w14:paraId="55E244A9" w14:textId="77777777" w:rsidR="00701DDF" w:rsidRDefault="003F1F2B">
      <w:pPr>
        <w:pStyle w:val="Default"/>
        <w:spacing w:line="400" w:lineRule="exact"/>
        <w:ind w:firstLine="417"/>
        <w:jc w:val="both"/>
        <w:rPr>
          <w:rFonts w:ascii="宋体" w:eastAsia="宋体" w:hAnsi="宋体" w:cs="Times New Roman"/>
          <w:b/>
          <w:color w:val="auto"/>
          <w:sz w:val="21"/>
          <w:szCs w:val="21"/>
        </w:rPr>
      </w:pPr>
      <w:r>
        <w:rPr>
          <w:rFonts w:ascii="宋体" w:eastAsia="宋体" w:hAnsi="宋体" w:cs="Times New Roman"/>
          <w:b/>
          <w:color w:val="auto"/>
          <w:sz w:val="21"/>
          <w:szCs w:val="21"/>
        </w:rPr>
        <w:t>3</w:t>
      </w:r>
      <w:r>
        <w:rPr>
          <w:rFonts w:ascii="宋体" w:eastAsia="宋体" w:hAnsi="宋体" w:cs="Times New Roman" w:hint="eastAsia"/>
          <w:b/>
          <w:color w:val="auto"/>
          <w:sz w:val="21"/>
          <w:szCs w:val="21"/>
        </w:rPr>
        <w:t>、  港股通交易及清算交收安排</w:t>
      </w:r>
    </w:p>
    <w:p w14:paraId="6470E44E"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中国结算按照香港结算的业务规则，与香港结算完成港股通交易的证券和资金的交收。港股通交易的境内结算由基金托管人与中国结算根据相关业务规则完成。</w:t>
      </w:r>
    </w:p>
    <w:p w14:paraId="59F3672A"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香港结算因无法交付证券对中国结算实施现金结算的，中国结算参照香港结算的处理原则进行相应业务处理。因香港结算出现违约或发生破产等原因，而导致其未全部履行对中国结算的交收义务的，由中国结算协助境内结算参与人向香港结算追索，中国结算和基金托管人不承担由此产生的相关损失。</w:t>
      </w:r>
    </w:p>
    <w:p w14:paraId="69C9A680"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 xml:space="preserve">港股通交易各项业务的收付款时点按如下约定： </w:t>
      </w:r>
    </w:p>
    <w:p w14:paraId="78055A15"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hint="eastAsia"/>
          <w:color w:val="auto"/>
          <w:sz w:val="21"/>
          <w:szCs w:val="21"/>
        </w:rPr>
        <w:t>基金管理人</w:t>
      </w:r>
      <w:r>
        <w:rPr>
          <w:rFonts w:ascii="宋体" w:eastAsia="宋体" w:hAnsi="宋体"/>
          <w:color w:val="auto"/>
          <w:sz w:val="21"/>
          <w:szCs w:val="21"/>
        </w:rPr>
        <w:t>应保证</w:t>
      </w:r>
      <w:r>
        <w:rPr>
          <w:rFonts w:ascii="宋体" w:eastAsia="宋体" w:hAnsi="宋体" w:hint="eastAsia"/>
          <w:color w:val="auto"/>
          <w:sz w:val="21"/>
          <w:szCs w:val="21"/>
        </w:rPr>
        <w:t>资金</w:t>
      </w:r>
      <w:r>
        <w:rPr>
          <w:rFonts w:ascii="宋体" w:eastAsia="宋体" w:hAnsi="宋体"/>
          <w:color w:val="auto"/>
          <w:sz w:val="21"/>
          <w:szCs w:val="21"/>
        </w:rPr>
        <w:t>账户有足够的资金用于证券交易资金清算，如资金头寸不足则基金托管人应按照中国</w:t>
      </w:r>
      <w:r>
        <w:rPr>
          <w:rFonts w:ascii="宋体" w:eastAsia="宋体" w:hAnsi="宋体" w:hint="eastAsia"/>
          <w:color w:val="auto"/>
          <w:sz w:val="21"/>
          <w:szCs w:val="21"/>
        </w:rPr>
        <w:t>结算</w:t>
      </w:r>
      <w:r>
        <w:rPr>
          <w:rFonts w:ascii="宋体" w:eastAsia="宋体" w:hAnsi="宋体"/>
          <w:color w:val="auto"/>
          <w:sz w:val="21"/>
          <w:szCs w:val="21"/>
        </w:rPr>
        <w:t>的有关规定办理。</w:t>
      </w:r>
    </w:p>
    <w:p w14:paraId="005DD2D1"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（1）交易类资金</w:t>
      </w:r>
    </w:p>
    <w:p w14:paraId="2A6D40B8"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对于T日港股通交易清算结果为托管资产净应付的，</w:t>
      </w:r>
      <w:r>
        <w:rPr>
          <w:rFonts w:ascii="宋体" w:eastAsia="宋体" w:hAnsi="宋体" w:hint="eastAsia"/>
          <w:color w:val="auto"/>
          <w:sz w:val="21"/>
          <w:szCs w:val="21"/>
        </w:rPr>
        <w:t>管理人应保证在T+1日14:00前资金账户有足够的资金，</w:t>
      </w:r>
      <w:r>
        <w:rPr>
          <w:rFonts w:ascii="宋体" w:eastAsia="宋体" w:hAnsi="宋体" w:cs="Times New Roman" w:hint="eastAsia"/>
          <w:color w:val="auto"/>
          <w:sz w:val="21"/>
          <w:szCs w:val="21"/>
        </w:rPr>
        <w:t>基金托管人于T+1日14:00自主从资金账户扣收应付资金。对于T日港股通交易的清算结果为托管资产净应收的，基金托管人在收到中国结算支付的资金后于T+3日上午12:00前返还应收资金至资金账户。</w:t>
      </w:r>
    </w:p>
    <w:p w14:paraId="3C588D71"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（2）风控资金、现金红利、公司收购款、证券组合费</w:t>
      </w:r>
    </w:p>
    <w:p w14:paraId="2C36EB90"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对于T日上述资金为托管资产净应付的，基金管理人</w:t>
      </w:r>
      <w:r>
        <w:rPr>
          <w:rFonts w:ascii="宋体" w:eastAsia="宋体" w:hAnsi="宋体" w:cs="Times New Roman"/>
          <w:color w:val="auto"/>
          <w:sz w:val="21"/>
          <w:szCs w:val="21"/>
        </w:rPr>
        <w:t>应保证在</w:t>
      </w:r>
      <w:r>
        <w:rPr>
          <w:rFonts w:ascii="宋体" w:eastAsia="宋体" w:hAnsi="宋体" w:cs="Times New Roman" w:hint="eastAsia"/>
          <w:color w:val="auto"/>
          <w:sz w:val="21"/>
          <w:szCs w:val="21"/>
        </w:rPr>
        <w:t>T+1日上午9:30前资金</w:t>
      </w:r>
      <w:r>
        <w:rPr>
          <w:rFonts w:ascii="宋体" w:eastAsia="宋体" w:hAnsi="宋体" w:cs="Times New Roman"/>
          <w:color w:val="auto"/>
          <w:sz w:val="21"/>
          <w:szCs w:val="21"/>
        </w:rPr>
        <w:t>账户有足够的资金</w:t>
      </w:r>
      <w:r>
        <w:rPr>
          <w:rFonts w:ascii="宋体" w:eastAsia="宋体" w:hAnsi="宋体" w:cs="Times New Roman" w:hint="eastAsia"/>
          <w:color w:val="auto"/>
          <w:sz w:val="21"/>
          <w:szCs w:val="21"/>
        </w:rPr>
        <w:t>，基金托管人于T+1日上午9:30自主从资金账户扣收应付资金。对于T日上述资金为托管资产净应收的，基金托管人在收到中国结算支付的资金后，于T+1日</w:t>
      </w:r>
      <w:r>
        <w:rPr>
          <w:rFonts w:ascii="宋体" w:eastAsia="宋体" w:hAnsi="宋体" w:cs="Times New Roman"/>
          <w:color w:val="auto"/>
          <w:sz w:val="21"/>
          <w:szCs w:val="21"/>
        </w:rPr>
        <w:t>1</w:t>
      </w:r>
      <w:r>
        <w:rPr>
          <w:rFonts w:ascii="宋体" w:eastAsia="宋体" w:hAnsi="宋体" w:cs="Times New Roman" w:hint="eastAsia"/>
          <w:color w:val="auto"/>
          <w:sz w:val="21"/>
          <w:szCs w:val="21"/>
        </w:rPr>
        <w:t>7</w:t>
      </w:r>
      <w:r>
        <w:rPr>
          <w:rFonts w:ascii="宋体" w:eastAsia="宋体" w:hAnsi="宋体" w:cs="Times New Roman"/>
          <w:color w:val="auto"/>
          <w:sz w:val="21"/>
          <w:szCs w:val="21"/>
        </w:rPr>
        <w:t>:</w:t>
      </w:r>
      <w:r>
        <w:rPr>
          <w:rFonts w:ascii="宋体" w:eastAsia="宋体" w:hAnsi="宋体" w:cs="Times New Roman" w:hint="eastAsia"/>
          <w:color w:val="auto"/>
          <w:sz w:val="21"/>
          <w:szCs w:val="21"/>
        </w:rPr>
        <w:t>00前返还应收资金至资金账户。</w:t>
      </w:r>
    </w:p>
    <w:p w14:paraId="51F7C00A"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基金托管人负责差额缴款、按金等风控资金的计算，基金管理人应按照基金托管人的计算结果按上段约定的时间在资金账户存入风控资金。若基金管理人对基金托管人的计算</w:t>
      </w:r>
      <w:r>
        <w:rPr>
          <w:rFonts w:ascii="宋体" w:eastAsia="宋体" w:hAnsi="宋体" w:cs="Times New Roman" w:hint="eastAsia"/>
          <w:color w:val="auto"/>
          <w:sz w:val="21"/>
          <w:szCs w:val="21"/>
        </w:rPr>
        <w:lastRenderedPageBreak/>
        <w:t>结果有异议，可在缴款完成后与基金托管人沟通协商解决。</w:t>
      </w:r>
    </w:p>
    <w:p w14:paraId="288F1979" w14:textId="64783BF6"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如因相关原因导致香港结算延迟交收时，若托管资产为净应付的，则基金管理人和基金托管人仍按前述约定的时间进行扣收；若托管资产为净应收的，则交收时间视中国结算向基金托管人的支付情况确定。基金管理人应做好资金头寸管理，避免因延迟交收而导致的透支。</w:t>
      </w:r>
    </w:p>
    <w:p w14:paraId="3244E1E1"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对于由于基金托管人的资金交收时间等原因导致资金已从资金账户划出或尚未划入资金账户，资金滞留在基金托管人备付金账户的情况，基金托管人应将中国结算支付的相应利息支付给托管资产。</w:t>
      </w:r>
    </w:p>
    <w:p w14:paraId="179A42F7"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color w:val="auto"/>
          <w:sz w:val="21"/>
          <w:szCs w:val="21"/>
        </w:rPr>
        <w:t>由于基金管理人或基金托管人原因导致</w:t>
      </w:r>
      <w:r>
        <w:rPr>
          <w:rFonts w:ascii="宋体" w:eastAsia="宋体" w:hAnsi="宋体" w:cs="Times New Roman" w:hint="eastAsia"/>
          <w:color w:val="auto"/>
          <w:sz w:val="21"/>
          <w:szCs w:val="21"/>
        </w:rPr>
        <w:t>托管资产</w:t>
      </w:r>
      <w:r>
        <w:rPr>
          <w:rFonts w:ascii="宋体" w:eastAsia="宋体" w:hAnsi="宋体" w:cs="Times New Roman"/>
          <w:color w:val="auto"/>
          <w:sz w:val="21"/>
          <w:szCs w:val="21"/>
        </w:rPr>
        <w:t>资金透支、超买或超卖等情形的，由责任方承担相应的责任。</w:t>
      </w:r>
      <w:r>
        <w:rPr>
          <w:rFonts w:ascii="宋体" w:eastAsia="宋体" w:hAnsi="宋体" w:cs="Times New Roman" w:hint="eastAsia"/>
          <w:color w:val="auto"/>
          <w:sz w:val="21"/>
          <w:szCs w:val="21"/>
        </w:rPr>
        <w:t>基金管理人</w:t>
      </w:r>
      <w:r>
        <w:rPr>
          <w:rFonts w:ascii="宋体" w:eastAsia="宋体" w:hAnsi="宋体" w:cs="Times New Roman"/>
          <w:color w:val="auto"/>
          <w:sz w:val="21"/>
          <w:szCs w:val="21"/>
        </w:rPr>
        <w:t>同意在发生以上情形时，</w:t>
      </w:r>
      <w:r>
        <w:rPr>
          <w:rFonts w:ascii="宋体" w:eastAsia="宋体" w:hAnsi="宋体" w:cs="Times New Roman" w:hint="eastAsia"/>
          <w:color w:val="auto"/>
          <w:sz w:val="21"/>
          <w:szCs w:val="21"/>
        </w:rPr>
        <w:t>基金托管人有权</w:t>
      </w:r>
      <w:r>
        <w:rPr>
          <w:rFonts w:ascii="宋体" w:eastAsia="宋体" w:hAnsi="宋体" w:cs="Times New Roman"/>
          <w:color w:val="auto"/>
          <w:sz w:val="21"/>
          <w:szCs w:val="21"/>
        </w:rPr>
        <w:t>按照中国</w:t>
      </w:r>
      <w:r>
        <w:rPr>
          <w:rFonts w:ascii="宋体" w:eastAsia="宋体" w:hAnsi="宋体" w:cs="Times New Roman" w:hint="eastAsia"/>
          <w:color w:val="auto"/>
          <w:sz w:val="21"/>
          <w:szCs w:val="21"/>
        </w:rPr>
        <w:t>结算</w:t>
      </w:r>
      <w:r>
        <w:rPr>
          <w:rFonts w:ascii="宋体" w:eastAsia="宋体" w:hAnsi="宋体" w:cs="Times New Roman"/>
          <w:color w:val="auto"/>
          <w:sz w:val="21"/>
          <w:szCs w:val="21"/>
        </w:rPr>
        <w:t>的有关规定办理。</w:t>
      </w:r>
    </w:p>
    <w:p w14:paraId="1407C97C" w14:textId="77777777" w:rsidR="00701DDF"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由于基金管理人出现资金交收违约并造成基金托管人对中国结算违约的，基金托管人有权将相当于违约金额的基金管理人的应收证券指定为暂不交付证券并由中国结算按其业务规则进行处理，由此造成的风险、损失和责任，由基金管理人全部承担。</w:t>
      </w:r>
    </w:p>
    <w:p w14:paraId="11A3E858" w14:textId="0CF51ADF" w:rsidR="005648EA" w:rsidRDefault="003F1F2B">
      <w:pPr>
        <w:pStyle w:val="Default"/>
        <w:spacing w:line="400" w:lineRule="exact"/>
        <w:ind w:firstLine="420"/>
        <w:jc w:val="both"/>
        <w:rPr>
          <w:rFonts w:ascii="宋体" w:eastAsia="宋体" w:hAnsi="宋体" w:cs="Times New Roman"/>
          <w:color w:val="auto"/>
          <w:sz w:val="21"/>
          <w:szCs w:val="21"/>
        </w:rPr>
      </w:pPr>
      <w:r>
        <w:rPr>
          <w:rFonts w:ascii="宋体" w:eastAsia="宋体" w:hAnsi="宋体" w:hint="eastAsia"/>
          <w:color w:val="auto"/>
          <w:sz w:val="21"/>
          <w:szCs w:val="21"/>
        </w:rPr>
        <w:t>基金管理人</w:t>
      </w:r>
      <w:r>
        <w:rPr>
          <w:rFonts w:ascii="宋体" w:eastAsia="宋体" w:hAnsi="宋体"/>
          <w:color w:val="auto"/>
          <w:sz w:val="21"/>
          <w:szCs w:val="21"/>
        </w:rPr>
        <w:t>应保证在</w:t>
      </w:r>
      <w:r>
        <w:rPr>
          <w:rFonts w:ascii="宋体" w:eastAsia="宋体" w:hAnsi="宋体" w:hint="eastAsia"/>
          <w:color w:val="auto"/>
          <w:sz w:val="21"/>
          <w:szCs w:val="21"/>
        </w:rPr>
        <w:t>港股通交易日（T日）前证券</w:t>
      </w:r>
      <w:r>
        <w:rPr>
          <w:rFonts w:ascii="宋体" w:eastAsia="宋体" w:hAnsi="宋体"/>
          <w:color w:val="auto"/>
          <w:sz w:val="21"/>
          <w:szCs w:val="21"/>
        </w:rPr>
        <w:t>账户有足够的</w:t>
      </w:r>
      <w:r>
        <w:rPr>
          <w:rFonts w:ascii="宋体" w:eastAsia="宋体" w:hAnsi="宋体" w:hint="eastAsia"/>
          <w:color w:val="auto"/>
          <w:sz w:val="21"/>
          <w:szCs w:val="21"/>
        </w:rPr>
        <w:t>证券</w:t>
      </w:r>
      <w:r>
        <w:rPr>
          <w:rFonts w:ascii="宋体" w:eastAsia="宋体" w:hAnsi="宋体"/>
          <w:color w:val="auto"/>
          <w:sz w:val="21"/>
          <w:szCs w:val="21"/>
        </w:rPr>
        <w:t>用于证券</w:t>
      </w:r>
      <w:r>
        <w:rPr>
          <w:rFonts w:ascii="宋体" w:eastAsia="宋体" w:hAnsi="宋体" w:hint="eastAsia"/>
          <w:color w:val="auto"/>
          <w:sz w:val="21"/>
          <w:szCs w:val="21"/>
        </w:rPr>
        <w:t>交易</w:t>
      </w:r>
      <w:r>
        <w:rPr>
          <w:rFonts w:ascii="宋体" w:eastAsia="宋体" w:hAnsi="宋体"/>
          <w:color w:val="auto"/>
          <w:sz w:val="21"/>
          <w:szCs w:val="21"/>
        </w:rPr>
        <w:t>清算，</w:t>
      </w:r>
      <w:r>
        <w:rPr>
          <w:rFonts w:ascii="宋体" w:eastAsia="宋体" w:hAnsi="宋体" w:hint="eastAsia"/>
          <w:color w:val="auto"/>
          <w:sz w:val="21"/>
          <w:szCs w:val="21"/>
        </w:rPr>
        <w:t>如</w:t>
      </w:r>
      <w:r>
        <w:rPr>
          <w:rFonts w:ascii="宋体" w:eastAsia="宋体" w:hAnsi="宋体" w:cs="Times New Roman" w:hint="eastAsia"/>
          <w:color w:val="auto"/>
          <w:sz w:val="21"/>
          <w:szCs w:val="21"/>
        </w:rPr>
        <w:t>基金管理人出现证券交收违约的，基金托管人有权将相当于证券交收违约金额的资金暂不划付给基金管理人。</w:t>
      </w:r>
    </w:p>
    <w:p w14:paraId="0E5BD511" w14:textId="09037B36" w:rsidR="00701DDF" w:rsidRDefault="003F1F2B" w:rsidP="003C4531">
      <w:pPr>
        <w:pStyle w:val="Default"/>
        <w:spacing w:line="400" w:lineRule="exact"/>
        <w:ind w:firstLine="420"/>
        <w:jc w:val="both"/>
        <w:rPr>
          <w:rFonts w:ascii="宋体" w:eastAsia="宋体" w:hAnsi="宋体" w:cs="Times New Roman"/>
          <w:color w:val="auto"/>
          <w:sz w:val="21"/>
          <w:szCs w:val="21"/>
        </w:rPr>
      </w:pPr>
      <w:r>
        <w:rPr>
          <w:rFonts w:ascii="宋体" w:eastAsia="宋体" w:hAnsi="宋体" w:cs="Times New Roman" w:hint="eastAsia"/>
          <w:color w:val="auto"/>
          <w:sz w:val="21"/>
          <w:szCs w:val="21"/>
        </w:rPr>
        <w:t>基金管理人知晓并认可，出于降低全市场资金成本的原因，中国结算可以依照香港结算相关业务规则，将每日净卖出证券向香港结算提交作为交收担保品。</w:t>
      </w:r>
    </w:p>
    <w:p w14:paraId="74099B54" w14:textId="77777777" w:rsidR="00701DDF" w:rsidRDefault="003F1F2B">
      <w:pPr>
        <w:pStyle w:val="Default"/>
        <w:spacing w:line="400" w:lineRule="exact"/>
        <w:ind w:firstLine="417"/>
        <w:jc w:val="both"/>
        <w:rPr>
          <w:rFonts w:ascii="宋体" w:eastAsia="宋体" w:hAnsi="宋体" w:cs="Times New Roman"/>
          <w:color w:val="auto"/>
          <w:sz w:val="21"/>
          <w:szCs w:val="21"/>
        </w:rPr>
      </w:pPr>
      <w:r>
        <w:rPr>
          <w:rFonts w:ascii="宋体" w:eastAsia="宋体" w:hAnsi="宋体" w:cs="Times New Roman"/>
          <w:b/>
          <w:color w:val="auto"/>
          <w:sz w:val="21"/>
          <w:szCs w:val="21"/>
        </w:rPr>
        <w:t>4</w:t>
      </w:r>
      <w:r>
        <w:rPr>
          <w:rFonts w:ascii="宋体" w:eastAsia="宋体" w:hAnsi="宋体" w:cs="Times New Roman" w:hint="eastAsia"/>
          <w:b/>
          <w:color w:val="auto"/>
          <w:sz w:val="21"/>
          <w:szCs w:val="21"/>
        </w:rPr>
        <w:t>、</w:t>
      </w:r>
      <w:r>
        <w:rPr>
          <w:rFonts w:ascii="宋体" w:eastAsia="宋体" w:hAnsi="宋体" w:cs="Times New Roman" w:hint="eastAsia"/>
          <w:color w:val="auto"/>
          <w:sz w:val="21"/>
          <w:szCs w:val="21"/>
        </w:rPr>
        <w:t xml:space="preserve">  公司行动</w:t>
      </w:r>
    </w:p>
    <w:p w14:paraId="2F98E186" w14:textId="77777777" w:rsidR="00701DDF" w:rsidRDefault="003F1F2B">
      <w:pPr>
        <w:pStyle w:val="af7"/>
        <w:spacing w:line="400" w:lineRule="exact"/>
        <w:rPr>
          <w:rFonts w:ascii="宋体" w:hAnsi="宋体"/>
          <w:szCs w:val="21"/>
        </w:rPr>
      </w:pPr>
      <w:r>
        <w:rPr>
          <w:rFonts w:ascii="宋体" w:hAnsi="宋体" w:hint="eastAsia"/>
          <w:szCs w:val="21"/>
        </w:rPr>
        <w:t>（1）服务种类</w:t>
      </w:r>
    </w:p>
    <w:p w14:paraId="17109CD6" w14:textId="659A7EF6" w:rsidR="00701DDF" w:rsidRDefault="003F1F2B">
      <w:pPr>
        <w:pStyle w:val="af7"/>
        <w:spacing w:line="400" w:lineRule="exact"/>
        <w:ind w:firstLine="424"/>
        <w:rPr>
          <w:rFonts w:ascii="宋体" w:hAnsi="宋体"/>
          <w:szCs w:val="21"/>
        </w:rPr>
      </w:pPr>
      <w:r>
        <w:rPr>
          <w:rFonts w:ascii="宋体" w:hAnsi="宋体" w:hint="eastAsia"/>
          <w:szCs w:val="21"/>
        </w:rPr>
        <w:t>基金托管人提供的与公司行动相关的服务种类以中国结算所能提供的服务种类为限，双方一致认可，如中国结算增加或减少相应服务种类，基金托管人的公司行动服务种类与之同步增减，不需要另行修改本协议。</w:t>
      </w:r>
    </w:p>
    <w:p w14:paraId="735D7855" w14:textId="77777777" w:rsidR="00701DDF" w:rsidRDefault="003F1F2B">
      <w:pPr>
        <w:spacing w:line="400" w:lineRule="exact"/>
        <w:ind w:firstLine="420"/>
        <w:rPr>
          <w:rFonts w:ascii="宋体" w:hAnsi="宋体"/>
          <w:szCs w:val="21"/>
        </w:rPr>
      </w:pPr>
      <w:r>
        <w:rPr>
          <w:rFonts w:ascii="宋体" w:hAnsi="宋体" w:hint="eastAsia"/>
          <w:szCs w:val="21"/>
        </w:rPr>
        <w:t>（2）服务范围</w:t>
      </w:r>
    </w:p>
    <w:p w14:paraId="63DE56BA" w14:textId="77777777" w:rsidR="00701DDF" w:rsidRDefault="003F1F2B">
      <w:pPr>
        <w:pStyle w:val="af7"/>
        <w:spacing w:line="400" w:lineRule="exact"/>
        <w:ind w:left="567" w:firstLine="0"/>
        <w:rPr>
          <w:rFonts w:ascii="宋体" w:hAnsi="宋体"/>
          <w:szCs w:val="21"/>
        </w:rPr>
      </w:pPr>
      <w:r>
        <w:rPr>
          <w:rFonts w:ascii="宋体" w:hAnsi="宋体" w:hint="eastAsia"/>
          <w:szCs w:val="21"/>
        </w:rPr>
        <w:t>基金托管人提供的与公司行动相关的服务限于以下项目：</w:t>
      </w:r>
    </w:p>
    <w:p w14:paraId="63B21587" w14:textId="77777777" w:rsidR="00701DDF" w:rsidRDefault="003F1F2B">
      <w:pPr>
        <w:pStyle w:val="af7"/>
        <w:spacing w:line="400" w:lineRule="exact"/>
        <w:ind w:firstLine="424"/>
        <w:rPr>
          <w:rFonts w:ascii="宋体" w:hAnsi="宋体"/>
          <w:szCs w:val="21"/>
        </w:rPr>
      </w:pPr>
      <w:r>
        <w:rPr>
          <w:rFonts w:ascii="宋体" w:hAnsi="宋体"/>
          <w:szCs w:val="21"/>
        </w:rPr>
        <w:t>A</w:t>
      </w:r>
      <w:r>
        <w:rPr>
          <w:rFonts w:ascii="宋体" w:hAnsi="宋体" w:hint="eastAsia"/>
          <w:szCs w:val="21"/>
        </w:rPr>
        <w:t>.根据中国结算上海分公司（以下简称“上海中登”）港股通结算明细（hk</w:t>
      </w:r>
      <w:r>
        <w:rPr>
          <w:rFonts w:ascii="宋体" w:hAnsi="宋体"/>
          <w:szCs w:val="21"/>
        </w:rPr>
        <w:t>_</w:t>
      </w:r>
      <w:r>
        <w:rPr>
          <w:rFonts w:ascii="宋体" w:hAnsi="宋体" w:hint="eastAsia"/>
          <w:szCs w:val="21"/>
        </w:rPr>
        <w:t>jsmx）库以及上海中登制定的交收规则从上海中登接收或者向上海中登支付公司行动相关的资金，并根据接收和支付结果借记或贷记开立在基金托管人的资金账户。</w:t>
      </w:r>
    </w:p>
    <w:p w14:paraId="41F0D4D4" w14:textId="77777777" w:rsidR="00701DDF" w:rsidRDefault="003F1F2B">
      <w:pPr>
        <w:pStyle w:val="af7"/>
        <w:spacing w:line="400" w:lineRule="exact"/>
        <w:ind w:firstLine="424"/>
        <w:rPr>
          <w:rFonts w:ascii="宋体" w:hAnsi="宋体"/>
          <w:szCs w:val="21"/>
        </w:rPr>
      </w:pPr>
      <w:r>
        <w:rPr>
          <w:rFonts w:ascii="宋体" w:hAnsi="宋体"/>
          <w:szCs w:val="21"/>
        </w:rPr>
        <w:t>B</w:t>
      </w:r>
      <w:r>
        <w:rPr>
          <w:rFonts w:ascii="宋体" w:hAnsi="宋体" w:hint="eastAsia"/>
          <w:szCs w:val="21"/>
        </w:rPr>
        <w:t>.根据中国结算深圳分公司（以下简称“深圳中登”）港股通结果（szhk</w:t>
      </w:r>
      <w:r>
        <w:rPr>
          <w:rFonts w:ascii="宋体" w:hAnsi="宋体"/>
          <w:szCs w:val="21"/>
        </w:rPr>
        <w:t>_</w:t>
      </w:r>
      <w:r>
        <w:rPr>
          <w:rFonts w:ascii="宋体" w:hAnsi="宋体" w:hint="eastAsia"/>
          <w:szCs w:val="21"/>
        </w:rPr>
        <w:t>sjsjg）库以及深圳中登制定的交收规则从深圳中登接收或者向深圳中登支付公司行动相关的资金，并根据接收和支付结果借记或贷记开立在基金托管人的资金账户。</w:t>
      </w:r>
    </w:p>
    <w:p w14:paraId="4F219B5C" w14:textId="77777777" w:rsidR="00701DDF" w:rsidRDefault="003F1F2B">
      <w:pPr>
        <w:pStyle w:val="af7"/>
        <w:spacing w:line="400" w:lineRule="exact"/>
        <w:ind w:firstLine="424"/>
        <w:rPr>
          <w:rFonts w:ascii="宋体" w:hAnsi="宋体"/>
          <w:szCs w:val="21"/>
        </w:rPr>
      </w:pPr>
      <w:r>
        <w:rPr>
          <w:rFonts w:ascii="宋体" w:hAnsi="宋体"/>
          <w:szCs w:val="21"/>
        </w:rPr>
        <w:t>C</w:t>
      </w:r>
      <w:r>
        <w:rPr>
          <w:rFonts w:ascii="宋体" w:hAnsi="宋体" w:hint="eastAsia"/>
          <w:szCs w:val="21"/>
        </w:rPr>
        <w:t>.根据上海中登港股通证券变动（hk</w:t>
      </w:r>
      <w:r>
        <w:rPr>
          <w:rFonts w:ascii="宋体" w:hAnsi="宋体"/>
          <w:szCs w:val="21"/>
        </w:rPr>
        <w:t>_</w:t>
      </w:r>
      <w:r>
        <w:rPr>
          <w:rFonts w:ascii="宋体" w:hAnsi="宋体" w:hint="eastAsia"/>
          <w:szCs w:val="21"/>
        </w:rPr>
        <w:t>zqbd）库记录开立在上海中登的证券账户的公司行动相关证券的变动情况。</w:t>
      </w:r>
    </w:p>
    <w:p w14:paraId="57520A29" w14:textId="77777777" w:rsidR="00701DDF" w:rsidRDefault="003F1F2B">
      <w:pPr>
        <w:pStyle w:val="af7"/>
        <w:spacing w:line="400" w:lineRule="exact"/>
        <w:ind w:firstLine="424"/>
        <w:rPr>
          <w:rFonts w:ascii="宋体" w:hAnsi="宋体"/>
          <w:szCs w:val="21"/>
        </w:rPr>
      </w:pPr>
      <w:r>
        <w:rPr>
          <w:rFonts w:ascii="宋体" w:hAnsi="宋体"/>
          <w:szCs w:val="21"/>
        </w:rPr>
        <w:lastRenderedPageBreak/>
        <w:t>D</w:t>
      </w:r>
      <w:r>
        <w:rPr>
          <w:rFonts w:ascii="宋体" w:hAnsi="宋体" w:hint="eastAsia"/>
          <w:szCs w:val="21"/>
        </w:rPr>
        <w:t>.根据深圳中登港股通结果（szhk</w:t>
      </w:r>
      <w:r>
        <w:rPr>
          <w:rFonts w:ascii="宋体" w:hAnsi="宋体"/>
          <w:szCs w:val="21"/>
        </w:rPr>
        <w:t>_</w:t>
      </w:r>
      <w:r>
        <w:rPr>
          <w:rFonts w:ascii="宋体" w:hAnsi="宋体" w:hint="eastAsia"/>
          <w:szCs w:val="21"/>
        </w:rPr>
        <w:t>sjsjg）库记录开立在深圳中登的证券账户的公司行动相关证券的变动情况。</w:t>
      </w:r>
    </w:p>
    <w:p w14:paraId="015CBCC3" w14:textId="77777777" w:rsidR="00701DDF" w:rsidRDefault="003F1F2B">
      <w:pPr>
        <w:pStyle w:val="af7"/>
        <w:spacing w:line="400" w:lineRule="exact"/>
        <w:ind w:firstLine="424"/>
        <w:rPr>
          <w:rFonts w:ascii="宋体" w:hAnsi="宋体"/>
          <w:szCs w:val="21"/>
        </w:rPr>
      </w:pPr>
      <w:r>
        <w:rPr>
          <w:rFonts w:ascii="宋体" w:hAnsi="宋体"/>
          <w:szCs w:val="21"/>
        </w:rPr>
        <w:t>E</w:t>
      </w:r>
      <w:r>
        <w:rPr>
          <w:rFonts w:ascii="宋体" w:hAnsi="宋体" w:hint="eastAsia"/>
          <w:szCs w:val="21"/>
        </w:rPr>
        <w:t>.对于有选择项的现金红利、投票、公司收购等需要基金管理人在证券发行人提供的选项中进行选择向中登申报的公司行动，基金管理人应向基金托管人发送申报数据，基金托管人负责通过港股通公司行动申报实时接口完成申报。基金托管人提供的公司行动服务不包括以下项目：</w:t>
      </w:r>
    </w:p>
    <w:p w14:paraId="5DC22D99" w14:textId="77777777" w:rsidR="00701DDF" w:rsidRDefault="003F1F2B">
      <w:pPr>
        <w:pStyle w:val="af7"/>
        <w:spacing w:line="400" w:lineRule="exact"/>
        <w:ind w:firstLine="424"/>
        <w:rPr>
          <w:rFonts w:ascii="宋体" w:hAnsi="宋体"/>
          <w:szCs w:val="21"/>
        </w:rPr>
      </w:pPr>
      <w:r>
        <w:rPr>
          <w:rFonts w:ascii="宋体" w:hAnsi="宋体" w:hint="eastAsia"/>
          <w:szCs w:val="21"/>
        </w:rPr>
        <w:t>A</w:t>
      </w:r>
      <w:r>
        <w:rPr>
          <w:rFonts w:ascii="宋体" w:hAnsi="宋体"/>
          <w:szCs w:val="21"/>
        </w:rPr>
        <w:t>.</w:t>
      </w:r>
      <w:r>
        <w:rPr>
          <w:rFonts w:ascii="宋体" w:hAnsi="宋体" w:hint="eastAsia"/>
          <w:szCs w:val="21"/>
        </w:rPr>
        <w:t>向基金管理人提供公司行动公告和公司行动相关的细节信息。</w:t>
      </w:r>
    </w:p>
    <w:p w14:paraId="7D5C3F97" w14:textId="77777777" w:rsidR="00701DDF" w:rsidRDefault="003F1F2B">
      <w:pPr>
        <w:pStyle w:val="af7"/>
        <w:spacing w:line="400" w:lineRule="exact"/>
        <w:ind w:firstLine="441"/>
        <w:rPr>
          <w:rFonts w:ascii="宋体" w:hAnsi="宋体"/>
          <w:szCs w:val="21"/>
        </w:rPr>
      </w:pPr>
      <w:r>
        <w:rPr>
          <w:rFonts w:ascii="宋体" w:hAnsi="宋体" w:hint="eastAsia"/>
          <w:szCs w:val="21"/>
        </w:rPr>
        <w:t>B</w:t>
      </w:r>
      <w:r>
        <w:rPr>
          <w:rFonts w:ascii="宋体" w:hAnsi="宋体"/>
          <w:szCs w:val="21"/>
        </w:rPr>
        <w:t>.</w:t>
      </w:r>
      <w:r>
        <w:rPr>
          <w:rFonts w:ascii="宋体" w:hAnsi="宋体" w:hint="eastAsia"/>
          <w:szCs w:val="21"/>
        </w:rPr>
        <w:t>对基金管理人发送的申报数据的内容进行审核。</w:t>
      </w:r>
    </w:p>
    <w:p w14:paraId="57007692" w14:textId="77777777" w:rsidR="00701DDF" w:rsidRDefault="003F1F2B">
      <w:pPr>
        <w:pStyle w:val="af7"/>
        <w:spacing w:line="400" w:lineRule="exact"/>
        <w:ind w:firstLine="424"/>
        <w:rPr>
          <w:rFonts w:ascii="宋体" w:hAnsi="宋体"/>
          <w:szCs w:val="21"/>
        </w:rPr>
      </w:pPr>
      <w:r>
        <w:rPr>
          <w:rFonts w:ascii="宋体" w:hAnsi="宋体" w:hint="eastAsia"/>
          <w:szCs w:val="21"/>
        </w:rPr>
        <w:t>C</w:t>
      </w:r>
      <w:r>
        <w:rPr>
          <w:rFonts w:ascii="宋体" w:hAnsi="宋体"/>
          <w:szCs w:val="21"/>
        </w:rPr>
        <w:t>.</w:t>
      </w:r>
      <w:r>
        <w:rPr>
          <w:rFonts w:ascii="宋体" w:hAnsi="宋体" w:hint="eastAsia"/>
          <w:szCs w:val="21"/>
        </w:rPr>
        <w:t>税务处理。</w:t>
      </w:r>
    </w:p>
    <w:p w14:paraId="47D19C79" w14:textId="77777777" w:rsidR="00701DDF" w:rsidRDefault="003F1F2B">
      <w:pPr>
        <w:spacing w:line="400" w:lineRule="exact"/>
        <w:ind w:firstLine="413"/>
        <w:rPr>
          <w:rFonts w:ascii="宋体" w:hAnsi="宋体"/>
          <w:szCs w:val="21"/>
        </w:rPr>
      </w:pPr>
      <w:r>
        <w:rPr>
          <w:rFonts w:ascii="宋体" w:hAnsi="宋体"/>
          <w:b/>
          <w:szCs w:val="21"/>
        </w:rPr>
        <w:t>5</w:t>
      </w:r>
      <w:r>
        <w:rPr>
          <w:rFonts w:ascii="宋体" w:hAnsi="宋体" w:hint="eastAsia"/>
          <w:b/>
          <w:szCs w:val="21"/>
        </w:rPr>
        <w:t xml:space="preserve">、 </w:t>
      </w:r>
      <w:r>
        <w:rPr>
          <w:rFonts w:ascii="宋体" w:hAnsi="宋体" w:hint="eastAsia"/>
          <w:szCs w:val="21"/>
        </w:rPr>
        <w:t xml:space="preserve"> 汇率 </w:t>
      </w:r>
    </w:p>
    <w:p w14:paraId="4F6CBB34" w14:textId="77777777" w:rsidR="00701DDF" w:rsidRDefault="003F1F2B">
      <w:pPr>
        <w:pStyle w:val="af7"/>
        <w:spacing w:line="400" w:lineRule="exact"/>
        <w:ind w:firstLine="424"/>
        <w:rPr>
          <w:rFonts w:ascii="宋体" w:hAnsi="宋体"/>
          <w:szCs w:val="21"/>
        </w:rPr>
      </w:pPr>
      <w:r>
        <w:rPr>
          <w:rFonts w:ascii="宋体" w:hAnsi="宋体" w:hint="eastAsia"/>
          <w:szCs w:val="21"/>
        </w:rPr>
        <w:t>港股通投资持有外币证券资产估值涉及到港币、美元、英镑、欧元、日元等主要货币对人民币汇率的，应当以基金合同约定为准。如基金合同中未明确约定的，应以估值当日中国人民银行或其授权机构公布的人民币对外币汇率中间价或其他可以反映公允价值的汇率为准。</w:t>
      </w:r>
    </w:p>
    <w:p w14:paraId="46771246" w14:textId="5AF43DDA" w:rsidR="00701DDF" w:rsidRDefault="00701DDF">
      <w:pPr>
        <w:pStyle w:val="af7"/>
        <w:spacing w:line="400" w:lineRule="exact"/>
        <w:ind w:firstLine="424"/>
        <w:rPr>
          <w:rFonts w:ascii="宋体" w:hAnsi="宋体"/>
          <w:szCs w:val="21"/>
        </w:rPr>
      </w:pPr>
    </w:p>
    <w:p w14:paraId="6104E996" w14:textId="77777777" w:rsidR="00701DDF" w:rsidRDefault="00701DDF">
      <w:pPr>
        <w:pStyle w:val="af0"/>
        <w:spacing w:before="100" w:beforeAutospacing="1" w:after="100" w:afterAutospacing="1"/>
        <w:ind w:firstLine="403"/>
        <w:rPr>
          <w:rFonts w:ascii="宋体" w:eastAsia="宋体"/>
          <w:color w:val="auto"/>
          <w:sz w:val="21"/>
          <w:szCs w:val="21"/>
        </w:rPr>
      </w:pPr>
    </w:p>
    <w:p w14:paraId="1481F763" w14:textId="77777777" w:rsidR="00701DDF" w:rsidRDefault="003F1F2B">
      <w:pPr>
        <w:pStyle w:val="1"/>
        <w:spacing w:before="100" w:beforeAutospacing="1" w:after="100" w:afterAutospacing="1" w:line="400" w:lineRule="exact"/>
        <w:ind w:firstLine="422"/>
        <w:rPr>
          <w:rFonts w:ascii="宋体" w:hAnsi="宋体"/>
          <w:sz w:val="21"/>
          <w:szCs w:val="21"/>
        </w:rPr>
      </w:pPr>
      <w:bookmarkStart w:id="15" w:name="_Toc116900103"/>
      <w:r>
        <w:rPr>
          <w:rFonts w:ascii="宋体" w:hAnsi="宋体" w:hint="eastAsia"/>
          <w:sz w:val="21"/>
          <w:szCs w:val="21"/>
        </w:rPr>
        <w:t>八、基金资产净值计算和会计核算</w:t>
      </w:r>
      <w:bookmarkEnd w:id="15"/>
    </w:p>
    <w:p w14:paraId="58FC46E9"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（一）基金资产净值的计算和复核</w:t>
      </w:r>
    </w:p>
    <w:p w14:paraId="61395074" w14:textId="7E9D4D56"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1、基金资产净值是指基金资产总值减去基金负债后的价值。</w:t>
      </w:r>
      <w:bookmarkStart w:id="16" w:name="OLE_LINK54"/>
      <w:r>
        <w:rPr>
          <w:rFonts w:ascii="宋体" w:eastAsia="宋体" w:hAnsi="宋体"/>
          <w:sz w:val="21"/>
          <w:szCs w:val="21"/>
        </w:rPr>
        <w:t>各类</w:t>
      </w:r>
      <w:r>
        <w:rPr>
          <w:rFonts w:ascii="宋体" w:eastAsia="宋体" w:hAnsi="宋体" w:hint="eastAsia"/>
          <w:sz w:val="21"/>
          <w:szCs w:val="21"/>
        </w:rPr>
        <w:t>基金份额净值是按照某类基金资产净值除以当日该类基金份额的余额数量计算，均精确到0.0001元，小数点后第5位四舍五入，由此产生的收益或损失由基金财产承担。基金管理人可以设立大额赎回情形下的净值精度应急调整机制。法律法规、监管机构、基金合同另有规定的，从其规定。</w:t>
      </w:r>
      <w:bookmarkEnd w:id="16"/>
    </w:p>
    <w:p w14:paraId="6ED05CFC" w14:textId="081F3C13"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t>2、基金管理人应在每个估值日的次二个工作日内对该估值日的基金财产估值，但基金管理人根据法律法规或《基金合同》的规定暂停估值时除外。估值原则应符合《基金合同》、《证券投资基金会计核算业务指引》及其他法律法规的规定。基金资产净值和各类基金份额净值由基金管理人负责计算，基金托管人复核。基金管理人应于每个估值日的次二个工作日内计算该估值日的基金资产净值和各类基金份额净值，并以双方约定的方式发送给基金托管人。基金托管人应对净值计算结果进行复核，并以双方约定的方式将复核结果传送给基金管理人，由基金管理人对外公布。月末、年中和年末估值复核与基金会计账目的核对同时进行。</w:t>
      </w:r>
    </w:p>
    <w:p w14:paraId="4A8C3080" w14:textId="31505FDF" w:rsidR="00701DDF" w:rsidRDefault="003F1F2B">
      <w:pPr>
        <w:pStyle w:val="34"/>
        <w:spacing w:before="100" w:beforeAutospacing="1" w:after="100" w:afterAutospacing="1" w:line="400" w:lineRule="exact"/>
        <w:ind w:left="0" w:right="26" w:firstLine="403"/>
        <w:rPr>
          <w:rFonts w:ascii="宋体" w:eastAsia="宋体" w:hAnsi="宋体"/>
          <w:sz w:val="21"/>
          <w:szCs w:val="21"/>
        </w:rPr>
      </w:pPr>
      <w:bookmarkStart w:id="17" w:name="OLE_LINK29"/>
      <w:bookmarkStart w:id="18" w:name="OLE_LINK28"/>
      <w:r>
        <w:rPr>
          <w:rFonts w:ascii="宋体" w:eastAsia="宋体" w:hAnsi="宋体" w:hint="eastAsia"/>
          <w:sz w:val="21"/>
          <w:szCs w:val="21"/>
        </w:rPr>
        <w:lastRenderedPageBreak/>
        <w:t>3、当</w:t>
      </w:r>
      <w:r>
        <w:rPr>
          <w:rFonts w:ascii="宋体" w:eastAsia="宋体" w:hAnsi="宋体" w:cs="方正仿宋简体" w:hint="eastAsia"/>
          <w:sz w:val="21"/>
          <w:szCs w:val="21"/>
        </w:rPr>
        <w:t>相关法律法规或《基金合同》规定的估值方法不能客观反映基金财产公允价值时，</w:t>
      </w:r>
      <w:r>
        <w:rPr>
          <w:rFonts w:ascii="宋体" w:eastAsia="宋体" w:hAnsi="宋体" w:hint="eastAsia"/>
          <w:sz w:val="21"/>
          <w:szCs w:val="21"/>
        </w:rPr>
        <w:t>基金管理人可根据具体情况</w:t>
      </w:r>
      <w:r>
        <w:rPr>
          <w:rFonts w:ascii="宋体" w:eastAsia="宋体" w:hAnsi="宋体"/>
          <w:sz w:val="21"/>
          <w:szCs w:val="21"/>
        </w:rPr>
        <w:t>，</w:t>
      </w:r>
      <w:r>
        <w:rPr>
          <w:rFonts w:ascii="宋体" w:eastAsia="宋体" w:hAnsi="宋体" w:hint="eastAsia"/>
          <w:sz w:val="21"/>
          <w:szCs w:val="21"/>
        </w:rPr>
        <w:t>并与基金托管人商定后</w:t>
      </w:r>
      <w:r>
        <w:rPr>
          <w:rFonts w:ascii="宋体" w:eastAsia="宋体" w:hAnsi="宋体"/>
          <w:sz w:val="21"/>
          <w:szCs w:val="21"/>
        </w:rPr>
        <w:t>，</w:t>
      </w:r>
      <w:r>
        <w:rPr>
          <w:rFonts w:ascii="宋体" w:eastAsia="宋体" w:hAnsi="宋体" w:hint="eastAsia"/>
          <w:sz w:val="21"/>
          <w:szCs w:val="21"/>
        </w:rPr>
        <w:t>按最能反映公允价值的价格估值。</w:t>
      </w:r>
      <w:r>
        <w:rPr>
          <w:rFonts w:ascii="宋体" w:eastAsia="宋体" w:hAnsi="宋体" w:cs="方正仿宋简体" w:hint="eastAsia"/>
          <w:sz w:val="21"/>
          <w:szCs w:val="21"/>
        </w:rPr>
        <w:t>本基金实施侧袋机制的，应根据本部分的约定对主袋账户资产进行估值并披露主袋账户的基金净值信息，暂停披露侧袋账户份额净值。</w:t>
      </w:r>
      <w:bookmarkEnd w:id="17"/>
      <w:bookmarkEnd w:id="18"/>
    </w:p>
    <w:p w14:paraId="7F2D6933" w14:textId="77777777" w:rsidR="00701DDF" w:rsidRDefault="003F1F2B">
      <w:pPr>
        <w:pStyle w:val="34"/>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hint="eastAsia"/>
          <w:sz w:val="21"/>
          <w:szCs w:val="21"/>
        </w:rPr>
        <w:t>4、</w:t>
      </w:r>
      <w:r>
        <w:rPr>
          <w:rFonts w:ascii="宋体" w:eastAsia="宋体" w:hAnsi="宋体" w:cs="方正仿宋简体" w:hint="eastAsia"/>
          <w:sz w:val="21"/>
          <w:szCs w:val="21"/>
        </w:rPr>
        <w:t>基金管理人、基金托管人发现基金估值违反《基金合同》订明的估值方法、程序以及相关法律法规的规定或者未能充分维护基金份额持有人利益时，双方应及时进行协商和纠正。</w:t>
      </w:r>
    </w:p>
    <w:p w14:paraId="0C29CD68" w14:textId="3C663B74" w:rsidR="00701DDF" w:rsidRDefault="003F1F2B">
      <w:pPr>
        <w:spacing w:before="100" w:beforeAutospacing="1" w:after="100" w:afterAutospacing="1" w:line="400" w:lineRule="exact"/>
        <w:ind w:firstLine="420"/>
        <w:rPr>
          <w:rFonts w:ascii="宋体" w:hAnsi="宋体"/>
          <w:szCs w:val="21"/>
        </w:rPr>
      </w:pPr>
      <w:r>
        <w:rPr>
          <w:rFonts w:ascii="宋体" w:hAnsi="宋体" w:cs="方正仿宋简体" w:hint="eastAsia"/>
          <w:szCs w:val="21"/>
        </w:rPr>
        <w:t>5、</w:t>
      </w:r>
      <w:r>
        <w:rPr>
          <w:rFonts w:ascii="宋体" w:hAnsi="宋体" w:hint="eastAsia"/>
          <w:szCs w:val="21"/>
        </w:rPr>
        <w:t>当任一类基金份额净值小数点后4位以内（含第4位）发生估值错误时，视为该类基金份额净值错误。任一类基金份额净值计算出现错误时，基金管理人应当立即予以纠正，通报基金托管人，并采取合理的措施防止损失进一步扩大；错误偏差达到该类基金份额净值的0.25%时，基金管理人应当通报基金托管人并报中国证监会备案；错误偏差达到该类基金份额净值的0.5%时，基金管理人应当公告，并报中国证监会备案。</w:t>
      </w:r>
      <w:r>
        <w:rPr>
          <w:rFonts w:ascii="宋体" w:hAnsi="宋体"/>
          <w:szCs w:val="21"/>
        </w:rPr>
        <w:t>如法律法规或监管机关</w:t>
      </w:r>
      <w:r>
        <w:rPr>
          <w:rFonts w:ascii="宋体" w:hAnsi="宋体" w:hint="eastAsia"/>
          <w:szCs w:val="21"/>
        </w:rPr>
        <w:t>对</w:t>
      </w:r>
      <w:r>
        <w:rPr>
          <w:rFonts w:ascii="宋体" w:hAnsi="宋体"/>
          <w:szCs w:val="21"/>
        </w:rPr>
        <w:t>前述内容另有规定的，按其规定处理。</w:t>
      </w:r>
    </w:p>
    <w:p w14:paraId="3AB9B645" w14:textId="39039D1E" w:rsidR="00701DDF" w:rsidRDefault="003F1F2B">
      <w:pPr>
        <w:pStyle w:val="34"/>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cs="方正仿宋简体" w:hint="eastAsia"/>
          <w:sz w:val="21"/>
          <w:szCs w:val="21"/>
        </w:rPr>
        <w:t>6、</w:t>
      </w:r>
      <w:r>
        <w:rPr>
          <w:rFonts w:ascii="宋体" w:eastAsia="宋体" w:hAnsi="宋体" w:hint="eastAsia"/>
          <w:sz w:val="21"/>
          <w:szCs w:val="21"/>
        </w:rPr>
        <w:t>由于基金管理人对外公布的任何基金净值数据错误，导致基金财产或基金份额持有人的实际损失，基金管理人应对此承担责任。若基金托管人计算的净值数据正确，则基金托管人对该损失不承担责任；若基金托管人计算的净值数据也不正确，则基金托管人也应承担部分未正确履行复核义务的责任。如果上述错误造成了基金财产或基金份额持有人的不当得利，且基金管理人及基金托管人已各自承担了赔偿责任，则基金管理人应负责向不当得利之主体主张返还不当得利。如果返还金额不足以弥补基金管理人和基金托管人已承担的赔偿金额，则双方按照各自赔偿金额的比例对返还金额进行分配。</w:t>
      </w:r>
    </w:p>
    <w:p w14:paraId="01924458" w14:textId="1B2CB239" w:rsidR="00701DDF" w:rsidRDefault="003F1F2B">
      <w:pPr>
        <w:pStyle w:val="34"/>
        <w:spacing w:before="100" w:beforeAutospacing="1" w:after="100" w:afterAutospacing="1" w:line="400" w:lineRule="exact"/>
        <w:ind w:left="0" w:right="26" w:firstLine="403"/>
        <w:rPr>
          <w:rFonts w:ascii="宋体" w:eastAsia="宋体" w:hAnsi="宋体" w:cs="方正仿宋简体"/>
          <w:sz w:val="21"/>
          <w:szCs w:val="21"/>
        </w:rPr>
      </w:pPr>
      <w:r>
        <w:rPr>
          <w:rFonts w:ascii="宋体" w:eastAsia="宋体" w:hAnsi="宋体" w:cs="方正仿宋简体" w:hint="eastAsia"/>
          <w:sz w:val="21"/>
          <w:szCs w:val="21"/>
        </w:rPr>
        <w:t>7、由于不可抗力，或证券交易所、登记结算机构及存款银行等第三方机构发送的数据错误、遗漏，或国家会计政策变更、市场规则变更等非基金管理人与基金托管人原因，基金管理人和基金托管人虽然已经采取必要、适当、合理的措施进行检查，但未能发现该错误、遗漏的，由此造成的基金资产估值错误，基金管理人和基金托管人免除赔偿责任。但基金管理人、基金托管人应当积极采取必要的措施减轻或消除由此造成的影响</w:t>
      </w:r>
      <w:r>
        <w:rPr>
          <w:rFonts w:ascii="宋体" w:eastAsia="宋体" w:hAnsi="宋体"/>
          <w:sz w:val="21"/>
          <w:szCs w:val="21"/>
        </w:rPr>
        <w:t>。</w:t>
      </w:r>
    </w:p>
    <w:p w14:paraId="63549E30"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8、如果基金托管人的复核结果与基金管理人的计算结果存在差异，且双方经协商未能达成一致，基金管理人可以按照其对各类基金份额净值的计算结果对外予以公布，基金托管人可以将相关情况报中国证监会备案。</w:t>
      </w:r>
    </w:p>
    <w:p w14:paraId="40457673"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（二）基金会计核算</w:t>
      </w:r>
    </w:p>
    <w:p w14:paraId="43DDE501"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lastRenderedPageBreak/>
        <w:t>1、基金账册的建立</w:t>
      </w:r>
    </w:p>
    <w:p w14:paraId="32A73F4A"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5533D140"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2、会计数据和财务指标的核对</w:t>
      </w:r>
    </w:p>
    <w:p w14:paraId="3FEF5626"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基金管理人和基金托管人应定期就会计数据和财务指标进行核对。如发现存在不符，双方应及时查明原因并纠正。</w:t>
      </w:r>
    </w:p>
    <w:p w14:paraId="5BC8B7BC"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3、基金财务报表和定期报告的编制和复核</w:t>
      </w:r>
    </w:p>
    <w:p w14:paraId="3E3D8F86" w14:textId="106B76F0"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基金财务报表由基金管理人和基金托管人每月分别独立编制。月度报表的编制，应于每月终了后</w:t>
      </w:r>
      <w:r>
        <w:rPr>
          <w:rFonts w:ascii="宋体" w:eastAsia="宋体" w:hAnsi="宋体"/>
          <w:sz w:val="21"/>
          <w:szCs w:val="21"/>
        </w:rPr>
        <w:t>5</w:t>
      </w:r>
      <w:r>
        <w:rPr>
          <w:rFonts w:ascii="宋体" w:eastAsia="宋体" w:hAnsi="宋体" w:hint="eastAsia"/>
          <w:sz w:val="21"/>
          <w:szCs w:val="21"/>
        </w:rPr>
        <w:t>个工作日内完成。《基金合同》生效后，招募说明书的信息发生重大变更的，基金管理人应当在三个工作日内，更新招募说明书并登载在规定网站上；招募说明书其他信息发生变更的，基金管理人至少每年更新一次；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招募说明书和基金产品资料概要。基金管理人应当在每年结束之日起三个月内，编制完成基金年度报告，将年度报告登载在规定网站上，并将年度报告提示性公告登载在规定报刊上。基金管理人应当在上半年结束之日起两个月内，编制完成基金中期报告，将中期报告登载在规定网站上，并将中期报告提示性公告登载在规定报刊上。基金管理人应当在季度结束之日起15个工作日内，编制完成基金季度报告，将季度报告登载在规定网站上，并将季度报告提示性公告登载在规定报刊上。《基金合同》生效不足两个月的，基金管理人可以不编制当期季度报告、中期报告或者年度报告。</w:t>
      </w:r>
    </w:p>
    <w:p w14:paraId="5AB7D48E" w14:textId="05BE867F" w:rsidR="00701DDF" w:rsidRDefault="003F1F2B" w:rsidP="003C4531">
      <w:pPr>
        <w:pStyle w:val="34"/>
        <w:spacing w:before="100" w:beforeAutospacing="1" w:after="100" w:afterAutospacing="1" w:line="400" w:lineRule="exact"/>
        <w:ind w:left="0" w:right="28" w:firstLine="420"/>
        <w:rPr>
          <w:rFonts w:ascii="宋体" w:eastAsia="宋体" w:hAnsi="宋体"/>
          <w:sz w:val="21"/>
          <w:szCs w:val="21"/>
        </w:rPr>
      </w:pPr>
      <w:r>
        <w:rPr>
          <w:rFonts w:ascii="宋体" w:eastAsia="宋体" w:hAnsi="宋体"/>
          <w:sz w:val="21"/>
          <w:szCs w:val="21"/>
        </w:rPr>
        <w:t>基金管理人应及时完成报表和报告的编制，将有关报表和报告提供</w:t>
      </w:r>
      <w:r>
        <w:rPr>
          <w:rFonts w:ascii="宋体" w:eastAsia="宋体" w:hAnsi="宋体" w:hint="eastAsia"/>
          <w:sz w:val="21"/>
          <w:szCs w:val="21"/>
        </w:rPr>
        <w:t>给</w:t>
      </w:r>
      <w:r>
        <w:rPr>
          <w:rFonts w:ascii="宋体" w:eastAsia="宋体" w:hAnsi="宋体"/>
          <w:sz w:val="21"/>
          <w:szCs w:val="21"/>
        </w:rPr>
        <w:t>基金托管人复核</w:t>
      </w:r>
      <w:r>
        <w:rPr>
          <w:rFonts w:ascii="宋体" w:eastAsia="宋体" w:hAnsi="宋体" w:hint="eastAsia"/>
          <w:sz w:val="21"/>
          <w:szCs w:val="21"/>
        </w:rPr>
        <w:t>，基金托管人在收到后应及时进行复核，并将复核结果书面通知基金管理人</w:t>
      </w:r>
      <w:r>
        <w:rPr>
          <w:rFonts w:ascii="宋体" w:eastAsia="宋体" w:hAnsi="宋体"/>
          <w:sz w:val="21"/>
          <w:szCs w:val="21"/>
        </w:rPr>
        <w:t>；基金管理人应留足充分的时间，便于基金托管人复核相关报表及报告。</w:t>
      </w:r>
      <w:r>
        <w:rPr>
          <w:rFonts w:ascii="宋体" w:eastAsia="宋体" w:hAnsi="宋体" w:hint="eastAsia"/>
          <w:sz w:val="21"/>
          <w:szCs w:val="21"/>
        </w:rPr>
        <w:t>基金托管人在复核过程中，发现双方的报表或报告存在不符时，基金管理人和基金托管人应共同查明原因，进行调整，调整以双方认可的账务处理方式为准；若双方无法达成一致以基金管理人的账务处理为准。核对无误后，基金托管人在基金管理人提供的报表或报告上加盖托管业务部门公章或者出具加盖托管业务部门公章的复核意见书或进行电子确认，双方各自留存一份。如果</w:t>
      </w:r>
      <w:r>
        <w:rPr>
          <w:rFonts w:ascii="宋体" w:eastAsia="宋体" w:hAnsi="宋体" w:hint="eastAsia"/>
          <w:sz w:val="21"/>
          <w:szCs w:val="21"/>
        </w:rPr>
        <w:lastRenderedPageBreak/>
        <w:t>基金管理人与基金托管人不能于应当发布公告之日之前就相关报表或报告达成一致，基金管理人有权按照其编制的报表或报告对外发布公告，基金托管人有权就相关情况报中国证监会备案。</w:t>
      </w:r>
    </w:p>
    <w:p w14:paraId="5962335C" w14:textId="77777777" w:rsidR="00701DDF" w:rsidRDefault="00701DDF">
      <w:pPr>
        <w:pStyle w:val="34"/>
        <w:spacing w:before="100" w:beforeAutospacing="1" w:after="100" w:afterAutospacing="1" w:line="400" w:lineRule="exact"/>
        <w:ind w:left="0" w:right="26" w:firstLine="403"/>
        <w:rPr>
          <w:rFonts w:ascii="宋体" w:eastAsia="宋体" w:hAnsi="宋体"/>
          <w:sz w:val="21"/>
          <w:szCs w:val="21"/>
        </w:rPr>
      </w:pPr>
    </w:p>
    <w:p w14:paraId="27594037" w14:textId="77777777" w:rsidR="00701DDF" w:rsidRDefault="003F1F2B">
      <w:pPr>
        <w:pStyle w:val="1"/>
        <w:spacing w:before="100" w:beforeAutospacing="1" w:after="100" w:afterAutospacing="1" w:line="400" w:lineRule="exact"/>
        <w:ind w:firstLine="422"/>
        <w:rPr>
          <w:rFonts w:ascii="宋体" w:hAnsi="宋体"/>
          <w:sz w:val="21"/>
          <w:szCs w:val="21"/>
        </w:rPr>
      </w:pPr>
      <w:bookmarkStart w:id="19" w:name="_Toc116900104"/>
      <w:r>
        <w:rPr>
          <w:rFonts w:ascii="宋体" w:hAnsi="宋体" w:hint="eastAsia"/>
          <w:sz w:val="21"/>
          <w:szCs w:val="21"/>
        </w:rPr>
        <w:t>九、基金收益分配</w:t>
      </w:r>
      <w:bookmarkEnd w:id="19"/>
    </w:p>
    <w:p w14:paraId="2601581F"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（一）基金收益分配的依据</w:t>
      </w:r>
    </w:p>
    <w:p w14:paraId="1C9E6472" w14:textId="13E5E1CA"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1、基金收益分配是指将该基金可供分配利润根据持有该基金份额的数量按比例向该基金份额持有人进行分配。基金可供分配利润指截至收益分配基准日基金未分配利润与未分配利润中已实现收益的孰低数。</w:t>
      </w:r>
    </w:p>
    <w:p w14:paraId="03803253"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2、收益分配应该符合《基金合同》关于收益分配原则的规定。</w:t>
      </w:r>
    </w:p>
    <w:p w14:paraId="68174383"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（二）基金收益分配的时间和程序</w:t>
      </w:r>
    </w:p>
    <w:p w14:paraId="5F85DC9E"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1、基金收益分配方案由基金管理人根据《基金合同》的相关规定制定。</w:t>
      </w:r>
    </w:p>
    <w:p w14:paraId="2D6D860C"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2、基金管理人应于收益分配日之前将其制定的收益分配方案提交基金托管人复核，基金托管人应于收到收益分配方案后完成对收益分配方案的复核，复核通过后基金管理人应当将收益分配方案及时公告；如果基金管理人与基金托管人不能于收益分配日之前就收益分配方案达成一致，基金托管人有义务将收益分配方案及相关情况的说明提交中国证监会备案并书面通知基金管理人，在上述文件提交完毕之日起基金管理人有权利对外公告其拟订的收益分配方案，且基金托管人有义务协助基金管理人实施该收益分配方案，但有证据证明该方案违反法律法规及《基金合同》的除外。</w:t>
      </w:r>
    </w:p>
    <w:p w14:paraId="5DBC3C5F" w14:textId="2CF74295"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3、基金收益分配可采用现金红利的方式，或者将现金红利自动转为相应类别的基金份额进行再投资（下称“再投资方式”），投资者可以选择两种方式中的一种；如果投资者没有明示选择，则视为选择现金红利的方式处理。</w:t>
      </w:r>
    </w:p>
    <w:p w14:paraId="1964E354" w14:textId="77777777"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hint="eastAsia"/>
          <w:sz w:val="21"/>
          <w:szCs w:val="21"/>
        </w:rPr>
        <w:t>4、对于收益分配方式为红利再投资的基金份额，每份基金份额（即原份额）红利再投资所获得的基金份额的持有期限，按原份额的持有期限计算，即红利再投资所得份额与原份额最短持有期到期日相同。</w:t>
      </w:r>
    </w:p>
    <w:p w14:paraId="4E71C6AF" w14:textId="24C21F34"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sz w:val="21"/>
          <w:szCs w:val="21"/>
        </w:rPr>
        <w:t>5</w:t>
      </w:r>
      <w:r>
        <w:rPr>
          <w:rFonts w:ascii="宋体" w:eastAsia="宋体" w:hAnsi="宋体" w:hint="eastAsia"/>
          <w:sz w:val="21"/>
          <w:szCs w:val="21"/>
        </w:rPr>
        <w:t>、基金托管人根据基金管理人的收益分配方案和提供的现金红利金额的数据，在红利发放日将分红资金划入基金管理人指定账户。如果投资者选择转购基金份额，基金管理人</w:t>
      </w:r>
      <w:r>
        <w:rPr>
          <w:rFonts w:ascii="宋体" w:eastAsia="宋体" w:hAnsi="宋体" w:hint="eastAsia"/>
          <w:sz w:val="21"/>
          <w:szCs w:val="21"/>
        </w:rPr>
        <w:lastRenderedPageBreak/>
        <w:t>和基金托管人则应当进行红利再投资的账务处理。</w:t>
      </w:r>
    </w:p>
    <w:p w14:paraId="7DE0181D" w14:textId="4633D5E6" w:rsidR="00701DDF" w:rsidRDefault="003F1F2B">
      <w:pPr>
        <w:pStyle w:val="34"/>
        <w:spacing w:before="100" w:beforeAutospacing="1" w:after="100" w:afterAutospacing="1" w:line="400" w:lineRule="exact"/>
        <w:ind w:left="0" w:right="26" w:firstLine="403"/>
        <w:rPr>
          <w:rFonts w:ascii="宋体" w:eastAsia="宋体" w:hAnsi="宋体"/>
          <w:sz w:val="21"/>
          <w:szCs w:val="21"/>
        </w:rPr>
      </w:pPr>
      <w:r>
        <w:rPr>
          <w:rFonts w:ascii="宋体" w:eastAsia="宋体" w:hAnsi="宋体"/>
          <w:sz w:val="21"/>
          <w:szCs w:val="21"/>
        </w:rPr>
        <w:t>6</w:t>
      </w:r>
      <w:r>
        <w:rPr>
          <w:rFonts w:ascii="宋体" w:eastAsia="宋体" w:hAnsi="宋体" w:hint="eastAsia"/>
          <w:sz w:val="21"/>
          <w:szCs w:val="21"/>
        </w:rPr>
        <w:t>、本基金实施侧袋机制的，侧袋账户不进行收益分配。</w:t>
      </w:r>
    </w:p>
    <w:p w14:paraId="190A09FF" w14:textId="77777777" w:rsidR="00701DDF" w:rsidRDefault="00701DDF">
      <w:pPr>
        <w:pStyle w:val="34"/>
        <w:spacing w:before="100" w:beforeAutospacing="1" w:after="100" w:afterAutospacing="1" w:line="400" w:lineRule="exact"/>
        <w:ind w:left="0" w:right="26" w:firstLine="403"/>
        <w:rPr>
          <w:rFonts w:ascii="宋体" w:eastAsia="宋体" w:hAnsi="宋体"/>
          <w:sz w:val="21"/>
          <w:szCs w:val="21"/>
        </w:rPr>
      </w:pPr>
    </w:p>
    <w:p w14:paraId="312E400C" w14:textId="77777777" w:rsidR="00701DDF" w:rsidRDefault="003F1F2B">
      <w:pPr>
        <w:pStyle w:val="1"/>
        <w:spacing w:before="100" w:beforeAutospacing="1" w:after="100" w:afterAutospacing="1" w:line="400" w:lineRule="exact"/>
        <w:ind w:firstLine="422"/>
        <w:rPr>
          <w:rFonts w:ascii="宋体" w:hAnsi="宋体"/>
          <w:sz w:val="21"/>
          <w:szCs w:val="21"/>
        </w:rPr>
      </w:pPr>
      <w:bookmarkStart w:id="20" w:name="_Toc116900105"/>
      <w:r>
        <w:rPr>
          <w:rFonts w:ascii="宋体" w:hAnsi="宋体" w:hint="eastAsia"/>
          <w:sz w:val="21"/>
          <w:szCs w:val="21"/>
        </w:rPr>
        <w:t>十、基金信息披露</w:t>
      </w:r>
      <w:bookmarkEnd w:id="20"/>
    </w:p>
    <w:p w14:paraId="565BDFF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（一）保密义务</w:t>
      </w:r>
    </w:p>
    <w:p w14:paraId="1DAC6EF0"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除按照法律法规中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7B289CF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1、非因基金管理人和基金托管人的原因导致保密信息被披露、泄露或公开；</w:t>
      </w:r>
    </w:p>
    <w:p w14:paraId="601B91C4"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2、基金管理人和基金托管人为遵守和服从法院判决或裁定、仲裁裁决或中国证监会等监管机构的命令、决定所做出的信息披露或公开；</w:t>
      </w:r>
    </w:p>
    <w:p w14:paraId="1CB3EFC9"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3、因审计、法律等专业服务向外部专业顾问提供信息，并要求专业顾问遵守保密义务。</w:t>
      </w:r>
    </w:p>
    <w:p w14:paraId="3E02B4DB"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（二）基金管理人和基金托管人在信息披露中的职责和信息披露程序</w:t>
      </w:r>
    </w:p>
    <w:p w14:paraId="08E1104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管理人和基金托管人应根据相关法律法规、《基金合同》的规定各自承担相应的信息披露职责。基金管理人和基金托管人负有积极配合、互相督促、彼此监督，保证其履行按照法定方式和时限披露的义务。</w:t>
      </w:r>
    </w:p>
    <w:p w14:paraId="3D3B0C2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本基金信息披露的所有文件，包括《基金合同》和本协议规定的定期报告、临时报告、基金产品资料概要、基金净值信息及其他必要的公告文件，由基金管理人和基金托管人按照有关法律法规的规定予以公布。</w:t>
      </w:r>
    </w:p>
    <w:p w14:paraId="1D4EE8A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3、基金年度报告中的财务会计报告必须经符合《中华人民共和国证券法》规定的会计师事务所审计。</w:t>
      </w:r>
    </w:p>
    <w:p w14:paraId="773FFB06" w14:textId="4CB91BB8"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4、本基金的信息披露，应通过中国证监会规定的媒介进行；基金管理人、基金托管人可以根据需要在其他公共媒介披露信息，但是其他公共媒介不得早于规定媒介披露信息，</w:t>
      </w:r>
      <w:r>
        <w:rPr>
          <w:rFonts w:ascii="宋体" w:eastAsia="宋体" w:hint="eastAsia"/>
          <w:color w:val="auto"/>
          <w:sz w:val="21"/>
          <w:szCs w:val="21"/>
        </w:rPr>
        <w:lastRenderedPageBreak/>
        <w:t>并且在不同媒介上披露同一信息的内容应当一致。</w:t>
      </w:r>
    </w:p>
    <w:p w14:paraId="6C8E036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5、信息文本的存放与备查</w:t>
      </w:r>
    </w:p>
    <w:p w14:paraId="1F254164" w14:textId="0648818C"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依法必须</w:t>
      </w:r>
      <w:r>
        <w:rPr>
          <w:rFonts w:ascii="宋体" w:eastAsia="宋体"/>
          <w:color w:val="auto"/>
          <w:sz w:val="21"/>
          <w:szCs w:val="21"/>
        </w:rPr>
        <w:t>披露的信息发布后，基金管理人、基金托管人应当按照相关法律法规</w:t>
      </w:r>
      <w:r>
        <w:rPr>
          <w:rFonts w:ascii="宋体" w:eastAsia="宋体" w:hint="eastAsia"/>
          <w:color w:val="auto"/>
          <w:sz w:val="21"/>
          <w:szCs w:val="21"/>
        </w:rPr>
        <w:t>规定</w:t>
      </w:r>
      <w:r>
        <w:rPr>
          <w:rFonts w:ascii="宋体" w:eastAsia="宋体"/>
          <w:color w:val="auto"/>
          <w:sz w:val="21"/>
          <w:szCs w:val="21"/>
        </w:rPr>
        <w:t>将信息</w:t>
      </w:r>
      <w:r>
        <w:rPr>
          <w:rFonts w:ascii="宋体" w:eastAsia="宋体" w:hint="eastAsia"/>
          <w:color w:val="auto"/>
          <w:sz w:val="21"/>
          <w:szCs w:val="21"/>
        </w:rPr>
        <w:t>置备于公司</w:t>
      </w:r>
      <w:r>
        <w:rPr>
          <w:rFonts w:ascii="宋体" w:eastAsia="宋体"/>
          <w:color w:val="auto"/>
          <w:sz w:val="21"/>
          <w:szCs w:val="21"/>
        </w:rPr>
        <w:t>住所，供社会公众查阅、复制。</w:t>
      </w:r>
    </w:p>
    <w:p w14:paraId="734A4B01"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基金管理人和基金托管人应保证文本的内容与所公告的内容完全一致。</w:t>
      </w:r>
    </w:p>
    <w:p w14:paraId="042C4F9E"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hint="eastAsia"/>
          <w:szCs w:val="21"/>
        </w:rPr>
        <w:t>6、</w:t>
      </w:r>
      <w:r>
        <w:rPr>
          <w:rFonts w:ascii="宋体" w:hAnsi="宋体" w:cs="方正仿宋简体" w:hint="eastAsia"/>
          <w:szCs w:val="21"/>
        </w:rPr>
        <w:t>对于因不可抗力等原因导致基金信息的暂停或延迟披露的（如暂停披露基金净值信息），基金管理人应及时向中国证监会报告，并与基金托管人协商采取补救措施。不可抗力等情形消失后，基金管理人和基金托管人应及时恢复办理信息披露。</w:t>
      </w:r>
    </w:p>
    <w:p w14:paraId="32F70364"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szCs w:val="21"/>
        </w:rPr>
        <w:t>7</w:t>
      </w:r>
      <w:r>
        <w:rPr>
          <w:rFonts w:ascii="宋体" w:hAnsi="宋体" w:cs="方正仿宋简体" w:hint="eastAsia"/>
          <w:szCs w:val="21"/>
        </w:rPr>
        <w:t>、本基金实施侧袋机制的，相关信息披露义务人应当根据法律法规、基金合同的规定进行信息披露。</w:t>
      </w:r>
    </w:p>
    <w:p w14:paraId="331C87CE" w14:textId="77777777" w:rsidR="00701DDF" w:rsidRDefault="003F1F2B">
      <w:pPr>
        <w:pStyle w:val="af0"/>
        <w:spacing w:before="100" w:beforeAutospacing="1" w:after="100" w:afterAutospacing="1"/>
        <w:ind w:firstLine="420"/>
        <w:rPr>
          <w:rFonts w:ascii="宋体" w:eastAsia="宋体" w:cs="方正仿宋简体"/>
          <w:color w:val="auto"/>
          <w:sz w:val="21"/>
          <w:szCs w:val="21"/>
        </w:rPr>
      </w:pPr>
      <w:r>
        <w:rPr>
          <w:rFonts w:ascii="宋体" w:eastAsia="宋体" w:cs="方正仿宋简体" w:hint="eastAsia"/>
          <w:color w:val="auto"/>
          <w:sz w:val="21"/>
          <w:szCs w:val="21"/>
        </w:rPr>
        <w:t>（三）基金托管人报告</w:t>
      </w:r>
    </w:p>
    <w:p w14:paraId="6892B25D" w14:textId="77777777" w:rsidR="00701DDF" w:rsidRDefault="003F1F2B">
      <w:pPr>
        <w:pStyle w:val="af0"/>
        <w:spacing w:before="100" w:beforeAutospacing="1" w:after="100" w:afterAutospacing="1"/>
        <w:ind w:firstLine="420"/>
        <w:rPr>
          <w:rFonts w:ascii="宋体" w:eastAsia="宋体" w:cs="方正仿宋简体"/>
          <w:color w:val="auto"/>
          <w:sz w:val="21"/>
          <w:szCs w:val="21"/>
        </w:rPr>
      </w:pPr>
      <w:r>
        <w:rPr>
          <w:rFonts w:ascii="宋体" w:eastAsia="宋体" w:cs="方正仿宋简体" w:hint="eastAsia"/>
          <w:color w:val="auto"/>
          <w:sz w:val="21"/>
          <w:szCs w:val="21"/>
        </w:rPr>
        <w:t>基金托管人应按《基金法》、《运作办法》、《信息披露办法》和其他有关法律法规的规定于每个上半年度结束后两个月内、每个会计年度结束后三个月内在基金中期报告及年度报告中分别出具托管人报告。</w:t>
      </w:r>
    </w:p>
    <w:p w14:paraId="5ED19364" w14:textId="77777777" w:rsidR="00701DDF" w:rsidRDefault="00701DDF">
      <w:pPr>
        <w:pStyle w:val="af0"/>
        <w:spacing w:before="100" w:beforeAutospacing="1" w:after="100" w:afterAutospacing="1"/>
        <w:ind w:firstLine="403"/>
        <w:rPr>
          <w:rFonts w:ascii="宋体" w:eastAsia="宋体"/>
          <w:color w:val="auto"/>
          <w:sz w:val="21"/>
          <w:szCs w:val="21"/>
        </w:rPr>
      </w:pPr>
    </w:p>
    <w:p w14:paraId="29105BF7" w14:textId="77777777" w:rsidR="00701DDF" w:rsidRDefault="003F1F2B">
      <w:pPr>
        <w:pStyle w:val="1"/>
        <w:spacing w:before="100" w:beforeAutospacing="1" w:after="100" w:afterAutospacing="1" w:line="400" w:lineRule="exact"/>
        <w:ind w:firstLine="422"/>
        <w:rPr>
          <w:rFonts w:ascii="宋体" w:hAnsi="宋体"/>
          <w:sz w:val="21"/>
          <w:szCs w:val="21"/>
        </w:rPr>
      </w:pPr>
      <w:bookmarkStart w:id="21" w:name="_Toc116900106"/>
      <w:r>
        <w:rPr>
          <w:rFonts w:ascii="宋体" w:hAnsi="宋体" w:hint="eastAsia"/>
          <w:sz w:val="21"/>
          <w:szCs w:val="21"/>
        </w:rPr>
        <w:t>十一、基金费用</w:t>
      </w:r>
    </w:p>
    <w:p w14:paraId="73A4D723" w14:textId="77777777" w:rsidR="00701DDF" w:rsidRDefault="003F1F2B">
      <w:pPr>
        <w:spacing w:before="100" w:beforeAutospacing="1" w:after="100" w:afterAutospacing="1" w:line="400" w:lineRule="exact"/>
        <w:ind w:right="26" w:firstLine="403"/>
        <w:rPr>
          <w:rFonts w:ascii="宋体" w:hAnsi="宋体"/>
          <w:szCs w:val="21"/>
        </w:rPr>
      </w:pPr>
      <w:r>
        <w:rPr>
          <w:rFonts w:ascii="宋体" w:hAnsi="宋体" w:hint="eastAsia"/>
          <w:szCs w:val="21"/>
        </w:rPr>
        <w:t>（一）基金管理人的管理费</w:t>
      </w:r>
    </w:p>
    <w:p w14:paraId="08B7945D" w14:textId="1E93FC51"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本基金对基金财产中持有的本基金管理人自身管理的基金部分不收取管理费。本基金的管理费按前一日基金资产净值扣除基金资产中本基金管理人管理的基金份额所对应资产净值后剩余部分（若为负数，则取0）的0.50%的年费率计提。管理费的计算方法如下：</w:t>
      </w:r>
    </w:p>
    <w:p w14:paraId="05C370EE" w14:textId="77777777"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H＝E×0.50%÷当年天数</w:t>
      </w:r>
    </w:p>
    <w:p w14:paraId="35D01654" w14:textId="77777777"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H为每日应计提的基金管理费</w:t>
      </w:r>
    </w:p>
    <w:p w14:paraId="0AF57361" w14:textId="77777777"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E为前一日的基金资产净值扣除基金资产中本基金管理人管理的基金份额所对应资产净值后剩余部分（若为负数，则取0）</w:t>
      </w:r>
    </w:p>
    <w:p w14:paraId="05580212" w14:textId="77777777"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lastRenderedPageBreak/>
        <w:t>基金管理费每日计提，逐日累计至每个月月末，按月支付。由基金托管人根据与基金管理人核对一致的财务数据，自动在次月初五个工作日内、按照指定的账户路径进行资金支付，基金管理人无需再</w:t>
      </w:r>
      <w:r>
        <w:rPr>
          <w:rFonts w:ascii="宋体" w:hAnsi="宋体" w:hint="eastAsia"/>
        </w:rPr>
        <w:t>出具</w:t>
      </w:r>
      <w:r>
        <w:rPr>
          <w:rFonts w:ascii="宋体" w:hAnsi="宋体" w:hint="eastAsia"/>
          <w:szCs w:val="21"/>
        </w:rPr>
        <w:t>资金划拨指令</w:t>
      </w:r>
      <w:r>
        <w:rPr>
          <w:rFonts w:ascii="宋体" w:hAnsi="宋体" w:hint="eastAsia"/>
        </w:rPr>
        <w:t>。若遇法定节假日、公休日或不可抗力等，支付日期顺延。</w:t>
      </w:r>
    </w:p>
    <w:p w14:paraId="1C541800" w14:textId="77777777" w:rsidR="00701DDF" w:rsidRDefault="003F1F2B">
      <w:pPr>
        <w:spacing w:before="100" w:beforeAutospacing="1" w:after="100" w:afterAutospacing="1" w:line="400" w:lineRule="exact"/>
        <w:ind w:firstLine="538"/>
        <w:rPr>
          <w:rFonts w:ascii="宋体"/>
        </w:rPr>
      </w:pPr>
      <w:r>
        <w:rPr>
          <w:rFonts w:ascii="宋体" w:hint="eastAsia"/>
        </w:rPr>
        <w:t>（二）基金托管人的托管费</w:t>
      </w:r>
    </w:p>
    <w:p w14:paraId="372A097B" w14:textId="01BBBBEC"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本基金对基金财产中持有的本基金托管人自身托管的基金部分不收取托管费。本基金的托管费按前一日基金资产净值扣除基金资产中本基金托管人托管的基金份额所对应资产净值后剩余部分（若为负数，则取0）的0.10%的年费率计提。托管费的计算方法如下：</w:t>
      </w:r>
    </w:p>
    <w:p w14:paraId="62BA91B8" w14:textId="77777777"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H＝E×0.10%÷当年天数</w:t>
      </w:r>
    </w:p>
    <w:p w14:paraId="2A75181C" w14:textId="77777777"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H为每日应计提的基金托管费</w:t>
      </w:r>
    </w:p>
    <w:p w14:paraId="692AC2F6" w14:textId="77777777" w:rsidR="00701DDF" w:rsidRDefault="003F1F2B" w:rsidP="003C4531">
      <w:pPr>
        <w:spacing w:before="100" w:beforeAutospacing="1" w:after="100" w:afterAutospacing="1" w:line="400" w:lineRule="exact"/>
        <w:ind w:firstLine="420"/>
        <w:rPr>
          <w:rFonts w:ascii="宋体" w:hAnsi="宋体"/>
          <w:szCs w:val="21"/>
        </w:rPr>
      </w:pPr>
      <w:r>
        <w:rPr>
          <w:rFonts w:ascii="宋体" w:hAnsi="宋体" w:hint="eastAsia"/>
          <w:szCs w:val="21"/>
        </w:rPr>
        <w:t>E为前一日的基金资产净值扣除基金资产中本基金托管人托管的基金份额所对应资产净值后剩余部分（若为负数，则取0）</w:t>
      </w:r>
    </w:p>
    <w:p w14:paraId="28863A93" w14:textId="77777777" w:rsidR="00701DDF" w:rsidRDefault="003F1F2B">
      <w:pPr>
        <w:spacing w:line="360" w:lineRule="auto"/>
        <w:ind w:firstLine="420"/>
        <w:rPr>
          <w:rFonts w:ascii="宋体"/>
          <w:szCs w:val="21"/>
        </w:rPr>
      </w:pPr>
      <w:r>
        <w:rPr>
          <w:rFonts w:ascii="宋体" w:hint="eastAsia"/>
          <w:szCs w:val="21"/>
        </w:rPr>
        <w:t>基金托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w:t>
      </w:r>
    </w:p>
    <w:p w14:paraId="4081DFC3" w14:textId="77777777" w:rsidR="00701DDF" w:rsidRDefault="003F1F2B" w:rsidP="003C4531">
      <w:pPr>
        <w:spacing w:before="100" w:beforeAutospacing="1" w:after="100" w:afterAutospacing="1" w:line="400" w:lineRule="exact"/>
        <w:ind w:firstLine="538"/>
        <w:rPr>
          <w:rFonts w:ascii="宋体"/>
        </w:rPr>
      </w:pPr>
      <w:r>
        <w:rPr>
          <w:rFonts w:ascii="宋体" w:hint="eastAsia"/>
        </w:rPr>
        <w:t>（三）C类基金份额的销售服务费</w:t>
      </w:r>
    </w:p>
    <w:p w14:paraId="517204D2" w14:textId="77777777" w:rsidR="00701DDF" w:rsidRDefault="003F1F2B">
      <w:pPr>
        <w:spacing w:line="360" w:lineRule="auto"/>
        <w:ind w:firstLine="420"/>
        <w:rPr>
          <w:rFonts w:ascii="宋体"/>
          <w:szCs w:val="21"/>
        </w:rPr>
      </w:pPr>
      <w:r>
        <w:rPr>
          <w:rFonts w:ascii="宋体" w:hint="eastAsia"/>
          <w:szCs w:val="21"/>
        </w:rPr>
        <w:t>本基金A类基金份额不收取销售服务费，C类基金份额的销售服务费按前一日C类基金份额资产净值的0.30%的年费率计提。销售服务费的计算方法如下：</w:t>
      </w:r>
    </w:p>
    <w:p w14:paraId="1E2FC2FC" w14:textId="77777777" w:rsidR="00701DDF" w:rsidRDefault="003F1F2B">
      <w:pPr>
        <w:spacing w:line="360" w:lineRule="auto"/>
        <w:ind w:firstLine="420"/>
        <w:rPr>
          <w:rFonts w:ascii="宋体"/>
          <w:szCs w:val="21"/>
        </w:rPr>
      </w:pPr>
      <w:r>
        <w:rPr>
          <w:rFonts w:ascii="宋体" w:hint="eastAsia"/>
          <w:szCs w:val="21"/>
        </w:rPr>
        <w:t>H＝E×0.30%÷当年天数</w:t>
      </w:r>
    </w:p>
    <w:p w14:paraId="2957F718" w14:textId="77777777" w:rsidR="00701DDF" w:rsidRDefault="003F1F2B">
      <w:pPr>
        <w:spacing w:line="360" w:lineRule="auto"/>
        <w:ind w:firstLine="420"/>
        <w:rPr>
          <w:rFonts w:ascii="宋体"/>
          <w:szCs w:val="21"/>
        </w:rPr>
      </w:pPr>
      <w:r>
        <w:rPr>
          <w:rFonts w:ascii="宋体" w:hint="eastAsia"/>
          <w:szCs w:val="21"/>
        </w:rPr>
        <w:t>H为C类基金份额每日应计提的销售服务费</w:t>
      </w:r>
    </w:p>
    <w:p w14:paraId="2EAF1A61" w14:textId="77777777" w:rsidR="00701DDF" w:rsidRDefault="003F1F2B">
      <w:pPr>
        <w:spacing w:line="360" w:lineRule="auto"/>
        <w:ind w:firstLine="420"/>
        <w:rPr>
          <w:rFonts w:ascii="宋体"/>
          <w:szCs w:val="21"/>
        </w:rPr>
      </w:pPr>
      <w:r>
        <w:rPr>
          <w:rFonts w:ascii="宋体" w:hint="eastAsia"/>
          <w:szCs w:val="21"/>
        </w:rPr>
        <w:t>E为C类基金份额前一日的基金资产净值</w:t>
      </w:r>
    </w:p>
    <w:p w14:paraId="0E93B9BB" w14:textId="77777777" w:rsidR="00701DDF" w:rsidRDefault="003F1F2B">
      <w:pPr>
        <w:spacing w:line="360" w:lineRule="auto"/>
        <w:ind w:firstLine="420"/>
        <w:rPr>
          <w:rFonts w:ascii="宋体"/>
          <w:szCs w:val="21"/>
        </w:rPr>
      </w:pPr>
      <w:r>
        <w:rPr>
          <w:rFonts w:ascii="宋体" w:hint="eastAsia"/>
          <w:szCs w:val="21"/>
        </w:rPr>
        <w:t>C类基金份额的销售服务费每日计提，逐日累计至每个月月末，按月支付。由基金托管人根据与基金管理人核对一致的财务数据，自动在次月初五个工作日内、按照指定的账户路径进行资金支付，基金管理人无需再出具资金划拨指令。若遇法定节假日、公休日或不可抗力等，支付日期顺延。</w:t>
      </w:r>
    </w:p>
    <w:p w14:paraId="54490124" w14:textId="1A185730" w:rsidR="00701DDF" w:rsidRDefault="003F1F2B">
      <w:pPr>
        <w:spacing w:line="360" w:lineRule="auto"/>
        <w:ind w:firstLine="538"/>
        <w:rPr>
          <w:rFonts w:ascii="宋体"/>
          <w:szCs w:val="21"/>
        </w:rPr>
      </w:pPr>
      <w:bookmarkStart w:id="22" w:name="OLE_LINK31"/>
      <w:bookmarkStart w:id="23" w:name="OLE_LINK30"/>
      <w:r>
        <w:rPr>
          <w:rFonts w:ascii="宋体" w:hint="eastAsia"/>
          <w:szCs w:val="21"/>
        </w:rPr>
        <w:t>（四</w:t>
      </w:r>
      <w:r>
        <w:rPr>
          <w:rFonts w:ascii="宋体" w:hint="eastAsia"/>
        </w:rPr>
        <w:t>）从基金财产中列支基金管理人的管理费、基金托管人的托管费、C类基金份额</w:t>
      </w:r>
      <w:r>
        <w:rPr>
          <w:rFonts w:ascii="宋体" w:hint="eastAsia"/>
        </w:rPr>
        <w:lastRenderedPageBreak/>
        <w:t>的销售服务费之外的其他基金费用，应当依据有关法律法规、《基金合同》的规定执行。</w:t>
      </w:r>
      <w:r>
        <w:rPr>
          <w:rFonts w:ascii="宋体" w:hint="eastAsia"/>
          <w:szCs w:val="21"/>
        </w:rPr>
        <w:t>本基金实施侧袋机制的，与侧袋账户有关的费用可以从侧袋账户中列支，但应待侧袋账户资产变现后方可列支，有关费用可酌情收取或减免，但不得收取管理费。</w:t>
      </w:r>
    </w:p>
    <w:p w14:paraId="0FBDA37D" w14:textId="77777777" w:rsidR="00701DDF" w:rsidRDefault="003F1F2B">
      <w:pPr>
        <w:spacing w:line="360" w:lineRule="auto"/>
        <w:ind w:firstLine="538"/>
        <w:rPr>
          <w:rFonts w:ascii="宋体"/>
        </w:rPr>
      </w:pPr>
      <w:r>
        <w:rPr>
          <w:rFonts w:ascii="宋体" w:hint="eastAsia"/>
        </w:rPr>
        <w:t>（五）基金管理人运用本基金财产申购自身管理的其他基金（ETF除外），应当通过直销渠道申购且不得收取申购费、赎回费（按照相关法规、基金招募说明书约定应当收取，并记入基金财产的赎回费用除外）、销售服务费等销售费用。</w:t>
      </w:r>
    </w:p>
    <w:p w14:paraId="7935AAFA" w14:textId="46C0C15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（六）对于</w:t>
      </w:r>
      <w:r>
        <w:rPr>
          <w:rFonts w:ascii="宋体" w:eastAsia="宋体" w:cs="方正仿宋简体" w:hint="eastAsia"/>
          <w:color w:val="auto"/>
          <w:sz w:val="21"/>
          <w:szCs w:val="21"/>
        </w:rPr>
        <w:t>违反法律法规、</w:t>
      </w:r>
      <w:r>
        <w:rPr>
          <w:rFonts w:ascii="宋体" w:eastAsia="宋体" w:hint="eastAsia"/>
          <w:color w:val="auto"/>
          <w:sz w:val="21"/>
          <w:szCs w:val="21"/>
        </w:rPr>
        <w:t>《基金合同》</w:t>
      </w:r>
      <w:r>
        <w:rPr>
          <w:rFonts w:ascii="宋体" w:eastAsia="宋体" w:cs="方正仿宋简体" w:hint="eastAsia"/>
          <w:color w:val="auto"/>
          <w:sz w:val="21"/>
          <w:szCs w:val="21"/>
        </w:rPr>
        <w:t>、本协议及其他有关规定</w:t>
      </w:r>
      <w:r>
        <w:rPr>
          <w:rFonts w:ascii="宋体" w:eastAsia="宋体" w:hint="eastAsia"/>
          <w:color w:val="auto"/>
          <w:sz w:val="21"/>
          <w:szCs w:val="21"/>
        </w:rPr>
        <w:t>（包括基金费用的计提方法、计提标准、支付方式等）的基金费用，不得从任何基金财产中列支。</w:t>
      </w:r>
    </w:p>
    <w:p w14:paraId="1AED3E58" w14:textId="24E99426"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（七）本基金支付给基金管理人、基金托管人的各项费用均为含税价格，具体税率适用中国税务机关的相关规定。</w:t>
      </w:r>
      <w:bookmarkEnd w:id="22"/>
      <w:bookmarkEnd w:id="23"/>
    </w:p>
    <w:p w14:paraId="1A7D83D2" w14:textId="77777777" w:rsidR="00701DDF" w:rsidRDefault="00701DDF">
      <w:pPr>
        <w:pStyle w:val="af0"/>
        <w:spacing w:before="100" w:beforeAutospacing="1" w:after="100" w:afterAutospacing="1"/>
        <w:ind w:firstLine="403"/>
        <w:rPr>
          <w:rFonts w:ascii="宋体" w:eastAsia="宋体"/>
          <w:color w:val="auto"/>
          <w:sz w:val="21"/>
          <w:szCs w:val="21"/>
        </w:rPr>
      </w:pPr>
    </w:p>
    <w:p w14:paraId="5C36DE90" w14:textId="77777777" w:rsidR="00701DDF" w:rsidRDefault="003F1F2B">
      <w:pPr>
        <w:pStyle w:val="1"/>
        <w:spacing w:before="100" w:beforeAutospacing="1" w:after="100" w:afterAutospacing="1" w:line="400" w:lineRule="exact"/>
        <w:ind w:firstLine="422"/>
        <w:rPr>
          <w:rFonts w:ascii="宋体" w:hAnsi="宋体"/>
          <w:sz w:val="21"/>
          <w:szCs w:val="21"/>
        </w:rPr>
      </w:pPr>
      <w:bookmarkStart w:id="24" w:name="_Toc116900107"/>
      <w:bookmarkEnd w:id="21"/>
      <w:r>
        <w:rPr>
          <w:rFonts w:ascii="宋体" w:hAnsi="宋体" w:hint="eastAsia"/>
          <w:sz w:val="21"/>
          <w:szCs w:val="21"/>
        </w:rPr>
        <w:t>十二、基金份额持有人名册的保管</w:t>
      </w:r>
    </w:p>
    <w:p w14:paraId="40051AE5" w14:textId="3E6E0132" w:rsidR="00701DDF" w:rsidRDefault="003F1F2B">
      <w:pPr>
        <w:spacing w:before="100" w:beforeAutospacing="1" w:after="100" w:afterAutospacing="1" w:line="400" w:lineRule="exact"/>
        <w:ind w:firstLine="420"/>
        <w:rPr>
          <w:rFonts w:ascii="宋体" w:hAnsi="宋体"/>
          <w:szCs w:val="21"/>
        </w:rPr>
      </w:pPr>
      <w:r>
        <w:rPr>
          <w:rFonts w:ascii="宋体" w:hint="eastAsia"/>
        </w:rPr>
        <w:t>基金份额持有人名册</w:t>
      </w:r>
      <w:r>
        <w:rPr>
          <w:rFonts w:ascii="宋体" w:hint="eastAsia"/>
          <w:b/>
          <w:szCs w:val="21"/>
        </w:rPr>
        <w:t>至少应</w:t>
      </w:r>
      <w:r>
        <w:rPr>
          <w:rFonts w:ascii="宋体" w:hint="eastAsia"/>
        </w:rPr>
        <w:t>包括基金份额持有人的名称和持有的基金份额。</w:t>
      </w:r>
      <w:r w:rsidRPr="003C4531">
        <w:rPr>
          <w:rFonts w:ascii="宋体" w:hint="eastAsia"/>
          <w:bCs/>
          <w:szCs w:val="21"/>
        </w:rPr>
        <w:t>基金份额持有人名册由</w:t>
      </w:r>
      <w:r>
        <w:rPr>
          <w:rFonts w:ascii="宋体" w:hint="eastAsia"/>
          <w:bCs/>
        </w:rPr>
        <w:t>基金登记</w:t>
      </w:r>
      <w:r w:rsidRPr="003C4531">
        <w:rPr>
          <w:rFonts w:ascii="宋体" w:hint="eastAsia"/>
          <w:bCs/>
          <w:szCs w:val="21"/>
        </w:rPr>
        <w:t>机构根据</w:t>
      </w:r>
      <w:r>
        <w:rPr>
          <w:rFonts w:ascii="宋体" w:hint="eastAsia"/>
          <w:bCs/>
        </w:rPr>
        <w:t>基金管理人</w:t>
      </w:r>
      <w:r w:rsidRPr="003C4531">
        <w:rPr>
          <w:rFonts w:ascii="宋体" w:hint="eastAsia"/>
          <w:bCs/>
          <w:szCs w:val="21"/>
        </w:rPr>
        <w:t>的指令编制和保管，基金管理人和</w:t>
      </w:r>
      <w:r>
        <w:rPr>
          <w:rFonts w:ascii="宋体" w:hint="eastAsia"/>
        </w:rPr>
        <w:t>基金托管人</w:t>
      </w:r>
      <w:r>
        <w:rPr>
          <w:rFonts w:ascii="宋体" w:hAnsi="宋体" w:hint="eastAsia"/>
          <w:szCs w:val="21"/>
        </w:rPr>
        <w:t>应分别保管基金份额持有人名册，基金登记机构保存期限不少于法律法规规定的期限。如不能妥善保管，则按相关法规承担责任。</w:t>
      </w:r>
    </w:p>
    <w:p w14:paraId="1EE5A234" w14:textId="77777777"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6A8C64A7" w14:textId="77777777" w:rsidR="00701DDF" w:rsidRDefault="003F1F2B">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十三、基金有关文件档案的保存</w:t>
      </w:r>
    </w:p>
    <w:p w14:paraId="26FE4A9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w:t>
      </w:r>
      <w:r>
        <w:rPr>
          <w:rFonts w:ascii="宋体" w:eastAsia="宋体" w:cs="方正仿宋简体" w:hint="eastAsia"/>
          <w:color w:val="auto"/>
          <w:sz w:val="21"/>
          <w:szCs w:val="21"/>
        </w:rPr>
        <w:t>基金管理人应保存基金财产管理业务活动的记录、账册、报表和其他相关资料，基金托管人应保存基金托管业务活动的记录、账册、报表和其他相关资料，保存期限不少于法律法规规定的期限。</w:t>
      </w:r>
    </w:p>
    <w:p w14:paraId="04812AC0" w14:textId="1D30BB26"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（二）基金管理人和基金托管人应按本协议的约定对各自保存的文件和档案履行保密义务。</w:t>
      </w:r>
    </w:p>
    <w:p w14:paraId="6A51C6B0" w14:textId="77777777" w:rsidR="00701DDF" w:rsidRDefault="00701DDF">
      <w:pPr>
        <w:spacing w:before="100" w:beforeAutospacing="1" w:after="100" w:afterAutospacing="1" w:line="400" w:lineRule="exact"/>
        <w:rPr>
          <w:rFonts w:ascii="宋体" w:hAnsi="宋体"/>
          <w:szCs w:val="21"/>
        </w:rPr>
      </w:pPr>
    </w:p>
    <w:p w14:paraId="5E403DF4" w14:textId="77777777" w:rsidR="00701DDF" w:rsidRDefault="003F1F2B">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十四、</w:t>
      </w:r>
      <w:bookmarkStart w:id="25" w:name="_Toc116900108"/>
      <w:bookmarkEnd w:id="24"/>
      <w:r>
        <w:rPr>
          <w:rFonts w:ascii="宋体" w:hAnsi="宋体" w:hint="eastAsia"/>
          <w:sz w:val="21"/>
          <w:szCs w:val="21"/>
        </w:rPr>
        <w:t>基金托管人和基金管理人的更换</w:t>
      </w:r>
      <w:bookmarkEnd w:id="25"/>
      <w:r>
        <w:rPr>
          <w:rFonts w:ascii="宋体" w:hAnsi="宋体" w:hint="eastAsia"/>
          <w:sz w:val="21"/>
          <w:szCs w:val="21"/>
        </w:rPr>
        <w:t xml:space="preserve"> </w:t>
      </w:r>
    </w:p>
    <w:p w14:paraId="6195A8AF" w14:textId="77777777"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t>（一）</w:t>
      </w:r>
      <w:r>
        <w:rPr>
          <w:rFonts w:ascii="宋体" w:hAnsi="宋体"/>
          <w:szCs w:val="21"/>
        </w:rPr>
        <w:t>基金管理人职责终止</w:t>
      </w:r>
      <w:r>
        <w:rPr>
          <w:rFonts w:ascii="宋体" w:hAnsi="宋体" w:hint="eastAsia"/>
          <w:szCs w:val="21"/>
        </w:rPr>
        <w:t>后</w:t>
      </w:r>
      <w:r>
        <w:rPr>
          <w:rFonts w:ascii="宋体" w:hAnsi="宋体"/>
          <w:szCs w:val="21"/>
        </w:rPr>
        <w:t>，</w:t>
      </w:r>
      <w:r>
        <w:rPr>
          <w:rFonts w:ascii="宋体" w:hAnsi="宋体" w:hint="eastAsia"/>
          <w:szCs w:val="21"/>
        </w:rPr>
        <w:t>仍</w:t>
      </w:r>
      <w:r>
        <w:rPr>
          <w:rFonts w:ascii="宋体" w:hAnsi="宋体"/>
          <w:szCs w:val="21"/>
        </w:rPr>
        <w:t>应妥善保管基金管理业务资料，</w:t>
      </w:r>
      <w:r>
        <w:rPr>
          <w:rFonts w:ascii="宋体" w:hAnsi="宋体" w:hint="eastAsia"/>
          <w:szCs w:val="21"/>
        </w:rPr>
        <w:t>并与新任基金管理人或临时基金管理人</w:t>
      </w:r>
      <w:r>
        <w:rPr>
          <w:rFonts w:ascii="宋体" w:hAnsi="宋体"/>
          <w:szCs w:val="21"/>
        </w:rPr>
        <w:t>及时办理基金管理业务的移交手续。</w:t>
      </w:r>
      <w:r>
        <w:rPr>
          <w:rFonts w:ascii="宋体" w:hAnsi="宋体" w:hint="eastAsia"/>
          <w:szCs w:val="21"/>
        </w:rPr>
        <w:t>基金托管人应给予积极配合，并与新任基金管理人或临时基金管理人核对基金资产总值和净值。</w:t>
      </w:r>
    </w:p>
    <w:p w14:paraId="457522C2" w14:textId="77777777"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t>（二）</w:t>
      </w:r>
      <w:r>
        <w:rPr>
          <w:rFonts w:ascii="宋体" w:hAnsi="宋体"/>
          <w:szCs w:val="21"/>
        </w:rPr>
        <w:t>基金托管人职责终止</w:t>
      </w:r>
      <w:r>
        <w:rPr>
          <w:rFonts w:ascii="宋体" w:hAnsi="宋体" w:hint="eastAsia"/>
          <w:szCs w:val="21"/>
        </w:rPr>
        <w:t>后</w:t>
      </w:r>
      <w:r>
        <w:rPr>
          <w:rFonts w:ascii="宋体" w:hAnsi="宋体"/>
          <w:szCs w:val="21"/>
        </w:rPr>
        <w:t>，</w:t>
      </w:r>
      <w:r>
        <w:rPr>
          <w:rFonts w:ascii="宋体" w:hAnsi="宋体" w:hint="eastAsia"/>
          <w:szCs w:val="21"/>
        </w:rPr>
        <w:t>仍</w:t>
      </w:r>
      <w:r>
        <w:rPr>
          <w:rFonts w:ascii="宋体" w:hAnsi="宋体"/>
          <w:szCs w:val="21"/>
        </w:rPr>
        <w:t>应妥善保管基金财产和基金托管业务资料，</w:t>
      </w:r>
      <w:r>
        <w:rPr>
          <w:rFonts w:ascii="宋体" w:hAnsi="宋体" w:hint="eastAsia"/>
          <w:szCs w:val="21"/>
        </w:rPr>
        <w:t>并与新任基金托管人或临时基金托管人</w:t>
      </w:r>
      <w:r>
        <w:rPr>
          <w:rFonts w:ascii="宋体" w:hAnsi="宋体"/>
          <w:szCs w:val="21"/>
        </w:rPr>
        <w:t>及时办理基金财产和基金托管业务的移交手续。</w:t>
      </w:r>
      <w:r>
        <w:rPr>
          <w:rFonts w:ascii="宋体" w:hAnsi="宋体" w:hint="eastAsia"/>
          <w:szCs w:val="21"/>
        </w:rPr>
        <w:t>基金管理人应给予积极配合，并与新任基金托管人或临时基金托管人核对基金资产总值和净值。</w:t>
      </w:r>
    </w:p>
    <w:p w14:paraId="39C33682" w14:textId="77777777"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t>（三）其他事宜见《基金合同》的相关约定。</w:t>
      </w:r>
    </w:p>
    <w:p w14:paraId="110EDE63" w14:textId="77777777" w:rsidR="00701DDF" w:rsidRDefault="00701DDF">
      <w:pPr>
        <w:spacing w:before="100" w:beforeAutospacing="1" w:after="100" w:afterAutospacing="1" w:line="400" w:lineRule="exact"/>
        <w:ind w:firstLine="540"/>
        <w:rPr>
          <w:rFonts w:ascii="宋体" w:hAnsi="宋体"/>
          <w:szCs w:val="21"/>
        </w:rPr>
      </w:pPr>
    </w:p>
    <w:p w14:paraId="0276488C" w14:textId="77777777" w:rsidR="00701DDF" w:rsidRDefault="003F1F2B">
      <w:pPr>
        <w:pStyle w:val="1"/>
        <w:spacing w:before="100" w:beforeAutospacing="1" w:after="100" w:afterAutospacing="1" w:line="400" w:lineRule="exact"/>
        <w:ind w:firstLine="422"/>
        <w:rPr>
          <w:rFonts w:ascii="宋体" w:hAnsi="宋体"/>
          <w:sz w:val="21"/>
          <w:szCs w:val="21"/>
        </w:rPr>
      </w:pPr>
      <w:bookmarkStart w:id="26" w:name="_Toc116900110"/>
      <w:r>
        <w:rPr>
          <w:rFonts w:ascii="宋体" w:hAnsi="宋体" w:hint="eastAsia"/>
          <w:sz w:val="21"/>
          <w:szCs w:val="21"/>
        </w:rPr>
        <w:t>十五、禁止行为</w:t>
      </w:r>
      <w:bookmarkEnd w:id="26"/>
    </w:p>
    <w:p w14:paraId="0EC9C867" w14:textId="5E1C6236"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（一）</w:t>
      </w:r>
      <w:r>
        <w:rPr>
          <w:rFonts w:ascii="宋体" w:hAnsi="宋体" w:cs="方正仿宋简体" w:hint="eastAsia"/>
          <w:szCs w:val="21"/>
        </w:rPr>
        <w:t>《基金法》禁止的行为。</w:t>
      </w:r>
    </w:p>
    <w:p w14:paraId="6E19CAF8" w14:textId="01F0908E"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（二）《基金法》禁止的投资或活动。</w:t>
      </w:r>
    </w:p>
    <w:p w14:paraId="1E73CE04"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（三）除根据基金管理人的指令或《基金合同》、本协议另有规定外，基金托管人不得动用或处分基金财产。</w:t>
      </w:r>
    </w:p>
    <w:p w14:paraId="5BB32686"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（四）基金管理人、基金托管人的高级管理人员和其他从业人员不得相互兼职。</w:t>
      </w:r>
    </w:p>
    <w:p w14:paraId="02D9CFEE"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（五）法律法规、《基金合同》和本协议禁止的其他行为。</w:t>
      </w:r>
    </w:p>
    <w:p w14:paraId="790A8A7D" w14:textId="5E47C39C"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如法律法规或监管部门取消或调整上述禁止性规定，基金管理人在履行适当程序后，本基金可不受上述规定的限制或按调整后的规定执行，但须按规定公告。</w:t>
      </w:r>
    </w:p>
    <w:p w14:paraId="246FE3FC" w14:textId="77777777" w:rsidR="00701DDF" w:rsidRDefault="00701DDF">
      <w:pPr>
        <w:pStyle w:val="af0"/>
        <w:spacing w:before="100" w:beforeAutospacing="1" w:after="100" w:afterAutospacing="1"/>
        <w:ind w:firstLine="403"/>
        <w:rPr>
          <w:rFonts w:ascii="宋体" w:eastAsia="宋体"/>
          <w:color w:val="auto"/>
          <w:sz w:val="21"/>
          <w:szCs w:val="21"/>
        </w:rPr>
      </w:pPr>
    </w:p>
    <w:p w14:paraId="738A0DCA" w14:textId="77777777" w:rsidR="00701DDF" w:rsidRDefault="003F1F2B">
      <w:pPr>
        <w:pStyle w:val="1"/>
        <w:spacing w:before="100" w:beforeAutospacing="1" w:after="100" w:afterAutospacing="1" w:line="400" w:lineRule="exact"/>
        <w:ind w:firstLine="422"/>
        <w:rPr>
          <w:rFonts w:ascii="宋体" w:hAnsi="宋体"/>
          <w:sz w:val="21"/>
          <w:szCs w:val="21"/>
        </w:rPr>
      </w:pPr>
      <w:bookmarkStart w:id="27" w:name="_Toc116900111"/>
      <w:r>
        <w:rPr>
          <w:rFonts w:ascii="宋体" w:hAnsi="宋体" w:hint="eastAsia"/>
          <w:sz w:val="21"/>
          <w:szCs w:val="21"/>
        </w:rPr>
        <w:t>十六、托管协议的变更、终止与基金财产的清算</w:t>
      </w:r>
    </w:p>
    <w:p w14:paraId="123FF705"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（一）托管协议的变更</w:t>
      </w:r>
    </w:p>
    <w:p w14:paraId="3AF43F60" w14:textId="12A68D4F"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本协议双方当事人经协商一致，可以对协议进行变更。变更后的新协议，其内容不得</w:t>
      </w:r>
      <w:r>
        <w:rPr>
          <w:rFonts w:ascii="宋体" w:eastAsia="宋体" w:hint="eastAsia"/>
          <w:color w:val="auto"/>
          <w:sz w:val="21"/>
          <w:szCs w:val="21"/>
        </w:rPr>
        <w:lastRenderedPageBreak/>
        <w:t>与《基金合同》的规定有任何冲突。</w:t>
      </w:r>
    </w:p>
    <w:p w14:paraId="4730276E"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（二）托管协议的终止</w:t>
      </w:r>
    </w:p>
    <w:p w14:paraId="1D6593D6"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发生以下情况，本托管协议应当终止：</w:t>
      </w:r>
    </w:p>
    <w:p w14:paraId="5CE5294B"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1、《基金合同》终止；</w:t>
      </w:r>
    </w:p>
    <w:p w14:paraId="5E6E170F"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2、本基金更换基金托管人；</w:t>
      </w:r>
    </w:p>
    <w:p w14:paraId="40777B1B"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3、本基金更换基金管理人；</w:t>
      </w:r>
    </w:p>
    <w:p w14:paraId="42BAA0C9"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4、发生《基金法》、《运作办法》或其他法律法规规定的终止事项。</w:t>
      </w:r>
    </w:p>
    <w:p w14:paraId="0CB72107"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（三）基金财产的清算</w:t>
      </w:r>
    </w:p>
    <w:p w14:paraId="687AD37F" w14:textId="77777777" w:rsidR="00701DDF" w:rsidRDefault="003F1F2B">
      <w:pPr>
        <w:spacing w:before="100" w:beforeAutospacing="1" w:after="100" w:afterAutospacing="1" w:line="400" w:lineRule="exact"/>
        <w:ind w:firstLine="420"/>
        <w:rPr>
          <w:rFonts w:ascii="宋体" w:hAnsi="宋体"/>
          <w:szCs w:val="21"/>
        </w:rPr>
      </w:pPr>
      <w:r>
        <w:rPr>
          <w:rFonts w:ascii="宋体" w:hAnsi="宋体" w:hint="eastAsia"/>
          <w:szCs w:val="21"/>
        </w:rPr>
        <w:t>基金管理人和基金托管人应按照《基金合同》及有关法律法规的规定对本基金的财产进行清算。</w:t>
      </w:r>
    </w:p>
    <w:p w14:paraId="4B1093B1" w14:textId="77777777" w:rsidR="00701DDF" w:rsidRDefault="00701DDF">
      <w:pPr>
        <w:spacing w:before="100" w:beforeAutospacing="1" w:after="100" w:afterAutospacing="1" w:line="400" w:lineRule="exact"/>
        <w:ind w:firstLine="449"/>
        <w:rPr>
          <w:rFonts w:ascii="宋体" w:hAnsi="宋体"/>
          <w:szCs w:val="21"/>
        </w:rPr>
      </w:pPr>
    </w:p>
    <w:p w14:paraId="55FEBDFF" w14:textId="77777777" w:rsidR="00701DDF" w:rsidRDefault="003F1F2B">
      <w:pPr>
        <w:pStyle w:val="1"/>
        <w:spacing w:before="100" w:beforeAutospacing="1" w:after="100" w:afterAutospacing="1" w:line="400" w:lineRule="exact"/>
        <w:ind w:firstLine="422"/>
        <w:rPr>
          <w:rFonts w:ascii="宋体" w:hAnsi="宋体"/>
          <w:sz w:val="21"/>
          <w:szCs w:val="21"/>
        </w:rPr>
      </w:pPr>
      <w:r>
        <w:rPr>
          <w:rFonts w:ascii="宋体" w:hAnsi="宋体" w:hint="eastAsia"/>
          <w:sz w:val="21"/>
          <w:szCs w:val="21"/>
        </w:rPr>
        <w:t>十七、违约责任和责任划分</w:t>
      </w:r>
      <w:bookmarkEnd w:id="27"/>
    </w:p>
    <w:p w14:paraId="28CBD188"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（一）</w:t>
      </w:r>
      <w:r>
        <w:rPr>
          <w:rFonts w:ascii="宋体" w:hAnsi="宋体" w:cs="方正仿宋简体" w:hint="eastAsia"/>
          <w:szCs w:val="21"/>
        </w:rPr>
        <w:t>本协议当事人不履行本协议或履行本协议不符合约定的，应当承担违约责任。</w:t>
      </w:r>
    </w:p>
    <w:p w14:paraId="2E32057B" w14:textId="0E9D952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二）因本协议当事人违反《基金法》等法律法规的规定或者基金合同和本协议约定，给基金财产或者基金份额持有人造成损害的，应当分别对各自的行为依法承担赔偿责任，因共同行为给基金财产或者基金份额持有人造成损害的，应当承担连带赔偿责任。</w:t>
      </w:r>
      <w:r>
        <w:rPr>
          <w:rFonts w:ascii="宋体" w:hAnsi="宋体" w:cs="方正仿宋简体"/>
          <w:szCs w:val="21"/>
        </w:rPr>
        <w:t>对损失的赔偿，仅限于直接损失。</w:t>
      </w:r>
      <w:r>
        <w:rPr>
          <w:rFonts w:ascii="宋体" w:hAnsi="宋体" w:cs="方正仿宋简体" w:hint="eastAsia"/>
          <w:szCs w:val="21"/>
        </w:rPr>
        <w:t>但是发生下列情况，当事人免责：</w:t>
      </w:r>
    </w:p>
    <w:p w14:paraId="50090691" w14:textId="4E6FACCB"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1、基金管理人</w:t>
      </w:r>
      <w:r>
        <w:rPr>
          <w:rFonts w:ascii="宋体" w:hAnsi="宋体" w:cs="方正仿宋简体"/>
          <w:szCs w:val="21"/>
        </w:rPr>
        <w:t>和</w:t>
      </w:r>
      <w:r>
        <w:rPr>
          <w:rFonts w:ascii="宋体" w:hAnsi="宋体" w:cs="方正仿宋简体" w:hint="eastAsia"/>
          <w:szCs w:val="21"/>
        </w:rPr>
        <w:t>/或基金托管人按照当时有效的法律法规或中国证监会的规定作为或不作为而造成的损失等；</w:t>
      </w:r>
    </w:p>
    <w:p w14:paraId="054DBC13"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2、基金管理人由于按照《基金合同》规定的投资原则而行使或不行使其投资权而造成的损失等；</w:t>
      </w:r>
    </w:p>
    <w:p w14:paraId="1234DEC0"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3、不可抗力；</w:t>
      </w:r>
    </w:p>
    <w:p w14:paraId="115227EC"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4、基金托管人对存放或存管在基金托管人以外机构的基金资产，或交由证券公司等其</w:t>
      </w:r>
      <w:r>
        <w:rPr>
          <w:rFonts w:ascii="宋体" w:hAnsi="宋体" w:cs="方正仿宋简体" w:hint="eastAsia"/>
          <w:szCs w:val="21"/>
        </w:rPr>
        <w:lastRenderedPageBreak/>
        <w:t>他机构负责清算交收的基金资产及其收益不承担任何责任；</w:t>
      </w:r>
    </w:p>
    <w:p w14:paraId="17D236BE" w14:textId="77777777" w:rsidR="00701DDF" w:rsidRDefault="003F1F2B">
      <w:pPr>
        <w:snapToGrid w:val="0"/>
        <w:spacing w:before="100" w:beforeAutospacing="1" w:after="100" w:afterAutospacing="1" w:line="400" w:lineRule="exact"/>
        <w:ind w:firstLine="420"/>
        <w:rPr>
          <w:rFonts w:ascii="宋体" w:hAnsi="宋体" w:cs="方正仿宋简体"/>
          <w:szCs w:val="21"/>
        </w:rPr>
      </w:pPr>
      <w:r>
        <w:rPr>
          <w:rFonts w:ascii="宋体" w:hAnsi="宋体" w:cs="方正仿宋简体" w:hint="eastAsia"/>
          <w:szCs w:val="21"/>
        </w:rPr>
        <w:t>5、计算机系统故障、网络故障、通讯故障、电力故障、计算机病毒攻击及其它非基金管理人、基金托管人过错造成的意外事故。</w:t>
      </w:r>
    </w:p>
    <w:p w14:paraId="768ADEB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（三）一方当事人违反本协议，给另一方当事人造成损失的，应承担赔偿责任。</w:t>
      </w:r>
    </w:p>
    <w:p w14:paraId="488F7F41"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hint="eastAsia"/>
          <w:szCs w:val="21"/>
        </w:rPr>
        <w:t>（四）因不可抗力不能履行本协议的，根据不可抗力的影响，违约方部分或全部免除责任，但法律另有规定的除外。当事人迟延履行后发生不可抗力的，不能免除责任。</w:t>
      </w:r>
    </w:p>
    <w:p w14:paraId="4411B9D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五）当事人一方违约，另一方在职责范围内有义务及时采取必要的措施，尽力防止损失的扩大。没有采取适当措施致使损失进一步扩大的，不得就扩大的损失要求赔偿。非违约方因防止损失扩大而支出的合理费用由违约方承担。</w:t>
      </w:r>
    </w:p>
    <w:p w14:paraId="7713C6D8"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（六）违约行为虽已发生，但本协议能够继续履行的，在最大限度地保护基金份额持有人利益的前提下，基金管理人和基金托管人应当继续履行本协议。</w:t>
      </w:r>
    </w:p>
    <w:p w14:paraId="4CC046D4"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（七）为明确责任，在不影响本协议本条其他规定的普遍适用性的前提下，基金管理人和基金托管人对由于如下行为造成的损失的责任承担问题，明确如下：</w:t>
      </w:r>
    </w:p>
    <w:p w14:paraId="0769FE53"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1、由于基金管理人下达违法、违规的指令所导致的责任，由基金管理人承担；</w:t>
      </w:r>
    </w:p>
    <w:p w14:paraId="084E5853"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 xml:space="preserve">2、基金管理人指令下达人员在授权通知载明的权限范围内下达的指令所导致的责任，由基金管理人承担，即使该人员下达指令并没有获得基金管理人的实际授权（例如基金管理人在撤销或变更授权权限后未能及时通知基金托管人）； </w:t>
      </w:r>
    </w:p>
    <w:p w14:paraId="409F1509"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3、基金托管人未对指令上签名和印鉴与预留签字样本和预留印鉴进行表面一致性审核，导致基金托管人执行了应当无效的指令，基金管理人与基金托管人应根据各自过错程度承担责任；</w:t>
      </w:r>
    </w:p>
    <w:p w14:paraId="31F6CC8B" w14:textId="2D44C75B"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4、属于基金托管人实际有效控制下的基金财产（包括实物证券）在基金托管人保管期间的损坏、灭失，由此产生的责任应由基金托管人承担；</w:t>
      </w:r>
    </w:p>
    <w:p w14:paraId="6411B4E7"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5、基金管理人应承担对其应收取的管理费数额计算错误的责任。如果基金托管人复核后同意基金管理人的计算结果，则基金托管人也应承担未正确履行复核义务的相应责任；</w:t>
      </w:r>
    </w:p>
    <w:p w14:paraId="1655FBE7"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6、基金管理人应承担对基金托管人应收取的托管费数额计算错误的责任。如果基金托管人复核后同意基金管理人的计算结果，则基金托管人也应承担未正确履行复核义务的相</w:t>
      </w:r>
      <w:r>
        <w:rPr>
          <w:rFonts w:ascii="宋体" w:eastAsia="宋体" w:hint="eastAsia"/>
          <w:color w:val="auto"/>
          <w:sz w:val="21"/>
          <w:szCs w:val="21"/>
        </w:rPr>
        <w:lastRenderedPageBreak/>
        <w:t>应责任；</w:t>
      </w:r>
    </w:p>
    <w:p w14:paraId="7BAD9BA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7、由于基金管理人或托管人原因导致本基金不能依据中国证券登记结算有限责任公司的业务规则及时清算的，由责任方承担由此给基金财产、基金份额持有人及受损害方造成的直接损失，若由于双方原因导致本基金不能依据中国证券登记结算有限责任公司的业务规则及时清算的，双方应按照各自的过错程度对造成的直接损失合理分担责任；</w:t>
      </w:r>
    </w:p>
    <w:p w14:paraId="4E39C54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8、</w:t>
      </w:r>
      <w:r>
        <w:rPr>
          <w:rFonts w:ascii="宋体" w:eastAsia="宋体"/>
          <w:color w:val="auto"/>
          <w:sz w:val="21"/>
          <w:szCs w:val="21"/>
        </w:rPr>
        <w:t>在资金交收日，基金资金账户资金首先用于除新股申购以外的其他资金交收义务，交收完成后资金余额方可用于新股申购。如果因此资金不足造成新股申购失败或者新股申购不足，基金托管人不承担任何责任。如基金份额持有人因此提出赔偿要求，相关法律责任和损失由基金管理人承担。</w:t>
      </w:r>
    </w:p>
    <w:p w14:paraId="19527D87"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八）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减轻或消除由此造成的影响。</w:t>
      </w:r>
    </w:p>
    <w:p w14:paraId="0CA66F20" w14:textId="77777777" w:rsidR="00701DDF" w:rsidRDefault="00701DDF">
      <w:pPr>
        <w:pStyle w:val="af0"/>
        <w:spacing w:before="100" w:beforeAutospacing="1" w:after="100" w:afterAutospacing="1"/>
        <w:ind w:firstLine="403"/>
        <w:rPr>
          <w:rFonts w:ascii="宋体" w:eastAsia="宋体"/>
          <w:color w:val="auto"/>
          <w:sz w:val="21"/>
          <w:szCs w:val="21"/>
        </w:rPr>
      </w:pPr>
    </w:p>
    <w:p w14:paraId="6801D240" w14:textId="77777777" w:rsidR="00701DDF" w:rsidRDefault="003F1F2B">
      <w:pPr>
        <w:pStyle w:val="1"/>
        <w:spacing w:before="100" w:beforeAutospacing="1" w:after="100" w:afterAutospacing="1" w:line="400" w:lineRule="exact"/>
        <w:ind w:firstLine="422"/>
        <w:rPr>
          <w:rFonts w:ascii="宋体" w:hAnsi="宋体"/>
          <w:sz w:val="21"/>
          <w:szCs w:val="21"/>
        </w:rPr>
      </w:pPr>
      <w:bookmarkStart w:id="28" w:name="_Toc116900112"/>
      <w:r>
        <w:rPr>
          <w:rFonts w:ascii="宋体" w:hAnsi="宋体" w:hint="eastAsia"/>
          <w:sz w:val="21"/>
          <w:szCs w:val="21"/>
        </w:rPr>
        <w:t>十八、适用法律与争议解决</w:t>
      </w:r>
      <w:bookmarkEnd w:id="28"/>
      <w:r>
        <w:rPr>
          <w:rFonts w:ascii="宋体" w:hAnsi="宋体" w:hint="eastAsia"/>
          <w:sz w:val="21"/>
          <w:szCs w:val="21"/>
        </w:rPr>
        <w:t>方式</w:t>
      </w:r>
    </w:p>
    <w:p w14:paraId="28EBC0DC" w14:textId="77777777" w:rsidR="00701DDF" w:rsidRPr="003C4531" w:rsidRDefault="003F1F2B">
      <w:pPr>
        <w:pStyle w:val="af0"/>
        <w:spacing w:before="100" w:beforeAutospacing="1" w:after="100" w:afterAutospacing="1"/>
        <w:ind w:firstLine="405"/>
        <w:rPr>
          <w:rFonts w:ascii="宋体" w:eastAsia="宋体"/>
          <w:b/>
          <w:bCs/>
          <w:color w:val="auto"/>
          <w:sz w:val="21"/>
          <w:szCs w:val="21"/>
        </w:rPr>
      </w:pPr>
      <w:r w:rsidRPr="003C4531">
        <w:rPr>
          <w:rFonts w:ascii="宋体" w:eastAsia="宋体" w:hint="eastAsia"/>
          <w:b/>
          <w:bCs/>
          <w:color w:val="auto"/>
          <w:sz w:val="21"/>
          <w:szCs w:val="21"/>
        </w:rPr>
        <w:t>（一）本协议适用中华人民共和国法律（为本协议之目的，不包括香港特别行政区、澳门特别行政区和台湾地区法律）并从其解释。</w:t>
      </w:r>
    </w:p>
    <w:p w14:paraId="77528911" w14:textId="4B7A7B92" w:rsidR="00701DDF" w:rsidRPr="003C4531" w:rsidRDefault="003F1F2B">
      <w:pPr>
        <w:pStyle w:val="af0"/>
        <w:spacing w:before="100" w:beforeAutospacing="1" w:after="100" w:afterAutospacing="1"/>
        <w:ind w:firstLine="405"/>
        <w:rPr>
          <w:rFonts w:ascii="宋体" w:eastAsia="宋体"/>
          <w:b/>
          <w:bCs/>
          <w:color w:val="auto"/>
          <w:sz w:val="21"/>
          <w:szCs w:val="21"/>
        </w:rPr>
      </w:pPr>
      <w:r w:rsidRPr="003C4531">
        <w:rPr>
          <w:rFonts w:ascii="宋体" w:eastAsia="宋体" w:hint="eastAsia"/>
          <w:b/>
          <w:bCs/>
          <w:color w:val="auto"/>
          <w:sz w:val="21"/>
          <w:szCs w:val="21"/>
        </w:rPr>
        <w:t>（二）基金管理人与基金托管人之间因本协议产生的或与本协议有关的争议可通过友好协商解决。如经友好协商未能解决的，均应提交中国国际经济贸易仲裁委员会按照申请仲裁时该会届时有效的仲裁规则进行仲裁，仲裁地点为北京市。仲裁裁决是终局的，并对</w:t>
      </w:r>
      <w:r w:rsidRPr="003C4531">
        <w:rPr>
          <w:rFonts w:ascii="宋体" w:eastAsia="宋体"/>
          <w:b/>
          <w:bCs/>
          <w:color w:val="auto"/>
          <w:sz w:val="21"/>
          <w:szCs w:val="21"/>
        </w:rPr>
        <w:t>双</w:t>
      </w:r>
      <w:r w:rsidRPr="003C4531">
        <w:rPr>
          <w:rFonts w:ascii="宋体" w:eastAsia="宋体" w:hint="eastAsia"/>
          <w:b/>
          <w:bCs/>
          <w:color w:val="auto"/>
          <w:sz w:val="21"/>
          <w:szCs w:val="21"/>
        </w:rPr>
        <w:t>方当事人具有约束力。除非仲裁裁决另有裁定，仲裁费用和律师费用由败诉方承担。</w:t>
      </w:r>
    </w:p>
    <w:p w14:paraId="34614684" w14:textId="77777777" w:rsidR="00701DDF" w:rsidRPr="003C4531" w:rsidRDefault="003F1F2B">
      <w:pPr>
        <w:pStyle w:val="af0"/>
        <w:spacing w:before="100" w:beforeAutospacing="1" w:after="100" w:afterAutospacing="1"/>
        <w:ind w:firstLine="405"/>
        <w:rPr>
          <w:rFonts w:ascii="宋体" w:eastAsia="宋体"/>
          <w:b/>
          <w:bCs/>
          <w:color w:val="auto"/>
          <w:sz w:val="21"/>
          <w:szCs w:val="21"/>
        </w:rPr>
      </w:pPr>
      <w:r w:rsidRPr="003C4531">
        <w:rPr>
          <w:rFonts w:ascii="宋体" w:eastAsia="宋体" w:hint="eastAsia"/>
          <w:b/>
          <w:bCs/>
          <w:color w:val="auto"/>
          <w:sz w:val="21"/>
          <w:szCs w:val="21"/>
        </w:rPr>
        <w:t>（三）</w:t>
      </w:r>
      <w:r>
        <w:rPr>
          <w:rFonts w:ascii="宋体" w:eastAsia="宋体" w:hint="eastAsia"/>
          <w:b/>
          <w:bCs/>
          <w:color w:val="auto"/>
          <w:sz w:val="21"/>
          <w:szCs w:val="21"/>
        </w:rPr>
        <w:t>争议处理期间，</w:t>
      </w:r>
      <w:r w:rsidRPr="003C4531">
        <w:rPr>
          <w:rFonts w:ascii="宋体" w:eastAsia="宋体" w:hint="eastAsia"/>
          <w:b/>
          <w:bCs/>
          <w:color w:val="auto"/>
          <w:sz w:val="21"/>
          <w:szCs w:val="21"/>
        </w:rPr>
        <w:t>除争议所涉的内容之外，本协议的当事人仍应履行本协议的其他规定。</w:t>
      </w:r>
    </w:p>
    <w:p w14:paraId="12DAFAD1" w14:textId="77777777" w:rsidR="00701DDF" w:rsidRDefault="00701DDF">
      <w:pPr>
        <w:pStyle w:val="af0"/>
        <w:spacing w:before="100" w:beforeAutospacing="1" w:after="100" w:afterAutospacing="1"/>
        <w:ind w:firstLine="403"/>
        <w:rPr>
          <w:rFonts w:ascii="宋体" w:eastAsia="宋体"/>
          <w:color w:val="auto"/>
          <w:sz w:val="21"/>
          <w:szCs w:val="21"/>
        </w:rPr>
      </w:pPr>
    </w:p>
    <w:p w14:paraId="75D4D4A0" w14:textId="77777777" w:rsidR="00701DDF" w:rsidRDefault="003F1F2B">
      <w:pPr>
        <w:pStyle w:val="1"/>
        <w:spacing w:before="100" w:beforeAutospacing="1" w:after="100" w:afterAutospacing="1" w:line="400" w:lineRule="exact"/>
        <w:ind w:firstLine="422"/>
        <w:rPr>
          <w:rFonts w:ascii="宋体" w:hAnsi="宋体"/>
          <w:sz w:val="21"/>
          <w:szCs w:val="21"/>
        </w:rPr>
      </w:pPr>
      <w:bookmarkStart w:id="29" w:name="_Toc116900113"/>
      <w:r>
        <w:rPr>
          <w:rFonts w:ascii="宋体" w:hAnsi="宋体" w:hint="eastAsia"/>
          <w:sz w:val="21"/>
          <w:szCs w:val="21"/>
        </w:rPr>
        <w:t>十九、托管协议的效力</w:t>
      </w:r>
      <w:bookmarkEnd w:id="29"/>
    </w:p>
    <w:p w14:paraId="00EE00E1" w14:textId="14FF9BCA"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（一）基金管理人在向中国证监会申请基金募集注册时提交的基金托管协议草案，应经托管协议双方当事人的法定代表人或授权签字人签</w:t>
      </w:r>
      <w:r>
        <w:rPr>
          <w:rFonts w:ascii="宋体" w:hAnsi="宋体" w:cs="方正仿宋简体"/>
          <w:szCs w:val="21"/>
        </w:rPr>
        <w:t>章</w:t>
      </w:r>
      <w:r>
        <w:rPr>
          <w:rFonts w:ascii="宋体" w:hAnsi="宋体" w:cs="方正仿宋简体" w:hint="eastAsia"/>
          <w:szCs w:val="21"/>
        </w:rPr>
        <w:t>并加盖公章，协议当事人双方根据</w:t>
      </w:r>
      <w:r>
        <w:rPr>
          <w:rFonts w:ascii="宋体" w:hAnsi="宋体" w:cs="方正仿宋简体" w:hint="eastAsia"/>
          <w:szCs w:val="21"/>
        </w:rPr>
        <w:lastRenderedPageBreak/>
        <w:t>中国证监会的意见修改托管协议草案。托管协议以中国证监会注册的文本为正式文本。</w:t>
      </w:r>
    </w:p>
    <w:p w14:paraId="45A469DE"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（二）本协议自</w:t>
      </w:r>
      <w:r>
        <w:rPr>
          <w:rFonts w:ascii="宋体" w:hAnsi="宋体" w:hint="eastAsia"/>
          <w:szCs w:val="21"/>
        </w:rPr>
        <w:t>双方签署</w:t>
      </w:r>
      <w:r>
        <w:rPr>
          <w:rFonts w:ascii="宋体" w:hAnsi="宋体" w:cs="方正仿宋简体" w:hint="eastAsia"/>
          <w:szCs w:val="21"/>
        </w:rPr>
        <w:t>之日起成立，自基金合同生效之日起生效。本协议的有效期自其生效之日起至基金财产清算结果报中国证监会备案并公告之日止。</w:t>
      </w:r>
    </w:p>
    <w:p w14:paraId="4F7E30FB" w14:textId="77777777" w:rsidR="00701DDF" w:rsidRDefault="003F1F2B">
      <w:pPr>
        <w:snapToGrid w:val="0"/>
        <w:spacing w:before="100" w:beforeAutospacing="1" w:after="100" w:afterAutospacing="1" w:line="400" w:lineRule="exact"/>
        <w:ind w:firstLine="420"/>
        <w:rPr>
          <w:rFonts w:ascii="宋体" w:hAnsi="宋体"/>
          <w:szCs w:val="21"/>
        </w:rPr>
      </w:pPr>
      <w:r>
        <w:rPr>
          <w:rFonts w:ascii="宋体" w:hAnsi="宋体" w:cs="方正仿宋简体" w:hint="eastAsia"/>
          <w:szCs w:val="21"/>
        </w:rPr>
        <w:t>（三）本协议自生效之日起对双方当事人具有同等的法律约束力。</w:t>
      </w:r>
    </w:p>
    <w:p w14:paraId="3729EF7E" w14:textId="4CB06B86"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cs="方正仿宋简体" w:hint="eastAsia"/>
          <w:color w:val="auto"/>
          <w:sz w:val="21"/>
          <w:szCs w:val="21"/>
        </w:rPr>
        <w:t>（四）</w:t>
      </w:r>
      <w:r>
        <w:rPr>
          <w:rFonts w:ascii="宋体" w:eastAsia="宋体" w:hint="eastAsia"/>
          <w:color w:val="auto"/>
          <w:sz w:val="21"/>
          <w:szCs w:val="21"/>
        </w:rPr>
        <w:t>本协议正本一式三份，协议双方各执一份，上报有关监管机构一份，每份具有同等法律效力。</w:t>
      </w:r>
    </w:p>
    <w:p w14:paraId="3DD91C3B" w14:textId="77777777" w:rsidR="00701DDF" w:rsidRDefault="00701DDF">
      <w:pPr>
        <w:pStyle w:val="1"/>
        <w:spacing w:before="100" w:beforeAutospacing="1" w:after="100" w:afterAutospacing="1" w:line="400" w:lineRule="exact"/>
        <w:ind w:firstLine="422"/>
        <w:rPr>
          <w:rFonts w:ascii="宋体" w:hAnsi="宋体"/>
          <w:sz w:val="21"/>
          <w:szCs w:val="21"/>
        </w:rPr>
      </w:pPr>
      <w:bookmarkStart w:id="30" w:name="_Toc116900116"/>
    </w:p>
    <w:p w14:paraId="4D1CD5A1" w14:textId="77777777" w:rsidR="00701DDF" w:rsidRDefault="003F1F2B">
      <w:pPr>
        <w:pStyle w:val="1"/>
        <w:spacing w:before="100" w:beforeAutospacing="1" w:after="100" w:afterAutospacing="1" w:line="400" w:lineRule="exact"/>
        <w:ind w:firstLine="422"/>
        <w:rPr>
          <w:rFonts w:ascii="宋体" w:hAnsi="宋体"/>
          <w:sz w:val="21"/>
          <w:szCs w:val="21"/>
        </w:rPr>
      </w:pPr>
      <w:r>
        <w:rPr>
          <w:rFonts w:ascii="宋体" w:hAnsi="宋体"/>
          <w:sz w:val="21"/>
          <w:szCs w:val="21"/>
        </w:rPr>
        <w:t>二十、托管协议</w:t>
      </w:r>
      <w:bookmarkEnd w:id="30"/>
      <w:r>
        <w:rPr>
          <w:rFonts w:ascii="宋体" w:hAnsi="宋体" w:hint="eastAsia"/>
          <w:sz w:val="21"/>
          <w:szCs w:val="21"/>
        </w:rPr>
        <w:t>的签订</w:t>
      </w:r>
    </w:p>
    <w:p w14:paraId="663C654A"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见签署页。</w:t>
      </w:r>
    </w:p>
    <w:p w14:paraId="3606C5FD" w14:textId="77777777"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hint="eastAsia"/>
          <w:color w:val="auto"/>
          <w:sz w:val="21"/>
          <w:szCs w:val="21"/>
        </w:rPr>
        <w:t>（以下无正文）</w:t>
      </w:r>
    </w:p>
    <w:p w14:paraId="3CE64949" w14:textId="54703A25" w:rsidR="00701DDF" w:rsidRDefault="003F1F2B">
      <w:pPr>
        <w:pStyle w:val="af0"/>
        <w:spacing w:before="100" w:beforeAutospacing="1" w:after="100" w:afterAutospacing="1"/>
        <w:ind w:firstLine="403"/>
        <w:rPr>
          <w:rFonts w:ascii="宋体" w:eastAsia="宋体"/>
          <w:color w:val="auto"/>
          <w:sz w:val="21"/>
          <w:szCs w:val="21"/>
        </w:rPr>
      </w:pPr>
      <w:r>
        <w:rPr>
          <w:rFonts w:ascii="宋体" w:eastAsia="宋体"/>
          <w:color w:val="auto"/>
          <w:sz w:val="21"/>
          <w:szCs w:val="21"/>
        </w:rPr>
        <w:br w:type="page"/>
      </w:r>
      <w:r>
        <w:rPr>
          <w:rFonts w:ascii="宋体" w:eastAsia="宋体" w:hint="eastAsia"/>
          <w:color w:val="auto"/>
          <w:sz w:val="21"/>
          <w:szCs w:val="21"/>
        </w:rPr>
        <w:lastRenderedPageBreak/>
        <w:t>（本页为《富国智汇稳健3个月持有期混合型基金中基金（FOF）托管协议》签署页，无正文）</w:t>
      </w:r>
    </w:p>
    <w:p w14:paraId="69964F35" w14:textId="77777777" w:rsidR="00701DDF" w:rsidRDefault="003F1F2B">
      <w:pPr>
        <w:pStyle w:val="Web"/>
        <w:spacing w:line="400" w:lineRule="exact"/>
        <w:rPr>
          <w:sz w:val="21"/>
          <w:szCs w:val="21"/>
        </w:rPr>
      </w:pPr>
      <w:r>
        <w:rPr>
          <w:sz w:val="21"/>
          <w:szCs w:val="21"/>
        </w:rPr>
        <w:t xml:space="preserve">　　</w:t>
      </w:r>
    </w:p>
    <w:p w14:paraId="46698E5A" w14:textId="77777777" w:rsidR="00701DDF" w:rsidRDefault="003F1F2B">
      <w:pPr>
        <w:pStyle w:val="Web"/>
        <w:spacing w:line="400" w:lineRule="exact"/>
        <w:ind w:firstLine="403"/>
        <w:rPr>
          <w:b/>
        </w:rPr>
      </w:pPr>
      <w:r>
        <w:rPr>
          <w:b/>
        </w:rPr>
        <w:t>基金托管人</w:t>
      </w:r>
      <w:r>
        <w:rPr>
          <w:rFonts w:hint="eastAsia"/>
          <w:b/>
        </w:rPr>
        <w:t>:中国银行股份有限公司</w:t>
      </w:r>
    </w:p>
    <w:p w14:paraId="5A86F453" w14:textId="77777777" w:rsidR="00701DDF" w:rsidRDefault="00701DDF">
      <w:pPr>
        <w:pStyle w:val="Web"/>
        <w:spacing w:line="400" w:lineRule="exact"/>
        <w:ind w:firstLine="403"/>
        <w:rPr>
          <w:b/>
        </w:rPr>
      </w:pPr>
    </w:p>
    <w:p w14:paraId="065807FF" w14:textId="77777777" w:rsidR="00701DDF" w:rsidRDefault="003F1F2B">
      <w:pPr>
        <w:pStyle w:val="Web"/>
        <w:spacing w:line="400" w:lineRule="exact"/>
        <w:ind w:firstLine="403"/>
        <w:rPr>
          <w:b/>
        </w:rPr>
      </w:pPr>
      <w:r>
        <w:rPr>
          <w:b/>
        </w:rPr>
        <w:t>法定代表人</w:t>
      </w:r>
      <w:r>
        <w:rPr>
          <w:rFonts w:hint="eastAsia"/>
          <w:b/>
        </w:rPr>
        <w:t>或授权签字人：</w:t>
      </w:r>
    </w:p>
    <w:p w14:paraId="7A376E11" w14:textId="77777777" w:rsidR="00701DDF" w:rsidRDefault="00701DDF">
      <w:pPr>
        <w:pStyle w:val="Web"/>
        <w:spacing w:line="400" w:lineRule="exact"/>
        <w:ind w:firstLine="420"/>
        <w:rPr>
          <w:b/>
        </w:rPr>
      </w:pPr>
    </w:p>
    <w:p w14:paraId="3B86775D" w14:textId="77777777" w:rsidR="00701DDF" w:rsidRDefault="00701DDF">
      <w:pPr>
        <w:pStyle w:val="Web"/>
        <w:spacing w:line="400" w:lineRule="exact"/>
        <w:ind w:firstLine="420"/>
        <w:rPr>
          <w:b/>
        </w:rPr>
      </w:pPr>
    </w:p>
    <w:p w14:paraId="309E07EC" w14:textId="77777777" w:rsidR="00701DDF" w:rsidRDefault="003F1F2B">
      <w:pPr>
        <w:pStyle w:val="Web"/>
        <w:spacing w:line="400" w:lineRule="exact"/>
        <w:ind w:firstLine="403"/>
        <w:rPr>
          <w:b/>
        </w:rPr>
      </w:pPr>
      <w:r>
        <w:rPr>
          <w:b/>
        </w:rPr>
        <w:t>签订日：</w:t>
      </w:r>
      <w:r>
        <w:rPr>
          <w:rFonts w:hint="eastAsia"/>
          <w:b/>
        </w:rPr>
        <w:tab/>
      </w:r>
    </w:p>
    <w:p w14:paraId="39A2BA1B" w14:textId="77777777" w:rsidR="00701DDF" w:rsidRDefault="003F1F2B">
      <w:pPr>
        <w:pStyle w:val="Web"/>
        <w:spacing w:line="400" w:lineRule="exact"/>
        <w:ind w:firstLine="420"/>
        <w:rPr>
          <w:b/>
        </w:rPr>
      </w:pPr>
      <w:r>
        <w:rPr>
          <w:b/>
        </w:rPr>
        <w:t xml:space="preserve">签订地：　</w:t>
      </w:r>
    </w:p>
    <w:p w14:paraId="32CA81B0" w14:textId="77777777" w:rsidR="00701DDF" w:rsidRDefault="00701DDF">
      <w:pPr>
        <w:pStyle w:val="Web"/>
        <w:spacing w:line="400" w:lineRule="exact"/>
        <w:ind w:firstLine="540"/>
        <w:rPr>
          <w:b/>
        </w:rPr>
      </w:pPr>
    </w:p>
    <w:p w14:paraId="1DDE1BA6" w14:textId="77777777" w:rsidR="00701DDF" w:rsidRDefault="00701DDF">
      <w:pPr>
        <w:pStyle w:val="Web"/>
        <w:spacing w:line="400" w:lineRule="exact"/>
        <w:ind w:firstLine="540"/>
        <w:rPr>
          <w:b/>
        </w:rPr>
      </w:pPr>
    </w:p>
    <w:p w14:paraId="6CD7798E" w14:textId="77777777" w:rsidR="00701DDF" w:rsidRDefault="00701DDF">
      <w:pPr>
        <w:pStyle w:val="Web"/>
        <w:spacing w:line="400" w:lineRule="exact"/>
        <w:ind w:firstLine="403"/>
        <w:rPr>
          <w:b/>
        </w:rPr>
      </w:pPr>
    </w:p>
    <w:p w14:paraId="215F3D04" w14:textId="2CE45C02" w:rsidR="00701DDF" w:rsidRDefault="003F1F2B">
      <w:pPr>
        <w:spacing w:before="100" w:beforeAutospacing="1" w:after="100" w:afterAutospacing="1" w:line="400" w:lineRule="exact"/>
        <w:ind w:firstLine="403"/>
        <w:rPr>
          <w:rFonts w:ascii="宋体" w:hAnsi="宋体"/>
          <w:b/>
          <w:sz w:val="24"/>
        </w:rPr>
      </w:pPr>
      <w:r>
        <w:rPr>
          <w:rFonts w:ascii="宋体" w:hAnsi="宋体"/>
          <w:b/>
          <w:sz w:val="24"/>
        </w:rPr>
        <w:t>基金管理人：</w:t>
      </w:r>
      <w:r>
        <w:rPr>
          <w:rFonts w:ascii="宋体" w:hAnsi="宋体" w:hint="eastAsia"/>
          <w:b/>
          <w:sz w:val="24"/>
        </w:rPr>
        <w:t>富国基金管理有限公司</w:t>
      </w:r>
    </w:p>
    <w:p w14:paraId="5DB482D1" w14:textId="77777777" w:rsidR="00701DDF" w:rsidRDefault="00701DDF">
      <w:pPr>
        <w:pStyle w:val="Web"/>
        <w:spacing w:line="400" w:lineRule="exact"/>
        <w:rPr>
          <w:b/>
        </w:rPr>
      </w:pPr>
    </w:p>
    <w:p w14:paraId="710B66E3" w14:textId="77777777" w:rsidR="00701DDF" w:rsidRDefault="003F1F2B">
      <w:pPr>
        <w:pStyle w:val="Web"/>
        <w:spacing w:line="400" w:lineRule="exact"/>
        <w:ind w:firstLine="403"/>
        <w:rPr>
          <w:b/>
        </w:rPr>
      </w:pPr>
      <w:r>
        <w:rPr>
          <w:b/>
        </w:rPr>
        <w:t>法定代表人</w:t>
      </w:r>
      <w:r>
        <w:rPr>
          <w:rFonts w:hint="eastAsia"/>
          <w:b/>
        </w:rPr>
        <w:t xml:space="preserve">或授权签字人： </w:t>
      </w:r>
    </w:p>
    <w:p w14:paraId="5D76FFEF" w14:textId="77777777" w:rsidR="00701DDF" w:rsidRDefault="00701DDF">
      <w:pPr>
        <w:pStyle w:val="Web"/>
        <w:spacing w:line="400" w:lineRule="exact"/>
        <w:ind w:firstLine="420"/>
        <w:rPr>
          <w:b/>
        </w:rPr>
      </w:pPr>
    </w:p>
    <w:p w14:paraId="39455C33" w14:textId="77777777" w:rsidR="00701DDF" w:rsidRDefault="00701DDF">
      <w:pPr>
        <w:pStyle w:val="Web"/>
        <w:spacing w:line="400" w:lineRule="exact"/>
        <w:ind w:firstLine="420"/>
        <w:rPr>
          <w:b/>
        </w:rPr>
      </w:pPr>
    </w:p>
    <w:p w14:paraId="34EEEB57" w14:textId="77777777" w:rsidR="00701DDF" w:rsidRDefault="003F1F2B">
      <w:pPr>
        <w:pStyle w:val="Web"/>
        <w:spacing w:line="400" w:lineRule="exact"/>
        <w:ind w:firstLine="420"/>
        <w:rPr>
          <w:b/>
        </w:rPr>
      </w:pPr>
      <w:r>
        <w:rPr>
          <w:b/>
        </w:rPr>
        <w:t>签订日：</w:t>
      </w:r>
    </w:p>
    <w:p w14:paraId="4CC74823" w14:textId="77777777" w:rsidR="00701DDF" w:rsidRDefault="003F1F2B">
      <w:pPr>
        <w:pStyle w:val="Web"/>
        <w:spacing w:line="400" w:lineRule="exact"/>
        <w:ind w:firstLine="403"/>
        <w:rPr>
          <w:b/>
        </w:rPr>
      </w:pPr>
      <w:r>
        <w:rPr>
          <w:b/>
        </w:rPr>
        <w:t xml:space="preserve">签订地：　</w:t>
      </w:r>
      <w:r>
        <w:rPr>
          <w:rFonts w:hint="eastAsia"/>
          <w:b/>
        </w:rPr>
        <w:tab/>
      </w:r>
      <w:bookmarkEnd w:id="0"/>
      <w:bookmarkEnd w:id="1"/>
    </w:p>
    <w:p w14:paraId="14275743" w14:textId="77777777" w:rsidR="00701DDF" w:rsidRDefault="00701DDF">
      <w:pPr>
        <w:pStyle w:val="af0"/>
        <w:spacing w:before="100" w:beforeAutospacing="1" w:after="100" w:afterAutospacing="1"/>
        <w:ind w:firstLine="463"/>
        <w:rPr>
          <w:rFonts w:ascii="宋体" w:eastAsia="宋体"/>
          <w:b/>
          <w:color w:val="auto"/>
          <w:sz w:val="24"/>
        </w:rPr>
      </w:pPr>
    </w:p>
    <w:sectPr w:rsidR="00701DDF">
      <w:footerReference w:type="even" r:id="rId6"/>
      <w:footerReference w:type="default" r:id="rId7"/>
      <w:type w:val="continuous"/>
      <w:pgSz w:w="11906" w:h="16838"/>
      <w:pgMar w:top="1440" w:right="1800" w:bottom="1440" w:left="1800" w:header="851" w:footer="992" w:gutter="0"/>
      <w:pgNumType w:start="1"/>
      <w:cols w:space="425"/>
      <w:titlePg/>
      <w:docGrid w:type="lines" w:linePitch="312"/>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AD8C464F"/>
  <w16cid:commentId w16cid:paraId="00000002" w16cid:durableId="80862C09"/>
  <w16cid:commentId w16cid:paraId="00000003" w16cid:durableId="B854B778"/>
  <w16cid:commentId w16cid:paraId="00000004" w16cid:durableId="6C0198F5"/>
  <w16cid:commentId w16cid:paraId="00000005" w16cid:durableId="4E890CBC"/>
  <w16cid:commentId w16cid:paraId="00000006" w16cid:durableId="BD74EBE3"/>
  <w16cid:commentId w16cid:paraId="00000007" w16cid:durableId="9DF17691"/>
  <w16cid:commentId w16cid:paraId="00000008" w16cid:durableId="9B545B81"/>
  <w16cid:commentId w16cid:paraId="00000009" w16cid:durableId="A274165B"/>
  <w16cid:commentId w16cid:paraId="0000000A" w16cid:durableId="0299015B"/>
  <w16cid:commentId w16cid:paraId="0000000B" w16cid:durableId="BCD85A0B"/>
  <w16cid:commentId w16cid:paraId="0000000C" w16cid:durableId="AAE39063"/>
  <w16cid:commentId w16cid:paraId="0000000D" w16cid:durableId="3BFE1996"/>
  <w16cid:commentId w16cid:paraId="0000000E" w16cid:durableId="C51DA15B"/>
  <w16cid:commentId w16cid:paraId="0000000F" w16cid:durableId="62C298A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7CC4" w14:textId="77777777" w:rsidR="000367A3" w:rsidRDefault="000367A3">
      <w:r>
        <w:separator/>
      </w:r>
    </w:p>
  </w:endnote>
  <w:endnote w:type="continuationSeparator" w:id="0">
    <w:p w14:paraId="03FD2425" w14:textId="77777777" w:rsidR="000367A3" w:rsidRDefault="00036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长城仿宋">
    <w:altName w:val="Tw Cen MT Condensed Extra Bold"/>
    <w:charset w:val="00"/>
    <w:family w:val="auto"/>
    <w:pitch w:val="default"/>
  </w:font>
  <w:font w:name="Calibri">
    <w:panose1 w:val="020F0502020204030204"/>
    <w:charset w:val="00"/>
    <w:family w:val="swiss"/>
    <w:pitch w:val="variable"/>
    <w:sig w:usb0="E4002EFF" w:usb1="C000247B" w:usb2="00000009" w:usb3="00000000" w:csb0="000001FF" w:csb1="00000000"/>
  </w:font>
  <w:font w:name="方正仿宋简体">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CD1430" w14:textId="77777777" w:rsidR="00701DDF" w:rsidRDefault="003F1F2B">
    <w:pPr>
      <w:pStyle w:val="a9"/>
      <w:snapToGrid/>
      <w:rPr>
        <w:rStyle w:val="af4"/>
      </w:rPr>
    </w:pPr>
    <w:r>
      <w:rPr>
        <w:rStyle w:val="af4"/>
      </w:rPr>
      <w:fldChar w:fldCharType="begin"/>
    </w:r>
    <w:r>
      <w:rPr>
        <w:rStyle w:val="af4"/>
      </w:rPr>
      <w:instrText xml:space="preserve">PAGE  </w:instrText>
    </w:r>
    <w:r>
      <w:rPr>
        <w:rStyle w:val="af4"/>
      </w:rPr>
      <w:fldChar w:fldCharType="end"/>
    </w:r>
  </w:p>
  <w:p w14:paraId="288C6B27" w14:textId="77777777" w:rsidR="00701DDF" w:rsidRDefault="00701DDF">
    <w:pPr>
      <w:pStyle w:val="a9"/>
      <w:snapToGri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7466E" w14:textId="77777777" w:rsidR="00701DDF" w:rsidRDefault="003F1F2B">
    <w:pPr>
      <w:pStyle w:val="a9"/>
      <w:snapToGrid/>
      <w:rPr>
        <w:rStyle w:val="af4"/>
      </w:rPr>
    </w:pPr>
    <w:r>
      <w:rPr>
        <w:rStyle w:val="af4"/>
      </w:rPr>
      <w:fldChar w:fldCharType="begin"/>
    </w:r>
    <w:r>
      <w:rPr>
        <w:rStyle w:val="af4"/>
      </w:rPr>
      <w:instrText xml:space="preserve">PAGE  </w:instrText>
    </w:r>
    <w:r>
      <w:rPr>
        <w:rStyle w:val="af4"/>
      </w:rPr>
      <w:fldChar w:fldCharType="separate"/>
    </w:r>
    <w:r w:rsidR="00ED4107">
      <w:rPr>
        <w:rStyle w:val="af4"/>
        <w:noProof/>
      </w:rPr>
      <w:t>5</w:t>
    </w:r>
    <w:r>
      <w:rPr>
        <w:rStyle w:val="af4"/>
      </w:rPr>
      <w:fldChar w:fldCharType="end"/>
    </w:r>
  </w:p>
  <w:p w14:paraId="3945EB37" w14:textId="77777777" w:rsidR="00701DDF" w:rsidRDefault="00701DDF">
    <w:pPr>
      <w:pStyle w:val="a9"/>
      <w:snapToGri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A9F24" w14:textId="77777777" w:rsidR="000367A3" w:rsidRDefault="000367A3">
      <w:r>
        <w:separator/>
      </w:r>
    </w:p>
  </w:footnote>
  <w:footnote w:type="continuationSeparator" w:id="0">
    <w:p w14:paraId="6FC59084" w14:textId="77777777" w:rsidR="000367A3" w:rsidRDefault="000367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42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DDF"/>
    <w:rsid w:val="000367A3"/>
    <w:rsid w:val="000D264E"/>
    <w:rsid w:val="00101904"/>
    <w:rsid w:val="001F485E"/>
    <w:rsid w:val="0025199F"/>
    <w:rsid w:val="003C4531"/>
    <w:rsid w:val="003F1F2B"/>
    <w:rsid w:val="005648EA"/>
    <w:rsid w:val="00701DDF"/>
    <w:rsid w:val="0089082B"/>
    <w:rsid w:val="008F1EC8"/>
    <w:rsid w:val="009A6C7F"/>
    <w:rsid w:val="00A0509E"/>
    <w:rsid w:val="00A715DE"/>
    <w:rsid w:val="00B75E96"/>
    <w:rsid w:val="00BA4380"/>
    <w:rsid w:val="00D15752"/>
    <w:rsid w:val="00DB0F5D"/>
    <w:rsid w:val="00ED4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D819CF-E61C-4110-9175-969480A4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1"/>
      <w:szCs w:val="24"/>
    </w:rPr>
  </w:style>
  <w:style w:type="paragraph" w:styleId="1">
    <w:name w:val="heading 1"/>
    <w:basedOn w:val="a"/>
    <w:next w:val="a"/>
    <w:link w:val="1Char"/>
    <w:qFormat/>
    <w:pPr>
      <w:keepNext/>
      <w:keepLines/>
      <w:spacing w:before="340" w:after="330" w:line="578" w:lineRule="auto"/>
      <w:outlineLvl w:val="0"/>
    </w:pPr>
    <w:rPr>
      <w:b/>
      <w:sz w:val="44"/>
      <w:szCs w:val="2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Pr>
      <w:rFonts w:ascii="Arial" w:eastAsia="Arial" w:hAnsi="Arial" w:cs="Arial"/>
      <w:sz w:val="40"/>
      <w:szCs w:val="40"/>
    </w:rPr>
  </w:style>
  <w:style w:type="character" w:customStyle="1" w:styleId="2Char">
    <w:name w:val="标题 2 Char"/>
    <w:basedOn w:val="a0"/>
    <w:link w:val="2"/>
    <w:uiPriority w:val="9"/>
    <w:rPr>
      <w:rFonts w:ascii="Arial" w:eastAsia="Arial" w:hAnsi="Arial" w:cs="Arial"/>
      <w:sz w:val="34"/>
    </w:rPr>
  </w:style>
  <w:style w:type="character" w:customStyle="1" w:styleId="3Char">
    <w:name w:val="标题 3 Char"/>
    <w:basedOn w:val="a0"/>
    <w:link w:val="3"/>
    <w:uiPriority w:val="9"/>
    <w:rPr>
      <w:rFonts w:ascii="Arial" w:eastAsia="Arial" w:hAnsi="Arial" w:cs="Arial"/>
      <w:sz w:val="30"/>
      <w:szCs w:val="30"/>
    </w:rPr>
  </w:style>
  <w:style w:type="character" w:customStyle="1" w:styleId="4Char">
    <w:name w:val="标题 4 Char"/>
    <w:basedOn w:val="a0"/>
    <w:link w:val="4"/>
    <w:uiPriority w:val="9"/>
    <w:rPr>
      <w:rFonts w:ascii="Arial" w:eastAsia="Arial" w:hAnsi="Arial" w:cs="Arial"/>
      <w:b/>
      <w:bCs/>
      <w:sz w:val="26"/>
      <w:szCs w:val="26"/>
    </w:rPr>
  </w:style>
  <w:style w:type="character" w:customStyle="1" w:styleId="5Char">
    <w:name w:val="标题 5 Char"/>
    <w:basedOn w:val="a0"/>
    <w:link w:val="5"/>
    <w:uiPriority w:val="9"/>
    <w:rPr>
      <w:rFonts w:ascii="Arial" w:eastAsia="Arial" w:hAnsi="Arial" w:cs="Arial"/>
      <w:b/>
      <w:bCs/>
      <w:sz w:val="24"/>
      <w:szCs w:val="24"/>
    </w:rPr>
  </w:style>
  <w:style w:type="character" w:customStyle="1" w:styleId="6Char">
    <w:name w:val="标题 6 Char"/>
    <w:basedOn w:val="a0"/>
    <w:link w:val="6"/>
    <w:uiPriority w:val="9"/>
    <w:rPr>
      <w:rFonts w:ascii="Arial" w:eastAsia="Arial" w:hAnsi="Arial" w:cs="Arial"/>
      <w:b/>
      <w:bCs/>
      <w:sz w:val="22"/>
      <w:szCs w:val="22"/>
    </w:rPr>
  </w:style>
  <w:style w:type="character" w:customStyle="1" w:styleId="7Char">
    <w:name w:val="标题 7 Char"/>
    <w:basedOn w:val="a0"/>
    <w:link w:val="7"/>
    <w:uiPriority w:val="9"/>
    <w:rPr>
      <w:rFonts w:ascii="Arial" w:eastAsia="Arial" w:hAnsi="Arial" w:cs="Arial"/>
      <w:b/>
      <w:bCs/>
      <w:i/>
      <w:iCs/>
      <w:sz w:val="22"/>
      <w:szCs w:val="22"/>
    </w:rPr>
  </w:style>
  <w:style w:type="character" w:customStyle="1" w:styleId="8Char">
    <w:name w:val="标题 8 Char"/>
    <w:basedOn w:val="a0"/>
    <w:link w:val="8"/>
    <w:uiPriority w:val="9"/>
    <w:rPr>
      <w:rFonts w:ascii="Arial" w:eastAsia="Arial" w:hAnsi="Arial" w:cs="Arial"/>
      <w:i/>
      <w:iCs/>
      <w:sz w:val="22"/>
      <w:szCs w:val="22"/>
    </w:rPr>
  </w:style>
  <w:style w:type="character" w:customStyle="1" w:styleId="9Char">
    <w:name w:val="标题 9 Char"/>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Char"/>
    <w:uiPriority w:val="10"/>
    <w:qFormat/>
    <w:pPr>
      <w:spacing w:before="300" w:after="200"/>
      <w:contextualSpacing/>
    </w:pPr>
    <w:rPr>
      <w:sz w:val="48"/>
      <w:szCs w:val="48"/>
    </w:rPr>
  </w:style>
  <w:style w:type="character" w:customStyle="1" w:styleId="Char">
    <w:name w:val="标题 Char"/>
    <w:basedOn w:val="a0"/>
    <w:link w:val="a4"/>
    <w:uiPriority w:val="10"/>
    <w:rPr>
      <w:sz w:val="48"/>
      <w:szCs w:val="48"/>
    </w:rPr>
  </w:style>
  <w:style w:type="paragraph" w:styleId="a5">
    <w:name w:val="Subtitle"/>
    <w:basedOn w:val="a"/>
    <w:next w:val="a"/>
    <w:link w:val="Char0"/>
    <w:uiPriority w:val="11"/>
    <w:qFormat/>
    <w:pPr>
      <w:spacing w:before="200" w:after="200"/>
    </w:pPr>
    <w:rPr>
      <w:sz w:val="24"/>
    </w:rPr>
  </w:style>
  <w:style w:type="character" w:customStyle="1" w:styleId="Char0">
    <w:name w:val="副标题 Char"/>
    <w:basedOn w:val="a0"/>
    <w:link w:val="a5"/>
    <w:uiPriority w:val="11"/>
    <w:rPr>
      <w:sz w:val="24"/>
      <w:szCs w:val="24"/>
    </w:rPr>
  </w:style>
  <w:style w:type="paragraph" w:styleId="a6">
    <w:name w:val="Quote"/>
    <w:basedOn w:val="a"/>
    <w:next w:val="a"/>
    <w:link w:val="Char1"/>
    <w:uiPriority w:val="29"/>
    <w:qFormat/>
    <w:pPr>
      <w:ind w:left="720" w:right="720"/>
    </w:pPr>
    <w:rPr>
      <w:i/>
    </w:rPr>
  </w:style>
  <w:style w:type="character" w:customStyle="1" w:styleId="Char1">
    <w:name w:val="引用 Char"/>
    <w:link w:val="a6"/>
    <w:uiPriority w:val="29"/>
    <w:rPr>
      <w:i/>
    </w:rPr>
  </w:style>
  <w:style w:type="paragraph" w:styleId="a7">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7"/>
    <w:uiPriority w:val="30"/>
    <w:rPr>
      <w:i/>
    </w:rPr>
  </w:style>
  <w:style w:type="character" w:customStyle="1" w:styleId="Char3">
    <w:name w:val="页眉 Char"/>
    <w:basedOn w:val="a0"/>
    <w:link w:val="a8"/>
    <w:uiPriority w:val="99"/>
  </w:style>
  <w:style w:type="character" w:customStyle="1" w:styleId="Char4">
    <w:name w:val="页脚 Char"/>
    <w:basedOn w:val="a0"/>
    <w:link w:val="a9"/>
    <w:uiPriority w:val="99"/>
  </w:style>
  <w:style w:type="table" w:styleId="aa">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0">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auto" w:fill="F2F2F2" w:themeFill="text1" w:themeFillTint="0D"/>
      </w:tcPr>
    </w:tblStylePr>
    <w:tblStylePr w:type="band2Vert">
      <w:pPr>
        <w:snapToGrid/>
      </w:pPr>
    </w:tblStylePr>
    <w:tblStylePr w:type="band1Horz">
      <w:pPr>
        <w:snapToGrid/>
      </w:p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0">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0">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0">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0">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auto"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snapToGrid/>
        <w:jc w:val="right"/>
      </w:pPr>
      <w:rPr>
        <w:i/>
        <w:color w:val="404040"/>
      </w:rPr>
      <w:tblPr/>
      <w:tcPr>
        <w:tcBorders>
          <w:right w:val="single" w:sz="4" w:space="0" w:color="404040"/>
        </w:tcBorders>
        <w:shd w:val="clear" w:color="auto" w:fill="FFFFFF"/>
      </w:tcPr>
    </w:tblStylePr>
    <w:tblStylePr w:type="lastCol">
      <w:pPr>
        <w:snapToGrid/>
      </w:pPr>
      <w:rPr>
        <w:i/>
        <w:color w:val="404040"/>
      </w:rPr>
      <w:tblPr/>
      <w:tcPr>
        <w:tcBorders>
          <w:left w:val="single" w:sz="4" w:space="0" w:color="404040"/>
        </w:tcBorders>
        <w:shd w:val="clear" w:color="auto" w:fill="FFFFFF"/>
      </w:tcPr>
    </w:tblStylePr>
    <w:tblStylePr w:type="band1Vert">
      <w:pPr>
        <w:snapToGrid/>
      </w:pPr>
      <w:rPr>
        <w:rFonts w:ascii="Arial" w:hAnsi="Arial"/>
        <w:color w:val="404040"/>
        <w:sz w:val="22"/>
      </w:rPr>
      <w:tblPr/>
      <w:tcPr>
        <w:shd w:val="clear" w:color="auto" w:fill="F2F2F2" w:themeFill="text1" w:themeFillTint="0D"/>
      </w:tcPr>
    </w:tblStylePr>
    <w:tblStylePr w:type="band2Vert">
      <w:pPr>
        <w:snapToGrid/>
      </w:pPr>
    </w:tblStylePr>
    <w:tblStylePr w:type="band1Horz">
      <w:pPr>
        <w:snapToGrid/>
      </w:pPr>
      <w:rPr>
        <w:rFonts w:ascii="Arial" w:hAnsi="Arial"/>
        <w:color w:val="404040"/>
        <w:sz w:val="22"/>
      </w:rPr>
      <w:tblPr/>
      <w:tcPr>
        <w:shd w:val="clear" w:color="auto"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1">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1">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1">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auto"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1">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BCBCB" w:themeFill="text1" w:themeFillTint="34"/>
      </w:tcPr>
    </w:tblStylePr>
    <w:tblStylePr w:type="band2Vert">
      <w:pPr>
        <w:snapToGrid/>
      </w:pPr>
    </w:tblStylePr>
    <w:tblStylePr w:type="band1Horz">
      <w:pPr>
        <w:snapToGrid/>
      </w:pPr>
      <w:rPr>
        <w:rFonts w:ascii="Arial" w:hAnsi="Arial"/>
        <w:color w:val="404040"/>
        <w:sz w:val="22"/>
      </w:rPr>
      <w:tblPr/>
      <w:tcPr>
        <w:shd w:val="clear" w:color="auto"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auto"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auto"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auto"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auto"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auto"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auto"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1">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auto" w:fill="000000" w:themeFill="text1"/>
      </w:tcPr>
    </w:tblStylePr>
    <w:tblStylePr w:type="firstCol">
      <w:pPr>
        <w:snapToGrid/>
      </w:pPr>
      <w:rPr>
        <w:rFonts w:ascii="Arial" w:hAnsi="Arial"/>
        <w:b/>
        <w:color w:val="FFFFFF"/>
        <w:sz w:val="22"/>
      </w:rPr>
      <w:tblPr/>
      <w:tcPr>
        <w:shd w:val="clear" w:color="auto" w:fill="000000" w:themeFill="text1"/>
      </w:tcPr>
    </w:tblStylePr>
    <w:tblStylePr w:type="lastCol">
      <w:pPr>
        <w:snapToGrid/>
      </w:pPr>
      <w:rPr>
        <w:rFonts w:ascii="Arial" w:hAnsi="Arial"/>
        <w:b/>
        <w:color w:val="FFFFFF"/>
        <w:sz w:val="22"/>
      </w:rPr>
      <w:tblPr/>
      <w:tcPr>
        <w:shd w:val="clear" w:color="auto" w:fill="000000" w:themeFill="text1"/>
      </w:tcPr>
    </w:tblStylePr>
    <w:tblStylePr w:type="band1Vert">
      <w:pPr>
        <w:snapToGrid/>
      </w:pPr>
      <w:tblPr/>
      <w:tcPr>
        <w:shd w:val="clear" w:color="auto" w:fill="8A8A8A" w:themeFill="text1" w:themeFillTint="75"/>
      </w:tcPr>
    </w:tblStylePr>
    <w:tblStylePr w:type="band2Vert">
      <w:pPr>
        <w:snapToGrid/>
      </w:pPr>
    </w:tblStylePr>
    <w:tblStylePr w:type="band1Horz">
      <w:pPr>
        <w:snapToGrid/>
      </w:pPr>
      <w:tblPr/>
      <w:tcPr>
        <w:shd w:val="clear" w:color="auto"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auto" w:fill="5B9BD5" w:themeFill="accent1"/>
      </w:tcPr>
    </w:tblStylePr>
    <w:tblStylePr w:type="firstCol">
      <w:pPr>
        <w:snapToGrid/>
      </w:pPr>
      <w:rPr>
        <w:rFonts w:ascii="Arial" w:hAnsi="Arial"/>
        <w:b/>
        <w:color w:val="FFFFFF"/>
        <w:sz w:val="22"/>
      </w:rPr>
      <w:tblPr/>
      <w:tcPr>
        <w:shd w:val="clear" w:color="auto" w:fill="5B9BD5" w:themeFill="accent1"/>
      </w:tcPr>
    </w:tblStylePr>
    <w:tblStylePr w:type="lastCol">
      <w:pPr>
        <w:snapToGrid/>
      </w:pPr>
      <w:rPr>
        <w:rFonts w:ascii="Arial" w:hAnsi="Arial"/>
        <w:b/>
        <w:color w:val="FFFFFF"/>
        <w:sz w:val="22"/>
      </w:rPr>
      <w:tblPr/>
      <w:tcPr>
        <w:shd w:val="clear" w:color="auto" w:fill="5B9BD5" w:themeFill="accent1"/>
      </w:tcPr>
    </w:tblStylePr>
    <w:tblStylePr w:type="band1Vert">
      <w:pPr>
        <w:snapToGrid/>
      </w:pPr>
      <w:tblPr/>
      <w:tcPr>
        <w:shd w:val="clear" w:color="auto" w:fill="B3D0EB" w:themeFill="accent1" w:themeFillTint="75"/>
      </w:tcPr>
    </w:tblStylePr>
    <w:tblStylePr w:type="band2Vert">
      <w:pPr>
        <w:snapToGrid/>
      </w:pPr>
    </w:tblStylePr>
    <w:tblStylePr w:type="band1Horz">
      <w:pPr>
        <w:snapToGrid/>
      </w:pPr>
      <w:tblPr/>
      <w:tcPr>
        <w:shd w:val="clear" w:color="auto"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auto" w:fill="ED7D31" w:themeFill="accent2"/>
      </w:tcPr>
    </w:tblStylePr>
    <w:tblStylePr w:type="firstCol">
      <w:pPr>
        <w:snapToGrid/>
      </w:pPr>
      <w:rPr>
        <w:rFonts w:ascii="Arial" w:hAnsi="Arial"/>
        <w:b/>
        <w:color w:val="FFFFFF"/>
        <w:sz w:val="22"/>
      </w:rPr>
      <w:tblPr/>
      <w:tcPr>
        <w:shd w:val="clear" w:color="auto" w:fill="ED7D31" w:themeFill="accent2"/>
      </w:tcPr>
    </w:tblStylePr>
    <w:tblStylePr w:type="lastCol">
      <w:pPr>
        <w:snapToGrid/>
      </w:pPr>
      <w:rPr>
        <w:rFonts w:ascii="Arial" w:hAnsi="Arial"/>
        <w:b/>
        <w:color w:val="FFFFFF"/>
        <w:sz w:val="22"/>
      </w:rPr>
      <w:tblPr/>
      <w:tcPr>
        <w:shd w:val="clear" w:color="auto" w:fill="ED7D31" w:themeFill="accent2"/>
      </w:tcPr>
    </w:tblStylePr>
    <w:tblStylePr w:type="band1Vert">
      <w:pPr>
        <w:snapToGrid/>
      </w:pPr>
      <w:tblPr/>
      <w:tcPr>
        <w:shd w:val="clear" w:color="auto" w:fill="F6C3A0" w:themeFill="accent2" w:themeFillTint="75"/>
      </w:tcPr>
    </w:tblStylePr>
    <w:tblStylePr w:type="band2Vert">
      <w:pPr>
        <w:snapToGrid/>
      </w:pPr>
    </w:tblStylePr>
    <w:tblStylePr w:type="band1Horz">
      <w:pPr>
        <w:snapToGrid/>
      </w:pPr>
      <w:tblPr/>
      <w:tcPr>
        <w:shd w:val="clear" w:color="auto"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uto" w:fill="A5A5A5" w:themeFill="accent3"/>
      </w:tcPr>
    </w:tblStylePr>
    <w:tblStylePr w:type="firstCol">
      <w:pPr>
        <w:snapToGrid/>
      </w:pPr>
      <w:rPr>
        <w:rFonts w:ascii="Arial" w:hAnsi="Arial"/>
        <w:b/>
        <w:color w:val="FFFFFF"/>
        <w:sz w:val="22"/>
      </w:rPr>
      <w:tblPr/>
      <w:tcPr>
        <w:shd w:val="clear" w:color="auto" w:fill="A5A5A5" w:themeFill="accent3"/>
      </w:tcPr>
    </w:tblStylePr>
    <w:tblStylePr w:type="lastCol">
      <w:pPr>
        <w:snapToGrid/>
      </w:pPr>
      <w:rPr>
        <w:rFonts w:ascii="Arial" w:hAnsi="Arial"/>
        <w:b/>
        <w:color w:val="FFFFFF"/>
        <w:sz w:val="22"/>
      </w:rPr>
      <w:tblPr/>
      <w:tcPr>
        <w:shd w:val="clear" w:color="auto" w:fill="A5A5A5" w:themeFill="accent3"/>
      </w:tcPr>
    </w:tblStylePr>
    <w:tblStylePr w:type="band1Vert">
      <w:pPr>
        <w:snapToGrid/>
      </w:pPr>
      <w:tblPr/>
      <w:tcPr>
        <w:shd w:val="clear" w:color="auto" w:fill="D5D5D5" w:themeFill="accent3" w:themeFillTint="75"/>
      </w:tcPr>
    </w:tblStylePr>
    <w:tblStylePr w:type="band2Vert">
      <w:pPr>
        <w:snapToGrid/>
      </w:pPr>
    </w:tblStylePr>
    <w:tblStylePr w:type="band1Horz">
      <w:pPr>
        <w:snapToGrid/>
      </w:pPr>
      <w:tblPr/>
      <w:tcPr>
        <w:shd w:val="clear" w:color="auto"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auto" w:fill="FFC000" w:themeFill="accent4"/>
      </w:tcPr>
    </w:tblStylePr>
    <w:tblStylePr w:type="firstCol">
      <w:pPr>
        <w:snapToGrid/>
      </w:pPr>
      <w:rPr>
        <w:rFonts w:ascii="Arial" w:hAnsi="Arial"/>
        <w:b/>
        <w:color w:val="FFFFFF"/>
        <w:sz w:val="22"/>
      </w:rPr>
      <w:tblPr/>
      <w:tcPr>
        <w:shd w:val="clear" w:color="auto" w:fill="FFC000" w:themeFill="accent4"/>
      </w:tcPr>
    </w:tblStylePr>
    <w:tblStylePr w:type="lastCol">
      <w:pPr>
        <w:snapToGrid/>
      </w:pPr>
      <w:rPr>
        <w:rFonts w:ascii="Arial" w:hAnsi="Arial"/>
        <w:b/>
        <w:color w:val="FFFFFF"/>
        <w:sz w:val="22"/>
      </w:rPr>
      <w:tblPr/>
      <w:tcPr>
        <w:shd w:val="clear" w:color="auto" w:fill="FFC000" w:themeFill="accent4"/>
      </w:tcPr>
    </w:tblStylePr>
    <w:tblStylePr w:type="band1Vert">
      <w:pPr>
        <w:snapToGrid/>
      </w:pPr>
      <w:tblPr/>
      <w:tcPr>
        <w:shd w:val="clear" w:color="auto" w:fill="FFE28A" w:themeFill="accent4" w:themeFillTint="75"/>
      </w:tcPr>
    </w:tblStylePr>
    <w:tblStylePr w:type="band2Vert">
      <w:pPr>
        <w:snapToGrid/>
      </w:pPr>
    </w:tblStylePr>
    <w:tblStylePr w:type="band1Horz">
      <w:pPr>
        <w:snapToGrid/>
      </w:pPr>
      <w:tblPr/>
      <w:tcPr>
        <w:shd w:val="clear" w:color="auto"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auto" w:fill="4472C4" w:themeFill="accent5"/>
      </w:tcPr>
    </w:tblStylePr>
    <w:tblStylePr w:type="firstCol">
      <w:pPr>
        <w:snapToGrid/>
      </w:pPr>
      <w:rPr>
        <w:rFonts w:ascii="Arial" w:hAnsi="Arial"/>
        <w:b/>
        <w:color w:val="FFFFFF"/>
        <w:sz w:val="22"/>
      </w:rPr>
      <w:tblPr/>
      <w:tcPr>
        <w:shd w:val="clear" w:color="auto" w:fill="4472C4" w:themeFill="accent5"/>
      </w:tcPr>
    </w:tblStylePr>
    <w:tblStylePr w:type="lastCol">
      <w:pPr>
        <w:snapToGrid/>
      </w:pPr>
      <w:rPr>
        <w:rFonts w:ascii="Arial" w:hAnsi="Arial"/>
        <w:b/>
        <w:color w:val="FFFFFF"/>
        <w:sz w:val="22"/>
      </w:rPr>
      <w:tblPr/>
      <w:tcPr>
        <w:shd w:val="clear" w:color="auto" w:fill="4472C4" w:themeFill="accent5"/>
      </w:tcPr>
    </w:tblStylePr>
    <w:tblStylePr w:type="band1Vert">
      <w:pPr>
        <w:snapToGrid/>
      </w:pPr>
      <w:tblPr/>
      <w:tcPr>
        <w:shd w:val="clear" w:color="auto" w:fill="A9BEE4" w:themeFill="accent5" w:themeFillTint="75"/>
      </w:tcPr>
    </w:tblStylePr>
    <w:tblStylePr w:type="band2Vert">
      <w:pPr>
        <w:snapToGrid/>
      </w:pPr>
    </w:tblStylePr>
    <w:tblStylePr w:type="band1Horz">
      <w:pPr>
        <w:snapToGrid/>
      </w:pPr>
      <w:tblPr/>
      <w:tcPr>
        <w:shd w:val="clear" w:color="auto"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auto" w:fill="70AD47" w:themeFill="accent6"/>
      </w:tcPr>
    </w:tblStylePr>
    <w:tblStylePr w:type="firstCol">
      <w:pPr>
        <w:snapToGrid/>
      </w:pPr>
      <w:rPr>
        <w:rFonts w:ascii="Arial" w:hAnsi="Arial"/>
        <w:b/>
        <w:color w:val="FFFFFF"/>
        <w:sz w:val="22"/>
      </w:rPr>
      <w:tblPr/>
      <w:tcPr>
        <w:shd w:val="clear" w:color="auto" w:fill="70AD47" w:themeFill="accent6"/>
      </w:tcPr>
    </w:tblStylePr>
    <w:tblStylePr w:type="lastCol">
      <w:pPr>
        <w:snapToGrid/>
      </w:pPr>
      <w:rPr>
        <w:rFonts w:ascii="Arial" w:hAnsi="Arial"/>
        <w:b/>
        <w:color w:val="FFFFFF"/>
        <w:sz w:val="22"/>
      </w:rPr>
      <w:tblPr/>
      <w:tcPr>
        <w:shd w:val="clear" w:color="auto" w:fill="70AD47" w:themeFill="accent6"/>
      </w:tcPr>
    </w:tblStylePr>
    <w:tblStylePr w:type="band1Vert">
      <w:pPr>
        <w:snapToGrid/>
      </w:pPr>
      <w:tblPr/>
      <w:tcPr>
        <w:shd w:val="clear" w:color="auto" w:fill="BCDBA8" w:themeFill="accent6" w:themeFillTint="75"/>
      </w:tcPr>
    </w:tblStylePr>
    <w:tblStylePr w:type="band2Vert">
      <w:pPr>
        <w:snapToGrid/>
      </w:pPr>
    </w:tblStylePr>
    <w:tblStylePr w:type="band1Horz">
      <w:pPr>
        <w:snapToGrid/>
      </w:pPr>
      <w:tblPr/>
      <w:tcPr>
        <w:shd w:val="clear" w:color="auto"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0">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auto"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0">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F2F2F2" w:themeFill="text1" w:themeFillTint="0D"/>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F2F2F2" w:themeFill="text1" w:themeFillTint="0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auto"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auto" w:fill="FFFFFF"/>
      </w:tcPr>
    </w:tblStylePr>
    <w:tblStylePr w:type="lastCol">
      <w:pPr>
        <w:snapToGrid/>
      </w:pPr>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auto" w:fill="FFFFFF"/>
      </w:tcPr>
    </w:tblStylePr>
    <w:tblStylePr w:type="band1Vert">
      <w:pPr>
        <w:snapToGrid/>
      </w:pPr>
      <w:tblPr/>
      <w:tcPr>
        <w:shd w:val="clear" w:color="auto"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auto"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pPr>
        <w:snapToGrid/>
      </w:pPr>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pPr>
        <w:snapToGrid/>
      </w:pPr>
      <w:tblPr/>
      <w:tcPr>
        <w:shd w:val="clear" w:color="auto"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auto"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auto"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auto" w:fill="FFFFFF"/>
      </w:tcPr>
    </w:tblStylePr>
    <w:tblStylePr w:type="lastCol">
      <w:pPr>
        <w:snapToGrid/>
      </w:pPr>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auto" w:fill="FFFFFF"/>
      </w:tcPr>
    </w:tblStylePr>
    <w:tblStylePr w:type="band1Vert">
      <w:pPr>
        <w:snapToGrid/>
      </w:pPr>
      <w:tblPr/>
      <w:tcPr>
        <w:shd w:val="clear" w:color="auto"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auto"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pPr>
        <w:snapToGrid/>
      </w:pPr>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pPr>
        <w:snapToGrid/>
      </w:pPr>
      <w:tblPr/>
      <w:tcPr>
        <w:shd w:val="clear" w:color="auto"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auto"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12">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2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32">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42">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BFBFBF" w:themeFill="text1" w:themeFillTint="40"/>
      </w:tcPr>
    </w:tblStylePr>
    <w:tblStylePr w:type="band2Vert">
      <w:pPr>
        <w:snapToGrid/>
      </w:pPr>
    </w:tblStylePr>
    <w:tblStylePr w:type="band1Horz">
      <w:pPr>
        <w:snapToGrid/>
      </w:pPr>
      <w:rPr>
        <w:rFonts w:ascii="Arial" w:hAnsi="Arial"/>
        <w:color w:val="404040"/>
        <w:sz w:val="22"/>
      </w:rPr>
      <w:tblPr/>
      <w:tcPr>
        <w:shd w:val="clear" w:color="auto"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auto"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auto"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auto"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auto"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auto"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uto"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auto"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auto"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52">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auto"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auto"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auto"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5B9BD5" w:themeFill="accent1"/>
      </w:tcPr>
    </w:tblStylePr>
    <w:tblStylePr w:type="band2Horz">
      <w:pPr>
        <w:snapToGrid/>
      </w:pPr>
      <w:tblPr/>
      <w:tcPr>
        <w:tcBorders>
          <w:top w:val="single" w:sz="4" w:space="0" w:color="FFFFFF" w:themeColor="light1"/>
          <w:bottom w:val="single" w:sz="4" w:space="0" w:color="FFFFFF" w:themeColor="light1"/>
        </w:tcBorders>
        <w:shd w:val="clear" w:color="auto"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auto"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auto"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auto"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auto"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auto"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auto"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uto"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uto"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61">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auto"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71">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pPr>
        <w:snapToGrid/>
      </w:pPr>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pPr>
        <w:snapToGrid/>
      </w:pPr>
      <w:tblPr/>
      <w:tcPr>
        <w:shd w:val="clear" w:color="auto"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auto"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auto"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auto" w:fill="FFFFFF"/>
      </w:tcPr>
    </w:tblStylePr>
    <w:tblStylePr w:type="lastCol">
      <w:pPr>
        <w:snapToGrid/>
      </w:pPr>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auto" w:fill="FFFFFF"/>
      </w:tcPr>
    </w:tblStylePr>
    <w:tblStylePr w:type="band1Vert">
      <w:pPr>
        <w:snapToGrid/>
      </w:pPr>
      <w:tblPr/>
      <w:tcPr>
        <w:shd w:val="clear" w:color="auto"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auto"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pPr>
        <w:snapToGrid/>
      </w:pPr>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pPr>
        <w:snapToGrid/>
      </w:pPr>
      <w:tblPr/>
      <w:tcPr>
        <w:shd w:val="clear" w:color="auto"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auto"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pPr>
        <w:snapToGrid/>
      </w:pPr>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pPr>
        <w:snapToGrid/>
      </w:pPr>
      <w:tblPr/>
      <w:tcPr>
        <w:shd w:val="clear" w:color="auto"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auto"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pPr>
        <w:snapToGrid/>
      </w:pPr>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pPr>
        <w:snapToGrid/>
      </w:pPr>
      <w:tblPr/>
      <w:tcPr>
        <w:shd w:val="clear" w:color="auto"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auto"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auto"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auto" w:fill="FFFFFF"/>
      </w:tcPr>
    </w:tblStylePr>
    <w:tblStylePr w:type="lastCol">
      <w:pPr>
        <w:snapToGrid/>
      </w:pPr>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auto" w:fill="FFFFFF"/>
      </w:tcPr>
    </w:tblStylePr>
    <w:tblStylePr w:type="band1Vert">
      <w:pPr>
        <w:snapToGrid/>
      </w:pPr>
      <w:tblPr/>
      <w:tcPr>
        <w:shd w:val="clear" w:color="auto"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auto"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snapToGrid/>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pPr>
        <w:snapToGrid/>
      </w:pPr>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pPr>
        <w:snapToGrid/>
      </w:pPr>
      <w:tblPr/>
      <w:tcPr>
        <w:shd w:val="clear" w:color="auto"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auto"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Pr>
      <w:color w:val="40404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Pr>
      <w:color w:val="40404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7F7F7F" w:themeFill="text1" w:themeFillTint="80"/>
      </w:tcPr>
    </w:tblStylePr>
    <w:tblStylePr w:type="lastRow">
      <w:pPr>
        <w:snapToGrid/>
      </w:pPr>
      <w:rPr>
        <w:rFonts w:ascii="Arial" w:hAnsi="Arial"/>
        <w:color w:val="F2F2F2"/>
        <w:sz w:val="22"/>
      </w:rPr>
      <w:tblPr/>
      <w:tcPr>
        <w:shd w:val="clear" w:color="auto" w:fill="7F7F7F" w:themeFill="text1" w:themeFillTint="80"/>
      </w:tcPr>
    </w:tblStylePr>
    <w:tblStylePr w:type="firstCol">
      <w:pPr>
        <w:snapToGrid/>
      </w:pPr>
      <w:rPr>
        <w:rFonts w:ascii="Arial" w:hAnsi="Arial"/>
        <w:color w:val="F2F2F2"/>
        <w:sz w:val="22"/>
      </w:rPr>
      <w:tblPr/>
      <w:tcPr>
        <w:shd w:val="clear" w:color="auto" w:fill="7F7F7F" w:themeFill="text1" w:themeFillTint="80"/>
      </w:tcPr>
    </w:tblStylePr>
    <w:tblStylePr w:type="lastCol">
      <w:pPr>
        <w:snapToGrid/>
      </w:pPr>
      <w:rPr>
        <w:rFonts w:ascii="Arial" w:hAnsi="Arial"/>
        <w:color w:val="F2F2F2"/>
        <w:sz w:val="22"/>
      </w:rPr>
      <w:tblPr/>
      <w:tcPr>
        <w:shd w:val="clear" w:color="auto"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Pr>
      <w:color w:val="40404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68A2D8" w:themeFill="accent1" w:themeFillTint="EA"/>
      </w:tcPr>
    </w:tblStylePr>
    <w:tblStylePr w:type="lastRow">
      <w:pPr>
        <w:snapToGrid/>
      </w:pPr>
      <w:rPr>
        <w:rFonts w:ascii="Arial" w:hAnsi="Arial"/>
        <w:color w:val="F2F2F2"/>
        <w:sz w:val="22"/>
      </w:rPr>
      <w:tblPr/>
      <w:tcPr>
        <w:shd w:val="clear" w:color="auto" w:fill="68A2D8" w:themeFill="accent1" w:themeFillTint="EA"/>
      </w:tcPr>
    </w:tblStylePr>
    <w:tblStylePr w:type="firstCol">
      <w:pPr>
        <w:snapToGrid/>
      </w:pPr>
      <w:rPr>
        <w:rFonts w:ascii="Arial" w:hAnsi="Arial"/>
        <w:color w:val="F2F2F2"/>
        <w:sz w:val="22"/>
      </w:rPr>
      <w:tblPr/>
      <w:tcPr>
        <w:shd w:val="clear" w:color="auto" w:fill="68A2D8" w:themeFill="accent1" w:themeFillTint="EA"/>
      </w:tcPr>
    </w:tblStylePr>
    <w:tblStylePr w:type="lastCol">
      <w:pPr>
        <w:snapToGrid/>
      </w:pPr>
      <w:rPr>
        <w:rFonts w:ascii="Arial" w:hAnsi="Arial"/>
        <w:color w:val="F2F2F2"/>
        <w:sz w:val="22"/>
      </w:rPr>
      <w:tblPr/>
      <w:tcPr>
        <w:shd w:val="clear" w:color="auto"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Pr>
      <w:color w:val="40404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F4B184" w:themeFill="accent2" w:themeFillTint="97"/>
      </w:tcPr>
    </w:tblStylePr>
    <w:tblStylePr w:type="lastRow">
      <w:pPr>
        <w:snapToGrid/>
      </w:pPr>
      <w:rPr>
        <w:rFonts w:ascii="Arial" w:hAnsi="Arial"/>
        <w:color w:val="F2F2F2"/>
        <w:sz w:val="22"/>
      </w:rPr>
      <w:tblPr/>
      <w:tcPr>
        <w:shd w:val="clear" w:color="auto" w:fill="F4B184" w:themeFill="accent2" w:themeFillTint="97"/>
      </w:tcPr>
    </w:tblStylePr>
    <w:tblStylePr w:type="firstCol">
      <w:pPr>
        <w:snapToGrid/>
      </w:pPr>
      <w:rPr>
        <w:rFonts w:ascii="Arial" w:hAnsi="Arial"/>
        <w:color w:val="F2F2F2"/>
        <w:sz w:val="22"/>
      </w:rPr>
      <w:tblPr/>
      <w:tcPr>
        <w:shd w:val="clear" w:color="auto" w:fill="F4B184" w:themeFill="accent2" w:themeFillTint="97"/>
      </w:tcPr>
    </w:tblStylePr>
    <w:tblStylePr w:type="lastCol">
      <w:pPr>
        <w:snapToGrid/>
      </w:pPr>
      <w:rPr>
        <w:rFonts w:ascii="Arial" w:hAnsi="Arial"/>
        <w:color w:val="F2F2F2"/>
        <w:sz w:val="22"/>
      </w:rPr>
      <w:tblPr/>
      <w:tcPr>
        <w:shd w:val="clear" w:color="auto"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Pr>
      <w:color w:val="40404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A5A5A5" w:themeFill="accent3" w:themeFillTint="FE"/>
      </w:tcPr>
    </w:tblStylePr>
    <w:tblStylePr w:type="lastRow">
      <w:pPr>
        <w:snapToGrid/>
      </w:pPr>
      <w:rPr>
        <w:rFonts w:ascii="Arial" w:hAnsi="Arial"/>
        <w:color w:val="F2F2F2"/>
        <w:sz w:val="22"/>
      </w:rPr>
      <w:tblPr/>
      <w:tcPr>
        <w:shd w:val="clear" w:color="auto" w:fill="A5A5A5" w:themeFill="accent3" w:themeFillTint="FE"/>
      </w:tcPr>
    </w:tblStylePr>
    <w:tblStylePr w:type="firstCol">
      <w:pPr>
        <w:snapToGrid/>
      </w:pPr>
      <w:rPr>
        <w:rFonts w:ascii="Arial" w:hAnsi="Arial"/>
        <w:color w:val="F2F2F2"/>
        <w:sz w:val="22"/>
      </w:rPr>
      <w:tblPr/>
      <w:tcPr>
        <w:shd w:val="clear" w:color="auto" w:fill="A5A5A5" w:themeFill="accent3" w:themeFillTint="FE"/>
      </w:tcPr>
    </w:tblStylePr>
    <w:tblStylePr w:type="lastCol">
      <w:pPr>
        <w:snapToGrid/>
      </w:pPr>
      <w:rPr>
        <w:rFonts w:ascii="Arial" w:hAnsi="Arial"/>
        <w:color w:val="F2F2F2"/>
        <w:sz w:val="22"/>
      </w:rPr>
      <w:tblPr/>
      <w:tcPr>
        <w:shd w:val="clear" w:color="auto"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Pr>
      <w:color w:val="40404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FFD865" w:themeFill="accent4" w:themeFillTint="9A"/>
      </w:tcPr>
    </w:tblStylePr>
    <w:tblStylePr w:type="lastRow">
      <w:pPr>
        <w:snapToGrid/>
      </w:pPr>
      <w:rPr>
        <w:rFonts w:ascii="Arial" w:hAnsi="Arial"/>
        <w:color w:val="F2F2F2"/>
        <w:sz w:val="22"/>
      </w:rPr>
      <w:tblPr/>
      <w:tcPr>
        <w:shd w:val="clear" w:color="auto" w:fill="FFD865" w:themeFill="accent4" w:themeFillTint="9A"/>
      </w:tcPr>
    </w:tblStylePr>
    <w:tblStylePr w:type="firstCol">
      <w:pPr>
        <w:snapToGrid/>
      </w:pPr>
      <w:rPr>
        <w:rFonts w:ascii="Arial" w:hAnsi="Arial"/>
        <w:color w:val="F2F2F2"/>
        <w:sz w:val="22"/>
      </w:rPr>
      <w:tblPr/>
      <w:tcPr>
        <w:shd w:val="clear" w:color="auto" w:fill="FFD865" w:themeFill="accent4" w:themeFillTint="9A"/>
      </w:tcPr>
    </w:tblStylePr>
    <w:tblStylePr w:type="lastCol">
      <w:pPr>
        <w:snapToGrid/>
      </w:pPr>
      <w:rPr>
        <w:rFonts w:ascii="Arial" w:hAnsi="Arial"/>
        <w:color w:val="F2F2F2"/>
        <w:sz w:val="22"/>
      </w:rPr>
      <w:tblPr/>
      <w:tcPr>
        <w:shd w:val="clear" w:color="auto"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Pr>
      <w:color w:val="40404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4472C4" w:themeFill="accent5"/>
      </w:tcPr>
    </w:tblStylePr>
    <w:tblStylePr w:type="lastRow">
      <w:pPr>
        <w:snapToGrid/>
      </w:pPr>
      <w:rPr>
        <w:rFonts w:ascii="Arial" w:hAnsi="Arial"/>
        <w:color w:val="F2F2F2"/>
        <w:sz w:val="22"/>
      </w:rPr>
      <w:tblPr/>
      <w:tcPr>
        <w:shd w:val="clear" w:color="auto" w:fill="4472C4" w:themeFill="accent5"/>
      </w:tcPr>
    </w:tblStylePr>
    <w:tblStylePr w:type="firstCol">
      <w:pPr>
        <w:snapToGrid/>
      </w:pPr>
      <w:rPr>
        <w:rFonts w:ascii="Arial" w:hAnsi="Arial"/>
        <w:color w:val="F2F2F2"/>
        <w:sz w:val="22"/>
      </w:rPr>
      <w:tblPr/>
      <w:tcPr>
        <w:shd w:val="clear" w:color="auto" w:fill="4472C4" w:themeFill="accent5"/>
      </w:tcPr>
    </w:tblStylePr>
    <w:tblStylePr w:type="lastCol">
      <w:pPr>
        <w:snapToGrid/>
      </w:pPr>
      <w:rPr>
        <w:rFonts w:ascii="Arial" w:hAnsi="Arial"/>
        <w:color w:val="F2F2F2"/>
        <w:sz w:val="22"/>
      </w:rPr>
      <w:tblPr/>
      <w:tcPr>
        <w:shd w:val="clear" w:color="auto"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Pr>
      <w:color w:val="40404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uto" w:fill="70AD47" w:themeFill="accent6"/>
      </w:tcPr>
    </w:tblStylePr>
    <w:tblStylePr w:type="lastRow">
      <w:pPr>
        <w:snapToGrid/>
      </w:pPr>
      <w:rPr>
        <w:rFonts w:ascii="Arial" w:hAnsi="Arial"/>
        <w:color w:val="F2F2F2"/>
        <w:sz w:val="22"/>
      </w:rPr>
      <w:tblPr/>
      <w:tcPr>
        <w:shd w:val="clear" w:color="auto" w:fill="70AD47" w:themeFill="accent6"/>
      </w:tcPr>
    </w:tblStylePr>
    <w:tblStylePr w:type="firstCol">
      <w:pPr>
        <w:snapToGrid/>
      </w:pPr>
      <w:rPr>
        <w:rFonts w:ascii="Arial" w:hAnsi="Arial"/>
        <w:color w:val="F2F2F2"/>
        <w:sz w:val="22"/>
      </w:rPr>
      <w:tblPr/>
      <w:tcPr>
        <w:shd w:val="clear" w:color="auto" w:fill="70AD47" w:themeFill="accent6"/>
      </w:tcPr>
    </w:tblStylePr>
    <w:tblStylePr w:type="lastCol">
      <w:pPr>
        <w:snapToGrid/>
      </w:pPr>
      <w:rPr>
        <w:rFonts w:ascii="Arial" w:hAnsi="Arial"/>
        <w:color w:val="F2F2F2"/>
        <w:sz w:val="22"/>
      </w:rPr>
      <w:tblPr/>
      <w:tcPr>
        <w:shd w:val="clear" w:color="auto"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auto"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auto"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b">
    <w:name w:val="footnote text"/>
    <w:basedOn w:val="a"/>
    <w:link w:val="Char5"/>
    <w:uiPriority w:val="99"/>
    <w:semiHidden/>
    <w:unhideWhenUsed/>
    <w:pPr>
      <w:spacing w:after="40"/>
    </w:pPr>
    <w:rPr>
      <w:sz w:val="18"/>
    </w:rPr>
  </w:style>
  <w:style w:type="character" w:customStyle="1" w:styleId="Char5">
    <w:name w:val="脚注文本 Char"/>
    <w:link w:val="ab"/>
    <w:uiPriority w:val="99"/>
    <w:rPr>
      <w:sz w:val="18"/>
    </w:rPr>
  </w:style>
  <w:style w:type="character" w:styleId="ac">
    <w:name w:val="footnote reference"/>
    <w:basedOn w:val="a0"/>
    <w:uiPriority w:val="99"/>
    <w:unhideWhenUsed/>
    <w:rPr>
      <w:vertAlign w:val="superscript"/>
    </w:rPr>
  </w:style>
  <w:style w:type="paragraph" w:styleId="TOC">
    <w:name w:val="TOC Heading"/>
    <w:uiPriority w:val="39"/>
    <w:unhideWhenUsed/>
  </w:style>
  <w:style w:type="paragraph" w:styleId="72">
    <w:name w:val="toc 7"/>
    <w:basedOn w:val="a"/>
    <w:next w:val="a"/>
    <w:semiHidden/>
    <w:qFormat/>
    <w:pPr>
      <w:ind w:left="2520"/>
    </w:pPr>
  </w:style>
  <w:style w:type="paragraph" w:styleId="ad">
    <w:name w:val="Normal Indent"/>
    <w:basedOn w:val="a"/>
    <w:qFormat/>
    <w:pPr>
      <w:ind w:firstLine="420"/>
    </w:pPr>
    <w:rPr>
      <w:szCs w:val="20"/>
    </w:rPr>
  </w:style>
  <w:style w:type="paragraph" w:styleId="ae">
    <w:name w:val="Document Map"/>
    <w:basedOn w:val="a"/>
    <w:semiHidden/>
    <w:qFormat/>
    <w:pPr>
      <w:shd w:val="clear" w:color="auto" w:fill="000080"/>
    </w:pPr>
  </w:style>
  <w:style w:type="paragraph" w:styleId="af">
    <w:name w:val="annotation text"/>
    <w:basedOn w:val="a"/>
    <w:link w:val="Char6"/>
    <w:qFormat/>
    <w:pPr>
      <w:jc w:val="left"/>
    </w:pPr>
  </w:style>
  <w:style w:type="paragraph" w:styleId="af0">
    <w:name w:val="Body Text Indent"/>
    <w:basedOn w:val="a"/>
    <w:qFormat/>
    <w:pPr>
      <w:spacing w:line="400" w:lineRule="exact"/>
      <w:ind w:firstLine="538"/>
    </w:pPr>
    <w:rPr>
      <w:rFonts w:ascii="仿宋_GB2312" w:eastAsia="仿宋_GB2312" w:hAnsi="宋体"/>
      <w:color w:val="000000"/>
      <w:sz w:val="28"/>
    </w:rPr>
  </w:style>
  <w:style w:type="paragraph" w:styleId="53">
    <w:name w:val="toc 5"/>
    <w:basedOn w:val="a"/>
    <w:next w:val="a"/>
    <w:semiHidden/>
    <w:qFormat/>
    <w:pPr>
      <w:ind w:left="1680"/>
    </w:pPr>
  </w:style>
  <w:style w:type="paragraph" w:styleId="33">
    <w:name w:val="toc 3"/>
    <w:basedOn w:val="a"/>
    <w:next w:val="a"/>
    <w:semiHidden/>
    <w:qFormat/>
    <w:pPr>
      <w:ind w:left="840"/>
    </w:pPr>
  </w:style>
  <w:style w:type="paragraph" w:styleId="af1">
    <w:name w:val="Plain Text"/>
    <w:basedOn w:val="a"/>
    <w:qFormat/>
    <w:rPr>
      <w:rFonts w:ascii="宋体" w:hAnsi="Courier New"/>
      <w:szCs w:val="21"/>
    </w:rPr>
  </w:style>
  <w:style w:type="paragraph" w:styleId="80">
    <w:name w:val="toc 8"/>
    <w:basedOn w:val="a"/>
    <w:next w:val="a"/>
    <w:semiHidden/>
    <w:qFormat/>
    <w:pPr>
      <w:ind w:left="2940"/>
    </w:pPr>
  </w:style>
  <w:style w:type="paragraph" w:styleId="23">
    <w:name w:val="Body Text Indent 2"/>
    <w:basedOn w:val="a"/>
    <w:qFormat/>
    <w:pPr>
      <w:tabs>
        <w:tab w:val="left" w:pos="540"/>
      </w:tabs>
      <w:ind w:left="540" w:firstLine="540"/>
    </w:pPr>
    <w:rPr>
      <w:rFonts w:eastAsia="长城仿宋"/>
      <w:sz w:val="24"/>
      <w:szCs w:val="20"/>
    </w:rPr>
  </w:style>
  <w:style w:type="paragraph" w:styleId="af2">
    <w:name w:val="Balloon Text"/>
    <w:basedOn w:val="a"/>
    <w:semiHidden/>
    <w:qFormat/>
    <w:rPr>
      <w:sz w:val="18"/>
      <w:szCs w:val="18"/>
    </w:rPr>
  </w:style>
  <w:style w:type="paragraph" w:styleId="a9">
    <w:name w:val="footer"/>
    <w:basedOn w:val="a"/>
    <w:link w:val="Char4"/>
    <w:qFormat/>
    <w:pPr>
      <w:tabs>
        <w:tab w:val="center" w:pos="4153"/>
        <w:tab w:val="right" w:pos="8306"/>
      </w:tabs>
      <w:snapToGrid w:val="0"/>
      <w:jc w:val="left"/>
    </w:pPr>
    <w:rPr>
      <w:sz w:val="18"/>
      <w:szCs w:val="18"/>
    </w:rPr>
  </w:style>
  <w:style w:type="paragraph" w:styleId="a8">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semiHidden/>
    <w:qFormat/>
  </w:style>
  <w:style w:type="paragraph" w:styleId="43">
    <w:name w:val="toc 4"/>
    <w:basedOn w:val="a"/>
    <w:next w:val="a"/>
    <w:qFormat/>
    <w:pPr>
      <w:ind w:left="1260"/>
    </w:pPr>
  </w:style>
  <w:style w:type="paragraph" w:styleId="62">
    <w:name w:val="toc 6"/>
    <w:basedOn w:val="a"/>
    <w:next w:val="a"/>
    <w:semiHidden/>
    <w:qFormat/>
    <w:pPr>
      <w:ind w:left="2100"/>
    </w:pPr>
  </w:style>
  <w:style w:type="paragraph" w:styleId="34">
    <w:name w:val="Body Text Indent 3"/>
    <w:basedOn w:val="a"/>
    <w:qFormat/>
    <w:pPr>
      <w:ind w:left="360" w:firstLine="540"/>
    </w:pPr>
    <w:rPr>
      <w:rFonts w:eastAsia="长城仿宋"/>
      <w:sz w:val="24"/>
      <w:szCs w:val="20"/>
    </w:rPr>
  </w:style>
  <w:style w:type="paragraph" w:styleId="24">
    <w:name w:val="toc 2"/>
    <w:basedOn w:val="a"/>
    <w:next w:val="a"/>
    <w:semiHidden/>
    <w:qFormat/>
    <w:pPr>
      <w:ind w:left="420"/>
    </w:pPr>
  </w:style>
  <w:style w:type="paragraph" w:styleId="90">
    <w:name w:val="toc 9"/>
    <w:basedOn w:val="a"/>
    <w:next w:val="a"/>
    <w:semiHidden/>
    <w:qFormat/>
    <w:pPr>
      <w:ind w:left="3360"/>
    </w:pPr>
  </w:style>
  <w:style w:type="paragraph" w:styleId="25">
    <w:name w:val="Body Text 2"/>
    <w:basedOn w:val="a"/>
    <w:qFormat/>
    <w:pPr>
      <w:spacing w:after="120" w:line="480" w:lineRule="auto"/>
    </w:pPr>
  </w:style>
  <w:style w:type="paragraph" w:styleId="af3">
    <w:name w:val="annotation subject"/>
    <w:basedOn w:val="af"/>
    <w:next w:val="af"/>
    <w:link w:val="Char7"/>
    <w:qFormat/>
    <w:rPr>
      <w:b/>
      <w:bCs/>
    </w:rPr>
  </w:style>
  <w:style w:type="character" w:styleId="af4">
    <w:name w:val="page number"/>
    <w:basedOn w:val="a0"/>
    <w:qFormat/>
  </w:style>
  <w:style w:type="character" w:styleId="af5">
    <w:name w:val="Hyperlink"/>
    <w:qFormat/>
    <w:rPr>
      <w:color w:val="0000FF"/>
      <w:u w:val="single"/>
    </w:rPr>
  </w:style>
  <w:style w:type="character" w:styleId="af6">
    <w:name w:val="annotation reference"/>
    <w:qFormat/>
    <w:rPr>
      <w:sz w:val="21"/>
      <w:szCs w:val="21"/>
    </w:rPr>
  </w:style>
  <w:style w:type="paragraph" w:customStyle="1" w:styleId="Web">
    <w:name w:val="普通 (Web)"/>
    <w:basedOn w:val="a"/>
    <w:qFormat/>
    <w:pPr>
      <w:widowControl/>
      <w:spacing w:before="100" w:beforeAutospacing="1" w:after="100" w:afterAutospacing="1"/>
      <w:jc w:val="left"/>
    </w:pPr>
    <w:rPr>
      <w:rFonts w:ascii="宋体" w:hAnsi="宋体"/>
      <w:sz w:val="24"/>
    </w:rPr>
  </w:style>
  <w:style w:type="paragraph" w:customStyle="1" w:styleId="Char8">
    <w:name w:val="Char"/>
    <w:basedOn w:val="a"/>
    <w:qFormat/>
  </w:style>
  <w:style w:type="paragraph" w:customStyle="1" w:styleId="14">
    <w:name w:val="修订1"/>
    <w:hidden/>
    <w:uiPriority w:val="99"/>
    <w:semiHidden/>
    <w:qFormat/>
    <w:rPr>
      <w:sz w:val="21"/>
      <w:szCs w:val="24"/>
    </w:rPr>
  </w:style>
  <w:style w:type="character" w:customStyle="1" w:styleId="unnamed11">
    <w:name w:val="unnamed11"/>
    <w:qFormat/>
    <w:rPr>
      <w:rFonts w:ascii="宋体" w:eastAsia="宋体" w:hAnsi="宋体" w:hint="eastAsia"/>
      <w:sz w:val="18"/>
    </w:rPr>
  </w:style>
  <w:style w:type="paragraph" w:customStyle="1" w:styleId="CharChar">
    <w:name w:val="Char Char"/>
    <w:basedOn w:val="a"/>
    <w:qFormat/>
    <w:rPr>
      <w:szCs w:val="20"/>
    </w:rPr>
  </w:style>
  <w:style w:type="character" w:customStyle="1" w:styleId="Char6">
    <w:name w:val="批注文字 Char"/>
    <w:link w:val="af"/>
    <w:qFormat/>
    <w:rPr>
      <w:sz w:val="21"/>
      <w:szCs w:val="24"/>
    </w:rPr>
  </w:style>
  <w:style w:type="character" w:customStyle="1" w:styleId="Char7">
    <w:name w:val="批注主题 Char"/>
    <w:link w:val="af3"/>
    <w:qFormat/>
    <w:rPr>
      <w:b/>
      <w:bCs/>
      <w:sz w:val="21"/>
      <w:szCs w:val="24"/>
    </w:rPr>
  </w:style>
  <w:style w:type="paragraph" w:customStyle="1" w:styleId="Default">
    <w:name w:val="Default"/>
    <w:qFormat/>
    <w:pPr>
      <w:widowControl w:val="0"/>
    </w:pPr>
    <w:rPr>
      <w:rFonts w:ascii="仿宋_GB2312" w:eastAsia="仿宋_GB2312" w:hAnsi="Calibri" w:cs="仿宋_GB2312"/>
      <w:color w:val="000000"/>
      <w:sz w:val="24"/>
      <w:szCs w:val="24"/>
    </w:rPr>
  </w:style>
  <w:style w:type="paragraph" w:styleId="af7">
    <w:name w:val="List Paragraph"/>
    <w:basedOn w:val="a"/>
    <w:uiPriority w:val="34"/>
    <w:qFormat/>
    <w:pPr>
      <w:ind w:firstLine="420"/>
    </w:pPr>
    <w:rPr>
      <w:rFonts w:ascii="Calibri" w:hAnsi="Calibri"/>
      <w:szCs w:val="22"/>
    </w:rPr>
  </w:style>
  <w:style w:type="paragraph" w:customStyle="1" w:styleId="26">
    <w:name w:val="修订2"/>
    <w:hidden/>
    <w:uiPriority w:val="99"/>
    <w:semiHidden/>
    <w:qFormat/>
    <w:rPr>
      <w:sz w:val="21"/>
      <w:szCs w:val="24"/>
    </w:rPr>
  </w:style>
  <w:style w:type="paragraph" w:styleId="af8">
    <w:name w:val="Revision"/>
    <w:hidden/>
    <w:uiPriority w:val="99"/>
    <w:semiHidden/>
    <w:rsid w:val="0089082B"/>
    <w:pPr>
      <w:pBdr>
        <w:top w:val="none" w:sz="0" w:space="0" w:color="auto"/>
        <w:left w:val="none" w:sz="0" w:space="0" w:color="auto"/>
        <w:bottom w:val="none" w:sz="0" w:space="0" w:color="auto"/>
        <w:right w:val="none" w:sz="0" w:space="0" w:color="auto"/>
        <w:between w:val="none" w:sz="0" w:space="0" w:color="auto"/>
      </w:pBdr>
    </w:pPr>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3656</Words>
  <Characters>20844</Characters>
  <Application>Microsoft Office Word</Application>
  <DocSecurity>0</DocSecurity>
  <Lines>173</Lines>
  <Paragraphs>48</Paragraphs>
  <ScaleCrop>false</ScaleCrop>
  <Company>EastHome</Company>
  <LinksUpToDate>false</LinksUpToDate>
  <CharactersWithSpaces>24452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金鹰成份股优选证券投资基金托管协议</dc:title>
  <dc:creator>user</dc:creator>
  <cp:lastModifiedBy>hjy1229</cp:lastModifiedBy>
  <cp:revision>3</cp:revision>
  <dcterms:created xsi:type="dcterms:W3CDTF">2025-12-30T04:44:00Z</dcterms:created>
  <dcterms:modified xsi:type="dcterms:W3CDTF">2025-12-30T04:44:00Z</dcterms:modified>
</cp:coreProperties>
</file>