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0947">
      <w:pPr>
        <w:ind w:firstLine="0" w:firstLineChars="0"/>
        <w:jc w:val="center"/>
        <w:rPr>
          <w:sz w:val="44"/>
          <w:szCs w:val="44"/>
        </w:rPr>
      </w:pPr>
      <w:bookmarkStart w:id="80" w:name="_GoBack"/>
      <w:bookmarkEnd w:id="80"/>
    </w:p>
    <w:p w14:paraId="4E7C4A58">
      <w:pPr>
        <w:ind w:firstLine="0" w:firstLineChars="0"/>
        <w:jc w:val="center"/>
        <w:rPr>
          <w:sz w:val="44"/>
          <w:szCs w:val="44"/>
        </w:rPr>
      </w:pPr>
    </w:p>
    <w:p w14:paraId="5B4466F8">
      <w:pPr>
        <w:ind w:firstLine="0" w:firstLineChars="0"/>
        <w:jc w:val="center"/>
        <w:rPr>
          <w:sz w:val="44"/>
          <w:szCs w:val="44"/>
        </w:rPr>
      </w:pPr>
    </w:p>
    <w:p w14:paraId="7C8E291C">
      <w:pPr>
        <w:ind w:firstLine="0" w:firstLineChars="0"/>
        <w:jc w:val="center"/>
        <w:rPr>
          <w:sz w:val="44"/>
          <w:szCs w:val="44"/>
        </w:rPr>
      </w:pPr>
    </w:p>
    <w:p w14:paraId="6E513AF9">
      <w:pPr>
        <w:ind w:firstLine="0" w:firstLineChars="0"/>
        <w:jc w:val="center"/>
        <w:rPr>
          <w:b/>
          <w:sz w:val="44"/>
          <w:szCs w:val="44"/>
        </w:rPr>
      </w:pPr>
      <w:r>
        <w:rPr>
          <w:rFonts w:hint="eastAsia"/>
          <w:b/>
          <w:sz w:val="44"/>
          <w:szCs w:val="44"/>
        </w:rPr>
        <w:t>富国嘉汇债券型证券投资基金</w:t>
      </w:r>
    </w:p>
    <w:p w14:paraId="63160856">
      <w:pPr>
        <w:ind w:firstLine="0" w:firstLineChars="0"/>
        <w:jc w:val="center"/>
        <w:rPr>
          <w:b/>
          <w:sz w:val="44"/>
          <w:szCs w:val="44"/>
        </w:rPr>
      </w:pPr>
      <w:r>
        <w:rPr>
          <w:rFonts w:hint="eastAsia"/>
          <w:b/>
          <w:sz w:val="44"/>
          <w:szCs w:val="44"/>
        </w:rPr>
        <w:t>招募说明书</w:t>
      </w:r>
    </w:p>
    <w:p w14:paraId="36860558">
      <w:pPr>
        <w:ind w:firstLine="0" w:firstLineChars="0"/>
        <w:jc w:val="center"/>
        <w:rPr>
          <w:b/>
          <w:sz w:val="44"/>
          <w:szCs w:val="44"/>
        </w:rPr>
      </w:pPr>
    </w:p>
    <w:p w14:paraId="732C8857">
      <w:pPr>
        <w:ind w:firstLine="0" w:firstLineChars="0"/>
        <w:jc w:val="center"/>
        <w:rPr>
          <w:sz w:val="44"/>
          <w:szCs w:val="44"/>
        </w:rPr>
      </w:pPr>
    </w:p>
    <w:p w14:paraId="4358E83C">
      <w:pPr>
        <w:ind w:firstLine="0" w:firstLineChars="0"/>
        <w:jc w:val="center"/>
        <w:rPr>
          <w:sz w:val="44"/>
          <w:szCs w:val="44"/>
        </w:rPr>
      </w:pPr>
    </w:p>
    <w:p w14:paraId="2A801AE9">
      <w:pPr>
        <w:ind w:firstLine="0" w:firstLineChars="0"/>
        <w:jc w:val="center"/>
        <w:rPr>
          <w:sz w:val="44"/>
          <w:szCs w:val="44"/>
        </w:rPr>
      </w:pPr>
    </w:p>
    <w:p w14:paraId="55153A2C">
      <w:pPr>
        <w:ind w:firstLine="0" w:firstLineChars="0"/>
        <w:jc w:val="center"/>
        <w:rPr>
          <w:sz w:val="44"/>
          <w:szCs w:val="44"/>
        </w:rPr>
      </w:pPr>
    </w:p>
    <w:p w14:paraId="10AE2B60">
      <w:pPr>
        <w:ind w:firstLine="0" w:firstLineChars="0"/>
        <w:jc w:val="center"/>
        <w:rPr>
          <w:sz w:val="44"/>
          <w:szCs w:val="44"/>
        </w:rPr>
      </w:pPr>
    </w:p>
    <w:p w14:paraId="09058EE6">
      <w:pPr>
        <w:ind w:firstLine="0" w:firstLineChars="0"/>
        <w:jc w:val="center"/>
        <w:rPr>
          <w:sz w:val="44"/>
          <w:szCs w:val="44"/>
        </w:rPr>
      </w:pPr>
    </w:p>
    <w:p w14:paraId="3A3F7BA7">
      <w:pPr>
        <w:ind w:firstLine="0" w:firstLineChars="0"/>
        <w:jc w:val="center"/>
        <w:rPr>
          <w:b/>
          <w:bCs/>
          <w:sz w:val="30"/>
          <w:szCs w:val="30"/>
        </w:rPr>
      </w:pPr>
      <w:r>
        <w:rPr>
          <w:rFonts w:hint="eastAsia"/>
          <w:b/>
          <w:bCs/>
          <w:sz w:val="30"/>
          <w:szCs w:val="30"/>
        </w:rPr>
        <w:t>基金管理人：富国基金管理有限公司</w:t>
      </w:r>
    </w:p>
    <w:p w14:paraId="78FC9BFB">
      <w:pPr>
        <w:ind w:firstLine="0" w:firstLineChars="0"/>
        <w:jc w:val="center"/>
        <w:rPr>
          <w:b/>
          <w:bCs/>
          <w:sz w:val="30"/>
          <w:szCs w:val="30"/>
        </w:rPr>
      </w:pPr>
      <w:r>
        <w:rPr>
          <w:rFonts w:hint="eastAsia"/>
          <w:b/>
          <w:bCs/>
          <w:sz w:val="30"/>
          <w:szCs w:val="30"/>
        </w:rPr>
        <w:t>基金托管人：财通证券股份有限公司</w:t>
      </w:r>
    </w:p>
    <w:p w14:paraId="349A1FF2">
      <w:pPr>
        <w:ind w:firstLine="0" w:firstLineChars="0"/>
        <w:jc w:val="center"/>
        <w:rPr>
          <w:b/>
          <w:bCs/>
          <w:sz w:val="30"/>
          <w:szCs w:val="30"/>
        </w:rPr>
      </w:pPr>
    </w:p>
    <w:p w14:paraId="7519F91B">
      <w:pPr>
        <w:ind w:firstLine="0" w:firstLineChars="0"/>
        <w:jc w:val="center"/>
        <w:rPr>
          <w:b/>
          <w:bCs/>
          <w:sz w:val="30"/>
          <w:szCs w:val="30"/>
        </w:rPr>
      </w:pPr>
    </w:p>
    <w:p w14:paraId="68530789">
      <w:pPr>
        <w:ind w:firstLine="0" w:firstLineChars="0"/>
        <w:jc w:val="center"/>
        <w:rPr>
          <w:b/>
          <w:bCs/>
          <w:sz w:val="30"/>
          <w:szCs w:val="30"/>
        </w:rPr>
      </w:pPr>
    </w:p>
    <w:p w14:paraId="12AD7D0C">
      <w:pPr>
        <w:ind w:firstLine="0" w:firstLineChars="0"/>
        <w:jc w:val="center"/>
        <w:rPr>
          <w:b/>
          <w:bCs/>
          <w:sz w:val="30"/>
          <w:szCs w:val="30"/>
        </w:rPr>
      </w:pPr>
    </w:p>
    <w:p w14:paraId="166AE853">
      <w:pPr>
        <w:ind w:firstLine="0" w:firstLineChars="0"/>
        <w:jc w:val="center"/>
        <w:rPr>
          <w:b/>
          <w:bCs/>
          <w:sz w:val="30"/>
          <w:szCs w:val="30"/>
        </w:rPr>
      </w:pPr>
    </w:p>
    <w:p w14:paraId="0AF7C3A4">
      <w:pPr>
        <w:ind w:firstLine="0" w:firstLineChars="0"/>
        <w:jc w:val="center"/>
        <w:rPr>
          <w:b/>
          <w:bCs/>
          <w:sz w:val="30"/>
          <w:szCs w:val="30"/>
        </w:rPr>
      </w:pPr>
    </w:p>
    <w:p w14:paraId="782D42D4">
      <w:pPr>
        <w:ind w:firstLine="0" w:firstLineChars="0"/>
        <w:jc w:val="center"/>
        <w:rPr>
          <w:b/>
          <w:bCs/>
          <w:sz w:val="30"/>
          <w:szCs w:val="30"/>
        </w:rPr>
      </w:pPr>
      <w:r>
        <w:rPr>
          <w:rFonts w:hint="eastAsia"/>
          <w:b/>
          <w:bCs/>
          <w:sz w:val="30"/>
          <w:szCs w:val="30"/>
        </w:rPr>
        <w:t>二零二五年十二月</w:t>
      </w:r>
    </w:p>
    <w:p w14:paraId="2A5FAEAA">
      <w:pPr>
        <w:widowControl/>
        <w:ind w:firstLine="0" w:firstLineChars="0"/>
        <w:rPr>
          <w:kern w:val="0"/>
          <w:sz w:val="30"/>
          <w:szCs w:val="30"/>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26" w:bottom="1440" w:left="1622" w:header="851" w:footer="992" w:gutter="0"/>
          <w:cols w:space="425" w:num="1"/>
          <w:docGrid w:type="lines" w:linePitch="312" w:charSpace="0"/>
        </w:sectPr>
      </w:pPr>
    </w:p>
    <w:p w14:paraId="21EA910C">
      <w:pPr>
        <w:widowControl/>
        <w:ind w:firstLine="0" w:firstLineChars="0"/>
        <w:rPr>
          <w:kern w:val="0"/>
          <w:sz w:val="30"/>
          <w:szCs w:val="30"/>
        </w:rPr>
      </w:pPr>
    </w:p>
    <w:p w14:paraId="0BD20F6A">
      <w:pPr>
        <w:pStyle w:val="2"/>
        <w:spacing w:before="312" w:after="312"/>
      </w:pPr>
      <w:bookmarkStart w:id="0" w:name="_Toc468181941"/>
      <w:bookmarkStart w:id="1" w:name="_Toc450218554"/>
      <w:bookmarkStart w:id="2" w:name="_Toc218004070"/>
      <w:r>
        <w:rPr>
          <w:rFonts w:hint="eastAsia"/>
        </w:rPr>
        <w:t>重要提示</w:t>
      </w:r>
      <w:bookmarkEnd w:id="0"/>
      <w:bookmarkEnd w:id="1"/>
      <w:bookmarkEnd w:id="2"/>
    </w:p>
    <w:p w14:paraId="4AD15FA3">
      <w:pPr>
        <w:pStyle w:val="37"/>
        <w:ind w:firstLine="480"/>
      </w:pPr>
      <w:r>
        <w:rPr>
          <w:rFonts w:hint="eastAsia"/>
        </w:rPr>
        <w:t>富国嘉汇债券型证券投资基金（以下简称“本基金”）已于20</w:t>
      </w:r>
      <w:r>
        <w:t>25</w:t>
      </w:r>
      <w:r>
        <w:rPr>
          <w:rFonts w:hint="eastAsia"/>
        </w:rPr>
        <w:t>年</w:t>
      </w:r>
      <w:r>
        <w:t>12</w:t>
      </w:r>
      <w:r>
        <w:rPr>
          <w:rFonts w:hint="eastAsia"/>
        </w:rPr>
        <w:t>月</w:t>
      </w:r>
      <w:r>
        <w:t>22</w:t>
      </w:r>
      <w:r>
        <w:rPr>
          <w:rFonts w:hint="eastAsia"/>
        </w:rPr>
        <w:t>日获得中国证监会准予注册的批复（证监许可【20</w:t>
      </w:r>
      <w:r>
        <w:t>25</w:t>
      </w:r>
      <w:r>
        <w:rPr>
          <w:rFonts w:hint="eastAsia"/>
        </w:rPr>
        <w:t>】</w:t>
      </w:r>
      <w:r>
        <w:t>2883</w:t>
      </w:r>
      <w:r>
        <w:rPr>
          <w:rFonts w:hint="eastAsia"/>
        </w:rPr>
        <w:t>号《关于准予富国嘉汇债券型证券投资基金注册的批复》）。</w:t>
      </w:r>
    </w:p>
    <w:p w14:paraId="7C425B34">
      <w:pPr>
        <w:pStyle w:val="37"/>
        <w:ind w:firstLine="480"/>
      </w:pPr>
      <w:r>
        <w:rPr>
          <w:rFonts w:hint="eastAsia"/>
        </w:rPr>
        <w:t>基金管理人保证本招募说明书的内容真实、准确、完整。本招募说明书经中国证监会注册，但中国证监会对本基金募集的注册，并不表明其对本基金的投资价值、收益和市场前景等做出实质性判断或者保证，也不表明投资于本基金没有风险。</w:t>
      </w:r>
    </w:p>
    <w:p w14:paraId="51905672">
      <w:pPr>
        <w:pStyle w:val="37"/>
        <w:ind w:firstLine="480"/>
      </w:pPr>
      <w:r>
        <w:rPr>
          <w:rFonts w:hAnsi="宋体"/>
          <w:bCs/>
        </w:rPr>
        <w:t>本基金投资于证券市场，基金净值会因为证券市场波动等因素产生波动，</w:t>
      </w:r>
      <w:r>
        <w:rPr>
          <w:rFonts w:hint="eastAsia" w:hAnsi="宋体"/>
          <w:bCs/>
        </w:rPr>
        <w:t>投资本基金风险详见招募说明书“风险揭示”章节，</w:t>
      </w:r>
      <w:r>
        <w:rPr>
          <w:rFonts w:hAnsi="宋体"/>
          <w:bCs/>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r>
        <w:rPr>
          <w:rFonts w:hint="eastAsia"/>
          <w:bCs/>
        </w:rPr>
        <w:t>本基金为债券型基金，在通常情况下其预期收益及预期风险水平高于货币市场基金，低于股票型基金和混合型基金。</w:t>
      </w:r>
    </w:p>
    <w:p w14:paraId="43816675">
      <w:pPr>
        <w:pStyle w:val="37"/>
        <w:ind w:firstLine="480"/>
      </w:pPr>
      <w:r>
        <w:rPr>
          <w:rFonts w:hint="eastAsia"/>
        </w:rPr>
        <w:t>投资有风险，投资者认购（或申购）基金前，应认真阅读本招募说明书、</w:t>
      </w:r>
      <w:r>
        <w:t>基金合同</w:t>
      </w:r>
      <w:r>
        <w:rPr>
          <w:rFonts w:hint="eastAsia"/>
        </w:rPr>
        <w:t>、基金产品资料概要</w:t>
      </w:r>
      <w:r>
        <w:t>等信息披露文件</w:t>
      </w:r>
      <w:r>
        <w:rPr>
          <w:rFonts w:hint="eastAsia"/>
        </w:rPr>
        <w:t>，全面认识本基金产品的风险收益特征和产品特性，自主判断基金的投资价值，并根据自身的投资目的、投资期限、投资经验、资产状况等判断本基金是否和自身的风险承受能力相适；投资者应充分考虑自身的风险承受能力，理性判断市场，对认购（或申购）基金的意愿、时机、数量等投资行为作出独立决策，获得基金投资收益，亦自行承担基金投资中出现的各类风险。</w:t>
      </w:r>
    </w:p>
    <w:p w14:paraId="492070EC">
      <w:pPr>
        <w:pStyle w:val="37"/>
        <w:ind w:firstLine="480"/>
      </w:pPr>
      <w:r>
        <w:rPr>
          <w:rFonts w:hint="eastAsia"/>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4846E962">
      <w:pPr>
        <w:pStyle w:val="37"/>
        <w:ind w:firstLine="480"/>
      </w:pPr>
      <w:r>
        <w:rPr>
          <w:rFonts w:hint="eastAsia"/>
        </w:rPr>
        <w:t>本基金可以投资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1BED81E4">
      <w:pPr>
        <w:pStyle w:val="37"/>
        <w:ind w:firstLine="480"/>
      </w:pPr>
      <w:r>
        <w:rPr>
          <w:rFonts w:hint="eastAsia"/>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3C8296BE">
      <w:pPr>
        <w:pStyle w:val="37"/>
        <w:ind w:firstLine="480"/>
        <w:rPr>
          <w:bCs/>
        </w:rPr>
      </w:pPr>
      <w:r>
        <w:rPr>
          <w:rFonts w:hint="eastAsia"/>
          <w:bCs/>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2DAD057B">
      <w:pPr>
        <w:pStyle w:val="37"/>
        <w:ind w:firstLine="480"/>
        <w:rPr>
          <w:bCs/>
        </w:rPr>
      </w:pPr>
      <w:r>
        <w:rPr>
          <w:rFonts w:hint="eastAsia"/>
          <w:bCs/>
        </w:rPr>
        <w:t>为对冲信用风险，本基金可能投资于信用衍生品，信用衍生品的投资可能面临流动性风险、偿付风险以及价格波动风险等。</w:t>
      </w:r>
    </w:p>
    <w:p w14:paraId="7830E7C8">
      <w:pPr>
        <w:pStyle w:val="37"/>
        <w:ind w:firstLine="480"/>
      </w:pPr>
      <w:r>
        <w:rPr>
          <w:rFonts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08E23B7">
      <w:pPr>
        <w:pStyle w:val="37"/>
        <w:ind w:firstLine="480"/>
      </w:pPr>
      <w:r>
        <w:rPr>
          <w:rFonts w:hint="eastAsia"/>
        </w:rPr>
        <w:t>因基金合同而产生的或与基金合同有关的一切争议，如经友好协商未能解决的，均应提交上海国际经济贸易仲裁委员会，按照申请仲裁时该会届时有效的仲裁规则进行仲裁，仲裁地点为上海市。仲裁裁决是终局的，并对各方当事人具有约束力。除非仲裁裁决另有规定，仲裁费用由败诉方承担。</w:t>
      </w:r>
    </w:p>
    <w:p w14:paraId="7FF62446">
      <w:pPr>
        <w:pStyle w:val="37"/>
        <w:ind w:firstLine="480"/>
      </w:pPr>
      <w:r>
        <w:rPr>
          <w:rFonts w:hint="eastAsia"/>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作出投资决策后，基金运营状况与基金净值变化引致的投资风险，由投资者自行负责。</w:t>
      </w:r>
    </w:p>
    <w:p w14:paraId="478E4825">
      <w:pPr>
        <w:pStyle w:val="37"/>
        <w:ind w:firstLine="480"/>
        <w:rPr>
          <w:bCs/>
        </w:rPr>
      </w:pPr>
      <w:r>
        <w:rPr>
          <w:rFonts w:hint="eastAsia"/>
          <w:bCs/>
        </w:rPr>
        <w:t>本基金单一投资者持有基金份额数不得达到或超过基金总份额的50%，但在基金运作过程中因基金份额赎回等情形导致被动达到或超过50%的情形除外。法律法规、监管机构另有规定的，从其规定。</w:t>
      </w:r>
    </w:p>
    <w:p w14:paraId="1F25D174">
      <w:pPr>
        <w:pStyle w:val="2"/>
        <w:spacing w:before="312" w:after="312"/>
        <w:rPr>
          <w:kern w:val="0"/>
        </w:rPr>
      </w:pPr>
      <w:r>
        <w:rPr>
          <w:kern w:val="0"/>
        </w:rPr>
        <w:br w:type="page"/>
      </w:r>
      <w:bookmarkStart w:id="3" w:name="_Toc450218555"/>
      <w:bookmarkStart w:id="4" w:name="_Toc218004071"/>
      <w:bookmarkStart w:id="5" w:name="_Toc468181942"/>
      <w:r>
        <w:rPr>
          <w:kern w:val="0"/>
        </w:rPr>
        <w:t>目 录</w:t>
      </w:r>
      <w:bookmarkEnd w:id="3"/>
      <w:bookmarkEnd w:id="4"/>
      <w:bookmarkEnd w:id="5"/>
    </w:p>
    <w:p w14:paraId="7086E2C4">
      <w:pPr>
        <w:pStyle w:val="32"/>
        <w:rPr>
          <w:rFonts w:cstheme="minorBidi"/>
          <w:sz w:val="21"/>
          <w:szCs w:val="22"/>
        </w:rPr>
      </w:pPr>
      <w:bookmarkStart w:id="6" w:name="_Toc109537379"/>
      <w:r>
        <w:rPr>
          <w:rStyle w:val="49"/>
          <w:bCs/>
          <w:caps/>
          <w:color w:val="auto"/>
        </w:rPr>
        <w:fldChar w:fldCharType="begin"/>
      </w:r>
      <w:r>
        <w:rPr>
          <w:rStyle w:val="49"/>
          <w:bCs/>
          <w:caps/>
          <w:color w:val="auto"/>
        </w:rPr>
        <w:instrText xml:space="preserve"> TOC \o "1-1" \h \z \u </w:instrText>
      </w:r>
      <w:r>
        <w:rPr>
          <w:rStyle w:val="49"/>
          <w:bCs/>
          <w:caps/>
          <w:color w:val="auto"/>
        </w:rPr>
        <w:fldChar w:fldCharType="separate"/>
      </w:r>
      <w:r>
        <w:fldChar w:fldCharType="begin"/>
      </w:r>
      <w:r>
        <w:instrText xml:space="preserve"> HYPERLINK \l "_Toc218004070" </w:instrText>
      </w:r>
      <w:r>
        <w:fldChar w:fldCharType="separate"/>
      </w:r>
      <w:r>
        <w:rPr>
          <w:rStyle w:val="49"/>
          <w:rFonts w:hint="eastAsia"/>
        </w:rPr>
        <w:t>重要提示</w:t>
      </w:r>
      <w:r>
        <w:tab/>
      </w:r>
      <w:r>
        <w:fldChar w:fldCharType="begin"/>
      </w:r>
      <w:r>
        <w:instrText xml:space="preserve"> PAGEREF _Toc218004070 \h </w:instrText>
      </w:r>
      <w:r>
        <w:fldChar w:fldCharType="separate"/>
      </w:r>
      <w:r>
        <w:t>1</w:t>
      </w:r>
      <w:r>
        <w:fldChar w:fldCharType="end"/>
      </w:r>
      <w:r>
        <w:fldChar w:fldCharType="end"/>
      </w:r>
    </w:p>
    <w:p w14:paraId="4EF62820">
      <w:pPr>
        <w:pStyle w:val="32"/>
        <w:rPr>
          <w:rFonts w:cstheme="minorBidi"/>
          <w:sz w:val="21"/>
          <w:szCs w:val="22"/>
        </w:rPr>
      </w:pPr>
      <w:r>
        <w:fldChar w:fldCharType="begin"/>
      </w:r>
      <w:r>
        <w:instrText xml:space="preserve"> HYPERLINK \l "_Toc218004071" </w:instrText>
      </w:r>
      <w:r>
        <w:fldChar w:fldCharType="separate"/>
      </w:r>
      <w:r>
        <w:rPr>
          <w:rStyle w:val="49"/>
          <w:rFonts w:hint="eastAsia"/>
          <w:kern w:val="0"/>
        </w:rPr>
        <w:t>目</w:t>
      </w:r>
      <w:r>
        <w:rPr>
          <w:rStyle w:val="49"/>
          <w:kern w:val="0"/>
        </w:rPr>
        <w:t xml:space="preserve"> </w:t>
      </w:r>
      <w:r>
        <w:rPr>
          <w:rStyle w:val="49"/>
          <w:rFonts w:hint="eastAsia"/>
          <w:kern w:val="0"/>
        </w:rPr>
        <w:t>录</w:t>
      </w:r>
      <w:r>
        <w:tab/>
      </w:r>
      <w:r>
        <w:fldChar w:fldCharType="begin"/>
      </w:r>
      <w:r>
        <w:instrText xml:space="preserve"> PAGEREF _Toc218004071 \h </w:instrText>
      </w:r>
      <w:r>
        <w:fldChar w:fldCharType="separate"/>
      </w:r>
      <w:r>
        <w:t>4</w:t>
      </w:r>
      <w:r>
        <w:fldChar w:fldCharType="end"/>
      </w:r>
      <w:r>
        <w:fldChar w:fldCharType="end"/>
      </w:r>
    </w:p>
    <w:p w14:paraId="2B5665E1">
      <w:pPr>
        <w:pStyle w:val="32"/>
        <w:rPr>
          <w:rFonts w:cstheme="minorBidi"/>
          <w:sz w:val="21"/>
          <w:szCs w:val="22"/>
        </w:rPr>
      </w:pPr>
      <w:r>
        <w:fldChar w:fldCharType="begin"/>
      </w:r>
      <w:r>
        <w:instrText xml:space="preserve"> HYPERLINK \l "_Toc218004072" </w:instrText>
      </w:r>
      <w:r>
        <w:fldChar w:fldCharType="separate"/>
      </w:r>
      <w:r>
        <w:rPr>
          <w:rStyle w:val="49"/>
          <w:rFonts w:hint="eastAsia"/>
        </w:rPr>
        <w:t>第一部分</w:t>
      </w:r>
      <w:r>
        <w:rPr>
          <w:rStyle w:val="49"/>
        </w:rPr>
        <w:t xml:space="preserve">  </w:t>
      </w:r>
      <w:r>
        <w:rPr>
          <w:rStyle w:val="49"/>
          <w:rFonts w:hint="eastAsia"/>
        </w:rPr>
        <w:t>前言</w:t>
      </w:r>
      <w:r>
        <w:tab/>
      </w:r>
      <w:r>
        <w:fldChar w:fldCharType="begin"/>
      </w:r>
      <w:r>
        <w:instrText xml:space="preserve"> PAGEREF _Toc218004072 \h </w:instrText>
      </w:r>
      <w:r>
        <w:fldChar w:fldCharType="separate"/>
      </w:r>
      <w:r>
        <w:t>5</w:t>
      </w:r>
      <w:r>
        <w:fldChar w:fldCharType="end"/>
      </w:r>
      <w:r>
        <w:fldChar w:fldCharType="end"/>
      </w:r>
    </w:p>
    <w:p w14:paraId="516C54A4">
      <w:pPr>
        <w:pStyle w:val="32"/>
        <w:rPr>
          <w:rFonts w:cstheme="minorBidi"/>
          <w:sz w:val="21"/>
          <w:szCs w:val="22"/>
        </w:rPr>
      </w:pPr>
      <w:r>
        <w:fldChar w:fldCharType="begin"/>
      </w:r>
      <w:r>
        <w:instrText xml:space="preserve"> HYPERLINK \l "_Toc218004073" </w:instrText>
      </w:r>
      <w:r>
        <w:fldChar w:fldCharType="separate"/>
      </w:r>
      <w:r>
        <w:rPr>
          <w:rStyle w:val="49"/>
          <w:rFonts w:hint="eastAsia"/>
          <w:kern w:val="0"/>
        </w:rPr>
        <w:t>第二部分</w:t>
      </w:r>
      <w:r>
        <w:rPr>
          <w:rStyle w:val="49"/>
          <w:kern w:val="0"/>
        </w:rPr>
        <w:t xml:space="preserve">  </w:t>
      </w:r>
      <w:r>
        <w:rPr>
          <w:rStyle w:val="49"/>
          <w:rFonts w:hint="eastAsia"/>
          <w:kern w:val="0"/>
        </w:rPr>
        <w:t>释义</w:t>
      </w:r>
      <w:r>
        <w:tab/>
      </w:r>
      <w:r>
        <w:fldChar w:fldCharType="begin"/>
      </w:r>
      <w:r>
        <w:instrText xml:space="preserve"> PAGEREF _Toc218004073 \h </w:instrText>
      </w:r>
      <w:r>
        <w:fldChar w:fldCharType="separate"/>
      </w:r>
      <w:r>
        <w:t>6</w:t>
      </w:r>
      <w:r>
        <w:fldChar w:fldCharType="end"/>
      </w:r>
      <w:r>
        <w:fldChar w:fldCharType="end"/>
      </w:r>
    </w:p>
    <w:p w14:paraId="28647C69">
      <w:pPr>
        <w:pStyle w:val="32"/>
        <w:rPr>
          <w:rFonts w:cstheme="minorBidi"/>
          <w:sz w:val="21"/>
          <w:szCs w:val="22"/>
        </w:rPr>
      </w:pPr>
      <w:r>
        <w:fldChar w:fldCharType="begin"/>
      </w:r>
      <w:r>
        <w:instrText xml:space="preserve"> HYPERLINK \l "_Toc218004074" </w:instrText>
      </w:r>
      <w:r>
        <w:fldChar w:fldCharType="separate"/>
      </w:r>
      <w:r>
        <w:rPr>
          <w:rStyle w:val="49"/>
          <w:rFonts w:hint="eastAsia"/>
          <w:kern w:val="0"/>
        </w:rPr>
        <w:t>第三部分</w:t>
      </w:r>
      <w:r>
        <w:rPr>
          <w:rStyle w:val="49"/>
          <w:kern w:val="0"/>
        </w:rPr>
        <w:t xml:space="preserve">  </w:t>
      </w:r>
      <w:r>
        <w:rPr>
          <w:rStyle w:val="49"/>
          <w:rFonts w:hint="eastAsia"/>
          <w:kern w:val="0"/>
        </w:rPr>
        <w:t>基金管理人</w:t>
      </w:r>
      <w:r>
        <w:tab/>
      </w:r>
      <w:r>
        <w:fldChar w:fldCharType="begin"/>
      </w:r>
      <w:r>
        <w:instrText xml:space="preserve"> PAGEREF _Toc218004074 \h </w:instrText>
      </w:r>
      <w:r>
        <w:fldChar w:fldCharType="separate"/>
      </w:r>
      <w:r>
        <w:t>12</w:t>
      </w:r>
      <w:r>
        <w:fldChar w:fldCharType="end"/>
      </w:r>
      <w:r>
        <w:fldChar w:fldCharType="end"/>
      </w:r>
    </w:p>
    <w:p w14:paraId="200879CB">
      <w:pPr>
        <w:pStyle w:val="32"/>
        <w:rPr>
          <w:rFonts w:cstheme="minorBidi"/>
          <w:sz w:val="21"/>
          <w:szCs w:val="22"/>
        </w:rPr>
      </w:pPr>
      <w:r>
        <w:fldChar w:fldCharType="begin"/>
      </w:r>
      <w:r>
        <w:instrText xml:space="preserve"> HYPERLINK \l "_Toc218004075" </w:instrText>
      </w:r>
      <w:r>
        <w:fldChar w:fldCharType="separate"/>
      </w:r>
      <w:r>
        <w:rPr>
          <w:rStyle w:val="49"/>
          <w:rFonts w:hint="eastAsia"/>
        </w:rPr>
        <w:t>第四部分</w:t>
      </w:r>
      <w:r>
        <w:rPr>
          <w:rStyle w:val="49"/>
        </w:rPr>
        <w:t xml:space="preserve">  </w:t>
      </w:r>
      <w:r>
        <w:rPr>
          <w:rStyle w:val="49"/>
          <w:rFonts w:hint="eastAsia"/>
        </w:rPr>
        <w:t>基金托管人</w:t>
      </w:r>
      <w:r>
        <w:tab/>
      </w:r>
      <w:r>
        <w:fldChar w:fldCharType="begin"/>
      </w:r>
      <w:r>
        <w:instrText xml:space="preserve"> PAGEREF _Toc218004075 \h </w:instrText>
      </w:r>
      <w:r>
        <w:fldChar w:fldCharType="separate"/>
      </w:r>
      <w:r>
        <w:t>24</w:t>
      </w:r>
      <w:r>
        <w:fldChar w:fldCharType="end"/>
      </w:r>
      <w:r>
        <w:fldChar w:fldCharType="end"/>
      </w:r>
    </w:p>
    <w:p w14:paraId="02137C7D">
      <w:pPr>
        <w:pStyle w:val="32"/>
        <w:rPr>
          <w:rFonts w:cstheme="minorBidi"/>
          <w:sz w:val="21"/>
          <w:szCs w:val="22"/>
        </w:rPr>
      </w:pPr>
      <w:r>
        <w:fldChar w:fldCharType="begin"/>
      </w:r>
      <w:r>
        <w:instrText xml:space="preserve"> HYPERLINK \l "_Toc218004076" </w:instrText>
      </w:r>
      <w:r>
        <w:fldChar w:fldCharType="separate"/>
      </w:r>
      <w:r>
        <w:rPr>
          <w:rStyle w:val="49"/>
          <w:rFonts w:hint="eastAsia"/>
        </w:rPr>
        <w:t>第五部分</w:t>
      </w:r>
      <w:r>
        <w:rPr>
          <w:rStyle w:val="49"/>
        </w:rPr>
        <w:t xml:space="preserve">  </w:t>
      </w:r>
      <w:r>
        <w:rPr>
          <w:rStyle w:val="49"/>
          <w:rFonts w:hint="eastAsia"/>
        </w:rPr>
        <w:t>相关服务机构</w:t>
      </w:r>
      <w:r>
        <w:tab/>
      </w:r>
      <w:r>
        <w:fldChar w:fldCharType="begin"/>
      </w:r>
      <w:r>
        <w:instrText xml:space="preserve"> PAGEREF _Toc218004076 \h </w:instrText>
      </w:r>
      <w:r>
        <w:fldChar w:fldCharType="separate"/>
      </w:r>
      <w:r>
        <w:t>27</w:t>
      </w:r>
      <w:r>
        <w:fldChar w:fldCharType="end"/>
      </w:r>
      <w:r>
        <w:fldChar w:fldCharType="end"/>
      </w:r>
    </w:p>
    <w:p w14:paraId="19FC00AD">
      <w:pPr>
        <w:pStyle w:val="32"/>
        <w:rPr>
          <w:rFonts w:cstheme="minorBidi"/>
          <w:sz w:val="21"/>
          <w:szCs w:val="22"/>
        </w:rPr>
      </w:pPr>
      <w:r>
        <w:fldChar w:fldCharType="begin"/>
      </w:r>
      <w:r>
        <w:instrText xml:space="preserve"> HYPERLINK \l "_Toc218004077" </w:instrText>
      </w:r>
      <w:r>
        <w:fldChar w:fldCharType="separate"/>
      </w:r>
      <w:r>
        <w:rPr>
          <w:rStyle w:val="49"/>
          <w:rFonts w:hint="eastAsia"/>
        </w:rPr>
        <w:t>第六部分</w:t>
      </w:r>
      <w:r>
        <w:rPr>
          <w:rStyle w:val="49"/>
        </w:rPr>
        <w:t xml:space="preserve">  </w:t>
      </w:r>
      <w:r>
        <w:rPr>
          <w:rStyle w:val="49"/>
          <w:rFonts w:hint="eastAsia"/>
        </w:rPr>
        <w:t>基金的募集</w:t>
      </w:r>
      <w:r>
        <w:tab/>
      </w:r>
      <w:r>
        <w:fldChar w:fldCharType="begin"/>
      </w:r>
      <w:r>
        <w:instrText xml:space="preserve"> PAGEREF _Toc218004077 \h </w:instrText>
      </w:r>
      <w:r>
        <w:fldChar w:fldCharType="separate"/>
      </w:r>
      <w:r>
        <w:t>29</w:t>
      </w:r>
      <w:r>
        <w:fldChar w:fldCharType="end"/>
      </w:r>
      <w:r>
        <w:fldChar w:fldCharType="end"/>
      </w:r>
    </w:p>
    <w:p w14:paraId="0D810954">
      <w:pPr>
        <w:pStyle w:val="32"/>
        <w:rPr>
          <w:rFonts w:cstheme="minorBidi"/>
          <w:sz w:val="21"/>
          <w:szCs w:val="22"/>
        </w:rPr>
      </w:pPr>
      <w:r>
        <w:fldChar w:fldCharType="begin"/>
      </w:r>
      <w:r>
        <w:instrText xml:space="preserve"> HYPERLINK \l "_Toc218004078" </w:instrText>
      </w:r>
      <w:r>
        <w:fldChar w:fldCharType="separate"/>
      </w:r>
      <w:r>
        <w:rPr>
          <w:rStyle w:val="49"/>
          <w:rFonts w:hint="eastAsia"/>
          <w:kern w:val="0"/>
        </w:rPr>
        <w:t>第七部分</w:t>
      </w:r>
      <w:r>
        <w:rPr>
          <w:rStyle w:val="49"/>
          <w:kern w:val="0"/>
        </w:rPr>
        <w:t xml:space="preserve">  </w:t>
      </w:r>
      <w:r>
        <w:rPr>
          <w:rStyle w:val="49"/>
          <w:rFonts w:hint="eastAsia"/>
          <w:kern w:val="0"/>
        </w:rPr>
        <w:t>基金合同的生效</w:t>
      </w:r>
      <w:r>
        <w:tab/>
      </w:r>
      <w:r>
        <w:fldChar w:fldCharType="begin"/>
      </w:r>
      <w:r>
        <w:instrText xml:space="preserve"> PAGEREF _Toc218004078 \h </w:instrText>
      </w:r>
      <w:r>
        <w:fldChar w:fldCharType="separate"/>
      </w:r>
      <w:r>
        <w:t>35</w:t>
      </w:r>
      <w:r>
        <w:fldChar w:fldCharType="end"/>
      </w:r>
      <w:r>
        <w:fldChar w:fldCharType="end"/>
      </w:r>
    </w:p>
    <w:p w14:paraId="666C8B8D">
      <w:pPr>
        <w:pStyle w:val="32"/>
        <w:rPr>
          <w:rFonts w:cstheme="minorBidi"/>
          <w:sz w:val="21"/>
          <w:szCs w:val="22"/>
        </w:rPr>
      </w:pPr>
      <w:r>
        <w:fldChar w:fldCharType="begin"/>
      </w:r>
      <w:r>
        <w:instrText xml:space="preserve"> HYPERLINK \l "_Toc218004079" </w:instrText>
      </w:r>
      <w:r>
        <w:fldChar w:fldCharType="separate"/>
      </w:r>
      <w:r>
        <w:rPr>
          <w:rStyle w:val="49"/>
          <w:rFonts w:hint="eastAsia"/>
        </w:rPr>
        <w:t>第八部分</w:t>
      </w:r>
      <w:r>
        <w:rPr>
          <w:rStyle w:val="49"/>
        </w:rPr>
        <w:t xml:space="preserve">  </w:t>
      </w:r>
      <w:r>
        <w:rPr>
          <w:rStyle w:val="49"/>
          <w:rFonts w:hint="eastAsia"/>
        </w:rPr>
        <w:t>基金份额的申购与赎回</w:t>
      </w:r>
      <w:r>
        <w:tab/>
      </w:r>
      <w:r>
        <w:fldChar w:fldCharType="begin"/>
      </w:r>
      <w:r>
        <w:instrText xml:space="preserve"> PAGEREF _Toc218004079 \h </w:instrText>
      </w:r>
      <w:r>
        <w:fldChar w:fldCharType="separate"/>
      </w:r>
      <w:r>
        <w:t>36</w:t>
      </w:r>
      <w:r>
        <w:fldChar w:fldCharType="end"/>
      </w:r>
      <w:r>
        <w:fldChar w:fldCharType="end"/>
      </w:r>
    </w:p>
    <w:p w14:paraId="50CC55D1">
      <w:pPr>
        <w:pStyle w:val="32"/>
        <w:rPr>
          <w:rFonts w:cstheme="minorBidi"/>
          <w:sz w:val="21"/>
          <w:szCs w:val="22"/>
        </w:rPr>
      </w:pPr>
      <w:r>
        <w:fldChar w:fldCharType="begin"/>
      </w:r>
      <w:r>
        <w:instrText xml:space="preserve"> HYPERLINK \l "_Toc218004080" </w:instrText>
      </w:r>
      <w:r>
        <w:fldChar w:fldCharType="separate"/>
      </w:r>
      <w:r>
        <w:rPr>
          <w:rStyle w:val="49"/>
          <w:rFonts w:hint="eastAsia"/>
          <w:kern w:val="0"/>
        </w:rPr>
        <w:t>第九部分</w:t>
      </w:r>
      <w:r>
        <w:rPr>
          <w:rStyle w:val="49"/>
          <w:kern w:val="0"/>
        </w:rPr>
        <w:t xml:space="preserve">  </w:t>
      </w:r>
      <w:r>
        <w:rPr>
          <w:rStyle w:val="49"/>
          <w:rFonts w:hint="eastAsia"/>
          <w:kern w:val="0"/>
        </w:rPr>
        <w:t>基金的投资</w:t>
      </w:r>
      <w:r>
        <w:tab/>
      </w:r>
      <w:r>
        <w:fldChar w:fldCharType="begin"/>
      </w:r>
      <w:r>
        <w:instrText xml:space="preserve"> PAGEREF _Toc218004080 \h </w:instrText>
      </w:r>
      <w:r>
        <w:fldChar w:fldCharType="separate"/>
      </w:r>
      <w:r>
        <w:t>49</w:t>
      </w:r>
      <w:r>
        <w:fldChar w:fldCharType="end"/>
      </w:r>
      <w:r>
        <w:fldChar w:fldCharType="end"/>
      </w:r>
    </w:p>
    <w:p w14:paraId="09EE5773">
      <w:pPr>
        <w:pStyle w:val="32"/>
        <w:rPr>
          <w:rFonts w:cstheme="minorBidi"/>
          <w:sz w:val="21"/>
          <w:szCs w:val="22"/>
        </w:rPr>
      </w:pPr>
      <w:r>
        <w:fldChar w:fldCharType="begin"/>
      </w:r>
      <w:r>
        <w:instrText xml:space="preserve"> HYPERLINK \l "_Toc218004081" </w:instrText>
      </w:r>
      <w:r>
        <w:fldChar w:fldCharType="separate"/>
      </w:r>
      <w:r>
        <w:rPr>
          <w:rStyle w:val="49"/>
          <w:rFonts w:hint="eastAsia"/>
        </w:rPr>
        <w:t>第十部分</w:t>
      </w:r>
      <w:r>
        <w:rPr>
          <w:rStyle w:val="49"/>
        </w:rPr>
        <w:t xml:space="preserve">  </w:t>
      </w:r>
      <w:r>
        <w:rPr>
          <w:rStyle w:val="49"/>
          <w:rFonts w:hint="eastAsia"/>
        </w:rPr>
        <w:t>基金的财产</w:t>
      </w:r>
      <w:r>
        <w:tab/>
      </w:r>
      <w:r>
        <w:fldChar w:fldCharType="begin"/>
      </w:r>
      <w:r>
        <w:instrText xml:space="preserve"> PAGEREF _Toc218004081 \h </w:instrText>
      </w:r>
      <w:r>
        <w:fldChar w:fldCharType="separate"/>
      </w:r>
      <w:r>
        <w:t>60</w:t>
      </w:r>
      <w:r>
        <w:fldChar w:fldCharType="end"/>
      </w:r>
      <w:r>
        <w:fldChar w:fldCharType="end"/>
      </w:r>
    </w:p>
    <w:p w14:paraId="59FB3A4D">
      <w:pPr>
        <w:pStyle w:val="32"/>
        <w:rPr>
          <w:rFonts w:cstheme="minorBidi"/>
          <w:sz w:val="21"/>
          <w:szCs w:val="22"/>
        </w:rPr>
      </w:pPr>
      <w:r>
        <w:fldChar w:fldCharType="begin"/>
      </w:r>
      <w:r>
        <w:instrText xml:space="preserve"> HYPERLINK \l "_Toc218004082" </w:instrText>
      </w:r>
      <w:r>
        <w:fldChar w:fldCharType="separate"/>
      </w:r>
      <w:r>
        <w:rPr>
          <w:rStyle w:val="49"/>
          <w:rFonts w:hint="eastAsia"/>
        </w:rPr>
        <w:t>第十一部分</w:t>
      </w:r>
      <w:r>
        <w:rPr>
          <w:rStyle w:val="49"/>
        </w:rPr>
        <w:t xml:space="preserve">  </w:t>
      </w:r>
      <w:r>
        <w:rPr>
          <w:rStyle w:val="49"/>
          <w:rFonts w:hint="eastAsia"/>
        </w:rPr>
        <w:t>基金资产的估值</w:t>
      </w:r>
      <w:r>
        <w:tab/>
      </w:r>
      <w:r>
        <w:fldChar w:fldCharType="begin"/>
      </w:r>
      <w:r>
        <w:instrText xml:space="preserve"> PAGEREF _Toc218004082 \h </w:instrText>
      </w:r>
      <w:r>
        <w:fldChar w:fldCharType="separate"/>
      </w:r>
      <w:r>
        <w:t>61</w:t>
      </w:r>
      <w:r>
        <w:fldChar w:fldCharType="end"/>
      </w:r>
      <w:r>
        <w:fldChar w:fldCharType="end"/>
      </w:r>
    </w:p>
    <w:p w14:paraId="259C9D10">
      <w:pPr>
        <w:pStyle w:val="32"/>
        <w:rPr>
          <w:rFonts w:cstheme="minorBidi"/>
          <w:sz w:val="21"/>
          <w:szCs w:val="22"/>
        </w:rPr>
      </w:pPr>
      <w:r>
        <w:fldChar w:fldCharType="begin"/>
      </w:r>
      <w:r>
        <w:instrText xml:space="preserve"> HYPERLINK \l "_Toc218004083" </w:instrText>
      </w:r>
      <w:r>
        <w:fldChar w:fldCharType="separate"/>
      </w:r>
      <w:r>
        <w:rPr>
          <w:rStyle w:val="49"/>
          <w:rFonts w:hint="eastAsia"/>
          <w:kern w:val="0"/>
        </w:rPr>
        <w:t>第十二部分</w:t>
      </w:r>
      <w:r>
        <w:rPr>
          <w:rStyle w:val="49"/>
          <w:kern w:val="0"/>
        </w:rPr>
        <w:t xml:space="preserve">  </w:t>
      </w:r>
      <w:r>
        <w:rPr>
          <w:rStyle w:val="49"/>
          <w:rFonts w:hint="eastAsia"/>
          <w:kern w:val="0"/>
        </w:rPr>
        <w:t>基金的收益与分配</w:t>
      </w:r>
      <w:r>
        <w:tab/>
      </w:r>
      <w:r>
        <w:fldChar w:fldCharType="begin"/>
      </w:r>
      <w:r>
        <w:instrText xml:space="preserve"> PAGEREF _Toc218004083 \h </w:instrText>
      </w:r>
      <w:r>
        <w:fldChar w:fldCharType="separate"/>
      </w:r>
      <w:r>
        <w:t>68</w:t>
      </w:r>
      <w:r>
        <w:fldChar w:fldCharType="end"/>
      </w:r>
      <w:r>
        <w:fldChar w:fldCharType="end"/>
      </w:r>
    </w:p>
    <w:p w14:paraId="11894EF3">
      <w:pPr>
        <w:pStyle w:val="32"/>
        <w:rPr>
          <w:rFonts w:cstheme="minorBidi"/>
          <w:sz w:val="21"/>
          <w:szCs w:val="22"/>
        </w:rPr>
      </w:pPr>
      <w:r>
        <w:fldChar w:fldCharType="begin"/>
      </w:r>
      <w:r>
        <w:instrText xml:space="preserve"> HYPERLINK \l "_Toc218004084" </w:instrText>
      </w:r>
      <w:r>
        <w:fldChar w:fldCharType="separate"/>
      </w:r>
      <w:r>
        <w:rPr>
          <w:rStyle w:val="49"/>
          <w:rFonts w:hint="eastAsia"/>
          <w:kern w:val="0"/>
        </w:rPr>
        <w:t>第十三部分</w:t>
      </w:r>
      <w:r>
        <w:rPr>
          <w:rStyle w:val="49"/>
          <w:kern w:val="0"/>
        </w:rPr>
        <w:t xml:space="preserve">  </w:t>
      </w:r>
      <w:r>
        <w:rPr>
          <w:rStyle w:val="49"/>
          <w:rFonts w:hint="eastAsia"/>
          <w:kern w:val="0"/>
        </w:rPr>
        <w:t>基金的费用与税收</w:t>
      </w:r>
      <w:r>
        <w:tab/>
      </w:r>
      <w:r>
        <w:fldChar w:fldCharType="begin"/>
      </w:r>
      <w:r>
        <w:instrText xml:space="preserve"> PAGEREF _Toc218004084 \h </w:instrText>
      </w:r>
      <w:r>
        <w:fldChar w:fldCharType="separate"/>
      </w:r>
      <w:r>
        <w:t>70</w:t>
      </w:r>
      <w:r>
        <w:fldChar w:fldCharType="end"/>
      </w:r>
      <w:r>
        <w:fldChar w:fldCharType="end"/>
      </w:r>
    </w:p>
    <w:p w14:paraId="02BBD084">
      <w:pPr>
        <w:pStyle w:val="32"/>
        <w:rPr>
          <w:rFonts w:cstheme="minorBidi"/>
          <w:sz w:val="21"/>
          <w:szCs w:val="22"/>
        </w:rPr>
      </w:pPr>
      <w:r>
        <w:fldChar w:fldCharType="begin"/>
      </w:r>
      <w:r>
        <w:instrText xml:space="preserve"> HYPERLINK \l "_Toc218004085" </w:instrText>
      </w:r>
      <w:r>
        <w:fldChar w:fldCharType="separate"/>
      </w:r>
      <w:r>
        <w:rPr>
          <w:rStyle w:val="49"/>
          <w:rFonts w:hint="eastAsia"/>
          <w:kern w:val="0"/>
        </w:rPr>
        <w:t>第十四部分</w:t>
      </w:r>
      <w:r>
        <w:rPr>
          <w:rStyle w:val="49"/>
          <w:kern w:val="0"/>
        </w:rPr>
        <w:t xml:space="preserve">  </w:t>
      </w:r>
      <w:r>
        <w:rPr>
          <w:rStyle w:val="49"/>
          <w:rFonts w:hint="eastAsia"/>
          <w:kern w:val="0"/>
        </w:rPr>
        <w:t>基金的会计与审计</w:t>
      </w:r>
      <w:r>
        <w:tab/>
      </w:r>
      <w:r>
        <w:fldChar w:fldCharType="begin"/>
      </w:r>
      <w:r>
        <w:instrText xml:space="preserve"> PAGEREF _Toc218004085 \h </w:instrText>
      </w:r>
      <w:r>
        <w:fldChar w:fldCharType="separate"/>
      </w:r>
      <w:r>
        <w:t>73</w:t>
      </w:r>
      <w:r>
        <w:fldChar w:fldCharType="end"/>
      </w:r>
      <w:r>
        <w:fldChar w:fldCharType="end"/>
      </w:r>
    </w:p>
    <w:p w14:paraId="2F128AAA">
      <w:pPr>
        <w:pStyle w:val="32"/>
        <w:rPr>
          <w:rFonts w:cstheme="minorBidi"/>
          <w:sz w:val="21"/>
          <w:szCs w:val="22"/>
        </w:rPr>
      </w:pPr>
      <w:r>
        <w:fldChar w:fldCharType="begin"/>
      </w:r>
      <w:r>
        <w:instrText xml:space="preserve"> HYPERLINK \l "_Toc218004086" </w:instrText>
      </w:r>
      <w:r>
        <w:fldChar w:fldCharType="separate"/>
      </w:r>
      <w:r>
        <w:rPr>
          <w:rStyle w:val="49"/>
          <w:rFonts w:hint="eastAsia"/>
        </w:rPr>
        <w:t>第十五部分</w:t>
      </w:r>
      <w:r>
        <w:rPr>
          <w:rStyle w:val="49"/>
        </w:rPr>
        <w:t xml:space="preserve">  </w:t>
      </w:r>
      <w:r>
        <w:rPr>
          <w:rStyle w:val="49"/>
          <w:rFonts w:hint="eastAsia"/>
        </w:rPr>
        <w:t>基金的信息披露</w:t>
      </w:r>
      <w:r>
        <w:tab/>
      </w:r>
      <w:r>
        <w:fldChar w:fldCharType="begin"/>
      </w:r>
      <w:r>
        <w:instrText xml:space="preserve"> PAGEREF _Toc218004086 \h </w:instrText>
      </w:r>
      <w:r>
        <w:fldChar w:fldCharType="separate"/>
      </w:r>
      <w:r>
        <w:t>74</w:t>
      </w:r>
      <w:r>
        <w:fldChar w:fldCharType="end"/>
      </w:r>
      <w:r>
        <w:fldChar w:fldCharType="end"/>
      </w:r>
    </w:p>
    <w:p w14:paraId="5D54664D">
      <w:pPr>
        <w:pStyle w:val="32"/>
        <w:rPr>
          <w:rFonts w:cstheme="minorBidi"/>
          <w:sz w:val="21"/>
          <w:szCs w:val="22"/>
        </w:rPr>
      </w:pPr>
      <w:r>
        <w:fldChar w:fldCharType="begin"/>
      </w:r>
      <w:r>
        <w:instrText xml:space="preserve"> HYPERLINK \l "_Toc218004087" </w:instrText>
      </w:r>
      <w:r>
        <w:fldChar w:fldCharType="separate"/>
      </w:r>
      <w:r>
        <w:rPr>
          <w:rStyle w:val="49"/>
          <w:rFonts w:hint="eastAsia"/>
          <w:kern w:val="0"/>
        </w:rPr>
        <w:t>第十六部分</w:t>
      </w:r>
      <w:r>
        <w:rPr>
          <w:rStyle w:val="49"/>
          <w:kern w:val="0"/>
        </w:rPr>
        <w:t xml:space="preserve">  </w:t>
      </w:r>
      <w:r>
        <w:rPr>
          <w:rStyle w:val="49"/>
          <w:rFonts w:hint="eastAsia"/>
          <w:bCs/>
        </w:rPr>
        <w:t>侧袋机制</w:t>
      </w:r>
      <w:r>
        <w:tab/>
      </w:r>
      <w:r>
        <w:fldChar w:fldCharType="begin"/>
      </w:r>
      <w:r>
        <w:instrText xml:space="preserve"> PAGEREF _Toc218004087 \h </w:instrText>
      </w:r>
      <w:r>
        <w:fldChar w:fldCharType="separate"/>
      </w:r>
      <w:r>
        <w:t>82</w:t>
      </w:r>
      <w:r>
        <w:fldChar w:fldCharType="end"/>
      </w:r>
      <w:r>
        <w:fldChar w:fldCharType="end"/>
      </w:r>
    </w:p>
    <w:p w14:paraId="766928B7">
      <w:pPr>
        <w:pStyle w:val="32"/>
        <w:rPr>
          <w:rFonts w:cstheme="minorBidi"/>
          <w:sz w:val="21"/>
          <w:szCs w:val="22"/>
        </w:rPr>
      </w:pPr>
      <w:r>
        <w:fldChar w:fldCharType="begin"/>
      </w:r>
      <w:r>
        <w:instrText xml:space="preserve"> HYPERLINK \l "_Toc218004088" </w:instrText>
      </w:r>
      <w:r>
        <w:fldChar w:fldCharType="separate"/>
      </w:r>
      <w:r>
        <w:rPr>
          <w:rStyle w:val="49"/>
          <w:rFonts w:hint="eastAsia"/>
          <w:kern w:val="0"/>
        </w:rPr>
        <w:t>第十七部分</w:t>
      </w:r>
      <w:r>
        <w:rPr>
          <w:rStyle w:val="49"/>
          <w:kern w:val="0"/>
        </w:rPr>
        <w:t xml:space="preserve">  </w:t>
      </w:r>
      <w:r>
        <w:rPr>
          <w:rStyle w:val="49"/>
          <w:rFonts w:hint="eastAsia"/>
          <w:kern w:val="0"/>
        </w:rPr>
        <w:t>风险揭示</w:t>
      </w:r>
      <w:r>
        <w:tab/>
      </w:r>
      <w:r>
        <w:fldChar w:fldCharType="begin"/>
      </w:r>
      <w:r>
        <w:instrText xml:space="preserve"> PAGEREF _Toc218004088 \h </w:instrText>
      </w:r>
      <w:r>
        <w:fldChar w:fldCharType="separate"/>
      </w:r>
      <w:r>
        <w:t>85</w:t>
      </w:r>
      <w:r>
        <w:fldChar w:fldCharType="end"/>
      </w:r>
      <w:r>
        <w:fldChar w:fldCharType="end"/>
      </w:r>
    </w:p>
    <w:p w14:paraId="5CDDFEF2">
      <w:pPr>
        <w:pStyle w:val="32"/>
        <w:rPr>
          <w:rFonts w:cstheme="minorBidi"/>
          <w:sz w:val="21"/>
          <w:szCs w:val="22"/>
        </w:rPr>
      </w:pPr>
      <w:r>
        <w:fldChar w:fldCharType="begin"/>
      </w:r>
      <w:r>
        <w:instrText xml:space="preserve"> HYPERLINK \l "_Toc218004089" </w:instrText>
      </w:r>
      <w:r>
        <w:fldChar w:fldCharType="separate"/>
      </w:r>
      <w:r>
        <w:rPr>
          <w:rStyle w:val="49"/>
          <w:rFonts w:hint="eastAsia"/>
          <w:kern w:val="0"/>
        </w:rPr>
        <w:t>第十八部分</w:t>
      </w:r>
      <w:r>
        <w:rPr>
          <w:rStyle w:val="49"/>
          <w:kern w:val="0"/>
        </w:rPr>
        <w:t xml:space="preserve">  </w:t>
      </w:r>
      <w:r>
        <w:rPr>
          <w:rStyle w:val="49"/>
          <w:rFonts w:hint="eastAsia"/>
          <w:kern w:val="0"/>
        </w:rPr>
        <w:t>基金合同的变更、终止与基金财产的清算</w:t>
      </w:r>
      <w:r>
        <w:tab/>
      </w:r>
      <w:r>
        <w:fldChar w:fldCharType="begin"/>
      </w:r>
      <w:r>
        <w:instrText xml:space="preserve"> PAGEREF _Toc218004089 \h </w:instrText>
      </w:r>
      <w:r>
        <w:fldChar w:fldCharType="separate"/>
      </w:r>
      <w:r>
        <w:t>101</w:t>
      </w:r>
      <w:r>
        <w:fldChar w:fldCharType="end"/>
      </w:r>
      <w:r>
        <w:fldChar w:fldCharType="end"/>
      </w:r>
    </w:p>
    <w:p w14:paraId="6C62A21D">
      <w:pPr>
        <w:pStyle w:val="32"/>
        <w:rPr>
          <w:rFonts w:cstheme="minorBidi"/>
          <w:sz w:val="21"/>
          <w:szCs w:val="22"/>
        </w:rPr>
      </w:pPr>
      <w:r>
        <w:fldChar w:fldCharType="begin"/>
      </w:r>
      <w:r>
        <w:instrText xml:space="preserve"> HYPERLINK \l "_Toc218004090" </w:instrText>
      </w:r>
      <w:r>
        <w:fldChar w:fldCharType="separate"/>
      </w:r>
      <w:r>
        <w:rPr>
          <w:rStyle w:val="49"/>
          <w:rFonts w:hint="eastAsia"/>
        </w:rPr>
        <w:t>第十九部分</w:t>
      </w:r>
      <w:r>
        <w:rPr>
          <w:rStyle w:val="49"/>
        </w:rPr>
        <w:t xml:space="preserve">  </w:t>
      </w:r>
      <w:r>
        <w:rPr>
          <w:rStyle w:val="49"/>
          <w:rFonts w:hint="eastAsia"/>
        </w:rPr>
        <w:t>基金合同的内容摘要</w:t>
      </w:r>
      <w:r>
        <w:tab/>
      </w:r>
      <w:r>
        <w:fldChar w:fldCharType="begin"/>
      </w:r>
      <w:r>
        <w:instrText xml:space="preserve"> PAGEREF _Toc218004090 \h </w:instrText>
      </w:r>
      <w:r>
        <w:fldChar w:fldCharType="separate"/>
      </w:r>
      <w:r>
        <w:t>103</w:t>
      </w:r>
      <w:r>
        <w:fldChar w:fldCharType="end"/>
      </w:r>
      <w:r>
        <w:fldChar w:fldCharType="end"/>
      </w:r>
    </w:p>
    <w:p w14:paraId="3F3CF876">
      <w:pPr>
        <w:pStyle w:val="32"/>
        <w:rPr>
          <w:rFonts w:cstheme="minorBidi"/>
          <w:sz w:val="21"/>
          <w:szCs w:val="22"/>
        </w:rPr>
      </w:pPr>
      <w:r>
        <w:fldChar w:fldCharType="begin"/>
      </w:r>
      <w:r>
        <w:instrText xml:space="preserve"> HYPERLINK \l "_Toc218004091" </w:instrText>
      </w:r>
      <w:r>
        <w:fldChar w:fldCharType="separate"/>
      </w:r>
      <w:r>
        <w:rPr>
          <w:rStyle w:val="49"/>
          <w:rFonts w:hint="eastAsia"/>
        </w:rPr>
        <w:t>第二十部分</w:t>
      </w:r>
      <w:r>
        <w:rPr>
          <w:rStyle w:val="49"/>
        </w:rPr>
        <w:t xml:space="preserve">  </w:t>
      </w:r>
      <w:r>
        <w:rPr>
          <w:rStyle w:val="49"/>
          <w:rFonts w:hint="eastAsia"/>
        </w:rPr>
        <w:t>基金托管协议的内容摘要</w:t>
      </w:r>
      <w:r>
        <w:tab/>
      </w:r>
      <w:r>
        <w:fldChar w:fldCharType="begin"/>
      </w:r>
      <w:r>
        <w:instrText xml:space="preserve"> PAGEREF _Toc218004091 \h </w:instrText>
      </w:r>
      <w:r>
        <w:fldChar w:fldCharType="separate"/>
      </w:r>
      <w:r>
        <w:t>121</w:t>
      </w:r>
      <w:r>
        <w:fldChar w:fldCharType="end"/>
      </w:r>
      <w:r>
        <w:fldChar w:fldCharType="end"/>
      </w:r>
    </w:p>
    <w:p w14:paraId="49180ED2">
      <w:pPr>
        <w:pStyle w:val="32"/>
        <w:rPr>
          <w:rFonts w:cstheme="minorBidi"/>
          <w:sz w:val="21"/>
          <w:szCs w:val="22"/>
        </w:rPr>
      </w:pPr>
      <w:r>
        <w:fldChar w:fldCharType="begin"/>
      </w:r>
      <w:r>
        <w:instrText xml:space="preserve"> HYPERLINK \l "_Toc218004092" </w:instrText>
      </w:r>
      <w:r>
        <w:fldChar w:fldCharType="separate"/>
      </w:r>
      <w:r>
        <w:rPr>
          <w:rStyle w:val="49"/>
          <w:rFonts w:hint="eastAsia"/>
        </w:rPr>
        <w:t>第二十一部分</w:t>
      </w:r>
      <w:r>
        <w:rPr>
          <w:rStyle w:val="49"/>
        </w:rPr>
        <w:t xml:space="preserve">  </w:t>
      </w:r>
      <w:r>
        <w:rPr>
          <w:rStyle w:val="49"/>
          <w:rFonts w:hint="eastAsia"/>
        </w:rPr>
        <w:t>对基金份额持有人的服务</w:t>
      </w:r>
      <w:r>
        <w:tab/>
      </w:r>
      <w:r>
        <w:fldChar w:fldCharType="begin"/>
      </w:r>
      <w:r>
        <w:instrText xml:space="preserve"> PAGEREF _Toc218004092 \h </w:instrText>
      </w:r>
      <w:r>
        <w:fldChar w:fldCharType="separate"/>
      </w:r>
      <w:r>
        <w:t>143</w:t>
      </w:r>
      <w:r>
        <w:fldChar w:fldCharType="end"/>
      </w:r>
      <w:r>
        <w:fldChar w:fldCharType="end"/>
      </w:r>
    </w:p>
    <w:p w14:paraId="6F6DF48E">
      <w:pPr>
        <w:pStyle w:val="32"/>
        <w:rPr>
          <w:rFonts w:cstheme="minorBidi"/>
          <w:sz w:val="21"/>
          <w:szCs w:val="22"/>
        </w:rPr>
      </w:pPr>
      <w:r>
        <w:fldChar w:fldCharType="begin"/>
      </w:r>
      <w:r>
        <w:instrText xml:space="preserve"> HYPERLINK \l "_Toc218004093" </w:instrText>
      </w:r>
      <w:r>
        <w:fldChar w:fldCharType="separate"/>
      </w:r>
      <w:r>
        <w:rPr>
          <w:rStyle w:val="49"/>
          <w:rFonts w:hint="eastAsia"/>
          <w:kern w:val="0"/>
        </w:rPr>
        <w:t>第二十二部分</w:t>
      </w:r>
      <w:r>
        <w:rPr>
          <w:rStyle w:val="49"/>
          <w:kern w:val="0"/>
        </w:rPr>
        <w:t xml:space="preserve">  </w:t>
      </w:r>
      <w:r>
        <w:rPr>
          <w:rStyle w:val="49"/>
          <w:rFonts w:hint="eastAsia"/>
          <w:kern w:val="0"/>
        </w:rPr>
        <w:t>招募说明书的存放及查阅方式</w:t>
      </w:r>
      <w:r>
        <w:tab/>
      </w:r>
      <w:r>
        <w:fldChar w:fldCharType="begin"/>
      </w:r>
      <w:r>
        <w:instrText xml:space="preserve"> PAGEREF _Toc218004093 \h </w:instrText>
      </w:r>
      <w:r>
        <w:fldChar w:fldCharType="separate"/>
      </w:r>
      <w:r>
        <w:t>145</w:t>
      </w:r>
      <w:r>
        <w:fldChar w:fldCharType="end"/>
      </w:r>
      <w:r>
        <w:fldChar w:fldCharType="end"/>
      </w:r>
    </w:p>
    <w:p w14:paraId="15B25D2C">
      <w:pPr>
        <w:pStyle w:val="32"/>
        <w:rPr>
          <w:rFonts w:cstheme="minorBidi"/>
          <w:sz w:val="21"/>
          <w:szCs w:val="22"/>
        </w:rPr>
      </w:pPr>
      <w:r>
        <w:fldChar w:fldCharType="begin"/>
      </w:r>
      <w:r>
        <w:instrText xml:space="preserve"> HYPERLINK \l "_Toc218004094" </w:instrText>
      </w:r>
      <w:r>
        <w:fldChar w:fldCharType="separate"/>
      </w:r>
      <w:r>
        <w:rPr>
          <w:rStyle w:val="49"/>
          <w:rFonts w:hint="eastAsia"/>
          <w:kern w:val="0"/>
        </w:rPr>
        <w:t>第二十三部分</w:t>
      </w:r>
      <w:r>
        <w:rPr>
          <w:rStyle w:val="49"/>
          <w:kern w:val="0"/>
        </w:rPr>
        <w:t xml:space="preserve">  </w:t>
      </w:r>
      <w:r>
        <w:rPr>
          <w:rStyle w:val="49"/>
          <w:rFonts w:hint="eastAsia"/>
          <w:kern w:val="0"/>
        </w:rPr>
        <w:t>备查文件</w:t>
      </w:r>
      <w:r>
        <w:tab/>
      </w:r>
      <w:r>
        <w:fldChar w:fldCharType="begin"/>
      </w:r>
      <w:r>
        <w:instrText xml:space="preserve"> PAGEREF _Toc218004094 \h </w:instrText>
      </w:r>
      <w:r>
        <w:fldChar w:fldCharType="separate"/>
      </w:r>
      <w:r>
        <w:t>146</w:t>
      </w:r>
      <w:r>
        <w:fldChar w:fldCharType="end"/>
      </w:r>
      <w:r>
        <w:fldChar w:fldCharType="end"/>
      </w:r>
    </w:p>
    <w:p w14:paraId="65E2368B">
      <w:pPr>
        <w:pStyle w:val="32"/>
        <w:rPr>
          <w:b/>
          <w:szCs w:val="20"/>
        </w:rPr>
      </w:pPr>
      <w:r>
        <w:rPr>
          <w:rStyle w:val="49"/>
          <w:bCs/>
          <w:caps/>
          <w:color w:val="auto"/>
        </w:rPr>
        <w:fldChar w:fldCharType="end"/>
      </w:r>
      <w:bookmarkStart w:id="7" w:name="_Toc390614981"/>
      <w:bookmarkStart w:id="8" w:name="_Toc11660"/>
      <w:r>
        <w:br w:type="page"/>
      </w:r>
    </w:p>
    <w:p w14:paraId="6FD53C33">
      <w:pPr>
        <w:pStyle w:val="2"/>
        <w:spacing w:before="312" w:after="312"/>
      </w:pPr>
      <w:bookmarkStart w:id="9" w:name="_Toc218004072"/>
      <w:r>
        <w:rPr>
          <w:rFonts w:hint="eastAsia"/>
        </w:rPr>
        <w:t>第一部分</w:t>
      </w:r>
      <w:r>
        <w:t xml:space="preserve">  </w:t>
      </w:r>
      <w:r>
        <w:rPr>
          <w:rFonts w:hint="eastAsia"/>
        </w:rPr>
        <w:t>前言</w:t>
      </w:r>
      <w:bookmarkEnd w:id="6"/>
      <w:bookmarkEnd w:id="7"/>
      <w:bookmarkEnd w:id="8"/>
      <w:bookmarkEnd w:id="9"/>
    </w:p>
    <w:p w14:paraId="22751A27">
      <w:pPr>
        <w:pStyle w:val="37"/>
        <w:ind w:firstLine="480"/>
      </w:pPr>
      <w:r>
        <w:rPr>
          <w:rFonts w:hint="eastAsia"/>
        </w:rPr>
        <w:t>本招募说明书依据《中华人民共和国证券投资基金法》（以下简称“《基金法》”）、《公开募集证券投资基金运作管理办法》（以下简称“《运作办法》”）、《</w:t>
      </w:r>
      <w:r>
        <w:rPr>
          <w:rFonts w:hint="eastAsia"/>
          <w:bCs/>
        </w:rPr>
        <w:t>公开募集证券投资基金销售机构监督管理办法</w:t>
      </w:r>
      <w:r>
        <w:rPr>
          <w:rFonts w:hint="eastAsia"/>
        </w:rPr>
        <w:t>》（以下简称“《销售办法》”）、《公开募集证券投资基金信息披露管理办法》（以下简称“《信息披露办法》”）、《公开募集开放式证券投资基金流动性风险管理规定》（以下简称“《流动性风险管理规定》”）和其他有关法律法规的规定，以及《富国嘉汇债券型证券投资基金基金合同》（以下简称“基金合同”）编写。</w:t>
      </w:r>
    </w:p>
    <w:p w14:paraId="64D0D65E">
      <w:pPr>
        <w:ind w:firstLine="480"/>
        <w:rPr>
          <w:szCs w:val="20"/>
        </w:rPr>
      </w:pPr>
      <w:r>
        <w:rPr>
          <w:rFonts w:hint="eastAsia"/>
        </w:rPr>
        <w:t>本招募说明书阐述</w:t>
      </w:r>
      <w:r>
        <w:rPr>
          <w:rFonts w:hint="eastAsia"/>
          <w:szCs w:val="20"/>
        </w:rPr>
        <w:t>了富国嘉汇债券型证券投资基金</w:t>
      </w:r>
      <w:r>
        <w:rPr>
          <w:rFonts w:hint="eastAsia"/>
        </w:rPr>
        <w:t>的投资目标、策略、风险、费率等与投资者投资决策有关的全部必要事项，投资者在做出投资决策前应仔细阅读本招募说明书。</w:t>
      </w:r>
    </w:p>
    <w:p w14:paraId="42CAF5A8">
      <w:pPr>
        <w:ind w:firstLine="480"/>
      </w:pPr>
      <w:r>
        <w:rPr>
          <w:rFonts w:hint="eastAsia"/>
        </w:rPr>
        <w:t>本基金管理人承诺本招募说明书不存在任何虚假内容、误导性陈述或重大遗漏，并对其真实性、准确性、完整性承担法律责任。</w:t>
      </w:r>
    </w:p>
    <w:p w14:paraId="2ECB1BB0">
      <w:pPr>
        <w:ind w:firstLine="480"/>
      </w:pPr>
      <w:r>
        <w:rPr>
          <w:rFonts w:hint="eastAsia"/>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14:paraId="756FDBD9">
      <w:pPr>
        <w:ind w:firstLine="480"/>
        <w:rPr>
          <w:b/>
          <w:kern w:val="0"/>
        </w:rPr>
      </w:pPr>
      <w:r>
        <w:rPr>
          <w:rFonts w:hint="eastAsia"/>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4C572BDE">
      <w:pPr>
        <w:pStyle w:val="2"/>
        <w:spacing w:before="312" w:after="312"/>
        <w:rPr>
          <w:kern w:val="0"/>
        </w:rPr>
      </w:pPr>
      <w:bookmarkStart w:id="10" w:name="_Toc109537380"/>
      <w:r>
        <w:rPr>
          <w:kern w:val="0"/>
        </w:rPr>
        <w:br w:type="page"/>
      </w:r>
      <w:bookmarkStart w:id="11" w:name="_Toc6617"/>
      <w:bookmarkStart w:id="12" w:name="_Toc3224"/>
      <w:bookmarkStart w:id="13" w:name="_Toc15067"/>
      <w:bookmarkStart w:id="14" w:name="_Toc19592"/>
      <w:bookmarkStart w:id="15" w:name="_Toc2465"/>
      <w:bookmarkStart w:id="16" w:name="_Toc819"/>
      <w:bookmarkStart w:id="17" w:name="_Toc24860"/>
      <w:bookmarkStart w:id="18" w:name="_Toc21301"/>
      <w:bookmarkStart w:id="19" w:name="_Toc22864"/>
      <w:bookmarkStart w:id="20" w:name="_Toc31551"/>
      <w:bookmarkStart w:id="21" w:name="_Toc13020"/>
      <w:bookmarkStart w:id="22" w:name="_Toc390614982"/>
      <w:bookmarkStart w:id="23" w:name="_Toc218004073"/>
      <w:r>
        <w:rPr>
          <w:kern w:val="0"/>
        </w:rPr>
        <w:t>第二部分  释义</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055C09E">
      <w:pPr>
        <w:ind w:firstLine="480"/>
      </w:pPr>
      <w:r>
        <w:rPr>
          <w:rFonts w:hint="eastAsia"/>
        </w:rPr>
        <w:t>在本招募说明书中，除非文意另有所指，下列词语或简称具有如下含义：</w:t>
      </w:r>
    </w:p>
    <w:p w14:paraId="7763225B">
      <w:pPr>
        <w:ind w:firstLine="480"/>
      </w:pPr>
      <w:r>
        <w:rPr>
          <w:rFonts w:hint="eastAsia"/>
        </w:rPr>
        <w:t>1、基金或本基金：指富国嘉汇债券型证券投资基金</w:t>
      </w:r>
    </w:p>
    <w:p w14:paraId="6FC0756F">
      <w:pPr>
        <w:ind w:firstLine="480"/>
      </w:pPr>
      <w:r>
        <w:rPr>
          <w:rFonts w:hint="eastAsia"/>
        </w:rPr>
        <w:t>2、基金管理人：指富国基金管理有限公司</w:t>
      </w:r>
    </w:p>
    <w:p w14:paraId="22B09801">
      <w:pPr>
        <w:ind w:firstLine="480"/>
      </w:pPr>
      <w:r>
        <w:rPr>
          <w:rFonts w:hint="eastAsia"/>
        </w:rPr>
        <w:t>3、基金托管人：指</w:t>
      </w:r>
      <w:r>
        <w:rPr>
          <w:rFonts w:hint="eastAsia"/>
          <w:bCs/>
        </w:rPr>
        <w:t>财通证券股份有限公司</w:t>
      </w:r>
    </w:p>
    <w:p w14:paraId="600A8065">
      <w:pPr>
        <w:ind w:firstLine="480"/>
      </w:pPr>
      <w:r>
        <w:rPr>
          <w:rFonts w:hint="eastAsia"/>
        </w:rPr>
        <w:t>4、基金合同：指《富国嘉汇债券型证券投资基金基金合同》及对基金合同的任何有效修订和补充</w:t>
      </w:r>
    </w:p>
    <w:p w14:paraId="21DAFD34">
      <w:pPr>
        <w:ind w:firstLine="480"/>
      </w:pPr>
      <w:r>
        <w:rPr>
          <w:rFonts w:hint="eastAsia"/>
        </w:rPr>
        <w:t>5、托管协议：指基金管理人与基金托管人就本基金签订之《富国嘉汇债券型证券投资基金托管协议》及对该托管协议的任何有效修订和补充</w:t>
      </w:r>
    </w:p>
    <w:p w14:paraId="20BC00E6">
      <w:pPr>
        <w:ind w:firstLine="480"/>
      </w:pPr>
      <w:r>
        <w:rPr>
          <w:rFonts w:hint="eastAsia"/>
        </w:rPr>
        <w:t>6、招募说明书或本招募说明书：指《富国嘉汇债券型证券投资基金招募说明书》及其更新</w:t>
      </w:r>
    </w:p>
    <w:p w14:paraId="5AF42F35">
      <w:pPr>
        <w:ind w:firstLine="480"/>
      </w:pPr>
      <w:r>
        <w:rPr>
          <w:rFonts w:hint="eastAsia"/>
        </w:rPr>
        <w:t>7、基金产品资料概要：指《富国嘉汇债券型证券投资基金基金产品资料概要》及其更新</w:t>
      </w:r>
    </w:p>
    <w:p w14:paraId="61F6FD85">
      <w:pPr>
        <w:ind w:firstLine="480"/>
      </w:pPr>
      <w:r>
        <w:rPr>
          <w:rFonts w:hint="eastAsia"/>
        </w:rPr>
        <w:t>8、基金份额发售公告：指《富国嘉汇债券型证券投资基金基金份额发售公告》</w:t>
      </w:r>
    </w:p>
    <w:p w14:paraId="037DD479">
      <w:pPr>
        <w:ind w:firstLine="480"/>
      </w:pPr>
      <w:r>
        <w:rPr>
          <w:rFonts w:hint="eastAsia"/>
        </w:rPr>
        <w:t>9、法律法规：指中国现行有效并公布实施的法律、行政法规、规范性文件、司法解释、行政规章以及其他对基金合同当事人有约束力的决定、决议、通知等</w:t>
      </w:r>
    </w:p>
    <w:p w14:paraId="19318828">
      <w:pPr>
        <w:ind w:firstLine="480"/>
      </w:pPr>
      <w:r>
        <w:rPr>
          <w:rFonts w:hint="eastAsia"/>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313E8DF1">
      <w:pPr>
        <w:ind w:firstLine="480"/>
      </w:pPr>
      <w:r>
        <w:rPr>
          <w:rFonts w:hint="eastAsia"/>
        </w:rPr>
        <w:t>11、《销售办法》：指中国证监会2020年8月28日颁布、同年10月1日实施的《公开募集证券投资基金销售机构监督管理办法》及颁布机关对其不时做出的修订</w:t>
      </w:r>
    </w:p>
    <w:p w14:paraId="7FE655E4">
      <w:pPr>
        <w:ind w:firstLine="480"/>
      </w:pPr>
      <w:r>
        <w:rPr>
          <w:rFonts w:hint="eastAsia"/>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998FADA">
      <w:pPr>
        <w:ind w:firstLine="480"/>
      </w:pPr>
      <w:r>
        <w:rPr>
          <w:rFonts w:hint="eastAsia"/>
        </w:rPr>
        <w:t>13、《运作办法》：指中国证监会2014年7月7日颁布、同年8月8日实施的《公开募集证券投资基金运作管理办法》及颁布机关对其不时做出的修订</w:t>
      </w:r>
    </w:p>
    <w:p w14:paraId="16C5B9E0">
      <w:pPr>
        <w:ind w:firstLine="480"/>
      </w:pPr>
      <w:r>
        <w:rPr>
          <w:rFonts w:hint="eastAsia"/>
        </w:rPr>
        <w:t>14、《流动性风险管理规定》：指中国证监会2017年8月31日颁布、同年10月1日实施的《公开募集开放式证券投资基金流动性风险管理规定》及颁布机关对其不时做出的修订</w:t>
      </w:r>
    </w:p>
    <w:p w14:paraId="3F9C2083">
      <w:pPr>
        <w:ind w:firstLine="480"/>
      </w:pPr>
      <w:r>
        <w:rPr>
          <w:rFonts w:hint="eastAsia"/>
        </w:rPr>
        <w:t>15、中国证监会：指中国证券监督管理委员会</w:t>
      </w:r>
    </w:p>
    <w:p w14:paraId="3F412397">
      <w:pPr>
        <w:ind w:firstLine="480"/>
      </w:pPr>
      <w:r>
        <w:rPr>
          <w:rFonts w:hint="eastAsia"/>
        </w:rPr>
        <w:t>16、基金合同当事人：指受基金合同约束，根据基金合同享有权利并承担义务的法律主体，包括基金管理人、基金托管人和基金份额持有人</w:t>
      </w:r>
    </w:p>
    <w:p w14:paraId="70C351F0">
      <w:pPr>
        <w:ind w:firstLine="480"/>
      </w:pPr>
      <w:r>
        <w:rPr>
          <w:rFonts w:hint="eastAsia"/>
        </w:rPr>
        <w:t>17、个人投资者：指依据有关法律法规规定可投资于证券投资基金的自然人</w:t>
      </w:r>
    </w:p>
    <w:p w14:paraId="160257F6">
      <w:pPr>
        <w:ind w:firstLine="480"/>
      </w:pPr>
      <w:r>
        <w:rPr>
          <w:rFonts w:hint="eastAsia"/>
        </w:rPr>
        <w:t>18、机构投资者：指依法可以投资证券投资基金的、在中华人民共和国境内合法登记并存续或经有关政府部门批准设立并存续的企业法人、事业法人、社会团体或其他组织</w:t>
      </w:r>
    </w:p>
    <w:p w14:paraId="67C18280">
      <w:pPr>
        <w:ind w:firstLine="480"/>
      </w:pPr>
      <w:r>
        <w:rPr>
          <w:rFonts w:hint="eastAsia"/>
        </w:rPr>
        <w:t>19、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E7739A3">
      <w:pPr>
        <w:ind w:firstLine="480"/>
      </w:pPr>
      <w:r>
        <w:rPr>
          <w:rFonts w:hint="eastAsia"/>
        </w:rPr>
        <w:t>20、投资人、投资者：指个人投资者、机构投资者、合格境外投资者以及法律法规或中国证监会允许购买证券投资基金的其他投资人的合称</w:t>
      </w:r>
    </w:p>
    <w:p w14:paraId="0BBD8A1F">
      <w:pPr>
        <w:ind w:firstLine="480"/>
      </w:pPr>
      <w:r>
        <w:rPr>
          <w:rFonts w:hint="eastAsia"/>
        </w:rPr>
        <w:t>21、基金份额持有人：指依基金合同和招募说明书合法取得基金份额的投资人</w:t>
      </w:r>
    </w:p>
    <w:p w14:paraId="2715919F">
      <w:pPr>
        <w:ind w:firstLine="480"/>
      </w:pPr>
      <w:r>
        <w:rPr>
          <w:rFonts w:hint="eastAsia"/>
        </w:rPr>
        <w:t>22、基金销售业务：指基金管理人或销售机构宣传推介基金，发售基金份额，办理基金份额的申购、赎回、转换、转托管及定期定额投资等业务</w:t>
      </w:r>
    </w:p>
    <w:p w14:paraId="028A1846">
      <w:pPr>
        <w:ind w:firstLine="480"/>
      </w:pPr>
      <w:r>
        <w:rPr>
          <w:rFonts w:hint="eastAsia"/>
        </w:rPr>
        <w:t>23、销售机构：指富国基金管理有限公司以及符合《销售办法》和中国证监会规定的其他条件，取得基金销售业务资格并与基金管理人签订了基金销售服务协议，办理基金销售业务的机构</w:t>
      </w:r>
    </w:p>
    <w:p w14:paraId="40346140">
      <w:pPr>
        <w:ind w:firstLine="480"/>
      </w:pPr>
      <w:r>
        <w:rPr>
          <w:rFonts w:hint="eastAsia"/>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1EB845F">
      <w:pPr>
        <w:ind w:firstLine="480"/>
      </w:pPr>
      <w:r>
        <w:rPr>
          <w:rFonts w:hint="eastAsia"/>
        </w:rPr>
        <w:t>25、登记机构：指办理登记业务的机构。基金的登记机构为富国基金管理有限公司或接受富国基金管理有限公司委托办理登记业务的机构</w:t>
      </w:r>
    </w:p>
    <w:p w14:paraId="232CB5C6">
      <w:pPr>
        <w:ind w:firstLine="480"/>
      </w:pPr>
      <w:r>
        <w:rPr>
          <w:rFonts w:hint="eastAsia"/>
        </w:rPr>
        <w:t>26、基金账户：指登记机构为投资人开立的、记录其持有的、基金管理人所管理的基金份额余额及其变动情况的账户</w:t>
      </w:r>
    </w:p>
    <w:p w14:paraId="7D6D4AA2">
      <w:pPr>
        <w:ind w:firstLine="480"/>
      </w:pPr>
      <w:r>
        <w:rPr>
          <w:rFonts w:hint="eastAsia"/>
        </w:rPr>
        <w:t>27、基金交易账户：指销售机构为投资人开立的、记录投资人通过该销售机构办理认购、申购、赎回、转换、转托管及定期定额投资等业务而引起的基金份额变动及结余情况的账户</w:t>
      </w:r>
    </w:p>
    <w:p w14:paraId="0CA99C48">
      <w:pPr>
        <w:ind w:firstLine="480"/>
      </w:pPr>
      <w:r>
        <w:rPr>
          <w:rFonts w:hint="eastAsia"/>
        </w:rPr>
        <w:t>29、基金合同生效日：指基金募集达到法律法规规定及基金合同规定的条件，基金管理人向中国证监会办理基金备案手续完毕，并获得中国证监会书面确认的日期</w:t>
      </w:r>
    </w:p>
    <w:p w14:paraId="4B6E0751">
      <w:pPr>
        <w:ind w:firstLine="480"/>
      </w:pPr>
      <w:r>
        <w:rPr>
          <w:rFonts w:hint="eastAsia"/>
        </w:rPr>
        <w:t>29、基金合同终止日：指基金合同规定的基金合同终止事由出现后，基金财产清算完毕，清算结果报中国证监会备案并予以公告的日期</w:t>
      </w:r>
    </w:p>
    <w:p w14:paraId="25311ABA">
      <w:pPr>
        <w:ind w:firstLine="480"/>
      </w:pPr>
      <w:r>
        <w:rPr>
          <w:rFonts w:hint="eastAsia"/>
        </w:rPr>
        <w:t>30、基金募集期：指自基金份额发售之日起至发售结束之日止的期间，最长不得超过3个月</w:t>
      </w:r>
    </w:p>
    <w:p w14:paraId="4B5C2B1F">
      <w:pPr>
        <w:ind w:firstLine="480"/>
      </w:pPr>
      <w:r>
        <w:rPr>
          <w:rFonts w:hint="eastAsia"/>
        </w:rPr>
        <w:t>31、存续期：指基金合同生效至终止之间的不定期期限</w:t>
      </w:r>
    </w:p>
    <w:p w14:paraId="265F83EB">
      <w:pPr>
        <w:ind w:firstLine="480"/>
      </w:pPr>
      <w:r>
        <w:rPr>
          <w:rFonts w:hint="eastAsia"/>
        </w:rPr>
        <w:t>32、工作日：指上海证券交易所、深圳证券交易所的正常交易日</w:t>
      </w:r>
    </w:p>
    <w:p w14:paraId="37129283">
      <w:pPr>
        <w:ind w:firstLine="480"/>
      </w:pPr>
      <w:r>
        <w:rPr>
          <w:rFonts w:hint="eastAsia"/>
        </w:rPr>
        <w:t>33、T日：指销售机构在规定时间受理投资人申购、赎回或其他业务申请的开放日</w:t>
      </w:r>
    </w:p>
    <w:p w14:paraId="18B20307">
      <w:pPr>
        <w:ind w:firstLine="480"/>
      </w:pPr>
      <w:r>
        <w:rPr>
          <w:rFonts w:hint="eastAsia"/>
        </w:rPr>
        <w:t>34、T+n日：指自T日起第n个工作日(不包含T日)，n为自然数</w:t>
      </w:r>
    </w:p>
    <w:p w14:paraId="7A24D427">
      <w:pPr>
        <w:ind w:firstLine="480"/>
      </w:pPr>
      <w:r>
        <w:rPr>
          <w:rFonts w:hint="eastAsia"/>
        </w:rPr>
        <w:t>35、开放日：指为投资人办理基金份额申购、赎回或其他业务的工作日（若本基金参与港股通交易且该工作日为非港股通交易日时，则本基金可以不开放申购和赎回等业务，具体以届时公告为准）</w:t>
      </w:r>
    </w:p>
    <w:p w14:paraId="6FB317BA">
      <w:pPr>
        <w:ind w:firstLine="480"/>
      </w:pPr>
      <w:r>
        <w:rPr>
          <w:rFonts w:hint="eastAsia"/>
        </w:rPr>
        <w:t>36、开放时间：指开放日基金接受申购、赎回或其他交易的时间段</w:t>
      </w:r>
    </w:p>
    <w:p w14:paraId="45A5CD59">
      <w:pPr>
        <w:ind w:firstLine="480"/>
      </w:pPr>
      <w:r>
        <w:rPr>
          <w:rFonts w:hint="eastAsia"/>
        </w:rPr>
        <w:t>37、《业务规则》：指《富国基金管理有限公司开放式基金业务规则》，是规范基金管理人所管理的开放式证券投资基金登记方面的业务规则，由基金管理人和投资人共同遵守</w:t>
      </w:r>
    </w:p>
    <w:p w14:paraId="0FEB30C4">
      <w:pPr>
        <w:ind w:firstLine="480"/>
      </w:pPr>
      <w:r>
        <w:rPr>
          <w:rFonts w:hint="eastAsia"/>
        </w:rPr>
        <w:t>38、认购：指在基金募集期内，投资者根据基金合同和招募说明书的规定申请购买基金份额的行为</w:t>
      </w:r>
    </w:p>
    <w:p w14:paraId="2E63631B">
      <w:pPr>
        <w:ind w:firstLine="480"/>
      </w:pPr>
      <w:r>
        <w:rPr>
          <w:rFonts w:hint="eastAsia"/>
        </w:rPr>
        <w:t>39、申购：指基金合同生效后，投资者根据基金合同和招募说明书的规定申请购买基金份额的行为</w:t>
      </w:r>
    </w:p>
    <w:p w14:paraId="17FF15C9">
      <w:pPr>
        <w:ind w:firstLine="480"/>
      </w:pPr>
      <w:r>
        <w:rPr>
          <w:rFonts w:hint="eastAsia"/>
        </w:rPr>
        <w:t>40、赎回：指基金合同生效后，基金份额持有人按基金合同和招募说明书规定的条件要求将基金份额兑换为现金的行为</w:t>
      </w:r>
    </w:p>
    <w:p w14:paraId="713988F9">
      <w:pPr>
        <w:ind w:firstLine="480"/>
      </w:pPr>
      <w:r>
        <w:rPr>
          <w:rFonts w:hint="eastAsia"/>
        </w:rPr>
        <w:t>41、基金转换：指基金份额持有人按照基金合同和基金管理人届时有效公告规定的条件，申请将其持有基金管理人管理的、某一类基金份额转换为基金管理人管理的其他基金份额的行为</w:t>
      </w:r>
    </w:p>
    <w:p w14:paraId="0278A27C">
      <w:pPr>
        <w:ind w:firstLine="480"/>
      </w:pPr>
      <w:r>
        <w:rPr>
          <w:rFonts w:hint="eastAsia"/>
        </w:rPr>
        <w:t>42、转托管：指基金份额持有人在本基金的不同销售机构之间实施的变更所持基金份额销售机构的操作</w:t>
      </w:r>
    </w:p>
    <w:p w14:paraId="13A45EDE">
      <w:pPr>
        <w:ind w:firstLine="480"/>
      </w:pPr>
      <w:r>
        <w:rPr>
          <w:rFonts w:hint="eastAsia"/>
        </w:rPr>
        <w:t>43、定期定额投资计划：指投资人通过有关销售机构提出申请，约定每期申购日、扣款金额及扣款方式，由销售机构于每期约定扣款日在投资人指定银行账户内自动完成扣款及受理基金申购申请的一种投资方式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E4A2AF3">
      <w:pPr>
        <w:ind w:firstLine="480"/>
      </w:pPr>
      <w:r>
        <w:rPr>
          <w:rFonts w:hint="eastAsia"/>
        </w:rPr>
        <w:t>44、巨额赎回：指本基金单个开放日，基金净赎回申请(赎回申请份额总数加上基金转换中转出申请份额总数后扣除申购申请份额总数及基金转换中转入申请份额总数后的余额)超过上一开放日基金总份额的10%</w:t>
      </w:r>
    </w:p>
    <w:p w14:paraId="6BBAE567">
      <w:pPr>
        <w:ind w:firstLine="480"/>
      </w:pPr>
      <w:r>
        <w:rPr>
          <w:rFonts w:hint="eastAsia"/>
        </w:rPr>
        <w:t>45、元：指人民币元</w:t>
      </w:r>
    </w:p>
    <w:p w14:paraId="15A4E7D4">
      <w:pPr>
        <w:ind w:firstLine="480"/>
      </w:pPr>
      <w:r>
        <w:rPr>
          <w:rFonts w:hint="eastAsia"/>
        </w:rPr>
        <w:t>46、基金收益：指基金投资所得的红利、股息、债券利息、买卖证券价差、银行存款利息、已实现的其他合法收入及因运用基金财产带来的成本和费用的节约</w:t>
      </w:r>
    </w:p>
    <w:p w14:paraId="6EA01676">
      <w:pPr>
        <w:ind w:firstLine="480"/>
      </w:pPr>
      <w:r>
        <w:rPr>
          <w:rFonts w:hint="eastAsia"/>
        </w:rPr>
        <w:t>47、基金资产总值：指基金拥有的各类有价证券、银行存款本息、基金应收款项、基金份额及其他资产的价值总和</w:t>
      </w:r>
    </w:p>
    <w:p w14:paraId="1BAF1B0C">
      <w:pPr>
        <w:ind w:firstLine="480"/>
      </w:pPr>
      <w:r>
        <w:rPr>
          <w:rFonts w:hint="eastAsia"/>
        </w:rPr>
        <w:t>48、基金资产净值：指基金资产总值减去基金负债后的价值</w:t>
      </w:r>
    </w:p>
    <w:p w14:paraId="49AE4950">
      <w:pPr>
        <w:ind w:firstLine="480"/>
      </w:pPr>
      <w:r>
        <w:rPr>
          <w:rFonts w:hint="eastAsia"/>
        </w:rPr>
        <w:t>49、基金份额净值：指计算日基金资产净值除以计算日基金份额总数</w:t>
      </w:r>
    </w:p>
    <w:p w14:paraId="4F1F70F7">
      <w:pPr>
        <w:ind w:firstLine="480"/>
      </w:pPr>
      <w:r>
        <w:rPr>
          <w:rFonts w:hint="eastAsia"/>
        </w:rPr>
        <w:t>50、基金资产估值：指计算评估基金资产和负债的价值，以确定基金资产净值和基金份额净值的过程</w:t>
      </w:r>
    </w:p>
    <w:p w14:paraId="5E76B78B">
      <w:pPr>
        <w:ind w:firstLine="480"/>
      </w:pPr>
      <w:r>
        <w:rPr>
          <w:rFonts w:hint="eastAsia"/>
        </w:rPr>
        <w:t>51、港股通：指内地投资者委托内地证券公司，经由内地证券交易所设立的证券交易服务公司，向香港联合交易所进行申报，买卖规定范围内的香港联合交易所上市的股票</w:t>
      </w:r>
    </w:p>
    <w:p w14:paraId="1FEF393D">
      <w:pPr>
        <w:ind w:firstLine="480"/>
      </w:pPr>
      <w:r>
        <w:rPr>
          <w:rFonts w:hint="eastAsia"/>
        </w:rPr>
        <w:t>52、规定媒介：指符合中国证监会规定条件的用以进行信息披露的全国性报刊及《信息披露办法》规定的互联网网站（包括基金管理人网站、基金托管人网站、中国证监会基金电子披露网站）等媒介</w:t>
      </w:r>
    </w:p>
    <w:p w14:paraId="0604F498">
      <w:pPr>
        <w:ind w:firstLine="480"/>
      </w:pPr>
      <w:r>
        <w:rPr>
          <w:rFonts w:hint="eastAsia"/>
        </w:rPr>
        <w:t>53、销售服务费：指从基金资产中计提的，用于本基金市场推广、销售以及基金份额持有人服务的费用</w:t>
      </w:r>
    </w:p>
    <w:p w14:paraId="3284D906">
      <w:pPr>
        <w:ind w:firstLine="480"/>
      </w:pPr>
      <w:r>
        <w:rPr>
          <w:rFonts w:hint="eastAsia"/>
        </w:rPr>
        <w:t>54、基金份额类别：指根据认购费、申购费、销售服务费收取方式的不同将基金份额分为不同的类别，各基金份额类别分别设置代码，分别计算和公告基金份额净值和基金份额累计净值</w:t>
      </w:r>
    </w:p>
    <w:p w14:paraId="3F4C672F">
      <w:pPr>
        <w:ind w:firstLine="480"/>
      </w:pPr>
      <w:r>
        <w:rPr>
          <w:rFonts w:hint="eastAsia"/>
        </w:rPr>
        <w:t>55、A类基金份额：指在投资者认/申购时收取认/申购费，但不再从本类别基金资产中计提销售服务费的一类基金份额</w:t>
      </w:r>
    </w:p>
    <w:p w14:paraId="4CBC6C5B">
      <w:pPr>
        <w:ind w:firstLine="480"/>
      </w:pPr>
      <w:r>
        <w:rPr>
          <w:rFonts w:hint="eastAsia"/>
        </w:rPr>
        <w:t>56、C类基金份额：指在投资者认/申购时不收取认/申购费，但从本类别基金资产中计提销售服务费的一类基金份额</w:t>
      </w:r>
    </w:p>
    <w:p w14:paraId="34A5F032">
      <w:pPr>
        <w:ind w:firstLine="480"/>
      </w:pPr>
      <w:r>
        <w:rPr>
          <w:rFonts w:hint="eastAsia"/>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13D623CA">
      <w:pPr>
        <w:ind w:firstLine="480"/>
      </w:pPr>
      <w:r>
        <w:rPr>
          <w:rFonts w:hint="eastAsia"/>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A8FA3B7">
      <w:pPr>
        <w:ind w:firstLine="480"/>
      </w:pPr>
      <w:r>
        <w:rPr>
          <w:rFonts w:hint="eastAsia"/>
        </w:rPr>
        <w:t>59、信用衍生品：指符合证券交易所或银行间市场相关业务规则，专门用于管理信用风险的信用衍生工具</w:t>
      </w:r>
    </w:p>
    <w:p w14:paraId="4696C096">
      <w:pPr>
        <w:ind w:firstLine="480"/>
      </w:pPr>
      <w:r>
        <w:rPr>
          <w:rFonts w:hint="eastAsia"/>
        </w:rPr>
        <w:t>60、信用保护买方：亦称信用保护购买方，指接受信用风险保护的一方</w:t>
      </w:r>
    </w:p>
    <w:p w14:paraId="3AB52EA2">
      <w:pPr>
        <w:ind w:firstLine="480"/>
      </w:pPr>
      <w:r>
        <w:rPr>
          <w:rFonts w:hint="eastAsia"/>
        </w:rPr>
        <w:t>61、信用保护卖方：亦称信用保护提供方，指提供信用风险保护的一方</w:t>
      </w:r>
    </w:p>
    <w:p w14:paraId="17851F9E">
      <w:pPr>
        <w:ind w:firstLine="480"/>
      </w:pPr>
      <w:r>
        <w:rPr>
          <w:rFonts w:hint="eastAsia"/>
        </w:rPr>
        <w:t>62、名义本金：亦称交易名义本金，指一笔为信用衍生品交易提供信用</w:t>
      </w:r>
      <w:r>
        <w:rPr>
          <w:rFonts w:hint="eastAsia"/>
          <w:bCs/>
        </w:rPr>
        <w:t>风险</w:t>
      </w:r>
      <w:r>
        <w:rPr>
          <w:rFonts w:hint="eastAsia"/>
        </w:rPr>
        <w:t>保护的金额，各项支付和结算以此金额为计算基准</w:t>
      </w:r>
    </w:p>
    <w:p w14:paraId="64069317">
      <w:pPr>
        <w:ind w:firstLine="480"/>
      </w:pPr>
      <w:r>
        <w:rPr>
          <w:rFonts w:hint="eastAsia"/>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52C5C7A">
      <w:pPr>
        <w:ind w:firstLine="480"/>
      </w:pPr>
      <w:r>
        <w:rPr>
          <w:rFonts w:hint="eastAsia"/>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B1FF010">
      <w:pPr>
        <w:ind w:firstLine="480"/>
      </w:pPr>
      <w:r>
        <w:rPr>
          <w:rFonts w:hint="eastAsia"/>
        </w:rPr>
        <w:t>65、不可抗力：指基金合同当事人不能预见、不能避免且不能克服的客观事件</w:t>
      </w:r>
    </w:p>
    <w:p w14:paraId="6C7127D0">
      <w:pPr>
        <w:ind w:firstLine="480"/>
        <w:rPr>
          <w:bCs/>
        </w:rPr>
      </w:pPr>
      <w:r>
        <w:rPr>
          <w:rFonts w:hint="eastAsia"/>
        </w:rPr>
        <w:t>以上释义中涉及法律法规、业务规则的内容，法律法规、业务规则修订后，如适用本基金，相关内容以修订后法律法规、业务规则为准。</w:t>
      </w:r>
    </w:p>
    <w:p w14:paraId="486E843B">
      <w:pPr>
        <w:pStyle w:val="2"/>
        <w:spacing w:before="312" w:after="312"/>
        <w:rPr>
          <w:kern w:val="0"/>
        </w:rPr>
      </w:pPr>
      <w:r>
        <w:rPr>
          <w:b w:val="0"/>
          <w:bCs/>
        </w:rPr>
        <w:br w:type="page"/>
      </w:r>
      <w:bookmarkStart w:id="24" w:name="_Hlt81032341"/>
      <w:bookmarkEnd w:id="24"/>
      <w:bookmarkStart w:id="25" w:name="_Toc218004074"/>
      <w:bookmarkStart w:id="26" w:name="_Toc103089618"/>
      <w:bookmarkStart w:id="27" w:name="_Toc390614983"/>
      <w:bookmarkStart w:id="28" w:name="_Toc109537381"/>
      <w:bookmarkStart w:id="29" w:name="_Toc390614984"/>
      <w:bookmarkStart w:id="30" w:name="_Toc109537383"/>
      <w:r>
        <w:rPr>
          <w:rFonts w:hint="eastAsia"/>
          <w:kern w:val="0"/>
        </w:rPr>
        <w:t>第三部分</w:t>
      </w:r>
      <w:r>
        <w:rPr>
          <w:kern w:val="0"/>
        </w:rPr>
        <w:t xml:space="preserve">  </w:t>
      </w:r>
      <w:r>
        <w:rPr>
          <w:rFonts w:hint="eastAsia"/>
          <w:kern w:val="0"/>
        </w:rPr>
        <w:t>基金管理人</w:t>
      </w:r>
      <w:bookmarkEnd w:id="25"/>
      <w:bookmarkEnd w:id="26"/>
      <w:bookmarkEnd w:id="27"/>
    </w:p>
    <w:bookmarkEnd w:id="28"/>
    <w:p w14:paraId="567B40C0">
      <w:pPr>
        <w:widowControl/>
        <w:ind w:firstLine="482"/>
        <w:rPr>
          <w:b/>
        </w:rPr>
      </w:pPr>
      <w:bookmarkStart w:id="31" w:name="_Toc252963063"/>
      <w:r>
        <w:rPr>
          <w:rFonts w:hint="eastAsia"/>
          <w:b/>
        </w:rPr>
        <w:t>一、基金管理人概况</w:t>
      </w:r>
    </w:p>
    <w:p w14:paraId="41C04EEC">
      <w:pPr>
        <w:widowControl/>
        <w:ind w:firstLine="480"/>
        <w:rPr>
          <w:bCs/>
          <w:szCs w:val="20"/>
        </w:rPr>
      </w:pPr>
      <w:r>
        <w:rPr>
          <w:rFonts w:hint="eastAsia"/>
          <w:bCs/>
          <w:szCs w:val="20"/>
        </w:rPr>
        <w:t>名称：富国基金管理有限公司</w:t>
      </w:r>
    </w:p>
    <w:p w14:paraId="15E4948B">
      <w:pPr>
        <w:widowControl/>
        <w:ind w:firstLine="480"/>
        <w:rPr>
          <w:bCs/>
          <w:szCs w:val="20"/>
        </w:rPr>
      </w:pPr>
      <w:r>
        <w:rPr>
          <w:rFonts w:hint="eastAsia"/>
          <w:bCs/>
          <w:szCs w:val="20"/>
        </w:rPr>
        <w:t>注册地址：中国（上海）自由贸易试验区世纪大道1196号世纪汇办公楼二座27-30层</w:t>
      </w:r>
    </w:p>
    <w:p w14:paraId="50F13BAF">
      <w:pPr>
        <w:widowControl/>
        <w:ind w:firstLine="480"/>
        <w:rPr>
          <w:bCs/>
          <w:szCs w:val="20"/>
        </w:rPr>
      </w:pPr>
      <w:r>
        <w:rPr>
          <w:rFonts w:hint="eastAsia"/>
          <w:bCs/>
          <w:szCs w:val="20"/>
        </w:rPr>
        <w:t>办公地址：上海市浦东新区世纪大道1196号世纪汇二座27-30层</w:t>
      </w:r>
    </w:p>
    <w:p w14:paraId="31F5FEAF">
      <w:pPr>
        <w:widowControl/>
        <w:ind w:firstLine="480"/>
        <w:rPr>
          <w:bCs/>
          <w:szCs w:val="20"/>
        </w:rPr>
      </w:pPr>
      <w:r>
        <w:rPr>
          <w:rFonts w:hint="eastAsia"/>
          <w:bCs/>
          <w:szCs w:val="20"/>
        </w:rPr>
        <w:t>法定代表人：裴长江</w:t>
      </w:r>
    </w:p>
    <w:p w14:paraId="01EB214D">
      <w:pPr>
        <w:widowControl/>
        <w:ind w:firstLine="480"/>
        <w:rPr>
          <w:bCs/>
          <w:szCs w:val="20"/>
        </w:rPr>
      </w:pPr>
      <w:r>
        <w:rPr>
          <w:rFonts w:hint="eastAsia"/>
          <w:bCs/>
          <w:szCs w:val="20"/>
        </w:rPr>
        <w:t>总经理：陈戈</w:t>
      </w:r>
    </w:p>
    <w:p w14:paraId="24D3B14E">
      <w:pPr>
        <w:widowControl/>
        <w:ind w:firstLine="480"/>
        <w:rPr>
          <w:bCs/>
          <w:szCs w:val="20"/>
        </w:rPr>
      </w:pPr>
      <w:r>
        <w:rPr>
          <w:rFonts w:hint="eastAsia"/>
          <w:bCs/>
          <w:szCs w:val="20"/>
        </w:rPr>
        <w:t>成立日期：1999年4月13日</w:t>
      </w:r>
    </w:p>
    <w:p w14:paraId="59C6C9EB">
      <w:pPr>
        <w:widowControl/>
        <w:ind w:firstLine="480"/>
        <w:rPr>
          <w:bCs/>
          <w:szCs w:val="20"/>
        </w:rPr>
      </w:pPr>
      <w:r>
        <w:rPr>
          <w:rFonts w:hint="eastAsia"/>
          <w:bCs/>
          <w:szCs w:val="20"/>
        </w:rPr>
        <w:t>电话：（021）20361818</w:t>
      </w:r>
    </w:p>
    <w:p w14:paraId="5A01509D">
      <w:pPr>
        <w:widowControl/>
        <w:ind w:firstLine="480"/>
        <w:rPr>
          <w:bCs/>
          <w:szCs w:val="20"/>
        </w:rPr>
      </w:pPr>
      <w:r>
        <w:rPr>
          <w:rFonts w:hint="eastAsia"/>
          <w:bCs/>
          <w:szCs w:val="20"/>
        </w:rPr>
        <w:t>传真：（021）20361616</w:t>
      </w:r>
    </w:p>
    <w:p w14:paraId="0C267469">
      <w:pPr>
        <w:widowControl/>
        <w:ind w:firstLine="480"/>
        <w:rPr>
          <w:bCs/>
          <w:szCs w:val="20"/>
        </w:rPr>
      </w:pPr>
      <w:r>
        <w:rPr>
          <w:rFonts w:hint="eastAsia"/>
          <w:bCs/>
          <w:szCs w:val="20"/>
        </w:rPr>
        <w:t>联系人：赵瑛</w:t>
      </w:r>
    </w:p>
    <w:p w14:paraId="00F2E384">
      <w:pPr>
        <w:widowControl/>
        <w:ind w:firstLine="480"/>
        <w:rPr>
          <w:bCs/>
          <w:szCs w:val="20"/>
        </w:rPr>
      </w:pPr>
      <w:r>
        <w:rPr>
          <w:rFonts w:hint="eastAsia"/>
          <w:bCs/>
          <w:szCs w:val="20"/>
        </w:rPr>
        <w:t>注册资本：5.2亿元人民币</w:t>
      </w:r>
    </w:p>
    <w:p w14:paraId="7885B1DE">
      <w:pPr>
        <w:widowControl/>
        <w:ind w:firstLine="480"/>
        <w:rPr>
          <w:bCs/>
          <w:szCs w:val="20"/>
        </w:rPr>
      </w:pPr>
      <w:r>
        <w:rPr>
          <w:rFonts w:hint="eastAsia"/>
          <w:bCs/>
          <w:szCs w:val="20"/>
        </w:rPr>
        <w:t>股权结构（截止于</w:t>
      </w:r>
      <w:r>
        <w:rPr>
          <w:bCs/>
          <w:szCs w:val="20"/>
        </w:rPr>
        <w:t>2025</w:t>
      </w:r>
      <w:r>
        <w:rPr>
          <w:rFonts w:hint="eastAsia"/>
          <w:bCs/>
          <w:szCs w:val="20"/>
        </w:rPr>
        <w:t>年</w:t>
      </w:r>
      <w:r>
        <w:rPr>
          <w:bCs/>
          <w:szCs w:val="20"/>
        </w:rPr>
        <w:t>11</w:t>
      </w:r>
      <w:r>
        <w:rPr>
          <w:rFonts w:hint="eastAsia"/>
          <w:bCs/>
          <w:szCs w:val="20"/>
        </w:rPr>
        <w:t>月3</w:t>
      </w:r>
      <w:r>
        <w:rPr>
          <w:bCs/>
          <w:szCs w:val="20"/>
        </w:rPr>
        <w:t>0</w:t>
      </w:r>
      <w:r>
        <w:rPr>
          <w:rFonts w:hint="eastAsia"/>
          <w:bCs/>
          <w:szCs w:val="20"/>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4014"/>
      </w:tblGrid>
      <w:tr w14:paraId="1C1C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1C62AF02">
            <w:pPr>
              <w:ind w:firstLine="0" w:firstLineChars="0"/>
              <w:jc w:val="center"/>
            </w:pPr>
            <w:r>
              <w:rPr>
                <w:rFonts w:hint="eastAsia"/>
              </w:rPr>
              <w:t>股东名称</w:t>
            </w:r>
          </w:p>
        </w:tc>
        <w:tc>
          <w:tcPr>
            <w:tcW w:w="4014" w:type="dxa"/>
            <w:tcBorders>
              <w:top w:val="single" w:color="auto" w:sz="4" w:space="0"/>
              <w:left w:val="single" w:color="auto" w:sz="4" w:space="0"/>
              <w:bottom w:val="single" w:color="auto" w:sz="4" w:space="0"/>
              <w:right w:val="single" w:color="auto" w:sz="4" w:space="0"/>
            </w:tcBorders>
          </w:tcPr>
          <w:p w14:paraId="76D2FE3B">
            <w:pPr>
              <w:ind w:firstLine="0" w:firstLineChars="0"/>
              <w:jc w:val="center"/>
            </w:pPr>
            <w:r>
              <w:rPr>
                <w:rFonts w:hint="eastAsia"/>
              </w:rPr>
              <w:t>出资比例</w:t>
            </w:r>
          </w:p>
        </w:tc>
      </w:tr>
      <w:tr w14:paraId="3353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7BE31481">
            <w:pPr>
              <w:ind w:firstLine="0" w:firstLineChars="0"/>
              <w:jc w:val="center"/>
            </w:pPr>
            <w:r>
              <w:rPr>
                <w:rFonts w:hint="eastAsia"/>
              </w:rPr>
              <w:t>国泰海通证券股份有限公司</w:t>
            </w:r>
          </w:p>
        </w:tc>
        <w:tc>
          <w:tcPr>
            <w:tcW w:w="4014" w:type="dxa"/>
            <w:tcBorders>
              <w:top w:val="single" w:color="auto" w:sz="4" w:space="0"/>
              <w:left w:val="single" w:color="auto" w:sz="4" w:space="0"/>
              <w:bottom w:val="single" w:color="auto" w:sz="4" w:space="0"/>
              <w:right w:val="single" w:color="auto" w:sz="4" w:space="0"/>
            </w:tcBorders>
          </w:tcPr>
          <w:p w14:paraId="0D805988">
            <w:pPr>
              <w:ind w:firstLine="0" w:firstLineChars="0"/>
              <w:jc w:val="center"/>
            </w:pPr>
            <w:r>
              <w:t>27.775%</w:t>
            </w:r>
          </w:p>
        </w:tc>
      </w:tr>
      <w:tr w14:paraId="1957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6E20A92E">
            <w:pPr>
              <w:ind w:firstLine="0" w:firstLineChars="0"/>
              <w:jc w:val="center"/>
            </w:pPr>
            <w:r>
              <w:rPr>
                <w:rFonts w:hint="eastAsia"/>
              </w:rPr>
              <w:t>申万宏源证券有限公司</w:t>
            </w:r>
          </w:p>
        </w:tc>
        <w:tc>
          <w:tcPr>
            <w:tcW w:w="4014" w:type="dxa"/>
            <w:tcBorders>
              <w:top w:val="single" w:color="auto" w:sz="4" w:space="0"/>
              <w:left w:val="single" w:color="auto" w:sz="4" w:space="0"/>
              <w:bottom w:val="single" w:color="auto" w:sz="4" w:space="0"/>
              <w:right w:val="single" w:color="auto" w:sz="4" w:space="0"/>
            </w:tcBorders>
          </w:tcPr>
          <w:p w14:paraId="7D0E2051">
            <w:pPr>
              <w:ind w:firstLine="0" w:firstLineChars="0"/>
              <w:jc w:val="center"/>
            </w:pPr>
            <w:r>
              <w:t>27.775%</w:t>
            </w:r>
          </w:p>
        </w:tc>
      </w:tr>
      <w:tr w14:paraId="7E70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7AF9BD01">
            <w:pPr>
              <w:ind w:firstLine="0" w:firstLineChars="0"/>
              <w:jc w:val="center"/>
            </w:pPr>
            <w:r>
              <w:rPr>
                <w:rFonts w:hint="eastAsia"/>
              </w:rPr>
              <w:t>加拿大蒙特利尔银行</w:t>
            </w:r>
          </w:p>
        </w:tc>
        <w:tc>
          <w:tcPr>
            <w:tcW w:w="4014" w:type="dxa"/>
            <w:tcBorders>
              <w:top w:val="single" w:color="auto" w:sz="4" w:space="0"/>
              <w:left w:val="single" w:color="auto" w:sz="4" w:space="0"/>
              <w:bottom w:val="single" w:color="auto" w:sz="4" w:space="0"/>
              <w:right w:val="single" w:color="auto" w:sz="4" w:space="0"/>
            </w:tcBorders>
          </w:tcPr>
          <w:p w14:paraId="15001E3E">
            <w:pPr>
              <w:ind w:firstLine="0" w:firstLineChars="0"/>
              <w:jc w:val="center"/>
            </w:pPr>
            <w:r>
              <w:t>27.775%</w:t>
            </w:r>
          </w:p>
        </w:tc>
      </w:tr>
      <w:tr w14:paraId="5F3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tcBorders>
              <w:top w:val="single" w:color="auto" w:sz="4" w:space="0"/>
              <w:left w:val="single" w:color="auto" w:sz="4" w:space="0"/>
              <w:bottom w:val="single" w:color="auto" w:sz="4" w:space="0"/>
              <w:right w:val="single" w:color="auto" w:sz="4" w:space="0"/>
            </w:tcBorders>
          </w:tcPr>
          <w:p w14:paraId="17B1D44A">
            <w:pPr>
              <w:ind w:firstLine="0" w:firstLineChars="0"/>
              <w:jc w:val="center"/>
            </w:pPr>
            <w:r>
              <w:rPr>
                <w:rFonts w:hint="eastAsia"/>
              </w:rPr>
              <w:t>山东省金融资产管理股份有限公司</w:t>
            </w:r>
          </w:p>
        </w:tc>
        <w:tc>
          <w:tcPr>
            <w:tcW w:w="4014" w:type="dxa"/>
            <w:tcBorders>
              <w:top w:val="single" w:color="auto" w:sz="4" w:space="0"/>
              <w:left w:val="single" w:color="auto" w:sz="4" w:space="0"/>
              <w:bottom w:val="single" w:color="auto" w:sz="4" w:space="0"/>
              <w:right w:val="single" w:color="auto" w:sz="4" w:space="0"/>
            </w:tcBorders>
          </w:tcPr>
          <w:p w14:paraId="63607051">
            <w:pPr>
              <w:ind w:firstLine="0" w:firstLineChars="0"/>
              <w:jc w:val="center"/>
            </w:pPr>
            <w:r>
              <w:t>16.675%</w:t>
            </w:r>
          </w:p>
        </w:tc>
      </w:tr>
    </w:tbl>
    <w:p w14:paraId="74D845C6">
      <w:pPr>
        <w:widowControl/>
        <w:ind w:firstLine="482"/>
        <w:rPr>
          <w:b/>
          <w:bCs/>
          <w:szCs w:val="20"/>
        </w:rPr>
      </w:pPr>
      <w:r>
        <w:rPr>
          <w:rFonts w:hint="eastAsia"/>
          <w:b/>
          <w:bCs/>
          <w:szCs w:val="20"/>
        </w:rPr>
        <w:t>二、主要人员情况</w:t>
      </w:r>
    </w:p>
    <w:p w14:paraId="3E8F9F23">
      <w:pPr>
        <w:ind w:firstLine="480"/>
      </w:pPr>
      <w:r>
        <w:rPr>
          <w:rFonts w:hint="eastAsia"/>
        </w:rPr>
        <w:t>1、董事会成员</w:t>
      </w:r>
    </w:p>
    <w:p w14:paraId="485DD647">
      <w:pPr>
        <w:ind w:firstLine="480"/>
      </w:pPr>
      <w:r>
        <w:rPr>
          <w:rFonts w:hint="eastAsia"/>
        </w:rPr>
        <w:t>裴长江先生，董事长，研究生学历。现任国泰海通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654B2589">
      <w:pPr>
        <w:ind w:firstLine="480"/>
      </w:pPr>
      <w:r>
        <w:rPr>
          <w:rFonts w:hint="eastAsia"/>
        </w:rPr>
        <w:t>方荣义先生，董事，副董事长，博士，高级会计师。现任申万宏源集团股份有限公司和申万宏源证券有限公司党委副书记、监事会主席，申万宏源证券有限公司工会主席；兼任中国证券业协会财务会计专业委员会副主任委员；兼任华东政法大学兼职/客座教授；兼任中国上市公司协会监事会专业委员会主任委员；兼任证通股份有限公司监事；兼任上海申万宏源公益基金会理事长。历任北京用友电子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源证券有限公司副总经理、执行委员会成员、财务总监、董事会秘书、首席风险官，中国上市公司协会监事会专业委员会副主任委员。</w:t>
      </w:r>
    </w:p>
    <w:p w14:paraId="3283D974">
      <w:pPr>
        <w:ind w:firstLine="480"/>
      </w:pPr>
      <w:r>
        <w:rPr>
          <w:rFonts w:hint="eastAsia"/>
        </w:rPr>
        <w:t>William Bamber，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Corp Capital银行结构化产品主管，美国汇丰银行结构化产品部高级副总裁，美国贝尔斯登公司结构化权益类产品高级董事总经理，加拿大帝国商业银行结构化产品部全球负责人、董事总经理兼财富解决方案中心负责人，蒙特利尔银行环球资产管理联席首席执行官。</w:t>
      </w:r>
    </w:p>
    <w:p w14:paraId="00527BC3">
      <w:pPr>
        <w:ind w:firstLine="480"/>
      </w:pPr>
      <w:r>
        <w:rPr>
          <w:rFonts w:hint="eastAsia"/>
        </w:rPr>
        <w:t>吴斌先生，董事，研究生学历。现任国泰海通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6B6D50CE">
      <w:pPr>
        <w:ind w:firstLine="480"/>
      </w:pPr>
      <w:r>
        <w:rPr>
          <w:rFonts w:hint="eastAsia"/>
        </w:rPr>
        <w:t>吴惠明先生，董事，硕士。现任申万宏源证券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源证券有限公司党建工作部/党委办公室主任，申万宏源证券有限公司计划财务管理总部总经理。</w:t>
      </w:r>
    </w:p>
    <w:p w14:paraId="647E0C7C">
      <w:pPr>
        <w:ind w:firstLine="480"/>
      </w:pPr>
      <w:r>
        <w:rPr>
          <w:rFonts w:hint="eastAsia"/>
        </w:rPr>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西班牙对外银行私人银行管理团队成员、亚洲零售银行助理副总裁、西班牙对外银行全球青年领导层培训生，上海复星高科技（集团）有限公司国际发展部执行总经理兼集团财富管理和私人银行委员会委员，蒙特利尔银行（中国）有限公司亚洲区战略发展总监，蒙特利尔银行（中国）有限公司董事总经理。</w:t>
      </w:r>
    </w:p>
    <w:p w14:paraId="6553F781">
      <w:pPr>
        <w:ind w:firstLine="480"/>
      </w:pPr>
      <w:r>
        <w:rPr>
          <w:rFonts w:hint="eastAsia"/>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山东省鲁信投资控股集团有限公司投资发展部（产权管理部）业务主管，山东省金融资产管理股份有限公司财务管理副部长（主持工作），财务管理部部长。</w:t>
      </w:r>
    </w:p>
    <w:p w14:paraId="13A701CF">
      <w:pPr>
        <w:ind w:firstLine="480"/>
      </w:pPr>
      <w:r>
        <w:rPr>
          <w:rFonts w:hint="eastAsia"/>
        </w:rPr>
        <w:t>陈戈先生，董事，研究生学历。现任富国基金管理有限公司总经理。历任国泰君安证券有限责任公司研究所研究员，富国基金管理有限公司研究员、基金经理、研究部总经理、总经理助理、副总经理，2005年4月至2014年4月任富国天益价值证券投资基金基金经理。</w:t>
      </w:r>
    </w:p>
    <w:p w14:paraId="1097BEB5">
      <w:pPr>
        <w:ind w:firstLine="480"/>
      </w:pPr>
      <w:r>
        <w:rPr>
          <w:rFonts w:hint="eastAsia"/>
        </w:rPr>
        <w:t>李彧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4DA59B5C">
      <w:pPr>
        <w:ind w:firstLine="480"/>
      </w:pPr>
      <w:r>
        <w:rPr>
          <w:rFonts w:hint="eastAsia"/>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兼企业融资部总监、总裁助理兼总裁办公室主任、副总裁；长城证券股份有限公司总裁兼任长城基金管理有限公司董事长；上海证券有限责任公司董事长。</w:t>
      </w:r>
    </w:p>
    <w:p w14:paraId="060410C8">
      <w:pPr>
        <w:ind w:firstLine="480"/>
      </w:pPr>
      <w:r>
        <w:rPr>
          <w:rFonts w:hint="eastAsia"/>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3B78FDAD">
      <w:pPr>
        <w:ind w:firstLine="480"/>
      </w:pPr>
      <w:r>
        <w:rPr>
          <w:rFonts w:hint="eastAsia"/>
        </w:rPr>
        <w:t>王叙果女士，独立董事，博士。现任南京审计大学金融学教授、硕士生导师，从事金融学教学科研工作。历任安徽铜陵财经专科学校（现铜陵学院）财金系讲师、副教授，南京审计学院副教授。</w:t>
      </w:r>
    </w:p>
    <w:p w14:paraId="362B08BA">
      <w:pPr>
        <w:ind w:firstLine="480"/>
      </w:pPr>
      <w:r>
        <w:rPr>
          <w:rFonts w:hint="eastAsia"/>
        </w:rPr>
        <w:t>2、监事会成员</w:t>
      </w:r>
    </w:p>
    <w:p w14:paraId="37DE16CE">
      <w:pPr>
        <w:ind w:firstLine="480"/>
      </w:pPr>
      <w:r>
        <w:rPr>
          <w:rFonts w:hint="eastAsia"/>
        </w:rPr>
        <w:t>孟祥元先生，监事长，研究生学历。现任山东省鲁信投资控股集团有限公司投资发展部（基金管理部、战略规划部）部长。历任中国重汽集团济南桥箱有限公司职员，中国重型汽车有限公司证券部政策研究员，山东省鲁信投资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177341A6">
      <w:pPr>
        <w:ind w:firstLine="480"/>
      </w:pPr>
      <w:r>
        <w:rPr>
          <w:rFonts w:hint="eastAsia"/>
        </w:rPr>
        <w:t>叶康先生，监事，博士。现任国泰海通证券股份有限公司财富管理委员会委员、资产配置部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2C70D3B9">
      <w:pPr>
        <w:ind w:firstLine="480"/>
      </w:pPr>
      <w:r>
        <w:rPr>
          <w:rFonts w:hint="eastAsia"/>
        </w:rPr>
        <w:t>赵伟先生，监事，硕士。现任申万宏源证券有限公司法律合规总部副总经理。历任申银万国证券股份有限公司崇明营业部员工、稽核总部审计部员工、合规与风险管理总部合规督导部经理，申万宏源证券有限公司合规与风险管理中心合规综合部业务董事、综合管理总部综合行政部经理、法律合规总部合规综合部经理、反洗钱部经理、法律合规总部总经理助理、申万宏源证券承销保荐有限责任公司监事、申万宏源西部证券有限公司监事。</w:t>
      </w:r>
    </w:p>
    <w:p w14:paraId="7BC87CA1">
      <w:pPr>
        <w:ind w:firstLine="480"/>
      </w:pPr>
      <w:r>
        <w:rPr>
          <w:rFonts w:hint="eastAsia"/>
        </w:rPr>
        <w:t>黄晓先生，监事，硕士。现任蒙特利尔银行(中国)有限公司战略规划与市场部总监。历任加拿大帝国商业银行客户经理，诺基亚(中国)投资有限公司财务分析师，蒙特利尔银行(中国)有限公司战略规划与市场部经理，高级经理。</w:t>
      </w:r>
    </w:p>
    <w:p w14:paraId="115C5C49">
      <w:pPr>
        <w:ind w:firstLine="480"/>
      </w:pPr>
      <w:r>
        <w:rPr>
          <w:rFonts w:hint="eastAsia"/>
        </w:rPr>
        <w:t>高玲女士，监事，研究生学历。现任富国基金集中交易部风控总监兼资深风险管理经理。历任安永华明会计师事务所（特殊普通合伙）高级审计员，富国基金高级合规管理经理、合规稽核部合规稽核总监助理、高级风险管理经理、集中交易部风控总监助理、风控副总监。</w:t>
      </w:r>
    </w:p>
    <w:p w14:paraId="56507993">
      <w:pPr>
        <w:ind w:firstLine="480"/>
      </w:pPr>
      <w:r>
        <w:rPr>
          <w:rFonts w:hint="eastAsia"/>
        </w:rPr>
        <w:t>马兰女士，监事，研究生学历。现任富国基金营销管理部市场策略副总监兼高级市场策略经理。历任营销策划经理、高级营销策划经理、市场策略总监助理。</w:t>
      </w:r>
    </w:p>
    <w:p w14:paraId="3CA90B33">
      <w:pPr>
        <w:ind w:firstLine="480"/>
      </w:pPr>
      <w:r>
        <w:rPr>
          <w:rFonts w:hint="eastAsia"/>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6B34AE5E">
      <w:pPr>
        <w:ind w:firstLine="480"/>
      </w:pPr>
      <w:r>
        <w:rPr>
          <w:rFonts w:hint="eastAsia"/>
        </w:rPr>
        <w:t>马维娜女士，监事，本科学历。现任富国基金合规稽核部合规稽核总监兼资深法律合规经理。历任上海源泰律师事务所执业律师，嘉合基金管理有限公司法务，富国基金助理信息披露与法务员、高级法律合规经理、合规稽核部合规稽核总监助理、合规稽核部合规稽核副总监。</w:t>
      </w:r>
    </w:p>
    <w:p w14:paraId="4B3F2DB2">
      <w:pPr>
        <w:ind w:firstLine="480"/>
      </w:pPr>
      <w:r>
        <w:rPr>
          <w:rFonts w:hint="eastAsia"/>
        </w:rPr>
        <w:t>3、督察长</w:t>
      </w:r>
    </w:p>
    <w:p w14:paraId="0D756C13">
      <w:pPr>
        <w:ind w:firstLine="480"/>
      </w:pPr>
      <w:r>
        <w:rPr>
          <w:rFonts w:hint="eastAsia"/>
        </w:rPr>
        <w:t>赵瑛女士，研究生学历，硕士学位。曾任职于海通证券有限公司投资银行总部、国际业务部；上海国盛（集团）有限公司资产管理部、风险管理部；海通证券股份有限公司合规与风险管理总部；上海海通证券资产管理有限公司合规与风控部；2015年7月加入富国基金管理有限公司，历任监察稽核部总经理。现任富国基金管理有限公司督察长。</w:t>
      </w:r>
    </w:p>
    <w:p w14:paraId="615AA94E">
      <w:pPr>
        <w:ind w:firstLine="480"/>
      </w:pPr>
      <w:r>
        <w:rPr>
          <w:rFonts w:hint="eastAsia"/>
        </w:rPr>
        <w:t>4、经营管理层人员</w:t>
      </w:r>
    </w:p>
    <w:p w14:paraId="0A333249">
      <w:pPr>
        <w:ind w:firstLine="480"/>
      </w:pPr>
      <w:r>
        <w:rPr>
          <w:rFonts w:hint="eastAsia"/>
        </w:rPr>
        <w:t>陈戈先生，总经理（简历请参见上述关于董事的介绍）。</w:t>
      </w:r>
    </w:p>
    <w:p w14:paraId="2FCBECC2">
      <w:pPr>
        <w:ind w:firstLine="480"/>
      </w:pPr>
      <w:r>
        <w:rPr>
          <w:rFonts w:hint="eastAsia"/>
        </w:rPr>
        <w:t>林志松先生，本科学历，工商管理硕士学位。曾任漳州进出口商品检验局秘书、晋江进出口商品检验局办事处负责人、厦门证券公司业务经理；1998年10月参与富国基金管理有限公司筹备，历任监察稽核部稽察员、高级稽察员、部门副经理、部门经理、督察长、首席信息官，现任富国基金管理有限公司副总经理。</w:t>
      </w:r>
    </w:p>
    <w:p w14:paraId="10F6E703">
      <w:pPr>
        <w:ind w:firstLine="480"/>
      </w:pPr>
      <w:r>
        <w:rPr>
          <w:rFonts w:hint="eastAsia"/>
        </w:rPr>
        <w:t>陆文佳女士，研究生学历，硕士学位。曾任中国建设银行上海市分行职员，华安基金管理有限公司市场总监、副营销总裁；2014年5月加入富国基金管理有限公司，现任富国基金管理有限公司副总经理。</w:t>
      </w:r>
    </w:p>
    <w:p w14:paraId="5D41D900">
      <w:pPr>
        <w:ind w:firstLine="480"/>
      </w:pPr>
      <w:r>
        <w:rPr>
          <w:rFonts w:hint="eastAsia"/>
        </w:rPr>
        <w:t>李笑薇女士，研究生学历，博士学位，高级经济师。曾任国家教委外资贷款办公室项目官员，摩根士丹利资本国际Barra公司（MSCI BARRA）BARRA股票风险评估部高级研究员，巴克莱国际投资管理公司（Barclays Global Investors）大中华主动股票投资总监、高级基金经理及高级研究员；2009年6月加入富国基金管理有限公司，历任基金经理、量化与海外投资部总经理、公司总经理助理，现任富国基金管理有限公司副总经理兼基金经理。</w:t>
      </w:r>
    </w:p>
    <w:p w14:paraId="0290C02A">
      <w:pPr>
        <w:ind w:firstLine="480"/>
      </w:pPr>
      <w:r>
        <w:rPr>
          <w:rFonts w:hint="eastAsia"/>
        </w:rPr>
        <w:t>朱少醒先生，研究生学历，博士学位。2000年6月加入富国基金管理有限公司，历任产品开发主管、基金经理助理、基金经理、研究部总经理、权益投资部总经理、公司总经理助理，现任富国基金管理有限公司副总经理兼基金经理。</w:t>
      </w:r>
    </w:p>
    <w:p w14:paraId="1E84C2CC">
      <w:pPr>
        <w:ind w:firstLine="480"/>
      </w:pPr>
      <w:r>
        <w:rPr>
          <w:rFonts w:hint="eastAsia"/>
        </w:rPr>
        <w:t>李强先生，研究生学历，硕士学位，曾任苏州大学助教，上海银行信息技术部高级经理助理；自2014年3月加入富国基金管理有限公司，历任客服与电子商务部副总经理、信息技术部副总经理、信息技术部总经理、数字金融业务部副总经理；现任富国基金管理有限公司首席信息官兼信息技术部总经理。</w:t>
      </w:r>
    </w:p>
    <w:p w14:paraId="352B9BB8">
      <w:pPr>
        <w:ind w:firstLine="480"/>
      </w:pPr>
      <w:r>
        <w:rPr>
          <w:rFonts w:hint="eastAsia"/>
        </w:rPr>
        <w:t>5、本基金基金经理</w:t>
      </w:r>
    </w:p>
    <w:p w14:paraId="5F79FDC6">
      <w:pPr>
        <w:ind w:firstLine="480"/>
      </w:pPr>
      <w:r>
        <w:rPr>
          <w:rFonts w:hint="eastAsia"/>
        </w:rPr>
        <w:t>吕春杰，硕士，曾任国泰君安证券股份有限公司研究员/董事，中国人保资产股份有限公司高级投资经理，上海证券有限责任公司资产管理总部副总经理；自2021年6月加入富国基金管理有限公司，自2021年8月起历任固定收益基金经理；现任富国基金固定收益投资部副总经理，兼任富国基金高级固定收益基金经理。自2021年08月起任富国德利纯债三个月定期开放债券型发起式证券投资基金基金经理；自2021年11月起任富国颐利纯债债券型证券投资基金基金经理；自2021年12月起任富国纯债债券型发起式证券投资基金基金经理；自2022年07月起任富国汇享三个月定期开放债券型证券投资基金基金经理；自2024年11月起任富国汇利回报两年定期开放债券型证券投资基金(原富国汇利回报分级债券型证券投资基金)基金经理；自2024年12月起任富国收益增强债券型证券投资基金基金经理；自2025年09月起任富国安景120天滚动持有债券型发起式证券投资基金基金经理；具有基金从业资格。</w:t>
      </w:r>
    </w:p>
    <w:p w14:paraId="659ABBAE">
      <w:pPr>
        <w:ind w:firstLine="480"/>
      </w:pPr>
      <w:r>
        <w:rPr>
          <w:rFonts w:hint="eastAsia"/>
        </w:rPr>
        <w:t>6、投资决策委员会成员</w:t>
      </w:r>
    </w:p>
    <w:p w14:paraId="57C22D69">
      <w:pPr>
        <w:ind w:firstLine="480"/>
      </w:pPr>
      <w:r>
        <w:rPr>
          <w:rFonts w:hint="eastAsia"/>
        </w:rPr>
        <w:t>公司投委会成员：总经理陈戈，分管副总经理朱少醒，分管副总经理李笑薇。</w:t>
      </w:r>
    </w:p>
    <w:p w14:paraId="5869186D">
      <w:pPr>
        <w:pStyle w:val="85"/>
        <w:ind w:firstLine="480"/>
      </w:pPr>
      <w:r>
        <w:rPr>
          <w:rFonts w:hint="eastAsia"/>
        </w:rPr>
        <w:t>7、上述人员之间不存在近亲属关系。</w:t>
      </w:r>
    </w:p>
    <w:p w14:paraId="14A4E79C">
      <w:pPr>
        <w:widowControl/>
        <w:ind w:firstLine="482"/>
        <w:rPr>
          <w:b/>
          <w:bCs/>
          <w:szCs w:val="20"/>
        </w:rPr>
      </w:pPr>
      <w:r>
        <w:rPr>
          <w:rFonts w:hint="eastAsia"/>
          <w:b/>
          <w:bCs/>
          <w:szCs w:val="20"/>
        </w:rPr>
        <w:t>三、基金管理人的职责</w:t>
      </w:r>
    </w:p>
    <w:p w14:paraId="73AE397E">
      <w:pPr>
        <w:widowControl/>
        <w:ind w:firstLine="480"/>
        <w:rPr>
          <w:bCs/>
          <w:szCs w:val="20"/>
        </w:rPr>
      </w:pPr>
      <w:r>
        <w:rPr>
          <w:rFonts w:hint="eastAsia"/>
          <w:bCs/>
          <w:szCs w:val="20"/>
        </w:rPr>
        <w:t>1、依法募集资金，办理或者委托经中国证监会认定的其他机构代为办理基金份额的发售、申购、赎回和登记事宜；</w:t>
      </w:r>
    </w:p>
    <w:p w14:paraId="4080F1DB">
      <w:pPr>
        <w:widowControl/>
        <w:ind w:firstLine="480"/>
        <w:rPr>
          <w:bCs/>
          <w:szCs w:val="20"/>
        </w:rPr>
      </w:pPr>
      <w:r>
        <w:rPr>
          <w:rFonts w:hint="eastAsia"/>
          <w:bCs/>
          <w:szCs w:val="20"/>
        </w:rPr>
        <w:t>2、办理基金备案手续；</w:t>
      </w:r>
    </w:p>
    <w:p w14:paraId="494588E2">
      <w:pPr>
        <w:widowControl/>
        <w:ind w:firstLine="480"/>
        <w:rPr>
          <w:bCs/>
          <w:szCs w:val="20"/>
        </w:rPr>
      </w:pPr>
      <w:r>
        <w:rPr>
          <w:rFonts w:hint="eastAsia"/>
          <w:bCs/>
          <w:szCs w:val="20"/>
        </w:rPr>
        <w:t>3、对所管理的不同基金财产分别管理、分别记账，进行证券、基金投资；</w:t>
      </w:r>
    </w:p>
    <w:p w14:paraId="68A5CADB">
      <w:pPr>
        <w:widowControl/>
        <w:ind w:firstLine="480"/>
        <w:rPr>
          <w:bCs/>
          <w:szCs w:val="20"/>
        </w:rPr>
      </w:pPr>
      <w:r>
        <w:rPr>
          <w:rFonts w:hint="eastAsia"/>
          <w:bCs/>
          <w:szCs w:val="20"/>
        </w:rPr>
        <w:t>4、按照基金合同的约定确定基金收益分配方案，及时向基金份额持有人分配收益；</w:t>
      </w:r>
    </w:p>
    <w:p w14:paraId="2B519B15">
      <w:pPr>
        <w:widowControl/>
        <w:ind w:firstLine="480"/>
        <w:rPr>
          <w:bCs/>
          <w:szCs w:val="20"/>
        </w:rPr>
      </w:pPr>
      <w:r>
        <w:rPr>
          <w:rFonts w:hint="eastAsia"/>
          <w:bCs/>
          <w:szCs w:val="20"/>
        </w:rPr>
        <w:t>5、进行基金会计核算并编制基金财务会计报告；</w:t>
      </w:r>
    </w:p>
    <w:p w14:paraId="07D36B85">
      <w:pPr>
        <w:widowControl/>
        <w:ind w:firstLine="480"/>
        <w:rPr>
          <w:bCs/>
          <w:szCs w:val="20"/>
        </w:rPr>
      </w:pPr>
      <w:r>
        <w:rPr>
          <w:rFonts w:hint="eastAsia"/>
          <w:bCs/>
          <w:szCs w:val="20"/>
        </w:rPr>
        <w:t>6、编制季度报告、中期报告和年度报告；</w:t>
      </w:r>
    </w:p>
    <w:p w14:paraId="2E27C533">
      <w:pPr>
        <w:widowControl/>
        <w:ind w:firstLine="480"/>
        <w:rPr>
          <w:bCs/>
          <w:szCs w:val="20"/>
        </w:rPr>
      </w:pPr>
      <w:r>
        <w:rPr>
          <w:rFonts w:hint="eastAsia"/>
          <w:bCs/>
          <w:szCs w:val="20"/>
        </w:rPr>
        <w:t>7、计算并公告基金净值信息，确定基金份额申购、赎回价格；</w:t>
      </w:r>
    </w:p>
    <w:p w14:paraId="34B9FC84">
      <w:pPr>
        <w:widowControl/>
        <w:ind w:firstLine="480"/>
        <w:rPr>
          <w:bCs/>
          <w:szCs w:val="20"/>
        </w:rPr>
      </w:pPr>
      <w:r>
        <w:rPr>
          <w:rFonts w:hint="eastAsia"/>
          <w:bCs/>
          <w:szCs w:val="20"/>
        </w:rPr>
        <w:t>8、办理与基金财产管理业务活动有关的信息披露事项；</w:t>
      </w:r>
    </w:p>
    <w:p w14:paraId="53B2E95E">
      <w:pPr>
        <w:widowControl/>
        <w:ind w:firstLine="480"/>
        <w:rPr>
          <w:bCs/>
          <w:szCs w:val="20"/>
        </w:rPr>
      </w:pPr>
      <w:r>
        <w:rPr>
          <w:rFonts w:hint="eastAsia"/>
          <w:bCs/>
          <w:szCs w:val="20"/>
        </w:rPr>
        <w:t>9、按照规定召集基金份额持有人大会；</w:t>
      </w:r>
    </w:p>
    <w:p w14:paraId="1EA6BED4">
      <w:pPr>
        <w:widowControl/>
        <w:ind w:firstLine="480"/>
        <w:rPr>
          <w:bCs/>
          <w:szCs w:val="20"/>
        </w:rPr>
      </w:pPr>
      <w:r>
        <w:rPr>
          <w:rFonts w:hint="eastAsia"/>
          <w:bCs/>
          <w:szCs w:val="20"/>
        </w:rPr>
        <w:t>10、保存基金财产管理业务活动的记录、账册、报表和其他相关资料；</w:t>
      </w:r>
    </w:p>
    <w:p w14:paraId="512652E3">
      <w:pPr>
        <w:widowControl/>
        <w:ind w:firstLine="480"/>
        <w:rPr>
          <w:bCs/>
          <w:szCs w:val="20"/>
        </w:rPr>
      </w:pPr>
      <w:r>
        <w:rPr>
          <w:rFonts w:hint="eastAsia"/>
          <w:bCs/>
          <w:szCs w:val="20"/>
        </w:rPr>
        <w:t>11、以基金管理人名义，代表基金份额持有人利益行使诉讼权利或者实施其他法律行为；</w:t>
      </w:r>
    </w:p>
    <w:p w14:paraId="4F7A70AC">
      <w:pPr>
        <w:widowControl/>
        <w:ind w:firstLine="480"/>
        <w:rPr>
          <w:bCs/>
          <w:szCs w:val="20"/>
        </w:rPr>
      </w:pPr>
      <w:r>
        <w:rPr>
          <w:rFonts w:hint="eastAsia"/>
          <w:bCs/>
          <w:szCs w:val="20"/>
        </w:rPr>
        <w:t>12、法律法规和中国证监会规定的或基金合同约定的其他职责。</w:t>
      </w:r>
    </w:p>
    <w:p w14:paraId="370AF4C7">
      <w:pPr>
        <w:widowControl/>
        <w:ind w:firstLine="482"/>
        <w:rPr>
          <w:b/>
          <w:bCs/>
          <w:szCs w:val="20"/>
        </w:rPr>
      </w:pPr>
      <w:r>
        <w:rPr>
          <w:rFonts w:hint="eastAsia"/>
          <w:b/>
          <w:bCs/>
          <w:szCs w:val="20"/>
        </w:rPr>
        <w:t>四、基金管理人关于遵守法律法规的承诺</w:t>
      </w:r>
    </w:p>
    <w:p w14:paraId="28087C3B">
      <w:pPr>
        <w:widowControl/>
        <w:ind w:firstLine="480"/>
        <w:rPr>
          <w:bCs/>
          <w:szCs w:val="20"/>
        </w:rPr>
      </w:pPr>
      <w:r>
        <w:rPr>
          <w:rFonts w:hint="eastAsia"/>
          <w:bCs/>
          <w:szCs w:val="20"/>
        </w:rPr>
        <w:t>1、基金管理人承诺不从事违反《中华人民共和国证券法》、《基金法》、《运作办法》、《销售办法》、《信息披露办法》等法律法规的行为，并承诺建立健全的内部控制制度，采取有效措施，防止违法行为的发生。</w:t>
      </w:r>
    </w:p>
    <w:p w14:paraId="7A64AC92">
      <w:pPr>
        <w:widowControl/>
        <w:ind w:firstLine="480"/>
        <w:rPr>
          <w:bCs/>
          <w:szCs w:val="20"/>
        </w:rPr>
      </w:pPr>
      <w:r>
        <w:rPr>
          <w:rFonts w:hint="eastAsia"/>
          <w:bCs/>
          <w:szCs w:val="20"/>
        </w:rPr>
        <w:t>2、基金管理人承诺不从事以下违反《基金法》的行为，并承诺建立健全的内部风险控制制度，采取有效措施，防止下列行为的发生：</w:t>
      </w:r>
    </w:p>
    <w:p w14:paraId="4C86A104">
      <w:pPr>
        <w:widowControl/>
        <w:ind w:firstLine="480"/>
        <w:rPr>
          <w:bCs/>
          <w:szCs w:val="20"/>
        </w:rPr>
      </w:pPr>
      <w:r>
        <w:rPr>
          <w:rFonts w:hint="eastAsia"/>
          <w:bCs/>
          <w:szCs w:val="20"/>
        </w:rPr>
        <w:t>（1）将基金管理人固有财产或者他人财产混同于基金财产从事证券投资；</w:t>
      </w:r>
    </w:p>
    <w:p w14:paraId="376D54B6">
      <w:pPr>
        <w:widowControl/>
        <w:ind w:firstLine="480"/>
        <w:rPr>
          <w:bCs/>
          <w:szCs w:val="20"/>
        </w:rPr>
      </w:pPr>
      <w:r>
        <w:rPr>
          <w:rFonts w:hint="eastAsia"/>
          <w:bCs/>
          <w:szCs w:val="20"/>
        </w:rPr>
        <w:t>（2）不公平地对待管理的不同基金财产；</w:t>
      </w:r>
    </w:p>
    <w:p w14:paraId="25D28C4B">
      <w:pPr>
        <w:widowControl/>
        <w:ind w:firstLine="480"/>
        <w:rPr>
          <w:bCs/>
          <w:szCs w:val="20"/>
        </w:rPr>
      </w:pPr>
      <w:r>
        <w:rPr>
          <w:rFonts w:hint="eastAsia"/>
          <w:bCs/>
          <w:szCs w:val="20"/>
        </w:rPr>
        <w:t>（3）利用基金财产或者职务之便为基金份额持有人以外的第三人牟取利益；</w:t>
      </w:r>
    </w:p>
    <w:p w14:paraId="0AAA6E9F">
      <w:pPr>
        <w:widowControl/>
        <w:ind w:firstLine="480"/>
        <w:rPr>
          <w:bCs/>
          <w:szCs w:val="20"/>
        </w:rPr>
      </w:pPr>
      <w:r>
        <w:rPr>
          <w:rFonts w:hint="eastAsia"/>
          <w:bCs/>
          <w:szCs w:val="20"/>
        </w:rPr>
        <w:t>（4）向基金份额持有人违规承诺收益或者承担损失；</w:t>
      </w:r>
    </w:p>
    <w:p w14:paraId="4D4422B3">
      <w:pPr>
        <w:widowControl/>
        <w:ind w:firstLine="480"/>
        <w:rPr>
          <w:bCs/>
          <w:szCs w:val="20"/>
        </w:rPr>
      </w:pPr>
      <w:r>
        <w:rPr>
          <w:rFonts w:hint="eastAsia"/>
          <w:bCs/>
          <w:szCs w:val="20"/>
        </w:rPr>
        <w:t>（5）侵占、挪用基金财产；</w:t>
      </w:r>
    </w:p>
    <w:p w14:paraId="234D3BD0">
      <w:pPr>
        <w:widowControl/>
        <w:ind w:firstLine="480"/>
        <w:rPr>
          <w:bCs/>
          <w:szCs w:val="20"/>
        </w:rPr>
      </w:pPr>
      <w:r>
        <w:rPr>
          <w:rFonts w:hint="eastAsia"/>
          <w:bCs/>
          <w:szCs w:val="20"/>
        </w:rPr>
        <w:t>（6）泄露因职务便利获取的未公开信息、利用该信息从事或者明示、暗示他人从事相关的交易活动；</w:t>
      </w:r>
    </w:p>
    <w:p w14:paraId="15484773">
      <w:pPr>
        <w:widowControl/>
        <w:ind w:firstLine="480"/>
        <w:rPr>
          <w:bCs/>
          <w:szCs w:val="20"/>
        </w:rPr>
      </w:pPr>
      <w:r>
        <w:rPr>
          <w:rFonts w:hint="eastAsia"/>
          <w:bCs/>
          <w:szCs w:val="20"/>
        </w:rPr>
        <w:t>（7）玩忽职守，不按照规定履行职责；</w:t>
      </w:r>
    </w:p>
    <w:p w14:paraId="2236A994">
      <w:pPr>
        <w:widowControl/>
        <w:ind w:firstLine="480"/>
        <w:rPr>
          <w:bCs/>
          <w:szCs w:val="20"/>
        </w:rPr>
      </w:pPr>
      <w:r>
        <w:rPr>
          <w:rFonts w:hint="eastAsia"/>
          <w:bCs/>
          <w:szCs w:val="20"/>
        </w:rPr>
        <w:t>（8）法律、行政法规和中国证监会规定禁止的其他行为。</w:t>
      </w:r>
    </w:p>
    <w:p w14:paraId="79936FD7">
      <w:pPr>
        <w:widowControl/>
        <w:ind w:firstLine="480"/>
        <w:rPr>
          <w:bCs/>
          <w:szCs w:val="20"/>
        </w:rPr>
      </w:pPr>
      <w:r>
        <w:rPr>
          <w:rFonts w:hint="eastAsia"/>
          <w:bCs/>
          <w:szCs w:val="20"/>
        </w:rPr>
        <w:t>3、基金管理人承诺加强人员管理，强化职业操守，督促和约束员工遵守国家有关法律、法规及行业规范，诚实信用、勤勉尽责，不从事以下活动：</w:t>
      </w:r>
    </w:p>
    <w:p w14:paraId="5C4CB7AF">
      <w:pPr>
        <w:widowControl/>
        <w:ind w:firstLine="480"/>
        <w:rPr>
          <w:bCs/>
          <w:szCs w:val="20"/>
        </w:rPr>
      </w:pPr>
      <w:r>
        <w:rPr>
          <w:rFonts w:hint="eastAsia"/>
          <w:bCs/>
          <w:szCs w:val="20"/>
        </w:rPr>
        <w:t>（1）越权或违规经营；</w:t>
      </w:r>
    </w:p>
    <w:p w14:paraId="34F070D4">
      <w:pPr>
        <w:widowControl/>
        <w:ind w:firstLine="480"/>
        <w:rPr>
          <w:bCs/>
          <w:szCs w:val="20"/>
        </w:rPr>
      </w:pPr>
      <w:r>
        <w:rPr>
          <w:rFonts w:hint="eastAsia"/>
          <w:bCs/>
          <w:szCs w:val="20"/>
        </w:rPr>
        <w:t>（2）违反基金合同或托管协议；</w:t>
      </w:r>
    </w:p>
    <w:p w14:paraId="1E7E4241">
      <w:pPr>
        <w:widowControl/>
        <w:ind w:firstLine="480"/>
        <w:rPr>
          <w:bCs/>
          <w:szCs w:val="20"/>
        </w:rPr>
      </w:pPr>
      <w:r>
        <w:rPr>
          <w:rFonts w:hint="eastAsia"/>
          <w:bCs/>
          <w:szCs w:val="20"/>
        </w:rPr>
        <w:t>（3）故意损害基金份额持有人或其他基金相关机构的合法权益；</w:t>
      </w:r>
    </w:p>
    <w:p w14:paraId="6F02063E">
      <w:pPr>
        <w:widowControl/>
        <w:ind w:firstLine="480"/>
        <w:rPr>
          <w:bCs/>
          <w:szCs w:val="20"/>
        </w:rPr>
      </w:pPr>
      <w:r>
        <w:rPr>
          <w:rFonts w:hint="eastAsia"/>
          <w:bCs/>
          <w:szCs w:val="20"/>
        </w:rPr>
        <w:t>（4）在向中国证监会报送的资料中弄虚作假；</w:t>
      </w:r>
    </w:p>
    <w:p w14:paraId="25A05644">
      <w:pPr>
        <w:widowControl/>
        <w:ind w:firstLine="480"/>
        <w:rPr>
          <w:bCs/>
          <w:szCs w:val="20"/>
        </w:rPr>
      </w:pPr>
      <w:r>
        <w:rPr>
          <w:rFonts w:hint="eastAsia"/>
          <w:bCs/>
          <w:szCs w:val="20"/>
        </w:rPr>
        <w:t>（5）拒绝、干扰、阻挠或严重影响中国证监会依法监管；</w:t>
      </w:r>
    </w:p>
    <w:p w14:paraId="354BBC65">
      <w:pPr>
        <w:widowControl/>
        <w:ind w:firstLine="480"/>
        <w:rPr>
          <w:bCs/>
          <w:szCs w:val="20"/>
        </w:rPr>
      </w:pPr>
      <w:r>
        <w:rPr>
          <w:rFonts w:hint="eastAsia"/>
          <w:bCs/>
          <w:szCs w:val="20"/>
        </w:rPr>
        <w:t>（6）玩忽职守、滥用职权，不按照规定履行职责；</w:t>
      </w:r>
    </w:p>
    <w:p w14:paraId="6481FA90">
      <w:pPr>
        <w:widowControl/>
        <w:ind w:firstLine="480"/>
        <w:rPr>
          <w:bCs/>
          <w:szCs w:val="20"/>
        </w:rPr>
      </w:pPr>
      <w:r>
        <w:rPr>
          <w:rFonts w:hint="eastAsia"/>
          <w:bCs/>
          <w:szCs w:val="20"/>
        </w:rPr>
        <w:t>（7）违反现行有效的有关法律、法规、规章、基金合同和中国证监会的有关规定，泄露在任职期间知悉的有关证券、基金的商业秘密、尚未依法公开的基金投资内容、基金投资计划等信息，或利用该信息从事或者明示、暗示他人从事相关的交易活动；</w:t>
      </w:r>
    </w:p>
    <w:p w14:paraId="70645CF1">
      <w:pPr>
        <w:widowControl/>
        <w:ind w:firstLine="480"/>
        <w:rPr>
          <w:bCs/>
          <w:szCs w:val="20"/>
        </w:rPr>
      </w:pPr>
      <w:r>
        <w:rPr>
          <w:rFonts w:hint="eastAsia"/>
          <w:bCs/>
          <w:szCs w:val="20"/>
        </w:rPr>
        <w:t>（8）协助、接受委托或以其他任何形式为其他组织或个人进行证券交易；</w:t>
      </w:r>
    </w:p>
    <w:p w14:paraId="72AC2DB2">
      <w:pPr>
        <w:widowControl/>
        <w:ind w:firstLine="480"/>
        <w:rPr>
          <w:bCs/>
          <w:szCs w:val="20"/>
        </w:rPr>
      </w:pPr>
      <w:r>
        <w:rPr>
          <w:rFonts w:hint="eastAsia"/>
          <w:bCs/>
          <w:szCs w:val="20"/>
        </w:rPr>
        <w:t>（9）违反证券交易场所业务规则，利用对敲、倒仓等手段操纵市场价格，扰乱市场秩序；</w:t>
      </w:r>
    </w:p>
    <w:p w14:paraId="49B060BC">
      <w:pPr>
        <w:widowControl/>
        <w:ind w:firstLine="480"/>
        <w:rPr>
          <w:bCs/>
          <w:szCs w:val="20"/>
        </w:rPr>
      </w:pPr>
      <w:r>
        <w:rPr>
          <w:rFonts w:hint="eastAsia"/>
          <w:bCs/>
          <w:szCs w:val="20"/>
        </w:rPr>
        <w:t>（10）贬损同行，以提高自己；</w:t>
      </w:r>
    </w:p>
    <w:p w14:paraId="6201CED6">
      <w:pPr>
        <w:widowControl/>
        <w:ind w:firstLine="480"/>
        <w:rPr>
          <w:bCs/>
          <w:szCs w:val="20"/>
        </w:rPr>
      </w:pPr>
      <w:r>
        <w:rPr>
          <w:rFonts w:hint="eastAsia"/>
          <w:bCs/>
          <w:szCs w:val="20"/>
        </w:rPr>
        <w:t>（11）在公开信息披露和广告中故意含有虚假、误导、欺诈成分；</w:t>
      </w:r>
    </w:p>
    <w:p w14:paraId="26E063C1">
      <w:pPr>
        <w:widowControl/>
        <w:ind w:firstLine="480"/>
        <w:rPr>
          <w:bCs/>
          <w:szCs w:val="20"/>
        </w:rPr>
      </w:pPr>
      <w:r>
        <w:rPr>
          <w:rFonts w:hint="eastAsia"/>
          <w:bCs/>
          <w:szCs w:val="20"/>
        </w:rPr>
        <w:t>（12）以不正当手段谋求业务发展；</w:t>
      </w:r>
    </w:p>
    <w:p w14:paraId="47EA6FEE">
      <w:pPr>
        <w:widowControl/>
        <w:ind w:firstLine="480"/>
        <w:rPr>
          <w:bCs/>
          <w:szCs w:val="20"/>
        </w:rPr>
      </w:pPr>
      <w:r>
        <w:rPr>
          <w:rFonts w:hint="eastAsia"/>
          <w:bCs/>
          <w:szCs w:val="20"/>
        </w:rPr>
        <w:t>（13）有悖社会公德，损害证券投资基金从业人员形象；</w:t>
      </w:r>
    </w:p>
    <w:p w14:paraId="51B16F6F">
      <w:pPr>
        <w:widowControl/>
        <w:ind w:firstLine="480"/>
        <w:rPr>
          <w:bCs/>
          <w:szCs w:val="20"/>
        </w:rPr>
      </w:pPr>
      <w:r>
        <w:rPr>
          <w:rFonts w:hint="eastAsia"/>
          <w:bCs/>
          <w:szCs w:val="20"/>
        </w:rPr>
        <w:t>（14）其他法律、行政法规禁止的行为。</w:t>
      </w:r>
    </w:p>
    <w:p w14:paraId="7B1E61CE">
      <w:pPr>
        <w:widowControl/>
        <w:ind w:firstLine="482"/>
        <w:rPr>
          <w:b/>
          <w:bCs/>
          <w:szCs w:val="20"/>
        </w:rPr>
      </w:pPr>
      <w:r>
        <w:rPr>
          <w:rFonts w:hint="eastAsia"/>
          <w:b/>
          <w:bCs/>
          <w:szCs w:val="20"/>
        </w:rPr>
        <w:t>五、基金管理人关于禁止性行为的承诺</w:t>
      </w:r>
    </w:p>
    <w:p w14:paraId="615B4811">
      <w:pPr>
        <w:widowControl/>
        <w:ind w:firstLine="480"/>
        <w:rPr>
          <w:bCs/>
          <w:szCs w:val="20"/>
        </w:rPr>
      </w:pPr>
      <w:r>
        <w:rPr>
          <w:rFonts w:hint="eastAsia"/>
          <w:bCs/>
          <w:szCs w:val="20"/>
        </w:rPr>
        <w:t>为维护基金份额持有人的合法权益，本基金禁止从事下列行为：</w:t>
      </w:r>
    </w:p>
    <w:p w14:paraId="16A25492">
      <w:pPr>
        <w:widowControl/>
        <w:ind w:firstLine="480"/>
        <w:rPr>
          <w:bCs/>
          <w:szCs w:val="20"/>
        </w:rPr>
      </w:pPr>
      <w:r>
        <w:rPr>
          <w:rFonts w:hint="eastAsia"/>
          <w:bCs/>
          <w:szCs w:val="20"/>
        </w:rPr>
        <w:t>1、承销证券；</w:t>
      </w:r>
    </w:p>
    <w:p w14:paraId="453A8796">
      <w:pPr>
        <w:widowControl/>
        <w:ind w:firstLine="480"/>
        <w:rPr>
          <w:bCs/>
          <w:szCs w:val="20"/>
        </w:rPr>
      </w:pPr>
      <w:r>
        <w:rPr>
          <w:rFonts w:hint="eastAsia"/>
          <w:bCs/>
          <w:szCs w:val="20"/>
        </w:rPr>
        <w:t>2、违反规定向他人贷款或者提供担保；</w:t>
      </w:r>
    </w:p>
    <w:p w14:paraId="677236DE">
      <w:pPr>
        <w:widowControl/>
        <w:ind w:firstLine="480"/>
        <w:rPr>
          <w:bCs/>
          <w:szCs w:val="20"/>
        </w:rPr>
      </w:pPr>
      <w:r>
        <w:rPr>
          <w:rFonts w:hint="eastAsia"/>
          <w:bCs/>
          <w:szCs w:val="20"/>
        </w:rPr>
        <w:t>3、从事承担无限责任的投资；</w:t>
      </w:r>
    </w:p>
    <w:p w14:paraId="29E46F61">
      <w:pPr>
        <w:widowControl/>
        <w:ind w:firstLine="480"/>
        <w:rPr>
          <w:bCs/>
          <w:szCs w:val="20"/>
        </w:rPr>
      </w:pPr>
      <w:r>
        <w:rPr>
          <w:rFonts w:hint="eastAsia"/>
          <w:bCs/>
          <w:szCs w:val="20"/>
        </w:rPr>
        <w:t>4、向其基金管理人、基金托管人出资；</w:t>
      </w:r>
    </w:p>
    <w:p w14:paraId="4D21C8D9">
      <w:pPr>
        <w:widowControl/>
        <w:ind w:firstLine="480"/>
        <w:rPr>
          <w:bCs/>
          <w:szCs w:val="20"/>
        </w:rPr>
      </w:pPr>
      <w:r>
        <w:rPr>
          <w:rFonts w:hint="eastAsia"/>
          <w:bCs/>
          <w:szCs w:val="20"/>
        </w:rPr>
        <w:t>5、从事内幕交易、操纵证券交易价格及其他不正当的证券交易活动；</w:t>
      </w:r>
    </w:p>
    <w:p w14:paraId="7C7DA21A">
      <w:pPr>
        <w:widowControl/>
        <w:ind w:firstLine="480"/>
        <w:rPr>
          <w:bCs/>
          <w:szCs w:val="20"/>
        </w:rPr>
      </w:pPr>
      <w:r>
        <w:rPr>
          <w:rFonts w:hint="eastAsia"/>
          <w:bCs/>
          <w:szCs w:val="20"/>
        </w:rPr>
        <w:t>6、法律法规、中国证监会及基金合同规定禁止从事的其他行为。</w:t>
      </w:r>
    </w:p>
    <w:p w14:paraId="14C9F1BE">
      <w:pPr>
        <w:widowControl/>
        <w:ind w:firstLine="480"/>
        <w:rPr>
          <w:bCs/>
          <w:szCs w:val="20"/>
        </w:rPr>
      </w:pPr>
      <w:r>
        <w:rPr>
          <w:rFonts w:hint="eastAsia"/>
          <w:bCs/>
          <w:szCs w:val="20"/>
        </w:rPr>
        <w:t>如法律法规或监管部门取消或调整上述规定，基金管理人在履行适当程序后，本基金可不受上述规定的限制或按调整后的规定执行，不需经基金份额持有人大会审议，但须提前公告。</w:t>
      </w:r>
    </w:p>
    <w:p w14:paraId="5AA687D1">
      <w:pPr>
        <w:widowControl/>
        <w:ind w:firstLine="482"/>
        <w:rPr>
          <w:b/>
          <w:bCs/>
          <w:szCs w:val="20"/>
        </w:rPr>
      </w:pPr>
      <w:r>
        <w:rPr>
          <w:rFonts w:hint="eastAsia"/>
          <w:b/>
          <w:bCs/>
          <w:szCs w:val="20"/>
        </w:rPr>
        <w:t>六、基金经理承诺</w:t>
      </w:r>
    </w:p>
    <w:p w14:paraId="4137F49F">
      <w:pPr>
        <w:widowControl/>
        <w:ind w:firstLine="480"/>
        <w:rPr>
          <w:bCs/>
          <w:szCs w:val="20"/>
        </w:rPr>
      </w:pPr>
      <w:r>
        <w:rPr>
          <w:rFonts w:hint="eastAsia"/>
          <w:bCs/>
          <w:szCs w:val="20"/>
        </w:rPr>
        <w:t>1、依照有关法律法规和基金合同的规定，本着谨慎的原则为基金份额持有人谋取最大利益；</w:t>
      </w:r>
    </w:p>
    <w:p w14:paraId="5A667D7B">
      <w:pPr>
        <w:widowControl/>
        <w:ind w:firstLine="480"/>
        <w:rPr>
          <w:bCs/>
          <w:szCs w:val="20"/>
        </w:rPr>
      </w:pPr>
      <w:r>
        <w:rPr>
          <w:rFonts w:hint="eastAsia"/>
          <w:bCs/>
          <w:szCs w:val="20"/>
        </w:rPr>
        <w:t>2、不利用职务之便为自己、受雇人或任何第三者谋取利益；</w:t>
      </w:r>
    </w:p>
    <w:p w14:paraId="7ABBE708">
      <w:pPr>
        <w:widowControl/>
        <w:ind w:firstLine="480"/>
        <w:rPr>
          <w:bCs/>
          <w:szCs w:val="20"/>
        </w:rPr>
      </w:pPr>
      <w:r>
        <w:rPr>
          <w:rFonts w:hint="eastAsia"/>
          <w:bCs/>
          <w:szCs w:val="20"/>
        </w:rPr>
        <w:t>3、不违反现行有效的有关法律法规、基金合同和中国证监会的有关规定，泄露在任职期间知悉的有关证券、基金的商业秘密，尚未依法公开的基金投资内容、基金投资计划等信息，或利用该信息从事或者明示、暗示他人从事相关的交易活动；</w:t>
      </w:r>
    </w:p>
    <w:p w14:paraId="06E14BC0">
      <w:pPr>
        <w:widowControl/>
        <w:ind w:firstLine="480"/>
        <w:rPr>
          <w:bCs/>
          <w:szCs w:val="20"/>
        </w:rPr>
      </w:pPr>
      <w:r>
        <w:rPr>
          <w:rFonts w:hint="eastAsia"/>
          <w:bCs/>
          <w:szCs w:val="20"/>
        </w:rPr>
        <w:t>4、不以任何形式为其他组织或个人进行证券交易。</w:t>
      </w:r>
    </w:p>
    <w:p w14:paraId="04D81B72">
      <w:pPr>
        <w:widowControl/>
        <w:ind w:firstLine="482"/>
        <w:rPr>
          <w:b/>
          <w:bCs/>
          <w:szCs w:val="20"/>
        </w:rPr>
      </w:pPr>
      <w:r>
        <w:rPr>
          <w:rFonts w:hint="eastAsia"/>
          <w:b/>
          <w:bCs/>
          <w:szCs w:val="20"/>
        </w:rPr>
        <w:t>七、基金管理人的风险管理体系和内部控制制度</w:t>
      </w:r>
    </w:p>
    <w:p w14:paraId="76C81717">
      <w:pPr>
        <w:widowControl/>
        <w:ind w:firstLine="480"/>
        <w:rPr>
          <w:bCs/>
          <w:szCs w:val="20"/>
        </w:rPr>
      </w:pPr>
      <w:r>
        <w:rPr>
          <w:rFonts w:hint="eastAsia"/>
          <w:bCs/>
          <w:szCs w:val="20"/>
        </w:rPr>
        <w:t>1、风险管理体系</w:t>
      </w:r>
    </w:p>
    <w:p w14:paraId="3EB85B44">
      <w:pPr>
        <w:widowControl/>
        <w:ind w:firstLine="480"/>
        <w:rPr>
          <w:bCs/>
          <w:szCs w:val="20"/>
        </w:rPr>
      </w:pPr>
      <w:r>
        <w:rPr>
          <w:rFonts w:hint="eastAsia"/>
          <w:bCs/>
          <w:szCs w:val="20"/>
        </w:rPr>
        <w:t>本基金在运作过程中面临的风险主要包括市场风险、信用风险、流动性风险、操作风险、管理风险、合规性风险、特有风险、基金管理人职责终止风险、本基金法律文件风险收益特征表述与销售机构基金风险评价可能不一致的风险以及其他风险。</w:t>
      </w:r>
    </w:p>
    <w:p w14:paraId="3CB01AD3">
      <w:pPr>
        <w:widowControl/>
        <w:ind w:firstLine="480"/>
        <w:rPr>
          <w:bCs/>
          <w:szCs w:val="20"/>
        </w:rPr>
      </w:pPr>
      <w:r>
        <w:rPr>
          <w:rFonts w:hint="eastAsia"/>
          <w:bCs/>
          <w:szCs w:val="20"/>
        </w:rPr>
        <w:t>针对上述各种风险，基金管理人建立了一套完整的风险管理体系，具体包括以下内容：</w:t>
      </w:r>
    </w:p>
    <w:p w14:paraId="4E37B304">
      <w:pPr>
        <w:widowControl/>
        <w:ind w:firstLine="480"/>
        <w:rPr>
          <w:bCs/>
          <w:szCs w:val="20"/>
        </w:rPr>
      </w:pPr>
      <w:r>
        <w:rPr>
          <w:rFonts w:hint="eastAsia"/>
          <w:bCs/>
          <w:szCs w:val="20"/>
        </w:rPr>
        <w:t>（1）建立风险管理环境。具体包括制定风险管理战略、目标，设置相应的组织机构，配备相应的人力资源与技术系统，设定风险管理的时间范围与空间范围等内容。</w:t>
      </w:r>
    </w:p>
    <w:p w14:paraId="6A760F2B">
      <w:pPr>
        <w:widowControl/>
        <w:ind w:firstLine="480"/>
        <w:rPr>
          <w:bCs/>
          <w:szCs w:val="20"/>
        </w:rPr>
      </w:pPr>
      <w:r>
        <w:rPr>
          <w:rFonts w:hint="eastAsia"/>
          <w:bCs/>
          <w:szCs w:val="20"/>
        </w:rPr>
        <w:t>（2）识别风险。辨识组织系统与业务流程中存在的风险以及风险存在的原因。</w:t>
      </w:r>
    </w:p>
    <w:p w14:paraId="60116B3A">
      <w:pPr>
        <w:widowControl/>
        <w:ind w:firstLine="480"/>
        <w:rPr>
          <w:bCs/>
          <w:szCs w:val="20"/>
        </w:rPr>
      </w:pPr>
      <w:r>
        <w:rPr>
          <w:rFonts w:hint="eastAsia"/>
          <w:bCs/>
          <w:szCs w:val="20"/>
        </w:rPr>
        <w:t>（3）分析风险。检查存在的控制措施，分析风险发生的可能性及其引起的后果。</w:t>
      </w:r>
    </w:p>
    <w:p w14:paraId="5126001A">
      <w:pPr>
        <w:widowControl/>
        <w:ind w:firstLine="480"/>
        <w:rPr>
          <w:bCs/>
          <w:szCs w:val="20"/>
        </w:rPr>
      </w:pPr>
      <w:r>
        <w:rPr>
          <w:rFonts w:hint="eastAsia"/>
          <w:bCs/>
          <w:szCs w:val="20"/>
        </w:rPr>
        <w:t>（4）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01C6F065">
      <w:pPr>
        <w:widowControl/>
        <w:ind w:firstLine="480"/>
        <w:rPr>
          <w:bCs/>
          <w:szCs w:val="20"/>
        </w:rPr>
      </w:pPr>
      <w:r>
        <w:rPr>
          <w:rFonts w:hint="eastAsia"/>
          <w:bCs/>
          <w:szCs w:val="20"/>
        </w:rPr>
        <w:t>（5）处理风险。将风险水平与既定的标准相对比，对于那些级别较低的风险，则承担它，但需加以监控。而对较为严重的风险，则实施一定的管理计划，对于一些后果极其严重的风险，则准备相应的应急处理措施。</w:t>
      </w:r>
    </w:p>
    <w:p w14:paraId="7F58EA56">
      <w:pPr>
        <w:widowControl/>
        <w:ind w:firstLine="480"/>
        <w:rPr>
          <w:bCs/>
          <w:szCs w:val="20"/>
        </w:rPr>
      </w:pPr>
      <w:r>
        <w:rPr>
          <w:rFonts w:hint="eastAsia"/>
          <w:bCs/>
          <w:szCs w:val="20"/>
        </w:rPr>
        <w:t>（6）监视与检查。对已有的风险管理系统要监视及评价其管理绩效，在必要时加以改变。</w:t>
      </w:r>
    </w:p>
    <w:p w14:paraId="6ED49F72">
      <w:pPr>
        <w:widowControl/>
        <w:ind w:firstLine="480"/>
        <w:rPr>
          <w:bCs/>
          <w:szCs w:val="20"/>
        </w:rPr>
      </w:pPr>
      <w:r>
        <w:rPr>
          <w:rFonts w:hint="eastAsia"/>
          <w:bCs/>
          <w:szCs w:val="20"/>
        </w:rPr>
        <w:t>（7）报告与咨询。建立风险管理的报告系统，使公司股东、公司董事会、公司高级管理人员及监管部门了解公司风险管理状况，并寻求咨询意见。</w:t>
      </w:r>
    </w:p>
    <w:p w14:paraId="24C6DD16">
      <w:pPr>
        <w:widowControl/>
        <w:ind w:firstLine="480"/>
        <w:rPr>
          <w:bCs/>
          <w:szCs w:val="20"/>
        </w:rPr>
      </w:pPr>
      <w:r>
        <w:rPr>
          <w:rFonts w:hint="eastAsia"/>
          <w:bCs/>
          <w:szCs w:val="20"/>
        </w:rPr>
        <w:t>2、内部控制制度</w:t>
      </w:r>
    </w:p>
    <w:p w14:paraId="41CEBE24">
      <w:pPr>
        <w:widowControl/>
        <w:ind w:firstLine="480"/>
        <w:rPr>
          <w:bCs/>
          <w:szCs w:val="20"/>
        </w:rPr>
      </w:pPr>
      <w:r>
        <w:rPr>
          <w:rFonts w:hint="eastAsia"/>
          <w:bCs/>
          <w:szCs w:val="20"/>
        </w:rPr>
        <w:t>（1）内部控制的原则</w:t>
      </w:r>
    </w:p>
    <w:p w14:paraId="78F0E9FA">
      <w:pPr>
        <w:widowControl/>
        <w:ind w:firstLine="480"/>
        <w:rPr>
          <w:bCs/>
          <w:szCs w:val="20"/>
        </w:rPr>
      </w:pPr>
      <w:r>
        <w:rPr>
          <w:rFonts w:hint="eastAsia"/>
          <w:bCs/>
          <w:szCs w:val="20"/>
        </w:rPr>
        <w:t>①全面性原则。内部控制制度覆盖公司的各项业务、各个部门和各级人员，并渗透到决策、执行、监督、反馈等各个经营环节。</w:t>
      </w:r>
    </w:p>
    <w:p w14:paraId="04106E39">
      <w:pPr>
        <w:widowControl/>
        <w:ind w:firstLine="480"/>
        <w:rPr>
          <w:bCs/>
          <w:szCs w:val="20"/>
        </w:rPr>
      </w:pPr>
      <w:r>
        <w:rPr>
          <w:rFonts w:hint="eastAsia"/>
          <w:bCs/>
          <w:szCs w:val="20"/>
        </w:rPr>
        <w:t>②独立性原则。公司设立独立的督察长与监察稽核职能部门，并使它们保持高度的独立性与权威性。</w:t>
      </w:r>
    </w:p>
    <w:p w14:paraId="7852DB71">
      <w:pPr>
        <w:widowControl/>
        <w:ind w:firstLine="480"/>
        <w:rPr>
          <w:bCs/>
          <w:szCs w:val="20"/>
        </w:rPr>
      </w:pPr>
      <w:r>
        <w:rPr>
          <w:rFonts w:hint="eastAsia"/>
          <w:bCs/>
          <w:szCs w:val="20"/>
        </w:rPr>
        <w:t>③相互制约原则。公司部门和岗位的设置权责分明、相互牵制，并通过切实可行的相互制衡措施来消除内部控制中的盲点。</w:t>
      </w:r>
    </w:p>
    <w:p w14:paraId="27082B55">
      <w:pPr>
        <w:widowControl/>
        <w:ind w:firstLine="480"/>
        <w:rPr>
          <w:bCs/>
          <w:szCs w:val="20"/>
        </w:rPr>
      </w:pPr>
      <w:r>
        <w:rPr>
          <w:rFonts w:hint="eastAsia"/>
          <w:bCs/>
          <w:szCs w:val="20"/>
        </w:rPr>
        <w:t>④重要性原则。公司的发展必须建立在风险控制完善和稳固的基础上，内部风险控制与公司业务发展同等重要。</w:t>
      </w:r>
    </w:p>
    <w:p w14:paraId="53787FF1">
      <w:pPr>
        <w:widowControl/>
        <w:ind w:firstLine="480"/>
        <w:rPr>
          <w:bCs/>
          <w:szCs w:val="20"/>
        </w:rPr>
      </w:pPr>
      <w:r>
        <w:rPr>
          <w:rFonts w:hint="eastAsia"/>
          <w:bCs/>
          <w:szCs w:val="20"/>
        </w:rPr>
        <w:t>（2）内部控制的主要内容</w:t>
      </w:r>
    </w:p>
    <w:p w14:paraId="5520513E">
      <w:pPr>
        <w:widowControl/>
        <w:ind w:firstLine="480"/>
        <w:rPr>
          <w:bCs/>
          <w:szCs w:val="20"/>
        </w:rPr>
      </w:pPr>
      <w:r>
        <w:rPr>
          <w:rFonts w:hint="eastAsia"/>
          <w:bCs/>
          <w:szCs w:val="20"/>
        </w:rPr>
        <w:t>①控制环境</w:t>
      </w:r>
    </w:p>
    <w:p w14:paraId="513AFC76">
      <w:pPr>
        <w:widowControl/>
        <w:ind w:firstLine="480"/>
        <w:rPr>
          <w:bCs/>
          <w:szCs w:val="20"/>
        </w:rPr>
      </w:pPr>
      <w:r>
        <w:rPr>
          <w:rFonts w:hint="eastAsia"/>
          <w:bCs/>
          <w:szCs w:val="20"/>
        </w:rP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04BEB14E">
      <w:pPr>
        <w:widowControl/>
        <w:ind w:firstLine="480"/>
        <w:rPr>
          <w:bCs/>
          <w:szCs w:val="20"/>
        </w:rPr>
      </w:pPr>
      <w:r>
        <w:rPr>
          <w:rFonts w:hint="eastAsia"/>
          <w:bCs/>
          <w:szCs w:val="20"/>
        </w:rP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513149B2">
      <w:pPr>
        <w:widowControl/>
        <w:ind w:firstLine="480"/>
        <w:rPr>
          <w:bCs/>
          <w:szCs w:val="20"/>
        </w:rPr>
      </w:pPr>
      <w:r>
        <w:rPr>
          <w:rFonts w:hint="eastAsia"/>
          <w:bCs/>
          <w:szCs w:val="20"/>
        </w:rPr>
        <w:t>此外，公司设有督察长，全权负责公司的监察与稽核工作，对公司和基金运作的合法性、合规性及合理性进行全面检查与监督，参与公司风险控制工作，发生重大风险事件时向公司董事长和中国证监会报告。</w:t>
      </w:r>
    </w:p>
    <w:p w14:paraId="67B14E67">
      <w:pPr>
        <w:widowControl/>
        <w:ind w:firstLine="480"/>
        <w:rPr>
          <w:bCs/>
          <w:szCs w:val="20"/>
        </w:rPr>
      </w:pPr>
      <w:r>
        <w:rPr>
          <w:rFonts w:hint="eastAsia"/>
          <w:bCs/>
          <w:szCs w:val="20"/>
        </w:rPr>
        <w:t>②风险评估</w:t>
      </w:r>
    </w:p>
    <w:p w14:paraId="135588CB">
      <w:pPr>
        <w:widowControl/>
        <w:ind w:firstLine="480"/>
        <w:rPr>
          <w:bCs/>
          <w:szCs w:val="20"/>
        </w:rPr>
      </w:pPr>
      <w:r>
        <w:rPr>
          <w:rFonts w:hint="eastAsia"/>
          <w:bCs/>
          <w:szCs w:val="20"/>
        </w:rP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09585D2F">
      <w:pPr>
        <w:widowControl/>
        <w:ind w:firstLine="480"/>
        <w:rPr>
          <w:bCs/>
          <w:szCs w:val="20"/>
        </w:rPr>
      </w:pPr>
      <w:r>
        <w:rPr>
          <w:rFonts w:hint="eastAsia"/>
          <w:bCs/>
          <w:szCs w:val="20"/>
        </w:rPr>
        <w:t>③操作控制</w:t>
      </w:r>
    </w:p>
    <w:p w14:paraId="020BA3AA">
      <w:pPr>
        <w:widowControl/>
        <w:ind w:firstLine="480"/>
        <w:rPr>
          <w:bCs/>
          <w:szCs w:val="20"/>
        </w:rPr>
      </w:pPr>
      <w:r>
        <w:rPr>
          <w:rFonts w:hint="eastAsia"/>
          <w:bCs/>
          <w:szCs w:val="20"/>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444E7CBE">
      <w:pPr>
        <w:widowControl/>
        <w:ind w:firstLine="480"/>
        <w:rPr>
          <w:bCs/>
          <w:szCs w:val="20"/>
        </w:rPr>
      </w:pPr>
      <w:r>
        <w:rPr>
          <w:rFonts w:hint="eastAsia"/>
          <w:bCs/>
          <w:szCs w:val="20"/>
        </w:rPr>
        <w:t>各业务部门内部工作岗位分工合理、职责明确，形成相互检查、相互制约的关系，以减少舞弊或差错发生的风险，各工作岗位均制定有相应的书面管理制度。</w:t>
      </w:r>
    </w:p>
    <w:p w14:paraId="5401AC43">
      <w:pPr>
        <w:widowControl/>
        <w:ind w:firstLine="480"/>
        <w:rPr>
          <w:bCs/>
          <w:szCs w:val="20"/>
        </w:rPr>
      </w:pPr>
      <w:r>
        <w:rPr>
          <w:rFonts w:hint="eastAsia"/>
          <w:bCs/>
          <w:szCs w:val="20"/>
        </w:rPr>
        <w:t>在明确的岗位责任制度基础上，设置科学、合理、标准化的业务操作流程，每项业务操作有清晰、书面化的操作手册，同时，规定完备的处理手续，保存完整的业务记录，制定严格的检查、复核标准。</w:t>
      </w:r>
    </w:p>
    <w:p w14:paraId="0E3BB8DC">
      <w:pPr>
        <w:widowControl/>
        <w:ind w:firstLine="480"/>
        <w:rPr>
          <w:bCs/>
          <w:szCs w:val="20"/>
        </w:rPr>
      </w:pPr>
      <w:r>
        <w:rPr>
          <w:rFonts w:hint="eastAsia"/>
          <w:bCs/>
          <w:szCs w:val="20"/>
        </w:rPr>
        <w:t>④信息与沟通</w:t>
      </w:r>
    </w:p>
    <w:p w14:paraId="268989C0">
      <w:pPr>
        <w:widowControl/>
        <w:ind w:firstLine="480"/>
        <w:rPr>
          <w:bCs/>
          <w:szCs w:val="20"/>
        </w:rPr>
      </w:pPr>
      <w:r>
        <w:rPr>
          <w:rFonts w:hint="eastAsia"/>
          <w:bCs/>
          <w:szCs w:val="20"/>
        </w:rPr>
        <w:t>公司建立了内部办公自动化信息系统与业务汇报体系，通过建立有效的信息交流渠道，保证公司员工及各级管理人员可以充分了解与其职责相关的信息，保证信息及时送达适当的人员进行处理。</w:t>
      </w:r>
    </w:p>
    <w:p w14:paraId="58EF3862">
      <w:pPr>
        <w:widowControl/>
        <w:ind w:firstLine="480"/>
        <w:rPr>
          <w:bCs/>
          <w:szCs w:val="20"/>
        </w:rPr>
      </w:pPr>
      <w:r>
        <w:rPr>
          <w:rFonts w:hint="eastAsia"/>
          <w:bCs/>
          <w:szCs w:val="20"/>
        </w:rPr>
        <w:t>⑤监督与内部稽核</w:t>
      </w:r>
    </w:p>
    <w:p w14:paraId="469B7CAA">
      <w:pPr>
        <w:widowControl/>
        <w:ind w:firstLine="480"/>
        <w:rPr>
          <w:bCs/>
          <w:szCs w:val="20"/>
        </w:rPr>
      </w:pPr>
      <w:r>
        <w:rPr>
          <w:rFonts w:hint="eastAsia"/>
          <w:bCs/>
          <w:szCs w:val="20"/>
        </w:rPr>
        <w:t>基金管理人设立了独立于各业务部门的监察稽核职能部门，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309108F6">
      <w:pPr>
        <w:widowControl/>
        <w:ind w:firstLine="480"/>
        <w:rPr>
          <w:bCs/>
          <w:szCs w:val="20"/>
        </w:rPr>
      </w:pPr>
      <w:r>
        <w:rPr>
          <w:rFonts w:hint="eastAsia"/>
          <w:bCs/>
          <w:szCs w:val="20"/>
        </w:rPr>
        <w:t>3、基金管理人关于内部控制的声明</w:t>
      </w:r>
    </w:p>
    <w:p w14:paraId="1E486022">
      <w:pPr>
        <w:widowControl/>
        <w:ind w:firstLine="480"/>
        <w:rPr>
          <w:bCs/>
          <w:szCs w:val="20"/>
        </w:rPr>
      </w:pPr>
      <w:r>
        <w:rPr>
          <w:rFonts w:hint="eastAsia"/>
          <w:bCs/>
          <w:szCs w:val="20"/>
        </w:rPr>
        <w:t>（1）基金管理人确知建立、实施和维持内部控制制度是基金管理人董事会及管理层的责任；</w:t>
      </w:r>
    </w:p>
    <w:p w14:paraId="65BB46BE">
      <w:pPr>
        <w:widowControl/>
        <w:ind w:firstLine="480"/>
        <w:rPr>
          <w:bCs/>
          <w:szCs w:val="20"/>
        </w:rPr>
      </w:pPr>
      <w:r>
        <w:rPr>
          <w:rFonts w:hint="eastAsia"/>
          <w:bCs/>
          <w:szCs w:val="20"/>
        </w:rPr>
        <w:t>（2）上述关于内部控制的披露真实、准确；</w:t>
      </w:r>
    </w:p>
    <w:p w14:paraId="1722021A">
      <w:pPr>
        <w:widowControl/>
        <w:ind w:firstLine="480"/>
        <w:rPr>
          <w:b/>
        </w:rPr>
      </w:pPr>
      <w:r>
        <w:rPr>
          <w:rFonts w:hint="eastAsia"/>
          <w:bCs/>
          <w:szCs w:val="20"/>
        </w:rPr>
        <w:t>（3）基金管理人承诺将根据市场环境的变化及公司的发展不断完善内部控制制度。</w:t>
      </w:r>
    </w:p>
    <w:p w14:paraId="6DC01885">
      <w:pPr>
        <w:widowControl/>
        <w:ind w:firstLine="480"/>
      </w:pPr>
    </w:p>
    <w:p w14:paraId="0FCF1BFC">
      <w:pPr>
        <w:spacing w:before="312" w:after="312"/>
        <w:ind w:firstLine="480"/>
      </w:pPr>
      <w:bookmarkStart w:id="32" w:name="_Toc327457286"/>
      <w:bookmarkStart w:id="33" w:name="_Toc327457148"/>
      <w:r>
        <w:br w:type="page"/>
      </w:r>
      <w:bookmarkEnd w:id="31"/>
      <w:bookmarkEnd w:id="32"/>
      <w:bookmarkEnd w:id="33"/>
    </w:p>
    <w:p w14:paraId="13591C95">
      <w:pPr>
        <w:pStyle w:val="2"/>
        <w:spacing w:before="312" w:after="312"/>
      </w:pPr>
      <w:bookmarkStart w:id="34" w:name="_Toc218004075"/>
      <w:r>
        <w:t>第四部分  基金托管人</w:t>
      </w:r>
      <w:bookmarkEnd w:id="29"/>
      <w:bookmarkEnd w:id="34"/>
    </w:p>
    <w:p w14:paraId="1B344E6A">
      <w:pPr>
        <w:autoSpaceDE w:val="0"/>
        <w:autoSpaceDN w:val="0"/>
        <w:adjustRightInd w:val="0"/>
        <w:snapToGrid w:val="0"/>
        <w:ind w:firstLine="482"/>
      </w:pPr>
      <w:bookmarkStart w:id="35" w:name="_Toc116971000"/>
      <w:bookmarkStart w:id="36" w:name="_Toc116971120"/>
      <w:bookmarkStart w:id="37" w:name="_Toc116970834"/>
      <w:r>
        <w:rPr>
          <w:rFonts w:hint="eastAsia"/>
          <w:b/>
          <w:bCs/>
        </w:rPr>
        <w:t>一、基金托管人基本情况</w:t>
      </w:r>
    </w:p>
    <w:p w14:paraId="5D91F0B6">
      <w:pPr>
        <w:autoSpaceDE w:val="0"/>
        <w:autoSpaceDN w:val="0"/>
        <w:adjustRightInd w:val="0"/>
        <w:snapToGrid w:val="0"/>
        <w:ind w:firstLine="480"/>
      </w:pPr>
      <w:r>
        <w:t>1</w:t>
      </w:r>
      <w:r>
        <w:rPr>
          <w:rFonts w:hint="eastAsia"/>
        </w:rPr>
        <w:t>、基本情况</w:t>
      </w:r>
    </w:p>
    <w:p w14:paraId="59904541">
      <w:pPr>
        <w:autoSpaceDE w:val="0"/>
        <w:autoSpaceDN w:val="0"/>
        <w:adjustRightInd w:val="0"/>
        <w:snapToGrid w:val="0"/>
        <w:ind w:firstLine="480"/>
      </w:pPr>
      <w:r>
        <w:rPr>
          <w:rFonts w:hint="eastAsia"/>
        </w:rPr>
        <w:t xml:space="preserve">名称：财通证券股份有限公司 </w:t>
      </w:r>
    </w:p>
    <w:p w14:paraId="14CFDA78">
      <w:pPr>
        <w:autoSpaceDE w:val="0"/>
        <w:autoSpaceDN w:val="0"/>
        <w:adjustRightInd w:val="0"/>
        <w:snapToGrid w:val="0"/>
        <w:ind w:firstLine="480"/>
      </w:pPr>
      <w:r>
        <w:rPr>
          <w:rFonts w:hint="eastAsia"/>
        </w:rPr>
        <w:t xml:space="preserve">住所：浙江省杭州市西湖区天目山路198号财通双冠大厦西楼 </w:t>
      </w:r>
    </w:p>
    <w:p w14:paraId="1CCE0B3E">
      <w:pPr>
        <w:autoSpaceDE w:val="0"/>
        <w:autoSpaceDN w:val="0"/>
        <w:adjustRightInd w:val="0"/>
        <w:snapToGrid w:val="0"/>
        <w:ind w:firstLine="480"/>
      </w:pPr>
      <w:r>
        <w:rPr>
          <w:rFonts w:hint="eastAsia"/>
        </w:rPr>
        <w:t>法定代表人：章启诚</w:t>
      </w:r>
    </w:p>
    <w:p w14:paraId="55B3F149">
      <w:pPr>
        <w:autoSpaceDE w:val="0"/>
        <w:autoSpaceDN w:val="0"/>
        <w:adjustRightInd w:val="0"/>
        <w:snapToGrid w:val="0"/>
        <w:ind w:firstLine="480"/>
      </w:pPr>
      <w:r>
        <w:rPr>
          <w:rFonts w:hint="eastAsia"/>
        </w:rPr>
        <w:t xml:space="preserve">电话：0571-86966937 </w:t>
      </w:r>
    </w:p>
    <w:p w14:paraId="7C258F2D">
      <w:pPr>
        <w:autoSpaceDE w:val="0"/>
        <w:autoSpaceDN w:val="0"/>
        <w:adjustRightInd w:val="0"/>
        <w:snapToGrid w:val="0"/>
        <w:ind w:firstLine="480"/>
      </w:pPr>
      <w:r>
        <w:rPr>
          <w:rFonts w:hint="eastAsia"/>
        </w:rPr>
        <w:t xml:space="preserve">传真：0571-87830199 </w:t>
      </w:r>
    </w:p>
    <w:p w14:paraId="0EF746D3">
      <w:pPr>
        <w:autoSpaceDE w:val="0"/>
        <w:autoSpaceDN w:val="0"/>
        <w:adjustRightInd w:val="0"/>
        <w:snapToGrid w:val="0"/>
        <w:ind w:firstLine="480"/>
      </w:pPr>
      <w:r>
        <w:rPr>
          <w:rFonts w:hint="eastAsia"/>
        </w:rPr>
        <w:t xml:space="preserve">成立时间：2003年06月11日 </w:t>
      </w:r>
    </w:p>
    <w:p w14:paraId="183EEDC7">
      <w:pPr>
        <w:autoSpaceDE w:val="0"/>
        <w:autoSpaceDN w:val="0"/>
        <w:adjustRightInd w:val="0"/>
        <w:snapToGrid w:val="0"/>
        <w:ind w:firstLine="480"/>
      </w:pPr>
      <w:r>
        <w:rPr>
          <w:rFonts w:hint="eastAsia"/>
        </w:rPr>
        <w:t xml:space="preserve">组织形式：其他股份有限公司(上市) </w:t>
      </w:r>
    </w:p>
    <w:p w14:paraId="7A2E64D2">
      <w:pPr>
        <w:autoSpaceDE w:val="0"/>
        <w:autoSpaceDN w:val="0"/>
        <w:adjustRightInd w:val="0"/>
        <w:snapToGrid w:val="0"/>
        <w:ind w:firstLine="480"/>
      </w:pPr>
      <w:r>
        <w:rPr>
          <w:rFonts w:hint="eastAsia"/>
        </w:rPr>
        <w:t xml:space="preserve">注册资本：人民币46.44亿元 </w:t>
      </w:r>
    </w:p>
    <w:p w14:paraId="5FA16B24">
      <w:pPr>
        <w:autoSpaceDE w:val="0"/>
        <w:autoSpaceDN w:val="0"/>
        <w:adjustRightInd w:val="0"/>
        <w:snapToGrid w:val="0"/>
        <w:ind w:firstLine="480"/>
      </w:pPr>
      <w:r>
        <w:rPr>
          <w:rFonts w:hint="eastAsia"/>
        </w:rPr>
        <w:t xml:space="preserve">存续期间：长期 </w:t>
      </w:r>
    </w:p>
    <w:p w14:paraId="498C0824">
      <w:pPr>
        <w:autoSpaceDE w:val="0"/>
        <w:autoSpaceDN w:val="0"/>
        <w:adjustRightInd w:val="0"/>
        <w:snapToGrid w:val="0"/>
        <w:ind w:firstLine="480"/>
      </w:pPr>
      <w:r>
        <w:rPr>
          <w:rFonts w:hint="eastAsia"/>
        </w:rPr>
        <w:t>批准设立机关和批准设立文号：中国证券监督管理委员会证监许可〔2013〕968号《关于核准财通证券有限责任公司变更为股份有限公司的批复》</w:t>
      </w:r>
    </w:p>
    <w:p w14:paraId="5B209F1A">
      <w:pPr>
        <w:autoSpaceDE w:val="0"/>
        <w:autoSpaceDN w:val="0"/>
        <w:adjustRightInd w:val="0"/>
        <w:snapToGrid w:val="0"/>
        <w:ind w:firstLine="480"/>
      </w:pPr>
      <w:r>
        <w:rPr>
          <w:rFonts w:hint="eastAsia"/>
        </w:rPr>
        <w:t xml:space="preserve">基金托管资格批文及文号：《关于核准财通证券股份有限公司证券投资基金托管资格的批复》（证监许可〔2020〕2829号） </w:t>
      </w:r>
    </w:p>
    <w:p w14:paraId="5275148B">
      <w:pPr>
        <w:autoSpaceDE w:val="0"/>
        <w:autoSpaceDN w:val="0"/>
        <w:adjustRightInd w:val="0"/>
        <w:snapToGrid w:val="0"/>
        <w:ind w:firstLine="480"/>
      </w:pPr>
      <w:r>
        <w:rPr>
          <w:rFonts w:hint="eastAsia"/>
        </w:rPr>
        <w:t>经营范围：许可项目：证券业务；公募证券投资基金销售；证券投资基金托管。（依法须经批准的项目，经相关部门批准后方可开展经营活动，具体经营项目以相关部门批准文件或许可证件为准）</w:t>
      </w:r>
    </w:p>
    <w:p w14:paraId="4B6DB103">
      <w:pPr>
        <w:autoSpaceDE w:val="0"/>
        <w:autoSpaceDN w:val="0"/>
        <w:adjustRightInd w:val="0"/>
        <w:snapToGrid w:val="0"/>
        <w:ind w:firstLine="480"/>
      </w:pPr>
      <w:r>
        <w:t>2</w:t>
      </w:r>
      <w:r>
        <w:rPr>
          <w:rFonts w:hint="eastAsia"/>
        </w:rPr>
        <w:t>、主要人员情况</w:t>
      </w:r>
    </w:p>
    <w:p w14:paraId="07AF6BB7">
      <w:pPr>
        <w:autoSpaceDE w:val="0"/>
        <w:autoSpaceDN w:val="0"/>
        <w:adjustRightInd w:val="0"/>
        <w:snapToGrid w:val="0"/>
        <w:ind w:firstLine="480"/>
      </w:pPr>
      <w:r>
        <w:rPr>
          <w:rFonts w:hint="eastAsia"/>
        </w:rPr>
        <w:t>财通证券资产托管部主要人员均具备多年证券、基金、银行等金融机构从业经验，从业经验丰富，具备基金从业资格，熟悉基金托管工作。资产托管部员工学历均在本科以上，专业背景涵盖了金融、会计、统计、计算机等领域，是一支诚实勤勉、积极进取的专业团队。</w:t>
      </w:r>
    </w:p>
    <w:p w14:paraId="244BF0E1">
      <w:pPr>
        <w:pStyle w:val="85"/>
        <w:autoSpaceDE w:val="0"/>
        <w:autoSpaceDN w:val="0"/>
        <w:adjustRightInd w:val="0"/>
        <w:snapToGrid w:val="0"/>
        <w:ind w:firstLine="482"/>
        <w:rPr>
          <w:b/>
        </w:rPr>
      </w:pPr>
      <w:r>
        <w:rPr>
          <w:rFonts w:hint="eastAsia"/>
          <w:b/>
        </w:rPr>
        <w:t>二、发展概况及财务状况</w:t>
      </w:r>
    </w:p>
    <w:p w14:paraId="0A65D12D">
      <w:pPr>
        <w:autoSpaceDE w:val="0"/>
        <w:autoSpaceDN w:val="0"/>
        <w:adjustRightInd w:val="0"/>
        <w:snapToGrid w:val="0"/>
        <w:ind w:firstLine="480"/>
      </w:pPr>
      <w:r>
        <w:rPr>
          <w:rFonts w:hint="eastAsia"/>
        </w:rPr>
        <w:t>财通证券股份有限公司（以下简称“公司”或“财通证券”）是一家总部在杭州的特色型综合型证券控股集团。公司前身为创立于1993年的浙江财政证券公司，2017年10月在上交所挂牌上市（股票代码：601108），为浙江唯一省直属券商。</w:t>
      </w:r>
    </w:p>
    <w:p w14:paraId="43CBAE59">
      <w:pPr>
        <w:autoSpaceDE w:val="0"/>
        <w:autoSpaceDN w:val="0"/>
        <w:adjustRightInd w:val="0"/>
        <w:snapToGrid w:val="0"/>
        <w:ind w:firstLine="480"/>
      </w:pPr>
      <w:r>
        <w:rPr>
          <w:rFonts w:hint="eastAsia"/>
        </w:rPr>
        <w:t>30年余创业发展，公司始终坚持合规稳健、守正创新，抓住管理体制调整和行业创新发展的机遇，从一家区域性的经纪类券商发展成为全牌照、特色化、集团化、国际化发展的上市券商，构建了跨证券、期货、基金、资管、股权投资以及境外金融等业务的全链条、综合化的服务体系，市场竞争力和综合实力快速提升，连续7年获在浙金融机构支持浙江经济社会发展一等奖。</w:t>
      </w:r>
    </w:p>
    <w:p w14:paraId="179CD951">
      <w:pPr>
        <w:autoSpaceDE w:val="0"/>
        <w:autoSpaceDN w:val="0"/>
        <w:adjustRightInd w:val="0"/>
        <w:snapToGrid w:val="0"/>
        <w:ind w:firstLine="480"/>
      </w:pPr>
      <w:r>
        <w:rPr>
          <w:rFonts w:hint="eastAsia"/>
        </w:rPr>
        <w:t>目前，集团有在岗员工6000余人，分支机构210余家，实现业务全国布局，浙江100%全域覆盖。设立北京、上海、深圳、重庆、海南五大业务总部，境外服务延伸至香港、新加坡。旗下设财通证券资产管理有限公司、浙江财通资本投资有限公司、财通创新投资有限公司、财通证券（香港）有限公司、永安期货股份有限公司和财通基金管理有限公司6家控（参）股子公司，在各自领域均形成了相应特色和细分优势。截至2025年3月底，公司合并报表总资产1389.22亿元，归属于母公司净资产约366.27亿元。</w:t>
      </w:r>
    </w:p>
    <w:p w14:paraId="71EA63B5">
      <w:pPr>
        <w:autoSpaceDE w:val="0"/>
        <w:autoSpaceDN w:val="0"/>
        <w:adjustRightInd w:val="0"/>
        <w:snapToGrid w:val="0"/>
        <w:ind w:firstLine="480"/>
      </w:pPr>
      <w:r>
        <w:rPr>
          <w:rFonts w:hint="eastAsia"/>
        </w:rPr>
        <w:t>公司践行以投资者为本的理念，牢记金融服务实体经济的根本宗旨，坚决扛起省属国企的责任担当，紧紧围绕新时期创新发展战略体系，强力推动“投行+投资+财富”三驾马车并驾齐驱，聚力建设“四型财通”，做“浙商浙企自己家的券商”，强力助推“以客户为中心”重塑客户运营体系重大改革，打造一流现代投资银行，为企业高质量发展、产业转型升级、投资者财富保值增值贡献更大的金融力量。</w:t>
      </w:r>
    </w:p>
    <w:p w14:paraId="47D6E3BC">
      <w:pPr>
        <w:pStyle w:val="85"/>
        <w:autoSpaceDE w:val="0"/>
        <w:autoSpaceDN w:val="0"/>
        <w:adjustRightInd w:val="0"/>
        <w:snapToGrid w:val="0"/>
        <w:ind w:firstLine="482"/>
        <w:rPr>
          <w:b/>
        </w:rPr>
      </w:pPr>
      <w:r>
        <w:rPr>
          <w:rFonts w:hint="eastAsia"/>
          <w:b/>
        </w:rPr>
        <w:t>三、托管业务部的部门设置及员工情况</w:t>
      </w:r>
    </w:p>
    <w:p w14:paraId="60AD1885">
      <w:pPr>
        <w:autoSpaceDE w:val="0"/>
        <w:autoSpaceDN w:val="0"/>
        <w:adjustRightInd w:val="0"/>
        <w:snapToGrid w:val="0"/>
        <w:ind w:firstLine="480"/>
      </w:pPr>
      <w:r>
        <w:rPr>
          <w:rFonts w:hint="eastAsia"/>
        </w:rPr>
        <w:t>财通证券下设资产托管部，负责公司资产托管业务的统一管理和运营，内设市场团队、托管业务团队和业务支持团队，所有员工拥有大学本科以上学历并具有基金从业资格；各团队负责人和业务骨干均具有多年从业经验，专业涵盖金融、财务、IT、审计等多个领域。</w:t>
      </w:r>
    </w:p>
    <w:p w14:paraId="4F456E8F">
      <w:pPr>
        <w:pStyle w:val="85"/>
        <w:autoSpaceDE w:val="0"/>
        <w:autoSpaceDN w:val="0"/>
        <w:adjustRightInd w:val="0"/>
        <w:snapToGrid w:val="0"/>
        <w:ind w:firstLine="482"/>
        <w:rPr>
          <w:b/>
        </w:rPr>
      </w:pPr>
      <w:r>
        <w:rPr>
          <w:rFonts w:hint="eastAsia"/>
          <w:b/>
        </w:rPr>
        <w:t>四、证券投资基金托管业务经营情况</w:t>
      </w:r>
    </w:p>
    <w:p w14:paraId="3C8A8BF4">
      <w:pPr>
        <w:autoSpaceDE w:val="0"/>
        <w:autoSpaceDN w:val="0"/>
        <w:adjustRightInd w:val="0"/>
        <w:snapToGrid w:val="0"/>
        <w:ind w:firstLine="480"/>
      </w:pPr>
      <w:r>
        <w:rPr>
          <w:rFonts w:hint="eastAsia"/>
        </w:rPr>
        <w:t>财通证券于2020年10月30日取得中国证监会核准证券投资基金托管资格。财通证券全面贯彻“合规、诚信、专业、稳健”的行业文化，秉持“稳健经营、协同创新、唯实惟先、善作善成”的经营宗旨，严格履行基金托管人的各项职责，不断加强风险管理和内部控制，确保基金资产的完整性和独立性，切实维护基金份额持有人的合法权益，提供高质量的基金托管服务。</w:t>
      </w:r>
    </w:p>
    <w:p w14:paraId="61ADD2D6">
      <w:pPr>
        <w:autoSpaceDE w:val="0"/>
        <w:autoSpaceDN w:val="0"/>
        <w:adjustRightInd w:val="0"/>
        <w:snapToGrid w:val="0"/>
        <w:ind w:firstLine="480"/>
      </w:pPr>
      <w:r>
        <w:rPr>
          <w:rFonts w:hint="eastAsia"/>
        </w:rPr>
        <w:t>财通证券与各大金融机构广泛合作，托管产品包括公募基金、资管计划、私募证券投资基金等各类金融产品。</w:t>
      </w:r>
    </w:p>
    <w:p w14:paraId="3C593890">
      <w:pPr>
        <w:pStyle w:val="85"/>
        <w:autoSpaceDE w:val="0"/>
        <w:autoSpaceDN w:val="0"/>
        <w:adjustRightInd w:val="0"/>
        <w:snapToGrid w:val="0"/>
        <w:ind w:firstLine="482"/>
        <w:rPr>
          <w:b/>
        </w:rPr>
      </w:pPr>
      <w:r>
        <w:rPr>
          <w:rFonts w:hint="eastAsia"/>
          <w:b/>
        </w:rPr>
        <w:t>五、基金托管人内部风险控制制度说明</w:t>
      </w:r>
    </w:p>
    <w:p w14:paraId="66F219B5">
      <w:pPr>
        <w:ind w:firstLine="480"/>
      </w:pPr>
      <w:r>
        <w:rPr>
          <w:rFonts w:hint="eastAsia"/>
        </w:rPr>
        <w:t>财通证券秉持“敬畏规则，守正持度，专业规范”的合规文化理念，根据有关法律法规和监管部门的规定，制定了完善的基金托管业务内部控制制度，具体包括《资产托管业务管理办法》、《资产托管业务管理实施细则》、《资产托管业务资产保管操作规程》、《资产托管业务清算交收操作规程》、《资产托管业务估值与会计核算操作规程》、《资产托管业务投资监督操作规程》、《资产托管业务信息披露与报告操作规程》、《资产托管业务基金份额持有人大会操作规程》、《资产托管业务系统数据备份操作规程》、《资产托管业务信息系统管理细则》、《资产托管业务内部控制管理细则》、《资产托管业务风险管理细则》、《资产托管业务稽核检查操作规程》、《资产托管业务保密管理细则》、《资产托管业务档案管理细则》、《资产托管业务应急管理细则》、《资产托管业务从业人员管理细则》、《资产托管业务印章管理细则》、《资产托管业务风险准备金管理细则》、《资产托管业务债券质押式回购交易结算业务管理细则》等，涵盖了基金托管业务的管理规范、资产保管、清算交割、估值核算、投资监督、信息披露、业务系统管理、内部控制、风险管理、稽核监控、保密和档案管理、应急处理、从业人员管理、风险准备金管理等全部业务环节。</w:t>
      </w:r>
    </w:p>
    <w:p w14:paraId="2D9145DF">
      <w:pPr>
        <w:ind w:firstLine="480"/>
        <w:rPr>
          <w:rFonts w:ascii="宋体" w:hAnsi="宋体"/>
          <w:color w:val="000000"/>
          <w:szCs w:val="21"/>
        </w:rPr>
      </w:pPr>
    </w:p>
    <w:bookmarkEnd w:id="35"/>
    <w:bookmarkEnd w:id="36"/>
    <w:bookmarkEnd w:id="37"/>
    <w:p w14:paraId="0C0876F2">
      <w:pPr>
        <w:pStyle w:val="2"/>
        <w:spacing w:before="312" w:after="312"/>
      </w:pPr>
      <w:r>
        <w:br w:type="page"/>
      </w:r>
      <w:bookmarkStart w:id="38" w:name="_Toc390614985"/>
      <w:bookmarkStart w:id="39" w:name="_Toc218004076"/>
      <w:bookmarkStart w:id="40" w:name="_Toc327457184"/>
      <w:r>
        <w:rPr>
          <w:rFonts w:hint="eastAsia"/>
        </w:rPr>
        <w:t>第五部分</w:t>
      </w:r>
      <w:r>
        <w:t xml:space="preserve">  </w:t>
      </w:r>
      <w:r>
        <w:rPr>
          <w:rFonts w:hint="eastAsia"/>
        </w:rPr>
        <w:t>相关服务机构</w:t>
      </w:r>
      <w:bookmarkEnd w:id="38"/>
      <w:bookmarkEnd w:id="39"/>
    </w:p>
    <w:bookmarkEnd w:id="30"/>
    <w:bookmarkEnd w:id="40"/>
    <w:p w14:paraId="267FD3F6">
      <w:pPr>
        <w:widowControl/>
        <w:ind w:firstLine="482"/>
        <w:rPr>
          <w:b/>
        </w:rPr>
      </w:pPr>
      <w:r>
        <w:rPr>
          <w:b/>
        </w:rPr>
        <w:t>一</w:t>
      </w:r>
      <w:r>
        <w:rPr>
          <w:rFonts w:hint="eastAsia"/>
          <w:b/>
        </w:rPr>
        <w:t>、</w:t>
      </w:r>
      <w:r>
        <w:rPr>
          <w:b/>
        </w:rPr>
        <w:t>基金份额发售机构</w:t>
      </w:r>
    </w:p>
    <w:p w14:paraId="081FF155">
      <w:pPr>
        <w:widowControl/>
        <w:ind w:firstLine="480"/>
      </w:pPr>
      <w:r>
        <w:t>1、直销机构</w:t>
      </w:r>
    </w:p>
    <w:p w14:paraId="11668391">
      <w:pPr>
        <w:widowControl/>
        <w:ind w:firstLine="480"/>
      </w:pPr>
      <w:r>
        <w:rPr>
          <w:rFonts w:hint="eastAsia"/>
        </w:rPr>
        <w:t>名称：</w:t>
      </w:r>
      <w:r>
        <w:t>富国基金管理有限公司</w:t>
      </w:r>
    </w:p>
    <w:p w14:paraId="4252D0B0">
      <w:pPr>
        <w:widowControl/>
        <w:ind w:firstLine="480"/>
      </w:pPr>
      <w:r>
        <w:rPr>
          <w:rFonts w:hint="eastAsia"/>
        </w:rPr>
        <w:t>住所：中国（上海）自由贸易试验区世纪大道1196号世纪汇办公楼二座27-30层</w:t>
      </w:r>
    </w:p>
    <w:p w14:paraId="09A04B7F">
      <w:pPr>
        <w:widowControl/>
        <w:ind w:firstLine="480"/>
      </w:pPr>
      <w:r>
        <w:rPr>
          <w:rFonts w:hint="eastAsia"/>
        </w:rPr>
        <w:t>办公地址：中国（上海）自由贸易试验区世纪大道1196号世纪汇办公楼二座27-30层</w:t>
      </w:r>
    </w:p>
    <w:p w14:paraId="43E184F5">
      <w:pPr>
        <w:widowControl/>
        <w:ind w:firstLine="480"/>
      </w:pPr>
      <w:r>
        <w:rPr>
          <w:rFonts w:hint="eastAsia"/>
        </w:rPr>
        <w:t>法定代表人：裴长江</w:t>
      </w:r>
    </w:p>
    <w:p w14:paraId="6D19D629">
      <w:pPr>
        <w:widowControl/>
        <w:ind w:firstLine="480"/>
      </w:pPr>
      <w:r>
        <w:rPr>
          <w:rFonts w:hint="eastAsia"/>
        </w:rPr>
        <w:t>总经理：陈戈</w:t>
      </w:r>
    </w:p>
    <w:p w14:paraId="7A791A6E">
      <w:pPr>
        <w:widowControl/>
        <w:ind w:firstLine="480"/>
      </w:pPr>
      <w:r>
        <w:rPr>
          <w:rFonts w:hint="eastAsia"/>
        </w:rPr>
        <w:t>成立日期：1999年4月13日</w:t>
      </w:r>
    </w:p>
    <w:p w14:paraId="722E02BB">
      <w:pPr>
        <w:widowControl/>
        <w:ind w:firstLine="480"/>
      </w:pPr>
      <w:r>
        <w:rPr>
          <w:rFonts w:hint="eastAsia"/>
        </w:rPr>
        <w:t>直销网点：直销中心</w:t>
      </w:r>
    </w:p>
    <w:p w14:paraId="1345EE7B">
      <w:pPr>
        <w:widowControl/>
        <w:ind w:firstLine="480"/>
      </w:pPr>
      <w:r>
        <w:rPr>
          <w:rFonts w:hint="eastAsia"/>
        </w:rPr>
        <w:t>直销中心地址：中国（上海）自由贸易试验区世纪大道1196号世纪汇办公楼二座27层</w:t>
      </w:r>
    </w:p>
    <w:p w14:paraId="0B1F4067">
      <w:pPr>
        <w:widowControl/>
        <w:ind w:firstLine="480"/>
      </w:pPr>
      <w:r>
        <w:rPr>
          <w:rFonts w:hint="eastAsia"/>
        </w:rPr>
        <w:t>客户服务统一咨询电话：95105686、4008880688（全国统一，免长途话费）</w:t>
      </w:r>
    </w:p>
    <w:p w14:paraId="47BD90A6">
      <w:pPr>
        <w:widowControl/>
        <w:ind w:firstLine="480"/>
      </w:pPr>
      <w:r>
        <w:rPr>
          <w:rFonts w:hint="eastAsia"/>
        </w:rPr>
        <w:t>传真：021-</w:t>
      </w:r>
      <w:r>
        <w:t>20513177</w:t>
      </w:r>
    </w:p>
    <w:p w14:paraId="6879CEA6">
      <w:pPr>
        <w:widowControl/>
        <w:ind w:firstLine="480"/>
      </w:pPr>
      <w:r>
        <w:rPr>
          <w:rFonts w:hint="eastAsia"/>
        </w:rPr>
        <w:t>联系人：吕铭泽</w:t>
      </w:r>
    </w:p>
    <w:p w14:paraId="2B5858BD">
      <w:pPr>
        <w:widowControl/>
        <w:ind w:firstLine="480"/>
      </w:pPr>
      <w:r>
        <w:rPr>
          <w:rFonts w:hint="eastAsia"/>
        </w:rPr>
        <w:t>公司网站：www.fullgoal.com.cn</w:t>
      </w:r>
    </w:p>
    <w:p w14:paraId="467CC200">
      <w:pPr>
        <w:widowControl/>
        <w:ind w:firstLine="480"/>
      </w:pPr>
      <w:r>
        <w:t>2</w:t>
      </w:r>
      <w:r>
        <w:rPr>
          <w:rFonts w:hint="eastAsia"/>
        </w:rPr>
        <w:t>、其他</w:t>
      </w:r>
      <w:r>
        <w:t>销</w:t>
      </w:r>
      <w:r>
        <w:rPr>
          <w:rFonts w:hint="eastAsia"/>
        </w:rPr>
        <w:t>售</w:t>
      </w:r>
      <w:r>
        <w:t>机构</w:t>
      </w:r>
    </w:p>
    <w:p w14:paraId="09C4A208">
      <w:pPr>
        <w:widowControl/>
        <w:ind w:firstLine="480"/>
      </w:pPr>
      <w:r>
        <w:rPr>
          <w:rFonts w:hint="eastAsia"/>
        </w:rPr>
        <w:t>具体名单详见本基金份额发售公告及基金管理人网站。基金管理人可根据有关法律法规的要求，选择其他符合要求的机构销售本基金，并在基金管理人网站公示。</w:t>
      </w:r>
    </w:p>
    <w:p w14:paraId="032E7C2E">
      <w:pPr>
        <w:widowControl/>
        <w:ind w:firstLine="482"/>
        <w:rPr>
          <w:b/>
        </w:rPr>
      </w:pPr>
      <w:r>
        <w:rPr>
          <w:b/>
        </w:rPr>
        <w:t>二</w:t>
      </w:r>
      <w:r>
        <w:rPr>
          <w:rFonts w:hint="eastAsia"/>
          <w:b/>
        </w:rPr>
        <w:t>、</w:t>
      </w:r>
      <w:r>
        <w:rPr>
          <w:b/>
        </w:rPr>
        <w:t>登记机构</w:t>
      </w:r>
    </w:p>
    <w:p w14:paraId="37B36CE8">
      <w:pPr>
        <w:widowControl/>
        <w:ind w:firstLine="480"/>
      </w:pPr>
      <w:r>
        <w:rPr>
          <w:rFonts w:hint="eastAsia"/>
        </w:rPr>
        <w:t>名称：富国基金管理有限公司</w:t>
      </w:r>
    </w:p>
    <w:p w14:paraId="1D7318C7">
      <w:pPr>
        <w:widowControl/>
        <w:ind w:firstLine="480"/>
      </w:pPr>
      <w:r>
        <w:rPr>
          <w:rFonts w:hint="eastAsia"/>
        </w:rPr>
        <w:t>住所：中国（上海）自由贸易试验区世纪大道1196号世纪汇办公楼二座27-30层</w:t>
      </w:r>
    </w:p>
    <w:p w14:paraId="2D7BE0D4">
      <w:pPr>
        <w:widowControl/>
        <w:ind w:firstLine="480"/>
      </w:pPr>
      <w:r>
        <w:rPr>
          <w:rFonts w:hint="eastAsia"/>
        </w:rPr>
        <w:t>办公地址：中国（上海）自由贸易试验区世纪大道1196号世纪汇办公楼二座27-30层</w:t>
      </w:r>
    </w:p>
    <w:p w14:paraId="30E3E2C8">
      <w:pPr>
        <w:widowControl/>
        <w:ind w:firstLine="480"/>
      </w:pPr>
      <w:r>
        <w:rPr>
          <w:rFonts w:hint="eastAsia"/>
        </w:rPr>
        <w:t>法定代表人：裴长江</w:t>
      </w:r>
    </w:p>
    <w:p w14:paraId="1C7E003D">
      <w:pPr>
        <w:widowControl/>
        <w:ind w:firstLine="480"/>
      </w:pPr>
      <w:r>
        <w:rPr>
          <w:rFonts w:hint="eastAsia"/>
        </w:rPr>
        <w:t>成立日期：</w:t>
      </w:r>
      <w:r>
        <w:t>1999年4月13日</w:t>
      </w:r>
    </w:p>
    <w:p w14:paraId="71BA9E44">
      <w:pPr>
        <w:widowControl/>
        <w:ind w:firstLine="480"/>
      </w:pPr>
      <w:r>
        <w:rPr>
          <w:rFonts w:hint="eastAsia"/>
        </w:rPr>
        <w:t>电话：（</w:t>
      </w:r>
      <w:r>
        <w:t>021）20361818</w:t>
      </w:r>
    </w:p>
    <w:p w14:paraId="580FAA36">
      <w:pPr>
        <w:widowControl/>
        <w:ind w:firstLine="480"/>
      </w:pPr>
      <w:r>
        <w:rPr>
          <w:rFonts w:hint="eastAsia"/>
        </w:rPr>
        <w:t>传真：（</w:t>
      </w:r>
      <w:r>
        <w:t>021）20361616</w:t>
      </w:r>
    </w:p>
    <w:p w14:paraId="2C7C7596">
      <w:pPr>
        <w:widowControl/>
        <w:ind w:firstLine="480"/>
      </w:pPr>
      <w:r>
        <w:rPr>
          <w:rFonts w:hint="eastAsia"/>
        </w:rPr>
        <w:t>联系人：徐慧</w:t>
      </w:r>
    </w:p>
    <w:p w14:paraId="28D4F875">
      <w:pPr>
        <w:widowControl/>
        <w:ind w:firstLine="482"/>
        <w:rPr>
          <w:b/>
        </w:rPr>
      </w:pPr>
      <w:r>
        <w:rPr>
          <w:b/>
        </w:rPr>
        <w:t>三</w:t>
      </w:r>
      <w:r>
        <w:rPr>
          <w:rFonts w:hint="eastAsia"/>
          <w:b/>
        </w:rPr>
        <w:t>、出具法律意见书的律师事务所</w:t>
      </w:r>
    </w:p>
    <w:p w14:paraId="755686DD">
      <w:pPr>
        <w:widowControl/>
        <w:ind w:firstLine="480"/>
      </w:pPr>
      <w:r>
        <w:t>名称：上海市通力律师事务所</w:t>
      </w:r>
    </w:p>
    <w:p w14:paraId="17A26BD7">
      <w:pPr>
        <w:widowControl/>
        <w:ind w:firstLine="480"/>
      </w:pPr>
      <w:r>
        <w:t>住所：上海市银城中路68号时代金融中心19楼</w:t>
      </w:r>
    </w:p>
    <w:p w14:paraId="49602C0F">
      <w:pPr>
        <w:widowControl/>
        <w:ind w:firstLine="480"/>
      </w:pPr>
      <w:r>
        <w:t>办公地址：上海市银城中路68号时代金融中心19楼</w:t>
      </w:r>
    </w:p>
    <w:p w14:paraId="6A277726">
      <w:pPr>
        <w:widowControl/>
        <w:ind w:firstLine="480"/>
      </w:pPr>
      <w:r>
        <w:rPr>
          <w:rFonts w:hint="eastAsia"/>
        </w:rPr>
        <w:t>负责人：韩炯</w:t>
      </w:r>
    </w:p>
    <w:p w14:paraId="1C0733DD">
      <w:pPr>
        <w:widowControl/>
        <w:ind w:firstLine="480"/>
      </w:pPr>
      <w:r>
        <w:t>电话：（021）31358666</w:t>
      </w:r>
    </w:p>
    <w:p w14:paraId="2D67093A">
      <w:pPr>
        <w:widowControl/>
        <w:ind w:firstLine="480"/>
      </w:pPr>
      <w:r>
        <w:t>传真：（021）31358600</w:t>
      </w:r>
    </w:p>
    <w:p w14:paraId="78270CD3">
      <w:pPr>
        <w:widowControl/>
        <w:ind w:firstLine="480"/>
      </w:pPr>
      <w:r>
        <w:t>联系人：</w:t>
      </w:r>
      <w:r>
        <w:rPr>
          <w:rFonts w:hint="eastAsia"/>
        </w:rPr>
        <w:t>陈颖华</w:t>
      </w:r>
    </w:p>
    <w:p w14:paraId="4095A954">
      <w:pPr>
        <w:widowControl/>
        <w:ind w:firstLine="480"/>
      </w:pPr>
      <w:r>
        <w:t>经办律师：</w:t>
      </w:r>
      <w:r>
        <w:rPr>
          <w:rFonts w:hint="eastAsia"/>
        </w:rPr>
        <w:t>陈颖华</w:t>
      </w:r>
      <w:r>
        <w:t>、</w:t>
      </w:r>
      <w:r>
        <w:rPr>
          <w:rFonts w:hint="eastAsia"/>
        </w:rPr>
        <w:t>王健</w:t>
      </w:r>
    </w:p>
    <w:p w14:paraId="7F86DE22">
      <w:pPr>
        <w:widowControl/>
        <w:ind w:firstLine="482"/>
        <w:rPr>
          <w:b/>
        </w:rPr>
      </w:pPr>
      <w:r>
        <w:rPr>
          <w:b/>
        </w:rPr>
        <w:t>四</w:t>
      </w:r>
      <w:r>
        <w:rPr>
          <w:rFonts w:hint="eastAsia"/>
          <w:b/>
        </w:rPr>
        <w:t>、审计基金财产的会计师事务所</w:t>
      </w:r>
    </w:p>
    <w:p w14:paraId="22F13E45">
      <w:pPr>
        <w:pStyle w:val="85"/>
        <w:ind w:firstLine="480"/>
      </w:pPr>
      <w:r>
        <w:t>名称</w:t>
      </w:r>
      <w:r>
        <w:rPr>
          <w:rFonts w:hint="eastAsia"/>
        </w:rPr>
        <w:t>：德勤华永会计师事务所（特殊普通合伙）</w:t>
      </w:r>
    </w:p>
    <w:p w14:paraId="1A141769">
      <w:pPr>
        <w:pStyle w:val="85"/>
        <w:ind w:firstLine="480"/>
      </w:pPr>
      <w:r>
        <w:rPr>
          <w:rFonts w:hint="eastAsia"/>
        </w:rPr>
        <w:t>注册地址：上海市黄浦区延安东路222 号30 楼</w:t>
      </w:r>
    </w:p>
    <w:p w14:paraId="2ECF43BC">
      <w:pPr>
        <w:pStyle w:val="85"/>
        <w:ind w:firstLine="480"/>
      </w:pPr>
      <w:r>
        <w:rPr>
          <w:rFonts w:hint="eastAsia"/>
        </w:rPr>
        <w:t>办公地址：上海市黄浦区延安东路222 号30 楼</w:t>
      </w:r>
    </w:p>
    <w:p w14:paraId="0372C11B">
      <w:pPr>
        <w:pStyle w:val="85"/>
        <w:ind w:firstLine="480"/>
      </w:pPr>
      <w:r>
        <w:rPr>
          <w:rFonts w:hint="eastAsia"/>
        </w:rPr>
        <w:t>执行事务合伙人：唐恋炯</w:t>
      </w:r>
    </w:p>
    <w:p w14:paraId="27B1710C">
      <w:pPr>
        <w:pStyle w:val="85"/>
        <w:ind w:firstLine="480"/>
      </w:pPr>
      <w:r>
        <w:rPr>
          <w:rFonts w:hint="eastAsia"/>
        </w:rPr>
        <w:t>联系电话：+86 21 61418888</w:t>
      </w:r>
    </w:p>
    <w:p w14:paraId="5D104504">
      <w:pPr>
        <w:pStyle w:val="85"/>
        <w:ind w:firstLine="480"/>
      </w:pPr>
      <w:r>
        <w:rPr>
          <w:rFonts w:hint="eastAsia"/>
        </w:rPr>
        <w:t>传真：+86 21 63350003</w:t>
      </w:r>
    </w:p>
    <w:p w14:paraId="6E2C49CA">
      <w:pPr>
        <w:pStyle w:val="85"/>
        <w:ind w:firstLine="480"/>
      </w:pPr>
      <w:r>
        <w:rPr>
          <w:rFonts w:hint="eastAsia"/>
        </w:rPr>
        <w:t>联系人：汪芳、冯适</w:t>
      </w:r>
    </w:p>
    <w:p w14:paraId="101D9A24">
      <w:pPr>
        <w:pStyle w:val="85"/>
        <w:ind w:firstLine="480"/>
      </w:pPr>
      <w:r>
        <w:rPr>
          <w:rFonts w:hint="eastAsia"/>
        </w:rPr>
        <w:t>经办注册会计师：汪芳、冯适</w:t>
      </w:r>
    </w:p>
    <w:p w14:paraId="1B18695F">
      <w:pPr>
        <w:pStyle w:val="85"/>
        <w:ind w:firstLine="480"/>
      </w:pPr>
      <w:r>
        <w:rPr>
          <w:kern w:val="0"/>
        </w:rPr>
        <w:br w:type="page"/>
      </w:r>
    </w:p>
    <w:p w14:paraId="29FC0A08">
      <w:pPr>
        <w:pStyle w:val="2"/>
        <w:spacing w:before="312" w:after="312"/>
      </w:pPr>
      <w:bookmarkStart w:id="41" w:name="_Toc218004077"/>
      <w:bookmarkStart w:id="42" w:name="_Toc390614986"/>
      <w:r>
        <w:rPr>
          <w:rFonts w:hint="eastAsia"/>
        </w:rPr>
        <w:t>第六部分</w:t>
      </w:r>
      <w:r>
        <w:t xml:space="preserve">  </w:t>
      </w:r>
      <w:r>
        <w:rPr>
          <w:rFonts w:hint="eastAsia"/>
        </w:rPr>
        <w:t>基金的募集</w:t>
      </w:r>
      <w:bookmarkEnd w:id="41"/>
      <w:bookmarkEnd w:id="42"/>
    </w:p>
    <w:p w14:paraId="69C8D1BE">
      <w:pPr>
        <w:widowControl/>
        <w:ind w:firstLine="480"/>
      </w:pPr>
      <w:r>
        <w:rPr>
          <w:rFonts w:hint="eastAsia"/>
        </w:rPr>
        <w:t>本基金由基金管理人依照《基金法》、《运作办法》、《销售办法》、《流动性风险管理规定》、基金合同及其他有关规定募集，募集申请经中国证监会20</w:t>
      </w:r>
      <w:r>
        <w:t>25年12月22日证监许可【</w:t>
      </w:r>
      <w:r>
        <w:rPr>
          <w:rFonts w:hint="eastAsia"/>
        </w:rPr>
        <w:t>20</w:t>
      </w:r>
      <w:r>
        <w:t>25】2883号文注册。</w:t>
      </w:r>
    </w:p>
    <w:p w14:paraId="3A954D76">
      <w:pPr>
        <w:widowControl/>
        <w:ind w:firstLine="480"/>
      </w:pPr>
      <w:r>
        <w:rPr>
          <w:rFonts w:hint="eastAsia"/>
        </w:rPr>
        <w:t>本基金的类别为债券型</w:t>
      </w:r>
      <w:r>
        <w:rPr>
          <w:rFonts w:hint="eastAsia"/>
          <w:bCs/>
        </w:rPr>
        <w:t>证券投资基金</w:t>
      </w:r>
      <w:r>
        <w:rPr>
          <w:rFonts w:hint="eastAsia"/>
        </w:rPr>
        <w:t>。</w:t>
      </w:r>
    </w:p>
    <w:p w14:paraId="72FBAB0B">
      <w:pPr>
        <w:widowControl/>
        <w:ind w:firstLine="480"/>
      </w:pPr>
      <w:r>
        <w:rPr>
          <w:rFonts w:hint="eastAsia"/>
        </w:rPr>
        <w:t>本基金的运作方式为</w:t>
      </w:r>
      <w:r>
        <w:rPr>
          <w:bCs/>
        </w:rPr>
        <w:t>契约型开</w:t>
      </w:r>
      <w:r>
        <w:rPr>
          <w:rFonts w:hint="eastAsia"/>
          <w:bCs/>
        </w:rPr>
        <w:t>放</w:t>
      </w:r>
      <w:r>
        <w:rPr>
          <w:bCs/>
        </w:rPr>
        <w:t>式</w:t>
      </w:r>
      <w:r>
        <w:rPr>
          <w:rFonts w:hint="eastAsia"/>
        </w:rPr>
        <w:t>。</w:t>
      </w:r>
    </w:p>
    <w:p w14:paraId="3711D1F2">
      <w:pPr>
        <w:widowControl/>
        <w:ind w:firstLine="480"/>
      </w:pPr>
      <w:r>
        <w:t>基金存续期限为不定期。</w:t>
      </w:r>
    </w:p>
    <w:p w14:paraId="29C4F7CC">
      <w:pPr>
        <w:widowControl/>
        <w:ind w:firstLine="482"/>
        <w:rPr>
          <w:b/>
          <w:bCs/>
        </w:rPr>
      </w:pPr>
      <w:r>
        <w:rPr>
          <w:rFonts w:hint="eastAsia"/>
          <w:b/>
          <w:bCs/>
        </w:rPr>
        <w:t>一、</w:t>
      </w:r>
      <w:r>
        <w:rPr>
          <w:b/>
          <w:bCs/>
        </w:rPr>
        <w:t>募集期</w:t>
      </w:r>
    </w:p>
    <w:p w14:paraId="75573E43">
      <w:pPr>
        <w:widowControl/>
        <w:ind w:firstLine="480"/>
        <w:rPr>
          <w:bCs/>
        </w:rPr>
      </w:pPr>
      <w:r>
        <w:rPr>
          <w:bCs/>
        </w:rPr>
        <w:t>自基金份额发售之日起最长不得超过</w:t>
      </w:r>
      <w:r>
        <w:rPr>
          <w:rFonts w:hint="eastAsia"/>
          <w:bCs/>
        </w:rPr>
        <w:t>3</w:t>
      </w:r>
      <w:r>
        <w:rPr>
          <w:bCs/>
        </w:rPr>
        <w:t>个月，具体发售时间见基金份额发售公告。</w:t>
      </w:r>
    </w:p>
    <w:p w14:paraId="0FF97923">
      <w:pPr>
        <w:widowControl/>
        <w:ind w:firstLine="480"/>
      </w:pPr>
      <w:r>
        <w:rPr>
          <w:rFonts w:hint="eastAsia"/>
        </w:rPr>
        <w:t>基金管理人可根据基金销售情况在募集期限内适当延长或缩短基金发售时间，并及时公告。</w:t>
      </w:r>
    </w:p>
    <w:p w14:paraId="672BADFC">
      <w:pPr>
        <w:widowControl/>
        <w:ind w:firstLine="482"/>
        <w:rPr>
          <w:b/>
          <w:bCs/>
        </w:rPr>
      </w:pPr>
      <w:r>
        <w:rPr>
          <w:rFonts w:hint="eastAsia"/>
          <w:b/>
          <w:bCs/>
        </w:rPr>
        <w:t>二、</w:t>
      </w:r>
      <w:r>
        <w:rPr>
          <w:b/>
          <w:bCs/>
        </w:rPr>
        <w:t>发售对象</w:t>
      </w:r>
    </w:p>
    <w:p w14:paraId="21FF54EC">
      <w:pPr>
        <w:widowControl/>
        <w:ind w:firstLine="480"/>
        <w:rPr>
          <w:bCs/>
        </w:rPr>
      </w:pPr>
      <w:r>
        <w:rPr>
          <w:rFonts w:hint="eastAsia"/>
          <w:bCs/>
        </w:rPr>
        <w:t>符合法律法规规定的可投资于证券投资基金的个人投资者、机构投资者、合格境外投资者以及法律法规或中国证监会允许购买证券投资基金的其他投资人。</w:t>
      </w:r>
    </w:p>
    <w:p w14:paraId="1F571037">
      <w:pPr>
        <w:widowControl/>
        <w:ind w:firstLine="482"/>
        <w:rPr>
          <w:b/>
          <w:bCs/>
          <w:lang w:val="zh-CN"/>
        </w:rPr>
      </w:pPr>
      <w:r>
        <w:rPr>
          <w:rFonts w:hint="eastAsia"/>
          <w:b/>
          <w:bCs/>
        </w:rPr>
        <w:t>三、</w:t>
      </w:r>
      <w:r>
        <w:rPr>
          <w:b/>
          <w:bCs/>
        </w:rPr>
        <w:t>基金的最低募集份额总额</w:t>
      </w:r>
      <w:r>
        <w:rPr>
          <w:rFonts w:hint="eastAsia"/>
          <w:b/>
          <w:bCs/>
        </w:rPr>
        <w:t>和募集金额</w:t>
      </w:r>
    </w:p>
    <w:p w14:paraId="21C61817">
      <w:pPr>
        <w:widowControl/>
        <w:ind w:firstLine="480"/>
        <w:rPr>
          <w:bCs/>
        </w:rPr>
      </w:pPr>
      <w:r>
        <w:rPr>
          <w:bCs/>
        </w:rPr>
        <w:t>本基金的最低募集份额总额为2亿份</w:t>
      </w:r>
      <w:r>
        <w:rPr>
          <w:rFonts w:hint="eastAsia"/>
          <w:bCs/>
        </w:rPr>
        <w:t>，基金募集金额不少于2亿元人民币。</w:t>
      </w:r>
    </w:p>
    <w:p w14:paraId="6D8C27CD">
      <w:pPr>
        <w:widowControl/>
        <w:ind w:firstLine="482"/>
        <w:rPr>
          <w:b/>
          <w:bCs/>
        </w:rPr>
      </w:pPr>
      <w:r>
        <w:rPr>
          <w:rFonts w:hint="eastAsia"/>
          <w:b/>
          <w:bCs/>
        </w:rPr>
        <w:t>四、</w:t>
      </w:r>
      <w:r>
        <w:rPr>
          <w:b/>
          <w:bCs/>
        </w:rPr>
        <w:t>发售方式</w:t>
      </w:r>
    </w:p>
    <w:p w14:paraId="1C35ECE2">
      <w:pPr>
        <w:widowControl/>
        <w:ind w:firstLine="480"/>
        <w:rPr>
          <w:bCs/>
        </w:rPr>
      </w:pPr>
      <w:r>
        <w:rPr>
          <w:bCs/>
        </w:rPr>
        <w:t>通过各销售机构的基金销售网点公开发售，各销售机构的具体名单见</w:t>
      </w:r>
      <w:r>
        <w:rPr>
          <w:rFonts w:hint="eastAsia"/>
          <w:bCs/>
        </w:rPr>
        <w:t>基金份额发售公告及基金管理人网站</w:t>
      </w:r>
      <w:r>
        <w:rPr>
          <w:bCs/>
        </w:rPr>
        <w:t>。</w:t>
      </w:r>
    </w:p>
    <w:p w14:paraId="709A4504">
      <w:pPr>
        <w:widowControl/>
        <w:ind w:firstLine="482"/>
        <w:rPr>
          <w:b/>
          <w:bCs/>
        </w:rPr>
      </w:pPr>
      <w:r>
        <w:rPr>
          <w:rFonts w:hint="eastAsia"/>
          <w:b/>
          <w:bCs/>
        </w:rPr>
        <w:t>五、基金份额类别设置</w:t>
      </w:r>
    </w:p>
    <w:p w14:paraId="29A43615">
      <w:pPr>
        <w:widowControl/>
        <w:ind w:firstLine="480"/>
        <w:rPr>
          <w:bCs/>
          <w:szCs w:val="20"/>
        </w:rPr>
      </w:pPr>
      <w:r>
        <w:rPr>
          <w:rFonts w:hint="eastAsia"/>
          <w:bCs/>
          <w:szCs w:val="20"/>
        </w:rPr>
        <w:t>本基金根据认购费用、申购费用、销售服务费收取方式的不同，将基金份额分为不同的类别。在投资者认购/申购时收取认购/申购费用，但不再从本类别基金资产中计提销售服务费的基金份额，称为A类基金份额。在投资者认购/申购时不收取认购/申购费用，但从本类别基金资产中计提销售服务费的基金份额，称为C类基金份额。</w:t>
      </w:r>
    </w:p>
    <w:p w14:paraId="412257CD">
      <w:pPr>
        <w:widowControl/>
        <w:ind w:firstLine="480"/>
        <w:rPr>
          <w:bCs/>
          <w:szCs w:val="20"/>
        </w:rPr>
      </w:pPr>
      <w:r>
        <w:rPr>
          <w:rFonts w:hint="eastAsia"/>
          <w:bCs/>
          <w:szCs w:val="20"/>
        </w:rPr>
        <w:t>本基金A类、C类基金份额分别设置代码。由于基金费用的不同，本基金A类、C类基金份额将分别计算和公告基金份额净值，计算公式为计算日各类别基金资产净值除以计算日发售在外的该类别基金份额总数。</w:t>
      </w:r>
    </w:p>
    <w:p w14:paraId="16BF5502">
      <w:pPr>
        <w:widowControl/>
        <w:ind w:firstLine="480"/>
        <w:rPr>
          <w:bCs/>
          <w:szCs w:val="20"/>
        </w:rPr>
      </w:pPr>
      <w:r>
        <w:rPr>
          <w:rFonts w:hint="eastAsia"/>
          <w:bCs/>
          <w:szCs w:val="20"/>
        </w:rPr>
        <w:t>投资者可自行选择认购/申购的基金份额类别。</w:t>
      </w:r>
    </w:p>
    <w:p w14:paraId="3DDA4A01">
      <w:pPr>
        <w:widowControl/>
        <w:ind w:firstLine="480"/>
        <w:rPr>
          <w:bCs/>
        </w:rPr>
      </w:pPr>
      <w:r>
        <w:rPr>
          <w:rFonts w:hint="eastAsia"/>
          <w:bCs/>
          <w:szCs w:val="20"/>
        </w:rPr>
        <w:t>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p w14:paraId="585DB84A">
      <w:pPr>
        <w:widowControl/>
        <w:ind w:firstLine="482"/>
        <w:rPr>
          <w:b/>
        </w:rPr>
      </w:pPr>
      <w:r>
        <w:rPr>
          <w:rFonts w:hint="eastAsia"/>
          <w:b/>
        </w:rPr>
        <w:t>六、认购原则</w:t>
      </w:r>
    </w:p>
    <w:p w14:paraId="022D78C0">
      <w:pPr>
        <w:widowControl/>
        <w:ind w:firstLine="480"/>
        <w:rPr>
          <w:bCs/>
        </w:rPr>
      </w:pPr>
      <w:r>
        <w:rPr>
          <w:bCs/>
        </w:rPr>
        <w:t>1</w:t>
      </w:r>
      <w:r>
        <w:rPr>
          <w:rFonts w:hint="eastAsia"/>
          <w:bCs/>
        </w:rPr>
        <w:t>、</w:t>
      </w:r>
      <w:r>
        <w:rPr>
          <w:bCs/>
        </w:rPr>
        <w:t>投资者认购时，需按销售机构规定的方式全额缴款。</w:t>
      </w:r>
    </w:p>
    <w:p w14:paraId="53417976">
      <w:pPr>
        <w:widowControl/>
        <w:ind w:firstLine="480"/>
      </w:pPr>
      <w:r>
        <w:rPr>
          <w:rFonts w:hint="eastAsia"/>
        </w:rPr>
        <w:t>2、投资者在募集期内可以多次认购基金份额，A类基金份额的认购费用按每笔A类基金份额认购申请单独计算，但已受理的认购申请不允许撤销。</w:t>
      </w:r>
    </w:p>
    <w:p w14:paraId="49BDD335">
      <w:pPr>
        <w:widowControl/>
        <w:ind w:firstLine="480"/>
        <w:rPr>
          <w:bCs/>
        </w:rPr>
      </w:pPr>
      <w:r>
        <w:rPr>
          <w:rFonts w:hint="eastAsia"/>
        </w:rPr>
        <w:t>3、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5D46A4F4">
      <w:pPr>
        <w:widowControl/>
        <w:ind w:firstLine="482"/>
        <w:rPr>
          <w:b/>
        </w:rPr>
      </w:pPr>
      <w:r>
        <w:rPr>
          <w:rFonts w:hint="eastAsia"/>
          <w:b/>
        </w:rPr>
        <w:t>七、认购费用</w:t>
      </w:r>
    </w:p>
    <w:p w14:paraId="064A0E5A">
      <w:pPr>
        <w:widowControl/>
        <w:ind w:firstLine="480"/>
      </w:pPr>
      <w:r>
        <w:rPr>
          <w:rFonts w:hint="eastAsia"/>
        </w:rPr>
        <w:t>认购本基金A类基金份额收取认购费用。认购C类基金份额不收取认购费用，而是从本类别基金资产中计提销售服务费。募集期投资者可以多次认购基金份额，A类基金份额的认购费用按每笔A类基金份额认购申请单独计算。各销售机构销售的份额类别以其业务规定为准，敬请投资者留意。</w:t>
      </w:r>
    </w:p>
    <w:p w14:paraId="1E7D3599">
      <w:pPr>
        <w:widowControl/>
        <w:ind w:firstLine="480"/>
      </w:pPr>
      <w:r>
        <w:rPr>
          <w:rFonts w:hint="eastAsia"/>
        </w:rPr>
        <w:t>本基金对通过直销中心认购本基金A类基金份额的养老金客户与除此之外的其他投资者实施差别的认购费率。</w:t>
      </w:r>
    </w:p>
    <w:p w14:paraId="742C8530">
      <w:pPr>
        <w:widowControl/>
        <w:ind w:firstLine="480"/>
      </w:pPr>
      <w:r>
        <w:rPr>
          <w:rFonts w:hint="eastAsia"/>
        </w:rPr>
        <w:t>养老金客户指基本养老基金与依法成立的养老计划筹集的资金及其投资运营收益形成的补充养老基金等，具体包括：</w:t>
      </w:r>
    </w:p>
    <w:p w14:paraId="21AE92D6">
      <w:pPr>
        <w:widowControl/>
        <w:ind w:firstLine="480"/>
      </w:pPr>
      <w:r>
        <w:rPr>
          <w:rFonts w:hint="eastAsia"/>
        </w:rPr>
        <w:t>a、全国社会保障基金；</w:t>
      </w:r>
    </w:p>
    <w:p w14:paraId="474F0673">
      <w:pPr>
        <w:widowControl/>
        <w:ind w:firstLine="480"/>
      </w:pPr>
      <w:r>
        <w:rPr>
          <w:rFonts w:hint="eastAsia"/>
        </w:rPr>
        <w:t>b、可以投资基金的地方社会保障基金；</w:t>
      </w:r>
    </w:p>
    <w:p w14:paraId="40B0931D">
      <w:pPr>
        <w:widowControl/>
        <w:ind w:firstLine="480"/>
      </w:pPr>
      <w:r>
        <w:rPr>
          <w:rFonts w:hint="eastAsia"/>
        </w:rPr>
        <w:t>c、企业年金单一计划以及集合计划；</w:t>
      </w:r>
    </w:p>
    <w:p w14:paraId="63F1B765">
      <w:pPr>
        <w:widowControl/>
        <w:ind w:firstLine="480"/>
      </w:pPr>
      <w:r>
        <w:rPr>
          <w:rFonts w:hint="eastAsia"/>
        </w:rPr>
        <w:t>d、企业年金理事会委托的特定客户资产管理计划；</w:t>
      </w:r>
    </w:p>
    <w:p w14:paraId="0EB9DBF7">
      <w:pPr>
        <w:widowControl/>
        <w:ind w:firstLine="480"/>
      </w:pPr>
      <w:r>
        <w:rPr>
          <w:rFonts w:hint="eastAsia"/>
        </w:rPr>
        <w:t>e、企业年金养老金产品；</w:t>
      </w:r>
    </w:p>
    <w:p w14:paraId="40FB7210">
      <w:pPr>
        <w:widowControl/>
        <w:ind w:firstLine="480"/>
      </w:pPr>
      <w:r>
        <w:rPr>
          <w:rFonts w:hint="eastAsia"/>
        </w:rPr>
        <w:t>f、个人税收递延型商业养老保险等产品；</w:t>
      </w:r>
    </w:p>
    <w:p w14:paraId="53CDBB63">
      <w:pPr>
        <w:widowControl/>
        <w:ind w:firstLine="480"/>
      </w:pPr>
      <w:r>
        <w:rPr>
          <w:rFonts w:hint="eastAsia"/>
        </w:rPr>
        <w:t>g、养老目标基金；</w:t>
      </w:r>
    </w:p>
    <w:p w14:paraId="75EF96D9">
      <w:pPr>
        <w:widowControl/>
        <w:ind w:firstLine="480"/>
      </w:pPr>
      <w:r>
        <w:rPr>
          <w:rFonts w:hint="eastAsia"/>
        </w:rPr>
        <w:t>h、职业年金计划。</w:t>
      </w:r>
    </w:p>
    <w:p w14:paraId="78E5613C">
      <w:pPr>
        <w:widowControl/>
        <w:ind w:firstLine="480"/>
      </w:pPr>
      <w:r>
        <w:rPr>
          <w:rFonts w:hint="eastAsia"/>
        </w:rPr>
        <w:t>如将来出现经养老基金监管部门认可的新的养老基金类型，本公司将发布临时公告将其纳入养老金客户范围。非养老金客户指除养老金客户外的其他投资者。</w:t>
      </w:r>
    </w:p>
    <w:p w14:paraId="21737332">
      <w:pPr>
        <w:widowControl/>
        <w:ind w:firstLine="480"/>
      </w:pPr>
      <w:r>
        <w:rPr>
          <w:rFonts w:hint="eastAsia"/>
        </w:rPr>
        <w:t>本基金A类基金份额的认购费率如下：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2642"/>
        <w:gridCol w:w="2885"/>
      </w:tblGrid>
      <w:tr w14:paraId="1891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14:paraId="0627BF12">
            <w:pPr>
              <w:widowControl/>
              <w:ind w:firstLine="0" w:firstLineChars="0"/>
              <w:jc w:val="center"/>
              <w:rPr>
                <w:b/>
              </w:rPr>
            </w:pPr>
            <w:r>
              <w:rPr>
                <w:rFonts w:hint="eastAsia"/>
                <w:b/>
              </w:rPr>
              <w:t>认购金额（M，含认购费）</w:t>
            </w:r>
          </w:p>
        </w:tc>
        <w:tc>
          <w:tcPr>
            <w:tcW w:w="2642" w:type="dxa"/>
          </w:tcPr>
          <w:p w14:paraId="594A5719">
            <w:pPr>
              <w:widowControl/>
              <w:ind w:firstLine="0" w:firstLineChars="0"/>
              <w:jc w:val="center"/>
              <w:rPr>
                <w:b/>
              </w:rPr>
            </w:pPr>
            <w:r>
              <w:rPr>
                <w:b/>
              </w:rPr>
              <w:t>认购费率</w:t>
            </w:r>
          </w:p>
          <w:p w14:paraId="7AC43C22">
            <w:pPr>
              <w:widowControl/>
              <w:ind w:firstLine="0" w:firstLineChars="0"/>
              <w:jc w:val="center"/>
              <w:rPr>
                <w:b/>
              </w:rPr>
            </w:pPr>
            <w:r>
              <w:rPr>
                <w:rFonts w:hint="eastAsia"/>
                <w:b/>
              </w:rPr>
              <w:t>（通过直销中心认购的养老金客户）</w:t>
            </w:r>
          </w:p>
        </w:tc>
        <w:tc>
          <w:tcPr>
            <w:tcW w:w="2885" w:type="dxa"/>
            <w:vAlign w:val="center"/>
          </w:tcPr>
          <w:p w14:paraId="3DFE8321">
            <w:pPr>
              <w:widowControl/>
              <w:ind w:firstLine="0" w:firstLineChars="0"/>
              <w:jc w:val="center"/>
              <w:rPr>
                <w:b/>
              </w:rPr>
            </w:pPr>
            <w:r>
              <w:rPr>
                <w:rFonts w:hint="eastAsia"/>
                <w:b/>
              </w:rPr>
              <w:t>认购费率</w:t>
            </w:r>
          </w:p>
          <w:p w14:paraId="38663EBF">
            <w:pPr>
              <w:widowControl/>
              <w:ind w:firstLine="0" w:firstLineChars="0"/>
              <w:jc w:val="center"/>
              <w:rPr>
                <w:b/>
              </w:rPr>
            </w:pPr>
            <w:r>
              <w:rPr>
                <w:rFonts w:hint="eastAsia"/>
                <w:b/>
              </w:rPr>
              <w:t>（其他投资者）</w:t>
            </w:r>
          </w:p>
        </w:tc>
      </w:tr>
      <w:tr w14:paraId="3BAC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14:paraId="558F199B">
            <w:pPr>
              <w:widowControl/>
              <w:ind w:firstLine="0" w:firstLineChars="0"/>
              <w:jc w:val="center"/>
            </w:pPr>
            <w:r>
              <w:rPr>
                <w:rFonts w:hint="eastAsia"/>
              </w:rPr>
              <w:t>M</w:t>
            </w:r>
            <w:r>
              <w:rPr>
                <w:rFonts w:hint="eastAsia" w:ascii="宋体" w:hAnsi="宋体"/>
              </w:rPr>
              <w:t>＜</w:t>
            </w:r>
            <w:r>
              <w:t>100</w:t>
            </w:r>
            <w:r>
              <w:rPr>
                <w:rFonts w:hint="eastAsia"/>
              </w:rPr>
              <w:t>万元</w:t>
            </w:r>
          </w:p>
        </w:tc>
        <w:tc>
          <w:tcPr>
            <w:tcW w:w="2642" w:type="dxa"/>
          </w:tcPr>
          <w:p w14:paraId="1FEBB0E0">
            <w:pPr>
              <w:widowControl/>
              <w:ind w:firstLine="0" w:firstLineChars="0"/>
              <w:jc w:val="center"/>
            </w:pPr>
            <w:r>
              <w:t>0.06%</w:t>
            </w:r>
          </w:p>
        </w:tc>
        <w:tc>
          <w:tcPr>
            <w:tcW w:w="2885" w:type="dxa"/>
            <w:vAlign w:val="center"/>
          </w:tcPr>
          <w:p w14:paraId="42771DF0">
            <w:pPr>
              <w:widowControl/>
              <w:ind w:firstLine="0" w:firstLineChars="0"/>
              <w:jc w:val="center"/>
            </w:pPr>
            <w:r>
              <w:t>0.60</w:t>
            </w:r>
            <w:r>
              <w:rPr>
                <w:rFonts w:hint="eastAsia"/>
              </w:rPr>
              <w:t>%</w:t>
            </w:r>
          </w:p>
        </w:tc>
      </w:tr>
      <w:tr w14:paraId="7AB4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14:paraId="49AF987A">
            <w:pPr>
              <w:widowControl/>
              <w:ind w:firstLine="0" w:firstLineChars="0"/>
              <w:jc w:val="center"/>
            </w:pPr>
            <w:r>
              <w:t>100万元</w:t>
            </w:r>
            <w:r>
              <w:rPr>
                <w:rFonts w:hint="eastAsia"/>
              </w:rPr>
              <w:t>≤M</w:t>
            </w:r>
            <w:r>
              <w:rPr>
                <w:rFonts w:hint="eastAsia" w:ascii="宋体" w:hAnsi="宋体"/>
              </w:rPr>
              <w:t>＜</w:t>
            </w:r>
            <w:r>
              <w:t>500</w:t>
            </w:r>
            <w:r>
              <w:rPr>
                <w:rFonts w:hint="eastAsia"/>
              </w:rPr>
              <w:t>万元</w:t>
            </w:r>
          </w:p>
        </w:tc>
        <w:tc>
          <w:tcPr>
            <w:tcW w:w="2642" w:type="dxa"/>
          </w:tcPr>
          <w:p w14:paraId="0DC55A3D">
            <w:pPr>
              <w:widowControl/>
              <w:ind w:firstLine="0" w:firstLineChars="0"/>
              <w:jc w:val="center"/>
            </w:pPr>
            <w:r>
              <w:t>0.04%</w:t>
            </w:r>
          </w:p>
        </w:tc>
        <w:tc>
          <w:tcPr>
            <w:tcW w:w="2885" w:type="dxa"/>
            <w:vAlign w:val="center"/>
          </w:tcPr>
          <w:p w14:paraId="7B1A6DFF">
            <w:pPr>
              <w:widowControl/>
              <w:ind w:firstLine="0" w:firstLineChars="0"/>
              <w:jc w:val="center"/>
            </w:pPr>
            <w:r>
              <w:rPr>
                <w:rFonts w:hint="eastAsia"/>
              </w:rPr>
              <w:t>0</w:t>
            </w:r>
            <w:r>
              <w:t>.40</w:t>
            </w:r>
            <w:r>
              <w:rPr>
                <w:rFonts w:hint="eastAsia"/>
              </w:rPr>
              <w:t>%</w:t>
            </w:r>
          </w:p>
        </w:tc>
      </w:tr>
      <w:tr w14:paraId="0E8C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vAlign w:val="center"/>
          </w:tcPr>
          <w:p w14:paraId="1D8A5C02">
            <w:pPr>
              <w:widowControl/>
              <w:ind w:firstLine="0" w:firstLineChars="0"/>
              <w:jc w:val="center"/>
            </w:pPr>
            <w:r>
              <w:rPr>
                <w:rFonts w:hint="eastAsia"/>
              </w:rPr>
              <w:t>M≥</w:t>
            </w:r>
            <w:r>
              <w:t>500万元</w:t>
            </w:r>
          </w:p>
        </w:tc>
        <w:tc>
          <w:tcPr>
            <w:tcW w:w="5527" w:type="dxa"/>
            <w:gridSpan w:val="2"/>
          </w:tcPr>
          <w:p w14:paraId="752F2DA2">
            <w:pPr>
              <w:widowControl/>
              <w:ind w:firstLine="0" w:firstLineChars="0"/>
              <w:jc w:val="center"/>
            </w:pPr>
            <w:r>
              <w:rPr>
                <w:rFonts w:hint="eastAsia"/>
              </w:rPr>
              <w:t>1000元/笔</w:t>
            </w:r>
          </w:p>
        </w:tc>
      </w:tr>
    </w:tbl>
    <w:p w14:paraId="540BC689">
      <w:pPr>
        <w:autoSpaceDE w:val="0"/>
        <w:autoSpaceDN w:val="0"/>
        <w:adjustRightInd w:val="0"/>
        <w:ind w:firstLine="480" w:firstLineChars="0"/>
        <w:rPr>
          <w:bCs/>
          <w:kern w:val="0"/>
        </w:rPr>
      </w:pPr>
      <w:r>
        <w:rPr>
          <w:rFonts w:hint="eastAsia"/>
          <w:kern w:val="0"/>
        </w:rPr>
        <w:t>A类基金份额的</w:t>
      </w:r>
      <w:r>
        <w:rPr>
          <w:kern w:val="0"/>
        </w:rPr>
        <w:t>认购费用用于本基金的市场推广、销售、注册登记等募集期间发生的各项费用，不列入基金资产。</w:t>
      </w:r>
    </w:p>
    <w:p w14:paraId="332BF2FF">
      <w:pPr>
        <w:widowControl/>
        <w:ind w:firstLine="482"/>
        <w:rPr>
          <w:b/>
        </w:rPr>
      </w:pPr>
      <w:r>
        <w:rPr>
          <w:rFonts w:hint="eastAsia"/>
          <w:b/>
        </w:rPr>
        <w:t>八、</w:t>
      </w:r>
      <w:r>
        <w:rPr>
          <w:b/>
        </w:rPr>
        <w:t>认购期认购资金及利息的处理方式</w:t>
      </w:r>
    </w:p>
    <w:p w14:paraId="2AD8562C">
      <w:pPr>
        <w:ind w:firstLine="480"/>
      </w:pPr>
      <w:r>
        <w:t>基金管理人应将基金募集期间募集的资金存入专门账户，在基金募集行为结束前，任何人不得动用。</w:t>
      </w:r>
      <w:r>
        <w:rPr>
          <w:rFonts w:hint="eastAsia"/>
        </w:rPr>
        <w:t>有效认购款项在募集期间产生的利息将折算为相应类别的基金份额归基金份额持有人所有，其中利息转份额的具体数额以登记机构的记录为准。</w:t>
      </w:r>
    </w:p>
    <w:p w14:paraId="0D7F8CB1">
      <w:pPr>
        <w:widowControl/>
        <w:ind w:firstLine="482"/>
        <w:rPr>
          <w:b/>
        </w:rPr>
      </w:pPr>
      <w:r>
        <w:rPr>
          <w:rFonts w:hint="eastAsia"/>
          <w:b/>
        </w:rPr>
        <w:t>九、</w:t>
      </w:r>
      <w:r>
        <w:rPr>
          <w:b/>
        </w:rPr>
        <w:t>基金认购份额的计算</w:t>
      </w:r>
    </w:p>
    <w:p w14:paraId="212828B2">
      <w:pPr>
        <w:ind w:firstLine="480"/>
      </w:pPr>
      <w:r>
        <w:rPr>
          <w:rFonts w:hint="eastAsia"/>
        </w:rPr>
        <w:t>1、本基金基金份额发售面值为人民币1.00元。认购本基金A类基金份额收取认购费用，认购C类基金份额不收取认购费用。</w:t>
      </w:r>
    </w:p>
    <w:p w14:paraId="449BE674">
      <w:pPr>
        <w:ind w:firstLine="480"/>
      </w:pPr>
      <w:r>
        <w:rPr>
          <w:rFonts w:hint="eastAsia"/>
        </w:rPr>
        <w:t>2、认购本基金A类基金份额的计算方式</w:t>
      </w:r>
    </w:p>
    <w:p w14:paraId="0EA63DCD">
      <w:pPr>
        <w:ind w:firstLine="480"/>
      </w:pPr>
      <w:r>
        <w:rPr>
          <w:rFonts w:hint="eastAsia"/>
        </w:rPr>
        <w:t>基金认购采用金额认购的方式。基金份额的认购金额包括认购费用和净认购金额。</w:t>
      </w:r>
    </w:p>
    <w:p w14:paraId="32C3E88E">
      <w:pPr>
        <w:ind w:firstLine="480"/>
      </w:pPr>
      <w:r>
        <w:rPr>
          <w:rFonts w:hint="eastAsia"/>
        </w:rPr>
        <w:t>当认购费用适用比例费率时，认购份额的计算方法如下：</w:t>
      </w:r>
    </w:p>
    <w:p w14:paraId="60E45511">
      <w:pPr>
        <w:ind w:firstLine="480"/>
      </w:pPr>
      <w:r>
        <w:rPr>
          <w:rFonts w:hint="eastAsia"/>
        </w:rPr>
        <w:t>净认购金额＝认购金额/（1+认购费率）</w:t>
      </w:r>
    </w:p>
    <w:p w14:paraId="50821647">
      <w:pPr>
        <w:ind w:firstLine="480"/>
      </w:pPr>
      <w:r>
        <w:rPr>
          <w:rFonts w:hint="eastAsia"/>
        </w:rPr>
        <w:t>认购费用＝认购金额－净认购金额</w:t>
      </w:r>
    </w:p>
    <w:p w14:paraId="551F76D1">
      <w:pPr>
        <w:ind w:firstLine="480"/>
      </w:pPr>
      <w:r>
        <w:rPr>
          <w:rFonts w:hint="eastAsia"/>
        </w:rPr>
        <w:t>认购份额＝（净认购金额+认购利息）/基金份额发售面值</w:t>
      </w:r>
    </w:p>
    <w:p w14:paraId="76729583">
      <w:pPr>
        <w:ind w:firstLine="480"/>
      </w:pPr>
      <w:r>
        <w:rPr>
          <w:rFonts w:hint="eastAsia"/>
        </w:rPr>
        <w:t>当认购费用为固定金额时，认购份额的计算方法如下：</w:t>
      </w:r>
    </w:p>
    <w:p w14:paraId="4E2D4070">
      <w:pPr>
        <w:ind w:firstLine="480"/>
      </w:pPr>
      <w:r>
        <w:rPr>
          <w:rFonts w:hint="eastAsia"/>
        </w:rPr>
        <w:t>认购费用＝固定金额</w:t>
      </w:r>
    </w:p>
    <w:p w14:paraId="750924F1">
      <w:pPr>
        <w:ind w:firstLine="480"/>
      </w:pPr>
      <w:r>
        <w:rPr>
          <w:rFonts w:hint="eastAsia"/>
        </w:rPr>
        <w:t>净认购金额＝认购金额－认购费用</w:t>
      </w:r>
    </w:p>
    <w:p w14:paraId="5E9B3139">
      <w:pPr>
        <w:ind w:firstLine="480"/>
      </w:pPr>
      <w:r>
        <w:rPr>
          <w:rFonts w:hint="eastAsia"/>
        </w:rPr>
        <w:t>认购份额＝（净认购金额+认购利息）/基金份额发售面值</w:t>
      </w:r>
    </w:p>
    <w:p w14:paraId="7065AD23">
      <w:pPr>
        <w:ind w:firstLine="480"/>
      </w:pPr>
      <w:r>
        <w:rPr>
          <w:rFonts w:hint="eastAsia"/>
        </w:rPr>
        <w:t>认购份额的计算保留到小数点后2位，小数点2位以后的部分四舍五入，由此误差产生的收益或损失由基金财产承担。</w:t>
      </w:r>
    </w:p>
    <w:p w14:paraId="2BF6DE00">
      <w:pPr>
        <w:ind w:firstLine="480"/>
      </w:pPr>
      <w:r>
        <w:rPr>
          <w:rFonts w:hint="eastAsia"/>
        </w:rPr>
        <w:t>例1：某投资者（非养老金客户）投资100,000元认购本基金A类基金份额，则对应的认购费率为0.</w:t>
      </w:r>
      <w:r>
        <w:t>6</w:t>
      </w:r>
      <w:r>
        <w:rPr>
          <w:rFonts w:hint="eastAsia"/>
        </w:rPr>
        <w:t>0%，假定募集期产生的利息为55.00元，则可认购A类基金份额为：</w:t>
      </w:r>
    </w:p>
    <w:p w14:paraId="5B763327">
      <w:pPr>
        <w:ind w:firstLine="480"/>
      </w:pPr>
      <w:r>
        <w:rPr>
          <w:rFonts w:hint="eastAsia"/>
        </w:rPr>
        <w:t>净认购金额＝100,000/（1＋0.</w:t>
      </w:r>
      <w:r>
        <w:t>6</w:t>
      </w:r>
      <w:r>
        <w:rPr>
          <w:rFonts w:hint="eastAsia"/>
        </w:rPr>
        <w:t>0%）＝</w:t>
      </w:r>
      <w:r>
        <w:t>99,403.58</w:t>
      </w:r>
      <w:r>
        <w:rPr>
          <w:rFonts w:hint="eastAsia"/>
        </w:rPr>
        <w:t>元</w:t>
      </w:r>
    </w:p>
    <w:p w14:paraId="6A4285A2">
      <w:pPr>
        <w:ind w:firstLine="480"/>
      </w:pPr>
      <w:r>
        <w:rPr>
          <w:rFonts w:hint="eastAsia"/>
        </w:rPr>
        <w:t>认购费用＝100,000-</w:t>
      </w:r>
      <w:r>
        <w:t>99,403.58</w:t>
      </w:r>
      <w:r>
        <w:rPr>
          <w:rFonts w:hint="eastAsia"/>
        </w:rPr>
        <w:t>＝</w:t>
      </w:r>
      <w:r>
        <w:t>596.42</w:t>
      </w:r>
      <w:r>
        <w:rPr>
          <w:rFonts w:hint="eastAsia"/>
        </w:rPr>
        <w:t>元</w:t>
      </w:r>
    </w:p>
    <w:p w14:paraId="51FB433E">
      <w:pPr>
        <w:ind w:firstLine="480"/>
      </w:pPr>
      <w:r>
        <w:rPr>
          <w:rFonts w:hint="eastAsia"/>
        </w:rPr>
        <w:t>认购份额＝（</w:t>
      </w:r>
      <w:r>
        <w:t>99,403.58</w:t>
      </w:r>
      <w:r>
        <w:rPr>
          <w:rFonts w:hint="eastAsia"/>
        </w:rPr>
        <w:t>＋55.00）/1.00＝</w:t>
      </w:r>
      <w:r>
        <w:t>99,458.58</w:t>
      </w:r>
      <w:r>
        <w:rPr>
          <w:rFonts w:hint="eastAsia"/>
        </w:rPr>
        <w:t>份</w:t>
      </w:r>
    </w:p>
    <w:p w14:paraId="7FEAA3AA">
      <w:pPr>
        <w:ind w:firstLine="480"/>
      </w:pPr>
      <w:r>
        <w:rPr>
          <w:rFonts w:hint="eastAsia"/>
        </w:rPr>
        <w:t>即：该投资者（非养老金客户）投资100,000元认购本基金A类基金份额，假定募集期产生的利息为55.00元，可得到</w:t>
      </w:r>
      <w:r>
        <w:t>99,458.58</w:t>
      </w:r>
      <w:r>
        <w:rPr>
          <w:rFonts w:hint="eastAsia"/>
        </w:rPr>
        <w:t>份A类基金份额。</w:t>
      </w:r>
    </w:p>
    <w:p w14:paraId="5875A9E3">
      <w:pPr>
        <w:ind w:firstLine="480"/>
      </w:pPr>
      <w:r>
        <w:rPr>
          <w:rFonts w:hint="eastAsia"/>
        </w:rPr>
        <w:t>例2：某投资者（养老金客户）投资2,000,000元通过基金管理人直销中心认购本基金A类基金份额，则对应的认购费率为0.0</w:t>
      </w:r>
      <w:r>
        <w:t>4</w:t>
      </w:r>
      <w:r>
        <w:rPr>
          <w:rFonts w:hint="eastAsia"/>
        </w:rPr>
        <w:t>%，假定募集期产生的利息为1,100.00元，则可认购A类基金份额为：</w:t>
      </w:r>
    </w:p>
    <w:p w14:paraId="6414DA07">
      <w:pPr>
        <w:ind w:firstLine="480"/>
      </w:pPr>
      <w:r>
        <w:rPr>
          <w:rFonts w:hint="eastAsia"/>
        </w:rPr>
        <w:t>净认购金额＝2,000,000/（1＋0.0</w:t>
      </w:r>
      <w:r>
        <w:t>4</w:t>
      </w:r>
      <w:r>
        <w:rPr>
          <w:rFonts w:hint="eastAsia"/>
        </w:rPr>
        <w:t>%）＝</w:t>
      </w:r>
      <w:r>
        <w:t>1,999,200.32</w:t>
      </w:r>
      <w:r>
        <w:rPr>
          <w:rFonts w:hint="eastAsia"/>
        </w:rPr>
        <w:t>元</w:t>
      </w:r>
    </w:p>
    <w:p w14:paraId="7307E595">
      <w:pPr>
        <w:ind w:firstLine="480"/>
      </w:pPr>
      <w:r>
        <w:rPr>
          <w:rFonts w:hint="eastAsia"/>
        </w:rPr>
        <w:t>认购费用＝2,000,000-</w:t>
      </w:r>
      <w:r>
        <w:t>1,999,200.32</w:t>
      </w:r>
      <w:r>
        <w:rPr>
          <w:rFonts w:hint="eastAsia"/>
        </w:rPr>
        <w:t>＝</w:t>
      </w:r>
      <w:r>
        <w:t>799.68</w:t>
      </w:r>
      <w:r>
        <w:rPr>
          <w:rFonts w:hint="eastAsia"/>
        </w:rPr>
        <w:t>元</w:t>
      </w:r>
    </w:p>
    <w:p w14:paraId="067493F6">
      <w:pPr>
        <w:ind w:firstLine="480"/>
      </w:pPr>
      <w:r>
        <w:rPr>
          <w:rFonts w:hint="eastAsia"/>
        </w:rPr>
        <w:t>认购份额＝（</w:t>
      </w:r>
      <w:r>
        <w:t>1,999,200.32</w:t>
      </w:r>
      <w:r>
        <w:rPr>
          <w:rFonts w:hint="eastAsia"/>
        </w:rPr>
        <w:t>＋1,100.00）/1.00＝</w:t>
      </w:r>
      <w:r>
        <w:t>2,000,300.32</w:t>
      </w:r>
      <w:r>
        <w:rPr>
          <w:rFonts w:hint="eastAsia"/>
        </w:rPr>
        <w:t>份</w:t>
      </w:r>
    </w:p>
    <w:p w14:paraId="566339E3">
      <w:pPr>
        <w:ind w:firstLine="480"/>
      </w:pPr>
      <w:r>
        <w:rPr>
          <w:rFonts w:hint="eastAsia"/>
        </w:rPr>
        <w:t>即：该投资者（养老金客户）投资2,000,000元通过基金管理人直销中心认购本基金A类基金份额，假定募集期产生的利息为1,100.00元，可得到</w:t>
      </w:r>
      <w:r>
        <w:t>2,000,300.32</w:t>
      </w:r>
      <w:r>
        <w:rPr>
          <w:rFonts w:hint="eastAsia"/>
        </w:rPr>
        <w:t>份A类基金份额。</w:t>
      </w:r>
    </w:p>
    <w:p w14:paraId="2C600364">
      <w:pPr>
        <w:ind w:firstLine="480"/>
      </w:pPr>
      <w:r>
        <w:rPr>
          <w:rFonts w:hint="eastAsia"/>
        </w:rPr>
        <w:t>3、认购本基金C类基金份额的计算方式</w:t>
      </w:r>
    </w:p>
    <w:p w14:paraId="7B5C4F30">
      <w:pPr>
        <w:ind w:firstLine="480"/>
      </w:pPr>
      <w:r>
        <w:rPr>
          <w:rFonts w:hint="eastAsia"/>
        </w:rPr>
        <w:t>C类基金份额不收取认购费，而是从本类别基金资产中计提销售服务费。</w:t>
      </w:r>
    </w:p>
    <w:p w14:paraId="4A2FA98F">
      <w:pPr>
        <w:ind w:firstLine="480"/>
      </w:pPr>
      <w:r>
        <w:rPr>
          <w:rFonts w:hint="eastAsia"/>
        </w:rPr>
        <w:t>认购份额＝（认购金额＋认购利息）/基金份额发售面值</w:t>
      </w:r>
    </w:p>
    <w:p w14:paraId="0857B434">
      <w:pPr>
        <w:ind w:firstLine="480"/>
      </w:pPr>
      <w:r>
        <w:rPr>
          <w:rFonts w:hint="eastAsia"/>
        </w:rPr>
        <w:t>认购份额的计算保留到小数点后2位，小数点2位以后的部分四舍五入，由此误差产生的收益或损失由基金财产承担。</w:t>
      </w:r>
    </w:p>
    <w:p w14:paraId="0BD4504E">
      <w:pPr>
        <w:ind w:firstLine="480"/>
      </w:pPr>
      <w:r>
        <w:rPr>
          <w:rFonts w:hint="eastAsia"/>
        </w:rPr>
        <w:t>例3：某投资者投资100,000元认购本基金C类基金份额，假定募集期产生的利息为55.00元，则可认购基金份额为：</w:t>
      </w:r>
    </w:p>
    <w:p w14:paraId="6BE46F72">
      <w:pPr>
        <w:ind w:firstLine="480"/>
      </w:pPr>
      <w:r>
        <w:rPr>
          <w:rFonts w:hint="eastAsia"/>
        </w:rPr>
        <w:t>认购份额＝（100,000＋55.00）/1.00=100,055.00份</w:t>
      </w:r>
    </w:p>
    <w:p w14:paraId="3F79B976">
      <w:pPr>
        <w:ind w:firstLine="480"/>
        <w:rPr>
          <w:kern w:val="0"/>
          <w:szCs w:val="20"/>
        </w:rPr>
      </w:pPr>
      <w:r>
        <w:rPr>
          <w:rFonts w:hint="eastAsia"/>
        </w:rPr>
        <w:t>即：该投资者投资100,000元认购本基金C类基金份额，假定募集期产生的利息为55.00元，可得到100,055.00份C类基金份额</w:t>
      </w:r>
      <w:r>
        <w:rPr>
          <w:kern w:val="0"/>
          <w:szCs w:val="20"/>
        </w:rPr>
        <w:t>。</w:t>
      </w:r>
    </w:p>
    <w:p w14:paraId="72FF5BFD">
      <w:pPr>
        <w:widowControl/>
        <w:ind w:firstLine="482"/>
        <w:rPr>
          <w:b/>
        </w:rPr>
      </w:pPr>
      <w:r>
        <w:rPr>
          <w:rFonts w:hint="eastAsia"/>
          <w:b/>
        </w:rPr>
        <w:t>十、</w:t>
      </w:r>
      <w:r>
        <w:rPr>
          <w:b/>
        </w:rPr>
        <w:t>基金认购金额的限制</w:t>
      </w:r>
    </w:p>
    <w:p w14:paraId="058B5F19">
      <w:pPr>
        <w:ind w:firstLine="480"/>
      </w:pPr>
      <w:r>
        <w:t>基金管理人规定，本基金的认购金额起点为人民币10元（含认购费）。</w:t>
      </w:r>
    </w:p>
    <w:p w14:paraId="4B375247">
      <w:pPr>
        <w:ind w:firstLine="480"/>
      </w:pPr>
      <w:r>
        <w:t>投资者通过销售机构认购本基金时，除需满足基金管理人最低认购金额限制外，当销售机构设定的最低金额高于上述金额限制时，投资者还应遵循相关销售机构的业务规定。</w:t>
      </w:r>
    </w:p>
    <w:p w14:paraId="31B0E770">
      <w:pPr>
        <w:ind w:firstLine="480"/>
      </w:pPr>
      <w:r>
        <w:t>基金管理人直销网点接受首次认购申请的最低金额为单笔人民币50,000元（含认购费），追加认购的最低金额为单笔人民币20,000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10元（含认购费），追加认购的单笔最低认购金额为人民币10元（含认购费）。</w:t>
      </w:r>
    </w:p>
    <w:p w14:paraId="7321AD06">
      <w:pPr>
        <w:widowControl/>
        <w:ind w:firstLine="480"/>
      </w:pPr>
      <w:r>
        <w:rPr>
          <w:rFonts w:hint="eastAsia"/>
          <w:bCs/>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14:paraId="3F5FA840">
      <w:pPr>
        <w:widowControl/>
        <w:ind w:firstLine="482"/>
        <w:rPr>
          <w:b/>
        </w:rPr>
      </w:pPr>
      <w:r>
        <w:rPr>
          <w:rFonts w:hint="eastAsia"/>
          <w:b/>
        </w:rPr>
        <w:t>十一、</w:t>
      </w:r>
      <w:r>
        <w:rPr>
          <w:b/>
        </w:rPr>
        <w:t>基金份额的认购和持有限额</w:t>
      </w:r>
    </w:p>
    <w:p w14:paraId="7ED98CA9">
      <w:pPr>
        <w:ind w:firstLine="480"/>
      </w:pPr>
      <w:r>
        <w:rPr>
          <w:rFonts w:hint="eastAsia"/>
        </w:rPr>
        <w:t>如本基金单个投资者累计认购的基金份额数达到或者超过基金总份额的50%，基金管理人可以采取比例确认等方式对该投资者的认购申请进行限制。基金管理人接受某笔或者某些认购申请有可能导致投资者变相规避前述50%比例要求的，基金管理人有权拒绝该等全部或者部分认购申请。投资者认购的基金份额数以基金合同生效后登记机构的确认为准。</w:t>
      </w:r>
    </w:p>
    <w:p w14:paraId="6E141BB5">
      <w:pPr>
        <w:ind w:firstLine="480"/>
      </w:pPr>
      <w:r>
        <w:rPr>
          <w:rFonts w:hint="eastAsia"/>
        </w:rPr>
        <w:t>基金管理人可以对每个账户的认购和持有基金份额的限制进行调整，具体限制请参见相关公告。</w:t>
      </w:r>
    </w:p>
    <w:p w14:paraId="2A75D674">
      <w:pPr>
        <w:ind w:firstLine="0" w:firstLineChars="0"/>
        <w:sectPr>
          <w:footerReference r:id="rId11" w:type="default"/>
          <w:pgSz w:w="11906" w:h="16838"/>
          <w:pgMar w:top="1440" w:right="1826" w:bottom="1440" w:left="1622" w:header="851" w:footer="992" w:gutter="0"/>
          <w:pgNumType w:start="1"/>
          <w:cols w:space="425" w:num="1"/>
          <w:docGrid w:type="lines" w:linePitch="312" w:charSpace="0"/>
        </w:sectPr>
      </w:pPr>
    </w:p>
    <w:p w14:paraId="4ED650EC">
      <w:pPr>
        <w:pStyle w:val="2"/>
        <w:spacing w:before="312" w:after="312"/>
        <w:rPr>
          <w:kern w:val="0"/>
        </w:rPr>
      </w:pPr>
      <w:bookmarkStart w:id="43" w:name="_Toc218004078"/>
      <w:r>
        <w:rPr>
          <w:rFonts w:hint="eastAsia"/>
          <w:kern w:val="0"/>
        </w:rPr>
        <w:t>第七部分</w:t>
      </w:r>
      <w:r>
        <w:rPr>
          <w:kern w:val="0"/>
        </w:rPr>
        <w:t xml:space="preserve">  </w:t>
      </w:r>
      <w:r>
        <w:rPr>
          <w:rFonts w:hint="eastAsia"/>
          <w:kern w:val="0"/>
        </w:rPr>
        <w:t>基金合同的生效</w:t>
      </w:r>
      <w:bookmarkEnd w:id="43"/>
    </w:p>
    <w:p w14:paraId="164BBB92">
      <w:pPr>
        <w:widowControl/>
        <w:ind w:firstLine="482"/>
        <w:rPr>
          <w:b/>
        </w:rPr>
      </w:pPr>
      <w:r>
        <w:rPr>
          <w:rFonts w:hint="eastAsia"/>
          <w:b/>
        </w:rPr>
        <w:t>一、基金备案的条件</w:t>
      </w:r>
    </w:p>
    <w:p w14:paraId="459A5F32">
      <w:pPr>
        <w:ind w:firstLine="48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亿份，基金募集金额不少于</w:t>
      </w:r>
      <w:r>
        <w:rPr>
          <w:rFonts w:hint="eastAsia"/>
          <w:bCs/>
        </w:rPr>
        <w:t>2</w:t>
      </w:r>
      <w:r>
        <w:rPr>
          <w:bCs/>
        </w:rPr>
        <w:t>亿元人民币且基金认购人数不少于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67991D88">
      <w:pPr>
        <w:ind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925B8AC">
      <w:pPr>
        <w:widowControl/>
        <w:ind w:firstLine="482"/>
        <w:rPr>
          <w:b/>
        </w:rPr>
      </w:pPr>
      <w:r>
        <w:rPr>
          <w:rFonts w:hint="eastAsia"/>
          <w:b/>
        </w:rPr>
        <w:t>二、基金合同不能生效时募集资金的处理方式</w:t>
      </w:r>
    </w:p>
    <w:p w14:paraId="774D9E45">
      <w:pPr>
        <w:ind w:firstLine="480"/>
        <w:rPr>
          <w:bCs/>
        </w:rPr>
      </w:pPr>
      <w:r>
        <w:rPr>
          <w:bCs/>
        </w:rPr>
        <w:t>如果募集期限届满，未满足</w:t>
      </w:r>
      <w:r>
        <w:rPr>
          <w:rFonts w:hint="eastAsia"/>
          <w:bCs/>
        </w:rPr>
        <w:t>基金备案</w:t>
      </w:r>
      <w:r>
        <w:rPr>
          <w:bCs/>
        </w:rPr>
        <w:t>条件，基金管理人应当承担下列责任：</w:t>
      </w:r>
    </w:p>
    <w:p w14:paraId="311A0A9A">
      <w:pPr>
        <w:ind w:firstLine="480"/>
        <w:rPr>
          <w:bCs/>
        </w:rPr>
      </w:pPr>
      <w:r>
        <w:rPr>
          <w:bCs/>
        </w:rPr>
        <w:t>1、以其固有财产承担因募集行为而产生的债务和费用；</w:t>
      </w:r>
    </w:p>
    <w:p w14:paraId="6A4C3470">
      <w:pPr>
        <w:ind w:firstLine="480"/>
        <w:rPr>
          <w:bCs/>
        </w:rPr>
      </w:pPr>
      <w:r>
        <w:rPr>
          <w:bCs/>
        </w:rPr>
        <w:t>2、在基金募集期限届满后</w:t>
      </w:r>
      <w:r>
        <w:rPr>
          <w:rFonts w:hint="eastAsia"/>
          <w:bCs/>
        </w:rPr>
        <w:t>30</w:t>
      </w:r>
      <w:r>
        <w:rPr>
          <w:bCs/>
        </w:rPr>
        <w:t>日内返还投资者已交</w:t>
      </w:r>
      <w:r>
        <w:rPr>
          <w:rFonts w:hint="eastAsia"/>
          <w:bCs/>
        </w:rPr>
        <w:t>纳</w:t>
      </w:r>
      <w:r>
        <w:rPr>
          <w:bCs/>
        </w:rPr>
        <w:t>的款项，并加计银行同期活期存款利息</w:t>
      </w:r>
      <w:r>
        <w:rPr>
          <w:rFonts w:hint="eastAsia"/>
          <w:bCs/>
        </w:rPr>
        <w:t>；</w:t>
      </w:r>
    </w:p>
    <w:p w14:paraId="345E3AF2">
      <w:pPr>
        <w:ind w:firstLine="48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4593E105">
      <w:pPr>
        <w:widowControl/>
        <w:ind w:firstLine="482"/>
        <w:rPr>
          <w:b/>
        </w:rPr>
      </w:pPr>
      <w:r>
        <w:rPr>
          <w:rFonts w:hint="eastAsia"/>
          <w:b/>
        </w:rPr>
        <w:t>三、基金存续期内的基金份额持有人数量和资产规模</w:t>
      </w:r>
    </w:p>
    <w:p w14:paraId="72594930">
      <w:pPr>
        <w:ind w:firstLine="480"/>
        <w:rPr>
          <w:bCs/>
        </w:rPr>
      </w:pPr>
      <w:r>
        <w:rPr>
          <w:rFonts w:hint="eastAsia"/>
          <w:bCs/>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1DA0A82E">
      <w:pPr>
        <w:widowControl/>
        <w:ind w:firstLine="480"/>
        <w:rPr>
          <w:bCs/>
        </w:rPr>
      </w:pPr>
      <w:r>
        <w:rPr>
          <w:bCs/>
        </w:rPr>
        <w:t>法律法规</w:t>
      </w:r>
      <w:r>
        <w:rPr>
          <w:rFonts w:hint="eastAsia"/>
          <w:bCs/>
        </w:rPr>
        <w:t>或中国证监会</w:t>
      </w:r>
      <w:r>
        <w:rPr>
          <w:bCs/>
        </w:rPr>
        <w:t>另有规定时，从其规定。</w:t>
      </w:r>
    </w:p>
    <w:p w14:paraId="4DDAA682">
      <w:pPr>
        <w:pStyle w:val="2"/>
        <w:spacing w:before="312" w:after="312"/>
      </w:pPr>
      <w:r>
        <w:rPr>
          <w:bCs/>
          <w:sz w:val="24"/>
        </w:rPr>
        <w:br w:type="page"/>
      </w:r>
      <w:bookmarkStart w:id="44" w:name="_Toc218004079"/>
      <w:r>
        <w:rPr>
          <w:rFonts w:hint="eastAsia"/>
        </w:rPr>
        <w:t>第八部分</w:t>
      </w:r>
      <w:r>
        <w:t xml:space="preserve">  </w:t>
      </w:r>
      <w:r>
        <w:rPr>
          <w:rFonts w:hint="eastAsia"/>
        </w:rPr>
        <w:t>基金份额的申购与赎回</w:t>
      </w:r>
      <w:bookmarkEnd w:id="44"/>
    </w:p>
    <w:p w14:paraId="3934D942">
      <w:pPr>
        <w:ind w:firstLine="482"/>
        <w:rPr>
          <w:b/>
          <w:bCs/>
          <w:szCs w:val="20"/>
        </w:rPr>
      </w:pPr>
      <w:r>
        <w:rPr>
          <w:rFonts w:hint="eastAsia"/>
          <w:b/>
          <w:bCs/>
          <w:szCs w:val="20"/>
        </w:rPr>
        <w:t>一、</w:t>
      </w:r>
      <w:r>
        <w:rPr>
          <w:b/>
          <w:bCs/>
          <w:szCs w:val="20"/>
        </w:rPr>
        <w:t>申购和赎回场所</w:t>
      </w:r>
    </w:p>
    <w:p w14:paraId="4AA051D7">
      <w:pPr>
        <w:ind w:firstLine="480"/>
        <w:rPr>
          <w:bCs/>
        </w:rPr>
      </w:pPr>
      <w:r>
        <w:rPr>
          <w:bCs/>
        </w:rPr>
        <w:t>本基金的申购与赎回将通过销售机构进行。具体的销售机构将由基金管理人在招募说明书或</w:t>
      </w:r>
      <w:r>
        <w:rPr>
          <w:rFonts w:hint="eastAsia"/>
          <w:bCs/>
        </w:rPr>
        <w:t>基金管理人</w:t>
      </w:r>
      <w:r>
        <w:rPr>
          <w:bCs/>
        </w:rPr>
        <w:t>网站公示。基金管理人可根据情况变更或增减销售机构</w:t>
      </w:r>
      <w:r>
        <w:rPr>
          <w:rFonts w:hint="eastAsia"/>
          <w:bCs/>
        </w:rPr>
        <w:t>，</w:t>
      </w:r>
      <w:r>
        <w:rPr>
          <w:bCs/>
        </w:rPr>
        <w:t>并在基金管理人网站公示。基金投资者应当</w:t>
      </w:r>
      <w:r>
        <w:rPr>
          <w:rFonts w:hint="eastAsia"/>
          <w:bCs/>
        </w:rPr>
        <w:t>在</w:t>
      </w:r>
      <w:r>
        <w:rPr>
          <w:bCs/>
        </w:rPr>
        <w:t>销售机构办理基金销售业务的营业场所或按销售机构提供的其他方式办理基金份额的申购与赎回。</w:t>
      </w:r>
    </w:p>
    <w:p w14:paraId="0C17B986">
      <w:pPr>
        <w:ind w:firstLine="482"/>
        <w:rPr>
          <w:b/>
          <w:bCs/>
          <w:szCs w:val="20"/>
        </w:rPr>
      </w:pPr>
      <w:r>
        <w:rPr>
          <w:rFonts w:hint="eastAsia"/>
          <w:b/>
          <w:bCs/>
          <w:szCs w:val="20"/>
        </w:rPr>
        <w:t>二</w:t>
      </w:r>
      <w:r>
        <w:rPr>
          <w:b/>
          <w:bCs/>
          <w:szCs w:val="20"/>
        </w:rPr>
        <w:t>、申购和赎回的开放日及时间</w:t>
      </w:r>
    </w:p>
    <w:p w14:paraId="57314F16">
      <w:pPr>
        <w:ind w:firstLine="480"/>
        <w:rPr>
          <w:bCs/>
          <w:szCs w:val="20"/>
        </w:rPr>
      </w:pPr>
      <w:r>
        <w:rPr>
          <w:rFonts w:hint="eastAsia"/>
          <w:bCs/>
          <w:szCs w:val="20"/>
        </w:rPr>
        <w:t>1、开放日及开放时间</w:t>
      </w:r>
    </w:p>
    <w:p w14:paraId="0543D817">
      <w:pPr>
        <w:ind w:firstLine="480"/>
        <w:rPr>
          <w:bCs/>
          <w:color w:val="000000"/>
        </w:rPr>
      </w:pPr>
      <w:r>
        <w:rPr>
          <w:bCs/>
        </w:rPr>
        <w:t>投资人在开放日办理基金份额的申购和赎回，具体办理时间为上海证券交易所、深圳证券交易所的正常交易日的交易时间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，但基金管理人根据法律法规、中国证监会的要求或基金合同的规定公告暂停申购、赎回时除外。</w:t>
      </w:r>
      <w:r>
        <w:rPr>
          <w:rFonts w:hint="eastAsia"/>
          <w:bCs/>
          <w:color w:val="000000"/>
        </w:rPr>
        <w:t>开放日的具体业务办理时间在招募说明书或相关公告中载明。</w:t>
      </w:r>
    </w:p>
    <w:p w14:paraId="6DBD7276">
      <w:pPr>
        <w:ind w:firstLine="480"/>
        <w:rPr>
          <w:bCs/>
        </w:rPr>
      </w:pPr>
      <w:r>
        <w:rPr>
          <w:bCs/>
        </w:rPr>
        <w:t>基金合同生效后，若出现</w:t>
      </w:r>
      <w:r>
        <w:rPr>
          <w:rFonts w:hint="eastAsia"/>
          <w:color w:val="000000"/>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w:t>
      </w:r>
      <w:r>
        <w:rPr>
          <w:rFonts w:hint="eastAsia"/>
          <w:bCs/>
        </w:rPr>
        <w:t>规</w:t>
      </w:r>
      <w:r>
        <w:rPr>
          <w:bCs/>
        </w:rPr>
        <w:t>定</w:t>
      </w:r>
      <w:r>
        <w:rPr>
          <w:rFonts w:hint="eastAsia"/>
          <w:bCs/>
        </w:rPr>
        <w:t>媒介</w:t>
      </w:r>
      <w:r>
        <w:rPr>
          <w:bCs/>
        </w:rPr>
        <w:t>上公告。</w:t>
      </w:r>
    </w:p>
    <w:p w14:paraId="4696AE94">
      <w:pPr>
        <w:ind w:firstLine="480"/>
        <w:rPr>
          <w:bCs/>
          <w:szCs w:val="20"/>
        </w:rPr>
      </w:pPr>
      <w:r>
        <w:rPr>
          <w:rFonts w:hint="eastAsia"/>
          <w:bCs/>
          <w:szCs w:val="20"/>
        </w:rPr>
        <w:t>2、申购、赎回开始日及业务办理时间</w:t>
      </w:r>
    </w:p>
    <w:p w14:paraId="69E78143">
      <w:pPr>
        <w:ind w:firstLine="480"/>
        <w:rPr>
          <w:bCs/>
        </w:rPr>
      </w:pPr>
      <w:r>
        <w:rPr>
          <w:bCs/>
        </w:rPr>
        <w:t>基金管理人</w:t>
      </w:r>
      <w:r>
        <w:rPr>
          <w:rFonts w:hint="eastAsia"/>
          <w:bCs/>
        </w:rPr>
        <w:t>可根据实际情况依法决定本</w:t>
      </w:r>
      <w:r>
        <w:rPr>
          <w:bCs/>
        </w:rPr>
        <w:t>基金开始办理申购的具体日期，具体业务办理时间在申购开始公告中规定。</w:t>
      </w:r>
    </w:p>
    <w:p w14:paraId="77F281CB">
      <w:pPr>
        <w:ind w:firstLine="480"/>
        <w:rPr>
          <w:bCs/>
        </w:rPr>
      </w:pPr>
      <w:sdt>
        <w:sdtPr>
          <w:rPr>
            <w:bCs/>
          </w:rPr>
          <w:alias w:val="开放频率为按日开放（开放式）"/>
          <w:tag w:val="PI204039 contain &quot;按日开放（开放式）&quot;"/>
          <w:id w:val="-1399285511"/>
          <w:placeholder>
            <w:docPart w:val="7AECFF8E95F64655BEF9B366ED95BBB0"/>
          </w:placeholder>
        </w:sdtPr>
        <w:sdtEndPr>
          <w:rPr>
            <w:bCs/>
          </w:rPr>
        </w:sdtEndPr>
        <w:sdtContent>
          <w:r>
            <w:rPr>
              <w:bCs/>
            </w:rPr>
            <w:t>基金管理人自基金合同生效之日起不超过3个月开始办理赎回，具体业务办理时间在赎回开始公告中规定。</w:t>
          </w:r>
        </w:sdtContent>
      </w:sdt>
    </w:p>
    <w:p w14:paraId="68C65A30">
      <w:pPr>
        <w:ind w:firstLine="480"/>
        <w:rPr>
          <w:bCs/>
        </w:rPr>
      </w:pPr>
      <w:r>
        <w:rPr>
          <w:bCs/>
        </w:rPr>
        <w:t>在确定申购开始与赎回开始时间后，基金管理人应在申购、赎回开放日前依照《信息披露办法》的有关规定在</w:t>
      </w:r>
      <w:r>
        <w:rPr>
          <w:rFonts w:hint="eastAsia"/>
          <w:bCs/>
        </w:rPr>
        <w:t>规</w:t>
      </w:r>
      <w:r>
        <w:rPr>
          <w:bCs/>
        </w:rPr>
        <w:t>定</w:t>
      </w:r>
      <w:r>
        <w:rPr>
          <w:rFonts w:hint="eastAsia"/>
          <w:bCs/>
        </w:rPr>
        <w:t>媒介</w:t>
      </w:r>
      <w:r>
        <w:rPr>
          <w:bCs/>
        </w:rPr>
        <w:t>上公告申购与赎回的开始时间。</w:t>
      </w:r>
    </w:p>
    <w:p w14:paraId="0326DB8A">
      <w:pPr>
        <w:ind w:firstLine="480"/>
        <w:rPr>
          <w:bCs/>
        </w:rPr>
      </w:pPr>
      <w:r>
        <w:rPr>
          <w:bCs/>
        </w:rPr>
        <w:t>基金管理人不得在基金合同约定之外的日期或者时间办理基金份额的申购</w:t>
      </w:r>
      <w:r>
        <w:rPr>
          <w:rFonts w:hint="eastAsia"/>
          <w:bCs/>
        </w:rPr>
        <w:t>、</w:t>
      </w:r>
      <w:r>
        <w:rPr>
          <w:bCs/>
        </w:rPr>
        <w:t>赎回或者转换。投资人在基金合同约定之外的日期和时间提出申购、赎回或转换申请</w:t>
      </w:r>
      <w:r>
        <w:rPr>
          <w:rFonts w:hint="eastAsia"/>
          <w:bCs/>
        </w:rPr>
        <w:t>且登记机构确认接受</w:t>
      </w:r>
      <w:r>
        <w:rPr>
          <w:bCs/>
        </w:rPr>
        <w:t>的，其基金份额申购、赎回价格为下一开放日相应类别的基金份额申购、赎回的价格。</w:t>
      </w:r>
    </w:p>
    <w:p w14:paraId="72C67952">
      <w:pPr>
        <w:ind w:firstLine="482"/>
        <w:rPr>
          <w:b/>
          <w:bCs/>
          <w:szCs w:val="20"/>
        </w:rPr>
      </w:pPr>
      <w:r>
        <w:rPr>
          <w:rFonts w:hint="eastAsia"/>
          <w:b/>
          <w:bCs/>
          <w:szCs w:val="20"/>
        </w:rPr>
        <w:t>三</w:t>
      </w:r>
      <w:r>
        <w:rPr>
          <w:b/>
          <w:bCs/>
          <w:szCs w:val="20"/>
        </w:rPr>
        <w:t>、申购与赎回的原则</w:t>
      </w:r>
    </w:p>
    <w:p w14:paraId="40B1738B">
      <w:pPr>
        <w:ind w:firstLine="480"/>
        <w:rPr>
          <w:bCs/>
        </w:rPr>
      </w:pPr>
      <w:r>
        <w:rPr>
          <w:bCs/>
        </w:rPr>
        <w:t>1</w:t>
      </w:r>
      <w:r>
        <w:rPr>
          <w:rFonts w:hint="eastAsia"/>
          <w:bCs/>
        </w:rPr>
        <w:t>、</w:t>
      </w:r>
      <w:r>
        <w:rPr>
          <w:rFonts w:hint="eastAsia" w:ascii="宋体" w:hAnsi="宋体"/>
          <w:bCs/>
        </w:rPr>
        <w:t>“未知价”</w:t>
      </w:r>
      <w:r>
        <w:rPr>
          <w:bCs/>
        </w:rPr>
        <w:t>原则，即申购、赎回价格以申请当日收市后计算的该类基金份额净值为基准进行计算；</w:t>
      </w:r>
    </w:p>
    <w:p w14:paraId="06251BDE">
      <w:pPr>
        <w:ind w:firstLine="480"/>
        <w:rPr>
          <w:bCs/>
        </w:rPr>
      </w:pPr>
      <w:r>
        <w:rPr>
          <w:bCs/>
        </w:rPr>
        <w:t>2</w:t>
      </w:r>
      <w:r>
        <w:rPr>
          <w:rFonts w:hint="eastAsia"/>
          <w:bCs/>
        </w:rPr>
        <w:t>、</w:t>
      </w:r>
      <w:r>
        <w:rPr>
          <w:rFonts w:hint="eastAsia" w:ascii="宋体" w:hAnsi="宋体"/>
          <w:bCs/>
        </w:rPr>
        <w:t>“金额申购、份额赎回”</w:t>
      </w:r>
      <w:r>
        <w:rPr>
          <w:bCs/>
        </w:rPr>
        <w:t>原则，即申购以金额申请，赎回以份额申请；</w:t>
      </w:r>
    </w:p>
    <w:p w14:paraId="4776EC7A">
      <w:pPr>
        <w:ind w:firstLine="48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r>
        <w:rPr>
          <w:bCs/>
        </w:rPr>
        <w:t>；</w:t>
      </w:r>
    </w:p>
    <w:p w14:paraId="67E2D0A5">
      <w:pPr>
        <w:ind w:firstLine="480"/>
        <w:rPr>
          <w:bCs/>
        </w:rPr>
      </w:pPr>
      <w:r>
        <w:rPr>
          <w:bCs/>
        </w:rPr>
        <w:t>4</w:t>
      </w:r>
      <w:r>
        <w:rPr>
          <w:rFonts w:hint="eastAsia"/>
          <w:bCs/>
        </w:rPr>
        <w:t>、</w:t>
      </w:r>
      <w:r>
        <w:rPr>
          <w:bCs/>
        </w:rPr>
        <w:t>赎回遵循</w:t>
      </w:r>
      <w:r>
        <w:rPr>
          <w:rFonts w:hint="eastAsia" w:ascii="宋体" w:hAnsi="宋体"/>
          <w:bCs/>
        </w:rPr>
        <w:t>“先进先出”</w:t>
      </w:r>
      <w:r>
        <w:rPr>
          <w:bCs/>
        </w:rPr>
        <w:t>原则，即按照投资人认购、申购的先后次序进行顺序赎回；</w:t>
      </w:r>
    </w:p>
    <w:p w14:paraId="791D4797">
      <w:pPr>
        <w:ind w:firstLine="480"/>
        <w:rPr>
          <w:bCs/>
        </w:rPr>
      </w:pPr>
      <w:r>
        <w:rPr>
          <w:bCs/>
        </w:rPr>
        <w:t>5</w:t>
      </w:r>
      <w:r>
        <w:rPr>
          <w:rFonts w:hint="eastAsia"/>
          <w:bCs/>
        </w:rPr>
        <w:t>、</w:t>
      </w:r>
      <w:r>
        <w:rPr>
          <w:rFonts w:hint="eastAsia"/>
          <w:bCs/>
          <w:color w:val="000000"/>
        </w:rPr>
        <w:t>投资者办理申购、赎回等业务时应提交的文件和办理手续、办理时间、处理规则等，在遵守基金合同和招募说明书规定的前提下，以各销售机构的具体规定为准；</w:t>
      </w:r>
    </w:p>
    <w:p w14:paraId="5F408235">
      <w:pPr>
        <w:ind w:firstLine="480"/>
        <w:rPr>
          <w:bCs/>
        </w:rPr>
      </w:pPr>
      <w:r>
        <w:rPr>
          <w:bCs/>
        </w:rPr>
        <w:t>6、办理申购、赎回业务时，应当遵循基金份额持有人利益优先原则</w:t>
      </w:r>
      <w:r>
        <w:rPr>
          <w:rFonts w:hint="eastAsia"/>
          <w:bCs/>
        </w:rPr>
        <w:t>，确保投资者的合法权益不受损害并得到公平对待</w:t>
      </w:r>
      <w:r>
        <w:rPr>
          <w:bCs/>
        </w:rPr>
        <w:t>。</w:t>
      </w:r>
    </w:p>
    <w:p w14:paraId="0FB8986E">
      <w:pPr>
        <w:ind w:firstLine="48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w:t>
      </w:r>
      <w:r>
        <w:rPr>
          <w:rFonts w:hint="eastAsia"/>
          <w:bCs/>
        </w:rPr>
        <w:t>媒介</w:t>
      </w:r>
      <w:r>
        <w:rPr>
          <w:bCs/>
        </w:rPr>
        <w:t>上公告。</w:t>
      </w:r>
    </w:p>
    <w:p w14:paraId="33DB80CB">
      <w:pPr>
        <w:ind w:firstLine="482"/>
        <w:rPr>
          <w:b/>
          <w:bCs/>
          <w:szCs w:val="20"/>
        </w:rPr>
      </w:pPr>
      <w:r>
        <w:rPr>
          <w:rFonts w:hint="eastAsia"/>
          <w:b/>
          <w:bCs/>
          <w:szCs w:val="20"/>
        </w:rPr>
        <w:t>四</w:t>
      </w:r>
      <w:r>
        <w:rPr>
          <w:b/>
          <w:bCs/>
          <w:szCs w:val="20"/>
        </w:rPr>
        <w:t>、申购与赎回的程序</w:t>
      </w:r>
    </w:p>
    <w:p w14:paraId="3AE0732E">
      <w:pPr>
        <w:ind w:firstLine="480"/>
        <w:rPr>
          <w:bCs/>
        </w:rPr>
      </w:pPr>
      <w:r>
        <w:rPr>
          <w:rFonts w:hint="eastAsia"/>
          <w:bCs/>
        </w:rPr>
        <w:t>1、申购和赎回的申请方式</w:t>
      </w:r>
    </w:p>
    <w:p w14:paraId="5072843A">
      <w:pPr>
        <w:ind w:firstLine="480"/>
        <w:rPr>
          <w:bCs/>
        </w:rPr>
      </w:pPr>
      <w:r>
        <w:rPr>
          <w:bCs/>
        </w:rPr>
        <w:t>投资人必须根据销售机构规定的程序，在开放日的具体业务办理时间内提出申购或赎回的申请。</w:t>
      </w:r>
    </w:p>
    <w:p w14:paraId="75FA39F7">
      <w:pPr>
        <w:ind w:firstLine="480"/>
        <w:rPr>
          <w:bCs/>
        </w:rPr>
      </w:pPr>
      <w:r>
        <w:rPr>
          <w:bCs/>
        </w:rPr>
        <w:t>2</w:t>
      </w:r>
      <w:r>
        <w:rPr>
          <w:rFonts w:hint="eastAsia"/>
          <w:bCs/>
        </w:rPr>
        <w:t>、</w:t>
      </w:r>
      <w:r>
        <w:rPr>
          <w:bCs/>
        </w:rPr>
        <w:t>申购和赎回的款项支付</w:t>
      </w:r>
    </w:p>
    <w:p w14:paraId="4C668BA6">
      <w:pPr>
        <w:ind w:firstLine="480"/>
        <w:rPr>
          <w:bCs/>
        </w:rPr>
      </w:pPr>
      <w:r>
        <w:rPr>
          <w:bCs/>
          <w:lang w:val="zh-CN"/>
        </w:rPr>
        <w:t>投资人申购基金份额时，必须</w:t>
      </w:r>
      <w:r>
        <w:rPr>
          <w:rFonts w:hint="eastAsia"/>
          <w:bCs/>
          <w:color w:val="000000"/>
          <w:lang w:val="zh-CN"/>
        </w:rPr>
        <w:t>在规定的时间内</w:t>
      </w:r>
      <w:r>
        <w:rPr>
          <w:bCs/>
          <w:lang w:val="zh-CN"/>
        </w:rPr>
        <w:t>全额交付申购款项，</w:t>
      </w:r>
      <w:r>
        <w:rPr>
          <w:rFonts w:hint="eastAsia"/>
          <w:bCs/>
          <w:color w:val="000000"/>
          <w:lang w:val="zh-CN"/>
        </w:rPr>
        <w:t>否则所提交的申购申请</w:t>
      </w:r>
      <w:r>
        <w:rPr>
          <w:bCs/>
          <w:color w:val="000000"/>
          <w:lang w:val="zh-CN"/>
        </w:rPr>
        <w:t>不成立</w:t>
      </w:r>
      <w:r>
        <w:rPr>
          <w:rFonts w:hint="eastAsia"/>
          <w:bCs/>
          <w:color w:val="000000"/>
          <w:lang w:val="zh-CN"/>
        </w:rPr>
        <w:t>。</w:t>
      </w:r>
      <w:r>
        <w:rPr>
          <w:bCs/>
          <w:lang w:val="zh-CN"/>
        </w:rPr>
        <w:t>投资人</w:t>
      </w:r>
      <w:r>
        <w:rPr>
          <w:rFonts w:hint="eastAsia"/>
          <w:bCs/>
          <w:color w:val="000000"/>
          <w:lang w:val="zh-CN"/>
        </w:rPr>
        <w:t>在规定的时间内</w:t>
      </w:r>
      <w:r>
        <w:rPr>
          <w:bCs/>
          <w:lang w:val="zh-CN"/>
        </w:rPr>
        <w:t>全额交付</w:t>
      </w:r>
      <w:r>
        <w:rPr>
          <w:rFonts w:hint="eastAsia"/>
          <w:bCs/>
          <w:lang w:val="zh-CN"/>
        </w:rPr>
        <w:t>申购</w:t>
      </w:r>
      <w:r>
        <w:rPr>
          <w:bCs/>
          <w:lang w:val="zh-CN"/>
        </w:rPr>
        <w:t>款项，申购成立；登记机构确认基金份额时，申购生效。</w:t>
      </w:r>
    </w:p>
    <w:p w14:paraId="34CC53C4">
      <w:pPr>
        <w:ind w:firstLine="480"/>
        <w:rPr>
          <w:bCs/>
        </w:rPr>
      </w:pPr>
      <w:r>
        <w:rPr>
          <w:bCs/>
        </w:rPr>
        <w:t>基金份额持有人递交赎回申请，</w:t>
      </w:r>
      <w:r>
        <w:rPr>
          <w:bCs/>
          <w:color w:val="000000"/>
          <w:lang w:val="zh-CN"/>
        </w:rPr>
        <w:t>必须持有足够的基金份额余额，否则所提交的赎回申请不成立。基金份额持有人在规定的时间内递交赎回申请，</w:t>
      </w:r>
      <w:r>
        <w:rPr>
          <w:bCs/>
        </w:rPr>
        <w:t>赎回成立；登记机构确认赎回申请时，赎回生效。</w:t>
      </w:r>
    </w:p>
    <w:p w14:paraId="2EBD760B">
      <w:pPr>
        <w:ind w:firstLine="480"/>
        <w:rPr>
          <w:bCs/>
        </w:rPr>
      </w:pPr>
      <w:r>
        <w:rPr>
          <w:bCs/>
        </w:rPr>
        <w:t>投资者T日赎回申请生效后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color w:val="000000"/>
          <w:lang w:val="zh-CN"/>
        </w:rPr>
        <w:t>遇交易所或交易市场数据传输延迟、通讯系统故障、银行数据交换系统故障</w:t>
      </w:r>
      <w:r>
        <w:rPr>
          <w:rFonts w:hint="eastAsia"/>
          <w:bCs/>
        </w:rPr>
        <w:t>、港股通交易系统或港股通资金交收规则限制</w:t>
      </w:r>
      <w:r>
        <w:rPr>
          <w:rFonts w:hint="eastAsia"/>
          <w:bCs/>
          <w:color w:val="000000"/>
          <w:lang w:val="zh-CN"/>
        </w:rPr>
        <w:t>或其他非基金管理人及基金托管人所能控制的因素影响业务处理流程，则赎回款顺延至上述情形消除后划往投资者银行账户。</w:t>
      </w:r>
      <w:r>
        <w:rPr>
          <w:bCs/>
        </w:rPr>
        <w:t>在发生巨额赎回</w:t>
      </w:r>
      <w:r>
        <w:rPr>
          <w:rFonts w:hint="eastAsia"/>
          <w:bCs/>
          <w:color w:val="000000"/>
          <w:lang w:val="zh-CN"/>
        </w:rPr>
        <w:t>或基金合同载明的其他暂停赎回或延缓支付赎回款项的情形</w:t>
      </w:r>
      <w:r>
        <w:rPr>
          <w:bCs/>
        </w:rPr>
        <w:t>时，款项的支付办法参照基金合同有关条款处理。</w:t>
      </w:r>
    </w:p>
    <w:p w14:paraId="5CE5D8B4">
      <w:pPr>
        <w:ind w:firstLine="480"/>
        <w:rPr>
          <w:bCs/>
        </w:rPr>
      </w:pPr>
      <w:r>
        <w:rPr>
          <w:rFonts w:hint="eastAsia"/>
          <w:bCs/>
          <w:color w:val="000000"/>
          <w:lang w:val="zh-CN"/>
        </w:rPr>
        <w:t>基金管理人可以在法律法规和基金合同允许的范围内，对上述业务办理时间进行调整，基金管理人必须在调整实施前依照《信息披露办法》的有关规定在规定媒介上公告。</w:t>
      </w:r>
    </w:p>
    <w:p w14:paraId="7C057E3F">
      <w:pPr>
        <w:ind w:firstLine="480"/>
        <w:rPr>
          <w:bCs/>
        </w:rPr>
      </w:pPr>
      <w:r>
        <w:rPr>
          <w:bCs/>
        </w:rPr>
        <w:t>3</w:t>
      </w:r>
      <w:r>
        <w:rPr>
          <w:rFonts w:hint="eastAsia"/>
          <w:bCs/>
        </w:rPr>
        <w:t>、</w:t>
      </w:r>
      <w:r>
        <w:rPr>
          <w:bCs/>
        </w:rPr>
        <w:t>申购和赎回申请的确认</w:t>
      </w:r>
    </w:p>
    <w:p w14:paraId="3E39F0CE">
      <w:pPr>
        <w:ind w:firstLine="480"/>
        <w:rPr>
          <w:bCs/>
          <w:color w:val="000000"/>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，在正常情况下，本基金登记机构在T+1日内对该交易的有效性进行确认。T日提交的有效申请，投资人</w:t>
      </w:r>
      <w:r>
        <w:rPr>
          <w:rFonts w:hint="eastAsia"/>
          <w:bCs/>
        </w:rPr>
        <w:t>应</w:t>
      </w:r>
      <w:r>
        <w:rPr>
          <w:bCs/>
        </w:rPr>
        <w:t>在T+2日后</w:t>
      </w:r>
      <w:r>
        <w:rPr>
          <w:rFonts w:hint="eastAsia"/>
          <w:bCs/>
        </w:rPr>
        <w:t>（</w:t>
      </w:r>
      <w:r>
        <w:rPr>
          <w:bCs/>
        </w:rPr>
        <w:t>包括该日</w:t>
      </w:r>
      <w:r>
        <w:rPr>
          <w:rFonts w:hint="eastAsia"/>
          <w:bCs/>
        </w:rPr>
        <w:t>）</w:t>
      </w:r>
      <w:r>
        <w:rPr>
          <w:bCs/>
        </w:rPr>
        <w:t>及时到销售</w:t>
      </w:r>
      <w:r>
        <w:rPr>
          <w:rFonts w:hint="eastAsia"/>
          <w:bCs/>
        </w:rPr>
        <w:t>机构</w:t>
      </w:r>
      <w:r>
        <w:rPr>
          <w:bCs/>
        </w:rPr>
        <w:t>或以销售机构规定的其他方式查询申请的确认情况。若申购不成</w:t>
      </w:r>
      <w:r>
        <w:rPr>
          <w:rFonts w:hint="eastAsia"/>
          <w:bCs/>
        </w:rPr>
        <w:t>立</w:t>
      </w:r>
      <w:r>
        <w:rPr>
          <w:bCs/>
        </w:rPr>
        <w:t>或无效，则申购款项本金退还给投资</w:t>
      </w:r>
      <w:r>
        <w:rPr>
          <w:rFonts w:hint="eastAsia"/>
          <w:bCs/>
        </w:rPr>
        <w:t>者，</w:t>
      </w:r>
      <w:r>
        <w:rPr>
          <w:rFonts w:hint="eastAsia"/>
          <w:bCs/>
          <w:color w:val="000000"/>
          <w:lang w:val="zh-CN"/>
        </w:rPr>
        <w:t>基金管理人及基金托管人不承担该退回款项产生的利息等损失</w:t>
      </w:r>
      <w:r>
        <w:rPr>
          <w:bCs/>
        </w:rPr>
        <w:t>。</w:t>
      </w:r>
      <w:r>
        <w:rPr>
          <w:rFonts w:hint="eastAsia"/>
          <w:bCs/>
          <w:color w:val="000000"/>
        </w:rPr>
        <w:t>因投资者未及时进行查询而造成的后果由其自行承担。</w:t>
      </w:r>
    </w:p>
    <w:p w14:paraId="3BEAE059">
      <w:pPr>
        <w:ind w:firstLine="480"/>
        <w:rPr>
          <w:bCs/>
        </w:rPr>
      </w:pPr>
      <w:r>
        <w:rPr>
          <w:rFonts w:hint="eastAsia"/>
          <w:bCs/>
          <w:color w:val="000000"/>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w:t>
      </w:r>
      <w:r>
        <w:rPr>
          <w:rFonts w:hint="eastAsia"/>
          <w:color w:val="000000"/>
        </w:rPr>
        <w:t>。</w:t>
      </w:r>
      <w:r>
        <w:rPr>
          <w:rFonts w:hint="eastAsia"/>
          <w:bCs/>
        </w:rPr>
        <w:t>因投资人怠于履行该项查询等各项义务，致使其相关权益受损的，基金管理人、基金托管人、基金销售机构不承担由此造成的损失或不利后果。</w:t>
      </w:r>
    </w:p>
    <w:p w14:paraId="41B03B33">
      <w:pPr>
        <w:ind w:firstLine="48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6C18D668">
      <w:pPr>
        <w:ind w:firstLine="482"/>
        <w:rPr>
          <w:b/>
        </w:rPr>
      </w:pPr>
      <w:r>
        <w:rPr>
          <w:rFonts w:hint="eastAsia"/>
          <w:b/>
        </w:rPr>
        <w:t>五、申购和赎回的数量限制</w:t>
      </w:r>
    </w:p>
    <w:p w14:paraId="377E270F">
      <w:pPr>
        <w:ind w:firstLine="480"/>
        <w:rPr>
          <w:bCs/>
        </w:rPr>
      </w:pPr>
      <w:r>
        <w:rPr>
          <w:bCs/>
        </w:rPr>
        <w:t>1</w:t>
      </w:r>
      <w:r>
        <w:rPr>
          <w:rFonts w:hint="eastAsia"/>
          <w:bCs/>
        </w:rPr>
        <w:t>、基金管理人规定，本基金单笔最低申购金额为人民币</w:t>
      </w:r>
      <w:r>
        <w:rPr>
          <w:bCs/>
        </w:rPr>
        <w:t>1</w:t>
      </w:r>
      <w:r>
        <w:rPr>
          <w:rFonts w:hint="eastAsia"/>
          <w:bCs/>
        </w:rPr>
        <w:t>元（含申购费），投资者通过销售机构申购本基金时，除需满足基金管理人最低申购金额限制外，当销售机构设定的最低金额高于上述金额限制时，投资者还应遵循相关销售机构的业务规定。</w:t>
      </w:r>
    </w:p>
    <w:p w14:paraId="32E0FB26">
      <w:pPr>
        <w:ind w:firstLine="480"/>
        <w:rPr>
          <w:bCs/>
        </w:rPr>
      </w:pPr>
      <w:r>
        <w:rPr>
          <w:rFonts w:hint="eastAsia"/>
          <w:bCs/>
        </w:rPr>
        <w:t>直销网点单个账户首次申购的最低金额为人民币</w:t>
      </w:r>
      <w:r>
        <w:rPr>
          <w:bCs/>
        </w:rPr>
        <w:t>50,000</w:t>
      </w:r>
      <w:r>
        <w:rPr>
          <w:rFonts w:hint="eastAsia"/>
          <w:bCs/>
        </w:rPr>
        <w:t>元（含申购费），追加申购的最低金额为单笔人民币</w:t>
      </w:r>
      <w:r>
        <w:rPr>
          <w:bCs/>
        </w:rPr>
        <w:t>20,000</w:t>
      </w:r>
      <w:r>
        <w:rPr>
          <w:rFonts w:hint="eastAsia"/>
          <w:bCs/>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bCs/>
        </w:rPr>
        <w:t>1</w:t>
      </w:r>
      <w:r>
        <w:rPr>
          <w:rFonts w:hint="eastAsia"/>
          <w:bCs/>
        </w:rPr>
        <w:t>元（含申购费）。基金管理人可根据市场情况，调整本基金申购的最低金额。</w:t>
      </w:r>
    </w:p>
    <w:p w14:paraId="134E8E62">
      <w:pPr>
        <w:ind w:firstLine="480"/>
        <w:rPr>
          <w:bCs/>
        </w:rPr>
      </w:pPr>
      <w:r>
        <w:rPr>
          <w:rFonts w:hint="eastAsia"/>
          <w:bCs/>
        </w:rPr>
        <w:t>基金管理人可以调整单一投资者单日申购金额上限，具体规定请参见更新的招募说明书或相关公告。</w:t>
      </w:r>
    </w:p>
    <w:p w14:paraId="5292A640">
      <w:pPr>
        <w:ind w:firstLine="480"/>
        <w:rPr>
          <w:bCs/>
        </w:rPr>
      </w:pPr>
      <w:r>
        <w:rPr>
          <w:rFonts w:hint="eastAsia"/>
          <w:bCs/>
        </w:rPr>
        <w:t>投资者可多次申购，但单一投资者持有基金份额数不得达到或超过基金份额总数的50%（在基金运作过程中因基金份额赎回等情形导致被动达到或超过50%的除外）。</w:t>
      </w:r>
    </w:p>
    <w:p w14:paraId="00DED864">
      <w:pPr>
        <w:ind w:firstLine="480"/>
        <w:rPr>
          <w:bCs/>
        </w:rPr>
      </w:pPr>
      <w:r>
        <w:rPr>
          <w:bCs/>
        </w:rPr>
        <w:t>2</w:t>
      </w:r>
      <w:r>
        <w:rPr>
          <w:rFonts w:hint="eastAsia"/>
          <w:bCs/>
        </w:rPr>
        <w:t>、基金份额持有人在销售机构赎回时，每次对本基金的赎回申请不得低于</w:t>
      </w:r>
      <w:r>
        <w:rPr>
          <w:bCs/>
        </w:rPr>
        <w:t>0.01</w:t>
      </w:r>
      <w:r>
        <w:rPr>
          <w:rFonts w:hint="eastAsia"/>
          <w:bCs/>
        </w:rPr>
        <w:t>份基金份额。基金份额持有人赎回时或赎回后在销售机构（网点）保留的基金份额余额不足</w:t>
      </w:r>
      <w:r>
        <w:rPr>
          <w:bCs/>
        </w:rPr>
        <w:t>0.01</w:t>
      </w:r>
      <w:r>
        <w:rPr>
          <w:rFonts w:hint="eastAsia"/>
          <w:bCs/>
        </w:rPr>
        <w:t>份的，在赎回时需一次全部申请赎回。但各销售机构对交易账户最低份额余额有其他规定的，以各销售机构的业务规定为准。</w:t>
      </w:r>
    </w:p>
    <w:p w14:paraId="1DAB27DE">
      <w:pPr>
        <w:ind w:firstLine="480"/>
        <w:rPr>
          <w:bCs/>
        </w:rPr>
      </w:pPr>
      <w:r>
        <w:rPr>
          <w:rFonts w:hint="eastAsia"/>
          <w:bCs/>
        </w:rPr>
        <w:t>3、基金管理人可以规定单个投资人累计持有的基金份额上限，具体规定请参见更新的招募说明书或相关公告。</w:t>
      </w:r>
    </w:p>
    <w:p w14:paraId="42BBFB5F">
      <w:pPr>
        <w:ind w:firstLine="480"/>
        <w:rPr>
          <w:bCs/>
        </w:rPr>
      </w:pPr>
      <w:r>
        <w:rPr>
          <w:rFonts w:hint="eastAsia"/>
          <w:bCs/>
        </w:rPr>
        <w:t>4、基金管理人有权规定本基金的总规模限额、单日申购金额限制、单日净申购比例上限、单个投资者单日或单笔申购金额上限，具体规定请参见更新的招募说明书或相关公告。</w:t>
      </w:r>
    </w:p>
    <w:p w14:paraId="1FCC0362">
      <w:pPr>
        <w:ind w:firstLine="480"/>
        <w:rPr>
          <w:bCs/>
        </w:rPr>
      </w:pPr>
      <w:r>
        <w:rPr>
          <w:bCs/>
        </w:rPr>
        <w:t>5</w:t>
      </w:r>
      <w:r>
        <w:rPr>
          <w:rFonts w:hint="eastAsia"/>
          <w:bCs/>
        </w:rPr>
        <w:t>、</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55FAB0A">
      <w:pPr>
        <w:ind w:firstLine="480"/>
        <w:rPr>
          <w:bCs/>
        </w:rPr>
      </w:pPr>
      <w:r>
        <w:rPr>
          <w:bCs/>
        </w:rPr>
        <w:t>6</w:t>
      </w:r>
      <w:r>
        <w:rPr>
          <w:rFonts w:hint="eastAsia"/>
          <w:bCs/>
        </w:rPr>
        <w:t>、基金管理人可在法律法规允许的情况下，调整上述规定申购金额和赎回份额的数量限制。基金管理人必须在调整前依照《信息披露办法》的有关规定在规定媒介上公告。</w:t>
      </w:r>
    </w:p>
    <w:p w14:paraId="19522749">
      <w:pPr>
        <w:ind w:firstLine="482"/>
        <w:rPr>
          <w:b/>
        </w:rPr>
      </w:pPr>
      <w:r>
        <w:rPr>
          <w:rFonts w:hint="eastAsia"/>
          <w:b/>
        </w:rPr>
        <w:t>六、申购费用和赎回费用</w:t>
      </w:r>
    </w:p>
    <w:p w14:paraId="1A310BF4">
      <w:pPr>
        <w:ind w:firstLine="480"/>
      </w:pPr>
      <w:r>
        <w:t>1</w:t>
      </w:r>
      <w:r>
        <w:rPr>
          <w:rFonts w:hint="eastAsia"/>
        </w:rPr>
        <w:t>、申购费率</w:t>
      </w:r>
    </w:p>
    <w:p w14:paraId="6C13B630">
      <w:pPr>
        <w:ind w:firstLine="480"/>
      </w:pPr>
      <w:r>
        <w:rPr>
          <w:rFonts w:hint="eastAsia"/>
        </w:rPr>
        <w:t>投资者申购本基金A类基金份额时，需交纳申购费用；投资者如果有多笔A类基金份额申购，适用费率按单笔申购金额分别计算。本基金C类基金份额不收取申购费，而是从本类别基金资产中计提销售服务费。各销售机构销售的份额类别以其业务规定为准，敬请投资者留意。</w:t>
      </w:r>
    </w:p>
    <w:p w14:paraId="520CD653">
      <w:pPr>
        <w:ind w:firstLine="480"/>
      </w:pPr>
      <w:r>
        <w:rPr>
          <w:rFonts w:hint="eastAsia"/>
        </w:rPr>
        <w:t>本基金对通过直销中心申购A类基金份额的养老金客户与除此之外的其他投资者实施差别的申购费率。</w:t>
      </w:r>
    </w:p>
    <w:p w14:paraId="586DF02A">
      <w:pPr>
        <w:ind w:firstLine="480"/>
      </w:pPr>
      <w:r>
        <w:rPr>
          <w:rFonts w:hint="eastAsia"/>
        </w:rPr>
        <w:t>养老金客户指基本养老基金与依法成立的养老计划筹集的资金及其投资运营收益形成的补充养老基金等，具体包括：</w:t>
      </w:r>
    </w:p>
    <w:p w14:paraId="31180D7B">
      <w:pPr>
        <w:ind w:firstLine="480"/>
      </w:pPr>
      <w:r>
        <w:rPr>
          <w:rFonts w:hint="eastAsia"/>
        </w:rPr>
        <w:t>a、全国社会保障基金；</w:t>
      </w:r>
    </w:p>
    <w:p w14:paraId="75634027">
      <w:pPr>
        <w:ind w:firstLine="480"/>
      </w:pPr>
      <w:r>
        <w:rPr>
          <w:rFonts w:hint="eastAsia"/>
        </w:rPr>
        <w:t>b、可以投资基金的地方社会保障基金；</w:t>
      </w:r>
    </w:p>
    <w:p w14:paraId="00AA9B63">
      <w:pPr>
        <w:ind w:firstLine="480"/>
      </w:pPr>
      <w:r>
        <w:rPr>
          <w:rFonts w:hint="eastAsia"/>
        </w:rPr>
        <w:t>c、企业年金单一计划以及集合计划；</w:t>
      </w:r>
    </w:p>
    <w:p w14:paraId="2424EEF1">
      <w:pPr>
        <w:ind w:firstLine="480"/>
      </w:pPr>
      <w:r>
        <w:rPr>
          <w:rFonts w:hint="eastAsia"/>
        </w:rPr>
        <w:t>d、企业年金理事会委托的特定客户资产管理计划；</w:t>
      </w:r>
    </w:p>
    <w:p w14:paraId="2F470368">
      <w:pPr>
        <w:ind w:firstLine="480"/>
      </w:pPr>
      <w:r>
        <w:rPr>
          <w:rFonts w:hint="eastAsia"/>
        </w:rPr>
        <w:t>e、企业年金养老金产品；</w:t>
      </w:r>
    </w:p>
    <w:p w14:paraId="030C2A3B">
      <w:pPr>
        <w:ind w:firstLine="480"/>
      </w:pPr>
      <w:r>
        <w:rPr>
          <w:rFonts w:hint="eastAsia"/>
        </w:rPr>
        <w:t>f、个人税收递延型商业养老保险等产品；</w:t>
      </w:r>
    </w:p>
    <w:p w14:paraId="53D561C0">
      <w:pPr>
        <w:ind w:firstLine="480"/>
      </w:pPr>
      <w:r>
        <w:rPr>
          <w:rFonts w:hint="eastAsia"/>
        </w:rPr>
        <w:t>g、养老目标基金；</w:t>
      </w:r>
    </w:p>
    <w:p w14:paraId="5C997CBB">
      <w:pPr>
        <w:ind w:firstLine="480"/>
      </w:pPr>
      <w:r>
        <w:rPr>
          <w:rFonts w:hint="eastAsia"/>
        </w:rPr>
        <w:t>h、职业年金计划。</w:t>
      </w:r>
    </w:p>
    <w:p w14:paraId="69637B2E">
      <w:pPr>
        <w:ind w:firstLine="480"/>
        <w:rPr>
          <w:bCs/>
        </w:rPr>
      </w:pPr>
      <w:r>
        <w:rPr>
          <w:rFonts w:hint="eastAsia"/>
          <w:bCs/>
        </w:rPr>
        <w:t>如将来出现经养老基金监管部门认可的新的养老基金类型，本公司将发布临时公告将其纳入养老金客户范围。非养老金客户指除养老金客户外的其他投资者。</w:t>
      </w:r>
    </w:p>
    <w:p w14:paraId="3BAF9C99">
      <w:pPr>
        <w:ind w:firstLine="480"/>
        <w:rPr>
          <w:bCs/>
        </w:rPr>
      </w:pPr>
      <w:r>
        <w:rPr>
          <w:rFonts w:hint="eastAsia"/>
          <w:bCs/>
        </w:rPr>
        <w:t>本基金A类基金份额的申购费率见下表：</w:t>
      </w:r>
    </w:p>
    <w:tbl>
      <w:tblPr>
        <w:tblStyle w:val="42"/>
        <w:tblW w:w="8495" w:type="dxa"/>
        <w:jc w:val="center"/>
        <w:tblLayout w:type="fixed"/>
        <w:tblCellMar>
          <w:top w:w="0" w:type="dxa"/>
          <w:left w:w="108" w:type="dxa"/>
          <w:bottom w:w="0" w:type="dxa"/>
          <w:right w:w="108" w:type="dxa"/>
        </w:tblCellMar>
      </w:tblPr>
      <w:tblGrid>
        <w:gridCol w:w="3109"/>
        <w:gridCol w:w="2693"/>
        <w:gridCol w:w="2693"/>
      </w:tblGrid>
      <w:tr w14:paraId="1BD40984">
        <w:tblPrEx>
          <w:tblCellMar>
            <w:top w:w="0" w:type="dxa"/>
            <w:left w:w="108" w:type="dxa"/>
            <w:bottom w:w="0" w:type="dxa"/>
            <w:right w:w="108" w:type="dxa"/>
          </w:tblCellMar>
        </w:tblPrEx>
        <w:trPr>
          <w:trHeight w:val="239" w:hRule="atLeast"/>
          <w:jc w:val="center"/>
        </w:trPr>
        <w:tc>
          <w:tcPr>
            <w:tcW w:w="3109" w:type="dxa"/>
            <w:tcBorders>
              <w:top w:val="single" w:color="000000" w:sz="8" w:space="0"/>
              <w:left w:val="single" w:color="000000" w:sz="8" w:space="0"/>
              <w:bottom w:val="single" w:color="000000" w:sz="8" w:space="0"/>
              <w:right w:val="single" w:color="000000" w:sz="8" w:space="0"/>
            </w:tcBorders>
            <w:vAlign w:val="center"/>
          </w:tcPr>
          <w:p w14:paraId="15EE57DB">
            <w:pPr>
              <w:ind w:firstLine="0" w:firstLineChars="0"/>
              <w:rPr>
                <w:b/>
              </w:rPr>
            </w:pPr>
            <w:r>
              <w:rPr>
                <w:caps/>
                <w:szCs w:val="20"/>
              </w:rPr>
              <w:t>申购金额M（含申购费）</w:t>
            </w:r>
          </w:p>
        </w:tc>
        <w:tc>
          <w:tcPr>
            <w:tcW w:w="2693" w:type="dxa"/>
            <w:tcBorders>
              <w:top w:val="single" w:color="000000" w:sz="8" w:space="0"/>
              <w:left w:val="single" w:color="000000" w:sz="8" w:space="0"/>
              <w:bottom w:val="single" w:color="000000" w:sz="8" w:space="0"/>
              <w:right w:val="single" w:color="000000" w:sz="8" w:space="0"/>
            </w:tcBorders>
            <w:vAlign w:val="center"/>
          </w:tcPr>
          <w:p w14:paraId="3E2DCE32">
            <w:pPr>
              <w:ind w:firstLine="0" w:firstLineChars="0"/>
              <w:jc w:val="center"/>
              <w:rPr>
                <w:b/>
              </w:rPr>
            </w:pPr>
            <w:r>
              <w:rPr>
                <w:caps/>
                <w:szCs w:val="20"/>
              </w:rPr>
              <w:t>申购费率（通过直销中心申购的养老金客户）</w:t>
            </w:r>
          </w:p>
        </w:tc>
        <w:tc>
          <w:tcPr>
            <w:tcW w:w="2693" w:type="dxa"/>
            <w:tcBorders>
              <w:top w:val="single" w:color="000000" w:sz="8" w:space="0"/>
              <w:left w:val="single" w:color="000000" w:sz="8" w:space="0"/>
              <w:bottom w:val="single" w:color="000000" w:sz="8" w:space="0"/>
              <w:right w:val="single" w:color="000000" w:sz="8" w:space="0"/>
            </w:tcBorders>
            <w:vAlign w:val="center"/>
          </w:tcPr>
          <w:p w14:paraId="6B8B0C64">
            <w:pPr>
              <w:ind w:firstLine="0" w:firstLineChars="0"/>
              <w:jc w:val="center"/>
              <w:rPr>
                <w:b/>
              </w:rPr>
            </w:pPr>
            <w:r>
              <w:rPr>
                <w:caps/>
                <w:szCs w:val="20"/>
              </w:rPr>
              <w:t>申购费率（</w:t>
            </w:r>
            <w:r>
              <w:rPr>
                <w:rFonts w:hint="eastAsia"/>
                <w:caps/>
                <w:szCs w:val="20"/>
              </w:rPr>
              <w:t>其他投资者</w:t>
            </w:r>
            <w:r>
              <w:rPr>
                <w:caps/>
                <w:szCs w:val="20"/>
              </w:rPr>
              <w:t>）</w:t>
            </w:r>
          </w:p>
        </w:tc>
      </w:tr>
      <w:tr w14:paraId="596EB9C9">
        <w:tblPrEx>
          <w:tblCellMar>
            <w:top w:w="0" w:type="dxa"/>
            <w:left w:w="108" w:type="dxa"/>
            <w:bottom w:w="0" w:type="dxa"/>
            <w:right w:w="108" w:type="dxa"/>
          </w:tblCellMar>
        </w:tblPrEx>
        <w:trPr>
          <w:trHeight w:val="239" w:hRule="atLeast"/>
          <w:jc w:val="center"/>
        </w:trPr>
        <w:tc>
          <w:tcPr>
            <w:tcW w:w="3109" w:type="dxa"/>
            <w:tcBorders>
              <w:top w:val="single" w:color="000000" w:sz="8" w:space="0"/>
              <w:left w:val="single" w:color="000000" w:sz="8" w:space="0"/>
              <w:bottom w:val="single" w:color="000000" w:sz="8" w:space="0"/>
              <w:right w:val="single" w:color="000000" w:sz="8" w:space="0"/>
            </w:tcBorders>
            <w:vAlign w:val="center"/>
          </w:tcPr>
          <w:p w14:paraId="4B088BBE">
            <w:pPr>
              <w:ind w:firstLine="0" w:firstLineChars="0"/>
              <w:jc w:val="center"/>
            </w:pPr>
            <w:r>
              <w:rPr>
                <w:caps/>
                <w:szCs w:val="20"/>
              </w:rPr>
              <w:t>M＜100万元</w:t>
            </w:r>
          </w:p>
        </w:tc>
        <w:tc>
          <w:tcPr>
            <w:tcW w:w="2693" w:type="dxa"/>
            <w:tcBorders>
              <w:top w:val="single" w:color="000000" w:sz="8" w:space="0"/>
              <w:left w:val="single" w:color="000000" w:sz="8" w:space="0"/>
              <w:bottom w:val="single" w:color="000000" w:sz="8" w:space="0"/>
              <w:right w:val="single" w:color="000000" w:sz="8" w:space="0"/>
            </w:tcBorders>
            <w:vAlign w:val="center"/>
          </w:tcPr>
          <w:p w14:paraId="270CAA87">
            <w:pPr>
              <w:ind w:firstLine="0" w:firstLineChars="0"/>
              <w:jc w:val="center"/>
            </w:pPr>
            <w:r>
              <w:rPr>
                <w:caps/>
                <w:szCs w:val="20"/>
              </w:rPr>
              <w:t>0.08%</w:t>
            </w:r>
          </w:p>
        </w:tc>
        <w:tc>
          <w:tcPr>
            <w:tcW w:w="2693" w:type="dxa"/>
            <w:tcBorders>
              <w:top w:val="single" w:color="000000" w:sz="8" w:space="0"/>
              <w:left w:val="single" w:color="000000" w:sz="8" w:space="0"/>
              <w:bottom w:val="single" w:color="000000" w:sz="8" w:space="0"/>
              <w:right w:val="single" w:color="000000" w:sz="8" w:space="0"/>
            </w:tcBorders>
            <w:vAlign w:val="center"/>
          </w:tcPr>
          <w:p w14:paraId="59C8AC9F">
            <w:pPr>
              <w:ind w:firstLine="0" w:firstLineChars="0"/>
              <w:jc w:val="center"/>
            </w:pPr>
            <w:r>
              <w:rPr>
                <w:caps/>
                <w:szCs w:val="20"/>
              </w:rPr>
              <w:t>0.80%</w:t>
            </w:r>
          </w:p>
        </w:tc>
      </w:tr>
      <w:tr w14:paraId="1D87BEA3">
        <w:tblPrEx>
          <w:tblCellMar>
            <w:top w:w="0" w:type="dxa"/>
            <w:left w:w="108" w:type="dxa"/>
            <w:bottom w:w="0" w:type="dxa"/>
            <w:right w:w="108" w:type="dxa"/>
          </w:tblCellMar>
        </w:tblPrEx>
        <w:trPr>
          <w:trHeight w:val="239" w:hRule="atLeast"/>
          <w:jc w:val="center"/>
        </w:trPr>
        <w:tc>
          <w:tcPr>
            <w:tcW w:w="3109" w:type="dxa"/>
            <w:tcBorders>
              <w:top w:val="single" w:color="000000" w:sz="8" w:space="0"/>
              <w:left w:val="single" w:color="000000" w:sz="8" w:space="0"/>
              <w:bottom w:val="single" w:color="000000" w:sz="8" w:space="0"/>
              <w:right w:val="single" w:color="000000" w:sz="8" w:space="0"/>
            </w:tcBorders>
            <w:vAlign w:val="center"/>
          </w:tcPr>
          <w:p w14:paraId="64ECF611">
            <w:pPr>
              <w:ind w:firstLine="0" w:firstLineChars="0"/>
              <w:jc w:val="center"/>
            </w:pPr>
            <w:r>
              <w:rPr>
                <w:caps/>
                <w:szCs w:val="20"/>
              </w:rPr>
              <w:t>100万元≤M＜500万元</w:t>
            </w:r>
          </w:p>
        </w:tc>
        <w:tc>
          <w:tcPr>
            <w:tcW w:w="2693" w:type="dxa"/>
            <w:tcBorders>
              <w:top w:val="single" w:color="000000" w:sz="8" w:space="0"/>
              <w:left w:val="single" w:color="000000" w:sz="8" w:space="0"/>
              <w:bottom w:val="single" w:color="000000" w:sz="8" w:space="0"/>
              <w:right w:val="single" w:color="000000" w:sz="8" w:space="0"/>
            </w:tcBorders>
            <w:vAlign w:val="center"/>
          </w:tcPr>
          <w:p w14:paraId="058FB910">
            <w:pPr>
              <w:ind w:firstLine="0" w:firstLineChars="0"/>
              <w:jc w:val="center"/>
            </w:pPr>
            <w:r>
              <w:rPr>
                <w:caps/>
                <w:szCs w:val="20"/>
              </w:rPr>
              <w:t>0.05%</w:t>
            </w:r>
          </w:p>
        </w:tc>
        <w:tc>
          <w:tcPr>
            <w:tcW w:w="2693" w:type="dxa"/>
            <w:tcBorders>
              <w:top w:val="single" w:color="000000" w:sz="8" w:space="0"/>
              <w:left w:val="single" w:color="000000" w:sz="8" w:space="0"/>
              <w:bottom w:val="single" w:color="000000" w:sz="8" w:space="0"/>
              <w:right w:val="single" w:color="000000" w:sz="8" w:space="0"/>
            </w:tcBorders>
            <w:vAlign w:val="center"/>
          </w:tcPr>
          <w:p w14:paraId="06BCFDE7">
            <w:pPr>
              <w:ind w:firstLine="0" w:firstLineChars="0"/>
              <w:jc w:val="center"/>
            </w:pPr>
            <w:r>
              <w:rPr>
                <w:caps/>
                <w:szCs w:val="20"/>
              </w:rPr>
              <w:t>0.50%</w:t>
            </w:r>
          </w:p>
        </w:tc>
      </w:tr>
      <w:tr w14:paraId="4A222D43">
        <w:tblPrEx>
          <w:tblCellMar>
            <w:top w:w="0" w:type="dxa"/>
            <w:left w:w="108" w:type="dxa"/>
            <w:bottom w:w="0" w:type="dxa"/>
            <w:right w:w="108" w:type="dxa"/>
          </w:tblCellMar>
        </w:tblPrEx>
        <w:trPr>
          <w:trHeight w:val="239" w:hRule="atLeast"/>
          <w:jc w:val="center"/>
        </w:trPr>
        <w:tc>
          <w:tcPr>
            <w:tcW w:w="3109" w:type="dxa"/>
            <w:tcBorders>
              <w:top w:val="single" w:color="000000" w:sz="8" w:space="0"/>
              <w:left w:val="single" w:color="000000" w:sz="8" w:space="0"/>
              <w:bottom w:val="single" w:color="000000" w:sz="8" w:space="0"/>
              <w:right w:val="single" w:color="000000" w:sz="8" w:space="0"/>
            </w:tcBorders>
            <w:vAlign w:val="center"/>
          </w:tcPr>
          <w:p w14:paraId="6B9F6F0D">
            <w:pPr>
              <w:ind w:firstLine="0" w:firstLineChars="0"/>
              <w:jc w:val="center"/>
            </w:pPr>
            <w:r>
              <w:rPr>
                <w:caps/>
                <w:szCs w:val="20"/>
              </w:rPr>
              <w:t>M≥500万元</w:t>
            </w:r>
          </w:p>
        </w:tc>
        <w:tc>
          <w:tcPr>
            <w:tcW w:w="5386" w:type="dxa"/>
            <w:gridSpan w:val="2"/>
            <w:tcBorders>
              <w:top w:val="single" w:color="000000" w:sz="8" w:space="0"/>
              <w:left w:val="single" w:color="000000" w:sz="8" w:space="0"/>
              <w:bottom w:val="single" w:color="000000" w:sz="8" w:space="0"/>
              <w:right w:val="single" w:color="000000" w:sz="8" w:space="0"/>
            </w:tcBorders>
            <w:vAlign w:val="center"/>
          </w:tcPr>
          <w:p w14:paraId="097A8A79">
            <w:pPr>
              <w:ind w:firstLine="0" w:firstLineChars="0"/>
              <w:jc w:val="center"/>
            </w:pPr>
            <w:r>
              <w:rPr>
                <w:caps/>
                <w:szCs w:val="20"/>
              </w:rPr>
              <w:t>1,000元/笔</w:t>
            </w:r>
          </w:p>
        </w:tc>
      </w:tr>
    </w:tbl>
    <w:p w14:paraId="5EE5B131">
      <w:pPr>
        <w:ind w:firstLine="480"/>
      </w:pPr>
      <w:r>
        <w:rPr>
          <w:bCs/>
        </w:rPr>
        <w:t>A类基金份额的申购费用由</w:t>
      </w:r>
      <w:r>
        <w:rPr>
          <w:rFonts w:hint="eastAsia"/>
          <w:bCs/>
        </w:rPr>
        <w:t>申购</w:t>
      </w:r>
      <w:r>
        <w:rPr>
          <w:bCs/>
        </w:rPr>
        <w:t>A类基金份额的投资者承担，不列入基金财产</w:t>
      </w:r>
      <w:r>
        <w:t>，主要用于基金的市场推广、销售、登记等募集期间发生的各项费用。</w:t>
      </w:r>
    </w:p>
    <w:p w14:paraId="211DF75E">
      <w:pPr>
        <w:ind w:firstLine="480"/>
      </w:pPr>
      <w:r>
        <w:t>2、赎回费率</w:t>
      </w:r>
    </w:p>
    <w:p w14:paraId="310D7C91">
      <w:pPr>
        <w:ind w:firstLine="480"/>
        <w:rPr>
          <w:bCs/>
        </w:rPr>
      </w:pPr>
      <w:r>
        <w:rPr>
          <w:rFonts w:hint="eastAsia"/>
          <w:bCs/>
        </w:rPr>
        <w:t>（1）本基金A类基金份额和C类基金份额的赎回费用由赎回基金份额的基金份额持有人承担，在基金份额持有人赎回基金份额时收取。投资者赎回本基金所对应的赎回费率随持有时间递减。赎回费率见下表</w:t>
      </w:r>
      <w:r>
        <w:rPr>
          <w:bCs/>
        </w:rPr>
        <w:t>：</w:t>
      </w:r>
    </w:p>
    <w:p w14:paraId="698D4A38">
      <w:pPr>
        <w:ind w:firstLine="480"/>
        <w:rPr>
          <w:bCs/>
        </w:rPr>
      </w:pPr>
      <w:r>
        <w:rPr>
          <w:rFonts w:hint="eastAsia"/>
          <w:bCs/>
        </w:rPr>
        <w:t>A类基金份额赎回费率：</w:t>
      </w:r>
    </w:p>
    <w:tbl>
      <w:tblPr>
        <w:tblStyle w:val="42"/>
        <w:tblW w:w="7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3130"/>
      </w:tblGrid>
      <w:tr w14:paraId="439C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106" w:type="dxa"/>
            <w:vAlign w:val="center"/>
          </w:tcPr>
          <w:p w14:paraId="2729F860">
            <w:pPr>
              <w:ind w:firstLine="0" w:firstLineChars="0"/>
              <w:jc w:val="center"/>
              <w:rPr>
                <w:b/>
              </w:rPr>
            </w:pPr>
            <w:r>
              <w:rPr>
                <w:caps/>
                <w:kern w:val="0"/>
                <w:szCs w:val="20"/>
              </w:rPr>
              <w:t>持有期限（N）</w:t>
            </w:r>
          </w:p>
        </w:tc>
        <w:tc>
          <w:tcPr>
            <w:tcW w:w="3130" w:type="dxa"/>
            <w:vAlign w:val="center"/>
          </w:tcPr>
          <w:p w14:paraId="34F42C0C">
            <w:pPr>
              <w:ind w:firstLine="0" w:firstLineChars="0"/>
              <w:jc w:val="center"/>
              <w:rPr>
                <w:b/>
              </w:rPr>
            </w:pPr>
            <w:r>
              <w:rPr>
                <w:caps/>
                <w:kern w:val="0"/>
                <w:szCs w:val="20"/>
              </w:rPr>
              <w:t>赎回费率</w:t>
            </w:r>
          </w:p>
        </w:tc>
      </w:tr>
      <w:tr w14:paraId="7F5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106" w:type="dxa"/>
          </w:tcPr>
          <w:p w14:paraId="1D9D2468">
            <w:pPr>
              <w:ind w:firstLine="0" w:firstLineChars="0"/>
              <w:jc w:val="center"/>
            </w:pPr>
            <w:r>
              <w:rPr>
                <w:caps/>
                <w:kern w:val="0"/>
                <w:szCs w:val="20"/>
              </w:rPr>
              <w:t>N＜7日</w:t>
            </w:r>
          </w:p>
        </w:tc>
        <w:tc>
          <w:tcPr>
            <w:tcW w:w="3130" w:type="dxa"/>
          </w:tcPr>
          <w:p w14:paraId="47917575">
            <w:pPr>
              <w:ind w:firstLine="0" w:firstLineChars="0"/>
              <w:jc w:val="center"/>
            </w:pPr>
            <w:r>
              <w:rPr>
                <w:caps/>
                <w:kern w:val="0"/>
                <w:szCs w:val="20"/>
              </w:rPr>
              <w:t>1.50%</w:t>
            </w:r>
          </w:p>
        </w:tc>
      </w:tr>
      <w:tr w14:paraId="4CBB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106" w:type="dxa"/>
            <w:vAlign w:val="center"/>
          </w:tcPr>
          <w:p w14:paraId="5A8A00F1">
            <w:pPr>
              <w:ind w:firstLine="0" w:firstLineChars="0"/>
              <w:jc w:val="center"/>
              <w:rPr>
                <w:caps/>
                <w:kern w:val="0"/>
                <w:szCs w:val="20"/>
              </w:rPr>
            </w:pPr>
            <w:r>
              <w:rPr>
                <w:rFonts w:hint="eastAsia"/>
                <w:caps/>
                <w:kern w:val="0"/>
                <w:szCs w:val="20"/>
              </w:rPr>
              <w:t>N≥</w:t>
            </w:r>
            <w:r>
              <w:rPr>
                <w:caps/>
                <w:kern w:val="0"/>
                <w:szCs w:val="20"/>
              </w:rPr>
              <w:t>7</w:t>
            </w:r>
            <w:r>
              <w:rPr>
                <w:rFonts w:hint="eastAsia"/>
                <w:caps/>
                <w:kern w:val="0"/>
                <w:szCs w:val="20"/>
              </w:rPr>
              <w:t>日</w:t>
            </w:r>
          </w:p>
        </w:tc>
        <w:tc>
          <w:tcPr>
            <w:tcW w:w="3130" w:type="dxa"/>
            <w:vAlign w:val="center"/>
          </w:tcPr>
          <w:p w14:paraId="0B7392B8">
            <w:pPr>
              <w:ind w:firstLine="0" w:firstLineChars="0"/>
              <w:jc w:val="center"/>
              <w:rPr>
                <w:caps/>
                <w:kern w:val="0"/>
                <w:szCs w:val="20"/>
              </w:rPr>
            </w:pPr>
            <w:r>
              <w:rPr>
                <w:rFonts w:hint="eastAsia"/>
                <w:caps/>
                <w:kern w:val="0"/>
                <w:szCs w:val="20"/>
              </w:rPr>
              <w:t>0</w:t>
            </w:r>
          </w:p>
        </w:tc>
      </w:tr>
    </w:tbl>
    <w:p w14:paraId="703DD25B">
      <w:pPr>
        <w:ind w:firstLine="480"/>
      </w:pPr>
      <w:r>
        <w:rPr>
          <w:rFonts w:hint="eastAsia"/>
        </w:rPr>
        <w:t>C类基金份额赎回费率：</w:t>
      </w:r>
    </w:p>
    <w:tbl>
      <w:tblPr>
        <w:tblStyle w:val="42"/>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3168"/>
      </w:tblGrid>
      <w:tr w14:paraId="1F7E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tcBorders>
              <w:top w:val="single" w:color="auto" w:sz="4" w:space="0"/>
              <w:left w:val="single" w:color="auto" w:sz="4" w:space="0"/>
              <w:bottom w:val="single" w:color="auto" w:sz="4" w:space="0"/>
              <w:right w:val="single" w:color="auto" w:sz="4" w:space="0"/>
            </w:tcBorders>
            <w:vAlign w:val="center"/>
          </w:tcPr>
          <w:p w14:paraId="5B91C6CA">
            <w:pPr>
              <w:ind w:firstLine="1200" w:firstLineChars="500"/>
              <w:rPr>
                <w:bCs/>
              </w:rPr>
            </w:pPr>
            <w:r>
              <w:rPr>
                <w:bCs/>
              </w:rPr>
              <w:t>持有期限（N</w:t>
            </w:r>
            <w:r>
              <w:rPr>
                <w:rFonts w:ascii="宋体" w:hAnsi="宋体"/>
                <w:bCs/>
              </w:rPr>
              <w:t>）</w:t>
            </w:r>
          </w:p>
        </w:tc>
        <w:tc>
          <w:tcPr>
            <w:tcW w:w="3168" w:type="dxa"/>
            <w:tcBorders>
              <w:top w:val="single" w:color="auto" w:sz="4" w:space="0"/>
              <w:left w:val="nil"/>
              <w:bottom w:val="single" w:color="auto" w:sz="4" w:space="0"/>
              <w:right w:val="single" w:color="auto" w:sz="4" w:space="0"/>
            </w:tcBorders>
            <w:vAlign w:val="center"/>
          </w:tcPr>
          <w:p w14:paraId="146D044E">
            <w:pPr>
              <w:ind w:firstLine="960" w:firstLineChars="400"/>
              <w:rPr>
                <w:bCs/>
              </w:rPr>
            </w:pPr>
            <w:r>
              <w:rPr>
                <w:bCs/>
              </w:rPr>
              <w:t>赎回费率</w:t>
            </w:r>
          </w:p>
        </w:tc>
      </w:tr>
      <w:tr w14:paraId="4E2D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112" w:type="dxa"/>
            <w:tcBorders>
              <w:top w:val="single" w:color="auto" w:sz="4" w:space="0"/>
              <w:left w:val="single" w:color="auto" w:sz="4" w:space="0"/>
              <w:bottom w:val="single" w:color="auto" w:sz="4" w:space="0"/>
              <w:right w:val="single" w:color="auto" w:sz="4" w:space="0"/>
            </w:tcBorders>
          </w:tcPr>
          <w:p w14:paraId="57DAF5D3">
            <w:pPr>
              <w:ind w:firstLine="1440" w:firstLineChars="600"/>
            </w:pPr>
            <w:r>
              <w:rPr>
                <w:caps/>
                <w:kern w:val="0"/>
                <w:szCs w:val="20"/>
              </w:rPr>
              <w:t>N＜7日</w:t>
            </w:r>
          </w:p>
        </w:tc>
        <w:tc>
          <w:tcPr>
            <w:tcW w:w="3168" w:type="dxa"/>
            <w:tcBorders>
              <w:top w:val="single" w:color="auto" w:sz="4" w:space="0"/>
              <w:left w:val="nil"/>
              <w:bottom w:val="single" w:color="auto" w:sz="4" w:space="0"/>
              <w:right w:val="single" w:color="auto" w:sz="4" w:space="0"/>
            </w:tcBorders>
          </w:tcPr>
          <w:p w14:paraId="38075B41">
            <w:pPr>
              <w:ind w:firstLine="1200" w:firstLineChars="500"/>
            </w:pPr>
            <w:r>
              <w:rPr>
                <w:caps/>
                <w:kern w:val="0"/>
                <w:szCs w:val="20"/>
              </w:rPr>
              <w:t>1.50%</w:t>
            </w:r>
          </w:p>
        </w:tc>
      </w:tr>
      <w:tr w14:paraId="7305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2" w:type="dxa"/>
            <w:tcBorders>
              <w:top w:val="single" w:color="auto" w:sz="4" w:space="0"/>
              <w:left w:val="single" w:color="auto" w:sz="4" w:space="0"/>
              <w:bottom w:val="single" w:color="auto" w:sz="4" w:space="0"/>
              <w:right w:val="single" w:color="auto" w:sz="4" w:space="0"/>
            </w:tcBorders>
            <w:vAlign w:val="center"/>
          </w:tcPr>
          <w:p w14:paraId="2638BEB0">
            <w:pPr>
              <w:ind w:firstLine="1440" w:firstLineChars="600"/>
            </w:pPr>
            <w:r>
              <w:rPr>
                <w:rFonts w:hint="eastAsia"/>
                <w:caps/>
                <w:kern w:val="0"/>
                <w:szCs w:val="20"/>
              </w:rPr>
              <w:t>N≥</w:t>
            </w:r>
            <w:r>
              <w:rPr>
                <w:caps/>
                <w:kern w:val="0"/>
                <w:szCs w:val="20"/>
              </w:rPr>
              <w:t>7</w:t>
            </w:r>
            <w:r>
              <w:rPr>
                <w:rFonts w:hint="eastAsia"/>
                <w:caps/>
                <w:kern w:val="0"/>
                <w:szCs w:val="20"/>
              </w:rPr>
              <w:t>日</w:t>
            </w:r>
          </w:p>
        </w:tc>
        <w:tc>
          <w:tcPr>
            <w:tcW w:w="3168" w:type="dxa"/>
            <w:tcBorders>
              <w:top w:val="single" w:color="auto" w:sz="4" w:space="0"/>
              <w:left w:val="nil"/>
              <w:bottom w:val="single" w:color="auto" w:sz="4" w:space="0"/>
              <w:right w:val="single" w:color="auto" w:sz="4" w:space="0"/>
            </w:tcBorders>
            <w:vAlign w:val="center"/>
          </w:tcPr>
          <w:p w14:paraId="4F068412">
            <w:pPr>
              <w:ind w:firstLine="1440" w:firstLineChars="600"/>
            </w:pPr>
            <w:r>
              <w:rPr>
                <w:rFonts w:hint="eastAsia"/>
                <w:caps/>
                <w:kern w:val="0"/>
                <w:szCs w:val="20"/>
              </w:rPr>
              <w:t>0</w:t>
            </w:r>
          </w:p>
        </w:tc>
      </w:tr>
    </w:tbl>
    <w:p w14:paraId="2FF17D24">
      <w:pPr>
        <w:widowControl/>
        <w:spacing w:line="240" w:lineRule="auto"/>
        <w:ind w:firstLine="480"/>
        <w:jc w:val="left"/>
      </w:pPr>
      <w:r>
        <w:rPr>
          <w:rFonts w:hint="eastAsia"/>
        </w:rPr>
        <w:t>（注：赎回份额持有时间的计算，以该份额自登记机构确认之日开始计算。）</w:t>
      </w:r>
    </w:p>
    <w:p w14:paraId="3FED4D32">
      <w:pPr>
        <w:ind w:firstLine="480"/>
        <w:rPr>
          <w:bCs/>
          <w:szCs w:val="20"/>
        </w:rPr>
      </w:pPr>
      <w:r>
        <w:rPr>
          <w:rFonts w:hint="eastAsia"/>
        </w:rPr>
        <w:t>（2）对持续持有期少于7日的投资者收取的赎回费，将全额计入基金财产。</w:t>
      </w:r>
    </w:p>
    <w:p w14:paraId="6D9DCE01">
      <w:pPr>
        <w:ind w:firstLine="480"/>
      </w:pPr>
      <w:r>
        <w:t>3</w:t>
      </w:r>
      <w:r>
        <w:rPr>
          <w:rFonts w:hint="eastAsia"/>
        </w:rPr>
        <w:t>、</w:t>
      </w:r>
      <w:r>
        <w:rPr>
          <w:rFonts w:hint="eastAsia"/>
          <w:bCs/>
        </w:rPr>
        <w:t>基金管理人可以在基金合同约定的范围内调整费率或收费方式，并最迟应于新的费率或收费方式实施日前依照《信息披露办法》的有关规定在规定媒介上公告</w:t>
      </w:r>
      <w:r>
        <w:rPr>
          <w:bCs/>
        </w:rPr>
        <w:t>。</w:t>
      </w:r>
    </w:p>
    <w:p w14:paraId="40166B98">
      <w:pPr>
        <w:ind w:firstLine="480"/>
      </w:pPr>
      <w:r>
        <w:rPr>
          <w:rFonts w:hint="eastAsia"/>
        </w:rPr>
        <w:t>4、</w:t>
      </w: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587E44D2">
      <w:pPr>
        <w:ind w:firstLine="480"/>
        <w:rPr>
          <w:bCs/>
        </w:rPr>
      </w:pPr>
      <w:r>
        <w:rPr>
          <w:rFonts w:hint="eastAsia"/>
        </w:rPr>
        <w:t>5、</w:t>
      </w:r>
      <w:r>
        <w:rPr>
          <w:bCs/>
        </w:rPr>
        <w:t>当本基金发生大额申购或赎回情形时，基金管理人可以采用摆动定价机制</w:t>
      </w:r>
      <w:r>
        <w:rPr>
          <w:rFonts w:hint="eastAsia"/>
          <w:bCs/>
        </w:rPr>
        <w:t>，</w:t>
      </w:r>
      <w:r>
        <w:rPr>
          <w:bCs/>
        </w:rPr>
        <w:t>以确保基金估值的公平性。具体处理原则与操作规范遵循相关法律法规以及监管部门、自律规则的规定。</w:t>
      </w:r>
    </w:p>
    <w:p w14:paraId="14F40FCB">
      <w:pPr>
        <w:ind w:firstLine="482"/>
        <w:rPr>
          <w:b/>
        </w:rPr>
      </w:pPr>
      <w:bookmarkStart w:id="45" w:name="_Toc79392613"/>
      <w:r>
        <w:rPr>
          <w:rFonts w:hint="eastAsia"/>
          <w:b/>
        </w:rPr>
        <w:t>七、申购份额与赎回金额的计算</w:t>
      </w:r>
      <w:bookmarkEnd w:id="45"/>
    </w:p>
    <w:p w14:paraId="201FB85B">
      <w:pPr>
        <w:ind w:firstLine="480"/>
      </w:pPr>
      <w:r>
        <w:rPr>
          <w:rFonts w:hint="eastAsia"/>
        </w:rPr>
        <w:t>1、申购份额的计算</w:t>
      </w:r>
    </w:p>
    <w:p w14:paraId="62C9BCD7">
      <w:pPr>
        <w:ind w:firstLine="480"/>
      </w:pPr>
      <w:r>
        <w:rPr>
          <w:rFonts w:hint="eastAsia"/>
        </w:rPr>
        <w:t>（1）投资者申购本基金A类基金份额的计算方式</w:t>
      </w:r>
    </w:p>
    <w:p w14:paraId="4B6BC5AB">
      <w:pPr>
        <w:ind w:firstLine="480"/>
      </w:pPr>
      <w:r>
        <w:rPr>
          <w:rFonts w:hint="eastAsia"/>
        </w:rPr>
        <w:t>当申购费用适用比例费率时，申购份额的计算方法如下：</w:t>
      </w:r>
    </w:p>
    <w:p w14:paraId="6DF7D2F3">
      <w:pPr>
        <w:ind w:firstLine="480"/>
      </w:pPr>
      <w:r>
        <w:rPr>
          <w:rFonts w:hint="eastAsia"/>
        </w:rPr>
        <w:t>净申购金额＝申购金额/（1＋申购费率）</w:t>
      </w:r>
    </w:p>
    <w:p w14:paraId="591D36C0">
      <w:pPr>
        <w:ind w:firstLine="480"/>
      </w:pPr>
      <w:r>
        <w:rPr>
          <w:rFonts w:hint="eastAsia"/>
        </w:rPr>
        <w:t>申购费用＝申购金额－净申购金额</w:t>
      </w:r>
    </w:p>
    <w:p w14:paraId="733AEA4D">
      <w:pPr>
        <w:ind w:firstLine="480"/>
      </w:pPr>
      <w:r>
        <w:rPr>
          <w:rFonts w:hint="eastAsia"/>
        </w:rPr>
        <w:t>申购份额＝净申购金额/申购日A类基金份额净值</w:t>
      </w:r>
    </w:p>
    <w:p w14:paraId="107D184E">
      <w:pPr>
        <w:ind w:firstLine="480"/>
      </w:pPr>
      <w:r>
        <w:rPr>
          <w:rFonts w:hint="eastAsia"/>
        </w:rPr>
        <w:t>当申购费用为固定金额时，申购份额的计算方法如下：</w:t>
      </w:r>
    </w:p>
    <w:p w14:paraId="4418CE04">
      <w:pPr>
        <w:ind w:firstLine="480"/>
      </w:pPr>
      <w:r>
        <w:rPr>
          <w:rFonts w:hint="eastAsia"/>
        </w:rPr>
        <w:t>申购费用＝固定金额</w:t>
      </w:r>
    </w:p>
    <w:p w14:paraId="6E505FFA">
      <w:pPr>
        <w:ind w:firstLine="480"/>
      </w:pPr>
      <w:r>
        <w:rPr>
          <w:rFonts w:hint="eastAsia"/>
        </w:rPr>
        <w:t>净申购金额＝申购金额－申购费用</w:t>
      </w:r>
    </w:p>
    <w:p w14:paraId="1C1AFC73">
      <w:pPr>
        <w:ind w:firstLine="480"/>
      </w:pPr>
      <w:r>
        <w:rPr>
          <w:rFonts w:hint="eastAsia"/>
        </w:rPr>
        <w:t>申购份额＝净申购金额/申购日A类基金份额净值</w:t>
      </w:r>
    </w:p>
    <w:p w14:paraId="013D076F">
      <w:pPr>
        <w:ind w:firstLine="480"/>
      </w:pPr>
      <w:r>
        <w:rPr>
          <w:rFonts w:hint="eastAsia"/>
        </w:rPr>
        <w:t>上述计算结果均按四舍五入方法，保留到小数点后2位，由此产生的收益或损失由基金财产承担。</w:t>
      </w:r>
    </w:p>
    <w:p w14:paraId="76CF4344">
      <w:pPr>
        <w:ind w:firstLine="480"/>
      </w:pPr>
      <w:r>
        <w:rPr>
          <w:rFonts w:hint="eastAsia"/>
        </w:rPr>
        <w:t>例</w:t>
      </w:r>
      <w:r>
        <w:t>4</w:t>
      </w:r>
      <w:r>
        <w:rPr>
          <w:rFonts w:hint="eastAsia"/>
        </w:rPr>
        <w:t>：某投资者（非养老金客户）投资</w:t>
      </w:r>
      <w:r>
        <w:t>40,000</w:t>
      </w:r>
      <w:r>
        <w:rPr>
          <w:rFonts w:hint="eastAsia"/>
        </w:rPr>
        <w:t>元申购本基金A类基金份额，则对应的申购费率为</w:t>
      </w:r>
      <w:r>
        <w:t>0.80%</w:t>
      </w:r>
      <w:r>
        <w:rPr>
          <w:rFonts w:hint="eastAsia"/>
        </w:rPr>
        <w:t>，假设申购当日A类基金份额净值为</w:t>
      </w:r>
      <w:r>
        <w:t>1.040</w:t>
      </w:r>
      <w:r>
        <w:rPr>
          <w:rFonts w:hint="eastAsia"/>
        </w:rPr>
        <w:t>0元，则其可得到的申购份额为：</w:t>
      </w:r>
    </w:p>
    <w:p w14:paraId="73D8F1E3">
      <w:pPr>
        <w:ind w:firstLine="480"/>
      </w:pPr>
      <w:r>
        <w:rPr>
          <w:rFonts w:hint="eastAsia"/>
        </w:rPr>
        <w:t>净申购金额</w:t>
      </w:r>
      <w:r>
        <w:t>=40,000/</w:t>
      </w:r>
      <w:r>
        <w:rPr>
          <w:rFonts w:hint="eastAsia"/>
        </w:rPr>
        <w:t>（</w:t>
      </w:r>
      <w:r>
        <w:t>1+0.8</w:t>
      </w:r>
      <w:r>
        <w:rPr>
          <w:rFonts w:hint="eastAsia"/>
        </w:rPr>
        <w:t>0%）</w:t>
      </w:r>
      <w:r>
        <w:t>=39,682.54</w:t>
      </w:r>
      <w:r>
        <w:rPr>
          <w:rFonts w:hint="eastAsia"/>
        </w:rPr>
        <w:t>元</w:t>
      </w:r>
    </w:p>
    <w:p w14:paraId="0A86A63A">
      <w:pPr>
        <w:ind w:firstLine="480"/>
      </w:pPr>
      <w:r>
        <w:rPr>
          <w:rFonts w:hint="eastAsia"/>
        </w:rPr>
        <w:t>申购费用</w:t>
      </w:r>
      <w:r>
        <w:t>=40,000-39</w:t>
      </w:r>
      <w:r>
        <w:rPr>
          <w:rFonts w:hint="eastAsia"/>
        </w:rPr>
        <w:t>,</w:t>
      </w:r>
      <w:r>
        <w:t>682.54=317.46</w:t>
      </w:r>
      <w:r>
        <w:rPr>
          <w:rFonts w:hint="eastAsia"/>
        </w:rPr>
        <w:t>元</w:t>
      </w:r>
    </w:p>
    <w:p w14:paraId="0E1578B0">
      <w:pPr>
        <w:ind w:firstLine="480"/>
      </w:pPr>
      <w:r>
        <w:rPr>
          <w:rFonts w:hint="eastAsia"/>
        </w:rPr>
        <w:t>申购份额</w:t>
      </w:r>
      <w:r>
        <w:t>=39,682.54/1.040</w:t>
      </w:r>
      <w:r>
        <w:rPr>
          <w:rFonts w:hint="eastAsia"/>
        </w:rPr>
        <w:t>0</w:t>
      </w:r>
      <w:r>
        <w:t>=38,156.29</w:t>
      </w:r>
      <w:r>
        <w:rPr>
          <w:rFonts w:hint="eastAsia"/>
        </w:rPr>
        <w:t>份</w:t>
      </w:r>
    </w:p>
    <w:p w14:paraId="6E3A4BC2">
      <w:pPr>
        <w:ind w:firstLine="480"/>
      </w:pPr>
      <w:r>
        <w:rPr>
          <w:rFonts w:hint="eastAsia"/>
        </w:rPr>
        <w:t>即：该投资者（非养老金客户）投资</w:t>
      </w:r>
      <w:r>
        <w:t>40,000</w:t>
      </w:r>
      <w:r>
        <w:rPr>
          <w:rFonts w:hint="eastAsia"/>
        </w:rPr>
        <w:t>元申购本基金A类基金份额，假设申购当日A类基金份额净值为</w:t>
      </w:r>
      <w:r>
        <w:t>1.040</w:t>
      </w:r>
      <w:r>
        <w:rPr>
          <w:rFonts w:hint="eastAsia"/>
        </w:rPr>
        <w:t>0元，可得到</w:t>
      </w:r>
      <w:r>
        <w:t>38,156.29</w:t>
      </w:r>
      <w:r>
        <w:rPr>
          <w:rFonts w:hint="eastAsia"/>
        </w:rPr>
        <w:t>份A类基金份额。</w:t>
      </w:r>
    </w:p>
    <w:p w14:paraId="49E6F734">
      <w:pPr>
        <w:ind w:firstLine="480"/>
      </w:pPr>
      <w:r>
        <w:rPr>
          <w:rFonts w:hint="eastAsia"/>
        </w:rPr>
        <w:t>例</w:t>
      </w:r>
      <w:r>
        <w:t>5</w:t>
      </w:r>
      <w:r>
        <w:rPr>
          <w:rFonts w:hint="eastAsia"/>
        </w:rPr>
        <w:t>：某投资者（养老金客户）投资</w:t>
      </w:r>
      <w:r>
        <w:t>2,000,000</w:t>
      </w:r>
      <w:r>
        <w:rPr>
          <w:rFonts w:hint="eastAsia"/>
        </w:rPr>
        <w:t>元通过基金管理人直销中心申购本基金A类基金份额，则对应的申购费率为0</w:t>
      </w:r>
      <w:r>
        <w:t>.05</w:t>
      </w:r>
      <w:r>
        <w:rPr>
          <w:rFonts w:hint="eastAsia"/>
        </w:rPr>
        <w:t>%，假设申购当日A类基金份额净值为</w:t>
      </w:r>
      <w:r>
        <w:t>1.040</w:t>
      </w:r>
      <w:r>
        <w:rPr>
          <w:rFonts w:hint="eastAsia"/>
        </w:rPr>
        <w:t>0元，则其可得到的申购份额为：</w:t>
      </w:r>
    </w:p>
    <w:p w14:paraId="01525C9B">
      <w:pPr>
        <w:ind w:firstLine="480"/>
      </w:pPr>
      <w:r>
        <w:rPr>
          <w:rFonts w:hint="eastAsia"/>
        </w:rPr>
        <w:t>净申购金额</w:t>
      </w:r>
      <w:r>
        <w:t>=2,000,000/</w:t>
      </w:r>
      <w:r>
        <w:rPr>
          <w:rFonts w:hint="eastAsia"/>
        </w:rPr>
        <w:t>（</w:t>
      </w:r>
      <w:r>
        <w:t>1+</w:t>
      </w:r>
      <w:r>
        <w:rPr>
          <w:rFonts w:hint="eastAsia"/>
        </w:rPr>
        <w:t>0</w:t>
      </w:r>
      <w:r>
        <w:t>.05</w:t>
      </w:r>
      <w:r>
        <w:rPr>
          <w:rFonts w:hint="eastAsia"/>
        </w:rPr>
        <w:t>%）</w:t>
      </w:r>
      <w:r>
        <w:t>=1,999,000.50</w:t>
      </w:r>
      <w:r>
        <w:rPr>
          <w:rFonts w:hint="eastAsia"/>
        </w:rPr>
        <w:t>元</w:t>
      </w:r>
    </w:p>
    <w:p w14:paraId="4BDD0E65">
      <w:pPr>
        <w:ind w:firstLine="480"/>
      </w:pPr>
      <w:r>
        <w:rPr>
          <w:rFonts w:hint="eastAsia"/>
        </w:rPr>
        <w:t>申购费用</w:t>
      </w:r>
      <w:r>
        <w:t>=2,000,000-1,999,000.50=999.50</w:t>
      </w:r>
      <w:r>
        <w:rPr>
          <w:rFonts w:hint="eastAsia"/>
        </w:rPr>
        <w:t>元</w:t>
      </w:r>
    </w:p>
    <w:p w14:paraId="70D4F2A7">
      <w:pPr>
        <w:ind w:firstLine="480"/>
      </w:pPr>
      <w:r>
        <w:rPr>
          <w:rFonts w:hint="eastAsia"/>
        </w:rPr>
        <w:t>申购份额</w:t>
      </w:r>
      <w:r>
        <w:t>=1,999,000.50/1.040</w:t>
      </w:r>
      <w:r>
        <w:rPr>
          <w:rFonts w:hint="eastAsia"/>
        </w:rPr>
        <w:t>0</w:t>
      </w:r>
      <w:r>
        <w:t>=1,922,115.87</w:t>
      </w:r>
      <w:r>
        <w:rPr>
          <w:rFonts w:hint="eastAsia"/>
        </w:rPr>
        <w:t>份</w:t>
      </w:r>
    </w:p>
    <w:p w14:paraId="3F319457">
      <w:pPr>
        <w:ind w:firstLine="480"/>
      </w:pPr>
      <w:r>
        <w:rPr>
          <w:rFonts w:hint="eastAsia"/>
        </w:rPr>
        <w:t>即：该投资者（养老金客户）投资</w:t>
      </w:r>
      <w:r>
        <w:t>2,000,000</w:t>
      </w:r>
      <w:r>
        <w:rPr>
          <w:rFonts w:hint="eastAsia"/>
        </w:rPr>
        <w:t>元通过基金管理人直销中心申购本基金A类基金份额，假设申购当日A类基金份额净值为</w:t>
      </w:r>
      <w:r>
        <w:t>1.040</w:t>
      </w:r>
      <w:r>
        <w:rPr>
          <w:rFonts w:hint="eastAsia"/>
        </w:rPr>
        <w:t>0元，可得到</w:t>
      </w:r>
      <w:r>
        <w:t>1,922,115.87</w:t>
      </w:r>
      <w:r>
        <w:rPr>
          <w:rFonts w:hint="eastAsia"/>
        </w:rPr>
        <w:t>份A类基金份额。</w:t>
      </w:r>
    </w:p>
    <w:p w14:paraId="119D7B2A">
      <w:pPr>
        <w:ind w:firstLine="480"/>
      </w:pPr>
      <w:r>
        <w:rPr>
          <w:rFonts w:hint="eastAsia"/>
        </w:rPr>
        <w:t>（2）投资者申购本基金C类基金份额的计算方式</w:t>
      </w:r>
    </w:p>
    <w:p w14:paraId="03DC080D">
      <w:pPr>
        <w:ind w:firstLine="480"/>
      </w:pPr>
      <w:r>
        <w:rPr>
          <w:rFonts w:hint="eastAsia"/>
        </w:rPr>
        <w:t>申购份额＝申购金额/申购日C类基金份额的基金份额净值</w:t>
      </w:r>
    </w:p>
    <w:p w14:paraId="358AFD8D">
      <w:pPr>
        <w:ind w:firstLine="480"/>
      </w:pPr>
      <w:r>
        <w:rPr>
          <w:rFonts w:hint="eastAsia"/>
        </w:rPr>
        <w:t>例</w:t>
      </w:r>
      <w:r>
        <w:t>6</w:t>
      </w:r>
      <w:r>
        <w:rPr>
          <w:rFonts w:hint="eastAsia"/>
        </w:rPr>
        <w:t>：某投资者投资40,000元申购本基金C类基金份额，假设申购当日C类基金份额为1.0400元，则其可得到的C类基金份额为：</w:t>
      </w:r>
    </w:p>
    <w:p w14:paraId="7C12D54B">
      <w:pPr>
        <w:ind w:firstLine="480"/>
      </w:pPr>
      <w:r>
        <w:rPr>
          <w:rFonts w:hint="eastAsia"/>
        </w:rPr>
        <w:t>申购份额=40,000/1.0400=38,461.54份</w:t>
      </w:r>
    </w:p>
    <w:p w14:paraId="6492E956">
      <w:pPr>
        <w:ind w:firstLine="480"/>
      </w:pPr>
      <w:r>
        <w:rPr>
          <w:rFonts w:hint="eastAsia"/>
        </w:rPr>
        <w:t>即：该投资者投资40,000元申购本基金C类基金份额，假设申购当日C类基金份额净值为1.0400元，可得到38,461.54份C类基金份额。</w:t>
      </w:r>
    </w:p>
    <w:p w14:paraId="3022CEA1">
      <w:pPr>
        <w:ind w:firstLine="480"/>
      </w:pPr>
      <w:r>
        <w:rPr>
          <w:rFonts w:hint="eastAsia"/>
        </w:rPr>
        <w:t>2、赎回金额的计算</w:t>
      </w:r>
    </w:p>
    <w:p w14:paraId="75986A43">
      <w:pPr>
        <w:ind w:firstLine="480"/>
      </w:pPr>
      <w:r>
        <w:rPr>
          <w:rFonts w:hint="eastAsia"/>
        </w:rPr>
        <w:t>赎回金额的计算方法如下：</w:t>
      </w:r>
    </w:p>
    <w:p w14:paraId="705B417E">
      <w:pPr>
        <w:ind w:firstLine="480"/>
      </w:pPr>
      <w:r>
        <w:t>赎回总金额=赎回份额</w:t>
      </w:r>
      <w:r>
        <w:rPr/>
        <w:sym w:font="Symbol" w:char="F0B4"/>
      </w:r>
      <w:r>
        <w:t>赎回日</w:t>
      </w:r>
      <w:r>
        <w:rPr>
          <w:rFonts w:hint="eastAsia"/>
        </w:rPr>
        <w:t>该类</w:t>
      </w:r>
      <w:r>
        <w:t>基金份额净值</w:t>
      </w:r>
    </w:p>
    <w:p w14:paraId="7FF950EA">
      <w:pPr>
        <w:ind w:firstLine="480"/>
      </w:pPr>
      <w:r>
        <w:t>赎回费用＝赎回总金额×赎回费率</w:t>
      </w:r>
    </w:p>
    <w:p w14:paraId="550EC520">
      <w:pPr>
        <w:ind w:firstLine="480"/>
      </w:pPr>
      <w:r>
        <w:t>净赎回金额=赎回总金额</w:t>
      </w:r>
      <w:r>
        <w:rPr/>
        <w:sym w:font="Symbol" w:char="F02D"/>
      </w:r>
      <w:r>
        <w:t>赎回费用</w:t>
      </w:r>
    </w:p>
    <w:p w14:paraId="7CCFBB29">
      <w:pPr>
        <w:ind w:firstLine="480"/>
      </w:pPr>
      <w:r>
        <w:rPr>
          <w:rFonts w:hint="eastAsia"/>
        </w:rPr>
        <w:t>上述计算结果均按四舍五入方法，保留到小数点后2位，由此产生的收益或损失由基金财产承担。</w:t>
      </w:r>
    </w:p>
    <w:p w14:paraId="786889AF">
      <w:pPr>
        <w:ind w:firstLine="480"/>
      </w:pPr>
      <w:r>
        <w:rPr>
          <w:rFonts w:hint="eastAsia"/>
        </w:rPr>
        <w:t>例</w:t>
      </w:r>
      <w:r>
        <w:t>7</w:t>
      </w:r>
      <w:r>
        <w:rPr>
          <w:rFonts w:hint="eastAsia"/>
        </w:rPr>
        <w:t>：某投资者在T日赎回10,000份A类基金份额，假设赎回当日A类基金份额净值为1.2500元，持有时间为</w:t>
      </w:r>
      <w:r>
        <w:t>5</w:t>
      </w:r>
      <w:r>
        <w:rPr>
          <w:rFonts w:hint="eastAsia"/>
        </w:rPr>
        <w:t>日，赎回费率为</w:t>
      </w:r>
      <w:r>
        <w:t>1.50</w:t>
      </w:r>
      <w:r>
        <w:rPr>
          <w:rFonts w:hint="eastAsia"/>
        </w:rPr>
        <w:t>%，其获得的赎回金额计算如下：</w:t>
      </w:r>
    </w:p>
    <w:p w14:paraId="6109118F">
      <w:pPr>
        <w:ind w:firstLine="480"/>
      </w:pPr>
      <w:r>
        <w:rPr>
          <w:rFonts w:hint="eastAsia"/>
        </w:rPr>
        <w:t>赎回</w:t>
      </w:r>
      <w:r>
        <w:t>总</w:t>
      </w:r>
      <w:r>
        <w:rPr>
          <w:rFonts w:hint="eastAsia"/>
        </w:rPr>
        <w:t>金额＝1.2500</w:t>
      </w:r>
      <w:r>
        <w:t>×</w:t>
      </w:r>
      <w:r>
        <w:rPr>
          <w:rFonts w:hint="eastAsia"/>
        </w:rPr>
        <w:t>10,000＝12,500.00元</w:t>
      </w:r>
    </w:p>
    <w:p w14:paraId="356EE982">
      <w:pPr>
        <w:ind w:firstLine="480"/>
      </w:pPr>
      <w:r>
        <w:t>赎回费用＝</w:t>
      </w:r>
      <w:r>
        <w:rPr>
          <w:rFonts w:hint="eastAsia"/>
        </w:rPr>
        <w:t>12,500.00</w:t>
      </w:r>
      <w:r>
        <w:t>×1.50</w:t>
      </w:r>
      <w:r>
        <w:rPr>
          <w:rFonts w:hint="eastAsia"/>
        </w:rPr>
        <w:t>%=</w:t>
      </w:r>
      <w:r>
        <w:t>187.50</w:t>
      </w:r>
      <w:r>
        <w:rPr>
          <w:rFonts w:hint="eastAsia"/>
        </w:rPr>
        <w:t>元</w:t>
      </w:r>
    </w:p>
    <w:p w14:paraId="52FF3EA9">
      <w:pPr>
        <w:ind w:firstLine="480"/>
      </w:pPr>
      <w:r>
        <w:t>净赎回金额=</w:t>
      </w:r>
      <w:r>
        <w:rPr>
          <w:rFonts w:hint="eastAsia"/>
        </w:rPr>
        <w:t>12,500.00</w:t>
      </w:r>
      <w:r>
        <w:rPr/>
        <w:sym w:font="Symbol" w:char="F02D"/>
      </w:r>
      <w:r>
        <w:t>187.50</w:t>
      </w:r>
      <w:r>
        <w:rPr>
          <w:rFonts w:hint="eastAsia"/>
        </w:rPr>
        <w:t>=</w:t>
      </w:r>
      <w:r>
        <w:t>12,312.50</w:t>
      </w:r>
      <w:r>
        <w:rPr>
          <w:rFonts w:hint="eastAsia"/>
        </w:rPr>
        <w:t>元</w:t>
      </w:r>
    </w:p>
    <w:p w14:paraId="7931E521">
      <w:pPr>
        <w:ind w:firstLine="480"/>
      </w:pPr>
      <w:r>
        <w:rPr>
          <w:rFonts w:hint="eastAsia"/>
        </w:rPr>
        <w:t>即：该投资者赎回10,000份A类基金份额，假设赎回当日A类基金份额净值为1.2500元，持有时间为</w:t>
      </w:r>
      <w:r>
        <w:t>5</w:t>
      </w:r>
      <w:r>
        <w:rPr>
          <w:rFonts w:hint="eastAsia"/>
        </w:rPr>
        <w:t>日，则其获得的赎回金额为</w:t>
      </w:r>
      <w:r>
        <w:t>12,312.50</w:t>
      </w:r>
      <w:r>
        <w:rPr>
          <w:rFonts w:hint="eastAsia"/>
        </w:rPr>
        <w:t>元。</w:t>
      </w:r>
    </w:p>
    <w:p w14:paraId="36D260BF">
      <w:pPr>
        <w:ind w:firstLine="480"/>
      </w:pPr>
      <w:r>
        <w:rPr>
          <w:rFonts w:hint="eastAsia"/>
        </w:rPr>
        <w:t>3、本基金基金份额净值的计算：</w:t>
      </w:r>
    </w:p>
    <w:p w14:paraId="1844D0D8">
      <w:pPr>
        <w:ind w:firstLine="480"/>
        <w:rPr>
          <w:bCs/>
        </w:rPr>
      </w:pPr>
      <w:r>
        <w:rPr>
          <w:bCs/>
        </w:rPr>
        <w:t>本基金</w:t>
      </w:r>
      <w:r>
        <w:rPr>
          <w:rFonts w:hint="eastAsia"/>
          <w:bCs/>
        </w:rPr>
        <w:t>各类基金</w:t>
      </w:r>
      <w:r>
        <w:rPr>
          <w:bCs/>
        </w:rPr>
        <w:t>份额净值的计算，</w:t>
      </w:r>
      <w:r>
        <w:rPr>
          <w:rFonts w:hint="eastAsia"/>
          <w:bCs/>
        </w:rPr>
        <w:t>均</w:t>
      </w:r>
      <w:r>
        <w:rPr>
          <w:bCs/>
        </w:rPr>
        <w:t>保留到小数点后</w:t>
      </w:r>
      <w:r>
        <w:rPr>
          <w:rFonts w:hint="eastAsia"/>
          <w:bCs/>
        </w:rPr>
        <w:t>4</w:t>
      </w:r>
      <w:r>
        <w:rPr>
          <w:bCs/>
        </w:rPr>
        <w:t>位，小数点后第</w:t>
      </w:r>
      <w:r>
        <w:rPr>
          <w:rFonts w:hint="eastAsia"/>
          <w:bCs/>
        </w:rPr>
        <w:t>5</w:t>
      </w:r>
      <w:r>
        <w:rPr>
          <w:bCs/>
        </w:rPr>
        <w:t>位四舍五入，由此产生的收益或损失由基金财产承担。T日的</w:t>
      </w:r>
      <w:r>
        <w:rPr>
          <w:rFonts w:hint="eastAsia"/>
          <w:bCs/>
        </w:rPr>
        <w:t>各类</w:t>
      </w:r>
      <w:r>
        <w:rPr>
          <w:bCs/>
        </w:rPr>
        <w:t>基金份额净值在当天收市后计算，并在T+</w:t>
      </w:r>
      <w:r>
        <w:rPr>
          <w:rFonts w:hint="eastAsia"/>
          <w:bCs/>
        </w:rPr>
        <w:t>1</w:t>
      </w:r>
      <w:r>
        <w:rPr>
          <w:bCs/>
        </w:rPr>
        <w:t>日内公告。遇特殊情况，</w:t>
      </w:r>
      <w:r>
        <w:rPr>
          <w:rFonts w:hint="eastAsia"/>
          <w:bCs/>
        </w:rPr>
        <w:t>经履行适当程序</w:t>
      </w:r>
      <w:r>
        <w:rPr>
          <w:bCs/>
        </w:rPr>
        <w:t>，可以适当延迟计算或公告。</w:t>
      </w:r>
    </w:p>
    <w:p w14:paraId="73CF9659">
      <w:pPr>
        <w:ind w:firstLine="480"/>
        <w:rPr>
          <w:bCs/>
        </w:rPr>
      </w:pPr>
      <w:r>
        <w:rPr>
          <w:rFonts w:hint="eastAsia"/>
          <w:bCs/>
        </w:rPr>
        <w:t>如</w:t>
      </w:r>
      <w:bookmarkStart w:id="46" w:name="_Hlk76464991"/>
      <w:r>
        <w:rPr>
          <w:rFonts w:hint="eastAsia"/>
          <w:bCs/>
        </w:rPr>
        <w:t>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w:t>
      </w:r>
      <w:bookmarkEnd w:id="46"/>
      <w:r>
        <w:rPr>
          <w:rFonts w:hint="eastAsia"/>
          <w:bCs/>
        </w:rPr>
        <w:t>为准。</w:t>
      </w:r>
    </w:p>
    <w:p w14:paraId="7789AA15">
      <w:pPr>
        <w:ind w:firstLine="480"/>
      </w:pPr>
      <w:r>
        <w:rPr>
          <w:rFonts w:hint="eastAsia"/>
        </w:rPr>
        <w:t>4、申购份额的计算及余额的处理方式：</w:t>
      </w:r>
    </w:p>
    <w:p w14:paraId="0F6807ED">
      <w:pPr>
        <w:ind w:firstLine="480"/>
        <w:rPr>
          <w:bCs/>
        </w:rPr>
      </w:pPr>
      <w:r>
        <w:rPr>
          <w:bCs/>
        </w:rPr>
        <w:t>申购的有效份额为净申购金额除以当日的该类基金份额净值，有效份额单位为份，上述计算结果均按四舍五入方法，保留到小数点后</w:t>
      </w:r>
      <w:r>
        <w:rPr>
          <w:rFonts w:hint="eastAsia"/>
          <w:bCs/>
        </w:rPr>
        <w:t>2</w:t>
      </w:r>
      <w:r>
        <w:rPr>
          <w:bCs/>
        </w:rPr>
        <w:t>位，由此产生的收益或损失由基金财产承担。</w:t>
      </w:r>
    </w:p>
    <w:p w14:paraId="138A151C">
      <w:pPr>
        <w:ind w:firstLine="480"/>
      </w:pPr>
      <w:r>
        <w:rPr>
          <w:rFonts w:hint="eastAsia"/>
        </w:rPr>
        <w:t>5、赎回金额的计算及处理方式：</w:t>
      </w:r>
    </w:p>
    <w:p w14:paraId="31C43F22">
      <w:pPr>
        <w:ind w:firstLine="480"/>
        <w:rPr>
          <w:bCs/>
        </w:rPr>
      </w:pPr>
      <w:r>
        <w:rPr>
          <w:bCs/>
        </w:rPr>
        <w:t>赎回金额为按实际确认的有效赎回份额乘以当日该类基金份额净值并扣除相应的费用，赎回金额单位为元。上述计算结果均按四舍五入方法，保留到小数点后</w:t>
      </w:r>
      <w:r>
        <w:rPr>
          <w:rFonts w:hint="eastAsia"/>
          <w:bCs/>
        </w:rPr>
        <w:t>2</w:t>
      </w:r>
      <w:r>
        <w:rPr>
          <w:bCs/>
        </w:rPr>
        <w:t>位，由此产生的收益或损失由基金财产承担。</w:t>
      </w:r>
    </w:p>
    <w:p w14:paraId="7B8C9A6B">
      <w:pPr>
        <w:ind w:firstLine="482"/>
        <w:rPr>
          <w:b/>
        </w:rPr>
      </w:pPr>
      <w:r>
        <w:rPr>
          <w:rFonts w:hint="eastAsia"/>
          <w:b/>
        </w:rPr>
        <w:t>八、拒绝或暂停申购的情形</w:t>
      </w:r>
    </w:p>
    <w:p w14:paraId="0B9C866E">
      <w:pPr>
        <w:ind w:firstLine="480"/>
        <w:rPr>
          <w:bCs/>
          <w:szCs w:val="20"/>
        </w:rPr>
      </w:pPr>
      <w:r>
        <w:rPr>
          <w:rFonts w:hint="eastAsia"/>
          <w:bCs/>
          <w:szCs w:val="20"/>
        </w:rPr>
        <w:t>发生下列情况时，基金管理人可拒绝或暂停接受投资人的申购申请：</w:t>
      </w:r>
    </w:p>
    <w:p w14:paraId="22AD02EB">
      <w:pPr>
        <w:ind w:firstLine="480"/>
        <w:rPr>
          <w:bCs/>
          <w:szCs w:val="20"/>
        </w:rPr>
      </w:pPr>
      <w:r>
        <w:rPr>
          <w:rFonts w:hint="eastAsia"/>
          <w:bCs/>
          <w:szCs w:val="20"/>
        </w:rPr>
        <w:t>1、因不可抗力导致基金无法正常运作。</w:t>
      </w:r>
    </w:p>
    <w:p w14:paraId="4F0212AD">
      <w:pPr>
        <w:ind w:firstLine="480"/>
        <w:rPr>
          <w:bCs/>
          <w:szCs w:val="20"/>
        </w:rPr>
      </w:pPr>
      <w:r>
        <w:rPr>
          <w:rFonts w:hint="eastAsia"/>
          <w:bCs/>
          <w:szCs w:val="20"/>
        </w:rPr>
        <w:t>2、发生基金合同规定的暂停基金资产估值情况时，基金管理人可暂停接受投资人的申购申请。</w:t>
      </w:r>
    </w:p>
    <w:p w14:paraId="0E10DB87">
      <w:pPr>
        <w:ind w:firstLine="480"/>
        <w:rPr>
          <w:bCs/>
          <w:szCs w:val="20"/>
        </w:rPr>
      </w:pPr>
      <w:r>
        <w:rPr>
          <w:rFonts w:hint="eastAsia"/>
          <w:bCs/>
          <w:szCs w:val="20"/>
        </w:rPr>
        <w:t>3、证券、期货交易所或外汇市场交易时间非正常停市，或基金参与港股通交易且港股通暂停交易，导致基金管理人无法计算当日基金资产净值。</w:t>
      </w:r>
    </w:p>
    <w:p w14:paraId="56A3150E">
      <w:pPr>
        <w:ind w:firstLine="480"/>
        <w:rPr>
          <w:bCs/>
          <w:szCs w:val="20"/>
        </w:rPr>
      </w:pPr>
      <w:r>
        <w:rPr>
          <w:rFonts w:hint="eastAsia"/>
          <w:bCs/>
          <w:szCs w:val="20"/>
        </w:rPr>
        <w:t>4、接受某笔或某些申购申请可能会影响或损害现有基金份额持有人利益时。</w:t>
      </w:r>
    </w:p>
    <w:p w14:paraId="3658B37A">
      <w:pPr>
        <w:ind w:firstLine="480"/>
        <w:rPr>
          <w:bCs/>
          <w:szCs w:val="20"/>
        </w:rPr>
      </w:pPr>
      <w:r>
        <w:rPr>
          <w:rFonts w:hint="eastAsia"/>
          <w:bCs/>
          <w:szCs w:val="20"/>
        </w:rPr>
        <w:t>5、基金资产规模过大，使基金管理人无法找到合适的投资品种，或其他可能对基金业绩产生负面影响，或发生其他损害现有基金份额持有人利益的情形。</w:t>
      </w:r>
    </w:p>
    <w:p w14:paraId="193615A0">
      <w:pPr>
        <w:ind w:firstLine="480"/>
        <w:rPr>
          <w:bCs/>
          <w:szCs w:val="20"/>
        </w:rPr>
      </w:pPr>
      <w:r>
        <w:rPr>
          <w:rFonts w:hint="eastAsia"/>
          <w:bCs/>
          <w:szCs w:val="20"/>
        </w:rPr>
        <w:t>6、当前一估值日基金资产净值50%以上的资产出现无可参考的活跃市场价格且采用估值技术仍导致公允价值存在重大不确定性时，经与基金托管人协商确认后，基金管理人应当暂停接受基金申购申请。</w:t>
      </w:r>
    </w:p>
    <w:p w14:paraId="1DBC4C3E">
      <w:pPr>
        <w:ind w:firstLine="480"/>
        <w:rPr>
          <w:bCs/>
          <w:szCs w:val="20"/>
        </w:rPr>
      </w:pPr>
      <w:r>
        <w:rPr>
          <w:rFonts w:hint="eastAsia"/>
          <w:bCs/>
          <w:szCs w:val="20"/>
        </w:rPr>
        <w:t>7、基金管理人接受某笔或者某些申购申请有可能导致单一投资者持有基金份额的比例达到或者超过50%，或者变相规避50%集中度的情形时。</w:t>
      </w:r>
    </w:p>
    <w:p w14:paraId="75F551D9">
      <w:pPr>
        <w:ind w:firstLine="480"/>
        <w:rPr>
          <w:bCs/>
          <w:szCs w:val="20"/>
        </w:rPr>
      </w:pPr>
      <w:r>
        <w:rPr>
          <w:rFonts w:hint="eastAsia"/>
          <w:bCs/>
          <w:szCs w:val="20"/>
        </w:rPr>
        <w:t>8、接受某笔或某些申购申请超过基金管理人设定的本基金的总规模限额、单日申购金额限制、单日净申购比例上限，或超过单个投资者累计持有、单日或单笔申购金额上限的。</w:t>
      </w:r>
    </w:p>
    <w:p w14:paraId="05EF9BAA">
      <w:pPr>
        <w:ind w:firstLine="480"/>
        <w:rPr>
          <w:bCs/>
          <w:szCs w:val="20"/>
        </w:rPr>
      </w:pPr>
      <w:r>
        <w:rPr>
          <w:rFonts w:hint="eastAsia"/>
          <w:bCs/>
          <w:szCs w:val="20"/>
        </w:rPr>
        <w:t>9、基金管理人、基金托管人、基金销售机构或登记机构的异常情况导致基金销售系统、登记系统或基金会计系统无法正常运行。</w:t>
      </w:r>
    </w:p>
    <w:p w14:paraId="1163B34C">
      <w:pPr>
        <w:ind w:firstLine="480"/>
        <w:rPr>
          <w:bCs/>
          <w:szCs w:val="20"/>
        </w:rPr>
      </w:pPr>
      <w:r>
        <w:rPr>
          <w:rFonts w:hint="eastAsia"/>
          <w:bCs/>
          <w:szCs w:val="20"/>
        </w:rPr>
        <w:t>10、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08A02C9B">
      <w:pPr>
        <w:ind w:firstLine="480"/>
        <w:rPr>
          <w:bCs/>
          <w:szCs w:val="20"/>
        </w:rPr>
      </w:pPr>
      <w:r>
        <w:rPr>
          <w:rFonts w:hint="eastAsia"/>
          <w:bCs/>
          <w:szCs w:val="20"/>
        </w:rPr>
        <w:t>11、法律法规规定或中国证监会认定的其他情形。</w:t>
      </w:r>
    </w:p>
    <w:p w14:paraId="6434FCFA">
      <w:pPr>
        <w:ind w:firstLine="480"/>
        <w:rPr>
          <w:bCs/>
          <w:szCs w:val="20"/>
        </w:rPr>
      </w:pPr>
      <w:r>
        <w:rPr>
          <w:rFonts w:hint="eastAsia"/>
          <w:bCs/>
          <w:szCs w:val="20"/>
        </w:rPr>
        <w:t>发生上述除第4、7、8项以外暂停申购情形之一且基金管理人决定暂停接受投资人申购申请时，基金管理人应当根据有关规定在规定媒介上刊登暂停申购公告。如果投资人的申购申请被全部或部分拒绝，被拒绝的申购款项本金将退还给投资人，基金管理人及基金托管人不承担该退回款项产生的利息等损失。在暂停申购的情况消除时，基金管理人应及时恢复申购业务的办理。</w:t>
      </w:r>
    </w:p>
    <w:p w14:paraId="0572F5AD">
      <w:pPr>
        <w:ind w:firstLine="482"/>
        <w:rPr>
          <w:b/>
        </w:rPr>
      </w:pPr>
      <w:r>
        <w:rPr>
          <w:rFonts w:hint="eastAsia"/>
          <w:b/>
        </w:rPr>
        <w:t>九、暂停赎回或延缓支付赎回款项的情形</w:t>
      </w:r>
    </w:p>
    <w:p w14:paraId="7F51CDCA">
      <w:pPr>
        <w:ind w:firstLine="480"/>
        <w:rPr>
          <w:bCs/>
          <w:szCs w:val="20"/>
        </w:rPr>
      </w:pPr>
      <w:r>
        <w:rPr>
          <w:rFonts w:hint="eastAsia"/>
          <w:bCs/>
          <w:szCs w:val="20"/>
        </w:rPr>
        <w:t>发生下列情形时，基金管理人可暂停接受投资人的赎回申请或延缓支付赎回款项：</w:t>
      </w:r>
    </w:p>
    <w:p w14:paraId="7B325A6D">
      <w:pPr>
        <w:ind w:firstLine="480"/>
        <w:rPr>
          <w:bCs/>
          <w:szCs w:val="20"/>
        </w:rPr>
      </w:pPr>
      <w:r>
        <w:rPr>
          <w:rFonts w:hint="eastAsia"/>
          <w:bCs/>
          <w:szCs w:val="20"/>
        </w:rPr>
        <w:t>1、因不可抗力导致基金管理人不能支付赎回款项。</w:t>
      </w:r>
    </w:p>
    <w:p w14:paraId="18823ED5">
      <w:pPr>
        <w:ind w:firstLine="480"/>
        <w:rPr>
          <w:bCs/>
          <w:szCs w:val="20"/>
        </w:rPr>
      </w:pPr>
      <w:r>
        <w:rPr>
          <w:rFonts w:hint="eastAsia"/>
          <w:bCs/>
          <w:szCs w:val="20"/>
        </w:rPr>
        <w:t>2、发生基金合同规定的暂停基金资产估值情况时，基金管理人可暂停接受投资人的赎回申请或延缓支付赎回款项。</w:t>
      </w:r>
    </w:p>
    <w:p w14:paraId="3142FEC4">
      <w:pPr>
        <w:ind w:firstLine="480"/>
        <w:rPr>
          <w:bCs/>
          <w:szCs w:val="20"/>
        </w:rPr>
      </w:pPr>
      <w:r>
        <w:rPr>
          <w:rFonts w:hint="eastAsia"/>
          <w:bCs/>
          <w:szCs w:val="20"/>
        </w:rPr>
        <w:t>3、证券、期货交易所或外汇市场交易时间非正常停市，或基金参与港股通交易且港股通暂停交易，导致基金管理人无法计算当日基金资产净值。</w:t>
      </w:r>
    </w:p>
    <w:p w14:paraId="37A704EB">
      <w:pPr>
        <w:ind w:firstLine="480"/>
        <w:rPr>
          <w:bCs/>
          <w:szCs w:val="20"/>
        </w:rPr>
      </w:pPr>
      <w:r>
        <w:rPr>
          <w:rFonts w:hint="eastAsia"/>
          <w:bCs/>
          <w:szCs w:val="20"/>
        </w:rPr>
        <w:t>4、连续两个或两个以上开放日发生巨额赎回。</w:t>
      </w:r>
    </w:p>
    <w:p w14:paraId="7BE22B32">
      <w:pPr>
        <w:ind w:firstLine="480"/>
        <w:rPr>
          <w:bCs/>
          <w:szCs w:val="20"/>
        </w:rPr>
      </w:pPr>
      <w:r>
        <w:rPr>
          <w:rFonts w:hint="eastAsia"/>
          <w:bCs/>
          <w:szCs w:val="20"/>
        </w:rPr>
        <w:t>5、发生继续接受赎回申请将损害现有基金份额持有人利益的情形时，基金管理人可暂停接受基金份额持有人的赎回申请。</w:t>
      </w:r>
    </w:p>
    <w:p w14:paraId="3FDC6D00">
      <w:pPr>
        <w:ind w:firstLine="480"/>
        <w:rPr>
          <w:bCs/>
          <w:szCs w:val="20"/>
        </w:rPr>
      </w:pPr>
      <w:r>
        <w:rPr>
          <w:rFonts w:hint="eastAsia"/>
          <w:bCs/>
          <w:szCs w:val="20"/>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4D23855">
      <w:pPr>
        <w:ind w:firstLine="480"/>
        <w:rPr>
          <w:bCs/>
          <w:szCs w:val="20"/>
        </w:rPr>
      </w:pPr>
      <w:r>
        <w:rPr>
          <w:rFonts w:hint="eastAsia"/>
          <w:bCs/>
          <w:szCs w:val="20"/>
        </w:rPr>
        <w:t>7、法律法规规定或中国证监会认定的其他情形。</w:t>
      </w:r>
    </w:p>
    <w:p w14:paraId="424BCA2A">
      <w:pPr>
        <w:ind w:firstLine="480"/>
        <w:rPr>
          <w:bCs/>
          <w:sz w:val="21"/>
          <w:szCs w:val="20"/>
        </w:rPr>
      </w:pPr>
      <w:r>
        <w:rPr>
          <w:rFonts w:hint="eastAsia"/>
          <w:bCs/>
          <w:szCs w:val="20"/>
        </w:rPr>
        <w:t>发生上述情形之一且基金管理人决定暂停赎回或延缓支付赎回款项时，基金管理人应按规定报中国证监会备案，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59BBE85F">
      <w:pPr>
        <w:ind w:firstLine="482"/>
        <w:rPr>
          <w:b/>
        </w:rPr>
      </w:pPr>
      <w:r>
        <w:rPr>
          <w:rFonts w:hint="eastAsia"/>
          <w:b/>
        </w:rPr>
        <w:t>十、巨额赎回的情形及处理方式</w:t>
      </w:r>
    </w:p>
    <w:p w14:paraId="3136F98E">
      <w:pPr>
        <w:ind w:firstLine="480"/>
        <w:rPr>
          <w:bCs/>
          <w:szCs w:val="20"/>
        </w:rPr>
      </w:pPr>
      <w:r>
        <w:rPr>
          <w:rFonts w:hint="eastAsia"/>
          <w:bCs/>
          <w:szCs w:val="20"/>
        </w:rPr>
        <w:t>1、巨额赎回的认定</w:t>
      </w:r>
    </w:p>
    <w:p w14:paraId="7C2BBE8F">
      <w:pPr>
        <w:ind w:firstLine="480"/>
        <w:rPr>
          <w:bCs/>
          <w:szCs w:val="20"/>
        </w:rPr>
      </w:pPr>
      <w:r>
        <w:rPr>
          <w:rFonts w:hint="eastAsia"/>
          <w:bCs/>
          <w:szCs w:val="20"/>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88B7A4C">
      <w:pPr>
        <w:ind w:firstLine="480"/>
        <w:rPr>
          <w:bCs/>
          <w:szCs w:val="20"/>
        </w:rPr>
      </w:pPr>
      <w:r>
        <w:rPr>
          <w:rFonts w:hint="eastAsia"/>
          <w:bCs/>
          <w:szCs w:val="20"/>
        </w:rPr>
        <w:t>2、巨额赎回的处理方式</w:t>
      </w:r>
    </w:p>
    <w:p w14:paraId="36A3D65F">
      <w:pPr>
        <w:ind w:firstLine="480"/>
        <w:rPr>
          <w:bCs/>
          <w:szCs w:val="20"/>
        </w:rPr>
      </w:pPr>
      <w:r>
        <w:rPr>
          <w:rFonts w:hint="eastAsia"/>
          <w:bCs/>
          <w:szCs w:val="20"/>
        </w:rPr>
        <w:t>当基金出现巨额赎回时，基金管理人可以根据基金当时的资产组合状况决定全额赎回、部分延期赎回或暂停赎回。</w:t>
      </w:r>
    </w:p>
    <w:p w14:paraId="298F7661">
      <w:pPr>
        <w:ind w:firstLine="480"/>
        <w:rPr>
          <w:bCs/>
          <w:szCs w:val="20"/>
        </w:rPr>
      </w:pPr>
      <w:r>
        <w:rPr>
          <w:rFonts w:hint="eastAsia"/>
          <w:bCs/>
          <w:szCs w:val="20"/>
        </w:rPr>
        <w:t>（1）全额赎回：当基金管理人认为有能力支付投资人的全部赎回申请时，按正常赎回程序执行。</w:t>
      </w:r>
    </w:p>
    <w:p w14:paraId="0B8D4541">
      <w:pPr>
        <w:ind w:firstLine="480"/>
        <w:rPr>
          <w:bCs/>
          <w:szCs w:val="20"/>
        </w:rPr>
      </w:pPr>
      <w:r>
        <w:rPr>
          <w:rFonts w:hint="eastAsia"/>
          <w:bCs/>
          <w:szCs w:val="20"/>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的基金份额净值为基础计算赎回金额，以此类推，直到全部赎回为止。如投资人在提交赎回申请时未作明确选择，投资人未能赎回部分作自动延期赎回处理。部分延期赎回不受单笔赎回最低份额的限制。</w:t>
      </w:r>
    </w:p>
    <w:p w14:paraId="2AE217FA">
      <w:pPr>
        <w:ind w:firstLine="480"/>
        <w:rPr>
          <w:bCs/>
          <w:szCs w:val="20"/>
        </w:rPr>
      </w:pPr>
      <w:r>
        <w:rPr>
          <w:rFonts w:hint="eastAsia"/>
          <w:bCs/>
          <w:szCs w:val="20"/>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6D328983">
      <w:pPr>
        <w:ind w:firstLine="480"/>
        <w:rPr>
          <w:bCs/>
          <w:szCs w:val="20"/>
        </w:rPr>
      </w:pPr>
      <w:r>
        <w:rPr>
          <w:rFonts w:hint="eastAsia"/>
          <w:bCs/>
          <w:szCs w:val="20"/>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0B920C9">
      <w:pPr>
        <w:ind w:firstLine="480"/>
        <w:rPr>
          <w:bCs/>
          <w:szCs w:val="20"/>
        </w:rPr>
      </w:pPr>
      <w:r>
        <w:rPr>
          <w:rFonts w:hint="eastAsia"/>
          <w:bCs/>
          <w:szCs w:val="20"/>
        </w:rPr>
        <w:t>3、巨额赎回的公告</w:t>
      </w:r>
    </w:p>
    <w:p w14:paraId="309E4CA2">
      <w:pPr>
        <w:ind w:firstLine="480"/>
        <w:rPr>
          <w:bCs/>
          <w:szCs w:val="20"/>
        </w:rPr>
      </w:pPr>
      <w:r>
        <w:rPr>
          <w:rFonts w:hint="eastAsia"/>
          <w:bCs/>
          <w:szCs w:val="20"/>
        </w:rPr>
        <w:t>当发生上述巨额赎回并延期办理时，基金管理人应当通过邮寄、传真或者招募说明书规定的其他方式在3个交易日内通知基金份额持有人，说明有关处理方法，并在两日内在规定媒介上刊登公告。</w:t>
      </w:r>
    </w:p>
    <w:p w14:paraId="74AB1F5B">
      <w:pPr>
        <w:ind w:firstLine="482"/>
        <w:rPr>
          <w:b/>
          <w:bCs/>
          <w:szCs w:val="20"/>
        </w:rPr>
      </w:pPr>
      <w:r>
        <w:rPr>
          <w:rFonts w:hint="eastAsia"/>
          <w:b/>
          <w:bCs/>
          <w:szCs w:val="20"/>
        </w:rPr>
        <w:t>十一、暂停申购或赎回的公告和重新开放申购或赎回的公告</w:t>
      </w:r>
    </w:p>
    <w:p w14:paraId="2EF73D56">
      <w:pPr>
        <w:ind w:firstLine="480"/>
        <w:rPr>
          <w:bCs/>
          <w:szCs w:val="20"/>
        </w:rPr>
      </w:pPr>
      <w:r>
        <w:rPr>
          <w:rFonts w:hint="eastAsia"/>
          <w:bCs/>
          <w:szCs w:val="20"/>
        </w:rPr>
        <w:t>1、发生上述暂停申购或赎回情况的，基金管理人应在规定期限内在规定媒介上刊登暂停公告。</w:t>
      </w:r>
    </w:p>
    <w:p w14:paraId="7A1C4C8D">
      <w:pPr>
        <w:ind w:firstLine="480"/>
        <w:rPr>
          <w:bCs/>
          <w:szCs w:val="20"/>
        </w:rPr>
      </w:pPr>
      <w:r>
        <w:rPr>
          <w:rFonts w:hint="eastAsia"/>
          <w:bCs/>
          <w:szCs w:val="20"/>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16EFEA9">
      <w:pPr>
        <w:ind w:firstLine="482"/>
        <w:rPr>
          <w:b/>
          <w:bCs/>
          <w:szCs w:val="20"/>
        </w:rPr>
      </w:pPr>
      <w:r>
        <w:rPr>
          <w:rFonts w:hint="eastAsia"/>
          <w:b/>
          <w:bCs/>
          <w:szCs w:val="20"/>
        </w:rPr>
        <w:t>十二、基金转换</w:t>
      </w:r>
    </w:p>
    <w:p w14:paraId="111AC409">
      <w:pPr>
        <w:ind w:firstLine="480"/>
        <w:rPr>
          <w:bCs/>
          <w:szCs w:val="20"/>
        </w:rPr>
      </w:pPr>
      <w:r>
        <w:rPr>
          <w:bCs/>
        </w:rPr>
        <w:t>基金管理人可以根据相关法律法规以及基金合同的规定决定开办</w:t>
      </w:r>
      <w:r>
        <w:rPr>
          <w:rFonts w:hint="eastAsia"/>
          <w:bCs/>
        </w:rPr>
        <w:t>基金</w:t>
      </w:r>
      <w:r>
        <w:rPr>
          <w:bCs/>
        </w:rPr>
        <w:t>转换业务，基金转换可以收取一定的转换费，相关规则由基金管理人届时根据相关法律法规及基金合同的规定制定并公告，并提前告知基金托管人与相关机构</w:t>
      </w:r>
      <w:r>
        <w:rPr>
          <w:rFonts w:hint="eastAsia"/>
          <w:bCs/>
          <w:szCs w:val="20"/>
        </w:rPr>
        <w:t>。</w:t>
      </w:r>
    </w:p>
    <w:p w14:paraId="5460AF37">
      <w:pPr>
        <w:ind w:firstLine="482"/>
        <w:rPr>
          <w:b/>
          <w:bCs/>
          <w:szCs w:val="20"/>
        </w:rPr>
      </w:pPr>
      <w:r>
        <w:rPr>
          <w:rFonts w:hint="eastAsia"/>
          <w:b/>
          <w:bCs/>
          <w:szCs w:val="20"/>
        </w:rPr>
        <w:t>十三、基金份额的转让</w:t>
      </w:r>
    </w:p>
    <w:p w14:paraId="19BF237A">
      <w:pPr>
        <w:ind w:firstLine="480"/>
        <w:rPr>
          <w:bCs/>
          <w:szCs w:val="20"/>
        </w:rPr>
      </w:pPr>
      <w:r>
        <w:rPr>
          <w:rFonts w:hint="eastAsia"/>
          <w:bCs/>
          <w:color w:val="00000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r>
        <w:rPr>
          <w:rFonts w:hint="eastAsia"/>
          <w:bCs/>
          <w:szCs w:val="20"/>
        </w:rPr>
        <w:t>。</w:t>
      </w:r>
    </w:p>
    <w:p w14:paraId="381C6A34">
      <w:pPr>
        <w:ind w:firstLine="482"/>
        <w:rPr>
          <w:b/>
          <w:bCs/>
          <w:szCs w:val="20"/>
        </w:rPr>
      </w:pPr>
      <w:r>
        <w:rPr>
          <w:rFonts w:hint="eastAsia"/>
          <w:b/>
          <w:bCs/>
          <w:szCs w:val="20"/>
        </w:rPr>
        <w:t>十四、基金的非交易过户</w:t>
      </w:r>
    </w:p>
    <w:p w14:paraId="08A9FBB1">
      <w:pPr>
        <w:ind w:firstLine="48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而产生的非交易过户以及登记机构认可、符合法律法规的其它非交易过户</w:t>
      </w:r>
      <w:r>
        <w:rPr>
          <w:rFonts w:hint="eastAsia"/>
          <w:bCs/>
        </w:rPr>
        <w:t>，</w:t>
      </w:r>
      <w:r>
        <w:rPr>
          <w:rFonts w:hint="eastAsia"/>
          <w:bCs/>
          <w:color w:val="000000"/>
        </w:rPr>
        <w:t>或者按照相关法律法规或国家有权机关要求的方式进行处理的行为</w:t>
      </w:r>
      <w:r>
        <w:rPr>
          <w:bCs/>
        </w:rPr>
        <w:t>。无论在上述何种情况下，接受划转的主体必须是依法可以持有本基金基金份额的投资</w:t>
      </w:r>
      <w:r>
        <w:rPr>
          <w:rFonts w:hint="eastAsia"/>
          <w:bCs/>
        </w:rPr>
        <w:t>者</w:t>
      </w:r>
      <w:r>
        <w:rPr>
          <w:rFonts w:hint="eastAsia"/>
          <w:bCs/>
          <w:color w:val="000000"/>
        </w:rPr>
        <w:t>或者是按照相关法律法规或国家有权机关要求的方式进行处理</w:t>
      </w:r>
      <w:r>
        <w:rPr>
          <w:bCs/>
        </w:rPr>
        <w:t>。</w:t>
      </w:r>
    </w:p>
    <w:p w14:paraId="2571D39D">
      <w:pPr>
        <w:ind w:firstLine="480"/>
        <w:rPr>
          <w:bCs/>
          <w:szCs w:val="20"/>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r>
        <w:rPr>
          <w:rFonts w:hint="eastAsia"/>
          <w:bCs/>
          <w:szCs w:val="20"/>
        </w:rPr>
        <w:t>。</w:t>
      </w:r>
    </w:p>
    <w:p w14:paraId="2AA9FEDF">
      <w:pPr>
        <w:ind w:firstLine="482"/>
        <w:rPr>
          <w:b/>
          <w:bCs/>
          <w:szCs w:val="20"/>
        </w:rPr>
      </w:pPr>
      <w:r>
        <w:rPr>
          <w:rFonts w:hint="eastAsia"/>
          <w:b/>
          <w:bCs/>
          <w:szCs w:val="20"/>
        </w:rPr>
        <w:t>十五、基金的转托管</w:t>
      </w:r>
    </w:p>
    <w:p w14:paraId="68D20103">
      <w:pPr>
        <w:ind w:firstLine="480"/>
        <w:rPr>
          <w:bCs/>
          <w:szCs w:val="20"/>
        </w:rPr>
      </w:pPr>
      <w:r>
        <w:rPr>
          <w:bCs/>
        </w:rPr>
        <w:t>基金份额持有人可办理已持有基金份额在不同销售机构之间的转托管，基金销售机构可以按照规定的标准收取转托管费</w:t>
      </w:r>
      <w:r>
        <w:rPr>
          <w:rFonts w:hint="eastAsia"/>
          <w:bCs/>
          <w:szCs w:val="20"/>
        </w:rPr>
        <w:t>。</w:t>
      </w:r>
    </w:p>
    <w:p w14:paraId="5B7473C1">
      <w:pPr>
        <w:ind w:firstLine="482"/>
        <w:rPr>
          <w:b/>
          <w:bCs/>
          <w:szCs w:val="20"/>
        </w:rPr>
      </w:pPr>
      <w:r>
        <w:rPr>
          <w:rFonts w:hint="eastAsia"/>
          <w:b/>
          <w:bCs/>
          <w:szCs w:val="20"/>
        </w:rPr>
        <w:t>十六、定期定额投资计划</w:t>
      </w:r>
    </w:p>
    <w:p w14:paraId="3AAD9FC6">
      <w:pPr>
        <w:ind w:firstLine="480"/>
        <w:rPr>
          <w:bCs/>
          <w:szCs w:val="20"/>
        </w:rPr>
      </w:pPr>
      <w:r>
        <w:rPr>
          <w:bCs/>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r>
        <w:rPr>
          <w:rFonts w:hint="eastAsia"/>
          <w:bCs/>
          <w:szCs w:val="20"/>
        </w:rPr>
        <w:t>。</w:t>
      </w:r>
    </w:p>
    <w:p w14:paraId="7ADD6AE2">
      <w:pPr>
        <w:ind w:firstLine="482"/>
        <w:rPr>
          <w:b/>
          <w:bCs/>
          <w:szCs w:val="20"/>
        </w:rPr>
      </w:pPr>
      <w:r>
        <w:rPr>
          <w:rFonts w:hint="eastAsia"/>
          <w:b/>
          <w:bCs/>
          <w:szCs w:val="20"/>
        </w:rPr>
        <w:t>十七、基金份额的冻结、解冻和质押</w:t>
      </w:r>
    </w:p>
    <w:p w14:paraId="24DD05AE">
      <w:pPr>
        <w:ind w:firstLine="480"/>
        <w:rPr>
          <w:color w:val="000000"/>
        </w:rPr>
      </w:pPr>
      <w:r>
        <w:rPr>
          <w:bCs/>
        </w:rPr>
        <w:t>基金登记机构只受理国家有权机关依法要求的基金份额的冻结与解冻，以及登记机构认可、符合法律法规的其他情况下的冻结与解冻。</w:t>
      </w:r>
      <w:r>
        <w:rPr>
          <w:rFonts w:hint="eastAsia"/>
          <w:bCs/>
          <w:color w:val="000000"/>
        </w:rPr>
        <w:t>基金账户或基金份额被冻结的，被冻结部分产生的权益一并冻结，被冻结部分份额仍然参与收益分配与支付。法律法规或监管部门另有规定的除外。</w:t>
      </w:r>
    </w:p>
    <w:p w14:paraId="14F7E01C">
      <w:pPr>
        <w:ind w:firstLine="480"/>
        <w:rPr>
          <w:bCs/>
        </w:rPr>
      </w:pPr>
      <w:r>
        <w:rPr>
          <w:rFonts w:hint="eastAsia"/>
          <w:bCs/>
          <w:color w:val="000000"/>
        </w:rPr>
        <w:t>如相关法律法规允许基金管理人办理基金份额的质押业务或其他基金业务，基金管理人将制定和实施相应的业务规则，并可收取一定的手续费。</w:t>
      </w:r>
    </w:p>
    <w:p w14:paraId="79235896">
      <w:pPr>
        <w:ind w:firstLine="482"/>
        <w:rPr>
          <w:b/>
        </w:rPr>
      </w:pPr>
      <w:r>
        <w:rPr>
          <w:rFonts w:hint="eastAsia"/>
          <w:b/>
        </w:rPr>
        <w:t>十八、实施侧袋机制期间本基金的申购与赎回</w:t>
      </w:r>
    </w:p>
    <w:p w14:paraId="4F9454B3">
      <w:pPr>
        <w:ind w:firstLine="480"/>
      </w:pPr>
      <w:r>
        <w:rPr>
          <w:rFonts w:hint="eastAsia"/>
        </w:rPr>
        <w:t>本基金实施侧袋机制的，本基金的申购和赎回安排详见招募说明书“侧袋机制”部分的规定或相关公告。</w:t>
      </w:r>
    </w:p>
    <w:p w14:paraId="1A1CBF7F">
      <w:pPr>
        <w:pStyle w:val="2"/>
        <w:spacing w:before="312" w:after="312"/>
        <w:rPr>
          <w:kern w:val="0"/>
        </w:rPr>
      </w:pPr>
      <w:r>
        <w:rPr>
          <w:kern w:val="0"/>
        </w:rPr>
        <w:br w:type="page"/>
      </w:r>
      <w:bookmarkStart w:id="47" w:name="_Hlt88820748"/>
      <w:bookmarkEnd w:id="47"/>
      <w:bookmarkStart w:id="48" w:name="_Toc218004080"/>
      <w:r>
        <w:rPr>
          <w:rFonts w:hint="eastAsia"/>
          <w:kern w:val="0"/>
        </w:rPr>
        <w:t>第九部分</w:t>
      </w:r>
      <w:r>
        <w:rPr>
          <w:kern w:val="0"/>
        </w:rPr>
        <w:t xml:space="preserve">  </w:t>
      </w:r>
      <w:r>
        <w:rPr>
          <w:rFonts w:hint="eastAsia"/>
          <w:kern w:val="0"/>
        </w:rPr>
        <w:t>基金的投资</w:t>
      </w:r>
      <w:bookmarkEnd w:id="48"/>
    </w:p>
    <w:p w14:paraId="4C75E265">
      <w:pPr>
        <w:ind w:firstLine="482"/>
        <w:rPr>
          <w:b/>
          <w:bCs/>
        </w:rPr>
      </w:pPr>
      <w:bookmarkStart w:id="49" w:name="_Toc78208364"/>
      <w:r>
        <w:rPr>
          <w:b/>
          <w:bCs/>
        </w:rPr>
        <w:t>一、投资目标</w:t>
      </w:r>
    </w:p>
    <w:p w14:paraId="3FE46E50">
      <w:pPr>
        <w:ind w:firstLine="480"/>
        <w:rPr>
          <w:bCs/>
        </w:rPr>
      </w:pPr>
      <w:r>
        <w:rPr>
          <w:rFonts w:hint="eastAsia"/>
          <w:bCs/>
        </w:rPr>
        <w:t>本基金在保持资产流动性以及严格控制风险的基础上，通过积极主动的投资管理，力争为基金份额持有人创造高于业绩比较基准的投资收益。</w:t>
      </w:r>
    </w:p>
    <w:p w14:paraId="7389779D">
      <w:pPr>
        <w:ind w:firstLine="482"/>
        <w:rPr>
          <w:b/>
          <w:bCs/>
        </w:rPr>
      </w:pPr>
      <w:r>
        <w:rPr>
          <w:b/>
          <w:bCs/>
        </w:rPr>
        <w:t>二、投资范围</w:t>
      </w:r>
    </w:p>
    <w:p w14:paraId="643DE1E8">
      <w:pPr>
        <w:ind w:firstLine="480"/>
        <w:rPr>
          <w:bCs/>
        </w:rPr>
      </w:pPr>
      <w:r>
        <w:rPr>
          <w:rFonts w:hint="eastAsia"/>
          <w:bCs/>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62212DE3">
      <w:pPr>
        <w:ind w:firstLine="480"/>
        <w:rPr>
          <w:bCs/>
        </w:rPr>
      </w:pPr>
      <w:r>
        <w:rPr>
          <w:rFonts w:hint="eastAsia"/>
          <w:bCs/>
        </w:rPr>
        <w:t>如法律法规或监管机构以后允许基金投资其他品种，基金管理人在履行适当程序后，可以将其纳入投资范围。</w:t>
      </w:r>
    </w:p>
    <w:p w14:paraId="5E480267">
      <w:pPr>
        <w:ind w:firstLine="480"/>
        <w:rPr>
          <w:bCs/>
        </w:rPr>
      </w:pPr>
      <w:r>
        <w:rPr>
          <w:rFonts w:hint="eastAsia"/>
          <w:bCs/>
        </w:rPr>
        <w:t>基金的投资组合比例为：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w:t>
      </w:r>
    </w:p>
    <w:p w14:paraId="5C154D8C">
      <w:pPr>
        <w:ind w:firstLine="480"/>
        <w:rPr>
          <w:bCs/>
        </w:rPr>
      </w:pPr>
      <w:r>
        <w:rPr>
          <w:rFonts w:hint="eastAsia"/>
          <w:bCs/>
        </w:rPr>
        <w:t>1、基金合同约定股票及存托凭证资产投资比例不低于基金资产60%的混合型基金；</w:t>
      </w:r>
    </w:p>
    <w:p w14:paraId="7E1C1F35">
      <w:pPr>
        <w:ind w:firstLine="480"/>
        <w:rPr>
          <w:bCs/>
        </w:rPr>
      </w:pPr>
      <w:r>
        <w:rPr>
          <w:rFonts w:hint="eastAsia"/>
          <w:bCs/>
        </w:rPr>
        <w:t>2、根据基金披露的定期报告，最近四个季度中任一季度股票及存托凭证资产占基金资产比例均不低于60%的混合型基金。</w:t>
      </w:r>
    </w:p>
    <w:p w14:paraId="0BF45D95">
      <w:pPr>
        <w:ind w:firstLine="480"/>
        <w:rPr>
          <w:bCs/>
        </w:rPr>
      </w:pPr>
      <w:r>
        <w:rPr>
          <w:rFonts w:hint="eastAsia"/>
          <w:bCs/>
        </w:rPr>
        <w:t>如法律法规或中国证监会变更投资品种的投资比例限制，基金管理人在履行适当程序后，可以调整上述投资品种的投资比例。</w:t>
      </w:r>
    </w:p>
    <w:p w14:paraId="1358CB68">
      <w:pPr>
        <w:ind w:firstLine="482"/>
        <w:rPr>
          <w:b/>
          <w:bCs/>
        </w:rPr>
      </w:pPr>
      <w:r>
        <w:rPr>
          <w:b/>
          <w:bCs/>
        </w:rPr>
        <w:t>三、投资策略</w:t>
      </w:r>
    </w:p>
    <w:p w14:paraId="477F4F00">
      <w:pPr>
        <w:ind w:firstLine="480"/>
        <w:rPr>
          <w:bCs/>
        </w:rPr>
      </w:pPr>
      <w:r>
        <w:rPr>
          <w:rFonts w:hint="eastAsia"/>
          <w:bCs/>
        </w:rPr>
        <w:t>本基金采取稳健灵活的投资策略，力求在有效控制风险的基础上，获得基金资产的稳定增值；同时根据对权益类市场的趋势研判适度参与股票资产投资，力求提高基金总体收益率。</w:t>
      </w:r>
    </w:p>
    <w:p w14:paraId="59BD3450">
      <w:pPr>
        <w:ind w:firstLine="480"/>
        <w:rPr>
          <w:bCs/>
        </w:rPr>
      </w:pPr>
      <w:r>
        <w:rPr>
          <w:rFonts w:hint="eastAsia"/>
          <w:bCs/>
        </w:rPr>
        <w:t>（一）资产配置策略</w:t>
      </w:r>
    </w:p>
    <w:p w14:paraId="7D60BED1">
      <w:pPr>
        <w:ind w:firstLine="480"/>
        <w:rPr>
          <w:bCs/>
        </w:rPr>
      </w:pPr>
      <w:r>
        <w:rPr>
          <w:rFonts w:hint="eastAsia"/>
          <w:bCs/>
        </w:rPr>
        <w:t>本基金采取自上而下的方法对基金资产进行动态的整体资产配置和类属资产配置。在认真研判宏观经济运行状况和金融市场运行趋势的基础上，根据整体资产配置策略动态调整大类金融资产的比例；在充分分析债券市场环境及市场流动性的基础上，根据类属资产配置策略以确定基金资产在可转换债券、分离交易可转换债券、可交换债券、信用债、利率债、股票、基金之间的配置比例。</w:t>
      </w:r>
    </w:p>
    <w:p w14:paraId="43A3E23B">
      <w:pPr>
        <w:ind w:firstLine="480"/>
        <w:rPr>
          <w:bCs/>
        </w:rPr>
      </w:pPr>
      <w:r>
        <w:rPr>
          <w:rFonts w:hint="eastAsia"/>
          <w:bCs/>
        </w:rPr>
        <w:t>（二）债券等固定收益类资产的投资策略</w:t>
      </w:r>
    </w:p>
    <w:p w14:paraId="51978743">
      <w:pPr>
        <w:ind w:firstLine="480"/>
        <w:rPr>
          <w:bCs/>
        </w:rPr>
      </w:pPr>
      <w:r>
        <w:rPr>
          <w:rFonts w:hint="eastAsia"/>
          <w:bCs/>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569AF530">
      <w:pPr>
        <w:ind w:firstLine="480"/>
        <w:rPr>
          <w:bCs/>
        </w:rPr>
      </w:pPr>
      <w:r>
        <w:rPr>
          <w:rFonts w:hint="eastAsia"/>
          <w:bCs/>
        </w:rPr>
        <w:t>1、久期控制是根据对宏观经济发展状况、金融市场运行特点等因素的分析确定组合的整体久期，有效的控制整体资产风险。</w:t>
      </w:r>
    </w:p>
    <w:p w14:paraId="6937DD03">
      <w:pPr>
        <w:ind w:firstLine="48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29918DBC">
      <w:pPr>
        <w:ind w:firstLine="480"/>
        <w:rPr>
          <w:bCs/>
        </w:rPr>
      </w:pPr>
      <w:r>
        <w:rPr>
          <w:rFonts w:hint="eastAsia"/>
          <w:bCs/>
        </w:rPr>
        <w:t>3、信用风险控制是基金管理人充分利用现有行业与公司研究力量，根据发债主体的经营状况和现金流等情况对其信用风险进行评估，以此作为品种选择的基本依据。</w:t>
      </w:r>
    </w:p>
    <w:p w14:paraId="1F802856">
      <w:pPr>
        <w:ind w:firstLine="480"/>
        <w:rPr>
          <w:bCs/>
        </w:rPr>
      </w:pPr>
      <w:r>
        <w:rPr>
          <w:rFonts w:hint="eastAsia"/>
          <w:bCs/>
        </w:rPr>
        <w:t>4、跨市场套利根据不同债券市场间的运行规律和风险特性，构建和调整债券组合，提高投资收益，实现跨市场套利。</w:t>
      </w:r>
    </w:p>
    <w:p w14:paraId="453621E5">
      <w:pPr>
        <w:ind w:firstLine="480"/>
        <w:rPr>
          <w:bCs/>
        </w:rPr>
      </w:pPr>
      <w:r>
        <w:rPr>
          <w:rFonts w:hint="eastAsia"/>
          <w:bCs/>
        </w:rPr>
        <w:t>5、相对价值判断是根据对同类债券的相对价值判断，选择合适的交易时机，增持相对低估、价格将上升的债券，减持相对高估、价格将下降的债券。</w:t>
      </w:r>
    </w:p>
    <w:p w14:paraId="34407790">
      <w:pPr>
        <w:ind w:firstLine="480"/>
        <w:rPr>
          <w:bCs/>
        </w:rPr>
      </w:pPr>
      <w:r>
        <w:rPr>
          <w:rFonts w:hint="eastAsia"/>
          <w:bCs/>
        </w:rPr>
        <w:t>6、信用债投资策略</w:t>
      </w:r>
    </w:p>
    <w:p w14:paraId="51E248E0">
      <w:pPr>
        <w:ind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14:paraId="0B0997A1">
      <w:pPr>
        <w:ind w:firstLine="480"/>
        <w:rPr>
          <w:bCs/>
        </w:rPr>
      </w:pPr>
      <w:r>
        <w:rPr>
          <w:rFonts w:hint="eastAsia"/>
          <w:bCs/>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14:paraId="6A7FFD97">
      <w:pPr>
        <w:ind w:firstLine="480"/>
        <w:rPr>
          <w:bCs/>
        </w:rPr>
      </w:pPr>
      <w:r>
        <w:rPr>
          <w:rFonts w:hint="eastAsia"/>
          <w:bCs/>
        </w:rPr>
        <w:t>同一信用产品在不同市场状态下往往会有不同的表现，针对不同的表现，基金管理人将采取不同的操作方式：如果信用债一二级市场利差高于基金管理人判断的正常区间，基金管理人将在该信用债上市时就寻找适当的时机卖出实现利润；如果一二级市场利差处于基金管理人判断的正常区间，基金管理人将持券一段时间再行卖出，获取该段时间里的骑乘收益和持有期间的票息收益。本基金信用债投资在操作上主要以博取骑乘和票息收益为主，这种以时间换空间的操作方式决定了本基金管理人在具体操作上必须在获取收益和防范信用风险之间取得平衡。</w:t>
      </w:r>
    </w:p>
    <w:p w14:paraId="69A7E166">
      <w:pPr>
        <w:ind w:firstLine="480"/>
        <w:rPr>
          <w:bCs/>
        </w:rPr>
      </w:pPr>
      <w:r>
        <w:rPr>
          <w:rFonts w:hint="eastAsia"/>
          <w:bCs/>
        </w:rPr>
        <w:t>本基金在投资信用债（含资产支持证券，下同）时遵守以下约定：本基金主动投资于信用债时的信用评级不低于AA+，其中，投资于信用评级为AAA及以上的信用债的比例不低于信用债资产合计的50%；投资于信用评级为AA+的信用债的比例不高于信用债资产合计的50%。</w:t>
      </w:r>
    </w:p>
    <w:p w14:paraId="2A921147">
      <w:pPr>
        <w:ind w:firstLine="480"/>
        <w:rPr>
          <w:bCs/>
        </w:rPr>
      </w:pPr>
      <w:r>
        <w:rPr>
          <w:rFonts w:hint="eastAsia"/>
          <w:bCs/>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3个月内调整至符合约定。本基金对信用债评级的认定参照基金管理人选定的评级机构出具的债券信用评级。</w:t>
      </w:r>
    </w:p>
    <w:p w14:paraId="7EAC90EA">
      <w:pPr>
        <w:ind w:firstLine="480"/>
        <w:rPr>
          <w:bCs/>
        </w:rPr>
      </w:pPr>
      <w:r>
        <w:rPr>
          <w:rFonts w:hint="eastAsia"/>
          <w:bCs/>
        </w:rPr>
        <w:t>7、可转换债券（含分离交易可转换债券）及可交换债券投资策略</w:t>
      </w:r>
    </w:p>
    <w:p w14:paraId="3D3E505D">
      <w:pPr>
        <w:ind w:firstLine="48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2DA85F71">
      <w:pPr>
        <w:ind w:firstLine="480"/>
        <w:rPr>
          <w:bCs/>
        </w:rPr>
      </w:pPr>
      <w:r>
        <w:rPr>
          <w:rFonts w:hint="eastAsia"/>
          <w:bCs/>
        </w:rPr>
        <w:t>（三）动态收益增强策略</w:t>
      </w:r>
    </w:p>
    <w:p w14:paraId="7FE6B463">
      <w:pPr>
        <w:ind w:firstLine="480"/>
        <w:rPr>
          <w:bCs/>
        </w:rPr>
      </w:pPr>
      <w:r>
        <w:rPr>
          <w:rFonts w:hint="eastAsia"/>
          <w:bCs/>
        </w:rPr>
        <w:t>在以上债券等固定收益类资产投资策略的基础上，本基金还将根据债券市场的动态变化，采取多种灵活的策略，力争获取超额收益。主要包括骑乘收益率曲线策略、息差策略等。</w:t>
      </w:r>
    </w:p>
    <w:p w14:paraId="3B8A9D61">
      <w:pPr>
        <w:ind w:firstLine="480"/>
        <w:rPr>
          <w:bCs/>
        </w:rPr>
      </w:pPr>
      <w:r>
        <w:rPr>
          <w:rFonts w:hint="eastAsia"/>
          <w:bCs/>
        </w:rPr>
        <w:t>1、骑乘收益率曲线策略</w:t>
      </w:r>
    </w:p>
    <w:p w14:paraId="2787D9B0">
      <w:pPr>
        <w:ind w:firstLine="480"/>
        <w:rPr>
          <w:bCs/>
        </w:rPr>
      </w:pPr>
      <w:r>
        <w:rPr>
          <w:rFonts w:hint="eastAsia"/>
          <w:bCs/>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14:paraId="61B853BF">
      <w:pPr>
        <w:ind w:firstLine="480"/>
        <w:rPr>
          <w:bCs/>
        </w:rPr>
      </w:pPr>
      <w:r>
        <w:rPr>
          <w:rFonts w:hint="eastAsia"/>
          <w:bCs/>
        </w:rPr>
        <w:t>2、息差策略</w:t>
      </w:r>
    </w:p>
    <w:p w14:paraId="06E0FA23">
      <w:pPr>
        <w:ind w:firstLine="480"/>
        <w:rPr>
          <w:bCs/>
        </w:rPr>
      </w:pPr>
      <w:r>
        <w:rPr>
          <w:rFonts w:hint="eastAsia"/>
          <w:bCs/>
        </w:rPr>
        <w:t>息差策略是指通过不断正回购融资并持续买入债券的操作，只要回购资金成本低于债券收益率，就可以达到杠杆放大的套利目标。</w:t>
      </w:r>
    </w:p>
    <w:p w14:paraId="36599FDB">
      <w:pPr>
        <w:ind w:firstLine="480"/>
        <w:rPr>
          <w:bCs/>
        </w:rPr>
      </w:pPr>
      <w:r>
        <w:rPr>
          <w:rFonts w:hint="eastAsia"/>
          <w:bCs/>
        </w:rPr>
        <w:t>本基金将根据对市场回购利率走势的判断，适当地选择杠杆比率，谨慎地实施息差策略，提高投资组合的收益水平。</w:t>
      </w:r>
    </w:p>
    <w:p w14:paraId="65ABE06E">
      <w:pPr>
        <w:ind w:firstLine="480"/>
        <w:rPr>
          <w:bCs/>
        </w:rPr>
      </w:pPr>
      <w:r>
        <w:rPr>
          <w:rFonts w:hint="eastAsia"/>
          <w:bCs/>
        </w:rPr>
        <w:t>（四）股票投资策略</w:t>
      </w:r>
    </w:p>
    <w:p w14:paraId="38123429">
      <w:pPr>
        <w:ind w:firstLine="480"/>
        <w:rPr>
          <w:bCs/>
        </w:rPr>
      </w:pPr>
      <w:r>
        <w:rPr>
          <w:rFonts w:hint="eastAsia"/>
          <w:bCs/>
        </w:rPr>
        <w:t>1、本基金将精选基本面良好、有长期投资价值的优质企业。具体标准如下：</w:t>
      </w:r>
    </w:p>
    <w:p w14:paraId="3DD1E316">
      <w:pPr>
        <w:ind w:firstLine="480"/>
        <w:rPr>
          <w:bCs/>
        </w:rPr>
      </w:pPr>
      <w:r>
        <w:rPr>
          <w:rFonts w:hint="eastAsia"/>
          <w:bCs/>
        </w:rPr>
        <w:t>（1）预期公司基本面良好、具有长期增长价值；</w:t>
      </w:r>
    </w:p>
    <w:p w14:paraId="55E5F37A">
      <w:pPr>
        <w:ind w:firstLine="480"/>
        <w:rPr>
          <w:bCs/>
        </w:rPr>
      </w:pPr>
      <w:r>
        <w:rPr>
          <w:rFonts w:hint="eastAsia"/>
          <w:bCs/>
        </w:rPr>
        <w:t>（2）具有良好的企业治理结构和财务可信度；</w:t>
      </w:r>
    </w:p>
    <w:p w14:paraId="3DB4E6CA">
      <w:pPr>
        <w:ind w:firstLine="480"/>
        <w:rPr>
          <w:bCs/>
        </w:rPr>
      </w:pPr>
      <w:r>
        <w:rPr>
          <w:rFonts w:hint="eastAsia"/>
          <w:bCs/>
        </w:rPr>
        <w:t>（3）预期股价表现可超越基准；</w:t>
      </w:r>
    </w:p>
    <w:p w14:paraId="772C9934">
      <w:pPr>
        <w:ind w:firstLine="480"/>
        <w:rPr>
          <w:bCs/>
        </w:rPr>
      </w:pPr>
      <w:r>
        <w:rPr>
          <w:rFonts w:hint="eastAsia"/>
          <w:bCs/>
        </w:rPr>
        <w:t>（4）预测估值水平合理或具有吸引力。</w:t>
      </w:r>
    </w:p>
    <w:p w14:paraId="4CF1E91E">
      <w:pPr>
        <w:ind w:firstLine="480"/>
        <w:rPr>
          <w:bCs/>
        </w:rPr>
      </w:pPr>
      <w:r>
        <w:rPr>
          <w:rFonts w:hint="eastAsia"/>
          <w:bCs/>
        </w:rPr>
        <w:t>2、港股通标的股票投资策略</w:t>
      </w:r>
    </w:p>
    <w:p w14:paraId="07515965">
      <w:pPr>
        <w:ind w:firstLine="480"/>
        <w:rPr>
          <w:bCs/>
        </w:rPr>
      </w:pPr>
      <w:r>
        <w:rPr>
          <w:rFonts w:hint="eastAsia"/>
          <w:bCs/>
        </w:rPr>
        <w:t>本基金可通过内地与香港股票市场交易互联互通机制投资于香港股票市场。本基金将自下而上精选具有健康的商业模式、领先的行业竞争优势、良好的公司治理、广阔的发展空间、估值合理的港股通标的股票纳入本基金的股票投资组合。</w:t>
      </w:r>
    </w:p>
    <w:p w14:paraId="00A2F79A">
      <w:pPr>
        <w:ind w:firstLine="480"/>
        <w:rPr>
          <w:bCs/>
        </w:rPr>
      </w:pPr>
      <w:r>
        <w:rPr>
          <w:rFonts w:hint="eastAsia"/>
          <w:bCs/>
        </w:rPr>
        <w:t>（五）基金投资策略</w:t>
      </w:r>
    </w:p>
    <w:p w14:paraId="698A59F1">
      <w:pPr>
        <w:ind w:firstLine="480"/>
        <w:rPr>
          <w:bCs/>
        </w:rPr>
      </w:pPr>
      <w:r>
        <w:rPr>
          <w:rFonts w:hint="eastAsia"/>
          <w:bCs/>
        </w:rPr>
        <w:t>本基金可投资于全市场的股票型ETF、公募REITs，以及基金管理人旗下的股票型基金、计入权益类资产的混合型基金。</w:t>
      </w:r>
    </w:p>
    <w:p w14:paraId="4D71373C">
      <w:pPr>
        <w:ind w:firstLine="480"/>
        <w:rPr>
          <w:bCs/>
        </w:rPr>
      </w:pPr>
      <w:r>
        <w:rPr>
          <w:rFonts w:hint="eastAsia"/>
          <w:bCs/>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254F8CA4">
      <w:pPr>
        <w:ind w:firstLine="480"/>
        <w:rPr>
          <w:bCs/>
        </w:rPr>
      </w:pPr>
      <w:r>
        <w:rPr>
          <w:rFonts w:hint="eastAsia"/>
          <w:bCs/>
        </w:rPr>
        <w:t>对于权益类基金，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现、跟踪误差、超额收益、规模变化等多角度进行分析，选取出表现稳定，符合未来市场发展方向的基金。同时，本基金还将通过分析标的基金基金管理人的资产管理规模、投研文化、风险控制能力等因素，对标的基金的业绩稳定性、风险控制能力等方面进行筛选。</w:t>
      </w:r>
    </w:p>
    <w:p w14:paraId="49FC5F82">
      <w:pPr>
        <w:ind w:firstLine="480"/>
        <w:rPr>
          <w:bCs/>
        </w:rPr>
      </w:pPr>
      <w:r>
        <w:rPr>
          <w:rFonts w:hint="eastAsia"/>
          <w:bCs/>
        </w:rPr>
        <w:t>对于公募REITs，本基金将针对公募REITs的底层基础资产所属的行业周期（供需结构、运营收入和资产价格波动等）以及其他可比投资资产项目的风险和预期收益率来判断公募REITs持有基础资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14:paraId="22AAD757">
      <w:pPr>
        <w:ind w:firstLine="480"/>
        <w:rPr>
          <w:bCs/>
        </w:rPr>
      </w:pPr>
      <w:r>
        <w:rPr>
          <w:rFonts w:hint="eastAsia"/>
          <w:bCs/>
        </w:rPr>
        <w:t>本基金还将定期对投资组合进行回顾和动态调整，剔除不再符合筛选标准的标的基金，增加符合筛选标准的基金，以实现基金投资组合的优化。</w:t>
      </w:r>
    </w:p>
    <w:p w14:paraId="56E3ACA9">
      <w:pPr>
        <w:ind w:firstLine="480"/>
        <w:rPr>
          <w:bCs/>
        </w:rPr>
      </w:pPr>
      <w:r>
        <w:rPr>
          <w:rFonts w:hint="eastAsia"/>
          <w:bCs/>
        </w:rPr>
        <w:t>（六）存托凭证投资策略</w:t>
      </w:r>
    </w:p>
    <w:p w14:paraId="48803822">
      <w:pPr>
        <w:ind w:firstLine="480"/>
        <w:rPr>
          <w:bCs/>
        </w:rPr>
      </w:pPr>
      <w:r>
        <w:rPr>
          <w:rFonts w:hint="eastAsia"/>
          <w:bCs/>
        </w:rPr>
        <w:t>本基金将根据投资目标和股票投资策略，基于对基础证券投资价值的研究判断，进行存托凭证的投资。</w:t>
      </w:r>
    </w:p>
    <w:p w14:paraId="10D8C6CD">
      <w:pPr>
        <w:ind w:firstLine="480"/>
        <w:rPr>
          <w:bCs/>
        </w:rPr>
      </w:pPr>
      <w:r>
        <w:rPr>
          <w:rFonts w:hint="eastAsia"/>
          <w:bCs/>
        </w:rPr>
        <w:t>（七）国债期货投资策略</w:t>
      </w:r>
    </w:p>
    <w:p w14:paraId="014910D4">
      <w:pPr>
        <w:ind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32449242">
      <w:pPr>
        <w:ind w:firstLine="480"/>
        <w:rPr>
          <w:bCs/>
        </w:rPr>
      </w:pPr>
      <w:r>
        <w:rPr>
          <w:rFonts w:hint="eastAsia"/>
          <w:bCs/>
        </w:rPr>
        <w:t>（八）信用衍生品投资策略</w:t>
      </w:r>
    </w:p>
    <w:p w14:paraId="22F94B91">
      <w:pPr>
        <w:ind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59F3DE9">
      <w:pPr>
        <w:ind w:firstLine="480"/>
        <w:rPr>
          <w:bCs/>
        </w:rPr>
      </w:pPr>
      <w:r>
        <w:rPr>
          <w:rFonts w:hint="eastAsia"/>
          <w:bCs/>
        </w:rPr>
        <w:t>未来，随着证券市场投资工具的发展和丰富，基金可在履行适当程序后，相应调整和更新相关投资策略。</w:t>
      </w:r>
    </w:p>
    <w:p w14:paraId="2F782626">
      <w:pPr>
        <w:ind w:firstLine="482"/>
        <w:rPr>
          <w:b/>
          <w:bCs/>
        </w:rPr>
      </w:pPr>
      <w:r>
        <w:rPr>
          <w:b/>
          <w:bCs/>
        </w:rPr>
        <w:t>四、投资限制</w:t>
      </w:r>
    </w:p>
    <w:p w14:paraId="3FBB009E">
      <w:pPr>
        <w:ind w:firstLine="480"/>
        <w:rPr>
          <w:bCs/>
        </w:rPr>
      </w:pPr>
      <w:r>
        <w:rPr>
          <w:rFonts w:hint="eastAsia"/>
          <w:bCs/>
        </w:rPr>
        <w:t>1、组合限制</w:t>
      </w:r>
    </w:p>
    <w:p w14:paraId="02B2D8EF">
      <w:pPr>
        <w:ind w:firstLine="480"/>
        <w:rPr>
          <w:bCs/>
        </w:rPr>
      </w:pPr>
      <w:r>
        <w:rPr>
          <w:rFonts w:hint="eastAsia"/>
          <w:bCs/>
        </w:rPr>
        <w:t>基金的投资组合应遵循以下限制：</w:t>
      </w:r>
    </w:p>
    <w:p w14:paraId="6E84227D">
      <w:pPr>
        <w:ind w:firstLine="480"/>
        <w:rPr>
          <w:bCs/>
        </w:rPr>
      </w:pPr>
      <w:r>
        <w:rPr>
          <w:rFonts w:hint="eastAsia"/>
          <w:bCs/>
        </w:rPr>
        <w:t>（1）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其中，计入上述权益类资产的混合型基金需符合下列两个条件之一：</w:t>
      </w:r>
    </w:p>
    <w:p w14:paraId="0075B70F">
      <w:pPr>
        <w:ind w:firstLine="480"/>
        <w:rPr>
          <w:bCs/>
        </w:rPr>
      </w:pPr>
      <w:r>
        <w:rPr>
          <w:rFonts w:hint="eastAsia"/>
          <w:bCs/>
        </w:rPr>
        <w:t>1）基金合同约定股票及存托凭证资产投资比例不低于基金资产60%的混合型基金；</w:t>
      </w:r>
    </w:p>
    <w:p w14:paraId="2A68FB1E">
      <w:pPr>
        <w:ind w:firstLine="480"/>
        <w:rPr>
          <w:bCs/>
        </w:rPr>
      </w:pPr>
      <w:r>
        <w:rPr>
          <w:rFonts w:hint="eastAsia"/>
          <w:bCs/>
        </w:rPr>
        <w:t>2）根据基金披露的定期报告，最近四个季度中任一季度股票及存托凭证资产占基金资产比例均不低于60%的混合型基金；</w:t>
      </w:r>
    </w:p>
    <w:p w14:paraId="4813FEC0">
      <w:pPr>
        <w:ind w:firstLine="480"/>
        <w:rPr>
          <w:bCs/>
        </w:rPr>
      </w:pPr>
      <w:r>
        <w:rPr>
          <w:rFonts w:hint="eastAsia"/>
          <w:bCs/>
        </w:rPr>
        <w:t>（2）本基金持有其他基金，其市值不超过基金资产净值的10%；</w:t>
      </w:r>
    </w:p>
    <w:p w14:paraId="7514126E">
      <w:pPr>
        <w:ind w:firstLine="480"/>
        <w:rPr>
          <w:bCs/>
        </w:rPr>
      </w:pPr>
      <w:r>
        <w:rPr>
          <w:rFonts w:hint="eastAsia"/>
          <w:bCs/>
        </w:rPr>
        <w:t>（3）每个交易日日终在扣除国债期货合约需缴纳的交易保证金后，本基金持有的现金或者到期日在一年以内的政府债券不低于基金资产净值的5%，其中现金不包括结算备付金、存出保证金、应收申购款等；</w:t>
      </w:r>
    </w:p>
    <w:p w14:paraId="52E6CAFA">
      <w:pPr>
        <w:ind w:firstLine="480"/>
        <w:rPr>
          <w:bCs/>
        </w:rPr>
      </w:pPr>
      <w:r>
        <w:rPr>
          <w:rFonts w:hint="eastAsia"/>
          <w:bCs/>
        </w:rPr>
        <w:t>（4）本基金持有一家公司发行的证券（同一家公司在内地和香港同时上市的A+H股合计计算，但不包括本基金所投资的基金份额），其市值不超过基金资产净值的10%；</w:t>
      </w:r>
    </w:p>
    <w:p w14:paraId="12E43717">
      <w:pPr>
        <w:ind w:firstLine="480"/>
        <w:rPr>
          <w:bCs/>
        </w:rPr>
      </w:pPr>
      <w:r>
        <w:rPr>
          <w:rFonts w:hint="eastAsia"/>
          <w:bCs/>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436A153">
      <w:pPr>
        <w:ind w:firstLine="480"/>
        <w:rPr>
          <w:bCs/>
        </w:rPr>
      </w:pPr>
      <w:r>
        <w:rPr>
          <w:rFonts w:hint="eastAsia"/>
          <w:bCs/>
        </w:rPr>
        <w:t>（6）本基金投资于同一原始权益人的各类资产支持证券的比例，不得超过基金资产净值的10％；</w:t>
      </w:r>
    </w:p>
    <w:p w14:paraId="645C459C">
      <w:pPr>
        <w:ind w:firstLine="480"/>
        <w:rPr>
          <w:bCs/>
        </w:rPr>
      </w:pPr>
      <w:r>
        <w:rPr>
          <w:rFonts w:hint="eastAsia"/>
          <w:bCs/>
        </w:rPr>
        <w:t>（7）本基金持有的全部资产支持证券，其市值不得超过基金资产净值的20％；</w:t>
      </w:r>
    </w:p>
    <w:p w14:paraId="7EFFB562">
      <w:pPr>
        <w:ind w:firstLine="480"/>
        <w:rPr>
          <w:bCs/>
        </w:rPr>
      </w:pPr>
      <w:r>
        <w:rPr>
          <w:rFonts w:hint="eastAsia"/>
          <w:bCs/>
        </w:rPr>
        <w:t>（8）本基金持有的同一（指同一信用级别）资产支持证券的比例，不得超过该资产支持证券规模的10％；</w:t>
      </w:r>
    </w:p>
    <w:p w14:paraId="1F46E5AB">
      <w:pPr>
        <w:ind w:firstLine="480"/>
        <w:rPr>
          <w:bCs/>
        </w:rPr>
      </w:pPr>
      <w:r>
        <w:rPr>
          <w:rFonts w:hint="eastAsia"/>
          <w:bCs/>
        </w:rPr>
        <w:t>（9）本基金管理人管理的全部基金投资于同一原始权益人的各类资产支持证券，不得超过其各类资产支持证券合计规模的10％；</w:t>
      </w:r>
    </w:p>
    <w:p w14:paraId="533EF949">
      <w:pPr>
        <w:ind w:firstLine="480"/>
        <w:rPr>
          <w:bCs/>
        </w:rPr>
      </w:pPr>
      <w:r>
        <w:rPr>
          <w:rFonts w:hint="eastAsia"/>
          <w:bCs/>
        </w:rPr>
        <w:t>（10）本基金与私募类证券资管产品及中国证监会认定的其他主体为交易对手开展逆回购交易的，可接受质押品的资质要求应当与基金合同约定的投资范围保持一致；</w:t>
      </w:r>
    </w:p>
    <w:p w14:paraId="31FB1476">
      <w:pPr>
        <w:ind w:firstLine="480"/>
        <w:rPr>
          <w:bCs/>
        </w:rPr>
      </w:pPr>
      <w:r>
        <w:rPr>
          <w:rFonts w:hint="eastAsia"/>
          <w:bCs/>
        </w:rPr>
        <w:t>（11）本基金资产总值不得超过基金资产净值的140%；</w:t>
      </w:r>
    </w:p>
    <w:p w14:paraId="40E85D7C">
      <w:pPr>
        <w:ind w:firstLine="480"/>
        <w:rPr>
          <w:bCs/>
        </w:rPr>
      </w:pPr>
      <w:r>
        <w:rPr>
          <w:rFonts w:hint="eastAsia"/>
          <w:bCs/>
        </w:rPr>
        <w:t>（1</w:t>
      </w:r>
      <w:r>
        <w:rPr>
          <w:bCs/>
        </w:rPr>
        <w:t>2</w:t>
      </w:r>
      <w:r>
        <w:rPr>
          <w:rFonts w:hint="eastAsia"/>
          <w:bCs/>
        </w:rPr>
        <w:t>）本基金不得持有具有信用保护卖方属性的信用衍生品，不得持有合约类信用衍生品；</w:t>
      </w:r>
    </w:p>
    <w:p w14:paraId="6A1D0D0D">
      <w:pPr>
        <w:ind w:firstLine="480"/>
        <w:rPr>
          <w:bCs/>
        </w:rPr>
      </w:pPr>
      <w:r>
        <w:rPr>
          <w:rFonts w:hint="eastAsia"/>
          <w:bCs/>
        </w:rPr>
        <w:t>（1</w:t>
      </w:r>
      <w:r>
        <w:rPr>
          <w:bCs/>
        </w:rPr>
        <w:t>3</w:t>
      </w:r>
      <w:r>
        <w:rPr>
          <w:rFonts w:hint="eastAsia"/>
          <w:bCs/>
        </w:rPr>
        <w:t>）本基金持有的信用衍生品的名义本金不得超过本基金对应受保护债券面值的100%；本基金投资于同一信用保护卖方的各类信用衍生品的名义本金合计不得超过基金资产净值的10%；</w:t>
      </w:r>
    </w:p>
    <w:p w14:paraId="0A32CFED">
      <w:pPr>
        <w:ind w:firstLine="480"/>
        <w:rPr>
          <w:bCs/>
        </w:rPr>
      </w:pPr>
      <w:r>
        <w:rPr>
          <w:rFonts w:hint="eastAsia"/>
          <w:bCs/>
        </w:rPr>
        <w:t>因证券、期货市场波动、证券发行人合并、基金规模变动等基金管理人之外的因素致使基金不符合前述（1</w:t>
      </w:r>
      <w:r>
        <w:rPr>
          <w:bCs/>
        </w:rPr>
        <w:t>3</w:t>
      </w:r>
      <w:r>
        <w:rPr>
          <w:rFonts w:hint="eastAsia"/>
          <w:bCs/>
        </w:rPr>
        <w:t>）所规定比例限制的，基金管理人应在3个月之内进行调整；</w:t>
      </w:r>
    </w:p>
    <w:p w14:paraId="7F3D83B7">
      <w:pPr>
        <w:ind w:firstLine="480"/>
        <w:rPr>
          <w:bCs/>
        </w:rPr>
      </w:pPr>
      <w:r>
        <w:rPr>
          <w:rFonts w:hint="eastAsia"/>
          <w:bCs/>
        </w:rPr>
        <w:t>（1</w:t>
      </w:r>
      <w:r>
        <w:rPr>
          <w:bCs/>
        </w:rPr>
        <w:t>4</w:t>
      </w:r>
      <w:r>
        <w:rPr>
          <w:rFonts w:hint="eastAsia"/>
          <w:bCs/>
        </w:rPr>
        <w:t>）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30%；</w:t>
      </w:r>
    </w:p>
    <w:p w14:paraId="52D8A6D0">
      <w:pPr>
        <w:ind w:firstLine="480"/>
        <w:rPr>
          <w:bCs/>
        </w:rPr>
      </w:pPr>
      <w:r>
        <w:rPr>
          <w:rFonts w:hint="eastAsia"/>
          <w:bCs/>
        </w:rPr>
        <w:t>（1</w:t>
      </w:r>
      <w:r>
        <w:rPr>
          <w:bCs/>
        </w:rPr>
        <w:t>5</w:t>
      </w:r>
      <w:r>
        <w:rPr>
          <w:rFonts w:hint="eastAsia"/>
          <w:bCs/>
        </w:rPr>
        <w:t>）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33947C06">
      <w:pPr>
        <w:ind w:firstLine="480"/>
        <w:rPr>
          <w:bCs/>
        </w:rPr>
      </w:pPr>
      <w:r>
        <w:rPr>
          <w:rFonts w:hint="eastAsia"/>
          <w:bCs/>
        </w:rPr>
        <w:t>（1</w:t>
      </w:r>
      <w:r>
        <w:rPr>
          <w:bCs/>
        </w:rPr>
        <w:t>6</w:t>
      </w:r>
      <w:r>
        <w:rPr>
          <w:rFonts w:hint="eastAsia"/>
          <w:bCs/>
        </w:rPr>
        <w:t>）基金财产参与股票发行申购，本基金所申报的金额不超过本基金的总资产，本基金所申报的股票数量不超过拟发行股票公司本次发行股票的总量；</w:t>
      </w:r>
    </w:p>
    <w:p w14:paraId="2CD76256">
      <w:pPr>
        <w:ind w:firstLine="480"/>
        <w:rPr>
          <w:bCs/>
        </w:rPr>
      </w:pPr>
      <w:r>
        <w:rPr>
          <w:rFonts w:hint="eastAsia"/>
          <w:bCs/>
        </w:rPr>
        <w:t>（1</w:t>
      </w:r>
      <w:r>
        <w:rPr>
          <w:bCs/>
        </w:rPr>
        <w:t>7</w:t>
      </w:r>
      <w:r>
        <w:rPr>
          <w:rFonts w:hint="eastAsia"/>
          <w:bCs/>
        </w:rPr>
        <w:t>）本基金投资存托凭证的比例限制依照境内上市交易的股票执行，与境内上市交易的股票合并计算；</w:t>
      </w:r>
    </w:p>
    <w:p w14:paraId="1E2F0AD1">
      <w:pPr>
        <w:ind w:firstLine="480"/>
        <w:rPr>
          <w:bCs/>
        </w:rPr>
      </w:pPr>
      <w:r>
        <w:rPr>
          <w:rFonts w:hint="eastAsia"/>
          <w:bCs/>
        </w:rPr>
        <w:t>（1</w:t>
      </w:r>
      <w:r>
        <w:rPr>
          <w:bCs/>
        </w:rPr>
        <w:t>8</w:t>
      </w:r>
      <w:r>
        <w:rPr>
          <w:rFonts w:hint="eastAsia"/>
          <w:bCs/>
        </w:rPr>
        <w:t>）本基金管理人管理的全部基金（ETF联接基金除外）持有单只基金不得超过被投资基金净资产的20%，被投资基金净资产规模以最近定期报告披露的规模为准；</w:t>
      </w:r>
    </w:p>
    <w:p w14:paraId="4B31A421">
      <w:pPr>
        <w:ind w:firstLine="480"/>
        <w:rPr>
          <w:bCs/>
        </w:rPr>
      </w:pPr>
      <w:r>
        <w:rPr>
          <w:rFonts w:hint="eastAsia"/>
          <w:bCs/>
        </w:rPr>
        <w:t>（</w:t>
      </w:r>
      <w:r>
        <w:rPr>
          <w:bCs/>
        </w:rPr>
        <w:t>19</w:t>
      </w:r>
      <w:r>
        <w:rPr>
          <w:rFonts w:hint="eastAsia"/>
          <w:bCs/>
        </w:rPr>
        <w:t>）本基金不得持有具有复杂、衍生品性质的基金份额，包括分级基金和中国证监会认定的其他基金份额；</w:t>
      </w:r>
    </w:p>
    <w:p w14:paraId="48E2A4D5">
      <w:pPr>
        <w:ind w:firstLine="480"/>
        <w:rPr>
          <w:bCs/>
        </w:rPr>
      </w:pPr>
      <w:r>
        <w:rPr>
          <w:rFonts w:hint="eastAsia"/>
          <w:bCs/>
        </w:rPr>
        <w:t>（2</w:t>
      </w:r>
      <w:r>
        <w:rPr>
          <w:bCs/>
        </w:rPr>
        <w:t>0</w:t>
      </w:r>
      <w:r>
        <w:rPr>
          <w:rFonts w:hint="eastAsia"/>
          <w:bCs/>
        </w:rPr>
        <w:t>）本基金投资其他基金时，被投资基金的运作期限应当不少于1年，最近定期报告披露的基金净资产应当不低于1亿元；</w:t>
      </w:r>
    </w:p>
    <w:p w14:paraId="7FBE4C5E">
      <w:pPr>
        <w:ind w:firstLine="480"/>
        <w:rPr>
          <w:bCs/>
        </w:rPr>
      </w:pPr>
      <w:r>
        <w:rPr>
          <w:rFonts w:hint="eastAsia"/>
          <w:bCs/>
        </w:rPr>
        <w:t>（2</w:t>
      </w:r>
      <w:r>
        <w:rPr>
          <w:bCs/>
        </w:rPr>
        <w:t>1</w:t>
      </w:r>
      <w:r>
        <w:rPr>
          <w:rFonts w:hint="eastAsia"/>
          <w:bCs/>
        </w:rPr>
        <w:t>）本基金不得持有基金中基金；</w:t>
      </w:r>
    </w:p>
    <w:p w14:paraId="58045F5D">
      <w:pPr>
        <w:ind w:firstLine="480"/>
        <w:rPr>
          <w:bCs/>
        </w:rPr>
      </w:pPr>
      <w:r>
        <w:rPr>
          <w:rFonts w:hint="eastAsia"/>
          <w:bCs/>
        </w:rPr>
        <w:t>（2</w:t>
      </w:r>
      <w:r>
        <w:rPr>
          <w:bCs/>
        </w:rPr>
        <w:t>2</w:t>
      </w:r>
      <w:r>
        <w:rPr>
          <w:rFonts w:hint="eastAsia"/>
          <w:bCs/>
        </w:rPr>
        <w:t>）法律法规及中国证监会规定的和基金合同约定的其他投资限制。</w:t>
      </w:r>
    </w:p>
    <w:p w14:paraId="6B8FAE20">
      <w:pPr>
        <w:ind w:firstLine="480"/>
        <w:rPr>
          <w:bCs/>
        </w:rPr>
      </w:pPr>
      <w:r>
        <w:rPr>
          <w:rFonts w:hint="eastAsia"/>
          <w:bCs/>
        </w:rPr>
        <w:t>因证券/期货市场波动、基金规模变动等基金管理人之外的因素致使基金投资不符合上述（18）规定的投资比例的，基金管理人应当在20个交易日内进行调整，但中国证监会规定的特殊情形除外。除上述（3）、（10）、（12）、（13）、（15）、（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1304E7E">
      <w:pPr>
        <w:ind w:firstLine="480"/>
        <w:rPr>
          <w:bCs/>
        </w:rPr>
      </w:pPr>
      <w:r>
        <w:rPr>
          <w:rFonts w:hint="eastAsia"/>
          <w:bCs/>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07A89D6">
      <w:pPr>
        <w:ind w:firstLine="480"/>
        <w:rPr>
          <w:bCs/>
        </w:rPr>
      </w:pPr>
      <w:r>
        <w:rPr>
          <w:rFonts w:hint="eastAsia"/>
          <w:bCs/>
        </w:rPr>
        <w:t>法律法规或监管部门取消或变更上述限制，如适用于本基金，基金管理人在履行适当程序后，则本基金投资不再受相关限制或以变更后的规定为准。</w:t>
      </w:r>
    </w:p>
    <w:p w14:paraId="6A57F37B">
      <w:pPr>
        <w:ind w:firstLine="480"/>
        <w:rPr>
          <w:bCs/>
        </w:rPr>
      </w:pPr>
      <w:r>
        <w:rPr>
          <w:rFonts w:hint="eastAsia"/>
          <w:bCs/>
        </w:rPr>
        <w:t>2、禁止行为</w:t>
      </w:r>
    </w:p>
    <w:p w14:paraId="1FAEF678">
      <w:pPr>
        <w:ind w:firstLine="480"/>
        <w:rPr>
          <w:bCs/>
        </w:rPr>
      </w:pPr>
      <w:r>
        <w:rPr>
          <w:rFonts w:hint="eastAsia"/>
          <w:bCs/>
        </w:rPr>
        <w:t>为维护基金份额持有人的合法权益，基金财产不得用于下列投资或者活动：</w:t>
      </w:r>
    </w:p>
    <w:p w14:paraId="56975B81">
      <w:pPr>
        <w:ind w:firstLine="480"/>
        <w:rPr>
          <w:bCs/>
        </w:rPr>
      </w:pPr>
      <w:r>
        <w:rPr>
          <w:rFonts w:hint="eastAsia"/>
          <w:bCs/>
        </w:rPr>
        <w:t>（1）承销证券；</w:t>
      </w:r>
    </w:p>
    <w:p w14:paraId="5FD692FD">
      <w:pPr>
        <w:ind w:firstLine="480"/>
        <w:rPr>
          <w:bCs/>
        </w:rPr>
      </w:pPr>
      <w:r>
        <w:rPr>
          <w:rFonts w:hint="eastAsia"/>
          <w:bCs/>
        </w:rPr>
        <w:t>（2）违反规定向他人贷款或者提供担保；</w:t>
      </w:r>
    </w:p>
    <w:p w14:paraId="215BEA37">
      <w:pPr>
        <w:ind w:firstLine="480"/>
        <w:rPr>
          <w:bCs/>
        </w:rPr>
      </w:pPr>
      <w:r>
        <w:rPr>
          <w:rFonts w:hint="eastAsia"/>
          <w:bCs/>
        </w:rPr>
        <w:t>（3）从事承担无限责任的投资；</w:t>
      </w:r>
    </w:p>
    <w:p w14:paraId="47040F39">
      <w:pPr>
        <w:ind w:firstLine="480"/>
        <w:rPr>
          <w:bCs/>
        </w:rPr>
      </w:pPr>
      <w:r>
        <w:rPr>
          <w:rFonts w:hint="eastAsia"/>
          <w:bCs/>
        </w:rPr>
        <w:t>（4）向其基金管理人、基金托管人出资；</w:t>
      </w:r>
    </w:p>
    <w:p w14:paraId="4530A33C">
      <w:pPr>
        <w:ind w:firstLine="480"/>
        <w:rPr>
          <w:bCs/>
        </w:rPr>
      </w:pPr>
      <w:r>
        <w:rPr>
          <w:rFonts w:hint="eastAsia"/>
          <w:bCs/>
        </w:rPr>
        <w:t>（5）从事内幕交易、操纵证券交易价格及其他不正当的证券交易活动；</w:t>
      </w:r>
    </w:p>
    <w:p w14:paraId="1E65FFA7">
      <w:pPr>
        <w:ind w:firstLine="480"/>
        <w:rPr>
          <w:bCs/>
        </w:rPr>
      </w:pPr>
      <w:r>
        <w:rPr>
          <w:rFonts w:hint="eastAsia"/>
          <w:bCs/>
        </w:rPr>
        <w:t>（6）法律法规、中国证监会及基金合同规定禁止从事的其他行为。</w:t>
      </w:r>
    </w:p>
    <w:p w14:paraId="4A7C4414">
      <w:pPr>
        <w:ind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D26C6C">
      <w:pPr>
        <w:ind w:firstLine="480"/>
        <w:rPr>
          <w:bCs/>
        </w:rPr>
      </w:pPr>
      <w:r>
        <w:rPr>
          <w:rFonts w:hint="eastAsia"/>
          <w:bCs/>
        </w:rPr>
        <w:t>本基金投资基金管理人或基金管理人关联方管理的基金的情况，不属于前述重大关联交易，但是应当按照法律法规或监管规定的要求履行信息披露义务。</w:t>
      </w:r>
    </w:p>
    <w:p w14:paraId="5BB94361">
      <w:pPr>
        <w:ind w:firstLine="480"/>
        <w:rPr>
          <w:bCs/>
        </w:rPr>
      </w:pPr>
      <w:r>
        <w:rPr>
          <w:rFonts w:hint="eastAsia"/>
          <w:bCs/>
        </w:rPr>
        <w:t>如法律法规或监管部门取消或调整上述规定，基金管理人在履行适当程序后，本基金可不受上述规定的限制或按调整后的规定执行，须提前公告。</w:t>
      </w:r>
    </w:p>
    <w:p w14:paraId="6683B6F2">
      <w:pPr>
        <w:ind w:firstLine="482"/>
        <w:rPr>
          <w:b/>
          <w:bCs/>
        </w:rPr>
      </w:pPr>
      <w:r>
        <w:rPr>
          <w:b/>
          <w:bCs/>
        </w:rPr>
        <w:t>五、业绩比较基准</w:t>
      </w:r>
    </w:p>
    <w:p w14:paraId="455ABE91">
      <w:pPr>
        <w:ind w:firstLine="480"/>
        <w:rPr>
          <w:bCs/>
        </w:rPr>
      </w:pPr>
      <w:r>
        <w:rPr>
          <w:rFonts w:hint="eastAsia"/>
          <w:bCs/>
        </w:rPr>
        <w:t>中债综合全价指数收益率</w:t>
      </w:r>
      <w:r>
        <w:rPr>
          <w:rFonts w:hint="eastAsia" w:ascii="宋体" w:hAnsi="宋体"/>
          <w:bCs/>
        </w:rPr>
        <w:t>×</w:t>
      </w:r>
      <w:r>
        <w:rPr>
          <w:rFonts w:hint="eastAsia"/>
          <w:bCs/>
        </w:rPr>
        <w:t>8</w:t>
      </w:r>
      <w:r>
        <w:rPr>
          <w:bCs/>
        </w:rPr>
        <w:t>3</w:t>
      </w:r>
      <w:r>
        <w:rPr>
          <w:rFonts w:hint="eastAsia"/>
          <w:bCs/>
        </w:rPr>
        <w:t>%+中证500指数收益率</w:t>
      </w:r>
      <w:r>
        <w:rPr>
          <w:rFonts w:hint="eastAsia" w:ascii="宋体" w:hAnsi="宋体"/>
          <w:bCs/>
        </w:rPr>
        <w:t>×</w:t>
      </w:r>
      <w:r>
        <w:rPr>
          <w:bCs/>
        </w:rPr>
        <w:t>10</w:t>
      </w:r>
      <w:r>
        <w:rPr>
          <w:rFonts w:hint="eastAsia"/>
          <w:bCs/>
        </w:rPr>
        <w:t>%+恒生指数收益率（使用估值汇率折算）×2%+银行活期存款利率（税后）</w:t>
      </w:r>
      <w:r>
        <w:rPr>
          <w:rFonts w:hint="eastAsia" w:ascii="宋体" w:hAnsi="宋体"/>
          <w:bCs/>
        </w:rPr>
        <w:t>×</w:t>
      </w:r>
      <w:r>
        <w:rPr>
          <w:rFonts w:hint="eastAsia"/>
          <w:bCs/>
        </w:rPr>
        <w:t>5%</w:t>
      </w:r>
    </w:p>
    <w:p w14:paraId="0006A1D5">
      <w:pPr>
        <w:ind w:firstLine="480"/>
        <w:rPr>
          <w:bCs/>
        </w:rPr>
      </w:pPr>
      <w:r>
        <w:rPr>
          <w:rFonts w:hint="eastAsia"/>
          <w:bCs/>
        </w:rPr>
        <w:t>中债综合全价指数由中央国债登记结算有限责任公司编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14:paraId="3EC3C928">
      <w:pPr>
        <w:ind w:firstLine="480"/>
        <w:rPr>
          <w:bCs/>
        </w:rPr>
      </w:pPr>
      <w:r>
        <w:rPr>
          <w:rFonts w:hint="eastAsia"/>
          <w:bCs/>
        </w:rPr>
        <w:t>中证500指数由中证指数有限公司编制并发布。它的样本选自沪深两个证券市场，其成份股包含了500只沪深300指数成份股之外的A股市场中流动性好、代表性强的中小市值股票，综合反映了沪深证券市场内中小市值公司的整体状况。</w:t>
      </w:r>
    </w:p>
    <w:p w14:paraId="66498BF8">
      <w:pPr>
        <w:ind w:firstLine="480"/>
        <w:rPr>
          <w:bCs/>
        </w:rPr>
      </w:pPr>
      <w:r>
        <w:rPr>
          <w:rFonts w:hint="eastAsia"/>
          <w:bCs/>
        </w:rPr>
        <w:t>恒生指数是由恒生指数有限公司编制，包括市值最大及成交最活跃，并在香港上市的股票，亦包括H股及红筹股，是反映香港股市价幅趋势最有影响的一种股价指数。</w:t>
      </w:r>
    </w:p>
    <w:p w14:paraId="7A6547FB">
      <w:pPr>
        <w:ind w:firstLine="480"/>
        <w:rPr>
          <w:bCs/>
        </w:rPr>
      </w:pPr>
      <w:r>
        <w:rPr>
          <w:rFonts w:hint="eastAsia"/>
          <w:bCs/>
        </w:rPr>
        <w:t>银行活期存款利率由中国人民银行公布，如果活期存款利率或利息税发生调整，则新的业绩比较基准将从调整当日起开始生效。</w:t>
      </w:r>
    </w:p>
    <w:p w14:paraId="78DA809B">
      <w:pPr>
        <w:ind w:firstLine="480"/>
        <w:rPr>
          <w:bCs/>
        </w:rPr>
      </w:pPr>
      <w:r>
        <w:rPr>
          <w:rFonts w:hint="eastAsia"/>
          <w:bCs/>
        </w:rPr>
        <w:t>本基金管理人认为，该业绩比较基准能够忠实地反映本基金的风险收益特征。</w:t>
      </w:r>
    </w:p>
    <w:p w14:paraId="7172CC0C">
      <w:pPr>
        <w:ind w:firstLine="480"/>
        <w:rPr>
          <w:bCs/>
        </w:rPr>
      </w:pPr>
      <w:r>
        <w:rPr>
          <w:rFonts w:hint="eastAsia"/>
          <w:bCs/>
        </w:rPr>
        <w:t>如果今后法律法规发生变化，或者相关指数编制机构停止计算编制该指数或更改指数名称，或者有更权威的、更能为市场普遍接受的业绩比较基准推出，或者是市场上出现更加适合用于本基金的业绩比较基准时，本基金管理人可以依据维护基金份额持有人合法权益的原则，且对基金份额持有人利益无实质性不利影响的前提下，根据实际情况按照监管部门要求履行适当的程序，可以变更业绩比较基准并及时在规定媒介上公告。</w:t>
      </w:r>
    </w:p>
    <w:p w14:paraId="100CC09A">
      <w:pPr>
        <w:ind w:firstLine="482"/>
        <w:rPr>
          <w:b/>
          <w:bCs/>
        </w:rPr>
      </w:pPr>
      <w:r>
        <w:rPr>
          <w:rFonts w:hint="eastAsia"/>
          <w:b/>
          <w:bCs/>
        </w:rPr>
        <w:t>六、</w:t>
      </w:r>
      <w:r>
        <w:rPr>
          <w:b/>
          <w:bCs/>
        </w:rPr>
        <w:t>风险收益特征</w:t>
      </w:r>
    </w:p>
    <w:p w14:paraId="2CB3D276">
      <w:pPr>
        <w:ind w:firstLine="480"/>
        <w:rPr>
          <w:bCs/>
          <w:color w:val="000000"/>
        </w:rPr>
      </w:pPr>
      <w:r>
        <w:rPr>
          <w:rFonts w:hint="eastAsia"/>
          <w:bCs/>
          <w:color w:val="000000"/>
        </w:rPr>
        <w:t>本基金为债券型基金，在通常情况下其预期收益及预期风险水平高于货币市场基金，低于股票型基金和混合型基金。本基金投资港股通标的股票的，需承担港股通机制下因投资环境、投资标的、市场制度以及交易规则等差异带来的特有风险。</w:t>
      </w:r>
    </w:p>
    <w:p w14:paraId="2BC19766">
      <w:pPr>
        <w:ind w:firstLine="482"/>
        <w:rPr>
          <w:b/>
          <w:bCs/>
        </w:rPr>
      </w:pPr>
      <w:r>
        <w:rPr>
          <w:b/>
          <w:bCs/>
        </w:rPr>
        <w:t>七、基金管理人代表基金行使</w:t>
      </w:r>
      <w:r>
        <w:rPr>
          <w:rFonts w:hint="eastAsia"/>
          <w:b/>
          <w:bCs/>
        </w:rPr>
        <w:t>相关</w:t>
      </w:r>
      <w:r>
        <w:rPr>
          <w:b/>
          <w:bCs/>
        </w:rPr>
        <w:t>权利的处理原则及方法</w:t>
      </w:r>
    </w:p>
    <w:p w14:paraId="2C115869">
      <w:pPr>
        <w:ind w:firstLine="480"/>
        <w:rPr>
          <w:bCs/>
        </w:rPr>
      </w:pPr>
      <w:r>
        <w:rPr>
          <w:rFonts w:hint="eastAsia"/>
          <w:bCs/>
        </w:rPr>
        <w:t xml:space="preserve">1、基金管理人按照国家有关规定代表基金独立行使相关权利，保护基金份额持有人的利益； </w:t>
      </w:r>
    </w:p>
    <w:p w14:paraId="305B4E18">
      <w:pPr>
        <w:ind w:firstLine="480"/>
        <w:rPr>
          <w:bCs/>
        </w:rPr>
      </w:pPr>
      <w:r>
        <w:rPr>
          <w:rFonts w:hint="eastAsia"/>
          <w:bCs/>
        </w:rPr>
        <w:t xml:space="preserve">2、不谋求对上市公司经营管理的实质控制； </w:t>
      </w:r>
    </w:p>
    <w:p w14:paraId="4BE26309">
      <w:pPr>
        <w:ind w:firstLine="480"/>
        <w:rPr>
          <w:bCs/>
        </w:rPr>
      </w:pPr>
      <w:r>
        <w:rPr>
          <w:rFonts w:hint="eastAsia"/>
          <w:bCs/>
        </w:rPr>
        <w:t xml:space="preserve">3、有利于基金财产的安全与增值； </w:t>
      </w:r>
    </w:p>
    <w:p w14:paraId="53EEA14D">
      <w:pPr>
        <w:ind w:firstLine="480"/>
        <w:rPr>
          <w:bCs/>
        </w:rPr>
      </w:pPr>
      <w:r>
        <w:rPr>
          <w:rFonts w:hint="eastAsia"/>
          <w:bCs/>
        </w:rPr>
        <w:t>4、不通过关联交易为自身、雇员、授权代理人或任何存在利害关系的第三人牟取任何不当利益。</w:t>
      </w:r>
    </w:p>
    <w:p w14:paraId="7758B688">
      <w:pPr>
        <w:ind w:firstLine="482"/>
        <w:rPr>
          <w:b/>
        </w:rPr>
      </w:pPr>
      <w:r>
        <w:rPr>
          <w:rFonts w:hint="eastAsia"/>
          <w:b/>
        </w:rPr>
        <w:t>八、侧袋机制的实施和投资运作安排</w:t>
      </w:r>
    </w:p>
    <w:p w14:paraId="3FACA36A">
      <w:pPr>
        <w:ind w:firstLine="48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059FA4C">
      <w:pPr>
        <w:ind w:firstLine="480"/>
      </w:pPr>
      <w:r>
        <w:rPr>
          <w:rFonts w:hint="eastAsia"/>
        </w:rPr>
        <w:t>侧袋机制实施期间，本部分约定的投资组合比例、投资策略、组合限制、业绩比较基准、风险收益特征等约定仅适用于主袋账户。</w:t>
      </w:r>
    </w:p>
    <w:p w14:paraId="10593FA2">
      <w:pPr>
        <w:ind w:firstLine="480"/>
      </w:pPr>
      <w:r>
        <w:rPr>
          <w:rFonts w:hint="eastAsia"/>
        </w:rPr>
        <w:t>侧袋账户的实施条件、实施程序、运作安排、投资安排、特定资产的处置变现和支付等对投资者权益有重大影响的事项详见招募说明书“侧袋机制”部分的规定。</w:t>
      </w:r>
    </w:p>
    <w:bookmarkEnd w:id="49"/>
    <w:p w14:paraId="6F81012D">
      <w:pPr>
        <w:pStyle w:val="2"/>
        <w:spacing w:before="312" w:after="312"/>
      </w:pPr>
      <w:r>
        <w:rPr>
          <w:kern w:val="0"/>
        </w:rPr>
        <w:br w:type="page"/>
      </w:r>
      <w:bookmarkStart w:id="50" w:name="_Toc218004081"/>
      <w:r>
        <w:rPr>
          <w:rFonts w:hint="eastAsia"/>
        </w:rPr>
        <w:t>第十部分</w:t>
      </w:r>
      <w:r>
        <w:t xml:space="preserve">  </w:t>
      </w:r>
      <w:r>
        <w:rPr>
          <w:rFonts w:hint="eastAsia"/>
        </w:rPr>
        <w:t>基金的财产</w:t>
      </w:r>
      <w:bookmarkEnd w:id="50"/>
    </w:p>
    <w:p w14:paraId="74FFE144">
      <w:pPr>
        <w:ind w:firstLine="482"/>
        <w:rPr>
          <w:b/>
          <w:bCs/>
          <w:szCs w:val="20"/>
        </w:rPr>
      </w:pPr>
      <w:bookmarkStart w:id="51" w:name="_Hlt88841837"/>
      <w:bookmarkEnd w:id="51"/>
      <w:r>
        <w:rPr>
          <w:rFonts w:hint="eastAsia"/>
          <w:b/>
          <w:bCs/>
          <w:szCs w:val="20"/>
        </w:rPr>
        <w:t>一、基金资产总值</w:t>
      </w:r>
    </w:p>
    <w:p w14:paraId="7E4131EE">
      <w:pPr>
        <w:ind w:firstLine="480"/>
        <w:rPr>
          <w:bCs/>
          <w:szCs w:val="20"/>
        </w:rPr>
      </w:pPr>
      <w:r>
        <w:rPr>
          <w:rFonts w:hint="eastAsia"/>
          <w:bCs/>
          <w:szCs w:val="20"/>
        </w:rPr>
        <w:t>基金资产总值是指基金拥有的各类有价证券、银行存款本息、基金应收款项、基金份额以及其他资产的价值总和。</w:t>
      </w:r>
    </w:p>
    <w:p w14:paraId="40984325">
      <w:pPr>
        <w:ind w:firstLine="482"/>
        <w:rPr>
          <w:b/>
          <w:bCs/>
          <w:szCs w:val="20"/>
        </w:rPr>
      </w:pPr>
      <w:r>
        <w:rPr>
          <w:rFonts w:hint="eastAsia"/>
          <w:b/>
          <w:bCs/>
          <w:szCs w:val="20"/>
        </w:rPr>
        <w:t>二、基金资产净值</w:t>
      </w:r>
    </w:p>
    <w:p w14:paraId="4FAD1790">
      <w:pPr>
        <w:ind w:firstLine="480"/>
        <w:rPr>
          <w:bCs/>
          <w:szCs w:val="20"/>
        </w:rPr>
      </w:pPr>
      <w:r>
        <w:rPr>
          <w:rFonts w:hint="eastAsia"/>
          <w:bCs/>
          <w:szCs w:val="20"/>
        </w:rPr>
        <w:t>基金资产净值是指基金资产总值减去基金负债后的价值。</w:t>
      </w:r>
    </w:p>
    <w:p w14:paraId="0E116F9A">
      <w:pPr>
        <w:ind w:firstLine="482"/>
        <w:rPr>
          <w:b/>
          <w:bCs/>
          <w:szCs w:val="20"/>
        </w:rPr>
      </w:pPr>
      <w:r>
        <w:rPr>
          <w:rFonts w:hint="eastAsia"/>
          <w:b/>
          <w:bCs/>
          <w:szCs w:val="20"/>
        </w:rPr>
        <w:t>三、基金财产的账户</w:t>
      </w:r>
    </w:p>
    <w:p w14:paraId="222FD7CA">
      <w:pPr>
        <w:ind w:firstLine="480"/>
        <w:rPr>
          <w:bCs/>
          <w:szCs w:val="20"/>
        </w:rPr>
      </w:pPr>
      <w:r>
        <w:rPr>
          <w:rFonts w:hint="eastAsia"/>
          <w:bCs/>
          <w:szCs w:val="20"/>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0DBBED34">
      <w:pPr>
        <w:ind w:firstLine="482"/>
        <w:rPr>
          <w:b/>
          <w:bCs/>
          <w:szCs w:val="20"/>
        </w:rPr>
      </w:pPr>
      <w:r>
        <w:rPr>
          <w:rFonts w:hint="eastAsia"/>
          <w:b/>
          <w:bCs/>
          <w:szCs w:val="20"/>
        </w:rPr>
        <w:t>四、基金财产的保管和处分</w:t>
      </w:r>
    </w:p>
    <w:p w14:paraId="6244D069">
      <w:pPr>
        <w:ind w:firstLine="480"/>
        <w:rPr>
          <w:bCs/>
          <w:szCs w:val="20"/>
        </w:rPr>
      </w:pPr>
      <w:r>
        <w:rPr>
          <w:rFonts w:hint="eastAsia"/>
          <w:bCs/>
          <w:szCs w:val="20"/>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C26C44F">
      <w:pPr>
        <w:ind w:firstLine="480"/>
        <w:rPr>
          <w:bCs/>
          <w:kern w:val="0"/>
        </w:rPr>
      </w:pPr>
      <w:r>
        <w:rPr>
          <w:rFonts w:hint="eastAsia"/>
          <w:bCs/>
          <w:szCs w:val="20"/>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08C9066">
      <w:pPr>
        <w:ind w:firstLine="480"/>
        <w:rPr>
          <w:bCs/>
        </w:rPr>
      </w:pPr>
    </w:p>
    <w:p w14:paraId="199EC538">
      <w:pPr>
        <w:pStyle w:val="2"/>
        <w:spacing w:before="312" w:after="312"/>
      </w:pPr>
      <w:r>
        <w:rPr>
          <w:kern w:val="0"/>
        </w:rPr>
        <w:br w:type="page"/>
      </w:r>
      <w:bookmarkStart w:id="52" w:name="_Toc218004082"/>
      <w:r>
        <w:rPr>
          <w:rFonts w:hint="eastAsia"/>
        </w:rPr>
        <w:t>第十一部分</w:t>
      </w:r>
      <w:r>
        <w:t xml:space="preserve">  </w:t>
      </w:r>
      <w:r>
        <w:rPr>
          <w:rFonts w:hint="eastAsia"/>
        </w:rPr>
        <w:t>基金资产的估值</w:t>
      </w:r>
      <w:bookmarkEnd w:id="52"/>
    </w:p>
    <w:p w14:paraId="0FB62350">
      <w:pPr>
        <w:ind w:firstLine="482"/>
        <w:rPr>
          <w:b/>
          <w:bCs/>
        </w:rPr>
      </w:pPr>
      <w:r>
        <w:rPr>
          <w:b/>
          <w:bCs/>
        </w:rPr>
        <w:t>一、估值日</w:t>
      </w:r>
    </w:p>
    <w:p w14:paraId="6C695829">
      <w:pPr>
        <w:ind w:firstLine="480"/>
        <w:rPr>
          <w:bCs/>
        </w:rPr>
      </w:pPr>
      <w:r>
        <w:rPr>
          <w:bCs/>
        </w:rPr>
        <w:t>本基金的估值日为本基金相关的证券、期货交易场所的交易日以及国家法律法规规定需要对外披露基金净值的非交易日。</w:t>
      </w:r>
    </w:p>
    <w:p w14:paraId="5B57C337">
      <w:pPr>
        <w:ind w:firstLine="482"/>
        <w:rPr>
          <w:b/>
          <w:bCs/>
        </w:rPr>
      </w:pPr>
      <w:r>
        <w:rPr>
          <w:b/>
          <w:bCs/>
        </w:rPr>
        <w:t>二、估值对象</w:t>
      </w:r>
    </w:p>
    <w:p w14:paraId="20552EED">
      <w:pPr>
        <w:ind w:firstLine="480"/>
        <w:rPr>
          <w:bCs/>
        </w:rPr>
      </w:pPr>
      <w:r>
        <w:rPr>
          <w:rFonts w:hint="eastAsia"/>
          <w:bCs/>
        </w:rPr>
        <w:t>基金所拥有的股票、存托凭证、基金份额、债券、资产支持证券、国债期货、信用衍生品、银行存款本息、同业存单、应收款项和其它投资等资产及负债。</w:t>
      </w:r>
    </w:p>
    <w:p w14:paraId="01A9AF91">
      <w:pPr>
        <w:widowControl/>
        <w:numPr>
          <w:ilvl w:val="0"/>
          <w:numId w:val="6"/>
        </w:numPr>
        <w:ind w:firstLine="482" w:firstLineChars="0"/>
        <w:jc w:val="left"/>
        <w:rPr>
          <w:b/>
          <w:bCs/>
        </w:rPr>
      </w:pPr>
      <w:r>
        <w:rPr>
          <w:b/>
          <w:bCs/>
        </w:rPr>
        <w:t>估值原则</w:t>
      </w:r>
    </w:p>
    <w:p w14:paraId="5CA51EA9">
      <w:pPr>
        <w:widowControl/>
        <w:spacing w:after="200"/>
        <w:ind w:firstLine="480"/>
        <w:jc w:val="left"/>
        <w:rPr>
          <w:bCs/>
        </w:rPr>
      </w:pPr>
      <w:r>
        <w:rPr>
          <w:bCs/>
        </w:rPr>
        <w:t>基金管理人在确定相关金融资产和金融负债的公允价值时，应符合《企业会计准则》、监管部门有关规定。</w:t>
      </w:r>
    </w:p>
    <w:p w14:paraId="2CA5BD68">
      <w:pPr>
        <w:widowControl/>
        <w:spacing w:after="200"/>
        <w:ind w:firstLine="480"/>
        <w:jc w:val="left"/>
        <w:rPr>
          <w:bCs/>
        </w:rPr>
      </w:pPr>
      <w:r>
        <w:rPr>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C1C8813">
      <w:pPr>
        <w:ind w:firstLine="480"/>
        <w:rPr>
          <w:bCs/>
        </w:rPr>
      </w:pPr>
      <w:r>
        <w:rPr>
          <w:bCs/>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90F8329">
      <w:pPr>
        <w:widowControl/>
        <w:spacing w:after="200"/>
        <w:ind w:firstLine="480"/>
        <w:jc w:val="left"/>
        <w:rPr>
          <w:bCs/>
        </w:rPr>
      </w:pPr>
      <w:r>
        <w:rPr>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450E95F">
      <w:pPr>
        <w:widowControl/>
        <w:ind w:firstLine="480"/>
        <w:jc w:val="left"/>
        <w:rPr>
          <w:bCs/>
        </w:rPr>
      </w:pPr>
      <w:r>
        <w:rPr>
          <w:bCs/>
        </w:rPr>
        <w:t>（三）如经济环境发生重大变化或证券发行人发生影响证券价格的重大事件，使潜在估值调整对前一估值日的基金资产净值的影响在0.25%以上的，应对估值进行调整并确定公允价值。</w:t>
      </w:r>
    </w:p>
    <w:p w14:paraId="1F3D0E6D">
      <w:pPr>
        <w:ind w:firstLine="482"/>
        <w:rPr>
          <w:b/>
          <w:bCs/>
        </w:rPr>
      </w:pPr>
      <w:r>
        <w:rPr>
          <w:b/>
          <w:bCs/>
        </w:rPr>
        <w:t>四、估值方法</w:t>
      </w:r>
    </w:p>
    <w:p w14:paraId="516868EC">
      <w:pPr>
        <w:ind w:firstLine="480"/>
        <w:rPr>
          <w:bCs/>
        </w:rPr>
      </w:pPr>
      <w:r>
        <w:rPr>
          <w:rFonts w:hint="eastAsia"/>
          <w:bCs/>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992811E">
      <w:pPr>
        <w:ind w:firstLine="480"/>
        <w:rPr>
          <w:bCs/>
        </w:rPr>
      </w:pPr>
      <w:r>
        <w:rPr>
          <w:rFonts w:hint="eastAsia"/>
          <w:bCs/>
        </w:rPr>
        <w:t xml:space="preserve">2、处于未上市期间以及流通受限的有价证券应区分如下情况处理： </w:t>
      </w:r>
    </w:p>
    <w:p w14:paraId="6851E55F">
      <w:pPr>
        <w:ind w:firstLine="480"/>
        <w:rPr>
          <w:bCs/>
        </w:rPr>
      </w:pPr>
      <w:r>
        <w:rPr>
          <w:rFonts w:hint="eastAsia"/>
          <w:bCs/>
        </w:rPr>
        <w:t>（1）送股、转增股、配股和公开增发的新股，按估值日在证券交易所挂牌的同一股票的估值方法估值；该日无交易的，以最近一日的市价（收盘价）估值；</w:t>
      </w:r>
    </w:p>
    <w:p w14:paraId="5F2A1FF2">
      <w:pPr>
        <w:ind w:firstLine="480"/>
        <w:rPr>
          <w:bCs/>
        </w:rPr>
      </w:pPr>
      <w:r>
        <w:rPr>
          <w:rFonts w:hint="eastAsia"/>
          <w:bCs/>
        </w:rPr>
        <w:t>（2）首次公开发行未上市的股票，采用估值技术确定公允价值；</w:t>
      </w:r>
    </w:p>
    <w:p w14:paraId="453E4750">
      <w:pPr>
        <w:ind w:firstLine="48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2971666">
      <w:pPr>
        <w:ind w:firstLine="480"/>
        <w:rPr>
          <w:bCs/>
        </w:rPr>
      </w:pPr>
      <w:r>
        <w:rPr>
          <w:rFonts w:hint="eastAsia"/>
          <w:bCs/>
        </w:rPr>
        <w:t>3、对于已上市或已挂牌转让的不含权固定收益品种，选取第三方估值基准服务机构提供的相应品种当日的估值全价进行估值。</w:t>
      </w:r>
    </w:p>
    <w:p w14:paraId="2ED36B68">
      <w:pPr>
        <w:ind w:firstLine="480"/>
        <w:rPr>
          <w:bCs/>
        </w:rPr>
      </w:pPr>
      <w:r>
        <w:rPr>
          <w:rFonts w:hint="eastAsia"/>
          <w:bCs/>
        </w:rPr>
        <w:t>4、对于已上市或已挂牌转让的含权固定收益品种，选取第三方估值基准服务机构提供的相应品种当日的唯一估值全价或推荐估值全价进行估值。</w:t>
      </w:r>
    </w:p>
    <w:p w14:paraId="5A1BC71C">
      <w:pPr>
        <w:ind w:firstLine="48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212ABD6">
      <w:pPr>
        <w:ind w:firstLine="480"/>
        <w:rPr>
          <w:bCs/>
        </w:rPr>
      </w:pPr>
      <w:r>
        <w:rPr>
          <w:rFonts w:hint="eastAsia"/>
          <w:bCs/>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7773563">
      <w:pPr>
        <w:ind w:firstLine="480"/>
        <w:rPr>
          <w:bCs/>
        </w:rPr>
      </w:pPr>
      <w:r>
        <w:rPr>
          <w:rFonts w:hint="eastAsia"/>
          <w:bCs/>
        </w:rPr>
        <w:t>6、对于未上市或未挂牌转让且不存在活跃市场的固定收益品种，采用在当前情况下适用并且有足够可利用数据和其他信息支持的估值技术确定其公允价值。</w:t>
      </w:r>
    </w:p>
    <w:p w14:paraId="1586615C">
      <w:pPr>
        <w:ind w:firstLine="480"/>
        <w:rPr>
          <w:bCs/>
        </w:rPr>
      </w:pPr>
      <w:r>
        <w:rPr>
          <w:rFonts w:hint="eastAsia"/>
          <w:bCs/>
        </w:rPr>
        <w:t>7、对于发行人已破产、发行人未能按时足额偿付本金或利息，或者有其它可靠信息表明本金或利息无法按时足额偿付的债券投资品种，基金管理人在与托管人协商一致后，可采用第三方估值基准服务机构提供的推荐价格或在第三方估值基准服务机构提供的价格区间中的数据作为该债券投资品种的公允价值。</w:t>
      </w:r>
    </w:p>
    <w:p w14:paraId="7E1CC3EE">
      <w:pPr>
        <w:ind w:firstLine="480"/>
        <w:rPr>
          <w:bCs/>
        </w:rPr>
      </w:pPr>
      <w:r>
        <w:rPr>
          <w:bCs/>
        </w:rPr>
        <w:t>8</w:t>
      </w:r>
      <w:r>
        <w:rPr>
          <w:rFonts w:hint="eastAsia"/>
          <w:bCs/>
        </w:rPr>
        <w:t>、基金份额的估值</w:t>
      </w:r>
    </w:p>
    <w:p w14:paraId="5775E112">
      <w:pPr>
        <w:ind w:firstLine="480"/>
        <w:rPr>
          <w:bCs/>
        </w:rPr>
      </w:pPr>
      <w:r>
        <w:rPr>
          <w:rFonts w:hint="eastAsia"/>
          <w:bCs/>
        </w:rPr>
        <w:t>（1）非上市基金的估值</w:t>
      </w:r>
    </w:p>
    <w:p w14:paraId="09D02F29">
      <w:pPr>
        <w:ind w:firstLine="480"/>
        <w:rPr>
          <w:bCs/>
        </w:rPr>
      </w:pPr>
      <w:r>
        <w:rPr>
          <w:rFonts w:hint="eastAsia"/>
          <w:bCs/>
        </w:rPr>
        <w:t>境内非货币市场基金按其估值日的基金份额净值估值。</w:t>
      </w:r>
    </w:p>
    <w:p w14:paraId="64BFB27A">
      <w:pPr>
        <w:ind w:firstLine="480"/>
        <w:rPr>
          <w:bCs/>
        </w:rPr>
      </w:pPr>
      <w:r>
        <w:rPr>
          <w:rFonts w:hint="eastAsia"/>
          <w:bCs/>
        </w:rPr>
        <w:t>（2）上市基金的估值</w:t>
      </w:r>
    </w:p>
    <w:p w14:paraId="17A56176">
      <w:pPr>
        <w:ind w:firstLine="480"/>
        <w:rPr>
          <w:bCs/>
        </w:rPr>
      </w:pPr>
      <w:r>
        <w:rPr>
          <w:rFonts w:hint="eastAsia"/>
          <w:bCs/>
        </w:rPr>
        <w:t>1）ETF基金按其估值日的收盘价估值；</w:t>
      </w:r>
    </w:p>
    <w:p w14:paraId="064C8CD2">
      <w:pPr>
        <w:ind w:firstLine="480"/>
        <w:rPr>
          <w:bCs/>
        </w:rPr>
      </w:pPr>
      <w:r>
        <w:rPr>
          <w:rFonts w:hint="eastAsia"/>
          <w:bCs/>
        </w:rPr>
        <w:t>2）境内上市开放式基金（LOF）按其估值日的基金份额净值估值；</w:t>
      </w:r>
    </w:p>
    <w:p w14:paraId="0CD5A3F9">
      <w:pPr>
        <w:ind w:firstLine="480"/>
        <w:rPr>
          <w:bCs/>
        </w:rPr>
      </w:pPr>
      <w:r>
        <w:rPr>
          <w:rFonts w:hint="eastAsia"/>
          <w:bCs/>
        </w:rPr>
        <w:t>3）境内上市定期开放式基金、封闭式基金按其估值日的收盘价估值。</w:t>
      </w:r>
    </w:p>
    <w:p w14:paraId="7A8006AD">
      <w:pPr>
        <w:ind w:firstLine="480"/>
        <w:rPr>
          <w:bCs/>
        </w:rPr>
      </w:pPr>
      <w:r>
        <w:rPr>
          <w:rFonts w:hint="eastAsia"/>
          <w:bCs/>
        </w:rPr>
        <w:t>（3）如遇所投资基金不公布基金份额净值、进行折算或拆分、估值日无交易等特殊情况，基金管理人根据以下原则进行估值：</w:t>
      </w:r>
    </w:p>
    <w:p w14:paraId="6C9E1955">
      <w:pPr>
        <w:ind w:firstLine="480"/>
        <w:rPr>
          <w:bCs/>
        </w:rPr>
      </w:pPr>
      <w:r>
        <w:rPr>
          <w:rFonts w:hint="eastAsia"/>
          <w:bCs/>
        </w:rPr>
        <w:t>1）以所投资基金的基金份额净值估值的，若所投资基金与本基金估值频率一致但未公布估值日基金份额净值，按其最近公布的基金份额净值为基础估值；</w:t>
      </w:r>
    </w:p>
    <w:p w14:paraId="39787240">
      <w:pPr>
        <w:ind w:firstLine="480"/>
        <w:rPr>
          <w:bCs/>
        </w:rPr>
      </w:pPr>
      <w:r>
        <w:rPr>
          <w:rFonts w:hint="eastAsia"/>
          <w:bCs/>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733D1B5">
      <w:pPr>
        <w:ind w:firstLine="480"/>
        <w:rPr>
          <w:bCs/>
        </w:rPr>
      </w:pPr>
      <w:r>
        <w:rPr>
          <w:rFonts w:hint="eastAsia"/>
          <w:bCs/>
        </w:rPr>
        <w:t>3）如果所投资基金前一估值日至估值日期间发生分红除权、折算或拆分，基金管理人应根据基金份额净值或收盘价、单位基金份额分红金额、折算拆分比例、持仓份额等因素合理确定公允价值。</w:t>
      </w:r>
    </w:p>
    <w:p w14:paraId="49EB51F6">
      <w:pPr>
        <w:ind w:firstLine="480"/>
        <w:rPr>
          <w:bCs/>
        </w:rPr>
      </w:pPr>
      <w:r>
        <w:rPr>
          <w:rFonts w:hint="eastAsia"/>
          <w:bCs/>
        </w:rPr>
        <w:t>（4）当基金管理人认为所投资基金按上述第（1）至第（3）项进行估值存在不公允时，应与基金托管人协商一致采用合理的估值技术或估值标准确定其公允价值。</w:t>
      </w:r>
    </w:p>
    <w:p w14:paraId="02F95B18">
      <w:pPr>
        <w:ind w:firstLine="480"/>
        <w:rPr>
          <w:bCs/>
        </w:rPr>
      </w:pPr>
      <w:r>
        <w:rPr>
          <w:bCs/>
        </w:rPr>
        <w:t>9</w:t>
      </w:r>
      <w:r>
        <w:rPr>
          <w:rFonts w:hint="eastAsia"/>
          <w:bCs/>
        </w:rPr>
        <w:t>、本基金投资国债期货合约，一般以估值当日结算价进行估值，估值当日无结算价的，且最近交易日后经济环境未发生重大变化的，采用最近交易日结算价估值。</w:t>
      </w:r>
    </w:p>
    <w:p w14:paraId="117ECA43">
      <w:pPr>
        <w:ind w:firstLine="480"/>
        <w:rPr>
          <w:bCs/>
        </w:rPr>
      </w:pPr>
      <w:r>
        <w:rPr>
          <w:bCs/>
        </w:rPr>
        <w:t>10</w:t>
      </w:r>
      <w:r>
        <w:rPr>
          <w:rFonts w:hint="eastAsia"/>
          <w:bCs/>
        </w:rPr>
        <w:t>、本基金投资存托凭证的估值核算依照境内上市交易的股票执行。</w:t>
      </w:r>
    </w:p>
    <w:p w14:paraId="192891D5">
      <w:pPr>
        <w:ind w:firstLine="480"/>
        <w:rPr>
          <w:bCs/>
        </w:rPr>
      </w:pPr>
      <w:r>
        <w:rPr>
          <w:rFonts w:hint="eastAsia"/>
          <w:bCs/>
        </w:rPr>
        <w:t>1</w:t>
      </w:r>
      <w:r>
        <w:rPr>
          <w:bCs/>
        </w:rPr>
        <w:t>1</w:t>
      </w: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3333AD55">
      <w:pPr>
        <w:ind w:firstLine="480"/>
        <w:rPr>
          <w:bCs/>
        </w:rPr>
      </w:pPr>
      <w:r>
        <w:rPr>
          <w:rFonts w:hint="eastAsia"/>
          <w:bCs/>
        </w:rPr>
        <w:t>1</w:t>
      </w:r>
      <w:r>
        <w:rPr>
          <w:bCs/>
        </w:rPr>
        <w:t>2</w:t>
      </w:r>
      <w:r>
        <w:rPr>
          <w:rFonts w:hint="eastAsia"/>
          <w:bCs/>
        </w:rPr>
        <w:t>、如有确凿证据表明按上述方法进行估值不能客观反映其公允价值的，基金管理人可根据具体情况与基金托管人商定后，按最能反映公允价值的价格估值。</w:t>
      </w:r>
    </w:p>
    <w:p w14:paraId="1C6F029A">
      <w:pPr>
        <w:ind w:firstLine="480"/>
        <w:rPr>
          <w:bCs/>
        </w:rPr>
      </w:pPr>
      <w:r>
        <w:rPr>
          <w:rFonts w:hint="eastAsia"/>
          <w:bCs/>
        </w:rPr>
        <w:t>1</w:t>
      </w:r>
      <w:r>
        <w:rPr>
          <w:bCs/>
        </w:rPr>
        <w:t>3</w:t>
      </w:r>
      <w:r>
        <w:rPr>
          <w:rFonts w:hint="eastAsia"/>
          <w:bCs/>
        </w:rPr>
        <w:t>、当发生大额申购或赎回情形时，基金管理人可以采用摆动定价机制，以确保基金估值的公平性。</w:t>
      </w:r>
    </w:p>
    <w:p w14:paraId="69F674E3">
      <w:pPr>
        <w:ind w:firstLine="480"/>
        <w:rPr>
          <w:bCs/>
        </w:rPr>
      </w:pPr>
      <w:r>
        <w:rPr>
          <w:rFonts w:hint="eastAsia"/>
          <w:bCs/>
        </w:rPr>
        <w:t>1</w:t>
      </w:r>
      <w:r>
        <w:rPr>
          <w:bCs/>
        </w:rPr>
        <w:t>4</w:t>
      </w:r>
      <w:r>
        <w:rPr>
          <w:rFonts w:hint="eastAsia"/>
          <w:bCs/>
        </w:rPr>
        <w:t>、估值计算中涉及港币对人民币汇率的，将依据下列信息提供机构所提供的汇率为基准：当日中国人民银行或其授权机构公布的人民币与港币的中间价。</w:t>
      </w:r>
    </w:p>
    <w:p w14:paraId="66174A7F">
      <w:pPr>
        <w:ind w:firstLine="480"/>
        <w:rPr>
          <w:bCs/>
        </w:rPr>
      </w:pPr>
      <w:r>
        <w:rPr>
          <w:rFonts w:hint="eastAsia"/>
          <w:bCs/>
        </w:rPr>
        <w:t>1</w:t>
      </w:r>
      <w:r>
        <w:rPr>
          <w:bCs/>
        </w:rPr>
        <w:t>5</w:t>
      </w: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957FAB5">
      <w:pPr>
        <w:ind w:firstLine="480"/>
        <w:rPr>
          <w:bCs/>
        </w:rPr>
      </w:pPr>
      <w:r>
        <w:rPr>
          <w:rFonts w:hint="eastAsia"/>
          <w:bCs/>
        </w:rPr>
        <w:t>1</w:t>
      </w:r>
      <w:r>
        <w:rPr>
          <w:bCs/>
        </w:rPr>
        <w:t>6</w:t>
      </w:r>
      <w:r>
        <w:rPr>
          <w:rFonts w:hint="eastAsia"/>
          <w:bCs/>
        </w:rPr>
        <w:t>、相关法律法规以及监管部门有强制规定的，从其规定。如有新增事项，按国家最新规定估值。</w:t>
      </w:r>
    </w:p>
    <w:p w14:paraId="1C7CFC50">
      <w:pPr>
        <w:ind w:firstLine="48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50BEF115">
      <w:pPr>
        <w:ind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bCs/>
        </w:rPr>
        <w:t>。</w:t>
      </w:r>
    </w:p>
    <w:p w14:paraId="1065E5AB">
      <w:pPr>
        <w:ind w:firstLine="482"/>
        <w:rPr>
          <w:b/>
          <w:bCs/>
        </w:rPr>
      </w:pPr>
      <w:r>
        <w:rPr>
          <w:b/>
          <w:bCs/>
        </w:rPr>
        <w:t>五、估值程序</w:t>
      </w:r>
    </w:p>
    <w:p w14:paraId="3555DC92">
      <w:pPr>
        <w:ind w:firstLine="480"/>
        <w:rPr>
          <w:bCs/>
        </w:rPr>
      </w:pPr>
      <w:r>
        <w:rPr>
          <w:bCs/>
        </w:rPr>
        <w:t>1、各类基金份额的基金份额净值是按照每个工作日闭市后，某类基金</w:t>
      </w:r>
      <w:r>
        <w:rPr>
          <w:rFonts w:hint="eastAsia"/>
          <w:bCs/>
        </w:rPr>
        <w:t>份额的基金</w:t>
      </w:r>
      <w:r>
        <w:rPr>
          <w:bCs/>
        </w:rPr>
        <w:t>资产净值除以当日该类基金份额的余额数量计算，</w:t>
      </w:r>
      <w:r>
        <w:rPr>
          <w:rFonts w:hint="eastAsia"/>
          <w:bCs/>
        </w:rPr>
        <w:t>均</w:t>
      </w:r>
      <w:r>
        <w:rPr>
          <w:bCs/>
        </w:rPr>
        <w:t>精确到0.0001元，小数点后第5位四舍五入，由此产生的收益或损失由基金财产承担。基金管理人可以设立大额赎回情形下的净值精度应急调整机制。法律法规、监管机构、基金合同另有规定的，从其规定。</w:t>
      </w:r>
    </w:p>
    <w:p w14:paraId="4FD671CC">
      <w:pPr>
        <w:ind w:firstLine="480"/>
        <w:rPr>
          <w:bCs/>
        </w:rPr>
      </w:pPr>
      <w:r>
        <w:rPr>
          <w:bCs/>
          <w:color w:val="000000"/>
        </w:rPr>
        <w:t>基金管理人于</w:t>
      </w:r>
      <w:r>
        <w:rPr>
          <w:bCs/>
        </w:rPr>
        <w:t>每个工作日计算基金资产净值及各类基金份额净值，并按规定公告。</w:t>
      </w:r>
    </w:p>
    <w:p w14:paraId="08B17114">
      <w:pPr>
        <w:ind w:firstLine="480"/>
        <w:rPr>
          <w:bCs/>
        </w:rPr>
      </w:pPr>
      <w:r>
        <w:rPr>
          <w:bCs/>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p w14:paraId="038B73E2">
      <w:pPr>
        <w:ind w:firstLine="482"/>
        <w:rPr>
          <w:b/>
          <w:bCs/>
        </w:rPr>
      </w:pPr>
      <w:r>
        <w:rPr>
          <w:b/>
          <w:bCs/>
        </w:rPr>
        <w:t>六、估值错误的处理</w:t>
      </w:r>
    </w:p>
    <w:p w14:paraId="025865B5">
      <w:pPr>
        <w:ind w:firstLine="480"/>
        <w:rPr>
          <w:bCs/>
        </w:rPr>
      </w:pPr>
      <w:r>
        <w:rPr>
          <w:bCs/>
        </w:rPr>
        <w:t>基金管理人和基金托管人将采取必要、适当、合理的措施确保基金资产估值的准确性、及时性。当任一类基金份额净值小数点后4位以内（含第4位）发生估值错误时，视为该类基金份额净值错误。</w:t>
      </w:r>
    </w:p>
    <w:p w14:paraId="2E7D5A00">
      <w:pPr>
        <w:ind w:firstLine="480"/>
        <w:rPr>
          <w:bCs/>
        </w:rPr>
      </w:pPr>
      <w:r>
        <w:rPr>
          <w:bCs/>
        </w:rPr>
        <w:t>基金合同的当事人应按照以下约定处理：</w:t>
      </w:r>
    </w:p>
    <w:p w14:paraId="43E8BE2C">
      <w:pPr>
        <w:ind w:firstLine="480"/>
        <w:rPr>
          <w:bCs/>
        </w:rPr>
      </w:pPr>
      <w:r>
        <w:rPr>
          <w:bCs/>
        </w:rPr>
        <w:t>1、</w:t>
      </w:r>
      <w:r>
        <w:rPr>
          <w:rFonts w:hint="eastAsia"/>
          <w:bCs/>
        </w:rPr>
        <w:t>估值错误类型</w:t>
      </w:r>
    </w:p>
    <w:p w14:paraId="5780A069">
      <w:pPr>
        <w:ind w:firstLine="480"/>
        <w:rPr>
          <w:bCs/>
        </w:rPr>
      </w:pPr>
      <w:r>
        <w:rPr>
          <w:bCs/>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919623E">
      <w:pPr>
        <w:ind w:firstLine="480"/>
        <w:rPr>
          <w:bCs/>
        </w:rPr>
      </w:pPr>
      <w:r>
        <w:rPr>
          <w:bCs/>
        </w:rPr>
        <w:t>上述估值错误的主要类型包括但不限于：资料申报差错、数据传输差错、数据计算差错、系统故障差错、下达指令差错等。</w:t>
      </w:r>
    </w:p>
    <w:p w14:paraId="23F66E06">
      <w:pPr>
        <w:ind w:firstLine="480"/>
        <w:rPr>
          <w:bCs/>
        </w:rPr>
      </w:pPr>
      <w:r>
        <w:rPr>
          <w:bCs/>
        </w:rPr>
        <w:t>2、估值错误处理原则</w:t>
      </w:r>
    </w:p>
    <w:p w14:paraId="75D82D45">
      <w:pPr>
        <w:ind w:firstLine="48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7151C1">
      <w:pPr>
        <w:ind w:firstLine="480"/>
        <w:rPr>
          <w:bCs/>
        </w:rPr>
      </w:pPr>
      <w:r>
        <w:rPr>
          <w:bCs/>
        </w:rPr>
        <w:t>（2）估值错误的责任方对有关当事人的直接损失负责，不对间接损失负责，并且仅对估值错误的有关直接当事人负责，不对第三方负责。</w:t>
      </w:r>
    </w:p>
    <w:p w14:paraId="0F4A76E0">
      <w:pPr>
        <w:ind w:firstLine="480"/>
        <w:rPr>
          <w:bCs/>
        </w:rPr>
      </w:pPr>
      <w:r>
        <w:rPr>
          <w:bCs/>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189F720">
      <w:pPr>
        <w:ind w:firstLine="480"/>
        <w:rPr>
          <w:bCs/>
        </w:rPr>
      </w:pPr>
      <w:r>
        <w:rPr>
          <w:bCs/>
        </w:rPr>
        <w:t>（4）估值错误调整采用尽量恢复至假设未发生估值错误的正确情形的方式。</w:t>
      </w:r>
    </w:p>
    <w:p w14:paraId="6EFCC298">
      <w:pPr>
        <w:ind w:firstLine="480"/>
        <w:rPr>
          <w:bCs/>
        </w:rPr>
      </w:pPr>
      <w:r>
        <w:rPr>
          <w:rFonts w:hint="eastAsia"/>
          <w:bCs/>
        </w:rPr>
        <w:t>（5）按法律法规规定的其他原则处理估值错误。</w:t>
      </w:r>
    </w:p>
    <w:p w14:paraId="640D2D3C">
      <w:pPr>
        <w:ind w:firstLine="480"/>
        <w:rPr>
          <w:bCs/>
        </w:rPr>
      </w:pPr>
      <w:r>
        <w:rPr>
          <w:bCs/>
        </w:rPr>
        <w:t>3、估值错误处理程序</w:t>
      </w:r>
    </w:p>
    <w:p w14:paraId="4BE053AF">
      <w:pPr>
        <w:ind w:firstLine="480"/>
        <w:rPr>
          <w:bCs/>
        </w:rPr>
      </w:pPr>
      <w:r>
        <w:rPr>
          <w:bCs/>
        </w:rPr>
        <w:t>估值错误被发现后，有关的当事人应当及时进行处理，处理的程序如下：</w:t>
      </w:r>
    </w:p>
    <w:p w14:paraId="31915513">
      <w:pPr>
        <w:ind w:firstLine="480"/>
        <w:rPr>
          <w:bCs/>
        </w:rPr>
      </w:pPr>
      <w:r>
        <w:rPr>
          <w:bCs/>
        </w:rPr>
        <w:t>（1）查明估值错误发生的原因，列明所有的当事人，并根据估值错误发生的原因确定估值错误的责任方；</w:t>
      </w:r>
    </w:p>
    <w:p w14:paraId="09A7A5C2">
      <w:pPr>
        <w:ind w:firstLine="480"/>
        <w:rPr>
          <w:bCs/>
        </w:rPr>
      </w:pPr>
      <w:r>
        <w:rPr>
          <w:bCs/>
        </w:rPr>
        <w:t>（2）根据估值错误处理原则或当事人协商的方法对因估值错误造成的损失进行评估；</w:t>
      </w:r>
    </w:p>
    <w:p w14:paraId="1191429F">
      <w:pPr>
        <w:ind w:firstLine="480"/>
        <w:rPr>
          <w:bCs/>
        </w:rPr>
      </w:pPr>
      <w:r>
        <w:rPr>
          <w:bCs/>
        </w:rPr>
        <w:t>（3）根据估值错误处理原则或当事人协商的方法由估值错误的责任方进行更正和赔偿损失；</w:t>
      </w:r>
    </w:p>
    <w:p w14:paraId="5B1749DB">
      <w:pPr>
        <w:ind w:firstLine="480"/>
        <w:rPr>
          <w:bCs/>
        </w:rPr>
      </w:pPr>
      <w:r>
        <w:rPr>
          <w:bCs/>
        </w:rPr>
        <w:t>（4）根据估值错误处理的方法，需要修改基金登记机构交易数据的，由基金登记机构进行更正，并就估值错误的更正向有关当事人进行确认。</w:t>
      </w:r>
    </w:p>
    <w:p w14:paraId="6928FDCF">
      <w:pPr>
        <w:ind w:firstLine="480"/>
        <w:rPr>
          <w:bCs/>
        </w:rPr>
      </w:pPr>
      <w:r>
        <w:rPr>
          <w:bCs/>
        </w:rPr>
        <w:t>4、基金份额净值估值错误处理的方法如下：</w:t>
      </w:r>
    </w:p>
    <w:p w14:paraId="2FDE45EA">
      <w:pPr>
        <w:ind w:firstLine="480"/>
        <w:rPr>
          <w:bCs/>
        </w:rPr>
      </w:pPr>
      <w:r>
        <w:rPr>
          <w:bCs/>
        </w:rPr>
        <w:t>（1）</w:t>
      </w:r>
      <w:r>
        <w:rPr>
          <w:rFonts w:hint="eastAsia"/>
          <w:bCs/>
        </w:rPr>
        <w:t>任一类</w:t>
      </w:r>
      <w:r>
        <w:rPr>
          <w:bCs/>
        </w:rPr>
        <w:t>基金份额净值计算出现错误时，基金管理人应当立即予以纠正，通报基金托管人，并采取合理的措施防止损失进一步扩大。</w:t>
      </w:r>
    </w:p>
    <w:p w14:paraId="0EAACA91">
      <w:pPr>
        <w:ind w:firstLine="480"/>
        <w:rPr>
          <w:bCs/>
        </w:rPr>
      </w:pPr>
      <w:r>
        <w:rPr>
          <w:bCs/>
        </w:rPr>
        <w:t>（2）错误偏差达到该类基金份额净值的0.25%时，基金管理人应当通报基金托管人并报中国证监会备案；错误偏差达到该类基金份额净值的0.5%时，基金管理人应当公告，并报中国证监会备案。</w:t>
      </w:r>
    </w:p>
    <w:p w14:paraId="3406AA4B">
      <w:pPr>
        <w:ind w:firstLine="480"/>
        <w:rPr>
          <w:bCs/>
        </w:rPr>
      </w:pPr>
      <w:r>
        <w:rPr>
          <w:bCs/>
        </w:rPr>
        <w:t>（3）前述内容如法律法规或监管机关另有规定的，从其规定处理。</w:t>
      </w:r>
    </w:p>
    <w:p w14:paraId="0525C5D4">
      <w:pPr>
        <w:ind w:firstLine="482"/>
        <w:rPr>
          <w:b/>
          <w:bCs/>
        </w:rPr>
      </w:pPr>
      <w:r>
        <w:rPr>
          <w:b/>
          <w:bCs/>
        </w:rPr>
        <w:t>七、暂停估值的情形</w:t>
      </w:r>
    </w:p>
    <w:p w14:paraId="2747126B">
      <w:pPr>
        <w:ind w:firstLine="480"/>
        <w:rPr>
          <w:bCs/>
        </w:rPr>
      </w:pPr>
      <w:r>
        <w:rPr>
          <w:bCs/>
        </w:rPr>
        <w:t>1、基金投资所涉及的证券、期货交易市场或外汇市场遇法定节假日或因其他原因暂停营业时；</w:t>
      </w:r>
    </w:p>
    <w:p w14:paraId="71986CC9">
      <w:pPr>
        <w:ind w:firstLine="480"/>
        <w:rPr>
          <w:bCs/>
        </w:rPr>
      </w:pPr>
      <w:r>
        <w:rPr>
          <w:bCs/>
        </w:rPr>
        <w:t>2、因不可抗力致使基金管理人、基金托管人无法准确评估基金资产价值时；</w:t>
      </w:r>
    </w:p>
    <w:p w14:paraId="7F01CA42">
      <w:pPr>
        <w:ind w:firstLine="480"/>
      </w:pPr>
      <w:r>
        <w:t>3、当特定资产占前一估值日基金资产净值50%以上的，经与基金托管人协商确认后，基金管理人应当暂停估值；</w:t>
      </w:r>
    </w:p>
    <w:p w14:paraId="3D24E406">
      <w:pPr>
        <w:ind w:firstLine="480"/>
        <w:rPr>
          <w:bCs/>
        </w:rPr>
      </w:pPr>
      <w:r>
        <w:rPr>
          <w:bCs/>
        </w:rPr>
        <w:t>4、</w:t>
      </w:r>
      <w:r>
        <w:rPr>
          <w:bCs/>
          <w:color w:val="000000"/>
        </w:rPr>
        <w:t>法律法规规定、</w:t>
      </w:r>
      <w:r>
        <w:rPr>
          <w:bCs/>
        </w:rPr>
        <w:t>中国证监会和基金合同认定的其它情形。</w:t>
      </w:r>
    </w:p>
    <w:p w14:paraId="79515E23">
      <w:pPr>
        <w:ind w:firstLine="482"/>
        <w:rPr>
          <w:b/>
          <w:bCs/>
        </w:rPr>
      </w:pPr>
      <w:r>
        <w:rPr>
          <w:b/>
          <w:bCs/>
        </w:rPr>
        <w:t>八、基金净值的确认</w:t>
      </w:r>
    </w:p>
    <w:p w14:paraId="0BBBEABF">
      <w:pPr>
        <w:ind w:firstLine="480"/>
        <w:rPr>
          <w:bCs/>
        </w:rPr>
      </w:pPr>
      <w:r>
        <w:rPr>
          <w:bCs/>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14:paraId="739625EE">
      <w:pPr>
        <w:ind w:firstLine="482"/>
        <w:rPr>
          <w:b/>
          <w:bCs/>
          <w:color w:val="000000"/>
        </w:rPr>
      </w:pPr>
      <w:r>
        <w:rPr>
          <w:b/>
          <w:bCs/>
        </w:rPr>
        <w:t>九、</w:t>
      </w:r>
      <w:r>
        <w:rPr>
          <w:b/>
          <w:bCs/>
          <w:color w:val="000000"/>
        </w:rPr>
        <w:t>特殊情形的处理</w:t>
      </w:r>
    </w:p>
    <w:p w14:paraId="5E2DC525">
      <w:pPr>
        <w:ind w:firstLine="480"/>
        <w:rPr>
          <w:bCs/>
          <w:color w:val="000000"/>
        </w:rPr>
      </w:pPr>
      <w:r>
        <w:rPr>
          <w:bCs/>
          <w:color w:val="000000"/>
        </w:rPr>
        <w:t>1、基金管理人或基金托管人按估值方法的第12项进行估值时，所造成的误差不作为基金资产估值错误处理；</w:t>
      </w:r>
    </w:p>
    <w:p w14:paraId="00155BF2">
      <w:pPr>
        <w:ind w:firstLine="480"/>
        <w:rPr>
          <w:bCs/>
          <w:color w:val="000000"/>
        </w:rPr>
      </w:pPr>
      <w:r>
        <w:rPr>
          <w:rFonts w:hint="eastAsia"/>
          <w:bCs/>
          <w:color w:val="000000"/>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517502A">
      <w:pPr>
        <w:ind w:firstLine="480"/>
        <w:rPr>
          <w:bCs/>
        </w:rPr>
      </w:pPr>
      <w:r>
        <w:rPr>
          <w:rFonts w:hint="eastAsia"/>
          <w:bCs/>
          <w:color w:val="000000"/>
        </w:rPr>
        <w:t>3、对于因税收规定调整或其他原因导致基金实际交纳税金与基金按照权责发生制进行估值的应交税金有差异的，相关估值调整不作为基金资产估值错误处理。</w:t>
      </w:r>
    </w:p>
    <w:p w14:paraId="066F5995">
      <w:pPr>
        <w:ind w:firstLine="482"/>
        <w:rPr>
          <w:b/>
          <w:bCs/>
        </w:rPr>
      </w:pPr>
      <w:r>
        <w:rPr>
          <w:rFonts w:hint="eastAsia"/>
          <w:b/>
          <w:bCs/>
        </w:rPr>
        <w:t>十、实施侧袋机制期间的基金资产估值</w:t>
      </w:r>
    </w:p>
    <w:p w14:paraId="710C9BB2">
      <w:pPr>
        <w:ind w:firstLine="480"/>
        <w:rPr>
          <w:bCs/>
        </w:rPr>
      </w:pPr>
      <w:r>
        <w:rPr>
          <w:rFonts w:hint="eastAsia"/>
          <w:bCs/>
        </w:rPr>
        <w:t>本基金实施侧袋机制的，应根据本部分的约定对主袋账户资产进行估值并披露主袋账户的基金净值信息，暂停披露侧袋账户份额净值。</w:t>
      </w:r>
    </w:p>
    <w:p w14:paraId="7E051E46">
      <w:pPr>
        <w:ind w:firstLine="480"/>
        <w:rPr>
          <w:bCs/>
        </w:rPr>
      </w:pPr>
    </w:p>
    <w:p w14:paraId="279F0AD7">
      <w:pPr>
        <w:widowControl/>
        <w:spacing w:line="240" w:lineRule="auto"/>
        <w:ind w:firstLine="0" w:firstLineChars="0"/>
        <w:jc w:val="left"/>
        <w:rPr>
          <w:bCs/>
        </w:rPr>
      </w:pPr>
      <w:r>
        <w:rPr>
          <w:bCs/>
        </w:rPr>
        <w:br w:type="page"/>
      </w:r>
    </w:p>
    <w:p w14:paraId="2859D063">
      <w:pPr>
        <w:pStyle w:val="2"/>
        <w:spacing w:before="312" w:after="312"/>
        <w:rPr>
          <w:kern w:val="0"/>
        </w:rPr>
      </w:pPr>
      <w:bookmarkStart w:id="53" w:name="_Toc218004083"/>
      <w:r>
        <w:rPr>
          <w:rFonts w:hint="eastAsia"/>
          <w:kern w:val="0"/>
        </w:rPr>
        <w:t>第十二部分</w:t>
      </w:r>
      <w:r>
        <w:rPr>
          <w:kern w:val="0"/>
        </w:rPr>
        <w:t xml:space="preserve">  </w:t>
      </w:r>
      <w:r>
        <w:rPr>
          <w:rFonts w:hint="eastAsia"/>
          <w:kern w:val="0"/>
        </w:rPr>
        <w:t>基金的收益与分配</w:t>
      </w:r>
      <w:bookmarkEnd w:id="53"/>
    </w:p>
    <w:p w14:paraId="4F1138FD">
      <w:pPr>
        <w:ind w:firstLine="482"/>
        <w:rPr>
          <w:b/>
          <w:bCs/>
          <w:szCs w:val="20"/>
        </w:rPr>
      </w:pPr>
      <w:r>
        <w:rPr>
          <w:rFonts w:hint="eastAsia"/>
          <w:b/>
          <w:bCs/>
          <w:szCs w:val="20"/>
        </w:rPr>
        <w:t>一、基金利润的构成</w:t>
      </w:r>
    </w:p>
    <w:p w14:paraId="63DF3A69">
      <w:pPr>
        <w:ind w:firstLine="480"/>
        <w:rPr>
          <w:bCs/>
          <w:szCs w:val="20"/>
        </w:rPr>
      </w:pPr>
      <w:r>
        <w:rPr>
          <w:rFonts w:hint="eastAsia"/>
          <w:bCs/>
          <w:szCs w:val="20"/>
        </w:rPr>
        <w:t>基金利润指基金利息收入、投资收益、公允价值变动收益和其他收入扣除相关费用后的余额，基金已实现收益指基金利润减去公允价值变动收益后的余额。</w:t>
      </w:r>
    </w:p>
    <w:p w14:paraId="598BCEA0">
      <w:pPr>
        <w:ind w:firstLine="482"/>
        <w:rPr>
          <w:b/>
          <w:bCs/>
          <w:szCs w:val="20"/>
        </w:rPr>
      </w:pPr>
      <w:r>
        <w:rPr>
          <w:rFonts w:hint="eastAsia"/>
          <w:b/>
          <w:bCs/>
          <w:szCs w:val="20"/>
        </w:rPr>
        <w:t>二、基金可供分配利润</w:t>
      </w:r>
    </w:p>
    <w:p w14:paraId="77C82EF3">
      <w:pPr>
        <w:ind w:firstLine="480"/>
        <w:rPr>
          <w:bCs/>
          <w:szCs w:val="20"/>
        </w:rPr>
      </w:pPr>
      <w:r>
        <w:rPr>
          <w:rFonts w:hint="eastAsia"/>
          <w:bCs/>
          <w:szCs w:val="20"/>
        </w:rPr>
        <w:t>基金可供分配利润指截至收益分配基准日基金未分配利润与未分配利润中已实现收益的孰低数。</w:t>
      </w:r>
    </w:p>
    <w:p w14:paraId="50C6B4EE">
      <w:pPr>
        <w:ind w:firstLine="482"/>
        <w:rPr>
          <w:b/>
          <w:bCs/>
          <w:szCs w:val="20"/>
        </w:rPr>
      </w:pPr>
      <w:r>
        <w:rPr>
          <w:rFonts w:hint="eastAsia"/>
          <w:b/>
          <w:bCs/>
          <w:szCs w:val="20"/>
        </w:rPr>
        <w:t>三、基金收益分配原则</w:t>
      </w:r>
    </w:p>
    <w:p w14:paraId="7E69B361">
      <w:pPr>
        <w:ind w:firstLine="480"/>
        <w:rPr>
          <w:bCs/>
          <w:szCs w:val="20"/>
        </w:rPr>
      </w:pPr>
      <w:r>
        <w:rPr>
          <w:rFonts w:hint="eastAsia"/>
          <w:bCs/>
          <w:szCs w:val="20"/>
        </w:rPr>
        <w:t>1、在符合有关基金分红条件的前提下，本基金可进行收益分配；若基金合同生效不满3个月，本基金可不进行收益分配；</w:t>
      </w:r>
    </w:p>
    <w:p w14:paraId="41209EA8">
      <w:pPr>
        <w:ind w:firstLine="480"/>
        <w:rPr>
          <w:bCs/>
          <w:szCs w:val="20"/>
        </w:rPr>
      </w:pPr>
      <w:r>
        <w:rPr>
          <w:rFonts w:hint="eastAsia"/>
          <w:bCs/>
          <w:szCs w:val="20"/>
        </w:rPr>
        <w:t>2、本基金收益分配方式分两种：现金分红与红利再投资，投资者可选择现金红利或将现金红利自动转为相应类别的基金份额进行再投资；若投资者不选择，本基金默认的收益分配方式是现金分红；</w:t>
      </w:r>
    </w:p>
    <w:p w14:paraId="5301A4B8">
      <w:pPr>
        <w:ind w:firstLine="480"/>
        <w:rPr>
          <w:bCs/>
          <w:szCs w:val="20"/>
        </w:rPr>
      </w:pPr>
      <w:r>
        <w:rPr>
          <w:rFonts w:hint="eastAsia"/>
          <w:bCs/>
          <w:szCs w:val="20"/>
        </w:rPr>
        <w:t>3、基金收益分配后各类基金份额的基金份额净值不能低于面值；即基金收益分配基准日的各类基金份额净值减去每单位该类基金份额收益分配金额后不能低于面值；</w:t>
      </w:r>
    </w:p>
    <w:p w14:paraId="2D4F724B">
      <w:pPr>
        <w:ind w:firstLine="480"/>
        <w:rPr>
          <w:bCs/>
          <w:szCs w:val="20"/>
        </w:rPr>
      </w:pPr>
      <w:r>
        <w:rPr>
          <w:rFonts w:hint="eastAsia"/>
          <w:bCs/>
          <w:szCs w:val="20"/>
        </w:rPr>
        <w:t>4、本基金同一类别每一基金份额享有同等分配权，由于本基金A类基金份额不收取销售服务费，C类基金份额收取销售服务费，各基金份额类别对应的可供分配利润将有所不同；</w:t>
      </w:r>
    </w:p>
    <w:p w14:paraId="149007BF">
      <w:pPr>
        <w:ind w:firstLine="480"/>
        <w:rPr>
          <w:bCs/>
          <w:szCs w:val="20"/>
        </w:rPr>
      </w:pPr>
      <w:r>
        <w:rPr>
          <w:rFonts w:hint="eastAsia"/>
          <w:bCs/>
          <w:szCs w:val="20"/>
        </w:rPr>
        <w:t>5、法律法规或监管机关另有规定的，从其规定。</w:t>
      </w:r>
    </w:p>
    <w:p w14:paraId="10078C84">
      <w:pPr>
        <w:ind w:firstLine="480"/>
        <w:rPr>
          <w:bCs/>
          <w:szCs w:val="20"/>
        </w:rPr>
      </w:pPr>
      <w:r>
        <w:rPr>
          <w:rFonts w:hint="eastAsia"/>
          <w:bCs/>
          <w:szCs w:val="20"/>
        </w:rPr>
        <w:t>在遵守法律法规和监管部门的规定，且对基金份额持有人利益无实质性不利影响的前提下，基金管理人在履行适当程序后，可对基金收益分配原则和支付方式进行调整，应于变更实施日前在规定媒介公告。</w:t>
      </w:r>
    </w:p>
    <w:p w14:paraId="0A0EE8BE">
      <w:pPr>
        <w:ind w:firstLine="482"/>
        <w:rPr>
          <w:b/>
          <w:bCs/>
          <w:szCs w:val="20"/>
        </w:rPr>
      </w:pPr>
      <w:r>
        <w:rPr>
          <w:rFonts w:hint="eastAsia"/>
          <w:b/>
          <w:bCs/>
          <w:szCs w:val="20"/>
        </w:rPr>
        <w:t>四、收益分配方案</w:t>
      </w:r>
    </w:p>
    <w:p w14:paraId="18206E5B">
      <w:pPr>
        <w:ind w:firstLine="480"/>
        <w:rPr>
          <w:bCs/>
          <w:szCs w:val="20"/>
        </w:rPr>
      </w:pPr>
      <w:r>
        <w:rPr>
          <w:rFonts w:hint="eastAsia"/>
          <w:bCs/>
          <w:szCs w:val="20"/>
        </w:rPr>
        <w:t>基金收益分配方案中应载明截止收益分配基准日的可供分配利润、基金收益分配对象、分配时间、分配数额及比例、分配方式等内容。</w:t>
      </w:r>
    </w:p>
    <w:p w14:paraId="2D1AE829">
      <w:pPr>
        <w:ind w:firstLine="482"/>
        <w:rPr>
          <w:b/>
          <w:bCs/>
          <w:szCs w:val="20"/>
        </w:rPr>
      </w:pPr>
      <w:r>
        <w:rPr>
          <w:rFonts w:hint="eastAsia"/>
          <w:b/>
          <w:bCs/>
          <w:szCs w:val="20"/>
        </w:rPr>
        <w:t>五、收益分配方案的确定、公告与实施</w:t>
      </w:r>
    </w:p>
    <w:p w14:paraId="00FBC569">
      <w:pPr>
        <w:ind w:firstLine="480"/>
        <w:rPr>
          <w:bCs/>
          <w:szCs w:val="20"/>
        </w:rPr>
      </w:pPr>
      <w:r>
        <w:rPr>
          <w:rFonts w:hint="eastAsia"/>
          <w:bCs/>
          <w:szCs w:val="20"/>
        </w:rPr>
        <w:t>本基金收益分配方案由基金管理人拟定，并由基金托管人复核，依照《信息披露办法》的有关规定在规定媒介公告。</w:t>
      </w:r>
    </w:p>
    <w:p w14:paraId="47E55627">
      <w:pPr>
        <w:ind w:firstLine="482"/>
        <w:rPr>
          <w:b/>
          <w:bCs/>
          <w:szCs w:val="20"/>
        </w:rPr>
      </w:pPr>
      <w:r>
        <w:rPr>
          <w:rFonts w:hint="eastAsia"/>
          <w:b/>
          <w:bCs/>
          <w:szCs w:val="20"/>
        </w:rPr>
        <w:t>六、基金收益分配中发生的费用</w:t>
      </w:r>
    </w:p>
    <w:p w14:paraId="2A5098D5">
      <w:pPr>
        <w:ind w:firstLine="480"/>
        <w:rPr>
          <w:bCs/>
          <w:szCs w:val="20"/>
        </w:rPr>
      </w:pPr>
      <w:r>
        <w:rPr>
          <w:rFonts w:hint="eastAsia"/>
          <w:bCs/>
          <w:szCs w:val="20"/>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3F4FF0E">
      <w:pPr>
        <w:ind w:firstLine="482"/>
        <w:rPr>
          <w:b/>
          <w:bCs/>
          <w:szCs w:val="20"/>
        </w:rPr>
      </w:pPr>
      <w:r>
        <w:rPr>
          <w:rFonts w:hint="eastAsia"/>
          <w:b/>
          <w:bCs/>
          <w:szCs w:val="20"/>
        </w:rPr>
        <w:t>七、实施侧袋机制期间的收益分配</w:t>
      </w:r>
    </w:p>
    <w:p w14:paraId="727C84E4">
      <w:pPr>
        <w:ind w:firstLine="480"/>
        <w:rPr>
          <w:bCs/>
          <w:szCs w:val="20"/>
        </w:rPr>
      </w:pPr>
      <w:r>
        <w:rPr>
          <w:rFonts w:hint="eastAsia"/>
          <w:bCs/>
          <w:szCs w:val="20"/>
        </w:rPr>
        <w:t>本基金实施侧袋机制的，侧袋账户不进行收益分配，详见招募说明书“侧袋机制“部分的规定。</w:t>
      </w:r>
    </w:p>
    <w:p w14:paraId="2670CA6E">
      <w:pPr>
        <w:pStyle w:val="85"/>
        <w:ind w:firstLine="482"/>
      </w:pPr>
      <w:r>
        <w:rPr>
          <w:b/>
        </w:rPr>
        <w:br w:type="page"/>
      </w:r>
    </w:p>
    <w:p w14:paraId="74D4B8B0">
      <w:pPr>
        <w:pStyle w:val="2"/>
        <w:spacing w:before="312" w:after="312"/>
        <w:rPr>
          <w:kern w:val="0"/>
        </w:rPr>
      </w:pPr>
      <w:bookmarkStart w:id="54" w:name="_Toc218004084"/>
      <w:bookmarkStart w:id="55" w:name="_Hlk76465069"/>
      <w:r>
        <w:rPr>
          <w:rFonts w:hint="eastAsia"/>
          <w:kern w:val="0"/>
        </w:rPr>
        <w:t>第十三部分</w:t>
      </w:r>
      <w:r>
        <w:rPr>
          <w:kern w:val="0"/>
        </w:rPr>
        <w:t xml:space="preserve">  </w:t>
      </w:r>
      <w:r>
        <w:rPr>
          <w:rFonts w:hint="eastAsia"/>
          <w:kern w:val="0"/>
        </w:rPr>
        <w:t>基金的费用与税收</w:t>
      </w:r>
      <w:bookmarkEnd w:id="54"/>
    </w:p>
    <w:p w14:paraId="46CB5B78">
      <w:pPr>
        <w:ind w:firstLine="482"/>
        <w:rPr>
          <w:b/>
          <w:bCs/>
        </w:rPr>
      </w:pPr>
      <w:r>
        <w:rPr>
          <w:rFonts w:hint="eastAsia"/>
          <w:b/>
          <w:bCs/>
        </w:rPr>
        <w:t>一、基金费用的种类</w:t>
      </w:r>
    </w:p>
    <w:p w14:paraId="3C1220C1">
      <w:pPr>
        <w:ind w:firstLine="480"/>
        <w:rPr>
          <w:bCs/>
        </w:rPr>
      </w:pPr>
      <w:r>
        <w:rPr>
          <w:rFonts w:hint="eastAsia"/>
          <w:bCs/>
        </w:rPr>
        <w:t>1、基金管理人的管理费；</w:t>
      </w:r>
    </w:p>
    <w:p w14:paraId="7BC7F370">
      <w:pPr>
        <w:ind w:firstLine="480"/>
        <w:rPr>
          <w:bCs/>
        </w:rPr>
      </w:pPr>
      <w:r>
        <w:rPr>
          <w:rFonts w:hint="eastAsia"/>
          <w:bCs/>
        </w:rPr>
        <w:t>2、基金托管人的托管费；</w:t>
      </w:r>
    </w:p>
    <w:p w14:paraId="18436F18">
      <w:pPr>
        <w:ind w:firstLine="480"/>
        <w:rPr>
          <w:bCs/>
        </w:rPr>
      </w:pPr>
      <w:r>
        <w:rPr>
          <w:rFonts w:hint="eastAsia"/>
          <w:bCs/>
        </w:rPr>
        <w:t>3、C类基金份额的销售服务费；</w:t>
      </w:r>
    </w:p>
    <w:p w14:paraId="7C3B8720">
      <w:pPr>
        <w:ind w:firstLine="480"/>
        <w:rPr>
          <w:bCs/>
        </w:rPr>
      </w:pPr>
      <w:r>
        <w:rPr>
          <w:rFonts w:hint="eastAsia"/>
          <w:bCs/>
        </w:rPr>
        <w:t>4、基金合同生效后与基金相关的信息披露费用；</w:t>
      </w:r>
    </w:p>
    <w:p w14:paraId="1147B03E">
      <w:pPr>
        <w:ind w:firstLine="480"/>
        <w:rPr>
          <w:bCs/>
        </w:rPr>
      </w:pPr>
      <w:r>
        <w:rPr>
          <w:rFonts w:hint="eastAsia"/>
          <w:bCs/>
        </w:rPr>
        <w:t>5、基金合同生效后与基金相关的会计师费、律师费、诉讼费和仲裁费；</w:t>
      </w:r>
    </w:p>
    <w:p w14:paraId="5A957271">
      <w:pPr>
        <w:ind w:firstLine="480"/>
        <w:rPr>
          <w:bCs/>
        </w:rPr>
      </w:pPr>
      <w:r>
        <w:rPr>
          <w:rFonts w:hint="eastAsia"/>
          <w:bCs/>
        </w:rPr>
        <w:t>6、基金份额持有人大会费用；</w:t>
      </w:r>
    </w:p>
    <w:p w14:paraId="15789A7A">
      <w:pPr>
        <w:ind w:firstLine="480"/>
        <w:rPr>
          <w:bCs/>
        </w:rPr>
      </w:pPr>
      <w:r>
        <w:rPr>
          <w:rFonts w:hint="eastAsia"/>
          <w:bCs/>
        </w:rPr>
        <w:t>7、基金的证券、期货交易费用、结算费用；</w:t>
      </w:r>
    </w:p>
    <w:p w14:paraId="63F822C8">
      <w:pPr>
        <w:ind w:firstLine="480"/>
        <w:rPr>
          <w:bCs/>
        </w:rPr>
      </w:pPr>
      <w:r>
        <w:rPr>
          <w:rFonts w:hint="eastAsia"/>
          <w:bCs/>
        </w:rPr>
        <w:t>8、基金的银行汇划费用；</w:t>
      </w:r>
    </w:p>
    <w:p w14:paraId="0E338E9B">
      <w:pPr>
        <w:ind w:firstLine="480"/>
        <w:rPr>
          <w:bCs/>
        </w:rPr>
      </w:pPr>
      <w:r>
        <w:rPr>
          <w:rFonts w:hint="eastAsia"/>
          <w:bCs/>
        </w:rPr>
        <w:t>9、基金相关账户的开户和维护费用；</w:t>
      </w:r>
    </w:p>
    <w:p w14:paraId="41BFE785">
      <w:pPr>
        <w:ind w:firstLine="480"/>
        <w:rPr>
          <w:bCs/>
        </w:rPr>
      </w:pPr>
      <w:r>
        <w:rPr>
          <w:rFonts w:hint="eastAsia"/>
          <w:bCs/>
        </w:rPr>
        <w:t>10、因投资港股通标的股票而产生的各项费用；</w:t>
      </w:r>
    </w:p>
    <w:p w14:paraId="44B1A40E">
      <w:pPr>
        <w:ind w:firstLine="480"/>
        <w:rPr>
          <w:bCs/>
        </w:rPr>
      </w:pPr>
      <w:r>
        <w:rPr>
          <w:rFonts w:hint="eastAsia"/>
          <w:bCs/>
        </w:rPr>
        <w:t>11、基金投资其他基金产生的其他基金的销售费用，但法律法规禁止从基金财产中列支的除外；</w:t>
      </w:r>
    </w:p>
    <w:p w14:paraId="529DE553">
      <w:pPr>
        <w:ind w:firstLine="480"/>
        <w:rPr>
          <w:bCs/>
        </w:rPr>
      </w:pPr>
      <w:r>
        <w:rPr>
          <w:rFonts w:hint="eastAsia"/>
          <w:bCs/>
        </w:rPr>
        <w:t>12、按照国家有关规定和基金合同约定，可以在基金财产中列支的其他费用。</w:t>
      </w:r>
    </w:p>
    <w:p w14:paraId="5028F935">
      <w:pPr>
        <w:ind w:firstLine="482"/>
        <w:rPr>
          <w:b/>
          <w:bCs/>
        </w:rPr>
      </w:pPr>
      <w:r>
        <w:rPr>
          <w:rFonts w:hint="eastAsia"/>
          <w:b/>
          <w:bCs/>
        </w:rPr>
        <w:t>二、基金费用计提方法、计提标准和支付方式</w:t>
      </w:r>
    </w:p>
    <w:p w14:paraId="723EC516">
      <w:pPr>
        <w:ind w:firstLine="480"/>
        <w:rPr>
          <w:bCs/>
        </w:rPr>
      </w:pPr>
      <w:r>
        <w:rPr>
          <w:rFonts w:hint="eastAsia"/>
          <w:bCs/>
        </w:rPr>
        <w:t xml:space="preserve">1、基金管理人的管理费 </w:t>
      </w:r>
    </w:p>
    <w:p w14:paraId="6F6F782C">
      <w:pPr>
        <w:ind w:firstLine="480"/>
        <w:rPr>
          <w:bCs/>
        </w:rPr>
      </w:pPr>
      <w:r>
        <w:rPr>
          <w:rFonts w:hint="eastAsia"/>
          <w:bCs/>
        </w:rPr>
        <w:t>本基金对基金财产中持有的本基金管理人自身管理的基金部分不收取管理费。本基金的管理费按前一日除基金管理人管理的基金外的基金资产净值的0.60%年费率计提。管理费的计算方法如下：</w:t>
      </w:r>
    </w:p>
    <w:p w14:paraId="430A17F5">
      <w:pPr>
        <w:ind w:firstLine="480"/>
        <w:rPr>
          <w:bCs/>
        </w:rPr>
      </w:pPr>
      <w:r>
        <w:rPr>
          <w:rFonts w:hint="eastAsia"/>
          <w:bCs/>
        </w:rPr>
        <w:t>H＝E×0.60%÷当年天数</w:t>
      </w:r>
    </w:p>
    <w:p w14:paraId="7AE0C3E5">
      <w:pPr>
        <w:ind w:firstLine="480"/>
        <w:rPr>
          <w:bCs/>
        </w:rPr>
      </w:pPr>
      <w:r>
        <w:rPr>
          <w:rFonts w:hint="eastAsia"/>
          <w:bCs/>
        </w:rPr>
        <w:t>H为每日应计提的基金管理费</w:t>
      </w:r>
    </w:p>
    <w:p w14:paraId="143B29B5">
      <w:pPr>
        <w:ind w:firstLine="480"/>
        <w:rPr>
          <w:bCs/>
        </w:rPr>
      </w:pPr>
      <w:r>
        <w:rPr>
          <w:rFonts w:hint="eastAsia"/>
          <w:bCs/>
        </w:rPr>
        <w:t>E为前一日的基金资产净值减去持有基金管理人管理基金的基金资产净值</w:t>
      </w:r>
    </w:p>
    <w:p w14:paraId="79B1D5B9">
      <w:pPr>
        <w:ind w:firstLine="480"/>
        <w:rPr>
          <w:bCs/>
        </w:rPr>
      </w:pPr>
      <w:r>
        <w:rPr>
          <w:rFonts w:hint="eastAsia"/>
          <w:bCs/>
        </w:rPr>
        <w:t>基金管理费每日计提，逐日累计至每月月末，按月支付，自下一自然月度开始5个工作日内，由基金托管人根据与基金管理人核对一致的基金资产估值数据，从基金财产中一次性支付至基金管理人账户。费用扣划后，基金管理人应进行核对，如发现数据不符，及时联系基金托管人协商解决。若遇法定节假日、公休假或不可抗力等，支付日期顺延。</w:t>
      </w:r>
    </w:p>
    <w:p w14:paraId="005E519E">
      <w:pPr>
        <w:ind w:firstLine="480"/>
        <w:rPr>
          <w:bCs/>
        </w:rPr>
      </w:pPr>
      <w:r>
        <w:rPr>
          <w:rFonts w:hint="eastAsia"/>
          <w:bCs/>
        </w:rPr>
        <w:t>2、基金托管人的托管费</w:t>
      </w:r>
    </w:p>
    <w:p w14:paraId="1B512AC7">
      <w:pPr>
        <w:ind w:firstLine="480"/>
        <w:rPr>
          <w:bCs/>
        </w:rPr>
      </w:pPr>
      <w:r>
        <w:rPr>
          <w:rFonts w:hint="eastAsia"/>
          <w:bCs/>
        </w:rPr>
        <w:t>本基金对基金财产中持有的本基金托管人自身托管的基金部分不收取托管费。本基金的托管费按前一日除基金托管人托管的基金外的基金资产净值的0.10%的年费率计提。托管费的计算方法如下：</w:t>
      </w:r>
    </w:p>
    <w:p w14:paraId="1CAEAFCB">
      <w:pPr>
        <w:ind w:firstLine="480"/>
        <w:rPr>
          <w:bCs/>
        </w:rPr>
      </w:pPr>
      <w:r>
        <w:rPr>
          <w:rFonts w:hint="eastAsia"/>
          <w:bCs/>
        </w:rPr>
        <w:t>H＝E×0.10%÷当年天数</w:t>
      </w:r>
    </w:p>
    <w:p w14:paraId="7A1CF0A8">
      <w:pPr>
        <w:ind w:firstLine="480"/>
        <w:rPr>
          <w:bCs/>
        </w:rPr>
      </w:pPr>
      <w:r>
        <w:rPr>
          <w:rFonts w:hint="eastAsia"/>
          <w:bCs/>
        </w:rPr>
        <w:t>H为每日应计提的基金托管费</w:t>
      </w:r>
    </w:p>
    <w:p w14:paraId="6EF6CB1C">
      <w:pPr>
        <w:ind w:firstLine="480"/>
        <w:rPr>
          <w:bCs/>
        </w:rPr>
      </w:pPr>
      <w:r>
        <w:rPr>
          <w:rFonts w:hint="eastAsia"/>
          <w:bCs/>
        </w:rPr>
        <w:t>E为前一日的基金资产净值减去持有基金托管人托管基金的基金资产净值</w:t>
      </w:r>
    </w:p>
    <w:p w14:paraId="3F521893">
      <w:pPr>
        <w:ind w:firstLine="480"/>
        <w:rPr>
          <w:bCs/>
        </w:rPr>
      </w:pPr>
      <w:r>
        <w:rPr>
          <w:rFonts w:hint="eastAsia"/>
          <w:bCs/>
        </w:rPr>
        <w:t>基金托管费每日计提，逐日累计至每月月末，按月支付，自下一自然月度开始5个工作日内，由基金托管人根据与基金管理人核对一致的基金资产估值数据，从基金财产中一次性支付至基金托管人账户。费用扣划后，基金管理人应进行核对，如发现数据不符，及时联系基金托管人协商解决。若遇法定节假日、公休假或不可抗力等，支付日期顺延。</w:t>
      </w:r>
    </w:p>
    <w:p w14:paraId="18CE633E">
      <w:pPr>
        <w:ind w:firstLine="480"/>
        <w:rPr>
          <w:bCs/>
        </w:rPr>
      </w:pPr>
      <w:r>
        <w:rPr>
          <w:rFonts w:hint="eastAsia"/>
          <w:bCs/>
        </w:rPr>
        <w:t>3、C类基金份额的销售服务费</w:t>
      </w:r>
    </w:p>
    <w:p w14:paraId="03567F63">
      <w:pPr>
        <w:ind w:firstLine="480"/>
        <w:rPr>
          <w:bCs/>
        </w:rPr>
      </w:pPr>
      <w:r>
        <w:rPr>
          <w:rFonts w:hint="eastAsia"/>
          <w:bCs/>
        </w:rPr>
        <w:t>本基金A类基金份额不收取销售服务费。C类基金份额的销售服务费按前一日C类基金份额资产净值的0.30%年费率计提。销售服务费的计算方法如下：</w:t>
      </w:r>
    </w:p>
    <w:p w14:paraId="0406324F">
      <w:pPr>
        <w:ind w:firstLine="480"/>
        <w:rPr>
          <w:bCs/>
        </w:rPr>
      </w:pPr>
      <w:r>
        <w:rPr>
          <w:rFonts w:hint="eastAsia"/>
          <w:bCs/>
        </w:rPr>
        <w:t>H＝E×0.30%÷当年天数</w:t>
      </w:r>
    </w:p>
    <w:p w14:paraId="6C7669B8">
      <w:pPr>
        <w:ind w:firstLine="480"/>
        <w:rPr>
          <w:bCs/>
        </w:rPr>
      </w:pPr>
      <w:r>
        <w:rPr>
          <w:rFonts w:hint="eastAsia"/>
          <w:bCs/>
        </w:rPr>
        <w:t>H为C类基金份额每日应计提的销售服务费</w:t>
      </w:r>
    </w:p>
    <w:p w14:paraId="3DA14B04">
      <w:pPr>
        <w:ind w:firstLine="480"/>
        <w:rPr>
          <w:bCs/>
        </w:rPr>
      </w:pPr>
      <w:r>
        <w:rPr>
          <w:rFonts w:hint="eastAsia"/>
          <w:bCs/>
        </w:rPr>
        <w:t>E为C类基金份额前一日基金资产净值</w:t>
      </w:r>
    </w:p>
    <w:p w14:paraId="28204EEF">
      <w:pPr>
        <w:ind w:firstLine="480"/>
        <w:rPr>
          <w:bCs/>
        </w:rPr>
      </w:pPr>
      <w:r>
        <w:rPr>
          <w:rFonts w:hint="eastAsia"/>
          <w:bCs/>
        </w:rPr>
        <w:t>基金销售服务费每日计提，逐日累计至每月月末，按月支付，自下一自然月度开始5个工作日内，由基金托管人根据与基金管理人核对一致的基金资产估值数据，从基金财产中一次性支付至基金管理人账户，再由基金管理人分别支付给各个基金销售机构。费用扣划后，基金管理人应进行核对，如发现数据不符，及时联系基金托管人协商解决。若遇法定节假日、公休假或不可抗力等，支付日期顺延。</w:t>
      </w:r>
    </w:p>
    <w:p w14:paraId="6BD286F2">
      <w:pPr>
        <w:ind w:firstLine="480"/>
        <w:rPr>
          <w:bCs/>
        </w:rPr>
      </w:pPr>
      <w:r>
        <w:rPr>
          <w:rFonts w:hint="eastAsia"/>
          <w:bCs/>
        </w:rPr>
        <w:t>上述“一、基金费用的种类”中第4－12项费用，根据有关法规及相应协议规定，按费用实际支出金额列入当期费用，由基金托管人从基金财产中支付。</w:t>
      </w:r>
    </w:p>
    <w:p w14:paraId="21158CB9">
      <w:pPr>
        <w:ind w:firstLine="482"/>
        <w:rPr>
          <w:b/>
          <w:bCs/>
        </w:rPr>
      </w:pPr>
      <w:r>
        <w:rPr>
          <w:rFonts w:hint="eastAsia"/>
          <w:b/>
          <w:bCs/>
        </w:rPr>
        <w:t>三、基金管理人运用本基金财产申购自身管理的其他基金（ETF除外），应当通过直销渠道申购且不得收取申购费、赎回费（按照相关法规、基金招募说明书约定应当收取，并计入基金财产的赎回费用除外）、销售服务费等销售费用。</w:t>
      </w:r>
    </w:p>
    <w:p w14:paraId="38A1A0FC">
      <w:pPr>
        <w:ind w:firstLine="482"/>
        <w:rPr>
          <w:b/>
          <w:bCs/>
        </w:rPr>
      </w:pPr>
      <w:r>
        <w:rPr>
          <w:rFonts w:hint="eastAsia"/>
          <w:b/>
          <w:bCs/>
        </w:rPr>
        <w:t>四、不列入基金费用的项目</w:t>
      </w:r>
    </w:p>
    <w:p w14:paraId="12E36526">
      <w:pPr>
        <w:ind w:firstLine="480"/>
        <w:rPr>
          <w:bCs/>
        </w:rPr>
      </w:pPr>
      <w:r>
        <w:rPr>
          <w:rFonts w:hint="eastAsia"/>
          <w:bCs/>
        </w:rPr>
        <w:t>下列费用不列入基金费用：</w:t>
      </w:r>
    </w:p>
    <w:p w14:paraId="2C1E1708">
      <w:pPr>
        <w:ind w:firstLine="480"/>
        <w:rPr>
          <w:bCs/>
        </w:rPr>
      </w:pPr>
      <w:r>
        <w:rPr>
          <w:rFonts w:hint="eastAsia"/>
          <w:bCs/>
        </w:rPr>
        <w:t>1、基金管理人和基金托管人因未履行或未完全履行义务导致的费用支出或基金财产的损失；</w:t>
      </w:r>
    </w:p>
    <w:p w14:paraId="6932B5EC">
      <w:pPr>
        <w:ind w:firstLine="480"/>
        <w:rPr>
          <w:bCs/>
        </w:rPr>
      </w:pPr>
      <w:r>
        <w:rPr>
          <w:rFonts w:hint="eastAsia"/>
          <w:bCs/>
        </w:rPr>
        <w:t>2、基金管理人和基金托管人处理与基金运作无关的事项发生的费用；</w:t>
      </w:r>
    </w:p>
    <w:p w14:paraId="6C2854BA">
      <w:pPr>
        <w:ind w:firstLine="480"/>
        <w:rPr>
          <w:bCs/>
        </w:rPr>
      </w:pPr>
      <w:r>
        <w:rPr>
          <w:rFonts w:hint="eastAsia"/>
          <w:bCs/>
        </w:rPr>
        <w:t>3、基金合同生效前的相关费用；</w:t>
      </w:r>
    </w:p>
    <w:p w14:paraId="7AAFCE81">
      <w:pPr>
        <w:ind w:firstLine="480"/>
        <w:rPr>
          <w:bCs/>
        </w:rPr>
      </w:pPr>
      <w:r>
        <w:rPr>
          <w:rFonts w:hint="eastAsia"/>
          <w:bCs/>
        </w:rPr>
        <w:t>4、其他根据相关法律法规及中国证监会的有关规定不得列入基金费用的项目。</w:t>
      </w:r>
    </w:p>
    <w:p w14:paraId="1B6714B0">
      <w:pPr>
        <w:ind w:firstLine="482"/>
        <w:rPr>
          <w:b/>
          <w:bCs/>
        </w:rPr>
      </w:pPr>
      <w:r>
        <w:rPr>
          <w:rFonts w:hint="eastAsia"/>
          <w:b/>
          <w:bCs/>
        </w:rPr>
        <w:t>五、实施侧袋机制期间的基金费用</w:t>
      </w:r>
    </w:p>
    <w:p w14:paraId="5F6B7354">
      <w:pPr>
        <w:ind w:firstLine="480"/>
        <w:rPr>
          <w:bCs/>
        </w:rPr>
      </w:pPr>
      <w:r>
        <w:rPr>
          <w:rFonts w:hint="eastAsia"/>
          <w:bCs/>
        </w:rPr>
        <w:t>本基金实施侧袋机制的，与侧袋账户有关的费用可以从侧袋账户中列支，但应待侧袋账户资产变现后方可列支，有关费用可酌情收取或减免，但不得收取管理费，详见招募说明书“侧袋机制”部分的规定。</w:t>
      </w:r>
    </w:p>
    <w:p w14:paraId="33E35565">
      <w:pPr>
        <w:ind w:firstLine="482"/>
        <w:rPr>
          <w:b/>
          <w:bCs/>
        </w:rPr>
      </w:pPr>
      <w:r>
        <w:rPr>
          <w:rFonts w:hint="eastAsia"/>
          <w:b/>
          <w:bCs/>
        </w:rPr>
        <w:t>六、基金税收</w:t>
      </w:r>
    </w:p>
    <w:p w14:paraId="70F78BFD">
      <w:pPr>
        <w:ind w:firstLine="480"/>
        <w:rPr>
          <w:bCs/>
        </w:rPr>
      </w:pPr>
      <w:r>
        <w:rPr>
          <w:rFonts w:hint="eastAsia"/>
          <w:bCs/>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35A95E3">
      <w:pPr>
        <w:pStyle w:val="85"/>
        <w:ind w:firstLine="480"/>
      </w:pPr>
    </w:p>
    <w:bookmarkEnd w:id="55"/>
    <w:p w14:paraId="1F05D8B7">
      <w:pPr>
        <w:pStyle w:val="85"/>
        <w:ind w:firstLine="480"/>
        <w:rPr>
          <w:bCs w:val="0"/>
        </w:rPr>
      </w:pPr>
    </w:p>
    <w:p w14:paraId="78A68B97">
      <w:pPr>
        <w:pStyle w:val="85"/>
        <w:ind w:firstLine="480"/>
      </w:pPr>
      <w:bookmarkStart w:id="56" w:name="_Hlt88827255"/>
      <w:bookmarkEnd w:id="56"/>
      <w:r>
        <w:br w:type="page"/>
      </w:r>
    </w:p>
    <w:p w14:paraId="35E79899">
      <w:pPr>
        <w:pStyle w:val="2"/>
        <w:spacing w:before="312" w:after="312"/>
        <w:rPr>
          <w:kern w:val="0"/>
        </w:rPr>
      </w:pPr>
      <w:bookmarkStart w:id="57" w:name="_Toc218004085"/>
      <w:r>
        <w:rPr>
          <w:rFonts w:hint="eastAsia"/>
          <w:kern w:val="0"/>
        </w:rPr>
        <w:t>第十四部分</w:t>
      </w:r>
      <w:r>
        <w:rPr>
          <w:kern w:val="0"/>
        </w:rPr>
        <w:t xml:space="preserve">  </w:t>
      </w:r>
      <w:r>
        <w:rPr>
          <w:rFonts w:hint="eastAsia"/>
          <w:kern w:val="0"/>
        </w:rPr>
        <w:t>基金的会计与审计</w:t>
      </w:r>
      <w:bookmarkEnd w:id="57"/>
    </w:p>
    <w:p w14:paraId="01D82D6F">
      <w:pPr>
        <w:ind w:firstLine="482"/>
        <w:rPr>
          <w:b/>
          <w:bCs/>
        </w:rPr>
      </w:pPr>
      <w:r>
        <w:rPr>
          <w:rFonts w:hint="eastAsia"/>
          <w:b/>
          <w:bCs/>
        </w:rPr>
        <w:t>一、基金会计政策</w:t>
      </w:r>
    </w:p>
    <w:p w14:paraId="164D56FA">
      <w:pPr>
        <w:ind w:firstLine="480"/>
        <w:rPr>
          <w:bCs/>
        </w:rPr>
      </w:pPr>
      <w:r>
        <w:rPr>
          <w:rFonts w:hint="eastAsia"/>
          <w:bCs/>
        </w:rPr>
        <w:t>1、基金管理人为本基金的基金会计责任方，基金托管人承担复核责任；</w:t>
      </w:r>
    </w:p>
    <w:p w14:paraId="180DECF2">
      <w:pPr>
        <w:ind w:firstLine="480"/>
        <w:rPr>
          <w:bCs/>
        </w:rPr>
      </w:pPr>
      <w:r>
        <w:rPr>
          <w:rFonts w:hint="eastAsia"/>
          <w:bCs/>
        </w:rPr>
        <w:t>2、基金的会计年度为公历年度的1月1日至12月31日；基金首次募集的会计年度按如下原则：如果基金合同生效少于2个月，可以并入下一个会计年度披露；</w:t>
      </w:r>
    </w:p>
    <w:p w14:paraId="1E77BDFE">
      <w:pPr>
        <w:ind w:firstLine="480"/>
        <w:rPr>
          <w:bCs/>
        </w:rPr>
      </w:pPr>
      <w:r>
        <w:rPr>
          <w:rFonts w:hint="eastAsia"/>
          <w:bCs/>
        </w:rPr>
        <w:t>3、基金核算以人民币为记账本位币，以人民币元为记账单位；</w:t>
      </w:r>
    </w:p>
    <w:p w14:paraId="10739964">
      <w:pPr>
        <w:ind w:firstLine="480"/>
        <w:rPr>
          <w:bCs/>
        </w:rPr>
      </w:pPr>
      <w:r>
        <w:rPr>
          <w:rFonts w:hint="eastAsia"/>
          <w:bCs/>
        </w:rPr>
        <w:t>4、会计制度执行国家有关会计制度；</w:t>
      </w:r>
    </w:p>
    <w:p w14:paraId="6A3BB88D">
      <w:pPr>
        <w:ind w:firstLine="480"/>
        <w:rPr>
          <w:bCs/>
        </w:rPr>
      </w:pPr>
      <w:r>
        <w:rPr>
          <w:rFonts w:hint="eastAsia"/>
          <w:bCs/>
        </w:rPr>
        <w:t>5、本基金独立建账、独立核算；</w:t>
      </w:r>
    </w:p>
    <w:p w14:paraId="5B039911">
      <w:pPr>
        <w:ind w:firstLine="480"/>
        <w:rPr>
          <w:bCs/>
        </w:rPr>
      </w:pPr>
      <w:r>
        <w:rPr>
          <w:rFonts w:hint="eastAsia"/>
          <w:bCs/>
        </w:rPr>
        <w:t>6、基金管理人及基金托管人各自保留完整的会计账目、凭证并进行日常的会计核算，按照有关规定编制基金会计报表；</w:t>
      </w:r>
    </w:p>
    <w:p w14:paraId="20209620">
      <w:pPr>
        <w:ind w:firstLine="480"/>
        <w:rPr>
          <w:b/>
          <w:bCs/>
        </w:rPr>
      </w:pPr>
      <w:r>
        <w:rPr>
          <w:rFonts w:hint="eastAsia"/>
          <w:bCs/>
        </w:rPr>
        <w:t>7、基金托管人每月与基金管理人就基金的会计核算、报表编制等进行核对并以书面方式确认。</w:t>
      </w:r>
    </w:p>
    <w:p w14:paraId="5DEF643A">
      <w:pPr>
        <w:ind w:firstLine="482"/>
        <w:rPr>
          <w:b/>
          <w:bCs/>
        </w:rPr>
      </w:pPr>
      <w:r>
        <w:rPr>
          <w:rFonts w:hint="eastAsia"/>
          <w:b/>
          <w:bCs/>
        </w:rPr>
        <w:t>二、基金的年度审计</w:t>
      </w:r>
    </w:p>
    <w:p w14:paraId="3BC6578A">
      <w:pPr>
        <w:ind w:firstLine="480"/>
        <w:rPr>
          <w:bCs/>
        </w:rPr>
      </w:pPr>
      <w:r>
        <w:rPr>
          <w:rFonts w:hint="eastAsia"/>
          <w:bCs/>
        </w:rPr>
        <w:t>1、基金管理人聘请与基金管理人、基金托管人相互独立的符合《中华人民共和国证券法》规定的会计师事务所及其注册会计师对本基金的年度财务报表进行审计。</w:t>
      </w:r>
    </w:p>
    <w:p w14:paraId="32484CB8">
      <w:pPr>
        <w:ind w:firstLine="480"/>
        <w:rPr>
          <w:bCs/>
        </w:rPr>
      </w:pPr>
      <w:r>
        <w:rPr>
          <w:rFonts w:hint="eastAsia"/>
          <w:bCs/>
        </w:rPr>
        <w:t>2、会计师事务所更换经办注册会计师，应事先征得基金管理人同意。</w:t>
      </w:r>
    </w:p>
    <w:p w14:paraId="004A747B">
      <w:pPr>
        <w:ind w:firstLine="480"/>
        <w:rPr>
          <w:bCs/>
        </w:rPr>
      </w:pPr>
      <w:r>
        <w:rPr>
          <w:rFonts w:hint="eastAsia"/>
          <w:bCs/>
        </w:rPr>
        <w:t>3、基金管理人认为有充足理由更换会计师事务所，须通报基金托管人。更换会计师事务所需按照《信息披露办法》的有关规定在规定媒介公告。</w:t>
      </w:r>
    </w:p>
    <w:p w14:paraId="4229C765">
      <w:pPr>
        <w:ind w:firstLine="480"/>
        <w:rPr>
          <w:bCs/>
          <w:szCs w:val="20"/>
        </w:rPr>
      </w:pPr>
    </w:p>
    <w:p w14:paraId="107573A2">
      <w:pPr>
        <w:pStyle w:val="85"/>
        <w:ind w:firstLine="480"/>
      </w:pPr>
    </w:p>
    <w:p w14:paraId="1CA66F90">
      <w:pPr>
        <w:pStyle w:val="2"/>
        <w:spacing w:before="312" w:after="312"/>
      </w:pPr>
      <w:r>
        <w:rPr>
          <w:kern w:val="0"/>
        </w:rPr>
        <w:br w:type="page"/>
      </w:r>
      <w:bookmarkStart w:id="58" w:name="_Toc218004086"/>
      <w:r>
        <w:rPr>
          <w:rFonts w:hint="eastAsia"/>
        </w:rPr>
        <w:t>第十五部分</w:t>
      </w:r>
      <w:r>
        <w:t xml:space="preserve">  </w:t>
      </w:r>
      <w:r>
        <w:rPr>
          <w:rFonts w:hint="eastAsia"/>
        </w:rPr>
        <w:t>基金的信息披露</w:t>
      </w:r>
      <w:bookmarkEnd w:id="58"/>
    </w:p>
    <w:p w14:paraId="56C9BF65">
      <w:pPr>
        <w:ind w:firstLine="482"/>
        <w:rPr>
          <w:b/>
          <w:bCs/>
        </w:rPr>
      </w:pPr>
      <w:r>
        <w:rPr>
          <w:rFonts w:hint="eastAsia"/>
          <w:b/>
          <w:bCs/>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093E3BE4">
      <w:pPr>
        <w:ind w:firstLine="482"/>
        <w:rPr>
          <w:b/>
          <w:bCs/>
        </w:rPr>
      </w:pPr>
      <w:r>
        <w:rPr>
          <w:b/>
          <w:bCs/>
        </w:rPr>
        <w:t>二、信息披露义务人</w:t>
      </w:r>
    </w:p>
    <w:p w14:paraId="6CA5EDDE">
      <w:pPr>
        <w:ind w:firstLine="480"/>
        <w:rPr>
          <w:bCs/>
        </w:rPr>
      </w:pPr>
      <w:r>
        <w:rPr>
          <w:rFonts w:hint="eastAsia"/>
          <w:bCs/>
        </w:rPr>
        <w:t>本基金信息披露义务人包括基金管理人、基金托管人、召集基金份额持有人大会的基金份额持有人及其日常机构（如有）等法律、行政法规和中国证监会规定的自然人、法人和非法人组织。</w:t>
      </w:r>
    </w:p>
    <w:p w14:paraId="513DB25E">
      <w:pPr>
        <w:ind w:firstLine="480"/>
        <w:rPr>
          <w:bCs/>
        </w:rPr>
      </w:pPr>
      <w:r>
        <w:rPr>
          <w:rFonts w:hint="eastAsia"/>
          <w:bCs/>
        </w:rPr>
        <w:t>本基金信息披露义务人以保护基金份额持有人利益为根本出发点，按照法律法规和中国证监会的规定披露基金信息，并保证所披露信息的真实性、准确性、完整性、及时性、简明性和易得性。</w:t>
      </w:r>
    </w:p>
    <w:p w14:paraId="5EE6A197">
      <w:pPr>
        <w:ind w:firstLine="480"/>
        <w:rPr>
          <w:bCs/>
        </w:rPr>
      </w:pPr>
      <w:r>
        <w:rPr>
          <w:rFonts w:hint="eastAsia"/>
          <w:bCs/>
        </w:rPr>
        <w:t>本基金信息披露义务人应当在中国证监会规定时间内，将应予披露的基金信息通过符合中国证监会规定条件的全国性报刊（以下简称“规定报刊”）及《信息披露办法》规定的互联网网站（以下简称“规定网站”）等规定媒介披露，并保证基金投资者能够按照基金合同约定的时间和方式查阅或者复制公开披露的信息资料。</w:t>
      </w:r>
    </w:p>
    <w:p w14:paraId="6A0A917D">
      <w:pPr>
        <w:ind w:firstLine="480"/>
        <w:rPr>
          <w:bCs/>
        </w:rPr>
      </w:pPr>
      <w:r>
        <w:rPr>
          <w:bCs/>
        </w:rPr>
        <w:t>三、本基金信息披露义务人承诺公开披露的基金信息，不得有下列行为：</w:t>
      </w:r>
    </w:p>
    <w:p w14:paraId="387DEC87">
      <w:pPr>
        <w:ind w:firstLine="480"/>
        <w:rPr>
          <w:bCs/>
        </w:rPr>
      </w:pPr>
      <w:r>
        <w:rPr>
          <w:rFonts w:hint="eastAsia"/>
          <w:bCs/>
        </w:rPr>
        <w:t>1、虚假记载、误导性陈述或者重大遗漏；</w:t>
      </w:r>
    </w:p>
    <w:p w14:paraId="67EEA789">
      <w:pPr>
        <w:ind w:firstLine="480"/>
        <w:rPr>
          <w:bCs/>
        </w:rPr>
      </w:pPr>
      <w:r>
        <w:rPr>
          <w:rFonts w:hint="eastAsia"/>
          <w:bCs/>
        </w:rPr>
        <w:t>2、对证券、期货投资业绩进行预测；</w:t>
      </w:r>
    </w:p>
    <w:p w14:paraId="672477B4">
      <w:pPr>
        <w:ind w:firstLine="480"/>
        <w:rPr>
          <w:bCs/>
        </w:rPr>
      </w:pPr>
      <w:r>
        <w:rPr>
          <w:rFonts w:hint="eastAsia"/>
          <w:bCs/>
        </w:rPr>
        <w:t>3、违规承诺收益或者承担损失；</w:t>
      </w:r>
    </w:p>
    <w:p w14:paraId="589DD6AE">
      <w:pPr>
        <w:ind w:firstLine="480"/>
        <w:rPr>
          <w:bCs/>
        </w:rPr>
      </w:pPr>
      <w:r>
        <w:rPr>
          <w:rFonts w:hint="eastAsia"/>
          <w:bCs/>
        </w:rPr>
        <w:t>4、诋毁其他基金管理人、基金托管人或者基金销售机构；</w:t>
      </w:r>
    </w:p>
    <w:p w14:paraId="67BCF1C2">
      <w:pPr>
        <w:ind w:firstLine="480"/>
        <w:rPr>
          <w:bCs/>
        </w:rPr>
      </w:pPr>
      <w:r>
        <w:rPr>
          <w:rFonts w:hint="eastAsia"/>
          <w:bCs/>
        </w:rPr>
        <w:t>5、登载任何自然人、法人和非法人组织的祝贺性、恭维性或推荐性的文字；</w:t>
      </w:r>
    </w:p>
    <w:p w14:paraId="0111114C">
      <w:pPr>
        <w:ind w:firstLine="480"/>
        <w:rPr>
          <w:bCs/>
        </w:rPr>
      </w:pPr>
      <w:r>
        <w:rPr>
          <w:rFonts w:hint="eastAsia"/>
          <w:bCs/>
        </w:rPr>
        <w:t>6、中国证监会禁止的其他行为。</w:t>
      </w:r>
    </w:p>
    <w:p w14:paraId="6995EEAA">
      <w:pPr>
        <w:ind w:firstLine="482"/>
        <w:rPr>
          <w:b/>
          <w:bCs/>
        </w:rPr>
      </w:pPr>
      <w:r>
        <w:rPr>
          <w:rFonts w:hint="eastAsia"/>
          <w:b/>
          <w:bCs/>
        </w:rPr>
        <w:t>四、本基金公开披露的信息应采用中文文本。如同时采用外文文本的，基金信息披露义务人应保证不同文本的内容一致。不同文本之间发生歧义的，以中文文本为准。</w:t>
      </w:r>
    </w:p>
    <w:p w14:paraId="2281C1F1">
      <w:pPr>
        <w:ind w:firstLine="480"/>
        <w:rPr>
          <w:bCs/>
        </w:rPr>
      </w:pPr>
      <w:r>
        <w:rPr>
          <w:bCs/>
        </w:rPr>
        <w:t>本基金公开披露的信息采用阿拉伯数字；除特别说明外，货币单位为人民币元。</w:t>
      </w:r>
    </w:p>
    <w:p w14:paraId="647CE953">
      <w:pPr>
        <w:ind w:firstLine="482"/>
        <w:rPr>
          <w:b/>
          <w:bCs/>
        </w:rPr>
      </w:pPr>
      <w:r>
        <w:rPr>
          <w:b/>
          <w:bCs/>
        </w:rPr>
        <w:t>五、公开披露的基金信息</w:t>
      </w:r>
    </w:p>
    <w:p w14:paraId="15A4984E">
      <w:pPr>
        <w:ind w:firstLine="480"/>
        <w:rPr>
          <w:bCs/>
        </w:rPr>
      </w:pPr>
      <w:r>
        <w:rPr>
          <w:rFonts w:hint="eastAsia"/>
          <w:bCs/>
        </w:rPr>
        <w:t>公开披露的基金信息包括：</w:t>
      </w:r>
    </w:p>
    <w:p w14:paraId="05C8DE0B">
      <w:pPr>
        <w:ind w:firstLine="480"/>
        <w:rPr>
          <w:bCs/>
        </w:rPr>
      </w:pPr>
      <w:r>
        <w:rPr>
          <w:rFonts w:hint="eastAsia"/>
          <w:bCs/>
        </w:rPr>
        <w:t>（一）基金招募说明书、基金合同、基金托管协议、基金产品资料概要</w:t>
      </w:r>
    </w:p>
    <w:p w14:paraId="373B85E1">
      <w:pPr>
        <w:ind w:firstLine="480"/>
        <w:rPr>
          <w:bCs/>
        </w:rPr>
      </w:pPr>
      <w:r>
        <w:rPr>
          <w:rFonts w:hint="eastAsia"/>
          <w:bCs/>
        </w:rPr>
        <w:t>1、基金合同是界定基金合同当事人的各项权利、义务关系，明确基金份额持有人大会召开的规则及具体程序，说明基金产品的特性等涉及基金投资者重大利益的事项的法律文件。</w:t>
      </w:r>
    </w:p>
    <w:p w14:paraId="5201214E">
      <w:pPr>
        <w:ind w:firstLine="480"/>
        <w:rPr>
          <w:bCs/>
        </w:rPr>
      </w:pPr>
      <w:r>
        <w:rPr>
          <w:rFonts w:hint="eastAsia"/>
          <w:bCs/>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C443CB7">
      <w:pPr>
        <w:ind w:firstLine="480"/>
        <w:rPr>
          <w:bCs/>
        </w:rPr>
      </w:pPr>
      <w:r>
        <w:rPr>
          <w:rFonts w:hint="eastAsia"/>
          <w:bCs/>
        </w:rPr>
        <w:t>3、基金托管协议是界定基金托管人和基金管理人在基金财产保管及基金运作监督等活动中的权利、义务关系的法律文件。</w:t>
      </w:r>
    </w:p>
    <w:p w14:paraId="22DB5C5F">
      <w:pPr>
        <w:ind w:firstLine="48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9B66871">
      <w:pPr>
        <w:ind w:firstLine="480"/>
        <w:rPr>
          <w:bCs/>
        </w:rPr>
      </w:pPr>
      <w:r>
        <w:rPr>
          <w:rFonts w:hint="eastAsia"/>
          <w:bCs/>
        </w:rPr>
        <w:t>基金募集申请经中国证监会注册后，基金管理人在基金份额发售的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7A24FB3A">
      <w:pPr>
        <w:ind w:firstLine="480"/>
        <w:rPr>
          <w:bCs/>
        </w:rPr>
      </w:pPr>
      <w:r>
        <w:rPr>
          <w:rFonts w:hint="eastAsia"/>
          <w:bCs/>
        </w:rPr>
        <w:t>（二）基金份额发售公告</w:t>
      </w:r>
    </w:p>
    <w:p w14:paraId="5D165EE1">
      <w:pPr>
        <w:ind w:firstLine="480"/>
        <w:rPr>
          <w:bCs/>
        </w:rPr>
      </w:pPr>
      <w:r>
        <w:rPr>
          <w:rFonts w:hint="eastAsia"/>
          <w:bCs/>
        </w:rPr>
        <w:t>基金管理人应当就基金份额发售的具体事宜编制基金份额发售公告，并在披露招募说明书的当日登载于规定媒介上。</w:t>
      </w:r>
    </w:p>
    <w:p w14:paraId="1DE97411">
      <w:pPr>
        <w:ind w:firstLine="480"/>
        <w:rPr>
          <w:bCs/>
        </w:rPr>
      </w:pPr>
      <w:r>
        <w:rPr>
          <w:rFonts w:hint="eastAsia"/>
          <w:bCs/>
        </w:rPr>
        <w:t>（三）基金合同生效公告</w:t>
      </w:r>
    </w:p>
    <w:p w14:paraId="4C57B08B">
      <w:pPr>
        <w:ind w:firstLine="480"/>
        <w:rPr>
          <w:bCs/>
        </w:rPr>
      </w:pPr>
      <w:r>
        <w:rPr>
          <w:rFonts w:hint="eastAsia"/>
          <w:bCs/>
        </w:rPr>
        <w:t>基金管理人应当在收到中国证监会确认文件的次日在规定媒介上登载基金合同生效公告。</w:t>
      </w:r>
    </w:p>
    <w:p w14:paraId="6AD15537">
      <w:pPr>
        <w:ind w:firstLine="480"/>
        <w:rPr>
          <w:bCs/>
        </w:rPr>
      </w:pPr>
      <w:r>
        <w:rPr>
          <w:rFonts w:hint="eastAsia"/>
          <w:bCs/>
        </w:rPr>
        <w:t>（四）基金净值信息</w:t>
      </w:r>
    </w:p>
    <w:p w14:paraId="36998E34">
      <w:pPr>
        <w:ind w:firstLine="480"/>
        <w:rPr>
          <w:bCs/>
        </w:rPr>
      </w:pPr>
      <w:r>
        <w:rPr>
          <w:rFonts w:hint="eastAsia"/>
          <w:bCs/>
        </w:rPr>
        <w:t>基金合同生效后，在开始办理基金份额申购或者赎回前，基金管理人应当至少每周在规定网站披露一次各类基金份额净值和各类基金份额累计净值。</w:t>
      </w:r>
    </w:p>
    <w:p w14:paraId="4D625F45">
      <w:pPr>
        <w:ind w:firstLine="480"/>
        <w:rPr>
          <w:bCs/>
        </w:rPr>
      </w:pPr>
      <w:r>
        <w:rPr>
          <w:rFonts w:hint="eastAsia"/>
          <w:bCs/>
        </w:rPr>
        <w:t>在开始办理基金份额申购或者赎回后，基金管理人应当在不晚于每个开放日的次日，通过规定网站、基金销售机构网站或者营业网点披露开放日的各类基金份额净值和各类基金份额累计净值。</w:t>
      </w:r>
    </w:p>
    <w:p w14:paraId="659EF79F">
      <w:pPr>
        <w:ind w:firstLine="480"/>
        <w:rPr>
          <w:bCs/>
        </w:rPr>
      </w:pPr>
      <w:r>
        <w:rPr>
          <w:rFonts w:hint="eastAsia"/>
          <w:bCs/>
        </w:rPr>
        <w:t>基金管理人应当在不晚于半年度和年度最后一日的次日，在规定网站披露半年度和年度最后一日的各类基金份额净值和各类基金份额累计净值。</w:t>
      </w:r>
    </w:p>
    <w:p w14:paraId="59A69F1C">
      <w:pPr>
        <w:ind w:firstLine="480"/>
        <w:rPr>
          <w:bCs/>
        </w:rPr>
      </w:pPr>
      <w:r>
        <w:rPr>
          <w:rFonts w:hint="eastAsia"/>
          <w:bCs/>
        </w:rPr>
        <w:t>（五）基金份额申购、赎回价格</w:t>
      </w:r>
    </w:p>
    <w:p w14:paraId="5613CF7F">
      <w:pPr>
        <w:ind w:firstLine="480"/>
        <w:rPr>
          <w:bCs/>
        </w:rPr>
      </w:pPr>
      <w:r>
        <w:rPr>
          <w:rFonts w:hint="eastAsia"/>
          <w:bCs/>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390BE96">
      <w:pPr>
        <w:ind w:firstLine="480"/>
        <w:rPr>
          <w:bCs/>
        </w:rPr>
      </w:pPr>
      <w:r>
        <w:rPr>
          <w:rFonts w:hint="eastAsia"/>
          <w:bCs/>
        </w:rPr>
        <w:t>（六）基金定期报告，包括基金年度报告、基金中期报告和基金季度报告</w:t>
      </w:r>
    </w:p>
    <w:p w14:paraId="7BC9400E">
      <w:pPr>
        <w:ind w:firstLine="480"/>
        <w:rPr>
          <w:bCs/>
        </w:rPr>
      </w:pPr>
      <w:r>
        <w:rPr>
          <w:rFonts w:hint="eastAsia"/>
          <w:bCs/>
        </w:rPr>
        <w:t>基金管理人应当在每年结束之日起三个月内，编制完成基金年度报告，将年度报告登载在规定网站上，并将年度报告提示性公告登载在规定报刊上。基金年度报告中的财务会计报告应当经符合《中华人民共和国证券法》规定的会计师事务所审计。</w:t>
      </w:r>
    </w:p>
    <w:p w14:paraId="4301B21E">
      <w:pPr>
        <w:ind w:firstLine="480"/>
        <w:rPr>
          <w:bCs/>
        </w:rPr>
      </w:pPr>
      <w:r>
        <w:rPr>
          <w:rFonts w:hint="eastAsia"/>
          <w:bCs/>
        </w:rPr>
        <w:t>基金管理人应当在上半年结束之日起两个月内，编制完成基金中期报告，将中期报告登载在规定网站上，并将中期报告提示性公告登载在规定报刊上。</w:t>
      </w:r>
    </w:p>
    <w:p w14:paraId="504D4FAD">
      <w:pPr>
        <w:ind w:firstLine="480"/>
        <w:rPr>
          <w:bCs/>
        </w:rPr>
      </w:pPr>
      <w:r>
        <w:rPr>
          <w:rFonts w:hint="eastAsia"/>
          <w:bCs/>
        </w:rPr>
        <w:t>基金管理人应当在季度结束之日起15个工作日内，编制完成基金季度报告，将季度报告登载在规定网站上，并将季度报告提示性公告登载在规定报刊上。</w:t>
      </w:r>
    </w:p>
    <w:p w14:paraId="3A86117F">
      <w:pPr>
        <w:ind w:firstLine="480"/>
        <w:rPr>
          <w:bCs/>
        </w:rPr>
      </w:pPr>
      <w:r>
        <w:rPr>
          <w:rFonts w:hint="eastAsia"/>
          <w:bCs/>
        </w:rPr>
        <w:t>基金合同生效不足2个月的，基金管理人可以不编制当期季度报告、中期报告或者年度报告。</w:t>
      </w:r>
    </w:p>
    <w:p w14:paraId="73EB31F5">
      <w:pPr>
        <w:ind w:firstLine="480"/>
        <w:rPr>
          <w:bCs/>
        </w:rPr>
      </w:pPr>
      <w:r>
        <w:rPr>
          <w:rFonts w:hint="eastAsia"/>
          <w:bCs/>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74A832C">
      <w:pPr>
        <w:ind w:firstLine="480"/>
        <w:rPr>
          <w:bCs/>
        </w:rPr>
      </w:pPr>
      <w:r>
        <w:rPr>
          <w:rFonts w:hint="eastAsia"/>
          <w:bCs/>
        </w:rPr>
        <w:t>基金管理人应当在基金年度报告和中期报告中披露基金组合资产情况及其流动性风险分析等。</w:t>
      </w:r>
    </w:p>
    <w:p w14:paraId="1ECFFD9B">
      <w:pPr>
        <w:ind w:firstLine="480"/>
        <w:rPr>
          <w:bCs/>
        </w:rPr>
      </w:pPr>
      <w:r>
        <w:rPr>
          <w:rFonts w:hint="eastAsia"/>
          <w:bCs/>
        </w:rPr>
        <w:t>（七）临时报告</w:t>
      </w:r>
    </w:p>
    <w:p w14:paraId="5B04E8F1">
      <w:pPr>
        <w:ind w:firstLine="480"/>
        <w:rPr>
          <w:bCs/>
        </w:rPr>
      </w:pPr>
      <w:r>
        <w:rPr>
          <w:rFonts w:hint="eastAsia"/>
          <w:bCs/>
        </w:rPr>
        <w:t>本基金发生重大事件，有关信息披露义务人应当在2日内编制临时报告书，并登载在规定报刊和规定网站上。</w:t>
      </w:r>
    </w:p>
    <w:p w14:paraId="07161E89">
      <w:pPr>
        <w:ind w:firstLine="480"/>
        <w:rPr>
          <w:bCs/>
        </w:rPr>
      </w:pPr>
      <w:r>
        <w:rPr>
          <w:rFonts w:hint="eastAsia"/>
          <w:bCs/>
        </w:rPr>
        <w:t>前款所称重大事件，是指可能对基金份额持有人权益或者基金份额的价格产生重大影响的下列事件：</w:t>
      </w:r>
    </w:p>
    <w:p w14:paraId="042A262A">
      <w:pPr>
        <w:ind w:firstLine="480"/>
        <w:rPr>
          <w:bCs/>
        </w:rPr>
      </w:pPr>
      <w:r>
        <w:rPr>
          <w:rFonts w:hint="eastAsia"/>
          <w:bCs/>
        </w:rPr>
        <w:t>1、基金份额持有人大会的召开及决定的事项；</w:t>
      </w:r>
    </w:p>
    <w:p w14:paraId="27B19A4A">
      <w:pPr>
        <w:ind w:firstLine="480"/>
        <w:rPr>
          <w:bCs/>
        </w:rPr>
      </w:pPr>
      <w:r>
        <w:rPr>
          <w:rFonts w:hint="eastAsia"/>
          <w:bCs/>
        </w:rPr>
        <w:t>2、基金合同终止、基金清算；</w:t>
      </w:r>
    </w:p>
    <w:p w14:paraId="6861F1EC">
      <w:pPr>
        <w:ind w:firstLine="480"/>
        <w:rPr>
          <w:bCs/>
        </w:rPr>
      </w:pPr>
      <w:r>
        <w:rPr>
          <w:rFonts w:hint="eastAsia"/>
          <w:bCs/>
        </w:rPr>
        <w:t>3、转换基金运作方式、基金合并；</w:t>
      </w:r>
    </w:p>
    <w:p w14:paraId="1346CE5D">
      <w:pPr>
        <w:ind w:firstLine="480"/>
        <w:rPr>
          <w:bCs/>
        </w:rPr>
      </w:pPr>
      <w:r>
        <w:rPr>
          <w:rFonts w:hint="eastAsia"/>
          <w:bCs/>
        </w:rPr>
        <w:t>4、更换基金管理人、基金托管人、基金份额登记机构，基金改聘会计师事务所；</w:t>
      </w:r>
    </w:p>
    <w:p w14:paraId="0AABF42A">
      <w:pPr>
        <w:ind w:firstLine="480"/>
        <w:rPr>
          <w:bCs/>
        </w:rPr>
      </w:pPr>
      <w:r>
        <w:rPr>
          <w:rFonts w:hint="eastAsia"/>
          <w:bCs/>
        </w:rPr>
        <w:t>5、基金管理人委托基金服务机构代为办理基金的份额登记、核算、估值等事项，基金托管人委托基金服务机构代为办理基金的核算、估值、复核等事项；</w:t>
      </w:r>
    </w:p>
    <w:p w14:paraId="54A46296">
      <w:pPr>
        <w:ind w:firstLine="480"/>
        <w:rPr>
          <w:bCs/>
        </w:rPr>
      </w:pPr>
      <w:r>
        <w:rPr>
          <w:rFonts w:hint="eastAsia"/>
          <w:bCs/>
        </w:rPr>
        <w:t>6、基金管理人、基金托管人的法定名称、住所发生变更；</w:t>
      </w:r>
    </w:p>
    <w:p w14:paraId="75618216">
      <w:pPr>
        <w:ind w:firstLine="480"/>
        <w:rPr>
          <w:bCs/>
        </w:rPr>
      </w:pPr>
      <w:r>
        <w:rPr>
          <w:rFonts w:hint="eastAsia"/>
          <w:bCs/>
        </w:rPr>
        <w:t>7、基金管理人变更持有百分之五以上股权的股东、基金管理人的实际控制人变更；</w:t>
      </w:r>
    </w:p>
    <w:p w14:paraId="4D611E3F">
      <w:pPr>
        <w:ind w:firstLine="480"/>
        <w:rPr>
          <w:bCs/>
        </w:rPr>
      </w:pPr>
      <w:r>
        <w:rPr>
          <w:rFonts w:hint="eastAsia"/>
          <w:bCs/>
        </w:rPr>
        <w:t>8、基金募集期延长或提前结束募集；</w:t>
      </w:r>
    </w:p>
    <w:p w14:paraId="319CCBCE">
      <w:pPr>
        <w:ind w:firstLine="480"/>
        <w:rPr>
          <w:bCs/>
        </w:rPr>
      </w:pPr>
      <w:r>
        <w:rPr>
          <w:rFonts w:hint="eastAsia"/>
          <w:bCs/>
        </w:rPr>
        <w:t>9、基金管理人的高级管理人员、基金经理和基金托管人专门基金托管部门负责人发生变动；</w:t>
      </w:r>
    </w:p>
    <w:p w14:paraId="53573BC8">
      <w:pPr>
        <w:ind w:firstLine="480"/>
        <w:rPr>
          <w:bCs/>
        </w:rPr>
      </w:pPr>
      <w:r>
        <w:rPr>
          <w:rFonts w:hint="eastAsia"/>
          <w:bCs/>
        </w:rPr>
        <w:t>10、基金管理人的董事在最近12个月内变更超过百分之五十，基金管理人、基金托管人专门基金托管部门的主要业务人员在最近12个月内变动超过百分之三十；</w:t>
      </w:r>
    </w:p>
    <w:p w14:paraId="6F1BAFEB">
      <w:pPr>
        <w:ind w:firstLine="480"/>
        <w:rPr>
          <w:bCs/>
        </w:rPr>
      </w:pPr>
      <w:r>
        <w:rPr>
          <w:rFonts w:hint="eastAsia"/>
          <w:bCs/>
        </w:rPr>
        <w:t>11、涉及基金管理业务、基金财产、基金托管业务的诉讼或仲裁；</w:t>
      </w:r>
    </w:p>
    <w:p w14:paraId="5F4C826E">
      <w:pPr>
        <w:ind w:firstLine="480"/>
        <w:rPr>
          <w:bCs/>
        </w:rPr>
      </w:pPr>
      <w:r>
        <w:rPr>
          <w:rFonts w:hint="eastAsia"/>
          <w:bCs/>
        </w:rPr>
        <w:t>12、基金管理人或其高级管理人员、基金经理因基金管理业务相关行为受到重大行政处罚、刑事处罚，基金托管人或其专门基金托管部门负责人因基金托管业务相关行为受到重大行政处罚、刑事处罚；</w:t>
      </w:r>
    </w:p>
    <w:p w14:paraId="74A37078">
      <w:pPr>
        <w:ind w:firstLine="480"/>
        <w:rPr>
          <w:bCs/>
        </w:rPr>
      </w:pPr>
      <w:r>
        <w:rPr>
          <w:rFonts w:hint="eastAsia"/>
          <w:bCs/>
        </w:rPr>
        <w:t>13、基金管理人运用基金财产买卖基金管理人、基金托管人及其控股股东、实际控制人或者与其有重大利害关系的公司发行的证券或者承销期内承销的证券，或者从事其他重大关联交易事项，但中国证监会另有规定的情形除外；</w:t>
      </w:r>
    </w:p>
    <w:p w14:paraId="793BFFDF">
      <w:pPr>
        <w:ind w:firstLine="480"/>
        <w:rPr>
          <w:bCs/>
        </w:rPr>
      </w:pPr>
      <w:r>
        <w:rPr>
          <w:rFonts w:hint="eastAsia"/>
          <w:bCs/>
        </w:rPr>
        <w:t>14、基金收益分配事项；</w:t>
      </w:r>
    </w:p>
    <w:p w14:paraId="3E45B07D">
      <w:pPr>
        <w:ind w:firstLine="480"/>
        <w:rPr>
          <w:bCs/>
        </w:rPr>
      </w:pPr>
      <w:r>
        <w:rPr>
          <w:rFonts w:hint="eastAsia"/>
          <w:bCs/>
        </w:rPr>
        <w:t>15、管理费、托管费、销售服务费、申购费、赎回费等费用计提标准、计提方式和费率发生变更；</w:t>
      </w:r>
    </w:p>
    <w:p w14:paraId="37CE4507">
      <w:pPr>
        <w:ind w:firstLine="480"/>
        <w:rPr>
          <w:bCs/>
        </w:rPr>
      </w:pPr>
      <w:r>
        <w:rPr>
          <w:rFonts w:hint="eastAsia"/>
          <w:bCs/>
        </w:rPr>
        <w:t>16、任一类基金份额净值估值错误达该类基金份额净值百分之零点五；</w:t>
      </w:r>
    </w:p>
    <w:p w14:paraId="2E553D7D">
      <w:pPr>
        <w:ind w:firstLine="480"/>
        <w:rPr>
          <w:bCs/>
        </w:rPr>
      </w:pPr>
      <w:r>
        <w:rPr>
          <w:rFonts w:hint="eastAsia"/>
          <w:bCs/>
        </w:rPr>
        <w:t>17、本基金开始办理申购、赎回；</w:t>
      </w:r>
    </w:p>
    <w:p w14:paraId="31737F9E">
      <w:pPr>
        <w:ind w:firstLine="480"/>
        <w:rPr>
          <w:bCs/>
        </w:rPr>
      </w:pPr>
      <w:r>
        <w:rPr>
          <w:rFonts w:hint="eastAsia"/>
          <w:bCs/>
        </w:rPr>
        <w:t>18、本基金发生巨额赎回并延期办理；</w:t>
      </w:r>
    </w:p>
    <w:p w14:paraId="1433F137">
      <w:pPr>
        <w:ind w:firstLine="480"/>
        <w:rPr>
          <w:bCs/>
        </w:rPr>
      </w:pPr>
      <w:r>
        <w:rPr>
          <w:rFonts w:hint="eastAsia"/>
          <w:bCs/>
        </w:rPr>
        <w:t>19、本基金连续发生巨额赎回并暂停接受赎回申请或延缓支付赎回款项；</w:t>
      </w:r>
    </w:p>
    <w:p w14:paraId="216E99D9">
      <w:pPr>
        <w:ind w:firstLine="480"/>
        <w:rPr>
          <w:bCs/>
        </w:rPr>
      </w:pPr>
      <w:r>
        <w:rPr>
          <w:rFonts w:hint="eastAsia"/>
          <w:bCs/>
        </w:rPr>
        <w:t>20、本基金暂停接受申购、赎回申请或重新接受申购、赎回申请；</w:t>
      </w:r>
    </w:p>
    <w:p w14:paraId="21356444">
      <w:pPr>
        <w:ind w:firstLine="480"/>
        <w:rPr>
          <w:bCs/>
        </w:rPr>
      </w:pPr>
      <w:r>
        <w:rPr>
          <w:rFonts w:hint="eastAsia"/>
          <w:bCs/>
        </w:rPr>
        <w:t>21、调整基金份额类别设置；</w:t>
      </w:r>
    </w:p>
    <w:p w14:paraId="7FC67125">
      <w:pPr>
        <w:ind w:firstLine="480"/>
        <w:rPr>
          <w:bCs/>
        </w:rPr>
      </w:pPr>
      <w:r>
        <w:rPr>
          <w:rFonts w:hint="eastAsia"/>
          <w:bCs/>
        </w:rPr>
        <w:t>22、本基金推出新业务或服务；</w:t>
      </w:r>
    </w:p>
    <w:p w14:paraId="78CA5293">
      <w:pPr>
        <w:ind w:firstLine="480"/>
        <w:rPr>
          <w:bCs/>
        </w:rPr>
      </w:pPr>
      <w:r>
        <w:rPr>
          <w:rFonts w:hint="eastAsia"/>
          <w:bCs/>
        </w:rPr>
        <w:t>23、本基金发生涉及基金申购、赎回事项调整或潜在影响投资者赎回等重大事项时；</w:t>
      </w:r>
    </w:p>
    <w:p w14:paraId="6BED9827">
      <w:pPr>
        <w:ind w:firstLine="480"/>
        <w:rPr>
          <w:bCs/>
        </w:rPr>
      </w:pPr>
      <w:r>
        <w:rPr>
          <w:rFonts w:hint="eastAsia"/>
          <w:bCs/>
        </w:rPr>
        <w:t>24、基金管理人采用摆动定价机制进行估值；</w:t>
      </w:r>
    </w:p>
    <w:p w14:paraId="445760EF">
      <w:pPr>
        <w:ind w:firstLine="480"/>
        <w:rPr>
          <w:bCs/>
        </w:rPr>
      </w:pPr>
      <w:r>
        <w:rPr>
          <w:rFonts w:hint="eastAsia"/>
          <w:bCs/>
        </w:rPr>
        <w:t>25、基金信息披露义务人认为可能对基金份额持有人权益或者基金份额的价格产生重大影响的其他事项或中国证监会和基金合同规定的其他事项。</w:t>
      </w:r>
    </w:p>
    <w:p w14:paraId="29859E42">
      <w:pPr>
        <w:ind w:firstLine="480"/>
        <w:rPr>
          <w:bCs/>
        </w:rPr>
      </w:pPr>
      <w:r>
        <w:rPr>
          <w:rFonts w:hint="eastAsia"/>
          <w:bCs/>
        </w:rPr>
        <w:t>（八）澄清公告</w:t>
      </w:r>
    </w:p>
    <w:p w14:paraId="6B50D5CE">
      <w:pPr>
        <w:ind w:firstLine="480"/>
        <w:rPr>
          <w:bCs/>
        </w:rPr>
      </w:pPr>
      <w:r>
        <w:rPr>
          <w:rFonts w:hint="eastAsia"/>
          <w:bCs/>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7312C2A">
      <w:pPr>
        <w:ind w:firstLine="480"/>
        <w:rPr>
          <w:bCs/>
        </w:rPr>
      </w:pPr>
      <w:r>
        <w:rPr>
          <w:rFonts w:hint="eastAsia"/>
          <w:bCs/>
        </w:rPr>
        <w:t>（九）清算报告</w:t>
      </w:r>
    </w:p>
    <w:p w14:paraId="4CB4AC3F">
      <w:pPr>
        <w:ind w:firstLine="48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3B698DE">
      <w:pPr>
        <w:ind w:firstLine="480"/>
        <w:rPr>
          <w:bCs/>
        </w:rPr>
      </w:pPr>
      <w:r>
        <w:rPr>
          <w:rFonts w:hint="eastAsia"/>
          <w:bCs/>
        </w:rPr>
        <w:t>（十）基金份额持有人大会决议</w:t>
      </w:r>
    </w:p>
    <w:p w14:paraId="54858E0B">
      <w:pPr>
        <w:ind w:firstLine="480"/>
        <w:rPr>
          <w:bCs/>
        </w:rPr>
      </w:pPr>
      <w:r>
        <w:rPr>
          <w:rFonts w:hint="eastAsia"/>
          <w:bCs/>
        </w:rPr>
        <w:t>基金份额持有人大会决定的事项，应当依法报中国证监会备案，并予以公告。</w:t>
      </w:r>
    </w:p>
    <w:p w14:paraId="331563A4">
      <w:pPr>
        <w:ind w:firstLine="480"/>
        <w:rPr>
          <w:bCs/>
        </w:rPr>
      </w:pPr>
      <w:r>
        <w:rPr>
          <w:rFonts w:hint="eastAsia"/>
          <w:bCs/>
        </w:rPr>
        <w:t>（十一）实施侧袋机制期间的信息披露</w:t>
      </w:r>
    </w:p>
    <w:p w14:paraId="06A05CC8">
      <w:pPr>
        <w:ind w:firstLine="480"/>
        <w:rPr>
          <w:bCs/>
        </w:rPr>
      </w:pPr>
      <w:r>
        <w:rPr>
          <w:rFonts w:hint="eastAsia"/>
          <w:bCs/>
        </w:rPr>
        <w:t>本基金实施侧袋机制的，相关信息披露义务人应当根据法律法规、基金合同和招募说明书的规定进行信息披露，详见招募说明书“侧袋机制”部分的规定。</w:t>
      </w:r>
    </w:p>
    <w:p w14:paraId="36604134">
      <w:pPr>
        <w:ind w:firstLine="480"/>
        <w:rPr>
          <w:bCs/>
        </w:rPr>
      </w:pPr>
      <w:r>
        <w:rPr>
          <w:rFonts w:hint="eastAsia"/>
          <w:bCs/>
        </w:rPr>
        <w:t>（十二）中国证监会规定的其他信息</w:t>
      </w:r>
    </w:p>
    <w:p w14:paraId="000DA5C6">
      <w:pPr>
        <w:ind w:firstLine="480"/>
        <w:rPr>
          <w:bCs/>
        </w:rPr>
      </w:pPr>
      <w:r>
        <w:rPr>
          <w:rFonts w:hint="eastAsia"/>
          <w:bCs/>
        </w:rPr>
        <w:t>1、投资资产支持证券的信息披露</w:t>
      </w:r>
    </w:p>
    <w:p w14:paraId="719C1538">
      <w:pPr>
        <w:ind w:firstLine="480"/>
        <w:rPr>
          <w:bCs/>
        </w:rPr>
      </w:pPr>
      <w:r>
        <w:rPr>
          <w:rFonts w:hint="eastAsia"/>
          <w:bCs/>
        </w:rPr>
        <w:t>本基金投资资产支持证券的，基金管理人应在基金年度报告及中期报告中披露其持有的资产支持证券总额、资产支持证券市值占基金净资产的比例和报告期内所有的资产支持证券明细。</w:t>
      </w:r>
    </w:p>
    <w:p w14:paraId="4E9EE8BA">
      <w:pPr>
        <w:ind w:firstLine="48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0C67DE5A">
      <w:pPr>
        <w:ind w:firstLine="480"/>
        <w:rPr>
          <w:bCs/>
        </w:rPr>
      </w:pPr>
      <w:r>
        <w:rPr>
          <w:rFonts w:hint="eastAsia"/>
          <w:bCs/>
        </w:rPr>
        <w:t>2、投资于国债期货的信息披露</w:t>
      </w:r>
    </w:p>
    <w:p w14:paraId="43123D56">
      <w:pPr>
        <w:ind w:firstLine="480"/>
        <w:rPr>
          <w:bCs/>
        </w:rPr>
      </w:pPr>
      <w:r>
        <w:rPr>
          <w:rFonts w:hint="eastAsia"/>
          <w:bCs/>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596674CC">
      <w:pPr>
        <w:ind w:firstLine="480"/>
        <w:rPr>
          <w:bCs/>
        </w:rPr>
      </w:pPr>
      <w:r>
        <w:rPr>
          <w:rFonts w:hint="eastAsia"/>
          <w:bCs/>
        </w:rPr>
        <w:t>3、参与港股通交易的信息披露</w:t>
      </w:r>
    </w:p>
    <w:p w14:paraId="27CB11AA">
      <w:pPr>
        <w:ind w:firstLine="480"/>
        <w:rPr>
          <w:bCs/>
        </w:rPr>
      </w:pPr>
      <w:r>
        <w:rPr>
          <w:rFonts w:hint="eastAsia"/>
          <w:bCs/>
        </w:rPr>
        <w:t>本基金参与港股通交易的，基金管理人应在季度报告、中期报告、年度报告等定期报告和招募说明书（更新）等文件中披露参与港股通交易的相关情况。</w:t>
      </w:r>
    </w:p>
    <w:p w14:paraId="1B090E11">
      <w:pPr>
        <w:ind w:firstLine="480"/>
        <w:rPr>
          <w:bCs/>
        </w:rPr>
      </w:pPr>
      <w:r>
        <w:rPr>
          <w:rFonts w:hint="eastAsia"/>
          <w:bCs/>
        </w:rPr>
        <w:t>4、投资信用衍生品的信息披露</w:t>
      </w:r>
    </w:p>
    <w:p w14:paraId="421FCCB9">
      <w:pPr>
        <w:ind w:firstLine="480"/>
        <w:rPr>
          <w:bCs/>
        </w:rPr>
      </w:pPr>
      <w:r>
        <w:rPr>
          <w:rFonts w:hint="eastAsia"/>
          <w:bCs/>
        </w:rPr>
        <w:t>本基金投资信用衍生品的，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62320979">
      <w:pPr>
        <w:ind w:firstLine="480"/>
        <w:rPr>
          <w:bCs/>
        </w:rPr>
      </w:pPr>
      <w:r>
        <w:rPr>
          <w:rFonts w:hint="eastAsia"/>
          <w:bCs/>
        </w:rPr>
        <w:t>5、投资于存托凭证的信息披露</w:t>
      </w:r>
    </w:p>
    <w:p w14:paraId="6B265CB0">
      <w:pPr>
        <w:ind w:firstLine="480"/>
        <w:rPr>
          <w:bCs/>
        </w:rPr>
      </w:pPr>
      <w:r>
        <w:rPr>
          <w:rFonts w:hint="eastAsia"/>
          <w:bCs/>
        </w:rPr>
        <w:t>本基金投资存托凭证的信息披露依照境内上市交易的股票执行。</w:t>
      </w:r>
    </w:p>
    <w:p w14:paraId="04205E21">
      <w:pPr>
        <w:ind w:firstLine="480"/>
        <w:rPr>
          <w:bCs/>
        </w:rPr>
      </w:pPr>
      <w:r>
        <w:rPr>
          <w:rFonts w:hint="eastAsia"/>
          <w:bCs/>
        </w:rPr>
        <w:t>6、投资基金份额的信息披露</w:t>
      </w:r>
    </w:p>
    <w:p w14:paraId="65432A96">
      <w:pPr>
        <w:ind w:firstLine="480"/>
        <w:rPr>
          <w:bCs/>
        </w:rPr>
      </w:pPr>
      <w:r>
        <w:rPr>
          <w:rFonts w:hint="eastAsia"/>
          <w:bCs/>
        </w:rPr>
        <w:t>本基金投资基金份额的，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14:paraId="49ADA2D6">
      <w:pPr>
        <w:ind w:firstLine="482"/>
        <w:rPr>
          <w:b/>
          <w:bCs/>
        </w:rPr>
      </w:pPr>
      <w:r>
        <w:rPr>
          <w:rFonts w:hint="eastAsia"/>
          <w:b/>
          <w:bCs/>
        </w:rPr>
        <w:t>六、信息披露事务管理</w:t>
      </w:r>
    </w:p>
    <w:p w14:paraId="05606B1A">
      <w:pPr>
        <w:ind w:firstLine="480"/>
        <w:rPr>
          <w:bCs/>
        </w:rPr>
      </w:pPr>
      <w:r>
        <w:rPr>
          <w:rFonts w:hint="eastAsia"/>
          <w:bCs/>
        </w:rPr>
        <w:t>基金管理人、基金托管人应当建立健全信息披露管理制度，指定专门部门及高级管理人员负责管理信息披露事务。</w:t>
      </w:r>
    </w:p>
    <w:p w14:paraId="41F0DF63">
      <w:pPr>
        <w:ind w:firstLine="480"/>
        <w:rPr>
          <w:bCs/>
        </w:rPr>
      </w:pPr>
      <w:r>
        <w:rPr>
          <w:rFonts w:hint="eastAsia"/>
          <w:bCs/>
        </w:rPr>
        <w:t>基金信息披露义务人公开披露基金信息，应当符合中国证监会相关基金信息披露内容与格式准则等法规的规定。</w:t>
      </w:r>
    </w:p>
    <w:p w14:paraId="592B6DF5">
      <w:pPr>
        <w:ind w:firstLine="480"/>
        <w:rPr>
          <w:bCs/>
        </w:rPr>
      </w:pPr>
      <w:r>
        <w:rPr>
          <w:rFonts w:hint="eastAsia"/>
          <w:bCs/>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703FCA6C">
      <w:pPr>
        <w:ind w:firstLine="480"/>
        <w:rPr>
          <w:bCs/>
        </w:rPr>
      </w:pPr>
      <w:r>
        <w:rPr>
          <w:rFonts w:hint="eastAsia"/>
          <w:bCs/>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EB53C0C">
      <w:pPr>
        <w:ind w:firstLine="480"/>
        <w:rPr>
          <w:bCs/>
        </w:rPr>
      </w:pPr>
      <w:r>
        <w:rPr>
          <w:rFonts w:hint="eastAsia"/>
          <w:bCs/>
        </w:rPr>
        <w:t>基金管理人、基金托管人除依法在规定媒介上披露信息外，还可以根据需要在其他公共媒介披露信息，但是其他公共媒介不得早于规定媒介披露信息，并且在不同媒介上披露同一信息的内容应当一致。</w:t>
      </w:r>
    </w:p>
    <w:p w14:paraId="4B1483F0">
      <w:pPr>
        <w:ind w:firstLine="480"/>
        <w:rPr>
          <w:bCs/>
        </w:rPr>
      </w:pPr>
      <w:r>
        <w:rPr>
          <w:rFonts w:hint="eastAsia"/>
          <w:bCs/>
        </w:rPr>
        <w:t>为基金信息披露义务人公开披露的基金信息出具审计报告、法律意见书的专业机构，应当制作工作底稿，并将相关档案至少保存到基金合同终止后10年。</w:t>
      </w:r>
    </w:p>
    <w:p w14:paraId="459E379F">
      <w:pPr>
        <w:ind w:firstLine="48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F998D2D">
      <w:pPr>
        <w:ind w:firstLine="482"/>
        <w:rPr>
          <w:b/>
          <w:bCs/>
        </w:rPr>
      </w:pPr>
      <w:r>
        <w:rPr>
          <w:rFonts w:hint="eastAsia"/>
          <w:b/>
          <w:bCs/>
        </w:rPr>
        <w:t>七、暂停或延迟信息披露的情形</w:t>
      </w:r>
    </w:p>
    <w:p w14:paraId="47203DE7">
      <w:pPr>
        <w:ind w:firstLine="480"/>
        <w:rPr>
          <w:bCs/>
        </w:rPr>
      </w:pPr>
      <w:r>
        <w:rPr>
          <w:rFonts w:hint="eastAsia"/>
          <w:bCs/>
        </w:rPr>
        <w:t>当出现下述情况时，基金管理人和基金托管人可暂停或延迟披露基金相关信息：</w:t>
      </w:r>
    </w:p>
    <w:p w14:paraId="278E49CD">
      <w:pPr>
        <w:ind w:firstLine="480"/>
        <w:rPr>
          <w:bCs/>
        </w:rPr>
      </w:pPr>
      <w:r>
        <w:rPr>
          <w:rFonts w:hint="eastAsia"/>
          <w:bCs/>
        </w:rPr>
        <w:t>1、基金投资所涉及的证券、期货交易市场或外汇市场遇法定节假日或因其他原因暂停营业时；</w:t>
      </w:r>
    </w:p>
    <w:p w14:paraId="5FFD842F">
      <w:pPr>
        <w:ind w:firstLine="480"/>
        <w:rPr>
          <w:bCs/>
        </w:rPr>
      </w:pPr>
      <w:r>
        <w:rPr>
          <w:rFonts w:hint="eastAsia"/>
          <w:bCs/>
        </w:rPr>
        <w:t>2、因不可抗力或其他情形致使基金管理人、基金托管人无法准确评估基金资产价值或无法进行信息披露时；</w:t>
      </w:r>
    </w:p>
    <w:p w14:paraId="576AF91A">
      <w:pPr>
        <w:ind w:firstLine="480"/>
        <w:rPr>
          <w:bCs/>
        </w:rPr>
      </w:pPr>
      <w:r>
        <w:rPr>
          <w:rFonts w:hint="eastAsia"/>
          <w:bCs/>
        </w:rPr>
        <w:t>3、当特定资产占前一估值日基金资产净值50%以上的，经与基金托管人协商确认后暂停估值的；</w:t>
      </w:r>
    </w:p>
    <w:p w14:paraId="4C8506BA">
      <w:pPr>
        <w:ind w:firstLine="480"/>
        <w:rPr>
          <w:bCs/>
        </w:rPr>
      </w:pPr>
      <w:r>
        <w:rPr>
          <w:rFonts w:hint="eastAsia"/>
          <w:bCs/>
        </w:rPr>
        <w:t>4、法律法规、基金合同或中国证监会规定的情况。</w:t>
      </w:r>
    </w:p>
    <w:p w14:paraId="7EA35743">
      <w:pPr>
        <w:ind w:firstLine="482"/>
        <w:rPr>
          <w:b/>
          <w:bCs/>
        </w:rPr>
      </w:pPr>
      <w:r>
        <w:rPr>
          <w:rFonts w:hint="eastAsia"/>
          <w:b/>
          <w:bCs/>
        </w:rPr>
        <w:t>八、信息披露文件的存放与查阅</w:t>
      </w:r>
    </w:p>
    <w:p w14:paraId="3D99598A">
      <w:pPr>
        <w:ind w:firstLine="480"/>
        <w:rPr>
          <w:bCs/>
        </w:rPr>
      </w:pPr>
      <w:r>
        <w:rPr>
          <w:rFonts w:hint="eastAsia"/>
          <w:bCs/>
        </w:rPr>
        <w:t>依法必须披露的信息发布后，基金管理人、基金托管人应当按照相关法律法规规定将信息置备于各自住所，供社会公众查阅、复制。</w:t>
      </w:r>
    </w:p>
    <w:p w14:paraId="6885B3D2">
      <w:pPr>
        <w:pStyle w:val="85"/>
        <w:ind w:firstLine="480"/>
      </w:pPr>
    </w:p>
    <w:p w14:paraId="54250181">
      <w:pPr>
        <w:spacing w:before="312" w:after="312"/>
        <w:ind w:firstLine="480"/>
      </w:pPr>
      <w:r>
        <w:br w:type="page"/>
      </w:r>
    </w:p>
    <w:p w14:paraId="2DCAB0D7">
      <w:pPr>
        <w:pStyle w:val="2"/>
        <w:spacing w:before="312" w:after="312"/>
        <w:rPr>
          <w:rFonts w:hAnsi="宋体"/>
          <w:bCs/>
          <w:szCs w:val="32"/>
        </w:rPr>
      </w:pPr>
      <w:bookmarkStart w:id="59" w:name="_Toc218004087"/>
      <w:r>
        <w:rPr>
          <w:kern w:val="0"/>
        </w:rPr>
        <w:t>第十六部分</w:t>
      </w:r>
      <w:r>
        <w:rPr>
          <w:rFonts w:hint="eastAsia"/>
          <w:kern w:val="0"/>
        </w:rPr>
        <w:t xml:space="preserve"> </w:t>
      </w:r>
      <w:r>
        <w:rPr>
          <w:kern w:val="0"/>
        </w:rPr>
        <w:t xml:space="preserve"> </w:t>
      </w:r>
      <w:r>
        <w:rPr>
          <w:rFonts w:hAnsi="宋体"/>
          <w:bCs/>
          <w:szCs w:val="32"/>
        </w:rPr>
        <w:t>侧袋机制</w:t>
      </w:r>
      <w:bookmarkEnd w:id="59"/>
    </w:p>
    <w:p w14:paraId="001B8380">
      <w:pPr>
        <w:ind w:firstLine="480"/>
      </w:pPr>
    </w:p>
    <w:p w14:paraId="7D6F1A04">
      <w:pPr>
        <w:ind w:firstLine="482"/>
        <w:rPr>
          <w:b/>
        </w:rPr>
      </w:pPr>
      <w:r>
        <w:rPr>
          <w:rFonts w:hint="eastAsia"/>
          <w:b/>
        </w:rPr>
        <w:t>一、侧袋机制的实施条件</w:t>
      </w:r>
    </w:p>
    <w:p w14:paraId="005C163B">
      <w:pPr>
        <w:ind w:firstLine="48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507C9883">
      <w:pPr>
        <w:ind w:firstLine="480"/>
      </w:pPr>
      <w:r>
        <w:rPr>
          <w:rFonts w:hint="eastAsia"/>
        </w:rPr>
        <w:t>基金管理人应当在启用侧袋机制后及时发布临时公告，并及时聘请符合《中华人民共和国证券法》规定的会计师事务所进行审计并披露专项审计意见。</w:t>
      </w:r>
    </w:p>
    <w:p w14:paraId="2B48DBE8">
      <w:pPr>
        <w:ind w:firstLine="482"/>
        <w:rPr>
          <w:b/>
        </w:rPr>
      </w:pPr>
      <w:r>
        <w:rPr>
          <w:rFonts w:hint="eastAsia"/>
          <w:b/>
        </w:rPr>
        <w:t>二、实施侧袋机制期间基金份额的申购与赎回</w:t>
      </w:r>
    </w:p>
    <w:p w14:paraId="23BF99E8">
      <w:pPr>
        <w:ind w:firstLine="480"/>
      </w:pPr>
      <w:r>
        <w:rPr>
          <w:rFonts w:hint="eastAsia"/>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0B9AFB9E">
      <w:pPr>
        <w:ind w:firstLine="480"/>
      </w:pPr>
      <w:r>
        <w:rPr>
          <w:rFonts w:hint="eastAsia"/>
        </w:rPr>
        <w:t>2、实施侧袋机制期间，基金管理人不办理侧袋账户份额的申购、赎回和转换；同时，基金管理人按照基金合同和招募说明书的约定办理主袋账户份额的赎回，并根据主袋账户运作情况确定是否暂停申购。</w:t>
      </w:r>
    </w:p>
    <w:p w14:paraId="6755AAAB">
      <w:pPr>
        <w:ind w:firstLine="480"/>
      </w:pPr>
      <w:r>
        <w:rPr>
          <w:rFonts w:hint="eastAsia"/>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39226501">
      <w:pPr>
        <w:ind w:firstLine="482"/>
        <w:rPr>
          <w:b/>
        </w:rPr>
      </w:pPr>
      <w:r>
        <w:rPr>
          <w:rFonts w:hint="eastAsia"/>
          <w:b/>
        </w:rPr>
        <w:t>三、实施侧袋机制期间的基金投资</w:t>
      </w:r>
    </w:p>
    <w:p w14:paraId="16886D8E">
      <w:pPr>
        <w:ind w:firstLine="480"/>
      </w:pPr>
      <w:r>
        <w:rPr>
          <w:rFonts w:hint="eastAsia"/>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0D9F7D7E">
      <w:pPr>
        <w:ind w:firstLine="480"/>
      </w:pPr>
      <w:r>
        <w:rPr>
          <w:rFonts w:hint="eastAsia"/>
        </w:rPr>
        <w:t>基金管理人原则上应当在侧袋机制启用后20个交易日内完成对主袋账户投资组合的调整，因资产流动性受限等中国证监会规定的情形除外。</w:t>
      </w:r>
    </w:p>
    <w:p w14:paraId="7AF1B0C7">
      <w:pPr>
        <w:ind w:firstLine="480"/>
      </w:pPr>
      <w:r>
        <w:rPr>
          <w:rFonts w:hint="eastAsia"/>
        </w:rPr>
        <w:t>基金管理人不得在侧袋账户中进行除特定资产处置变现以外的其他投资操作。</w:t>
      </w:r>
    </w:p>
    <w:p w14:paraId="18D95A41">
      <w:pPr>
        <w:ind w:firstLine="482"/>
        <w:rPr>
          <w:b/>
        </w:rPr>
      </w:pPr>
      <w:r>
        <w:rPr>
          <w:rFonts w:hint="eastAsia"/>
          <w:b/>
        </w:rPr>
        <w:t>四、实施侧袋机制期间的基金估值与会计核算</w:t>
      </w:r>
    </w:p>
    <w:p w14:paraId="21963BDA">
      <w:pPr>
        <w:ind w:firstLine="480"/>
      </w:pPr>
      <w:r>
        <w:rPr>
          <w:rFonts w:hint="eastAsia"/>
        </w:rPr>
        <w:t>本基金实施侧袋机制的，基金管理人和基金托管人应对主袋账户资产进行估值并披露主袋账户的基金净值信息，暂停披露侧袋账户份额净值。侧袋账户的会计核算应符合《企业会计准则》的相关要求。</w:t>
      </w:r>
    </w:p>
    <w:p w14:paraId="10EE3DD7">
      <w:pPr>
        <w:ind w:firstLine="482"/>
        <w:rPr>
          <w:b/>
        </w:rPr>
      </w:pPr>
      <w:r>
        <w:rPr>
          <w:rFonts w:hint="eastAsia"/>
          <w:b/>
        </w:rPr>
        <w:t>五、实施侧袋机制期间的基金费用</w:t>
      </w:r>
    </w:p>
    <w:p w14:paraId="62617279">
      <w:pPr>
        <w:ind w:firstLine="480"/>
      </w:pPr>
      <w:r>
        <w:rPr>
          <w:rFonts w:hint="eastAsia"/>
        </w:rPr>
        <w:t>1、本基金实施侧袋机制的，管理费</w:t>
      </w:r>
      <w:r>
        <w:t>、</w:t>
      </w:r>
      <w:r>
        <w:rPr>
          <w:rFonts w:hint="eastAsia"/>
        </w:rPr>
        <w:t>托管费和销售服务费等按主袋账户基金资产净值作为基数计提。</w:t>
      </w:r>
    </w:p>
    <w:p w14:paraId="4FD85878">
      <w:pPr>
        <w:ind w:firstLine="480"/>
      </w:pPr>
      <w:r>
        <w:rPr>
          <w:rFonts w:hint="eastAsia"/>
        </w:rPr>
        <w:t>2、与侧袋账户有关的费用可从侧袋账户中列支，但应待侧袋账户资产变现后方可列支，有关费用可酌情收取或减免，但不得收取管理费。</w:t>
      </w:r>
    </w:p>
    <w:p w14:paraId="382C8C3A">
      <w:pPr>
        <w:ind w:firstLine="482"/>
        <w:rPr>
          <w:b/>
        </w:rPr>
      </w:pPr>
      <w:r>
        <w:rPr>
          <w:rFonts w:hint="eastAsia"/>
          <w:b/>
        </w:rPr>
        <w:t>六、侧袋账户中特定资产的处置变现和支付</w:t>
      </w:r>
    </w:p>
    <w:p w14:paraId="228CBDB1">
      <w:pPr>
        <w:ind w:firstLine="480"/>
      </w:pPr>
      <w:r>
        <w:rPr>
          <w:rFonts w:hint="eastAsia"/>
        </w:rPr>
        <w:t>特定资产以可出售、可转让、恢复交易等方式恢复流动性后，基金管理人应当按照基金份额持有人利益最大化原则，采取将特定资产予以处置变现等方式，及时向侧袋账户份额持有人支付对应变现款项。</w:t>
      </w:r>
    </w:p>
    <w:p w14:paraId="0DABB28D">
      <w:pPr>
        <w:ind w:firstLine="480"/>
      </w:pPr>
      <w:r>
        <w:rPr>
          <w:rFonts w:hint="eastAsia"/>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68252A7F">
      <w:pPr>
        <w:ind w:firstLine="480"/>
      </w:pPr>
      <w:r>
        <w:rPr>
          <w:rFonts w:hint="eastAsia"/>
        </w:rPr>
        <w:t>侧袋账户资产全部完成变现并终止侧袋机制后，基金管理人应及时聘请符合《中华人民共和国证券法》规定的会计师事务所进行审计并披露专项审计意见。</w:t>
      </w:r>
    </w:p>
    <w:p w14:paraId="3AF50785">
      <w:pPr>
        <w:ind w:firstLine="482"/>
        <w:rPr>
          <w:b/>
        </w:rPr>
      </w:pPr>
      <w:r>
        <w:rPr>
          <w:rFonts w:hint="eastAsia"/>
          <w:b/>
        </w:rPr>
        <w:t>七、侧袋机制的信息披露</w:t>
      </w:r>
    </w:p>
    <w:p w14:paraId="79FF4E78">
      <w:pPr>
        <w:ind w:firstLine="480"/>
      </w:pPr>
      <w:r>
        <w:rPr>
          <w:rFonts w:hint="eastAsia"/>
        </w:rPr>
        <w:t>1、临时公告</w:t>
      </w:r>
    </w:p>
    <w:p w14:paraId="493DF476">
      <w:pPr>
        <w:ind w:firstLine="480"/>
      </w:pPr>
      <w:r>
        <w:rPr>
          <w:rFonts w:hint="eastAsia"/>
        </w:rPr>
        <w:t>在启用侧袋机制、处置特定资产、终止侧袋机制以及发生其他可能对投资者利益产生重大影响的事项后基金管理人应及时发布临时公告。</w:t>
      </w:r>
    </w:p>
    <w:p w14:paraId="5DA6407B">
      <w:pPr>
        <w:ind w:firstLine="480"/>
      </w:pPr>
      <w:r>
        <w:rPr>
          <w:rFonts w:hint="eastAsia"/>
        </w:rPr>
        <w:t>2、基金净值信息</w:t>
      </w:r>
    </w:p>
    <w:p w14:paraId="3BCC95BA">
      <w:pPr>
        <w:ind w:firstLine="48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0803335A">
      <w:pPr>
        <w:ind w:firstLine="480"/>
      </w:pPr>
      <w:r>
        <w:rPr>
          <w:rFonts w:hint="eastAsia"/>
        </w:rPr>
        <w:t>3、定期报告</w:t>
      </w:r>
    </w:p>
    <w:p w14:paraId="382B9F6B">
      <w:pPr>
        <w:ind w:firstLine="480"/>
      </w:pPr>
      <w:r>
        <w:rPr>
          <w:rFonts w:hint="eastAsia"/>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5362D1CA">
      <w:pPr>
        <w:ind w:firstLine="482"/>
        <w:rPr>
          <w:b/>
        </w:rPr>
      </w:pPr>
      <w:r>
        <w:rPr>
          <w:rFonts w:hint="eastAsia"/>
          <w:b/>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履行适当程序后，可直接对本部分内容进行修改和调整，无需召开基金份额持有人大会审议。</w:t>
      </w:r>
    </w:p>
    <w:p w14:paraId="7A86089E">
      <w:pPr>
        <w:widowControl/>
        <w:spacing w:line="240" w:lineRule="auto"/>
        <w:ind w:firstLine="0" w:firstLineChars="0"/>
        <w:jc w:val="left"/>
      </w:pPr>
      <w:r>
        <w:br w:type="page"/>
      </w:r>
    </w:p>
    <w:p w14:paraId="201A5998">
      <w:pPr>
        <w:pStyle w:val="2"/>
        <w:spacing w:before="312" w:after="312"/>
        <w:rPr>
          <w:kern w:val="0"/>
        </w:rPr>
      </w:pPr>
      <w:bookmarkStart w:id="60" w:name="_Toc218004088"/>
      <w:r>
        <w:rPr>
          <w:rFonts w:hint="eastAsia"/>
          <w:kern w:val="0"/>
        </w:rPr>
        <w:t>第十七部分</w:t>
      </w:r>
      <w:r>
        <w:rPr>
          <w:kern w:val="0"/>
        </w:rPr>
        <w:t xml:space="preserve">  </w:t>
      </w:r>
      <w:r>
        <w:rPr>
          <w:rFonts w:hint="eastAsia"/>
          <w:kern w:val="0"/>
        </w:rPr>
        <w:t>风险揭示</w:t>
      </w:r>
      <w:bookmarkEnd w:id="60"/>
    </w:p>
    <w:p w14:paraId="58FC4F2C">
      <w:pPr>
        <w:ind w:firstLine="482"/>
        <w:rPr>
          <w:b/>
          <w:bCs/>
        </w:rPr>
      </w:pPr>
      <w:r>
        <w:rPr>
          <w:rFonts w:hint="eastAsia"/>
          <w:b/>
          <w:bCs/>
        </w:rPr>
        <w:t>一、投资于本基金的主要风险</w:t>
      </w:r>
    </w:p>
    <w:p w14:paraId="00C4807F">
      <w:pPr>
        <w:ind w:firstLine="482"/>
        <w:rPr>
          <w:b/>
          <w:bCs/>
        </w:rPr>
      </w:pPr>
      <w:r>
        <w:rPr>
          <w:rFonts w:hint="eastAsia"/>
          <w:b/>
          <w:bCs/>
        </w:rPr>
        <w:t>（一）特有风险</w:t>
      </w:r>
    </w:p>
    <w:p w14:paraId="32D3D57A">
      <w:pPr>
        <w:pStyle w:val="37"/>
        <w:ind w:firstLine="480"/>
        <w:rPr>
          <w:bCs/>
        </w:rPr>
      </w:pPr>
      <w:r>
        <w:rPr>
          <w:rFonts w:hint="eastAsia"/>
          <w:bCs/>
        </w:rPr>
        <w:t>1、本基金为债券型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14:paraId="7D199EC3">
      <w:pPr>
        <w:ind w:firstLine="480"/>
        <w:rPr>
          <w:bCs/>
        </w:rPr>
      </w:pPr>
      <w:r>
        <w:rPr>
          <w:rFonts w:hint="eastAsia"/>
          <w:bCs/>
        </w:rPr>
        <w:t>2、国债期货投资风险</w:t>
      </w:r>
    </w:p>
    <w:p w14:paraId="239C07BF">
      <w:pPr>
        <w:ind w:firstLine="480"/>
        <w:rPr>
          <w:bCs/>
        </w:rPr>
      </w:pPr>
      <w:r>
        <w:rPr>
          <w:rFonts w:hint="eastAsia"/>
          <w:bCs/>
        </w:rPr>
        <w:t>本基金投资范围包括国债期货，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46010820">
      <w:pPr>
        <w:ind w:firstLine="480"/>
        <w:rPr>
          <w:bCs/>
        </w:rPr>
      </w:pPr>
      <w:r>
        <w:rPr>
          <w:bCs/>
        </w:rPr>
        <w:t>3</w:t>
      </w:r>
      <w:r>
        <w:rPr>
          <w:rFonts w:hint="eastAsia"/>
          <w:bCs/>
        </w:rPr>
        <w:t>、资产支持证券投资风险</w:t>
      </w:r>
    </w:p>
    <w:p w14:paraId="4B6D86F2">
      <w:pPr>
        <w:ind w:firstLine="480"/>
        <w:rPr>
          <w:bCs/>
        </w:rPr>
      </w:pPr>
      <w:r>
        <w:rPr>
          <w:rFonts w:hint="eastAsia"/>
          <w:bCs/>
        </w:rPr>
        <w:t>本基金可投资资产支持证券，资产支持证券是由受托机构发行的、代表特定目的信托的信托受益权份额。受托机构以信托财产为限向投资机构承担支付资产支持证券收益的义务，其支付主要来源于支持证券的资产池产生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流预测风险、操作风险等。当本基金投资的资产支持证券信用评级发生变动不再符合法规规定或基金合同约定时，基金管理人将需要在规定期限内完成调整，该调整也可能导致或有的变现损失。</w:t>
      </w:r>
    </w:p>
    <w:p w14:paraId="672FE604">
      <w:pPr>
        <w:ind w:firstLine="480"/>
        <w:rPr>
          <w:bCs/>
        </w:rPr>
      </w:pPr>
      <w:r>
        <w:rPr>
          <w:bCs/>
        </w:rPr>
        <w:t>4</w:t>
      </w:r>
      <w:r>
        <w:rPr>
          <w:rFonts w:hint="eastAsia"/>
          <w:bCs/>
        </w:rPr>
        <w:t>、本基金可以投资于港股通标的股票，投资风险包括：</w:t>
      </w:r>
    </w:p>
    <w:p w14:paraId="437AD03F">
      <w:pPr>
        <w:ind w:firstLine="480"/>
        <w:rPr>
          <w:bCs/>
        </w:rPr>
      </w:pPr>
      <w:r>
        <w:rPr>
          <w:rFonts w:hint="eastAsia"/>
          <w:bCs/>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2A430E6">
      <w:pPr>
        <w:ind w:firstLine="480"/>
        <w:rPr>
          <w:bCs/>
        </w:rPr>
      </w:pPr>
      <w:r>
        <w:rPr>
          <w:rFonts w:hint="eastAsia"/>
          <w:bCs/>
        </w:rPr>
        <w:t>（2）香港市场交易规则有别于内地A股市场规则，此外，在港股通下参与香港股票投资还将面临包括但不限于如下特殊风险：</w:t>
      </w:r>
    </w:p>
    <w:p w14:paraId="536488D3">
      <w:pPr>
        <w:ind w:firstLine="480"/>
        <w:rPr>
          <w:bCs/>
        </w:rPr>
      </w:pPr>
      <w:r>
        <w:rPr>
          <w:rFonts w:hint="eastAsia"/>
          <w:bCs/>
        </w:rPr>
        <w:t xml:space="preserve">①香港市场实行T+0回转交易，且证券交易价格并无涨跌幅上下限的规定，因此每日涨跌幅空间相对较大，港股股价可能表现出比A股更为剧烈的股价波动； </w:t>
      </w:r>
    </w:p>
    <w:p w14:paraId="5A287BF2">
      <w:pPr>
        <w:ind w:firstLine="480"/>
        <w:rPr>
          <w:bCs/>
        </w:rPr>
      </w:pPr>
      <w:r>
        <w:rPr>
          <w:rFonts w:hint="eastAsia"/>
          <w:bCs/>
        </w:rPr>
        <w:t>②只有内地和香港两地均为交易日的日期才为港股通交易日，在内地开市香港休市的情形下，港股通不能正常交易，港股通标的股票不能及时卖出，可能带来一定的流动性风险；</w:t>
      </w:r>
    </w:p>
    <w:p w14:paraId="55C6E41E">
      <w:pPr>
        <w:ind w:firstLine="480"/>
        <w:rPr>
          <w:bCs/>
        </w:rPr>
      </w:pPr>
      <w:r>
        <w:rPr>
          <w:rFonts w:hint="eastAsia"/>
          <w:bCs/>
        </w:rPr>
        <w:t>③出现香港联合交易所（以下简称“联交所”）规定的情形时，联交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3F3E16AF">
      <w:pPr>
        <w:ind w:firstLine="480"/>
        <w:rPr>
          <w:bCs/>
        </w:rPr>
      </w:pPr>
      <w:r>
        <w:rPr>
          <w:rFonts w:hint="eastAsia"/>
          <w:bCs/>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30EA4E1A">
      <w:pPr>
        <w:ind w:firstLine="480"/>
        <w:rPr>
          <w:bCs/>
        </w:rPr>
      </w:pPr>
      <w:r>
        <w:rPr>
          <w:rFonts w:hint="eastAsia"/>
          <w:bCs/>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24F93EC1">
      <w:pPr>
        <w:ind w:firstLine="480"/>
        <w:rPr>
          <w:bCs/>
        </w:rPr>
      </w:pPr>
      <w:r>
        <w:rPr>
          <w:rFonts w:hint="eastAsia"/>
          <w:bCs/>
        </w:rPr>
        <w:t>⑥汇率风险。本基金若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26982DAB">
      <w:pPr>
        <w:ind w:firstLine="480"/>
        <w:rPr>
          <w:bCs/>
        </w:rPr>
      </w:pPr>
      <w:r>
        <w:rPr>
          <w:rFonts w:hint="eastAsia"/>
          <w:bCs/>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通进行买入交易的风险。</w:t>
      </w:r>
    </w:p>
    <w:p w14:paraId="7DBCCFD8">
      <w:pPr>
        <w:ind w:firstLine="480"/>
        <w:rPr>
          <w:bCs/>
        </w:rPr>
      </w:pPr>
      <w:r>
        <w:rPr>
          <w:rFonts w:hint="eastAsia"/>
          <w:bCs/>
        </w:rPr>
        <w:t>（3）本基金可根据投资策略需要或不同配置地市场环境的变化，选择将部分基金资产投资于港股或选择不将基金资产投资于港股，基金资产并非必然投资港股。</w:t>
      </w:r>
    </w:p>
    <w:p w14:paraId="7A204563">
      <w:pPr>
        <w:ind w:firstLine="480"/>
        <w:rPr>
          <w:bCs/>
        </w:rPr>
      </w:pPr>
      <w:r>
        <w:rPr>
          <w:bCs/>
        </w:rPr>
        <w:t>5</w:t>
      </w:r>
      <w:r>
        <w:rPr>
          <w:rFonts w:hint="eastAsia"/>
          <w:bCs/>
        </w:rPr>
        <w:t>、存托凭证投资风险</w:t>
      </w:r>
    </w:p>
    <w:p w14:paraId="759A686D">
      <w:pPr>
        <w:ind w:firstLine="480"/>
        <w:rPr>
          <w:bCs/>
        </w:rPr>
      </w:pPr>
      <w:r>
        <w:rPr>
          <w:rFonts w:hint="eastAsia"/>
          <w:bCs/>
        </w:rPr>
        <w:t>本基金如投资存托凭证的，在承担境内上市交易股票投资的共同风险外，还将承担与存托凭证、创新企业发行、境外发行人以及交易机制相关的特有风险，具体包括但不限于以下风险：</w:t>
      </w:r>
    </w:p>
    <w:p w14:paraId="6C00B80D">
      <w:pPr>
        <w:ind w:firstLine="480"/>
        <w:rPr>
          <w:bCs/>
        </w:rPr>
      </w:pPr>
      <w:r>
        <w:rPr>
          <w:rFonts w:hint="eastAsia"/>
          <w:bCs/>
        </w:rPr>
        <w:t>（1）与存托凭证相关的风险</w:t>
      </w:r>
    </w:p>
    <w:p w14:paraId="704CA306">
      <w:pPr>
        <w:ind w:firstLine="480"/>
        <w:rPr>
          <w:bCs/>
        </w:rPr>
      </w:pPr>
      <w:r>
        <w:rPr>
          <w:rFonts w:hint="eastAsia"/>
          <w:bCs/>
        </w:rPr>
        <w:t>1）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18ED80A4">
      <w:pPr>
        <w:ind w:firstLine="480"/>
        <w:rPr>
          <w:bCs/>
        </w:rPr>
      </w:pPr>
      <w:r>
        <w:rPr>
          <w:rFonts w:hint="eastAsia"/>
          <w:bCs/>
        </w:rPr>
        <w:t>2）本基金买入或者持有红筹公司境内发行的存托凭证，即被视为自动加入存托协议，成为存托协议的当事人。存托协议可能通过红筹公司和存托人商议等方式进行修改，本基金无法单独要求红筹公司或者存托人对存托协议作出额外修改。</w:t>
      </w:r>
    </w:p>
    <w:p w14:paraId="07240474">
      <w:pPr>
        <w:ind w:firstLine="480"/>
        <w:rPr>
          <w:bCs/>
        </w:rPr>
      </w:pPr>
      <w:r>
        <w:rPr>
          <w:rFonts w:hint="eastAsia"/>
          <w:bCs/>
        </w:rPr>
        <w:t>3）本基金持有红筹公司存托凭证，不是红筹公司登记在册的股东，不能以股东身份直接行使股东权利；本基金仅能根据存托协议的约定，通过存托人享有并行使分红、投票等权利。</w:t>
      </w:r>
    </w:p>
    <w:p w14:paraId="4CFAB5E9">
      <w:pPr>
        <w:ind w:firstLine="480"/>
        <w:rPr>
          <w:bCs/>
        </w:rPr>
      </w:pPr>
      <w:r>
        <w:rPr>
          <w:rFonts w:hint="eastAsia"/>
          <w:bCs/>
        </w:rPr>
        <w:t>4）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本基金生效。本基金可能无法对此行使表决权。</w:t>
      </w:r>
    </w:p>
    <w:p w14:paraId="3A27F652">
      <w:pPr>
        <w:ind w:firstLine="480"/>
        <w:rPr>
          <w:bCs/>
        </w:rPr>
      </w:pPr>
      <w:r>
        <w:rPr>
          <w:rFonts w:hint="eastAsia"/>
          <w:bCs/>
        </w:rPr>
        <w:t>5）存托凭证存续期间，对应的基础证券等财产可能出现被质押、挪用、司法冻结、强制执行等情形，本基金可能存在失去应有权利的风险。</w:t>
      </w:r>
    </w:p>
    <w:p w14:paraId="468374BE">
      <w:pPr>
        <w:ind w:firstLine="480"/>
        <w:rPr>
          <w:bCs/>
        </w:rPr>
      </w:pPr>
      <w:r>
        <w:rPr>
          <w:rFonts w:hint="eastAsia"/>
          <w:bCs/>
        </w:rPr>
        <w:t>6）存托人可能向存托凭证持有人收取存托凭证相关费用。</w:t>
      </w:r>
    </w:p>
    <w:p w14:paraId="58A2BF7A">
      <w:pPr>
        <w:ind w:firstLine="480"/>
        <w:rPr>
          <w:bCs/>
        </w:rPr>
      </w:pPr>
      <w:r>
        <w:rPr>
          <w:rFonts w:hint="eastAsia"/>
          <w:bCs/>
        </w:rPr>
        <w:t>7）存托凭证退市的，本基金可能面临存托人无法根据存托协议的约定卖出基础证券，本基金持有的存托凭证无法转到境内其他市场进行公开交易或者转让，存托人无法继续按照存托协议的约定为本基金提供相应服务等风险。</w:t>
      </w:r>
    </w:p>
    <w:p w14:paraId="096D9666">
      <w:pPr>
        <w:ind w:firstLine="480"/>
        <w:rPr>
          <w:bCs/>
        </w:rPr>
      </w:pPr>
      <w:r>
        <w:rPr>
          <w:rFonts w:hint="eastAsia"/>
          <w:bCs/>
        </w:rPr>
        <w:t>（2）与创新企业发行相关的风险</w:t>
      </w:r>
    </w:p>
    <w:p w14:paraId="2255ABFF">
      <w:pPr>
        <w:ind w:firstLine="480"/>
        <w:rPr>
          <w:bCs/>
        </w:rPr>
      </w:pPr>
      <w:r>
        <w:rPr>
          <w:rFonts w:hint="eastAsia"/>
          <w:bCs/>
        </w:rPr>
        <w:t>创新企业证券首次公开发行的价格可能高于公司每股净资产账面值，或者高于公司在境外其他市场公开发行的股票或者存托凭证的发行价格或者二级市场交易价格。</w:t>
      </w:r>
    </w:p>
    <w:p w14:paraId="23D7299F">
      <w:pPr>
        <w:ind w:firstLine="480"/>
        <w:rPr>
          <w:bCs/>
        </w:rPr>
      </w:pPr>
      <w:r>
        <w:rPr>
          <w:rFonts w:hint="eastAsia"/>
          <w:bCs/>
        </w:rPr>
        <w:t>（3）与境外发行人相关的风险</w:t>
      </w:r>
    </w:p>
    <w:p w14:paraId="360F4F50">
      <w:pPr>
        <w:ind w:firstLine="480"/>
        <w:rPr>
          <w:bCs/>
        </w:rPr>
      </w:pPr>
      <w:r>
        <w:rPr>
          <w:rFonts w:hint="eastAsia"/>
          <w:bCs/>
        </w:rPr>
        <w:t>1）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4581BC22">
      <w:pPr>
        <w:ind w:firstLine="480"/>
        <w:rPr>
          <w:bCs/>
        </w:rPr>
      </w:pPr>
      <w:r>
        <w:rPr>
          <w:rFonts w:hint="eastAsia"/>
          <w:bCs/>
        </w:rPr>
        <w:t>2）红筹公司可能仅在境内市场发行并上市较小规模的股票或者存托凭证，公司大部分或者绝大部分的表决权由境外股东等持有，基金作为境内投资者可能无法实际参与公司重大事务的决策。</w:t>
      </w:r>
    </w:p>
    <w:p w14:paraId="0428D5E7">
      <w:pPr>
        <w:ind w:firstLine="480"/>
        <w:rPr>
          <w:bCs/>
        </w:rPr>
      </w:pPr>
      <w:r>
        <w:rPr>
          <w:rFonts w:hint="eastAsia"/>
          <w:bCs/>
        </w:rPr>
        <w:t>3）基金作为红筹公司存托凭证的境内投资者可以依据《中华人民共和国证券法》提起证券诉讼，但境内投资者无法直接作为红筹公司境外注册地或者境外上市地的投资者，依据当地法律制度提起证券诉讼。</w:t>
      </w:r>
    </w:p>
    <w:p w14:paraId="38D9BD90">
      <w:pPr>
        <w:ind w:firstLine="480"/>
        <w:rPr>
          <w:bCs/>
        </w:rPr>
      </w:pPr>
      <w:r>
        <w:rPr>
          <w:rFonts w:hint="eastAsia"/>
          <w:bCs/>
        </w:rPr>
        <w:t>（4）与交易机制相关的风险</w:t>
      </w:r>
    </w:p>
    <w:p w14:paraId="0A514090">
      <w:pPr>
        <w:ind w:firstLine="480"/>
        <w:rPr>
          <w:bCs/>
        </w:rPr>
      </w:pPr>
      <w:r>
        <w:rPr>
          <w:rFonts w:hint="eastAsia"/>
          <w:bCs/>
        </w:rPr>
        <w:t>1）境内外市场证券停复牌制度存在差异，红筹公司境内外上市的股票或者存托凭证可能出现在一个市场正常交易而在另一个市场实施停牌等现象。</w:t>
      </w:r>
    </w:p>
    <w:p w14:paraId="52237493">
      <w:pPr>
        <w:ind w:firstLine="480"/>
        <w:rPr>
          <w:bCs/>
        </w:rPr>
      </w:pPr>
      <w:r>
        <w:rPr>
          <w:rFonts w:hint="eastAsia"/>
          <w:bCs/>
        </w:rPr>
        <w:t>2）红筹公司在境外上市股票或存托凭证的价格可能因基本面变化、第三方研究报告观点、境内外交易机制差异、异常交易情形、做空机制等出现较大波动，可能对境内证券价格产生影响。</w:t>
      </w:r>
    </w:p>
    <w:p w14:paraId="799E4585">
      <w:pPr>
        <w:ind w:firstLine="480"/>
        <w:rPr>
          <w:bCs/>
        </w:rPr>
      </w:pPr>
      <w:r>
        <w:rPr>
          <w:rFonts w:hint="eastAsia"/>
          <w:bCs/>
        </w:rPr>
        <w:t>3）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5AF36C45">
      <w:pPr>
        <w:ind w:firstLine="480"/>
        <w:rPr>
          <w:bCs/>
        </w:rPr>
      </w:pPr>
      <w:r>
        <w:rPr>
          <w:rFonts w:hint="eastAsia"/>
          <w:bCs/>
        </w:rPr>
        <w:t>4）本基金持有的红筹公司境内发行的证券，暂不允许转换为公司在境外发行的相同类别的股票或者存托凭证；本基金持有境内发行的存托凭证，暂不允许转换为境外基础证券。</w:t>
      </w:r>
    </w:p>
    <w:p w14:paraId="20B6FE69">
      <w:pPr>
        <w:ind w:firstLine="480"/>
        <w:rPr>
          <w:bCs/>
        </w:rPr>
      </w:pPr>
      <w:r>
        <w:rPr>
          <w:bCs/>
        </w:rPr>
        <w:t>6</w:t>
      </w:r>
      <w:r>
        <w:rPr>
          <w:rFonts w:hint="eastAsia"/>
          <w:bCs/>
        </w:rPr>
        <w:t>、信用衍生品投资风险</w:t>
      </w:r>
    </w:p>
    <w:p w14:paraId="1A045DF1">
      <w:pPr>
        <w:ind w:firstLine="480"/>
        <w:rPr>
          <w:bCs/>
        </w:rPr>
      </w:pPr>
      <w:r>
        <w:rPr>
          <w:rFonts w:hint="eastAsia"/>
          <w:bCs/>
        </w:rPr>
        <w:t>为对冲信用风险，本基金可能投资于信用衍生品。信用衍生品的投资可能面临流动性风险、偿付风险以及价格波动风险等。</w:t>
      </w:r>
    </w:p>
    <w:p w14:paraId="21B80AE5">
      <w:pPr>
        <w:ind w:firstLine="480"/>
        <w:rPr>
          <w:bCs/>
        </w:rPr>
      </w:pPr>
      <w:r>
        <w:rPr>
          <w:rFonts w:hint="eastAsia"/>
          <w:bCs/>
        </w:rPr>
        <w:t>（1）流动性风险</w:t>
      </w:r>
    </w:p>
    <w:p w14:paraId="576B3F3D">
      <w:pPr>
        <w:ind w:firstLine="480"/>
        <w:rPr>
          <w:bCs/>
        </w:rPr>
      </w:pPr>
      <w:r>
        <w:rPr>
          <w:rFonts w:hint="eastAsia"/>
          <w:bCs/>
        </w:rPr>
        <w:t>信用衍生品在交易转让过程中因无法找到交易对手或交易对手较少，导致难以将信用衍生品以合理价格变现的风险。</w:t>
      </w:r>
    </w:p>
    <w:p w14:paraId="6B5154D0">
      <w:pPr>
        <w:ind w:firstLine="480"/>
        <w:rPr>
          <w:bCs/>
        </w:rPr>
      </w:pPr>
      <w:r>
        <w:rPr>
          <w:rFonts w:hint="eastAsia"/>
          <w:bCs/>
        </w:rPr>
        <w:t>（2）偿付风险</w:t>
      </w:r>
    </w:p>
    <w:p w14:paraId="24E53190">
      <w:pPr>
        <w:ind w:firstLine="480"/>
        <w:rPr>
          <w:bCs/>
        </w:rPr>
      </w:pPr>
      <w:r>
        <w:rPr>
          <w:rFonts w:hint="eastAsia"/>
          <w:bCs/>
        </w:rPr>
        <w:t>在信用衍生品存续期间，由于不可控制的市场及环境变化，创设机构可能出现经营状况不佳或创设机构的现金流与预期发生一定偏差，从而影响信用衍生品结算的风险。</w:t>
      </w:r>
    </w:p>
    <w:p w14:paraId="0C9273CC">
      <w:pPr>
        <w:ind w:firstLine="480"/>
        <w:rPr>
          <w:bCs/>
        </w:rPr>
      </w:pPr>
      <w:r>
        <w:rPr>
          <w:rFonts w:hint="eastAsia"/>
          <w:bCs/>
        </w:rPr>
        <w:t>（3）价格波动风险</w:t>
      </w:r>
    </w:p>
    <w:p w14:paraId="506E5246">
      <w:pPr>
        <w:ind w:firstLine="480"/>
        <w:rPr>
          <w:bCs/>
        </w:rPr>
      </w:pPr>
      <w:r>
        <w:rPr>
          <w:rFonts w:hint="eastAsia"/>
          <w:bCs/>
        </w:rPr>
        <w:t>由于创设机构或所受保护的债券主体经营状况或利率环境发生变化，引起信用衍生品价格出现波动的风险。</w:t>
      </w:r>
    </w:p>
    <w:p w14:paraId="2CC54085">
      <w:pPr>
        <w:ind w:firstLine="480"/>
        <w:rPr>
          <w:bCs/>
        </w:rPr>
      </w:pPr>
      <w:r>
        <w:rPr>
          <w:bCs/>
        </w:rPr>
        <w:t>7</w:t>
      </w:r>
      <w:r>
        <w:rPr>
          <w:rFonts w:hint="eastAsia"/>
          <w:bCs/>
        </w:rPr>
        <w:t>、基金投资其他基金的风险</w:t>
      </w:r>
    </w:p>
    <w:p w14:paraId="39FD2C3F">
      <w:pPr>
        <w:ind w:firstLine="480"/>
        <w:rPr>
          <w:bCs/>
        </w:rPr>
      </w:pPr>
      <w:r>
        <w:rPr>
          <w:rFonts w:hint="eastAsia"/>
          <w:bCs/>
        </w:rPr>
        <w:t>针对基金投资，本基金投资于全市场的股票型 ETF 及基金管理人旗下的股票型基金、计入权益类资产的混合型基金。其中，计入权益类资产的混合型基金需符合下列两个条件之一：</w:t>
      </w:r>
    </w:p>
    <w:p w14:paraId="539D9B65">
      <w:pPr>
        <w:ind w:firstLine="480"/>
        <w:rPr>
          <w:bCs/>
        </w:rPr>
      </w:pPr>
      <w:r>
        <w:rPr>
          <w:rFonts w:hint="eastAsia"/>
          <w:bCs/>
        </w:rPr>
        <w:t>1）基金合同约定股票及存托凭证资产投资比例不低于基金资产60%的混合型基金；</w:t>
      </w:r>
    </w:p>
    <w:p w14:paraId="42EAFB35">
      <w:pPr>
        <w:ind w:firstLine="480"/>
        <w:rPr>
          <w:bCs/>
        </w:rPr>
      </w:pPr>
      <w:r>
        <w:rPr>
          <w:rFonts w:hint="eastAsia"/>
          <w:bCs/>
        </w:rPr>
        <w:t>2）根据基金披露的定期报告，最近四个季度中任一季度股票及存托凭证资产占基金资产比例均不低于60%的混合型基金。</w:t>
      </w:r>
    </w:p>
    <w:p w14:paraId="56E7E76A">
      <w:pPr>
        <w:ind w:firstLine="480"/>
        <w:rPr>
          <w:bCs/>
        </w:rPr>
      </w:pPr>
      <w:r>
        <w:rPr>
          <w:rFonts w:hint="eastAsia"/>
          <w:bCs/>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本基金除了承担投资其他基金的管理费、托管费和销售费用（其中申购本基金基金管理人自身管理的其他基金（ETF除外）应当通过直销渠道申购且不收取申购费、赎回费（不包括按照相关法规、基金招募说明书约定应当收取，并计入基金财产的赎回费用）、销售服务费等）外，还须承担本基金本身的管理费、托管费和销售费用（其中不收取基金财产中持有本基金管理人管理的其他基金部分的管理费、本基金托管人托管的其他基金部分的托管费），因此，本基金最终获取的回报与直接投资于其他基金获取的回报存在差异。</w:t>
      </w:r>
    </w:p>
    <w:p w14:paraId="7A330159">
      <w:pPr>
        <w:ind w:firstLine="480"/>
        <w:rPr>
          <w:bCs/>
        </w:rPr>
      </w:pPr>
      <w:r>
        <w:rPr>
          <w:rFonts w:hint="eastAsia"/>
          <w:bCs/>
        </w:rPr>
        <w:t>8、科创板投资风险</w:t>
      </w:r>
    </w:p>
    <w:p w14:paraId="6985FD7D">
      <w:pPr>
        <w:ind w:firstLine="480"/>
        <w:rPr>
          <w:bCs/>
        </w:rPr>
      </w:pPr>
      <w:r>
        <w:rPr>
          <w:rFonts w:hint="eastAsia"/>
          <w:bCs/>
        </w:rPr>
        <w:t xml:space="preserve">本基金可投资于科创板股票，若本基金投资于科创板股票，会面临科创板机制下因投资标的、市场制度以及交易规则等差异带来的特有风险，包括但不限于： </w:t>
      </w:r>
    </w:p>
    <w:p w14:paraId="26B08A75">
      <w:pPr>
        <w:ind w:firstLine="480"/>
        <w:rPr>
          <w:bCs/>
        </w:rPr>
      </w:pPr>
      <w:r>
        <w:rPr>
          <w:rFonts w:hint="eastAsia"/>
          <w:bCs/>
        </w:rPr>
        <w:t xml:space="preserve">（1）退市风险 </w:t>
      </w:r>
    </w:p>
    <w:p w14:paraId="08F12C4A">
      <w:pPr>
        <w:ind w:firstLine="480"/>
        <w:rPr>
          <w:bCs/>
        </w:rPr>
      </w:pPr>
      <w:r>
        <w:rPr>
          <w:rFonts w:hint="eastAsia"/>
          <w:bCs/>
        </w:rPr>
        <w:t xml:space="preserve">1）科创板退市制度较主板更为严格，退市时间更短，退市速度更快； </w:t>
      </w:r>
    </w:p>
    <w:p w14:paraId="642DA2D2">
      <w:pPr>
        <w:ind w:firstLine="480"/>
        <w:rPr>
          <w:bCs/>
        </w:rPr>
      </w:pPr>
      <w:r>
        <w:rPr>
          <w:rFonts w:hint="eastAsia"/>
          <w:bCs/>
        </w:rPr>
        <w:t xml:space="preserve">2）退市情形更多，新增市值低于规定标准、上市公司信息披露或者规范运作存在重大缺陷导致退市的情形； </w:t>
      </w:r>
    </w:p>
    <w:p w14:paraId="1167E2E6">
      <w:pPr>
        <w:ind w:firstLine="480"/>
        <w:rPr>
          <w:bCs/>
        </w:rPr>
      </w:pPr>
      <w:r>
        <w:rPr>
          <w:rFonts w:hint="eastAsia"/>
          <w:bCs/>
        </w:rPr>
        <w:t xml:space="preserve">3）执行标准更严，明显丧失持续经营能力，仅依赖与主业无关的贸易或者不具备商业实质的关联交易维持收入的上市公司可能会被退市； </w:t>
      </w:r>
    </w:p>
    <w:p w14:paraId="345AA7E0">
      <w:pPr>
        <w:ind w:firstLine="480"/>
        <w:rPr>
          <w:bCs/>
        </w:rPr>
      </w:pPr>
      <w:r>
        <w:rPr>
          <w:rFonts w:hint="eastAsia"/>
          <w:bCs/>
        </w:rPr>
        <w:t>4）不再设置暂停上市、恢复上市和重新上市环节，上市公司退市风险更大。</w:t>
      </w:r>
    </w:p>
    <w:p w14:paraId="5A032C63">
      <w:pPr>
        <w:ind w:firstLine="480"/>
        <w:rPr>
          <w:bCs/>
        </w:rPr>
      </w:pPr>
      <w:r>
        <w:rPr>
          <w:rFonts w:hint="eastAsia"/>
          <w:bCs/>
        </w:rPr>
        <w:t xml:space="preserve">（2）市场风险 </w:t>
      </w:r>
    </w:p>
    <w:p w14:paraId="5DC0C644">
      <w:pPr>
        <w:ind w:firstLine="480"/>
        <w:rPr>
          <w:bCs/>
        </w:rPr>
      </w:pPr>
      <w:r>
        <w:rPr>
          <w:rFonts w:hint="eastAsia"/>
          <w:bCs/>
        </w:rPr>
        <w:t>科创板企业相对集中于新一代信息技术、高端装备、新材料、新能源、节能环保及生物医药等高新技术产业和战略新兴产业，大多数企业为初创型公司，企业未来盈利、现金流、估值均存在不确定性，股票投资市场风险加大。科创板股票竞价交易设置较宽的涨跌幅限制，上市后的前5个交易日不设涨跌幅限制，其后涨跌幅限制为20%，科创板股票上市首日即可作为融资融券标的，可能导致较大的股票价格波动。</w:t>
      </w:r>
    </w:p>
    <w:p w14:paraId="078697ED">
      <w:pPr>
        <w:ind w:firstLine="480"/>
        <w:rPr>
          <w:bCs/>
        </w:rPr>
      </w:pPr>
      <w:r>
        <w:rPr>
          <w:rFonts w:hint="eastAsia"/>
          <w:bCs/>
        </w:rPr>
        <w:t xml:space="preserve">（3）流动性风险 </w:t>
      </w:r>
    </w:p>
    <w:p w14:paraId="66361C2B">
      <w:pPr>
        <w:ind w:firstLine="480"/>
        <w:rPr>
          <w:bCs/>
        </w:rPr>
      </w:pPr>
      <w:r>
        <w:rPr>
          <w:rFonts w:hint="eastAsia"/>
          <w:bCs/>
        </w:rPr>
        <w:t>科创板投资门槛较高，科创板的投资者可能以机构投资者为主，整体流动性可能相对较弱。此外，科创板股票网下发行时，获配账户存在被随机抽中设置一定期限限售期的可能，基金存在无法及时变现及其他相关流动性风险。</w:t>
      </w:r>
    </w:p>
    <w:p w14:paraId="6591B474">
      <w:pPr>
        <w:ind w:firstLine="480"/>
        <w:rPr>
          <w:bCs/>
        </w:rPr>
      </w:pPr>
      <w:r>
        <w:rPr>
          <w:rFonts w:hint="eastAsia"/>
          <w:bCs/>
        </w:rPr>
        <w:t xml:space="preserve">（4）系统性风险 </w:t>
      </w:r>
    </w:p>
    <w:p w14:paraId="5040052F">
      <w:pPr>
        <w:ind w:firstLine="480"/>
        <w:rPr>
          <w:bCs/>
        </w:rPr>
      </w:pPr>
      <w:r>
        <w:rPr>
          <w:rFonts w:hint="eastAsia"/>
          <w:bCs/>
        </w:rPr>
        <w:t xml:space="preserve">科创板企业均为市场认可度较高的科技创新企业，在企业经营及盈利模式上存在趋同，所以科创板股票相关性较高，市场表现不佳时，系统性风险将更为显著。 </w:t>
      </w:r>
    </w:p>
    <w:p w14:paraId="5910205F">
      <w:pPr>
        <w:ind w:firstLine="480"/>
        <w:rPr>
          <w:bCs/>
        </w:rPr>
      </w:pPr>
      <w:r>
        <w:rPr>
          <w:rFonts w:hint="eastAsia"/>
          <w:bCs/>
        </w:rPr>
        <w:t xml:space="preserve">（5）政策风险 </w:t>
      </w:r>
    </w:p>
    <w:p w14:paraId="3E833F9A">
      <w:pPr>
        <w:ind w:firstLine="480"/>
        <w:rPr>
          <w:bCs/>
        </w:rPr>
      </w:pPr>
      <w:r>
        <w:rPr>
          <w:rFonts w:hint="eastAsia"/>
          <w:bCs/>
        </w:rPr>
        <w:t>国家对高新技术产业扶持力度及重视程度的变化会对科创板企业带来较大影响，国际经济形势变化对战略新兴产业及科创板股票也会带来政策影响。</w:t>
      </w:r>
    </w:p>
    <w:p w14:paraId="00B24CF6">
      <w:pPr>
        <w:ind w:firstLine="480"/>
        <w:rPr>
          <w:bCs/>
        </w:rPr>
      </w:pPr>
      <w:r>
        <w:rPr>
          <w:bCs/>
        </w:rPr>
        <w:t>9</w:t>
      </w:r>
      <w:r>
        <w:rPr>
          <w:rFonts w:hint="eastAsia"/>
          <w:bCs/>
        </w:rPr>
        <w:t>、公募REITs投资风险</w:t>
      </w:r>
    </w:p>
    <w:p w14:paraId="44FD3123">
      <w:pPr>
        <w:ind w:firstLine="480"/>
        <w:rPr>
          <w:bCs/>
        </w:rPr>
      </w:pPr>
      <w:r>
        <w:rPr>
          <w:rFonts w:hint="eastAsia"/>
          <w:bCs/>
        </w:rPr>
        <w:t>公募REITs采用“公募基金+基础设施资产支持证券”的产品结构，主要特点如下：一是公募REITs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公募REITs以获取基础设施项目租金、收费等稳定现金流为主要目的，收益分配比例不低于合并后基金年度可供分配金额的90%；三是公募REITs采取封闭式运作，不开放申购与赎回，在证券交易所上市，使用场外基金账户认购的基金份额持有人需通过办理跨系统转托管业务方可参与证券交易所场内交易，亦可直接按证券交易所、登记机构规则参与基金通平台交易。</w:t>
      </w:r>
    </w:p>
    <w:p w14:paraId="74063A72">
      <w:pPr>
        <w:ind w:firstLine="480"/>
        <w:rPr>
          <w:bCs/>
        </w:rPr>
      </w:pPr>
      <w:r>
        <w:rPr>
          <w:rFonts w:hint="eastAsia"/>
          <w:bCs/>
        </w:rPr>
        <w:t>投资公募REITs可能面临以下风险，包括但不限于：</w:t>
      </w:r>
    </w:p>
    <w:p w14:paraId="261E835D">
      <w:pPr>
        <w:ind w:firstLine="480"/>
        <w:rPr>
          <w:bCs/>
        </w:rPr>
      </w:pPr>
      <w:r>
        <w:rPr>
          <w:rFonts w:hint="eastAsia"/>
          <w:bCs/>
        </w:rPr>
        <w:t>（1）基金价格波动风险</w:t>
      </w:r>
    </w:p>
    <w:p w14:paraId="0C89E353">
      <w:pPr>
        <w:ind w:firstLine="480"/>
        <w:rPr>
          <w:bCs/>
        </w:rPr>
      </w:pPr>
      <w:r>
        <w:rPr>
          <w:rFonts w:hint="eastAsia"/>
          <w:bCs/>
        </w:rPr>
        <w:t>公募REITs大部分资产投资于基础设施项目，具有权益属性，受经济环境、运营管理、基金扩募等因素影响，基础设施项目市场价值及现金流情况可能发生变化，可能引起公募REITs价格波动，甚至存在基础设施项目遭遇极端事件（如地震、台风等）发生较大损失而影响基金价格的风险。</w:t>
      </w:r>
    </w:p>
    <w:p w14:paraId="4A1E3F08">
      <w:pPr>
        <w:ind w:firstLine="480"/>
        <w:rPr>
          <w:bCs/>
        </w:rPr>
      </w:pPr>
      <w:r>
        <w:rPr>
          <w:rFonts w:hint="eastAsia"/>
          <w:bCs/>
        </w:rPr>
        <w:t>（2）基础设施项目运营风险</w:t>
      </w:r>
    </w:p>
    <w:p w14:paraId="55F8F13E">
      <w:pPr>
        <w:ind w:firstLine="480"/>
        <w:rPr>
          <w:bCs/>
        </w:rPr>
      </w:pPr>
      <w:r>
        <w:rPr>
          <w:rFonts w:hint="eastAsia"/>
          <w:bCs/>
        </w:rPr>
        <w:t>公募REITs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REITs可直接或间接对外借款，存在基础设施项目经营不达预期，基金无法偿还借款的风险。</w:t>
      </w:r>
    </w:p>
    <w:p w14:paraId="522390B8">
      <w:pPr>
        <w:ind w:firstLine="480"/>
        <w:rPr>
          <w:bCs/>
        </w:rPr>
      </w:pPr>
      <w:r>
        <w:rPr>
          <w:rFonts w:hint="eastAsia"/>
          <w:bCs/>
        </w:rPr>
        <w:t>（3）基础设施估值无法体现公允价值的风险</w:t>
      </w:r>
    </w:p>
    <w:p w14:paraId="7A588166">
      <w:pPr>
        <w:ind w:firstLine="480"/>
        <w:rPr>
          <w:bCs/>
        </w:rPr>
      </w:pPr>
      <w:r>
        <w:rPr>
          <w:rFonts w:hint="eastAsia"/>
          <w:bCs/>
        </w:rPr>
        <w:t>基础设施资产的评估以收益法为主，收益法进行估价时需要测算收益期、测算未来收益、确定报酬率或者资本化率，并将未来收益折现为现值。由于基础设施资产的评估值是基于相关假设条件测算得到的，估值技术和信息的局限性导致基础设施资产的评估值并不代表对基础设施资产真实的公允价值，也不构成未来可交易价格的保证。在基础设施项目出售的过程中，可能出现成交价格低于估值的情形，对公募REITs财务状况造成不利影响。</w:t>
      </w:r>
    </w:p>
    <w:p w14:paraId="19BB2333">
      <w:pPr>
        <w:ind w:firstLine="480"/>
        <w:rPr>
          <w:bCs/>
        </w:rPr>
      </w:pPr>
      <w:r>
        <w:rPr>
          <w:rFonts w:hint="eastAsia"/>
          <w:bCs/>
        </w:rPr>
        <w:t>（4）基金份额交易价格折溢价风险</w:t>
      </w:r>
    </w:p>
    <w:p w14:paraId="064FC925">
      <w:pPr>
        <w:ind w:firstLine="480"/>
        <w:rPr>
          <w:bCs/>
        </w:rPr>
      </w:pPr>
      <w:r>
        <w:rPr>
          <w:rFonts w:hint="eastAsia"/>
          <w:bCs/>
        </w:rPr>
        <w:t>公募REITs基金合同生效后，将根据相关法律法规和证券交易所规定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05BA41AF">
      <w:pPr>
        <w:ind w:firstLine="480"/>
        <w:rPr>
          <w:bCs/>
        </w:rPr>
      </w:pPr>
      <w:r>
        <w:rPr>
          <w:rFonts w:hint="eastAsia"/>
          <w:bCs/>
        </w:rPr>
        <w:t>（5）流动性风险</w:t>
      </w:r>
    </w:p>
    <w:p w14:paraId="615B7AF1">
      <w:pPr>
        <w:ind w:firstLine="480"/>
        <w:rPr>
          <w:bCs/>
        </w:rPr>
      </w:pPr>
      <w:r>
        <w:rPr>
          <w:rFonts w:hint="eastAsia"/>
          <w:bCs/>
        </w:rPr>
        <w:t>公募REITs采取封闭式运作，不开通申购赎回，只能在二级市场交易，存在流动性不足的风险。此外，公募REITs持有所投资的基础设施资产支持证券的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14:paraId="45458657">
      <w:pPr>
        <w:ind w:firstLine="480"/>
        <w:rPr>
          <w:bCs/>
        </w:rPr>
      </w:pPr>
      <w:r>
        <w:rPr>
          <w:rFonts w:hint="eastAsia"/>
          <w:bCs/>
        </w:rPr>
        <w:t>（6）终止上市风险</w:t>
      </w:r>
    </w:p>
    <w:p w14:paraId="6DE70E60">
      <w:pPr>
        <w:ind w:firstLine="480"/>
        <w:rPr>
          <w:bCs/>
        </w:rPr>
      </w:pPr>
      <w:r>
        <w:rPr>
          <w:rFonts w:hint="eastAsia"/>
          <w:bCs/>
        </w:rPr>
        <w:t>公募REITs运作过程中可能因触发法律法规或交易所规定的终止上市情形而终止上市，导致投资者无法在二级市场交易。</w:t>
      </w:r>
    </w:p>
    <w:p w14:paraId="2D4B14F4">
      <w:pPr>
        <w:ind w:firstLine="480"/>
        <w:rPr>
          <w:bCs/>
        </w:rPr>
      </w:pPr>
      <w:r>
        <w:rPr>
          <w:rFonts w:hint="eastAsia"/>
          <w:bCs/>
        </w:rPr>
        <w:t>（7）政策调整风险</w:t>
      </w:r>
    </w:p>
    <w:p w14:paraId="1569BABD">
      <w:pPr>
        <w:ind w:firstLine="480"/>
        <w:rPr>
          <w:bCs/>
        </w:rPr>
      </w:pPr>
      <w:r>
        <w:rPr>
          <w:rFonts w:hint="eastAsia"/>
          <w:bCs/>
        </w:rPr>
        <w:t>公募REITs存在因相关法律法规修改或监管机构政策变更等基金管理人无法控制的因素的变化，使基金或投资者利益受到影响的风险，例如：公募REITs运作过程中可能涉及基金份额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4B4D3C2D">
      <w:pPr>
        <w:ind w:firstLine="480"/>
        <w:rPr>
          <w:bCs/>
        </w:rPr>
      </w:pPr>
      <w:r>
        <w:rPr>
          <w:rFonts w:hint="eastAsia"/>
          <w:bCs/>
        </w:rPr>
        <w:t>（8）利益冲突风险</w:t>
      </w:r>
    </w:p>
    <w:p w14:paraId="5C53F195">
      <w:pPr>
        <w:ind w:firstLine="480"/>
        <w:rPr>
          <w:bCs/>
        </w:rPr>
      </w:pPr>
      <w:r>
        <w:rPr>
          <w:rFonts w:hint="eastAsia"/>
          <w:bCs/>
        </w:rPr>
        <w:t>公募REITs基金管理人可能同时管理多只同类型的公募REITs；公募REITs基金管理人聘请的运营管理机构可能持有或为其他同类型的基础设施项目提供运营管理服务；公募REITs原始权益人也可能持有或管理其他同类型的基础设施项目等。由于上述情况，公募REITs的关联方可能与公募REITs 存在一定的利益冲突。</w:t>
      </w:r>
    </w:p>
    <w:p w14:paraId="797745B7">
      <w:pPr>
        <w:ind w:firstLine="480"/>
        <w:rPr>
          <w:bCs/>
        </w:rPr>
      </w:pPr>
      <w:r>
        <w:rPr>
          <w:rFonts w:hint="eastAsia"/>
          <w:bCs/>
        </w:rPr>
        <w:t>（9）公募REITs相关法律法规和交易所业务规则，可能根据市场情况进行修改，或者制定新的法律法规和业务规则，投资者应当及时予以关注和了解。</w:t>
      </w:r>
    </w:p>
    <w:p w14:paraId="2541F800">
      <w:pPr>
        <w:ind w:firstLine="482"/>
        <w:rPr>
          <w:b/>
        </w:rPr>
      </w:pPr>
      <w:r>
        <w:rPr>
          <w:rFonts w:hint="eastAsia"/>
          <w:b/>
        </w:rPr>
        <w:t>（二）</w:t>
      </w:r>
      <w:r>
        <w:rPr>
          <w:b/>
        </w:rPr>
        <w:t>市场风险</w:t>
      </w:r>
    </w:p>
    <w:p w14:paraId="4AC6682D">
      <w:pPr>
        <w:ind w:firstLine="480"/>
        <w:rPr>
          <w:bCs/>
        </w:rPr>
      </w:pPr>
      <w:r>
        <w:rPr>
          <w:bCs/>
        </w:rPr>
        <w:t xml:space="preserve">市场风险是指证券市场价格受到经济因素、政治因素、投资心理和交易制度等各种因素的影响而变化，导致收益水平存在的不确定性。市场风险主要包括： </w:t>
      </w:r>
    </w:p>
    <w:p w14:paraId="377CB571">
      <w:pPr>
        <w:ind w:firstLine="480"/>
        <w:rPr>
          <w:bCs/>
        </w:rPr>
      </w:pPr>
      <w:r>
        <w:rPr>
          <w:rFonts w:hint="eastAsia"/>
          <w:bCs/>
        </w:rPr>
        <w:t>1、</w:t>
      </w:r>
      <w:r>
        <w:rPr>
          <w:bCs/>
        </w:rPr>
        <w:t>政策风险</w:t>
      </w:r>
    </w:p>
    <w:p w14:paraId="6BEB9C27">
      <w:pPr>
        <w:ind w:firstLine="480"/>
        <w:rPr>
          <w:bCs/>
        </w:rPr>
      </w:pPr>
      <w:r>
        <w:rPr>
          <w:bCs/>
        </w:rPr>
        <w:t>因国家宏观政策（如货币政策、财政政策、行业政策、地区发展政策等）发生变化，导致市场价格波动而产生风险。</w:t>
      </w:r>
    </w:p>
    <w:p w14:paraId="487C83FB">
      <w:pPr>
        <w:ind w:firstLine="480"/>
        <w:rPr>
          <w:bCs/>
        </w:rPr>
      </w:pPr>
      <w:r>
        <w:rPr>
          <w:rFonts w:hint="eastAsia"/>
          <w:bCs/>
        </w:rPr>
        <w:t>2、</w:t>
      </w:r>
      <w:r>
        <w:rPr>
          <w:bCs/>
        </w:rPr>
        <w:t>经济周期风险</w:t>
      </w:r>
    </w:p>
    <w:p w14:paraId="0A16EB6D">
      <w:pPr>
        <w:ind w:firstLine="480"/>
        <w:rPr>
          <w:bCs/>
        </w:rPr>
      </w:pPr>
      <w:r>
        <w:rPr>
          <w:bCs/>
        </w:rPr>
        <w:t>随经济运行的周期性变化，证券市场的收益水平也呈周期性变化。基金投资于债券与上市公司的股票，收益水平也会随之变化，从而产生风险。</w:t>
      </w:r>
    </w:p>
    <w:p w14:paraId="557C8FD8">
      <w:pPr>
        <w:ind w:firstLine="480"/>
        <w:rPr>
          <w:bCs/>
        </w:rPr>
      </w:pPr>
      <w:r>
        <w:rPr>
          <w:rFonts w:hint="eastAsia"/>
          <w:bCs/>
        </w:rPr>
        <w:t>3、</w:t>
      </w:r>
      <w:r>
        <w:rPr>
          <w:bCs/>
        </w:rPr>
        <w:t>利率风险</w:t>
      </w:r>
    </w:p>
    <w:p w14:paraId="4174E904">
      <w:pPr>
        <w:ind w:firstLine="480"/>
        <w:rPr>
          <w:bCs/>
        </w:rPr>
      </w:pPr>
      <w:r>
        <w:rPr>
          <w:bCs/>
        </w:rPr>
        <w:t>金融市场利率的波动会导致证券市场价格和收益率的变动。利率直接影响着债券的价格和收益率，影响着企业的融资成本和利润。基金投资于债券和股票，其收益水平会受到利率变化的影响。</w:t>
      </w:r>
    </w:p>
    <w:p w14:paraId="0EC06E5F">
      <w:pPr>
        <w:ind w:firstLine="480"/>
        <w:rPr>
          <w:bCs/>
        </w:rPr>
      </w:pPr>
      <w:r>
        <w:rPr>
          <w:rFonts w:hint="eastAsia"/>
          <w:bCs/>
        </w:rPr>
        <w:t>4、</w:t>
      </w:r>
      <w:r>
        <w:rPr>
          <w:bCs/>
        </w:rPr>
        <w:t>上市公司经营风险</w:t>
      </w:r>
    </w:p>
    <w:p w14:paraId="06624E8B">
      <w:pPr>
        <w:ind w:firstLine="480"/>
        <w:rPr>
          <w:bCs/>
        </w:rPr>
      </w:pPr>
      <w:r>
        <w:rPr>
          <w:bCs/>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9698196">
      <w:pPr>
        <w:ind w:firstLine="480"/>
        <w:rPr>
          <w:bCs/>
        </w:rPr>
      </w:pPr>
      <w:r>
        <w:rPr>
          <w:rFonts w:hint="eastAsia"/>
          <w:bCs/>
        </w:rPr>
        <w:t>5、</w:t>
      </w:r>
      <w:r>
        <w:rPr>
          <w:bCs/>
        </w:rPr>
        <w:t>信用风险</w:t>
      </w:r>
    </w:p>
    <w:p w14:paraId="07C2D7A8">
      <w:pPr>
        <w:ind w:firstLine="480"/>
        <w:rPr>
          <w:bCs/>
        </w:rPr>
      </w:pPr>
      <w:r>
        <w:rPr>
          <w:bCs/>
        </w:rPr>
        <w:t>主要是指债务人的违约风险，若债务人经营不善，资不抵债，债权人可能会损失掉大部分的投资，这主要体现在企业债中。</w:t>
      </w:r>
    </w:p>
    <w:p w14:paraId="054A0631">
      <w:pPr>
        <w:ind w:firstLine="480"/>
        <w:rPr>
          <w:bCs/>
        </w:rPr>
      </w:pPr>
      <w:r>
        <w:rPr>
          <w:rFonts w:hint="eastAsia"/>
          <w:bCs/>
        </w:rPr>
        <w:t>6、</w:t>
      </w:r>
      <w:r>
        <w:rPr>
          <w:bCs/>
        </w:rPr>
        <w:t>购买力风险</w:t>
      </w:r>
    </w:p>
    <w:p w14:paraId="64C600C3">
      <w:pPr>
        <w:ind w:firstLine="480"/>
        <w:rPr>
          <w:bCs/>
        </w:rPr>
      </w:pPr>
      <w:r>
        <w:rPr>
          <w:bCs/>
        </w:rPr>
        <w:t>基金的利润将主要通过现金形式来分配，而现金可能因为通货膨胀的影响而导致购买力下降，从而使基金的实际收益下降。</w:t>
      </w:r>
    </w:p>
    <w:p w14:paraId="05772D46">
      <w:pPr>
        <w:ind w:firstLine="480"/>
        <w:rPr>
          <w:bCs/>
        </w:rPr>
      </w:pPr>
      <w:r>
        <w:rPr>
          <w:rFonts w:hint="eastAsia"/>
          <w:bCs/>
        </w:rPr>
        <w:t>7、</w:t>
      </w:r>
      <w:r>
        <w:rPr>
          <w:bCs/>
        </w:rPr>
        <w:t>债券收益率曲线风险</w:t>
      </w:r>
    </w:p>
    <w:p w14:paraId="3B014F52">
      <w:pPr>
        <w:ind w:firstLine="480"/>
        <w:rPr>
          <w:bCs/>
        </w:rPr>
      </w:pPr>
      <w:r>
        <w:rPr>
          <w:bCs/>
        </w:rPr>
        <w:t>债券收益率曲线风险是指与收益率曲线非平行移动有关的风险，单一的久期指标并不能充分反映这一风险的存在。</w:t>
      </w:r>
    </w:p>
    <w:p w14:paraId="7D234A16">
      <w:pPr>
        <w:ind w:firstLine="480"/>
        <w:rPr>
          <w:bCs/>
        </w:rPr>
      </w:pPr>
      <w:r>
        <w:rPr>
          <w:rFonts w:hint="eastAsia"/>
          <w:bCs/>
        </w:rPr>
        <w:t>8、</w:t>
      </w:r>
      <w:r>
        <w:rPr>
          <w:bCs/>
        </w:rPr>
        <w:t>再投资风险</w:t>
      </w:r>
    </w:p>
    <w:p w14:paraId="67ABBBC5">
      <w:pPr>
        <w:ind w:firstLine="480"/>
        <w:rPr>
          <w:bCs/>
        </w:rPr>
      </w:pPr>
      <w:r>
        <w:rPr>
          <w:bCs/>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0B269054">
      <w:pPr>
        <w:ind w:firstLine="480"/>
        <w:rPr>
          <w:bCs/>
        </w:rPr>
      </w:pPr>
      <w:r>
        <w:rPr>
          <w:rFonts w:hint="eastAsia"/>
          <w:bCs/>
        </w:rPr>
        <w:t>9、</w:t>
      </w:r>
      <w:r>
        <w:rPr>
          <w:bCs/>
        </w:rPr>
        <w:t>波动性风险</w:t>
      </w:r>
    </w:p>
    <w:p w14:paraId="50AC0048">
      <w:pPr>
        <w:ind w:firstLine="480"/>
        <w:rPr>
          <w:bCs/>
        </w:rPr>
      </w:pPr>
      <w:r>
        <w:rPr>
          <w:bCs/>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77F05105">
      <w:pPr>
        <w:ind w:firstLine="482"/>
        <w:rPr>
          <w:b/>
          <w:bCs/>
        </w:rPr>
      </w:pPr>
      <w:r>
        <w:rPr>
          <w:rFonts w:hint="eastAsia"/>
          <w:b/>
          <w:bCs/>
        </w:rPr>
        <w:t>（三）</w:t>
      </w:r>
      <w:r>
        <w:rPr>
          <w:b/>
          <w:bCs/>
        </w:rPr>
        <w:t xml:space="preserve">流动性风险 </w:t>
      </w:r>
    </w:p>
    <w:p w14:paraId="547975E5">
      <w:pPr>
        <w:ind w:firstLine="480"/>
        <w:rPr>
          <w:bCs/>
        </w:rPr>
      </w:pPr>
      <w:r>
        <w:rPr>
          <w:rFonts w:hint="eastAsia"/>
          <w:bCs/>
        </w:rPr>
        <w:t>1、拟投资市场、行业及资产的流动性风险评估</w:t>
      </w:r>
    </w:p>
    <w:p w14:paraId="013854FF">
      <w:pPr>
        <w:ind w:firstLine="480"/>
        <w:rPr>
          <w:bCs/>
        </w:rPr>
      </w:pPr>
      <w:r>
        <w:rPr>
          <w:rFonts w:hint="eastAsia"/>
          <w:bCs/>
        </w:rPr>
        <w:t>（</w:t>
      </w:r>
      <w:r>
        <w:rPr>
          <w:bCs/>
        </w:rPr>
        <w:t>1</w:t>
      </w:r>
      <w:r>
        <w:rPr>
          <w:rFonts w:hint="eastAsia"/>
          <w:bCs/>
        </w:rPr>
        <w:t>）投资市场的流动性风险</w:t>
      </w:r>
    </w:p>
    <w:p w14:paraId="683C5895">
      <w:pPr>
        <w:ind w:firstLine="480"/>
        <w:rPr>
          <w:bCs/>
        </w:rPr>
      </w:pPr>
      <w:r>
        <w:rPr>
          <w:rFonts w:hint="eastAsia"/>
          <w:bCs/>
        </w:rPr>
        <w:t>本基金主要投资于国内依法发行上市的股票、存托凭证、港股通标的股票、债券、资产支持证券、债券回购、银行存款、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w:t>
      </w:r>
      <w:r>
        <w:rPr>
          <w:bCs/>
        </w:rPr>
        <w:t>。</w:t>
      </w:r>
      <w:r>
        <w:rPr>
          <w:rFonts w:hint="eastAsia"/>
          <w:bCs/>
        </w:rPr>
        <w:t>上述资产均在规范的交易场所（非上市交易的公开募集证券投资基金除外）、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294DCAB8">
      <w:pPr>
        <w:ind w:firstLine="480"/>
        <w:rPr>
          <w:bCs/>
        </w:rPr>
      </w:pPr>
      <w:r>
        <w:rPr>
          <w:rFonts w:hint="eastAsia"/>
          <w:bCs/>
        </w:rPr>
        <w:t>（2）投资行业的流动性风险</w:t>
      </w:r>
    </w:p>
    <w:p w14:paraId="33F3EA22">
      <w:pPr>
        <w:ind w:firstLine="480"/>
        <w:rPr>
          <w:bCs/>
        </w:rPr>
      </w:pPr>
      <w:r>
        <w:rPr>
          <w:rFonts w:hint="eastAsia"/>
          <w:bCs/>
        </w:rPr>
        <w:t>债券投资方面，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6C24146A">
      <w:pPr>
        <w:ind w:firstLine="480"/>
        <w:rPr>
          <w:bCs/>
        </w:rPr>
      </w:pPr>
      <w:r>
        <w:rPr>
          <w:rFonts w:hint="eastAsia"/>
          <w:bCs/>
        </w:rPr>
        <w:t>股票投资方面，本基金将精选基本面良好、有长期投资价值的优质企业。</w:t>
      </w:r>
    </w:p>
    <w:p w14:paraId="24F160B9">
      <w:pPr>
        <w:ind w:firstLine="480"/>
        <w:rPr>
          <w:bCs/>
        </w:rPr>
      </w:pPr>
      <w:r>
        <w:rPr>
          <w:rFonts w:hint="eastAsia"/>
          <w:bCs/>
        </w:rPr>
        <w:t>基金投资方面，本基金投资于全市场的股票型ETF、公募REITs，以及基金管理人旗下的股票型基金、计入权益类资产的混合型基金。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05C656B3">
      <w:pPr>
        <w:ind w:firstLine="480"/>
        <w:rPr>
          <w:bCs/>
        </w:rPr>
      </w:pPr>
      <w:r>
        <w:rPr>
          <w:rFonts w:hint="eastAsia"/>
          <w:bCs/>
        </w:rPr>
        <w:t>因此本基金在投资运作过程中的行业配置较为灵活，在综合考虑宏观因素及行业基本面的前提下进行配置，行业分散度较高，受到单一行业流动性风险的影响较小。</w:t>
      </w:r>
    </w:p>
    <w:p w14:paraId="5F7BE015">
      <w:pPr>
        <w:ind w:firstLine="480"/>
        <w:rPr>
          <w:bCs/>
        </w:rPr>
      </w:pPr>
      <w:r>
        <w:rPr>
          <w:rFonts w:hint="eastAsia"/>
          <w:bCs/>
        </w:rPr>
        <w:t>（3）投资资产的流动性风险</w:t>
      </w:r>
    </w:p>
    <w:p w14:paraId="2F69CCBA">
      <w:pPr>
        <w:ind w:firstLine="480"/>
        <w:rPr>
          <w:bCs/>
        </w:rPr>
      </w:pPr>
      <w:r>
        <w:rPr>
          <w:rFonts w:hint="eastAsia"/>
          <w:bCs/>
        </w:rPr>
        <w:t>本基金针对流动性较低资产的投资进行了严格的限制，以降低基金的流动性风险：本基金主动投资于流动性受限资产（含封闭运作基金、定期开放基金等）的市值合计不得超过本基金资产净值的15%。</w:t>
      </w:r>
    </w:p>
    <w:p w14:paraId="648BB321">
      <w:pPr>
        <w:ind w:firstLine="480"/>
        <w:rPr>
          <w:bCs/>
        </w:rPr>
      </w:pPr>
      <w:r>
        <w:rPr>
          <w:rFonts w:hint="eastAsia"/>
          <w:bCs/>
        </w:rPr>
        <w:t>本</w:t>
      </w:r>
      <w:r>
        <w:rPr>
          <w:bCs/>
        </w:rPr>
        <w:t>基金为开放式基金，</w:t>
      </w:r>
      <w:r>
        <w:rPr>
          <w:rFonts w:hint="eastAsia"/>
          <w:bCs/>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05F34B99">
      <w:pPr>
        <w:ind w:firstLine="480"/>
        <w:rPr>
          <w:bCs/>
        </w:rPr>
      </w:pPr>
      <w:r>
        <w:rPr>
          <w:rFonts w:hint="eastAsia"/>
          <w:bCs/>
        </w:rPr>
        <w:t>2、本基金申购、赎回安排</w:t>
      </w:r>
    </w:p>
    <w:p w14:paraId="62F4D09E">
      <w:pPr>
        <w:ind w:firstLine="480"/>
        <w:rPr>
          <w:bCs/>
        </w:rPr>
      </w:pPr>
      <w:r>
        <w:rPr>
          <w:bCs/>
        </w:rPr>
        <w:t>投资人在开放日办理基金份额的申购和赎回</w:t>
      </w:r>
      <w:r>
        <w:rPr>
          <w:rFonts w:hint="eastAsia"/>
          <w:bCs/>
        </w:rPr>
        <w:t>。为切实保护存量基金份额持有人的合法权益，遵循基金份额持有人利益优先原则，本基金管理人将合理控制基金份额持有人集中度，审慎确认申购赎回业务申请，包括但不限于：</w:t>
      </w:r>
    </w:p>
    <w:p w14:paraId="4987E270">
      <w:pPr>
        <w:ind w:firstLine="480"/>
        <w:rPr>
          <w:bCs/>
        </w:rPr>
      </w:pPr>
      <w:r>
        <w:rPr>
          <w:rFonts w:hint="eastAsia"/>
          <w:bCs/>
        </w:rPr>
        <w:t>（1）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rPr>
        <w:t>。</w:t>
      </w:r>
    </w:p>
    <w:p w14:paraId="4D31887D">
      <w:pPr>
        <w:ind w:firstLine="480"/>
        <w:rPr>
          <w:bCs/>
        </w:rPr>
      </w:pPr>
      <w:r>
        <w:rPr>
          <w:rFonts w:hint="eastAsia"/>
          <w:bCs/>
        </w:rPr>
        <w:t>（2）当发生大额申购或赎回情形时，基金管理人可以采用摆动定价机制，以确保基金估值的公平性。</w:t>
      </w:r>
    </w:p>
    <w:p w14:paraId="628FD3ED">
      <w:pPr>
        <w:ind w:firstLine="480"/>
        <w:rPr>
          <w:bCs/>
        </w:rPr>
      </w:pPr>
      <w:r>
        <w:rPr>
          <w:rFonts w:hint="eastAsia"/>
          <w:bCs/>
        </w:rPr>
        <w:t>（3）本基金管理人对持续持有期少于7日的投资者收取不低于1.5%的赎回费，并将上述赎回费全额计入基金财产。</w:t>
      </w:r>
    </w:p>
    <w:p w14:paraId="6D615B8B">
      <w:pPr>
        <w:ind w:firstLine="480"/>
        <w:rPr>
          <w:bCs/>
        </w:rPr>
      </w:pPr>
      <w:r>
        <w:rPr>
          <w:rFonts w:hint="eastAsia"/>
          <w:bCs/>
        </w:rPr>
        <w:t>（</w:t>
      </w:r>
      <w:r>
        <w:rPr>
          <w:bCs/>
        </w:rPr>
        <w:t>4</w:t>
      </w: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208454D5">
      <w:pPr>
        <w:ind w:firstLine="480"/>
        <w:rPr>
          <w:bCs/>
        </w:rPr>
      </w:pPr>
      <w:r>
        <w:rPr>
          <w:rFonts w:hint="eastAsia"/>
          <w:bCs/>
        </w:rPr>
        <w:t>具体措施详见本招募说明书“基金份额的申购与赎回”。</w:t>
      </w:r>
    </w:p>
    <w:p w14:paraId="5FF26DB9">
      <w:pPr>
        <w:ind w:firstLine="480"/>
        <w:rPr>
          <w:bCs/>
        </w:rPr>
      </w:pPr>
      <w:r>
        <w:rPr>
          <w:rFonts w:hint="eastAsia"/>
          <w:bCs/>
        </w:rPr>
        <w:t>3、巨额赎回情形下流动性风险管理措施</w:t>
      </w:r>
    </w:p>
    <w:p w14:paraId="13FAD2F3">
      <w:pPr>
        <w:ind w:firstLine="480"/>
        <w:rPr>
          <w:bCs/>
        </w:rPr>
      </w:pPr>
      <w:r>
        <w:rPr>
          <w:rFonts w:hint="eastAsia"/>
          <w:bCs/>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1047C981">
      <w:pPr>
        <w:ind w:firstLine="480"/>
        <w:rPr>
          <w:bCs/>
        </w:rPr>
      </w:pPr>
      <w:r>
        <w:rPr>
          <w:rFonts w:hint="eastAsia"/>
          <w:bCs/>
        </w:rPr>
        <w:t>（1）部分延期赎回；</w:t>
      </w:r>
    </w:p>
    <w:p w14:paraId="3E50A2AA">
      <w:pPr>
        <w:ind w:firstLine="480"/>
        <w:rPr>
          <w:bCs/>
        </w:rPr>
      </w:pPr>
      <w:r>
        <w:rPr>
          <w:rFonts w:hint="eastAsia"/>
          <w:bCs/>
        </w:rPr>
        <w:t>（2）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w:t>
      </w:r>
    </w:p>
    <w:p w14:paraId="31A6C3B7">
      <w:pPr>
        <w:ind w:firstLine="480"/>
        <w:rPr>
          <w:bCs/>
        </w:rPr>
      </w:pPr>
      <w:r>
        <w:rPr>
          <w:rFonts w:hint="eastAsia"/>
          <w:bCs/>
        </w:rPr>
        <w:t>（3）暂停赎回；</w:t>
      </w:r>
    </w:p>
    <w:p w14:paraId="7D410FE1">
      <w:pPr>
        <w:ind w:firstLine="480"/>
        <w:rPr>
          <w:bCs/>
        </w:rPr>
      </w:pPr>
      <w:r>
        <w:rPr>
          <w:rFonts w:hint="eastAsia"/>
          <w:bCs/>
        </w:rPr>
        <w:t>（</w:t>
      </w:r>
      <w:r>
        <w:rPr>
          <w:bCs/>
        </w:rPr>
        <w:t>4</w:t>
      </w:r>
      <w:r>
        <w:rPr>
          <w:rFonts w:hint="eastAsia"/>
          <w:bCs/>
        </w:rPr>
        <w:t>）中国证监会认可的其他措施。</w:t>
      </w:r>
    </w:p>
    <w:p w14:paraId="42DE047D">
      <w:pPr>
        <w:ind w:firstLine="480"/>
        <w:rPr>
          <w:bCs/>
        </w:rPr>
      </w:pPr>
      <w:r>
        <w:rPr>
          <w:rFonts w:hint="eastAsia"/>
          <w:bCs/>
        </w:rPr>
        <w:t>具体措施详见本招募说明书“基金份额的申购与赎回”。</w:t>
      </w:r>
    </w:p>
    <w:p w14:paraId="20F551D1">
      <w:pPr>
        <w:ind w:firstLine="480"/>
        <w:rPr>
          <w:bCs/>
        </w:rPr>
      </w:pPr>
      <w:r>
        <w:rPr>
          <w:rFonts w:hint="eastAsia"/>
          <w:bCs/>
        </w:rPr>
        <w:t>4、实施备用的流动性风险管理工具的情形、程序及对投资者的潜在影响</w:t>
      </w:r>
    </w:p>
    <w:p w14:paraId="2B287895">
      <w:pPr>
        <w:ind w:firstLine="480"/>
      </w:pPr>
      <w:r>
        <w:rPr>
          <w:rFonts w:hint="eastAsia"/>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基金申购申请、暂停接受赎回申请、延缓支付赎回款项、收取短期赎回费、暂停估值、采用摆动定价机制、实施侧袋机制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5258AB0E">
      <w:pPr>
        <w:ind w:firstLine="480"/>
      </w:pPr>
      <w:r>
        <w:rPr>
          <w:rFonts w:hint="eastAsia"/>
        </w:rPr>
        <w:t>5、实施侧袋机制对投资者的影响</w:t>
      </w:r>
    </w:p>
    <w:p w14:paraId="19B9F7BC">
      <w:pPr>
        <w:ind w:firstLine="480"/>
      </w:pPr>
      <w:r>
        <w:rPr>
          <w:rFonts w:hint="eastAsia"/>
        </w:rPr>
        <w:t>投资者具体请参见招募说明书“侧袋机制”部分，详细了解本基金侧袋机制的情形及程序。</w:t>
      </w:r>
    </w:p>
    <w:p w14:paraId="112EB53C">
      <w:pPr>
        <w:ind w:firstLine="48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E97F67C">
      <w:pPr>
        <w:ind w:firstLine="48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95F559E">
      <w:pPr>
        <w:ind w:firstLine="480"/>
      </w:pPr>
      <w:r>
        <w:rPr>
          <w:rFonts w:hint="eastAsia"/>
        </w:rPr>
        <w:t>基金管理人将根据主袋账户运作情况合理确定申购政策, 因此实施侧袋机制后主袋账户份额存在暂停申购的可能。</w:t>
      </w:r>
    </w:p>
    <w:p w14:paraId="05F822D3">
      <w:pPr>
        <w:ind w:firstLine="48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4DDB5BA5">
      <w:pPr>
        <w:ind w:firstLine="482"/>
        <w:rPr>
          <w:b/>
          <w:bCs/>
        </w:rPr>
      </w:pPr>
      <w:r>
        <w:rPr>
          <w:rFonts w:hint="eastAsia"/>
          <w:b/>
          <w:bCs/>
        </w:rPr>
        <w:t>（四）</w:t>
      </w:r>
      <w:r>
        <w:rPr>
          <w:b/>
          <w:bCs/>
        </w:rPr>
        <w:t>操作风险</w:t>
      </w:r>
    </w:p>
    <w:p w14:paraId="12311131">
      <w:pPr>
        <w:ind w:firstLine="480"/>
        <w:rPr>
          <w:bCs/>
        </w:rPr>
      </w:pPr>
      <w:r>
        <w:rPr>
          <w:bCs/>
        </w:rPr>
        <w:t>相关当事人在业务各环节操作过程中，因内部控制存在缺陷或者人为因素造成操作失误或违反操作规程等引致的风险，例如，越权违规交易、会计部门欺诈、交易错误、IT系统故障等风险。</w:t>
      </w:r>
    </w:p>
    <w:p w14:paraId="180BFD30">
      <w:pPr>
        <w:ind w:firstLine="482"/>
        <w:rPr>
          <w:b/>
          <w:bCs/>
        </w:rPr>
      </w:pPr>
      <w:r>
        <w:rPr>
          <w:rFonts w:hint="eastAsia"/>
          <w:b/>
          <w:bCs/>
        </w:rPr>
        <w:t>（五）</w:t>
      </w:r>
      <w:r>
        <w:rPr>
          <w:b/>
          <w:bCs/>
        </w:rPr>
        <w:t xml:space="preserve">管理风险 </w:t>
      </w:r>
    </w:p>
    <w:p w14:paraId="2467903E">
      <w:pPr>
        <w:ind w:firstLine="480"/>
        <w:rPr>
          <w:bCs/>
        </w:rPr>
      </w:pPr>
      <w:r>
        <w:rPr>
          <w:rFonts w:hint="eastAsia"/>
          <w:bCs/>
        </w:rPr>
        <w:t>1、</w:t>
      </w:r>
      <w:r>
        <w:rPr>
          <w:bCs/>
        </w:rPr>
        <w:t>在基金管理运作过程中，基金管理人的知识、技能、经验、判断等主观因素会影响其对相关信息和经济形势、证券价格走势的判断，从而影响基金收益水平。</w:t>
      </w:r>
    </w:p>
    <w:p w14:paraId="012498E6">
      <w:pPr>
        <w:ind w:firstLine="480"/>
        <w:rPr>
          <w:bCs/>
        </w:rPr>
      </w:pPr>
      <w:r>
        <w:rPr>
          <w:rFonts w:hint="eastAsia"/>
          <w:bCs/>
        </w:rPr>
        <w:t>2、在符合本基金投资理念的新型投资工具出现和发展后，如果投资于这些工具，基金可能会面临一些特殊的风险。</w:t>
      </w:r>
    </w:p>
    <w:p w14:paraId="3747CE24">
      <w:pPr>
        <w:ind w:firstLine="480"/>
        <w:rPr>
          <w:bCs/>
        </w:rPr>
      </w:pPr>
      <w:r>
        <w:rPr>
          <w:rFonts w:hint="eastAsia"/>
          <w:bCs/>
        </w:rPr>
        <w:t>3、对主要业务人员如基金经理的依赖可能产生的风险。</w:t>
      </w:r>
    </w:p>
    <w:p w14:paraId="2F6B05AE">
      <w:pPr>
        <w:ind w:firstLine="482"/>
        <w:rPr>
          <w:b/>
          <w:bCs/>
        </w:rPr>
      </w:pPr>
      <w:r>
        <w:rPr>
          <w:rFonts w:hint="eastAsia"/>
          <w:b/>
          <w:bCs/>
        </w:rPr>
        <w:t>（六）</w:t>
      </w:r>
      <w:r>
        <w:rPr>
          <w:b/>
          <w:bCs/>
        </w:rPr>
        <w:t xml:space="preserve">合规性风险 </w:t>
      </w:r>
    </w:p>
    <w:p w14:paraId="464397E7">
      <w:pPr>
        <w:ind w:firstLine="480"/>
        <w:rPr>
          <w:bCs/>
        </w:rPr>
      </w:pPr>
      <w:r>
        <w:rPr>
          <w:rFonts w:hint="eastAsia"/>
          <w:bCs/>
        </w:rPr>
        <w:t>1、合规风险指基金管理或运作过程中，违反国家法律、法规的规定，或者违反基金合同有关规定的风险。</w:t>
      </w:r>
    </w:p>
    <w:p w14:paraId="5B041B03">
      <w:pPr>
        <w:ind w:firstLine="480"/>
        <w:rPr>
          <w:bCs/>
        </w:rPr>
      </w:pPr>
      <w:r>
        <w:rPr>
          <w:rFonts w:hint="eastAsia"/>
          <w:bCs/>
        </w:rPr>
        <w:t>2、因基金业务快速发展而在制度建设、人员配备、内控制度建立等方面不完善而产生的风险。</w:t>
      </w:r>
    </w:p>
    <w:p w14:paraId="1961EEB4">
      <w:pPr>
        <w:ind w:firstLine="480"/>
        <w:rPr>
          <w:bCs/>
        </w:rPr>
      </w:pPr>
      <w:r>
        <w:rPr>
          <w:rFonts w:hint="eastAsia"/>
          <w:bCs/>
        </w:rPr>
        <w:t>3、因人为因素而产生的风险，如内幕交易、欺诈行为等产生的风险</w:t>
      </w:r>
      <w:r>
        <w:rPr>
          <w:bCs/>
        </w:rPr>
        <w:t>。</w:t>
      </w:r>
    </w:p>
    <w:p w14:paraId="19504BD1">
      <w:pPr>
        <w:ind w:firstLine="482"/>
        <w:rPr>
          <w:b/>
          <w:bCs/>
        </w:rPr>
      </w:pPr>
      <w:r>
        <w:rPr>
          <w:rFonts w:hint="eastAsia"/>
          <w:b/>
          <w:bCs/>
        </w:rPr>
        <w:t>（七）基金管理人职责终止风险</w:t>
      </w:r>
    </w:p>
    <w:p w14:paraId="4A9F6C63">
      <w:pPr>
        <w:ind w:firstLine="480"/>
        <w:rPr>
          <w:bCs/>
        </w:rPr>
      </w:pPr>
      <w:r>
        <w:rPr>
          <w:rFonts w:hint="eastAsia"/>
          <w:bCs/>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40EC393B">
      <w:pPr>
        <w:ind w:firstLine="482"/>
        <w:rPr>
          <w:b/>
          <w:bCs/>
        </w:rPr>
      </w:pPr>
      <w:r>
        <w:rPr>
          <w:rFonts w:hint="eastAsia"/>
          <w:b/>
          <w:bCs/>
        </w:rPr>
        <w:t>（八）本基金法律文件风险收益特征表述与销售机构基金风险评价可能不一致的风险</w:t>
      </w:r>
    </w:p>
    <w:p w14:paraId="77BA9FEC">
      <w:pPr>
        <w:ind w:firstLine="480"/>
        <w:rPr>
          <w:bCs/>
        </w:rPr>
      </w:pPr>
      <w:r>
        <w:rPr>
          <w:rFonts w:hint="eastAsia"/>
          <w:bCs/>
        </w:rPr>
        <w:t>本基金基金合同、招募说明书等法律文件中涉及基金风险收益特征或风险状况的表述仅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6EBE4EDC">
      <w:pPr>
        <w:ind w:firstLine="480"/>
        <w:rPr>
          <w:bCs/>
        </w:rPr>
      </w:pPr>
      <w:r>
        <w:rPr>
          <w:rFonts w:hint="eastAsia"/>
          <w:bCs/>
        </w:rPr>
        <w:t>同时，不同销售机构因其采取的具体评价标准和方法的差异，对同一产品风险级别的评定也可能各有不同；销售机构还可能根据监管要求、市场变化及基金实际运作情况等适时调整对本基金的风险评级。</w:t>
      </w:r>
    </w:p>
    <w:p w14:paraId="7EDC6B07">
      <w:pPr>
        <w:ind w:firstLine="480"/>
        <w:rPr>
          <w:bCs/>
        </w:rPr>
      </w:pPr>
      <w:r>
        <w:rPr>
          <w:rFonts w:hint="eastAsia"/>
          <w:bCs/>
        </w:rPr>
        <w:t>敬请投资者知悉，在购买本基金时按照销售机构的要求完成风险承受能力与产品风险之间的匹配检验，并须及时关注销售机构对于本基金风险评级的调整情况，自主作出投资决策。</w:t>
      </w:r>
    </w:p>
    <w:p w14:paraId="0F68B901">
      <w:pPr>
        <w:ind w:firstLine="482"/>
        <w:rPr>
          <w:bCs/>
        </w:rPr>
      </w:pPr>
      <w:r>
        <w:rPr>
          <w:rFonts w:hint="eastAsia"/>
          <w:b/>
          <w:bCs/>
        </w:rPr>
        <w:t>（八）</w:t>
      </w:r>
      <w:r>
        <w:rPr>
          <w:b/>
          <w:bCs/>
        </w:rPr>
        <w:t>其他风险</w:t>
      </w:r>
    </w:p>
    <w:p w14:paraId="187BF8D2">
      <w:pPr>
        <w:ind w:firstLine="480"/>
        <w:rPr>
          <w:bCs/>
        </w:rPr>
      </w:pPr>
      <w:r>
        <w:rPr>
          <w:rFonts w:hint="eastAsia"/>
          <w:bCs/>
        </w:rPr>
        <w:t>1、不可抗力。战争、自然灾害等不可抗力可能导致基金资产的损失，影响基金收益水平，从而带来风险。基金管理人、基金托管人、证券/期货交易所、登记机构和销售机构等可能因不可抗力无法正常工作，从而影响基金的各项业务按正常时限完成，使投资人和基金份额持有人无法及时查询权益、进行日常交易以致利益受损。</w:t>
      </w:r>
    </w:p>
    <w:p w14:paraId="774DCC35">
      <w:pPr>
        <w:ind w:firstLine="480"/>
        <w:rPr>
          <w:bCs/>
        </w:rPr>
      </w:pPr>
      <w:r>
        <w:rPr>
          <w:rFonts w:hint="eastAsia"/>
          <w:bCs/>
        </w:rPr>
        <w:t>2、技术风险。在本基金的投资、交易、服务与后台运作等业务过程中，可能因为技术系统的故障或者差错而影响交易的正常进行或者导致投资者的利益受到影响。这种技术风险可能来自基金管理人、基金托管人、销售机构、证券/期货交易所、证券/期货登记结算机构等等。</w:t>
      </w:r>
    </w:p>
    <w:p w14:paraId="7FE90B32">
      <w:pPr>
        <w:ind w:firstLine="480"/>
        <w:rPr>
          <w:bCs/>
        </w:rPr>
      </w:pPr>
      <w:r>
        <w:rPr>
          <w:rFonts w:hint="eastAsia"/>
          <w:bCs/>
        </w:rPr>
        <w:t>3、金融市场危机、行业竞争、代理商违约、基金托管人违约等超出基金管理人自身直接控制能力之外的风险，也可能导致基金或者基金份额持有人利益受损。</w:t>
      </w:r>
    </w:p>
    <w:p w14:paraId="5E895D04">
      <w:pPr>
        <w:ind w:firstLine="482"/>
        <w:rPr>
          <w:rFonts w:ascii="宋体" w:hAnsi="宋体"/>
          <w:b/>
          <w:bCs/>
        </w:rPr>
      </w:pPr>
      <w:r>
        <w:rPr>
          <w:rFonts w:hint="eastAsia" w:ascii="宋体" w:hAnsi="宋体"/>
          <w:b/>
          <w:bCs/>
        </w:rPr>
        <w:t>二、</w:t>
      </w:r>
      <w:r>
        <w:rPr>
          <w:rFonts w:ascii="宋体" w:hAnsi="宋体"/>
          <w:b/>
          <w:bCs/>
        </w:rPr>
        <w:t>声明</w:t>
      </w:r>
    </w:p>
    <w:p w14:paraId="7A6BAADA">
      <w:pPr>
        <w:ind w:firstLine="480"/>
        <w:rPr>
          <w:rFonts w:ascii="宋体" w:hAnsi="宋体"/>
        </w:rPr>
      </w:pPr>
      <w:r>
        <w:rPr>
          <w:rFonts w:hint="eastAsia" w:ascii="宋体" w:hAnsi="宋体"/>
        </w:rPr>
        <w:t>1、</w:t>
      </w:r>
      <w:r>
        <w:rPr>
          <w:rFonts w:ascii="宋体" w:hAnsi="宋体"/>
        </w:rPr>
        <w:t>投资者</w:t>
      </w:r>
      <w:r>
        <w:rPr>
          <w:rFonts w:hint="eastAsia" w:ascii="宋体" w:hAnsi="宋体"/>
        </w:rPr>
        <w:t>自主</w:t>
      </w:r>
      <w:r>
        <w:rPr>
          <w:rFonts w:ascii="宋体" w:hAnsi="宋体"/>
        </w:rPr>
        <w:t>投资于本基金，须自行承担投资风险</w:t>
      </w:r>
      <w:r>
        <w:rPr>
          <w:rFonts w:hint="eastAsia" w:ascii="宋体" w:hAnsi="宋体"/>
        </w:rPr>
        <w:t>。</w:t>
      </w:r>
    </w:p>
    <w:p w14:paraId="57A2874A">
      <w:pPr>
        <w:ind w:firstLine="480"/>
        <w:rPr>
          <w:bCs/>
        </w:rPr>
      </w:pPr>
      <w:r>
        <w:rPr>
          <w:rFonts w:hint="eastAsia" w:ascii="宋体" w:hAnsi="宋体"/>
        </w:rPr>
        <w:t>2、</w:t>
      </w:r>
      <w:r>
        <w:rPr>
          <w:rFonts w:ascii="宋体" w:hAnsi="宋体"/>
        </w:rPr>
        <w:t>本基金通过基金管理人直销</w:t>
      </w:r>
      <w:r>
        <w:rPr>
          <w:rFonts w:hint="eastAsia" w:ascii="宋体" w:hAnsi="宋体"/>
        </w:rPr>
        <w:t>机构</w:t>
      </w:r>
      <w:r>
        <w:rPr>
          <w:rFonts w:ascii="宋体" w:hAnsi="宋体"/>
        </w:rPr>
        <w:t>和指定的</w:t>
      </w:r>
      <w:r>
        <w:rPr>
          <w:rFonts w:hint="eastAsia" w:ascii="宋体" w:hAnsi="宋体"/>
        </w:rPr>
        <w:t>其他</w:t>
      </w:r>
      <w:r>
        <w:rPr>
          <w:rFonts w:ascii="宋体" w:hAnsi="宋体"/>
        </w:rPr>
        <w:t>基金销</w:t>
      </w:r>
      <w:r>
        <w:rPr>
          <w:rFonts w:hint="eastAsia" w:ascii="宋体" w:hAnsi="宋体"/>
        </w:rPr>
        <w:t>售</w:t>
      </w:r>
      <w:r>
        <w:rPr>
          <w:rFonts w:ascii="宋体" w:hAnsi="宋体"/>
        </w:rPr>
        <w:t>机构公开发售，基金管理人与基金销</w:t>
      </w:r>
      <w:r>
        <w:rPr>
          <w:rFonts w:hint="eastAsia" w:ascii="宋体" w:hAnsi="宋体"/>
        </w:rPr>
        <w:t>售</w:t>
      </w:r>
      <w:r>
        <w:rPr>
          <w:rFonts w:ascii="宋体" w:hAnsi="宋体"/>
        </w:rPr>
        <w:t>机构都不保证其收益或本金安全。</w:t>
      </w:r>
    </w:p>
    <w:p w14:paraId="1EAD43AE">
      <w:pPr>
        <w:pStyle w:val="2"/>
        <w:spacing w:before="312" w:after="312"/>
        <w:rPr>
          <w:kern w:val="0"/>
        </w:rPr>
      </w:pPr>
      <w:r>
        <w:rPr>
          <w:sz w:val="24"/>
        </w:rPr>
        <w:br w:type="page"/>
      </w:r>
      <w:bookmarkStart w:id="61" w:name="_Toc218004089"/>
      <w:bookmarkStart w:id="62" w:name="_Hlk207870739"/>
      <w:r>
        <w:rPr>
          <w:rFonts w:hint="eastAsia"/>
          <w:kern w:val="0"/>
        </w:rPr>
        <w:t>第十八部分</w:t>
      </w:r>
      <w:r>
        <w:rPr>
          <w:kern w:val="0"/>
        </w:rPr>
        <w:t xml:space="preserve">  </w:t>
      </w:r>
      <w:r>
        <w:rPr>
          <w:rFonts w:hint="eastAsia"/>
          <w:kern w:val="0"/>
        </w:rPr>
        <w:t>基金合同的变更、终止与基金财产的清算</w:t>
      </w:r>
      <w:bookmarkEnd w:id="61"/>
    </w:p>
    <w:p w14:paraId="05A3165A">
      <w:pPr>
        <w:ind w:firstLine="482"/>
        <w:rPr>
          <w:b/>
          <w:bCs/>
        </w:rPr>
      </w:pPr>
      <w:r>
        <w:rPr>
          <w:b/>
          <w:bCs/>
        </w:rPr>
        <w:t>一、基金合同的变更</w:t>
      </w:r>
    </w:p>
    <w:p w14:paraId="12029E2D">
      <w:pPr>
        <w:autoSpaceDE w:val="0"/>
        <w:autoSpaceDN w:val="0"/>
        <w:adjustRightInd w:val="0"/>
        <w:ind w:firstLine="480"/>
        <w:jc w:val="left"/>
        <w:rPr>
          <w:bCs/>
        </w:rPr>
      </w:pPr>
      <w:r>
        <w:rPr>
          <w:rFonts w:hint="eastAsia"/>
          <w:bCs/>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5291991">
      <w:pPr>
        <w:ind w:firstLine="480"/>
        <w:rPr>
          <w:bCs/>
        </w:rPr>
      </w:pPr>
      <w:r>
        <w:rPr>
          <w:rFonts w:hint="eastAsia"/>
          <w:bCs/>
        </w:rPr>
        <w:t>2、关于基金合同变更的基金份额持有人大会决议自生效后方可执行，自决议生效后两日内在规定媒介公告。</w:t>
      </w:r>
    </w:p>
    <w:p w14:paraId="329B2E35">
      <w:pPr>
        <w:ind w:firstLine="482"/>
        <w:rPr>
          <w:b/>
          <w:bCs/>
        </w:rPr>
      </w:pPr>
      <w:r>
        <w:rPr>
          <w:b/>
          <w:bCs/>
        </w:rPr>
        <w:t>二、基金合同的终止事由</w:t>
      </w:r>
    </w:p>
    <w:p w14:paraId="414E05AD">
      <w:pPr>
        <w:ind w:firstLine="480"/>
        <w:rPr>
          <w:bCs/>
        </w:rPr>
      </w:pPr>
      <w:r>
        <w:rPr>
          <w:rFonts w:hint="eastAsia"/>
          <w:bCs/>
        </w:rPr>
        <w:t>有下列情形之一的，经履行相关程序后，基金合同应当终止：</w:t>
      </w:r>
    </w:p>
    <w:p w14:paraId="03F74171">
      <w:pPr>
        <w:ind w:firstLine="480"/>
        <w:rPr>
          <w:bCs/>
        </w:rPr>
      </w:pPr>
      <w:r>
        <w:rPr>
          <w:rFonts w:hint="eastAsia"/>
          <w:bCs/>
        </w:rPr>
        <w:t>1、基金份额持有人大会决定终止的；</w:t>
      </w:r>
    </w:p>
    <w:p w14:paraId="5C15CC56">
      <w:pPr>
        <w:ind w:firstLine="480"/>
        <w:rPr>
          <w:bCs/>
        </w:rPr>
      </w:pPr>
      <w:r>
        <w:rPr>
          <w:rFonts w:hint="eastAsia"/>
          <w:bCs/>
        </w:rPr>
        <w:t>2、基金管理人、基金托管人职责终止，在6个月内没有新基金管理人、新基金托管人承接的；</w:t>
      </w:r>
    </w:p>
    <w:p w14:paraId="34565326">
      <w:pPr>
        <w:ind w:firstLine="480"/>
        <w:rPr>
          <w:bCs/>
        </w:rPr>
      </w:pPr>
      <w:r>
        <w:rPr>
          <w:rFonts w:hint="eastAsia"/>
          <w:bCs/>
        </w:rPr>
        <w:t>3、基金合同约定的其他情形；</w:t>
      </w:r>
    </w:p>
    <w:p w14:paraId="349F3D26">
      <w:pPr>
        <w:ind w:firstLine="480"/>
        <w:rPr>
          <w:bCs/>
        </w:rPr>
      </w:pPr>
      <w:r>
        <w:rPr>
          <w:bCs/>
        </w:rPr>
        <w:t>4</w:t>
      </w:r>
      <w:r>
        <w:rPr>
          <w:rFonts w:hint="eastAsia"/>
          <w:bCs/>
        </w:rPr>
        <w:t>、相关法律法规和中国证监会规定的其他情况。</w:t>
      </w:r>
    </w:p>
    <w:p w14:paraId="10D31A83">
      <w:pPr>
        <w:ind w:firstLine="482"/>
        <w:rPr>
          <w:b/>
          <w:bCs/>
        </w:rPr>
      </w:pPr>
      <w:r>
        <w:rPr>
          <w:b/>
          <w:bCs/>
        </w:rPr>
        <w:t>三、基金财产的清算</w:t>
      </w:r>
    </w:p>
    <w:p w14:paraId="195F665E">
      <w:pPr>
        <w:ind w:firstLine="480"/>
        <w:rPr>
          <w:bCs/>
        </w:rPr>
      </w:pPr>
      <w:r>
        <w:rPr>
          <w:rFonts w:hint="eastAsia"/>
          <w:bCs/>
        </w:rPr>
        <w:t>1、基金财产清算小组：自出现基金合同终止事由之日起30个工作日内成立清算小组，基金管理人或临时基金管理人组织基金财产清算小组并在中国证监会的监督下进行基金清算。</w:t>
      </w:r>
    </w:p>
    <w:p w14:paraId="44D2381D">
      <w:pPr>
        <w:ind w:firstLine="480"/>
        <w:rPr>
          <w:bCs/>
        </w:rPr>
      </w:pPr>
      <w:r>
        <w:rPr>
          <w:rFonts w:hint="eastAsia"/>
          <w:bCs/>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0DF6FC82">
      <w:pPr>
        <w:ind w:firstLine="480"/>
        <w:rPr>
          <w:bCs/>
        </w:rPr>
      </w:pPr>
      <w:r>
        <w:rPr>
          <w:rFonts w:hint="eastAsia"/>
          <w:bCs/>
        </w:rPr>
        <w:t>3、基金财产清算小组职责：基金财产清算小组负责基金财产的保管、清理、估价、变现和分配。基金财产清算小组可以依法进行必要的民事活动。</w:t>
      </w:r>
    </w:p>
    <w:p w14:paraId="2DE3C194">
      <w:pPr>
        <w:ind w:firstLine="480"/>
        <w:rPr>
          <w:bCs/>
        </w:rPr>
      </w:pPr>
      <w:r>
        <w:rPr>
          <w:rFonts w:hint="eastAsia"/>
          <w:bCs/>
        </w:rPr>
        <w:t>4、基金财产清算程序：</w:t>
      </w:r>
    </w:p>
    <w:p w14:paraId="1C9F974C">
      <w:pPr>
        <w:ind w:firstLine="480"/>
        <w:rPr>
          <w:bCs/>
        </w:rPr>
      </w:pPr>
      <w:r>
        <w:rPr>
          <w:rFonts w:hint="eastAsia"/>
          <w:bCs/>
        </w:rPr>
        <w:t>（1）基金合同终止情形出现时，由基金财产清算小组统一接管基金财产；</w:t>
      </w:r>
    </w:p>
    <w:p w14:paraId="0799DE2D">
      <w:pPr>
        <w:ind w:firstLine="480"/>
        <w:rPr>
          <w:bCs/>
        </w:rPr>
      </w:pPr>
      <w:r>
        <w:rPr>
          <w:rFonts w:hint="eastAsia"/>
          <w:bCs/>
        </w:rPr>
        <w:t>（2）对基金财产和债权债务进行清理和确认；</w:t>
      </w:r>
    </w:p>
    <w:p w14:paraId="1BB243ED">
      <w:pPr>
        <w:ind w:firstLine="480"/>
        <w:rPr>
          <w:bCs/>
        </w:rPr>
      </w:pPr>
      <w:r>
        <w:rPr>
          <w:rFonts w:hint="eastAsia"/>
          <w:bCs/>
        </w:rPr>
        <w:t>（3）对基金财产进行估值和变现；</w:t>
      </w:r>
    </w:p>
    <w:p w14:paraId="6A4928AD">
      <w:pPr>
        <w:ind w:firstLine="480"/>
        <w:rPr>
          <w:bCs/>
        </w:rPr>
      </w:pPr>
      <w:r>
        <w:rPr>
          <w:rFonts w:hint="eastAsia"/>
          <w:bCs/>
        </w:rPr>
        <w:t>（4）制作清算报告；</w:t>
      </w:r>
    </w:p>
    <w:p w14:paraId="593BDB47">
      <w:pPr>
        <w:ind w:firstLine="480"/>
        <w:rPr>
          <w:bCs/>
        </w:rPr>
      </w:pPr>
      <w:r>
        <w:rPr>
          <w:rFonts w:hint="eastAsia"/>
          <w:bCs/>
        </w:rPr>
        <w:t>（5）聘请会计师事务所对清算报告进行外部审计，聘请律师事务所对清算报告出具法律意见书；</w:t>
      </w:r>
    </w:p>
    <w:p w14:paraId="0651EF13">
      <w:pPr>
        <w:ind w:firstLine="480"/>
        <w:rPr>
          <w:bCs/>
        </w:rPr>
      </w:pPr>
      <w:r>
        <w:rPr>
          <w:rFonts w:hint="eastAsia"/>
          <w:bCs/>
        </w:rPr>
        <w:t>（6）将清算报告报中国证监会备案并公告；</w:t>
      </w:r>
    </w:p>
    <w:p w14:paraId="21A12945">
      <w:pPr>
        <w:ind w:firstLine="480"/>
        <w:rPr>
          <w:bCs/>
        </w:rPr>
      </w:pPr>
      <w:r>
        <w:rPr>
          <w:rFonts w:hint="eastAsia"/>
          <w:bCs/>
        </w:rPr>
        <w:t>（7）对基金剩余财产进行分配。</w:t>
      </w:r>
    </w:p>
    <w:p w14:paraId="0B5DB35E">
      <w:pPr>
        <w:ind w:firstLine="480"/>
        <w:rPr>
          <w:bCs/>
        </w:rPr>
      </w:pPr>
      <w:r>
        <w:rPr>
          <w:rFonts w:hint="eastAsia"/>
          <w:bCs/>
        </w:rPr>
        <w:t>5、基金财产清算的期限为6个月，但因本基金所持证券、基金的流动性受到限制而不能及时变现的，清算期限相应顺延。</w:t>
      </w:r>
    </w:p>
    <w:p w14:paraId="252968A6">
      <w:pPr>
        <w:ind w:firstLine="482"/>
        <w:rPr>
          <w:b/>
          <w:bCs/>
        </w:rPr>
      </w:pPr>
      <w:r>
        <w:rPr>
          <w:b/>
          <w:bCs/>
        </w:rPr>
        <w:t>四、清算费用</w:t>
      </w:r>
    </w:p>
    <w:p w14:paraId="3C916C55">
      <w:pPr>
        <w:ind w:firstLine="480"/>
        <w:rPr>
          <w:bCs/>
        </w:rPr>
      </w:pPr>
      <w:r>
        <w:rPr>
          <w:rFonts w:hint="eastAsia"/>
          <w:bCs/>
        </w:rPr>
        <w:t>清算费用是指基金财产清算小组在进行基金财产清算过程中发生的所有合理费用，清算费用由基金财产清算小组优先从基金剩余财产中支付。</w:t>
      </w:r>
    </w:p>
    <w:p w14:paraId="523EA368">
      <w:pPr>
        <w:ind w:firstLine="482"/>
        <w:rPr>
          <w:b/>
          <w:bCs/>
        </w:rPr>
      </w:pPr>
      <w:r>
        <w:rPr>
          <w:b/>
          <w:bCs/>
        </w:rPr>
        <w:t>五、基金财产清算剩余资产的分配</w:t>
      </w:r>
    </w:p>
    <w:p w14:paraId="556DC519">
      <w:pPr>
        <w:ind w:firstLine="480"/>
        <w:rPr>
          <w:bCs/>
        </w:rPr>
      </w:pPr>
      <w:r>
        <w:rPr>
          <w:rFonts w:hint="eastAsia"/>
          <w:bCs/>
        </w:rPr>
        <w:t>依据基金财产清算的分配方案，将基金财产清算后的全部剩余资产扣除基金财产清算费用、交纳所欠税款并清偿基金债务后，按基金份额持有人持有的各类基金份额比例进行分配。</w:t>
      </w:r>
    </w:p>
    <w:p w14:paraId="35996398">
      <w:pPr>
        <w:ind w:firstLine="482"/>
        <w:rPr>
          <w:b/>
          <w:bCs/>
        </w:rPr>
      </w:pPr>
      <w:r>
        <w:rPr>
          <w:b/>
          <w:bCs/>
        </w:rPr>
        <w:t>六、基金财产清算的公告</w:t>
      </w:r>
    </w:p>
    <w:p w14:paraId="50C00CDA">
      <w:pPr>
        <w:ind w:firstLine="480"/>
        <w:rPr>
          <w:bCs/>
        </w:rPr>
      </w:pPr>
      <w:r>
        <w:rPr>
          <w:rFonts w:hint="eastAsia"/>
          <w:bCs/>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7958204">
      <w:pPr>
        <w:ind w:firstLine="482"/>
        <w:rPr>
          <w:b/>
          <w:bCs/>
        </w:rPr>
      </w:pPr>
      <w:r>
        <w:rPr>
          <w:b/>
          <w:bCs/>
        </w:rPr>
        <w:t>七、基金财产清算账册及文件的保存</w:t>
      </w:r>
    </w:p>
    <w:p w14:paraId="5E88A9C4">
      <w:pPr>
        <w:ind w:firstLine="480"/>
        <w:rPr>
          <w:bCs/>
        </w:rPr>
      </w:pPr>
      <w:r>
        <w:rPr>
          <w:bCs/>
        </w:rPr>
        <w:t>基金财产清算账册及有关文件由基金托管人保存，保存期限不少于</w:t>
      </w:r>
      <w:r>
        <w:rPr>
          <w:rFonts w:hint="eastAsia"/>
          <w:bCs/>
        </w:rPr>
        <w:t>法律法规的规定</w:t>
      </w:r>
      <w:r>
        <w:rPr>
          <w:bCs/>
        </w:rPr>
        <w:t>。</w:t>
      </w:r>
    </w:p>
    <w:p w14:paraId="0F075ECF">
      <w:pPr>
        <w:ind w:firstLine="480"/>
        <w:rPr>
          <w:bCs/>
          <w:szCs w:val="20"/>
        </w:rPr>
      </w:pPr>
    </w:p>
    <w:p w14:paraId="661F37D2">
      <w:pPr>
        <w:pStyle w:val="85"/>
        <w:ind w:firstLine="480"/>
      </w:pPr>
    </w:p>
    <w:p w14:paraId="2C04CFD6">
      <w:pPr>
        <w:pStyle w:val="2"/>
        <w:spacing w:before="312" w:after="312"/>
      </w:pPr>
      <w:r>
        <w:rPr>
          <w:bCs/>
          <w:sz w:val="24"/>
        </w:rPr>
        <w:br w:type="page"/>
      </w:r>
      <w:bookmarkEnd w:id="62"/>
      <w:bookmarkStart w:id="63" w:name="_Toc218004090"/>
      <w:bookmarkStart w:id="64" w:name="_Hlk55822242"/>
      <w:r>
        <w:rPr>
          <w:rFonts w:hint="eastAsia"/>
        </w:rPr>
        <w:t>第十九部分</w:t>
      </w:r>
      <w:r>
        <w:t xml:space="preserve">  </w:t>
      </w:r>
      <w:r>
        <w:rPr>
          <w:rFonts w:hint="eastAsia"/>
        </w:rPr>
        <w:t>基金合同的内容摘要</w:t>
      </w:r>
      <w:bookmarkEnd w:id="63"/>
    </w:p>
    <w:p w14:paraId="0EC6DD64">
      <w:pPr>
        <w:pStyle w:val="85"/>
        <w:ind w:firstLine="482"/>
        <w:rPr>
          <w:b/>
        </w:rPr>
      </w:pPr>
      <w:r>
        <w:rPr>
          <w:b/>
        </w:rPr>
        <w:t>一</w:t>
      </w:r>
      <w:r>
        <w:rPr>
          <w:rFonts w:hint="eastAsia"/>
          <w:b/>
        </w:rPr>
        <w:t>、</w:t>
      </w:r>
      <w:r>
        <w:rPr>
          <w:b/>
        </w:rPr>
        <w:t>基金份额持有人、基金管理人和基金托管人的权利与义务</w:t>
      </w:r>
    </w:p>
    <w:p w14:paraId="63F06D86">
      <w:pPr>
        <w:pStyle w:val="85"/>
        <w:ind w:firstLine="480"/>
      </w:pPr>
      <w:r>
        <w:rPr>
          <w:rFonts w:hint="eastAsia"/>
        </w:rPr>
        <w:t>1、基金份额持有人的权利与义务</w:t>
      </w:r>
    </w:p>
    <w:p w14:paraId="636C3972">
      <w:pPr>
        <w:pStyle w:val="85"/>
        <w:ind w:firstLine="480"/>
      </w:pPr>
      <w:r>
        <w:t>基金投资者</w:t>
      </w:r>
      <w:r>
        <w:rPr>
          <w:rFonts w:hint="eastAsia"/>
        </w:rPr>
        <w:t>持有</w:t>
      </w:r>
      <w:r>
        <w:t>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1470F2D7">
      <w:pPr>
        <w:pStyle w:val="85"/>
        <w:ind w:firstLine="480"/>
      </w:pPr>
      <w:r>
        <w:rPr>
          <w:rFonts w:hint="eastAsia"/>
        </w:rPr>
        <w:t>除法律法规另有规定或基金合同另有约定外，同一类别的每份基金份额具有同等的合法权益。</w:t>
      </w:r>
    </w:p>
    <w:p w14:paraId="6BB9D759">
      <w:pPr>
        <w:pStyle w:val="85"/>
        <w:ind w:firstLine="480"/>
      </w:pPr>
      <w:r>
        <w:t>（1）根据《基金法》、《运作办法》及其他有关规定，基金份额持有人的权利包括但不限于：</w:t>
      </w:r>
    </w:p>
    <w:p w14:paraId="58A7074B">
      <w:pPr>
        <w:pStyle w:val="85"/>
        <w:ind w:firstLine="480"/>
      </w:pPr>
      <w:r>
        <w:t>1）分享基金财产收益；</w:t>
      </w:r>
    </w:p>
    <w:p w14:paraId="44CF003F">
      <w:pPr>
        <w:pStyle w:val="85"/>
        <w:ind w:firstLine="480"/>
      </w:pPr>
      <w:r>
        <w:t>2）参与分配清算后的剩余基金财产；</w:t>
      </w:r>
    </w:p>
    <w:p w14:paraId="40304F4E">
      <w:pPr>
        <w:pStyle w:val="85"/>
        <w:ind w:firstLine="480"/>
      </w:pPr>
      <w:r>
        <w:t>3）</w:t>
      </w:r>
      <w:r>
        <w:rPr>
          <w:rFonts w:hint="eastAsia"/>
        </w:rPr>
        <w:t>依法转让或者申请赎回</w:t>
      </w:r>
      <w:r>
        <w:t>其持有的基金份额；</w:t>
      </w:r>
    </w:p>
    <w:p w14:paraId="68C80E7B">
      <w:pPr>
        <w:pStyle w:val="85"/>
        <w:ind w:firstLine="480"/>
      </w:pPr>
      <w:r>
        <w:t>4）按照规定要求召开基金份额持有人大会或者召集基金份额持有人大会；</w:t>
      </w:r>
    </w:p>
    <w:p w14:paraId="05565846">
      <w:pPr>
        <w:pStyle w:val="85"/>
        <w:ind w:firstLine="480"/>
      </w:pPr>
      <w:r>
        <w:t>5）出席或者委派代表出席基金份额持有人大会，对基金份额持有人大会审议事项行使表决权；</w:t>
      </w:r>
    </w:p>
    <w:p w14:paraId="58BA576F">
      <w:pPr>
        <w:pStyle w:val="85"/>
        <w:ind w:firstLine="480"/>
      </w:pPr>
      <w:r>
        <w:t>6）查阅或者复制公开披露的基金信息资料；</w:t>
      </w:r>
    </w:p>
    <w:p w14:paraId="7CA77AB8">
      <w:pPr>
        <w:pStyle w:val="85"/>
        <w:ind w:firstLine="480"/>
      </w:pPr>
      <w:r>
        <w:t>7）监督基金管理人的投资运作；</w:t>
      </w:r>
    </w:p>
    <w:p w14:paraId="01E6F117">
      <w:pPr>
        <w:pStyle w:val="85"/>
        <w:ind w:firstLine="480"/>
      </w:pPr>
      <w:r>
        <w:t>8）对基金管理人、基金托管人、基金</w:t>
      </w:r>
      <w:r>
        <w:rPr>
          <w:rFonts w:hint="eastAsia"/>
        </w:rPr>
        <w:t>服务</w:t>
      </w:r>
      <w:r>
        <w:t>机构损害其合法权益的行为依法提起诉讼或仲裁；</w:t>
      </w:r>
    </w:p>
    <w:p w14:paraId="60B82F90">
      <w:pPr>
        <w:pStyle w:val="85"/>
        <w:ind w:firstLine="480"/>
      </w:pPr>
      <w:r>
        <w:t>9）法律法规及中国证监会规定的和基金合同约定的其他权利。</w:t>
      </w:r>
    </w:p>
    <w:p w14:paraId="4C2EF125">
      <w:pPr>
        <w:pStyle w:val="85"/>
        <w:ind w:firstLine="480"/>
      </w:pPr>
      <w:r>
        <w:t>（2）根据《基金法》、《运作办法》及其他有关规定，基金份额持有人的义务包括但不限于：</w:t>
      </w:r>
    </w:p>
    <w:p w14:paraId="27A02D77">
      <w:pPr>
        <w:pStyle w:val="85"/>
        <w:ind w:firstLine="480"/>
      </w:pPr>
      <w:r>
        <w:t>1）认真阅读并遵守基金合同</w:t>
      </w:r>
      <w:r>
        <w:rPr>
          <w:rFonts w:hint="eastAsia"/>
        </w:rPr>
        <w:t>、招募说明书、基金产品资料概要等信息披露文件</w:t>
      </w:r>
      <w:r>
        <w:t>；</w:t>
      </w:r>
    </w:p>
    <w:p w14:paraId="2DF965B9">
      <w:pPr>
        <w:pStyle w:val="85"/>
        <w:ind w:firstLine="480"/>
      </w:pPr>
      <w:r>
        <w:t>2）了解所投资基金产品，了解自身风险承受能力，自主判断基金的投资价值，自主做出投资决策，自行承担投资风险；</w:t>
      </w:r>
    </w:p>
    <w:p w14:paraId="12EE57CF">
      <w:pPr>
        <w:pStyle w:val="85"/>
        <w:ind w:firstLine="480"/>
      </w:pPr>
      <w:r>
        <w:t>3）关注基金信息披露，及时行使权利和履行义务；</w:t>
      </w:r>
    </w:p>
    <w:p w14:paraId="26967991">
      <w:pPr>
        <w:pStyle w:val="85"/>
        <w:ind w:firstLine="480"/>
      </w:pPr>
      <w:r>
        <w:t>4）</w:t>
      </w:r>
      <w:r>
        <w:rPr>
          <w:rFonts w:hint="eastAsia"/>
        </w:rPr>
        <w:t>交纳</w:t>
      </w:r>
      <w:r>
        <w:t>基金认购、申购款项及法律法规和基金合同所规定的费用；</w:t>
      </w:r>
    </w:p>
    <w:p w14:paraId="687BD694">
      <w:pPr>
        <w:pStyle w:val="85"/>
        <w:ind w:firstLine="480"/>
      </w:pPr>
      <w:r>
        <w:t>5）在其持有的基金份额范围内，承担基金亏损或者基金合同终止的有限责任；</w:t>
      </w:r>
    </w:p>
    <w:p w14:paraId="25A93E74">
      <w:pPr>
        <w:pStyle w:val="85"/>
        <w:ind w:firstLine="480"/>
      </w:pPr>
      <w:r>
        <w:t>6）不从事任何有损基金及其他基金合同当事人合法权益的活动；</w:t>
      </w:r>
    </w:p>
    <w:p w14:paraId="4DA27070">
      <w:pPr>
        <w:pStyle w:val="85"/>
        <w:ind w:firstLine="480"/>
      </w:pPr>
      <w:r>
        <w:t>7）执行生效的基金份额持有人大会的</w:t>
      </w:r>
      <w:r>
        <w:rPr>
          <w:rFonts w:hint="eastAsia"/>
        </w:rPr>
        <w:t>决议</w:t>
      </w:r>
      <w:r>
        <w:t>；</w:t>
      </w:r>
    </w:p>
    <w:p w14:paraId="12CD5FF5">
      <w:pPr>
        <w:pStyle w:val="85"/>
        <w:ind w:firstLine="480"/>
      </w:pPr>
      <w:r>
        <w:t>8）返还在基金交易过程中因任何原因获得的不当得利；</w:t>
      </w:r>
    </w:p>
    <w:p w14:paraId="55946FE6">
      <w:pPr>
        <w:pStyle w:val="85"/>
        <w:ind w:firstLine="480"/>
      </w:pPr>
      <w:r>
        <w:t>9）法律法规及中国证监会规定的和基金合同约定的其他义务。</w:t>
      </w:r>
    </w:p>
    <w:p w14:paraId="50E62DE8">
      <w:pPr>
        <w:pStyle w:val="85"/>
        <w:ind w:firstLine="480"/>
      </w:pPr>
      <w:r>
        <w:rPr>
          <w:rFonts w:hint="eastAsia"/>
        </w:rPr>
        <w:t>2、基金管理人的权利与义务</w:t>
      </w:r>
    </w:p>
    <w:p w14:paraId="793150B5">
      <w:pPr>
        <w:pStyle w:val="85"/>
        <w:ind w:firstLine="480"/>
      </w:pPr>
      <w:r>
        <w:t>（1）根据《基金法》、《运作办法》及其他有关规定，基金管理人的权利包括但不限于：</w:t>
      </w:r>
    </w:p>
    <w:p w14:paraId="01FB7E78">
      <w:pPr>
        <w:pStyle w:val="85"/>
        <w:ind w:firstLine="480"/>
      </w:pPr>
      <w:r>
        <w:t>1）依法募集</w:t>
      </w:r>
      <w:r>
        <w:rPr>
          <w:rFonts w:hint="eastAsia"/>
        </w:rPr>
        <w:t>资</w:t>
      </w:r>
      <w:r>
        <w:t>金；</w:t>
      </w:r>
    </w:p>
    <w:p w14:paraId="06975708">
      <w:pPr>
        <w:pStyle w:val="85"/>
        <w:ind w:firstLine="480"/>
      </w:pPr>
      <w:r>
        <w:t>2）自基金合同生效之日起，根据法律法规和基金合同独立运用并管理基金财产；</w:t>
      </w:r>
    </w:p>
    <w:p w14:paraId="23D349FD">
      <w:pPr>
        <w:pStyle w:val="85"/>
        <w:ind w:firstLine="480"/>
      </w:pPr>
      <w:r>
        <w:t>3）依照基金合同收取基金管理费以及法律法规规定或中国证监会批准的其他费用；</w:t>
      </w:r>
    </w:p>
    <w:p w14:paraId="294128F3">
      <w:pPr>
        <w:pStyle w:val="85"/>
        <w:ind w:firstLine="480"/>
      </w:pPr>
      <w:r>
        <w:t>4）销售基金份额；</w:t>
      </w:r>
    </w:p>
    <w:p w14:paraId="46771D8A">
      <w:pPr>
        <w:pStyle w:val="85"/>
        <w:ind w:firstLine="480"/>
      </w:pPr>
      <w:r>
        <w:t>5）</w:t>
      </w:r>
      <w:bookmarkStart w:id="65" w:name="_Hlt88896155"/>
      <w:r>
        <w:rPr>
          <w:rFonts w:hint="eastAsia"/>
        </w:rPr>
        <w:t>按照规定</w:t>
      </w:r>
      <w:r>
        <w:t>召集</w:t>
      </w:r>
      <w:bookmarkEnd w:id="65"/>
      <w:r>
        <w:t>基金份额持有人大会；</w:t>
      </w:r>
    </w:p>
    <w:p w14:paraId="11657D19">
      <w:pPr>
        <w:pStyle w:val="85"/>
        <w:ind w:firstLine="480"/>
      </w:pPr>
      <w:r>
        <w:t>6）依据基金合同及有关法律规定监督基金托管人，如认为基金托管人违反了基金合同及国家有关法律规定，应呈报中国证监会和其他监管部门，并采取必要措施保护基金投资者的利益；</w:t>
      </w:r>
    </w:p>
    <w:p w14:paraId="76E574FA">
      <w:pPr>
        <w:pStyle w:val="85"/>
        <w:ind w:firstLine="480"/>
      </w:pPr>
      <w:r>
        <w:t>7）在基金托管人更换时，提名新的基金托管人；</w:t>
      </w:r>
    </w:p>
    <w:p w14:paraId="09B17F5E">
      <w:pPr>
        <w:pStyle w:val="85"/>
        <w:ind w:firstLine="480"/>
      </w:pPr>
      <w:r>
        <w:t>8）选择、更换基金销售机构，对基金销售机构的相关行为进行监督和处理；</w:t>
      </w:r>
    </w:p>
    <w:p w14:paraId="14B2C7B3">
      <w:pPr>
        <w:pStyle w:val="85"/>
        <w:ind w:firstLine="480"/>
      </w:pPr>
      <w:r>
        <w:t>9）担任或委托其他符合条件的机构担任基金登记机构办理基金登记业务并获得基金合同规定的费用；</w:t>
      </w:r>
    </w:p>
    <w:p w14:paraId="66C2E1B9">
      <w:pPr>
        <w:pStyle w:val="85"/>
        <w:ind w:firstLine="480"/>
      </w:pPr>
      <w:r>
        <w:t>10）依据基金合同及有关法律规定决定基金收益的分配方案；</w:t>
      </w:r>
    </w:p>
    <w:p w14:paraId="3ADDF386">
      <w:pPr>
        <w:pStyle w:val="85"/>
        <w:ind w:firstLine="480"/>
      </w:pPr>
      <w:r>
        <w:t>11）在基金合同约定的范围内，拒绝或暂停受理申购</w:t>
      </w:r>
      <w:r>
        <w:rPr>
          <w:rFonts w:hint="eastAsia"/>
        </w:rPr>
        <w:t>、</w:t>
      </w:r>
      <w:r>
        <w:t>赎回</w:t>
      </w:r>
      <w:r>
        <w:rPr>
          <w:rFonts w:hint="eastAsia"/>
        </w:rPr>
        <w:t>或转换</w:t>
      </w:r>
      <w:r>
        <w:t>申请；</w:t>
      </w:r>
    </w:p>
    <w:p w14:paraId="100B4124">
      <w:pPr>
        <w:pStyle w:val="85"/>
        <w:ind w:firstLine="480"/>
      </w:pPr>
      <w:r>
        <w:t>12）依照法律法规为基金的利益对被投资公司行使股东权利，为基金的利益行使因基金财产投资于证券、基金所产生的权利；</w:t>
      </w:r>
      <w:r>
        <w:rPr>
          <w:rFonts w:hint="eastAsia"/>
        </w:rPr>
        <w:t>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p>
    <w:p w14:paraId="21AD2697">
      <w:pPr>
        <w:pStyle w:val="85"/>
        <w:ind w:firstLine="480"/>
      </w:pPr>
      <w:r>
        <w:t>13）在法律法规允许的前提下，为基金的利益依法为基金进行融资；</w:t>
      </w:r>
    </w:p>
    <w:p w14:paraId="251C2F3E">
      <w:pPr>
        <w:pStyle w:val="85"/>
        <w:ind w:firstLine="480"/>
      </w:pPr>
      <w:r>
        <w:t>14）以基金管理人的名义，代表基金份额持有人的利益行使诉讼权利或者实施其他法律行为；</w:t>
      </w:r>
    </w:p>
    <w:p w14:paraId="05BF793B">
      <w:pPr>
        <w:pStyle w:val="85"/>
        <w:ind w:firstLine="480"/>
      </w:pPr>
      <w:r>
        <w:t>15）选择、更换律师事务所、会计师事务所、证券</w:t>
      </w:r>
      <w:r>
        <w:rPr>
          <w:rFonts w:hint="eastAsia"/>
        </w:rPr>
        <w:t>、期货</w:t>
      </w:r>
      <w:r>
        <w:t>经纪商或其他为基金提供服务的外部机构；</w:t>
      </w:r>
    </w:p>
    <w:p w14:paraId="7FE3C953">
      <w:pPr>
        <w:pStyle w:val="85"/>
        <w:ind w:firstLine="480"/>
      </w:pPr>
      <w:r>
        <w:t>16）在符合有关法律、法规的前提下，制订和调整有关基金认购、申购、赎回、转换</w:t>
      </w:r>
      <w:r>
        <w:rPr>
          <w:rFonts w:hint="eastAsia"/>
        </w:rPr>
        <w:t>、转托管、</w:t>
      </w:r>
      <w:r>
        <w:t>非交易过户</w:t>
      </w:r>
      <w:r>
        <w:rPr>
          <w:rFonts w:hint="eastAsia"/>
        </w:rPr>
        <w:t>、定期定额投资、收益分配等的</w:t>
      </w:r>
      <w:r>
        <w:t>业务规则；</w:t>
      </w:r>
    </w:p>
    <w:p w14:paraId="210F9FD9">
      <w:pPr>
        <w:pStyle w:val="85"/>
        <w:ind w:firstLine="480"/>
      </w:pPr>
      <w:r>
        <w:t>17）法律法规及中国证监会规定的和基金合同约定的其他权利。</w:t>
      </w:r>
    </w:p>
    <w:p w14:paraId="1675CD85">
      <w:pPr>
        <w:pStyle w:val="85"/>
        <w:ind w:firstLine="480"/>
      </w:pPr>
      <w:r>
        <w:t>（2）根据《基金法》、《运作办法》及其他有关规定，基金管理人的义务包括但不限于：</w:t>
      </w:r>
    </w:p>
    <w:p w14:paraId="18B5E024">
      <w:pPr>
        <w:pStyle w:val="85"/>
        <w:ind w:firstLine="480"/>
      </w:pPr>
      <w:r>
        <w:t>1）依法募集</w:t>
      </w:r>
      <w:r>
        <w:rPr>
          <w:rFonts w:hint="eastAsia"/>
        </w:rPr>
        <w:t>资</w:t>
      </w:r>
      <w:r>
        <w:t>金，办理或者委托经中国证监会认定的其他机构代为办理基金份额的发售、申购、赎回和登记事宜；</w:t>
      </w:r>
    </w:p>
    <w:p w14:paraId="6C5718C5">
      <w:pPr>
        <w:pStyle w:val="85"/>
        <w:ind w:firstLine="480"/>
      </w:pPr>
      <w:r>
        <w:t>2）办理基金备案手续；</w:t>
      </w:r>
    </w:p>
    <w:p w14:paraId="18A117CB">
      <w:pPr>
        <w:pStyle w:val="85"/>
        <w:ind w:firstLine="480"/>
      </w:pPr>
      <w:r>
        <w:t>3）自基金合同生效之日起</w:t>
      </w:r>
      <w:r>
        <w:rPr>
          <w:rFonts w:hint="eastAsia"/>
        </w:rPr>
        <w:t>，</w:t>
      </w:r>
      <w:r>
        <w:t>以诚实信用、谨慎勤勉的原则管理和运用基金财产；</w:t>
      </w:r>
    </w:p>
    <w:p w14:paraId="2D7EFDAA">
      <w:pPr>
        <w:pStyle w:val="85"/>
        <w:ind w:firstLine="480"/>
      </w:pPr>
      <w:r>
        <w:t>4）配备足够的具有专业资格的人员进行基金投资分析、决策，以专业化的经营方式管理和运作基金财产；</w:t>
      </w:r>
    </w:p>
    <w:p w14:paraId="301967C2">
      <w:pPr>
        <w:pStyle w:val="85"/>
        <w:ind w:firstLine="480"/>
      </w:pPr>
      <w:r>
        <w:t>5）建立健全内部风险控制、监察与稽核、财务管理及人事管理等制度，保证所管理的基金财产和基金管理人的财产相互独立</w:t>
      </w:r>
      <w:r>
        <w:rPr>
          <w:rFonts w:hint="eastAsia"/>
        </w:rPr>
        <w:t>，</w:t>
      </w:r>
      <w:r>
        <w:t>对所管理的不同基金分别管理，分别记账，进行证券、基金投资；</w:t>
      </w:r>
    </w:p>
    <w:p w14:paraId="1B3E7F9E">
      <w:pPr>
        <w:pStyle w:val="85"/>
        <w:ind w:firstLine="480"/>
      </w:pPr>
      <w:r>
        <w:t>6）除依据《基金法》、基金合同及其他有关规定外</w:t>
      </w:r>
      <w:r>
        <w:rPr>
          <w:rFonts w:hint="eastAsia"/>
        </w:rPr>
        <w:t>，</w:t>
      </w:r>
      <w:r>
        <w:t>不得利用基金财产为自己及任何第三人谋取利益，不得委托第三人运作基金财产；</w:t>
      </w:r>
    </w:p>
    <w:p w14:paraId="51BE8E4E">
      <w:pPr>
        <w:pStyle w:val="85"/>
        <w:ind w:firstLine="480"/>
      </w:pPr>
      <w:r>
        <w:t>7）依法接受基金托管人的监督；</w:t>
      </w:r>
    </w:p>
    <w:p w14:paraId="2532859B">
      <w:pPr>
        <w:pStyle w:val="85"/>
        <w:ind w:firstLine="480"/>
      </w:pPr>
      <w:r>
        <w:t>8）采取适当合理的措施使计算基金份额认购、申购、赎回和注销价格的方法符合基金合同等法律文件的规定，按有关规定计算并公告基金净值信息</w:t>
      </w:r>
      <w:r>
        <w:rPr>
          <w:rFonts w:hint="eastAsia"/>
        </w:rPr>
        <w:t>，</w:t>
      </w:r>
      <w:r>
        <w:t>确定基金份额申购、赎回</w:t>
      </w:r>
      <w:r>
        <w:rPr>
          <w:rFonts w:hint="eastAsia"/>
        </w:rPr>
        <w:t>的价格</w:t>
      </w:r>
      <w:r>
        <w:t>；</w:t>
      </w:r>
    </w:p>
    <w:p w14:paraId="3165B142">
      <w:pPr>
        <w:pStyle w:val="85"/>
        <w:ind w:firstLine="480"/>
      </w:pPr>
      <w:r>
        <w:t>9）进行基金会计核算并编制基金财务会计报告；</w:t>
      </w:r>
    </w:p>
    <w:p w14:paraId="75EEFF10">
      <w:pPr>
        <w:pStyle w:val="85"/>
        <w:ind w:firstLine="480"/>
      </w:pPr>
      <w:r>
        <w:t>10）编制季度报告、</w:t>
      </w:r>
      <w:r>
        <w:rPr>
          <w:rFonts w:hint="eastAsia"/>
        </w:rPr>
        <w:t>中期报告和年度报告</w:t>
      </w:r>
      <w:r>
        <w:t>；</w:t>
      </w:r>
    </w:p>
    <w:p w14:paraId="267D1411">
      <w:pPr>
        <w:pStyle w:val="85"/>
        <w:ind w:firstLine="480"/>
      </w:pPr>
      <w:r>
        <w:t>11）严格按照《基金法》、基金合同及其他有关规定，履行信息披露及报告义务；</w:t>
      </w:r>
    </w:p>
    <w:p w14:paraId="66F6D568">
      <w:pPr>
        <w:pStyle w:val="85"/>
        <w:ind w:firstLine="480"/>
      </w:pPr>
      <w:r>
        <w:t>12）</w:t>
      </w:r>
      <w:r>
        <w:rPr>
          <w:rFonts w:hint="eastAsia"/>
        </w:rPr>
        <w:t>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11725772">
      <w:pPr>
        <w:pStyle w:val="85"/>
        <w:ind w:firstLine="480"/>
      </w:pPr>
      <w:r>
        <w:t>13）按基金合同的约定确定基金收益分配方案，及时向基金份额持有人分配基金收益；</w:t>
      </w:r>
    </w:p>
    <w:p w14:paraId="2D0CFA7C">
      <w:pPr>
        <w:pStyle w:val="85"/>
        <w:ind w:firstLine="480"/>
      </w:pPr>
      <w:r>
        <w:t>14）按规定受理申购与赎回申请，及时、足额支付赎回款项；</w:t>
      </w:r>
    </w:p>
    <w:p w14:paraId="77A48DBD">
      <w:pPr>
        <w:pStyle w:val="85"/>
        <w:ind w:firstLine="480"/>
      </w:pPr>
      <w:r>
        <w:t>15）依据《基金法》、基金合同及其他有关规定召集基金份额持有人大会或配合基金托管人、基金份额持有人依法召集基金份额持有人大会；</w:t>
      </w:r>
    </w:p>
    <w:p w14:paraId="108B0A48">
      <w:pPr>
        <w:pStyle w:val="85"/>
        <w:ind w:firstLine="480"/>
      </w:pPr>
      <w:r>
        <w:t>16）按规定保存基金财产管理业务活动的会计账册、报表、记录和其他相关资料</w:t>
      </w:r>
      <w:r>
        <w:rPr>
          <w:rFonts w:hint="eastAsia"/>
        </w:rPr>
        <w:t>，保存时间不少于法律法规的规定</w:t>
      </w:r>
      <w:r>
        <w:t>；</w:t>
      </w:r>
    </w:p>
    <w:p w14:paraId="5A9646B9">
      <w:pPr>
        <w:pStyle w:val="85"/>
        <w:ind w:firstLine="480"/>
      </w:pPr>
      <w: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580A75">
      <w:pPr>
        <w:pStyle w:val="85"/>
        <w:ind w:firstLine="480"/>
      </w:pPr>
      <w:r>
        <w:t>18）组织并参加基金财产清算小组</w:t>
      </w:r>
      <w:r>
        <w:rPr>
          <w:rFonts w:hint="eastAsia"/>
        </w:rPr>
        <w:t>，</w:t>
      </w:r>
      <w:r>
        <w:t>参与基金财产的保管、清理、估价、变现和分配；</w:t>
      </w:r>
    </w:p>
    <w:p w14:paraId="29880DD6">
      <w:pPr>
        <w:pStyle w:val="85"/>
        <w:ind w:firstLine="480"/>
      </w:pPr>
      <w:r>
        <w:t>19）面临解散、依法被撤销或者被依法宣告破产时，及时报告中国证监会并通知基金托管人；</w:t>
      </w:r>
    </w:p>
    <w:p w14:paraId="48DBB58B">
      <w:pPr>
        <w:pStyle w:val="85"/>
        <w:ind w:firstLine="480"/>
      </w:pPr>
      <w:r>
        <w:t>20）因违反基金合同导致基金财产的损失或损害基金份额持有人合法权益时，应当承担赔偿责任，其赔偿责任不因其退任而免除；</w:t>
      </w:r>
    </w:p>
    <w:p w14:paraId="5FF5FE8C">
      <w:pPr>
        <w:pStyle w:val="85"/>
        <w:ind w:firstLine="480"/>
      </w:pPr>
      <w:r>
        <w:t>21）监督基金托管人按法律法规和基金合同规定履行自己的义务，基金托管人违反基金合同造成基金财产损失时，基金管理人应为基金份额持有人利益向基金托管人追偿；</w:t>
      </w:r>
    </w:p>
    <w:p w14:paraId="2C2049EB">
      <w:pPr>
        <w:pStyle w:val="85"/>
        <w:ind w:firstLine="480"/>
      </w:pPr>
      <w:r>
        <w:t>22）当基金管理人将其义务委托第三方处理时，应当对第三方处理有关基金事务的行为承担责任；</w:t>
      </w:r>
    </w:p>
    <w:p w14:paraId="0CB36832">
      <w:pPr>
        <w:pStyle w:val="85"/>
        <w:ind w:firstLine="480"/>
      </w:pPr>
      <w:r>
        <w:t>23）以基金管理人名义，代表基金份额持有人利益行使诉讼权利或实施其他法律行为；</w:t>
      </w:r>
    </w:p>
    <w:p w14:paraId="2DFCDAF9">
      <w:pPr>
        <w:pStyle w:val="85"/>
        <w:ind w:firstLine="480"/>
      </w:pPr>
      <w:r>
        <w:t>24）基金管理人在募集期间未能达到基金</w:t>
      </w:r>
      <w:bookmarkStart w:id="66" w:name="_Hlt88823209"/>
      <w:bookmarkEnd w:id="66"/>
      <w:r>
        <w:t>的备案条件，基金合同不能生效，基金管理人承担全部募集费用，将已募集资金并加计银行同期</w:t>
      </w:r>
      <w:r>
        <w:rPr>
          <w:rFonts w:hint="eastAsia"/>
        </w:rPr>
        <w:t>活期</w:t>
      </w:r>
      <w:r>
        <w:t>存款利息在基金募集期结束后</w:t>
      </w:r>
      <w:r>
        <w:rPr>
          <w:rFonts w:hint="eastAsia"/>
        </w:rPr>
        <w:t>30</w:t>
      </w:r>
      <w:r>
        <w:t>日内退还基金认购人；</w:t>
      </w:r>
    </w:p>
    <w:p w14:paraId="3C62EF2D">
      <w:pPr>
        <w:pStyle w:val="85"/>
        <w:ind w:firstLine="480"/>
      </w:pPr>
      <w:r>
        <w:t>25）执行生效的基金份额持有人大会的</w:t>
      </w:r>
      <w:r>
        <w:rPr>
          <w:rFonts w:hint="eastAsia"/>
        </w:rPr>
        <w:t>决议</w:t>
      </w:r>
      <w:r>
        <w:t>；</w:t>
      </w:r>
    </w:p>
    <w:p w14:paraId="2B273F2A">
      <w:pPr>
        <w:pStyle w:val="85"/>
        <w:ind w:firstLine="480"/>
      </w:pPr>
      <w:r>
        <w:t>26）建立并保存基金份额持有人名册；</w:t>
      </w:r>
    </w:p>
    <w:p w14:paraId="07933B33">
      <w:pPr>
        <w:pStyle w:val="85"/>
        <w:ind w:firstLine="480"/>
      </w:pPr>
      <w:r>
        <w:t>27）法律法规及中国证监会规定的和《基金合同》约定的其他义务。</w:t>
      </w:r>
    </w:p>
    <w:p w14:paraId="2ADC25D4">
      <w:pPr>
        <w:pStyle w:val="85"/>
        <w:ind w:firstLine="480"/>
      </w:pPr>
      <w:r>
        <w:rPr>
          <w:rFonts w:hint="eastAsia"/>
        </w:rPr>
        <w:t>3、基金托管人的权利与义务</w:t>
      </w:r>
    </w:p>
    <w:p w14:paraId="6CB0F81C">
      <w:pPr>
        <w:ind w:firstLine="480"/>
        <w:rPr>
          <w:bCs/>
          <w:szCs w:val="20"/>
        </w:rPr>
      </w:pPr>
      <w:r>
        <w:rPr>
          <w:bCs/>
          <w:szCs w:val="20"/>
        </w:rPr>
        <w:t>（1）根据《基金法》、《运作办法》及其他有关规定，基金托管人的权利包括但不限于：</w:t>
      </w:r>
    </w:p>
    <w:p w14:paraId="175D135C">
      <w:pPr>
        <w:ind w:firstLine="480"/>
        <w:rPr>
          <w:bCs/>
          <w:szCs w:val="20"/>
        </w:rPr>
      </w:pPr>
      <w:r>
        <w:rPr>
          <w:bCs/>
          <w:szCs w:val="20"/>
        </w:rPr>
        <w:t>1）自基金合同生效之日起，依法律法规和基金合同的规定安全保管基金财产；</w:t>
      </w:r>
    </w:p>
    <w:p w14:paraId="1703B3B8">
      <w:pPr>
        <w:ind w:firstLine="480"/>
        <w:rPr>
          <w:bCs/>
          <w:szCs w:val="20"/>
        </w:rPr>
      </w:pPr>
      <w:r>
        <w:rPr>
          <w:bCs/>
          <w:szCs w:val="20"/>
        </w:rPr>
        <w:t>2）依基金合同约定获得基金托管费以及法律法规规定或监管部门批准的其他费用；</w:t>
      </w:r>
    </w:p>
    <w:p w14:paraId="1D197B8F">
      <w:pPr>
        <w:ind w:firstLine="480"/>
        <w:rPr>
          <w:bCs/>
          <w:szCs w:val="20"/>
        </w:rPr>
      </w:pPr>
      <w:r>
        <w:rPr>
          <w:bCs/>
          <w:szCs w:val="20"/>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4A2B351">
      <w:pPr>
        <w:ind w:firstLine="480"/>
        <w:rPr>
          <w:bCs/>
          <w:szCs w:val="20"/>
        </w:rPr>
      </w:pPr>
      <w:r>
        <w:rPr>
          <w:bCs/>
          <w:szCs w:val="20"/>
        </w:rPr>
        <w:t>4）根据相关市场规则，为基金开设</w:t>
      </w:r>
      <w:r>
        <w:rPr>
          <w:rFonts w:hint="eastAsia"/>
          <w:bCs/>
          <w:szCs w:val="20"/>
        </w:rPr>
        <w:t>资金账户、</w:t>
      </w:r>
      <w:r>
        <w:rPr>
          <w:bCs/>
          <w:szCs w:val="20"/>
        </w:rPr>
        <w:t>证券</w:t>
      </w:r>
      <w:r>
        <w:rPr>
          <w:rFonts w:hint="eastAsia"/>
          <w:bCs/>
          <w:szCs w:val="20"/>
        </w:rPr>
        <w:t>账户等投资所需账户，</w:t>
      </w:r>
      <w:r>
        <w:rPr>
          <w:bCs/>
          <w:szCs w:val="20"/>
        </w:rPr>
        <w:t>为基金办理证券</w:t>
      </w:r>
      <w:r>
        <w:rPr>
          <w:rFonts w:hint="eastAsia"/>
          <w:bCs/>
          <w:szCs w:val="20"/>
        </w:rPr>
        <w:t>、</w:t>
      </w:r>
      <w:r>
        <w:rPr>
          <w:bCs/>
          <w:szCs w:val="20"/>
        </w:rPr>
        <w:t>期货</w:t>
      </w:r>
      <w:r>
        <w:rPr>
          <w:rFonts w:hint="eastAsia"/>
          <w:bCs/>
          <w:szCs w:val="20"/>
        </w:rPr>
        <w:t>、基金</w:t>
      </w:r>
      <w:r>
        <w:rPr>
          <w:bCs/>
          <w:szCs w:val="20"/>
        </w:rPr>
        <w:t>交易资金清算</w:t>
      </w:r>
      <w:r>
        <w:rPr>
          <w:rFonts w:hint="eastAsia"/>
          <w:bCs/>
          <w:szCs w:val="20"/>
        </w:rPr>
        <w:t>；</w:t>
      </w:r>
    </w:p>
    <w:p w14:paraId="14D3A7E5">
      <w:pPr>
        <w:ind w:firstLine="480"/>
        <w:rPr>
          <w:bCs/>
          <w:szCs w:val="20"/>
        </w:rPr>
      </w:pPr>
      <w:r>
        <w:rPr>
          <w:bCs/>
          <w:szCs w:val="20"/>
        </w:rPr>
        <w:t>5）提议召开或召集基金份额持有人大会；</w:t>
      </w:r>
    </w:p>
    <w:p w14:paraId="06002DF7">
      <w:pPr>
        <w:ind w:firstLine="480"/>
        <w:rPr>
          <w:bCs/>
          <w:szCs w:val="20"/>
        </w:rPr>
      </w:pPr>
      <w:r>
        <w:rPr>
          <w:bCs/>
          <w:szCs w:val="20"/>
        </w:rPr>
        <w:t>6）在基金管理人更换时，提名新的基金管理人；</w:t>
      </w:r>
    </w:p>
    <w:p w14:paraId="637481B1">
      <w:pPr>
        <w:ind w:firstLine="480"/>
        <w:rPr>
          <w:bCs/>
          <w:szCs w:val="20"/>
        </w:rPr>
      </w:pPr>
      <w:r>
        <w:rPr>
          <w:bCs/>
          <w:szCs w:val="20"/>
        </w:rPr>
        <w:t>7）</w:t>
      </w:r>
      <w:r>
        <w:rPr>
          <w:rFonts w:hint="eastAsia"/>
          <w:bCs/>
          <w:szCs w:val="20"/>
        </w:rPr>
        <w:t>法律法规及中国证监会规定的和基金合同约定的其他</w:t>
      </w:r>
      <w:r>
        <w:rPr>
          <w:bCs/>
          <w:szCs w:val="20"/>
        </w:rPr>
        <w:t>权利。</w:t>
      </w:r>
    </w:p>
    <w:p w14:paraId="476BB535">
      <w:pPr>
        <w:ind w:firstLine="480"/>
        <w:rPr>
          <w:bCs/>
          <w:szCs w:val="20"/>
        </w:rPr>
      </w:pPr>
      <w:r>
        <w:rPr>
          <w:bCs/>
          <w:szCs w:val="20"/>
        </w:rPr>
        <w:t>（2）根据《基金法》、《运作办法》及其他有关规定，基金托管人的义务包括但不限于：</w:t>
      </w:r>
    </w:p>
    <w:p w14:paraId="08B6E1A4">
      <w:pPr>
        <w:ind w:firstLine="480"/>
        <w:rPr>
          <w:bCs/>
          <w:szCs w:val="20"/>
        </w:rPr>
      </w:pPr>
      <w:r>
        <w:rPr>
          <w:bCs/>
          <w:szCs w:val="20"/>
        </w:rPr>
        <w:t>1）以诚实信用、勤勉尽责的原则持有并安全保管基金财产；</w:t>
      </w:r>
    </w:p>
    <w:p w14:paraId="4740AA52">
      <w:pPr>
        <w:ind w:firstLine="480"/>
        <w:rPr>
          <w:bCs/>
          <w:szCs w:val="20"/>
        </w:rPr>
      </w:pPr>
      <w:r>
        <w:rPr>
          <w:bCs/>
          <w:szCs w:val="20"/>
        </w:rPr>
        <w:t>2）设立专门的基金托管部门，具有符合要求的营业场所，配备足够的、合格的熟悉基金托管业务的专职人员，负责基金财产托管事宜；</w:t>
      </w:r>
    </w:p>
    <w:p w14:paraId="25B02D6C">
      <w:pPr>
        <w:ind w:firstLine="480"/>
        <w:rPr>
          <w:bCs/>
          <w:szCs w:val="20"/>
        </w:rPr>
      </w:pPr>
      <w:r>
        <w:rPr>
          <w:bCs/>
          <w:szCs w:val="20"/>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BE7AACC">
      <w:pPr>
        <w:ind w:firstLine="480"/>
        <w:rPr>
          <w:bCs/>
          <w:szCs w:val="20"/>
        </w:rPr>
      </w:pPr>
      <w:r>
        <w:rPr>
          <w:bCs/>
          <w:szCs w:val="20"/>
        </w:rPr>
        <w:t>4）除依据《基金法》、基金合同及其他有关规定外，不得利用基金财产为自己及任何第三人谋取利益，不得委托第三人托管基金财产；</w:t>
      </w:r>
    </w:p>
    <w:p w14:paraId="0A9B69F6">
      <w:pPr>
        <w:ind w:firstLine="480"/>
        <w:rPr>
          <w:bCs/>
          <w:szCs w:val="20"/>
        </w:rPr>
      </w:pPr>
      <w:r>
        <w:rPr>
          <w:bCs/>
          <w:szCs w:val="20"/>
        </w:rPr>
        <w:t>5）保管由基金管理人代表基金签订的与基金有关的重大合同及有关凭证；</w:t>
      </w:r>
    </w:p>
    <w:p w14:paraId="135F08B6">
      <w:pPr>
        <w:ind w:firstLine="480"/>
        <w:rPr>
          <w:bCs/>
          <w:szCs w:val="20"/>
        </w:rPr>
      </w:pPr>
      <w:r>
        <w:rPr>
          <w:bCs/>
          <w:szCs w:val="20"/>
        </w:rPr>
        <w:t>6）按规定开设基金财产的资金账户</w:t>
      </w:r>
      <w:r>
        <w:rPr>
          <w:rFonts w:hint="eastAsia"/>
          <w:bCs/>
          <w:szCs w:val="20"/>
        </w:rPr>
        <w:t>、</w:t>
      </w:r>
      <w:r>
        <w:rPr>
          <w:bCs/>
          <w:szCs w:val="20"/>
        </w:rPr>
        <w:t>证券账户</w:t>
      </w:r>
      <w:r>
        <w:rPr>
          <w:rFonts w:hint="eastAsia"/>
          <w:bCs/>
          <w:szCs w:val="20"/>
        </w:rPr>
        <w:t>等投资所需账户，</w:t>
      </w:r>
      <w:r>
        <w:rPr>
          <w:bCs/>
          <w:szCs w:val="20"/>
        </w:rPr>
        <w:t>按照基金合同的约定，根据基金管理人的投资指令，及时办理清算、交割事宜；</w:t>
      </w:r>
    </w:p>
    <w:p w14:paraId="1C75A368">
      <w:pPr>
        <w:ind w:firstLine="480"/>
        <w:rPr>
          <w:bCs/>
          <w:szCs w:val="20"/>
        </w:rPr>
      </w:pPr>
      <w:r>
        <w:rPr>
          <w:bCs/>
          <w:szCs w:val="20"/>
        </w:rPr>
        <w:t>7）保守基金商业秘密，除《基金法》、基金合同及其他有关规定另有规定外，在基金信息公开披露前予以保密，不得向他人泄露</w:t>
      </w:r>
      <w:r>
        <w:rPr>
          <w:rFonts w:hint="eastAsia"/>
          <w:bCs/>
          <w:szCs w:val="20"/>
        </w:rPr>
        <w:t>，但向监管机构、司法机关等有权机关提供，或因审计、法律等外部专业顾问要求提供的情况除外</w:t>
      </w:r>
      <w:r>
        <w:rPr>
          <w:bCs/>
          <w:szCs w:val="20"/>
        </w:rPr>
        <w:t>；</w:t>
      </w:r>
    </w:p>
    <w:p w14:paraId="533D00EB">
      <w:pPr>
        <w:ind w:firstLine="480"/>
        <w:rPr>
          <w:bCs/>
          <w:szCs w:val="20"/>
        </w:rPr>
      </w:pPr>
      <w:r>
        <w:rPr>
          <w:bCs/>
          <w:szCs w:val="20"/>
        </w:rPr>
        <w:t>8）复核、审查基金管理人计算的基金资产净值、各类</w:t>
      </w:r>
      <w:r>
        <w:rPr>
          <w:rFonts w:hint="eastAsia"/>
          <w:bCs/>
          <w:szCs w:val="20"/>
        </w:rPr>
        <w:t>基金份额净值、</w:t>
      </w:r>
      <w:r>
        <w:rPr>
          <w:bCs/>
          <w:szCs w:val="20"/>
        </w:rPr>
        <w:t>基金份额申购、赎回价格；</w:t>
      </w:r>
    </w:p>
    <w:p w14:paraId="547AAC92">
      <w:pPr>
        <w:ind w:firstLine="480"/>
        <w:rPr>
          <w:bCs/>
          <w:szCs w:val="20"/>
        </w:rPr>
      </w:pPr>
      <w:r>
        <w:rPr>
          <w:bCs/>
          <w:szCs w:val="20"/>
        </w:rPr>
        <w:t>9）办理与基金托管业务活动有关的信息披露事项；</w:t>
      </w:r>
    </w:p>
    <w:p w14:paraId="22077F99">
      <w:pPr>
        <w:ind w:firstLine="480"/>
        <w:rPr>
          <w:bCs/>
          <w:szCs w:val="20"/>
        </w:rPr>
      </w:pPr>
      <w:r>
        <w:rPr>
          <w:bCs/>
          <w:szCs w:val="20"/>
        </w:rPr>
        <w:t>10）对基金财务会计报告、</w:t>
      </w:r>
      <w:r>
        <w:rPr>
          <w:rFonts w:hint="eastAsia"/>
          <w:bCs/>
          <w:szCs w:val="20"/>
        </w:rPr>
        <w:t>季度报告、</w:t>
      </w:r>
      <w:r>
        <w:rPr>
          <w:bCs/>
          <w:szCs w:val="20"/>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3E5FAA65">
      <w:pPr>
        <w:ind w:firstLine="480"/>
        <w:rPr>
          <w:bCs/>
          <w:szCs w:val="20"/>
        </w:rPr>
      </w:pPr>
      <w:r>
        <w:rPr>
          <w:bCs/>
          <w:szCs w:val="20"/>
        </w:rPr>
        <w:t>11）保存基金托管业务活动的记录、账册、报表和其他相关资料</w:t>
      </w:r>
      <w:r>
        <w:rPr>
          <w:rFonts w:hint="eastAsia"/>
          <w:bCs/>
          <w:szCs w:val="20"/>
        </w:rPr>
        <w:t>，保存期限不少于法律法规的规定；</w:t>
      </w:r>
    </w:p>
    <w:p w14:paraId="14DA3F49">
      <w:pPr>
        <w:ind w:firstLine="480"/>
        <w:rPr>
          <w:bCs/>
          <w:szCs w:val="20"/>
        </w:rPr>
      </w:pPr>
      <w:r>
        <w:rPr>
          <w:bCs/>
          <w:szCs w:val="20"/>
        </w:rPr>
        <w:t>12）</w:t>
      </w:r>
      <w:r>
        <w:rPr>
          <w:rFonts w:hint="eastAsia"/>
          <w:bCs/>
          <w:szCs w:val="20"/>
        </w:rPr>
        <w:t>从基金管理人或其委托的登记机构处接收并保存</w:t>
      </w:r>
      <w:r>
        <w:rPr>
          <w:bCs/>
          <w:szCs w:val="20"/>
        </w:rPr>
        <w:t>基金份额持有人名册；</w:t>
      </w:r>
    </w:p>
    <w:p w14:paraId="01C2E91F">
      <w:pPr>
        <w:ind w:firstLine="480"/>
        <w:rPr>
          <w:bCs/>
          <w:szCs w:val="20"/>
        </w:rPr>
      </w:pPr>
      <w:r>
        <w:rPr>
          <w:bCs/>
          <w:szCs w:val="20"/>
        </w:rPr>
        <w:t>13）按规定制作相关账册并与基金管理人核对；</w:t>
      </w:r>
    </w:p>
    <w:p w14:paraId="670D0595">
      <w:pPr>
        <w:ind w:firstLine="480"/>
        <w:rPr>
          <w:bCs/>
          <w:szCs w:val="20"/>
        </w:rPr>
      </w:pPr>
      <w:r>
        <w:rPr>
          <w:bCs/>
          <w:szCs w:val="20"/>
        </w:rPr>
        <w:t>14）依据基金管理人的指令或有关规定向基金份额持有人支付基金收益和赎回款项；</w:t>
      </w:r>
    </w:p>
    <w:p w14:paraId="33B86D90">
      <w:pPr>
        <w:ind w:firstLine="480"/>
        <w:rPr>
          <w:bCs/>
          <w:szCs w:val="20"/>
        </w:rPr>
      </w:pPr>
      <w:r>
        <w:rPr>
          <w:bCs/>
          <w:szCs w:val="20"/>
        </w:rPr>
        <w:t>15）依据《基金法》、基金合同及其他有关规定，召集基金份额持有人大会或配合</w:t>
      </w:r>
      <w:r>
        <w:rPr>
          <w:rFonts w:hint="eastAsia"/>
          <w:bCs/>
          <w:szCs w:val="20"/>
        </w:rPr>
        <w:t>基金管理人、</w:t>
      </w:r>
      <w:r>
        <w:rPr>
          <w:bCs/>
          <w:szCs w:val="20"/>
        </w:rPr>
        <w:t>基金份额持有人依法召集基金份额持有人大会；</w:t>
      </w:r>
    </w:p>
    <w:p w14:paraId="09901D93">
      <w:pPr>
        <w:ind w:firstLine="480"/>
        <w:rPr>
          <w:bCs/>
          <w:szCs w:val="20"/>
        </w:rPr>
      </w:pPr>
      <w:r>
        <w:rPr>
          <w:bCs/>
          <w:szCs w:val="20"/>
        </w:rPr>
        <w:t>16）按照法律法规和基金合同的规定监督基金管理人的投资运作；</w:t>
      </w:r>
    </w:p>
    <w:p w14:paraId="438066BE">
      <w:pPr>
        <w:ind w:firstLine="480"/>
        <w:rPr>
          <w:bCs/>
          <w:szCs w:val="20"/>
        </w:rPr>
      </w:pPr>
      <w:r>
        <w:rPr>
          <w:bCs/>
          <w:szCs w:val="20"/>
        </w:rPr>
        <w:t>17）参加基金财产清算小组，参与基金财产的保管、清理、估价、变现和分配；</w:t>
      </w:r>
    </w:p>
    <w:p w14:paraId="6DC2208F">
      <w:pPr>
        <w:ind w:firstLine="480"/>
        <w:rPr>
          <w:bCs/>
          <w:szCs w:val="20"/>
        </w:rPr>
      </w:pPr>
      <w:r>
        <w:rPr>
          <w:bCs/>
          <w:szCs w:val="20"/>
        </w:rPr>
        <w:t>18）面临解散、依法被撤销或者被依法宣告破产时，及时报告中国证监会，并通知基金管理人；</w:t>
      </w:r>
    </w:p>
    <w:p w14:paraId="6CC3977D">
      <w:pPr>
        <w:ind w:firstLine="480"/>
        <w:rPr>
          <w:bCs/>
          <w:szCs w:val="20"/>
        </w:rPr>
      </w:pPr>
      <w:r>
        <w:rPr>
          <w:bCs/>
          <w:szCs w:val="20"/>
        </w:rPr>
        <w:t>19）因违反基金合同导致基金财产损失时，应承担赔偿责任，其赔偿责任不因其退任而免除；</w:t>
      </w:r>
    </w:p>
    <w:p w14:paraId="4DD8B3DC">
      <w:pPr>
        <w:ind w:firstLine="480"/>
        <w:rPr>
          <w:bCs/>
          <w:szCs w:val="20"/>
        </w:rPr>
      </w:pPr>
      <w:r>
        <w:rPr>
          <w:bCs/>
          <w:szCs w:val="20"/>
        </w:rPr>
        <w:t>20）按规定监督基金管理人按法律法规和《基金合同》规定履行自己的义务，基金管理人因违反基金合同造成基金财产损失时，应为基金份额持有人利益向基金管理人追偿；</w:t>
      </w:r>
    </w:p>
    <w:p w14:paraId="5C6D9ACA">
      <w:pPr>
        <w:ind w:firstLine="480"/>
        <w:rPr>
          <w:bCs/>
          <w:szCs w:val="20"/>
        </w:rPr>
      </w:pPr>
      <w:r>
        <w:rPr>
          <w:bCs/>
          <w:szCs w:val="20"/>
        </w:rPr>
        <w:t>21）执行生效的基金份额持有人大会的</w:t>
      </w:r>
      <w:r>
        <w:rPr>
          <w:rFonts w:hint="eastAsia"/>
          <w:bCs/>
          <w:szCs w:val="20"/>
        </w:rPr>
        <w:t>决议</w:t>
      </w:r>
      <w:r>
        <w:rPr>
          <w:bCs/>
          <w:szCs w:val="20"/>
        </w:rPr>
        <w:t>；</w:t>
      </w:r>
    </w:p>
    <w:p w14:paraId="23A33773">
      <w:pPr>
        <w:pStyle w:val="85"/>
        <w:ind w:firstLine="480"/>
      </w:pPr>
      <w:r>
        <w:t>22）法律法规及中国证监会规定的和基金合同约定的其他义务。</w:t>
      </w:r>
    </w:p>
    <w:p w14:paraId="1F2C34DD">
      <w:pPr>
        <w:pStyle w:val="85"/>
        <w:ind w:firstLine="482"/>
        <w:rPr>
          <w:b/>
        </w:rPr>
      </w:pPr>
      <w:bookmarkStart w:id="67" w:name="_Hlt88899909"/>
      <w:bookmarkEnd w:id="67"/>
      <w:bookmarkStart w:id="68" w:name="_Hlt88897298"/>
      <w:bookmarkEnd w:id="68"/>
      <w:bookmarkStart w:id="69" w:name="_Hlt88825668"/>
      <w:bookmarkEnd w:id="69"/>
      <w:bookmarkStart w:id="70" w:name="_Hlt88825574"/>
      <w:bookmarkEnd w:id="70"/>
      <w:r>
        <w:rPr>
          <w:rFonts w:hint="eastAsia"/>
          <w:b/>
        </w:rPr>
        <w:t>二、基金份额持有人大会召集、议事及表决的程序和规则</w:t>
      </w:r>
    </w:p>
    <w:p w14:paraId="5441A5CC">
      <w:pPr>
        <w:pStyle w:val="85"/>
        <w:ind w:firstLine="480"/>
      </w:pPr>
      <w:r>
        <w:rPr>
          <w:rFonts w:hint="eastAsia"/>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C376EEC">
      <w:pPr>
        <w:pStyle w:val="85"/>
        <w:ind w:firstLine="480"/>
      </w:pPr>
      <w:r>
        <w:rPr>
          <w:rFonts w:hint="eastAsia"/>
        </w:rPr>
        <w:t>本基金份额持有人大会不设日常机构，若未来本基金份额持有人大会成立日常机构，则按照届时有效的法律法规的规定执行。</w:t>
      </w:r>
    </w:p>
    <w:p w14:paraId="40F169AC">
      <w:pPr>
        <w:pStyle w:val="85"/>
        <w:ind w:firstLine="480"/>
      </w:pPr>
      <w:r>
        <w:rPr>
          <w:rFonts w:hint="eastAsia"/>
        </w:rPr>
        <w:t>1、召开事由</w:t>
      </w:r>
    </w:p>
    <w:p w14:paraId="316ED60E">
      <w:pPr>
        <w:pStyle w:val="85"/>
        <w:ind w:firstLine="480"/>
      </w:pPr>
      <w:r>
        <w:rPr>
          <w:rFonts w:hint="eastAsia"/>
        </w:rPr>
        <w:t>（1）除法律法规、监管机构或基金合同另有规定的，当出现或需要决定下列事由之一的，应当召开基金份额持有人大会：</w:t>
      </w:r>
    </w:p>
    <w:p w14:paraId="242C00D3">
      <w:pPr>
        <w:pStyle w:val="85"/>
        <w:ind w:firstLine="480"/>
      </w:pPr>
      <w:r>
        <w:rPr>
          <w:rFonts w:hint="eastAsia"/>
        </w:rPr>
        <w:t>1）终止基金合同；</w:t>
      </w:r>
    </w:p>
    <w:p w14:paraId="33985BC7">
      <w:pPr>
        <w:pStyle w:val="85"/>
        <w:ind w:firstLine="480"/>
      </w:pPr>
      <w:r>
        <w:rPr>
          <w:rFonts w:hint="eastAsia"/>
        </w:rPr>
        <w:t>2）更换基金管理人；</w:t>
      </w:r>
    </w:p>
    <w:p w14:paraId="6B4F7FD8">
      <w:pPr>
        <w:pStyle w:val="85"/>
        <w:ind w:firstLine="480"/>
      </w:pPr>
      <w:r>
        <w:rPr>
          <w:rFonts w:hint="eastAsia"/>
        </w:rPr>
        <w:t>3）更换基金托管人；</w:t>
      </w:r>
    </w:p>
    <w:p w14:paraId="5EE281C8">
      <w:pPr>
        <w:pStyle w:val="85"/>
        <w:ind w:firstLine="480"/>
      </w:pPr>
      <w:r>
        <w:rPr>
          <w:rFonts w:hint="eastAsia"/>
        </w:rPr>
        <w:t>4）转换基金运作方式；</w:t>
      </w:r>
    </w:p>
    <w:p w14:paraId="68DB8DC8">
      <w:pPr>
        <w:pStyle w:val="85"/>
        <w:ind w:firstLine="480"/>
      </w:pPr>
      <w:r>
        <w:rPr>
          <w:rFonts w:hint="eastAsia"/>
        </w:rPr>
        <w:t>5）调整基金管理人、基金托管人的报酬标准或提高销售服务费；</w:t>
      </w:r>
    </w:p>
    <w:p w14:paraId="7B7E9BC9">
      <w:pPr>
        <w:pStyle w:val="85"/>
        <w:ind w:firstLine="480"/>
      </w:pPr>
      <w:r>
        <w:rPr>
          <w:rFonts w:hint="eastAsia"/>
        </w:rPr>
        <w:t>6）变更基金类别；</w:t>
      </w:r>
    </w:p>
    <w:p w14:paraId="1BB1FF72">
      <w:pPr>
        <w:pStyle w:val="85"/>
        <w:ind w:firstLine="480"/>
      </w:pPr>
      <w:r>
        <w:rPr>
          <w:rFonts w:hint="eastAsia"/>
        </w:rPr>
        <w:t>7）本基金与其他基金的合并；</w:t>
      </w:r>
    </w:p>
    <w:p w14:paraId="1561D481">
      <w:pPr>
        <w:pStyle w:val="85"/>
        <w:ind w:firstLine="480"/>
      </w:pPr>
      <w:r>
        <w:rPr>
          <w:rFonts w:hint="eastAsia"/>
        </w:rPr>
        <w:t>8）变更基金投资目标、范围或策略；</w:t>
      </w:r>
    </w:p>
    <w:p w14:paraId="7E16B25E">
      <w:pPr>
        <w:pStyle w:val="85"/>
        <w:ind w:firstLine="480"/>
      </w:pPr>
      <w:r>
        <w:rPr>
          <w:rFonts w:hint="eastAsia"/>
        </w:rPr>
        <w:t>9）变更基金份额持有人大会程序；</w:t>
      </w:r>
    </w:p>
    <w:p w14:paraId="7435DDEE">
      <w:pPr>
        <w:pStyle w:val="85"/>
        <w:ind w:firstLine="480"/>
      </w:pPr>
      <w:r>
        <w:rPr>
          <w:rFonts w:hint="eastAsia"/>
        </w:rPr>
        <w:t>10）基金管理人或基金托管人要求召开基金份额持有人大会；</w:t>
      </w:r>
    </w:p>
    <w:p w14:paraId="4E4F62AC">
      <w:pPr>
        <w:pStyle w:val="85"/>
        <w:ind w:firstLine="480"/>
      </w:pPr>
      <w:r>
        <w:rPr>
          <w:rFonts w:hint="eastAsia"/>
        </w:rPr>
        <w:t>11）单独或合计持有本基金总份额10%以上（含10%）基金份额的基金份额持有人（以基金管理人收到提议当日的基金份额计算，下同）就同一事项书面要求召开基金份额持有人大会；</w:t>
      </w:r>
    </w:p>
    <w:p w14:paraId="432F296F">
      <w:pPr>
        <w:pStyle w:val="85"/>
        <w:ind w:firstLine="480"/>
      </w:pPr>
      <w:r>
        <w:rPr>
          <w:rFonts w:hint="eastAsia"/>
        </w:rPr>
        <w:t>12）对基金合同当事人权利和义务产生重大影响的其他事项；</w:t>
      </w:r>
    </w:p>
    <w:p w14:paraId="1C039AEF">
      <w:pPr>
        <w:pStyle w:val="85"/>
        <w:ind w:firstLine="480"/>
      </w:pPr>
      <w:r>
        <w:rPr>
          <w:rFonts w:hint="eastAsia"/>
        </w:rPr>
        <w:t>13）法律法规、基金合同或中国证监会规定的其他应当召开基金份额持有人大会的事项。</w:t>
      </w:r>
    </w:p>
    <w:p w14:paraId="6FEA0014">
      <w:pPr>
        <w:pStyle w:val="85"/>
        <w:ind w:firstLine="48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14:paraId="2BBC6BC9">
      <w:pPr>
        <w:pStyle w:val="85"/>
        <w:ind w:firstLine="480"/>
      </w:pPr>
      <w:r>
        <w:rPr>
          <w:rFonts w:hint="eastAsia"/>
        </w:rPr>
        <w:t>1）法律法规要求增加的基金费用的收取；</w:t>
      </w:r>
    </w:p>
    <w:p w14:paraId="49626066">
      <w:pPr>
        <w:pStyle w:val="85"/>
        <w:ind w:firstLine="480"/>
      </w:pPr>
      <w:r>
        <w:rPr>
          <w:rFonts w:hint="eastAsia"/>
        </w:rPr>
        <w:t>2）调整本基金的申购费率、调低销售服务费率；或者变更收费方式；调整基金份额类别设置、停止现有基金份额类别的销售或者增设本基金的基金份额类别或对基金份额分类办法及规则进行调整；</w:t>
      </w:r>
    </w:p>
    <w:p w14:paraId="714CFC93">
      <w:pPr>
        <w:pStyle w:val="85"/>
        <w:ind w:firstLine="480"/>
      </w:pPr>
      <w:r>
        <w:t>3</w:t>
      </w:r>
      <w:r>
        <w:rPr>
          <w:rFonts w:hint="eastAsia"/>
        </w:rPr>
        <w:t>）因相应的法律法规发生变动而应当对基金合同进行修改；</w:t>
      </w:r>
    </w:p>
    <w:p w14:paraId="7E5FBCB7">
      <w:pPr>
        <w:pStyle w:val="85"/>
        <w:ind w:firstLine="480"/>
      </w:pPr>
      <w:r>
        <w:t>4</w:t>
      </w:r>
      <w:r>
        <w:rPr>
          <w:rFonts w:hint="eastAsia"/>
        </w:rPr>
        <w:t>）对基金合同的修改对基金份额持有人利益无实质性不利影响或修改不涉及基金合同当事人权利义务关系发生重大变化；</w:t>
      </w:r>
    </w:p>
    <w:p w14:paraId="5FE1F13B">
      <w:pPr>
        <w:pStyle w:val="85"/>
        <w:ind w:firstLine="480"/>
      </w:pPr>
      <w:r>
        <w:t>5</w:t>
      </w:r>
      <w:r>
        <w:rPr>
          <w:rFonts w:hint="eastAsia"/>
        </w:rPr>
        <w:t>）基金管理人在履行适当程序后，基金推出新业务或服务；</w:t>
      </w:r>
    </w:p>
    <w:p w14:paraId="66536AF3">
      <w:pPr>
        <w:pStyle w:val="85"/>
        <w:ind w:firstLine="480"/>
      </w:pPr>
      <w:r>
        <w:t>6</w:t>
      </w:r>
      <w:r>
        <w:rPr>
          <w:rFonts w:hint="eastAsia"/>
        </w:rPr>
        <w:t>）基金管理人、基金登记机构在法律法规规定或中国证监会许可的范围内调整或修改《业务规则》，包括但不限于有关基金认购、申购、赎回、转换、基金交易、非交易过户、转托管及定期定额投资等内容；</w:t>
      </w:r>
    </w:p>
    <w:p w14:paraId="016B313E">
      <w:pPr>
        <w:pStyle w:val="85"/>
        <w:ind w:firstLine="480"/>
      </w:pPr>
      <w:r>
        <w:rPr>
          <w:szCs w:val="24"/>
        </w:rPr>
        <w:t>7）在遵循本基金份额持有人利益优先原则的前提下，基金管理人代表本基金份额持有人</w:t>
      </w:r>
      <w:r>
        <w:rPr>
          <w:rFonts w:hint="eastAsia"/>
          <w:szCs w:val="24"/>
        </w:rPr>
        <w:t>的利益</w:t>
      </w:r>
      <w:r>
        <w:rPr>
          <w:szCs w:val="24"/>
        </w:rPr>
        <w:t>参与本基金所持有基金的基金份额持有人大会并行使相关的投票权利</w:t>
      </w:r>
      <w:r>
        <w:rPr>
          <w:rFonts w:hint="eastAsia"/>
          <w:szCs w:val="24"/>
        </w:rPr>
        <w:t>；或</w:t>
      </w:r>
      <w:r>
        <w:rPr>
          <w:szCs w:val="24"/>
        </w:rPr>
        <w:t>代表本基金的基金份额持有人提议召开或召集本基金所持基金的基金份额持有人大会；</w:t>
      </w:r>
    </w:p>
    <w:p w14:paraId="443345C1">
      <w:pPr>
        <w:pStyle w:val="85"/>
        <w:ind w:firstLine="480"/>
      </w:pPr>
      <w:r>
        <w:t>8</w:t>
      </w:r>
      <w:r>
        <w:rPr>
          <w:rFonts w:hint="eastAsia"/>
        </w:rPr>
        <w:t>）按照法律法规和基金合同规定不需召开基金份额持有人大会的其他情形。</w:t>
      </w:r>
    </w:p>
    <w:p w14:paraId="4614D841">
      <w:pPr>
        <w:pStyle w:val="85"/>
        <w:ind w:firstLine="480"/>
      </w:pPr>
      <w:r>
        <w:rPr>
          <w:rFonts w:hint="eastAsia"/>
        </w:rPr>
        <w:t>2、会议召集人及召集方式</w:t>
      </w:r>
    </w:p>
    <w:p w14:paraId="6240892C">
      <w:pPr>
        <w:pStyle w:val="85"/>
        <w:ind w:firstLine="480"/>
      </w:pPr>
      <w:r>
        <w:rPr>
          <w:rFonts w:hint="eastAsia"/>
        </w:rPr>
        <w:t>（1）除法律法规规定或基金合同另有约定外，基金份额持有人大会由基金管理人召集。</w:t>
      </w:r>
    </w:p>
    <w:p w14:paraId="7D275050">
      <w:pPr>
        <w:pStyle w:val="85"/>
        <w:ind w:firstLine="480"/>
      </w:pPr>
      <w:r>
        <w:rPr>
          <w:rFonts w:hint="eastAsia"/>
        </w:rPr>
        <w:t>（2）基金管理人未按规定召集或不能召集时，由基金托管人召集。</w:t>
      </w:r>
    </w:p>
    <w:p w14:paraId="6EABC8D1">
      <w:pPr>
        <w:pStyle w:val="85"/>
        <w:ind w:firstLine="48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807A513">
      <w:pPr>
        <w:pStyle w:val="85"/>
        <w:ind w:firstLine="48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45F21D5">
      <w:pPr>
        <w:pStyle w:val="85"/>
        <w:ind w:firstLine="48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F8E83DB">
      <w:pPr>
        <w:pStyle w:val="85"/>
        <w:ind w:firstLine="480"/>
      </w:pPr>
      <w:r>
        <w:rPr>
          <w:rFonts w:hint="eastAsia"/>
        </w:rPr>
        <w:t>（6）基金份额持有人会议的召集人负责选择确定开会时间、地点、方式和权益登记日。</w:t>
      </w:r>
    </w:p>
    <w:p w14:paraId="01AE03F8">
      <w:pPr>
        <w:pStyle w:val="85"/>
        <w:ind w:firstLine="480"/>
      </w:pPr>
      <w:r>
        <w:rPr>
          <w:rFonts w:hint="eastAsia"/>
        </w:rPr>
        <w:t>3、召开基金份额持有人大会的通知时间、通知内容、通知方式</w:t>
      </w:r>
    </w:p>
    <w:p w14:paraId="73691736">
      <w:pPr>
        <w:pStyle w:val="85"/>
        <w:ind w:firstLine="480"/>
      </w:pPr>
      <w:r>
        <w:rPr>
          <w:rFonts w:hint="eastAsia"/>
        </w:rPr>
        <w:t>（1）召开基金份额持有人大会，召集人应于会议召开前30日，在规定媒介公告。基金份额持有人大会通知应至少载明以下内容：</w:t>
      </w:r>
    </w:p>
    <w:p w14:paraId="66F338D4">
      <w:pPr>
        <w:pStyle w:val="85"/>
        <w:ind w:firstLine="480"/>
      </w:pPr>
      <w:r>
        <w:rPr>
          <w:rFonts w:hint="eastAsia"/>
        </w:rPr>
        <w:t>1）会议召开的时间、地点和会议形式；</w:t>
      </w:r>
    </w:p>
    <w:p w14:paraId="622B38F4">
      <w:pPr>
        <w:pStyle w:val="85"/>
        <w:ind w:firstLine="480"/>
      </w:pPr>
      <w:r>
        <w:rPr>
          <w:rFonts w:hint="eastAsia"/>
        </w:rPr>
        <w:t>2）会议拟审议的事项、议事程序和表决方式；</w:t>
      </w:r>
    </w:p>
    <w:p w14:paraId="0F69F445">
      <w:pPr>
        <w:pStyle w:val="85"/>
        <w:ind w:firstLine="480"/>
      </w:pPr>
      <w:r>
        <w:rPr>
          <w:rFonts w:hint="eastAsia"/>
        </w:rPr>
        <w:t>3）有权出席基金份额持有人大会的基金份额持有人的权益登记日；</w:t>
      </w:r>
    </w:p>
    <w:p w14:paraId="40177C23">
      <w:pPr>
        <w:pStyle w:val="85"/>
        <w:ind w:firstLine="480"/>
      </w:pPr>
      <w:r>
        <w:rPr>
          <w:rFonts w:hint="eastAsia"/>
        </w:rPr>
        <w:t>4）授权委托证明的内容要求（包括但不限于代理人身份，代理权限和代理有效期限等）、送达时间和地点；</w:t>
      </w:r>
    </w:p>
    <w:p w14:paraId="70BF12DD">
      <w:pPr>
        <w:pStyle w:val="85"/>
        <w:ind w:firstLine="480"/>
      </w:pPr>
      <w:r>
        <w:rPr>
          <w:rFonts w:hint="eastAsia"/>
        </w:rPr>
        <w:t>5）会务常设联系人姓名及联系电话；</w:t>
      </w:r>
    </w:p>
    <w:p w14:paraId="5B9A9727">
      <w:pPr>
        <w:pStyle w:val="85"/>
        <w:ind w:firstLine="480"/>
      </w:pPr>
      <w:r>
        <w:rPr>
          <w:rFonts w:hint="eastAsia"/>
        </w:rPr>
        <w:t>6）出席会议者必须准备的文件和必须履行的手续；</w:t>
      </w:r>
    </w:p>
    <w:p w14:paraId="255A3B6F">
      <w:pPr>
        <w:pStyle w:val="85"/>
        <w:ind w:firstLine="480"/>
      </w:pPr>
      <w:r>
        <w:rPr>
          <w:rFonts w:hint="eastAsia"/>
        </w:rPr>
        <w:t>7）召集人需要通知的其他事项。</w:t>
      </w:r>
    </w:p>
    <w:p w14:paraId="34830B4F">
      <w:pPr>
        <w:pStyle w:val="85"/>
        <w:ind w:firstLine="48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E01644D">
      <w:pPr>
        <w:pStyle w:val="85"/>
        <w:ind w:firstLine="48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279067E">
      <w:pPr>
        <w:pStyle w:val="85"/>
        <w:ind w:firstLine="480"/>
      </w:pPr>
      <w:r>
        <w:rPr>
          <w:rFonts w:hint="eastAsia"/>
        </w:rPr>
        <w:t>4、基金份额持有人出席会议的方式</w:t>
      </w:r>
    </w:p>
    <w:p w14:paraId="38823605">
      <w:pPr>
        <w:pStyle w:val="85"/>
        <w:ind w:firstLine="480"/>
      </w:pPr>
      <w:r>
        <w:rPr>
          <w:rFonts w:hint="eastAsia"/>
        </w:rPr>
        <w:t>基金份额持有人大会可通过现场开会方式、通讯开会方式或法律法规、监管机构允许的其他方式召开，会议的召开方式由会议召集人确定。</w:t>
      </w:r>
    </w:p>
    <w:p w14:paraId="2596069A">
      <w:pPr>
        <w:pStyle w:val="85"/>
        <w:ind w:firstLine="48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026B5E8">
      <w:pPr>
        <w:pStyle w:val="85"/>
        <w:ind w:firstLine="48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CB2DEB">
      <w:pPr>
        <w:pStyle w:val="85"/>
        <w:ind w:firstLine="48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7C2463D">
      <w:pPr>
        <w:pStyle w:val="85"/>
        <w:ind w:firstLine="480"/>
      </w:pPr>
      <w:r>
        <w:rPr>
          <w:rFonts w:hint="eastAsia"/>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7B5F596C">
      <w:pPr>
        <w:pStyle w:val="85"/>
        <w:ind w:firstLine="480"/>
      </w:pPr>
      <w:r>
        <w:rPr>
          <w:rFonts w:hint="eastAsia"/>
        </w:rPr>
        <w:t>在同时符合以下条件时，通讯开会的方式视为有效：</w:t>
      </w:r>
    </w:p>
    <w:p w14:paraId="349CFC60">
      <w:pPr>
        <w:pStyle w:val="85"/>
        <w:ind w:firstLine="480"/>
      </w:pPr>
      <w:r>
        <w:rPr>
          <w:rFonts w:hint="eastAsia"/>
        </w:rPr>
        <w:t>1）会议召集人按基金合同约定公布会议通知后，在2个工作日内连续公布相关提示性公告；</w:t>
      </w:r>
    </w:p>
    <w:p w14:paraId="37336FEE">
      <w:pPr>
        <w:pStyle w:val="85"/>
        <w:ind w:firstLine="48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A0A8207">
      <w:pPr>
        <w:pStyle w:val="85"/>
        <w:ind w:firstLine="48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6010DE53">
      <w:pPr>
        <w:pStyle w:val="85"/>
        <w:ind w:firstLine="48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004F333">
      <w:pPr>
        <w:pStyle w:val="85"/>
        <w:ind w:firstLine="480"/>
      </w:pPr>
      <w:r>
        <w:rPr>
          <w:rFonts w:hint="eastAsia"/>
        </w:rPr>
        <w:t>（3）在法律法规和监管机构允许的情况下，本基金的基金份额持有人亦可采用其他书面或非书面方式授权其代理人出席基金份额持有人大会并行使表决权，具体方式在会议通知中列明。</w:t>
      </w:r>
    </w:p>
    <w:p w14:paraId="2497DC3D">
      <w:pPr>
        <w:pStyle w:val="85"/>
        <w:ind w:firstLine="480"/>
      </w:pPr>
      <w:r>
        <w:rPr>
          <w:rFonts w:hint="eastAsia"/>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570E8BC">
      <w:pPr>
        <w:pStyle w:val="85"/>
        <w:ind w:firstLine="480"/>
      </w:pPr>
      <w:r>
        <w:rPr>
          <w:rFonts w:hint="eastAsia"/>
        </w:rPr>
        <w:t>5、议事内容与程序</w:t>
      </w:r>
    </w:p>
    <w:p w14:paraId="186B28DC">
      <w:pPr>
        <w:pStyle w:val="85"/>
        <w:ind w:firstLine="480"/>
      </w:pPr>
      <w:r>
        <w:rPr>
          <w:rFonts w:hint="eastAsia"/>
        </w:rPr>
        <w:t>（1）议事内容及提案权</w:t>
      </w:r>
    </w:p>
    <w:p w14:paraId="57BAF77D">
      <w:pPr>
        <w:pStyle w:val="85"/>
        <w:ind w:firstLine="48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FEF1A5">
      <w:pPr>
        <w:pStyle w:val="85"/>
        <w:ind w:firstLine="480"/>
      </w:pPr>
      <w:r>
        <w:rPr>
          <w:rFonts w:hint="eastAsia"/>
        </w:rPr>
        <w:t>基金份额持有人大会的召集人发出召集会议的通知后，对原有提案的修改应当在基金份额持有人大会召开前及时公告。</w:t>
      </w:r>
    </w:p>
    <w:p w14:paraId="58098A9B">
      <w:pPr>
        <w:pStyle w:val="85"/>
        <w:ind w:firstLine="480"/>
      </w:pPr>
      <w:r>
        <w:rPr>
          <w:rFonts w:hint="eastAsia"/>
        </w:rPr>
        <w:t>基金份额持有人大会不得对未事先公告的议事内容进行表决。</w:t>
      </w:r>
    </w:p>
    <w:p w14:paraId="0D1138BB">
      <w:pPr>
        <w:pStyle w:val="85"/>
        <w:ind w:firstLine="480"/>
      </w:pPr>
      <w:r>
        <w:rPr>
          <w:rFonts w:hint="eastAsia"/>
        </w:rPr>
        <w:t>（2）议事程序</w:t>
      </w:r>
    </w:p>
    <w:p w14:paraId="73FD5F08">
      <w:pPr>
        <w:pStyle w:val="85"/>
        <w:ind w:firstLine="480"/>
      </w:pPr>
      <w:r>
        <w:rPr>
          <w:rFonts w:hint="eastAsia"/>
        </w:rPr>
        <w:t>1）现场开会</w:t>
      </w:r>
    </w:p>
    <w:p w14:paraId="4A4CE2AA">
      <w:pPr>
        <w:pStyle w:val="85"/>
        <w:ind w:firstLine="480"/>
      </w:pPr>
      <w:r>
        <w:rPr>
          <w:rFonts w:hint="eastAsia"/>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BCA7020">
      <w:pPr>
        <w:pStyle w:val="85"/>
        <w:ind w:firstLine="48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21B18374">
      <w:pPr>
        <w:pStyle w:val="85"/>
        <w:ind w:firstLine="480"/>
      </w:pPr>
      <w:r>
        <w:rPr>
          <w:rFonts w:hint="eastAsia"/>
        </w:rPr>
        <w:t>2）通讯开会</w:t>
      </w:r>
    </w:p>
    <w:p w14:paraId="62D63DA2">
      <w:pPr>
        <w:pStyle w:val="85"/>
        <w:ind w:firstLine="480"/>
      </w:pPr>
      <w:r>
        <w:rPr>
          <w:rFonts w:hint="eastAsia"/>
        </w:rPr>
        <w:t>在通讯开会的情况下，首先由召集人提前30日公布提案，在所通知的表决截止日期后2个工作日内在公证机关监督下由召集人统计全部有效表决，在公证机关监督下形成决议。</w:t>
      </w:r>
    </w:p>
    <w:p w14:paraId="6DA2D630">
      <w:pPr>
        <w:pStyle w:val="85"/>
        <w:ind w:firstLine="480"/>
      </w:pPr>
      <w:r>
        <w:rPr>
          <w:rFonts w:hint="eastAsia"/>
        </w:rPr>
        <w:t>6、表决</w:t>
      </w:r>
    </w:p>
    <w:p w14:paraId="2AD80078">
      <w:pPr>
        <w:pStyle w:val="85"/>
        <w:ind w:firstLine="480"/>
      </w:pPr>
      <w:r>
        <w:rPr>
          <w:rFonts w:hint="eastAsia"/>
        </w:rPr>
        <w:t>基金份额持有人所持每份基金份额有一票表决权。</w:t>
      </w:r>
    </w:p>
    <w:p w14:paraId="7408A991">
      <w:pPr>
        <w:pStyle w:val="85"/>
        <w:ind w:firstLine="480"/>
      </w:pPr>
      <w:r>
        <w:rPr>
          <w:rFonts w:hint="eastAsia"/>
        </w:rPr>
        <w:t>基金份额持有人大会决议分为一般决议和特别决议：</w:t>
      </w:r>
    </w:p>
    <w:p w14:paraId="35D389CD">
      <w:pPr>
        <w:pStyle w:val="85"/>
        <w:ind w:firstLine="48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8987948">
      <w:pPr>
        <w:pStyle w:val="85"/>
        <w:ind w:firstLine="480"/>
      </w:pPr>
      <w:r>
        <w:rPr>
          <w:rFonts w:hint="eastAsia"/>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D94A5EF">
      <w:pPr>
        <w:pStyle w:val="85"/>
        <w:ind w:firstLine="480"/>
      </w:pPr>
      <w:r>
        <w:rPr>
          <w:rFonts w:hint="eastAsia"/>
        </w:rPr>
        <w:t>基金份额持有人大会采取记名方式进行投票表决。</w:t>
      </w:r>
    </w:p>
    <w:p w14:paraId="0F5152E1">
      <w:pPr>
        <w:pStyle w:val="85"/>
        <w:ind w:firstLine="48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7955BEE">
      <w:pPr>
        <w:pStyle w:val="85"/>
        <w:ind w:firstLine="480"/>
      </w:pPr>
      <w:r>
        <w:rPr>
          <w:rFonts w:hint="eastAsia"/>
        </w:rPr>
        <w:t>基金份额持有人大会的各项提案或同一项提案内并列的各项议题应当分开审议、逐项表决。</w:t>
      </w:r>
    </w:p>
    <w:p w14:paraId="169B10CE">
      <w:pPr>
        <w:pStyle w:val="85"/>
        <w:ind w:firstLine="480"/>
      </w:pPr>
      <w:r>
        <w:rPr>
          <w:rFonts w:hint="eastAsia"/>
        </w:rPr>
        <w:t>在符合上述规则的前提下，具体规则以召集人发布的基金份额持有人大会通知为准。</w:t>
      </w:r>
    </w:p>
    <w:p w14:paraId="51CFE139">
      <w:pPr>
        <w:pStyle w:val="85"/>
        <w:ind w:firstLine="480"/>
      </w:pPr>
      <w:r>
        <w:rPr>
          <w:rFonts w:hint="eastAsia"/>
        </w:rPr>
        <w:t>7、计票</w:t>
      </w:r>
    </w:p>
    <w:p w14:paraId="1138AB4A">
      <w:pPr>
        <w:pStyle w:val="85"/>
        <w:ind w:firstLine="480"/>
      </w:pPr>
      <w:r>
        <w:rPr>
          <w:rFonts w:hint="eastAsia"/>
        </w:rPr>
        <w:t>（1）现场开会</w:t>
      </w:r>
    </w:p>
    <w:p w14:paraId="48AC7CA7">
      <w:pPr>
        <w:pStyle w:val="85"/>
        <w:ind w:firstLine="48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37EABCC">
      <w:pPr>
        <w:pStyle w:val="85"/>
        <w:ind w:firstLine="480"/>
      </w:pPr>
      <w:r>
        <w:rPr>
          <w:rFonts w:hint="eastAsia"/>
        </w:rPr>
        <w:t>2）监票人应当在基金份额持有人表决后立即进行清点并由大会主持人当场公布计票结果。</w:t>
      </w:r>
    </w:p>
    <w:p w14:paraId="140198E8">
      <w:pPr>
        <w:pStyle w:val="85"/>
        <w:ind w:firstLine="48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E4618F6">
      <w:pPr>
        <w:pStyle w:val="85"/>
        <w:ind w:firstLine="480"/>
      </w:pPr>
      <w:r>
        <w:rPr>
          <w:rFonts w:hint="eastAsia"/>
        </w:rPr>
        <w:t>4）计票过程应由公证机关予以公证，基金管理人或基金托管人拒不出席大会的，不影响计票的效力。</w:t>
      </w:r>
    </w:p>
    <w:p w14:paraId="2698AECA">
      <w:pPr>
        <w:pStyle w:val="85"/>
        <w:ind w:firstLine="480"/>
      </w:pPr>
      <w:r>
        <w:rPr>
          <w:rFonts w:hint="eastAsia"/>
        </w:rPr>
        <w:t>（2）通讯开会</w:t>
      </w:r>
    </w:p>
    <w:p w14:paraId="5784FD0C">
      <w:pPr>
        <w:pStyle w:val="85"/>
        <w:ind w:firstLine="48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3091622">
      <w:pPr>
        <w:pStyle w:val="85"/>
        <w:ind w:firstLine="480"/>
      </w:pPr>
      <w:r>
        <w:rPr>
          <w:rFonts w:hint="eastAsia"/>
        </w:rPr>
        <w:t>8、生效与公告</w:t>
      </w:r>
    </w:p>
    <w:p w14:paraId="7109F8D8">
      <w:pPr>
        <w:pStyle w:val="85"/>
        <w:ind w:firstLine="480"/>
      </w:pPr>
      <w:r>
        <w:rPr>
          <w:rFonts w:hint="eastAsia"/>
        </w:rPr>
        <w:t>基金份额持有人大会的决议，召集人应当自通过之日起5日内报中国证监会备案。</w:t>
      </w:r>
    </w:p>
    <w:p w14:paraId="29A5AA53">
      <w:pPr>
        <w:pStyle w:val="85"/>
        <w:ind w:firstLine="480"/>
      </w:pPr>
      <w:r>
        <w:rPr>
          <w:rFonts w:hint="eastAsia"/>
        </w:rPr>
        <w:t>基金份额持有人大会的决议自表决通过之日起生效。</w:t>
      </w:r>
    </w:p>
    <w:p w14:paraId="1B9ECC3F">
      <w:pPr>
        <w:pStyle w:val="85"/>
        <w:ind w:firstLine="480"/>
      </w:pPr>
      <w:r>
        <w:rPr>
          <w:rFonts w:hint="eastAsia"/>
        </w:rPr>
        <w:t>基金份额持有人大会决议自生效之日起2日内在规定媒介上公告。</w:t>
      </w:r>
    </w:p>
    <w:p w14:paraId="5167ADAC">
      <w:pPr>
        <w:pStyle w:val="85"/>
        <w:ind w:firstLine="48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840C22C">
      <w:pPr>
        <w:pStyle w:val="85"/>
        <w:ind w:firstLine="480"/>
      </w:pPr>
      <w:r>
        <w:rPr>
          <w:rFonts w:hint="eastAsia"/>
        </w:rPr>
        <w:t>9、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00E1FE11">
      <w:pPr>
        <w:pStyle w:val="85"/>
        <w:ind w:firstLine="480"/>
      </w:pPr>
      <w:r>
        <w:rPr>
          <w:rFonts w:hint="eastAsia"/>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32E0490A">
      <w:pPr>
        <w:pStyle w:val="85"/>
        <w:ind w:firstLine="480"/>
      </w:pPr>
      <w:r>
        <w:rPr>
          <w:rFonts w:hint="eastAsia"/>
        </w:rPr>
        <w:t>1</w:t>
      </w:r>
      <w:r>
        <w:t>0</w:t>
      </w:r>
      <w:r>
        <w:rPr>
          <w:rFonts w:hint="eastAsia"/>
        </w:rPr>
        <w:t>、实施侧袋机制期间基金份额持有人大会的特殊约定</w:t>
      </w:r>
    </w:p>
    <w:p w14:paraId="513C6D65">
      <w:pPr>
        <w:pStyle w:val="85"/>
        <w:ind w:firstLine="48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C0417D8">
      <w:pPr>
        <w:pStyle w:val="85"/>
        <w:ind w:firstLine="480"/>
      </w:pPr>
      <w:r>
        <w:rPr>
          <w:rFonts w:hint="eastAsia"/>
        </w:rPr>
        <w:t>（1）基金份额持有人行使提议权、召集权、提名权所需单独或合计代表相关基金份额10%以上（含10%）；</w:t>
      </w:r>
    </w:p>
    <w:p w14:paraId="3AAB0C86">
      <w:pPr>
        <w:pStyle w:val="85"/>
        <w:ind w:firstLine="480"/>
      </w:pPr>
      <w:r>
        <w:rPr>
          <w:rFonts w:hint="eastAsia"/>
        </w:rPr>
        <w:t>（2）现场开会的到会者在权益登记日代表的基金份额不少于本基金在权益登记日相关基金份额的二分之一（含二分之一）；</w:t>
      </w:r>
    </w:p>
    <w:p w14:paraId="1BC2BF58">
      <w:pPr>
        <w:pStyle w:val="85"/>
        <w:ind w:firstLine="480"/>
      </w:pPr>
      <w:r>
        <w:rPr>
          <w:rFonts w:hint="eastAsia"/>
        </w:rPr>
        <w:t>（3）通讯开会的直接出具</w:t>
      </w:r>
      <w:r>
        <w:t>表决</w:t>
      </w:r>
      <w:r>
        <w:rPr>
          <w:rFonts w:hint="eastAsia"/>
        </w:rPr>
        <w:t>意见或授权他人代表出具表决意见的基金份额持有人所持有的基金份额不小于在权益登记日相关基金份额的二分之一（含二分之一）；</w:t>
      </w:r>
    </w:p>
    <w:p w14:paraId="16FB9123">
      <w:pPr>
        <w:pStyle w:val="85"/>
        <w:ind w:firstLine="480"/>
      </w:pPr>
      <w:r>
        <w:rPr>
          <w:rFonts w:hint="eastAsia"/>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5E03F21">
      <w:pPr>
        <w:pStyle w:val="85"/>
        <w:ind w:firstLine="480"/>
      </w:pPr>
      <w:r>
        <w:rPr>
          <w:rFonts w:hint="eastAsia"/>
        </w:rPr>
        <w:t>（5）现场开会由出席大会的基金份额持有人和代理人所持表决权的二分之一以上（含二分之一）选举产生一名基金份额持有人作为该次基金份额持有人大会的主持人；</w:t>
      </w:r>
    </w:p>
    <w:p w14:paraId="6BBA4958">
      <w:pPr>
        <w:pStyle w:val="85"/>
        <w:ind w:firstLine="480"/>
      </w:pPr>
      <w:r>
        <w:rPr>
          <w:rFonts w:hint="eastAsia"/>
        </w:rPr>
        <w:t>（6）一般决议须经参加大会的基金份额持有人或其代理人所持表决权的二分之一以上（含二分之一）通过；</w:t>
      </w:r>
    </w:p>
    <w:p w14:paraId="6F77DEA5">
      <w:pPr>
        <w:pStyle w:val="85"/>
        <w:ind w:firstLine="480"/>
      </w:pPr>
      <w:r>
        <w:rPr>
          <w:rFonts w:hint="eastAsia"/>
        </w:rPr>
        <w:t>（7）特别决议应当经参加大会的基金份额持有人或其代理人所持表决权的三分之二以上（含三分之二）通过。</w:t>
      </w:r>
    </w:p>
    <w:p w14:paraId="53ECAA0D">
      <w:pPr>
        <w:pStyle w:val="85"/>
        <w:ind w:firstLine="480"/>
      </w:pPr>
      <w:r>
        <w:rPr>
          <w:rFonts w:hint="eastAsia"/>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9FD581C">
      <w:pPr>
        <w:pStyle w:val="85"/>
        <w:ind w:firstLine="480"/>
      </w:pPr>
      <w:r>
        <w:rPr>
          <w:rFonts w:hint="eastAsia"/>
        </w:rPr>
        <w:t>侧袋机制实施期间，关于基金份额持有人大会的相关规定以本节特殊约定内容为准，本节没有规定的适用本部分的相关规定。</w:t>
      </w:r>
    </w:p>
    <w:p w14:paraId="56C035FF">
      <w:pPr>
        <w:pStyle w:val="85"/>
        <w:ind w:firstLine="480"/>
      </w:pPr>
      <w:r>
        <w:rPr>
          <w:rFonts w:hint="eastAsia"/>
        </w:rPr>
        <w:t>1</w:t>
      </w:r>
      <w:r>
        <w:t>1</w:t>
      </w:r>
      <w:r>
        <w:rPr>
          <w:rFonts w:hint="eastAsia"/>
        </w:rPr>
        <w:t>、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5E2B1D11">
      <w:pPr>
        <w:pStyle w:val="85"/>
        <w:ind w:firstLine="482"/>
        <w:rPr>
          <w:b/>
        </w:rPr>
      </w:pPr>
      <w:r>
        <w:rPr>
          <w:rFonts w:hint="eastAsia"/>
          <w:b/>
        </w:rPr>
        <w:t>三、基金合同变更和终止的事由、程序以及基金财产清算方式</w:t>
      </w:r>
    </w:p>
    <w:p w14:paraId="3C2544AF">
      <w:pPr>
        <w:pStyle w:val="85"/>
        <w:ind w:firstLine="480"/>
      </w:pPr>
      <w:bookmarkStart w:id="71" w:name="_Toc79392639"/>
      <w:r>
        <w:rPr>
          <w:rFonts w:hint="eastAsia"/>
        </w:rPr>
        <w:t>1、基金合同的变更</w:t>
      </w:r>
    </w:p>
    <w:p w14:paraId="2FB65F9D">
      <w:pPr>
        <w:pStyle w:val="85"/>
        <w:ind w:firstLine="48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657844C">
      <w:pPr>
        <w:pStyle w:val="85"/>
        <w:ind w:firstLine="480"/>
      </w:pPr>
      <w:r>
        <w:rPr>
          <w:rFonts w:hint="eastAsia"/>
        </w:rPr>
        <w:t>（2）关于基金合同变更的基金份额持有人大会决议自生效后方可执行，自决议生效后两日内在规定媒介公告。</w:t>
      </w:r>
    </w:p>
    <w:p w14:paraId="6ADEC36D">
      <w:pPr>
        <w:pStyle w:val="85"/>
        <w:ind w:firstLine="480"/>
      </w:pPr>
      <w:r>
        <w:rPr>
          <w:rFonts w:hint="eastAsia"/>
        </w:rPr>
        <w:t>2、基金合同的终止事由</w:t>
      </w:r>
    </w:p>
    <w:p w14:paraId="68DEF0A9">
      <w:pPr>
        <w:pStyle w:val="85"/>
        <w:ind w:firstLine="480"/>
      </w:pPr>
      <w:r>
        <w:rPr>
          <w:rFonts w:hint="eastAsia"/>
        </w:rPr>
        <w:t>有下列情形之一的，经履行相关程序后，基金合同应当终止：</w:t>
      </w:r>
    </w:p>
    <w:p w14:paraId="18DAF7C2">
      <w:pPr>
        <w:pStyle w:val="85"/>
        <w:ind w:firstLine="480"/>
      </w:pPr>
      <w:r>
        <w:rPr>
          <w:rFonts w:hint="eastAsia"/>
        </w:rPr>
        <w:t>1）基金份额持有人大会决定终止的；</w:t>
      </w:r>
    </w:p>
    <w:p w14:paraId="300B45E8">
      <w:pPr>
        <w:pStyle w:val="85"/>
        <w:ind w:firstLine="480"/>
      </w:pPr>
      <w:r>
        <w:rPr>
          <w:rFonts w:hint="eastAsia"/>
        </w:rPr>
        <w:t>2）基金管理人、基金托管人职责终止，在6个月内没有新基金管理人、新基金托管人承接的；</w:t>
      </w:r>
    </w:p>
    <w:p w14:paraId="7DB38292">
      <w:pPr>
        <w:pStyle w:val="85"/>
        <w:ind w:firstLine="480"/>
      </w:pPr>
      <w:r>
        <w:rPr>
          <w:rFonts w:hint="eastAsia"/>
        </w:rPr>
        <w:t>3）基金合同约定的其他情形；</w:t>
      </w:r>
    </w:p>
    <w:p w14:paraId="3AF581E0">
      <w:pPr>
        <w:pStyle w:val="85"/>
        <w:ind w:firstLine="480"/>
      </w:pPr>
      <w:r>
        <w:t>4</w:t>
      </w:r>
      <w:r>
        <w:rPr>
          <w:rFonts w:hint="eastAsia"/>
        </w:rPr>
        <w:t>）相关法律法规和中国证监会规定的其他情况。</w:t>
      </w:r>
    </w:p>
    <w:p w14:paraId="7D27A277">
      <w:pPr>
        <w:pStyle w:val="85"/>
        <w:ind w:firstLine="480"/>
      </w:pPr>
      <w:r>
        <w:rPr>
          <w:rFonts w:hint="eastAsia"/>
        </w:rPr>
        <w:t>3、基金财产的清算</w:t>
      </w:r>
    </w:p>
    <w:p w14:paraId="4081A3FE">
      <w:pPr>
        <w:pStyle w:val="85"/>
        <w:ind w:firstLine="480"/>
      </w:pPr>
      <w:r>
        <w:rPr>
          <w:rFonts w:hint="eastAsia"/>
        </w:rPr>
        <w:t>（1）基金财产清算小组：自出现基金合同终止事由之日起30个工作日内成立清算小组，基金管理人或临时基金管理人组织基金财产清算小组并在中国证监会的监督下进行基金清算。</w:t>
      </w:r>
    </w:p>
    <w:p w14:paraId="3521BC67">
      <w:pPr>
        <w:pStyle w:val="85"/>
        <w:ind w:firstLine="480"/>
      </w:pPr>
      <w:r>
        <w:rPr>
          <w:rFonts w:hint="eastAsia"/>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254B854A">
      <w:pPr>
        <w:pStyle w:val="85"/>
        <w:ind w:firstLine="480"/>
      </w:pPr>
      <w:r>
        <w:rPr>
          <w:rFonts w:hint="eastAsia"/>
        </w:rPr>
        <w:t>（3）基金财产清算小组职责：基金财产清算小组负责基金财产的保管、清理、估价、变现和分配。基金财产清算小组可以依法进行必要的民事活动。</w:t>
      </w:r>
    </w:p>
    <w:p w14:paraId="7AD0770A">
      <w:pPr>
        <w:pStyle w:val="85"/>
        <w:ind w:firstLine="480"/>
      </w:pPr>
      <w:r>
        <w:rPr>
          <w:rFonts w:hint="eastAsia"/>
        </w:rPr>
        <w:t>（4）基金财产清算程序：</w:t>
      </w:r>
    </w:p>
    <w:p w14:paraId="04B84115">
      <w:pPr>
        <w:pStyle w:val="85"/>
        <w:ind w:firstLine="480"/>
      </w:pPr>
      <w:r>
        <w:rPr>
          <w:rFonts w:hint="eastAsia"/>
        </w:rPr>
        <w:t>1）基金合同终止情形出现时，由基金财产清算小组统一接管基金财产；</w:t>
      </w:r>
    </w:p>
    <w:p w14:paraId="13F9EC66">
      <w:pPr>
        <w:pStyle w:val="85"/>
        <w:ind w:firstLine="480"/>
      </w:pPr>
      <w:r>
        <w:rPr>
          <w:rFonts w:hint="eastAsia"/>
        </w:rPr>
        <w:t>2）对基金财产和债权债务进行清理和确认；</w:t>
      </w:r>
    </w:p>
    <w:p w14:paraId="42DAC6A2">
      <w:pPr>
        <w:pStyle w:val="85"/>
        <w:ind w:firstLine="480"/>
      </w:pPr>
      <w:r>
        <w:rPr>
          <w:rFonts w:hint="eastAsia"/>
        </w:rPr>
        <w:t>3）对基金财产进行估值和变现；</w:t>
      </w:r>
    </w:p>
    <w:p w14:paraId="280F4A56">
      <w:pPr>
        <w:pStyle w:val="85"/>
        <w:ind w:firstLine="480"/>
      </w:pPr>
      <w:r>
        <w:rPr>
          <w:rFonts w:hint="eastAsia"/>
        </w:rPr>
        <w:t>4）制作清算报告；</w:t>
      </w:r>
    </w:p>
    <w:p w14:paraId="20743D87">
      <w:pPr>
        <w:pStyle w:val="85"/>
        <w:ind w:firstLine="480"/>
      </w:pPr>
      <w:r>
        <w:rPr>
          <w:rFonts w:hint="eastAsia"/>
        </w:rPr>
        <w:t>5）聘请会计师事务所对清算报告进行外部审计，聘请律师事务所对清算报告出具法律意见书；</w:t>
      </w:r>
    </w:p>
    <w:p w14:paraId="734FBD59">
      <w:pPr>
        <w:pStyle w:val="85"/>
        <w:ind w:firstLine="480"/>
      </w:pPr>
      <w:r>
        <w:rPr>
          <w:rFonts w:hint="eastAsia"/>
        </w:rPr>
        <w:t>6）将清算报告报中国证监会备案并公告；</w:t>
      </w:r>
    </w:p>
    <w:p w14:paraId="27895A55">
      <w:pPr>
        <w:pStyle w:val="85"/>
        <w:ind w:firstLine="480"/>
      </w:pPr>
      <w:r>
        <w:rPr>
          <w:rFonts w:hint="eastAsia"/>
        </w:rPr>
        <w:t>7）对基金剩余财产进行分配。</w:t>
      </w:r>
    </w:p>
    <w:p w14:paraId="043F8956">
      <w:pPr>
        <w:pStyle w:val="85"/>
        <w:ind w:firstLine="480"/>
      </w:pPr>
      <w:r>
        <w:rPr>
          <w:rFonts w:hint="eastAsia"/>
        </w:rPr>
        <w:t>（5）基金财产清算的期限为6个月，但因本基金所持证券、基金的流动性受到限制而不能及时变现的，清算期限相应顺延。</w:t>
      </w:r>
    </w:p>
    <w:p w14:paraId="22E1E829">
      <w:pPr>
        <w:pStyle w:val="85"/>
        <w:ind w:firstLine="480"/>
      </w:pPr>
      <w:r>
        <w:rPr>
          <w:rFonts w:hint="eastAsia"/>
        </w:rPr>
        <w:t>4、清算费用</w:t>
      </w:r>
    </w:p>
    <w:p w14:paraId="693AB97E">
      <w:pPr>
        <w:pStyle w:val="85"/>
        <w:ind w:firstLine="480"/>
      </w:pPr>
      <w:r>
        <w:rPr>
          <w:rFonts w:hint="eastAsia"/>
        </w:rPr>
        <w:t>清算费用是指基金财产清算小组在进行基金财产清算过程中发生的所有合理费用，清算费用由基金财产清算小组优先从基金剩余财产中支付。</w:t>
      </w:r>
    </w:p>
    <w:p w14:paraId="74BFD52B">
      <w:pPr>
        <w:pStyle w:val="85"/>
        <w:ind w:firstLine="480"/>
      </w:pPr>
      <w:r>
        <w:rPr>
          <w:rFonts w:hint="eastAsia"/>
        </w:rPr>
        <w:t>5、基金财产清算剩余资产的分配</w:t>
      </w:r>
    </w:p>
    <w:p w14:paraId="2F211C04">
      <w:pPr>
        <w:pStyle w:val="85"/>
        <w:ind w:firstLine="480"/>
      </w:pPr>
      <w:r>
        <w:rPr>
          <w:rFonts w:hint="eastAsia"/>
        </w:rPr>
        <w:t>依据基金财产清算的分配方案，将基金财产清算后的全部剩余资产扣除基金财产清算费用、交纳所欠税款并清偿基金债务后，按基金份额持有人持有的各类基金份额比例进行分配。</w:t>
      </w:r>
    </w:p>
    <w:p w14:paraId="5E9BC4A4">
      <w:pPr>
        <w:pStyle w:val="85"/>
        <w:ind w:firstLine="480"/>
      </w:pPr>
      <w:r>
        <w:rPr>
          <w:rFonts w:hint="eastAsia"/>
        </w:rPr>
        <w:t>6、基金财产清算的公告</w:t>
      </w:r>
    </w:p>
    <w:p w14:paraId="2C21E03D">
      <w:pPr>
        <w:pStyle w:val="85"/>
        <w:ind w:firstLine="480"/>
      </w:pPr>
      <w:r>
        <w:rPr>
          <w:rFonts w:hint="eastAsia"/>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CAF674C">
      <w:pPr>
        <w:pStyle w:val="85"/>
        <w:ind w:firstLine="480"/>
      </w:pPr>
      <w:r>
        <w:rPr>
          <w:rFonts w:hint="eastAsia"/>
        </w:rPr>
        <w:t>7、基金财产清算账册及文件的保存</w:t>
      </w:r>
    </w:p>
    <w:p w14:paraId="536EB487">
      <w:pPr>
        <w:pStyle w:val="85"/>
        <w:ind w:firstLine="480"/>
      </w:pPr>
      <w:r>
        <w:rPr>
          <w:rFonts w:hint="eastAsia"/>
        </w:rPr>
        <w:t>基金财产清算账册及有关文件由基金托管人保存，保存期限不少于法律法规的规定。</w:t>
      </w:r>
    </w:p>
    <w:bookmarkEnd w:id="71"/>
    <w:p w14:paraId="309C5C07">
      <w:pPr>
        <w:pStyle w:val="85"/>
        <w:ind w:firstLine="482"/>
        <w:rPr>
          <w:b/>
        </w:rPr>
      </w:pPr>
      <w:r>
        <w:rPr>
          <w:rFonts w:hint="eastAsia"/>
          <w:b/>
        </w:rPr>
        <w:t>四、争议解决方式</w:t>
      </w:r>
    </w:p>
    <w:p w14:paraId="5092840E">
      <w:pPr>
        <w:pStyle w:val="85"/>
        <w:ind w:firstLine="480"/>
        <w:rPr>
          <w:szCs w:val="24"/>
        </w:rPr>
      </w:pPr>
      <w:r>
        <w:rPr>
          <w:rFonts w:hint="eastAsia"/>
          <w:szCs w:val="24"/>
        </w:rPr>
        <w:t>各方当事人同意，因基金合同而产生的或与基金合同有关的一切争议，如经友好协商未能解决的，均应提交上海国际经济贸易仲裁委员会，按照申请仲裁时该会届时有效的仲裁规则进行仲裁，仲裁地点为上海市。仲裁裁决是终局的，并对各方当事人具有约束力。除非仲裁裁决另有规定，仲裁费用由败诉方承担。</w:t>
      </w:r>
    </w:p>
    <w:p w14:paraId="3283976F">
      <w:pPr>
        <w:pStyle w:val="85"/>
        <w:ind w:firstLine="480"/>
        <w:rPr>
          <w:szCs w:val="24"/>
        </w:rPr>
      </w:pPr>
      <w:r>
        <w:rPr>
          <w:rFonts w:hint="eastAsia"/>
          <w:szCs w:val="24"/>
        </w:rPr>
        <w:t>争议处理期间，基金管理人与基金托管人应恪守各自的职责，继续忠实、勤勉、尽责地履行基金合同规定的义务，维护基金份额持有人的合法权益。</w:t>
      </w:r>
    </w:p>
    <w:p w14:paraId="6813D458">
      <w:pPr>
        <w:pStyle w:val="85"/>
        <w:ind w:firstLine="480"/>
        <w:rPr>
          <w:szCs w:val="24"/>
        </w:rPr>
      </w:pPr>
      <w:r>
        <w:rPr>
          <w:rFonts w:hint="eastAsia"/>
          <w:szCs w:val="24"/>
        </w:rPr>
        <w:t>基金合同受中国法律（为本基金合同之目的，不包括香港特别行政区、澳门特别行政区和台湾地区法律）管辖并从其解释。</w:t>
      </w:r>
    </w:p>
    <w:p w14:paraId="19CE8F52">
      <w:pPr>
        <w:pStyle w:val="85"/>
        <w:ind w:firstLine="482"/>
        <w:rPr>
          <w:b/>
        </w:rPr>
      </w:pPr>
      <w:r>
        <w:rPr>
          <w:rFonts w:hint="eastAsia"/>
          <w:b/>
        </w:rPr>
        <w:t>五、基金合同存放地和投资者取得基金合同的方式</w:t>
      </w:r>
    </w:p>
    <w:p w14:paraId="08571744">
      <w:pPr>
        <w:pStyle w:val="85"/>
        <w:ind w:firstLine="480"/>
      </w:pPr>
      <w:r>
        <w:rPr>
          <w:rFonts w:hint="eastAsia"/>
        </w:rPr>
        <w:t>基金合同可印制成册，供投资者在基金管理人、基金托管人、销售机构的办公场所和营业场所查阅。</w:t>
      </w:r>
    </w:p>
    <w:p w14:paraId="74FE8F5D">
      <w:pPr>
        <w:pStyle w:val="2"/>
        <w:spacing w:before="312" w:after="312"/>
      </w:pPr>
      <w:r>
        <w:rPr>
          <w:bCs/>
          <w:sz w:val="24"/>
        </w:rPr>
        <w:br w:type="page"/>
      </w:r>
      <w:bookmarkEnd w:id="64"/>
      <w:bookmarkStart w:id="72" w:name="_Toc218004091"/>
      <w:bookmarkStart w:id="73" w:name="_Hlk132622474"/>
      <w:bookmarkStart w:id="74" w:name="_Hlk52209861"/>
      <w:bookmarkStart w:id="75" w:name="_Hlk55822338"/>
      <w:r>
        <w:rPr>
          <w:rFonts w:hint="eastAsia"/>
        </w:rPr>
        <w:t>第二十部分</w:t>
      </w:r>
      <w:r>
        <w:t xml:space="preserve">  </w:t>
      </w:r>
      <w:r>
        <w:rPr>
          <w:rFonts w:hint="eastAsia"/>
        </w:rPr>
        <w:t>基金托管协议的内容摘要</w:t>
      </w:r>
      <w:bookmarkEnd w:id="72"/>
    </w:p>
    <w:p w14:paraId="6DBB26C2">
      <w:pPr>
        <w:ind w:firstLine="480" w:firstLineChars="0"/>
        <w:rPr>
          <w:b/>
          <w:bCs/>
          <w:kern w:val="0"/>
        </w:rPr>
      </w:pPr>
      <w:r>
        <w:rPr>
          <w:rFonts w:hint="eastAsia"/>
          <w:b/>
          <w:bCs/>
          <w:kern w:val="0"/>
        </w:rPr>
        <w:t>一、基金托管协议当事人</w:t>
      </w:r>
    </w:p>
    <w:p w14:paraId="179023E4">
      <w:pPr>
        <w:ind w:firstLine="480"/>
      </w:pPr>
      <w:r>
        <w:rPr>
          <w:rFonts w:hint="eastAsia"/>
        </w:rPr>
        <w:t>（一）基金管理人</w:t>
      </w:r>
    </w:p>
    <w:p w14:paraId="24304746">
      <w:pPr>
        <w:ind w:firstLine="480"/>
      </w:pPr>
      <w:r>
        <w:rPr>
          <w:rFonts w:hint="eastAsia"/>
        </w:rPr>
        <w:t>名称：富国基金管理有限公司</w:t>
      </w:r>
    </w:p>
    <w:p w14:paraId="5B551A2E">
      <w:pPr>
        <w:ind w:firstLine="480"/>
      </w:pPr>
      <w:r>
        <w:rPr>
          <w:rFonts w:hint="eastAsia"/>
        </w:rPr>
        <w:t>住所：中国（上海）自由贸易试验区世纪大道1196号世纪汇办公楼二座27-30层</w:t>
      </w:r>
    </w:p>
    <w:p w14:paraId="28E75651">
      <w:pPr>
        <w:ind w:firstLine="480"/>
      </w:pPr>
      <w:r>
        <w:rPr>
          <w:rFonts w:hint="eastAsia"/>
        </w:rPr>
        <w:t>法定代表人：裴长江</w:t>
      </w:r>
    </w:p>
    <w:p w14:paraId="0AEFAFE7">
      <w:pPr>
        <w:ind w:firstLine="480"/>
      </w:pPr>
      <w:r>
        <w:rPr>
          <w:rFonts w:hint="eastAsia"/>
        </w:rPr>
        <w:t>设立日期：1999年4月13日</w:t>
      </w:r>
    </w:p>
    <w:p w14:paraId="0A1C137E">
      <w:pPr>
        <w:ind w:firstLine="480"/>
      </w:pPr>
      <w:r>
        <w:rPr>
          <w:rFonts w:hint="eastAsia"/>
        </w:rPr>
        <w:t>批准设立机关及批准设立文号：中国证券监督管理委员会证监基金字【1999】11号</w:t>
      </w:r>
    </w:p>
    <w:p w14:paraId="096974CC">
      <w:pPr>
        <w:ind w:firstLine="480"/>
      </w:pPr>
      <w:r>
        <w:rPr>
          <w:rFonts w:hint="eastAsia"/>
        </w:rPr>
        <w:t>组织形式：有限责任公司</w:t>
      </w:r>
    </w:p>
    <w:p w14:paraId="0D04D342">
      <w:pPr>
        <w:ind w:firstLine="480"/>
      </w:pPr>
      <w:r>
        <w:rPr>
          <w:rFonts w:hint="eastAsia"/>
        </w:rPr>
        <w:t>注册资本：人民币5.2亿元</w:t>
      </w:r>
    </w:p>
    <w:p w14:paraId="2419DFA6">
      <w:pPr>
        <w:ind w:firstLine="480"/>
      </w:pPr>
      <w:r>
        <w:rPr>
          <w:rFonts w:hint="eastAsia"/>
        </w:rPr>
        <w:t>存续期限：持续经营</w:t>
      </w:r>
    </w:p>
    <w:p w14:paraId="4F08D075">
      <w:pPr>
        <w:ind w:firstLine="480"/>
      </w:pPr>
      <w:r>
        <w:rPr>
          <w:rFonts w:hint="eastAsia"/>
        </w:rPr>
        <w:t>联系电话：021-20361818</w:t>
      </w:r>
    </w:p>
    <w:p w14:paraId="77DA7481">
      <w:pPr>
        <w:ind w:firstLine="480"/>
      </w:pPr>
      <w:r>
        <w:rPr>
          <w:rFonts w:hint="eastAsia"/>
        </w:rPr>
        <w:t>（二）基金托管人</w:t>
      </w:r>
    </w:p>
    <w:p w14:paraId="6DD7588B">
      <w:pPr>
        <w:ind w:firstLine="480"/>
      </w:pPr>
      <w:r>
        <w:rPr>
          <w:rFonts w:hint="eastAsia"/>
        </w:rPr>
        <w:t>名称：财通证券股份有限公司</w:t>
      </w:r>
    </w:p>
    <w:p w14:paraId="14CCABE5">
      <w:pPr>
        <w:ind w:firstLine="480"/>
      </w:pPr>
      <w:r>
        <w:rPr>
          <w:rFonts w:hint="eastAsia"/>
        </w:rPr>
        <w:t>住所：浙江省杭州市西湖区天目山路198号财通双冠大厦西楼</w:t>
      </w:r>
    </w:p>
    <w:p w14:paraId="58AED930">
      <w:pPr>
        <w:ind w:firstLine="480"/>
      </w:pPr>
      <w:r>
        <w:rPr>
          <w:rFonts w:hint="eastAsia"/>
        </w:rPr>
        <w:t xml:space="preserve">注册资本：人民币46.44亿元 </w:t>
      </w:r>
    </w:p>
    <w:p w14:paraId="0215C348">
      <w:pPr>
        <w:ind w:firstLine="480"/>
      </w:pPr>
      <w:r>
        <w:rPr>
          <w:rFonts w:hint="eastAsia"/>
        </w:rPr>
        <w:t>法定代表人：章启诚</w:t>
      </w:r>
    </w:p>
    <w:p w14:paraId="0840D534">
      <w:pPr>
        <w:ind w:firstLine="480"/>
      </w:pPr>
      <w:r>
        <w:rPr>
          <w:rFonts w:hint="eastAsia"/>
        </w:rPr>
        <w:t>成立日期：2003年06月11日</w:t>
      </w:r>
    </w:p>
    <w:p w14:paraId="47A7CBEE">
      <w:pPr>
        <w:ind w:firstLine="480"/>
      </w:pPr>
      <w:r>
        <w:rPr>
          <w:rFonts w:hint="eastAsia"/>
        </w:rPr>
        <w:t>批准设立机关和批准设立文号：中国证券监督管理委员会证监许可〔2013〕968号《关于核准财通证券有限责任公司变更为股份有限公司的批复》</w:t>
      </w:r>
    </w:p>
    <w:p w14:paraId="53EE912A">
      <w:pPr>
        <w:ind w:firstLine="480"/>
      </w:pPr>
      <w:r>
        <w:rPr>
          <w:rFonts w:hint="eastAsia"/>
        </w:rPr>
        <w:t>基金托管业务批准文号：证监许可〔2020〕2829号</w:t>
      </w:r>
    </w:p>
    <w:p w14:paraId="7334A93A">
      <w:pPr>
        <w:ind w:firstLine="480"/>
      </w:pPr>
      <w:r>
        <w:rPr>
          <w:rFonts w:hint="eastAsia"/>
        </w:rPr>
        <w:t>组织形式：其他股份有限公司（上市）</w:t>
      </w:r>
    </w:p>
    <w:p w14:paraId="6C8DDD71">
      <w:pPr>
        <w:ind w:firstLine="480"/>
      </w:pPr>
      <w:r>
        <w:rPr>
          <w:rFonts w:hint="eastAsia"/>
        </w:rPr>
        <w:t>办公地址：浙江省杭州市西湖区天目山路198号财通双冠大厦西楼</w:t>
      </w:r>
    </w:p>
    <w:p w14:paraId="5313D867">
      <w:pPr>
        <w:ind w:firstLine="480"/>
      </w:pPr>
      <w:r>
        <w:rPr>
          <w:rFonts w:hint="eastAsia"/>
        </w:rPr>
        <w:t>存续期间：长期</w:t>
      </w:r>
    </w:p>
    <w:p w14:paraId="140BBF23">
      <w:pPr>
        <w:ind w:firstLine="480"/>
      </w:pPr>
      <w:r>
        <w:rPr>
          <w:rFonts w:hint="eastAsia"/>
        </w:rPr>
        <w:t>经营范围：许可项目：证券业务；公募证券投资基金销售；证券投资基金托管。（依法须经批准的项目，经相关部门批准后方可开展经营活动，具体经营项目以相关部门批准文件或许可证件为准）。</w:t>
      </w:r>
    </w:p>
    <w:p w14:paraId="16956A59">
      <w:pPr>
        <w:ind w:firstLine="482"/>
        <w:rPr>
          <w:b/>
          <w:bCs/>
          <w:kern w:val="0"/>
        </w:rPr>
      </w:pPr>
      <w:r>
        <w:rPr>
          <w:rFonts w:hint="eastAsia"/>
          <w:b/>
          <w:bCs/>
          <w:kern w:val="0"/>
        </w:rPr>
        <w:t>二、基金托管人对基金管理人的业务监督和核查</w:t>
      </w:r>
    </w:p>
    <w:p w14:paraId="4E869A31">
      <w:pPr>
        <w:ind w:firstLine="480"/>
        <w:rPr>
          <w:bCs/>
          <w:kern w:val="0"/>
        </w:rPr>
      </w:pPr>
      <w:r>
        <w:rPr>
          <w:rFonts w:hint="eastAsia"/>
          <w:bCs/>
          <w:kern w:val="0"/>
        </w:rPr>
        <w:t>（一）基金托管人对基金管理人的投资行为行使监督权</w:t>
      </w:r>
    </w:p>
    <w:p w14:paraId="7CB6A60D">
      <w:pPr>
        <w:ind w:firstLine="480"/>
        <w:rPr>
          <w:bCs/>
          <w:kern w:val="0"/>
        </w:rPr>
      </w:pPr>
      <w:r>
        <w:rPr>
          <w:rFonts w:hint="eastAsia"/>
          <w:bCs/>
          <w:kern w:val="0"/>
        </w:rPr>
        <w:t>基金托管人根据有关法律法规的规定及基金合同的约定，对基金投资范围、投资对象进行监督。</w:t>
      </w:r>
    </w:p>
    <w:p w14:paraId="1C3482A7">
      <w:pPr>
        <w:ind w:firstLine="480"/>
        <w:rPr>
          <w:bCs/>
          <w:kern w:val="0"/>
        </w:rPr>
      </w:pPr>
      <w:r>
        <w:rPr>
          <w:rFonts w:hint="eastAsia"/>
          <w:bCs/>
          <w:kern w:val="0"/>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包括全市场的股票型ETF、公开募集基础设施证券投资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712ECEED">
      <w:pPr>
        <w:ind w:firstLine="480"/>
        <w:rPr>
          <w:bCs/>
          <w:kern w:val="0"/>
        </w:rPr>
      </w:pPr>
      <w:r>
        <w:rPr>
          <w:rFonts w:hint="eastAsia"/>
          <w:bCs/>
          <w:kern w:val="0"/>
        </w:rPr>
        <w:t>如法律法规或监管机构以后允许基金投资其他品种，基金管理人在履行适当程序后，可以将其纳入投资范围。</w:t>
      </w:r>
    </w:p>
    <w:p w14:paraId="3B32E6E9">
      <w:pPr>
        <w:ind w:firstLine="480"/>
        <w:rPr>
          <w:bCs/>
          <w:kern w:val="0"/>
        </w:rPr>
      </w:pPr>
      <w:r>
        <w:rPr>
          <w:rFonts w:hint="eastAsia"/>
          <w:bCs/>
          <w:kern w:val="0"/>
        </w:rPr>
        <w:t xml:space="preserve">基金的投资组合比例为：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  </w:t>
      </w:r>
    </w:p>
    <w:p w14:paraId="3C121990">
      <w:pPr>
        <w:ind w:firstLine="480"/>
        <w:rPr>
          <w:bCs/>
          <w:kern w:val="0"/>
        </w:rPr>
      </w:pPr>
      <w:r>
        <w:rPr>
          <w:rFonts w:hint="eastAsia"/>
          <w:bCs/>
          <w:kern w:val="0"/>
        </w:rPr>
        <w:t>1、基金合同约定股票及存托凭证资产投资比例不低于基金资产60%的混合型基金；</w:t>
      </w:r>
    </w:p>
    <w:p w14:paraId="736A1D79">
      <w:pPr>
        <w:ind w:firstLine="480"/>
        <w:rPr>
          <w:bCs/>
          <w:kern w:val="0"/>
        </w:rPr>
      </w:pPr>
      <w:r>
        <w:rPr>
          <w:rFonts w:hint="eastAsia"/>
          <w:bCs/>
          <w:kern w:val="0"/>
        </w:rPr>
        <w:t>2、根据基金披露的定期报告，最近四个季度中任一季度股票及存托凭证资产占基金资产比例均不低于60%的混合型基金。</w:t>
      </w:r>
    </w:p>
    <w:p w14:paraId="133A80D4">
      <w:pPr>
        <w:ind w:firstLine="480"/>
        <w:rPr>
          <w:bCs/>
          <w:kern w:val="0"/>
        </w:rPr>
      </w:pPr>
      <w:r>
        <w:rPr>
          <w:rFonts w:hint="eastAsia"/>
          <w:bCs/>
          <w:kern w:val="0"/>
        </w:rPr>
        <w:t>如法律法规或中国证监会变更投资品种的投资比例限制，基金管理人在履行适当程序后，可以调整上述投资品种的投资比例。</w:t>
      </w:r>
    </w:p>
    <w:p w14:paraId="7F58BC49">
      <w:pPr>
        <w:ind w:firstLine="480"/>
        <w:rPr>
          <w:bCs/>
          <w:kern w:val="0"/>
        </w:rPr>
      </w:pPr>
      <w:r>
        <w:rPr>
          <w:rFonts w:hint="eastAsia"/>
          <w:bCs/>
          <w:kern w:val="0"/>
        </w:rPr>
        <w:t>（二）基金托管人根据有关法律法规的规定及基金合同的约定，对基金投资比例进行监督。基金托管人按下述比例和调整期限进行监督：</w:t>
      </w:r>
    </w:p>
    <w:p w14:paraId="13102BF4">
      <w:pPr>
        <w:ind w:firstLine="480"/>
        <w:rPr>
          <w:bCs/>
          <w:kern w:val="0"/>
        </w:rPr>
      </w:pPr>
      <w:r>
        <w:rPr>
          <w:rFonts w:hint="eastAsia"/>
          <w:bCs/>
          <w:kern w:val="0"/>
        </w:rPr>
        <w:t>1、组合限制</w:t>
      </w:r>
    </w:p>
    <w:p w14:paraId="722C8FFA">
      <w:pPr>
        <w:ind w:firstLine="480"/>
        <w:rPr>
          <w:bCs/>
          <w:kern w:val="0"/>
        </w:rPr>
      </w:pPr>
      <w:r>
        <w:rPr>
          <w:rFonts w:hint="eastAsia"/>
          <w:bCs/>
          <w:kern w:val="0"/>
        </w:rPr>
        <w:t>基金的投资组合应遵循以下限制：</w:t>
      </w:r>
    </w:p>
    <w:p w14:paraId="2D251B65">
      <w:pPr>
        <w:ind w:firstLine="480"/>
        <w:rPr>
          <w:bCs/>
          <w:kern w:val="0"/>
        </w:rPr>
      </w:pPr>
      <w:r>
        <w:rPr>
          <w:rFonts w:hint="eastAsia"/>
          <w:bCs/>
          <w:kern w:val="0"/>
        </w:rPr>
        <w:t>（1）本基金对债券资产的投资比例不低于基金资产的80%；本基金投资于股票、存托凭证、股票型基金、混合型基金等权益类资产及可转换债券、分离交易可转换债券、可交换债券资产的比例合计为基金资产的5%-20%；其中，投资于境内股票和股票型ETF的比例不低于基金资产的5%，投资于港股通标的股票的比例不超过股票资产的50%；其中，计入上述权益类资产的混合型基金需符合下列两个条件之一：</w:t>
      </w:r>
    </w:p>
    <w:p w14:paraId="7F4D27A6">
      <w:pPr>
        <w:ind w:firstLine="480"/>
        <w:rPr>
          <w:bCs/>
          <w:kern w:val="0"/>
        </w:rPr>
      </w:pPr>
      <w:r>
        <w:rPr>
          <w:rFonts w:hint="eastAsia"/>
          <w:bCs/>
          <w:kern w:val="0"/>
        </w:rPr>
        <w:t>1）基金合同约定股票及存托凭证资产投资比例不低于基金资产60%的混合型基金；</w:t>
      </w:r>
    </w:p>
    <w:p w14:paraId="3F322F3E">
      <w:pPr>
        <w:ind w:firstLine="480"/>
        <w:rPr>
          <w:bCs/>
          <w:kern w:val="0"/>
        </w:rPr>
      </w:pPr>
      <w:r>
        <w:rPr>
          <w:rFonts w:hint="eastAsia"/>
          <w:bCs/>
          <w:kern w:val="0"/>
        </w:rPr>
        <w:t>2）根据基金披露的定期报告，最近四个季度中任一季度股票及存托凭证资产占基金资产比例均不低于60%的混合型基金；</w:t>
      </w:r>
    </w:p>
    <w:p w14:paraId="004FA9D1">
      <w:pPr>
        <w:ind w:firstLine="480"/>
        <w:rPr>
          <w:bCs/>
          <w:kern w:val="0"/>
        </w:rPr>
      </w:pPr>
      <w:r>
        <w:rPr>
          <w:rFonts w:hint="eastAsia"/>
          <w:bCs/>
          <w:kern w:val="0"/>
        </w:rPr>
        <w:t>（2）本基金持有其他基金，其市值不超过基金资产净值的10%；</w:t>
      </w:r>
    </w:p>
    <w:p w14:paraId="72A923EF">
      <w:pPr>
        <w:ind w:firstLine="480"/>
        <w:rPr>
          <w:bCs/>
          <w:kern w:val="0"/>
        </w:rPr>
      </w:pPr>
      <w:r>
        <w:rPr>
          <w:rFonts w:hint="eastAsia"/>
          <w:bCs/>
          <w:kern w:val="0"/>
        </w:rPr>
        <w:t>（3）每个交易日日终在扣除国债期货合约需缴纳的交易保证金后，本基金持有的现金或者到期日在一年以内的政府债券不低于基金资产净值的5%，其中现金不包括结算备付金、存出保证金、应收申购款等；</w:t>
      </w:r>
    </w:p>
    <w:p w14:paraId="48B2A1CB">
      <w:pPr>
        <w:ind w:firstLine="480"/>
        <w:rPr>
          <w:bCs/>
          <w:kern w:val="0"/>
        </w:rPr>
      </w:pPr>
      <w:r>
        <w:rPr>
          <w:rFonts w:hint="eastAsia"/>
          <w:bCs/>
          <w:kern w:val="0"/>
        </w:rPr>
        <w:t>（4）本基金持有一家公司发行的证券（同一家公司在内地和香港同时上市的A+H股合计计算，但不包括本基金所投资的基金份额），其市值不超过基金资产净值的10%；</w:t>
      </w:r>
    </w:p>
    <w:p w14:paraId="08E94014">
      <w:pPr>
        <w:ind w:firstLine="480"/>
        <w:rPr>
          <w:bCs/>
          <w:kern w:val="0"/>
        </w:rPr>
      </w:pPr>
      <w:r>
        <w:rPr>
          <w:rFonts w:hint="eastAsia"/>
          <w:bCs/>
          <w:kern w:val="0"/>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63B3540">
      <w:pPr>
        <w:ind w:firstLine="480"/>
        <w:rPr>
          <w:bCs/>
          <w:kern w:val="0"/>
        </w:rPr>
      </w:pPr>
      <w:r>
        <w:rPr>
          <w:rFonts w:hint="eastAsia"/>
          <w:bCs/>
          <w:kern w:val="0"/>
        </w:rPr>
        <w:t>（6）本基金投资于同一原始权益人的各类资产支持证券的比例，不得超过基金资产净值的10%；</w:t>
      </w:r>
    </w:p>
    <w:p w14:paraId="75D9DD78">
      <w:pPr>
        <w:ind w:firstLine="480"/>
        <w:rPr>
          <w:bCs/>
          <w:kern w:val="0"/>
        </w:rPr>
      </w:pPr>
      <w:r>
        <w:rPr>
          <w:rFonts w:hint="eastAsia"/>
          <w:bCs/>
          <w:kern w:val="0"/>
        </w:rPr>
        <w:t>（7）本基金持有的全部资产支持证券，其市值不得超过基金资产净值的20%；</w:t>
      </w:r>
    </w:p>
    <w:p w14:paraId="17A0D5FA">
      <w:pPr>
        <w:ind w:firstLine="480"/>
        <w:rPr>
          <w:bCs/>
          <w:kern w:val="0"/>
        </w:rPr>
      </w:pPr>
      <w:r>
        <w:rPr>
          <w:rFonts w:hint="eastAsia"/>
          <w:bCs/>
          <w:kern w:val="0"/>
        </w:rPr>
        <w:t>（8）本基金持有的同一（指同一信用级别）资产支持证券的比例，不得超过该资产支持证券规模的10%；</w:t>
      </w:r>
    </w:p>
    <w:p w14:paraId="2F4EA8BA">
      <w:pPr>
        <w:ind w:firstLine="480"/>
        <w:rPr>
          <w:bCs/>
          <w:kern w:val="0"/>
        </w:rPr>
      </w:pPr>
      <w:r>
        <w:rPr>
          <w:rFonts w:hint="eastAsia"/>
          <w:bCs/>
          <w:kern w:val="0"/>
        </w:rPr>
        <w:t>（9）本基金管理人管理的全部基金投资于同一原始权益人的各类资产支持证券，不得超过其各类资产支持证券合计规模的10%；</w:t>
      </w:r>
    </w:p>
    <w:p w14:paraId="2018EB63">
      <w:pPr>
        <w:ind w:firstLine="480"/>
        <w:rPr>
          <w:bCs/>
          <w:kern w:val="0"/>
        </w:rPr>
      </w:pPr>
      <w:r>
        <w:rPr>
          <w:rFonts w:hint="eastAsia"/>
          <w:bCs/>
          <w:kern w:val="0"/>
        </w:rPr>
        <w:t>（10）本基金与私募类证券资管产品及中国证监会认定的其他主体为交易对手开展逆回购交易的，可接受质押品的资质要求应当与基金合同约定的投资范围保持一致；</w:t>
      </w:r>
    </w:p>
    <w:p w14:paraId="6B21BACA">
      <w:pPr>
        <w:ind w:firstLine="480"/>
        <w:rPr>
          <w:bCs/>
          <w:kern w:val="0"/>
        </w:rPr>
      </w:pPr>
      <w:r>
        <w:rPr>
          <w:rFonts w:hint="eastAsia"/>
          <w:bCs/>
          <w:kern w:val="0"/>
        </w:rPr>
        <w:t>（11）本基金资产总值不得超过基金资产净值的140%；</w:t>
      </w:r>
    </w:p>
    <w:p w14:paraId="02525CE6">
      <w:pPr>
        <w:ind w:firstLine="480"/>
        <w:rPr>
          <w:bCs/>
          <w:kern w:val="0"/>
        </w:rPr>
      </w:pPr>
      <w:r>
        <w:rPr>
          <w:rFonts w:hint="eastAsia"/>
          <w:bCs/>
          <w:kern w:val="0"/>
        </w:rPr>
        <w:t>（12）本基金不得持有具有信用保护卖方属性的信用衍生品，不得持有合约类信用衍生品；</w:t>
      </w:r>
    </w:p>
    <w:p w14:paraId="743A8B56">
      <w:pPr>
        <w:ind w:firstLine="480"/>
        <w:rPr>
          <w:bCs/>
          <w:kern w:val="0"/>
        </w:rPr>
      </w:pPr>
      <w:r>
        <w:rPr>
          <w:rFonts w:hint="eastAsia"/>
          <w:bCs/>
          <w:kern w:val="0"/>
        </w:rPr>
        <w:t>（13）本基金持有的信用衍生品的名义本金不得超过本基金对应受保护债券面值的100%；本基金投资于同一信用保护卖方的各类信用衍生品的名义本金合计不得超过基金资产净值的10%；</w:t>
      </w:r>
    </w:p>
    <w:p w14:paraId="5B5959B3">
      <w:pPr>
        <w:ind w:firstLine="480"/>
        <w:rPr>
          <w:bCs/>
          <w:kern w:val="0"/>
        </w:rPr>
      </w:pPr>
      <w:r>
        <w:rPr>
          <w:rFonts w:hint="eastAsia"/>
          <w:bCs/>
          <w:kern w:val="0"/>
        </w:rPr>
        <w:t>因证券、期货市场波动、证券发行人合并、基金规模变动等基金管理人之外的因素致使基金不符合前述（13）所规定比例限制的，基金管理人应在3个月之内进行调整；</w:t>
      </w:r>
    </w:p>
    <w:p w14:paraId="669AD8C0">
      <w:pPr>
        <w:ind w:firstLine="480"/>
        <w:rPr>
          <w:bCs/>
          <w:kern w:val="0"/>
        </w:rPr>
      </w:pPr>
      <w:r>
        <w:rPr>
          <w:rFonts w:hint="eastAsia"/>
          <w:bCs/>
          <w:kern w:val="0"/>
        </w:rPr>
        <w:t>（14）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30%；</w:t>
      </w:r>
    </w:p>
    <w:p w14:paraId="22DE3525">
      <w:pPr>
        <w:ind w:firstLine="480"/>
        <w:rPr>
          <w:bCs/>
          <w:kern w:val="0"/>
        </w:rPr>
      </w:pPr>
      <w:r>
        <w:rPr>
          <w:rFonts w:hint="eastAsia"/>
          <w:bCs/>
          <w:kern w:val="0"/>
        </w:rPr>
        <w:t>（15）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53075D27">
      <w:pPr>
        <w:ind w:firstLine="480"/>
        <w:rPr>
          <w:bCs/>
          <w:kern w:val="0"/>
        </w:rPr>
      </w:pPr>
      <w:r>
        <w:rPr>
          <w:rFonts w:hint="eastAsia"/>
          <w:bCs/>
          <w:kern w:val="0"/>
        </w:rPr>
        <w:t>（16）基金财产参与股票发行申购，本基金所申报的金额不超过本基金的总资产，本基金所申报的股票数量不超过拟发行股票公司本次发行股票的总量；</w:t>
      </w:r>
    </w:p>
    <w:p w14:paraId="7394C478">
      <w:pPr>
        <w:ind w:firstLine="480"/>
        <w:rPr>
          <w:bCs/>
          <w:kern w:val="0"/>
        </w:rPr>
      </w:pPr>
      <w:r>
        <w:rPr>
          <w:rFonts w:hint="eastAsia"/>
          <w:bCs/>
          <w:kern w:val="0"/>
        </w:rPr>
        <w:t>（17）本基金投资存托凭证的比例限制依照境内上市交易的股票执行，与境内上市交易的股票合并计算；</w:t>
      </w:r>
    </w:p>
    <w:p w14:paraId="2D767912">
      <w:pPr>
        <w:ind w:firstLine="480"/>
        <w:rPr>
          <w:bCs/>
          <w:kern w:val="0"/>
        </w:rPr>
      </w:pPr>
      <w:r>
        <w:rPr>
          <w:rFonts w:hint="eastAsia"/>
          <w:bCs/>
          <w:kern w:val="0"/>
        </w:rPr>
        <w:t>（18）本基金管理人管理的全部基金（ETF联接基金除外）持有单只基金不得超过被投资基金净资产的20%，被投资基金净资产规模以最近定期报告披露的规模为准；</w:t>
      </w:r>
    </w:p>
    <w:p w14:paraId="6A0F50B3">
      <w:pPr>
        <w:ind w:firstLine="480"/>
        <w:rPr>
          <w:bCs/>
          <w:kern w:val="0"/>
        </w:rPr>
      </w:pPr>
      <w:r>
        <w:rPr>
          <w:rFonts w:hint="eastAsia"/>
          <w:bCs/>
          <w:kern w:val="0"/>
        </w:rPr>
        <w:t>（19）本基金不得持有具有复杂、衍生品性质的基金份额，包括分级基金和中国证监会认定的其他基金份额；</w:t>
      </w:r>
    </w:p>
    <w:p w14:paraId="7BC17ED6">
      <w:pPr>
        <w:ind w:firstLine="480"/>
        <w:rPr>
          <w:bCs/>
          <w:kern w:val="0"/>
        </w:rPr>
      </w:pPr>
      <w:r>
        <w:rPr>
          <w:rFonts w:hint="eastAsia"/>
          <w:bCs/>
          <w:kern w:val="0"/>
        </w:rPr>
        <w:t>（20）本基金投资其他基金时，被投资基金的运作期限应当不少于1年，最近定期报告披露的基金净资产应当不低于1亿元；</w:t>
      </w:r>
    </w:p>
    <w:p w14:paraId="535FA0C3">
      <w:pPr>
        <w:ind w:firstLine="480"/>
        <w:rPr>
          <w:bCs/>
          <w:kern w:val="0"/>
        </w:rPr>
      </w:pPr>
      <w:r>
        <w:rPr>
          <w:rFonts w:hint="eastAsia"/>
          <w:bCs/>
          <w:kern w:val="0"/>
        </w:rPr>
        <w:t>（21）本基金不得持有基金中基金；</w:t>
      </w:r>
    </w:p>
    <w:p w14:paraId="254CBCAB">
      <w:pPr>
        <w:ind w:firstLine="480"/>
        <w:rPr>
          <w:bCs/>
          <w:kern w:val="0"/>
        </w:rPr>
      </w:pPr>
      <w:r>
        <w:rPr>
          <w:rFonts w:hint="eastAsia"/>
          <w:bCs/>
          <w:kern w:val="0"/>
        </w:rPr>
        <w:t>（22）法律法规及中国证监会规定的和基金合同约定的其他投资限制。</w:t>
      </w:r>
    </w:p>
    <w:p w14:paraId="48A501AC">
      <w:pPr>
        <w:ind w:firstLine="480"/>
        <w:rPr>
          <w:bCs/>
          <w:kern w:val="0"/>
        </w:rPr>
      </w:pPr>
      <w:r>
        <w:rPr>
          <w:rFonts w:hint="eastAsia"/>
          <w:bCs/>
          <w:kern w:val="0"/>
        </w:rPr>
        <w:t>因证券/期货市场波动、基金规模变动等基金管理人之外的因素致使基金投资不符合上述（18）规定的投资比例的，基金管理人应当在20个交易日内进行调整，但中国证监会规定的特殊情形除外。除上述（3）、（10）、（12）、（13）、（15）、（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D29AF67">
      <w:pPr>
        <w:ind w:firstLine="480"/>
        <w:rPr>
          <w:bCs/>
          <w:kern w:val="0"/>
        </w:rPr>
      </w:pPr>
      <w:r>
        <w:rPr>
          <w:rFonts w:hint="eastAsia"/>
          <w:bCs/>
          <w:kern w:val="0"/>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518A5C85">
      <w:pPr>
        <w:ind w:firstLine="480"/>
        <w:rPr>
          <w:bCs/>
          <w:kern w:val="0"/>
        </w:rPr>
      </w:pPr>
      <w:r>
        <w:rPr>
          <w:rFonts w:hint="eastAsia"/>
          <w:bCs/>
          <w:kern w:val="0"/>
        </w:rPr>
        <w:t>法律法规或监管部门取消或变更上述限制，如适用于本基金，基金管理人在履行适当程序后，则本基金投资不再受相关限制或以变更后的规定为准。</w:t>
      </w:r>
    </w:p>
    <w:p w14:paraId="11293139">
      <w:pPr>
        <w:ind w:firstLine="480"/>
        <w:rPr>
          <w:bCs/>
          <w:kern w:val="0"/>
        </w:rPr>
      </w:pPr>
      <w:r>
        <w:rPr>
          <w:rFonts w:hint="eastAsia"/>
          <w:bCs/>
          <w:kern w:val="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54F513D4">
      <w:pPr>
        <w:ind w:firstLine="480"/>
        <w:rPr>
          <w:bCs/>
          <w:kern w:val="0"/>
        </w:rPr>
      </w:pPr>
      <w:r>
        <w:rPr>
          <w:rFonts w:hint="eastAsia"/>
          <w:bCs/>
          <w:kern w:val="0"/>
        </w:rPr>
        <w:t>侧袋机制实施期间，本部分约定的投资组合比例、组合限制等约定仅适用于主袋账户。</w:t>
      </w:r>
    </w:p>
    <w:p w14:paraId="10D03429">
      <w:pPr>
        <w:ind w:firstLine="480"/>
        <w:rPr>
          <w:bCs/>
          <w:kern w:val="0"/>
        </w:rPr>
      </w:pPr>
      <w:r>
        <w:rPr>
          <w:rFonts w:hint="eastAsia"/>
          <w:bCs/>
          <w:kern w:val="0"/>
        </w:rPr>
        <w:t>侧袋机制的具体规则依照相关法律法规的规定和基金合同、招募说明书的约定执行。</w:t>
      </w:r>
    </w:p>
    <w:p w14:paraId="3BE0DFBC">
      <w:pPr>
        <w:ind w:firstLine="480"/>
        <w:rPr>
          <w:bCs/>
          <w:kern w:val="0"/>
        </w:rPr>
      </w:pPr>
      <w:r>
        <w:rPr>
          <w:rFonts w:hint="eastAsia"/>
          <w:bCs/>
          <w:kern w:val="0"/>
        </w:rPr>
        <w:t>（三）基金托管人根据有关法律法规的规定及基金合同的约定，对本托管协议项下的基金投资禁止行为进行监督。基金托管人通过事后监督方式对基金管理人基金投资禁止行为进行监督。基金财产不得用于下列投资或者活动。</w:t>
      </w:r>
    </w:p>
    <w:p w14:paraId="7163625C">
      <w:pPr>
        <w:ind w:firstLine="480"/>
        <w:rPr>
          <w:bCs/>
          <w:kern w:val="0"/>
        </w:rPr>
      </w:pPr>
      <w:r>
        <w:rPr>
          <w:rFonts w:hint="eastAsia"/>
          <w:bCs/>
          <w:kern w:val="0"/>
        </w:rPr>
        <w:t>（1）承销证券；</w:t>
      </w:r>
    </w:p>
    <w:p w14:paraId="46585F88">
      <w:pPr>
        <w:ind w:firstLine="480"/>
        <w:rPr>
          <w:bCs/>
          <w:kern w:val="0"/>
        </w:rPr>
      </w:pPr>
      <w:r>
        <w:rPr>
          <w:rFonts w:hint="eastAsia"/>
          <w:bCs/>
          <w:kern w:val="0"/>
        </w:rPr>
        <w:t>（2）违反规定向他人贷款或者提供担保；</w:t>
      </w:r>
    </w:p>
    <w:p w14:paraId="14F38D56">
      <w:pPr>
        <w:ind w:firstLine="480"/>
        <w:rPr>
          <w:bCs/>
          <w:kern w:val="0"/>
        </w:rPr>
      </w:pPr>
      <w:r>
        <w:rPr>
          <w:rFonts w:hint="eastAsia"/>
          <w:bCs/>
          <w:kern w:val="0"/>
        </w:rPr>
        <w:t>（3）从事承担无限责任的投资；</w:t>
      </w:r>
    </w:p>
    <w:p w14:paraId="68913A30">
      <w:pPr>
        <w:ind w:firstLine="480"/>
        <w:rPr>
          <w:bCs/>
          <w:kern w:val="0"/>
        </w:rPr>
      </w:pPr>
      <w:r>
        <w:rPr>
          <w:rFonts w:hint="eastAsia"/>
          <w:bCs/>
          <w:kern w:val="0"/>
        </w:rPr>
        <w:t>（4）向其基金管理人、基金托管人出资；</w:t>
      </w:r>
    </w:p>
    <w:p w14:paraId="4D13B2F6">
      <w:pPr>
        <w:ind w:firstLine="480"/>
        <w:rPr>
          <w:bCs/>
          <w:kern w:val="0"/>
        </w:rPr>
      </w:pPr>
      <w:r>
        <w:rPr>
          <w:rFonts w:hint="eastAsia"/>
          <w:bCs/>
          <w:kern w:val="0"/>
        </w:rPr>
        <w:t>（5）从事内幕交易、操纵证券交易价格及其他不正当的证券交易活动；</w:t>
      </w:r>
    </w:p>
    <w:p w14:paraId="04DA57C4">
      <w:pPr>
        <w:ind w:firstLine="480"/>
        <w:rPr>
          <w:bCs/>
          <w:kern w:val="0"/>
        </w:rPr>
      </w:pPr>
      <w:r>
        <w:rPr>
          <w:rFonts w:hint="eastAsia"/>
          <w:bCs/>
          <w:kern w:val="0"/>
        </w:rPr>
        <w:t>（6）法律法规、中国证监会及基金合同规定禁止从事的其他行为。</w:t>
      </w:r>
    </w:p>
    <w:p w14:paraId="58B0C94A">
      <w:pPr>
        <w:ind w:firstLine="480"/>
        <w:rPr>
          <w:bCs/>
          <w:kern w:val="0"/>
        </w:rPr>
      </w:pPr>
      <w:r>
        <w:rPr>
          <w:rFonts w:hint="eastAsia"/>
          <w:bCs/>
          <w:kern w:val="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A9F7373">
      <w:pPr>
        <w:ind w:firstLine="480"/>
        <w:rPr>
          <w:bCs/>
          <w:kern w:val="0"/>
        </w:rPr>
      </w:pPr>
      <w:r>
        <w:rPr>
          <w:rFonts w:hint="eastAsia"/>
          <w:bCs/>
          <w:kern w:val="0"/>
        </w:rPr>
        <w:t>本基金投资基金管理人或基金管理人关联方管理的基金的情况，不属于前述重大关联交易，但是应当按照法律法规或监管规定的要求履行信息披露义务。</w:t>
      </w:r>
    </w:p>
    <w:p w14:paraId="156AB29A">
      <w:pPr>
        <w:ind w:firstLine="480"/>
        <w:rPr>
          <w:bCs/>
          <w:kern w:val="0"/>
        </w:rPr>
      </w:pPr>
      <w:r>
        <w:rPr>
          <w:rFonts w:hint="eastAsia"/>
          <w:bCs/>
          <w:kern w:val="0"/>
        </w:rPr>
        <w:t>法律法规或监管部门取消或变更上述禁止性规定，如适用于本基金，基金管理人在履行适当程序后，则本基金投资不再受相关限制或按变更后的规定执行。</w:t>
      </w:r>
    </w:p>
    <w:p w14:paraId="319F0AAB">
      <w:pPr>
        <w:ind w:firstLine="480"/>
        <w:rPr>
          <w:bCs/>
          <w:kern w:val="0"/>
        </w:rPr>
      </w:pPr>
      <w:r>
        <w:rPr>
          <w:rFonts w:hint="eastAsia"/>
          <w:bCs/>
          <w:kern w:val="0"/>
        </w:rPr>
        <w:t>根据法律法规有关基金从事的关联交易的规定，基金管理人和基金托管人应事先相互提供与本机构有控股关系的股东或与本机构有其他重大利害关系的公司名单及其更新，并以电子邮件或双方约定的其他方式提交，确保所提供的关联交易名单的真实性、完整性、全面性，并负责及时将更新后的名单发送给对方。</w:t>
      </w:r>
    </w:p>
    <w:p w14:paraId="2D0DAE46">
      <w:pPr>
        <w:ind w:firstLine="480"/>
        <w:rPr>
          <w:bCs/>
          <w:kern w:val="0"/>
        </w:rPr>
      </w:pPr>
      <w:r>
        <w:rPr>
          <w:rFonts w:hint="eastAsia"/>
          <w:bCs/>
          <w:kern w:val="0"/>
        </w:rPr>
        <w:t>（四）基金托管人根据有关法律法规的规定及基金合同的约定，对基金管理人参与银行间债券市场进行监督。</w:t>
      </w:r>
    </w:p>
    <w:p w14:paraId="1F3C3997">
      <w:pPr>
        <w:ind w:firstLine="480"/>
        <w:rPr>
          <w:bCs/>
          <w:kern w:val="0"/>
        </w:rPr>
      </w:pPr>
      <w:r>
        <w:rPr>
          <w:rFonts w:hint="eastAsia"/>
          <w:bCs/>
          <w:kern w:val="0"/>
        </w:rPr>
        <w:t>基金管理人参与银行间市场债券交易，应按照审慎的风险控制原则评估交易对手资信风险，并自主选择交易对手。基金管理人负责对交易对手的资信控制，按银行间债券市场的交易规则进行交易，并负责解决因交易对手不履行相关合同而造成的纠纷及损失，基金托管人不承担由此造成的相应法律责任及损失。若未履约的交易对手在基金托管人与基金管理人确定的时间前仍未承担违约责任及其他相关法律责任的，基金管理人有权向相关交易对手追偿，基金托管人应予以必要的协助与配合。</w:t>
      </w:r>
    </w:p>
    <w:p w14:paraId="148A0F03">
      <w:pPr>
        <w:ind w:firstLine="480"/>
        <w:rPr>
          <w:bCs/>
          <w:kern w:val="0"/>
        </w:rPr>
      </w:pPr>
      <w:r>
        <w:rPr>
          <w:rFonts w:hint="eastAsia"/>
          <w:bCs/>
          <w:kern w:val="0"/>
        </w:rPr>
        <w:t xml:space="preserve">（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 </w:t>
      </w:r>
    </w:p>
    <w:p w14:paraId="12FDF98B">
      <w:pPr>
        <w:ind w:firstLine="480"/>
        <w:rPr>
          <w:bCs/>
          <w:kern w:val="0"/>
        </w:rPr>
      </w:pPr>
      <w:r>
        <w:rPr>
          <w:rFonts w:hint="eastAsia"/>
          <w:bCs/>
          <w:kern w:val="0"/>
        </w:rPr>
        <w:t>（六）基金托管人对基金投资银行存款进行监督。</w:t>
      </w:r>
    </w:p>
    <w:p w14:paraId="3ABA6C30">
      <w:pPr>
        <w:ind w:firstLine="480"/>
        <w:rPr>
          <w:bCs/>
          <w:kern w:val="0"/>
        </w:rPr>
      </w:pPr>
      <w:r>
        <w:rPr>
          <w:rFonts w:hint="eastAsia"/>
          <w:bCs/>
          <w:kern w:val="0"/>
        </w:rPr>
        <w:t>本基金投资银行存款应符合如下规定：</w:t>
      </w:r>
    </w:p>
    <w:p w14:paraId="79B5786A">
      <w:pPr>
        <w:ind w:firstLine="480"/>
        <w:rPr>
          <w:bCs/>
          <w:kern w:val="0"/>
        </w:rPr>
      </w:pPr>
      <w:r>
        <w:rPr>
          <w:rFonts w:hint="eastAsia"/>
          <w:bCs/>
          <w:kern w:val="0"/>
        </w:rPr>
        <w:t>1、基金管理人、基金托管人应当与存款银行建立定期对账机制，确保基金银行存款业务账目及核算的真实、准确。</w:t>
      </w:r>
    </w:p>
    <w:p w14:paraId="53EFC0CF">
      <w:pPr>
        <w:ind w:firstLine="480"/>
        <w:rPr>
          <w:bCs/>
          <w:kern w:val="0"/>
        </w:rPr>
      </w:pPr>
      <w:r>
        <w:rPr>
          <w:rFonts w:hint="eastAsia"/>
          <w:bCs/>
          <w:kern w:val="0"/>
        </w:rPr>
        <w:t>2、基金管理人应当按照有关法规规定，与基金托管人、存款机构签订相关书面协议。基金托管人应根据有关相关法规及协议对基金银行存款业务进行监督与核查，严格审查、复核相关协议、账户资料、投资指令、存款证实书等有关文件，切实履行托管职责。</w:t>
      </w:r>
    </w:p>
    <w:p w14:paraId="1581FC68">
      <w:pPr>
        <w:ind w:firstLine="480"/>
        <w:rPr>
          <w:bCs/>
          <w:kern w:val="0"/>
        </w:rPr>
      </w:pPr>
      <w:r>
        <w:rPr>
          <w:rFonts w:hint="eastAsia"/>
          <w:bCs/>
          <w:kern w:val="0"/>
        </w:rPr>
        <w:t>3、基金管理人与基金托管人在开展基金存款业务时，应严格遵守《基金法》、《运作办法》等有关法律法规，以及国家有关账户管理、利率管理、支付结算等的各项规定。</w:t>
      </w:r>
    </w:p>
    <w:p w14:paraId="01BCEAD6">
      <w:pPr>
        <w:ind w:firstLine="480"/>
        <w:rPr>
          <w:bCs/>
          <w:kern w:val="0"/>
        </w:rPr>
      </w:pPr>
      <w:r>
        <w:rPr>
          <w:rFonts w:hint="eastAsia"/>
          <w:bCs/>
          <w:kern w:val="0"/>
        </w:rPr>
        <w:t>4、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如基金管理人在基金投资运作之前未向基金托管人提供存款银行名单的，视为基金管理人认可所有银行。基金管理人未根据有关法律法规的规定及基金合同的约定对定期存款提前支取的，损失由其承担。</w:t>
      </w:r>
    </w:p>
    <w:p w14:paraId="004250A6">
      <w:pPr>
        <w:ind w:firstLine="480"/>
        <w:rPr>
          <w:bCs/>
          <w:kern w:val="0"/>
        </w:rPr>
      </w:pPr>
      <w:r>
        <w:rPr>
          <w:rFonts w:hint="eastAsia"/>
          <w:bCs/>
          <w:kern w:val="0"/>
        </w:rPr>
        <w:t xml:space="preserve">（七）基金托管人根据有关法律法规的规定及《基金合同》的约定，对基金管理人投资流通受限证券进行监督。   </w:t>
      </w:r>
    </w:p>
    <w:p w14:paraId="32C54816">
      <w:pPr>
        <w:ind w:firstLine="480"/>
        <w:rPr>
          <w:bCs/>
          <w:kern w:val="0"/>
        </w:rPr>
      </w:pPr>
      <w:r>
        <w:rPr>
          <w:rFonts w:hint="eastAsia"/>
          <w:bCs/>
          <w:kern w:val="0"/>
        </w:rPr>
        <w:t xml:space="preserve"> 1、基金管理人投资流通受限证券，应遵守等有关法律法规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BC5236C">
      <w:pPr>
        <w:ind w:firstLine="480"/>
        <w:rPr>
          <w:bCs/>
          <w:kern w:val="0"/>
        </w:rPr>
      </w:pPr>
      <w:r>
        <w:rPr>
          <w:rFonts w:hint="eastAsia"/>
          <w:bCs/>
          <w:kern w:val="0"/>
        </w:rPr>
        <w:t>2、流通受限证券与流动性受限资产定义不同，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AD64DBF">
      <w:pPr>
        <w:ind w:firstLine="480"/>
        <w:rPr>
          <w:bCs/>
          <w:kern w:val="0"/>
        </w:rPr>
      </w:pPr>
      <w:r>
        <w:rPr>
          <w:rFonts w:hint="eastAsia"/>
          <w:bCs/>
          <w:kern w:val="0"/>
        </w:rPr>
        <w:t>3、基金管理人应保证本基金投资的流通受限证券登记存管在本基金名下，并确保基金托管人能够正常查询。因基金管理人原因产生的流通受限证券登记存管问题，造成基金托管人无法安全保管本基金资产的责任与损失，及基金财产的损失，由基金管理人承担。</w:t>
      </w:r>
    </w:p>
    <w:p w14:paraId="7083499D">
      <w:pPr>
        <w:ind w:firstLine="480"/>
        <w:rPr>
          <w:bCs/>
          <w:kern w:val="0"/>
        </w:rPr>
      </w:pPr>
      <w:r>
        <w:rPr>
          <w:rFonts w:hint="eastAsia"/>
          <w:bCs/>
          <w:kern w:val="0"/>
        </w:rPr>
        <w:t xml:space="preserve"> 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720D6BFD">
      <w:pPr>
        <w:ind w:firstLine="480"/>
        <w:rPr>
          <w:bCs/>
          <w:kern w:val="0"/>
        </w:rPr>
      </w:pPr>
      <w:r>
        <w:rPr>
          <w:rFonts w:hint="eastAsia"/>
          <w:bCs/>
          <w:kern w:val="0"/>
        </w:rPr>
        <w:t xml:space="preserve"> 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对本基金因投资流通受限证券导致的流动性风险，基金托管人不承担相应责任。如因基金管理人原因导致本基金出现损失致使基金托管人承担连带赔偿责任的，基金管理人应赔偿基金托管人由此遭受的损失。</w:t>
      </w:r>
    </w:p>
    <w:p w14:paraId="62BD9748">
      <w:pPr>
        <w:ind w:firstLine="480"/>
        <w:rPr>
          <w:bCs/>
          <w:kern w:val="0"/>
        </w:rPr>
      </w:pPr>
      <w:r>
        <w:rPr>
          <w:rFonts w:hint="eastAsia"/>
          <w:bCs/>
          <w:kern w:val="0"/>
        </w:rPr>
        <w:t xml:space="preserve"> 5、在投资流通受限证券之前，基金管理人应至少提前一个交易日向基金托管人提供有关流通受限证券的相关信息，具体应当包括但不限于如下文件（如有）：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7155A9E6">
      <w:pPr>
        <w:ind w:firstLine="480"/>
        <w:rPr>
          <w:bCs/>
          <w:kern w:val="0"/>
        </w:rPr>
      </w:pPr>
      <w:r>
        <w:rPr>
          <w:rFonts w:hint="eastAsia"/>
          <w:bCs/>
          <w:kern w:val="0"/>
        </w:rPr>
        <w:t xml:space="preserve"> 6、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ED4BD0D">
      <w:pPr>
        <w:ind w:firstLine="240" w:firstLineChars="100"/>
        <w:rPr>
          <w:bCs/>
          <w:kern w:val="0"/>
        </w:rPr>
      </w:pPr>
      <w:r>
        <w:rPr>
          <w:rFonts w:hint="eastAsia"/>
          <w:bCs/>
          <w:kern w:val="0"/>
        </w:rPr>
        <w:t xml:space="preserve">   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7B831A97">
      <w:pPr>
        <w:ind w:firstLine="199" w:firstLineChars="83"/>
        <w:rPr>
          <w:bCs/>
          <w:kern w:val="0"/>
        </w:rPr>
      </w:pPr>
      <w:r>
        <w:rPr>
          <w:rFonts w:hint="eastAsia"/>
          <w:bCs/>
          <w:kern w:val="0"/>
        </w:rPr>
        <w:t xml:space="preserve">  8、基金托管人根据有关规定有权对基金管理人进行以下事项监督：</w:t>
      </w:r>
    </w:p>
    <w:p w14:paraId="578E1B43">
      <w:pPr>
        <w:ind w:firstLine="199" w:firstLineChars="83"/>
        <w:rPr>
          <w:bCs/>
          <w:kern w:val="0"/>
        </w:rPr>
      </w:pPr>
      <w:r>
        <w:rPr>
          <w:rFonts w:hint="eastAsia"/>
          <w:bCs/>
          <w:kern w:val="0"/>
        </w:rPr>
        <w:t xml:space="preserve">（1）本基金投资流通受限证券时的法律法规遵守情况。 </w:t>
      </w:r>
    </w:p>
    <w:p w14:paraId="770816A3">
      <w:pPr>
        <w:ind w:firstLine="0" w:firstLineChars="0"/>
        <w:rPr>
          <w:bCs/>
          <w:kern w:val="0"/>
        </w:rPr>
      </w:pPr>
      <w:r>
        <w:rPr>
          <w:rFonts w:hint="eastAsia"/>
          <w:bCs/>
          <w:kern w:val="0"/>
        </w:rPr>
        <w:t xml:space="preserve"> （2）在基金投资流通受限证券管理工作方面有关制度、流动性风险处置预案的建立与完善情况。 </w:t>
      </w:r>
    </w:p>
    <w:p w14:paraId="098DB9CF">
      <w:pPr>
        <w:ind w:firstLine="199" w:firstLineChars="83"/>
        <w:rPr>
          <w:bCs/>
          <w:kern w:val="0"/>
        </w:rPr>
      </w:pPr>
      <w:r>
        <w:rPr>
          <w:rFonts w:hint="eastAsia"/>
          <w:bCs/>
          <w:kern w:val="0"/>
        </w:rPr>
        <w:t xml:space="preserve">（3）有关比例限制的执行情况。 </w:t>
      </w:r>
    </w:p>
    <w:p w14:paraId="683CCCA6">
      <w:pPr>
        <w:ind w:firstLine="199" w:firstLineChars="83"/>
        <w:rPr>
          <w:bCs/>
          <w:kern w:val="0"/>
        </w:rPr>
      </w:pPr>
      <w:r>
        <w:rPr>
          <w:rFonts w:hint="eastAsia"/>
          <w:bCs/>
          <w:kern w:val="0"/>
        </w:rPr>
        <w:t xml:space="preserve">（4）信息披露情况。 </w:t>
      </w:r>
    </w:p>
    <w:p w14:paraId="78860571">
      <w:pPr>
        <w:ind w:firstLine="199" w:firstLineChars="83"/>
        <w:rPr>
          <w:bCs/>
          <w:kern w:val="0"/>
        </w:rPr>
      </w:pPr>
      <w:r>
        <w:rPr>
          <w:rFonts w:hint="eastAsia"/>
          <w:bCs/>
          <w:kern w:val="0"/>
        </w:rPr>
        <w:t xml:space="preserve"> 9、相关法律法规对基金投资流通受限证券有新规定的，从其规定。</w:t>
      </w:r>
    </w:p>
    <w:p w14:paraId="09C188CE">
      <w:pPr>
        <w:ind w:firstLine="480"/>
        <w:rPr>
          <w:bCs/>
          <w:kern w:val="0"/>
        </w:rPr>
      </w:pPr>
      <w:r>
        <w:rPr>
          <w:rFonts w:hint="eastAsia"/>
          <w:bCs/>
          <w:kern w:val="0"/>
        </w:rPr>
        <w:t>（八）基金托管人发现基金管理人的上述事项及投资指令或实际投资运作违反法律法规、基金合同和本托管协议的规定，应及时以电话提醒、邮件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38AE1AA">
      <w:pPr>
        <w:ind w:firstLine="480"/>
        <w:rPr>
          <w:bCs/>
          <w:kern w:val="0"/>
        </w:rPr>
      </w:pPr>
      <w:r>
        <w:rPr>
          <w:rFonts w:hint="eastAsia"/>
          <w:bCs/>
          <w:kern w:val="0"/>
        </w:rPr>
        <w:t>（九）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2BA9046F">
      <w:pPr>
        <w:ind w:firstLine="480"/>
        <w:rPr>
          <w:bCs/>
          <w:kern w:val="0"/>
        </w:rPr>
      </w:pPr>
      <w:r>
        <w:rPr>
          <w:rFonts w:hint="eastAsia"/>
          <w:bCs/>
          <w:kern w:val="0"/>
        </w:rPr>
        <w:t>（十）若基金托管人发现基金管理人依据交易程序已经生效的指令违反法律、行政法规和其他有关规定，或者违反基金合同约定的，应当立即以书面或以双方认可的其他方式通知基金管理人，并及时向中国证监会报告。</w:t>
      </w:r>
    </w:p>
    <w:p w14:paraId="0DCA2689">
      <w:pPr>
        <w:ind w:firstLine="480"/>
        <w:rPr>
          <w:bCs/>
          <w:kern w:val="0"/>
        </w:rPr>
      </w:pPr>
      <w:r>
        <w:rPr>
          <w:rFonts w:hint="eastAsia"/>
          <w:bCs/>
          <w:kern w:val="0"/>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F315E0A">
      <w:pPr>
        <w:ind w:firstLine="482"/>
        <w:rPr>
          <w:bCs/>
          <w:kern w:val="0"/>
        </w:rPr>
      </w:pPr>
      <w:r>
        <w:rPr>
          <w:rFonts w:hint="eastAsia"/>
          <w:b/>
          <w:bCs/>
          <w:kern w:val="0"/>
        </w:rPr>
        <w:t>三、基金管理人对基金托管人的业务核查</w:t>
      </w:r>
    </w:p>
    <w:p w14:paraId="6AEBECD6">
      <w:pPr>
        <w:ind w:firstLine="480"/>
        <w:rPr>
          <w:bCs/>
          <w:kern w:val="0"/>
        </w:rPr>
      </w:pPr>
      <w:r>
        <w:rPr>
          <w:rFonts w:hint="eastAsia"/>
          <w:bCs/>
          <w:kern w:val="0"/>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034D034C">
      <w:pPr>
        <w:ind w:firstLine="480"/>
        <w:rPr>
          <w:bCs/>
          <w:kern w:val="0"/>
        </w:rPr>
      </w:pPr>
      <w:r>
        <w:rPr>
          <w:rFonts w:hint="eastAsia"/>
          <w:bCs/>
          <w:kern w:val="0"/>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基金托管人对基金管理人通知的违规事项未能在限期内纠正或未在合理期限内确认的，基金管理人应报告中国证监会。基金管理人有权要求基金托管人赔偿基金管理人及基金财产因此所遭受的损失。</w:t>
      </w:r>
    </w:p>
    <w:p w14:paraId="19C7C790">
      <w:pPr>
        <w:ind w:firstLine="480"/>
        <w:rPr>
          <w:bCs/>
          <w:kern w:val="0"/>
        </w:rPr>
      </w:pPr>
      <w:r>
        <w:rPr>
          <w:rFonts w:hint="eastAsia"/>
          <w:bCs/>
          <w:kern w:val="0"/>
        </w:rPr>
        <w:t>（三）基金管理人发现基金托管人有重大违规行为，应及时报告中国证监会，同时通知基金托管人限期纠正，并将纠正结果报告中国证监会。</w:t>
      </w:r>
    </w:p>
    <w:p w14:paraId="1430C455">
      <w:pPr>
        <w:ind w:firstLine="480"/>
        <w:rPr>
          <w:bCs/>
          <w:kern w:val="0"/>
        </w:rPr>
      </w:pPr>
      <w:r>
        <w:rPr>
          <w:rFonts w:hint="eastAsia"/>
          <w:bCs/>
          <w:kern w:val="0"/>
        </w:rPr>
        <w:t>基金管理人基于正当合理理由可定期和不定期地对基金托管人保管的基金财产进行核查。基金托管人应积极配合基金管理人的核查行为，包括但不限于：交相关资料以供基金管理人核查托管财产的完整性和真实性。</w:t>
      </w:r>
    </w:p>
    <w:p w14:paraId="331227F9">
      <w:pPr>
        <w:ind w:firstLine="470" w:firstLineChars="196"/>
        <w:rPr>
          <w:bCs/>
          <w:kern w:val="0"/>
        </w:rPr>
      </w:pPr>
      <w:r>
        <w:rPr>
          <w:rFonts w:hint="eastAsia"/>
          <w:bCs/>
          <w:kern w:val="0"/>
        </w:rPr>
        <w:t>基金托管人无正当理由，拒绝、阻挠对方根据本协议规定行使监督权，或采取拖延、欺诈等手段妨碍对方进行有效监督，情节严重或经基金管理人提出警告仍不改正的，基金管理人应报告中国证监会。</w:t>
      </w:r>
    </w:p>
    <w:p w14:paraId="36B06F9E">
      <w:pPr>
        <w:ind w:firstLine="472" w:firstLineChars="196"/>
        <w:rPr>
          <w:b/>
          <w:bCs/>
          <w:kern w:val="0"/>
        </w:rPr>
      </w:pPr>
      <w:r>
        <w:rPr>
          <w:rFonts w:hint="eastAsia"/>
          <w:b/>
          <w:bCs/>
          <w:kern w:val="0"/>
        </w:rPr>
        <w:t>四、基金财产的保管</w:t>
      </w:r>
    </w:p>
    <w:p w14:paraId="752F5CC7">
      <w:pPr>
        <w:ind w:firstLine="470" w:firstLineChars="196"/>
        <w:rPr>
          <w:rFonts w:ascii="宋体"/>
        </w:rPr>
      </w:pPr>
      <w:r>
        <w:rPr>
          <w:rFonts w:hint="eastAsia" w:ascii="宋体"/>
        </w:rPr>
        <w:t>（一）基金财产保管的原则</w:t>
      </w:r>
    </w:p>
    <w:p w14:paraId="6EF3D878">
      <w:pPr>
        <w:ind w:firstLine="470" w:firstLineChars="196"/>
        <w:rPr>
          <w:rFonts w:ascii="宋体"/>
        </w:rPr>
      </w:pPr>
      <w:r>
        <w:rPr>
          <w:rFonts w:hint="eastAsia" w:ascii="宋体"/>
        </w:rPr>
        <w:t>1、基金财产应独立于基金管理人、基金托管人的固有财产。</w:t>
      </w:r>
    </w:p>
    <w:p w14:paraId="006BD212">
      <w:pPr>
        <w:ind w:firstLine="470" w:firstLineChars="196"/>
        <w:rPr>
          <w:rFonts w:ascii="宋体"/>
        </w:rPr>
      </w:pPr>
      <w:r>
        <w:rPr>
          <w:rFonts w:hint="eastAsia" w:ascii="宋体"/>
        </w:rPr>
        <w:t>2、基金托管人应安全保管基金财产。</w:t>
      </w:r>
    </w:p>
    <w:p w14:paraId="4189D21E">
      <w:pPr>
        <w:ind w:firstLine="470" w:firstLineChars="196"/>
        <w:rPr>
          <w:rFonts w:ascii="宋体"/>
        </w:rPr>
      </w:pPr>
      <w:r>
        <w:rPr>
          <w:rFonts w:hint="eastAsia" w:ascii="宋体"/>
        </w:rPr>
        <w:t>3、基金托管人按照规定开设基金财产的资金账户、证券账户等投资所需账户。</w:t>
      </w:r>
    </w:p>
    <w:p w14:paraId="5B954B21">
      <w:pPr>
        <w:ind w:firstLine="470" w:firstLineChars="196"/>
        <w:rPr>
          <w:rFonts w:ascii="宋体"/>
        </w:rPr>
      </w:pPr>
      <w:r>
        <w:rPr>
          <w:rFonts w:hint="eastAsia" w:ascii="宋体"/>
        </w:rPr>
        <w:t>4、基金托管人对所托管的不同基金财产分别设置账户，独立运作，分开核算，确保基金财产的完整与独立。</w:t>
      </w:r>
    </w:p>
    <w:p w14:paraId="3BB08539">
      <w:pPr>
        <w:ind w:firstLine="470" w:firstLineChars="196"/>
        <w:rPr>
          <w:rFonts w:ascii="宋体"/>
        </w:rPr>
      </w:pPr>
      <w:r>
        <w:rPr>
          <w:rFonts w:hint="eastAsia" w:ascii="宋体"/>
        </w:rPr>
        <w:t>5、基金托管人按照基金合同和本协议的约定保管基金财产，如有特殊情况双方可另行协商解决。基金托管人未经基金管理人的合法合规指令，不得自行运用、处分、分配本基金的任何资产（不包含基金托管人依据中国证券登记结算有限责任公司（以下简称“中登公司”）结算数据完成场内交易交收、托管资产开户银行扣收结算费和账户维护费等费用）。</w:t>
      </w:r>
    </w:p>
    <w:p w14:paraId="1A319178">
      <w:pPr>
        <w:ind w:firstLine="470" w:firstLineChars="196"/>
        <w:rPr>
          <w:rFonts w:ascii="宋体"/>
        </w:rPr>
      </w:pPr>
      <w:r>
        <w:rPr>
          <w:rFonts w:hint="eastAsia" w:ascii="宋体"/>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14:paraId="4F48E362">
      <w:pPr>
        <w:ind w:firstLine="470" w:firstLineChars="196"/>
        <w:rPr>
          <w:rFonts w:ascii="宋体"/>
        </w:rPr>
      </w:pPr>
      <w:r>
        <w:rPr>
          <w:rFonts w:hint="eastAsia" w:ascii="宋体"/>
        </w:rPr>
        <w:t>7、对因为基金管理人投资产生的存放或存管在基金托管人以外机构的基金财产，或交由期货公司负责清算交收的基金财产（包括但不限于期货保证金账户内的资金、期货合约等）及其收益，若由于该等机构或该机构会员单位等本协议当事人外第三方的原因给基金财产造成的损失等，基金托管人不承担相应赔偿责任。</w:t>
      </w:r>
    </w:p>
    <w:p w14:paraId="0F7486F2">
      <w:pPr>
        <w:ind w:firstLine="470" w:firstLineChars="196"/>
        <w:rPr>
          <w:rFonts w:ascii="宋体"/>
        </w:rPr>
      </w:pPr>
      <w:r>
        <w:rPr>
          <w:rFonts w:hint="eastAsia" w:ascii="宋体"/>
        </w:rPr>
        <w:t>8、除依据法律法规和基金合同的规定外，基金托管人不得委托第三人托管基金财产。</w:t>
      </w:r>
    </w:p>
    <w:p w14:paraId="5F29504E">
      <w:pPr>
        <w:ind w:firstLine="470" w:firstLineChars="196"/>
        <w:rPr>
          <w:rFonts w:ascii="宋体"/>
        </w:rPr>
      </w:pPr>
      <w:r>
        <w:rPr>
          <w:rFonts w:hint="eastAsia" w:ascii="宋体"/>
        </w:rPr>
        <w:t>（二）基金募集期间及募集资金的验资</w:t>
      </w:r>
    </w:p>
    <w:p w14:paraId="7F892470">
      <w:pPr>
        <w:ind w:firstLine="470" w:firstLineChars="196"/>
        <w:rPr>
          <w:rFonts w:ascii="宋体"/>
        </w:rPr>
      </w:pPr>
      <w:r>
        <w:rPr>
          <w:rFonts w:hint="eastAsia" w:ascii="宋体"/>
        </w:rPr>
        <w:t>1、基金募集期间募集的资金应存于基金管理人开立的“基金募集专户”。该账户由基金管理人开立并管理。</w:t>
      </w:r>
    </w:p>
    <w:p w14:paraId="1F041863">
      <w:pPr>
        <w:ind w:firstLine="470" w:firstLineChars="196"/>
        <w:rPr>
          <w:rFonts w:ascii="宋体"/>
        </w:rPr>
      </w:pPr>
      <w:r>
        <w:rPr>
          <w:rFonts w:hint="eastAsia" w:ascii="宋体"/>
        </w:rPr>
        <w:t>2、基金募集期满或基金提前结束募集时，募集的基金份额总额、基金募集金额、基金份额持有人人数符合《基金法》、《运作办法》、基金合同等有关规定后，基金管理人应将属于基金财产的全部资金划入基金托管人为本基金开立的基金银行账户，同时在规定时间内，聘请符合《中华人民共和国证券法》规定的会计师事务所进行验资，出具验资报告。出具的验资报告由参加验资的2名或2名以上中国注册会计师签字方为有效。</w:t>
      </w:r>
    </w:p>
    <w:p w14:paraId="458FE006">
      <w:pPr>
        <w:ind w:firstLine="470" w:firstLineChars="196"/>
        <w:rPr>
          <w:rFonts w:ascii="宋体"/>
        </w:rPr>
      </w:pPr>
      <w:r>
        <w:rPr>
          <w:rFonts w:hint="eastAsia" w:ascii="宋体"/>
        </w:rPr>
        <w:t>3、若基金募集期限届满或基金停止募集时，未能达到基金备案的条件，由基金管理人按规定办理退款等事宜，基金托管人应提供充分协助。</w:t>
      </w:r>
    </w:p>
    <w:p w14:paraId="34474A35">
      <w:pPr>
        <w:ind w:firstLine="470" w:firstLineChars="196"/>
        <w:rPr>
          <w:rFonts w:ascii="宋体"/>
        </w:rPr>
      </w:pPr>
      <w:r>
        <w:rPr>
          <w:rFonts w:hint="eastAsia" w:ascii="宋体"/>
        </w:rPr>
        <w:t>（三）基金银行账户的开立和管理</w:t>
      </w:r>
    </w:p>
    <w:p w14:paraId="1A1C3574">
      <w:pPr>
        <w:ind w:firstLine="470" w:firstLineChars="196"/>
        <w:rPr>
          <w:rFonts w:ascii="宋体"/>
        </w:rPr>
      </w:pPr>
      <w:r>
        <w:rPr>
          <w:rFonts w:hint="eastAsia" w:ascii="宋体"/>
        </w:rPr>
        <w:t>1、基金托管人以本基金的名义开设本基金的基金托管专户，也称为资金账户或基金银行账户，保管基金财产的银行存款。本基金的一切货币收支活动，均需通过基金托管人的基金托管专户进行。</w:t>
      </w:r>
    </w:p>
    <w:p w14:paraId="0E47AFED">
      <w:pPr>
        <w:ind w:firstLine="470" w:firstLineChars="196"/>
        <w:rPr>
          <w:rFonts w:ascii="宋体"/>
        </w:rPr>
      </w:pPr>
      <w:r>
        <w:rPr>
          <w:rFonts w:hint="eastAsia" w:ascii="宋体"/>
        </w:rPr>
        <w:t>2、基金托管人可根据实际情况需要，为本基金开立资金清算辅助账户，以办理相关的资金汇划业务。</w:t>
      </w:r>
    </w:p>
    <w:p w14:paraId="7C06576C">
      <w:pPr>
        <w:ind w:firstLine="470" w:firstLineChars="196"/>
        <w:rPr>
          <w:rFonts w:ascii="宋体"/>
        </w:rPr>
      </w:pPr>
      <w:r>
        <w:rPr>
          <w:rFonts w:hint="eastAsia" w:ascii="宋体"/>
        </w:rPr>
        <w:t>3、基金托管专户的开立和使用，限于满足开展本基金业务的需要。基金托管人和基金管理人不得假借本基金的名义开立任何其他银行账户；亦不得使用基金的任何账户进行本基金业务以外的活动。</w:t>
      </w:r>
    </w:p>
    <w:p w14:paraId="59A657E7">
      <w:pPr>
        <w:ind w:firstLine="470" w:firstLineChars="196"/>
        <w:rPr>
          <w:rFonts w:ascii="宋体"/>
        </w:rPr>
      </w:pPr>
      <w:r>
        <w:rPr>
          <w:rFonts w:hint="eastAsia" w:ascii="宋体"/>
        </w:rPr>
        <w:t>4、基金托管专户的开立和管理应符合银行业监督管理机构的有关规定。</w:t>
      </w:r>
    </w:p>
    <w:p w14:paraId="16E6A1FD">
      <w:pPr>
        <w:ind w:firstLine="470" w:firstLineChars="196"/>
        <w:rPr>
          <w:rFonts w:ascii="宋体"/>
        </w:rPr>
      </w:pPr>
      <w:r>
        <w:rPr>
          <w:rFonts w:hint="eastAsia" w:ascii="宋体"/>
        </w:rPr>
        <w:t>5、在符合法律法规规定的条件下，基金托管人可以通过基金托管专户办理基金资产的支付。</w:t>
      </w:r>
    </w:p>
    <w:p w14:paraId="6B2AF772">
      <w:pPr>
        <w:ind w:firstLine="470" w:firstLineChars="196"/>
        <w:rPr>
          <w:rFonts w:ascii="宋体"/>
        </w:rPr>
      </w:pPr>
      <w:r>
        <w:rPr>
          <w:rFonts w:hint="eastAsia" w:ascii="宋体"/>
        </w:rPr>
        <w:t>（四）定期存款账户</w:t>
      </w:r>
    </w:p>
    <w:p w14:paraId="05030F45">
      <w:pPr>
        <w:ind w:firstLine="470" w:firstLineChars="196"/>
        <w:rPr>
          <w:rFonts w:ascii="宋体"/>
        </w:rPr>
      </w:pPr>
      <w:r>
        <w:rPr>
          <w:rFonts w:hint="eastAsia" w:ascii="宋体"/>
        </w:rPr>
        <w:t>基金财产投资定期存款在存款机构开立的银行账户，包括实体或虚拟账户，其预留印鉴经各方商议后预留。在取得存款证实书后，基金托管人保管证实书正本。基金管理人应该在合理的时间内进行定期存款的投资和支取事宜，若基金管理人提前支取或部分提前支取定期存款，若产生息差（即本基金已计提的资金利息和提前支取时收到的资金利息差额），该息差的处理方法由基金管理人和基金托管人双方协商解决。</w:t>
      </w:r>
    </w:p>
    <w:p w14:paraId="516B4740">
      <w:pPr>
        <w:ind w:firstLine="470" w:firstLineChars="196"/>
        <w:rPr>
          <w:rFonts w:ascii="宋体"/>
        </w:rPr>
      </w:pPr>
      <w:r>
        <w:rPr>
          <w:rFonts w:hint="eastAsia" w:ascii="宋体"/>
        </w:rPr>
        <w:t>对于任何的定期存款投资，基金管理人都必须和存款机构签订定期存款协议，约定双方的权利和义务，该协议作为划款指令附件。该协议中必须有如下明确条款：“存款证实书不得被质押或以任何方式被抵押，并不得用于转让和背书；本息到期归还或提前支取的所有款项必须划至托管专户（明确户名、开户行、账号等），不得划入其他任何账户”。如定期存款协议中未体现前述条款，基金托管人有权拒绝定期存款投资的划款指令。</w:t>
      </w:r>
    </w:p>
    <w:p w14:paraId="4854A96D">
      <w:pPr>
        <w:ind w:firstLine="470" w:firstLineChars="196"/>
        <w:rPr>
          <w:rFonts w:ascii="宋体"/>
        </w:rPr>
      </w:pPr>
      <w:r>
        <w:rPr>
          <w:rFonts w:hint="eastAsia" w:ascii="宋体"/>
        </w:rPr>
        <w:t xml:space="preserve">（五）债券托管账户的开设和管理 </w:t>
      </w:r>
    </w:p>
    <w:p w14:paraId="34CF126D">
      <w:pPr>
        <w:ind w:firstLine="470" w:firstLineChars="196"/>
        <w:rPr>
          <w:rFonts w:ascii="宋体"/>
        </w:rPr>
      </w:pPr>
      <w:r>
        <w:rPr>
          <w:rFonts w:hint="eastAsia" w:ascii="宋体"/>
        </w:rPr>
        <w:t>基金合同生效后，基金管理人根据投资需要在中国人民银行完成全国银行间债券市场准入备案，基金托管人应配合提供相关材料。根据银行间市场登记结算机构的有关规定，基金托管人协助基金管理人以本基金的名义在银行间市场登记结算机构开立债券托管账户和资金结算账户，并代表本基金进行银行间市场债券的结算。</w:t>
      </w:r>
    </w:p>
    <w:p w14:paraId="06D14AF4">
      <w:pPr>
        <w:ind w:firstLine="470" w:firstLineChars="196"/>
        <w:rPr>
          <w:rFonts w:ascii="宋体"/>
        </w:rPr>
      </w:pPr>
      <w:r>
        <w:rPr>
          <w:rFonts w:hint="eastAsia" w:ascii="宋体"/>
        </w:rPr>
        <w:t>（六）基金证券账户和结算备付金账户的开立和管理</w:t>
      </w:r>
    </w:p>
    <w:p w14:paraId="7070B99A">
      <w:pPr>
        <w:ind w:firstLine="470" w:firstLineChars="196"/>
        <w:rPr>
          <w:rFonts w:ascii="宋体"/>
        </w:rPr>
      </w:pPr>
      <w:r>
        <w:rPr>
          <w:rFonts w:hint="eastAsia" w:ascii="宋体"/>
        </w:rPr>
        <w:t>1、基金托管人在中国证券登记结算有限责任公司为基金开立基金托管人与本基金联名的证券账户。</w:t>
      </w:r>
    </w:p>
    <w:p w14:paraId="6BA7EF53">
      <w:pPr>
        <w:ind w:firstLine="470" w:firstLineChars="196"/>
        <w:rPr>
          <w:rFonts w:ascii="宋体"/>
        </w:rPr>
      </w:pPr>
      <w:r>
        <w:rPr>
          <w:rFonts w:hint="eastAsia" w:ascii="宋体"/>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B68801B">
      <w:pPr>
        <w:ind w:firstLine="470" w:firstLineChars="196"/>
        <w:rPr>
          <w:rFonts w:ascii="宋体"/>
        </w:rPr>
      </w:pPr>
      <w:r>
        <w:rPr>
          <w:rFonts w:hint="eastAsia" w:ascii="宋体"/>
        </w:rPr>
        <w:t>3、基金证券账户的开立和证券账户卡的保管由基金托管人负责，账户资产的管理和运用由基金管理人负责。</w:t>
      </w:r>
    </w:p>
    <w:p w14:paraId="1726BC32">
      <w:pPr>
        <w:ind w:firstLine="470" w:firstLineChars="196"/>
        <w:rPr>
          <w:rFonts w:ascii="宋体"/>
        </w:rPr>
      </w:pPr>
      <w:r>
        <w:rPr>
          <w:rFonts w:hint="eastAsia" w:ascii="宋体"/>
        </w:rPr>
        <w:t>4、基金托管人以基金托管人的名义在中登公司开立结算备付金账户，并代表所托管的基金完成与中登公司的一级法人清算工作，基金管理人应予以积极协助。结算备付金、结算互保基金、交收价差资金等的收取按照中登公司的规定执行。</w:t>
      </w:r>
    </w:p>
    <w:p w14:paraId="78057EAC">
      <w:pPr>
        <w:ind w:firstLine="470" w:firstLineChars="196"/>
        <w:rPr>
          <w:rFonts w:ascii="宋体"/>
        </w:rPr>
      </w:pPr>
      <w:r>
        <w:rPr>
          <w:rFonts w:hint="eastAsia" w:ascii="宋体"/>
        </w:rPr>
        <w:t>5、若中国证监会或其他监管机构在本托管协议生效日之后允许基金从事其他投资品种的投资业务，涉及相关账户的开立、使用的，若无相关规定，则基金托管人比照上述关于账户开立、使用的规定执行。</w:t>
      </w:r>
    </w:p>
    <w:p w14:paraId="07ECD805">
      <w:pPr>
        <w:ind w:firstLine="470" w:firstLineChars="196"/>
        <w:rPr>
          <w:rFonts w:ascii="宋体"/>
        </w:rPr>
      </w:pPr>
      <w:r>
        <w:rPr>
          <w:rFonts w:hint="eastAsia" w:ascii="宋体"/>
        </w:rPr>
        <w:t>（七）其他账户的开立和管理</w:t>
      </w:r>
    </w:p>
    <w:p w14:paraId="25B848EF">
      <w:pPr>
        <w:ind w:firstLine="470" w:firstLineChars="196"/>
        <w:rPr>
          <w:rFonts w:ascii="宋体"/>
        </w:rPr>
      </w:pPr>
      <w:r>
        <w:rPr>
          <w:rFonts w:hint="eastAsia" w:ascii="宋体"/>
        </w:rPr>
        <w:t>1、因业务发展需要而开立的其他账户，可以根据法律法规和基金合同的规定，由基金管理人与基金托管人协商后由基金托管人负责办理。新账户按有关规定使用并管理。</w:t>
      </w:r>
    </w:p>
    <w:p w14:paraId="2FA064A6">
      <w:pPr>
        <w:ind w:firstLine="470" w:firstLineChars="196"/>
        <w:rPr>
          <w:rFonts w:ascii="宋体"/>
        </w:rPr>
      </w:pPr>
      <w:r>
        <w:rPr>
          <w:rFonts w:hint="eastAsia" w:ascii="宋体"/>
        </w:rPr>
        <w:t>2、法律法规等有关规定对相关账户的开立和管理另有规定的，从其规定。</w:t>
      </w:r>
    </w:p>
    <w:p w14:paraId="6C594A72">
      <w:pPr>
        <w:ind w:firstLine="470" w:firstLineChars="196"/>
        <w:rPr>
          <w:rFonts w:ascii="宋体"/>
        </w:rPr>
      </w:pPr>
      <w:r>
        <w:rPr>
          <w:rFonts w:hint="eastAsia" w:ascii="宋体"/>
        </w:rPr>
        <w:t>（八）基金财产投资的有关有价凭证等的保管</w:t>
      </w:r>
    </w:p>
    <w:p w14:paraId="0BCE761B">
      <w:pPr>
        <w:ind w:firstLine="470" w:firstLineChars="196"/>
        <w:rPr>
          <w:rFonts w:ascii="宋体"/>
        </w:rPr>
      </w:pPr>
      <w:r>
        <w:rPr>
          <w:rFonts w:hint="eastAsia" w:ascii="宋体"/>
        </w:rPr>
        <w:t>基金财产投资的有关实物证券、银行存款开户证实书等有价凭证由基金托管人存放于基金托管人的保管库，也可存入中央国债登记结算有限责任公司、中国证券登记结算有限责任公司上海分公司/深圳分公司、银行间市场清算所股份有限公司或票据营业中心的代保管库，保管凭证由基金托管人持有。实物证券、银行存款开户证实书等有价凭证的购买和转让，由基金托管人根据基金管理人的指令办理。属于基金托管人控制下的实物证券在基金托管人保管期间的损坏、灭失，由此产生的责任应由基金托管人承担。基金托管人对由基金托管人以外机构实际有效控制的资产不承担保管责任。</w:t>
      </w:r>
    </w:p>
    <w:p w14:paraId="53E57B25">
      <w:pPr>
        <w:ind w:firstLine="470" w:firstLineChars="196"/>
        <w:rPr>
          <w:rFonts w:ascii="宋体"/>
        </w:rPr>
      </w:pPr>
      <w:r>
        <w:rPr>
          <w:rFonts w:hint="eastAsia" w:ascii="宋体"/>
        </w:rPr>
        <w:t>（九）与基金财产有关的重大合同的保管</w:t>
      </w:r>
    </w:p>
    <w:p w14:paraId="10CA107A">
      <w:pPr>
        <w:ind w:firstLine="470" w:firstLineChars="196"/>
        <w:rPr>
          <w:rFonts w:ascii="宋体"/>
        </w:rPr>
      </w:pPr>
      <w:r>
        <w:rPr>
          <w:rFonts w:hint="eastAsia" w:ascii="宋体"/>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74B83100">
      <w:pPr>
        <w:ind w:firstLine="480"/>
        <w:rPr>
          <w:rFonts w:ascii="宋体"/>
        </w:rPr>
      </w:pPr>
      <w:r>
        <w:rPr>
          <w:rFonts w:hint="eastAsia" w:ascii="宋体"/>
        </w:rPr>
        <w:t>对于无法取得二份以上的正本的，基金管理人应向基金托管人提供加盖公章的合同传真件或复印件，未经双方协商一致或未在合同约定范围内，合同原件不得转移，由基金管理人保管。</w:t>
      </w:r>
    </w:p>
    <w:p w14:paraId="5AD808C5">
      <w:pPr>
        <w:ind w:firstLine="482"/>
        <w:rPr>
          <w:bCs/>
          <w:kern w:val="0"/>
        </w:rPr>
      </w:pPr>
      <w:r>
        <w:rPr>
          <w:rFonts w:hint="eastAsia"/>
          <w:b/>
          <w:bCs/>
          <w:kern w:val="0"/>
        </w:rPr>
        <w:t>五、基金资产净值计算和会计核算</w:t>
      </w:r>
    </w:p>
    <w:p w14:paraId="34A7008A">
      <w:pPr>
        <w:ind w:firstLine="480"/>
        <w:rPr>
          <w:rFonts w:ascii="宋体" w:hAnsi="宋体"/>
        </w:rPr>
      </w:pPr>
      <w:r>
        <w:rPr>
          <w:rFonts w:hint="eastAsia" w:ascii="宋体" w:hAnsi="宋体"/>
        </w:rPr>
        <w:t>（一）基金资产净值的计算、复核与完成的时间及程序</w:t>
      </w:r>
    </w:p>
    <w:p w14:paraId="7A7FF10C">
      <w:pPr>
        <w:ind w:firstLine="480"/>
        <w:rPr>
          <w:rFonts w:ascii="宋体" w:hAnsi="宋体"/>
        </w:rPr>
      </w:pPr>
      <w:r>
        <w:rPr>
          <w:rFonts w:hint="eastAsia" w:ascii="宋体" w:hAnsi="宋体"/>
        </w:rPr>
        <w:t>1、基金资产净值</w:t>
      </w:r>
    </w:p>
    <w:p w14:paraId="20519899">
      <w:pPr>
        <w:ind w:firstLine="480"/>
        <w:rPr>
          <w:rFonts w:ascii="宋体" w:hAnsi="宋体"/>
        </w:rPr>
      </w:pPr>
      <w:r>
        <w:rPr>
          <w:rFonts w:hint="eastAsia" w:ascii="宋体" w:hAnsi="宋体"/>
        </w:rPr>
        <w:t>基金资产净值是指基金资产总值减去基金负债后的价值。</w:t>
      </w:r>
    </w:p>
    <w:p w14:paraId="71327DF5">
      <w:pPr>
        <w:ind w:firstLine="480"/>
        <w:rPr>
          <w:rFonts w:ascii="宋体" w:hAnsi="宋体"/>
        </w:rPr>
      </w:pPr>
      <w:r>
        <w:rPr>
          <w:rFonts w:hint="eastAsia" w:ascii="宋体" w:hAnsi="宋体"/>
        </w:rPr>
        <w:t>各类基金份额的基金份额净值是按照每个工作日闭市后，某类基金份额的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0C5B866">
      <w:pPr>
        <w:ind w:firstLine="480"/>
        <w:rPr>
          <w:rFonts w:ascii="宋体" w:hAnsi="宋体"/>
        </w:rPr>
      </w:pPr>
      <w:r>
        <w:rPr>
          <w:rFonts w:hint="eastAsia" w:ascii="宋体" w:hAnsi="宋体"/>
        </w:rPr>
        <w:t>基金管理人于每个工作日计算基金资产净值及各类基金份额净值，并按规定公告。</w:t>
      </w:r>
    </w:p>
    <w:p w14:paraId="593907D0">
      <w:pPr>
        <w:ind w:firstLine="480"/>
        <w:rPr>
          <w:rFonts w:ascii="宋体" w:hAnsi="宋体"/>
        </w:rPr>
      </w:pPr>
      <w:r>
        <w:rPr>
          <w:rFonts w:hint="eastAsia" w:ascii="宋体" w:hAnsi="宋体"/>
        </w:rPr>
        <w:t>2、复核程序</w:t>
      </w:r>
    </w:p>
    <w:p w14:paraId="48E0F575">
      <w:pPr>
        <w:ind w:firstLine="480"/>
        <w:rPr>
          <w:rFonts w:ascii="宋体" w:hAnsi="宋体"/>
        </w:rPr>
      </w:pPr>
      <w:r>
        <w:rPr>
          <w:rFonts w:hint="eastAsia" w:ascii="宋体" w:hAnsi="宋体"/>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5AD18AC0">
      <w:pPr>
        <w:ind w:firstLine="480"/>
        <w:rPr>
          <w:rFonts w:ascii="宋体" w:hAnsi="宋体"/>
        </w:rPr>
      </w:pPr>
      <w:r>
        <w:rPr>
          <w:rFonts w:hint="eastAsia" w:ascii="宋体" w:hAnsi="宋体"/>
        </w:rPr>
        <w:t>3、根据有关法律法规，基金资产净值计算和基金会计核算的义务由基金管理人承担。</w:t>
      </w:r>
      <w:r>
        <w:rPr>
          <w:rFonts w:hint="eastAsia" w:asciiTheme="minorEastAsia" w:hAnsiTheme="minorEastAsia" w:eastAsiaTheme="minorEastAsia"/>
        </w:rPr>
        <w:t>由于本基金允许投资管理人旗下的开放式基金，基金管理人和基金托管人应根据已披露的基金净值信息对本基金进行估值。</w:t>
      </w:r>
      <w:r>
        <w:rPr>
          <w:rFonts w:hint="eastAsia" w:ascii="宋体" w:hAnsi="宋体"/>
        </w:rPr>
        <w:t>本基金的基金会计责任方由基金管理人担任，因此，就与本基金有关的会计问题，如经相关各方在平等基础上充分讨论后，仍无法达成一致的意见，按照基金管理人对基金净值信息的计算结果对外予以公布。</w:t>
      </w:r>
    </w:p>
    <w:p w14:paraId="3B67D77D">
      <w:pPr>
        <w:ind w:firstLine="480"/>
        <w:rPr>
          <w:rFonts w:ascii="宋体" w:hAnsi="宋体"/>
        </w:rPr>
      </w:pPr>
      <w:r>
        <w:rPr>
          <w:rFonts w:hint="eastAsia" w:ascii="宋体" w:hAnsi="宋体"/>
        </w:rPr>
        <w:t>（二）基金资产估值方法和特殊情形的处理</w:t>
      </w:r>
    </w:p>
    <w:p w14:paraId="6167BFB5">
      <w:pPr>
        <w:ind w:firstLine="480"/>
        <w:rPr>
          <w:rFonts w:ascii="宋体" w:hAnsi="宋体"/>
        </w:rPr>
      </w:pPr>
      <w:r>
        <w:rPr>
          <w:rFonts w:hint="eastAsia" w:ascii="宋体" w:hAnsi="宋体"/>
        </w:rPr>
        <w:t>1、估值对象</w:t>
      </w:r>
    </w:p>
    <w:p w14:paraId="4E8A1088">
      <w:pPr>
        <w:ind w:firstLine="480"/>
        <w:rPr>
          <w:rFonts w:ascii="宋体" w:hAnsi="宋体"/>
        </w:rPr>
      </w:pPr>
      <w:r>
        <w:rPr>
          <w:rFonts w:hint="eastAsia" w:ascii="宋体" w:hAnsi="宋体"/>
        </w:rPr>
        <w:t>基金所拥有的股票、存托凭证、基金份额、债券、资产支持证券、国债期货、信用衍生品、银行存款本息、同业存单、应收款项和其它投资等资产及负债。</w:t>
      </w:r>
    </w:p>
    <w:p w14:paraId="23D22241">
      <w:pPr>
        <w:ind w:firstLine="480"/>
        <w:rPr>
          <w:rFonts w:ascii="宋体" w:hAnsi="宋体"/>
        </w:rPr>
      </w:pPr>
      <w:r>
        <w:rPr>
          <w:rFonts w:hint="eastAsia" w:ascii="宋体" w:hAnsi="宋体"/>
        </w:rPr>
        <w:t>2、估值方法</w:t>
      </w:r>
    </w:p>
    <w:p w14:paraId="419B58C1">
      <w:pPr>
        <w:ind w:firstLine="480"/>
        <w:rPr>
          <w:rFonts w:ascii="宋体" w:hAnsi="宋体"/>
        </w:rPr>
      </w:pPr>
      <w:r>
        <w:rPr>
          <w:rFonts w:hint="eastAsia" w:ascii="宋体" w:hAnsi="宋体"/>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2E12479">
      <w:pPr>
        <w:ind w:firstLine="480"/>
        <w:rPr>
          <w:rFonts w:ascii="宋体" w:hAnsi="宋体"/>
        </w:rPr>
      </w:pPr>
      <w:r>
        <w:rPr>
          <w:rFonts w:hint="eastAsia" w:ascii="宋体" w:hAnsi="宋体"/>
        </w:rPr>
        <w:t>（2）处于未上市期间以及流通受限的有价证券应区分如下情况处理：</w:t>
      </w:r>
    </w:p>
    <w:p w14:paraId="545216D5">
      <w:pPr>
        <w:ind w:firstLine="480"/>
        <w:rPr>
          <w:rFonts w:ascii="宋体" w:hAnsi="宋体"/>
        </w:rPr>
      </w:pPr>
      <w:r>
        <w:rPr>
          <w:rFonts w:hint="eastAsia" w:ascii="宋体" w:hAnsi="宋体"/>
        </w:rPr>
        <w:t>1）送股、转增股、配股和公开增发的新股，按估值日在证券交易所挂牌的同一股票的估值方法估值；该日无交易的，以最近一日的市价（收盘价）估值；</w:t>
      </w:r>
    </w:p>
    <w:p w14:paraId="42B441E6">
      <w:pPr>
        <w:ind w:firstLine="480"/>
        <w:rPr>
          <w:rFonts w:ascii="宋体" w:hAnsi="宋体"/>
        </w:rPr>
      </w:pPr>
      <w:r>
        <w:rPr>
          <w:rFonts w:hint="eastAsia" w:ascii="宋体" w:hAnsi="宋体"/>
        </w:rPr>
        <w:t>2）首次公开发行未上市的股票，采用估值技术确定公允价值；</w:t>
      </w:r>
    </w:p>
    <w:p w14:paraId="4D2843DA">
      <w:pPr>
        <w:ind w:firstLine="480"/>
        <w:rPr>
          <w:rFonts w:ascii="宋体" w:hAnsi="宋体"/>
        </w:rPr>
      </w:pPr>
      <w:r>
        <w:rPr>
          <w:rFonts w:hint="eastAsia" w:ascii="宋体" w:hAnsi="宋体"/>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87845FB">
      <w:pPr>
        <w:ind w:firstLine="480"/>
        <w:rPr>
          <w:rFonts w:ascii="宋体" w:hAnsi="宋体"/>
        </w:rPr>
      </w:pPr>
      <w:r>
        <w:rPr>
          <w:rFonts w:hint="eastAsia" w:ascii="宋体" w:hAnsi="宋体"/>
        </w:rPr>
        <w:t>（3）对于已上市或已挂牌转让的不含权固定收益品种，选取第三方估值基准服务机构提供的相应品种当日的估值全价进行估值。</w:t>
      </w:r>
    </w:p>
    <w:p w14:paraId="5E15A1F5">
      <w:pPr>
        <w:ind w:firstLine="480"/>
        <w:rPr>
          <w:rFonts w:ascii="宋体" w:hAnsi="宋体"/>
        </w:rPr>
      </w:pPr>
      <w:r>
        <w:rPr>
          <w:rFonts w:hint="eastAsia" w:ascii="宋体" w:hAnsi="宋体"/>
        </w:rPr>
        <w:t>（4）对于已上市或已挂牌转让的含权固定收益品种，选取第三方估值基准服务机构提供的相应品种当日的唯一估值全价或推荐估值全价进行估值。</w:t>
      </w:r>
    </w:p>
    <w:p w14:paraId="45604B60">
      <w:pPr>
        <w:ind w:firstLine="480"/>
        <w:rPr>
          <w:rFonts w:ascii="宋体" w:hAnsi="宋体"/>
        </w:rPr>
      </w:pPr>
      <w:r>
        <w:rPr>
          <w:rFonts w:hint="eastAsia" w:ascii="宋体" w:hAnsi="宋体"/>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1916C9E">
      <w:pPr>
        <w:ind w:firstLine="480"/>
        <w:rPr>
          <w:rFonts w:ascii="宋体" w:hAnsi="宋体"/>
        </w:rPr>
      </w:pPr>
      <w:r>
        <w:rPr>
          <w:rFonts w:hint="eastAsia" w:ascii="宋体" w:hAnsi="宋体"/>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391A684">
      <w:pPr>
        <w:ind w:firstLine="480"/>
        <w:rPr>
          <w:rFonts w:ascii="宋体" w:hAnsi="宋体"/>
        </w:rPr>
      </w:pPr>
      <w:r>
        <w:rPr>
          <w:rFonts w:hint="eastAsia" w:ascii="宋体" w:hAnsi="宋体"/>
        </w:rPr>
        <w:t>（6）对于未上市或未挂牌转让且不存在活跃市场的固定收益品种，采用在当前情况下适用并且有足够可利用数据和其他信息支持的估值技术确定其公允价值。</w:t>
      </w:r>
    </w:p>
    <w:p w14:paraId="565CDDC4">
      <w:pPr>
        <w:ind w:firstLine="480"/>
        <w:rPr>
          <w:rFonts w:ascii="宋体" w:hAnsi="宋体"/>
        </w:rPr>
      </w:pPr>
      <w:r>
        <w:rPr>
          <w:rFonts w:hint="eastAsia" w:ascii="宋体" w:hAnsi="宋体"/>
        </w:rPr>
        <w:t>（7）对于发行人已破产、发行人未能按时足额偿付本金或利息，或者有其它可靠信息表明本金或利息无法按时足额偿付的债券投资品种，基金管理人在与托管人协商一致后，可采用第三方估值基准服务机构提供的推荐价格或在第三方估值基准服务机构提供的价格区间中的数据作为该债券投资品种的公允价值。</w:t>
      </w:r>
    </w:p>
    <w:p w14:paraId="6A561750">
      <w:pPr>
        <w:ind w:firstLine="480"/>
        <w:rPr>
          <w:rFonts w:ascii="宋体" w:hAnsi="宋体"/>
        </w:rPr>
      </w:pPr>
      <w:r>
        <w:rPr>
          <w:rFonts w:hint="eastAsia" w:ascii="宋体" w:hAnsi="宋体"/>
        </w:rPr>
        <w:t>（8）基金份额的估值</w:t>
      </w:r>
    </w:p>
    <w:p w14:paraId="18489ECE">
      <w:pPr>
        <w:ind w:firstLine="480"/>
        <w:rPr>
          <w:rFonts w:ascii="宋体" w:hAnsi="宋体"/>
        </w:rPr>
      </w:pPr>
      <w:r>
        <w:rPr>
          <w:rFonts w:hint="eastAsia" w:ascii="宋体" w:hAnsi="宋体"/>
        </w:rPr>
        <w:t>1）非上市基金的估值</w:t>
      </w:r>
    </w:p>
    <w:p w14:paraId="789ED091">
      <w:pPr>
        <w:ind w:firstLine="480"/>
        <w:rPr>
          <w:rFonts w:ascii="宋体" w:hAnsi="宋体"/>
        </w:rPr>
      </w:pPr>
      <w:r>
        <w:rPr>
          <w:rFonts w:hint="eastAsia" w:ascii="宋体" w:hAnsi="宋体"/>
        </w:rPr>
        <w:t>境内非货币市场基金按其估值日的基金份额净值估值。</w:t>
      </w:r>
    </w:p>
    <w:p w14:paraId="20D690DE">
      <w:pPr>
        <w:ind w:firstLine="480"/>
        <w:rPr>
          <w:rFonts w:ascii="宋体" w:hAnsi="宋体"/>
        </w:rPr>
      </w:pPr>
      <w:r>
        <w:rPr>
          <w:rFonts w:hint="eastAsia" w:ascii="宋体" w:hAnsi="宋体"/>
        </w:rPr>
        <w:t>2）上市基金的估值</w:t>
      </w:r>
    </w:p>
    <w:p w14:paraId="4D4FAC6F">
      <w:pPr>
        <w:ind w:firstLine="480"/>
        <w:rPr>
          <w:rFonts w:ascii="宋体" w:hAnsi="宋体"/>
        </w:rPr>
      </w:pPr>
      <w:r>
        <w:rPr>
          <w:rFonts w:hint="eastAsia" w:ascii="宋体" w:hAnsi="宋体"/>
        </w:rPr>
        <w:t>①ETF基金按其估值日的收盘价估值；</w:t>
      </w:r>
    </w:p>
    <w:p w14:paraId="27345A9A">
      <w:pPr>
        <w:ind w:firstLine="480"/>
        <w:rPr>
          <w:rFonts w:ascii="宋体" w:hAnsi="宋体"/>
        </w:rPr>
      </w:pPr>
      <w:r>
        <w:rPr>
          <w:rFonts w:hint="eastAsia" w:ascii="宋体" w:hAnsi="宋体"/>
        </w:rPr>
        <w:t>②境内上市开放式基金（LOF）按其估值日的基金份额净值估值；</w:t>
      </w:r>
    </w:p>
    <w:p w14:paraId="29C3B344">
      <w:pPr>
        <w:ind w:firstLine="480"/>
        <w:rPr>
          <w:rFonts w:ascii="宋体" w:hAnsi="宋体"/>
        </w:rPr>
      </w:pPr>
      <w:r>
        <w:rPr>
          <w:rFonts w:hint="eastAsia" w:ascii="宋体" w:hAnsi="宋体"/>
        </w:rPr>
        <w:t>③境内上市定期开放式基金、封闭式基金按其估值日的收盘价估值。</w:t>
      </w:r>
    </w:p>
    <w:p w14:paraId="5CD5181C">
      <w:pPr>
        <w:ind w:firstLine="480"/>
        <w:rPr>
          <w:rFonts w:ascii="宋体" w:hAnsi="宋体"/>
        </w:rPr>
      </w:pPr>
      <w:r>
        <w:rPr>
          <w:rFonts w:hint="eastAsia" w:ascii="宋体" w:hAnsi="宋体"/>
        </w:rPr>
        <w:t>3）如遇所投资基金不公布基金份额净值、进行折算或拆分、估值日无交易等特殊情况，基金管理人根据以下原则进行估值：</w:t>
      </w:r>
    </w:p>
    <w:p w14:paraId="63C26148">
      <w:pPr>
        <w:ind w:firstLine="480"/>
        <w:rPr>
          <w:rFonts w:ascii="宋体" w:hAnsi="宋体"/>
        </w:rPr>
      </w:pPr>
      <w:r>
        <w:rPr>
          <w:rFonts w:hint="eastAsia" w:ascii="宋体" w:hAnsi="宋体"/>
        </w:rPr>
        <w:t>①以所投资基金的基金份额净值估值的，若所投资基金与本基金估值频率一致但未公布估值日基金份额净值，按其最近公布的基金份额净值为基础估值；</w:t>
      </w:r>
    </w:p>
    <w:p w14:paraId="44DACBF2">
      <w:pPr>
        <w:ind w:firstLine="480"/>
        <w:rPr>
          <w:rFonts w:ascii="宋体" w:hAnsi="宋体"/>
        </w:rPr>
      </w:pPr>
      <w:r>
        <w:rPr>
          <w:rFonts w:hint="eastAsia" w:ascii="宋体" w:hAnsi="宋体"/>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513FF77">
      <w:pPr>
        <w:ind w:firstLine="480"/>
        <w:rPr>
          <w:rFonts w:ascii="宋体" w:hAnsi="宋体"/>
        </w:rPr>
      </w:pPr>
      <w:r>
        <w:rPr>
          <w:rFonts w:hint="eastAsia" w:ascii="宋体" w:hAnsi="宋体"/>
        </w:rPr>
        <w:t>③如果所投资基金前一估值日至估值日期间发生分红除权、折算或拆分，基金管理人应根据基金份额净值或收盘价、单位基金份额分红金额、折算拆分比例、持仓份额等因素合理确定公允价值。</w:t>
      </w:r>
    </w:p>
    <w:p w14:paraId="29F7B6A7">
      <w:pPr>
        <w:ind w:firstLine="480"/>
        <w:rPr>
          <w:rFonts w:ascii="宋体" w:hAnsi="宋体"/>
        </w:rPr>
      </w:pPr>
      <w:r>
        <w:rPr>
          <w:rFonts w:hint="eastAsia" w:ascii="宋体" w:hAnsi="宋体"/>
        </w:rPr>
        <w:t>4）当基金管理人认为所投资基金按上述第1）至第3）项进行估值存在不公允时，应与基金托管人协商一致采用合理的估值技术或估值标准确定其公允价值。</w:t>
      </w:r>
    </w:p>
    <w:p w14:paraId="131D4FFE">
      <w:pPr>
        <w:ind w:firstLine="480"/>
        <w:rPr>
          <w:rFonts w:ascii="宋体" w:hAnsi="宋体"/>
        </w:rPr>
      </w:pPr>
      <w:r>
        <w:rPr>
          <w:rFonts w:hint="eastAsia" w:ascii="宋体" w:hAnsi="宋体"/>
        </w:rPr>
        <w:t>（9）本基金投资国债期货合约，一般以估值当日结算价进行估值，估值当日无结算价的，且最近交易日后经济环境未发生重大变化的，采用最近交易日结算价估值。</w:t>
      </w:r>
    </w:p>
    <w:p w14:paraId="611AE2B1">
      <w:pPr>
        <w:ind w:firstLine="480"/>
        <w:rPr>
          <w:rFonts w:ascii="宋体" w:hAnsi="宋体"/>
        </w:rPr>
      </w:pPr>
      <w:r>
        <w:rPr>
          <w:rFonts w:hint="eastAsia" w:ascii="宋体" w:hAnsi="宋体"/>
        </w:rPr>
        <w:t>（10）本基金投资存托凭证的估值核算依照境内上市交易的股票执行。</w:t>
      </w:r>
    </w:p>
    <w:p w14:paraId="30AB476E">
      <w:pPr>
        <w:ind w:firstLine="480"/>
        <w:rPr>
          <w:rFonts w:ascii="宋体" w:hAnsi="宋体"/>
        </w:rPr>
      </w:pPr>
      <w:r>
        <w:rPr>
          <w:rFonts w:hint="eastAsia" w:ascii="宋体" w:hAnsi="宋体"/>
        </w:rPr>
        <w:t>（11）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29B3C00B">
      <w:pPr>
        <w:ind w:firstLine="480"/>
        <w:rPr>
          <w:rFonts w:ascii="宋体" w:hAnsi="宋体"/>
        </w:rPr>
      </w:pPr>
      <w:r>
        <w:rPr>
          <w:rFonts w:hint="eastAsia" w:ascii="宋体" w:hAnsi="宋体"/>
        </w:rPr>
        <w:t>（12）如有确凿证据表明按上述方法进行估值不能客观反映其公允价值的，基金管理人可根据具体情况与基金托管人商定后，按最能反映公允价值的价格估值。</w:t>
      </w:r>
    </w:p>
    <w:p w14:paraId="345FF693">
      <w:pPr>
        <w:ind w:firstLine="480"/>
        <w:rPr>
          <w:rFonts w:ascii="宋体" w:hAnsi="宋体"/>
        </w:rPr>
      </w:pPr>
      <w:r>
        <w:rPr>
          <w:rFonts w:hint="eastAsia" w:ascii="宋体" w:hAnsi="宋体"/>
        </w:rPr>
        <w:t>（13）当发生大额申购或赎回情形时，基金管理人可以采用摆动定价机制，以确保基金估值的公平性。</w:t>
      </w:r>
    </w:p>
    <w:p w14:paraId="6E80DFEF">
      <w:pPr>
        <w:ind w:firstLine="480"/>
        <w:rPr>
          <w:rFonts w:ascii="宋体" w:hAnsi="宋体"/>
        </w:rPr>
      </w:pPr>
      <w:r>
        <w:rPr>
          <w:rFonts w:hint="eastAsia" w:ascii="宋体" w:hAnsi="宋体"/>
        </w:rPr>
        <w:t>（14）估值计算中涉及港币对人民币汇率的，将依据下列信息提供机构所提供的汇率为基准：当日中国人民银行或其授权机构公布的人民币与港币的中间价。</w:t>
      </w:r>
    </w:p>
    <w:p w14:paraId="25A81FB9">
      <w:pPr>
        <w:ind w:firstLine="480"/>
        <w:rPr>
          <w:rFonts w:ascii="宋体" w:hAnsi="宋体"/>
        </w:rPr>
      </w:pPr>
      <w:r>
        <w:rPr>
          <w:rFonts w:hint="eastAsia" w:ascii="宋体" w:hAnsi="宋体"/>
        </w:rPr>
        <w:t>（15）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DB3F319">
      <w:pPr>
        <w:ind w:firstLine="480"/>
        <w:rPr>
          <w:rFonts w:ascii="宋体" w:hAnsi="宋体"/>
        </w:rPr>
      </w:pPr>
      <w:r>
        <w:rPr>
          <w:rFonts w:hint="eastAsia" w:ascii="宋体" w:hAnsi="宋体"/>
        </w:rPr>
        <w:t>（16）相关法律法规以及监管部门有强制规定的，从其规定。如有新增事项，按国家最新规定估值。</w:t>
      </w:r>
    </w:p>
    <w:p w14:paraId="5765F41A">
      <w:pPr>
        <w:ind w:firstLine="480"/>
        <w:rPr>
          <w:rFonts w:ascii="宋体" w:hAnsi="宋体"/>
        </w:rPr>
      </w:pPr>
      <w:r>
        <w:rPr>
          <w:rFonts w:hint="eastAsia"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14:paraId="0A6A77C9">
      <w:pPr>
        <w:ind w:firstLine="480"/>
        <w:rPr>
          <w:rFonts w:ascii="宋体" w:hAnsi="宋体"/>
        </w:rPr>
      </w:pPr>
      <w:r>
        <w:rPr>
          <w:rFonts w:hint="eastAsia" w:ascii="宋体" w:hAnsi="宋体"/>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03BA6E01">
      <w:pPr>
        <w:ind w:firstLine="480"/>
        <w:rPr>
          <w:rFonts w:ascii="宋体" w:hAnsi="宋体"/>
        </w:rPr>
      </w:pPr>
      <w:r>
        <w:rPr>
          <w:rFonts w:hint="eastAsia" w:ascii="宋体" w:hAnsi="宋体"/>
        </w:rPr>
        <w:t>（三）基金份额净值错误的处理方式</w:t>
      </w:r>
    </w:p>
    <w:p w14:paraId="5539AD2F">
      <w:pPr>
        <w:ind w:firstLine="480"/>
        <w:rPr>
          <w:rFonts w:ascii="宋体" w:hAnsi="宋体"/>
        </w:rPr>
      </w:pPr>
      <w:r>
        <w:rPr>
          <w:rFonts w:hint="eastAsia" w:ascii="宋体" w:hAnsi="宋体"/>
        </w:rPr>
        <w:t>基金管理人和基金托管人将采取必要、适当、合理的措施确保基金资产估值的准确性、及时性。当任一类基金份额净值小数点后4位以内（含第4位）发生估值错误时，视为该类基金份额净值错误。</w:t>
      </w:r>
    </w:p>
    <w:p w14:paraId="240D6DD6">
      <w:pPr>
        <w:ind w:firstLine="480"/>
        <w:rPr>
          <w:rFonts w:ascii="宋体" w:hAnsi="宋体"/>
        </w:rPr>
      </w:pPr>
      <w:r>
        <w:rPr>
          <w:rFonts w:hint="eastAsia" w:ascii="宋体" w:hAnsi="宋体"/>
        </w:rPr>
        <w:t>基金合同的当事人应按照以下约定处理：</w:t>
      </w:r>
    </w:p>
    <w:p w14:paraId="0F141623">
      <w:pPr>
        <w:ind w:firstLine="480"/>
        <w:rPr>
          <w:rFonts w:ascii="宋体" w:hAnsi="宋体"/>
        </w:rPr>
      </w:pPr>
      <w:r>
        <w:rPr>
          <w:rFonts w:hint="eastAsia" w:ascii="宋体" w:hAnsi="宋体"/>
        </w:rPr>
        <w:t>1、估值错误类型</w:t>
      </w:r>
    </w:p>
    <w:p w14:paraId="6D8142EF">
      <w:pPr>
        <w:ind w:firstLine="480"/>
        <w:rPr>
          <w:rFonts w:ascii="宋体" w:hAnsi="宋体"/>
        </w:rPr>
      </w:pPr>
      <w:r>
        <w:rPr>
          <w:rFonts w:hint="eastAsia" w:ascii="宋体" w:hAnsi="宋体"/>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00F3DB1">
      <w:pPr>
        <w:ind w:firstLine="480"/>
        <w:rPr>
          <w:rFonts w:ascii="宋体" w:hAnsi="宋体"/>
        </w:rPr>
      </w:pPr>
      <w:r>
        <w:rPr>
          <w:rFonts w:hint="eastAsia" w:ascii="宋体" w:hAnsi="宋体"/>
        </w:rPr>
        <w:t>上述估值错误的主要类型包括但不限于：资料申报差错、数据传输差错、数据计算差错、系统故障差错、下达指令差错等。</w:t>
      </w:r>
    </w:p>
    <w:p w14:paraId="04B44F92">
      <w:pPr>
        <w:ind w:firstLine="480"/>
        <w:rPr>
          <w:rFonts w:ascii="宋体" w:hAnsi="宋体"/>
        </w:rPr>
      </w:pPr>
      <w:r>
        <w:rPr>
          <w:rFonts w:hint="eastAsia" w:ascii="宋体" w:hAnsi="宋体"/>
        </w:rPr>
        <w:t>2、估值错误处理原则</w:t>
      </w:r>
    </w:p>
    <w:p w14:paraId="1AF74885">
      <w:pPr>
        <w:ind w:firstLine="480"/>
        <w:rPr>
          <w:rFonts w:ascii="宋体" w:hAnsi="宋体"/>
        </w:rPr>
      </w:pPr>
      <w:r>
        <w:rPr>
          <w:rFonts w:hint="eastAsia" w:ascii="宋体" w:hAnsi="宋体"/>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5717A1">
      <w:pPr>
        <w:ind w:firstLine="480"/>
        <w:rPr>
          <w:rFonts w:ascii="宋体" w:hAnsi="宋体"/>
        </w:rPr>
      </w:pPr>
      <w:r>
        <w:rPr>
          <w:rFonts w:hint="eastAsia" w:ascii="宋体" w:hAnsi="宋体"/>
        </w:rPr>
        <w:t>（2）估值错误的责任方对有关当事人的直接损失负责，不对间接损失负责，并且仅对估值错误的有关直接当事人负责，不对第三方负责。</w:t>
      </w:r>
    </w:p>
    <w:p w14:paraId="2A05C619">
      <w:pPr>
        <w:ind w:firstLine="480"/>
        <w:rPr>
          <w:rFonts w:ascii="宋体" w:hAnsi="宋体"/>
        </w:rPr>
      </w:pPr>
      <w:r>
        <w:rPr>
          <w:rFonts w:hint="eastAsia" w:ascii="宋体" w:hAnsi="宋体"/>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D551BE9">
      <w:pPr>
        <w:ind w:firstLine="480"/>
        <w:rPr>
          <w:rFonts w:ascii="宋体" w:hAnsi="宋体"/>
        </w:rPr>
      </w:pPr>
      <w:r>
        <w:rPr>
          <w:rFonts w:hint="eastAsia" w:ascii="宋体" w:hAnsi="宋体"/>
        </w:rPr>
        <w:t>（4）估值错误调整采用尽量恢复至假设未发生估值错误的正确情形的方式。</w:t>
      </w:r>
    </w:p>
    <w:p w14:paraId="0B555596">
      <w:pPr>
        <w:ind w:firstLine="480"/>
        <w:rPr>
          <w:rFonts w:ascii="宋体" w:hAnsi="宋体"/>
        </w:rPr>
      </w:pPr>
      <w:r>
        <w:rPr>
          <w:rFonts w:hint="eastAsia" w:ascii="宋体" w:hAnsi="宋体"/>
        </w:rPr>
        <w:t>（5）按法律法规规定的其他原则处理估值错误。</w:t>
      </w:r>
    </w:p>
    <w:p w14:paraId="6B36741A">
      <w:pPr>
        <w:ind w:firstLine="480"/>
        <w:rPr>
          <w:rFonts w:ascii="宋体" w:hAnsi="宋体"/>
        </w:rPr>
      </w:pPr>
      <w:r>
        <w:rPr>
          <w:rFonts w:hint="eastAsia" w:ascii="宋体" w:hAnsi="宋体"/>
        </w:rPr>
        <w:t>3、估值错误处理程序</w:t>
      </w:r>
    </w:p>
    <w:p w14:paraId="521A533A">
      <w:pPr>
        <w:ind w:firstLine="480"/>
        <w:rPr>
          <w:rFonts w:ascii="宋体" w:hAnsi="宋体"/>
        </w:rPr>
      </w:pPr>
      <w:r>
        <w:rPr>
          <w:rFonts w:hint="eastAsia" w:ascii="宋体" w:hAnsi="宋体"/>
        </w:rPr>
        <w:t>估值错误被发现后，有关的当事人应当及时进行处理，处理的程序如下：</w:t>
      </w:r>
    </w:p>
    <w:p w14:paraId="108D90F4">
      <w:pPr>
        <w:ind w:firstLine="480"/>
        <w:rPr>
          <w:rFonts w:ascii="宋体" w:hAnsi="宋体"/>
        </w:rPr>
      </w:pPr>
      <w:r>
        <w:rPr>
          <w:rFonts w:hint="eastAsia" w:ascii="宋体" w:hAnsi="宋体"/>
        </w:rPr>
        <w:t>（1）查明估值错误发生的原因，列明所有的当事人，并根据估值错误发生的原因确定估值错误的责任方；</w:t>
      </w:r>
    </w:p>
    <w:p w14:paraId="3C1DB62A">
      <w:pPr>
        <w:ind w:firstLine="480"/>
        <w:rPr>
          <w:rFonts w:ascii="宋体" w:hAnsi="宋体"/>
        </w:rPr>
      </w:pPr>
      <w:r>
        <w:rPr>
          <w:rFonts w:hint="eastAsia" w:ascii="宋体" w:hAnsi="宋体"/>
        </w:rPr>
        <w:t>（2）根据估值错误处理原则或当事人协商的方法对因估值错误造成的损失进行评估；</w:t>
      </w:r>
    </w:p>
    <w:p w14:paraId="252FC14D">
      <w:pPr>
        <w:ind w:firstLine="480"/>
        <w:rPr>
          <w:rFonts w:ascii="宋体" w:hAnsi="宋体"/>
        </w:rPr>
      </w:pPr>
      <w:r>
        <w:rPr>
          <w:rFonts w:hint="eastAsia" w:ascii="宋体" w:hAnsi="宋体"/>
        </w:rPr>
        <w:t>（3）根据估值错误处理原则或当事人协商的方法由估值错误的责任方进行更正和赔偿损失；</w:t>
      </w:r>
    </w:p>
    <w:p w14:paraId="122A64AC">
      <w:pPr>
        <w:ind w:firstLine="480"/>
        <w:rPr>
          <w:rFonts w:ascii="宋体" w:hAnsi="宋体"/>
        </w:rPr>
      </w:pPr>
      <w:r>
        <w:rPr>
          <w:rFonts w:hint="eastAsia" w:ascii="宋体" w:hAnsi="宋体"/>
        </w:rPr>
        <w:t>（4）根据估值错误处理的方法，需要修改基金登记机构交易数据的，由基金登记机构进行更正，并就估值错误的更正向有关当事人进行确认。</w:t>
      </w:r>
    </w:p>
    <w:p w14:paraId="182E4439">
      <w:pPr>
        <w:ind w:firstLine="480"/>
        <w:rPr>
          <w:rFonts w:ascii="宋体" w:hAnsi="宋体"/>
        </w:rPr>
      </w:pPr>
      <w:r>
        <w:rPr>
          <w:rFonts w:hint="eastAsia" w:ascii="宋体" w:hAnsi="宋体"/>
        </w:rPr>
        <w:t>4、基金份额净值估值错误处理的方法如下：</w:t>
      </w:r>
    </w:p>
    <w:p w14:paraId="76A872CE">
      <w:pPr>
        <w:ind w:firstLine="480"/>
        <w:rPr>
          <w:rFonts w:ascii="宋体" w:hAnsi="宋体"/>
        </w:rPr>
      </w:pPr>
      <w:r>
        <w:rPr>
          <w:rFonts w:hint="eastAsia" w:ascii="宋体" w:hAnsi="宋体"/>
        </w:rPr>
        <w:t>（1）任一类基金份额净值计算出现错误时，基金管理人应当立即予以纠正，通报基金托管人，并采取合理的措施防止损失进一步扩大。</w:t>
      </w:r>
    </w:p>
    <w:p w14:paraId="0927C4FC">
      <w:pPr>
        <w:ind w:firstLine="480"/>
        <w:rPr>
          <w:rFonts w:ascii="宋体" w:hAnsi="宋体"/>
        </w:rPr>
      </w:pPr>
      <w:r>
        <w:rPr>
          <w:rFonts w:hint="eastAsia" w:ascii="宋体" w:hAnsi="宋体"/>
        </w:rPr>
        <w:t>（2）错误偏差达到该类基金份额净值的0.25%时，基金管理人应当通报基金托管人并报中国证监会备案；错误偏差达到该类基金份额净值的0.5%时，基金管理人应当公告，并报中国证监会备案。</w:t>
      </w:r>
    </w:p>
    <w:p w14:paraId="05FB6A04">
      <w:pPr>
        <w:ind w:firstLine="480"/>
        <w:rPr>
          <w:rFonts w:ascii="宋体" w:hAnsi="宋体"/>
        </w:rPr>
      </w:pPr>
      <w:r>
        <w:rPr>
          <w:rFonts w:hint="eastAsia" w:ascii="宋体" w:hAnsi="宋体"/>
        </w:rPr>
        <w:t>（3）前述内容如法律法规或监管机关另有规定的，从其规定处理。</w:t>
      </w:r>
    </w:p>
    <w:p w14:paraId="3E202F59">
      <w:pPr>
        <w:ind w:firstLine="480"/>
        <w:rPr>
          <w:rFonts w:ascii="宋体" w:hAnsi="宋体"/>
        </w:rPr>
      </w:pPr>
      <w:r>
        <w:rPr>
          <w:rFonts w:hint="eastAsia" w:ascii="宋体" w:hAnsi="宋体"/>
        </w:rPr>
        <w:t>（四）暂停估值的情形</w:t>
      </w:r>
    </w:p>
    <w:p w14:paraId="2F48AD81">
      <w:pPr>
        <w:ind w:firstLine="480"/>
        <w:rPr>
          <w:rFonts w:ascii="宋体" w:hAnsi="宋体"/>
        </w:rPr>
      </w:pPr>
      <w:r>
        <w:rPr>
          <w:rFonts w:hint="eastAsia" w:ascii="宋体" w:hAnsi="宋体"/>
        </w:rPr>
        <w:t>1、基金投资所涉及的证券、期货交易市场或外汇市场遇法定节假日或因其他原因暂停营业时；</w:t>
      </w:r>
    </w:p>
    <w:p w14:paraId="179C85F5">
      <w:pPr>
        <w:ind w:firstLine="480"/>
        <w:rPr>
          <w:rFonts w:ascii="宋体" w:hAnsi="宋体"/>
        </w:rPr>
      </w:pPr>
      <w:r>
        <w:rPr>
          <w:rFonts w:hint="eastAsia" w:ascii="宋体" w:hAnsi="宋体"/>
        </w:rPr>
        <w:t>2、因不可抗力致使基金管理人、基金托管人无法准确评估基金资产价值时；</w:t>
      </w:r>
    </w:p>
    <w:p w14:paraId="023D4F61">
      <w:pPr>
        <w:ind w:firstLine="480"/>
        <w:rPr>
          <w:rFonts w:ascii="宋体" w:hAnsi="宋体"/>
        </w:rPr>
      </w:pPr>
      <w:r>
        <w:rPr>
          <w:rFonts w:hint="eastAsia" w:ascii="宋体" w:hAnsi="宋体"/>
        </w:rPr>
        <w:t>3、当特定资产占前一估值日基金资产净值50%以上的，经与基金托管人协商确认后，基金管理人应当暂停估值；</w:t>
      </w:r>
    </w:p>
    <w:p w14:paraId="63A7A9B1">
      <w:pPr>
        <w:ind w:firstLine="480"/>
        <w:rPr>
          <w:rFonts w:ascii="宋体" w:hAnsi="宋体"/>
        </w:rPr>
      </w:pPr>
      <w:r>
        <w:rPr>
          <w:rFonts w:hint="eastAsia" w:ascii="宋体" w:hAnsi="宋体"/>
        </w:rPr>
        <w:t>4、法律法规规定、中国证监会和基金合同认定的其它情形。</w:t>
      </w:r>
    </w:p>
    <w:p w14:paraId="1D79302C">
      <w:pPr>
        <w:ind w:firstLine="480"/>
        <w:rPr>
          <w:rFonts w:ascii="宋体" w:hAnsi="宋体"/>
        </w:rPr>
      </w:pPr>
      <w:r>
        <w:rPr>
          <w:rFonts w:hint="eastAsia" w:ascii="宋体" w:hAnsi="宋体"/>
        </w:rPr>
        <w:t>（五）实施侧袋机制期间的基金资产估值</w:t>
      </w:r>
    </w:p>
    <w:p w14:paraId="55FA79A3">
      <w:pPr>
        <w:ind w:firstLine="480"/>
        <w:rPr>
          <w:rFonts w:ascii="宋体" w:hAnsi="宋体"/>
        </w:rPr>
      </w:pPr>
      <w:r>
        <w:rPr>
          <w:rFonts w:hint="eastAsia" w:ascii="宋体" w:hAnsi="宋体"/>
        </w:rPr>
        <w:t>本基金实施侧袋机制的，应根据本部分的约定对主袋账户资产进行估值并披露主袋账户的基金净值信息，暂停披露侧袋账户份额净值。</w:t>
      </w:r>
    </w:p>
    <w:p w14:paraId="4DF06A3C">
      <w:pPr>
        <w:ind w:firstLine="480"/>
        <w:rPr>
          <w:rFonts w:ascii="宋体" w:hAnsi="宋体"/>
        </w:rPr>
      </w:pPr>
      <w:r>
        <w:rPr>
          <w:rFonts w:hint="eastAsia" w:ascii="宋体" w:hAnsi="宋体"/>
        </w:rPr>
        <w:t>（六）基金会计制度</w:t>
      </w:r>
    </w:p>
    <w:p w14:paraId="5CB2B4F9">
      <w:pPr>
        <w:ind w:firstLine="480"/>
        <w:rPr>
          <w:rFonts w:ascii="宋体" w:hAnsi="宋体"/>
        </w:rPr>
      </w:pPr>
      <w:r>
        <w:rPr>
          <w:rFonts w:hint="eastAsia" w:ascii="宋体" w:hAnsi="宋体"/>
        </w:rPr>
        <w:t>按国家有关部门规定的会计制度执行。</w:t>
      </w:r>
    </w:p>
    <w:p w14:paraId="355F0F67">
      <w:pPr>
        <w:ind w:firstLine="480"/>
        <w:rPr>
          <w:rFonts w:ascii="宋体" w:hAnsi="宋体"/>
        </w:rPr>
      </w:pPr>
      <w:r>
        <w:rPr>
          <w:rFonts w:hint="eastAsia" w:ascii="宋体" w:hAnsi="宋体"/>
        </w:rPr>
        <w:t>（七）基金账册的建立</w:t>
      </w:r>
    </w:p>
    <w:p w14:paraId="1F302DC3">
      <w:pPr>
        <w:ind w:firstLine="480"/>
        <w:rPr>
          <w:rFonts w:ascii="宋体" w:hAnsi="宋体"/>
        </w:rPr>
      </w:pPr>
      <w:r>
        <w:rPr>
          <w:rFonts w:hint="eastAsia" w:ascii="宋体" w:hAnsi="宋体"/>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FCAC7D6">
      <w:pPr>
        <w:ind w:firstLine="480"/>
        <w:rPr>
          <w:rFonts w:ascii="宋体" w:hAnsi="宋体"/>
        </w:rPr>
      </w:pPr>
      <w:r>
        <w:rPr>
          <w:rFonts w:hint="eastAsia" w:ascii="宋体" w:hAnsi="宋体"/>
        </w:rPr>
        <w:t>（八）基金财务报表与报告的编制和复核</w:t>
      </w:r>
    </w:p>
    <w:p w14:paraId="48BA880A">
      <w:pPr>
        <w:ind w:firstLine="480"/>
        <w:rPr>
          <w:rFonts w:ascii="宋体" w:hAnsi="宋体"/>
        </w:rPr>
      </w:pPr>
      <w:r>
        <w:rPr>
          <w:rFonts w:hint="eastAsia" w:ascii="宋体" w:hAnsi="宋体"/>
        </w:rPr>
        <w:t>1、财务报表的编制</w:t>
      </w:r>
    </w:p>
    <w:p w14:paraId="35AEE460">
      <w:pPr>
        <w:ind w:firstLine="480"/>
        <w:rPr>
          <w:rFonts w:ascii="宋体" w:hAnsi="宋体"/>
        </w:rPr>
      </w:pPr>
      <w:r>
        <w:rPr>
          <w:rFonts w:hint="eastAsia" w:ascii="宋体" w:hAnsi="宋体"/>
        </w:rPr>
        <w:t>基金财务报表由基金管理人编制，基金托管人复核。</w:t>
      </w:r>
    </w:p>
    <w:p w14:paraId="54B88122">
      <w:pPr>
        <w:ind w:firstLine="480"/>
        <w:rPr>
          <w:rFonts w:ascii="宋体" w:hAnsi="宋体"/>
        </w:rPr>
      </w:pPr>
      <w:r>
        <w:rPr>
          <w:rFonts w:hint="eastAsia" w:ascii="宋体" w:hAnsi="宋体"/>
        </w:rPr>
        <w:t>2、报表复核</w:t>
      </w:r>
    </w:p>
    <w:p w14:paraId="37841135">
      <w:pPr>
        <w:ind w:firstLine="480"/>
        <w:rPr>
          <w:rFonts w:ascii="宋体" w:hAnsi="宋体"/>
        </w:rPr>
      </w:pPr>
      <w:r>
        <w:rPr>
          <w:rFonts w:hint="eastAsia" w:ascii="宋体" w:hAnsi="宋体"/>
        </w:rPr>
        <w:t>基金托管人在收到基金管理人编制的基金财务报表后，进行独立的复核。核对不符时，应及时通知基金管理人共同查出原因，进行调整，直至双方数据完全一致。</w:t>
      </w:r>
    </w:p>
    <w:p w14:paraId="51E2AE6A">
      <w:pPr>
        <w:ind w:firstLine="480"/>
        <w:rPr>
          <w:rFonts w:ascii="宋体" w:hAnsi="宋体"/>
        </w:rPr>
      </w:pPr>
      <w:r>
        <w:rPr>
          <w:rFonts w:hint="eastAsia" w:ascii="宋体" w:hAnsi="宋体"/>
        </w:rPr>
        <w:t>3、财务报表的编制与复核时间安排</w:t>
      </w:r>
    </w:p>
    <w:p w14:paraId="283A5D5E">
      <w:pPr>
        <w:ind w:firstLine="480"/>
        <w:rPr>
          <w:rFonts w:ascii="宋体" w:hAnsi="宋体"/>
        </w:rPr>
      </w:pPr>
      <w:r>
        <w:rPr>
          <w:rFonts w:hint="eastAsia" w:ascii="宋体" w:hAnsi="宋体"/>
        </w:rPr>
        <w:t>（1）报表的编制</w:t>
      </w:r>
    </w:p>
    <w:p w14:paraId="1AF2E6C2">
      <w:pPr>
        <w:ind w:firstLine="480"/>
        <w:rPr>
          <w:rFonts w:ascii="宋体" w:hAnsi="宋体"/>
        </w:rPr>
      </w:pPr>
      <w:r>
        <w:rPr>
          <w:rFonts w:hint="eastAsia" w:ascii="宋体" w:hAnsi="宋体"/>
        </w:rPr>
        <w:t>基金管理人应当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31607085">
      <w:pPr>
        <w:ind w:firstLine="480"/>
        <w:rPr>
          <w:rFonts w:ascii="宋体" w:hAnsi="宋体"/>
        </w:rPr>
      </w:pPr>
      <w:r>
        <w:rPr>
          <w:rFonts w:hint="eastAsia" w:ascii="宋体" w:hAnsi="宋体"/>
        </w:rPr>
        <w:t xml:space="preserve">（2）报表的复核 </w:t>
      </w:r>
    </w:p>
    <w:p w14:paraId="6B446A47">
      <w:pPr>
        <w:ind w:firstLine="480"/>
        <w:rPr>
          <w:rFonts w:ascii="宋体" w:hAnsi="宋体"/>
        </w:rPr>
      </w:pPr>
      <w:r>
        <w:rPr>
          <w:rFonts w:hint="eastAsia" w:ascii="宋体" w:hAnsi="宋体"/>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80B4C7C">
      <w:pPr>
        <w:ind w:firstLine="480"/>
        <w:rPr>
          <w:rFonts w:ascii="宋体" w:hAnsi="宋体"/>
        </w:rPr>
      </w:pPr>
      <w:r>
        <w:rPr>
          <w:rFonts w:hint="eastAsia" w:ascii="宋体" w:hAnsi="宋体"/>
        </w:rPr>
        <w:t>基金管理人应留足充分的时间，便于基金托管人复核相关报表及报告。</w:t>
      </w:r>
    </w:p>
    <w:p w14:paraId="0BEBC0FC">
      <w:pPr>
        <w:ind w:firstLine="480"/>
        <w:rPr>
          <w:rFonts w:ascii="宋体" w:hAnsi="宋体"/>
        </w:rPr>
      </w:pPr>
      <w:r>
        <w:rPr>
          <w:rFonts w:hint="eastAsia" w:ascii="宋体" w:hAnsi="宋体"/>
        </w:rPr>
        <w:t>（九）基金管理人应在编制季度报告、中期报告或者年度报告之前及时向基金托管人提供基金业绩比较基准的基础数据和编制结果。</w:t>
      </w:r>
    </w:p>
    <w:p w14:paraId="14B120ED">
      <w:pPr>
        <w:ind w:firstLine="482"/>
        <w:rPr>
          <w:b/>
          <w:bCs/>
          <w:kern w:val="0"/>
        </w:rPr>
      </w:pPr>
      <w:r>
        <w:rPr>
          <w:rFonts w:hint="eastAsia"/>
          <w:b/>
          <w:bCs/>
          <w:kern w:val="0"/>
        </w:rPr>
        <w:t>六、基金份额持有人名册的保管</w:t>
      </w:r>
    </w:p>
    <w:p w14:paraId="133A9998">
      <w:pPr>
        <w:ind w:firstLine="480"/>
        <w:rPr>
          <w:rFonts w:ascii="宋体"/>
        </w:rPr>
      </w:pPr>
      <w:r>
        <w:rPr>
          <w:rFonts w:hint="eastAsia" w:ascii="宋体"/>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保存期限不低于法律法规规定的最低期限。开放式基金的管理人应定期或不定期向基金托管人提供基金份额持有人名册。如不能妥善保管，则按相关法律法规承担责任。</w:t>
      </w:r>
    </w:p>
    <w:p w14:paraId="56FE8697">
      <w:pPr>
        <w:ind w:firstLine="480"/>
        <w:rPr>
          <w:rFonts w:ascii="宋体"/>
        </w:rPr>
      </w:pPr>
      <w:r>
        <w:rPr>
          <w:rFonts w:hint="eastAsia" w:ascii="宋体"/>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4174FF70">
      <w:pPr>
        <w:ind w:firstLine="482"/>
        <w:rPr>
          <w:b/>
          <w:bCs/>
          <w:kern w:val="0"/>
        </w:rPr>
      </w:pPr>
      <w:bookmarkStart w:id="76" w:name="_Hlt112616834"/>
      <w:bookmarkEnd w:id="76"/>
      <w:r>
        <w:rPr>
          <w:rFonts w:hint="eastAsia"/>
          <w:b/>
          <w:bCs/>
          <w:kern w:val="0"/>
        </w:rPr>
        <w:t>七、争议解决方式</w:t>
      </w:r>
    </w:p>
    <w:p w14:paraId="7FE91D4E">
      <w:pPr>
        <w:ind w:firstLine="480"/>
        <w:rPr>
          <w:rFonts w:ascii="宋体"/>
        </w:rPr>
      </w:pPr>
      <w:r>
        <w:rPr>
          <w:rFonts w:hint="eastAsia" w:ascii="宋体"/>
        </w:rPr>
        <w:t>因本协议产生或与之相关的争议，如经友好协商未能解决的，均应提交上海国际经济贸易仲裁委员会，按照申请仲裁时该会届时有效的仲裁规则进行仲裁，仲裁地点为上海市。仲裁裁决是终局的，并对各方当事人具有约束力。除非仲裁裁决另有规定，仲裁费用由败诉方承担。</w:t>
      </w:r>
    </w:p>
    <w:p w14:paraId="0E57CB6F">
      <w:pPr>
        <w:ind w:firstLine="480"/>
        <w:rPr>
          <w:rFonts w:ascii="宋体"/>
        </w:rPr>
      </w:pPr>
      <w:r>
        <w:rPr>
          <w:rFonts w:hint="eastAsia" w:ascii="宋体"/>
        </w:rPr>
        <w:t>争议处理期间，基金管理人与基金托管人应恪守各自的职责，继续忠实、勤勉、尽责地履行基金合同和本托管协议规定的义务，维护基金份额持有人的合法权益。</w:t>
      </w:r>
    </w:p>
    <w:p w14:paraId="54D03716">
      <w:pPr>
        <w:ind w:firstLine="480"/>
        <w:rPr>
          <w:rFonts w:ascii="宋体"/>
        </w:rPr>
      </w:pPr>
      <w:r>
        <w:rPr>
          <w:rFonts w:hint="eastAsia" w:ascii="宋体"/>
        </w:rPr>
        <w:t>本协议受中国法律（为本协议之目的，在此不包括香港特别行政区、澳门特别行政区和台湾地区法律）管辖并从其解释。</w:t>
      </w:r>
    </w:p>
    <w:p w14:paraId="54C4121A">
      <w:pPr>
        <w:ind w:firstLine="482"/>
        <w:rPr>
          <w:b/>
          <w:bCs/>
          <w:kern w:val="0"/>
        </w:rPr>
      </w:pPr>
      <w:r>
        <w:rPr>
          <w:rFonts w:hint="eastAsia"/>
          <w:b/>
          <w:bCs/>
          <w:kern w:val="0"/>
        </w:rPr>
        <w:t>八、托管协议的变更与终止</w:t>
      </w:r>
    </w:p>
    <w:p w14:paraId="3CA2093E">
      <w:pPr>
        <w:ind w:firstLine="480"/>
      </w:pPr>
      <w:r>
        <w:rPr>
          <w:rFonts w:hint="eastAsia"/>
        </w:rPr>
        <w:t>（一）托管协议的变更程序</w:t>
      </w:r>
    </w:p>
    <w:p w14:paraId="6B7594FB">
      <w:pPr>
        <w:ind w:firstLine="480"/>
      </w:pPr>
      <w:r>
        <w:rPr>
          <w:rFonts w:hint="eastAsia"/>
        </w:rPr>
        <w:t>本协议双方当事人经协商一致，可以对协议进行修改。修改后的新协议，其</w:t>
      </w:r>
    </w:p>
    <w:p w14:paraId="091C065B">
      <w:pPr>
        <w:ind w:firstLine="480"/>
      </w:pPr>
      <w:r>
        <w:rPr>
          <w:rFonts w:hint="eastAsia"/>
        </w:rPr>
        <w:t>内容不得与基金合同的规定有任何冲突。</w:t>
      </w:r>
    </w:p>
    <w:p w14:paraId="6A3127E6">
      <w:pPr>
        <w:ind w:firstLine="480"/>
      </w:pPr>
      <w:r>
        <w:rPr>
          <w:rFonts w:hint="eastAsia"/>
        </w:rPr>
        <w:t>（二）基金托管协议终止的情形</w:t>
      </w:r>
    </w:p>
    <w:p w14:paraId="35FEAFFE">
      <w:pPr>
        <w:ind w:firstLine="480"/>
      </w:pPr>
      <w:r>
        <w:rPr>
          <w:rFonts w:hint="eastAsia"/>
        </w:rPr>
        <w:t>1、基金合同终止；</w:t>
      </w:r>
    </w:p>
    <w:p w14:paraId="7732EA9F">
      <w:pPr>
        <w:ind w:firstLine="480"/>
      </w:pPr>
      <w:r>
        <w:rPr>
          <w:rFonts w:hint="eastAsia"/>
        </w:rPr>
        <w:t>2、基金托管人解散、依法被撤销、破产或由其他基金托管人接管基金资产；</w:t>
      </w:r>
    </w:p>
    <w:p w14:paraId="3F5F0140">
      <w:pPr>
        <w:ind w:firstLine="480"/>
      </w:pPr>
      <w:r>
        <w:rPr>
          <w:rFonts w:hint="eastAsia"/>
        </w:rPr>
        <w:t>3、基金管理人解散、依法被撤销、破产或由其他基金管理人接管基金管理权；</w:t>
      </w:r>
    </w:p>
    <w:p w14:paraId="4C58B5D2">
      <w:pPr>
        <w:ind w:firstLine="480"/>
      </w:pPr>
      <w:r>
        <w:rPr>
          <w:rFonts w:hint="eastAsia"/>
        </w:rPr>
        <w:t>4、发生法律法规或基金合同规定的终止事项。</w:t>
      </w:r>
    </w:p>
    <w:bookmarkEnd w:id="73"/>
    <w:p w14:paraId="28E8133E">
      <w:pPr>
        <w:widowControl/>
        <w:spacing w:line="240" w:lineRule="auto"/>
        <w:ind w:firstLine="0" w:firstLineChars="0"/>
        <w:jc w:val="left"/>
        <w:rPr>
          <w:rFonts w:ascii="宋体"/>
          <w:b/>
          <w:kern w:val="44"/>
          <w:sz w:val="32"/>
          <w:szCs w:val="20"/>
        </w:rPr>
      </w:pPr>
      <w:r>
        <w:rPr>
          <w:rFonts w:ascii="宋体"/>
        </w:rPr>
        <w:br w:type="page"/>
      </w:r>
    </w:p>
    <w:bookmarkEnd w:id="74"/>
    <w:p w14:paraId="23E91067">
      <w:pPr>
        <w:pStyle w:val="2"/>
        <w:spacing w:before="312" w:after="312"/>
      </w:pPr>
      <w:bookmarkStart w:id="77" w:name="_Toc218004092"/>
      <w:r>
        <w:rPr>
          <w:rFonts w:hint="eastAsia"/>
        </w:rPr>
        <w:t>第二十一部分</w:t>
      </w:r>
      <w:r>
        <w:t xml:space="preserve">  </w:t>
      </w:r>
      <w:r>
        <w:rPr>
          <w:rFonts w:hint="eastAsia"/>
        </w:rPr>
        <w:t>对基金份额持有人的服务</w:t>
      </w:r>
      <w:bookmarkEnd w:id="77"/>
    </w:p>
    <w:bookmarkEnd w:id="75"/>
    <w:p w14:paraId="7B51118E">
      <w:pPr>
        <w:ind w:firstLine="480"/>
      </w:pPr>
      <w:r>
        <w:rPr>
          <w:rFonts w:hint="eastAsia"/>
        </w:rPr>
        <w:t>基金管理人承诺为基金份额持有人提供一系列的服务。基金管理人将根据基金份额持有人的需要和市场的变化，增加或变更服务项目。主要服务内容如下：</w:t>
      </w:r>
    </w:p>
    <w:p w14:paraId="3520E668">
      <w:pPr>
        <w:ind w:firstLine="482"/>
        <w:rPr>
          <w:b/>
          <w:bCs/>
        </w:rPr>
      </w:pPr>
      <w:r>
        <w:rPr>
          <w:rFonts w:hint="eastAsia"/>
          <w:b/>
          <w:bCs/>
        </w:rPr>
        <w:t>一、</w:t>
      </w:r>
      <w:r>
        <w:rPr>
          <w:b/>
        </w:rPr>
        <w:t>基金份额持有人交易资料服务</w:t>
      </w:r>
    </w:p>
    <w:p w14:paraId="69D81AB2">
      <w:pPr>
        <w:ind w:firstLine="480"/>
      </w:pPr>
      <w:r>
        <w:rPr>
          <w:rFonts w:hint="eastAsia"/>
        </w:rPr>
        <w:t>投资者在交易申请被受理的</w:t>
      </w:r>
      <w:r>
        <w:t>2</w:t>
      </w:r>
      <w:r>
        <w:rPr>
          <w:rFonts w:hint="eastAsia"/>
        </w:rPr>
        <w:t>个工作日后，可通过销售网点查询和打印交易确认单。基金管理人将根据持有人账单订制情况，向账单期内发生交易或账单期末仍持有本公司基金份额的基金份额持有人定期或不定期发送对账单。具体业务规则详见基金管理人网站公告或相关说明。</w:t>
      </w:r>
    </w:p>
    <w:p w14:paraId="1B61A9C5">
      <w:pPr>
        <w:tabs>
          <w:tab w:val="left" w:pos="3332"/>
        </w:tabs>
        <w:ind w:firstLine="482"/>
        <w:rPr>
          <w:b/>
          <w:bCs/>
        </w:rPr>
      </w:pPr>
      <w:r>
        <w:rPr>
          <w:rFonts w:hint="eastAsia"/>
          <w:b/>
          <w:bCs/>
        </w:rPr>
        <w:t>二、网上交易、查询服务</w:t>
      </w:r>
    </w:p>
    <w:p w14:paraId="1E80ED9F">
      <w:pPr>
        <w:ind w:firstLine="480"/>
      </w:pPr>
      <w:r>
        <w:rPr>
          <w:rFonts w:hint="eastAsia"/>
        </w:rPr>
        <w:t>投资者除可通过基金管理人的直销网点和代销机构的代销网点办理申购、赎回等交易以及账户查询外，还可通过基金管理人的网站（www.fullgoal.com.cn）微信服务号(搜索“富国基金微管家”或“FullgoalWeFund”)、或客户端“富国富钱包”APP享受网上交易、查询服务。具体业务规则详见基金管理人网站公告或相关说明。</w:t>
      </w:r>
    </w:p>
    <w:p w14:paraId="73A7A1D5">
      <w:pPr>
        <w:ind w:firstLine="482"/>
        <w:rPr>
          <w:b/>
          <w:bCs/>
        </w:rPr>
      </w:pPr>
      <w:r>
        <w:rPr>
          <w:rFonts w:hint="eastAsia"/>
          <w:b/>
          <w:bCs/>
        </w:rPr>
        <w:t>三、信息定制及资讯服务</w:t>
      </w:r>
    </w:p>
    <w:p w14:paraId="251310E2">
      <w:pPr>
        <w:ind w:firstLine="480"/>
      </w:pPr>
      <w:r>
        <w:rPr>
          <w:rFonts w:hint="eastAsia"/>
        </w:rPr>
        <w:t>投资者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7774CA41">
      <w:pPr>
        <w:ind w:firstLine="482"/>
        <w:rPr>
          <w:b/>
          <w:bCs/>
        </w:rPr>
      </w:pPr>
      <w:r>
        <w:rPr>
          <w:rFonts w:hint="eastAsia"/>
          <w:b/>
          <w:bCs/>
        </w:rPr>
        <w:t>四、网络在线服务</w:t>
      </w:r>
    </w:p>
    <w:p w14:paraId="417705E3">
      <w:pPr>
        <w:ind w:firstLine="480"/>
      </w:pPr>
      <w:r>
        <w:rPr>
          <w:rFonts w:hint="eastAsia"/>
        </w:rPr>
        <w:t>投资者可通过基金管理人网站、微信</w:t>
      </w:r>
      <w:r>
        <w:t>服务</w:t>
      </w:r>
      <w:r>
        <w:rPr>
          <w:rFonts w:hint="eastAsia"/>
        </w:rPr>
        <w:t>号或客户端获得投资咨询、业务咨询、信息查询、信息定制、服务投诉及建议等多项在线服务。</w:t>
      </w:r>
    </w:p>
    <w:p w14:paraId="34443138">
      <w:pPr>
        <w:ind w:firstLine="482"/>
        <w:rPr>
          <w:b/>
          <w:bCs/>
        </w:rPr>
      </w:pPr>
      <w:r>
        <w:rPr>
          <w:rFonts w:hint="eastAsia"/>
          <w:b/>
          <w:bCs/>
        </w:rPr>
        <w:t>五、客户服务中心电话服务</w:t>
      </w:r>
    </w:p>
    <w:p w14:paraId="5FEB83D8">
      <w:pPr>
        <w:ind w:firstLine="480"/>
      </w:pPr>
      <w:r>
        <w:rPr>
          <w:rFonts w:hint="eastAsia"/>
        </w:rPr>
        <w:t>客户服务中心自动语音系统提供7×24小时基金净值信息、账户交易情况、基金产品与服务等信息查询。</w:t>
      </w:r>
    </w:p>
    <w:p w14:paraId="4C95BA9D">
      <w:pPr>
        <w:ind w:firstLine="480"/>
      </w:pPr>
      <w:r>
        <w:rPr>
          <w:rFonts w:hint="eastAsia"/>
        </w:rPr>
        <w:t>客户服务中心人工坐席提供每周5天、每天不少于8小时的座席服务，投资者可以通过该热线获得业务咨询、信息查询、服务投诉、信息定制、资料修改等专项服务，节假日除外。</w:t>
      </w:r>
    </w:p>
    <w:p w14:paraId="1BD05706">
      <w:pPr>
        <w:ind w:firstLine="482"/>
        <w:rPr>
          <w:b/>
        </w:rPr>
      </w:pPr>
      <w:r>
        <w:rPr>
          <w:rFonts w:hint="eastAsia"/>
          <w:b/>
        </w:rPr>
        <w:t>六、客户投诉受理服务</w:t>
      </w:r>
    </w:p>
    <w:p w14:paraId="4A09F822">
      <w:pPr>
        <w:ind w:firstLine="480"/>
      </w:pPr>
      <w:r>
        <w:rPr>
          <w:rFonts w:hint="eastAsia"/>
        </w:rPr>
        <w:t>投资者可以通过各销售机构网点柜台、基金管理人网站投诉栏目、客户服务中心人工热线、在线客服、微客服、书信、电子邮件、短信、传真等多渠道对基金管理人和销售网点所提供的服务以及公司的政策规定提出投诉或意见。</w:t>
      </w:r>
    </w:p>
    <w:p w14:paraId="4FB1903C">
      <w:pPr>
        <w:ind w:firstLine="482"/>
        <w:rPr>
          <w:b/>
        </w:rPr>
      </w:pPr>
      <w:r>
        <w:rPr>
          <w:rFonts w:hint="eastAsia"/>
          <w:b/>
        </w:rPr>
        <w:t>七、基金管理人个人信息保护政策</w:t>
      </w:r>
    </w:p>
    <w:p w14:paraId="36D9C255">
      <w:pPr>
        <w:ind w:firstLine="480"/>
      </w:pPr>
      <w:r>
        <w:rPr>
          <w:rFonts w:hint="eastAsia"/>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微信</w:t>
      </w:r>
      <w:r>
        <w:t>服务</w:t>
      </w:r>
      <w:r>
        <w:rPr>
          <w:rFonts w:hint="eastAsia"/>
        </w:rPr>
        <w:t>号(搜索“富国基金微管家”或“FullgoalWeFund”)、客户端“富国富钱包”APP查看《富国基金个人信息保护政策》，了解基金管理人处理个人信息的规则。</w:t>
      </w:r>
    </w:p>
    <w:p w14:paraId="13423A9C">
      <w:pPr>
        <w:ind w:firstLine="482"/>
        <w:rPr>
          <w:b/>
        </w:rPr>
      </w:pPr>
      <w:r>
        <w:rPr>
          <w:rFonts w:hint="eastAsia"/>
          <w:b/>
        </w:rPr>
        <w:t>八、基金管理人客户服务联络方式</w:t>
      </w:r>
    </w:p>
    <w:p w14:paraId="3AEA1641">
      <w:pPr>
        <w:ind w:firstLine="480"/>
      </w:pPr>
      <w:r>
        <w:rPr>
          <w:rFonts w:hint="eastAsia"/>
        </w:rPr>
        <w:t>客户服务热线：95105686，4008880688（全国统一，免长途话费），工作时间内可转人工坐席。</w:t>
      </w:r>
    </w:p>
    <w:p w14:paraId="7FB435A9">
      <w:pPr>
        <w:ind w:firstLine="480"/>
      </w:pPr>
      <w:r>
        <w:rPr>
          <w:rFonts w:hint="eastAsia"/>
        </w:rPr>
        <w:t>客户服务传真：021-20513277</w:t>
      </w:r>
    </w:p>
    <w:p w14:paraId="3DC1779A">
      <w:pPr>
        <w:ind w:firstLine="480"/>
      </w:pPr>
      <w:r>
        <w:rPr>
          <w:rFonts w:hint="eastAsia"/>
        </w:rPr>
        <w:t>公司网址：http://www.fullgoal.com.cn</w:t>
      </w:r>
    </w:p>
    <w:p w14:paraId="67AE3A09">
      <w:pPr>
        <w:ind w:firstLine="480"/>
      </w:pPr>
      <w:r>
        <w:rPr>
          <w:rFonts w:hint="eastAsia"/>
        </w:rPr>
        <w:t>电子信箱：public@fullgoal.com.cn</w:t>
      </w:r>
    </w:p>
    <w:p w14:paraId="7E98A1A0">
      <w:pPr>
        <w:ind w:firstLine="480"/>
      </w:pPr>
      <w:r>
        <w:rPr>
          <w:rFonts w:hint="eastAsia"/>
        </w:rPr>
        <w:t>客服中心地址：中国（上海）自由贸易试验区世纪大道1196号世纪汇办公楼二座27层</w:t>
      </w:r>
    </w:p>
    <w:p w14:paraId="3035AFD8">
      <w:pPr>
        <w:ind w:firstLine="482"/>
        <w:rPr>
          <w:b/>
          <w:bCs/>
        </w:rPr>
      </w:pPr>
      <w:r>
        <w:rPr>
          <w:rFonts w:hint="eastAsia"/>
          <w:b/>
        </w:rPr>
        <w:t>九、如本招募说明书存在任何您/贵机构无法理解的内容，请联系基金管理人客户服务中心热线，或通过电子邮件、传真、信件等方式联系基金管理人。请确保投资前，您/贵机构已经全面理解了本招募说明书。</w:t>
      </w:r>
    </w:p>
    <w:p w14:paraId="5AA92EDC">
      <w:pPr>
        <w:pStyle w:val="2"/>
        <w:spacing w:before="312" w:after="312"/>
        <w:rPr>
          <w:kern w:val="0"/>
        </w:rPr>
      </w:pPr>
      <w:r>
        <w:rPr>
          <w:kern w:val="0"/>
          <w:sz w:val="24"/>
        </w:rPr>
        <w:br w:type="page"/>
      </w:r>
      <w:bookmarkStart w:id="78" w:name="_Toc218004093"/>
      <w:r>
        <w:rPr>
          <w:rFonts w:hint="eastAsia"/>
          <w:kern w:val="0"/>
        </w:rPr>
        <w:t>第二十二部分</w:t>
      </w:r>
      <w:r>
        <w:rPr>
          <w:kern w:val="0"/>
        </w:rPr>
        <w:t xml:space="preserve">  </w:t>
      </w:r>
      <w:r>
        <w:rPr>
          <w:rFonts w:hint="eastAsia"/>
          <w:kern w:val="0"/>
        </w:rPr>
        <w:t>招募说明书的存放及查阅方式</w:t>
      </w:r>
      <w:bookmarkEnd w:id="78"/>
    </w:p>
    <w:p w14:paraId="3D402DCC">
      <w:pPr>
        <w:ind w:firstLine="480"/>
      </w:pPr>
      <w:r>
        <w:rPr>
          <w:rFonts w:hint="eastAsia"/>
        </w:rPr>
        <w:t>招募说明书公布后，应当分别置备于</w:t>
      </w:r>
      <w:r>
        <w:t>基金管理人、基金托管人</w:t>
      </w:r>
      <w:r>
        <w:rPr>
          <w:bCs/>
        </w:rPr>
        <w:t>和基金销售机构的住所</w:t>
      </w:r>
      <w:r>
        <w:rPr>
          <w:rFonts w:hint="eastAsia"/>
        </w:rPr>
        <w:t>，供公众查阅、复制。投资者在支付工本费后，可在合理时间内取得上述文件的复制件或复印件</w:t>
      </w:r>
      <w:r>
        <w:t>，但应以基金备查文件正本为准</w:t>
      </w:r>
      <w:r>
        <w:rPr>
          <w:rFonts w:hint="eastAsia"/>
        </w:rPr>
        <w:t>。</w:t>
      </w:r>
    </w:p>
    <w:p w14:paraId="089B98B7">
      <w:pPr>
        <w:widowControl/>
        <w:ind w:firstLine="480"/>
        <w:rPr>
          <w:kern w:val="0"/>
        </w:rPr>
      </w:pPr>
      <w:r>
        <w:rPr>
          <w:rFonts w:hint="eastAsia"/>
        </w:rPr>
        <w:t>基金管理人和基金托管人保证文本的内容与公告的内容完全一致。</w:t>
      </w:r>
    </w:p>
    <w:p w14:paraId="30D88236">
      <w:pPr>
        <w:widowControl/>
        <w:ind w:firstLine="480"/>
        <w:rPr>
          <w:kern w:val="0"/>
        </w:rPr>
      </w:pPr>
    </w:p>
    <w:p w14:paraId="3B20B98C">
      <w:pPr>
        <w:spacing w:before="312" w:after="312"/>
        <w:ind w:firstLine="480"/>
      </w:pPr>
      <w:r>
        <w:br w:type="page"/>
      </w:r>
    </w:p>
    <w:p w14:paraId="780BFF1F">
      <w:pPr>
        <w:pStyle w:val="2"/>
        <w:spacing w:before="312" w:after="312"/>
        <w:rPr>
          <w:kern w:val="0"/>
        </w:rPr>
        <w:sectPr>
          <w:footerReference r:id="rId12" w:type="default"/>
          <w:pgSz w:w="11906" w:h="16838"/>
          <w:pgMar w:top="1440" w:right="1826" w:bottom="1440" w:left="1622" w:header="851" w:footer="992" w:gutter="0"/>
          <w:cols w:space="425" w:num="1"/>
          <w:docGrid w:type="lines" w:linePitch="312" w:charSpace="0"/>
        </w:sectPr>
      </w:pPr>
    </w:p>
    <w:p w14:paraId="6C38BBDD">
      <w:pPr>
        <w:pStyle w:val="2"/>
        <w:spacing w:before="312" w:after="312"/>
        <w:rPr>
          <w:kern w:val="0"/>
        </w:rPr>
      </w:pPr>
      <w:bookmarkStart w:id="79" w:name="_Toc218004094"/>
      <w:r>
        <w:rPr>
          <w:rFonts w:hint="eastAsia"/>
          <w:kern w:val="0"/>
        </w:rPr>
        <w:t>第二十三部分</w:t>
      </w:r>
      <w:r>
        <w:rPr>
          <w:kern w:val="0"/>
        </w:rPr>
        <w:t xml:space="preserve">  </w:t>
      </w:r>
      <w:r>
        <w:rPr>
          <w:rFonts w:hint="eastAsia"/>
          <w:kern w:val="0"/>
        </w:rPr>
        <w:t>备查文件</w:t>
      </w:r>
      <w:bookmarkEnd w:id="79"/>
    </w:p>
    <w:p w14:paraId="13C9F880">
      <w:pPr>
        <w:widowControl/>
        <w:ind w:firstLine="480"/>
        <w:rPr>
          <w:kern w:val="0"/>
        </w:rPr>
      </w:pPr>
      <w:r>
        <w:rPr>
          <w:rFonts w:hint="eastAsia"/>
          <w:kern w:val="0"/>
        </w:rPr>
        <w:t>以下备查文件存放在基金管理人、基金托管人的办公场所，在办公时间可供免费查阅。</w:t>
      </w:r>
    </w:p>
    <w:p w14:paraId="08280BD3">
      <w:pPr>
        <w:widowControl/>
        <w:ind w:firstLine="480"/>
        <w:rPr>
          <w:kern w:val="0"/>
        </w:rPr>
      </w:pPr>
      <w:r>
        <w:rPr>
          <w:kern w:val="0"/>
        </w:rPr>
        <w:t>（一）</w:t>
      </w:r>
      <w:r>
        <w:t>中国证监会准予</w:t>
      </w:r>
      <w:r>
        <w:rPr>
          <w:rFonts w:hint="eastAsia"/>
        </w:rPr>
        <w:t>富国嘉汇债券型证券投资基金</w:t>
      </w:r>
      <w:r>
        <w:t>募集</w:t>
      </w:r>
      <w:r>
        <w:rPr>
          <w:rFonts w:hint="eastAsia"/>
        </w:rPr>
        <w:t>注册</w:t>
      </w:r>
      <w:r>
        <w:t>的文件</w:t>
      </w:r>
    </w:p>
    <w:p w14:paraId="3BE3FBB0">
      <w:pPr>
        <w:widowControl/>
        <w:ind w:firstLine="480"/>
        <w:rPr>
          <w:kern w:val="0"/>
        </w:rPr>
      </w:pPr>
      <w:r>
        <w:rPr>
          <w:kern w:val="0"/>
        </w:rPr>
        <w:t>（二）《</w:t>
      </w:r>
      <w:r>
        <w:rPr>
          <w:rFonts w:hint="eastAsia"/>
          <w:kern w:val="0"/>
        </w:rPr>
        <w:t>富国嘉汇债券型证券投资基金</w:t>
      </w:r>
      <w:r>
        <w:rPr>
          <w:kern w:val="0"/>
        </w:rPr>
        <w:t>基金合同》</w:t>
      </w:r>
    </w:p>
    <w:p w14:paraId="7694A715">
      <w:pPr>
        <w:widowControl/>
        <w:ind w:firstLine="480"/>
        <w:rPr>
          <w:kern w:val="0"/>
        </w:rPr>
      </w:pPr>
      <w:r>
        <w:rPr>
          <w:rFonts w:hint="eastAsia"/>
          <w:kern w:val="0"/>
        </w:rPr>
        <w:t>（三）《富国嘉汇债券型证券投资基金</w:t>
      </w:r>
      <w:r>
        <w:rPr>
          <w:kern w:val="0"/>
        </w:rPr>
        <w:t>托管协议》</w:t>
      </w:r>
    </w:p>
    <w:p w14:paraId="256B8B6D">
      <w:pPr>
        <w:widowControl/>
        <w:ind w:firstLine="480"/>
        <w:rPr>
          <w:kern w:val="0"/>
        </w:rPr>
      </w:pPr>
      <w:r>
        <w:rPr>
          <w:rFonts w:hint="eastAsia"/>
          <w:kern w:val="0"/>
        </w:rPr>
        <w:t>（四）</w:t>
      </w:r>
      <w:r>
        <w:rPr>
          <w:kern w:val="0"/>
        </w:rPr>
        <w:t>基金管理人业务资格批件、营业执照</w:t>
      </w:r>
    </w:p>
    <w:p w14:paraId="1236CFD1">
      <w:pPr>
        <w:widowControl/>
        <w:ind w:firstLine="480"/>
        <w:rPr>
          <w:kern w:val="0"/>
        </w:rPr>
      </w:pPr>
      <w:r>
        <w:rPr>
          <w:kern w:val="0"/>
        </w:rPr>
        <w:t>（五）基金托管人业务资格批件、营业执照</w:t>
      </w:r>
    </w:p>
    <w:p w14:paraId="74E3063E">
      <w:pPr>
        <w:widowControl/>
        <w:ind w:firstLine="480"/>
      </w:pPr>
      <w:r>
        <w:rPr>
          <w:kern w:val="0"/>
        </w:rPr>
        <w:t>（六）关于申请募集注册</w:t>
      </w:r>
      <w:r>
        <w:rPr>
          <w:rFonts w:hint="eastAsia"/>
          <w:kern w:val="0"/>
        </w:rPr>
        <w:t>富国嘉汇债券型证券投资基金的法律意见</w:t>
      </w:r>
    </w:p>
    <w:p w14:paraId="07C49709">
      <w:pPr>
        <w:tabs>
          <w:tab w:val="left" w:pos="1501"/>
        </w:tabs>
        <w:ind w:firstLine="480"/>
      </w:pPr>
      <w:r>
        <w:rPr>
          <w:rFonts w:hint="eastAsia"/>
        </w:rPr>
        <w:t>（七）中国证监会要求的其他文件</w:t>
      </w:r>
    </w:p>
    <w:p w14:paraId="02B6A651">
      <w:pPr>
        <w:widowControl/>
        <w:ind w:firstLine="480"/>
        <w:rPr>
          <w:kern w:val="0"/>
        </w:rPr>
      </w:pPr>
    </w:p>
    <w:p w14:paraId="291133F2">
      <w:pPr>
        <w:ind w:firstLine="5280" w:firstLineChars="2200"/>
        <w:jc w:val="right"/>
      </w:pPr>
      <w:r>
        <w:t>富国基金管理有限公司</w:t>
      </w:r>
    </w:p>
    <w:p w14:paraId="7E9E94DB">
      <w:pPr>
        <w:wordWrap w:val="0"/>
        <w:ind w:firstLine="480"/>
        <w:jc w:val="right"/>
      </w:pPr>
      <w:r>
        <w:rPr>
          <w:rFonts w:hint="eastAsia"/>
        </w:rPr>
        <w:t>20</w:t>
      </w:r>
      <w:r>
        <w:t>25</w:t>
      </w:r>
      <w:r>
        <w:rPr>
          <w:rFonts w:hint="eastAsia"/>
        </w:rPr>
        <w:t>年</w:t>
      </w:r>
      <w:r>
        <w:t>12</w:t>
      </w:r>
      <w:r>
        <w:rPr>
          <w:rFonts w:hint="eastAsia"/>
        </w:rPr>
        <w:t>月</w:t>
      </w:r>
      <w:r>
        <w:t>31</w:t>
      </w:r>
      <w:r>
        <w:rPr>
          <w:rFonts w:hint="eastAsia"/>
        </w:rPr>
        <w:t>日</w:t>
      </w:r>
    </w:p>
    <w:p w14:paraId="3B2A64B9">
      <w:pPr>
        <w:ind w:firstLine="480"/>
      </w:pPr>
    </w:p>
    <w:p w14:paraId="65CD1A01">
      <w:pPr>
        <w:ind w:firstLine="480"/>
      </w:pPr>
    </w:p>
    <w:p w14:paraId="3C13E87F">
      <w:pPr>
        <w:ind w:firstLine="480"/>
      </w:pPr>
    </w:p>
    <w:p w14:paraId="279EF1A7">
      <w:pPr>
        <w:ind w:firstLine="480"/>
      </w:pPr>
    </w:p>
    <w:p w14:paraId="3B0D6282">
      <w:pPr>
        <w:ind w:firstLine="480"/>
      </w:pPr>
    </w:p>
    <w:p w14:paraId="1CAB4C2A">
      <w:pPr>
        <w:ind w:firstLine="480"/>
      </w:pPr>
    </w:p>
    <w:p w14:paraId="41E7F4B6">
      <w:pPr>
        <w:ind w:firstLine="480"/>
      </w:pPr>
    </w:p>
    <w:p w14:paraId="59EA97C2">
      <w:pPr>
        <w:ind w:firstLine="480"/>
      </w:pPr>
    </w:p>
    <w:p w14:paraId="2C29A009">
      <w:pPr>
        <w:ind w:firstLine="480"/>
      </w:pPr>
    </w:p>
    <w:p w14:paraId="6E3739F6">
      <w:pPr>
        <w:ind w:firstLine="480"/>
      </w:pPr>
    </w:p>
    <w:p w14:paraId="184296FD">
      <w:pPr>
        <w:ind w:firstLine="480"/>
      </w:pPr>
    </w:p>
    <w:p w14:paraId="4FC1CF95">
      <w:pPr>
        <w:ind w:firstLine="480"/>
      </w:pPr>
    </w:p>
    <w:p w14:paraId="716AC346">
      <w:pPr>
        <w:ind w:firstLine="480"/>
      </w:pPr>
    </w:p>
    <w:p w14:paraId="26CEAF12">
      <w:pPr>
        <w:ind w:firstLine="0" w:firstLineChars="0"/>
      </w:pPr>
    </w:p>
    <w:sectPr>
      <w:headerReference r:id="rId13" w:type="default"/>
      <w:pgSz w:w="11906" w:h="16838"/>
      <w:pgMar w:top="1021" w:right="1474" w:bottom="102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五">
    <w:altName w:val="黑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6001">
    <w:pPr>
      <w:pStyle w:val="30"/>
      <w:ind w:firstLine="360"/>
      <w:jc w:val="center"/>
    </w:pPr>
  </w:p>
  <w:p w14:paraId="0D2A1086">
    <w:pPr>
      <w:pStyle w:val="30"/>
      <w:ind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15CF">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F354">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525548"/>
      <w:docPartObj>
        <w:docPartGallery w:val="autotext"/>
      </w:docPartObj>
    </w:sdtPr>
    <w:sdtContent>
      <w:p w14:paraId="2593D8A0">
        <w:pPr>
          <w:pStyle w:val="30"/>
          <w:ind w:firstLine="360"/>
          <w:jc w:val="center"/>
        </w:pPr>
        <w:r>
          <w:fldChar w:fldCharType="begin"/>
        </w:r>
        <w:r>
          <w:instrText xml:space="preserve">PAGE   \* MERGEFORMAT</w:instrText>
        </w:r>
        <w:r>
          <w:fldChar w:fldCharType="separate"/>
        </w:r>
        <w:r>
          <w:rPr>
            <w:lang w:val="zh-CN"/>
          </w:rPr>
          <w:t>17</w:t>
        </w:r>
        <w:r>
          <w:fldChar w:fldCharType="end"/>
        </w:r>
      </w:p>
    </w:sdtContent>
  </w:sdt>
  <w:p w14:paraId="1CC04611">
    <w:pPr>
      <w:pStyle w:val="30"/>
      <w:ind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747202"/>
      <w:docPartObj>
        <w:docPartGallery w:val="autotext"/>
      </w:docPartObj>
    </w:sdtPr>
    <w:sdtContent>
      <w:p w14:paraId="6C8A5C5B">
        <w:pPr>
          <w:pStyle w:val="30"/>
          <w:ind w:firstLine="360"/>
          <w:jc w:val="center"/>
        </w:pPr>
        <w:r>
          <w:fldChar w:fldCharType="begin"/>
        </w:r>
        <w:r>
          <w:instrText xml:space="preserve">PAGE   \* MERGEFORMAT</w:instrText>
        </w:r>
        <w:r>
          <w:fldChar w:fldCharType="separate"/>
        </w:r>
        <w:r>
          <w:rPr>
            <w:lang w:val="zh-CN"/>
          </w:rPr>
          <w:t>146</w:t>
        </w:r>
        <w:r>
          <w:fldChar w:fldCharType="end"/>
        </w:r>
      </w:p>
    </w:sdtContent>
  </w:sdt>
  <w:p w14:paraId="08A7883A">
    <w:pPr>
      <w:pStyle w:val="3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7311">
    <w:pPr>
      <w:pStyle w:val="31"/>
      <w:spacing w:line="240" w:lineRule="auto"/>
      <w:ind w:firstLine="0" w:firstLineChars="0"/>
      <w:jc w:val="left"/>
      <w:rPr>
        <w:rFonts w:ascii="华文行楷" w:eastAsia="华文行楷"/>
      </w:rPr>
    </w:pPr>
    <w:r>
      <w:rPr>
        <w:rFonts w:hint="eastAsia"/>
      </w:rPr>
      <w:t xml:space="preserve">富国嘉汇债券型证券投资基金         </w:t>
    </w:r>
    <w:r>
      <w:t xml:space="preserve">       </w:t>
    </w:r>
    <w:r>
      <w:rPr>
        <w:rFonts w:hint="eastAsia"/>
      </w:rPr>
      <w:t xml:space="preserve">                </w:t>
    </w:r>
    <w:r>
      <w:t xml:space="preserve">                         </w:t>
    </w:r>
    <w:r>
      <w:rPr>
        <w:rFonts w:hint="eastAsia"/>
      </w:rPr>
      <w:t>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2D88">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CB7A">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8E75">
    <w:pPr>
      <w:spacing w:line="240" w:lineRule="auto"/>
      <w:ind w:left="482" w:firstLine="0" w:firstLineChars="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60"/>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9852BB9"/>
    <w:multiLevelType w:val="multilevel"/>
    <w:tmpl w:val="19852BB9"/>
    <w:lvl w:ilvl="0" w:tentative="0">
      <w:start w:val="3"/>
      <w:numFmt w:val="chineseCounting"/>
      <w:suff w:val="nothing"/>
      <w:lvlText w:val="%1、"/>
      <w:lvlJc w:val="left"/>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2CA61A10"/>
    <w:multiLevelType w:val="multilevel"/>
    <w:tmpl w:val="2CA61A10"/>
    <w:lvl w:ilvl="0" w:tentative="0">
      <w:start w:val="1"/>
      <w:numFmt w:val="chineseCountingThousand"/>
      <w:lvlText w:val="第%1章"/>
      <w:lvlJc w:val="left"/>
      <w:pPr>
        <w:tabs>
          <w:tab w:val="left" w:pos="1182"/>
        </w:tabs>
        <w:ind w:left="527" w:hanging="425"/>
      </w:pPr>
      <w:rPr>
        <w:rFonts w:hint="eastAsia"/>
        <w:b/>
        <w:i w:val="0"/>
        <w:sz w:val="30"/>
      </w:rPr>
    </w:lvl>
    <w:lvl w:ilvl="1" w:tentative="0">
      <w:start w:val="1"/>
      <w:numFmt w:val="chineseCountingThousand"/>
      <w:pStyle w:val="3"/>
      <w:lvlText w:val="%2、"/>
      <w:lvlJc w:val="left"/>
      <w:pPr>
        <w:tabs>
          <w:tab w:val="left" w:pos="2434"/>
        </w:tabs>
        <w:ind w:left="2434" w:hanging="454"/>
      </w:pPr>
      <w:rPr>
        <w:rFonts w:hint="eastAsia"/>
        <w:b/>
        <w:i w:val="0"/>
        <w:sz w:val="24"/>
      </w:rPr>
    </w:lvl>
    <w:lvl w:ilvl="2" w:tentative="0">
      <w:start w:val="1"/>
      <w:numFmt w:val="decimal"/>
      <w:pStyle w:val="5"/>
      <w:lvlText w:val="%3. "/>
      <w:lvlJc w:val="left"/>
      <w:pPr>
        <w:tabs>
          <w:tab w:val="left" w:pos="475"/>
        </w:tabs>
        <w:ind w:left="102" w:firstLine="13"/>
      </w:pPr>
      <w:rPr>
        <w:rFonts w:hint="eastAsia"/>
        <w:sz w:val="24"/>
      </w:rPr>
    </w:lvl>
    <w:lvl w:ilvl="3" w:tentative="0">
      <w:start w:val="1"/>
      <w:numFmt w:val="decimal"/>
      <w:lvlText w:val="（%4）"/>
      <w:lvlJc w:val="left"/>
      <w:pPr>
        <w:tabs>
          <w:tab w:val="left" w:pos="720"/>
        </w:tabs>
        <w:ind w:left="57" w:hanging="57"/>
      </w:pPr>
      <w:rPr>
        <w:rFonts w:hint="eastAsia"/>
        <w:sz w:val="24"/>
      </w:rPr>
    </w:lvl>
    <w:lvl w:ilvl="4" w:tentative="0">
      <w:start w:val="1"/>
      <w:numFmt w:val="upperLetter"/>
      <w:pStyle w:val="7"/>
      <w:lvlText w:val="%5."/>
      <w:lvlJc w:val="left"/>
      <w:pPr>
        <w:tabs>
          <w:tab w:val="left" w:pos="462"/>
        </w:tabs>
        <w:ind w:left="102" w:firstLine="0"/>
      </w:pPr>
      <w:rPr>
        <w:rFonts w:hint="eastAsia"/>
        <w:sz w:val="24"/>
      </w:rPr>
    </w:lvl>
    <w:lvl w:ilvl="5" w:tentative="0">
      <w:start w:val="1"/>
      <w:numFmt w:val="lowerLetter"/>
      <w:pStyle w:val="8"/>
      <w:lvlText w:val="%6."/>
      <w:lvlJc w:val="left"/>
      <w:pPr>
        <w:tabs>
          <w:tab w:val="left" w:pos="462"/>
        </w:tabs>
        <w:ind w:left="102" w:firstLine="0"/>
      </w:pPr>
      <w:rPr>
        <w:rFonts w:hint="eastAsia"/>
        <w:sz w:val="24"/>
      </w:rPr>
    </w:lvl>
    <w:lvl w:ilvl="6" w:tentative="0">
      <w:start w:val="1"/>
      <w:numFmt w:val="none"/>
      <w:lvlText w:val=""/>
      <w:lvlJc w:val="left"/>
      <w:pPr>
        <w:tabs>
          <w:tab w:val="left" w:pos="3929"/>
        </w:tabs>
        <w:ind w:left="3929" w:hanging="1276"/>
      </w:pPr>
      <w:rPr>
        <w:rFonts w:hint="eastAsia"/>
      </w:rPr>
    </w:lvl>
    <w:lvl w:ilvl="7" w:tentative="0">
      <w:start w:val="1"/>
      <w:numFmt w:val="none"/>
      <w:lvlText w:val=""/>
      <w:lvlJc w:val="left"/>
      <w:pPr>
        <w:tabs>
          <w:tab w:val="left" w:pos="4496"/>
        </w:tabs>
        <w:ind w:left="4496" w:hanging="1418"/>
      </w:pPr>
      <w:rPr>
        <w:rFonts w:hint="eastAsia"/>
      </w:rPr>
    </w:lvl>
    <w:lvl w:ilvl="8" w:tentative="0">
      <w:start w:val="1"/>
      <w:numFmt w:val="none"/>
      <w:lvlText w:val=""/>
      <w:lvlJc w:val="left"/>
      <w:pPr>
        <w:tabs>
          <w:tab w:val="left" w:pos="5204"/>
        </w:tabs>
        <w:ind w:left="5204" w:hanging="1700"/>
      </w:pPr>
      <w:rPr>
        <w:rFonts w:hint="eastAsia"/>
      </w:rPr>
    </w:lvl>
  </w:abstractNum>
  <w:abstractNum w:abstractNumId="3">
    <w:nsid w:val="3549643A"/>
    <w:multiLevelType w:val="multilevel"/>
    <w:tmpl w:val="3549643A"/>
    <w:lvl w:ilvl="0" w:tentative="0">
      <w:start w:val="1"/>
      <w:numFmt w:val="decimal"/>
      <w:pStyle w:val="6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48DC602A"/>
    <w:multiLevelType w:val="multilevel"/>
    <w:tmpl w:val="48DC602A"/>
    <w:lvl w:ilvl="0" w:tentative="0">
      <w:start w:val="1"/>
      <w:numFmt w:val="none"/>
      <w:suff w:val="nothing"/>
      <w:lvlText w:val=""/>
      <w:lvlJc w:val="left"/>
      <w:pPr>
        <w:ind w:left="0" w:firstLine="0"/>
      </w:pPr>
      <w:rPr>
        <w:rFonts w:hint="eastAsia" w:ascii="楷体_GB2312" w:eastAsia="@楷体_GB2312"/>
        <w:b/>
        <w:i w:val="0"/>
        <w:sz w:val="30"/>
      </w:rPr>
    </w:lvl>
    <w:lvl w:ilvl="1" w:tentative="0">
      <w:start w:val="1"/>
      <w:numFmt w:val="chineseCountingThousand"/>
      <w:suff w:val="nothing"/>
      <w:lvlText w:val="第%2章"/>
      <w:lvlJc w:val="left"/>
      <w:pPr>
        <w:ind w:left="0" w:firstLine="0"/>
      </w:pPr>
      <w:rPr>
        <w:rFonts w:hint="eastAsia" w:ascii="楷体_GB2312" w:eastAsia="@楷体_GB2312"/>
        <w:b/>
        <w:i w:val="0"/>
        <w:sz w:val="30"/>
      </w:rPr>
    </w:lvl>
    <w:lvl w:ilvl="2" w:tentative="0">
      <w:start w:val="1"/>
      <w:numFmt w:val="chineseCountingThousand"/>
      <w:suff w:val="nothing"/>
      <w:lvlText w:val="%3、"/>
      <w:lvlJc w:val="left"/>
      <w:pPr>
        <w:ind w:left="0" w:firstLine="0"/>
      </w:pPr>
      <w:rPr>
        <w:rFonts w:hint="eastAsia" w:ascii="楷体_GB2312" w:eastAsia="@楷体_GB2312"/>
        <w:b w:val="0"/>
        <w:i w:val="0"/>
        <w:sz w:val="28"/>
      </w:rPr>
    </w:lvl>
    <w:lvl w:ilvl="3" w:tentative="0">
      <w:start w:val="1"/>
      <w:numFmt w:val="chineseCountingThousand"/>
      <w:pStyle w:val="55"/>
      <w:suff w:val="nothing"/>
      <w:lvlText w:val="（%4）"/>
      <w:lvlJc w:val="left"/>
      <w:pPr>
        <w:ind w:left="0" w:firstLine="0"/>
      </w:pPr>
      <w:rPr>
        <w:rFonts w:hint="eastAsia" w:ascii="楷体_GB2312" w:eastAsia="@楷体_GB2312"/>
        <w:b w:val="0"/>
        <w:i w:val="0"/>
        <w:sz w:val="24"/>
      </w:rPr>
    </w:lvl>
    <w:lvl w:ilvl="4" w:tentative="0">
      <w:start w:val="1"/>
      <w:numFmt w:val="decimal"/>
      <w:suff w:val="nothing"/>
      <w:lvlText w:val="%5、"/>
      <w:lvlJc w:val="left"/>
      <w:pPr>
        <w:ind w:left="0" w:firstLine="0"/>
      </w:pPr>
      <w:rPr>
        <w:rFonts w:hint="default" w:ascii="Times New Roman" w:hAnsi="Times New Roman"/>
        <w:b w:val="0"/>
        <w:i w:val="0"/>
        <w:sz w:val="24"/>
      </w:rPr>
    </w:lvl>
    <w:lvl w:ilvl="5" w:tentative="0">
      <w:start w:val="1"/>
      <w:numFmt w:val="decimal"/>
      <w:suff w:val="nothing"/>
      <w:lvlText w:val="（%6）"/>
      <w:lvlJc w:val="left"/>
      <w:pPr>
        <w:ind w:left="0" w:firstLine="0"/>
      </w:pPr>
      <w:rPr>
        <w:rFonts w:hint="default" w:ascii="Times New Roman" w:hAnsi="Times New Roman"/>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FE147B6"/>
    <w:multiLevelType w:val="singleLevel"/>
    <w:tmpl w:val="6FE147B6"/>
    <w:lvl w:ilvl="0" w:tentative="0">
      <w:start w:val="1"/>
      <w:numFmt w:val="decimal"/>
      <w:pStyle w:val="58"/>
      <w:lvlText w:val="(%1)"/>
      <w:lvlJc w:val="left"/>
      <w:pPr>
        <w:tabs>
          <w:tab w:val="left" w:pos="360"/>
        </w:tabs>
        <w:ind w:left="0" w:firstLine="0"/>
      </w:pPr>
      <w:rPr>
        <w:rFonts w:hint="eastAsia"/>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FF"/>
    <w:rsid w:val="000026C6"/>
    <w:rsid w:val="00004045"/>
    <w:rsid w:val="00007DBF"/>
    <w:rsid w:val="0001339F"/>
    <w:rsid w:val="00016F23"/>
    <w:rsid w:val="0003123F"/>
    <w:rsid w:val="00031889"/>
    <w:rsid w:val="00040C81"/>
    <w:rsid w:val="00041120"/>
    <w:rsid w:val="00053886"/>
    <w:rsid w:val="00056A28"/>
    <w:rsid w:val="00063008"/>
    <w:rsid w:val="00063FE9"/>
    <w:rsid w:val="000664C2"/>
    <w:rsid w:val="00074829"/>
    <w:rsid w:val="000A0046"/>
    <w:rsid w:val="000A0BA8"/>
    <w:rsid w:val="000A31DE"/>
    <w:rsid w:val="000A7837"/>
    <w:rsid w:val="000B7B9C"/>
    <w:rsid w:val="000C695D"/>
    <w:rsid w:val="000D6639"/>
    <w:rsid w:val="000E4503"/>
    <w:rsid w:val="000E5CEF"/>
    <w:rsid w:val="000E7FE6"/>
    <w:rsid w:val="001018A4"/>
    <w:rsid w:val="00112400"/>
    <w:rsid w:val="00112C35"/>
    <w:rsid w:val="00114790"/>
    <w:rsid w:val="001218FE"/>
    <w:rsid w:val="00135789"/>
    <w:rsid w:val="00137BB7"/>
    <w:rsid w:val="0014037A"/>
    <w:rsid w:val="0014271B"/>
    <w:rsid w:val="00151613"/>
    <w:rsid w:val="00157EA1"/>
    <w:rsid w:val="00160299"/>
    <w:rsid w:val="001660F0"/>
    <w:rsid w:val="0017205D"/>
    <w:rsid w:val="00190CB4"/>
    <w:rsid w:val="00191CAF"/>
    <w:rsid w:val="001A322F"/>
    <w:rsid w:val="001C307D"/>
    <w:rsid w:val="001C64F8"/>
    <w:rsid w:val="001D1E6E"/>
    <w:rsid w:val="001D5A09"/>
    <w:rsid w:val="00205C13"/>
    <w:rsid w:val="002210C6"/>
    <w:rsid w:val="00244BCC"/>
    <w:rsid w:val="00255EF9"/>
    <w:rsid w:val="002576BB"/>
    <w:rsid w:val="0028267F"/>
    <w:rsid w:val="00290A75"/>
    <w:rsid w:val="002A1089"/>
    <w:rsid w:val="002A19B5"/>
    <w:rsid w:val="002A426E"/>
    <w:rsid w:val="002D5032"/>
    <w:rsid w:val="002E32DA"/>
    <w:rsid w:val="002E5E68"/>
    <w:rsid w:val="002E6A80"/>
    <w:rsid w:val="002F0FA6"/>
    <w:rsid w:val="002F5D70"/>
    <w:rsid w:val="002F78E1"/>
    <w:rsid w:val="00306AE1"/>
    <w:rsid w:val="00321218"/>
    <w:rsid w:val="003319D8"/>
    <w:rsid w:val="0033619D"/>
    <w:rsid w:val="003902BC"/>
    <w:rsid w:val="003A7E49"/>
    <w:rsid w:val="003B0C7F"/>
    <w:rsid w:val="003B7C32"/>
    <w:rsid w:val="003C6678"/>
    <w:rsid w:val="003D4C1F"/>
    <w:rsid w:val="003D547C"/>
    <w:rsid w:val="003E0986"/>
    <w:rsid w:val="003E0AC0"/>
    <w:rsid w:val="003F678F"/>
    <w:rsid w:val="004005B9"/>
    <w:rsid w:val="0040140C"/>
    <w:rsid w:val="00403438"/>
    <w:rsid w:val="00403514"/>
    <w:rsid w:val="0042150A"/>
    <w:rsid w:val="00442666"/>
    <w:rsid w:val="00447F86"/>
    <w:rsid w:val="00451759"/>
    <w:rsid w:val="00451C7C"/>
    <w:rsid w:val="00457EB5"/>
    <w:rsid w:val="004654B7"/>
    <w:rsid w:val="00484E37"/>
    <w:rsid w:val="00490975"/>
    <w:rsid w:val="004A5AB5"/>
    <w:rsid w:val="004A5E5D"/>
    <w:rsid w:val="004B44A6"/>
    <w:rsid w:val="004B6F8C"/>
    <w:rsid w:val="004C3473"/>
    <w:rsid w:val="004D5DE6"/>
    <w:rsid w:val="004F0DEE"/>
    <w:rsid w:val="00516BFF"/>
    <w:rsid w:val="00526E2E"/>
    <w:rsid w:val="00535BD2"/>
    <w:rsid w:val="00543C81"/>
    <w:rsid w:val="005445F1"/>
    <w:rsid w:val="00544EB3"/>
    <w:rsid w:val="00564CC1"/>
    <w:rsid w:val="005807C1"/>
    <w:rsid w:val="005879EF"/>
    <w:rsid w:val="00587E53"/>
    <w:rsid w:val="005A20F6"/>
    <w:rsid w:val="005A43CC"/>
    <w:rsid w:val="005C1460"/>
    <w:rsid w:val="005D2F2C"/>
    <w:rsid w:val="005E30AC"/>
    <w:rsid w:val="005F2194"/>
    <w:rsid w:val="005F2CA5"/>
    <w:rsid w:val="005F2CEF"/>
    <w:rsid w:val="006107E2"/>
    <w:rsid w:val="00611F71"/>
    <w:rsid w:val="00630E65"/>
    <w:rsid w:val="00661B7B"/>
    <w:rsid w:val="006641AE"/>
    <w:rsid w:val="006716A7"/>
    <w:rsid w:val="0067271B"/>
    <w:rsid w:val="00695506"/>
    <w:rsid w:val="006A5A33"/>
    <w:rsid w:val="006A7041"/>
    <w:rsid w:val="006A79B1"/>
    <w:rsid w:val="006B4C8E"/>
    <w:rsid w:val="006C1C44"/>
    <w:rsid w:val="006C1D3D"/>
    <w:rsid w:val="006F3CC6"/>
    <w:rsid w:val="00702FA7"/>
    <w:rsid w:val="00707190"/>
    <w:rsid w:val="00714205"/>
    <w:rsid w:val="00717A66"/>
    <w:rsid w:val="00717AE9"/>
    <w:rsid w:val="007257DE"/>
    <w:rsid w:val="00727230"/>
    <w:rsid w:val="00734063"/>
    <w:rsid w:val="00734FFA"/>
    <w:rsid w:val="007365F2"/>
    <w:rsid w:val="00742943"/>
    <w:rsid w:val="00752AB2"/>
    <w:rsid w:val="00763543"/>
    <w:rsid w:val="007654B0"/>
    <w:rsid w:val="00770CD8"/>
    <w:rsid w:val="007805B2"/>
    <w:rsid w:val="00781A3D"/>
    <w:rsid w:val="007B008F"/>
    <w:rsid w:val="007B3E09"/>
    <w:rsid w:val="007B577C"/>
    <w:rsid w:val="007D1483"/>
    <w:rsid w:val="007D2567"/>
    <w:rsid w:val="007D2A1B"/>
    <w:rsid w:val="007D2E9D"/>
    <w:rsid w:val="007D3E17"/>
    <w:rsid w:val="007E0F30"/>
    <w:rsid w:val="007F6A8F"/>
    <w:rsid w:val="00800310"/>
    <w:rsid w:val="008012B7"/>
    <w:rsid w:val="008018E5"/>
    <w:rsid w:val="00807E3B"/>
    <w:rsid w:val="008329FA"/>
    <w:rsid w:val="008400AD"/>
    <w:rsid w:val="00850345"/>
    <w:rsid w:val="008510C8"/>
    <w:rsid w:val="00873B98"/>
    <w:rsid w:val="00880713"/>
    <w:rsid w:val="00881001"/>
    <w:rsid w:val="00894BD8"/>
    <w:rsid w:val="008A7739"/>
    <w:rsid w:val="008B0AD8"/>
    <w:rsid w:val="008C57A9"/>
    <w:rsid w:val="008C5DD5"/>
    <w:rsid w:val="008C668D"/>
    <w:rsid w:val="008D0CEA"/>
    <w:rsid w:val="008D48A5"/>
    <w:rsid w:val="008E1599"/>
    <w:rsid w:val="00904AC3"/>
    <w:rsid w:val="009209D7"/>
    <w:rsid w:val="0092311D"/>
    <w:rsid w:val="0092511C"/>
    <w:rsid w:val="009326FF"/>
    <w:rsid w:val="009453B3"/>
    <w:rsid w:val="0095303D"/>
    <w:rsid w:val="00953957"/>
    <w:rsid w:val="009635A0"/>
    <w:rsid w:val="009667DC"/>
    <w:rsid w:val="00970E51"/>
    <w:rsid w:val="0098042A"/>
    <w:rsid w:val="00985365"/>
    <w:rsid w:val="009868F3"/>
    <w:rsid w:val="0099729D"/>
    <w:rsid w:val="00997958"/>
    <w:rsid w:val="009A3C80"/>
    <w:rsid w:val="009A7FF4"/>
    <w:rsid w:val="009B2D9A"/>
    <w:rsid w:val="009B574B"/>
    <w:rsid w:val="009F0BFF"/>
    <w:rsid w:val="009F5DD0"/>
    <w:rsid w:val="00A14719"/>
    <w:rsid w:val="00A15B6E"/>
    <w:rsid w:val="00A25CB3"/>
    <w:rsid w:val="00A47014"/>
    <w:rsid w:val="00A4782B"/>
    <w:rsid w:val="00A538EA"/>
    <w:rsid w:val="00A54803"/>
    <w:rsid w:val="00A712A7"/>
    <w:rsid w:val="00AB3B05"/>
    <w:rsid w:val="00AB58C0"/>
    <w:rsid w:val="00AC1787"/>
    <w:rsid w:val="00AC7342"/>
    <w:rsid w:val="00AD2CC5"/>
    <w:rsid w:val="00AD5E1A"/>
    <w:rsid w:val="00B04F61"/>
    <w:rsid w:val="00B06404"/>
    <w:rsid w:val="00B152EC"/>
    <w:rsid w:val="00B27703"/>
    <w:rsid w:val="00B32EE8"/>
    <w:rsid w:val="00B40361"/>
    <w:rsid w:val="00B43A38"/>
    <w:rsid w:val="00B64CAE"/>
    <w:rsid w:val="00B71E1D"/>
    <w:rsid w:val="00B81693"/>
    <w:rsid w:val="00B819A5"/>
    <w:rsid w:val="00B90C84"/>
    <w:rsid w:val="00B95671"/>
    <w:rsid w:val="00B95834"/>
    <w:rsid w:val="00BA131B"/>
    <w:rsid w:val="00BE00FA"/>
    <w:rsid w:val="00BE158C"/>
    <w:rsid w:val="00C015F6"/>
    <w:rsid w:val="00C02AE9"/>
    <w:rsid w:val="00C15AEC"/>
    <w:rsid w:val="00C30565"/>
    <w:rsid w:val="00C319CA"/>
    <w:rsid w:val="00C33B4E"/>
    <w:rsid w:val="00C361CF"/>
    <w:rsid w:val="00C45573"/>
    <w:rsid w:val="00C50604"/>
    <w:rsid w:val="00C61F65"/>
    <w:rsid w:val="00C663B3"/>
    <w:rsid w:val="00C66ECB"/>
    <w:rsid w:val="00C714EB"/>
    <w:rsid w:val="00C807DD"/>
    <w:rsid w:val="00C87894"/>
    <w:rsid w:val="00CA27BF"/>
    <w:rsid w:val="00CA5FF7"/>
    <w:rsid w:val="00CB2BC1"/>
    <w:rsid w:val="00CB4888"/>
    <w:rsid w:val="00CC1E1B"/>
    <w:rsid w:val="00CD2833"/>
    <w:rsid w:val="00CF0040"/>
    <w:rsid w:val="00CF73B9"/>
    <w:rsid w:val="00D13F18"/>
    <w:rsid w:val="00D20828"/>
    <w:rsid w:val="00D40B2B"/>
    <w:rsid w:val="00D42986"/>
    <w:rsid w:val="00D42EDD"/>
    <w:rsid w:val="00D44608"/>
    <w:rsid w:val="00D447CB"/>
    <w:rsid w:val="00D44B78"/>
    <w:rsid w:val="00D54B2A"/>
    <w:rsid w:val="00D62251"/>
    <w:rsid w:val="00D74FF0"/>
    <w:rsid w:val="00D9493B"/>
    <w:rsid w:val="00D97DCB"/>
    <w:rsid w:val="00DA657C"/>
    <w:rsid w:val="00DB23A4"/>
    <w:rsid w:val="00DD0A1D"/>
    <w:rsid w:val="00DD469F"/>
    <w:rsid w:val="00DF4C7B"/>
    <w:rsid w:val="00E0137F"/>
    <w:rsid w:val="00E25E2F"/>
    <w:rsid w:val="00E26F8A"/>
    <w:rsid w:val="00E334BB"/>
    <w:rsid w:val="00E453A9"/>
    <w:rsid w:val="00E46093"/>
    <w:rsid w:val="00E47B9F"/>
    <w:rsid w:val="00E53290"/>
    <w:rsid w:val="00E75BB4"/>
    <w:rsid w:val="00E9699F"/>
    <w:rsid w:val="00EA1E15"/>
    <w:rsid w:val="00EB79DE"/>
    <w:rsid w:val="00EC0961"/>
    <w:rsid w:val="00EC1CAE"/>
    <w:rsid w:val="00EC66F4"/>
    <w:rsid w:val="00EE22CE"/>
    <w:rsid w:val="00EE5275"/>
    <w:rsid w:val="00EF063F"/>
    <w:rsid w:val="00EF5EE1"/>
    <w:rsid w:val="00EF620C"/>
    <w:rsid w:val="00F02D22"/>
    <w:rsid w:val="00F03D7E"/>
    <w:rsid w:val="00F234C4"/>
    <w:rsid w:val="00F270D8"/>
    <w:rsid w:val="00F27AE0"/>
    <w:rsid w:val="00F33ECA"/>
    <w:rsid w:val="00F5563F"/>
    <w:rsid w:val="00F625E2"/>
    <w:rsid w:val="00F72372"/>
    <w:rsid w:val="00FA124E"/>
    <w:rsid w:val="00FB26B1"/>
    <w:rsid w:val="00FD1F93"/>
    <w:rsid w:val="00FD22FF"/>
    <w:rsid w:val="00FD5362"/>
    <w:rsid w:val="00FF4DF8"/>
    <w:rsid w:val="019B6B2F"/>
    <w:rsid w:val="03340AC7"/>
    <w:rsid w:val="045C7BB8"/>
    <w:rsid w:val="05715BAA"/>
    <w:rsid w:val="0BEA486E"/>
    <w:rsid w:val="0F306B9C"/>
    <w:rsid w:val="114B6CC3"/>
    <w:rsid w:val="12CD1ABC"/>
    <w:rsid w:val="12F26322"/>
    <w:rsid w:val="13530945"/>
    <w:rsid w:val="16F12BFC"/>
    <w:rsid w:val="176048E7"/>
    <w:rsid w:val="1932711D"/>
    <w:rsid w:val="1AFE1C6E"/>
    <w:rsid w:val="1C7E6307"/>
    <w:rsid w:val="1EB3776D"/>
    <w:rsid w:val="22E41AB5"/>
    <w:rsid w:val="295E5B6D"/>
    <w:rsid w:val="2D8A285E"/>
    <w:rsid w:val="2D990460"/>
    <w:rsid w:val="2EE67E99"/>
    <w:rsid w:val="307C3A1B"/>
    <w:rsid w:val="31B43718"/>
    <w:rsid w:val="33616C57"/>
    <w:rsid w:val="34217095"/>
    <w:rsid w:val="350C4714"/>
    <w:rsid w:val="35CF58BD"/>
    <w:rsid w:val="36366D1C"/>
    <w:rsid w:val="3B3742B4"/>
    <w:rsid w:val="3D315DDA"/>
    <w:rsid w:val="3F58057C"/>
    <w:rsid w:val="413B3F95"/>
    <w:rsid w:val="41EA2E34"/>
    <w:rsid w:val="436854A3"/>
    <w:rsid w:val="452B420A"/>
    <w:rsid w:val="456674E7"/>
    <w:rsid w:val="458B6F25"/>
    <w:rsid w:val="472033C0"/>
    <w:rsid w:val="473E4B6F"/>
    <w:rsid w:val="4F027299"/>
    <w:rsid w:val="526712BE"/>
    <w:rsid w:val="52C9005E"/>
    <w:rsid w:val="55C022BA"/>
    <w:rsid w:val="5AC36B75"/>
    <w:rsid w:val="5B925F49"/>
    <w:rsid w:val="5E021DB5"/>
    <w:rsid w:val="5FD15044"/>
    <w:rsid w:val="673832E7"/>
    <w:rsid w:val="68CF6880"/>
    <w:rsid w:val="6B8F4205"/>
    <w:rsid w:val="6BDA0E02"/>
    <w:rsid w:val="6C53260B"/>
    <w:rsid w:val="6E337CDC"/>
    <w:rsid w:val="70BD7386"/>
    <w:rsid w:val="70F96386"/>
    <w:rsid w:val="7248490E"/>
    <w:rsid w:val="73D47918"/>
    <w:rsid w:val="746229FF"/>
    <w:rsid w:val="750E0AAB"/>
    <w:rsid w:val="775E3FE5"/>
    <w:rsid w:val="77830A14"/>
    <w:rsid w:val="785A6E3C"/>
    <w:rsid w:val="79121A2E"/>
    <w:rsid w:val="79D637B6"/>
    <w:rsid w:val="7A9E4A38"/>
    <w:rsid w:val="7C463AEF"/>
    <w:rsid w:val="7F397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59" w:semiHidden="0" w:name="Table Grid"/>
    <w:lsdException w:uiPriority="0" w:name="Table Theme"/>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Lines="100" w:afterLines="100"/>
      <w:ind w:firstLine="0" w:firstLineChars="0"/>
      <w:jc w:val="center"/>
      <w:outlineLvl w:val="0"/>
    </w:pPr>
    <w:rPr>
      <w:b/>
      <w:kern w:val="44"/>
      <w:sz w:val="32"/>
      <w:szCs w:val="20"/>
    </w:rPr>
  </w:style>
  <w:style w:type="paragraph" w:styleId="3">
    <w:name w:val="heading 2"/>
    <w:basedOn w:val="1"/>
    <w:next w:val="4"/>
    <w:qFormat/>
    <w:uiPriority w:val="9"/>
    <w:pPr>
      <w:keepNext/>
      <w:keepLines/>
      <w:numPr>
        <w:ilvl w:val="1"/>
        <w:numId w:val="1"/>
      </w:numPr>
      <w:spacing w:beforeLines="100" w:afterLines="100"/>
      <w:outlineLvl w:val="1"/>
    </w:pPr>
    <w:rPr>
      <w:rFonts w:cs="Arial"/>
      <w:b/>
      <w:szCs w:val="20"/>
    </w:rPr>
  </w:style>
  <w:style w:type="paragraph" w:styleId="5">
    <w:name w:val="heading 3"/>
    <w:basedOn w:val="1"/>
    <w:next w:val="4"/>
    <w:qFormat/>
    <w:uiPriority w:val="0"/>
    <w:pPr>
      <w:keepNext/>
      <w:keepLines/>
      <w:numPr>
        <w:ilvl w:val="2"/>
        <w:numId w:val="1"/>
      </w:numPr>
      <w:spacing w:beforeLines="50" w:afterLines="50"/>
      <w:outlineLvl w:val="2"/>
    </w:pPr>
    <w:rPr>
      <w:rFonts w:cs="Arial"/>
      <w:b/>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numPr>
        <w:ilvl w:val="4"/>
        <w:numId w:val="1"/>
      </w:numPr>
      <w:spacing w:before="100" w:beforeAutospacing="1" w:after="100" w:afterAutospacing="1"/>
      <w:outlineLvl w:val="4"/>
    </w:pPr>
    <w:rPr>
      <w:rFonts w:cs="Arial"/>
      <w:b/>
      <w:szCs w:val="20"/>
    </w:rPr>
  </w:style>
  <w:style w:type="paragraph" w:styleId="8">
    <w:name w:val="heading 6"/>
    <w:basedOn w:val="1"/>
    <w:next w:val="4"/>
    <w:uiPriority w:val="0"/>
    <w:pPr>
      <w:keepNext/>
      <w:keepLines/>
      <w:numPr>
        <w:ilvl w:val="5"/>
        <w:numId w:val="1"/>
      </w:numPr>
      <w:spacing w:before="100" w:beforeAutospacing="1" w:after="100" w:afterAutospacing="1"/>
      <w:outlineLvl w:val="5"/>
    </w:pPr>
    <w:rPr>
      <w:rFonts w:cs="Arial"/>
      <w:b/>
      <w:szCs w:val="20"/>
    </w:rPr>
  </w:style>
  <w:style w:type="paragraph" w:styleId="9">
    <w:name w:val="heading 7"/>
    <w:basedOn w:val="1"/>
    <w:next w:val="1"/>
    <w:qFormat/>
    <w:uiPriority w:val="0"/>
    <w:pPr>
      <w:keepNext/>
      <w:keepLines/>
      <w:spacing w:before="240" w:after="64" w:line="320" w:lineRule="auto"/>
      <w:outlineLvl w:val="6"/>
    </w:pPr>
    <w:rPr>
      <w:b/>
      <w:szCs w:val="20"/>
    </w:rPr>
  </w:style>
  <w:style w:type="paragraph" w:styleId="10">
    <w:name w:val="heading 8"/>
    <w:basedOn w:val="1"/>
    <w:next w:val="1"/>
    <w:uiPriority w:val="0"/>
    <w:pPr>
      <w:keepNext/>
      <w:keepLines/>
      <w:spacing w:before="240" w:after="64" w:line="320" w:lineRule="auto"/>
      <w:outlineLvl w:val="7"/>
    </w:pPr>
    <w:rPr>
      <w:rFonts w:ascii="Arial" w:hAnsi="Arial" w:eastAsia="黑体"/>
      <w:szCs w:val="20"/>
    </w:rPr>
  </w:style>
  <w:style w:type="paragraph" w:styleId="11">
    <w:name w:val="heading 9"/>
    <w:basedOn w:val="1"/>
    <w:next w:val="1"/>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12">
    <w:name w:val="List Number 2"/>
    <w:basedOn w:val="1"/>
    <w:uiPriority w:val="0"/>
    <w:pPr>
      <w:tabs>
        <w:tab w:val="left" w:pos="780"/>
      </w:tabs>
      <w:ind w:left="780" w:leftChars="200" w:hanging="360" w:hangingChars="200"/>
    </w:pPr>
    <w:rPr>
      <w:szCs w:val="20"/>
    </w:rPr>
  </w:style>
  <w:style w:type="paragraph" w:styleId="13">
    <w:name w:val="List Bullet 4"/>
    <w:basedOn w:val="1"/>
    <w:autoRedefine/>
    <w:uiPriority w:val="0"/>
    <w:pPr>
      <w:tabs>
        <w:tab w:val="left" w:pos="1620"/>
      </w:tabs>
      <w:ind w:left="1620" w:leftChars="600" w:hanging="360" w:hangingChars="200"/>
    </w:pPr>
    <w:rPr>
      <w:szCs w:val="20"/>
    </w:rPr>
  </w:style>
  <w:style w:type="paragraph" w:styleId="14">
    <w:name w:val="List Number"/>
    <w:basedOn w:val="1"/>
    <w:qFormat/>
    <w:uiPriority w:val="0"/>
    <w:pPr>
      <w:tabs>
        <w:tab w:val="left" w:pos="360"/>
      </w:tabs>
      <w:ind w:left="360" w:hanging="360" w:hangingChars="200"/>
    </w:pPr>
    <w:rPr>
      <w:szCs w:val="20"/>
    </w:rPr>
  </w:style>
  <w:style w:type="paragraph" w:styleId="15">
    <w:name w:val="List Bullet"/>
    <w:basedOn w:val="1"/>
    <w:autoRedefine/>
    <w:uiPriority w:val="0"/>
    <w:pPr>
      <w:tabs>
        <w:tab w:val="left" w:pos="360"/>
      </w:tabs>
      <w:ind w:left="360" w:hanging="360" w:hangingChars="200"/>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62"/>
    <w:qFormat/>
    <w:uiPriority w:val="0"/>
    <w:pPr>
      <w:jc w:val="left"/>
    </w:pPr>
    <w:rPr>
      <w:sz w:val="21"/>
    </w:rPr>
  </w:style>
  <w:style w:type="paragraph" w:styleId="18">
    <w:name w:val="Body Text 3"/>
    <w:basedOn w:val="1"/>
    <w:uiPriority w:val="0"/>
    <w:rPr>
      <w:rFonts w:ascii="仿宋_GB2312" w:hAnsi="Arial" w:eastAsia="仿宋_GB2312"/>
    </w:rPr>
  </w:style>
  <w:style w:type="paragraph" w:styleId="19">
    <w:name w:val="List Bullet 3"/>
    <w:basedOn w:val="1"/>
    <w:autoRedefine/>
    <w:uiPriority w:val="0"/>
    <w:pPr>
      <w:tabs>
        <w:tab w:val="left" w:pos="1200"/>
      </w:tabs>
      <w:ind w:left="1200" w:leftChars="400" w:hanging="360" w:hangingChars="200"/>
    </w:pPr>
    <w:rPr>
      <w:szCs w:val="20"/>
    </w:rPr>
  </w:style>
  <w:style w:type="paragraph" w:styleId="20">
    <w:name w:val="Body Text"/>
    <w:basedOn w:val="1"/>
    <w:link w:val="51"/>
    <w:uiPriority w:val="0"/>
    <w:pPr>
      <w:spacing w:after="120"/>
    </w:pPr>
    <w:rPr>
      <w:sz w:val="21"/>
    </w:rPr>
  </w:style>
  <w:style w:type="paragraph" w:styleId="21">
    <w:name w:val="Body Text Indent"/>
    <w:basedOn w:val="1"/>
    <w:uiPriority w:val="0"/>
    <w:pPr>
      <w:widowControl/>
      <w:ind w:right="-178" w:rightChars="-85" w:firstLine="360" w:firstLineChars="150"/>
      <w:jc w:val="left"/>
    </w:pPr>
    <w:rPr>
      <w:rFonts w:ascii="宋体" w:hAnsi="宋体"/>
    </w:rPr>
  </w:style>
  <w:style w:type="paragraph" w:styleId="22">
    <w:name w:val="List Number 3"/>
    <w:basedOn w:val="1"/>
    <w:uiPriority w:val="0"/>
    <w:pPr>
      <w:tabs>
        <w:tab w:val="left" w:pos="1200"/>
      </w:tabs>
      <w:ind w:left="1200" w:leftChars="400" w:hanging="360" w:hangingChars="200"/>
    </w:pPr>
    <w:rPr>
      <w:szCs w:val="20"/>
    </w:rPr>
  </w:style>
  <w:style w:type="paragraph" w:styleId="23">
    <w:name w:val="List Bullet 2"/>
    <w:basedOn w:val="1"/>
    <w:autoRedefine/>
    <w:uiPriority w:val="0"/>
    <w:pPr>
      <w:tabs>
        <w:tab w:val="left" w:pos="780"/>
      </w:tabs>
      <w:ind w:left="780" w:leftChars="200" w:hanging="360" w:hangingChars="200"/>
    </w:pPr>
    <w:rPr>
      <w:szCs w:val="20"/>
    </w:rPr>
  </w:style>
  <w:style w:type="paragraph" w:styleId="24">
    <w:name w:val="Plain Text"/>
    <w:basedOn w:val="1"/>
    <w:link w:val="54"/>
    <w:uiPriority w:val="99"/>
    <w:pPr>
      <w:widowControl/>
      <w:jc w:val="left"/>
    </w:pPr>
    <w:rPr>
      <w:rFonts w:ascii="Courier New" w:hAnsi="Courier New" w:cs="Courier New"/>
      <w:kern w:val="0"/>
      <w:sz w:val="20"/>
      <w:szCs w:val="20"/>
    </w:rPr>
  </w:style>
  <w:style w:type="paragraph" w:styleId="25">
    <w:name w:val="List Bullet 5"/>
    <w:basedOn w:val="1"/>
    <w:autoRedefine/>
    <w:uiPriority w:val="0"/>
    <w:pPr>
      <w:tabs>
        <w:tab w:val="left" w:pos="2040"/>
      </w:tabs>
      <w:ind w:left="2040" w:leftChars="800" w:hanging="360" w:hangingChars="200"/>
    </w:pPr>
    <w:rPr>
      <w:szCs w:val="20"/>
    </w:rPr>
  </w:style>
  <w:style w:type="paragraph" w:styleId="26">
    <w:name w:val="List Number 4"/>
    <w:basedOn w:val="1"/>
    <w:uiPriority w:val="0"/>
    <w:pPr>
      <w:tabs>
        <w:tab w:val="left" w:pos="1620"/>
      </w:tabs>
      <w:ind w:left="1620" w:leftChars="600" w:hanging="360" w:hangingChars="200"/>
    </w:pPr>
    <w:rPr>
      <w:szCs w:val="20"/>
    </w:rPr>
  </w:style>
  <w:style w:type="paragraph" w:styleId="27">
    <w:name w:val="Date"/>
    <w:basedOn w:val="1"/>
    <w:next w:val="1"/>
    <w:uiPriority w:val="0"/>
    <w:pPr>
      <w:ind w:left="100" w:leftChars="2500"/>
    </w:pPr>
  </w:style>
  <w:style w:type="paragraph" w:styleId="28">
    <w:name w:val="Body Text Indent 2"/>
    <w:basedOn w:val="1"/>
    <w:qFormat/>
    <w:uiPriority w:val="0"/>
    <w:pPr>
      <w:widowControl/>
      <w:spacing w:before="100" w:beforeAutospacing="1" w:after="100" w:afterAutospacing="1"/>
      <w:ind w:right="-178" w:rightChars="-85" w:firstLine="480"/>
      <w:outlineLvl w:val="0"/>
    </w:pPr>
    <w:rPr>
      <w:rFonts w:ascii="宋体" w:hAnsi="宋体"/>
      <w:color w:val="000000"/>
    </w:rPr>
  </w:style>
  <w:style w:type="paragraph" w:styleId="29">
    <w:name w:val="Balloon Text"/>
    <w:basedOn w:val="1"/>
    <w:link w:val="92"/>
    <w:semiHidden/>
    <w:qFormat/>
    <w:uiPriority w:val="99"/>
    <w:rPr>
      <w:sz w:val="18"/>
      <w:szCs w:val="18"/>
    </w:rPr>
  </w:style>
  <w:style w:type="paragraph" w:styleId="30">
    <w:name w:val="footer"/>
    <w:basedOn w:val="1"/>
    <w:link w:val="95"/>
    <w:uiPriority w:val="99"/>
    <w:pPr>
      <w:tabs>
        <w:tab w:val="center" w:pos="4153"/>
        <w:tab w:val="right" w:pos="8306"/>
      </w:tabs>
      <w:snapToGrid w:val="0"/>
      <w:jc w:val="left"/>
    </w:pPr>
    <w:rPr>
      <w:sz w:val="18"/>
      <w:szCs w:val="18"/>
    </w:rPr>
  </w:style>
  <w:style w:type="paragraph" w:styleId="31">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uiPriority w:val="39"/>
    <w:pPr>
      <w:tabs>
        <w:tab w:val="right" w:leader="dot" w:pos="8450"/>
      </w:tabs>
      <w:ind w:firstLine="0" w:firstLineChars="0"/>
    </w:pPr>
    <w:rPr>
      <w:rFonts w:asciiTheme="minorEastAsia" w:hAnsiTheme="minorEastAsia" w:eastAsiaTheme="minorEastAsia"/>
    </w:rPr>
  </w:style>
  <w:style w:type="paragraph" w:styleId="33">
    <w:name w:val="Subtitle"/>
    <w:basedOn w:val="1"/>
    <w:next w:val="1"/>
    <w:link w:val="89"/>
    <w:uiPriority w:val="0"/>
    <w:pPr>
      <w:spacing w:before="240" w:after="60" w:line="312" w:lineRule="auto"/>
      <w:jc w:val="center"/>
      <w:outlineLvl w:val="1"/>
    </w:pPr>
    <w:rPr>
      <w:rFonts w:asciiTheme="majorHAnsi" w:hAnsiTheme="majorHAnsi" w:cstheme="majorBidi"/>
      <w:b/>
      <w:bCs/>
      <w:kern w:val="28"/>
      <w:sz w:val="32"/>
      <w:szCs w:val="32"/>
    </w:rPr>
  </w:style>
  <w:style w:type="paragraph" w:styleId="34">
    <w:name w:val="List Number 5"/>
    <w:basedOn w:val="1"/>
    <w:uiPriority w:val="0"/>
    <w:pPr>
      <w:tabs>
        <w:tab w:val="left" w:pos="2040"/>
      </w:tabs>
      <w:ind w:left="2040" w:leftChars="800" w:hanging="360" w:hangingChars="200"/>
    </w:pPr>
    <w:rPr>
      <w:szCs w:val="20"/>
    </w:rPr>
  </w:style>
  <w:style w:type="paragraph" w:styleId="35">
    <w:name w:val="Body Text Indent 3"/>
    <w:basedOn w:val="1"/>
    <w:uiPriority w:val="0"/>
    <w:pPr>
      <w:spacing w:after="120"/>
      <w:ind w:left="420" w:leftChars="200"/>
    </w:pPr>
    <w:rPr>
      <w:sz w:val="16"/>
      <w:szCs w:val="16"/>
    </w:rPr>
  </w:style>
  <w:style w:type="paragraph" w:styleId="36">
    <w:name w:val="toc 2"/>
    <w:basedOn w:val="1"/>
    <w:next w:val="1"/>
    <w:autoRedefine/>
    <w:semiHidden/>
    <w:uiPriority w:val="0"/>
    <w:pPr>
      <w:ind w:left="420" w:leftChars="200"/>
    </w:pPr>
  </w:style>
  <w:style w:type="paragraph" w:styleId="37">
    <w:name w:val="Body Text 2"/>
    <w:basedOn w:val="1"/>
    <w:qFormat/>
    <w:uiPriority w:val="0"/>
    <w:rPr>
      <w:szCs w:val="20"/>
    </w:rPr>
  </w:style>
  <w:style w:type="paragraph" w:styleId="38">
    <w:name w:val="Normal (Web)"/>
    <w:basedOn w:val="1"/>
    <w:uiPriority w:val="0"/>
    <w:pPr>
      <w:widowControl/>
      <w:tabs>
        <w:tab w:val="left" w:pos="360"/>
      </w:tabs>
      <w:spacing w:before="100" w:beforeAutospacing="1" w:after="100" w:afterAutospacing="1"/>
      <w:jc w:val="left"/>
    </w:pPr>
    <w:rPr>
      <w:rFonts w:ascii="Arial Unicode MS" w:hAnsi="Arial Unicode MS" w:eastAsia="Arial Unicode MS" w:cs="Arial Unicode MS"/>
      <w:kern w:val="0"/>
    </w:rPr>
  </w:style>
  <w:style w:type="paragraph" w:styleId="39">
    <w:name w:val="Title"/>
    <w:basedOn w:val="20"/>
    <w:next w:val="20"/>
    <w:qFormat/>
    <w:uiPriority w:val="0"/>
    <w:pPr>
      <w:tabs>
        <w:tab w:val="left" w:pos="-540"/>
        <w:tab w:val="left" w:pos="1182"/>
      </w:tabs>
      <w:snapToGrid w:val="0"/>
      <w:spacing w:before="240" w:after="60"/>
      <w:ind w:left="527" w:hanging="425"/>
      <w:jc w:val="center"/>
      <w:outlineLvl w:val="0"/>
    </w:pPr>
    <w:rPr>
      <w:b/>
      <w:bCs/>
      <w:sz w:val="36"/>
      <w:szCs w:val="20"/>
    </w:rPr>
  </w:style>
  <w:style w:type="paragraph" w:styleId="40">
    <w:name w:val="annotation subject"/>
    <w:basedOn w:val="17"/>
    <w:next w:val="17"/>
    <w:semiHidden/>
    <w:uiPriority w:val="0"/>
    <w:rPr>
      <w:b/>
      <w:bCs/>
    </w:rPr>
  </w:style>
  <w:style w:type="paragraph" w:styleId="41">
    <w:name w:val="Body Text First Indent"/>
    <w:basedOn w:val="20"/>
    <w:uiPriority w:val="0"/>
    <w:pPr>
      <w:spacing w:line="300" w:lineRule="auto"/>
      <w:ind w:firstLine="425"/>
    </w:pPr>
    <w:rPr>
      <w:szCs w:val="20"/>
    </w:rPr>
  </w:style>
  <w:style w:type="table" w:styleId="43">
    <w:name w:val="Table Grid"/>
    <w:basedOn w:val="4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uiPriority w:val="0"/>
  </w:style>
  <w:style w:type="character" w:styleId="47">
    <w:name w:val="FollowedHyperlink"/>
    <w:qFormat/>
    <w:uiPriority w:val="0"/>
    <w:rPr>
      <w:color w:val="800080"/>
      <w:u w:val="single"/>
    </w:rPr>
  </w:style>
  <w:style w:type="character" w:styleId="48">
    <w:name w:val="HTML Typewriter"/>
    <w:uiPriority w:val="0"/>
    <w:rPr>
      <w:rFonts w:ascii="宋体" w:hAnsi="宋体" w:eastAsia="宋体" w:cs="宋体"/>
      <w:sz w:val="24"/>
      <w:szCs w:val="24"/>
    </w:rPr>
  </w:style>
  <w:style w:type="character" w:styleId="49">
    <w:name w:val="Hyperlink"/>
    <w:uiPriority w:val="99"/>
    <w:rPr>
      <w:color w:val="0000FF"/>
      <w:u w:val="single"/>
    </w:rPr>
  </w:style>
  <w:style w:type="character" w:styleId="50">
    <w:name w:val="annotation reference"/>
    <w:qFormat/>
    <w:uiPriority w:val="0"/>
    <w:rPr>
      <w:sz w:val="21"/>
      <w:szCs w:val="21"/>
    </w:rPr>
  </w:style>
  <w:style w:type="character" w:customStyle="1" w:styleId="51">
    <w:name w:val="正文文本 Char"/>
    <w:link w:val="20"/>
    <w:uiPriority w:val="0"/>
    <w:rPr>
      <w:kern w:val="2"/>
      <w:sz w:val="21"/>
      <w:szCs w:val="24"/>
    </w:rPr>
  </w:style>
  <w:style w:type="paragraph" w:customStyle="1" w:styleId="52">
    <w:name w:val="xl22"/>
    <w:basedOn w:val="1"/>
    <w:uiPriority w:val="0"/>
    <w:pPr>
      <w:widowControl/>
      <w:spacing w:before="100" w:beforeAutospacing="1" w:after="100" w:afterAutospacing="1"/>
      <w:textAlignment w:val="top"/>
    </w:pPr>
    <w:rPr>
      <w:rFonts w:hint="eastAsia" w:ascii="宋体" w:hAnsi="宋体" w:cs="Arial Unicode MS"/>
      <w:kern w:val="0"/>
      <w:sz w:val="18"/>
      <w:szCs w:val="18"/>
    </w:rPr>
  </w:style>
  <w:style w:type="paragraph" w:customStyle="1" w:styleId="53">
    <w:name w:val="表格正文"/>
    <w:basedOn w:val="4"/>
    <w:uiPriority w:val="0"/>
    <w:pPr>
      <w:spacing w:beforeLines="50"/>
      <w:ind w:firstLine="0" w:firstLineChars="0"/>
      <w:jc w:val="center"/>
    </w:pPr>
    <w:rPr>
      <w:szCs w:val="20"/>
    </w:rPr>
  </w:style>
  <w:style w:type="character" w:customStyle="1" w:styleId="54">
    <w:name w:val="纯文本 Char"/>
    <w:link w:val="24"/>
    <w:qFormat/>
    <w:uiPriority w:val="99"/>
    <w:rPr>
      <w:rFonts w:ascii="Courier New" w:hAnsi="Courier New" w:eastAsia="宋体" w:cs="Courier New"/>
      <w:lang w:val="en-US" w:eastAsia="zh-CN" w:bidi="ar-SA"/>
    </w:rPr>
  </w:style>
  <w:style w:type="paragraph" w:customStyle="1" w:styleId="55">
    <w:name w:val="项目"/>
    <w:basedOn w:val="6"/>
    <w:qFormat/>
    <w:uiPriority w:val="0"/>
    <w:pPr>
      <w:numPr>
        <w:ilvl w:val="3"/>
        <w:numId w:val="2"/>
      </w:numPr>
      <w:snapToGrid w:val="0"/>
      <w:spacing w:before="120" w:after="120" w:line="360" w:lineRule="auto"/>
    </w:pPr>
    <w:rPr>
      <w:rFonts w:ascii="Times New Roman" w:hAnsi="Times New Roman" w:eastAsia="楷体_GB2312"/>
      <w:b w:val="0"/>
      <w:sz w:val="24"/>
      <w:szCs w:val="20"/>
    </w:rPr>
  </w:style>
  <w:style w:type="paragraph" w:customStyle="1" w:styleId="56">
    <w:name w:val="报告署名"/>
    <w:basedOn w:val="1"/>
    <w:next w:val="1"/>
    <w:autoRedefine/>
    <w:uiPriority w:val="0"/>
    <w:pPr>
      <w:jc w:val="center"/>
    </w:pPr>
    <w:rPr>
      <w:rFonts w:ascii="宋体" w:hAnsi="宋体"/>
      <w:szCs w:val="20"/>
    </w:rPr>
  </w:style>
  <w:style w:type="character" w:customStyle="1" w:styleId="57">
    <w:name w:val="big1"/>
    <w:uiPriority w:val="0"/>
    <w:rPr>
      <w:spacing w:val="360"/>
      <w:sz w:val="22"/>
      <w:szCs w:val="22"/>
    </w:rPr>
  </w:style>
  <w:style w:type="paragraph" w:customStyle="1" w:styleId="58">
    <w:name w:val="列表2"/>
    <w:basedOn w:val="1"/>
    <w:next w:val="39"/>
    <w:uiPriority w:val="0"/>
    <w:pPr>
      <w:numPr>
        <w:ilvl w:val="0"/>
        <w:numId w:val="3"/>
      </w:numPr>
      <w:tabs>
        <w:tab w:val="left" w:pos="1125"/>
        <w:tab w:val="clear" w:pos="360"/>
      </w:tabs>
      <w:ind w:left="1125" w:hanging="1125"/>
    </w:pPr>
    <w:rPr>
      <w:rFonts w:ascii="宋体"/>
      <w:szCs w:val="20"/>
    </w:rPr>
  </w:style>
  <w:style w:type="character" w:customStyle="1" w:styleId="59">
    <w:name w:val="ten51"/>
    <w:uiPriority w:val="0"/>
    <w:rPr>
      <w:sz w:val="21"/>
      <w:szCs w:val="21"/>
    </w:rPr>
  </w:style>
  <w:style w:type="paragraph" w:customStyle="1" w:styleId="60">
    <w:name w:val="编号正文2"/>
    <w:basedOn w:val="1"/>
    <w:uiPriority w:val="0"/>
    <w:pPr>
      <w:numPr>
        <w:ilvl w:val="0"/>
        <w:numId w:val="4"/>
      </w:numPr>
      <w:autoSpaceDE w:val="0"/>
      <w:autoSpaceDN w:val="0"/>
      <w:adjustRightInd w:val="0"/>
      <w:spacing w:after="120" w:line="300" w:lineRule="auto"/>
      <w:textAlignment w:val="baseline"/>
    </w:pPr>
    <w:rPr>
      <w:rFonts w:ascii="宋体"/>
      <w:kern w:val="0"/>
      <w:szCs w:val="20"/>
    </w:rPr>
  </w:style>
  <w:style w:type="character" w:customStyle="1" w:styleId="61">
    <w:name w:val="read"/>
    <w:basedOn w:val="44"/>
    <w:uiPriority w:val="0"/>
  </w:style>
  <w:style w:type="character" w:customStyle="1" w:styleId="62">
    <w:name w:val="批注文字 Char"/>
    <w:link w:val="17"/>
    <w:qFormat/>
    <w:uiPriority w:val="0"/>
    <w:rPr>
      <w:kern w:val="2"/>
      <w:sz w:val="21"/>
      <w:szCs w:val="24"/>
    </w:rPr>
  </w:style>
  <w:style w:type="paragraph" w:customStyle="1" w:styleId="6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Char"/>
    <w:basedOn w:val="1"/>
    <w:uiPriority w:val="0"/>
    <w:pPr>
      <w:numPr>
        <w:ilvl w:val="0"/>
        <w:numId w:val="5"/>
      </w:numPr>
      <w:tabs>
        <w:tab w:val="clear" w:pos="425"/>
      </w:tabs>
      <w:ind w:left="0" w:firstLine="0"/>
    </w:pPr>
  </w:style>
  <w:style w:type="paragraph" w:customStyle="1" w:styleId="65">
    <w:name w:val="Char1 Char Char Char Char Char Char Char Char Char Char Char Char1 Char Char Char Char Char Char Char Char Char Char Char Char1 Char Char Char"/>
    <w:basedOn w:val="1"/>
    <w:uiPriority w:val="0"/>
  </w:style>
  <w:style w:type="paragraph" w:customStyle="1" w:styleId="66">
    <w:name w:val="Char Char Char Char Char Char Char"/>
    <w:basedOn w:val="1"/>
    <w:autoRedefine/>
    <w:uiPriority w:val="0"/>
    <w:pPr>
      <w:tabs>
        <w:tab w:val="left" w:pos="840"/>
      </w:tabs>
      <w:ind w:left="840" w:hanging="360"/>
    </w:pPr>
  </w:style>
  <w:style w:type="paragraph" w:customStyle="1" w:styleId="67">
    <w:name w:val="默认段落字体 Para Char Char Char Char Char Char"/>
    <w:basedOn w:val="1"/>
    <w:autoRedefine/>
    <w:uiPriority w:val="0"/>
    <w:pPr>
      <w:tabs>
        <w:tab w:val="left" w:pos="840"/>
      </w:tabs>
      <w:ind w:left="840" w:hanging="360"/>
    </w:pPr>
  </w:style>
  <w:style w:type="paragraph" w:customStyle="1" w:styleId="68">
    <w:name w:val="Char Char Char Char1 Char Char Char"/>
    <w:basedOn w:val="1"/>
    <w:qFormat/>
    <w:uiPriority w:val="0"/>
  </w:style>
  <w:style w:type="paragraph" w:customStyle="1" w:styleId="69">
    <w:name w:val="列表1"/>
    <w:basedOn w:val="1"/>
    <w:next w:val="1"/>
    <w:uiPriority w:val="0"/>
    <w:pPr>
      <w:tabs>
        <w:tab w:val="left" w:pos="644"/>
      </w:tabs>
      <w:ind w:left="567" w:hanging="283"/>
    </w:pPr>
    <w:rPr>
      <w:szCs w:val="20"/>
    </w:rPr>
  </w:style>
  <w:style w:type="character" w:customStyle="1" w:styleId="70">
    <w:name w:val="unnamed11"/>
    <w:uiPriority w:val="0"/>
    <w:rPr>
      <w:rFonts w:hint="eastAsia" w:ascii="宋体" w:hAnsi="宋体" w:eastAsia="宋体"/>
      <w:sz w:val="18"/>
      <w:szCs w:val="18"/>
    </w:rPr>
  </w:style>
  <w:style w:type="paragraph" w:customStyle="1" w:styleId="71">
    <w:name w:val="Char Char Char"/>
    <w:basedOn w:val="1"/>
    <w:uiPriority w:val="0"/>
  </w:style>
  <w:style w:type="paragraph" w:customStyle="1" w:styleId="72">
    <w:name w:val="Char2"/>
    <w:basedOn w:val="1"/>
    <w:uiPriority w:val="0"/>
  </w:style>
  <w:style w:type="paragraph" w:customStyle="1" w:styleId="73">
    <w:name w:val="正文正文"/>
    <w:basedOn w:val="1"/>
    <w:uiPriority w:val="0"/>
    <w:pPr>
      <w:spacing w:afterLines="25"/>
    </w:pPr>
  </w:style>
  <w:style w:type="paragraph" w:customStyle="1" w:styleId="74">
    <w:name w:val="正文所"/>
    <w:basedOn w:val="1"/>
    <w:uiPriority w:val="0"/>
    <w:pPr>
      <w:ind w:firstLine="420"/>
    </w:pPr>
    <w:rPr>
      <w:rFonts w:ascii="宋体"/>
      <w:szCs w:val="20"/>
    </w:rPr>
  </w:style>
  <w:style w:type="paragraph" w:customStyle="1" w:styleId="75">
    <w:name w:val="修订1"/>
    <w:hidden/>
    <w:semiHidden/>
    <w:uiPriority w:val="0"/>
    <w:rPr>
      <w:rFonts w:ascii="Times New Roman" w:hAnsi="Times New Roman" w:eastAsia="宋体" w:cs="Times New Roman"/>
      <w:kern w:val="2"/>
      <w:sz w:val="21"/>
      <w:szCs w:val="24"/>
      <w:lang w:val="en-US" w:eastAsia="zh-CN" w:bidi="ar-SA"/>
    </w:rPr>
  </w:style>
  <w:style w:type="character" w:customStyle="1" w:styleId="76">
    <w:name w:val="heigh1801"/>
    <w:uiPriority w:val="0"/>
    <w:rPr>
      <w:rFonts w:eastAsia="宋体"/>
      <w:kern w:val="2"/>
      <w:sz w:val="24"/>
      <w:szCs w:val="24"/>
      <w:lang w:val="en-US" w:eastAsia="zh-CN" w:bidi="ar-SA"/>
    </w:rPr>
  </w:style>
  <w:style w:type="character" w:customStyle="1" w:styleId="77">
    <w:name w:val="EmailStyle73"/>
    <w:semiHidden/>
    <w:uiPriority w:val="0"/>
    <w:rPr>
      <w:rFonts w:ascii="宋体" w:eastAsia="宋体"/>
      <w:color w:val="auto"/>
      <w:kern w:val="2"/>
      <w:sz w:val="20"/>
      <w:szCs w:val="20"/>
      <w:u w:val="none"/>
      <w:lang w:val="en-US" w:eastAsia="zh-CN" w:bidi="ar-SA"/>
    </w:rPr>
  </w:style>
  <w:style w:type="paragraph" w:customStyle="1" w:styleId="78">
    <w:name w:val="默认段落字体 Para Char Char Char Char Char Char Char"/>
    <w:basedOn w:val="1"/>
    <w:uiPriority w:val="0"/>
    <w:pPr>
      <w:widowControl/>
      <w:jc w:val="left"/>
    </w:pPr>
    <w:rPr>
      <w:rFonts w:ascii="Tahoma" w:hAnsi="Tahoma"/>
      <w:color w:val="000000"/>
      <w:kern w:val="0"/>
      <w:szCs w:val="20"/>
    </w:rPr>
  </w:style>
  <w:style w:type="character" w:customStyle="1" w:styleId="79">
    <w:name w:val="eng1"/>
    <w:uiPriority w:val="0"/>
    <w:rPr>
      <w:rFonts w:hint="default" w:ascii="Verdana" w:hAnsi="Verdana" w:cs="Arial"/>
      <w:sz w:val="15"/>
      <w:szCs w:val="15"/>
    </w:rPr>
  </w:style>
  <w:style w:type="paragraph" w:customStyle="1" w:styleId="80">
    <w:name w:val="列出段落1"/>
    <w:basedOn w:val="1"/>
    <w:qFormat/>
    <w:uiPriority w:val="34"/>
    <w:pPr>
      <w:ind w:firstLine="420"/>
    </w:pPr>
  </w:style>
  <w:style w:type="paragraph" w:customStyle="1" w:styleId="81">
    <w:name w:val="unnamed1"/>
    <w:basedOn w:val="1"/>
    <w:uiPriority w:val="0"/>
    <w:pPr>
      <w:spacing w:before="60" w:after="60"/>
      <w:ind w:left="15" w:right="15"/>
    </w:pPr>
    <w:rPr>
      <w:rFonts w:hint="eastAsia" w:ascii="宋体" w:hAnsi="宋体"/>
      <w:color w:val="000000"/>
      <w:sz w:val="18"/>
      <w:szCs w:val="18"/>
    </w:rPr>
  </w:style>
  <w:style w:type="paragraph" w:styleId="82">
    <w:name w:val="List Paragraph"/>
    <w:basedOn w:val="1"/>
    <w:qFormat/>
    <w:uiPriority w:val="99"/>
    <w:pPr>
      <w:widowControl/>
      <w:ind w:firstLine="420"/>
    </w:pPr>
    <w:rPr>
      <w:rFonts w:ascii="Calibri" w:hAnsi="Calibri" w:cs="宋体"/>
      <w:kern w:val="0"/>
      <w:szCs w:val="21"/>
    </w:rPr>
  </w:style>
  <w:style w:type="paragraph" w:customStyle="1" w:styleId="8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84">
    <w:name w:val="页眉 Char"/>
    <w:link w:val="31"/>
    <w:qFormat/>
    <w:uiPriority w:val="99"/>
    <w:rPr>
      <w:kern w:val="2"/>
      <w:sz w:val="18"/>
      <w:szCs w:val="18"/>
    </w:rPr>
  </w:style>
  <w:style w:type="paragraph" w:customStyle="1" w:styleId="85">
    <w:name w:val="合同正文"/>
    <w:basedOn w:val="1"/>
    <w:link w:val="86"/>
    <w:qFormat/>
    <w:uiPriority w:val="0"/>
    <w:rPr>
      <w:bCs/>
      <w:szCs w:val="20"/>
    </w:rPr>
  </w:style>
  <w:style w:type="character" w:customStyle="1" w:styleId="86">
    <w:name w:val="合同正文 Char"/>
    <w:link w:val="85"/>
    <w:qFormat/>
    <w:uiPriority w:val="0"/>
    <w:rPr>
      <w:bCs/>
      <w:kern w:val="2"/>
      <w:sz w:val="24"/>
    </w:rPr>
  </w:style>
  <w:style w:type="paragraph" w:customStyle="1" w:styleId="87">
    <w:name w:val="c_"/>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88">
    <w:name w:val="合同正文 Char Char"/>
    <w:uiPriority w:val="0"/>
    <w:rPr>
      <w:bCs/>
      <w:kern w:val="2"/>
      <w:sz w:val="24"/>
    </w:rPr>
  </w:style>
  <w:style w:type="character" w:customStyle="1" w:styleId="89">
    <w:name w:val="副标题 Char"/>
    <w:basedOn w:val="44"/>
    <w:link w:val="33"/>
    <w:uiPriority w:val="0"/>
    <w:rPr>
      <w:rFonts w:asciiTheme="majorHAnsi" w:hAnsiTheme="majorHAnsi" w:cstheme="majorBidi"/>
      <w:b/>
      <w:bCs/>
      <w:kern w:val="28"/>
      <w:sz w:val="32"/>
      <w:szCs w:val="32"/>
    </w:rPr>
  </w:style>
  <w:style w:type="character" w:styleId="90">
    <w:name w:val="Placeholder Text"/>
    <w:basedOn w:val="44"/>
    <w:uiPriority w:val="99"/>
    <w:rPr>
      <w:color w:val="808080"/>
    </w:rPr>
  </w:style>
  <w:style w:type="table" w:customStyle="1" w:styleId="91">
    <w:name w:val="Grid Table 1 Light - Accent 1"/>
    <w:uiPriority w:val="99"/>
    <w:rPr>
      <w:rFonts w:ascii="Arial" w:hAnsi="Arial" w:cs="Arial"/>
      <w:sz w:val="22"/>
      <w:szCs w:val="22"/>
      <w:lang w:eastAsia="en-US"/>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character" w:customStyle="1" w:styleId="92">
    <w:name w:val="批注框文本 Char"/>
    <w:basedOn w:val="44"/>
    <w:link w:val="29"/>
    <w:semiHidden/>
    <w:qFormat/>
    <w:uiPriority w:val="99"/>
    <w:rPr>
      <w:kern w:val="2"/>
      <w:sz w:val="18"/>
      <w:szCs w:val="18"/>
    </w:rPr>
  </w:style>
  <w:style w:type="character" w:customStyle="1" w:styleId="93">
    <w:name w:val="未处理的提及1"/>
    <w:basedOn w:val="44"/>
    <w:semiHidden/>
    <w:unhideWhenUsed/>
    <w:uiPriority w:val="99"/>
    <w:rPr>
      <w:color w:val="605E5C"/>
      <w:shd w:val="clear" w:color="auto" w:fill="E1DFDD"/>
    </w:rPr>
  </w:style>
  <w:style w:type="paragraph" w:customStyle="1" w:styleId="94">
    <w:name w:val="AOHead6"/>
    <w:basedOn w:val="1"/>
    <w:next w:val="1"/>
    <w:qFormat/>
    <w:uiPriority w:val="0"/>
    <w:pPr>
      <w:widowControl/>
      <w:tabs>
        <w:tab w:val="left" w:pos="3600"/>
      </w:tabs>
      <w:spacing w:before="240" w:line="260" w:lineRule="atLeast"/>
      <w:ind w:left="3600" w:hanging="720" w:firstLineChars="0"/>
      <w:jc w:val="left"/>
      <w:outlineLvl w:val="5"/>
    </w:pPr>
    <w:rPr>
      <w:kern w:val="0"/>
      <w:sz w:val="22"/>
      <w:szCs w:val="22"/>
      <w:lang w:eastAsia="en-US"/>
    </w:rPr>
  </w:style>
  <w:style w:type="character" w:customStyle="1" w:styleId="95">
    <w:name w:val="页脚 Char"/>
    <w:basedOn w:val="44"/>
    <w:link w:val="30"/>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ECFF8E95F64655BEF9B366ED95BBB0"/>
        <w:style w:val=""/>
        <w:category>
          <w:name w:val="常规"/>
          <w:gallery w:val="placeholder"/>
        </w:category>
        <w:types>
          <w:type w:val="bbPlcHdr"/>
        </w:types>
        <w:behaviors>
          <w:behavior w:val="content"/>
        </w:behaviors>
        <w:description w:val=""/>
        <w:guid w:val="{525F6DC1-3D2D-43B3-8214-FFD036AEDD4D}"/>
      </w:docPartPr>
      <w:docPartBody>
        <w:p w14:paraId="11EFF5A1">
          <w:pPr>
            <w:pStyle w:val="5"/>
          </w:pPr>
          <w:r>
            <w:rPr>
              <w:rStyle w:val="4"/>
              <w:rFonts w:hint="eastAsia"/>
            </w:rPr>
            <w:t>单击此处输入文字。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63"/>
    <w:rsid w:val="000600E7"/>
    <w:rsid w:val="00101C5D"/>
    <w:rsid w:val="0015204F"/>
    <w:rsid w:val="001A372C"/>
    <w:rsid w:val="001B1250"/>
    <w:rsid w:val="0023516E"/>
    <w:rsid w:val="002B05A0"/>
    <w:rsid w:val="003251F3"/>
    <w:rsid w:val="00366FA4"/>
    <w:rsid w:val="004135E4"/>
    <w:rsid w:val="004135FF"/>
    <w:rsid w:val="004C5447"/>
    <w:rsid w:val="00544EB3"/>
    <w:rsid w:val="00587CF0"/>
    <w:rsid w:val="0060582F"/>
    <w:rsid w:val="0062601B"/>
    <w:rsid w:val="006E4FAA"/>
    <w:rsid w:val="0071594F"/>
    <w:rsid w:val="00763C72"/>
    <w:rsid w:val="007A1728"/>
    <w:rsid w:val="007B31F9"/>
    <w:rsid w:val="007C1883"/>
    <w:rsid w:val="007F1463"/>
    <w:rsid w:val="00864E33"/>
    <w:rsid w:val="00885389"/>
    <w:rsid w:val="00896C2E"/>
    <w:rsid w:val="008C69B9"/>
    <w:rsid w:val="00B8196E"/>
    <w:rsid w:val="00B81BC2"/>
    <w:rsid w:val="00BE4C1F"/>
    <w:rsid w:val="00CB16A4"/>
    <w:rsid w:val="00D66E93"/>
    <w:rsid w:val="00E03A54"/>
    <w:rsid w:val="00EA7A8B"/>
    <w:rsid w:val="00ED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7AECFF8E95F64655BEF9B366ED95BB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1EAB-9B45-4F77-BCBE-7C99A6EBDE9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147</Pages>
  <Words>16092</Words>
  <Characters>91727</Characters>
  <Lines>764</Lines>
  <Paragraphs>215</Paragraphs>
  <TotalTime>18</TotalTime>
  <ScaleCrop>false</ScaleCrop>
  <LinksUpToDate>false</LinksUpToDate>
  <CharactersWithSpaces>107604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2025-12-08T10:17:00Z</dcterms:created>
  <dc:creator>富国基金</dc:creator>
  <cp:lastModifiedBy>leizhiyu</cp:lastModifiedBy>
  <cp:lastPrinted>2025-12-05T09:13:00Z</cp:lastPrinted>
  <dcterms:modified xsi:type="dcterms:W3CDTF">2025-12-30T09:18:41Z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93C041CBF0DC4BAAAF009958B54FC315_12</vt:lpwstr>
  </property>
</Properties>
</file>