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19C369" w14:textId="77777777" w:rsidR="007A2E1E" w:rsidRDefault="007A2E1E">
      <w:pPr>
        <w:pStyle w:val="12"/>
        <w:spacing w:after="156" w:line="500" w:lineRule="exact"/>
        <w:jc w:val="center"/>
        <w:rPr>
          <w:rFonts w:ascii="宋体"/>
          <w:b/>
          <w:bCs/>
          <w:sz w:val="48"/>
          <w:szCs w:val="48"/>
        </w:rPr>
      </w:pPr>
    </w:p>
    <w:p w14:paraId="7E2D1660" w14:textId="77777777" w:rsidR="007A2E1E" w:rsidRDefault="007A2E1E">
      <w:pPr>
        <w:pStyle w:val="12"/>
        <w:spacing w:after="156" w:line="500" w:lineRule="exact"/>
        <w:jc w:val="center"/>
        <w:rPr>
          <w:rFonts w:ascii="宋体"/>
          <w:b/>
          <w:bCs/>
          <w:sz w:val="48"/>
          <w:szCs w:val="48"/>
        </w:rPr>
      </w:pPr>
    </w:p>
    <w:p w14:paraId="2B37BE6E" w14:textId="77777777" w:rsidR="007A2E1E" w:rsidRDefault="007A2E1E">
      <w:pPr>
        <w:pStyle w:val="12"/>
        <w:spacing w:after="156" w:line="500" w:lineRule="exact"/>
        <w:jc w:val="center"/>
        <w:rPr>
          <w:rFonts w:ascii="宋体"/>
          <w:b/>
          <w:bCs/>
          <w:sz w:val="48"/>
          <w:szCs w:val="48"/>
        </w:rPr>
      </w:pPr>
    </w:p>
    <w:p w14:paraId="2DC158C3" w14:textId="77777777" w:rsidR="007A2E1E" w:rsidRDefault="007A2E1E">
      <w:pPr>
        <w:pStyle w:val="12"/>
        <w:spacing w:after="156" w:line="500" w:lineRule="exact"/>
        <w:jc w:val="center"/>
        <w:rPr>
          <w:rFonts w:ascii="宋体"/>
          <w:b/>
          <w:bCs/>
          <w:sz w:val="48"/>
          <w:szCs w:val="48"/>
        </w:rPr>
      </w:pPr>
    </w:p>
    <w:p w14:paraId="64BA77C5" w14:textId="77777777" w:rsidR="007A2E1E" w:rsidRDefault="007A2E1E">
      <w:pPr>
        <w:pStyle w:val="12"/>
        <w:spacing w:after="156" w:line="500" w:lineRule="exact"/>
        <w:jc w:val="center"/>
        <w:rPr>
          <w:rFonts w:ascii="宋体"/>
          <w:b/>
          <w:bCs/>
          <w:sz w:val="48"/>
          <w:szCs w:val="48"/>
        </w:rPr>
      </w:pPr>
    </w:p>
    <w:p w14:paraId="6B3DA5F9" w14:textId="77777777" w:rsidR="007A2E1E" w:rsidRPr="00332E1A" w:rsidRDefault="00E63864" w:rsidP="00332E1A">
      <w:pPr>
        <w:pStyle w:val="12"/>
        <w:spacing w:after="156" w:line="360" w:lineRule="auto"/>
        <w:jc w:val="center"/>
        <w:rPr>
          <w:rFonts w:ascii="宋体"/>
          <w:b/>
          <w:bCs/>
          <w:sz w:val="36"/>
          <w:szCs w:val="36"/>
        </w:rPr>
      </w:pPr>
      <w:r w:rsidRPr="00332E1A">
        <w:rPr>
          <w:rFonts w:ascii="宋体" w:hAnsi="宋体"/>
          <w:b/>
          <w:bCs/>
          <w:sz w:val="36"/>
          <w:szCs w:val="36"/>
        </w:rPr>
        <w:t>汇添富上证科创板200指数型发起式证券投资基金</w:t>
      </w:r>
    </w:p>
    <w:p w14:paraId="6FA2F494" w14:textId="77777777" w:rsidR="007A2E1E" w:rsidRPr="00332E1A" w:rsidRDefault="00E63864" w:rsidP="00332E1A">
      <w:pPr>
        <w:pStyle w:val="12"/>
        <w:spacing w:after="156" w:line="360" w:lineRule="auto"/>
        <w:jc w:val="center"/>
        <w:rPr>
          <w:rFonts w:ascii="宋体"/>
          <w:b/>
          <w:bCs/>
          <w:sz w:val="36"/>
          <w:szCs w:val="36"/>
        </w:rPr>
      </w:pPr>
      <w:r w:rsidRPr="00332E1A">
        <w:rPr>
          <w:rFonts w:ascii="宋体" w:hAnsi="宋体"/>
          <w:b/>
          <w:bCs/>
          <w:sz w:val="36"/>
          <w:szCs w:val="36"/>
        </w:rPr>
        <w:t>托管协议</w:t>
      </w:r>
    </w:p>
    <w:p w14:paraId="0D9DA4FC" w14:textId="77777777" w:rsidR="007A2E1E" w:rsidRDefault="007A2E1E">
      <w:pPr>
        <w:pStyle w:val="12"/>
        <w:spacing w:after="156" w:line="500" w:lineRule="exact"/>
        <w:jc w:val="center"/>
        <w:rPr>
          <w:rFonts w:ascii="宋体"/>
          <w:bCs/>
          <w:sz w:val="44"/>
          <w:szCs w:val="44"/>
        </w:rPr>
      </w:pPr>
    </w:p>
    <w:p w14:paraId="5A68BB60" w14:textId="77777777" w:rsidR="007A2E1E" w:rsidRDefault="007A2E1E">
      <w:pPr>
        <w:pStyle w:val="12"/>
        <w:autoSpaceDE w:val="0"/>
        <w:autoSpaceDN w:val="0"/>
        <w:spacing w:line="360" w:lineRule="auto"/>
        <w:ind w:left="4709" w:rightChars="12" w:right="24" w:hangingChars="1066" w:hanging="4709"/>
        <w:jc w:val="center"/>
        <w:rPr>
          <w:rFonts w:ascii="宋体"/>
          <w:b/>
          <w:bCs/>
          <w:sz w:val="44"/>
        </w:rPr>
      </w:pPr>
    </w:p>
    <w:p w14:paraId="288D7C2A" w14:textId="77777777" w:rsidR="007A2E1E" w:rsidRDefault="007A2E1E">
      <w:pPr>
        <w:pStyle w:val="12"/>
        <w:spacing w:line="360" w:lineRule="auto"/>
        <w:jc w:val="center"/>
        <w:rPr>
          <w:rFonts w:ascii="宋体"/>
          <w:b/>
          <w:sz w:val="30"/>
          <w:szCs w:val="30"/>
        </w:rPr>
      </w:pPr>
    </w:p>
    <w:p w14:paraId="244D64D9" w14:textId="77777777" w:rsidR="007A2E1E" w:rsidRDefault="007A2E1E">
      <w:pPr>
        <w:pStyle w:val="12"/>
        <w:spacing w:line="360" w:lineRule="auto"/>
        <w:jc w:val="center"/>
        <w:rPr>
          <w:rFonts w:ascii="宋体"/>
          <w:b/>
          <w:sz w:val="30"/>
          <w:szCs w:val="30"/>
        </w:rPr>
      </w:pPr>
    </w:p>
    <w:p w14:paraId="51CE7234" w14:textId="77777777" w:rsidR="007A2E1E" w:rsidRDefault="007A2E1E">
      <w:pPr>
        <w:pStyle w:val="12"/>
        <w:spacing w:line="360" w:lineRule="auto"/>
        <w:jc w:val="center"/>
        <w:rPr>
          <w:rFonts w:ascii="宋体"/>
          <w:b/>
          <w:sz w:val="30"/>
          <w:szCs w:val="30"/>
        </w:rPr>
      </w:pPr>
    </w:p>
    <w:p w14:paraId="50304290" w14:textId="77777777" w:rsidR="007A2E1E" w:rsidRDefault="007A2E1E">
      <w:pPr>
        <w:pStyle w:val="12"/>
        <w:spacing w:line="360" w:lineRule="auto"/>
        <w:jc w:val="center"/>
        <w:rPr>
          <w:rFonts w:ascii="宋体"/>
          <w:b/>
          <w:sz w:val="30"/>
          <w:szCs w:val="30"/>
        </w:rPr>
      </w:pPr>
    </w:p>
    <w:p w14:paraId="2D0FD81C" w14:textId="77777777" w:rsidR="007A2E1E" w:rsidRDefault="007A2E1E">
      <w:pPr>
        <w:pStyle w:val="12"/>
        <w:spacing w:line="360" w:lineRule="auto"/>
        <w:jc w:val="center"/>
        <w:rPr>
          <w:rFonts w:ascii="宋体"/>
          <w:b/>
          <w:sz w:val="30"/>
          <w:szCs w:val="30"/>
        </w:rPr>
      </w:pPr>
    </w:p>
    <w:p w14:paraId="3367E322" w14:textId="77777777" w:rsidR="007A2E1E" w:rsidRDefault="007A2E1E">
      <w:pPr>
        <w:pStyle w:val="12"/>
        <w:spacing w:line="360" w:lineRule="auto"/>
        <w:jc w:val="center"/>
        <w:rPr>
          <w:rFonts w:ascii="宋体"/>
          <w:b/>
          <w:sz w:val="30"/>
          <w:szCs w:val="30"/>
        </w:rPr>
      </w:pPr>
    </w:p>
    <w:p w14:paraId="1C93A552" w14:textId="77777777" w:rsidR="007A2E1E" w:rsidRDefault="007A2E1E">
      <w:pPr>
        <w:pStyle w:val="12"/>
        <w:spacing w:line="360" w:lineRule="auto"/>
        <w:rPr>
          <w:rFonts w:ascii="宋体"/>
          <w:b/>
          <w:sz w:val="30"/>
          <w:szCs w:val="30"/>
        </w:rPr>
      </w:pPr>
    </w:p>
    <w:p w14:paraId="0D445DC0" w14:textId="77777777" w:rsidR="007A2E1E" w:rsidRPr="00332E1A" w:rsidRDefault="00E63864">
      <w:pPr>
        <w:pStyle w:val="12"/>
        <w:spacing w:after="156" w:line="500" w:lineRule="exact"/>
        <w:ind w:leftChars="514" w:left="1028"/>
        <w:rPr>
          <w:rFonts w:ascii="宋体"/>
          <w:b/>
          <w:bCs/>
          <w:sz w:val="30"/>
          <w:szCs w:val="30"/>
        </w:rPr>
      </w:pPr>
      <w:r w:rsidRPr="00332E1A">
        <w:rPr>
          <w:rFonts w:ascii="宋体" w:hAnsi="宋体"/>
          <w:b/>
          <w:bCs/>
          <w:sz w:val="30"/>
          <w:szCs w:val="30"/>
        </w:rPr>
        <w:t>基金管理人：汇添富基金管理股份有限公司</w:t>
      </w:r>
    </w:p>
    <w:p w14:paraId="5E065635" w14:textId="77777777" w:rsidR="007A2E1E" w:rsidRPr="00332E1A" w:rsidRDefault="00E63864">
      <w:pPr>
        <w:pStyle w:val="12"/>
        <w:ind w:leftChars="514" w:left="1028"/>
        <w:rPr>
          <w:rFonts w:ascii="宋体"/>
          <w:sz w:val="30"/>
          <w:szCs w:val="30"/>
        </w:rPr>
      </w:pPr>
      <w:r w:rsidRPr="00332E1A">
        <w:rPr>
          <w:rFonts w:ascii="宋体" w:hAnsi="宋体"/>
          <w:b/>
          <w:bCs/>
          <w:sz w:val="30"/>
          <w:szCs w:val="30"/>
        </w:rPr>
        <w:t>基金托管人：交通银行股份有限公司</w:t>
      </w:r>
    </w:p>
    <w:p w14:paraId="39E1C0CD" w14:textId="77777777" w:rsidR="007A2E1E" w:rsidRDefault="007A2E1E">
      <w:pPr>
        <w:pStyle w:val="12"/>
        <w:ind w:leftChars="514" w:left="1028"/>
        <w:sectPr w:rsidR="007A2E1E" w:rsidSect="00332E1A">
          <w:headerReference w:type="default" r:id="rId8"/>
          <w:footerReference w:type="even" r:id="rId9"/>
          <w:footerReference w:type="first" r:id="rId10"/>
          <w:pgSz w:w="11906" w:h="16838"/>
          <w:pgMar w:top="1440" w:right="1800" w:bottom="1440" w:left="1800" w:header="851" w:footer="992" w:gutter="0"/>
          <w:pgNumType w:start="1"/>
          <w:cols w:space="1701"/>
          <w:titlePg/>
          <w:docGrid w:type="lines" w:linePitch="312"/>
        </w:sectPr>
      </w:pPr>
    </w:p>
    <w:p w14:paraId="6AD1180A" w14:textId="77777777" w:rsidR="007A2E1E" w:rsidRDefault="00E63864">
      <w:pPr>
        <w:pStyle w:val="12"/>
        <w:spacing w:before="312" w:after="156" w:line="360" w:lineRule="auto"/>
        <w:jc w:val="center"/>
        <w:rPr>
          <w:rFonts w:ascii="宋体"/>
          <w:b/>
          <w:sz w:val="44"/>
          <w:szCs w:val="44"/>
        </w:rPr>
      </w:pPr>
      <w:r>
        <w:rPr>
          <w:rFonts w:ascii="宋体" w:hAnsi="宋体"/>
          <w:b/>
          <w:sz w:val="44"/>
          <w:szCs w:val="44"/>
        </w:rPr>
        <w:lastRenderedPageBreak/>
        <w:t>目  录</w:t>
      </w:r>
    </w:p>
    <w:p w14:paraId="39CC88DC" w14:textId="00C2432C" w:rsidR="007A2E1E" w:rsidRDefault="00E63864">
      <w:pPr>
        <w:pStyle w:val="113"/>
        <w:rPr>
          <w:rFonts w:ascii="Calibri" w:hAnsi="Calibri"/>
          <w:b w:val="0"/>
          <w:caps w:val="0"/>
          <w:noProof/>
          <w:sz w:val="21"/>
          <w:szCs w:val="22"/>
        </w:rPr>
      </w:pPr>
      <w:r>
        <w:rPr>
          <w:rStyle w:val="1f"/>
          <w:rFonts w:ascii="宋体" w:hAnsi="宋体"/>
          <w:bCs/>
          <w:color w:val="000000"/>
          <w:sz w:val="24"/>
          <w:szCs w:val="24"/>
        </w:rPr>
        <w:fldChar w:fldCharType="begin"/>
      </w:r>
      <w:r>
        <w:rPr>
          <w:rStyle w:val="1f"/>
          <w:rFonts w:ascii="宋体" w:hAnsi="宋体"/>
          <w:bCs/>
          <w:color w:val="000000"/>
          <w:sz w:val="24"/>
          <w:szCs w:val="24"/>
        </w:rPr>
        <w:instrText xml:space="preserve"> TOC \h \z \t "标题 1,1" </w:instrText>
      </w:r>
      <w:r>
        <w:rPr>
          <w:rStyle w:val="1f"/>
          <w:rFonts w:ascii="宋体" w:hAnsi="宋体"/>
          <w:bCs/>
          <w:color w:val="000000"/>
          <w:sz w:val="24"/>
          <w:szCs w:val="24"/>
        </w:rPr>
        <w:fldChar w:fldCharType="separate"/>
      </w:r>
      <w:hyperlink w:anchor="_Toc65161979" w:history="1">
        <w:r>
          <w:rPr>
            <w:rStyle w:val="1f"/>
            <w:noProof/>
          </w:rPr>
          <w:t>一、基金托管协议当事人</w:t>
        </w:r>
        <w:r>
          <w:rPr>
            <w:noProof/>
          </w:rPr>
          <w:tab/>
        </w:r>
        <w:r>
          <w:rPr>
            <w:noProof/>
          </w:rPr>
          <w:fldChar w:fldCharType="begin"/>
        </w:r>
        <w:r>
          <w:rPr>
            <w:noProof/>
          </w:rPr>
          <w:instrText xml:space="preserve"> PAGEREF _Toc65161979 \h </w:instrText>
        </w:r>
        <w:r>
          <w:rPr>
            <w:noProof/>
          </w:rPr>
        </w:r>
        <w:r>
          <w:rPr>
            <w:noProof/>
          </w:rPr>
          <w:fldChar w:fldCharType="separate"/>
        </w:r>
        <w:r w:rsidR="00332E1A">
          <w:rPr>
            <w:noProof/>
          </w:rPr>
          <w:t>3</w:t>
        </w:r>
        <w:r>
          <w:rPr>
            <w:noProof/>
          </w:rPr>
          <w:fldChar w:fldCharType="end"/>
        </w:r>
      </w:hyperlink>
    </w:p>
    <w:p w14:paraId="61D6FB5A" w14:textId="37979ABE" w:rsidR="007A2E1E" w:rsidRDefault="00036969">
      <w:pPr>
        <w:pStyle w:val="113"/>
        <w:rPr>
          <w:rFonts w:ascii="Calibri" w:hAnsi="Calibri"/>
          <w:b w:val="0"/>
          <w:caps w:val="0"/>
          <w:noProof/>
          <w:sz w:val="21"/>
          <w:szCs w:val="22"/>
        </w:rPr>
      </w:pPr>
      <w:hyperlink w:anchor="_Toc65161980" w:history="1">
        <w:r w:rsidR="00E63864">
          <w:rPr>
            <w:rStyle w:val="1f"/>
            <w:noProof/>
          </w:rPr>
          <w:t>二、基金托管协议的依据、目的和原则</w:t>
        </w:r>
        <w:r w:rsidR="00E63864">
          <w:rPr>
            <w:noProof/>
          </w:rPr>
          <w:tab/>
        </w:r>
        <w:r w:rsidR="00E63864">
          <w:rPr>
            <w:noProof/>
          </w:rPr>
          <w:fldChar w:fldCharType="begin"/>
        </w:r>
        <w:r w:rsidR="00E63864">
          <w:rPr>
            <w:noProof/>
          </w:rPr>
          <w:instrText xml:space="preserve"> PAGEREF _Toc65161980 \h </w:instrText>
        </w:r>
        <w:r w:rsidR="00E63864">
          <w:rPr>
            <w:noProof/>
          </w:rPr>
        </w:r>
        <w:r w:rsidR="00E63864">
          <w:rPr>
            <w:noProof/>
          </w:rPr>
          <w:fldChar w:fldCharType="separate"/>
        </w:r>
        <w:r w:rsidR="00332E1A">
          <w:rPr>
            <w:noProof/>
          </w:rPr>
          <w:t>3</w:t>
        </w:r>
        <w:r w:rsidR="00E63864">
          <w:rPr>
            <w:noProof/>
          </w:rPr>
          <w:fldChar w:fldCharType="end"/>
        </w:r>
      </w:hyperlink>
    </w:p>
    <w:p w14:paraId="1093B2CA" w14:textId="4E1847DC" w:rsidR="007A2E1E" w:rsidRDefault="00036969">
      <w:pPr>
        <w:pStyle w:val="113"/>
        <w:rPr>
          <w:rFonts w:ascii="Calibri" w:hAnsi="Calibri"/>
          <w:b w:val="0"/>
          <w:caps w:val="0"/>
          <w:noProof/>
          <w:sz w:val="21"/>
          <w:szCs w:val="22"/>
        </w:rPr>
      </w:pPr>
      <w:hyperlink w:anchor="_Toc65161981" w:history="1">
        <w:r w:rsidR="00E63864">
          <w:rPr>
            <w:rStyle w:val="1f"/>
            <w:noProof/>
          </w:rPr>
          <w:t>三、基金托管人对基金管理人的业务监督和核查</w:t>
        </w:r>
        <w:r w:rsidR="00E63864">
          <w:rPr>
            <w:noProof/>
          </w:rPr>
          <w:tab/>
        </w:r>
        <w:r w:rsidR="00E63864">
          <w:rPr>
            <w:noProof/>
          </w:rPr>
          <w:fldChar w:fldCharType="begin"/>
        </w:r>
        <w:r w:rsidR="00E63864">
          <w:rPr>
            <w:noProof/>
          </w:rPr>
          <w:instrText xml:space="preserve"> PAGEREF _Toc65161981 \h </w:instrText>
        </w:r>
        <w:r w:rsidR="00E63864">
          <w:rPr>
            <w:noProof/>
          </w:rPr>
        </w:r>
        <w:r w:rsidR="00E63864">
          <w:rPr>
            <w:noProof/>
          </w:rPr>
          <w:fldChar w:fldCharType="separate"/>
        </w:r>
        <w:r w:rsidR="00332E1A">
          <w:rPr>
            <w:noProof/>
          </w:rPr>
          <w:t>4</w:t>
        </w:r>
        <w:r w:rsidR="00E63864">
          <w:rPr>
            <w:noProof/>
          </w:rPr>
          <w:fldChar w:fldCharType="end"/>
        </w:r>
      </w:hyperlink>
    </w:p>
    <w:p w14:paraId="7D979FDB" w14:textId="1489AA40" w:rsidR="007A2E1E" w:rsidRDefault="00036969">
      <w:pPr>
        <w:pStyle w:val="113"/>
        <w:rPr>
          <w:rFonts w:ascii="Calibri" w:hAnsi="Calibri"/>
          <w:b w:val="0"/>
          <w:caps w:val="0"/>
          <w:noProof/>
          <w:sz w:val="21"/>
          <w:szCs w:val="22"/>
        </w:rPr>
      </w:pPr>
      <w:hyperlink w:anchor="_Toc65161982" w:history="1">
        <w:r w:rsidR="00E63864">
          <w:rPr>
            <w:rStyle w:val="1f"/>
            <w:noProof/>
          </w:rPr>
          <w:t>四、基金管理人对基金托管人的业务核查</w:t>
        </w:r>
        <w:r w:rsidR="00E63864">
          <w:rPr>
            <w:noProof/>
          </w:rPr>
          <w:tab/>
        </w:r>
        <w:r w:rsidR="00E63864">
          <w:rPr>
            <w:noProof/>
          </w:rPr>
          <w:fldChar w:fldCharType="begin"/>
        </w:r>
        <w:r w:rsidR="00E63864">
          <w:rPr>
            <w:noProof/>
          </w:rPr>
          <w:instrText xml:space="preserve"> PAGEREF _Toc65161982 \h </w:instrText>
        </w:r>
        <w:r w:rsidR="00E63864">
          <w:rPr>
            <w:noProof/>
          </w:rPr>
        </w:r>
        <w:r w:rsidR="00E63864">
          <w:rPr>
            <w:noProof/>
          </w:rPr>
          <w:fldChar w:fldCharType="separate"/>
        </w:r>
        <w:r w:rsidR="00332E1A">
          <w:rPr>
            <w:noProof/>
          </w:rPr>
          <w:t>11</w:t>
        </w:r>
        <w:r w:rsidR="00E63864">
          <w:rPr>
            <w:noProof/>
          </w:rPr>
          <w:fldChar w:fldCharType="end"/>
        </w:r>
      </w:hyperlink>
    </w:p>
    <w:p w14:paraId="3E19E9FE" w14:textId="00551F3D" w:rsidR="007A2E1E" w:rsidRDefault="00036969">
      <w:pPr>
        <w:pStyle w:val="113"/>
        <w:rPr>
          <w:rFonts w:ascii="Calibri" w:hAnsi="Calibri"/>
          <w:b w:val="0"/>
          <w:caps w:val="0"/>
          <w:noProof/>
          <w:sz w:val="21"/>
          <w:szCs w:val="22"/>
        </w:rPr>
      </w:pPr>
      <w:hyperlink w:anchor="_Toc65161983" w:history="1">
        <w:r w:rsidR="00E63864">
          <w:rPr>
            <w:rStyle w:val="1f"/>
            <w:noProof/>
          </w:rPr>
          <w:t>五、基金财产的保管</w:t>
        </w:r>
        <w:r w:rsidR="00E63864">
          <w:rPr>
            <w:noProof/>
          </w:rPr>
          <w:tab/>
        </w:r>
        <w:r w:rsidR="00E63864">
          <w:rPr>
            <w:noProof/>
          </w:rPr>
          <w:fldChar w:fldCharType="begin"/>
        </w:r>
        <w:r w:rsidR="00E63864">
          <w:rPr>
            <w:noProof/>
          </w:rPr>
          <w:instrText xml:space="preserve"> PAGEREF _Toc65161983 \h </w:instrText>
        </w:r>
        <w:r w:rsidR="00E63864">
          <w:rPr>
            <w:noProof/>
          </w:rPr>
        </w:r>
        <w:r w:rsidR="00E63864">
          <w:rPr>
            <w:noProof/>
          </w:rPr>
          <w:fldChar w:fldCharType="separate"/>
        </w:r>
        <w:r w:rsidR="00332E1A">
          <w:rPr>
            <w:noProof/>
          </w:rPr>
          <w:t>12</w:t>
        </w:r>
        <w:r w:rsidR="00E63864">
          <w:rPr>
            <w:noProof/>
          </w:rPr>
          <w:fldChar w:fldCharType="end"/>
        </w:r>
      </w:hyperlink>
    </w:p>
    <w:p w14:paraId="6765D21D" w14:textId="5C9C0D4C" w:rsidR="007A2E1E" w:rsidRDefault="00036969">
      <w:pPr>
        <w:pStyle w:val="113"/>
        <w:rPr>
          <w:rFonts w:ascii="Calibri" w:hAnsi="Calibri"/>
          <w:b w:val="0"/>
          <w:caps w:val="0"/>
          <w:noProof/>
          <w:sz w:val="21"/>
          <w:szCs w:val="22"/>
        </w:rPr>
      </w:pPr>
      <w:hyperlink w:anchor="_Toc65161984" w:history="1">
        <w:r w:rsidR="00E63864">
          <w:rPr>
            <w:rStyle w:val="1f"/>
            <w:noProof/>
          </w:rPr>
          <w:t>六、指令的发送、确认和执行</w:t>
        </w:r>
        <w:r w:rsidR="00E63864">
          <w:rPr>
            <w:noProof/>
          </w:rPr>
          <w:tab/>
        </w:r>
        <w:r w:rsidR="00E63864">
          <w:rPr>
            <w:noProof/>
          </w:rPr>
          <w:fldChar w:fldCharType="begin"/>
        </w:r>
        <w:r w:rsidR="00E63864">
          <w:rPr>
            <w:noProof/>
          </w:rPr>
          <w:instrText xml:space="preserve"> PAGEREF _Toc65161984 \h </w:instrText>
        </w:r>
        <w:r w:rsidR="00E63864">
          <w:rPr>
            <w:noProof/>
          </w:rPr>
        </w:r>
        <w:r w:rsidR="00E63864">
          <w:rPr>
            <w:noProof/>
          </w:rPr>
          <w:fldChar w:fldCharType="separate"/>
        </w:r>
        <w:r w:rsidR="00332E1A">
          <w:rPr>
            <w:noProof/>
          </w:rPr>
          <w:t>15</w:t>
        </w:r>
        <w:r w:rsidR="00E63864">
          <w:rPr>
            <w:noProof/>
          </w:rPr>
          <w:fldChar w:fldCharType="end"/>
        </w:r>
      </w:hyperlink>
    </w:p>
    <w:p w14:paraId="4081C2D2" w14:textId="69B707E8" w:rsidR="007A2E1E" w:rsidRDefault="00036969">
      <w:pPr>
        <w:pStyle w:val="113"/>
        <w:rPr>
          <w:rFonts w:ascii="Calibri" w:hAnsi="Calibri"/>
          <w:b w:val="0"/>
          <w:caps w:val="0"/>
          <w:noProof/>
          <w:sz w:val="21"/>
          <w:szCs w:val="22"/>
        </w:rPr>
      </w:pPr>
      <w:hyperlink w:anchor="_Toc65161985" w:history="1">
        <w:r w:rsidR="00E63864">
          <w:rPr>
            <w:rStyle w:val="1f"/>
            <w:noProof/>
          </w:rPr>
          <w:t>七、交易及清算交收安排</w:t>
        </w:r>
        <w:r w:rsidR="00E63864">
          <w:rPr>
            <w:noProof/>
          </w:rPr>
          <w:tab/>
        </w:r>
        <w:r w:rsidR="00E63864">
          <w:rPr>
            <w:noProof/>
          </w:rPr>
          <w:fldChar w:fldCharType="begin"/>
        </w:r>
        <w:r w:rsidR="00E63864">
          <w:rPr>
            <w:noProof/>
          </w:rPr>
          <w:instrText xml:space="preserve"> PAGEREF _Toc65161985 \h </w:instrText>
        </w:r>
        <w:r w:rsidR="00E63864">
          <w:rPr>
            <w:noProof/>
          </w:rPr>
        </w:r>
        <w:r w:rsidR="00E63864">
          <w:rPr>
            <w:noProof/>
          </w:rPr>
          <w:fldChar w:fldCharType="separate"/>
        </w:r>
        <w:r w:rsidR="00332E1A">
          <w:rPr>
            <w:noProof/>
          </w:rPr>
          <w:t>17</w:t>
        </w:r>
        <w:r w:rsidR="00E63864">
          <w:rPr>
            <w:noProof/>
          </w:rPr>
          <w:fldChar w:fldCharType="end"/>
        </w:r>
      </w:hyperlink>
    </w:p>
    <w:p w14:paraId="45ACD0D8" w14:textId="2DB73BB4" w:rsidR="007A2E1E" w:rsidRDefault="00036969">
      <w:pPr>
        <w:pStyle w:val="113"/>
        <w:rPr>
          <w:rFonts w:ascii="Calibri" w:hAnsi="Calibri"/>
          <w:b w:val="0"/>
          <w:caps w:val="0"/>
          <w:noProof/>
          <w:sz w:val="21"/>
          <w:szCs w:val="22"/>
        </w:rPr>
      </w:pPr>
      <w:hyperlink w:anchor="_Toc65161986" w:history="1">
        <w:r w:rsidR="00E63864">
          <w:rPr>
            <w:rStyle w:val="1f"/>
            <w:noProof/>
          </w:rPr>
          <w:t>八、基金资产净值计算和会计核算</w:t>
        </w:r>
        <w:r w:rsidR="00E63864">
          <w:rPr>
            <w:noProof/>
          </w:rPr>
          <w:tab/>
        </w:r>
        <w:r w:rsidR="00E63864">
          <w:rPr>
            <w:noProof/>
          </w:rPr>
          <w:fldChar w:fldCharType="begin"/>
        </w:r>
        <w:r w:rsidR="00E63864">
          <w:rPr>
            <w:noProof/>
          </w:rPr>
          <w:instrText xml:space="preserve"> PAGEREF _Toc65161986 \h </w:instrText>
        </w:r>
        <w:r w:rsidR="00E63864">
          <w:rPr>
            <w:noProof/>
          </w:rPr>
        </w:r>
        <w:r w:rsidR="00E63864">
          <w:rPr>
            <w:noProof/>
          </w:rPr>
          <w:fldChar w:fldCharType="separate"/>
        </w:r>
        <w:r w:rsidR="00332E1A">
          <w:rPr>
            <w:noProof/>
          </w:rPr>
          <w:t>20</w:t>
        </w:r>
        <w:r w:rsidR="00E63864">
          <w:rPr>
            <w:noProof/>
          </w:rPr>
          <w:fldChar w:fldCharType="end"/>
        </w:r>
      </w:hyperlink>
    </w:p>
    <w:p w14:paraId="5BC72E97" w14:textId="697A3BDC" w:rsidR="007A2E1E" w:rsidRDefault="00036969">
      <w:pPr>
        <w:pStyle w:val="113"/>
        <w:rPr>
          <w:rFonts w:ascii="Calibri" w:hAnsi="Calibri"/>
          <w:b w:val="0"/>
          <w:caps w:val="0"/>
          <w:noProof/>
          <w:sz w:val="21"/>
          <w:szCs w:val="22"/>
        </w:rPr>
      </w:pPr>
      <w:hyperlink w:anchor="_Toc65161987" w:history="1">
        <w:r w:rsidR="00E63864">
          <w:rPr>
            <w:rStyle w:val="1f"/>
            <w:noProof/>
          </w:rPr>
          <w:t>九、基金收益分配</w:t>
        </w:r>
        <w:r w:rsidR="00E63864">
          <w:rPr>
            <w:noProof/>
          </w:rPr>
          <w:tab/>
        </w:r>
        <w:r w:rsidR="00E63864">
          <w:rPr>
            <w:noProof/>
          </w:rPr>
          <w:fldChar w:fldCharType="begin"/>
        </w:r>
        <w:r w:rsidR="00E63864">
          <w:rPr>
            <w:noProof/>
          </w:rPr>
          <w:instrText xml:space="preserve"> PAGEREF _Toc65161987 \h </w:instrText>
        </w:r>
        <w:r w:rsidR="00E63864">
          <w:rPr>
            <w:noProof/>
          </w:rPr>
        </w:r>
        <w:r w:rsidR="00E63864">
          <w:rPr>
            <w:noProof/>
          </w:rPr>
          <w:fldChar w:fldCharType="separate"/>
        </w:r>
        <w:r w:rsidR="00332E1A">
          <w:rPr>
            <w:noProof/>
          </w:rPr>
          <w:t>26</w:t>
        </w:r>
        <w:r w:rsidR="00E63864">
          <w:rPr>
            <w:noProof/>
          </w:rPr>
          <w:fldChar w:fldCharType="end"/>
        </w:r>
      </w:hyperlink>
    </w:p>
    <w:p w14:paraId="56302187" w14:textId="11574E1A" w:rsidR="007A2E1E" w:rsidRDefault="00036969">
      <w:pPr>
        <w:pStyle w:val="113"/>
        <w:rPr>
          <w:rFonts w:ascii="Calibri" w:hAnsi="Calibri"/>
          <w:b w:val="0"/>
          <w:caps w:val="0"/>
          <w:noProof/>
          <w:sz w:val="21"/>
          <w:szCs w:val="22"/>
        </w:rPr>
      </w:pPr>
      <w:hyperlink w:anchor="_Toc65161988" w:history="1">
        <w:r w:rsidR="00E63864">
          <w:rPr>
            <w:rStyle w:val="1f"/>
            <w:noProof/>
          </w:rPr>
          <w:t>十、基金信息披露</w:t>
        </w:r>
        <w:r w:rsidR="00E63864">
          <w:rPr>
            <w:noProof/>
          </w:rPr>
          <w:tab/>
        </w:r>
        <w:r w:rsidR="00E63864">
          <w:rPr>
            <w:noProof/>
          </w:rPr>
          <w:fldChar w:fldCharType="begin"/>
        </w:r>
        <w:r w:rsidR="00E63864">
          <w:rPr>
            <w:noProof/>
          </w:rPr>
          <w:instrText xml:space="preserve"> PAGEREF _Toc65161988 \h </w:instrText>
        </w:r>
        <w:r w:rsidR="00E63864">
          <w:rPr>
            <w:noProof/>
          </w:rPr>
        </w:r>
        <w:r w:rsidR="00E63864">
          <w:rPr>
            <w:noProof/>
          </w:rPr>
          <w:fldChar w:fldCharType="separate"/>
        </w:r>
        <w:r w:rsidR="00332E1A">
          <w:rPr>
            <w:noProof/>
          </w:rPr>
          <w:t>27</w:t>
        </w:r>
        <w:r w:rsidR="00E63864">
          <w:rPr>
            <w:noProof/>
          </w:rPr>
          <w:fldChar w:fldCharType="end"/>
        </w:r>
      </w:hyperlink>
    </w:p>
    <w:p w14:paraId="7AEEC77C" w14:textId="5D5BF37D" w:rsidR="007A2E1E" w:rsidRDefault="00036969">
      <w:pPr>
        <w:pStyle w:val="113"/>
        <w:rPr>
          <w:rFonts w:ascii="Calibri" w:hAnsi="Calibri"/>
          <w:b w:val="0"/>
          <w:caps w:val="0"/>
          <w:noProof/>
          <w:sz w:val="21"/>
          <w:szCs w:val="22"/>
        </w:rPr>
      </w:pPr>
      <w:hyperlink w:anchor="_Toc65161989" w:history="1">
        <w:r w:rsidR="00E63864">
          <w:rPr>
            <w:rStyle w:val="1f"/>
            <w:noProof/>
          </w:rPr>
          <w:t>十一、基金费用</w:t>
        </w:r>
        <w:r w:rsidR="00E63864">
          <w:rPr>
            <w:noProof/>
          </w:rPr>
          <w:tab/>
        </w:r>
        <w:r w:rsidR="00E63864">
          <w:rPr>
            <w:noProof/>
          </w:rPr>
          <w:fldChar w:fldCharType="begin"/>
        </w:r>
        <w:r w:rsidR="00E63864">
          <w:rPr>
            <w:noProof/>
          </w:rPr>
          <w:instrText xml:space="preserve"> PAGEREF _Toc65161989 \h </w:instrText>
        </w:r>
        <w:r w:rsidR="00E63864">
          <w:rPr>
            <w:noProof/>
          </w:rPr>
        </w:r>
        <w:r w:rsidR="00E63864">
          <w:rPr>
            <w:noProof/>
          </w:rPr>
          <w:fldChar w:fldCharType="separate"/>
        </w:r>
        <w:r w:rsidR="00332E1A">
          <w:rPr>
            <w:noProof/>
          </w:rPr>
          <w:t>28</w:t>
        </w:r>
        <w:r w:rsidR="00E63864">
          <w:rPr>
            <w:noProof/>
          </w:rPr>
          <w:fldChar w:fldCharType="end"/>
        </w:r>
      </w:hyperlink>
    </w:p>
    <w:p w14:paraId="0B01413C" w14:textId="2B98FD85" w:rsidR="007A2E1E" w:rsidRDefault="00036969">
      <w:pPr>
        <w:pStyle w:val="113"/>
        <w:rPr>
          <w:rFonts w:ascii="Calibri" w:hAnsi="Calibri"/>
          <w:b w:val="0"/>
          <w:caps w:val="0"/>
          <w:noProof/>
          <w:sz w:val="21"/>
          <w:szCs w:val="22"/>
        </w:rPr>
      </w:pPr>
      <w:hyperlink w:anchor="_Toc65161990" w:history="1">
        <w:r w:rsidR="00E63864">
          <w:rPr>
            <w:rStyle w:val="1f"/>
            <w:noProof/>
          </w:rPr>
          <w:t>十二、基金份额持有人</w:t>
        </w:r>
        <w:bookmarkStart w:id="0" w:name="_Hlt112916116"/>
        <w:bookmarkStart w:id="1" w:name="_Hlt112916115"/>
        <w:r w:rsidR="00E63864">
          <w:rPr>
            <w:rStyle w:val="1f"/>
            <w:noProof/>
          </w:rPr>
          <w:t>名</w:t>
        </w:r>
        <w:bookmarkEnd w:id="0"/>
        <w:bookmarkEnd w:id="1"/>
        <w:r w:rsidR="00E63864">
          <w:rPr>
            <w:rStyle w:val="1f"/>
            <w:noProof/>
          </w:rPr>
          <w:t>册的保管</w:t>
        </w:r>
        <w:r w:rsidR="00E63864">
          <w:rPr>
            <w:noProof/>
          </w:rPr>
          <w:tab/>
        </w:r>
        <w:r w:rsidR="00E63864">
          <w:rPr>
            <w:noProof/>
          </w:rPr>
          <w:fldChar w:fldCharType="begin"/>
        </w:r>
        <w:r w:rsidR="00E63864">
          <w:rPr>
            <w:noProof/>
          </w:rPr>
          <w:instrText xml:space="preserve"> PAGEREF _Toc65161990 \h </w:instrText>
        </w:r>
        <w:r w:rsidR="00E63864">
          <w:rPr>
            <w:noProof/>
          </w:rPr>
        </w:r>
        <w:r w:rsidR="00E63864">
          <w:rPr>
            <w:noProof/>
          </w:rPr>
          <w:fldChar w:fldCharType="separate"/>
        </w:r>
        <w:r w:rsidR="00332E1A">
          <w:rPr>
            <w:noProof/>
          </w:rPr>
          <w:t>30</w:t>
        </w:r>
        <w:r w:rsidR="00E63864">
          <w:rPr>
            <w:noProof/>
          </w:rPr>
          <w:fldChar w:fldCharType="end"/>
        </w:r>
      </w:hyperlink>
    </w:p>
    <w:p w14:paraId="2D148EBD" w14:textId="27429B81" w:rsidR="007A2E1E" w:rsidRDefault="00036969">
      <w:pPr>
        <w:pStyle w:val="113"/>
        <w:rPr>
          <w:rFonts w:ascii="Calibri" w:hAnsi="Calibri"/>
          <w:b w:val="0"/>
          <w:caps w:val="0"/>
          <w:noProof/>
          <w:sz w:val="21"/>
          <w:szCs w:val="22"/>
        </w:rPr>
      </w:pPr>
      <w:hyperlink w:anchor="_Toc65161991" w:history="1">
        <w:r w:rsidR="00E63864">
          <w:rPr>
            <w:rStyle w:val="1f"/>
            <w:noProof/>
          </w:rPr>
          <w:t>十三、基金有关文件档案的保存</w:t>
        </w:r>
        <w:r w:rsidR="00E63864">
          <w:rPr>
            <w:noProof/>
          </w:rPr>
          <w:tab/>
        </w:r>
        <w:r w:rsidR="00E63864">
          <w:rPr>
            <w:noProof/>
          </w:rPr>
          <w:fldChar w:fldCharType="begin"/>
        </w:r>
        <w:r w:rsidR="00E63864">
          <w:rPr>
            <w:noProof/>
          </w:rPr>
          <w:instrText xml:space="preserve"> PAGEREF _Toc65161991 \h </w:instrText>
        </w:r>
        <w:r w:rsidR="00E63864">
          <w:rPr>
            <w:noProof/>
          </w:rPr>
        </w:r>
        <w:r w:rsidR="00E63864">
          <w:rPr>
            <w:noProof/>
          </w:rPr>
          <w:fldChar w:fldCharType="separate"/>
        </w:r>
        <w:r w:rsidR="00332E1A">
          <w:rPr>
            <w:noProof/>
          </w:rPr>
          <w:t>30</w:t>
        </w:r>
        <w:r w:rsidR="00E63864">
          <w:rPr>
            <w:noProof/>
          </w:rPr>
          <w:fldChar w:fldCharType="end"/>
        </w:r>
      </w:hyperlink>
    </w:p>
    <w:p w14:paraId="486F3E99" w14:textId="41546294" w:rsidR="007A2E1E" w:rsidRDefault="00036969">
      <w:pPr>
        <w:pStyle w:val="113"/>
        <w:rPr>
          <w:rFonts w:ascii="Calibri" w:hAnsi="Calibri"/>
          <w:b w:val="0"/>
          <w:caps w:val="0"/>
          <w:noProof/>
          <w:sz w:val="21"/>
          <w:szCs w:val="22"/>
        </w:rPr>
      </w:pPr>
      <w:hyperlink w:anchor="_Toc65161992" w:history="1">
        <w:r w:rsidR="00E63864">
          <w:rPr>
            <w:rStyle w:val="1f"/>
            <w:noProof/>
          </w:rPr>
          <w:t>十四、基金管理人和基金托管人的更换</w:t>
        </w:r>
        <w:r w:rsidR="00E63864">
          <w:rPr>
            <w:noProof/>
          </w:rPr>
          <w:tab/>
        </w:r>
        <w:r w:rsidR="00E63864">
          <w:rPr>
            <w:noProof/>
          </w:rPr>
          <w:fldChar w:fldCharType="begin"/>
        </w:r>
        <w:r w:rsidR="00E63864">
          <w:rPr>
            <w:noProof/>
          </w:rPr>
          <w:instrText xml:space="preserve"> PAGEREF _Toc65161992 \h </w:instrText>
        </w:r>
        <w:r w:rsidR="00E63864">
          <w:rPr>
            <w:noProof/>
          </w:rPr>
        </w:r>
        <w:r w:rsidR="00E63864">
          <w:rPr>
            <w:noProof/>
          </w:rPr>
          <w:fldChar w:fldCharType="separate"/>
        </w:r>
        <w:r w:rsidR="00332E1A">
          <w:rPr>
            <w:noProof/>
          </w:rPr>
          <w:t>31</w:t>
        </w:r>
        <w:r w:rsidR="00E63864">
          <w:rPr>
            <w:noProof/>
          </w:rPr>
          <w:fldChar w:fldCharType="end"/>
        </w:r>
      </w:hyperlink>
    </w:p>
    <w:p w14:paraId="53DFEDD8" w14:textId="5D56A2E1" w:rsidR="007A2E1E" w:rsidRDefault="00036969">
      <w:pPr>
        <w:pStyle w:val="113"/>
        <w:rPr>
          <w:rFonts w:ascii="Calibri" w:hAnsi="Calibri"/>
          <w:b w:val="0"/>
          <w:caps w:val="0"/>
          <w:noProof/>
          <w:sz w:val="21"/>
          <w:szCs w:val="22"/>
        </w:rPr>
      </w:pPr>
      <w:hyperlink w:anchor="_Toc65161993" w:history="1">
        <w:r w:rsidR="00E63864">
          <w:rPr>
            <w:rStyle w:val="1f"/>
            <w:noProof/>
          </w:rPr>
          <w:t>十五、禁止行为</w:t>
        </w:r>
        <w:r w:rsidR="00E63864">
          <w:rPr>
            <w:noProof/>
          </w:rPr>
          <w:tab/>
        </w:r>
        <w:bookmarkStart w:id="2" w:name="_GoBack"/>
        <w:bookmarkEnd w:id="2"/>
        <w:r w:rsidR="00E63864">
          <w:rPr>
            <w:noProof/>
          </w:rPr>
          <w:fldChar w:fldCharType="begin"/>
        </w:r>
        <w:r w:rsidR="00E63864">
          <w:rPr>
            <w:noProof/>
          </w:rPr>
          <w:instrText xml:space="preserve"> PAGEREF _Toc65161993 \h </w:instrText>
        </w:r>
        <w:r w:rsidR="00E63864">
          <w:rPr>
            <w:noProof/>
          </w:rPr>
        </w:r>
        <w:r w:rsidR="00E63864">
          <w:rPr>
            <w:noProof/>
          </w:rPr>
          <w:fldChar w:fldCharType="separate"/>
        </w:r>
        <w:r w:rsidR="00332E1A">
          <w:rPr>
            <w:noProof/>
          </w:rPr>
          <w:t>33</w:t>
        </w:r>
        <w:r w:rsidR="00E63864">
          <w:rPr>
            <w:noProof/>
          </w:rPr>
          <w:fldChar w:fldCharType="end"/>
        </w:r>
      </w:hyperlink>
    </w:p>
    <w:p w14:paraId="4B50EEF0" w14:textId="5FB366C8" w:rsidR="007A2E1E" w:rsidRDefault="00036969">
      <w:pPr>
        <w:pStyle w:val="113"/>
        <w:rPr>
          <w:rFonts w:ascii="Calibri" w:hAnsi="Calibri"/>
          <w:b w:val="0"/>
          <w:caps w:val="0"/>
          <w:noProof/>
          <w:sz w:val="21"/>
          <w:szCs w:val="22"/>
        </w:rPr>
      </w:pPr>
      <w:hyperlink w:anchor="_Toc65161994" w:history="1">
        <w:r w:rsidR="00E63864">
          <w:rPr>
            <w:rStyle w:val="1f"/>
            <w:noProof/>
          </w:rPr>
          <w:t>十六、基金托管协议的变更、终止与基金财产的清算</w:t>
        </w:r>
        <w:r w:rsidR="00E63864">
          <w:rPr>
            <w:noProof/>
          </w:rPr>
          <w:tab/>
        </w:r>
        <w:r w:rsidR="00E63864">
          <w:rPr>
            <w:noProof/>
          </w:rPr>
          <w:fldChar w:fldCharType="begin"/>
        </w:r>
        <w:r w:rsidR="00E63864">
          <w:rPr>
            <w:noProof/>
          </w:rPr>
          <w:instrText xml:space="preserve"> PAGEREF _Toc65161994 \h </w:instrText>
        </w:r>
        <w:r w:rsidR="00E63864">
          <w:rPr>
            <w:noProof/>
          </w:rPr>
        </w:r>
        <w:r w:rsidR="00E63864">
          <w:rPr>
            <w:noProof/>
          </w:rPr>
          <w:fldChar w:fldCharType="separate"/>
        </w:r>
        <w:r w:rsidR="00332E1A">
          <w:rPr>
            <w:noProof/>
          </w:rPr>
          <w:t>34</w:t>
        </w:r>
        <w:r w:rsidR="00E63864">
          <w:rPr>
            <w:noProof/>
          </w:rPr>
          <w:fldChar w:fldCharType="end"/>
        </w:r>
      </w:hyperlink>
    </w:p>
    <w:p w14:paraId="4D7B782C" w14:textId="007AE6B8" w:rsidR="007A2E1E" w:rsidRDefault="00036969">
      <w:pPr>
        <w:pStyle w:val="113"/>
        <w:rPr>
          <w:rFonts w:ascii="Calibri" w:hAnsi="Calibri"/>
          <w:b w:val="0"/>
          <w:caps w:val="0"/>
          <w:noProof/>
          <w:sz w:val="21"/>
          <w:szCs w:val="22"/>
        </w:rPr>
      </w:pPr>
      <w:hyperlink w:anchor="_Toc65161995" w:history="1">
        <w:r w:rsidR="00E63864">
          <w:rPr>
            <w:rStyle w:val="1f"/>
            <w:noProof/>
          </w:rPr>
          <w:t>十七、违约责任</w:t>
        </w:r>
        <w:r w:rsidR="00E63864">
          <w:rPr>
            <w:noProof/>
          </w:rPr>
          <w:tab/>
        </w:r>
        <w:r w:rsidR="00E63864">
          <w:rPr>
            <w:noProof/>
          </w:rPr>
          <w:fldChar w:fldCharType="begin"/>
        </w:r>
        <w:r w:rsidR="00E63864">
          <w:rPr>
            <w:noProof/>
          </w:rPr>
          <w:instrText xml:space="preserve"> PAGEREF _Toc65161995 \h </w:instrText>
        </w:r>
        <w:r w:rsidR="00E63864">
          <w:rPr>
            <w:noProof/>
          </w:rPr>
        </w:r>
        <w:r w:rsidR="00E63864">
          <w:rPr>
            <w:noProof/>
          </w:rPr>
          <w:fldChar w:fldCharType="separate"/>
        </w:r>
        <w:r w:rsidR="00332E1A">
          <w:rPr>
            <w:noProof/>
          </w:rPr>
          <w:t>36</w:t>
        </w:r>
        <w:r w:rsidR="00E63864">
          <w:rPr>
            <w:noProof/>
          </w:rPr>
          <w:fldChar w:fldCharType="end"/>
        </w:r>
      </w:hyperlink>
    </w:p>
    <w:p w14:paraId="6460EA60" w14:textId="05F1CF14" w:rsidR="007A2E1E" w:rsidRDefault="00036969">
      <w:pPr>
        <w:pStyle w:val="113"/>
        <w:rPr>
          <w:rFonts w:ascii="Calibri" w:hAnsi="Calibri"/>
          <w:b w:val="0"/>
          <w:caps w:val="0"/>
          <w:noProof/>
          <w:sz w:val="21"/>
          <w:szCs w:val="22"/>
        </w:rPr>
      </w:pPr>
      <w:hyperlink w:anchor="_Toc65161996" w:history="1">
        <w:r w:rsidR="00E63864">
          <w:rPr>
            <w:rStyle w:val="1f"/>
            <w:noProof/>
          </w:rPr>
          <w:t>十八、争议解决方式</w:t>
        </w:r>
        <w:r w:rsidR="00E63864">
          <w:rPr>
            <w:noProof/>
          </w:rPr>
          <w:tab/>
        </w:r>
        <w:r w:rsidR="00E63864">
          <w:rPr>
            <w:noProof/>
          </w:rPr>
          <w:fldChar w:fldCharType="begin"/>
        </w:r>
        <w:r w:rsidR="00E63864">
          <w:rPr>
            <w:noProof/>
          </w:rPr>
          <w:instrText xml:space="preserve"> PAGEREF _Toc65161996 \h </w:instrText>
        </w:r>
        <w:r w:rsidR="00E63864">
          <w:rPr>
            <w:noProof/>
          </w:rPr>
        </w:r>
        <w:r w:rsidR="00E63864">
          <w:rPr>
            <w:noProof/>
          </w:rPr>
          <w:fldChar w:fldCharType="separate"/>
        </w:r>
        <w:r w:rsidR="00332E1A">
          <w:rPr>
            <w:noProof/>
          </w:rPr>
          <w:t>37</w:t>
        </w:r>
        <w:r w:rsidR="00E63864">
          <w:rPr>
            <w:noProof/>
          </w:rPr>
          <w:fldChar w:fldCharType="end"/>
        </w:r>
      </w:hyperlink>
    </w:p>
    <w:p w14:paraId="0D6021BC" w14:textId="28A1E884" w:rsidR="007A2E1E" w:rsidRDefault="00036969">
      <w:pPr>
        <w:pStyle w:val="113"/>
        <w:rPr>
          <w:rFonts w:ascii="Calibri" w:hAnsi="Calibri"/>
          <w:b w:val="0"/>
          <w:caps w:val="0"/>
          <w:noProof/>
          <w:sz w:val="21"/>
          <w:szCs w:val="22"/>
        </w:rPr>
      </w:pPr>
      <w:hyperlink w:anchor="_Toc65161997" w:history="1">
        <w:r w:rsidR="00E63864">
          <w:rPr>
            <w:rStyle w:val="1f"/>
            <w:noProof/>
          </w:rPr>
          <w:t>十九、基金托管协议的效力</w:t>
        </w:r>
        <w:r w:rsidR="00E63864">
          <w:rPr>
            <w:noProof/>
          </w:rPr>
          <w:tab/>
        </w:r>
        <w:r w:rsidR="00E63864">
          <w:rPr>
            <w:noProof/>
          </w:rPr>
          <w:fldChar w:fldCharType="begin"/>
        </w:r>
        <w:r w:rsidR="00E63864">
          <w:rPr>
            <w:noProof/>
          </w:rPr>
          <w:instrText xml:space="preserve"> PAGEREF _Toc65161997 \h </w:instrText>
        </w:r>
        <w:r w:rsidR="00E63864">
          <w:rPr>
            <w:noProof/>
          </w:rPr>
        </w:r>
        <w:r w:rsidR="00E63864">
          <w:rPr>
            <w:noProof/>
          </w:rPr>
          <w:fldChar w:fldCharType="separate"/>
        </w:r>
        <w:r w:rsidR="00332E1A">
          <w:rPr>
            <w:noProof/>
          </w:rPr>
          <w:t>37</w:t>
        </w:r>
        <w:r w:rsidR="00E63864">
          <w:rPr>
            <w:noProof/>
          </w:rPr>
          <w:fldChar w:fldCharType="end"/>
        </w:r>
      </w:hyperlink>
    </w:p>
    <w:p w14:paraId="37A14DDA" w14:textId="6661E268" w:rsidR="007A2E1E" w:rsidRDefault="00036969">
      <w:pPr>
        <w:pStyle w:val="113"/>
        <w:rPr>
          <w:rFonts w:ascii="Calibri" w:hAnsi="Calibri"/>
          <w:b w:val="0"/>
          <w:caps w:val="0"/>
          <w:noProof/>
          <w:sz w:val="21"/>
          <w:szCs w:val="22"/>
        </w:rPr>
      </w:pPr>
      <w:hyperlink w:anchor="_Toc65161998" w:history="1">
        <w:r w:rsidR="00E63864">
          <w:rPr>
            <w:rStyle w:val="1f"/>
            <w:noProof/>
          </w:rPr>
          <w:t>二十、其他事项</w:t>
        </w:r>
        <w:r w:rsidR="00E63864">
          <w:rPr>
            <w:noProof/>
          </w:rPr>
          <w:tab/>
        </w:r>
        <w:r w:rsidR="00E63864">
          <w:rPr>
            <w:noProof/>
          </w:rPr>
          <w:fldChar w:fldCharType="begin"/>
        </w:r>
        <w:r w:rsidR="00E63864">
          <w:rPr>
            <w:noProof/>
          </w:rPr>
          <w:instrText xml:space="preserve"> PAGEREF _Toc65161998 \h </w:instrText>
        </w:r>
        <w:r w:rsidR="00E63864">
          <w:rPr>
            <w:noProof/>
          </w:rPr>
        </w:r>
        <w:r w:rsidR="00E63864">
          <w:rPr>
            <w:noProof/>
          </w:rPr>
          <w:fldChar w:fldCharType="separate"/>
        </w:r>
        <w:r w:rsidR="00332E1A">
          <w:rPr>
            <w:noProof/>
          </w:rPr>
          <w:t>38</w:t>
        </w:r>
        <w:r w:rsidR="00E63864">
          <w:rPr>
            <w:noProof/>
          </w:rPr>
          <w:fldChar w:fldCharType="end"/>
        </w:r>
      </w:hyperlink>
    </w:p>
    <w:p w14:paraId="7E3A74DF" w14:textId="54379126" w:rsidR="007A2E1E" w:rsidRDefault="00036969">
      <w:pPr>
        <w:pStyle w:val="113"/>
        <w:rPr>
          <w:rFonts w:ascii="Calibri" w:hAnsi="Calibri"/>
          <w:b w:val="0"/>
          <w:caps w:val="0"/>
          <w:noProof/>
          <w:sz w:val="21"/>
          <w:szCs w:val="22"/>
        </w:rPr>
      </w:pPr>
      <w:hyperlink w:anchor="_Toc65161999" w:history="1">
        <w:r w:rsidR="00E63864">
          <w:rPr>
            <w:rStyle w:val="1f"/>
            <w:noProof/>
          </w:rPr>
          <w:t>二十一、基金托管协议的签订</w:t>
        </w:r>
        <w:r w:rsidR="00E63864">
          <w:rPr>
            <w:noProof/>
          </w:rPr>
          <w:tab/>
        </w:r>
        <w:r w:rsidR="00E63864">
          <w:rPr>
            <w:noProof/>
          </w:rPr>
          <w:fldChar w:fldCharType="begin"/>
        </w:r>
        <w:r w:rsidR="00E63864">
          <w:rPr>
            <w:noProof/>
          </w:rPr>
          <w:instrText xml:space="preserve"> PAGEREF _Toc65161999 \h </w:instrText>
        </w:r>
        <w:r w:rsidR="00E63864">
          <w:rPr>
            <w:noProof/>
          </w:rPr>
        </w:r>
        <w:r w:rsidR="00E63864">
          <w:rPr>
            <w:noProof/>
          </w:rPr>
          <w:fldChar w:fldCharType="separate"/>
        </w:r>
        <w:r w:rsidR="00332E1A">
          <w:rPr>
            <w:noProof/>
          </w:rPr>
          <w:t>38</w:t>
        </w:r>
        <w:r w:rsidR="00E63864">
          <w:rPr>
            <w:noProof/>
          </w:rPr>
          <w:fldChar w:fldCharType="end"/>
        </w:r>
      </w:hyperlink>
    </w:p>
    <w:p w14:paraId="27110EE8" w14:textId="77777777" w:rsidR="007A2E1E" w:rsidRDefault="00E63864">
      <w:pPr>
        <w:pStyle w:val="113"/>
        <w:tabs>
          <w:tab w:val="right" w:leader="dot" w:pos="8296"/>
        </w:tabs>
        <w:spacing w:before="0"/>
        <w:ind w:firstLine="0"/>
        <w:rPr>
          <w:rStyle w:val="1f"/>
          <w:rFonts w:ascii="宋体"/>
          <w:bCs/>
          <w:color w:val="000000"/>
        </w:rPr>
      </w:pPr>
      <w:r>
        <w:rPr>
          <w:rStyle w:val="1f"/>
          <w:rFonts w:ascii="宋体" w:hAnsi="宋体"/>
          <w:bCs/>
          <w:color w:val="000000"/>
          <w:sz w:val="24"/>
          <w:szCs w:val="24"/>
        </w:rPr>
        <w:fldChar w:fldCharType="end"/>
      </w:r>
    </w:p>
    <w:p w14:paraId="42DF9130" w14:textId="77777777" w:rsidR="007A2E1E" w:rsidRDefault="00E63864">
      <w:pPr>
        <w:pStyle w:val="12"/>
        <w:spacing w:line="360" w:lineRule="auto"/>
        <w:ind w:firstLineChars="200" w:firstLine="420"/>
        <w:rPr>
          <w:rFonts w:ascii="宋体"/>
          <w:sz w:val="24"/>
        </w:rPr>
      </w:pPr>
      <w:r>
        <w:rPr>
          <w:rStyle w:val="1f"/>
          <w:rFonts w:ascii="宋体"/>
          <w:bCs/>
          <w:color w:val="000000"/>
        </w:rPr>
        <w:br w:type="page"/>
      </w:r>
      <w:bookmarkStart w:id="3" w:name="_Toc125892432"/>
      <w:bookmarkStart w:id="4" w:name="_Toc22454432"/>
      <w:bookmarkStart w:id="5" w:name="_Toc523829992"/>
      <w:r>
        <w:rPr>
          <w:rFonts w:ascii="宋体" w:hAnsi="宋体"/>
          <w:sz w:val="24"/>
        </w:rPr>
        <w:lastRenderedPageBreak/>
        <w:t>鉴于汇添富基金管理股份有限公司系一家依照中国法律合法成立并有效存续的股份有限公司，拟募集汇添富上证科创板200指数型发起式证券投资基金（以下简称“本基金”或“基金”）；</w:t>
      </w:r>
      <w:bookmarkEnd w:id="3"/>
    </w:p>
    <w:p w14:paraId="75E19122" w14:textId="77777777" w:rsidR="007A2E1E" w:rsidRDefault="00E63864">
      <w:pPr>
        <w:pStyle w:val="12"/>
        <w:spacing w:line="360" w:lineRule="auto"/>
        <w:ind w:firstLineChars="200" w:firstLine="480"/>
        <w:rPr>
          <w:rFonts w:ascii="宋体"/>
          <w:sz w:val="24"/>
        </w:rPr>
      </w:pPr>
      <w:bookmarkStart w:id="6" w:name="_Toc125892433"/>
      <w:r>
        <w:rPr>
          <w:rFonts w:ascii="宋体" w:hAnsi="宋体"/>
          <w:sz w:val="24"/>
        </w:rPr>
        <w:t>鉴于交通银行股份有限公司系一家依照中国法律合法成立并有效存续的银行，按照相关法律法规的规定具备担任基金托管人的资格和能力；</w:t>
      </w:r>
      <w:bookmarkEnd w:id="6"/>
    </w:p>
    <w:p w14:paraId="7439CE11" w14:textId="77777777" w:rsidR="007A2E1E" w:rsidRDefault="00E63864">
      <w:pPr>
        <w:pStyle w:val="12"/>
        <w:spacing w:line="360" w:lineRule="auto"/>
        <w:ind w:firstLineChars="200" w:firstLine="480"/>
        <w:rPr>
          <w:rFonts w:ascii="宋体"/>
          <w:sz w:val="24"/>
        </w:rPr>
      </w:pPr>
      <w:bookmarkStart w:id="7" w:name="_Toc125892434"/>
      <w:r>
        <w:rPr>
          <w:rFonts w:ascii="宋体" w:hAnsi="宋体"/>
          <w:sz w:val="24"/>
        </w:rPr>
        <w:t>鉴于汇添富基金管理股份有限公司拟担任汇添富上证科创板200指数型发起式证券投资基金的基金管理人，交通银行股份有限公司拟担任汇添富上证科创板200指数型发起式证券投资基金的基金托管人；</w:t>
      </w:r>
      <w:bookmarkEnd w:id="7"/>
    </w:p>
    <w:p w14:paraId="4B20EEF5" w14:textId="77777777" w:rsidR="007A2E1E" w:rsidRDefault="00E63864">
      <w:pPr>
        <w:pStyle w:val="12"/>
        <w:spacing w:line="360" w:lineRule="auto"/>
        <w:ind w:firstLineChars="200" w:firstLine="480"/>
        <w:rPr>
          <w:rFonts w:ascii="宋体" w:hAnsi="宋体"/>
          <w:sz w:val="24"/>
        </w:rPr>
      </w:pPr>
      <w:bookmarkStart w:id="8" w:name="_Toc125892435"/>
      <w:r>
        <w:rPr>
          <w:rFonts w:ascii="宋体" w:hAnsi="宋体"/>
          <w:sz w:val="24"/>
        </w:rPr>
        <w:t>基金管理人承诺其知悉《中华人民共和国反洗钱法》、《金融机构客户身份识别和客户身份资料及交易记录保存管理办法》、《金融机构大额交易和可疑交易报告管理办法》、《中国人民银行关于加强反洗钱客户身份识别有关工作的通知》（银发﹝2017﹞235号）、《中国人民银行关于进一步做好受益所有人身份识别工作有关问题的通知》（银发﹝2018﹞164号）等反洗钱相关法律法规、监管规定，将严格遵守上述规定，不会违反任何前述规定；承诺用于投资的资金来源不属于违法犯罪所得及其收益；承诺投资的资金来源和去向不涉及洗钱、恐怖融资和逃税等行为；承诺在法律法规允许的范围内向基金托管人出示真实有效的身份证件或者其他身份证明文件，提供真实有效的业务性质与股权或者控制权结构、提供产品受益所有人的信息和资料，并在产品受益所有人发生变化时，及时告知基金托管人并按基金托管人要求完成更新；承诺积极履行反洗钱职责，不借助本业务进行洗钱等违法犯罪活动；</w:t>
      </w:r>
    </w:p>
    <w:p w14:paraId="59B6BF46" w14:textId="77777777" w:rsidR="007A2E1E" w:rsidRDefault="00E63864">
      <w:pPr>
        <w:pStyle w:val="12"/>
        <w:spacing w:line="360" w:lineRule="auto"/>
        <w:ind w:firstLineChars="200" w:firstLine="480"/>
        <w:rPr>
          <w:rFonts w:ascii="宋体" w:hAnsi="宋体"/>
          <w:sz w:val="24"/>
        </w:rPr>
      </w:pPr>
      <w:r>
        <w:rPr>
          <w:rFonts w:ascii="宋体" w:hAnsi="宋体"/>
          <w:sz w:val="24"/>
        </w:rPr>
        <w:t>基金管理人承诺基金管理人及其关联方均不属于中国法律法规认可的联合国及相关国家、组织、机构发布的制裁名单，及中国政府部门或有权机关发布的涉恐及反洗钱相关风险名单内的企业或个人；不位于中国法律法规认可的被联合国及相关国家、组织、机构制裁的国家和地区；</w:t>
      </w:r>
    </w:p>
    <w:p w14:paraId="16F1B6B6" w14:textId="77777777" w:rsidR="007A2E1E" w:rsidRDefault="00E63864">
      <w:pPr>
        <w:pStyle w:val="12"/>
        <w:pBdr>
          <w:top w:val="none" w:sz="0" w:space="0" w:color="000000"/>
          <w:left w:val="none" w:sz="0" w:space="0" w:color="000000"/>
          <w:bottom w:val="none" w:sz="0" w:space="0" w:color="000000"/>
          <w:right w:val="none" w:sz="0" w:space="0" w:color="000000"/>
        </w:pBdr>
        <w:spacing w:line="360" w:lineRule="auto"/>
        <w:ind w:firstLineChars="200" w:firstLine="480"/>
        <w:rPr>
          <w:rFonts w:ascii="宋体" w:hAnsi="宋体"/>
          <w:sz w:val="24"/>
        </w:rPr>
      </w:pPr>
      <w:r>
        <w:rPr>
          <w:rFonts w:ascii="宋体" w:hAnsi="宋体"/>
          <w:sz w:val="24"/>
        </w:rPr>
        <w:t>基金管理人承诺，其已根据《中华人民共和国个人信息保护法》等适用的现行法律法规、监管规定的要求，履行了个人信息处理者应承担的义务。对于按规定应向基金托管人提供的自然人个人信息，其已按照相关法律法规、监管规定的要求，履行了必需的手续</w:t>
      </w:r>
      <w:r>
        <w:rPr>
          <w:rFonts w:ascii="宋体" w:hAnsi="宋体" w:cs="宋体"/>
          <w:sz w:val="24"/>
        </w:rPr>
        <w:t>，并已取得了自然人的同意或者授权</w:t>
      </w:r>
      <w:r>
        <w:rPr>
          <w:rFonts w:ascii="宋体" w:hAnsi="宋体"/>
          <w:sz w:val="24"/>
        </w:rPr>
        <w:t>；</w:t>
      </w:r>
    </w:p>
    <w:p w14:paraId="6567DDA6" w14:textId="77777777" w:rsidR="007A2E1E" w:rsidRDefault="00E63864">
      <w:pPr>
        <w:pStyle w:val="12"/>
        <w:spacing w:line="360" w:lineRule="auto"/>
        <w:ind w:firstLineChars="200" w:firstLine="480"/>
        <w:rPr>
          <w:rFonts w:ascii="宋体" w:hAnsi="宋体"/>
          <w:sz w:val="24"/>
        </w:rPr>
      </w:pPr>
      <w:r>
        <w:rPr>
          <w:rFonts w:ascii="宋体" w:hAnsi="宋体"/>
          <w:sz w:val="24"/>
        </w:rPr>
        <w:t>基金托管人有权根据实际情况将本协议项下部分或全部运营事项（包括但</w:t>
      </w:r>
      <w:r>
        <w:rPr>
          <w:rFonts w:ascii="宋体" w:hAnsi="宋体"/>
          <w:sz w:val="24"/>
        </w:rPr>
        <w:lastRenderedPageBreak/>
        <w:t>不限于资产保管、账户管理、资金划转、会计核算、投资监督、托管报告等）交由交通银行股份有限公司其他分支机构处理；</w:t>
      </w:r>
    </w:p>
    <w:p w14:paraId="4510F518" w14:textId="77777777" w:rsidR="007A2E1E" w:rsidRDefault="00E63864">
      <w:pPr>
        <w:pStyle w:val="12"/>
        <w:spacing w:line="360" w:lineRule="auto"/>
        <w:ind w:firstLineChars="200" w:firstLine="480"/>
        <w:rPr>
          <w:rFonts w:ascii="宋体"/>
          <w:sz w:val="24"/>
        </w:rPr>
      </w:pPr>
      <w:r>
        <w:rPr>
          <w:rFonts w:ascii="宋体" w:hAnsi="宋体"/>
          <w:sz w:val="24"/>
        </w:rPr>
        <w:t>为明确汇添富上证科创板200指数型发起式证券投资基金的基金管理人和基金托管人之间的权利义务关系，特制订本协议；</w:t>
      </w:r>
      <w:bookmarkEnd w:id="8"/>
    </w:p>
    <w:p w14:paraId="41DF685C" w14:textId="77777777" w:rsidR="007A2E1E" w:rsidRDefault="00E63864">
      <w:pPr>
        <w:pStyle w:val="12"/>
        <w:spacing w:line="360" w:lineRule="auto"/>
        <w:ind w:firstLineChars="200" w:firstLine="480"/>
        <w:rPr>
          <w:rFonts w:ascii="宋体" w:hAnsi="宋体"/>
          <w:sz w:val="24"/>
        </w:rPr>
      </w:pPr>
      <w:bookmarkStart w:id="9" w:name="_Toc125892436"/>
      <w:r>
        <w:rPr>
          <w:rFonts w:ascii="宋体" w:hAnsi="宋体"/>
          <w:sz w:val="24"/>
        </w:rPr>
        <w:t>除非文义另有所指，本协议的所有术语与《汇添富上证科创板200指数型发起式证券投资基金基金合同》（以下简称《基金合同》或基金合同）中定义的相应术语具有相同的含义。若有抵触应以《基金合同》为准，并依其条款解释。</w:t>
      </w:r>
      <w:bookmarkStart w:id="10" w:name="_Toc125892437"/>
      <w:bookmarkEnd w:id="9"/>
    </w:p>
    <w:p w14:paraId="21AD9AF4" w14:textId="77777777" w:rsidR="007A2E1E" w:rsidRDefault="00E63864">
      <w:pPr>
        <w:pStyle w:val="12"/>
        <w:spacing w:line="360" w:lineRule="auto"/>
        <w:ind w:firstLineChars="200" w:firstLine="480"/>
        <w:rPr>
          <w:rFonts w:ascii="宋体"/>
          <w:sz w:val="24"/>
        </w:rPr>
      </w:pPr>
      <w:r>
        <w:rPr>
          <w:rFonts w:ascii="宋体"/>
          <w:sz w:val="24"/>
        </w:rPr>
        <w:t>若本基金实施侧袋机制的，侧袋机制实施期间的相关安排见基金合同和招募说明书的规定。</w:t>
      </w:r>
    </w:p>
    <w:p w14:paraId="7DD39F03" w14:textId="77777777" w:rsidR="007A2E1E" w:rsidRDefault="00E63864">
      <w:pPr>
        <w:pStyle w:val="112"/>
      </w:pPr>
      <w:r>
        <w:br w:type="page"/>
      </w:r>
      <w:bookmarkStart w:id="11" w:name="_Toc65161979"/>
      <w:r>
        <w:lastRenderedPageBreak/>
        <w:t>一、基金托管协议当事人</w:t>
      </w:r>
      <w:bookmarkEnd w:id="4"/>
      <w:bookmarkEnd w:id="5"/>
      <w:bookmarkEnd w:id="10"/>
      <w:bookmarkEnd w:id="11"/>
    </w:p>
    <w:p w14:paraId="60CB0979"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12" w:name="_Toc22454433"/>
      <w:bookmarkStart w:id="13" w:name="_Toc77662992"/>
      <w:r>
        <w:rPr>
          <w:rFonts w:ascii="宋体" w:hAnsi="宋体"/>
          <w:b/>
          <w:bCs/>
          <w:sz w:val="24"/>
        </w:rPr>
        <w:t>（一）基金管理人</w:t>
      </w:r>
      <w:bookmarkEnd w:id="12"/>
      <w:bookmarkEnd w:id="13"/>
    </w:p>
    <w:p w14:paraId="2ABC60F3" w14:textId="77777777" w:rsidR="007A2E1E" w:rsidRDefault="00E63864">
      <w:pPr>
        <w:pStyle w:val="12"/>
        <w:spacing w:line="360" w:lineRule="auto"/>
        <w:ind w:firstLine="480"/>
        <w:rPr>
          <w:rFonts w:ascii="宋体"/>
          <w:sz w:val="24"/>
        </w:rPr>
      </w:pPr>
      <w:r>
        <w:rPr>
          <w:rFonts w:ascii="宋体" w:hAnsi="宋体"/>
          <w:sz w:val="24"/>
        </w:rPr>
        <w:t>名称：汇添富基金管理股份有限公司</w:t>
      </w:r>
    </w:p>
    <w:p w14:paraId="09408864" w14:textId="77777777" w:rsidR="007A2E1E" w:rsidRDefault="00E63864">
      <w:pPr>
        <w:pStyle w:val="12"/>
        <w:spacing w:line="360" w:lineRule="auto"/>
        <w:ind w:firstLine="480"/>
        <w:rPr>
          <w:rFonts w:ascii="宋体"/>
          <w:sz w:val="24"/>
        </w:rPr>
      </w:pPr>
      <w:r>
        <w:rPr>
          <w:rFonts w:ascii="宋体" w:hAnsi="宋体"/>
          <w:sz w:val="24"/>
        </w:rPr>
        <w:t>住所：</w:t>
      </w:r>
      <w:r>
        <w:rPr>
          <w:rFonts w:ascii="宋体" w:hAnsi="宋体" w:hint="eastAsia"/>
          <w:sz w:val="24"/>
        </w:rPr>
        <w:t>上海市黄浦区外马路728号9楼</w:t>
      </w:r>
    </w:p>
    <w:p w14:paraId="22C4D206" w14:textId="77777777" w:rsidR="007A2E1E" w:rsidRDefault="00E63864">
      <w:pPr>
        <w:pStyle w:val="12"/>
        <w:spacing w:line="360" w:lineRule="auto"/>
        <w:ind w:firstLine="480"/>
        <w:rPr>
          <w:rFonts w:ascii="宋体"/>
          <w:sz w:val="24"/>
        </w:rPr>
      </w:pPr>
      <w:r>
        <w:rPr>
          <w:rFonts w:ascii="宋体" w:hAnsi="宋体"/>
          <w:sz w:val="24"/>
        </w:rPr>
        <w:t>办公地址：上海市黄浦区外马路728号</w:t>
      </w:r>
    </w:p>
    <w:p w14:paraId="07F59144" w14:textId="77777777" w:rsidR="007A2E1E" w:rsidRDefault="00E63864">
      <w:pPr>
        <w:pStyle w:val="12"/>
        <w:spacing w:line="360" w:lineRule="auto"/>
        <w:ind w:firstLine="480"/>
        <w:rPr>
          <w:color w:val="000000"/>
          <w:sz w:val="24"/>
        </w:rPr>
      </w:pPr>
      <w:r>
        <w:rPr>
          <w:rFonts w:ascii="宋体" w:hAnsi="宋体"/>
          <w:sz w:val="24"/>
        </w:rPr>
        <w:t>法定代表人：</w:t>
      </w:r>
      <w:r>
        <w:rPr>
          <w:rFonts w:ascii="宋体" w:hAnsi="宋体" w:hint="eastAsia"/>
          <w:sz w:val="24"/>
        </w:rPr>
        <w:t>鲁伟铭</w:t>
      </w:r>
    </w:p>
    <w:p w14:paraId="48BE38B1" w14:textId="77777777" w:rsidR="007A2E1E" w:rsidRDefault="00E63864">
      <w:pPr>
        <w:pStyle w:val="12"/>
        <w:spacing w:line="360" w:lineRule="auto"/>
        <w:ind w:firstLine="480"/>
        <w:rPr>
          <w:rFonts w:ascii="宋体"/>
          <w:sz w:val="24"/>
        </w:rPr>
      </w:pPr>
      <w:r>
        <w:rPr>
          <w:rFonts w:ascii="宋体" w:hAnsi="宋体"/>
          <w:sz w:val="24"/>
        </w:rPr>
        <w:t>成立时间：2005年2月3日</w:t>
      </w:r>
    </w:p>
    <w:p w14:paraId="1AF71D90" w14:textId="77777777" w:rsidR="007A2E1E" w:rsidRDefault="00E63864">
      <w:pPr>
        <w:pStyle w:val="12"/>
        <w:spacing w:line="360" w:lineRule="auto"/>
        <w:ind w:firstLine="480"/>
        <w:rPr>
          <w:rFonts w:ascii="宋体"/>
          <w:sz w:val="24"/>
        </w:rPr>
      </w:pPr>
      <w:r>
        <w:rPr>
          <w:rFonts w:ascii="宋体" w:hAnsi="宋体"/>
          <w:sz w:val="24"/>
        </w:rPr>
        <w:t>批准设立机关及批准设立文号：</w:t>
      </w:r>
      <w:r>
        <w:rPr>
          <w:rFonts w:ascii="宋体"/>
          <w:sz w:val="24"/>
        </w:rPr>
        <w:t>中国证监会证监基金字【2005】5号</w:t>
      </w:r>
    </w:p>
    <w:p w14:paraId="35200DFD" w14:textId="77777777" w:rsidR="007A2E1E" w:rsidRDefault="00E63864">
      <w:pPr>
        <w:pStyle w:val="12"/>
        <w:spacing w:line="360" w:lineRule="auto"/>
        <w:ind w:firstLine="480"/>
        <w:rPr>
          <w:color w:val="000000"/>
          <w:sz w:val="24"/>
        </w:rPr>
      </w:pPr>
      <w:r>
        <w:rPr>
          <w:rFonts w:ascii="宋体" w:hAnsi="宋体"/>
          <w:sz w:val="24"/>
        </w:rPr>
        <w:t>注册资本：</w:t>
      </w:r>
      <w:r>
        <w:rPr>
          <w:color w:val="000000"/>
          <w:sz w:val="24"/>
        </w:rPr>
        <w:t>人民币</w:t>
      </w:r>
      <w:r>
        <w:rPr>
          <w:color w:val="000000"/>
          <w:sz w:val="24"/>
        </w:rPr>
        <w:t>13272.4224</w:t>
      </w:r>
      <w:r>
        <w:rPr>
          <w:color w:val="000000"/>
          <w:sz w:val="24"/>
        </w:rPr>
        <w:t>万元</w:t>
      </w:r>
    </w:p>
    <w:p w14:paraId="6E11D7D4" w14:textId="77777777" w:rsidR="007A2E1E" w:rsidRDefault="00E63864">
      <w:pPr>
        <w:pStyle w:val="12"/>
        <w:spacing w:line="360" w:lineRule="auto"/>
        <w:ind w:firstLine="480"/>
        <w:rPr>
          <w:rFonts w:ascii="宋体"/>
          <w:sz w:val="24"/>
        </w:rPr>
      </w:pPr>
      <w:r>
        <w:rPr>
          <w:rFonts w:ascii="宋体" w:hAnsi="宋体"/>
          <w:sz w:val="24"/>
        </w:rPr>
        <w:t>组织形式：</w:t>
      </w:r>
      <w:r>
        <w:rPr>
          <w:rFonts w:ascii="宋体" w:hAnsi="宋体"/>
          <w:bCs/>
          <w:sz w:val="24"/>
        </w:rPr>
        <w:t>股份有限公司</w:t>
      </w:r>
    </w:p>
    <w:p w14:paraId="04B081DE" w14:textId="77777777" w:rsidR="007A2E1E" w:rsidRDefault="00E63864">
      <w:pPr>
        <w:pStyle w:val="12"/>
        <w:spacing w:line="360" w:lineRule="auto"/>
        <w:ind w:firstLineChars="200" w:firstLine="480"/>
        <w:rPr>
          <w:rFonts w:ascii="宋体"/>
          <w:sz w:val="24"/>
        </w:rPr>
      </w:pPr>
      <w:r>
        <w:rPr>
          <w:rFonts w:ascii="宋体" w:hAnsi="宋体"/>
          <w:sz w:val="24"/>
        </w:rPr>
        <w:t>存续期间：</w:t>
      </w:r>
      <w:r>
        <w:rPr>
          <w:rFonts w:ascii="宋体"/>
          <w:sz w:val="24"/>
        </w:rPr>
        <w:t>持续经营</w:t>
      </w:r>
    </w:p>
    <w:p w14:paraId="0CC2F844" w14:textId="77777777" w:rsidR="007A2E1E" w:rsidRDefault="007A2E1E">
      <w:pPr>
        <w:pStyle w:val="12"/>
        <w:spacing w:line="360" w:lineRule="auto"/>
        <w:ind w:firstLineChars="200" w:firstLine="480"/>
        <w:rPr>
          <w:rFonts w:ascii="宋体"/>
          <w:sz w:val="24"/>
        </w:rPr>
      </w:pPr>
      <w:bookmarkStart w:id="14" w:name="_Toc22454434"/>
      <w:bookmarkStart w:id="15" w:name="_Toc77662993"/>
    </w:p>
    <w:p w14:paraId="486E5A1D"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（二）基金托管人</w:t>
      </w:r>
      <w:bookmarkEnd w:id="14"/>
      <w:bookmarkEnd w:id="15"/>
    </w:p>
    <w:p w14:paraId="328E9E8A" w14:textId="77777777" w:rsidR="007A2E1E" w:rsidRDefault="00E63864">
      <w:pPr>
        <w:pStyle w:val="12"/>
        <w:spacing w:line="360" w:lineRule="auto"/>
        <w:ind w:firstLineChars="200" w:firstLine="480"/>
        <w:rPr>
          <w:rFonts w:ascii="宋体"/>
          <w:sz w:val="24"/>
        </w:rPr>
      </w:pPr>
      <w:r>
        <w:rPr>
          <w:rFonts w:ascii="宋体" w:hAnsi="宋体"/>
          <w:sz w:val="24"/>
        </w:rPr>
        <w:t>名称：交通银行股份有限公司（简称：交通银行）</w:t>
      </w:r>
    </w:p>
    <w:p w14:paraId="7854DA41" w14:textId="77777777" w:rsidR="007A2E1E" w:rsidRDefault="00E63864">
      <w:pPr>
        <w:pStyle w:val="12"/>
        <w:spacing w:line="360" w:lineRule="auto"/>
        <w:ind w:firstLineChars="200" w:firstLine="480"/>
        <w:rPr>
          <w:rFonts w:ascii="宋体"/>
          <w:sz w:val="24"/>
        </w:rPr>
      </w:pPr>
      <w:r>
        <w:rPr>
          <w:rFonts w:ascii="宋体" w:hAnsi="宋体"/>
          <w:sz w:val="24"/>
        </w:rPr>
        <w:t>住所：中国（上海）自由贸易试验区银城中路188号（邮政编码：200120）</w:t>
      </w:r>
    </w:p>
    <w:p w14:paraId="7D4B8A1F" w14:textId="77777777" w:rsidR="007A2E1E" w:rsidRDefault="00E63864">
      <w:pPr>
        <w:pStyle w:val="12"/>
        <w:spacing w:line="360" w:lineRule="auto"/>
        <w:ind w:firstLineChars="200" w:firstLine="480"/>
        <w:rPr>
          <w:rFonts w:ascii="宋体"/>
          <w:sz w:val="24"/>
        </w:rPr>
      </w:pPr>
      <w:r>
        <w:rPr>
          <w:rFonts w:ascii="宋体" w:hAnsi="宋体"/>
          <w:sz w:val="24"/>
        </w:rPr>
        <w:t>办公地址：上海市长宁区仙霞路18号（邮政编码：200336）</w:t>
      </w:r>
    </w:p>
    <w:p w14:paraId="5B6281B4" w14:textId="77777777" w:rsidR="007A2E1E" w:rsidRDefault="00E63864">
      <w:pPr>
        <w:pStyle w:val="12"/>
        <w:spacing w:line="360" w:lineRule="auto"/>
        <w:ind w:firstLineChars="200" w:firstLine="480"/>
        <w:rPr>
          <w:rFonts w:ascii="宋体"/>
          <w:sz w:val="24"/>
        </w:rPr>
      </w:pPr>
      <w:r>
        <w:rPr>
          <w:rFonts w:ascii="宋体" w:hAnsi="宋体"/>
          <w:sz w:val="24"/>
        </w:rPr>
        <w:t>法定代表人：任德奇</w:t>
      </w:r>
    </w:p>
    <w:p w14:paraId="410DEE79" w14:textId="77777777" w:rsidR="007A2E1E" w:rsidRDefault="00E63864">
      <w:pPr>
        <w:pStyle w:val="12"/>
        <w:spacing w:line="360" w:lineRule="auto"/>
        <w:ind w:firstLineChars="200" w:firstLine="480"/>
        <w:rPr>
          <w:rFonts w:ascii="宋体"/>
          <w:sz w:val="24"/>
        </w:rPr>
      </w:pPr>
      <w:r>
        <w:rPr>
          <w:rFonts w:ascii="宋体" w:hAnsi="宋体"/>
          <w:sz w:val="24"/>
        </w:rPr>
        <w:t>成立时间：1987年3月30日</w:t>
      </w:r>
    </w:p>
    <w:p w14:paraId="47D05CE0" w14:textId="77777777" w:rsidR="007A2E1E" w:rsidRDefault="00E63864">
      <w:pPr>
        <w:pStyle w:val="12"/>
        <w:spacing w:line="360" w:lineRule="auto"/>
        <w:ind w:firstLineChars="200" w:firstLine="480"/>
        <w:rPr>
          <w:rFonts w:ascii="宋体"/>
          <w:sz w:val="24"/>
        </w:rPr>
      </w:pPr>
      <w:r>
        <w:rPr>
          <w:rFonts w:ascii="宋体" w:hAnsi="宋体"/>
          <w:sz w:val="24"/>
        </w:rPr>
        <w:t>批准设立机关及批准设立文号：国务院国发(1986)字第81号文和中国人民银行银发［1987］40号文</w:t>
      </w:r>
    </w:p>
    <w:p w14:paraId="61E8E643" w14:textId="77777777" w:rsidR="007A2E1E" w:rsidRDefault="00E63864">
      <w:pPr>
        <w:pStyle w:val="12"/>
        <w:spacing w:line="360" w:lineRule="auto"/>
        <w:ind w:firstLineChars="200" w:firstLine="480"/>
        <w:rPr>
          <w:rFonts w:ascii="宋体"/>
          <w:sz w:val="24"/>
        </w:rPr>
      </w:pPr>
      <w:r>
        <w:rPr>
          <w:rFonts w:ascii="宋体" w:hAnsi="宋体"/>
          <w:sz w:val="24"/>
        </w:rPr>
        <w:t>基金托管业务批准文号：中国证监会证监基字［1998］25号</w:t>
      </w:r>
    </w:p>
    <w:p w14:paraId="64DF7F84" w14:textId="77777777" w:rsidR="007A2E1E" w:rsidRDefault="00E63864">
      <w:pPr>
        <w:pStyle w:val="12"/>
        <w:spacing w:line="360" w:lineRule="auto"/>
        <w:ind w:firstLineChars="200" w:firstLine="480"/>
        <w:rPr>
          <w:rFonts w:ascii="宋体"/>
          <w:sz w:val="24"/>
        </w:rPr>
      </w:pPr>
      <w:r>
        <w:rPr>
          <w:rFonts w:ascii="宋体" w:hAnsi="宋体"/>
          <w:sz w:val="24"/>
        </w:rPr>
        <w:t>注册资本：742.63亿元人民币</w:t>
      </w:r>
    </w:p>
    <w:p w14:paraId="5FBA12E2" w14:textId="77777777" w:rsidR="007A2E1E" w:rsidRDefault="00E63864">
      <w:pPr>
        <w:pStyle w:val="12"/>
        <w:spacing w:line="360" w:lineRule="auto"/>
        <w:ind w:firstLineChars="200" w:firstLine="480"/>
        <w:rPr>
          <w:rFonts w:ascii="宋体"/>
          <w:sz w:val="24"/>
        </w:rPr>
      </w:pPr>
      <w:r>
        <w:rPr>
          <w:rFonts w:ascii="宋体" w:hAnsi="宋体"/>
          <w:sz w:val="24"/>
        </w:rPr>
        <w:t>组织形式：股份有限公司</w:t>
      </w:r>
    </w:p>
    <w:p w14:paraId="2E981F21" w14:textId="77777777" w:rsidR="007A2E1E" w:rsidRDefault="00E63864">
      <w:pPr>
        <w:pStyle w:val="12"/>
        <w:spacing w:line="360" w:lineRule="auto"/>
        <w:ind w:firstLineChars="200" w:firstLine="480"/>
        <w:rPr>
          <w:rFonts w:ascii="宋体"/>
          <w:sz w:val="24"/>
        </w:rPr>
      </w:pPr>
      <w:r>
        <w:rPr>
          <w:rFonts w:ascii="宋体" w:hAnsi="宋体"/>
          <w:sz w:val="24"/>
        </w:rPr>
        <w:t>存续期间：持续经营</w:t>
      </w:r>
    </w:p>
    <w:p w14:paraId="6FAB920A" w14:textId="77777777" w:rsidR="007A2E1E" w:rsidRDefault="00E63864">
      <w:pPr>
        <w:pStyle w:val="112"/>
      </w:pPr>
      <w:bookmarkStart w:id="16" w:name="_Toc125892438"/>
      <w:bookmarkStart w:id="17" w:name="_Toc22454435"/>
      <w:bookmarkStart w:id="18" w:name="_Toc466788852"/>
      <w:bookmarkStart w:id="19" w:name="_Toc523829993"/>
      <w:bookmarkStart w:id="20" w:name="_Toc65161980"/>
      <w:r>
        <w:t>二、基金托管协议的依据、目的和原则</w:t>
      </w:r>
      <w:bookmarkEnd w:id="16"/>
      <w:bookmarkEnd w:id="17"/>
      <w:bookmarkEnd w:id="18"/>
      <w:bookmarkEnd w:id="19"/>
      <w:bookmarkEnd w:id="20"/>
    </w:p>
    <w:p w14:paraId="11B518A6" w14:textId="77777777" w:rsidR="007A2E1E" w:rsidRDefault="00E63864">
      <w:pPr>
        <w:pStyle w:val="12"/>
        <w:spacing w:line="360" w:lineRule="auto"/>
        <w:ind w:firstLineChars="200" w:firstLine="480"/>
        <w:rPr>
          <w:rFonts w:ascii="宋体"/>
          <w:sz w:val="24"/>
        </w:rPr>
      </w:pPr>
      <w:r>
        <w:rPr>
          <w:rFonts w:ascii="宋体" w:hAnsi="宋体"/>
          <w:sz w:val="24"/>
        </w:rPr>
        <w:t>本协议依据《中华人民共和国证券投资基金法》（以下简称《基金法》）、《公开募集证券投资基金销售机构监督管理办法》、《公开募集证券投资基金</w:t>
      </w:r>
      <w:r>
        <w:rPr>
          <w:rFonts w:ascii="宋体" w:hAnsi="宋体"/>
          <w:sz w:val="24"/>
        </w:rPr>
        <w:lastRenderedPageBreak/>
        <w:t>运作管理办法》（以下简称《运作办法》）、《公开募集证券投资基金信息披露管理办法》（以下简称《信息披露办法》）、《公开募集开放式证券投资基金流动性风险管理规定》（以下简称《流动性风险管理规定》）、《公开募集证券投资基金运作指引第3号——指数基金指引》、《基金合同》及其他有关规定订立。</w:t>
      </w:r>
    </w:p>
    <w:p w14:paraId="0193FDDD" w14:textId="77777777" w:rsidR="007A2E1E" w:rsidRDefault="00E63864">
      <w:pPr>
        <w:pStyle w:val="12"/>
        <w:spacing w:line="360" w:lineRule="auto"/>
        <w:ind w:firstLineChars="200" w:firstLine="480"/>
        <w:rPr>
          <w:rFonts w:ascii="宋体"/>
          <w:sz w:val="24"/>
        </w:rPr>
      </w:pPr>
      <w:r>
        <w:rPr>
          <w:rFonts w:ascii="宋体" w:hAnsi="宋体"/>
          <w:sz w:val="24"/>
        </w:rPr>
        <w:t>本协议的目的是明确基金管理人和基金托管人之间在基金财产的保管、投资运作、净值计算、收益分配、信息披露及相互监督等有关事宜中的权利、义务及职责，以确保基金财产的安全，保护基金份额持有人的合法权益。</w:t>
      </w:r>
    </w:p>
    <w:p w14:paraId="3F2E4C41" w14:textId="77777777" w:rsidR="007A2E1E" w:rsidRDefault="00E63864">
      <w:pPr>
        <w:pStyle w:val="12"/>
        <w:spacing w:line="360" w:lineRule="auto"/>
        <w:ind w:firstLineChars="200" w:firstLine="480"/>
        <w:rPr>
          <w:rFonts w:ascii="宋体"/>
          <w:sz w:val="24"/>
        </w:rPr>
      </w:pPr>
      <w:r>
        <w:rPr>
          <w:rFonts w:ascii="宋体" w:hAnsi="宋体"/>
          <w:sz w:val="24"/>
        </w:rPr>
        <w:t>基金管理人和基金托管人遵循平等自愿、诚实信用、充分保护投资者合法利益的原则，经协商一致，签订本协议。</w:t>
      </w:r>
    </w:p>
    <w:p w14:paraId="3415FF94" w14:textId="77777777" w:rsidR="007A2E1E" w:rsidRDefault="00E63864">
      <w:pPr>
        <w:pStyle w:val="112"/>
        <w:rPr>
          <w:rFonts w:hAnsi="宋体"/>
          <w:b w:val="0"/>
          <w:bCs/>
        </w:rPr>
      </w:pPr>
      <w:bookmarkStart w:id="21" w:name="_Toc466788853"/>
      <w:bookmarkStart w:id="22" w:name="_Toc22454436"/>
      <w:bookmarkStart w:id="23" w:name="_Toc523829994"/>
      <w:bookmarkStart w:id="24" w:name="_Toc65161981"/>
      <w:bookmarkStart w:id="25" w:name="_Toc125892439"/>
      <w:r>
        <w:t>三、基金托管人对基金管理人</w:t>
      </w:r>
      <w:bookmarkEnd w:id="21"/>
      <w:r>
        <w:t>的业务监督和核查</w:t>
      </w:r>
      <w:bookmarkEnd w:id="22"/>
      <w:bookmarkEnd w:id="23"/>
      <w:bookmarkEnd w:id="24"/>
      <w:bookmarkEnd w:id="25"/>
    </w:p>
    <w:p w14:paraId="1427A656"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（一）基金托管人对基金管理人的投资行为行使监督权</w:t>
      </w:r>
    </w:p>
    <w:p w14:paraId="1A633581" w14:textId="77777777" w:rsidR="007A2E1E" w:rsidRDefault="00E63864">
      <w:pPr>
        <w:pStyle w:val="12"/>
        <w:tabs>
          <w:tab w:val="left" w:pos="3780"/>
        </w:tabs>
        <w:autoSpaceDE w:val="0"/>
        <w:autoSpaceDN w:val="0"/>
        <w:spacing w:before="156" w:after="156" w:line="360" w:lineRule="auto"/>
        <w:ind w:firstLineChars="196" w:firstLine="472"/>
        <w:outlineLvl w:val="0"/>
        <w:rPr>
          <w:rFonts w:ascii="宋体"/>
          <w:b/>
          <w:bCs/>
          <w:sz w:val="24"/>
        </w:rPr>
      </w:pPr>
      <w:r>
        <w:rPr>
          <w:rFonts w:ascii="宋体" w:hAnsi="宋体"/>
          <w:b/>
          <w:bCs/>
          <w:sz w:val="24"/>
        </w:rPr>
        <w:t>1.基金托管人根据有关法律法规的规定及《基金合同》和本协议的约定，对基金的投资范围、投资对象进行监督。</w:t>
      </w:r>
    </w:p>
    <w:p w14:paraId="39FDBCF0" w14:textId="77777777" w:rsidR="007A2E1E" w:rsidRDefault="00E63864">
      <w:pPr>
        <w:pStyle w:val="12"/>
        <w:spacing w:line="360" w:lineRule="auto"/>
        <w:ind w:firstLineChars="200" w:firstLine="480"/>
        <w:rPr>
          <w:rFonts w:ascii="宋体" w:hAnsi="宋体"/>
          <w:sz w:val="24"/>
        </w:rPr>
      </w:pPr>
      <w:r>
        <w:rPr>
          <w:rFonts w:ascii="宋体" w:hAnsi="宋体"/>
          <w:sz w:val="24"/>
        </w:rPr>
        <w:t>本基金主要投资于标的指数成份股、备选成份股。为更好地实现投资目标，基金还可投资于包括国内依法发行上市的股票（含主板、创业板、科创板及其他经中国证监会允许上市的股票、存托凭证）、债券（包括国债、央行票据、金融债、企业债、公司债、中期票据、短期融资券、超短期融资券、次级债券、政府支持债券、政府支持机构债券、地方政府债券、可交换债券、可转换债券（含分离交易可转债）及其他经中国证监会允许投资的债券）、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14:paraId="2AB1DA7D" w14:textId="77777777" w:rsidR="007A2E1E" w:rsidRDefault="00E63864">
      <w:pPr>
        <w:pStyle w:val="12"/>
        <w:spacing w:line="360" w:lineRule="auto"/>
        <w:ind w:firstLineChars="200" w:firstLine="480"/>
        <w:rPr>
          <w:rFonts w:ascii="宋体" w:hAnsi="宋体"/>
          <w:sz w:val="24"/>
        </w:rPr>
      </w:pPr>
      <w:r>
        <w:rPr>
          <w:rFonts w:ascii="宋体" w:hAnsi="宋体"/>
          <w:sz w:val="24"/>
        </w:rPr>
        <w:t>本基金可根据法律法规参与融资及转融通证券出借业务。</w:t>
      </w:r>
    </w:p>
    <w:p w14:paraId="4258D578" w14:textId="77777777" w:rsidR="007A2E1E" w:rsidRDefault="00E63864">
      <w:pPr>
        <w:pStyle w:val="12"/>
        <w:spacing w:line="360" w:lineRule="auto"/>
        <w:ind w:firstLineChars="200" w:firstLine="480"/>
        <w:rPr>
          <w:rFonts w:ascii="宋体" w:hAnsi="宋体"/>
          <w:sz w:val="24"/>
        </w:rPr>
      </w:pPr>
      <w:r>
        <w:rPr>
          <w:rFonts w:ascii="宋体" w:hAnsi="宋体"/>
          <w:sz w:val="24"/>
        </w:rPr>
        <w:t>如法律法规或监管机构以后允许基金投资其他品种，基金管理人在履行适当程序后，可以将其纳入投资范围。</w:t>
      </w:r>
    </w:p>
    <w:p w14:paraId="2F8D50EB" w14:textId="77777777" w:rsidR="007A2E1E" w:rsidRDefault="00E63864">
      <w:pPr>
        <w:pStyle w:val="12"/>
        <w:spacing w:line="360" w:lineRule="auto"/>
        <w:ind w:firstLineChars="200" w:firstLine="480"/>
        <w:rPr>
          <w:rFonts w:ascii="宋体" w:hAnsi="宋体"/>
          <w:sz w:val="24"/>
        </w:rPr>
      </w:pPr>
      <w:r>
        <w:rPr>
          <w:rFonts w:ascii="宋体" w:hAnsi="宋体"/>
          <w:sz w:val="24"/>
        </w:rPr>
        <w:t>基金的投资组合比例为：本基金投资于股票的资产不低于基金资产的90%，投资于标的指数成份股、备选成份股的资产的比例不低于非现金基金资产的</w:t>
      </w:r>
      <w:r>
        <w:rPr>
          <w:rFonts w:ascii="宋体" w:hAnsi="宋体"/>
          <w:sz w:val="24"/>
        </w:rPr>
        <w:lastRenderedPageBreak/>
        <w:t>80%。每个交易日日终在扣除国债期货、股指期货和股票期权合约需缴纳的交易保证金后，本基金保留的现金或投资于到期日在一年以内的政府债券的比例合计不低于基金资产净值的5%。其中现金不包括结算备付金、存出保证金、应收申购款等。</w:t>
      </w:r>
    </w:p>
    <w:p w14:paraId="6B450B2E" w14:textId="77777777" w:rsidR="007A2E1E" w:rsidRDefault="00E63864">
      <w:pPr>
        <w:pStyle w:val="12"/>
        <w:spacing w:line="360" w:lineRule="auto"/>
        <w:ind w:firstLineChars="200" w:firstLine="480"/>
        <w:rPr>
          <w:bCs/>
        </w:rPr>
      </w:pPr>
      <w:r>
        <w:rPr>
          <w:rFonts w:ascii="宋体" w:hAnsi="宋体"/>
          <w:sz w:val="24"/>
        </w:rPr>
        <w:t>如法律法规或监管机构变更投资品种的投资比例限制，基金管理人在履行适当程序后，可以调整上述投资品种的投资比例。</w:t>
      </w:r>
    </w:p>
    <w:p w14:paraId="6610D441" w14:textId="77777777" w:rsidR="007A2E1E" w:rsidRDefault="00E63864">
      <w:pPr>
        <w:pStyle w:val="12"/>
        <w:tabs>
          <w:tab w:val="left" w:pos="3780"/>
        </w:tabs>
        <w:autoSpaceDE w:val="0"/>
        <w:autoSpaceDN w:val="0"/>
        <w:spacing w:before="156" w:after="156" w:line="360" w:lineRule="auto"/>
        <w:ind w:firstLineChars="147" w:firstLine="354"/>
        <w:outlineLvl w:val="0"/>
        <w:rPr>
          <w:rFonts w:ascii="宋体"/>
          <w:b/>
          <w:bCs/>
          <w:sz w:val="24"/>
        </w:rPr>
      </w:pPr>
      <w:r>
        <w:rPr>
          <w:rFonts w:ascii="宋体" w:hAnsi="宋体"/>
          <w:b/>
          <w:bCs/>
          <w:sz w:val="24"/>
        </w:rPr>
        <w:t>2.基金托管人根据有关法律法规的规定及《基金合同》和本协议的约定，对基金投资、融资比例进行监督。</w:t>
      </w:r>
    </w:p>
    <w:p w14:paraId="7C749D1B"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根据《基金合同》的约定，本基金投资组合比例应符合以下规定：</w:t>
      </w:r>
    </w:p>
    <w:p w14:paraId="6DF0AE30"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（1）本基金投资于股票的资产不低于基金资产的90%，投资于标的指数成份股、备选成份股的资产的比例不低于非现金基金资产的80%；</w:t>
      </w:r>
    </w:p>
    <w:p w14:paraId="66BE802B"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2）每个交易日日终在扣除国债期货、股指期货和股票期权合约需缴纳的交易保证金后，本基金保留的现金或投资于到期日在一年以内的政府债券的比例合计不低于基金资产净值的5%。其中现金不包括结算备付金、存出保证金和应收申购款等；</w:t>
      </w:r>
    </w:p>
    <w:p w14:paraId="6E498471"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（3）本基金投资于同一原始权益人的各类资产支持证券的比例，不得超过基金资产净值的10%；</w:t>
      </w:r>
    </w:p>
    <w:p w14:paraId="5D0507E7"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（4）本基金持有的全部资产支持证券，其市值不得超过基金资产净值的20%；</w:t>
      </w:r>
    </w:p>
    <w:p w14:paraId="5D25254C"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（5）本基金持有的同一（指同一信用级别）资产支持证券的比例，不得超过该资产支持证券规模的10%；</w:t>
      </w:r>
    </w:p>
    <w:p w14:paraId="1FF01667"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（6）本基金管理人管理的全部基金投资于同一原始权益人的各类资产支持证券，不得超过其各类资产支持证券合计规模的10%；</w:t>
      </w:r>
    </w:p>
    <w:p w14:paraId="7CD6695E"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（7）本基金应投资于信用级别评级为BBB以上（含BBB）的资产支持证券。基金持有资产支持证券期间，如果其信用等级下降、不再符合投资标准，应在评级报告发布之日起3个月内予以全部卖出；</w:t>
      </w:r>
    </w:p>
    <w:p w14:paraId="1C15906C"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（8）基金财产参与股票发行申购，本基金所申报的金额不超过本基金的总资产，本基金所申报的股票数量不超过拟发行股票公司本次发行股票的总量；</w:t>
      </w:r>
    </w:p>
    <w:p w14:paraId="53BDF74D"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（9）本基金主动投资于流动性受限资产的市值合计不得超过本基金资产净值的15%；因证券市场波动、上市公司股票停牌、基金规模变动等基金管理人</w:t>
      </w:r>
      <w:r>
        <w:rPr>
          <w:rFonts w:ascii="宋体" w:hAnsi="宋体"/>
          <w:sz w:val="24"/>
        </w:rPr>
        <w:lastRenderedPageBreak/>
        <w:t>之外的因素致使基金不符合该比例限制的，基金管理人不得主动新增流动性受限资产的投资；</w:t>
      </w:r>
    </w:p>
    <w:p w14:paraId="243BCAEC"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（10）本基金与私募类证券资管产品及中国证监会认定的其他主体为交易对手开展逆回购交易的，可接受质押品的资质要求应当与基金合同约定的投资范围保持一致；</w:t>
      </w:r>
    </w:p>
    <w:p w14:paraId="60D0C173"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（11）本基金资产总值不超过基金资产净值的140%；</w:t>
      </w:r>
    </w:p>
    <w:p w14:paraId="14C60D87"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（12）本基金参与股指期货和国债期货交易的，应当遵守下列要求：</w:t>
      </w:r>
    </w:p>
    <w:p w14:paraId="728028C5"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在任何交易日日终，持有的买入国债期货和股指期货合约价值与有价证券市值之和，不得超过基金资产净值的100%；其中，有价证券指股票、债券（不含到期日在一年以内的政府债券）、资产支持证券、买入返售金融资产（不含质押式回购）等；</w:t>
      </w:r>
    </w:p>
    <w:p w14:paraId="2455608B"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14:paraId="129E9D27"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3EC55006"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13）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14:paraId="354E3A5D"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（14）本基金参与融资的，每个交易日日终，本基金持有的融资买入股票与其他有价证券市值之和，不得超过基金资产净值的95%；</w:t>
      </w:r>
    </w:p>
    <w:p w14:paraId="4EF8FB43"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（15）本基金参与转融通证券出借业务的，应当符合下列要求：最近6个月内日均基金资产净值不得低于2亿元；参与转融通证券出借业务的资产不得</w:t>
      </w:r>
      <w:r>
        <w:rPr>
          <w:rFonts w:ascii="宋体" w:hAnsi="宋体"/>
          <w:sz w:val="24"/>
        </w:rPr>
        <w:lastRenderedPageBreak/>
        <w:t>超过基金资产净值的30%，其中出借期限在10个交易日以上的出借证券归为流动性受限资产；参与转融通证券出借业务的单只证券不得超过基金持有该证券总量的50%；证券出借的平均剩余期限不得超过30天，平均剩余期限按照市值加权平均计算；</w:t>
      </w:r>
    </w:p>
    <w:p w14:paraId="5FBDD2F1"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（16）本基金投资存托凭证的比例限制依照境内上市交易的股票执行；</w:t>
      </w:r>
    </w:p>
    <w:p w14:paraId="4AEB6753"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（17）法律法规及中国证监会规定的和《基金合同》约定的其他投资限制。</w:t>
      </w:r>
    </w:p>
    <w:p w14:paraId="7474A087"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除上述第（2）、（7）、（9）、（10）、（15）项情形之外，因证券/期货市场波动、证券发行人合并、标的指数成份股调整、标的指数成份股流动性限制、基金规模变动等基金管理人之外的因素致使基金投资比例不符合上述规定投资比例的，基金管理人应当在10个交易日内进行调整，但中国证监会规定的特殊情形除外。因证券市场波动、证券发行人合并、基金规模变动等基金管理人之外的因素致使基金投资不符合第（15）项规定的，基金管理人不得新增出借业务。法律法规另有规定的从其规定。</w:t>
      </w:r>
    </w:p>
    <w:p w14:paraId="0700E2F1"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521A0E6C" w14:textId="77777777" w:rsidR="007A2E1E" w:rsidRDefault="00E63864">
      <w:pPr>
        <w:pStyle w:val="12"/>
        <w:tabs>
          <w:tab w:val="left" w:pos="1260"/>
        </w:tabs>
        <w:spacing w:line="336" w:lineRule="auto"/>
        <w:ind w:firstLineChars="200" w:firstLine="480"/>
        <w:rPr>
          <w:rFonts w:ascii="宋体" w:hAnsi="宋体"/>
          <w:sz w:val="24"/>
        </w:rPr>
      </w:pPr>
      <w:r>
        <w:rPr>
          <w:rFonts w:ascii="宋体" w:hAnsi="宋体"/>
          <w:sz w:val="24"/>
        </w:rPr>
        <w:t>法律法规或监管部门取消或调整上述限制，如适用于本基金，基金管理人在履行适当程序后，则本基金投资不再受相关限制或以调整以后的规定为准。</w:t>
      </w:r>
    </w:p>
    <w:p w14:paraId="012A8E21" w14:textId="77777777" w:rsidR="007A2E1E" w:rsidRDefault="00E63864">
      <w:pPr>
        <w:pStyle w:val="12"/>
        <w:tabs>
          <w:tab w:val="left" w:pos="1260"/>
        </w:tabs>
        <w:spacing w:line="336" w:lineRule="auto"/>
        <w:ind w:firstLineChars="200" w:firstLine="480"/>
        <w:rPr>
          <w:rFonts w:ascii="宋体" w:hAnsi="宋体"/>
          <w:color w:val="000000"/>
          <w:sz w:val="24"/>
        </w:rPr>
      </w:pPr>
      <w:r>
        <w:rPr>
          <w:rFonts w:ascii="宋体" w:hAnsi="宋体"/>
          <w:color w:val="000000"/>
          <w:sz w:val="24"/>
        </w:rPr>
        <w:t>基金托管人依照上述规定对本基金的投资组合限制及调整期限进行监督。</w:t>
      </w:r>
    </w:p>
    <w:p w14:paraId="69103063" w14:textId="77777777" w:rsidR="007A2E1E" w:rsidRDefault="00E63864">
      <w:pPr>
        <w:pStyle w:val="12"/>
        <w:spacing w:line="360" w:lineRule="auto"/>
        <w:ind w:firstLineChars="200" w:firstLine="482"/>
        <w:rPr>
          <w:rFonts w:ascii="宋体"/>
          <w:b/>
          <w:bCs/>
          <w:sz w:val="24"/>
        </w:rPr>
      </w:pPr>
      <w:r>
        <w:rPr>
          <w:rFonts w:ascii="宋体" w:hAnsi="宋体"/>
          <w:b/>
          <w:bCs/>
          <w:sz w:val="24"/>
        </w:rPr>
        <w:t>3.基金托管人</w:t>
      </w:r>
      <w:bookmarkStart w:id="26" w:name="OLE_LINK1"/>
      <w:r>
        <w:rPr>
          <w:rFonts w:ascii="宋体" w:hAnsi="宋体"/>
          <w:b/>
          <w:bCs/>
          <w:sz w:val="24"/>
        </w:rPr>
        <w:t>根据有关法律法规的规定及基金合同和本协议的约定，</w:t>
      </w:r>
      <w:bookmarkEnd w:id="26"/>
      <w:r>
        <w:rPr>
          <w:rFonts w:ascii="宋体" w:hAnsi="宋体"/>
          <w:b/>
          <w:bCs/>
          <w:sz w:val="24"/>
        </w:rPr>
        <w:t>对基金投资禁止行为进行监督。基金财产不得用于下列投资或者活动。</w:t>
      </w:r>
    </w:p>
    <w:p w14:paraId="212C4B8E"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（1）承销证券；</w:t>
      </w:r>
    </w:p>
    <w:p w14:paraId="5820E21B"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（2）违反规定向他人贷款或者提供担保；</w:t>
      </w:r>
    </w:p>
    <w:p w14:paraId="6F7B6E94"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（3）从事承担无限责任的投资；</w:t>
      </w:r>
    </w:p>
    <w:p w14:paraId="604B7514"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（4）买卖其他基金份额，但是法律法规或中国证监会另有规定的除外；</w:t>
      </w:r>
    </w:p>
    <w:p w14:paraId="4309DF01"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（5）向其基金管理人、基金托管人出资；</w:t>
      </w:r>
    </w:p>
    <w:p w14:paraId="127B75B0"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（6）从事内幕交易、操纵证券交易价格及其他不正当的证券交易活动；</w:t>
      </w:r>
    </w:p>
    <w:p w14:paraId="6A5A22F8"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（7）法律、行政法规和中国证监会规定禁止的其他活动。</w:t>
      </w:r>
    </w:p>
    <w:p w14:paraId="6681F656"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基金管理人运用基金财产买卖基金管理人、基金托管人及其控股股东、实际控制人或者与其有重大利害关系的公司发行的证券或者承销期内承销的证</w:t>
      </w:r>
      <w:r>
        <w:rPr>
          <w:rFonts w:ascii="宋体" w:hAnsi="宋体"/>
          <w:sz w:val="24"/>
        </w:rPr>
        <w:lastRenderedPageBreak/>
        <w:t>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08A09F2"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法律法规或监管部门取消或调整上述限制，如适用于本基金，基金管理人在履行适当程序后，则本基金投资不再受相关限制或以调整以后的规定为准。</w:t>
      </w:r>
    </w:p>
    <w:p w14:paraId="286EAA9A"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在基金合同生效后，基金管理人和基金托管人应相互提供与本机构有控股关系的股东或者与本机构有其他重大利害关系的公司名单，以上名单发生变化的，应及时予以更新并通知对方。</w:t>
      </w:r>
    </w:p>
    <w:p w14:paraId="06CE8B3F"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27" w:name="OLE_LINK4"/>
      <w:bookmarkStart w:id="28" w:name="OLE_LINK2"/>
      <w:r>
        <w:rPr>
          <w:rFonts w:ascii="宋体" w:hAnsi="宋体"/>
          <w:b/>
          <w:bCs/>
          <w:sz w:val="24"/>
        </w:rPr>
        <w:t>4.基金托管人根据有关法律法规的规定及基金合同和本协议的约定，对基金管理人参与银行间债券市场进行监督。</w:t>
      </w:r>
    </w:p>
    <w:bookmarkEnd w:id="27"/>
    <w:bookmarkEnd w:id="28"/>
    <w:p w14:paraId="14B3526C"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（1）基金托管人依据有关法律法规的规定和《基金合同》的约定对于基金管理人参与银行间市场交易时面临的交易对手资信风险进行监督。</w:t>
      </w:r>
    </w:p>
    <w:p w14:paraId="640091FC"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基金管理人应向基金托管人提供符合法律法规及行业标准的银行间市场交易对手的名单。基金托管人在收到名单后2个工作日内电话或回函确认收到该名单。基金管理人应定期和不定期对银行间市场现券及回购交易对手的名单进行更新。基金托管人在收到名单后2个工作日内电话或书面回函确认，新名单自基金托管人确认当日生效。新名单生效前已与本次剔除的交易对手所进行但尚未结算的交易，仍应按照协议进行结算。</w:t>
      </w:r>
    </w:p>
    <w:p w14:paraId="0B36DE00"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（2）基金管理人参与银行间市场交易时，有责任控制交易对手的资信风险，由于交易对手资信风险引起的损失，基金管理人应当负责向相关责任人追偿。</w:t>
      </w:r>
    </w:p>
    <w:p w14:paraId="25B7DEBC"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5.基金托管人根据有关法律法规的规定及基金合同和本协议的约定，对基金管理人银行存款业务进行监督。</w:t>
      </w:r>
    </w:p>
    <w:p w14:paraId="2C5BE151"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本基金投资银行存款应符合如下规定：</w:t>
      </w:r>
    </w:p>
    <w:p w14:paraId="364B23AF"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（1）基金管理人、基金托管人应当与存款银行建立对账机制，确保基金银行存款业务账目及核算的真实、准确。</w:t>
      </w:r>
    </w:p>
    <w:p w14:paraId="393ED3C4"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lastRenderedPageBreak/>
        <w:t>（2）基金托管人应加强对基金银行存款业务的监督与核查，严格审查、复核相关协议、账户资料、投资指令、存款证实书等有关文件，切实履行托管职责。</w:t>
      </w:r>
    </w:p>
    <w:p w14:paraId="0D42DDB6"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（3）基金管理人与基金托管人在开展基金存款业务时，应严格遵守《基金法》、《运作办法》等有关法律法规，以及国家有关账户管理、利率管理、支付结算等的各项规定。</w:t>
      </w:r>
    </w:p>
    <w:p w14:paraId="597923DC" w14:textId="77777777" w:rsidR="007A2E1E" w:rsidRDefault="00E63864">
      <w:pPr>
        <w:pStyle w:val="12"/>
        <w:tabs>
          <w:tab w:val="left" w:pos="1260"/>
        </w:tabs>
        <w:spacing w:line="360" w:lineRule="auto"/>
        <w:rPr>
          <w:rFonts w:ascii="宋体"/>
          <w:b/>
          <w:sz w:val="24"/>
        </w:rPr>
      </w:pPr>
      <w:r>
        <w:rPr>
          <w:rFonts w:ascii="宋体" w:hAnsi="宋体"/>
          <w:b/>
          <w:sz w:val="24"/>
        </w:rPr>
        <w:t>6.基金托管人对基金投资流通受限证券的监督。</w:t>
      </w:r>
    </w:p>
    <w:p w14:paraId="48D66EA6" w14:textId="77777777" w:rsidR="007A2E1E" w:rsidRDefault="00E63864">
      <w:pPr>
        <w:pStyle w:val="12"/>
        <w:spacing w:before="156" w:line="360" w:lineRule="auto"/>
        <w:ind w:left="105" w:firstLineChars="200" w:firstLine="480"/>
        <w:rPr>
          <w:rFonts w:ascii="宋体"/>
          <w:color w:val="000000"/>
          <w:sz w:val="24"/>
        </w:rPr>
      </w:pPr>
      <w:r>
        <w:rPr>
          <w:rFonts w:ascii="宋体" w:hAnsi="宋体"/>
          <w:color w:val="000000"/>
          <w:sz w:val="24"/>
        </w:rPr>
        <w:t>（1）基金投资流通受限证券，应遵守《关于基金投资非公开发行股票等流通受限证券有关问题的通知》等有关法律法规规定。</w:t>
      </w:r>
    </w:p>
    <w:p w14:paraId="249BFD44" w14:textId="77777777" w:rsidR="007A2E1E" w:rsidRDefault="00E63864">
      <w:pPr>
        <w:pStyle w:val="12"/>
        <w:spacing w:before="156" w:line="360" w:lineRule="auto"/>
        <w:ind w:left="105" w:firstLineChars="200" w:firstLine="480"/>
        <w:rPr>
          <w:sz w:val="24"/>
        </w:rPr>
      </w:pPr>
      <w:r>
        <w:rPr>
          <w:rFonts w:ascii="宋体" w:hAnsi="宋体"/>
          <w:color w:val="000000"/>
          <w:sz w:val="24"/>
        </w:rPr>
        <w:t>（2）流通受限证券与上文所述的流动性受限资产的范围并不完全一致，包括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14:paraId="3B40EE03" w14:textId="77777777" w:rsidR="007A2E1E" w:rsidRDefault="00E63864">
      <w:pPr>
        <w:pStyle w:val="12"/>
        <w:spacing w:before="156" w:line="360" w:lineRule="auto"/>
        <w:ind w:firstLineChars="200" w:firstLine="480"/>
        <w:rPr>
          <w:sz w:val="24"/>
        </w:rPr>
      </w:pPr>
      <w:r>
        <w:rPr>
          <w:rFonts w:ascii="宋体" w:hAnsi="宋体"/>
          <w:color w:val="000000"/>
          <w:sz w:val="24"/>
        </w:rPr>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0B529B41" w14:textId="77777777" w:rsidR="007A2E1E" w:rsidRDefault="00E63864">
      <w:pPr>
        <w:pStyle w:val="12"/>
        <w:spacing w:before="156" w:line="360" w:lineRule="auto"/>
        <w:ind w:left="105" w:firstLineChars="200" w:firstLine="480"/>
        <w:rPr>
          <w:sz w:val="24"/>
        </w:rPr>
      </w:pPr>
      <w:r>
        <w:rPr>
          <w:rFonts w:ascii="宋体" w:hAnsi="宋体"/>
          <w:color w:val="000000"/>
          <w:sz w:val="24"/>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应至少于拟执行投资指令前两个工作日将上述信息书面发至基金托管人，保证基金托管人有</w:t>
      </w:r>
      <w:r>
        <w:rPr>
          <w:rFonts w:ascii="宋体" w:hAnsi="宋体"/>
          <w:color w:val="000000"/>
          <w:sz w:val="24"/>
        </w:rPr>
        <w:lastRenderedPageBreak/>
        <w:t>足够的时间进行审核。</w:t>
      </w:r>
    </w:p>
    <w:p w14:paraId="0D05A4B0" w14:textId="77777777" w:rsidR="007A2E1E" w:rsidRDefault="00E63864">
      <w:pPr>
        <w:pStyle w:val="12"/>
        <w:spacing w:before="156" w:line="360" w:lineRule="auto"/>
        <w:ind w:left="105" w:firstLineChars="200" w:firstLine="480"/>
        <w:rPr>
          <w:sz w:val="24"/>
        </w:rPr>
      </w:pPr>
      <w:r>
        <w:rPr>
          <w:rFonts w:ascii="宋体" w:hAnsi="宋体"/>
          <w:color w:val="000000"/>
          <w:sz w:val="24"/>
        </w:rPr>
        <w:t>（5）基金托管人应对基金管理人提供的有关书面信息进行审核，基金托管人认为上述资料可能导致基金投资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任何责任，并有权报告中国证监会。</w:t>
      </w:r>
    </w:p>
    <w:p w14:paraId="67E55B5E" w14:textId="77777777" w:rsidR="007A2E1E" w:rsidRDefault="00E63864">
      <w:pPr>
        <w:pStyle w:val="12"/>
        <w:tabs>
          <w:tab w:val="left" w:pos="1260"/>
        </w:tabs>
        <w:spacing w:before="156" w:line="360" w:lineRule="auto"/>
        <w:ind w:firstLineChars="200" w:firstLine="480"/>
        <w:rPr>
          <w:rFonts w:ascii="宋体"/>
          <w:b/>
          <w:sz w:val="24"/>
        </w:rPr>
      </w:pPr>
      <w:r>
        <w:rPr>
          <w:rFonts w:ascii="宋体" w:hAnsi="宋体"/>
          <w:color w:val="000000"/>
          <w:sz w:val="24"/>
        </w:rPr>
        <w:t>如基金管理人和基金托管人无法达成一致，应及时上报中国证监会请求解决。如果基金托管人切实履行监督职责，则不承担任何责任。</w:t>
      </w:r>
    </w:p>
    <w:p w14:paraId="044C0764" w14:textId="77777777" w:rsidR="007A2E1E" w:rsidRDefault="00E63864">
      <w:pPr>
        <w:pStyle w:val="12"/>
        <w:tabs>
          <w:tab w:val="left" w:pos="3780"/>
        </w:tabs>
        <w:autoSpaceDE w:val="0"/>
        <w:autoSpaceDN w:val="0"/>
        <w:spacing w:before="156" w:after="156" w:line="360" w:lineRule="auto"/>
        <w:outlineLvl w:val="0"/>
        <w:rPr>
          <w:rFonts w:ascii="宋体" w:hAnsi="宋体"/>
          <w:b/>
          <w:bCs/>
          <w:sz w:val="24"/>
        </w:rPr>
      </w:pPr>
      <w:r>
        <w:rPr>
          <w:rFonts w:ascii="宋体" w:hAnsi="宋体"/>
          <w:b/>
          <w:bCs/>
          <w:sz w:val="24"/>
        </w:rPr>
        <w:t>7.基金管理人运用基金财产参与转融通证券出借业务，应当遵守审慎经营原则，配备技术系统和专业人员，制定科学合理的投资策略和风险管理制度，完善业务流程，有效防范和控制风险，基金托管人将对基金参与出借业务进行监督和复核。</w:t>
      </w:r>
    </w:p>
    <w:p w14:paraId="291897FD" w14:textId="77777777" w:rsidR="007A2E1E" w:rsidRDefault="00E63864">
      <w:pPr>
        <w:pStyle w:val="12"/>
        <w:tabs>
          <w:tab w:val="left" w:pos="3780"/>
        </w:tabs>
        <w:autoSpaceDE w:val="0"/>
        <w:autoSpaceDN w:val="0"/>
        <w:spacing w:before="156" w:after="156" w:line="360" w:lineRule="auto"/>
        <w:outlineLvl w:val="0"/>
        <w:rPr>
          <w:rFonts w:ascii="宋体" w:hAnsi="宋体"/>
          <w:b/>
          <w:bCs/>
          <w:sz w:val="24"/>
        </w:rPr>
      </w:pPr>
      <w:r>
        <w:rPr>
          <w:rFonts w:ascii="宋体" w:hAnsi="宋体"/>
          <w:b/>
          <w:bCs/>
          <w:sz w:val="24"/>
        </w:rPr>
        <w:t>8.基金托管人根据法律法规的规定及《基金合同》和本协议的约定，对基金投资其他方面进行监督。</w:t>
      </w:r>
    </w:p>
    <w:p w14:paraId="7396AC36"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基金托管人应根据有关法律法规的规定及《基金合同》的约定，对基金资产净值计算、各类基金份额净值计算、应收资金到账、基金费用开支及收入确认、基金收益分配、相关信息披露、基金宣传推介材料中登载基金业绩表现数据等进行监督和核查。如果基金管理人未经基金托管人的审核擅自将不实的业绩表现数据印制在宣传推介材料上，则基金托管人对此不承担任何责任，并有权在发现后报告中国证监会。</w:t>
      </w:r>
    </w:p>
    <w:p w14:paraId="3D40EC40"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三）基金管理人应积极配合和协助基金托管人的监督和核查，在规定时间内答复并改正，就基金托管人的合理疑义进行解释或举证。对基金托管人按照法规要求需向中国证监会报送基金监督报告的，基金管理人应积极配合提供相关数据资料和制度等。</w:t>
      </w:r>
    </w:p>
    <w:p w14:paraId="29AF45CB"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基金托管人发现基金管理人的投资指令或实际投资运作违反《基金法》及其他有关法规、《基金合同》和本协议规定的行为，应及时以书面形式通知基</w:t>
      </w:r>
      <w:r>
        <w:rPr>
          <w:rFonts w:ascii="宋体" w:hAnsi="宋体"/>
          <w:sz w:val="24"/>
        </w:rPr>
        <w:lastRenderedPageBreak/>
        <w:t>金管理人限期纠正，基金管理人收到通知后应及时核对，并以电话或书面形式向基金托管人反馈，说明违规原因及纠正期限，并保证在规定期限内及时改正。在限期内，基金托管人有权随时对通知事项进行复查，督促基金管理人改正。基金管理人对基金托管人通知的违规事项未能在限期内纠正的，基金托管人有权报告中国证监会。</w:t>
      </w:r>
    </w:p>
    <w:p w14:paraId="2DA7B4DF"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基金托管人发现基金管理人有重大违规行为，应立即报告中国证监会，同时通知基金管理人在限期内纠正。</w:t>
      </w:r>
    </w:p>
    <w:p w14:paraId="4EC57C93"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基金托管人发现基金管理人的指令违反法律、行政法规和其他有关规定，或者违反《基金合同》约定的，应当拒绝执行，立即通知基金管理人，并按规定向中国证监会报告。</w:t>
      </w:r>
    </w:p>
    <w:p w14:paraId="7F0ED585"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基金托管人发现基金管理人依据交易程序已经生效的指令违反法律、行政法规和其他有关规定，或者违反《基金合同》约定的，应当立即通知基金管理人，并按规定向中国证监会报告。</w:t>
      </w:r>
      <w:bookmarkStart w:id="29" w:name="_Toc125892440"/>
    </w:p>
    <w:p w14:paraId="49F4A21A" w14:textId="77777777" w:rsidR="007A2E1E" w:rsidRDefault="00E63864">
      <w:pPr>
        <w:pStyle w:val="112"/>
      </w:pPr>
      <w:bookmarkStart w:id="30" w:name="_Toc65161982"/>
      <w:r>
        <w:t>四、基金管理人对基金托管人的业务核查</w:t>
      </w:r>
      <w:bookmarkEnd w:id="29"/>
      <w:bookmarkEnd w:id="30"/>
    </w:p>
    <w:p w14:paraId="5979758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根据《基金法》及其他有关法规、《基金合同》和本协议规定，基金管理人对基金托管人履行托管职责的情况进行核查，核查事项包括但不限于基金托管人是否安全保管基金财产、开立基金财产的资金账户、证券账户及债券托管账户等投资所需账户，是否及时、准确复核基金管理人计算的基金资产净值和各类基金份额净值，是否根据基金管理人指令办理清算交收，是否按照法规规定和《基金合同》规定进行相关信息披露和监督基金投资运作等行为。</w:t>
      </w:r>
    </w:p>
    <w:p w14:paraId="1D4365F9"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定期和不定期地对基金托管人保管的基金资产进行核查。基金托管人应积极配合基金管理人的核查行为，包括但不限于：提交相关资料以供基金管理人核查托管财产的完整性和真实性，在规定时间内答复并改正。</w:t>
      </w:r>
    </w:p>
    <w:p w14:paraId="4A3DA334"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发现基金托管人未对基金资产实行分账管理、擅自挪用基金资产、未执行或无故延迟执行基金管理人资金划拨指令、泄露基金投资信息等违反《基金法》、《基金合同》、本协议及其他有关规定的，应及时以书面形式通知基金托管人在限期内纠正，基金托管人收到通知后应及时核对并以书面形式对基金管理人发出回函。在限期内，基金管理人有权随时对通知事项进行复查，督促基金托管人改正。基金托管人对基金管理人通知的违规事项未能在限</w:t>
      </w:r>
      <w:r>
        <w:rPr>
          <w:rFonts w:ascii="宋体" w:hAnsi="宋体"/>
          <w:sz w:val="24"/>
        </w:rPr>
        <w:lastRenderedPageBreak/>
        <w:t>期内纠正的，基金管理人应报告中国证监会。对基金管理人按照法规要求需向中国证监会报送基金监督报告的，基金托管人应积极配合提供相关数据资料和制度等。</w:t>
      </w:r>
    </w:p>
    <w:p w14:paraId="6AF7C599"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基金管理人发现基金托管人有重大违规行为，应立即报告中国证监会，同时通知基金托管人在限期内纠正。</w:t>
      </w:r>
    </w:p>
    <w:p w14:paraId="2B5013F3" w14:textId="77777777" w:rsidR="007A2E1E" w:rsidRDefault="00E63864">
      <w:pPr>
        <w:pStyle w:val="112"/>
      </w:pPr>
      <w:bookmarkStart w:id="31" w:name="_Toc65161983"/>
      <w:bookmarkStart w:id="32" w:name="_Toc125892441"/>
      <w:bookmarkStart w:id="33" w:name="_Toc523829995"/>
      <w:bookmarkStart w:id="34" w:name="_Toc466788854"/>
      <w:bookmarkStart w:id="35" w:name="_Toc22454437"/>
      <w:r>
        <w:t>五、基金财产的保管</w:t>
      </w:r>
      <w:bookmarkEnd w:id="31"/>
      <w:bookmarkEnd w:id="32"/>
      <w:bookmarkEnd w:id="33"/>
      <w:bookmarkEnd w:id="34"/>
      <w:bookmarkEnd w:id="35"/>
    </w:p>
    <w:p w14:paraId="5D01F46F"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36" w:name="_Toc77662997"/>
      <w:bookmarkStart w:id="37" w:name="_Toc37159173"/>
      <w:r>
        <w:rPr>
          <w:rFonts w:ascii="宋体" w:hAnsi="宋体"/>
          <w:b/>
          <w:bCs/>
          <w:sz w:val="24"/>
        </w:rPr>
        <w:t>（一）基金财产保管的原则</w:t>
      </w:r>
      <w:bookmarkEnd w:id="36"/>
      <w:bookmarkEnd w:id="37"/>
    </w:p>
    <w:p w14:paraId="48648346"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1.基金托管人应安全保管基金财产，未经基金管理人的指令，不得自行运用、处分、分配基金的任何资产，非因基金财产本身承担的债务，不得对基金财产强制执行。</w:t>
      </w:r>
    </w:p>
    <w:p w14:paraId="232049C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2.基金财产应独立于基金管理人、基金托管人的固有财产。基金财产的债权、不得与基金管理人、基金托管人固有财产的债务相抵销，不同基金财产的债权债务，不得相互抵销。基金管理人、基金托管人以其自有资产承担法律责任，其债权人不得对基金财产行使请求冻结、扣押和其他权利。</w:t>
      </w:r>
    </w:p>
    <w:p w14:paraId="631BE08D"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3.基金托管人按照规定开立基金财产的资金账户、证券账户和债券托管账户等投资所需账户</w:t>
      </w:r>
      <w:r>
        <w:rPr>
          <w:spacing w:val="-4"/>
          <w:sz w:val="24"/>
        </w:rPr>
        <w:t>，基金管理人和基金托管人按照规定</w:t>
      </w:r>
      <w:r>
        <w:rPr>
          <w:rFonts w:ascii="宋体" w:hAnsi="宋体"/>
          <w:sz w:val="24"/>
        </w:rPr>
        <w:t>开立期货资金账户。</w:t>
      </w:r>
    </w:p>
    <w:p w14:paraId="2180C9C4"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4.基金托管人对所托管的不同基金财产分别设置账户，与基金托管人的其他业务和其他基金的托管业务实行严格的分账管理，独立核算，确保基金财产的完整和独立。</w:t>
      </w:r>
    </w:p>
    <w:p w14:paraId="3C334B7F"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5.对于因为基金投资产生的应收资产和基金申购过程中产生的应收资产，应由基金管理人负责与有关当事人确定到账日期并通知基金托管人，到账日基金资产没有到达基金银行存款账户（即资金账户，下同）的，基金托管人应及时通知基金管理人采取措施进行催收。由此给基金造成损失的，基金管理人应负责向有关当事人追偿基金的损失。</w:t>
      </w:r>
      <w:bookmarkStart w:id="38" w:name="_Toc77662998"/>
      <w:bookmarkStart w:id="39" w:name="_Toc37159174"/>
      <w:r>
        <w:rPr>
          <w:rFonts w:ascii="宋体" w:hAnsi="宋体"/>
          <w:sz w:val="24"/>
        </w:rPr>
        <w:t>基金托管人对此不承担任何责任。</w:t>
      </w:r>
    </w:p>
    <w:p w14:paraId="7AAB5333"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（二）基金募集资产的验证</w:t>
      </w:r>
      <w:bookmarkEnd w:id="38"/>
      <w:bookmarkEnd w:id="39"/>
    </w:p>
    <w:p w14:paraId="30FA9D9E"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募集期届满或基金提前结束募集之日起10日内，由基金管理人聘请符合《中华人民共和国证券法》规定的会计师事务所进行验资，出具验资报告，出具的验资报告应由参加验资的2名以上（含2名）中国注册会计师签字有效。</w:t>
      </w:r>
      <w:r>
        <w:rPr>
          <w:rStyle w:val="custom"/>
          <w:rFonts w:ascii="宋体" w:hAnsi="宋体"/>
          <w:sz w:val="24"/>
        </w:rPr>
        <w:lastRenderedPageBreak/>
        <w:t>会计师事务所提交的验资报告需对发起资金提供方及其持有份额进行专门说明。</w:t>
      </w:r>
      <w:r>
        <w:rPr>
          <w:rFonts w:ascii="宋体" w:hAnsi="宋体"/>
          <w:sz w:val="24"/>
        </w:rPr>
        <w:t>验资完成，基金管理人应将募集到的全部资金存入基金托管人为基金开立的基金银行存款账户中，基金托管人在收到资金当日出具相关证明文件。</w:t>
      </w:r>
      <w:bookmarkStart w:id="40" w:name="_Toc37159176"/>
      <w:bookmarkStart w:id="41" w:name="_Toc77663000"/>
    </w:p>
    <w:p w14:paraId="4D11BA12"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（三）基金的银行存款账户的开立和管理</w:t>
      </w:r>
      <w:bookmarkEnd w:id="40"/>
      <w:bookmarkEnd w:id="41"/>
    </w:p>
    <w:p w14:paraId="30FBEB9D"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1.基金托管人应负责本基金银行存款账户的开立和管理。</w:t>
      </w:r>
    </w:p>
    <w:p w14:paraId="78E8454A"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2.基金托管人以本基金的名义在其营业机构开立基金的银行存款账户，并根据基金管理人合法合规的指令办理资金收付。本基金的银行预留印鉴由基金托管人保管和使用。本基金的一切货币收支活动，包括但不限于投资、支付赎回款项、支付基金收益，均需通过本基金的银行存款账户进行。</w:t>
      </w:r>
    </w:p>
    <w:p w14:paraId="40C7FF0F"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3.本基金银行存款账户的开立和使用，限于满足开展本基金业务的需要。基金托管人和基金管理人不得假借本基金的名义开立其他任何银行存款账户；亦不得使用基金的任何银行存款账户进行本基金业务以外的活动。</w:t>
      </w:r>
    </w:p>
    <w:p w14:paraId="08C48C36"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4.基金托管人可以通过申请开通本基金银行存款账户的企业网上银行业务进行资金支付，并使用交通银行企业网上银行（简称“交通银行网银”）办理托管资产的资金结算汇划业务。</w:t>
      </w:r>
    </w:p>
    <w:p w14:paraId="4FA6EE4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5.基金银行存款账户的管理应符合银行业监督管理机构的有关规定。</w:t>
      </w:r>
      <w:bookmarkStart w:id="42" w:name="_Toc37159177"/>
      <w:bookmarkStart w:id="43" w:name="_Toc77663001"/>
    </w:p>
    <w:p w14:paraId="434F3CD2"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（四）基金证券账户、资金交收账户的开立和管理</w:t>
      </w:r>
      <w:bookmarkEnd w:id="42"/>
      <w:bookmarkEnd w:id="43"/>
    </w:p>
    <w:p w14:paraId="7191C85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基金托管人以基金托管人和本基金联名的方式在中国证券登记结算有限责任公司开立证券账户。</w:t>
      </w:r>
    </w:p>
    <w:p w14:paraId="1B3A0EB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38DAA93B"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基金管理人不得对基金证券账户、资金交收账户进行证券的超卖或超买。基金证券账户资产的管理和运用由基金管理人负责。</w:t>
      </w:r>
    </w:p>
    <w:p w14:paraId="2459B61B"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以基金托管人的名义在中国证券登记结算有限责任公司开立结算备付金账户即资金交收账户，用于证券交易资金的结算。基金托管人以本基金的名义在基金托管人处开立基金的证券交易资金结算的二级结算备付金账户。</w:t>
      </w:r>
      <w:bookmarkStart w:id="44" w:name="_Toc77663003"/>
      <w:bookmarkStart w:id="45" w:name="_Toc37159179"/>
    </w:p>
    <w:p w14:paraId="274F22AA"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46" w:name="_Toc523829996"/>
      <w:bookmarkStart w:id="47" w:name="_Toc466788855"/>
      <w:bookmarkStart w:id="48" w:name="_Toc125892442"/>
      <w:bookmarkEnd w:id="44"/>
      <w:bookmarkEnd w:id="45"/>
      <w:r>
        <w:rPr>
          <w:rFonts w:ascii="宋体" w:hAnsi="宋体"/>
          <w:b/>
          <w:bCs/>
          <w:sz w:val="24"/>
        </w:rPr>
        <w:lastRenderedPageBreak/>
        <w:t>（五）债券托管账户的开立和管理</w:t>
      </w:r>
    </w:p>
    <w:p w14:paraId="5AF106F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基金合同生效后，基金管理人负责向中国人民银行进行报备，基金托管人在备案通过后在中央国债登记结算有限责任公司及银行间市场清算所股份有限公司以本基金的名义开立债券托管账户，并由基金托管人负责基金的债券及资金的清算。</w:t>
      </w:r>
      <w:r>
        <w:rPr>
          <w:rFonts w:ascii="宋体" w:hAnsi="宋体"/>
          <w:sz w:val="24"/>
          <w:szCs w:val="21"/>
        </w:rPr>
        <w:t>基金管理人负责申请基金进入全国银行间同业拆借市场进行交易，由基金管理人在中国外汇交易中心开设同业拆借市场交易</w:t>
      </w:r>
      <w:r>
        <w:rPr>
          <w:rFonts w:ascii="宋体" w:hAnsi="宋体"/>
          <w:sz w:val="24"/>
        </w:rPr>
        <w:t>账户</w:t>
      </w:r>
      <w:r>
        <w:rPr>
          <w:rFonts w:ascii="宋体" w:hAnsi="宋体"/>
          <w:sz w:val="24"/>
          <w:szCs w:val="21"/>
        </w:rPr>
        <w:t>。</w:t>
      </w:r>
    </w:p>
    <w:p w14:paraId="73CE5698"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2.基金管理人代表基金签订全国银行间债券市场债券回购主协议，协议正本由基金管理人保存。</w:t>
      </w:r>
    </w:p>
    <w:p w14:paraId="245165FF" w14:textId="77777777" w:rsidR="007A2E1E" w:rsidRDefault="00E63864">
      <w:pPr>
        <w:pStyle w:val="12"/>
        <w:tabs>
          <w:tab w:val="left" w:pos="3780"/>
        </w:tabs>
        <w:autoSpaceDE w:val="0"/>
        <w:autoSpaceDN w:val="0"/>
        <w:spacing w:before="156" w:after="156" w:line="360" w:lineRule="auto"/>
        <w:outlineLvl w:val="0"/>
        <w:rPr>
          <w:rFonts w:ascii="宋体" w:hAnsi="宋体"/>
          <w:b/>
          <w:bCs/>
          <w:sz w:val="24"/>
        </w:rPr>
      </w:pPr>
      <w:r>
        <w:rPr>
          <w:rFonts w:ascii="宋体" w:hAnsi="宋体"/>
          <w:b/>
          <w:bCs/>
          <w:sz w:val="24"/>
        </w:rPr>
        <w:t>（六）</w:t>
      </w:r>
      <w:bookmarkStart w:id="49" w:name="_Toc17996120"/>
      <w:r>
        <w:rPr>
          <w:rFonts w:ascii="宋体" w:hAnsi="宋体"/>
          <w:b/>
          <w:bCs/>
          <w:sz w:val="24"/>
        </w:rPr>
        <w:t>期货相关账户的开立和管理</w:t>
      </w:r>
      <w:bookmarkEnd w:id="49"/>
    </w:p>
    <w:p w14:paraId="6EA67B27" w14:textId="77777777" w:rsidR="007A2E1E" w:rsidRDefault="00E63864">
      <w:pPr>
        <w:pStyle w:val="12"/>
        <w:spacing w:line="360" w:lineRule="auto"/>
        <w:ind w:firstLineChars="200" w:firstLine="480"/>
        <w:rPr>
          <w:rFonts w:ascii="宋体" w:hAnsi="宋体"/>
          <w:sz w:val="24"/>
        </w:rPr>
      </w:pPr>
      <w:r>
        <w:rPr>
          <w:rFonts w:ascii="宋体" w:hAnsi="宋体"/>
          <w:sz w:val="24"/>
        </w:rPr>
        <w:t>基金管理人、基金托管人应当按照相关规定开立期货资金账户，在中国金融期货交易所获取交易编码。期货资金账户名称及交易编码对应名称应按照有关规定设立。</w:t>
      </w:r>
    </w:p>
    <w:p w14:paraId="78ABA55E" w14:textId="77777777" w:rsidR="007A2E1E" w:rsidRDefault="00E63864">
      <w:pPr>
        <w:pStyle w:val="12"/>
        <w:tabs>
          <w:tab w:val="left" w:pos="1260"/>
        </w:tabs>
        <w:spacing w:before="156" w:after="156" w:line="360" w:lineRule="auto"/>
        <w:ind w:firstLineChars="200" w:firstLine="480"/>
        <w:rPr>
          <w:rFonts w:ascii="宋体" w:hAnsi="宋体"/>
          <w:sz w:val="24"/>
        </w:rPr>
      </w:pPr>
      <w:r>
        <w:rPr>
          <w:rFonts w:ascii="宋体" w:hAnsi="宋体"/>
          <w:sz w:val="24"/>
        </w:rPr>
        <w:t>基金托管人已取得期货保证金存管银行资格，基金管理人授权基金托管人办理相关银期转账业务。</w:t>
      </w:r>
    </w:p>
    <w:p w14:paraId="636128AF" w14:textId="77777777" w:rsidR="007A2E1E" w:rsidRDefault="00E63864">
      <w:pPr>
        <w:pStyle w:val="12"/>
        <w:tabs>
          <w:tab w:val="left" w:pos="3780"/>
        </w:tabs>
        <w:autoSpaceDE w:val="0"/>
        <w:autoSpaceDN w:val="0"/>
        <w:spacing w:before="156" w:after="156" w:line="360" w:lineRule="auto"/>
        <w:outlineLvl w:val="0"/>
        <w:rPr>
          <w:rFonts w:ascii="宋体" w:hAnsi="宋体"/>
          <w:b/>
          <w:bCs/>
          <w:sz w:val="24"/>
        </w:rPr>
      </w:pPr>
      <w:r>
        <w:rPr>
          <w:rFonts w:ascii="宋体" w:hAnsi="宋体"/>
          <w:b/>
          <w:bCs/>
          <w:sz w:val="24"/>
        </w:rPr>
        <w:t>（七）</w:t>
      </w:r>
      <w:bookmarkStart w:id="50" w:name="_Toc17996121"/>
      <w:r>
        <w:rPr>
          <w:rFonts w:ascii="宋体" w:hAnsi="宋体"/>
          <w:b/>
          <w:bCs/>
          <w:sz w:val="24"/>
        </w:rPr>
        <w:t>基金投资银行存款账户的开立和管理</w:t>
      </w:r>
      <w:bookmarkEnd w:id="50"/>
    </w:p>
    <w:p w14:paraId="0DC4C987" w14:textId="77777777" w:rsidR="007A2E1E" w:rsidRDefault="00E63864">
      <w:pPr>
        <w:pStyle w:val="12"/>
        <w:spacing w:line="360" w:lineRule="auto"/>
        <w:ind w:firstLineChars="200" w:firstLine="464"/>
        <w:rPr>
          <w:spacing w:val="-4"/>
          <w:sz w:val="24"/>
        </w:rPr>
      </w:pPr>
      <w:r>
        <w:rPr>
          <w:spacing w:val="-4"/>
          <w:sz w:val="24"/>
        </w:rPr>
        <w:t>存款账户必须以基金名义开立，账户名称为基金名称，存款账户开户文件上加盖预留印鉴（须包括基金托管人印章）及基金管理人公章。</w:t>
      </w:r>
    </w:p>
    <w:p w14:paraId="35871FE2" w14:textId="77777777" w:rsidR="007A2E1E" w:rsidRDefault="00E63864">
      <w:pPr>
        <w:pStyle w:val="12"/>
        <w:spacing w:line="360" w:lineRule="auto"/>
        <w:ind w:firstLineChars="200" w:firstLine="464"/>
        <w:rPr>
          <w:spacing w:val="-4"/>
          <w:sz w:val="24"/>
        </w:rPr>
      </w:pPr>
      <w:r>
        <w:rPr>
          <w:spacing w:val="-4"/>
          <w:sz w:val="24"/>
        </w:rPr>
        <w:t>本基金投资银行存款时，基金管理人应当与存款银行签订具体存款协议</w:t>
      </w:r>
      <w:r>
        <w:rPr>
          <w:spacing w:val="-4"/>
          <w:sz w:val="24"/>
        </w:rPr>
        <w:t>/</w:t>
      </w:r>
      <w:r>
        <w:rPr>
          <w:spacing w:val="-4"/>
          <w:sz w:val="24"/>
        </w:rPr>
        <w:t>存款确认单据，明确存款的类型、期限、利率、金额、账号、对账方式、支取方式、</w:t>
      </w:r>
      <w:r>
        <w:rPr>
          <w:spacing w:val="6"/>
          <w:sz w:val="24"/>
        </w:rPr>
        <w:t>存款到期指定收款账户</w:t>
      </w:r>
      <w:r>
        <w:rPr>
          <w:spacing w:val="-4"/>
          <w:sz w:val="24"/>
        </w:rPr>
        <w:t>等细则。</w:t>
      </w:r>
    </w:p>
    <w:p w14:paraId="2A105475" w14:textId="77777777" w:rsidR="007A2E1E" w:rsidRDefault="00E63864">
      <w:pPr>
        <w:pStyle w:val="12"/>
        <w:spacing w:line="360" w:lineRule="auto"/>
        <w:ind w:firstLineChars="200" w:firstLine="464"/>
        <w:rPr>
          <w:spacing w:val="-4"/>
          <w:sz w:val="24"/>
        </w:rPr>
      </w:pPr>
      <w:r>
        <w:rPr>
          <w:spacing w:val="-4"/>
          <w:sz w:val="24"/>
        </w:rPr>
        <w:t>为防范特殊情况下的流动性风险，存款协议中应当约定提前支取条款。</w:t>
      </w:r>
    </w:p>
    <w:p w14:paraId="625504A9" w14:textId="77777777" w:rsidR="007A2E1E" w:rsidRDefault="00E63864">
      <w:pPr>
        <w:pStyle w:val="12"/>
        <w:tabs>
          <w:tab w:val="left" w:pos="3780"/>
        </w:tabs>
        <w:autoSpaceDE w:val="0"/>
        <w:autoSpaceDN w:val="0"/>
        <w:spacing w:before="156" w:after="156" w:line="360" w:lineRule="auto"/>
        <w:outlineLvl w:val="0"/>
        <w:rPr>
          <w:rFonts w:ascii="宋体" w:hAnsi="宋体"/>
          <w:b/>
          <w:bCs/>
          <w:sz w:val="24"/>
        </w:rPr>
      </w:pPr>
      <w:r>
        <w:rPr>
          <w:rFonts w:ascii="宋体" w:hAnsi="宋体"/>
          <w:b/>
          <w:bCs/>
          <w:sz w:val="24"/>
        </w:rPr>
        <w:t>（八）其他账户的开立和管理</w:t>
      </w:r>
    </w:p>
    <w:p w14:paraId="720F8381" w14:textId="77777777" w:rsidR="007A2E1E" w:rsidRDefault="00E63864">
      <w:pPr>
        <w:pStyle w:val="213"/>
      </w:pPr>
      <w:r>
        <w:t>若中国证监会或其他监管机构在本托管协议订立日之后允许基金从事其他投资品种的投资业务，涉及相关账户的开立、使用的，由基金管理人协助基金托管人根据有关法律法规的规定和《基金合同》的约定，开立有关账户。该账户按有关规则使用并管理。</w:t>
      </w:r>
    </w:p>
    <w:p w14:paraId="050B566E"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lastRenderedPageBreak/>
        <w:t>（九）基金财产投资的有关实物证券、银行存款定期存单等有价凭证的保管</w:t>
      </w:r>
    </w:p>
    <w:p w14:paraId="4A963279" w14:textId="77777777" w:rsidR="007A2E1E" w:rsidRDefault="00E63864">
      <w:pPr>
        <w:pStyle w:val="12"/>
        <w:tabs>
          <w:tab w:val="left" w:pos="1260"/>
        </w:tabs>
        <w:spacing w:line="360" w:lineRule="auto"/>
        <w:ind w:firstLineChars="200" w:firstLine="480"/>
        <w:rPr>
          <w:rFonts w:ascii="宋体"/>
          <w:color w:val="000000"/>
          <w:sz w:val="24"/>
        </w:rPr>
      </w:pPr>
      <w:r>
        <w:rPr>
          <w:rFonts w:ascii="宋体" w:hAnsi="宋体"/>
          <w:sz w:val="24"/>
        </w:rPr>
        <w:t>实物证券由基金托管人存放于基金托管人的保管库。实物证券的购买和转让，由基金托管人根据基金管理人的指令办理。</w:t>
      </w:r>
      <w:r>
        <w:rPr>
          <w:rFonts w:ascii="宋体" w:hAnsi="宋体"/>
          <w:color w:val="000000"/>
          <w:sz w:val="24"/>
        </w:rPr>
        <w:t>基金托管人对由基金托管人以外机构实际有效控制的本基金资产不承担保管责任。</w:t>
      </w:r>
    </w:p>
    <w:p w14:paraId="4827384B"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银行存款定期存单等有价凭证由基金托管人负责保管。</w:t>
      </w:r>
    </w:p>
    <w:p w14:paraId="17102BE2" w14:textId="77777777" w:rsidR="007A2E1E" w:rsidRDefault="00E63864">
      <w:pPr>
        <w:pStyle w:val="12"/>
        <w:spacing w:line="360" w:lineRule="auto"/>
        <w:ind w:firstLineChars="200" w:firstLine="480"/>
        <w:rPr>
          <w:spacing w:val="-4"/>
          <w:sz w:val="24"/>
        </w:rPr>
      </w:pPr>
      <w:r>
        <w:rPr>
          <w:rFonts w:ascii="宋体" w:hAnsi="宋体"/>
          <w:sz w:val="24"/>
        </w:rPr>
        <w:t>基金托管人只负责对存款证实书进行保管，不负责对存款证实书真伪的辨别，不承担存款证实书对应存款的本金及收益的安全保管责任。</w:t>
      </w:r>
    </w:p>
    <w:p w14:paraId="167497ED"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51" w:name="_Toc37159180"/>
      <w:bookmarkStart w:id="52" w:name="_Toc77663004"/>
      <w:r>
        <w:rPr>
          <w:rFonts w:ascii="宋体" w:hAnsi="宋体"/>
          <w:b/>
          <w:bCs/>
          <w:sz w:val="24"/>
        </w:rPr>
        <w:t>（十）与基金财产有关的重大合同的保管</w:t>
      </w:r>
      <w:bookmarkEnd w:id="51"/>
      <w:bookmarkEnd w:id="52"/>
    </w:p>
    <w:p w14:paraId="378724C6"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由基金管理人代表基金签署的与基金有关的重大合同的原件分别由基金托管人、基金管理人保管，相关业务程序另有限制除外。除本协议另有规定外，基金管理人在代表基金签署与基金有关的重大合同时应尽可能保证基金一方持有二份以上的正本，以便基金管理人和基金托管人至少各持有一份正本的原件，基金管理人应及时将正本送达基金托管人处。合同的保管期限按照国家有关规定执行。</w:t>
      </w:r>
    </w:p>
    <w:p w14:paraId="77C6844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对于无法取得二份以上的正本的，基金管理人应向基金托管人提供加盖授权业务章的合同传真件，未经双方协商或未在合同约定范围内，合同原件不得转移。</w:t>
      </w:r>
    </w:p>
    <w:p w14:paraId="67389991" w14:textId="77777777" w:rsidR="007A2E1E" w:rsidRDefault="00E63864">
      <w:pPr>
        <w:pStyle w:val="112"/>
      </w:pPr>
      <w:bookmarkStart w:id="53" w:name="_Toc65161984"/>
      <w:r>
        <w:t>六、指令的发送、确认和执行</w:t>
      </w:r>
      <w:bookmarkEnd w:id="46"/>
      <w:bookmarkEnd w:id="47"/>
      <w:bookmarkEnd w:id="48"/>
      <w:bookmarkEnd w:id="53"/>
    </w:p>
    <w:p w14:paraId="25C2919C"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54" w:name="_Toc77663006"/>
      <w:r>
        <w:rPr>
          <w:rFonts w:ascii="宋体" w:hAnsi="宋体"/>
          <w:b/>
          <w:bCs/>
          <w:sz w:val="24"/>
        </w:rPr>
        <w:t>（一）基金管理人对发送指令人员的书面授权</w:t>
      </w:r>
      <w:bookmarkEnd w:id="54"/>
    </w:p>
    <w:p w14:paraId="683FB05D"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应事先书面通知（以下简称“授权通知”）基金托管人有权发送指令的人员名单、签字样本、预留印鉴和启用日期，注明相应的权限，并规定基金管理人向基金托管人发送指令时基金托管人确认有权发送人员（以下简称“被授权人”）身份的方法。基金管理人向基金托管人发出的授权通知应加盖公章。基金管理人发出授权通知后，以电话形式向基金托管人确认，授权通知自其上面注明的启用日期开始生效，在此后三个工作日内基金管理人应将授权通知的正本送交基金托管人。</w:t>
      </w:r>
    </w:p>
    <w:p w14:paraId="172AEBEB"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基金托管人收到授权通知后，将签字和印鉴与预留样本核对无误后，应在收到授权通知当日电话向基金管理人确认。</w:t>
      </w:r>
    </w:p>
    <w:p w14:paraId="1F99F2D3"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lastRenderedPageBreak/>
        <w:t>基金管理人和基金托管人对授权文件负有保密义务，其内容不得向授权人、被授权人及相关操作人员以外的任何人泄露。</w:t>
      </w:r>
      <w:bookmarkStart w:id="55" w:name="_Toc77663007"/>
    </w:p>
    <w:p w14:paraId="705C8930"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（二）指令的内容</w:t>
      </w:r>
      <w:bookmarkEnd w:id="55"/>
    </w:p>
    <w:p w14:paraId="22C375A1"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指令是基金管理人在运用基金资产时，向基金托管人发出的资金划拨及其他款项收付的指令。</w:t>
      </w:r>
      <w:bookmarkStart w:id="56" w:name="_Toc77663008"/>
      <w:r>
        <w:rPr>
          <w:rFonts w:ascii="宋体" w:hAnsi="宋体"/>
          <w:sz w:val="24"/>
        </w:rPr>
        <w:t>指令应写明款项事由、支付时间、到账时间、金额、收款账户、大额支付号等执行支付所需内容，加盖预留印鉴。</w:t>
      </w:r>
    </w:p>
    <w:p w14:paraId="4C5F51E8" w14:textId="77777777" w:rsidR="007A2E1E" w:rsidRDefault="00E63864">
      <w:pPr>
        <w:pStyle w:val="12"/>
        <w:tabs>
          <w:tab w:val="left" w:pos="1260"/>
        </w:tabs>
        <w:spacing w:line="360" w:lineRule="auto"/>
        <w:rPr>
          <w:rFonts w:ascii="宋体"/>
          <w:b/>
          <w:bCs/>
          <w:sz w:val="24"/>
        </w:rPr>
      </w:pPr>
      <w:r>
        <w:rPr>
          <w:rFonts w:ascii="宋体" w:hAnsi="宋体"/>
          <w:b/>
          <w:bCs/>
          <w:sz w:val="24"/>
        </w:rPr>
        <w:t>（三）指令的发送、确认和执行</w:t>
      </w:r>
      <w:bookmarkEnd w:id="56"/>
      <w:r>
        <w:rPr>
          <w:rFonts w:ascii="宋体" w:hAnsi="宋体"/>
          <w:b/>
          <w:bCs/>
          <w:sz w:val="24"/>
        </w:rPr>
        <w:t>的时间和程序</w:t>
      </w:r>
    </w:p>
    <w:p w14:paraId="74DF7030" w14:textId="77777777" w:rsidR="007A2E1E" w:rsidRDefault="00E63864">
      <w:pPr>
        <w:pStyle w:val="12"/>
        <w:pBdr>
          <w:top w:val="none" w:sz="0" w:space="0" w:color="000000"/>
          <w:left w:val="none" w:sz="0" w:space="0" w:color="000000"/>
          <w:bottom w:val="none" w:sz="0" w:space="0" w:color="000000"/>
          <w:right w:val="none" w:sz="0" w:space="0" w:color="000000"/>
        </w:pBdr>
        <w:tabs>
          <w:tab w:val="left" w:pos="1260"/>
        </w:tabs>
        <w:spacing w:line="360" w:lineRule="auto"/>
        <w:ind w:firstLineChars="200" w:firstLine="480"/>
        <w:rPr>
          <w:rFonts w:ascii="Calibri" w:hAnsi="Calibri" w:cs="Calibri"/>
          <w:sz w:val="22"/>
        </w:rPr>
      </w:pPr>
      <w:r>
        <w:rPr>
          <w:rFonts w:ascii="宋体" w:hAnsi="宋体"/>
          <w:sz w:val="24"/>
        </w:rPr>
        <w:t>基金管理人应按照《基金法》及其他有关法规、《基金合同》和本协议的规定，在其合法的经营权限和交易权限内发送指令，被授权人应按照其授权权限发送指令。指令由“授权通知”确定的被授权人代表基金管理人向基金托管人发送。发送后基金管理人及时通过电话与基金托管人确认指令内容。基金管理人必须在15:00之前向基金托管人发送付款指令并确保基金银行账户有足够的资金余额，15:00之后发送付款指令或截止15:00时账户资金不足的，基金托管人不能保证在当日完成划付。对基金管理人在没有充足资金的情况下向基金托管人发出的指令，基金托管人可不予执行，并立即通知基金管理人，基金托管人不承担因为不执行该指令而造成损失的责任。如基金管理人要求当天某一时点到账，必须至少提前2个工作小时向基金托管人发送付款指令并与基金托管人电话确认。基金管理人指令传输及确认不及时或账户资金不足，未能留出足够的执行时间，致使指令未能及时执行的，基金托管人不承担由此导致的损失。对于被授权人发出的指令，基金管理人不得否认其效力。基金托管人依照“授权通知”规定的方法确认指令的有效后，方可执行指令。</w:t>
      </w:r>
      <w:r>
        <w:rPr>
          <w:rFonts w:ascii="宋体" w:hAnsi="宋体" w:cs="宋体"/>
          <w:sz w:val="24"/>
        </w:rPr>
        <w:t>基金管理人承诺发送给托管人的指令所加盖印鉴及被授权人的签章真实、有效、完整，</w:t>
      </w:r>
      <w:r>
        <w:rPr>
          <w:rFonts w:ascii="宋体" w:hAnsi="宋体"/>
          <w:sz w:val="24"/>
        </w:rPr>
        <w:t>基金托管人仅根据基金管理人的授权文件对指令</w:t>
      </w:r>
      <w:r>
        <w:rPr>
          <w:rFonts w:ascii="宋体" w:hAnsi="宋体" w:cs="宋体"/>
          <w:color w:val="000000"/>
          <w:sz w:val="24"/>
        </w:rPr>
        <w:t>、印鉴、签章</w:t>
      </w:r>
      <w:r>
        <w:rPr>
          <w:rFonts w:ascii="宋体" w:hAnsi="宋体"/>
          <w:sz w:val="24"/>
        </w:rPr>
        <w:t>进行表面相符性的形式审查，对其真实性不承担责任。</w:t>
      </w:r>
    </w:p>
    <w:p w14:paraId="58BD50E1"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（四）基金管理人发送错误指令的情形和处理程序</w:t>
      </w:r>
    </w:p>
    <w:p w14:paraId="7CAC910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发送错误指令的情形包括指令发送人员无权或超越权限发送指令及交割信息错误，指令中重要信息模糊不清或不全等。基金托管人在履行监督职能时，发现基金管理人的指令错误时，有权拒绝执行，并及时通知基金管</w:t>
      </w:r>
      <w:r>
        <w:rPr>
          <w:rFonts w:ascii="宋体" w:hAnsi="宋体"/>
          <w:sz w:val="24"/>
        </w:rPr>
        <w:lastRenderedPageBreak/>
        <w:t>理人改正。</w:t>
      </w:r>
    </w:p>
    <w:p w14:paraId="7758CCBA"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（五）基金托管人依照法律法规暂缓、拒绝执行指令的情形和处理程序</w:t>
      </w:r>
    </w:p>
    <w:p w14:paraId="005C81B8"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在对基金场外投资指令进行审核时，如发现基金管理人的投资指令违反有关基金的法律法规、《基金合同》、本协议的规定，如交易未生效，则不予执行并立即通知基金管理人；如交易已生效，则以书面形式通知基金管理人限期纠正。基金管理人收到通知后应及时核对，并以约定形式向基金托管人反馈，由此造成的损失由基金管理人承担。</w:t>
      </w:r>
    </w:p>
    <w:p w14:paraId="6E9BE770"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在对基金场外投资指令进行审核时，如发现投资指令有可能违反法律法规、《基金合同》、本协议的规定，应暂缓执行指令，通知基金管理人改正。如果基金管理人拒不改正，基金托管人有权向中国证监会报告。</w:t>
      </w:r>
    </w:p>
    <w:p w14:paraId="77B8DA2A"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（六）基金托管人未按照基金管理人指令执行的处理方法</w:t>
      </w:r>
    </w:p>
    <w:p w14:paraId="6490D025"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基金托管人由于自身原因造成未按照基金管理人发送的正常指令执行，应在发现后及时采取措施予以弥补，给基金份额持有人造成损失的，对由此造成的直接经济损失负赔偿责任。</w:t>
      </w:r>
      <w:bookmarkStart w:id="57" w:name="_Toc77663009"/>
    </w:p>
    <w:p w14:paraId="74DDBB7C"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（七）被授权人</w:t>
      </w:r>
      <w:bookmarkEnd w:id="57"/>
      <w:r>
        <w:rPr>
          <w:rFonts w:ascii="宋体" w:hAnsi="宋体"/>
          <w:b/>
          <w:bCs/>
          <w:sz w:val="24"/>
        </w:rPr>
        <w:t>的更换</w:t>
      </w:r>
    </w:p>
    <w:p w14:paraId="4DA0F818"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撤换被授权人或改变被授权人的权限，必须提前至少三个工作日，使用传真向基金托管人发出加盖公章的被授权人变更通知，注明启用日期，同时电话通知基金托管人。被授权人变更通知自其上面注明的启用日期起开始生效。基金管理人对授权通知的内容的修改自启用日期起生效。基金管理人在此后三个工作日内将被授权人变更通知的正本送交基金托管人。</w:t>
      </w:r>
    </w:p>
    <w:p w14:paraId="7D97FFC9"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如果基金管理人已经撤销或更改对指令发送人员的授权，并且书面通知基金托管人，则对于在变更通知的启用日期后该指令发送人员无权发送的指令，或超权限发送的指令，基金管理人不承担责任。</w:t>
      </w:r>
    </w:p>
    <w:p w14:paraId="3FC4C78E" w14:textId="77777777" w:rsidR="007A2E1E" w:rsidRDefault="00E63864">
      <w:pPr>
        <w:pStyle w:val="112"/>
      </w:pPr>
      <w:bookmarkStart w:id="58" w:name="_Toc125892443"/>
      <w:bookmarkStart w:id="59" w:name="_Toc65161985"/>
      <w:bookmarkStart w:id="60" w:name="_Toc466788856"/>
      <w:bookmarkStart w:id="61" w:name="_Toc22454451"/>
      <w:bookmarkStart w:id="62" w:name="_Toc523829997"/>
      <w:r>
        <w:t>七、交易及清算交收安排</w:t>
      </w:r>
      <w:bookmarkEnd w:id="58"/>
      <w:bookmarkEnd w:id="59"/>
      <w:bookmarkEnd w:id="60"/>
      <w:bookmarkEnd w:id="61"/>
      <w:bookmarkEnd w:id="62"/>
    </w:p>
    <w:p w14:paraId="659BF636"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63" w:name="_Toc22454452"/>
      <w:bookmarkStart w:id="64" w:name="_Toc77663011"/>
      <w:bookmarkStart w:id="65" w:name="_Toc77663012"/>
      <w:r>
        <w:rPr>
          <w:rFonts w:ascii="宋体" w:hAnsi="宋体"/>
          <w:b/>
          <w:bCs/>
          <w:sz w:val="24"/>
        </w:rPr>
        <w:t>（一）选择代理证券、期货买卖的证券、期货经纪机构的标准和程序</w:t>
      </w:r>
      <w:bookmarkEnd w:id="63"/>
      <w:bookmarkEnd w:id="64"/>
    </w:p>
    <w:p w14:paraId="00C5F1AC"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基金管理人负责选择代理本基金证券买卖的证券经纪机构，并代表基金与被选择的证券经纪机构签订交易单元租用协议。基金管理人应及时将基金交易</w:t>
      </w:r>
      <w:r>
        <w:rPr>
          <w:rFonts w:ascii="宋体" w:hAnsi="宋体"/>
          <w:sz w:val="24"/>
        </w:rPr>
        <w:lastRenderedPageBreak/>
        <w:t>单元号、佣金费率等基本信息以及变更情况及时以书面形式通知基金托管人，并在法定信息披露公告中披露相关内容。</w:t>
      </w:r>
    </w:p>
    <w:p w14:paraId="6F3DFF29" w14:textId="77777777" w:rsidR="007A2E1E" w:rsidRDefault="00E63864">
      <w:pPr>
        <w:pStyle w:val="12"/>
        <w:tabs>
          <w:tab w:val="left" w:pos="1260"/>
        </w:tabs>
        <w:spacing w:line="360" w:lineRule="auto"/>
        <w:ind w:firstLineChars="200" w:firstLine="480"/>
        <w:rPr>
          <w:rFonts w:ascii="宋体"/>
          <w:sz w:val="24"/>
        </w:rPr>
      </w:pPr>
      <w:r>
        <w:rPr>
          <w:rFonts w:ascii="宋体"/>
          <w:sz w:val="24"/>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2D0E68A5" w14:textId="77777777" w:rsidR="007A2E1E" w:rsidRDefault="00E63864">
      <w:pPr>
        <w:pStyle w:val="12"/>
        <w:tabs>
          <w:tab w:val="left" w:pos="3780"/>
        </w:tabs>
        <w:autoSpaceDE w:val="0"/>
        <w:autoSpaceDN w:val="0"/>
        <w:spacing w:before="156" w:after="156" w:line="360" w:lineRule="auto"/>
        <w:outlineLvl w:val="0"/>
        <w:rPr>
          <w:rFonts w:ascii="宋体" w:hAnsi="宋体"/>
          <w:b/>
          <w:bCs/>
          <w:sz w:val="24"/>
        </w:rPr>
      </w:pPr>
      <w:r>
        <w:rPr>
          <w:rFonts w:ascii="宋体" w:hAnsi="宋体"/>
          <w:b/>
          <w:bCs/>
          <w:sz w:val="24"/>
        </w:rPr>
        <w:t>（二）基金投资证券后的清算</w:t>
      </w:r>
      <w:bookmarkEnd w:id="65"/>
      <w:r>
        <w:rPr>
          <w:rFonts w:ascii="宋体" w:hAnsi="宋体"/>
          <w:b/>
          <w:bCs/>
          <w:sz w:val="24"/>
        </w:rPr>
        <w:t>交收安排</w:t>
      </w:r>
    </w:p>
    <w:p w14:paraId="5505926C"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1.资金划拨</w:t>
      </w:r>
    </w:p>
    <w:p w14:paraId="7ACF83E5"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对于基金管理人的资金划拨指令，基金托管人在复核无误后应在规定期限内执行，不得延误。基金管理人应保证基金托管人在执行基金管理人发送的资金划拨指令时，基金银行存款账户或资金交收账户上有充足的资金。基金的资金头寸不足时，基金托管人有权拒绝基金管理人发送的划款指令。基金管理人在发送划款指令时应充分考虑基金托管人的划款处理时间和在途时间。在基金资金头寸充足的情况下，基金托管人对基金管理人符合法律法规、《基金合同》、本协议的指令不得拖延或拒绝执行。对超头寸的划款指令，基金托管人有权止付但应及时电话通知基金管理人，由此造成的损失由基金管理人承担。</w:t>
      </w:r>
    </w:p>
    <w:p w14:paraId="4894CCA5"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2.结算方式</w:t>
      </w:r>
    </w:p>
    <w:p w14:paraId="5D55EDF1"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支付结算以转账形式进行。如中国人民银行有更快捷、安全、可行的结算方式，基金托管人可根据需要进行调整。</w:t>
      </w:r>
    </w:p>
    <w:p w14:paraId="607AC65E" w14:textId="77777777" w:rsidR="007A2E1E" w:rsidRDefault="00E63864">
      <w:pPr>
        <w:pStyle w:val="12"/>
        <w:tabs>
          <w:tab w:val="left" w:pos="1260"/>
        </w:tabs>
        <w:spacing w:line="360" w:lineRule="auto"/>
        <w:ind w:firstLineChars="200" w:firstLine="480"/>
        <w:rPr>
          <w:rFonts w:ascii="宋体"/>
          <w:sz w:val="24"/>
        </w:rPr>
      </w:pPr>
      <w:bookmarkStart w:id="66" w:name="_Toc466788858"/>
      <w:bookmarkStart w:id="67" w:name="_Toc523829999"/>
      <w:r>
        <w:rPr>
          <w:rFonts w:ascii="宋体" w:hAnsi="宋体"/>
          <w:sz w:val="24"/>
        </w:rPr>
        <w:t>3.证券交易资金的清算</w:t>
      </w:r>
    </w:p>
    <w:p w14:paraId="7B9EF833"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本基金投资于证券而发生的场内、场外交易的清算交割，由基金托管人负责办理。</w:t>
      </w:r>
    </w:p>
    <w:p w14:paraId="4EC4016B"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本基金场外证券投资的清算交割，由基金托管人根据基金管理人的指令通过登记结算机构办理。本基金场内证券投资的清算交割，由基金托管人根据双方签订的《托管银行证券资金结算协议》约定，由基金托管人负责办理。但本基金场内证券投资涉及T+0日非担保、RTGS交收的业务，基金管理人应在T+0日15：00前书面通知基金托管人办理交收，否则基金托管人不能保证相关清算交割成功。如因基金托管人的自身原因在清算上造成基金资产的损失，应由基金托管人负责赔偿基金的损失；如果因为基金管理人的投资运作行为而造成基金投资清算困难和风险的，基金托管人发现后应立即通知基金管理人，由基金</w:t>
      </w:r>
      <w:r>
        <w:rPr>
          <w:rFonts w:ascii="宋体" w:hAnsi="宋体"/>
          <w:sz w:val="24"/>
        </w:rPr>
        <w:lastRenderedPageBreak/>
        <w:t>管理人负责解决，基金托管人应给予必要的配合，由此给基金托管人、本基金和基金托管人托管的其他资产造成的损失由基金管理人承担。</w:t>
      </w:r>
    </w:p>
    <w:p w14:paraId="03E6DE7A"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基金托管人在完成相关登记结算公司通知的事项后应通知基金管理人。</w:t>
      </w:r>
    </w:p>
    <w:p w14:paraId="1AD9D5EA"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由于基金管理人的原因造成基金无法按时支付证券清算款，按照登记结算机构的有关规定办理。</w:t>
      </w:r>
    </w:p>
    <w:p w14:paraId="779E0D88" w14:textId="77777777" w:rsidR="007A2E1E" w:rsidRDefault="00E63864">
      <w:pPr>
        <w:pStyle w:val="12"/>
        <w:tabs>
          <w:tab w:val="left" w:pos="3780"/>
        </w:tabs>
        <w:autoSpaceDE w:val="0"/>
        <w:autoSpaceDN w:val="0"/>
        <w:spacing w:before="156" w:after="156" w:line="360" w:lineRule="auto"/>
        <w:outlineLvl w:val="0"/>
        <w:rPr>
          <w:rFonts w:ascii="宋体" w:hAnsi="宋体"/>
          <w:b/>
          <w:bCs/>
          <w:sz w:val="24"/>
        </w:rPr>
      </w:pPr>
      <w:bookmarkStart w:id="68" w:name="_Toc77663013"/>
      <w:r>
        <w:rPr>
          <w:rFonts w:ascii="宋体" w:hAnsi="宋体"/>
          <w:b/>
          <w:bCs/>
          <w:sz w:val="24"/>
        </w:rPr>
        <w:t>（三）基金投资期货后的清算交收安排</w:t>
      </w:r>
    </w:p>
    <w:p w14:paraId="5D0B7261" w14:textId="77777777" w:rsidR="007A2E1E" w:rsidRDefault="00E63864">
      <w:pPr>
        <w:pStyle w:val="12"/>
        <w:spacing w:line="360" w:lineRule="auto"/>
        <w:ind w:firstLineChars="200" w:firstLine="480"/>
        <w:jc w:val="left"/>
        <w:rPr>
          <w:rFonts w:ascii="宋体" w:hAnsi="宋体"/>
          <w:sz w:val="24"/>
        </w:rPr>
      </w:pPr>
      <w:r>
        <w:rPr>
          <w:rFonts w:ascii="宋体" w:hAnsi="宋体"/>
          <w:sz w:val="24"/>
        </w:rPr>
        <w:t>本基金</w:t>
      </w:r>
      <w:r>
        <w:rPr>
          <w:spacing w:val="-4"/>
          <w:sz w:val="24"/>
        </w:rPr>
        <w:t>通过</w:t>
      </w:r>
      <w:r>
        <w:rPr>
          <w:rFonts w:ascii="宋体" w:hAnsi="宋体"/>
          <w:sz w:val="24"/>
        </w:rPr>
        <w:t>期货经纪机构</w:t>
      </w:r>
      <w:r>
        <w:rPr>
          <w:spacing w:val="-4"/>
          <w:sz w:val="24"/>
        </w:rPr>
        <w:t>进行的交易</w:t>
      </w:r>
      <w:r>
        <w:rPr>
          <w:rFonts w:ascii="宋体" w:hAnsi="宋体"/>
          <w:sz w:val="24"/>
        </w:rPr>
        <w:t>由期货经纪机构作为结算参与人代理本基金进行结算，</w:t>
      </w:r>
      <w:r>
        <w:rPr>
          <w:rFonts w:ascii="宋体"/>
          <w:sz w:val="24"/>
        </w:rPr>
        <w:t>并承担由期货经纪机构原因造成的正常结算、交收业务无法完成的责任</w:t>
      </w:r>
      <w:r>
        <w:rPr>
          <w:rFonts w:ascii="宋体" w:hAnsi="宋体"/>
          <w:sz w:val="24"/>
        </w:rPr>
        <w:t>。</w:t>
      </w:r>
    </w:p>
    <w:p w14:paraId="19850A19" w14:textId="77777777" w:rsidR="007A2E1E" w:rsidRDefault="00E63864">
      <w:pPr>
        <w:pStyle w:val="12"/>
        <w:spacing w:line="360" w:lineRule="auto"/>
        <w:ind w:firstLineChars="200" w:firstLine="480"/>
        <w:jc w:val="left"/>
        <w:rPr>
          <w:rFonts w:ascii="宋体" w:hAnsi="宋体"/>
          <w:sz w:val="24"/>
        </w:rPr>
      </w:pPr>
      <w:r>
        <w:rPr>
          <w:rFonts w:ascii="宋体" w:hAnsi="宋体"/>
          <w:sz w:val="24"/>
        </w:rPr>
        <w:t>基金管理人、基金托管人和期货经纪机构可就基金参与期货交易的具体事项另行签订协议，明确三方在基金参与期货交易中的账户开立、资金划拨、期货交易、交易费用、数据传输，以及风险控制与监督等方面的职责和义务。</w:t>
      </w:r>
    </w:p>
    <w:p w14:paraId="0669270C" w14:textId="77777777" w:rsidR="007A2E1E" w:rsidRDefault="00E63864">
      <w:pPr>
        <w:pStyle w:val="12"/>
        <w:spacing w:line="360" w:lineRule="auto"/>
        <w:ind w:firstLineChars="200" w:firstLine="480"/>
        <w:jc w:val="left"/>
        <w:rPr>
          <w:rFonts w:ascii="宋体" w:hAnsi="宋体"/>
          <w:b/>
          <w:bCs/>
          <w:sz w:val="24"/>
        </w:rPr>
      </w:pPr>
      <w:r>
        <w:rPr>
          <w:rFonts w:ascii="宋体" w:hAnsi="宋体"/>
          <w:sz w:val="24"/>
        </w:rPr>
        <w:t>基金管理人应责成其选择的期货公司对发送的数据的准确性、完整性、真实性负责。由于交易结算报告的记载事项出现与实际交易结果和权益不符造成本产品估值计算错误的，应由基金管理人负责向数据发送方追偿，基金托管人不承担责任。</w:t>
      </w:r>
    </w:p>
    <w:p w14:paraId="0413F0D4"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（四）基金管理人与基金托管人进行资金、证券账目和交易记录的核对</w:t>
      </w:r>
      <w:bookmarkEnd w:id="68"/>
    </w:p>
    <w:p w14:paraId="0A541E16"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对基金的交易记录，由基金管理人按日进行核对。对外披露各类基金份额净值之前，必须保证当天所有实际交易记录与基金会计账簿上的交易记录完全一致。如果交易记录与会计账簿记录不一致，造成基金会计核算不完整或不真实，由此导致的损失由基金的会计责任方承担。基金管理人每一交易日以双方认可的方式在当日全部交易结束后，将编制的基金资金、证券账目传送给基金托管人，基金托管人按日进行账目核对。</w:t>
      </w:r>
    </w:p>
    <w:p w14:paraId="3E3E42E5"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对实物券账目，相关各方定期进行账实核对。</w:t>
      </w:r>
    </w:p>
    <w:p w14:paraId="16C29488" w14:textId="77777777" w:rsidR="007A2E1E" w:rsidRDefault="00E63864">
      <w:pPr>
        <w:pStyle w:val="12"/>
        <w:tabs>
          <w:tab w:val="left" w:pos="1260"/>
        </w:tabs>
        <w:spacing w:line="360" w:lineRule="auto"/>
        <w:ind w:firstLineChars="200" w:firstLine="480"/>
        <w:rPr>
          <w:rFonts w:ascii="宋体"/>
          <w:b/>
          <w:bCs/>
          <w:sz w:val="24"/>
        </w:rPr>
      </w:pPr>
      <w:r>
        <w:rPr>
          <w:rFonts w:ascii="宋体" w:hAnsi="宋体"/>
          <w:sz w:val="24"/>
        </w:rPr>
        <w:t>基金托管人应定期核对证券账户中的证券数量和种类。</w:t>
      </w:r>
    </w:p>
    <w:p w14:paraId="38C17324"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双方可协商采用电子对账方式进行账目核对。</w:t>
      </w:r>
    </w:p>
    <w:p w14:paraId="3180708D"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（五）申购、赎回、转换开放式基金的资金清算和数据传递的时间、程序及托管协议当事人的责任界定</w:t>
      </w:r>
    </w:p>
    <w:p w14:paraId="51E8855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lastRenderedPageBreak/>
        <w:t>1.基金份额申购、赎回、转换的确认，清算由基金管理人指定的登记机构负责。</w:t>
      </w:r>
    </w:p>
    <w:p w14:paraId="1133F6A8"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2.基金管理人应将每个开放日的申购、赎回、转换开放式基金的数据传送给基金托管人。基金管理人应对传递的申购、赎回、转换开放式基金的数据真实性、准确性、完整性负责。基金托管人应及时查收申购资金的到账情况并根据基金管理人指令及时划付赎回及转换款项。</w:t>
      </w:r>
    </w:p>
    <w:p w14:paraId="3D4F10E6" w14:textId="77777777" w:rsidR="007A2E1E" w:rsidRDefault="00E63864">
      <w:pPr>
        <w:pBdr>
          <w:top w:val="none" w:sz="0" w:space="0" w:color="000000"/>
          <w:left w:val="none" w:sz="0" w:space="0" w:color="000000"/>
          <w:bottom w:val="none" w:sz="0" w:space="0" w:color="000000"/>
          <w:right w:val="none" w:sz="0" w:space="0" w:color="000000"/>
        </w:pBdr>
        <w:tabs>
          <w:tab w:val="left" w:pos="1260"/>
        </w:tabs>
        <w:spacing w:line="360" w:lineRule="auto"/>
        <w:ind w:firstLine="480"/>
        <w:jc w:val="both"/>
      </w:pPr>
      <w:r>
        <w:rPr>
          <w:rFonts w:ascii="宋体" w:hAnsi="宋体" w:cs="宋体"/>
          <w:color w:val="000000"/>
          <w:sz w:val="24"/>
        </w:rPr>
        <w:t>3.基金托管账户与“基金清算账户”间的资金结算遵循“全额清算、净额交收”的原则，每日按照托管账户应收资金与应付资金的差额来确定托管账户净应收额或净应付额，以此确定资金交收额。</w:t>
      </w:r>
    </w:p>
    <w:p w14:paraId="6A4F5433"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4.基金管理人应在交收日将申购净额（不包含申购费）划至托管账户。如申购净额未能如期到账，基金托管人应及时通知基金管理人采取措施进行催收，由此给基金造成损失的，由责任方承担。基金管理人负责向责任方追偿基金的损失。</w:t>
      </w:r>
    </w:p>
    <w:p w14:paraId="45AE9181"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5.基金管理人应及时向基金托管人发送赎回及转换资金的划拨指令。基金托管人依据划款指令在交收日（包含赎回产生的应付费用）划至基金管理人指定账户。基金管理人应及时通知基金托管人划付。若赎回净额未能如期划拨，由此造成的损失，由责任方承担。基金管理人负责向责任方追偿基金的损失。</w:t>
      </w:r>
    </w:p>
    <w:p w14:paraId="43FA2781"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（六）基金收益分配的清算交收安排</w:t>
      </w:r>
    </w:p>
    <w:p w14:paraId="1814F764"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1.基金管理人决定收益分配方案并通知基金托管人，经基金托管人复核后依照《信息披露办法》的有关规定在规定媒介公告。</w:t>
      </w:r>
    </w:p>
    <w:p w14:paraId="0610ACFB"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2.基金托管人和基金管理人对基金收益分配进行账务处理并核对后，基金管理人应及时向基金托管人发送分发现金红利的划款指令，基金托管人依据划款指令在指定划付日及时将资金划至基金管理人指定账户。</w:t>
      </w:r>
    </w:p>
    <w:p w14:paraId="7CC5F334"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3.基金管理人在下达分红款支付指令时，应给基金托管人留出必需的划款时间。</w:t>
      </w:r>
      <w:bookmarkStart w:id="69" w:name="_Toc125892444"/>
    </w:p>
    <w:p w14:paraId="453ABFC8" w14:textId="77777777" w:rsidR="007A2E1E" w:rsidRDefault="00E63864">
      <w:pPr>
        <w:pStyle w:val="112"/>
      </w:pPr>
      <w:bookmarkStart w:id="70" w:name="_Toc65161986"/>
      <w:r>
        <w:t>八、基金资产净值计算和会计核算</w:t>
      </w:r>
      <w:bookmarkEnd w:id="66"/>
      <w:bookmarkEnd w:id="67"/>
      <w:bookmarkEnd w:id="69"/>
      <w:bookmarkEnd w:id="70"/>
    </w:p>
    <w:p w14:paraId="7FE73FFD"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71" w:name="_Toc77663017"/>
      <w:r>
        <w:rPr>
          <w:rFonts w:ascii="宋体" w:hAnsi="宋体"/>
          <w:b/>
          <w:bCs/>
          <w:sz w:val="24"/>
        </w:rPr>
        <w:t>（一）基金资产净值及基金份额净值的计算与复核</w:t>
      </w:r>
      <w:bookmarkEnd w:id="71"/>
    </w:p>
    <w:p w14:paraId="110C9CFF" w14:textId="77777777" w:rsidR="007A2E1E" w:rsidRDefault="00E63864">
      <w:pPr>
        <w:pStyle w:val="12"/>
        <w:autoSpaceDE w:val="0"/>
        <w:autoSpaceDN w:val="0"/>
        <w:spacing w:line="360" w:lineRule="auto"/>
        <w:ind w:firstLine="420"/>
        <w:jc w:val="left"/>
        <w:rPr>
          <w:rFonts w:ascii="宋体"/>
          <w:sz w:val="24"/>
        </w:rPr>
      </w:pPr>
      <w:r>
        <w:rPr>
          <w:rFonts w:ascii="宋体" w:hAnsi="宋体"/>
          <w:sz w:val="24"/>
        </w:rPr>
        <w:t>基金资产净值是指基金资产总值减去基金负债后的价值。</w:t>
      </w:r>
    </w:p>
    <w:p w14:paraId="3AC59D73"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lastRenderedPageBreak/>
        <w:t>基金管理人应每个估值日对基金资产估值。估值原则应符合《基金合同》、</w:t>
      </w:r>
      <w:r>
        <w:rPr>
          <w:rFonts w:ascii="宋体"/>
          <w:sz w:val="24"/>
        </w:rPr>
        <w:t>《中国证监会关于证券投资基金估值业务的指导意见》</w:t>
      </w:r>
      <w:r>
        <w:rPr>
          <w:rFonts w:ascii="宋体" w:hAnsi="宋体"/>
          <w:sz w:val="24"/>
        </w:rPr>
        <w:t>及其他法律、法规的规定。用于基金信息披露的基金资产净值和各类基金份额净值由基金管理人负责计算，基金托管人复核。基金管理人应于每个估值日交易结束后计算当日的各类基金份额的基金资产净值和基金份额净值，以约定方式发送给基金托管人。基金托管人对净值计算结果复核后，将复核结果反馈给基金管理人，由基金管理人对各类基金份额净值按约定予以公布。</w:t>
      </w:r>
    </w:p>
    <w:p w14:paraId="2763C5D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本基金按以下方法估值：</w:t>
      </w:r>
    </w:p>
    <w:p w14:paraId="3433FAE8" w14:textId="77777777" w:rsidR="007A2E1E" w:rsidRDefault="00E63864">
      <w:pPr>
        <w:pStyle w:val="12"/>
        <w:spacing w:line="360" w:lineRule="auto"/>
        <w:ind w:firstLineChars="200" w:firstLine="480"/>
        <w:rPr>
          <w:bCs/>
          <w:sz w:val="24"/>
        </w:rPr>
      </w:pPr>
      <w:r>
        <w:rPr>
          <w:bCs/>
          <w:sz w:val="24"/>
        </w:rPr>
        <w:t>1</w:t>
      </w:r>
      <w:r>
        <w:rPr>
          <w:bCs/>
          <w:sz w:val="24"/>
        </w:rPr>
        <w:t>、证券交易所上市的有价证券的估值</w:t>
      </w:r>
    </w:p>
    <w:p w14:paraId="23B113D5" w14:textId="77777777" w:rsidR="007A2E1E" w:rsidRDefault="00E63864">
      <w:pPr>
        <w:pStyle w:val="12"/>
        <w:spacing w:line="360" w:lineRule="auto"/>
        <w:ind w:firstLineChars="200" w:firstLine="480"/>
        <w:rPr>
          <w:bCs/>
          <w:sz w:val="24"/>
        </w:rPr>
      </w:pPr>
      <w:r>
        <w:rPr>
          <w:bCs/>
          <w:sz w:val="24"/>
        </w:rPr>
        <w:t>（</w:t>
      </w:r>
      <w:r>
        <w:rPr>
          <w:bCs/>
          <w:sz w:val="24"/>
        </w:rPr>
        <w:t>1</w:t>
      </w:r>
      <w:r>
        <w:rPr>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445B54EA" w14:textId="77777777" w:rsidR="007A2E1E" w:rsidRDefault="00E63864">
      <w:pPr>
        <w:pStyle w:val="12"/>
        <w:spacing w:line="360" w:lineRule="auto"/>
        <w:ind w:firstLineChars="200" w:firstLine="480"/>
        <w:rPr>
          <w:bCs/>
          <w:sz w:val="24"/>
        </w:rPr>
      </w:pPr>
      <w:r>
        <w:rPr>
          <w:bCs/>
          <w:sz w:val="24"/>
        </w:rPr>
        <w:t>（</w:t>
      </w:r>
      <w:r>
        <w:rPr>
          <w:bCs/>
          <w:sz w:val="24"/>
        </w:rPr>
        <w:t>2</w:t>
      </w:r>
      <w:r>
        <w:rPr>
          <w:bCs/>
          <w:sz w:val="24"/>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566FDE50" w14:textId="77777777" w:rsidR="007A2E1E" w:rsidRDefault="00E63864">
      <w:pPr>
        <w:pStyle w:val="12"/>
        <w:spacing w:line="360" w:lineRule="auto"/>
        <w:ind w:firstLineChars="200" w:firstLine="480"/>
        <w:rPr>
          <w:bCs/>
          <w:sz w:val="24"/>
        </w:rPr>
      </w:pPr>
      <w:r>
        <w:rPr>
          <w:bCs/>
          <w:sz w:val="24"/>
        </w:rPr>
        <w:t>（</w:t>
      </w:r>
      <w:r>
        <w:rPr>
          <w:bCs/>
          <w:sz w:val="24"/>
        </w:rPr>
        <w:t>3</w:t>
      </w:r>
      <w:r>
        <w:rPr>
          <w:bCs/>
          <w:sz w:val="24"/>
        </w:rPr>
        <w:t>）交易所上市不存在活跃市场的有价证券，采用估值技术确定公允价值。</w:t>
      </w:r>
    </w:p>
    <w:p w14:paraId="14574287" w14:textId="77777777" w:rsidR="007A2E1E" w:rsidRDefault="00E63864">
      <w:pPr>
        <w:pStyle w:val="12"/>
        <w:spacing w:line="360" w:lineRule="auto"/>
        <w:ind w:firstLineChars="200" w:firstLine="480"/>
        <w:rPr>
          <w:bCs/>
          <w:sz w:val="24"/>
        </w:rPr>
      </w:pPr>
      <w:r>
        <w:rPr>
          <w:bCs/>
          <w:sz w:val="24"/>
        </w:rPr>
        <w:t>2</w:t>
      </w:r>
      <w:r>
        <w:rPr>
          <w:bCs/>
          <w:sz w:val="24"/>
        </w:rPr>
        <w:t>、处于未上市期间的有价证券应区分如下情况处理：</w:t>
      </w:r>
    </w:p>
    <w:p w14:paraId="3062A306" w14:textId="77777777" w:rsidR="007A2E1E" w:rsidRDefault="00E63864">
      <w:pPr>
        <w:pStyle w:val="12"/>
        <w:spacing w:line="360" w:lineRule="auto"/>
        <w:ind w:firstLineChars="200" w:firstLine="480"/>
        <w:rPr>
          <w:bCs/>
          <w:sz w:val="24"/>
        </w:rPr>
      </w:pPr>
      <w:r>
        <w:rPr>
          <w:bCs/>
          <w:sz w:val="24"/>
        </w:rPr>
        <w:t>（</w:t>
      </w:r>
      <w:r>
        <w:rPr>
          <w:bCs/>
          <w:sz w:val="24"/>
        </w:rPr>
        <w:t>1</w:t>
      </w:r>
      <w:r>
        <w:rPr>
          <w:bCs/>
          <w:sz w:val="24"/>
        </w:rPr>
        <w:t>）送股、转增股、配股和公开增发的新股，按估值日在证券交易所挂牌的同一股票的估值方法估值；该日无交易的，以最近一日的市价（收盘价）估值；</w:t>
      </w:r>
    </w:p>
    <w:p w14:paraId="03084957" w14:textId="77777777" w:rsidR="007A2E1E" w:rsidRDefault="00E63864">
      <w:pPr>
        <w:pStyle w:val="12"/>
        <w:spacing w:line="360" w:lineRule="auto"/>
        <w:ind w:firstLineChars="200" w:firstLine="480"/>
        <w:rPr>
          <w:bCs/>
          <w:sz w:val="24"/>
        </w:rPr>
      </w:pPr>
      <w:r>
        <w:rPr>
          <w:bCs/>
          <w:sz w:val="24"/>
        </w:rPr>
        <w:t>（</w:t>
      </w:r>
      <w:r>
        <w:rPr>
          <w:bCs/>
          <w:sz w:val="24"/>
        </w:rPr>
        <w:t>2</w:t>
      </w:r>
      <w:r>
        <w:rPr>
          <w:bCs/>
          <w:sz w:val="24"/>
        </w:rPr>
        <w:t>）首次公开发行未上市的股票，采用估值技术确定公允价值，在估值技术难以可靠计量公允价值的情况下，按成本估值；</w:t>
      </w:r>
    </w:p>
    <w:p w14:paraId="10D91DAF" w14:textId="77777777" w:rsidR="007A2E1E" w:rsidRDefault="00E63864">
      <w:pPr>
        <w:pStyle w:val="12"/>
        <w:spacing w:line="360" w:lineRule="auto"/>
        <w:ind w:firstLineChars="200" w:firstLine="480"/>
        <w:rPr>
          <w:bCs/>
          <w:sz w:val="24"/>
        </w:rPr>
      </w:pPr>
      <w:r>
        <w:rPr>
          <w:bCs/>
          <w:sz w:val="24"/>
        </w:rPr>
        <w:t>（</w:t>
      </w:r>
      <w:r>
        <w:rPr>
          <w:bCs/>
          <w:sz w:val="24"/>
        </w:rPr>
        <w:t>3</w:t>
      </w:r>
      <w:r>
        <w:rPr>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EC10C9D" w14:textId="77777777" w:rsidR="007A2E1E" w:rsidRDefault="00E63864">
      <w:pPr>
        <w:pStyle w:val="12"/>
        <w:spacing w:line="360" w:lineRule="auto"/>
        <w:ind w:firstLineChars="200" w:firstLine="480"/>
        <w:rPr>
          <w:bCs/>
          <w:sz w:val="24"/>
        </w:rPr>
      </w:pPr>
      <w:r>
        <w:rPr>
          <w:bCs/>
          <w:sz w:val="24"/>
        </w:rPr>
        <w:lastRenderedPageBreak/>
        <w:t>3</w:t>
      </w:r>
      <w:r>
        <w:rPr>
          <w:bCs/>
          <w:sz w:val="24"/>
        </w:rPr>
        <w:t>、以公允价值计量的固定收益品种</w:t>
      </w:r>
    </w:p>
    <w:p w14:paraId="6F507E76" w14:textId="77777777" w:rsidR="007A2E1E" w:rsidRDefault="00E63864">
      <w:pPr>
        <w:pStyle w:val="12"/>
        <w:spacing w:line="360" w:lineRule="auto"/>
        <w:ind w:firstLineChars="200" w:firstLine="480"/>
        <w:rPr>
          <w:bCs/>
          <w:sz w:val="24"/>
        </w:rPr>
      </w:pPr>
      <w:r>
        <w:rPr>
          <w:bCs/>
          <w:sz w:val="24"/>
        </w:rPr>
        <w:t>（</w:t>
      </w:r>
      <w:r>
        <w:rPr>
          <w:bCs/>
          <w:sz w:val="24"/>
        </w:rPr>
        <w:t>1</w:t>
      </w:r>
      <w:r>
        <w:rPr>
          <w:bCs/>
          <w:sz w:val="24"/>
        </w:rPr>
        <w:t>）对于已上市或已挂牌转让的不含权固定收益品种，选取第三方估值基准服务机构提供的相应品种当日的估值全价；</w:t>
      </w:r>
    </w:p>
    <w:p w14:paraId="48BDBFB2" w14:textId="77777777" w:rsidR="007A2E1E" w:rsidRDefault="00E63864">
      <w:pPr>
        <w:pStyle w:val="12"/>
        <w:spacing w:line="360" w:lineRule="auto"/>
        <w:ind w:firstLineChars="200" w:firstLine="480"/>
        <w:rPr>
          <w:bCs/>
          <w:sz w:val="24"/>
        </w:rPr>
      </w:pPr>
      <w:r>
        <w:rPr>
          <w:bCs/>
          <w:sz w:val="24"/>
        </w:rPr>
        <w:t>（</w:t>
      </w:r>
      <w:r>
        <w:rPr>
          <w:bCs/>
          <w:sz w:val="24"/>
        </w:rPr>
        <w:t>2</w:t>
      </w:r>
      <w:r>
        <w:rPr>
          <w:bCs/>
          <w:sz w:val="24"/>
        </w:rPr>
        <w:t>）对于已上市或已挂牌转让的含权固定收益品种，选取第三方估值基准服务机构提供的相应品种当日的唯一估值全价或推荐估值全价；</w:t>
      </w:r>
    </w:p>
    <w:p w14:paraId="43352095" w14:textId="77777777" w:rsidR="007A2E1E" w:rsidRDefault="00E63864">
      <w:pPr>
        <w:pStyle w:val="12"/>
        <w:spacing w:line="360" w:lineRule="auto"/>
        <w:ind w:firstLineChars="200" w:firstLine="480"/>
        <w:rPr>
          <w:bCs/>
          <w:sz w:val="24"/>
        </w:rPr>
      </w:pPr>
      <w:r>
        <w:rPr>
          <w:bCs/>
          <w:sz w:val="24"/>
        </w:rPr>
        <w:t>（</w:t>
      </w:r>
      <w:r>
        <w:rPr>
          <w:bCs/>
          <w:sz w:val="24"/>
        </w:rPr>
        <w:t>3</w:t>
      </w:r>
      <w:r>
        <w:rPr>
          <w:bCs/>
          <w:sz w:val="24"/>
        </w:rPr>
        <w:t>）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14:paraId="338FD495" w14:textId="77777777" w:rsidR="007A2E1E" w:rsidRDefault="00E63864">
      <w:pPr>
        <w:pStyle w:val="12"/>
        <w:spacing w:line="360" w:lineRule="auto"/>
        <w:ind w:firstLineChars="200" w:firstLine="480"/>
        <w:rPr>
          <w:bCs/>
          <w:sz w:val="24"/>
        </w:rPr>
      </w:pPr>
      <w:r>
        <w:rPr>
          <w:bCs/>
          <w:sz w:val="24"/>
        </w:rPr>
        <w:t>（</w:t>
      </w:r>
      <w:r>
        <w:rPr>
          <w:bCs/>
          <w:sz w:val="24"/>
        </w:rPr>
        <w:t>4</w:t>
      </w:r>
      <w:r>
        <w:rPr>
          <w:bCs/>
          <w:sz w:val="24"/>
        </w:rPr>
        <w:t>）对于未上市或未挂牌转让且不存在活跃市场的固定收益品种，应采用在当前情况下适用并且有足够可利用数据和其他信息支持的估值技术确定其公允价值。</w:t>
      </w:r>
    </w:p>
    <w:p w14:paraId="46DA542A" w14:textId="77777777" w:rsidR="007A2E1E" w:rsidRDefault="00E63864">
      <w:pPr>
        <w:pStyle w:val="12"/>
        <w:spacing w:line="360" w:lineRule="auto"/>
        <w:ind w:firstLineChars="200" w:firstLine="480"/>
        <w:rPr>
          <w:bCs/>
          <w:sz w:val="24"/>
        </w:rPr>
      </w:pPr>
      <w:r>
        <w:rPr>
          <w:bCs/>
          <w:sz w:val="24"/>
        </w:rPr>
        <w:t>4</w:t>
      </w:r>
      <w:r>
        <w:rPr>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39F831D5" w14:textId="77777777" w:rsidR="007A2E1E" w:rsidRDefault="00E63864">
      <w:pPr>
        <w:pStyle w:val="12"/>
        <w:spacing w:line="360" w:lineRule="auto"/>
        <w:ind w:firstLineChars="200" w:firstLine="480"/>
        <w:rPr>
          <w:bCs/>
          <w:sz w:val="24"/>
        </w:rPr>
      </w:pPr>
      <w:r>
        <w:rPr>
          <w:bCs/>
          <w:sz w:val="24"/>
        </w:rPr>
        <w:t>5</w:t>
      </w:r>
      <w:r>
        <w:rPr>
          <w:bCs/>
          <w:sz w:val="24"/>
        </w:rPr>
        <w:t>、同一证券同时在两个或两个以上市场交易的，按证券所处的市场分别估值。</w:t>
      </w:r>
    </w:p>
    <w:p w14:paraId="295E237E" w14:textId="77777777" w:rsidR="007A2E1E" w:rsidRDefault="00E63864">
      <w:pPr>
        <w:pStyle w:val="12"/>
        <w:spacing w:line="360" w:lineRule="auto"/>
        <w:ind w:firstLineChars="200" w:firstLine="480"/>
        <w:rPr>
          <w:bCs/>
          <w:sz w:val="24"/>
        </w:rPr>
      </w:pPr>
      <w:r>
        <w:rPr>
          <w:bCs/>
          <w:sz w:val="24"/>
        </w:rPr>
        <w:t>6</w:t>
      </w:r>
      <w:r>
        <w:rPr>
          <w:bCs/>
          <w:sz w:val="24"/>
        </w:rPr>
        <w:t>、本基金投资股指期货合约，一般以股指期货估值日的结算价进行估值，估值当日无结算价的，且最近交易日后经济环境未发生重大变化的，采用最近交易日结算价估值。</w:t>
      </w:r>
    </w:p>
    <w:p w14:paraId="15C24299" w14:textId="77777777" w:rsidR="007A2E1E" w:rsidRDefault="00E63864">
      <w:pPr>
        <w:pStyle w:val="12"/>
        <w:spacing w:line="360" w:lineRule="auto"/>
        <w:ind w:firstLineChars="200" w:firstLine="480"/>
        <w:rPr>
          <w:bCs/>
          <w:sz w:val="24"/>
        </w:rPr>
      </w:pPr>
      <w:r>
        <w:rPr>
          <w:bCs/>
          <w:sz w:val="24"/>
        </w:rPr>
        <w:t>7</w:t>
      </w:r>
      <w:r>
        <w:rPr>
          <w:bCs/>
          <w:sz w:val="24"/>
        </w:rPr>
        <w:t>、本基金投资股票期权合约，一般以股票期权估值日的结算价进行估值，估值当日无结算价的，且最近交易日后经济环境未发生重大变化的，采用最近交易日结算价估值。</w:t>
      </w:r>
    </w:p>
    <w:p w14:paraId="4D41D737" w14:textId="77777777" w:rsidR="007A2E1E" w:rsidRDefault="00E63864">
      <w:pPr>
        <w:pStyle w:val="12"/>
        <w:spacing w:line="360" w:lineRule="auto"/>
        <w:ind w:firstLineChars="200" w:firstLine="480"/>
        <w:rPr>
          <w:bCs/>
          <w:sz w:val="24"/>
        </w:rPr>
      </w:pPr>
      <w:r>
        <w:rPr>
          <w:bCs/>
          <w:sz w:val="24"/>
        </w:rPr>
        <w:t>8</w:t>
      </w:r>
      <w:r>
        <w:rPr>
          <w:bCs/>
          <w:sz w:val="24"/>
        </w:rPr>
        <w:t>、本基金投资国债期货合约，一般以国债期货估值日的结算价进行估值，估值当日无结算价的，且最近交易日后经济环境未发生重大变化的，采用最近交易日结算价估值。</w:t>
      </w:r>
    </w:p>
    <w:p w14:paraId="10B37CAB" w14:textId="77777777" w:rsidR="007A2E1E" w:rsidRDefault="00E63864">
      <w:pPr>
        <w:pStyle w:val="12"/>
        <w:spacing w:line="360" w:lineRule="auto"/>
        <w:ind w:firstLineChars="200" w:firstLine="480"/>
        <w:rPr>
          <w:bCs/>
          <w:sz w:val="24"/>
        </w:rPr>
      </w:pPr>
      <w:r>
        <w:rPr>
          <w:bCs/>
          <w:sz w:val="24"/>
        </w:rPr>
        <w:lastRenderedPageBreak/>
        <w:t>9</w:t>
      </w:r>
      <w:r>
        <w:rPr>
          <w:bCs/>
          <w:sz w:val="24"/>
        </w:rPr>
        <w:t>、本基金参与融资和转融通证券出借业务的，按照相关法律法规和行业协会的相关规定进行估值。</w:t>
      </w:r>
    </w:p>
    <w:p w14:paraId="69F5651A" w14:textId="77777777" w:rsidR="007A2E1E" w:rsidRDefault="00E63864">
      <w:pPr>
        <w:pStyle w:val="12"/>
        <w:spacing w:line="360" w:lineRule="auto"/>
        <w:ind w:firstLineChars="200" w:firstLine="480"/>
        <w:rPr>
          <w:bCs/>
          <w:sz w:val="24"/>
        </w:rPr>
      </w:pPr>
      <w:r>
        <w:rPr>
          <w:bCs/>
          <w:sz w:val="24"/>
        </w:rPr>
        <w:t>10</w:t>
      </w:r>
      <w:r>
        <w:rPr>
          <w:bCs/>
          <w:sz w:val="24"/>
        </w:rPr>
        <w:t>、本基金投资存托凭证的估值核算，依照境内上市交易的股票进行。</w:t>
      </w:r>
    </w:p>
    <w:p w14:paraId="4C586C50" w14:textId="77777777" w:rsidR="007A2E1E" w:rsidRDefault="00E63864">
      <w:pPr>
        <w:pStyle w:val="12"/>
        <w:spacing w:line="360" w:lineRule="auto"/>
        <w:ind w:firstLineChars="200" w:firstLine="480"/>
        <w:rPr>
          <w:bCs/>
          <w:sz w:val="24"/>
        </w:rPr>
      </w:pPr>
      <w:r>
        <w:rPr>
          <w:bCs/>
          <w:sz w:val="24"/>
        </w:rPr>
        <w:t>11</w:t>
      </w:r>
      <w:r>
        <w:rPr>
          <w:bCs/>
          <w:sz w:val="24"/>
        </w:rPr>
        <w:t>、如有确凿证据表明按上述方法进行估值不能客观反映其公允价值的，基金管理人可根据具体情况与基金托管人商定后，按最能反映公允价值的价格估值。</w:t>
      </w:r>
    </w:p>
    <w:p w14:paraId="19909770" w14:textId="77777777" w:rsidR="007A2E1E" w:rsidRDefault="00E63864">
      <w:pPr>
        <w:pStyle w:val="12"/>
        <w:spacing w:line="360" w:lineRule="auto"/>
        <w:ind w:firstLineChars="200" w:firstLine="480"/>
        <w:rPr>
          <w:bCs/>
          <w:sz w:val="24"/>
        </w:rPr>
      </w:pPr>
      <w:r>
        <w:rPr>
          <w:bCs/>
          <w:sz w:val="24"/>
        </w:rPr>
        <w:t>12</w:t>
      </w:r>
      <w:r>
        <w:rPr>
          <w:bCs/>
          <w:sz w:val="24"/>
        </w:rPr>
        <w:t>、当发生大额申购或赎回情形时，基金管理人可以采用摆动定价机制，以确保基金估值的公平性。</w:t>
      </w:r>
    </w:p>
    <w:p w14:paraId="05D9957C" w14:textId="77777777" w:rsidR="007A2E1E" w:rsidRDefault="00E63864">
      <w:pPr>
        <w:pStyle w:val="12"/>
        <w:spacing w:line="360" w:lineRule="auto"/>
        <w:ind w:firstLineChars="200" w:firstLine="480"/>
        <w:rPr>
          <w:bCs/>
          <w:sz w:val="24"/>
        </w:rPr>
      </w:pPr>
      <w:r>
        <w:rPr>
          <w:bCs/>
          <w:sz w:val="24"/>
        </w:rPr>
        <w:t>13</w:t>
      </w:r>
      <w:r>
        <w:rPr>
          <w:bCs/>
          <w:sz w:val="24"/>
        </w:rPr>
        <w:t>、相关法律法规以及监管部门有强制规定的，从其规定。如有新增事项，按国家最新规定估值。</w:t>
      </w:r>
    </w:p>
    <w:p w14:paraId="1C3B7207" w14:textId="77777777" w:rsidR="007A2E1E" w:rsidRDefault="00E63864">
      <w:pPr>
        <w:pStyle w:val="12"/>
        <w:spacing w:line="360" w:lineRule="auto"/>
        <w:ind w:firstLineChars="200" w:firstLine="480"/>
        <w:rPr>
          <w:bCs/>
          <w:sz w:val="24"/>
        </w:rPr>
      </w:pPr>
      <w:r>
        <w:rPr>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3A47F5F8" w14:textId="77777777" w:rsidR="007A2E1E" w:rsidRDefault="00E63864">
      <w:pPr>
        <w:pStyle w:val="12"/>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由此给基金份额持有人和基金造成的损失以及因该交易日基金资产净值计算顺延错误而引起的损失，由基金管理人负责赔付，基金托管人不负责赔付。</w:t>
      </w:r>
    </w:p>
    <w:p w14:paraId="5C5557E0"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（二）净值差错处理</w:t>
      </w:r>
    </w:p>
    <w:p w14:paraId="3045A41C" w14:textId="77777777" w:rsidR="007A2E1E" w:rsidRDefault="00E63864">
      <w:pPr>
        <w:pStyle w:val="12"/>
        <w:autoSpaceDE w:val="0"/>
        <w:autoSpaceDN w:val="0"/>
        <w:spacing w:line="360" w:lineRule="auto"/>
        <w:ind w:firstLine="420"/>
        <w:jc w:val="left"/>
        <w:rPr>
          <w:rFonts w:ascii="宋体" w:hAnsi="宋体"/>
          <w:sz w:val="24"/>
        </w:rPr>
      </w:pPr>
      <w:r>
        <w:rPr>
          <w:rFonts w:ascii="宋体" w:hAnsi="宋体"/>
          <w:sz w:val="24"/>
        </w:rPr>
        <w:t>当发生净值计算错误时，由基金管理人负责处理，由此给基金份额持有人和基金造成损失的，由基金管理人对基金份额持有人或者基金先行支付赔偿金。基金管理人和基金托管人应根据实际情况界定双方承担的责任，经确认后按以下条款进行赔偿。</w:t>
      </w:r>
    </w:p>
    <w:p w14:paraId="01ECA6C0"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1.如采用本协议第八章</w:t>
      </w:r>
      <w:r>
        <w:rPr>
          <w:rFonts w:ascii="宋体"/>
          <w:sz w:val="24"/>
        </w:rPr>
        <w:t>“</w:t>
      </w:r>
      <w:r>
        <w:rPr>
          <w:rFonts w:ascii="宋体" w:hAnsi="宋体"/>
          <w:sz w:val="24"/>
        </w:rPr>
        <w:t>基金资产净值及基金份额净值的计算与复核</w:t>
      </w:r>
      <w:r>
        <w:rPr>
          <w:rFonts w:ascii="宋体"/>
          <w:sz w:val="24"/>
        </w:rPr>
        <w:t>”</w:t>
      </w:r>
      <w:r>
        <w:rPr>
          <w:rFonts w:ascii="宋体" w:hAnsi="宋体"/>
          <w:sz w:val="24"/>
        </w:rPr>
        <w:t>中估值方法的第1－10、12、13进行处理时，若基金管理人净值计算出错，基金托管人在复核过程中没有发现，且造成基金份额持有人损失的，应根据法律法规的规定对投资者或基金支付赔偿金，就实际向投资者或基金支付的赔偿金额，由基金管理人与基金托管人按照管理费率和托管费率的比例各自承担相应的责</w:t>
      </w:r>
      <w:r>
        <w:rPr>
          <w:rFonts w:ascii="宋体" w:hAnsi="宋体"/>
          <w:sz w:val="24"/>
        </w:rPr>
        <w:lastRenderedPageBreak/>
        <w:t>任</w:t>
      </w:r>
      <w:r>
        <w:rPr>
          <w:rFonts w:ascii="宋体" w:hAnsi="宋体"/>
          <w:color w:val="000000"/>
          <w:sz w:val="24"/>
        </w:rPr>
        <w:t>；</w:t>
      </w:r>
    </w:p>
    <w:p w14:paraId="7520841C"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2.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以及因该交易日基金资产净值计算顺延错误而引起的损失，由基金管理人负责赔付，基金托管人不负赔偿责任；</w:t>
      </w:r>
    </w:p>
    <w:p w14:paraId="4E094912" w14:textId="77777777" w:rsidR="007A2E1E" w:rsidRDefault="00E63864">
      <w:pPr>
        <w:pStyle w:val="12"/>
        <w:tabs>
          <w:tab w:val="left" w:pos="1260"/>
        </w:tabs>
        <w:spacing w:line="360" w:lineRule="auto"/>
        <w:ind w:firstLineChars="200" w:firstLine="480"/>
        <w:rPr>
          <w:rFonts w:ascii="宋体" w:hAnsi="宋体"/>
          <w:sz w:val="24"/>
        </w:rPr>
      </w:pPr>
      <w:r>
        <w:rPr>
          <w:rFonts w:ascii="宋体"/>
          <w:sz w:val="24"/>
        </w:rPr>
        <w:t>3.</w:t>
      </w:r>
      <w:r>
        <w:rPr>
          <w:rFonts w:ascii="宋体" w:hAnsi="宋体"/>
          <w:sz w:val="24"/>
        </w:rPr>
        <w:t>基金管理人、基金托管人按估值方法的第11项进行估值时，所造成的误差不作为基金资产估值错误处理。</w:t>
      </w:r>
    </w:p>
    <w:p w14:paraId="4B4ADEA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由于证券/期货交易所、登记结算公司、指数编制机构等第三方机构发送的数据错误，有关会计制度变化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p>
    <w:p w14:paraId="35CE6C6E"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针对净值差错处理，如果法律法规或中国证监会有新的规定，则按新的规定执行；如果行业有通行做法，</w:t>
      </w:r>
      <w:bookmarkStart w:id="72" w:name="_Hlk200358465"/>
      <w:r>
        <w:rPr>
          <w:rFonts w:ascii="宋体" w:hAnsi="宋体"/>
          <w:sz w:val="24"/>
        </w:rPr>
        <w:t>在不违反法律法规且不损害投资者利益的前提下，</w:t>
      </w:r>
      <w:bookmarkEnd w:id="72"/>
      <w:r>
        <w:rPr>
          <w:rFonts w:ascii="宋体" w:hAnsi="宋体"/>
          <w:sz w:val="24"/>
        </w:rPr>
        <w:t>双方应本着</w:t>
      </w:r>
      <w:r>
        <w:rPr>
          <w:rFonts w:ascii="宋体"/>
          <w:sz w:val="24"/>
        </w:rPr>
        <w:t>平等和保护基金份额持有人利益的</w:t>
      </w:r>
      <w:r>
        <w:rPr>
          <w:rFonts w:ascii="宋体" w:hAnsi="宋体"/>
          <w:sz w:val="24"/>
        </w:rPr>
        <w:t>原则重新协商确定处理原则。</w:t>
      </w:r>
    </w:p>
    <w:p w14:paraId="30F3B2C2" w14:textId="77777777" w:rsidR="007A2E1E" w:rsidRDefault="00E63864">
      <w:pPr>
        <w:pStyle w:val="12"/>
        <w:tabs>
          <w:tab w:val="left" w:pos="1260"/>
        </w:tabs>
        <w:spacing w:line="360" w:lineRule="auto"/>
        <w:ind w:firstLineChars="200" w:firstLine="480"/>
        <w:rPr>
          <w:rFonts w:ascii="宋体"/>
          <w:sz w:val="24"/>
        </w:rPr>
      </w:pPr>
      <w:r>
        <w:rPr>
          <w:rFonts w:ascii="宋体"/>
          <w:sz w:val="24"/>
        </w:rPr>
        <w:t>4.实施侧袋机制期间的基金资产估值</w:t>
      </w:r>
    </w:p>
    <w:p w14:paraId="097ACDAF" w14:textId="77777777" w:rsidR="007A2E1E" w:rsidRDefault="00E63864">
      <w:pPr>
        <w:pStyle w:val="12"/>
        <w:tabs>
          <w:tab w:val="left" w:pos="1260"/>
        </w:tabs>
        <w:spacing w:line="360" w:lineRule="auto"/>
        <w:ind w:firstLineChars="200" w:firstLine="480"/>
        <w:rPr>
          <w:rFonts w:ascii="宋体"/>
          <w:sz w:val="24"/>
        </w:rPr>
      </w:pPr>
      <w:r>
        <w:rPr>
          <w:rFonts w:ascii="宋体"/>
          <w:sz w:val="24"/>
        </w:rPr>
        <w:t>本基金实施侧袋机制的，应根据本部分的约定对主袋账户资产进行估值并披露主袋账户的基金净值信息，暂停披露侧袋账户份额净值。</w:t>
      </w:r>
    </w:p>
    <w:p w14:paraId="3DE8A3C7" w14:textId="77777777" w:rsidR="007A2E1E" w:rsidRDefault="00E63864">
      <w:pPr>
        <w:pStyle w:val="12"/>
        <w:tabs>
          <w:tab w:val="left" w:pos="3780"/>
        </w:tabs>
        <w:autoSpaceDE w:val="0"/>
        <w:autoSpaceDN w:val="0"/>
        <w:spacing w:before="156" w:after="156" w:line="360" w:lineRule="auto"/>
        <w:outlineLvl w:val="0"/>
        <w:rPr>
          <w:rFonts w:ascii="宋体"/>
          <w:b/>
          <w:sz w:val="24"/>
        </w:rPr>
      </w:pPr>
      <w:r>
        <w:rPr>
          <w:rFonts w:ascii="宋体"/>
          <w:b/>
          <w:sz w:val="24"/>
        </w:rPr>
        <w:t>（三）基金</w:t>
      </w:r>
      <w:r>
        <w:rPr>
          <w:rFonts w:ascii="宋体" w:hAnsi="宋体"/>
          <w:b/>
          <w:bCs/>
          <w:sz w:val="24"/>
        </w:rPr>
        <w:t>会计制度</w:t>
      </w:r>
    </w:p>
    <w:p w14:paraId="3677583A" w14:textId="77777777" w:rsidR="007A2E1E" w:rsidRDefault="00E63864">
      <w:pPr>
        <w:pStyle w:val="12"/>
        <w:autoSpaceDE w:val="0"/>
        <w:autoSpaceDN w:val="0"/>
        <w:spacing w:line="360" w:lineRule="auto"/>
        <w:ind w:firstLine="420"/>
        <w:jc w:val="left"/>
        <w:rPr>
          <w:rFonts w:ascii="宋体"/>
          <w:sz w:val="24"/>
        </w:rPr>
      </w:pPr>
      <w:r>
        <w:rPr>
          <w:rFonts w:ascii="宋体"/>
          <w:sz w:val="24"/>
        </w:rPr>
        <w:t>按国家有关部门制定的会计制度执行。</w:t>
      </w:r>
    </w:p>
    <w:p w14:paraId="1789AD42"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（四）基金账册的建立</w:t>
      </w:r>
    </w:p>
    <w:p w14:paraId="16D970B1"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和基金托管人在《基金合同》生效后，应按照双方约定的同一记账方法和会计处理原则，分别独立地设置、登录和保管本基金的全套账册，对双方各自的账册定期进行核对，互相监督，以保证基金财产的安全。若双方对会计处理方法存在分歧，应以基金管理人的处理方法为准。</w:t>
      </w:r>
    </w:p>
    <w:p w14:paraId="1541731B"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（五）会计数据和财务指标的核对</w:t>
      </w:r>
    </w:p>
    <w:p w14:paraId="6543BCC6"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lastRenderedPageBreak/>
        <w:t>双方应每个交易日核对账目，如发现双方的账目存在不符的，基金管理人和基金托管人必须及时查明原因并纠正，确保核对一致。若当日核对不符，暂时无法查找到错账的原因而影响到基金资产净值的计算和公告的，以基金管理人的账册为准。</w:t>
      </w:r>
    </w:p>
    <w:p w14:paraId="7DDC491A"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（六）基金定期报告的编制和复核</w:t>
      </w:r>
    </w:p>
    <w:p w14:paraId="412A9E0F" w14:textId="77777777" w:rsidR="007A2E1E" w:rsidRDefault="00E63864">
      <w:pPr>
        <w:pStyle w:val="div"/>
        <w:spacing w:line="360" w:lineRule="auto"/>
        <w:ind w:firstLine="480"/>
        <w:rPr>
          <w:sz w:val="24"/>
        </w:rPr>
      </w:pPr>
      <w:r>
        <w:rPr>
          <w:rFonts w:ascii="宋体" w:hAnsi="宋体"/>
          <w:sz w:val="24"/>
        </w:rPr>
        <w:t>基金财务报表由基金管理人和基金托管人每月分别独立编制。月度报表的编制，应于每月结束后5个工作日内完成。定期报告文件应按中国证监会的要求公告。季度报告的编制，应于每季度终了后15个工作日内完成；</w:t>
      </w:r>
      <w:r>
        <w:rPr>
          <w:sz w:val="24"/>
        </w:rPr>
        <w:t>基金招募说明书、基金产品资料概要的信息发生重大变更的，基金管理人应当在</w:t>
      </w:r>
      <w:r>
        <w:rPr>
          <w:sz w:val="24"/>
        </w:rPr>
        <w:t>3</w:t>
      </w:r>
      <w:r>
        <w:rPr>
          <w:sz w:val="24"/>
        </w:rPr>
        <w:t>个工作日内，更新基金招募说明书和基金产品资料概要并登载在规定网站上，</w:t>
      </w:r>
      <w:r>
        <w:rPr>
          <w:rFonts w:ascii="宋体" w:hAnsi="宋体"/>
          <w:sz w:val="24"/>
        </w:rPr>
        <w:t>基金产品资料概要还应登载在基金销售机构网站或营业网点</w:t>
      </w:r>
      <w:r>
        <w:rPr>
          <w:sz w:val="24"/>
        </w:rPr>
        <w:t>；基金招募说明书、基金产品资料概要的其他信息发生变更的，基金管理人至少每年更新一次。</w:t>
      </w:r>
      <w:r>
        <w:rPr>
          <w:rFonts w:ascii="宋体" w:hAnsi="宋体"/>
          <w:sz w:val="24"/>
        </w:rPr>
        <w:t>基金终止运作的，基金管理人不再更新</w:t>
      </w:r>
      <w:r>
        <w:rPr>
          <w:sz w:val="24"/>
        </w:rPr>
        <w:t>基金招募说明书、</w:t>
      </w:r>
      <w:r>
        <w:rPr>
          <w:rFonts w:ascii="宋体" w:hAnsi="宋体"/>
          <w:sz w:val="24"/>
        </w:rPr>
        <w:t>基金产品资料概要。</w:t>
      </w:r>
    </w:p>
    <w:p w14:paraId="1C5F9864"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中期报告在上半年结束之日起2个月内公告；年度报告在每年结束之日起3个月内公告。如果基金合同生效不足2个月的，基金管理人可以不编制当期季度报告、中期报告或者年度报告。</w:t>
      </w:r>
    </w:p>
    <w:p w14:paraId="533F29EF"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在月初3个工作日内完成上个月月度报表的编制，以约定方式将有关报表提供基金托管人；基金托管人收到后在2个工作日内进行复核，并将复核结果及时书面或以双方约定的其他方式通知基金管理人。对于季度报告、中期报告、年度报告、更新招募说明书、更新基金产品资料概要等，基金管理人和基金托管人应在上述监管部门规定的时间内完成编制、复核及公告。基金托管人在复核过程中，发现双方的报表存在不符时，基金管理人和基金托管人应共同查明原因，进行调整，调整以双方认可的账务处理方式为准。如果基金管理人与基金托管人不能于应当发布公告之日前就相关报表达成一致，基金管理人有权按照其编制的报表对外发布公告，基金托管人有权就相关情况报中国证监会备案。</w:t>
      </w:r>
    </w:p>
    <w:p w14:paraId="398248BB"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基金托管人对上述报告复核完毕后，可以出具复核确认书（盖章）或以其他双方约定的方式确认，以备有权机构对相关文件审核检查。</w:t>
      </w:r>
      <w:bookmarkStart w:id="73" w:name="_Toc523830000"/>
      <w:bookmarkStart w:id="74" w:name="_Toc22454461"/>
      <w:bookmarkStart w:id="75" w:name="_Toc466788859"/>
      <w:bookmarkStart w:id="76" w:name="_Toc125892445"/>
    </w:p>
    <w:p w14:paraId="2CB1C5AC" w14:textId="77777777" w:rsidR="007A2E1E" w:rsidRDefault="00E63864">
      <w:pPr>
        <w:pStyle w:val="112"/>
      </w:pPr>
      <w:bookmarkStart w:id="77" w:name="_Toc65161987"/>
      <w:r>
        <w:lastRenderedPageBreak/>
        <w:t>九、基金收益分配</w:t>
      </w:r>
      <w:bookmarkEnd w:id="73"/>
      <w:bookmarkEnd w:id="74"/>
      <w:bookmarkEnd w:id="75"/>
      <w:bookmarkEnd w:id="76"/>
      <w:bookmarkEnd w:id="77"/>
    </w:p>
    <w:p w14:paraId="7D1C4689"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基金可供分配利润指截至收益分配基准日基金未分配利润与未分配利润中已实现收益的孰低数。</w:t>
      </w:r>
    </w:p>
    <w:p w14:paraId="40F98D7E"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（一）基金收益分配应符合基金合同中收益分配原则的规定，具体规定如下：</w:t>
      </w:r>
    </w:p>
    <w:p w14:paraId="5B69A3C5" w14:textId="77777777" w:rsidR="007A2E1E" w:rsidRDefault="00E63864">
      <w:pPr>
        <w:pStyle w:val="div"/>
        <w:spacing w:line="360" w:lineRule="auto"/>
        <w:ind w:firstLine="420"/>
        <w:jc w:val="left"/>
        <w:rPr>
          <w:sz w:val="24"/>
        </w:rPr>
      </w:pPr>
      <w:r>
        <w:rPr>
          <w:rStyle w:val="custom"/>
          <w:rFonts w:ascii="宋体" w:hAnsi="宋体"/>
          <w:sz w:val="24"/>
        </w:rPr>
        <w:t>1、</w:t>
      </w:r>
      <w:r>
        <w:rPr>
          <w:rFonts w:ascii="宋体" w:hAnsi="宋体"/>
          <w:sz w:val="24"/>
        </w:rPr>
        <w:t>在符合有关基金分红条件的前提下，本基金可进行基金收益分配，若《基金合同》生效不满3个月可不进行收益分配；</w:t>
      </w:r>
    </w:p>
    <w:p w14:paraId="5A2E595F" w14:textId="77777777" w:rsidR="007A2E1E" w:rsidRDefault="00E63864">
      <w:pPr>
        <w:pStyle w:val="div"/>
        <w:spacing w:line="360" w:lineRule="auto"/>
        <w:ind w:firstLine="420"/>
        <w:rPr>
          <w:rStyle w:val="custom"/>
          <w:rFonts w:ascii="宋体" w:hAnsi="宋体"/>
          <w:sz w:val="24"/>
        </w:rPr>
      </w:pPr>
      <w:r>
        <w:rPr>
          <w:rStyle w:val="custom"/>
          <w:rFonts w:ascii="宋体" w:hAnsi="宋体"/>
          <w:sz w:val="24"/>
        </w:rPr>
        <w:t>2、本基金收益分配方式分两种：现金分红与红利再投资，投资者可选择现金红利或将现金红利自动转为相应类别的基金份额进行再投资，基金份额持有人可对A类、C类基金份额分别选择不同的分红方式；若投资者不选择，本基金默认的收益分配方式是现金分红；</w:t>
      </w:r>
    </w:p>
    <w:p w14:paraId="23BF73D3" w14:textId="77777777" w:rsidR="007A2E1E" w:rsidRDefault="00E63864">
      <w:pPr>
        <w:pStyle w:val="div"/>
        <w:spacing w:line="360" w:lineRule="auto"/>
        <w:ind w:firstLine="420"/>
        <w:rPr>
          <w:sz w:val="24"/>
        </w:rPr>
      </w:pPr>
      <w:r>
        <w:rPr>
          <w:rStyle w:val="serial-tag"/>
          <w:rFonts w:ascii="宋体" w:hAnsi="宋体"/>
          <w:sz w:val="24"/>
        </w:rPr>
        <w:t>3、</w:t>
      </w:r>
      <w:r>
        <w:rPr>
          <w:rFonts w:ascii="宋体" w:hAnsi="宋体"/>
          <w:sz w:val="24"/>
        </w:rPr>
        <w:t>基金管理人可对基金相对业绩比较基准的超额收益率和/或基金的可供分配利润进行评价，当收益评价日核定的超额收益率或者基金可供分配利润金额大于零时，基金管理人可进行收益分配；</w:t>
      </w:r>
    </w:p>
    <w:p w14:paraId="66408951" w14:textId="77777777" w:rsidR="007A2E1E" w:rsidRDefault="00E63864">
      <w:pPr>
        <w:pStyle w:val="div"/>
        <w:spacing w:line="360" w:lineRule="auto"/>
        <w:ind w:firstLine="420"/>
        <w:rPr>
          <w:sz w:val="24"/>
        </w:rPr>
      </w:pPr>
      <w:r>
        <w:rPr>
          <w:rStyle w:val="serial-tag"/>
          <w:rFonts w:ascii="宋体" w:hAnsi="宋体"/>
          <w:sz w:val="24"/>
        </w:rPr>
        <w:t>4、</w:t>
      </w:r>
      <w:r>
        <w:rPr>
          <w:rFonts w:ascii="宋体" w:hAnsi="宋体"/>
          <w:sz w:val="24"/>
        </w:rPr>
        <w:t>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各类基金份额净值不能低于面值，即基金收益分配基准日的各类基金份额净值减去每单位该类基金份额收益分配金额后不能低于面值；</w:t>
      </w:r>
    </w:p>
    <w:p w14:paraId="43879C99" w14:textId="77777777" w:rsidR="007A2E1E" w:rsidRDefault="00E63864">
      <w:pPr>
        <w:pStyle w:val="div"/>
        <w:spacing w:line="360" w:lineRule="auto"/>
        <w:ind w:firstLine="420"/>
        <w:rPr>
          <w:rStyle w:val="custom"/>
          <w:rFonts w:ascii="宋体" w:hAnsi="宋体"/>
          <w:sz w:val="24"/>
        </w:rPr>
      </w:pPr>
      <w:r>
        <w:rPr>
          <w:rStyle w:val="custom"/>
          <w:rFonts w:ascii="宋体" w:hAnsi="宋体"/>
          <w:sz w:val="24"/>
        </w:rPr>
        <w:t>5、同一类别内每一基金份额享有同等分配权；</w:t>
      </w:r>
    </w:p>
    <w:p w14:paraId="137FB595" w14:textId="77777777" w:rsidR="007A2E1E" w:rsidRDefault="00E63864">
      <w:pPr>
        <w:pStyle w:val="div"/>
        <w:spacing w:line="360" w:lineRule="auto"/>
        <w:ind w:firstLine="420"/>
        <w:jc w:val="left"/>
        <w:rPr>
          <w:sz w:val="24"/>
        </w:rPr>
      </w:pPr>
      <w:r>
        <w:rPr>
          <w:rStyle w:val="custom"/>
          <w:rFonts w:ascii="宋体" w:hAnsi="宋体"/>
          <w:sz w:val="24"/>
        </w:rPr>
        <w:t>6、</w:t>
      </w:r>
      <w:r>
        <w:rPr>
          <w:rFonts w:ascii="宋体" w:hAnsi="宋体"/>
          <w:sz w:val="24"/>
        </w:rPr>
        <w:t>法律法规或监管机构另有规定的，从其规定。</w:t>
      </w:r>
    </w:p>
    <w:p w14:paraId="2037D171" w14:textId="77777777" w:rsidR="007A2E1E" w:rsidRDefault="00E63864">
      <w:pPr>
        <w:pStyle w:val="div"/>
        <w:spacing w:line="360" w:lineRule="auto"/>
        <w:ind w:firstLine="420"/>
        <w:jc w:val="left"/>
        <w:rPr>
          <w:sz w:val="24"/>
        </w:rPr>
      </w:pPr>
      <w:r>
        <w:rPr>
          <w:rFonts w:ascii="宋体" w:hAnsi="宋体"/>
          <w:sz w:val="24"/>
        </w:rPr>
        <w:t>在不违反法律法规且对基金份额持有人利益无实质性不利影响的前提下，基金管理人可对基金收益分配原则进行调整，无需召开基金份额持有人大会。</w:t>
      </w:r>
    </w:p>
    <w:p w14:paraId="0E22E530"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（二）基金收益分配方案的确定与公告</w:t>
      </w:r>
    </w:p>
    <w:p w14:paraId="3A359081" w14:textId="77777777" w:rsidR="007A2E1E" w:rsidRDefault="00E63864">
      <w:pPr>
        <w:pStyle w:val="12"/>
        <w:tabs>
          <w:tab w:val="left" w:pos="1260"/>
        </w:tabs>
        <w:spacing w:line="360" w:lineRule="auto"/>
        <w:ind w:firstLineChars="200" w:firstLine="480"/>
        <w:rPr>
          <w:rFonts w:ascii="宋体" w:hAnsi="宋体"/>
          <w:sz w:val="24"/>
        </w:rPr>
      </w:pPr>
      <w:bookmarkStart w:id="78" w:name="_Toc466788861"/>
      <w:bookmarkStart w:id="79" w:name="_Toc523830002"/>
      <w:bookmarkStart w:id="80" w:name="_Toc22454465"/>
      <w:bookmarkStart w:id="81" w:name="_Toc125892446"/>
      <w:r>
        <w:rPr>
          <w:bCs/>
          <w:sz w:val="24"/>
          <w:szCs w:val="20"/>
        </w:rPr>
        <w:t>本基金收益分配方案由基金管理人拟定，并由基金托管人复核，在</w:t>
      </w:r>
      <w:r>
        <w:rPr>
          <w:bCs/>
          <w:sz w:val="24"/>
          <w:szCs w:val="20"/>
        </w:rPr>
        <w:t>2</w:t>
      </w:r>
      <w:r>
        <w:rPr>
          <w:bCs/>
          <w:sz w:val="24"/>
          <w:szCs w:val="20"/>
        </w:rPr>
        <w:t>日内在规定媒介公告。</w:t>
      </w:r>
    </w:p>
    <w:p w14:paraId="0E15AF47" w14:textId="77777777" w:rsidR="007A2E1E" w:rsidRDefault="00E63864" w:rsidP="00332E1A">
      <w:pPr>
        <w:pStyle w:val="12"/>
        <w:tabs>
          <w:tab w:val="left" w:pos="3780"/>
        </w:tabs>
        <w:autoSpaceDE w:val="0"/>
        <w:autoSpaceDN w:val="0"/>
        <w:spacing w:before="156" w:after="156" w:line="360" w:lineRule="auto"/>
        <w:outlineLvl w:val="0"/>
        <w:rPr>
          <w:rFonts w:ascii="宋体" w:hAnsi="宋体"/>
          <w:b/>
          <w:bCs/>
          <w:sz w:val="24"/>
        </w:rPr>
      </w:pPr>
      <w:r>
        <w:rPr>
          <w:rFonts w:ascii="宋体" w:hAnsi="宋体"/>
          <w:b/>
          <w:bCs/>
          <w:sz w:val="24"/>
        </w:rPr>
        <w:t>（三）实施侧袋机制期间的收益分配</w:t>
      </w:r>
    </w:p>
    <w:p w14:paraId="72DBE8CA"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本基金实施侧袋机制的，侧袋账户不进行收益分配，详见招募说明书的规</w:t>
      </w:r>
      <w:r>
        <w:rPr>
          <w:rFonts w:ascii="宋体" w:hAnsi="宋体"/>
          <w:sz w:val="24"/>
        </w:rPr>
        <w:lastRenderedPageBreak/>
        <w:t>定。</w:t>
      </w:r>
    </w:p>
    <w:p w14:paraId="0B8C5C2E" w14:textId="77777777" w:rsidR="007A2E1E" w:rsidRDefault="007A2E1E">
      <w:pPr>
        <w:pStyle w:val="12"/>
        <w:tabs>
          <w:tab w:val="left" w:pos="1260"/>
        </w:tabs>
        <w:spacing w:line="360" w:lineRule="auto"/>
        <w:ind w:firstLineChars="200" w:firstLine="480"/>
        <w:rPr>
          <w:rFonts w:ascii="宋体"/>
          <w:sz w:val="24"/>
        </w:rPr>
      </w:pPr>
    </w:p>
    <w:p w14:paraId="58610AC6" w14:textId="77777777" w:rsidR="007A2E1E" w:rsidRDefault="00E63864">
      <w:pPr>
        <w:pStyle w:val="112"/>
      </w:pPr>
      <w:bookmarkStart w:id="82" w:name="_Toc65161988"/>
      <w:r>
        <w:t>十、基金信息披露</w:t>
      </w:r>
      <w:bookmarkEnd w:id="78"/>
      <w:bookmarkEnd w:id="79"/>
      <w:bookmarkEnd w:id="80"/>
      <w:bookmarkEnd w:id="81"/>
      <w:bookmarkEnd w:id="82"/>
    </w:p>
    <w:p w14:paraId="1A159D34"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83" w:name="_Toc77663026"/>
      <w:bookmarkStart w:id="84" w:name="_Toc22454466"/>
      <w:r>
        <w:rPr>
          <w:rFonts w:ascii="宋体" w:hAnsi="宋体"/>
          <w:b/>
          <w:bCs/>
          <w:sz w:val="24"/>
        </w:rPr>
        <w:t>（一）保密义务</w:t>
      </w:r>
      <w:bookmarkEnd w:id="83"/>
      <w:bookmarkEnd w:id="84"/>
    </w:p>
    <w:p w14:paraId="661A9A73"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除按照《基金法》、《基金合同》、《信息披露办法》及中国证监会关于基金信息披露的有关规定进行披露以外，基金管理人和基金托管人对公开披露前的基金信息、从对方获得的业务信息及其他不宜公开披露的基金信息应予保密，不得向任何第三方泄露。法律法规另有规定的以及</w:t>
      </w:r>
      <w:r>
        <w:rPr>
          <w:rFonts w:ascii="宋体" w:hAnsi="宋体"/>
          <w:color w:val="000000"/>
          <w:sz w:val="24"/>
        </w:rPr>
        <w:t>依法向监管机构、司法机关及审计、法律等外部专业顾问提供</w:t>
      </w:r>
      <w:r>
        <w:rPr>
          <w:rFonts w:ascii="宋体" w:hAnsi="宋体"/>
          <w:sz w:val="24"/>
        </w:rPr>
        <w:t>的除外。</w:t>
      </w:r>
    </w:p>
    <w:p w14:paraId="042B807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如下情况不应视为基金管理人或基金托管人违反保密义务：</w:t>
      </w:r>
    </w:p>
    <w:p w14:paraId="168ECDF4"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1.非因基金管理人和基金托管人的原因导致保密信息被披露、泄露或公开；</w:t>
      </w:r>
    </w:p>
    <w:p w14:paraId="5976D529"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2.基金管理人和基金托管人为遵守和服从法院判决、仲裁裁决或中国证监会等监管机构的命令决定所做出的信息披露或公开。</w:t>
      </w:r>
      <w:bookmarkStart w:id="85" w:name="_Toc22454467"/>
      <w:bookmarkStart w:id="86" w:name="_Toc77663027"/>
    </w:p>
    <w:p w14:paraId="4D269BE9"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（二）基金管理人和基金托管人在基金信息披露中的职责和信息披露程序</w:t>
      </w:r>
      <w:bookmarkEnd w:id="85"/>
      <w:bookmarkEnd w:id="86"/>
    </w:p>
    <w:p w14:paraId="122B944B"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基金管理人和基金托管人应根据相关法律法规、《基金合同》的规定各自承担相应的信息披露职责。基金管理人和基金托管人负有积极配合、互相督促、彼此监督、保证其履行按照法定方式和时限披露的义务。</w:t>
      </w:r>
    </w:p>
    <w:p w14:paraId="545CC86A"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本基金信息披露的文件，包括基金招募说明书及其提示性公告、基金合同及其提示性公告、基金托管协议、基金产品资料概要、基金份额发售公告、基金合同生效公告、基金净值信息、基金份额申购、赎回价格、基金合同规定的定期报告、临时报告、澄清公告、基金份额持有人大会决议、清算报告及其提示性公告、</w:t>
      </w:r>
      <w:r>
        <w:rPr>
          <w:rStyle w:val="custom"/>
          <w:rFonts w:ascii="宋体" w:hAnsi="宋体"/>
          <w:sz w:val="24"/>
        </w:rPr>
        <w:t>投资股指期货的信息披露、投资国债期货的信息披露、投资股票期权的信息披露、投资资产支持证券的信息披露、参与融资业务的信息披露、参与转融通证券出借业务的信息披露、</w:t>
      </w:r>
      <w:r>
        <w:rPr>
          <w:rFonts w:ascii="宋体" w:hAnsi="宋体"/>
          <w:sz w:val="24"/>
        </w:rPr>
        <w:t>实施侧袋机制期间的信息披露及中国证监会规定的其他必要的公告文件，由基金管理人拟定并公布。</w:t>
      </w:r>
    </w:p>
    <w:p w14:paraId="2CC25F20"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基金托管人应按本协议第八条第（六）款的规定对相关报告进行复核。基金年报应当经过符合《中华人民共和国证券法》规定的会计师事务所审计后方可披露。</w:t>
      </w:r>
    </w:p>
    <w:p w14:paraId="162FC66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lastRenderedPageBreak/>
        <w:t>本基金的信息披露公告，必须在中国证监会规定媒介发布。</w:t>
      </w:r>
      <w:bookmarkStart w:id="87" w:name="_Toc466788862"/>
    </w:p>
    <w:p w14:paraId="0829CCB5"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（三）暂停或延迟信息披露的情形</w:t>
      </w:r>
    </w:p>
    <w:p w14:paraId="380F88FA"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1、基金投资所涉及的证券/期货交易所遇法定节假日或因其他原因暂停营业时；</w:t>
      </w:r>
    </w:p>
    <w:p w14:paraId="78891697"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2、因不可抗力或其他情形致使基金管理人、基金托管人无法准确评估基金资产价值时；</w:t>
      </w:r>
    </w:p>
    <w:p w14:paraId="0D048F18"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3、当特定资产占前一估值日基金资产净值50%以上的，经与基金托管人协商确认后，基金管理人应当暂停估值时；</w:t>
      </w:r>
    </w:p>
    <w:p w14:paraId="64E434A1"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4、法律法规规定、中国证监会或《基金合同》认定的其他情形。</w:t>
      </w:r>
    </w:p>
    <w:p w14:paraId="1DFB2B1F" w14:textId="77777777" w:rsidR="007A2E1E" w:rsidRDefault="00E63864">
      <w:pPr>
        <w:pStyle w:val="12"/>
        <w:tabs>
          <w:tab w:val="left" w:pos="1260"/>
        </w:tabs>
        <w:spacing w:line="360" w:lineRule="auto"/>
        <w:rPr>
          <w:rFonts w:ascii="宋体"/>
          <w:b/>
          <w:sz w:val="24"/>
        </w:rPr>
      </w:pPr>
      <w:r>
        <w:rPr>
          <w:rFonts w:ascii="宋体"/>
          <w:b/>
          <w:sz w:val="24"/>
        </w:rPr>
        <w:t>（四）实施侧袋机制期间的信息披露</w:t>
      </w:r>
    </w:p>
    <w:p w14:paraId="16DCD5D2" w14:textId="77777777" w:rsidR="007A2E1E" w:rsidRDefault="00E63864">
      <w:pPr>
        <w:pStyle w:val="12"/>
        <w:tabs>
          <w:tab w:val="left" w:pos="1260"/>
        </w:tabs>
        <w:spacing w:line="360" w:lineRule="auto"/>
        <w:ind w:firstLineChars="200" w:firstLine="480"/>
        <w:rPr>
          <w:rFonts w:ascii="宋体"/>
          <w:sz w:val="24"/>
        </w:rPr>
      </w:pPr>
      <w:r>
        <w:rPr>
          <w:rFonts w:ascii="宋体"/>
          <w:sz w:val="24"/>
        </w:rPr>
        <w:t>本基金实施侧袋机制的，相关信息披露义务人应当根据法律法规、基金合同和招募说明书的规定进行信息披露，详见招募说明书的规定。</w:t>
      </w:r>
    </w:p>
    <w:p w14:paraId="315CAF16"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（五）基金托管人报告</w:t>
      </w:r>
    </w:p>
    <w:p w14:paraId="0DC70FE4"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基金托管人应按《基金法》和中国证监会的有关规定出具基金托管情况报告。基金托管人报告说明该半年度/年度基金托管人和基金管理人履行《基金合同》的情况，是基金中期报告和年度报告的组成部分。</w:t>
      </w:r>
      <w:bookmarkStart w:id="88" w:name="_Toc125892447"/>
    </w:p>
    <w:p w14:paraId="27C35B38" w14:textId="77777777" w:rsidR="007A2E1E" w:rsidRDefault="00E63864">
      <w:pPr>
        <w:pStyle w:val="112"/>
      </w:pPr>
      <w:bookmarkStart w:id="89" w:name="_Toc65161989"/>
      <w:r>
        <w:t>十一、基金费用</w:t>
      </w:r>
      <w:bookmarkEnd w:id="88"/>
      <w:bookmarkEnd w:id="89"/>
    </w:p>
    <w:p w14:paraId="32C0AC0E" w14:textId="77777777" w:rsidR="007A2E1E" w:rsidRDefault="00E63864">
      <w:pPr>
        <w:pStyle w:val="12"/>
        <w:tabs>
          <w:tab w:val="left" w:pos="1260"/>
        </w:tabs>
        <w:spacing w:line="360" w:lineRule="auto"/>
        <w:ind w:firstLineChars="200" w:firstLine="482"/>
        <w:rPr>
          <w:rFonts w:ascii="宋体"/>
          <w:b/>
          <w:sz w:val="24"/>
        </w:rPr>
      </w:pPr>
      <w:r>
        <w:rPr>
          <w:rFonts w:ascii="宋体" w:hAnsi="宋体"/>
          <w:b/>
          <w:sz w:val="24"/>
        </w:rPr>
        <w:t>（一）基金管理人的管理费</w:t>
      </w:r>
    </w:p>
    <w:p w14:paraId="711B9930"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本基金的管理费率为年费率0.50%。</w:t>
      </w:r>
    </w:p>
    <w:p w14:paraId="28E8D6A1"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基金管理费按前一日基金资产净值的年费率计提。计算方法如下：</w:t>
      </w:r>
    </w:p>
    <w:p w14:paraId="00ED6AD3" w14:textId="77777777" w:rsidR="007A2E1E" w:rsidRDefault="00E63864">
      <w:pPr>
        <w:pStyle w:val="12"/>
        <w:spacing w:line="360" w:lineRule="auto"/>
        <w:ind w:left="780" w:firstLineChars="200" w:firstLine="480"/>
        <w:rPr>
          <w:sz w:val="24"/>
        </w:rPr>
      </w:pPr>
      <w:r>
        <w:rPr>
          <w:sz w:val="24"/>
        </w:rPr>
        <w:t>H</w:t>
      </w:r>
      <w:r>
        <w:rPr>
          <w:sz w:val="24"/>
        </w:rPr>
        <w:t>＝</w:t>
      </w:r>
      <w:r>
        <w:rPr>
          <w:sz w:val="24"/>
        </w:rPr>
        <w:t>E×</w:t>
      </w:r>
      <w:r>
        <w:rPr>
          <w:sz w:val="24"/>
        </w:rPr>
        <w:t>年管理费率</w:t>
      </w:r>
      <w:r>
        <w:rPr>
          <w:sz w:val="24"/>
        </w:rPr>
        <w:t>÷</w:t>
      </w:r>
      <w:r>
        <w:rPr>
          <w:sz w:val="24"/>
        </w:rPr>
        <w:t>当年天数</w:t>
      </w:r>
    </w:p>
    <w:p w14:paraId="63F977FD" w14:textId="77777777" w:rsidR="007A2E1E" w:rsidRDefault="00E63864">
      <w:pPr>
        <w:pStyle w:val="12"/>
        <w:spacing w:line="360" w:lineRule="auto"/>
        <w:ind w:left="780" w:firstLineChars="200" w:firstLine="480"/>
        <w:rPr>
          <w:sz w:val="24"/>
        </w:rPr>
      </w:pPr>
      <w:r>
        <w:rPr>
          <w:sz w:val="24"/>
        </w:rPr>
        <w:t>H</w:t>
      </w:r>
      <w:r>
        <w:rPr>
          <w:sz w:val="24"/>
        </w:rPr>
        <w:t>为每日应计提的基金管理费</w:t>
      </w:r>
    </w:p>
    <w:p w14:paraId="65093090" w14:textId="77777777" w:rsidR="007A2E1E" w:rsidRDefault="00E63864">
      <w:pPr>
        <w:pStyle w:val="12"/>
        <w:spacing w:line="360" w:lineRule="auto"/>
        <w:ind w:left="780" w:firstLineChars="200" w:firstLine="480"/>
        <w:rPr>
          <w:sz w:val="24"/>
        </w:rPr>
      </w:pPr>
      <w:r>
        <w:rPr>
          <w:sz w:val="24"/>
        </w:rPr>
        <w:t>E</w:t>
      </w:r>
      <w:r>
        <w:rPr>
          <w:sz w:val="24"/>
        </w:rPr>
        <w:t>为前一日基金资产净值</w:t>
      </w:r>
    </w:p>
    <w:p w14:paraId="3114898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基金管理费每日计提，</w:t>
      </w:r>
      <w:r>
        <w:rPr>
          <w:sz w:val="24"/>
        </w:rPr>
        <w:t>逐日累计至每月月末，</w:t>
      </w:r>
      <w:r>
        <w:rPr>
          <w:rFonts w:ascii="宋体" w:hAnsi="宋体"/>
          <w:sz w:val="24"/>
        </w:rPr>
        <w:t>按月支付。</w:t>
      </w:r>
      <w:r>
        <w:rPr>
          <w:bCs/>
          <w:sz w:val="24"/>
        </w:rPr>
        <w:t>由基金托管人根据与基金管理人核对一致的财务数据，基金托管人按照双方约定的时间，自动在次月按照指定的账户路径从基金财产中一次性支付，基金管理人无需再出具划款指令，支付时间及收款账户信息由基金管理人通过书面形式另行通知基金托管人</w:t>
      </w:r>
      <w:r>
        <w:rPr>
          <w:rFonts w:ascii="宋体" w:hAnsi="宋体"/>
          <w:sz w:val="24"/>
        </w:rPr>
        <w:t>。</w:t>
      </w:r>
      <w:r>
        <w:rPr>
          <w:sz w:val="24"/>
        </w:rPr>
        <w:t>若遇法定节假日、公休假等，支付日期顺延。</w:t>
      </w:r>
    </w:p>
    <w:p w14:paraId="0918088A" w14:textId="77777777" w:rsidR="007A2E1E" w:rsidRDefault="00E63864">
      <w:pPr>
        <w:pStyle w:val="12"/>
        <w:tabs>
          <w:tab w:val="left" w:pos="1260"/>
        </w:tabs>
        <w:spacing w:line="360" w:lineRule="auto"/>
        <w:ind w:firstLineChars="200" w:firstLine="482"/>
        <w:rPr>
          <w:rFonts w:ascii="宋体"/>
          <w:b/>
          <w:sz w:val="24"/>
        </w:rPr>
      </w:pPr>
      <w:r>
        <w:rPr>
          <w:rFonts w:ascii="宋体" w:hAnsi="宋体"/>
          <w:b/>
          <w:sz w:val="24"/>
        </w:rPr>
        <w:lastRenderedPageBreak/>
        <w:t>（二）基金托管人的托管费</w:t>
      </w:r>
    </w:p>
    <w:p w14:paraId="18CB88CA"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本基金的托管费率为年费率0.10%。</w:t>
      </w:r>
    </w:p>
    <w:p w14:paraId="0AEB9F07"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基金托管费按前一日基金资产净值的年费率计提。计算方法如下：</w:t>
      </w:r>
    </w:p>
    <w:p w14:paraId="0D335A4B" w14:textId="77777777" w:rsidR="007A2E1E" w:rsidRDefault="00E63864">
      <w:pPr>
        <w:pStyle w:val="12"/>
        <w:spacing w:line="360" w:lineRule="auto"/>
        <w:ind w:left="780" w:firstLineChars="200" w:firstLine="480"/>
        <w:rPr>
          <w:sz w:val="24"/>
        </w:rPr>
      </w:pPr>
      <w:r>
        <w:rPr>
          <w:sz w:val="24"/>
        </w:rPr>
        <w:t>H=E×</w:t>
      </w:r>
      <w:r>
        <w:rPr>
          <w:sz w:val="24"/>
        </w:rPr>
        <w:t>年托管费率</w:t>
      </w:r>
      <w:r>
        <w:rPr>
          <w:sz w:val="24"/>
        </w:rPr>
        <w:t>÷</w:t>
      </w:r>
      <w:r>
        <w:rPr>
          <w:sz w:val="24"/>
        </w:rPr>
        <w:t>当年天数</w:t>
      </w:r>
    </w:p>
    <w:p w14:paraId="573458AD" w14:textId="77777777" w:rsidR="007A2E1E" w:rsidRDefault="00E63864">
      <w:pPr>
        <w:pStyle w:val="12"/>
        <w:spacing w:line="360" w:lineRule="auto"/>
        <w:ind w:left="780" w:firstLineChars="200" w:firstLine="480"/>
        <w:rPr>
          <w:sz w:val="24"/>
        </w:rPr>
      </w:pPr>
      <w:r>
        <w:rPr>
          <w:sz w:val="24"/>
        </w:rPr>
        <w:t>H</w:t>
      </w:r>
      <w:r>
        <w:rPr>
          <w:sz w:val="24"/>
        </w:rPr>
        <w:t>为每日应计提的基金托管费</w:t>
      </w:r>
    </w:p>
    <w:p w14:paraId="265E60F4" w14:textId="77777777" w:rsidR="007A2E1E" w:rsidRDefault="00E63864">
      <w:pPr>
        <w:pStyle w:val="12"/>
        <w:spacing w:line="360" w:lineRule="auto"/>
        <w:ind w:left="780" w:firstLineChars="200" w:firstLine="480"/>
        <w:rPr>
          <w:sz w:val="24"/>
        </w:rPr>
      </w:pPr>
      <w:r>
        <w:rPr>
          <w:sz w:val="24"/>
        </w:rPr>
        <w:t>E</w:t>
      </w:r>
      <w:r>
        <w:rPr>
          <w:sz w:val="24"/>
        </w:rPr>
        <w:t>为前一日基金资产净值</w:t>
      </w:r>
    </w:p>
    <w:p w14:paraId="2C474D65" w14:textId="77777777" w:rsidR="007A2E1E" w:rsidRDefault="00E63864">
      <w:pPr>
        <w:pStyle w:val="12"/>
        <w:spacing w:line="360" w:lineRule="auto"/>
        <w:ind w:firstLineChars="200" w:firstLine="480"/>
        <w:rPr>
          <w:sz w:val="24"/>
        </w:rPr>
      </w:pPr>
      <w:r>
        <w:rPr>
          <w:rFonts w:ascii="宋体" w:hAnsi="宋体"/>
          <w:sz w:val="24"/>
        </w:rPr>
        <w:t>基金托管费每日计提</w:t>
      </w:r>
      <w:r>
        <w:rPr>
          <w:sz w:val="24"/>
        </w:rPr>
        <w:t>，逐日累计至每月月末</w:t>
      </w:r>
      <w:r>
        <w:rPr>
          <w:rFonts w:ascii="宋体" w:hAnsi="宋体"/>
          <w:sz w:val="24"/>
        </w:rPr>
        <w:t>，按月支付。</w:t>
      </w:r>
      <w:r>
        <w:rPr>
          <w:bCs/>
          <w:sz w:val="24"/>
        </w:rPr>
        <w:t>由基金托管人根据与基金管理人核对一致的财务数据，基金托管人按照双方约定的时间，自动在次月按照指定的账户路径从基金财产中一次性支取，基金管理人无需再出具划款指令，支付时间及收款账户信息由基金托管人通过书面形式另行通知基金管理人</w:t>
      </w:r>
      <w:r>
        <w:rPr>
          <w:rFonts w:ascii="宋体" w:hAnsi="宋体"/>
          <w:sz w:val="24"/>
        </w:rPr>
        <w:t>。</w:t>
      </w:r>
      <w:r>
        <w:rPr>
          <w:sz w:val="24"/>
        </w:rPr>
        <w:t>若遇法定节假日、公休日等，支付日期顺延。</w:t>
      </w:r>
    </w:p>
    <w:p w14:paraId="6F4EC623" w14:textId="77777777" w:rsidR="007A2E1E" w:rsidRDefault="00E63864">
      <w:pPr>
        <w:pStyle w:val="12"/>
        <w:spacing w:line="360" w:lineRule="auto"/>
        <w:ind w:firstLineChars="200" w:firstLine="482"/>
        <w:rPr>
          <w:rFonts w:ascii="宋体" w:hAnsi="宋体"/>
          <w:b/>
          <w:bCs/>
          <w:sz w:val="24"/>
        </w:rPr>
      </w:pPr>
      <w:r>
        <w:rPr>
          <w:rFonts w:ascii="宋体" w:hAnsi="宋体"/>
          <w:b/>
          <w:bCs/>
          <w:sz w:val="24"/>
        </w:rPr>
        <w:t>（三）C类基金份额的销售服务费</w:t>
      </w:r>
    </w:p>
    <w:p w14:paraId="4952263F" w14:textId="77777777" w:rsidR="007A2E1E" w:rsidRDefault="00E63864">
      <w:pPr>
        <w:pStyle w:val="12"/>
        <w:spacing w:line="360" w:lineRule="auto"/>
        <w:ind w:firstLineChars="200" w:firstLine="480"/>
        <w:rPr>
          <w:bCs/>
          <w:sz w:val="24"/>
        </w:rPr>
      </w:pPr>
      <w:r>
        <w:rPr>
          <w:bCs/>
          <w:sz w:val="24"/>
        </w:rPr>
        <w:t>本基金</w:t>
      </w:r>
      <w:r>
        <w:rPr>
          <w:bCs/>
          <w:sz w:val="24"/>
        </w:rPr>
        <w:t>A</w:t>
      </w:r>
      <w:r>
        <w:rPr>
          <w:bCs/>
          <w:sz w:val="24"/>
        </w:rPr>
        <w:t>类基金份额不收取销售服务费，</w:t>
      </w:r>
      <w:r>
        <w:rPr>
          <w:bCs/>
          <w:sz w:val="24"/>
        </w:rPr>
        <w:t>C</w:t>
      </w:r>
      <w:r>
        <w:rPr>
          <w:bCs/>
          <w:sz w:val="24"/>
        </w:rPr>
        <w:t>类基金份额的销售服务费按前一日</w:t>
      </w:r>
      <w:r>
        <w:rPr>
          <w:bCs/>
          <w:sz w:val="24"/>
        </w:rPr>
        <w:t>C</w:t>
      </w:r>
      <w:r>
        <w:rPr>
          <w:bCs/>
          <w:sz w:val="24"/>
        </w:rPr>
        <w:t>类基金份额资产净值的</w:t>
      </w:r>
      <w:r>
        <w:rPr>
          <w:bCs/>
          <w:sz w:val="24"/>
        </w:rPr>
        <w:t>0.20%</w:t>
      </w:r>
      <w:r>
        <w:rPr>
          <w:bCs/>
          <w:sz w:val="24"/>
        </w:rPr>
        <w:t>年费率计提。计算方法如下：</w:t>
      </w:r>
    </w:p>
    <w:p w14:paraId="18EEC67F" w14:textId="77777777" w:rsidR="007A2E1E" w:rsidRDefault="00E63864">
      <w:pPr>
        <w:pStyle w:val="12"/>
        <w:spacing w:line="360" w:lineRule="auto"/>
        <w:ind w:firstLineChars="200" w:firstLine="480"/>
        <w:rPr>
          <w:bCs/>
          <w:sz w:val="24"/>
        </w:rPr>
      </w:pPr>
      <w:r>
        <w:rPr>
          <w:bCs/>
          <w:sz w:val="24"/>
        </w:rPr>
        <w:t>H</w:t>
      </w:r>
      <w:r>
        <w:rPr>
          <w:bCs/>
          <w:sz w:val="24"/>
        </w:rPr>
        <w:t>＝</w:t>
      </w:r>
      <w:r>
        <w:rPr>
          <w:bCs/>
          <w:sz w:val="24"/>
        </w:rPr>
        <w:t>E×</w:t>
      </w:r>
      <w:r>
        <w:rPr>
          <w:bCs/>
          <w:sz w:val="24"/>
        </w:rPr>
        <w:t>年销售服务费率</w:t>
      </w:r>
      <w:r>
        <w:rPr>
          <w:bCs/>
          <w:sz w:val="24"/>
        </w:rPr>
        <w:t>÷</w:t>
      </w:r>
      <w:r>
        <w:rPr>
          <w:bCs/>
          <w:sz w:val="24"/>
        </w:rPr>
        <w:t>当年天数</w:t>
      </w:r>
    </w:p>
    <w:p w14:paraId="494E22D9" w14:textId="77777777" w:rsidR="007A2E1E" w:rsidRDefault="00E63864">
      <w:pPr>
        <w:pStyle w:val="12"/>
        <w:spacing w:line="360" w:lineRule="auto"/>
        <w:ind w:firstLineChars="200" w:firstLine="480"/>
        <w:rPr>
          <w:bCs/>
          <w:sz w:val="24"/>
        </w:rPr>
      </w:pPr>
      <w:r>
        <w:rPr>
          <w:bCs/>
          <w:sz w:val="24"/>
        </w:rPr>
        <w:t>H</w:t>
      </w:r>
      <w:r>
        <w:rPr>
          <w:bCs/>
          <w:sz w:val="24"/>
        </w:rPr>
        <w:t>为</w:t>
      </w:r>
      <w:r>
        <w:rPr>
          <w:bCs/>
          <w:sz w:val="24"/>
        </w:rPr>
        <w:t>C</w:t>
      </w:r>
      <w:r>
        <w:rPr>
          <w:bCs/>
          <w:sz w:val="24"/>
        </w:rPr>
        <w:t>类基金份额每日应计提的销售服务费</w:t>
      </w:r>
    </w:p>
    <w:p w14:paraId="2F2F6EBE" w14:textId="77777777" w:rsidR="007A2E1E" w:rsidRDefault="00E63864">
      <w:pPr>
        <w:pStyle w:val="12"/>
        <w:spacing w:line="360" w:lineRule="auto"/>
        <w:ind w:firstLineChars="200" w:firstLine="480"/>
        <w:rPr>
          <w:bCs/>
          <w:sz w:val="24"/>
        </w:rPr>
      </w:pPr>
      <w:r>
        <w:rPr>
          <w:bCs/>
          <w:sz w:val="24"/>
        </w:rPr>
        <w:t>E</w:t>
      </w:r>
      <w:r>
        <w:rPr>
          <w:bCs/>
          <w:sz w:val="24"/>
        </w:rPr>
        <w:t>为</w:t>
      </w:r>
      <w:r>
        <w:rPr>
          <w:bCs/>
          <w:sz w:val="24"/>
        </w:rPr>
        <w:t>C</w:t>
      </w:r>
      <w:r>
        <w:rPr>
          <w:bCs/>
          <w:sz w:val="24"/>
        </w:rPr>
        <w:t>类基金份额前一日基金资产净值</w:t>
      </w:r>
    </w:p>
    <w:p w14:paraId="6034E6BB" w14:textId="77777777" w:rsidR="007A2E1E" w:rsidRDefault="00E63864">
      <w:pPr>
        <w:pStyle w:val="12"/>
        <w:spacing w:line="360" w:lineRule="auto"/>
        <w:ind w:firstLineChars="200" w:firstLine="480"/>
        <w:rPr>
          <w:rFonts w:ascii="宋体" w:hAnsi="宋体"/>
          <w:sz w:val="24"/>
        </w:rPr>
      </w:pPr>
      <w:r>
        <w:rPr>
          <w:bCs/>
          <w:sz w:val="24"/>
        </w:rPr>
        <w:t>销售服务费每日计提，逐日累计至每月月末，按月支付，由基金托管人根据与基金管理人核对一致的财务数据，基金托管人按照双方约定的时间，自动在次月按照指定的账户路径从基金财产中一次性支付，基金管理人无需再出具划款指令，支付时间及收款账户信息由基金管理人通过书面形式另行通知基金托管人</w:t>
      </w:r>
      <w:r>
        <w:rPr>
          <w:rFonts w:ascii="宋体" w:hAnsi="宋体"/>
          <w:sz w:val="24"/>
        </w:rPr>
        <w:t>。</w:t>
      </w:r>
      <w:r>
        <w:rPr>
          <w:bCs/>
          <w:sz w:val="24"/>
        </w:rPr>
        <w:t>销售服务费由登记机构代收，登记机构收到后按相关合同规定支付给基金销售机构。若遇法定节假日、公休假等，支付日期顺延。</w:t>
      </w:r>
    </w:p>
    <w:p w14:paraId="4ABBBD2E" w14:textId="77777777" w:rsidR="007A2E1E" w:rsidRDefault="00E63864">
      <w:pPr>
        <w:pStyle w:val="12"/>
        <w:autoSpaceDE w:val="0"/>
        <w:autoSpaceDN w:val="0"/>
        <w:spacing w:line="360" w:lineRule="auto"/>
        <w:ind w:firstLineChars="200" w:firstLine="482"/>
        <w:jc w:val="left"/>
        <w:rPr>
          <w:rFonts w:ascii="宋体" w:hAnsi="宋体"/>
          <w:sz w:val="24"/>
        </w:rPr>
      </w:pPr>
      <w:r>
        <w:rPr>
          <w:rFonts w:ascii="宋体" w:hAnsi="宋体"/>
          <w:b/>
          <w:sz w:val="24"/>
        </w:rPr>
        <w:t>（四）</w:t>
      </w:r>
      <w:r>
        <w:rPr>
          <w:rFonts w:ascii="宋体" w:hAnsi="宋体"/>
          <w:sz w:val="24"/>
        </w:rPr>
        <w:t>从基金资产中列支基金管理人的管理费、基金托管人的托管费、销售服务费之外的其他基金费用，应当依据有关法律法规、《基金合同》的规定。</w:t>
      </w:r>
    </w:p>
    <w:p w14:paraId="6CE55509" w14:textId="77777777" w:rsidR="007A2E1E" w:rsidRDefault="00E63864">
      <w:pPr>
        <w:pStyle w:val="div"/>
        <w:spacing w:line="360" w:lineRule="auto"/>
        <w:ind w:firstLine="420"/>
        <w:rPr>
          <w:sz w:val="24"/>
        </w:rPr>
      </w:pPr>
      <w:r>
        <w:rPr>
          <w:rFonts w:ascii="宋体" w:hAnsi="宋体"/>
          <w:sz w:val="24"/>
        </w:rPr>
        <w:t>下列费用不列入基金费用：</w:t>
      </w:r>
    </w:p>
    <w:p w14:paraId="3EBCB013" w14:textId="77777777" w:rsidR="007A2E1E" w:rsidRDefault="00E63864">
      <w:pPr>
        <w:pStyle w:val="div"/>
        <w:spacing w:line="360" w:lineRule="auto"/>
        <w:ind w:firstLine="420"/>
        <w:jc w:val="left"/>
        <w:rPr>
          <w:sz w:val="24"/>
        </w:rPr>
      </w:pPr>
      <w:r>
        <w:rPr>
          <w:rStyle w:val="custom"/>
          <w:rFonts w:ascii="宋体" w:hAnsi="宋体"/>
          <w:sz w:val="24"/>
        </w:rPr>
        <w:t>1、</w:t>
      </w:r>
      <w:r>
        <w:rPr>
          <w:rFonts w:ascii="宋体" w:hAnsi="宋体"/>
          <w:sz w:val="24"/>
        </w:rPr>
        <w:t>基金管理人和基金托管人因未履行或未完全履行义务导致的费用支出或基金财产的损失；</w:t>
      </w:r>
    </w:p>
    <w:p w14:paraId="3D0739BB" w14:textId="77777777" w:rsidR="007A2E1E" w:rsidRDefault="00E63864">
      <w:pPr>
        <w:pStyle w:val="div"/>
        <w:spacing w:line="360" w:lineRule="auto"/>
        <w:ind w:firstLine="420"/>
        <w:jc w:val="left"/>
        <w:rPr>
          <w:sz w:val="24"/>
        </w:rPr>
      </w:pPr>
      <w:r>
        <w:rPr>
          <w:rStyle w:val="custom"/>
          <w:rFonts w:ascii="宋体" w:hAnsi="宋体"/>
          <w:sz w:val="24"/>
        </w:rPr>
        <w:t>2、</w:t>
      </w:r>
      <w:r>
        <w:rPr>
          <w:rFonts w:ascii="宋体" w:hAnsi="宋体"/>
          <w:sz w:val="24"/>
        </w:rPr>
        <w:t>基金管理人和基金托管人处理与基金运作无关的事项发生的费用；</w:t>
      </w:r>
    </w:p>
    <w:p w14:paraId="2CABFD35" w14:textId="77777777" w:rsidR="007A2E1E" w:rsidRDefault="00E63864">
      <w:pPr>
        <w:pStyle w:val="div"/>
        <w:spacing w:line="360" w:lineRule="auto"/>
        <w:ind w:firstLine="420"/>
        <w:jc w:val="left"/>
        <w:rPr>
          <w:sz w:val="24"/>
        </w:rPr>
      </w:pPr>
      <w:r>
        <w:rPr>
          <w:rStyle w:val="custom"/>
          <w:rFonts w:ascii="宋体" w:hAnsi="宋体"/>
          <w:sz w:val="24"/>
        </w:rPr>
        <w:lastRenderedPageBreak/>
        <w:t>3、</w:t>
      </w:r>
      <w:r>
        <w:rPr>
          <w:rFonts w:ascii="宋体" w:hAnsi="宋体"/>
          <w:sz w:val="24"/>
        </w:rPr>
        <w:t>《基金合同》生效前的相关费用；</w:t>
      </w:r>
    </w:p>
    <w:p w14:paraId="56D6E1CC" w14:textId="77777777" w:rsidR="007A2E1E" w:rsidRDefault="00E63864">
      <w:pPr>
        <w:pStyle w:val="div"/>
        <w:spacing w:line="360" w:lineRule="auto"/>
        <w:ind w:firstLine="420"/>
        <w:rPr>
          <w:rStyle w:val="custom"/>
          <w:rFonts w:ascii="宋体" w:hAnsi="宋体"/>
          <w:sz w:val="24"/>
        </w:rPr>
      </w:pPr>
      <w:r>
        <w:rPr>
          <w:rStyle w:val="custom"/>
          <w:rFonts w:ascii="宋体" w:hAnsi="宋体"/>
          <w:sz w:val="24"/>
        </w:rPr>
        <w:t>4、基金的指数许可使用费（该费用由基金管理人承担）；</w:t>
      </w:r>
    </w:p>
    <w:p w14:paraId="7CF1240C" w14:textId="77777777" w:rsidR="007A2E1E" w:rsidRDefault="00E63864">
      <w:pPr>
        <w:pStyle w:val="div"/>
        <w:spacing w:line="360" w:lineRule="auto"/>
        <w:ind w:firstLine="420"/>
        <w:jc w:val="left"/>
        <w:rPr>
          <w:sz w:val="24"/>
        </w:rPr>
      </w:pPr>
      <w:r>
        <w:rPr>
          <w:rStyle w:val="custom"/>
          <w:rFonts w:ascii="宋体" w:hAnsi="宋体"/>
          <w:sz w:val="24"/>
        </w:rPr>
        <w:t>5、</w:t>
      </w:r>
      <w:r>
        <w:rPr>
          <w:rFonts w:ascii="宋体" w:hAnsi="宋体"/>
          <w:sz w:val="24"/>
        </w:rPr>
        <w:t>其他根据相关法律法规及中国证监会的有关规定不得列入基金费用的项目。</w:t>
      </w:r>
    </w:p>
    <w:p w14:paraId="1DFC8D0D" w14:textId="77777777" w:rsidR="007A2E1E" w:rsidRDefault="00E63864">
      <w:pPr>
        <w:pStyle w:val="12"/>
        <w:autoSpaceDE w:val="0"/>
        <w:autoSpaceDN w:val="0"/>
        <w:spacing w:line="360" w:lineRule="auto"/>
        <w:ind w:firstLineChars="200" w:firstLine="480"/>
        <w:jc w:val="left"/>
        <w:rPr>
          <w:rFonts w:ascii="宋体" w:hAnsi="宋体"/>
          <w:sz w:val="24"/>
        </w:rPr>
      </w:pPr>
      <w:r>
        <w:rPr>
          <w:rFonts w:ascii="宋体" w:hAnsi="宋体"/>
          <w:sz w:val="24"/>
        </w:rPr>
        <w:t>基金托管人对不符合《基金法》、《运作办法》等有关规定以及《基金合同》的其他费用有权拒绝执行。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p>
    <w:p w14:paraId="03CC95C4" w14:textId="77777777" w:rsidR="007A2E1E" w:rsidRDefault="00E63864">
      <w:pPr>
        <w:pStyle w:val="12"/>
        <w:autoSpaceDE w:val="0"/>
        <w:autoSpaceDN w:val="0"/>
        <w:spacing w:line="360" w:lineRule="auto"/>
        <w:ind w:firstLineChars="200" w:firstLine="482"/>
        <w:jc w:val="left"/>
        <w:rPr>
          <w:rFonts w:ascii="宋体"/>
          <w:b/>
          <w:bCs/>
          <w:sz w:val="24"/>
        </w:rPr>
      </w:pPr>
      <w:r>
        <w:rPr>
          <w:rFonts w:ascii="宋体"/>
          <w:b/>
          <w:bCs/>
          <w:sz w:val="24"/>
        </w:rPr>
        <w:t>（五）实施侧袋机制期间的基金费用</w:t>
      </w:r>
    </w:p>
    <w:p w14:paraId="03A8A69C" w14:textId="77777777" w:rsidR="007A2E1E" w:rsidRDefault="00E63864">
      <w:pPr>
        <w:pStyle w:val="12"/>
        <w:autoSpaceDE w:val="0"/>
        <w:autoSpaceDN w:val="0"/>
        <w:spacing w:line="360" w:lineRule="auto"/>
        <w:ind w:firstLineChars="200" w:firstLine="480"/>
        <w:jc w:val="left"/>
        <w:rPr>
          <w:rFonts w:ascii="宋体"/>
          <w:sz w:val="24"/>
        </w:rPr>
      </w:pPr>
      <w:r>
        <w:rPr>
          <w:rFonts w:ascii="宋体"/>
          <w:sz w:val="24"/>
        </w:rPr>
        <w:t>本基金实施侧袋机制的，与侧袋账户有关的费用可以从侧袋账户中列支，但应待侧袋账户资产变现后方可列支，有关费用可酌情收取或减免，但不得收取管理费，详见招募说明书的规定。</w:t>
      </w:r>
    </w:p>
    <w:p w14:paraId="12DF3228" w14:textId="77777777" w:rsidR="007A2E1E" w:rsidRDefault="00E63864">
      <w:pPr>
        <w:pStyle w:val="112"/>
      </w:pPr>
      <w:bookmarkStart w:id="90" w:name="_Toc65161990"/>
      <w:bookmarkStart w:id="91" w:name="_Toc125892448"/>
      <w:r>
        <w:t>十二、基金份额持有人名册的保管</w:t>
      </w:r>
      <w:bookmarkEnd w:id="90"/>
      <w:bookmarkEnd w:id="91"/>
    </w:p>
    <w:p w14:paraId="6AD6DAD3" w14:textId="77777777" w:rsidR="007A2E1E" w:rsidRDefault="00E63864">
      <w:pPr>
        <w:pStyle w:val="12"/>
        <w:tabs>
          <w:tab w:val="left" w:pos="1260"/>
        </w:tabs>
        <w:spacing w:line="360" w:lineRule="auto"/>
        <w:ind w:firstLineChars="200" w:firstLine="480"/>
        <w:rPr>
          <w:rFonts w:ascii="宋体" w:hAnsi="宋体"/>
          <w:sz w:val="24"/>
        </w:rPr>
      </w:pPr>
      <w:r>
        <w:rPr>
          <w:rFonts w:ascii="宋体" w:hAnsi="宋体"/>
          <w:sz w:val="24"/>
        </w:rPr>
        <w:t>基金份额持有人名册至少应包括基金份额持有人的名称和持有的基金份额。基金份额持有人名册由基金登记机构根据基金管理人的指令编制和保管，基金管理人和基金托管人应分别保管基金份额持有人名册，基金登记机构保存期不低于法律法规规定的最低期限。如不能妥善保管，则按相关法规承担责任。</w:t>
      </w:r>
    </w:p>
    <w:p w14:paraId="7EB6898E"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在基金托管人要求或编制中期报告和年度报告前，基金管理人应将有关资料送交基金托管人，不得无故拒绝或延误提供，并保证其的真实性、准确性和完整性。基金托管人不得将所保管的基金份额持有人名册用于基金托管业务以外的其他用途，并应遵守保密义务。</w:t>
      </w:r>
    </w:p>
    <w:p w14:paraId="2CFDC909" w14:textId="77777777" w:rsidR="007A2E1E" w:rsidRDefault="00E63864">
      <w:pPr>
        <w:pStyle w:val="112"/>
      </w:pPr>
      <w:bookmarkStart w:id="92" w:name="_Toc65161991"/>
      <w:r>
        <w:t>十三、基金有关文件档案的保存</w:t>
      </w:r>
      <w:bookmarkEnd w:id="87"/>
      <w:bookmarkEnd w:id="92"/>
    </w:p>
    <w:p w14:paraId="5D4A1395"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基金管理人应保存基金财产管理业务活动的记录、账册、报表和其他相关资料，基金托管人应保存基金托管业务活动的记录、账册、报表和其他相关资料。</w:t>
      </w:r>
    </w:p>
    <w:p w14:paraId="7609CAEC"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基金管理人和基金托管人应按各自职责完整保存原始凭证、记账凭证、基金账册、会计报告、交易记录和重要合同等，保存期限不低于法律法规规定的</w:t>
      </w:r>
      <w:r>
        <w:rPr>
          <w:rFonts w:ascii="宋体" w:hAnsi="宋体"/>
          <w:sz w:val="24"/>
        </w:rPr>
        <w:lastRenderedPageBreak/>
        <w:t>最低期限。</w:t>
      </w:r>
    </w:p>
    <w:p w14:paraId="08DC565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基金管理人签署重大合同文本后，应及时将合同文本正本送达基金托管人处。基金管理人应及时将与本基金账务处理、资金划拨等有关的合同、协议传真给基金托管人。</w:t>
      </w:r>
    </w:p>
    <w:p w14:paraId="3F2AD4D6"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基金管理人或基金托管人变更后，未变更的一方有义务协助接任人接收基金的有关文件。</w:t>
      </w:r>
      <w:bookmarkStart w:id="93" w:name="_Toc523830005"/>
      <w:bookmarkStart w:id="94" w:name="_Toc125892450"/>
      <w:bookmarkStart w:id="95" w:name="_Toc466788864"/>
      <w:bookmarkStart w:id="96" w:name="_Toc22454470"/>
    </w:p>
    <w:p w14:paraId="2D14CE72" w14:textId="77777777" w:rsidR="007A2E1E" w:rsidRDefault="00E63864">
      <w:pPr>
        <w:pStyle w:val="112"/>
      </w:pPr>
      <w:bookmarkStart w:id="97" w:name="_Toc65161992"/>
      <w:r>
        <w:t>十四、基金管理人和基金托管人的更换</w:t>
      </w:r>
      <w:bookmarkEnd w:id="93"/>
      <w:bookmarkEnd w:id="94"/>
      <w:bookmarkEnd w:id="95"/>
      <w:bookmarkEnd w:id="96"/>
      <w:bookmarkEnd w:id="97"/>
    </w:p>
    <w:p w14:paraId="6A180BC1"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98" w:name="_Toc22454471"/>
      <w:bookmarkStart w:id="99" w:name="_Toc77663031"/>
      <w:r>
        <w:rPr>
          <w:rFonts w:ascii="宋体" w:hAnsi="宋体"/>
          <w:b/>
          <w:bCs/>
          <w:sz w:val="24"/>
        </w:rPr>
        <w:t>（一）基金管理人的更换</w:t>
      </w:r>
    </w:p>
    <w:p w14:paraId="6F577412" w14:textId="77777777" w:rsidR="007A2E1E" w:rsidRDefault="00E63864">
      <w:pPr>
        <w:pStyle w:val="12"/>
        <w:tabs>
          <w:tab w:val="left" w:pos="1260"/>
        </w:tabs>
        <w:spacing w:line="360" w:lineRule="auto"/>
        <w:ind w:firstLineChars="200" w:firstLine="480"/>
        <w:rPr>
          <w:rFonts w:ascii="宋体"/>
          <w:sz w:val="24"/>
        </w:rPr>
      </w:pPr>
      <w:r>
        <w:rPr>
          <w:rFonts w:ascii="宋体" w:hAnsi="宋体"/>
          <w:sz w:val="24"/>
        </w:rPr>
        <w:t>1.基金管理人职责终止的条件</w:t>
      </w:r>
    </w:p>
    <w:p w14:paraId="51678D97" w14:textId="77777777" w:rsidR="007A2E1E" w:rsidRDefault="00E63864">
      <w:pPr>
        <w:pStyle w:val="12"/>
        <w:spacing w:line="360" w:lineRule="auto"/>
        <w:ind w:firstLineChars="200" w:firstLine="480"/>
        <w:rPr>
          <w:rFonts w:ascii="宋体"/>
          <w:sz w:val="24"/>
        </w:rPr>
      </w:pPr>
      <w:r>
        <w:rPr>
          <w:rFonts w:ascii="宋体" w:hAnsi="宋体"/>
          <w:sz w:val="24"/>
        </w:rPr>
        <w:t>有下列情形之一的，基金管理人职责终止：</w:t>
      </w:r>
    </w:p>
    <w:p w14:paraId="7D7175A1" w14:textId="77777777" w:rsidR="007A2E1E" w:rsidRDefault="00E63864">
      <w:pPr>
        <w:pStyle w:val="afc"/>
        <w:ind w:firstLine="480"/>
        <w:rPr>
          <w:szCs w:val="24"/>
        </w:rPr>
      </w:pPr>
      <w:r>
        <w:rPr>
          <w:szCs w:val="24"/>
        </w:rPr>
        <w:t>（</w:t>
      </w:r>
      <w:r>
        <w:rPr>
          <w:szCs w:val="24"/>
        </w:rPr>
        <w:t>1</w:t>
      </w:r>
      <w:r>
        <w:rPr>
          <w:szCs w:val="24"/>
        </w:rPr>
        <w:t>）基金管理人被依法取消基金管理资格；</w:t>
      </w:r>
    </w:p>
    <w:p w14:paraId="555C2724" w14:textId="77777777" w:rsidR="007A2E1E" w:rsidRDefault="00E63864">
      <w:pPr>
        <w:pStyle w:val="afc"/>
        <w:ind w:firstLine="480"/>
        <w:rPr>
          <w:szCs w:val="24"/>
        </w:rPr>
      </w:pPr>
      <w:r>
        <w:rPr>
          <w:szCs w:val="24"/>
        </w:rPr>
        <w:t>（</w:t>
      </w:r>
      <w:r>
        <w:rPr>
          <w:szCs w:val="24"/>
        </w:rPr>
        <w:t>2</w:t>
      </w:r>
      <w:r>
        <w:rPr>
          <w:szCs w:val="24"/>
        </w:rPr>
        <w:t>）基金管理人依法解散、依法被撤销或被依法宣告破产；</w:t>
      </w:r>
    </w:p>
    <w:p w14:paraId="2424BE9C" w14:textId="77777777" w:rsidR="007A2E1E" w:rsidRDefault="00E63864">
      <w:pPr>
        <w:pStyle w:val="afc"/>
        <w:ind w:firstLine="480"/>
        <w:rPr>
          <w:szCs w:val="24"/>
        </w:rPr>
      </w:pPr>
      <w:r>
        <w:rPr>
          <w:szCs w:val="24"/>
        </w:rPr>
        <w:t>（</w:t>
      </w:r>
      <w:r>
        <w:rPr>
          <w:szCs w:val="24"/>
        </w:rPr>
        <w:t>3</w:t>
      </w:r>
      <w:r>
        <w:rPr>
          <w:szCs w:val="24"/>
        </w:rPr>
        <w:t>）基金管理人被基金份额持有人大会解任；</w:t>
      </w:r>
    </w:p>
    <w:p w14:paraId="3BE0D71D" w14:textId="77777777" w:rsidR="007A2E1E" w:rsidRDefault="00E63864">
      <w:pPr>
        <w:pStyle w:val="afc"/>
        <w:ind w:firstLine="480"/>
        <w:rPr>
          <w:szCs w:val="24"/>
        </w:rPr>
      </w:pPr>
      <w:r>
        <w:rPr>
          <w:szCs w:val="24"/>
        </w:rPr>
        <w:t>（</w:t>
      </w:r>
      <w:r>
        <w:rPr>
          <w:szCs w:val="24"/>
        </w:rPr>
        <w:t>4</w:t>
      </w:r>
      <w:r>
        <w:rPr>
          <w:szCs w:val="24"/>
        </w:rPr>
        <w:t>）法律法规及中国证监会规定的和《基金合同》约定的其他情形。</w:t>
      </w:r>
    </w:p>
    <w:p w14:paraId="6C060A87" w14:textId="77777777" w:rsidR="007A2E1E" w:rsidRDefault="00E63864">
      <w:pPr>
        <w:pStyle w:val="12"/>
        <w:spacing w:line="360" w:lineRule="auto"/>
        <w:ind w:firstLineChars="200" w:firstLine="480"/>
        <w:rPr>
          <w:rFonts w:ascii="宋体"/>
          <w:sz w:val="24"/>
        </w:rPr>
      </w:pPr>
      <w:r>
        <w:rPr>
          <w:rFonts w:ascii="宋体" w:hAnsi="宋体"/>
          <w:sz w:val="24"/>
        </w:rPr>
        <w:t>2.基金管理人的更换程序</w:t>
      </w:r>
    </w:p>
    <w:p w14:paraId="6E8E0735" w14:textId="77777777" w:rsidR="007A2E1E" w:rsidRDefault="00E63864">
      <w:pPr>
        <w:pStyle w:val="12"/>
        <w:spacing w:line="360" w:lineRule="auto"/>
        <w:ind w:firstLineChars="200" w:firstLine="480"/>
        <w:rPr>
          <w:rFonts w:ascii="宋体" w:hAnsi="宋体"/>
          <w:bCs/>
          <w:sz w:val="24"/>
          <w:szCs w:val="20"/>
        </w:rPr>
      </w:pPr>
      <w:r>
        <w:rPr>
          <w:rFonts w:ascii="宋体" w:hAnsi="宋体"/>
          <w:bCs/>
          <w:sz w:val="24"/>
          <w:szCs w:val="20"/>
        </w:rPr>
        <w:t>（1）提名：新任基金管理人由基金托管人或由单独或合计持有10%以上（含10%）基金份额的基金份额持有人提名；</w:t>
      </w:r>
    </w:p>
    <w:p w14:paraId="7A52D814" w14:textId="77777777" w:rsidR="007A2E1E" w:rsidRDefault="00E63864">
      <w:pPr>
        <w:pStyle w:val="12"/>
        <w:spacing w:line="360" w:lineRule="auto"/>
        <w:ind w:firstLineChars="200" w:firstLine="480"/>
        <w:rPr>
          <w:rFonts w:ascii="宋体" w:hAnsi="宋体"/>
          <w:bCs/>
          <w:sz w:val="24"/>
          <w:szCs w:val="20"/>
        </w:rPr>
      </w:pPr>
      <w:r>
        <w:rPr>
          <w:rFonts w:ascii="宋体" w:hAnsi="宋体"/>
          <w:bCs/>
          <w:sz w:val="24"/>
          <w:szCs w:val="20"/>
        </w:rPr>
        <w:t>（2）决议：基金份额持有人大会在基金管理人职责终止后6个月内对被提名的基金管理人形成决议，该决议需经参加大会的基金份额持有人所持表决权的三分之二以上（含三分之二）表决通过，并自表决通过之日起生效；</w:t>
      </w:r>
    </w:p>
    <w:p w14:paraId="56ECC51E" w14:textId="77777777" w:rsidR="007A2E1E" w:rsidRDefault="00E63864">
      <w:pPr>
        <w:pStyle w:val="12"/>
        <w:spacing w:line="360" w:lineRule="auto"/>
        <w:ind w:firstLineChars="200" w:firstLine="480"/>
        <w:rPr>
          <w:rFonts w:ascii="宋体" w:hAnsi="宋体"/>
          <w:bCs/>
          <w:sz w:val="24"/>
          <w:szCs w:val="20"/>
        </w:rPr>
      </w:pPr>
      <w:r>
        <w:rPr>
          <w:rFonts w:ascii="宋体" w:hAnsi="宋体"/>
          <w:bCs/>
          <w:sz w:val="24"/>
          <w:szCs w:val="20"/>
        </w:rPr>
        <w:t>（3）临时基金管理人：新任基金管理人产生之前，由中国证监会指定临时基金管理人；</w:t>
      </w:r>
    </w:p>
    <w:p w14:paraId="62A5CFFC" w14:textId="77777777" w:rsidR="007A2E1E" w:rsidRDefault="00E63864">
      <w:pPr>
        <w:pStyle w:val="12"/>
        <w:spacing w:line="360" w:lineRule="auto"/>
        <w:ind w:firstLineChars="200" w:firstLine="480"/>
        <w:rPr>
          <w:rFonts w:ascii="宋体" w:hAnsi="宋体"/>
          <w:bCs/>
          <w:sz w:val="24"/>
          <w:szCs w:val="20"/>
        </w:rPr>
      </w:pPr>
      <w:r>
        <w:rPr>
          <w:rFonts w:ascii="宋体" w:hAnsi="宋体"/>
          <w:bCs/>
          <w:sz w:val="24"/>
          <w:szCs w:val="20"/>
        </w:rPr>
        <w:t>（4）备案：基金份额持有人大会更换基金管理人的决议须报中国证监会备案；</w:t>
      </w:r>
    </w:p>
    <w:p w14:paraId="018A8222" w14:textId="77777777" w:rsidR="007A2E1E" w:rsidRDefault="00E63864">
      <w:pPr>
        <w:pStyle w:val="12"/>
        <w:spacing w:line="360" w:lineRule="auto"/>
        <w:ind w:firstLineChars="200" w:firstLine="480"/>
        <w:rPr>
          <w:rFonts w:ascii="宋体" w:hAnsi="宋体"/>
          <w:bCs/>
          <w:sz w:val="24"/>
          <w:szCs w:val="20"/>
        </w:rPr>
      </w:pPr>
      <w:r>
        <w:rPr>
          <w:rFonts w:ascii="宋体" w:hAnsi="宋体"/>
          <w:bCs/>
          <w:sz w:val="24"/>
          <w:szCs w:val="20"/>
        </w:rPr>
        <w:t>（5）公告：基金管理人更换后，由基金托管人在更换基金管理人的基金份额持有人大会决议生效后</w:t>
      </w:r>
      <w:r>
        <w:rPr>
          <w:rFonts w:ascii="宋体" w:hAnsi="宋体"/>
          <w:bCs/>
          <w:sz w:val="24"/>
        </w:rPr>
        <w:t>2日内</w:t>
      </w:r>
      <w:r>
        <w:rPr>
          <w:rFonts w:ascii="宋体" w:hAnsi="宋体"/>
          <w:bCs/>
          <w:sz w:val="24"/>
          <w:szCs w:val="20"/>
        </w:rPr>
        <w:t>在中国证监会规定媒介公告；</w:t>
      </w:r>
    </w:p>
    <w:p w14:paraId="0B4DBA9F" w14:textId="77777777" w:rsidR="007A2E1E" w:rsidRDefault="00E63864">
      <w:pPr>
        <w:pStyle w:val="12"/>
        <w:spacing w:line="360" w:lineRule="auto"/>
        <w:ind w:firstLineChars="200" w:firstLine="480"/>
        <w:rPr>
          <w:rFonts w:ascii="宋体" w:hAnsi="宋体"/>
          <w:bCs/>
          <w:sz w:val="24"/>
          <w:szCs w:val="20"/>
        </w:rPr>
      </w:pPr>
      <w:r>
        <w:rPr>
          <w:rFonts w:ascii="宋体" w:hAnsi="宋体"/>
          <w:bCs/>
          <w:sz w:val="24"/>
          <w:szCs w:val="20"/>
        </w:rPr>
        <w:t>（6）交接：基金管理人职责终止的，基金管理人应妥善保管基金管理业务资料，及时向临时基金管理人或新任基金管理人办理基金管理业务的移交手续，临时基金管理人或新任基金管理人应及时接收。临时基金管理人或新任基金管</w:t>
      </w:r>
      <w:r>
        <w:rPr>
          <w:rFonts w:ascii="宋体" w:hAnsi="宋体"/>
          <w:bCs/>
          <w:sz w:val="24"/>
          <w:szCs w:val="20"/>
        </w:rPr>
        <w:lastRenderedPageBreak/>
        <w:t>理人应与基金托管人核对基金资产总值</w:t>
      </w:r>
      <w:r>
        <w:rPr>
          <w:bCs/>
          <w:sz w:val="24"/>
        </w:rPr>
        <w:t>和基金资产净值</w:t>
      </w:r>
      <w:r>
        <w:rPr>
          <w:rFonts w:ascii="宋体" w:hAnsi="宋体"/>
          <w:bCs/>
          <w:sz w:val="24"/>
          <w:szCs w:val="20"/>
        </w:rPr>
        <w:t>；</w:t>
      </w:r>
    </w:p>
    <w:p w14:paraId="4C83D08F" w14:textId="77777777" w:rsidR="007A2E1E" w:rsidRDefault="00E63864">
      <w:pPr>
        <w:pStyle w:val="12"/>
        <w:spacing w:line="360" w:lineRule="auto"/>
        <w:ind w:firstLineChars="200" w:firstLine="480"/>
        <w:rPr>
          <w:rFonts w:ascii="宋体" w:hAnsi="宋体"/>
          <w:bCs/>
          <w:sz w:val="24"/>
          <w:szCs w:val="20"/>
        </w:rPr>
      </w:pPr>
      <w:r>
        <w:rPr>
          <w:rFonts w:ascii="宋体" w:hAnsi="宋体"/>
          <w:bCs/>
          <w:sz w:val="24"/>
          <w:szCs w:val="20"/>
        </w:rPr>
        <w:t>（7）审计：基金管理人职责终止的，应当按照法律法规规定聘请</w:t>
      </w:r>
      <w:r>
        <w:rPr>
          <w:rFonts w:ascii="宋体" w:hAnsi="宋体"/>
          <w:sz w:val="24"/>
        </w:rPr>
        <w:t>符合《中华人民共和国证券法》规定的</w:t>
      </w:r>
      <w:r>
        <w:rPr>
          <w:rFonts w:ascii="宋体" w:hAnsi="宋体"/>
          <w:bCs/>
          <w:sz w:val="24"/>
          <w:szCs w:val="20"/>
        </w:rPr>
        <w:t>会计师事务所对基金财产进行审计，并将审计结果予以公告，同时报中国证监会备案，审计费用从基金财产中列支；</w:t>
      </w:r>
    </w:p>
    <w:p w14:paraId="4AC6D9A4" w14:textId="77777777" w:rsidR="007A2E1E" w:rsidRDefault="00E63864">
      <w:pPr>
        <w:pStyle w:val="afc"/>
        <w:ind w:firstLine="480"/>
        <w:rPr>
          <w:szCs w:val="24"/>
        </w:rPr>
      </w:pPr>
      <w:r>
        <w:rPr>
          <w:rFonts w:ascii="宋体" w:hAnsi="宋体"/>
        </w:rPr>
        <w:t>（8）基金名称变更：基金管理人更换后，如果原任或新任基金管理人要求，应按其要求替换或删除基金名称中与原基金管理人有关的名称字样。</w:t>
      </w:r>
    </w:p>
    <w:p w14:paraId="41F0AA00"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（二）基金托管人的更换</w:t>
      </w:r>
    </w:p>
    <w:p w14:paraId="5BBED4CD" w14:textId="77777777" w:rsidR="007A2E1E" w:rsidRDefault="00E63864">
      <w:pPr>
        <w:pStyle w:val="12"/>
        <w:spacing w:line="360" w:lineRule="auto"/>
        <w:ind w:firstLineChars="200" w:firstLine="480"/>
        <w:rPr>
          <w:rFonts w:ascii="宋体" w:hAnsi="宋体"/>
          <w:sz w:val="24"/>
        </w:rPr>
      </w:pPr>
      <w:r>
        <w:rPr>
          <w:rFonts w:ascii="宋体" w:hAnsi="宋体"/>
          <w:sz w:val="24"/>
        </w:rPr>
        <w:t>1.基金托管人职责终止的条件</w:t>
      </w:r>
    </w:p>
    <w:p w14:paraId="478D235B" w14:textId="77777777" w:rsidR="007A2E1E" w:rsidRDefault="00E63864">
      <w:pPr>
        <w:pStyle w:val="12"/>
        <w:spacing w:line="360" w:lineRule="auto"/>
        <w:ind w:firstLineChars="200" w:firstLine="480"/>
        <w:rPr>
          <w:rFonts w:ascii="宋体" w:hAnsi="宋体"/>
          <w:sz w:val="24"/>
        </w:rPr>
      </w:pPr>
      <w:r>
        <w:rPr>
          <w:rFonts w:ascii="宋体" w:hAnsi="宋体"/>
          <w:sz w:val="24"/>
        </w:rPr>
        <w:t>有下列情形之一的，基金托管人职责终止：</w:t>
      </w:r>
    </w:p>
    <w:p w14:paraId="318D5024" w14:textId="77777777" w:rsidR="007A2E1E" w:rsidRDefault="00E63864">
      <w:pPr>
        <w:pStyle w:val="12"/>
        <w:spacing w:line="360" w:lineRule="auto"/>
        <w:ind w:firstLineChars="200" w:firstLine="480"/>
        <w:rPr>
          <w:rFonts w:ascii="宋体" w:hAnsi="宋体"/>
          <w:sz w:val="24"/>
        </w:rPr>
      </w:pPr>
      <w:r>
        <w:rPr>
          <w:rFonts w:ascii="宋体" w:hAnsi="宋体"/>
          <w:sz w:val="24"/>
        </w:rPr>
        <w:t>（1）基金托管人被依法取消基金托管资格；</w:t>
      </w:r>
    </w:p>
    <w:p w14:paraId="71C1445B" w14:textId="77777777" w:rsidR="007A2E1E" w:rsidRDefault="00E63864">
      <w:pPr>
        <w:pStyle w:val="12"/>
        <w:spacing w:line="360" w:lineRule="auto"/>
        <w:ind w:firstLineChars="200" w:firstLine="480"/>
        <w:rPr>
          <w:rFonts w:ascii="宋体" w:hAnsi="宋体"/>
          <w:sz w:val="24"/>
        </w:rPr>
      </w:pPr>
      <w:r>
        <w:rPr>
          <w:rFonts w:ascii="宋体" w:hAnsi="宋体"/>
          <w:sz w:val="24"/>
        </w:rPr>
        <w:t>（2）基金托管人依法解散、依法被撤销或被依法宣告破产；</w:t>
      </w:r>
    </w:p>
    <w:p w14:paraId="2FBBDC4F" w14:textId="77777777" w:rsidR="007A2E1E" w:rsidRDefault="00E63864">
      <w:pPr>
        <w:pStyle w:val="12"/>
        <w:spacing w:line="360" w:lineRule="auto"/>
        <w:ind w:firstLineChars="200" w:firstLine="480"/>
        <w:rPr>
          <w:rFonts w:ascii="宋体" w:hAnsi="宋体"/>
          <w:sz w:val="24"/>
        </w:rPr>
      </w:pPr>
      <w:r>
        <w:rPr>
          <w:rFonts w:ascii="宋体" w:hAnsi="宋体"/>
          <w:sz w:val="24"/>
        </w:rPr>
        <w:t>（3）基金托管人被基金份额持有人大会解任；</w:t>
      </w:r>
    </w:p>
    <w:p w14:paraId="67403E0F" w14:textId="77777777" w:rsidR="007A2E1E" w:rsidRDefault="00E63864">
      <w:pPr>
        <w:pStyle w:val="12"/>
        <w:spacing w:line="360" w:lineRule="auto"/>
        <w:ind w:firstLineChars="200" w:firstLine="480"/>
        <w:rPr>
          <w:rFonts w:ascii="宋体" w:hAnsi="宋体"/>
          <w:sz w:val="24"/>
        </w:rPr>
      </w:pPr>
      <w:r>
        <w:rPr>
          <w:rFonts w:ascii="宋体" w:hAnsi="宋体"/>
          <w:sz w:val="24"/>
        </w:rPr>
        <w:t>（4）法律法规及中国证监会规定的和《基金合同》约定的其他情形。</w:t>
      </w:r>
    </w:p>
    <w:p w14:paraId="355722D7" w14:textId="77777777" w:rsidR="007A2E1E" w:rsidRDefault="00E63864">
      <w:pPr>
        <w:pStyle w:val="12"/>
        <w:spacing w:line="360" w:lineRule="auto"/>
        <w:ind w:firstLineChars="200" w:firstLine="480"/>
        <w:rPr>
          <w:rFonts w:ascii="宋体" w:hAnsi="宋体"/>
          <w:sz w:val="24"/>
        </w:rPr>
      </w:pPr>
      <w:r>
        <w:rPr>
          <w:rFonts w:ascii="宋体" w:hAnsi="宋体"/>
          <w:sz w:val="24"/>
        </w:rPr>
        <w:t>2.基金托管人的更换程序</w:t>
      </w:r>
    </w:p>
    <w:bookmarkEnd w:id="98"/>
    <w:bookmarkEnd w:id="99"/>
    <w:p w14:paraId="05AB0E8F" w14:textId="77777777" w:rsidR="007A2E1E" w:rsidRDefault="00E63864">
      <w:pPr>
        <w:pStyle w:val="12"/>
        <w:spacing w:line="360" w:lineRule="auto"/>
        <w:ind w:firstLineChars="200" w:firstLine="480"/>
        <w:rPr>
          <w:rFonts w:ascii="宋体" w:hAnsi="宋体"/>
          <w:sz w:val="24"/>
        </w:rPr>
      </w:pPr>
      <w:r>
        <w:rPr>
          <w:rFonts w:ascii="宋体" w:hAnsi="宋体"/>
          <w:sz w:val="24"/>
        </w:rPr>
        <w:t>（1）提名：新任基金托管人由基金管理人或由单独或合计持有10%以上（含10%）基金份额的基金份额持有人提名；</w:t>
      </w:r>
    </w:p>
    <w:p w14:paraId="560E4411" w14:textId="77777777" w:rsidR="007A2E1E" w:rsidRDefault="00E63864">
      <w:pPr>
        <w:pStyle w:val="12"/>
        <w:spacing w:line="360" w:lineRule="auto"/>
        <w:ind w:firstLineChars="200" w:firstLine="480"/>
        <w:rPr>
          <w:rFonts w:ascii="宋体" w:hAnsi="宋体"/>
          <w:sz w:val="24"/>
        </w:rPr>
      </w:pPr>
      <w:r>
        <w:rPr>
          <w:rFonts w:ascii="宋体" w:hAnsi="宋体"/>
          <w:sz w:val="24"/>
        </w:rPr>
        <w:t>（2）决议：基金份额持有人大会在基金托管人职责终止后6个月内对被提名的基金托管人形成决议，该决议需经参加大会的基金份额持有人所持表决权的三分之二以上（含三分之二）表决通过，并自表决通过之日起生效；</w:t>
      </w:r>
    </w:p>
    <w:p w14:paraId="69F2D9D0" w14:textId="77777777" w:rsidR="007A2E1E" w:rsidRDefault="00E63864">
      <w:pPr>
        <w:pStyle w:val="12"/>
        <w:spacing w:line="360" w:lineRule="auto"/>
        <w:ind w:firstLineChars="200" w:firstLine="480"/>
        <w:rPr>
          <w:rFonts w:ascii="宋体" w:hAnsi="宋体"/>
          <w:sz w:val="24"/>
        </w:rPr>
      </w:pPr>
      <w:r>
        <w:rPr>
          <w:rFonts w:ascii="宋体" w:hAnsi="宋体"/>
          <w:sz w:val="24"/>
        </w:rPr>
        <w:t>（3）临时基金托管人：新任基金托管人产生之前，由中国证监会指定临时基金托管人；</w:t>
      </w:r>
    </w:p>
    <w:p w14:paraId="31887760" w14:textId="77777777" w:rsidR="007A2E1E" w:rsidRDefault="00E63864">
      <w:pPr>
        <w:pStyle w:val="12"/>
        <w:spacing w:line="360" w:lineRule="auto"/>
        <w:ind w:firstLineChars="200" w:firstLine="480"/>
        <w:rPr>
          <w:rFonts w:ascii="宋体" w:hAnsi="宋体"/>
          <w:sz w:val="24"/>
        </w:rPr>
      </w:pPr>
      <w:r>
        <w:rPr>
          <w:rFonts w:ascii="宋体" w:hAnsi="宋体"/>
          <w:sz w:val="24"/>
        </w:rPr>
        <w:t>（4）备案：基金份额持有人大会更换基金托管人的决议须报中国证监会备案；</w:t>
      </w:r>
    </w:p>
    <w:p w14:paraId="2AEEAECC" w14:textId="77777777" w:rsidR="007A2E1E" w:rsidRDefault="00E63864">
      <w:pPr>
        <w:pStyle w:val="12"/>
        <w:spacing w:line="360" w:lineRule="auto"/>
        <w:ind w:firstLineChars="200" w:firstLine="480"/>
        <w:rPr>
          <w:rFonts w:ascii="宋体" w:hAnsi="宋体"/>
          <w:sz w:val="24"/>
        </w:rPr>
      </w:pPr>
      <w:r>
        <w:rPr>
          <w:rFonts w:ascii="宋体" w:hAnsi="宋体"/>
          <w:sz w:val="24"/>
        </w:rPr>
        <w:t>（5）公告：基金托管人更换后，由基金管理人在更换基金托管人的基金份额持有人大会决议生效后2日内在中国证监会规定媒介公告；</w:t>
      </w:r>
    </w:p>
    <w:p w14:paraId="71928469" w14:textId="77777777" w:rsidR="007A2E1E" w:rsidRDefault="00E63864">
      <w:pPr>
        <w:pStyle w:val="12"/>
        <w:spacing w:line="360" w:lineRule="auto"/>
        <w:ind w:firstLineChars="200" w:firstLine="480"/>
        <w:rPr>
          <w:rFonts w:ascii="宋体" w:hAnsi="宋体"/>
          <w:sz w:val="24"/>
        </w:rPr>
      </w:pPr>
      <w:r>
        <w:rPr>
          <w:rFonts w:ascii="宋体" w:hAnsi="宋体"/>
          <w:sz w:val="24"/>
        </w:rPr>
        <w:t>（6）交接：基金托管人职责终止的，应当妥善保管基金财产和基金托管业务资料，及时办理基金财产和基金托管业务的移交手续，新任基金托管人或者临时基金托管人应当及时接收。临时基金托管人或新任基金托管人与基金管理人核对基金资产总值和基金资产净值；</w:t>
      </w:r>
    </w:p>
    <w:p w14:paraId="5C01B8D5" w14:textId="77777777" w:rsidR="007A2E1E" w:rsidRDefault="00E63864">
      <w:pPr>
        <w:pStyle w:val="12"/>
        <w:spacing w:line="360" w:lineRule="auto"/>
        <w:ind w:firstLineChars="200" w:firstLine="480"/>
        <w:rPr>
          <w:rFonts w:ascii="宋体" w:hAnsi="宋体"/>
          <w:sz w:val="24"/>
        </w:rPr>
      </w:pPr>
      <w:r>
        <w:rPr>
          <w:rFonts w:ascii="宋体" w:hAnsi="宋体"/>
          <w:sz w:val="24"/>
        </w:rPr>
        <w:lastRenderedPageBreak/>
        <w:t>（7）审计：基金托管人职责终止的，应当按照法律法规规定聘请符合《中华人民共和国证券法》规定的会计师事务所对基金财产进行审计，并将审计结果予以公告，同时报中国证监会备案，审计费用从基金财产中列支。</w:t>
      </w:r>
    </w:p>
    <w:p w14:paraId="28D6E26B"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（三）基金管理人与基金托管人同时更换</w:t>
      </w:r>
    </w:p>
    <w:p w14:paraId="37E1AC2D" w14:textId="77777777" w:rsidR="007A2E1E" w:rsidRDefault="00E63864">
      <w:pPr>
        <w:pStyle w:val="12"/>
        <w:spacing w:line="360" w:lineRule="auto"/>
        <w:ind w:firstLineChars="200" w:firstLine="480"/>
        <w:rPr>
          <w:rFonts w:ascii="宋体" w:hAnsi="宋体"/>
          <w:sz w:val="24"/>
        </w:rPr>
      </w:pPr>
      <w:bookmarkStart w:id="100" w:name="_Toc466788866"/>
      <w:bookmarkStart w:id="101" w:name="_Toc22454478"/>
      <w:bookmarkStart w:id="102" w:name="_Toc523830007"/>
      <w:bookmarkStart w:id="103" w:name="_Toc125892451"/>
      <w:r>
        <w:rPr>
          <w:rFonts w:ascii="宋体" w:hAnsi="宋体"/>
          <w:sz w:val="24"/>
        </w:rPr>
        <w:t>1、提名：如果基金管理人和基金托管人同时更换，由单独或合计持有基金总份额10%以上（含10%）的基金份额持有人提名新的基金管理人和基金托管人；</w:t>
      </w:r>
    </w:p>
    <w:p w14:paraId="346C0C50" w14:textId="77777777" w:rsidR="007A2E1E" w:rsidRDefault="00E63864">
      <w:pPr>
        <w:pStyle w:val="12"/>
        <w:spacing w:line="360" w:lineRule="auto"/>
        <w:ind w:firstLineChars="200" w:firstLine="480"/>
        <w:rPr>
          <w:rFonts w:ascii="宋体" w:hAnsi="宋体"/>
          <w:sz w:val="24"/>
        </w:rPr>
      </w:pPr>
      <w:r>
        <w:rPr>
          <w:rFonts w:ascii="宋体" w:hAnsi="宋体"/>
          <w:sz w:val="24"/>
        </w:rPr>
        <w:t>2、基金管理人和基金托管人的更换分别按上述程序进行；</w:t>
      </w:r>
    </w:p>
    <w:p w14:paraId="01564B14" w14:textId="77777777" w:rsidR="007A2E1E" w:rsidRDefault="00E63864">
      <w:pPr>
        <w:pStyle w:val="12"/>
        <w:spacing w:line="360" w:lineRule="auto"/>
        <w:ind w:left="1" w:firstLineChars="162" w:firstLine="389"/>
        <w:rPr>
          <w:rFonts w:ascii="宋体" w:hAnsi="宋体"/>
          <w:sz w:val="24"/>
        </w:rPr>
      </w:pPr>
      <w:r>
        <w:rPr>
          <w:rFonts w:ascii="宋体" w:hAnsi="宋体"/>
          <w:sz w:val="24"/>
        </w:rPr>
        <w:t>3、公告：新任基金管理人和新任基金托管人应在更换基金管理人和基金托管人的基金份额持有人大会决议生效后2日内在规定媒介上联合公告。</w:t>
      </w:r>
    </w:p>
    <w:p w14:paraId="1AB7EE8B" w14:textId="77777777" w:rsidR="007A2E1E" w:rsidRDefault="00E63864">
      <w:pPr>
        <w:pStyle w:val="12"/>
        <w:spacing w:line="360" w:lineRule="auto"/>
        <w:ind w:left="1" w:firstLineChars="162" w:firstLine="390"/>
        <w:rPr>
          <w:rFonts w:ascii="宋体"/>
          <w:bCs/>
          <w:sz w:val="24"/>
        </w:rPr>
      </w:pPr>
      <w:r>
        <w:rPr>
          <w:rFonts w:ascii="宋体"/>
          <w:b/>
          <w:bCs/>
          <w:sz w:val="24"/>
        </w:rPr>
        <w:t>（四）新任基金管理人或临时基金管理人接收基金管理业务，或新任基金托管人或临时基金托管人接收基金财产和基金托管业务前，原基金管理人或原基金托管人应依据法律法规和《基金合同》的约定继续履行相关职责，并保证不做出对基金份额持有人的利益造成损害的行为。原基金管理人或原基金托管人在继续履行相关职责期间，仍有权按照《基金合同》的约定收取基金管理费或基金托管费。</w:t>
      </w:r>
    </w:p>
    <w:p w14:paraId="479ADF13" w14:textId="77777777" w:rsidR="007A2E1E" w:rsidRDefault="00E63864">
      <w:pPr>
        <w:pStyle w:val="12"/>
        <w:spacing w:line="360" w:lineRule="auto"/>
        <w:ind w:left="1" w:firstLineChars="162" w:firstLine="390"/>
        <w:rPr>
          <w:rFonts w:ascii="宋体"/>
          <w:sz w:val="24"/>
        </w:rPr>
      </w:pPr>
      <w:r>
        <w:rPr>
          <w:rFonts w:ascii="宋体"/>
          <w:b/>
          <w:bCs/>
          <w:sz w:val="24"/>
        </w:rPr>
        <w:t>（五）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51DFA3D8" w14:textId="77777777" w:rsidR="007A2E1E" w:rsidRDefault="00E63864">
      <w:pPr>
        <w:pStyle w:val="112"/>
      </w:pPr>
      <w:bookmarkStart w:id="104" w:name="_Toc65161993"/>
      <w:r>
        <w:t>十五、禁止行为</w:t>
      </w:r>
      <w:bookmarkEnd w:id="100"/>
      <w:bookmarkEnd w:id="101"/>
      <w:bookmarkEnd w:id="102"/>
      <w:bookmarkEnd w:id="103"/>
      <w:bookmarkEnd w:id="104"/>
    </w:p>
    <w:p w14:paraId="45051B8D" w14:textId="77777777" w:rsidR="007A2E1E" w:rsidRDefault="00E63864">
      <w:pPr>
        <w:pStyle w:val="12"/>
        <w:spacing w:line="360" w:lineRule="auto"/>
        <w:ind w:firstLineChars="200" w:firstLine="480"/>
        <w:rPr>
          <w:rFonts w:ascii="宋体"/>
          <w:sz w:val="24"/>
        </w:rPr>
      </w:pPr>
      <w:r>
        <w:rPr>
          <w:rFonts w:ascii="宋体" w:hAnsi="宋体"/>
          <w:sz w:val="24"/>
        </w:rPr>
        <w:t>本协议项下的基金管理人和基金托管人禁止行为如下：</w:t>
      </w:r>
    </w:p>
    <w:p w14:paraId="04573FD3"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（一）《基金法》禁止的行为。</w:t>
      </w:r>
    </w:p>
    <w:p w14:paraId="3014C3FE"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（二）除非法律法规及中国证监会另有规定，托管协议当事人用基金财产从事《基金法》禁止的投资或活动。</w:t>
      </w:r>
    </w:p>
    <w:p w14:paraId="5028FA74"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（三）除《基金法》及其他有关法规、《基金合同》及中国证监会另有规定，基金管理人、基金托管人利用基金财产为自身和任何第三人谋取利益。</w:t>
      </w:r>
    </w:p>
    <w:p w14:paraId="3000A0B2"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（四）基金管理人与基金托管人对基金运作过程中任何尚未按有关法规规定的</w:t>
      </w:r>
      <w:r>
        <w:rPr>
          <w:rFonts w:ascii="宋体" w:hAnsi="宋体"/>
          <w:b/>
          <w:bCs/>
          <w:sz w:val="24"/>
        </w:rPr>
        <w:lastRenderedPageBreak/>
        <w:t>方式公开披露的信息，对他人泄露。</w:t>
      </w:r>
    </w:p>
    <w:p w14:paraId="0DE324B6"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（五）基金管理人在资金头寸不足的情况下，向基金托管人发送划款指令。</w:t>
      </w:r>
    </w:p>
    <w:p w14:paraId="74F491EE"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（六）在资金头寸充足且为基金托管人执行指令留出足够时间的情况下，基金托管人对基金管理人符合法律法规、《基金合同》、本协议的指令拖延或拒绝执行。</w:t>
      </w:r>
    </w:p>
    <w:p w14:paraId="1E4FAC48"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（七）除根据基金管理人指令或《基金合同》另有规定的，基金托管人动用或处分基金财产。</w:t>
      </w:r>
    </w:p>
    <w:p w14:paraId="2B3702F0"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（八）基金管理人与基金托管人为同一机构，或相互出资或者持有股份。基金托管人、基金管理人在行政上、财务上不独立，其高级基金管理人员或其他从业人员相互兼职。</w:t>
      </w:r>
    </w:p>
    <w:p w14:paraId="7A7EE115"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（九）《基金合同》投资限制中禁止投资的行为。</w:t>
      </w:r>
    </w:p>
    <w:p w14:paraId="0857AAC9"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（十）法律法规、《基金合同》和本协议禁止的其他行为。</w:t>
      </w:r>
    </w:p>
    <w:p w14:paraId="3CEE2A6A" w14:textId="77777777" w:rsidR="007A2E1E" w:rsidRDefault="00E63864">
      <w:pPr>
        <w:pStyle w:val="12"/>
        <w:spacing w:line="360" w:lineRule="auto"/>
        <w:ind w:firstLineChars="200" w:firstLine="480"/>
        <w:rPr>
          <w:rFonts w:ascii="宋体" w:hAnsi="宋体"/>
          <w:sz w:val="24"/>
        </w:rPr>
      </w:pPr>
      <w:r>
        <w:rPr>
          <w:rFonts w:ascii="宋体" w:hAnsi="宋体"/>
          <w:sz w:val="24"/>
        </w:rPr>
        <w:t>法律法规和监管部门取消或变更上述禁止性规定的，如适用于本基金，基金管理人在履行适当程序后，本基金不受上述相关限制或按照变更后的规定执行。</w:t>
      </w:r>
    </w:p>
    <w:p w14:paraId="709A5240" w14:textId="77777777" w:rsidR="007A2E1E" w:rsidRDefault="00E63864">
      <w:pPr>
        <w:pStyle w:val="112"/>
      </w:pPr>
      <w:bookmarkStart w:id="105" w:name="_Toc65161994"/>
      <w:bookmarkStart w:id="106" w:name="_Toc125892452"/>
      <w:bookmarkStart w:id="107" w:name="_Toc523830008"/>
      <w:bookmarkStart w:id="108" w:name="_Toc466788867"/>
      <w:bookmarkStart w:id="109" w:name="_Toc22454479"/>
      <w:r>
        <w:t>十六、基金托管协议的变更、终止与基金财产的清算</w:t>
      </w:r>
      <w:bookmarkEnd w:id="105"/>
      <w:bookmarkEnd w:id="106"/>
    </w:p>
    <w:p w14:paraId="545ABE33" w14:textId="77777777" w:rsidR="007A2E1E" w:rsidRDefault="00E63864">
      <w:pPr>
        <w:pStyle w:val="12"/>
        <w:tabs>
          <w:tab w:val="left" w:pos="3780"/>
        </w:tabs>
        <w:autoSpaceDE w:val="0"/>
        <w:autoSpaceDN w:val="0"/>
        <w:spacing w:before="156" w:after="156" w:line="360" w:lineRule="auto"/>
        <w:outlineLvl w:val="0"/>
        <w:rPr>
          <w:rFonts w:ascii="宋体"/>
          <w:b/>
          <w:bCs/>
          <w:sz w:val="24"/>
        </w:rPr>
      </w:pPr>
      <w:bookmarkStart w:id="110" w:name="_Toc510842757"/>
      <w:r>
        <w:rPr>
          <w:rFonts w:ascii="宋体" w:hAnsi="宋体"/>
          <w:b/>
          <w:bCs/>
          <w:sz w:val="24"/>
        </w:rPr>
        <w:t>（一）基金托管协议的变更</w:t>
      </w:r>
    </w:p>
    <w:bookmarkEnd w:id="110"/>
    <w:p w14:paraId="3502F6F2" w14:textId="77777777" w:rsidR="007A2E1E" w:rsidRDefault="00E63864">
      <w:pPr>
        <w:pStyle w:val="12"/>
        <w:spacing w:line="360" w:lineRule="auto"/>
        <w:ind w:firstLineChars="200" w:firstLine="480"/>
        <w:rPr>
          <w:rFonts w:ascii="宋体"/>
          <w:sz w:val="24"/>
        </w:rPr>
      </w:pPr>
      <w:r>
        <w:rPr>
          <w:rFonts w:ascii="宋体" w:hAnsi="宋体"/>
          <w:sz w:val="24"/>
        </w:rPr>
        <w:t>本协议双方当事人经协商一致，可以对协议进行修改。修改后的新协议，其内容不得与《基金合同》的规定有任何冲突。基金管理人应根据法律法规的规定履行备案程序或根据中国证监会的要求完成变更程序。</w:t>
      </w:r>
    </w:p>
    <w:p w14:paraId="2AE90894" w14:textId="77777777" w:rsidR="007A2E1E" w:rsidRDefault="00E63864">
      <w:pPr>
        <w:pStyle w:val="12"/>
        <w:tabs>
          <w:tab w:val="left" w:pos="3780"/>
        </w:tabs>
        <w:autoSpaceDE w:val="0"/>
        <w:autoSpaceDN w:val="0"/>
        <w:spacing w:before="156" w:after="156" w:line="360" w:lineRule="auto"/>
        <w:outlineLvl w:val="0"/>
        <w:rPr>
          <w:rFonts w:ascii="宋体"/>
          <w:b/>
          <w:bCs/>
          <w:sz w:val="24"/>
        </w:rPr>
      </w:pPr>
      <w:r>
        <w:rPr>
          <w:rFonts w:ascii="宋体" w:hAnsi="宋体"/>
          <w:b/>
          <w:bCs/>
          <w:sz w:val="24"/>
        </w:rPr>
        <w:t>（二）基金托管协议的终止</w:t>
      </w:r>
    </w:p>
    <w:p w14:paraId="0C668AE9" w14:textId="77777777" w:rsidR="007A2E1E" w:rsidRDefault="00E63864">
      <w:pPr>
        <w:pStyle w:val="12"/>
        <w:spacing w:line="360" w:lineRule="auto"/>
        <w:ind w:firstLineChars="200" w:firstLine="480"/>
        <w:rPr>
          <w:rFonts w:ascii="宋体"/>
          <w:sz w:val="24"/>
        </w:rPr>
      </w:pPr>
      <w:r>
        <w:rPr>
          <w:rFonts w:ascii="宋体" w:hAnsi="宋体"/>
          <w:sz w:val="24"/>
        </w:rPr>
        <w:t>1.《基金合同》终止；</w:t>
      </w:r>
    </w:p>
    <w:p w14:paraId="6A340204" w14:textId="77777777" w:rsidR="007A2E1E" w:rsidRDefault="00E63864">
      <w:pPr>
        <w:pStyle w:val="12"/>
        <w:spacing w:line="360" w:lineRule="auto"/>
        <w:ind w:firstLineChars="200" w:firstLine="480"/>
        <w:rPr>
          <w:rFonts w:ascii="宋体"/>
          <w:sz w:val="24"/>
        </w:rPr>
      </w:pPr>
      <w:r>
        <w:rPr>
          <w:rFonts w:ascii="宋体" w:hAnsi="宋体"/>
          <w:sz w:val="24"/>
        </w:rPr>
        <w:t>2.基金托管人解散、依法被撤销、破产，被依法取消基金托管资格或因其他事由造成其他基金托管人接管基金财产；</w:t>
      </w:r>
    </w:p>
    <w:p w14:paraId="6C888959" w14:textId="77777777" w:rsidR="007A2E1E" w:rsidRDefault="00E63864">
      <w:pPr>
        <w:pStyle w:val="12"/>
        <w:spacing w:line="360" w:lineRule="auto"/>
        <w:ind w:firstLineChars="200" w:firstLine="480"/>
        <w:rPr>
          <w:rFonts w:ascii="宋体"/>
          <w:sz w:val="24"/>
        </w:rPr>
      </w:pPr>
      <w:r>
        <w:rPr>
          <w:rFonts w:ascii="宋体" w:hAnsi="宋体"/>
          <w:sz w:val="24"/>
        </w:rPr>
        <w:t>3.基金管理人解散、依法被撤销、破产，被依法取消基金管理资格或因其他事由造成其他基金管理人接管基金管理权；</w:t>
      </w:r>
    </w:p>
    <w:p w14:paraId="09CBC1F0" w14:textId="77777777" w:rsidR="007A2E1E" w:rsidRDefault="00E63864">
      <w:pPr>
        <w:pStyle w:val="12"/>
        <w:spacing w:line="360" w:lineRule="auto"/>
        <w:ind w:firstLineChars="200" w:firstLine="480"/>
        <w:rPr>
          <w:rFonts w:ascii="宋体"/>
          <w:sz w:val="24"/>
        </w:rPr>
      </w:pPr>
      <w:r>
        <w:rPr>
          <w:rFonts w:ascii="宋体" w:hAnsi="宋体"/>
          <w:sz w:val="24"/>
        </w:rPr>
        <w:lastRenderedPageBreak/>
        <w:t>4.发生《基金法》、《运作办法》或其他法律法规规定的终止事项。</w:t>
      </w:r>
    </w:p>
    <w:p w14:paraId="53BB7799" w14:textId="77777777" w:rsidR="007A2E1E" w:rsidRDefault="00E63864">
      <w:pPr>
        <w:pStyle w:val="12"/>
        <w:tabs>
          <w:tab w:val="left" w:pos="3780"/>
        </w:tabs>
        <w:autoSpaceDE w:val="0"/>
        <w:autoSpaceDN w:val="0"/>
        <w:spacing w:before="156" w:after="156" w:line="360" w:lineRule="auto"/>
        <w:outlineLvl w:val="0"/>
        <w:rPr>
          <w:b/>
          <w:sz w:val="24"/>
        </w:rPr>
      </w:pPr>
      <w:r>
        <w:rPr>
          <w:b/>
          <w:sz w:val="24"/>
        </w:rPr>
        <w:t>（三）基金财产的清算</w:t>
      </w:r>
    </w:p>
    <w:p w14:paraId="27F86F2A" w14:textId="77777777" w:rsidR="007A2E1E" w:rsidRDefault="00E63864">
      <w:pPr>
        <w:pStyle w:val="12"/>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72E1108F" w14:textId="77777777" w:rsidR="007A2E1E" w:rsidRDefault="00E63864">
      <w:pPr>
        <w:pStyle w:val="12"/>
        <w:spacing w:line="360" w:lineRule="auto"/>
        <w:ind w:firstLineChars="200" w:firstLine="480"/>
        <w:rPr>
          <w:bCs/>
          <w:sz w:val="24"/>
        </w:rPr>
      </w:pPr>
      <w:r>
        <w:rPr>
          <w:bCs/>
          <w:sz w:val="24"/>
        </w:rPr>
        <w:t>2.</w:t>
      </w:r>
      <w:r>
        <w:rPr>
          <w:bCs/>
          <w:sz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72F86956" w14:textId="77777777" w:rsidR="007A2E1E" w:rsidRDefault="00E63864">
      <w:pPr>
        <w:pStyle w:val="12"/>
        <w:spacing w:line="360" w:lineRule="auto"/>
        <w:ind w:firstLineChars="200" w:firstLine="480"/>
        <w:rPr>
          <w:bCs/>
          <w:sz w:val="24"/>
          <w:szCs w:val="20"/>
        </w:rPr>
      </w:pPr>
      <w:r>
        <w:rPr>
          <w:bCs/>
          <w:sz w:val="24"/>
        </w:rPr>
        <w:t>3.</w:t>
      </w:r>
      <w:r>
        <w:rPr>
          <w:bCs/>
          <w:sz w:val="24"/>
        </w:rPr>
        <w:t>基金财产清算小组职责：基金财产清算小组负责基金财产的保管、清理、估价、变现和分配。基金财产清算小组可以依法进行必要的民事活动。</w:t>
      </w:r>
    </w:p>
    <w:p w14:paraId="255C9F77" w14:textId="77777777" w:rsidR="007A2E1E" w:rsidRDefault="00E63864">
      <w:pPr>
        <w:pStyle w:val="12"/>
        <w:spacing w:line="360" w:lineRule="auto"/>
        <w:ind w:firstLineChars="200" w:firstLine="480"/>
        <w:rPr>
          <w:bCs/>
          <w:sz w:val="24"/>
          <w:szCs w:val="20"/>
        </w:rPr>
      </w:pPr>
      <w:r>
        <w:rPr>
          <w:bCs/>
          <w:sz w:val="24"/>
          <w:szCs w:val="20"/>
        </w:rPr>
        <w:t>4.</w:t>
      </w:r>
      <w:r>
        <w:rPr>
          <w:bCs/>
          <w:sz w:val="24"/>
          <w:szCs w:val="20"/>
        </w:rPr>
        <w:t>基金财产清算程序：</w:t>
      </w:r>
    </w:p>
    <w:p w14:paraId="2E0DE8D1" w14:textId="77777777" w:rsidR="007A2E1E" w:rsidRDefault="00E63864">
      <w:pPr>
        <w:pStyle w:val="12"/>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655008D2" w14:textId="77777777" w:rsidR="007A2E1E" w:rsidRDefault="00E63864">
      <w:pPr>
        <w:pStyle w:val="12"/>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19E9730F" w14:textId="77777777" w:rsidR="007A2E1E" w:rsidRDefault="00E63864">
      <w:pPr>
        <w:pStyle w:val="12"/>
        <w:spacing w:line="360" w:lineRule="auto"/>
        <w:ind w:firstLineChars="200" w:firstLine="480"/>
        <w:rPr>
          <w:bCs/>
          <w:sz w:val="24"/>
        </w:rPr>
      </w:pPr>
      <w:r>
        <w:rPr>
          <w:bCs/>
          <w:sz w:val="24"/>
        </w:rPr>
        <w:t>（</w:t>
      </w:r>
      <w:r>
        <w:rPr>
          <w:bCs/>
          <w:sz w:val="24"/>
        </w:rPr>
        <w:t>3</w:t>
      </w:r>
      <w:r>
        <w:rPr>
          <w:bCs/>
          <w:sz w:val="24"/>
        </w:rPr>
        <w:t>）对基金财产进行估值和变现；</w:t>
      </w:r>
    </w:p>
    <w:p w14:paraId="4DA302B2" w14:textId="77777777" w:rsidR="007A2E1E" w:rsidRDefault="00E63864">
      <w:pPr>
        <w:pStyle w:val="12"/>
        <w:spacing w:line="360" w:lineRule="auto"/>
        <w:ind w:firstLineChars="200" w:firstLine="480"/>
        <w:rPr>
          <w:bCs/>
          <w:sz w:val="24"/>
        </w:rPr>
      </w:pPr>
      <w:r>
        <w:rPr>
          <w:bCs/>
          <w:sz w:val="24"/>
        </w:rPr>
        <w:t>（</w:t>
      </w:r>
      <w:r>
        <w:rPr>
          <w:bCs/>
          <w:sz w:val="24"/>
        </w:rPr>
        <w:t>4</w:t>
      </w:r>
      <w:r>
        <w:rPr>
          <w:bCs/>
          <w:sz w:val="24"/>
        </w:rPr>
        <w:t>）制作清算报告；</w:t>
      </w:r>
    </w:p>
    <w:p w14:paraId="02585ED1" w14:textId="77777777" w:rsidR="007A2E1E" w:rsidRDefault="00E63864">
      <w:pPr>
        <w:pStyle w:val="12"/>
        <w:spacing w:line="360" w:lineRule="auto"/>
        <w:ind w:firstLineChars="200" w:firstLine="480"/>
        <w:rPr>
          <w:bCs/>
          <w:sz w:val="24"/>
        </w:rPr>
      </w:pPr>
      <w:r>
        <w:rPr>
          <w:bCs/>
          <w:sz w:val="24"/>
        </w:rPr>
        <w:t>（</w:t>
      </w:r>
      <w:r>
        <w:rPr>
          <w:bCs/>
          <w:sz w:val="24"/>
        </w:rPr>
        <w:t>5</w:t>
      </w:r>
      <w:r>
        <w:rPr>
          <w:bCs/>
          <w:sz w:val="24"/>
        </w:rPr>
        <w:t>）聘请</w:t>
      </w:r>
      <w:r>
        <w:rPr>
          <w:rFonts w:ascii="宋体" w:hAnsi="宋体"/>
          <w:sz w:val="24"/>
        </w:rPr>
        <w:t>符合《中华人民共和国证券法》规定的</w:t>
      </w:r>
      <w:r>
        <w:rPr>
          <w:bCs/>
          <w:sz w:val="24"/>
        </w:rPr>
        <w:t>会计师事务所对清算报告进行外部审计，聘请律师事务所对清算报告出具法律意见书；</w:t>
      </w:r>
    </w:p>
    <w:p w14:paraId="0F45DC87" w14:textId="77777777" w:rsidR="007A2E1E" w:rsidRDefault="00E63864">
      <w:pPr>
        <w:pStyle w:val="12"/>
        <w:spacing w:line="360" w:lineRule="auto"/>
        <w:ind w:firstLineChars="200" w:firstLine="480"/>
        <w:rPr>
          <w:bCs/>
          <w:sz w:val="24"/>
        </w:rPr>
      </w:pPr>
      <w:r>
        <w:rPr>
          <w:bCs/>
          <w:sz w:val="24"/>
        </w:rPr>
        <w:t>（</w:t>
      </w:r>
      <w:r>
        <w:rPr>
          <w:bCs/>
          <w:sz w:val="24"/>
        </w:rPr>
        <w:t>6</w:t>
      </w:r>
      <w:r>
        <w:rPr>
          <w:bCs/>
          <w:sz w:val="24"/>
        </w:rPr>
        <w:t>）将清算报告报中国证监会备案并公告；</w:t>
      </w:r>
    </w:p>
    <w:p w14:paraId="1625969A" w14:textId="77777777" w:rsidR="007A2E1E" w:rsidRDefault="00E63864">
      <w:pPr>
        <w:pStyle w:val="12"/>
        <w:spacing w:line="360" w:lineRule="auto"/>
        <w:ind w:firstLineChars="200" w:firstLine="480"/>
        <w:rPr>
          <w:bCs/>
          <w:sz w:val="24"/>
        </w:rPr>
      </w:pPr>
      <w:r>
        <w:rPr>
          <w:bCs/>
          <w:sz w:val="24"/>
        </w:rPr>
        <w:t>（</w:t>
      </w:r>
      <w:r>
        <w:rPr>
          <w:bCs/>
          <w:sz w:val="24"/>
        </w:rPr>
        <w:t>7</w:t>
      </w:r>
      <w:r>
        <w:rPr>
          <w:bCs/>
          <w:sz w:val="24"/>
        </w:rPr>
        <w:t>）对基金剩余财产进行分配。</w:t>
      </w:r>
    </w:p>
    <w:p w14:paraId="1BD0ABD9" w14:textId="77777777" w:rsidR="007A2E1E" w:rsidRDefault="00E63864">
      <w:pPr>
        <w:pStyle w:val="12"/>
        <w:spacing w:line="360" w:lineRule="auto"/>
        <w:ind w:firstLineChars="200" w:firstLine="480"/>
        <w:rPr>
          <w:rFonts w:ascii="宋体" w:hAnsi="宋体"/>
          <w:sz w:val="24"/>
        </w:rPr>
      </w:pPr>
      <w:r>
        <w:rPr>
          <w:bCs/>
          <w:sz w:val="24"/>
        </w:rPr>
        <w:t>5.</w:t>
      </w:r>
      <w:r>
        <w:rPr>
          <w:bCs/>
          <w:sz w:val="24"/>
        </w:rPr>
        <w:t>基金财产清算的期限为</w:t>
      </w:r>
      <w:r>
        <w:rPr>
          <w:bCs/>
          <w:sz w:val="24"/>
        </w:rPr>
        <w:t>6</w:t>
      </w:r>
      <w:r>
        <w:rPr>
          <w:bCs/>
          <w:sz w:val="24"/>
        </w:rPr>
        <w:t>个月，但因本基金所持证券的流动性受到限制而不能及时变现的，清算期限相应顺延。</w:t>
      </w:r>
    </w:p>
    <w:p w14:paraId="590EB70A" w14:textId="77777777" w:rsidR="007A2E1E" w:rsidRDefault="00E63864">
      <w:pPr>
        <w:pStyle w:val="12"/>
        <w:spacing w:line="360" w:lineRule="auto"/>
        <w:ind w:firstLineChars="200" w:firstLine="480"/>
        <w:rPr>
          <w:rFonts w:ascii="宋体" w:hAnsi="宋体"/>
          <w:sz w:val="24"/>
        </w:rPr>
      </w:pPr>
      <w:r>
        <w:rPr>
          <w:rFonts w:ascii="宋体" w:hAnsi="宋体"/>
          <w:sz w:val="24"/>
        </w:rPr>
        <w:t>6.清算费用</w:t>
      </w:r>
    </w:p>
    <w:p w14:paraId="6E3AF31A" w14:textId="77777777" w:rsidR="007A2E1E" w:rsidRDefault="00E63864">
      <w:pPr>
        <w:pStyle w:val="12"/>
        <w:spacing w:line="360" w:lineRule="auto"/>
        <w:ind w:firstLineChars="200" w:firstLine="480"/>
        <w:rPr>
          <w:rFonts w:ascii="宋体" w:hAnsi="宋体"/>
          <w:sz w:val="24"/>
        </w:rPr>
      </w:pPr>
      <w:r>
        <w:rPr>
          <w:rFonts w:ascii="宋体" w:hAnsi="宋体"/>
          <w:sz w:val="24"/>
        </w:rPr>
        <w:t>清算费用是指基金财产清算小组在进行基金财产清算过程中发生的所有合理费用，清算费用由基金财产清算小组优先从基金剩余财产中支付。</w:t>
      </w:r>
    </w:p>
    <w:p w14:paraId="2C3A3800" w14:textId="77777777" w:rsidR="007A2E1E" w:rsidRDefault="00E63864">
      <w:pPr>
        <w:pStyle w:val="12"/>
        <w:spacing w:line="360" w:lineRule="auto"/>
        <w:ind w:firstLineChars="200" w:firstLine="480"/>
        <w:rPr>
          <w:rFonts w:ascii="宋体" w:hAnsi="宋体"/>
          <w:sz w:val="24"/>
        </w:rPr>
      </w:pPr>
      <w:r>
        <w:rPr>
          <w:rFonts w:ascii="宋体" w:hAnsi="宋体"/>
          <w:sz w:val="24"/>
        </w:rPr>
        <w:t>7.基金财产清算剩余资产的分配</w:t>
      </w:r>
    </w:p>
    <w:p w14:paraId="6D126D9B" w14:textId="77777777" w:rsidR="007A2E1E" w:rsidRDefault="00E63864">
      <w:pPr>
        <w:pStyle w:val="12"/>
        <w:spacing w:line="360" w:lineRule="auto"/>
        <w:ind w:firstLineChars="200" w:firstLine="480"/>
        <w:rPr>
          <w:rFonts w:ascii="宋体" w:hAnsi="宋体"/>
          <w:sz w:val="24"/>
        </w:rPr>
      </w:pPr>
      <w:r>
        <w:rPr>
          <w:rFonts w:ascii="宋体" w:hAnsi="宋体"/>
          <w:sz w:val="24"/>
        </w:rPr>
        <w:t>依据基金财产清算的分配方案，将基金财产清算后的全部剩余资产扣除基金财产清算费用、交纳所欠税款并清偿基金债务后，按基金份额持有人持有的</w:t>
      </w:r>
      <w:r>
        <w:rPr>
          <w:rFonts w:ascii="宋体" w:hAnsi="宋体" w:hint="eastAsia"/>
          <w:sz w:val="24"/>
        </w:rPr>
        <w:t>各类</w:t>
      </w:r>
      <w:r>
        <w:rPr>
          <w:rFonts w:ascii="宋体" w:hAnsi="宋体"/>
          <w:sz w:val="24"/>
        </w:rPr>
        <w:t>基金份额比例进行分配。</w:t>
      </w:r>
    </w:p>
    <w:p w14:paraId="6DE71A70" w14:textId="77777777" w:rsidR="007A2E1E" w:rsidRDefault="00E63864">
      <w:pPr>
        <w:pStyle w:val="12"/>
        <w:spacing w:line="360" w:lineRule="auto"/>
        <w:ind w:firstLineChars="200" w:firstLine="480"/>
        <w:rPr>
          <w:rFonts w:ascii="宋体" w:hAnsi="宋体"/>
          <w:sz w:val="24"/>
        </w:rPr>
      </w:pPr>
      <w:r>
        <w:rPr>
          <w:rFonts w:ascii="宋体" w:hAnsi="宋体"/>
          <w:sz w:val="24"/>
        </w:rPr>
        <w:t>8.基金财产清算的公告</w:t>
      </w:r>
    </w:p>
    <w:p w14:paraId="32309E4F" w14:textId="77777777" w:rsidR="007A2E1E" w:rsidRDefault="00E63864">
      <w:pPr>
        <w:pStyle w:val="12"/>
        <w:autoSpaceDE w:val="0"/>
        <w:autoSpaceDN w:val="0"/>
        <w:spacing w:line="360" w:lineRule="auto"/>
        <w:ind w:firstLine="420"/>
        <w:rPr>
          <w:rFonts w:ascii="宋体"/>
          <w:sz w:val="24"/>
        </w:rPr>
      </w:pPr>
      <w:r>
        <w:rPr>
          <w:rFonts w:ascii="宋体" w:hAnsi="宋体"/>
          <w:sz w:val="24"/>
        </w:rPr>
        <w:lastRenderedPageBreak/>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1F7B7C26" w14:textId="77777777" w:rsidR="007A2E1E" w:rsidRDefault="00E63864">
      <w:pPr>
        <w:pStyle w:val="12"/>
        <w:spacing w:line="360" w:lineRule="auto"/>
        <w:ind w:firstLineChars="200" w:firstLine="480"/>
        <w:rPr>
          <w:rFonts w:ascii="宋体"/>
          <w:sz w:val="24"/>
        </w:rPr>
      </w:pPr>
      <w:r>
        <w:rPr>
          <w:rFonts w:ascii="宋体" w:hAnsi="宋体"/>
          <w:sz w:val="24"/>
        </w:rPr>
        <w:t>9.基金财产清算账册及文件的保存</w:t>
      </w:r>
    </w:p>
    <w:p w14:paraId="70D5FB95" w14:textId="77777777" w:rsidR="007A2E1E" w:rsidRDefault="00E63864">
      <w:pPr>
        <w:pStyle w:val="12"/>
        <w:spacing w:line="360" w:lineRule="auto"/>
        <w:ind w:firstLineChars="200" w:firstLine="480"/>
        <w:rPr>
          <w:rFonts w:ascii="宋体"/>
          <w:sz w:val="24"/>
        </w:rPr>
      </w:pPr>
      <w:r>
        <w:rPr>
          <w:rFonts w:ascii="宋体" w:hAnsi="宋体"/>
          <w:sz w:val="24"/>
        </w:rPr>
        <w:t>基金财产清算账册及有关文件由基金托管人保存，保存期限不少于法定最低期限。</w:t>
      </w:r>
    </w:p>
    <w:p w14:paraId="372F4340" w14:textId="77777777" w:rsidR="007A2E1E" w:rsidRDefault="00E63864">
      <w:pPr>
        <w:pStyle w:val="112"/>
      </w:pPr>
      <w:bookmarkStart w:id="111" w:name="_Toc125892453"/>
      <w:bookmarkStart w:id="112" w:name="_Toc65161995"/>
      <w:r>
        <w:t>十七、违约责任</w:t>
      </w:r>
      <w:bookmarkEnd w:id="107"/>
      <w:bookmarkEnd w:id="108"/>
      <w:bookmarkEnd w:id="109"/>
      <w:bookmarkEnd w:id="111"/>
      <w:bookmarkEnd w:id="112"/>
    </w:p>
    <w:p w14:paraId="2712A874" w14:textId="77777777" w:rsidR="007A2E1E" w:rsidRDefault="00E63864">
      <w:pPr>
        <w:pStyle w:val="12"/>
        <w:tabs>
          <w:tab w:val="left" w:pos="3780"/>
        </w:tabs>
        <w:autoSpaceDE w:val="0"/>
        <w:autoSpaceDN w:val="0"/>
        <w:spacing w:before="156" w:after="156" w:line="360" w:lineRule="auto"/>
        <w:outlineLvl w:val="0"/>
        <w:rPr>
          <w:b/>
          <w:sz w:val="24"/>
        </w:rPr>
      </w:pPr>
      <w:r>
        <w:rPr>
          <w:b/>
          <w:sz w:val="24"/>
        </w:rPr>
        <w:t>（一）基金管理人或基金托管人不履行本协议或履行本协议不符合约定的，应当承担违约责任。</w:t>
      </w:r>
    </w:p>
    <w:p w14:paraId="508AB35A" w14:textId="77777777" w:rsidR="007A2E1E" w:rsidRDefault="00E63864">
      <w:pPr>
        <w:pStyle w:val="12"/>
        <w:tabs>
          <w:tab w:val="left" w:pos="3780"/>
        </w:tabs>
        <w:autoSpaceDE w:val="0"/>
        <w:autoSpaceDN w:val="0"/>
        <w:spacing w:before="156" w:after="156" w:line="360" w:lineRule="auto"/>
        <w:outlineLvl w:val="0"/>
        <w:rPr>
          <w:b/>
          <w:sz w:val="24"/>
        </w:rPr>
      </w:pPr>
      <w:r>
        <w:rPr>
          <w:b/>
          <w:sz w:val="24"/>
        </w:rPr>
        <w:t>（二）</w:t>
      </w:r>
      <w:bookmarkStart w:id="113" w:name="OLE_LINK3"/>
      <w:r>
        <w:rPr>
          <w:b/>
          <w:sz w:val="24"/>
        </w:rPr>
        <w:t>基金管理人、基金托管人在履行各自职责的过程中，违反《基金法》等法律法规的规定或者本托管协议</w:t>
      </w:r>
      <w:r>
        <w:rPr>
          <w:rFonts w:ascii="宋体" w:hAnsi="宋体"/>
          <w:b/>
          <w:bCs/>
          <w:sz w:val="24"/>
        </w:rPr>
        <w:t>约定</w:t>
      </w:r>
      <w:r>
        <w:rPr>
          <w:b/>
          <w:sz w:val="24"/>
        </w:rPr>
        <w:t>，给基金财产或者基金份额持有人造成损害的，应当分别对各自的行为依法承担赔偿责任；因共同行为给基金财产或者基金份额持有人造成损害的，应当承担连带赔偿责任，对损失的赔偿，仅限于直接损失。</w:t>
      </w:r>
      <w:bookmarkEnd w:id="113"/>
      <w:r>
        <w:rPr>
          <w:b/>
          <w:sz w:val="24"/>
        </w:rPr>
        <w:t>但是发生下列情况，当事人应当免责：</w:t>
      </w:r>
    </w:p>
    <w:p w14:paraId="52587065" w14:textId="77777777" w:rsidR="007A2E1E" w:rsidRDefault="00E63864">
      <w:pPr>
        <w:pStyle w:val="12"/>
        <w:spacing w:line="360" w:lineRule="auto"/>
        <w:ind w:firstLineChars="200" w:firstLine="480"/>
        <w:rPr>
          <w:rFonts w:ascii="宋体"/>
          <w:sz w:val="24"/>
        </w:rPr>
      </w:pPr>
      <w:r>
        <w:rPr>
          <w:rFonts w:ascii="宋体" w:hAnsi="宋体"/>
          <w:sz w:val="24"/>
        </w:rPr>
        <w:t>1.基金管理人和/或基金托管人按照中国证监会的规定或当时有效的法律法规作为或不作为而造成的损失等；</w:t>
      </w:r>
    </w:p>
    <w:p w14:paraId="153E98FD" w14:textId="77777777" w:rsidR="007A2E1E" w:rsidRDefault="00E63864">
      <w:pPr>
        <w:pStyle w:val="12"/>
        <w:spacing w:line="360" w:lineRule="auto"/>
        <w:ind w:firstLineChars="200" w:firstLine="480"/>
        <w:rPr>
          <w:rFonts w:ascii="宋体"/>
          <w:sz w:val="24"/>
        </w:rPr>
      </w:pPr>
      <w:r>
        <w:rPr>
          <w:rFonts w:ascii="宋体" w:hAnsi="宋体"/>
          <w:sz w:val="24"/>
        </w:rPr>
        <w:t>2.基金管理人由于按照《基金合同》规定的投资原则而投资或不投资而造成的损失等；</w:t>
      </w:r>
    </w:p>
    <w:p w14:paraId="7FF7A7F9" w14:textId="77777777" w:rsidR="007A2E1E" w:rsidRDefault="00E63864">
      <w:pPr>
        <w:pStyle w:val="12"/>
        <w:spacing w:line="360" w:lineRule="auto"/>
        <w:ind w:firstLineChars="200" w:firstLine="480"/>
        <w:rPr>
          <w:rFonts w:ascii="宋体"/>
          <w:sz w:val="24"/>
        </w:rPr>
      </w:pPr>
      <w:r>
        <w:rPr>
          <w:rFonts w:ascii="宋体" w:hAnsi="宋体"/>
          <w:sz w:val="24"/>
        </w:rPr>
        <w:t>3.不可抗力。</w:t>
      </w:r>
    </w:p>
    <w:p w14:paraId="147F8B3C" w14:textId="77777777" w:rsidR="007A2E1E" w:rsidRDefault="00E63864">
      <w:pPr>
        <w:pStyle w:val="12"/>
        <w:spacing w:line="360" w:lineRule="auto"/>
        <w:ind w:firstLineChars="200" w:firstLine="480"/>
        <w:rPr>
          <w:rFonts w:ascii="宋体"/>
          <w:sz w:val="24"/>
        </w:rPr>
      </w:pPr>
      <w:r>
        <w:rPr>
          <w:rFonts w:ascii="宋体" w:hAnsi="宋体"/>
          <w:sz w:val="24"/>
        </w:rPr>
        <w:t>如果由于本协议一方当事人（“违约方”）的违约行为给基金资产或基金投资者造成损失，而另一方当事人（“守约方”）赔偿了基金资产或基金投资者的损失，则守约方有权向违约方追索由此遭受的所有直接损失。</w:t>
      </w:r>
    </w:p>
    <w:p w14:paraId="36EFACFC" w14:textId="77777777" w:rsidR="007A2E1E" w:rsidRDefault="00E63864">
      <w:pPr>
        <w:pStyle w:val="12"/>
        <w:spacing w:line="360" w:lineRule="auto"/>
        <w:ind w:firstLineChars="200" w:firstLine="480"/>
        <w:rPr>
          <w:rFonts w:ascii="宋体"/>
          <w:sz w:val="24"/>
        </w:rPr>
      </w:pPr>
      <w:r>
        <w:rPr>
          <w:rFonts w:ascii="宋体" w:hAnsi="宋体"/>
          <w:sz w:val="24"/>
        </w:rPr>
        <w:t>当事人一方违约，另一方在职责范围内有义务及时采取必要的措施，尽力防止损失的扩大。没有采取适当措施致使损失进一步扩大的，不得就扩大的损失要求赔偿。守约方因防止损失扩大而支出的合理费用由违约方承担。</w:t>
      </w:r>
    </w:p>
    <w:p w14:paraId="713E8802" w14:textId="77777777" w:rsidR="007A2E1E" w:rsidRDefault="00E63864">
      <w:pPr>
        <w:pStyle w:val="12"/>
        <w:spacing w:line="360" w:lineRule="auto"/>
        <w:ind w:firstLineChars="200" w:firstLine="480"/>
        <w:rPr>
          <w:rFonts w:ascii="宋体"/>
          <w:sz w:val="24"/>
        </w:rPr>
      </w:pPr>
      <w:r>
        <w:rPr>
          <w:rFonts w:ascii="宋体" w:hAnsi="宋体"/>
          <w:sz w:val="24"/>
        </w:rPr>
        <w:t>由于基金管理人、基金托管人不可控制的因素导致业务出现差错，基金管</w:t>
      </w:r>
      <w:r>
        <w:rPr>
          <w:rFonts w:ascii="宋体" w:hAnsi="宋体"/>
          <w:sz w:val="24"/>
        </w:rPr>
        <w:lastRenderedPageBreak/>
        <w:t>理人和基金托管人虽然已经采取必要、适当、合理的措施进行检查，但是未能发现该错误的，由此造成基金资产或基金投资者损失，基金管理人和基金托管人免除赔偿责任。但基金管理人和基金托管人应当积极采取必要的措施消除或降低由此造成的影响。</w:t>
      </w:r>
    </w:p>
    <w:p w14:paraId="4CC8B9AE" w14:textId="77777777" w:rsidR="007A2E1E" w:rsidRDefault="00E63864">
      <w:pPr>
        <w:pStyle w:val="12"/>
        <w:tabs>
          <w:tab w:val="left" w:pos="3780"/>
        </w:tabs>
        <w:autoSpaceDE w:val="0"/>
        <w:autoSpaceDN w:val="0"/>
        <w:spacing w:before="156" w:after="156" w:line="360" w:lineRule="auto"/>
        <w:outlineLvl w:val="0"/>
        <w:rPr>
          <w:b/>
          <w:sz w:val="24"/>
        </w:rPr>
      </w:pPr>
      <w:r>
        <w:rPr>
          <w:b/>
          <w:sz w:val="24"/>
        </w:rPr>
        <w:t>（三）托管</w:t>
      </w:r>
      <w:r>
        <w:rPr>
          <w:rFonts w:ascii="宋体" w:hAnsi="宋体"/>
          <w:b/>
          <w:bCs/>
          <w:sz w:val="24"/>
        </w:rPr>
        <w:t>协议</w:t>
      </w:r>
      <w:r>
        <w:rPr>
          <w:b/>
          <w:sz w:val="24"/>
        </w:rPr>
        <w:t>当事人违反托管协议，给另一方当事人造成损失的，应承担赔偿责任。</w:t>
      </w:r>
    </w:p>
    <w:p w14:paraId="3FF73E42" w14:textId="77777777" w:rsidR="007A2E1E" w:rsidRDefault="00E63864">
      <w:pPr>
        <w:pStyle w:val="12"/>
        <w:tabs>
          <w:tab w:val="left" w:pos="3780"/>
        </w:tabs>
        <w:autoSpaceDE w:val="0"/>
        <w:autoSpaceDN w:val="0"/>
        <w:spacing w:before="156" w:after="156" w:line="360" w:lineRule="auto"/>
        <w:outlineLvl w:val="0"/>
        <w:rPr>
          <w:b/>
          <w:sz w:val="24"/>
        </w:rPr>
      </w:pPr>
      <w:r>
        <w:rPr>
          <w:b/>
          <w:sz w:val="24"/>
        </w:rPr>
        <w:t>（四）违约行为虽已发生，但本托管协议能够继续履行的，在最大限度地保护基金份额持有人</w:t>
      </w:r>
      <w:r>
        <w:rPr>
          <w:rFonts w:ascii="宋体" w:hAnsi="宋体"/>
          <w:b/>
          <w:bCs/>
          <w:sz w:val="24"/>
        </w:rPr>
        <w:t>利益</w:t>
      </w:r>
      <w:r>
        <w:rPr>
          <w:b/>
          <w:sz w:val="24"/>
        </w:rPr>
        <w:t>的前提下，基金管理人和基金托管人应当继续履行本协议。</w:t>
      </w:r>
      <w:bookmarkStart w:id="114" w:name="_Toc466788868"/>
      <w:bookmarkStart w:id="115" w:name="_Toc523830010"/>
      <w:bookmarkStart w:id="116" w:name="_Toc22454480"/>
      <w:bookmarkStart w:id="117" w:name="_Toc125892454"/>
    </w:p>
    <w:p w14:paraId="2BBB819A" w14:textId="77777777" w:rsidR="007A2E1E" w:rsidRDefault="00E63864">
      <w:pPr>
        <w:pStyle w:val="12"/>
        <w:tabs>
          <w:tab w:val="left" w:pos="3780"/>
        </w:tabs>
        <w:autoSpaceDE w:val="0"/>
        <w:autoSpaceDN w:val="0"/>
        <w:spacing w:before="156" w:after="156" w:line="360" w:lineRule="auto"/>
        <w:outlineLvl w:val="0"/>
        <w:rPr>
          <w:b/>
          <w:sz w:val="24"/>
        </w:rPr>
      </w:pPr>
      <w:r>
        <w:rPr>
          <w:b/>
          <w:sz w:val="24"/>
        </w:rPr>
        <w:t>（五）本协议所指损失均为直接损失。</w:t>
      </w:r>
    </w:p>
    <w:p w14:paraId="6AADBAD9" w14:textId="77777777" w:rsidR="007A2E1E" w:rsidRDefault="00E63864">
      <w:pPr>
        <w:pStyle w:val="112"/>
      </w:pPr>
      <w:bookmarkStart w:id="118" w:name="_Toc65161996"/>
      <w:r>
        <w:t>十八、争议</w:t>
      </w:r>
      <w:bookmarkEnd w:id="114"/>
      <w:bookmarkEnd w:id="115"/>
      <w:bookmarkEnd w:id="116"/>
      <w:r>
        <w:t>解决方式</w:t>
      </w:r>
      <w:bookmarkEnd w:id="117"/>
      <w:bookmarkEnd w:id="118"/>
    </w:p>
    <w:p w14:paraId="340E4545" w14:textId="77777777" w:rsidR="007A2E1E" w:rsidRDefault="00E63864">
      <w:pPr>
        <w:pStyle w:val="12"/>
        <w:spacing w:line="360" w:lineRule="auto"/>
        <w:ind w:firstLineChars="200" w:firstLine="480"/>
        <w:rPr>
          <w:rFonts w:ascii="宋体"/>
          <w:sz w:val="24"/>
        </w:rPr>
      </w:pPr>
      <w:r>
        <w:rPr>
          <w:rFonts w:ascii="宋体" w:hAnsi="宋体"/>
          <w:sz w:val="24"/>
        </w:rPr>
        <w:t>双方当事人同意，因本协议而产生的或与本协议有关的一切争议，应通过友好协商或者调解解决。托管协议当事人不愿通过协商、调解解决或者协商、调解不成的，任何一方当事人均有权将争议提交上海国际经济贸易仲裁委员会，根据该会届时有效的仲裁规则进行仲裁，仲裁的地点在上海市，仲裁裁决是终局的，并对相关各方当事人均有约束力。除非仲裁裁决另有决定，仲裁费用由败诉方承担。</w:t>
      </w:r>
    </w:p>
    <w:p w14:paraId="0DCC309B" w14:textId="77777777" w:rsidR="007A2E1E" w:rsidRDefault="00E63864">
      <w:pPr>
        <w:pStyle w:val="12"/>
        <w:spacing w:line="360" w:lineRule="auto"/>
        <w:ind w:firstLineChars="200" w:firstLine="480"/>
        <w:rPr>
          <w:rFonts w:ascii="宋体"/>
          <w:sz w:val="24"/>
        </w:rPr>
      </w:pPr>
      <w:r>
        <w:rPr>
          <w:rFonts w:ascii="宋体" w:hAnsi="宋体"/>
          <w:sz w:val="24"/>
        </w:rPr>
        <w:t>争议处理期间，双方当事人应恪守基金管理人和基金托管人职责，继续忠实、勤勉、尽责地履行《基金合同》和本协议规定的义务，维护基金份额持有人的合法权益。</w:t>
      </w:r>
    </w:p>
    <w:p w14:paraId="54051CE3" w14:textId="77777777" w:rsidR="007A2E1E" w:rsidRDefault="00E63864">
      <w:pPr>
        <w:pStyle w:val="12"/>
        <w:spacing w:line="360" w:lineRule="auto"/>
        <w:ind w:firstLineChars="200" w:firstLine="480"/>
        <w:rPr>
          <w:rFonts w:ascii="宋体"/>
          <w:sz w:val="24"/>
        </w:rPr>
      </w:pPr>
      <w:r>
        <w:rPr>
          <w:rFonts w:ascii="宋体" w:hAnsi="宋体"/>
          <w:sz w:val="24"/>
        </w:rPr>
        <w:t>本协议受中华人民共和国法律（为本协议之目的，在此不包括香港、澳门特别行政区和台湾地区法律）管辖并从其解释。</w:t>
      </w:r>
      <w:bookmarkStart w:id="119" w:name="_Toc466788869"/>
      <w:bookmarkStart w:id="120" w:name="_Toc523830011"/>
      <w:bookmarkStart w:id="121" w:name="_Toc125892455"/>
      <w:bookmarkStart w:id="122" w:name="_Toc22454481"/>
    </w:p>
    <w:p w14:paraId="4C07F3BD" w14:textId="77777777" w:rsidR="007A2E1E" w:rsidRDefault="00E63864">
      <w:pPr>
        <w:pStyle w:val="112"/>
      </w:pPr>
      <w:bookmarkStart w:id="123" w:name="_Toc65161997"/>
      <w:r>
        <w:t>十九、基金托管协议的效力</w:t>
      </w:r>
      <w:bookmarkEnd w:id="119"/>
      <w:bookmarkEnd w:id="120"/>
      <w:bookmarkEnd w:id="121"/>
      <w:bookmarkEnd w:id="122"/>
      <w:bookmarkEnd w:id="123"/>
    </w:p>
    <w:p w14:paraId="0297F95F" w14:textId="77777777" w:rsidR="007A2E1E" w:rsidRDefault="00E63864">
      <w:pPr>
        <w:pStyle w:val="12"/>
        <w:tabs>
          <w:tab w:val="left" w:pos="3780"/>
        </w:tabs>
        <w:autoSpaceDE w:val="0"/>
        <w:autoSpaceDN w:val="0"/>
        <w:spacing w:before="156" w:after="156" w:line="360" w:lineRule="auto"/>
        <w:outlineLvl w:val="0"/>
        <w:rPr>
          <w:b/>
          <w:sz w:val="24"/>
        </w:rPr>
      </w:pPr>
      <w:r>
        <w:rPr>
          <w:b/>
          <w:sz w:val="24"/>
        </w:rPr>
        <w:t>（一）基金管理人在向中国证监会申请募集注册时提交的基金托管协议草案，应经托管协议当事人双方盖章以及双方法定代表人或授权代表签字或盖章，协议当事人双方根据中国证监会的意见修改托管协议草案。托管协议以报中国证监会注册的文本为正式文本。</w:t>
      </w:r>
    </w:p>
    <w:p w14:paraId="4562B2B3" w14:textId="77777777" w:rsidR="007A2E1E" w:rsidRDefault="00E63864">
      <w:pPr>
        <w:pStyle w:val="12"/>
        <w:tabs>
          <w:tab w:val="left" w:pos="3780"/>
        </w:tabs>
        <w:autoSpaceDE w:val="0"/>
        <w:autoSpaceDN w:val="0"/>
        <w:spacing w:before="156" w:after="156" w:line="360" w:lineRule="auto"/>
        <w:outlineLvl w:val="0"/>
        <w:rPr>
          <w:b/>
          <w:sz w:val="24"/>
        </w:rPr>
      </w:pPr>
      <w:r>
        <w:rPr>
          <w:b/>
          <w:sz w:val="24"/>
        </w:rPr>
        <w:t>（二）基金托管协议自《基金合同》成立之日起成立，自《基金合同》生效之</w:t>
      </w:r>
      <w:r>
        <w:rPr>
          <w:b/>
          <w:sz w:val="24"/>
        </w:rPr>
        <w:lastRenderedPageBreak/>
        <w:t>日起生效。基金</w:t>
      </w:r>
      <w:r>
        <w:rPr>
          <w:rFonts w:ascii="宋体" w:hAnsi="宋体"/>
          <w:b/>
          <w:bCs/>
          <w:sz w:val="24"/>
        </w:rPr>
        <w:t>托管</w:t>
      </w:r>
      <w:r>
        <w:rPr>
          <w:b/>
          <w:sz w:val="24"/>
        </w:rPr>
        <w:t>协议的有效期自其生效之日起至基金财产清算结果报中国证监会备案并公告之日止。</w:t>
      </w:r>
    </w:p>
    <w:p w14:paraId="197FABFB" w14:textId="77777777" w:rsidR="007A2E1E" w:rsidRDefault="00E63864">
      <w:pPr>
        <w:pStyle w:val="12"/>
        <w:tabs>
          <w:tab w:val="left" w:pos="3780"/>
        </w:tabs>
        <w:autoSpaceDE w:val="0"/>
        <w:autoSpaceDN w:val="0"/>
        <w:spacing w:before="156" w:after="156" w:line="360" w:lineRule="auto"/>
        <w:outlineLvl w:val="0"/>
        <w:rPr>
          <w:b/>
          <w:sz w:val="24"/>
        </w:rPr>
      </w:pPr>
      <w:r>
        <w:rPr>
          <w:b/>
          <w:sz w:val="24"/>
        </w:rPr>
        <w:t>（三）基金托管</w:t>
      </w:r>
      <w:r>
        <w:rPr>
          <w:rFonts w:ascii="宋体" w:hAnsi="宋体"/>
          <w:b/>
          <w:bCs/>
          <w:sz w:val="24"/>
        </w:rPr>
        <w:t>协议</w:t>
      </w:r>
      <w:r>
        <w:rPr>
          <w:b/>
          <w:sz w:val="24"/>
        </w:rPr>
        <w:t>自生效之日起对托管协议当事人具有同等的法律约束力。</w:t>
      </w:r>
    </w:p>
    <w:p w14:paraId="3F7F3CC5" w14:textId="77777777" w:rsidR="007A2E1E" w:rsidRDefault="00E63864">
      <w:pPr>
        <w:pStyle w:val="12"/>
        <w:tabs>
          <w:tab w:val="left" w:pos="3780"/>
        </w:tabs>
        <w:autoSpaceDE w:val="0"/>
        <w:autoSpaceDN w:val="0"/>
        <w:spacing w:before="156" w:after="156" w:line="360" w:lineRule="auto"/>
        <w:outlineLvl w:val="0"/>
        <w:rPr>
          <w:b/>
          <w:sz w:val="24"/>
        </w:rPr>
      </w:pPr>
      <w:r>
        <w:rPr>
          <w:b/>
          <w:sz w:val="24"/>
        </w:rPr>
        <w:t>（四）基金托管</w:t>
      </w:r>
      <w:r>
        <w:rPr>
          <w:rFonts w:ascii="宋体" w:hAnsi="宋体"/>
          <w:b/>
          <w:bCs/>
          <w:sz w:val="24"/>
        </w:rPr>
        <w:t>协议正本</w:t>
      </w:r>
      <w:r>
        <w:rPr>
          <w:b/>
          <w:sz w:val="24"/>
        </w:rPr>
        <w:t>一式</w:t>
      </w:r>
      <w:r>
        <w:rPr>
          <w:b/>
          <w:sz w:val="24"/>
        </w:rPr>
        <w:t>3</w:t>
      </w:r>
      <w:r>
        <w:rPr>
          <w:b/>
          <w:sz w:val="24"/>
        </w:rPr>
        <w:t>份，除上报有关监管机构一式</w:t>
      </w:r>
      <w:r>
        <w:rPr>
          <w:b/>
          <w:sz w:val="24"/>
        </w:rPr>
        <w:t>1</w:t>
      </w:r>
      <w:r>
        <w:rPr>
          <w:b/>
          <w:sz w:val="24"/>
        </w:rPr>
        <w:t>份外，基金管理人和基金托管人各持有</w:t>
      </w:r>
      <w:r>
        <w:rPr>
          <w:b/>
          <w:sz w:val="24"/>
        </w:rPr>
        <w:t>1</w:t>
      </w:r>
      <w:r>
        <w:rPr>
          <w:b/>
          <w:sz w:val="24"/>
        </w:rPr>
        <w:t>份，每份具有同等的法律效力。</w:t>
      </w:r>
    </w:p>
    <w:p w14:paraId="63EFDF16" w14:textId="77777777" w:rsidR="007A2E1E" w:rsidRDefault="00E63864">
      <w:pPr>
        <w:pStyle w:val="112"/>
      </w:pPr>
      <w:bookmarkStart w:id="124" w:name="_Toc65161998"/>
      <w:r>
        <w:t>二十、其他事项</w:t>
      </w:r>
      <w:bookmarkEnd w:id="124"/>
    </w:p>
    <w:p w14:paraId="5E9E73FA" w14:textId="77777777" w:rsidR="007A2E1E" w:rsidRDefault="00E63864">
      <w:pPr>
        <w:pStyle w:val="12"/>
        <w:spacing w:line="360" w:lineRule="auto"/>
        <w:ind w:firstLineChars="200" w:firstLine="480"/>
        <w:rPr>
          <w:rFonts w:ascii="宋体" w:hAnsi="宋体"/>
          <w:sz w:val="24"/>
        </w:rPr>
      </w:pPr>
      <w:r>
        <w:rPr>
          <w:rFonts w:ascii="宋体" w:hAnsi="宋体"/>
          <w:sz w:val="24"/>
        </w:rPr>
        <w:t>本协议未尽事宜，当事人依据基金合同、有关法律法规等规定协商办理。</w:t>
      </w:r>
    </w:p>
    <w:p w14:paraId="646309CF" w14:textId="77777777" w:rsidR="007A2E1E" w:rsidRDefault="00E63864">
      <w:pPr>
        <w:pStyle w:val="112"/>
      </w:pPr>
      <w:bookmarkStart w:id="125" w:name="_Toc22454484"/>
      <w:bookmarkStart w:id="126" w:name="_Toc65161999"/>
      <w:bookmarkStart w:id="127" w:name="_Toc523830014"/>
      <w:r>
        <w:t>二十一、基金托管协议的签订</w:t>
      </w:r>
      <w:bookmarkEnd w:id="125"/>
      <w:bookmarkEnd w:id="126"/>
      <w:bookmarkEnd w:id="127"/>
    </w:p>
    <w:p w14:paraId="7F9DAAB6" w14:textId="77777777" w:rsidR="007A2E1E" w:rsidRDefault="007A2E1E">
      <w:pPr>
        <w:pStyle w:val="12"/>
      </w:pPr>
    </w:p>
    <w:sectPr w:rsidR="007A2E1E" w:rsidSect="00332E1A">
      <w:headerReference w:type="default" r:id="rId11"/>
      <w:footerReference w:type="default" r:id="rId12"/>
      <w:pgSz w:w="11906" w:h="16838"/>
      <w:pgMar w:top="1440" w:right="1797" w:bottom="1440" w:left="1797" w:header="851" w:footer="992" w:gutter="0"/>
      <w:pgNumType w:start="0"/>
      <w:cols w:space="1701"/>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19CEB" w14:textId="77777777" w:rsidR="00036969" w:rsidRDefault="00036969">
      <w:r>
        <w:separator/>
      </w:r>
    </w:p>
  </w:endnote>
  <w:endnote w:type="continuationSeparator" w:id="0">
    <w:p w14:paraId="349714E0" w14:textId="77777777" w:rsidR="00036969" w:rsidRDefault="00036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3883C" w14:textId="77777777" w:rsidR="007A2E1E" w:rsidRDefault="00E63864">
    <w:pPr>
      <w:pStyle w:val="1b"/>
      <w:snapToGrid/>
      <w:rPr>
        <w:rStyle w:val="1e"/>
      </w:rPr>
    </w:pPr>
    <w:r>
      <w:rPr>
        <w:rStyle w:val="1e"/>
      </w:rPr>
      <w:fldChar w:fldCharType="begin"/>
    </w:r>
    <w:r>
      <w:rPr>
        <w:rStyle w:val="1e"/>
      </w:rPr>
      <w:instrText xml:space="preserve">PAGE  </w:instrText>
    </w:r>
    <w:r>
      <w:rPr>
        <w:rStyle w:val="1e"/>
      </w:rPr>
      <w:fldChar w:fldCharType="end"/>
    </w:r>
  </w:p>
  <w:p w14:paraId="58554836" w14:textId="77777777" w:rsidR="007A2E1E" w:rsidRDefault="007A2E1E">
    <w:pPr>
      <w:pStyle w:val="1b"/>
      <w:snapToGri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36F2" w14:textId="77777777" w:rsidR="007A2E1E" w:rsidRDefault="007A2E1E">
    <w:pPr>
      <w:pStyle w:val="1b"/>
      <w:snapToGrid/>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22919" w14:textId="77777777" w:rsidR="007A2E1E" w:rsidRDefault="00E63864">
    <w:pPr>
      <w:pStyle w:val="1b"/>
      <w:snapToGrid/>
      <w:ind w:right="360"/>
      <w:jc w:val="center"/>
    </w:pPr>
    <w:r>
      <w:rPr>
        <w:rStyle w:val="1e"/>
      </w:rPr>
      <w:fldChar w:fldCharType="begin"/>
    </w:r>
    <w:r>
      <w:rPr>
        <w:rStyle w:val="1e"/>
      </w:rPr>
      <w:instrText xml:space="preserve">PAGE  </w:instrText>
    </w:r>
    <w:r>
      <w:rPr>
        <w:rStyle w:val="1e"/>
      </w:rPr>
      <w:fldChar w:fldCharType="separate"/>
    </w:r>
    <w:r w:rsidR="00332E1A">
      <w:rPr>
        <w:rStyle w:val="1e"/>
        <w:noProof/>
      </w:rPr>
      <w:t>38</w:t>
    </w:r>
    <w:r>
      <w:rPr>
        <w:rStyle w:val="1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374262" w14:textId="77777777" w:rsidR="00036969" w:rsidRDefault="00036969">
      <w:r>
        <w:separator/>
      </w:r>
    </w:p>
  </w:footnote>
  <w:footnote w:type="continuationSeparator" w:id="0">
    <w:p w14:paraId="1504528D" w14:textId="77777777" w:rsidR="00036969" w:rsidRDefault="00036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A0598" w14:textId="77777777" w:rsidR="007A2E1E" w:rsidRDefault="00E63864">
    <w:pPr>
      <w:pStyle w:val="1c"/>
      <w:snapToGrid/>
      <w:jc w:val="left"/>
    </w:pPr>
    <w:r>
      <w:rPr>
        <w:rFonts w:ascii="宋体" w:hAnsi="宋体"/>
        <w:szCs w:val="21"/>
      </w:rPr>
      <w:t>汇添富上证科创板200指数型发起式证券投资基金</w:t>
    </w:r>
    <w:r>
      <w:t xml:space="preserve">                               </w:t>
    </w:r>
    <w:r>
      <w:rPr>
        <w:rFonts w:hint="eastAsia"/>
      </w:rPr>
      <w:t xml:space="preserve">       </w:t>
    </w:r>
    <w:r>
      <w:t xml:space="preserve"> </w:t>
    </w:r>
    <w:r>
      <w:t>托管协议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FD32F" w14:textId="77777777" w:rsidR="007A2E1E" w:rsidRDefault="00E63864">
    <w:pPr>
      <w:pStyle w:val="1c"/>
      <w:snapToGrid/>
      <w:jc w:val="left"/>
    </w:pPr>
    <w:r>
      <w:rPr>
        <w:rFonts w:ascii="宋体" w:hAnsi="宋体"/>
        <w:szCs w:val="21"/>
      </w:rPr>
      <w:t>汇添富上证科创板200指数型发起式证券投资基金</w:t>
    </w:r>
    <w:r>
      <w:t xml:space="preserve">                                </w:t>
    </w:r>
    <w:r>
      <w:rPr>
        <w:rFonts w:hint="eastAsia"/>
      </w:rPr>
      <w:t xml:space="preserve">      </w:t>
    </w:r>
    <w:r>
      <w:t xml:space="preserve"> </w:t>
    </w:r>
    <w:r>
      <w:t>托管协议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C1592"/>
    <w:multiLevelType w:val="multilevel"/>
    <w:tmpl w:val="306C1592"/>
    <w:lvl w:ilvl="0">
      <w:start w:val="1"/>
      <w:numFmt w:val="decimal"/>
      <w:pStyle w:val="UCAlpha2"/>
      <w:lvlText w:val="(%1)"/>
      <w:lvlJc w:val="left"/>
      <w:pPr>
        <w:tabs>
          <w:tab w:val="left" w:pos="1941"/>
        </w:tabs>
        <w:snapToGrid/>
        <w:ind w:left="1941" w:hanging="681"/>
      </w:pPr>
      <w:rPr>
        <w:rFonts w:ascii="Arial" w:hAnsi="Arial"/>
        <w:b w:val="0"/>
        <w:i w:val="0"/>
        <w:sz w:val="20"/>
      </w:rPr>
    </w:lvl>
    <w:lvl w:ilvl="1">
      <w:start w:val="1"/>
      <w:numFmt w:val="lowerLetter"/>
      <w:lvlText w:val="%2."/>
      <w:lvlJc w:val="left"/>
      <w:pPr>
        <w:tabs>
          <w:tab w:val="left" w:pos="1620"/>
        </w:tabs>
        <w:snapToGrid/>
        <w:ind w:left="1620" w:hanging="360"/>
      </w:pPr>
    </w:lvl>
    <w:lvl w:ilvl="2">
      <w:start w:val="1"/>
      <w:numFmt w:val="lowerRoman"/>
      <w:lvlText w:val="%3."/>
      <w:lvlJc w:val="right"/>
      <w:pPr>
        <w:tabs>
          <w:tab w:val="left" w:pos="2340"/>
        </w:tabs>
        <w:snapToGrid/>
        <w:ind w:left="2340" w:hanging="180"/>
      </w:pPr>
    </w:lvl>
    <w:lvl w:ilvl="3">
      <w:start w:val="1"/>
      <w:numFmt w:val="decimal"/>
      <w:lvlText w:val="%4."/>
      <w:lvlJc w:val="left"/>
      <w:pPr>
        <w:tabs>
          <w:tab w:val="left" w:pos="3060"/>
        </w:tabs>
        <w:snapToGrid/>
        <w:ind w:left="3060" w:hanging="360"/>
      </w:pPr>
    </w:lvl>
    <w:lvl w:ilvl="4">
      <w:start w:val="1"/>
      <w:numFmt w:val="lowerLetter"/>
      <w:lvlText w:val="%5."/>
      <w:lvlJc w:val="left"/>
      <w:pPr>
        <w:tabs>
          <w:tab w:val="left" w:pos="3780"/>
        </w:tabs>
        <w:snapToGrid/>
        <w:ind w:left="3780" w:hanging="360"/>
      </w:pPr>
    </w:lvl>
    <w:lvl w:ilvl="5">
      <w:start w:val="1"/>
      <w:numFmt w:val="lowerRoman"/>
      <w:lvlText w:val="%6."/>
      <w:lvlJc w:val="right"/>
      <w:pPr>
        <w:tabs>
          <w:tab w:val="left" w:pos="4500"/>
        </w:tabs>
        <w:snapToGrid/>
        <w:ind w:left="4500" w:hanging="180"/>
      </w:pPr>
    </w:lvl>
    <w:lvl w:ilvl="6">
      <w:start w:val="1"/>
      <w:numFmt w:val="decimal"/>
      <w:lvlText w:val="%7."/>
      <w:lvlJc w:val="left"/>
      <w:pPr>
        <w:tabs>
          <w:tab w:val="left" w:pos="5220"/>
        </w:tabs>
        <w:snapToGrid/>
        <w:ind w:left="5220" w:hanging="360"/>
      </w:pPr>
    </w:lvl>
    <w:lvl w:ilvl="7">
      <w:start w:val="1"/>
      <w:numFmt w:val="lowerLetter"/>
      <w:lvlText w:val="%8."/>
      <w:lvlJc w:val="left"/>
      <w:pPr>
        <w:tabs>
          <w:tab w:val="left" w:pos="5940"/>
        </w:tabs>
        <w:snapToGrid/>
        <w:ind w:left="5940" w:hanging="360"/>
      </w:pPr>
    </w:lvl>
    <w:lvl w:ilvl="8">
      <w:start w:val="1"/>
      <w:numFmt w:val="lowerRoman"/>
      <w:lvlText w:val="%9."/>
      <w:lvlJc w:val="right"/>
      <w:pPr>
        <w:tabs>
          <w:tab w:val="left" w:pos="6660"/>
        </w:tabs>
        <w:snapToGrid/>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oNotTrackMoves/>
  <w:defaultTabStop w:val="420"/>
  <w:drawingGridHorizontalSpacing w:val="100"/>
  <w:drawingGridVerticalSpacing w:val="156"/>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E1E"/>
    <w:rsid w:val="00036969"/>
    <w:rsid w:val="000438F0"/>
    <w:rsid w:val="00332E1A"/>
    <w:rsid w:val="007A2E1E"/>
    <w:rsid w:val="00BD3FA2"/>
    <w:rsid w:val="00E63864"/>
    <w:rsid w:val="00FF2AD2"/>
    <w:rsid w:val="1C434D33"/>
    <w:rsid w:val="55CC46FA"/>
    <w:rsid w:val="72804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03F92A-CD14-4889-AE52-634199EF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link w:val="1Char"/>
    <w:uiPriority w:val="9"/>
    <w:qFormat/>
    <w:pPr>
      <w:keepNext/>
      <w:keepLines/>
      <w:spacing w:before="480" w:after="200"/>
      <w:outlineLvl w:val="0"/>
    </w:pPr>
    <w:rPr>
      <w:rFonts w:ascii="Arial" w:hAnsi="Arial" w:cs="Arial"/>
      <w:sz w:val="40"/>
      <w:szCs w:val="40"/>
    </w:rPr>
  </w:style>
  <w:style w:type="paragraph" w:styleId="2">
    <w:name w:val="heading 2"/>
    <w:link w:val="2Char"/>
    <w:uiPriority w:val="9"/>
    <w:unhideWhenUsed/>
    <w:qFormat/>
    <w:pPr>
      <w:keepNext/>
      <w:keepLines/>
      <w:spacing w:before="360" w:after="200"/>
      <w:outlineLvl w:val="1"/>
    </w:pPr>
    <w:rPr>
      <w:rFonts w:ascii="Arial" w:hAnsi="Arial" w:cs="Arial"/>
      <w:sz w:val="34"/>
    </w:rPr>
  </w:style>
  <w:style w:type="paragraph" w:styleId="3">
    <w:name w:val="heading 3"/>
    <w:link w:val="3Char"/>
    <w:uiPriority w:val="9"/>
    <w:unhideWhenUsed/>
    <w:qFormat/>
    <w:pPr>
      <w:keepNext/>
      <w:keepLines/>
      <w:spacing w:before="320" w:after="200"/>
      <w:outlineLvl w:val="2"/>
    </w:pPr>
    <w:rPr>
      <w:rFonts w:ascii="Arial" w:hAnsi="Arial" w:cs="Arial"/>
      <w:sz w:val="30"/>
      <w:szCs w:val="30"/>
    </w:rPr>
  </w:style>
  <w:style w:type="paragraph" w:styleId="4">
    <w:name w:val="heading 4"/>
    <w:link w:val="4Char"/>
    <w:uiPriority w:val="9"/>
    <w:unhideWhenUsed/>
    <w:qFormat/>
    <w:pPr>
      <w:keepNext/>
      <w:keepLines/>
      <w:spacing w:before="320" w:after="200"/>
      <w:outlineLvl w:val="3"/>
    </w:pPr>
    <w:rPr>
      <w:rFonts w:ascii="Arial" w:hAnsi="Arial" w:cs="Arial"/>
      <w:b/>
      <w:bCs/>
      <w:sz w:val="26"/>
      <w:szCs w:val="26"/>
    </w:rPr>
  </w:style>
  <w:style w:type="paragraph" w:styleId="5">
    <w:name w:val="heading 5"/>
    <w:link w:val="5Char"/>
    <w:uiPriority w:val="9"/>
    <w:unhideWhenUsed/>
    <w:qFormat/>
    <w:pPr>
      <w:keepNext/>
      <w:keepLines/>
      <w:spacing w:before="320" w:after="200"/>
      <w:outlineLvl w:val="4"/>
    </w:pPr>
    <w:rPr>
      <w:rFonts w:ascii="Arial" w:hAnsi="Arial" w:cs="Arial"/>
      <w:b/>
      <w:bCs/>
      <w:sz w:val="24"/>
      <w:szCs w:val="24"/>
    </w:rPr>
  </w:style>
  <w:style w:type="paragraph" w:styleId="6">
    <w:name w:val="heading 6"/>
    <w:link w:val="6Char"/>
    <w:uiPriority w:val="9"/>
    <w:unhideWhenUsed/>
    <w:qFormat/>
    <w:pPr>
      <w:keepNext/>
      <w:keepLines/>
      <w:spacing w:before="320" w:after="200"/>
      <w:outlineLvl w:val="5"/>
    </w:pPr>
    <w:rPr>
      <w:rFonts w:ascii="Arial" w:hAnsi="Arial" w:cs="Arial"/>
      <w:b/>
      <w:bCs/>
      <w:sz w:val="22"/>
      <w:szCs w:val="22"/>
    </w:rPr>
  </w:style>
  <w:style w:type="paragraph" w:styleId="7">
    <w:name w:val="heading 7"/>
    <w:link w:val="7Char"/>
    <w:uiPriority w:val="9"/>
    <w:unhideWhenUsed/>
    <w:qFormat/>
    <w:pPr>
      <w:keepNext/>
      <w:keepLines/>
      <w:spacing w:before="320" w:after="200"/>
      <w:outlineLvl w:val="6"/>
    </w:pPr>
    <w:rPr>
      <w:rFonts w:ascii="Arial" w:hAnsi="Arial" w:cs="Arial"/>
      <w:b/>
      <w:bCs/>
      <w:i/>
      <w:iCs/>
      <w:sz w:val="22"/>
      <w:szCs w:val="22"/>
    </w:rPr>
  </w:style>
  <w:style w:type="paragraph" w:styleId="8">
    <w:name w:val="heading 8"/>
    <w:link w:val="8Char"/>
    <w:uiPriority w:val="9"/>
    <w:unhideWhenUsed/>
    <w:qFormat/>
    <w:pPr>
      <w:keepNext/>
      <w:keepLines/>
      <w:spacing w:before="320" w:after="200"/>
      <w:outlineLvl w:val="7"/>
    </w:pPr>
    <w:rPr>
      <w:rFonts w:ascii="Arial" w:hAnsi="Arial" w:cs="Arial"/>
      <w:i/>
      <w:iCs/>
      <w:sz w:val="22"/>
      <w:szCs w:val="22"/>
    </w:rPr>
  </w:style>
  <w:style w:type="paragraph" w:styleId="9">
    <w:name w:val="heading 9"/>
    <w:link w:val="9Char"/>
    <w:uiPriority w:val="9"/>
    <w:unhideWhenUsed/>
    <w:qFormat/>
    <w:pPr>
      <w:keepNext/>
      <w:keepLines/>
      <w:spacing w:before="320" w:after="200"/>
      <w:outlineLvl w:val="8"/>
    </w:pPr>
    <w:rPr>
      <w:rFonts w:ascii="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uiPriority w:val="39"/>
    <w:unhideWhenUsed/>
    <w:qFormat/>
    <w:pPr>
      <w:spacing w:after="57"/>
      <w:ind w:left="1701"/>
    </w:pPr>
  </w:style>
  <w:style w:type="paragraph" w:styleId="a3">
    <w:name w:val="caption"/>
    <w:uiPriority w:val="35"/>
    <w:semiHidden/>
    <w:unhideWhenUsed/>
    <w:qFormat/>
    <w:pPr>
      <w:spacing w:line="276" w:lineRule="auto"/>
    </w:pPr>
    <w:rPr>
      <w:b/>
      <w:bCs/>
      <w:color w:val="4F81BD"/>
      <w:sz w:val="18"/>
      <w:szCs w:val="18"/>
    </w:rPr>
  </w:style>
  <w:style w:type="paragraph" w:styleId="50">
    <w:name w:val="toc 5"/>
    <w:uiPriority w:val="39"/>
    <w:unhideWhenUsed/>
    <w:pPr>
      <w:spacing w:after="57"/>
      <w:ind w:left="1134"/>
    </w:pPr>
  </w:style>
  <w:style w:type="paragraph" w:styleId="30">
    <w:name w:val="toc 3"/>
    <w:uiPriority w:val="39"/>
    <w:unhideWhenUsed/>
    <w:qFormat/>
    <w:pPr>
      <w:spacing w:after="57"/>
      <w:ind w:left="567"/>
    </w:pPr>
  </w:style>
  <w:style w:type="paragraph" w:styleId="80">
    <w:name w:val="toc 8"/>
    <w:uiPriority w:val="39"/>
    <w:unhideWhenUsed/>
    <w:qFormat/>
    <w:pPr>
      <w:spacing w:after="57"/>
      <w:ind w:left="1984"/>
    </w:pPr>
  </w:style>
  <w:style w:type="paragraph" w:styleId="a4">
    <w:name w:val="endnote text"/>
    <w:link w:val="Char"/>
    <w:uiPriority w:val="99"/>
    <w:semiHidden/>
    <w:unhideWhenUsed/>
  </w:style>
  <w:style w:type="paragraph" w:styleId="a5">
    <w:name w:val="footer"/>
    <w:link w:val="Char0"/>
    <w:uiPriority w:val="99"/>
    <w:unhideWhenUsed/>
    <w:qFormat/>
    <w:pPr>
      <w:tabs>
        <w:tab w:val="center" w:pos="7143"/>
        <w:tab w:val="right" w:pos="14287"/>
      </w:tabs>
    </w:pPr>
  </w:style>
  <w:style w:type="paragraph" w:styleId="a6">
    <w:name w:val="header"/>
    <w:link w:val="Char1"/>
    <w:uiPriority w:val="99"/>
    <w:unhideWhenUsed/>
    <w:qFormat/>
    <w:pPr>
      <w:tabs>
        <w:tab w:val="center" w:pos="7143"/>
        <w:tab w:val="right" w:pos="14287"/>
      </w:tabs>
    </w:pPr>
  </w:style>
  <w:style w:type="paragraph" w:styleId="10">
    <w:name w:val="toc 1"/>
    <w:uiPriority w:val="39"/>
    <w:unhideWhenUsed/>
    <w:qFormat/>
    <w:pPr>
      <w:spacing w:after="57"/>
    </w:pPr>
  </w:style>
  <w:style w:type="paragraph" w:styleId="40">
    <w:name w:val="toc 4"/>
    <w:uiPriority w:val="39"/>
    <w:unhideWhenUsed/>
    <w:pPr>
      <w:spacing w:after="57"/>
      <w:ind w:left="850"/>
    </w:pPr>
  </w:style>
  <w:style w:type="paragraph" w:styleId="a7">
    <w:name w:val="Subtitle"/>
    <w:link w:val="Char2"/>
    <w:uiPriority w:val="11"/>
    <w:qFormat/>
    <w:pPr>
      <w:spacing w:before="200" w:after="200"/>
    </w:pPr>
    <w:rPr>
      <w:sz w:val="24"/>
      <w:szCs w:val="24"/>
    </w:rPr>
  </w:style>
  <w:style w:type="paragraph" w:styleId="a8">
    <w:name w:val="footnote text"/>
    <w:link w:val="Char3"/>
    <w:uiPriority w:val="99"/>
    <w:semiHidden/>
    <w:unhideWhenUsed/>
    <w:pPr>
      <w:spacing w:after="40"/>
    </w:pPr>
    <w:rPr>
      <w:sz w:val="18"/>
    </w:rPr>
  </w:style>
  <w:style w:type="paragraph" w:styleId="60">
    <w:name w:val="toc 6"/>
    <w:uiPriority w:val="39"/>
    <w:unhideWhenUsed/>
    <w:pPr>
      <w:spacing w:after="57"/>
      <w:ind w:left="1417"/>
    </w:pPr>
  </w:style>
  <w:style w:type="paragraph" w:styleId="a9">
    <w:name w:val="table of figures"/>
    <w:uiPriority w:val="99"/>
    <w:unhideWhenUsed/>
    <w:qFormat/>
  </w:style>
  <w:style w:type="paragraph" w:styleId="20">
    <w:name w:val="toc 2"/>
    <w:uiPriority w:val="39"/>
    <w:unhideWhenUsed/>
    <w:qFormat/>
    <w:pPr>
      <w:spacing w:after="57"/>
      <w:ind w:left="283"/>
    </w:pPr>
  </w:style>
  <w:style w:type="paragraph" w:styleId="90">
    <w:name w:val="toc 9"/>
    <w:uiPriority w:val="39"/>
    <w:unhideWhenUsed/>
    <w:qFormat/>
    <w:pPr>
      <w:spacing w:after="57"/>
      <w:ind w:left="2268"/>
    </w:pPr>
  </w:style>
  <w:style w:type="paragraph" w:styleId="aa">
    <w:name w:val="Title"/>
    <w:link w:val="Char4"/>
    <w:uiPriority w:val="10"/>
    <w:qFormat/>
    <w:pPr>
      <w:spacing w:before="300" w:after="200"/>
      <w:contextualSpacing/>
    </w:pPr>
    <w:rPr>
      <w:sz w:val="48"/>
      <w:szCs w:val="48"/>
    </w:rPr>
  </w:style>
  <w:style w:type="table" w:styleId="ab">
    <w:name w:val="Table Grid"/>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endnote reference"/>
    <w:uiPriority w:val="99"/>
    <w:semiHidden/>
    <w:unhideWhenUsed/>
    <w:rPr>
      <w:vertAlign w:val="superscript"/>
    </w:rPr>
  </w:style>
  <w:style w:type="character" w:styleId="ad">
    <w:name w:val="Hyperlink"/>
    <w:uiPriority w:val="99"/>
    <w:unhideWhenUsed/>
    <w:qFormat/>
    <w:rPr>
      <w:color w:val="0000FF"/>
      <w:u w:val="single"/>
    </w:rPr>
  </w:style>
  <w:style w:type="character" w:styleId="ae">
    <w:name w:val="footnote reference"/>
    <w:uiPriority w:val="99"/>
    <w:unhideWhenUsed/>
    <w:rPr>
      <w:vertAlign w:val="superscript"/>
    </w:rPr>
  </w:style>
  <w:style w:type="character" w:customStyle="1" w:styleId="1Char">
    <w:name w:val="标题 1 Char"/>
    <w:link w:val="1"/>
    <w:uiPriority w:val="9"/>
    <w:qFormat/>
    <w:rPr>
      <w:rFonts w:ascii="Arial" w:hAnsi="Arial" w:cs="Arial"/>
      <w:sz w:val="40"/>
      <w:szCs w:val="40"/>
    </w:rPr>
  </w:style>
  <w:style w:type="character" w:customStyle="1" w:styleId="2Char">
    <w:name w:val="标题 2 Char"/>
    <w:link w:val="2"/>
    <w:uiPriority w:val="9"/>
    <w:qFormat/>
    <w:rPr>
      <w:rFonts w:ascii="Arial" w:hAnsi="Arial" w:cs="Arial"/>
      <w:sz w:val="34"/>
    </w:rPr>
  </w:style>
  <w:style w:type="character" w:customStyle="1" w:styleId="3Char">
    <w:name w:val="标题 3 Char"/>
    <w:link w:val="3"/>
    <w:uiPriority w:val="9"/>
    <w:rPr>
      <w:rFonts w:ascii="Arial" w:hAnsi="Arial" w:cs="Arial"/>
      <w:sz w:val="30"/>
      <w:szCs w:val="30"/>
    </w:rPr>
  </w:style>
  <w:style w:type="character" w:customStyle="1" w:styleId="4Char">
    <w:name w:val="标题 4 Char"/>
    <w:link w:val="4"/>
    <w:uiPriority w:val="9"/>
    <w:qFormat/>
    <w:rPr>
      <w:rFonts w:ascii="Arial" w:hAnsi="Arial" w:cs="Arial"/>
      <w:b/>
      <w:bCs/>
      <w:sz w:val="26"/>
      <w:szCs w:val="26"/>
    </w:rPr>
  </w:style>
  <w:style w:type="character" w:customStyle="1" w:styleId="5Char">
    <w:name w:val="标题 5 Char"/>
    <w:link w:val="5"/>
    <w:uiPriority w:val="9"/>
    <w:qFormat/>
    <w:rPr>
      <w:rFonts w:ascii="Arial" w:hAnsi="Arial" w:cs="Arial"/>
      <w:b/>
      <w:bCs/>
      <w:sz w:val="24"/>
      <w:szCs w:val="24"/>
    </w:rPr>
  </w:style>
  <w:style w:type="character" w:customStyle="1" w:styleId="6Char">
    <w:name w:val="标题 6 Char"/>
    <w:link w:val="6"/>
    <w:uiPriority w:val="9"/>
    <w:qFormat/>
    <w:rPr>
      <w:rFonts w:ascii="Arial" w:hAnsi="Arial" w:cs="Arial"/>
      <w:b/>
      <w:bCs/>
      <w:sz w:val="22"/>
      <w:szCs w:val="22"/>
    </w:rPr>
  </w:style>
  <w:style w:type="character" w:customStyle="1" w:styleId="7Char">
    <w:name w:val="标题 7 Char"/>
    <w:link w:val="7"/>
    <w:uiPriority w:val="9"/>
    <w:qFormat/>
    <w:rPr>
      <w:rFonts w:ascii="Arial" w:hAnsi="Arial" w:cs="Arial"/>
      <w:b/>
      <w:bCs/>
      <w:i/>
      <w:iCs/>
      <w:sz w:val="22"/>
      <w:szCs w:val="22"/>
    </w:rPr>
  </w:style>
  <w:style w:type="character" w:customStyle="1" w:styleId="8Char">
    <w:name w:val="标题 8 Char"/>
    <w:link w:val="8"/>
    <w:uiPriority w:val="9"/>
    <w:qFormat/>
    <w:rPr>
      <w:rFonts w:ascii="Arial" w:hAnsi="Arial" w:cs="Arial"/>
      <w:i/>
      <w:iCs/>
      <w:sz w:val="22"/>
      <w:szCs w:val="22"/>
    </w:rPr>
  </w:style>
  <w:style w:type="character" w:customStyle="1" w:styleId="9Char">
    <w:name w:val="标题 9 Char"/>
    <w:link w:val="9"/>
    <w:uiPriority w:val="9"/>
    <w:qFormat/>
    <w:rPr>
      <w:rFonts w:ascii="Arial" w:hAnsi="Arial" w:cs="Arial"/>
      <w:i/>
      <w:iCs/>
      <w:sz w:val="21"/>
      <w:szCs w:val="21"/>
    </w:rPr>
  </w:style>
  <w:style w:type="paragraph" w:styleId="af">
    <w:name w:val="List Paragraph"/>
    <w:uiPriority w:val="34"/>
    <w:qFormat/>
    <w:pPr>
      <w:ind w:left="720"/>
      <w:contextualSpacing/>
    </w:pPr>
  </w:style>
  <w:style w:type="paragraph" w:styleId="af0">
    <w:name w:val="No Spacing"/>
    <w:uiPriority w:val="1"/>
    <w:qFormat/>
  </w:style>
  <w:style w:type="character" w:customStyle="1" w:styleId="Char4">
    <w:name w:val="标题 Char"/>
    <w:link w:val="aa"/>
    <w:uiPriority w:val="10"/>
    <w:qFormat/>
    <w:rPr>
      <w:sz w:val="48"/>
      <w:szCs w:val="48"/>
    </w:rPr>
  </w:style>
  <w:style w:type="character" w:customStyle="1" w:styleId="Char2">
    <w:name w:val="副标题 Char"/>
    <w:link w:val="a7"/>
    <w:uiPriority w:val="11"/>
    <w:qFormat/>
    <w:rPr>
      <w:sz w:val="24"/>
      <w:szCs w:val="24"/>
    </w:rPr>
  </w:style>
  <w:style w:type="paragraph" w:styleId="af1">
    <w:name w:val="Quote"/>
    <w:link w:val="Char5"/>
    <w:uiPriority w:val="29"/>
    <w:qFormat/>
    <w:pPr>
      <w:ind w:left="720" w:right="720"/>
    </w:pPr>
    <w:rPr>
      <w:i/>
    </w:rPr>
  </w:style>
  <w:style w:type="character" w:customStyle="1" w:styleId="Char5">
    <w:name w:val="引用 Char"/>
    <w:link w:val="af1"/>
    <w:uiPriority w:val="29"/>
    <w:qFormat/>
    <w:rPr>
      <w:i/>
    </w:rPr>
  </w:style>
  <w:style w:type="paragraph" w:styleId="af2">
    <w:name w:val="Intense Quote"/>
    <w:link w:val="Char6"/>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6">
    <w:name w:val="明显引用 Char"/>
    <w:link w:val="af2"/>
    <w:uiPriority w:val="30"/>
    <w:qFormat/>
    <w:rPr>
      <w:i/>
    </w:rPr>
  </w:style>
  <w:style w:type="character" w:customStyle="1" w:styleId="Char1">
    <w:name w:val="页眉 Char"/>
    <w:link w:val="a6"/>
    <w:uiPriority w:val="99"/>
    <w:qFormat/>
  </w:style>
  <w:style w:type="character" w:customStyle="1" w:styleId="FooterChar">
    <w:name w:val="Footer Char"/>
    <w:uiPriority w:val="99"/>
    <w:qFormat/>
  </w:style>
  <w:style w:type="character" w:customStyle="1" w:styleId="Char0">
    <w:name w:val="页脚 Char"/>
    <w:link w:val="a5"/>
    <w:uiPriority w:val="99"/>
    <w:qFormat/>
  </w:style>
  <w:style w:type="table" w:customStyle="1" w:styleId="TableGridLight">
    <w:name w:val="Table Grid Light"/>
    <w:uiPriority w:val="59"/>
    <w:qFormat/>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无格式表格 11"/>
    <w:uiPriority w:val="59"/>
    <w:qFormat/>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
    <w:name w:val="无格式表格 21"/>
    <w:uiPriority w:val="59"/>
    <w:qFormat/>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无格式表格 31"/>
    <w:uiPriority w:val="99"/>
    <w:qFormat/>
    <w:tblPr>
      <w:tblCellMar>
        <w:top w:w="0" w:type="dxa"/>
        <w:left w:w="0" w:type="dxa"/>
        <w:bottom w:w="0" w:type="dxa"/>
        <w:right w:w="0" w:type="dxa"/>
      </w:tblCellMar>
    </w:tblPr>
  </w:style>
  <w:style w:type="table" w:customStyle="1" w:styleId="41">
    <w:name w:val="无格式表格 41"/>
    <w:uiPriority w:val="99"/>
    <w:qFormat/>
    <w:tblPr>
      <w:tblCellMar>
        <w:top w:w="0" w:type="dxa"/>
        <w:left w:w="0" w:type="dxa"/>
        <w:bottom w:w="0" w:type="dxa"/>
        <w:right w:w="0" w:type="dxa"/>
      </w:tblCellMar>
    </w:tblPr>
  </w:style>
  <w:style w:type="table" w:customStyle="1" w:styleId="51">
    <w:name w:val="无格式表格 51"/>
    <w:uiPriority w:val="99"/>
    <w:qFormat/>
    <w:tblPr>
      <w:tblCellMar>
        <w:top w:w="0" w:type="dxa"/>
        <w:left w:w="0" w:type="dxa"/>
        <w:bottom w:w="0" w:type="dxa"/>
        <w:right w:w="0" w:type="dxa"/>
      </w:tblCellMar>
    </w:tblPr>
  </w:style>
  <w:style w:type="table" w:customStyle="1" w:styleId="110">
    <w:name w:val="网格表 1 浅色1"/>
    <w:uiPriority w:val="99"/>
    <w:qFormat/>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qFormat/>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qFormat/>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qFormat/>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qFormat/>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0">
    <w:name w:val="网格表 21"/>
    <w:uiPriority w:val="99"/>
    <w:qFormat/>
    <w:tblPr>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qFormat/>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qFormat/>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qFormat/>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qFormat/>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qFormat/>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qFormat/>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0">
    <w:name w:val="网格表 31"/>
    <w:uiPriority w:val="99"/>
    <w:qFormat/>
    <w:tblPr>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qFormat/>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qFormat/>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qFormat/>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qFormat/>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0">
    <w:name w:val="网格表 41"/>
    <w:uiPriority w:val="59"/>
    <w:qFormat/>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qFormat/>
    <w:tblPr>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qFormat/>
    <w:tblPr>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qFormat/>
    <w:tblPr>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qFormat/>
    <w:tblPr>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qFormat/>
    <w:tblPr>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qFormat/>
    <w:tblPr>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0">
    <w:name w:val="网格表 5 深色1"/>
    <w:uiPriority w:val="99"/>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
    <w:name w:val="网格表 6 彩色1"/>
    <w:uiPriority w:val="99"/>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qFormat/>
    <w:tblPr>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qFormat/>
    <w:tblPr>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qFormat/>
    <w:tblPr>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qFormat/>
    <w:tblPr>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qFormat/>
    <w:tblPr>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qFormat/>
    <w:tblPr>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网格表 7 彩色1"/>
    <w:uiPriority w:val="99"/>
    <w:qFormat/>
    <w:tblPr>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tblPr>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qFormat/>
    <w:tblPr>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qFormat/>
    <w:tblPr>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qFormat/>
    <w:tblPr>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qFormat/>
    <w:tblPr>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qFormat/>
    <w:tblPr>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1">
    <w:name w:val="清单表 1 浅色1"/>
    <w:uiPriority w:val="99"/>
    <w:qFormat/>
    <w:tblPr>
      <w:tblCellMar>
        <w:top w:w="0" w:type="dxa"/>
        <w:left w:w="0" w:type="dxa"/>
        <w:bottom w:w="0" w:type="dxa"/>
        <w:right w:w="0" w:type="dxa"/>
      </w:tblCellMar>
    </w:tblPr>
  </w:style>
  <w:style w:type="table" w:customStyle="1" w:styleId="ListTable1Light-Accent1">
    <w:name w:val="List Table 1 Light - Accent 1"/>
    <w:uiPriority w:val="99"/>
    <w:qFormat/>
    <w:tblPr>
      <w:tblCellMar>
        <w:top w:w="0" w:type="dxa"/>
        <w:left w:w="0" w:type="dxa"/>
        <w:bottom w:w="0" w:type="dxa"/>
        <w:right w:w="0" w:type="dxa"/>
      </w:tblCellMar>
    </w:tblPr>
  </w:style>
  <w:style w:type="table" w:customStyle="1" w:styleId="ListTable1Light-Accent2">
    <w:name w:val="List Table 1 Light - Accent 2"/>
    <w:uiPriority w:val="99"/>
    <w:qFormat/>
    <w:tblPr>
      <w:tblCellMar>
        <w:top w:w="0" w:type="dxa"/>
        <w:left w:w="0" w:type="dxa"/>
        <w:bottom w:w="0" w:type="dxa"/>
        <w:right w:w="0" w:type="dxa"/>
      </w:tblCellMar>
    </w:tblPr>
  </w:style>
  <w:style w:type="table" w:customStyle="1" w:styleId="ListTable1Light-Accent3">
    <w:name w:val="List Table 1 Light - Accent 3"/>
    <w:uiPriority w:val="99"/>
    <w:qFormat/>
    <w:tblPr>
      <w:tblCellMar>
        <w:top w:w="0" w:type="dxa"/>
        <w:left w:w="0" w:type="dxa"/>
        <w:bottom w:w="0" w:type="dxa"/>
        <w:right w:w="0" w:type="dxa"/>
      </w:tblCellMar>
    </w:tblPr>
  </w:style>
  <w:style w:type="table" w:customStyle="1" w:styleId="ListTable1Light-Accent4">
    <w:name w:val="List Table 1 Light - Accent 4"/>
    <w:uiPriority w:val="99"/>
    <w:qFormat/>
    <w:tblPr>
      <w:tblCellMar>
        <w:top w:w="0" w:type="dxa"/>
        <w:left w:w="0" w:type="dxa"/>
        <w:bottom w:w="0" w:type="dxa"/>
        <w:right w:w="0" w:type="dxa"/>
      </w:tblCellMar>
    </w:tblPr>
  </w:style>
  <w:style w:type="table" w:customStyle="1" w:styleId="ListTable1Light-Accent5">
    <w:name w:val="List Table 1 Light - Accent 5"/>
    <w:uiPriority w:val="99"/>
    <w:qFormat/>
    <w:tblPr>
      <w:tblCellMar>
        <w:top w:w="0" w:type="dxa"/>
        <w:left w:w="0" w:type="dxa"/>
        <w:bottom w:w="0" w:type="dxa"/>
        <w:right w:w="0" w:type="dxa"/>
      </w:tblCellMar>
    </w:tblPr>
  </w:style>
  <w:style w:type="table" w:customStyle="1" w:styleId="ListTable1Light-Accent6">
    <w:name w:val="List Table 1 Light - Accent 6"/>
    <w:uiPriority w:val="99"/>
    <w:qFormat/>
    <w:tblPr>
      <w:tblCellMar>
        <w:top w:w="0" w:type="dxa"/>
        <w:left w:w="0" w:type="dxa"/>
        <w:bottom w:w="0" w:type="dxa"/>
        <w:right w:w="0" w:type="dxa"/>
      </w:tblCellMar>
    </w:tblPr>
  </w:style>
  <w:style w:type="table" w:customStyle="1" w:styleId="211">
    <w:name w:val="清单表 21"/>
    <w:uiPriority w:val="99"/>
    <w:qFormat/>
    <w:tblPr>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qFormat/>
    <w:tblPr>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qFormat/>
    <w:tblPr>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qFormat/>
    <w:tblPr>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qFormat/>
    <w:tblPr>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tblPr>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qFormat/>
    <w:tblPr>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1">
    <w:name w:val="清单表 31"/>
    <w:uiPriority w:val="99"/>
    <w:qFormat/>
    <w:tblPr>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qFormat/>
    <w:tblPr>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qFormat/>
    <w:tblPr>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qFormat/>
    <w:tblPr>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qFormat/>
    <w:tblPr>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qFormat/>
    <w:tblPr>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qFormat/>
    <w:tblPr>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1">
    <w:name w:val="清单表 41"/>
    <w:uiPriority w:val="99"/>
    <w:qFormat/>
    <w:tblPr>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qFormat/>
    <w:tblPr>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qFormat/>
    <w:tblPr>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qFormat/>
    <w:tblPr>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qFormat/>
    <w:tblPr>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qFormat/>
    <w:tblPr>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qFormat/>
    <w:tblPr>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1">
    <w:name w:val="清单表 5 深色1"/>
    <w:uiPriority w:val="99"/>
    <w:qFormat/>
    <w:tblPr>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qFormat/>
    <w:tblPr>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tblPr>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qFormat/>
    <w:tblPr>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qFormat/>
    <w:tblPr>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qFormat/>
    <w:tblPr>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qFormat/>
    <w:tblPr>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610">
    <w:name w:val="清单表 6 彩色1"/>
    <w:uiPriority w:val="99"/>
    <w:qFormat/>
    <w:tblPr>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tblPr>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qFormat/>
    <w:tblPr>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qFormat/>
    <w:tblPr>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tblPr>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tblPr>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qFormat/>
    <w:tblPr>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清单表 7 彩色1"/>
    <w:uiPriority w:val="99"/>
    <w:qFormat/>
    <w:tblPr>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tblPr>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qFormat/>
    <w:tblPr>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tblPr>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qFormat/>
    <w:tblPr>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qFormat/>
    <w:tblPr>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tblPr>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qFormat/>
    <w:rPr>
      <w:color w:val="404040"/>
    </w:rPr>
    <w:tblPr>
      <w:tblCellMar>
        <w:top w:w="0" w:type="dxa"/>
        <w:left w:w="0" w:type="dxa"/>
        <w:bottom w:w="0" w:type="dxa"/>
        <w:right w:w="0" w:type="dxa"/>
      </w:tblCellMar>
    </w:tblPr>
  </w:style>
  <w:style w:type="table" w:customStyle="1" w:styleId="Lined-Accent1">
    <w:name w:val="Lined - Accent 1"/>
    <w:uiPriority w:val="99"/>
    <w:qFormat/>
    <w:rPr>
      <w:color w:val="404040"/>
    </w:rPr>
    <w:tblPr>
      <w:tblCellMar>
        <w:top w:w="0" w:type="dxa"/>
        <w:left w:w="0" w:type="dxa"/>
        <w:bottom w:w="0" w:type="dxa"/>
        <w:right w:w="0" w:type="dxa"/>
      </w:tblCellMar>
    </w:tblPr>
  </w:style>
  <w:style w:type="table" w:customStyle="1" w:styleId="Lined-Accent2">
    <w:name w:val="Lined - Accent 2"/>
    <w:uiPriority w:val="99"/>
    <w:qFormat/>
    <w:rPr>
      <w:color w:val="404040"/>
    </w:rPr>
    <w:tblPr>
      <w:tblCellMar>
        <w:top w:w="0" w:type="dxa"/>
        <w:left w:w="0" w:type="dxa"/>
        <w:bottom w:w="0" w:type="dxa"/>
        <w:right w:w="0" w:type="dxa"/>
      </w:tblCellMar>
    </w:tblPr>
  </w:style>
  <w:style w:type="table" w:customStyle="1" w:styleId="Lined-Accent3">
    <w:name w:val="Lined - Accent 3"/>
    <w:uiPriority w:val="99"/>
    <w:qFormat/>
    <w:rPr>
      <w:color w:val="404040"/>
    </w:rPr>
    <w:tblPr>
      <w:tblCellMar>
        <w:top w:w="0" w:type="dxa"/>
        <w:left w:w="0" w:type="dxa"/>
        <w:bottom w:w="0" w:type="dxa"/>
        <w:right w:w="0" w:type="dxa"/>
      </w:tblCellMar>
    </w:tblPr>
  </w:style>
  <w:style w:type="table" w:customStyle="1" w:styleId="Lined-Accent4">
    <w:name w:val="Lined - Accent 4"/>
    <w:uiPriority w:val="99"/>
    <w:qFormat/>
    <w:rPr>
      <w:color w:val="404040"/>
    </w:rPr>
    <w:tblPr>
      <w:tblCellMar>
        <w:top w:w="0" w:type="dxa"/>
        <w:left w:w="0" w:type="dxa"/>
        <w:bottom w:w="0" w:type="dxa"/>
        <w:right w:w="0" w:type="dxa"/>
      </w:tblCellMar>
    </w:tblPr>
  </w:style>
  <w:style w:type="table" w:customStyle="1" w:styleId="Lined-Accent5">
    <w:name w:val="Lined - Accent 5"/>
    <w:uiPriority w:val="99"/>
    <w:qFormat/>
    <w:rPr>
      <w:color w:val="404040"/>
    </w:rPr>
    <w:tblPr>
      <w:tblCellMar>
        <w:top w:w="0" w:type="dxa"/>
        <w:left w:w="0" w:type="dxa"/>
        <w:bottom w:w="0" w:type="dxa"/>
        <w:right w:w="0" w:type="dxa"/>
      </w:tblCellMar>
    </w:tblPr>
  </w:style>
  <w:style w:type="table" w:customStyle="1" w:styleId="Lined-Accent6">
    <w:name w:val="Lined - Accent 6"/>
    <w:uiPriority w:val="99"/>
    <w:qFormat/>
    <w:rPr>
      <w:color w:val="404040"/>
    </w:rPr>
    <w:tblPr>
      <w:tblCellMar>
        <w:top w:w="0" w:type="dxa"/>
        <w:left w:w="0" w:type="dxa"/>
        <w:bottom w:w="0" w:type="dxa"/>
        <w:right w:w="0" w:type="dxa"/>
      </w:tblCellMar>
    </w:tblPr>
  </w:style>
  <w:style w:type="table" w:customStyle="1" w:styleId="BorderedLined-Accent">
    <w:name w:val="Bordered &amp; Lined - Accent"/>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qFormat/>
    <w:rPr>
      <w:color w:val="404040"/>
    </w:rPr>
    <w:tblPr>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qFormat/>
    <w:rPr>
      <w:color w:val="404040"/>
    </w:rPr>
    <w:tblPr>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qFormat/>
    <w:rPr>
      <w:color w:val="404040"/>
    </w:rPr>
    <w:tblPr>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qFormat/>
    <w:rPr>
      <w:color w:val="404040"/>
    </w:rPr>
    <w:tblPr>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qFormat/>
    <w:rPr>
      <w:color w:val="404040"/>
    </w:rPr>
    <w:tblPr>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qFormat/>
    <w:rPr>
      <w:color w:val="404040"/>
    </w:rPr>
    <w:tblPr>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qFormat/>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qFormat/>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qFormat/>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qFormat/>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customStyle="1" w:styleId="Char3">
    <w:name w:val="脚注文本 Char"/>
    <w:link w:val="a8"/>
    <w:uiPriority w:val="99"/>
    <w:qFormat/>
    <w:rPr>
      <w:sz w:val="18"/>
    </w:rPr>
  </w:style>
  <w:style w:type="character" w:customStyle="1" w:styleId="Char">
    <w:name w:val="尾注文本 Char"/>
    <w:link w:val="a4"/>
    <w:uiPriority w:val="99"/>
    <w:qFormat/>
    <w:rPr>
      <w:sz w:val="20"/>
    </w:rPr>
  </w:style>
  <w:style w:type="paragraph" w:customStyle="1" w:styleId="TOC1">
    <w:name w:val="TOC 标题1"/>
    <w:uiPriority w:val="39"/>
    <w:unhideWhenUsed/>
    <w:qFormat/>
  </w:style>
  <w:style w:type="paragraph" w:customStyle="1" w:styleId="12">
    <w:name w:val="正文1"/>
    <w:link w:val="serial-tag"/>
    <w:qFormat/>
    <w:pPr>
      <w:widowControl w:val="0"/>
      <w:jc w:val="both"/>
    </w:pPr>
    <w:rPr>
      <w:sz w:val="21"/>
      <w:szCs w:val="24"/>
    </w:rPr>
  </w:style>
  <w:style w:type="paragraph" w:customStyle="1" w:styleId="112">
    <w:name w:val="标题 11"/>
    <w:basedOn w:val="12"/>
    <w:next w:val="12"/>
    <w:link w:val="13"/>
    <w:qFormat/>
    <w:pPr>
      <w:keepNext/>
      <w:keepLines/>
      <w:spacing w:before="120" w:after="120" w:line="360" w:lineRule="auto"/>
      <w:outlineLvl w:val="0"/>
    </w:pPr>
    <w:rPr>
      <w:rFonts w:ascii="宋体"/>
      <w:b/>
      <w:color w:val="000000"/>
      <w:sz w:val="24"/>
      <w:szCs w:val="20"/>
    </w:rPr>
  </w:style>
  <w:style w:type="paragraph" w:customStyle="1" w:styleId="212">
    <w:name w:val="标题 21"/>
    <w:basedOn w:val="12"/>
    <w:next w:val="12"/>
    <w:link w:val="22"/>
    <w:qFormat/>
    <w:pPr>
      <w:keepNext/>
      <w:keepLines/>
      <w:spacing w:before="120" w:after="120" w:line="360" w:lineRule="auto"/>
      <w:outlineLvl w:val="1"/>
    </w:pPr>
    <w:rPr>
      <w:rFonts w:ascii="宋体" w:hAnsi="Arial"/>
      <w:b/>
      <w:szCs w:val="20"/>
    </w:rPr>
  </w:style>
  <w:style w:type="character" w:customStyle="1" w:styleId="14">
    <w:name w:val="默认段落字体1"/>
    <w:qFormat/>
  </w:style>
  <w:style w:type="table" w:customStyle="1" w:styleId="15">
    <w:name w:val="普通表格1"/>
    <w:qFormat/>
    <w:tblPr>
      <w:tblCellMar>
        <w:top w:w="0" w:type="dxa"/>
        <w:left w:w="0" w:type="dxa"/>
        <w:bottom w:w="0" w:type="dxa"/>
        <w:right w:w="0" w:type="dxa"/>
      </w:tblCellMar>
    </w:tblPr>
  </w:style>
  <w:style w:type="character" w:customStyle="1" w:styleId="13">
    <w:name w:val="标题 1 字符"/>
    <w:link w:val="112"/>
    <w:qFormat/>
    <w:rPr>
      <w:b/>
      <w:bCs/>
      <w:sz w:val="44"/>
      <w:szCs w:val="44"/>
    </w:rPr>
  </w:style>
  <w:style w:type="character" w:customStyle="1" w:styleId="22">
    <w:name w:val="标题 2 字符"/>
    <w:link w:val="212"/>
    <w:semiHidden/>
    <w:qFormat/>
    <w:rPr>
      <w:rFonts w:ascii="Cambria" w:eastAsia="宋体" w:hAnsi="Cambria"/>
      <w:b/>
      <w:bCs/>
      <w:sz w:val="32"/>
      <w:szCs w:val="32"/>
    </w:rPr>
  </w:style>
  <w:style w:type="paragraph" w:customStyle="1" w:styleId="711">
    <w:name w:val="目录 71"/>
    <w:basedOn w:val="12"/>
    <w:next w:val="12"/>
    <w:semiHidden/>
    <w:qFormat/>
    <w:pPr>
      <w:ind w:leftChars="1200" w:left="2520"/>
    </w:pPr>
  </w:style>
  <w:style w:type="paragraph" w:customStyle="1" w:styleId="16">
    <w:name w:val="文档结构图1"/>
    <w:basedOn w:val="12"/>
    <w:link w:val="af3"/>
    <w:semiHidden/>
    <w:qFormat/>
    <w:pPr>
      <w:shd w:val="clear" w:color="000080" w:fill="000080"/>
    </w:pPr>
  </w:style>
  <w:style w:type="character" w:customStyle="1" w:styleId="af3">
    <w:name w:val="文档结构图 字符"/>
    <w:link w:val="16"/>
    <w:semiHidden/>
    <w:qFormat/>
    <w:rPr>
      <w:sz w:val="2"/>
    </w:rPr>
  </w:style>
  <w:style w:type="paragraph" w:customStyle="1" w:styleId="17">
    <w:name w:val="批注文字1"/>
    <w:basedOn w:val="12"/>
    <w:link w:val="af4"/>
    <w:semiHidden/>
    <w:qFormat/>
    <w:pPr>
      <w:jc w:val="left"/>
    </w:pPr>
  </w:style>
  <w:style w:type="character" w:customStyle="1" w:styleId="af4">
    <w:name w:val="批注文字 字符"/>
    <w:link w:val="17"/>
    <w:semiHidden/>
    <w:qFormat/>
    <w:rPr>
      <w:sz w:val="24"/>
      <w:szCs w:val="24"/>
    </w:rPr>
  </w:style>
  <w:style w:type="paragraph" w:customStyle="1" w:styleId="18">
    <w:name w:val="正文文本1"/>
    <w:basedOn w:val="12"/>
    <w:link w:val="af5"/>
    <w:qFormat/>
    <w:pPr>
      <w:tabs>
        <w:tab w:val="left" w:pos="3780"/>
      </w:tabs>
      <w:autoSpaceDE w:val="0"/>
      <w:autoSpaceDN w:val="0"/>
      <w:spacing w:line="360" w:lineRule="auto"/>
      <w:outlineLvl w:val="0"/>
    </w:pPr>
    <w:rPr>
      <w:rFonts w:ascii="宋体" w:hAnsi="宋体"/>
      <w:b/>
      <w:bCs/>
      <w:color w:val="FF0000"/>
      <w:sz w:val="24"/>
    </w:rPr>
  </w:style>
  <w:style w:type="character" w:customStyle="1" w:styleId="af5">
    <w:name w:val="正文文本 字符"/>
    <w:link w:val="18"/>
    <w:semiHidden/>
    <w:qFormat/>
    <w:rPr>
      <w:sz w:val="24"/>
      <w:szCs w:val="24"/>
    </w:rPr>
  </w:style>
  <w:style w:type="paragraph" w:customStyle="1" w:styleId="19">
    <w:name w:val="正文文本缩进1"/>
    <w:basedOn w:val="12"/>
    <w:link w:val="af6"/>
    <w:qFormat/>
    <w:pPr>
      <w:spacing w:line="360" w:lineRule="auto"/>
      <w:ind w:firstLine="420"/>
    </w:pPr>
    <w:rPr>
      <w:szCs w:val="20"/>
    </w:rPr>
  </w:style>
  <w:style w:type="character" w:customStyle="1" w:styleId="af6">
    <w:name w:val="正文文本缩进 字符"/>
    <w:link w:val="19"/>
    <w:qFormat/>
    <w:rPr>
      <w:sz w:val="24"/>
      <w:szCs w:val="24"/>
    </w:rPr>
  </w:style>
  <w:style w:type="paragraph" w:customStyle="1" w:styleId="512">
    <w:name w:val="目录 51"/>
    <w:basedOn w:val="12"/>
    <w:next w:val="12"/>
    <w:semiHidden/>
    <w:qFormat/>
    <w:pPr>
      <w:ind w:leftChars="800" w:left="1680"/>
    </w:pPr>
  </w:style>
  <w:style w:type="paragraph" w:customStyle="1" w:styleId="312">
    <w:name w:val="目录 31"/>
    <w:basedOn w:val="12"/>
    <w:next w:val="12"/>
    <w:semiHidden/>
    <w:qFormat/>
    <w:pPr>
      <w:ind w:leftChars="400" w:left="840"/>
    </w:pPr>
  </w:style>
  <w:style w:type="paragraph" w:customStyle="1" w:styleId="81">
    <w:name w:val="目录 81"/>
    <w:basedOn w:val="12"/>
    <w:next w:val="12"/>
    <w:semiHidden/>
    <w:qFormat/>
    <w:pPr>
      <w:ind w:leftChars="1400" w:left="2940"/>
    </w:pPr>
  </w:style>
  <w:style w:type="paragraph" w:customStyle="1" w:styleId="213">
    <w:name w:val="正文文本缩进 21"/>
    <w:basedOn w:val="12"/>
    <w:link w:val="23"/>
    <w:qFormat/>
    <w:pPr>
      <w:tabs>
        <w:tab w:val="left" w:pos="1260"/>
      </w:tabs>
      <w:spacing w:line="360" w:lineRule="auto"/>
      <w:ind w:firstLineChars="200" w:firstLine="480"/>
    </w:pPr>
    <w:rPr>
      <w:rFonts w:ascii="宋体" w:hAnsi="宋体"/>
      <w:sz w:val="24"/>
    </w:rPr>
  </w:style>
  <w:style w:type="character" w:customStyle="1" w:styleId="23">
    <w:name w:val="正文文本缩进 2 字符"/>
    <w:link w:val="213"/>
    <w:semiHidden/>
    <w:qFormat/>
    <w:rPr>
      <w:sz w:val="24"/>
      <w:szCs w:val="24"/>
    </w:rPr>
  </w:style>
  <w:style w:type="paragraph" w:customStyle="1" w:styleId="1a">
    <w:name w:val="批注框文本1"/>
    <w:basedOn w:val="12"/>
    <w:link w:val="af7"/>
    <w:semiHidden/>
    <w:qFormat/>
    <w:rPr>
      <w:sz w:val="18"/>
      <w:szCs w:val="18"/>
    </w:rPr>
  </w:style>
  <w:style w:type="character" w:customStyle="1" w:styleId="af7">
    <w:name w:val="批注框文本 字符"/>
    <w:link w:val="1a"/>
    <w:semiHidden/>
    <w:qFormat/>
    <w:rPr>
      <w:sz w:val="2"/>
    </w:rPr>
  </w:style>
  <w:style w:type="paragraph" w:customStyle="1" w:styleId="1b">
    <w:name w:val="页脚1"/>
    <w:basedOn w:val="12"/>
    <w:link w:val="af8"/>
    <w:qFormat/>
    <w:pPr>
      <w:tabs>
        <w:tab w:val="center" w:pos="4153"/>
        <w:tab w:val="right" w:pos="8306"/>
      </w:tabs>
      <w:snapToGrid w:val="0"/>
      <w:jc w:val="left"/>
    </w:pPr>
    <w:rPr>
      <w:sz w:val="18"/>
      <w:szCs w:val="18"/>
    </w:rPr>
  </w:style>
  <w:style w:type="character" w:customStyle="1" w:styleId="af8">
    <w:name w:val="页脚 字符"/>
    <w:link w:val="1b"/>
    <w:semiHidden/>
    <w:qFormat/>
    <w:rPr>
      <w:sz w:val="18"/>
      <w:szCs w:val="18"/>
    </w:rPr>
  </w:style>
  <w:style w:type="paragraph" w:customStyle="1" w:styleId="1c">
    <w:name w:val="页眉1"/>
    <w:basedOn w:val="12"/>
    <w:link w:val="af9"/>
    <w:qFormat/>
    <w:pPr>
      <w:pBdr>
        <w:bottom w:val="single" w:sz="6" w:space="1" w:color="000000"/>
      </w:pBdr>
      <w:tabs>
        <w:tab w:val="center" w:pos="4153"/>
        <w:tab w:val="right" w:pos="8306"/>
      </w:tabs>
      <w:snapToGrid w:val="0"/>
      <w:jc w:val="center"/>
    </w:pPr>
    <w:rPr>
      <w:sz w:val="18"/>
      <w:szCs w:val="18"/>
    </w:rPr>
  </w:style>
  <w:style w:type="character" w:customStyle="1" w:styleId="af9">
    <w:name w:val="页眉 字符"/>
    <w:link w:val="1c"/>
    <w:semiHidden/>
    <w:qFormat/>
    <w:rPr>
      <w:sz w:val="18"/>
      <w:szCs w:val="18"/>
    </w:rPr>
  </w:style>
  <w:style w:type="paragraph" w:customStyle="1" w:styleId="113">
    <w:name w:val="目录 11"/>
    <w:basedOn w:val="12"/>
    <w:next w:val="12"/>
    <w:qFormat/>
    <w:pPr>
      <w:tabs>
        <w:tab w:val="right" w:leader="dot" w:pos="8455"/>
      </w:tabs>
      <w:spacing w:before="120" w:line="360" w:lineRule="auto"/>
      <w:ind w:firstLine="425"/>
      <w:jc w:val="left"/>
    </w:pPr>
    <w:rPr>
      <w:b/>
      <w:caps/>
      <w:sz w:val="20"/>
      <w:szCs w:val="20"/>
    </w:rPr>
  </w:style>
  <w:style w:type="paragraph" w:customStyle="1" w:styleId="412">
    <w:name w:val="目录 41"/>
    <w:basedOn w:val="12"/>
    <w:next w:val="12"/>
    <w:semiHidden/>
    <w:qFormat/>
    <w:pPr>
      <w:ind w:leftChars="600" w:left="1260"/>
    </w:pPr>
  </w:style>
  <w:style w:type="paragraph" w:customStyle="1" w:styleId="611">
    <w:name w:val="目录 61"/>
    <w:basedOn w:val="12"/>
    <w:next w:val="12"/>
    <w:semiHidden/>
    <w:qFormat/>
    <w:pPr>
      <w:ind w:leftChars="1000" w:left="2100"/>
    </w:pPr>
  </w:style>
  <w:style w:type="paragraph" w:customStyle="1" w:styleId="214">
    <w:name w:val="目录 21"/>
    <w:basedOn w:val="12"/>
    <w:next w:val="12"/>
    <w:semiHidden/>
    <w:qFormat/>
    <w:pPr>
      <w:ind w:leftChars="200" w:left="420"/>
    </w:pPr>
  </w:style>
  <w:style w:type="paragraph" w:customStyle="1" w:styleId="91">
    <w:name w:val="目录 91"/>
    <w:basedOn w:val="12"/>
    <w:next w:val="12"/>
    <w:semiHidden/>
    <w:pPr>
      <w:ind w:leftChars="1600" w:left="3360"/>
    </w:pPr>
  </w:style>
  <w:style w:type="paragraph" w:customStyle="1" w:styleId="215">
    <w:name w:val="正文文本 21"/>
    <w:basedOn w:val="12"/>
    <w:link w:val="24"/>
    <w:qFormat/>
    <w:pPr>
      <w:tabs>
        <w:tab w:val="left" w:pos="3780"/>
      </w:tabs>
      <w:autoSpaceDE w:val="0"/>
      <w:autoSpaceDN w:val="0"/>
      <w:spacing w:line="300" w:lineRule="auto"/>
      <w:outlineLvl w:val="0"/>
    </w:pPr>
    <w:rPr>
      <w:rFonts w:ascii="宋体" w:hAnsi="宋体"/>
      <w:b/>
      <w:bCs/>
      <w:sz w:val="24"/>
    </w:rPr>
  </w:style>
  <w:style w:type="character" w:customStyle="1" w:styleId="24">
    <w:name w:val="正文文本 2 字符"/>
    <w:link w:val="215"/>
    <w:semiHidden/>
    <w:qFormat/>
    <w:rPr>
      <w:sz w:val="24"/>
      <w:szCs w:val="24"/>
    </w:rPr>
  </w:style>
  <w:style w:type="paragraph" w:customStyle="1" w:styleId="1d">
    <w:name w:val="批注主题1"/>
    <w:basedOn w:val="17"/>
    <w:next w:val="17"/>
    <w:link w:val="afa"/>
    <w:semiHidden/>
    <w:rPr>
      <w:b/>
      <w:bCs/>
    </w:rPr>
  </w:style>
  <w:style w:type="character" w:customStyle="1" w:styleId="afa">
    <w:name w:val="批注主题 字符"/>
    <w:link w:val="1d"/>
    <w:semiHidden/>
    <w:qFormat/>
    <w:rPr>
      <w:b/>
      <w:bCs/>
      <w:sz w:val="24"/>
      <w:szCs w:val="24"/>
    </w:rPr>
  </w:style>
  <w:style w:type="character" w:customStyle="1" w:styleId="1e">
    <w:name w:val="页码1"/>
    <w:qFormat/>
  </w:style>
  <w:style w:type="character" w:customStyle="1" w:styleId="1f">
    <w:name w:val="超链接1"/>
    <w:qFormat/>
    <w:rPr>
      <w:color w:val="0000FF"/>
      <w:u w:val="single"/>
    </w:rPr>
  </w:style>
  <w:style w:type="character" w:customStyle="1" w:styleId="1f0">
    <w:name w:val="批注引用1"/>
    <w:semiHidden/>
    <w:qFormat/>
    <w:rPr>
      <w:sz w:val="21"/>
    </w:rPr>
  </w:style>
  <w:style w:type="paragraph" w:customStyle="1" w:styleId="afb">
    <w:name w:val="正文所"/>
    <w:basedOn w:val="12"/>
    <w:qFormat/>
    <w:pPr>
      <w:spacing w:line="360" w:lineRule="auto"/>
      <w:ind w:firstLine="420"/>
    </w:pPr>
  </w:style>
  <w:style w:type="paragraph" w:customStyle="1" w:styleId="2025025">
    <w:name w:val="样式 首行缩进:  2 字符 段前: 0.25 行 段后: 0.25 行"/>
    <w:basedOn w:val="12"/>
    <w:qFormat/>
    <w:pPr>
      <w:spacing w:line="300" w:lineRule="auto"/>
      <w:ind w:firstLineChars="200" w:firstLine="420"/>
    </w:pPr>
    <w:rPr>
      <w:szCs w:val="21"/>
    </w:rPr>
  </w:style>
  <w:style w:type="paragraph" w:customStyle="1" w:styleId="Default">
    <w:name w:val="Default"/>
    <w:qFormat/>
    <w:pPr>
      <w:widowControl w:val="0"/>
      <w:autoSpaceDE w:val="0"/>
      <w:autoSpaceDN w:val="0"/>
    </w:pPr>
    <w:rPr>
      <w:rFonts w:ascii="宋体"/>
      <w:color w:val="000000"/>
      <w:sz w:val="24"/>
      <w:szCs w:val="24"/>
    </w:rPr>
  </w:style>
  <w:style w:type="paragraph" w:customStyle="1" w:styleId="ParaChar">
    <w:name w:val="默认段落字体 Para Char"/>
    <w:basedOn w:val="12"/>
    <w:qFormat/>
  </w:style>
  <w:style w:type="paragraph" w:customStyle="1" w:styleId="Char7">
    <w:name w:val="Char"/>
    <w:basedOn w:val="12"/>
    <w:qFormat/>
  </w:style>
  <w:style w:type="paragraph" w:customStyle="1" w:styleId="UCAlpha2">
    <w:name w:val="UCAlpha 2"/>
    <w:basedOn w:val="12"/>
    <w:qFormat/>
    <w:pPr>
      <w:widowControl/>
      <w:numPr>
        <w:numId w:val="1"/>
      </w:numPr>
      <w:spacing w:after="140" w:line="290" w:lineRule="auto"/>
    </w:pPr>
    <w:rPr>
      <w:rFonts w:ascii="Arial" w:hAnsi="Arial"/>
      <w:sz w:val="20"/>
      <w:lang w:val="en-GB" w:eastAsia="en-US"/>
    </w:rPr>
  </w:style>
  <w:style w:type="paragraph" w:customStyle="1" w:styleId="afc">
    <w:name w:val="合同正文"/>
    <w:basedOn w:val="12"/>
    <w:link w:val="Char8"/>
    <w:qFormat/>
    <w:pPr>
      <w:spacing w:line="360" w:lineRule="auto"/>
      <w:ind w:firstLineChars="200" w:firstLine="200"/>
    </w:pPr>
    <w:rPr>
      <w:bCs/>
      <w:sz w:val="24"/>
      <w:szCs w:val="20"/>
    </w:rPr>
  </w:style>
  <w:style w:type="character" w:customStyle="1" w:styleId="Char8">
    <w:name w:val="合同正文 Char"/>
    <w:link w:val="afc"/>
    <w:qFormat/>
    <w:rPr>
      <w:bCs/>
      <w:sz w:val="24"/>
      <w:szCs w:val="20"/>
    </w:rPr>
  </w:style>
  <w:style w:type="paragraph" w:customStyle="1" w:styleId="1f1">
    <w:name w:val="修订1"/>
    <w:semiHidden/>
    <w:qFormat/>
    <w:rPr>
      <w:sz w:val="21"/>
      <w:szCs w:val="24"/>
    </w:rPr>
  </w:style>
  <w:style w:type="paragraph" w:customStyle="1" w:styleId="afd">
    <w:name w:val="列表段落"/>
    <w:basedOn w:val="12"/>
    <w:qFormat/>
    <w:pPr>
      <w:ind w:firstLineChars="200" w:firstLine="420"/>
    </w:pPr>
    <w:rPr>
      <w:rFonts w:ascii="Calibri" w:hAnsi="Calibri"/>
      <w:szCs w:val="22"/>
    </w:rPr>
  </w:style>
  <w:style w:type="paragraph" w:customStyle="1" w:styleId="CharChar">
    <w:name w:val="Char Char"/>
    <w:basedOn w:val="12"/>
    <w:qFormat/>
    <w:rPr>
      <w:szCs w:val="20"/>
    </w:rPr>
  </w:style>
  <w:style w:type="paragraph" w:customStyle="1" w:styleId="CharChar1">
    <w:name w:val="Char Char1"/>
    <w:basedOn w:val="12"/>
    <w:qFormat/>
    <w:rPr>
      <w:szCs w:val="20"/>
    </w:rPr>
  </w:style>
  <w:style w:type="character" w:customStyle="1" w:styleId="read">
    <w:name w:val="read"/>
    <w:qFormat/>
  </w:style>
  <w:style w:type="paragraph" w:customStyle="1" w:styleId="div">
    <w:name w:val="div"/>
    <w:basedOn w:val="12"/>
    <w:qFormat/>
  </w:style>
  <w:style w:type="character" w:customStyle="1" w:styleId="custom">
    <w:name w:val="custom"/>
    <w:qFormat/>
  </w:style>
  <w:style w:type="character" w:customStyle="1" w:styleId="serial-tag">
    <w:name w:val="serial-tag"/>
    <w:link w:val="12"/>
    <w:qFormat/>
  </w:style>
  <w:style w:type="character" w:styleId="afe">
    <w:name w:val="annotation reference"/>
    <w:uiPriority w:val="99"/>
    <w:semiHidden/>
    <w:unhideWhenUsed/>
    <w:rsid w:val="00BD3FA2"/>
    <w:rPr>
      <w:sz w:val="21"/>
      <w:szCs w:val="21"/>
    </w:rPr>
  </w:style>
  <w:style w:type="paragraph" w:styleId="aff">
    <w:name w:val="annotation text"/>
    <w:basedOn w:val="a"/>
    <w:link w:val="Char9"/>
    <w:uiPriority w:val="99"/>
    <w:semiHidden/>
    <w:unhideWhenUsed/>
    <w:rsid w:val="00BD3FA2"/>
  </w:style>
  <w:style w:type="character" w:customStyle="1" w:styleId="Char9">
    <w:name w:val="批注文字 Char"/>
    <w:basedOn w:val="a0"/>
    <w:link w:val="aff"/>
    <w:uiPriority w:val="99"/>
    <w:semiHidden/>
    <w:rsid w:val="00BD3FA2"/>
  </w:style>
  <w:style w:type="paragraph" w:styleId="aff0">
    <w:name w:val="annotation subject"/>
    <w:basedOn w:val="aff"/>
    <w:next w:val="aff"/>
    <w:link w:val="Chara"/>
    <w:uiPriority w:val="99"/>
    <w:semiHidden/>
    <w:unhideWhenUsed/>
    <w:rsid w:val="00BD3FA2"/>
    <w:rPr>
      <w:b/>
      <w:bCs/>
    </w:rPr>
  </w:style>
  <w:style w:type="character" w:customStyle="1" w:styleId="Chara">
    <w:name w:val="批注主题 Char"/>
    <w:link w:val="aff0"/>
    <w:uiPriority w:val="99"/>
    <w:semiHidden/>
    <w:rsid w:val="00BD3FA2"/>
    <w:rPr>
      <w:b/>
      <w:bCs/>
    </w:rPr>
  </w:style>
  <w:style w:type="paragraph" w:styleId="aff1">
    <w:name w:val="Balloon Text"/>
    <w:basedOn w:val="a"/>
    <w:link w:val="Charb"/>
    <w:uiPriority w:val="99"/>
    <w:semiHidden/>
    <w:unhideWhenUsed/>
    <w:rsid w:val="00BD3FA2"/>
    <w:rPr>
      <w:sz w:val="18"/>
      <w:szCs w:val="18"/>
    </w:rPr>
  </w:style>
  <w:style w:type="character" w:customStyle="1" w:styleId="Charb">
    <w:name w:val="批注框文本 Char"/>
    <w:link w:val="aff1"/>
    <w:uiPriority w:val="99"/>
    <w:semiHidden/>
    <w:rsid w:val="00BD3F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74B58-7A69-4813-9A39-615E7AABD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4514</Words>
  <Characters>25731</Characters>
  <Application>Microsoft Office Word</Application>
  <DocSecurity>0</DocSecurity>
  <Lines>214</Lines>
  <Paragraphs>60</Paragraphs>
  <ScaleCrop>false</ScaleCrop>
  <Company/>
  <LinksUpToDate>false</LinksUpToDate>
  <CharactersWithSpaces>30185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王星汉202506</dc:creator>
  <cp:lastModifiedBy>谭蓉</cp:lastModifiedBy>
  <cp:revision>6</cp:revision>
  <dcterms:created xsi:type="dcterms:W3CDTF">2025-06-18T05:41:00Z</dcterms:created>
  <dcterms:modified xsi:type="dcterms:W3CDTF">2025-11-21T07:46:00Z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39603170FA02417DAB587F9AFB3B8415_12</vt:lpwstr>
  </property>
</Properties>
</file>