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0"/>
        <w:gridCol w:w="1380"/>
        <w:gridCol w:w="1380"/>
        <w:gridCol w:w="1380"/>
        <w:gridCol w:w="690"/>
        <w:gridCol w:w="690"/>
        <w:gridCol w:w="690"/>
        <w:gridCol w:w="690"/>
        <w:gridCol w:w="810"/>
        <w:gridCol w:w="810"/>
      </w:tblGrid>
      <w:tr w:rsidR="00920473">
        <w:trPr>
          <w:trHeight w:hRule="exact" w:val="285"/>
        </w:trPr>
        <w:tc>
          <w:tcPr>
            <w:tcW w:w="2430" w:type="dxa"/>
            <w:gridSpan w:val="2"/>
            <w:tcBorders>
              <w:top w:val="nil"/>
              <w:left w:val="nil"/>
              <w:bottom w:val="nil"/>
              <w:right w:val="nil"/>
            </w:tcBorders>
            <w:shd w:val="clear" w:color="auto" w:fill="auto"/>
            <w:tcMar>
              <w:left w:w="80" w:type="dxa"/>
              <w:right w:w="80" w:type="dxa"/>
            </w:tcMar>
            <w:vAlign w:val="center"/>
          </w:tcPr>
          <w:p w:rsidR="00920473" w:rsidRDefault="00920473">
            <w:pPr>
              <w:jc w:val="center"/>
            </w:pPr>
          </w:p>
        </w:tc>
        <w:tc>
          <w:tcPr>
            <w:tcW w:w="2760" w:type="dxa"/>
            <w:gridSpan w:val="2"/>
            <w:tcBorders>
              <w:top w:val="nil"/>
              <w:left w:val="nil"/>
              <w:bottom w:val="nil"/>
              <w:right w:val="nil"/>
            </w:tcBorders>
            <w:shd w:val="clear" w:color="auto" w:fill="auto"/>
            <w:tcMar>
              <w:left w:w="80" w:type="dxa"/>
              <w:right w:w="80" w:type="dxa"/>
            </w:tcMar>
            <w:vAlign w:val="center"/>
          </w:tcPr>
          <w:p w:rsidR="00920473" w:rsidRDefault="00920473">
            <w:pPr>
              <w:jc w:val="center"/>
            </w:pPr>
          </w:p>
        </w:tc>
        <w:tc>
          <w:tcPr>
            <w:tcW w:w="690" w:type="dxa"/>
            <w:tcBorders>
              <w:top w:val="nil"/>
              <w:left w:val="nil"/>
              <w:bottom w:val="nil"/>
              <w:right w:val="nil"/>
            </w:tcBorders>
            <w:shd w:val="clear" w:color="auto" w:fill="auto"/>
            <w:tcMar>
              <w:left w:w="80" w:type="dxa"/>
              <w:right w:w="80" w:type="dxa"/>
            </w:tcMar>
            <w:vAlign w:val="center"/>
          </w:tcPr>
          <w:p w:rsidR="00920473" w:rsidRDefault="00920473"/>
        </w:tc>
        <w:tc>
          <w:tcPr>
            <w:tcW w:w="690" w:type="dxa"/>
            <w:tcBorders>
              <w:top w:val="nil"/>
              <w:left w:val="nil"/>
              <w:bottom w:val="nil"/>
              <w:right w:val="nil"/>
            </w:tcBorders>
            <w:shd w:val="clear" w:color="auto" w:fill="auto"/>
            <w:tcMar>
              <w:left w:w="80" w:type="dxa"/>
              <w:right w:w="80" w:type="dxa"/>
            </w:tcMar>
            <w:vAlign w:val="center"/>
          </w:tcPr>
          <w:p w:rsidR="00920473" w:rsidRDefault="00920473"/>
        </w:tc>
        <w:tc>
          <w:tcPr>
            <w:tcW w:w="690" w:type="dxa"/>
            <w:tcBorders>
              <w:top w:val="nil"/>
              <w:left w:val="nil"/>
              <w:bottom w:val="nil"/>
              <w:right w:val="nil"/>
            </w:tcBorders>
            <w:shd w:val="clear" w:color="auto" w:fill="auto"/>
            <w:tcMar>
              <w:left w:w="80" w:type="dxa"/>
              <w:right w:w="80" w:type="dxa"/>
            </w:tcMar>
            <w:vAlign w:val="center"/>
          </w:tcPr>
          <w:p w:rsidR="00920473" w:rsidRDefault="00920473"/>
        </w:tc>
        <w:tc>
          <w:tcPr>
            <w:tcW w:w="690" w:type="dxa"/>
            <w:tcBorders>
              <w:top w:val="nil"/>
              <w:left w:val="nil"/>
              <w:bottom w:val="nil"/>
              <w:right w:val="nil"/>
            </w:tcBorders>
            <w:shd w:val="clear" w:color="auto" w:fill="auto"/>
            <w:tcMar>
              <w:left w:w="80" w:type="dxa"/>
              <w:right w:w="80" w:type="dxa"/>
            </w:tcMar>
            <w:vAlign w:val="center"/>
          </w:tcPr>
          <w:p w:rsidR="00920473" w:rsidRDefault="00920473"/>
        </w:tc>
        <w:tc>
          <w:tcPr>
            <w:tcW w:w="810" w:type="dxa"/>
            <w:tcBorders>
              <w:top w:val="nil"/>
              <w:left w:val="nil"/>
              <w:bottom w:val="nil"/>
              <w:right w:val="nil"/>
            </w:tcBorders>
            <w:shd w:val="clear" w:color="auto" w:fill="auto"/>
            <w:tcMar>
              <w:left w:w="80" w:type="dxa"/>
              <w:right w:w="80" w:type="dxa"/>
            </w:tcMar>
            <w:vAlign w:val="center"/>
          </w:tcPr>
          <w:p w:rsidR="00920473" w:rsidRDefault="00920473"/>
        </w:tc>
        <w:tc>
          <w:tcPr>
            <w:tcW w:w="810" w:type="dxa"/>
            <w:tcBorders>
              <w:top w:val="nil"/>
              <w:left w:val="nil"/>
              <w:bottom w:val="nil"/>
              <w:right w:val="nil"/>
            </w:tcBorders>
            <w:shd w:val="clear" w:color="auto" w:fill="auto"/>
            <w:tcMar>
              <w:left w:w="80" w:type="dxa"/>
              <w:right w:w="80" w:type="dxa"/>
            </w:tcMar>
            <w:vAlign w:val="center"/>
          </w:tcPr>
          <w:p w:rsidR="00920473" w:rsidRDefault="00920473"/>
        </w:tc>
      </w:tr>
      <w:tr w:rsidR="00920473">
        <w:trPr>
          <w:trHeight w:val="40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EA7D0B">
            <w:pPr>
              <w:jc w:val="center"/>
            </w:pPr>
            <w:r>
              <w:rPr>
                <w:rFonts w:ascii="FangSong" w:eastAsia="FangSong" w:hAnsi="FangSong" w:cs="FangSong"/>
                <w:b/>
                <w:color w:val="000000"/>
                <w:sz w:val="32"/>
              </w:rPr>
              <w:t>基金投顾</w:t>
            </w:r>
            <w:r>
              <w:rPr>
                <w:rFonts w:ascii="FangSong" w:eastAsia="FangSong" w:hAnsi="FangSong" w:cs="FangSong"/>
                <w:b/>
                <w:color w:val="000000"/>
                <w:sz w:val="32"/>
              </w:rPr>
              <w:t>“</w:t>
            </w:r>
            <w:r>
              <w:rPr>
                <w:rFonts w:ascii="FangSong" w:eastAsia="FangSong" w:hAnsi="FangSong" w:cs="FangSong"/>
                <w:b/>
                <w:color w:val="000000"/>
                <w:sz w:val="32"/>
              </w:rPr>
              <w:t>梦想家</w:t>
            </w:r>
            <w:r>
              <w:rPr>
                <w:rFonts w:ascii="FangSong" w:eastAsia="FangSong" w:hAnsi="FangSong" w:cs="FangSong"/>
                <w:b/>
                <w:color w:val="000000"/>
                <w:sz w:val="32"/>
              </w:rPr>
              <w:t>”</w:t>
            </w:r>
            <w:r>
              <w:rPr>
                <w:rFonts w:ascii="FangSong" w:eastAsia="FangSong" w:hAnsi="FangSong" w:cs="FangSong"/>
                <w:b/>
                <w:color w:val="000000"/>
                <w:sz w:val="32"/>
              </w:rPr>
              <w:t>组合</w:t>
            </w:r>
            <w:r>
              <w:rPr>
                <w:rFonts w:ascii="FangSong" w:eastAsia="FangSong" w:hAnsi="FangSong" w:cs="FangSong"/>
                <w:b/>
                <w:color w:val="000000"/>
                <w:sz w:val="32"/>
              </w:rPr>
              <w:br/>
            </w:r>
            <w:r>
              <w:rPr>
                <w:rFonts w:ascii="FangSong" w:eastAsia="FangSong" w:hAnsi="FangSong" w:cs="FangSong"/>
                <w:b/>
                <w:color w:val="000000"/>
                <w:sz w:val="32"/>
              </w:rPr>
              <w:br/>
              <w:t>2025-10-01</w:t>
            </w:r>
            <w:r>
              <w:rPr>
                <w:rFonts w:ascii="FangSong" w:eastAsia="FangSong" w:hAnsi="FangSong" w:cs="FangSong"/>
                <w:b/>
                <w:color w:val="000000"/>
                <w:sz w:val="32"/>
              </w:rPr>
              <w:t>至</w:t>
            </w:r>
            <w:r>
              <w:rPr>
                <w:rFonts w:ascii="FangSong" w:eastAsia="FangSong" w:hAnsi="FangSong" w:cs="FangSong"/>
                <w:b/>
                <w:color w:val="000000"/>
                <w:sz w:val="32"/>
              </w:rPr>
              <w:t>2025-10-31</w:t>
            </w:r>
            <w:r>
              <w:rPr>
                <w:rFonts w:ascii="FangSong" w:eastAsia="FangSong" w:hAnsi="FangSong" w:cs="FangSong"/>
                <w:b/>
                <w:color w:val="000000"/>
                <w:sz w:val="32"/>
              </w:rPr>
              <w:t>报告</w:t>
            </w:r>
          </w:p>
        </w:tc>
      </w:tr>
      <w:tr w:rsidR="00920473">
        <w:trPr>
          <w:trHeight w:hRule="exact" w:val="40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920473">
            <w:pPr>
              <w:jc w:val="center"/>
            </w:pPr>
          </w:p>
        </w:tc>
      </w:tr>
      <w:tr w:rsidR="00920473">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EA7D0B">
            <w:r>
              <w:rPr>
                <w:rFonts w:ascii="仿宋" w:eastAsia="仿宋" w:hAnsi="仿宋" w:cs="仿宋"/>
                <w:b/>
                <w:color w:val="000000"/>
              </w:rPr>
              <w:t>一、</w:t>
            </w:r>
            <w:r>
              <w:rPr>
                <w:rFonts w:ascii="仿宋" w:eastAsia="仿宋" w:hAnsi="仿宋" w:cs="仿宋"/>
                <w:b/>
                <w:color w:val="000000"/>
              </w:rPr>
              <w:tab/>
            </w:r>
            <w:r>
              <w:rPr>
                <w:rFonts w:ascii="仿宋" w:eastAsia="仿宋" w:hAnsi="仿宋" w:cs="仿宋"/>
                <w:b/>
                <w:color w:val="000000"/>
              </w:rPr>
              <w:t>组合业绩绩效</w:t>
            </w:r>
          </w:p>
        </w:tc>
      </w:tr>
      <w:tr w:rsidR="00920473">
        <w:trPr>
          <w:trHeight w:hRule="exact" w:val="285"/>
        </w:trPr>
        <w:tc>
          <w:tcPr>
            <w:tcW w:w="9570" w:type="dxa"/>
            <w:gridSpan w:val="10"/>
            <w:tcBorders>
              <w:top w:val="nil"/>
              <w:left w:val="nil"/>
              <w:bottom w:val="single" w:sz="4" w:space="0" w:color="000000"/>
              <w:right w:val="nil"/>
            </w:tcBorders>
            <w:shd w:val="clear" w:color="auto" w:fill="auto"/>
            <w:tcMar>
              <w:left w:w="80" w:type="dxa"/>
              <w:right w:w="80" w:type="dxa"/>
            </w:tcMar>
            <w:vAlign w:val="center"/>
          </w:tcPr>
          <w:p w:rsidR="00920473" w:rsidRDefault="00920473">
            <w:pPr>
              <w:jc w:val="center"/>
            </w:pPr>
          </w:p>
        </w:tc>
      </w:tr>
      <w:tr w:rsidR="00920473">
        <w:trPr>
          <w:trHeight w:val="285"/>
        </w:trPr>
        <w:tc>
          <w:tcPr>
            <w:tcW w:w="24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仿宋" w:eastAsia="仿宋" w:hAnsi="仿宋" w:cs="仿宋"/>
                <w:b/>
                <w:color w:val="000000"/>
                <w:sz w:val="22"/>
              </w:rPr>
              <w:t>策略</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仿宋" w:eastAsia="仿宋" w:hAnsi="仿宋" w:cs="仿宋"/>
                <w:b/>
                <w:color w:val="000000"/>
                <w:sz w:val="22"/>
              </w:rPr>
              <w:t>区间收益率</w:t>
            </w:r>
          </w:p>
        </w:tc>
        <w:tc>
          <w:tcPr>
            <w:tcW w:w="207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仿宋" w:eastAsia="仿宋" w:hAnsi="仿宋" w:cs="仿宋"/>
                <w:b/>
                <w:color w:val="000000"/>
                <w:sz w:val="22"/>
              </w:rPr>
              <w:t>最大回撤</w:t>
            </w:r>
          </w:p>
        </w:tc>
        <w:tc>
          <w:tcPr>
            <w:tcW w:w="231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仿宋" w:eastAsia="仿宋" w:hAnsi="仿宋" w:cs="仿宋"/>
                <w:b/>
                <w:color w:val="000000"/>
                <w:sz w:val="22"/>
              </w:rPr>
              <w:t>年化夏普率</w:t>
            </w:r>
          </w:p>
        </w:tc>
      </w:tr>
      <w:tr w:rsidR="00920473">
        <w:trPr>
          <w:trHeight w:val="285"/>
        </w:trPr>
        <w:tc>
          <w:tcPr>
            <w:tcW w:w="2430" w:type="dxa"/>
            <w:gridSpan w:val="2"/>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仿宋" w:eastAsia="仿宋" w:hAnsi="仿宋" w:cs="仿宋"/>
                <w:b/>
                <w:color w:val="000000"/>
                <w:sz w:val="22"/>
              </w:rPr>
              <w:t>本期</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仿宋" w:eastAsia="仿宋" w:hAnsi="仿宋" w:cs="仿宋"/>
                <w:b/>
                <w:color w:val="000000"/>
                <w:sz w:val="22"/>
              </w:rPr>
              <w:t>上线至今</w:t>
            </w:r>
          </w:p>
        </w:tc>
        <w:tc>
          <w:tcPr>
            <w:tcW w:w="207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仿宋" w:eastAsia="仿宋" w:hAnsi="仿宋" w:cs="仿宋"/>
                <w:b/>
                <w:color w:val="000000"/>
                <w:sz w:val="22"/>
              </w:rPr>
              <w:t>上线至今</w:t>
            </w:r>
          </w:p>
        </w:tc>
        <w:tc>
          <w:tcPr>
            <w:tcW w:w="231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仿宋" w:eastAsia="仿宋" w:hAnsi="仿宋" w:cs="仿宋"/>
                <w:b/>
                <w:color w:val="000000"/>
                <w:sz w:val="22"/>
              </w:rPr>
              <w:t>上线至今</w:t>
            </w:r>
          </w:p>
        </w:tc>
      </w:tr>
      <w:tr w:rsidR="00920473">
        <w:trPr>
          <w:trHeight w:val="285"/>
        </w:trPr>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仿宋" w:eastAsia="仿宋" w:hAnsi="仿宋" w:cs="仿宋"/>
                <w:b/>
                <w:color w:val="000000"/>
                <w:sz w:val="22"/>
              </w:rPr>
              <w:t>策略组合</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仿宋" w:eastAsia="仿宋" w:hAnsi="仿宋" w:cs="仿宋"/>
                <w:color w:val="000000"/>
                <w:sz w:val="22"/>
              </w:rPr>
              <w:t>0.0136%</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仿宋" w:eastAsia="仿宋" w:hAnsi="仿宋" w:cs="仿宋"/>
                <w:color w:val="000000"/>
                <w:sz w:val="22"/>
              </w:rPr>
              <w:t>11.05%</w:t>
            </w:r>
          </w:p>
        </w:tc>
        <w:tc>
          <w:tcPr>
            <w:tcW w:w="207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仿宋" w:eastAsia="仿宋" w:hAnsi="仿宋" w:cs="仿宋"/>
                <w:color w:val="000000"/>
                <w:sz w:val="22"/>
              </w:rPr>
              <w:t>6.12%</w:t>
            </w:r>
          </w:p>
        </w:tc>
        <w:tc>
          <w:tcPr>
            <w:tcW w:w="231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仿宋" w:eastAsia="仿宋" w:hAnsi="仿宋" w:cs="仿宋"/>
                <w:color w:val="000000"/>
                <w:sz w:val="22"/>
              </w:rPr>
              <w:t xml:space="preserve">0.76 </w:t>
            </w:r>
          </w:p>
        </w:tc>
      </w:tr>
      <w:tr w:rsidR="00920473">
        <w:trPr>
          <w:trHeight w:val="285"/>
        </w:trPr>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仿宋" w:eastAsia="仿宋" w:hAnsi="仿宋" w:cs="仿宋"/>
                <w:b/>
                <w:color w:val="000000"/>
                <w:sz w:val="22"/>
              </w:rPr>
              <w:t>基准</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仿宋" w:eastAsia="仿宋" w:hAnsi="仿宋" w:cs="仿宋"/>
                <w:color w:val="000000"/>
                <w:sz w:val="22"/>
              </w:rPr>
              <w:t>0.0958%</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仿宋" w:eastAsia="仿宋" w:hAnsi="仿宋" w:cs="仿宋"/>
                <w:color w:val="000000"/>
                <w:sz w:val="22"/>
              </w:rPr>
              <w:t>8.66%</w:t>
            </w:r>
          </w:p>
        </w:tc>
        <w:tc>
          <w:tcPr>
            <w:tcW w:w="207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仿宋" w:eastAsia="仿宋" w:hAnsi="仿宋" w:cs="仿宋"/>
                <w:color w:val="000000"/>
                <w:sz w:val="22"/>
              </w:rPr>
              <w:t>6.60%</w:t>
            </w:r>
          </w:p>
        </w:tc>
        <w:tc>
          <w:tcPr>
            <w:tcW w:w="231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仿宋" w:eastAsia="仿宋" w:hAnsi="仿宋" w:cs="仿宋"/>
                <w:color w:val="000000"/>
                <w:sz w:val="22"/>
              </w:rPr>
              <w:t xml:space="preserve">0.62 </w:t>
            </w:r>
          </w:p>
        </w:tc>
      </w:tr>
      <w:tr w:rsidR="00920473">
        <w:trPr>
          <w:trHeight w:hRule="exact" w:val="285"/>
        </w:trPr>
        <w:tc>
          <w:tcPr>
            <w:tcW w:w="9570" w:type="dxa"/>
            <w:gridSpan w:val="10"/>
            <w:tcBorders>
              <w:top w:val="single" w:sz="4" w:space="0" w:color="000000"/>
              <w:left w:val="nil"/>
              <w:bottom w:val="nil"/>
              <w:right w:val="nil"/>
            </w:tcBorders>
            <w:shd w:val="clear" w:color="auto" w:fill="auto"/>
            <w:tcMar>
              <w:left w:w="80" w:type="dxa"/>
              <w:right w:w="80" w:type="dxa"/>
            </w:tcMar>
            <w:vAlign w:val="center"/>
          </w:tcPr>
          <w:p w:rsidR="00920473" w:rsidRDefault="00920473">
            <w:pPr>
              <w:jc w:val="center"/>
            </w:pPr>
          </w:p>
        </w:tc>
      </w:tr>
      <w:tr w:rsidR="00920473">
        <w:trPr>
          <w:trHeight w:hRule="exact" w:val="285"/>
        </w:trPr>
        <w:tc>
          <w:tcPr>
            <w:tcW w:w="9570" w:type="dxa"/>
            <w:gridSpan w:val="10"/>
            <w:tcBorders>
              <w:top w:val="nil"/>
              <w:left w:val="nil"/>
              <w:bottom w:val="nil"/>
              <w:right w:val="nil"/>
            </w:tcBorders>
            <w:shd w:val="clear" w:color="auto" w:fill="auto"/>
            <w:tcMar>
              <w:left w:w="0" w:type="dxa"/>
              <w:right w:w="0" w:type="dxa"/>
            </w:tcMar>
            <w:vAlign w:val="center"/>
          </w:tcPr>
          <w:p w:rsidR="00920473" w:rsidRDefault="00EA7D0B">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pt;margin-top:4.5pt;width:471.75pt;height:135pt;z-index:251658240;mso-position-horizontal-relative:text;mso-position-vertical-relative:text">
                  <v:imagedata r:id="rId6" o:title=""/>
                  <v:path strokeok="f"/>
                </v:shape>
              </w:pict>
            </w:r>
          </w:p>
        </w:tc>
      </w:tr>
      <w:tr w:rsidR="0092047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920473">
            <w:pPr>
              <w:jc w:val="center"/>
            </w:pPr>
          </w:p>
        </w:tc>
      </w:tr>
      <w:tr w:rsidR="0092047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920473">
            <w:pPr>
              <w:jc w:val="center"/>
            </w:pPr>
          </w:p>
        </w:tc>
      </w:tr>
      <w:tr w:rsidR="0092047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920473">
            <w:pPr>
              <w:jc w:val="center"/>
            </w:pPr>
          </w:p>
        </w:tc>
      </w:tr>
      <w:tr w:rsidR="0092047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920473">
            <w:pPr>
              <w:jc w:val="center"/>
            </w:pPr>
          </w:p>
        </w:tc>
      </w:tr>
      <w:tr w:rsidR="0092047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920473">
            <w:pPr>
              <w:jc w:val="center"/>
            </w:pPr>
          </w:p>
        </w:tc>
      </w:tr>
      <w:tr w:rsidR="0092047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920473">
            <w:pPr>
              <w:jc w:val="center"/>
            </w:pPr>
          </w:p>
        </w:tc>
      </w:tr>
      <w:tr w:rsidR="0092047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920473">
            <w:pPr>
              <w:jc w:val="center"/>
            </w:pPr>
          </w:p>
        </w:tc>
      </w:tr>
      <w:tr w:rsidR="0092047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920473">
            <w:pPr>
              <w:jc w:val="center"/>
            </w:pPr>
          </w:p>
        </w:tc>
      </w:tr>
      <w:tr w:rsidR="0092047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920473">
            <w:pPr>
              <w:jc w:val="center"/>
            </w:pPr>
          </w:p>
        </w:tc>
      </w:tr>
      <w:tr w:rsidR="0092047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920473">
            <w:pPr>
              <w:jc w:val="center"/>
            </w:pPr>
          </w:p>
        </w:tc>
      </w:tr>
      <w:tr w:rsidR="00920473">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EA7D0B">
            <w:r>
              <w:rPr>
                <w:rFonts w:ascii="FangSong" w:eastAsia="FangSong" w:hAnsi="FangSong" w:cs="FangSong"/>
                <w:color w:val="000000"/>
                <w:sz w:val="22"/>
              </w:rPr>
              <w:t>数据来源：</w:t>
            </w:r>
            <w:r>
              <w:rPr>
                <w:rFonts w:ascii="FangSong" w:eastAsia="FangSong" w:hAnsi="FangSong" w:cs="FangSong"/>
                <w:color w:val="000000"/>
                <w:sz w:val="22"/>
              </w:rPr>
              <w:t>WIND</w:t>
            </w:r>
            <w:r>
              <w:rPr>
                <w:rFonts w:ascii="FangSong" w:eastAsia="FangSong" w:hAnsi="FangSong" w:cs="FangSong"/>
                <w:color w:val="000000"/>
                <w:sz w:val="22"/>
              </w:rPr>
              <w:t>数据库，具体策略由国联民生证券资产配置部跟踪计算。</w:t>
            </w:r>
            <w:r>
              <w:rPr>
                <w:rFonts w:ascii="FangSong" w:eastAsia="FangSong" w:hAnsi="FangSong" w:cs="FangSong"/>
                <w:color w:val="000000"/>
                <w:sz w:val="22"/>
              </w:rPr>
              <w:br/>
            </w:r>
            <w:r>
              <w:rPr>
                <w:rFonts w:ascii="FangSong" w:eastAsia="FangSong" w:hAnsi="FangSong" w:cs="FangSong"/>
                <w:color w:val="000000"/>
                <w:sz w:val="22"/>
              </w:rPr>
              <w:t>注</w:t>
            </w:r>
            <w:r>
              <w:rPr>
                <w:rFonts w:ascii="FangSong" w:eastAsia="FangSong" w:hAnsi="FangSong" w:cs="FangSong"/>
                <w:color w:val="000000"/>
                <w:sz w:val="22"/>
              </w:rPr>
              <w:t>1</w:t>
            </w:r>
            <w:r>
              <w:rPr>
                <w:rFonts w:ascii="FangSong" w:eastAsia="FangSong" w:hAnsi="FangSong" w:cs="FangSong"/>
                <w:color w:val="000000"/>
                <w:sz w:val="22"/>
              </w:rPr>
              <w:t>：跟踪时间从</w:t>
            </w:r>
            <w:r>
              <w:rPr>
                <w:rFonts w:ascii="FangSong" w:eastAsia="FangSong" w:hAnsi="FangSong" w:cs="FangSong"/>
                <w:color w:val="000000"/>
                <w:sz w:val="22"/>
              </w:rPr>
              <w:t>2023-03-22</w:t>
            </w:r>
            <w:r>
              <w:rPr>
                <w:rFonts w:ascii="FangSong" w:eastAsia="FangSong" w:hAnsi="FangSong" w:cs="FangSong"/>
                <w:color w:val="000000"/>
                <w:sz w:val="22"/>
              </w:rPr>
              <w:t>到</w:t>
            </w:r>
            <w:r>
              <w:rPr>
                <w:rFonts w:ascii="FangSong" w:eastAsia="FangSong" w:hAnsi="FangSong" w:cs="FangSong"/>
                <w:color w:val="000000"/>
                <w:sz w:val="22"/>
              </w:rPr>
              <w:t>2025-10-31</w:t>
            </w:r>
            <w:r>
              <w:rPr>
                <w:rFonts w:ascii="FangSong" w:eastAsia="FangSong" w:hAnsi="FangSong" w:cs="FangSong"/>
                <w:color w:val="000000"/>
                <w:sz w:val="22"/>
              </w:rPr>
              <w:t>，本期计算从</w:t>
            </w:r>
            <w:r>
              <w:rPr>
                <w:rFonts w:ascii="FangSong" w:eastAsia="FangSong" w:hAnsi="FangSong" w:cs="FangSong"/>
                <w:color w:val="000000"/>
                <w:sz w:val="22"/>
              </w:rPr>
              <w:t>2025-10-01</w:t>
            </w:r>
            <w:r>
              <w:rPr>
                <w:rFonts w:ascii="FangSong" w:eastAsia="FangSong" w:hAnsi="FangSong" w:cs="FangSong"/>
                <w:color w:val="000000"/>
                <w:sz w:val="22"/>
              </w:rPr>
              <w:t>开始。</w:t>
            </w:r>
            <w:r>
              <w:rPr>
                <w:rFonts w:ascii="FangSong" w:eastAsia="FangSong" w:hAnsi="FangSong" w:cs="FangSong"/>
                <w:color w:val="000000"/>
                <w:sz w:val="22"/>
              </w:rPr>
              <w:br/>
            </w:r>
            <w:r>
              <w:rPr>
                <w:rFonts w:ascii="FangSong" w:eastAsia="FangSong" w:hAnsi="FangSong" w:cs="FangSong"/>
                <w:color w:val="000000"/>
                <w:sz w:val="22"/>
              </w:rPr>
              <w:t>注</w:t>
            </w:r>
            <w:r>
              <w:rPr>
                <w:rFonts w:ascii="FangSong" w:eastAsia="FangSong" w:hAnsi="FangSong" w:cs="FangSong"/>
                <w:color w:val="000000"/>
                <w:sz w:val="22"/>
              </w:rPr>
              <w:t>2</w:t>
            </w:r>
            <w:r>
              <w:rPr>
                <w:rFonts w:ascii="FangSong" w:eastAsia="FangSong" w:hAnsi="FangSong" w:cs="FangSong"/>
                <w:color w:val="000000"/>
                <w:sz w:val="22"/>
              </w:rPr>
              <w:t>：策略为保守起见，已经按时间摊余投顾费用，但模型假设未做任何底层基金销售服务费抵扣。</w:t>
            </w:r>
            <w:r>
              <w:rPr>
                <w:rFonts w:ascii="FangSong" w:eastAsia="FangSong" w:hAnsi="FangSong" w:cs="FangSong"/>
                <w:color w:val="000000"/>
                <w:sz w:val="22"/>
              </w:rPr>
              <w:br/>
            </w:r>
            <w:r>
              <w:rPr>
                <w:rFonts w:ascii="FangSong" w:eastAsia="FangSong" w:hAnsi="FangSong" w:cs="FangSong"/>
                <w:color w:val="000000"/>
                <w:sz w:val="22"/>
              </w:rPr>
              <w:t>注</w:t>
            </w:r>
            <w:r>
              <w:rPr>
                <w:rFonts w:ascii="FangSong" w:eastAsia="FangSong" w:hAnsi="FangSong" w:cs="FangSong"/>
                <w:color w:val="000000"/>
                <w:sz w:val="22"/>
              </w:rPr>
              <w:t>3</w:t>
            </w:r>
            <w:r>
              <w:rPr>
                <w:rFonts w:ascii="FangSong" w:eastAsia="FangSong" w:hAnsi="FangSong" w:cs="FangSong"/>
                <w:color w:val="000000"/>
                <w:sz w:val="22"/>
              </w:rPr>
              <w:t>：策略假设基金申购费</w:t>
            </w:r>
            <w:r>
              <w:rPr>
                <w:rFonts w:ascii="FangSong" w:eastAsia="FangSong" w:hAnsi="FangSong" w:cs="FangSong"/>
                <w:color w:val="000000"/>
                <w:sz w:val="22"/>
              </w:rPr>
              <w:t>5</w:t>
            </w:r>
            <w:r>
              <w:rPr>
                <w:rFonts w:ascii="FangSong" w:eastAsia="FangSong" w:hAnsi="FangSong" w:cs="FangSong"/>
                <w:color w:val="000000"/>
                <w:sz w:val="22"/>
              </w:rPr>
              <w:t>折</w:t>
            </w:r>
            <w:r>
              <w:rPr>
                <w:rFonts w:ascii="FangSong" w:eastAsia="FangSong" w:hAnsi="FangSong" w:cs="FangSong"/>
                <w:color w:val="000000"/>
                <w:sz w:val="22"/>
              </w:rPr>
              <w:t>,</w:t>
            </w:r>
            <w:r>
              <w:rPr>
                <w:rFonts w:ascii="FangSong" w:eastAsia="FangSong" w:hAnsi="FangSong" w:cs="FangSong"/>
                <w:color w:val="000000"/>
                <w:sz w:val="22"/>
              </w:rPr>
              <w:t>赎回费无折扣，调仓期间的赎回费已经（按照持有期</w:t>
            </w:r>
            <w:r>
              <w:rPr>
                <w:rFonts w:ascii="FangSong" w:eastAsia="FangSong" w:hAnsi="FangSong" w:cs="FangSong"/>
                <w:color w:val="000000"/>
                <w:sz w:val="22"/>
              </w:rPr>
              <w:t>30</w:t>
            </w:r>
            <w:r>
              <w:rPr>
                <w:rFonts w:ascii="FangSong" w:eastAsia="FangSong" w:hAnsi="FangSong" w:cs="FangSong"/>
                <w:color w:val="000000"/>
                <w:sz w:val="22"/>
              </w:rPr>
              <w:t>天以上）纳入计算。</w:t>
            </w:r>
            <w:r>
              <w:rPr>
                <w:rFonts w:ascii="FangSong" w:eastAsia="FangSong" w:hAnsi="FangSong" w:cs="FangSong"/>
                <w:color w:val="000000"/>
                <w:sz w:val="22"/>
              </w:rPr>
              <w:br/>
            </w:r>
            <w:r>
              <w:rPr>
                <w:rFonts w:ascii="FangSong" w:eastAsia="FangSong" w:hAnsi="FangSong" w:cs="FangSong"/>
                <w:color w:val="000000"/>
                <w:sz w:val="22"/>
              </w:rPr>
              <w:t>注</w:t>
            </w:r>
            <w:r>
              <w:rPr>
                <w:rFonts w:ascii="FangSong" w:eastAsia="FangSong" w:hAnsi="FangSong" w:cs="FangSong"/>
                <w:color w:val="000000"/>
                <w:sz w:val="22"/>
              </w:rPr>
              <w:t>4</w:t>
            </w:r>
            <w:r>
              <w:rPr>
                <w:rFonts w:ascii="FangSong" w:eastAsia="FangSong" w:hAnsi="FangSong" w:cs="FangSong"/>
                <w:color w:val="000000"/>
                <w:sz w:val="22"/>
              </w:rPr>
              <w:t>：基准为</w:t>
            </w:r>
            <w:r>
              <w:rPr>
                <w:rFonts w:ascii="FangSong" w:eastAsia="FangSong" w:hAnsi="FangSong" w:cs="FangSong"/>
                <w:color w:val="000000"/>
                <w:sz w:val="22"/>
              </w:rPr>
              <w:t>70.0%</w:t>
            </w:r>
            <w:r>
              <w:rPr>
                <w:rFonts w:ascii="FangSong" w:eastAsia="FangSong" w:hAnsi="FangSong" w:cs="FangSong"/>
                <w:color w:val="000000"/>
                <w:sz w:val="22"/>
              </w:rPr>
              <w:t>货币基金</w:t>
            </w:r>
            <w:r>
              <w:rPr>
                <w:rFonts w:ascii="FangSong" w:eastAsia="FangSong" w:hAnsi="FangSong" w:cs="FangSong"/>
                <w:color w:val="000000"/>
                <w:sz w:val="22"/>
              </w:rPr>
              <w:t>+30.0%</w:t>
            </w:r>
            <w:r>
              <w:rPr>
                <w:rFonts w:ascii="FangSong" w:eastAsia="FangSong" w:hAnsi="FangSong" w:cs="FangSong"/>
                <w:color w:val="000000"/>
                <w:sz w:val="22"/>
              </w:rPr>
              <w:t>沪深</w:t>
            </w:r>
            <w:r>
              <w:rPr>
                <w:rFonts w:ascii="FangSong" w:eastAsia="FangSong" w:hAnsi="FangSong" w:cs="FangSong"/>
                <w:color w:val="000000"/>
                <w:sz w:val="22"/>
              </w:rPr>
              <w:t>300</w:t>
            </w:r>
            <w:r>
              <w:rPr>
                <w:rFonts w:ascii="FangSong" w:eastAsia="FangSong" w:hAnsi="FangSong" w:cs="FangSong"/>
                <w:color w:val="000000"/>
                <w:sz w:val="22"/>
              </w:rPr>
              <w:t>。</w:t>
            </w:r>
            <w:r>
              <w:rPr>
                <w:rFonts w:ascii="FangSong" w:eastAsia="FangSong" w:hAnsi="FangSong" w:cs="FangSong"/>
                <w:color w:val="000000"/>
                <w:sz w:val="22"/>
              </w:rPr>
              <w:br/>
            </w:r>
            <w:r>
              <w:rPr>
                <w:rFonts w:ascii="FangSong" w:eastAsia="FangSong" w:hAnsi="FangSong" w:cs="FangSong"/>
                <w:color w:val="000000"/>
                <w:sz w:val="22"/>
              </w:rPr>
              <w:t>注</w:t>
            </w:r>
            <w:r>
              <w:rPr>
                <w:rFonts w:ascii="FangSong" w:eastAsia="FangSong" w:hAnsi="FangSong" w:cs="FangSong"/>
                <w:color w:val="000000"/>
                <w:sz w:val="22"/>
              </w:rPr>
              <w:t>5</w:t>
            </w:r>
            <w:r>
              <w:rPr>
                <w:rFonts w:ascii="FangSong" w:eastAsia="FangSong" w:hAnsi="FangSong" w:cs="FangSong"/>
                <w:color w:val="000000"/>
                <w:sz w:val="22"/>
              </w:rPr>
              <w:t>：本净值根据基金投顾上线以来实际投资比例和基金实际净值测算，账户真实业绩可能受到投资规模、组合基金申购成交时点等多种因素影响，与该业绩存在一定差异。</w:t>
            </w:r>
            <w:r>
              <w:rPr>
                <w:rFonts w:ascii="FangSong" w:eastAsia="FangSong" w:hAnsi="FangSong" w:cs="FangSong"/>
                <w:color w:val="000000"/>
                <w:sz w:val="22"/>
              </w:rPr>
              <w:br/>
            </w:r>
          </w:p>
        </w:tc>
      </w:tr>
      <w:tr w:rsidR="0092047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920473">
            <w:pPr>
              <w:jc w:val="center"/>
            </w:pPr>
          </w:p>
        </w:tc>
      </w:tr>
      <w:tr w:rsidR="00920473">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EA7D0B">
            <w:r>
              <w:rPr>
                <w:rFonts w:ascii="FangSong" w:eastAsia="FangSong" w:hAnsi="FangSong" w:cs="FangSong"/>
                <w:b/>
                <w:color w:val="000000"/>
              </w:rPr>
              <w:t>二、组</w:t>
            </w:r>
            <w:r>
              <w:rPr>
                <w:rFonts w:ascii="FangSong" w:eastAsia="FangSong" w:hAnsi="FangSong" w:cs="FangSong"/>
                <w:b/>
                <w:color w:val="000000"/>
              </w:rPr>
              <w:t>合持仓情况</w:t>
            </w:r>
          </w:p>
        </w:tc>
      </w:tr>
      <w:tr w:rsidR="00920473">
        <w:trPr>
          <w:trHeight w:hRule="exact" w:val="285"/>
        </w:trPr>
        <w:tc>
          <w:tcPr>
            <w:tcW w:w="9570" w:type="dxa"/>
            <w:gridSpan w:val="10"/>
            <w:tcBorders>
              <w:top w:val="nil"/>
              <w:left w:val="nil"/>
              <w:bottom w:val="single" w:sz="4" w:space="0" w:color="000000"/>
              <w:right w:val="nil"/>
            </w:tcBorders>
            <w:shd w:val="clear" w:color="auto" w:fill="auto"/>
            <w:tcMar>
              <w:left w:w="80" w:type="dxa"/>
              <w:right w:w="80" w:type="dxa"/>
            </w:tcMar>
            <w:vAlign w:val="center"/>
          </w:tcPr>
          <w:p w:rsidR="00920473" w:rsidRDefault="00920473">
            <w:pPr>
              <w:jc w:val="center"/>
            </w:pPr>
          </w:p>
        </w:tc>
      </w:tr>
      <w:tr w:rsidR="00920473">
        <w:trPr>
          <w:trHeight w:val="285"/>
        </w:trPr>
        <w:tc>
          <w:tcPr>
            <w:tcW w:w="105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b/>
                <w:color w:val="000000"/>
                <w:sz w:val="22"/>
              </w:rPr>
              <w:t>类型</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b/>
                <w:color w:val="000000"/>
                <w:sz w:val="22"/>
              </w:rPr>
              <w:t>代码</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b/>
                <w:color w:val="000000"/>
                <w:sz w:val="22"/>
              </w:rPr>
              <w:t>股票仓位</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b/>
                <w:color w:val="000000"/>
                <w:sz w:val="22"/>
              </w:rPr>
              <w:t>简称</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b/>
                <w:color w:val="000000"/>
                <w:sz w:val="22"/>
              </w:rPr>
              <w:t>最近一期收益率</w:t>
            </w:r>
          </w:p>
        </w:tc>
      </w:tr>
      <w:tr w:rsidR="00920473">
        <w:trPr>
          <w:trHeight w:val="285"/>
        </w:trPr>
        <w:tc>
          <w:tcPr>
            <w:tcW w:w="1050" w:type="dxa"/>
            <w:vMerge w:val="restart"/>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偏股型</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000313.OF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 xml:space="preserve">87.18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华安沪深</w:t>
            </w:r>
            <w:r>
              <w:rPr>
                <w:rFonts w:ascii="FangSong" w:eastAsia="FangSong" w:hAnsi="FangSong" w:cs="FangSong"/>
                <w:color w:val="000000"/>
                <w:sz w:val="22"/>
              </w:rPr>
              <w:t>300</w:t>
            </w:r>
            <w:r>
              <w:rPr>
                <w:rFonts w:ascii="FangSong" w:eastAsia="FangSong" w:hAnsi="FangSong" w:cs="FangSong"/>
                <w:color w:val="000000"/>
                <w:sz w:val="22"/>
              </w:rPr>
              <w:t>量化增强</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0.02%</w:t>
            </w:r>
          </w:p>
        </w:tc>
      </w:tr>
      <w:tr w:rsidR="0092047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001361.OF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景顺长城中证科技传媒通信</w:t>
            </w:r>
            <w:r>
              <w:rPr>
                <w:rFonts w:ascii="FangSong" w:eastAsia="FangSong" w:hAnsi="FangSong" w:cs="FangSong"/>
                <w:color w:val="000000"/>
                <w:sz w:val="22"/>
              </w:rPr>
              <w:t>150ETF</w:t>
            </w:r>
            <w:r>
              <w:rPr>
                <w:rFonts w:ascii="FangSong" w:eastAsia="FangSong" w:hAnsi="FangSong" w:cs="FangSong"/>
                <w:color w:val="000000"/>
                <w:sz w:val="22"/>
              </w:rPr>
              <w:t>联接</w:t>
            </w:r>
            <w:r>
              <w:rPr>
                <w:rFonts w:ascii="FangSong" w:eastAsia="FangSong" w:hAnsi="FangSong" w:cs="FangSong"/>
                <w:color w:val="000000"/>
                <w:sz w:val="22"/>
              </w:rPr>
              <w:t>A</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-2.76%</w:t>
            </w:r>
          </w:p>
        </w:tc>
      </w:tr>
      <w:tr w:rsidR="0092047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002315.OF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 xml:space="preserve">94.34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创金合信沪深</w:t>
            </w:r>
            <w:r>
              <w:rPr>
                <w:rFonts w:ascii="FangSong" w:eastAsia="FangSong" w:hAnsi="FangSong" w:cs="FangSong"/>
                <w:color w:val="000000"/>
                <w:sz w:val="22"/>
              </w:rPr>
              <w:t>300</w:t>
            </w:r>
            <w:r>
              <w:rPr>
                <w:rFonts w:ascii="FangSong" w:eastAsia="FangSong" w:hAnsi="FangSong" w:cs="FangSong"/>
                <w:color w:val="000000"/>
                <w:sz w:val="22"/>
              </w:rPr>
              <w:t>指数增强</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0.77%</w:t>
            </w:r>
          </w:p>
        </w:tc>
      </w:tr>
      <w:tr w:rsidR="0092047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008115.OF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 xml:space="preserve">0.01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天弘中证红利低波动</w:t>
            </w:r>
            <w:r>
              <w:rPr>
                <w:rFonts w:ascii="FangSong" w:eastAsia="FangSong" w:hAnsi="FangSong" w:cs="FangSong"/>
                <w:color w:val="000000"/>
                <w:sz w:val="22"/>
              </w:rPr>
              <w:t>100</w:t>
            </w:r>
            <w:r>
              <w:rPr>
                <w:rFonts w:ascii="FangSong" w:eastAsia="FangSong" w:hAnsi="FangSong" w:cs="FangSong"/>
                <w:color w:val="000000"/>
                <w:sz w:val="22"/>
              </w:rPr>
              <w:t>联接</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2.92%</w:t>
            </w:r>
          </w:p>
        </w:tc>
      </w:tr>
      <w:tr w:rsidR="0092047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008283.OF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 xml:space="preserve">91.59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易方达金融行业</w:t>
            </w:r>
            <w:r>
              <w:rPr>
                <w:rFonts w:ascii="FangSong" w:eastAsia="FangSong" w:hAnsi="FangSong" w:cs="FangSong"/>
                <w:color w:val="000000"/>
                <w:sz w:val="22"/>
              </w:rPr>
              <w:t>A</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0.70%</w:t>
            </w:r>
          </w:p>
        </w:tc>
      </w:tr>
      <w:tr w:rsidR="0092047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010004.OF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 xml:space="preserve">90.80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景顺长城电子信息产业</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-6.29%</w:t>
            </w:r>
          </w:p>
        </w:tc>
      </w:tr>
      <w:tr w:rsidR="0092047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010352.OF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 xml:space="preserve">93.77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诺安沪深</w:t>
            </w:r>
            <w:r>
              <w:rPr>
                <w:rFonts w:ascii="FangSong" w:eastAsia="FangSong" w:hAnsi="FangSong" w:cs="FangSong"/>
                <w:color w:val="000000"/>
                <w:sz w:val="22"/>
              </w:rPr>
              <w:t>300</w:t>
            </w:r>
            <w:r>
              <w:rPr>
                <w:rFonts w:ascii="FangSong" w:eastAsia="FangSong" w:hAnsi="FangSong" w:cs="FangSong"/>
                <w:color w:val="000000"/>
                <w:sz w:val="22"/>
              </w:rPr>
              <w:t>指数增强</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0.56%</w:t>
            </w:r>
          </w:p>
        </w:tc>
      </w:tr>
      <w:tr w:rsidR="0092047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011404.OF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 xml:space="preserve">94.12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融通鑫新成长</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-6.08%</w:t>
            </w:r>
          </w:p>
        </w:tc>
      </w:tr>
      <w:tr w:rsidR="0092047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016858.OF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 xml:space="preserve">89.40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国金量化多因子</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1.71%</w:t>
            </w:r>
          </w:p>
        </w:tc>
      </w:tr>
      <w:tr w:rsidR="0092047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110009.OF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 xml:space="preserve">94.00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易方达价值精选</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-1.60%</w:t>
            </w:r>
          </w:p>
        </w:tc>
      </w:tr>
      <w:tr w:rsidR="00920473">
        <w:trPr>
          <w:trHeight w:val="285"/>
        </w:trPr>
        <w:tc>
          <w:tcPr>
            <w:tcW w:w="1050" w:type="dxa"/>
            <w:vMerge w:val="restart"/>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lastRenderedPageBreak/>
              <w:t>债券型</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006320.OF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易方达安瑞短债</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0.14%</w:t>
            </w:r>
          </w:p>
        </w:tc>
      </w:tr>
      <w:tr w:rsidR="0092047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006663.OF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易方达安悦超短债</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0.12%</w:t>
            </w:r>
          </w:p>
        </w:tc>
      </w:tr>
      <w:tr w:rsidR="0092047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006805.OF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富国短债</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0.23%</w:t>
            </w:r>
          </w:p>
        </w:tc>
      </w:tr>
      <w:tr w:rsidR="0092047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010169.OF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天弘安利短债</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0.22%</w:t>
            </w:r>
          </w:p>
        </w:tc>
      </w:tr>
      <w:tr w:rsidR="0092047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040041.OF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华安纯债</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0.36%</w:t>
            </w:r>
          </w:p>
        </w:tc>
      </w:tr>
      <w:tr w:rsidR="0092047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070009.OF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嘉实超短债</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0.16%</w:t>
            </w:r>
          </w:p>
        </w:tc>
      </w:tr>
      <w:tr w:rsidR="00920473">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110038.OF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易方达纯债</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0.24%</w:t>
            </w:r>
          </w:p>
        </w:tc>
      </w:tr>
      <w:tr w:rsidR="00920473">
        <w:trPr>
          <w:trHeight w:val="285"/>
        </w:trPr>
        <w:tc>
          <w:tcPr>
            <w:tcW w:w="105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货币型</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003003.OF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920473">
            <w:pPr>
              <w:jc w:val="center"/>
            </w:pP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华夏现金增利</w:t>
            </w:r>
            <w:r>
              <w:rPr>
                <w:rFonts w:ascii="FangSong" w:eastAsia="FangSong" w:hAnsi="FangSong" w:cs="FangSong"/>
                <w:color w:val="000000"/>
                <w:sz w:val="22"/>
              </w:rPr>
              <w:t>A</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0.09%</w:t>
            </w:r>
          </w:p>
        </w:tc>
      </w:tr>
      <w:tr w:rsidR="00920473">
        <w:trPr>
          <w:trHeight w:hRule="exact" w:val="285"/>
        </w:trPr>
        <w:tc>
          <w:tcPr>
            <w:tcW w:w="9570" w:type="dxa"/>
            <w:gridSpan w:val="10"/>
            <w:tcBorders>
              <w:top w:val="single" w:sz="4" w:space="0" w:color="000000"/>
              <w:left w:val="nil"/>
              <w:bottom w:val="single" w:sz="4" w:space="0" w:color="000000"/>
              <w:right w:val="nil"/>
            </w:tcBorders>
            <w:shd w:val="clear" w:color="auto" w:fill="auto"/>
            <w:tcMar>
              <w:left w:w="80" w:type="dxa"/>
              <w:right w:w="80" w:type="dxa"/>
            </w:tcMar>
            <w:vAlign w:val="center"/>
          </w:tcPr>
          <w:p w:rsidR="00920473" w:rsidRDefault="00920473">
            <w:pPr>
              <w:jc w:val="center"/>
            </w:pPr>
          </w:p>
        </w:tc>
      </w:tr>
      <w:tr w:rsidR="00920473">
        <w:trPr>
          <w:trHeight w:val="285"/>
        </w:trPr>
        <w:tc>
          <w:tcPr>
            <w:tcW w:w="5190" w:type="dxa"/>
            <w:gridSpan w:val="4"/>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b/>
                <w:color w:val="000000"/>
                <w:sz w:val="22"/>
              </w:rPr>
              <w:t>类型</w:t>
            </w:r>
          </w:p>
        </w:tc>
        <w:tc>
          <w:tcPr>
            <w:tcW w:w="4380" w:type="dxa"/>
            <w:gridSpan w:val="6"/>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b/>
                <w:color w:val="000000"/>
                <w:sz w:val="22"/>
              </w:rPr>
              <w:t>最近一期收益率</w:t>
            </w:r>
          </w:p>
        </w:tc>
      </w:tr>
      <w:tr w:rsidR="00920473">
        <w:trPr>
          <w:trHeight w:val="285"/>
        </w:trPr>
        <w:tc>
          <w:tcPr>
            <w:tcW w:w="5190" w:type="dxa"/>
            <w:gridSpan w:val="4"/>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偏股型</w:t>
            </w:r>
          </w:p>
        </w:tc>
        <w:tc>
          <w:tcPr>
            <w:tcW w:w="4380" w:type="dxa"/>
            <w:gridSpan w:val="6"/>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-0.04%</w:t>
            </w:r>
          </w:p>
        </w:tc>
      </w:tr>
      <w:tr w:rsidR="00920473">
        <w:trPr>
          <w:trHeight w:val="285"/>
        </w:trPr>
        <w:tc>
          <w:tcPr>
            <w:tcW w:w="5190" w:type="dxa"/>
            <w:gridSpan w:val="4"/>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债券型</w:t>
            </w:r>
          </w:p>
        </w:tc>
        <w:tc>
          <w:tcPr>
            <w:tcW w:w="4380" w:type="dxa"/>
            <w:gridSpan w:val="6"/>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0.13%</w:t>
            </w:r>
          </w:p>
        </w:tc>
      </w:tr>
      <w:tr w:rsidR="00920473">
        <w:trPr>
          <w:trHeight w:val="285"/>
        </w:trPr>
        <w:tc>
          <w:tcPr>
            <w:tcW w:w="5190" w:type="dxa"/>
            <w:gridSpan w:val="4"/>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货币型</w:t>
            </w:r>
          </w:p>
        </w:tc>
        <w:tc>
          <w:tcPr>
            <w:tcW w:w="4380" w:type="dxa"/>
            <w:gridSpan w:val="6"/>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920473" w:rsidRDefault="00EA7D0B">
            <w:pPr>
              <w:jc w:val="center"/>
            </w:pPr>
            <w:r>
              <w:rPr>
                <w:rFonts w:ascii="FangSong" w:eastAsia="FangSong" w:hAnsi="FangSong" w:cs="FangSong"/>
                <w:color w:val="000000"/>
                <w:sz w:val="22"/>
              </w:rPr>
              <w:t>0.00%</w:t>
            </w:r>
          </w:p>
        </w:tc>
      </w:tr>
      <w:tr w:rsidR="00920473">
        <w:trPr>
          <w:trHeight w:hRule="exact" w:val="285"/>
        </w:trPr>
        <w:tc>
          <w:tcPr>
            <w:tcW w:w="9570" w:type="dxa"/>
            <w:gridSpan w:val="10"/>
            <w:tcBorders>
              <w:top w:val="single" w:sz="4" w:space="0" w:color="000000"/>
              <w:left w:val="nil"/>
              <w:bottom w:val="nil"/>
              <w:right w:val="nil"/>
            </w:tcBorders>
            <w:shd w:val="clear" w:color="auto" w:fill="auto"/>
            <w:tcMar>
              <w:left w:w="80" w:type="dxa"/>
              <w:right w:w="80" w:type="dxa"/>
            </w:tcMar>
            <w:vAlign w:val="center"/>
          </w:tcPr>
          <w:p w:rsidR="00920473" w:rsidRDefault="00920473">
            <w:pPr>
              <w:jc w:val="center"/>
            </w:pPr>
          </w:p>
        </w:tc>
      </w:tr>
      <w:tr w:rsidR="00920473">
        <w:trPr>
          <w:trHeight w:val="349"/>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EA7D0B">
            <w:r>
              <w:rPr>
                <w:rFonts w:ascii="FangSong" w:eastAsia="FangSong" w:hAnsi="FangSong" w:cs="FangSong"/>
                <w:color w:val="000000"/>
                <w:sz w:val="22"/>
              </w:rPr>
              <w:t>数据来源：</w:t>
            </w:r>
            <w:r>
              <w:rPr>
                <w:rFonts w:ascii="FangSong" w:eastAsia="FangSong" w:hAnsi="FangSong" w:cs="FangSong"/>
                <w:color w:val="000000"/>
                <w:sz w:val="22"/>
              </w:rPr>
              <w:t>WIND</w:t>
            </w:r>
            <w:r>
              <w:rPr>
                <w:rFonts w:ascii="FangSong" w:eastAsia="FangSong" w:hAnsi="FangSong" w:cs="FangSong"/>
                <w:color w:val="000000"/>
                <w:sz w:val="22"/>
              </w:rPr>
              <w:t>数据库，具体策略由国联民生证券资产配置部跟踪计算。</w:t>
            </w:r>
          </w:p>
        </w:tc>
      </w:tr>
      <w:tr w:rsidR="0092047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920473">
            <w:pPr>
              <w:jc w:val="center"/>
            </w:pPr>
          </w:p>
        </w:tc>
      </w:tr>
      <w:tr w:rsidR="00920473">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EA7D0B">
            <w:r>
              <w:rPr>
                <w:rFonts w:ascii="FangSong" w:eastAsia="FangSong" w:hAnsi="FangSong" w:cs="FangSong"/>
                <w:b/>
                <w:color w:val="000000"/>
              </w:rPr>
              <w:t>三、市场分析和展望</w:t>
            </w:r>
          </w:p>
        </w:tc>
      </w:tr>
      <w:tr w:rsidR="0092047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920473">
            <w:pPr>
              <w:jc w:val="center"/>
            </w:pPr>
          </w:p>
        </w:tc>
      </w:tr>
      <w:tr w:rsidR="00920473">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EA7D0B">
            <w:r>
              <w:rPr>
                <w:rFonts w:ascii="FangSong" w:eastAsia="FangSong" w:hAnsi="FangSong" w:cs="FangSong"/>
                <w:color w:val="000000"/>
                <w:sz w:val="22"/>
              </w:rPr>
              <w:t>（</w:t>
            </w:r>
            <w:r>
              <w:rPr>
                <w:rFonts w:ascii="FangSong" w:eastAsia="FangSong" w:hAnsi="FangSong" w:cs="FangSong"/>
                <w:color w:val="000000"/>
                <w:sz w:val="22"/>
              </w:rPr>
              <w:t>1</w:t>
            </w:r>
            <w:r>
              <w:rPr>
                <w:rFonts w:ascii="FangSong" w:eastAsia="FangSong" w:hAnsi="FangSong" w:cs="FangSong"/>
                <w:color w:val="000000"/>
                <w:sz w:val="22"/>
              </w:rPr>
              <w:t>）宏观经济</w:t>
            </w:r>
            <w:r>
              <w:rPr>
                <w:rFonts w:ascii="FangSong" w:eastAsia="FangSong" w:hAnsi="FangSong" w:cs="FangSong"/>
                <w:color w:val="000000"/>
                <w:sz w:val="22"/>
              </w:rPr>
              <w:br/>
            </w:r>
            <w:r>
              <w:rPr>
                <w:rFonts w:ascii="FangSong" w:eastAsia="FangSong" w:hAnsi="FangSong" w:cs="FangSong"/>
                <w:color w:val="000000"/>
                <w:sz w:val="22"/>
              </w:rPr>
              <w:t>海外方面，全球经济延续温和复苏，但中美关税</w:t>
            </w:r>
            <w:r>
              <w:rPr>
                <w:rFonts w:ascii="FangSong" w:eastAsia="FangSong" w:hAnsi="FangSong" w:cs="FangSong"/>
                <w:color w:val="000000"/>
                <w:sz w:val="22"/>
              </w:rPr>
              <w:t>“</w:t>
            </w:r>
            <w:r>
              <w:rPr>
                <w:rFonts w:ascii="FangSong" w:eastAsia="FangSong" w:hAnsi="FangSong" w:cs="FangSong"/>
                <w:color w:val="000000"/>
                <w:sz w:val="22"/>
              </w:rPr>
              <w:t>先升级、后缓和</w:t>
            </w:r>
            <w:r>
              <w:rPr>
                <w:rFonts w:ascii="FangSong" w:eastAsia="FangSong" w:hAnsi="FangSong" w:cs="FangSong"/>
                <w:color w:val="000000"/>
                <w:sz w:val="22"/>
              </w:rPr>
              <w:t>”</w:t>
            </w:r>
            <w:r>
              <w:rPr>
                <w:rFonts w:ascii="FangSong" w:eastAsia="FangSong" w:hAnsi="FangSong" w:cs="FangSong"/>
                <w:color w:val="000000"/>
                <w:sz w:val="22"/>
              </w:rPr>
              <w:t>情形抬升了市场不确定性。</w:t>
            </w:r>
            <w:r>
              <w:rPr>
                <w:rFonts w:ascii="FangSong" w:eastAsia="FangSong" w:hAnsi="FangSong" w:cs="FangSong"/>
                <w:color w:val="000000"/>
                <w:sz w:val="22"/>
              </w:rPr>
              <w:t>IMF</w:t>
            </w:r>
            <w:r>
              <w:rPr>
                <w:rFonts w:ascii="FangSong" w:eastAsia="FangSong" w:hAnsi="FangSong" w:cs="FangSong"/>
                <w:color w:val="000000"/>
                <w:sz w:val="22"/>
              </w:rPr>
              <w:t>在</w:t>
            </w:r>
            <w:r>
              <w:rPr>
                <w:rFonts w:ascii="FangSong" w:eastAsia="FangSong" w:hAnsi="FangSong" w:cs="FangSong"/>
                <w:color w:val="000000"/>
                <w:sz w:val="22"/>
              </w:rPr>
              <w:t>10</w:t>
            </w:r>
            <w:r>
              <w:rPr>
                <w:rFonts w:ascii="FangSong" w:eastAsia="FangSong" w:hAnsi="FangSong" w:cs="FangSong"/>
                <w:color w:val="000000"/>
                <w:sz w:val="22"/>
              </w:rPr>
              <w:t>月将</w:t>
            </w:r>
            <w:r>
              <w:rPr>
                <w:rFonts w:ascii="FangSong" w:eastAsia="FangSong" w:hAnsi="FangSong" w:cs="FangSong"/>
                <w:color w:val="000000"/>
                <w:sz w:val="22"/>
              </w:rPr>
              <w:t>2025</w:t>
            </w:r>
            <w:r>
              <w:rPr>
                <w:rFonts w:ascii="FangSong" w:eastAsia="FangSong" w:hAnsi="FangSong" w:cs="FangSong"/>
                <w:color w:val="000000"/>
                <w:sz w:val="22"/>
              </w:rPr>
              <w:t>年全球增速预期上调至</w:t>
            </w:r>
            <w:r>
              <w:rPr>
                <w:rFonts w:ascii="FangSong" w:eastAsia="FangSong" w:hAnsi="FangSong" w:cs="FangSong"/>
                <w:color w:val="000000"/>
                <w:sz w:val="22"/>
              </w:rPr>
              <w:t>3.2%</w:t>
            </w:r>
            <w:r>
              <w:rPr>
                <w:rFonts w:ascii="FangSong" w:eastAsia="FangSong" w:hAnsi="FangSong" w:cs="FangSong"/>
                <w:color w:val="000000"/>
                <w:sz w:val="22"/>
              </w:rPr>
              <w:t>，发达经济体整体偏弱，新兴市场继续充当主要支撑。关税层面，</w:t>
            </w:r>
            <w:r>
              <w:rPr>
                <w:rFonts w:ascii="FangSong" w:eastAsia="FangSong" w:hAnsi="FangSong" w:cs="FangSong"/>
                <w:color w:val="000000"/>
                <w:sz w:val="22"/>
              </w:rPr>
              <w:t>10</w:t>
            </w:r>
            <w:r>
              <w:rPr>
                <w:rFonts w:ascii="FangSong" w:eastAsia="FangSong" w:hAnsi="FangSong" w:cs="FangSong"/>
                <w:color w:val="000000"/>
                <w:sz w:val="22"/>
              </w:rPr>
              <w:t>月</w:t>
            </w:r>
            <w:r>
              <w:rPr>
                <w:rFonts w:ascii="FangSong" w:eastAsia="FangSong" w:hAnsi="FangSong" w:cs="FangSong"/>
                <w:color w:val="000000"/>
                <w:sz w:val="22"/>
              </w:rPr>
              <w:t>10</w:t>
            </w:r>
            <w:r>
              <w:rPr>
                <w:rFonts w:ascii="FangSong" w:eastAsia="FangSong" w:hAnsi="FangSong" w:cs="FangSong"/>
                <w:color w:val="000000"/>
                <w:sz w:val="22"/>
              </w:rPr>
              <w:t>日美方宣布自</w:t>
            </w:r>
            <w:r>
              <w:rPr>
                <w:rFonts w:ascii="FangSong" w:eastAsia="FangSong" w:hAnsi="FangSong" w:cs="FangSong"/>
                <w:color w:val="000000"/>
                <w:sz w:val="22"/>
              </w:rPr>
              <w:t>11</w:t>
            </w:r>
            <w:r>
              <w:rPr>
                <w:rFonts w:ascii="FangSong" w:eastAsia="FangSong" w:hAnsi="FangSong" w:cs="FangSong"/>
                <w:color w:val="000000"/>
                <w:sz w:val="22"/>
              </w:rPr>
              <w:t>月</w:t>
            </w:r>
            <w:r>
              <w:rPr>
                <w:rFonts w:ascii="FangSong" w:eastAsia="FangSong" w:hAnsi="FangSong" w:cs="FangSong"/>
                <w:color w:val="000000"/>
                <w:sz w:val="22"/>
              </w:rPr>
              <w:t>1</w:t>
            </w:r>
            <w:r>
              <w:rPr>
                <w:rFonts w:ascii="FangSong" w:eastAsia="FangSong" w:hAnsi="FangSong" w:cs="FangSong"/>
                <w:color w:val="000000"/>
                <w:sz w:val="22"/>
              </w:rPr>
              <w:t>日起对中国商品加征</w:t>
            </w:r>
            <w:r>
              <w:rPr>
                <w:rFonts w:ascii="FangSong" w:eastAsia="FangSong" w:hAnsi="FangSong" w:cs="FangSong"/>
                <w:color w:val="000000"/>
                <w:sz w:val="22"/>
              </w:rPr>
              <w:t>100%</w:t>
            </w:r>
            <w:r>
              <w:rPr>
                <w:rFonts w:ascii="FangSong" w:eastAsia="FangSong" w:hAnsi="FangSong" w:cs="FangSong"/>
                <w:color w:val="000000"/>
                <w:sz w:val="22"/>
              </w:rPr>
              <w:t>关税，短线压制全球风险资产；但其后中美在吉隆坡开展经贸磋商、两国元首于</w:t>
            </w:r>
            <w:r>
              <w:rPr>
                <w:rFonts w:ascii="FangSong" w:eastAsia="FangSong" w:hAnsi="FangSong" w:cs="FangSong"/>
                <w:color w:val="000000"/>
                <w:sz w:val="22"/>
              </w:rPr>
              <w:t>10</w:t>
            </w:r>
            <w:r>
              <w:rPr>
                <w:rFonts w:ascii="FangSong" w:eastAsia="FangSong" w:hAnsi="FangSong" w:cs="FangSong"/>
                <w:color w:val="000000"/>
                <w:sz w:val="22"/>
              </w:rPr>
              <w:t>月</w:t>
            </w:r>
            <w:r>
              <w:rPr>
                <w:rFonts w:ascii="FangSong" w:eastAsia="FangSong" w:hAnsi="FangSong" w:cs="FangSong"/>
                <w:color w:val="000000"/>
                <w:sz w:val="22"/>
              </w:rPr>
              <w:t>30</w:t>
            </w:r>
            <w:r>
              <w:rPr>
                <w:rFonts w:ascii="FangSong" w:eastAsia="FangSong" w:hAnsi="FangSong" w:cs="FangSong"/>
                <w:color w:val="000000"/>
                <w:sz w:val="22"/>
              </w:rPr>
              <w:t>日在釜山会晤并取消或推迟部分限制条款，未来一段时间摩擦趋于缓和。美联储如期降息</w:t>
            </w:r>
            <w:r>
              <w:rPr>
                <w:rFonts w:ascii="FangSong" w:eastAsia="FangSong" w:hAnsi="FangSong" w:cs="FangSong"/>
                <w:color w:val="000000"/>
                <w:sz w:val="22"/>
              </w:rPr>
              <w:t>25bp</w:t>
            </w:r>
            <w:r>
              <w:rPr>
                <w:rFonts w:ascii="FangSong" w:eastAsia="FangSong" w:hAnsi="FangSong" w:cs="FangSong"/>
                <w:color w:val="000000"/>
                <w:sz w:val="22"/>
              </w:rPr>
              <w:t>，但整体表态偏鹰。</w:t>
            </w:r>
            <w:r>
              <w:rPr>
                <w:rFonts w:ascii="FangSong" w:eastAsia="FangSong" w:hAnsi="FangSong" w:cs="FangSong"/>
                <w:color w:val="000000"/>
                <w:sz w:val="22"/>
              </w:rPr>
              <w:br/>
            </w:r>
            <w:r>
              <w:rPr>
                <w:rFonts w:ascii="FangSong" w:eastAsia="FangSong" w:hAnsi="FangSong" w:cs="FangSong"/>
                <w:color w:val="000000"/>
                <w:sz w:val="22"/>
              </w:rPr>
              <w:t>国内方面，经济延续</w:t>
            </w:r>
            <w:r>
              <w:rPr>
                <w:rFonts w:ascii="FangSong" w:eastAsia="FangSong" w:hAnsi="FangSong" w:cs="FangSong"/>
                <w:color w:val="000000"/>
                <w:sz w:val="22"/>
              </w:rPr>
              <w:t>“</w:t>
            </w:r>
            <w:r>
              <w:rPr>
                <w:rFonts w:ascii="FangSong" w:eastAsia="FangSong" w:hAnsi="FangSong" w:cs="FangSong"/>
                <w:color w:val="000000"/>
                <w:sz w:val="22"/>
              </w:rPr>
              <w:t>投资走弱、出口有韧性、消费承压</w:t>
            </w:r>
            <w:r>
              <w:rPr>
                <w:rFonts w:ascii="FangSong" w:eastAsia="FangSong" w:hAnsi="FangSong" w:cs="FangSong"/>
                <w:color w:val="000000"/>
                <w:sz w:val="22"/>
              </w:rPr>
              <w:t>”</w:t>
            </w:r>
            <w:r>
              <w:rPr>
                <w:rFonts w:ascii="FangSong" w:eastAsia="FangSong" w:hAnsi="FangSong" w:cs="FangSong"/>
                <w:color w:val="000000"/>
                <w:sz w:val="22"/>
              </w:rPr>
              <w:t>的分化格局，</w:t>
            </w:r>
            <w:r>
              <w:rPr>
                <w:rFonts w:ascii="FangSong" w:eastAsia="FangSong" w:hAnsi="FangSong" w:cs="FangSong"/>
                <w:color w:val="000000"/>
                <w:sz w:val="22"/>
              </w:rPr>
              <w:t>“</w:t>
            </w:r>
            <w:r>
              <w:rPr>
                <w:rFonts w:ascii="FangSong" w:eastAsia="FangSong" w:hAnsi="FangSong" w:cs="FangSong"/>
                <w:color w:val="000000"/>
                <w:sz w:val="22"/>
              </w:rPr>
              <w:t>十五五</w:t>
            </w:r>
            <w:r>
              <w:rPr>
                <w:rFonts w:ascii="FangSong" w:eastAsia="FangSong" w:hAnsi="FangSong" w:cs="FangSong"/>
                <w:color w:val="000000"/>
                <w:sz w:val="22"/>
              </w:rPr>
              <w:t>”</w:t>
            </w:r>
            <w:r>
              <w:rPr>
                <w:rFonts w:ascii="FangSong" w:eastAsia="FangSong" w:hAnsi="FangSong" w:cs="FangSong"/>
                <w:color w:val="000000"/>
                <w:sz w:val="22"/>
              </w:rPr>
              <w:t>规</w:t>
            </w:r>
            <w:r>
              <w:rPr>
                <w:rFonts w:ascii="FangSong" w:eastAsia="FangSong" w:hAnsi="FangSong" w:cs="FangSong"/>
                <w:color w:val="000000"/>
                <w:sz w:val="22"/>
              </w:rPr>
              <w:t>划出台提振市场预期。</w:t>
            </w:r>
            <w:r>
              <w:rPr>
                <w:rFonts w:ascii="FangSong" w:eastAsia="FangSong" w:hAnsi="FangSong" w:cs="FangSong"/>
                <w:color w:val="000000"/>
                <w:sz w:val="22"/>
              </w:rPr>
              <w:t>9</w:t>
            </w:r>
            <w:r>
              <w:rPr>
                <w:rFonts w:ascii="FangSong" w:eastAsia="FangSong" w:hAnsi="FangSong" w:cs="FangSong"/>
                <w:color w:val="000000"/>
                <w:sz w:val="22"/>
              </w:rPr>
              <w:t>月固定资产投资同比</w:t>
            </w:r>
            <w:r>
              <w:rPr>
                <w:rFonts w:ascii="FangSong" w:eastAsia="FangSong" w:hAnsi="FangSong" w:cs="FangSong"/>
                <w:color w:val="000000"/>
                <w:sz w:val="22"/>
              </w:rPr>
              <w:t>-7.3%</w:t>
            </w:r>
            <w:r>
              <w:rPr>
                <w:rFonts w:ascii="FangSong" w:eastAsia="FangSong" w:hAnsi="FangSong" w:cs="FangSong"/>
                <w:color w:val="000000"/>
                <w:sz w:val="22"/>
              </w:rPr>
              <w:t>，房地产、广义基建与制造业投资同步下行；三季度出口同比增长</w:t>
            </w:r>
            <w:r>
              <w:rPr>
                <w:rFonts w:ascii="FangSong" w:eastAsia="FangSong" w:hAnsi="FangSong" w:cs="FangSong"/>
                <w:color w:val="000000"/>
                <w:sz w:val="22"/>
              </w:rPr>
              <w:t>6.6%</w:t>
            </w:r>
            <w:r>
              <w:rPr>
                <w:rFonts w:ascii="FangSong" w:eastAsia="FangSong" w:hAnsi="FangSong" w:cs="FangSong"/>
                <w:color w:val="000000"/>
                <w:sz w:val="22"/>
              </w:rPr>
              <w:t>，且</w:t>
            </w:r>
            <w:r>
              <w:rPr>
                <w:rFonts w:ascii="FangSong" w:eastAsia="FangSong" w:hAnsi="FangSong" w:cs="FangSong"/>
                <w:color w:val="000000"/>
                <w:sz w:val="22"/>
              </w:rPr>
              <w:t>9</w:t>
            </w:r>
            <w:r>
              <w:rPr>
                <w:rFonts w:ascii="FangSong" w:eastAsia="FangSong" w:hAnsi="FangSong" w:cs="FangSong"/>
                <w:color w:val="000000"/>
                <w:sz w:val="22"/>
              </w:rPr>
              <w:t>月价格项的正向拉动增多，外需阶段性韧性仍在。消费端压力未解，三季度社零同比</w:t>
            </w:r>
            <w:r>
              <w:rPr>
                <w:rFonts w:ascii="FangSong" w:eastAsia="FangSong" w:hAnsi="FangSong" w:cs="FangSong"/>
                <w:color w:val="000000"/>
                <w:sz w:val="22"/>
              </w:rPr>
              <w:t>3.4%</w:t>
            </w:r>
            <w:r>
              <w:rPr>
                <w:rFonts w:ascii="FangSong" w:eastAsia="FangSong" w:hAnsi="FangSong" w:cs="FangSong"/>
                <w:color w:val="000000"/>
                <w:sz w:val="22"/>
              </w:rPr>
              <w:t>、餐饮仅</w:t>
            </w:r>
            <w:r>
              <w:rPr>
                <w:rFonts w:ascii="FangSong" w:eastAsia="FangSong" w:hAnsi="FangSong" w:cs="FangSong"/>
                <w:color w:val="000000"/>
                <w:sz w:val="22"/>
              </w:rPr>
              <w:t>1.3%</w:t>
            </w:r>
            <w:r>
              <w:rPr>
                <w:rFonts w:ascii="FangSong" w:eastAsia="FangSong" w:hAnsi="FangSong" w:cs="FangSong"/>
                <w:color w:val="000000"/>
                <w:sz w:val="22"/>
              </w:rPr>
              <w:t>，以旧换新效果边际减弱。政策层面，二十届四中全会如期召开并发布</w:t>
            </w:r>
            <w:r>
              <w:rPr>
                <w:rFonts w:ascii="FangSong" w:eastAsia="FangSong" w:hAnsi="FangSong" w:cs="FangSong"/>
                <w:color w:val="000000"/>
                <w:sz w:val="22"/>
              </w:rPr>
              <w:t>“</w:t>
            </w:r>
            <w:r>
              <w:rPr>
                <w:rFonts w:ascii="FangSong" w:eastAsia="FangSong" w:hAnsi="FangSong" w:cs="FangSong"/>
                <w:color w:val="000000"/>
                <w:sz w:val="22"/>
              </w:rPr>
              <w:t>十五五</w:t>
            </w:r>
            <w:r>
              <w:rPr>
                <w:rFonts w:ascii="FangSong" w:eastAsia="FangSong" w:hAnsi="FangSong" w:cs="FangSong"/>
                <w:color w:val="000000"/>
                <w:sz w:val="22"/>
              </w:rPr>
              <w:t>”</w:t>
            </w:r>
            <w:r>
              <w:rPr>
                <w:rFonts w:ascii="FangSong" w:eastAsia="FangSong" w:hAnsi="FangSong" w:cs="FangSong"/>
                <w:color w:val="000000"/>
                <w:sz w:val="22"/>
              </w:rPr>
              <w:t>规划，相较</w:t>
            </w:r>
            <w:r>
              <w:rPr>
                <w:rFonts w:ascii="FangSong" w:eastAsia="FangSong" w:hAnsi="FangSong" w:cs="FangSong"/>
                <w:color w:val="000000"/>
                <w:sz w:val="22"/>
              </w:rPr>
              <w:t>“</w:t>
            </w:r>
            <w:r>
              <w:rPr>
                <w:rFonts w:ascii="FangSong" w:eastAsia="FangSong" w:hAnsi="FangSong" w:cs="FangSong"/>
                <w:color w:val="000000"/>
                <w:sz w:val="22"/>
              </w:rPr>
              <w:t>十四五</w:t>
            </w:r>
            <w:r>
              <w:rPr>
                <w:rFonts w:ascii="FangSong" w:eastAsia="FangSong" w:hAnsi="FangSong" w:cs="FangSong"/>
                <w:color w:val="000000"/>
                <w:sz w:val="22"/>
              </w:rPr>
              <w:t>”</w:t>
            </w:r>
            <w:r>
              <w:rPr>
                <w:rFonts w:ascii="FangSong" w:eastAsia="FangSong" w:hAnsi="FangSong" w:cs="FangSong"/>
                <w:color w:val="000000"/>
                <w:sz w:val="22"/>
              </w:rPr>
              <w:t>，</w:t>
            </w:r>
            <w:r>
              <w:rPr>
                <w:rFonts w:ascii="FangSong" w:eastAsia="FangSong" w:hAnsi="FangSong" w:cs="FangSong"/>
                <w:color w:val="000000"/>
                <w:sz w:val="22"/>
              </w:rPr>
              <w:t>“</w:t>
            </w:r>
            <w:r>
              <w:rPr>
                <w:rFonts w:ascii="FangSong" w:eastAsia="FangSong" w:hAnsi="FangSong" w:cs="FangSong"/>
                <w:color w:val="000000"/>
                <w:sz w:val="22"/>
              </w:rPr>
              <w:t>十五五</w:t>
            </w:r>
            <w:r>
              <w:rPr>
                <w:rFonts w:ascii="FangSong" w:eastAsia="FangSong" w:hAnsi="FangSong" w:cs="FangSong"/>
                <w:color w:val="000000"/>
                <w:sz w:val="22"/>
              </w:rPr>
              <w:t>”</w:t>
            </w:r>
            <w:r>
              <w:rPr>
                <w:rFonts w:ascii="FangSong" w:eastAsia="FangSong" w:hAnsi="FangSong" w:cs="FangSong"/>
                <w:color w:val="000000"/>
                <w:sz w:val="22"/>
              </w:rPr>
              <w:t>规划更注重由量到质的升级，侧重完善内生增长机制，后续可重点布局规划中提及的产业方向。</w:t>
            </w:r>
            <w:r>
              <w:rPr>
                <w:rFonts w:ascii="FangSong" w:eastAsia="FangSong" w:hAnsi="FangSong" w:cs="FangSong"/>
                <w:color w:val="000000"/>
                <w:sz w:val="22"/>
              </w:rPr>
              <w:br/>
            </w:r>
            <w:r>
              <w:rPr>
                <w:rFonts w:ascii="FangSong" w:eastAsia="FangSong" w:hAnsi="FangSong" w:cs="FangSong"/>
                <w:color w:val="000000"/>
                <w:sz w:val="22"/>
              </w:rPr>
              <w:t>（</w:t>
            </w:r>
            <w:r>
              <w:rPr>
                <w:rFonts w:ascii="FangSong" w:eastAsia="FangSong" w:hAnsi="FangSong" w:cs="FangSong"/>
                <w:color w:val="000000"/>
                <w:sz w:val="22"/>
              </w:rPr>
              <w:t>2</w:t>
            </w:r>
            <w:r>
              <w:rPr>
                <w:rFonts w:ascii="FangSong" w:eastAsia="FangSong" w:hAnsi="FangSong" w:cs="FangSong"/>
                <w:color w:val="000000"/>
                <w:sz w:val="22"/>
              </w:rPr>
              <w:t>）股票市场</w:t>
            </w:r>
            <w:r>
              <w:rPr>
                <w:rFonts w:ascii="FangSong" w:eastAsia="FangSong" w:hAnsi="FangSong" w:cs="FangSong"/>
                <w:color w:val="000000"/>
                <w:sz w:val="22"/>
              </w:rPr>
              <w:br/>
            </w:r>
            <w:r>
              <w:rPr>
                <w:rFonts w:ascii="FangSong" w:eastAsia="FangSong" w:hAnsi="FangSong" w:cs="FangSong"/>
                <w:color w:val="000000"/>
                <w:sz w:val="22"/>
              </w:rPr>
              <w:t>最近一月</w:t>
            </w:r>
            <w:r>
              <w:rPr>
                <w:rFonts w:ascii="FangSong" w:eastAsia="FangSong" w:hAnsi="FangSong" w:cs="FangSong"/>
                <w:color w:val="000000"/>
                <w:sz w:val="22"/>
              </w:rPr>
              <w:t>A</w:t>
            </w:r>
            <w:r>
              <w:rPr>
                <w:rFonts w:ascii="FangSong" w:eastAsia="FangSong" w:hAnsi="FangSong" w:cs="FangSong"/>
                <w:color w:val="000000"/>
                <w:sz w:val="22"/>
              </w:rPr>
              <w:t>股宽幅震荡、风格切换加快：月初受中美贸易摩擦升级冲击快速回撤，前期涨幅较多板</w:t>
            </w:r>
            <w:r>
              <w:rPr>
                <w:rFonts w:ascii="FangSong" w:eastAsia="FangSong" w:hAnsi="FangSong" w:cs="FangSong"/>
                <w:color w:val="000000"/>
                <w:sz w:val="22"/>
              </w:rPr>
              <w:t>块出现普遍获利了结，市场成交量走低、红利风格相对占优；临近月末，伴随</w:t>
            </w:r>
            <w:r>
              <w:rPr>
                <w:rFonts w:ascii="FangSong" w:eastAsia="FangSong" w:hAnsi="FangSong" w:cs="FangSong"/>
                <w:color w:val="000000"/>
                <w:sz w:val="22"/>
              </w:rPr>
              <w:t>“</w:t>
            </w:r>
            <w:r>
              <w:rPr>
                <w:rFonts w:ascii="FangSong" w:eastAsia="FangSong" w:hAnsi="FangSong" w:cs="FangSong"/>
                <w:color w:val="000000"/>
                <w:sz w:val="22"/>
              </w:rPr>
              <w:t>十五五</w:t>
            </w:r>
            <w:r>
              <w:rPr>
                <w:rFonts w:ascii="FangSong" w:eastAsia="FangSong" w:hAnsi="FangSong" w:cs="FangSong"/>
                <w:color w:val="000000"/>
                <w:sz w:val="22"/>
              </w:rPr>
              <w:t>”</w:t>
            </w:r>
            <w:r>
              <w:rPr>
                <w:rFonts w:ascii="FangSong" w:eastAsia="FangSong" w:hAnsi="FangSong" w:cs="FangSong"/>
                <w:color w:val="000000"/>
                <w:sz w:val="22"/>
              </w:rPr>
              <w:t>规划发布及中美元首会晤预期升温，市场情绪修复，成长风格回归但在三季报业绩约束下表现分化。总体看，</w:t>
            </w:r>
            <w:r>
              <w:rPr>
                <w:rFonts w:ascii="FangSong" w:eastAsia="FangSong" w:hAnsi="FangSong" w:cs="FangSong"/>
                <w:color w:val="000000"/>
                <w:sz w:val="22"/>
              </w:rPr>
              <w:t>A</w:t>
            </w:r>
            <w:r>
              <w:rPr>
                <w:rFonts w:ascii="FangSong" w:eastAsia="FangSong" w:hAnsi="FangSong" w:cs="FangSong"/>
                <w:color w:val="000000"/>
                <w:sz w:val="22"/>
              </w:rPr>
              <w:t>股在</w:t>
            </w:r>
            <w:r>
              <w:rPr>
                <w:rFonts w:ascii="FangSong" w:eastAsia="FangSong" w:hAnsi="FangSong" w:cs="FangSong"/>
                <w:color w:val="000000"/>
                <w:sz w:val="22"/>
              </w:rPr>
              <w:t>4000</w:t>
            </w:r>
            <w:r>
              <w:rPr>
                <w:rFonts w:ascii="FangSong" w:eastAsia="FangSong" w:hAnsi="FangSong" w:cs="FangSong"/>
                <w:color w:val="000000"/>
                <w:sz w:val="22"/>
              </w:rPr>
              <w:t>点附近区间震荡的概率较大；往后看，随着中美关税边际缓和、且美联储仍处降息周期，港股的配置价值有望抬升，而</w:t>
            </w:r>
            <w:r>
              <w:rPr>
                <w:rFonts w:ascii="FangSong" w:eastAsia="FangSong" w:hAnsi="FangSong" w:cs="FangSong"/>
                <w:color w:val="000000"/>
                <w:sz w:val="22"/>
              </w:rPr>
              <w:t>“</w:t>
            </w:r>
            <w:r>
              <w:rPr>
                <w:rFonts w:ascii="FangSong" w:eastAsia="FangSong" w:hAnsi="FangSong" w:cs="FangSong"/>
                <w:color w:val="000000"/>
                <w:sz w:val="22"/>
              </w:rPr>
              <w:t>十五五</w:t>
            </w:r>
            <w:r>
              <w:rPr>
                <w:rFonts w:ascii="FangSong" w:eastAsia="FangSong" w:hAnsi="FangSong" w:cs="FangSong"/>
                <w:color w:val="000000"/>
                <w:sz w:val="22"/>
              </w:rPr>
              <w:t>”</w:t>
            </w:r>
            <w:r>
              <w:rPr>
                <w:rFonts w:ascii="FangSong" w:eastAsia="FangSong" w:hAnsi="FangSong" w:cs="FangSong"/>
                <w:color w:val="000000"/>
                <w:sz w:val="22"/>
              </w:rPr>
              <w:t>重点提及的科技、新消费等方向值得持续跟踪与布局。</w:t>
            </w:r>
            <w:r>
              <w:rPr>
                <w:rFonts w:ascii="FangSong" w:eastAsia="FangSong" w:hAnsi="FangSong" w:cs="FangSong"/>
                <w:color w:val="000000"/>
                <w:sz w:val="22"/>
              </w:rPr>
              <w:br/>
            </w:r>
            <w:r>
              <w:rPr>
                <w:rFonts w:ascii="FangSong" w:eastAsia="FangSong" w:hAnsi="FangSong" w:cs="FangSong"/>
                <w:color w:val="000000"/>
                <w:sz w:val="22"/>
              </w:rPr>
              <w:t>（</w:t>
            </w:r>
            <w:r>
              <w:rPr>
                <w:rFonts w:ascii="FangSong" w:eastAsia="FangSong" w:hAnsi="FangSong" w:cs="FangSong"/>
                <w:color w:val="000000"/>
                <w:sz w:val="22"/>
              </w:rPr>
              <w:t>3</w:t>
            </w:r>
            <w:r>
              <w:rPr>
                <w:rFonts w:ascii="FangSong" w:eastAsia="FangSong" w:hAnsi="FangSong" w:cs="FangSong"/>
                <w:color w:val="000000"/>
                <w:sz w:val="22"/>
              </w:rPr>
              <w:t>）债券市场</w:t>
            </w:r>
            <w:r>
              <w:rPr>
                <w:rFonts w:ascii="FangSong" w:eastAsia="FangSong" w:hAnsi="FangSong" w:cs="FangSong"/>
                <w:color w:val="000000"/>
                <w:sz w:val="22"/>
              </w:rPr>
              <w:br/>
            </w:r>
            <w:r>
              <w:rPr>
                <w:rFonts w:ascii="FangSong" w:eastAsia="FangSong" w:hAnsi="FangSong" w:cs="FangSong"/>
                <w:color w:val="000000"/>
                <w:sz w:val="22"/>
              </w:rPr>
              <w:t>最近一月，国内债券收益率整体变化不大。尽管国内经济复苏趋势不够鲜明，利率或继续下行，但对债市的边际利好空间让位于</w:t>
            </w:r>
            <w:r>
              <w:rPr>
                <w:rFonts w:ascii="FangSong" w:eastAsia="FangSong" w:hAnsi="FangSong" w:cs="FangSong"/>
                <w:color w:val="000000"/>
                <w:sz w:val="22"/>
              </w:rPr>
              <w:t>“</w:t>
            </w:r>
            <w:r>
              <w:rPr>
                <w:rFonts w:ascii="FangSong" w:eastAsia="FangSong" w:hAnsi="FangSong" w:cs="FangSong"/>
                <w:color w:val="000000"/>
                <w:sz w:val="22"/>
              </w:rPr>
              <w:t>股债跷跷板</w:t>
            </w:r>
            <w:r>
              <w:rPr>
                <w:rFonts w:ascii="FangSong" w:eastAsia="FangSong" w:hAnsi="FangSong" w:cs="FangSong"/>
                <w:color w:val="000000"/>
                <w:sz w:val="22"/>
              </w:rPr>
              <w:t>”</w:t>
            </w:r>
            <w:r>
              <w:rPr>
                <w:rFonts w:ascii="FangSong" w:eastAsia="FangSong" w:hAnsi="FangSong" w:cs="FangSong"/>
                <w:color w:val="000000"/>
                <w:sz w:val="22"/>
              </w:rPr>
              <w:t>效应。同时，信用利</w:t>
            </w:r>
            <w:r>
              <w:rPr>
                <w:rFonts w:ascii="FangSong" w:eastAsia="FangSong" w:hAnsi="FangSong" w:cs="FangSong"/>
                <w:color w:val="000000"/>
                <w:sz w:val="22"/>
              </w:rPr>
              <w:t>差处于历史偏低位置，配置更需要谨慎。综上，债市受</w:t>
            </w:r>
            <w:r>
              <w:rPr>
                <w:rFonts w:ascii="FangSong" w:eastAsia="FangSong" w:hAnsi="FangSong" w:cs="FangSong"/>
                <w:color w:val="000000"/>
                <w:sz w:val="22"/>
              </w:rPr>
              <w:t>“</w:t>
            </w:r>
            <w:r>
              <w:rPr>
                <w:rFonts w:ascii="FangSong" w:eastAsia="FangSong" w:hAnsi="FangSong" w:cs="FangSong"/>
                <w:color w:val="000000"/>
                <w:sz w:val="22"/>
              </w:rPr>
              <w:t>股债跷跷板</w:t>
            </w:r>
            <w:r>
              <w:rPr>
                <w:rFonts w:ascii="FangSong" w:eastAsia="FangSong" w:hAnsi="FangSong" w:cs="FangSong"/>
                <w:color w:val="000000"/>
                <w:sz w:val="22"/>
              </w:rPr>
              <w:t>”</w:t>
            </w:r>
            <w:r>
              <w:rPr>
                <w:rFonts w:ascii="FangSong" w:eastAsia="FangSong" w:hAnsi="FangSong" w:cs="FangSong"/>
                <w:color w:val="000000"/>
                <w:sz w:val="22"/>
              </w:rPr>
              <w:t>影响较大，建议根据组合需要谨慎配置。</w:t>
            </w:r>
            <w:r>
              <w:rPr>
                <w:rFonts w:ascii="FangSong" w:eastAsia="FangSong" w:hAnsi="FangSong" w:cs="FangSong"/>
                <w:color w:val="000000"/>
                <w:sz w:val="22"/>
              </w:rPr>
              <w:br/>
            </w:r>
          </w:p>
        </w:tc>
      </w:tr>
      <w:tr w:rsidR="0092047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920473">
            <w:pPr>
              <w:jc w:val="center"/>
            </w:pPr>
          </w:p>
        </w:tc>
      </w:tr>
      <w:tr w:rsidR="00920473">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EA7D0B">
            <w:r>
              <w:rPr>
                <w:rFonts w:ascii="FangSong" w:eastAsia="FangSong" w:hAnsi="FangSong" w:cs="FangSong"/>
                <w:b/>
                <w:color w:val="000000"/>
              </w:rPr>
              <w:t>四、</w:t>
            </w:r>
            <w:r>
              <w:rPr>
                <w:rFonts w:ascii="FangSong" w:eastAsia="FangSong" w:hAnsi="FangSong" w:cs="FangSong"/>
                <w:b/>
                <w:color w:val="000000"/>
              </w:rPr>
              <w:t xml:space="preserve"> </w:t>
            </w:r>
            <w:r>
              <w:rPr>
                <w:rFonts w:ascii="FangSong" w:eastAsia="FangSong" w:hAnsi="FangSong" w:cs="FangSong"/>
                <w:b/>
                <w:color w:val="000000"/>
              </w:rPr>
              <w:t>近期操作和未来计划</w:t>
            </w:r>
          </w:p>
        </w:tc>
      </w:tr>
      <w:tr w:rsidR="0092047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920473">
            <w:pPr>
              <w:jc w:val="center"/>
            </w:pPr>
          </w:p>
        </w:tc>
      </w:tr>
      <w:tr w:rsidR="00920473">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EA7D0B">
            <w:r>
              <w:rPr>
                <w:rFonts w:ascii="FangSong" w:eastAsia="FangSong" w:hAnsi="FangSong" w:cs="FangSong"/>
                <w:color w:val="000000"/>
                <w:sz w:val="22"/>
              </w:rPr>
              <w:t>展望未来，配置核心因素是国内上市公司盈利质量是否能够真正复苏。</w:t>
            </w:r>
            <w:r>
              <w:rPr>
                <w:rFonts w:ascii="FangSong" w:eastAsia="FangSong" w:hAnsi="FangSong" w:cs="FangSong"/>
                <w:color w:val="000000"/>
                <w:sz w:val="22"/>
              </w:rPr>
              <w:br/>
            </w:r>
            <w:r>
              <w:rPr>
                <w:rFonts w:ascii="FangSong" w:eastAsia="FangSong" w:hAnsi="FangSong" w:cs="FangSong"/>
                <w:color w:val="000000"/>
                <w:sz w:val="22"/>
              </w:rPr>
              <w:t>海外方面，美联储如期降息以应对经济增长放缓和就业风险，但内部对后续路径仍然存在显著分歧，美联储主席表示政府停摆导致数据缺失，</w:t>
            </w:r>
            <w:r>
              <w:rPr>
                <w:rFonts w:ascii="FangSong" w:eastAsia="FangSong" w:hAnsi="FangSong" w:cs="FangSong"/>
                <w:color w:val="000000"/>
                <w:sz w:val="22"/>
              </w:rPr>
              <w:t>12</w:t>
            </w:r>
            <w:r>
              <w:rPr>
                <w:rFonts w:ascii="FangSong" w:eastAsia="FangSong" w:hAnsi="FangSong" w:cs="FangSong"/>
                <w:color w:val="000000"/>
                <w:sz w:val="22"/>
              </w:rPr>
              <w:t>月是否进一步降息</w:t>
            </w:r>
            <w:r>
              <w:rPr>
                <w:rFonts w:ascii="FangSong" w:eastAsia="FangSong" w:hAnsi="FangSong" w:cs="FangSong"/>
                <w:color w:val="000000"/>
                <w:sz w:val="22"/>
              </w:rPr>
              <w:t>“</w:t>
            </w:r>
            <w:r>
              <w:rPr>
                <w:rFonts w:ascii="FangSong" w:eastAsia="FangSong" w:hAnsi="FangSong" w:cs="FangSong"/>
                <w:color w:val="000000"/>
                <w:sz w:val="22"/>
              </w:rPr>
              <w:t>远非已成定局</w:t>
            </w:r>
            <w:r>
              <w:rPr>
                <w:rFonts w:ascii="FangSong" w:eastAsia="FangSong" w:hAnsi="FangSong" w:cs="FangSong"/>
                <w:color w:val="000000"/>
                <w:sz w:val="22"/>
              </w:rPr>
              <w:t>”</w:t>
            </w:r>
            <w:r>
              <w:rPr>
                <w:rFonts w:ascii="FangSong" w:eastAsia="FangSong" w:hAnsi="FangSong" w:cs="FangSong"/>
                <w:color w:val="000000"/>
                <w:sz w:val="22"/>
              </w:rPr>
              <w:t>，纯粹根据降息信息对海外资产做短期择时并不可取。但从美国政府与美联储内部的纠葛以及近期美国经济数据来看，美国基准利率未来仍将在纠结中继续下降，全球风险偏好仍在提升的大方向上。未来美</w:t>
            </w:r>
            <w:r>
              <w:rPr>
                <w:rFonts w:ascii="FangSong" w:eastAsia="FangSong" w:hAnsi="FangSong" w:cs="FangSong"/>
                <w:color w:val="000000"/>
                <w:sz w:val="22"/>
              </w:rPr>
              <w:lastRenderedPageBreak/>
              <w:t>联储降息节奏是影响海外股债资产配置的核心因素。</w:t>
            </w:r>
            <w:r>
              <w:rPr>
                <w:rFonts w:ascii="FangSong" w:eastAsia="FangSong" w:hAnsi="FangSong" w:cs="FangSong"/>
                <w:color w:val="000000"/>
                <w:sz w:val="22"/>
              </w:rPr>
              <w:br/>
            </w:r>
            <w:r>
              <w:rPr>
                <w:rFonts w:ascii="FangSong" w:eastAsia="FangSong" w:hAnsi="FangSong" w:cs="FangSong"/>
                <w:color w:val="000000"/>
                <w:sz w:val="22"/>
              </w:rPr>
              <w:t>国内方面，中美吉隆坡经贸磋商成果共识和双方元首会晤结果公布，双方对于</w:t>
            </w:r>
            <w:r>
              <w:rPr>
                <w:rFonts w:ascii="FangSong" w:eastAsia="FangSong" w:hAnsi="FangSong" w:cs="FangSong"/>
                <w:color w:val="000000"/>
                <w:sz w:val="22"/>
              </w:rPr>
              <w:t>“</w:t>
            </w:r>
            <w:r>
              <w:rPr>
                <w:rFonts w:ascii="FangSong" w:eastAsia="FangSong" w:hAnsi="FangSong" w:cs="FangSong"/>
                <w:color w:val="000000"/>
                <w:sz w:val="22"/>
              </w:rPr>
              <w:t>胜利</w:t>
            </w:r>
            <w:r>
              <w:rPr>
                <w:rFonts w:ascii="FangSong" w:eastAsia="FangSong" w:hAnsi="FangSong" w:cs="FangSong"/>
                <w:color w:val="000000"/>
                <w:sz w:val="22"/>
              </w:rPr>
              <w:t>”</w:t>
            </w:r>
            <w:r>
              <w:rPr>
                <w:rFonts w:ascii="FangSong" w:eastAsia="FangSong" w:hAnsi="FangSong" w:cs="FangSong"/>
                <w:color w:val="000000"/>
                <w:sz w:val="22"/>
              </w:rPr>
              <w:t>各自表述证明这是个阶段性可靠的</w:t>
            </w:r>
            <w:r>
              <w:rPr>
                <w:rFonts w:ascii="FangSong" w:eastAsia="FangSong" w:hAnsi="FangSong" w:cs="FangSong"/>
                <w:color w:val="000000"/>
                <w:sz w:val="22"/>
              </w:rPr>
              <w:t>“</w:t>
            </w:r>
            <w:r>
              <w:rPr>
                <w:rFonts w:ascii="FangSong" w:eastAsia="FangSong" w:hAnsi="FangSong" w:cs="FangSong"/>
                <w:color w:val="000000"/>
                <w:sz w:val="22"/>
              </w:rPr>
              <w:t>间战</w:t>
            </w:r>
            <w:r>
              <w:rPr>
                <w:rFonts w:ascii="FangSong" w:eastAsia="FangSong" w:hAnsi="FangSong" w:cs="FangSong"/>
                <w:color w:val="000000"/>
                <w:sz w:val="22"/>
              </w:rPr>
              <w:t>”</w:t>
            </w:r>
            <w:r>
              <w:rPr>
                <w:rFonts w:ascii="FangSong" w:eastAsia="FangSong" w:hAnsi="FangSong" w:cs="FangSong"/>
                <w:color w:val="000000"/>
                <w:sz w:val="22"/>
              </w:rPr>
              <w:t>标志。双方</w:t>
            </w:r>
            <w:r>
              <w:rPr>
                <w:rFonts w:ascii="FangSong" w:eastAsia="FangSong" w:hAnsi="FangSong" w:cs="FangSong"/>
                <w:color w:val="000000"/>
                <w:sz w:val="22"/>
              </w:rPr>
              <w:t>对关税和出口管制政策的最新调整成果是积极的、务实的，而曾经的市场期待是不稳定的、过于乐观的，因此</w:t>
            </w:r>
            <w:r>
              <w:rPr>
                <w:rFonts w:ascii="FangSong" w:eastAsia="FangSong" w:hAnsi="FangSong" w:cs="FangSong"/>
                <w:color w:val="000000"/>
                <w:sz w:val="22"/>
              </w:rPr>
              <w:t>A</w:t>
            </w:r>
            <w:r>
              <w:rPr>
                <w:rFonts w:ascii="FangSong" w:eastAsia="FangSong" w:hAnsi="FangSong" w:cs="FangSong"/>
                <w:color w:val="000000"/>
                <w:sz w:val="22"/>
              </w:rPr>
              <w:t>股短期回调可以理解，热情过后的</w:t>
            </w:r>
            <w:r>
              <w:rPr>
                <w:rFonts w:ascii="FangSong" w:eastAsia="FangSong" w:hAnsi="FangSong" w:cs="FangSong"/>
                <w:color w:val="000000"/>
                <w:sz w:val="22"/>
              </w:rPr>
              <w:t>“</w:t>
            </w:r>
            <w:r>
              <w:rPr>
                <w:rFonts w:ascii="FangSong" w:eastAsia="FangSong" w:hAnsi="FangSong" w:cs="FangSong"/>
                <w:color w:val="000000"/>
                <w:sz w:val="22"/>
              </w:rPr>
              <w:t>靴子落地</w:t>
            </w:r>
            <w:r>
              <w:rPr>
                <w:rFonts w:ascii="FangSong" w:eastAsia="FangSong" w:hAnsi="FangSong" w:cs="FangSong"/>
                <w:color w:val="000000"/>
                <w:sz w:val="22"/>
              </w:rPr>
              <w:t>”</w:t>
            </w:r>
            <w:r>
              <w:rPr>
                <w:rFonts w:ascii="FangSong" w:eastAsia="FangSong" w:hAnsi="FangSong" w:cs="FangSong"/>
                <w:color w:val="000000"/>
                <w:sz w:val="22"/>
              </w:rPr>
              <w:t>也获得了合理定价。</w:t>
            </w:r>
            <w:r>
              <w:rPr>
                <w:rFonts w:ascii="FangSong" w:eastAsia="FangSong" w:hAnsi="FangSong" w:cs="FangSong"/>
                <w:color w:val="000000"/>
                <w:sz w:val="22"/>
              </w:rPr>
              <w:t xml:space="preserve"> “</w:t>
            </w:r>
            <w:r>
              <w:rPr>
                <w:rFonts w:ascii="FangSong" w:eastAsia="FangSong" w:hAnsi="FangSong" w:cs="FangSong"/>
                <w:color w:val="000000"/>
                <w:sz w:val="22"/>
              </w:rPr>
              <w:t>间战期</w:t>
            </w:r>
            <w:r>
              <w:rPr>
                <w:rFonts w:ascii="FangSong" w:eastAsia="FangSong" w:hAnsi="FangSong" w:cs="FangSong"/>
                <w:color w:val="000000"/>
                <w:sz w:val="22"/>
              </w:rPr>
              <w:t>”</w:t>
            </w:r>
            <w:r>
              <w:rPr>
                <w:rFonts w:ascii="FangSong" w:eastAsia="FangSong" w:hAnsi="FangSong" w:cs="FangSong"/>
                <w:color w:val="000000"/>
                <w:sz w:val="22"/>
              </w:rPr>
              <w:t>有新的核心关注点，未来还是更需要关注国内经济和</w:t>
            </w:r>
            <w:r>
              <w:rPr>
                <w:rFonts w:ascii="FangSong" w:eastAsia="FangSong" w:hAnsi="FangSong" w:cs="FangSong"/>
                <w:color w:val="000000"/>
                <w:sz w:val="22"/>
              </w:rPr>
              <w:t>“</w:t>
            </w:r>
            <w:r>
              <w:rPr>
                <w:rFonts w:ascii="FangSong" w:eastAsia="FangSong" w:hAnsi="FangSong" w:cs="FangSong"/>
                <w:color w:val="000000"/>
                <w:sz w:val="22"/>
              </w:rPr>
              <w:t>我们自己的事情</w:t>
            </w:r>
            <w:r>
              <w:rPr>
                <w:rFonts w:ascii="FangSong" w:eastAsia="FangSong" w:hAnsi="FangSong" w:cs="FangSong"/>
                <w:color w:val="000000"/>
                <w:sz w:val="22"/>
              </w:rPr>
              <w:t>”</w:t>
            </w:r>
            <w:r>
              <w:rPr>
                <w:rFonts w:ascii="FangSong" w:eastAsia="FangSong" w:hAnsi="FangSong" w:cs="FangSong"/>
                <w:color w:val="000000"/>
                <w:sz w:val="22"/>
              </w:rPr>
              <w:t>，海外市场的核心风险也重归美国自身经济和政策。另外，从上市公司三季报来看，三季度</w:t>
            </w:r>
            <w:r>
              <w:rPr>
                <w:rFonts w:ascii="FangSong" w:eastAsia="FangSong" w:hAnsi="FangSong" w:cs="FangSong"/>
                <w:color w:val="000000"/>
                <w:sz w:val="22"/>
              </w:rPr>
              <w:t>A</w:t>
            </w:r>
            <w:r>
              <w:rPr>
                <w:rFonts w:ascii="FangSong" w:eastAsia="FangSong" w:hAnsi="FangSong" w:cs="FangSong"/>
                <w:color w:val="000000"/>
                <w:sz w:val="22"/>
              </w:rPr>
              <w:t>股利润端相比前几个季度</w:t>
            </w:r>
            <w:r>
              <w:rPr>
                <w:rFonts w:ascii="FangSong" w:eastAsia="FangSong" w:hAnsi="FangSong" w:cs="FangSong"/>
                <w:color w:val="000000"/>
                <w:sz w:val="22"/>
              </w:rPr>
              <w:t>A</w:t>
            </w:r>
            <w:r>
              <w:rPr>
                <w:rFonts w:ascii="FangSong" w:eastAsia="FangSong" w:hAnsi="FangSong" w:cs="FangSong"/>
                <w:color w:val="000000"/>
                <w:sz w:val="22"/>
              </w:rPr>
              <w:t>股只涨估值不涨营收利润增速的局面有所改观。经济政策的持续落地终将在基本面层面反应，但需要关注拐点后的持续趋势。整体来看，</w:t>
            </w:r>
            <w:r>
              <w:rPr>
                <w:rFonts w:ascii="FangSong" w:eastAsia="FangSong" w:hAnsi="FangSong" w:cs="FangSong"/>
                <w:color w:val="000000"/>
                <w:sz w:val="22"/>
              </w:rPr>
              <w:t>10</w:t>
            </w:r>
            <w:r>
              <w:rPr>
                <w:rFonts w:ascii="FangSong" w:eastAsia="FangSong" w:hAnsi="FangSong" w:cs="FangSong"/>
                <w:color w:val="000000"/>
                <w:sz w:val="22"/>
              </w:rPr>
              <w:t>月市场孕育的核心风险点正在逐渐消化，保持仓位是合</w:t>
            </w:r>
            <w:r>
              <w:rPr>
                <w:rFonts w:ascii="FangSong" w:eastAsia="FangSong" w:hAnsi="FangSong" w:cs="FangSong"/>
                <w:color w:val="000000"/>
                <w:sz w:val="22"/>
              </w:rPr>
              <w:t>理的选择，</w:t>
            </w:r>
            <w:r>
              <w:rPr>
                <w:rFonts w:ascii="FangSong" w:eastAsia="FangSong" w:hAnsi="FangSong" w:cs="FangSong"/>
                <w:color w:val="000000"/>
                <w:sz w:val="22"/>
              </w:rPr>
              <w:t>A</w:t>
            </w:r>
            <w:r>
              <w:rPr>
                <w:rFonts w:ascii="FangSong" w:eastAsia="FangSong" w:hAnsi="FangSong" w:cs="FangSong"/>
                <w:color w:val="000000"/>
                <w:sz w:val="22"/>
              </w:rPr>
              <w:t>股的短期回调有利于未来进一步的配置布局。在一轮轮经济政策刺激下，后续部分新消费、硬科技以及其余</w:t>
            </w:r>
            <w:r>
              <w:rPr>
                <w:rFonts w:ascii="FangSong" w:eastAsia="FangSong" w:hAnsi="FangSong" w:cs="FangSong"/>
                <w:color w:val="000000"/>
                <w:sz w:val="22"/>
              </w:rPr>
              <w:t>“</w:t>
            </w:r>
            <w:r>
              <w:rPr>
                <w:rFonts w:ascii="FangSong" w:eastAsia="FangSong" w:hAnsi="FangSong" w:cs="FangSong"/>
                <w:color w:val="000000"/>
                <w:sz w:val="22"/>
              </w:rPr>
              <w:t>反内卷</w:t>
            </w:r>
            <w:r>
              <w:rPr>
                <w:rFonts w:ascii="FangSong" w:eastAsia="FangSong" w:hAnsi="FangSong" w:cs="FangSong"/>
                <w:color w:val="000000"/>
                <w:sz w:val="22"/>
              </w:rPr>
              <w:t>”</w:t>
            </w:r>
            <w:r>
              <w:rPr>
                <w:rFonts w:ascii="FangSong" w:eastAsia="FangSong" w:hAnsi="FangSong" w:cs="FangSong"/>
                <w:color w:val="000000"/>
                <w:sz w:val="22"/>
              </w:rPr>
              <w:t>相关板块在基本面盈利端可能真正有所兑现，是有助于本轮行情持续度的，但在结构性牛市中更需要关注主动选股基金经理的能力。</w:t>
            </w:r>
            <w:r>
              <w:rPr>
                <w:rFonts w:ascii="FangSong" w:eastAsia="FangSong" w:hAnsi="FangSong" w:cs="FangSong"/>
                <w:color w:val="000000"/>
                <w:sz w:val="22"/>
              </w:rPr>
              <w:br/>
            </w:r>
            <w:r>
              <w:rPr>
                <w:rFonts w:ascii="FangSong" w:eastAsia="FangSong" w:hAnsi="FangSong" w:cs="FangSong"/>
                <w:color w:val="000000"/>
                <w:sz w:val="22"/>
              </w:rPr>
              <w:t>综上，大方向投顾力求左侧，避免跟风。市场曙光初现，理性的坚持终将获得回报。</w:t>
            </w:r>
            <w:r>
              <w:rPr>
                <w:rFonts w:ascii="FangSong" w:eastAsia="FangSong" w:hAnsi="FangSong" w:cs="FangSong"/>
                <w:color w:val="000000"/>
                <w:sz w:val="22"/>
              </w:rPr>
              <w:br/>
            </w:r>
          </w:p>
        </w:tc>
      </w:tr>
      <w:tr w:rsidR="0092047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920473">
            <w:pPr>
              <w:jc w:val="center"/>
            </w:pPr>
          </w:p>
        </w:tc>
      </w:tr>
      <w:tr w:rsidR="00920473">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EA7D0B">
            <w:r>
              <w:rPr>
                <w:rFonts w:ascii="FangSong" w:eastAsia="FangSong" w:hAnsi="FangSong" w:cs="FangSong"/>
                <w:b/>
                <w:color w:val="000000"/>
              </w:rPr>
              <w:t>五、</w:t>
            </w:r>
            <w:r>
              <w:rPr>
                <w:rFonts w:ascii="FangSong" w:eastAsia="FangSong" w:hAnsi="FangSong" w:cs="FangSong"/>
                <w:b/>
                <w:color w:val="000000"/>
              </w:rPr>
              <w:t xml:space="preserve"> </w:t>
            </w:r>
            <w:r>
              <w:rPr>
                <w:rFonts w:ascii="FangSong" w:eastAsia="FangSong" w:hAnsi="FangSong" w:cs="FangSong"/>
                <w:b/>
                <w:color w:val="000000"/>
              </w:rPr>
              <w:t>专项说明</w:t>
            </w:r>
          </w:p>
        </w:tc>
      </w:tr>
      <w:tr w:rsidR="00920473">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920473">
            <w:pPr>
              <w:jc w:val="center"/>
            </w:pPr>
          </w:p>
        </w:tc>
      </w:tr>
      <w:tr w:rsidR="00920473">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EA7D0B">
            <w:r>
              <w:rPr>
                <w:rFonts w:ascii="FangSong" w:eastAsia="FangSong" w:hAnsi="FangSong" w:cs="FangSong"/>
                <w:color w:val="000000"/>
                <w:sz w:val="22"/>
              </w:rPr>
              <w:t xml:space="preserve">       </w:t>
            </w:r>
            <w:r>
              <w:rPr>
                <w:rFonts w:ascii="FangSong" w:eastAsia="FangSong" w:hAnsi="FangSong" w:cs="FangSong"/>
                <w:color w:val="000000"/>
                <w:sz w:val="22"/>
              </w:rPr>
              <w:t>本报告期间根据协议相关约定进行交易操作、未存在执行偏差、交易策略调整。</w:t>
            </w:r>
          </w:p>
        </w:tc>
      </w:tr>
      <w:tr w:rsidR="00920473">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920473" w:rsidRDefault="00EA7D0B">
            <w:r>
              <w:rPr>
                <w:rFonts w:ascii="FangSong" w:eastAsia="FangSong" w:hAnsi="FangSong" w:cs="FangSong"/>
                <w:color w:val="000000"/>
                <w:sz w:val="22"/>
              </w:rPr>
              <w:t>声明：</w:t>
            </w:r>
            <w:r>
              <w:rPr>
                <w:rFonts w:ascii="FangSong" w:eastAsia="FangSong" w:hAnsi="FangSong" w:cs="FangSong"/>
                <w:color w:val="000000"/>
                <w:sz w:val="22"/>
              </w:rPr>
              <w:br/>
            </w:r>
            <w:r>
              <w:rPr>
                <w:rFonts w:ascii="FangSong" w:eastAsia="FangSong" w:hAnsi="FangSong" w:cs="FangSong"/>
                <w:color w:val="000000"/>
                <w:sz w:val="22"/>
              </w:rPr>
              <w:t>*</w:t>
            </w:r>
            <w:r>
              <w:rPr>
                <w:rFonts w:ascii="FangSong" w:eastAsia="FangSong" w:hAnsi="FangSong" w:cs="FangSong"/>
                <w:color w:val="000000"/>
                <w:sz w:val="22"/>
              </w:rPr>
              <w:t>基金有风险，投资需谨慎。国联民生证券基金投顾业务尚处于试点阶段，基金投顾机构存在因试点资格被取消不能继续提供服务的风险。</w:t>
            </w:r>
            <w:r>
              <w:rPr>
                <w:rFonts w:ascii="FangSong" w:eastAsia="FangSong" w:hAnsi="FangSong" w:cs="FangSong"/>
                <w:color w:val="000000"/>
                <w:sz w:val="22"/>
              </w:rPr>
              <w:br/>
              <w:t>*</w:t>
            </w:r>
            <w:r>
              <w:rPr>
                <w:rFonts w:ascii="FangSong" w:eastAsia="FangSong" w:hAnsi="FangSong" w:cs="FangSong"/>
                <w:color w:val="000000"/>
                <w:sz w:val="22"/>
              </w:rPr>
              <w:t>策略公告提供的所有信息仅供参考，不构成任何投资建议。国联民生证券不会因接收人收到本内容而视其为客户。</w:t>
            </w:r>
            <w:r>
              <w:rPr>
                <w:rFonts w:ascii="FangSong" w:eastAsia="FangSong" w:hAnsi="FangSong" w:cs="FangSong"/>
                <w:color w:val="000000"/>
                <w:sz w:val="22"/>
              </w:rPr>
              <w:br/>
              <w:t>*</w:t>
            </w:r>
            <w:r>
              <w:rPr>
                <w:rFonts w:ascii="FangSong" w:eastAsia="FangSong" w:hAnsi="FangSong" w:cs="FangSong"/>
                <w:color w:val="000000"/>
                <w:sz w:val="22"/>
              </w:rPr>
              <w:t>国联民生证券对所载信息的准确性、完整性或及时性不作任何保证，并非作为买卖、认购证券或其它金融工具的邀请或保证。投资者不应单纯依靠策略公告提供的任何信息而取代个人的独立判断。国联民生证券不对因投资者参考策略公告提供的任何信息而导致的损失负任何责任。</w:t>
            </w:r>
            <w:r>
              <w:rPr>
                <w:rFonts w:ascii="FangSong" w:eastAsia="FangSong" w:hAnsi="FangSong" w:cs="FangSong"/>
                <w:color w:val="000000"/>
                <w:sz w:val="22"/>
              </w:rPr>
              <w:br/>
              <w:t>*</w:t>
            </w:r>
            <w:r>
              <w:rPr>
                <w:rFonts w:ascii="FangSong" w:eastAsia="FangSong" w:hAnsi="FangSong" w:cs="FangSong"/>
                <w:color w:val="000000"/>
                <w:sz w:val="22"/>
              </w:rPr>
              <w:t>国联民生证券版权所有并保留一切权</w:t>
            </w:r>
            <w:r>
              <w:rPr>
                <w:rFonts w:ascii="FangSong" w:eastAsia="FangSong" w:hAnsi="FangSong" w:cs="FangSong"/>
                <w:color w:val="000000"/>
                <w:sz w:val="22"/>
              </w:rPr>
              <w:t>利。</w:t>
            </w:r>
          </w:p>
        </w:tc>
      </w:tr>
    </w:tbl>
    <w:p w:rsidR="00920473" w:rsidRPr="00E27889" w:rsidRDefault="00E27889">
      <w:pPr>
        <w:rPr>
          <w:rFonts w:ascii="FangSong" w:eastAsia="FangSong" w:hAnsi="FangSong" w:cs="FangSong"/>
          <w:color w:val="000000"/>
          <w:sz w:val="22"/>
        </w:rPr>
      </w:pPr>
      <w:bookmarkStart w:id="0" w:name="_GoBack"/>
      <w:r w:rsidRPr="00E27889">
        <w:rPr>
          <w:rFonts w:ascii="FangSong" w:eastAsia="FangSong" w:hAnsi="FangSong" w:cs="FangSong" w:hint="eastAsia"/>
          <w:color w:val="000000"/>
          <w:sz w:val="22"/>
        </w:rPr>
        <w:t>*</w:t>
      </w:r>
      <w:r w:rsidRPr="00E27889">
        <w:rPr>
          <w:rFonts w:ascii="宋体" w:eastAsia="宋体" w:hAnsi="宋体" w:cs="宋体" w:hint="eastAsia"/>
          <w:color w:val="000000"/>
          <w:sz w:val="22"/>
        </w:rPr>
        <w:t>文章中月份如无特殊说明，对应年份均指</w:t>
      </w:r>
      <w:r w:rsidRPr="00E27889">
        <w:rPr>
          <w:rFonts w:ascii="FangSong" w:eastAsia="FangSong" w:hAnsi="FangSong" w:cs="FangSong" w:hint="eastAsia"/>
          <w:color w:val="000000"/>
          <w:sz w:val="22"/>
        </w:rPr>
        <w:t xml:space="preserve"> 2025 </w:t>
      </w:r>
      <w:r w:rsidRPr="00E27889">
        <w:rPr>
          <w:rFonts w:ascii="宋体" w:eastAsia="宋体" w:hAnsi="宋体" w:cs="宋体" w:hint="eastAsia"/>
          <w:color w:val="000000"/>
          <w:sz w:val="22"/>
        </w:rPr>
        <w:t>年。</w:t>
      </w:r>
      <w:bookmarkEnd w:id="0"/>
    </w:p>
    <w:sectPr w:rsidR="00920473" w:rsidRPr="00E27889">
      <w:headerReference w:type="default" r:id="rId7"/>
      <w:pgSz w:w="11906" w:h="16838"/>
      <w:pgMar w:top="1080" w:right="1008" w:bottom="1080" w:left="100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7D0B" w:rsidRDefault="00EA7D0B">
      <w:r>
        <w:separator/>
      </w:r>
    </w:p>
  </w:endnote>
  <w:endnote w:type="continuationSeparator" w:id="0">
    <w:p w:rsidR="00EA7D0B" w:rsidRDefault="00EA7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angSong">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D0B" w:rsidRDefault="00EA7D0B">
      <w:r>
        <w:separator/>
      </w:r>
    </w:p>
  </w:footnote>
  <w:footnote w:type="continuationSeparator" w:id="0">
    <w:p w:rsidR="00EA7D0B" w:rsidRDefault="00EA7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0473" w:rsidRDefault="0092047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20473"/>
    <w:rsid w:val="0016220B"/>
    <w:rsid w:val="00920473"/>
    <w:rsid w:val="00D81D22"/>
    <w:rsid w:val="00E27889"/>
    <w:rsid w:val="00EA7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9AF08BC4-E79B-43DA-8EA9-847D928B1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463</Words>
  <Characters>2642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吴骏</dc:creator>
  <cp:lastModifiedBy>吴骏</cp:lastModifiedBy>
  <cp:revision>5</cp:revision>
  <cp:lastPrinted>2025-11-13T10:06:00Z</cp:lastPrinted>
  <dcterms:created xsi:type="dcterms:W3CDTF">2025-11-13T10:04:00Z</dcterms:created>
  <dcterms:modified xsi:type="dcterms:W3CDTF">2025-11-13T10:06:00Z</dcterms:modified>
</cp:coreProperties>
</file>