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9DDF6">
      <w:pPr>
        <w:jc w:val="center"/>
        <w:rPr>
          <w:rFonts w:hint="eastAsia"/>
          <w:b/>
          <w:sz w:val="28"/>
          <w:szCs w:val="28"/>
          <w:highlight w:val="none"/>
        </w:rPr>
      </w:pPr>
      <w:r>
        <w:rPr>
          <w:rFonts w:hint="eastAsia"/>
          <w:b/>
          <w:sz w:val="28"/>
          <w:szCs w:val="28"/>
          <w:highlight w:val="none"/>
        </w:rPr>
        <w:t>中邮北证50成份指数增强型发起式证券投资基金</w:t>
      </w:r>
    </w:p>
    <w:p w14:paraId="4005C446">
      <w:pPr>
        <w:jc w:val="center"/>
        <w:rPr>
          <w:rFonts w:hint="eastAsia"/>
          <w:highlight w:val="none"/>
        </w:rPr>
      </w:pPr>
      <w:r>
        <w:rPr>
          <w:rFonts w:hint="eastAsia"/>
          <w:b/>
          <w:sz w:val="28"/>
          <w:szCs w:val="28"/>
          <w:highlight w:val="none"/>
        </w:rPr>
        <w:t>（中邮北证50成份指数增强发起式A份额）</w:t>
      </w:r>
      <w:r>
        <w:rPr>
          <w:rFonts w:hint="eastAsia" w:cs="Times New Roman"/>
          <w:b/>
          <w:sz w:val="28"/>
          <w:szCs w:val="28"/>
          <w:highlight w:val="none"/>
        </w:rPr>
        <w:br w:type="textWrapping"/>
      </w:r>
      <w:r>
        <w:rPr>
          <w:rFonts w:hint="eastAsia" w:cs="Times New Roman"/>
          <w:b/>
          <w:sz w:val="28"/>
          <w:szCs w:val="28"/>
          <w:highlight w:val="none"/>
        </w:rPr>
        <w:t>基金产品资料概要</w:t>
      </w:r>
    </w:p>
    <w:p w14:paraId="1E823414">
      <w:pPr>
        <w:spacing w:line="360" w:lineRule="auto"/>
        <w:ind w:firstLine="1920" w:firstLineChars="800"/>
        <w:jc w:val="right"/>
        <w:rPr>
          <w:rFonts w:hint="eastAsia"/>
          <w:highlight w:val="none"/>
        </w:rPr>
      </w:pPr>
      <w:r>
        <w:rPr>
          <w:rFonts w:hint="eastAsia"/>
          <w:bCs/>
          <w:sz w:val="24"/>
          <w:szCs w:val="30"/>
          <w:highlight w:val="none"/>
        </w:rPr>
        <w:t>编制日期：202</w:t>
      </w:r>
      <w:r>
        <w:rPr>
          <w:rFonts w:hint="eastAsia"/>
          <w:bCs/>
          <w:sz w:val="24"/>
          <w:szCs w:val="30"/>
          <w:highlight w:val="none"/>
        </w:rPr>
        <w:t>5年</w:t>
      </w:r>
      <w:r>
        <w:rPr>
          <w:rFonts w:hint="eastAsia" w:ascii="宋体"/>
          <w:bCs/>
          <w:sz w:val="24"/>
          <w:szCs w:val="30"/>
          <w:highlight w:val="none"/>
          <w:lang w:val="en-US" w:eastAsia="zh-CN"/>
        </w:rPr>
        <w:t>10</w:t>
      </w:r>
      <w:r>
        <w:rPr>
          <w:rFonts w:hint="eastAsia"/>
          <w:bCs/>
          <w:sz w:val="24"/>
          <w:szCs w:val="30"/>
          <w:highlight w:val="none"/>
        </w:rPr>
        <w:t>月</w:t>
      </w:r>
      <w:r>
        <w:rPr>
          <w:rFonts w:hint="eastAsia" w:ascii="宋体"/>
          <w:bCs/>
          <w:sz w:val="24"/>
          <w:szCs w:val="30"/>
          <w:highlight w:val="none"/>
          <w:lang w:val="en-US" w:eastAsia="zh-CN"/>
        </w:rPr>
        <w:t>27</w:t>
      </w:r>
      <w:bookmarkStart w:id="0" w:name="_GoBack"/>
      <w:bookmarkEnd w:id="0"/>
      <w:r>
        <w:rPr>
          <w:rFonts w:hint="eastAsia"/>
          <w:bCs/>
          <w:sz w:val="24"/>
          <w:szCs w:val="30"/>
          <w:highlight w:val="none"/>
        </w:rPr>
        <w:t>日</w:t>
      </w:r>
    </w:p>
    <w:p w14:paraId="541DF59F">
      <w:pPr>
        <w:spacing w:line="360" w:lineRule="auto"/>
        <w:jc w:val="center"/>
        <w:rPr>
          <w:rFonts w:hint="eastAsia"/>
          <w:highlight w:val="none"/>
        </w:rPr>
      </w:pPr>
    </w:p>
    <w:p w14:paraId="61273C1C">
      <w:pPr>
        <w:spacing w:line="360" w:lineRule="auto"/>
        <w:jc w:val="center"/>
        <w:rPr>
          <w:rFonts w:hint="eastAsia"/>
          <w:highlight w:val="none"/>
        </w:rPr>
      </w:pPr>
      <w:r>
        <w:rPr>
          <w:rFonts w:hint="eastAsia" w:cs="Times New Roman"/>
          <w:b/>
          <w:sz w:val="24"/>
          <w:szCs w:val="24"/>
          <w:highlight w:val="none"/>
        </w:rPr>
        <w:t xml:space="preserve">本概要提供本基金的重要信息，是招募说明书的一部分。 </w:t>
      </w:r>
    </w:p>
    <w:p w14:paraId="1DC1155F">
      <w:pPr>
        <w:spacing w:line="360" w:lineRule="auto"/>
        <w:jc w:val="center"/>
        <w:rPr>
          <w:rFonts w:hint="eastAsia"/>
          <w:highlight w:val="none"/>
        </w:rPr>
      </w:pPr>
      <w:r>
        <w:rPr>
          <w:rFonts w:hint="eastAsia" w:cs="Times New Roman"/>
          <w:b/>
          <w:sz w:val="24"/>
          <w:szCs w:val="24"/>
          <w:highlight w:val="none"/>
        </w:rPr>
        <w:t xml:space="preserve">作出投资决定前，请阅读完整的招募说明书等销售文件。 </w:t>
      </w:r>
    </w:p>
    <w:p w14:paraId="7CF83731">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产品概况</w:t>
      </w:r>
      <w:r>
        <w:rPr>
          <w:rFonts w:hint="eastAsia"/>
          <w:b/>
          <w:bCs/>
          <w:kern w:val="44"/>
          <w:szCs w:val="44"/>
          <w:highlight w:val="none"/>
        </w:rPr>
        <w:t xml:space="preserve"> </w:t>
      </w:r>
    </w:p>
    <w:tbl>
      <w:tblPr>
        <w:tblStyle w:val="5"/>
        <w:tblW w:w="4849" w:type="pct"/>
        <w:tblInd w:w="103"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552"/>
        <w:gridCol w:w="2736"/>
        <w:gridCol w:w="1662"/>
        <w:gridCol w:w="2315"/>
      </w:tblGrid>
      <w:tr w14:paraId="6656B25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56E536D">
            <w:pPr>
              <w:rPr>
                <w:rFonts w:hint="eastAsia"/>
                <w:highlight w:val="none"/>
              </w:rPr>
            </w:pPr>
            <w:r>
              <w:rPr>
                <w:rFonts w:hint="eastAsia"/>
                <w:b/>
                <w:szCs w:val="24"/>
                <w:highlight w:val="none"/>
              </w:rPr>
              <w:t>基金简称</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99B8912">
            <w:pPr>
              <w:rPr>
                <w:rFonts w:hint="eastAsia"/>
                <w:szCs w:val="24"/>
                <w:highlight w:val="none"/>
              </w:rPr>
            </w:pPr>
            <w:r>
              <w:rPr>
                <w:rFonts w:hint="eastAsia"/>
                <w:iCs/>
                <w:highlight w:val="none"/>
              </w:rPr>
              <w:t>中邮北证50成份指数增强发起式</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418F1BA">
            <w:pPr>
              <w:rPr>
                <w:rFonts w:hint="eastAsia"/>
                <w:highlight w:val="none"/>
              </w:rPr>
            </w:pPr>
            <w:r>
              <w:rPr>
                <w:rFonts w:hint="eastAsia"/>
                <w:b/>
                <w:szCs w:val="24"/>
                <w:highlight w:val="none"/>
              </w:rPr>
              <w:t>基金代码</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4A9C237">
            <w:pPr>
              <w:rPr>
                <w:rFonts w:hint="default" w:eastAsia="宋体"/>
                <w:szCs w:val="24"/>
                <w:highlight w:val="none"/>
                <w:lang w:val="en-US" w:eastAsia="zh-CN"/>
              </w:rPr>
            </w:pPr>
            <w:r>
              <w:rPr>
                <w:rFonts w:hint="eastAsia"/>
                <w:iCs/>
                <w:highlight w:val="none"/>
                <w:lang w:val="en-US" w:eastAsia="zh-CN"/>
              </w:rPr>
              <w:t>025488</w:t>
            </w:r>
          </w:p>
        </w:tc>
      </w:tr>
      <w:tr w14:paraId="6BF823D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26B6401">
            <w:pPr>
              <w:rPr>
                <w:rFonts w:hint="eastAsia"/>
                <w:highlight w:val="none"/>
              </w:rPr>
            </w:pPr>
            <w:r>
              <w:rPr>
                <w:rFonts w:hint="eastAsia"/>
                <w:b/>
                <w:szCs w:val="24"/>
                <w:highlight w:val="none"/>
              </w:rPr>
              <w:t>下属基金简称</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A91221D">
            <w:pPr>
              <w:rPr>
                <w:rFonts w:hint="eastAsia"/>
                <w:szCs w:val="24"/>
                <w:highlight w:val="none"/>
              </w:rPr>
            </w:pPr>
            <w:r>
              <w:rPr>
                <w:rFonts w:hint="eastAsia"/>
                <w:iCs/>
                <w:highlight w:val="none"/>
              </w:rPr>
              <w:t>中邮北证50成份指数增强发起式A</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B40AFD9">
            <w:pPr>
              <w:rPr>
                <w:rFonts w:hint="eastAsia"/>
                <w:highlight w:val="none"/>
              </w:rPr>
            </w:pPr>
            <w:r>
              <w:rPr>
                <w:rFonts w:hint="eastAsia"/>
                <w:b/>
                <w:szCs w:val="24"/>
                <w:highlight w:val="none"/>
              </w:rPr>
              <w:t>下属基金交易代码</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67A5A19">
            <w:pPr>
              <w:rPr>
                <w:rFonts w:hint="eastAsia"/>
                <w:szCs w:val="24"/>
                <w:highlight w:val="none"/>
              </w:rPr>
            </w:pPr>
            <w:r>
              <w:rPr>
                <w:rFonts w:hint="eastAsia"/>
                <w:szCs w:val="24"/>
                <w:highlight w:val="none"/>
              </w:rPr>
              <w:t>025488</w:t>
            </w:r>
          </w:p>
        </w:tc>
      </w:tr>
      <w:tr w14:paraId="73448B2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634E7F6">
            <w:pPr>
              <w:rPr>
                <w:rFonts w:hint="eastAsia"/>
                <w:highlight w:val="none"/>
              </w:rPr>
            </w:pPr>
            <w:r>
              <w:rPr>
                <w:rFonts w:hint="eastAsia"/>
                <w:b/>
                <w:szCs w:val="24"/>
                <w:highlight w:val="none"/>
                <w:lang w:eastAsia="zh-Hans"/>
              </w:rPr>
              <w:t>基金管理人</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224F09E">
            <w:pPr>
              <w:rPr>
                <w:rFonts w:hint="eastAsia"/>
                <w:highlight w:val="none"/>
              </w:rPr>
            </w:pPr>
            <w:r>
              <w:rPr>
                <w:rFonts w:hint="eastAsia"/>
                <w:highlight w:val="none"/>
                <w:lang w:eastAsia="zh-Hans"/>
              </w:rPr>
              <w:t>中邮创业基金管理股份有限公司</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DD5617A">
            <w:pPr>
              <w:rPr>
                <w:rFonts w:hint="eastAsia"/>
                <w:highlight w:val="none"/>
              </w:rPr>
            </w:pPr>
            <w:r>
              <w:rPr>
                <w:rFonts w:hint="eastAsia"/>
                <w:b/>
                <w:szCs w:val="24"/>
                <w:highlight w:val="none"/>
                <w:lang w:eastAsia="zh-Hans"/>
              </w:rPr>
              <w:t>基金托管人</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951994B">
            <w:pPr>
              <w:rPr>
                <w:rFonts w:hint="eastAsia"/>
                <w:highlight w:val="none"/>
              </w:rPr>
            </w:pPr>
            <w:r>
              <w:rPr>
                <w:rFonts w:hint="eastAsia"/>
                <w:highlight w:val="none"/>
              </w:rPr>
              <w:t>苏州银行股份有限公司</w:t>
            </w:r>
          </w:p>
        </w:tc>
      </w:tr>
      <w:tr w14:paraId="0B9F8DE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C0530AE">
            <w:pPr>
              <w:rPr>
                <w:rFonts w:hint="eastAsia"/>
                <w:highlight w:val="none"/>
              </w:rPr>
            </w:pPr>
            <w:r>
              <w:rPr>
                <w:rFonts w:hint="eastAsia"/>
                <w:b/>
                <w:szCs w:val="24"/>
                <w:highlight w:val="none"/>
                <w:lang w:eastAsia="zh-Hans"/>
              </w:rPr>
              <w:t>基金合同生效日</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F0DBB71">
            <w:pPr>
              <w:rPr>
                <w:rFonts w:hint="eastAsia"/>
                <w:highlight w:val="none"/>
              </w:rPr>
            </w:pPr>
            <w:r>
              <w:rPr>
                <w:rFonts w:hint="eastAsia"/>
                <w:iCs/>
                <w:highlight w:val="none"/>
              </w:rPr>
              <w:t>—</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2A9775E">
            <w:pPr>
              <w:rPr>
                <w:rFonts w:hint="eastAsia"/>
                <w:highlight w:val="none"/>
              </w:rPr>
            </w:pPr>
            <w:r>
              <w:rPr>
                <w:rFonts w:hint="eastAsia"/>
                <w:b/>
                <w:szCs w:val="24"/>
                <w:highlight w:val="none"/>
                <w:lang w:eastAsia="zh-Hans"/>
              </w:rPr>
              <w:t>上市交易所及上市日期</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E3417F">
            <w:pPr>
              <w:rPr>
                <w:rFonts w:hint="eastAsia"/>
                <w:highlight w:val="none"/>
              </w:rPr>
            </w:pPr>
            <w:r>
              <w:rPr>
                <w:rFonts w:hint="eastAsia"/>
                <w:highlight w:val="none"/>
                <w:lang w:eastAsia="zh-Hans"/>
              </w:rPr>
              <w:t>-</w:t>
            </w:r>
          </w:p>
        </w:tc>
      </w:tr>
      <w:tr w14:paraId="45D0C31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B5FCB53">
            <w:pPr>
              <w:rPr>
                <w:rFonts w:hint="eastAsia"/>
                <w:highlight w:val="none"/>
              </w:rPr>
            </w:pPr>
            <w:r>
              <w:rPr>
                <w:rFonts w:hint="eastAsia"/>
                <w:b/>
                <w:szCs w:val="24"/>
                <w:highlight w:val="none"/>
                <w:lang w:eastAsia="zh-Hans"/>
              </w:rPr>
              <w:t>基金类型</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A9893E4">
            <w:pPr>
              <w:rPr>
                <w:rFonts w:hint="eastAsia"/>
                <w:highlight w:val="none"/>
              </w:rPr>
            </w:pPr>
            <w:r>
              <w:rPr>
                <w:rFonts w:hint="eastAsia"/>
                <w:highlight w:val="none"/>
              </w:rPr>
              <w:t>股票</w:t>
            </w:r>
            <w:r>
              <w:rPr>
                <w:rFonts w:hint="eastAsia"/>
                <w:highlight w:val="none"/>
                <w:lang w:eastAsia="zh-Hans"/>
              </w:rPr>
              <w:t>型</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5B748C">
            <w:pPr>
              <w:rPr>
                <w:rFonts w:hint="eastAsia"/>
                <w:highlight w:val="none"/>
              </w:rPr>
            </w:pPr>
            <w:r>
              <w:rPr>
                <w:rFonts w:hint="eastAsia"/>
                <w:b/>
                <w:szCs w:val="24"/>
                <w:highlight w:val="none"/>
                <w:lang w:eastAsia="zh-Hans"/>
              </w:rPr>
              <w:t>交易币种</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CE2172F">
            <w:pPr>
              <w:rPr>
                <w:rFonts w:hint="eastAsia"/>
                <w:highlight w:val="none"/>
              </w:rPr>
            </w:pPr>
            <w:r>
              <w:rPr>
                <w:rFonts w:hint="eastAsia"/>
                <w:highlight w:val="none"/>
                <w:lang w:eastAsia="zh-Hans"/>
              </w:rPr>
              <w:t>人民币</w:t>
            </w:r>
          </w:p>
        </w:tc>
      </w:tr>
      <w:tr w14:paraId="7757C27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6A0B49">
            <w:pPr>
              <w:rPr>
                <w:rFonts w:hint="eastAsia"/>
                <w:highlight w:val="none"/>
              </w:rPr>
            </w:pPr>
            <w:r>
              <w:rPr>
                <w:rFonts w:hint="eastAsia"/>
                <w:b/>
                <w:szCs w:val="24"/>
                <w:highlight w:val="none"/>
                <w:lang w:eastAsia="zh-Hans"/>
              </w:rPr>
              <w:t>运作方式</w:t>
            </w:r>
            <w:r>
              <w:rPr>
                <w:rFonts w:hint="eastAsia"/>
                <w:szCs w:val="24"/>
                <w:highlight w:val="none"/>
                <w:lang w:eastAsia="zh-Hans"/>
              </w:rPr>
              <w:t xml:space="preserve"> </w:t>
            </w:r>
          </w:p>
        </w:tc>
        <w:tc>
          <w:tcPr>
            <w:tcW w:w="321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02C85C">
            <w:pPr>
              <w:rPr>
                <w:rFonts w:hint="eastAsia"/>
                <w:highlight w:val="none"/>
              </w:rPr>
            </w:pPr>
            <w:r>
              <w:rPr>
                <w:rFonts w:hint="eastAsia"/>
                <w:highlight w:val="none"/>
                <w:lang w:eastAsia="zh-Hans"/>
              </w:rPr>
              <w:t>契约型开放式</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1E677E0">
            <w:pPr>
              <w:rPr>
                <w:rFonts w:hint="eastAsia"/>
                <w:highlight w:val="none"/>
              </w:rPr>
            </w:pPr>
            <w:r>
              <w:rPr>
                <w:rFonts w:hint="eastAsia"/>
                <w:b/>
                <w:szCs w:val="24"/>
                <w:highlight w:val="none"/>
                <w:lang w:eastAsia="zh-Hans"/>
              </w:rPr>
              <w:t>开放频率</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0BF32D8">
            <w:pPr>
              <w:rPr>
                <w:rFonts w:hint="eastAsia"/>
                <w:highlight w:val="none"/>
              </w:rPr>
            </w:pPr>
            <w:r>
              <w:rPr>
                <w:rFonts w:hint="eastAsia"/>
                <w:highlight w:val="none"/>
                <w:lang w:eastAsia="zh-Hans"/>
              </w:rPr>
              <w:t>每个开放日</w:t>
            </w:r>
          </w:p>
        </w:tc>
      </w:tr>
      <w:tr w14:paraId="699F3C3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5D496C">
            <w:pPr>
              <w:rPr>
                <w:rFonts w:hint="eastAsia"/>
                <w:highlight w:val="none"/>
              </w:rPr>
            </w:pPr>
            <w:r>
              <w:rPr>
                <w:rFonts w:hint="eastAsia"/>
                <w:b/>
                <w:szCs w:val="24"/>
                <w:highlight w:val="none"/>
                <w:lang w:eastAsia="zh-Hans"/>
              </w:rPr>
              <w:t>基金经理</w:t>
            </w:r>
            <w:r>
              <w:rPr>
                <w:rFonts w:hint="eastAsia"/>
                <w:szCs w:val="24"/>
                <w:highlight w:val="none"/>
                <w:lang w:eastAsia="zh-Hans"/>
              </w:rPr>
              <w:t xml:space="preserve"> </w:t>
            </w:r>
          </w:p>
        </w:tc>
        <w:tc>
          <w:tcPr>
            <w:tcW w:w="3213"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DB2BBA0">
            <w:pPr>
              <w:rPr>
                <w:rFonts w:hint="eastAsia"/>
                <w:highlight w:val="none"/>
              </w:rPr>
            </w:pPr>
            <w:r>
              <w:rPr>
                <w:rFonts w:hint="eastAsia"/>
                <w:highlight w:val="none"/>
              </w:rPr>
              <w:t>王高</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687DBF4">
            <w:pPr>
              <w:rPr>
                <w:rFonts w:hint="eastAsia"/>
                <w:highlight w:val="none"/>
              </w:rPr>
            </w:pPr>
            <w:r>
              <w:rPr>
                <w:rFonts w:hint="eastAsia"/>
                <w:b/>
                <w:szCs w:val="24"/>
                <w:highlight w:val="none"/>
                <w:lang w:eastAsia="zh-Hans"/>
              </w:rPr>
              <w:t>开始担任本基金基金经理的日期</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20FE3C">
            <w:pPr>
              <w:rPr>
                <w:rFonts w:hint="eastAsia"/>
                <w:highlight w:val="none"/>
              </w:rPr>
            </w:pPr>
            <w:r>
              <w:rPr>
                <w:rFonts w:hint="eastAsia"/>
                <w:iCs/>
                <w:highlight w:val="none"/>
              </w:rPr>
              <w:t>—</w:t>
            </w:r>
          </w:p>
        </w:tc>
      </w:tr>
      <w:tr w14:paraId="28AA5DA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vMerge w:val="continue"/>
            <w:tcBorders>
              <w:top w:val="single" w:color="auto" w:sz="4" w:space="0"/>
              <w:left w:val="single" w:color="auto" w:sz="4" w:space="0"/>
              <w:bottom w:val="single" w:color="auto" w:sz="4" w:space="0"/>
              <w:right w:val="single" w:color="auto" w:sz="4" w:space="0"/>
            </w:tcBorders>
            <w:vAlign w:val="center"/>
          </w:tcPr>
          <w:p w14:paraId="0AEF2001">
            <w:pPr>
              <w:widowControl/>
              <w:jc w:val="left"/>
              <w:rPr>
                <w:rFonts w:hint="eastAsia"/>
                <w:highlight w:val="none"/>
              </w:rPr>
            </w:pPr>
          </w:p>
        </w:tc>
        <w:tc>
          <w:tcPr>
            <w:tcW w:w="3213" w:type="dxa"/>
            <w:vMerge w:val="continue"/>
            <w:tcBorders>
              <w:top w:val="single" w:color="auto" w:sz="4" w:space="0"/>
              <w:left w:val="single" w:color="auto" w:sz="4" w:space="0"/>
              <w:bottom w:val="single" w:color="auto" w:sz="4" w:space="0"/>
              <w:right w:val="single" w:color="auto" w:sz="4" w:space="0"/>
            </w:tcBorders>
            <w:vAlign w:val="center"/>
          </w:tcPr>
          <w:p w14:paraId="3A7555A2">
            <w:pPr>
              <w:widowControl/>
              <w:jc w:val="left"/>
              <w:rPr>
                <w:rFonts w:hint="eastAsia"/>
                <w:highlight w:val="none"/>
              </w:rPr>
            </w:pP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B48BE7">
            <w:pPr>
              <w:rPr>
                <w:rFonts w:hint="eastAsia"/>
                <w:highlight w:val="none"/>
              </w:rPr>
            </w:pPr>
            <w:r>
              <w:rPr>
                <w:rFonts w:hint="eastAsia"/>
                <w:b/>
                <w:szCs w:val="24"/>
                <w:highlight w:val="none"/>
                <w:lang w:eastAsia="zh-Hans"/>
              </w:rPr>
              <w:t>证券从业日期</w:t>
            </w:r>
            <w:r>
              <w:rPr>
                <w:rFonts w:hint="eastAsia"/>
                <w:szCs w:val="24"/>
                <w:highlight w:val="none"/>
                <w:lang w:eastAsia="zh-Hans"/>
              </w:rPr>
              <w:t xml:space="preserve"> </w:t>
            </w:r>
          </w:p>
        </w:tc>
        <w:tc>
          <w:tcPr>
            <w:tcW w:w="27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ED20A30">
            <w:pPr>
              <w:rPr>
                <w:rFonts w:hint="eastAsia"/>
                <w:highlight w:val="none"/>
              </w:rPr>
            </w:pPr>
            <w:r>
              <w:rPr>
                <w:rFonts w:hint="eastAsia"/>
                <w:highlight w:val="none"/>
                <w:lang w:eastAsia="zh-Hans"/>
              </w:rPr>
              <w:t>201</w:t>
            </w:r>
            <w:r>
              <w:rPr>
                <w:rFonts w:hint="eastAsia"/>
                <w:highlight w:val="none"/>
              </w:rPr>
              <w:t>5</w:t>
            </w:r>
            <w:r>
              <w:rPr>
                <w:rFonts w:hint="eastAsia"/>
                <w:highlight w:val="none"/>
                <w:lang w:eastAsia="zh-Hans"/>
              </w:rPr>
              <w:t>年</w:t>
            </w:r>
            <w:r>
              <w:rPr>
                <w:rFonts w:hint="eastAsia"/>
                <w:highlight w:val="none"/>
              </w:rPr>
              <w:t>7</w:t>
            </w:r>
            <w:r>
              <w:rPr>
                <w:rFonts w:hint="eastAsia"/>
                <w:highlight w:val="none"/>
                <w:lang w:eastAsia="zh-Hans"/>
              </w:rPr>
              <w:t>月</w:t>
            </w:r>
            <w:r>
              <w:rPr>
                <w:rFonts w:hint="eastAsia"/>
                <w:highlight w:val="none"/>
              </w:rPr>
              <w:t>13</w:t>
            </w:r>
            <w:r>
              <w:rPr>
                <w:rFonts w:hint="eastAsia"/>
                <w:highlight w:val="none"/>
                <w:lang w:eastAsia="zh-Hans"/>
              </w:rPr>
              <w:t>日</w:t>
            </w:r>
          </w:p>
        </w:tc>
      </w:tr>
      <w:tr w14:paraId="5CDE269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803" w:type="dxa"/>
            <w:tcBorders>
              <w:top w:val="single" w:color="auto" w:sz="4" w:space="0"/>
              <w:left w:val="single" w:color="auto" w:sz="4" w:space="0"/>
              <w:bottom w:val="single" w:color="auto" w:sz="4" w:space="0"/>
              <w:right w:val="single" w:color="auto" w:sz="4" w:space="0"/>
            </w:tcBorders>
            <w:vAlign w:val="center"/>
          </w:tcPr>
          <w:p w14:paraId="5A97B7B8">
            <w:pPr>
              <w:ind w:firstLine="211" w:firstLineChars="100"/>
              <w:rPr>
                <w:rFonts w:hint="eastAsia"/>
                <w:highlight w:val="none"/>
              </w:rPr>
            </w:pPr>
            <w:r>
              <w:rPr>
                <w:rFonts w:hint="eastAsia"/>
                <w:b/>
                <w:szCs w:val="24"/>
                <w:highlight w:val="none"/>
                <w:lang w:eastAsia="zh-Hans"/>
              </w:rPr>
              <w:t>其他</w:t>
            </w:r>
          </w:p>
        </w:tc>
        <w:tc>
          <w:tcPr>
            <w:tcW w:w="7859" w:type="dxa"/>
            <w:gridSpan w:val="3"/>
            <w:tcBorders>
              <w:top w:val="single" w:color="auto" w:sz="4" w:space="0"/>
              <w:left w:val="single" w:color="auto" w:sz="4" w:space="0"/>
              <w:bottom w:val="single" w:color="auto" w:sz="4" w:space="0"/>
              <w:right w:val="single" w:color="auto" w:sz="4" w:space="0"/>
            </w:tcBorders>
            <w:vAlign w:val="center"/>
          </w:tcPr>
          <w:p w14:paraId="3B03F3BB">
            <w:pPr>
              <w:spacing w:line="312" w:lineRule="exact"/>
              <w:rPr>
                <w:rFonts w:hint="eastAsia"/>
                <w:bCs/>
                <w:highlight w:val="none"/>
              </w:rPr>
            </w:pPr>
            <w:r>
              <w:rPr>
                <w:rFonts w:hint="eastAsia"/>
                <w:bCs/>
                <w:highlight w:val="none"/>
              </w:rPr>
              <w:t>《基金合同》生效满三年后若仍继续存续，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于6个月内召集基金份额持有人大会。</w:t>
            </w:r>
          </w:p>
          <w:p w14:paraId="6BBD7CBF">
            <w:pPr>
              <w:rPr>
                <w:rFonts w:hint="eastAsia"/>
                <w:szCs w:val="24"/>
                <w:highlight w:val="none"/>
                <w:lang w:eastAsia="zh-Hans"/>
              </w:rPr>
            </w:pPr>
            <w:r>
              <w:rPr>
                <w:bCs/>
                <w:highlight w:val="none"/>
              </w:rPr>
              <w:t>法律法规</w:t>
            </w:r>
            <w:r>
              <w:rPr>
                <w:rFonts w:hint="eastAsia"/>
                <w:bCs/>
                <w:highlight w:val="none"/>
              </w:rPr>
              <w:t>或中国证监会</w:t>
            </w:r>
            <w:r>
              <w:rPr>
                <w:bCs/>
                <w:highlight w:val="none"/>
              </w:rPr>
              <w:t>另有规定时，从其规定。</w:t>
            </w:r>
          </w:p>
        </w:tc>
      </w:tr>
    </w:tbl>
    <w:p w14:paraId="307B096B">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 xml:space="preserve">基金投资与净值表现 </w:t>
      </w:r>
    </w:p>
    <w:p w14:paraId="4DC9523F">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投资目标与投资策略 </w:t>
      </w:r>
    </w:p>
    <w:p w14:paraId="1439957D">
      <w:pPr>
        <w:spacing w:line="312" w:lineRule="exact"/>
        <w:rPr>
          <w:rFonts w:hint="eastAsia"/>
          <w:highlight w:val="none"/>
        </w:rPr>
      </w:pPr>
      <w:r>
        <w:rPr>
          <w:rFonts w:hint="eastAsia"/>
          <w:szCs w:val="21"/>
          <w:highlight w:val="none"/>
          <w:lang w:eastAsia="zh-Hans"/>
        </w:rPr>
        <w:t>请投资者阅读本基金《招募说明书》第九章了解详细情况</w:t>
      </w:r>
      <w:r>
        <w:rPr>
          <w:rFonts w:hint="eastAsia"/>
          <w:highlight w:val="none"/>
        </w:rPr>
        <w:t xml:space="preserve"> </w:t>
      </w:r>
    </w:p>
    <w:tbl>
      <w:tblPr>
        <w:tblStyle w:val="5"/>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691"/>
        <w:gridCol w:w="6831"/>
      </w:tblGrid>
      <w:tr w14:paraId="406F602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E6B7EAE">
            <w:pPr>
              <w:rPr>
                <w:rFonts w:hint="eastAsia"/>
                <w:highlight w:val="none"/>
              </w:rPr>
            </w:pPr>
            <w:r>
              <w:rPr>
                <w:rFonts w:hint="eastAsia" w:ascii="Times New Roman" w:hAnsi="Times New Roman"/>
                <w:b/>
                <w:highlight w:val="none"/>
              </w:rPr>
              <w:t>投资目标</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A69E588">
            <w:pPr>
              <w:spacing w:line="312" w:lineRule="exact"/>
              <w:rPr>
                <w:rFonts w:hint="eastAsia"/>
                <w:highlight w:val="none"/>
              </w:rPr>
            </w:pPr>
            <w:r>
              <w:rPr>
                <w:rFonts w:hint="eastAsia"/>
                <w:bCs/>
                <w:highlight w:val="none"/>
              </w:rPr>
              <w:t>本基金为指数增强型股票基金，采取量化方法进行组合管理，力争在控制跟踪误差的基础上，追求获得超越标的指数的回报。</w:t>
            </w:r>
            <w:r>
              <w:rPr>
                <w:rFonts w:hint="eastAsia"/>
                <w:szCs w:val="24"/>
                <w:highlight w:val="none"/>
              </w:rPr>
              <w:t xml:space="preserve"> </w:t>
            </w:r>
          </w:p>
        </w:tc>
      </w:tr>
      <w:tr w14:paraId="7AF293A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6822954">
            <w:pPr>
              <w:rPr>
                <w:rFonts w:hint="eastAsia"/>
                <w:highlight w:val="none"/>
              </w:rPr>
            </w:pPr>
            <w:r>
              <w:rPr>
                <w:rFonts w:hint="eastAsia" w:ascii="Times New Roman" w:hAnsi="Times New Roman"/>
                <w:b/>
                <w:color w:val="373A3C"/>
                <w:szCs w:val="21"/>
                <w:highlight w:val="none"/>
                <w:shd w:val="clear" w:color="auto" w:fill="FFFFFF"/>
              </w:rPr>
              <w:t>投资范围</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EE9E9C8">
            <w:pPr>
              <w:spacing w:line="312" w:lineRule="exact"/>
              <w:rPr>
                <w:rFonts w:hint="eastAsia"/>
                <w:highlight w:val="none"/>
              </w:rPr>
            </w:pPr>
            <w:r>
              <w:rPr>
                <w:rFonts w:hint="eastAsia"/>
                <w:highlight w:val="none"/>
              </w:rPr>
              <w:t>本基金的投资范围主要包括标的指数成份股及备选成份股(均含存托凭证)。为更好地实现投资目标，基金还可投资于包括国内依法发行上市的股票(包括北京证券交易所、沪深证券交易所及其他依法发行上市的股票、存托凭证)、债券(包括国债、央行票据、政府支持机构债券、政府支持债券、地方政府债、金融债、企业债、公司债、公开发行的次级债、中期票据、短期融资券、超短期融资券、可转换债券、可交换债券)、资产支持证券、债券回购、银行存款、同业存单、货币市场工具、股指期货、国债期货、股票期权及法律法规或中国证监会允许基金投资的其他金融工具（但须符合中国证监会相关规定）。</w:t>
            </w:r>
          </w:p>
          <w:p w14:paraId="73C50E2D">
            <w:pPr>
              <w:spacing w:line="312" w:lineRule="exact"/>
              <w:rPr>
                <w:rFonts w:hint="eastAsia"/>
                <w:highlight w:val="none"/>
              </w:rPr>
            </w:pPr>
            <w:r>
              <w:rPr>
                <w:rFonts w:hint="eastAsia"/>
                <w:highlight w:val="none"/>
              </w:rPr>
              <w:t>在符合法律法规规定的情况下，本基金可以参与融资和转融通证券出借业务。未来在法律法规允许的前提下，本基金可根据相关法律法规规定参与融券业务。</w:t>
            </w:r>
          </w:p>
          <w:p w14:paraId="332B25BC">
            <w:pPr>
              <w:spacing w:line="312" w:lineRule="exact"/>
              <w:rPr>
                <w:rFonts w:hint="eastAsia"/>
                <w:highlight w:val="none"/>
              </w:rPr>
            </w:pPr>
            <w:r>
              <w:rPr>
                <w:rFonts w:hint="eastAsia"/>
                <w:highlight w:val="none"/>
              </w:rPr>
              <w:t>如法律法规或监管机构以后允许基金投资其他品种，基金管理人在履行适当程序后，可以将其纳入投资范围。</w:t>
            </w:r>
          </w:p>
        </w:tc>
      </w:tr>
      <w:tr w14:paraId="6B5F517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744E332">
            <w:pPr>
              <w:rPr>
                <w:rFonts w:hint="eastAsia"/>
                <w:highlight w:val="none"/>
              </w:rPr>
            </w:pPr>
            <w:r>
              <w:rPr>
                <w:rFonts w:hint="eastAsia" w:ascii="Times New Roman" w:hAnsi="Times New Roman"/>
                <w:b/>
                <w:highlight w:val="none"/>
              </w:rPr>
              <w:t>主要投资策略</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B0DA80B">
            <w:pPr>
              <w:numPr>
                <w:ilvl w:val="0"/>
                <w:numId w:val="2"/>
              </w:numPr>
              <w:spacing w:line="312" w:lineRule="exact"/>
              <w:rPr>
                <w:rFonts w:hint="eastAsia"/>
                <w:highlight w:val="none"/>
                <w:lang w:eastAsia="zh-Hans"/>
              </w:rPr>
            </w:pPr>
            <w:r>
              <w:rPr>
                <w:rFonts w:hint="eastAsia"/>
                <w:highlight w:val="none"/>
                <w:lang w:eastAsia="zh-Hans"/>
              </w:rPr>
              <w:t xml:space="preserve">股票投资策略 </w:t>
            </w:r>
            <w:r>
              <w:rPr>
                <w:rFonts w:hint="eastAsia"/>
                <w:highlight w:val="none"/>
                <w:lang w:eastAsia="zh-Hans"/>
              </w:rPr>
              <w:br w:type="textWrapping"/>
            </w:r>
            <w:r>
              <w:rPr>
                <w:rFonts w:hint="eastAsia"/>
                <w:highlight w:val="none"/>
              </w:rPr>
              <w:t>2</w:t>
            </w:r>
            <w:r>
              <w:rPr>
                <w:rFonts w:hint="eastAsia"/>
                <w:highlight w:val="none"/>
                <w:lang w:eastAsia="zh-Hans"/>
              </w:rPr>
              <w:t>、存托凭证投资策略</w:t>
            </w:r>
          </w:p>
          <w:p w14:paraId="2C5C6A55">
            <w:pPr>
              <w:spacing w:line="312" w:lineRule="exact"/>
              <w:rPr>
                <w:rFonts w:hint="eastAsia"/>
                <w:highlight w:val="none"/>
                <w:lang w:eastAsia="zh-Hans"/>
              </w:rPr>
            </w:pPr>
            <w:r>
              <w:rPr>
                <w:rFonts w:hint="eastAsia"/>
                <w:highlight w:val="none"/>
              </w:rPr>
              <w:t>3、固定收益品种投资策略</w:t>
            </w:r>
          </w:p>
          <w:p w14:paraId="3BA61417">
            <w:pPr>
              <w:spacing w:line="312" w:lineRule="exact"/>
              <w:rPr>
                <w:rFonts w:hint="eastAsia"/>
                <w:szCs w:val="24"/>
                <w:highlight w:val="none"/>
              </w:rPr>
            </w:pPr>
            <w:r>
              <w:rPr>
                <w:rFonts w:hint="eastAsia"/>
                <w:szCs w:val="24"/>
                <w:highlight w:val="none"/>
              </w:rPr>
              <w:t>4、衍生品投资策略</w:t>
            </w:r>
          </w:p>
          <w:p w14:paraId="628BAA09">
            <w:pPr>
              <w:spacing w:line="312" w:lineRule="exact"/>
              <w:rPr>
                <w:rFonts w:hint="eastAsia"/>
                <w:bCs/>
                <w:highlight w:val="none"/>
              </w:rPr>
            </w:pPr>
            <w:r>
              <w:rPr>
                <w:rFonts w:hint="eastAsia"/>
                <w:bCs/>
                <w:highlight w:val="none"/>
              </w:rPr>
              <w:t>5、资产支持证券投资策略</w:t>
            </w:r>
          </w:p>
          <w:p w14:paraId="5D35E913">
            <w:pPr>
              <w:spacing w:line="312" w:lineRule="exact"/>
              <w:rPr>
                <w:rFonts w:hint="eastAsia"/>
                <w:bCs/>
                <w:highlight w:val="none"/>
              </w:rPr>
            </w:pPr>
            <w:r>
              <w:rPr>
                <w:rFonts w:hint="eastAsia"/>
                <w:bCs/>
                <w:highlight w:val="none"/>
              </w:rPr>
              <w:t>6、融资及转融通证券出借业务投资策略</w:t>
            </w:r>
          </w:p>
        </w:tc>
      </w:tr>
      <w:tr w14:paraId="4E83828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CA451D3">
            <w:pPr>
              <w:rPr>
                <w:rFonts w:hint="eastAsia"/>
                <w:highlight w:val="none"/>
              </w:rPr>
            </w:pPr>
            <w:r>
              <w:rPr>
                <w:rFonts w:hint="eastAsia" w:ascii="Times New Roman" w:hAnsi="Times New Roman"/>
                <w:b/>
                <w:highlight w:val="none"/>
              </w:rPr>
              <w:t>业绩比较基准</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781513D">
            <w:pPr>
              <w:rPr>
                <w:rFonts w:hint="eastAsia"/>
                <w:highlight w:val="none"/>
              </w:rPr>
            </w:pPr>
            <w:r>
              <w:rPr>
                <w:rFonts w:hint="eastAsia"/>
                <w:highlight w:val="none"/>
              </w:rPr>
              <w:t>北证 50 成份指数收益率×90%+银行活期存款利率(税后)×10%</w:t>
            </w:r>
          </w:p>
        </w:tc>
      </w:tr>
      <w:tr w14:paraId="1AF1956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95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8AB2BE">
            <w:pPr>
              <w:rPr>
                <w:rFonts w:hint="eastAsia"/>
                <w:highlight w:val="none"/>
              </w:rPr>
            </w:pPr>
            <w:r>
              <w:rPr>
                <w:rFonts w:hint="eastAsia"/>
                <w:b/>
                <w:szCs w:val="24"/>
                <w:highlight w:val="none"/>
                <w:lang w:eastAsia="zh-Hans"/>
              </w:rPr>
              <w:t>风险收益特征</w:t>
            </w:r>
            <w:r>
              <w:rPr>
                <w:rFonts w:hint="eastAsia"/>
                <w:szCs w:val="24"/>
                <w:highlight w:val="none"/>
                <w:lang w:eastAsia="zh-Hans"/>
              </w:rPr>
              <w:t xml:space="preserve"> </w:t>
            </w:r>
          </w:p>
        </w:tc>
        <w:tc>
          <w:tcPr>
            <w:tcW w:w="80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7756572">
            <w:pPr>
              <w:spacing w:line="312" w:lineRule="exact"/>
              <w:rPr>
                <w:rFonts w:hint="eastAsia"/>
                <w:highlight w:val="none"/>
              </w:rPr>
            </w:pPr>
            <w:r>
              <w:rPr>
                <w:rFonts w:hint="eastAsia"/>
                <w:highlight w:val="none"/>
                <w:lang w:eastAsia="zh-Hans"/>
              </w:rPr>
              <w:t>本基金为指数增强型</w:t>
            </w:r>
            <w:r>
              <w:rPr>
                <w:rFonts w:hint="eastAsia"/>
                <w:highlight w:val="none"/>
              </w:rPr>
              <w:t>股票</w:t>
            </w:r>
            <w:r>
              <w:rPr>
                <w:rFonts w:hint="eastAsia"/>
                <w:highlight w:val="none"/>
                <w:lang w:eastAsia="zh-Hans"/>
              </w:rPr>
              <w:t>基金，理论上其预期风险收益水平高于混合型基金、债券型基金和货币市场基金。本基金主要投资于标的指数成份股及其备选成份股，具有与标的指数类似的风险收益特征。</w:t>
            </w:r>
          </w:p>
        </w:tc>
      </w:tr>
    </w:tbl>
    <w:p w14:paraId="5DADED3A">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投资组合资产配置图表 </w:t>
      </w:r>
    </w:p>
    <w:p w14:paraId="2D0FF467">
      <w:pPr>
        <w:autoSpaceDE w:val="0"/>
        <w:autoSpaceDN w:val="0"/>
        <w:adjustRightInd w:val="0"/>
        <w:spacing w:line="360" w:lineRule="auto"/>
        <w:jc w:val="left"/>
        <w:rPr>
          <w:rFonts w:hint="eastAsia" w:cs="Times New Roman"/>
          <w:szCs w:val="21"/>
          <w:highlight w:val="none"/>
        </w:rPr>
      </w:pPr>
      <w:r>
        <w:rPr>
          <w:rFonts w:hint="eastAsia" w:cs="Times New Roman"/>
          <w:szCs w:val="21"/>
          <w:highlight w:val="none"/>
        </w:rPr>
        <w:t>注：本基金暂不适用。</w:t>
      </w:r>
    </w:p>
    <w:p w14:paraId="698A2802">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自基金合同生效以来基金每年的净值增长率及与同期业绩比较基准的比较图 </w:t>
      </w:r>
    </w:p>
    <w:p w14:paraId="0627E32A">
      <w:pPr>
        <w:autoSpaceDE w:val="0"/>
        <w:autoSpaceDN w:val="0"/>
        <w:adjustRightInd w:val="0"/>
        <w:spacing w:line="360" w:lineRule="auto"/>
        <w:jc w:val="left"/>
        <w:rPr>
          <w:rFonts w:hint="eastAsia" w:cs="Times New Roman"/>
          <w:szCs w:val="21"/>
          <w:highlight w:val="none"/>
        </w:rPr>
      </w:pPr>
      <w:r>
        <w:rPr>
          <w:rFonts w:hint="eastAsia" w:cs="Times New Roman"/>
          <w:szCs w:val="21"/>
          <w:highlight w:val="none"/>
        </w:rPr>
        <w:t>注：本基金暂不适用。</w:t>
      </w:r>
    </w:p>
    <w:p w14:paraId="38DCAE4C">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 xml:space="preserve">投资本基金涉及的费用 </w:t>
      </w:r>
    </w:p>
    <w:p w14:paraId="4CA1C5AA">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基金销售相关费用 </w:t>
      </w:r>
    </w:p>
    <w:p w14:paraId="64C7A4F9">
      <w:pPr>
        <w:spacing w:line="312" w:lineRule="exact"/>
        <w:rPr>
          <w:rFonts w:hint="eastAsia"/>
          <w:highlight w:val="none"/>
        </w:rPr>
      </w:pPr>
      <w:r>
        <w:rPr>
          <w:rFonts w:hint="eastAsia"/>
          <w:szCs w:val="21"/>
          <w:highlight w:val="none"/>
        </w:rPr>
        <w:t>以下费用在认购/申购/赎回基金过程中收取：</w:t>
      </w:r>
      <w:r>
        <w:rPr>
          <w:rFonts w:hint="eastAsia"/>
          <w:highlight w:val="none"/>
        </w:rPr>
        <w:t xml:space="preserve"> </w:t>
      </w:r>
    </w:p>
    <w:tbl>
      <w:tblPr>
        <w:tblStyle w:val="5"/>
        <w:tblW w:w="3931" w:type="pct"/>
        <w:tblInd w:w="103"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0" w:type="dxa"/>
          <w:bottom w:w="0" w:type="dxa"/>
          <w:right w:w="0" w:type="dxa"/>
        </w:tblCellMar>
      </w:tblPr>
      <w:tblGrid>
        <w:gridCol w:w="1381"/>
        <w:gridCol w:w="3366"/>
        <w:gridCol w:w="1872"/>
      </w:tblGrid>
      <w:tr w14:paraId="08BE395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PrEx>
        <w:tc>
          <w:tcPr>
            <w:tcW w:w="1397" w:type="dxa"/>
            <w:tcBorders>
              <w:bottom w:val="single" w:color="auto" w:sz="4" w:space="0"/>
              <w:right w:val="single" w:color="auto" w:sz="4" w:space="0"/>
            </w:tcBorders>
            <w:tcMar>
              <w:top w:w="0" w:type="dxa"/>
              <w:left w:w="108" w:type="dxa"/>
              <w:bottom w:w="0" w:type="dxa"/>
              <w:right w:w="108" w:type="dxa"/>
            </w:tcMar>
            <w:vAlign w:val="center"/>
          </w:tcPr>
          <w:p w14:paraId="2AB45436">
            <w:pPr>
              <w:spacing w:line="280" w:lineRule="exact"/>
              <w:jc w:val="center"/>
              <w:rPr>
                <w:rFonts w:hint="eastAsia"/>
                <w:highlight w:val="none"/>
              </w:rPr>
            </w:pPr>
            <w:r>
              <w:rPr>
                <w:rFonts w:hint="eastAsia"/>
                <w:b/>
                <w:bCs/>
                <w:szCs w:val="21"/>
                <w:highlight w:val="none"/>
              </w:rPr>
              <w:t xml:space="preserve">费用类型 </w:t>
            </w:r>
          </w:p>
        </w:tc>
        <w:tc>
          <w:tcPr>
            <w:tcW w:w="3409" w:type="dxa"/>
            <w:tcBorders>
              <w:left w:val="nil"/>
              <w:bottom w:val="single" w:color="auto" w:sz="4" w:space="0"/>
              <w:right w:val="single" w:color="auto" w:sz="4" w:space="0"/>
            </w:tcBorders>
            <w:tcMar>
              <w:top w:w="0" w:type="dxa"/>
              <w:left w:w="108" w:type="dxa"/>
              <w:bottom w:w="0" w:type="dxa"/>
              <w:right w:w="108" w:type="dxa"/>
            </w:tcMar>
            <w:vAlign w:val="center"/>
          </w:tcPr>
          <w:p w14:paraId="4FEB425D">
            <w:pPr>
              <w:spacing w:line="280" w:lineRule="exact"/>
              <w:jc w:val="center"/>
              <w:rPr>
                <w:rFonts w:hint="eastAsia"/>
                <w:highlight w:val="none"/>
              </w:rPr>
            </w:pPr>
            <w:r>
              <w:rPr>
                <w:rFonts w:hint="eastAsia"/>
                <w:b/>
                <w:bCs/>
                <w:szCs w:val="21"/>
                <w:highlight w:val="none"/>
              </w:rPr>
              <w:t xml:space="preserve">份额（S）或金额（M） </w:t>
            </w:r>
          </w:p>
          <w:p w14:paraId="405D3D2E">
            <w:pPr>
              <w:spacing w:line="280" w:lineRule="exact"/>
              <w:jc w:val="center"/>
              <w:rPr>
                <w:rFonts w:hint="eastAsia"/>
                <w:highlight w:val="none"/>
              </w:rPr>
            </w:pPr>
            <w:r>
              <w:rPr>
                <w:rFonts w:hint="eastAsia"/>
                <w:b/>
                <w:bCs/>
                <w:szCs w:val="21"/>
                <w:highlight w:val="none"/>
              </w:rPr>
              <w:t xml:space="preserve">/持有期限（N） </w:t>
            </w:r>
          </w:p>
        </w:tc>
        <w:tc>
          <w:tcPr>
            <w:tcW w:w="1894" w:type="dxa"/>
            <w:tcBorders>
              <w:left w:val="single" w:color="auto" w:sz="4" w:space="0"/>
              <w:bottom w:val="single" w:color="auto" w:sz="4" w:space="0"/>
            </w:tcBorders>
          </w:tcPr>
          <w:p w14:paraId="7445114A">
            <w:pPr>
              <w:widowControl/>
              <w:jc w:val="center"/>
              <w:rPr>
                <w:rFonts w:hint="eastAsia" w:cs="Times New Roman"/>
                <w:kern w:val="0"/>
                <w:sz w:val="20"/>
                <w:highlight w:val="none"/>
              </w:rPr>
            </w:pPr>
            <w:r>
              <w:rPr>
                <w:rFonts w:hint="eastAsia"/>
                <w:b/>
                <w:bCs/>
                <w:szCs w:val="21"/>
                <w:highlight w:val="none"/>
              </w:rPr>
              <w:t>收费方式/费率</w:t>
            </w:r>
          </w:p>
        </w:tc>
      </w:tr>
      <w:tr w14:paraId="2377374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c>
          <w:tcPr>
            <w:tcW w:w="1397" w:type="dxa"/>
            <w:vMerge w:val="restart"/>
            <w:tcBorders>
              <w:top w:val="single" w:color="auto" w:sz="4" w:space="0"/>
              <w:right w:val="single" w:color="auto" w:sz="4" w:space="0"/>
            </w:tcBorders>
            <w:tcMar>
              <w:top w:w="0" w:type="dxa"/>
              <w:left w:w="108" w:type="dxa"/>
              <w:bottom w:w="0" w:type="dxa"/>
              <w:right w:w="108" w:type="dxa"/>
            </w:tcMar>
            <w:vAlign w:val="center"/>
          </w:tcPr>
          <w:p w14:paraId="2B108F37">
            <w:pPr>
              <w:spacing w:line="280" w:lineRule="exact"/>
              <w:jc w:val="center"/>
              <w:rPr>
                <w:rFonts w:hint="eastAsia"/>
                <w:b/>
                <w:bCs/>
                <w:szCs w:val="21"/>
                <w:highlight w:val="none"/>
              </w:rPr>
            </w:pPr>
            <w:r>
              <w:rPr>
                <w:rFonts w:hint="eastAsia"/>
                <w:b/>
                <w:bCs/>
                <w:szCs w:val="21"/>
                <w:highlight w:val="none"/>
              </w:rPr>
              <w:t>认购费</w:t>
            </w: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6F608967">
            <w:pPr>
              <w:spacing w:line="280" w:lineRule="exact"/>
              <w:jc w:val="center"/>
              <w:rPr>
                <w:rFonts w:hint="eastAsia"/>
                <w:b/>
                <w:bCs/>
                <w:szCs w:val="21"/>
                <w:highlight w:val="none"/>
              </w:rPr>
            </w:pPr>
            <w:r>
              <w:rPr>
                <w:rFonts w:hint="eastAsia"/>
                <w:kern w:val="0"/>
                <w:szCs w:val="21"/>
                <w:highlight w:val="none"/>
              </w:rPr>
              <w:t>M＜100万元</w:t>
            </w:r>
          </w:p>
        </w:tc>
        <w:tc>
          <w:tcPr>
            <w:tcW w:w="1894" w:type="dxa"/>
            <w:tcBorders>
              <w:top w:val="single" w:color="auto" w:sz="4" w:space="0"/>
              <w:left w:val="single" w:color="auto" w:sz="4" w:space="0"/>
              <w:bottom w:val="single" w:color="auto" w:sz="4" w:space="0"/>
            </w:tcBorders>
            <w:vAlign w:val="center"/>
          </w:tcPr>
          <w:p w14:paraId="0B241D6D">
            <w:pPr>
              <w:widowControl/>
              <w:jc w:val="center"/>
              <w:rPr>
                <w:rFonts w:hint="eastAsia" w:cs="Times New Roman"/>
                <w:kern w:val="0"/>
                <w:sz w:val="20"/>
                <w:highlight w:val="none"/>
              </w:rPr>
            </w:pPr>
            <w:r>
              <w:rPr>
                <w:rFonts w:hint="eastAsia" w:ascii="Calibri"/>
                <w:kern w:val="0"/>
                <w:szCs w:val="21"/>
                <w:highlight w:val="none"/>
              </w:rPr>
              <w:t>1.0</w:t>
            </w:r>
            <w:r>
              <w:rPr>
                <w:rFonts w:hint="eastAsia"/>
                <w:kern w:val="0"/>
                <w:szCs w:val="21"/>
                <w:highlight w:val="none"/>
              </w:rPr>
              <w:t>%</w:t>
            </w:r>
          </w:p>
        </w:tc>
      </w:tr>
      <w:tr w14:paraId="5EE98D6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c>
          <w:tcPr>
            <w:tcW w:w="1397" w:type="dxa"/>
            <w:vMerge w:val="continue"/>
            <w:tcBorders>
              <w:right w:val="single" w:color="auto" w:sz="4" w:space="0"/>
            </w:tcBorders>
            <w:tcMar>
              <w:top w:w="0" w:type="dxa"/>
              <w:left w:w="108" w:type="dxa"/>
              <w:bottom w:w="0" w:type="dxa"/>
              <w:right w:w="108" w:type="dxa"/>
            </w:tcMar>
            <w:vAlign w:val="center"/>
          </w:tcPr>
          <w:p w14:paraId="74A5AACF">
            <w:pPr>
              <w:spacing w:line="280" w:lineRule="exact"/>
              <w:jc w:val="center"/>
              <w:rPr>
                <w:rFonts w:hint="eastAsia"/>
                <w:b/>
                <w:bCs/>
                <w:szCs w:val="21"/>
                <w:highlight w:val="none"/>
              </w:rPr>
            </w:pP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08F1DCB">
            <w:pPr>
              <w:spacing w:line="280" w:lineRule="exact"/>
              <w:jc w:val="center"/>
              <w:rPr>
                <w:rFonts w:hint="eastAsia"/>
                <w:b/>
                <w:bCs/>
                <w:szCs w:val="21"/>
                <w:highlight w:val="none"/>
              </w:rPr>
            </w:pPr>
            <w:r>
              <w:rPr>
                <w:rFonts w:hint="eastAsia"/>
                <w:kern w:val="0"/>
                <w:szCs w:val="21"/>
                <w:highlight w:val="none"/>
              </w:rPr>
              <w:t>100万元≤M＜200万元</w:t>
            </w:r>
          </w:p>
        </w:tc>
        <w:tc>
          <w:tcPr>
            <w:tcW w:w="1894" w:type="dxa"/>
            <w:tcBorders>
              <w:top w:val="single" w:color="auto" w:sz="4" w:space="0"/>
              <w:left w:val="single" w:color="auto" w:sz="4" w:space="0"/>
              <w:bottom w:val="single" w:color="auto" w:sz="4" w:space="0"/>
            </w:tcBorders>
            <w:vAlign w:val="center"/>
          </w:tcPr>
          <w:p w14:paraId="00ADD3DD">
            <w:pPr>
              <w:widowControl/>
              <w:jc w:val="center"/>
              <w:rPr>
                <w:rFonts w:hint="eastAsia" w:cs="Times New Roman"/>
                <w:kern w:val="0"/>
                <w:sz w:val="20"/>
                <w:highlight w:val="none"/>
              </w:rPr>
            </w:pPr>
            <w:r>
              <w:rPr>
                <w:rFonts w:hint="eastAsia"/>
                <w:kern w:val="0"/>
                <w:szCs w:val="21"/>
                <w:highlight w:val="none"/>
              </w:rPr>
              <w:t>0.</w:t>
            </w:r>
            <w:r>
              <w:rPr>
                <w:rFonts w:hint="eastAsia" w:ascii="Calibri"/>
                <w:kern w:val="0"/>
                <w:szCs w:val="21"/>
                <w:highlight w:val="none"/>
              </w:rPr>
              <w:t>6</w:t>
            </w:r>
            <w:r>
              <w:rPr>
                <w:rFonts w:hint="eastAsia"/>
                <w:kern w:val="0"/>
                <w:szCs w:val="21"/>
                <w:highlight w:val="none"/>
              </w:rPr>
              <w:t>%</w:t>
            </w:r>
          </w:p>
        </w:tc>
      </w:tr>
      <w:tr w14:paraId="3FC5670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c>
          <w:tcPr>
            <w:tcW w:w="1397" w:type="dxa"/>
            <w:vMerge w:val="continue"/>
            <w:tcBorders>
              <w:right w:val="single" w:color="auto" w:sz="4" w:space="0"/>
            </w:tcBorders>
            <w:tcMar>
              <w:top w:w="0" w:type="dxa"/>
              <w:left w:w="108" w:type="dxa"/>
              <w:bottom w:w="0" w:type="dxa"/>
              <w:right w:w="108" w:type="dxa"/>
            </w:tcMar>
            <w:vAlign w:val="center"/>
          </w:tcPr>
          <w:p w14:paraId="0BB40734">
            <w:pPr>
              <w:spacing w:line="280" w:lineRule="exact"/>
              <w:jc w:val="center"/>
              <w:rPr>
                <w:rFonts w:hint="eastAsia"/>
                <w:b/>
                <w:bCs/>
                <w:szCs w:val="21"/>
                <w:highlight w:val="none"/>
              </w:rPr>
            </w:pP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ED636F2">
            <w:pPr>
              <w:spacing w:line="280" w:lineRule="exact"/>
              <w:jc w:val="center"/>
              <w:rPr>
                <w:rFonts w:hint="eastAsia"/>
                <w:b/>
                <w:bCs/>
                <w:szCs w:val="21"/>
                <w:highlight w:val="none"/>
              </w:rPr>
            </w:pPr>
            <w:r>
              <w:rPr>
                <w:rFonts w:hint="eastAsia"/>
                <w:kern w:val="0"/>
                <w:szCs w:val="21"/>
                <w:highlight w:val="none"/>
              </w:rPr>
              <w:t>200万元≤M＜500万元</w:t>
            </w:r>
          </w:p>
        </w:tc>
        <w:tc>
          <w:tcPr>
            <w:tcW w:w="1894" w:type="dxa"/>
            <w:tcBorders>
              <w:top w:val="single" w:color="auto" w:sz="4" w:space="0"/>
              <w:left w:val="single" w:color="auto" w:sz="4" w:space="0"/>
              <w:bottom w:val="single" w:color="auto" w:sz="4" w:space="0"/>
            </w:tcBorders>
            <w:vAlign w:val="center"/>
          </w:tcPr>
          <w:p w14:paraId="253A1F18">
            <w:pPr>
              <w:widowControl/>
              <w:jc w:val="center"/>
              <w:rPr>
                <w:rFonts w:hint="eastAsia" w:cs="Times New Roman"/>
                <w:kern w:val="0"/>
                <w:sz w:val="20"/>
                <w:highlight w:val="none"/>
              </w:rPr>
            </w:pPr>
            <w:r>
              <w:rPr>
                <w:rFonts w:hint="eastAsia"/>
                <w:kern w:val="0"/>
                <w:szCs w:val="21"/>
                <w:highlight w:val="none"/>
              </w:rPr>
              <w:t>0.</w:t>
            </w:r>
            <w:r>
              <w:rPr>
                <w:rFonts w:hint="eastAsia" w:ascii="Calibri"/>
                <w:kern w:val="0"/>
                <w:szCs w:val="21"/>
                <w:highlight w:val="none"/>
              </w:rPr>
              <w:t>3</w:t>
            </w:r>
            <w:r>
              <w:rPr>
                <w:rFonts w:hint="eastAsia"/>
                <w:kern w:val="0"/>
                <w:szCs w:val="21"/>
                <w:highlight w:val="none"/>
              </w:rPr>
              <w:t>%</w:t>
            </w:r>
          </w:p>
        </w:tc>
      </w:tr>
      <w:tr w14:paraId="4E5A3ED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c>
          <w:tcPr>
            <w:tcW w:w="1397" w:type="dxa"/>
            <w:vMerge w:val="continue"/>
            <w:tcBorders>
              <w:bottom w:val="single" w:color="auto" w:sz="4" w:space="0"/>
              <w:right w:val="single" w:color="auto" w:sz="4" w:space="0"/>
            </w:tcBorders>
            <w:tcMar>
              <w:top w:w="0" w:type="dxa"/>
              <w:left w:w="108" w:type="dxa"/>
              <w:bottom w:w="0" w:type="dxa"/>
              <w:right w:w="108" w:type="dxa"/>
            </w:tcMar>
            <w:vAlign w:val="center"/>
          </w:tcPr>
          <w:p w14:paraId="3276555A">
            <w:pPr>
              <w:spacing w:line="280" w:lineRule="exact"/>
              <w:jc w:val="center"/>
              <w:rPr>
                <w:rFonts w:hint="eastAsia"/>
                <w:b/>
                <w:bCs/>
                <w:szCs w:val="21"/>
                <w:highlight w:val="none"/>
              </w:rPr>
            </w:pP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0EE6F72E">
            <w:pPr>
              <w:spacing w:line="280" w:lineRule="exact"/>
              <w:jc w:val="center"/>
              <w:rPr>
                <w:rFonts w:hint="eastAsia"/>
                <w:b/>
                <w:bCs/>
                <w:szCs w:val="21"/>
                <w:highlight w:val="none"/>
              </w:rPr>
            </w:pPr>
            <w:r>
              <w:rPr>
                <w:rFonts w:hint="eastAsia"/>
                <w:kern w:val="0"/>
                <w:szCs w:val="21"/>
                <w:highlight w:val="none"/>
              </w:rPr>
              <w:t>M≥500万元</w:t>
            </w:r>
          </w:p>
        </w:tc>
        <w:tc>
          <w:tcPr>
            <w:tcW w:w="1894" w:type="dxa"/>
            <w:tcBorders>
              <w:top w:val="single" w:color="auto" w:sz="4" w:space="0"/>
              <w:left w:val="single" w:color="auto" w:sz="4" w:space="0"/>
              <w:bottom w:val="single" w:color="auto" w:sz="4" w:space="0"/>
            </w:tcBorders>
            <w:vAlign w:val="center"/>
          </w:tcPr>
          <w:p w14:paraId="4A83223C">
            <w:pPr>
              <w:widowControl/>
              <w:jc w:val="center"/>
              <w:rPr>
                <w:rFonts w:hint="eastAsia" w:cs="Times New Roman"/>
                <w:kern w:val="0"/>
                <w:sz w:val="20"/>
                <w:highlight w:val="none"/>
              </w:rPr>
            </w:pPr>
            <w:r>
              <w:rPr>
                <w:rFonts w:hint="eastAsia"/>
                <w:kern w:val="0"/>
                <w:szCs w:val="21"/>
                <w:highlight w:val="none"/>
              </w:rPr>
              <w:t>1,000元/笔</w:t>
            </w:r>
          </w:p>
        </w:tc>
      </w:tr>
      <w:tr w14:paraId="07F2F81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1397" w:type="dxa"/>
            <w:vMerge w:val="restart"/>
            <w:tcBorders>
              <w:top w:val="single" w:color="auto" w:sz="4" w:space="0"/>
              <w:bottom w:val="single" w:color="auto" w:sz="4" w:space="0"/>
              <w:right w:val="single" w:color="auto" w:sz="4" w:space="0"/>
            </w:tcBorders>
            <w:tcMar>
              <w:top w:w="0" w:type="dxa"/>
              <w:left w:w="108" w:type="dxa"/>
              <w:bottom w:w="0" w:type="dxa"/>
              <w:right w:w="108" w:type="dxa"/>
            </w:tcMar>
            <w:vAlign w:val="center"/>
          </w:tcPr>
          <w:p w14:paraId="3F17F736">
            <w:pPr>
              <w:spacing w:line="280" w:lineRule="exact"/>
              <w:jc w:val="center"/>
              <w:rPr>
                <w:rFonts w:hint="eastAsia"/>
                <w:highlight w:val="none"/>
              </w:rPr>
            </w:pPr>
            <w:r>
              <w:rPr>
                <w:rFonts w:hint="eastAsia"/>
                <w:b/>
                <w:bCs/>
                <w:szCs w:val="21"/>
                <w:highlight w:val="none"/>
              </w:rPr>
              <w:t xml:space="preserve">申购费 </w:t>
            </w:r>
          </w:p>
          <w:p w14:paraId="590FC550">
            <w:pPr>
              <w:spacing w:line="280" w:lineRule="exact"/>
              <w:jc w:val="center"/>
              <w:rPr>
                <w:rFonts w:hint="eastAsia"/>
                <w:highlight w:val="none"/>
              </w:rPr>
            </w:pPr>
            <w:r>
              <w:rPr>
                <w:rFonts w:hint="eastAsia"/>
                <w:b/>
                <w:bCs/>
                <w:szCs w:val="21"/>
                <w:highlight w:val="none"/>
              </w:rPr>
              <w:t xml:space="preserve">（前收费） </w:t>
            </w: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1B6185D3">
            <w:pPr>
              <w:spacing w:line="280" w:lineRule="exact"/>
              <w:jc w:val="center"/>
              <w:rPr>
                <w:rFonts w:hint="eastAsia"/>
                <w:highlight w:val="none"/>
              </w:rPr>
            </w:pPr>
            <w:r>
              <w:rPr>
                <w:rFonts w:hint="eastAsia"/>
                <w:kern w:val="0"/>
                <w:szCs w:val="21"/>
                <w:highlight w:val="none"/>
              </w:rPr>
              <w:t>M＜100万元</w:t>
            </w:r>
          </w:p>
        </w:tc>
        <w:tc>
          <w:tcPr>
            <w:tcW w:w="1894" w:type="dxa"/>
            <w:tcBorders>
              <w:top w:val="single" w:color="auto" w:sz="4" w:space="0"/>
              <w:left w:val="nil"/>
              <w:bottom w:val="single" w:color="auto" w:sz="4" w:space="0"/>
            </w:tcBorders>
            <w:tcMar>
              <w:top w:w="0" w:type="dxa"/>
              <w:left w:w="108" w:type="dxa"/>
              <w:bottom w:w="0" w:type="dxa"/>
              <w:right w:w="108" w:type="dxa"/>
            </w:tcMar>
            <w:vAlign w:val="center"/>
          </w:tcPr>
          <w:p w14:paraId="7723A78A">
            <w:pPr>
              <w:spacing w:line="280" w:lineRule="exact"/>
              <w:jc w:val="center"/>
              <w:rPr>
                <w:rFonts w:hint="eastAsia"/>
                <w:highlight w:val="none"/>
              </w:rPr>
            </w:pPr>
            <w:r>
              <w:rPr>
                <w:rFonts w:hint="eastAsia" w:ascii="Calibri"/>
                <w:kern w:val="0"/>
                <w:szCs w:val="21"/>
                <w:highlight w:val="none"/>
              </w:rPr>
              <w:t>1.2</w:t>
            </w:r>
            <w:r>
              <w:rPr>
                <w:rFonts w:hint="eastAsia"/>
                <w:kern w:val="0"/>
                <w:szCs w:val="21"/>
                <w:highlight w:val="none"/>
              </w:rPr>
              <w:t>%</w:t>
            </w:r>
            <w:r>
              <w:rPr>
                <w:rFonts w:hint="eastAsia"/>
                <w:szCs w:val="21"/>
                <w:highlight w:val="none"/>
              </w:rPr>
              <w:t xml:space="preserve"> </w:t>
            </w:r>
          </w:p>
        </w:tc>
      </w:tr>
      <w:tr w14:paraId="43D4249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1397" w:type="dxa"/>
            <w:vMerge w:val="continue"/>
            <w:tcBorders>
              <w:top w:val="nil"/>
              <w:bottom w:val="single" w:color="auto" w:sz="4" w:space="0"/>
              <w:right w:val="single" w:color="auto" w:sz="4" w:space="0"/>
            </w:tcBorders>
            <w:vAlign w:val="center"/>
          </w:tcPr>
          <w:p w14:paraId="5D847617">
            <w:pPr>
              <w:widowControl/>
              <w:jc w:val="left"/>
              <w:rPr>
                <w:rFonts w:hint="eastAsia"/>
                <w:highlight w:val="none"/>
              </w:rPr>
            </w:pP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A04BE0C">
            <w:pPr>
              <w:spacing w:line="280" w:lineRule="exact"/>
              <w:jc w:val="center"/>
              <w:rPr>
                <w:rFonts w:hint="eastAsia"/>
                <w:highlight w:val="none"/>
              </w:rPr>
            </w:pPr>
            <w:r>
              <w:rPr>
                <w:rFonts w:hint="eastAsia"/>
                <w:kern w:val="0"/>
                <w:szCs w:val="21"/>
                <w:highlight w:val="none"/>
              </w:rPr>
              <w:t>100万元≤M＜200万元</w:t>
            </w:r>
          </w:p>
        </w:tc>
        <w:tc>
          <w:tcPr>
            <w:tcW w:w="1894" w:type="dxa"/>
            <w:tcBorders>
              <w:top w:val="single" w:color="auto" w:sz="4" w:space="0"/>
              <w:left w:val="nil"/>
              <w:bottom w:val="single" w:color="auto" w:sz="4" w:space="0"/>
            </w:tcBorders>
            <w:tcMar>
              <w:top w:w="0" w:type="dxa"/>
              <w:left w:w="108" w:type="dxa"/>
              <w:bottom w:w="0" w:type="dxa"/>
              <w:right w:w="108" w:type="dxa"/>
            </w:tcMar>
            <w:vAlign w:val="center"/>
          </w:tcPr>
          <w:p w14:paraId="56305023">
            <w:pPr>
              <w:spacing w:line="280" w:lineRule="exact"/>
              <w:jc w:val="center"/>
              <w:rPr>
                <w:rFonts w:hint="eastAsia"/>
                <w:highlight w:val="none"/>
              </w:rPr>
            </w:pPr>
            <w:r>
              <w:rPr>
                <w:rFonts w:hint="eastAsia" w:ascii="Calibri"/>
                <w:kern w:val="0"/>
                <w:szCs w:val="21"/>
                <w:highlight w:val="none"/>
              </w:rPr>
              <w:t>0.8</w:t>
            </w:r>
            <w:r>
              <w:rPr>
                <w:rFonts w:hint="eastAsia"/>
                <w:kern w:val="0"/>
                <w:szCs w:val="21"/>
                <w:highlight w:val="none"/>
              </w:rPr>
              <w:t>%</w:t>
            </w:r>
            <w:r>
              <w:rPr>
                <w:rFonts w:hint="eastAsia"/>
                <w:szCs w:val="21"/>
                <w:highlight w:val="none"/>
              </w:rPr>
              <w:t xml:space="preserve"> </w:t>
            </w:r>
          </w:p>
        </w:tc>
      </w:tr>
      <w:tr w14:paraId="46A60C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1397" w:type="dxa"/>
            <w:vMerge w:val="continue"/>
            <w:tcBorders>
              <w:top w:val="nil"/>
              <w:bottom w:val="single" w:color="auto" w:sz="4" w:space="0"/>
              <w:right w:val="single" w:color="auto" w:sz="4" w:space="0"/>
            </w:tcBorders>
            <w:vAlign w:val="center"/>
          </w:tcPr>
          <w:p w14:paraId="5FDE951E">
            <w:pPr>
              <w:widowControl/>
              <w:jc w:val="left"/>
              <w:rPr>
                <w:rFonts w:hint="eastAsia"/>
                <w:highlight w:val="none"/>
              </w:rPr>
            </w:pP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4DAE96BC">
            <w:pPr>
              <w:spacing w:line="280" w:lineRule="exact"/>
              <w:jc w:val="center"/>
              <w:rPr>
                <w:rFonts w:hint="eastAsia"/>
                <w:highlight w:val="none"/>
              </w:rPr>
            </w:pPr>
            <w:r>
              <w:rPr>
                <w:rFonts w:hint="eastAsia"/>
                <w:kern w:val="0"/>
                <w:szCs w:val="21"/>
                <w:highlight w:val="none"/>
              </w:rPr>
              <w:t>200万元≤M＜500万元</w:t>
            </w:r>
          </w:p>
        </w:tc>
        <w:tc>
          <w:tcPr>
            <w:tcW w:w="1894" w:type="dxa"/>
            <w:tcBorders>
              <w:top w:val="single" w:color="auto" w:sz="4" w:space="0"/>
              <w:left w:val="nil"/>
              <w:bottom w:val="single" w:color="auto" w:sz="4" w:space="0"/>
            </w:tcBorders>
            <w:tcMar>
              <w:top w:w="0" w:type="dxa"/>
              <w:left w:w="108" w:type="dxa"/>
              <w:bottom w:w="0" w:type="dxa"/>
              <w:right w:w="108" w:type="dxa"/>
            </w:tcMar>
            <w:vAlign w:val="center"/>
          </w:tcPr>
          <w:p w14:paraId="4071229B">
            <w:pPr>
              <w:spacing w:line="280" w:lineRule="exact"/>
              <w:jc w:val="center"/>
              <w:rPr>
                <w:rFonts w:hint="eastAsia"/>
                <w:highlight w:val="none"/>
              </w:rPr>
            </w:pPr>
            <w:r>
              <w:rPr>
                <w:rFonts w:hint="eastAsia"/>
                <w:kern w:val="0"/>
                <w:szCs w:val="21"/>
                <w:highlight w:val="none"/>
              </w:rPr>
              <w:t>0.</w:t>
            </w:r>
            <w:r>
              <w:rPr>
                <w:rFonts w:hint="eastAsia" w:ascii="Calibri"/>
                <w:kern w:val="0"/>
                <w:szCs w:val="21"/>
                <w:highlight w:val="none"/>
              </w:rPr>
              <w:t>4</w:t>
            </w:r>
            <w:r>
              <w:rPr>
                <w:rFonts w:hint="eastAsia"/>
                <w:kern w:val="0"/>
                <w:szCs w:val="21"/>
                <w:highlight w:val="none"/>
              </w:rPr>
              <w:t>%</w:t>
            </w:r>
            <w:r>
              <w:rPr>
                <w:rFonts w:hint="eastAsia"/>
                <w:szCs w:val="21"/>
                <w:highlight w:val="none"/>
              </w:rPr>
              <w:t xml:space="preserve"> </w:t>
            </w:r>
          </w:p>
        </w:tc>
      </w:tr>
      <w:tr w14:paraId="46F2FA9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243" w:hRule="atLeast"/>
        </w:trPr>
        <w:tc>
          <w:tcPr>
            <w:tcW w:w="1397" w:type="dxa"/>
            <w:vMerge w:val="continue"/>
            <w:tcBorders>
              <w:top w:val="nil"/>
              <w:bottom w:val="single" w:color="auto" w:sz="4" w:space="0"/>
              <w:right w:val="single" w:color="auto" w:sz="4" w:space="0"/>
            </w:tcBorders>
            <w:vAlign w:val="center"/>
          </w:tcPr>
          <w:p w14:paraId="590ABC44">
            <w:pPr>
              <w:widowControl/>
              <w:jc w:val="left"/>
              <w:rPr>
                <w:rFonts w:hint="eastAsia"/>
                <w:highlight w:val="none"/>
              </w:rPr>
            </w:pPr>
          </w:p>
        </w:tc>
        <w:tc>
          <w:tcPr>
            <w:tcW w:w="340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14:paraId="2AA871E5">
            <w:pPr>
              <w:spacing w:line="280" w:lineRule="exact"/>
              <w:jc w:val="center"/>
              <w:rPr>
                <w:rFonts w:hint="eastAsia"/>
                <w:highlight w:val="none"/>
              </w:rPr>
            </w:pPr>
            <w:r>
              <w:rPr>
                <w:rFonts w:hint="eastAsia"/>
                <w:kern w:val="0"/>
                <w:szCs w:val="21"/>
                <w:highlight w:val="none"/>
              </w:rPr>
              <w:t>M≥500万元</w:t>
            </w:r>
          </w:p>
        </w:tc>
        <w:tc>
          <w:tcPr>
            <w:tcW w:w="1894" w:type="dxa"/>
            <w:tcBorders>
              <w:top w:val="single" w:color="auto" w:sz="4" w:space="0"/>
              <w:left w:val="nil"/>
              <w:bottom w:val="single" w:color="auto" w:sz="4" w:space="0"/>
            </w:tcBorders>
            <w:tcMar>
              <w:top w:w="0" w:type="dxa"/>
              <w:left w:w="108" w:type="dxa"/>
              <w:bottom w:w="0" w:type="dxa"/>
              <w:right w:w="108" w:type="dxa"/>
            </w:tcMar>
            <w:vAlign w:val="center"/>
          </w:tcPr>
          <w:p w14:paraId="4FF3C602">
            <w:pPr>
              <w:spacing w:line="280" w:lineRule="exact"/>
              <w:jc w:val="center"/>
              <w:rPr>
                <w:rFonts w:hint="eastAsia"/>
                <w:highlight w:val="none"/>
              </w:rPr>
            </w:pPr>
            <w:r>
              <w:rPr>
                <w:rFonts w:hint="eastAsia"/>
                <w:kern w:val="0"/>
                <w:szCs w:val="21"/>
                <w:highlight w:val="none"/>
              </w:rPr>
              <w:t>1,000元/笔</w:t>
            </w:r>
            <w:r>
              <w:rPr>
                <w:rFonts w:hint="eastAsia"/>
                <w:szCs w:val="21"/>
                <w:highlight w:val="none"/>
              </w:rPr>
              <w:t xml:space="preserve"> </w:t>
            </w:r>
          </w:p>
        </w:tc>
      </w:tr>
      <w:tr w14:paraId="29724BB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353" w:hRule="atLeast"/>
        </w:trPr>
        <w:tc>
          <w:tcPr>
            <w:tcW w:w="1397" w:type="dxa"/>
            <w:vMerge w:val="restart"/>
            <w:tcBorders>
              <w:top w:val="single" w:color="auto" w:sz="4" w:space="0"/>
              <w:bottom w:val="single" w:color="auto" w:sz="4" w:space="0"/>
              <w:right w:val="single" w:color="auto" w:sz="4" w:space="0"/>
            </w:tcBorders>
            <w:tcMar>
              <w:top w:w="0" w:type="dxa"/>
              <w:left w:w="108" w:type="dxa"/>
              <w:bottom w:w="0" w:type="dxa"/>
              <w:right w:w="108" w:type="dxa"/>
            </w:tcMar>
            <w:vAlign w:val="center"/>
          </w:tcPr>
          <w:p w14:paraId="42EF4D5C">
            <w:pPr>
              <w:spacing w:line="280" w:lineRule="exact"/>
              <w:jc w:val="center"/>
              <w:rPr>
                <w:rFonts w:hint="eastAsia"/>
                <w:highlight w:val="none"/>
              </w:rPr>
            </w:pPr>
            <w:r>
              <w:rPr>
                <w:rFonts w:hint="eastAsia"/>
                <w:b/>
                <w:bCs/>
                <w:szCs w:val="21"/>
                <w:highlight w:val="none"/>
              </w:rPr>
              <w:t xml:space="preserve">赎回费 </w:t>
            </w:r>
          </w:p>
        </w:tc>
        <w:tc>
          <w:tcPr>
            <w:tcW w:w="34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F6212E4">
            <w:pPr>
              <w:spacing w:line="280" w:lineRule="exact"/>
              <w:jc w:val="center"/>
              <w:rPr>
                <w:rFonts w:hint="eastAsia"/>
                <w:highlight w:val="none"/>
              </w:rPr>
            </w:pPr>
            <w:r>
              <w:rPr>
                <w:rFonts w:hint="eastAsia"/>
                <w:kern w:val="0"/>
                <w:szCs w:val="21"/>
                <w:highlight w:val="none"/>
              </w:rPr>
              <w:t>N＜7日</w:t>
            </w:r>
            <w:r>
              <w:rPr>
                <w:rFonts w:hint="eastAsia"/>
                <w:szCs w:val="21"/>
                <w:highlight w:val="none"/>
              </w:rPr>
              <w:t xml:space="preserve"> </w:t>
            </w:r>
          </w:p>
        </w:tc>
        <w:tc>
          <w:tcPr>
            <w:tcW w:w="1894" w:type="dxa"/>
            <w:tcBorders>
              <w:top w:val="single" w:color="auto" w:sz="4" w:space="0"/>
              <w:left w:val="nil"/>
              <w:bottom w:val="single" w:color="auto" w:sz="4" w:space="0"/>
            </w:tcBorders>
            <w:tcMar>
              <w:top w:w="0" w:type="dxa"/>
              <w:left w:w="108" w:type="dxa"/>
              <w:bottom w:w="0" w:type="dxa"/>
              <w:right w:w="108" w:type="dxa"/>
            </w:tcMar>
            <w:vAlign w:val="center"/>
          </w:tcPr>
          <w:p w14:paraId="1B5C3FEC">
            <w:pPr>
              <w:spacing w:line="280" w:lineRule="exact"/>
              <w:jc w:val="center"/>
              <w:rPr>
                <w:rFonts w:hint="eastAsia"/>
                <w:highlight w:val="none"/>
              </w:rPr>
            </w:pPr>
            <w:r>
              <w:rPr>
                <w:rFonts w:hint="eastAsia"/>
                <w:kern w:val="0"/>
                <w:szCs w:val="21"/>
                <w:highlight w:val="none"/>
              </w:rPr>
              <w:t>1.5%</w:t>
            </w:r>
            <w:r>
              <w:rPr>
                <w:rFonts w:hint="eastAsia"/>
                <w:szCs w:val="21"/>
                <w:highlight w:val="none"/>
              </w:rPr>
              <w:t xml:space="preserve"> </w:t>
            </w:r>
          </w:p>
        </w:tc>
      </w:tr>
      <w:tr w14:paraId="4BE2C21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361" w:hRule="atLeast"/>
        </w:trPr>
        <w:tc>
          <w:tcPr>
            <w:tcW w:w="1397" w:type="dxa"/>
            <w:vMerge w:val="continue"/>
            <w:tcBorders>
              <w:top w:val="single" w:color="auto" w:sz="4" w:space="0"/>
              <w:right w:val="single" w:color="auto" w:sz="4" w:space="0"/>
            </w:tcBorders>
            <w:tcMar>
              <w:top w:w="0" w:type="dxa"/>
              <w:left w:w="108" w:type="dxa"/>
              <w:bottom w:w="0" w:type="dxa"/>
              <w:right w:w="108" w:type="dxa"/>
            </w:tcMar>
            <w:vAlign w:val="center"/>
          </w:tcPr>
          <w:p w14:paraId="7C7BB7BD">
            <w:pPr>
              <w:spacing w:line="280" w:lineRule="exact"/>
              <w:jc w:val="center"/>
              <w:rPr>
                <w:rFonts w:hint="eastAsia"/>
                <w:b/>
                <w:bCs/>
                <w:szCs w:val="21"/>
                <w:highlight w:val="none"/>
              </w:rPr>
            </w:pPr>
          </w:p>
        </w:tc>
        <w:tc>
          <w:tcPr>
            <w:tcW w:w="3409" w:type="dxa"/>
            <w:tcBorders>
              <w:top w:val="single" w:color="auto" w:sz="4" w:space="0"/>
              <w:left w:val="single" w:color="auto" w:sz="4" w:space="0"/>
              <w:right w:val="single" w:color="auto" w:sz="4" w:space="0"/>
            </w:tcBorders>
            <w:tcMar>
              <w:top w:w="0" w:type="dxa"/>
              <w:left w:w="108" w:type="dxa"/>
              <w:bottom w:w="0" w:type="dxa"/>
              <w:right w:w="108" w:type="dxa"/>
            </w:tcMar>
            <w:vAlign w:val="center"/>
          </w:tcPr>
          <w:p w14:paraId="565B4220">
            <w:pPr>
              <w:spacing w:line="280" w:lineRule="exact"/>
              <w:jc w:val="center"/>
              <w:rPr>
                <w:rFonts w:hint="eastAsia"/>
                <w:highlight w:val="none"/>
              </w:rPr>
            </w:pPr>
            <w:r>
              <w:rPr>
                <w:rFonts w:hint="eastAsia"/>
                <w:kern w:val="0"/>
                <w:szCs w:val="21"/>
                <w:highlight w:val="none"/>
              </w:rPr>
              <w:t>N≥7日</w:t>
            </w:r>
          </w:p>
        </w:tc>
        <w:tc>
          <w:tcPr>
            <w:tcW w:w="1894" w:type="dxa"/>
            <w:tcBorders>
              <w:top w:val="single" w:color="auto" w:sz="4" w:space="0"/>
              <w:left w:val="nil"/>
            </w:tcBorders>
            <w:tcMar>
              <w:top w:w="0" w:type="dxa"/>
              <w:left w:w="108" w:type="dxa"/>
              <w:bottom w:w="0" w:type="dxa"/>
              <w:right w:w="108" w:type="dxa"/>
            </w:tcMar>
            <w:vAlign w:val="center"/>
          </w:tcPr>
          <w:p w14:paraId="0AEA7E3E">
            <w:pPr>
              <w:spacing w:line="280" w:lineRule="exact"/>
              <w:jc w:val="center"/>
              <w:rPr>
                <w:rFonts w:hint="eastAsia"/>
                <w:highlight w:val="none"/>
              </w:rPr>
            </w:pPr>
            <w:r>
              <w:rPr>
                <w:rFonts w:hint="eastAsia"/>
                <w:kern w:val="0"/>
                <w:szCs w:val="21"/>
                <w:highlight w:val="none"/>
              </w:rPr>
              <w:t>0%</w:t>
            </w:r>
          </w:p>
        </w:tc>
      </w:tr>
    </w:tbl>
    <w:p w14:paraId="2EC07FF6">
      <w:pPr>
        <w:spacing w:line="312" w:lineRule="exact"/>
        <w:ind w:firstLine="420" w:firstLineChars="200"/>
        <w:rPr>
          <w:rFonts w:hint="eastAsia"/>
          <w:highlight w:val="none"/>
        </w:rPr>
      </w:pPr>
    </w:p>
    <w:p w14:paraId="2AC01747">
      <w:pPr>
        <w:numPr>
          <w:ilvl w:val="1"/>
          <w:numId w:val="0"/>
        </w:numPr>
        <w:spacing w:before="156" w:beforeLines="50" w:line="312" w:lineRule="exact"/>
        <w:ind w:left="454" w:hanging="454"/>
        <w:jc w:val="left"/>
        <w:outlineLvl w:val="1"/>
        <w:rPr>
          <w:rFonts w:hAnsi="Cambria"/>
          <w:b/>
          <w:bCs/>
          <w:kern w:val="24"/>
          <w:sz w:val="24"/>
          <w:szCs w:val="32"/>
          <w:highlight w:val="none"/>
        </w:rPr>
      </w:pPr>
      <w:r>
        <w:rPr>
          <w:rFonts w:hint="eastAsia"/>
          <w:b/>
          <w:bCs/>
          <w:kern w:val="24"/>
          <w:szCs w:val="32"/>
          <w:highlight w:val="none"/>
        </w:rPr>
        <w:t>（二）基金运作相关费用</w:t>
      </w:r>
      <w:r>
        <w:rPr>
          <w:b/>
          <w:bCs/>
          <w:kern w:val="24"/>
          <w:szCs w:val="32"/>
          <w:highlight w:val="none"/>
        </w:rPr>
        <w:t xml:space="preserve"> </w:t>
      </w:r>
    </w:p>
    <w:p w14:paraId="1D7A8549">
      <w:pPr>
        <w:spacing w:line="312" w:lineRule="exact"/>
        <w:rPr>
          <w:rFonts w:hint="eastAsia"/>
          <w:highlight w:val="none"/>
        </w:rPr>
      </w:pPr>
      <w:r>
        <w:rPr>
          <w:rFonts w:hint="eastAsia"/>
          <w:szCs w:val="21"/>
          <w:highlight w:val="none"/>
        </w:rPr>
        <w:t>以下费用将从基金资产中扣除：</w:t>
      </w:r>
      <w:r>
        <w:rPr>
          <w:highlight w:val="none"/>
        </w:rPr>
        <w:t xml:space="preserve"> </w:t>
      </w:r>
    </w:p>
    <w:tbl>
      <w:tblPr>
        <w:tblStyle w:val="5"/>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323"/>
        <w:gridCol w:w="3345"/>
        <w:gridCol w:w="3751"/>
      </w:tblGrid>
      <w:tr w14:paraId="14C83BC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10F6A22">
            <w:pPr>
              <w:rPr>
                <w:rFonts w:hint="eastAsia"/>
                <w:highlight w:val="none"/>
              </w:rPr>
            </w:pPr>
            <w:r>
              <w:rPr>
                <w:rFonts w:hint="eastAsia" w:ascii="Times New Roman" w:hAnsi="Times New Roman"/>
                <w:b/>
                <w:highlight w:val="none"/>
              </w:rPr>
              <w:t>费用类别</w:t>
            </w:r>
            <w:r>
              <w:rPr>
                <w:b/>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vAlign w:val="center"/>
          </w:tcPr>
          <w:p w14:paraId="356A59EE">
            <w:pPr>
              <w:jc w:val="center"/>
              <w:rPr>
                <w:rFonts w:hint="eastAsia"/>
                <w:highlight w:val="none"/>
              </w:rPr>
            </w:pPr>
            <w:r>
              <w:rPr>
                <w:rFonts w:hint="eastAsia"/>
                <w:b/>
                <w:szCs w:val="24"/>
                <w:highlight w:val="none"/>
              </w:rPr>
              <w:t>收费方式</w:t>
            </w:r>
            <w:r>
              <w:rPr>
                <w:b/>
                <w:szCs w:val="24"/>
                <w:highlight w:val="none"/>
              </w:rPr>
              <w:t>/</w:t>
            </w:r>
            <w:r>
              <w:rPr>
                <w:rFonts w:hint="eastAsia"/>
                <w:b/>
                <w:szCs w:val="24"/>
                <w:highlight w:val="none"/>
              </w:rPr>
              <w:t>年费率或金额</w:t>
            </w:r>
            <w:r>
              <w:rPr>
                <w:b/>
                <w:szCs w:val="24"/>
                <w:highlight w:val="none"/>
                <w:lang w:eastAsia="zh-Hans"/>
              </w:rPr>
              <w:t xml:space="preserve"> </w:t>
            </w:r>
          </w:p>
        </w:tc>
        <w:tc>
          <w:tcPr>
            <w:tcW w:w="4408" w:type="dxa"/>
            <w:tcBorders>
              <w:top w:val="single" w:color="auto" w:sz="4" w:space="0"/>
              <w:left w:val="single" w:color="auto" w:sz="4" w:space="0"/>
              <w:bottom w:val="single" w:color="auto" w:sz="4" w:space="0"/>
              <w:right w:val="single" w:color="auto" w:sz="4" w:space="0"/>
            </w:tcBorders>
            <w:vAlign w:val="center"/>
          </w:tcPr>
          <w:p w14:paraId="7E84CB7D">
            <w:pPr>
              <w:jc w:val="center"/>
              <w:rPr>
                <w:rFonts w:hint="eastAsia"/>
                <w:highlight w:val="none"/>
              </w:rPr>
            </w:pPr>
            <w:r>
              <w:rPr>
                <w:rFonts w:hint="eastAsia"/>
                <w:b/>
                <w:szCs w:val="24"/>
                <w:highlight w:val="none"/>
              </w:rPr>
              <w:t>收取方</w:t>
            </w:r>
            <w:r>
              <w:rPr>
                <w:b/>
                <w:szCs w:val="24"/>
                <w:highlight w:val="none"/>
                <w:lang w:eastAsia="zh-Hans"/>
              </w:rPr>
              <w:t xml:space="preserve"> </w:t>
            </w:r>
          </w:p>
        </w:tc>
      </w:tr>
      <w:tr w14:paraId="1AE05B0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06FC761">
            <w:pPr>
              <w:rPr>
                <w:rFonts w:hint="eastAsia"/>
                <w:highlight w:val="none"/>
              </w:rPr>
            </w:pPr>
            <w:r>
              <w:rPr>
                <w:rFonts w:hint="eastAsia" w:ascii="Times New Roman" w:hAnsi="Times New Roman"/>
                <w:b/>
                <w:highlight w:val="none"/>
              </w:rPr>
              <w:t>管理费</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967BE98">
            <w:pPr>
              <w:jc w:val="center"/>
              <w:rPr>
                <w:rFonts w:hint="eastAsia"/>
                <w:highlight w:val="none"/>
              </w:rPr>
            </w:pPr>
            <w:r>
              <w:rPr>
                <w:rFonts w:hint="eastAsia"/>
                <w:szCs w:val="21"/>
                <w:highlight w:val="none"/>
              </w:rPr>
              <w:t>0.8</w:t>
            </w:r>
            <w:r>
              <w:rPr>
                <w:szCs w:val="21"/>
                <w:highlight w:val="none"/>
              </w:rPr>
              <w:t>%</w:t>
            </w:r>
            <w:r>
              <w:rPr>
                <w:highlight w:val="none"/>
                <w:lang w:eastAsia="zh-Hans"/>
              </w:rPr>
              <w:t xml:space="preserve"> </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598F57A">
            <w:pPr>
              <w:jc w:val="center"/>
              <w:rPr>
                <w:rFonts w:hint="eastAsia"/>
                <w:highlight w:val="none"/>
              </w:rPr>
            </w:pPr>
            <w:r>
              <w:rPr>
                <w:rFonts w:hint="eastAsia"/>
                <w:szCs w:val="24"/>
                <w:highlight w:val="none"/>
                <w:lang w:eastAsia="zh-Hans"/>
              </w:rPr>
              <w:t>基金管理人和销售机构</w:t>
            </w:r>
            <w:r>
              <w:rPr>
                <w:szCs w:val="24"/>
                <w:highlight w:val="none"/>
                <w:lang w:eastAsia="zh-Hans"/>
              </w:rPr>
              <w:t xml:space="preserve"> </w:t>
            </w:r>
          </w:p>
        </w:tc>
      </w:tr>
      <w:tr w14:paraId="199C965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2C74B88">
            <w:pPr>
              <w:rPr>
                <w:rFonts w:hint="eastAsia"/>
                <w:highlight w:val="none"/>
              </w:rPr>
            </w:pPr>
            <w:r>
              <w:rPr>
                <w:rFonts w:hint="eastAsia" w:ascii="Times New Roman" w:hAnsi="Times New Roman"/>
                <w:b/>
                <w:highlight w:val="none"/>
              </w:rPr>
              <w:t>托管费</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A6608A4">
            <w:pPr>
              <w:jc w:val="center"/>
              <w:rPr>
                <w:rFonts w:hint="eastAsia"/>
                <w:highlight w:val="none"/>
              </w:rPr>
            </w:pPr>
            <w:r>
              <w:rPr>
                <w:highlight w:val="none"/>
                <w:lang w:eastAsia="zh-Hans"/>
              </w:rPr>
              <w:t>0.</w:t>
            </w:r>
            <w:r>
              <w:rPr>
                <w:rFonts w:hint="eastAsia"/>
                <w:highlight w:val="none"/>
              </w:rPr>
              <w:t>1</w:t>
            </w:r>
            <w:r>
              <w:rPr>
                <w:szCs w:val="21"/>
                <w:highlight w:val="none"/>
              </w:rPr>
              <w:t>%</w:t>
            </w:r>
            <w:r>
              <w:rPr>
                <w:highlight w:val="none"/>
              </w:rPr>
              <w:t xml:space="preserve"> </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4BC484">
            <w:pPr>
              <w:jc w:val="center"/>
              <w:rPr>
                <w:rFonts w:hint="eastAsia"/>
                <w:highlight w:val="none"/>
              </w:rPr>
            </w:pPr>
            <w:r>
              <w:rPr>
                <w:rFonts w:hint="eastAsia"/>
                <w:szCs w:val="24"/>
                <w:highlight w:val="none"/>
                <w:lang w:eastAsia="zh-Hans"/>
              </w:rPr>
              <w:t>基金托管人</w:t>
            </w:r>
            <w:r>
              <w:rPr>
                <w:szCs w:val="24"/>
                <w:highlight w:val="none"/>
              </w:rPr>
              <w:t xml:space="preserve"> </w:t>
            </w:r>
          </w:p>
        </w:tc>
      </w:tr>
      <w:tr w14:paraId="4FEA096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B46C3BA">
            <w:pPr>
              <w:rPr>
                <w:rFonts w:hint="eastAsia"/>
                <w:highlight w:val="none"/>
              </w:rPr>
            </w:pPr>
            <w:r>
              <w:rPr>
                <w:rFonts w:hint="eastAsia" w:ascii="Times New Roman" w:hAnsi="Times New Roman"/>
                <w:b/>
                <w:highlight w:val="none"/>
              </w:rPr>
              <w:t>审计费用</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A6BDC9E">
            <w:pPr>
              <w:jc w:val="center"/>
              <w:rPr>
                <w:rFonts w:hint="eastAsia"/>
                <w:highlight w:val="none"/>
              </w:rPr>
            </w:pPr>
            <w:r>
              <w:rPr>
                <w:rFonts w:hint="eastAsia"/>
                <w:iCs/>
                <w:szCs w:val="24"/>
                <w:highlight w:val="none"/>
              </w:rPr>
              <w:t>—</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DE5886">
            <w:pPr>
              <w:jc w:val="center"/>
              <w:rPr>
                <w:rFonts w:hint="eastAsia"/>
                <w:highlight w:val="none"/>
              </w:rPr>
            </w:pPr>
            <w:r>
              <w:rPr>
                <w:rFonts w:hint="eastAsia"/>
                <w:szCs w:val="24"/>
                <w:highlight w:val="none"/>
                <w:lang w:eastAsia="zh-Hans"/>
              </w:rPr>
              <w:t>会计师事务所</w:t>
            </w:r>
            <w:r>
              <w:rPr>
                <w:szCs w:val="24"/>
                <w:highlight w:val="none"/>
              </w:rPr>
              <w:t xml:space="preserve"> </w:t>
            </w:r>
          </w:p>
        </w:tc>
      </w:tr>
      <w:tr w14:paraId="1CFE24E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DCEB2EB">
            <w:pPr>
              <w:rPr>
                <w:rFonts w:hint="eastAsia"/>
                <w:highlight w:val="none"/>
              </w:rPr>
            </w:pPr>
            <w:r>
              <w:rPr>
                <w:rFonts w:hint="eastAsia" w:ascii="Times New Roman" w:hAnsi="Times New Roman"/>
                <w:b/>
                <w:highlight w:val="none"/>
              </w:rPr>
              <w:t>信息披露费</w:t>
            </w:r>
            <w:r>
              <w:rPr>
                <w:szCs w:val="24"/>
                <w:highlight w:val="none"/>
                <w:lang w:eastAsia="zh-Hans"/>
              </w:rPr>
              <w:t xml:space="preserve"> </w:t>
            </w:r>
          </w:p>
        </w:tc>
        <w:tc>
          <w:tcPr>
            <w:tcW w:w="3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A77BB2B">
            <w:pPr>
              <w:jc w:val="center"/>
              <w:rPr>
                <w:rFonts w:hint="eastAsia"/>
                <w:highlight w:val="none"/>
              </w:rPr>
            </w:pPr>
            <w:r>
              <w:rPr>
                <w:rFonts w:hint="eastAsia"/>
                <w:iCs/>
                <w:szCs w:val="24"/>
                <w:highlight w:val="none"/>
              </w:rPr>
              <w:t>—</w:t>
            </w:r>
          </w:p>
        </w:tc>
        <w:tc>
          <w:tcPr>
            <w:tcW w:w="440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BB53D32">
            <w:pPr>
              <w:jc w:val="center"/>
              <w:rPr>
                <w:rFonts w:hint="eastAsia"/>
                <w:highlight w:val="none"/>
              </w:rPr>
            </w:pPr>
            <w:r>
              <w:rPr>
                <w:rFonts w:hint="eastAsia"/>
                <w:szCs w:val="24"/>
                <w:highlight w:val="none"/>
                <w:lang w:eastAsia="zh-Hans"/>
              </w:rPr>
              <w:t>规定披露报刊</w:t>
            </w:r>
            <w:r>
              <w:rPr>
                <w:szCs w:val="24"/>
                <w:highlight w:val="none"/>
              </w:rPr>
              <w:t xml:space="preserve"> </w:t>
            </w:r>
          </w:p>
        </w:tc>
      </w:tr>
      <w:tr w14:paraId="2600B2B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15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AB19C7E">
            <w:pPr>
              <w:rPr>
                <w:rFonts w:hint="eastAsia"/>
                <w:highlight w:val="none"/>
              </w:rPr>
            </w:pPr>
            <w:r>
              <w:rPr>
                <w:rFonts w:hint="eastAsia"/>
                <w:b/>
                <w:szCs w:val="24"/>
                <w:highlight w:val="none"/>
                <w:lang w:eastAsia="zh-Hans"/>
              </w:rPr>
              <w:t>其他费用</w:t>
            </w:r>
            <w:r>
              <w:rPr>
                <w:szCs w:val="24"/>
                <w:highlight w:val="none"/>
                <w:lang w:eastAsia="zh-Hans"/>
              </w:rPr>
              <w:t xml:space="preserve"> </w:t>
            </w:r>
          </w:p>
        </w:tc>
        <w:tc>
          <w:tcPr>
            <w:tcW w:w="8334" w:type="dxa"/>
            <w:gridSpan w:val="2"/>
            <w:tcBorders>
              <w:top w:val="single" w:color="auto" w:sz="4" w:space="0"/>
              <w:left w:val="single" w:color="auto" w:sz="4" w:space="0"/>
              <w:bottom w:val="single" w:color="auto" w:sz="4" w:space="0"/>
              <w:right w:val="single" w:color="auto" w:sz="4" w:space="0"/>
            </w:tcBorders>
            <w:vAlign w:val="center"/>
          </w:tcPr>
          <w:p w14:paraId="5AD50B60">
            <w:pPr>
              <w:rPr>
                <w:rFonts w:hint="eastAsia"/>
                <w:highlight w:val="none"/>
              </w:rPr>
            </w:pPr>
            <w:r>
              <w:rPr>
                <w:bCs/>
                <w:highlight w:val="none"/>
              </w:rPr>
              <w:t>《基金合同》生效后与基金相关的信息披露费用；《基金合同》生效后与基金相关的会计师费、律师费</w:t>
            </w:r>
            <w:r>
              <w:rPr>
                <w:rFonts w:hint="eastAsia"/>
                <w:bCs/>
                <w:highlight w:val="none"/>
              </w:rPr>
              <w:t>、</w:t>
            </w:r>
            <w:r>
              <w:rPr>
                <w:bCs/>
                <w:highlight w:val="none"/>
              </w:rPr>
              <w:t>诉讼费</w:t>
            </w:r>
            <w:r>
              <w:rPr>
                <w:rFonts w:hint="eastAsia"/>
                <w:bCs/>
                <w:highlight w:val="none"/>
              </w:rPr>
              <w:t>和仲裁费</w:t>
            </w:r>
            <w:r>
              <w:rPr>
                <w:bCs/>
                <w:highlight w:val="none"/>
              </w:rPr>
              <w:t>；基金份额持有人大会费用；基金的证券</w:t>
            </w:r>
            <w:r>
              <w:rPr>
                <w:rFonts w:hint="eastAsia"/>
                <w:bCs/>
                <w:highlight w:val="none"/>
              </w:rPr>
              <w:t>、</w:t>
            </w:r>
            <w:r>
              <w:rPr>
                <w:bCs/>
                <w:highlight w:val="none"/>
              </w:rPr>
              <w:t>期货、股票期权交易费用；基金的银行汇划费用；</w:t>
            </w:r>
            <w:r>
              <w:rPr>
                <w:rFonts w:hint="eastAsia"/>
                <w:bCs/>
                <w:highlight w:val="none"/>
              </w:rPr>
              <w:t>基金相关账户的开户和维护费用；</w:t>
            </w:r>
            <w:r>
              <w:rPr>
                <w:highlight w:val="none"/>
              </w:rPr>
              <w:t>因参与融资、转融通证券出借业务而产生的各项合理费用</w:t>
            </w:r>
            <w:r>
              <w:rPr>
                <w:rFonts w:hint="eastAsia"/>
                <w:bCs/>
                <w:highlight w:val="none"/>
              </w:rPr>
              <w:t>；</w:t>
            </w:r>
            <w:r>
              <w:rPr>
                <w:bCs/>
                <w:highlight w:val="none"/>
              </w:rPr>
              <w:t>按照国家有关规定和《基金合同》约定，可以在基金财产中列支的其他费用。</w:t>
            </w:r>
          </w:p>
        </w:tc>
      </w:tr>
    </w:tbl>
    <w:p w14:paraId="763EDBC1">
      <w:pPr>
        <w:spacing w:line="312" w:lineRule="exact"/>
        <w:rPr>
          <w:rFonts w:hint="eastAsia"/>
          <w:highlight w:val="none"/>
        </w:rPr>
      </w:pPr>
      <w:r>
        <w:rPr>
          <w:rFonts w:hint="eastAsia"/>
          <w:szCs w:val="21"/>
          <w:highlight w:val="none"/>
        </w:rPr>
        <w:t>注：</w:t>
      </w:r>
      <w:r>
        <w:rPr>
          <w:rFonts w:hint="eastAsia"/>
          <w:szCs w:val="21"/>
          <w:highlight w:val="none"/>
          <w:lang w:eastAsia="zh-Hans"/>
        </w:rPr>
        <w:t>本基金交易证券产生的费用和税负，按实际发生额从基金资产扣除</w:t>
      </w:r>
      <w:r>
        <w:rPr>
          <w:rFonts w:hint="eastAsia"/>
          <w:szCs w:val="21"/>
          <w:highlight w:val="none"/>
        </w:rPr>
        <w:t>。</w:t>
      </w:r>
      <w:r>
        <w:rPr>
          <w:highlight w:val="none"/>
        </w:rPr>
        <w:t xml:space="preserve"> </w:t>
      </w:r>
    </w:p>
    <w:p w14:paraId="5ADF71EB">
      <w:pPr>
        <w:spacing w:line="312" w:lineRule="exact"/>
        <w:rPr>
          <w:rFonts w:hint="eastAsia"/>
          <w:highlight w:val="none"/>
        </w:rPr>
      </w:pPr>
      <w:r>
        <w:rPr>
          <w:rFonts w:hint="eastAsia"/>
          <w:highlight w:val="none"/>
        </w:rPr>
        <w:t xml:space="preserve"> </w:t>
      </w:r>
    </w:p>
    <w:p w14:paraId="6E6CF2D7">
      <w:pPr>
        <w:spacing w:line="312" w:lineRule="exact"/>
        <w:rPr>
          <w:rFonts w:hint="eastAsia"/>
          <w:b/>
          <w:highlight w:val="none"/>
        </w:rPr>
      </w:pPr>
      <w:r>
        <w:rPr>
          <w:b/>
          <w:highlight w:val="none"/>
        </w:rPr>
        <w:t>（三</w:t>
      </w:r>
      <w:r>
        <w:rPr>
          <w:rFonts w:hint="eastAsia"/>
          <w:b/>
          <w:highlight w:val="none"/>
        </w:rPr>
        <w:t xml:space="preserve">）基金运作综合费用测算 </w:t>
      </w:r>
    </w:p>
    <w:p w14:paraId="40356CD5">
      <w:pPr>
        <w:spacing w:line="312" w:lineRule="exact"/>
        <w:ind w:firstLine="420"/>
        <w:rPr>
          <w:rFonts w:hint="eastAsia"/>
          <w:highlight w:val="none"/>
        </w:rPr>
      </w:pPr>
      <w:r>
        <w:rPr>
          <w:rFonts w:hint="eastAsia"/>
          <w:szCs w:val="21"/>
          <w:highlight w:val="none"/>
          <w:lang w:eastAsia="zh-Hans"/>
        </w:rPr>
        <w:t>若投资者认购/申购本基金份额，在持有期间，投资者需支出的运作费率如下表：</w:t>
      </w:r>
      <w:r>
        <w:rPr>
          <w:rFonts w:hint="eastAsia"/>
          <w:highlight w:val="none"/>
        </w:rPr>
        <w:t xml:space="preserve"> </w:t>
      </w:r>
    </w:p>
    <w:p w14:paraId="6FDCFA51">
      <w:pPr>
        <w:jc w:val="center"/>
        <w:rPr>
          <w:rFonts w:hint="eastAsia"/>
          <w:highlight w:val="none"/>
        </w:rPr>
      </w:pPr>
      <w:r>
        <w:rPr>
          <w:rFonts w:hint="eastAsia"/>
          <w:highlight w:val="none"/>
        </w:rPr>
        <w:t>中邮北证50成份指数增强发起式A</w:t>
      </w:r>
    </w:p>
    <w:tbl>
      <w:tblPr>
        <w:tblStyle w:val="5"/>
        <w:tblW w:w="5000" w:type="pct"/>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2576"/>
        <w:gridCol w:w="5946"/>
      </w:tblGrid>
      <w:tr w14:paraId="0F89B4C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7" w:hRule="atLeast"/>
        </w:trPr>
        <w:tc>
          <w:tcPr>
            <w:tcW w:w="300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930CCAB">
            <w:pPr>
              <w:rPr>
                <w:rFonts w:hint="eastAsia"/>
                <w:highlight w:val="none"/>
              </w:rPr>
            </w:pPr>
          </w:p>
        </w:tc>
        <w:tc>
          <w:tcPr>
            <w:tcW w:w="69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081635A">
            <w:pPr>
              <w:spacing w:line="312" w:lineRule="exact"/>
              <w:jc w:val="center"/>
              <w:rPr>
                <w:rFonts w:hint="eastAsia"/>
                <w:highlight w:val="none"/>
              </w:rPr>
            </w:pPr>
            <w:r>
              <w:rPr>
                <w:rFonts w:hint="eastAsia"/>
                <w:szCs w:val="24"/>
                <w:highlight w:val="none"/>
              </w:rPr>
              <w:t>基金运作综合费率（年化）</w:t>
            </w:r>
            <w:r>
              <w:rPr>
                <w:rFonts w:hint="eastAsia"/>
                <w:szCs w:val="24"/>
                <w:highlight w:val="none"/>
                <w:lang w:eastAsia="zh-Hans"/>
              </w:rPr>
              <w:t xml:space="preserve"> </w:t>
            </w:r>
          </w:p>
        </w:tc>
      </w:tr>
      <w:tr w14:paraId="2C2F23D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86" w:hRule="atLeast"/>
        </w:trPr>
        <w:tc>
          <w:tcPr>
            <w:tcW w:w="300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1BB1E4">
            <w:pPr>
              <w:rPr>
                <w:rFonts w:hint="eastAsia"/>
                <w:highlight w:val="none"/>
              </w:rPr>
            </w:pPr>
            <w:r>
              <w:rPr>
                <w:rFonts w:hint="eastAsia"/>
                <w:szCs w:val="24"/>
                <w:highlight w:val="none"/>
                <w:lang w:eastAsia="zh-Hans"/>
              </w:rPr>
              <w:t>持有期间</w:t>
            </w:r>
            <w:r>
              <w:rPr>
                <w:rFonts w:hint="eastAsia"/>
                <w:highlight w:val="none"/>
              </w:rPr>
              <w:t xml:space="preserve"> </w:t>
            </w:r>
          </w:p>
        </w:tc>
        <w:tc>
          <w:tcPr>
            <w:tcW w:w="69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DD6679">
            <w:pPr>
              <w:spacing w:line="312" w:lineRule="exact"/>
              <w:jc w:val="center"/>
              <w:rPr>
                <w:rFonts w:hint="eastAsia"/>
                <w:highlight w:val="none"/>
              </w:rPr>
            </w:pPr>
            <w:r>
              <w:rPr>
                <w:rFonts w:hint="eastAsia"/>
                <w:iCs/>
                <w:szCs w:val="24"/>
                <w:highlight w:val="none"/>
              </w:rPr>
              <w:t>—</w:t>
            </w:r>
          </w:p>
        </w:tc>
      </w:tr>
    </w:tbl>
    <w:p w14:paraId="23B8BB05">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 xml:space="preserve">风险揭示与重要提示 </w:t>
      </w:r>
    </w:p>
    <w:p w14:paraId="4D6164F2">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风险揭示 </w:t>
      </w:r>
    </w:p>
    <w:p w14:paraId="5B3DBDAF">
      <w:pPr>
        <w:spacing w:line="312" w:lineRule="exact"/>
        <w:ind w:firstLine="420" w:firstLineChars="200"/>
        <w:contextualSpacing/>
        <w:rPr>
          <w:rFonts w:hint="eastAsia"/>
          <w:kern w:val="0"/>
          <w:highlight w:val="none"/>
        </w:rPr>
      </w:pPr>
      <w:r>
        <w:rPr>
          <w:rFonts w:hint="eastAsia"/>
          <w:kern w:val="0"/>
          <w:highlight w:val="none"/>
        </w:rPr>
        <w:t xml:space="preserve">本基金不提供任何保证。投资者可能损失投资本金。 </w:t>
      </w:r>
      <w:r>
        <w:rPr>
          <w:rFonts w:hint="eastAsia"/>
          <w:kern w:val="0"/>
          <w:highlight w:val="none"/>
        </w:rPr>
        <w:br w:type="textWrapping"/>
      </w:r>
      <w:r>
        <w:rPr>
          <w:rFonts w:hint="eastAsia"/>
          <w:kern w:val="0"/>
          <w:highlight w:val="none"/>
        </w:rPr>
        <w:t xml:space="preserve">　　投资有风险，投资者购买基金时应认真阅读本基金的《招募说明书》等销售文件。 </w:t>
      </w:r>
      <w:r>
        <w:rPr>
          <w:rFonts w:hint="eastAsia"/>
          <w:kern w:val="0"/>
          <w:highlight w:val="none"/>
        </w:rPr>
        <w:br w:type="textWrapping"/>
      </w:r>
      <w:r>
        <w:rPr>
          <w:rFonts w:hint="eastAsia"/>
          <w:kern w:val="0"/>
          <w:highlight w:val="none"/>
        </w:rPr>
        <w:t>　　本基金面临的主要风险包括：证券市场风险、信用风险、流动性风险（包括实施侧袋机制对投资者的影响）、管理风险、操作和技术风险、本基金的特有风险、基金管理人职责终止风险、不可抗力风险等。</w:t>
      </w:r>
      <w:r>
        <w:rPr>
          <w:rFonts w:hint="eastAsia"/>
          <w:kern w:val="0"/>
          <w:highlight w:val="none"/>
        </w:rPr>
        <w:br w:type="textWrapping"/>
      </w:r>
      <w:r>
        <w:rPr>
          <w:rFonts w:hint="eastAsia"/>
          <w:kern w:val="0"/>
          <w:highlight w:val="none"/>
        </w:rPr>
        <w:t xml:space="preserve">　　本基金特有的风险： </w:t>
      </w:r>
      <w:r>
        <w:rPr>
          <w:rFonts w:hint="eastAsia"/>
          <w:kern w:val="0"/>
          <w:highlight w:val="none"/>
        </w:rPr>
        <w:br w:type="textWrapping"/>
      </w:r>
      <w:r>
        <w:rPr>
          <w:rFonts w:hint="eastAsia"/>
          <w:kern w:val="0"/>
          <w:highlight w:val="none"/>
        </w:rPr>
        <w:t xml:space="preserve">　1、与指数化投资方式相关的特有风险。 </w:t>
      </w:r>
    </w:p>
    <w:p w14:paraId="23799CF7">
      <w:pPr>
        <w:spacing w:line="312" w:lineRule="exact"/>
        <w:ind w:firstLine="420" w:firstLineChars="200"/>
        <w:contextualSpacing/>
        <w:rPr>
          <w:rFonts w:hint="eastAsia"/>
          <w:kern w:val="0"/>
          <w:highlight w:val="none"/>
        </w:rPr>
      </w:pPr>
      <w:r>
        <w:rPr>
          <w:rFonts w:hint="eastAsia"/>
          <w:kern w:val="0"/>
          <w:highlight w:val="none"/>
        </w:rPr>
        <w:t xml:space="preserve">本基金为指数增强型股票基金，力争在控制跟踪误差的基础上，以超越追踪标的指数为投资目标，在基金的投资运作过程中可能面临指数基金特有的风险。 </w:t>
      </w:r>
    </w:p>
    <w:p w14:paraId="75DDF5B5">
      <w:pPr>
        <w:spacing w:line="312" w:lineRule="exact"/>
        <w:ind w:firstLine="420" w:firstLineChars="200"/>
        <w:contextualSpacing/>
        <w:rPr>
          <w:rFonts w:hint="eastAsia"/>
          <w:kern w:val="0"/>
          <w:highlight w:val="none"/>
        </w:rPr>
      </w:pPr>
      <w:r>
        <w:rPr>
          <w:rFonts w:hint="eastAsia"/>
          <w:kern w:val="0"/>
          <w:highlight w:val="none"/>
        </w:rPr>
        <w:t xml:space="preserve">（1）系统性风险 </w:t>
      </w:r>
    </w:p>
    <w:p w14:paraId="67EA9C0C">
      <w:pPr>
        <w:spacing w:line="312" w:lineRule="exact"/>
        <w:ind w:firstLine="420" w:firstLineChars="200"/>
        <w:contextualSpacing/>
        <w:rPr>
          <w:rFonts w:hint="eastAsia"/>
          <w:kern w:val="0"/>
          <w:highlight w:val="none"/>
        </w:rPr>
      </w:pPr>
      <w:r>
        <w:rPr>
          <w:rFonts w:hint="eastAsia"/>
          <w:kern w:val="0"/>
          <w:highlight w:val="none"/>
        </w:rPr>
        <w:t xml:space="preserve">本基金为指数增强型股票基金，绝大部分基金财产投资于标的指数成份股及其备选成份股。在具体投资管理中，本基金可能面临标的指数成份股以及备选股所具有的特有风险，也可能由于股票投资比例较高而带来较高的系统性风险。本基金采取指数化投资策略，被动跟踪标的指数。为实现投资目标，当基础市场下跌而导致标的指数成份股发生系统性的下跌时，本基金不会采取防守策略，由此可能对基金资产价值产生不利影响。 </w:t>
      </w:r>
    </w:p>
    <w:p w14:paraId="3622C06C">
      <w:pPr>
        <w:spacing w:line="312" w:lineRule="exact"/>
        <w:ind w:firstLine="420" w:firstLineChars="200"/>
        <w:contextualSpacing/>
        <w:rPr>
          <w:rFonts w:hint="eastAsia"/>
          <w:kern w:val="0"/>
          <w:highlight w:val="none"/>
        </w:rPr>
      </w:pPr>
      <w:r>
        <w:rPr>
          <w:rFonts w:hint="eastAsia"/>
          <w:kern w:val="0"/>
          <w:highlight w:val="none"/>
        </w:rPr>
        <w:t xml:space="preserve">（2）投资替代风险 </w:t>
      </w:r>
    </w:p>
    <w:p w14:paraId="220A97CF">
      <w:pPr>
        <w:spacing w:line="312" w:lineRule="exact"/>
        <w:ind w:firstLine="420" w:firstLineChars="200"/>
        <w:contextualSpacing/>
        <w:rPr>
          <w:rFonts w:hint="eastAsia"/>
          <w:kern w:val="0"/>
          <w:highlight w:val="none"/>
        </w:rPr>
      </w:pPr>
      <w:r>
        <w:rPr>
          <w:rFonts w:hint="eastAsia"/>
          <w:kern w:val="0"/>
          <w:highlight w:val="none"/>
        </w:rPr>
        <w:t xml:space="preserve">因特殊情况（比如市场流动性不足、个别成份股被限制投资等）导致本基金无法获得足够数量的股票时，基金管理人将搭配使用其他合理方法进行适当的替代，由此可能对基金产生不利影响。 </w:t>
      </w:r>
    </w:p>
    <w:p w14:paraId="3541CFF7">
      <w:pPr>
        <w:spacing w:line="312" w:lineRule="exact"/>
        <w:ind w:firstLine="420" w:firstLineChars="200"/>
        <w:contextualSpacing/>
        <w:rPr>
          <w:rFonts w:hint="eastAsia"/>
          <w:kern w:val="0"/>
          <w:highlight w:val="none"/>
        </w:rPr>
      </w:pPr>
      <w:r>
        <w:rPr>
          <w:rFonts w:hint="eastAsia"/>
          <w:kern w:val="0"/>
          <w:highlight w:val="none"/>
        </w:rPr>
        <w:t xml:space="preserve">（3）与标的指数相关的风险 </w:t>
      </w:r>
    </w:p>
    <w:p w14:paraId="5979822F">
      <w:pPr>
        <w:spacing w:line="312" w:lineRule="exact"/>
        <w:ind w:firstLine="420" w:firstLineChars="200"/>
        <w:contextualSpacing/>
        <w:rPr>
          <w:rFonts w:hint="eastAsia"/>
          <w:kern w:val="0"/>
          <w:highlight w:val="none"/>
        </w:rPr>
      </w:pPr>
      <w:r>
        <w:rPr>
          <w:rFonts w:hint="eastAsia"/>
          <w:kern w:val="0"/>
          <w:highlight w:val="none"/>
        </w:rPr>
        <w:t xml:space="preserve">①指数编制机构停止服务的风险 </w:t>
      </w:r>
    </w:p>
    <w:p w14:paraId="2D1C167D">
      <w:pPr>
        <w:spacing w:line="312" w:lineRule="exact"/>
        <w:ind w:firstLine="420" w:firstLineChars="200"/>
        <w:contextualSpacing/>
        <w:rPr>
          <w:rFonts w:hint="eastAsia"/>
          <w:kern w:val="0"/>
          <w:highlight w:val="none"/>
        </w:rPr>
      </w:pPr>
      <w:r>
        <w:rPr>
          <w:rFonts w:hint="eastAsia"/>
          <w:kern w:val="0"/>
          <w:highlight w:val="none"/>
        </w:rPr>
        <w:t xml:space="preserve">本基金的标的指数由指数编制机构发布并管理和维护，未来指数编制机构可能由于各种原因停止对指数的管理和维护，本基金将根据基金合同的约定自该情形发生之日起 10 个工作日向中国证监会报告并提出解决方案，如转换运作方式，与其他基金合并、或者终止基金合同等，并在 6 个月内召集基金份额持有人大会进行表决。投资人将面临转换运作方式，与其他基金合并、或者终止基金合同等风险。 </w:t>
      </w:r>
    </w:p>
    <w:p w14:paraId="4BACEFCF">
      <w:pPr>
        <w:spacing w:line="312" w:lineRule="exact"/>
        <w:ind w:firstLine="420" w:firstLineChars="200"/>
        <w:contextualSpacing/>
        <w:rPr>
          <w:rFonts w:hint="eastAsia"/>
          <w:kern w:val="0"/>
          <w:highlight w:val="none"/>
        </w:rPr>
      </w:pPr>
      <w:r>
        <w:rPr>
          <w:rFonts w:hint="eastAsia"/>
          <w:kern w:val="0"/>
          <w:highlight w:val="none"/>
        </w:rPr>
        <w:t xml:space="preserve">自指数编制机构停止标的指数的编制及发布至解决方案确定并实施前，基金管理人应按照指数编制机构提供的最近一个交易日的指数信息遵循基金份额持有人利益优先原则维持基金投资运作，该期间由于标的指数不再更新等原因可能导致指数表现与相关市场表现存在差异，影响投资收益。 </w:t>
      </w:r>
    </w:p>
    <w:p w14:paraId="10B6EBFB">
      <w:pPr>
        <w:spacing w:line="312" w:lineRule="exact"/>
        <w:ind w:firstLine="420" w:firstLineChars="200"/>
        <w:contextualSpacing/>
        <w:rPr>
          <w:rFonts w:hint="eastAsia"/>
          <w:kern w:val="0"/>
          <w:highlight w:val="none"/>
        </w:rPr>
      </w:pPr>
      <w:r>
        <w:rPr>
          <w:rFonts w:hint="eastAsia"/>
          <w:kern w:val="0"/>
          <w:highlight w:val="none"/>
        </w:rPr>
        <w:t xml:space="preserve">②标的指数回报与股票市场平均回报偏离风险 </w:t>
      </w:r>
    </w:p>
    <w:p w14:paraId="4EB07979">
      <w:pPr>
        <w:spacing w:line="312" w:lineRule="exact"/>
        <w:ind w:firstLine="420" w:firstLineChars="200"/>
        <w:contextualSpacing/>
        <w:rPr>
          <w:rFonts w:hint="eastAsia"/>
          <w:kern w:val="0"/>
          <w:highlight w:val="none"/>
        </w:rPr>
      </w:pPr>
      <w:r>
        <w:rPr>
          <w:rFonts w:hint="eastAsia"/>
          <w:kern w:val="0"/>
          <w:highlight w:val="none"/>
        </w:rPr>
        <w:t>标的指数所包含的成份证券是证券市场的子集，尽管标的指数成份证券相对证券市场的市值覆盖率较高，但标的指数并不能完全代表整个证券市场，标的指数的回报率与整个股票市场的平均回报率可能存在偏离。</w:t>
      </w:r>
    </w:p>
    <w:p w14:paraId="6EB3293F">
      <w:pPr>
        <w:spacing w:line="312" w:lineRule="exact"/>
        <w:ind w:firstLine="420" w:firstLineChars="200"/>
        <w:contextualSpacing/>
        <w:rPr>
          <w:rFonts w:hint="eastAsia"/>
          <w:kern w:val="0"/>
          <w:highlight w:val="none"/>
        </w:rPr>
      </w:pPr>
      <w:r>
        <w:rPr>
          <w:rFonts w:hint="eastAsia"/>
          <w:kern w:val="0"/>
          <w:highlight w:val="none"/>
        </w:rPr>
        <w:t xml:space="preserve">（4）跟踪偏差风险 </w:t>
      </w:r>
    </w:p>
    <w:p w14:paraId="40C5663D">
      <w:pPr>
        <w:spacing w:line="312" w:lineRule="exact"/>
        <w:ind w:firstLine="420" w:firstLineChars="200"/>
        <w:contextualSpacing/>
        <w:rPr>
          <w:rFonts w:hint="eastAsia"/>
          <w:kern w:val="0"/>
          <w:highlight w:val="none"/>
        </w:rPr>
      </w:pPr>
      <w:r>
        <w:rPr>
          <w:rFonts w:hint="eastAsia"/>
          <w:kern w:val="0"/>
          <w:highlight w:val="none"/>
        </w:rPr>
        <w:t xml:space="preserve">本基金力争控制本基金净值增长率与业绩比较基准之间的日均跟踪偏离度的绝对值不超过 0.5%、年跟踪误差不超过 8%，但因标的指数编制规则调整或其他因素可能导致跟踪误差超过上述范围，本基金净值表现与指数价格走势可能发生较大偏离。 </w:t>
      </w:r>
    </w:p>
    <w:p w14:paraId="421F2577">
      <w:pPr>
        <w:spacing w:line="312" w:lineRule="exact"/>
        <w:ind w:firstLine="420" w:firstLineChars="200"/>
        <w:contextualSpacing/>
        <w:rPr>
          <w:rFonts w:hint="eastAsia"/>
          <w:kern w:val="0"/>
          <w:highlight w:val="none"/>
        </w:rPr>
      </w:pPr>
      <w:r>
        <w:rPr>
          <w:rFonts w:hint="eastAsia"/>
          <w:kern w:val="0"/>
          <w:highlight w:val="none"/>
        </w:rPr>
        <w:t xml:space="preserve">跟踪偏差风险是指基金业绩表现与业绩比较基准表现之间的差异及其不确定性。产生跟踪偏差风险的因素包括但不限于： </w:t>
      </w:r>
    </w:p>
    <w:p w14:paraId="2E76B36E">
      <w:pPr>
        <w:spacing w:line="312" w:lineRule="exact"/>
        <w:ind w:firstLine="420" w:firstLineChars="200"/>
        <w:contextualSpacing/>
        <w:rPr>
          <w:rFonts w:hint="eastAsia"/>
          <w:kern w:val="0"/>
          <w:highlight w:val="none"/>
        </w:rPr>
      </w:pPr>
      <w:r>
        <w:rPr>
          <w:rFonts w:hint="eastAsia"/>
          <w:kern w:val="0"/>
          <w:highlight w:val="none"/>
        </w:rPr>
        <w:t xml:space="preserve">①基金运作过程中发生的费用或成本。包括但不限于管理费、托管费、证券交易成本等各项基金费用； </w:t>
      </w:r>
    </w:p>
    <w:p w14:paraId="52D4389D">
      <w:pPr>
        <w:spacing w:line="312" w:lineRule="exact"/>
        <w:ind w:firstLine="420" w:firstLineChars="200"/>
        <w:contextualSpacing/>
        <w:rPr>
          <w:rFonts w:hint="eastAsia"/>
          <w:kern w:val="0"/>
          <w:highlight w:val="none"/>
        </w:rPr>
      </w:pPr>
      <w:r>
        <w:rPr>
          <w:rFonts w:hint="eastAsia"/>
          <w:kern w:val="0"/>
          <w:highlight w:val="none"/>
        </w:rPr>
        <w:t xml:space="preserve">②股息或利息收入。如指数成份股现金分红的股息收入，基金参与融券所获利息（如有）收入、基金因持有债券而获得的票息收入等； </w:t>
      </w:r>
    </w:p>
    <w:p w14:paraId="010FC2E4">
      <w:pPr>
        <w:spacing w:line="312" w:lineRule="exact"/>
        <w:ind w:firstLine="420" w:firstLineChars="200"/>
        <w:contextualSpacing/>
        <w:rPr>
          <w:rFonts w:hint="eastAsia"/>
          <w:kern w:val="0"/>
          <w:highlight w:val="none"/>
        </w:rPr>
      </w:pPr>
      <w:r>
        <w:rPr>
          <w:rFonts w:hint="eastAsia"/>
          <w:kern w:val="0"/>
          <w:highlight w:val="none"/>
        </w:rPr>
        <w:t xml:space="preserve">③因新股市值配售收益等因素，导致基金收益率超过标的指数收益率，产生正的跟踪偏离度； </w:t>
      </w:r>
    </w:p>
    <w:p w14:paraId="35A24D2E">
      <w:pPr>
        <w:spacing w:line="312" w:lineRule="exact"/>
        <w:ind w:firstLine="420" w:firstLineChars="200"/>
        <w:contextualSpacing/>
        <w:rPr>
          <w:rFonts w:hint="eastAsia"/>
          <w:kern w:val="0"/>
          <w:highlight w:val="none"/>
        </w:rPr>
      </w:pPr>
      <w:r>
        <w:rPr>
          <w:rFonts w:hint="eastAsia"/>
          <w:kern w:val="0"/>
          <w:highlight w:val="none"/>
        </w:rPr>
        <w:t xml:space="preserve">④当标的指数调整成份股构成，或成份股公司发生配股、增发等行为导致该成份股在指数中的权重发生变化，或标的指数变更编制方法时，基金在相应的组合调整中可能暂时扩大与标的指数的构成差异，而且会产生相应的交易成本，导致跟踪偏离度和跟踪误差扩大； </w:t>
      </w:r>
    </w:p>
    <w:p w14:paraId="6BB86D3D">
      <w:pPr>
        <w:spacing w:line="312" w:lineRule="exact"/>
        <w:ind w:firstLine="420" w:firstLineChars="200"/>
        <w:contextualSpacing/>
        <w:rPr>
          <w:rFonts w:hint="eastAsia"/>
          <w:kern w:val="0"/>
          <w:highlight w:val="none"/>
        </w:rPr>
      </w:pPr>
      <w:r>
        <w:rPr>
          <w:rFonts w:hint="eastAsia"/>
          <w:kern w:val="0"/>
          <w:highlight w:val="none"/>
        </w:rPr>
        <w:t xml:space="preserve">⑤基金发生申购或赎回。本基金在实际管理过程中由于投资者申购而增加的资金可能不能及时地转化为目标指数的成份股票、或在面临投资者赎回时无法将股票及时地转化为现金，这些情况使得本基金在跟踪指数时存在一定的跟踪偏离风险； </w:t>
      </w:r>
    </w:p>
    <w:p w14:paraId="7A189D86">
      <w:pPr>
        <w:spacing w:line="312" w:lineRule="exact"/>
        <w:ind w:firstLine="420" w:firstLineChars="200"/>
        <w:contextualSpacing/>
        <w:rPr>
          <w:rFonts w:hint="eastAsia"/>
          <w:kern w:val="0"/>
          <w:highlight w:val="none"/>
        </w:rPr>
      </w:pPr>
      <w:r>
        <w:rPr>
          <w:rFonts w:hint="eastAsia"/>
          <w:kern w:val="0"/>
          <w:highlight w:val="none"/>
        </w:rPr>
        <w:t xml:space="preserve">⑥在指数化投资过程中，基金管理人对指数基金的管理能力，如跟踪技术手段、买入卖出的时机选择等都会对本基金的收益产生影响，从而影响本基金对业绩比较基准的跟踪程度； </w:t>
      </w:r>
    </w:p>
    <w:p w14:paraId="0013FC41">
      <w:pPr>
        <w:spacing w:line="312" w:lineRule="exact"/>
        <w:ind w:firstLine="420" w:firstLineChars="200"/>
        <w:contextualSpacing/>
        <w:rPr>
          <w:rFonts w:hint="eastAsia"/>
          <w:kern w:val="0"/>
          <w:highlight w:val="none"/>
        </w:rPr>
      </w:pPr>
      <w:r>
        <w:rPr>
          <w:rFonts w:hint="eastAsia"/>
          <w:kern w:val="0"/>
          <w:highlight w:val="none"/>
        </w:rPr>
        <w:t xml:space="preserve">⑦其他因素产生的偏离。如因受到最低买入股数的限制，基金投资组合中个别股票的持有比例与标的指数中该股票的权重可能不完全相同；因缺乏低成本的卖空、对冲机制及其他工具造成的指数跟踪成本较大；因指数发布机构指数编制错误等产生的跟踪偏离度与跟踪误差。 </w:t>
      </w:r>
    </w:p>
    <w:p w14:paraId="0CE0238C">
      <w:pPr>
        <w:spacing w:line="312" w:lineRule="exact"/>
        <w:ind w:firstLine="420" w:firstLineChars="200"/>
        <w:contextualSpacing/>
        <w:rPr>
          <w:rFonts w:hint="eastAsia"/>
          <w:kern w:val="0"/>
          <w:highlight w:val="none"/>
        </w:rPr>
      </w:pPr>
      <w:r>
        <w:rPr>
          <w:rFonts w:hint="eastAsia"/>
          <w:kern w:val="0"/>
          <w:highlight w:val="none"/>
        </w:rPr>
        <w:t>（5）成份股停牌或退市的风险</w:t>
      </w:r>
    </w:p>
    <w:p w14:paraId="7BB6A690">
      <w:pPr>
        <w:spacing w:line="312" w:lineRule="exact"/>
        <w:ind w:firstLine="420" w:firstLineChars="200"/>
        <w:contextualSpacing/>
        <w:rPr>
          <w:rFonts w:hint="eastAsia"/>
          <w:kern w:val="0"/>
          <w:highlight w:val="none"/>
        </w:rPr>
      </w:pPr>
      <w:r>
        <w:rPr>
          <w:rFonts w:hint="eastAsia"/>
          <w:kern w:val="0"/>
          <w:highlight w:val="none"/>
        </w:rPr>
        <w:t xml:space="preserve">标的指数成份股可能因各种原因临时或长期停牌，发生成份股停牌时可能面临如下风险： </w:t>
      </w:r>
    </w:p>
    <w:p w14:paraId="680052D8">
      <w:pPr>
        <w:spacing w:line="312" w:lineRule="exact"/>
        <w:ind w:firstLine="420" w:firstLineChars="200"/>
        <w:contextualSpacing/>
        <w:rPr>
          <w:rFonts w:hint="eastAsia"/>
          <w:kern w:val="0"/>
          <w:highlight w:val="none"/>
        </w:rPr>
      </w:pPr>
      <w:r>
        <w:rPr>
          <w:rFonts w:hint="eastAsia"/>
          <w:kern w:val="0"/>
          <w:highlight w:val="none"/>
        </w:rPr>
        <w:t xml:space="preserve">①基金可能因无法及时调整投资组合而导致跟踪偏离度和跟踪误差扩大。 </w:t>
      </w:r>
    </w:p>
    <w:p w14:paraId="02874D32">
      <w:pPr>
        <w:spacing w:line="312" w:lineRule="exact"/>
        <w:ind w:firstLine="420" w:firstLineChars="200"/>
        <w:contextualSpacing/>
        <w:rPr>
          <w:rFonts w:hint="eastAsia"/>
          <w:kern w:val="0"/>
          <w:highlight w:val="none"/>
        </w:rPr>
      </w:pPr>
      <w:r>
        <w:rPr>
          <w:rFonts w:hint="eastAsia"/>
          <w:kern w:val="0"/>
          <w:highlight w:val="none"/>
        </w:rPr>
        <w:t xml:space="preserve">②停牌成份股可能因其权重占比、市场复牌预期等因素影响本基金收益率水平。 </w:t>
      </w:r>
    </w:p>
    <w:p w14:paraId="4A54AB3C">
      <w:pPr>
        <w:spacing w:line="312" w:lineRule="exact"/>
        <w:ind w:firstLine="420" w:firstLineChars="200"/>
        <w:contextualSpacing/>
        <w:rPr>
          <w:rFonts w:hint="eastAsia"/>
          <w:kern w:val="0"/>
          <w:highlight w:val="none"/>
        </w:rPr>
      </w:pPr>
      <w:r>
        <w:rPr>
          <w:rFonts w:hint="eastAsia"/>
          <w:kern w:val="0"/>
          <w:highlight w:val="none"/>
        </w:rPr>
        <w:t>此外，根据相关规定，本基金运作过程中，当标的指数成份股发生明显负面事件面临退市风险，且指数编制机构暂未作出调整的，基金管理人将按照持有人利益优先的原则，履行内部决策程序后可对相关成份股进行调整，从而可能产生跟踪偏离、跟踪误差控制未达约定目标的风险。</w:t>
      </w:r>
    </w:p>
    <w:p w14:paraId="4C1B4B0F">
      <w:pPr>
        <w:spacing w:line="312" w:lineRule="exact"/>
        <w:ind w:firstLine="420" w:firstLineChars="200"/>
        <w:contextualSpacing/>
        <w:rPr>
          <w:rFonts w:hint="eastAsia"/>
          <w:kern w:val="0"/>
          <w:highlight w:val="none"/>
        </w:rPr>
      </w:pPr>
      <w:r>
        <w:rPr>
          <w:rFonts w:hint="eastAsia"/>
          <w:kern w:val="0"/>
          <w:highlight w:val="none"/>
        </w:rPr>
        <w:t xml:space="preserve">2、本基金投资资产支持证券的风险 </w:t>
      </w:r>
    </w:p>
    <w:p w14:paraId="7FA532AD">
      <w:pPr>
        <w:spacing w:line="312" w:lineRule="exact"/>
        <w:ind w:firstLine="420" w:firstLineChars="200"/>
        <w:contextualSpacing/>
        <w:rPr>
          <w:rFonts w:hint="eastAsia"/>
          <w:kern w:val="0"/>
          <w:highlight w:val="none"/>
        </w:rPr>
      </w:pPr>
      <w:r>
        <w:rPr>
          <w:rFonts w:hint="eastAsia"/>
          <w:kern w:val="0"/>
          <w:highlight w:val="none"/>
        </w:rPr>
        <w:t xml:space="preserve">本基金可投资资产支持证券，资产支持证券具有一定的价格波动风险、流动性风险、信用风险等风险，本基金管理人将本着谨慎和控制风险的原则进行资产支持证券投资。 </w:t>
      </w:r>
    </w:p>
    <w:p w14:paraId="64F864E4">
      <w:pPr>
        <w:spacing w:line="312" w:lineRule="exact"/>
        <w:ind w:firstLine="420" w:firstLineChars="200"/>
        <w:contextualSpacing/>
        <w:rPr>
          <w:rFonts w:hint="eastAsia"/>
          <w:kern w:val="0"/>
          <w:highlight w:val="none"/>
        </w:rPr>
      </w:pPr>
      <w:r>
        <w:rPr>
          <w:rFonts w:hint="eastAsia"/>
          <w:kern w:val="0"/>
          <w:highlight w:val="none"/>
        </w:rPr>
        <w:t xml:space="preserve">（1）与基础资产相关的风险主要包括特定原始权益人破产风险、现金流预测风险等与基础资产相关的风险。 </w:t>
      </w:r>
    </w:p>
    <w:p w14:paraId="49FF551E">
      <w:pPr>
        <w:spacing w:line="312" w:lineRule="exact"/>
        <w:ind w:firstLine="420" w:firstLineChars="200"/>
        <w:contextualSpacing/>
        <w:rPr>
          <w:rFonts w:hint="eastAsia"/>
          <w:kern w:val="0"/>
          <w:highlight w:val="none"/>
        </w:rPr>
      </w:pPr>
      <w:r>
        <w:rPr>
          <w:rFonts w:hint="eastAsia"/>
          <w:kern w:val="0"/>
          <w:highlight w:val="none"/>
        </w:rPr>
        <w:t xml:space="preserve">（2）与资产支持证券相关的风险主要包括资产支持证券信用增级措施相关风险、资产支持证券的利率风险、资产支持证券的流动性风险、评级风险等与资产支持证券相关的风险。 </w:t>
      </w:r>
    </w:p>
    <w:p w14:paraId="7444FBA8">
      <w:pPr>
        <w:spacing w:line="312" w:lineRule="exact"/>
        <w:ind w:firstLine="420" w:firstLineChars="200"/>
        <w:contextualSpacing/>
        <w:rPr>
          <w:rFonts w:hint="eastAsia"/>
          <w:kern w:val="0"/>
          <w:highlight w:val="none"/>
        </w:rPr>
      </w:pPr>
      <w:r>
        <w:rPr>
          <w:rFonts w:hint="eastAsia"/>
          <w:kern w:val="0"/>
          <w:highlight w:val="none"/>
        </w:rPr>
        <w:t xml:space="preserve">（3）其他风险主要包括政策风险、税收风险、发生不可抗力事件的风险、技术风险和操作风险。 </w:t>
      </w:r>
    </w:p>
    <w:p w14:paraId="54B5E31D">
      <w:pPr>
        <w:spacing w:line="312" w:lineRule="exact"/>
        <w:ind w:firstLine="420" w:firstLineChars="200"/>
        <w:contextualSpacing/>
        <w:rPr>
          <w:rFonts w:hint="eastAsia"/>
          <w:kern w:val="0"/>
          <w:highlight w:val="none"/>
        </w:rPr>
      </w:pPr>
      <w:r>
        <w:rPr>
          <w:rFonts w:hint="eastAsia"/>
          <w:kern w:val="0"/>
          <w:highlight w:val="none"/>
        </w:rPr>
        <w:t xml:space="preserve">3、与投资金融衍生品相关的特定风险 </w:t>
      </w:r>
    </w:p>
    <w:p w14:paraId="713BD7D3">
      <w:pPr>
        <w:spacing w:line="312" w:lineRule="exact"/>
        <w:ind w:firstLine="420" w:firstLineChars="200"/>
        <w:contextualSpacing/>
        <w:rPr>
          <w:rFonts w:hint="eastAsia"/>
          <w:kern w:val="0"/>
          <w:highlight w:val="none"/>
        </w:rPr>
      </w:pPr>
      <w:r>
        <w:rPr>
          <w:rFonts w:hint="eastAsia"/>
          <w:kern w:val="0"/>
          <w:highlight w:val="none"/>
        </w:rPr>
        <w:t xml:space="preserve">本基金将股指期货、国债期货、股票期权纳入到投资范围中，股指期货、国债期货和股票期权作为金融衍生品，具备一些特有的风险点。 </w:t>
      </w:r>
    </w:p>
    <w:p w14:paraId="15C7DF8D">
      <w:pPr>
        <w:spacing w:line="312" w:lineRule="exact"/>
        <w:ind w:firstLine="420" w:firstLineChars="200"/>
        <w:contextualSpacing/>
        <w:rPr>
          <w:rFonts w:hint="eastAsia"/>
          <w:kern w:val="0"/>
          <w:highlight w:val="none"/>
        </w:rPr>
      </w:pPr>
      <w:r>
        <w:rPr>
          <w:rFonts w:hint="eastAsia"/>
          <w:kern w:val="0"/>
          <w:highlight w:val="none"/>
        </w:rPr>
        <w:t xml:space="preserve">（1）参与股指期货、国债期货交易的特定风险 </w:t>
      </w:r>
    </w:p>
    <w:p w14:paraId="41F7446E">
      <w:pPr>
        <w:spacing w:line="312" w:lineRule="exact"/>
        <w:ind w:firstLine="420" w:firstLineChars="200"/>
        <w:contextualSpacing/>
        <w:rPr>
          <w:rFonts w:hint="eastAsia"/>
          <w:kern w:val="0"/>
          <w:highlight w:val="none"/>
        </w:rPr>
      </w:pPr>
      <w:r>
        <w:rPr>
          <w:rFonts w:hint="eastAsia"/>
          <w:kern w:val="0"/>
          <w:highlight w:val="none"/>
        </w:rPr>
        <w:t xml:space="preserve">①期货采用保证金交易制度，由于保证金交易具有杠杆性，当出现不利行情时，微小的变动就可能会使投资人权益遭受较大损失。同时，期货采用每日无负债结算制度，如出现极端行情，市场持续向不利方向波动导致保证金不足，在无法及时补足保证金的情形下，保证金账户将被强制平仓，可能给基金净值带来重大损失。 </w:t>
      </w:r>
    </w:p>
    <w:p w14:paraId="40990423">
      <w:pPr>
        <w:spacing w:line="312" w:lineRule="exact"/>
        <w:ind w:firstLine="420" w:firstLineChars="200"/>
        <w:contextualSpacing/>
        <w:rPr>
          <w:rFonts w:hint="eastAsia"/>
          <w:kern w:val="0"/>
          <w:highlight w:val="none"/>
        </w:rPr>
      </w:pPr>
      <w:r>
        <w:rPr>
          <w:rFonts w:hint="eastAsia"/>
          <w:kern w:val="0"/>
          <w:highlight w:val="none"/>
        </w:rPr>
        <w:t xml:space="preserve">②期货合约价格与标的价格之间的价格差的波动所造成的基差风险。因存在基差风险，在进行金融衍生品合约展期的过程中，基金资产可能因基差异常变动而遭受展期风险。 </w:t>
      </w:r>
    </w:p>
    <w:p w14:paraId="018E36EC">
      <w:pPr>
        <w:spacing w:line="312" w:lineRule="exact"/>
        <w:ind w:firstLine="420" w:firstLineChars="200"/>
        <w:contextualSpacing/>
        <w:rPr>
          <w:rFonts w:hint="eastAsia"/>
          <w:kern w:val="0"/>
          <w:highlight w:val="none"/>
        </w:rPr>
      </w:pPr>
      <w:r>
        <w:rPr>
          <w:rFonts w:hint="eastAsia"/>
          <w:kern w:val="0"/>
          <w:highlight w:val="none"/>
        </w:rPr>
        <w:t>③第三方风险。包括对手方风险和连带风险。</w:t>
      </w:r>
    </w:p>
    <w:p w14:paraId="7081307F">
      <w:pPr>
        <w:spacing w:line="312" w:lineRule="exact"/>
        <w:ind w:firstLine="420" w:firstLineChars="200"/>
        <w:contextualSpacing/>
        <w:rPr>
          <w:rFonts w:hint="eastAsia"/>
          <w:kern w:val="0"/>
          <w:highlight w:val="none"/>
        </w:rPr>
      </w:pPr>
      <w:r>
        <w:rPr>
          <w:rFonts w:hint="eastAsia"/>
          <w:kern w:val="0"/>
          <w:highlight w:val="none"/>
        </w:rPr>
        <w:t xml:space="preserve">ⅰ对手方风险。基金管理人运用基金资产投资于金融衍生品合约，会尽力选择资信状况优良、风险控制能力强的经纪商，但不能杜绝因所选择的经纪商在交易过程中存在违法、违规经营行为或破产清算导致基金资产遭受损失。 </w:t>
      </w:r>
    </w:p>
    <w:p w14:paraId="20427145">
      <w:pPr>
        <w:spacing w:line="312" w:lineRule="exact"/>
        <w:ind w:firstLine="420" w:firstLineChars="200"/>
        <w:contextualSpacing/>
        <w:rPr>
          <w:rFonts w:hint="eastAsia"/>
          <w:kern w:val="0"/>
          <w:highlight w:val="none"/>
        </w:rPr>
      </w:pPr>
      <w:r>
        <w:rPr>
          <w:rFonts w:hint="eastAsia"/>
          <w:kern w:val="0"/>
          <w:highlight w:val="none"/>
        </w:rPr>
        <w:t xml:space="preserve">ⅱ连带风险。为基金资产交易金融衍生品进行结算的交易所或登记公司会员单位，或该会员单位下的其他投资者出现保证金不足、又未能在规定的时间内补足，或因其他原因导致相关交易场所对该会员下的经纪账户强行平仓时，基金资产可能因相关交易保证金头寸被连带强行平仓而遭受损失。 </w:t>
      </w:r>
    </w:p>
    <w:p w14:paraId="1A00DEC6">
      <w:pPr>
        <w:spacing w:line="312" w:lineRule="exact"/>
        <w:ind w:firstLine="420" w:firstLineChars="200"/>
        <w:contextualSpacing/>
        <w:rPr>
          <w:rFonts w:hint="eastAsia"/>
          <w:kern w:val="0"/>
          <w:highlight w:val="none"/>
        </w:rPr>
      </w:pPr>
      <w:r>
        <w:rPr>
          <w:rFonts w:hint="eastAsia"/>
          <w:kern w:val="0"/>
          <w:highlight w:val="none"/>
        </w:rPr>
        <w:t xml:space="preserve">（2）投资股票期权的特定风险 </w:t>
      </w:r>
    </w:p>
    <w:p w14:paraId="697C0198">
      <w:pPr>
        <w:spacing w:line="312" w:lineRule="exact"/>
        <w:ind w:firstLine="420" w:firstLineChars="200"/>
        <w:contextualSpacing/>
        <w:rPr>
          <w:rFonts w:hint="eastAsia"/>
          <w:kern w:val="0"/>
          <w:highlight w:val="none"/>
        </w:rPr>
      </w:pPr>
      <w:r>
        <w:rPr>
          <w:rFonts w:hint="eastAsia"/>
          <w:kern w:val="0"/>
          <w:highlight w:val="none"/>
        </w:rPr>
        <w:t xml:space="preserve">投资股票期权所面临的主要风险是股票期权价格波动带来的市场风险；因保证金不足、备兑证券数量不足或持仓超限而导致的强行平仓风险；股票期权具有杠杆性，当出现不利行情时，微小的变动可能会使投资人权益遭受较大损失；包括对手方风险和连带风险在内的第三方风险；以及各类操作风险。 </w:t>
      </w:r>
    </w:p>
    <w:p w14:paraId="14D8C3DC">
      <w:pPr>
        <w:spacing w:line="312" w:lineRule="exact"/>
        <w:ind w:firstLine="420" w:firstLineChars="200"/>
        <w:contextualSpacing/>
        <w:rPr>
          <w:rFonts w:hint="eastAsia"/>
          <w:kern w:val="0"/>
          <w:highlight w:val="none"/>
        </w:rPr>
      </w:pPr>
      <w:r>
        <w:rPr>
          <w:rFonts w:hint="eastAsia"/>
          <w:kern w:val="0"/>
          <w:highlight w:val="none"/>
        </w:rPr>
        <w:t xml:space="preserve">4、本基金投资存托凭证的风险 </w:t>
      </w:r>
    </w:p>
    <w:p w14:paraId="19C742AC">
      <w:pPr>
        <w:spacing w:line="312" w:lineRule="exact"/>
        <w:ind w:firstLine="420" w:firstLineChars="200"/>
        <w:contextualSpacing/>
        <w:rPr>
          <w:rFonts w:hint="eastAsia"/>
          <w:kern w:val="0"/>
          <w:highlight w:val="none"/>
        </w:rPr>
      </w:pPr>
      <w:r>
        <w:rPr>
          <w:rFonts w:hint="eastAsia"/>
          <w:kern w:val="0"/>
          <w:highlight w:val="none"/>
        </w:rPr>
        <w:t xml:space="preserve">本基金参与存托凭证的投资，有可能出现股价波动较大的情况，投资者有可能面临价格大幅波动的风险。 </w:t>
      </w:r>
    </w:p>
    <w:p w14:paraId="44B81EB0">
      <w:pPr>
        <w:spacing w:line="312" w:lineRule="exact"/>
        <w:ind w:firstLine="420" w:firstLineChars="200"/>
        <w:contextualSpacing/>
        <w:rPr>
          <w:rFonts w:hint="eastAsia"/>
          <w:kern w:val="0"/>
          <w:highlight w:val="none"/>
        </w:rPr>
      </w:pPr>
      <w:r>
        <w:rPr>
          <w:rFonts w:hint="eastAsia"/>
          <w:kern w:val="0"/>
          <w:highlight w:val="none"/>
        </w:rPr>
        <w:t xml:space="preserve">（1）发行企业可能尚处于初步发展阶段，具有研发投入规模大、盈利周期长等特点，可能存在公司发行并上市时尚未盈利，上市后仍持续亏损的情形，也可能给因重大技术、相关政策变化出现经营风险，导致存托凭证价格波动； </w:t>
      </w:r>
    </w:p>
    <w:p w14:paraId="321635AB">
      <w:pPr>
        <w:spacing w:line="312" w:lineRule="exact"/>
        <w:ind w:firstLine="420" w:firstLineChars="200"/>
        <w:contextualSpacing/>
        <w:rPr>
          <w:rFonts w:hint="eastAsia"/>
          <w:kern w:val="0"/>
          <w:highlight w:val="none"/>
        </w:rPr>
      </w:pPr>
      <w:r>
        <w:rPr>
          <w:rFonts w:hint="eastAsia"/>
          <w:kern w:val="0"/>
          <w:highlight w:val="none"/>
        </w:rPr>
        <w:t xml:space="preserve">（2）存托凭证持有人实际享有的权益与境外基础证券持有人的权益虽然基本相当，但并不等同于直接持有境外基础证券，存托凭证存续期间，其项目内容可能发生重大变化，包括更换存托人、主动退市等，导致投资者面临较大的政策风险、不可抗力风险； </w:t>
      </w:r>
    </w:p>
    <w:p w14:paraId="465882B4">
      <w:pPr>
        <w:spacing w:line="312" w:lineRule="exact"/>
        <w:ind w:firstLine="420" w:firstLineChars="200"/>
        <w:contextualSpacing/>
        <w:rPr>
          <w:rFonts w:hint="eastAsia"/>
          <w:kern w:val="0"/>
          <w:highlight w:val="none"/>
        </w:rPr>
      </w:pPr>
      <w:r>
        <w:rPr>
          <w:rFonts w:hint="eastAsia"/>
          <w:kern w:val="0"/>
          <w:highlight w:val="none"/>
        </w:rPr>
        <w:t xml:space="preserve">（3）存托凭证的未来交易活跃程度、价格决定机制、投资者关注度等均存在较大不确定性。同时，存托凭证交易框架中涉及发行人、存托机构、托管机构等多个主体，其交易结构及原理更为复杂。本基金管理人将本着谨慎和控制风险的原则进行存托凭证投资。 </w:t>
      </w:r>
    </w:p>
    <w:p w14:paraId="4F1E59DE">
      <w:pPr>
        <w:spacing w:line="312" w:lineRule="exact"/>
        <w:ind w:firstLine="420" w:firstLineChars="200"/>
        <w:contextualSpacing/>
        <w:rPr>
          <w:rFonts w:hint="eastAsia"/>
          <w:kern w:val="0"/>
          <w:highlight w:val="none"/>
        </w:rPr>
      </w:pPr>
      <w:r>
        <w:rPr>
          <w:rFonts w:hint="eastAsia"/>
          <w:kern w:val="0"/>
          <w:highlight w:val="none"/>
        </w:rPr>
        <w:t xml:space="preserve">5、参与转融通证券出借业务风险 </w:t>
      </w:r>
    </w:p>
    <w:p w14:paraId="2C9AE2FA">
      <w:pPr>
        <w:spacing w:line="312" w:lineRule="exact"/>
        <w:ind w:firstLine="420" w:firstLineChars="200"/>
        <w:contextualSpacing/>
        <w:rPr>
          <w:rFonts w:hint="eastAsia"/>
          <w:kern w:val="0"/>
          <w:highlight w:val="none"/>
        </w:rPr>
      </w:pPr>
      <w:r>
        <w:rPr>
          <w:rFonts w:hint="eastAsia"/>
          <w:kern w:val="0"/>
          <w:highlight w:val="none"/>
        </w:rPr>
        <w:t xml:space="preserve">本基金可参与转融通证券出借业务，面临的风险包括但不限于： </w:t>
      </w:r>
    </w:p>
    <w:p w14:paraId="617BF8A7">
      <w:pPr>
        <w:spacing w:line="312" w:lineRule="exact"/>
        <w:ind w:firstLine="420" w:firstLineChars="200"/>
        <w:contextualSpacing/>
        <w:rPr>
          <w:rFonts w:hint="eastAsia"/>
          <w:kern w:val="0"/>
          <w:highlight w:val="none"/>
        </w:rPr>
      </w:pPr>
      <w:r>
        <w:rPr>
          <w:rFonts w:hint="eastAsia"/>
          <w:kern w:val="0"/>
          <w:highlight w:val="none"/>
        </w:rPr>
        <w:t>（1）流动性风险</w:t>
      </w:r>
    </w:p>
    <w:p w14:paraId="3256D1D9">
      <w:pPr>
        <w:spacing w:line="312" w:lineRule="exact"/>
        <w:ind w:firstLine="420" w:firstLineChars="200"/>
        <w:contextualSpacing/>
        <w:rPr>
          <w:rFonts w:hint="eastAsia"/>
          <w:kern w:val="0"/>
          <w:highlight w:val="none"/>
        </w:rPr>
      </w:pPr>
      <w:r>
        <w:rPr>
          <w:rFonts w:hint="eastAsia"/>
          <w:kern w:val="0"/>
          <w:highlight w:val="none"/>
        </w:rPr>
        <w:t xml:space="preserve">面临大额赎回时，可能因证券出借原因，无法及时收回出借证券、无法及时变现支付赎回对价的风险。 </w:t>
      </w:r>
    </w:p>
    <w:p w14:paraId="16CC289B">
      <w:pPr>
        <w:spacing w:line="312" w:lineRule="exact"/>
        <w:ind w:firstLine="420" w:firstLineChars="200"/>
        <w:contextualSpacing/>
        <w:rPr>
          <w:rFonts w:hint="eastAsia"/>
          <w:kern w:val="0"/>
          <w:highlight w:val="none"/>
        </w:rPr>
      </w:pPr>
      <w:r>
        <w:rPr>
          <w:rFonts w:hint="eastAsia"/>
          <w:kern w:val="0"/>
          <w:highlight w:val="none"/>
        </w:rPr>
        <w:t xml:space="preserve">（2）信用风险 </w:t>
      </w:r>
    </w:p>
    <w:p w14:paraId="45367637">
      <w:pPr>
        <w:spacing w:line="312" w:lineRule="exact"/>
        <w:ind w:firstLine="420" w:firstLineChars="200"/>
        <w:contextualSpacing/>
        <w:rPr>
          <w:rFonts w:hint="eastAsia"/>
          <w:kern w:val="0"/>
          <w:highlight w:val="none"/>
        </w:rPr>
      </w:pPr>
      <w:r>
        <w:rPr>
          <w:rFonts w:hint="eastAsia"/>
          <w:kern w:val="0"/>
          <w:highlight w:val="none"/>
        </w:rPr>
        <w:t xml:space="preserve">证券出借对手方可能无法及时归还证券，无法支付相应权益补偿及借券费用的风险。 </w:t>
      </w:r>
    </w:p>
    <w:p w14:paraId="1084F214">
      <w:pPr>
        <w:spacing w:line="312" w:lineRule="exact"/>
        <w:ind w:firstLine="420" w:firstLineChars="200"/>
        <w:contextualSpacing/>
        <w:rPr>
          <w:rFonts w:hint="eastAsia"/>
          <w:kern w:val="0"/>
          <w:highlight w:val="none"/>
        </w:rPr>
      </w:pPr>
      <w:r>
        <w:rPr>
          <w:rFonts w:hint="eastAsia"/>
          <w:kern w:val="0"/>
          <w:highlight w:val="none"/>
        </w:rPr>
        <w:t xml:space="preserve">（3）市场风险 </w:t>
      </w:r>
    </w:p>
    <w:p w14:paraId="53A6BA7B">
      <w:pPr>
        <w:spacing w:line="312" w:lineRule="exact"/>
        <w:ind w:firstLine="420" w:firstLineChars="200"/>
        <w:contextualSpacing/>
        <w:rPr>
          <w:rFonts w:hint="eastAsia"/>
          <w:kern w:val="0"/>
          <w:highlight w:val="none"/>
        </w:rPr>
      </w:pPr>
      <w:r>
        <w:rPr>
          <w:rFonts w:hint="eastAsia"/>
          <w:kern w:val="0"/>
          <w:highlight w:val="none"/>
        </w:rPr>
        <w:t xml:space="preserve">证券出借后，可能面临出借期间无法及时处置证券的市场风险； </w:t>
      </w:r>
    </w:p>
    <w:p w14:paraId="004F6D57">
      <w:pPr>
        <w:spacing w:line="312" w:lineRule="exact"/>
        <w:ind w:firstLine="420" w:firstLineChars="200"/>
        <w:contextualSpacing/>
        <w:rPr>
          <w:rFonts w:hint="eastAsia"/>
          <w:kern w:val="0"/>
          <w:highlight w:val="none"/>
        </w:rPr>
      </w:pPr>
      <w:r>
        <w:rPr>
          <w:rFonts w:hint="eastAsia"/>
          <w:kern w:val="0"/>
          <w:highlight w:val="none"/>
        </w:rPr>
        <w:t xml:space="preserve">（4）其他风险，如宏观政策变化、证券市场剧烈波动、个别证券出现重大事件、交易对手方违约、业务规则调整、信息技术不能正常运行等风险。 </w:t>
      </w:r>
    </w:p>
    <w:p w14:paraId="263980EB">
      <w:pPr>
        <w:spacing w:line="312" w:lineRule="exact"/>
        <w:ind w:firstLine="420" w:firstLineChars="200"/>
        <w:contextualSpacing/>
        <w:rPr>
          <w:rFonts w:hint="eastAsia"/>
          <w:kern w:val="0"/>
          <w:highlight w:val="none"/>
        </w:rPr>
      </w:pPr>
      <w:r>
        <w:rPr>
          <w:rFonts w:hint="eastAsia"/>
          <w:kern w:val="0"/>
          <w:highlight w:val="none"/>
        </w:rPr>
        <w:t>6、投资北京证券交易所股票的风险</w:t>
      </w:r>
    </w:p>
    <w:p w14:paraId="3F676A6C">
      <w:pPr>
        <w:spacing w:line="312" w:lineRule="exact"/>
        <w:ind w:firstLine="420" w:firstLineChars="200"/>
        <w:contextualSpacing/>
        <w:rPr>
          <w:rFonts w:hint="eastAsia"/>
          <w:kern w:val="0"/>
          <w:highlight w:val="none"/>
        </w:rPr>
      </w:pPr>
      <w:r>
        <w:rPr>
          <w:rFonts w:hint="eastAsia"/>
          <w:kern w:val="0"/>
          <w:highlight w:val="none"/>
        </w:rPr>
        <w:t>本基金投资北京证券交易所股票，将承担因投资标的、市场制度以及交易规则等差异带来的特有风险，包括不限于如下特殊风险：</w:t>
      </w:r>
    </w:p>
    <w:p w14:paraId="336F1A45">
      <w:pPr>
        <w:spacing w:line="312" w:lineRule="exact"/>
        <w:ind w:firstLine="420" w:firstLineChars="200"/>
        <w:contextualSpacing/>
        <w:rPr>
          <w:rFonts w:hint="eastAsia"/>
          <w:kern w:val="0"/>
          <w:highlight w:val="none"/>
        </w:rPr>
      </w:pPr>
      <w:r>
        <w:rPr>
          <w:rFonts w:hint="eastAsia"/>
          <w:kern w:val="0"/>
          <w:highlight w:val="none"/>
        </w:rPr>
        <w:t>（1）流动性风险</w:t>
      </w:r>
    </w:p>
    <w:p w14:paraId="42EB471F">
      <w:pPr>
        <w:spacing w:line="312" w:lineRule="exact"/>
        <w:ind w:firstLine="420" w:firstLineChars="200"/>
        <w:contextualSpacing/>
        <w:rPr>
          <w:rFonts w:hint="eastAsia"/>
          <w:kern w:val="0"/>
          <w:highlight w:val="none"/>
        </w:rPr>
      </w:pPr>
      <w:r>
        <w:rPr>
          <w:rFonts w:hint="eastAsia"/>
          <w:kern w:val="0"/>
          <w:highlight w:val="none"/>
        </w:rPr>
        <w:t>北京证券交易所投资者门槛较高，流动性可能弱于A股其他板块，且机构投资者可能在特定阶段对北京证券交易所股票形成一致性预期，存在基金持有股票无法正常成交的风险。</w:t>
      </w:r>
    </w:p>
    <w:p w14:paraId="770C582F">
      <w:pPr>
        <w:spacing w:line="312" w:lineRule="exact"/>
        <w:ind w:firstLine="420" w:firstLineChars="200"/>
        <w:contextualSpacing/>
        <w:rPr>
          <w:rFonts w:hint="eastAsia"/>
          <w:kern w:val="0"/>
          <w:highlight w:val="none"/>
        </w:rPr>
      </w:pPr>
      <w:r>
        <w:rPr>
          <w:rFonts w:hint="eastAsia"/>
          <w:kern w:val="0"/>
          <w:highlight w:val="none"/>
        </w:rPr>
        <w:t>（2）转板风险</w:t>
      </w:r>
    </w:p>
    <w:p w14:paraId="49494459">
      <w:pPr>
        <w:spacing w:line="312" w:lineRule="exact"/>
        <w:ind w:firstLine="420" w:firstLineChars="200"/>
        <w:contextualSpacing/>
        <w:rPr>
          <w:rFonts w:hint="eastAsia"/>
          <w:kern w:val="0"/>
          <w:highlight w:val="none"/>
        </w:rPr>
      </w:pPr>
      <w:r>
        <w:rPr>
          <w:rFonts w:hint="eastAsia"/>
          <w:kern w:val="0"/>
          <w:highlight w:val="none"/>
        </w:rPr>
        <w:t>基金所投资北京证券交易所上市的公司在满足证券法和证监会规定的基本上市条件和符合交易所规定的具体上市条件可申请转板上市。交易所需审核并做出是否同意上市的决定。无论上市公司是否转板成功，均可能引起基金净值波动。</w:t>
      </w:r>
    </w:p>
    <w:p w14:paraId="68075F06">
      <w:pPr>
        <w:spacing w:line="312" w:lineRule="exact"/>
        <w:ind w:firstLine="420" w:firstLineChars="200"/>
        <w:contextualSpacing/>
        <w:rPr>
          <w:rFonts w:hint="eastAsia"/>
          <w:kern w:val="0"/>
          <w:highlight w:val="none"/>
        </w:rPr>
      </w:pPr>
      <w:r>
        <w:rPr>
          <w:rFonts w:hint="eastAsia"/>
          <w:kern w:val="0"/>
          <w:highlight w:val="none"/>
        </w:rPr>
        <w:t>（3）投资集中风险</w:t>
      </w:r>
    </w:p>
    <w:p w14:paraId="511AF7E3">
      <w:pPr>
        <w:spacing w:line="312" w:lineRule="exact"/>
        <w:ind w:firstLine="420" w:firstLineChars="200"/>
        <w:contextualSpacing/>
        <w:rPr>
          <w:rFonts w:hint="eastAsia"/>
          <w:kern w:val="0"/>
          <w:highlight w:val="none"/>
        </w:rPr>
      </w:pPr>
      <w:r>
        <w:rPr>
          <w:rFonts w:hint="eastAsia"/>
          <w:kern w:val="0"/>
          <w:highlight w:val="none"/>
        </w:rPr>
        <w:t>因北京证券交易所上市的公司大部分为新兴产业公司，其商业模式、盈利风险、业绩波动等特征较为相似，基金难以通过分散投资降低投资风险，若股票价格同向波动，将引起基金净值波动。</w:t>
      </w:r>
    </w:p>
    <w:p w14:paraId="1A24EA6C">
      <w:pPr>
        <w:spacing w:line="312" w:lineRule="exact"/>
        <w:ind w:firstLine="420" w:firstLineChars="200"/>
        <w:contextualSpacing/>
        <w:rPr>
          <w:rFonts w:hint="eastAsia"/>
          <w:kern w:val="0"/>
          <w:highlight w:val="none"/>
        </w:rPr>
      </w:pPr>
      <w:r>
        <w:rPr>
          <w:rFonts w:hint="eastAsia"/>
          <w:kern w:val="0"/>
          <w:highlight w:val="none"/>
        </w:rPr>
        <w:t>（4）经营风险</w:t>
      </w:r>
    </w:p>
    <w:p w14:paraId="53DDC8E3">
      <w:pPr>
        <w:spacing w:line="312" w:lineRule="exact"/>
        <w:ind w:firstLine="420" w:firstLineChars="200"/>
        <w:contextualSpacing/>
        <w:rPr>
          <w:rFonts w:hint="eastAsia"/>
          <w:kern w:val="0"/>
          <w:highlight w:val="none"/>
        </w:rPr>
      </w:pPr>
      <w:r>
        <w:rPr>
          <w:rFonts w:hint="eastAsia"/>
          <w:kern w:val="0"/>
          <w:highlight w:val="none"/>
        </w:rPr>
        <w:t>因北京证券交易所上市的公司大部分为新兴产业公司，其商业模式和盈利能力存在较高的不确定性，可能面临一定的经营风险，给基金净值带来不利影响。</w:t>
      </w:r>
    </w:p>
    <w:p w14:paraId="71D1235C">
      <w:pPr>
        <w:spacing w:line="312" w:lineRule="exact"/>
        <w:ind w:firstLine="420" w:firstLineChars="200"/>
        <w:contextualSpacing/>
        <w:rPr>
          <w:rFonts w:hint="eastAsia"/>
          <w:kern w:val="0"/>
          <w:highlight w:val="none"/>
        </w:rPr>
      </w:pPr>
      <w:r>
        <w:rPr>
          <w:rFonts w:hint="eastAsia"/>
          <w:kern w:val="0"/>
          <w:highlight w:val="none"/>
        </w:rPr>
        <w:t>（5）退市风险</w:t>
      </w:r>
    </w:p>
    <w:p w14:paraId="49C1E9B2">
      <w:pPr>
        <w:spacing w:line="312" w:lineRule="exact"/>
        <w:ind w:firstLine="420" w:firstLineChars="200"/>
        <w:contextualSpacing/>
        <w:rPr>
          <w:rFonts w:hint="eastAsia"/>
          <w:kern w:val="0"/>
          <w:highlight w:val="none"/>
        </w:rPr>
      </w:pPr>
      <w:r>
        <w:rPr>
          <w:rFonts w:hint="eastAsia"/>
          <w:kern w:val="0"/>
          <w:highlight w:val="none"/>
        </w:rPr>
        <w:t>北京证券交易所上市的公司后续经营期间如果触及相关法律法规、证监会及交易所等规定的退市情形，可能面临被终止上市的风险，从而可能给基金净值带来不利影响。</w:t>
      </w:r>
    </w:p>
    <w:p w14:paraId="055975C3">
      <w:pPr>
        <w:spacing w:line="312" w:lineRule="exact"/>
        <w:ind w:firstLine="420" w:firstLineChars="200"/>
        <w:contextualSpacing/>
        <w:rPr>
          <w:rFonts w:hint="eastAsia"/>
          <w:kern w:val="0"/>
          <w:highlight w:val="none"/>
        </w:rPr>
      </w:pPr>
      <w:r>
        <w:rPr>
          <w:rFonts w:hint="eastAsia"/>
          <w:kern w:val="0"/>
          <w:highlight w:val="none"/>
        </w:rPr>
        <w:t>（6）股价波动风险</w:t>
      </w:r>
    </w:p>
    <w:p w14:paraId="29B75618">
      <w:pPr>
        <w:spacing w:line="312" w:lineRule="exact"/>
        <w:ind w:firstLine="420" w:firstLineChars="200"/>
        <w:contextualSpacing/>
        <w:rPr>
          <w:rFonts w:hint="eastAsia"/>
          <w:kern w:val="0"/>
          <w:highlight w:val="none"/>
        </w:rPr>
      </w:pPr>
      <w:r>
        <w:rPr>
          <w:rFonts w:hint="eastAsia"/>
          <w:kern w:val="0"/>
          <w:highlight w:val="none"/>
        </w:rPr>
        <w:t>北京证券交易所股票涨跌幅限制比例区间相对较大，股票上市交易首日不设涨跌幅限制，其后涨跌幅限制为30%，股价大幅波动的风险可能大于A股其他板块，存在北京证券交易所股票价格波幅较大而导致基金亏损的风险。</w:t>
      </w:r>
    </w:p>
    <w:p w14:paraId="46D4214D">
      <w:pPr>
        <w:spacing w:line="312" w:lineRule="exact"/>
        <w:ind w:firstLine="420" w:firstLineChars="200"/>
        <w:contextualSpacing/>
        <w:rPr>
          <w:rFonts w:hint="eastAsia"/>
          <w:kern w:val="0"/>
          <w:highlight w:val="none"/>
        </w:rPr>
      </w:pPr>
      <w:r>
        <w:rPr>
          <w:rFonts w:hint="eastAsia"/>
          <w:kern w:val="0"/>
          <w:highlight w:val="none"/>
        </w:rPr>
        <w:t>（7）投资战略配售股票风险</w:t>
      </w:r>
    </w:p>
    <w:p w14:paraId="05108CE2">
      <w:pPr>
        <w:spacing w:line="312" w:lineRule="exact"/>
        <w:ind w:firstLine="420" w:firstLineChars="200"/>
        <w:contextualSpacing/>
        <w:rPr>
          <w:rFonts w:hint="eastAsia"/>
          <w:kern w:val="0"/>
          <w:highlight w:val="none"/>
        </w:rPr>
      </w:pPr>
      <w:r>
        <w:rPr>
          <w:rFonts w:hint="eastAsia"/>
          <w:kern w:val="0"/>
          <w:highlight w:val="none"/>
        </w:rPr>
        <w:t>战略配售股票在发行时明确了一定期限的锁定期，该类证券在锁定期内的流动性较差，存在市场或个股出现大幅调整时无法及时卖出的风险。</w:t>
      </w:r>
    </w:p>
    <w:p w14:paraId="484BFFB2">
      <w:pPr>
        <w:spacing w:line="312" w:lineRule="exact"/>
        <w:ind w:firstLine="420" w:firstLineChars="200"/>
        <w:contextualSpacing/>
        <w:rPr>
          <w:rFonts w:hint="eastAsia"/>
          <w:kern w:val="0"/>
          <w:highlight w:val="none"/>
        </w:rPr>
      </w:pPr>
      <w:r>
        <w:rPr>
          <w:rFonts w:hint="eastAsia"/>
          <w:kern w:val="0"/>
          <w:highlight w:val="none"/>
        </w:rPr>
        <w:t>（8）政策风险</w:t>
      </w:r>
    </w:p>
    <w:p w14:paraId="77821662">
      <w:pPr>
        <w:spacing w:line="312" w:lineRule="exact"/>
        <w:ind w:firstLine="420" w:firstLineChars="200"/>
        <w:contextualSpacing/>
        <w:rPr>
          <w:rFonts w:hint="eastAsia"/>
          <w:kern w:val="0"/>
          <w:highlight w:val="none"/>
        </w:rPr>
      </w:pPr>
      <w:r>
        <w:rPr>
          <w:rFonts w:hint="eastAsia"/>
          <w:kern w:val="0"/>
          <w:highlight w:val="none"/>
        </w:rPr>
        <w:t>国家对高新技术、专精特新企业扶持力度及重视程度的变化会对北京证券交易所企业带来较大影响，国际经济形势变化对专精特新产业及北京证券交易所个股也会带来政策影响。</w:t>
      </w:r>
    </w:p>
    <w:p w14:paraId="60022370">
      <w:pPr>
        <w:spacing w:line="312" w:lineRule="exact"/>
        <w:ind w:firstLine="420" w:firstLineChars="200"/>
        <w:contextualSpacing/>
        <w:rPr>
          <w:rFonts w:hint="eastAsia"/>
          <w:kern w:val="0"/>
          <w:highlight w:val="none"/>
        </w:rPr>
      </w:pPr>
      <w:r>
        <w:rPr>
          <w:rFonts w:hint="eastAsia"/>
          <w:kern w:val="0"/>
          <w:highlight w:val="none"/>
        </w:rPr>
        <w:t xml:space="preserve">（9）监管规则变化的风险 </w:t>
      </w:r>
    </w:p>
    <w:p w14:paraId="0116B260">
      <w:pPr>
        <w:spacing w:line="312" w:lineRule="exact"/>
        <w:ind w:firstLine="420" w:firstLineChars="200"/>
        <w:contextualSpacing/>
        <w:rPr>
          <w:rFonts w:hint="eastAsia"/>
          <w:kern w:val="0"/>
          <w:highlight w:val="none"/>
        </w:rPr>
      </w:pPr>
      <w:r>
        <w:rPr>
          <w:rFonts w:hint="eastAsia"/>
          <w:kern w:val="0"/>
          <w:highlight w:val="none"/>
        </w:rPr>
        <w:t>北京证券交易所相关法律、行政法规、部门规章、规范性文件和交易所业务规则，可能根据市场情况进行修订和完善，或者补充制定新的法律法规和业务规则，可能对基金投资运作产生影响，或导致基金投资运作相应调整变化。以上所述因素可能会给本基金投资带来特殊交易风险。</w:t>
      </w:r>
    </w:p>
    <w:p w14:paraId="3832B78F">
      <w:pPr>
        <w:spacing w:line="312" w:lineRule="exact"/>
        <w:ind w:firstLine="420" w:firstLineChars="200"/>
        <w:contextualSpacing/>
        <w:rPr>
          <w:rFonts w:hint="eastAsia"/>
          <w:kern w:val="0"/>
          <w:highlight w:val="none"/>
        </w:rPr>
      </w:pPr>
      <w:r>
        <w:rPr>
          <w:rFonts w:hint="eastAsia"/>
          <w:kern w:val="0"/>
          <w:highlight w:val="none"/>
        </w:rPr>
        <w:t xml:space="preserve">7、基金合同直接终止的风险 </w:t>
      </w:r>
    </w:p>
    <w:p w14:paraId="38442CA0">
      <w:pPr>
        <w:spacing w:line="312" w:lineRule="exact"/>
        <w:ind w:firstLine="420" w:firstLineChars="200"/>
        <w:contextualSpacing/>
        <w:rPr>
          <w:rFonts w:hint="eastAsia"/>
          <w:highlight w:val="none"/>
        </w:rPr>
      </w:pPr>
      <w:r>
        <w:rPr>
          <w:rFonts w:hint="eastAsia"/>
          <w:kern w:val="0"/>
          <w:highlight w:val="none"/>
        </w:rPr>
        <w:t xml:space="preserve">本基金为发起式基金，本基金的基金合同生效之日起三年后的对应日，若基金资产净值低于两亿元的，本基金基金合同自动终止并将根据基金合同的约定进行基金财产清算，无需召开基金份额持有人大会审议，且不得通过召开基金份额持有人大会的方式延续。 </w:t>
      </w:r>
    </w:p>
    <w:p w14:paraId="44FF9CE9">
      <w:pPr>
        <w:numPr>
          <w:ilvl w:val="1"/>
          <w:numId w:val="1"/>
        </w:numPr>
        <w:spacing w:before="156" w:beforeLines="50" w:line="312" w:lineRule="exact"/>
        <w:jc w:val="left"/>
        <w:outlineLvl w:val="1"/>
        <w:rPr>
          <w:rFonts w:hAnsi="Cambria"/>
          <w:b/>
          <w:bCs/>
          <w:kern w:val="24"/>
          <w:sz w:val="24"/>
          <w:szCs w:val="32"/>
          <w:highlight w:val="none"/>
        </w:rPr>
      </w:pPr>
      <w:r>
        <w:rPr>
          <w:rFonts w:hint="eastAsia"/>
          <w:b/>
          <w:bCs/>
          <w:kern w:val="24"/>
          <w:szCs w:val="32"/>
          <w:highlight w:val="none"/>
        </w:rPr>
        <w:t xml:space="preserve">重要提示 </w:t>
      </w:r>
    </w:p>
    <w:p w14:paraId="23842DA8">
      <w:pPr>
        <w:spacing w:line="312" w:lineRule="exact"/>
        <w:ind w:firstLine="420" w:firstLineChars="200"/>
        <w:rPr>
          <w:rFonts w:hint="eastAsia"/>
          <w:kern w:val="0"/>
          <w:highlight w:val="none"/>
        </w:rPr>
      </w:pPr>
      <w:r>
        <w:rPr>
          <w:rFonts w:hint="eastAsia"/>
          <w:kern w:val="0"/>
          <w:highlight w:val="none"/>
        </w:rPr>
        <w:t>中国证监会对本基金募集的注册或核准，</w:t>
      </w:r>
      <w:r>
        <w:rPr>
          <w:szCs w:val="21"/>
          <w:highlight w:val="none"/>
        </w:rPr>
        <w:t>并不表明其对本基金的</w:t>
      </w:r>
      <w:r>
        <w:rPr>
          <w:rFonts w:hint="eastAsia"/>
          <w:szCs w:val="21"/>
          <w:highlight w:val="none"/>
        </w:rPr>
        <w:t>投资价值和市场前景</w:t>
      </w:r>
      <w:r>
        <w:rPr>
          <w:szCs w:val="21"/>
          <w:highlight w:val="none"/>
        </w:rPr>
        <w:t>做出实质性判断或保证，也不表明投资于本基金没有风险</w:t>
      </w:r>
      <w:r>
        <w:rPr>
          <w:rFonts w:hint="eastAsia"/>
          <w:kern w:val="0"/>
          <w:highlight w:val="none"/>
        </w:rPr>
        <w:t xml:space="preserve">。 </w:t>
      </w:r>
      <w:r>
        <w:rPr>
          <w:rFonts w:hint="eastAsia"/>
          <w:kern w:val="0"/>
          <w:highlight w:val="none"/>
        </w:rPr>
        <w:br w:type="textWrapping"/>
      </w:r>
      <w:r>
        <w:rPr>
          <w:rFonts w:hint="eastAsia"/>
          <w:kern w:val="0"/>
          <w:highlight w:val="none"/>
        </w:rPr>
        <w:t xml:space="preserve">　　基金管理人依照恪尽职守、诚实信用、谨慎勤勉的原则管理和运用基金财产，但不保证基金一定盈利，也不保证最低收益。 </w:t>
      </w:r>
      <w:r>
        <w:rPr>
          <w:rFonts w:hint="eastAsia"/>
          <w:kern w:val="0"/>
          <w:highlight w:val="none"/>
        </w:rPr>
        <w:br w:type="textWrapping"/>
      </w:r>
      <w:r>
        <w:rPr>
          <w:rFonts w:hint="eastAsia"/>
          <w:kern w:val="0"/>
          <w:highlight w:val="none"/>
        </w:rPr>
        <w:t>　　基金投资者自依基金合同取得基金份额，即成为基金份额持有人和基金合同的当事人。</w:t>
      </w:r>
    </w:p>
    <w:p w14:paraId="17EEF1B0">
      <w:pPr>
        <w:spacing w:line="312" w:lineRule="exact"/>
        <w:ind w:firstLine="422" w:firstLineChars="200"/>
        <w:rPr>
          <w:rFonts w:hint="eastAsia"/>
          <w:highlight w:val="none"/>
        </w:rPr>
      </w:pPr>
      <w:r>
        <w:rPr>
          <w:rFonts w:hint="eastAsia"/>
          <w:b/>
          <w:highlight w:val="none"/>
          <w:u w:val="single"/>
          <w:lang w:eastAsia="zh-Hans"/>
        </w:rPr>
        <w:t>对于因基金合同的订立、内容、履行和解释或与基金合同有关的争议，基金合同当事人应尽量通过协商、调解途径解决。不愿或者不能通过协商、调解解决的，任何一方应当将争议提交中国国际经济贸易仲裁委员会，按照中国国际经济贸易仲裁委员会届时有效的仲裁规则进行仲裁。仲裁地点为北京市。仲裁裁决是终局的，对各方当事人均有约束力。除非仲裁裁决另有规定，仲裁费和律师费由败诉方承担。</w:t>
      </w:r>
    </w:p>
    <w:p w14:paraId="537CD8C3">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其他资料查询方式</w:t>
      </w:r>
      <w:r>
        <w:rPr>
          <w:rFonts w:hint="eastAsia"/>
          <w:b/>
          <w:bCs/>
          <w:kern w:val="44"/>
          <w:szCs w:val="44"/>
          <w:highlight w:val="none"/>
        </w:rPr>
        <w:t xml:space="preserve"> </w:t>
      </w:r>
    </w:p>
    <w:p w14:paraId="1AFC39D2">
      <w:pPr>
        <w:spacing w:line="312" w:lineRule="exact"/>
        <w:ind w:firstLine="420" w:firstLineChars="200"/>
        <w:rPr>
          <w:rFonts w:hint="eastAsia"/>
          <w:highlight w:val="none"/>
        </w:rPr>
      </w:pPr>
      <w:r>
        <w:rPr>
          <w:rFonts w:hint="eastAsia"/>
          <w:kern w:val="0"/>
          <w:highlight w:val="none"/>
        </w:rPr>
        <w:t xml:space="preserve">以下资料详见基金管理人网站【www.postfund.com.cn】，客服电话【010-58511618、400-880-1618】。 </w:t>
      </w:r>
      <w:r>
        <w:rPr>
          <w:rFonts w:hint="eastAsia"/>
          <w:kern w:val="0"/>
          <w:highlight w:val="none"/>
        </w:rPr>
        <w:br w:type="textWrapping"/>
      </w:r>
      <w:r>
        <w:rPr>
          <w:rFonts w:hint="eastAsia"/>
          <w:kern w:val="0"/>
          <w:highlight w:val="none"/>
        </w:rPr>
        <w:t xml:space="preserve">　　1、基金合同、托管协议、招募说明书 </w:t>
      </w:r>
      <w:r>
        <w:rPr>
          <w:rFonts w:hint="eastAsia"/>
          <w:kern w:val="0"/>
          <w:highlight w:val="none"/>
        </w:rPr>
        <w:br w:type="textWrapping"/>
      </w:r>
      <w:r>
        <w:rPr>
          <w:rFonts w:hint="eastAsia"/>
          <w:kern w:val="0"/>
          <w:highlight w:val="none"/>
        </w:rPr>
        <w:t xml:space="preserve">　　2、定期报告，包括基金季度报告、中期报告和年度报告 </w:t>
      </w:r>
      <w:r>
        <w:rPr>
          <w:rFonts w:hint="eastAsia"/>
          <w:kern w:val="0"/>
          <w:highlight w:val="none"/>
        </w:rPr>
        <w:br w:type="textWrapping"/>
      </w:r>
      <w:r>
        <w:rPr>
          <w:rFonts w:hint="eastAsia"/>
          <w:kern w:val="0"/>
          <w:highlight w:val="none"/>
        </w:rPr>
        <w:t xml:space="preserve">　　3、基金份额净值 </w:t>
      </w:r>
      <w:r>
        <w:rPr>
          <w:rFonts w:hint="eastAsia"/>
          <w:kern w:val="0"/>
          <w:highlight w:val="none"/>
        </w:rPr>
        <w:br w:type="textWrapping"/>
      </w:r>
      <w:r>
        <w:rPr>
          <w:rFonts w:hint="eastAsia"/>
          <w:kern w:val="0"/>
          <w:highlight w:val="none"/>
        </w:rPr>
        <w:t xml:space="preserve">　　4、基金销售机构及联系方式 </w:t>
      </w:r>
      <w:r>
        <w:rPr>
          <w:rFonts w:hint="eastAsia"/>
          <w:kern w:val="0"/>
          <w:highlight w:val="none"/>
        </w:rPr>
        <w:br w:type="textWrapping"/>
      </w:r>
      <w:r>
        <w:rPr>
          <w:rFonts w:hint="eastAsia"/>
          <w:kern w:val="0"/>
          <w:highlight w:val="none"/>
        </w:rPr>
        <w:t>　　5、其他重要资料</w:t>
      </w:r>
      <w:r>
        <w:rPr>
          <w:rFonts w:hint="eastAsia"/>
          <w:highlight w:val="none"/>
          <w:lang w:eastAsia="zh-Hans"/>
        </w:rPr>
        <w:t xml:space="preserve"> </w:t>
      </w:r>
    </w:p>
    <w:p w14:paraId="79CA920C">
      <w:pPr>
        <w:numPr>
          <w:ilvl w:val="0"/>
          <w:numId w:val="1"/>
        </w:numPr>
        <w:spacing w:before="156" w:beforeLines="50" w:line="312" w:lineRule="exact"/>
        <w:jc w:val="left"/>
        <w:outlineLvl w:val="0"/>
        <w:rPr>
          <w:rFonts w:hAnsi="Cambria"/>
          <w:b/>
          <w:bCs/>
          <w:kern w:val="44"/>
          <w:szCs w:val="32"/>
          <w:highlight w:val="none"/>
        </w:rPr>
      </w:pPr>
      <w:r>
        <w:rPr>
          <w:rFonts w:hint="eastAsia"/>
          <w:b/>
          <w:bCs/>
          <w:kern w:val="44"/>
          <w:szCs w:val="32"/>
          <w:highlight w:val="none"/>
        </w:rPr>
        <w:t>其他情况说明</w:t>
      </w:r>
      <w:r>
        <w:rPr>
          <w:rFonts w:hint="eastAsia"/>
          <w:b/>
          <w:bCs/>
          <w:kern w:val="44"/>
          <w:szCs w:val="44"/>
          <w:highlight w:val="none"/>
        </w:rPr>
        <w:t xml:space="preserve"> </w:t>
      </w:r>
    </w:p>
    <w:p w14:paraId="0FAA9893">
      <w:pPr>
        <w:rPr>
          <w:rFonts w:hint="eastAsia"/>
          <w:highlight w:val="none"/>
        </w:rPr>
      </w:pPr>
      <w:r>
        <w:rPr>
          <w:rFonts w:hint="eastAsia"/>
          <w:kern w:val="0"/>
          <w:highlight w:val="none"/>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7EFA23"/>
    <w:multiLevelType w:val="singleLevel"/>
    <w:tmpl w:val="427EFA23"/>
    <w:lvl w:ilvl="0" w:tentative="0">
      <w:start w:val="1"/>
      <w:numFmt w:val="decimal"/>
      <w:suff w:val="nothing"/>
      <w:lvlText w:val="%1、"/>
      <w:lvlJc w:val="left"/>
    </w:lvl>
  </w:abstractNum>
  <w:abstractNum w:abstractNumId="1">
    <w:nsid w:val="547D73EE"/>
    <w:multiLevelType w:val="multilevel"/>
    <w:tmpl w:val="547D73EE"/>
    <w:lvl w:ilvl="0" w:tentative="0">
      <w:start w:val="1"/>
      <w:numFmt w:val="chineseCountingThousand"/>
      <w:lvlText w:val="%1、"/>
      <w:lvlJc w:val="left"/>
      <w:pPr>
        <w:ind w:left="425" w:hanging="425"/>
      </w:pPr>
      <w:rPr>
        <w:sz w:val="21"/>
        <w:szCs w:val="21"/>
      </w:rPr>
    </w:lvl>
    <w:lvl w:ilvl="1" w:tentative="0">
      <w:start w:val="1"/>
      <w:numFmt w:val="chineseCountingThousand"/>
      <w:lvlText w:val="(%2)"/>
      <w:lvlJc w:val="left"/>
      <w:pPr>
        <w:ind w:left="454" w:hanging="454"/>
      </w:pPr>
      <w:rPr>
        <w:sz w:val="21"/>
      </w:rPr>
    </w:lvl>
    <w:lvl w:ilvl="2" w:tentative="0">
      <w:start w:val="1"/>
      <w:numFmt w:val="decimal"/>
      <w:suff w:val="space"/>
      <w:lvlText w:val="%1.%2.%3"/>
      <w:lvlJc w:val="left"/>
      <w:pPr>
        <w:ind w:left="1050" w:hanging="624"/>
      </w:pPr>
      <w:rPr>
        <w:sz w:val="24"/>
        <w:szCs w:val="24"/>
      </w:rPr>
    </w:lvl>
    <w:lvl w:ilvl="3" w:tentative="0">
      <w:start w:val="1"/>
      <w:numFmt w:val="decimal"/>
      <w:suff w:val="space"/>
      <w:lvlText w:val="%1.%2.%3.%4"/>
      <w:lvlJc w:val="left"/>
      <w:pPr>
        <w:ind w:left="794" w:hanging="794"/>
      </w:pPr>
    </w:lvl>
    <w:lvl w:ilvl="4" w:tentative="0">
      <w:start w:val="1"/>
      <w:numFmt w:val="decimal"/>
      <w:suff w:val="space"/>
      <w:lvlText w:val="%1.%2.%3.%4.%5"/>
      <w:lvlJc w:val="left"/>
      <w:pPr>
        <w:ind w:left="1021" w:hanging="1021"/>
      </w:pPr>
    </w:lvl>
    <w:lvl w:ilvl="5" w:tentative="0">
      <w:start w:val="1"/>
      <w:numFmt w:val="decimal"/>
      <w:suff w:val="space"/>
      <w:lvlText w:val="%1.%2.%3.%4.%5.%6"/>
      <w:lvlJc w:val="left"/>
      <w:pPr>
        <w:ind w:left="1021" w:hanging="1021"/>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1D1"/>
    <w:rsid w:val="001D447F"/>
    <w:rsid w:val="00217670"/>
    <w:rsid w:val="0025097A"/>
    <w:rsid w:val="003912AA"/>
    <w:rsid w:val="0049217A"/>
    <w:rsid w:val="004951D1"/>
    <w:rsid w:val="005B2CB1"/>
    <w:rsid w:val="006B14EB"/>
    <w:rsid w:val="006C75D7"/>
    <w:rsid w:val="006F1493"/>
    <w:rsid w:val="007A2E82"/>
    <w:rsid w:val="00A009A7"/>
    <w:rsid w:val="00A06150"/>
    <w:rsid w:val="00A907E6"/>
    <w:rsid w:val="00AB7BB4"/>
    <w:rsid w:val="00AD50F8"/>
    <w:rsid w:val="00AF1D16"/>
    <w:rsid w:val="00B03164"/>
    <w:rsid w:val="00E76856"/>
    <w:rsid w:val="00F0711C"/>
    <w:rsid w:val="00F33DDF"/>
    <w:rsid w:val="00F774DE"/>
    <w:rsid w:val="00FE712D"/>
    <w:rsid w:val="086D7F98"/>
    <w:rsid w:val="12395DEC"/>
    <w:rsid w:val="13173981"/>
    <w:rsid w:val="4AB4733E"/>
    <w:rsid w:val="5C3B7DCC"/>
    <w:rsid w:val="6656099F"/>
    <w:rsid w:val="6DEC2A98"/>
    <w:rsid w:val="6EE432BA"/>
    <w:rsid w:val="71416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9"/>
    <w:qFormat/>
    <w:uiPriority w:val="0"/>
    <w:pPr>
      <w:jc w:val="left"/>
    </w:pPr>
  </w:style>
  <w:style w:type="paragraph" w:styleId="3">
    <w:name w:val="Balloon Text"/>
    <w:basedOn w:val="1"/>
    <w:link w:val="8"/>
    <w:qFormat/>
    <w:uiPriority w:val="0"/>
    <w:rPr>
      <w:sz w:val="18"/>
      <w:szCs w:val="18"/>
    </w:rPr>
  </w:style>
  <w:style w:type="paragraph" w:styleId="4">
    <w:name w:val="annotation subject"/>
    <w:basedOn w:val="2"/>
    <w:next w:val="2"/>
    <w:link w:val="10"/>
    <w:qFormat/>
    <w:uiPriority w:val="0"/>
    <w:rPr>
      <w:b/>
      <w:bCs/>
    </w:rPr>
  </w:style>
  <w:style w:type="character" w:styleId="7">
    <w:name w:val="annotation reference"/>
    <w:basedOn w:val="6"/>
    <w:qFormat/>
    <w:uiPriority w:val="0"/>
    <w:rPr>
      <w:sz w:val="21"/>
      <w:szCs w:val="21"/>
    </w:rPr>
  </w:style>
  <w:style w:type="character" w:customStyle="1" w:styleId="8">
    <w:name w:val="批注框文本 字符"/>
    <w:basedOn w:val="6"/>
    <w:link w:val="3"/>
    <w:qFormat/>
    <w:uiPriority w:val="0"/>
    <w:rPr>
      <w:rFonts w:ascii="宋体" w:hAnsi="宋体" w:cs="宋体"/>
      <w:kern w:val="2"/>
      <w:sz w:val="18"/>
      <w:szCs w:val="18"/>
    </w:rPr>
  </w:style>
  <w:style w:type="character" w:customStyle="1" w:styleId="9">
    <w:name w:val="批注文字 字符"/>
    <w:basedOn w:val="6"/>
    <w:link w:val="2"/>
    <w:qFormat/>
    <w:uiPriority w:val="0"/>
    <w:rPr>
      <w:rFonts w:ascii="宋体" w:hAnsi="宋体" w:cs="宋体"/>
      <w:kern w:val="2"/>
      <w:sz w:val="21"/>
    </w:rPr>
  </w:style>
  <w:style w:type="character" w:customStyle="1" w:styleId="10">
    <w:name w:val="批注主题 字符"/>
    <w:basedOn w:val="9"/>
    <w:link w:val="4"/>
    <w:qFormat/>
    <w:uiPriority w:val="0"/>
    <w:rPr>
      <w:rFonts w:ascii="宋体" w:hAnsi="宋体" w:cs="宋体"/>
      <w:b/>
      <w:bCs/>
      <w:kern w:val="2"/>
      <w:sz w:val="21"/>
    </w:rPr>
  </w:style>
  <w:style w:type="paragraph" w:customStyle="1" w:styleId="11">
    <w:name w:val="Revision"/>
    <w:hidden/>
    <w:semiHidden/>
    <w:qFormat/>
    <w:uiPriority w:val="99"/>
    <w:rPr>
      <w:rFonts w:ascii="宋体" w:hAnsi="宋体" w:eastAsia="宋体" w:cs="宋体"/>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6839</Words>
  <Characters>6984</Characters>
  <Lines>55</Lines>
  <Paragraphs>15</Paragraphs>
  <TotalTime>6</TotalTime>
  <ScaleCrop>false</ScaleCrop>
  <LinksUpToDate>false</LinksUpToDate>
  <CharactersWithSpaces>7150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2025-08-07T07:36:00Z</dcterms:created>
  <dc:creator>beiyong</dc:creator>
  <cp:lastModifiedBy>郑菲</cp:lastModifiedBy>
  <dcterms:modified xsi:type="dcterms:W3CDTF">2025-10-30T05:18:27Z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eyJoZGlkIjoiMDI5N2IyOGZmZDk3Y2FlZDRhMjVhZWY3MjM2ODE3MzUiLCJ1c2VySWQiOiIxNzE5NjI2MDMwIn0=</vt:lpwstr>
  </property>
  <property fmtid="{D5CDD505-2E9C-101B-9397-08002B2CF9AE}" pid="4" name="ICV">
    <vt:lpwstr>00228A08BE8F499FADCEEBACC6BD74DB_13</vt:lpwstr>
  </property>
</Properties>
</file>