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75AFB" w14:textId="6B335536" w:rsidR="005262EB" w:rsidRDefault="005262EB">
      <w:pPr>
        <w:rPr>
          <w:rFonts w:ascii="宋体" w:hAnsi="宋体"/>
          <w:sz w:val="24"/>
        </w:rPr>
      </w:pPr>
    </w:p>
    <w:p w14:paraId="3C7AD496" w14:textId="77777777" w:rsidR="005262EB" w:rsidRDefault="005262EB">
      <w:pPr>
        <w:ind w:rightChars="-8" w:right="-17"/>
        <w:rPr>
          <w:rFonts w:eastAsia="黑体"/>
          <w:sz w:val="32"/>
          <w:szCs w:val="32"/>
        </w:rPr>
      </w:pPr>
    </w:p>
    <w:p w14:paraId="65A8CDAF" w14:textId="77777777" w:rsidR="005262EB" w:rsidRDefault="005262EB">
      <w:pPr>
        <w:rPr>
          <w:rFonts w:eastAsia="黑体"/>
          <w:sz w:val="52"/>
          <w:szCs w:val="52"/>
        </w:rPr>
      </w:pPr>
    </w:p>
    <w:p w14:paraId="76440FB1" w14:textId="77777777" w:rsidR="005262EB" w:rsidRDefault="005262EB">
      <w:pPr>
        <w:tabs>
          <w:tab w:val="left" w:pos="3495"/>
        </w:tabs>
        <w:rPr>
          <w:rFonts w:eastAsia="黑体"/>
          <w:sz w:val="52"/>
          <w:szCs w:val="52"/>
        </w:rPr>
      </w:pPr>
    </w:p>
    <w:p w14:paraId="43ABA463" w14:textId="77777777" w:rsidR="005262EB" w:rsidRDefault="005262EB">
      <w:pPr>
        <w:tabs>
          <w:tab w:val="center" w:pos="4164"/>
          <w:tab w:val="left" w:pos="5455"/>
        </w:tabs>
        <w:ind w:rightChars="-8" w:right="-17"/>
        <w:jc w:val="center"/>
        <w:rPr>
          <w:rFonts w:eastAsia="黑体"/>
          <w:sz w:val="52"/>
          <w:szCs w:val="52"/>
        </w:rPr>
      </w:pPr>
    </w:p>
    <w:p w14:paraId="7F7862FF" w14:textId="77777777" w:rsidR="005262EB" w:rsidRDefault="005262EB">
      <w:pPr>
        <w:tabs>
          <w:tab w:val="center" w:pos="4164"/>
          <w:tab w:val="left" w:pos="5455"/>
        </w:tabs>
        <w:ind w:rightChars="-8" w:right="-17"/>
        <w:jc w:val="center"/>
        <w:rPr>
          <w:rFonts w:eastAsia="黑体"/>
          <w:sz w:val="52"/>
          <w:szCs w:val="52"/>
        </w:rPr>
      </w:pPr>
    </w:p>
    <w:p w14:paraId="661F156F" w14:textId="77777777" w:rsidR="005262EB" w:rsidRDefault="005262EB">
      <w:pPr>
        <w:jc w:val="center"/>
        <w:rPr>
          <w:rFonts w:ascii="宋体" w:hAnsi="宋体"/>
          <w:sz w:val="24"/>
        </w:rPr>
      </w:pPr>
    </w:p>
    <w:p w14:paraId="0FD3248A" w14:textId="7EA0C736" w:rsidR="005262EB" w:rsidRDefault="008312B3">
      <w:pPr>
        <w:jc w:val="center"/>
        <w:rPr>
          <w:b/>
          <w:sz w:val="48"/>
        </w:rPr>
      </w:pPr>
      <w:r>
        <w:rPr>
          <w:rFonts w:hint="eastAsia"/>
          <w:b/>
          <w:sz w:val="48"/>
        </w:rPr>
        <w:t>万家</w:t>
      </w:r>
      <w:r w:rsidR="00EB1A02">
        <w:rPr>
          <w:rFonts w:hint="eastAsia"/>
          <w:b/>
          <w:sz w:val="48"/>
        </w:rPr>
        <w:t>泓裕成长驱动</w:t>
      </w:r>
      <w:r w:rsidR="00E84383">
        <w:rPr>
          <w:rFonts w:hint="eastAsia"/>
          <w:b/>
          <w:sz w:val="48"/>
        </w:rPr>
        <w:t>混合型发起式证券投资基金托管协议</w:t>
      </w:r>
    </w:p>
    <w:p w14:paraId="5A24F30C" w14:textId="77777777" w:rsidR="005262EB" w:rsidRDefault="005262EB">
      <w:pPr>
        <w:jc w:val="center"/>
        <w:rPr>
          <w:rFonts w:ascii="宋体" w:hAnsi="宋体"/>
          <w:sz w:val="44"/>
          <w:szCs w:val="44"/>
        </w:rPr>
      </w:pPr>
    </w:p>
    <w:p w14:paraId="1ECB9982" w14:textId="77777777" w:rsidR="005262EB" w:rsidRDefault="005262EB">
      <w:pPr>
        <w:jc w:val="center"/>
        <w:rPr>
          <w:rFonts w:ascii="宋体" w:hAnsi="宋体"/>
          <w:sz w:val="44"/>
          <w:szCs w:val="44"/>
        </w:rPr>
      </w:pPr>
    </w:p>
    <w:p w14:paraId="6AF17AE2" w14:textId="77777777" w:rsidR="005262EB" w:rsidRDefault="005262EB">
      <w:pPr>
        <w:jc w:val="center"/>
        <w:rPr>
          <w:rFonts w:ascii="宋体" w:hAnsi="宋体"/>
          <w:sz w:val="44"/>
          <w:szCs w:val="44"/>
        </w:rPr>
      </w:pPr>
    </w:p>
    <w:p w14:paraId="1276BB8F" w14:textId="77777777" w:rsidR="005262EB" w:rsidRDefault="005262EB">
      <w:pPr>
        <w:rPr>
          <w:rFonts w:ascii="宋体"/>
          <w:sz w:val="30"/>
        </w:rPr>
      </w:pPr>
    </w:p>
    <w:p w14:paraId="0F239BDB" w14:textId="6D153EF3" w:rsidR="005262EB" w:rsidRDefault="008312B3">
      <w:pPr>
        <w:ind w:leftChars="540" w:left="1135" w:hanging="1"/>
        <w:jc w:val="left"/>
        <w:rPr>
          <w:sz w:val="32"/>
          <w:szCs w:val="32"/>
        </w:rPr>
      </w:pPr>
      <w:bookmarkStart w:id="0" w:name="_Toc382818591"/>
      <w:bookmarkStart w:id="1" w:name="_Toc382819065"/>
      <w:r>
        <w:rPr>
          <w:rFonts w:hint="eastAsia"/>
          <w:sz w:val="32"/>
          <w:szCs w:val="32"/>
        </w:rPr>
        <w:t>基金管理人：</w:t>
      </w:r>
      <w:bookmarkEnd w:id="0"/>
      <w:bookmarkEnd w:id="1"/>
      <w:r>
        <w:rPr>
          <w:rFonts w:hint="eastAsia"/>
          <w:sz w:val="32"/>
          <w:szCs w:val="32"/>
        </w:rPr>
        <w:t>万家基金管理有限公司</w:t>
      </w:r>
    </w:p>
    <w:p w14:paraId="00908C42" w14:textId="77777777" w:rsidR="005262EB" w:rsidRDefault="008312B3">
      <w:pPr>
        <w:ind w:leftChars="540" w:left="1135" w:hanging="1"/>
        <w:jc w:val="left"/>
        <w:rPr>
          <w:sz w:val="32"/>
          <w:szCs w:val="32"/>
        </w:rPr>
      </w:pPr>
      <w:bookmarkStart w:id="2" w:name="_Toc382819066"/>
      <w:bookmarkStart w:id="3" w:name="_Toc382818592"/>
      <w:r>
        <w:rPr>
          <w:rFonts w:hint="eastAsia"/>
          <w:sz w:val="32"/>
          <w:szCs w:val="32"/>
        </w:rPr>
        <w:t>基金托管人：苏州银行股份有限公司</w:t>
      </w:r>
      <w:bookmarkEnd w:id="2"/>
      <w:bookmarkEnd w:id="3"/>
    </w:p>
    <w:p w14:paraId="71C8123B" w14:textId="77777777" w:rsidR="005262EB" w:rsidRDefault="005262EB">
      <w:pPr>
        <w:ind w:leftChars="540" w:left="1135" w:hanging="1"/>
        <w:jc w:val="left"/>
        <w:rPr>
          <w:sz w:val="32"/>
          <w:szCs w:val="32"/>
        </w:rPr>
      </w:pPr>
    </w:p>
    <w:p w14:paraId="6300E5CE" w14:textId="77777777" w:rsidR="005262EB" w:rsidRDefault="005262EB">
      <w:pPr>
        <w:ind w:leftChars="540" w:left="1135" w:hanging="1"/>
        <w:jc w:val="left"/>
        <w:rPr>
          <w:sz w:val="32"/>
          <w:szCs w:val="32"/>
        </w:rPr>
      </w:pPr>
    </w:p>
    <w:p w14:paraId="4565B3CD" w14:textId="77777777" w:rsidR="005262EB" w:rsidRDefault="005262EB">
      <w:pPr>
        <w:spacing w:line="500" w:lineRule="atLeast"/>
        <w:jc w:val="center"/>
        <w:outlineLvl w:val="0"/>
        <w:rPr>
          <w:rFonts w:ascii="黑体" w:eastAsia="黑体" w:hAnsi="宋体"/>
          <w:b/>
          <w:sz w:val="28"/>
          <w:szCs w:val="28"/>
        </w:rPr>
        <w:sectPr w:rsidR="005262EB">
          <w:footerReference w:type="default" r:id="rId17"/>
          <w:pgSz w:w="11906" w:h="16838"/>
          <w:pgMar w:top="1440" w:right="1800" w:bottom="1440" w:left="1800" w:header="851" w:footer="992" w:gutter="0"/>
          <w:pgNumType w:start="1"/>
          <w:cols w:space="720"/>
          <w:docGrid w:type="lines" w:linePitch="312"/>
        </w:sectPr>
      </w:pPr>
    </w:p>
    <w:p w14:paraId="0DF6137A" w14:textId="77777777" w:rsidR="005262EB" w:rsidRDefault="008312B3">
      <w:pPr>
        <w:spacing w:line="500" w:lineRule="atLeast"/>
        <w:jc w:val="center"/>
        <w:outlineLvl w:val="0"/>
        <w:rPr>
          <w:rFonts w:ascii="宋体" w:hAnsi="宋体"/>
          <w:b/>
          <w:sz w:val="36"/>
          <w:szCs w:val="28"/>
        </w:rPr>
      </w:pPr>
      <w:bookmarkStart w:id="4" w:name="_Toc382819067"/>
      <w:bookmarkStart w:id="5" w:name="_Toc382818593"/>
      <w:bookmarkStart w:id="6" w:name="_Toc131682140"/>
      <w:r>
        <w:rPr>
          <w:rFonts w:ascii="宋体" w:hAnsi="宋体" w:hint="eastAsia"/>
          <w:b/>
          <w:sz w:val="32"/>
          <w:szCs w:val="28"/>
        </w:rPr>
        <w:lastRenderedPageBreak/>
        <w:t>目 录</w:t>
      </w:r>
      <w:bookmarkEnd w:id="4"/>
      <w:bookmarkEnd w:id="5"/>
      <w:bookmarkEnd w:id="6"/>
    </w:p>
    <w:p w14:paraId="7C37A88E" w14:textId="77777777" w:rsidR="005262EB" w:rsidRDefault="008312B3">
      <w:pPr>
        <w:pStyle w:val="11"/>
        <w:tabs>
          <w:tab w:val="right" w:leader="dot" w:pos="8296"/>
        </w:tabs>
        <w:spacing w:line="360" w:lineRule="auto"/>
        <w:rPr>
          <w:rFonts w:asciiTheme="minorHAnsi" w:eastAsiaTheme="minorEastAsia" w:hAnsiTheme="minorHAnsi" w:cstheme="minorBidi"/>
          <w:noProof/>
          <w:szCs w:val="22"/>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TOC \o "1-3" \h \z \u</w:instrText>
      </w:r>
      <w:r>
        <w:rPr>
          <w:rFonts w:ascii="宋体" w:hAnsi="宋体"/>
          <w:szCs w:val="21"/>
        </w:rPr>
        <w:instrText xml:space="preserve"> </w:instrText>
      </w:r>
      <w:r>
        <w:rPr>
          <w:rFonts w:ascii="宋体" w:hAnsi="宋体"/>
          <w:szCs w:val="21"/>
        </w:rPr>
        <w:fldChar w:fldCharType="separate"/>
      </w:r>
    </w:p>
    <w:p w14:paraId="3435899E" w14:textId="41832A20"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41" w:history="1">
        <w:r w:rsidR="008312B3">
          <w:rPr>
            <w:rStyle w:val="af2"/>
            <w:rFonts w:ascii="宋体" w:hAnsi="宋体" w:hint="eastAsia"/>
            <w:b/>
            <w:noProof/>
          </w:rPr>
          <w:t>一、基金托管协议的依据、目的、原则和解释</w:t>
        </w:r>
        <w:r w:rsidR="008312B3">
          <w:rPr>
            <w:noProof/>
          </w:rPr>
          <w:tab/>
        </w:r>
        <w:r w:rsidR="008312B3">
          <w:rPr>
            <w:noProof/>
          </w:rPr>
          <w:fldChar w:fldCharType="begin"/>
        </w:r>
        <w:r w:rsidR="008312B3">
          <w:rPr>
            <w:noProof/>
          </w:rPr>
          <w:instrText xml:space="preserve"> PAGEREF _Toc131682141 \h </w:instrText>
        </w:r>
        <w:r w:rsidR="008312B3">
          <w:rPr>
            <w:noProof/>
          </w:rPr>
        </w:r>
        <w:r w:rsidR="008312B3">
          <w:rPr>
            <w:noProof/>
          </w:rPr>
          <w:fldChar w:fldCharType="separate"/>
        </w:r>
        <w:r w:rsidR="0069612A">
          <w:rPr>
            <w:noProof/>
          </w:rPr>
          <w:t>2</w:t>
        </w:r>
        <w:r w:rsidR="008312B3">
          <w:rPr>
            <w:noProof/>
          </w:rPr>
          <w:fldChar w:fldCharType="end"/>
        </w:r>
      </w:hyperlink>
    </w:p>
    <w:p w14:paraId="2334A02C" w14:textId="510C0F65"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42" w:history="1">
        <w:r w:rsidR="008312B3">
          <w:rPr>
            <w:rStyle w:val="af2"/>
            <w:rFonts w:ascii="宋体" w:hAnsi="宋体" w:hint="eastAsia"/>
            <w:b/>
            <w:noProof/>
          </w:rPr>
          <w:t>二、基金托管人对基金管理人的业务监督和核查</w:t>
        </w:r>
        <w:r w:rsidR="008312B3">
          <w:rPr>
            <w:noProof/>
          </w:rPr>
          <w:tab/>
        </w:r>
        <w:r w:rsidR="008312B3">
          <w:rPr>
            <w:noProof/>
          </w:rPr>
          <w:fldChar w:fldCharType="begin"/>
        </w:r>
        <w:r w:rsidR="008312B3">
          <w:rPr>
            <w:noProof/>
          </w:rPr>
          <w:instrText xml:space="preserve"> PAGEREF _Toc131682142 \h </w:instrText>
        </w:r>
        <w:r w:rsidR="008312B3">
          <w:rPr>
            <w:noProof/>
          </w:rPr>
        </w:r>
        <w:r w:rsidR="008312B3">
          <w:rPr>
            <w:noProof/>
          </w:rPr>
          <w:fldChar w:fldCharType="separate"/>
        </w:r>
        <w:r w:rsidR="0069612A">
          <w:rPr>
            <w:noProof/>
          </w:rPr>
          <w:t>2</w:t>
        </w:r>
        <w:r w:rsidR="008312B3">
          <w:rPr>
            <w:noProof/>
          </w:rPr>
          <w:fldChar w:fldCharType="end"/>
        </w:r>
      </w:hyperlink>
    </w:p>
    <w:p w14:paraId="0FD4AC5C" w14:textId="52E69115"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43" w:history="1">
        <w:r w:rsidR="008312B3">
          <w:rPr>
            <w:rStyle w:val="af2"/>
            <w:rFonts w:ascii="宋体" w:hAnsi="宋体" w:hint="eastAsia"/>
            <w:b/>
            <w:noProof/>
          </w:rPr>
          <w:t>三、基金管理人对基金托管人的业务核查</w:t>
        </w:r>
        <w:r w:rsidR="008312B3">
          <w:rPr>
            <w:noProof/>
          </w:rPr>
          <w:tab/>
        </w:r>
        <w:r w:rsidR="008312B3">
          <w:rPr>
            <w:noProof/>
          </w:rPr>
          <w:fldChar w:fldCharType="begin"/>
        </w:r>
        <w:r w:rsidR="008312B3">
          <w:rPr>
            <w:noProof/>
          </w:rPr>
          <w:instrText xml:space="preserve"> PAGEREF _Toc131682143 \h </w:instrText>
        </w:r>
        <w:r w:rsidR="008312B3">
          <w:rPr>
            <w:noProof/>
          </w:rPr>
        </w:r>
        <w:r w:rsidR="008312B3">
          <w:rPr>
            <w:noProof/>
          </w:rPr>
          <w:fldChar w:fldCharType="separate"/>
        </w:r>
        <w:r w:rsidR="0069612A">
          <w:rPr>
            <w:noProof/>
          </w:rPr>
          <w:t>8</w:t>
        </w:r>
        <w:r w:rsidR="008312B3">
          <w:rPr>
            <w:noProof/>
          </w:rPr>
          <w:fldChar w:fldCharType="end"/>
        </w:r>
      </w:hyperlink>
    </w:p>
    <w:p w14:paraId="56FEADAE" w14:textId="5106DE50"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44" w:history="1">
        <w:r w:rsidR="008312B3">
          <w:rPr>
            <w:rStyle w:val="af2"/>
            <w:rFonts w:ascii="宋体" w:hAnsi="宋体" w:hint="eastAsia"/>
            <w:b/>
            <w:noProof/>
          </w:rPr>
          <w:t>四、基金财产保管</w:t>
        </w:r>
        <w:r w:rsidR="008312B3">
          <w:rPr>
            <w:noProof/>
          </w:rPr>
          <w:tab/>
        </w:r>
        <w:r w:rsidR="008312B3">
          <w:rPr>
            <w:noProof/>
          </w:rPr>
          <w:fldChar w:fldCharType="begin"/>
        </w:r>
        <w:r w:rsidR="008312B3">
          <w:rPr>
            <w:noProof/>
          </w:rPr>
          <w:instrText xml:space="preserve"> PAGEREF _Toc131682144 \h </w:instrText>
        </w:r>
        <w:r w:rsidR="008312B3">
          <w:rPr>
            <w:noProof/>
          </w:rPr>
        </w:r>
        <w:r w:rsidR="008312B3">
          <w:rPr>
            <w:noProof/>
          </w:rPr>
          <w:fldChar w:fldCharType="separate"/>
        </w:r>
        <w:r w:rsidR="0069612A">
          <w:rPr>
            <w:noProof/>
          </w:rPr>
          <w:t>9</w:t>
        </w:r>
        <w:r w:rsidR="008312B3">
          <w:rPr>
            <w:noProof/>
          </w:rPr>
          <w:fldChar w:fldCharType="end"/>
        </w:r>
      </w:hyperlink>
    </w:p>
    <w:p w14:paraId="146083AD" w14:textId="0B57F72D"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45" w:history="1">
        <w:r w:rsidR="008312B3">
          <w:rPr>
            <w:rStyle w:val="af2"/>
            <w:rFonts w:ascii="宋体" w:hAnsi="宋体" w:hint="eastAsia"/>
            <w:b/>
            <w:noProof/>
          </w:rPr>
          <w:t>五、指令的发送、确认和</w:t>
        </w:r>
        <w:bookmarkStart w:id="7" w:name="_GoBack"/>
        <w:bookmarkEnd w:id="7"/>
        <w:r w:rsidR="008312B3">
          <w:rPr>
            <w:rStyle w:val="af2"/>
            <w:rFonts w:ascii="宋体" w:hAnsi="宋体" w:hint="eastAsia"/>
            <w:b/>
            <w:noProof/>
          </w:rPr>
          <w:t>执行</w:t>
        </w:r>
        <w:r w:rsidR="008312B3">
          <w:rPr>
            <w:noProof/>
          </w:rPr>
          <w:tab/>
        </w:r>
        <w:r w:rsidR="008312B3">
          <w:rPr>
            <w:noProof/>
          </w:rPr>
          <w:fldChar w:fldCharType="begin"/>
        </w:r>
        <w:r w:rsidR="008312B3">
          <w:rPr>
            <w:noProof/>
          </w:rPr>
          <w:instrText xml:space="preserve"> PAGEREF _Toc131682145 \h </w:instrText>
        </w:r>
        <w:r w:rsidR="008312B3">
          <w:rPr>
            <w:noProof/>
          </w:rPr>
        </w:r>
        <w:r w:rsidR="008312B3">
          <w:rPr>
            <w:noProof/>
          </w:rPr>
          <w:fldChar w:fldCharType="separate"/>
        </w:r>
        <w:r w:rsidR="0069612A">
          <w:rPr>
            <w:noProof/>
          </w:rPr>
          <w:t>11</w:t>
        </w:r>
        <w:r w:rsidR="008312B3">
          <w:rPr>
            <w:noProof/>
          </w:rPr>
          <w:fldChar w:fldCharType="end"/>
        </w:r>
      </w:hyperlink>
    </w:p>
    <w:p w14:paraId="716288F2" w14:textId="4FF2A61B"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46" w:history="1">
        <w:r w:rsidR="008312B3">
          <w:rPr>
            <w:rStyle w:val="af2"/>
            <w:rFonts w:ascii="宋体" w:hAnsi="宋体" w:hint="eastAsia"/>
            <w:b/>
            <w:noProof/>
          </w:rPr>
          <w:t>六、交易及清算交收安排</w:t>
        </w:r>
        <w:r w:rsidR="008312B3">
          <w:rPr>
            <w:noProof/>
          </w:rPr>
          <w:tab/>
        </w:r>
        <w:r w:rsidR="008312B3">
          <w:rPr>
            <w:noProof/>
          </w:rPr>
          <w:fldChar w:fldCharType="begin"/>
        </w:r>
        <w:r w:rsidR="008312B3">
          <w:rPr>
            <w:noProof/>
          </w:rPr>
          <w:instrText xml:space="preserve"> PAGEREF _Toc131682146 \h </w:instrText>
        </w:r>
        <w:r w:rsidR="008312B3">
          <w:rPr>
            <w:noProof/>
          </w:rPr>
        </w:r>
        <w:r w:rsidR="008312B3">
          <w:rPr>
            <w:noProof/>
          </w:rPr>
          <w:fldChar w:fldCharType="separate"/>
        </w:r>
        <w:r w:rsidR="0069612A">
          <w:rPr>
            <w:noProof/>
          </w:rPr>
          <w:t>14</w:t>
        </w:r>
        <w:r w:rsidR="008312B3">
          <w:rPr>
            <w:noProof/>
          </w:rPr>
          <w:fldChar w:fldCharType="end"/>
        </w:r>
      </w:hyperlink>
    </w:p>
    <w:p w14:paraId="40B7559E" w14:textId="371497E0"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47" w:history="1">
        <w:r w:rsidR="008312B3">
          <w:rPr>
            <w:rStyle w:val="af2"/>
            <w:rFonts w:ascii="宋体" w:hAnsi="宋体" w:hint="eastAsia"/>
            <w:b/>
            <w:noProof/>
          </w:rPr>
          <w:t>七、基金资产净值计算和会计核算</w:t>
        </w:r>
        <w:r w:rsidR="008312B3">
          <w:rPr>
            <w:noProof/>
          </w:rPr>
          <w:tab/>
        </w:r>
        <w:r w:rsidR="008312B3">
          <w:rPr>
            <w:noProof/>
          </w:rPr>
          <w:fldChar w:fldCharType="begin"/>
        </w:r>
        <w:r w:rsidR="008312B3">
          <w:rPr>
            <w:noProof/>
          </w:rPr>
          <w:instrText xml:space="preserve"> PAGEREF _Toc131682147 \h </w:instrText>
        </w:r>
        <w:r w:rsidR="008312B3">
          <w:rPr>
            <w:noProof/>
          </w:rPr>
        </w:r>
        <w:r w:rsidR="008312B3">
          <w:rPr>
            <w:noProof/>
          </w:rPr>
          <w:fldChar w:fldCharType="separate"/>
        </w:r>
        <w:r w:rsidR="0069612A">
          <w:rPr>
            <w:noProof/>
          </w:rPr>
          <w:t>19</w:t>
        </w:r>
        <w:r w:rsidR="008312B3">
          <w:rPr>
            <w:noProof/>
          </w:rPr>
          <w:fldChar w:fldCharType="end"/>
        </w:r>
      </w:hyperlink>
    </w:p>
    <w:p w14:paraId="1607DBE8" w14:textId="5F594A48"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48" w:history="1">
        <w:r w:rsidR="008312B3">
          <w:rPr>
            <w:rStyle w:val="af2"/>
            <w:rFonts w:ascii="宋体" w:hAnsi="宋体" w:hint="eastAsia"/>
            <w:b/>
            <w:noProof/>
          </w:rPr>
          <w:t>八、基金收益分配</w:t>
        </w:r>
        <w:r w:rsidR="008312B3">
          <w:rPr>
            <w:noProof/>
          </w:rPr>
          <w:tab/>
        </w:r>
        <w:r w:rsidR="008312B3">
          <w:rPr>
            <w:noProof/>
          </w:rPr>
          <w:fldChar w:fldCharType="begin"/>
        </w:r>
        <w:r w:rsidR="008312B3">
          <w:rPr>
            <w:noProof/>
          </w:rPr>
          <w:instrText xml:space="preserve"> PAGEREF _Toc131682148 \h </w:instrText>
        </w:r>
        <w:r w:rsidR="008312B3">
          <w:rPr>
            <w:noProof/>
          </w:rPr>
        </w:r>
        <w:r w:rsidR="008312B3">
          <w:rPr>
            <w:noProof/>
          </w:rPr>
          <w:fldChar w:fldCharType="separate"/>
        </w:r>
        <w:r w:rsidR="0069612A">
          <w:rPr>
            <w:noProof/>
          </w:rPr>
          <w:t>21</w:t>
        </w:r>
        <w:r w:rsidR="008312B3">
          <w:rPr>
            <w:noProof/>
          </w:rPr>
          <w:fldChar w:fldCharType="end"/>
        </w:r>
      </w:hyperlink>
    </w:p>
    <w:p w14:paraId="191B0A6B" w14:textId="17AF465F"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49" w:history="1">
        <w:r w:rsidR="008312B3">
          <w:rPr>
            <w:rStyle w:val="af2"/>
            <w:rFonts w:ascii="宋体" w:hAnsi="宋体" w:hint="eastAsia"/>
            <w:b/>
            <w:noProof/>
          </w:rPr>
          <w:t>九、信息披露</w:t>
        </w:r>
        <w:r w:rsidR="008312B3">
          <w:rPr>
            <w:noProof/>
          </w:rPr>
          <w:tab/>
        </w:r>
        <w:r w:rsidR="008312B3">
          <w:rPr>
            <w:noProof/>
          </w:rPr>
          <w:fldChar w:fldCharType="begin"/>
        </w:r>
        <w:r w:rsidR="008312B3">
          <w:rPr>
            <w:noProof/>
          </w:rPr>
          <w:instrText xml:space="preserve"> PAGEREF _Toc131682149 \h </w:instrText>
        </w:r>
        <w:r w:rsidR="008312B3">
          <w:rPr>
            <w:noProof/>
          </w:rPr>
        </w:r>
        <w:r w:rsidR="008312B3">
          <w:rPr>
            <w:noProof/>
          </w:rPr>
          <w:fldChar w:fldCharType="separate"/>
        </w:r>
        <w:r w:rsidR="0069612A">
          <w:rPr>
            <w:noProof/>
          </w:rPr>
          <w:t>21</w:t>
        </w:r>
        <w:r w:rsidR="008312B3">
          <w:rPr>
            <w:noProof/>
          </w:rPr>
          <w:fldChar w:fldCharType="end"/>
        </w:r>
      </w:hyperlink>
    </w:p>
    <w:p w14:paraId="12F114CF" w14:textId="3E0ADBA7"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50" w:history="1">
        <w:r w:rsidR="008312B3">
          <w:rPr>
            <w:rStyle w:val="af2"/>
            <w:rFonts w:ascii="宋体" w:hAnsi="宋体" w:hint="eastAsia"/>
            <w:b/>
            <w:noProof/>
          </w:rPr>
          <w:t>十、基金费用</w:t>
        </w:r>
        <w:r w:rsidR="008312B3">
          <w:rPr>
            <w:noProof/>
          </w:rPr>
          <w:tab/>
        </w:r>
        <w:r w:rsidR="008312B3">
          <w:rPr>
            <w:noProof/>
          </w:rPr>
          <w:fldChar w:fldCharType="begin"/>
        </w:r>
        <w:r w:rsidR="008312B3">
          <w:rPr>
            <w:noProof/>
          </w:rPr>
          <w:instrText xml:space="preserve"> PAGEREF _Toc131682150 \h </w:instrText>
        </w:r>
        <w:r w:rsidR="008312B3">
          <w:rPr>
            <w:noProof/>
          </w:rPr>
        </w:r>
        <w:r w:rsidR="008312B3">
          <w:rPr>
            <w:noProof/>
          </w:rPr>
          <w:fldChar w:fldCharType="separate"/>
        </w:r>
        <w:r w:rsidR="0069612A">
          <w:rPr>
            <w:noProof/>
          </w:rPr>
          <w:t>22</w:t>
        </w:r>
        <w:r w:rsidR="008312B3">
          <w:rPr>
            <w:noProof/>
          </w:rPr>
          <w:fldChar w:fldCharType="end"/>
        </w:r>
      </w:hyperlink>
    </w:p>
    <w:p w14:paraId="43726A0B" w14:textId="3F620984"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51" w:history="1">
        <w:r w:rsidR="008312B3">
          <w:rPr>
            <w:rStyle w:val="af2"/>
            <w:rFonts w:ascii="宋体" w:hAnsi="宋体" w:hint="eastAsia"/>
            <w:b/>
            <w:noProof/>
          </w:rPr>
          <w:t>十一、基金份额持有人名册的保管</w:t>
        </w:r>
        <w:r w:rsidR="008312B3">
          <w:rPr>
            <w:noProof/>
          </w:rPr>
          <w:tab/>
        </w:r>
        <w:r w:rsidR="008312B3">
          <w:rPr>
            <w:noProof/>
          </w:rPr>
          <w:fldChar w:fldCharType="begin"/>
        </w:r>
        <w:r w:rsidR="008312B3">
          <w:rPr>
            <w:noProof/>
          </w:rPr>
          <w:instrText xml:space="preserve"> PAGEREF _Toc131682151 \h </w:instrText>
        </w:r>
        <w:r w:rsidR="008312B3">
          <w:rPr>
            <w:noProof/>
          </w:rPr>
        </w:r>
        <w:r w:rsidR="008312B3">
          <w:rPr>
            <w:noProof/>
          </w:rPr>
          <w:fldChar w:fldCharType="separate"/>
        </w:r>
        <w:r w:rsidR="0069612A">
          <w:rPr>
            <w:noProof/>
          </w:rPr>
          <w:t>23</w:t>
        </w:r>
        <w:r w:rsidR="008312B3">
          <w:rPr>
            <w:noProof/>
          </w:rPr>
          <w:fldChar w:fldCharType="end"/>
        </w:r>
      </w:hyperlink>
    </w:p>
    <w:p w14:paraId="2C4B2D0E" w14:textId="7326E01A"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52" w:history="1">
        <w:r w:rsidR="008312B3">
          <w:rPr>
            <w:rStyle w:val="af2"/>
            <w:rFonts w:ascii="宋体" w:hAnsi="宋体" w:hint="eastAsia"/>
            <w:b/>
            <w:noProof/>
          </w:rPr>
          <w:t>十二、基金有关文件和档案的保存</w:t>
        </w:r>
        <w:r w:rsidR="008312B3">
          <w:rPr>
            <w:noProof/>
          </w:rPr>
          <w:tab/>
        </w:r>
        <w:r w:rsidR="008312B3">
          <w:rPr>
            <w:noProof/>
          </w:rPr>
          <w:fldChar w:fldCharType="begin"/>
        </w:r>
        <w:r w:rsidR="008312B3">
          <w:rPr>
            <w:noProof/>
          </w:rPr>
          <w:instrText xml:space="preserve"> PAGEREF _Toc131682152 \h </w:instrText>
        </w:r>
        <w:r w:rsidR="008312B3">
          <w:rPr>
            <w:noProof/>
          </w:rPr>
        </w:r>
        <w:r w:rsidR="008312B3">
          <w:rPr>
            <w:noProof/>
          </w:rPr>
          <w:fldChar w:fldCharType="separate"/>
        </w:r>
        <w:r w:rsidR="0069612A">
          <w:rPr>
            <w:noProof/>
          </w:rPr>
          <w:t>23</w:t>
        </w:r>
        <w:r w:rsidR="008312B3">
          <w:rPr>
            <w:noProof/>
          </w:rPr>
          <w:fldChar w:fldCharType="end"/>
        </w:r>
      </w:hyperlink>
    </w:p>
    <w:p w14:paraId="41C977A5" w14:textId="1EE2A71D"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53" w:history="1">
        <w:r w:rsidR="008312B3">
          <w:rPr>
            <w:rStyle w:val="af2"/>
            <w:rFonts w:ascii="宋体" w:hAnsi="宋体" w:hint="eastAsia"/>
            <w:b/>
            <w:noProof/>
          </w:rPr>
          <w:t>十三、基金管理人和基金托管人的更换</w:t>
        </w:r>
        <w:r w:rsidR="008312B3">
          <w:rPr>
            <w:noProof/>
          </w:rPr>
          <w:tab/>
        </w:r>
        <w:r w:rsidR="008312B3">
          <w:rPr>
            <w:noProof/>
          </w:rPr>
          <w:fldChar w:fldCharType="begin"/>
        </w:r>
        <w:r w:rsidR="008312B3">
          <w:rPr>
            <w:noProof/>
          </w:rPr>
          <w:instrText xml:space="preserve"> PAGEREF _Toc131682153 \h </w:instrText>
        </w:r>
        <w:r w:rsidR="008312B3">
          <w:rPr>
            <w:noProof/>
          </w:rPr>
        </w:r>
        <w:r w:rsidR="008312B3">
          <w:rPr>
            <w:noProof/>
          </w:rPr>
          <w:fldChar w:fldCharType="separate"/>
        </w:r>
        <w:r w:rsidR="0069612A">
          <w:rPr>
            <w:noProof/>
          </w:rPr>
          <w:t>23</w:t>
        </w:r>
        <w:r w:rsidR="008312B3">
          <w:rPr>
            <w:noProof/>
          </w:rPr>
          <w:fldChar w:fldCharType="end"/>
        </w:r>
      </w:hyperlink>
    </w:p>
    <w:p w14:paraId="29E54937" w14:textId="39AF8A16"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54" w:history="1">
        <w:r w:rsidR="008312B3">
          <w:rPr>
            <w:rStyle w:val="af2"/>
            <w:rFonts w:ascii="宋体" w:hAnsi="宋体" w:hint="eastAsia"/>
            <w:b/>
            <w:noProof/>
          </w:rPr>
          <w:t>十四、禁止行为</w:t>
        </w:r>
        <w:r w:rsidR="008312B3">
          <w:rPr>
            <w:noProof/>
          </w:rPr>
          <w:tab/>
        </w:r>
        <w:r w:rsidR="008312B3">
          <w:rPr>
            <w:noProof/>
          </w:rPr>
          <w:fldChar w:fldCharType="begin"/>
        </w:r>
        <w:r w:rsidR="008312B3">
          <w:rPr>
            <w:noProof/>
          </w:rPr>
          <w:instrText xml:space="preserve"> PAGEREF _Toc131682154 \h </w:instrText>
        </w:r>
        <w:r w:rsidR="008312B3">
          <w:rPr>
            <w:noProof/>
          </w:rPr>
        </w:r>
        <w:r w:rsidR="008312B3">
          <w:rPr>
            <w:noProof/>
          </w:rPr>
          <w:fldChar w:fldCharType="separate"/>
        </w:r>
        <w:r w:rsidR="0069612A">
          <w:rPr>
            <w:noProof/>
          </w:rPr>
          <w:t>24</w:t>
        </w:r>
        <w:r w:rsidR="008312B3">
          <w:rPr>
            <w:noProof/>
          </w:rPr>
          <w:fldChar w:fldCharType="end"/>
        </w:r>
      </w:hyperlink>
    </w:p>
    <w:p w14:paraId="0D737A82" w14:textId="0BD4274B"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55" w:history="1">
        <w:r w:rsidR="008312B3">
          <w:rPr>
            <w:rStyle w:val="af2"/>
            <w:rFonts w:ascii="宋体" w:hAnsi="宋体" w:hint="eastAsia"/>
            <w:b/>
            <w:noProof/>
          </w:rPr>
          <w:t>十五、基金托管协议的变更、终止与基金财产的清算</w:t>
        </w:r>
        <w:r w:rsidR="008312B3">
          <w:rPr>
            <w:noProof/>
          </w:rPr>
          <w:tab/>
        </w:r>
        <w:r w:rsidR="008312B3">
          <w:rPr>
            <w:noProof/>
          </w:rPr>
          <w:fldChar w:fldCharType="begin"/>
        </w:r>
        <w:r w:rsidR="008312B3">
          <w:rPr>
            <w:noProof/>
          </w:rPr>
          <w:instrText xml:space="preserve"> PAGEREF _Toc131682155 \h </w:instrText>
        </w:r>
        <w:r w:rsidR="008312B3">
          <w:rPr>
            <w:noProof/>
          </w:rPr>
        </w:r>
        <w:r w:rsidR="008312B3">
          <w:rPr>
            <w:noProof/>
          </w:rPr>
          <w:fldChar w:fldCharType="separate"/>
        </w:r>
        <w:r w:rsidR="0069612A">
          <w:rPr>
            <w:noProof/>
          </w:rPr>
          <w:t>25</w:t>
        </w:r>
        <w:r w:rsidR="008312B3">
          <w:rPr>
            <w:noProof/>
          </w:rPr>
          <w:fldChar w:fldCharType="end"/>
        </w:r>
      </w:hyperlink>
    </w:p>
    <w:p w14:paraId="6DBBFFBC" w14:textId="06ADC0F0"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56" w:history="1">
        <w:r w:rsidR="008312B3">
          <w:rPr>
            <w:rStyle w:val="af2"/>
            <w:rFonts w:ascii="宋体" w:hAnsi="宋体" w:hint="eastAsia"/>
            <w:b/>
            <w:noProof/>
          </w:rPr>
          <w:t>十六、违约责任</w:t>
        </w:r>
        <w:r w:rsidR="008312B3">
          <w:rPr>
            <w:noProof/>
          </w:rPr>
          <w:tab/>
        </w:r>
        <w:r w:rsidR="008312B3">
          <w:rPr>
            <w:noProof/>
          </w:rPr>
          <w:fldChar w:fldCharType="begin"/>
        </w:r>
        <w:r w:rsidR="008312B3">
          <w:rPr>
            <w:noProof/>
          </w:rPr>
          <w:instrText xml:space="preserve"> PAGEREF _Toc131682156 \h </w:instrText>
        </w:r>
        <w:r w:rsidR="008312B3">
          <w:rPr>
            <w:noProof/>
          </w:rPr>
        </w:r>
        <w:r w:rsidR="008312B3">
          <w:rPr>
            <w:noProof/>
          </w:rPr>
          <w:fldChar w:fldCharType="separate"/>
        </w:r>
        <w:r w:rsidR="0069612A">
          <w:rPr>
            <w:noProof/>
          </w:rPr>
          <w:t>25</w:t>
        </w:r>
        <w:r w:rsidR="008312B3">
          <w:rPr>
            <w:noProof/>
          </w:rPr>
          <w:fldChar w:fldCharType="end"/>
        </w:r>
      </w:hyperlink>
    </w:p>
    <w:p w14:paraId="303D5E5A" w14:textId="4730A3A7"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57" w:history="1">
        <w:r w:rsidR="008312B3">
          <w:rPr>
            <w:rStyle w:val="af2"/>
            <w:rFonts w:ascii="宋体" w:hAnsi="宋体" w:hint="eastAsia"/>
            <w:b/>
            <w:noProof/>
          </w:rPr>
          <w:t>十七、适用法律及争议解决方式</w:t>
        </w:r>
        <w:r w:rsidR="008312B3">
          <w:rPr>
            <w:noProof/>
          </w:rPr>
          <w:tab/>
        </w:r>
        <w:r w:rsidR="008312B3">
          <w:rPr>
            <w:noProof/>
          </w:rPr>
          <w:fldChar w:fldCharType="begin"/>
        </w:r>
        <w:r w:rsidR="008312B3">
          <w:rPr>
            <w:noProof/>
          </w:rPr>
          <w:instrText xml:space="preserve"> PAGEREF _Toc131682157 \h </w:instrText>
        </w:r>
        <w:r w:rsidR="008312B3">
          <w:rPr>
            <w:noProof/>
          </w:rPr>
        </w:r>
        <w:r w:rsidR="008312B3">
          <w:rPr>
            <w:noProof/>
          </w:rPr>
          <w:fldChar w:fldCharType="separate"/>
        </w:r>
        <w:r w:rsidR="0069612A">
          <w:rPr>
            <w:noProof/>
          </w:rPr>
          <w:t>26</w:t>
        </w:r>
        <w:r w:rsidR="008312B3">
          <w:rPr>
            <w:noProof/>
          </w:rPr>
          <w:fldChar w:fldCharType="end"/>
        </w:r>
      </w:hyperlink>
    </w:p>
    <w:p w14:paraId="747AAE0F" w14:textId="1DF2DDB9"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58" w:history="1">
        <w:r w:rsidR="008312B3">
          <w:rPr>
            <w:rStyle w:val="af2"/>
            <w:rFonts w:ascii="宋体" w:hAnsi="宋体" w:hint="eastAsia"/>
            <w:b/>
            <w:noProof/>
          </w:rPr>
          <w:t>十八、基金托管协议的效力和文本</w:t>
        </w:r>
        <w:r w:rsidR="008312B3">
          <w:rPr>
            <w:noProof/>
          </w:rPr>
          <w:tab/>
        </w:r>
        <w:r w:rsidR="008312B3">
          <w:rPr>
            <w:noProof/>
          </w:rPr>
          <w:fldChar w:fldCharType="begin"/>
        </w:r>
        <w:r w:rsidR="008312B3">
          <w:rPr>
            <w:noProof/>
          </w:rPr>
          <w:instrText xml:space="preserve"> PAGEREF _Toc131682158 \h </w:instrText>
        </w:r>
        <w:r w:rsidR="008312B3">
          <w:rPr>
            <w:noProof/>
          </w:rPr>
        </w:r>
        <w:r w:rsidR="008312B3">
          <w:rPr>
            <w:noProof/>
          </w:rPr>
          <w:fldChar w:fldCharType="separate"/>
        </w:r>
        <w:r w:rsidR="0069612A">
          <w:rPr>
            <w:noProof/>
          </w:rPr>
          <w:t>26</w:t>
        </w:r>
        <w:r w:rsidR="008312B3">
          <w:rPr>
            <w:noProof/>
          </w:rPr>
          <w:fldChar w:fldCharType="end"/>
        </w:r>
      </w:hyperlink>
    </w:p>
    <w:p w14:paraId="01B63CD6" w14:textId="71AB2950" w:rsidR="005262EB" w:rsidRDefault="00504BD8">
      <w:pPr>
        <w:pStyle w:val="11"/>
        <w:tabs>
          <w:tab w:val="right" w:leader="dot" w:pos="8296"/>
        </w:tabs>
        <w:spacing w:line="360" w:lineRule="auto"/>
        <w:rPr>
          <w:rFonts w:asciiTheme="minorHAnsi" w:eastAsiaTheme="minorEastAsia" w:hAnsiTheme="minorHAnsi" w:cstheme="minorBidi"/>
          <w:noProof/>
          <w:szCs w:val="22"/>
        </w:rPr>
      </w:pPr>
      <w:hyperlink w:anchor="_Toc131682159" w:history="1">
        <w:r w:rsidR="008312B3">
          <w:rPr>
            <w:rStyle w:val="af2"/>
            <w:rFonts w:ascii="宋体" w:hAnsi="宋体" w:hint="eastAsia"/>
            <w:b/>
            <w:noProof/>
          </w:rPr>
          <w:t>十九、其他事项</w:t>
        </w:r>
        <w:r w:rsidR="008312B3">
          <w:rPr>
            <w:noProof/>
          </w:rPr>
          <w:tab/>
        </w:r>
        <w:r w:rsidR="008312B3">
          <w:rPr>
            <w:noProof/>
          </w:rPr>
          <w:fldChar w:fldCharType="begin"/>
        </w:r>
        <w:r w:rsidR="008312B3">
          <w:rPr>
            <w:noProof/>
          </w:rPr>
          <w:instrText xml:space="preserve"> PAGEREF _Toc131682159 \h </w:instrText>
        </w:r>
        <w:r w:rsidR="008312B3">
          <w:rPr>
            <w:noProof/>
          </w:rPr>
        </w:r>
        <w:r w:rsidR="008312B3">
          <w:rPr>
            <w:noProof/>
          </w:rPr>
          <w:fldChar w:fldCharType="separate"/>
        </w:r>
        <w:r w:rsidR="0069612A">
          <w:rPr>
            <w:noProof/>
          </w:rPr>
          <w:t>26</w:t>
        </w:r>
        <w:r w:rsidR="008312B3">
          <w:rPr>
            <w:noProof/>
          </w:rPr>
          <w:fldChar w:fldCharType="end"/>
        </w:r>
      </w:hyperlink>
    </w:p>
    <w:p w14:paraId="2DA249F2" w14:textId="77777777" w:rsidR="005262EB" w:rsidRDefault="008312B3">
      <w:pPr>
        <w:spacing w:line="360" w:lineRule="auto"/>
        <w:rPr>
          <w:rFonts w:ascii="仿宋_GB2312" w:eastAsia="仿宋_GB2312"/>
          <w:szCs w:val="21"/>
        </w:rPr>
      </w:pPr>
      <w:r>
        <w:rPr>
          <w:rFonts w:ascii="宋体" w:hAnsi="宋体"/>
          <w:szCs w:val="21"/>
        </w:rPr>
        <w:fldChar w:fldCharType="end"/>
      </w:r>
    </w:p>
    <w:p w14:paraId="0C0D1D4B" w14:textId="77777777" w:rsidR="005262EB" w:rsidRDefault="005262EB">
      <w:pPr>
        <w:widowControl/>
        <w:jc w:val="left"/>
        <w:rPr>
          <w:rFonts w:ascii="仿宋_GB2312" w:eastAsia="仿宋_GB2312"/>
          <w:sz w:val="24"/>
        </w:rPr>
        <w:sectPr w:rsidR="005262EB">
          <w:headerReference w:type="default" r:id="rId18"/>
          <w:pgSz w:w="11906" w:h="16838"/>
          <w:pgMar w:top="1440" w:right="1800" w:bottom="1440" w:left="1800" w:header="851" w:footer="992" w:gutter="0"/>
          <w:pgNumType w:start="1"/>
          <w:cols w:space="720"/>
          <w:docGrid w:type="lines" w:linePitch="312"/>
        </w:sectPr>
      </w:pPr>
    </w:p>
    <w:p w14:paraId="0975FBE4" w14:textId="77777777" w:rsidR="005262EB" w:rsidRDefault="008312B3">
      <w:pPr>
        <w:jc w:val="center"/>
        <w:rPr>
          <w:rFonts w:ascii="黑体" w:eastAsia="黑体" w:hAnsi="黑体"/>
          <w:sz w:val="32"/>
          <w:szCs w:val="32"/>
        </w:rPr>
      </w:pPr>
      <w:bookmarkStart w:id="8" w:name="_Toc382819068"/>
      <w:bookmarkStart w:id="9" w:name="_Toc382818594"/>
      <w:r>
        <w:rPr>
          <w:rFonts w:ascii="黑体" w:eastAsia="黑体" w:hAnsi="黑体" w:hint="eastAsia"/>
          <w:sz w:val="32"/>
          <w:szCs w:val="32"/>
        </w:rPr>
        <w:lastRenderedPageBreak/>
        <w:t>公开募集证券投资基金托管协议</w:t>
      </w:r>
      <w:bookmarkEnd w:id="8"/>
      <w:bookmarkEnd w:id="9"/>
    </w:p>
    <w:p w14:paraId="5C33612D" w14:textId="77777777" w:rsidR="005262EB" w:rsidRDefault="005262EB">
      <w:pPr>
        <w:rPr>
          <w:lang w:val="zh-CN"/>
        </w:rPr>
      </w:pPr>
    </w:p>
    <w:p w14:paraId="400EFFBA" w14:textId="77777777" w:rsidR="005262EB" w:rsidRDefault="005262EB">
      <w:pPr>
        <w:rPr>
          <w:lang w:val="zh-CN"/>
        </w:rPr>
      </w:pPr>
    </w:p>
    <w:p w14:paraId="382DAB67" w14:textId="77777777" w:rsidR="005262EB" w:rsidRDefault="008312B3">
      <w:pPr>
        <w:spacing w:line="360" w:lineRule="auto"/>
        <w:ind w:firstLineChars="200" w:firstLine="422"/>
        <w:rPr>
          <w:b/>
          <w:bCs/>
          <w:szCs w:val="21"/>
        </w:rPr>
      </w:pPr>
      <w:bookmarkStart w:id="10" w:name="_Toc382819069"/>
      <w:r>
        <w:rPr>
          <w:rFonts w:ascii="宋体" w:hAnsi="宋体" w:hint="eastAsia"/>
          <w:b/>
          <w:szCs w:val="21"/>
        </w:rPr>
        <w:t>基金管理人：</w:t>
      </w:r>
      <w:bookmarkStart w:id="11" w:name="_Toc15118236"/>
      <w:bookmarkEnd w:id="10"/>
      <w:r>
        <w:rPr>
          <w:rFonts w:ascii="宋体" w:hAnsi="宋体" w:hint="eastAsia"/>
          <w:b/>
          <w:szCs w:val="21"/>
        </w:rPr>
        <w:t>万家基金管理有限公司</w:t>
      </w:r>
    </w:p>
    <w:p w14:paraId="4B1551EE" w14:textId="77777777" w:rsidR="005262EB" w:rsidRDefault="008312B3">
      <w:pPr>
        <w:snapToGrid w:val="0"/>
        <w:spacing w:line="360" w:lineRule="auto"/>
        <w:ind w:firstLineChars="200" w:firstLine="420"/>
        <w:rPr>
          <w:bCs/>
          <w:szCs w:val="21"/>
        </w:rPr>
      </w:pPr>
      <w:r>
        <w:rPr>
          <w:rFonts w:hint="eastAsia"/>
          <w:bCs/>
          <w:szCs w:val="21"/>
        </w:rPr>
        <w:t>住所：中国（上海）自由贸易试验区浦电路</w:t>
      </w:r>
      <w:r>
        <w:rPr>
          <w:rFonts w:hint="eastAsia"/>
          <w:bCs/>
          <w:szCs w:val="21"/>
        </w:rPr>
        <w:t>360</w:t>
      </w:r>
      <w:r>
        <w:rPr>
          <w:rFonts w:hint="eastAsia"/>
          <w:bCs/>
          <w:szCs w:val="21"/>
        </w:rPr>
        <w:t>号</w:t>
      </w:r>
      <w:r>
        <w:rPr>
          <w:rFonts w:hint="eastAsia"/>
          <w:bCs/>
          <w:szCs w:val="21"/>
        </w:rPr>
        <w:t>8</w:t>
      </w:r>
      <w:r>
        <w:rPr>
          <w:rFonts w:hint="eastAsia"/>
          <w:bCs/>
          <w:szCs w:val="21"/>
        </w:rPr>
        <w:t>层（名义楼层</w:t>
      </w:r>
      <w:r>
        <w:rPr>
          <w:rFonts w:hint="eastAsia"/>
          <w:bCs/>
          <w:szCs w:val="21"/>
        </w:rPr>
        <w:t>9</w:t>
      </w:r>
      <w:r>
        <w:rPr>
          <w:rFonts w:hint="eastAsia"/>
          <w:bCs/>
          <w:szCs w:val="21"/>
        </w:rPr>
        <w:t>层）</w:t>
      </w:r>
    </w:p>
    <w:p w14:paraId="0BF4E431" w14:textId="77777777" w:rsidR="005262EB" w:rsidRDefault="008312B3">
      <w:pPr>
        <w:snapToGrid w:val="0"/>
        <w:spacing w:line="360" w:lineRule="auto"/>
        <w:ind w:firstLineChars="200" w:firstLine="420"/>
        <w:rPr>
          <w:bCs/>
          <w:szCs w:val="21"/>
        </w:rPr>
      </w:pPr>
      <w:r>
        <w:rPr>
          <w:rFonts w:hint="eastAsia"/>
          <w:bCs/>
          <w:szCs w:val="21"/>
        </w:rPr>
        <w:t>法定代表人：方一天</w:t>
      </w:r>
    </w:p>
    <w:p w14:paraId="4CE2DF47" w14:textId="77777777" w:rsidR="005262EB" w:rsidRDefault="008312B3">
      <w:pPr>
        <w:snapToGrid w:val="0"/>
        <w:spacing w:line="360" w:lineRule="auto"/>
        <w:ind w:firstLineChars="200" w:firstLine="420"/>
        <w:rPr>
          <w:bCs/>
          <w:szCs w:val="21"/>
        </w:rPr>
      </w:pPr>
      <w:r>
        <w:rPr>
          <w:rFonts w:hint="eastAsia"/>
          <w:bCs/>
          <w:szCs w:val="21"/>
        </w:rPr>
        <w:t>设立日期：</w:t>
      </w:r>
      <w:r>
        <w:rPr>
          <w:rFonts w:hint="eastAsia"/>
          <w:bCs/>
          <w:szCs w:val="21"/>
        </w:rPr>
        <w:t>2002</w:t>
      </w:r>
      <w:r>
        <w:rPr>
          <w:rFonts w:hint="eastAsia"/>
          <w:bCs/>
          <w:szCs w:val="21"/>
        </w:rPr>
        <w:t>年</w:t>
      </w:r>
      <w:r>
        <w:rPr>
          <w:rFonts w:hint="eastAsia"/>
          <w:bCs/>
          <w:szCs w:val="21"/>
        </w:rPr>
        <w:t>8</w:t>
      </w:r>
      <w:r>
        <w:rPr>
          <w:rFonts w:hint="eastAsia"/>
          <w:bCs/>
          <w:szCs w:val="21"/>
        </w:rPr>
        <w:t>月</w:t>
      </w:r>
      <w:r>
        <w:rPr>
          <w:rFonts w:hint="eastAsia"/>
          <w:bCs/>
          <w:szCs w:val="21"/>
        </w:rPr>
        <w:t>23</w:t>
      </w:r>
      <w:r>
        <w:rPr>
          <w:rFonts w:hint="eastAsia"/>
          <w:bCs/>
          <w:szCs w:val="21"/>
        </w:rPr>
        <w:t>日</w:t>
      </w:r>
    </w:p>
    <w:p w14:paraId="369C7877" w14:textId="77777777" w:rsidR="005262EB" w:rsidRDefault="008312B3">
      <w:pPr>
        <w:snapToGrid w:val="0"/>
        <w:spacing w:line="360" w:lineRule="auto"/>
        <w:ind w:firstLineChars="200" w:firstLine="420"/>
        <w:rPr>
          <w:bCs/>
          <w:szCs w:val="21"/>
        </w:rPr>
      </w:pPr>
      <w:r>
        <w:rPr>
          <w:rFonts w:hint="eastAsia"/>
          <w:bCs/>
          <w:szCs w:val="21"/>
        </w:rPr>
        <w:t>批准设立机关及批准设立文号：中国证监会证监基金字【</w:t>
      </w:r>
      <w:r>
        <w:rPr>
          <w:rFonts w:hint="eastAsia"/>
          <w:bCs/>
          <w:szCs w:val="21"/>
        </w:rPr>
        <w:t>2002</w:t>
      </w:r>
      <w:r>
        <w:rPr>
          <w:rFonts w:hint="eastAsia"/>
          <w:bCs/>
          <w:szCs w:val="21"/>
        </w:rPr>
        <w:t>】</w:t>
      </w:r>
      <w:r>
        <w:rPr>
          <w:rFonts w:hint="eastAsia"/>
          <w:bCs/>
          <w:szCs w:val="21"/>
        </w:rPr>
        <w:t>44</w:t>
      </w:r>
      <w:r>
        <w:rPr>
          <w:rFonts w:hint="eastAsia"/>
          <w:bCs/>
          <w:szCs w:val="21"/>
        </w:rPr>
        <w:t>号</w:t>
      </w:r>
    </w:p>
    <w:p w14:paraId="2BC6469F" w14:textId="77777777" w:rsidR="005262EB" w:rsidRDefault="008312B3">
      <w:pPr>
        <w:snapToGrid w:val="0"/>
        <w:spacing w:line="360" w:lineRule="auto"/>
        <w:ind w:firstLineChars="200" w:firstLine="420"/>
        <w:rPr>
          <w:bCs/>
          <w:szCs w:val="21"/>
        </w:rPr>
      </w:pPr>
      <w:r>
        <w:rPr>
          <w:rFonts w:hint="eastAsia"/>
          <w:bCs/>
          <w:szCs w:val="21"/>
        </w:rPr>
        <w:t>组织形式：有限责任公司</w:t>
      </w:r>
    </w:p>
    <w:p w14:paraId="70900FFC" w14:textId="77777777" w:rsidR="005262EB" w:rsidRDefault="008312B3">
      <w:pPr>
        <w:snapToGrid w:val="0"/>
        <w:spacing w:line="360" w:lineRule="auto"/>
        <w:ind w:firstLineChars="200" w:firstLine="420"/>
        <w:rPr>
          <w:bCs/>
          <w:szCs w:val="21"/>
        </w:rPr>
      </w:pPr>
      <w:r>
        <w:rPr>
          <w:rFonts w:hint="eastAsia"/>
          <w:bCs/>
          <w:szCs w:val="21"/>
        </w:rPr>
        <w:t>注册资本：叁亿元人民币</w:t>
      </w:r>
    </w:p>
    <w:p w14:paraId="61C228A9" w14:textId="77777777" w:rsidR="005262EB" w:rsidRDefault="008312B3">
      <w:pPr>
        <w:snapToGrid w:val="0"/>
        <w:spacing w:line="360" w:lineRule="auto"/>
        <w:ind w:firstLineChars="200" w:firstLine="420"/>
        <w:rPr>
          <w:bCs/>
          <w:szCs w:val="21"/>
        </w:rPr>
      </w:pPr>
      <w:r>
        <w:rPr>
          <w:rFonts w:hint="eastAsia"/>
          <w:bCs/>
          <w:szCs w:val="21"/>
        </w:rPr>
        <w:t>存续期限：持续经营</w:t>
      </w:r>
    </w:p>
    <w:bookmarkEnd w:id="11"/>
    <w:p w14:paraId="7C110F45" w14:textId="77777777" w:rsidR="005262EB" w:rsidRDefault="005262EB">
      <w:pPr>
        <w:snapToGrid w:val="0"/>
        <w:spacing w:line="360" w:lineRule="auto"/>
        <w:ind w:firstLineChars="200" w:firstLine="420"/>
        <w:rPr>
          <w:rFonts w:ascii="宋体" w:hAnsi="宋体"/>
          <w:szCs w:val="21"/>
        </w:rPr>
      </w:pPr>
    </w:p>
    <w:p w14:paraId="60D18F07" w14:textId="77777777" w:rsidR="005262EB" w:rsidRDefault="008312B3">
      <w:pPr>
        <w:spacing w:line="360" w:lineRule="auto"/>
        <w:ind w:firstLineChars="200" w:firstLine="422"/>
        <w:rPr>
          <w:rFonts w:ascii="宋体" w:hAnsi="宋体"/>
          <w:b/>
          <w:szCs w:val="21"/>
        </w:rPr>
      </w:pPr>
      <w:bookmarkStart w:id="12" w:name="_Toc382819070"/>
      <w:r>
        <w:rPr>
          <w:rFonts w:ascii="宋体" w:hAnsi="宋体" w:hint="eastAsia"/>
          <w:b/>
          <w:szCs w:val="21"/>
        </w:rPr>
        <w:t>基金托管人：</w:t>
      </w:r>
      <w:r>
        <w:rPr>
          <w:rFonts w:hint="eastAsia"/>
          <w:b/>
          <w:bCs/>
          <w:szCs w:val="21"/>
        </w:rPr>
        <w:t>苏州银行股份有限公司</w:t>
      </w:r>
      <w:bookmarkEnd w:id="12"/>
    </w:p>
    <w:p w14:paraId="3885F0B8" w14:textId="77777777" w:rsidR="005262EB" w:rsidRDefault="008312B3">
      <w:pPr>
        <w:snapToGrid w:val="0"/>
        <w:spacing w:line="360" w:lineRule="auto"/>
        <w:ind w:firstLineChars="200" w:firstLine="420"/>
        <w:rPr>
          <w:bCs/>
          <w:szCs w:val="21"/>
        </w:rPr>
      </w:pPr>
      <w:r>
        <w:rPr>
          <w:bCs/>
          <w:szCs w:val="21"/>
        </w:rPr>
        <w:t>住所</w:t>
      </w:r>
      <w:r>
        <w:rPr>
          <w:rFonts w:hint="eastAsia"/>
          <w:bCs/>
          <w:szCs w:val="21"/>
        </w:rPr>
        <w:t>：中国（江苏）自由贸易试验区苏州片区苏州工业园区钟园路</w:t>
      </w:r>
      <w:r>
        <w:rPr>
          <w:bCs/>
          <w:szCs w:val="21"/>
        </w:rPr>
        <w:t>728</w:t>
      </w:r>
      <w:r>
        <w:rPr>
          <w:rFonts w:hint="eastAsia"/>
          <w:bCs/>
          <w:szCs w:val="21"/>
        </w:rPr>
        <w:t>号</w:t>
      </w:r>
    </w:p>
    <w:p w14:paraId="6CB26FF2" w14:textId="77777777" w:rsidR="005262EB" w:rsidRDefault="008312B3">
      <w:pPr>
        <w:snapToGrid w:val="0"/>
        <w:spacing w:line="360" w:lineRule="auto"/>
        <w:ind w:firstLineChars="200" w:firstLine="420"/>
        <w:rPr>
          <w:bCs/>
          <w:szCs w:val="21"/>
        </w:rPr>
      </w:pPr>
      <w:r>
        <w:rPr>
          <w:rFonts w:hint="eastAsia"/>
          <w:bCs/>
          <w:szCs w:val="21"/>
        </w:rPr>
        <w:t>法定代表人：崔庆军</w:t>
      </w:r>
    </w:p>
    <w:p w14:paraId="47B998F5" w14:textId="77777777" w:rsidR="005262EB" w:rsidRDefault="008312B3">
      <w:pPr>
        <w:snapToGrid w:val="0"/>
        <w:spacing w:line="360" w:lineRule="auto"/>
        <w:ind w:firstLineChars="200" w:firstLine="420"/>
        <w:rPr>
          <w:bCs/>
          <w:szCs w:val="21"/>
        </w:rPr>
      </w:pPr>
      <w:r>
        <w:rPr>
          <w:rFonts w:hint="eastAsia"/>
          <w:bCs/>
          <w:szCs w:val="21"/>
        </w:rPr>
        <w:t>成立日期：</w:t>
      </w:r>
      <w:r>
        <w:rPr>
          <w:bCs/>
          <w:szCs w:val="21"/>
        </w:rPr>
        <w:t>2004</w:t>
      </w:r>
      <w:r>
        <w:rPr>
          <w:rFonts w:hint="eastAsia"/>
          <w:bCs/>
          <w:szCs w:val="21"/>
        </w:rPr>
        <w:t>年</w:t>
      </w:r>
      <w:r>
        <w:rPr>
          <w:bCs/>
          <w:szCs w:val="21"/>
        </w:rPr>
        <w:t>12</w:t>
      </w:r>
      <w:r>
        <w:rPr>
          <w:rFonts w:hint="eastAsia"/>
          <w:bCs/>
          <w:szCs w:val="21"/>
        </w:rPr>
        <w:t>月</w:t>
      </w:r>
      <w:r>
        <w:rPr>
          <w:bCs/>
          <w:szCs w:val="21"/>
        </w:rPr>
        <w:t>24</w:t>
      </w:r>
      <w:r>
        <w:rPr>
          <w:rFonts w:hint="eastAsia"/>
          <w:bCs/>
          <w:szCs w:val="21"/>
        </w:rPr>
        <w:t>日</w:t>
      </w:r>
    </w:p>
    <w:p w14:paraId="793C8E09" w14:textId="77777777" w:rsidR="005262EB" w:rsidRDefault="008312B3">
      <w:pPr>
        <w:snapToGrid w:val="0"/>
        <w:spacing w:line="360" w:lineRule="auto"/>
        <w:ind w:firstLineChars="200" w:firstLine="420"/>
        <w:rPr>
          <w:bCs/>
          <w:szCs w:val="21"/>
        </w:rPr>
      </w:pPr>
      <w:r>
        <w:rPr>
          <w:rFonts w:hint="eastAsia"/>
          <w:bCs/>
          <w:szCs w:val="21"/>
        </w:rPr>
        <w:t>批准设立机关和批准设立文号：中国银监会银监复</w:t>
      </w:r>
      <w:r>
        <w:rPr>
          <w:rFonts w:hint="eastAsia"/>
          <w:bCs/>
          <w:szCs w:val="21"/>
        </w:rPr>
        <w:t>[2010]440</w:t>
      </w:r>
      <w:r>
        <w:rPr>
          <w:rFonts w:hint="eastAsia"/>
          <w:bCs/>
          <w:szCs w:val="21"/>
        </w:rPr>
        <w:t>号</w:t>
      </w:r>
    </w:p>
    <w:p w14:paraId="1680870E" w14:textId="77777777" w:rsidR="005262EB" w:rsidRDefault="008312B3">
      <w:pPr>
        <w:snapToGrid w:val="0"/>
        <w:spacing w:line="360" w:lineRule="auto"/>
        <w:ind w:firstLineChars="200" w:firstLine="420"/>
        <w:rPr>
          <w:bCs/>
          <w:szCs w:val="21"/>
        </w:rPr>
      </w:pPr>
      <w:r>
        <w:rPr>
          <w:rFonts w:hint="eastAsia"/>
          <w:bCs/>
          <w:szCs w:val="21"/>
        </w:rPr>
        <w:t>基金托管资格批文及文号：中国证监会证监许可</w:t>
      </w:r>
      <w:r>
        <w:rPr>
          <w:rFonts w:hint="eastAsia"/>
          <w:bCs/>
          <w:szCs w:val="21"/>
        </w:rPr>
        <w:t>[2022]545</w:t>
      </w:r>
      <w:r>
        <w:rPr>
          <w:rFonts w:hint="eastAsia"/>
          <w:bCs/>
          <w:szCs w:val="21"/>
        </w:rPr>
        <w:t>号</w:t>
      </w:r>
    </w:p>
    <w:p w14:paraId="58A98491" w14:textId="77777777" w:rsidR="005262EB" w:rsidRDefault="008312B3">
      <w:pPr>
        <w:snapToGrid w:val="0"/>
        <w:spacing w:line="360" w:lineRule="auto"/>
        <w:ind w:firstLineChars="200" w:firstLine="420"/>
        <w:rPr>
          <w:bCs/>
          <w:szCs w:val="21"/>
        </w:rPr>
      </w:pPr>
      <w:r>
        <w:rPr>
          <w:rFonts w:hint="eastAsia"/>
          <w:bCs/>
          <w:szCs w:val="21"/>
        </w:rPr>
        <w:t>组织形式：股份有限公司</w:t>
      </w:r>
    </w:p>
    <w:p w14:paraId="2788DBAD" w14:textId="77777777" w:rsidR="005262EB" w:rsidRDefault="008312B3">
      <w:pPr>
        <w:snapToGrid w:val="0"/>
        <w:spacing w:line="360" w:lineRule="auto"/>
        <w:ind w:firstLineChars="200" w:firstLine="420"/>
        <w:rPr>
          <w:bCs/>
          <w:szCs w:val="21"/>
        </w:rPr>
      </w:pPr>
      <w:r>
        <w:rPr>
          <w:rFonts w:hint="eastAsia"/>
          <w:bCs/>
          <w:szCs w:val="21"/>
        </w:rPr>
        <w:t>注册资本：</w:t>
      </w:r>
      <w:r>
        <w:rPr>
          <w:bCs/>
          <w:szCs w:val="21"/>
        </w:rPr>
        <w:t>366672.4356</w:t>
      </w:r>
      <w:r>
        <w:rPr>
          <w:rFonts w:hint="eastAsia"/>
          <w:bCs/>
          <w:szCs w:val="21"/>
        </w:rPr>
        <w:t>万元人民币</w:t>
      </w:r>
    </w:p>
    <w:p w14:paraId="6E896DFB" w14:textId="77777777" w:rsidR="005262EB" w:rsidRDefault="008312B3">
      <w:pPr>
        <w:snapToGrid w:val="0"/>
        <w:spacing w:line="360" w:lineRule="auto"/>
        <w:ind w:firstLineChars="200" w:firstLine="420"/>
        <w:rPr>
          <w:bCs/>
          <w:szCs w:val="21"/>
        </w:rPr>
      </w:pPr>
      <w:r>
        <w:rPr>
          <w:rFonts w:hint="eastAsia"/>
          <w:bCs/>
          <w:szCs w:val="21"/>
        </w:rPr>
        <w:t>存续期限：持续经营</w:t>
      </w:r>
    </w:p>
    <w:p w14:paraId="57C5F7C0" w14:textId="77777777" w:rsidR="005262EB" w:rsidRDefault="005262EB">
      <w:pPr>
        <w:spacing w:line="360" w:lineRule="auto"/>
        <w:ind w:firstLineChars="200" w:firstLine="420"/>
        <w:rPr>
          <w:rFonts w:ascii="宋体" w:hAnsi="宋体"/>
          <w:szCs w:val="21"/>
        </w:rPr>
      </w:pPr>
    </w:p>
    <w:p w14:paraId="7A9B1163" w14:textId="77777777" w:rsidR="005262EB" w:rsidRDefault="005262EB">
      <w:pPr>
        <w:spacing w:line="360" w:lineRule="auto"/>
        <w:rPr>
          <w:rFonts w:ascii="宋体" w:hAnsi="宋体"/>
          <w:sz w:val="24"/>
        </w:rPr>
      </w:pPr>
    </w:p>
    <w:p w14:paraId="1973EBA0" w14:textId="77777777" w:rsidR="005262EB" w:rsidRDefault="005262EB">
      <w:pPr>
        <w:spacing w:line="360" w:lineRule="auto"/>
        <w:ind w:firstLineChars="200" w:firstLine="480"/>
        <w:rPr>
          <w:rFonts w:ascii="宋体" w:hAnsi="宋体"/>
          <w:sz w:val="24"/>
        </w:rPr>
      </w:pPr>
    </w:p>
    <w:p w14:paraId="7DB0D7C3" w14:textId="77777777" w:rsidR="005262EB" w:rsidRDefault="008312B3">
      <w:pPr>
        <w:spacing w:beforeLines="100" w:before="312" w:afterLines="100" w:after="312" w:line="240" w:lineRule="atLeast"/>
        <w:jc w:val="center"/>
        <w:outlineLvl w:val="0"/>
        <w:rPr>
          <w:rFonts w:ascii="宋体" w:hAnsi="宋体"/>
          <w:b/>
          <w:sz w:val="24"/>
        </w:rPr>
      </w:pPr>
      <w:r>
        <w:rPr>
          <w:rFonts w:ascii="宋体" w:hAnsi="宋体"/>
          <w:b/>
          <w:sz w:val="24"/>
        </w:rPr>
        <w:br w:type="page"/>
      </w:r>
    </w:p>
    <w:p w14:paraId="3B4031EC" w14:textId="77777777" w:rsidR="005262EB" w:rsidRDefault="008312B3">
      <w:pPr>
        <w:spacing w:beforeLines="100" w:before="312" w:afterLines="50" w:after="156" w:line="240" w:lineRule="atLeast"/>
        <w:jc w:val="center"/>
        <w:outlineLvl w:val="0"/>
        <w:rPr>
          <w:rFonts w:ascii="宋体" w:hAnsi="宋体"/>
          <w:b/>
          <w:sz w:val="24"/>
        </w:rPr>
      </w:pPr>
      <w:bookmarkStart w:id="13" w:name="_Toc131682141"/>
      <w:r>
        <w:rPr>
          <w:rFonts w:ascii="宋体" w:hAnsi="宋体" w:hint="eastAsia"/>
          <w:b/>
          <w:sz w:val="24"/>
        </w:rPr>
        <w:lastRenderedPageBreak/>
        <w:t>一、基金托管协议的依据、目的、原则和解释</w:t>
      </w:r>
      <w:bookmarkEnd w:id="13"/>
    </w:p>
    <w:p w14:paraId="431AFFA3"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（一）依据</w:t>
      </w:r>
    </w:p>
    <w:p w14:paraId="54E11671" w14:textId="21332CF8" w:rsidR="005262EB" w:rsidRDefault="008312B3">
      <w:pPr>
        <w:snapToGrid w:val="0"/>
        <w:spacing w:line="360" w:lineRule="auto"/>
        <w:ind w:firstLineChars="200" w:firstLine="420"/>
        <w:rPr>
          <w:rFonts w:ascii="宋体" w:hAnsi="宋体"/>
          <w:szCs w:val="21"/>
        </w:rPr>
      </w:pPr>
      <w:r>
        <w:rPr>
          <w:rFonts w:ascii="宋体" w:hAnsi="宋体" w:hint="eastAsia"/>
          <w:szCs w:val="21"/>
        </w:rPr>
        <w:t>本协议依据《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公开募集开放式证券投资基金流动性风险管理规定》（以下简称</w:t>
      </w:r>
      <w:r>
        <w:rPr>
          <w:rFonts w:ascii="宋体" w:hAnsi="宋体"/>
          <w:szCs w:val="21"/>
        </w:rPr>
        <w:t>“</w:t>
      </w:r>
      <w:r>
        <w:rPr>
          <w:rFonts w:ascii="宋体" w:hAnsi="宋体" w:hint="eastAsia"/>
          <w:szCs w:val="21"/>
        </w:rPr>
        <w:t>《流动性风险管理规定》</w:t>
      </w:r>
      <w:r>
        <w:rPr>
          <w:rFonts w:ascii="宋体" w:hAnsi="宋体"/>
          <w:szCs w:val="21"/>
        </w:rPr>
        <w:t>”</w:t>
      </w:r>
      <w:r>
        <w:rPr>
          <w:rFonts w:ascii="宋体" w:hAnsi="宋体" w:hint="eastAsia"/>
          <w:szCs w:val="21"/>
        </w:rPr>
        <w:t>）、《证券投资基金托管业务管理办法》、《证券投资基金信息披露内容与格式准则第7号〈托管协议的内容与格式〉》、《万家</w:t>
      </w:r>
      <w:r w:rsidR="00EB1A02">
        <w:rPr>
          <w:rFonts w:ascii="宋体" w:hAnsi="宋体" w:hint="eastAsia"/>
          <w:szCs w:val="21"/>
        </w:rPr>
        <w:t>泓裕成长驱动</w:t>
      </w:r>
      <w:r>
        <w:rPr>
          <w:rFonts w:ascii="宋体" w:hAnsi="宋体" w:hint="eastAsia"/>
          <w:szCs w:val="21"/>
        </w:rPr>
        <w:t>混合型发起式证券投资基金基金合同》（以下简称《基金合同》）及其他有关法律、法规制定。</w:t>
      </w:r>
    </w:p>
    <w:p w14:paraId="01FB210F"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（二）目的</w:t>
      </w:r>
    </w:p>
    <w:p w14:paraId="24E82475"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本协议的目的是明确基金托管人与基金管理人之间在基金财产的保管、投资运作、净值计算、收益分配、信息披露及相互监督等有关事宜中的权利、义务及职责，确保基金财产的安全，保护基金份额持有人的合法权益。</w:t>
      </w:r>
    </w:p>
    <w:p w14:paraId="6AAC6849"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（三）原则</w:t>
      </w:r>
    </w:p>
    <w:p w14:paraId="5C888A8F"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基金管理人和基金托管人本着平等自愿、诚实信用、充分保护基金份额持有人合法权益的原则，经协商一致，签订本协议。</w:t>
      </w:r>
    </w:p>
    <w:p w14:paraId="6726A2D9"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（四）解释</w:t>
      </w:r>
    </w:p>
    <w:p w14:paraId="5DAAD4AF"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除非本协议另有约定，本协议所有术语与《基金合同》的相应术语具有相同含义。</w:t>
      </w:r>
    </w:p>
    <w:p w14:paraId="65E6DE8B"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（五）若本基金实施侧袋机制的，侧袋机制实施期间的相关安排见基金合同和招募说明书的规定。</w:t>
      </w:r>
    </w:p>
    <w:p w14:paraId="5909BEB8" w14:textId="77777777" w:rsidR="005262EB" w:rsidRDefault="008312B3">
      <w:pPr>
        <w:spacing w:beforeLines="100" w:before="312" w:afterLines="50" w:after="156" w:line="240" w:lineRule="atLeast"/>
        <w:jc w:val="center"/>
        <w:outlineLvl w:val="0"/>
        <w:rPr>
          <w:rFonts w:ascii="宋体" w:hAnsi="宋体"/>
          <w:b/>
          <w:sz w:val="24"/>
        </w:rPr>
      </w:pPr>
      <w:bookmarkStart w:id="14" w:name="_Toc131682142"/>
      <w:bookmarkStart w:id="15" w:name="_Toc382819073"/>
      <w:r>
        <w:rPr>
          <w:rFonts w:ascii="宋体" w:hAnsi="宋体" w:hint="eastAsia"/>
          <w:b/>
          <w:sz w:val="24"/>
        </w:rPr>
        <w:t>二、基金托管人对基金管理人的业务监督和核查</w:t>
      </w:r>
      <w:bookmarkEnd w:id="14"/>
    </w:p>
    <w:p w14:paraId="5DC3249F" w14:textId="77777777" w:rsidR="005262EB" w:rsidRDefault="008312B3">
      <w:pPr>
        <w:widowControl/>
        <w:snapToGrid w:val="0"/>
        <w:spacing w:line="360" w:lineRule="auto"/>
        <w:ind w:firstLineChars="200" w:firstLine="420"/>
        <w:jc w:val="left"/>
        <w:rPr>
          <w:rFonts w:ascii="宋体" w:hAnsi="宋体"/>
          <w:szCs w:val="21"/>
        </w:rPr>
      </w:pPr>
      <w:r>
        <w:rPr>
          <w:rFonts w:ascii="宋体" w:hAnsi="宋体" w:hint="eastAsia"/>
          <w:szCs w:val="21"/>
        </w:rPr>
        <w:t>（一）基金托管人对基金管理人的投资行为行使监督权</w:t>
      </w:r>
      <w:bookmarkEnd w:id="15"/>
    </w:p>
    <w:p w14:paraId="291B32FD" w14:textId="77777777" w:rsidR="005262EB" w:rsidRDefault="008312B3">
      <w:pPr>
        <w:widowControl/>
        <w:snapToGrid w:val="0"/>
        <w:spacing w:line="360" w:lineRule="auto"/>
        <w:ind w:firstLineChars="200" w:firstLine="420"/>
        <w:jc w:val="left"/>
        <w:rPr>
          <w:rFonts w:ascii="宋体" w:hAnsi="宋体"/>
          <w:szCs w:val="21"/>
        </w:rPr>
      </w:pPr>
      <w:r>
        <w:rPr>
          <w:rFonts w:ascii="宋体" w:hAnsi="宋体" w:hint="eastAsia"/>
          <w:szCs w:val="21"/>
        </w:rPr>
        <w:t>1、基金托管人根据有关法律法规的规定和《基金合同》的约定，对下述基金投资范围进行监督。</w:t>
      </w:r>
    </w:p>
    <w:p w14:paraId="6C4D19A0" w14:textId="77777777" w:rsidR="005262EB" w:rsidRDefault="008312B3">
      <w:pPr>
        <w:snapToGrid w:val="0"/>
        <w:spacing w:line="360" w:lineRule="auto"/>
        <w:ind w:firstLine="482"/>
        <w:rPr>
          <w:rFonts w:ascii="宋体" w:hAnsi="宋体"/>
          <w:szCs w:val="21"/>
        </w:rPr>
      </w:pPr>
      <w:r>
        <w:rPr>
          <w:rFonts w:ascii="宋体" w:hAnsi="宋体" w:hint="eastAsia"/>
          <w:szCs w:val="21"/>
        </w:rPr>
        <w:t>本基金的主要投资范围为具有良好流动性的金融工具，包括国内依法发行上市的股票（包括主板、创业板以及其他中国证监会允许上市的股票、存托凭证）、港股通标的股票、股指期货、国债期货、股票期权以及债券（包括国债、央行票据、地方政府债、金融债、企业债、公司债、证券公司短期公司债、政府支持机构债、次级债、中期票据、短期融资券、超短期融资券、可转换债券（含可分离交易可转债）、可交换债券等）、资产支持证券、债券回购、银行存款、同业存单、货币市场工具、信用衍生品以及法律法规或中国证监会允许基金投资的其他金融工具（但须符合中国证监会的相关规定）。</w:t>
      </w:r>
    </w:p>
    <w:p w14:paraId="7584A47A" w14:textId="64D6045E" w:rsidR="005262EB" w:rsidRDefault="008312B3">
      <w:pPr>
        <w:snapToGrid w:val="0"/>
        <w:spacing w:line="360" w:lineRule="auto"/>
        <w:ind w:firstLine="482"/>
        <w:rPr>
          <w:rFonts w:ascii="宋体" w:hAnsi="宋体"/>
          <w:szCs w:val="21"/>
        </w:rPr>
      </w:pPr>
      <w:r>
        <w:rPr>
          <w:rFonts w:ascii="宋体" w:hAnsi="宋体" w:hint="eastAsia"/>
          <w:szCs w:val="21"/>
        </w:rPr>
        <w:t>本基金可根据法律法规的规定参与融资业务。在条件许可的情况下，本基金可根据相关法律法规，在履行适当程序后，参与融券业务和转融通证券出借业务。</w:t>
      </w:r>
    </w:p>
    <w:p w14:paraId="68054B30" w14:textId="77777777" w:rsidR="005262EB" w:rsidRDefault="008312B3">
      <w:pPr>
        <w:snapToGrid w:val="0"/>
        <w:spacing w:line="360" w:lineRule="auto"/>
        <w:ind w:firstLine="480"/>
        <w:rPr>
          <w:rFonts w:ascii="宋体" w:hAnsi="宋体"/>
          <w:szCs w:val="21"/>
        </w:rPr>
      </w:pPr>
      <w:r>
        <w:rPr>
          <w:rFonts w:ascii="宋体" w:hAnsi="宋体" w:hint="eastAsia"/>
          <w:szCs w:val="21"/>
        </w:rPr>
        <w:lastRenderedPageBreak/>
        <w:t>如法律法规或监管机构以后允许基金投资其他品种，基金管理人在履行适当程序后，可以将其纳入投资范围。</w:t>
      </w:r>
    </w:p>
    <w:p w14:paraId="222A69D4"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2、基金托管人根据有关法律法规的规定和《基金合同》的约定，对下述基金投资比例进行监督：</w:t>
      </w:r>
    </w:p>
    <w:p w14:paraId="6FB3EEE5" w14:textId="77777777" w:rsidR="005262EB" w:rsidRDefault="008312B3">
      <w:pPr>
        <w:snapToGrid w:val="0"/>
        <w:spacing w:line="360" w:lineRule="auto"/>
        <w:ind w:firstLine="480"/>
        <w:rPr>
          <w:rFonts w:ascii="宋体" w:hAnsi="宋体"/>
          <w:szCs w:val="21"/>
        </w:rPr>
      </w:pPr>
      <w:r>
        <w:rPr>
          <w:rFonts w:ascii="宋体" w:hAnsi="宋体" w:hint="eastAsia"/>
          <w:szCs w:val="21"/>
        </w:rPr>
        <w:t>（1）按法律法规的规定和《基金合同》的约定，本基金的投资资产配置比例为：</w:t>
      </w:r>
    </w:p>
    <w:p w14:paraId="7EF02F5C" w14:textId="6B31B652" w:rsidR="005262EB" w:rsidRDefault="008312B3">
      <w:pPr>
        <w:snapToGrid w:val="0"/>
        <w:spacing w:line="360" w:lineRule="auto"/>
        <w:ind w:firstLine="420"/>
        <w:rPr>
          <w:rFonts w:ascii="宋体" w:hAnsi="宋体"/>
          <w:szCs w:val="21"/>
        </w:rPr>
      </w:pPr>
      <w:r>
        <w:rPr>
          <w:rFonts w:ascii="宋体" w:hAnsi="宋体" w:hint="eastAsia"/>
          <w:szCs w:val="21"/>
        </w:rPr>
        <w:t>本基金股票资产占基金资产的比例为60%-95%，其中投资于港股通标的股票的比例不超过股票资产的50%；每个交易日日终在扣除股票期权、股指期货和国债期货合约需缴纳的交易保证金后，保持不低于基金资产净值5%的现金或者到期日在一年以内的政府债券，其中现金不包括结算备付金、存出保证金和应收申购款等。</w:t>
      </w:r>
    </w:p>
    <w:p w14:paraId="019D8F8A" w14:textId="77777777" w:rsidR="005262EB" w:rsidRDefault="008312B3">
      <w:pPr>
        <w:snapToGrid w:val="0"/>
        <w:spacing w:line="360" w:lineRule="auto"/>
        <w:ind w:firstLine="480"/>
        <w:rPr>
          <w:rFonts w:ascii="宋体" w:hAnsi="宋体"/>
          <w:szCs w:val="21"/>
        </w:rPr>
      </w:pPr>
      <w:r>
        <w:rPr>
          <w:rFonts w:ascii="宋体" w:hAnsi="宋体" w:hint="eastAsia"/>
          <w:szCs w:val="21"/>
        </w:rPr>
        <w:t>如法律法规或监管机构以后变更基金投资品种的投资比例限制，基金管理人在履行适当程序后，可以做出相应调整。</w:t>
      </w:r>
    </w:p>
    <w:p w14:paraId="4B0A7CA5" w14:textId="77777777" w:rsidR="005262EB" w:rsidRDefault="008312B3">
      <w:pPr>
        <w:snapToGrid w:val="0"/>
        <w:spacing w:line="360" w:lineRule="auto"/>
        <w:ind w:firstLine="480"/>
        <w:rPr>
          <w:rFonts w:ascii="宋体" w:hAnsi="宋体"/>
          <w:szCs w:val="21"/>
        </w:rPr>
      </w:pPr>
      <w:r>
        <w:rPr>
          <w:rFonts w:ascii="宋体" w:hAnsi="宋体" w:hint="eastAsia"/>
          <w:szCs w:val="21"/>
        </w:rPr>
        <w:t xml:space="preserve">（2）根据法律法规的规定和《基金合同》的约定，本基金投资组合遵循以下投资限制： </w:t>
      </w:r>
    </w:p>
    <w:p w14:paraId="51EFEAF8"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1）本基金股票资产占基金资产的比例为60%-95%，其中投资于港股通标的股票的比例不超过股票资产的50%；</w:t>
      </w:r>
    </w:p>
    <w:p w14:paraId="7C15FFEF"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2）每个交易日日终在扣除股票期权、股指期货和国债期货合约需缴纳的交易保证金后，保持不低于基金资产净值5%的现金或者到期日在一年以内的政府债券，其中现金不包括结算备付金、存出保证金和应收申购款等；</w:t>
      </w:r>
    </w:p>
    <w:p w14:paraId="73087DD7"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3）本基金参与融资业务，在任何交易日日终，持有的融资买入股票与其他有价证券市值之和，不得超过基金资产净值的95%；</w:t>
      </w:r>
    </w:p>
    <w:p w14:paraId="27D0916D"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4）本基金持有一家公司发行的证券（同一家公司在境内和香港同时上市的A+H股合计计算），其市值不超过基金资产净值的10%；</w:t>
      </w:r>
    </w:p>
    <w:p w14:paraId="0767C0DE"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5）本基金管理人管理的全部基金持有一家公司发行的证券（同一家公司在境内和香港同时上市的A+H股合计计算），不超过该证券的10%，完全按照有关指数的构成比例进行证券投资的基金品种可以不受此条款规定的比例限制；</w:t>
      </w:r>
    </w:p>
    <w:p w14:paraId="325EB5F4"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6）本基金投资于同一原始权益人的各类资产支持证券的比例，不得超过基金资产净值的10%；</w:t>
      </w:r>
    </w:p>
    <w:p w14:paraId="7677190B"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7）本基金持有的全部资产支持证券，其市值不得超过基金资产净值的20%；</w:t>
      </w:r>
    </w:p>
    <w:p w14:paraId="5208BF2B"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8）本基金持有的同一（指同一信用级别）资产支持证券的比例，不得超过该资产支持证券规模的10%；</w:t>
      </w:r>
    </w:p>
    <w:p w14:paraId="349ABE59"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9）本基金管理人管理的全部基金投资于同一原始权益人的各类资产支持证券，不得超过其各类资产支持证券合计规模的10%；</w:t>
      </w:r>
    </w:p>
    <w:p w14:paraId="2F851B20"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10）本基金应投资于信用级别评级为BBB以上（含BBB）的资产支持证券。基金持有资产支持证券期间，如果其信用等级下降、不再符合投资标准，应在评级报告发布之日起3个月内予以全部卖出；</w:t>
      </w:r>
    </w:p>
    <w:p w14:paraId="206E5658"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lastRenderedPageBreak/>
        <w:t>11）基金财产参与股票发行申购，本基金所申报的金额不超过本基金的总资产，本基金所申报的股票数量不超过拟发行股票公司本次发行股票的总量；</w:t>
      </w:r>
    </w:p>
    <w:p w14:paraId="43F33EE4"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12）本基金持有单只证券公司短期公司债券，其市值不得超过本基金资产净值的10%；</w:t>
      </w:r>
    </w:p>
    <w:p w14:paraId="65C09142"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13）本基金参与股指期货、国债期货交易，需遵循下述投资比例限制：</w:t>
      </w:r>
    </w:p>
    <w:p w14:paraId="2791886A"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本基金在任何交易日日终，持有的买入股指期货合约价值不得超过基金资产净值的10%；本基金在任何交易日日终，持有的买入股指期货及国债期货合约价值与有价证券市值之和，不得超过基金资产净值的95%，其中，有价证券指股票、债券（不含到期日在一年以内的政府债券）、资产支持证券、买入返售金融资产（不含质押式回购）等；本基金在任何交易日终，持有的卖出股指期货合约价值不得超过基金持有的股票总市值的20%；本基金在任何交易日内交易（不包括平仓）的股指期货合约的成交金额不得超过上一交易日基金资产净值的20%；本基金所持有的股票市值和买入、卖出股指期货合约价值，合计（轧差计算）占基金资产的比例应当符合《基金合同》关于股票投资比例的有关规定；</w:t>
      </w:r>
    </w:p>
    <w:p w14:paraId="152B1284"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本基金在任何交易日日终，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14:paraId="30721AC9"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14）本基金参与股票期权交易，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14:paraId="247A59C7"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15）本基金基金资产总值不超过基金资产净值的140%；</w:t>
      </w:r>
    </w:p>
    <w:p w14:paraId="04D2E915"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16）本基金管理人管理的全部开放式基金（包括开放式基金以及处于开放期的定期开放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2A44908A"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17）本基金主动投资于流动性受限资产的市值合计不得超过该基金资产净值的15%；因证券/期货市场波动、上市公司股票停牌、基金规模变动等基金管理人之外的因素致使基金不符合该比例限制的，基金管理人不得主动新增流动性受限资产的投资；</w:t>
      </w:r>
    </w:p>
    <w:p w14:paraId="2369C3AB"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18）本基金与私募类证券资管产品及中国证监会认定的其他主体为交易对手开展逆回购交易的，可接受质押品的资质要求应当与基金合同约定的投资范围保持一致；</w:t>
      </w:r>
    </w:p>
    <w:p w14:paraId="2B84402E"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lastRenderedPageBreak/>
        <w:t>19）本基金参与信用衍生品交易的，不得持有信用风险保护卖方属性的信用衍生品，不持有合约类信用衍生品，持有的信用衍生品的名义本金不得超过本基金对应受保护债券面值的100%；本基金投资于同一信用风险保护卖方的各类信用衍生品的名义本金合计不得超过基金资产净值的10%。因证券/期货市场波动、证券发行人合并、基金规模变动等基金管理人之外的因素致使基金不符合前述所规定比例限制的，基金管理人应在3个月之内进行调整；</w:t>
      </w:r>
    </w:p>
    <w:p w14:paraId="0B9EDC03"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20）本基金投资存托凭证的比例限制依照境内上市交易的股票执行，与境内上市交易的股票合并计算；</w:t>
      </w:r>
    </w:p>
    <w:p w14:paraId="686B1483"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21）法律法规及中国证监会规定的和《基金合同》约定的其他投资限制。</w:t>
      </w:r>
    </w:p>
    <w:p w14:paraId="6EFED2FC"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除上述2）、10）、17）、18）、19）情形外，因证券/期货市场波动、证券发行人合并、基金规模变动等基金管理人之外的因素致使基金投资比例不符合上述规定投资比例的，基金管理人应当在10个交易日内进行调整，但中国证监会规定的特殊情形及法律法规另有规定的除外。</w:t>
      </w:r>
    </w:p>
    <w:p w14:paraId="51B213AD" w14:textId="5BD179CC"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34A53025"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 xml:space="preserve">3、基金托管人根据有关法律法规的规定和《基金合同》的约定，对下述基金投资禁止行为通过事后监督方式进行监督： </w:t>
      </w:r>
    </w:p>
    <w:p w14:paraId="61347D04" w14:textId="77777777" w:rsidR="005262EB" w:rsidRDefault="008312B3">
      <w:pPr>
        <w:snapToGrid w:val="0"/>
        <w:spacing w:line="360" w:lineRule="auto"/>
        <w:ind w:left="1" w:firstLineChars="225" w:firstLine="473"/>
        <w:rPr>
          <w:rFonts w:ascii="宋体" w:hAnsi="宋体"/>
          <w:szCs w:val="21"/>
        </w:rPr>
      </w:pPr>
      <w:r>
        <w:rPr>
          <w:rFonts w:ascii="宋体" w:hAnsi="宋体" w:hint="eastAsia"/>
          <w:szCs w:val="21"/>
        </w:rPr>
        <w:t>根据法律法规的规定和《基金合同》的约定，本基金禁止从事下列行为：</w:t>
      </w:r>
    </w:p>
    <w:p w14:paraId="62987EB1"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）承销证券；</w:t>
      </w:r>
    </w:p>
    <w:p w14:paraId="1F792339"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）违反规定向他人贷款或者提供担保；</w:t>
      </w:r>
    </w:p>
    <w:p w14:paraId="743ACA30"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w:t>
      </w:r>
      <w:r>
        <w:rPr>
          <w:rFonts w:ascii="宋体" w:hAnsi="宋体"/>
          <w:szCs w:val="21"/>
        </w:rPr>
        <w:t>3</w:t>
      </w:r>
      <w:r>
        <w:rPr>
          <w:rFonts w:ascii="宋体" w:hAnsi="宋体" w:hint="eastAsia"/>
          <w:szCs w:val="21"/>
        </w:rPr>
        <w:t>）从事承担无限责任的投资；</w:t>
      </w:r>
    </w:p>
    <w:p w14:paraId="4E589ED0" w14:textId="6D76566E" w:rsidR="005262EB" w:rsidRDefault="008312B3">
      <w:pPr>
        <w:snapToGrid w:val="0"/>
        <w:spacing w:line="360" w:lineRule="auto"/>
        <w:ind w:firstLineChars="200" w:firstLine="420"/>
        <w:rPr>
          <w:rFonts w:ascii="宋体" w:hAnsi="宋体"/>
          <w:szCs w:val="21"/>
        </w:rPr>
      </w:pPr>
      <w:r>
        <w:rPr>
          <w:rFonts w:ascii="宋体" w:hAnsi="宋体" w:hint="eastAsia"/>
          <w:szCs w:val="21"/>
        </w:rPr>
        <w:t>（</w:t>
      </w:r>
      <w:r>
        <w:rPr>
          <w:rFonts w:ascii="宋体" w:hAnsi="宋体"/>
          <w:szCs w:val="21"/>
        </w:rPr>
        <w:t>4</w:t>
      </w:r>
      <w:r>
        <w:rPr>
          <w:rFonts w:ascii="宋体" w:hAnsi="宋体" w:hint="eastAsia"/>
          <w:szCs w:val="21"/>
        </w:rPr>
        <w:t>）向其基金管理人、基金托管人出资；</w:t>
      </w:r>
    </w:p>
    <w:p w14:paraId="3937F225" w14:textId="6FDE9CA4" w:rsidR="005262EB" w:rsidRDefault="008312B3">
      <w:pPr>
        <w:snapToGrid w:val="0"/>
        <w:spacing w:line="360" w:lineRule="auto"/>
        <w:ind w:firstLineChars="200" w:firstLine="420"/>
        <w:rPr>
          <w:rFonts w:ascii="宋体" w:hAnsi="宋体"/>
          <w:szCs w:val="21"/>
        </w:rPr>
      </w:pPr>
      <w:r>
        <w:rPr>
          <w:rFonts w:ascii="宋体" w:hAnsi="宋体" w:hint="eastAsia"/>
          <w:szCs w:val="21"/>
        </w:rPr>
        <w:t>（</w:t>
      </w:r>
      <w:r>
        <w:rPr>
          <w:rFonts w:ascii="宋体" w:hAnsi="宋体"/>
          <w:szCs w:val="21"/>
        </w:rPr>
        <w:t>5</w:t>
      </w:r>
      <w:r>
        <w:rPr>
          <w:rFonts w:ascii="宋体" w:hAnsi="宋体" w:hint="eastAsia"/>
          <w:szCs w:val="21"/>
        </w:rPr>
        <w:t>）从事内幕交易、操纵证券交易价格及其他不正当的证券交易活动；</w:t>
      </w:r>
    </w:p>
    <w:p w14:paraId="6DD463F2" w14:textId="4A2C21F5" w:rsidR="005262EB" w:rsidRDefault="008312B3">
      <w:pPr>
        <w:snapToGrid w:val="0"/>
        <w:spacing w:line="360" w:lineRule="auto"/>
        <w:ind w:firstLineChars="200" w:firstLine="420"/>
        <w:rPr>
          <w:rFonts w:ascii="宋体" w:hAnsi="宋体"/>
          <w:szCs w:val="21"/>
        </w:rPr>
      </w:pPr>
      <w:r>
        <w:rPr>
          <w:rFonts w:ascii="宋体" w:hAnsi="宋体" w:hint="eastAsia"/>
          <w:szCs w:val="21"/>
        </w:rPr>
        <w:t>（</w:t>
      </w:r>
      <w:r>
        <w:rPr>
          <w:rFonts w:ascii="宋体" w:hAnsi="宋体"/>
          <w:szCs w:val="21"/>
        </w:rPr>
        <w:t>6</w:t>
      </w:r>
      <w:r>
        <w:rPr>
          <w:rFonts w:ascii="宋体" w:hAnsi="宋体" w:hint="eastAsia"/>
          <w:szCs w:val="21"/>
        </w:rPr>
        <w:t>）法律、行政法规和中国证监会规定禁止的其他活动。</w:t>
      </w:r>
    </w:p>
    <w:p w14:paraId="21C01018" w14:textId="77777777" w:rsidR="005262EB" w:rsidRDefault="008312B3">
      <w:pPr>
        <w:snapToGrid w:val="0"/>
        <w:spacing w:line="360" w:lineRule="auto"/>
        <w:ind w:firstLine="397"/>
        <w:rPr>
          <w:rFonts w:ascii="宋体" w:hAnsi="宋体"/>
          <w:szCs w:val="21"/>
        </w:rPr>
      </w:pPr>
      <w:r>
        <w:rPr>
          <w:rFonts w:ascii="宋体" w:hAnsi="宋体" w:cs="宋体" w:hint="eastAsia"/>
          <w:kern w:val="0"/>
          <w:szCs w:val="21"/>
        </w:rPr>
        <w:t>4、基金托管人依据有关法律法规的规定和《基金合同》的约定，对于基金关联投资限制进行监督。</w:t>
      </w:r>
    </w:p>
    <w:p w14:paraId="4E2B78A0" w14:textId="77777777"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3906BFA8" w14:textId="4A6B884B" w:rsidR="005262EB" w:rsidRDefault="008312B3">
      <w:pPr>
        <w:snapToGrid w:val="0"/>
        <w:spacing w:line="360" w:lineRule="auto"/>
        <w:ind w:firstLineChars="200" w:firstLine="420"/>
        <w:rPr>
          <w:rFonts w:ascii="宋体" w:hAnsi="宋体" w:cs="宋体"/>
          <w:kern w:val="0"/>
          <w:szCs w:val="21"/>
        </w:rPr>
      </w:pPr>
      <w:r>
        <w:rPr>
          <w:rFonts w:ascii="宋体" w:hAnsi="宋体" w:cs="宋体" w:hint="eastAsia"/>
          <w:kern w:val="0"/>
          <w:szCs w:val="21"/>
        </w:rPr>
        <w:t>5、法律、行政法规或监管部门取消或变更上述限制，如适用于本基金，基金管理人在</w:t>
      </w:r>
      <w:r>
        <w:rPr>
          <w:rFonts w:ascii="宋体" w:hAnsi="宋体" w:cs="宋体" w:hint="eastAsia"/>
          <w:kern w:val="0"/>
          <w:szCs w:val="21"/>
        </w:rPr>
        <w:lastRenderedPageBreak/>
        <w:t>履行适当程序后，则本基金投资不再受相关限制或以变更后的规定为准。</w:t>
      </w:r>
    </w:p>
    <w:p w14:paraId="252B03F4"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6、基金托管人</w:t>
      </w:r>
      <w:r>
        <w:rPr>
          <w:rFonts w:ascii="宋体" w:hAnsi="宋体" w:cs="宋体" w:hint="eastAsia"/>
          <w:kern w:val="0"/>
          <w:szCs w:val="21"/>
        </w:rPr>
        <w:t>依据有关法律法规的规定和《基金合同》的约定</w:t>
      </w:r>
      <w:r>
        <w:rPr>
          <w:rFonts w:ascii="宋体" w:hAnsi="宋体" w:hint="eastAsia"/>
          <w:szCs w:val="21"/>
        </w:rPr>
        <w:t>对基金管理人参与银行间债券市场进行监督。</w:t>
      </w:r>
    </w:p>
    <w:p w14:paraId="0295650C"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应在基金投资运作之前向基金托管人提供符合法律法规及行业标准的、经慎重选择的、本基金适用的银行间债券市场交易对手名单，并约定各交易对手所适用的交易结算方式。基金托管人根据基金管理人提供的银行间债券市场交易对手名单进行监督。基金管理人可以定期对银行间债券市场交易对手名单及结算方式进行更新，新名单确定前已与本次剔除的交易对手所进行但尚未结算的交易，仍应按照协议进行结算。</w:t>
      </w:r>
    </w:p>
    <w:p w14:paraId="0A249138"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基金管理人有责任控制交易对手的资信风险，由于交易对手的资信风险引起的损失，基金管理人应当负责向相关责任人追偿。基金托管人不承担由此引发的责任及损失，但应予以必要的协助和配合。</w:t>
      </w:r>
    </w:p>
    <w:p w14:paraId="20C91C33" w14:textId="77777777" w:rsidR="005262EB" w:rsidRDefault="008312B3">
      <w:pPr>
        <w:snapToGrid w:val="0"/>
        <w:spacing w:line="360" w:lineRule="auto"/>
        <w:ind w:firstLineChars="200" w:firstLine="420"/>
        <w:rPr>
          <w:rFonts w:ascii="宋体" w:hAnsi="宋体"/>
          <w:szCs w:val="21"/>
        </w:rPr>
      </w:pPr>
      <w:r>
        <w:rPr>
          <w:rFonts w:ascii="宋体" w:hAnsi="宋体"/>
          <w:szCs w:val="21"/>
        </w:rPr>
        <w:t>7</w:t>
      </w:r>
      <w:r>
        <w:rPr>
          <w:rFonts w:ascii="宋体" w:hAnsi="宋体" w:hint="eastAsia"/>
          <w:szCs w:val="21"/>
        </w:rPr>
        <w:t>、基金托管人依据有关法律法规的规定和《基金合同》的约定，对基金银行存款业务进行监督。</w:t>
      </w:r>
    </w:p>
    <w:p w14:paraId="7A1E6449" w14:textId="77777777" w:rsidR="005262EB" w:rsidRDefault="008312B3">
      <w:pPr>
        <w:snapToGrid w:val="0"/>
        <w:spacing w:line="360" w:lineRule="auto"/>
        <w:ind w:firstLineChars="215" w:firstLine="451"/>
        <w:rPr>
          <w:rFonts w:ascii="宋体" w:hAnsi="宋体"/>
          <w:kern w:val="0"/>
          <w:szCs w:val="21"/>
        </w:rPr>
      </w:pPr>
      <w:r>
        <w:rPr>
          <w:rFonts w:ascii="宋体" w:hAnsi="宋体" w:hint="eastAsia"/>
          <w:szCs w:val="21"/>
        </w:rPr>
        <w:t>基金管理人应当加强对基金投资银行存款风险的评估与研究，严格测算与控制投资银行存款的风险敞口，针对不同类型存款银行建立相关投资限制制度。</w:t>
      </w:r>
      <w:r>
        <w:rPr>
          <w:rFonts w:ascii="宋体" w:hAnsi="宋体" w:hint="eastAsia"/>
          <w:kern w:val="0"/>
          <w:szCs w:val="21"/>
        </w:rPr>
        <w:t>对于基金投资的银行存款，由于存款银行发生信用风险事件而造成损失时，应先由基金管理人负责赔偿，之后有权向相关责任人进行追偿。如果基金托管人在运作过程中遵循</w:t>
      </w:r>
      <w:r>
        <w:rPr>
          <w:rFonts w:ascii="宋体" w:hAnsi="宋体" w:cs="宋体" w:hint="eastAsia"/>
          <w:kern w:val="0"/>
          <w:szCs w:val="21"/>
        </w:rPr>
        <w:t>有关法律法规的规定和《基金合同》的约定</w:t>
      </w:r>
      <w:r>
        <w:rPr>
          <w:rFonts w:ascii="宋体" w:hAnsi="宋体" w:hint="eastAsia"/>
          <w:kern w:val="0"/>
          <w:szCs w:val="21"/>
        </w:rPr>
        <w:t>监督流程，则对于由于存款银行信用风险引起的损失，不承担赔偿责任。</w:t>
      </w:r>
    </w:p>
    <w:p w14:paraId="33FE0999" w14:textId="77777777" w:rsidR="005262EB" w:rsidRPr="00573124" w:rsidRDefault="008312B3">
      <w:pPr>
        <w:adjustRightInd w:val="0"/>
        <w:snapToGrid w:val="0"/>
        <w:spacing w:line="360" w:lineRule="auto"/>
        <w:ind w:firstLineChars="200" w:firstLine="420"/>
        <w:rPr>
          <w:rFonts w:asciiTheme="majorEastAsia" w:eastAsiaTheme="majorEastAsia" w:hAnsiTheme="majorEastAsia" w:cs="Arial"/>
          <w:szCs w:val="21"/>
        </w:rPr>
      </w:pPr>
      <w:r>
        <w:rPr>
          <w:rFonts w:ascii="宋体" w:hAnsi="宋体" w:hint="eastAsia"/>
          <w:kern w:val="0"/>
          <w:szCs w:val="21"/>
        </w:rPr>
        <w:t>8.</w:t>
      </w:r>
      <w:r w:rsidRPr="00573124">
        <w:rPr>
          <w:rFonts w:asciiTheme="majorEastAsia" w:eastAsiaTheme="majorEastAsia" w:hAnsiTheme="majorEastAsia" w:cs="Arial" w:hint="eastAsia"/>
          <w:szCs w:val="21"/>
        </w:rPr>
        <w:t>基金托管人根据有关法律法规的规定及《基金合同》的约定，对基金管理人投资流通受限证券进行监督。</w:t>
      </w:r>
    </w:p>
    <w:p w14:paraId="13FBAEF1" w14:textId="77777777" w:rsidR="005262EB" w:rsidRPr="00573124" w:rsidRDefault="008312B3">
      <w:pPr>
        <w:adjustRightInd w:val="0"/>
        <w:snapToGrid w:val="0"/>
        <w:spacing w:line="360" w:lineRule="auto"/>
        <w:ind w:firstLineChars="200" w:firstLine="420"/>
        <w:rPr>
          <w:rFonts w:asciiTheme="majorEastAsia" w:eastAsiaTheme="majorEastAsia" w:hAnsiTheme="majorEastAsia" w:cs="Arial"/>
          <w:szCs w:val="21"/>
        </w:rPr>
      </w:pPr>
      <w:r w:rsidRPr="00573124">
        <w:rPr>
          <w:rFonts w:asciiTheme="majorEastAsia" w:eastAsiaTheme="majorEastAsia" w:hAnsiTheme="majorEastAsia" w:hint="eastAsia"/>
          <w:szCs w:val="21"/>
        </w:rPr>
        <w:t>基金管理人投资流通受限证券，应事先根据中国证监会相关规定，明确基金投资流通受限证券的比例，</w:t>
      </w:r>
      <w:r w:rsidRPr="00573124">
        <w:rPr>
          <w:rFonts w:asciiTheme="majorEastAsia" w:eastAsiaTheme="majorEastAsia" w:hAnsiTheme="majorEastAsia" w:cs="Arial" w:hint="eastAsia"/>
          <w:szCs w:val="21"/>
        </w:rPr>
        <w:t>制订严格的投资决策流程和风险控制制度，防范流动性风险、法律风险和操作风险等各种风险。</w:t>
      </w:r>
    </w:p>
    <w:p w14:paraId="5AEE0083" w14:textId="77777777" w:rsidR="005262EB" w:rsidRPr="00573124" w:rsidRDefault="008312B3">
      <w:pPr>
        <w:adjustRightInd w:val="0"/>
        <w:snapToGrid w:val="0"/>
        <w:spacing w:line="360" w:lineRule="auto"/>
        <w:ind w:firstLineChars="200" w:firstLine="420"/>
        <w:rPr>
          <w:rFonts w:asciiTheme="majorEastAsia" w:eastAsiaTheme="majorEastAsia" w:hAnsiTheme="majorEastAsia"/>
          <w:szCs w:val="21"/>
        </w:rPr>
      </w:pPr>
      <w:r w:rsidRPr="00573124">
        <w:rPr>
          <w:rFonts w:asciiTheme="majorEastAsia" w:eastAsiaTheme="majorEastAsia" w:hAnsiTheme="majorEastAsia" w:cs="Arial" w:hint="eastAsia"/>
          <w:szCs w:val="21"/>
        </w:rPr>
        <w:t>（</w:t>
      </w:r>
      <w:r w:rsidRPr="00573124">
        <w:rPr>
          <w:rFonts w:asciiTheme="majorEastAsia" w:eastAsiaTheme="majorEastAsia" w:hAnsiTheme="majorEastAsia" w:cs="Arial"/>
          <w:szCs w:val="21"/>
        </w:rPr>
        <w:t>1）本基金</w:t>
      </w:r>
      <w:r w:rsidRPr="00573124">
        <w:rPr>
          <w:rFonts w:asciiTheme="majorEastAsia" w:eastAsiaTheme="majorEastAsia" w:hAnsiTheme="majorEastAsia" w:hint="eastAsia"/>
          <w:szCs w:val="21"/>
        </w:rPr>
        <w:t>投资的流通受限证券须为经中国证监会批准的非公开发行股票、公开发行股票网下配售部分等在发行时明确一定期限锁定期的可交易证券，不包括由于发布重大消息或其他原因而临时停牌的证券、已发行未上市证券、回购交易中的质押券等流通受限证券。本基金不投资有锁定期但锁定期不明确的证券。</w:t>
      </w:r>
    </w:p>
    <w:p w14:paraId="6EE9ACE2" w14:textId="77777777" w:rsidR="005262EB" w:rsidRPr="00573124" w:rsidRDefault="008312B3">
      <w:pPr>
        <w:adjustRightInd w:val="0"/>
        <w:snapToGrid w:val="0"/>
        <w:spacing w:line="360" w:lineRule="auto"/>
        <w:ind w:firstLineChars="200" w:firstLine="420"/>
        <w:rPr>
          <w:rFonts w:asciiTheme="majorEastAsia" w:eastAsiaTheme="majorEastAsia" w:hAnsiTheme="majorEastAsia"/>
          <w:szCs w:val="21"/>
        </w:rPr>
      </w:pPr>
      <w:r w:rsidRPr="00573124">
        <w:rPr>
          <w:rFonts w:asciiTheme="majorEastAsia" w:eastAsiaTheme="majorEastAsia" w:hAnsiTheme="majorEastAsia" w:cs="Arial" w:hint="eastAsia"/>
          <w:szCs w:val="21"/>
        </w:rPr>
        <w:t>本基金</w:t>
      </w:r>
      <w:r w:rsidRPr="00573124">
        <w:rPr>
          <w:rFonts w:asciiTheme="majorEastAsia" w:eastAsiaTheme="majorEastAsia" w:hAnsiTheme="majorEastAsia" w:hint="eastAsia"/>
          <w:szCs w:val="21"/>
        </w:rPr>
        <w:t>投资的流通受限证券限于可由中国证券登记结算有限责任公司或中央国债登记结算有限责任公司负责登记和存管，并可在证券交易所或全国银行间债券市场交易的证券。</w:t>
      </w:r>
    </w:p>
    <w:p w14:paraId="27E60251" w14:textId="77777777" w:rsidR="005262EB" w:rsidRPr="00573124" w:rsidRDefault="008312B3">
      <w:pPr>
        <w:adjustRightInd w:val="0"/>
        <w:snapToGrid w:val="0"/>
        <w:spacing w:line="360" w:lineRule="auto"/>
        <w:ind w:firstLineChars="200" w:firstLine="420"/>
        <w:rPr>
          <w:rFonts w:asciiTheme="majorEastAsia" w:eastAsiaTheme="majorEastAsia" w:hAnsiTheme="majorEastAsia"/>
          <w:szCs w:val="21"/>
        </w:rPr>
      </w:pPr>
      <w:r w:rsidRPr="00573124">
        <w:rPr>
          <w:rFonts w:asciiTheme="majorEastAsia" w:eastAsiaTheme="majorEastAsia" w:hAnsiTheme="majorEastAsia" w:cs="Arial" w:hint="eastAsia"/>
          <w:szCs w:val="21"/>
        </w:rPr>
        <w:t>本基金</w:t>
      </w:r>
      <w:r w:rsidRPr="00573124">
        <w:rPr>
          <w:rFonts w:asciiTheme="majorEastAsia" w:eastAsiaTheme="majorEastAsia" w:hAnsiTheme="majorEastAsia" w:hint="eastAsia"/>
          <w:szCs w:val="21"/>
        </w:rPr>
        <w:t>投资的流通受限证券应保证登记存管在本基金名下，基金管理人负责相关工作的落实和协调，并确保基金托管人能够正常查询。因基金管理人原因产生的流通受限证券登记存管问题，造成基金托管人无法安全保管本基金资产的责任与损失，及因流通受限证券存管直接影响本基金安全的责任及损失，由基金管理人承担。</w:t>
      </w:r>
    </w:p>
    <w:p w14:paraId="47F21F28" w14:textId="77777777" w:rsidR="005262EB" w:rsidRPr="00573124" w:rsidRDefault="008312B3">
      <w:pPr>
        <w:adjustRightInd w:val="0"/>
        <w:snapToGrid w:val="0"/>
        <w:spacing w:line="360" w:lineRule="auto"/>
        <w:ind w:firstLineChars="200" w:firstLine="420"/>
        <w:rPr>
          <w:rFonts w:asciiTheme="majorEastAsia" w:eastAsiaTheme="majorEastAsia" w:hAnsiTheme="majorEastAsia"/>
          <w:szCs w:val="21"/>
        </w:rPr>
      </w:pPr>
      <w:r w:rsidRPr="00573124">
        <w:rPr>
          <w:rFonts w:asciiTheme="majorEastAsia" w:eastAsiaTheme="majorEastAsia" w:hAnsiTheme="majorEastAsia" w:cs="Arial" w:hint="eastAsia"/>
          <w:szCs w:val="21"/>
        </w:rPr>
        <w:t>本基金</w:t>
      </w:r>
      <w:r w:rsidRPr="00573124">
        <w:rPr>
          <w:rFonts w:asciiTheme="majorEastAsia" w:eastAsiaTheme="majorEastAsia" w:hAnsiTheme="majorEastAsia" w:hint="eastAsia"/>
          <w:szCs w:val="21"/>
        </w:rPr>
        <w:t>投资流通受限证券，不得预付任何形式的保证金，若有最新法律法规、监管政策</w:t>
      </w:r>
      <w:r w:rsidRPr="00573124">
        <w:rPr>
          <w:rFonts w:asciiTheme="majorEastAsia" w:eastAsiaTheme="majorEastAsia" w:hAnsiTheme="majorEastAsia" w:hint="eastAsia"/>
          <w:szCs w:val="21"/>
        </w:rPr>
        <w:lastRenderedPageBreak/>
        <w:t>变更规定的，根据最新法律法规、监管政策执行。</w:t>
      </w:r>
    </w:p>
    <w:p w14:paraId="67970538" w14:textId="77777777" w:rsidR="005262EB" w:rsidRPr="00573124" w:rsidRDefault="008312B3">
      <w:pPr>
        <w:adjustRightInd w:val="0"/>
        <w:snapToGrid w:val="0"/>
        <w:spacing w:line="360" w:lineRule="auto"/>
        <w:ind w:firstLineChars="200" w:firstLine="420"/>
        <w:rPr>
          <w:rFonts w:asciiTheme="majorEastAsia" w:eastAsiaTheme="majorEastAsia" w:hAnsiTheme="majorEastAsia"/>
          <w:szCs w:val="21"/>
        </w:rPr>
      </w:pPr>
      <w:r w:rsidRPr="00573124">
        <w:rPr>
          <w:rFonts w:asciiTheme="majorEastAsia" w:eastAsiaTheme="majorEastAsia" w:hAnsiTheme="majorEastAsia" w:cs="Arial" w:hint="eastAsia"/>
          <w:szCs w:val="21"/>
        </w:rPr>
        <w:t>（</w:t>
      </w:r>
      <w:r w:rsidRPr="00573124">
        <w:rPr>
          <w:rFonts w:asciiTheme="majorEastAsia" w:eastAsiaTheme="majorEastAsia" w:hAnsiTheme="majorEastAsia" w:cs="Arial"/>
          <w:szCs w:val="21"/>
        </w:rPr>
        <w:t>2）</w:t>
      </w:r>
      <w:r w:rsidRPr="00573124">
        <w:rPr>
          <w:rFonts w:asciiTheme="majorEastAsia" w:eastAsiaTheme="majorEastAsia" w:hAnsiTheme="majorEastAsia" w:hint="eastAsia"/>
          <w:szCs w:val="21"/>
        </w:rPr>
        <w:t>基金管理人投资非公开发行股票，应制订流动性风险处置预案并经其董事会批准。风险处置预案应包括但不限于因投资流通受限证券需要解决的基金投资比例限制失调、基金流动性困难以及相关损失的应对解决措施，以及有关异常情况的处置。</w:t>
      </w:r>
    </w:p>
    <w:p w14:paraId="2993202F" w14:textId="77777777" w:rsidR="005262EB" w:rsidRPr="00573124" w:rsidRDefault="008312B3">
      <w:pPr>
        <w:adjustRightInd w:val="0"/>
        <w:snapToGrid w:val="0"/>
        <w:spacing w:line="360" w:lineRule="auto"/>
        <w:ind w:firstLineChars="200" w:firstLine="420"/>
        <w:rPr>
          <w:rFonts w:asciiTheme="majorEastAsia" w:eastAsiaTheme="majorEastAsia" w:hAnsiTheme="majorEastAsia"/>
          <w:szCs w:val="21"/>
        </w:rPr>
      </w:pPr>
      <w:r w:rsidRPr="00573124">
        <w:rPr>
          <w:rFonts w:asciiTheme="majorEastAsia" w:eastAsiaTheme="majorEastAsia" w:hAnsiTheme="majorEastAsia" w:hint="eastAsia"/>
          <w:szCs w:val="21"/>
        </w:rPr>
        <w:t>基金管理人对本基金投资流通受限证券的流动性风险负责，确保对相关风险采取积极有效的措施，在合理的时间内有效解决基金运作的流动性问题。如因基金巨额赎回或市场发生剧烈变动等原因而导致基金现金周转困难时，基金管理人应保证提供足额现金确保基金的支付结算，并承担所有损失。对本基金因投资流通受限证券导致的流动性风险，基金托管人不承担任何责任。如因基金管理人原因导致本基金出现损失致使基金托管人承担连带赔偿责任的，基金管理人应赔偿基金托管人由此遭受的损失。</w:t>
      </w:r>
    </w:p>
    <w:p w14:paraId="75F60D23" w14:textId="77777777" w:rsidR="005262EB" w:rsidRPr="00573124" w:rsidRDefault="008312B3">
      <w:pPr>
        <w:adjustRightInd w:val="0"/>
        <w:snapToGrid w:val="0"/>
        <w:spacing w:line="360" w:lineRule="auto"/>
        <w:ind w:firstLineChars="200" w:firstLine="420"/>
        <w:rPr>
          <w:rFonts w:asciiTheme="majorEastAsia" w:eastAsiaTheme="majorEastAsia" w:hAnsiTheme="majorEastAsia" w:cs="Arial"/>
          <w:szCs w:val="21"/>
        </w:rPr>
      </w:pPr>
      <w:r w:rsidRPr="00573124">
        <w:rPr>
          <w:rFonts w:asciiTheme="majorEastAsia" w:eastAsiaTheme="majorEastAsia" w:hAnsiTheme="majorEastAsia" w:cs="Arial" w:hint="eastAsia"/>
          <w:szCs w:val="21"/>
        </w:rPr>
        <w:t>（</w:t>
      </w:r>
      <w:r w:rsidRPr="00573124">
        <w:rPr>
          <w:rFonts w:asciiTheme="majorEastAsia" w:eastAsiaTheme="majorEastAsia" w:hAnsiTheme="majorEastAsia" w:cs="Arial"/>
          <w:szCs w:val="21"/>
        </w:rPr>
        <w:t>3）</w:t>
      </w:r>
      <w:r w:rsidRPr="00573124">
        <w:rPr>
          <w:rFonts w:asciiTheme="majorEastAsia" w:eastAsiaTheme="majorEastAsia" w:hAnsiTheme="majorEastAsia" w:hint="eastAsia"/>
          <w:szCs w:val="21"/>
        </w:rPr>
        <w:t>本基金投资非公开发行股票，基金管理人应至少于投资前三个工作日向基金托管人提交有关书面资料，并保证向基金托管人提供的有关资料真实、准确、完整。有关资料如有调整，基金管理人应及时提供调整后的资料。上述书面资料包括但不限于：中国证监会批准发行非公开发行股票的批准文件</w:t>
      </w:r>
      <w:r w:rsidRPr="00573124">
        <w:rPr>
          <w:rFonts w:asciiTheme="majorEastAsia" w:eastAsiaTheme="majorEastAsia" w:hAnsiTheme="majorEastAsia"/>
          <w:szCs w:val="21"/>
        </w:rPr>
        <w:t>;非公开发行股票有关发行数量、发行价格、锁定期等发行资料;基金拟认购的数量、价格、总成本、账面价值。</w:t>
      </w:r>
    </w:p>
    <w:p w14:paraId="16EA8216" w14:textId="77777777" w:rsidR="005262EB" w:rsidRPr="00573124" w:rsidRDefault="008312B3">
      <w:pPr>
        <w:adjustRightInd w:val="0"/>
        <w:snapToGrid w:val="0"/>
        <w:spacing w:line="360" w:lineRule="auto"/>
        <w:ind w:firstLineChars="200" w:firstLine="420"/>
        <w:rPr>
          <w:rFonts w:asciiTheme="majorEastAsia" w:eastAsiaTheme="majorEastAsia" w:hAnsiTheme="majorEastAsia"/>
          <w:szCs w:val="21"/>
        </w:rPr>
      </w:pPr>
      <w:r w:rsidRPr="00573124">
        <w:rPr>
          <w:rFonts w:asciiTheme="majorEastAsia" w:eastAsiaTheme="majorEastAsia" w:hAnsiTheme="majorEastAsia" w:cs="Arial" w:hint="eastAsia"/>
          <w:szCs w:val="21"/>
        </w:rPr>
        <w:t>（</w:t>
      </w:r>
      <w:r w:rsidRPr="00573124">
        <w:rPr>
          <w:rFonts w:asciiTheme="majorEastAsia" w:eastAsiaTheme="majorEastAsia" w:hAnsiTheme="majorEastAsia" w:cs="Arial"/>
          <w:szCs w:val="21"/>
        </w:rPr>
        <w:t>4）</w:t>
      </w:r>
      <w:r w:rsidRPr="00573124">
        <w:rPr>
          <w:rFonts w:asciiTheme="majorEastAsia" w:eastAsiaTheme="majorEastAsia" w:hAnsiTheme="majorEastAsia" w:hint="eastAsia"/>
          <w:szCs w:val="21"/>
        </w:rPr>
        <w:t>基金管理人应在本基金投资非公开发行股票后两个交易日内，在中国证监会规定媒介披露所投资非公开发行股票的名称、数量、总成本、账面价值，以及总成本和账面价值占基金资产净值的比例、锁定期等信息。</w:t>
      </w:r>
    </w:p>
    <w:p w14:paraId="1695300E" w14:textId="77777777" w:rsidR="005262EB" w:rsidRPr="00573124" w:rsidRDefault="008312B3">
      <w:pPr>
        <w:adjustRightInd w:val="0"/>
        <w:snapToGrid w:val="0"/>
        <w:spacing w:line="360" w:lineRule="auto"/>
        <w:ind w:firstLineChars="200" w:firstLine="420"/>
        <w:rPr>
          <w:rFonts w:asciiTheme="majorEastAsia" w:eastAsiaTheme="majorEastAsia" w:hAnsiTheme="majorEastAsia"/>
          <w:szCs w:val="21"/>
        </w:rPr>
      </w:pPr>
      <w:r w:rsidRPr="00573124">
        <w:rPr>
          <w:rFonts w:asciiTheme="majorEastAsia" w:eastAsiaTheme="majorEastAsia" w:hAnsiTheme="majorEastAsia" w:hint="eastAsia"/>
          <w:szCs w:val="21"/>
        </w:rPr>
        <w:t>本基金有关投资流通受限证券比例如违反有关限制规定，在合理期限内未能进行及时调整，基金管理人应在两日内编制临时报告书，予以公告。</w:t>
      </w:r>
    </w:p>
    <w:p w14:paraId="57CD418C" w14:textId="77777777" w:rsidR="005262EB" w:rsidRDefault="008312B3">
      <w:pPr>
        <w:snapToGrid w:val="0"/>
        <w:spacing w:line="360" w:lineRule="auto"/>
        <w:ind w:firstLineChars="215" w:firstLine="451"/>
        <w:rPr>
          <w:rFonts w:ascii="宋体" w:hAnsi="宋体"/>
          <w:kern w:val="0"/>
          <w:szCs w:val="21"/>
        </w:rPr>
      </w:pPr>
      <w:r w:rsidRPr="00573124">
        <w:rPr>
          <w:rFonts w:asciiTheme="majorEastAsia" w:eastAsiaTheme="majorEastAsia" w:hAnsiTheme="majorEastAsia" w:cs="Arial" w:hint="eastAsia"/>
          <w:szCs w:val="21"/>
        </w:rPr>
        <w:t>（</w:t>
      </w:r>
      <w:r w:rsidRPr="00573124">
        <w:rPr>
          <w:rFonts w:asciiTheme="majorEastAsia" w:eastAsiaTheme="majorEastAsia" w:hAnsiTheme="majorEastAsia" w:cs="Arial"/>
          <w:szCs w:val="21"/>
        </w:rPr>
        <w:t>5）</w:t>
      </w:r>
      <w:r w:rsidRPr="00573124">
        <w:rPr>
          <w:rFonts w:asciiTheme="majorEastAsia" w:eastAsiaTheme="majorEastAsia" w:hAnsiTheme="majorEastAsia" w:hint="eastAsia"/>
          <w:szCs w:val="21"/>
        </w:rPr>
        <w:t>相关法律法规对基金投资流通受限证券有新规定的，从其规定。</w:t>
      </w:r>
    </w:p>
    <w:p w14:paraId="2DFF41CC" w14:textId="77777777" w:rsidR="005262EB" w:rsidRDefault="008312B3">
      <w:pPr>
        <w:snapToGrid w:val="0"/>
        <w:spacing w:line="360" w:lineRule="auto"/>
        <w:ind w:firstLineChars="200" w:firstLine="420"/>
        <w:rPr>
          <w:rFonts w:ascii="宋体" w:hAnsi="宋体"/>
          <w:szCs w:val="21"/>
        </w:rPr>
      </w:pPr>
      <w:bookmarkStart w:id="16" w:name="_Toc382819074"/>
      <w:r>
        <w:rPr>
          <w:rFonts w:ascii="宋体" w:hAnsi="宋体" w:hint="eastAsia"/>
          <w:szCs w:val="21"/>
        </w:rPr>
        <w:t>（二）基金托管人应根据有关法律法规的规定及《基金合同》的约定，对基金资产净值计算、各类基金份额净值计算、应收资金到账、基金费用开支及收入确定、基金收益分配、相关信息披露、基金宣传推介材料中登载基金业绩表现数据等进行监督和核查。</w:t>
      </w:r>
      <w:bookmarkEnd w:id="16"/>
    </w:p>
    <w:p w14:paraId="22CE7039" w14:textId="77777777" w:rsidR="005262EB" w:rsidRDefault="008312B3">
      <w:pPr>
        <w:snapToGrid w:val="0"/>
        <w:spacing w:line="360" w:lineRule="auto"/>
        <w:ind w:firstLineChars="200" w:firstLine="420"/>
        <w:rPr>
          <w:rFonts w:ascii="宋体" w:hAnsi="宋体"/>
          <w:szCs w:val="21"/>
        </w:rPr>
      </w:pPr>
      <w:bookmarkStart w:id="17" w:name="_Toc382819075"/>
      <w:r>
        <w:rPr>
          <w:rFonts w:ascii="宋体" w:hAnsi="宋体" w:hint="eastAsia"/>
          <w:szCs w:val="21"/>
        </w:rPr>
        <w:t>（三）基金托管人发现基金管理人的投资运作及其他运作违反《基金法》、《基金合同》、基金托管协议等有关规定时，应及时以书面形式通知基金管理人限期纠正，基金管理人收到通知后应在下一个工作日及时核对，并以书面形式向基金托管人发出回函，进行解释或举证。</w:t>
      </w:r>
      <w:bookmarkEnd w:id="17"/>
    </w:p>
    <w:p w14:paraId="5E68D69C"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1、在限期内，基金托管人有权随时对通知事项进行复查，督促基金管理人改正。基金管理人对基金托管人通知的违规事项未能在限期内纠正的，基金托管人应报告中国证监会。</w:t>
      </w:r>
    </w:p>
    <w:p w14:paraId="0A0A2011"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2、基金管理人应积极配合和协助基金托管人依照法律法规、《基金合同》和本托管协议对基金业务的监督和核查，对基金托管人发出的书面提示，必须在规定时间内答复基金托管人并改正，或就基金托管人的合理疑义进行解释或举证，对基金托管人按照法律法规、《基金合同》和本托管协议的要求需向中国证监会报送基金监督报告的，基金管理人应积极配合提供相关数据资料和制度等。</w:t>
      </w:r>
    </w:p>
    <w:p w14:paraId="66856C76"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lastRenderedPageBreak/>
        <w:t>3、若基金托管人发现基金管理人发出但未执行的投资指令或依据交易程序已经生效的投资指令违反法律、行政法规和其他有关规定，或者违反《基金合同》约定的，应当立即通知基金管理人，并报告中国证监会。基金管理人的上述违规失信行为给基金财产或基金份额持有人造成的损失，由基金管理人承担。</w:t>
      </w:r>
    </w:p>
    <w:p w14:paraId="4CCCB815"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4、对于必须于估值完成后方可获知的监控指标或依据交易程序已经成交的投资指令，基金托管人发现该投资指令违反法律法规或者违反《基金合同》约定的，应当立即通知基金管理人，并报告中国证监会。基金管理人的上述违规失信行为给基金财产或基金份额持有人造成的损失，由基金管理人承担。</w:t>
      </w:r>
    </w:p>
    <w:p w14:paraId="1F058F42"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5、基金托管人发现基金管理人有重大违规行为，应立即报告中国证监会，同时通知基金管理人限期纠正。基金管理人的上述违规失信行为给基金财产或基金份额持有人造成的损失，由基金管理人承担。</w:t>
      </w:r>
    </w:p>
    <w:p w14:paraId="7AADD20A"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无正当理由，拒绝、阻挠基金托管人根据本协议规定行使监督权，或采取拖延、欺诈等手段妨碍基金托管人进行有效监督，情节严重或经基金托管人提出警告仍不改正的，基金托管人应报告中国证监会。基金管理人的上述违规失信行为给基金财产或基金份额持有人造成的损失，由基金管理人承担。</w:t>
      </w:r>
    </w:p>
    <w:p w14:paraId="0EF4E767" w14:textId="77777777" w:rsidR="005262EB" w:rsidRDefault="008312B3">
      <w:pPr>
        <w:spacing w:beforeLines="100" w:before="312" w:afterLines="50" w:after="156" w:line="240" w:lineRule="atLeast"/>
        <w:jc w:val="center"/>
        <w:outlineLvl w:val="0"/>
        <w:rPr>
          <w:rFonts w:ascii="宋体" w:hAnsi="宋体"/>
          <w:b/>
          <w:sz w:val="24"/>
        </w:rPr>
      </w:pPr>
      <w:bookmarkStart w:id="18" w:name="_Toc131682143"/>
      <w:r>
        <w:rPr>
          <w:rFonts w:ascii="宋体" w:hAnsi="宋体" w:hint="eastAsia"/>
          <w:b/>
          <w:sz w:val="24"/>
        </w:rPr>
        <w:t>三、基金管理人对基金托管人的业务核查</w:t>
      </w:r>
      <w:bookmarkEnd w:id="18"/>
    </w:p>
    <w:p w14:paraId="465797E2"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一）基金管理人对基金托管人履行托管职责情况进行核查，核查事项包括但不限于基金托管人是否安全保管基金财产、是否分别开设基金财产的资金账户和证券账户及投资所需其他账户、是否复核基金管理人计算的基金资产净值和各类基金份额净值、是否根据基金管理人指令办理清算交收、进行相关信息披露和监督基金投资运作等行为。</w:t>
      </w:r>
    </w:p>
    <w:p w14:paraId="2D56B92A"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二）基金管理人发现基金托管人擅自挪用基金财产、未对基金财产实行分账管理、无故未执行或无故延迟执行基金管理人资金划拨指令、泄露基金投资信息等违反《基金法》、《基金合同》、本托管协议及其他有关规定时，基金管理人应及时以书面形式通知基金托管人限期纠正，基金托管人收到通知后应及时核对并以书面形式向基金管理人发出回函。在限期内，基金管理人有权随时对通知事项进行复查，督促基金托管人改正。基金托管人对基金管理人通知的违规事项未能在限期内纠正的，基金管理人应报告中国证监会。基金管理人发现基金托管人有重大违规行为，应立即报告中国证监会和银行业监督管理机构，同时通知基金托管人限期纠正。</w:t>
      </w:r>
    </w:p>
    <w:p w14:paraId="159B62F7"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（三）基金托管人应积极配合基金管理人的核查行为，包括但不限于：提交相关资料以供基金管理人核查托管财产的完整性和真实性，在规定时间内答复基金管理人并改正。</w:t>
      </w:r>
    </w:p>
    <w:p w14:paraId="3874FE1E" w14:textId="77777777" w:rsidR="005262EB" w:rsidRDefault="008312B3">
      <w:pPr>
        <w:snapToGrid w:val="0"/>
        <w:spacing w:line="360" w:lineRule="auto"/>
        <w:ind w:firstLineChars="200" w:firstLine="420"/>
        <w:rPr>
          <w:rFonts w:ascii="宋体" w:hAnsi="宋体"/>
          <w:szCs w:val="21"/>
        </w:rPr>
      </w:pPr>
      <w:bookmarkStart w:id="19" w:name="_Toc382818598"/>
      <w:bookmarkStart w:id="20" w:name="_Toc382819077"/>
      <w:r>
        <w:rPr>
          <w:rFonts w:ascii="宋体" w:hAnsi="宋体" w:hint="eastAsia"/>
          <w:szCs w:val="21"/>
        </w:rPr>
        <w:t>（四）基金托管人无正当理由，拒绝、阻挠基金管理人根据本协议规定行使监督权，或采取拖延、欺诈等手段妨碍基金管理人进行有效监督，情节严重或经基金管理人提出警告仍不改正的，基金管理人应报告中国证监会。</w:t>
      </w:r>
      <w:bookmarkEnd w:id="19"/>
      <w:bookmarkEnd w:id="20"/>
    </w:p>
    <w:p w14:paraId="05C7B42E" w14:textId="77777777" w:rsidR="005262EB" w:rsidRDefault="008312B3">
      <w:pPr>
        <w:spacing w:beforeLines="100" w:before="312" w:afterLines="50" w:after="156" w:line="240" w:lineRule="atLeast"/>
        <w:jc w:val="center"/>
        <w:outlineLvl w:val="0"/>
        <w:rPr>
          <w:rFonts w:ascii="宋体" w:hAnsi="宋体"/>
          <w:b/>
          <w:sz w:val="24"/>
        </w:rPr>
      </w:pPr>
      <w:bookmarkStart w:id="21" w:name="_Toc131682144"/>
      <w:bookmarkStart w:id="22" w:name="_Toc382819079"/>
      <w:r>
        <w:rPr>
          <w:rFonts w:ascii="宋体" w:hAnsi="宋体" w:hint="eastAsia"/>
          <w:b/>
          <w:sz w:val="24"/>
        </w:rPr>
        <w:lastRenderedPageBreak/>
        <w:t>四、基金财产保管</w:t>
      </w:r>
      <w:bookmarkEnd w:id="21"/>
    </w:p>
    <w:p w14:paraId="62FEFF92" w14:textId="77777777" w:rsidR="005262EB" w:rsidRDefault="008312B3">
      <w:pPr>
        <w:snapToGrid w:val="0"/>
        <w:spacing w:line="360" w:lineRule="auto"/>
        <w:ind w:firstLineChars="200" w:firstLine="420"/>
        <w:rPr>
          <w:rFonts w:ascii="宋体" w:hAnsi="宋体"/>
          <w:szCs w:val="21"/>
        </w:rPr>
      </w:pPr>
      <w:r>
        <w:rPr>
          <w:rFonts w:ascii="宋体" w:hAnsi="宋体" w:hint="eastAsia"/>
          <w:bCs/>
          <w:szCs w:val="21"/>
        </w:rPr>
        <w:t>（一）基金财产保管的原则</w:t>
      </w:r>
      <w:bookmarkEnd w:id="22"/>
    </w:p>
    <w:p w14:paraId="321173AD"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1、基金财产应独立于基金管理人、基金托管人、证券经纪机构的固有财产。</w:t>
      </w:r>
    </w:p>
    <w:p w14:paraId="41E66CEE"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2、基金托管人应按本协议规定安全保管托管财产。未经基金管理人的指令，不得自行运用、处分、分配基金的任何财产（基金托管人主动扣收的汇划费及依据本协议扣划的托管费等费用除外）。基金托管人不对处于自身实际控制之外的账户及财产承担责任。</w:t>
      </w:r>
    </w:p>
    <w:p w14:paraId="428A786C"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3、基金托管人按照规定，应基金管理人的要求，为托管的基金财产开设证券账户及投资所需其他账户。</w:t>
      </w:r>
    </w:p>
    <w:p w14:paraId="276AD1D8"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4、基金托管人对所托管的不同基金财产分别设置账户，与基金托管人的其他业务和其他基金的托管业务实行严格的分账管理，独立核算，确保基金财产的完整与独立。</w:t>
      </w:r>
    </w:p>
    <w:p w14:paraId="64E5AF33"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5、对于因基金认（申）购、基金投资过程中产生的应收财产，应由基金管理人负责与有关当事人确定到账日期并通知基金托管人，到账日基金财产没有到达基金托管人处的，基金管理人应及时采取措施进行催收。由此给基金造成损失的，基金管理人应负责向有关当事人追偿基金的损失，基金托管人对基金管理人的追偿行为应予以必要的协助与配合，但对基金财产的损失不承担责任。</w:t>
      </w:r>
    </w:p>
    <w:p w14:paraId="7895C9B4" w14:textId="77777777" w:rsidR="005262EB" w:rsidRDefault="008312B3">
      <w:pPr>
        <w:snapToGrid w:val="0"/>
        <w:spacing w:line="360" w:lineRule="auto"/>
        <w:rPr>
          <w:rFonts w:ascii="宋体" w:hAnsi="宋体"/>
          <w:szCs w:val="21"/>
        </w:rPr>
      </w:pPr>
      <w:r>
        <w:rPr>
          <w:rFonts w:ascii="宋体" w:hAnsi="宋体"/>
          <w:szCs w:val="21"/>
        </w:rPr>
        <w:t xml:space="preserve">   </w:t>
      </w:r>
      <w:bookmarkStart w:id="23" w:name="_Toc382819080"/>
      <w:r>
        <w:rPr>
          <w:rFonts w:ascii="宋体" w:hAnsi="宋体" w:hint="eastAsia"/>
          <w:bCs/>
          <w:szCs w:val="21"/>
        </w:rPr>
        <w:t>（二）募集资金的验证</w:t>
      </w:r>
      <w:bookmarkEnd w:id="23"/>
    </w:p>
    <w:p w14:paraId="053315E6" w14:textId="1A5873B3" w:rsidR="005262EB" w:rsidRDefault="008312B3">
      <w:pPr>
        <w:snapToGrid w:val="0"/>
        <w:spacing w:line="360" w:lineRule="auto"/>
        <w:ind w:firstLineChars="200" w:firstLine="420"/>
        <w:rPr>
          <w:rFonts w:ascii="宋体" w:hAnsi="宋体"/>
          <w:szCs w:val="21"/>
        </w:rPr>
      </w:pPr>
      <w:r>
        <w:rPr>
          <w:rFonts w:ascii="宋体" w:hAnsi="宋体" w:hint="eastAsia"/>
          <w:szCs w:val="21"/>
        </w:rPr>
        <w:t>募集期内销售机构按销售与服务代理协议的约定，将认购资金划入基金管理人在具有托管资格的商业银行开设的基金认购专户。该账户由基金管理人开立并管理。基金募集期满，发起资金提供方使用发起资金认购本基金的金额、承诺认购的基金份额持有期限符合《基金法》、《运作办法》等有关规定后，由基金管理人聘请符合《中华人民共和国证券法》规定的会计师事务所进行验资，出具验资报告，出具的验资报告应由参加验资的2名以上（含2名）中国注册会计师签字方为有效，验资机构应在验资报告中对发起资金的持有人及其持有份额进行专门说明。验资完成，基金管理人应将募集的属于本基金财产的全部资金划入基金托管人为基金开立的资产托管专户中，并确保划入的资金与验资金额相一致。基金托管人可应基金管理人要求，在收到有效认购资金当日以书面形式确认资金到账情况，并及时将资金到账凭证邮件发送给基金管理人，双方进行账务处理。</w:t>
      </w:r>
    </w:p>
    <w:p w14:paraId="0297116B" w14:textId="77777777" w:rsidR="005262EB" w:rsidRDefault="008312B3">
      <w:pPr>
        <w:snapToGrid w:val="0"/>
        <w:spacing w:line="360" w:lineRule="auto"/>
        <w:ind w:firstLineChars="200" w:firstLine="420"/>
        <w:rPr>
          <w:rFonts w:ascii="宋体" w:hAnsi="宋体" w:cs="Arial"/>
          <w:szCs w:val="21"/>
        </w:rPr>
      </w:pPr>
      <w:r>
        <w:rPr>
          <w:rFonts w:ascii="宋体" w:hAnsi="宋体" w:cs="Arial" w:hint="eastAsia"/>
          <w:szCs w:val="21"/>
        </w:rPr>
        <w:t>若基金募集期限届满，未能达到基金备案的条件，由基金管理人按规定办理退款事宜。</w:t>
      </w:r>
    </w:p>
    <w:p w14:paraId="2C97B7A4" w14:textId="77777777" w:rsidR="005262EB" w:rsidRDefault="008312B3">
      <w:pPr>
        <w:snapToGrid w:val="0"/>
        <w:spacing w:line="360" w:lineRule="auto"/>
        <w:ind w:firstLineChars="200" w:firstLine="420"/>
        <w:rPr>
          <w:rFonts w:ascii="宋体" w:hAnsi="宋体"/>
          <w:szCs w:val="21"/>
        </w:rPr>
      </w:pPr>
      <w:bookmarkStart w:id="24" w:name="_Toc382819081"/>
      <w:r>
        <w:rPr>
          <w:rFonts w:ascii="宋体" w:hAnsi="宋体" w:hint="eastAsia"/>
          <w:bCs/>
          <w:szCs w:val="21"/>
        </w:rPr>
        <w:t>（三）基金资产托管专户的开立和管理</w:t>
      </w:r>
      <w:bookmarkEnd w:id="24"/>
    </w:p>
    <w:p w14:paraId="22072CE2"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1、基金托管人以基金的名义在其营业机构开设资产托管专户，并根据基金管理人合法合规的有效指令办理资金收付。基金管理人应根据法律法规及基金托管人的相关要求，提供开户所需的资料并提供其他必要协助。</w:t>
      </w:r>
    </w:p>
    <w:p w14:paraId="71A238E7"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2、本基金的一切货币收支活动，均需通过基金的资产托管专户进行。基金的资产托管专户的开立和使用，限于满足开展本基金业务的需要。资产托管专户不得用于存取现金或开立网银转账等功能。除因本基金业务需要，基金托管人和基金管理人不得假借本基金的名义</w:t>
      </w:r>
      <w:r>
        <w:rPr>
          <w:rFonts w:ascii="宋体" w:hAnsi="宋体" w:hint="eastAsia"/>
          <w:szCs w:val="21"/>
        </w:rPr>
        <w:lastRenderedPageBreak/>
        <w:t>开立其他任何银行账户；亦不得使用以基金名义开立的银行账户进行本基金业务以外的活动。</w:t>
      </w:r>
    </w:p>
    <w:p w14:paraId="59F6872C" w14:textId="4E5B5452" w:rsidR="005262EB" w:rsidRDefault="008312B3">
      <w:pPr>
        <w:snapToGrid w:val="0"/>
        <w:spacing w:line="360" w:lineRule="auto"/>
        <w:ind w:firstLineChars="200" w:firstLine="420"/>
        <w:rPr>
          <w:rFonts w:ascii="宋体" w:hAnsi="宋体"/>
          <w:szCs w:val="21"/>
        </w:rPr>
      </w:pPr>
      <w:r>
        <w:rPr>
          <w:rFonts w:ascii="宋体" w:hAnsi="宋体" w:hint="eastAsia"/>
          <w:szCs w:val="21"/>
        </w:rPr>
        <w:t>3、资产托管专户的管理应符合《人民币银行结算账户管理办法》、《人民币利率管理规定》、《利率管理暂行规定》、《支付结算办法》以及银行业监督管理机构的其他有关规定。</w:t>
      </w:r>
    </w:p>
    <w:p w14:paraId="56A8F565" w14:textId="77777777" w:rsidR="005262EB" w:rsidRDefault="008312B3">
      <w:pPr>
        <w:snapToGrid w:val="0"/>
        <w:spacing w:line="360" w:lineRule="auto"/>
        <w:ind w:firstLineChars="200" w:firstLine="420"/>
        <w:rPr>
          <w:rFonts w:ascii="宋体" w:hAnsi="宋体"/>
          <w:szCs w:val="21"/>
        </w:rPr>
      </w:pPr>
      <w:bookmarkStart w:id="25" w:name="_Toc382819082"/>
      <w:r>
        <w:rPr>
          <w:rFonts w:ascii="宋体" w:hAnsi="宋体" w:hint="eastAsia"/>
          <w:bCs/>
          <w:szCs w:val="21"/>
        </w:rPr>
        <w:t>（四）基金证券账户与证券交易资金账户的开设和管理</w:t>
      </w:r>
      <w:bookmarkEnd w:id="25"/>
    </w:p>
    <w:p w14:paraId="056A13BB"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1、基金托管人以基金托管人和本基金联名的方式在中国证券登记结算有限责任公司上海分公司/深圳分公司开立专门的证券账户。</w:t>
      </w:r>
    </w:p>
    <w:p w14:paraId="695CE7F1"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2、基金证券账户的开立和使用，限于满足开展本基金业务的需要。基金托管人和基金管理人不得出借和未经对方同意擅自转让本基金的任何证券账户；亦不得使用本基金的任何证券账户进行本基金业务以外的活动。</w:t>
      </w:r>
    </w:p>
    <w:p w14:paraId="005CD655"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3、基金证券账户的开立由基金托管人负责，原始开户材料的保管、账户资产的管理和运用由基金管理人负责。</w:t>
      </w:r>
    </w:p>
    <w:p w14:paraId="58D6D0D6"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4、基金管理人为基金财产在证券经纪机构开立证券交易资金账户，用于基金财产证券交易结算资金的存管、记载交易结算资金的变动明细以及场内证券交易清算，并与基金托管人指定</w:t>
      </w:r>
      <w:r>
        <w:rPr>
          <w:rFonts w:ascii="宋体" w:hAnsi="宋体"/>
          <w:szCs w:val="21"/>
        </w:rPr>
        <w:t>的第三方</w:t>
      </w:r>
      <w:r>
        <w:rPr>
          <w:rFonts w:ascii="宋体" w:hAnsi="宋体" w:hint="eastAsia"/>
          <w:szCs w:val="21"/>
        </w:rPr>
        <w:t>存管</w:t>
      </w:r>
      <w:r>
        <w:rPr>
          <w:rFonts w:ascii="宋体" w:hAnsi="宋体"/>
          <w:szCs w:val="21"/>
        </w:rPr>
        <w:t>银行</w:t>
      </w:r>
      <w:r>
        <w:rPr>
          <w:rFonts w:ascii="宋体" w:hAnsi="宋体" w:hint="eastAsia"/>
          <w:szCs w:val="21"/>
        </w:rPr>
        <w:t>建立第三方存管关系。</w:t>
      </w:r>
    </w:p>
    <w:p w14:paraId="63BCF484"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5、基金托管人和基金管理人不得出借或转让证券账户、证券交易资金账户，亦不得使用证券账户或证券交易资金账户进行本基金业务以外的活动。本基金通过证券经纪机构进行的交易由证券经纪机构作为结算参与人代理本基金进行结算。</w:t>
      </w:r>
    </w:p>
    <w:p w14:paraId="02085EC8"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6、基金管理人承诺证券交易资金账户为主资金账户，不开立任何辅助资金账户。</w:t>
      </w:r>
    </w:p>
    <w:p w14:paraId="207472D3" w14:textId="77777777" w:rsidR="005262EB" w:rsidRDefault="008312B3">
      <w:pPr>
        <w:snapToGrid w:val="0"/>
        <w:spacing w:line="360" w:lineRule="auto"/>
        <w:ind w:firstLineChars="200" w:firstLine="420"/>
        <w:rPr>
          <w:rFonts w:ascii="宋体" w:hAnsi="宋体"/>
          <w:szCs w:val="21"/>
        </w:rPr>
      </w:pPr>
      <w:bookmarkStart w:id="26" w:name="_Toc382819083"/>
      <w:r>
        <w:rPr>
          <w:rFonts w:ascii="宋体" w:hAnsi="宋体" w:hint="eastAsia"/>
          <w:bCs/>
          <w:szCs w:val="21"/>
        </w:rPr>
        <w:t>（五）银行间市场债券托管和资金结算专户的开立和管理及市场准入备案</w:t>
      </w:r>
      <w:bookmarkEnd w:id="26"/>
    </w:p>
    <w:p w14:paraId="75364308" w14:textId="77777777" w:rsidR="005262EB" w:rsidRDefault="008312B3">
      <w:pPr>
        <w:snapToGrid w:val="0"/>
        <w:spacing w:line="360" w:lineRule="auto"/>
        <w:ind w:firstLineChars="200" w:firstLine="420"/>
        <w:rPr>
          <w:rFonts w:ascii="宋体" w:hAnsi="宋体"/>
          <w:szCs w:val="21"/>
        </w:rPr>
      </w:pPr>
      <w:bookmarkStart w:id="27" w:name="_Toc382819084"/>
      <w:r>
        <w:rPr>
          <w:rFonts w:ascii="宋体" w:hAnsi="宋体" w:hint="eastAsia"/>
          <w:szCs w:val="21"/>
        </w:rPr>
        <w:t>《基金合同》生效后，在符合监管机构要求的情况下，基金管理人负责以基金的名义申请并取得进入全国银行间同业拆借市场的交易资格，并代表基金进行交易；基金托管人根据中国人民银行、中央国债登记结算有限责任公司、银行间市场清算所股份有限公司的有关规定，以本基金的名义分别在中央国债登记结算有限责任公司、银行间市场清算所股份有限公司开立债券托管账户和资金结算账户，并代表基金进行银行间市场债券交易的结算。基金托管人协助基金管理人完成银行间债券市场准入备案。</w:t>
      </w:r>
      <w:bookmarkEnd w:id="27"/>
    </w:p>
    <w:p w14:paraId="194E7844" w14:textId="77777777" w:rsidR="005262EB" w:rsidRDefault="008312B3">
      <w:pPr>
        <w:snapToGrid w:val="0"/>
        <w:spacing w:line="360" w:lineRule="auto"/>
        <w:ind w:firstLineChars="200" w:firstLine="420"/>
        <w:rPr>
          <w:rFonts w:ascii="宋体" w:hAnsi="宋体"/>
          <w:szCs w:val="21"/>
        </w:rPr>
      </w:pPr>
      <w:bookmarkStart w:id="28" w:name="_Toc382819085"/>
      <w:r>
        <w:rPr>
          <w:rFonts w:ascii="宋体" w:hAnsi="宋体" w:hint="eastAsia"/>
          <w:bCs/>
          <w:szCs w:val="21"/>
        </w:rPr>
        <w:t>（六）基金投资银行存款账户的开立和管理</w:t>
      </w:r>
      <w:bookmarkEnd w:id="28"/>
    </w:p>
    <w:p w14:paraId="342C1B89"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1、基金投资银行定期存款，基金管理人与基金托管人应比照相关规定，就本基金投资银行存款业务签订书面协议。</w:t>
      </w:r>
    </w:p>
    <w:p w14:paraId="0359C9DF"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szCs w:val="21"/>
        </w:rPr>
        <w:t>2</w:t>
      </w:r>
      <w:r>
        <w:rPr>
          <w:rFonts w:ascii="宋体" w:hAnsi="宋体" w:hint="eastAsia"/>
          <w:szCs w:val="21"/>
        </w:rPr>
        <w:t>、基金投资银行定期存款应由基金管理人与存款银行总行或其授权分行签订总体合作协议，并将资金存放于存款银行总行或其授权分行指定的分支机构。</w:t>
      </w:r>
    </w:p>
    <w:p w14:paraId="7ECAB661"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szCs w:val="21"/>
        </w:rPr>
        <w:t>3</w:t>
      </w:r>
      <w:r>
        <w:rPr>
          <w:rFonts w:ascii="宋体" w:hAnsi="宋体" w:hint="eastAsia"/>
          <w:szCs w:val="21"/>
        </w:rPr>
        <w:t>、存款账户必须以基金名义开立，账户名称为基金名称，存款账户开户文件上加盖基金托管人预留印鉴及基金管理人公章。</w:t>
      </w:r>
    </w:p>
    <w:p w14:paraId="220645A6"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szCs w:val="21"/>
        </w:rPr>
        <w:t>4</w:t>
      </w:r>
      <w:r>
        <w:rPr>
          <w:rFonts w:ascii="宋体" w:hAnsi="宋体" w:hint="eastAsia"/>
          <w:szCs w:val="21"/>
        </w:rPr>
        <w:t>、本基金投资银行存款时，基金管理人应当与存款银行签订具体存款协议，明确存款的类型、期限、利率、金额、账号、对账方式、支取方式、账户管理等细则。基金</w:t>
      </w:r>
      <w:r>
        <w:rPr>
          <w:rFonts w:ascii="宋体" w:hAnsi="宋体"/>
          <w:szCs w:val="21"/>
        </w:rPr>
        <w:t>管理人与</w:t>
      </w:r>
      <w:r>
        <w:rPr>
          <w:rFonts w:ascii="宋体" w:hAnsi="宋体"/>
          <w:szCs w:val="21"/>
        </w:rPr>
        <w:lastRenderedPageBreak/>
        <w:t>存款银行签订存款协议前</w:t>
      </w:r>
      <w:r>
        <w:rPr>
          <w:rFonts w:ascii="宋体" w:hAnsi="宋体" w:hint="eastAsia"/>
          <w:szCs w:val="21"/>
        </w:rPr>
        <w:t>，</w:t>
      </w:r>
      <w:r>
        <w:rPr>
          <w:rFonts w:ascii="宋体" w:hAnsi="宋体"/>
          <w:szCs w:val="21"/>
        </w:rPr>
        <w:t>应</w:t>
      </w:r>
      <w:r>
        <w:rPr>
          <w:rFonts w:ascii="宋体" w:hAnsi="宋体" w:hint="eastAsia"/>
          <w:szCs w:val="21"/>
        </w:rPr>
        <w:t>与</w:t>
      </w:r>
      <w:r>
        <w:rPr>
          <w:rFonts w:ascii="宋体" w:hAnsi="宋体"/>
          <w:szCs w:val="21"/>
        </w:rPr>
        <w:t>基金托管人就</w:t>
      </w:r>
      <w:r>
        <w:rPr>
          <w:rFonts w:ascii="宋体" w:hAnsi="宋体" w:hint="eastAsia"/>
          <w:szCs w:val="21"/>
        </w:rPr>
        <w:t>定期</w:t>
      </w:r>
      <w:r>
        <w:rPr>
          <w:rFonts w:ascii="宋体" w:hAnsi="宋体"/>
          <w:szCs w:val="21"/>
        </w:rPr>
        <w:t>存款协议中涉及基金托管人履职的具体事项</w:t>
      </w:r>
      <w:r>
        <w:rPr>
          <w:rFonts w:ascii="宋体" w:hAnsi="宋体" w:hint="eastAsia"/>
          <w:szCs w:val="21"/>
        </w:rPr>
        <w:t>，</w:t>
      </w:r>
      <w:r>
        <w:rPr>
          <w:rFonts w:ascii="宋体" w:hAnsi="宋体"/>
          <w:szCs w:val="21"/>
        </w:rPr>
        <w:t>如</w:t>
      </w:r>
      <w:r>
        <w:rPr>
          <w:rFonts w:ascii="宋体" w:hAnsi="宋体" w:hint="eastAsia"/>
          <w:szCs w:val="21"/>
        </w:rPr>
        <w:t>预留印鉴</w:t>
      </w:r>
      <w:r>
        <w:rPr>
          <w:rFonts w:ascii="宋体" w:hAnsi="宋体"/>
          <w:szCs w:val="21"/>
        </w:rPr>
        <w:t>加盖、存款</w:t>
      </w:r>
      <w:r>
        <w:rPr>
          <w:rFonts w:ascii="宋体" w:hAnsi="宋体" w:hint="eastAsia"/>
          <w:szCs w:val="21"/>
        </w:rPr>
        <w:t>证实</w:t>
      </w:r>
      <w:r>
        <w:rPr>
          <w:rFonts w:ascii="宋体" w:hAnsi="宋体"/>
          <w:szCs w:val="21"/>
        </w:rPr>
        <w:t>书</w:t>
      </w:r>
      <w:r>
        <w:rPr>
          <w:rFonts w:ascii="宋体" w:hAnsi="宋体" w:hint="eastAsia"/>
          <w:szCs w:val="21"/>
        </w:rPr>
        <w:t>交接</w:t>
      </w:r>
      <w:r>
        <w:rPr>
          <w:rFonts w:ascii="宋体" w:hAnsi="宋体"/>
          <w:szCs w:val="21"/>
        </w:rPr>
        <w:t>保管等内容</w:t>
      </w:r>
      <w:r>
        <w:rPr>
          <w:rFonts w:ascii="宋体" w:hAnsi="宋体" w:hint="eastAsia"/>
          <w:szCs w:val="21"/>
        </w:rPr>
        <w:t>进行</w:t>
      </w:r>
      <w:r>
        <w:rPr>
          <w:rFonts w:ascii="宋体" w:hAnsi="宋体"/>
          <w:szCs w:val="21"/>
        </w:rPr>
        <w:t>沟通确认。</w:t>
      </w:r>
    </w:p>
    <w:p w14:paraId="0D58A945"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szCs w:val="21"/>
        </w:rPr>
        <w:t>5</w:t>
      </w:r>
      <w:r>
        <w:rPr>
          <w:rFonts w:ascii="宋体" w:hAnsi="宋体" w:hint="eastAsia"/>
          <w:szCs w:val="21"/>
        </w:rPr>
        <w:t>、为防范特殊情况下的流动性风险，定期存款协议中应当约定提前支取条款。</w:t>
      </w:r>
    </w:p>
    <w:p w14:paraId="4E3F7F9F" w14:textId="77777777" w:rsidR="005262EB" w:rsidRDefault="008312B3">
      <w:pPr>
        <w:tabs>
          <w:tab w:val="left" w:pos="4680"/>
        </w:tabs>
        <w:snapToGrid w:val="0"/>
        <w:spacing w:line="360" w:lineRule="auto"/>
        <w:ind w:firstLineChars="200" w:firstLine="420"/>
        <w:rPr>
          <w:rFonts w:ascii="宋体" w:hAnsi="宋体"/>
          <w:szCs w:val="21"/>
        </w:rPr>
      </w:pPr>
      <w:bookmarkStart w:id="29" w:name="_Toc382819086"/>
      <w:r>
        <w:rPr>
          <w:rFonts w:ascii="宋体" w:hAnsi="宋体"/>
          <w:szCs w:val="21"/>
        </w:rPr>
        <w:t>6</w:t>
      </w:r>
      <w:r>
        <w:rPr>
          <w:rFonts w:ascii="宋体" w:hAnsi="宋体" w:hint="eastAsia"/>
          <w:szCs w:val="21"/>
        </w:rPr>
        <w:t>、基金所投资定期存款存续期间，基金管理人、基金托管人应当与存款银行建立定期对账机制，确保基金银行存款业务账目及核对的真实、准确。</w:t>
      </w:r>
      <w:bookmarkEnd w:id="29"/>
    </w:p>
    <w:p w14:paraId="5C7B205A" w14:textId="77777777" w:rsidR="005262EB" w:rsidRDefault="008312B3">
      <w:pPr>
        <w:snapToGrid w:val="0"/>
        <w:spacing w:line="360" w:lineRule="auto"/>
        <w:ind w:firstLineChars="200" w:firstLine="420"/>
        <w:rPr>
          <w:rFonts w:ascii="宋体" w:hAnsi="宋体"/>
          <w:szCs w:val="21"/>
        </w:rPr>
      </w:pPr>
      <w:r>
        <w:rPr>
          <w:rFonts w:ascii="宋体" w:hAnsi="宋体" w:hint="eastAsia"/>
          <w:bCs/>
          <w:szCs w:val="21"/>
        </w:rPr>
        <w:t>（七）其他账户的开设和管理</w:t>
      </w:r>
    </w:p>
    <w:p w14:paraId="4E4E9281"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1.因业务发展而需要开立的其它账户，可以根据《基金合同》或有关法律法规的规定，经基金管理人和基金托管人协商一致后，按照开户机构的要求为基金开立。</w:t>
      </w:r>
    </w:p>
    <w:p w14:paraId="6C23189F"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2.法律、法规等有关规定对相关账户的开立和管理另有规定的，从其规定办理。</w:t>
      </w:r>
    </w:p>
    <w:p w14:paraId="496A7541" w14:textId="77777777" w:rsidR="005262EB" w:rsidRDefault="008312B3">
      <w:pPr>
        <w:snapToGrid w:val="0"/>
        <w:spacing w:line="360" w:lineRule="auto"/>
        <w:ind w:firstLineChars="200" w:firstLine="420"/>
        <w:rPr>
          <w:rFonts w:ascii="宋体" w:hAnsi="宋体"/>
          <w:szCs w:val="21"/>
        </w:rPr>
      </w:pPr>
      <w:bookmarkStart w:id="30" w:name="_Toc382819087"/>
      <w:r>
        <w:rPr>
          <w:rFonts w:ascii="宋体" w:hAnsi="宋体" w:hint="eastAsia"/>
          <w:bCs/>
          <w:szCs w:val="21"/>
        </w:rPr>
        <w:t>（八）基金财产投资的有关实物证券、银行定期存款存单等有价凭证的保管</w:t>
      </w:r>
      <w:bookmarkEnd w:id="30"/>
    </w:p>
    <w:p w14:paraId="127C84FE"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基金财产投资的有关实物证券</w:t>
      </w:r>
      <w:r>
        <w:rPr>
          <w:rFonts w:ascii="宋体" w:hAnsi="宋体" w:hint="eastAsia"/>
          <w:bCs/>
          <w:szCs w:val="21"/>
        </w:rPr>
        <w:t>、银行定期存款存单等有价凭证</w:t>
      </w:r>
      <w:r>
        <w:rPr>
          <w:rFonts w:ascii="宋体" w:hAnsi="宋体" w:hint="eastAsia"/>
          <w:szCs w:val="21"/>
        </w:rPr>
        <w:t>由基金托管人存放于基金托管人的保管库；其中实物证券也可存入中央国债登记结算有限责任公司、中国证券登记结算有限责任公司上海分公司/深圳分公司、银行间市场清算所股份有限公司或票据营业中心的代保管库。实物证券的购买和转让，由基金托管人根据基金管理人的指令办理。属于基金托管人实际有效控制下的实物证券在基金托管人保管期间的损坏、灭失，由此产生的责任应由基金托管人承担。基金托管人对基金托管人以外机构实际有效控制或保管的实物证券、银行定期存款存单</w:t>
      </w:r>
      <w:r>
        <w:rPr>
          <w:rFonts w:ascii="宋体" w:hAnsi="宋体" w:hint="eastAsia"/>
          <w:bCs/>
          <w:szCs w:val="21"/>
        </w:rPr>
        <w:t>等有价凭证</w:t>
      </w:r>
      <w:r>
        <w:rPr>
          <w:rFonts w:ascii="宋体" w:hAnsi="宋体" w:hint="eastAsia"/>
          <w:szCs w:val="21"/>
        </w:rPr>
        <w:t>对应的财产不承担保管责任。</w:t>
      </w:r>
    </w:p>
    <w:p w14:paraId="4071F16B" w14:textId="77777777" w:rsidR="005262EB" w:rsidRDefault="008312B3">
      <w:pPr>
        <w:snapToGrid w:val="0"/>
        <w:spacing w:line="360" w:lineRule="auto"/>
        <w:ind w:firstLineChars="200" w:firstLine="420"/>
        <w:rPr>
          <w:rFonts w:ascii="宋体" w:hAnsi="宋体"/>
          <w:szCs w:val="21"/>
        </w:rPr>
      </w:pPr>
      <w:r>
        <w:rPr>
          <w:rFonts w:ascii="宋体" w:hAnsi="宋体" w:hint="eastAsia"/>
          <w:bCs/>
          <w:szCs w:val="21"/>
        </w:rPr>
        <w:t>（九）与基金财产有关的重大合同的保管</w:t>
      </w:r>
    </w:p>
    <w:p w14:paraId="02931415"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由基金管理人代表基金签署的与基金有关且签订方有基金托管人参与的重大合同的原件分别应由基金托管人、基金管理人保管。除本协议另有规定外，上述重大合同应尽量保证基金一方持有两份以上的正本，以便基金管理人和基金托管人至少各持有一份正本的原件。基金管理人在合同签署后5个工作日内通过专人送达、挂号邮寄等安全方式将合同原件送达基金托管人处。合同原件应存放于基金管理人和基金托管人各自文件保管部门，保管期限不低于法律法规规定的最低年限。</w:t>
      </w:r>
    </w:p>
    <w:p w14:paraId="4CFC4E9D"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对于无法取得二份以上的正本的，基金管理人应向基金托管人提供与合同原件核对一致的并加盖基金管理人公章的复印件，未经双方协商一致，合同原件不得转移。</w:t>
      </w:r>
    </w:p>
    <w:p w14:paraId="45C4B2C1" w14:textId="77777777" w:rsidR="005262EB" w:rsidRDefault="008312B3">
      <w:pPr>
        <w:spacing w:beforeLines="100" w:before="312" w:afterLines="100" w:after="312" w:line="240" w:lineRule="atLeast"/>
        <w:jc w:val="center"/>
        <w:outlineLvl w:val="0"/>
        <w:rPr>
          <w:rFonts w:ascii="宋体" w:hAnsi="宋体"/>
          <w:b/>
          <w:sz w:val="24"/>
        </w:rPr>
      </w:pPr>
      <w:bookmarkStart w:id="31" w:name="_Toc131682145"/>
      <w:bookmarkStart w:id="32" w:name="_Toc382819089"/>
      <w:r>
        <w:rPr>
          <w:rFonts w:ascii="宋体" w:hAnsi="宋体" w:hint="eastAsia"/>
          <w:b/>
          <w:sz w:val="24"/>
        </w:rPr>
        <w:t>五、指令的发送、确认和执行</w:t>
      </w:r>
      <w:bookmarkEnd w:id="31"/>
    </w:p>
    <w:p w14:paraId="68FF4D94"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基金管理人在运用基金财产时向基金托管人发送资金划拨及其他款项付款指令，基金托管人负责执行基金管理人的指令、办理本基金名下的资金往来等有关事项。</w:t>
      </w:r>
    </w:p>
    <w:p w14:paraId="3FF2BD61"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（一）基金管理人可向基金托管人发送的指令包括电子指令和纸质指令</w:t>
      </w:r>
    </w:p>
    <w:p w14:paraId="74143463"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电子指令包括基金管理人发送的电子指令（含采用电子报文传送的电子指令、通过苏州银行资产托管服务平台录入的电子指令）、自动产生的电子指令（基金托管人根据基金管理人免指令授权函自动产生的电子指令）。纸质指令包括基金管理人通过授权邮箱发送的指令。</w:t>
      </w:r>
    </w:p>
    <w:p w14:paraId="46D98A5A"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lastRenderedPageBreak/>
        <w:t>（二）基金管理人对发送指令人员的书面授权</w:t>
      </w:r>
    </w:p>
    <w:p w14:paraId="125A81E9"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应事先在本基金成立前向基金托管人提供书面划款指令授权通知书（下称“授权通知书”），指定指令的被授权人及被授权印鉴。授权通知书的内容包括被授权人名单、签章样本、指令发送授权邮箱、权限和预留印鉴等。授权通知书应加盖基金管理人公章和法定代表人（或被授权人）签章；若由授权代表签署，还应附上法定代表人的授权书。</w:t>
      </w:r>
    </w:p>
    <w:p w14:paraId="6F3EF6CE"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授权通知书经基金管理人、基金托管人双方以电话方式或其他基金管理人、基金托管人双方认可的方式确认后，由基金管理人使用授权邮箱将授权通知书原件扫描件发送至基金托管人，并以授权通知书载明的生效时间与基金托管人收到时间两者较晚时间生效。基金管理人保留授权通知书的原件正本，基金托管人保留授权通知书原件扫描件，授权通知书原件正本内容与基金托管人收到的原件扫描件不一致的，以基金托管人收到的原件扫描件为准。</w:t>
      </w:r>
    </w:p>
    <w:p w14:paraId="217D9585"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（三）指令的内容</w:t>
      </w:r>
    </w:p>
    <w:p w14:paraId="57456706"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指令是在管理本基金时，基金管理人向基金托管人发出的交易成交单、交易指令及资金划拨类指令。纸质指令应加盖预留印鉴并由被授权人签章，并至少包含以下要素：支付日期、付款方户名、付款方账号、付款方开户行、收款方户名、收款方账号、收款方开户行、金额（大小写）、划款摘要等。</w:t>
      </w:r>
    </w:p>
    <w:p w14:paraId="47A0457F"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（四）指令的发送、确认及执行的时间和程序</w:t>
      </w:r>
    </w:p>
    <w:p w14:paraId="3293388B"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1.指令发送的方式</w:t>
      </w:r>
    </w:p>
    <w:p w14:paraId="4BC36374"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 xml:space="preserve">基金托管人支持基金管理人通过以下任一方式发送指令： </w:t>
      </w:r>
    </w:p>
    <w:p w14:paraId="1D89EB45"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通过深证通电子直连对接方式，向基金托管人发送电子划款指令。基金管理人通过深证通电子直连对接方式发送电子指令的，基金管理人应在启用该方式前一工作日，通过基金管理人、基金托管人双方认可的方式告知基金托管人本基金的资产代码等信息。</w:t>
      </w:r>
    </w:p>
    <w:p w14:paraId="2705CE09"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通过苏州银行资产托管服务平台录入方式，向基金托管人发送电子划款指令。苏州银行资产托管服务平台是指基金托管人向基金管理人提供的托管客户软件终端，实现基金管理人与基金托管人之间指令处理、数据传输、业务查询、资料传递和信息服务等直通式处理。在启用该方式前，基金管理人、基金托管人双方须另行签订服务协议，具体事宜以《苏州银行资产托管服务平台系统服务协议》的约定为准。对于基金管理人通过上述电子方式发送指令的，在应急情况下，基金管理人可通过授权邮箱发送划款指令。</w:t>
      </w:r>
    </w:p>
    <w:p w14:paraId="22E25EBE"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通过邮箱方式发送纸质指令的，纸质划款指令须经基金管理人指定的授权邮箱发出方为有效。当出现特殊情况，基金管理人无法使用授权邮箱发送指令时，基金管理人可通过其他邮箱应急发送指令，并通过授权电话通知基金托管人，基金托管人不承担因基金管理人未及时通知基金托管人接收邮箱指令造成的损失。</w:t>
      </w:r>
    </w:p>
    <w:p w14:paraId="4D034B66"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2.指令附件的发送</w:t>
      </w:r>
    </w:p>
    <w:p w14:paraId="3F0D1E8C"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基金管理人向基金托管人发送指令的同时，应及时提供相关合同、交易凭证或其他证明材料（如需）。基金管理人对该等资料的真实性、有效性、完整性和合法合规性负责。如基</w:t>
      </w:r>
      <w:r>
        <w:rPr>
          <w:rFonts w:ascii="宋体" w:hAnsi="宋体" w:hint="eastAsia"/>
          <w:szCs w:val="21"/>
        </w:rPr>
        <w:lastRenderedPageBreak/>
        <w:t>金管理人未及时提供符合基金托管人要求的指令附件，基金托管人有权暂不执行该指令直至基金管理人提交符合基金托管人要求的指令附件。</w:t>
      </w:r>
    </w:p>
    <w:p w14:paraId="3461D56C"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3.指令发送的时间</w:t>
      </w:r>
    </w:p>
    <w:p w14:paraId="459DAC7A"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对于新债申购等网下公开发行业务，基金管理人应于网下申购缴款日的10:00前将指令发送给基金托管人。</w:t>
      </w:r>
    </w:p>
    <w:p w14:paraId="3DFEEA17"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对于银证转账、银期转账业务，基金管理人应于交易所交易截止时间前2小时将指令发送至基金托管人，由基金托管人依据基金管理人发出的划款指令进行出入金操作。首次进行场内交易前，基金管理人应与基金托管人确认已完成交易单元和股东代码设置后方可进行。当第三方存管系统出现故障等其他紧急情况时，基金管理人可以使用非银期转账进行手工出入金。</w:t>
      </w:r>
    </w:p>
    <w:p w14:paraId="0C3D1387"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对于银行间市场债券业务，基金管理人应与基金托管人确认基金托管人已完成证书和权限设置后方可进行本基金的银行间交易。基金管理人应最晚于交易日16:30前将银行间成交单及相关划款指令发送至基金托管人，并给基金托管人预留充足且合理的操作时间。</w:t>
      </w:r>
    </w:p>
    <w:p w14:paraId="151FDEFB"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对于除上述业务以外的其他划款指令及附件，基金管理人应提前2小时向基金托管人发送，且不晚于工作日基金托管人接收指令截止时间(17:15前)。如基金管理人需基金托管人配合执行工作日17:15后发送的划款指令，基金管理人应至少于工作日17:15前通过授权电话或其他双方认可的方式告知基金托管人。基金管理人未通过电话或其他双方认可的方式告知基金托管人的，基金托管人不承担划款指令当日未执行而造成的损失。</w:t>
      </w:r>
    </w:p>
    <w:p w14:paraId="5E530392"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4.指令的确认</w:t>
      </w:r>
    </w:p>
    <w:p w14:paraId="0963E778"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有义务在发送指令后使用授权电话与基金托管人进行确认，如因基金管理人未及时通知基金托管人接收邮箱指令造成的损失，基金托管人不承担责任。对于依照授权通知书发出的指令，基金管理人不得否认其效力。</w:t>
      </w:r>
    </w:p>
    <w:p w14:paraId="67440536"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5.指令的执行</w:t>
      </w:r>
    </w:p>
    <w:p w14:paraId="23F8B3EC"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基金管理人在发送指令时，应确保出款账户有足够的资金余额、文件资料齐全，并为基金托管人留出执行指令所必需的时间。</w:t>
      </w:r>
      <w:r>
        <w:rPr>
          <w:rFonts w:hint="eastAsia"/>
          <w:color w:val="1E1E1E"/>
          <w:szCs w:val="21"/>
          <w:shd w:val="clear" w:color="auto" w:fill="FFFFFF"/>
        </w:rPr>
        <w:t>对在没有充足资金的情况下发出的指令，基金托管人有权不予执行，并立即通知基金管理人，基金托管人不承担因为不执行该指令而造成损失的任何责任。</w:t>
      </w:r>
    </w:p>
    <w:p w14:paraId="5A469536"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托管人确认收到基金管理人发送的指令后，仅对基金管理人提交的指令按照本托管协议约定进行表面一致性审查，不负责审查基金管理人发送指令及其他文件资料的合法性、真实性、完整性和有效性，基金管理人应保证上述文件资料合法、真实、完整和有效。对于因扫描引起的印章、签字等变形、扭曲，基金托管人不承担审查义务。基金托管人不承担因基金管理人提供的上述文件不合法、不真实、不完整或失去效力而造成的损失。</w:t>
      </w:r>
    </w:p>
    <w:p w14:paraId="3FA27923"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6.指令的撤销</w:t>
      </w:r>
    </w:p>
    <w:p w14:paraId="118698C4" w14:textId="4F034835" w:rsidR="005262EB" w:rsidRDefault="008312B3">
      <w:pPr>
        <w:snapToGrid w:val="0"/>
        <w:spacing w:line="360" w:lineRule="auto"/>
        <w:ind w:firstLineChars="200" w:firstLine="420"/>
        <w:rPr>
          <w:rFonts w:ascii="宋体" w:hAnsi="宋体"/>
          <w:szCs w:val="21"/>
        </w:rPr>
      </w:pPr>
      <w:r>
        <w:rPr>
          <w:rFonts w:ascii="宋体" w:hAnsi="宋体" w:hint="eastAsia"/>
          <w:szCs w:val="21"/>
        </w:rPr>
        <w:t>在指令未执行的前提下，若撤销邮件指令，基金管理人应在原指令上注明“作废”、“废”、</w:t>
      </w:r>
      <w:r>
        <w:rPr>
          <w:rFonts w:ascii="宋体" w:hAnsi="宋体" w:hint="eastAsia"/>
          <w:szCs w:val="21"/>
        </w:rPr>
        <w:lastRenderedPageBreak/>
        <w:t xml:space="preserve">“取消”等字样并加盖预留印鉴及被授权人签章或通过其他双方认可的作废方式，通过授权邮箱发送给基金托管人，并通过授权电话及时通知基金托管人。若撤销电子指令，基金管理人应通过相关系统撤销，系统功能不支持撤销的，应参照撤销邮件指令方式撤销电子指令。 </w:t>
      </w:r>
    </w:p>
    <w:p w14:paraId="230E9714"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（五）基金管理人发送错误指令的情形和处理程序</w:t>
      </w:r>
    </w:p>
    <w:p w14:paraId="0A04A259"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基金管理人发送错误指令的情形包括指令发送人员无权或超越权限发送指令、重复发送指令，指令不能辨识或要素不全导致无法执行等情形。</w:t>
      </w:r>
    </w:p>
    <w:p w14:paraId="2D188A35"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当基金托管人认为所接收指令为错误指令时，应及时与基金管理人进行电话确认，并暂停指令的执行，由基金管理人撤销指令或撤销后再重新发送指令。</w:t>
      </w:r>
    </w:p>
    <w:p w14:paraId="36F18F4C"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（六）基金托管人依照法律法规暂缓、拒绝执行指令的情形和处理程序</w:t>
      </w:r>
    </w:p>
    <w:p w14:paraId="687E6454"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托管人发现基金管理人发送的指令有可能违反有关法律法规的规定、本托管协议约定，应暂缓执行指令，并及时通知基金管理人，基金管理人收到通知后应及时核对并纠正；如相关交易已生效，则应通知基金管理人在规定期限内及时纠正；对于此类基金托管人事前无法监督并拒绝执行的交易行为，基金托管人在履行了对基金管理人的通知义务后，即视为完全履行了其投资监督职责。</w:t>
      </w:r>
    </w:p>
    <w:p w14:paraId="6EA906A3"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（七）基金托管人未按照基金管理人指令执行的处理方法</w:t>
      </w:r>
    </w:p>
    <w:p w14:paraId="1E52EDDD"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除因基金托管人过错致使基金财产受到损害而负赔偿责任外，基金托管人对执行基金管理人的合法有效指令对基金财产造成的损失不承担赔偿责任。</w:t>
      </w:r>
    </w:p>
    <w:p w14:paraId="2DA9316F"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（八）授权通知书信息变更的程序</w:t>
      </w:r>
    </w:p>
    <w:p w14:paraId="45A868C1"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撤换被授权人、变更或新增接收邮箱指令等信息应提前至少一个工作日，使用授权邮箱重新向基金托管人发出加盖基金管理人公章和法定代表人（或被授权人）签章的授权通知书，同时电话通知基金托管人。经基金管理人与基金托管人以电话方式或其他基金管理人、基金托管人双方认可的方式确认后，授权通知书于其载明的生效时间与基金托管人收到时间两者较晚时间生效，同时原授权通知书失效。授权通知书原件正本内容与基金托管人收到的邮件扫描件不一致的，以基金托管人收到的邮件扫描件为准。</w:t>
      </w:r>
    </w:p>
    <w:p w14:paraId="1C3295F3"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（九）纸质指令及纸质指令附件的保管</w:t>
      </w:r>
    </w:p>
    <w:p w14:paraId="11E76E7C"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纸质指令及纸质指令附件由基金管理人保管原件正本，基金托管人保管其扫描件。当两者不一致时，以基金托管人收到的扫描件为准。</w:t>
      </w:r>
    </w:p>
    <w:bookmarkEnd w:id="32"/>
    <w:p w14:paraId="34B9050E" w14:textId="77777777" w:rsidR="005262EB" w:rsidRDefault="005262EB">
      <w:pPr>
        <w:snapToGrid w:val="0"/>
        <w:spacing w:line="360" w:lineRule="auto"/>
        <w:ind w:firstLineChars="200" w:firstLine="420"/>
        <w:rPr>
          <w:rFonts w:ascii="宋体" w:hAnsi="宋体"/>
          <w:szCs w:val="21"/>
        </w:rPr>
      </w:pPr>
    </w:p>
    <w:p w14:paraId="48794D2F" w14:textId="77777777" w:rsidR="005262EB" w:rsidRDefault="008312B3">
      <w:pPr>
        <w:spacing w:beforeLines="100" w:before="312" w:afterLines="100" w:after="312" w:line="240" w:lineRule="atLeast"/>
        <w:jc w:val="center"/>
        <w:outlineLvl w:val="0"/>
        <w:rPr>
          <w:rFonts w:ascii="宋体" w:hAnsi="宋体"/>
          <w:b/>
          <w:sz w:val="24"/>
        </w:rPr>
      </w:pPr>
      <w:bookmarkStart w:id="33" w:name="_Toc131682146"/>
      <w:bookmarkStart w:id="34" w:name="_Toc382819098"/>
      <w:r>
        <w:rPr>
          <w:rFonts w:ascii="宋体" w:hAnsi="宋体" w:hint="eastAsia"/>
          <w:b/>
          <w:sz w:val="24"/>
        </w:rPr>
        <w:t>六、交易及清算交收安排</w:t>
      </w:r>
      <w:bookmarkEnd w:id="33"/>
    </w:p>
    <w:bookmarkEnd w:id="34"/>
    <w:p w14:paraId="2535FAE9" w14:textId="77777777" w:rsidR="005262EB" w:rsidRDefault="008312B3">
      <w:pPr>
        <w:snapToGrid w:val="0"/>
        <w:spacing w:line="360" w:lineRule="auto"/>
        <w:ind w:firstLineChars="200" w:firstLine="420"/>
        <w:rPr>
          <w:rFonts w:ascii="宋体" w:hAnsi="宋体"/>
          <w:bCs/>
          <w:szCs w:val="21"/>
        </w:rPr>
      </w:pPr>
      <w:r>
        <w:rPr>
          <w:rFonts w:ascii="宋体" w:hAnsi="宋体" w:hint="eastAsia"/>
          <w:bCs/>
          <w:szCs w:val="21"/>
        </w:rPr>
        <w:t>（一）选择代理证券、期货买卖的证券、期货经纪机构的程序</w:t>
      </w:r>
    </w:p>
    <w:p w14:paraId="138553FC" w14:textId="77777777" w:rsidR="005262EB" w:rsidRDefault="008312B3">
      <w:pPr>
        <w:snapToGrid w:val="0"/>
        <w:spacing w:line="360" w:lineRule="auto"/>
        <w:ind w:firstLineChars="200" w:firstLine="420"/>
        <w:rPr>
          <w:rFonts w:ascii="宋体" w:hAnsi="宋体"/>
          <w:bCs/>
          <w:szCs w:val="21"/>
        </w:rPr>
      </w:pPr>
      <w:r>
        <w:rPr>
          <w:rFonts w:ascii="宋体" w:hAnsi="宋体" w:hint="eastAsia"/>
          <w:bCs/>
          <w:szCs w:val="21"/>
        </w:rPr>
        <w:t>基金管理人负责选择代理本基金财产进行证券买卖的证券经纪机构。基金管理人、基金托管人和证券经纪机构可另行签订证券经纪服务协议，载明本基金在证券交易所交易的交易席位号、佣金费率，交易数据、结算数据、对账单的传送，以及差错处理和违约责任等具体</w:t>
      </w:r>
      <w:r>
        <w:rPr>
          <w:rFonts w:ascii="宋体" w:hAnsi="宋体" w:hint="eastAsia"/>
          <w:bCs/>
          <w:szCs w:val="21"/>
        </w:rPr>
        <w:lastRenderedPageBreak/>
        <w:t>事项的安排。如证券经纪服务协议有效期内，交易席位号、佣金费率等信息发生变动，应于生效前一个交易日书面告知基金托管人。</w:t>
      </w:r>
    </w:p>
    <w:p w14:paraId="1E23689D" w14:textId="77777777" w:rsidR="005262EB" w:rsidRDefault="008312B3">
      <w:pPr>
        <w:snapToGrid w:val="0"/>
        <w:spacing w:line="360" w:lineRule="auto"/>
        <w:ind w:firstLineChars="200" w:firstLine="420"/>
        <w:rPr>
          <w:rFonts w:ascii="宋体" w:hAnsi="宋体"/>
          <w:bCs/>
          <w:szCs w:val="21"/>
        </w:rPr>
      </w:pPr>
      <w:r>
        <w:rPr>
          <w:rFonts w:ascii="宋体" w:hAnsi="宋体" w:hint="eastAsia"/>
          <w:bCs/>
          <w:szCs w:val="21"/>
        </w:rPr>
        <w:t>基金管理人负责选择代理本基金财产进行期货交易的期货经纪机构。基金管理人、基金托管人和期货经纪机构可另行签订期货操作备忘录，载明本基金在期货交易所交易的期货交易编码、期货保证金账号、期货保证金比例、佣金费率，交易数据、结算数据、对账单的传送，以及差错处理和违约责任等具体事项的安排。在期货操作备忘录有效期内，佣金费率等信息发生变动的，应于生效前一个交易日书面告知基金托管人。</w:t>
      </w:r>
    </w:p>
    <w:p w14:paraId="0D52B115"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（二）本基金投资证券、期货的清算交收</w:t>
      </w:r>
    </w:p>
    <w:p w14:paraId="73E91F20"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通过证券经纪机构、期货经纪机构进行本基金的证券、期货交易的，由证券经纪机构、期货经纪机构作为结算参与人代理本基金进行结算，并负责证券资金账户、期货保证金账户项下的财产保管。本基金其它证券交易由基金托管人或相关机构负责结算。</w:t>
      </w:r>
    </w:p>
    <w:p w14:paraId="7970F259"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本基金进行证券买卖、期货交易的资金交收违约事件，由相关各方及时协商解决。相关过错方在清算上造成本基金财产的损失，由过错方承担。</w:t>
      </w:r>
    </w:p>
    <w:p w14:paraId="1ABA9BEF"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对证券资金账户、期货保证金账户，资金、证券、期货账目，由基金管理人、基金托管人双方定期与证券经纪机构、期货经纪机构进行对账，确保基金管理人、基金托管人双方账实相符。</w:t>
      </w:r>
    </w:p>
    <w:p w14:paraId="1DFD77BA"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（三）本基金投资银行间债券的清算交收</w:t>
      </w:r>
    </w:p>
    <w:p w14:paraId="2366B1FA"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负责对交易对手方的资信控制，按银行间债券市场的交易规则进行交易，并负责处理因交易对手不履行合同或未及时履行合同而造成的纠纷及损失，基金托管人不承担由此造成的任何法律责任及损失，由责任方承担。</w:t>
      </w:r>
    </w:p>
    <w:p w14:paraId="1644E8EE"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银行间债券交易资金的结算由基金托管人根据基金管理人出具划款指令执行。</w:t>
      </w:r>
    </w:p>
    <w:p w14:paraId="04FA127C"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四）基金管理人在发送投资指令时，应为基金托管人执行投资指令留出执行指令所必需的时间。如划款指令中给予基金托管人的划拨时间小于2个工作小时或晚于前述指令截至时间的，基金托管人应尽力在指定时间内完成资金划拨,但不承担因时间不足导致执行失败的责任。</w:t>
      </w:r>
    </w:p>
    <w:p w14:paraId="572ACCA1"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（五）定期存款投资</w:t>
      </w:r>
    </w:p>
    <w:p w14:paraId="598FA5A5"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基金管理人与存款行签订的存款协议条款格式应在定期存款起息日的前一个工作日发送给基金托管人，协议</w:t>
      </w:r>
      <w:r>
        <w:rPr>
          <w:rFonts w:asciiTheme="minorEastAsia" w:eastAsiaTheme="minorEastAsia" w:hAnsiTheme="minorEastAsia" w:hint="eastAsia"/>
          <w:szCs w:val="21"/>
        </w:rPr>
        <w:t>签订的内容由基金管理人和基金托管人一致认可后方可执行。具体条款以实际存款协议为准。</w:t>
      </w:r>
      <w:r>
        <w:rPr>
          <w:rFonts w:ascii="宋体" w:hAnsi="宋体" w:cs="Arial" w:hint="eastAsia"/>
          <w:color w:val="000000"/>
          <w:szCs w:val="21"/>
        </w:rPr>
        <w:t>基金管理人应将</w:t>
      </w:r>
      <w:r>
        <w:rPr>
          <w:rFonts w:ascii="宋体" w:hAnsi="宋体" w:hint="eastAsia"/>
          <w:szCs w:val="21"/>
        </w:rPr>
        <w:t>定期存款的划款指令及存款协议盖章版（扫描件）按法律法规、基金合同及托管协议的规定提交基金托管人，指令发出后，基金管理人应及时以电话方式向基金托管人确认。对于基金管理人依约定程序发出的指令，基金管理人不得否认其效力。</w:t>
      </w:r>
    </w:p>
    <w:p w14:paraId="4DDE62D1"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存款银行无法在存入当日17点前向基金托管人送达存款证实书的，基金管理人应敦促存款银行将存款证实扫描件发送至基金托管人。存款证实书送达基金托管人后，基金托管人</w:t>
      </w:r>
      <w:r>
        <w:rPr>
          <w:rFonts w:ascii="宋体" w:hAnsi="宋体" w:hint="eastAsia"/>
          <w:szCs w:val="21"/>
        </w:rPr>
        <w:lastRenderedPageBreak/>
        <w:t>负责保管存款证实书原件。基金托管人仅对存款证实书进行形式审核，形式审核内容为账户名称、起息日、到期日、金额、利率。基金托管人不对存款证实书真实性承担审核职责。</w:t>
      </w:r>
    </w:p>
    <w:p w14:paraId="507F8C63"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基金管理人与存款银行签订的存款协议，应包括：</w:t>
      </w:r>
    </w:p>
    <w:p w14:paraId="0C953D5D"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1、存款银行为托管资产办理定期存款业务的存款账户开立、资金存入和支取提供必要的支持和高效的结算服务；</w:t>
      </w:r>
    </w:p>
    <w:p w14:paraId="244AD8BB"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2、存款银行为托管资产所投资的定期存款的存款证明文件提供上门服务，即：定期存款资金到账当日，存款银行派授权代理人将“存款证实书”（以下简称“证实书”）妥善送至基金托管人处。“证实书”移交给基金托管人之前，因“证实书”丢失、损毁而造成的一切损失由存款银行承担。</w:t>
      </w:r>
    </w:p>
    <w:p w14:paraId="4E5FFD7C"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3、定期存款到期日当日或提前支取日当日，存款银行应派授权代理人前往基金托管人处提取“证实书”。“证实书”移交给存款行授权代理人之后，因“证实书”丢失、损毁而造成的一切损失由存款银行承担。</w:t>
      </w:r>
    </w:p>
    <w:p w14:paraId="3F5FAD0C"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存款银行应至少提前一个工作日向基金托管人提供对前述授权代理人办理相关事务的书面授权书。授权代理人提供上门服务时，应出示有效身份证或工作证。</w:t>
      </w:r>
    </w:p>
    <w:p w14:paraId="29E35C11"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4、存款银行应保证及时支付存款本金和利息，于支取当日将本息划付至本基金开立在基金托管人处的托管账户，并列明账户的开户行、账号、户名、大额支付号。存款银行应确认，定期存款的本息只能划入开立在基金托管人的相应托管账户或经基金托管人确认的指定账户。上述指定收款账户信息如需变更，必须经基金托管人书面同意。</w:t>
      </w:r>
    </w:p>
    <w:p w14:paraId="7E06066E"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5、存款银行应为定期存款业务提供定期对账服务。首次对账应不晚于存款资金存入后的一个自然月。除首次对账外，对账频率不少于每半年一次。存款银行应配合基金托管人对“证实书”的书面征询或其他形式的对账和查询。</w:t>
      </w:r>
    </w:p>
    <w:p w14:paraId="51A9F409"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6、在存款存续期内，“证实书”的预留印鉴发生变更的，存款银行应配合办理变更手续。</w:t>
      </w:r>
    </w:p>
    <w:p w14:paraId="0400EB60"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7、存款不得被质押，相应存款证明文件不得用于背书和转让。</w:t>
      </w:r>
    </w:p>
    <w:p w14:paraId="0A048EF5" w14:textId="77777777" w:rsidR="005262EB" w:rsidRDefault="008312B3">
      <w:pPr>
        <w:snapToGrid w:val="0"/>
        <w:spacing w:line="360" w:lineRule="auto"/>
        <w:rPr>
          <w:rFonts w:ascii="宋体" w:hAnsi="宋体"/>
          <w:b/>
          <w:bCs/>
          <w:szCs w:val="21"/>
        </w:rPr>
      </w:pPr>
      <w:r>
        <w:rPr>
          <w:rFonts w:ascii="Segoe UI" w:hAnsi="Segoe UI" w:cs="Segoe UI"/>
          <w:color w:val="000000"/>
          <w:szCs w:val="21"/>
        </w:rPr>
        <w:t xml:space="preserve">   </w:t>
      </w:r>
      <w:bookmarkStart w:id="35" w:name="_Toc382819102"/>
      <w:r>
        <w:rPr>
          <w:rFonts w:ascii="宋体" w:hAnsi="宋体" w:hint="eastAsia"/>
          <w:bCs/>
          <w:szCs w:val="21"/>
        </w:rPr>
        <w:t>（六）可用资金余额的确认</w:t>
      </w:r>
      <w:bookmarkEnd w:id="35"/>
    </w:p>
    <w:p w14:paraId="0D87299B" w14:textId="77777777" w:rsidR="005262EB" w:rsidRDefault="008312B3">
      <w:pPr>
        <w:snapToGrid w:val="0"/>
        <w:spacing w:line="360" w:lineRule="auto"/>
        <w:ind w:firstLineChars="200" w:firstLine="420"/>
      </w:pPr>
      <w:r>
        <w:rPr>
          <w:rFonts w:ascii="宋体" w:hAnsi="宋体" w:hint="eastAsia"/>
          <w:szCs w:val="21"/>
        </w:rPr>
        <w:t>基金托管人可应基金管理人要求，通过发送资金调节表等双方认可的方式，将托管账户的可用资金余额提供给基金管理人，基金管理人亦可开通苏州银行资产托管服务平台查询托管账户可用余额。</w:t>
      </w:r>
    </w:p>
    <w:p w14:paraId="795FB970" w14:textId="77777777" w:rsidR="005262EB" w:rsidRDefault="008312B3">
      <w:pPr>
        <w:snapToGrid w:val="0"/>
        <w:spacing w:line="360" w:lineRule="auto"/>
        <w:ind w:firstLineChars="200" w:firstLine="420"/>
        <w:rPr>
          <w:rFonts w:ascii="宋体" w:hAnsi="宋体"/>
          <w:szCs w:val="21"/>
        </w:rPr>
      </w:pPr>
      <w:r>
        <w:rPr>
          <w:rFonts w:ascii="宋体" w:hAnsi="宋体" w:hint="eastAsia"/>
          <w:bCs/>
          <w:szCs w:val="21"/>
        </w:rPr>
        <w:t>（七）交易记录、资金、证券账目的核对</w:t>
      </w:r>
    </w:p>
    <w:p w14:paraId="2B952A88"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1、交易记录的核对</w:t>
      </w:r>
    </w:p>
    <w:p w14:paraId="1A927596"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基金管理人和基金托管人按日进行交易记录的核对。每日对外披露净值之前，必须保证当天所有实际交易记录与基金会计账簿上的交易记录一致。</w:t>
      </w:r>
    </w:p>
    <w:p w14:paraId="2F133F70"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2、资金账目的核对</w:t>
      </w:r>
    </w:p>
    <w:p w14:paraId="54568D5A"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资金账目包括基金的银行存款等会计资料。资金账目由基金托管人每日进行账实核对，基金管理人复核基金托管人提供的可用头寸表/资金调节表核对资金余额。银行存款账户每</w:t>
      </w:r>
      <w:r>
        <w:rPr>
          <w:rFonts w:ascii="宋体" w:hAnsi="宋体" w:hint="eastAsia"/>
          <w:szCs w:val="21"/>
        </w:rPr>
        <w:lastRenderedPageBreak/>
        <w:t>日核对，做到账账相符、账实相符。</w:t>
      </w:r>
    </w:p>
    <w:p w14:paraId="35BC113A"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3、证券账目的核对</w:t>
      </w:r>
    </w:p>
    <w:p w14:paraId="5F8564E4"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证券账目是指以基金名义开立的证券交易账户和实物托管账户中的证券种类、数量和金额。基金管理人和基金托管人每日核对证券账目余额。证券交易所证券账目每交易日结束后核对一次，银行间市场证券账目每月末核对一次，确保账实相符。</w:t>
      </w:r>
    </w:p>
    <w:p w14:paraId="1C850F3C" w14:textId="77777777" w:rsidR="005262EB" w:rsidRDefault="008312B3">
      <w:pPr>
        <w:snapToGrid w:val="0"/>
        <w:spacing w:line="360" w:lineRule="auto"/>
        <w:ind w:firstLineChars="200" w:firstLine="420"/>
        <w:rPr>
          <w:rFonts w:ascii="宋体" w:hAnsi="宋体"/>
          <w:szCs w:val="21"/>
        </w:rPr>
      </w:pPr>
      <w:r>
        <w:rPr>
          <w:rFonts w:ascii="宋体" w:hAnsi="宋体" w:hint="eastAsia"/>
          <w:bCs/>
          <w:szCs w:val="21"/>
        </w:rPr>
        <w:t>（八）基金申购、赎回、转换业务处理的基本规定</w:t>
      </w:r>
    </w:p>
    <w:p w14:paraId="3FB8214A"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1、基金份额申购、赎回的确认、清算由基金管理人或其委托的登记机构负责。</w:t>
      </w:r>
    </w:p>
    <w:p w14:paraId="37C402CA"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2、基金管理人应在每个交易日按本协议相关规定向基金托管人发送基金管理人确认的申购、赎回和转换开放式基金的有关数据，并对上述数据的真实、准确、完整性负责。基金托管人应及时查收申购及转入资金的到账情况并根据基金管理人指令及时划付赎回及转出款项。基金管理人应保证本基金（或本基金管理人委托）的登记机构每个工作日10:00 前向基金托管人发送前一开放日的上述有关数据，并保证相关数据的准确、完整。</w:t>
      </w:r>
    </w:p>
    <w:p w14:paraId="24E6DBFB"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3、基金管理人通过与基金托管人建立的共同约定的数据传送系统发送申购赎回等有关数据，如因各种原因，该系统无法正常发送，双方可协商解决处理方式。由此引起基金或本协议一方损失的，由系统无法正常传送数据的一方承担赔偿责任，但不可抗力导致的情形除外；若由双方共同引起，根据各自过错程度承担相应责任。基金管理人向基金托管人发送的数据，双方各自按有关规定保存。</w:t>
      </w:r>
    </w:p>
    <w:p w14:paraId="50BD8629"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4、基金管理人应保证其发送的注册登记数据的接口规范与基金托管人的接口规范保持一致。</w:t>
      </w:r>
    </w:p>
    <w:p w14:paraId="7A0A808C"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5、基金注册登记清算专用账户的开立和管理</w:t>
      </w:r>
    </w:p>
    <w:p w14:paraId="13E7DF82"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为满足申购、赎回等资金汇划的需要，基金管理人应开立用于基金申购、赎回等资金清算的基金注册登记清算专用账户。</w:t>
      </w:r>
    </w:p>
    <w:p w14:paraId="6274C775" w14:textId="77777777" w:rsidR="005262EB" w:rsidRDefault="008312B3">
      <w:pPr>
        <w:tabs>
          <w:tab w:val="left" w:pos="4680"/>
        </w:tabs>
        <w:snapToGrid w:val="0"/>
        <w:spacing w:line="360" w:lineRule="auto"/>
        <w:ind w:firstLineChars="200" w:firstLine="420"/>
        <w:jc w:val="left"/>
        <w:rPr>
          <w:rFonts w:ascii="宋体" w:hAnsi="宋体"/>
          <w:kern w:val="21"/>
          <w:szCs w:val="21"/>
        </w:rPr>
      </w:pPr>
      <w:r>
        <w:rPr>
          <w:rFonts w:ascii="宋体" w:hAnsi="宋体" w:hint="eastAsia"/>
          <w:szCs w:val="21"/>
        </w:rPr>
        <w:t>6、</w:t>
      </w:r>
      <w:r>
        <w:rPr>
          <w:rFonts w:ascii="宋体" w:hAnsi="宋体" w:hint="eastAsia"/>
          <w:kern w:val="21"/>
          <w:szCs w:val="21"/>
        </w:rPr>
        <w:t>对于基金申购过程中产生的应收资产，应由基金管理人负责与有关当事人确定到账日期并通知基金托管人，到账日基金资产没有到达基金托管人处的，基金管理人</w:t>
      </w:r>
      <w:r>
        <w:rPr>
          <w:rFonts w:ascii="宋体" w:hAnsi="宋体" w:hint="eastAsia"/>
          <w:szCs w:val="21"/>
        </w:rPr>
        <w:t>应及时</w:t>
      </w:r>
      <w:r>
        <w:rPr>
          <w:rFonts w:ascii="宋体" w:hAnsi="宋体" w:hint="eastAsia"/>
          <w:kern w:val="21"/>
          <w:szCs w:val="21"/>
        </w:rPr>
        <w:t>采取措施进行催收，由此给基金造成损失的，基金管理人应负责向有关当事人追偿基金的损失，</w:t>
      </w:r>
      <w:r>
        <w:rPr>
          <w:rFonts w:ascii="宋体" w:hAnsi="宋体" w:hint="eastAsia"/>
          <w:szCs w:val="21"/>
        </w:rPr>
        <w:t>基金托管人不承担任何责任，但应予以必要的协助和配合</w:t>
      </w:r>
      <w:r>
        <w:rPr>
          <w:rFonts w:ascii="宋体" w:hAnsi="宋体" w:hint="eastAsia"/>
          <w:kern w:val="21"/>
          <w:szCs w:val="21"/>
        </w:rPr>
        <w:t>。</w:t>
      </w:r>
    </w:p>
    <w:p w14:paraId="55A3E0A2"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7、赎回资金的支付</w:t>
      </w:r>
    </w:p>
    <w:p w14:paraId="1ABDF2E7"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基金托管人在根据基金管理人指令支付赎回款时，如托管专户中本基金有足够的资金，基金托管人应按《基金合同》和本协议的规定支付；如托管专户中本基金有足额的资金且基金托管人有足够合理的时间进行划款，而基金托管人未及时执行合法合规的指令的，责任由基金托管人承担，但不可抗力导致的情形除外。因托管专户中本基金没有足够的资金，导致基金托管人不能按时支付，如是基金管理人的原因造成，责任由基金管理人承担，基金托管人不承担垫款义务；如是除基金管理人、基金托管人外的第三方原因造成的，责任由第三方承担，基金托管人不承担垫款义务，若给基金份额持有人造成损失的，基金托管人负有配合</w:t>
      </w:r>
      <w:r>
        <w:rPr>
          <w:rFonts w:ascii="宋体" w:hAnsi="宋体" w:hint="eastAsia"/>
          <w:szCs w:val="21"/>
        </w:rPr>
        <w:lastRenderedPageBreak/>
        <w:t>基金管理人向第三方追偿的义务。</w:t>
      </w:r>
    </w:p>
    <w:p w14:paraId="7481309E"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8、资金支付执行和责任界定</w:t>
      </w:r>
    </w:p>
    <w:p w14:paraId="72FA55C2"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除申购款项到达基金托管人处的基金账户需双方按约定方式对账外，净额划出、赎回资金支付时，应按照本协议相关规定执行。若本协议没有规定的按双方协商一致内容执行。</w:t>
      </w:r>
    </w:p>
    <w:p w14:paraId="6601B465"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基金管理人和基金托管人应采取所有必要措施确保申购和赎回等资金在本协议相关规定的时间内划到指定账户。但由于基金管理人和基金托管人之外的第三方原因、不可抗力原因导致资金不能按时到账的，基金管理人和基金托管人不承担由此产生的责任。如因此给基金造成损失的，基金管理人应负责向第三方追偿，基金托管人有义务协助追偿。</w:t>
      </w:r>
    </w:p>
    <w:p w14:paraId="6AFD03A7"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9、暂停赎回和巨额赎回处理</w:t>
      </w:r>
    </w:p>
    <w:p w14:paraId="4094147E" w14:textId="77777777" w:rsidR="005262EB" w:rsidRDefault="008312B3">
      <w:pPr>
        <w:tabs>
          <w:tab w:val="left" w:pos="4680"/>
        </w:tabs>
        <w:snapToGrid w:val="0"/>
        <w:spacing w:line="360" w:lineRule="auto"/>
        <w:ind w:firstLineChars="200" w:firstLine="420"/>
        <w:jc w:val="left"/>
        <w:rPr>
          <w:rFonts w:ascii="宋体" w:hAnsi="宋体"/>
          <w:szCs w:val="21"/>
        </w:rPr>
      </w:pPr>
      <w:r>
        <w:rPr>
          <w:rFonts w:ascii="宋体" w:hAnsi="宋体" w:hint="eastAsia"/>
          <w:szCs w:val="21"/>
        </w:rPr>
        <w:t>基金管理人应严格按照相关法律法规以及《基金合同》的规定，对暂停赎回的情形进行相应处理，并在发生暂停赎回的当日及时以双方认可的形式通知基金托管人。基金管理人应严格按照相关法律法规以及《基金合同》的规定，对巨额赎回的情形进行相应处理，并在决定部分延期赎回的当日及时以双方认可的形式通知基金托管人。</w:t>
      </w:r>
    </w:p>
    <w:p w14:paraId="5372E79D" w14:textId="77777777" w:rsidR="005262EB" w:rsidRDefault="008312B3">
      <w:pPr>
        <w:snapToGrid w:val="0"/>
        <w:spacing w:line="360" w:lineRule="auto"/>
        <w:ind w:firstLineChars="200" w:firstLine="420"/>
        <w:rPr>
          <w:rFonts w:ascii="宋体" w:hAnsi="宋体"/>
          <w:szCs w:val="21"/>
        </w:rPr>
      </w:pPr>
      <w:r>
        <w:rPr>
          <w:rFonts w:ascii="宋体" w:hAnsi="宋体" w:hint="eastAsia"/>
          <w:bCs/>
          <w:szCs w:val="21"/>
        </w:rPr>
        <w:t>（九）申购赎回资金结算</w:t>
      </w:r>
    </w:p>
    <w:p w14:paraId="3B7BBD05"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T+1日前（含T＋1日，T日为申请日），基金管理人负责根据T日投资人申购、赎回基金的确认数据汇总传输给基金托管人。基金管理人和基金托管人据此进行申购的基金会计处理。</w:t>
      </w:r>
    </w:p>
    <w:p w14:paraId="61C5A10B"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T日申购、赎回申请的对应款项均在T＋2日进行交收。基金托管账户与“基金清算账户”间的资金结算遵循“全额清算、净额交收”的原则，每日按照托管账户应收资金与应付资金的差额来确定当日托管账户净应收额或净应付额，以此确定资金交收额。如存在托管账户净应收额时，基金管理人应在T+2日 15:00 之前从基金清算账户划到基金托管账户，基金管理人可通过电话、邮箱等双方认可的方式向基金托管人确认资金到账情况，基金托管人可应基金管理人要求将有关书面凭证邮件发送给基金管理人进行账务管理；如存在托管账户净应付额时，基金管理人应在前一工作日将划款指令发送给基金托管人，在基金托管账户可用头寸足额的前提下，基金托管人按基金管理人的划款指令将托管账户净应付额在T+2日及时划往基金清算账户，基金管理人可通过电话、邮箱等双方认可的方式向基金托管人确认资金划出情况，基金托管人可应基金管理人要求将有关书面凭证通过邮件发送给基金管理人进行账务管理。</w:t>
      </w:r>
    </w:p>
    <w:p w14:paraId="3796D95C"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当存在托管账户净应付额时，如基金银行账户有足够的资金，基金托管人应按时拨付；因基金银行账户没有足够的资金，导致基金托管人不能按时拨付，基金托管人应及时通知基金管理人，如系基金管理人的原因造成，责任由基金管理人承担，基金托管人不承担垫款义务。</w:t>
      </w:r>
    </w:p>
    <w:p w14:paraId="0CF6CFEA" w14:textId="77777777" w:rsidR="005262EB" w:rsidRDefault="008312B3">
      <w:pPr>
        <w:snapToGrid w:val="0"/>
        <w:spacing w:line="360" w:lineRule="auto"/>
        <w:ind w:firstLineChars="200" w:firstLine="420"/>
        <w:rPr>
          <w:rFonts w:ascii="宋体" w:hAnsi="宋体"/>
          <w:szCs w:val="21"/>
        </w:rPr>
      </w:pPr>
      <w:r>
        <w:rPr>
          <w:rFonts w:ascii="宋体" w:hAnsi="宋体" w:hint="eastAsia"/>
          <w:bCs/>
          <w:szCs w:val="21"/>
        </w:rPr>
        <w:t>（十）基金转换</w:t>
      </w:r>
    </w:p>
    <w:p w14:paraId="0B90F882"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基金管理人与基金托管人按照相关法律法规、《基金合同》以及本协议的规定办理基金</w:t>
      </w:r>
      <w:r>
        <w:rPr>
          <w:rFonts w:ascii="宋体" w:hAnsi="宋体" w:hint="eastAsia"/>
          <w:szCs w:val="21"/>
        </w:rPr>
        <w:lastRenderedPageBreak/>
        <w:t>转换。</w:t>
      </w:r>
    </w:p>
    <w:p w14:paraId="1A58753B" w14:textId="77777777" w:rsidR="005262EB" w:rsidRDefault="008312B3">
      <w:pPr>
        <w:spacing w:beforeLines="100" w:before="312" w:afterLines="50" w:after="156" w:line="240" w:lineRule="atLeast"/>
        <w:jc w:val="center"/>
        <w:outlineLvl w:val="0"/>
        <w:rPr>
          <w:rFonts w:ascii="宋体" w:hAnsi="宋体"/>
          <w:b/>
          <w:sz w:val="24"/>
        </w:rPr>
      </w:pPr>
      <w:bookmarkStart w:id="36" w:name="_Toc131682147"/>
      <w:bookmarkStart w:id="37" w:name="_Toc382819104"/>
      <w:r>
        <w:rPr>
          <w:rFonts w:ascii="宋体" w:hAnsi="宋体" w:hint="eastAsia"/>
          <w:b/>
          <w:sz w:val="24"/>
        </w:rPr>
        <w:t>七、基金资产净值计算和会计核算</w:t>
      </w:r>
      <w:bookmarkEnd w:id="36"/>
    </w:p>
    <w:p w14:paraId="49BE76F1" w14:textId="77777777" w:rsidR="005262EB" w:rsidRDefault="008312B3">
      <w:pPr>
        <w:snapToGrid w:val="0"/>
        <w:spacing w:line="360" w:lineRule="auto"/>
        <w:ind w:firstLineChars="200" w:firstLine="420"/>
        <w:rPr>
          <w:rFonts w:ascii="宋体" w:hAnsi="宋体"/>
          <w:szCs w:val="21"/>
        </w:rPr>
      </w:pPr>
      <w:r>
        <w:rPr>
          <w:rFonts w:ascii="宋体" w:hAnsi="宋体" w:hint="eastAsia"/>
          <w:bCs/>
          <w:szCs w:val="21"/>
        </w:rPr>
        <w:t>（一）基金资产净值的计算</w:t>
      </w:r>
      <w:r>
        <w:rPr>
          <w:rFonts w:ascii="宋体" w:hAnsi="宋体" w:hint="eastAsia"/>
          <w:szCs w:val="21"/>
        </w:rPr>
        <w:t>、</w:t>
      </w:r>
      <w:r>
        <w:rPr>
          <w:rFonts w:ascii="宋体" w:hAnsi="宋体" w:hint="eastAsia"/>
          <w:bCs/>
          <w:szCs w:val="21"/>
        </w:rPr>
        <w:t>复核的时间和程序</w:t>
      </w:r>
      <w:bookmarkEnd w:id="37"/>
    </w:p>
    <w:p w14:paraId="3BB4D0F8" w14:textId="0C6ACFFE" w:rsidR="005262EB" w:rsidRDefault="008312B3">
      <w:pPr>
        <w:snapToGrid w:val="0"/>
        <w:spacing w:line="360" w:lineRule="auto"/>
        <w:ind w:right="28" w:firstLineChars="200" w:firstLine="420"/>
        <w:rPr>
          <w:rFonts w:ascii="宋体" w:hAnsi="宋体"/>
          <w:szCs w:val="21"/>
        </w:rPr>
      </w:pPr>
      <w:r>
        <w:rPr>
          <w:rFonts w:ascii="宋体" w:hAnsi="宋体" w:hint="eastAsia"/>
          <w:szCs w:val="21"/>
        </w:rPr>
        <w:t>1、</w:t>
      </w:r>
      <w:r>
        <w:rPr>
          <w:rFonts w:hint="eastAsia"/>
          <w:bCs/>
          <w:szCs w:val="21"/>
        </w:rPr>
        <w:t>基金资产净值是指基金资产总值减去基金负债后的价值</w:t>
      </w:r>
      <w:r>
        <w:rPr>
          <w:rFonts w:ascii="宋体" w:hAnsi="宋体" w:hint="eastAsia"/>
          <w:szCs w:val="21"/>
        </w:rPr>
        <w:t>。</w:t>
      </w:r>
      <w:r>
        <w:rPr>
          <w:rFonts w:hint="eastAsia"/>
          <w:bCs/>
          <w:szCs w:val="21"/>
        </w:rPr>
        <w:t>各类基金份额净值是按照每个工作日闭市后，各类基金份额的基金资产净值分别除以当日该类基金份额的余额数量计算，均精确到</w:t>
      </w:r>
      <w:r>
        <w:rPr>
          <w:bCs/>
          <w:szCs w:val="21"/>
        </w:rPr>
        <w:t>0.0001</w:t>
      </w:r>
      <w:r>
        <w:rPr>
          <w:rFonts w:hint="eastAsia"/>
          <w:bCs/>
          <w:szCs w:val="21"/>
        </w:rPr>
        <w:t>元，小数点后第</w:t>
      </w:r>
      <w:r>
        <w:rPr>
          <w:bCs/>
          <w:szCs w:val="21"/>
        </w:rPr>
        <w:t>5</w:t>
      </w:r>
      <w:r>
        <w:rPr>
          <w:rFonts w:hint="eastAsia"/>
          <w:bCs/>
          <w:szCs w:val="21"/>
        </w:rPr>
        <w:t>位四舍五入，由此产生的收益或损失由基金财产承担。基金管理人可以设立大额赎回情形下的净值精度应急调整机制。如遇特殊情况，为保护基金份额持有人利益，基金管理人与基金托管人协商一致，可阶段性调整基金份额净值计算精度并进行相应公告，无需召开基金份额持有人大会审议。国家法律法规另有规定的，从其规定。</w:t>
      </w:r>
    </w:p>
    <w:p w14:paraId="23172856" w14:textId="77777777" w:rsidR="005262EB" w:rsidRDefault="008312B3">
      <w:pPr>
        <w:snapToGrid w:val="0"/>
        <w:spacing w:line="360" w:lineRule="auto"/>
        <w:ind w:right="28" w:firstLineChars="200" w:firstLine="420"/>
      </w:pPr>
      <w:r>
        <w:rPr>
          <w:rFonts w:ascii="宋体" w:hAnsi="宋体" w:hint="eastAsia"/>
          <w:szCs w:val="21"/>
        </w:rPr>
        <w:t>2、</w:t>
      </w:r>
      <w:r>
        <w:t>根据有关法律法规，基金净值信息计算和基金会计核算的义务由基金管理人承担。本基金的基金会计责任方由基金管理人担任，基金托管人承担复核责任，因此，就与本基金有关的会计问题，如经相关各方在平等基础上充分讨论后，仍无法达成一致意见的，按照基金管理人对基金净值信息的计算结果对外予以公布。基金管理人应每个估值日对基金资产估值。但基金管理人根据法律法规或基金合同的规定暂停估值时除外。估值原则应符合《基金合同》、《证券投资基金会计核算业务指引》及其他法律、法规的规定。基金管理人每个估值日对基金资产估值后，将</w:t>
      </w:r>
      <w:r>
        <w:rPr>
          <w:rFonts w:hint="eastAsia"/>
        </w:rPr>
        <w:t>各类</w:t>
      </w:r>
      <w:r>
        <w:t>基金份额净值结果发送基金托管人，经基金托管人复核无误后，由基金管理人按规定对外公布。</w:t>
      </w:r>
    </w:p>
    <w:p w14:paraId="48155D1D" w14:textId="77777777" w:rsidR="005262EB" w:rsidRDefault="008312B3">
      <w:pPr>
        <w:tabs>
          <w:tab w:val="left" w:pos="900"/>
        </w:tabs>
        <w:snapToGrid w:val="0"/>
        <w:spacing w:line="360" w:lineRule="auto"/>
        <w:ind w:right="28" w:firstLineChars="200" w:firstLine="420"/>
        <w:rPr>
          <w:rFonts w:ascii="宋体" w:hAnsi="宋体"/>
          <w:szCs w:val="21"/>
        </w:rPr>
      </w:pPr>
      <w:r>
        <w:rPr>
          <w:rFonts w:ascii="宋体" w:hAnsi="宋体" w:hint="eastAsia"/>
          <w:szCs w:val="21"/>
        </w:rPr>
        <w:t>法律法规以及监管部门有强制规定的，从其规定。如有新增事项，按国家最新规定估值。</w:t>
      </w:r>
    </w:p>
    <w:p w14:paraId="52153449" w14:textId="77777777" w:rsidR="005262EB" w:rsidRDefault="008312B3">
      <w:pPr>
        <w:snapToGrid w:val="0"/>
        <w:spacing w:line="360" w:lineRule="auto"/>
        <w:ind w:firstLineChars="200" w:firstLine="420"/>
        <w:rPr>
          <w:rFonts w:ascii="宋体" w:hAnsi="宋体"/>
          <w:szCs w:val="21"/>
        </w:rPr>
      </w:pPr>
      <w:bookmarkStart w:id="38" w:name="_Toc382819105"/>
      <w:r>
        <w:rPr>
          <w:rFonts w:ascii="宋体" w:hAnsi="宋体" w:hint="eastAsia"/>
          <w:bCs/>
          <w:szCs w:val="21"/>
        </w:rPr>
        <w:t>（二）基金资产估值</w:t>
      </w:r>
      <w:bookmarkEnd w:id="38"/>
    </w:p>
    <w:p w14:paraId="78B68AB2" w14:textId="77777777" w:rsidR="005262EB" w:rsidRDefault="008312B3">
      <w:pPr>
        <w:snapToGrid w:val="0"/>
        <w:spacing w:line="360" w:lineRule="auto"/>
        <w:ind w:right="28" w:firstLineChars="200" w:firstLine="420"/>
        <w:rPr>
          <w:rFonts w:ascii="宋体" w:hAnsi="宋体"/>
          <w:szCs w:val="21"/>
        </w:rPr>
      </w:pPr>
      <w:r>
        <w:rPr>
          <w:rFonts w:ascii="宋体" w:hAnsi="宋体" w:hint="eastAsia"/>
          <w:szCs w:val="21"/>
        </w:rPr>
        <w:t>估值原则应符合《基金合同》、《证券投资基金会计核算业务指引》及其他法律法规的规定的约定。</w:t>
      </w:r>
    </w:p>
    <w:p w14:paraId="52AFA7E6" w14:textId="77777777" w:rsidR="005262EB" w:rsidRDefault="008312B3">
      <w:pPr>
        <w:snapToGrid w:val="0"/>
        <w:spacing w:line="360" w:lineRule="auto"/>
        <w:ind w:right="28" w:firstLineChars="200" w:firstLine="420"/>
        <w:rPr>
          <w:rFonts w:ascii="宋体" w:hAnsi="宋体"/>
          <w:szCs w:val="21"/>
        </w:rPr>
      </w:pPr>
      <w:r>
        <w:rPr>
          <w:rFonts w:ascii="宋体" w:hAnsi="宋体" w:hint="eastAsia"/>
          <w:szCs w:val="21"/>
        </w:rPr>
        <w:t>当相关法律法规或《基金合同》规定的估值方法不能客观反映基金财产公允价值时，基金管理人可根据具体情况，并与基金托管人商定后，按最能反映公允价值的价格估值。</w:t>
      </w:r>
    </w:p>
    <w:p w14:paraId="07A6026B" w14:textId="77777777" w:rsidR="005262EB" w:rsidRDefault="008312B3">
      <w:pPr>
        <w:snapToGrid w:val="0"/>
        <w:spacing w:line="360" w:lineRule="auto"/>
        <w:rPr>
          <w:rFonts w:ascii="宋体" w:hAnsi="宋体"/>
          <w:szCs w:val="21"/>
        </w:rPr>
      </w:pPr>
      <w:r>
        <w:rPr>
          <w:rFonts w:ascii="宋体" w:hAnsi="宋体" w:hint="eastAsia"/>
          <w:szCs w:val="21"/>
        </w:rPr>
        <w:t xml:space="preserve"> </w:t>
      </w:r>
      <w:r>
        <w:rPr>
          <w:rFonts w:ascii="宋体" w:hAnsi="宋体"/>
          <w:szCs w:val="21"/>
        </w:rPr>
        <w:t xml:space="preserve">  </w:t>
      </w:r>
      <w:bookmarkStart w:id="39" w:name="_Toc382819106"/>
      <w:r>
        <w:rPr>
          <w:rFonts w:ascii="宋体" w:hAnsi="宋体" w:hint="eastAsia"/>
          <w:bCs/>
          <w:szCs w:val="21"/>
        </w:rPr>
        <w:t>（三）估值错误处理</w:t>
      </w:r>
      <w:bookmarkEnd w:id="39"/>
    </w:p>
    <w:p w14:paraId="64099554" w14:textId="77777777" w:rsidR="005262EB" w:rsidRDefault="008312B3">
      <w:pPr>
        <w:adjustRightInd w:val="0"/>
        <w:snapToGrid w:val="0"/>
        <w:spacing w:line="360" w:lineRule="auto"/>
        <w:ind w:firstLineChars="200" w:firstLine="420"/>
        <w:rPr>
          <w:rFonts w:ascii="宋体" w:hAnsi="宋体" w:cs="Arial"/>
          <w:szCs w:val="21"/>
        </w:rPr>
      </w:pPr>
      <w:bookmarkStart w:id="40" w:name="_Toc382819107"/>
      <w:r>
        <w:rPr>
          <w:rFonts w:hint="eastAsia"/>
          <w:szCs w:val="21"/>
        </w:rPr>
        <w:t>基金管理人及基金托管人应当按照《基金合同》的约定处理</w:t>
      </w:r>
      <w:r>
        <w:rPr>
          <w:rFonts w:ascii="宋体" w:hAnsi="宋体" w:cs="Arial" w:hint="eastAsia"/>
          <w:szCs w:val="21"/>
        </w:rPr>
        <w:t>估值差错</w:t>
      </w:r>
      <w:r>
        <w:rPr>
          <w:rFonts w:hint="eastAsia"/>
          <w:szCs w:val="21"/>
        </w:rPr>
        <w:t>。</w:t>
      </w:r>
    </w:p>
    <w:p w14:paraId="347D32B5" w14:textId="77777777" w:rsidR="005262EB" w:rsidRDefault="008312B3">
      <w:pPr>
        <w:snapToGrid w:val="0"/>
        <w:spacing w:line="360" w:lineRule="auto"/>
        <w:rPr>
          <w:rFonts w:ascii="宋体" w:hAnsi="宋体"/>
          <w:b/>
          <w:bCs/>
          <w:szCs w:val="21"/>
        </w:rPr>
      </w:pPr>
      <w:r>
        <w:rPr>
          <w:rFonts w:ascii="宋体" w:hAnsi="宋体"/>
          <w:szCs w:val="21"/>
        </w:rPr>
        <w:t xml:space="preserve">   </w:t>
      </w:r>
      <w:bookmarkStart w:id="41" w:name="_Toc382819113"/>
      <w:bookmarkEnd w:id="40"/>
      <w:r>
        <w:rPr>
          <w:rFonts w:ascii="宋体" w:hAnsi="宋体" w:hint="eastAsia"/>
          <w:bCs/>
          <w:szCs w:val="21"/>
        </w:rPr>
        <w:t>（四）暂停估值与公告基金份额净值的情形</w:t>
      </w:r>
      <w:bookmarkStart w:id="42" w:name="_Toc382819114"/>
      <w:bookmarkEnd w:id="41"/>
    </w:p>
    <w:p w14:paraId="3A03A7FC" w14:textId="77777777" w:rsidR="005262EB" w:rsidRDefault="008312B3">
      <w:pPr>
        <w:snapToGrid w:val="0"/>
        <w:spacing w:line="360" w:lineRule="auto"/>
        <w:ind w:firstLineChars="200" w:firstLine="420"/>
        <w:rPr>
          <w:bCs/>
          <w:szCs w:val="21"/>
        </w:rPr>
      </w:pPr>
      <w:r>
        <w:rPr>
          <w:bCs/>
          <w:szCs w:val="21"/>
        </w:rPr>
        <w:t>1</w:t>
      </w:r>
      <w:r>
        <w:rPr>
          <w:rFonts w:hint="eastAsia"/>
          <w:bCs/>
          <w:szCs w:val="21"/>
        </w:rPr>
        <w:t>、基金投资所涉及的证券</w:t>
      </w:r>
      <w:r>
        <w:rPr>
          <w:bCs/>
          <w:szCs w:val="21"/>
        </w:rPr>
        <w:t>/</w:t>
      </w:r>
      <w:r>
        <w:rPr>
          <w:rFonts w:hint="eastAsia"/>
          <w:bCs/>
          <w:szCs w:val="21"/>
        </w:rPr>
        <w:t>期货交易市场或外汇市场遇法定节假日或因其他原因暂停营业时或者基金参与港股通交易且港股通临时停市时；</w:t>
      </w:r>
    </w:p>
    <w:p w14:paraId="122A46C7" w14:textId="78BA0A27" w:rsidR="005262EB" w:rsidRDefault="008312B3">
      <w:pPr>
        <w:snapToGrid w:val="0"/>
        <w:spacing w:line="360" w:lineRule="auto"/>
        <w:ind w:firstLineChars="200" w:firstLine="420"/>
        <w:rPr>
          <w:bCs/>
          <w:szCs w:val="21"/>
        </w:rPr>
      </w:pPr>
      <w:r>
        <w:rPr>
          <w:bCs/>
          <w:szCs w:val="21"/>
        </w:rPr>
        <w:t>2</w:t>
      </w:r>
      <w:r>
        <w:rPr>
          <w:rFonts w:hint="eastAsia"/>
          <w:bCs/>
          <w:szCs w:val="21"/>
        </w:rPr>
        <w:t>、因不可抗力致使基金管理人、基金托管人无法准确评估基金资产价值时；</w:t>
      </w:r>
    </w:p>
    <w:p w14:paraId="4CF5AC51" w14:textId="77777777" w:rsidR="005262EB" w:rsidRDefault="008312B3">
      <w:pPr>
        <w:snapToGrid w:val="0"/>
        <w:spacing w:line="360" w:lineRule="auto"/>
        <w:ind w:firstLineChars="200" w:firstLine="420"/>
        <w:rPr>
          <w:szCs w:val="21"/>
        </w:rPr>
      </w:pPr>
      <w:r>
        <w:rPr>
          <w:szCs w:val="21"/>
        </w:rPr>
        <w:t>3</w:t>
      </w:r>
      <w:r>
        <w:rPr>
          <w:rFonts w:hint="eastAsia"/>
          <w:szCs w:val="21"/>
        </w:rPr>
        <w:t>、当特定资产占前一估值日基金资产净值</w:t>
      </w:r>
      <w:r>
        <w:rPr>
          <w:szCs w:val="21"/>
        </w:rPr>
        <w:t>50%</w:t>
      </w:r>
      <w:r>
        <w:rPr>
          <w:rFonts w:hint="eastAsia"/>
          <w:szCs w:val="21"/>
        </w:rPr>
        <w:t>以上的，经与基金托管人协商确认后，基金管理人应当暂停估值；</w:t>
      </w:r>
    </w:p>
    <w:p w14:paraId="72A4E51F" w14:textId="142473EE" w:rsidR="005262EB" w:rsidRDefault="008312B3">
      <w:pPr>
        <w:snapToGrid w:val="0"/>
        <w:spacing w:line="360" w:lineRule="auto"/>
        <w:ind w:firstLineChars="200" w:firstLine="420"/>
        <w:rPr>
          <w:bCs/>
          <w:szCs w:val="21"/>
        </w:rPr>
      </w:pPr>
      <w:r>
        <w:rPr>
          <w:bCs/>
          <w:szCs w:val="21"/>
        </w:rPr>
        <w:lastRenderedPageBreak/>
        <w:t>4</w:t>
      </w:r>
      <w:r>
        <w:rPr>
          <w:rFonts w:hint="eastAsia"/>
          <w:bCs/>
          <w:szCs w:val="21"/>
        </w:rPr>
        <w:t>、法律法规、中国证监会和基金合同认定的其它情形。</w:t>
      </w:r>
    </w:p>
    <w:p w14:paraId="62343FF2" w14:textId="77777777" w:rsidR="005262EB" w:rsidRDefault="008312B3">
      <w:pPr>
        <w:snapToGrid w:val="0"/>
        <w:spacing w:line="360" w:lineRule="auto"/>
        <w:rPr>
          <w:rFonts w:ascii="宋体" w:hAnsi="宋体"/>
          <w:szCs w:val="21"/>
        </w:rPr>
      </w:pPr>
      <w:r>
        <w:rPr>
          <w:rFonts w:ascii="宋体" w:hAnsi="宋体"/>
          <w:szCs w:val="21"/>
        </w:rPr>
        <w:t xml:space="preserve">   </w:t>
      </w:r>
      <w:bookmarkStart w:id="43" w:name="_Toc382819116"/>
      <w:bookmarkEnd w:id="42"/>
      <w:r>
        <w:rPr>
          <w:rFonts w:ascii="宋体" w:hAnsi="宋体" w:hint="eastAsia"/>
          <w:bCs/>
          <w:szCs w:val="21"/>
        </w:rPr>
        <w:t>（五）基金账册的建立</w:t>
      </w:r>
      <w:bookmarkEnd w:id="43"/>
    </w:p>
    <w:p w14:paraId="3B865539"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基金管理人和基金托管人在《基金合同》生效后，应按照相关各方约定的同一记账方法和会计处理原则，分别独立地设置、登录和保管本基金的全套账册，对相关各方各自的账册定期进行核对，互相监督，以保证基金资产的安全。若双方对会计处理方法存在分歧，应以基金管理人的处理方法为准。</w:t>
      </w:r>
    </w:p>
    <w:p w14:paraId="15EC1F3C"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经对账发现相关各方的账目存在不符的，基金管理人和基金托管人必须及时查明原因并纠正，保证相关各方平行登录的账册记录完全相符。若当日核对不符，暂时无法查找到错账的原因而影响到基金资产净值的计算和公告的，以基金管理人的账册为准。</w:t>
      </w:r>
    </w:p>
    <w:p w14:paraId="7B6FD092" w14:textId="77777777" w:rsidR="005262EB" w:rsidRDefault="008312B3">
      <w:pPr>
        <w:snapToGrid w:val="0"/>
        <w:spacing w:line="360" w:lineRule="auto"/>
        <w:ind w:firstLineChars="200" w:firstLine="420"/>
        <w:rPr>
          <w:rFonts w:ascii="宋体" w:hAnsi="宋体"/>
          <w:szCs w:val="21"/>
        </w:rPr>
      </w:pPr>
      <w:bookmarkStart w:id="44" w:name="_Toc382819117"/>
      <w:r>
        <w:rPr>
          <w:rFonts w:ascii="宋体" w:hAnsi="宋体" w:hint="eastAsia"/>
          <w:bCs/>
          <w:szCs w:val="21"/>
        </w:rPr>
        <w:t>（六）基金定期报告的编制和复核</w:t>
      </w:r>
      <w:bookmarkEnd w:id="44"/>
    </w:p>
    <w:p w14:paraId="404BDEC6"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1、基金财务报表由基金管理人和基金托管人每月分别独立编制。月度报表的编制，应于每月终了后5个工作日内完成。</w:t>
      </w:r>
    </w:p>
    <w:p w14:paraId="564B1F60"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2、</w:t>
      </w:r>
      <w:r>
        <w:rPr>
          <w:bCs/>
          <w:szCs w:val="21"/>
        </w:rPr>
        <w:t>《基金合同》生效后，</w:t>
      </w:r>
      <w:r>
        <w:rPr>
          <w:rFonts w:hint="eastAsia"/>
          <w:bCs/>
          <w:szCs w:val="21"/>
        </w:rPr>
        <w:t>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r>
        <w:rPr>
          <w:rFonts w:ascii="宋体" w:hAnsi="宋体" w:cs="Arial" w:hint="eastAsia"/>
          <w:szCs w:val="21"/>
        </w:rPr>
        <w:t>基金管理人在季度结束之日起15个工作日内完成季度报告编制并公告；</w:t>
      </w:r>
      <w:r>
        <w:rPr>
          <w:rFonts w:hint="eastAsia"/>
          <w:bCs/>
          <w:szCs w:val="21"/>
        </w:rPr>
        <w:t>在上半年结束之日起两个月内</w:t>
      </w:r>
      <w:r>
        <w:rPr>
          <w:rFonts w:ascii="宋体" w:hAnsi="宋体" w:cs="Arial" w:hint="eastAsia"/>
          <w:szCs w:val="21"/>
        </w:rPr>
        <w:t>完成中期报告编制并公告；</w:t>
      </w:r>
      <w:r>
        <w:rPr>
          <w:rFonts w:hint="eastAsia"/>
          <w:bCs/>
          <w:szCs w:val="21"/>
        </w:rPr>
        <w:t>在每年结束之日起三个月内</w:t>
      </w:r>
      <w:r>
        <w:rPr>
          <w:rFonts w:ascii="宋体" w:hAnsi="宋体" w:cs="Arial" w:hint="eastAsia"/>
          <w:szCs w:val="21"/>
        </w:rPr>
        <w:t>完成年度报告编制并公告。</w:t>
      </w:r>
      <w:r>
        <w:rPr>
          <w:rFonts w:ascii="宋体" w:hAnsi="宋体" w:hint="eastAsia"/>
          <w:szCs w:val="21"/>
        </w:rPr>
        <w:t>基金合同生效不足两个月的，基金管理人可以不编制当期季度报告、中期报告或者年度报告。</w:t>
      </w:r>
    </w:p>
    <w:p w14:paraId="6C1D6D6A"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3、基金管理人在5个工作日内完成月度报表，在月度报表完成当日，对报表加盖公章后，以电子邮件方式及其他双方认可的方式将有关报告提供基金托管人复核；基金托管人在3个工作日内进行复核，并将复核结果及时书面通知基金管理人。基金管理人在7个工作日内完成季度报告，在季度报告完成当日，将有关报告提供基金托管人复核，基金托管人在收到后7个工作日内进行复核，并将复核结果书面通知基金管理人。基金管理人在30日内完成中期报告，在中期报告完成当日，将有关报告提供基金托管人复核，基金托管人在收到后30日内进行复核，并将复核结果书面通知基金管理人。基金管理人在45日内完成年度报告，在年度报告完成当日，将有关报告提供基金托管人复核，基金托管人在收到后45日内复核，并将复核结果书面通知基金管理人。</w:t>
      </w:r>
    </w:p>
    <w:p w14:paraId="48471EE6" w14:textId="77777777" w:rsidR="005262EB" w:rsidRDefault="008312B3">
      <w:pPr>
        <w:snapToGrid w:val="0"/>
        <w:spacing w:line="360" w:lineRule="auto"/>
        <w:ind w:firstLineChars="200" w:firstLine="420"/>
        <w:rPr>
          <w:rFonts w:ascii="宋体" w:hAnsi="宋体"/>
          <w:kern w:val="44"/>
          <w:szCs w:val="21"/>
        </w:rPr>
      </w:pPr>
      <w:r>
        <w:rPr>
          <w:rFonts w:ascii="宋体" w:hAnsi="宋体" w:hint="eastAsia"/>
          <w:szCs w:val="21"/>
        </w:rPr>
        <w:t>4、基金托管人在复核过程中，发现相关各方的报表存在不符时，基金管理人和基金托管人应共同查明原因，进行调整，调整以相关各方认可的账务处理方式为准。核对无误后，基金托管人在基金管理人提供的报告上加盖印鉴或者出具加盖托管业务部门业务章的复核意见书，相关各方各自留存一份。</w:t>
      </w:r>
      <w:r>
        <w:rPr>
          <w:rFonts w:ascii="宋体" w:hAnsi="宋体" w:hint="eastAsia"/>
          <w:kern w:val="44"/>
          <w:szCs w:val="21"/>
        </w:rPr>
        <w:t>如果基金管理人与基金托管人不能于应当发布公告之日之前就相关报表达成一致，基金管理人有权按照其编制的报表对外发布公告，基金托管人有权就相关情况报中国证监会备案。</w:t>
      </w:r>
    </w:p>
    <w:p w14:paraId="5B4FDD85"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5、基金托管人在对财务会计报告、季度报告、中期报告或年度报告复核完毕后，需应</w:t>
      </w:r>
      <w:r>
        <w:rPr>
          <w:rFonts w:ascii="宋体" w:hAnsi="宋体" w:hint="eastAsia"/>
          <w:szCs w:val="21"/>
        </w:rPr>
        <w:lastRenderedPageBreak/>
        <w:t>基金管理人要求盖章确认或出具相应的复核确认书，以备有权机构对相关文件审核时提示。</w:t>
      </w:r>
    </w:p>
    <w:p w14:paraId="0AD6182C" w14:textId="77777777" w:rsidR="005262EB" w:rsidRDefault="008312B3">
      <w:pPr>
        <w:spacing w:beforeLines="50" w:before="156" w:afterLines="50" w:after="156" w:line="500" w:lineRule="atLeast"/>
        <w:jc w:val="center"/>
        <w:outlineLvl w:val="0"/>
        <w:rPr>
          <w:rFonts w:ascii="宋体" w:hAnsi="宋体"/>
          <w:b/>
          <w:sz w:val="24"/>
        </w:rPr>
      </w:pPr>
      <w:bookmarkStart w:id="45" w:name="_Toc131682148"/>
      <w:r>
        <w:rPr>
          <w:rFonts w:ascii="宋体" w:hAnsi="宋体" w:hint="eastAsia"/>
          <w:b/>
          <w:sz w:val="24"/>
        </w:rPr>
        <w:t>八、基金收益分配</w:t>
      </w:r>
      <w:bookmarkEnd w:id="45"/>
    </w:p>
    <w:p w14:paraId="432F7B0C" w14:textId="77777777" w:rsidR="005262EB" w:rsidRDefault="008312B3">
      <w:pPr>
        <w:spacing w:line="360" w:lineRule="auto"/>
        <w:ind w:firstLineChars="225" w:firstLine="473"/>
        <w:rPr>
          <w:rFonts w:ascii="宋体" w:hAnsi="宋体"/>
          <w:szCs w:val="21"/>
        </w:rPr>
      </w:pPr>
      <w:r>
        <w:rPr>
          <w:rFonts w:ascii="宋体" w:hAnsi="宋体" w:hint="eastAsia"/>
          <w:szCs w:val="21"/>
        </w:rPr>
        <w:t>收益分配应该符合《基金合同》关于收益分配原则的规定。</w:t>
      </w:r>
      <w:bookmarkStart w:id="46" w:name="_Toc382819120"/>
    </w:p>
    <w:p w14:paraId="1B7BA844" w14:textId="77777777" w:rsidR="005262EB" w:rsidRDefault="008312B3">
      <w:pPr>
        <w:spacing w:beforeLines="50" w:before="156" w:afterLines="50" w:after="156" w:line="500" w:lineRule="atLeast"/>
        <w:jc w:val="center"/>
        <w:outlineLvl w:val="0"/>
        <w:rPr>
          <w:rFonts w:ascii="宋体" w:hAnsi="宋体"/>
          <w:b/>
          <w:sz w:val="24"/>
        </w:rPr>
      </w:pPr>
      <w:bookmarkStart w:id="47" w:name="_Toc131682149"/>
      <w:bookmarkStart w:id="48" w:name="_Toc382819122"/>
      <w:bookmarkEnd w:id="46"/>
      <w:r>
        <w:rPr>
          <w:rFonts w:ascii="宋体" w:hAnsi="宋体" w:hint="eastAsia"/>
          <w:b/>
          <w:sz w:val="24"/>
        </w:rPr>
        <w:t>九、信息披露</w:t>
      </w:r>
      <w:bookmarkEnd w:id="47"/>
    </w:p>
    <w:p w14:paraId="36B17FCD" w14:textId="77777777" w:rsidR="005262EB" w:rsidRDefault="008312B3">
      <w:pPr>
        <w:snapToGrid w:val="0"/>
        <w:spacing w:line="360" w:lineRule="auto"/>
        <w:ind w:firstLineChars="200" w:firstLine="420"/>
        <w:rPr>
          <w:rFonts w:ascii="宋体" w:hAnsi="宋体" w:cs="Arial"/>
          <w:kern w:val="0"/>
          <w:szCs w:val="21"/>
        </w:rPr>
      </w:pPr>
      <w:r>
        <w:rPr>
          <w:rFonts w:ascii="宋体" w:hAnsi="宋体" w:hint="eastAsia"/>
          <w:szCs w:val="21"/>
        </w:rPr>
        <w:t>（一）</w:t>
      </w:r>
      <w:r>
        <w:rPr>
          <w:rFonts w:ascii="宋体" w:hAnsi="宋体" w:cs="Arial" w:hint="eastAsia"/>
          <w:kern w:val="0"/>
          <w:szCs w:val="21"/>
        </w:rPr>
        <w:t>保密义务</w:t>
      </w:r>
    </w:p>
    <w:p w14:paraId="1C283A09" w14:textId="77777777" w:rsidR="005262EB" w:rsidRDefault="008312B3">
      <w:pPr>
        <w:snapToGrid w:val="0"/>
        <w:spacing w:line="360" w:lineRule="auto"/>
        <w:ind w:right="28" w:firstLineChars="200" w:firstLine="420"/>
        <w:rPr>
          <w:rFonts w:ascii="宋体" w:hAnsi="宋体"/>
          <w:szCs w:val="21"/>
        </w:rPr>
      </w:pPr>
      <w:r>
        <w:rPr>
          <w:rFonts w:ascii="宋体" w:hAnsi="宋体" w:hint="eastAsia"/>
          <w:szCs w:val="21"/>
        </w:rPr>
        <w:t>除按照《基金法》、《信息披露办法》、《基金合同》及中国证监会关于基金信息披露的有关规定进行披露以外，基金管理人和基金托管人对基金运作中产生的信息以及从对方获得的业务信息应恪守保密的义务。基金管理人与基金托管人对基金的任何信息，除法律法规规定之外，不得在其公开披露之前，先行对任何第三方披露。但是，如下情况不应视为基金管理人或基金托管人违反保密义务：</w:t>
      </w:r>
    </w:p>
    <w:p w14:paraId="17D28A6E" w14:textId="77777777" w:rsidR="005262EB" w:rsidRDefault="008312B3">
      <w:pPr>
        <w:pStyle w:val="a7"/>
        <w:snapToGrid w:val="0"/>
        <w:ind w:firstLineChars="200" w:firstLine="420"/>
        <w:rPr>
          <w:rFonts w:ascii="宋体" w:hAnsi="宋体"/>
          <w:szCs w:val="21"/>
        </w:rPr>
      </w:pPr>
      <w:r>
        <w:rPr>
          <w:rFonts w:ascii="宋体" w:hAnsi="宋体" w:hint="eastAsia"/>
          <w:szCs w:val="21"/>
        </w:rPr>
        <w:t>1、非因基金管理人和基金托管人的原因导致保密信息被披露、泄露或公开；</w:t>
      </w:r>
    </w:p>
    <w:p w14:paraId="2CDE06A3"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2、基金管理人和基金托管人为遵守和服从法院判决、仲裁裁决或中国证监会等监管机构的命令、决定所做出的信息披露或公开；</w:t>
      </w:r>
    </w:p>
    <w:p w14:paraId="1DF99CA3"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3、监管机关要求披露的；</w:t>
      </w:r>
    </w:p>
    <w:p w14:paraId="471BE857"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4、因不可抗力发生信息披露或公开的。</w:t>
      </w:r>
    </w:p>
    <w:p w14:paraId="40D2EEE1"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（二）信息披露的内容</w:t>
      </w:r>
    </w:p>
    <w:p w14:paraId="5896E00B"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1、基金管理人和基金托管人应根据相关法律法规、《基金合同》的规定各自承担相应的信息披露职责。基金管理人和基金托管人负有积极配合、互相督促、彼此监督、保证其履行按照法定方式和时限披露的义务。</w:t>
      </w:r>
    </w:p>
    <w:p w14:paraId="7BDB7548" w14:textId="6D0510D6"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2、</w:t>
      </w:r>
      <w:r>
        <w:t>本基金的信息披露主要包括基金招募说明书、《基金合同》、基金托管协议、基金产品资料概要、基金份额发售公告、《基金合同》生效公告、基金净值信息、</w:t>
      </w:r>
      <w:r>
        <w:rPr>
          <w:rFonts w:hint="eastAsia"/>
        </w:rPr>
        <w:t>基金份额申购、赎回价格、</w:t>
      </w:r>
      <w:r>
        <w:t>基金定期报告（包括</w:t>
      </w:r>
      <w:r>
        <w:rPr>
          <w:rFonts w:ascii="宋体" w:hAnsi="宋体" w:cs="Arial" w:hint="eastAsia"/>
          <w:szCs w:val="21"/>
        </w:rPr>
        <w:t>年度报告、中期报告和季度报告</w:t>
      </w:r>
      <w:r>
        <w:t>）、临时报告、澄清公告、清算报告、</w:t>
      </w:r>
      <w:r>
        <w:rPr>
          <w:rFonts w:hint="eastAsia"/>
        </w:rPr>
        <w:t>港股通标的股票投资情况公告、股指期货交易情况公告、国债期货交易情况公告、股票期权投资情况公告、信用衍生品投资情况公告、资产支持证券投资情况公告、证券公司短期公司债券投资情况公告、融资参与情况公告、投资存托凭证的信息披露、</w:t>
      </w:r>
      <w:r>
        <w:t>基金份额持有人大会决议、</w:t>
      </w:r>
      <w:r>
        <w:rPr>
          <w:rFonts w:hint="eastAsia"/>
        </w:rPr>
        <w:t>实施侧袋机制期间的信息披露以及</w:t>
      </w:r>
      <w:r>
        <w:t>中国证监会规定的其他信息等其他必要的公告文件，由基金管理人拟定并负责公布。</w:t>
      </w:r>
    </w:p>
    <w:p w14:paraId="2E8F9685" w14:textId="77777777" w:rsidR="005262EB" w:rsidRDefault="008312B3">
      <w:pPr>
        <w:tabs>
          <w:tab w:val="left" w:pos="4680"/>
        </w:tabs>
        <w:snapToGrid w:val="0"/>
        <w:spacing w:line="360" w:lineRule="auto"/>
        <w:ind w:firstLineChars="200" w:firstLine="420"/>
      </w:pPr>
      <w:r>
        <w:rPr>
          <w:rFonts w:ascii="宋体" w:hAnsi="宋体" w:hint="eastAsia"/>
          <w:szCs w:val="21"/>
        </w:rPr>
        <w:t>3、</w:t>
      </w:r>
      <w:r>
        <w:t>基金管理人与基金托管人应严格遵守《基金合同》所规定的信息披露要求。基金资产净值、</w:t>
      </w:r>
      <w:r>
        <w:rPr>
          <w:rFonts w:hint="eastAsia"/>
        </w:rPr>
        <w:t>各类</w:t>
      </w:r>
      <w:r>
        <w:t>基金份额净值、</w:t>
      </w:r>
      <w:r>
        <w:rPr>
          <w:rFonts w:hint="eastAsia"/>
        </w:rPr>
        <w:t>基金份额申购赎回价格、</w:t>
      </w:r>
      <w:r>
        <w:t>基金定期报告、更新的招募说明书、基金产品资料概要、基金清算报告等公开披露的相关基金信息按有关规定需经基金托管人复核的，须由基金托管人进行复核、审查，并向基金管理人进行书面或电子确认。相关信息经基金托管人复核无误后方可公布。其他不需经基金托管人复核的信息披露内容，应及时告知</w:t>
      </w:r>
      <w:r>
        <w:lastRenderedPageBreak/>
        <w:t>基金托管人。年度报告中的财务会计报告部分，需经符合《</w:t>
      </w:r>
      <w:r>
        <w:rPr>
          <w:rFonts w:hint="eastAsia"/>
        </w:rPr>
        <w:t>中华人民共和国</w:t>
      </w:r>
      <w:r>
        <w:t>证券法》规定的会计师事务所审计后，方可披露。</w:t>
      </w:r>
    </w:p>
    <w:p w14:paraId="4CC51CD0" w14:textId="77777777" w:rsidR="005262EB" w:rsidRDefault="008312B3">
      <w:pPr>
        <w:tabs>
          <w:tab w:val="left" w:pos="4680"/>
        </w:tabs>
        <w:snapToGrid w:val="0"/>
        <w:spacing w:line="360" w:lineRule="auto"/>
        <w:ind w:firstLineChars="200" w:firstLine="420"/>
        <w:rPr>
          <w:rFonts w:ascii="宋体" w:hAnsi="宋体"/>
          <w:szCs w:val="21"/>
        </w:rPr>
      </w:pPr>
      <w:r>
        <w:rPr>
          <w:rFonts w:hint="eastAsia"/>
        </w:rPr>
        <w:t>4</w:t>
      </w:r>
      <w:r>
        <w:rPr>
          <w:rFonts w:hint="eastAsia"/>
        </w:rPr>
        <w:t>、</w:t>
      </w:r>
      <w:r>
        <w:t>基金管理人应当在中国证监会规定的时间内，将应予披露的基金信息通过符合中国证监会规定条件的全国性报刊和《信息披露办法》规定的互联网网站等规定媒介披露。根据法律法规应由基金托管人公开披露的信息，基金托管人将通过规定报刊或基金托管人的互联网网站公开披露。</w:t>
      </w:r>
    </w:p>
    <w:p w14:paraId="44260B6B" w14:textId="77777777" w:rsidR="005262EB" w:rsidRDefault="008312B3">
      <w:pPr>
        <w:snapToGrid w:val="0"/>
        <w:spacing w:line="360" w:lineRule="auto"/>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bCs/>
          <w:szCs w:val="21"/>
        </w:rPr>
        <w:t>（三）基金管理人和基金托管人在信息披露中的职责和信息披露程序</w:t>
      </w:r>
    </w:p>
    <w:p w14:paraId="137D324A"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1、职责</w:t>
      </w:r>
    </w:p>
    <w:p w14:paraId="27FE0151"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基金托管人和基金管理人在信息披露过程中应以保护基金份额持有人利益为宗旨，诚实信用，严守秘密。基金管理人负责办理应由基金管理人负责的与基金有关的信息披露事宜，对于本条第（二）款规定的应由基金托管人复核的事项，应提前通知基金托管人，基金托管人应在接到通知后的规定时间内予以书面答复。</w:t>
      </w:r>
    </w:p>
    <w:p w14:paraId="24862384"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2、程序</w:t>
      </w:r>
    </w:p>
    <w:p w14:paraId="06C9978F"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按有关规定须经基金托管人复核的信息披露文件，由基金管理人起草，并经基金托管人复核后由基金管理人公告。</w:t>
      </w:r>
    </w:p>
    <w:p w14:paraId="46350760"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发生《基金合同》中规定需要披露的事项时，按《基金合同》规定公告。</w:t>
      </w:r>
    </w:p>
    <w:p w14:paraId="0BEE7494" w14:textId="77777777" w:rsidR="005262EB" w:rsidRDefault="008312B3">
      <w:pPr>
        <w:tabs>
          <w:tab w:val="left" w:pos="4680"/>
        </w:tabs>
        <w:snapToGrid w:val="0"/>
        <w:spacing w:line="360" w:lineRule="auto"/>
        <w:ind w:firstLineChars="200" w:firstLine="420"/>
        <w:rPr>
          <w:rFonts w:ascii="宋体" w:hAnsi="宋体"/>
          <w:szCs w:val="21"/>
        </w:rPr>
      </w:pPr>
      <w:r>
        <w:rPr>
          <w:rFonts w:ascii="宋体" w:hAnsi="宋体" w:hint="eastAsia"/>
          <w:szCs w:val="21"/>
        </w:rPr>
        <w:t>3、信息文本的存放</w:t>
      </w:r>
    </w:p>
    <w:p w14:paraId="714C23FA" w14:textId="77777777" w:rsidR="005262EB" w:rsidRDefault="008312B3">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依法必须披露的信息发布后，基金管理人、基金托管人应当按照相关法律法规规定将信息置备于各自住所，供社会公众查阅、复制。投资者在支付工本费后可以获得上述文件的复制件或复印件。</w:t>
      </w:r>
    </w:p>
    <w:p w14:paraId="18384E8B" w14:textId="77777777" w:rsidR="005262EB" w:rsidRDefault="008312B3">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基金管理人和基金托管人应保证文本的内容与所公告的内容完全一致。</w:t>
      </w:r>
    </w:p>
    <w:p w14:paraId="6CCF8651"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4、暂停</w:t>
      </w:r>
      <w:r>
        <w:rPr>
          <w:rFonts w:ascii="宋体" w:hAnsi="宋体" w:cs="Arial" w:hint="eastAsia"/>
          <w:szCs w:val="21"/>
        </w:rPr>
        <w:t>或延迟披露基金相关信息</w:t>
      </w:r>
      <w:r>
        <w:rPr>
          <w:rFonts w:ascii="宋体" w:hAnsi="宋体" w:hint="eastAsia"/>
          <w:szCs w:val="21"/>
        </w:rPr>
        <w:t>的情形</w:t>
      </w:r>
    </w:p>
    <w:p w14:paraId="122AE997" w14:textId="5DFB7EC4" w:rsidR="005262EB" w:rsidRDefault="008312B3">
      <w:pPr>
        <w:snapToGrid w:val="0"/>
        <w:spacing w:line="360" w:lineRule="auto"/>
        <w:ind w:firstLineChars="200" w:firstLine="420"/>
      </w:pPr>
      <w:r>
        <w:t>（</w:t>
      </w:r>
      <w:r>
        <w:t>1</w:t>
      </w:r>
      <w:r>
        <w:t>）不可抗力；</w:t>
      </w:r>
      <w:r>
        <w:t xml:space="preserve"> </w:t>
      </w:r>
    </w:p>
    <w:p w14:paraId="618877CE" w14:textId="77777777" w:rsidR="005262EB" w:rsidRDefault="008312B3">
      <w:pPr>
        <w:snapToGrid w:val="0"/>
        <w:spacing w:line="360" w:lineRule="auto"/>
        <w:ind w:firstLineChars="200" w:firstLine="420"/>
      </w:pPr>
      <w:r>
        <w:rPr>
          <w:rFonts w:hint="eastAsia"/>
        </w:rPr>
        <w:t>（</w:t>
      </w:r>
      <w:r>
        <w:rPr>
          <w:rFonts w:hint="eastAsia"/>
        </w:rPr>
        <w:t>2</w:t>
      </w:r>
      <w:r>
        <w:rPr>
          <w:rFonts w:hint="eastAsia"/>
        </w:rPr>
        <w:t>）发生暂停估值的情形；</w:t>
      </w:r>
    </w:p>
    <w:p w14:paraId="32044086" w14:textId="77777777" w:rsidR="005262EB" w:rsidRDefault="008312B3">
      <w:pPr>
        <w:snapToGrid w:val="0"/>
        <w:spacing w:line="360" w:lineRule="auto"/>
        <w:ind w:firstLineChars="200" w:firstLine="420"/>
      </w:pPr>
      <w:r>
        <w:t>（</w:t>
      </w:r>
      <w:r>
        <w:t>3</w:t>
      </w:r>
      <w:r>
        <w:t>）法律法规、基金合同或中国证监会规定的情况。</w:t>
      </w:r>
    </w:p>
    <w:p w14:paraId="02E48818" w14:textId="77777777" w:rsidR="005262EB" w:rsidRDefault="008312B3">
      <w:pPr>
        <w:spacing w:beforeLines="50" w:before="156" w:afterLines="50" w:after="156" w:line="500" w:lineRule="atLeast"/>
        <w:jc w:val="center"/>
        <w:outlineLvl w:val="0"/>
        <w:rPr>
          <w:rFonts w:ascii="宋体" w:hAnsi="宋体"/>
          <w:b/>
          <w:sz w:val="24"/>
        </w:rPr>
      </w:pPr>
      <w:bookmarkStart w:id="49" w:name="_Toc131682150"/>
      <w:bookmarkEnd w:id="48"/>
      <w:r>
        <w:rPr>
          <w:rFonts w:ascii="宋体" w:hAnsi="宋体" w:hint="eastAsia"/>
          <w:b/>
          <w:sz w:val="24"/>
        </w:rPr>
        <w:t>十、基金费用</w:t>
      </w:r>
      <w:bookmarkEnd w:id="49"/>
    </w:p>
    <w:p w14:paraId="0615323E" w14:textId="77777777" w:rsidR="005262EB" w:rsidRDefault="008312B3">
      <w:pPr>
        <w:snapToGrid w:val="0"/>
        <w:spacing w:line="360" w:lineRule="auto"/>
        <w:ind w:firstLineChars="200" w:firstLine="420"/>
        <w:rPr>
          <w:bCs/>
          <w:szCs w:val="21"/>
        </w:rPr>
      </w:pPr>
      <w:r>
        <w:rPr>
          <w:bCs/>
          <w:szCs w:val="21"/>
        </w:rPr>
        <w:t>1</w:t>
      </w:r>
      <w:r>
        <w:rPr>
          <w:rFonts w:hint="eastAsia"/>
          <w:bCs/>
          <w:szCs w:val="21"/>
        </w:rPr>
        <w:t>、基金托管人的托管费</w:t>
      </w:r>
    </w:p>
    <w:p w14:paraId="501FFED5" w14:textId="4549EFE8" w:rsidR="005262EB" w:rsidRDefault="008312B3">
      <w:pPr>
        <w:snapToGrid w:val="0"/>
        <w:spacing w:line="360" w:lineRule="auto"/>
        <w:ind w:firstLineChars="200" w:firstLine="420"/>
        <w:rPr>
          <w:bCs/>
          <w:szCs w:val="21"/>
        </w:rPr>
      </w:pPr>
      <w:r>
        <w:rPr>
          <w:rFonts w:hint="eastAsia"/>
          <w:bCs/>
          <w:szCs w:val="21"/>
        </w:rPr>
        <w:t>本基金的托管费按前一日基金资产净值的</w:t>
      </w:r>
      <w:r>
        <w:rPr>
          <w:bCs/>
          <w:szCs w:val="21"/>
        </w:rPr>
        <w:t>0.20%</w:t>
      </w:r>
      <w:r>
        <w:rPr>
          <w:rFonts w:hint="eastAsia"/>
          <w:bCs/>
          <w:szCs w:val="21"/>
        </w:rPr>
        <w:t>的年费率计提。托管费的计算方法如下：</w:t>
      </w:r>
    </w:p>
    <w:p w14:paraId="2427D4F7" w14:textId="40856894" w:rsidR="005262EB" w:rsidRDefault="008312B3">
      <w:pPr>
        <w:snapToGrid w:val="0"/>
        <w:spacing w:line="360" w:lineRule="auto"/>
        <w:ind w:firstLineChars="200" w:firstLine="420"/>
        <w:rPr>
          <w:bCs/>
          <w:szCs w:val="21"/>
        </w:rPr>
      </w:pPr>
      <w:r>
        <w:rPr>
          <w:bCs/>
          <w:szCs w:val="21"/>
        </w:rPr>
        <w:t>H</w:t>
      </w:r>
      <w:r>
        <w:rPr>
          <w:rFonts w:hint="eastAsia"/>
          <w:bCs/>
          <w:szCs w:val="21"/>
        </w:rPr>
        <w:t>＝</w:t>
      </w:r>
      <w:r>
        <w:rPr>
          <w:bCs/>
          <w:szCs w:val="21"/>
        </w:rPr>
        <w:t>E×0.20%÷</w:t>
      </w:r>
      <w:r>
        <w:rPr>
          <w:rFonts w:hint="eastAsia"/>
          <w:bCs/>
          <w:szCs w:val="21"/>
        </w:rPr>
        <w:t>当年天数</w:t>
      </w:r>
    </w:p>
    <w:p w14:paraId="5C027A74" w14:textId="77777777" w:rsidR="005262EB" w:rsidRDefault="008312B3">
      <w:pPr>
        <w:snapToGrid w:val="0"/>
        <w:spacing w:line="360" w:lineRule="auto"/>
        <w:ind w:firstLineChars="200" w:firstLine="420"/>
        <w:rPr>
          <w:bCs/>
          <w:szCs w:val="21"/>
        </w:rPr>
      </w:pPr>
      <w:r>
        <w:rPr>
          <w:bCs/>
          <w:szCs w:val="21"/>
        </w:rPr>
        <w:t>H</w:t>
      </w:r>
      <w:r>
        <w:rPr>
          <w:rFonts w:hint="eastAsia"/>
          <w:bCs/>
          <w:szCs w:val="21"/>
        </w:rPr>
        <w:t>为每日应计提的基金托管费</w:t>
      </w:r>
    </w:p>
    <w:p w14:paraId="25D65BC9" w14:textId="77777777" w:rsidR="005262EB" w:rsidRDefault="008312B3">
      <w:pPr>
        <w:snapToGrid w:val="0"/>
        <w:spacing w:line="360" w:lineRule="auto"/>
        <w:ind w:firstLineChars="200" w:firstLine="420"/>
        <w:rPr>
          <w:bCs/>
          <w:szCs w:val="21"/>
        </w:rPr>
      </w:pPr>
      <w:r>
        <w:rPr>
          <w:bCs/>
          <w:szCs w:val="21"/>
        </w:rPr>
        <w:t>E</w:t>
      </w:r>
      <w:r>
        <w:rPr>
          <w:rFonts w:hint="eastAsia"/>
          <w:bCs/>
          <w:szCs w:val="21"/>
        </w:rPr>
        <w:t>为前一日的基金资产净值</w:t>
      </w:r>
    </w:p>
    <w:p w14:paraId="5E3E1E92" w14:textId="11B9F218" w:rsidR="005262EB" w:rsidRDefault="008312B3">
      <w:pPr>
        <w:snapToGrid w:val="0"/>
        <w:spacing w:line="360" w:lineRule="auto"/>
        <w:ind w:firstLineChars="200" w:firstLine="420"/>
        <w:rPr>
          <w:bCs/>
          <w:szCs w:val="21"/>
        </w:rPr>
      </w:pPr>
      <w:r>
        <w:rPr>
          <w:rFonts w:hint="eastAsia"/>
          <w:bCs/>
          <w:szCs w:val="21"/>
        </w:rPr>
        <w:t>基金托管费每日计</w:t>
      </w:r>
      <w:r>
        <w:rPr>
          <w:rFonts w:hint="eastAsia"/>
          <w:szCs w:val="21"/>
        </w:rPr>
        <w:t>提</w:t>
      </w:r>
      <w:r>
        <w:rPr>
          <w:rFonts w:hint="eastAsia"/>
          <w:bCs/>
          <w:szCs w:val="21"/>
        </w:rPr>
        <w:t>，按月支付。经基金管理人与基金托管人核对一致后，由基金托管人于次月</w:t>
      </w:r>
      <w:r>
        <w:rPr>
          <w:rFonts w:hint="eastAsia"/>
          <w:szCs w:val="21"/>
        </w:rPr>
        <w:t>首日起</w:t>
      </w:r>
      <w:r>
        <w:rPr>
          <w:szCs w:val="21"/>
        </w:rPr>
        <w:t>3</w:t>
      </w:r>
      <w:r>
        <w:rPr>
          <w:rFonts w:hint="eastAsia"/>
          <w:bCs/>
          <w:szCs w:val="21"/>
        </w:rPr>
        <w:t>个工作日内从基金财产中一次性支取。基金管理人可选择在</w:t>
      </w:r>
      <w:r>
        <w:rPr>
          <w:bCs/>
          <w:szCs w:val="21"/>
        </w:rPr>
        <w:t>3</w:t>
      </w:r>
      <w:r>
        <w:rPr>
          <w:rFonts w:hint="eastAsia"/>
          <w:bCs/>
          <w:szCs w:val="21"/>
        </w:rPr>
        <w:t>个工作日内</w:t>
      </w:r>
      <w:r>
        <w:rPr>
          <w:rFonts w:hint="eastAsia"/>
          <w:bCs/>
          <w:szCs w:val="21"/>
        </w:rPr>
        <w:lastRenderedPageBreak/>
        <w:t>向基金托管人出具划款指令，也可出具自动付费授权函授权基金托管人依照授权函具体约定进行费用划付，如选择自动支付，基金管理人应</w:t>
      </w:r>
      <w:r>
        <w:rPr>
          <w:rFonts w:hint="eastAsia"/>
          <w:szCs w:val="21"/>
        </w:rPr>
        <w:t>确保支付当日账户余额充足，如因资金余额不足或其他原因造成自动支付无法进行，基金管理人应另行出具划款指令。</w:t>
      </w:r>
    </w:p>
    <w:p w14:paraId="04FA06FC" w14:textId="77777777" w:rsidR="005262EB" w:rsidRDefault="008312B3">
      <w:pPr>
        <w:pStyle w:val="a0"/>
        <w:adjustRightInd w:val="0"/>
        <w:snapToGrid w:val="0"/>
        <w:spacing w:line="360" w:lineRule="auto"/>
        <w:rPr>
          <w:rFonts w:ascii="宋体" w:hAnsi="宋体" w:cs="Arial"/>
          <w:szCs w:val="21"/>
        </w:rPr>
      </w:pPr>
      <w:r>
        <w:rPr>
          <w:rFonts w:asciiTheme="majorEastAsia" w:eastAsiaTheme="majorEastAsia" w:hAnsiTheme="majorEastAsia"/>
          <w:szCs w:val="21"/>
        </w:rPr>
        <w:t>2</w:t>
      </w:r>
      <w:r>
        <w:rPr>
          <w:rFonts w:asciiTheme="majorEastAsia" w:eastAsiaTheme="majorEastAsia" w:hAnsiTheme="majorEastAsia" w:hint="eastAsia"/>
          <w:szCs w:val="21"/>
        </w:rPr>
        <w:t>、</w:t>
      </w:r>
      <w:r>
        <w:rPr>
          <w:rFonts w:ascii="宋体" w:hAnsi="宋体" w:cs="Arial" w:hint="eastAsia"/>
          <w:szCs w:val="21"/>
        </w:rPr>
        <w:t>基金其他费用按照《基金合同》的约定计提和支付。</w:t>
      </w:r>
    </w:p>
    <w:p w14:paraId="1D17659B" w14:textId="77777777" w:rsidR="005262EB" w:rsidRDefault="008312B3">
      <w:pPr>
        <w:adjustRightInd w:val="0"/>
        <w:snapToGrid w:val="0"/>
        <w:spacing w:line="360" w:lineRule="auto"/>
        <w:ind w:firstLineChars="200" w:firstLine="420"/>
        <w:rPr>
          <w:rFonts w:ascii="宋体" w:hAnsi="宋体" w:cs="Arial"/>
          <w:szCs w:val="21"/>
        </w:rPr>
      </w:pPr>
      <w:r>
        <w:rPr>
          <w:rFonts w:ascii="宋体" w:hAnsi="宋体" w:cs="Arial" w:hint="eastAsia"/>
          <w:szCs w:val="21"/>
        </w:rPr>
        <w:t>3、如果基金托管人发现基金管理人违反有关法律法规的有关规定和《基金合同》、本协议的约定，从基金财产中列支费用，有权要求基金管理人做出书面解释，如果基金托管人认为基金管理人无正当或合理的理由，可以拒绝支付并及时告知基金管理人。</w:t>
      </w:r>
    </w:p>
    <w:p w14:paraId="04CF6906" w14:textId="77777777" w:rsidR="005262EB" w:rsidRDefault="008312B3">
      <w:pPr>
        <w:spacing w:beforeLines="50" w:before="156" w:afterLines="50" w:after="156" w:line="500" w:lineRule="atLeast"/>
        <w:jc w:val="center"/>
        <w:outlineLvl w:val="0"/>
        <w:rPr>
          <w:rFonts w:ascii="宋体" w:hAnsi="宋体"/>
          <w:b/>
          <w:sz w:val="24"/>
        </w:rPr>
      </w:pPr>
      <w:bookmarkStart w:id="50" w:name="_Toc131682151"/>
      <w:r>
        <w:rPr>
          <w:rFonts w:ascii="宋体" w:hAnsi="宋体" w:hint="eastAsia"/>
          <w:b/>
          <w:sz w:val="24"/>
        </w:rPr>
        <w:t>十一、基金份额持有人名册的保管</w:t>
      </w:r>
      <w:bookmarkEnd w:id="50"/>
    </w:p>
    <w:p w14:paraId="3FE4BC67" w14:textId="77777777" w:rsidR="005262EB" w:rsidRDefault="008312B3">
      <w:pPr>
        <w:snapToGrid w:val="0"/>
        <w:spacing w:line="360" w:lineRule="auto"/>
        <w:ind w:firstLineChars="200" w:firstLine="420"/>
      </w:pPr>
      <w:r>
        <w:t>基金管理人妥善保管的基金份额持有人名册，基金份额持有人名册的内容必须包括基金份额持有人的名称和持有的基金份额。</w:t>
      </w:r>
      <w:r>
        <w:t xml:space="preserve"> </w:t>
      </w:r>
    </w:p>
    <w:p w14:paraId="76246EF3" w14:textId="77777777" w:rsidR="005262EB" w:rsidRDefault="008312B3">
      <w:pPr>
        <w:snapToGrid w:val="0"/>
        <w:spacing w:line="360" w:lineRule="auto"/>
        <w:ind w:firstLineChars="200" w:firstLine="420"/>
      </w:pPr>
      <w:r>
        <w:t>基金份额持有人名册由基金的基金登记机构根据基金管理人的指令编制和保管，基金管理人应按照目前相关规则保管基金份额持有人名册。保管方式可以采用电子或文档的形式。保管期限不低于法律法规规定的期限。</w:t>
      </w:r>
      <w:r>
        <w:t xml:space="preserve"> </w:t>
      </w:r>
    </w:p>
    <w:p w14:paraId="683AE3EE" w14:textId="77777777" w:rsidR="005262EB" w:rsidRDefault="008312B3">
      <w:pPr>
        <w:snapToGrid w:val="0"/>
        <w:spacing w:line="360" w:lineRule="auto"/>
        <w:ind w:firstLineChars="200" w:firstLine="420"/>
        <w:rPr>
          <w:rFonts w:ascii="宋体" w:hAnsi="宋体" w:cs="Arial"/>
          <w:szCs w:val="21"/>
        </w:rPr>
      </w:pPr>
      <w:r>
        <w:t>在基金托管人需要时，基金管理人应将基金持有人名册送交基金托管人，文件方式可以采用电子或文档的形式并且保证其的真实、准确、完整。基金托管人应妥善保管，不得将持有人名册用于基金托管业务以外的其他用途。</w:t>
      </w:r>
    </w:p>
    <w:p w14:paraId="1E4778DA" w14:textId="77777777" w:rsidR="005262EB" w:rsidRDefault="008312B3">
      <w:pPr>
        <w:spacing w:beforeLines="50" w:before="156" w:afterLines="50" w:after="156" w:line="500" w:lineRule="atLeast"/>
        <w:jc w:val="center"/>
        <w:outlineLvl w:val="0"/>
        <w:rPr>
          <w:rFonts w:ascii="宋体" w:hAnsi="宋体"/>
          <w:b/>
          <w:sz w:val="24"/>
        </w:rPr>
      </w:pPr>
      <w:bookmarkStart w:id="51" w:name="_Toc131682152"/>
      <w:r>
        <w:rPr>
          <w:rFonts w:ascii="宋体" w:hAnsi="宋体" w:hint="eastAsia"/>
          <w:b/>
          <w:sz w:val="24"/>
        </w:rPr>
        <w:t>十二、基金有关文件和档案的保存</w:t>
      </w:r>
      <w:bookmarkEnd w:id="51"/>
    </w:p>
    <w:p w14:paraId="215CB8C4" w14:textId="77777777" w:rsidR="005262EB" w:rsidRDefault="008312B3">
      <w:pPr>
        <w:snapToGrid w:val="0"/>
        <w:spacing w:line="360" w:lineRule="auto"/>
        <w:ind w:firstLineChars="200" w:firstLine="420"/>
        <w:rPr>
          <w:rFonts w:ascii="宋体" w:hAnsi="宋体" w:cs="Arial"/>
          <w:szCs w:val="21"/>
        </w:rPr>
      </w:pPr>
      <w:r>
        <w:rPr>
          <w:rFonts w:ascii="宋体" w:hAnsi="宋体" w:cs="Arial" w:hint="eastAsia"/>
          <w:szCs w:val="21"/>
        </w:rPr>
        <w:t>（一）档案保存</w:t>
      </w:r>
    </w:p>
    <w:p w14:paraId="6CDAEB31" w14:textId="77777777" w:rsidR="005262EB" w:rsidRDefault="008312B3">
      <w:pPr>
        <w:snapToGrid w:val="0"/>
        <w:spacing w:line="360" w:lineRule="auto"/>
        <w:ind w:firstLineChars="200" w:firstLine="420"/>
      </w:pPr>
      <w:r>
        <w:t>基金管理人和基金托管人应按各自职责完整保存本基金的基金账册、原始凭证、记账凭证、交易记录、公告、重要合同等相关资料，承担保密义务并按规定的期限保管。基金管理人应保存基金财产管理业务活动的记录、账册、报表和其他相关资料，基金托管人应保存基金托管业务活动的记录、账册、报表和其他相关资料。保存期限不低于法律法规规定的期限。</w:t>
      </w:r>
    </w:p>
    <w:p w14:paraId="2EA30FF8" w14:textId="77777777" w:rsidR="005262EB" w:rsidRDefault="008312B3">
      <w:pPr>
        <w:snapToGrid w:val="0"/>
        <w:spacing w:line="360" w:lineRule="auto"/>
        <w:ind w:firstLineChars="200" w:firstLine="420"/>
      </w:pPr>
      <w:r>
        <w:t>（二）合同档案的建立</w:t>
      </w:r>
      <w:r>
        <w:t xml:space="preserve"> </w:t>
      </w:r>
    </w:p>
    <w:p w14:paraId="4A19DB8A" w14:textId="77777777" w:rsidR="005262EB" w:rsidRDefault="008312B3">
      <w:pPr>
        <w:snapToGrid w:val="0"/>
        <w:spacing w:line="360" w:lineRule="auto"/>
        <w:ind w:firstLineChars="200" w:firstLine="420"/>
      </w:pPr>
      <w:r>
        <w:t>1</w:t>
      </w:r>
      <w:r>
        <w:t>、基金管理人或基金托管人在签署与本基金有关的合同文本后，应及时按相关法律法规及本协议的规定将合同正本或副本提交对方。</w:t>
      </w:r>
      <w:r>
        <w:t xml:space="preserve"> </w:t>
      </w:r>
    </w:p>
    <w:p w14:paraId="3708621F" w14:textId="77777777" w:rsidR="005262EB" w:rsidRDefault="008312B3">
      <w:pPr>
        <w:snapToGrid w:val="0"/>
        <w:spacing w:line="360" w:lineRule="auto"/>
        <w:ind w:leftChars="200" w:left="420"/>
      </w:pPr>
      <w:r>
        <w:t>2</w:t>
      </w:r>
      <w:r>
        <w:t>、基金管理人和基金托管人应按各自职责保管就基金资产对外签署的全部合同的正本。</w:t>
      </w:r>
      <w:r>
        <w:t xml:space="preserve"> </w:t>
      </w:r>
      <w:r>
        <w:t>（三）变更与协助</w:t>
      </w:r>
      <w:r>
        <w:t xml:space="preserve"> </w:t>
      </w:r>
    </w:p>
    <w:p w14:paraId="71E0C1DB" w14:textId="77777777" w:rsidR="005262EB" w:rsidRDefault="008312B3">
      <w:pPr>
        <w:snapToGrid w:val="0"/>
        <w:spacing w:line="360" w:lineRule="auto"/>
        <w:ind w:firstLineChars="200" w:firstLine="420"/>
        <w:rPr>
          <w:rFonts w:ascii="宋体" w:hAnsi="宋体"/>
          <w:szCs w:val="21"/>
        </w:rPr>
      </w:pPr>
      <w:r>
        <w:t>若基金管理人和基金托管人发生变更，未变更的一方有义务协助变更后的接任人接收相</w:t>
      </w:r>
      <w:r>
        <w:t xml:space="preserve"> </w:t>
      </w:r>
      <w:r>
        <w:t>应文件。</w:t>
      </w:r>
    </w:p>
    <w:p w14:paraId="5913B639" w14:textId="77777777" w:rsidR="005262EB" w:rsidRDefault="008312B3">
      <w:pPr>
        <w:spacing w:beforeLines="50" w:before="156" w:afterLines="50" w:after="156" w:line="500" w:lineRule="atLeast"/>
        <w:jc w:val="center"/>
        <w:outlineLvl w:val="0"/>
        <w:rPr>
          <w:rFonts w:ascii="宋体" w:hAnsi="宋体"/>
          <w:b/>
          <w:sz w:val="24"/>
        </w:rPr>
      </w:pPr>
      <w:bookmarkStart w:id="52" w:name="_Toc131682153"/>
      <w:bookmarkStart w:id="53" w:name="_Toc382819129"/>
      <w:r>
        <w:rPr>
          <w:rFonts w:ascii="宋体" w:hAnsi="宋体" w:hint="eastAsia"/>
          <w:b/>
          <w:sz w:val="24"/>
        </w:rPr>
        <w:t>十三、基金管理人和基金托管人的更换</w:t>
      </w:r>
      <w:bookmarkEnd w:id="52"/>
    </w:p>
    <w:p w14:paraId="55BB56CB" w14:textId="77777777" w:rsidR="005262EB" w:rsidRDefault="008312B3">
      <w:pPr>
        <w:widowControl/>
        <w:shd w:val="clear" w:color="auto" w:fill="FFFFFF"/>
        <w:snapToGrid w:val="0"/>
        <w:spacing w:line="360" w:lineRule="auto"/>
        <w:ind w:firstLineChars="200" w:firstLine="420"/>
        <w:jc w:val="left"/>
        <w:rPr>
          <w:rFonts w:ascii="宋体" w:hAnsi="宋体" w:cs="Arial"/>
          <w:szCs w:val="21"/>
        </w:rPr>
      </w:pPr>
      <w:r>
        <w:rPr>
          <w:rFonts w:ascii="宋体" w:hAnsi="宋体" w:cs="Arial" w:hint="eastAsia"/>
          <w:szCs w:val="21"/>
        </w:rPr>
        <w:lastRenderedPageBreak/>
        <w:t>（一）基金管理人职责终止后，仍应妥善保管基金管理业务资料，保证不做出对基金份额持有人的利益造成损害的行为，并与新任基金管理人或临时基金管理人及时办理基金管理业务的移交手续。基金托管人应给予积极配合，并与新任基金管理人或临时基金管理人核对基金资产总值和净值。</w:t>
      </w:r>
    </w:p>
    <w:p w14:paraId="3B307698" w14:textId="77777777" w:rsidR="005262EB" w:rsidRDefault="008312B3">
      <w:pPr>
        <w:widowControl/>
        <w:shd w:val="clear" w:color="auto" w:fill="FFFFFF"/>
        <w:snapToGrid w:val="0"/>
        <w:spacing w:line="360" w:lineRule="auto"/>
        <w:ind w:firstLineChars="200" w:firstLine="420"/>
        <w:jc w:val="left"/>
        <w:rPr>
          <w:rFonts w:ascii="宋体" w:hAnsi="宋体" w:cs="Arial"/>
          <w:szCs w:val="21"/>
        </w:rPr>
      </w:pPr>
      <w:r>
        <w:rPr>
          <w:rFonts w:ascii="宋体" w:hAnsi="宋体" w:cs="Arial" w:hint="eastAsia"/>
          <w:szCs w:val="21"/>
        </w:rPr>
        <w:t>（二）基金托管人职责终止后，仍应妥善保管基金财产和基金托管业务资料，保证不做出对基金份额持有人的利益造成损害的行为，并与新任基金托管人或临时基金托管人及时办理基金财产和基金托管业务的移交手续。基金管理人应给予积极配合，并与新任基金托管人或临时基金托管人核对基金资产总值和净值。</w:t>
      </w:r>
    </w:p>
    <w:p w14:paraId="4DEB1D13" w14:textId="77777777" w:rsidR="005262EB" w:rsidRDefault="008312B3">
      <w:pPr>
        <w:widowControl/>
        <w:shd w:val="clear" w:color="auto" w:fill="FFFFFF"/>
        <w:snapToGrid w:val="0"/>
        <w:spacing w:line="360" w:lineRule="auto"/>
        <w:ind w:firstLineChars="200" w:firstLine="420"/>
        <w:jc w:val="left"/>
        <w:rPr>
          <w:rFonts w:ascii="宋体" w:hAnsi="宋体" w:cs="Arial"/>
          <w:szCs w:val="21"/>
        </w:rPr>
      </w:pPr>
      <w:r>
        <w:rPr>
          <w:rFonts w:ascii="宋体" w:hAnsi="宋体" w:cs="Arial" w:hint="eastAsia"/>
          <w:szCs w:val="21"/>
        </w:rPr>
        <w:t>（三）其他事宜见基金合同的相关约定。</w:t>
      </w:r>
    </w:p>
    <w:p w14:paraId="6BB7245D" w14:textId="77777777" w:rsidR="005262EB" w:rsidRDefault="008312B3">
      <w:pPr>
        <w:spacing w:beforeLines="50" w:before="156" w:afterLines="50" w:after="156" w:line="500" w:lineRule="atLeast"/>
        <w:jc w:val="center"/>
        <w:outlineLvl w:val="0"/>
        <w:rPr>
          <w:rFonts w:ascii="宋体" w:hAnsi="宋体"/>
          <w:b/>
          <w:sz w:val="24"/>
        </w:rPr>
      </w:pPr>
      <w:bookmarkStart w:id="54" w:name="_Toc131682154"/>
      <w:bookmarkEnd w:id="53"/>
      <w:r>
        <w:rPr>
          <w:rFonts w:ascii="宋体" w:hAnsi="宋体" w:hint="eastAsia"/>
          <w:b/>
          <w:sz w:val="24"/>
        </w:rPr>
        <w:t>十四、禁止行为</w:t>
      </w:r>
      <w:bookmarkEnd w:id="54"/>
    </w:p>
    <w:p w14:paraId="67DADF22" w14:textId="77777777" w:rsidR="005262EB" w:rsidRDefault="008312B3">
      <w:pPr>
        <w:snapToGrid w:val="0"/>
        <w:spacing w:line="360" w:lineRule="auto"/>
        <w:ind w:firstLineChars="225" w:firstLine="473"/>
        <w:rPr>
          <w:rFonts w:ascii="宋体" w:hAnsi="宋体"/>
          <w:szCs w:val="21"/>
        </w:rPr>
      </w:pPr>
      <w:r>
        <w:rPr>
          <w:rFonts w:ascii="宋体" w:hAnsi="宋体" w:hint="eastAsia"/>
          <w:szCs w:val="21"/>
        </w:rPr>
        <w:t>托管协议当事人禁止从事的行为，包括但不限于：</w:t>
      </w:r>
    </w:p>
    <w:p w14:paraId="70CE43FD" w14:textId="77777777" w:rsidR="005262EB" w:rsidRDefault="008312B3">
      <w:pPr>
        <w:snapToGrid w:val="0"/>
        <w:spacing w:line="360" w:lineRule="auto"/>
        <w:ind w:firstLineChars="225" w:firstLine="473"/>
      </w:pPr>
      <w:r>
        <w:t>（一）基金管理人、基金托管人将其固有财产或者他人财产混同于基金财产从事证券投资。</w:t>
      </w:r>
      <w:r>
        <w:t xml:space="preserve"> </w:t>
      </w:r>
    </w:p>
    <w:p w14:paraId="0822D961" w14:textId="77777777" w:rsidR="005262EB" w:rsidRDefault="008312B3">
      <w:pPr>
        <w:snapToGrid w:val="0"/>
        <w:spacing w:line="360" w:lineRule="auto"/>
        <w:ind w:firstLineChars="225" w:firstLine="473"/>
      </w:pPr>
      <w:r>
        <w:t>（二）基金管理人、基金托管人不公平地对待其管理或托管的不同基金财产。</w:t>
      </w:r>
      <w:r>
        <w:t xml:space="preserve"> </w:t>
      </w:r>
    </w:p>
    <w:p w14:paraId="0209B761" w14:textId="77777777" w:rsidR="005262EB" w:rsidRDefault="008312B3">
      <w:pPr>
        <w:snapToGrid w:val="0"/>
        <w:spacing w:line="360" w:lineRule="auto"/>
        <w:ind w:firstLineChars="225" w:firstLine="473"/>
      </w:pPr>
      <w:r>
        <w:t>（三）基金管理人、基金托管人利用基金财产或职务之便为基金份额持有人以外的第三人牟取利益。</w:t>
      </w:r>
      <w:r>
        <w:t xml:space="preserve"> </w:t>
      </w:r>
    </w:p>
    <w:p w14:paraId="331B713A" w14:textId="77777777" w:rsidR="005262EB" w:rsidRDefault="008312B3">
      <w:pPr>
        <w:snapToGrid w:val="0"/>
        <w:spacing w:line="360" w:lineRule="auto"/>
        <w:ind w:firstLineChars="225" w:firstLine="473"/>
      </w:pPr>
      <w:r>
        <w:t>（四）基金管理人、基金托管人向基金份额持有人违规承诺收益或者承担损失。</w:t>
      </w:r>
      <w:r>
        <w:t xml:space="preserve"> </w:t>
      </w:r>
    </w:p>
    <w:p w14:paraId="6D5DE518" w14:textId="77777777" w:rsidR="005262EB" w:rsidRDefault="008312B3">
      <w:pPr>
        <w:snapToGrid w:val="0"/>
        <w:spacing w:line="360" w:lineRule="auto"/>
        <w:ind w:firstLineChars="225" w:firstLine="473"/>
      </w:pPr>
      <w:r>
        <w:t>（五）基金管理人、基金托管人对他人泄</w:t>
      </w:r>
      <w:r>
        <w:rPr>
          <w:rFonts w:hint="eastAsia"/>
        </w:rPr>
        <w:t>露</w:t>
      </w:r>
      <w:r>
        <w:t>基金经营过程中任何尚未按法律法规规定的</w:t>
      </w:r>
      <w:r>
        <w:t xml:space="preserve"> </w:t>
      </w:r>
      <w:r>
        <w:t>方式公开披露的信息。</w:t>
      </w:r>
      <w:r>
        <w:t xml:space="preserve"> </w:t>
      </w:r>
    </w:p>
    <w:p w14:paraId="471FA275" w14:textId="77777777" w:rsidR="005262EB" w:rsidRDefault="008312B3">
      <w:pPr>
        <w:snapToGrid w:val="0"/>
        <w:spacing w:line="360" w:lineRule="auto"/>
        <w:ind w:firstLineChars="225" w:firstLine="473"/>
      </w:pPr>
      <w:r>
        <w:t>（六）基金管理人在没有充足资金的情况下向基金托管人发出投资指令和赎回、分红资</w:t>
      </w:r>
      <w:r>
        <w:t xml:space="preserve"> </w:t>
      </w:r>
      <w:r>
        <w:t>金的划拨指令，或违规向基金托管人发出指令。</w:t>
      </w:r>
      <w:r>
        <w:t xml:space="preserve"> </w:t>
      </w:r>
    </w:p>
    <w:p w14:paraId="071038FD" w14:textId="77777777" w:rsidR="005262EB" w:rsidRDefault="008312B3">
      <w:pPr>
        <w:snapToGrid w:val="0"/>
        <w:spacing w:line="360" w:lineRule="auto"/>
        <w:ind w:firstLineChars="225" w:firstLine="473"/>
      </w:pPr>
      <w:r>
        <w:t>（七）基金托管人对基金管理人的符合本协议约定的有效指令拖延或拒绝执行。</w:t>
      </w:r>
      <w:r>
        <w:t xml:space="preserve"> </w:t>
      </w:r>
    </w:p>
    <w:p w14:paraId="4A1BBFAE" w14:textId="77777777" w:rsidR="005262EB" w:rsidRDefault="008312B3">
      <w:pPr>
        <w:snapToGrid w:val="0"/>
        <w:spacing w:line="360" w:lineRule="auto"/>
        <w:ind w:firstLineChars="225" w:firstLine="473"/>
      </w:pPr>
      <w:r>
        <w:t>（八）基金管理人、基金托管人在行政上、财务上不独立，其高级基金管理人员相互兼职。</w:t>
      </w:r>
      <w:r>
        <w:t xml:space="preserve"> </w:t>
      </w:r>
    </w:p>
    <w:p w14:paraId="3032803D" w14:textId="77777777" w:rsidR="005262EB" w:rsidRDefault="008312B3">
      <w:pPr>
        <w:snapToGrid w:val="0"/>
        <w:spacing w:line="360" w:lineRule="auto"/>
        <w:ind w:firstLineChars="225" w:firstLine="473"/>
      </w:pPr>
      <w:r>
        <w:t>（九）基金托管人私自动用或处分基金资产，根据基金管理人的合法指令、</w:t>
      </w:r>
      <w:r>
        <w:rPr>
          <w:rFonts w:hint="eastAsia"/>
        </w:rPr>
        <w:t>《</w:t>
      </w:r>
      <w:r>
        <w:t>基金合同</w:t>
      </w:r>
      <w:r>
        <w:rPr>
          <w:rFonts w:hint="eastAsia"/>
        </w:rPr>
        <w:t>》</w:t>
      </w:r>
      <w:r>
        <w:t>或托管协议的规定进行处分的除外。</w:t>
      </w:r>
      <w:r>
        <w:t xml:space="preserve"> </w:t>
      </w:r>
    </w:p>
    <w:p w14:paraId="04334D28" w14:textId="54D1BBF8" w:rsidR="005262EB" w:rsidRDefault="008312B3">
      <w:pPr>
        <w:snapToGrid w:val="0"/>
        <w:spacing w:line="360" w:lineRule="auto"/>
        <w:ind w:firstLineChars="225" w:firstLine="473"/>
      </w:pPr>
      <w:r>
        <w:t>（十）基金管理人、基金托管人不得利用基金财产用于下列投资或者活动：（</w:t>
      </w:r>
      <w:r>
        <w:t>1</w:t>
      </w:r>
      <w:r>
        <w:t>）承销证券；（</w:t>
      </w:r>
      <w:r>
        <w:t>2</w:t>
      </w:r>
      <w:r>
        <w:t>）违反规定向他人贷款或者提供担保；（</w:t>
      </w:r>
      <w:r>
        <w:t>3</w:t>
      </w:r>
      <w:r>
        <w:t>）从事承担无限责任的投资；（</w:t>
      </w:r>
      <w:r>
        <w:t>4</w:t>
      </w:r>
      <w:r>
        <w:t>）向其基金管理人、基金托管人出资；（</w:t>
      </w:r>
      <w:r>
        <w:t>5</w:t>
      </w:r>
      <w:r>
        <w:t>）从事内幕交易、操纵证券交易价格及其他不正当的证券交易活动；（</w:t>
      </w:r>
      <w:r>
        <w:t>6</w:t>
      </w:r>
      <w:r>
        <w:t>）</w:t>
      </w:r>
      <w:r>
        <w:rPr>
          <w:rFonts w:hint="eastAsia"/>
        </w:rPr>
        <w:t>法律、行政法规和中国证监会规定禁止的其他活动</w:t>
      </w:r>
      <w:r>
        <w:t>。</w:t>
      </w:r>
      <w:r>
        <w:t xml:space="preserve"> </w:t>
      </w:r>
    </w:p>
    <w:p w14:paraId="6C601D20" w14:textId="77777777" w:rsidR="005262EB" w:rsidRDefault="008312B3">
      <w:pPr>
        <w:snapToGrid w:val="0"/>
        <w:spacing w:line="360" w:lineRule="auto"/>
        <w:ind w:firstLineChars="225" w:firstLine="473"/>
      </w:pPr>
      <w:r>
        <w:t>（十一）法律法规和基金合同禁止的其他行为，以及依照法律法规有关规定，由中国证监会规定禁止基金管理人、基金托管人从事的其他行为。</w:t>
      </w:r>
      <w:r>
        <w:t xml:space="preserve"> </w:t>
      </w:r>
    </w:p>
    <w:p w14:paraId="35ACA638" w14:textId="77777777" w:rsidR="005262EB" w:rsidRDefault="008312B3">
      <w:pPr>
        <w:snapToGrid w:val="0"/>
        <w:spacing w:line="360" w:lineRule="auto"/>
        <w:ind w:firstLineChars="225" w:firstLine="473"/>
      </w:pPr>
      <w:r>
        <w:t>（十二）法律法规或监管部门取消或变更上述禁止性规定，如适用于本基金，基金管</w:t>
      </w:r>
      <w:r>
        <w:lastRenderedPageBreak/>
        <w:t>理人有权在履行适当程序后</w:t>
      </w:r>
      <w:r>
        <w:rPr>
          <w:rFonts w:hint="eastAsia"/>
        </w:rPr>
        <w:t>，则本基金投资不再受相关限制或以变更后的规定为准。经与基金托管人协商一致，基金管理人可依据法律法规或监管部门规定直接对基金合同进行变更，该变更无须召开基金份额持有人大会审议。</w:t>
      </w:r>
    </w:p>
    <w:p w14:paraId="5B173DF1" w14:textId="77777777" w:rsidR="005262EB" w:rsidRDefault="008312B3">
      <w:pPr>
        <w:spacing w:beforeLines="50" w:before="156" w:afterLines="50" w:after="156" w:line="500" w:lineRule="atLeast"/>
        <w:jc w:val="center"/>
        <w:outlineLvl w:val="0"/>
        <w:rPr>
          <w:rFonts w:ascii="宋体" w:hAnsi="宋体"/>
          <w:b/>
          <w:sz w:val="24"/>
        </w:rPr>
      </w:pPr>
      <w:bookmarkStart w:id="55" w:name="_Toc131682155"/>
      <w:r>
        <w:rPr>
          <w:rFonts w:ascii="宋体" w:hAnsi="宋体" w:hint="eastAsia"/>
          <w:b/>
          <w:sz w:val="24"/>
        </w:rPr>
        <w:t>十五、基金托管协议的变更、终止与基金财产的清算</w:t>
      </w:r>
      <w:bookmarkEnd w:id="55"/>
    </w:p>
    <w:p w14:paraId="44DAB455" w14:textId="77777777" w:rsidR="005262EB" w:rsidRDefault="008312B3">
      <w:pPr>
        <w:spacing w:line="360" w:lineRule="auto"/>
        <w:ind w:firstLineChars="200" w:firstLine="420"/>
        <w:rPr>
          <w:rFonts w:ascii="宋体" w:hAnsi="宋体"/>
          <w:szCs w:val="21"/>
        </w:rPr>
      </w:pPr>
      <w:r>
        <w:rPr>
          <w:rFonts w:ascii="宋体" w:hAnsi="宋体" w:hint="eastAsia"/>
          <w:szCs w:val="21"/>
        </w:rPr>
        <w:t>（一）托管协议的变更与终止</w:t>
      </w:r>
    </w:p>
    <w:p w14:paraId="590BFCE3" w14:textId="77777777" w:rsidR="005262EB" w:rsidRDefault="008312B3">
      <w:pPr>
        <w:adjustRightInd w:val="0"/>
        <w:snapToGrid w:val="0"/>
        <w:spacing w:line="360" w:lineRule="auto"/>
        <w:ind w:firstLineChars="225" w:firstLine="473"/>
        <w:rPr>
          <w:rFonts w:ascii="宋体" w:hAnsi="宋体" w:cs="Arial"/>
          <w:szCs w:val="21"/>
        </w:rPr>
      </w:pPr>
      <w:r>
        <w:rPr>
          <w:rFonts w:ascii="宋体" w:hAnsi="宋体" w:cs="Arial" w:hint="eastAsia"/>
          <w:szCs w:val="21"/>
        </w:rPr>
        <w:t>1、托管协议的变更程序</w:t>
      </w:r>
    </w:p>
    <w:p w14:paraId="2D68D72C" w14:textId="77777777" w:rsidR="005262EB" w:rsidRDefault="008312B3">
      <w:pPr>
        <w:adjustRightInd w:val="0"/>
        <w:snapToGrid w:val="0"/>
        <w:spacing w:line="360" w:lineRule="auto"/>
        <w:ind w:firstLineChars="225" w:firstLine="473"/>
        <w:rPr>
          <w:rFonts w:ascii="宋体" w:hAnsi="宋体" w:cs="Arial"/>
          <w:szCs w:val="21"/>
        </w:rPr>
      </w:pPr>
      <w:r>
        <w:rPr>
          <w:rFonts w:ascii="宋体" w:hAnsi="宋体" w:cs="Arial" w:hint="eastAsia"/>
          <w:szCs w:val="21"/>
        </w:rPr>
        <w:t>本协议双方当事人经书面协商一致，可以对协议的内容进行变更。变更后的托管协议，其内容不得与《基金合同》的规定有任何冲突。基金托管协议的变更依据法律法规、监管机构的规定报中国证监会备案。</w:t>
      </w:r>
    </w:p>
    <w:p w14:paraId="1AB8E6A9" w14:textId="77777777" w:rsidR="005262EB" w:rsidRDefault="008312B3">
      <w:pPr>
        <w:adjustRightInd w:val="0"/>
        <w:snapToGrid w:val="0"/>
        <w:spacing w:line="360" w:lineRule="auto"/>
        <w:ind w:firstLineChars="225" w:firstLine="473"/>
        <w:rPr>
          <w:rFonts w:ascii="宋体" w:hAnsi="宋体" w:cs="Arial"/>
          <w:szCs w:val="21"/>
        </w:rPr>
      </w:pPr>
      <w:r>
        <w:rPr>
          <w:rFonts w:ascii="宋体" w:hAnsi="宋体" w:cs="Arial" w:hint="eastAsia"/>
          <w:szCs w:val="21"/>
        </w:rPr>
        <w:t>2、基金托管协议终止的情形</w:t>
      </w:r>
    </w:p>
    <w:p w14:paraId="5954AB87" w14:textId="77777777" w:rsidR="005262EB" w:rsidRDefault="008312B3">
      <w:pPr>
        <w:adjustRightInd w:val="0"/>
        <w:snapToGrid w:val="0"/>
        <w:spacing w:line="360" w:lineRule="auto"/>
        <w:ind w:firstLineChars="225" w:firstLine="473"/>
        <w:rPr>
          <w:rFonts w:ascii="宋体" w:hAnsi="宋体" w:cs="Arial"/>
          <w:szCs w:val="21"/>
        </w:rPr>
      </w:pPr>
      <w:r>
        <w:rPr>
          <w:rFonts w:ascii="宋体" w:hAnsi="宋体" w:cs="Arial" w:hint="eastAsia"/>
          <w:szCs w:val="21"/>
        </w:rPr>
        <w:t>发生以下情况，在履行相关程序后，本托管协议终止：</w:t>
      </w:r>
    </w:p>
    <w:p w14:paraId="3324955A" w14:textId="77777777" w:rsidR="005262EB" w:rsidRDefault="008312B3">
      <w:pPr>
        <w:adjustRightInd w:val="0"/>
        <w:snapToGrid w:val="0"/>
        <w:spacing w:line="360" w:lineRule="auto"/>
        <w:ind w:firstLineChars="225" w:firstLine="473"/>
        <w:rPr>
          <w:rFonts w:ascii="宋体" w:hAnsi="宋体" w:cs="Arial"/>
          <w:szCs w:val="21"/>
        </w:rPr>
      </w:pPr>
      <w:r>
        <w:rPr>
          <w:rFonts w:ascii="宋体" w:hAnsi="宋体" w:cs="Arial" w:hint="eastAsia"/>
          <w:szCs w:val="21"/>
        </w:rPr>
        <w:t>（1）《基金合同》终止；</w:t>
      </w:r>
    </w:p>
    <w:p w14:paraId="22DF5132" w14:textId="77777777" w:rsidR="005262EB" w:rsidRDefault="008312B3">
      <w:pPr>
        <w:adjustRightInd w:val="0"/>
        <w:snapToGrid w:val="0"/>
        <w:spacing w:line="360" w:lineRule="auto"/>
        <w:ind w:firstLineChars="225" w:firstLine="473"/>
        <w:rPr>
          <w:rFonts w:ascii="宋体" w:hAnsi="宋体" w:cs="Arial"/>
          <w:szCs w:val="21"/>
        </w:rPr>
      </w:pPr>
      <w:r>
        <w:rPr>
          <w:rFonts w:ascii="宋体" w:hAnsi="宋体" w:cs="Arial" w:hint="eastAsia"/>
          <w:szCs w:val="21"/>
        </w:rPr>
        <w:t>（2）基金托管人解散、依法被撤销、破产或有其他基金托管人接管基金资产；</w:t>
      </w:r>
    </w:p>
    <w:p w14:paraId="7090239A" w14:textId="77777777" w:rsidR="005262EB" w:rsidRDefault="008312B3">
      <w:pPr>
        <w:adjustRightInd w:val="0"/>
        <w:snapToGrid w:val="0"/>
        <w:spacing w:line="360" w:lineRule="auto"/>
        <w:ind w:firstLineChars="225" w:firstLine="473"/>
        <w:rPr>
          <w:rFonts w:ascii="宋体" w:hAnsi="宋体" w:cs="Arial"/>
          <w:szCs w:val="21"/>
        </w:rPr>
      </w:pPr>
      <w:r>
        <w:rPr>
          <w:rFonts w:ascii="宋体" w:hAnsi="宋体" w:cs="Arial" w:hint="eastAsia"/>
          <w:szCs w:val="21"/>
        </w:rPr>
        <w:t>（3）基金管理人解散、依法被撤销、破产或有其他基金管理人接管基金管理权；</w:t>
      </w:r>
    </w:p>
    <w:p w14:paraId="2ECAD905" w14:textId="77777777" w:rsidR="005262EB" w:rsidRDefault="008312B3">
      <w:pPr>
        <w:adjustRightInd w:val="0"/>
        <w:snapToGrid w:val="0"/>
        <w:spacing w:line="360" w:lineRule="auto"/>
        <w:ind w:firstLineChars="225" w:firstLine="473"/>
        <w:rPr>
          <w:rFonts w:ascii="宋体" w:hAnsi="宋体" w:cs="Arial"/>
          <w:szCs w:val="21"/>
        </w:rPr>
      </w:pPr>
      <w:r>
        <w:rPr>
          <w:rFonts w:ascii="宋体" w:hAnsi="宋体" w:cs="Arial" w:hint="eastAsia"/>
          <w:szCs w:val="21"/>
        </w:rPr>
        <w:t>（4）发生法律法规或《基金合同》规定的终止事项。</w:t>
      </w:r>
    </w:p>
    <w:p w14:paraId="4C0F063A" w14:textId="77777777" w:rsidR="005262EB" w:rsidRDefault="008312B3">
      <w:pPr>
        <w:adjustRightInd w:val="0"/>
        <w:snapToGrid w:val="0"/>
        <w:spacing w:line="360" w:lineRule="auto"/>
        <w:ind w:firstLineChars="225" w:firstLine="473"/>
        <w:rPr>
          <w:rFonts w:ascii="宋体" w:hAnsi="宋体" w:cs="Arial"/>
          <w:szCs w:val="21"/>
        </w:rPr>
      </w:pPr>
      <w:r>
        <w:rPr>
          <w:rFonts w:ascii="宋体" w:hAnsi="宋体" w:cs="Arial" w:hint="eastAsia"/>
          <w:szCs w:val="21"/>
        </w:rPr>
        <w:t>（二）基金财产的清算</w:t>
      </w:r>
    </w:p>
    <w:p w14:paraId="48BDBB96" w14:textId="77777777" w:rsidR="005262EB" w:rsidRDefault="008312B3">
      <w:pPr>
        <w:snapToGrid w:val="0"/>
        <w:spacing w:line="360" w:lineRule="auto"/>
        <w:ind w:firstLineChars="300" w:firstLine="630"/>
        <w:rPr>
          <w:szCs w:val="21"/>
        </w:rPr>
      </w:pPr>
      <w:r>
        <w:rPr>
          <w:rFonts w:hint="eastAsia"/>
          <w:szCs w:val="21"/>
        </w:rPr>
        <w:t>基金管理人与基金托管人按照《基金合同》的约定处理基金财产的清算。</w:t>
      </w:r>
    </w:p>
    <w:p w14:paraId="6169ECD2" w14:textId="77777777" w:rsidR="005262EB" w:rsidRDefault="008312B3">
      <w:pPr>
        <w:spacing w:beforeLines="50" w:before="156" w:afterLines="50" w:after="156" w:line="500" w:lineRule="atLeast"/>
        <w:jc w:val="center"/>
        <w:outlineLvl w:val="0"/>
        <w:rPr>
          <w:rFonts w:ascii="宋体" w:hAnsi="宋体"/>
          <w:b/>
          <w:sz w:val="24"/>
        </w:rPr>
      </w:pPr>
      <w:bookmarkStart w:id="56" w:name="_Toc131682156"/>
      <w:r>
        <w:rPr>
          <w:rFonts w:ascii="宋体" w:hAnsi="宋体" w:hint="eastAsia"/>
          <w:b/>
          <w:sz w:val="24"/>
        </w:rPr>
        <w:t>十六、违约责任</w:t>
      </w:r>
      <w:bookmarkEnd w:id="56"/>
    </w:p>
    <w:p w14:paraId="61D2D8AB" w14:textId="77777777" w:rsidR="005262EB" w:rsidRDefault="008312B3">
      <w:pPr>
        <w:snapToGrid w:val="0"/>
        <w:spacing w:line="360" w:lineRule="auto"/>
        <w:ind w:firstLineChars="200" w:firstLine="420"/>
        <w:rPr>
          <w:bCs/>
          <w:szCs w:val="21"/>
        </w:rPr>
      </w:pPr>
      <w:r>
        <w:rPr>
          <w:rFonts w:ascii="宋体" w:hAnsi="宋体" w:hint="eastAsia"/>
          <w:szCs w:val="21"/>
        </w:rPr>
        <w:t>（一）如果由于基金管理人或基金托管人的过错，不履行本协议或者违反本协议约定的，有过错的一方应当承担违约责任，给另一方当事人造成损失的，应就直接损失进行赔偿。如果由于双方的过错，不履行本协议或者违反本协议约定的，应根据实际情况，由双方分别承担各自应负的违约责任</w:t>
      </w:r>
      <w:r>
        <w:rPr>
          <w:rFonts w:hint="eastAsia"/>
          <w:bCs/>
          <w:szCs w:val="21"/>
        </w:rPr>
        <w:t>，给基金财产或者基金份额持有人造成损害的，应当分别对各自的行为依法承担赔偿责任；因共同行为给基金财产或者基金份额持有人造成损害的，应当承担连带赔偿责任。对损失的赔偿，仅限于直接损失。但是发生下列情况，当事人免责：</w:t>
      </w:r>
    </w:p>
    <w:p w14:paraId="3B0408FF" w14:textId="77777777" w:rsidR="005262EB" w:rsidRDefault="008312B3">
      <w:pPr>
        <w:adjustRightInd w:val="0"/>
        <w:snapToGrid w:val="0"/>
        <w:spacing w:line="360" w:lineRule="auto"/>
        <w:ind w:firstLineChars="200" w:firstLine="420"/>
        <w:rPr>
          <w:bCs/>
          <w:szCs w:val="21"/>
        </w:rPr>
      </w:pPr>
      <w:r>
        <w:rPr>
          <w:bCs/>
          <w:szCs w:val="21"/>
        </w:rPr>
        <w:t>1</w:t>
      </w:r>
      <w:r>
        <w:rPr>
          <w:rFonts w:hint="eastAsia"/>
          <w:bCs/>
          <w:szCs w:val="21"/>
        </w:rPr>
        <w:t>、不可抗力；</w:t>
      </w:r>
    </w:p>
    <w:p w14:paraId="73815A6A" w14:textId="77777777" w:rsidR="005262EB" w:rsidRDefault="008312B3">
      <w:pPr>
        <w:adjustRightInd w:val="0"/>
        <w:snapToGrid w:val="0"/>
        <w:spacing w:line="360" w:lineRule="auto"/>
        <w:ind w:firstLineChars="200" w:firstLine="420"/>
        <w:rPr>
          <w:bCs/>
          <w:szCs w:val="21"/>
        </w:rPr>
      </w:pPr>
      <w:r>
        <w:rPr>
          <w:bCs/>
          <w:szCs w:val="21"/>
        </w:rPr>
        <w:t>2</w:t>
      </w:r>
      <w:r>
        <w:rPr>
          <w:rFonts w:hint="eastAsia"/>
          <w:bCs/>
          <w:szCs w:val="21"/>
        </w:rPr>
        <w:t>、基金管理人、基金托管人按照当时有效的法律法规或中国证监会的规定作为或不作为而造成的损失等；</w:t>
      </w:r>
    </w:p>
    <w:p w14:paraId="66E3A96A" w14:textId="77777777" w:rsidR="005262EB" w:rsidRDefault="008312B3">
      <w:pPr>
        <w:adjustRightInd w:val="0"/>
        <w:snapToGrid w:val="0"/>
        <w:spacing w:line="360" w:lineRule="auto"/>
        <w:ind w:firstLineChars="200" w:firstLine="420"/>
        <w:rPr>
          <w:bCs/>
          <w:szCs w:val="21"/>
        </w:rPr>
      </w:pPr>
      <w:r>
        <w:rPr>
          <w:bCs/>
          <w:szCs w:val="21"/>
        </w:rPr>
        <w:t>3</w:t>
      </w:r>
      <w:r>
        <w:rPr>
          <w:rFonts w:hint="eastAsia"/>
          <w:bCs/>
          <w:szCs w:val="21"/>
        </w:rPr>
        <w:t>、基金管理人由于按照《基金合同》规定的投资原则投资或不投资造成的直接损失等。</w:t>
      </w:r>
    </w:p>
    <w:p w14:paraId="17A3ADA9" w14:textId="77777777" w:rsidR="005262EB" w:rsidRDefault="008312B3">
      <w:pPr>
        <w:snapToGrid w:val="0"/>
        <w:spacing w:line="360" w:lineRule="auto"/>
        <w:ind w:firstLineChars="200" w:firstLine="420"/>
        <w:rPr>
          <w:bCs/>
          <w:szCs w:val="21"/>
        </w:rPr>
      </w:pPr>
      <w:r>
        <w:rPr>
          <w:rFonts w:ascii="宋体" w:hAnsi="宋体" w:hint="eastAsia"/>
          <w:szCs w:val="21"/>
        </w:rPr>
        <w:t>（二）</w:t>
      </w:r>
      <w:r>
        <w:rPr>
          <w:rFonts w:hint="eastAsia"/>
          <w:bCs/>
          <w:szCs w:val="21"/>
        </w:rPr>
        <w:t>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012EF72A" w14:textId="77777777" w:rsidR="005262EB" w:rsidRDefault="008312B3">
      <w:pPr>
        <w:snapToGrid w:val="0"/>
        <w:spacing w:line="360" w:lineRule="auto"/>
        <w:ind w:firstLineChars="200" w:firstLine="420"/>
        <w:rPr>
          <w:rFonts w:ascii="宋体" w:hAnsi="宋体"/>
          <w:szCs w:val="21"/>
          <w:lang w:val="zh-CN"/>
        </w:rPr>
      </w:pPr>
      <w:r>
        <w:rPr>
          <w:rFonts w:ascii="宋体" w:hAnsi="宋体" w:hint="eastAsia"/>
          <w:szCs w:val="21"/>
          <w:lang w:val="zh-CN"/>
        </w:rPr>
        <w:lastRenderedPageBreak/>
        <w:t>（三）由于基金管理人、基金托管人不可控制的因素导致业务出现差错，基金管理人和基金托管人虽然已经采取必要、适当、合理的措施进行检查，但是未能发现错误或因前述原因未能避免或更正错误的，由此造成基金财产或投资人损失，基金管理人和基金托管人免除赔偿责任。但是基金管理人和基金托管人应积极采取必要的措施消除或减轻由此造成的影响。</w:t>
      </w:r>
    </w:p>
    <w:p w14:paraId="611BF274" w14:textId="77777777" w:rsidR="005262EB" w:rsidRDefault="008312B3">
      <w:pPr>
        <w:spacing w:beforeLines="50" w:before="156" w:afterLines="50" w:after="156" w:line="500" w:lineRule="atLeast"/>
        <w:jc w:val="center"/>
        <w:outlineLvl w:val="0"/>
        <w:rPr>
          <w:rFonts w:ascii="宋体" w:hAnsi="宋体"/>
          <w:b/>
          <w:sz w:val="24"/>
        </w:rPr>
      </w:pPr>
      <w:bookmarkStart w:id="57" w:name="_Toc131682157"/>
      <w:r>
        <w:rPr>
          <w:rFonts w:ascii="宋体" w:hAnsi="宋体" w:hint="eastAsia"/>
          <w:b/>
          <w:sz w:val="24"/>
        </w:rPr>
        <w:t>十七、适用法律及争议解决方式</w:t>
      </w:r>
      <w:bookmarkEnd w:id="57"/>
    </w:p>
    <w:p w14:paraId="64C7A5A4" w14:textId="0D24EAB2" w:rsidR="005262EB" w:rsidRDefault="008312B3">
      <w:pPr>
        <w:snapToGrid w:val="0"/>
        <w:spacing w:line="360" w:lineRule="auto"/>
        <w:ind w:firstLineChars="200" w:firstLine="420"/>
        <w:rPr>
          <w:rFonts w:ascii="宋体" w:hAnsi="宋体"/>
          <w:szCs w:val="21"/>
          <w:lang w:val="zh-CN"/>
        </w:rPr>
      </w:pPr>
      <w:r>
        <w:rPr>
          <w:rFonts w:ascii="宋体" w:hAnsi="宋体" w:hint="eastAsia"/>
          <w:szCs w:val="21"/>
          <w:lang w:val="zh-CN"/>
        </w:rPr>
        <w:t>（一）</w:t>
      </w:r>
      <w:r>
        <w:rPr>
          <w:rFonts w:ascii="宋体" w:hAnsi="宋体" w:hint="eastAsia"/>
          <w:szCs w:val="21"/>
        </w:rPr>
        <w:t>本协议适用中华人民共和国法律（为本协议之目的，在此不包括香港、澳门特别行政区法律和台湾地区的有关规定），并从其解释。</w:t>
      </w:r>
    </w:p>
    <w:p w14:paraId="48333A6D" w14:textId="5C4C5AB8" w:rsidR="005262EB" w:rsidRDefault="008312B3">
      <w:pPr>
        <w:snapToGrid w:val="0"/>
        <w:spacing w:line="360" w:lineRule="auto"/>
        <w:ind w:firstLineChars="200" w:firstLine="420"/>
        <w:rPr>
          <w:rFonts w:ascii="宋体" w:hAnsi="宋体"/>
          <w:szCs w:val="21"/>
        </w:rPr>
      </w:pPr>
      <w:r>
        <w:rPr>
          <w:rFonts w:ascii="宋体" w:hAnsi="宋体" w:hint="eastAsia"/>
          <w:szCs w:val="21"/>
        </w:rPr>
        <w:t>（二）双方当事人同意，因本协议而产生的或与本协议有关的一切争议，除经友好协商、调解可以解决的，任何一方</w:t>
      </w:r>
      <w:r>
        <w:rPr>
          <w:rFonts w:ascii="宋体" w:hAnsi="宋体"/>
          <w:szCs w:val="21"/>
        </w:rPr>
        <w:t>应将争议提交中国国际经济贸易仲裁委员会，按照其届时有效的仲裁规则进行仲裁，仲裁地点为上海市。仲裁裁决是终局性的并对各方当事人具有约束力。除非仲裁裁决另有决定，仲裁费用由败诉方承担</w:t>
      </w:r>
      <w:r>
        <w:rPr>
          <w:rFonts w:ascii="宋体" w:hAnsi="宋体" w:hint="eastAsia"/>
          <w:szCs w:val="21"/>
        </w:rPr>
        <w:t>。</w:t>
      </w:r>
    </w:p>
    <w:p w14:paraId="03448E5B"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争议处理期间，双方当事人应恪守基金管理人和基金托管人职责，继续忠实、勤勉、尽责地履行《基金合同》和本托管协议规定的义务，维护基金份额持有人的合法权益。</w:t>
      </w:r>
    </w:p>
    <w:p w14:paraId="5102EB79" w14:textId="77777777" w:rsidR="005262EB" w:rsidRDefault="008312B3">
      <w:pPr>
        <w:spacing w:beforeLines="50" w:before="156" w:afterLines="50" w:after="156" w:line="500" w:lineRule="atLeast"/>
        <w:jc w:val="center"/>
        <w:outlineLvl w:val="0"/>
        <w:rPr>
          <w:rFonts w:ascii="宋体" w:hAnsi="宋体"/>
          <w:b/>
          <w:sz w:val="24"/>
        </w:rPr>
      </w:pPr>
      <w:bookmarkStart w:id="58" w:name="_Toc131682158"/>
      <w:r>
        <w:rPr>
          <w:rFonts w:ascii="宋体" w:hAnsi="宋体" w:hint="eastAsia"/>
          <w:b/>
          <w:sz w:val="24"/>
        </w:rPr>
        <w:t>十八、基金托管协议的效力和文本</w:t>
      </w:r>
      <w:bookmarkEnd w:id="58"/>
    </w:p>
    <w:p w14:paraId="2918D6DE" w14:textId="77777777" w:rsidR="005262EB" w:rsidRDefault="008312B3">
      <w:pPr>
        <w:pStyle w:val="a7"/>
        <w:snapToGrid w:val="0"/>
        <w:rPr>
          <w:rFonts w:ascii="宋体" w:hAnsi="宋体"/>
          <w:szCs w:val="21"/>
        </w:rPr>
      </w:pPr>
      <w:r>
        <w:rPr>
          <w:rFonts w:ascii="宋体" w:hAnsi="宋体" w:hint="eastAsia"/>
          <w:szCs w:val="21"/>
        </w:rPr>
        <w:t>（一）</w:t>
      </w:r>
      <w:r>
        <w:rPr>
          <w:rFonts w:ascii="宋体" w:hAnsi="宋体" w:cs="Arial" w:hint="eastAsia"/>
          <w:kern w:val="44"/>
          <w:szCs w:val="21"/>
        </w:rPr>
        <w:t>本协议经基金管理人、基金托管人双方加盖公章或合同专用章以及双方法定代表人或授权代表签字或盖章后成立</w:t>
      </w:r>
      <w:r>
        <w:rPr>
          <w:rFonts w:ascii="宋体" w:hAnsi="宋体" w:hint="eastAsia"/>
          <w:szCs w:val="21"/>
        </w:rPr>
        <w:t>。本协议以中国证监会注册的文本为正式文本。</w:t>
      </w:r>
    </w:p>
    <w:p w14:paraId="6F08447C" w14:textId="77777777" w:rsidR="005262EB" w:rsidRDefault="008312B3">
      <w:pPr>
        <w:pStyle w:val="a7"/>
        <w:snapToGrid w:val="0"/>
        <w:rPr>
          <w:rFonts w:ascii="宋体" w:hAnsi="宋体"/>
          <w:szCs w:val="21"/>
        </w:rPr>
      </w:pPr>
      <w:r>
        <w:rPr>
          <w:rFonts w:ascii="宋体" w:hAnsi="宋体" w:hint="eastAsia"/>
          <w:szCs w:val="21"/>
        </w:rPr>
        <w:t>（二）本协议自《基金合同》生效之日起生效，有效期自其生效之日起至该基金财产清算报告报中国证监会备案并公告之日止。</w:t>
      </w:r>
    </w:p>
    <w:p w14:paraId="38CB0236"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（三）本协议自生效之日起对各当事人具有同等的法律约束力。</w:t>
      </w:r>
    </w:p>
    <w:p w14:paraId="0E8771AF" w14:textId="77777777" w:rsidR="005262EB" w:rsidRDefault="008312B3">
      <w:pPr>
        <w:snapToGrid w:val="0"/>
        <w:spacing w:line="360" w:lineRule="auto"/>
        <w:ind w:firstLineChars="200" w:firstLine="420"/>
        <w:rPr>
          <w:rFonts w:ascii="宋体" w:hAnsi="宋体"/>
          <w:szCs w:val="21"/>
        </w:rPr>
      </w:pPr>
      <w:r>
        <w:rPr>
          <w:rFonts w:ascii="宋体" w:hAnsi="宋体" w:hint="eastAsia"/>
          <w:szCs w:val="21"/>
        </w:rPr>
        <w:t>（四）本协议一式陆份，除上报有关监管机构贰份外，基金管理人和基金托管人分别持贰份，每份具有同等的法律效力。</w:t>
      </w:r>
    </w:p>
    <w:p w14:paraId="383ECF91" w14:textId="77777777" w:rsidR="005262EB" w:rsidRDefault="008312B3">
      <w:pPr>
        <w:spacing w:beforeLines="50" w:before="156" w:afterLines="50" w:after="156" w:line="500" w:lineRule="atLeast"/>
        <w:jc w:val="center"/>
        <w:outlineLvl w:val="0"/>
        <w:rPr>
          <w:rFonts w:ascii="宋体" w:hAnsi="宋体"/>
          <w:b/>
          <w:sz w:val="24"/>
        </w:rPr>
      </w:pPr>
      <w:bookmarkStart w:id="59" w:name="_Toc131682159"/>
      <w:r>
        <w:rPr>
          <w:rFonts w:ascii="宋体" w:hAnsi="宋体" w:hint="eastAsia"/>
          <w:b/>
          <w:sz w:val="24"/>
        </w:rPr>
        <w:t>十九、其他事项</w:t>
      </w:r>
      <w:bookmarkEnd w:id="59"/>
    </w:p>
    <w:p w14:paraId="4D600205" w14:textId="77777777" w:rsidR="005262EB" w:rsidRDefault="008312B3">
      <w:pPr>
        <w:adjustRightInd w:val="0"/>
        <w:snapToGrid w:val="0"/>
        <w:spacing w:line="360" w:lineRule="auto"/>
        <w:ind w:firstLineChars="200" w:firstLine="420"/>
        <w:rPr>
          <w:rFonts w:ascii="宋体" w:hAnsi="宋体"/>
          <w:color w:val="000000"/>
          <w:szCs w:val="21"/>
        </w:rPr>
      </w:pPr>
      <w:r>
        <w:rPr>
          <w:rFonts w:ascii="宋体" w:hAnsi="宋体"/>
          <w:color w:val="000000"/>
          <w:szCs w:val="21"/>
        </w:rPr>
        <w:t>除本协议有明确定义外，本协议的用语定义适用基金合同的约定。本协议未尽事宜，当事人依据基金合同、有关法律法规等规定协商办理。</w:t>
      </w:r>
    </w:p>
    <w:p w14:paraId="527AAED7" w14:textId="77777777" w:rsidR="005262EB" w:rsidRDefault="008312B3">
      <w:pPr>
        <w:pStyle w:val="a7"/>
        <w:ind w:firstLineChars="0" w:firstLine="0"/>
        <w:rPr>
          <w:rFonts w:ascii="宋体" w:hAnsi="宋体"/>
          <w:szCs w:val="21"/>
        </w:rPr>
        <w:sectPr w:rsidR="005262EB">
          <w:footerReference w:type="default" r:id="rId19"/>
          <w:pgSz w:w="11906" w:h="16838"/>
          <w:pgMar w:top="1440" w:right="1800" w:bottom="1440" w:left="1800" w:header="851" w:footer="992" w:gutter="0"/>
          <w:pgNumType w:start="1"/>
          <w:cols w:space="425"/>
          <w:docGrid w:type="lines" w:linePitch="312"/>
        </w:sectPr>
      </w:pPr>
      <w:r>
        <w:rPr>
          <w:rFonts w:ascii="宋体" w:hAnsi="宋体" w:hint="eastAsia"/>
          <w:szCs w:val="21"/>
        </w:rPr>
        <w:t>（本页以下无正文）</w:t>
      </w:r>
    </w:p>
    <w:p w14:paraId="1752C733" w14:textId="0BDE1FC1" w:rsidR="005262EB" w:rsidRDefault="008312B3">
      <w:pPr>
        <w:pStyle w:val="a7"/>
        <w:ind w:firstLineChars="0" w:firstLine="0"/>
        <w:rPr>
          <w:rFonts w:ascii="宋体" w:hAnsi="宋体"/>
          <w:szCs w:val="21"/>
        </w:rPr>
      </w:pPr>
      <w:r>
        <w:rPr>
          <w:rFonts w:ascii="宋体" w:hAnsi="宋体" w:hint="eastAsia"/>
          <w:szCs w:val="21"/>
        </w:rPr>
        <w:lastRenderedPageBreak/>
        <w:t>（本页为万家</w:t>
      </w:r>
      <w:r w:rsidR="00EB1A02">
        <w:rPr>
          <w:rFonts w:ascii="宋体" w:hAnsi="宋体" w:hint="eastAsia"/>
          <w:szCs w:val="21"/>
        </w:rPr>
        <w:t>泓裕成长驱动</w:t>
      </w:r>
      <w:r>
        <w:rPr>
          <w:rFonts w:ascii="宋体" w:hAnsi="宋体" w:hint="eastAsia"/>
          <w:szCs w:val="21"/>
        </w:rPr>
        <w:t>混合型发起式证券投资基金托管协议签署页，无正文）</w:t>
      </w:r>
    </w:p>
    <w:p w14:paraId="09E08BD9" w14:textId="77777777" w:rsidR="005262EB" w:rsidRDefault="005262EB">
      <w:pPr>
        <w:spacing w:line="360" w:lineRule="auto"/>
        <w:ind w:right="26"/>
        <w:rPr>
          <w:rFonts w:ascii="宋体" w:hAnsi="宋体"/>
          <w:b/>
          <w:bCs/>
          <w:szCs w:val="21"/>
        </w:rPr>
      </w:pPr>
    </w:p>
    <w:p w14:paraId="2DE89A35" w14:textId="77777777" w:rsidR="005262EB" w:rsidRDefault="008312B3">
      <w:pPr>
        <w:spacing w:line="360" w:lineRule="auto"/>
        <w:ind w:right="26"/>
        <w:rPr>
          <w:rFonts w:ascii="宋体" w:hAnsi="宋体"/>
          <w:b/>
          <w:szCs w:val="21"/>
        </w:rPr>
      </w:pPr>
      <w:r>
        <w:rPr>
          <w:rFonts w:ascii="宋体" w:hAnsi="宋体" w:hint="eastAsia"/>
          <w:b/>
          <w:bCs/>
          <w:szCs w:val="21"/>
        </w:rPr>
        <w:t xml:space="preserve">    </w:t>
      </w:r>
      <w:r>
        <w:rPr>
          <w:rFonts w:ascii="宋体" w:hAnsi="宋体" w:hint="eastAsia"/>
          <w:b/>
          <w:szCs w:val="21"/>
        </w:rPr>
        <w:t>本协议由下述双方于__________年______月______日签署。双方确认，在签署本协议时，双方已就全部条款进行了详细地说明和讨论，双方对协议的全部条款均无疑义，并对本协议中当事人有关权利义务和责任限制或免除条款的法律含义有准确无误的理解。</w:t>
      </w:r>
    </w:p>
    <w:p w14:paraId="07B99B21" w14:textId="77777777" w:rsidR="005262EB" w:rsidRDefault="005262EB">
      <w:pPr>
        <w:spacing w:line="360" w:lineRule="auto"/>
        <w:ind w:right="26"/>
        <w:rPr>
          <w:rFonts w:ascii="宋体" w:hAnsi="宋体"/>
          <w:szCs w:val="21"/>
        </w:rPr>
      </w:pPr>
    </w:p>
    <w:p w14:paraId="7B023E39" w14:textId="77777777" w:rsidR="005262EB" w:rsidRDefault="005262EB">
      <w:pPr>
        <w:spacing w:line="360" w:lineRule="auto"/>
        <w:ind w:right="26"/>
        <w:rPr>
          <w:rFonts w:ascii="宋体" w:hAnsi="宋体"/>
          <w:szCs w:val="21"/>
        </w:rPr>
      </w:pPr>
    </w:p>
    <w:tbl>
      <w:tblPr>
        <w:tblW w:w="0" w:type="auto"/>
        <w:tblLook w:val="04A0" w:firstRow="1" w:lastRow="0" w:firstColumn="1" w:lastColumn="0" w:noHBand="0" w:noVBand="1"/>
      </w:tblPr>
      <w:tblGrid>
        <w:gridCol w:w="4261"/>
        <w:gridCol w:w="4261"/>
      </w:tblGrid>
      <w:tr w:rsidR="005262EB" w14:paraId="765E814F" w14:textId="77777777">
        <w:tc>
          <w:tcPr>
            <w:tcW w:w="4261" w:type="dxa"/>
            <w:shd w:val="clear" w:color="auto" w:fill="auto"/>
          </w:tcPr>
          <w:p w14:paraId="027DB94F" w14:textId="77777777" w:rsidR="005262EB" w:rsidRDefault="008312B3">
            <w:pPr>
              <w:spacing w:line="360" w:lineRule="auto"/>
              <w:ind w:right="26"/>
              <w:rPr>
                <w:rFonts w:ascii="宋体" w:hAnsi="宋体"/>
                <w:b/>
                <w:bCs/>
                <w:szCs w:val="21"/>
              </w:rPr>
            </w:pPr>
            <w:r>
              <w:rPr>
                <w:rFonts w:ascii="宋体" w:hAnsi="宋体" w:hint="eastAsia"/>
                <w:b/>
                <w:szCs w:val="21"/>
              </w:rPr>
              <w:t>基金管理人</w:t>
            </w:r>
            <w:r>
              <w:rPr>
                <w:rFonts w:ascii="宋体" w:hAnsi="宋体" w:hint="eastAsia"/>
                <w:b/>
                <w:bCs/>
                <w:szCs w:val="21"/>
              </w:rPr>
              <w:t>：</w:t>
            </w:r>
          </w:p>
          <w:p w14:paraId="14E97191" w14:textId="79E33BF6" w:rsidR="005262EB" w:rsidRDefault="008312B3">
            <w:pPr>
              <w:spacing w:line="360" w:lineRule="auto"/>
              <w:ind w:right="26"/>
              <w:rPr>
                <w:rFonts w:ascii="宋体" w:hAnsi="宋体"/>
                <w:szCs w:val="21"/>
              </w:rPr>
            </w:pPr>
            <w:r>
              <w:rPr>
                <w:rFonts w:ascii="宋体" w:hAnsi="宋体" w:hint="eastAsia"/>
                <w:b/>
                <w:szCs w:val="21"/>
              </w:rPr>
              <w:t>万家</w:t>
            </w:r>
            <w:r>
              <w:rPr>
                <w:rFonts w:ascii="宋体" w:hAnsi="宋体"/>
                <w:b/>
                <w:szCs w:val="21"/>
              </w:rPr>
              <w:t>基金管理有限公司</w:t>
            </w:r>
          </w:p>
        </w:tc>
        <w:tc>
          <w:tcPr>
            <w:tcW w:w="4261" w:type="dxa"/>
            <w:shd w:val="clear" w:color="auto" w:fill="auto"/>
          </w:tcPr>
          <w:p w14:paraId="6FD54E02" w14:textId="77777777" w:rsidR="005262EB" w:rsidRDefault="008312B3">
            <w:pPr>
              <w:spacing w:line="360" w:lineRule="auto"/>
              <w:ind w:right="26"/>
              <w:rPr>
                <w:rFonts w:ascii="宋体" w:hAnsi="宋体"/>
                <w:b/>
                <w:szCs w:val="21"/>
              </w:rPr>
            </w:pPr>
            <w:r>
              <w:rPr>
                <w:rFonts w:ascii="宋体" w:hAnsi="宋体" w:hint="eastAsia"/>
                <w:b/>
                <w:szCs w:val="21"/>
              </w:rPr>
              <w:t>基金托管人：</w:t>
            </w:r>
          </w:p>
          <w:p w14:paraId="1B91508B" w14:textId="77777777" w:rsidR="005262EB" w:rsidRDefault="008312B3">
            <w:pPr>
              <w:spacing w:line="360" w:lineRule="auto"/>
              <w:ind w:right="26"/>
              <w:rPr>
                <w:rFonts w:ascii="宋体" w:hAnsi="宋体"/>
                <w:szCs w:val="21"/>
              </w:rPr>
            </w:pPr>
            <w:r>
              <w:rPr>
                <w:rFonts w:hint="eastAsia"/>
                <w:b/>
                <w:bCs/>
                <w:szCs w:val="21"/>
              </w:rPr>
              <w:t>苏州银行股份有限公司</w:t>
            </w:r>
          </w:p>
        </w:tc>
      </w:tr>
      <w:tr w:rsidR="005262EB" w14:paraId="6D6FAB48" w14:textId="77777777">
        <w:tc>
          <w:tcPr>
            <w:tcW w:w="4261" w:type="dxa"/>
            <w:shd w:val="clear" w:color="auto" w:fill="auto"/>
          </w:tcPr>
          <w:p w14:paraId="040A712F" w14:textId="77777777" w:rsidR="005262EB" w:rsidRDefault="008312B3">
            <w:pPr>
              <w:spacing w:line="360" w:lineRule="auto"/>
              <w:ind w:right="26"/>
              <w:rPr>
                <w:rFonts w:ascii="宋体" w:hAnsi="宋体"/>
                <w:b/>
                <w:szCs w:val="21"/>
              </w:rPr>
            </w:pPr>
            <w:r>
              <w:rPr>
                <w:rFonts w:ascii="宋体" w:hAnsi="宋体" w:hint="eastAsia"/>
                <w:b/>
                <w:szCs w:val="21"/>
              </w:rPr>
              <w:t>（公章或合同专用章）</w:t>
            </w:r>
          </w:p>
          <w:p w14:paraId="7BA63074" w14:textId="77777777" w:rsidR="005262EB" w:rsidRDefault="005262EB">
            <w:pPr>
              <w:spacing w:line="360" w:lineRule="auto"/>
              <w:ind w:right="26"/>
              <w:rPr>
                <w:rFonts w:ascii="宋体" w:hAnsi="宋体"/>
                <w:szCs w:val="21"/>
              </w:rPr>
            </w:pPr>
          </w:p>
          <w:p w14:paraId="343351D0" w14:textId="77777777" w:rsidR="005262EB" w:rsidRDefault="005262EB">
            <w:pPr>
              <w:spacing w:line="360" w:lineRule="auto"/>
              <w:ind w:right="26"/>
              <w:rPr>
                <w:rFonts w:ascii="宋体" w:hAnsi="宋体"/>
                <w:szCs w:val="21"/>
              </w:rPr>
            </w:pPr>
          </w:p>
        </w:tc>
        <w:tc>
          <w:tcPr>
            <w:tcW w:w="4261" w:type="dxa"/>
            <w:shd w:val="clear" w:color="auto" w:fill="auto"/>
          </w:tcPr>
          <w:p w14:paraId="2FD51E02" w14:textId="77777777" w:rsidR="005262EB" w:rsidRDefault="008312B3">
            <w:pPr>
              <w:spacing w:line="360" w:lineRule="auto"/>
              <w:ind w:right="26"/>
              <w:rPr>
                <w:rFonts w:ascii="宋体" w:hAnsi="宋体"/>
                <w:b/>
                <w:szCs w:val="21"/>
              </w:rPr>
            </w:pPr>
            <w:r>
              <w:rPr>
                <w:rFonts w:ascii="宋体" w:hAnsi="宋体" w:hint="eastAsia"/>
                <w:b/>
                <w:szCs w:val="21"/>
              </w:rPr>
              <w:t>（公章或合同专用章）</w:t>
            </w:r>
          </w:p>
          <w:p w14:paraId="02B1E31B" w14:textId="77777777" w:rsidR="005262EB" w:rsidRDefault="005262EB">
            <w:pPr>
              <w:spacing w:line="360" w:lineRule="auto"/>
              <w:ind w:right="26"/>
              <w:rPr>
                <w:rFonts w:ascii="宋体" w:hAnsi="宋体"/>
                <w:szCs w:val="21"/>
              </w:rPr>
            </w:pPr>
          </w:p>
          <w:p w14:paraId="154CE8BE" w14:textId="77777777" w:rsidR="005262EB" w:rsidRDefault="005262EB">
            <w:pPr>
              <w:spacing w:line="360" w:lineRule="auto"/>
              <w:ind w:right="26"/>
              <w:rPr>
                <w:rFonts w:ascii="宋体" w:hAnsi="宋体"/>
                <w:szCs w:val="21"/>
              </w:rPr>
            </w:pPr>
          </w:p>
        </w:tc>
      </w:tr>
      <w:tr w:rsidR="005262EB" w14:paraId="0B5A81A0" w14:textId="77777777">
        <w:tc>
          <w:tcPr>
            <w:tcW w:w="4261" w:type="dxa"/>
            <w:shd w:val="clear" w:color="auto" w:fill="auto"/>
          </w:tcPr>
          <w:p w14:paraId="57B45A52" w14:textId="77777777" w:rsidR="005262EB" w:rsidRDefault="008312B3">
            <w:pPr>
              <w:spacing w:line="360" w:lineRule="auto"/>
              <w:ind w:right="26"/>
              <w:rPr>
                <w:rFonts w:ascii="宋体" w:hAnsi="宋体"/>
                <w:szCs w:val="21"/>
              </w:rPr>
            </w:pPr>
            <w:r>
              <w:rPr>
                <w:rFonts w:ascii="宋体" w:hAnsi="宋体" w:hint="eastAsia"/>
                <w:b/>
                <w:szCs w:val="21"/>
              </w:rPr>
              <w:t>法定代表人或授权代表：</w:t>
            </w:r>
          </w:p>
        </w:tc>
        <w:tc>
          <w:tcPr>
            <w:tcW w:w="4261" w:type="dxa"/>
            <w:shd w:val="clear" w:color="auto" w:fill="auto"/>
          </w:tcPr>
          <w:p w14:paraId="0706A8AA" w14:textId="77777777" w:rsidR="005262EB" w:rsidRDefault="008312B3">
            <w:pPr>
              <w:spacing w:line="360" w:lineRule="auto"/>
              <w:ind w:right="26"/>
              <w:rPr>
                <w:rFonts w:ascii="宋体" w:hAnsi="宋体"/>
                <w:szCs w:val="21"/>
              </w:rPr>
            </w:pPr>
            <w:r>
              <w:rPr>
                <w:rFonts w:ascii="宋体" w:hAnsi="宋体" w:hint="eastAsia"/>
                <w:b/>
                <w:szCs w:val="21"/>
              </w:rPr>
              <w:t>法定代表人或授权代表：</w:t>
            </w:r>
          </w:p>
        </w:tc>
      </w:tr>
      <w:tr w:rsidR="005262EB" w14:paraId="59B3E535" w14:textId="77777777">
        <w:tc>
          <w:tcPr>
            <w:tcW w:w="4261" w:type="dxa"/>
            <w:shd w:val="clear" w:color="auto" w:fill="auto"/>
          </w:tcPr>
          <w:p w14:paraId="7EA0AE84" w14:textId="77777777" w:rsidR="005262EB" w:rsidRDefault="008312B3">
            <w:pPr>
              <w:spacing w:line="360" w:lineRule="auto"/>
              <w:ind w:right="26"/>
              <w:rPr>
                <w:rFonts w:ascii="宋体" w:hAnsi="宋体"/>
                <w:b/>
                <w:szCs w:val="21"/>
              </w:rPr>
            </w:pPr>
            <w:r>
              <w:rPr>
                <w:rFonts w:ascii="宋体" w:hAnsi="宋体" w:hint="eastAsia"/>
                <w:b/>
                <w:szCs w:val="21"/>
              </w:rPr>
              <w:t>（签字或盖章）</w:t>
            </w:r>
          </w:p>
          <w:p w14:paraId="79143A20" w14:textId="77777777" w:rsidR="005262EB" w:rsidRDefault="005262EB">
            <w:pPr>
              <w:spacing w:line="360" w:lineRule="auto"/>
              <w:ind w:right="26"/>
              <w:rPr>
                <w:rFonts w:ascii="宋体" w:hAnsi="宋体"/>
                <w:szCs w:val="21"/>
              </w:rPr>
            </w:pPr>
          </w:p>
        </w:tc>
        <w:tc>
          <w:tcPr>
            <w:tcW w:w="4261" w:type="dxa"/>
            <w:shd w:val="clear" w:color="auto" w:fill="auto"/>
          </w:tcPr>
          <w:p w14:paraId="2A6C0EBF" w14:textId="77777777" w:rsidR="005262EB" w:rsidRDefault="008312B3">
            <w:pPr>
              <w:spacing w:line="360" w:lineRule="auto"/>
              <w:ind w:right="26"/>
              <w:rPr>
                <w:rFonts w:ascii="宋体" w:hAnsi="宋体"/>
                <w:b/>
                <w:szCs w:val="21"/>
              </w:rPr>
            </w:pPr>
            <w:r>
              <w:rPr>
                <w:rFonts w:ascii="宋体" w:hAnsi="宋体" w:hint="eastAsia"/>
                <w:b/>
                <w:szCs w:val="21"/>
              </w:rPr>
              <w:t>（签字或盖章）</w:t>
            </w:r>
          </w:p>
          <w:p w14:paraId="010043EE" w14:textId="77777777" w:rsidR="005262EB" w:rsidRDefault="005262EB">
            <w:pPr>
              <w:spacing w:line="360" w:lineRule="auto"/>
              <w:ind w:right="26"/>
              <w:rPr>
                <w:rFonts w:ascii="宋体" w:hAnsi="宋体"/>
                <w:szCs w:val="21"/>
              </w:rPr>
            </w:pPr>
          </w:p>
        </w:tc>
      </w:tr>
      <w:tr w:rsidR="005262EB" w14:paraId="5DB42376" w14:textId="77777777">
        <w:tc>
          <w:tcPr>
            <w:tcW w:w="4261" w:type="dxa"/>
            <w:shd w:val="clear" w:color="auto" w:fill="auto"/>
          </w:tcPr>
          <w:p w14:paraId="19B0ADA7" w14:textId="77777777" w:rsidR="005262EB" w:rsidRDefault="005262EB">
            <w:pPr>
              <w:spacing w:line="360" w:lineRule="auto"/>
              <w:ind w:right="26"/>
              <w:rPr>
                <w:rFonts w:ascii="宋体" w:hAnsi="宋体"/>
                <w:szCs w:val="21"/>
              </w:rPr>
            </w:pPr>
          </w:p>
        </w:tc>
        <w:tc>
          <w:tcPr>
            <w:tcW w:w="4261" w:type="dxa"/>
            <w:shd w:val="clear" w:color="auto" w:fill="auto"/>
          </w:tcPr>
          <w:p w14:paraId="43CE3123" w14:textId="77777777" w:rsidR="005262EB" w:rsidRDefault="005262EB">
            <w:pPr>
              <w:spacing w:line="360" w:lineRule="auto"/>
              <w:ind w:right="26"/>
              <w:rPr>
                <w:rFonts w:ascii="宋体" w:hAnsi="宋体"/>
                <w:szCs w:val="21"/>
              </w:rPr>
            </w:pPr>
          </w:p>
        </w:tc>
      </w:tr>
    </w:tbl>
    <w:p w14:paraId="71717B63" w14:textId="77777777" w:rsidR="005262EB" w:rsidRDefault="005262EB">
      <w:pPr>
        <w:spacing w:line="360" w:lineRule="auto"/>
        <w:ind w:right="26"/>
        <w:rPr>
          <w:rFonts w:ascii="宋体" w:hAnsi="宋体"/>
          <w:szCs w:val="21"/>
        </w:rPr>
      </w:pPr>
    </w:p>
    <w:p w14:paraId="73918834" w14:textId="77777777" w:rsidR="005262EB" w:rsidRDefault="005262EB">
      <w:pPr>
        <w:spacing w:line="360" w:lineRule="auto"/>
        <w:ind w:right="26"/>
        <w:rPr>
          <w:rFonts w:ascii="宋体" w:hAnsi="宋体"/>
          <w:szCs w:val="21"/>
        </w:rPr>
      </w:pPr>
    </w:p>
    <w:p w14:paraId="3E90A33D" w14:textId="77777777" w:rsidR="005262EB" w:rsidRDefault="005262EB"/>
    <w:sectPr w:rsidR="005262EB">
      <w:headerReference w:type="default" r:id="rId20"/>
      <w:footerReference w:type="defaul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3198E" w14:textId="77777777" w:rsidR="00504BD8" w:rsidRDefault="00504BD8">
      <w:r>
        <w:separator/>
      </w:r>
    </w:p>
  </w:endnote>
  <w:endnote w:type="continuationSeparator" w:id="0">
    <w:p w14:paraId="2B19331C" w14:textId="77777777" w:rsidR="00504BD8" w:rsidRDefault="00504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30778" w14:textId="77777777" w:rsidR="005262EB" w:rsidRDefault="005262EB">
    <w:pPr>
      <w:pStyle w:val="ab"/>
      <w:jc w:val="center"/>
    </w:pPr>
  </w:p>
  <w:p w14:paraId="7EB5CD95" w14:textId="77777777" w:rsidR="005262EB" w:rsidRDefault="005262EB">
    <w:pPr>
      <w:pStyle w:val="ab"/>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4E7CB" w14:textId="425671D7" w:rsidR="005262EB" w:rsidRDefault="008312B3">
    <w:pPr>
      <w:pStyle w:val="ab"/>
      <w:jc w:val="center"/>
    </w:pPr>
    <w:r>
      <w:fldChar w:fldCharType="begin"/>
    </w:r>
    <w:r>
      <w:instrText>PAGE   \* MERGEFORMAT</w:instrText>
    </w:r>
    <w:r>
      <w:fldChar w:fldCharType="separate"/>
    </w:r>
    <w:r w:rsidR="0069612A" w:rsidRPr="0069612A">
      <w:rPr>
        <w:noProof/>
        <w:lang w:val="zh-CN"/>
      </w:rPr>
      <w:t>3</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D36DC" w14:textId="77777777" w:rsidR="005262EB" w:rsidRDefault="005262EB">
    <w:pPr>
      <w:pStyle w:val="ab"/>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CA049" w14:textId="77777777" w:rsidR="00504BD8" w:rsidRDefault="00504BD8">
      <w:r>
        <w:separator/>
      </w:r>
    </w:p>
  </w:footnote>
  <w:footnote w:type="continuationSeparator" w:id="0">
    <w:p w14:paraId="0A076C6A" w14:textId="77777777" w:rsidR="00504BD8" w:rsidRDefault="00504B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CFBDA" w14:textId="2CB5669B" w:rsidR="005262EB" w:rsidRDefault="008312B3">
    <w:pPr>
      <w:pStyle w:val="ad"/>
      <w:pBdr>
        <w:bottom w:val="single" w:sz="6" w:space="0" w:color="auto"/>
      </w:pBdr>
      <w:ind w:right="720"/>
      <w:jc w:val="right"/>
    </w:pPr>
    <w:r>
      <w:t xml:space="preserve">                      </w:t>
    </w:r>
    <w:r w:rsidR="00E84383">
      <w:rPr>
        <w:rFonts w:hint="eastAsia"/>
      </w:rPr>
      <w:t>托管协议</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8BE71" w14:textId="77777777" w:rsidR="005262EB" w:rsidRDefault="005262E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6538E2"/>
    <w:multiLevelType w:val="multilevel"/>
    <w:tmpl w:val="266538E2"/>
    <w:lvl w:ilvl="0">
      <w:start w:val="1"/>
      <w:numFmt w:val="chineseCountingThousand"/>
      <w:pStyle w:val="1"/>
      <w:lvlText w:val="第%1章  "/>
      <w:lvlJc w:val="left"/>
      <w:pPr>
        <w:tabs>
          <w:tab w:val="left" w:pos="1922"/>
        </w:tabs>
        <w:ind w:left="0" w:firstLine="482"/>
      </w:pPr>
      <w:rPr>
        <w:rFonts w:hint="eastAsia"/>
      </w:rPr>
    </w:lvl>
    <w:lvl w:ilvl="1">
      <w:start w:val="1"/>
      <w:numFmt w:val="chineseCountingThousand"/>
      <w:lvlText w:val="第%2节  "/>
      <w:lvlJc w:val="left"/>
      <w:pPr>
        <w:tabs>
          <w:tab w:val="left" w:pos="1922"/>
        </w:tabs>
        <w:ind w:left="0" w:firstLine="482"/>
      </w:pPr>
      <w:rPr>
        <w:rFonts w:hint="eastAsia"/>
      </w:rPr>
    </w:lvl>
    <w:lvl w:ilvl="2">
      <w:start w:val="1"/>
      <w:numFmt w:val="chineseCountingThousand"/>
      <w:pStyle w:val="3"/>
      <w:suff w:val="nothing"/>
      <w:lvlText w:val="%3、"/>
      <w:lvlJc w:val="left"/>
      <w:pPr>
        <w:ind w:left="0" w:firstLine="482"/>
      </w:pPr>
      <w:rPr>
        <w:rFonts w:ascii="黑体" w:eastAsia="黑体" w:hint="eastAsia"/>
        <w:b/>
        <w:i w:val="0"/>
        <w:sz w:val="24"/>
      </w:rPr>
    </w:lvl>
    <w:lvl w:ilvl="3">
      <w:start w:val="1"/>
      <w:numFmt w:val="chineseCountingThousand"/>
      <w:pStyle w:val="4"/>
      <w:suff w:val="nothing"/>
      <w:lvlText w:val="(%4)"/>
      <w:lvlJc w:val="left"/>
      <w:pPr>
        <w:ind w:left="0" w:firstLine="482"/>
      </w:pPr>
      <w:rPr>
        <w:rFonts w:ascii="仿宋_GB2312" w:eastAsia="仿宋_GB2312" w:hint="eastAsia"/>
        <w:b w:val="0"/>
        <w:i w:val="0"/>
        <w:sz w:val="24"/>
      </w:rPr>
    </w:lvl>
    <w:lvl w:ilvl="4">
      <w:start w:val="1"/>
      <w:numFmt w:val="decimal"/>
      <w:pStyle w:val="5"/>
      <w:suff w:val="nothing"/>
      <w:lvlText w:val="%5."/>
      <w:lvlJc w:val="left"/>
      <w:pPr>
        <w:ind w:left="0" w:firstLine="527"/>
      </w:pPr>
      <w:rPr>
        <w:rFonts w:ascii="仿宋_GB2312" w:eastAsia="仿宋_GB2312" w:hint="eastAsia"/>
        <w:b w:val="0"/>
        <w:i w:val="0"/>
        <w:sz w:val="24"/>
      </w:rPr>
    </w:lvl>
    <w:lvl w:ilvl="5">
      <w:start w:val="1"/>
      <w:numFmt w:val="decimal"/>
      <w:pStyle w:val="6"/>
      <w:suff w:val="nothing"/>
      <w:lvlText w:val="(%6)"/>
      <w:lvlJc w:val="left"/>
      <w:pPr>
        <w:ind w:left="0" w:firstLine="482"/>
      </w:pPr>
      <w:rPr>
        <w:rFonts w:ascii="仿宋_GB2312" w:eastAsia="仿宋_GB2312" w:hint="eastAsia"/>
        <w:b w:val="0"/>
        <w:i w:val="0"/>
        <w:sz w:val="24"/>
      </w:rPr>
    </w:lvl>
    <w:lvl w:ilvl="6">
      <w:start w:val="1"/>
      <w:numFmt w:val="bullet"/>
      <w:pStyle w:val="7"/>
      <w:lvlText w:val="①"/>
      <w:lvlJc w:val="left"/>
      <w:pPr>
        <w:tabs>
          <w:tab w:val="left" w:pos="2835"/>
        </w:tabs>
        <w:ind w:left="2835" w:hanging="426"/>
      </w:pPr>
      <w:rPr>
        <w:rFonts w:ascii="宋体" w:eastAsia="宋体" w:hint="eastAsia"/>
      </w:rPr>
    </w:lvl>
    <w:lvl w:ilvl="7">
      <w:start w:val="1"/>
      <w:numFmt w:val="lowerLetter"/>
      <w:lvlText w:val="%8."/>
      <w:lvlJc w:val="left"/>
      <w:pPr>
        <w:tabs>
          <w:tab w:val="left" w:pos="3260"/>
        </w:tabs>
        <w:ind w:left="3260" w:hanging="425"/>
      </w:pPr>
      <w:rPr>
        <w:rFonts w:hint="eastAsia"/>
      </w:rPr>
    </w:lvl>
    <w:lvl w:ilvl="8">
      <w:start w:val="1"/>
      <w:numFmt w:val="lowerRoman"/>
      <w:lvlText w:val="%9."/>
      <w:lvlJc w:val="left"/>
      <w:pPr>
        <w:tabs>
          <w:tab w:val="left" w:pos="3685"/>
        </w:tabs>
        <w:ind w:left="3685"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5MzY1ZjdhMzczNWIwYzRkMTU3NzNiNjI5YWQwMWMifQ=="/>
  </w:docVars>
  <w:rsids>
    <w:rsidRoot w:val="003A2B06"/>
    <w:rsid w:val="0000433F"/>
    <w:rsid w:val="000115B9"/>
    <w:rsid w:val="00014998"/>
    <w:rsid w:val="00023C74"/>
    <w:rsid w:val="000246AC"/>
    <w:rsid w:val="00032BA7"/>
    <w:rsid w:val="00045016"/>
    <w:rsid w:val="00050C79"/>
    <w:rsid w:val="00053197"/>
    <w:rsid w:val="0006509E"/>
    <w:rsid w:val="00070C46"/>
    <w:rsid w:val="00071CD6"/>
    <w:rsid w:val="00080622"/>
    <w:rsid w:val="00096375"/>
    <w:rsid w:val="000A6F20"/>
    <w:rsid w:val="000B23CC"/>
    <w:rsid w:val="000D29E9"/>
    <w:rsid w:val="000E7AE1"/>
    <w:rsid w:val="000F1EB1"/>
    <w:rsid w:val="000F1F82"/>
    <w:rsid w:val="000F581B"/>
    <w:rsid w:val="001142CF"/>
    <w:rsid w:val="00123617"/>
    <w:rsid w:val="001244AC"/>
    <w:rsid w:val="001336A6"/>
    <w:rsid w:val="00136DD3"/>
    <w:rsid w:val="00137B75"/>
    <w:rsid w:val="001414B7"/>
    <w:rsid w:val="001539F0"/>
    <w:rsid w:val="00162C4A"/>
    <w:rsid w:val="0016302A"/>
    <w:rsid w:val="00170D13"/>
    <w:rsid w:val="001765AC"/>
    <w:rsid w:val="00177C69"/>
    <w:rsid w:val="001820EB"/>
    <w:rsid w:val="00184267"/>
    <w:rsid w:val="001877C3"/>
    <w:rsid w:val="00190962"/>
    <w:rsid w:val="001A1969"/>
    <w:rsid w:val="001A60A9"/>
    <w:rsid w:val="001C483E"/>
    <w:rsid w:val="001C5433"/>
    <w:rsid w:val="001D08FB"/>
    <w:rsid w:val="001D0DAB"/>
    <w:rsid w:val="001D3F68"/>
    <w:rsid w:val="001E5C97"/>
    <w:rsid w:val="001F1CE7"/>
    <w:rsid w:val="001F5830"/>
    <w:rsid w:val="00202540"/>
    <w:rsid w:val="00203F42"/>
    <w:rsid w:val="00207A5A"/>
    <w:rsid w:val="002127C0"/>
    <w:rsid w:val="00215424"/>
    <w:rsid w:val="0021752F"/>
    <w:rsid w:val="002217F6"/>
    <w:rsid w:val="00221B2B"/>
    <w:rsid w:val="002462E1"/>
    <w:rsid w:val="00253D75"/>
    <w:rsid w:val="002571C9"/>
    <w:rsid w:val="002579BA"/>
    <w:rsid w:val="002618B2"/>
    <w:rsid w:val="002653F6"/>
    <w:rsid w:val="002674A1"/>
    <w:rsid w:val="002755B8"/>
    <w:rsid w:val="00276C95"/>
    <w:rsid w:val="00283DF3"/>
    <w:rsid w:val="00292979"/>
    <w:rsid w:val="00293A8C"/>
    <w:rsid w:val="00296AF1"/>
    <w:rsid w:val="002B41A6"/>
    <w:rsid w:val="002C1EAB"/>
    <w:rsid w:val="002C7C71"/>
    <w:rsid w:val="002E3498"/>
    <w:rsid w:val="002E6D62"/>
    <w:rsid w:val="002F2FB4"/>
    <w:rsid w:val="002F42EB"/>
    <w:rsid w:val="002F648B"/>
    <w:rsid w:val="00305460"/>
    <w:rsid w:val="00311165"/>
    <w:rsid w:val="00315ECD"/>
    <w:rsid w:val="00322086"/>
    <w:rsid w:val="00327DA9"/>
    <w:rsid w:val="00346D25"/>
    <w:rsid w:val="003706C7"/>
    <w:rsid w:val="0037530A"/>
    <w:rsid w:val="00382975"/>
    <w:rsid w:val="00383D7B"/>
    <w:rsid w:val="003902A2"/>
    <w:rsid w:val="003A1509"/>
    <w:rsid w:val="003A2B06"/>
    <w:rsid w:val="003B6C0A"/>
    <w:rsid w:val="003B7EFD"/>
    <w:rsid w:val="003C3043"/>
    <w:rsid w:val="003C6A2C"/>
    <w:rsid w:val="003C79A0"/>
    <w:rsid w:val="003D50F9"/>
    <w:rsid w:val="003E1C92"/>
    <w:rsid w:val="003E2D2D"/>
    <w:rsid w:val="003E7C35"/>
    <w:rsid w:val="00404C4E"/>
    <w:rsid w:val="00411554"/>
    <w:rsid w:val="00420BF2"/>
    <w:rsid w:val="004222B9"/>
    <w:rsid w:val="004257B0"/>
    <w:rsid w:val="00430088"/>
    <w:rsid w:val="004315E0"/>
    <w:rsid w:val="00492648"/>
    <w:rsid w:val="004B55F9"/>
    <w:rsid w:val="004C3AF6"/>
    <w:rsid w:val="004C5AC8"/>
    <w:rsid w:val="004C6204"/>
    <w:rsid w:val="004D6E5D"/>
    <w:rsid w:val="004E4CB4"/>
    <w:rsid w:val="004F25BD"/>
    <w:rsid w:val="004F5CDF"/>
    <w:rsid w:val="00500FCD"/>
    <w:rsid w:val="00504BD8"/>
    <w:rsid w:val="005111D9"/>
    <w:rsid w:val="005134AB"/>
    <w:rsid w:val="00514009"/>
    <w:rsid w:val="00526218"/>
    <w:rsid w:val="005262EB"/>
    <w:rsid w:val="0053109A"/>
    <w:rsid w:val="00541FE8"/>
    <w:rsid w:val="00542EBE"/>
    <w:rsid w:val="00544A0E"/>
    <w:rsid w:val="00550C97"/>
    <w:rsid w:val="0056355B"/>
    <w:rsid w:val="00573124"/>
    <w:rsid w:val="005766FA"/>
    <w:rsid w:val="00577378"/>
    <w:rsid w:val="0058322F"/>
    <w:rsid w:val="00587F80"/>
    <w:rsid w:val="005A24B0"/>
    <w:rsid w:val="005A4382"/>
    <w:rsid w:val="005B5D51"/>
    <w:rsid w:val="005C08E5"/>
    <w:rsid w:val="005C20ED"/>
    <w:rsid w:val="005C22FE"/>
    <w:rsid w:val="005D4B72"/>
    <w:rsid w:val="005E0FA7"/>
    <w:rsid w:val="005E1D48"/>
    <w:rsid w:val="00604DA6"/>
    <w:rsid w:val="00606BC5"/>
    <w:rsid w:val="00606F78"/>
    <w:rsid w:val="006141EA"/>
    <w:rsid w:val="00616938"/>
    <w:rsid w:val="006208B9"/>
    <w:rsid w:val="00620F6F"/>
    <w:rsid w:val="0062434E"/>
    <w:rsid w:val="00624ACC"/>
    <w:rsid w:val="0062565D"/>
    <w:rsid w:val="00632389"/>
    <w:rsid w:val="00641021"/>
    <w:rsid w:val="006415BD"/>
    <w:rsid w:val="006442DD"/>
    <w:rsid w:val="00646EA1"/>
    <w:rsid w:val="00655268"/>
    <w:rsid w:val="00660993"/>
    <w:rsid w:val="006835B2"/>
    <w:rsid w:val="00687BA3"/>
    <w:rsid w:val="0069592C"/>
    <w:rsid w:val="0069612A"/>
    <w:rsid w:val="00696A47"/>
    <w:rsid w:val="006B1820"/>
    <w:rsid w:val="006D2C42"/>
    <w:rsid w:val="006D5511"/>
    <w:rsid w:val="006F42CC"/>
    <w:rsid w:val="006F7FAF"/>
    <w:rsid w:val="007005FB"/>
    <w:rsid w:val="007034DC"/>
    <w:rsid w:val="0070524E"/>
    <w:rsid w:val="00726C5C"/>
    <w:rsid w:val="00746D1B"/>
    <w:rsid w:val="00754C24"/>
    <w:rsid w:val="0076060B"/>
    <w:rsid w:val="00762441"/>
    <w:rsid w:val="0077255F"/>
    <w:rsid w:val="00775D65"/>
    <w:rsid w:val="007769C6"/>
    <w:rsid w:val="0078013D"/>
    <w:rsid w:val="00780E43"/>
    <w:rsid w:val="00783598"/>
    <w:rsid w:val="007A49E2"/>
    <w:rsid w:val="007D279E"/>
    <w:rsid w:val="007D5F9E"/>
    <w:rsid w:val="007D6785"/>
    <w:rsid w:val="007D6F67"/>
    <w:rsid w:val="007E2305"/>
    <w:rsid w:val="007E4DF4"/>
    <w:rsid w:val="007F0A93"/>
    <w:rsid w:val="007F76B7"/>
    <w:rsid w:val="008050F2"/>
    <w:rsid w:val="0081300A"/>
    <w:rsid w:val="008165E6"/>
    <w:rsid w:val="00826455"/>
    <w:rsid w:val="0082736C"/>
    <w:rsid w:val="008312B3"/>
    <w:rsid w:val="00836413"/>
    <w:rsid w:val="00836D95"/>
    <w:rsid w:val="008434C1"/>
    <w:rsid w:val="00844319"/>
    <w:rsid w:val="008450D5"/>
    <w:rsid w:val="00855F35"/>
    <w:rsid w:val="00857893"/>
    <w:rsid w:val="0087186C"/>
    <w:rsid w:val="00882EB9"/>
    <w:rsid w:val="008923C7"/>
    <w:rsid w:val="00896D7C"/>
    <w:rsid w:val="008A0CDF"/>
    <w:rsid w:val="008A1DE5"/>
    <w:rsid w:val="008C1C0E"/>
    <w:rsid w:val="008C6B61"/>
    <w:rsid w:val="008C7629"/>
    <w:rsid w:val="008D116C"/>
    <w:rsid w:val="008D4C0E"/>
    <w:rsid w:val="008D5899"/>
    <w:rsid w:val="008E5DC6"/>
    <w:rsid w:val="008F0CBE"/>
    <w:rsid w:val="008F6629"/>
    <w:rsid w:val="00913508"/>
    <w:rsid w:val="009149A1"/>
    <w:rsid w:val="00917E55"/>
    <w:rsid w:val="00930106"/>
    <w:rsid w:val="0093228F"/>
    <w:rsid w:val="009342DB"/>
    <w:rsid w:val="00957131"/>
    <w:rsid w:val="009656CC"/>
    <w:rsid w:val="00966CAB"/>
    <w:rsid w:val="00973437"/>
    <w:rsid w:val="00977A77"/>
    <w:rsid w:val="00980631"/>
    <w:rsid w:val="009910C6"/>
    <w:rsid w:val="00991109"/>
    <w:rsid w:val="0099659A"/>
    <w:rsid w:val="009B5380"/>
    <w:rsid w:val="009B60E9"/>
    <w:rsid w:val="009C08CC"/>
    <w:rsid w:val="009D2D46"/>
    <w:rsid w:val="009D7424"/>
    <w:rsid w:val="00A040BD"/>
    <w:rsid w:val="00A04D17"/>
    <w:rsid w:val="00A16100"/>
    <w:rsid w:val="00A16F02"/>
    <w:rsid w:val="00A16FEA"/>
    <w:rsid w:val="00A177F1"/>
    <w:rsid w:val="00A257B6"/>
    <w:rsid w:val="00A265EC"/>
    <w:rsid w:val="00A26664"/>
    <w:rsid w:val="00A436B5"/>
    <w:rsid w:val="00A53663"/>
    <w:rsid w:val="00A54F1E"/>
    <w:rsid w:val="00A72A03"/>
    <w:rsid w:val="00A87497"/>
    <w:rsid w:val="00A90925"/>
    <w:rsid w:val="00A916A3"/>
    <w:rsid w:val="00A922F4"/>
    <w:rsid w:val="00A969E2"/>
    <w:rsid w:val="00AA13D2"/>
    <w:rsid w:val="00AA7CC3"/>
    <w:rsid w:val="00AB2BF1"/>
    <w:rsid w:val="00AC0EC4"/>
    <w:rsid w:val="00AC5D35"/>
    <w:rsid w:val="00AD39FB"/>
    <w:rsid w:val="00AD5AAA"/>
    <w:rsid w:val="00AE3758"/>
    <w:rsid w:val="00AF0811"/>
    <w:rsid w:val="00AF5BE0"/>
    <w:rsid w:val="00AF6069"/>
    <w:rsid w:val="00B01436"/>
    <w:rsid w:val="00B05A74"/>
    <w:rsid w:val="00B069C9"/>
    <w:rsid w:val="00B16C4A"/>
    <w:rsid w:val="00B20D91"/>
    <w:rsid w:val="00B214D9"/>
    <w:rsid w:val="00B3245D"/>
    <w:rsid w:val="00B32939"/>
    <w:rsid w:val="00B44094"/>
    <w:rsid w:val="00B639D3"/>
    <w:rsid w:val="00B935B0"/>
    <w:rsid w:val="00B972AD"/>
    <w:rsid w:val="00BA076E"/>
    <w:rsid w:val="00BA32CC"/>
    <w:rsid w:val="00BB171D"/>
    <w:rsid w:val="00BB3CC1"/>
    <w:rsid w:val="00BC0A0A"/>
    <w:rsid w:val="00BD0108"/>
    <w:rsid w:val="00BD1528"/>
    <w:rsid w:val="00BD2902"/>
    <w:rsid w:val="00BD7254"/>
    <w:rsid w:val="00C023F6"/>
    <w:rsid w:val="00C067F9"/>
    <w:rsid w:val="00C06D2E"/>
    <w:rsid w:val="00C22A3F"/>
    <w:rsid w:val="00C23363"/>
    <w:rsid w:val="00C253C3"/>
    <w:rsid w:val="00C25BDD"/>
    <w:rsid w:val="00C30D19"/>
    <w:rsid w:val="00C41C25"/>
    <w:rsid w:val="00C4305C"/>
    <w:rsid w:val="00C45A10"/>
    <w:rsid w:val="00C61153"/>
    <w:rsid w:val="00C61BA6"/>
    <w:rsid w:val="00C62ACD"/>
    <w:rsid w:val="00C65693"/>
    <w:rsid w:val="00C66FF3"/>
    <w:rsid w:val="00C70DAB"/>
    <w:rsid w:val="00C72CA6"/>
    <w:rsid w:val="00C820A3"/>
    <w:rsid w:val="00C8335D"/>
    <w:rsid w:val="00C838D1"/>
    <w:rsid w:val="00C84979"/>
    <w:rsid w:val="00C95FA2"/>
    <w:rsid w:val="00CB3F9F"/>
    <w:rsid w:val="00CB7F5F"/>
    <w:rsid w:val="00CE7E31"/>
    <w:rsid w:val="00CF3356"/>
    <w:rsid w:val="00CF6712"/>
    <w:rsid w:val="00D05079"/>
    <w:rsid w:val="00D2332F"/>
    <w:rsid w:val="00D30E3A"/>
    <w:rsid w:val="00D32C3A"/>
    <w:rsid w:val="00D3667B"/>
    <w:rsid w:val="00D46BD4"/>
    <w:rsid w:val="00D5332D"/>
    <w:rsid w:val="00D5351B"/>
    <w:rsid w:val="00D55A2D"/>
    <w:rsid w:val="00D56099"/>
    <w:rsid w:val="00D57194"/>
    <w:rsid w:val="00D606A2"/>
    <w:rsid w:val="00D70346"/>
    <w:rsid w:val="00D85EAE"/>
    <w:rsid w:val="00D8649A"/>
    <w:rsid w:val="00DA08FD"/>
    <w:rsid w:val="00DD4D55"/>
    <w:rsid w:val="00DE2F85"/>
    <w:rsid w:val="00DF2D73"/>
    <w:rsid w:val="00E0707B"/>
    <w:rsid w:val="00E110A4"/>
    <w:rsid w:val="00E13468"/>
    <w:rsid w:val="00E205B3"/>
    <w:rsid w:val="00E3001C"/>
    <w:rsid w:val="00E324C3"/>
    <w:rsid w:val="00E33B94"/>
    <w:rsid w:val="00E34CD7"/>
    <w:rsid w:val="00E4253F"/>
    <w:rsid w:val="00E44CB0"/>
    <w:rsid w:val="00E47959"/>
    <w:rsid w:val="00E5321C"/>
    <w:rsid w:val="00E60394"/>
    <w:rsid w:val="00E64669"/>
    <w:rsid w:val="00E65EC9"/>
    <w:rsid w:val="00E710CD"/>
    <w:rsid w:val="00E734D0"/>
    <w:rsid w:val="00E76287"/>
    <w:rsid w:val="00E84383"/>
    <w:rsid w:val="00E851A7"/>
    <w:rsid w:val="00E86DC0"/>
    <w:rsid w:val="00E87AC2"/>
    <w:rsid w:val="00EA2610"/>
    <w:rsid w:val="00EA7683"/>
    <w:rsid w:val="00EB1A02"/>
    <w:rsid w:val="00ED1A9F"/>
    <w:rsid w:val="00ED47D6"/>
    <w:rsid w:val="00EF244B"/>
    <w:rsid w:val="00EF282C"/>
    <w:rsid w:val="00EF3D27"/>
    <w:rsid w:val="00F06B44"/>
    <w:rsid w:val="00F12D7B"/>
    <w:rsid w:val="00F17853"/>
    <w:rsid w:val="00F2603E"/>
    <w:rsid w:val="00F527EC"/>
    <w:rsid w:val="00F6137D"/>
    <w:rsid w:val="00F64FE6"/>
    <w:rsid w:val="00F66F22"/>
    <w:rsid w:val="00F944A9"/>
    <w:rsid w:val="00FA5B52"/>
    <w:rsid w:val="00FA77A2"/>
    <w:rsid w:val="00FC0797"/>
    <w:rsid w:val="00FC5E79"/>
    <w:rsid w:val="00FE3104"/>
    <w:rsid w:val="00FF4C78"/>
    <w:rsid w:val="10D31E43"/>
    <w:rsid w:val="1D7C2114"/>
    <w:rsid w:val="1FF75D91"/>
    <w:rsid w:val="21F169D8"/>
    <w:rsid w:val="48971171"/>
    <w:rsid w:val="55F47B12"/>
    <w:rsid w:val="5D473B25"/>
    <w:rsid w:val="5F526DE5"/>
    <w:rsid w:val="63DA21D9"/>
    <w:rsid w:val="7BDE0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C5F404"/>
  <w15:docId w15:val="{14E8CF7C-BC07-4EAA-B859-9536C2FEE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numPr>
        <w:numId w:val="1"/>
      </w:numPr>
      <w:spacing w:before="120" w:after="120" w:line="360" w:lineRule="auto"/>
      <w:jc w:val="center"/>
      <w:outlineLvl w:val="0"/>
    </w:pPr>
    <w:rPr>
      <w:rFonts w:ascii="黑体" w:eastAsia="黑体"/>
      <w:b/>
      <w:kern w:val="44"/>
      <w:sz w:val="32"/>
      <w:szCs w:val="20"/>
      <w:lang w:val="zh-CN"/>
    </w:rPr>
  </w:style>
  <w:style w:type="paragraph" w:styleId="2">
    <w:name w:val="heading 2"/>
    <w:basedOn w:val="a"/>
    <w:next w:val="a"/>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pPr>
      <w:numPr>
        <w:ilvl w:val="2"/>
        <w:numId w:val="1"/>
      </w:numPr>
      <w:spacing w:before="240" w:after="240" w:line="360" w:lineRule="auto"/>
      <w:jc w:val="center"/>
      <w:outlineLvl w:val="2"/>
    </w:pPr>
    <w:rPr>
      <w:rFonts w:ascii="Arial" w:eastAsia="仿宋_GB2312" w:hAnsi="Arial"/>
      <w:b/>
      <w:sz w:val="24"/>
      <w:szCs w:val="20"/>
      <w:lang w:val="zh-CN"/>
    </w:rPr>
  </w:style>
  <w:style w:type="paragraph" w:styleId="4">
    <w:name w:val="heading 4"/>
    <w:basedOn w:val="a"/>
    <w:next w:val="a"/>
    <w:link w:val="40"/>
    <w:qFormat/>
    <w:pPr>
      <w:keepNext/>
      <w:keepLines/>
      <w:numPr>
        <w:ilvl w:val="3"/>
        <w:numId w:val="1"/>
      </w:numPr>
      <w:spacing w:line="360" w:lineRule="auto"/>
      <w:outlineLvl w:val="3"/>
    </w:pPr>
    <w:rPr>
      <w:rFonts w:ascii="Arial" w:eastAsia="仿宋_GB2312" w:hAnsi="Arial"/>
      <w:sz w:val="24"/>
      <w:szCs w:val="20"/>
      <w:lang w:val="zh-CN"/>
    </w:rPr>
  </w:style>
  <w:style w:type="paragraph" w:styleId="5">
    <w:name w:val="heading 5"/>
    <w:basedOn w:val="a"/>
    <w:next w:val="a"/>
    <w:link w:val="50"/>
    <w:qFormat/>
    <w:pPr>
      <w:numPr>
        <w:ilvl w:val="4"/>
        <w:numId w:val="1"/>
      </w:numPr>
      <w:spacing w:line="360" w:lineRule="auto"/>
      <w:outlineLvl w:val="4"/>
    </w:pPr>
    <w:rPr>
      <w:rFonts w:ascii="Arial" w:eastAsia="仿宋_GB2312" w:hAnsi="Arial"/>
      <w:sz w:val="24"/>
      <w:szCs w:val="20"/>
      <w:lang w:val="zh-CN"/>
    </w:rPr>
  </w:style>
  <w:style w:type="paragraph" w:styleId="6">
    <w:name w:val="heading 6"/>
    <w:basedOn w:val="a"/>
    <w:next w:val="a"/>
    <w:link w:val="60"/>
    <w:qFormat/>
    <w:pPr>
      <w:numPr>
        <w:ilvl w:val="5"/>
        <w:numId w:val="1"/>
      </w:numPr>
      <w:spacing w:line="300" w:lineRule="auto"/>
      <w:outlineLvl w:val="5"/>
    </w:pPr>
    <w:rPr>
      <w:rFonts w:ascii="Arial" w:eastAsia="仿宋_GB2312" w:hAnsi="Arial"/>
      <w:sz w:val="24"/>
      <w:szCs w:val="20"/>
      <w:lang w:val="zh-CN"/>
    </w:rPr>
  </w:style>
  <w:style w:type="paragraph" w:styleId="7">
    <w:name w:val="heading 7"/>
    <w:basedOn w:val="a"/>
    <w:next w:val="a0"/>
    <w:link w:val="70"/>
    <w:qFormat/>
    <w:pPr>
      <w:keepNext/>
      <w:keepLines/>
      <w:numPr>
        <w:ilvl w:val="6"/>
        <w:numId w:val="1"/>
      </w:numPr>
      <w:spacing w:line="360" w:lineRule="auto"/>
      <w:outlineLvl w:val="6"/>
    </w:pPr>
    <w:rPr>
      <w:rFonts w:ascii="仿宋_GB2312" w:eastAsia="仿宋_GB2312"/>
      <w:sz w:val="24"/>
      <w:szCs w:val="20"/>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uiPriority w:val="99"/>
    <w:qFormat/>
    <w:pPr>
      <w:ind w:firstLineChars="200" w:firstLine="420"/>
    </w:pPr>
    <w:rPr>
      <w:rFonts w:ascii="Calibri" w:hAnsi="Calibri"/>
    </w:rPr>
  </w:style>
  <w:style w:type="paragraph" w:styleId="a5">
    <w:name w:val="annotation text"/>
    <w:basedOn w:val="a"/>
    <w:link w:val="a6"/>
    <w:uiPriority w:val="99"/>
    <w:unhideWhenUsed/>
    <w:qFormat/>
    <w:pPr>
      <w:jc w:val="left"/>
    </w:pPr>
  </w:style>
  <w:style w:type="paragraph" w:styleId="a7">
    <w:name w:val="Body Text Indent"/>
    <w:basedOn w:val="a"/>
    <w:link w:val="a8"/>
    <w:qFormat/>
    <w:pPr>
      <w:spacing w:line="360" w:lineRule="auto"/>
      <w:ind w:firstLineChars="171" w:firstLine="359"/>
    </w:pPr>
    <w:rPr>
      <w:lang w:val="zh-CN"/>
    </w:rPr>
  </w:style>
  <w:style w:type="paragraph" w:styleId="21">
    <w:name w:val="Body Text Indent 2"/>
    <w:basedOn w:val="a"/>
    <w:link w:val="22"/>
    <w:qFormat/>
    <w:pPr>
      <w:spacing w:line="360" w:lineRule="auto"/>
      <w:ind w:firstLine="480"/>
      <w:outlineLvl w:val="0"/>
    </w:pPr>
    <w:rPr>
      <w:rFonts w:ascii="仿宋_GB2312" w:eastAsia="仿宋_GB2312" w:hAnsi="Calibri"/>
      <w:sz w:val="24"/>
      <w:szCs w:val="20"/>
    </w:r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style>
  <w:style w:type="paragraph" w:styleId="23">
    <w:name w:val="toc 2"/>
    <w:basedOn w:val="a"/>
    <w:next w:val="a"/>
    <w:uiPriority w:val="39"/>
    <w:unhideWhenUsed/>
    <w:qFormat/>
    <w:pPr>
      <w:ind w:leftChars="200" w:left="420"/>
    </w:pPr>
  </w:style>
  <w:style w:type="paragraph" w:styleId="af">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f0">
    <w:name w:val="annotation subject"/>
    <w:basedOn w:val="a5"/>
    <w:next w:val="a5"/>
    <w:link w:val="af1"/>
    <w:uiPriority w:val="99"/>
    <w:semiHidden/>
    <w:unhideWhenUsed/>
    <w:qFormat/>
    <w:rPr>
      <w:b/>
      <w:bCs/>
    </w:rPr>
  </w:style>
  <w:style w:type="character" w:styleId="af2">
    <w:name w:val="Hyperlink"/>
    <w:uiPriority w:val="99"/>
    <w:qFormat/>
    <w:rPr>
      <w:color w:val="0000FF"/>
      <w:u w:val="single"/>
    </w:rPr>
  </w:style>
  <w:style w:type="character" w:styleId="af3">
    <w:name w:val="annotation reference"/>
    <w:basedOn w:val="a1"/>
    <w:uiPriority w:val="99"/>
    <w:semiHidden/>
    <w:unhideWhenUsed/>
    <w:qFormat/>
    <w:rPr>
      <w:sz w:val="21"/>
      <w:szCs w:val="21"/>
    </w:rPr>
  </w:style>
  <w:style w:type="character" w:customStyle="1" w:styleId="ae">
    <w:name w:val="页眉 字符"/>
    <w:basedOn w:val="a1"/>
    <w:link w:val="ad"/>
    <w:uiPriority w:val="99"/>
    <w:qFormat/>
    <w:rPr>
      <w:sz w:val="18"/>
      <w:szCs w:val="18"/>
    </w:rPr>
  </w:style>
  <w:style w:type="character" w:customStyle="1" w:styleId="ac">
    <w:name w:val="页脚 字符"/>
    <w:basedOn w:val="a1"/>
    <w:link w:val="ab"/>
    <w:uiPriority w:val="99"/>
    <w:qFormat/>
    <w:rPr>
      <w:sz w:val="18"/>
      <w:szCs w:val="18"/>
    </w:rPr>
  </w:style>
  <w:style w:type="character" w:customStyle="1" w:styleId="10">
    <w:name w:val="标题 1 字符"/>
    <w:basedOn w:val="a1"/>
    <w:link w:val="1"/>
    <w:qFormat/>
    <w:rPr>
      <w:rFonts w:ascii="黑体" w:eastAsia="黑体" w:hAnsi="Times New Roman" w:cs="Times New Roman"/>
      <w:b/>
      <w:kern w:val="44"/>
      <w:sz w:val="32"/>
      <w:szCs w:val="20"/>
      <w:lang w:val="zh-CN" w:eastAsia="zh-CN"/>
    </w:rPr>
  </w:style>
  <w:style w:type="character" w:customStyle="1" w:styleId="20">
    <w:name w:val="标题 2 字符"/>
    <w:basedOn w:val="a1"/>
    <w:link w:val="2"/>
    <w:qFormat/>
    <w:rPr>
      <w:rFonts w:ascii="Arial" w:eastAsia="黑体" w:hAnsi="Arial" w:cs="Times New Roman"/>
      <w:b/>
      <w:bCs/>
      <w:sz w:val="32"/>
      <w:szCs w:val="32"/>
    </w:rPr>
  </w:style>
  <w:style w:type="character" w:customStyle="1" w:styleId="30">
    <w:name w:val="标题 3 字符"/>
    <w:basedOn w:val="a1"/>
    <w:link w:val="3"/>
    <w:qFormat/>
    <w:rPr>
      <w:rFonts w:ascii="Arial" w:eastAsia="仿宋_GB2312" w:hAnsi="Arial" w:cs="Times New Roman"/>
      <w:b/>
      <w:sz w:val="24"/>
      <w:szCs w:val="20"/>
      <w:lang w:val="zh-CN" w:eastAsia="zh-CN"/>
    </w:rPr>
  </w:style>
  <w:style w:type="character" w:customStyle="1" w:styleId="40">
    <w:name w:val="标题 4 字符"/>
    <w:basedOn w:val="a1"/>
    <w:link w:val="4"/>
    <w:qFormat/>
    <w:rPr>
      <w:rFonts w:ascii="Arial" w:eastAsia="仿宋_GB2312" w:hAnsi="Arial" w:cs="Times New Roman"/>
      <w:sz w:val="24"/>
      <w:szCs w:val="20"/>
      <w:lang w:val="zh-CN" w:eastAsia="zh-CN"/>
    </w:rPr>
  </w:style>
  <w:style w:type="character" w:customStyle="1" w:styleId="50">
    <w:name w:val="标题 5 字符"/>
    <w:basedOn w:val="a1"/>
    <w:link w:val="5"/>
    <w:qFormat/>
    <w:rPr>
      <w:rFonts w:ascii="Arial" w:eastAsia="仿宋_GB2312" w:hAnsi="Arial" w:cs="Times New Roman"/>
      <w:sz w:val="24"/>
      <w:szCs w:val="20"/>
      <w:lang w:val="zh-CN" w:eastAsia="zh-CN"/>
    </w:rPr>
  </w:style>
  <w:style w:type="character" w:customStyle="1" w:styleId="60">
    <w:name w:val="标题 6 字符"/>
    <w:basedOn w:val="a1"/>
    <w:link w:val="6"/>
    <w:qFormat/>
    <w:rPr>
      <w:rFonts w:ascii="Arial" w:eastAsia="仿宋_GB2312" w:hAnsi="Arial" w:cs="Times New Roman"/>
      <w:sz w:val="24"/>
      <w:szCs w:val="20"/>
      <w:lang w:val="zh-CN" w:eastAsia="zh-CN"/>
    </w:rPr>
  </w:style>
  <w:style w:type="character" w:customStyle="1" w:styleId="70">
    <w:name w:val="标题 7 字符"/>
    <w:basedOn w:val="a1"/>
    <w:link w:val="7"/>
    <w:qFormat/>
    <w:rPr>
      <w:rFonts w:ascii="仿宋_GB2312" w:eastAsia="仿宋_GB2312" w:hAnsi="Times New Roman" w:cs="Times New Roman"/>
      <w:sz w:val="24"/>
      <w:szCs w:val="20"/>
      <w:lang w:val="zh-CN" w:eastAsia="zh-CN"/>
    </w:rPr>
  </w:style>
  <w:style w:type="character" w:customStyle="1" w:styleId="22">
    <w:name w:val="正文文本缩进 2 字符"/>
    <w:basedOn w:val="a1"/>
    <w:link w:val="21"/>
    <w:qFormat/>
    <w:rPr>
      <w:rFonts w:ascii="仿宋_GB2312" w:eastAsia="仿宋_GB2312" w:hAnsi="Calibri" w:cs="Times New Roman"/>
      <w:sz w:val="24"/>
      <w:szCs w:val="20"/>
    </w:rPr>
  </w:style>
  <w:style w:type="character" w:customStyle="1" w:styleId="a8">
    <w:name w:val="正文文本缩进 字符"/>
    <w:basedOn w:val="a1"/>
    <w:link w:val="a7"/>
    <w:qFormat/>
    <w:rPr>
      <w:rFonts w:ascii="Times New Roman" w:eastAsia="宋体" w:hAnsi="Times New Roman" w:cs="Times New Roman"/>
      <w:szCs w:val="24"/>
      <w:lang w:val="zh-CN" w:eastAsia="zh-CN"/>
    </w:rPr>
  </w:style>
  <w:style w:type="character" w:customStyle="1" w:styleId="a4">
    <w:name w:val="正文缩进 字符"/>
    <w:link w:val="a0"/>
    <w:uiPriority w:val="99"/>
    <w:qFormat/>
    <w:rPr>
      <w:rFonts w:ascii="Calibri" w:eastAsia="宋体" w:hAnsi="Calibri" w:cs="Times New Roman"/>
      <w:szCs w:val="24"/>
    </w:rPr>
  </w:style>
  <w:style w:type="paragraph" w:customStyle="1" w:styleId="af4">
    <w:name w:val="正文正文"/>
    <w:basedOn w:val="a"/>
    <w:uiPriority w:val="99"/>
    <w:qFormat/>
    <w:pPr>
      <w:spacing w:afterLines="25" w:after="25" w:line="360" w:lineRule="auto"/>
      <w:ind w:firstLineChars="200" w:firstLine="200"/>
    </w:pPr>
    <w:rPr>
      <w:sz w:val="24"/>
    </w:rPr>
  </w:style>
  <w:style w:type="character" w:customStyle="1" w:styleId="aa">
    <w:name w:val="批注框文本 字符"/>
    <w:basedOn w:val="a1"/>
    <w:link w:val="a9"/>
    <w:uiPriority w:val="99"/>
    <w:semiHidden/>
    <w:qFormat/>
    <w:rPr>
      <w:rFonts w:ascii="Times New Roman" w:eastAsia="宋体" w:hAnsi="Times New Roman" w:cs="Times New Roman"/>
      <w:sz w:val="18"/>
      <w:szCs w:val="18"/>
    </w:rPr>
  </w:style>
  <w:style w:type="character" w:customStyle="1" w:styleId="a6">
    <w:name w:val="批注文字 字符"/>
    <w:basedOn w:val="a1"/>
    <w:link w:val="a5"/>
    <w:uiPriority w:val="99"/>
    <w:qFormat/>
    <w:rPr>
      <w:rFonts w:ascii="Times New Roman" w:eastAsia="宋体" w:hAnsi="Times New Roman" w:cs="Times New Roman"/>
      <w:szCs w:val="24"/>
    </w:rPr>
  </w:style>
  <w:style w:type="character" w:customStyle="1" w:styleId="af1">
    <w:name w:val="批注主题 字符"/>
    <w:basedOn w:val="a6"/>
    <w:link w:val="af0"/>
    <w:uiPriority w:val="99"/>
    <w:semiHidden/>
    <w:qFormat/>
    <w:rPr>
      <w:rFonts w:ascii="Times New Roman" w:eastAsia="宋体" w:hAnsi="Times New Roman" w:cs="Times New Roman"/>
      <w:b/>
      <w:bCs/>
      <w:szCs w:val="24"/>
    </w:rPr>
  </w:style>
  <w:style w:type="paragraph" w:customStyle="1" w:styleId="12">
    <w:name w:val="修订1"/>
    <w:hidden/>
    <w:uiPriority w:val="99"/>
    <w:semiHidden/>
    <w:qFormat/>
    <w:rPr>
      <w:rFonts w:ascii="Times New Roman" w:eastAsia="宋体" w:hAnsi="Times New Roman" w:cs="Times New Roman"/>
      <w:kern w:val="2"/>
      <w:sz w:val="21"/>
      <w:szCs w:val="24"/>
    </w:rPr>
  </w:style>
  <w:style w:type="paragraph" w:styleId="af5">
    <w:name w:val="List Paragraph"/>
    <w:basedOn w:val="a"/>
    <w:uiPriority w:val="34"/>
    <w:qFormat/>
    <w:pPr>
      <w:ind w:firstLineChars="200" w:firstLine="420"/>
    </w:pPr>
  </w:style>
  <w:style w:type="paragraph" w:customStyle="1" w:styleId="CharChar">
    <w:name w:val="Char Char"/>
    <w:basedOn w:val="a"/>
    <w:qFormat/>
    <w:rPr>
      <w:szCs w:val="20"/>
    </w:rPr>
  </w:style>
  <w:style w:type="paragraph" w:customStyle="1" w:styleId="CharChar1">
    <w:name w:val="Char Char1"/>
    <w:basedOn w:val="a"/>
    <w:qFormat/>
    <w:rPr>
      <w:szCs w:val="20"/>
    </w:rPr>
  </w:style>
  <w:style w:type="paragraph" w:customStyle="1" w:styleId="24">
    <w:name w:val="修订2"/>
    <w:hidden/>
    <w:uiPriority w:val="99"/>
    <w:semiHidden/>
    <w:qFormat/>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XMLData TextToDisplay="%HOSTNAME%">DESKTOP-RERBK9K.hsqhfunds.com</XMLData>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XMLData TextToDisplay="%EMAILADDRESS%">xiewei@hsqhfunds.com</XMLData>
</file>

<file path=customXml/item3.xml><?xml version="1.0" encoding="utf-8"?>
<XMLData TextToDisplay="%DOCUMENTGUID%">{00000000-0000-0000-0000-000000000000}</XMLDat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5CF892CA87AC3C449149E796A069584A" ma:contentTypeVersion="0" ma:contentTypeDescription="Create a new document." ma:contentTypeScope="" ma:versionID="36a0b2e3b99e6066eb4e892e7046030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8"?>
<XMLData TextToDisplay="%USERNAME%">xiewei</XMLData>
</file>

<file path=customXml/item7.xml><?xml version="1.0" encoding="utf-8"?>
<XMLData TextToDisplay="RightsWATCHMark">4|HQSH-HSQH-内部信息|{00000000-0000-0000-0000-000000000000}</XMLData>
</file>

<file path=customXml/item8.xml><?xml version="1.0" encoding="utf-8"?>
<XMLData TextToDisplay="%CLASSIFICATIONDATETIME%">03:06 06/04/2023</XMLData>
</file>

<file path=customXml/item9.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A74D3FD-110D-41C8-B90B-53B2B8DE8F7A}">
  <ds:schemaRefs/>
</ds:datastoreItem>
</file>

<file path=customXml/itemProps10.xml><?xml version="1.0" encoding="utf-8"?>
<ds:datastoreItem xmlns:ds="http://schemas.openxmlformats.org/officeDocument/2006/customXml" ds:itemID="{3690609C-0F08-4357-AFB3-061A881531C9}">
  <ds:schemaRefs>
    <ds:schemaRef ds:uri="http://schemas.openxmlformats.org/officeDocument/2006/bibliography"/>
  </ds:schemaRefs>
</ds:datastoreItem>
</file>

<file path=customXml/itemProps2.xml><?xml version="1.0" encoding="utf-8"?>
<ds:datastoreItem xmlns:ds="http://schemas.openxmlformats.org/officeDocument/2006/customXml" ds:itemID="{BA2D31FE-3A69-4FF0-84B1-5E870DED36E6}">
  <ds:schemaRefs/>
</ds:datastoreItem>
</file>

<file path=customXml/itemProps3.xml><?xml version="1.0" encoding="utf-8"?>
<ds:datastoreItem xmlns:ds="http://schemas.openxmlformats.org/officeDocument/2006/customXml" ds:itemID="{95AB6641-9D83-4123-9F1C-3E1311AE5FBA}">
  <ds:schemaRefs/>
</ds:datastoreItem>
</file>

<file path=customXml/itemProps4.xml><?xml version="1.0" encoding="utf-8"?>
<ds:datastoreItem xmlns:ds="http://schemas.openxmlformats.org/officeDocument/2006/customXml" ds:itemID="{15F5742A-0804-4EE7-82C3-FFA26765DCAB}">
  <ds:schemaRefs>
    <ds:schemaRef ds:uri="http://schemas.microsoft.com/sharepoint/v3/contenttype/forms"/>
  </ds:schemaRefs>
</ds:datastoreItem>
</file>

<file path=customXml/itemProps5.xml><?xml version="1.0" encoding="utf-8"?>
<ds:datastoreItem xmlns:ds="http://schemas.openxmlformats.org/officeDocument/2006/customXml" ds:itemID="{7CBFDEE4-661F-471F-9485-ECA3FBAF7C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20391E66-6AD7-427C-86C8-09E670873148}">
  <ds:schemaRefs/>
</ds:datastoreItem>
</file>

<file path=customXml/itemProps7.xml><?xml version="1.0" encoding="utf-8"?>
<ds:datastoreItem xmlns:ds="http://schemas.openxmlformats.org/officeDocument/2006/customXml" ds:itemID="{21E2D1C6-AA7B-443E-A78C-91C6F6B47849}">
  <ds:schemaRefs/>
</ds:datastoreItem>
</file>

<file path=customXml/itemProps8.xml><?xml version="1.0" encoding="utf-8"?>
<ds:datastoreItem xmlns:ds="http://schemas.openxmlformats.org/officeDocument/2006/customXml" ds:itemID="{8219AB41-5FFA-4B20-9AD0-C5B5FF5509AB}">
  <ds:schemaRefs/>
</ds:datastoreItem>
</file>

<file path=customXml/itemProps9.xml><?xml version="1.0" encoding="utf-8"?>
<ds:datastoreItem xmlns:ds="http://schemas.openxmlformats.org/officeDocument/2006/customXml" ds:itemID="{E87D0168-16D8-4DAF-9108-2B5D74F65D52}">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29</Pages>
  <Words>4278</Words>
  <Characters>24390</Characters>
  <Application>Microsoft Office Word</Application>
  <DocSecurity>0</DocSecurity>
  <Lines>203</Lines>
  <Paragraphs>57</Paragraphs>
  <ScaleCrop>false</ScaleCrop>
  <Company>suzhoubank.com</Company>
  <LinksUpToDate>false</LinksUpToDate>
  <CharactersWithSpaces>28611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源泰</cp:lastModifiedBy>
  <cp:revision>40</cp:revision>
  <dcterms:created xsi:type="dcterms:W3CDTF">2023-04-20T01:34:00Z</dcterms:created>
  <dcterms:modified xsi:type="dcterms:W3CDTF">2025-10-16T05:32:00Z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0x0101005CF892CA87AC3C449149E796A069584A</vt:lpwstr>
  </property>
  <property fmtid="{D5CDD505-2E9C-101B-9397-08002B2CF9AE}" pid="3" name="RightsWATCHMark">
    <vt:lpwstr>4|HQSH-HSQH-内部信息|{00000000-0000-0000-0000-000000000000}</vt:lpwstr>
  </property>
  <property fmtid="{D5CDD505-2E9C-101B-9397-08002B2CF9AE}" pid="4" name="KSOProductBuildVer">
    <vt:lpwstr>2052-12.1.0.21541</vt:lpwstr>
  </property>
  <property fmtid="{D5CDD505-2E9C-101B-9397-08002B2CF9AE}" pid="5" name="ICV">
    <vt:lpwstr>F30B58B32DF040F98ABEF08CED0E4561_13</vt:lpwstr>
  </property>
  <property fmtid="{D5CDD505-2E9C-101B-9397-08002B2CF9AE}" pid="6" name="KSOTemplateDocerSaveRecord">
    <vt:lpwstr>eyJoZGlkIjoiZWFlMTkxYjkyYjlhYjYwNTc2NWM0NjYzMTE2ODkxZjAiLCJ1c2VySWQiOiI1MzMyOTAzNDUifQ==</vt:lpwstr>
  </property>
</Properties>
</file>