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3E0C" w:rsidRDefault="00E97899">
      <w:pPr>
        <w:adjustRightInd w:val="0"/>
        <w:snapToGrid w:val="0"/>
        <w:jc w:val="center"/>
        <w:rPr>
          <w:rFonts w:cs="方正黑体简体"/>
          <w:b/>
          <w:bCs/>
          <w:iCs/>
          <w:sz w:val="30"/>
          <w:szCs w:val="30"/>
        </w:rPr>
      </w:pPr>
      <w:bookmarkStart w:id="0" w:name="_GoBack"/>
      <w:bookmarkEnd w:id="0"/>
      <w:r>
        <w:rPr>
          <w:rFonts w:cs="方正黑体简体"/>
          <w:b/>
          <w:bCs/>
          <w:iCs/>
          <w:sz w:val="30"/>
          <w:szCs w:val="30"/>
        </w:rPr>
        <w:t>富国智悦稳健</w:t>
      </w:r>
      <w:r>
        <w:rPr>
          <w:rFonts w:cs="方正黑体简体"/>
          <w:b/>
          <w:bCs/>
          <w:iCs/>
          <w:sz w:val="30"/>
          <w:szCs w:val="30"/>
        </w:rPr>
        <w:t>90</w:t>
      </w:r>
      <w:r>
        <w:rPr>
          <w:rFonts w:cs="方正黑体简体"/>
          <w:b/>
          <w:bCs/>
          <w:iCs/>
          <w:sz w:val="30"/>
          <w:szCs w:val="30"/>
        </w:rPr>
        <w:t>天持有期混合型基金中基金（</w:t>
      </w:r>
      <w:r>
        <w:rPr>
          <w:rFonts w:cs="方正黑体简体"/>
          <w:b/>
          <w:bCs/>
          <w:iCs/>
          <w:sz w:val="30"/>
          <w:szCs w:val="30"/>
        </w:rPr>
        <w:t>FOF</w:t>
      </w:r>
      <w:r>
        <w:rPr>
          <w:rFonts w:cs="方正黑体简体"/>
          <w:b/>
          <w:bCs/>
          <w:iCs/>
          <w:sz w:val="30"/>
          <w:szCs w:val="30"/>
        </w:rPr>
        <w:t>）（</w:t>
      </w:r>
      <w:r>
        <w:rPr>
          <w:rFonts w:cs="方正黑体简体"/>
          <w:b/>
          <w:bCs/>
          <w:iCs/>
          <w:sz w:val="30"/>
          <w:szCs w:val="30"/>
        </w:rPr>
        <w:t>A</w:t>
      </w:r>
      <w:r>
        <w:rPr>
          <w:rFonts w:cs="方正黑体简体"/>
          <w:b/>
          <w:bCs/>
          <w:iCs/>
          <w:sz w:val="30"/>
          <w:szCs w:val="30"/>
        </w:rPr>
        <w:t>类份额）基金产品资料概要</w:t>
      </w:r>
    </w:p>
    <w:p w:rsidR="00084FBF" w:rsidRPr="00A14942" w:rsidRDefault="009D4653" w:rsidP="0043556E">
      <w:pPr>
        <w:adjustRightInd w:val="0"/>
        <w:snapToGrid w:val="0"/>
        <w:jc w:val="right"/>
        <w:rPr>
          <w:rFonts w:cs="方正仿宋简体"/>
          <w:iCs/>
          <w:color w:val="FF0000"/>
          <w:szCs w:val="21"/>
        </w:rPr>
      </w:pPr>
      <w:r>
        <w:rPr>
          <w:rFonts w:hint="eastAsia"/>
          <w:szCs w:val="21"/>
        </w:rPr>
        <w:t>2025年10月09日</w:t>
      </w:r>
      <w:r w:rsidR="0043556E" w:rsidRPr="00A14942">
        <w:rPr>
          <w:rFonts w:hint="eastAsia"/>
          <w:szCs w:val="21"/>
        </w:rPr>
        <w:t>（</w:t>
      </w:r>
      <w:r w:rsidR="0043556E" w:rsidRPr="00A14942">
        <w:rPr>
          <w:rFonts w:cs="方正仿宋简体" w:hint="eastAsia"/>
          <w:iCs/>
          <w:szCs w:val="21"/>
        </w:rPr>
        <w:t>信息截至：</w:t>
      </w:r>
      <w:r>
        <w:rPr>
          <w:rFonts w:cs="方正仿宋简体" w:hint="eastAsia"/>
          <w:iCs/>
          <w:szCs w:val="21"/>
        </w:rPr>
        <w:t>2025年09月29日</w:t>
      </w:r>
      <w:r w:rsidR="0043556E" w:rsidRPr="00A14942">
        <w:rPr>
          <w:rFonts w:hint="eastAsia"/>
          <w:szCs w:val="21"/>
        </w:rPr>
        <w:t>）</w:t>
      </w:r>
    </w:p>
    <w:p w:rsidR="00DE25AF" w:rsidRPr="00A14942" w:rsidRDefault="004E7FF3" w:rsidP="00084FBF">
      <w:pPr>
        <w:adjustRightInd w:val="0"/>
        <w:snapToGrid w:val="0"/>
        <w:jc w:val="center"/>
        <w:rPr>
          <w:rFonts w:cs="方正黑体简体"/>
          <w:b/>
          <w:bCs/>
          <w:iCs/>
          <w:sz w:val="24"/>
          <w:szCs w:val="21"/>
        </w:rPr>
      </w:pPr>
      <w:r w:rsidRPr="00A14942">
        <w:rPr>
          <w:rFonts w:cs="方正黑体简体" w:hint="eastAsia"/>
          <w:b/>
          <w:bCs/>
          <w:iCs/>
          <w:sz w:val="24"/>
          <w:szCs w:val="21"/>
        </w:rPr>
        <w:t>本概要提供本基金的重要信息，是招募说明书的一部分。作出投资决定前，请阅读完整的招募说明书等销售文件。</w:t>
      </w:r>
    </w:p>
    <w:p w:rsidR="006F366F" w:rsidRPr="000776C8" w:rsidRDefault="006F366F" w:rsidP="00E31F9B">
      <w:pPr>
        <w:pStyle w:val="1"/>
      </w:pPr>
      <w:r w:rsidRPr="000776C8">
        <w:rPr>
          <w:rFonts w:hint="eastAsia"/>
        </w:rPr>
        <w:t>产品概况</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7"/>
        <w:gridCol w:w="2887"/>
        <w:gridCol w:w="1701"/>
        <w:gridCol w:w="2835"/>
      </w:tblGrid>
      <w:tr w:rsidR="00E83E0C">
        <w:trPr>
          <w:trHeight w:val="340"/>
          <w:jc w:val="center"/>
        </w:trPr>
        <w:tc>
          <w:tcPr>
            <w:tcW w:w="1757" w:type="dxa"/>
            <w:shd w:val="clear" w:color="auto" w:fill="auto"/>
            <w:vAlign w:val="center"/>
          </w:tcPr>
          <w:p w:rsidR="00E83E0C" w:rsidRDefault="00E97899">
            <w:pPr>
              <w:adjustRightInd w:val="0"/>
              <w:snapToGrid w:val="0"/>
              <w:rPr>
                <w:rFonts w:cs="方正仿宋简体"/>
                <w:iCs/>
                <w:szCs w:val="21"/>
              </w:rPr>
            </w:pPr>
            <w:r>
              <w:rPr>
                <w:rFonts w:cs="方正仿宋简体" w:hint="eastAsia"/>
                <w:iCs/>
                <w:szCs w:val="21"/>
              </w:rPr>
              <w:t>基金简称</w:t>
            </w:r>
          </w:p>
        </w:tc>
        <w:tc>
          <w:tcPr>
            <w:tcW w:w="2887" w:type="dxa"/>
            <w:shd w:val="clear" w:color="auto" w:fill="auto"/>
            <w:vAlign w:val="center"/>
          </w:tcPr>
          <w:p w:rsidR="00E83E0C" w:rsidRDefault="00E97899">
            <w:pPr>
              <w:adjustRightInd w:val="0"/>
              <w:snapToGrid w:val="0"/>
              <w:rPr>
                <w:rFonts w:cs="方正仿宋简体"/>
                <w:iCs/>
                <w:szCs w:val="21"/>
              </w:rPr>
            </w:pPr>
            <w:r>
              <w:rPr>
                <w:kern w:val="0"/>
                <w:szCs w:val="21"/>
              </w:rPr>
              <w:t>富国智悦稳健</w:t>
            </w:r>
            <w:r>
              <w:rPr>
                <w:kern w:val="0"/>
                <w:szCs w:val="21"/>
              </w:rPr>
              <w:t>90</w:t>
            </w:r>
            <w:r>
              <w:rPr>
                <w:kern w:val="0"/>
                <w:szCs w:val="21"/>
              </w:rPr>
              <w:t>天持有期混合（</w:t>
            </w:r>
            <w:r>
              <w:rPr>
                <w:kern w:val="0"/>
                <w:szCs w:val="21"/>
              </w:rPr>
              <w:t>FOF</w:t>
            </w:r>
            <w:r>
              <w:rPr>
                <w:kern w:val="0"/>
                <w:szCs w:val="21"/>
              </w:rPr>
              <w:t>）</w:t>
            </w:r>
          </w:p>
        </w:tc>
        <w:tc>
          <w:tcPr>
            <w:tcW w:w="1701" w:type="dxa"/>
            <w:shd w:val="clear" w:color="auto" w:fill="auto"/>
            <w:vAlign w:val="center"/>
          </w:tcPr>
          <w:p w:rsidR="00E83E0C" w:rsidRDefault="00E97899">
            <w:pPr>
              <w:adjustRightInd w:val="0"/>
              <w:snapToGrid w:val="0"/>
              <w:rPr>
                <w:rFonts w:cs="方正仿宋简体"/>
                <w:iCs/>
                <w:szCs w:val="21"/>
              </w:rPr>
            </w:pPr>
            <w:r>
              <w:rPr>
                <w:rFonts w:cs="方正仿宋简体" w:hint="eastAsia"/>
                <w:iCs/>
                <w:szCs w:val="21"/>
              </w:rPr>
              <w:t>基金代码</w:t>
            </w:r>
          </w:p>
        </w:tc>
        <w:tc>
          <w:tcPr>
            <w:tcW w:w="2835" w:type="dxa"/>
            <w:shd w:val="clear" w:color="auto" w:fill="auto"/>
            <w:vAlign w:val="center"/>
          </w:tcPr>
          <w:p w:rsidR="00E83E0C" w:rsidRDefault="00E97899">
            <w:pPr>
              <w:adjustRightInd w:val="0"/>
              <w:snapToGrid w:val="0"/>
              <w:rPr>
                <w:rFonts w:cs="方正仿宋简体"/>
                <w:iCs/>
                <w:szCs w:val="21"/>
              </w:rPr>
            </w:pPr>
            <w:r>
              <w:rPr>
                <w:rFonts w:hint="eastAsia"/>
                <w:kern w:val="0"/>
                <w:szCs w:val="21"/>
              </w:rPr>
              <w:t>025509</w:t>
            </w:r>
          </w:p>
        </w:tc>
      </w:tr>
      <w:tr w:rsidR="00E83E0C">
        <w:trPr>
          <w:trHeight w:val="340"/>
          <w:jc w:val="center"/>
        </w:trPr>
        <w:tc>
          <w:tcPr>
            <w:tcW w:w="1757" w:type="dxa"/>
            <w:shd w:val="clear" w:color="auto" w:fill="auto"/>
            <w:vAlign w:val="center"/>
          </w:tcPr>
          <w:p w:rsidR="00E83E0C" w:rsidRDefault="00E97899">
            <w:pPr>
              <w:adjustRightInd w:val="0"/>
              <w:snapToGrid w:val="0"/>
              <w:rPr>
                <w:rFonts w:cs="方正仿宋简体"/>
                <w:iCs/>
                <w:szCs w:val="21"/>
              </w:rPr>
            </w:pPr>
            <w:r>
              <w:rPr>
                <w:rFonts w:cs="方正仿宋简体" w:hint="eastAsia"/>
                <w:iCs/>
                <w:szCs w:val="21"/>
              </w:rPr>
              <w:t>份额简称</w:t>
            </w:r>
          </w:p>
        </w:tc>
        <w:tc>
          <w:tcPr>
            <w:tcW w:w="2887" w:type="dxa"/>
            <w:shd w:val="clear" w:color="auto" w:fill="auto"/>
            <w:vAlign w:val="center"/>
          </w:tcPr>
          <w:p w:rsidR="00E83E0C" w:rsidRDefault="00E97899">
            <w:pPr>
              <w:adjustRightInd w:val="0"/>
              <w:snapToGrid w:val="0"/>
              <w:rPr>
                <w:rFonts w:cs="方正仿宋简体"/>
                <w:iCs/>
                <w:szCs w:val="21"/>
              </w:rPr>
            </w:pPr>
            <w:r>
              <w:rPr>
                <w:kern w:val="0"/>
                <w:szCs w:val="21"/>
              </w:rPr>
              <w:t>富国智悦稳健</w:t>
            </w:r>
            <w:r>
              <w:rPr>
                <w:kern w:val="0"/>
                <w:szCs w:val="21"/>
              </w:rPr>
              <w:t>90</w:t>
            </w:r>
            <w:r>
              <w:rPr>
                <w:kern w:val="0"/>
                <w:szCs w:val="21"/>
              </w:rPr>
              <w:t>天持有期混合（</w:t>
            </w:r>
            <w:r>
              <w:rPr>
                <w:kern w:val="0"/>
                <w:szCs w:val="21"/>
              </w:rPr>
              <w:t>FOF</w:t>
            </w:r>
            <w:r>
              <w:rPr>
                <w:kern w:val="0"/>
                <w:szCs w:val="21"/>
              </w:rPr>
              <w:t>）</w:t>
            </w:r>
            <w:r>
              <w:rPr>
                <w:kern w:val="0"/>
                <w:szCs w:val="21"/>
              </w:rPr>
              <w:t>A</w:t>
            </w:r>
          </w:p>
        </w:tc>
        <w:tc>
          <w:tcPr>
            <w:tcW w:w="1701" w:type="dxa"/>
            <w:shd w:val="clear" w:color="auto" w:fill="auto"/>
            <w:vAlign w:val="center"/>
          </w:tcPr>
          <w:p w:rsidR="00E83E0C" w:rsidRDefault="00E97899">
            <w:pPr>
              <w:adjustRightInd w:val="0"/>
              <w:snapToGrid w:val="0"/>
              <w:rPr>
                <w:rFonts w:cs="方正仿宋简体"/>
                <w:iCs/>
                <w:szCs w:val="21"/>
              </w:rPr>
            </w:pPr>
            <w:r>
              <w:rPr>
                <w:rFonts w:cs="方正仿宋简体"/>
                <w:iCs/>
                <w:szCs w:val="21"/>
              </w:rPr>
              <w:t>份额代码</w:t>
            </w:r>
          </w:p>
        </w:tc>
        <w:tc>
          <w:tcPr>
            <w:tcW w:w="2835" w:type="dxa"/>
            <w:shd w:val="clear" w:color="auto" w:fill="auto"/>
            <w:vAlign w:val="center"/>
          </w:tcPr>
          <w:p w:rsidR="00E83E0C" w:rsidRDefault="00E97899">
            <w:pPr>
              <w:adjustRightInd w:val="0"/>
              <w:snapToGrid w:val="0"/>
              <w:rPr>
                <w:rFonts w:cs="方正仿宋简体"/>
                <w:iCs/>
                <w:szCs w:val="21"/>
              </w:rPr>
            </w:pPr>
            <w:r>
              <w:rPr>
                <w:rFonts w:hint="eastAsia"/>
                <w:kern w:val="0"/>
                <w:szCs w:val="21"/>
              </w:rPr>
              <w:t>025509</w:t>
            </w:r>
          </w:p>
        </w:tc>
      </w:tr>
      <w:tr w:rsidR="00E83E0C">
        <w:trPr>
          <w:trHeight w:val="340"/>
          <w:jc w:val="center"/>
        </w:trPr>
        <w:tc>
          <w:tcPr>
            <w:tcW w:w="1757" w:type="dxa"/>
            <w:shd w:val="clear" w:color="auto" w:fill="auto"/>
            <w:vAlign w:val="center"/>
          </w:tcPr>
          <w:p w:rsidR="00E83E0C" w:rsidRDefault="00E97899">
            <w:pPr>
              <w:adjustRightInd w:val="0"/>
              <w:snapToGrid w:val="0"/>
              <w:rPr>
                <w:rFonts w:cs="方正仿宋简体"/>
                <w:iCs/>
                <w:szCs w:val="21"/>
              </w:rPr>
            </w:pPr>
            <w:r>
              <w:rPr>
                <w:rFonts w:cs="方正仿宋简体" w:hint="eastAsia"/>
                <w:iCs/>
                <w:szCs w:val="21"/>
              </w:rPr>
              <w:t>基金管理人</w:t>
            </w:r>
          </w:p>
        </w:tc>
        <w:tc>
          <w:tcPr>
            <w:tcW w:w="2887" w:type="dxa"/>
            <w:shd w:val="clear" w:color="auto" w:fill="auto"/>
            <w:vAlign w:val="center"/>
          </w:tcPr>
          <w:p w:rsidR="00E83E0C" w:rsidRDefault="00E97899">
            <w:pPr>
              <w:adjustRightInd w:val="0"/>
              <w:snapToGrid w:val="0"/>
              <w:rPr>
                <w:rFonts w:cs="方正仿宋简体"/>
                <w:iCs/>
                <w:szCs w:val="21"/>
              </w:rPr>
            </w:pPr>
            <w:r>
              <w:rPr>
                <w:rFonts w:hint="eastAsia"/>
                <w:kern w:val="0"/>
                <w:szCs w:val="21"/>
              </w:rPr>
              <w:t>富国基金管理有限公司</w:t>
            </w:r>
          </w:p>
        </w:tc>
        <w:tc>
          <w:tcPr>
            <w:tcW w:w="1701" w:type="dxa"/>
            <w:shd w:val="clear" w:color="auto" w:fill="auto"/>
            <w:vAlign w:val="center"/>
          </w:tcPr>
          <w:p w:rsidR="00E83E0C" w:rsidRDefault="00E97899">
            <w:pPr>
              <w:adjustRightInd w:val="0"/>
              <w:snapToGrid w:val="0"/>
              <w:rPr>
                <w:rFonts w:cs="方正仿宋简体"/>
                <w:iCs/>
                <w:szCs w:val="21"/>
              </w:rPr>
            </w:pPr>
            <w:r>
              <w:rPr>
                <w:rFonts w:cs="方正仿宋简体" w:hint="eastAsia"/>
                <w:iCs/>
                <w:szCs w:val="21"/>
              </w:rPr>
              <w:t>基金托管人</w:t>
            </w:r>
          </w:p>
        </w:tc>
        <w:tc>
          <w:tcPr>
            <w:tcW w:w="2835" w:type="dxa"/>
            <w:shd w:val="clear" w:color="auto" w:fill="auto"/>
            <w:vAlign w:val="center"/>
          </w:tcPr>
          <w:p w:rsidR="00E83E0C" w:rsidRDefault="00E97899">
            <w:pPr>
              <w:adjustRightInd w:val="0"/>
              <w:snapToGrid w:val="0"/>
              <w:rPr>
                <w:rFonts w:cs="方正仿宋简体"/>
                <w:iCs/>
                <w:szCs w:val="21"/>
              </w:rPr>
            </w:pPr>
            <w:r>
              <w:rPr>
                <w:rFonts w:hint="eastAsia"/>
                <w:kern w:val="0"/>
                <w:szCs w:val="21"/>
              </w:rPr>
              <w:t>中国建设银行股份有限公司</w:t>
            </w:r>
          </w:p>
        </w:tc>
      </w:tr>
      <w:tr w:rsidR="00E83E0C">
        <w:trPr>
          <w:trHeight w:val="340"/>
          <w:jc w:val="center"/>
        </w:trPr>
        <w:tc>
          <w:tcPr>
            <w:tcW w:w="1757" w:type="dxa"/>
            <w:shd w:val="clear" w:color="auto" w:fill="auto"/>
            <w:vAlign w:val="center"/>
          </w:tcPr>
          <w:p w:rsidR="00E83E0C" w:rsidRDefault="00E97899">
            <w:pPr>
              <w:adjustRightInd w:val="0"/>
              <w:snapToGrid w:val="0"/>
              <w:rPr>
                <w:rFonts w:cs="方正仿宋简体"/>
                <w:iCs/>
                <w:szCs w:val="21"/>
              </w:rPr>
            </w:pPr>
            <w:r>
              <w:rPr>
                <w:rFonts w:cs="方正仿宋简体" w:hint="eastAsia"/>
                <w:iCs/>
                <w:szCs w:val="21"/>
              </w:rPr>
              <w:t>基金合同生效日</w:t>
            </w:r>
          </w:p>
        </w:tc>
        <w:tc>
          <w:tcPr>
            <w:tcW w:w="2887" w:type="dxa"/>
            <w:shd w:val="clear" w:color="auto" w:fill="auto"/>
            <w:vAlign w:val="center"/>
          </w:tcPr>
          <w:p w:rsidR="00E83E0C" w:rsidRDefault="00E97899">
            <w:pPr>
              <w:adjustRightInd w:val="0"/>
              <w:snapToGrid w:val="0"/>
              <w:rPr>
                <w:rFonts w:cs="方正仿宋简体"/>
                <w:iCs/>
                <w:szCs w:val="21"/>
              </w:rPr>
            </w:pPr>
            <w:r>
              <w:rPr>
                <w:kern w:val="0"/>
                <w:szCs w:val="21"/>
              </w:rPr>
              <w:t>－</w:t>
            </w:r>
          </w:p>
        </w:tc>
        <w:tc>
          <w:tcPr>
            <w:tcW w:w="1701" w:type="dxa"/>
            <w:shd w:val="clear" w:color="auto" w:fill="auto"/>
            <w:vAlign w:val="center"/>
          </w:tcPr>
          <w:p w:rsidR="00E83E0C" w:rsidRDefault="00E97899">
            <w:pPr>
              <w:adjustRightInd w:val="0"/>
              <w:snapToGrid w:val="0"/>
              <w:rPr>
                <w:rFonts w:cs="方正仿宋简体"/>
                <w:iCs/>
                <w:szCs w:val="21"/>
              </w:rPr>
            </w:pPr>
            <w:r>
              <w:rPr>
                <w:rFonts w:cs="方正仿宋简体" w:hint="eastAsia"/>
                <w:iCs/>
                <w:szCs w:val="21"/>
              </w:rPr>
              <w:t>基金类型</w:t>
            </w:r>
          </w:p>
        </w:tc>
        <w:tc>
          <w:tcPr>
            <w:tcW w:w="2835" w:type="dxa"/>
            <w:shd w:val="clear" w:color="auto" w:fill="auto"/>
            <w:vAlign w:val="center"/>
          </w:tcPr>
          <w:p w:rsidR="00E83E0C" w:rsidRDefault="00E97899">
            <w:pPr>
              <w:adjustRightInd w:val="0"/>
              <w:snapToGrid w:val="0"/>
              <w:rPr>
                <w:rFonts w:cs="方正仿宋简体"/>
                <w:iCs/>
                <w:szCs w:val="21"/>
              </w:rPr>
            </w:pPr>
            <w:r>
              <w:rPr>
                <w:rFonts w:hint="eastAsia"/>
                <w:kern w:val="0"/>
                <w:szCs w:val="21"/>
              </w:rPr>
              <w:t>基金中基金</w:t>
            </w:r>
          </w:p>
        </w:tc>
      </w:tr>
      <w:tr w:rsidR="00E83E0C">
        <w:trPr>
          <w:trHeight w:val="340"/>
          <w:jc w:val="center"/>
        </w:trPr>
        <w:tc>
          <w:tcPr>
            <w:tcW w:w="1757" w:type="dxa"/>
            <w:shd w:val="clear" w:color="auto" w:fill="auto"/>
            <w:vAlign w:val="center"/>
          </w:tcPr>
          <w:p w:rsidR="00E83E0C" w:rsidRDefault="00E97899">
            <w:pPr>
              <w:adjustRightInd w:val="0"/>
              <w:snapToGrid w:val="0"/>
              <w:rPr>
                <w:rFonts w:cs="方正仿宋简体"/>
                <w:iCs/>
                <w:szCs w:val="21"/>
              </w:rPr>
            </w:pPr>
            <w:r>
              <w:rPr>
                <w:rFonts w:cs="方正仿宋简体" w:hint="eastAsia"/>
                <w:iCs/>
                <w:szCs w:val="21"/>
              </w:rPr>
              <w:t>运作方式</w:t>
            </w:r>
          </w:p>
        </w:tc>
        <w:tc>
          <w:tcPr>
            <w:tcW w:w="2887" w:type="dxa"/>
            <w:shd w:val="clear" w:color="auto" w:fill="auto"/>
            <w:vAlign w:val="center"/>
          </w:tcPr>
          <w:p w:rsidR="00E83E0C" w:rsidRDefault="00E97899">
            <w:pPr>
              <w:adjustRightInd w:val="0"/>
              <w:snapToGrid w:val="0"/>
              <w:rPr>
                <w:rFonts w:cs="方正仿宋简体"/>
                <w:iCs/>
                <w:szCs w:val="21"/>
              </w:rPr>
            </w:pPr>
            <w:r>
              <w:rPr>
                <w:kern w:val="0"/>
                <w:szCs w:val="21"/>
              </w:rPr>
              <w:t>其他开放式</w:t>
            </w:r>
          </w:p>
        </w:tc>
        <w:tc>
          <w:tcPr>
            <w:tcW w:w="1701" w:type="dxa"/>
            <w:shd w:val="clear" w:color="auto" w:fill="auto"/>
            <w:vAlign w:val="center"/>
          </w:tcPr>
          <w:p w:rsidR="00E83E0C" w:rsidRDefault="00E97899">
            <w:pPr>
              <w:adjustRightInd w:val="0"/>
              <w:snapToGrid w:val="0"/>
              <w:rPr>
                <w:rFonts w:cs="方正仿宋简体"/>
                <w:iCs/>
                <w:szCs w:val="21"/>
              </w:rPr>
            </w:pPr>
            <w:r>
              <w:rPr>
                <w:rFonts w:cs="方正仿宋简体" w:hint="eastAsia"/>
                <w:iCs/>
                <w:szCs w:val="21"/>
              </w:rPr>
              <w:t>开放频率</w:t>
            </w:r>
          </w:p>
        </w:tc>
        <w:tc>
          <w:tcPr>
            <w:tcW w:w="2835" w:type="dxa"/>
            <w:shd w:val="clear" w:color="auto" w:fill="auto"/>
            <w:vAlign w:val="center"/>
          </w:tcPr>
          <w:p w:rsidR="00E83E0C" w:rsidRDefault="00E97899">
            <w:pPr>
              <w:adjustRightInd w:val="0"/>
              <w:snapToGrid w:val="0"/>
              <w:rPr>
                <w:rFonts w:cs="方正仿宋简体"/>
                <w:iCs/>
                <w:szCs w:val="21"/>
              </w:rPr>
            </w:pPr>
            <w:r>
              <w:rPr>
                <w:rFonts w:hint="eastAsia"/>
                <w:kern w:val="0"/>
                <w:szCs w:val="21"/>
              </w:rPr>
              <w:t>对每份基金份额设置</w:t>
            </w:r>
            <w:r>
              <w:rPr>
                <w:rFonts w:hint="eastAsia"/>
                <w:kern w:val="0"/>
                <w:szCs w:val="21"/>
              </w:rPr>
              <w:t>90</w:t>
            </w:r>
            <w:r>
              <w:rPr>
                <w:rFonts w:hint="eastAsia"/>
                <w:kern w:val="0"/>
                <w:szCs w:val="21"/>
              </w:rPr>
              <w:t>天的最短持有期限</w:t>
            </w:r>
          </w:p>
        </w:tc>
      </w:tr>
      <w:tr w:rsidR="00E83E0C">
        <w:trPr>
          <w:trHeight w:val="340"/>
          <w:jc w:val="center"/>
        </w:trPr>
        <w:tc>
          <w:tcPr>
            <w:tcW w:w="1757" w:type="dxa"/>
            <w:shd w:val="clear" w:color="auto" w:fill="auto"/>
            <w:vAlign w:val="center"/>
          </w:tcPr>
          <w:p w:rsidR="00E83E0C" w:rsidRDefault="00E97899">
            <w:pPr>
              <w:adjustRightInd w:val="0"/>
              <w:snapToGrid w:val="0"/>
              <w:rPr>
                <w:rFonts w:cs="方正仿宋简体"/>
                <w:iCs/>
                <w:szCs w:val="21"/>
              </w:rPr>
            </w:pPr>
            <w:r>
              <w:rPr>
                <w:rFonts w:cs="方正仿宋简体" w:hint="eastAsia"/>
                <w:iCs/>
                <w:szCs w:val="21"/>
              </w:rPr>
              <w:t>交易币种</w:t>
            </w:r>
          </w:p>
        </w:tc>
        <w:tc>
          <w:tcPr>
            <w:tcW w:w="2887" w:type="dxa"/>
            <w:shd w:val="clear" w:color="auto" w:fill="auto"/>
            <w:vAlign w:val="center"/>
          </w:tcPr>
          <w:p w:rsidR="00E83E0C" w:rsidRDefault="00E97899">
            <w:pPr>
              <w:adjustRightInd w:val="0"/>
              <w:snapToGrid w:val="0"/>
              <w:rPr>
                <w:rFonts w:cs="方正仿宋简体"/>
                <w:iCs/>
                <w:szCs w:val="21"/>
              </w:rPr>
            </w:pPr>
            <w:r>
              <w:rPr>
                <w:rFonts w:hint="eastAsia"/>
                <w:kern w:val="0"/>
                <w:szCs w:val="21"/>
              </w:rPr>
              <w:t>人民币</w:t>
            </w:r>
          </w:p>
        </w:tc>
        <w:tc>
          <w:tcPr>
            <w:tcW w:w="1701" w:type="dxa"/>
            <w:shd w:val="clear" w:color="auto" w:fill="auto"/>
            <w:vAlign w:val="center"/>
          </w:tcPr>
          <w:p w:rsidR="004E1601" w:rsidRPr="00315D72" w:rsidRDefault="004E1601" w:rsidP="004E1601">
            <w:pPr>
              <w:adjustRightInd w:val="0"/>
              <w:snapToGrid w:val="0"/>
              <w:rPr>
                <w:rFonts w:cs="方正仿宋简体"/>
                <w:iCs/>
                <w:szCs w:val="21"/>
              </w:rPr>
            </w:pPr>
          </w:p>
        </w:tc>
        <w:tc>
          <w:tcPr>
            <w:tcW w:w="2835" w:type="dxa"/>
            <w:shd w:val="clear" w:color="auto" w:fill="auto"/>
            <w:vAlign w:val="center"/>
          </w:tcPr>
          <w:p w:rsidR="00E83E0C" w:rsidRDefault="00E83E0C">
            <w:pPr>
              <w:adjustRightInd w:val="0"/>
              <w:snapToGrid w:val="0"/>
              <w:rPr>
                <w:rFonts w:cs="方正仿宋简体"/>
                <w:iCs/>
                <w:szCs w:val="21"/>
              </w:rPr>
            </w:pPr>
          </w:p>
        </w:tc>
      </w:tr>
      <w:tr w:rsidR="00E83E0C">
        <w:trPr>
          <w:trHeight w:val="340"/>
          <w:jc w:val="center"/>
        </w:trPr>
        <w:tc>
          <w:tcPr>
            <w:tcW w:w="1757" w:type="dxa"/>
            <w:vMerge w:val="restart"/>
            <w:shd w:val="clear" w:color="auto" w:fill="auto"/>
            <w:vAlign w:val="center"/>
          </w:tcPr>
          <w:p w:rsidR="00E83E0C" w:rsidRDefault="00E97899">
            <w:pPr>
              <w:adjustRightInd w:val="0"/>
              <w:snapToGrid w:val="0"/>
              <w:rPr>
                <w:rFonts w:cs="方正仿宋简体"/>
                <w:iCs/>
                <w:szCs w:val="21"/>
              </w:rPr>
            </w:pPr>
            <w:r>
              <w:rPr>
                <w:rFonts w:cs="方正仿宋简体" w:hint="eastAsia"/>
                <w:iCs/>
                <w:szCs w:val="21"/>
              </w:rPr>
              <w:t>基金经理</w:t>
            </w:r>
          </w:p>
        </w:tc>
        <w:tc>
          <w:tcPr>
            <w:tcW w:w="2887" w:type="dxa"/>
            <w:vMerge w:val="restart"/>
            <w:shd w:val="clear" w:color="auto" w:fill="auto"/>
            <w:vAlign w:val="center"/>
          </w:tcPr>
          <w:p w:rsidR="00E83E0C" w:rsidRDefault="00E97899">
            <w:pPr>
              <w:adjustRightInd w:val="0"/>
              <w:snapToGrid w:val="0"/>
              <w:rPr>
                <w:rFonts w:cs="方正仿宋简体"/>
                <w:iCs/>
                <w:szCs w:val="21"/>
              </w:rPr>
            </w:pPr>
            <w:r>
              <w:rPr>
                <w:rFonts w:cs="方正仿宋简体" w:hint="eastAsia"/>
                <w:iCs/>
                <w:szCs w:val="21"/>
              </w:rPr>
              <w:t>张子炎</w:t>
            </w:r>
          </w:p>
        </w:tc>
        <w:tc>
          <w:tcPr>
            <w:tcW w:w="1701" w:type="dxa"/>
            <w:shd w:val="clear" w:color="auto" w:fill="auto"/>
            <w:vAlign w:val="center"/>
          </w:tcPr>
          <w:p w:rsidR="00E83E0C" w:rsidRDefault="00E97899">
            <w:pPr>
              <w:adjustRightInd w:val="0"/>
              <w:snapToGrid w:val="0"/>
              <w:rPr>
                <w:rFonts w:cs="方正仿宋简体"/>
                <w:iCs/>
                <w:szCs w:val="21"/>
              </w:rPr>
            </w:pPr>
            <w:r>
              <w:rPr>
                <w:rFonts w:cs="方正仿宋简体" w:hint="eastAsia"/>
                <w:iCs/>
                <w:szCs w:val="21"/>
              </w:rPr>
              <w:t>任职日期</w:t>
            </w:r>
          </w:p>
        </w:tc>
        <w:tc>
          <w:tcPr>
            <w:tcW w:w="2835" w:type="dxa"/>
            <w:shd w:val="clear" w:color="auto" w:fill="auto"/>
            <w:vAlign w:val="center"/>
          </w:tcPr>
          <w:p w:rsidR="00E83E0C" w:rsidRDefault="00E97899">
            <w:pPr>
              <w:adjustRightInd w:val="0"/>
              <w:snapToGrid w:val="0"/>
              <w:rPr>
                <w:rFonts w:cs="方正仿宋简体"/>
                <w:iCs/>
                <w:szCs w:val="21"/>
              </w:rPr>
            </w:pPr>
            <w:r>
              <w:rPr>
                <w:rFonts w:cs="方正仿宋简体" w:hint="eastAsia"/>
                <w:iCs/>
                <w:szCs w:val="21"/>
              </w:rPr>
              <w:t>－</w:t>
            </w:r>
          </w:p>
        </w:tc>
      </w:tr>
      <w:tr w:rsidR="00E83E0C">
        <w:trPr>
          <w:trHeight w:val="340"/>
          <w:jc w:val="center"/>
        </w:trPr>
        <w:tc>
          <w:tcPr>
            <w:tcW w:w="1757" w:type="dxa"/>
            <w:vMerge/>
            <w:shd w:val="clear" w:color="auto" w:fill="auto"/>
            <w:vAlign w:val="center"/>
          </w:tcPr>
          <w:p w:rsidR="004E1601" w:rsidRPr="00315D72" w:rsidRDefault="004E1601" w:rsidP="004E1601">
            <w:pPr>
              <w:adjustRightInd w:val="0"/>
              <w:snapToGrid w:val="0"/>
              <w:rPr>
                <w:rFonts w:cs="方正仿宋简体"/>
                <w:iCs/>
                <w:szCs w:val="21"/>
              </w:rPr>
            </w:pPr>
          </w:p>
        </w:tc>
        <w:tc>
          <w:tcPr>
            <w:tcW w:w="2887" w:type="dxa"/>
            <w:vMerge/>
            <w:shd w:val="clear" w:color="auto" w:fill="auto"/>
            <w:vAlign w:val="center"/>
          </w:tcPr>
          <w:p w:rsidR="004E1601" w:rsidRPr="00315D72" w:rsidRDefault="004E1601" w:rsidP="004E1601">
            <w:pPr>
              <w:adjustRightInd w:val="0"/>
              <w:snapToGrid w:val="0"/>
              <w:rPr>
                <w:rFonts w:cs="方正仿宋简体"/>
                <w:iCs/>
                <w:szCs w:val="21"/>
              </w:rPr>
            </w:pPr>
          </w:p>
        </w:tc>
        <w:tc>
          <w:tcPr>
            <w:tcW w:w="1701" w:type="dxa"/>
            <w:shd w:val="clear" w:color="auto" w:fill="auto"/>
            <w:vAlign w:val="center"/>
          </w:tcPr>
          <w:p w:rsidR="00E83E0C" w:rsidRDefault="00E97899">
            <w:pPr>
              <w:adjustRightInd w:val="0"/>
              <w:snapToGrid w:val="0"/>
              <w:rPr>
                <w:rFonts w:cs="方正仿宋简体"/>
                <w:iCs/>
                <w:szCs w:val="21"/>
              </w:rPr>
            </w:pPr>
            <w:r>
              <w:rPr>
                <w:rFonts w:cs="方正仿宋简体" w:hint="eastAsia"/>
                <w:iCs/>
                <w:szCs w:val="21"/>
              </w:rPr>
              <w:t>证券从业日期</w:t>
            </w:r>
          </w:p>
        </w:tc>
        <w:tc>
          <w:tcPr>
            <w:tcW w:w="2835" w:type="dxa"/>
            <w:shd w:val="clear" w:color="auto" w:fill="auto"/>
            <w:vAlign w:val="center"/>
          </w:tcPr>
          <w:p w:rsidR="00E83E0C" w:rsidRDefault="00E97899">
            <w:pPr>
              <w:adjustRightInd w:val="0"/>
              <w:snapToGrid w:val="0"/>
              <w:rPr>
                <w:rFonts w:cs="方正仿宋简体"/>
                <w:iCs/>
                <w:szCs w:val="21"/>
              </w:rPr>
            </w:pPr>
            <w:r>
              <w:rPr>
                <w:rFonts w:cs="方正仿宋简体" w:hint="eastAsia"/>
                <w:iCs/>
                <w:szCs w:val="21"/>
              </w:rPr>
              <w:t>2011</w:t>
            </w:r>
            <w:r>
              <w:rPr>
                <w:rFonts w:cs="方正仿宋简体" w:hint="eastAsia"/>
                <w:iCs/>
                <w:szCs w:val="21"/>
              </w:rPr>
              <w:t>年</w:t>
            </w:r>
            <w:r>
              <w:rPr>
                <w:rFonts w:cs="方正仿宋简体" w:hint="eastAsia"/>
                <w:iCs/>
                <w:szCs w:val="21"/>
              </w:rPr>
              <w:t>07</w:t>
            </w:r>
            <w:r>
              <w:rPr>
                <w:rFonts w:cs="方正仿宋简体" w:hint="eastAsia"/>
                <w:iCs/>
                <w:szCs w:val="21"/>
              </w:rPr>
              <w:t>月</w:t>
            </w:r>
            <w:r>
              <w:rPr>
                <w:rFonts w:cs="方正仿宋简体" w:hint="eastAsia"/>
                <w:iCs/>
                <w:szCs w:val="21"/>
              </w:rPr>
              <w:t>28</w:t>
            </w:r>
            <w:r>
              <w:rPr>
                <w:rFonts w:cs="方正仿宋简体" w:hint="eastAsia"/>
                <w:iCs/>
                <w:szCs w:val="21"/>
              </w:rPr>
              <w:t>日</w:t>
            </w:r>
          </w:p>
        </w:tc>
      </w:tr>
    </w:tbl>
    <w:p w:rsidR="00E83E0C" w:rsidRDefault="00E97899">
      <w:pPr>
        <w:adjustRightInd w:val="0"/>
        <w:snapToGrid w:val="0"/>
        <w:spacing w:beforeLines="20" w:before="87" w:line="288" w:lineRule="auto"/>
        <w:rPr>
          <w:rFonts w:cs="方正仿宋简体"/>
          <w:iCs/>
          <w:szCs w:val="21"/>
        </w:rPr>
      </w:pPr>
      <w:r>
        <w:rPr>
          <w:rFonts w:cs="方正仿宋简体" w:hint="eastAsia"/>
          <w:iCs/>
          <w:szCs w:val="21"/>
        </w:rPr>
        <w:t>注：本基金基金类型为偏债混合型基金中基金。</w:t>
      </w:r>
    </w:p>
    <w:p w:rsidR="006F366F" w:rsidRPr="005F6CAD" w:rsidRDefault="006F366F" w:rsidP="000776C8">
      <w:pPr>
        <w:pStyle w:val="1"/>
      </w:pPr>
      <w:r w:rsidRPr="005F6CAD">
        <w:rPr>
          <w:rFonts w:hint="eastAsia"/>
        </w:rPr>
        <w:t>基金投资与净值表现</w:t>
      </w:r>
    </w:p>
    <w:p w:rsidR="00BC4EFB" w:rsidRDefault="00BC4EFB" w:rsidP="000776C8">
      <w:pPr>
        <w:pStyle w:val="2"/>
      </w:pPr>
      <w:r w:rsidRPr="000776C8">
        <w:rPr>
          <w:rFonts w:hint="eastAsia"/>
        </w:rPr>
        <w:t>投资目标与投资策略</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7"/>
        <w:gridCol w:w="7423"/>
      </w:tblGrid>
      <w:tr w:rsidR="00E83E0C">
        <w:trPr>
          <w:trHeight w:val="340"/>
          <w:jc w:val="center"/>
        </w:trPr>
        <w:tc>
          <w:tcPr>
            <w:tcW w:w="1757" w:type="dxa"/>
            <w:shd w:val="clear" w:color="auto" w:fill="auto"/>
            <w:vAlign w:val="center"/>
          </w:tcPr>
          <w:p w:rsidR="00E83E0C" w:rsidRDefault="00E97899">
            <w:pPr>
              <w:pStyle w:val="ae"/>
            </w:pPr>
            <w:r>
              <w:rPr>
                <w:rFonts w:hint="eastAsia"/>
              </w:rPr>
              <w:t>投资目标</w:t>
            </w:r>
          </w:p>
        </w:tc>
        <w:tc>
          <w:tcPr>
            <w:tcW w:w="7423" w:type="dxa"/>
            <w:shd w:val="clear" w:color="auto" w:fill="auto"/>
            <w:vAlign w:val="center"/>
          </w:tcPr>
          <w:p w:rsidR="00E83E0C" w:rsidRDefault="00E97899">
            <w:pPr>
              <w:pStyle w:val="ae"/>
            </w:pPr>
            <w:r>
              <w:rPr>
                <w:rFonts w:hint="eastAsia"/>
              </w:rPr>
              <w:t>本基金在严格控制风险的前提下，通过资产配置和基金精选策略，力争实现基金资产的长期稳健增值。</w:t>
            </w:r>
          </w:p>
        </w:tc>
      </w:tr>
      <w:tr w:rsidR="00E83E0C">
        <w:trPr>
          <w:trHeight w:val="340"/>
          <w:jc w:val="center"/>
        </w:trPr>
        <w:tc>
          <w:tcPr>
            <w:tcW w:w="1757" w:type="dxa"/>
            <w:shd w:val="clear" w:color="auto" w:fill="auto"/>
            <w:vAlign w:val="center"/>
          </w:tcPr>
          <w:p w:rsidR="00E83E0C" w:rsidRDefault="00E97899">
            <w:pPr>
              <w:pStyle w:val="ae"/>
            </w:pPr>
            <w:r>
              <w:rPr>
                <w:rFonts w:hint="eastAsia"/>
              </w:rPr>
              <w:t>投资范围</w:t>
            </w:r>
          </w:p>
        </w:tc>
        <w:tc>
          <w:tcPr>
            <w:tcW w:w="7423" w:type="dxa"/>
            <w:shd w:val="clear" w:color="auto" w:fill="auto"/>
            <w:vAlign w:val="center"/>
          </w:tcPr>
          <w:p w:rsidR="00E83E0C" w:rsidRDefault="00E97899">
            <w:pPr>
              <w:pStyle w:val="ae"/>
            </w:pPr>
            <w:r>
              <w:rPr>
                <w:rFonts w:hint="eastAsia"/>
              </w:rPr>
              <w:t>本基金的投资范围包括经中国证监会依法核准或注册的公开募集的基金份额（包括商品基金（含商品期货基金和黄金</w:t>
            </w:r>
            <w:r>
              <w:rPr>
                <w:rFonts w:hint="eastAsia"/>
              </w:rPr>
              <w:t>ETF</w:t>
            </w:r>
            <w:r>
              <w:rPr>
                <w:rFonts w:hint="eastAsia"/>
              </w:rPr>
              <w:t>，下同）、</w:t>
            </w:r>
            <w:r>
              <w:rPr>
                <w:rFonts w:hint="eastAsia"/>
              </w:rPr>
              <w:t>QDII</w:t>
            </w:r>
            <w:r>
              <w:rPr>
                <w:rFonts w:hint="eastAsia"/>
              </w:rPr>
              <w:t>基金、香港互认基金、公开募集基础设施证券投资基金（以下简称“公募</w:t>
            </w:r>
            <w:r>
              <w:rPr>
                <w:rFonts w:hint="eastAsia"/>
              </w:rPr>
              <w:t>REITs</w:t>
            </w:r>
            <w:r>
              <w:rPr>
                <w:rFonts w:hint="eastAsia"/>
              </w:rPr>
              <w:t>”））、国内依法公开发行上市交易的股票（包括主板、科创板、创业板及其他中国证监会允许发行的股票）、存托凭证、港股通标的证券（包括股票和</w:t>
            </w:r>
            <w:r>
              <w:rPr>
                <w:rFonts w:hint="eastAsia"/>
              </w:rPr>
              <w:t>ETF</w:t>
            </w:r>
            <w:r>
              <w:rPr>
                <w:rFonts w:hint="eastAsia"/>
              </w:rPr>
              <w:t>）、债券（包括国债、地方政府债、金融债、企业债、公司债、政府支持债券、政府支持机构债、次级债、可转换债券、分离交易可转债、央行票据、中期票据、短期融资券（含超短期融资券）、</w:t>
            </w:r>
            <w:r>
              <w:rPr>
                <w:rFonts w:hint="eastAsia"/>
              </w:rPr>
              <w:t>可交换债券）、资产支持证券、债券回购、银行存款（包括定期存款、协议存款、通知存款等）、同业存单、货币市场工具以及法律法规或中国证监会允许基金投资的其他金融工具（但须符合中国证监会的相关规定）。</w:t>
            </w:r>
          </w:p>
          <w:p w:rsidR="00E83E0C" w:rsidRDefault="00E97899">
            <w:pPr>
              <w:pStyle w:val="ae"/>
            </w:pPr>
            <w:r>
              <w:rPr>
                <w:rFonts w:hint="eastAsia"/>
              </w:rPr>
              <w:t>如法律法规或监管机构以后允许基金投资其他品种，基金管理人在履行适当程序后，可以将其纳入投资范围。</w:t>
            </w:r>
          </w:p>
          <w:p w:rsidR="00E83E0C" w:rsidRDefault="00E97899">
            <w:pPr>
              <w:pStyle w:val="ae"/>
            </w:pPr>
            <w:r>
              <w:rPr>
                <w:rFonts w:hint="eastAsia"/>
              </w:rPr>
              <w:t>基金的投资组合比例为：本基金投资于经中国证监会依法核准或注册的公开募集的基金份额的资产占基金资产的比例不低于</w:t>
            </w:r>
            <w:r>
              <w:rPr>
                <w:rFonts w:hint="eastAsia"/>
              </w:rPr>
              <w:t>80%</w:t>
            </w:r>
            <w:r>
              <w:rPr>
                <w:rFonts w:hint="eastAsia"/>
              </w:rPr>
              <w:t>。本基金投资于股票、存托凭证、股票型基金（含股票型指数基金）、偏股混合型基金等权益类资产合计占基金资产的比</w:t>
            </w:r>
            <w:r>
              <w:rPr>
                <w:rFonts w:hint="eastAsia"/>
              </w:rPr>
              <w:t>例为</w:t>
            </w:r>
            <w:r>
              <w:rPr>
                <w:rFonts w:hint="eastAsia"/>
              </w:rPr>
              <w:t>5%-30%</w:t>
            </w:r>
            <w:r>
              <w:rPr>
                <w:rFonts w:hint="eastAsia"/>
              </w:rPr>
              <w:t>，投资于</w:t>
            </w:r>
            <w:r>
              <w:rPr>
                <w:rFonts w:hint="eastAsia"/>
              </w:rPr>
              <w:t>QDII</w:t>
            </w:r>
            <w:r>
              <w:rPr>
                <w:rFonts w:hint="eastAsia"/>
              </w:rPr>
              <w:t>基金和香港互认基金的资产占基金资产的比例不高于</w:t>
            </w:r>
            <w:r>
              <w:rPr>
                <w:rFonts w:hint="eastAsia"/>
              </w:rPr>
              <w:t>20%</w:t>
            </w:r>
            <w:r>
              <w:rPr>
                <w:rFonts w:hint="eastAsia"/>
              </w:rPr>
              <w:t>，投资于商品基金（含商品期货基金和黄金</w:t>
            </w:r>
            <w:r>
              <w:rPr>
                <w:rFonts w:hint="eastAsia"/>
              </w:rPr>
              <w:t>ETF</w:t>
            </w:r>
            <w:r>
              <w:rPr>
                <w:rFonts w:hint="eastAsia"/>
              </w:rPr>
              <w:t>）的资产占基金资产的比例不高于</w:t>
            </w:r>
            <w:r>
              <w:rPr>
                <w:rFonts w:hint="eastAsia"/>
              </w:rPr>
              <w:t>10%</w:t>
            </w:r>
            <w:r>
              <w:rPr>
                <w:rFonts w:hint="eastAsia"/>
              </w:rPr>
              <w:t>，投资于货币市场基金的资产占基金资产的比例不高于</w:t>
            </w:r>
            <w:r>
              <w:rPr>
                <w:rFonts w:hint="eastAsia"/>
              </w:rPr>
              <w:t>15%</w:t>
            </w:r>
            <w:r>
              <w:rPr>
                <w:rFonts w:hint="eastAsia"/>
              </w:rPr>
              <w:t>。本基金投资于港股通标的股票的比例占股票资产的</w:t>
            </w:r>
            <w:r>
              <w:rPr>
                <w:rFonts w:hint="eastAsia"/>
              </w:rPr>
              <w:t>0%-50%</w:t>
            </w:r>
            <w:r>
              <w:rPr>
                <w:rFonts w:hint="eastAsia"/>
              </w:rPr>
              <w:t>。本基金应当保持不低于基金资产净值</w:t>
            </w:r>
            <w:r>
              <w:rPr>
                <w:rFonts w:hint="eastAsia"/>
              </w:rPr>
              <w:t>5%</w:t>
            </w:r>
            <w:r>
              <w:rPr>
                <w:rFonts w:hint="eastAsia"/>
              </w:rPr>
              <w:t>的现金或者到期日在一年以内的政府债券；其中，现金不包括结算备付金、存出保证金、应收申购款等。其中，计入上述权益类资产</w:t>
            </w:r>
            <w:r>
              <w:rPr>
                <w:rFonts w:hint="eastAsia"/>
              </w:rPr>
              <w:lastRenderedPageBreak/>
              <w:t>的偏股混合型基金需符合下列两个条件之一：</w:t>
            </w:r>
          </w:p>
          <w:p w:rsidR="00E83E0C" w:rsidRDefault="00E97899">
            <w:pPr>
              <w:pStyle w:val="ae"/>
            </w:pPr>
            <w:r>
              <w:rPr>
                <w:rFonts w:hint="eastAsia"/>
              </w:rPr>
              <w:t>1</w:t>
            </w:r>
            <w:r>
              <w:rPr>
                <w:rFonts w:hint="eastAsia"/>
              </w:rPr>
              <w:t>、基金合同约定股票及存托凭证资产投资比</w:t>
            </w:r>
            <w:r>
              <w:rPr>
                <w:rFonts w:hint="eastAsia"/>
              </w:rPr>
              <w:t>例不低于基金资产</w:t>
            </w:r>
            <w:r>
              <w:rPr>
                <w:rFonts w:hint="eastAsia"/>
              </w:rPr>
              <w:t>60%</w:t>
            </w:r>
            <w:r>
              <w:rPr>
                <w:rFonts w:hint="eastAsia"/>
              </w:rPr>
              <w:t>的混合型基金；</w:t>
            </w:r>
          </w:p>
          <w:p w:rsidR="00E83E0C" w:rsidRDefault="00E97899">
            <w:pPr>
              <w:pStyle w:val="ae"/>
            </w:pPr>
            <w:r>
              <w:rPr>
                <w:rFonts w:hint="eastAsia"/>
              </w:rPr>
              <w:t>2</w:t>
            </w:r>
            <w:r>
              <w:rPr>
                <w:rFonts w:hint="eastAsia"/>
              </w:rPr>
              <w:t>、根据基金披露的定期报告，最近四个季度股票及存托凭证资产占基金资产比例均不低于</w:t>
            </w:r>
            <w:r>
              <w:rPr>
                <w:rFonts w:hint="eastAsia"/>
              </w:rPr>
              <w:t>60%</w:t>
            </w:r>
            <w:r>
              <w:rPr>
                <w:rFonts w:hint="eastAsia"/>
              </w:rPr>
              <w:t>的混合型基金。</w:t>
            </w:r>
          </w:p>
          <w:p w:rsidR="00E83E0C" w:rsidRDefault="00E97899">
            <w:pPr>
              <w:pStyle w:val="ae"/>
            </w:pPr>
            <w:r>
              <w:rPr>
                <w:rFonts w:hint="eastAsia"/>
              </w:rPr>
              <w:t>如果法律法规或监管机构对该比例要求有变更的，在履行适当程序后，以变更后的比例为准，本基金的投资比例会做相应调整。</w:t>
            </w:r>
          </w:p>
        </w:tc>
      </w:tr>
      <w:tr w:rsidR="00E83E0C">
        <w:trPr>
          <w:trHeight w:val="340"/>
          <w:jc w:val="center"/>
        </w:trPr>
        <w:tc>
          <w:tcPr>
            <w:tcW w:w="1757" w:type="dxa"/>
            <w:shd w:val="clear" w:color="auto" w:fill="auto"/>
            <w:vAlign w:val="center"/>
          </w:tcPr>
          <w:p w:rsidR="00E83E0C" w:rsidRDefault="00E97899">
            <w:pPr>
              <w:pStyle w:val="ae"/>
            </w:pPr>
            <w:r>
              <w:rPr>
                <w:rFonts w:hint="eastAsia"/>
              </w:rPr>
              <w:lastRenderedPageBreak/>
              <w:t>主要投资策略</w:t>
            </w:r>
          </w:p>
        </w:tc>
        <w:tc>
          <w:tcPr>
            <w:tcW w:w="7423" w:type="dxa"/>
            <w:shd w:val="clear" w:color="auto" w:fill="auto"/>
            <w:vAlign w:val="center"/>
          </w:tcPr>
          <w:p w:rsidR="00E83E0C" w:rsidRDefault="00E97899">
            <w:pPr>
              <w:pStyle w:val="ae"/>
            </w:pPr>
            <w:r>
              <w:rPr>
                <w:rFonts w:hint="eastAsia"/>
              </w:rPr>
              <w:t>本基金在对宏观经济、政策环境、利率走势、资金供给以及证券市场的现状及发展趋势等因素进行深入分析研究的基础上，动态配置权益类资产、固定收益类资产以及现金类资产等大类资产之间的比例。在基金投资方面，本基金采用定量分析和定性分析相结合的方式，一方面通过严格的量化规则筛选有潜在投资价值的标的纳入研究范围，另一方面结合所选基金的基金管理人的基本情况和投研文化等定性因素进行二次研判，双重维度力求筛选出中长期业绩稳定的优秀基金；在债券投资方面，本基金将基于对国内外宏观经济形势的深入分析、国内财政政策与货币政策等因素对债券</w:t>
            </w:r>
            <w:r>
              <w:rPr>
                <w:rFonts w:hint="eastAsia"/>
              </w:rPr>
              <w:t>市场的影响，进行合理的利率预期，判断债券市场的基本走势，制定久期控制下的资产类属配置策略；在股票投资方面，本基金注重控制股票市场下跌风险，力求分享股票市场成长收益。本基金的可转换债券（含分离交易可转债）及可交换债券投资策略、资产支持证券投资策略、港股通标的证券投资策略、存托凭证投资策略和公募</w:t>
            </w:r>
            <w:r>
              <w:rPr>
                <w:rFonts w:hint="eastAsia"/>
              </w:rPr>
              <w:t>REITs</w:t>
            </w:r>
            <w:r>
              <w:rPr>
                <w:rFonts w:hint="eastAsia"/>
              </w:rPr>
              <w:t>投资策略详见法律文件。</w:t>
            </w:r>
          </w:p>
        </w:tc>
      </w:tr>
      <w:tr w:rsidR="00E83E0C">
        <w:trPr>
          <w:trHeight w:val="340"/>
          <w:jc w:val="center"/>
        </w:trPr>
        <w:tc>
          <w:tcPr>
            <w:tcW w:w="1757" w:type="dxa"/>
            <w:shd w:val="clear" w:color="auto" w:fill="auto"/>
            <w:vAlign w:val="center"/>
          </w:tcPr>
          <w:p w:rsidR="00E83E0C" w:rsidRDefault="00E97899">
            <w:pPr>
              <w:pStyle w:val="ae"/>
            </w:pPr>
            <w:r>
              <w:rPr>
                <w:rFonts w:hint="eastAsia"/>
              </w:rPr>
              <w:t>业绩比较基准</w:t>
            </w:r>
          </w:p>
        </w:tc>
        <w:tc>
          <w:tcPr>
            <w:tcW w:w="7423" w:type="dxa"/>
            <w:shd w:val="clear" w:color="auto" w:fill="auto"/>
            <w:vAlign w:val="center"/>
          </w:tcPr>
          <w:p w:rsidR="00E83E0C" w:rsidRDefault="00E97899">
            <w:pPr>
              <w:pStyle w:val="ae"/>
            </w:pPr>
            <w:r>
              <w:rPr>
                <w:rFonts w:hint="eastAsia"/>
              </w:rPr>
              <w:t>中证偏股型基金指数收益率×</w:t>
            </w:r>
            <w:r>
              <w:rPr>
                <w:rFonts w:hint="eastAsia"/>
              </w:rPr>
              <w:t>12%+</w:t>
            </w:r>
            <w:r>
              <w:rPr>
                <w:rFonts w:hint="eastAsia"/>
              </w:rPr>
              <w:t>上海黄金交易所</w:t>
            </w:r>
            <w:r>
              <w:rPr>
                <w:rFonts w:hint="eastAsia"/>
              </w:rPr>
              <w:t>Au99.99</w:t>
            </w:r>
            <w:r>
              <w:rPr>
                <w:rFonts w:hint="eastAsia"/>
              </w:rPr>
              <w:t>现货实盘合约收益率×</w:t>
            </w:r>
            <w:r>
              <w:rPr>
                <w:rFonts w:hint="eastAsia"/>
              </w:rPr>
              <w:t>3%+</w:t>
            </w:r>
            <w:r>
              <w:rPr>
                <w:rFonts w:hint="eastAsia"/>
              </w:rPr>
              <w:t>中证纯债债券型基金指数收益率×</w:t>
            </w:r>
            <w:r>
              <w:rPr>
                <w:rFonts w:hint="eastAsia"/>
              </w:rPr>
              <w:t>80%+</w:t>
            </w:r>
            <w:r>
              <w:rPr>
                <w:rFonts w:hint="eastAsia"/>
              </w:rPr>
              <w:t>银行人民币活期存款利率</w:t>
            </w:r>
            <w:r>
              <w:rPr>
                <w:rFonts w:hint="eastAsia"/>
              </w:rPr>
              <w:t>(</w:t>
            </w:r>
            <w:r>
              <w:rPr>
                <w:rFonts w:hint="eastAsia"/>
              </w:rPr>
              <w:t>税后</w:t>
            </w:r>
            <w:r>
              <w:rPr>
                <w:rFonts w:hint="eastAsia"/>
              </w:rPr>
              <w:t>)</w:t>
            </w:r>
            <w:r>
              <w:rPr>
                <w:rFonts w:hint="eastAsia"/>
              </w:rPr>
              <w:t>×</w:t>
            </w:r>
            <w:r>
              <w:rPr>
                <w:rFonts w:hint="eastAsia"/>
              </w:rPr>
              <w:t>5%</w:t>
            </w:r>
          </w:p>
        </w:tc>
      </w:tr>
      <w:tr w:rsidR="00E83E0C">
        <w:trPr>
          <w:trHeight w:val="340"/>
          <w:jc w:val="center"/>
        </w:trPr>
        <w:tc>
          <w:tcPr>
            <w:tcW w:w="1757" w:type="dxa"/>
            <w:shd w:val="clear" w:color="auto" w:fill="auto"/>
            <w:vAlign w:val="center"/>
          </w:tcPr>
          <w:p w:rsidR="00E83E0C" w:rsidRDefault="00E97899">
            <w:pPr>
              <w:pStyle w:val="ae"/>
            </w:pPr>
            <w:r>
              <w:rPr>
                <w:rFonts w:hint="eastAsia"/>
              </w:rPr>
              <w:t>风险</w:t>
            </w:r>
            <w:r>
              <w:rPr>
                <w:rFonts w:hint="eastAsia"/>
              </w:rPr>
              <w:t>收益特征</w:t>
            </w:r>
          </w:p>
        </w:tc>
        <w:tc>
          <w:tcPr>
            <w:tcW w:w="7423" w:type="dxa"/>
            <w:shd w:val="clear" w:color="auto" w:fill="auto"/>
            <w:vAlign w:val="center"/>
          </w:tcPr>
          <w:p w:rsidR="00E83E0C" w:rsidRDefault="00E97899">
            <w:pPr>
              <w:pStyle w:val="ae"/>
            </w:pPr>
            <w:r>
              <w:rPr>
                <w:rFonts w:hint="eastAsia"/>
              </w:rPr>
              <w:t>本基金为混合型基金中基金，在通常情况下其预期收益及预期风险水平高于债券型基金、货币市场基金、债券型基金中基金和货币型基金中基金，低于股票型基金和股票型基金中基金。本基金投资港股通标的证券的，需承担港股通机制下因投资环境、投资标的、市场制度以及交易规则等差异带来的特有风险。</w:t>
            </w:r>
          </w:p>
        </w:tc>
      </w:tr>
    </w:tbl>
    <w:p w:rsidR="00E10111" w:rsidRPr="00AA62CC" w:rsidRDefault="009D4653" w:rsidP="00E10111">
      <w:pPr>
        <w:adjustRightInd w:val="0"/>
        <w:snapToGrid w:val="0"/>
        <w:spacing w:beforeLines="20" w:before="87" w:line="288" w:lineRule="auto"/>
        <w:rPr>
          <w:rFonts w:cs="方正仿宋简体"/>
          <w:iCs/>
          <w:szCs w:val="21"/>
        </w:rPr>
      </w:pPr>
      <w:r>
        <w:rPr>
          <w:rFonts w:cs="方正仿宋简体" w:hint="eastAsia"/>
          <w:iCs/>
          <w:szCs w:val="21"/>
        </w:rPr>
        <w:t>注：详情请阅读《招募说明书》中“基金的投资”章节的相关内容。</w:t>
      </w:r>
    </w:p>
    <w:p w:rsidR="006F366F" w:rsidRPr="00A14942" w:rsidRDefault="006F366F" w:rsidP="000776C8">
      <w:pPr>
        <w:pStyle w:val="1"/>
      </w:pPr>
      <w:r w:rsidRPr="00A14942">
        <w:rPr>
          <w:rFonts w:hint="eastAsia"/>
        </w:rPr>
        <w:t>投资本基金涉及的费用</w:t>
      </w:r>
    </w:p>
    <w:p w:rsidR="00D5603D" w:rsidRDefault="00A535E9" w:rsidP="000776C8">
      <w:pPr>
        <w:pStyle w:val="2"/>
        <w:numPr>
          <w:ilvl w:val="1"/>
          <w:numId w:val="14"/>
        </w:numPr>
      </w:pPr>
      <w:r w:rsidRPr="00ED3BD1">
        <w:rPr>
          <w:rFonts w:hint="eastAsia"/>
        </w:rPr>
        <w:t>基金销售相关费用</w:t>
      </w:r>
    </w:p>
    <w:tbl>
      <w:tblPr>
        <w:tblW w:w="492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2925"/>
        <w:gridCol w:w="1984"/>
        <w:gridCol w:w="1982"/>
      </w:tblGrid>
      <w:tr w:rsidR="00D97BE2" w:rsidRPr="00165774" w:rsidTr="00B457F0">
        <w:trPr>
          <w:trHeight w:val="340"/>
        </w:trPr>
        <w:tc>
          <w:tcPr>
            <w:tcW w:w="1092" w:type="pct"/>
            <w:shd w:val="clear" w:color="auto" w:fill="auto"/>
            <w:vAlign w:val="center"/>
          </w:tcPr>
          <w:p w:rsidR="009240F7" w:rsidRPr="00BA55B0" w:rsidRDefault="009240F7" w:rsidP="000776C8">
            <w:pPr>
              <w:widowControl w:val="0"/>
              <w:adjustRightInd w:val="0"/>
              <w:snapToGrid w:val="0"/>
              <w:jc w:val="center"/>
            </w:pPr>
            <w:r w:rsidRPr="00BA55B0">
              <w:rPr>
                <w:rFonts w:hint="eastAsia"/>
              </w:rPr>
              <w:t>费用类型</w:t>
            </w:r>
          </w:p>
        </w:tc>
        <w:tc>
          <w:tcPr>
            <w:tcW w:w="1659" w:type="pct"/>
            <w:shd w:val="clear" w:color="auto" w:fill="auto"/>
            <w:vAlign w:val="center"/>
          </w:tcPr>
          <w:p w:rsidR="009240F7" w:rsidRPr="00BA55B0" w:rsidRDefault="009240F7" w:rsidP="000776C8">
            <w:pPr>
              <w:widowControl w:val="0"/>
              <w:adjustRightInd w:val="0"/>
              <w:snapToGrid w:val="0"/>
              <w:jc w:val="center"/>
            </w:pPr>
            <w:r w:rsidRPr="00BA55B0">
              <w:rPr>
                <w:rFonts w:hint="eastAsia"/>
              </w:rPr>
              <w:t>金额（M）</w:t>
            </w:r>
            <w:r w:rsidR="00A7537D" w:rsidRPr="00BA55B0">
              <w:rPr>
                <w:rFonts w:hint="eastAsia"/>
              </w:rPr>
              <w:t>/</w:t>
            </w:r>
            <w:r w:rsidR="003134F0" w:rsidRPr="00BA55B0">
              <w:rPr>
                <w:rFonts w:hint="eastAsia"/>
              </w:rPr>
              <w:t>持有期限（N）</w:t>
            </w:r>
          </w:p>
        </w:tc>
        <w:tc>
          <w:tcPr>
            <w:tcW w:w="1125" w:type="pct"/>
            <w:shd w:val="clear" w:color="auto" w:fill="auto"/>
            <w:vAlign w:val="center"/>
          </w:tcPr>
          <w:p w:rsidR="009240F7" w:rsidRPr="00BA55B0" w:rsidRDefault="009240F7" w:rsidP="000776C8">
            <w:pPr>
              <w:widowControl w:val="0"/>
              <w:adjustRightInd w:val="0"/>
              <w:snapToGrid w:val="0"/>
              <w:jc w:val="center"/>
            </w:pPr>
            <w:r w:rsidRPr="00BA55B0">
              <w:rPr>
                <w:rFonts w:hint="eastAsia"/>
              </w:rPr>
              <w:t>费率（普通客户）</w:t>
            </w:r>
          </w:p>
        </w:tc>
        <w:tc>
          <w:tcPr>
            <w:tcW w:w="1124" w:type="pct"/>
            <w:shd w:val="clear" w:color="auto" w:fill="auto"/>
            <w:vAlign w:val="center"/>
          </w:tcPr>
          <w:p w:rsidR="009240F7" w:rsidRPr="00BA55B0" w:rsidRDefault="009240F7" w:rsidP="000776C8">
            <w:pPr>
              <w:widowControl w:val="0"/>
              <w:adjustRightInd w:val="0"/>
              <w:snapToGrid w:val="0"/>
              <w:jc w:val="center"/>
            </w:pPr>
            <w:r w:rsidRPr="00BA55B0">
              <w:rPr>
                <w:rFonts w:hint="eastAsia"/>
              </w:rPr>
              <w:t>费率（特定客户）</w:t>
            </w:r>
          </w:p>
        </w:tc>
      </w:tr>
      <w:tr w:rsidR="00E83E0C">
        <w:trPr>
          <w:trHeight w:val="340"/>
        </w:trPr>
        <w:tc>
          <w:tcPr>
            <w:tcW w:w="1092" w:type="pct"/>
            <w:vMerge w:val="restart"/>
            <w:shd w:val="clear" w:color="auto" w:fill="auto"/>
            <w:vAlign w:val="center"/>
          </w:tcPr>
          <w:p w:rsidR="00E83E0C" w:rsidRDefault="00E97899">
            <w:pPr>
              <w:adjustRightInd w:val="0"/>
              <w:snapToGrid w:val="0"/>
              <w:jc w:val="center"/>
              <w:rPr>
                <w:rFonts w:cs="方正仿宋简体"/>
                <w:iCs/>
                <w:szCs w:val="21"/>
              </w:rPr>
            </w:pPr>
            <w:r>
              <w:rPr>
                <w:rFonts w:cs="方正仿宋简体"/>
                <w:iCs/>
                <w:szCs w:val="21"/>
              </w:rPr>
              <w:t>认购费</w:t>
            </w:r>
          </w:p>
        </w:tc>
        <w:tc>
          <w:tcPr>
            <w:tcW w:w="1659" w:type="pct"/>
            <w:shd w:val="clear" w:color="auto" w:fill="FFFFFF"/>
            <w:vAlign w:val="center"/>
          </w:tcPr>
          <w:p w:rsidR="00E83E0C" w:rsidRDefault="00E97899">
            <w:pPr>
              <w:adjustRightInd w:val="0"/>
              <w:snapToGrid w:val="0"/>
              <w:jc w:val="center"/>
              <w:rPr>
                <w:rFonts w:cs="方正仿宋简体"/>
                <w:iCs/>
                <w:szCs w:val="21"/>
              </w:rPr>
            </w:pPr>
            <w:r>
              <w:rPr>
                <w:rFonts w:cs="方正仿宋简体"/>
                <w:iCs/>
                <w:szCs w:val="21"/>
              </w:rPr>
              <w:t>M</w:t>
            </w:r>
            <w:r>
              <w:rPr>
                <w:rFonts w:cs="方正仿宋简体"/>
                <w:iCs/>
                <w:szCs w:val="21"/>
              </w:rPr>
              <w:t>＜</w:t>
            </w:r>
            <w:r>
              <w:rPr>
                <w:rFonts w:cs="方正仿宋简体"/>
                <w:iCs/>
                <w:szCs w:val="21"/>
              </w:rPr>
              <w:t>100</w:t>
            </w:r>
            <w:r>
              <w:rPr>
                <w:rFonts w:cs="方正仿宋简体"/>
                <w:iCs/>
                <w:szCs w:val="21"/>
              </w:rPr>
              <w:t>万</w:t>
            </w:r>
          </w:p>
        </w:tc>
        <w:tc>
          <w:tcPr>
            <w:tcW w:w="1125" w:type="pct"/>
            <w:shd w:val="clear" w:color="auto" w:fill="FFFFFF"/>
            <w:vAlign w:val="center"/>
          </w:tcPr>
          <w:p w:rsidR="00E83E0C" w:rsidRDefault="00E97899">
            <w:pPr>
              <w:adjustRightInd w:val="0"/>
              <w:snapToGrid w:val="0"/>
              <w:jc w:val="center"/>
              <w:rPr>
                <w:rFonts w:cs="方正仿宋简体"/>
                <w:iCs/>
                <w:szCs w:val="21"/>
              </w:rPr>
            </w:pPr>
            <w:r>
              <w:rPr>
                <w:rFonts w:cs="方正仿宋简体"/>
                <w:iCs/>
                <w:szCs w:val="21"/>
              </w:rPr>
              <w:t>0.3%</w:t>
            </w:r>
          </w:p>
        </w:tc>
        <w:tc>
          <w:tcPr>
            <w:tcW w:w="1124" w:type="pct"/>
            <w:shd w:val="clear" w:color="auto" w:fill="auto"/>
            <w:vAlign w:val="center"/>
          </w:tcPr>
          <w:p w:rsidR="00E83E0C" w:rsidRDefault="00E97899">
            <w:pPr>
              <w:adjustRightInd w:val="0"/>
              <w:snapToGrid w:val="0"/>
              <w:jc w:val="center"/>
              <w:rPr>
                <w:rFonts w:cs="方正仿宋简体"/>
                <w:iCs/>
                <w:szCs w:val="21"/>
              </w:rPr>
            </w:pPr>
            <w:r>
              <w:rPr>
                <w:rFonts w:cs="方正仿宋简体"/>
                <w:iCs/>
                <w:szCs w:val="21"/>
              </w:rPr>
              <w:t>0.03%</w:t>
            </w:r>
          </w:p>
        </w:tc>
      </w:tr>
      <w:tr w:rsidR="00E83E0C">
        <w:trPr>
          <w:trHeight w:val="340"/>
        </w:trPr>
        <w:tc>
          <w:tcPr>
            <w:tcW w:w="1092" w:type="pct"/>
            <w:vMerge/>
            <w:shd w:val="clear" w:color="auto" w:fill="auto"/>
            <w:vAlign w:val="center"/>
          </w:tcPr>
          <w:p w:rsidR="00E83E0C" w:rsidRDefault="00E83E0C">
            <w:pPr>
              <w:adjustRightInd w:val="0"/>
              <w:snapToGrid w:val="0"/>
              <w:jc w:val="center"/>
              <w:rPr>
                <w:rFonts w:cs="方正仿宋简体"/>
                <w:iCs/>
                <w:szCs w:val="21"/>
              </w:rPr>
            </w:pPr>
          </w:p>
        </w:tc>
        <w:tc>
          <w:tcPr>
            <w:tcW w:w="1659" w:type="pct"/>
            <w:shd w:val="clear" w:color="auto" w:fill="FFFFFF"/>
            <w:vAlign w:val="center"/>
          </w:tcPr>
          <w:p w:rsidR="00E83E0C" w:rsidRDefault="00E97899">
            <w:pPr>
              <w:adjustRightInd w:val="0"/>
              <w:snapToGrid w:val="0"/>
              <w:jc w:val="center"/>
              <w:rPr>
                <w:rFonts w:cs="方正仿宋简体"/>
                <w:iCs/>
                <w:szCs w:val="21"/>
              </w:rPr>
            </w:pPr>
            <w:r>
              <w:rPr>
                <w:rFonts w:cs="方正仿宋简体"/>
                <w:iCs/>
                <w:szCs w:val="21"/>
              </w:rPr>
              <w:t>100</w:t>
            </w:r>
            <w:r>
              <w:rPr>
                <w:rFonts w:cs="方正仿宋简体"/>
                <w:iCs/>
                <w:szCs w:val="21"/>
              </w:rPr>
              <w:t>万</w:t>
            </w:r>
            <w:r>
              <w:rPr>
                <w:rFonts w:cs="方正仿宋简体"/>
                <w:iCs/>
                <w:szCs w:val="21"/>
              </w:rPr>
              <w:t>≤M</w:t>
            </w:r>
            <w:r>
              <w:rPr>
                <w:rFonts w:cs="方正仿宋简体"/>
                <w:iCs/>
                <w:szCs w:val="21"/>
              </w:rPr>
              <w:t>＜</w:t>
            </w:r>
            <w:r>
              <w:rPr>
                <w:rFonts w:cs="方正仿宋简体"/>
                <w:iCs/>
                <w:szCs w:val="21"/>
              </w:rPr>
              <w:t>500</w:t>
            </w:r>
            <w:r>
              <w:rPr>
                <w:rFonts w:cs="方正仿宋简体"/>
                <w:iCs/>
                <w:szCs w:val="21"/>
              </w:rPr>
              <w:t>万</w:t>
            </w:r>
          </w:p>
        </w:tc>
        <w:tc>
          <w:tcPr>
            <w:tcW w:w="1125" w:type="pct"/>
            <w:shd w:val="clear" w:color="auto" w:fill="FFFFFF"/>
            <w:vAlign w:val="center"/>
          </w:tcPr>
          <w:p w:rsidR="00E83E0C" w:rsidRDefault="00E97899">
            <w:pPr>
              <w:adjustRightInd w:val="0"/>
              <w:snapToGrid w:val="0"/>
              <w:jc w:val="center"/>
              <w:rPr>
                <w:rFonts w:cs="方正仿宋简体"/>
                <w:iCs/>
                <w:szCs w:val="21"/>
              </w:rPr>
            </w:pPr>
            <w:r>
              <w:rPr>
                <w:rFonts w:cs="方正仿宋简体"/>
                <w:iCs/>
                <w:szCs w:val="21"/>
              </w:rPr>
              <w:t>0.1%</w:t>
            </w:r>
          </w:p>
        </w:tc>
        <w:tc>
          <w:tcPr>
            <w:tcW w:w="1124" w:type="pct"/>
            <w:shd w:val="clear" w:color="auto" w:fill="auto"/>
            <w:vAlign w:val="center"/>
          </w:tcPr>
          <w:p w:rsidR="00E83E0C" w:rsidRDefault="00E97899">
            <w:pPr>
              <w:adjustRightInd w:val="0"/>
              <w:snapToGrid w:val="0"/>
              <w:jc w:val="center"/>
              <w:rPr>
                <w:rFonts w:cs="方正仿宋简体"/>
                <w:iCs/>
                <w:szCs w:val="21"/>
              </w:rPr>
            </w:pPr>
            <w:r>
              <w:rPr>
                <w:rFonts w:cs="方正仿宋简体"/>
                <w:iCs/>
                <w:szCs w:val="21"/>
              </w:rPr>
              <w:t>0.01%</w:t>
            </w:r>
          </w:p>
        </w:tc>
      </w:tr>
      <w:tr w:rsidR="00E83E0C">
        <w:trPr>
          <w:trHeight w:val="340"/>
        </w:trPr>
        <w:tc>
          <w:tcPr>
            <w:tcW w:w="1092" w:type="pct"/>
            <w:vMerge/>
            <w:shd w:val="clear" w:color="auto" w:fill="auto"/>
            <w:vAlign w:val="center"/>
          </w:tcPr>
          <w:p w:rsidR="00E83E0C" w:rsidRDefault="00E83E0C">
            <w:pPr>
              <w:adjustRightInd w:val="0"/>
              <w:snapToGrid w:val="0"/>
              <w:jc w:val="center"/>
              <w:rPr>
                <w:rFonts w:cs="方正仿宋简体"/>
                <w:iCs/>
                <w:szCs w:val="21"/>
              </w:rPr>
            </w:pPr>
          </w:p>
        </w:tc>
        <w:tc>
          <w:tcPr>
            <w:tcW w:w="1659" w:type="pct"/>
            <w:shd w:val="clear" w:color="auto" w:fill="FFFFFF"/>
            <w:vAlign w:val="center"/>
          </w:tcPr>
          <w:p w:rsidR="00E83E0C" w:rsidRDefault="00E97899">
            <w:pPr>
              <w:adjustRightInd w:val="0"/>
              <w:snapToGrid w:val="0"/>
              <w:jc w:val="center"/>
              <w:rPr>
                <w:rFonts w:cs="方正仿宋简体"/>
                <w:iCs/>
                <w:szCs w:val="21"/>
              </w:rPr>
            </w:pPr>
            <w:r>
              <w:rPr>
                <w:rFonts w:cs="方正仿宋简体"/>
                <w:iCs/>
                <w:szCs w:val="21"/>
              </w:rPr>
              <w:t>M≥500</w:t>
            </w:r>
            <w:r>
              <w:rPr>
                <w:rFonts w:cs="方正仿宋简体"/>
                <w:iCs/>
                <w:szCs w:val="21"/>
              </w:rPr>
              <w:t>万</w:t>
            </w:r>
          </w:p>
        </w:tc>
        <w:tc>
          <w:tcPr>
            <w:tcW w:w="1125" w:type="pct"/>
            <w:shd w:val="clear" w:color="auto" w:fill="FFFFFF"/>
            <w:vAlign w:val="center"/>
          </w:tcPr>
          <w:p w:rsidR="00E83E0C" w:rsidRDefault="00E97899">
            <w:pPr>
              <w:adjustRightInd w:val="0"/>
              <w:snapToGrid w:val="0"/>
              <w:jc w:val="center"/>
              <w:rPr>
                <w:rFonts w:cs="方正仿宋简体"/>
                <w:iCs/>
                <w:szCs w:val="21"/>
              </w:rPr>
            </w:pPr>
            <w:r>
              <w:rPr>
                <w:rFonts w:cs="方正仿宋简体"/>
                <w:iCs/>
                <w:szCs w:val="21"/>
              </w:rPr>
              <w:t>1000</w:t>
            </w:r>
            <w:r>
              <w:rPr>
                <w:rFonts w:cs="方正仿宋简体"/>
                <w:iCs/>
                <w:szCs w:val="21"/>
              </w:rPr>
              <w:t>元</w:t>
            </w:r>
            <w:r>
              <w:rPr>
                <w:rFonts w:cs="方正仿宋简体"/>
                <w:iCs/>
                <w:szCs w:val="21"/>
              </w:rPr>
              <w:t>/</w:t>
            </w:r>
            <w:r>
              <w:rPr>
                <w:rFonts w:cs="方正仿宋简体"/>
                <w:iCs/>
                <w:szCs w:val="21"/>
              </w:rPr>
              <w:t>笔</w:t>
            </w:r>
          </w:p>
        </w:tc>
        <w:tc>
          <w:tcPr>
            <w:tcW w:w="1124" w:type="pct"/>
            <w:shd w:val="clear" w:color="auto" w:fill="auto"/>
            <w:vAlign w:val="center"/>
          </w:tcPr>
          <w:p w:rsidR="00E83E0C" w:rsidRDefault="00E97899">
            <w:pPr>
              <w:adjustRightInd w:val="0"/>
              <w:snapToGrid w:val="0"/>
              <w:jc w:val="center"/>
              <w:rPr>
                <w:rFonts w:cs="方正仿宋简体"/>
                <w:iCs/>
                <w:szCs w:val="21"/>
              </w:rPr>
            </w:pPr>
            <w:r>
              <w:rPr>
                <w:rFonts w:cs="方正仿宋简体"/>
                <w:iCs/>
                <w:szCs w:val="21"/>
              </w:rPr>
              <w:t>1000</w:t>
            </w:r>
            <w:r>
              <w:rPr>
                <w:rFonts w:cs="方正仿宋简体"/>
                <w:iCs/>
                <w:szCs w:val="21"/>
              </w:rPr>
              <w:t>元</w:t>
            </w:r>
            <w:r>
              <w:rPr>
                <w:rFonts w:cs="方正仿宋简体"/>
                <w:iCs/>
                <w:szCs w:val="21"/>
              </w:rPr>
              <w:t>/</w:t>
            </w:r>
            <w:r>
              <w:rPr>
                <w:rFonts w:cs="方正仿宋简体"/>
                <w:iCs/>
                <w:szCs w:val="21"/>
              </w:rPr>
              <w:t>笔</w:t>
            </w:r>
          </w:p>
        </w:tc>
      </w:tr>
      <w:tr w:rsidR="00E83E0C">
        <w:trPr>
          <w:trHeight w:val="340"/>
        </w:trPr>
        <w:tc>
          <w:tcPr>
            <w:tcW w:w="1092" w:type="pct"/>
            <w:vMerge w:val="restart"/>
            <w:shd w:val="clear" w:color="auto" w:fill="auto"/>
            <w:vAlign w:val="center"/>
          </w:tcPr>
          <w:p w:rsidR="00E83E0C" w:rsidRDefault="00E97899">
            <w:pPr>
              <w:adjustRightInd w:val="0"/>
              <w:snapToGrid w:val="0"/>
              <w:jc w:val="center"/>
              <w:rPr>
                <w:rFonts w:cs="方正仿宋简体"/>
                <w:iCs/>
                <w:szCs w:val="21"/>
              </w:rPr>
            </w:pPr>
            <w:r>
              <w:rPr>
                <w:rFonts w:cs="方正仿宋简体"/>
                <w:iCs/>
                <w:szCs w:val="21"/>
              </w:rPr>
              <w:t>申购费（前端）</w:t>
            </w:r>
          </w:p>
        </w:tc>
        <w:tc>
          <w:tcPr>
            <w:tcW w:w="1659" w:type="pct"/>
            <w:shd w:val="clear" w:color="auto" w:fill="auto"/>
            <w:vAlign w:val="center"/>
          </w:tcPr>
          <w:p w:rsidR="00E83E0C" w:rsidRDefault="00E97899">
            <w:pPr>
              <w:adjustRightInd w:val="0"/>
              <w:snapToGrid w:val="0"/>
              <w:jc w:val="center"/>
              <w:rPr>
                <w:rFonts w:cs="方正仿宋简体"/>
                <w:iCs/>
                <w:szCs w:val="21"/>
              </w:rPr>
            </w:pPr>
            <w:r>
              <w:rPr>
                <w:rFonts w:cs="方正仿宋简体"/>
                <w:iCs/>
                <w:szCs w:val="21"/>
              </w:rPr>
              <w:t>M</w:t>
            </w:r>
            <w:r>
              <w:rPr>
                <w:rFonts w:cs="方正仿宋简体"/>
                <w:iCs/>
                <w:szCs w:val="21"/>
              </w:rPr>
              <w:t>＜</w:t>
            </w:r>
            <w:r>
              <w:rPr>
                <w:rFonts w:cs="方正仿宋简体"/>
                <w:iCs/>
                <w:szCs w:val="21"/>
              </w:rPr>
              <w:t>100</w:t>
            </w:r>
            <w:r>
              <w:rPr>
                <w:rFonts w:cs="方正仿宋简体"/>
                <w:iCs/>
                <w:szCs w:val="21"/>
              </w:rPr>
              <w:t>万</w:t>
            </w:r>
          </w:p>
        </w:tc>
        <w:tc>
          <w:tcPr>
            <w:tcW w:w="1125" w:type="pct"/>
            <w:shd w:val="clear" w:color="auto" w:fill="auto"/>
            <w:vAlign w:val="center"/>
          </w:tcPr>
          <w:p w:rsidR="00E83E0C" w:rsidRDefault="00E97899">
            <w:pPr>
              <w:adjustRightInd w:val="0"/>
              <w:snapToGrid w:val="0"/>
              <w:jc w:val="center"/>
              <w:rPr>
                <w:rFonts w:cs="方正仿宋简体"/>
                <w:iCs/>
                <w:szCs w:val="21"/>
              </w:rPr>
            </w:pPr>
            <w:r>
              <w:rPr>
                <w:rFonts w:cs="方正仿宋简体"/>
                <w:iCs/>
                <w:szCs w:val="21"/>
              </w:rPr>
              <w:t>0.4%</w:t>
            </w:r>
          </w:p>
        </w:tc>
        <w:tc>
          <w:tcPr>
            <w:tcW w:w="1124" w:type="pct"/>
            <w:shd w:val="clear" w:color="auto" w:fill="auto"/>
            <w:vAlign w:val="center"/>
          </w:tcPr>
          <w:p w:rsidR="00E83E0C" w:rsidRDefault="00E97899">
            <w:pPr>
              <w:adjustRightInd w:val="0"/>
              <w:snapToGrid w:val="0"/>
              <w:jc w:val="center"/>
              <w:rPr>
                <w:rFonts w:cs="方正仿宋简体"/>
                <w:iCs/>
                <w:szCs w:val="21"/>
              </w:rPr>
            </w:pPr>
            <w:r>
              <w:rPr>
                <w:rFonts w:cs="方正仿宋简体"/>
                <w:iCs/>
                <w:szCs w:val="21"/>
              </w:rPr>
              <w:t>0.04%</w:t>
            </w:r>
          </w:p>
        </w:tc>
      </w:tr>
      <w:tr w:rsidR="00E83E0C">
        <w:trPr>
          <w:trHeight w:val="340"/>
        </w:trPr>
        <w:tc>
          <w:tcPr>
            <w:tcW w:w="1092" w:type="pct"/>
            <w:vMerge/>
            <w:shd w:val="clear" w:color="auto" w:fill="auto"/>
            <w:vAlign w:val="center"/>
          </w:tcPr>
          <w:p w:rsidR="00E83E0C" w:rsidRDefault="00E83E0C">
            <w:pPr>
              <w:adjustRightInd w:val="0"/>
              <w:snapToGrid w:val="0"/>
              <w:jc w:val="center"/>
              <w:rPr>
                <w:rFonts w:cs="方正仿宋简体"/>
                <w:iCs/>
                <w:szCs w:val="21"/>
              </w:rPr>
            </w:pPr>
          </w:p>
        </w:tc>
        <w:tc>
          <w:tcPr>
            <w:tcW w:w="1659" w:type="pct"/>
            <w:shd w:val="clear" w:color="auto" w:fill="auto"/>
            <w:vAlign w:val="center"/>
          </w:tcPr>
          <w:p w:rsidR="00E83E0C" w:rsidRDefault="00E97899">
            <w:pPr>
              <w:adjustRightInd w:val="0"/>
              <w:snapToGrid w:val="0"/>
              <w:jc w:val="center"/>
              <w:rPr>
                <w:rFonts w:cs="方正仿宋简体"/>
                <w:iCs/>
                <w:szCs w:val="21"/>
              </w:rPr>
            </w:pPr>
            <w:r>
              <w:rPr>
                <w:rFonts w:cs="方正仿宋简体"/>
                <w:iCs/>
                <w:szCs w:val="21"/>
              </w:rPr>
              <w:t>100</w:t>
            </w:r>
            <w:r>
              <w:rPr>
                <w:rFonts w:cs="方正仿宋简体"/>
                <w:iCs/>
                <w:szCs w:val="21"/>
              </w:rPr>
              <w:t>万</w:t>
            </w:r>
            <w:r>
              <w:rPr>
                <w:rFonts w:cs="方正仿宋简体"/>
                <w:iCs/>
                <w:szCs w:val="21"/>
              </w:rPr>
              <w:t>≤M</w:t>
            </w:r>
            <w:r>
              <w:rPr>
                <w:rFonts w:cs="方正仿宋简体"/>
                <w:iCs/>
                <w:szCs w:val="21"/>
              </w:rPr>
              <w:t>＜</w:t>
            </w:r>
            <w:r>
              <w:rPr>
                <w:rFonts w:cs="方正仿宋简体"/>
                <w:iCs/>
                <w:szCs w:val="21"/>
              </w:rPr>
              <w:t>500</w:t>
            </w:r>
            <w:r>
              <w:rPr>
                <w:rFonts w:cs="方正仿宋简体"/>
                <w:iCs/>
                <w:szCs w:val="21"/>
              </w:rPr>
              <w:t>万</w:t>
            </w:r>
          </w:p>
        </w:tc>
        <w:tc>
          <w:tcPr>
            <w:tcW w:w="1125" w:type="pct"/>
            <w:shd w:val="clear" w:color="auto" w:fill="auto"/>
            <w:vAlign w:val="center"/>
          </w:tcPr>
          <w:p w:rsidR="00E83E0C" w:rsidRDefault="00E97899">
            <w:pPr>
              <w:adjustRightInd w:val="0"/>
              <w:snapToGrid w:val="0"/>
              <w:jc w:val="center"/>
              <w:rPr>
                <w:rFonts w:cs="方正仿宋简体"/>
                <w:iCs/>
                <w:szCs w:val="21"/>
              </w:rPr>
            </w:pPr>
            <w:r>
              <w:rPr>
                <w:rFonts w:cs="方正仿宋简体"/>
                <w:iCs/>
                <w:szCs w:val="21"/>
              </w:rPr>
              <w:t>0.2%</w:t>
            </w:r>
          </w:p>
        </w:tc>
        <w:tc>
          <w:tcPr>
            <w:tcW w:w="1124" w:type="pct"/>
            <w:shd w:val="clear" w:color="auto" w:fill="auto"/>
            <w:vAlign w:val="center"/>
          </w:tcPr>
          <w:p w:rsidR="00E83E0C" w:rsidRDefault="00E97899">
            <w:pPr>
              <w:adjustRightInd w:val="0"/>
              <w:snapToGrid w:val="0"/>
              <w:jc w:val="center"/>
              <w:rPr>
                <w:rFonts w:cs="方正仿宋简体"/>
                <w:iCs/>
                <w:szCs w:val="21"/>
              </w:rPr>
            </w:pPr>
            <w:r>
              <w:rPr>
                <w:rFonts w:cs="方正仿宋简体"/>
                <w:iCs/>
                <w:szCs w:val="21"/>
              </w:rPr>
              <w:t>0.02%</w:t>
            </w:r>
          </w:p>
        </w:tc>
      </w:tr>
      <w:tr w:rsidR="00E83E0C">
        <w:trPr>
          <w:trHeight w:val="340"/>
        </w:trPr>
        <w:tc>
          <w:tcPr>
            <w:tcW w:w="1092" w:type="pct"/>
            <w:vMerge/>
            <w:shd w:val="clear" w:color="auto" w:fill="auto"/>
            <w:vAlign w:val="center"/>
          </w:tcPr>
          <w:p w:rsidR="00E83E0C" w:rsidRDefault="00E83E0C">
            <w:pPr>
              <w:adjustRightInd w:val="0"/>
              <w:snapToGrid w:val="0"/>
              <w:jc w:val="center"/>
              <w:rPr>
                <w:rFonts w:cs="方正仿宋简体"/>
                <w:iCs/>
                <w:szCs w:val="21"/>
              </w:rPr>
            </w:pPr>
          </w:p>
        </w:tc>
        <w:tc>
          <w:tcPr>
            <w:tcW w:w="1659" w:type="pct"/>
            <w:shd w:val="clear" w:color="auto" w:fill="auto"/>
            <w:vAlign w:val="center"/>
          </w:tcPr>
          <w:p w:rsidR="00E83E0C" w:rsidRDefault="00E97899">
            <w:pPr>
              <w:adjustRightInd w:val="0"/>
              <w:snapToGrid w:val="0"/>
              <w:jc w:val="center"/>
              <w:rPr>
                <w:rFonts w:cs="方正仿宋简体"/>
                <w:iCs/>
                <w:szCs w:val="21"/>
              </w:rPr>
            </w:pPr>
            <w:r>
              <w:rPr>
                <w:rFonts w:cs="方正仿宋简体"/>
                <w:iCs/>
                <w:szCs w:val="21"/>
              </w:rPr>
              <w:t>M≥500</w:t>
            </w:r>
            <w:r>
              <w:rPr>
                <w:rFonts w:cs="方正仿宋简体"/>
                <w:iCs/>
                <w:szCs w:val="21"/>
              </w:rPr>
              <w:t>万</w:t>
            </w:r>
          </w:p>
        </w:tc>
        <w:tc>
          <w:tcPr>
            <w:tcW w:w="1125" w:type="pct"/>
            <w:shd w:val="clear" w:color="auto" w:fill="auto"/>
            <w:vAlign w:val="center"/>
          </w:tcPr>
          <w:p w:rsidR="00E83E0C" w:rsidRDefault="00E97899">
            <w:pPr>
              <w:adjustRightInd w:val="0"/>
              <w:snapToGrid w:val="0"/>
              <w:jc w:val="center"/>
              <w:rPr>
                <w:rFonts w:cs="方正仿宋简体"/>
                <w:iCs/>
                <w:szCs w:val="21"/>
              </w:rPr>
            </w:pPr>
            <w:r>
              <w:rPr>
                <w:rFonts w:cs="方正仿宋简体"/>
                <w:iCs/>
                <w:szCs w:val="21"/>
              </w:rPr>
              <w:t>1000</w:t>
            </w:r>
            <w:r>
              <w:rPr>
                <w:rFonts w:cs="方正仿宋简体"/>
                <w:iCs/>
                <w:szCs w:val="21"/>
              </w:rPr>
              <w:t>元</w:t>
            </w:r>
            <w:r>
              <w:rPr>
                <w:rFonts w:cs="方正仿宋简体"/>
                <w:iCs/>
                <w:szCs w:val="21"/>
              </w:rPr>
              <w:t>/</w:t>
            </w:r>
            <w:r>
              <w:rPr>
                <w:rFonts w:cs="方正仿宋简体"/>
                <w:iCs/>
                <w:szCs w:val="21"/>
              </w:rPr>
              <w:t>笔</w:t>
            </w:r>
          </w:p>
        </w:tc>
        <w:tc>
          <w:tcPr>
            <w:tcW w:w="1124" w:type="pct"/>
            <w:shd w:val="clear" w:color="auto" w:fill="auto"/>
            <w:vAlign w:val="center"/>
          </w:tcPr>
          <w:p w:rsidR="00E83E0C" w:rsidRDefault="00E97899">
            <w:pPr>
              <w:adjustRightInd w:val="0"/>
              <w:snapToGrid w:val="0"/>
              <w:jc w:val="center"/>
              <w:rPr>
                <w:rFonts w:cs="方正仿宋简体"/>
                <w:iCs/>
                <w:szCs w:val="21"/>
              </w:rPr>
            </w:pPr>
            <w:r>
              <w:rPr>
                <w:rFonts w:cs="方正仿宋简体"/>
                <w:iCs/>
                <w:szCs w:val="21"/>
              </w:rPr>
              <w:t>1000</w:t>
            </w:r>
            <w:r>
              <w:rPr>
                <w:rFonts w:cs="方正仿宋简体"/>
                <w:iCs/>
                <w:szCs w:val="21"/>
              </w:rPr>
              <w:t>元</w:t>
            </w:r>
            <w:r>
              <w:rPr>
                <w:rFonts w:cs="方正仿宋简体"/>
                <w:iCs/>
                <w:szCs w:val="21"/>
              </w:rPr>
              <w:t>/</w:t>
            </w:r>
            <w:r>
              <w:rPr>
                <w:rFonts w:cs="方正仿宋简体"/>
                <w:iCs/>
                <w:szCs w:val="21"/>
              </w:rPr>
              <w:t>笔</w:t>
            </w:r>
          </w:p>
        </w:tc>
      </w:tr>
      <w:tr w:rsidR="00E83E0C">
        <w:trPr>
          <w:trHeight w:val="340"/>
        </w:trPr>
        <w:tc>
          <w:tcPr>
            <w:tcW w:w="1092" w:type="pct"/>
            <w:vMerge w:val="restart"/>
            <w:shd w:val="clear" w:color="auto" w:fill="auto"/>
            <w:vAlign w:val="center"/>
          </w:tcPr>
          <w:p w:rsidR="00E83E0C" w:rsidRDefault="00E97899">
            <w:pPr>
              <w:adjustRightInd w:val="0"/>
              <w:snapToGrid w:val="0"/>
              <w:jc w:val="center"/>
              <w:rPr>
                <w:rFonts w:cs="方正仿宋简体"/>
                <w:iCs/>
                <w:szCs w:val="21"/>
              </w:rPr>
            </w:pPr>
            <w:r>
              <w:rPr>
                <w:rFonts w:cs="方正仿宋简体"/>
                <w:iCs/>
                <w:szCs w:val="21"/>
              </w:rPr>
              <w:t>赎回费</w:t>
            </w:r>
          </w:p>
        </w:tc>
        <w:tc>
          <w:tcPr>
            <w:tcW w:w="1659" w:type="pct"/>
            <w:shd w:val="clear" w:color="auto" w:fill="auto"/>
            <w:vAlign w:val="center"/>
          </w:tcPr>
          <w:p w:rsidR="00E83E0C" w:rsidRDefault="00E97899">
            <w:pPr>
              <w:adjustRightInd w:val="0"/>
              <w:snapToGrid w:val="0"/>
              <w:jc w:val="center"/>
              <w:rPr>
                <w:rFonts w:cs="方正仿宋简体"/>
                <w:iCs/>
                <w:szCs w:val="21"/>
              </w:rPr>
            </w:pPr>
            <w:r>
              <w:rPr>
                <w:rFonts w:cs="方正仿宋简体"/>
                <w:iCs/>
                <w:szCs w:val="21"/>
              </w:rPr>
              <w:t>N</w:t>
            </w:r>
            <w:r>
              <w:rPr>
                <w:rFonts w:cs="方正仿宋简体"/>
                <w:iCs/>
                <w:szCs w:val="21"/>
              </w:rPr>
              <w:t>＜</w:t>
            </w:r>
            <w:r>
              <w:rPr>
                <w:rFonts w:cs="方正仿宋简体"/>
                <w:iCs/>
                <w:szCs w:val="21"/>
              </w:rPr>
              <w:t>180</w:t>
            </w:r>
            <w:r>
              <w:rPr>
                <w:rFonts w:cs="方正仿宋简体"/>
                <w:iCs/>
                <w:szCs w:val="21"/>
              </w:rPr>
              <w:t>天</w:t>
            </w:r>
          </w:p>
        </w:tc>
        <w:tc>
          <w:tcPr>
            <w:tcW w:w="2249" w:type="pct"/>
            <w:gridSpan w:val="2"/>
            <w:shd w:val="clear" w:color="auto" w:fill="auto"/>
            <w:vAlign w:val="center"/>
          </w:tcPr>
          <w:p w:rsidR="00E83E0C" w:rsidRDefault="00E97899">
            <w:pPr>
              <w:adjustRightInd w:val="0"/>
              <w:snapToGrid w:val="0"/>
              <w:jc w:val="center"/>
              <w:rPr>
                <w:rFonts w:cs="方正仿宋简体"/>
                <w:iCs/>
                <w:szCs w:val="21"/>
              </w:rPr>
            </w:pPr>
            <w:r>
              <w:rPr>
                <w:rFonts w:cs="方正仿宋简体"/>
                <w:iCs/>
                <w:szCs w:val="21"/>
              </w:rPr>
              <w:t>0.5%</w:t>
            </w:r>
          </w:p>
        </w:tc>
      </w:tr>
      <w:tr w:rsidR="00E83E0C">
        <w:trPr>
          <w:trHeight w:val="340"/>
        </w:trPr>
        <w:tc>
          <w:tcPr>
            <w:tcW w:w="1092" w:type="pct"/>
            <w:vMerge/>
            <w:shd w:val="clear" w:color="auto" w:fill="auto"/>
            <w:vAlign w:val="center"/>
          </w:tcPr>
          <w:p w:rsidR="00E83E0C" w:rsidRDefault="00E83E0C">
            <w:pPr>
              <w:adjustRightInd w:val="0"/>
              <w:snapToGrid w:val="0"/>
              <w:jc w:val="center"/>
              <w:rPr>
                <w:rFonts w:cs="方正仿宋简体"/>
                <w:iCs/>
                <w:szCs w:val="21"/>
              </w:rPr>
            </w:pPr>
          </w:p>
        </w:tc>
        <w:tc>
          <w:tcPr>
            <w:tcW w:w="1659" w:type="pct"/>
            <w:shd w:val="clear" w:color="auto" w:fill="auto"/>
            <w:vAlign w:val="center"/>
          </w:tcPr>
          <w:p w:rsidR="00E83E0C" w:rsidRDefault="00E97899">
            <w:pPr>
              <w:adjustRightInd w:val="0"/>
              <w:snapToGrid w:val="0"/>
              <w:jc w:val="center"/>
              <w:rPr>
                <w:rFonts w:cs="方正仿宋简体"/>
                <w:iCs/>
                <w:szCs w:val="21"/>
              </w:rPr>
            </w:pPr>
            <w:r>
              <w:rPr>
                <w:rFonts w:cs="方正仿宋简体"/>
                <w:iCs/>
                <w:szCs w:val="21"/>
              </w:rPr>
              <w:t>N≥180</w:t>
            </w:r>
            <w:r>
              <w:rPr>
                <w:rFonts w:cs="方正仿宋简体"/>
                <w:iCs/>
                <w:szCs w:val="21"/>
              </w:rPr>
              <w:t>天</w:t>
            </w:r>
          </w:p>
        </w:tc>
        <w:tc>
          <w:tcPr>
            <w:tcW w:w="2249" w:type="pct"/>
            <w:gridSpan w:val="2"/>
            <w:shd w:val="clear" w:color="auto" w:fill="auto"/>
            <w:vAlign w:val="center"/>
          </w:tcPr>
          <w:p w:rsidR="00E83E0C" w:rsidRDefault="00E97899">
            <w:pPr>
              <w:adjustRightInd w:val="0"/>
              <w:snapToGrid w:val="0"/>
              <w:jc w:val="center"/>
              <w:rPr>
                <w:rFonts w:cs="方正仿宋简体"/>
                <w:iCs/>
                <w:szCs w:val="21"/>
              </w:rPr>
            </w:pPr>
            <w:r>
              <w:rPr>
                <w:rFonts w:cs="方正仿宋简体"/>
                <w:iCs/>
                <w:szCs w:val="21"/>
              </w:rPr>
              <w:t>0</w:t>
            </w:r>
          </w:p>
        </w:tc>
      </w:tr>
    </w:tbl>
    <w:p w:rsidR="00E83E0C" w:rsidRDefault="00E97899">
      <w:pPr>
        <w:widowControl w:val="0"/>
        <w:adjustRightInd w:val="0"/>
        <w:snapToGrid w:val="0"/>
        <w:spacing w:beforeLines="20" w:before="87" w:line="288" w:lineRule="auto"/>
        <w:jc w:val="both"/>
        <w:rPr>
          <w:rFonts w:cs="方正仿宋简体"/>
          <w:iCs/>
          <w:szCs w:val="21"/>
        </w:rPr>
      </w:pPr>
      <w:r>
        <w:rPr>
          <w:rFonts w:cs="方正仿宋简体"/>
          <w:iCs/>
          <w:szCs w:val="21"/>
        </w:rPr>
        <w:t>注：以上费用在投资者认购</w:t>
      </w:r>
      <w:r>
        <w:rPr>
          <w:rFonts w:cs="方正仿宋简体"/>
          <w:iCs/>
          <w:szCs w:val="21"/>
        </w:rPr>
        <w:t>/</w:t>
      </w:r>
      <w:r>
        <w:rPr>
          <w:rFonts w:cs="方正仿宋简体"/>
          <w:iCs/>
          <w:szCs w:val="21"/>
        </w:rPr>
        <w:t>申购</w:t>
      </w:r>
      <w:r>
        <w:rPr>
          <w:rFonts w:cs="方正仿宋简体"/>
          <w:iCs/>
          <w:szCs w:val="21"/>
        </w:rPr>
        <w:t>/</w:t>
      </w:r>
      <w:r>
        <w:rPr>
          <w:rFonts w:cs="方正仿宋简体"/>
          <w:iCs/>
          <w:szCs w:val="21"/>
        </w:rPr>
        <w:t>赎回基金过程中收取，特定客户的具体含义请见《招募说明书》相关内容。</w:t>
      </w:r>
    </w:p>
    <w:p w:rsidR="00956AC1" w:rsidRDefault="00A535E9" w:rsidP="000776C8">
      <w:pPr>
        <w:pStyle w:val="2"/>
      </w:pPr>
      <w:r w:rsidRPr="00ED3BD1">
        <w:rPr>
          <w:rFonts w:hint="eastAsia"/>
        </w:rPr>
        <w:t>基金运作相关费用</w:t>
      </w:r>
    </w:p>
    <w:tbl>
      <w:tblPr>
        <w:tblW w:w="9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4"/>
        <w:gridCol w:w="4728"/>
        <w:gridCol w:w="2318"/>
      </w:tblGrid>
      <w:tr w:rsidR="00E83E0C">
        <w:trPr>
          <w:jc w:val="center"/>
        </w:trPr>
        <w:tc>
          <w:tcPr>
            <w:tcW w:w="1984" w:type="dxa"/>
            <w:shd w:val="clear" w:color="auto" w:fill="auto"/>
            <w:vAlign w:val="center"/>
          </w:tcPr>
          <w:p w:rsidR="00E83E0C" w:rsidRDefault="00E97899">
            <w:pPr>
              <w:pStyle w:val="ae"/>
              <w:spacing w:beforeLines="10" w:before="43" w:line="264" w:lineRule="auto"/>
              <w:contextualSpacing w:val="0"/>
              <w:jc w:val="center"/>
            </w:pPr>
            <w:r>
              <w:lastRenderedPageBreak/>
              <w:t>费用类别</w:t>
            </w:r>
          </w:p>
        </w:tc>
        <w:tc>
          <w:tcPr>
            <w:tcW w:w="4566" w:type="dxa"/>
            <w:shd w:val="clear" w:color="auto" w:fill="auto"/>
            <w:vAlign w:val="center"/>
          </w:tcPr>
          <w:p w:rsidR="00E83E0C" w:rsidRDefault="00E97899">
            <w:pPr>
              <w:pStyle w:val="ae"/>
              <w:spacing w:beforeLines="10" w:before="43" w:line="264" w:lineRule="auto"/>
              <w:contextualSpacing w:val="0"/>
              <w:jc w:val="center"/>
            </w:pPr>
            <w:r>
              <w:rPr>
                <w:rFonts w:hint="eastAsia"/>
              </w:rPr>
              <w:t>年费率</w:t>
            </w:r>
            <w:r>
              <w:rPr>
                <w:rFonts w:hint="eastAsia"/>
              </w:rPr>
              <w:t>/</w:t>
            </w:r>
            <w:r>
              <w:rPr>
                <w:rFonts w:hint="eastAsia"/>
              </w:rPr>
              <w:t>收费方式</w:t>
            </w:r>
          </w:p>
        </w:tc>
        <w:tc>
          <w:tcPr>
            <w:tcW w:w="2239" w:type="dxa"/>
            <w:shd w:val="clear" w:color="auto" w:fill="auto"/>
            <w:vAlign w:val="center"/>
          </w:tcPr>
          <w:p w:rsidR="00E83E0C" w:rsidRDefault="00E97899">
            <w:pPr>
              <w:pStyle w:val="ae"/>
              <w:spacing w:beforeLines="10" w:before="43" w:line="264" w:lineRule="auto"/>
              <w:contextualSpacing w:val="0"/>
              <w:jc w:val="center"/>
            </w:pPr>
            <w:r>
              <w:rPr>
                <w:rFonts w:hint="eastAsia"/>
              </w:rPr>
              <w:t>收取方</w:t>
            </w:r>
          </w:p>
        </w:tc>
      </w:tr>
      <w:tr w:rsidR="00E83E0C">
        <w:trPr>
          <w:jc w:val="center"/>
        </w:trPr>
        <w:tc>
          <w:tcPr>
            <w:tcW w:w="1984" w:type="dxa"/>
            <w:shd w:val="clear" w:color="auto" w:fill="auto"/>
            <w:vAlign w:val="center"/>
          </w:tcPr>
          <w:p w:rsidR="00E83E0C" w:rsidRDefault="00E97899">
            <w:pPr>
              <w:pStyle w:val="ae"/>
              <w:spacing w:beforeLines="10" w:before="43" w:line="264" w:lineRule="auto"/>
              <w:contextualSpacing w:val="0"/>
              <w:jc w:val="center"/>
            </w:pPr>
            <w:r>
              <w:t>管理费</w:t>
            </w:r>
          </w:p>
        </w:tc>
        <w:tc>
          <w:tcPr>
            <w:tcW w:w="4566" w:type="dxa"/>
            <w:shd w:val="clear" w:color="auto" w:fill="auto"/>
            <w:vAlign w:val="center"/>
          </w:tcPr>
          <w:p w:rsidR="00E83E0C" w:rsidRDefault="00E97899">
            <w:pPr>
              <w:pStyle w:val="ae"/>
              <w:spacing w:beforeLines="10" w:before="43" w:line="264" w:lineRule="auto"/>
              <w:contextualSpacing w:val="0"/>
            </w:pPr>
            <w:r>
              <w:rPr>
                <w:rFonts w:hint="eastAsia"/>
              </w:rPr>
              <w:t>0.30%</w:t>
            </w:r>
          </w:p>
        </w:tc>
        <w:tc>
          <w:tcPr>
            <w:tcW w:w="2239" w:type="dxa"/>
            <w:shd w:val="clear" w:color="auto" w:fill="auto"/>
            <w:vAlign w:val="center"/>
          </w:tcPr>
          <w:p w:rsidR="00E83E0C" w:rsidRDefault="00E97899">
            <w:pPr>
              <w:pStyle w:val="ae"/>
              <w:spacing w:beforeLines="10" w:before="43" w:line="264" w:lineRule="auto"/>
              <w:contextualSpacing w:val="0"/>
              <w:jc w:val="left"/>
            </w:pPr>
            <w:r>
              <w:rPr>
                <w:rFonts w:hint="eastAsia"/>
              </w:rPr>
              <w:t>基金管理人、销售机构</w:t>
            </w:r>
          </w:p>
        </w:tc>
      </w:tr>
      <w:tr w:rsidR="00E83E0C">
        <w:trPr>
          <w:jc w:val="center"/>
        </w:trPr>
        <w:tc>
          <w:tcPr>
            <w:tcW w:w="1984" w:type="dxa"/>
            <w:shd w:val="clear" w:color="auto" w:fill="auto"/>
            <w:vAlign w:val="center"/>
          </w:tcPr>
          <w:p w:rsidR="00E83E0C" w:rsidRDefault="00E97899">
            <w:pPr>
              <w:pStyle w:val="ae"/>
              <w:spacing w:beforeLines="10" w:before="43" w:line="264" w:lineRule="auto"/>
              <w:contextualSpacing w:val="0"/>
              <w:jc w:val="center"/>
            </w:pPr>
            <w:r>
              <w:t>托管费</w:t>
            </w:r>
          </w:p>
        </w:tc>
        <w:tc>
          <w:tcPr>
            <w:tcW w:w="4566" w:type="dxa"/>
            <w:shd w:val="clear" w:color="auto" w:fill="auto"/>
            <w:vAlign w:val="center"/>
          </w:tcPr>
          <w:p w:rsidR="00E83E0C" w:rsidRDefault="00E97899">
            <w:pPr>
              <w:pStyle w:val="ae"/>
              <w:spacing w:beforeLines="10" w:before="43" w:line="264" w:lineRule="auto"/>
              <w:contextualSpacing w:val="0"/>
            </w:pPr>
            <w:r>
              <w:rPr>
                <w:rFonts w:hint="eastAsia"/>
              </w:rPr>
              <w:t>0.10%</w:t>
            </w:r>
          </w:p>
        </w:tc>
        <w:tc>
          <w:tcPr>
            <w:tcW w:w="2239" w:type="dxa"/>
            <w:shd w:val="clear" w:color="auto" w:fill="auto"/>
            <w:vAlign w:val="center"/>
          </w:tcPr>
          <w:p w:rsidR="00E83E0C" w:rsidRDefault="00E97899">
            <w:pPr>
              <w:pStyle w:val="ae"/>
              <w:spacing w:beforeLines="10" w:before="43" w:line="264" w:lineRule="auto"/>
              <w:contextualSpacing w:val="0"/>
              <w:jc w:val="left"/>
            </w:pPr>
            <w:r>
              <w:rPr>
                <w:rFonts w:hint="eastAsia"/>
              </w:rPr>
              <w:t>基金托管人</w:t>
            </w:r>
          </w:p>
        </w:tc>
      </w:tr>
    </w:tbl>
    <w:p w:rsidR="00E83E0C" w:rsidRDefault="00E97899">
      <w:pPr>
        <w:adjustRightInd w:val="0"/>
        <w:snapToGrid w:val="0"/>
        <w:spacing w:beforeLines="20" w:before="87" w:line="288" w:lineRule="auto"/>
        <w:rPr>
          <w:rFonts w:cs="方正仿宋简体"/>
          <w:iCs/>
          <w:szCs w:val="21"/>
        </w:rPr>
      </w:pPr>
      <w:r>
        <w:rPr>
          <w:rFonts w:cs="方正仿宋简体"/>
          <w:iCs/>
          <w:szCs w:val="21"/>
        </w:rPr>
        <w:t>注：以上费用将从基金资产中扣除；本基金对基金财产中持有的本基金管理人自身管理的基金部分不收取管理费，对基金财产中持有的本基金托管人自身托管的基金部分不收取托管费；本基金交易证券等产生的费用和税负，按实际发生额从基金资产扣除。</w:t>
      </w:r>
    </w:p>
    <w:p w:rsidR="006370B9" w:rsidRPr="00A14942" w:rsidRDefault="006370B9" w:rsidP="006370B9">
      <w:pPr>
        <w:pStyle w:val="1"/>
        <w:ind w:left="425" w:hanging="425"/>
      </w:pPr>
      <w:r w:rsidRPr="00A14942">
        <w:rPr>
          <w:rFonts w:hint="eastAsia"/>
        </w:rPr>
        <w:t>风险揭示与重要提示</w:t>
      </w:r>
    </w:p>
    <w:p w:rsidR="006370B9" w:rsidRPr="00006391" w:rsidRDefault="006370B9" w:rsidP="006370B9">
      <w:pPr>
        <w:pStyle w:val="2"/>
        <w:numPr>
          <w:ilvl w:val="1"/>
          <w:numId w:val="18"/>
        </w:numPr>
      </w:pPr>
      <w:r w:rsidRPr="00006391">
        <w:rPr>
          <w:rFonts w:hint="eastAsia"/>
        </w:rPr>
        <w:t>风险揭示</w:t>
      </w:r>
    </w:p>
    <w:p w:rsidR="00E83E0C" w:rsidRDefault="00E97899">
      <w:pPr>
        <w:adjustRightInd w:val="0"/>
        <w:snapToGrid w:val="0"/>
        <w:spacing w:line="288" w:lineRule="auto"/>
        <w:ind w:firstLineChars="200" w:firstLine="420"/>
        <w:rPr>
          <w:rFonts w:cs="方正仿宋简体"/>
          <w:iCs/>
          <w:szCs w:val="21"/>
        </w:rPr>
      </w:pPr>
      <w:r>
        <w:rPr>
          <w:rFonts w:cs="方正仿宋简体"/>
          <w:iCs/>
          <w:szCs w:val="21"/>
        </w:rPr>
        <w:t>本基金不提供任何保证。投资者可能损失投资本金。投资有风险，投资者购买基金时应认真阅读本基金的《招募说明书》等销售文件。</w:t>
      </w:r>
    </w:p>
    <w:p w:rsidR="00E83E0C" w:rsidRDefault="00E97899">
      <w:pPr>
        <w:adjustRightInd w:val="0"/>
        <w:snapToGrid w:val="0"/>
        <w:spacing w:line="288" w:lineRule="auto"/>
        <w:ind w:firstLineChars="200" w:firstLine="420"/>
        <w:rPr>
          <w:rFonts w:cs="方正仿宋简体"/>
          <w:iCs/>
          <w:szCs w:val="21"/>
        </w:rPr>
      </w:pPr>
      <w:r>
        <w:rPr>
          <w:rFonts w:cs="方正仿宋简体"/>
          <w:iCs/>
          <w:szCs w:val="21"/>
        </w:rPr>
        <w:t>本基金投资中的风险包括：证券市场整体环境引发的系统性风险，个别证券特有的非系统性风险，大量赎回或暴跌导致的流动性风险，基金投资过程中产生的操作风险，因交收违约和投资债券引发的信用风险，基金投资对象与投资策略引致的特有风险等等。基金管理人提醒投资者基金投资的</w:t>
      </w:r>
      <w:r>
        <w:rPr>
          <w:rFonts w:cs="方正仿宋简体"/>
          <w:iCs/>
          <w:szCs w:val="21"/>
        </w:rPr>
        <w:t>“</w:t>
      </w:r>
      <w:r>
        <w:rPr>
          <w:rFonts w:cs="方正仿宋简体"/>
          <w:iCs/>
          <w:szCs w:val="21"/>
        </w:rPr>
        <w:t>买者自负</w:t>
      </w:r>
      <w:r>
        <w:rPr>
          <w:rFonts w:cs="方正仿宋简体"/>
          <w:iCs/>
          <w:szCs w:val="21"/>
        </w:rPr>
        <w:t>”</w:t>
      </w:r>
      <w:r>
        <w:rPr>
          <w:rFonts w:cs="方正仿宋简体"/>
          <w:iCs/>
          <w:szCs w:val="21"/>
        </w:rPr>
        <w:t>原则，在投资者作出投资决策后，基金运营状况与基金净值变化引致的投资风险，由投资者自行负责。</w:t>
      </w:r>
    </w:p>
    <w:p w:rsidR="00E83E0C" w:rsidRDefault="00E97899">
      <w:pPr>
        <w:adjustRightInd w:val="0"/>
        <w:snapToGrid w:val="0"/>
        <w:spacing w:line="288" w:lineRule="auto"/>
        <w:ind w:firstLineChars="200" w:firstLine="420"/>
        <w:rPr>
          <w:rFonts w:cs="方正仿宋简体"/>
          <w:iCs/>
          <w:szCs w:val="21"/>
        </w:rPr>
      </w:pPr>
      <w:r>
        <w:rPr>
          <w:rFonts w:cs="方正仿宋简体"/>
          <w:iCs/>
          <w:szCs w:val="21"/>
        </w:rPr>
        <w:t>本基金的特有风险包括：</w:t>
      </w:r>
      <w:r>
        <w:rPr>
          <w:rFonts w:cs="方正仿宋简体"/>
          <w:iCs/>
          <w:szCs w:val="21"/>
        </w:rPr>
        <w:t>1</w:t>
      </w:r>
      <w:r>
        <w:rPr>
          <w:rFonts w:cs="方正仿宋简体"/>
          <w:iCs/>
          <w:szCs w:val="21"/>
        </w:rPr>
        <w:t>、本基金是混合型基金中基金，本基金投资于经中国证监会依法核准或注册的公开募集的基金份额的资产占基金资产的比例不低于</w:t>
      </w:r>
      <w:r>
        <w:rPr>
          <w:rFonts w:cs="方正仿宋简体"/>
          <w:iCs/>
          <w:szCs w:val="21"/>
        </w:rPr>
        <w:t>80%</w:t>
      </w:r>
      <w:r>
        <w:rPr>
          <w:rFonts w:cs="方正仿宋简体"/>
          <w:iCs/>
          <w:szCs w:val="21"/>
        </w:rPr>
        <w:t>。本基金</w:t>
      </w:r>
      <w:r>
        <w:rPr>
          <w:rFonts w:cs="方正仿宋简体"/>
          <w:iCs/>
          <w:szCs w:val="21"/>
        </w:rPr>
        <w:t>投资于股票、存托凭证、股票型基金（含股票型指数基金）、偏股混合型基金等权益类资产合计占基金资产的比例为</w:t>
      </w:r>
      <w:r>
        <w:rPr>
          <w:rFonts w:cs="方正仿宋简体"/>
          <w:iCs/>
          <w:szCs w:val="21"/>
        </w:rPr>
        <w:t>5%-30%</w:t>
      </w:r>
      <w:r>
        <w:rPr>
          <w:rFonts w:cs="方正仿宋简体"/>
          <w:iCs/>
          <w:szCs w:val="21"/>
        </w:rPr>
        <w:t>，投资于</w:t>
      </w:r>
      <w:r>
        <w:rPr>
          <w:rFonts w:cs="方正仿宋简体"/>
          <w:iCs/>
          <w:szCs w:val="21"/>
        </w:rPr>
        <w:t>QDII</w:t>
      </w:r>
      <w:r>
        <w:rPr>
          <w:rFonts w:cs="方正仿宋简体"/>
          <w:iCs/>
          <w:szCs w:val="21"/>
        </w:rPr>
        <w:t>基金和香港互认基金的资产占基金资产的比例不高于</w:t>
      </w:r>
      <w:r>
        <w:rPr>
          <w:rFonts w:cs="方正仿宋简体"/>
          <w:iCs/>
          <w:szCs w:val="21"/>
        </w:rPr>
        <w:t>20%</w:t>
      </w:r>
      <w:r>
        <w:rPr>
          <w:rFonts w:cs="方正仿宋简体"/>
          <w:iCs/>
          <w:szCs w:val="21"/>
        </w:rPr>
        <w:t>，投资于商品基金（含商品期货基金和黄金</w:t>
      </w:r>
      <w:r>
        <w:rPr>
          <w:rFonts w:cs="方正仿宋简体"/>
          <w:iCs/>
          <w:szCs w:val="21"/>
        </w:rPr>
        <w:t>ETF</w:t>
      </w:r>
      <w:r>
        <w:rPr>
          <w:rFonts w:cs="方正仿宋简体"/>
          <w:iCs/>
          <w:szCs w:val="21"/>
        </w:rPr>
        <w:t>）的资产占基金资产的比例不高于</w:t>
      </w:r>
      <w:r>
        <w:rPr>
          <w:rFonts w:cs="方正仿宋简体"/>
          <w:iCs/>
          <w:szCs w:val="21"/>
        </w:rPr>
        <w:t>10%</w:t>
      </w:r>
      <w:r>
        <w:rPr>
          <w:rFonts w:cs="方正仿宋简体"/>
          <w:iCs/>
          <w:szCs w:val="21"/>
        </w:rPr>
        <w:t>，投资于货币市场基金的资产占基金资产的比例不高于</w:t>
      </w:r>
      <w:r>
        <w:rPr>
          <w:rFonts w:cs="方正仿宋简体"/>
          <w:iCs/>
          <w:szCs w:val="21"/>
        </w:rPr>
        <w:t>15%</w:t>
      </w:r>
      <w:r>
        <w:rPr>
          <w:rFonts w:cs="方正仿宋简体"/>
          <w:iCs/>
          <w:szCs w:val="21"/>
        </w:rPr>
        <w:t>。本基金存在大类资产配置风险，有可能受到经济周期、市场环境或基金管理人对市场所处的经济周期和产业周期的判断不足等因素的影响，导致基金的大类资产配置比例偏离最优化水平，给基金投资组合的表现带来风险。</w:t>
      </w:r>
      <w:r>
        <w:rPr>
          <w:rFonts w:cs="方正仿宋简体"/>
          <w:iCs/>
          <w:szCs w:val="21"/>
        </w:rPr>
        <w:t>本基金对被投资基金的评估具有一定的主观性，将在基金投资决策中给基金带来一定的不确定性的风险。被投资基金的波动会受到宏观经济环境、行业周期、基金经理管理能力和基金管理人自身经营状况等因素的影响。因此，本基金整体表现可能在特定时期内低于其他基金。本基金坚持价值和长期投资理念，重视基金投资风险的防范，但是基于投资范围的规定，本基金无法完全规避基金市场、股票市场和债券市场的下跌风险。</w:t>
      </w:r>
    </w:p>
    <w:p w:rsidR="00E83E0C" w:rsidRDefault="00E97899">
      <w:pPr>
        <w:adjustRightInd w:val="0"/>
        <w:snapToGrid w:val="0"/>
        <w:spacing w:line="288" w:lineRule="auto"/>
        <w:ind w:firstLineChars="200" w:firstLine="420"/>
        <w:rPr>
          <w:rFonts w:cs="方正仿宋简体"/>
          <w:iCs/>
          <w:szCs w:val="21"/>
        </w:rPr>
      </w:pPr>
      <w:r>
        <w:rPr>
          <w:rFonts w:cs="方正仿宋简体"/>
          <w:iCs/>
          <w:szCs w:val="21"/>
        </w:rPr>
        <w:t>2</w:t>
      </w:r>
      <w:r>
        <w:rPr>
          <w:rFonts w:cs="方正仿宋简体"/>
          <w:iCs/>
          <w:szCs w:val="21"/>
        </w:rPr>
        <w:t>、本基金可以投资于港股通标的证券，本基金投资于港股通标的股票的比例占股票资产的</w:t>
      </w:r>
      <w:r>
        <w:rPr>
          <w:rFonts w:cs="方正仿宋简体"/>
          <w:iCs/>
          <w:szCs w:val="21"/>
        </w:rPr>
        <w:t>0%-50%</w:t>
      </w:r>
      <w:r>
        <w:rPr>
          <w:rFonts w:cs="方正仿宋简体"/>
          <w:iCs/>
          <w:szCs w:val="21"/>
        </w:rPr>
        <w:t>。内地和港股通标的证券市场和债券市场的变</w:t>
      </w:r>
      <w:r>
        <w:rPr>
          <w:rFonts w:cs="方正仿宋简体"/>
          <w:iCs/>
          <w:szCs w:val="21"/>
        </w:rPr>
        <w:t>化均会影响到基金业绩表现，基金净值表现因此可能受到影响。</w:t>
      </w:r>
    </w:p>
    <w:p w:rsidR="00E83E0C" w:rsidRDefault="00E97899">
      <w:pPr>
        <w:adjustRightInd w:val="0"/>
        <w:snapToGrid w:val="0"/>
        <w:spacing w:line="288" w:lineRule="auto"/>
        <w:ind w:firstLineChars="200" w:firstLine="420"/>
        <w:rPr>
          <w:rFonts w:cs="方正仿宋简体"/>
          <w:iCs/>
          <w:szCs w:val="21"/>
        </w:rPr>
      </w:pPr>
      <w:r>
        <w:rPr>
          <w:rFonts w:cs="方正仿宋简体"/>
          <w:iCs/>
          <w:szCs w:val="21"/>
        </w:rPr>
        <w:t>3</w:t>
      </w:r>
      <w:r>
        <w:rPr>
          <w:rFonts w:cs="方正仿宋简体"/>
          <w:iCs/>
          <w:szCs w:val="21"/>
        </w:rPr>
        <w:t>、资产支持证券投资风险</w:t>
      </w:r>
    </w:p>
    <w:p w:rsidR="00E83E0C" w:rsidRDefault="00E97899">
      <w:pPr>
        <w:adjustRightInd w:val="0"/>
        <w:snapToGrid w:val="0"/>
        <w:spacing w:line="288" w:lineRule="auto"/>
        <w:ind w:firstLineChars="200" w:firstLine="420"/>
        <w:rPr>
          <w:rFonts w:cs="方正仿宋简体"/>
          <w:iCs/>
          <w:szCs w:val="21"/>
        </w:rPr>
      </w:pPr>
      <w:r>
        <w:rPr>
          <w:rFonts w:cs="方正仿宋简体"/>
          <w:iCs/>
          <w:szCs w:val="21"/>
        </w:rPr>
        <w:t>本基金可投资资产支持证券，资产支持证券在国内市场尚处发展初期，具有低流动性、高收益的特征，并存在一定的投资风险。</w:t>
      </w:r>
    </w:p>
    <w:p w:rsidR="00E83E0C" w:rsidRDefault="00E97899">
      <w:pPr>
        <w:adjustRightInd w:val="0"/>
        <w:snapToGrid w:val="0"/>
        <w:spacing w:line="288" w:lineRule="auto"/>
        <w:ind w:firstLineChars="200" w:firstLine="420"/>
        <w:rPr>
          <w:rFonts w:cs="方正仿宋简体"/>
          <w:iCs/>
          <w:szCs w:val="21"/>
        </w:rPr>
      </w:pPr>
      <w:r>
        <w:rPr>
          <w:rFonts w:cs="方正仿宋简体"/>
          <w:iCs/>
          <w:szCs w:val="21"/>
        </w:rPr>
        <w:t>4</w:t>
      </w:r>
      <w:r>
        <w:rPr>
          <w:rFonts w:cs="方正仿宋简体"/>
          <w:iCs/>
          <w:szCs w:val="21"/>
        </w:rPr>
        <w:t>、本基金可以投资于港股通标的证券，投资风险包括：</w:t>
      </w:r>
    </w:p>
    <w:p w:rsidR="00E83E0C" w:rsidRDefault="00E97899">
      <w:pPr>
        <w:adjustRightInd w:val="0"/>
        <w:snapToGrid w:val="0"/>
        <w:spacing w:line="288" w:lineRule="auto"/>
        <w:ind w:firstLineChars="200" w:firstLine="420"/>
        <w:rPr>
          <w:rFonts w:cs="方正仿宋简体"/>
          <w:iCs/>
          <w:szCs w:val="21"/>
        </w:rPr>
      </w:pPr>
      <w:r>
        <w:rPr>
          <w:rFonts w:cs="方正仿宋简体"/>
          <w:iCs/>
          <w:szCs w:val="21"/>
        </w:rPr>
        <w:t>1</w:t>
      </w:r>
      <w:r>
        <w:rPr>
          <w:rFonts w:cs="方正仿宋简体"/>
          <w:iCs/>
          <w:szCs w:val="21"/>
        </w:rPr>
        <w:t>）本基金将通过</w:t>
      </w:r>
      <w:r>
        <w:rPr>
          <w:rFonts w:cs="方正仿宋简体"/>
          <w:iCs/>
          <w:szCs w:val="21"/>
        </w:rPr>
        <w:t>“</w:t>
      </w:r>
      <w:r>
        <w:rPr>
          <w:rFonts w:cs="方正仿宋简体"/>
          <w:iCs/>
          <w:szCs w:val="21"/>
        </w:rPr>
        <w:t>港股通</w:t>
      </w:r>
      <w:r>
        <w:rPr>
          <w:rFonts w:cs="方正仿宋简体"/>
          <w:iCs/>
          <w:szCs w:val="21"/>
        </w:rPr>
        <w:t>”</w:t>
      </w:r>
      <w:r>
        <w:rPr>
          <w:rFonts w:cs="方正仿宋简体"/>
          <w:iCs/>
          <w:szCs w:val="21"/>
        </w:rPr>
        <w:t>投资于香港市场，在市场进入、投资额度、可投资对象、税务政策等方面都有一定的限制，而且此类限制可能会不断调整，这些限制因素的变化可能对本基金进入或退出当地市场造成障碍，从而对投资收益以及正常的申购赎回产生直接或间接的影响。</w:t>
      </w:r>
    </w:p>
    <w:p w:rsidR="00E83E0C" w:rsidRDefault="00E97899">
      <w:pPr>
        <w:adjustRightInd w:val="0"/>
        <w:snapToGrid w:val="0"/>
        <w:spacing w:line="288" w:lineRule="auto"/>
        <w:ind w:firstLineChars="200" w:firstLine="420"/>
        <w:rPr>
          <w:rFonts w:cs="方正仿宋简体"/>
          <w:iCs/>
          <w:szCs w:val="21"/>
        </w:rPr>
      </w:pPr>
      <w:r>
        <w:rPr>
          <w:rFonts w:cs="方正仿宋简体"/>
          <w:iCs/>
          <w:szCs w:val="21"/>
        </w:rPr>
        <w:t>2</w:t>
      </w:r>
      <w:r>
        <w:rPr>
          <w:rFonts w:cs="方正仿宋简体"/>
          <w:iCs/>
          <w:szCs w:val="21"/>
        </w:rPr>
        <w:t>）香港市场交易规则有别于内地</w:t>
      </w:r>
      <w:r>
        <w:rPr>
          <w:rFonts w:cs="方正仿宋简体"/>
          <w:iCs/>
          <w:szCs w:val="21"/>
        </w:rPr>
        <w:t>A</w:t>
      </w:r>
      <w:r>
        <w:rPr>
          <w:rFonts w:cs="方正仿宋简体"/>
          <w:iCs/>
          <w:szCs w:val="21"/>
        </w:rPr>
        <w:t>股市场规则，此外，在港股通下参与香港证券投资还将面临包括但不限于如下特殊风险：涨跌幅限制、交易日不同、临时停市、交易机制、代理投票、汇率风险、港股通每日额度限制等。</w:t>
      </w:r>
    </w:p>
    <w:p w:rsidR="00E83E0C" w:rsidRDefault="00E97899">
      <w:pPr>
        <w:adjustRightInd w:val="0"/>
        <w:snapToGrid w:val="0"/>
        <w:spacing w:line="288" w:lineRule="auto"/>
        <w:ind w:firstLineChars="200" w:firstLine="420"/>
        <w:rPr>
          <w:rFonts w:cs="方正仿宋简体"/>
          <w:iCs/>
          <w:szCs w:val="21"/>
        </w:rPr>
      </w:pPr>
      <w:r>
        <w:rPr>
          <w:rFonts w:cs="方正仿宋简体"/>
          <w:iCs/>
          <w:szCs w:val="21"/>
        </w:rPr>
        <w:t>3</w:t>
      </w:r>
      <w:r>
        <w:rPr>
          <w:rFonts w:cs="方正仿宋简体"/>
          <w:iCs/>
          <w:szCs w:val="21"/>
        </w:rPr>
        <w:t>）本基金可根据投资策略需要或不同配置地市场环境的变化，选择将部分基金资产投资于港股通标的证券或选择不将基金资产投资于港股通标的证券，基金资产并非必然投资港股通标的证券。</w:t>
      </w:r>
    </w:p>
    <w:p w:rsidR="00E83E0C" w:rsidRDefault="00E97899">
      <w:pPr>
        <w:adjustRightInd w:val="0"/>
        <w:snapToGrid w:val="0"/>
        <w:spacing w:line="288" w:lineRule="auto"/>
        <w:ind w:firstLineChars="200" w:firstLine="420"/>
        <w:rPr>
          <w:rFonts w:cs="方正仿宋简体"/>
          <w:iCs/>
          <w:szCs w:val="21"/>
        </w:rPr>
      </w:pPr>
      <w:r>
        <w:rPr>
          <w:rFonts w:cs="方正仿宋简体"/>
          <w:iCs/>
          <w:szCs w:val="21"/>
        </w:rPr>
        <w:lastRenderedPageBreak/>
        <w:t>4</w:t>
      </w:r>
      <w:r>
        <w:rPr>
          <w:rFonts w:cs="方正仿宋简体"/>
          <w:iCs/>
          <w:szCs w:val="21"/>
        </w:rPr>
        <w:t>）本基金投资范围包括港股通</w:t>
      </w:r>
      <w:r>
        <w:rPr>
          <w:rFonts w:cs="方正仿宋简体"/>
          <w:iCs/>
          <w:szCs w:val="21"/>
        </w:rPr>
        <w:t>ETF</w:t>
      </w:r>
      <w:r>
        <w:rPr>
          <w:rFonts w:cs="方正仿宋简体"/>
          <w:iCs/>
          <w:szCs w:val="21"/>
        </w:rPr>
        <w:t>，可能出现因港股通</w:t>
      </w:r>
      <w:r>
        <w:rPr>
          <w:rFonts w:cs="方正仿宋简体"/>
          <w:iCs/>
          <w:szCs w:val="21"/>
        </w:rPr>
        <w:t>ETF</w:t>
      </w:r>
      <w:r>
        <w:rPr>
          <w:rFonts w:cs="方正仿宋简体"/>
          <w:iCs/>
          <w:szCs w:val="21"/>
        </w:rPr>
        <w:t>跟踪标的指数成份证券大幅波动、流动性不佳、受有关场外结构化产品影响、交易异常情形等原</w:t>
      </w:r>
      <w:r>
        <w:rPr>
          <w:rFonts w:cs="方正仿宋简体"/>
          <w:iCs/>
          <w:szCs w:val="21"/>
        </w:rPr>
        <w:t>因而引起价格较大波动、折溢价率和跟踪误差偏离合理区间等情形，从而导致本基金所持投资组合在资产估值上出现波动增大的风险。</w:t>
      </w:r>
    </w:p>
    <w:p w:rsidR="00E83E0C" w:rsidRDefault="00E97899">
      <w:pPr>
        <w:adjustRightInd w:val="0"/>
        <w:snapToGrid w:val="0"/>
        <w:spacing w:line="288" w:lineRule="auto"/>
        <w:ind w:firstLineChars="200" w:firstLine="420"/>
        <w:rPr>
          <w:rFonts w:cs="方正仿宋简体"/>
          <w:iCs/>
          <w:szCs w:val="21"/>
        </w:rPr>
      </w:pPr>
      <w:r>
        <w:rPr>
          <w:rFonts w:cs="方正仿宋简体"/>
          <w:iCs/>
          <w:szCs w:val="21"/>
        </w:rPr>
        <w:t>5</w:t>
      </w:r>
      <w:r>
        <w:rPr>
          <w:rFonts w:cs="方正仿宋简体"/>
          <w:iCs/>
          <w:szCs w:val="21"/>
        </w:rPr>
        <w:t>、本基金的投资范围包括</w:t>
      </w:r>
      <w:r>
        <w:rPr>
          <w:rFonts w:cs="方正仿宋简体"/>
          <w:iCs/>
          <w:szCs w:val="21"/>
        </w:rPr>
        <w:t>QDII</w:t>
      </w:r>
      <w:r>
        <w:rPr>
          <w:rFonts w:cs="方正仿宋简体"/>
          <w:iCs/>
          <w:szCs w:val="21"/>
        </w:rPr>
        <w:t>基金和香港互认基金，因此本基金可能间接面临海外市场风险、汇率风险、法律和政治风险、会计制度风险、税务风险等风险。</w:t>
      </w:r>
    </w:p>
    <w:p w:rsidR="00E83E0C" w:rsidRDefault="00E97899">
      <w:pPr>
        <w:adjustRightInd w:val="0"/>
        <w:snapToGrid w:val="0"/>
        <w:spacing w:line="288" w:lineRule="auto"/>
        <w:ind w:firstLineChars="200" w:firstLine="420"/>
        <w:rPr>
          <w:rFonts w:cs="方正仿宋简体"/>
          <w:iCs/>
          <w:szCs w:val="21"/>
        </w:rPr>
      </w:pPr>
      <w:r>
        <w:rPr>
          <w:rFonts w:cs="方正仿宋简体"/>
          <w:iCs/>
          <w:szCs w:val="21"/>
        </w:rPr>
        <w:t>6</w:t>
      </w:r>
      <w:r>
        <w:rPr>
          <w:rFonts w:cs="方正仿宋简体"/>
          <w:iCs/>
          <w:szCs w:val="21"/>
        </w:rPr>
        <w:t>、存托凭证投资风险</w:t>
      </w:r>
    </w:p>
    <w:p w:rsidR="00E83E0C" w:rsidRDefault="00E97899">
      <w:pPr>
        <w:adjustRightInd w:val="0"/>
        <w:snapToGrid w:val="0"/>
        <w:spacing w:line="288" w:lineRule="auto"/>
        <w:ind w:firstLineChars="200" w:firstLine="420"/>
        <w:rPr>
          <w:rFonts w:cs="方正仿宋简体"/>
          <w:iCs/>
          <w:szCs w:val="21"/>
        </w:rPr>
      </w:pPr>
      <w:r>
        <w:rPr>
          <w:rFonts w:cs="方正仿宋简体"/>
          <w:iCs/>
          <w:szCs w:val="21"/>
        </w:rPr>
        <w:t>本基金如投资存托凭证的，在承担境内上市交易股票投资的共同风险外，还将承担与存托凭证、创新企业发行、境外发行人以及交易机制相关的特有风险。</w:t>
      </w:r>
    </w:p>
    <w:p w:rsidR="00E83E0C" w:rsidRDefault="00E97899">
      <w:pPr>
        <w:adjustRightInd w:val="0"/>
        <w:snapToGrid w:val="0"/>
        <w:spacing w:line="288" w:lineRule="auto"/>
        <w:ind w:firstLineChars="200" w:firstLine="420"/>
        <w:rPr>
          <w:rFonts w:cs="方正仿宋简体"/>
          <w:iCs/>
          <w:szCs w:val="21"/>
        </w:rPr>
      </w:pPr>
      <w:r>
        <w:rPr>
          <w:rFonts w:cs="方正仿宋简体"/>
          <w:iCs/>
          <w:szCs w:val="21"/>
        </w:rPr>
        <w:t>7</w:t>
      </w:r>
      <w:r>
        <w:rPr>
          <w:rFonts w:cs="方正仿宋简体"/>
          <w:iCs/>
          <w:szCs w:val="21"/>
        </w:rPr>
        <w:t>、投资科创板股票的风险</w:t>
      </w:r>
    </w:p>
    <w:p w:rsidR="00E83E0C" w:rsidRDefault="00E97899">
      <w:pPr>
        <w:adjustRightInd w:val="0"/>
        <w:snapToGrid w:val="0"/>
        <w:spacing w:line="288" w:lineRule="auto"/>
        <w:ind w:firstLineChars="200" w:firstLine="420"/>
        <w:rPr>
          <w:rFonts w:cs="方正仿宋简体"/>
          <w:iCs/>
          <w:szCs w:val="21"/>
        </w:rPr>
      </w:pPr>
      <w:r>
        <w:rPr>
          <w:rFonts w:cs="方正仿宋简体"/>
          <w:iCs/>
          <w:szCs w:val="21"/>
        </w:rPr>
        <w:t>本基金可投资于科创板，若本基金投资于科创板股票，会面临科创板</w:t>
      </w:r>
      <w:r>
        <w:rPr>
          <w:rFonts w:cs="方正仿宋简体"/>
          <w:iCs/>
          <w:szCs w:val="21"/>
        </w:rPr>
        <w:t>机制下因投资标的、市场制度以及交易规则等差异带来的特有风险。</w:t>
      </w:r>
    </w:p>
    <w:p w:rsidR="00E83E0C" w:rsidRDefault="00E97899">
      <w:pPr>
        <w:adjustRightInd w:val="0"/>
        <w:snapToGrid w:val="0"/>
        <w:spacing w:line="288" w:lineRule="auto"/>
        <w:ind w:firstLineChars="200" w:firstLine="420"/>
        <w:rPr>
          <w:rFonts w:cs="方正仿宋简体"/>
          <w:iCs/>
          <w:szCs w:val="21"/>
        </w:rPr>
      </w:pPr>
      <w:r>
        <w:rPr>
          <w:rFonts w:cs="方正仿宋简体"/>
          <w:iCs/>
          <w:szCs w:val="21"/>
        </w:rPr>
        <w:t>8</w:t>
      </w:r>
      <w:r>
        <w:rPr>
          <w:rFonts w:cs="方正仿宋简体"/>
          <w:iCs/>
          <w:szCs w:val="21"/>
        </w:rPr>
        <w:t>、公募</w:t>
      </w:r>
      <w:r>
        <w:rPr>
          <w:rFonts w:cs="方正仿宋简体"/>
          <w:iCs/>
          <w:szCs w:val="21"/>
        </w:rPr>
        <w:t>REITs</w:t>
      </w:r>
      <w:r>
        <w:rPr>
          <w:rFonts w:cs="方正仿宋简体"/>
          <w:iCs/>
          <w:szCs w:val="21"/>
        </w:rPr>
        <w:t>投资风险</w:t>
      </w:r>
    </w:p>
    <w:p w:rsidR="00E83E0C" w:rsidRDefault="00E97899">
      <w:pPr>
        <w:adjustRightInd w:val="0"/>
        <w:snapToGrid w:val="0"/>
        <w:spacing w:line="288" w:lineRule="auto"/>
        <w:ind w:firstLineChars="200" w:firstLine="420"/>
        <w:rPr>
          <w:rFonts w:cs="方正仿宋简体"/>
          <w:iCs/>
          <w:szCs w:val="21"/>
        </w:rPr>
      </w:pPr>
      <w:r>
        <w:rPr>
          <w:rFonts w:cs="方正仿宋简体"/>
          <w:iCs/>
          <w:szCs w:val="21"/>
        </w:rPr>
        <w:t>本基金投资公募</w:t>
      </w:r>
      <w:r>
        <w:rPr>
          <w:rFonts w:cs="方正仿宋简体"/>
          <w:iCs/>
          <w:szCs w:val="21"/>
        </w:rPr>
        <w:t>REITs</w:t>
      </w:r>
      <w:r>
        <w:rPr>
          <w:rFonts w:cs="方正仿宋简体"/>
          <w:iCs/>
          <w:szCs w:val="21"/>
        </w:rPr>
        <w:t>可能面临的风险包括但不限于基金价格波动风险、基础设施项目运营风险、基础设施估值无法体现公允价值的风险、基金份额交易价格折溢价风险、流动性风险、终止上市风险、政策调整风险、利益冲突风险。</w:t>
      </w:r>
    </w:p>
    <w:p w:rsidR="00E83E0C" w:rsidRDefault="00E97899">
      <w:pPr>
        <w:adjustRightInd w:val="0"/>
        <w:snapToGrid w:val="0"/>
        <w:spacing w:line="288" w:lineRule="auto"/>
        <w:ind w:firstLineChars="200" w:firstLine="420"/>
        <w:rPr>
          <w:rFonts w:cs="方正仿宋简体"/>
          <w:iCs/>
          <w:szCs w:val="21"/>
        </w:rPr>
      </w:pPr>
      <w:r>
        <w:rPr>
          <w:rFonts w:cs="方正仿宋简体"/>
          <w:iCs/>
          <w:szCs w:val="21"/>
        </w:rPr>
        <w:t>9</w:t>
      </w:r>
      <w:r>
        <w:rPr>
          <w:rFonts w:cs="方正仿宋简体"/>
          <w:iCs/>
          <w:szCs w:val="21"/>
        </w:rPr>
        <w:t>、最短持有期内不能赎回的风险</w:t>
      </w:r>
    </w:p>
    <w:p w:rsidR="00E83E0C" w:rsidRDefault="00E97899">
      <w:pPr>
        <w:adjustRightInd w:val="0"/>
        <w:snapToGrid w:val="0"/>
        <w:spacing w:line="288" w:lineRule="auto"/>
        <w:ind w:firstLineChars="200" w:firstLine="420"/>
        <w:rPr>
          <w:rFonts w:cs="方正仿宋简体"/>
          <w:iCs/>
          <w:szCs w:val="21"/>
        </w:rPr>
      </w:pPr>
      <w:r>
        <w:rPr>
          <w:rFonts w:cs="方正仿宋简体"/>
          <w:iCs/>
          <w:szCs w:val="21"/>
        </w:rPr>
        <w:t>基金合同生效后，本基金对每一份认购</w:t>
      </w:r>
      <w:r>
        <w:rPr>
          <w:rFonts w:cs="方正仿宋简体"/>
          <w:iCs/>
          <w:szCs w:val="21"/>
        </w:rPr>
        <w:t>/</w:t>
      </w:r>
      <w:r>
        <w:rPr>
          <w:rFonts w:cs="方正仿宋简体"/>
          <w:iCs/>
          <w:szCs w:val="21"/>
        </w:rPr>
        <w:t>申购</w:t>
      </w:r>
      <w:r>
        <w:rPr>
          <w:rFonts w:cs="方正仿宋简体"/>
          <w:iCs/>
          <w:szCs w:val="21"/>
        </w:rPr>
        <w:t>/</w:t>
      </w:r>
      <w:r>
        <w:rPr>
          <w:rFonts w:cs="方正仿宋简体"/>
          <w:iCs/>
          <w:szCs w:val="21"/>
        </w:rPr>
        <w:t>转换转入的基金份额分别计算</w:t>
      </w:r>
      <w:r>
        <w:rPr>
          <w:rFonts w:cs="方正仿宋简体"/>
          <w:iCs/>
          <w:szCs w:val="21"/>
        </w:rPr>
        <w:t>90</w:t>
      </w:r>
      <w:r>
        <w:rPr>
          <w:rFonts w:cs="方正仿宋简体"/>
          <w:iCs/>
          <w:szCs w:val="21"/>
        </w:rPr>
        <w:t>天的最短持有期。对于收益分配方式为红利再投资的基金份额，每份基金份额（即原份额）红利再投资所获得的基金份额的</w:t>
      </w:r>
      <w:r>
        <w:rPr>
          <w:rFonts w:cs="方正仿宋简体"/>
          <w:iCs/>
          <w:szCs w:val="21"/>
        </w:rPr>
        <w:t>持有期限，按原份额的持有期限计算，即红利再投资所得份额与原份额最短持有期到期日相同。投资者持有的基金份额自基金合同生效日（对于认购份额而言）或基金份额申购、转换转入确认日（对于申购、转换转入份额而言）</w:t>
      </w:r>
      <w:r>
        <w:rPr>
          <w:rFonts w:cs="方正仿宋简体"/>
          <w:iCs/>
          <w:szCs w:val="21"/>
        </w:rPr>
        <w:t>90</w:t>
      </w:r>
      <w:r>
        <w:rPr>
          <w:rFonts w:cs="方正仿宋简体"/>
          <w:iCs/>
          <w:szCs w:val="21"/>
        </w:rPr>
        <w:t>天的对应日起（含当日），方可申请办理赎回或转换转出业务。因此基金份额持有人面临在最短持有期内不能赎回或转换转出基金份额的风险。</w:t>
      </w:r>
    </w:p>
    <w:p w:rsidR="006370B9" w:rsidRPr="00006391" w:rsidRDefault="006370B9" w:rsidP="006370B9">
      <w:pPr>
        <w:pStyle w:val="2"/>
        <w:numPr>
          <w:ilvl w:val="1"/>
          <w:numId w:val="17"/>
        </w:numPr>
      </w:pPr>
      <w:r w:rsidRPr="00006391">
        <w:rPr>
          <w:rFonts w:hint="eastAsia"/>
        </w:rPr>
        <w:t>重要提示</w:t>
      </w:r>
    </w:p>
    <w:p w:rsidR="00E83E0C" w:rsidRDefault="00E97899">
      <w:pPr>
        <w:adjustRightInd w:val="0"/>
        <w:snapToGrid w:val="0"/>
        <w:spacing w:line="288" w:lineRule="auto"/>
        <w:ind w:firstLineChars="200" w:firstLine="420"/>
        <w:rPr>
          <w:rFonts w:cs="方正仿宋简体"/>
          <w:iCs/>
          <w:szCs w:val="21"/>
        </w:rPr>
      </w:pPr>
      <w:r>
        <w:rPr>
          <w:rFonts w:cs="方正仿宋简体"/>
          <w:iCs/>
          <w:szCs w:val="21"/>
        </w:rPr>
        <w:t>中国证监会对本基金募集的注册</w:t>
      </w:r>
      <w:r>
        <w:rPr>
          <w:rFonts w:cs="方正仿宋简体"/>
          <w:iCs/>
          <w:szCs w:val="21"/>
        </w:rPr>
        <w:t>/</w:t>
      </w:r>
      <w:r>
        <w:rPr>
          <w:rFonts w:cs="方正仿宋简体"/>
          <w:iCs/>
          <w:szCs w:val="21"/>
        </w:rPr>
        <w:t>核准，并不表明其对本基金的价值和收益作出实质性判断或保证，也不表明投资于本基金没有风险。基金管理人依照恪尽职守、诚实信用、谨慎勤勉的原则管理和运用基金财产，但不保证基金一定盈利，也不保证最低收益。基金投资者自依基金合同取得基金份额，即成为基金份额持有人和基金合同的当事人。</w:t>
      </w:r>
    </w:p>
    <w:p w:rsidR="00E83E0C" w:rsidRDefault="00E97899">
      <w:pPr>
        <w:adjustRightInd w:val="0"/>
        <w:snapToGrid w:val="0"/>
        <w:spacing w:line="288" w:lineRule="auto"/>
        <w:ind w:firstLineChars="200" w:firstLine="420"/>
        <w:rPr>
          <w:rFonts w:cs="方正仿宋简体"/>
          <w:iCs/>
          <w:szCs w:val="21"/>
        </w:rPr>
      </w:pPr>
      <w:r>
        <w:rPr>
          <w:rFonts w:cs="方正仿宋简体"/>
          <w:iCs/>
          <w:szCs w:val="21"/>
        </w:rPr>
        <w:t>因基金合同而产生的或与基金合同有关的一切争议，如经友好协商未能解决的，均应提交中国国际经济贸易仲裁委员会，按照申请仲裁时该会届时有效的仲裁规则进行仲裁，仲裁地点为北京市。仲裁裁决是终局的，并对各方当事人具有约</w:t>
      </w:r>
      <w:r>
        <w:rPr>
          <w:rFonts w:cs="方正仿宋简体"/>
          <w:iCs/>
          <w:szCs w:val="21"/>
        </w:rPr>
        <w:t>束力。</w:t>
      </w:r>
    </w:p>
    <w:p w:rsidR="00E83E0C" w:rsidRDefault="00E97899">
      <w:pPr>
        <w:adjustRightInd w:val="0"/>
        <w:snapToGrid w:val="0"/>
        <w:spacing w:line="288" w:lineRule="auto"/>
        <w:ind w:firstLineChars="200" w:firstLine="420"/>
        <w:rPr>
          <w:rFonts w:cs="方正仿宋简体"/>
          <w:iCs/>
          <w:szCs w:val="21"/>
        </w:rPr>
      </w:pPr>
      <w:r>
        <w:rPr>
          <w:rFonts w:cs="方正仿宋简体"/>
          <w:iCs/>
          <w:szCs w:val="21"/>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定期公告等披露文件。</w:t>
      </w:r>
    </w:p>
    <w:p w:rsidR="006370B9" w:rsidRPr="00A14942" w:rsidRDefault="006370B9" w:rsidP="006370B9">
      <w:pPr>
        <w:pStyle w:val="1"/>
        <w:ind w:left="425" w:hanging="425"/>
      </w:pPr>
      <w:r w:rsidRPr="00A14942">
        <w:rPr>
          <w:rFonts w:hint="eastAsia"/>
        </w:rPr>
        <w:t>其他资料查询方式</w:t>
      </w:r>
    </w:p>
    <w:p w:rsidR="00E83E0C" w:rsidRDefault="00E97899">
      <w:pPr>
        <w:adjustRightInd w:val="0"/>
        <w:snapToGrid w:val="0"/>
        <w:spacing w:line="288" w:lineRule="auto"/>
        <w:ind w:firstLineChars="200" w:firstLine="420"/>
        <w:rPr>
          <w:rFonts w:cs="方正仿宋简体"/>
          <w:iCs/>
          <w:szCs w:val="21"/>
        </w:rPr>
      </w:pPr>
      <w:r>
        <w:rPr>
          <w:rFonts w:cs="方正仿宋简体"/>
          <w:iCs/>
          <w:szCs w:val="21"/>
        </w:rPr>
        <w:t>以下资料详见基金管理人网站（</w:t>
      </w:r>
      <w:r>
        <w:rPr>
          <w:rFonts w:cs="方正仿宋简体"/>
          <w:iCs/>
          <w:szCs w:val="21"/>
        </w:rPr>
        <w:t>www.fullgoal.com.cn</w:t>
      </w:r>
      <w:r>
        <w:rPr>
          <w:rFonts w:cs="方正仿宋简体"/>
          <w:iCs/>
          <w:szCs w:val="21"/>
        </w:rPr>
        <w:t>），客户服务热线：</w:t>
      </w:r>
      <w:r>
        <w:rPr>
          <w:rFonts w:cs="方正仿宋简体"/>
          <w:iCs/>
          <w:szCs w:val="21"/>
        </w:rPr>
        <w:t>95105686</w:t>
      </w:r>
      <w:r>
        <w:rPr>
          <w:rFonts w:cs="方正仿宋简体"/>
          <w:iCs/>
          <w:szCs w:val="21"/>
        </w:rPr>
        <w:t>，</w:t>
      </w:r>
      <w:r>
        <w:rPr>
          <w:rFonts w:cs="方正仿宋简体"/>
          <w:iCs/>
          <w:szCs w:val="21"/>
        </w:rPr>
        <w:t>4008880688</w:t>
      </w:r>
      <w:r>
        <w:rPr>
          <w:rFonts w:cs="方正仿宋简体"/>
          <w:iCs/>
          <w:szCs w:val="21"/>
        </w:rPr>
        <w:t>（全国统一，免长途话费）</w:t>
      </w:r>
    </w:p>
    <w:p w:rsidR="00E83E0C" w:rsidRDefault="00E97899">
      <w:pPr>
        <w:adjustRightInd w:val="0"/>
        <w:snapToGrid w:val="0"/>
        <w:spacing w:line="288" w:lineRule="auto"/>
        <w:ind w:firstLineChars="200" w:firstLine="420"/>
        <w:rPr>
          <w:rFonts w:cs="方正仿宋简体"/>
          <w:iCs/>
          <w:szCs w:val="21"/>
        </w:rPr>
      </w:pPr>
      <w:r>
        <w:rPr>
          <w:rFonts w:cs="方正仿宋简体"/>
          <w:iCs/>
          <w:szCs w:val="21"/>
        </w:rPr>
        <w:t>1.</w:t>
      </w:r>
      <w:r>
        <w:rPr>
          <w:rFonts w:cs="方正仿宋简体"/>
          <w:iCs/>
          <w:szCs w:val="21"/>
        </w:rPr>
        <w:t>基金合同、托管协议、招募说明书</w:t>
      </w:r>
    </w:p>
    <w:p w:rsidR="00E83E0C" w:rsidRDefault="00E97899">
      <w:pPr>
        <w:adjustRightInd w:val="0"/>
        <w:snapToGrid w:val="0"/>
        <w:spacing w:line="288" w:lineRule="auto"/>
        <w:ind w:firstLineChars="200" w:firstLine="420"/>
        <w:rPr>
          <w:rFonts w:cs="方正仿宋简体"/>
          <w:iCs/>
          <w:szCs w:val="21"/>
        </w:rPr>
      </w:pPr>
      <w:r>
        <w:rPr>
          <w:rFonts w:cs="方正仿宋简体"/>
          <w:iCs/>
          <w:szCs w:val="21"/>
        </w:rPr>
        <w:t>2.</w:t>
      </w:r>
      <w:r>
        <w:rPr>
          <w:rFonts w:cs="方正仿宋简体"/>
          <w:iCs/>
          <w:szCs w:val="21"/>
        </w:rPr>
        <w:t>定期报告，包括基金季度报告、中期报</w:t>
      </w:r>
      <w:r>
        <w:rPr>
          <w:rFonts w:cs="方正仿宋简体"/>
          <w:iCs/>
          <w:szCs w:val="21"/>
        </w:rPr>
        <w:t>告和年度报告</w:t>
      </w:r>
    </w:p>
    <w:p w:rsidR="00E83E0C" w:rsidRDefault="00E97899">
      <w:pPr>
        <w:adjustRightInd w:val="0"/>
        <w:snapToGrid w:val="0"/>
        <w:spacing w:line="288" w:lineRule="auto"/>
        <w:ind w:firstLineChars="200" w:firstLine="420"/>
        <w:rPr>
          <w:rFonts w:cs="方正仿宋简体"/>
          <w:iCs/>
          <w:szCs w:val="21"/>
        </w:rPr>
      </w:pPr>
      <w:r>
        <w:rPr>
          <w:rFonts w:cs="方正仿宋简体"/>
          <w:iCs/>
          <w:szCs w:val="21"/>
        </w:rPr>
        <w:t>3.</w:t>
      </w:r>
      <w:r>
        <w:rPr>
          <w:rFonts w:cs="方正仿宋简体"/>
          <w:iCs/>
          <w:szCs w:val="21"/>
        </w:rPr>
        <w:t>基金份额净值</w:t>
      </w:r>
    </w:p>
    <w:p w:rsidR="00E83E0C" w:rsidRDefault="00E97899">
      <w:pPr>
        <w:adjustRightInd w:val="0"/>
        <w:snapToGrid w:val="0"/>
        <w:spacing w:line="288" w:lineRule="auto"/>
        <w:ind w:firstLineChars="200" w:firstLine="420"/>
        <w:rPr>
          <w:rFonts w:cs="方正仿宋简体"/>
          <w:iCs/>
          <w:szCs w:val="21"/>
        </w:rPr>
      </w:pPr>
      <w:r>
        <w:rPr>
          <w:rFonts w:cs="方正仿宋简体"/>
          <w:iCs/>
          <w:szCs w:val="21"/>
        </w:rPr>
        <w:t>4.</w:t>
      </w:r>
      <w:r>
        <w:rPr>
          <w:rFonts w:cs="方正仿宋简体"/>
          <w:iCs/>
          <w:szCs w:val="21"/>
        </w:rPr>
        <w:t>基金销售机构及联系方式</w:t>
      </w:r>
    </w:p>
    <w:p w:rsidR="00E83E0C" w:rsidRDefault="00E97899">
      <w:pPr>
        <w:adjustRightInd w:val="0"/>
        <w:snapToGrid w:val="0"/>
        <w:spacing w:line="288" w:lineRule="auto"/>
        <w:ind w:firstLineChars="200" w:firstLine="420"/>
        <w:rPr>
          <w:rFonts w:cs="方正仿宋简体"/>
          <w:iCs/>
          <w:szCs w:val="21"/>
        </w:rPr>
      </w:pPr>
      <w:r>
        <w:rPr>
          <w:rFonts w:cs="方正仿宋简体"/>
          <w:iCs/>
          <w:szCs w:val="21"/>
        </w:rPr>
        <w:t>5.</w:t>
      </w:r>
      <w:r>
        <w:rPr>
          <w:rFonts w:cs="方正仿宋简体"/>
          <w:iCs/>
          <w:szCs w:val="21"/>
        </w:rPr>
        <w:t>其他重要资料</w:t>
      </w:r>
    </w:p>
    <w:sectPr w:rsidR="00E83E0C" w:rsidSect="00AD4857">
      <w:footerReference w:type="default" r:id="rId7"/>
      <w:pgSz w:w="11906" w:h="16838"/>
      <w:pgMar w:top="1021" w:right="1474" w:bottom="1021" w:left="1474" w:header="851" w:footer="454" w:gutter="0"/>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7899" w:rsidRDefault="00E97899" w:rsidP="00084FBF">
      <w:r>
        <w:separator/>
      </w:r>
    </w:p>
  </w:endnote>
  <w:endnote w:type="continuationSeparator" w:id="0">
    <w:p w:rsidR="00E97899" w:rsidRDefault="00E97899" w:rsidP="00084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方正仿宋简体">
    <w:altName w:val="宋体"/>
    <w:charset w:val="86"/>
    <w:family w:val="auto"/>
    <w:pitch w:val="default"/>
    <w:sig w:usb0="A00002BF" w:usb1="184F6CFA" w:usb2="00000012" w:usb3="00000000" w:csb0="00040001" w:csb1="00000000"/>
  </w:font>
  <w:font w:name="Tahoma">
    <w:panose1 w:val="020B0604030504040204"/>
    <w:charset w:val="00"/>
    <w:family w:val="swiss"/>
    <w:pitch w:val="variable"/>
    <w:sig w:usb0="E1002EFF" w:usb1="C000605B" w:usb2="00000029" w:usb3="00000000" w:csb0="000101FF" w:csb1="00000000"/>
  </w:font>
  <w:font w:name="方正黑体简体">
    <w:altName w:val="微软雅黑"/>
    <w:charset w:val="86"/>
    <w:family w:val="auto"/>
    <w:pitch w:val="default"/>
    <w:sig w:usb0="00000000" w:usb1="080E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F87" w:rsidRDefault="00953F87">
    <w:pPr>
      <w:pStyle w:val="ad"/>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7C389A">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7C389A">
      <w:rPr>
        <w:b/>
        <w:bCs/>
        <w:noProof/>
      </w:rPr>
      <w:t>4</w:t>
    </w:r>
    <w:r>
      <w:rPr>
        <w:b/>
        <w:bCs/>
        <w:sz w:val="24"/>
        <w:szCs w:val="24"/>
      </w:rPr>
      <w:fldChar w:fldCharType="end"/>
    </w:r>
  </w:p>
  <w:p w:rsidR="00953F87" w:rsidRDefault="00953F8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7899" w:rsidRDefault="00E97899" w:rsidP="00084FBF">
      <w:r>
        <w:separator/>
      </w:r>
    </w:p>
  </w:footnote>
  <w:footnote w:type="continuationSeparator" w:id="0">
    <w:p w:rsidR="00E97899" w:rsidRDefault="00E97899" w:rsidP="00084F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051409CC"/>
    <w:multiLevelType w:val="hybridMultilevel"/>
    <w:tmpl w:val="035A1476"/>
    <w:lvl w:ilvl="0" w:tplc="99480BE8">
      <w:start w:val="1"/>
      <w:numFmt w:val="chineseCountingThousand"/>
      <w:pStyle w:val="3"/>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D6213A5"/>
    <w:multiLevelType w:val="hybridMultilevel"/>
    <w:tmpl w:val="A8DC98DE"/>
    <w:lvl w:ilvl="0" w:tplc="67C8E684">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1E66571"/>
    <w:multiLevelType w:val="multilevel"/>
    <w:tmpl w:val="D868A662"/>
    <w:lvl w:ilvl="0">
      <w:start w:val="1"/>
      <w:numFmt w:val="chineseCountingThousand"/>
      <w:pStyle w:val="1"/>
      <w:suff w:val="space"/>
      <w:lvlText w:val="%1、"/>
      <w:lvlJc w:val="left"/>
      <w:pPr>
        <w:ind w:left="0" w:firstLine="0"/>
      </w:pPr>
      <w:rPr>
        <w:rFonts w:hint="eastAsia"/>
      </w:rPr>
    </w:lvl>
    <w:lvl w:ilvl="1">
      <w:start w:val="1"/>
      <w:numFmt w:val="japaneseCounting"/>
      <w:lvlText w:val="（%2）"/>
      <w:lvlJc w:val="left"/>
      <w:pPr>
        <w:ind w:left="1140" w:hanging="720"/>
      </w:pPr>
      <w:rPr>
        <w:rFonts w:hint="default"/>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nsid w:val="148B39D6"/>
    <w:multiLevelType w:val="hybridMultilevel"/>
    <w:tmpl w:val="E92CCC70"/>
    <w:lvl w:ilvl="0" w:tplc="5C21FE0E">
      <w:start w:val="2"/>
      <w:numFmt w:val="chineseCounting"/>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8A76D66"/>
    <w:multiLevelType w:val="multilevel"/>
    <w:tmpl w:val="F000C7D6"/>
    <w:lvl w:ilvl="0">
      <w:start w:val="1"/>
      <w:numFmt w:val="chineseCountingThousand"/>
      <w:suff w:val="space"/>
      <w:lvlText w:val="%1、"/>
      <w:lvlJc w:val="left"/>
      <w:pPr>
        <w:ind w:left="0" w:firstLine="0"/>
      </w:pPr>
      <w:rPr>
        <w:rFonts w:ascii="宋体" w:eastAsia="宋体" w:hAnsi="宋体" w:hint="eastAsia"/>
        <w:b w:val="0"/>
        <w:i w:val="0"/>
        <w:sz w:val="24"/>
      </w:rPr>
    </w:lvl>
    <w:lvl w:ilvl="1">
      <w:start w:val="1"/>
      <w:numFmt w:val="chineseCountingThousand"/>
      <w:suff w:val="space"/>
      <w:lvlText w:val="（%2）"/>
      <w:lvlJc w:val="left"/>
      <w:pPr>
        <w:ind w:left="0" w:firstLine="0"/>
      </w:pPr>
      <w:rPr>
        <w:rFonts w:hint="default"/>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
    <w:nsid w:val="307B2E9D"/>
    <w:multiLevelType w:val="multilevel"/>
    <w:tmpl w:val="3E7A3EF0"/>
    <w:lvl w:ilvl="0">
      <w:start w:val="1"/>
      <w:numFmt w:val="chineseCountingThousand"/>
      <w:suff w:val="space"/>
      <w:lvlText w:val="%1、"/>
      <w:lvlJc w:val="left"/>
      <w:pPr>
        <w:ind w:left="0" w:firstLine="0"/>
      </w:pPr>
      <w:rPr>
        <w:rFonts w:ascii="宋体" w:eastAsia="宋体" w:hAnsi="宋体" w:hint="eastAsia"/>
        <w:b w:val="0"/>
        <w:i w:val="0"/>
        <w:sz w:val="24"/>
      </w:rPr>
    </w:lvl>
    <w:lvl w:ilvl="1">
      <w:start w:val="1"/>
      <w:numFmt w:val="chineseCountingThousand"/>
      <w:suff w:val="space"/>
      <w:lvlText w:val="（%2）"/>
      <w:lvlJc w:val="left"/>
      <w:pPr>
        <w:ind w:left="0" w:firstLine="0"/>
      </w:pPr>
      <w:rPr>
        <w:rFonts w:hint="default"/>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
    <w:nsid w:val="3D5E12D9"/>
    <w:multiLevelType w:val="hybridMultilevel"/>
    <w:tmpl w:val="8FE843C0"/>
    <w:lvl w:ilvl="0" w:tplc="04090001">
      <w:start w:val="1"/>
      <w:numFmt w:val="bullet"/>
      <w:lvlText w:val=""/>
      <w:lvlJc w:val="left"/>
      <w:pPr>
        <w:ind w:left="704" w:hanging="420"/>
      </w:pPr>
      <w:rPr>
        <w:rFonts w:ascii="Wingdings" w:hAnsi="Wingdings"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8">
    <w:nsid w:val="4F606D61"/>
    <w:multiLevelType w:val="multilevel"/>
    <w:tmpl w:val="811EEC96"/>
    <w:lvl w:ilvl="0">
      <w:start w:val="1"/>
      <w:numFmt w:val="japaneseCounting"/>
      <w:lvlText w:val="（%1）"/>
      <w:lvlJc w:val="left"/>
      <w:pPr>
        <w:ind w:left="420" w:hanging="420"/>
      </w:pPr>
      <w:rPr>
        <w:rFonts w:hint="default"/>
      </w:rPr>
    </w:lvl>
    <w:lvl w:ilvl="1">
      <w:start w:val="1"/>
      <w:numFmt w:val="chineseCountingThousand"/>
      <w:pStyle w:val="2"/>
      <w:lvlText w:val="（%2）"/>
      <w:lvlJc w:val="left"/>
      <w:pPr>
        <w:ind w:left="0" w:firstLine="0"/>
      </w:pPr>
      <w:rPr>
        <w:rFonts w:hint="default"/>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9">
    <w:nsid w:val="5AC33CF0"/>
    <w:multiLevelType w:val="singleLevel"/>
    <w:tmpl w:val="5AC33CF0"/>
    <w:lvl w:ilvl="0">
      <w:start w:val="1"/>
      <w:numFmt w:val="chineseCounting"/>
      <w:suff w:val="nothing"/>
      <w:lvlText w:val="%1、"/>
      <w:lvlJc w:val="left"/>
    </w:lvl>
  </w:abstractNum>
  <w:abstractNum w:abstractNumId="10">
    <w:nsid w:val="5C21FE0E"/>
    <w:multiLevelType w:val="singleLevel"/>
    <w:tmpl w:val="5C21FE0E"/>
    <w:lvl w:ilvl="0">
      <w:start w:val="2"/>
      <w:numFmt w:val="chineseCounting"/>
      <w:suff w:val="nothing"/>
      <w:lvlText w:val="（%1）"/>
      <w:lvlJc w:val="left"/>
    </w:lvl>
  </w:abstractNum>
  <w:abstractNum w:abstractNumId="11">
    <w:nsid w:val="622E5A63"/>
    <w:multiLevelType w:val="hybridMultilevel"/>
    <w:tmpl w:val="3FBC99F8"/>
    <w:lvl w:ilvl="0" w:tplc="5C21FE0E">
      <w:start w:val="2"/>
      <w:numFmt w:val="chineseCounting"/>
      <w:lvlText w:val="（%1）"/>
      <w:lvlJc w:val="left"/>
      <w:pPr>
        <w:ind w:left="420" w:hanging="420"/>
      </w:pPr>
    </w:lvl>
    <w:lvl w:ilvl="1" w:tplc="F9CA7E8C">
      <w:start w:val="1"/>
      <w:numFmt w:val="decimal"/>
      <w:lvlText w:val="（%2）"/>
      <w:lvlJc w:val="left"/>
      <w:pPr>
        <w:ind w:left="704" w:hanging="42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1C855BF"/>
    <w:multiLevelType w:val="hybridMultilevel"/>
    <w:tmpl w:val="6C2AEB60"/>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10"/>
  </w:num>
  <w:num w:numId="3">
    <w:abstractNumId w:val="0"/>
  </w:num>
  <w:num w:numId="4">
    <w:abstractNumId w:val="3"/>
  </w:num>
  <w:num w:numId="5">
    <w:abstractNumId w:val="12"/>
  </w:num>
  <w:num w:numId="6">
    <w:abstractNumId w:val="4"/>
  </w:num>
  <w:num w:numId="7">
    <w:abstractNumId w:val="11"/>
  </w:num>
  <w:num w:numId="8">
    <w:abstractNumId w:val="7"/>
  </w:num>
  <w:num w:numId="9">
    <w:abstractNumId w:val="3"/>
  </w:num>
  <w:num w:numId="10">
    <w:abstractNumId w:val="2"/>
  </w:num>
  <w:num w:numId="11">
    <w:abstractNumId w:val="8"/>
  </w:num>
  <w:num w:numId="12">
    <w:abstractNumId w:val="8"/>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20"/>
  <w:drawingGridHorizontalSpacing w:val="105"/>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0CD"/>
    <w:rsid w:val="00005219"/>
    <w:rsid w:val="00011D44"/>
    <w:rsid w:val="00013020"/>
    <w:rsid w:val="00020BC0"/>
    <w:rsid w:val="00022545"/>
    <w:rsid w:val="000232C6"/>
    <w:rsid w:val="00036483"/>
    <w:rsid w:val="00042918"/>
    <w:rsid w:val="000477E3"/>
    <w:rsid w:val="00051C0C"/>
    <w:rsid w:val="00053417"/>
    <w:rsid w:val="00064982"/>
    <w:rsid w:val="000776C8"/>
    <w:rsid w:val="000827C1"/>
    <w:rsid w:val="00084FBF"/>
    <w:rsid w:val="000A7B26"/>
    <w:rsid w:val="000C530A"/>
    <w:rsid w:val="000D10B4"/>
    <w:rsid w:val="000D218F"/>
    <w:rsid w:val="000D57C1"/>
    <w:rsid w:val="001000DB"/>
    <w:rsid w:val="00106AF7"/>
    <w:rsid w:val="00120CE6"/>
    <w:rsid w:val="00124B97"/>
    <w:rsid w:val="0013684A"/>
    <w:rsid w:val="00142362"/>
    <w:rsid w:val="00151E19"/>
    <w:rsid w:val="00154E3B"/>
    <w:rsid w:val="00162B21"/>
    <w:rsid w:val="00165774"/>
    <w:rsid w:val="00186F72"/>
    <w:rsid w:val="00196B69"/>
    <w:rsid w:val="001A1651"/>
    <w:rsid w:val="001A78ED"/>
    <w:rsid w:val="001A7B4D"/>
    <w:rsid w:val="001C35F9"/>
    <w:rsid w:val="001C6EE3"/>
    <w:rsid w:val="001E5192"/>
    <w:rsid w:val="001E7595"/>
    <w:rsid w:val="001F6EBF"/>
    <w:rsid w:val="002060B7"/>
    <w:rsid w:val="00237E86"/>
    <w:rsid w:val="00240B15"/>
    <w:rsid w:val="00257D13"/>
    <w:rsid w:val="00257FDD"/>
    <w:rsid w:val="00275953"/>
    <w:rsid w:val="00286D86"/>
    <w:rsid w:val="00290A40"/>
    <w:rsid w:val="00295B43"/>
    <w:rsid w:val="002C27FD"/>
    <w:rsid w:val="002D0197"/>
    <w:rsid w:val="002D37DC"/>
    <w:rsid w:val="002D42AF"/>
    <w:rsid w:val="002D4A95"/>
    <w:rsid w:val="002D7116"/>
    <w:rsid w:val="0030389D"/>
    <w:rsid w:val="003134F0"/>
    <w:rsid w:val="00315D72"/>
    <w:rsid w:val="00327F91"/>
    <w:rsid w:val="00337FB1"/>
    <w:rsid w:val="00347591"/>
    <w:rsid w:val="003504A0"/>
    <w:rsid w:val="003539CD"/>
    <w:rsid w:val="0035634C"/>
    <w:rsid w:val="00360C64"/>
    <w:rsid w:val="003652C5"/>
    <w:rsid w:val="00373E2A"/>
    <w:rsid w:val="00377863"/>
    <w:rsid w:val="003A5D1B"/>
    <w:rsid w:val="003B35F0"/>
    <w:rsid w:val="003C4AB4"/>
    <w:rsid w:val="003E23FE"/>
    <w:rsid w:val="003E480C"/>
    <w:rsid w:val="003F7FAE"/>
    <w:rsid w:val="004023B8"/>
    <w:rsid w:val="0041084F"/>
    <w:rsid w:val="00417D05"/>
    <w:rsid w:val="004246E6"/>
    <w:rsid w:val="0043556E"/>
    <w:rsid w:val="00455495"/>
    <w:rsid w:val="0046074E"/>
    <w:rsid w:val="00480EB1"/>
    <w:rsid w:val="004A428B"/>
    <w:rsid w:val="004C1AD1"/>
    <w:rsid w:val="004C1DD8"/>
    <w:rsid w:val="004C4CD9"/>
    <w:rsid w:val="004E1601"/>
    <w:rsid w:val="004E7FF3"/>
    <w:rsid w:val="00530C6C"/>
    <w:rsid w:val="005354AA"/>
    <w:rsid w:val="00542A87"/>
    <w:rsid w:val="0055000C"/>
    <w:rsid w:val="00555D8A"/>
    <w:rsid w:val="00556076"/>
    <w:rsid w:val="00561D0D"/>
    <w:rsid w:val="00571244"/>
    <w:rsid w:val="00575E82"/>
    <w:rsid w:val="005856EF"/>
    <w:rsid w:val="005925E3"/>
    <w:rsid w:val="00593075"/>
    <w:rsid w:val="00593E9D"/>
    <w:rsid w:val="005A32CA"/>
    <w:rsid w:val="005A489D"/>
    <w:rsid w:val="005B44EB"/>
    <w:rsid w:val="005C1B06"/>
    <w:rsid w:val="005D1E03"/>
    <w:rsid w:val="005D322F"/>
    <w:rsid w:val="005D415A"/>
    <w:rsid w:val="005D721D"/>
    <w:rsid w:val="005D72AE"/>
    <w:rsid w:val="005E2DF2"/>
    <w:rsid w:val="005E5E27"/>
    <w:rsid w:val="005E71AC"/>
    <w:rsid w:val="005F5DD9"/>
    <w:rsid w:val="005F6CAD"/>
    <w:rsid w:val="00600EBD"/>
    <w:rsid w:val="00620C7A"/>
    <w:rsid w:val="00626941"/>
    <w:rsid w:val="006370B9"/>
    <w:rsid w:val="00641C70"/>
    <w:rsid w:val="00643E4E"/>
    <w:rsid w:val="00645219"/>
    <w:rsid w:val="00653821"/>
    <w:rsid w:val="00663258"/>
    <w:rsid w:val="00664AC2"/>
    <w:rsid w:val="00670ED5"/>
    <w:rsid w:val="00671DFC"/>
    <w:rsid w:val="00687CB7"/>
    <w:rsid w:val="006C2B49"/>
    <w:rsid w:val="006C5632"/>
    <w:rsid w:val="006D2F59"/>
    <w:rsid w:val="006D5811"/>
    <w:rsid w:val="006F1A17"/>
    <w:rsid w:val="006F2A34"/>
    <w:rsid w:val="006F366F"/>
    <w:rsid w:val="006F6CCD"/>
    <w:rsid w:val="007059E2"/>
    <w:rsid w:val="00712140"/>
    <w:rsid w:val="00724683"/>
    <w:rsid w:val="00744E9B"/>
    <w:rsid w:val="00764765"/>
    <w:rsid w:val="00766DB6"/>
    <w:rsid w:val="0077109C"/>
    <w:rsid w:val="00773D1E"/>
    <w:rsid w:val="00780D3C"/>
    <w:rsid w:val="00797D09"/>
    <w:rsid w:val="007C389A"/>
    <w:rsid w:val="007F229D"/>
    <w:rsid w:val="007F2FCA"/>
    <w:rsid w:val="007F325A"/>
    <w:rsid w:val="00803F3E"/>
    <w:rsid w:val="00804EB8"/>
    <w:rsid w:val="00820676"/>
    <w:rsid w:val="008215E2"/>
    <w:rsid w:val="00825AC7"/>
    <w:rsid w:val="00861058"/>
    <w:rsid w:val="00861D61"/>
    <w:rsid w:val="008867F2"/>
    <w:rsid w:val="00892D27"/>
    <w:rsid w:val="008B0257"/>
    <w:rsid w:val="008B58DF"/>
    <w:rsid w:val="008C1DCE"/>
    <w:rsid w:val="008C4F6A"/>
    <w:rsid w:val="008D1684"/>
    <w:rsid w:val="008D51DC"/>
    <w:rsid w:val="008D6A76"/>
    <w:rsid w:val="008E5B4E"/>
    <w:rsid w:val="008E5ED8"/>
    <w:rsid w:val="008F56AE"/>
    <w:rsid w:val="009230A7"/>
    <w:rsid w:val="00923525"/>
    <w:rsid w:val="009240F7"/>
    <w:rsid w:val="0095268E"/>
    <w:rsid w:val="00953F87"/>
    <w:rsid w:val="00956AC1"/>
    <w:rsid w:val="00957AF4"/>
    <w:rsid w:val="00996A51"/>
    <w:rsid w:val="009A009A"/>
    <w:rsid w:val="009A3C6C"/>
    <w:rsid w:val="009B06D2"/>
    <w:rsid w:val="009D4653"/>
    <w:rsid w:val="009D7239"/>
    <w:rsid w:val="009E4601"/>
    <w:rsid w:val="009F414C"/>
    <w:rsid w:val="009F438B"/>
    <w:rsid w:val="00A10531"/>
    <w:rsid w:val="00A14942"/>
    <w:rsid w:val="00A21AB8"/>
    <w:rsid w:val="00A35D5E"/>
    <w:rsid w:val="00A379A9"/>
    <w:rsid w:val="00A410CD"/>
    <w:rsid w:val="00A535E9"/>
    <w:rsid w:val="00A7537D"/>
    <w:rsid w:val="00A831DA"/>
    <w:rsid w:val="00A90C21"/>
    <w:rsid w:val="00A970AF"/>
    <w:rsid w:val="00AA31CE"/>
    <w:rsid w:val="00AA6735"/>
    <w:rsid w:val="00AC3F57"/>
    <w:rsid w:val="00AD1CF7"/>
    <w:rsid w:val="00AD4857"/>
    <w:rsid w:val="00AE5EB2"/>
    <w:rsid w:val="00AE6F8E"/>
    <w:rsid w:val="00B048B1"/>
    <w:rsid w:val="00B10F72"/>
    <w:rsid w:val="00B40E30"/>
    <w:rsid w:val="00B41430"/>
    <w:rsid w:val="00B457F0"/>
    <w:rsid w:val="00B52380"/>
    <w:rsid w:val="00B73002"/>
    <w:rsid w:val="00BA35E1"/>
    <w:rsid w:val="00BA55B0"/>
    <w:rsid w:val="00BB4F1D"/>
    <w:rsid w:val="00BB6C96"/>
    <w:rsid w:val="00BC2891"/>
    <w:rsid w:val="00BC4EFB"/>
    <w:rsid w:val="00BC6985"/>
    <w:rsid w:val="00BD0E3E"/>
    <w:rsid w:val="00BD240D"/>
    <w:rsid w:val="00BF30B8"/>
    <w:rsid w:val="00C21CFB"/>
    <w:rsid w:val="00C50D1E"/>
    <w:rsid w:val="00C93F0E"/>
    <w:rsid w:val="00CA07A1"/>
    <w:rsid w:val="00CA6633"/>
    <w:rsid w:val="00CE2847"/>
    <w:rsid w:val="00CF7532"/>
    <w:rsid w:val="00CF7ECD"/>
    <w:rsid w:val="00D13550"/>
    <w:rsid w:val="00D3709A"/>
    <w:rsid w:val="00D37428"/>
    <w:rsid w:val="00D41EF3"/>
    <w:rsid w:val="00D52D8E"/>
    <w:rsid w:val="00D5603D"/>
    <w:rsid w:val="00D964EC"/>
    <w:rsid w:val="00D97BE2"/>
    <w:rsid w:val="00DA42C1"/>
    <w:rsid w:val="00DA4545"/>
    <w:rsid w:val="00DA6330"/>
    <w:rsid w:val="00DB07FB"/>
    <w:rsid w:val="00DB5927"/>
    <w:rsid w:val="00DB6C2B"/>
    <w:rsid w:val="00DC28DE"/>
    <w:rsid w:val="00DC4285"/>
    <w:rsid w:val="00DE25AF"/>
    <w:rsid w:val="00E05193"/>
    <w:rsid w:val="00E10111"/>
    <w:rsid w:val="00E12C12"/>
    <w:rsid w:val="00E150B7"/>
    <w:rsid w:val="00E1562C"/>
    <w:rsid w:val="00E16037"/>
    <w:rsid w:val="00E26663"/>
    <w:rsid w:val="00E31F9B"/>
    <w:rsid w:val="00E40601"/>
    <w:rsid w:val="00E54AFC"/>
    <w:rsid w:val="00E83E0C"/>
    <w:rsid w:val="00E9097A"/>
    <w:rsid w:val="00E97899"/>
    <w:rsid w:val="00EA07C2"/>
    <w:rsid w:val="00EC1B37"/>
    <w:rsid w:val="00EC6D81"/>
    <w:rsid w:val="00EC722A"/>
    <w:rsid w:val="00ED3BD1"/>
    <w:rsid w:val="00ED45C6"/>
    <w:rsid w:val="00ED6A6A"/>
    <w:rsid w:val="00EE02CA"/>
    <w:rsid w:val="00EF3E83"/>
    <w:rsid w:val="00EF447B"/>
    <w:rsid w:val="00F0044B"/>
    <w:rsid w:val="00F01742"/>
    <w:rsid w:val="00F01D71"/>
    <w:rsid w:val="00F06C60"/>
    <w:rsid w:val="00F216B8"/>
    <w:rsid w:val="00F24B93"/>
    <w:rsid w:val="00F26678"/>
    <w:rsid w:val="00F376D4"/>
    <w:rsid w:val="00F6203B"/>
    <w:rsid w:val="00F62ED2"/>
    <w:rsid w:val="00F90BB2"/>
    <w:rsid w:val="00F974C8"/>
    <w:rsid w:val="00FD37D2"/>
    <w:rsid w:val="00FF5E45"/>
    <w:rsid w:val="00FF7E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6403D8D-D839-4A3C-B97A-C2AB9EACD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25A"/>
    <w:rPr>
      <w:rFonts w:ascii="宋体" w:hAnsi="宋体"/>
      <w:kern w:val="2"/>
      <w:sz w:val="21"/>
    </w:rPr>
  </w:style>
  <w:style w:type="paragraph" w:styleId="1">
    <w:name w:val="heading 1"/>
    <w:basedOn w:val="a0"/>
    <w:next w:val="a"/>
    <w:link w:val="1Char"/>
    <w:uiPriority w:val="9"/>
    <w:qFormat/>
    <w:rsid w:val="000776C8"/>
    <w:pPr>
      <w:keepNext/>
      <w:keepLines/>
      <w:widowControl w:val="0"/>
      <w:numPr>
        <w:numId w:val="4"/>
      </w:numPr>
      <w:adjustRightInd w:val="0"/>
      <w:snapToGrid w:val="0"/>
      <w:spacing w:beforeLines="30" w:before="130" w:afterLines="30" w:after="130"/>
      <w:ind w:firstLineChars="0"/>
      <w:jc w:val="both"/>
      <w:outlineLvl w:val="0"/>
    </w:pPr>
    <w:rPr>
      <w:b/>
      <w:bCs/>
      <w:kern w:val="44"/>
      <w:sz w:val="24"/>
      <w:szCs w:val="44"/>
    </w:rPr>
  </w:style>
  <w:style w:type="paragraph" w:styleId="2">
    <w:name w:val="heading 2"/>
    <w:basedOn w:val="a"/>
    <w:next w:val="a"/>
    <w:link w:val="2Char"/>
    <w:uiPriority w:val="9"/>
    <w:unhideWhenUsed/>
    <w:qFormat/>
    <w:rsid w:val="000776C8"/>
    <w:pPr>
      <w:widowControl w:val="0"/>
      <w:numPr>
        <w:ilvl w:val="1"/>
        <w:numId w:val="11"/>
      </w:numPr>
      <w:adjustRightInd w:val="0"/>
      <w:snapToGrid w:val="0"/>
      <w:spacing w:beforeLines="20" w:before="87" w:afterLines="20" w:after="87"/>
      <w:jc w:val="both"/>
      <w:outlineLvl w:val="1"/>
    </w:pPr>
    <w:rPr>
      <w:rFonts w:cs="方正仿宋简体"/>
      <w:b/>
      <w:iCs/>
      <w:sz w:val="22"/>
      <w:szCs w:val="24"/>
    </w:rPr>
  </w:style>
  <w:style w:type="paragraph" w:styleId="3">
    <w:name w:val="heading 3"/>
    <w:basedOn w:val="a"/>
    <w:next w:val="a"/>
    <w:link w:val="3Char"/>
    <w:uiPriority w:val="9"/>
    <w:semiHidden/>
    <w:unhideWhenUsed/>
    <w:qFormat/>
    <w:rsid w:val="00561D0D"/>
    <w:pPr>
      <w:keepNext/>
      <w:keepLines/>
      <w:widowControl w:val="0"/>
      <w:numPr>
        <w:numId w:val="19"/>
      </w:numPr>
      <w:spacing w:before="260" w:after="260" w:line="416" w:lineRule="auto"/>
      <w:jc w:val="both"/>
      <w:outlineLvl w:val="2"/>
    </w:pPr>
    <w:rPr>
      <w:b/>
      <w:bCs/>
      <w:sz w:val="24"/>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Char">
    <w:name w:val="脚注文本 Char"/>
    <w:link w:val="a4"/>
    <w:qFormat/>
    <w:rsid w:val="00084FBF"/>
    <w:rPr>
      <w:sz w:val="18"/>
      <w:szCs w:val="24"/>
    </w:rPr>
  </w:style>
  <w:style w:type="character" w:styleId="a5">
    <w:name w:val="annotation reference"/>
    <w:uiPriority w:val="99"/>
    <w:unhideWhenUsed/>
    <w:rsid w:val="00084FBF"/>
    <w:rPr>
      <w:sz w:val="21"/>
      <w:szCs w:val="21"/>
    </w:rPr>
  </w:style>
  <w:style w:type="character" w:styleId="a6">
    <w:name w:val="footnote reference"/>
    <w:unhideWhenUsed/>
    <w:qFormat/>
    <w:rsid w:val="00084FBF"/>
    <w:rPr>
      <w:rFonts w:ascii="Times New Roman" w:eastAsia="宋体" w:hAnsi="Times New Roman" w:cs="Times New Roman"/>
      <w:vertAlign w:val="superscript"/>
    </w:rPr>
  </w:style>
  <w:style w:type="character" w:customStyle="1" w:styleId="Char0">
    <w:name w:val="批注文字 Char"/>
    <w:link w:val="a7"/>
    <w:uiPriority w:val="99"/>
    <w:rsid w:val="00084FBF"/>
    <w:rPr>
      <w:rFonts w:ascii="Times New Roman" w:eastAsia="方正仿宋简体" w:hAnsi="Times New Roman"/>
      <w:sz w:val="32"/>
    </w:rPr>
  </w:style>
  <w:style w:type="paragraph" w:styleId="a4">
    <w:name w:val="footnote text"/>
    <w:basedOn w:val="a"/>
    <w:link w:val="Char"/>
    <w:unhideWhenUsed/>
    <w:qFormat/>
    <w:rsid w:val="00084FBF"/>
    <w:pPr>
      <w:snapToGrid w:val="0"/>
    </w:pPr>
    <w:rPr>
      <w:rFonts w:ascii="Calibri" w:hAnsi="Calibri"/>
      <w:sz w:val="18"/>
      <w:szCs w:val="24"/>
    </w:rPr>
  </w:style>
  <w:style w:type="character" w:customStyle="1" w:styleId="Char1">
    <w:name w:val="脚注文本 Char1"/>
    <w:uiPriority w:val="99"/>
    <w:semiHidden/>
    <w:rsid w:val="00084FBF"/>
    <w:rPr>
      <w:rFonts w:ascii="Times New Roman" w:eastAsia="方正仿宋简体" w:hAnsi="Times New Roman" w:cs="Times New Roman"/>
      <w:sz w:val="18"/>
      <w:szCs w:val="18"/>
    </w:rPr>
  </w:style>
  <w:style w:type="paragraph" w:styleId="a7">
    <w:name w:val="annotation text"/>
    <w:basedOn w:val="a"/>
    <w:link w:val="Char0"/>
    <w:uiPriority w:val="99"/>
    <w:unhideWhenUsed/>
    <w:rsid w:val="00084FBF"/>
    <w:rPr>
      <w:szCs w:val="22"/>
    </w:rPr>
  </w:style>
  <w:style w:type="character" w:customStyle="1" w:styleId="Char10">
    <w:name w:val="批注文字 Char1"/>
    <w:uiPriority w:val="99"/>
    <w:semiHidden/>
    <w:rsid w:val="00084FBF"/>
    <w:rPr>
      <w:rFonts w:ascii="Times New Roman" w:eastAsia="方正仿宋简体" w:hAnsi="Times New Roman" w:cs="Times New Roman"/>
      <w:sz w:val="32"/>
      <w:szCs w:val="20"/>
    </w:rPr>
  </w:style>
  <w:style w:type="paragraph" w:styleId="a8">
    <w:name w:val="Balloon Text"/>
    <w:link w:val="Char11"/>
    <w:uiPriority w:val="99"/>
    <w:semiHidden/>
    <w:unhideWhenUsed/>
    <w:rPr>
      <w:rFonts w:ascii="Tahoma" w:hAnsi="Tahoma" w:cs="Tahoma"/>
      <w:sz w:val="16"/>
      <w:szCs w:val="16"/>
    </w:rPr>
  </w:style>
  <w:style w:type="character" w:customStyle="1" w:styleId="Char2">
    <w:name w:val="批注框文本 Char"/>
    <w:uiPriority w:val="99"/>
    <w:semiHidden/>
    <w:rsid w:val="00084FBF"/>
    <w:rPr>
      <w:rFonts w:ascii="Times New Roman" w:eastAsia="方正仿宋简体" w:hAnsi="Times New Roman" w:cs="Times New Roman"/>
      <w:sz w:val="18"/>
      <w:szCs w:val="18"/>
    </w:rPr>
  </w:style>
  <w:style w:type="paragraph" w:styleId="a0">
    <w:name w:val="List Paragraph"/>
    <w:basedOn w:val="a"/>
    <w:uiPriority w:val="34"/>
    <w:qFormat/>
    <w:rsid w:val="006F366F"/>
    <w:pPr>
      <w:ind w:firstLineChars="200" w:firstLine="420"/>
    </w:pPr>
  </w:style>
  <w:style w:type="table" w:styleId="a9">
    <w:name w:val="Table Grid"/>
    <w:basedOn w:val="a2"/>
    <w:uiPriority w:val="39"/>
    <w:rsid w:val="00803F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semiHidden/>
    <w:unhideWhenUsed/>
    <w:rsid w:val="00641C70"/>
    <w:pPr>
      <w:spacing w:before="100" w:beforeAutospacing="1" w:after="100" w:afterAutospacing="1"/>
    </w:pPr>
    <w:rPr>
      <w:rFonts w:cs="宋体"/>
      <w:kern w:val="0"/>
      <w:sz w:val="24"/>
      <w:szCs w:val="24"/>
    </w:rPr>
  </w:style>
  <w:style w:type="paragraph" w:styleId="ab">
    <w:name w:val="annotation subject"/>
    <w:basedOn w:val="a7"/>
    <w:next w:val="a7"/>
    <w:link w:val="Char3"/>
    <w:uiPriority w:val="99"/>
    <w:semiHidden/>
    <w:unhideWhenUsed/>
    <w:rsid w:val="00DC28DE"/>
    <w:rPr>
      <w:b/>
      <w:bCs/>
      <w:szCs w:val="20"/>
    </w:rPr>
  </w:style>
  <w:style w:type="character" w:customStyle="1" w:styleId="Char3">
    <w:name w:val="批注主题 Char"/>
    <w:link w:val="ab"/>
    <w:uiPriority w:val="99"/>
    <w:semiHidden/>
    <w:rsid w:val="00DC28DE"/>
    <w:rPr>
      <w:rFonts w:ascii="Times New Roman" w:eastAsia="方正仿宋简体" w:hAnsi="Times New Roman" w:cs="Times New Roman"/>
      <w:b/>
      <w:bCs/>
      <w:sz w:val="32"/>
      <w:szCs w:val="20"/>
    </w:rPr>
  </w:style>
  <w:style w:type="paragraph" w:styleId="ac">
    <w:name w:val="header"/>
    <w:basedOn w:val="a"/>
    <w:link w:val="Char4"/>
    <w:uiPriority w:val="99"/>
    <w:unhideWhenUsed/>
    <w:rsid w:val="00953F87"/>
    <w:pPr>
      <w:pBdr>
        <w:bottom w:val="single" w:sz="6" w:space="1" w:color="auto"/>
      </w:pBdr>
      <w:tabs>
        <w:tab w:val="center" w:pos="4153"/>
        <w:tab w:val="right" w:pos="8306"/>
      </w:tabs>
      <w:snapToGrid w:val="0"/>
      <w:jc w:val="center"/>
    </w:pPr>
    <w:rPr>
      <w:sz w:val="18"/>
      <w:szCs w:val="18"/>
    </w:rPr>
  </w:style>
  <w:style w:type="character" w:customStyle="1" w:styleId="Char4">
    <w:name w:val="页眉 Char"/>
    <w:link w:val="ac"/>
    <w:uiPriority w:val="99"/>
    <w:rsid w:val="00953F87"/>
    <w:rPr>
      <w:rFonts w:ascii="Times New Roman" w:eastAsia="方正仿宋简体" w:hAnsi="Times New Roman" w:cs="Times New Roman"/>
      <w:sz w:val="18"/>
      <w:szCs w:val="18"/>
    </w:rPr>
  </w:style>
  <w:style w:type="paragraph" w:styleId="ad">
    <w:name w:val="footer"/>
    <w:basedOn w:val="a"/>
    <w:link w:val="Char5"/>
    <w:uiPriority w:val="99"/>
    <w:unhideWhenUsed/>
    <w:rsid w:val="00953F87"/>
    <w:pPr>
      <w:tabs>
        <w:tab w:val="center" w:pos="4153"/>
        <w:tab w:val="right" w:pos="8306"/>
      </w:tabs>
      <w:snapToGrid w:val="0"/>
    </w:pPr>
    <w:rPr>
      <w:sz w:val="18"/>
      <w:szCs w:val="18"/>
    </w:rPr>
  </w:style>
  <w:style w:type="character" w:customStyle="1" w:styleId="Char5">
    <w:name w:val="页脚 Char"/>
    <w:link w:val="ad"/>
    <w:uiPriority w:val="99"/>
    <w:rsid w:val="00953F87"/>
    <w:rPr>
      <w:rFonts w:ascii="Times New Roman" w:eastAsia="方正仿宋简体" w:hAnsi="Times New Roman" w:cs="Times New Roman"/>
      <w:sz w:val="18"/>
      <w:szCs w:val="18"/>
    </w:rPr>
  </w:style>
  <w:style w:type="character" w:customStyle="1" w:styleId="1Char">
    <w:name w:val="标题 1 Char"/>
    <w:link w:val="1"/>
    <w:uiPriority w:val="9"/>
    <w:rsid w:val="000776C8"/>
    <w:rPr>
      <w:rFonts w:ascii="宋体" w:hAnsi="宋体"/>
      <w:b/>
      <w:bCs/>
      <w:kern w:val="44"/>
      <w:sz w:val="24"/>
      <w:szCs w:val="44"/>
    </w:rPr>
  </w:style>
  <w:style w:type="character" w:customStyle="1" w:styleId="2Char">
    <w:name w:val="标题 2 Char"/>
    <w:link w:val="2"/>
    <w:uiPriority w:val="9"/>
    <w:rsid w:val="000776C8"/>
    <w:rPr>
      <w:rFonts w:ascii="宋体" w:hAnsi="宋体" w:cs="方正仿宋简体"/>
      <w:b/>
      <w:iCs/>
      <w:kern w:val="2"/>
      <w:sz w:val="22"/>
      <w:szCs w:val="24"/>
    </w:rPr>
  </w:style>
  <w:style w:type="paragraph" w:styleId="ae">
    <w:name w:val="No Spacing"/>
    <w:basedOn w:val="a"/>
    <w:uiPriority w:val="1"/>
    <w:qFormat/>
    <w:rsid w:val="00ED3BD1"/>
    <w:pPr>
      <w:widowControl w:val="0"/>
      <w:adjustRightInd w:val="0"/>
      <w:snapToGrid w:val="0"/>
      <w:spacing w:beforeLines="20" w:before="87" w:line="288" w:lineRule="auto"/>
      <w:contextualSpacing/>
      <w:jc w:val="both"/>
    </w:pPr>
  </w:style>
  <w:style w:type="character" w:styleId="af">
    <w:name w:val="Placeholder Text"/>
    <w:basedOn w:val="a1"/>
    <w:uiPriority w:val="99"/>
    <w:semiHidden/>
    <w:rsid w:val="005D1E03"/>
    <w:rPr>
      <w:color w:val="808080"/>
    </w:rPr>
  </w:style>
  <w:style w:type="character" w:customStyle="1" w:styleId="3Char">
    <w:name w:val="标题 3 Char"/>
    <w:basedOn w:val="a1"/>
    <w:link w:val="3"/>
    <w:uiPriority w:val="9"/>
    <w:semiHidden/>
    <w:rsid w:val="00561D0D"/>
    <w:rPr>
      <w:rFonts w:ascii="宋体" w:hAnsi="宋体"/>
      <w:b/>
      <w:bCs/>
      <w:kern w:val="2"/>
      <w:sz w:val="24"/>
      <w:szCs w:val="32"/>
    </w:rPr>
  </w:style>
  <w:style w:type="paragraph" w:styleId="TOC">
    <w:name w:val="TOC Heading"/>
    <w:uiPriority w:val="39"/>
    <w:semiHidden/>
    <w:unhideWhenUsed/>
    <w:qFormat/>
    <w:rPr>
      <w:lang w:eastAsia="ja-JP"/>
    </w:rPr>
  </w:style>
  <w:style w:type="paragraph" w:styleId="10">
    <w:name w:val="toc 1"/>
    <w:autoRedefine/>
    <w:uiPriority w:val="39"/>
    <w:unhideWhenUsed/>
    <w:pPr>
      <w:spacing w:after="100"/>
    </w:pPr>
  </w:style>
  <w:style w:type="paragraph" w:styleId="20">
    <w:name w:val="toc 2"/>
    <w:autoRedefine/>
    <w:uiPriority w:val="39"/>
    <w:unhideWhenUsed/>
    <w:pPr>
      <w:spacing w:after="100"/>
      <w:ind w:left="220"/>
    </w:pPr>
  </w:style>
  <w:style w:type="paragraph" w:styleId="30">
    <w:name w:val="toc 3"/>
    <w:autoRedefine/>
    <w:uiPriority w:val="39"/>
    <w:unhideWhenUsed/>
    <w:pPr>
      <w:spacing w:after="100"/>
      <w:ind w:left="440"/>
    </w:pPr>
  </w:style>
  <w:style w:type="paragraph" w:styleId="4">
    <w:name w:val="toc 4"/>
    <w:autoRedefine/>
    <w:uiPriority w:val="39"/>
    <w:unhideWhenUsed/>
    <w:pPr>
      <w:spacing w:after="100"/>
      <w:ind w:left="660"/>
    </w:pPr>
  </w:style>
  <w:style w:type="character" w:styleId="af0">
    <w:name w:val="Hyperlink"/>
    <w:uiPriority w:val="99"/>
    <w:unhideWhenUsed/>
    <w:rPr>
      <w:color w:val="0563C1" w:themeColor="hyperlink"/>
      <w:u w:val="single"/>
    </w:rPr>
  </w:style>
  <w:style w:type="character" w:customStyle="1" w:styleId="Char11">
    <w:name w:val="批注框文本 Char1"/>
    <w:link w:val="a8"/>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700016">
      <w:bodyDiv w:val="1"/>
      <w:marLeft w:val="0"/>
      <w:marRight w:val="0"/>
      <w:marTop w:val="0"/>
      <w:marBottom w:val="0"/>
      <w:divBdr>
        <w:top w:val="none" w:sz="0" w:space="0" w:color="auto"/>
        <w:left w:val="none" w:sz="0" w:space="0" w:color="auto"/>
        <w:bottom w:val="none" w:sz="0" w:space="0" w:color="auto"/>
        <w:right w:val="none" w:sz="0" w:space="0" w:color="auto"/>
      </w:divBdr>
    </w:div>
    <w:div w:id="155349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tNetWorkSpace\smartdoc\&#22522;&#37329;&#20135;&#21697;&#36164;&#26009;&#27010;&#35201;&#27169;&#26495;_A.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基金产品资料概要模板_A</Template>
  <TotalTime>0</TotalTime>
  <Pages>4</Pages>
  <Words>759</Words>
  <Characters>4327</Characters>
  <Application>Microsoft Office Word</Application>
  <DocSecurity>0</DocSecurity>
  <Lines>36</Lines>
  <Paragraphs>10</Paragraphs>
  <ScaleCrop>false</ScaleCrop>
  <Company/>
  <LinksUpToDate>false</LinksUpToDate>
  <CharactersWithSpaces>5076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马维娜</dc:creator>
  <cp:keywords/>
  <dc:description/>
  <cp:lastModifiedBy>马天蕊</cp:lastModifiedBy>
  <cp:revision>2</cp:revision>
  <dcterms:created xsi:type="dcterms:W3CDTF">2025-10-10T02:50:00Z</dcterms:created>
  <dcterms:modified xsi:type="dcterms:W3CDTF">2025-10-10T02:50:00Z</dcterms:modified>
</cp:coreProperties>
</file>