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D94" w:rsidRDefault="005E2D94" w:rsidP="005E2D94">
      <w:pPr>
        <w:jc w:val="center"/>
      </w:pPr>
      <w:r>
        <w:rPr>
          <w:rFonts w:hint="eastAsia"/>
          <w:b/>
          <w:sz w:val="28"/>
          <w:szCs w:val="28"/>
        </w:rPr>
        <w:t>银华中证全指证券公司交易型开放式指数证券投资基金发起式联接基金基金产品资料概要</w:t>
      </w:r>
    </w:p>
    <w:p w:rsidR="005E2D94" w:rsidRDefault="005E2D94" w:rsidP="005E2D94">
      <w:pPr>
        <w:spacing w:line="360" w:lineRule="auto"/>
        <w:ind w:firstLineChars="800" w:firstLine="1920"/>
        <w:jc w:val="right"/>
      </w:pPr>
      <w:r>
        <w:rPr>
          <w:rFonts w:hint="eastAsia"/>
          <w:bCs/>
          <w:sz w:val="24"/>
          <w:szCs w:val="30"/>
        </w:rPr>
        <w:t>编制日期：</w:t>
      </w:r>
      <w:r>
        <w:rPr>
          <w:rFonts w:hint="eastAsia"/>
          <w:bCs/>
          <w:sz w:val="24"/>
          <w:szCs w:val="30"/>
        </w:rPr>
        <w:t>202</w:t>
      </w:r>
      <w:r w:rsidR="00413C83">
        <w:rPr>
          <w:bCs/>
          <w:sz w:val="24"/>
          <w:szCs w:val="30"/>
        </w:rPr>
        <w:t>5</w:t>
      </w:r>
      <w:r>
        <w:rPr>
          <w:rFonts w:hint="eastAsia"/>
          <w:bCs/>
          <w:sz w:val="24"/>
          <w:szCs w:val="30"/>
        </w:rPr>
        <w:t>年</w:t>
      </w:r>
      <w:r w:rsidR="00413C83">
        <w:rPr>
          <w:bCs/>
          <w:sz w:val="24"/>
          <w:szCs w:val="30"/>
        </w:rPr>
        <w:t>8</w:t>
      </w:r>
      <w:r>
        <w:rPr>
          <w:rFonts w:hint="eastAsia"/>
          <w:bCs/>
          <w:sz w:val="24"/>
          <w:szCs w:val="30"/>
        </w:rPr>
        <w:t>月</w:t>
      </w:r>
      <w:r w:rsidR="00413C83">
        <w:rPr>
          <w:bCs/>
          <w:sz w:val="24"/>
          <w:szCs w:val="30"/>
        </w:rPr>
        <w:t>20</w:t>
      </w:r>
      <w:r>
        <w:rPr>
          <w:rFonts w:hint="eastAsia"/>
          <w:bCs/>
          <w:sz w:val="24"/>
          <w:szCs w:val="30"/>
        </w:rPr>
        <w:t>日</w:t>
      </w:r>
    </w:p>
    <w:p w:rsidR="005E2D94" w:rsidRDefault="005E2D94" w:rsidP="005E2D94">
      <w:pPr>
        <w:spacing w:line="360" w:lineRule="auto"/>
        <w:jc w:val="center"/>
      </w:pPr>
      <w:r>
        <w:rPr>
          <w:rFonts w:hint="eastAsia"/>
          <w:bCs/>
          <w:sz w:val="24"/>
          <w:szCs w:val="30"/>
        </w:rPr>
        <w:t>送出日期：</w:t>
      </w:r>
      <w:r>
        <w:rPr>
          <w:rFonts w:hint="eastAsia"/>
          <w:bCs/>
          <w:sz w:val="24"/>
          <w:szCs w:val="30"/>
        </w:rPr>
        <w:t>202</w:t>
      </w:r>
      <w:r w:rsidR="00413C83">
        <w:rPr>
          <w:bCs/>
          <w:sz w:val="24"/>
          <w:szCs w:val="30"/>
        </w:rPr>
        <w:t>5</w:t>
      </w:r>
      <w:r>
        <w:rPr>
          <w:rFonts w:hint="eastAsia"/>
          <w:bCs/>
          <w:sz w:val="24"/>
          <w:szCs w:val="30"/>
        </w:rPr>
        <w:t>年</w:t>
      </w:r>
      <w:r w:rsidR="00413C83">
        <w:rPr>
          <w:bCs/>
          <w:sz w:val="24"/>
          <w:szCs w:val="30"/>
        </w:rPr>
        <w:t>8</w:t>
      </w:r>
      <w:r>
        <w:rPr>
          <w:rFonts w:hint="eastAsia"/>
          <w:bCs/>
          <w:sz w:val="24"/>
          <w:szCs w:val="30"/>
        </w:rPr>
        <w:t>月</w:t>
      </w:r>
      <w:r w:rsidR="00413C83">
        <w:rPr>
          <w:bCs/>
          <w:sz w:val="24"/>
          <w:szCs w:val="30"/>
        </w:rPr>
        <w:t>21</w:t>
      </w:r>
      <w:r>
        <w:rPr>
          <w:rFonts w:hint="eastAsia"/>
          <w:bCs/>
          <w:sz w:val="24"/>
          <w:szCs w:val="30"/>
        </w:rPr>
        <w:t>日</w:t>
      </w:r>
    </w:p>
    <w:p w:rsidR="005E2D94" w:rsidRDefault="005E2D94" w:rsidP="005E2D94">
      <w:pPr>
        <w:spacing w:line="360" w:lineRule="auto"/>
        <w:jc w:val="center"/>
      </w:pPr>
      <w:r>
        <w:rPr>
          <w:rFonts w:hint="eastAsia"/>
          <w:b/>
          <w:sz w:val="24"/>
        </w:rPr>
        <w:t>本概要提供本基金的重要信息，是招募说明书的一部分。</w:t>
      </w:r>
      <w:r>
        <w:rPr>
          <w:rFonts w:hint="eastAsia"/>
          <w:b/>
          <w:sz w:val="24"/>
        </w:rPr>
        <w:t xml:space="preserve"> </w:t>
      </w:r>
    </w:p>
    <w:p w:rsidR="005E2D94" w:rsidRDefault="005E2D94" w:rsidP="005E2D94">
      <w:pPr>
        <w:spacing w:line="360" w:lineRule="auto"/>
        <w:jc w:val="center"/>
      </w:pPr>
      <w:r>
        <w:rPr>
          <w:rFonts w:hint="eastAsia"/>
          <w:b/>
          <w:sz w:val="24"/>
        </w:rPr>
        <w:t>作出投资决定前，请阅读完整的招募说明书等销售文件。</w:t>
      </w:r>
      <w:r>
        <w:rPr>
          <w:rFonts w:hint="eastAsia"/>
          <w:b/>
          <w:sz w:val="24"/>
        </w:rPr>
        <w:t xml:space="preserve"> </w:t>
      </w:r>
    </w:p>
    <w:p w:rsidR="005E2D94" w:rsidRDefault="005E2D94" w:rsidP="005E2D94">
      <w:pPr>
        <w:pStyle w:val="XBRLTitle1"/>
        <w:numPr>
          <w:ilvl w:val="0"/>
          <w:numId w:val="2"/>
        </w:numPr>
        <w:spacing w:before="156" w:line="312" w:lineRule="exact"/>
      </w:pPr>
      <w:bookmarkStart w:id="0" w:name="_Toc37433211"/>
      <w:bookmarkStart w:id="1" w:name="_Toc34758519"/>
      <w:bookmarkStart w:id="2" w:name="_Toc513295892"/>
      <w:bookmarkStart w:id="3" w:name="_Toc513295846"/>
      <w:bookmarkStart w:id="4" w:name="_Toc490050000"/>
      <w:bookmarkStart w:id="5" w:name="_Toc438646451"/>
      <w:bookmarkStart w:id="6" w:name="_Toc481075046"/>
      <w:bookmarkStart w:id="7" w:name="_Toc512519480"/>
      <w:bookmarkStart w:id="8" w:name="_Toc17897936"/>
      <w:bookmarkStart w:id="9" w:name="_Toc17898178"/>
      <w:bookmarkStart w:id="10" w:name="_Toc34841028"/>
      <w:bookmarkStart w:id="11" w:name="_Toc194311890"/>
      <w:bookmarkStart w:id="12" w:name="m01_01"/>
      <w:bookmarkStart w:id="13" w:name="m101"/>
      <w:r>
        <w:rPr>
          <w:rFonts w:hAnsi="宋体" w:hint="eastAsia"/>
        </w:rPr>
        <w:t>产品概况</w:t>
      </w:r>
      <w:bookmarkEnd w:id="0"/>
      <w:r>
        <w:rPr>
          <w:rFonts w:hAnsi="宋体" w:hint="eastAsia"/>
          <w:szCs w:val="44"/>
        </w:rPr>
        <w:t xml:space="preserve"> </w:t>
      </w:r>
    </w:p>
    <w:tbl>
      <w:tblPr>
        <w:tblW w:w="5554" w:type="pct"/>
        <w:tblInd w:w="-431" w:type="dxa"/>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560"/>
        <w:gridCol w:w="4253"/>
        <w:gridCol w:w="1984"/>
        <w:gridCol w:w="1418"/>
      </w:tblGrid>
      <w:tr w:rsidR="005E2D94" w:rsidTr="004B5868">
        <w:trPr>
          <w:trHeight w:val="387"/>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bookmarkStart w:id="14" w:name="m04_01_02_tab"/>
            <w:r>
              <w:rPr>
                <w:rFonts w:hint="eastAsia"/>
                <w:b/>
              </w:rPr>
              <w:t>基金简称</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rPr>
              <w:t>银华中证全指证券公司</w:t>
            </w:r>
            <w:r>
              <w:rPr>
                <w:rFonts w:hint="eastAsia"/>
              </w:rPr>
              <w:t>ETF</w:t>
            </w:r>
            <w:r>
              <w:rPr>
                <w:rFonts w:hint="eastAsia"/>
              </w:rPr>
              <w:t>发起式联接</w:t>
            </w:r>
            <w:r>
              <w:rPr>
                <w:rFonts w:hint="eastAsia"/>
                <w:lang w:eastAsia="zh-Hans"/>
              </w:rPr>
              <w:t xml:space="preserve">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基金代码</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BD7B80" w:rsidP="00F16547">
            <w:r>
              <w:t>025193</w:t>
            </w:r>
          </w:p>
        </w:tc>
      </w:tr>
      <w:tr w:rsidR="005E2D94" w:rsidTr="004B5868">
        <w:trPr>
          <w:trHeight w:val="387"/>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下属基金简称</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rPr>
              <w:t>银华中证全指证券公司</w:t>
            </w:r>
            <w:r>
              <w:rPr>
                <w:rFonts w:hint="eastAsia"/>
              </w:rPr>
              <w:t>ETF</w:t>
            </w:r>
            <w:r>
              <w:rPr>
                <w:rFonts w:hint="eastAsia"/>
              </w:rPr>
              <w:t>发起式联接</w:t>
            </w:r>
            <w:r>
              <w:rPr>
                <w:rFonts w:hint="eastAsia"/>
              </w:rPr>
              <w:t>A</w:t>
            </w:r>
            <w:r>
              <w:rPr>
                <w:rFonts w:hint="eastAsia"/>
                <w:lang w:eastAsia="zh-Hans"/>
              </w:rPr>
              <w:t xml:space="preserve">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下属基金交易代码</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BD7B80" w:rsidP="00F16547">
            <w:r>
              <w:rPr>
                <w:lang w:eastAsia="zh-Hans"/>
              </w:rPr>
              <w:t>025193</w:t>
            </w:r>
          </w:p>
        </w:tc>
      </w:tr>
      <w:tr w:rsidR="005E2D94" w:rsidTr="004B5868">
        <w:trPr>
          <w:trHeight w:val="387"/>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下属基金简称</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rPr>
              <w:t>银华中证全指证券公司</w:t>
            </w:r>
            <w:r>
              <w:rPr>
                <w:rFonts w:hint="eastAsia"/>
              </w:rPr>
              <w:t>ETF</w:t>
            </w:r>
            <w:r>
              <w:rPr>
                <w:rFonts w:hint="eastAsia"/>
              </w:rPr>
              <w:t>发起式联接</w:t>
            </w:r>
            <w:r>
              <w:rPr>
                <w:rFonts w:hint="eastAsia"/>
              </w:rPr>
              <w:t>C</w:t>
            </w:r>
            <w:r>
              <w:rPr>
                <w:rFonts w:hint="eastAsia"/>
                <w:lang w:eastAsia="zh-Hans"/>
              </w:rPr>
              <w:t xml:space="preserve">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下属基金交易代码</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D7B80" w:rsidRDefault="00BD7B80" w:rsidP="00F16547">
            <w:r>
              <w:t>025194</w:t>
            </w:r>
          </w:p>
        </w:tc>
      </w:tr>
      <w:tr w:rsidR="005E2D94" w:rsidTr="004B5868">
        <w:trPr>
          <w:trHeight w:val="38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基金管理人</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银华基金管理股份有限公司</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基金托管人</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rPr>
              <w:t>招商银行</w:t>
            </w:r>
            <w:r w:rsidRPr="00CF4834">
              <w:rPr>
                <w:rFonts w:hint="eastAsia"/>
              </w:rPr>
              <w:t>股份有限公司</w:t>
            </w:r>
          </w:p>
        </w:tc>
      </w:tr>
      <w:tr w:rsidR="005E2D94" w:rsidTr="004B5868">
        <w:trPr>
          <w:trHeight w:val="38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基金合同生效日</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上市交易所及上市日期</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w:t>
            </w:r>
          </w:p>
        </w:tc>
      </w:tr>
      <w:tr w:rsidR="005E2D94" w:rsidTr="004B5868">
        <w:trPr>
          <w:trHeight w:val="38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基金类型</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基金中基金</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交易币种</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人民币</w:t>
            </w:r>
          </w:p>
        </w:tc>
      </w:tr>
      <w:tr w:rsidR="005E2D94" w:rsidTr="004B5868">
        <w:trPr>
          <w:trHeight w:val="38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运作方式</w:t>
            </w:r>
            <w:r>
              <w:rPr>
                <w:rFonts w:hint="eastAsia"/>
                <w:lang w:eastAsia="zh-Hans"/>
              </w:rPr>
              <w:t xml:space="preserve"> </w:t>
            </w:r>
          </w:p>
        </w:tc>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普通开放式</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开放频率</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lang w:eastAsia="zh-Hans"/>
              </w:rPr>
              <w:t>每个开放日</w:t>
            </w:r>
          </w:p>
        </w:tc>
      </w:tr>
      <w:tr w:rsidR="005E2D94" w:rsidTr="004B5868">
        <w:trPr>
          <w:trHeight w:val="386"/>
        </w:trPr>
        <w:tc>
          <w:tcPr>
            <w:tcW w:w="1560" w:type="dxa"/>
            <w:vMerge w:val="restart"/>
            <w:tcBorders>
              <w:top w:val="single" w:sz="4" w:space="0" w:color="auto"/>
              <w:left w:val="single" w:sz="4" w:space="0" w:color="auto"/>
              <w:right w:val="single" w:sz="4" w:space="0" w:color="auto"/>
            </w:tcBorders>
            <w:vAlign w:val="center"/>
          </w:tcPr>
          <w:p w:rsidR="005E2D94" w:rsidRDefault="005E2D94" w:rsidP="00F16547">
            <w:pPr>
              <w:widowControl/>
              <w:jc w:val="left"/>
            </w:pPr>
            <w:r>
              <w:rPr>
                <w:rFonts w:hint="eastAsia"/>
                <w:b/>
              </w:rPr>
              <w:t xml:space="preserve"> </w:t>
            </w:r>
            <w:r>
              <w:rPr>
                <w:rFonts w:hint="eastAsia"/>
                <w:b/>
                <w:lang w:eastAsia="zh-Hans"/>
              </w:rPr>
              <w:t>基金经理</w:t>
            </w:r>
            <w:r>
              <w:rPr>
                <w:rFonts w:hint="eastAsia"/>
                <w:lang w:eastAsia="zh-Hans"/>
              </w:rPr>
              <w:t xml:space="preserve"> </w:t>
            </w:r>
          </w:p>
        </w:tc>
        <w:tc>
          <w:tcPr>
            <w:tcW w:w="4253" w:type="dxa"/>
            <w:vMerge w:val="restart"/>
            <w:tcBorders>
              <w:top w:val="single" w:sz="4" w:space="0" w:color="auto"/>
              <w:left w:val="single" w:sz="4" w:space="0" w:color="auto"/>
              <w:right w:val="single" w:sz="4" w:space="0" w:color="auto"/>
            </w:tcBorders>
            <w:vAlign w:val="center"/>
          </w:tcPr>
          <w:p w:rsidR="005E2D94" w:rsidRDefault="005E2D94" w:rsidP="00F16547">
            <w:pPr>
              <w:widowControl/>
              <w:ind w:firstLineChars="100" w:firstLine="210"/>
              <w:jc w:val="left"/>
            </w:pPr>
            <w:r>
              <w:rPr>
                <w:rFonts w:hint="eastAsia"/>
              </w:rPr>
              <w:t>王帅先生</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E2D94" w:rsidRDefault="005E2D94" w:rsidP="00F16547">
            <w:pPr>
              <w:rPr>
                <w:b/>
                <w:lang w:eastAsia="zh-Hans"/>
              </w:rPr>
            </w:pPr>
            <w:r>
              <w:rPr>
                <w:rFonts w:hint="eastAsia"/>
                <w:b/>
                <w:lang w:eastAsia="zh-Hans"/>
              </w:rPr>
              <w:t>开始担任本基金基金经理的日期</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E2D94" w:rsidRPr="00D57F3D" w:rsidRDefault="005E2D94" w:rsidP="00F16547">
            <w:pPr>
              <w:rPr>
                <w:lang w:eastAsia="zh-Hans"/>
              </w:rPr>
            </w:pPr>
            <w:r>
              <w:rPr>
                <w:rFonts w:hint="eastAsia"/>
                <w:lang w:eastAsia="zh-Hans"/>
              </w:rPr>
              <w:t>-</w:t>
            </w:r>
          </w:p>
        </w:tc>
      </w:tr>
      <w:tr w:rsidR="005E2D94" w:rsidTr="004B5868">
        <w:trPr>
          <w:trHeight w:val="386"/>
        </w:trPr>
        <w:tc>
          <w:tcPr>
            <w:tcW w:w="1560" w:type="dxa"/>
            <w:vMerge/>
            <w:tcBorders>
              <w:left w:val="single" w:sz="4" w:space="0" w:color="auto"/>
              <w:bottom w:val="single" w:sz="4" w:space="0" w:color="auto"/>
              <w:right w:val="single" w:sz="4" w:space="0" w:color="auto"/>
            </w:tcBorders>
            <w:vAlign w:val="center"/>
          </w:tcPr>
          <w:p w:rsidR="005E2D94" w:rsidRDefault="005E2D94" w:rsidP="00F16547">
            <w:pPr>
              <w:widowControl/>
              <w:jc w:val="left"/>
            </w:pPr>
          </w:p>
        </w:tc>
        <w:tc>
          <w:tcPr>
            <w:tcW w:w="4253" w:type="dxa"/>
            <w:vMerge/>
            <w:tcBorders>
              <w:left w:val="single" w:sz="4" w:space="0" w:color="auto"/>
              <w:bottom w:val="single" w:sz="4" w:space="0" w:color="auto"/>
              <w:right w:val="single" w:sz="4" w:space="0" w:color="auto"/>
            </w:tcBorders>
            <w:vAlign w:val="center"/>
          </w:tcPr>
          <w:p w:rsidR="005E2D94" w:rsidRDefault="005E2D94" w:rsidP="00F16547">
            <w:pPr>
              <w:widowControl/>
              <w:jc w:val="left"/>
            </w:pP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E2D94" w:rsidRDefault="005E2D94" w:rsidP="00F16547">
            <w:pPr>
              <w:rPr>
                <w:b/>
                <w:lang w:eastAsia="zh-Hans"/>
              </w:rPr>
            </w:pPr>
            <w:r>
              <w:rPr>
                <w:rFonts w:hint="eastAsia"/>
                <w:b/>
                <w:lang w:eastAsia="zh-Hans"/>
              </w:rPr>
              <w:t>证券从业日期</w:t>
            </w:r>
            <w:r>
              <w:rPr>
                <w:rFonts w:hint="eastAsia"/>
                <w:lang w:eastAsia="zh-Hans"/>
              </w:rPr>
              <w:t xml:space="preserve">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E2D94" w:rsidRPr="00D57F3D" w:rsidRDefault="005E2D94" w:rsidP="00F16547">
            <w:pPr>
              <w:rPr>
                <w:lang w:eastAsia="zh-Hans"/>
              </w:rPr>
            </w:pPr>
            <w:r>
              <w:rPr>
                <w:lang w:eastAsia="zh-Hans"/>
              </w:rPr>
              <w:t>2012</w:t>
            </w:r>
            <w:r w:rsidRPr="00D57F3D">
              <w:rPr>
                <w:rFonts w:hint="eastAsia"/>
                <w:lang w:eastAsia="zh-Hans"/>
              </w:rPr>
              <w:t>年</w:t>
            </w:r>
            <w:r>
              <w:rPr>
                <w:lang w:eastAsia="zh-Hans"/>
              </w:rPr>
              <w:t>07</w:t>
            </w:r>
            <w:r w:rsidRPr="00D57F3D">
              <w:rPr>
                <w:rFonts w:hint="eastAsia"/>
                <w:lang w:eastAsia="zh-Hans"/>
              </w:rPr>
              <w:t>月</w:t>
            </w:r>
            <w:r>
              <w:rPr>
                <w:lang w:eastAsia="zh-Hans"/>
              </w:rPr>
              <w:t>01</w:t>
            </w:r>
            <w:r w:rsidRPr="00D57F3D">
              <w:rPr>
                <w:rFonts w:hint="eastAsia"/>
                <w:lang w:eastAsia="zh-Hans"/>
              </w:rPr>
              <w:t>日</w:t>
            </w:r>
          </w:p>
        </w:tc>
      </w:tr>
    </w:tbl>
    <w:p w:rsidR="005E2D94" w:rsidRDefault="005E2D94" w:rsidP="005E2D94">
      <w:pPr>
        <w:spacing w:line="312" w:lineRule="exact"/>
      </w:pPr>
      <w:bookmarkStart w:id="15" w:name="m04_02"/>
      <w:r>
        <w:rPr>
          <w:rFonts w:hint="eastAsia"/>
          <w:szCs w:val="21"/>
        </w:rPr>
        <w:t>注：</w:t>
      </w:r>
      <w:r>
        <w:rPr>
          <w:rFonts w:hint="eastAsia"/>
          <w:szCs w:val="21"/>
          <w:lang w:eastAsia="zh-Hans"/>
        </w:rPr>
        <w:t>《基金合同》生效之日起</w:t>
      </w:r>
      <w:r>
        <w:rPr>
          <w:rFonts w:hint="eastAsia"/>
          <w:szCs w:val="21"/>
          <w:lang w:eastAsia="zh-Hans"/>
        </w:rPr>
        <w:t>3</w:t>
      </w:r>
      <w:r>
        <w:rPr>
          <w:rFonts w:hint="eastAsia"/>
          <w:szCs w:val="21"/>
          <w:lang w:eastAsia="zh-Hans"/>
        </w:rPr>
        <w:t>年后的对应自然日，若基金资产净值低于</w:t>
      </w:r>
      <w:r>
        <w:rPr>
          <w:rFonts w:hint="eastAsia"/>
          <w:szCs w:val="21"/>
          <w:lang w:eastAsia="zh-Hans"/>
        </w:rPr>
        <w:t>2</w:t>
      </w:r>
      <w:r>
        <w:rPr>
          <w:rFonts w:hint="eastAsia"/>
          <w:szCs w:val="21"/>
          <w:lang w:eastAsia="zh-Hans"/>
        </w:rPr>
        <w:t>亿元，本基金应当按照基金合同约定的程序进行清算并终止，且不得通过召开基金份额持有人大会的方式延续。</w:t>
      </w:r>
      <w:r w:rsidR="00195244">
        <w:rPr>
          <w:rFonts w:hint="eastAsia"/>
          <w:szCs w:val="21"/>
          <w:lang w:eastAsia="zh-Hans"/>
        </w:rPr>
        <w:t>若</w:t>
      </w:r>
      <w:r>
        <w:rPr>
          <w:rFonts w:hint="eastAsia"/>
          <w:szCs w:val="21"/>
          <w:lang w:eastAsia="zh-Hans"/>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本基金将终止基金合同并进行基金财产清算。</w:t>
      </w:r>
    </w:p>
    <w:p w:rsidR="005E2D94" w:rsidRDefault="005E2D94" w:rsidP="005E2D94">
      <w:pPr>
        <w:pStyle w:val="XBRLTitle1"/>
        <w:numPr>
          <w:ilvl w:val="0"/>
          <w:numId w:val="2"/>
        </w:numPr>
        <w:spacing w:before="156" w:line="312" w:lineRule="exact"/>
      </w:pPr>
      <w:bookmarkStart w:id="16" w:name="_Toc37433212"/>
      <w:bookmarkStart w:id="17" w:name="_Toc34758521"/>
      <w:bookmarkStart w:id="18" w:name="_Toc34841030"/>
      <w:bookmarkStart w:id="19" w:name="_Toc17898179"/>
      <w:bookmarkStart w:id="20" w:name="_Toc17897937"/>
      <w:bookmarkStart w:id="21" w:name="_Toc512519481"/>
      <w:bookmarkStart w:id="22" w:name="_Toc481075047"/>
      <w:bookmarkStart w:id="23" w:name="_Toc438646452"/>
      <w:bookmarkStart w:id="24" w:name="_Toc490050001"/>
      <w:bookmarkStart w:id="25" w:name="_Toc513295847"/>
      <w:bookmarkStart w:id="26" w:name="_Toc513295893"/>
      <w:bookmarkStart w:id="27" w:name="m07_04_13_00"/>
      <w:bookmarkStart w:id="28" w:name="m201"/>
      <w:bookmarkStart w:id="29" w:name="m07_04_07_09_tab"/>
      <w:bookmarkStart w:id="30" w:name="m07_04_07_09"/>
      <w:bookmarkStart w:id="31" w:name="_Toc17898180"/>
      <w:bookmarkStart w:id="32" w:name="_Toc17897938"/>
      <w:bookmarkStart w:id="33" w:name="_Toc512519482"/>
      <w:bookmarkStart w:id="34" w:name="_Toc481075049"/>
      <w:bookmarkStart w:id="35" w:name="_Toc438646455"/>
      <w:bookmarkStart w:id="36" w:name="_Toc490050003"/>
      <w:bookmarkStart w:id="37" w:name="_Toc513295848"/>
      <w:bookmarkStart w:id="38" w:name="_Toc513295894"/>
      <w:bookmarkStart w:id="39" w:name="m401_tab"/>
      <w:bookmarkStart w:id="40" w:name="m401"/>
      <w:bookmarkStart w:id="41" w:name="m201_01"/>
      <w:r>
        <w:rPr>
          <w:rFonts w:hAnsi="宋体" w:hint="eastAsia"/>
        </w:rPr>
        <w:t>基金投资与净值表现</w:t>
      </w:r>
      <w:bookmarkEnd w:id="16"/>
      <w:r>
        <w:rPr>
          <w:rFonts w:hAnsi="宋体" w:hint="eastAsia"/>
        </w:rPr>
        <w:t xml:space="preserve"> </w:t>
      </w:r>
    </w:p>
    <w:p w:rsidR="005E2D94" w:rsidRDefault="005E2D94" w:rsidP="005E2D94">
      <w:pPr>
        <w:pStyle w:val="XBRLTitle2"/>
        <w:numPr>
          <w:ilvl w:val="1"/>
          <w:numId w:val="2"/>
        </w:numPr>
        <w:spacing w:before="156" w:line="312" w:lineRule="exact"/>
      </w:pPr>
      <w:bookmarkStart w:id="42" w:name="_Toc37433213"/>
      <w:bookmarkStart w:id="43" w:name="_Toc34758522"/>
      <w:bookmarkStart w:id="44" w:name="_Toc513295895"/>
      <w:bookmarkStart w:id="45" w:name="_Toc513295849"/>
      <w:bookmarkStart w:id="46" w:name="_Toc490050004"/>
      <w:bookmarkStart w:id="47" w:name="_Toc438646456"/>
      <w:bookmarkStart w:id="48" w:name="_Toc481075050"/>
      <w:bookmarkStart w:id="49" w:name="_Toc512519483"/>
      <w:bookmarkStart w:id="50" w:name="_Toc17897939"/>
      <w:bookmarkStart w:id="51" w:name="_Toc17898181"/>
      <w:bookmarkStart w:id="52" w:name="_Toc34841031"/>
      <w:r>
        <w:rPr>
          <w:rFonts w:hAnsi="宋体" w:hint="eastAsia"/>
          <w:sz w:val="21"/>
        </w:rPr>
        <w:t>投资目标与投资策略</w:t>
      </w:r>
      <w:bookmarkEnd w:id="42"/>
      <w:r>
        <w:rPr>
          <w:rFonts w:hAnsi="宋体" w:hint="eastAsia"/>
          <w:sz w:val="21"/>
        </w:rPr>
        <w:t xml:space="preserve"> </w:t>
      </w:r>
    </w:p>
    <w:p w:rsidR="005E2D94" w:rsidRDefault="005E2D94" w:rsidP="005E2D94">
      <w:pPr>
        <w:spacing w:line="312" w:lineRule="exact"/>
      </w:pPr>
      <w:r>
        <w:rPr>
          <w:rFonts w:hint="eastAsia"/>
          <w:szCs w:val="21"/>
          <w:lang w:eastAsia="zh-Hans"/>
        </w:rPr>
        <w:t>投资有风险，投资人在进行投资决策前，请仔细阅读本基金《招募说明书》“第九部分</w:t>
      </w:r>
      <w:r>
        <w:rPr>
          <w:rFonts w:hint="eastAsia"/>
          <w:szCs w:val="21"/>
          <w:lang w:eastAsia="zh-Hans"/>
        </w:rPr>
        <w:t xml:space="preserve"> </w:t>
      </w:r>
      <w:r>
        <w:rPr>
          <w:rFonts w:hint="eastAsia"/>
          <w:szCs w:val="21"/>
          <w:lang w:eastAsia="zh-Hans"/>
        </w:rPr>
        <w:t>基金的投资”了解本基金的风险收益特征，并根据自身的投资目的、投资期限、投资经验、资产状况等判断基金是否和投资人的风险承受能力相适应。</w:t>
      </w:r>
      <w:r>
        <w:rPr>
          <w:rFonts w:hint="eastAsia"/>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490"/>
        <w:gridCol w:w="6806"/>
      </w:tblGrid>
      <w:tr w:rsidR="005E2D94" w:rsidTr="00F16547">
        <w:trPr>
          <w:trHeight w:val="387"/>
        </w:trPr>
        <w:tc>
          <w:tcPr>
            <w:tcW w:w="1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bookmarkStart w:id="53" w:name="_Hlk190696506"/>
            <w:r>
              <w:rPr>
                <w:rFonts w:hint="eastAsia"/>
                <w:b/>
              </w:rPr>
              <w:t>投资目标</w:t>
            </w:r>
            <w:r>
              <w:rPr>
                <w:rFonts w:hint="eastAsia"/>
                <w:lang w:eastAsia="zh-Hans"/>
              </w:rPr>
              <w:t xml:space="preserve"> </w:t>
            </w:r>
          </w:p>
        </w:tc>
        <w:tc>
          <w:tcPr>
            <w:tcW w:w="6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312" w:lineRule="exact"/>
            </w:pPr>
            <w:r>
              <w:rPr>
                <w:rFonts w:hint="eastAsia"/>
              </w:rPr>
              <w:t>本基金主要通过投资于目标</w:t>
            </w:r>
            <w:r>
              <w:rPr>
                <w:rFonts w:hint="eastAsia"/>
              </w:rPr>
              <w:t>ETF</w:t>
            </w:r>
            <w:r>
              <w:rPr>
                <w:rFonts w:hint="eastAsia"/>
              </w:rPr>
              <w:t>，紧密跟踪标的指数，追求跟踪偏离度和跟踪误差最小化。</w:t>
            </w:r>
            <w:r>
              <w:rPr>
                <w:rFonts w:hint="eastAsia"/>
                <w:lang w:eastAsia="zh-Hans"/>
              </w:rPr>
              <w:t xml:space="preserve"> </w:t>
            </w:r>
          </w:p>
        </w:tc>
      </w:tr>
      <w:tr w:rsidR="005E2D94" w:rsidTr="00F16547">
        <w:trPr>
          <w:trHeight w:val="386"/>
        </w:trPr>
        <w:tc>
          <w:tcPr>
            <w:tcW w:w="1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bookmarkStart w:id="54" w:name="m02_02_tab"/>
            <w:r>
              <w:rPr>
                <w:rFonts w:hint="eastAsia"/>
                <w:b/>
                <w:color w:val="373A3C"/>
                <w:szCs w:val="21"/>
                <w:shd w:val="clear" w:color="auto" w:fill="FFFFFF"/>
              </w:rPr>
              <w:t>投资范围</w:t>
            </w:r>
            <w:r>
              <w:rPr>
                <w:rFonts w:hint="eastAsia"/>
                <w:lang w:eastAsia="zh-Hans"/>
              </w:rPr>
              <w:t xml:space="preserve"> </w:t>
            </w:r>
          </w:p>
        </w:tc>
        <w:tc>
          <w:tcPr>
            <w:tcW w:w="6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312" w:lineRule="exact"/>
              <w:rPr>
                <w:lang w:eastAsia="zh-Hans"/>
              </w:rPr>
            </w:pPr>
            <w:r>
              <w:rPr>
                <w:rFonts w:hint="eastAsia"/>
                <w:lang w:eastAsia="zh-Hans"/>
              </w:rPr>
              <w:t>本基金以目标</w:t>
            </w:r>
            <w:r>
              <w:rPr>
                <w:rFonts w:hint="eastAsia"/>
                <w:lang w:eastAsia="zh-Hans"/>
              </w:rPr>
              <w:t>ETF</w:t>
            </w:r>
            <w:r>
              <w:rPr>
                <w:rFonts w:hint="eastAsia"/>
                <w:lang w:eastAsia="zh-Hans"/>
              </w:rPr>
              <w:t>基金份额、标的指数成份股及备选成份股（均含存托凭证，下同）为主要投资对象。此外，为更好地实现投资目标，本基金可少量投资于部分非成份股（包括主板股票、科创板股票、创业板股票、存托凭证及其他经中国证监会核准或注册上市的股票）、债券资产（包括国</w:t>
            </w:r>
            <w:r>
              <w:rPr>
                <w:rFonts w:hint="eastAsia"/>
                <w:lang w:eastAsia="zh-Hans"/>
              </w:rPr>
              <w:lastRenderedPageBreak/>
              <w:t>债、金融债券、企业债券、公司债券、公开发行的次级债券、可转换公司债券</w:t>
            </w:r>
            <w:r w:rsidR="00445A1C">
              <w:rPr>
                <w:rFonts w:hint="eastAsia"/>
                <w:lang w:eastAsia="zh-Hans"/>
              </w:rPr>
              <w:t>、</w:t>
            </w:r>
            <w:r>
              <w:rPr>
                <w:rFonts w:hint="eastAsia"/>
                <w:lang w:eastAsia="zh-Hans"/>
              </w:rPr>
              <w:t>分离交易可转换公司债券、央行票据、短期融资券、超短期融资券、地方政府债券、政府支持机构债券、中期票据、可交换债券以及其他中国证监会允许投资的债券）、银行存款（包括银行定期存款、协议存款及其他银行存款）、资产支持证券、债券回购、同业存单、现金、衍生工具（股指期货、股票期权、国债期货）以及法律法规或中国证监会允许基金投资的其他金融工具，但须符合中国证监会相关规定。</w:t>
            </w:r>
          </w:p>
          <w:p w:rsidR="005E2D94" w:rsidRDefault="005E2D94" w:rsidP="00F16547">
            <w:pPr>
              <w:spacing w:line="312" w:lineRule="exact"/>
              <w:rPr>
                <w:lang w:eastAsia="zh-Hans"/>
              </w:rPr>
            </w:pPr>
            <w:r>
              <w:rPr>
                <w:rFonts w:hint="eastAsia"/>
                <w:lang w:eastAsia="zh-Hans"/>
              </w:rPr>
              <w:t>本基金可以根据相关法律法规，参与融资及转融通证券出借业务，以提高投资效率及进行风险管理。</w:t>
            </w:r>
          </w:p>
          <w:p w:rsidR="005E2D94" w:rsidRDefault="005E2D94" w:rsidP="00F16547">
            <w:pPr>
              <w:spacing w:line="312" w:lineRule="exact"/>
              <w:rPr>
                <w:lang w:eastAsia="zh-Hans"/>
              </w:rPr>
            </w:pPr>
            <w:r>
              <w:rPr>
                <w:rFonts w:hint="eastAsia"/>
                <w:lang w:eastAsia="zh-Hans"/>
              </w:rPr>
              <w:t>如法律法规或监管机构以后允许基金投资其他品种，基金管理人在履行适当程序后，可以将其纳入投资范围，其投资原则及投资比例限制按法律法规或监管机构的相关规定执行。</w:t>
            </w:r>
          </w:p>
          <w:p w:rsidR="005E2D94" w:rsidRDefault="005E2D94" w:rsidP="00F16547">
            <w:pPr>
              <w:spacing w:line="312" w:lineRule="exact"/>
              <w:rPr>
                <w:lang w:eastAsia="zh-Hans"/>
              </w:rPr>
            </w:pPr>
            <w:r>
              <w:rPr>
                <w:rFonts w:hint="eastAsia"/>
                <w:lang w:eastAsia="zh-Hans"/>
              </w:rPr>
              <w:t>基金的投资组合比例为：本基金投资于目标</w:t>
            </w:r>
            <w:r>
              <w:rPr>
                <w:rFonts w:hint="eastAsia"/>
                <w:lang w:eastAsia="zh-Hans"/>
              </w:rPr>
              <w:t>ETF</w:t>
            </w:r>
            <w:r>
              <w:rPr>
                <w:rFonts w:hint="eastAsia"/>
                <w:lang w:eastAsia="zh-Hans"/>
              </w:rPr>
              <w:t>的比例不低于基金资产净值的</w:t>
            </w:r>
            <w:r>
              <w:rPr>
                <w:rFonts w:hint="eastAsia"/>
                <w:lang w:eastAsia="zh-Hans"/>
              </w:rPr>
              <w:t>90%</w:t>
            </w:r>
            <w:r>
              <w:rPr>
                <w:rFonts w:hint="eastAsia"/>
                <w:lang w:eastAsia="zh-Hans"/>
              </w:rPr>
              <w:t>，每个交易日日终在扣除股指期货合约、股票期权合约和国债期货合约需缴纳的交易保证金后，保持不低于基金资产净值</w:t>
            </w:r>
            <w:r>
              <w:rPr>
                <w:rFonts w:hint="eastAsia"/>
                <w:lang w:eastAsia="zh-Hans"/>
              </w:rPr>
              <w:t>5%</w:t>
            </w:r>
            <w:r>
              <w:rPr>
                <w:rFonts w:hint="eastAsia"/>
                <w:lang w:eastAsia="zh-Hans"/>
              </w:rPr>
              <w:t>的现金或者到期日在一年以内的政府债券。其中，现金不包括结算备付金、存出保证金和应收申购款等。</w:t>
            </w:r>
          </w:p>
          <w:p w:rsidR="005E2D94" w:rsidRDefault="005E2D94" w:rsidP="00F16547">
            <w:pPr>
              <w:spacing w:line="312" w:lineRule="exact"/>
              <w:rPr>
                <w:lang w:eastAsia="zh-Hans"/>
              </w:rPr>
            </w:pPr>
            <w:r>
              <w:rPr>
                <w:rFonts w:hint="eastAsia"/>
                <w:lang w:eastAsia="zh-Hans"/>
              </w:rPr>
              <w:t>如法律法规或监管机构变更相关投资品种的投资比例限制，基金管理人在履行适当程序后，可以调整上述投资品种的投资比例或按变更后的规定执行。</w:t>
            </w:r>
          </w:p>
          <w:p w:rsidR="005E2D94" w:rsidRDefault="005E2D94" w:rsidP="00F16547">
            <w:pPr>
              <w:spacing w:line="312" w:lineRule="exact"/>
            </w:pPr>
            <w:r>
              <w:rPr>
                <w:rFonts w:hint="eastAsia"/>
                <w:lang w:eastAsia="zh-Hans"/>
              </w:rPr>
              <w:t>本基金标的指数为</w:t>
            </w:r>
            <w:r>
              <w:rPr>
                <w:rFonts w:hint="eastAsia"/>
              </w:rPr>
              <w:t>中证全指证券公司指数</w:t>
            </w:r>
            <w:r>
              <w:rPr>
                <w:rFonts w:hint="eastAsia"/>
                <w:lang w:eastAsia="zh-Hans"/>
              </w:rPr>
              <w:t>。</w:t>
            </w:r>
          </w:p>
        </w:tc>
      </w:tr>
      <w:tr w:rsidR="005E2D94" w:rsidTr="00F16547">
        <w:trPr>
          <w:trHeight w:val="386"/>
        </w:trPr>
        <w:tc>
          <w:tcPr>
            <w:tcW w:w="1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lastRenderedPageBreak/>
              <w:t>主要投资策略</w:t>
            </w:r>
            <w:r>
              <w:rPr>
                <w:rFonts w:hint="eastAsia"/>
                <w:lang w:eastAsia="zh-Hans"/>
              </w:rPr>
              <w:t xml:space="preserve"> </w:t>
            </w:r>
          </w:p>
        </w:tc>
        <w:tc>
          <w:tcPr>
            <w:tcW w:w="6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Pr="0007680D" w:rsidRDefault="005E2D94" w:rsidP="00F16547">
            <w:pPr>
              <w:spacing w:line="312" w:lineRule="exact"/>
            </w:pPr>
            <w:r>
              <w:rPr>
                <w:rFonts w:hint="eastAsia"/>
                <w:lang w:eastAsia="zh-Hans"/>
              </w:rPr>
              <w:t>本基金为</w:t>
            </w:r>
            <w:r>
              <w:rPr>
                <w:rFonts w:hint="eastAsia"/>
                <w:lang w:eastAsia="zh-Hans"/>
              </w:rPr>
              <w:t>ETF</w:t>
            </w:r>
            <w:r>
              <w:rPr>
                <w:rFonts w:hint="eastAsia"/>
                <w:lang w:eastAsia="zh-Hans"/>
              </w:rPr>
              <w:t>联接基金，主要通过投资于目标</w:t>
            </w:r>
            <w:r>
              <w:rPr>
                <w:rFonts w:hint="eastAsia"/>
                <w:lang w:eastAsia="zh-Hans"/>
              </w:rPr>
              <w:t>ETF</w:t>
            </w:r>
            <w:r>
              <w:rPr>
                <w:rFonts w:hint="eastAsia"/>
                <w:lang w:eastAsia="zh-Hans"/>
              </w:rPr>
              <w:t>，以实现对标的指数的紧密跟踪。本基金力争将本基金净值增长率与业绩比较基准之间的日均跟踪偏离度的绝对值控制在</w:t>
            </w:r>
            <w:r>
              <w:rPr>
                <w:rFonts w:hint="eastAsia"/>
                <w:lang w:eastAsia="zh-Hans"/>
              </w:rPr>
              <w:t>0.35%</w:t>
            </w:r>
            <w:r>
              <w:rPr>
                <w:rFonts w:hint="eastAsia"/>
                <w:lang w:eastAsia="zh-Hans"/>
              </w:rPr>
              <w:t>以内，年跟踪误差控制在</w:t>
            </w:r>
            <w:r>
              <w:rPr>
                <w:rFonts w:hint="eastAsia"/>
                <w:lang w:eastAsia="zh-Hans"/>
              </w:rPr>
              <w:t>4%</w:t>
            </w:r>
            <w:r>
              <w:rPr>
                <w:rFonts w:hint="eastAsia"/>
                <w:lang w:eastAsia="zh-Hans"/>
              </w:rPr>
              <w:t>以内。如因指数编制规则调整或其他因素导致跟踪偏离度和跟踪误差超过上述范围，基金管理人应采取合理措施避免跟踪偏离度、跟踪误差进一步扩大。</w:t>
            </w:r>
          </w:p>
        </w:tc>
      </w:tr>
      <w:tr w:rsidR="005E2D94" w:rsidTr="00F16547">
        <w:trPr>
          <w:trHeight w:val="386"/>
        </w:trPr>
        <w:tc>
          <w:tcPr>
            <w:tcW w:w="1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业绩比较基准</w:t>
            </w:r>
            <w:r>
              <w:rPr>
                <w:rFonts w:hint="eastAsia"/>
                <w:lang w:eastAsia="zh-Hans"/>
              </w:rPr>
              <w:t xml:space="preserve"> </w:t>
            </w:r>
          </w:p>
        </w:tc>
        <w:tc>
          <w:tcPr>
            <w:tcW w:w="6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312" w:lineRule="exact"/>
            </w:pPr>
            <w:r>
              <w:rPr>
                <w:rFonts w:hint="eastAsia"/>
              </w:rPr>
              <w:t>中证全指证券公司</w:t>
            </w:r>
            <w:r w:rsidRPr="009C0007">
              <w:rPr>
                <w:rFonts w:hint="eastAsia"/>
              </w:rPr>
              <w:t>指数收益率×</w:t>
            </w:r>
            <w:r w:rsidRPr="009C0007">
              <w:rPr>
                <w:rFonts w:hint="eastAsia"/>
              </w:rPr>
              <w:t>95%+</w:t>
            </w:r>
            <w:r w:rsidRPr="009C0007">
              <w:rPr>
                <w:rFonts w:hint="eastAsia"/>
              </w:rPr>
              <w:t>银行活期存款利率（税后）×</w:t>
            </w:r>
            <w:r w:rsidRPr="009C0007">
              <w:rPr>
                <w:rFonts w:hint="eastAsia"/>
              </w:rPr>
              <w:t>5%</w:t>
            </w:r>
          </w:p>
        </w:tc>
      </w:tr>
      <w:tr w:rsidR="005E2D94" w:rsidTr="00F16547">
        <w:trPr>
          <w:trHeight w:val="386"/>
        </w:trPr>
        <w:tc>
          <w:tcPr>
            <w:tcW w:w="1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lang w:eastAsia="zh-Hans"/>
              </w:rPr>
              <w:t>风险收益特征</w:t>
            </w:r>
            <w:r>
              <w:rPr>
                <w:rFonts w:hint="eastAsia"/>
                <w:lang w:eastAsia="zh-Hans"/>
              </w:rPr>
              <w:t xml:space="preserve"> </w:t>
            </w:r>
          </w:p>
        </w:tc>
        <w:tc>
          <w:tcPr>
            <w:tcW w:w="69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312" w:lineRule="exact"/>
              <w:rPr>
                <w:lang w:eastAsia="zh-Hans"/>
              </w:rPr>
            </w:pPr>
            <w:r>
              <w:rPr>
                <w:rFonts w:hint="eastAsia"/>
                <w:lang w:eastAsia="zh-Hans"/>
              </w:rPr>
              <w:t>本基金为</w:t>
            </w:r>
            <w:r>
              <w:rPr>
                <w:rFonts w:hint="eastAsia"/>
                <w:lang w:eastAsia="zh-Hans"/>
              </w:rPr>
              <w:t>ETF</w:t>
            </w:r>
            <w:r>
              <w:rPr>
                <w:rFonts w:hint="eastAsia"/>
                <w:lang w:eastAsia="zh-Hans"/>
              </w:rPr>
              <w:t>联接基金，预期风险与预期收益高于债券型基金与货币市场基金。本基金主要投资于目标</w:t>
            </w:r>
            <w:r>
              <w:rPr>
                <w:rFonts w:hint="eastAsia"/>
                <w:lang w:eastAsia="zh-Hans"/>
              </w:rPr>
              <w:t>ETF</w:t>
            </w:r>
            <w:r>
              <w:rPr>
                <w:rFonts w:hint="eastAsia"/>
                <w:lang w:eastAsia="zh-Hans"/>
              </w:rPr>
              <w:t>，紧密跟踪标的指数，具有与标的指数以及标的指数所代表的股票市场相似的风险收益特征。</w:t>
            </w:r>
          </w:p>
          <w:p w:rsidR="005E2D94" w:rsidRDefault="005E2D94" w:rsidP="00F16547">
            <w:pPr>
              <w:spacing w:line="312" w:lineRule="exact"/>
            </w:pPr>
            <w:r>
              <w:rPr>
                <w:rFonts w:hint="eastAsia"/>
                <w:lang w:eastAsia="zh-Hans"/>
              </w:rPr>
              <w:t>本基金可投资于科创板股票，若投资会面临科创板机制下因投资标的、市场制度以及交易规则等差异带来的特有风险，包括但不限于科创板上市公司股票价格波动较大的风险、流动性风险、退市风险和投资集中风险等。</w:t>
            </w:r>
          </w:p>
        </w:tc>
      </w:tr>
    </w:tbl>
    <w:p w:rsidR="005E2D94" w:rsidRDefault="005E2D94" w:rsidP="005E2D94">
      <w:pPr>
        <w:pStyle w:val="XBRLTitle2"/>
        <w:numPr>
          <w:ilvl w:val="1"/>
          <w:numId w:val="2"/>
        </w:numPr>
        <w:spacing w:before="156" w:line="312" w:lineRule="exact"/>
      </w:pPr>
      <w:bookmarkStart w:id="55" w:name="_Toc37433214"/>
      <w:bookmarkStart w:id="56" w:name="_Toc512519484"/>
      <w:bookmarkStart w:id="57" w:name="_Toc481075051"/>
      <w:bookmarkStart w:id="58" w:name="_Toc438646457"/>
      <w:bookmarkStart w:id="59" w:name="_Toc490050005"/>
      <w:bookmarkStart w:id="60" w:name="_Toc513465658"/>
      <w:bookmarkEnd w:id="53"/>
      <w:r>
        <w:rPr>
          <w:rFonts w:hAnsi="宋体" w:hint="eastAsia"/>
          <w:sz w:val="21"/>
        </w:rPr>
        <w:t>投资组合资产配置图表/区域配置图表</w:t>
      </w:r>
      <w:bookmarkEnd w:id="55"/>
      <w:r>
        <w:rPr>
          <w:rFonts w:hAnsi="宋体" w:hint="eastAsia"/>
          <w:sz w:val="21"/>
        </w:rPr>
        <w:t xml:space="preserve"> </w:t>
      </w:r>
    </w:p>
    <w:p w:rsidR="005E2D94" w:rsidRDefault="005E2D94" w:rsidP="005E2D94">
      <w:pPr>
        <w:spacing w:line="312" w:lineRule="exact"/>
      </w:pPr>
      <w:r>
        <w:rPr>
          <w:rFonts w:hint="eastAsia"/>
          <w:szCs w:val="21"/>
        </w:rPr>
        <w:t>注：</w:t>
      </w:r>
      <w:r>
        <w:rPr>
          <w:rFonts w:hint="eastAsia"/>
          <w:szCs w:val="21"/>
          <w:lang w:eastAsia="zh-Hans"/>
        </w:rPr>
        <w:t>暂无</w:t>
      </w:r>
      <w:r>
        <w:rPr>
          <w:rFonts w:hint="eastAsia"/>
        </w:rPr>
        <w:t xml:space="preserve"> </w:t>
      </w:r>
    </w:p>
    <w:p w:rsidR="005E2D94" w:rsidRDefault="005E2D94" w:rsidP="005E2D94">
      <w:pPr>
        <w:pStyle w:val="XBRLTitle2"/>
        <w:numPr>
          <w:ilvl w:val="1"/>
          <w:numId w:val="2"/>
        </w:numPr>
        <w:spacing w:before="156" w:line="312" w:lineRule="exact"/>
      </w:pPr>
      <w:bookmarkStart w:id="61" w:name="_Toc37433215"/>
      <w:bookmarkStart w:id="62" w:name="m502"/>
      <w:bookmarkStart w:id="63" w:name="_Toc438646470"/>
      <w:bookmarkStart w:id="64" w:name="m504"/>
      <w:bookmarkStart w:id="65" w:name="_Toc34758531"/>
      <w:bookmarkStart w:id="66" w:name="_Toc513295913"/>
      <w:bookmarkStart w:id="67" w:name="_Toc513295861"/>
      <w:bookmarkStart w:id="68" w:name="_Toc512519501"/>
      <w:bookmarkStart w:id="69" w:name="_Toc490050022"/>
      <w:bookmarkStart w:id="70" w:name="_Toc481075069"/>
      <w:bookmarkStart w:id="71" w:name="_Toc17897952"/>
      <w:bookmarkStart w:id="72" w:name="_Toc17898200"/>
      <w:bookmarkStart w:id="73" w:name="_Toc34841040"/>
      <w:bookmarkStart w:id="74" w:name="m03_03"/>
      <w:bookmarkStart w:id="75" w:name="_Toc454983260"/>
      <w:bookmarkStart w:id="76" w:name="_Toc452398732"/>
      <w:bookmarkStart w:id="77" w:name="_Toc453852604"/>
      <w:bookmarkStart w:id="78" w:name="_Toc485300223"/>
      <w:bookmarkStart w:id="79" w:name="_Toc244948694"/>
      <w:bookmarkStart w:id="80" w:name="_Toc245003735"/>
      <w:bookmarkStart w:id="81" w:name="_Toc247616208"/>
      <w:bookmarkStart w:id="82" w:name="_Toc433036679"/>
      <w:bookmarkStart w:id="83" w:name="_Toc506208214"/>
      <w:bookmarkStart w:id="84" w:name="_Toc497398101"/>
      <w:bookmarkStart w:id="85" w:name="_Toc17897941"/>
      <w:bookmarkStart w:id="86" w:name="_Toc17898185"/>
      <w:bookmarkStart w:id="87" w:name="_Toc512519486"/>
      <w:bookmarkStart w:id="88" w:name="_Toc481075053"/>
      <w:bookmarkStart w:id="89" w:name="_Toc490050007"/>
      <w:bookmarkStart w:id="90" w:name="_Toc512519485"/>
      <w:bookmarkStart w:id="91" w:name="_Toc481075052"/>
      <w:bookmarkStart w:id="92" w:name="_Toc490050006"/>
      <w:bookmarkStart w:id="93" w:name="m501"/>
      <w:r>
        <w:rPr>
          <w:rFonts w:hAnsi="宋体" w:hint="eastAsia"/>
          <w:sz w:val="21"/>
        </w:rPr>
        <w:t>自基金合同生效以来基金每年的净值增长率及与同期业绩比较基准的比较图</w:t>
      </w:r>
      <w:bookmarkEnd w:id="61"/>
      <w:bookmarkEnd w:id="62"/>
      <w:bookmarkEnd w:id="63"/>
      <w:bookmarkEnd w:id="64"/>
      <w:bookmarkEnd w:id="65"/>
      <w:bookmarkEnd w:id="66"/>
      <w:bookmarkEnd w:id="67"/>
      <w:bookmarkEnd w:id="68"/>
      <w:bookmarkEnd w:id="69"/>
      <w:bookmarkEnd w:id="70"/>
      <w:bookmarkEnd w:id="71"/>
      <w:bookmarkEnd w:id="72"/>
      <w:bookmarkEnd w:id="73"/>
      <w:r>
        <w:rPr>
          <w:rFonts w:hAnsi="宋体" w:hint="eastAsia"/>
          <w:sz w:val="21"/>
        </w:rPr>
        <w:t xml:space="preserve"> </w:t>
      </w:r>
    </w:p>
    <w:p w:rsidR="005E2D94" w:rsidRDefault="005E2D94" w:rsidP="005E2D94">
      <w:pPr>
        <w:spacing w:line="312" w:lineRule="exact"/>
      </w:pPr>
      <w:r>
        <w:rPr>
          <w:rFonts w:hint="eastAsia"/>
          <w:szCs w:val="21"/>
        </w:rPr>
        <w:t>注：</w:t>
      </w:r>
      <w:r>
        <w:rPr>
          <w:rFonts w:hint="eastAsia"/>
          <w:szCs w:val="21"/>
          <w:lang w:eastAsia="zh-Hans"/>
        </w:rPr>
        <w:t>暂无</w:t>
      </w:r>
      <w:r>
        <w:rPr>
          <w:rFonts w:hint="eastAsia"/>
        </w:rPr>
        <w:t xml:space="preserve"> </w:t>
      </w:r>
    </w:p>
    <w:p w:rsidR="005E2D94" w:rsidRDefault="005E2D94" w:rsidP="005E2D94">
      <w:pPr>
        <w:pStyle w:val="XBRLTitle1"/>
        <w:numPr>
          <w:ilvl w:val="0"/>
          <w:numId w:val="2"/>
        </w:numPr>
        <w:spacing w:before="156" w:line="312" w:lineRule="exact"/>
      </w:pPr>
      <w:bookmarkStart w:id="94" w:name="_Toc374332121"/>
      <w:r>
        <w:rPr>
          <w:rFonts w:hAnsi="宋体" w:hint="eastAsia"/>
        </w:rPr>
        <w:t>投资本基金涉及的费用</w:t>
      </w:r>
      <w:bookmarkEnd w:id="94"/>
      <w:r>
        <w:rPr>
          <w:rFonts w:hAnsi="宋体" w:hint="eastAsia"/>
        </w:rPr>
        <w:t xml:space="preserve"> </w:t>
      </w:r>
    </w:p>
    <w:p w:rsidR="005E2D94" w:rsidRDefault="005E2D94" w:rsidP="005E2D94">
      <w:pPr>
        <w:pStyle w:val="XBRLTitle2"/>
        <w:numPr>
          <w:ilvl w:val="1"/>
          <w:numId w:val="2"/>
        </w:numPr>
        <w:spacing w:before="156" w:line="312" w:lineRule="exact"/>
      </w:pPr>
      <w:bookmarkStart w:id="95" w:name="_Toc374332131"/>
      <w:r>
        <w:rPr>
          <w:rFonts w:hAnsi="宋体" w:hint="eastAsia"/>
          <w:sz w:val="21"/>
        </w:rPr>
        <w:t>基金销售相关费用</w:t>
      </w:r>
      <w:bookmarkEnd w:id="95"/>
      <w:r>
        <w:rPr>
          <w:rFonts w:hAnsi="宋体" w:hint="eastAsia"/>
          <w:sz w:val="21"/>
        </w:rPr>
        <w:t xml:space="preserve"> </w:t>
      </w:r>
    </w:p>
    <w:p w:rsidR="005E2D94" w:rsidRDefault="005E2D94" w:rsidP="005E2D94">
      <w:pPr>
        <w:spacing w:line="312" w:lineRule="exact"/>
      </w:pPr>
      <w:r>
        <w:rPr>
          <w:rFonts w:hint="eastAsia"/>
          <w:szCs w:val="21"/>
        </w:rPr>
        <w:t>以下费用在认购</w:t>
      </w:r>
      <w:r>
        <w:rPr>
          <w:rFonts w:hint="eastAsia"/>
          <w:szCs w:val="21"/>
        </w:rPr>
        <w:t>/</w:t>
      </w:r>
      <w:r>
        <w:rPr>
          <w:rFonts w:hint="eastAsia"/>
          <w:szCs w:val="21"/>
        </w:rPr>
        <w:t>申购</w:t>
      </w:r>
      <w:r>
        <w:rPr>
          <w:rFonts w:hint="eastAsia"/>
          <w:szCs w:val="21"/>
        </w:rPr>
        <w:t>/</w:t>
      </w:r>
      <w:r>
        <w:rPr>
          <w:rFonts w:hint="eastAsia"/>
          <w:szCs w:val="21"/>
        </w:rPr>
        <w:t>赎回基金过程中收取：</w:t>
      </w:r>
      <w:r>
        <w:rPr>
          <w:rFonts w:hint="eastAsia"/>
        </w:rPr>
        <w:t xml:space="preserve"> </w:t>
      </w:r>
    </w:p>
    <w:p w:rsidR="005E2D94" w:rsidRDefault="005E2D94" w:rsidP="005E2D94">
      <w:pPr>
        <w:spacing w:line="360" w:lineRule="auto"/>
        <w:jc w:val="center"/>
      </w:pPr>
      <w:r w:rsidRPr="004232DE">
        <w:rPr>
          <w:rFonts w:hint="eastAsia"/>
        </w:rPr>
        <w:lastRenderedPageBreak/>
        <w:t>银华</w:t>
      </w:r>
      <w:r>
        <w:rPr>
          <w:rFonts w:hint="eastAsia"/>
        </w:rPr>
        <w:t>中证全指证券公司</w:t>
      </w:r>
      <w:r w:rsidRPr="004232DE">
        <w:rPr>
          <w:rFonts w:hint="eastAsia"/>
        </w:rPr>
        <w:t>ETF</w:t>
      </w:r>
      <w:r w:rsidRPr="004232DE">
        <w:rPr>
          <w:rFonts w:hint="eastAsia"/>
        </w:rPr>
        <w:t>发起式联接</w:t>
      </w:r>
      <w:r>
        <w:rPr>
          <w:rFonts w:hint="eastAsia"/>
        </w:rPr>
        <w:t>A</w:t>
      </w:r>
      <w:r>
        <w:rPr>
          <w:rFonts w:hint="eastAsia"/>
          <w:kern w:val="0"/>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417"/>
        <w:gridCol w:w="3390"/>
        <w:gridCol w:w="3489"/>
      </w:tblGrid>
      <w:tr w:rsidR="005E2D94" w:rsidTr="00F16547">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费用类型</w:t>
            </w:r>
            <w:r>
              <w:rPr>
                <w:rFonts w:hint="eastAsia"/>
                <w:b/>
                <w:bCs/>
                <w:szCs w:val="21"/>
              </w:rPr>
              <w:t xml:space="preserve"> </w:t>
            </w: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份额（</w:t>
            </w:r>
            <w:r>
              <w:rPr>
                <w:rFonts w:hint="eastAsia"/>
                <w:b/>
                <w:bCs/>
                <w:szCs w:val="21"/>
              </w:rPr>
              <w:t>S</w:t>
            </w:r>
            <w:r>
              <w:rPr>
                <w:rFonts w:hint="eastAsia"/>
                <w:b/>
                <w:bCs/>
                <w:szCs w:val="21"/>
              </w:rPr>
              <w:t>）或金额（</w:t>
            </w:r>
            <w:r>
              <w:rPr>
                <w:rFonts w:hint="eastAsia"/>
                <w:b/>
                <w:bCs/>
                <w:szCs w:val="21"/>
              </w:rPr>
              <w:t>M</w:t>
            </w:r>
            <w:r>
              <w:rPr>
                <w:rFonts w:hint="eastAsia"/>
                <w:b/>
                <w:bCs/>
                <w:szCs w:val="21"/>
              </w:rPr>
              <w:t>）</w:t>
            </w:r>
            <w:r>
              <w:rPr>
                <w:rFonts w:hint="eastAsia"/>
                <w:b/>
                <w:bCs/>
                <w:szCs w:val="21"/>
              </w:rPr>
              <w:t xml:space="preserve"> </w:t>
            </w:r>
          </w:p>
          <w:p w:rsidR="005E2D94" w:rsidRDefault="005E2D94" w:rsidP="00F16547">
            <w:pPr>
              <w:spacing w:line="280" w:lineRule="exact"/>
              <w:jc w:val="center"/>
            </w:pPr>
            <w:r>
              <w:rPr>
                <w:rFonts w:hint="eastAsia"/>
                <w:b/>
                <w:bCs/>
                <w:szCs w:val="21"/>
              </w:rPr>
              <w:t>/</w:t>
            </w:r>
            <w:r>
              <w:rPr>
                <w:rFonts w:hint="eastAsia"/>
                <w:b/>
                <w:bCs/>
                <w:szCs w:val="21"/>
              </w:rPr>
              <w:t>持有期限（</w:t>
            </w:r>
            <w:r>
              <w:rPr>
                <w:rFonts w:hint="eastAsia"/>
                <w:b/>
                <w:bCs/>
                <w:szCs w:val="21"/>
              </w:rPr>
              <w:t>N</w:t>
            </w:r>
            <w:r>
              <w:rPr>
                <w:rFonts w:hint="eastAsia"/>
                <w:b/>
                <w:bCs/>
                <w:szCs w:val="21"/>
              </w:rPr>
              <w:t>）</w:t>
            </w:r>
            <w:r>
              <w:rPr>
                <w:rFonts w:hint="eastAsia"/>
                <w:b/>
                <w:bCs/>
                <w:szCs w:val="21"/>
              </w:rPr>
              <w:t xml:space="preserve"> </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收费方式</w:t>
            </w:r>
            <w:r>
              <w:rPr>
                <w:rFonts w:hint="eastAsia"/>
                <w:b/>
                <w:bCs/>
                <w:szCs w:val="21"/>
              </w:rPr>
              <w:t>/</w:t>
            </w:r>
            <w:r>
              <w:rPr>
                <w:rFonts w:hint="eastAsia"/>
                <w:b/>
                <w:bCs/>
                <w:szCs w:val="21"/>
              </w:rPr>
              <w:t>费率</w:t>
            </w:r>
            <w:r>
              <w:rPr>
                <w:rFonts w:hint="eastAsia"/>
                <w:b/>
                <w:bCs/>
                <w:szCs w:val="21"/>
              </w:rPr>
              <w:t xml:space="preserve"> </w:t>
            </w:r>
          </w:p>
        </w:tc>
      </w:tr>
      <w:tr w:rsidR="005E2D94" w:rsidTr="00F16547">
        <w:trPr>
          <w:trHeight w:val="243"/>
        </w:trPr>
        <w:tc>
          <w:tcPr>
            <w:tcW w:w="1417" w:type="dxa"/>
            <w:vMerge w:val="restart"/>
            <w:tcBorders>
              <w:top w:val="nil"/>
              <w:left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认购费</w:t>
            </w:r>
            <w:r>
              <w:rPr>
                <w:rFonts w:hint="eastAsia"/>
                <w:b/>
                <w:bCs/>
                <w:szCs w:val="21"/>
              </w:rPr>
              <w:t xml:space="preserve"> </w:t>
            </w: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M</w:t>
            </w:r>
            <w:r w:rsidRPr="005006BB">
              <w:rPr>
                <w:rFonts w:hint="eastAsia"/>
              </w:rPr>
              <w:t>＜</w:t>
            </w:r>
            <w:r w:rsidRPr="005006BB">
              <w:rPr>
                <w:rFonts w:hint="eastAsia"/>
              </w:rPr>
              <w:t>100</w:t>
            </w:r>
            <w:r w:rsidRPr="005006BB">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1.00%</w:t>
            </w:r>
          </w:p>
        </w:tc>
      </w:tr>
      <w:tr w:rsidR="005E2D94" w:rsidTr="00F16547">
        <w:trPr>
          <w:trHeight w:val="243"/>
        </w:trPr>
        <w:tc>
          <w:tcPr>
            <w:tcW w:w="1417" w:type="dxa"/>
            <w:vMerge/>
            <w:tcBorders>
              <w:left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100</w:t>
            </w:r>
            <w:r w:rsidRPr="005006BB">
              <w:rPr>
                <w:rFonts w:hint="eastAsia"/>
              </w:rPr>
              <w:t>万元≤</w:t>
            </w:r>
            <w:r w:rsidRPr="005006BB">
              <w:rPr>
                <w:rFonts w:hint="eastAsia"/>
              </w:rPr>
              <w:t>M</w:t>
            </w:r>
            <w:r w:rsidRPr="005006BB">
              <w:rPr>
                <w:rFonts w:hint="eastAsia"/>
              </w:rPr>
              <w:t>＜</w:t>
            </w:r>
            <w:r w:rsidRPr="005006BB">
              <w:rPr>
                <w:rFonts w:hint="eastAsia"/>
              </w:rPr>
              <w:t>200</w:t>
            </w:r>
            <w:r w:rsidRPr="005006BB">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0.80%</w:t>
            </w:r>
          </w:p>
        </w:tc>
      </w:tr>
      <w:tr w:rsidR="005E2D94" w:rsidTr="00F16547">
        <w:trPr>
          <w:trHeight w:val="243"/>
        </w:trPr>
        <w:tc>
          <w:tcPr>
            <w:tcW w:w="1417" w:type="dxa"/>
            <w:vMerge/>
            <w:tcBorders>
              <w:left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200</w:t>
            </w:r>
            <w:r w:rsidRPr="005006BB">
              <w:rPr>
                <w:rFonts w:hint="eastAsia"/>
              </w:rPr>
              <w:t>万元≤</w:t>
            </w:r>
            <w:r w:rsidRPr="005006BB">
              <w:rPr>
                <w:rFonts w:hint="eastAsia"/>
              </w:rPr>
              <w:t>M</w:t>
            </w:r>
            <w:r w:rsidRPr="005006BB">
              <w:rPr>
                <w:rFonts w:hint="eastAsia"/>
              </w:rPr>
              <w:t>＜</w:t>
            </w:r>
            <w:r w:rsidRPr="005006BB">
              <w:rPr>
                <w:rFonts w:hint="eastAsia"/>
              </w:rPr>
              <w:t>500</w:t>
            </w:r>
            <w:r w:rsidRPr="005006BB">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0.50%</w:t>
            </w:r>
          </w:p>
        </w:tc>
      </w:tr>
      <w:tr w:rsidR="005E2D94" w:rsidTr="00F16547">
        <w:trPr>
          <w:trHeight w:val="243"/>
        </w:trPr>
        <w:tc>
          <w:tcPr>
            <w:tcW w:w="1417" w:type="dxa"/>
            <w:vMerge/>
            <w:tcBorders>
              <w:left w:val="single" w:sz="4" w:space="0" w:color="auto"/>
              <w:bottom w:val="single" w:sz="4" w:space="0" w:color="auto"/>
              <w:right w:val="single" w:sz="4" w:space="0" w:color="auto"/>
            </w:tcBorders>
            <w:vAlign w:val="center"/>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E2D94" w:rsidRDefault="005E2D94" w:rsidP="00F16547">
            <w:pPr>
              <w:spacing w:line="280" w:lineRule="exact"/>
              <w:jc w:val="center"/>
              <w:rPr>
                <w:kern w:val="0"/>
                <w:szCs w:val="21"/>
              </w:rPr>
            </w:pPr>
            <w:r w:rsidRPr="005006BB">
              <w:rPr>
                <w:rFonts w:hint="eastAsia"/>
              </w:rPr>
              <w:t>M</w:t>
            </w:r>
            <w:r w:rsidRPr="005006BB">
              <w:rPr>
                <w:rFonts w:hint="eastAsia"/>
              </w:rPr>
              <w:t>≥</w:t>
            </w:r>
            <w:r w:rsidRPr="005006BB">
              <w:rPr>
                <w:rFonts w:hint="eastAsia"/>
              </w:rPr>
              <w:t>500</w:t>
            </w:r>
            <w:r w:rsidRPr="005006BB">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E2D94" w:rsidRDefault="005E2D94" w:rsidP="00F16547">
            <w:pPr>
              <w:spacing w:line="280" w:lineRule="exact"/>
              <w:jc w:val="center"/>
              <w:rPr>
                <w:kern w:val="0"/>
                <w:szCs w:val="21"/>
              </w:rPr>
            </w:pPr>
            <w:r w:rsidRPr="005006BB">
              <w:rPr>
                <w:rFonts w:hint="eastAsia"/>
              </w:rPr>
              <w:t>按笔固定收取，</w:t>
            </w:r>
            <w:r w:rsidRPr="005006BB">
              <w:rPr>
                <w:rFonts w:hint="eastAsia"/>
              </w:rPr>
              <w:t>1000</w:t>
            </w:r>
            <w:r w:rsidRPr="005006BB">
              <w:rPr>
                <w:rFonts w:hint="eastAsia"/>
              </w:rPr>
              <w:t>元</w:t>
            </w:r>
            <w:r w:rsidRPr="005006BB">
              <w:rPr>
                <w:rFonts w:hint="eastAsia"/>
              </w:rPr>
              <w:t>/</w:t>
            </w:r>
            <w:r w:rsidRPr="005006BB">
              <w:rPr>
                <w:rFonts w:hint="eastAsia"/>
              </w:rPr>
              <w:t>笔</w:t>
            </w:r>
          </w:p>
        </w:tc>
      </w:tr>
      <w:tr w:rsidR="005E2D94" w:rsidTr="00F16547">
        <w:trPr>
          <w:trHeight w:val="243"/>
        </w:trPr>
        <w:tc>
          <w:tcPr>
            <w:tcW w:w="1417" w:type="dxa"/>
            <w:vMerge w:val="restart"/>
            <w:tcBorders>
              <w:top w:val="nil"/>
              <w:left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申购费</w:t>
            </w:r>
            <w:r>
              <w:rPr>
                <w:rFonts w:hint="eastAsia"/>
                <w:b/>
                <w:bCs/>
                <w:szCs w:val="21"/>
              </w:rPr>
              <w:t xml:space="preserve"> </w:t>
            </w:r>
          </w:p>
          <w:p w:rsidR="005E2D94" w:rsidRDefault="005E2D94" w:rsidP="00F16547">
            <w:pPr>
              <w:spacing w:line="280" w:lineRule="exact"/>
              <w:jc w:val="center"/>
            </w:pPr>
            <w:r>
              <w:rPr>
                <w:rFonts w:hint="eastAsia"/>
                <w:b/>
                <w:bCs/>
                <w:szCs w:val="21"/>
              </w:rPr>
              <w:t>（前收费）</w:t>
            </w:r>
            <w:r>
              <w:rPr>
                <w:rFonts w:hint="eastAsia"/>
                <w:b/>
                <w:bCs/>
                <w:szCs w:val="21"/>
              </w:rPr>
              <w:t xml:space="preserve"> </w:t>
            </w: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2F6970">
              <w:rPr>
                <w:rFonts w:hint="eastAsia"/>
              </w:rPr>
              <w:t>M</w:t>
            </w:r>
            <w:r w:rsidRPr="002F6970">
              <w:rPr>
                <w:rFonts w:hint="eastAsia"/>
              </w:rPr>
              <w:t>＜</w:t>
            </w:r>
            <w:r w:rsidRPr="002F6970">
              <w:rPr>
                <w:rFonts w:hint="eastAsia"/>
              </w:rPr>
              <w:t>100</w:t>
            </w:r>
            <w:r w:rsidRPr="002F6970">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1.00%</w:t>
            </w:r>
          </w:p>
        </w:tc>
      </w:tr>
      <w:tr w:rsidR="005E2D94" w:rsidTr="00F16547">
        <w:trPr>
          <w:trHeight w:val="243"/>
        </w:trPr>
        <w:tc>
          <w:tcPr>
            <w:tcW w:w="1417" w:type="dxa"/>
            <w:vMerge/>
            <w:tcBorders>
              <w:left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2F6970">
              <w:rPr>
                <w:rFonts w:hint="eastAsia"/>
              </w:rPr>
              <w:t>100</w:t>
            </w:r>
            <w:r w:rsidRPr="002F6970">
              <w:rPr>
                <w:rFonts w:hint="eastAsia"/>
              </w:rPr>
              <w:t>万元≤</w:t>
            </w:r>
            <w:r w:rsidRPr="002F6970">
              <w:rPr>
                <w:rFonts w:hint="eastAsia"/>
              </w:rPr>
              <w:t>M</w:t>
            </w:r>
            <w:r w:rsidRPr="002F6970">
              <w:rPr>
                <w:rFonts w:hint="eastAsia"/>
              </w:rPr>
              <w:t>＜</w:t>
            </w:r>
            <w:r w:rsidRPr="002F6970">
              <w:rPr>
                <w:rFonts w:hint="eastAsia"/>
              </w:rPr>
              <w:t>200</w:t>
            </w:r>
            <w:r w:rsidRPr="002F6970">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0.80%</w:t>
            </w:r>
          </w:p>
        </w:tc>
      </w:tr>
      <w:tr w:rsidR="005E2D94" w:rsidTr="00F16547">
        <w:trPr>
          <w:trHeight w:val="243"/>
        </w:trPr>
        <w:tc>
          <w:tcPr>
            <w:tcW w:w="1417" w:type="dxa"/>
            <w:vMerge/>
            <w:tcBorders>
              <w:left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2F6970">
              <w:rPr>
                <w:rFonts w:hint="eastAsia"/>
              </w:rPr>
              <w:t>200</w:t>
            </w:r>
            <w:r w:rsidRPr="002F6970">
              <w:rPr>
                <w:rFonts w:hint="eastAsia"/>
              </w:rPr>
              <w:t>万元≤</w:t>
            </w:r>
            <w:r w:rsidRPr="002F6970">
              <w:rPr>
                <w:rFonts w:hint="eastAsia"/>
              </w:rPr>
              <w:t>M</w:t>
            </w:r>
            <w:r w:rsidRPr="002F6970">
              <w:rPr>
                <w:rFonts w:hint="eastAsia"/>
              </w:rPr>
              <w:t>＜</w:t>
            </w:r>
            <w:r w:rsidRPr="002F6970">
              <w:rPr>
                <w:rFonts w:hint="eastAsia"/>
              </w:rPr>
              <w:t>500</w:t>
            </w:r>
            <w:r w:rsidRPr="002F6970">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5E2D94" w:rsidRDefault="005E2D94" w:rsidP="00F16547">
            <w:pPr>
              <w:spacing w:line="280" w:lineRule="exact"/>
              <w:jc w:val="center"/>
            </w:pPr>
            <w:r w:rsidRPr="005006BB">
              <w:rPr>
                <w:rFonts w:hint="eastAsia"/>
              </w:rPr>
              <w:t>0.50%</w:t>
            </w:r>
          </w:p>
        </w:tc>
      </w:tr>
      <w:tr w:rsidR="005E2D94" w:rsidTr="00F16547">
        <w:trPr>
          <w:trHeight w:val="243"/>
        </w:trPr>
        <w:tc>
          <w:tcPr>
            <w:tcW w:w="1417" w:type="dxa"/>
            <w:vMerge/>
            <w:tcBorders>
              <w:left w:val="single" w:sz="4" w:space="0" w:color="auto"/>
              <w:bottom w:val="single" w:sz="4" w:space="0" w:color="auto"/>
              <w:right w:val="single" w:sz="4" w:space="0" w:color="auto"/>
            </w:tcBorders>
            <w:vAlign w:val="center"/>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E2D94" w:rsidRDefault="005E2D94" w:rsidP="00F16547">
            <w:pPr>
              <w:spacing w:line="280" w:lineRule="exact"/>
              <w:jc w:val="center"/>
              <w:rPr>
                <w:kern w:val="0"/>
                <w:szCs w:val="21"/>
              </w:rPr>
            </w:pPr>
            <w:r w:rsidRPr="002F6970">
              <w:rPr>
                <w:rFonts w:hint="eastAsia"/>
              </w:rPr>
              <w:t>M</w:t>
            </w:r>
            <w:r w:rsidRPr="002F6970">
              <w:rPr>
                <w:rFonts w:hint="eastAsia"/>
              </w:rPr>
              <w:t>≥</w:t>
            </w:r>
            <w:r w:rsidRPr="002F6970">
              <w:rPr>
                <w:rFonts w:hint="eastAsia"/>
              </w:rPr>
              <w:t>500</w:t>
            </w:r>
            <w:r w:rsidRPr="002F6970">
              <w:rPr>
                <w:rFonts w:hint="eastAsia"/>
              </w:rPr>
              <w:t>万元</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E2D94" w:rsidRDefault="005E2D94" w:rsidP="00F16547">
            <w:pPr>
              <w:spacing w:line="280" w:lineRule="exact"/>
              <w:jc w:val="center"/>
              <w:rPr>
                <w:kern w:val="0"/>
                <w:szCs w:val="21"/>
              </w:rPr>
            </w:pPr>
            <w:r w:rsidRPr="002F6970">
              <w:rPr>
                <w:rFonts w:hint="eastAsia"/>
              </w:rPr>
              <w:t>按笔固定收取，</w:t>
            </w:r>
            <w:r w:rsidRPr="002F6970">
              <w:rPr>
                <w:rFonts w:hint="eastAsia"/>
              </w:rPr>
              <w:t>1000</w:t>
            </w:r>
            <w:r w:rsidRPr="002F6970">
              <w:rPr>
                <w:rFonts w:hint="eastAsia"/>
              </w:rPr>
              <w:t>元</w:t>
            </w:r>
            <w:r w:rsidRPr="002F6970">
              <w:rPr>
                <w:rFonts w:hint="eastAsia"/>
              </w:rPr>
              <w:t>/</w:t>
            </w:r>
            <w:r w:rsidRPr="002F6970">
              <w:rPr>
                <w:rFonts w:hint="eastAsia"/>
              </w:rPr>
              <w:t>笔</w:t>
            </w:r>
          </w:p>
        </w:tc>
      </w:tr>
      <w:tr w:rsidR="005E2D94" w:rsidTr="00F16547">
        <w:trPr>
          <w:trHeight w:val="353"/>
        </w:trPr>
        <w:tc>
          <w:tcPr>
            <w:tcW w:w="141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赎回费</w:t>
            </w:r>
            <w:r>
              <w:rPr>
                <w:rFonts w:hint="eastAsia"/>
                <w:b/>
                <w:bCs/>
                <w:szCs w:val="21"/>
              </w:rPr>
              <w:t xml:space="preserve"> </w:t>
            </w: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N</w:t>
            </w:r>
            <w:r>
              <w:rPr>
                <w:rFonts w:hint="eastAsia"/>
                <w:kern w:val="0"/>
                <w:szCs w:val="21"/>
              </w:rPr>
              <w:t>＜</w:t>
            </w:r>
            <w:r>
              <w:rPr>
                <w:rFonts w:hint="eastAsia"/>
                <w:kern w:val="0"/>
                <w:szCs w:val="21"/>
              </w:rPr>
              <w:t>7</w:t>
            </w:r>
            <w:r>
              <w:rPr>
                <w:rFonts w:hint="eastAsia"/>
                <w:kern w:val="0"/>
                <w:szCs w:val="21"/>
              </w:rPr>
              <w:t>日</w:t>
            </w:r>
            <w:r>
              <w:rPr>
                <w:rFonts w:hint="eastAsia"/>
                <w:szCs w:val="21"/>
              </w:rPr>
              <w:t xml:space="preserve"> </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1.50%</w:t>
            </w:r>
            <w:r>
              <w:rPr>
                <w:rFonts w:hint="eastAsia"/>
                <w:szCs w:val="21"/>
              </w:rPr>
              <w:t xml:space="preserve"> </w:t>
            </w:r>
          </w:p>
        </w:tc>
      </w:tr>
      <w:tr w:rsidR="005E2D94" w:rsidTr="00F16547">
        <w:trPr>
          <w:trHeight w:val="353"/>
        </w:trPr>
        <w:tc>
          <w:tcPr>
            <w:tcW w:w="1417" w:type="dxa"/>
            <w:vMerge/>
            <w:tcBorders>
              <w:top w:val="nil"/>
              <w:left w:val="single" w:sz="4" w:space="0" w:color="auto"/>
              <w:bottom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7</w:t>
            </w:r>
            <w:r>
              <w:rPr>
                <w:rFonts w:hint="eastAsia"/>
                <w:kern w:val="0"/>
                <w:szCs w:val="21"/>
              </w:rPr>
              <w:t>日≤</w:t>
            </w:r>
            <w:r>
              <w:rPr>
                <w:rFonts w:hint="eastAsia"/>
                <w:kern w:val="0"/>
                <w:szCs w:val="21"/>
              </w:rPr>
              <w:t>N</w:t>
            </w:r>
            <w:r>
              <w:rPr>
                <w:rFonts w:hint="eastAsia"/>
                <w:kern w:val="0"/>
                <w:szCs w:val="21"/>
              </w:rPr>
              <w:t>＜</w:t>
            </w:r>
            <w:r>
              <w:rPr>
                <w:rFonts w:hint="eastAsia"/>
                <w:kern w:val="0"/>
                <w:szCs w:val="21"/>
              </w:rPr>
              <w:t>30</w:t>
            </w:r>
            <w:r>
              <w:rPr>
                <w:rFonts w:hint="eastAsia"/>
                <w:kern w:val="0"/>
                <w:szCs w:val="21"/>
              </w:rPr>
              <w:t>日</w:t>
            </w:r>
            <w:r>
              <w:rPr>
                <w:rFonts w:hint="eastAsia"/>
                <w:szCs w:val="21"/>
              </w:rPr>
              <w:t xml:space="preserve"> </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0.50%</w:t>
            </w:r>
            <w:r>
              <w:rPr>
                <w:rFonts w:hint="eastAsia"/>
                <w:szCs w:val="21"/>
              </w:rPr>
              <w:t xml:space="preserve"> </w:t>
            </w:r>
          </w:p>
        </w:tc>
      </w:tr>
      <w:tr w:rsidR="005E2D94" w:rsidTr="00F16547">
        <w:trPr>
          <w:trHeight w:val="353"/>
        </w:trPr>
        <w:tc>
          <w:tcPr>
            <w:tcW w:w="1417" w:type="dxa"/>
            <w:vMerge/>
            <w:tcBorders>
              <w:top w:val="nil"/>
              <w:left w:val="single" w:sz="4" w:space="0" w:color="auto"/>
              <w:bottom w:val="single" w:sz="4" w:space="0" w:color="auto"/>
              <w:right w:val="single" w:sz="4" w:space="0" w:color="auto"/>
            </w:tcBorders>
            <w:vAlign w:val="center"/>
            <w:hideMark/>
          </w:tcPr>
          <w:p w:rsidR="005E2D94" w:rsidRDefault="005E2D94" w:rsidP="00F16547">
            <w:pPr>
              <w:widowControl/>
              <w:jc w:val="left"/>
            </w:pPr>
          </w:p>
        </w:tc>
        <w:tc>
          <w:tcPr>
            <w:tcW w:w="339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N</w:t>
            </w:r>
            <w:r>
              <w:rPr>
                <w:rFonts w:hint="eastAsia"/>
                <w:kern w:val="0"/>
                <w:szCs w:val="21"/>
              </w:rPr>
              <w:t>≥</w:t>
            </w:r>
            <w:r>
              <w:rPr>
                <w:rFonts w:hint="eastAsia"/>
                <w:kern w:val="0"/>
                <w:szCs w:val="21"/>
              </w:rPr>
              <w:t>30</w:t>
            </w:r>
            <w:r>
              <w:rPr>
                <w:rFonts w:hint="eastAsia"/>
                <w:kern w:val="0"/>
                <w:szCs w:val="21"/>
              </w:rPr>
              <w:t>日</w:t>
            </w:r>
            <w:r>
              <w:rPr>
                <w:rFonts w:hint="eastAsia"/>
                <w:szCs w:val="21"/>
              </w:rPr>
              <w:t xml:space="preserve"> </w:t>
            </w:r>
          </w:p>
        </w:tc>
        <w:tc>
          <w:tcPr>
            <w:tcW w:w="348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0%</w:t>
            </w:r>
          </w:p>
        </w:tc>
      </w:tr>
    </w:tbl>
    <w:p w:rsidR="005E2D94" w:rsidRDefault="005E2D94" w:rsidP="005E2D94">
      <w:pPr>
        <w:spacing w:line="360" w:lineRule="auto"/>
        <w:jc w:val="center"/>
      </w:pPr>
      <w:r w:rsidRPr="004232DE">
        <w:rPr>
          <w:rFonts w:hint="eastAsia"/>
        </w:rPr>
        <w:t>银华</w:t>
      </w:r>
      <w:r>
        <w:rPr>
          <w:rFonts w:hint="eastAsia"/>
        </w:rPr>
        <w:t>中证全指证券公司</w:t>
      </w:r>
      <w:r w:rsidRPr="004232DE">
        <w:rPr>
          <w:rFonts w:hint="eastAsia"/>
        </w:rPr>
        <w:t>ETF</w:t>
      </w:r>
      <w:r w:rsidRPr="004232DE">
        <w:rPr>
          <w:rFonts w:hint="eastAsia"/>
        </w:rPr>
        <w:t>发起式联接</w:t>
      </w:r>
      <w:r>
        <w:rPr>
          <w:rFonts w:hint="eastAsia"/>
        </w:rPr>
        <w:t>C</w:t>
      </w:r>
      <w:r>
        <w:rPr>
          <w:rFonts w:hint="eastAsia"/>
          <w:kern w:val="0"/>
        </w:rPr>
        <w:t xml:space="preserve"> </w:t>
      </w:r>
    </w:p>
    <w:tbl>
      <w:tblPr>
        <w:tblW w:w="5000" w:type="pct"/>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1395"/>
        <w:gridCol w:w="3400"/>
        <w:gridCol w:w="3501"/>
      </w:tblGrid>
      <w:tr w:rsidR="005E2D94" w:rsidTr="00F16547">
        <w:tc>
          <w:tcPr>
            <w:tcW w:w="13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费用类型</w:t>
            </w:r>
            <w:r>
              <w:rPr>
                <w:rFonts w:hint="eastAsia"/>
                <w:b/>
                <w:bCs/>
                <w:szCs w:val="21"/>
              </w:rPr>
              <w:t xml:space="preserve"> </w:t>
            </w:r>
          </w:p>
        </w:tc>
        <w:tc>
          <w:tcPr>
            <w:tcW w:w="340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份额（</w:t>
            </w:r>
            <w:r>
              <w:rPr>
                <w:rFonts w:hint="eastAsia"/>
                <w:b/>
                <w:bCs/>
                <w:szCs w:val="21"/>
              </w:rPr>
              <w:t>S</w:t>
            </w:r>
            <w:r>
              <w:rPr>
                <w:rFonts w:hint="eastAsia"/>
                <w:b/>
                <w:bCs/>
                <w:szCs w:val="21"/>
              </w:rPr>
              <w:t>）或金额（</w:t>
            </w:r>
            <w:r>
              <w:rPr>
                <w:rFonts w:hint="eastAsia"/>
                <w:b/>
                <w:bCs/>
                <w:szCs w:val="21"/>
              </w:rPr>
              <w:t>M</w:t>
            </w:r>
            <w:r>
              <w:rPr>
                <w:rFonts w:hint="eastAsia"/>
                <w:b/>
                <w:bCs/>
                <w:szCs w:val="21"/>
              </w:rPr>
              <w:t>）</w:t>
            </w:r>
            <w:r>
              <w:rPr>
                <w:rFonts w:hint="eastAsia"/>
                <w:b/>
                <w:bCs/>
                <w:szCs w:val="21"/>
              </w:rPr>
              <w:t xml:space="preserve"> </w:t>
            </w:r>
          </w:p>
          <w:p w:rsidR="005E2D94" w:rsidRDefault="005E2D94" w:rsidP="00F16547">
            <w:pPr>
              <w:spacing w:line="280" w:lineRule="exact"/>
              <w:jc w:val="center"/>
            </w:pPr>
            <w:r>
              <w:rPr>
                <w:rFonts w:hint="eastAsia"/>
                <w:b/>
                <w:bCs/>
                <w:szCs w:val="21"/>
              </w:rPr>
              <w:t>/</w:t>
            </w:r>
            <w:r>
              <w:rPr>
                <w:rFonts w:hint="eastAsia"/>
                <w:b/>
                <w:bCs/>
                <w:szCs w:val="21"/>
              </w:rPr>
              <w:t>持有期限（</w:t>
            </w:r>
            <w:r>
              <w:rPr>
                <w:rFonts w:hint="eastAsia"/>
                <w:b/>
                <w:bCs/>
                <w:szCs w:val="21"/>
              </w:rPr>
              <w:t>N</w:t>
            </w:r>
            <w:r>
              <w:rPr>
                <w:rFonts w:hint="eastAsia"/>
                <w:b/>
                <w:bCs/>
                <w:szCs w:val="21"/>
              </w:rPr>
              <w:t>）</w:t>
            </w:r>
            <w:r>
              <w:rPr>
                <w:rFonts w:hint="eastAsia"/>
                <w:b/>
                <w:bCs/>
                <w:szCs w:val="21"/>
              </w:rPr>
              <w:t xml:space="preserve"> </w:t>
            </w:r>
          </w:p>
        </w:tc>
        <w:tc>
          <w:tcPr>
            <w:tcW w:w="350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收费方式</w:t>
            </w:r>
            <w:r>
              <w:rPr>
                <w:rFonts w:hint="eastAsia"/>
                <w:b/>
                <w:bCs/>
                <w:szCs w:val="21"/>
              </w:rPr>
              <w:t>/</w:t>
            </w:r>
            <w:r>
              <w:rPr>
                <w:rFonts w:hint="eastAsia"/>
                <w:b/>
                <w:bCs/>
                <w:szCs w:val="21"/>
              </w:rPr>
              <w:t>费率</w:t>
            </w:r>
            <w:r>
              <w:rPr>
                <w:rFonts w:hint="eastAsia"/>
                <w:b/>
                <w:bCs/>
                <w:szCs w:val="21"/>
              </w:rPr>
              <w:t xml:space="preserve"> </w:t>
            </w:r>
          </w:p>
        </w:tc>
      </w:tr>
      <w:tr w:rsidR="005E2D94" w:rsidTr="00F16547">
        <w:trPr>
          <w:trHeight w:val="353"/>
        </w:trPr>
        <w:tc>
          <w:tcPr>
            <w:tcW w:w="1395"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b/>
                <w:bCs/>
                <w:szCs w:val="21"/>
              </w:rPr>
              <w:t>赎回费</w:t>
            </w:r>
            <w:r>
              <w:rPr>
                <w:rFonts w:hint="eastAsia"/>
                <w:b/>
                <w:bCs/>
                <w:szCs w:val="21"/>
              </w:rPr>
              <w:t xml:space="preserve"> </w:t>
            </w:r>
          </w:p>
        </w:tc>
        <w:tc>
          <w:tcPr>
            <w:tcW w:w="340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N</w:t>
            </w:r>
            <w:r>
              <w:rPr>
                <w:rFonts w:hint="eastAsia"/>
                <w:kern w:val="0"/>
                <w:szCs w:val="21"/>
              </w:rPr>
              <w:t>＜</w:t>
            </w:r>
            <w:r>
              <w:rPr>
                <w:rFonts w:hint="eastAsia"/>
                <w:kern w:val="0"/>
                <w:szCs w:val="21"/>
              </w:rPr>
              <w:t>7</w:t>
            </w:r>
            <w:r>
              <w:rPr>
                <w:rFonts w:hint="eastAsia"/>
                <w:kern w:val="0"/>
                <w:szCs w:val="21"/>
              </w:rPr>
              <w:t>日</w:t>
            </w:r>
            <w:r>
              <w:rPr>
                <w:rFonts w:hint="eastAsia"/>
                <w:szCs w:val="21"/>
              </w:rPr>
              <w:t xml:space="preserve"> </w:t>
            </w:r>
          </w:p>
        </w:tc>
        <w:tc>
          <w:tcPr>
            <w:tcW w:w="350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1.50%</w:t>
            </w:r>
            <w:r>
              <w:rPr>
                <w:rFonts w:hint="eastAsia"/>
                <w:szCs w:val="21"/>
              </w:rPr>
              <w:t xml:space="preserve"> </w:t>
            </w:r>
          </w:p>
        </w:tc>
      </w:tr>
      <w:tr w:rsidR="005E2D94" w:rsidTr="00F16547">
        <w:trPr>
          <w:trHeight w:val="353"/>
        </w:trPr>
        <w:tc>
          <w:tcPr>
            <w:tcW w:w="1395" w:type="dxa"/>
            <w:vMerge/>
            <w:tcBorders>
              <w:top w:val="nil"/>
              <w:left w:val="single" w:sz="4" w:space="0" w:color="auto"/>
              <w:bottom w:val="single" w:sz="4" w:space="0" w:color="auto"/>
              <w:right w:val="single" w:sz="4" w:space="0" w:color="auto"/>
            </w:tcBorders>
            <w:vAlign w:val="center"/>
            <w:hideMark/>
          </w:tcPr>
          <w:p w:rsidR="005E2D94" w:rsidRDefault="005E2D94" w:rsidP="00F16547">
            <w:pPr>
              <w:widowControl/>
              <w:jc w:val="left"/>
            </w:pPr>
          </w:p>
        </w:tc>
        <w:tc>
          <w:tcPr>
            <w:tcW w:w="340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N</w:t>
            </w:r>
            <w:r>
              <w:rPr>
                <w:rFonts w:hint="eastAsia"/>
                <w:kern w:val="0"/>
                <w:szCs w:val="21"/>
              </w:rPr>
              <w:t>≥</w:t>
            </w:r>
            <w:r>
              <w:rPr>
                <w:rFonts w:hint="eastAsia"/>
                <w:kern w:val="0"/>
                <w:szCs w:val="21"/>
              </w:rPr>
              <w:t>7</w:t>
            </w:r>
            <w:r>
              <w:rPr>
                <w:rFonts w:hint="eastAsia"/>
                <w:kern w:val="0"/>
                <w:szCs w:val="21"/>
              </w:rPr>
              <w:t>日</w:t>
            </w:r>
            <w:r>
              <w:rPr>
                <w:rFonts w:hint="eastAsia"/>
                <w:szCs w:val="21"/>
              </w:rPr>
              <w:t xml:space="preserve"> </w:t>
            </w:r>
          </w:p>
        </w:tc>
        <w:tc>
          <w:tcPr>
            <w:tcW w:w="350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spacing w:line="280" w:lineRule="exact"/>
              <w:jc w:val="center"/>
            </w:pPr>
            <w:r>
              <w:rPr>
                <w:rFonts w:hint="eastAsia"/>
                <w:kern w:val="0"/>
                <w:szCs w:val="21"/>
              </w:rPr>
              <w:t>0%</w:t>
            </w:r>
            <w:r>
              <w:rPr>
                <w:rFonts w:hint="eastAsia"/>
                <w:szCs w:val="21"/>
              </w:rPr>
              <w:t xml:space="preserve"> </w:t>
            </w:r>
          </w:p>
        </w:tc>
      </w:tr>
    </w:tbl>
    <w:p w:rsidR="005E2D94" w:rsidRDefault="005E2D94" w:rsidP="005E2D94">
      <w:pPr>
        <w:pStyle w:val="XBRLTitle2"/>
        <w:numPr>
          <w:ilvl w:val="1"/>
          <w:numId w:val="2"/>
        </w:numPr>
        <w:spacing w:before="156" w:line="312" w:lineRule="exact"/>
      </w:pPr>
      <w:bookmarkStart w:id="96" w:name="_Toc374332141"/>
      <w:r>
        <w:rPr>
          <w:rFonts w:hAnsi="宋体" w:hint="eastAsia"/>
          <w:sz w:val="21"/>
        </w:rPr>
        <w:t>基金运作相关费用</w:t>
      </w:r>
      <w:bookmarkEnd w:id="96"/>
      <w:r>
        <w:rPr>
          <w:rFonts w:hAnsi="宋体" w:hint="eastAsia"/>
          <w:sz w:val="21"/>
        </w:rPr>
        <w:t xml:space="preserve"> </w:t>
      </w:r>
    </w:p>
    <w:p w:rsidR="005E2D94" w:rsidRDefault="005E2D94" w:rsidP="005E2D94">
      <w:pPr>
        <w:spacing w:line="312" w:lineRule="exact"/>
      </w:pPr>
      <w:r>
        <w:rPr>
          <w:rFonts w:hint="eastAsia"/>
          <w:szCs w:val="21"/>
        </w:rPr>
        <w:t>以下费用将从基金资产中扣除：</w:t>
      </w:r>
      <w:r>
        <w:rPr>
          <w:rFonts w:hint="eastAsia"/>
        </w:rPr>
        <w:t xml:space="preserve"> </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1"/>
        <w:gridCol w:w="2410"/>
        <w:gridCol w:w="2268"/>
        <w:gridCol w:w="2410"/>
      </w:tblGrid>
      <w:tr w:rsidR="005E2D94" w:rsidTr="00F16547">
        <w:trPr>
          <w:trHeight w:val="387"/>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bookmarkEnd w:id="54"/>
          <w:p w:rsidR="005E2D94" w:rsidRDefault="005E2D94" w:rsidP="00F16547">
            <w:r>
              <w:rPr>
                <w:rFonts w:hint="eastAsia"/>
                <w:b/>
              </w:rPr>
              <w:t>费用类别</w:t>
            </w:r>
            <w:r>
              <w:rPr>
                <w:rFonts w:hint="eastAsia"/>
                <w:b/>
                <w:lang w:eastAsia="zh-Hans"/>
              </w:rPr>
              <w:t xml:space="preserve"> </w:t>
            </w: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rsidR="005E2D94" w:rsidRDefault="005E2D94" w:rsidP="00F16547">
            <w:pPr>
              <w:jc w:val="center"/>
            </w:pPr>
            <w:r>
              <w:rPr>
                <w:rFonts w:hint="eastAsia"/>
                <w:b/>
              </w:rPr>
              <w:t>收费方式</w:t>
            </w:r>
            <w:r>
              <w:rPr>
                <w:rFonts w:hint="eastAsia"/>
                <w:b/>
              </w:rPr>
              <w:t>/</w:t>
            </w:r>
            <w:r>
              <w:rPr>
                <w:rFonts w:hint="eastAsia"/>
                <w:b/>
              </w:rPr>
              <w:t>年费率或金额</w:t>
            </w:r>
          </w:p>
        </w:tc>
        <w:tc>
          <w:tcPr>
            <w:tcW w:w="2410" w:type="dxa"/>
            <w:tcBorders>
              <w:top w:val="single" w:sz="4" w:space="0" w:color="auto"/>
              <w:left w:val="single" w:sz="4" w:space="0" w:color="auto"/>
              <w:bottom w:val="single" w:sz="4" w:space="0" w:color="auto"/>
              <w:right w:val="single" w:sz="4" w:space="0" w:color="auto"/>
            </w:tcBorders>
            <w:vAlign w:val="center"/>
          </w:tcPr>
          <w:p w:rsidR="005E2D94" w:rsidRDefault="005E2D94" w:rsidP="00F16547">
            <w:pPr>
              <w:jc w:val="center"/>
              <w:rPr>
                <w:b/>
              </w:rPr>
            </w:pPr>
            <w:r>
              <w:rPr>
                <w:rFonts w:ascii="宋体" w:hAnsi="宋体" w:hint="eastAsia"/>
                <w:b/>
              </w:rPr>
              <w:t>收取方</w:t>
            </w:r>
          </w:p>
        </w:tc>
      </w:tr>
      <w:tr w:rsidR="005E2D94" w:rsidTr="00F16547">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管理费</w:t>
            </w:r>
            <w:r>
              <w:rPr>
                <w:rFonts w:hint="eastAsia"/>
                <w:lang w:eastAsia="zh-Hans"/>
              </w:rPr>
              <w:t xml:space="preserve"> </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jc w:val="center"/>
            </w:pPr>
            <w:r>
              <w:rPr>
                <w:rFonts w:hint="eastAsia"/>
                <w:lang w:eastAsia="zh-Hans"/>
              </w:rPr>
              <w:t>0.</w:t>
            </w:r>
            <w:r>
              <w:rPr>
                <w:lang w:eastAsia="zh-Hans"/>
              </w:rPr>
              <w:t>15</w:t>
            </w:r>
            <w:r>
              <w:rPr>
                <w:rFonts w:hint="eastAsia"/>
              </w:rPr>
              <w:t>%</w:t>
            </w:r>
          </w:p>
        </w:tc>
        <w:tc>
          <w:tcPr>
            <w:tcW w:w="2410" w:type="dxa"/>
            <w:tcBorders>
              <w:top w:val="single" w:sz="4" w:space="0" w:color="auto"/>
              <w:left w:val="single" w:sz="4" w:space="0" w:color="auto"/>
              <w:bottom w:val="single" w:sz="4" w:space="0" w:color="auto"/>
              <w:right w:val="single" w:sz="4" w:space="0" w:color="auto"/>
            </w:tcBorders>
            <w:vAlign w:val="center"/>
          </w:tcPr>
          <w:p w:rsidR="005E2D94" w:rsidRDefault="005E2D94" w:rsidP="00F16547">
            <w:pPr>
              <w:jc w:val="center"/>
              <w:rPr>
                <w:lang w:eastAsia="zh-Hans"/>
              </w:rPr>
            </w:pPr>
            <w:r>
              <w:rPr>
                <w:rFonts w:ascii="宋体" w:hAnsi="宋体" w:hint="eastAsia"/>
                <w:lang w:eastAsia="zh-Hans"/>
              </w:rPr>
              <w:t>基金管理人和销售机构</w:t>
            </w:r>
          </w:p>
        </w:tc>
      </w:tr>
      <w:tr w:rsidR="005E2D94" w:rsidTr="00F16547">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r>
              <w:rPr>
                <w:rFonts w:hint="eastAsia"/>
                <w:b/>
              </w:rPr>
              <w:t>托管费</w:t>
            </w:r>
            <w:r>
              <w:rPr>
                <w:rFonts w:hint="eastAsia"/>
                <w:lang w:eastAsia="zh-Hans"/>
              </w:rPr>
              <w:t xml:space="preserve"> </w:t>
            </w:r>
          </w:p>
        </w:tc>
        <w:tc>
          <w:tcPr>
            <w:tcW w:w="467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Default="005E2D94" w:rsidP="00F16547">
            <w:pPr>
              <w:jc w:val="center"/>
            </w:pPr>
            <w:r>
              <w:rPr>
                <w:rFonts w:hint="eastAsia"/>
                <w:lang w:eastAsia="zh-Hans"/>
              </w:rPr>
              <w:t>0.</w:t>
            </w:r>
            <w:r>
              <w:rPr>
                <w:lang w:eastAsia="zh-Hans"/>
              </w:rPr>
              <w:t>05</w:t>
            </w:r>
            <w:r>
              <w:rPr>
                <w:rFonts w:hint="eastAsia"/>
              </w:rPr>
              <w:t>%</w:t>
            </w:r>
          </w:p>
        </w:tc>
        <w:tc>
          <w:tcPr>
            <w:tcW w:w="2410" w:type="dxa"/>
            <w:tcBorders>
              <w:top w:val="single" w:sz="4" w:space="0" w:color="auto"/>
              <w:left w:val="single" w:sz="4" w:space="0" w:color="auto"/>
              <w:bottom w:val="single" w:sz="4" w:space="0" w:color="auto"/>
              <w:right w:val="single" w:sz="4" w:space="0" w:color="auto"/>
            </w:tcBorders>
            <w:vAlign w:val="center"/>
          </w:tcPr>
          <w:p w:rsidR="005E2D94" w:rsidRDefault="005E2D94" w:rsidP="00F16547">
            <w:pPr>
              <w:jc w:val="center"/>
              <w:rPr>
                <w:lang w:eastAsia="zh-Hans"/>
              </w:rPr>
            </w:pPr>
            <w:r>
              <w:rPr>
                <w:rFonts w:ascii="宋体" w:hAnsi="宋体" w:hint="eastAsia"/>
                <w:lang w:eastAsia="zh-Hans"/>
              </w:rPr>
              <w:t>基金托管人</w:t>
            </w:r>
          </w:p>
        </w:tc>
      </w:tr>
      <w:tr w:rsidR="005941C1" w:rsidTr="00763C46">
        <w:trPr>
          <w:trHeight w:val="386"/>
        </w:trPr>
        <w:tc>
          <w:tcPr>
            <w:tcW w:w="1271"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5941C1" w:rsidRPr="00247C6F" w:rsidRDefault="005941C1" w:rsidP="00F16547">
            <w:pPr>
              <w:jc w:val="center"/>
              <w:rPr>
                <w:b/>
              </w:rPr>
            </w:pPr>
            <w:r w:rsidRPr="00587CA1">
              <w:rPr>
                <w:rFonts w:hint="eastAsia"/>
                <w:b/>
              </w:rPr>
              <w:t>销售服务费</w:t>
            </w:r>
          </w:p>
        </w:tc>
        <w:tc>
          <w:tcPr>
            <w:tcW w:w="2410" w:type="dxa"/>
            <w:tcBorders>
              <w:top w:val="single" w:sz="4" w:space="0" w:color="auto"/>
              <w:left w:val="single" w:sz="4" w:space="0" w:color="auto"/>
              <w:bottom w:val="single" w:sz="4" w:space="0" w:color="auto"/>
              <w:right w:val="single" w:sz="4" w:space="0" w:color="auto"/>
            </w:tcBorders>
            <w:vAlign w:val="center"/>
            <w:hideMark/>
          </w:tcPr>
          <w:p w:rsidR="005941C1" w:rsidRDefault="005941C1" w:rsidP="00F16547">
            <w:pPr>
              <w:jc w:val="center"/>
            </w:pPr>
            <w:r>
              <w:rPr>
                <w:rFonts w:hint="eastAsia"/>
              </w:rPr>
              <w:t>银华中证全指证券公司</w:t>
            </w:r>
            <w:r>
              <w:rPr>
                <w:rFonts w:hint="eastAsia"/>
              </w:rPr>
              <w:t>ETF</w:t>
            </w:r>
            <w:r>
              <w:rPr>
                <w:rFonts w:hint="eastAsia"/>
              </w:rPr>
              <w:t>发起式联接</w:t>
            </w:r>
            <w:r>
              <w:rPr>
                <w:rFonts w:hint="eastAsia"/>
              </w:rPr>
              <w:t>A</w:t>
            </w:r>
          </w:p>
        </w:tc>
        <w:tc>
          <w:tcPr>
            <w:tcW w:w="2268" w:type="dxa"/>
            <w:tcBorders>
              <w:top w:val="single" w:sz="4" w:space="0" w:color="auto"/>
              <w:left w:val="single" w:sz="4" w:space="0" w:color="auto"/>
              <w:bottom w:val="single" w:sz="4" w:space="0" w:color="auto"/>
              <w:right w:val="single" w:sz="4" w:space="0" w:color="auto"/>
            </w:tcBorders>
            <w:vAlign w:val="center"/>
            <w:hideMark/>
          </w:tcPr>
          <w:p w:rsidR="005941C1" w:rsidRDefault="005941C1" w:rsidP="00F16547">
            <w:pPr>
              <w:jc w:val="center"/>
            </w:pPr>
            <w:r>
              <w:rPr>
                <w:rFonts w:hint="eastAsia"/>
              </w:rPr>
              <w:t>-</w:t>
            </w:r>
          </w:p>
        </w:tc>
        <w:tc>
          <w:tcPr>
            <w:tcW w:w="2410" w:type="dxa"/>
            <w:vMerge w:val="restart"/>
            <w:tcBorders>
              <w:top w:val="single" w:sz="4" w:space="0" w:color="auto"/>
              <w:left w:val="single" w:sz="4" w:space="0" w:color="auto"/>
              <w:right w:val="single" w:sz="4" w:space="0" w:color="auto"/>
            </w:tcBorders>
            <w:vAlign w:val="center"/>
          </w:tcPr>
          <w:p w:rsidR="005941C1" w:rsidRDefault="005941C1" w:rsidP="00F16547">
            <w:pPr>
              <w:jc w:val="center"/>
            </w:pPr>
            <w:bookmarkStart w:id="97" w:name="_GoBack"/>
            <w:bookmarkEnd w:id="97"/>
            <w:r>
              <w:rPr>
                <w:rFonts w:hint="eastAsia"/>
              </w:rPr>
              <w:t>销售机构</w:t>
            </w:r>
          </w:p>
        </w:tc>
      </w:tr>
      <w:tr w:rsidR="005941C1" w:rsidTr="00763C46">
        <w:trPr>
          <w:trHeight w:val="386"/>
        </w:trPr>
        <w:tc>
          <w:tcPr>
            <w:tcW w:w="1271" w:type="dxa"/>
            <w:vMerge/>
            <w:tcBorders>
              <w:left w:val="single" w:sz="4" w:space="0" w:color="auto"/>
              <w:right w:val="single" w:sz="4" w:space="0" w:color="auto"/>
            </w:tcBorders>
            <w:vAlign w:val="center"/>
            <w:hideMark/>
          </w:tcPr>
          <w:p w:rsidR="005941C1" w:rsidRPr="00247C6F" w:rsidRDefault="005941C1" w:rsidP="00F16547">
            <w:pPr>
              <w:widowControl/>
              <w:jc w:val="center"/>
              <w:rPr>
                <w:b/>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5941C1" w:rsidRDefault="005941C1" w:rsidP="00F16547">
            <w:pPr>
              <w:jc w:val="center"/>
            </w:pPr>
            <w:r>
              <w:rPr>
                <w:rFonts w:hint="eastAsia"/>
              </w:rPr>
              <w:t>银华中证全指证券公司</w:t>
            </w:r>
            <w:r>
              <w:rPr>
                <w:rFonts w:hint="eastAsia"/>
              </w:rPr>
              <w:t>ETF</w:t>
            </w:r>
            <w:r>
              <w:rPr>
                <w:rFonts w:hint="eastAsia"/>
              </w:rPr>
              <w:t>发起式联接</w:t>
            </w:r>
            <w:r>
              <w:rPr>
                <w:rFonts w:hint="eastAsia"/>
              </w:rPr>
              <w:t>C</w:t>
            </w:r>
          </w:p>
        </w:tc>
        <w:tc>
          <w:tcPr>
            <w:tcW w:w="2268" w:type="dxa"/>
            <w:tcBorders>
              <w:top w:val="single" w:sz="4" w:space="0" w:color="auto"/>
              <w:left w:val="single" w:sz="4" w:space="0" w:color="auto"/>
              <w:bottom w:val="single" w:sz="4" w:space="0" w:color="auto"/>
              <w:right w:val="single" w:sz="4" w:space="0" w:color="auto"/>
            </w:tcBorders>
            <w:vAlign w:val="center"/>
            <w:hideMark/>
          </w:tcPr>
          <w:p w:rsidR="005941C1" w:rsidRDefault="005941C1" w:rsidP="00F16547">
            <w:pPr>
              <w:jc w:val="center"/>
            </w:pPr>
            <w:r>
              <w:rPr>
                <w:rFonts w:hint="eastAsia"/>
              </w:rPr>
              <w:t>0.</w:t>
            </w:r>
            <w:r>
              <w:t>20</w:t>
            </w:r>
            <w:r>
              <w:rPr>
                <w:rFonts w:hint="eastAsia"/>
              </w:rPr>
              <w:t>%</w:t>
            </w:r>
          </w:p>
        </w:tc>
        <w:tc>
          <w:tcPr>
            <w:tcW w:w="2410" w:type="dxa"/>
            <w:vMerge/>
            <w:tcBorders>
              <w:left w:val="single" w:sz="4" w:space="0" w:color="auto"/>
              <w:bottom w:val="single" w:sz="4" w:space="0" w:color="auto"/>
              <w:right w:val="single" w:sz="4" w:space="0" w:color="auto"/>
            </w:tcBorders>
            <w:vAlign w:val="center"/>
          </w:tcPr>
          <w:p w:rsidR="005941C1" w:rsidRDefault="005941C1" w:rsidP="00F16547">
            <w:pPr>
              <w:jc w:val="center"/>
            </w:pPr>
          </w:p>
        </w:tc>
      </w:tr>
      <w:tr w:rsidR="005E2D94" w:rsidTr="00F16547">
        <w:trPr>
          <w:trHeight w:val="386"/>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E2D94" w:rsidRPr="00247C6F" w:rsidRDefault="005E2D94" w:rsidP="00F16547">
            <w:pPr>
              <w:jc w:val="center"/>
              <w:rPr>
                <w:b/>
              </w:rPr>
            </w:pPr>
            <w:r w:rsidRPr="00587CA1">
              <w:rPr>
                <w:rFonts w:hint="eastAsia"/>
                <w:b/>
                <w:lang w:eastAsia="zh-Hans"/>
              </w:rPr>
              <w:t>其他费用</w:t>
            </w:r>
          </w:p>
        </w:tc>
        <w:tc>
          <w:tcPr>
            <w:tcW w:w="4678" w:type="dxa"/>
            <w:gridSpan w:val="2"/>
            <w:tcBorders>
              <w:top w:val="single" w:sz="4" w:space="0" w:color="auto"/>
              <w:left w:val="single" w:sz="4" w:space="0" w:color="auto"/>
              <w:bottom w:val="single" w:sz="4" w:space="0" w:color="auto"/>
              <w:right w:val="single" w:sz="4" w:space="0" w:color="auto"/>
            </w:tcBorders>
            <w:vAlign w:val="center"/>
            <w:hideMark/>
          </w:tcPr>
          <w:p w:rsidR="005E2D94" w:rsidRDefault="005E2D94" w:rsidP="00F16547">
            <w:pPr>
              <w:jc w:val="center"/>
            </w:pPr>
            <w:r>
              <w:rPr>
                <w:rFonts w:hint="eastAsia"/>
              </w:rPr>
              <w:t>详见基金招募说明书“基金的费用与税收”章节。</w:t>
            </w:r>
          </w:p>
        </w:tc>
        <w:tc>
          <w:tcPr>
            <w:tcW w:w="2410" w:type="dxa"/>
            <w:tcBorders>
              <w:top w:val="single" w:sz="4" w:space="0" w:color="auto"/>
              <w:left w:val="single" w:sz="4" w:space="0" w:color="auto"/>
              <w:bottom w:val="single" w:sz="4" w:space="0" w:color="auto"/>
              <w:right w:val="single" w:sz="4" w:space="0" w:color="auto"/>
            </w:tcBorders>
            <w:vAlign w:val="center"/>
          </w:tcPr>
          <w:p w:rsidR="005E2D94" w:rsidRDefault="005E2D94" w:rsidP="00F16547">
            <w:pPr>
              <w:jc w:val="center"/>
            </w:pPr>
            <w:r>
              <w:t>相关服务机构</w:t>
            </w:r>
          </w:p>
        </w:tc>
      </w:tr>
    </w:tbl>
    <w:bookmarkEnd w:id="14"/>
    <w:p w:rsidR="005E2D94" w:rsidRDefault="005E2D94" w:rsidP="005E2D94">
      <w:pPr>
        <w:spacing w:line="312" w:lineRule="exact"/>
        <w:rPr>
          <w:szCs w:val="21"/>
          <w:lang w:eastAsia="zh-Hans"/>
        </w:rPr>
      </w:pPr>
      <w:r>
        <w:rPr>
          <w:rFonts w:hint="eastAsia"/>
          <w:szCs w:val="21"/>
        </w:rPr>
        <w:t>注：</w:t>
      </w:r>
      <w:r>
        <w:rPr>
          <w:rFonts w:hint="eastAsia"/>
          <w:szCs w:val="21"/>
          <w:lang w:eastAsia="zh-Hans"/>
        </w:rPr>
        <w:t>本基金基金财产中投资于目标</w:t>
      </w:r>
      <w:r>
        <w:rPr>
          <w:rFonts w:hint="eastAsia"/>
          <w:szCs w:val="21"/>
          <w:lang w:eastAsia="zh-Hans"/>
        </w:rPr>
        <w:t>ETF</w:t>
      </w:r>
      <w:r>
        <w:rPr>
          <w:rFonts w:hint="eastAsia"/>
          <w:szCs w:val="21"/>
          <w:lang w:eastAsia="zh-Hans"/>
        </w:rPr>
        <w:t>的部分不收取管理费、托管费；本基金管理费按前一日基金资产净值扣除所持有目标</w:t>
      </w:r>
      <w:r>
        <w:rPr>
          <w:rFonts w:hint="eastAsia"/>
          <w:szCs w:val="21"/>
          <w:lang w:eastAsia="zh-Hans"/>
        </w:rPr>
        <w:t>ETF</w:t>
      </w:r>
      <w:r>
        <w:rPr>
          <w:rFonts w:hint="eastAsia"/>
          <w:szCs w:val="21"/>
          <w:lang w:eastAsia="zh-Hans"/>
        </w:rPr>
        <w:t>基金份额部分的基金资产净值后的余额（若为负数，则取</w:t>
      </w:r>
      <w:r>
        <w:rPr>
          <w:rFonts w:hint="eastAsia"/>
          <w:szCs w:val="21"/>
          <w:lang w:eastAsia="zh-Hans"/>
        </w:rPr>
        <w:t>0</w:t>
      </w:r>
      <w:r>
        <w:rPr>
          <w:rFonts w:hint="eastAsia"/>
          <w:szCs w:val="21"/>
          <w:lang w:eastAsia="zh-Hans"/>
        </w:rPr>
        <w:t>）的</w:t>
      </w:r>
      <w:r>
        <w:rPr>
          <w:rFonts w:hint="eastAsia"/>
          <w:szCs w:val="21"/>
          <w:lang w:eastAsia="zh-Hans"/>
        </w:rPr>
        <w:t>0.</w:t>
      </w:r>
      <w:r>
        <w:rPr>
          <w:szCs w:val="21"/>
          <w:lang w:eastAsia="zh-Hans"/>
        </w:rPr>
        <w:t>15</w:t>
      </w:r>
      <w:r>
        <w:rPr>
          <w:rFonts w:hint="eastAsia"/>
          <w:szCs w:val="21"/>
          <w:lang w:eastAsia="zh-Hans"/>
        </w:rPr>
        <w:t>%</w:t>
      </w:r>
      <w:r>
        <w:rPr>
          <w:rFonts w:hint="eastAsia"/>
          <w:szCs w:val="21"/>
          <w:lang w:eastAsia="zh-Hans"/>
        </w:rPr>
        <w:t>年费率计提；本基金托管费按前一日基金资产净值扣除所持有目标</w:t>
      </w:r>
      <w:r>
        <w:rPr>
          <w:rFonts w:hint="eastAsia"/>
          <w:szCs w:val="21"/>
          <w:lang w:eastAsia="zh-Hans"/>
        </w:rPr>
        <w:t>ETF</w:t>
      </w:r>
      <w:r>
        <w:rPr>
          <w:rFonts w:hint="eastAsia"/>
          <w:szCs w:val="21"/>
          <w:lang w:eastAsia="zh-Hans"/>
        </w:rPr>
        <w:t>基金份额部分的基金资产净值后的余额（若为负数，则取</w:t>
      </w:r>
      <w:r>
        <w:rPr>
          <w:rFonts w:hint="eastAsia"/>
          <w:szCs w:val="21"/>
          <w:lang w:eastAsia="zh-Hans"/>
        </w:rPr>
        <w:t>0</w:t>
      </w:r>
      <w:r>
        <w:rPr>
          <w:rFonts w:hint="eastAsia"/>
          <w:szCs w:val="21"/>
          <w:lang w:eastAsia="zh-Hans"/>
        </w:rPr>
        <w:t>）的</w:t>
      </w:r>
      <w:r>
        <w:rPr>
          <w:rFonts w:hint="eastAsia"/>
          <w:szCs w:val="21"/>
          <w:lang w:eastAsia="zh-Hans"/>
        </w:rPr>
        <w:t>0.</w:t>
      </w:r>
      <w:r>
        <w:rPr>
          <w:szCs w:val="21"/>
          <w:lang w:eastAsia="zh-Hans"/>
        </w:rPr>
        <w:t>05</w:t>
      </w:r>
      <w:r>
        <w:rPr>
          <w:rFonts w:hint="eastAsia"/>
          <w:szCs w:val="21"/>
          <w:lang w:eastAsia="zh-Hans"/>
        </w:rPr>
        <w:t>%</w:t>
      </w:r>
      <w:r>
        <w:rPr>
          <w:rFonts w:hint="eastAsia"/>
          <w:szCs w:val="21"/>
          <w:lang w:eastAsia="zh-Hans"/>
        </w:rPr>
        <w:t>年费率计提；本基金交易证券、基金等产生的费用和税负，按实际发生额从基金资产扣除。</w:t>
      </w:r>
      <w:bookmarkEnd w:id="15"/>
    </w:p>
    <w:p w:rsidR="005E2D94" w:rsidRDefault="005E2D94" w:rsidP="005E2D94">
      <w:pPr>
        <w:pStyle w:val="XBRLTitle1"/>
        <w:numPr>
          <w:ilvl w:val="0"/>
          <w:numId w:val="2"/>
        </w:numPr>
        <w:spacing w:before="156" w:line="312" w:lineRule="exact"/>
      </w:pPr>
      <w:bookmarkStart w:id="98" w:name="_Toc374332122"/>
      <w:bookmarkStart w:id="99" w:name="_Hlk190697198"/>
      <w:r>
        <w:rPr>
          <w:rFonts w:hAnsi="宋体" w:hint="eastAsia"/>
        </w:rPr>
        <w:t>风险揭示与重要提示</w:t>
      </w:r>
      <w:bookmarkEnd w:id="17"/>
      <w:bookmarkEnd w:id="18"/>
      <w:bookmarkEnd w:id="98"/>
      <w:r>
        <w:rPr>
          <w:rFonts w:hAnsi="宋体" w:hint="eastAsia"/>
        </w:rPr>
        <w:t xml:space="preserve"> </w:t>
      </w:r>
    </w:p>
    <w:p w:rsidR="005E2D94" w:rsidRDefault="005E2D94" w:rsidP="005E2D94">
      <w:pPr>
        <w:pStyle w:val="XBRLTitle2"/>
        <w:numPr>
          <w:ilvl w:val="1"/>
          <w:numId w:val="2"/>
        </w:numPr>
        <w:spacing w:before="156" w:line="312" w:lineRule="exact"/>
      </w:pPr>
      <w:bookmarkStart w:id="100" w:name="_Toc374332132"/>
      <w:r>
        <w:rPr>
          <w:rFonts w:hAnsi="宋体" w:hint="eastAsia"/>
          <w:sz w:val="21"/>
        </w:rPr>
        <w:t>风险揭示</w:t>
      </w:r>
      <w:bookmarkEnd w:id="43"/>
      <w:bookmarkEnd w:id="44"/>
      <w:bookmarkEnd w:id="45"/>
      <w:bookmarkEnd w:id="46"/>
      <w:bookmarkEnd w:id="47"/>
      <w:bookmarkEnd w:id="48"/>
      <w:bookmarkEnd w:id="49"/>
      <w:bookmarkEnd w:id="50"/>
      <w:bookmarkEnd w:id="51"/>
      <w:bookmarkEnd w:id="52"/>
      <w:bookmarkEnd w:id="100"/>
      <w:r>
        <w:rPr>
          <w:rFonts w:hAnsi="宋体" w:hint="eastAsia"/>
          <w:sz w:val="21"/>
        </w:rPr>
        <w:t xml:space="preserve"> </w:t>
      </w:r>
    </w:p>
    <w:p w:rsidR="005E2D94" w:rsidRPr="00C25130" w:rsidRDefault="005E2D94" w:rsidP="005E2D94">
      <w:pPr>
        <w:spacing w:line="312" w:lineRule="exact"/>
        <w:ind w:firstLineChars="200" w:firstLine="420"/>
        <w:rPr>
          <w:kern w:val="0"/>
        </w:rPr>
      </w:pPr>
      <w:r w:rsidRPr="00C25130">
        <w:rPr>
          <w:rFonts w:hint="eastAsia"/>
          <w:kern w:val="0"/>
        </w:rPr>
        <w:t>本基金不提供任何保证。投资者可能损失投资本金。</w:t>
      </w:r>
    </w:p>
    <w:p w:rsidR="005E2D94" w:rsidRPr="00C25130" w:rsidRDefault="005E2D94" w:rsidP="005E2D94">
      <w:pPr>
        <w:spacing w:line="312" w:lineRule="exact"/>
        <w:ind w:firstLineChars="200" w:firstLine="420"/>
        <w:rPr>
          <w:kern w:val="0"/>
        </w:rPr>
      </w:pPr>
      <w:r w:rsidRPr="00C25130">
        <w:rPr>
          <w:rFonts w:hint="eastAsia"/>
          <w:kern w:val="0"/>
        </w:rPr>
        <w:t>投资有风险，投资者购买基金时应认真阅读本基金的《招募说明书》等销售文件。</w:t>
      </w:r>
    </w:p>
    <w:p w:rsidR="005E2D94" w:rsidRPr="00C25130" w:rsidRDefault="005E2D94" w:rsidP="005E2D94">
      <w:pPr>
        <w:spacing w:line="312" w:lineRule="exact"/>
        <w:ind w:firstLineChars="200" w:firstLine="420"/>
        <w:rPr>
          <w:kern w:val="0"/>
        </w:rPr>
      </w:pPr>
      <w:r w:rsidRPr="00C25130">
        <w:rPr>
          <w:rFonts w:hint="eastAsia"/>
          <w:kern w:val="0"/>
        </w:rPr>
        <w:t>本基金主要投资于证券市场，基金净值会因为证券市场波动等因素产生波动，投资人在投资本基金前，需充分了解本基金的产品特性，充分考虑自身的风险承受能力，理性判断市</w:t>
      </w:r>
      <w:r w:rsidRPr="00C25130">
        <w:rPr>
          <w:rFonts w:hint="eastAsia"/>
          <w:kern w:val="0"/>
        </w:rPr>
        <w:lastRenderedPageBreak/>
        <w:t>场，并承担基金投资中出现的各类风险，包括市场风险、基金运作风险、流动性风险、其他风险以及本基金特有的风险等。</w:t>
      </w:r>
    </w:p>
    <w:p w:rsidR="005E2D94" w:rsidRPr="00C25130" w:rsidRDefault="005E2D94" w:rsidP="005E2D94">
      <w:pPr>
        <w:spacing w:line="312" w:lineRule="exact"/>
        <w:ind w:firstLineChars="200" w:firstLine="420"/>
        <w:rPr>
          <w:kern w:val="0"/>
        </w:rPr>
      </w:pPr>
      <w:r w:rsidRPr="00C25130">
        <w:rPr>
          <w:rFonts w:hint="eastAsia"/>
          <w:kern w:val="0"/>
        </w:rPr>
        <w:t>本基金的特有风险：</w:t>
      </w:r>
    </w:p>
    <w:p w:rsidR="005E2D94" w:rsidRPr="00C25130" w:rsidRDefault="005E2D94" w:rsidP="005E2D94">
      <w:pPr>
        <w:spacing w:line="312" w:lineRule="exact"/>
        <w:ind w:firstLineChars="200" w:firstLine="420"/>
        <w:rPr>
          <w:kern w:val="0"/>
        </w:rPr>
      </w:pPr>
      <w:r w:rsidRPr="00C25130">
        <w:rPr>
          <w:kern w:val="0"/>
        </w:rPr>
        <w:t>1</w:t>
      </w:r>
      <w:r w:rsidRPr="00C25130">
        <w:rPr>
          <w:kern w:val="0"/>
        </w:rPr>
        <w:t>、联接基金风险</w:t>
      </w:r>
    </w:p>
    <w:p w:rsidR="005E2D94" w:rsidRPr="00C25130" w:rsidRDefault="005E2D94" w:rsidP="005E2D94">
      <w:pPr>
        <w:spacing w:line="312" w:lineRule="exact"/>
        <w:ind w:firstLineChars="200" w:firstLine="420"/>
        <w:rPr>
          <w:kern w:val="0"/>
        </w:rPr>
      </w:pPr>
      <w:r w:rsidRPr="00C25130">
        <w:rPr>
          <w:rFonts w:hint="eastAsia"/>
          <w:kern w:val="0"/>
        </w:rPr>
        <w:t>本基金为</w:t>
      </w:r>
      <w:r w:rsidRPr="00C25130">
        <w:rPr>
          <w:kern w:val="0"/>
        </w:rPr>
        <w:t>ETF</w:t>
      </w:r>
      <w:r w:rsidRPr="00C25130">
        <w:rPr>
          <w:kern w:val="0"/>
        </w:rPr>
        <w:t>联接基金，基金资产主要投资于目标</w:t>
      </w:r>
      <w:r w:rsidRPr="00C25130">
        <w:rPr>
          <w:kern w:val="0"/>
        </w:rPr>
        <w:t>ETF</w:t>
      </w:r>
      <w:r w:rsidRPr="00C25130">
        <w:rPr>
          <w:kern w:val="0"/>
        </w:rPr>
        <w:t>，在多数情况下将维持较高的目标</w:t>
      </w:r>
      <w:r w:rsidRPr="00C25130">
        <w:rPr>
          <w:kern w:val="0"/>
        </w:rPr>
        <w:t>ETF</w:t>
      </w:r>
      <w:r w:rsidRPr="00C25130">
        <w:rPr>
          <w:kern w:val="0"/>
        </w:rPr>
        <w:t>投资比例，基金净值可能会随目标</w:t>
      </w:r>
      <w:r w:rsidRPr="00C25130">
        <w:rPr>
          <w:kern w:val="0"/>
        </w:rPr>
        <w:t>ETF</w:t>
      </w:r>
      <w:r w:rsidRPr="00C25130">
        <w:rPr>
          <w:kern w:val="0"/>
        </w:rPr>
        <w:t>的净值波动而波动，目标</w:t>
      </w:r>
      <w:r w:rsidRPr="00C25130">
        <w:rPr>
          <w:kern w:val="0"/>
        </w:rPr>
        <w:t>ETF</w:t>
      </w:r>
      <w:r w:rsidRPr="00C25130">
        <w:rPr>
          <w:kern w:val="0"/>
        </w:rPr>
        <w:t>的相关风险可能直接或间接成为本基金的风险。</w:t>
      </w:r>
    </w:p>
    <w:p w:rsidR="005E2D94" w:rsidRPr="00C25130" w:rsidRDefault="005E2D94" w:rsidP="005E2D94">
      <w:pPr>
        <w:spacing w:line="312" w:lineRule="exact"/>
        <w:ind w:firstLineChars="200" w:firstLine="420"/>
        <w:rPr>
          <w:kern w:val="0"/>
        </w:rPr>
      </w:pPr>
      <w:r w:rsidRPr="00C25130">
        <w:rPr>
          <w:kern w:val="0"/>
        </w:rPr>
        <w:t>2</w:t>
      </w:r>
      <w:r w:rsidRPr="00C25130">
        <w:rPr>
          <w:kern w:val="0"/>
        </w:rPr>
        <w:t>、跟踪偏离风险</w:t>
      </w:r>
    </w:p>
    <w:p w:rsidR="005E2D94" w:rsidRPr="00C25130" w:rsidRDefault="005E2D94" w:rsidP="005E2D94">
      <w:pPr>
        <w:spacing w:line="312" w:lineRule="exact"/>
        <w:ind w:firstLineChars="200" w:firstLine="420"/>
        <w:rPr>
          <w:kern w:val="0"/>
        </w:rPr>
      </w:pPr>
      <w:r w:rsidRPr="00C25130">
        <w:rPr>
          <w:rFonts w:hint="eastAsia"/>
          <w:kern w:val="0"/>
        </w:rPr>
        <w:t>本基金主要投资于目标</w:t>
      </w:r>
      <w:r w:rsidRPr="00C25130">
        <w:rPr>
          <w:kern w:val="0"/>
        </w:rPr>
        <w:t>ETF</w:t>
      </w:r>
      <w:r w:rsidRPr="00C25130">
        <w:rPr>
          <w:kern w:val="0"/>
        </w:rPr>
        <w:t>基金份额，追求跟踪标的指数，获得与指数收益相似的回报。以下因素可能会影响到基金的投资组合与跟踪基准之间产生偏离：（</w:t>
      </w:r>
      <w:r w:rsidRPr="00C25130">
        <w:rPr>
          <w:kern w:val="0"/>
        </w:rPr>
        <w:t>1</w:t>
      </w:r>
      <w:r w:rsidRPr="00C25130">
        <w:rPr>
          <w:kern w:val="0"/>
        </w:rPr>
        <w:t>）目标</w:t>
      </w:r>
      <w:r w:rsidRPr="00C25130">
        <w:rPr>
          <w:kern w:val="0"/>
        </w:rPr>
        <w:t>ETF</w:t>
      </w:r>
      <w:r w:rsidRPr="00C25130">
        <w:rPr>
          <w:kern w:val="0"/>
        </w:rPr>
        <w:t>与标的指数的偏离。（</w:t>
      </w:r>
      <w:r w:rsidRPr="00C25130">
        <w:rPr>
          <w:kern w:val="0"/>
        </w:rPr>
        <w:t>2</w:t>
      </w:r>
      <w:r w:rsidRPr="00C25130">
        <w:rPr>
          <w:kern w:val="0"/>
        </w:rPr>
        <w:t>）基金买卖目标</w:t>
      </w:r>
      <w:r w:rsidRPr="00C25130">
        <w:rPr>
          <w:kern w:val="0"/>
        </w:rPr>
        <w:t>ETF</w:t>
      </w:r>
      <w:r w:rsidRPr="00C25130">
        <w:rPr>
          <w:kern w:val="0"/>
        </w:rPr>
        <w:t>时所产生的价格差异、交易成本和交易冲击。（</w:t>
      </w:r>
      <w:r w:rsidRPr="00C25130">
        <w:rPr>
          <w:kern w:val="0"/>
        </w:rPr>
        <w:t>3</w:t>
      </w:r>
      <w:r w:rsidRPr="00C25130">
        <w:rPr>
          <w:kern w:val="0"/>
        </w:rPr>
        <w:t>）基金调整资产配置结构时所产生的跟踪误差。（</w:t>
      </w:r>
      <w:r w:rsidRPr="00C25130">
        <w:rPr>
          <w:kern w:val="0"/>
        </w:rPr>
        <w:t>4</w:t>
      </w:r>
      <w:r w:rsidRPr="00C25130">
        <w:rPr>
          <w:kern w:val="0"/>
        </w:rPr>
        <w:t>）基金申购、赎回因素所产生的跟踪误差。（</w:t>
      </w:r>
      <w:r w:rsidRPr="00C25130">
        <w:rPr>
          <w:kern w:val="0"/>
        </w:rPr>
        <w:t>5</w:t>
      </w:r>
      <w:r w:rsidRPr="00C25130">
        <w:rPr>
          <w:kern w:val="0"/>
        </w:rPr>
        <w:t>）基金现金资产拖累所产生的跟踪误差。（</w:t>
      </w:r>
      <w:r w:rsidRPr="00C25130">
        <w:rPr>
          <w:kern w:val="0"/>
        </w:rPr>
        <w:t>6</w:t>
      </w:r>
      <w:r w:rsidRPr="00C25130">
        <w:rPr>
          <w:kern w:val="0"/>
        </w:rPr>
        <w:t>）基金的管理费和托管费所产生的跟踪误差。（</w:t>
      </w:r>
      <w:r w:rsidRPr="00C25130">
        <w:rPr>
          <w:kern w:val="0"/>
        </w:rPr>
        <w:t>7</w:t>
      </w:r>
      <w:r w:rsidRPr="00C25130">
        <w:rPr>
          <w:kern w:val="0"/>
        </w:rPr>
        <w:t>）其他因素所产生的偏差。</w:t>
      </w:r>
    </w:p>
    <w:p w:rsidR="005E2D94" w:rsidRDefault="005E2D94" w:rsidP="005E2D94">
      <w:pPr>
        <w:spacing w:line="312" w:lineRule="exact"/>
        <w:ind w:firstLineChars="200" w:firstLine="420"/>
        <w:rPr>
          <w:kern w:val="0"/>
        </w:rPr>
      </w:pPr>
      <w:r w:rsidRPr="00C25130">
        <w:rPr>
          <w:kern w:val="0"/>
        </w:rPr>
        <w:t>3</w:t>
      </w:r>
      <w:r w:rsidRPr="00C25130">
        <w:rPr>
          <w:kern w:val="0"/>
        </w:rPr>
        <w:t>、与目标</w:t>
      </w:r>
      <w:r w:rsidRPr="00C25130">
        <w:rPr>
          <w:kern w:val="0"/>
        </w:rPr>
        <w:t>ETF</w:t>
      </w:r>
      <w:r w:rsidRPr="00C25130">
        <w:rPr>
          <w:kern w:val="0"/>
        </w:rPr>
        <w:t>业绩差异的风险</w:t>
      </w:r>
      <w:r w:rsidR="004B5868">
        <w:rPr>
          <w:rFonts w:hint="eastAsia"/>
          <w:kern w:val="0"/>
        </w:rPr>
        <w:t xml:space="preserve"> </w:t>
      </w:r>
      <w:r w:rsidR="004B5868">
        <w:rPr>
          <w:kern w:val="0"/>
        </w:rPr>
        <w:t xml:space="preserve"> </w:t>
      </w:r>
      <w:r w:rsidRPr="00C25130">
        <w:rPr>
          <w:kern w:val="0"/>
        </w:rPr>
        <w:t>4</w:t>
      </w:r>
      <w:r w:rsidRPr="00C25130">
        <w:rPr>
          <w:kern w:val="0"/>
        </w:rPr>
        <w:t>、其他投资于目标</w:t>
      </w:r>
      <w:r w:rsidRPr="00C25130">
        <w:rPr>
          <w:kern w:val="0"/>
        </w:rPr>
        <w:t>ETF</w:t>
      </w:r>
      <w:r w:rsidRPr="00C25130">
        <w:rPr>
          <w:kern w:val="0"/>
        </w:rPr>
        <w:t>的风险</w:t>
      </w:r>
      <w:r w:rsidRPr="00C25130">
        <w:rPr>
          <w:kern w:val="0"/>
        </w:rPr>
        <w:t>5</w:t>
      </w:r>
      <w:r w:rsidRPr="00C25130">
        <w:rPr>
          <w:kern w:val="0"/>
        </w:rPr>
        <w:t>、跟踪误差控制未达约定目标的风险</w:t>
      </w:r>
      <w:r w:rsidRPr="00C25130">
        <w:rPr>
          <w:kern w:val="0"/>
        </w:rPr>
        <w:t>6</w:t>
      </w:r>
      <w:r w:rsidRPr="00C25130">
        <w:rPr>
          <w:kern w:val="0"/>
        </w:rPr>
        <w:t>、指数编制机构停止服务的风险</w:t>
      </w:r>
      <w:r w:rsidRPr="00C25130">
        <w:rPr>
          <w:kern w:val="0"/>
        </w:rPr>
        <w:t>7</w:t>
      </w:r>
      <w:r w:rsidRPr="00C25130">
        <w:rPr>
          <w:kern w:val="0"/>
        </w:rPr>
        <w:t>、成份股停牌或退市的风险</w:t>
      </w:r>
      <w:r w:rsidRPr="00C25130">
        <w:rPr>
          <w:kern w:val="0"/>
        </w:rPr>
        <w:t>8</w:t>
      </w:r>
      <w:r w:rsidRPr="00C25130">
        <w:rPr>
          <w:kern w:val="0"/>
        </w:rPr>
        <w:t>、标的指数变更的风险</w:t>
      </w:r>
      <w:r w:rsidRPr="00C25130">
        <w:rPr>
          <w:kern w:val="0"/>
        </w:rPr>
        <w:t>9</w:t>
      </w:r>
      <w:r w:rsidRPr="00C25130">
        <w:rPr>
          <w:kern w:val="0"/>
        </w:rPr>
        <w:t>、投资股指期货的风险</w:t>
      </w:r>
      <w:r w:rsidRPr="00C25130">
        <w:rPr>
          <w:kern w:val="0"/>
        </w:rPr>
        <w:t>10</w:t>
      </w:r>
      <w:r w:rsidRPr="00C25130">
        <w:rPr>
          <w:kern w:val="0"/>
        </w:rPr>
        <w:t>、投资股票期权</w:t>
      </w:r>
      <w:r>
        <w:rPr>
          <w:kern w:val="0"/>
        </w:rPr>
        <w:t>的</w:t>
      </w:r>
      <w:r w:rsidRPr="00C25130">
        <w:rPr>
          <w:kern w:val="0"/>
        </w:rPr>
        <w:t>风险</w:t>
      </w:r>
      <w:r w:rsidRPr="00C25130">
        <w:rPr>
          <w:kern w:val="0"/>
        </w:rPr>
        <w:t>11</w:t>
      </w:r>
      <w:r w:rsidRPr="00C25130">
        <w:rPr>
          <w:kern w:val="0"/>
        </w:rPr>
        <w:t>、</w:t>
      </w:r>
      <w:r>
        <w:rPr>
          <w:kern w:val="0"/>
        </w:rPr>
        <w:t>投资国债期货的风险</w:t>
      </w:r>
      <w:r>
        <w:rPr>
          <w:rFonts w:hint="eastAsia"/>
          <w:kern w:val="0"/>
        </w:rPr>
        <w:t>1</w:t>
      </w:r>
      <w:r>
        <w:rPr>
          <w:kern w:val="0"/>
        </w:rPr>
        <w:t>2</w:t>
      </w:r>
      <w:r>
        <w:rPr>
          <w:kern w:val="0"/>
        </w:rPr>
        <w:t>、</w:t>
      </w:r>
      <w:r w:rsidRPr="00C25130">
        <w:rPr>
          <w:kern w:val="0"/>
        </w:rPr>
        <w:t>投资资产支持证券的风险</w:t>
      </w:r>
      <w:r w:rsidRPr="00C25130">
        <w:rPr>
          <w:kern w:val="0"/>
        </w:rPr>
        <w:t>1</w:t>
      </w:r>
      <w:r>
        <w:rPr>
          <w:kern w:val="0"/>
        </w:rPr>
        <w:t>3</w:t>
      </w:r>
      <w:r w:rsidRPr="00C25130">
        <w:rPr>
          <w:kern w:val="0"/>
        </w:rPr>
        <w:t>、参与融资交易的风险</w:t>
      </w:r>
      <w:r w:rsidRPr="00C25130">
        <w:rPr>
          <w:kern w:val="0"/>
        </w:rPr>
        <w:t>1</w:t>
      </w:r>
      <w:r>
        <w:rPr>
          <w:kern w:val="0"/>
        </w:rPr>
        <w:t>4</w:t>
      </w:r>
      <w:r w:rsidRPr="00C25130">
        <w:rPr>
          <w:kern w:val="0"/>
        </w:rPr>
        <w:t>、参与转融通证券出借业务的风险</w:t>
      </w:r>
      <w:r w:rsidRPr="00F90DCA">
        <w:rPr>
          <w:kern w:val="0"/>
        </w:rPr>
        <w:t>1</w:t>
      </w:r>
      <w:r>
        <w:rPr>
          <w:kern w:val="0"/>
        </w:rPr>
        <w:t>5</w:t>
      </w:r>
      <w:r w:rsidRPr="00F90DCA">
        <w:rPr>
          <w:kern w:val="0"/>
        </w:rPr>
        <w:t>、参与债券回购的风险</w:t>
      </w:r>
      <w:r w:rsidRPr="00C25130">
        <w:rPr>
          <w:kern w:val="0"/>
        </w:rPr>
        <w:t>1</w:t>
      </w:r>
      <w:r>
        <w:rPr>
          <w:kern w:val="0"/>
        </w:rPr>
        <w:t>6</w:t>
      </w:r>
      <w:r w:rsidRPr="00C25130">
        <w:rPr>
          <w:kern w:val="0"/>
        </w:rPr>
        <w:t>、基金合同终止的风险</w:t>
      </w:r>
      <w:r w:rsidRPr="005E4624">
        <w:rPr>
          <w:rFonts w:hint="eastAsia"/>
          <w:kern w:val="0"/>
        </w:rPr>
        <w:t>1</w:t>
      </w:r>
      <w:r>
        <w:rPr>
          <w:kern w:val="0"/>
        </w:rPr>
        <w:t>7</w:t>
      </w:r>
      <w:r w:rsidRPr="005E4624">
        <w:rPr>
          <w:rFonts w:hint="eastAsia"/>
          <w:kern w:val="0"/>
        </w:rPr>
        <w:t>、发起资金提供方持有期限届满后赎回的风险</w:t>
      </w:r>
      <w:r w:rsidRPr="00C25130">
        <w:rPr>
          <w:kern w:val="0"/>
        </w:rPr>
        <w:t>1</w:t>
      </w:r>
      <w:r>
        <w:rPr>
          <w:kern w:val="0"/>
        </w:rPr>
        <w:t>8</w:t>
      </w:r>
      <w:r w:rsidRPr="00C25130">
        <w:rPr>
          <w:kern w:val="0"/>
        </w:rPr>
        <w:t>、投资存托凭证的风险</w:t>
      </w:r>
      <w:r w:rsidRPr="00C25130">
        <w:rPr>
          <w:kern w:val="0"/>
        </w:rPr>
        <w:t>1</w:t>
      </w:r>
      <w:r>
        <w:rPr>
          <w:kern w:val="0"/>
        </w:rPr>
        <w:t>9</w:t>
      </w:r>
      <w:r w:rsidRPr="00C25130">
        <w:rPr>
          <w:kern w:val="0"/>
        </w:rPr>
        <w:t>、侧袋机制的相关风险</w:t>
      </w:r>
      <w:r>
        <w:rPr>
          <w:kern w:val="0"/>
        </w:rPr>
        <w:t>20</w:t>
      </w:r>
      <w:r w:rsidRPr="00C25130">
        <w:rPr>
          <w:kern w:val="0"/>
        </w:rPr>
        <w:t>、投资科创板股票的风险</w:t>
      </w:r>
    </w:p>
    <w:p w:rsidR="005E2D94" w:rsidRDefault="005E2D94" w:rsidP="005E2D94">
      <w:pPr>
        <w:pStyle w:val="XBRLTitle2"/>
        <w:numPr>
          <w:ilvl w:val="1"/>
          <w:numId w:val="2"/>
        </w:numPr>
        <w:spacing w:before="156" w:line="312" w:lineRule="exact"/>
      </w:pPr>
      <w:bookmarkStart w:id="101" w:name="_Toc374332142"/>
      <w:bookmarkEnd w:id="99"/>
      <w:r>
        <w:rPr>
          <w:rFonts w:hAnsi="宋体" w:hint="eastAsia"/>
          <w:sz w:val="21"/>
        </w:rPr>
        <w:t>重要提示</w:t>
      </w:r>
      <w:bookmarkEnd w:id="56"/>
      <w:bookmarkEnd w:id="57"/>
      <w:bookmarkEnd w:id="58"/>
      <w:bookmarkEnd w:id="59"/>
      <w:bookmarkEnd w:id="6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101"/>
      <w:r>
        <w:rPr>
          <w:rFonts w:hAnsi="宋体" w:hint="eastAsia"/>
          <w:sz w:val="21"/>
        </w:rPr>
        <w:t xml:space="preserve"> </w:t>
      </w:r>
    </w:p>
    <w:p w:rsidR="005E2D94" w:rsidRDefault="005E2D94" w:rsidP="005E2D94">
      <w:pPr>
        <w:adjustRightInd w:val="0"/>
        <w:spacing w:line="308" w:lineRule="exact"/>
        <w:ind w:firstLineChars="200" w:firstLine="420"/>
        <w:rPr>
          <w:lang w:eastAsia="zh-Hans"/>
        </w:rPr>
      </w:pPr>
      <w:r w:rsidRPr="00BC0E9C">
        <w:rPr>
          <w:rFonts w:hint="eastAsia"/>
          <w:lang w:eastAsia="zh-Hans"/>
        </w:rPr>
        <w:t>中国证监会对本基金募集的注册，并不表明其对本基金的价值和收益作出实质性判断或保证，也不表明投资于本基金没有风险。</w:t>
      </w:r>
    </w:p>
    <w:p w:rsidR="005E2D94" w:rsidRDefault="005E2D94" w:rsidP="005E2D94">
      <w:pPr>
        <w:adjustRightInd w:val="0"/>
        <w:spacing w:line="308" w:lineRule="exact"/>
        <w:ind w:firstLineChars="200" w:firstLine="420"/>
        <w:rPr>
          <w:lang w:eastAsia="zh-Hans"/>
        </w:rPr>
      </w:pPr>
      <w:r>
        <w:rPr>
          <w:rFonts w:hint="eastAsia"/>
          <w:lang w:eastAsia="zh-Hans"/>
        </w:rPr>
        <w:t>基金管理人依照恪尽职守、诚实信用、谨慎勤勉的原则管理和运用基金财产，但不保证基金一定盈利，也不保证最低收益。</w:t>
      </w:r>
    </w:p>
    <w:p w:rsidR="005E2D94" w:rsidRDefault="005E2D94" w:rsidP="005E2D94">
      <w:pPr>
        <w:adjustRightInd w:val="0"/>
        <w:spacing w:line="308" w:lineRule="exact"/>
        <w:ind w:firstLineChars="200" w:firstLine="420"/>
        <w:rPr>
          <w:lang w:eastAsia="zh-Hans"/>
        </w:rPr>
      </w:pPr>
      <w:r>
        <w:rPr>
          <w:rFonts w:hint="eastAsia"/>
          <w:lang w:eastAsia="zh-Hans"/>
        </w:rPr>
        <w:t>基金投资者自依基金合同取得基金份额，即成为基金份额持有人和基金合同的当事人。</w:t>
      </w:r>
    </w:p>
    <w:p w:rsidR="005E2D94" w:rsidRDefault="005E2D94" w:rsidP="005E2D94">
      <w:pPr>
        <w:adjustRightInd w:val="0"/>
        <w:spacing w:line="308" w:lineRule="exact"/>
        <w:ind w:firstLineChars="200" w:firstLine="420"/>
        <w:rPr>
          <w:lang w:eastAsia="zh-Hans"/>
        </w:rPr>
      </w:pPr>
      <w:r>
        <w:rPr>
          <w:rFonts w:hint="eastAsia"/>
          <w:lang w:eastAsia="zh-Hans"/>
        </w:rPr>
        <w:t>本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5E2D94" w:rsidRDefault="005E2D94" w:rsidP="005E2D94">
      <w:pPr>
        <w:adjustRightInd w:val="0"/>
        <w:spacing w:line="308" w:lineRule="exact"/>
        <w:ind w:firstLineChars="200" w:firstLine="420"/>
        <w:rPr>
          <w:lang w:eastAsia="zh-Hans"/>
        </w:rPr>
      </w:pPr>
      <w:r w:rsidRPr="009E586E">
        <w:rPr>
          <w:rFonts w:hint="eastAsia"/>
          <w:lang w:eastAsia="zh-Hans"/>
        </w:rPr>
        <w:t>各方当事人同意，因《基金合同》而产生的或与《基金合同》有关的一切争议，如经友好协商未能解决的，任何一方均应将争议提交中国国际经济贸易仲裁委员会，仲裁地点为北京市，按照中国国际经济贸易仲裁委员会届时有效的仲裁规则进行仲裁。仲裁裁决是终局的，对各方当事人均有约束力，仲裁费由败诉方承担，除非仲裁裁决另有决定。</w:t>
      </w:r>
    </w:p>
    <w:p w:rsidR="005E2D94" w:rsidRDefault="005E2D94" w:rsidP="005E2D94">
      <w:pPr>
        <w:adjustRightInd w:val="0"/>
        <w:spacing w:line="308" w:lineRule="exact"/>
        <w:ind w:firstLineChars="200" w:firstLine="420"/>
        <w:rPr>
          <w:lang w:eastAsia="zh-Hans"/>
        </w:rPr>
      </w:pPr>
      <w:r>
        <w:rPr>
          <w:rFonts w:hint="eastAsia"/>
          <w:lang w:eastAsia="zh-Hans"/>
        </w:rPr>
        <w:t>争议处理期间，基金管理人</w:t>
      </w:r>
      <w:r w:rsidR="00217DB2">
        <w:rPr>
          <w:rFonts w:hint="eastAsia"/>
          <w:lang w:eastAsia="zh-Hans"/>
        </w:rPr>
        <w:t>及</w:t>
      </w:r>
      <w:r>
        <w:rPr>
          <w:rFonts w:hint="eastAsia"/>
          <w:lang w:eastAsia="zh-Hans"/>
        </w:rPr>
        <w:t>基金托管人应恪守各自的职责，继续忠实、勤勉、尽责地履行基金合同约定的义务，维护基金份额持有人的合法权益。</w:t>
      </w:r>
    </w:p>
    <w:p w:rsidR="005E2D94" w:rsidRDefault="005E2D94" w:rsidP="005E2D94">
      <w:pPr>
        <w:adjustRightInd w:val="0"/>
        <w:spacing w:line="308" w:lineRule="exact"/>
        <w:ind w:firstLineChars="200" w:firstLine="420"/>
      </w:pPr>
      <w:r>
        <w:rPr>
          <w:rFonts w:hint="eastAsia"/>
          <w:lang w:eastAsia="zh-Hans"/>
        </w:rPr>
        <w:t>基金合同受中国法律（为基金合同之目的，不包括香港特别行政区、澳门特别行政区和台湾地区法律）管辖，并按其解释。</w:t>
      </w:r>
    </w:p>
    <w:p w:rsidR="005E2D94" w:rsidRDefault="005E2D94" w:rsidP="005E2D94">
      <w:pPr>
        <w:pStyle w:val="XBRLTitle1"/>
        <w:numPr>
          <w:ilvl w:val="0"/>
          <w:numId w:val="2"/>
        </w:numPr>
        <w:spacing w:before="156" w:line="312" w:lineRule="exact"/>
      </w:pPr>
      <w:bookmarkStart w:id="102" w:name="_Toc374332111"/>
      <w:bookmarkEnd w:id="93"/>
      <w:r>
        <w:rPr>
          <w:rFonts w:hAnsi="宋体" w:hint="eastAsia"/>
        </w:rPr>
        <w:t>其他资料查询方式</w:t>
      </w:r>
      <w:bookmarkEnd w:id="102"/>
      <w:r>
        <w:rPr>
          <w:rFonts w:hAnsi="宋体" w:hint="eastAsia"/>
          <w:szCs w:val="44"/>
        </w:rPr>
        <w:t xml:space="preserve"> </w:t>
      </w:r>
    </w:p>
    <w:p w:rsidR="005E2D94" w:rsidRDefault="005E2D94" w:rsidP="005E2D94">
      <w:pPr>
        <w:spacing w:line="308" w:lineRule="exact"/>
        <w:ind w:firstLineChars="200" w:firstLine="420"/>
        <w:rPr>
          <w:lang w:eastAsia="zh-Hans"/>
        </w:rPr>
      </w:pPr>
      <w:bookmarkStart w:id="103" w:name="_Toc3743321111"/>
      <w:r>
        <w:rPr>
          <w:rFonts w:hint="eastAsia"/>
          <w:lang w:eastAsia="zh-Hans"/>
        </w:rPr>
        <w:t>以下资料详见基金管理人网站（</w:t>
      </w:r>
      <w:r>
        <w:rPr>
          <w:rFonts w:hint="eastAsia"/>
          <w:lang w:eastAsia="zh-Hans"/>
        </w:rPr>
        <w:t>www.yhfund.com.cn</w:t>
      </w:r>
      <w:r>
        <w:rPr>
          <w:rFonts w:hint="eastAsia"/>
          <w:lang w:eastAsia="zh-Hans"/>
        </w:rPr>
        <w:t>）（客服电话：</w:t>
      </w:r>
      <w:r>
        <w:rPr>
          <w:rFonts w:hint="eastAsia"/>
          <w:lang w:eastAsia="zh-Hans"/>
        </w:rPr>
        <w:t>400-678-3333</w:t>
      </w:r>
      <w:r>
        <w:rPr>
          <w:rFonts w:hint="eastAsia"/>
          <w:lang w:eastAsia="zh-Hans"/>
        </w:rPr>
        <w:t>、</w:t>
      </w:r>
      <w:r>
        <w:rPr>
          <w:rFonts w:hint="eastAsia"/>
          <w:lang w:eastAsia="zh-Hans"/>
        </w:rPr>
        <w:t>010-85186558</w:t>
      </w:r>
      <w:r>
        <w:rPr>
          <w:rFonts w:hint="eastAsia"/>
          <w:lang w:eastAsia="zh-Hans"/>
        </w:rPr>
        <w:t>）</w:t>
      </w:r>
    </w:p>
    <w:p w:rsidR="005E2D94" w:rsidRDefault="005E2D94" w:rsidP="005E2D94">
      <w:pPr>
        <w:spacing w:line="308" w:lineRule="exact"/>
        <w:ind w:firstLineChars="200" w:firstLine="420"/>
        <w:rPr>
          <w:lang w:eastAsia="zh-Hans"/>
        </w:rPr>
      </w:pPr>
      <w:r>
        <w:rPr>
          <w:rFonts w:hint="eastAsia"/>
          <w:lang w:eastAsia="zh-Hans"/>
        </w:rPr>
        <w:t>1</w:t>
      </w:r>
      <w:r>
        <w:rPr>
          <w:rFonts w:hint="eastAsia"/>
          <w:lang w:eastAsia="zh-Hans"/>
        </w:rPr>
        <w:t>、基金合同、托管协议、招募说明书</w:t>
      </w:r>
    </w:p>
    <w:p w:rsidR="005E2D94" w:rsidRDefault="005E2D94" w:rsidP="005E2D94">
      <w:pPr>
        <w:spacing w:line="308" w:lineRule="exact"/>
        <w:ind w:firstLineChars="200" w:firstLine="420"/>
        <w:rPr>
          <w:lang w:eastAsia="zh-Hans"/>
        </w:rPr>
      </w:pPr>
      <w:r>
        <w:rPr>
          <w:rFonts w:hint="eastAsia"/>
          <w:lang w:eastAsia="zh-Hans"/>
        </w:rPr>
        <w:t>2</w:t>
      </w:r>
      <w:r>
        <w:rPr>
          <w:rFonts w:hint="eastAsia"/>
          <w:lang w:eastAsia="zh-Hans"/>
        </w:rPr>
        <w:t>、定期报告，包括季度报告、中期报告和年度报告</w:t>
      </w:r>
    </w:p>
    <w:p w:rsidR="005E2D94" w:rsidRDefault="005E2D94" w:rsidP="005E2D94">
      <w:pPr>
        <w:spacing w:line="308" w:lineRule="exact"/>
        <w:ind w:firstLineChars="200" w:firstLine="420"/>
        <w:rPr>
          <w:lang w:eastAsia="zh-Hans"/>
        </w:rPr>
      </w:pPr>
      <w:r>
        <w:rPr>
          <w:rFonts w:hint="eastAsia"/>
          <w:lang w:eastAsia="zh-Hans"/>
        </w:rPr>
        <w:lastRenderedPageBreak/>
        <w:t>3</w:t>
      </w:r>
      <w:r>
        <w:rPr>
          <w:rFonts w:hint="eastAsia"/>
          <w:lang w:eastAsia="zh-Hans"/>
        </w:rPr>
        <w:t>、基金份额净值</w:t>
      </w:r>
    </w:p>
    <w:p w:rsidR="005E2D94" w:rsidRDefault="005E2D94" w:rsidP="005E2D94">
      <w:pPr>
        <w:spacing w:line="308" w:lineRule="exact"/>
        <w:ind w:firstLineChars="200" w:firstLine="420"/>
        <w:rPr>
          <w:lang w:eastAsia="zh-Hans"/>
        </w:rPr>
      </w:pPr>
      <w:r>
        <w:rPr>
          <w:rFonts w:hint="eastAsia"/>
          <w:lang w:eastAsia="zh-Hans"/>
        </w:rPr>
        <w:t>4</w:t>
      </w:r>
      <w:r>
        <w:rPr>
          <w:rFonts w:hint="eastAsia"/>
          <w:lang w:eastAsia="zh-Hans"/>
        </w:rPr>
        <w:t>、基金销售机构及联系方式</w:t>
      </w:r>
    </w:p>
    <w:p w:rsidR="005E2D94" w:rsidRDefault="005E2D94" w:rsidP="005E2D94">
      <w:pPr>
        <w:spacing w:line="308" w:lineRule="exact"/>
        <w:ind w:firstLineChars="200" w:firstLine="420"/>
        <w:rPr>
          <w:lang w:eastAsia="zh-Hans"/>
        </w:rPr>
      </w:pPr>
      <w:r>
        <w:rPr>
          <w:rFonts w:hint="eastAsia"/>
          <w:lang w:eastAsia="zh-Hans"/>
        </w:rPr>
        <w:t>5</w:t>
      </w:r>
      <w:r>
        <w:rPr>
          <w:rFonts w:hint="eastAsia"/>
          <w:lang w:eastAsia="zh-Hans"/>
        </w:rPr>
        <w:t>、其他重要资料</w:t>
      </w:r>
    </w:p>
    <w:p w:rsidR="005E2D94" w:rsidRDefault="005E2D94" w:rsidP="005E2D94">
      <w:pPr>
        <w:pStyle w:val="XBRLTitle1"/>
        <w:numPr>
          <w:ilvl w:val="0"/>
          <w:numId w:val="2"/>
        </w:numPr>
        <w:spacing w:before="156" w:line="312" w:lineRule="exact"/>
      </w:pPr>
      <w:r>
        <w:rPr>
          <w:rFonts w:hAnsi="宋体" w:hint="eastAsia"/>
        </w:rPr>
        <w:t>其他情况说明</w:t>
      </w:r>
      <w:bookmarkEnd w:id="1"/>
      <w:bookmarkEnd w:id="2"/>
      <w:bookmarkEnd w:id="3"/>
      <w:bookmarkEnd w:id="4"/>
      <w:bookmarkEnd w:id="5"/>
      <w:bookmarkEnd w:id="6"/>
      <w:bookmarkEnd w:id="7"/>
      <w:bookmarkEnd w:id="8"/>
      <w:bookmarkEnd w:id="9"/>
      <w:bookmarkEnd w:id="10"/>
      <w:bookmarkEnd w:id="103"/>
      <w:r>
        <w:rPr>
          <w:rFonts w:hAnsi="宋体" w:hint="eastAsia"/>
          <w:szCs w:val="44"/>
        </w:rPr>
        <w:t xml:space="preserve"> </w:t>
      </w:r>
    </w:p>
    <w:p w:rsidR="005E2D94" w:rsidRDefault="005E2D94" w:rsidP="005E2D94">
      <w:pPr>
        <w:spacing w:line="312" w:lineRule="exact"/>
        <w:ind w:firstLineChars="200" w:firstLine="420"/>
      </w:pPr>
      <w:r>
        <w:rPr>
          <w:rFonts w:hint="eastAsia"/>
          <w:kern w:val="0"/>
        </w:rPr>
        <w:t>无</w:t>
      </w:r>
      <w:bookmarkEnd w:id="11"/>
      <w:bookmarkEnd w:id="12"/>
      <w:bookmarkEnd w:id="1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hint="eastAsia"/>
          <w:lang w:eastAsia="zh-Hans"/>
        </w:rPr>
        <w:t xml:space="preserve"> </w:t>
      </w:r>
    </w:p>
    <w:p w:rsidR="00E910C4" w:rsidRDefault="00E910C4"/>
    <w:sectPr w:rsidR="00E910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111" w:rsidRDefault="001A2111" w:rsidP="00195244">
      <w:r>
        <w:separator/>
      </w:r>
    </w:p>
  </w:endnote>
  <w:endnote w:type="continuationSeparator" w:id="0">
    <w:p w:rsidR="001A2111" w:rsidRDefault="001A2111" w:rsidP="0019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111" w:rsidRDefault="001A2111" w:rsidP="00195244">
      <w:r>
        <w:separator/>
      </w:r>
    </w:p>
  </w:footnote>
  <w:footnote w:type="continuationSeparator" w:id="0">
    <w:p w:rsidR="001A2111" w:rsidRDefault="001A2111" w:rsidP="00195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631E"/>
    <w:multiLevelType w:val="multilevel"/>
    <w:tmpl w:val="34A5631E"/>
    <w:lvl w:ilvl="0">
      <w:start w:val="1"/>
      <w:numFmt w:val="decimal"/>
      <w:pStyle w:val="XBRLTitle1"/>
      <w:lvlText w:val="(%1)"/>
      <w:lvlJc w:val="left"/>
      <w:pPr>
        <w:tabs>
          <w:tab w:val="num" w:pos="1941"/>
        </w:tabs>
        <w:ind w:left="1941" w:hanging="681"/>
      </w:pPr>
      <w:rPr>
        <w:rFonts w:ascii="Arial" w:hAnsi="Arial" w:cs="Times New Roman" w:hint="default"/>
        <w:b w:val="0"/>
        <w:i w:val="0"/>
        <w:sz w:val="20"/>
      </w:rPr>
    </w:lvl>
    <w:lvl w:ilvl="1">
      <w:start w:val="1"/>
      <w:numFmt w:val="lowerLetter"/>
      <w:lvlText w:val="%2."/>
      <w:lvlJc w:val="left"/>
      <w:pPr>
        <w:tabs>
          <w:tab w:val="num" w:pos="1620"/>
        </w:tabs>
        <w:ind w:left="1620" w:hanging="360"/>
      </w:pPr>
      <w:rPr>
        <w:rFonts w:cs="Times New Roman" w:hint="default"/>
      </w:rPr>
    </w:lvl>
    <w:lvl w:ilvl="2">
      <w:start w:val="1"/>
      <w:numFmt w:val="lowerRoman"/>
      <w:lvlText w:val="%3."/>
      <w:lvlJc w:val="right"/>
      <w:pPr>
        <w:tabs>
          <w:tab w:val="num" w:pos="2340"/>
        </w:tabs>
        <w:ind w:left="2340" w:hanging="180"/>
      </w:pPr>
      <w:rPr>
        <w:rFonts w:cs="Times New Roman" w:hint="default"/>
      </w:rPr>
    </w:lvl>
    <w:lvl w:ilvl="3">
      <w:start w:val="1"/>
      <w:numFmt w:val="decimal"/>
      <w:lvlText w:val="%4."/>
      <w:lvlJc w:val="left"/>
      <w:pPr>
        <w:tabs>
          <w:tab w:val="num" w:pos="3060"/>
        </w:tabs>
        <w:ind w:left="3060" w:hanging="360"/>
      </w:pPr>
      <w:rPr>
        <w:rFonts w:cs="Times New Roman" w:hint="default"/>
      </w:rPr>
    </w:lvl>
    <w:lvl w:ilvl="4">
      <w:start w:val="1"/>
      <w:numFmt w:val="lowerLetter"/>
      <w:lvlText w:val="%5."/>
      <w:lvlJc w:val="left"/>
      <w:pPr>
        <w:tabs>
          <w:tab w:val="num" w:pos="3780"/>
        </w:tabs>
        <w:ind w:left="3780" w:hanging="360"/>
      </w:pPr>
      <w:rPr>
        <w:rFonts w:cs="Times New Roman" w:hint="default"/>
      </w:rPr>
    </w:lvl>
    <w:lvl w:ilvl="5">
      <w:start w:val="1"/>
      <w:numFmt w:val="lowerRoman"/>
      <w:lvlText w:val="%6."/>
      <w:lvlJc w:val="right"/>
      <w:pPr>
        <w:tabs>
          <w:tab w:val="num" w:pos="4500"/>
        </w:tabs>
        <w:ind w:left="4500" w:hanging="18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Roman"/>
      <w:lvlText w:val="%9."/>
      <w:lvlJc w:val="right"/>
      <w:pPr>
        <w:tabs>
          <w:tab w:val="num" w:pos="6660"/>
        </w:tabs>
        <w:ind w:left="6660" w:hanging="180"/>
      </w:pPr>
      <w:rPr>
        <w:rFonts w:cs="Times New Roman" w:hint="default"/>
      </w:rPr>
    </w:lvl>
  </w:abstractNum>
  <w:abstractNum w:abstractNumId="1" w15:restartNumberingAfterBreak="0">
    <w:nsid w:val="547D73EE"/>
    <w:multiLevelType w:val="multilevel"/>
    <w:tmpl w:val="606430B2"/>
    <w:lvl w:ilvl="0">
      <w:start w:val="1"/>
      <w:numFmt w:val="chineseCountingThousand"/>
      <w:lvlText w:val="%1、"/>
      <w:lvlJc w:val="left"/>
      <w:pPr>
        <w:ind w:left="425" w:hanging="425"/>
      </w:pPr>
      <w:rPr>
        <w:sz w:val="21"/>
        <w:szCs w:val="21"/>
      </w:rPr>
    </w:lvl>
    <w:lvl w:ilvl="1">
      <w:start w:val="1"/>
      <w:numFmt w:val="chineseCountingThousand"/>
      <w:lvlText w:val="(%2)"/>
      <w:lvlJc w:val="left"/>
      <w:pPr>
        <w:ind w:left="454" w:hanging="454"/>
      </w:pPr>
      <w:rPr>
        <w:sz w:val="21"/>
      </w:rPr>
    </w:lvl>
    <w:lvl w:ilvl="2">
      <w:start w:val="1"/>
      <w:numFmt w:val="decimal"/>
      <w:suff w:val="space"/>
      <w:lvlText w:val="%1.%2.%3"/>
      <w:lvlJc w:val="left"/>
      <w:pPr>
        <w:ind w:left="1050" w:hanging="624"/>
      </w:pPr>
      <w:rPr>
        <w:sz w:val="24"/>
        <w:szCs w:val="24"/>
      </w:rPr>
    </w:lvl>
    <w:lvl w:ilvl="3">
      <w:start w:val="1"/>
      <w:numFmt w:val="decimal"/>
      <w:suff w:val="space"/>
      <w:lvlText w:val="%1.%2.%3.%4"/>
      <w:lvlJc w:val="left"/>
      <w:pPr>
        <w:ind w:left="794" w:hanging="794"/>
      </w:pPr>
    </w:lvl>
    <w:lvl w:ilvl="4">
      <w:start w:val="1"/>
      <w:numFmt w:val="decimal"/>
      <w:suff w:val="space"/>
      <w:lvlText w:val="%1.%2.%3.%4.%5"/>
      <w:lvlJc w:val="left"/>
      <w:pPr>
        <w:ind w:left="1021" w:hanging="1021"/>
      </w:pPr>
    </w:lvl>
    <w:lvl w:ilvl="5">
      <w:start w:val="1"/>
      <w:numFmt w:val="decimal"/>
      <w:suff w:val="space"/>
      <w:lvlText w:val="%1.%2.%3.%4.%5.%6"/>
      <w:lvlJc w:val="left"/>
      <w:pPr>
        <w:ind w:left="1021" w:hanging="1021"/>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D94"/>
    <w:rsid w:val="001765CD"/>
    <w:rsid w:val="00195244"/>
    <w:rsid w:val="001A2111"/>
    <w:rsid w:val="00217DB2"/>
    <w:rsid w:val="00282E0D"/>
    <w:rsid w:val="00413C83"/>
    <w:rsid w:val="00445A1C"/>
    <w:rsid w:val="004B5868"/>
    <w:rsid w:val="005941C1"/>
    <w:rsid w:val="005E2D94"/>
    <w:rsid w:val="006E1236"/>
    <w:rsid w:val="008B07C1"/>
    <w:rsid w:val="00AC104F"/>
    <w:rsid w:val="00BD7B80"/>
    <w:rsid w:val="00E91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E262B"/>
  <w15:chartTrackingRefBased/>
  <w15:docId w15:val="{896A8B18-11DB-47B8-87E6-1C0EA199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D94"/>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5E2D94"/>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5E2D9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semiHidden/>
    <w:unhideWhenUsed/>
    <w:qFormat/>
    <w:rsid w:val="005E2D9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BRLTitle1">
    <w:name w:val="XBRLTitle1"/>
    <w:basedOn w:val="1"/>
    <w:next w:val="2"/>
    <w:qFormat/>
    <w:rsid w:val="005E2D94"/>
    <w:pPr>
      <w:keepNext w:val="0"/>
      <w:keepLines w:val="0"/>
      <w:numPr>
        <w:numId w:val="1"/>
      </w:numPr>
      <w:tabs>
        <w:tab w:val="left" w:pos="1941"/>
      </w:tabs>
      <w:spacing w:beforeLines="50" w:before="0" w:after="0" w:line="240" w:lineRule="auto"/>
      <w:jc w:val="left"/>
    </w:pPr>
    <w:rPr>
      <w:rFonts w:ascii="宋体" w:hAnsi="Cambria" w:cs="宋体"/>
      <w:sz w:val="21"/>
      <w:szCs w:val="32"/>
    </w:rPr>
  </w:style>
  <w:style w:type="paragraph" w:customStyle="1" w:styleId="XBRLTitle2">
    <w:name w:val="XBRLTitle2"/>
    <w:basedOn w:val="a3"/>
    <w:next w:val="4"/>
    <w:qFormat/>
    <w:rsid w:val="005E2D94"/>
    <w:pPr>
      <w:spacing w:beforeLines="50" w:before="0" w:after="0" w:line="240" w:lineRule="auto"/>
      <w:ind w:left="840" w:hanging="420"/>
      <w:jc w:val="left"/>
    </w:pPr>
    <w:rPr>
      <w:rFonts w:ascii="宋体" w:eastAsia="宋体" w:hAnsi="Cambria" w:cs="宋体"/>
      <w:kern w:val="24"/>
      <w:sz w:val="24"/>
      <w:lang w:val="x-none" w:eastAsia="x-none"/>
    </w:rPr>
  </w:style>
  <w:style w:type="character" w:customStyle="1" w:styleId="10">
    <w:name w:val="标题 1 字符"/>
    <w:basedOn w:val="a0"/>
    <w:link w:val="1"/>
    <w:uiPriority w:val="9"/>
    <w:rsid w:val="005E2D94"/>
    <w:rPr>
      <w:rFonts w:ascii="Times New Roman" w:eastAsia="宋体" w:hAnsi="Times New Roman" w:cs="Times New Roman"/>
      <w:b/>
      <w:bCs/>
      <w:kern w:val="44"/>
      <w:sz w:val="44"/>
      <w:szCs w:val="44"/>
    </w:rPr>
  </w:style>
  <w:style w:type="character" w:customStyle="1" w:styleId="20">
    <w:name w:val="标题 2 字符"/>
    <w:basedOn w:val="a0"/>
    <w:link w:val="2"/>
    <w:uiPriority w:val="9"/>
    <w:semiHidden/>
    <w:rsid w:val="005E2D94"/>
    <w:rPr>
      <w:rFonts w:asciiTheme="majorHAnsi" w:eastAsiaTheme="majorEastAsia" w:hAnsiTheme="majorHAnsi" w:cstheme="majorBidi"/>
      <w:b/>
      <w:bCs/>
      <w:sz w:val="32"/>
      <w:szCs w:val="32"/>
    </w:rPr>
  </w:style>
  <w:style w:type="paragraph" w:styleId="a3">
    <w:name w:val="Subtitle"/>
    <w:basedOn w:val="a"/>
    <w:next w:val="a"/>
    <w:link w:val="a4"/>
    <w:uiPriority w:val="11"/>
    <w:qFormat/>
    <w:rsid w:val="005E2D94"/>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4">
    <w:name w:val="副标题 字符"/>
    <w:basedOn w:val="a0"/>
    <w:link w:val="a3"/>
    <w:uiPriority w:val="11"/>
    <w:rsid w:val="005E2D94"/>
    <w:rPr>
      <w:b/>
      <w:bCs/>
      <w:kern w:val="28"/>
      <w:sz w:val="32"/>
      <w:szCs w:val="32"/>
    </w:rPr>
  </w:style>
  <w:style w:type="character" w:customStyle="1" w:styleId="40">
    <w:name w:val="标题 4 字符"/>
    <w:basedOn w:val="a0"/>
    <w:link w:val="4"/>
    <w:uiPriority w:val="9"/>
    <w:semiHidden/>
    <w:rsid w:val="005E2D94"/>
    <w:rPr>
      <w:rFonts w:asciiTheme="majorHAnsi" w:eastAsiaTheme="majorEastAsia" w:hAnsiTheme="majorHAnsi" w:cstheme="majorBidi"/>
      <w:b/>
      <w:bCs/>
      <w:sz w:val="28"/>
      <w:szCs w:val="28"/>
    </w:rPr>
  </w:style>
  <w:style w:type="paragraph" w:styleId="a5">
    <w:name w:val="header"/>
    <w:basedOn w:val="a"/>
    <w:link w:val="a6"/>
    <w:uiPriority w:val="99"/>
    <w:unhideWhenUsed/>
    <w:rsid w:val="0019524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95244"/>
    <w:rPr>
      <w:rFonts w:ascii="Times New Roman" w:eastAsia="宋体" w:hAnsi="Times New Roman" w:cs="Times New Roman"/>
      <w:sz w:val="18"/>
      <w:szCs w:val="18"/>
    </w:rPr>
  </w:style>
  <w:style w:type="paragraph" w:styleId="a7">
    <w:name w:val="footer"/>
    <w:basedOn w:val="a"/>
    <w:link w:val="a8"/>
    <w:uiPriority w:val="99"/>
    <w:unhideWhenUsed/>
    <w:rsid w:val="00195244"/>
    <w:pPr>
      <w:tabs>
        <w:tab w:val="center" w:pos="4153"/>
        <w:tab w:val="right" w:pos="8306"/>
      </w:tabs>
      <w:snapToGrid w:val="0"/>
      <w:jc w:val="left"/>
    </w:pPr>
    <w:rPr>
      <w:sz w:val="18"/>
      <w:szCs w:val="18"/>
    </w:rPr>
  </w:style>
  <w:style w:type="character" w:customStyle="1" w:styleId="a8">
    <w:name w:val="页脚 字符"/>
    <w:basedOn w:val="a0"/>
    <w:link w:val="a7"/>
    <w:uiPriority w:val="99"/>
    <w:rsid w:val="0019524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邱莉</dc:creator>
  <cp:keywords/>
  <dc:description/>
  <cp:lastModifiedBy>邱莉</cp:lastModifiedBy>
  <cp:revision>8</cp:revision>
  <dcterms:created xsi:type="dcterms:W3CDTF">2025-08-05T10:29:00Z</dcterms:created>
  <dcterms:modified xsi:type="dcterms:W3CDTF">2025-08-20T08:08:00Z</dcterms:modified>
</cp:coreProperties>
</file>