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2B9012" w14:textId="02C4723C" w:rsidR="00BF4A4E" w:rsidRDefault="00BF4A4E">
      <w:pPr>
        <w:adjustRightInd w:val="0"/>
        <w:snapToGrid w:val="0"/>
        <w:spacing w:line="360" w:lineRule="auto"/>
        <w:jc w:val="center"/>
        <w:rPr>
          <w:rFonts w:ascii="宋体" w:hAnsi="宋体"/>
          <w:bCs/>
          <w:sz w:val="28"/>
          <w:szCs w:val="28"/>
        </w:rPr>
      </w:pPr>
      <w:bookmarkStart w:id="0" w:name="_Toc413164584"/>
      <w:bookmarkStart w:id="1" w:name="_Toc461548633"/>
      <w:bookmarkStart w:id="2" w:name="_Toc461548756"/>
      <w:bookmarkStart w:id="3" w:name="_Toc461548853"/>
      <w:bookmarkStart w:id="4" w:name="_Toc472089775"/>
      <w:bookmarkStart w:id="5" w:name="_Toc472089835"/>
      <w:bookmarkStart w:id="6" w:name="_Toc479592723"/>
    </w:p>
    <w:p w14:paraId="7342B051" w14:textId="1C10EF1C" w:rsidR="00BF4A4E" w:rsidRDefault="00BF4A4E">
      <w:pPr>
        <w:adjustRightInd w:val="0"/>
        <w:snapToGrid w:val="0"/>
        <w:spacing w:line="360" w:lineRule="auto"/>
        <w:jc w:val="center"/>
        <w:rPr>
          <w:rFonts w:ascii="宋体" w:hAnsi="宋体"/>
          <w:b/>
          <w:sz w:val="28"/>
          <w:szCs w:val="28"/>
        </w:rPr>
      </w:pPr>
    </w:p>
    <w:p w14:paraId="607312F4" w14:textId="6096DC92" w:rsidR="00BF4A4E" w:rsidRDefault="00BF4A4E">
      <w:pPr>
        <w:adjustRightInd w:val="0"/>
        <w:snapToGrid w:val="0"/>
        <w:spacing w:line="360" w:lineRule="auto"/>
        <w:jc w:val="center"/>
        <w:rPr>
          <w:rFonts w:ascii="宋体" w:hAnsi="宋体"/>
          <w:b/>
          <w:sz w:val="28"/>
          <w:szCs w:val="28"/>
        </w:rPr>
      </w:pPr>
    </w:p>
    <w:p w14:paraId="39AAFA7A" w14:textId="3828C072" w:rsidR="00BF4A4E" w:rsidRDefault="00BE63A4">
      <w:pPr>
        <w:adjustRightInd w:val="0"/>
        <w:snapToGrid w:val="0"/>
        <w:spacing w:line="360" w:lineRule="auto"/>
        <w:jc w:val="center"/>
        <w:rPr>
          <w:rFonts w:ascii="宋体" w:hAnsi="宋体"/>
          <w:b/>
          <w:color w:val="000000"/>
          <w:sz w:val="48"/>
          <w:szCs w:val="48"/>
        </w:rPr>
      </w:pPr>
      <w:bookmarkStart w:id="7" w:name="OLE_LINK7"/>
      <w:bookmarkStart w:id="8" w:name="OLE_LINK8"/>
      <w:bookmarkStart w:id="9" w:name="OLE_LINK35"/>
      <w:r>
        <w:rPr>
          <w:rFonts w:ascii="宋体" w:hAnsi="宋体" w:hint="eastAsia"/>
          <w:b/>
          <w:color w:val="000000"/>
          <w:sz w:val="48"/>
          <w:szCs w:val="48"/>
        </w:rPr>
        <w:t>银华</w:t>
      </w:r>
      <w:r w:rsidR="00FD0AB2">
        <w:rPr>
          <w:rFonts w:ascii="宋体" w:hAnsi="宋体" w:hint="eastAsia"/>
          <w:b/>
          <w:color w:val="000000"/>
          <w:sz w:val="48"/>
          <w:szCs w:val="48"/>
        </w:rPr>
        <w:t>中证全指证券公司</w:t>
      </w:r>
      <w:r>
        <w:rPr>
          <w:rFonts w:ascii="宋体" w:hAnsi="宋体" w:hint="eastAsia"/>
          <w:b/>
          <w:color w:val="000000"/>
          <w:sz w:val="48"/>
          <w:szCs w:val="48"/>
        </w:rPr>
        <w:t>交易型开放式指数证券投资基金发起式联接基金</w:t>
      </w:r>
      <w:bookmarkEnd w:id="7"/>
      <w:bookmarkEnd w:id="8"/>
      <w:bookmarkEnd w:id="9"/>
    </w:p>
    <w:p w14:paraId="6F57DA02" w14:textId="16B06319" w:rsidR="00BF4A4E" w:rsidRDefault="00BF4A4E">
      <w:pPr>
        <w:adjustRightInd w:val="0"/>
        <w:snapToGrid w:val="0"/>
        <w:spacing w:line="360" w:lineRule="auto"/>
        <w:jc w:val="center"/>
        <w:rPr>
          <w:rFonts w:ascii="宋体" w:hAnsi="宋体"/>
          <w:sz w:val="28"/>
          <w:szCs w:val="28"/>
        </w:rPr>
      </w:pPr>
      <w:r>
        <w:rPr>
          <w:rFonts w:ascii="宋体" w:hAnsi="宋体" w:hint="eastAsia"/>
          <w:b/>
          <w:color w:val="000000"/>
          <w:sz w:val="48"/>
          <w:szCs w:val="48"/>
        </w:rPr>
        <w:t>招募说明书</w:t>
      </w:r>
    </w:p>
    <w:p w14:paraId="185367B4" w14:textId="77777777" w:rsidR="00BF4A4E" w:rsidRDefault="00BF4A4E">
      <w:pPr>
        <w:adjustRightInd w:val="0"/>
        <w:snapToGrid w:val="0"/>
        <w:spacing w:line="360" w:lineRule="auto"/>
        <w:jc w:val="center"/>
        <w:rPr>
          <w:rFonts w:ascii="宋体" w:hAnsi="宋体"/>
          <w:sz w:val="28"/>
          <w:szCs w:val="28"/>
        </w:rPr>
      </w:pPr>
    </w:p>
    <w:p w14:paraId="52BE2A4C" w14:textId="77777777" w:rsidR="00BF4A4E" w:rsidRDefault="00BF4A4E">
      <w:pPr>
        <w:adjustRightInd w:val="0"/>
        <w:snapToGrid w:val="0"/>
        <w:spacing w:line="360" w:lineRule="auto"/>
        <w:jc w:val="center"/>
        <w:rPr>
          <w:rFonts w:ascii="宋体" w:hAnsi="宋体"/>
          <w:sz w:val="28"/>
          <w:szCs w:val="28"/>
        </w:rPr>
      </w:pPr>
    </w:p>
    <w:p w14:paraId="64699181" w14:textId="77777777" w:rsidR="00BF4A4E" w:rsidRDefault="00BF4A4E">
      <w:pPr>
        <w:adjustRightInd w:val="0"/>
        <w:snapToGrid w:val="0"/>
        <w:spacing w:line="360" w:lineRule="auto"/>
        <w:jc w:val="center"/>
        <w:rPr>
          <w:rFonts w:ascii="宋体" w:hAnsi="宋体"/>
          <w:sz w:val="28"/>
          <w:szCs w:val="28"/>
        </w:rPr>
      </w:pPr>
    </w:p>
    <w:p w14:paraId="40FFF148" w14:textId="77777777" w:rsidR="00BF4A4E" w:rsidRDefault="00BF4A4E">
      <w:pPr>
        <w:adjustRightInd w:val="0"/>
        <w:snapToGrid w:val="0"/>
        <w:spacing w:line="360" w:lineRule="auto"/>
        <w:jc w:val="center"/>
        <w:rPr>
          <w:rFonts w:ascii="宋体" w:hAnsi="宋体"/>
          <w:sz w:val="28"/>
          <w:szCs w:val="28"/>
        </w:rPr>
      </w:pPr>
    </w:p>
    <w:p w14:paraId="35D834D1" w14:textId="77777777" w:rsidR="00BF4A4E" w:rsidRDefault="00BF4A4E">
      <w:pPr>
        <w:adjustRightInd w:val="0"/>
        <w:snapToGrid w:val="0"/>
        <w:spacing w:line="360" w:lineRule="auto"/>
        <w:jc w:val="center"/>
        <w:rPr>
          <w:rFonts w:ascii="宋体" w:hAnsi="宋体"/>
          <w:sz w:val="28"/>
          <w:szCs w:val="28"/>
        </w:rPr>
      </w:pPr>
    </w:p>
    <w:p w14:paraId="426F11B7" w14:textId="77777777" w:rsidR="00BF4A4E" w:rsidRDefault="00BF4A4E" w:rsidP="00716026">
      <w:pPr>
        <w:adjustRightInd w:val="0"/>
        <w:snapToGrid w:val="0"/>
        <w:spacing w:line="360" w:lineRule="auto"/>
        <w:rPr>
          <w:rFonts w:ascii="宋体" w:hAnsi="宋体"/>
          <w:sz w:val="28"/>
          <w:szCs w:val="28"/>
        </w:rPr>
      </w:pPr>
    </w:p>
    <w:p w14:paraId="3A076083" w14:textId="77777777" w:rsidR="00BF4A4E" w:rsidRDefault="00BF4A4E">
      <w:pPr>
        <w:adjustRightInd w:val="0"/>
        <w:snapToGrid w:val="0"/>
        <w:spacing w:line="360" w:lineRule="auto"/>
        <w:jc w:val="center"/>
        <w:rPr>
          <w:rFonts w:ascii="宋体" w:hAnsi="宋体"/>
          <w:sz w:val="28"/>
          <w:szCs w:val="28"/>
        </w:rPr>
      </w:pPr>
    </w:p>
    <w:p w14:paraId="480E62EC" w14:textId="77777777" w:rsidR="00BF4A4E" w:rsidRDefault="00BF4A4E">
      <w:pPr>
        <w:adjustRightInd w:val="0"/>
        <w:snapToGrid w:val="0"/>
        <w:spacing w:line="360" w:lineRule="auto"/>
        <w:jc w:val="center"/>
        <w:rPr>
          <w:rFonts w:ascii="宋体" w:hAnsi="宋体"/>
          <w:sz w:val="28"/>
          <w:szCs w:val="28"/>
        </w:rPr>
      </w:pPr>
    </w:p>
    <w:p w14:paraId="6AF5CFB3" w14:textId="77777777" w:rsidR="00BF4A4E" w:rsidRDefault="00BF4A4E">
      <w:pPr>
        <w:adjustRightInd w:val="0"/>
        <w:snapToGrid w:val="0"/>
        <w:spacing w:line="360" w:lineRule="auto"/>
        <w:jc w:val="center"/>
        <w:rPr>
          <w:rFonts w:ascii="宋体" w:hAnsi="宋体"/>
          <w:b/>
          <w:color w:val="000000"/>
          <w:sz w:val="36"/>
          <w:szCs w:val="36"/>
        </w:rPr>
      </w:pPr>
      <w:r>
        <w:rPr>
          <w:rFonts w:ascii="宋体" w:hAnsi="宋体" w:hint="eastAsia"/>
          <w:b/>
          <w:color w:val="000000"/>
          <w:sz w:val="36"/>
          <w:szCs w:val="36"/>
        </w:rPr>
        <w:t>基金管理人：银华基金管理股份有限公司</w:t>
      </w:r>
    </w:p>
    <w:p w14:paraId="732DE94E" w14:textId="505C85E6" w:rsidR="00BF4A4E" w:rsidRDefault="00BF4A4E">
      <w:pPr>
        <w:adjustRightInd w:val="0"/>
        <w:snapToGrid w:val="0"/>
        <w:spacing w:line="360" w:lineRule="auto"/>
        <w:jc w:val="center"/>
        <w:rPr>
          <w:rFonts w:ascii="宋体" w:hAnsi="宋体"/>
          <w:b/>
          <w:color w:val="000000"/>
          <w:sz w:val="30"/>
          <w:szCs w:val="30"/>
        </w:rPr>
      </w:pPr>
      <w:r>
        <w:rPr>
          <w:rFonts w:ascii="宋体" w:hAnsi="宋体" w:hint="eastAsia"/>
          <w:b/>
          <w:color w:val="000000"/>
          <w:sz w:val="36"/>
          <w:szCs w:val="36"/>
        </w:rPr>
        <w:t>基金托管人：</w:t>
      </w:r>
      <w:r w:rsidR="00E41E7F">
        <w:rPr>
          <w:rFonts w:ascii="宋体" w:hAnsi="宋体" w:hint="eastAsia"/>
          <w:b/>
          <w:color w:val="000000"/>
          <w:sz w:val="36"/>
          <w:szCs w:val="36"/>
        </w:rPr>
        <w:t>招商银行</w:t>
      </w:r>
      <w:r w:rsidR="003570DC" w:rsidRPr="003570DC">
        <w:rPr>
          <w:rFonts w:ascii="宋体" w:hAnsi="宋体" w:hint="eastAsia"/>
          <w:b/>
          <w:color w:val="000000"/>
          <w:sz w:val="36"/>
          <w:szCs w:val="36"/>
        </w:rPr>
        <w:t>股份有限公司</w:t>
      </w:r>
    </w:p>
    <w:p w14:paraId="435C491A" w14:textId="77777777" w:rsidR="00BF4A4E" w:rsidRDefault="00BF4A4E">
      <w:pPr>
        <w:adjustRightInd w:val="0"/>
        <w:snapToGrid w:val="0"/>
        <w:spacing w:line="360" w:lineRule="auto"/>
        <w:jc w:val="center"/>
        <w:rPr>
          <w:rFonts w:ascii="宋体" w:hAnsi="宋体"/>
          <w:bCs/>
          <w:sz w:val="28"/>
        </w:rPr>
      </w:pPr>
    </w:p>
    <w:p w14:paraId="466D3659" w14:textId="77777777" w:rsidR="00BF4A4E" w:rsidRDefault="00BF4A4E">
      <w:pPr>
        <w:adjustRightInd w:val="0"/>
        <w:snapToGrid w:val="0"/>
        <w:spacing w:line="360" w:lineRule="auto"/>
        <w:jc w:val="center"/>
        <w:rPr>
          <w:rFonts w:ascii="宋体" w:hAnsi="宋体"/>
          <w:bCs/>
          <w:sz w:val="28"/>
        </w:rPr>
      </w:pPr>
    </w:p>
    <w:p w14:paraId="66CACE3E" w14:textId="77777777" w:rsidR="00BF4A4E" w:rsidRDefault="00BF4A4E">
      <w:pPr>
        <w:spacing w:line="360" w:lineRule="auto"/>
        <w:jc w:val="center"/>
        <w:rPr>
          <w:rFonts w:ascii="宋体" w:hAnsi="宋体"/>
          <w:b/>
          <w:color w:val="000000"/>
          <w:sz w:val="30"/>
          <w:szCs w:val="30"/>
        </w:rPr>
      </w:pPr>
    </w:p>
    <w:p w14:paraId="0D571F88" w14:textId="77777777" w:rsidR="00BF4A4E" w:rsidRDefault="00BF4A4E">
      <w:pPr>
        <w:pStyle w:val="080325"/>
        <w:spacing w:line="360" w:lineRule="auto"/>
        <w:rPr>
          <w:rFonts w:ascii="宋体" w:eastAsia="宋体"/>
          <w:b/>
          <w:color w:val="000000"/>
          <w:szCs w:val="24"/>
        </w:rPr>
        <w:sectPr w:rsidR="00BF4A4E">
          <w:headerReference w:type="default" r:id="rId8"/>
          <w:footerReference w:type="default" r:id="rId9"/>
          <w:footerReference w:type="first" r:id="rId10"/>
          <w:type w:val="continuous"/>
          <w:pgSz w:w="11906" w:h="16838"/>
          <w:pgMar w:top="1440" w:right="1800" w:bottom="1440" w:left="1800" w:header="851" w:footer="992" w:gutter="0"/>
          <w:pgNumType w:start="0"/>
          <w:cols w:space="720"/>
          <w:titlePg/>
          <w:docGrid w:type="lines" w:linePitch="312"/>
        </w:sectPr>
      </w:pPr>
    </w:p>
    <w:p w14:paraId="6261534F" w14:textId="77777777" w:rsidR="00BF4A4E" w:rsidRDefault="00BF4A4E">
      <w:pPr>
        <w:spacing w:line="360" w:lineRule="auto"/>
        <w:jc w:val="center"/>
        <w:rPr>
          <w:rFonts w:ascii="宋体" w:hAnsi="宋体"/>
          <w:b/>
          <w:sz w:val="32"/>
          <w:szCs w:val="32"/>
        </w:rPr>
      </w:pPr>
      <w:r>
        <w:rPr>
          <w:rFonts w:ascii="宋体" w:hAnsi="宋体" w:hint="eastAsia"/>
          <w:b/>
          <w:sz w:val="32"/>
          <w:szCs w:val="32"/>
        </w:rPr>
        <w:lastRenderedPageBreak/>
        <w:t>重要提示</w:t>
      </w:r>
      <w:bookmarkEnd w:id="0"/>
      <w:bookmarkEnd w:id="1"/>
      <w:bookmarkEnd w:id="2"/>
      <w:bookmarkEnd w:id="3"/>
      <w:bookmarkEnd w:id="4"/>
      <w:bookmarkEnd w:id="5"/>
      <w:bookmarkEnd w:id="6"/>
    </w:p>
    <w:p w14:paraId="4AC5F2A9" w14:textId="77777777" w:rsidR="00BF4A4E" w:rsidRDefault="00BF4A4E">
      <w:pPr>
        <w:autoSpaceDE w:val="0"/>
        <w:autoSpaceDN w:val="0"/>
        <w:adjustRightInd w:val="0"/>
        <w:spacing w:line="360" w:lineRule="auto"/>
        <w:jc w:val="center"/>
        <w:rPr>
          <w:rFonts w:ascii="宋体" w:hAnsi="宋体"/>
          <w:b/>
          <w:color w:val="000000"/>
          <w:kern w:val="0"/>
          <w:sz w:val="24"/>
        </w:rPr>
      </w:pPr>
    </w:p>
    <w:p w14:paraId="26FB2BFE" w14:textId="228BA81B" w:rsidR="00BF4A4E" w:rsidRDefault="00BF4A4E">
      <w:pPr>
        <w:pStyle w:val="20"/>
        <w:adjustRightInd w:val="0"/>
        <w:snapToGrid w:val="0"/>
        <w:ind w:firstLine="480"/>
        <w:rPr>
          <w:sz w:val="24"/>
        </w:rPr>
      </w:pPr>
      <w:r>
        <w:rPr>
          <w:rFonts w:hint="eastAsia"/>
          <w:sz w:val="24"/>
        </w:rPr>
        <w:t>本基金经中国证券监督管理委员会（以下简称“中国证监会”）于</w:t>
      </w:r>
      <w:r w:rsidR="00716026">
        <w:rPr>
          <w:bCs/>
          <w:sz w:val="24"/>
        </w:rPr>
        <w:t>202</w:t>
      </w:r>
      <w:r w:rsidR="00BF5351">
        <w:rPr>
          <w:bCs/>
          <w:sz w:val="24"/>
        </w:rPr>
        <w:t>5</w:t>
      </w:r>
      <w:r>
        <w:rPr>
          <w:rFonts w:hint="eastAsia"/>
          <w:bCs/>
          <w:sz w:val="24"/>
        </w:rPr>
        <w:t>年</w:t>
      </w:r>
      <w:r w:rsidR="00BF5351">
        <w:rPr>
          <w:bCs/>
          <w:sz w:val="24"/>
        </w:rPr>
        <w:t>7</w:t>
      </w:r>
      <w:r>
        <w:rPr>
          <w:rFonts w:hint="eastAsia"/>
          <w:bCs/>
          <w:sz w:val="24"/>
        </w:rPr>
        <w:t>月</w:t>
      </w:r>
      <w:r w:rsidR="00BF5351">
        <w:rPr>
          <w:bCs/>
          <w:sz w:val="24"/>
        </w:rPr>
        <w:t>29</w:t>
      </w:r>
      <w:r>
        <w:rPr>
          <w:rFonts w:hint="eastAsia"/>
          <w:bCs/>
          <w:sz w:val="24"/>
        </w:rPr>
        <w:t>日</w:t>
      </w:r>
      <w:r>
        <w:rPr>
          <w:rFonts w:hint="eastAsia"/>
          <w:sz w:val="24"/>
        </w:rPr>
        <w:t>证监许可【</w:t>
      </w:r>
      <w:r w:rsidR="00716026">
        <w:rPr>
          <w:sz w:val="24"/>
        </w:rPr>
        <w:t>202</w:t>
      </w:r>
      <w:r w:rsidR="00BF5351">
        <w:rPr>
          <w:sz w:val="24"/>
        </w:rPr>
        <w:t>5</w:t>
      </w:r>
      <w:r>
        <w:rPr>
          <w:rFonts w:hint="eastAsia"/>
          <w:sz w:val="24"/>
        </w:rPr>
        <w:t>】</w:t>
      </w:r>
      <w:r w:rsidR="00BF5351">
        <w:rPr>
          <w:sz w:val="24"/>
        </w:rPr>
        <w:t>1607</w:t>
      </w:r>
      <w:r>
        <w:rPr>
          <w:rFonts w:hint="eastAsia"/>
          <w:bCs/>
          <w:sz w:val="24"/>
        </w:rPr>
        <w:t>号</w:t>
      </w:r>
      <w:r>
        <w:rPr>
          <w:rFonts w:hint="eastAsia"/>
          <w:sz w:val="24"/>
        </w:rPr>
        <w:t>文准予募集注册。</w:t>
      </w:r>
    </w:p>
    <w:p w14:paraId="0CD366A6" w14:textId="77777777" w:rsidR="00BF4A4E" w:rsidRDefault="00BF4A4E">
      <w:pPr>
        <w:pStyle w:val="20"/>
        <w:adjustRightInd w:val="0"/>
        <w:snapToGrid w:val="0"/>
        <w:ind w:firstLine="480"/>
        <w:rPr>
          <w:sz w:val="24"/>
        </w:rPr>
      </w:pPr>
      <w:r>
        <w:rPr>
          <w:rFonts w:hint="eastAsia"/>
          <w:sz w:val="24"/>
        </w:rPr>
        <w:t>基金管理人保证本招募说明书的内容真实、准确、完整。本招募说明书经中国证监会注册，但中国证监会对本基金募集的注册，并不表明其对本基金的投资价值、市场</w:t>
      </w:r>
      <w:r>
        <w:rPr>
          <w:sz w:val="24"/>
        </w:rPr>
        <w:t>前景</w:t>
      </w:r>
      <w:r>
        <w:rPr>
          <w:rFonts w:hint="eastAsia"/>
          <w:sz w:val="24"/>
        </w:rPr>
        <w:t>和收益作出实质性判断或保证，也不表明投资于本基金没有风险。</w:t>
      </w:r>
    </w:p>
    <w:p w14:paraId="2515AAB3" w14:textId="77777777" w:rsidR="00BF4A4E" w:rsidRDefault="00BF4A4E">
      <w:pPr>
        <w:pStyle w:val="20"/>
        <w:adjustRightInd w:val="0"/>
        <w:snapToGrid w:val="0"/>
        <w:ind w:firstLine="480"/>
        <w:rPr>
          <w:sz w:val="24"/>
        </w:rPr>
      </w:pPr>
      <w:r>
        <w:rPr>
          <w:rFonts w:hint="eastAsia"/>
          <w:sz w:val="24"/>
        </w:rPr>
        <w:t>证券投资基金（以下简称“基金”）是一种长期投资工具，其主要功能是分散投资，降低投资单一证券所带来的个别风险。基金不同于银行储蓄和债券等能够提供固定收益预期的金融工具，投资人购买基金，既可能按其持有份额分享基金投资所产生的收益，也可能承担基金投资所带来的损失。投资人应当充分了解基金定期定额投资和零存整取等储蓄方式的区别。定期定额投资是引导投资人进行长期投资、平均投资成本的一种简单易行的投资方式。但是定期定额投资并不能规避基金投资所固有的风险，不能保证投资人获得收益，也不是替代储蓄的等效理财方式。</w:t>
      </w:r>
    </w:p>
    <w:p w14:paraId="15C009E4" w14:textId="77777777" w:rsidR="00412161" w:rsidRDefault="00BF4A4E">
      <w:pPr>
        <w:pStyle w:val="20"/>
        <w:adjustRightInd w:val="0"/>
        <w:snapToGrid w:val="0"/>
        <w:ind w:firstLine="480"/>
        <w:rPr>
          <w:sz w:val="24"/>
        </w:rPr>
      </w:pPr>
      <w:r>
        <w:rPr>
          <w:rFonts w:hint="eastAsia"/>
          <w:sz w:val="24"/>
        </w:rPr>
        <w:t>基金分为股票型证券投资基金、混合型证券投资基金、债券型证券投资基金、货币市场基金、</w:t>
      </w:r>
      <w:r>
        <w:rPr>
          <w:sz w:val="24"/>
        </w:rPr>
        <w:t>基金中基金</w:t>
      </w:r>
      <w:r>
        <w:rPr>
          <w:rFonts w:hint="eastAsia"/>
          <w:sz w:val="24"/>
        </w:rPr>
        <w:t>等不同类型，投资人投资不同类型的基金将获得不同的收益预期，也将承担不同程度的风险。一般来说，基金的收益预期越高，投资人承担的风险也越大。本基金是ETF联接基金，</w:t>
      </w:r>
      <w:r w:rsidR="00D47C7E">
        <w:rPr>
          <w:rFonts w:hint="eastAsia"/>
          <w:sz w:val="24"/>
        </w:rPr>
        <w:t>预期</w:t>
      </w:r>
      <w:r>
        <w:rPr>
          <w:rFonts w:hint="eastAsia"/>
          <w:sz w:val="24"/>
        </w:rPr>
        <w:t>风险与</w:t>
      </w:r>
      <w:r w:rsidR="00D47C7E">
        <w:rPr>
          <w:rFonts w:hint="eastAsia"/>
          <w:sz w:val="24"/>
        </w:rPr>
        <w:t>预期</w:t>
      </w:r>
      <w:r>
        <w:rPr>
          <w:rFonts w:hint="eastAsia"/>
          <w:sz w:val="24"/>
        </w:rPr>
        <w:t>收益高于债券型基金与货币市场基金。</w:t>
      </w:r>
      <w:r>
        <w:rPr>
          <w:sz w:val="24"/>
        </w:rPr>
        <w:t>本基金</w:t>
      </w:r>
      <w:r>
        <w:rPr>
          <w:rFonts w:hint="eastAsia"/>
          <w:sz w:val="24"/>
        </w:rPr>
        <w:t>主要投资于目标ETF，</w:t>
      </w:r>
      <w:r>
        <w:rPr>
          <w:sz w:val="24"/>
        </w:rPr>
        <w:t>紧密跟踪标的指数</w:t>
      </w:r>
      <w:r>
        <w:rPr>
          <w:rFonts w:hint="eastAsia"/>
          <w:sz w:val="24"/>
        </w:rPr>
        <w:t>，具有与标的指数</w:t>
      </w:r>
      <w:r w:rsidR="00F47DE5" w:rsidRPr="00BF2F6E">
        <w:rPr>
          <w:rFonts w:cs="宋体" w:hint="eastAsia"/>
          <w:sz w:val="24"/>
        </w:rPr>
        <w:t>以及标的指数所代表的股票市场</w:t>
      </w:r>
      <w:r>
        <w:rPr>
          <w:rFonts w:hint="eastAsia"/>
          <w:sz w:val="24"/>
        </w:rPr>
        <w:t>相似的风险收益特征。</w:t>
      </w:r>
    </w:p>
    <w:p w14:paraId="4B3473E5" w14:textId="77777777" w:rsidR="00BF4A4E" w:rsidRDefault="00BF4A4E">
      <w:pPr>
        <w:pStyle w:val="20"/>
        <w:adjustRightInd w:val="0"/>
        <w:snapToGrid w:val="0"/>
        <w:ind w:firstLine="480"/>
        <w:rPr>
          <w:sz w:val="24"/>
        </w:rPr>
      </w:pPr>
      <w:r>
        <w:rPr>
          <w:rFonts w:hint="eastAsia"/>
          <w:sz w:val="24"/>
        </w:rPr>
        <w:t>本基金按照基金份额发售面值人民币1.00元发售，在市场波动等因素的影响下，基金份额净值可能低于基金份额发售面值。</w:t>
      </w:r>
    </w:p>
    <w:p w14:paraId="364EECA3" w14:textId="0CC4E5FB" w:rsidR="00BF4A4E" w:rsidRDefault="00BF4A4E">
      <w:pPr>
        <w:pStyle w:val="20"/>
        <w:adjustRightInd w:val="0"/>
        <w:snapToGrid w:val="0"/>
        <w:ind w:firstLine="480"/>
        <w:rPr>
          <w:sz w:val="24"/>
        </w:rPr>
      </w:pPr>
      <w:r>
        <w:rPr>
          <w:rFonts w:hint="eastAsia"/>
          <w:sz w:val="24"/>
        </w:rPr>
        <w:t>本基金主要投资于证券市场，基金净值会因为证券市场波动等因素产生波动，投资人在投资本基金前，需充分了解本基金的产品特性，充分考虑自身的风险承受能力，理性判断市场，并承担基金投资中出现的各类风险，包括市场风险、基金运作风险、流动性风险、其他风险以及本基金特有的风险等。</w:t>
      </w:r>
      <w:r w:rsidRPr="0020532B">
        <w:rPr>
          <w:rFonts w:hint="eastAsia"/>
          <w:sz w:val="24"/>
        </w:rPr>
        <w:t>本基金特有的风险</w:t>
      </w:r>
      <w:r>
        <w:rPr>
          <w:rFonts w:hint="eastAsia"/>
          <w:sz w:val="24"/>
        </w:rPr>
        <w:t>主要</w:t>
      </w:r>
      <w:r>
        <w:rPr>
          <w:sz w:val="24"/>
        </w:rPr>
        <w:t>包括</w:t>
      </w:r>
      <w:r>
        <w:rPr>
          <w:rFonts w:hint="eastAsia"/>
          <w:sz w:val="24"/>
        </w:rPr>
        <w:t>联接基金风险、跟踪偏离风险、与目标ETF业绩差异的风险、其他投资于目标ETF的风险、跟踪误差控制未达约定目标的</w:t>
      </w:r>
      <w:r>
        <w:rPr>
          <w:sz w:val="24"/>
        </w:rPr>
        <w:t>风险</w:t>
      </w:r>
      <w:r>
        <w:rPr>
          <w:rFonts w:hint="eastAsia"/>
          <w:sz w:val="24"/>
        </w:rPr>
        <w:t>、指数编制机构停止服</w:t>
      </w:r>
      <w:r>
        <w:rPr>
          <w:rFonts w:hint="eastAsia"/>
          <w:sz w:val="24"/>
        </w:rPr>
        <w:lastRenderedPageBreak/>
        <w:t>务的风险、成份股停牌或退市的</w:t>
      </w:r>
      <w:r>
        <w:rPr>
          <w:sz w:val="24"/>
        </w:rPr>
        <w:t>风险、</w:t>
      </w:r>
      <w:r>
        <w:rPr>
          <w:rFonts w:hint="eastAsia"/>
          <w:sz w:val="24"/>
        </w:rPr>
        <w:t>标的指数变更的风险、投资股指期货的风险、投资股票期权</w:t>
      </w:r>
      <w:r w:rsidR="00953E66">
        <w:rPr>
          <w:rFonts w:hint="eastAsia"/>
          <w:sz w:val="24"/>
        </w:rPr>
        <w:t>的</w:t>
      </w:r>
      <w:r>
        <w:rPr>
          <w:rFonts w:hint="eastAsia"/>
          <w:sz w:val="24"/>
        </w:rPr>
        <w:t>风险、</w:t>
      </w:r>
      <w:r w:rsidR="001B7F59">
        <w:rPr>
          <w:rFonts w:hint="eastAsia"/>
          <w:sz w:val="24"/>
        </w:rPr>
        <w:t>投资国债期货的风险、</w:t>
      </w:r>
      <w:r>
        <w:rPr>
          <w:rFonts w:hint="eastAsia"/>
          <w:sz w:val="24"/>
        </w:rPr>
        <w:t>投资资产支持证券的风险、</w:t>
      </w:r>
      <w:r>
        <w:rPr>
          <w:rFonts w:cs="宋体" w:hint="eastAsia"/>
          <w:sz w:val="24"/>
        </w:rPr>
        <w:t>参与融资交易的风险、</w:t>
      </w:r>
      <w:r>
        <w:rPr>
          <w:rFonts w:hint="eastAsia"/>
          <w:sz w:val="24"/>
        </w:rPr>
        <w:t>参与转融通证券出借业务</w:t>
      </w:r>
      <w:r>
        <w:rPr>
          <w:sz w:val="24"/>
        </w:rPr>
        <w:t>的风险</w:t>
      </w:r>
      <w:r>
        <w:rPr>
          <w:rFonts w:hint="eastAsia"/>
          <w:sz w:val="24"/>
        </w:rPr>
        <w:t>、</w:t>
      </w:r>
      <w:r w:rsidRPr="00E22C2F">
        <w:rPr>
          <w:rFonts w:hint="eastAsia"/>
          <w:sz w:val="24"/>
        </w:rPr>
        <w:t>参与债券回购的风险、</w:t>
      </w:r>
      <w:r>
        <w:rPr>
          <w:rFonts w:hint="eastAsia"/>
          <w:sz w:val="24"/>
        </w:rPr>
        <w:t>基金合同终止的风险、</w:t>
      </w:r>
      <w:r w:rsidR="00AE54C3" w:rsidRPr="00AE54C3">
        <w:rPr>
          <w:rFonts w:hint="eastAsia"/>
          <w:sz w:val="24"/>
        </w:rPr>
        <w:t>发起资金提供方持有期限届满后赎回的风险</w:t>
      </w:r>
      <w:r w:rsidR="00AE54C3">
        <w:rPr>
          <w:rFonts w:hint="eastAsia"/>
          <w:sz w:val="24"/>
        </w:rPr>
        <w:t>、</w:t>
      </w:r>
      <w:r>
        <w:rPr>
          <w:rFonts w:cs="宋体" w:hint="eastAsia"/>
          <w:sz w:val="24"/>
        </w:rPr>
        <w:t>投资存托凭证的风险、侧袋机制的相关风险</w:t>
      </w:r>
      <w:r w:rsidR="00E23D4B">
        <w:rPr>
          <w:rFonts w:hint="eastAsia"/>
          <w:sz w:val="24"/>
        </w:rPr>
        <w:t>及</w:t>
      </w:r>
      <w:r w:rsidR="00632DAF">
        <w:rPr>
          <w:sz w:val="24"/>
        </w:rPr>
        <w:t>投资科创板股票的风险</w:t>
      </w:r>
      <w:r>
        <w:rPr>
          <w:rFonts w:hint="eastAsia"/>
          <w:sz w:val="24"/>
        </w:rPr>
        <w:t>等，具体详见本招募说明书“风险揭示”部分。巨额赎回风险是开放式基金所特有的一种风险，对本基金</w:t>
      </w:r>
      <w:r>
        <w:rPr>
          <w:sz w:val="24"/>
        </w:rPr>
        <w:t>而言，</w:t>
      </w:r>
      <w:r>
        <w:rPr>
          <w:rFonts w:hint="eastAsia"/>
          <w:bCs/>
          <w:sz w:val="24"/>
        </w:rPr>
        <w:t>即当本基金单个开放日内的基金份额净赎回申请</w:t>
      </w:r>
      <w:r>
        <w:rPr>
          <w:bCs/>
          <w:sz w:val="24"/>
        </w:rPr>
        <w:t>（赎回申请份额总数加上基金转换中转出申请份额总数后扣除申购申请份额总数及基金转换中转入申请份额总数后的余额）</w:t>
      </w:r>
      <w:r>
        <w:rPr>
          <w:rFonts w:hint="eastAsia"/>
          <w:bCs/>
          <w:sz w:val="24"/>
        </w:rPr>
        <w:t>超过前一开放日基金总份额的百分之十时，</w:t>
      </w:r>
      <w:r>
        <w:rPr>
          <w:rFonts w:hint="eastAsia"/>
          <w:sz w:val="24"/>
        </w:rPr>
        <w:t>投资人将可能无法及时赎回持有的全部基金份额。</w:t>
      </w:r>
    </w:p>
    <w:p w14:paraId="0CD8F7E5" w14:textId="21F963A7" w:rsidR="00716026" w:rsidRDefault="00716026" w:rsidP="00716026">
      <w:pPr>
        <w:pStyle w:val="20"/>
        <w:adjustRightInd w:val="0"/>
        <w:snapToGrid w:val="0"/>
        <w:ind w:firstLine="480"/>
        <w:rPr>
          <w:sz w:val="24"/>
        </w:rPr>
      </w:pPr>
      <w:r>
        <w:rPr>
          <w:rFonts w:hint="eastAsia"/>
          <w:sz w:val="24"/>
        </w:rPr>
        <w:t>本基金为发起式基金，在基金募集时，基金管理</w:t>
      </w:r>
      <w:r>
        <w:rPr>
          <w:sz w:val="24"/>
        </w:rPr>
        <w:t>人</w:t>
      </w:r>
      <w:r>
        <w:rPr>
          <w:rFonts w:hint="eastAsia"/>
          <w:sz w:val="24"/>
        </w:rPr>
        <w:t>将运用公司固有资金认购本基金基金份额金额不低于1000万元，认购的基金份额持有期限不低于三年。但基金管理人</w:t>
      </w:r>
      <w:r w:rsidR="00A76E3E">
        <w:rPr>
          <w:rFonts w:hint="eastAsia"/>
          <w:sz w:val="24"/>
        </w:rPr>
        <w:t>作为发起资金提供方认购</w:t>
      </w:r>
      <w:r>
        <w:rPr>
          <w:rFonts w:hint="eastAsia"/>
          <w:sz w:val="24"/>
        </w:rPr>
        <w:t>本基金，并不代表对本基金的风险或收益的任何判断、预测、推荐和保证，发起资金也并不用于对投资人投资亏损的补偿，投资人及</w:t>
      </w:r>
      <w:r>
        <w:rPr>
          <w:rFonts w:hint="eastAsia"/>
          <w:bCs/>
          <w:sz w:val="24"/>
        </w:rPr>
        <w:t>发起资金提供方</w:t>
      </w:r>
      <w:r>
        <w:rPr>
          <w:rFonts w:hint="eastAsia"/>
          <w:sz w:val="24"/>
        </w:rPr>
        <w:t>均自行承担投资风险。本基金管理人认购的本基金基金份额持有期限满三年后，本基金管理</w:t>
      </w:r>
      <w:r>
        <w:rPr>
          <w:sz w:val="24"/>
        </w:rPr>
        <w:t>人</w:t>
      </w:r>
      <w:r>
        <w:rPr>
          <w:rFonts w:hint="eastAsia"/>
          <w:sz w:val="24"/>
        </w:rPr>
        <w:t>将根据自身情况决定是否继续持有，届时本基金管理</w:t>
      </w:r>
      <w:r>
        <w:rPr>
          <w:sz w:val="24"/>
        </w:rPr>
        <w:t>人</w:t>
      </w:r>
      <w:r>
        <w:rPr>
          <w:rFonts w:hint="eastAsia"/>
          <w:sz w:val="24"/>
        </w:rPr>
        <w:t>有可能赎回所持有的本基金基金份额。</w:t>
      </w:r>
    </w:p>
    <w:p w14:paraId="01EFA729" w14:textId="3A7EF81F" w:rsidR="005C311E" w:rsidRDefault="00716026" w:rsidP="007C5B37">
      <w:pPr>
        <w:pStyle w:val="20"/>
        <w:adjustRightInd w:val="0"/>
        <w:snapToGrid w:val="0"/>
        <w:ind w:firstLine="480"/>
        <w:rPr>
          <w:sz w:val="24"/>
        </w:rPr>
      </w:pPr>
      <w:r>
        <w:rPr>
          <w:rFonts w:hint="eastAsia"/>
          <w:bCs/>
          <w:sz w:val="24"/>
        </w:rPr>
        <w:t>基金合同生效之日起3年后的对应自然日，若基金资产净值低于2亿元，本基金应当按照基金合同约定的程序进行清算并终止，且不得通过召开基金份额持有人大会的方式延续</w:t>
      </w:r>
      <w:r>
        <w:rPr>
          <w:rFonts w:hint="eastAsia"/>
          <w:sz w:val="24"/>
        </w:rPr>
        <w:t>。</w:t>
      </w:r>
      <w:r w:rsidR="005C311E" w:rsidRPr="005C311E">
        <w:rPr>
          <w:rFonts w:hint="eastAsia"/>
          <w:sz w:val="24"/>
        </w:rPr>
        <w:t>若出现标的指数不符合要求（因成份股价格波动等指数编制方法变动之外的因素致使标的指数不符合要求的情形除外）、指数编制机构退出等情形，基金管理人召集基金份额持有人大会对解决方案进行表决，基金份额持有人大会未成功召开或</w:t>
      </w:r>
      <w:r w:rsidR="005C311E">
        <w:rPr>
          <w:rFonts w:hint="eastAsia"/>
          <w:sz w:val="24"/>
        </w:rPr>
        <w:t>就上述事项表决未通过的，本基金将终止基金合同并进行基金财产清算。</w:t>
      </w:r>
      <w:r w:rsidR="005C311E" w:rsidRPr="005C311E">
        <w:rPr>
          <w:rFonts w:hint="eastAsia"/>
          <w:sz w:val="24"/>
        </w:rPr>
        <w:t>故基金份额持有人可能面临基金合同终止</w:t>
      </w:r>
      <w:r w:rsidR="0086629A" w:rsidRPr="0086629A">
        <w:rPr>
          <w:rFonts w:hint="eastAsia"/>
          <w:sz w:val="24"/>
        </w:rPr>
        <w:t>无法继续投资本基金</w:t>
      </w:r>
      <w:r w:rsidR="005C311E" w:rsidRPr="005C311E">
        <w:rPr>
          <w:rFonts w:hint="eastAsia"/>
          <w:sz w:val="24"/>
        </w:rPr>
        <w:t>的风险。</w:t>
      </w:r>
    </w:p>
    <w:p w14:paraId="61EC8CA9" w14:textId="77777777" w:rsidR="00BF4A4E" w:rsidRDefault="00BF4A4E">
      <w:pPr>
        <w:pStyle w:val="20"/>
        <w:adjustRightInd w:val="0"/>
        <w:snapToGrid w:val="0"/>
        <w:ind w:firstLine="480"/>
        <w:rPr>
          <w:sz w:val="24"/>
        </w:rPr>
      </w:pPr>
      <w:r>
        <w:rPr>
          <w:rFonts w:hint="eastAsia"/>
          <w:sz w:val="24"/>
        </w:rPr>
        <w:t>当本基金持有特定资产且存在或潜在大额赎回申请时，基金管理人履行相应程序后，可以启用侧袋机制，具体详见基金合同和</w:t>
      </w:r>
      <w:r w:rsidR="009176EE">
        <w:rPr>
          <w:rFonts w:hint="eastAsia"/>
          <w:sz w:val="24"/>
        </w:rPr>
        <w:t>本</w:t>
      </w:r>
      <w:r>
        <w:rPr>
          <w:rFonts w:hint="eastAsia"/>
          <w:sz w:val="24"/>
        </w:rPr>
        <w:t>招募说明书的有关章节。请基金份额持有人仔细阅读相关内容并关注本基金启用侧袋机制时的特定风险。</w:t>
      </w:r>
    </w:p>
    <w:p w14:paraId="02C87B0B" w14:textId="77777777" w:rsidR="007B0C7F" w:rsidRDefault="00433189" w:rsidP="007B0C7F">
      <w:pPr>
        <w:pStyle w:val="20"/>
        <w:adjustRightInd w:val="0"/>
        <w:snapToGrid w:val="0"/>
        <w:ind w:firstLine="480"/>
        <w:rPr>
          <w:bCs/>
          <w:sz w:val="24"/>
        </w:rPr>
      </w:pPr>
      <w:r w:rsidRPr="00433189">
        <w:rPr>
          <w:rFonts w:hint="eastAsia"/>
          <w:bCs/>
          <w:sz w:val="24"/>
        </w:rPr>
        <w:t>本基金的投资范围包括存托凭证，若投资可能面临中国存托凭证价格大幅波动甚至出现较大亏损的风险，以及与创新企业、境外发行人、中国存托凭证发行</w:t>
      </w:r>
      <w:r w:rsidRPr="00433189">
        <w:rPr>
          <w:rFonts w:hint="eastAsia"/>
          <w:bCs/>
          <w:sz w:val="24"/>
        </w:rPr>
        <w:lastRenderedPageBreak/>
        <w:t>机制以及交易机制等相关的风险。</w:t>
      </w:r>
    </w:p>
    <w:p w14:paraId="259AF2F2" w14:textId="6025125C" w:rsidR="00E40036" w:rsidRPr="007B0C7F" w:rsidRDefault="007B0C7F" w:rsidP="00CC39E5">
      <w:pPr>
        <w:pStyle w:val="20"/>
        <w:adjustRightInd w:val="0"/>
        <w:snapToGrid w:val="0"/>
        <w:ind w:firstLine="480"/>
        <w:rPr>
          <w:sz w:val="24"/>
        </w:rPr>
      </w:pPr>
      <w:r>
        <w:rPr>
          <w:rFonts w:ascii="黑体" w:hAnsi="黑体" w:hint="eastAsia"/>
          <w:bCs/>
          <w:sz w:val="24"/>
        </w:rPr>
        <w:t>本基金主要投资于目标</w:t>
      </w:r>
      <w:r>
        <w:rPr>
          <w:rFonts w:hint="eastAsia"/>
          <w:bCs/>
          <w:sz w:val="24"/>
        </w:rPr>
        <w:t>ETF</w:t>
      </w:r>
      <w:r>
        <w:rPr>
          <w:rFonts w:ascii="黑体" w:hAnsi="黑体" w:hint="eastAsia"/>
          <w:bCs/>
          <w:sz w:val="24"/>
        </w:rPr>
        <w:t>、标的指数成份股及备选成份股，存在跟踪误差控制未达约定目标、指数编制机构停止服务、成份股停牌等潜在风险，具体风险详见本招募说明书“风险揭示”部分。</w:t>
      </w:r>
    </w:p>
    <w:p w14:paraId="360EF321" w14:textId="7691FD18" w:rsidR="00037807" w:rsidRDefault="00E40036">
      <w:pPr>
        <w:pStyle w:val="20"/>
        <w:adjustRightInd w:val="0"/>
        <w:snapToGrid w:val="0"/>
        <w:ind w:firstLine="480"/>
        <w:rPr>
          <w:sz w:val="24"/>
        </w:rPr>
      </w:pPr>
      <w:r w:rsidRPr="00DC0B6A">
        <w:rPr>
          <w:rFonts w:hint="eastAsia"/>
          <w:sz w:val="24"/>
        </w:rPr>
        <w:t>本基金可投资于科创板股票，</w:t>
      </w:r>
      <w:r w:rsidR="0025319F">
        <w:rPr>
          <w:rFonts w:hint="eastAsia"/>
          <w:sz w:val="24"/>
        </w:rPr>
        <w:t>若投资，</w:t>
      </w:r>
      <w:r w:rsidRPr="00DC0B6A">
        <w:rPr>
          <w:rFonts w:hint="eastAsia"/>
          <w:sz w:val="24"/>
        </w:rPr>
        <w:t>会面临科创板机制下因投资标的、市场制度以及交易规则等差异带来的特有风险，包括但不限于科创板上市公司股票价格波动较大的风险、流动性风险、退市风险和投资集中风险等</w:t>
      </w:r>
      <w:r w:rsidR="00037807">
        <w:rPr>
          <w:rFonts w:hint="eastAsia"/>
          <w:sz w:val="24"/>
        </w:rPr>
        <w:t>。</w:t>
      </w:r>
    </w:p>
    <w:p w14:paraId="33001672" w14:textId="40AF9936" w:rsidR="00BF4A4E" w:rsidRDefault="00BF4A4E">
      <w:pPr>
        <w:pStyle w:val="20"/>
        <w:adjustRightInd w:val="0"/>
        <w:snapToGrid w:val="0"/>
        <w:ind w:firstLine="480"/>
        <w:rPr>
          <w:sz w:val="24"/>
        </w:rPr>
      </w:pPr>
      <w:r>
        <w:rPr>
          <w:rFonts w:hint="eastAsia"/>
          <w:sz w:val="24"/>
        </w:rPr>
        <w:t>投资有风险，投资人在进行投资决策前，请仔细阅读本招募说明书、基金合同、基金产品资料概要等信息披露文件，了解本基金的风险收益特征，并根据自身的投资目的、投资期限、投资经验、资产状况等判断基金是否和投资人的风险承受能力相适应。</w:t>
      </w:r>
    </w:p>
    <w:p w14:paraId="2569EE9B" w14:textId="77777777" w:rsidR="00BF4A4E" w:rsidRDefault="00BF4A4E">
      <w:pPr>
        <w:pStyle w:val="20"/>
        <w:adjustRightInd w:val="0"/>
        <w:snapToGrid w:val="0"/>
        <w:ind w:firstLine="480"/>
        <w:rPr>
          <w:sz w:val="24"/>
        </w:rPr>
      </w:pPr>
      <w:r>
        <w:rPr>
          <w:rFonts w:hint="eastAsia"/>
          <w:sz w:val="24"/>
        </w:rPr>
        <w:t>基金管理人承诺以恪尽职守、诚实信用、谨慎勤勉的原则管理和运用基金资产，但不保证本基金一定盈利，也不保证最低收益。</w:t>
      </w:r>
      <w:r>
        <w:rPr>
          <w:rFonts w:hint="eastAsia"/>
          <w:bCs/>
          <w:sz w:val="24"/>
        </w:rPr>
        <w:t>当投资人赎回时，所得可能会高于或低于投资人先前所支付的金额。</w:t>
      </w:r>
      <w:r>
        <w:rPr>
          <w:rFonts w:hint="eastAsia"/>
          <w:sz w:val="24"/>
        </w:rPr>
        <w:t>投资人应当认真阅读基金合同、基金招募说明书、</w:t>
      </w:r>
      <w:r>
        <w:rPr>
          <w:sz w:val="24"/>
        </w:rPr>
        <w:t>基金产品资料概要</w:t>
      </w:r>
      <w:r>
        <w:rPr>
          <w:rFonts w:hint="eastAsia"/>
          <w:sz w:val="24"/>
        </w:rPr>
        <w:t>等信息披露文件，自主判断基金的投资价值，自主做出投资决策，自行承担投资风险。</w:t>
      </w:r>
      <w:r>
        <w:rPr>
          <w:rFonts w:hint="eastAsia"/>
          <w:b/>
          <w:bCs/>
          <w:sz w:val="24"/>
        </w:rPr>
        <w:t>投资者应当认真阅读并完全理解基金合同第二十部分规定的免责条款、第二十一部分规定的争议处理方式。</w:t>
      </w:r>
      <w:r>
        <w:rPr>
          <w:rFonts w:hint="eastAsia"/>
          <w:sz w:val="24"/>
        </w:rPr>
        <w:t>本基金的过往业绩及其净值高低并不预示其未来业绩表现。基金管理人所管理的其他基金的业绩并不构成对本基金业绩表现的保证。基金管理人提醒投资人基金投资的“买者自负”原则，在做出投资决策后，基金运营状况与基金净值变化引致的投资风险，由投资人自行负担。</w:t>
      </w:r>
    </w:p>
    <w:p w14:paraId="6BF365F4" w14:textId="77777777" w:rsidR="00BF4A4E" w:rsidRDefault="00BF4A4E">
      <w:pPr>
        <w:pStyle w:val="20"/>
        <w:adjustRightInd w:val="0"/>
        <w:snapToGrid w:val="0"/>
        <w:ind w:firstLine="480"/>
        <w:rPr>
          <w:sz w:val="24"/>
        </w:rPr>
      </w:pPr>
      <w:r>
        <w:rPr>
          <w:rFonts w:hint="eastAsia"/>
          <w:sz w:val="24"/>
        </w:rPr>
        <w:t>投资人应当通过基金管理人或具有基金销售业务资格的其他机构认购、申购和赎回基金份额，基金销售机构名单详见本招募说明书、本基金的基金份额发售公告以及基金管理人网站公示。</w:t>
      </w:r>
    </w:p>
    <w:p w14:paraId="00825967" w14:textId="2A4A9B44" w:rsidR="008B18E8" w:rsidRDefault="00BF4A4E">
      <w:pPr>
        <w:pStyle w:val="20"/>
        <w:adjustRightInd w:val="0"/>
        <w:snapToGrid w:val="0"/>
        <w:ind w:firstLine="480"/>
        <w:rPr>
          <w:sz w:val="24"/>
        </w:rPr>
      </w:pPr>
      <w:r>
        <w:rPr>
          <w:rFonts w:hint="eastAsia"/>
          <w:sz w:val="24"/>
        </w:rPr>
        <w:t>本基金标的指数为</w:t>
      </w:r>
      <w:r w:rsidR="00FD0AB2">
        <w:rPr>
          <w:rFonts w:hint="eastAsia"/>
          <w:sz w:val="24"/>
        </w:rPr>
        <w:t>中证全指证券公司</w:t>
      </w:r>
      <w:r w:rsidR="00442EA3" w:rsidRPr="0075418D">
        <w:rPr>
          <w:rFonts w:hint="eastAsia"/>
          <w:sz w:val="24"/>
        </w:rPr>
        <w:t>指数</w:t>
      </w:r>
      <w:r w:rsidR="008B18E8" w:rsidRPr="002C4363">
        <w:rPr>
          <w:rFonts w:hint="eastAsia"/>
          <w:sz w:val="24"/>
        </w:rPr>
        <w:t>，标的指数相关信息如下：</w:t>
      </w:r>
    </w:p>
    <w:p w14:paraId="4C95D794" w14:textId="77777777" w:rsidR="005738DB" w:rsidRDefault="005738DB" w:rsidP="005738DB">
      <w:pPr>
        <w:autoSpaceDE w:val="0"/>
        <w:autoSpaceDN w:val="0"/>
        <w:adjustRightInd w:val="0"/>
        <w:snapToGrid w:val="0"/>
        <w:spacing w:line="360" w:lineRule="auto"/>
        <w:ind w:leftChars="50" w:left="105" w:firstLineChars="200" w:firstLine="480"/>
        <w:rPr>
          <w:rFonts w:ascii="宋体" w:hAnsi="宋体"/>
          <w:kern w:val="0"/>
          <w:sz w:val="24"/>
        </w:rPr>
      </w:pPr>
      <w:r>
        <w:rPr>
          <w:rFonts w:ascii="宋体" w:hAnsi="宋体"/>
          <w:kern w:val="0"/>
          <w:sz w:val="24"/>
        </w:rPr>
        <w:t>1、指数名称和代码</w:t>
      </w:r>
    </w:p>
    <w:p w14:paraId="5E2261A5" w14:textId="77777777" w:rsidR="00FD0AB2" w:rsidRPr="00FD0AB2" w:rsidRDefault="00FD0AB2" w:rsidP="00FD0AB2">
      <w:pPr>
        <w:pStyle w:val="20"/>
        <w:ind w:firstLine="480"/>
        <w:rPr>
          <w:kern w:val="0"/>
          <w:sz w:val="24"/>
        </w:rPr>
      </w:pPr>
      <w:r w:rsidRPr="00FD0AB2">
        <w:rPr>
          <w:kern w:val="0"/>
          <w:sz w:val="24"/>
        </w:rPr>
        <w:t xml:space="preserve">指数名称：中证全指证券公司指数 </w:t>
      </w:r>
    </w:p>
    <w:p w14:paraId="6808F172" w14:textId="77777777" w:rsidR="00FD0AB2" w:rsidRPr="00FD0AB2" w:rsidRDefault="00FD0AB2" w:rsidP="00FD0AB2">
      <w:pPr>
        <w:pStyle w:val="20"/>
        <w:ind w:firstLine="480"/>
        <w:rPr>
          <w:kern w:val="0"/>
          <w:sz w:val="24"/>
        </w:rPr>
      </w:pPr>
      <w:r w:rsidRPr="00FD0AB2">
        <w:rPr>
          <w:kern w:val="0"/>
          <w:sz w:val="24"/>
        </w:rPr>
        <w:t xml:space="preserve">指数简称：证券公司 </w:t>
      </w:r>
    </w:p>
    <w:p w14:paraId="3A23A1F1" w14:textId="77777777" w:rsidR="00FD0AB2" w:rsidRPr="00FD0AB2" w:rsidRDefault="00FD0AB2" w:rsidP="00FD0AB2">
      <w:pPr>
        <w:pStyle w:val="20"/>
        <w:ind w:firstLine="480"/>
        <w:rPr>
          <w:kern w:val="0"/>
          <w:sz w:val="24"/>
        </w:rPr>
      </w:pPr>
      <w:r w:rsidRPr="00FD0AB2">
        <w:rPr>
          <w:kern w:val="0"/>
          <w:sz w:val="24"/>
        </w:rPr>
        <w:t>指数代码：399975</w:t>
      </w:r>
    </w:p>
    <w:p w14:paraId="04087A3D" w14:textId="21AD8AD1" w:rsidR="00FD0AB2" w:rsidRPr="00FD0AB2" w:rsidRDefault="00FD0AB2" w:rsidP="00FD0AB2">
      <w:pPr>
        <w:pStyle w:val="20"/>
        <w:ind w:firstLine="480"/>
        <w:rPr>
          <w:kern w:val="0"/>
          <w:sz w:val="24"/>
        </w:rPr>
      </w:pPr>
      <w:bookmarkStart w:id="10" w:name="OLE_LINK54"/>
      <w:bookmarkStart w:id="11" w:name="OLE_LINK55"/>
      <w:r>
        <w:rPr>
          <w:rFonts w:hint="eastAsia"/>
          <w:kern w:val="0"/>
          <w:sz w:val="24"/>
        </w:rPr>
        <w:t>2</w:t>
      </w:r>
      <w:r w:rsidRPr="00FD0AB2">
        <w:rPr>
          <w:kern w:val="0"/>
          <w:sz w:val="24"/>
        </w:rPr>
        <w:t xml:space="preserve">、指数基日和基点 </w:t>
      </w:r>
    </w:p>
    <w:p w14:paraId="544627E9" w14:textId="77777777" w:rsidR="00FD0AB2" w:rsidRPr="00FD0AB2" w:rsidRDefault="00FD0AB2" w:rsidP="00FD0AB2">
      <w:pPr>
        <w:pStyle w:val="20"/>
        <w:ind w:firstLine="480"/>
        <w:rPr>
          <w:kern w:val="0"/>
          <w:sz w:val="24"/>
        </w:rPr>
      </w:pPr>
      <w:r w:rsidRPr="00FD0AB2">
        <w:rPr>
          <w:rFonts w:hint="eastAsia"/>
          <w:kern w:val="0"/>
          <w:sz w:val="24"/>
        </w:rPr>
        <w:lastRenderedPageBreak/>
        <w:t>该指数以20</w:t>
      </w:r>
      <w:r w:rsidRPr="00FD0AB2">
        <w:rPr>
          <w:kern w:val="0"/>
          <w:sz w:val="24"/>
        </w:rPr>
        <w:t>07</w:t>
      </w:r>
      <w:r w:rsidRPr="00FD0AB2">
        <w:rPr>
          <w:rFonts w:hint="eastAsia"/>
          <w:kern w:val="0"/>
          <w:sz w:val="24"/>
        </w:rPr>
        <w:t>年6月3</w:t>
      </w:r>
      <w:r w:rsidRPr="00FD0AB2">
        <w:rPr>
          <w:kern w:val="0"/>
          <w:sz w:val="24"/>
        </w:rPr>
        <w:t>0</w:t>
      </w:r>
      <w:r w:rsidRPr="00FD0AB2">
        <w:rPr>
          <w:rFonts w:hint="eastAsia"/>
          <w:kern w:val="0"/>
          <w:sz w:val="24"/>
        </w:rPr>
        <w:t>日为基日，以1000点为基点。</w:t>
      </w:r>
    </w:p>
    <w:p w14:paraId="227606DD" w14:textId="0ACFF703" w:rsidR="00FD0AB2" w:rsidRPr="00FD0AB2" w:rsidRDefault="00FD0AB2" w:rsidP="00FD0AB2">
      <w:pPr>
        <w:pStyle w:val="20"/>
        <w:ind w:firstLine="480"/>
        <w:rPr>
          <w:kern w:val="0"/>
          <w:sz w:val="24"/>
        </w:rPr>
      </w:pPr>
      <w:r>
        <w:rPr>
          <w:rFonts w:hint="eastAsia"/>
          <w:kern w:val="0"/>
          <w:sz w:val="24"/>
        </w:rPr>
        <w:t>3</w:t>
      </w:r>
      <w:r w:rsidRPr="00FD0AB2">
        <w:rPr>
          <w:kern w:val="0"/>
          <w:sz w:val="24"/>
        </w:rPr>
        <w:t>、样本选取方法</w:t>
      </w:r>
    </w:p>
    <w:p w14:paraId="24F2115F" w14:textId="313B0BEF" w:rsidR="00FD0AB2" w:rsidRPr="00FD0AB2" w:rsidRDefault="00FD0AB2" w:rsidP="00FD0AB2">
      <w:pPr>
        <w:pStyle w:val="20"/>
        <w:ind w:firstLine="480"/>
        <w:rPr>
          <w:kern w:val="0"/>
          <w:sz w:val="24"/>
        </w:rPr>
      </w:pPr>
      <w:r>
        <w:rPr>
          <w:rFonts w:hint="eastAsia"/>
          <w:kern w:val="0"/>
          <w:sz w:val="24"/>
        </w:rPr>
        <w:t>（1）</w:t>
      </w:r>
      <w:r w:rsidRPr="00FD0AB2">
        <w:rPr>
          <w:kern w:val="0"/>
          <w:sz w:val="24"/>
        </w:rPr>
        <w:t xml:space="preserve">样本空间 </w:t>
      </w:r>
    </w:p>
    <w:p w14:paraId="75912F1E" w14:textId="77777777" w:rsidR="00FD0AB2" w:rsidRPr="00FD0AB2" w:rsidRDefault="00FD0AB2" w:rsidP="00FD0AB2">
      <w:pPr>
        <w:pStyle w:val="20"/>
        <w:ind w:firstLine="480"/>
        <w:rPr>
          <w:kern w:val="0"/>
          <w:sz w:val="24"/>
        </w:rPr>
      </w:pPr>
      <w:r w:rsidRPr="00FD0AB2">
        <w:rPr>
          <w:kern w:val="0"/>
          <w:sz w:val="24"/>
        </w:rPr>
        <w:t xml:space="preserve">同中证全指指数的样本空间。 </w:t>
      </w:r>
    </w:p>
    <w:p w14:paraId="5DC98849" w14:textId="3C464C52" w:rsidR="00FD0AB2" w:rsidRPr="00FD0AB2" w:rsidRDefault="00FD0AB2" w:rsidP="00FD0AB2">
      <w:pPr>
        <w:pStyle w:val="20"/>
        <w:ind w:firstLine="480"/>
        <w:rPr>
          <w:kern w:val="0"/>
          <w:sz w:val="24"/>
        </w:rPr>
      </w:pPr>
      <w:r>
        <w:rPr>
          <w:rFonts w:hint="eastAsia"/>
          <w:kern w:val="0"/>
          <w:sz w:val="24"/>
        </w:rPr>
        <w:t>（2）</w:t>
      </w:r>
      <w:r w:rsidRPr="00FD0AB2">
        <w:rPr>
          <w:kern w:val="0"/>
          <w:sz w:val="24"/>
        </w:rPr>
        <w:t xml:space="preserve">选样方法 </w:t>
      </w:r>
    </w:p>
    <w:p w14:paraId="177E3210" w14:textId="6FEAC53F" w:rsidR="00FD0AB2" w:rsidRPr="00FD0AB2" w:rsidRDefault="00FD0AB2" w:rsidP="00FD0AB2">
      <w:pPr>
        <w:pStyle w:val="20"/>
        <w:ind w:firstLine="480"/>
        <w:rPr>
          <w:kern w:val="0"/>
          <w:sz w:val="24"/>
        </w:rPr>
      </w:pPr>
      <w:r w:rsidRPr="00FD0AB2">
        <w:rPr>
          <w:kern w:val="0"/>
          <w:sz w:val="24"/>
        </w:rPr>
        <w:t xml:space="preserve">1）将样本空间证券按中证行业分类方法分类； </w:t>
      </w:r>
    </w:p>
    <w:p w14:paraId="5F53459C" w14:textId="1C9DEB77" w:rsidR="00FD0AB2" w:rsidRPr="00FD0AB2" w:rsidRDefault="00FD0AB2" w:rsidP="00FD0AB2">
      <w:pPr>
        <w:pStyle w:val="20"/>
        <w:ind w:firstLine="480"/>
        <w:rPr>
          <w:kern w:val="0"/>
          <w:sz w:val="24"/>
        </w:rPr>
      </w:pPr>
      <w:r w:rsidRPr="00FD0AB2">
        <w:rPr>
          <w:kern w:val="0"/>
          <w:sz w:val="24"/>
        </w:rPr>
        <w:t>2）如果行业内证券数量少于或等于 50 只，则全部证券作为相应全指行业指数的样本；</w:t>
      </w:r>
    </w:p>
    <w:p w14:paraId="18A25B8C" w14:textId="715EE528" w:rsidR="00FD0AB2" w:rsidRPr="00FD0AB2" w:rsidRDefault="00FD0AB2" w:rsidP="00FD0AB2">
      <w:pPr>
        <w:pStyle w:val="20"/>
        <w:ind w:firstLine="480"/>
        <w:rPr>
          <w:kern w:val="0"/>
          <w:sz w:val="24"/>
        </w:rPr>
      </w:pPr>
      <w:r w:rsidRPr="00FD0AB2">
        <w:rPr>
          <w:kern w:val="0"/>
          <w:sz w:val="24"/>
        </w:rPr>
        <w:t>3）</w:t>
      </w:r>
      <w:r w:rsidRPr="00FD0AB2">
        <w:rPr>
          <w:rFonts w:hint="eastAsia"/>
          <w:kern w:val="0"/>
          <w:sz w:val="24"/>
        </w:rPr>
        <w:t>如果行业内证券数量多于 50 只，则依次剔除行业内全部证券成交金额排名后10%的证券以及累积总市值占比达行业内全部证券98%以后的证券，剔除过程中优先确保剩余证券数量不少于 50 只，将剩余证券作为相应行业指数的</w:t>
      </w:r>
      <w:r w:rsidRPr="00FD0AB2">
        <w:rPr>
          <w:kern w:val="0"/>
          <w:sz w:val="24"/>
        </w:rPr>
        <w:t>样本。</w:t>
      </w:r>
    </w:p>
    <w:p w14:paraId="279ED696" w14:textId="2E1A0AB5" w:rsidR="00FD0AB2" w:rsidRPr="00FD0AB2" w:rsidRDefault="00FD0AB2" w:rsidP="00FD0AB2">
      <w:pPr>
        <w:pStyle w:val="20"/>
        <w:ind w:firstLine="480"/>
        <w:rPr>
          <w:kern w:val="0"/>
          <w:sz w:val="24"/>
        </w:rPr>
      </w:pPr>
      <w:r>
        <w:rPr>
          <w:rFonts w:hint="eastAsia"/>
          <w:kern w:val="0"/>
          <w:sz w:val="24"/>
        </w:rPr>
        <w:t>4</w:t>
      </w:r>
      <w:r w:rsidRPr="00FD0AB2">
        <w:rPr>
          <w:rFonts w:hint="eastAsia"/>
          <w:kern w:val="0"/>
          <w:sz w:val="24"/>
        </w:rPr>
        <w:t>、指数计算</w:t>
      </w:r>
    </w:p>
    <w:p w14:paraId="139B1256" w14:textId="77777777" w:rsidR="00FD0AB2" w:rsidRPr="00FD0AB2" w:rsidRDefault="00FD0AB2" w:rsidP="00FD0AB2">
      <w:pPr>
        <w:pStyle w:val="20"/>
        <w:adjustRightInd w:val="0"/>
        <w:snapToGrid w:val="0"/>
        <w:ind w:firstLine="480"/>
        <w:rPr>
          <w:kern w:val="0"/>
          <w:sz w:val="24"/>
        </w:rPr>
      </w:pPr>
      <w:r w:rsidRPr="00FD0AB2">
        <w:rPr>
          <w:rFonts w:hint="eastAsia"/>
          <w:kern w:val="0"/>
          <w:sz w:val="24"/>
        </w:rPr>
        <w:t>指数计算公式为：</w:t>
      </w:r>
    </w:p>
    <w:p w14:paraId="3F1B188D" w14:textId="77777777" w:rsidR="00FD0AB2" w:rsidRPr="00FD0AB2" w:rsidRDefault="00FD0AB2" w:rsidP="00FD0AB2">
      <w:pPr>
        <w:pStyle w:val="20"/>
        <w:adjustRightInd w:val="0"/>
        <w:snapToGrid w:val="0"/>
        <w:ind w:firstLine="480"/>
        <w:rPr>
          <w:kern w:val="0"/>
          <w:sz w:val="24"/>
        </w:rPr>
      </w:pPr>
      <w:r w:rsidRPr="00FD0AB2">
        <w:rPr>
          <w:rFonts w:hint="eastAsia"/>
          <w:kern w:val="0"/>
          <w:sz w:val="24"/>
        </w:rPr>
        <w:t>报告期指数=（报告期样本的调整市值/除数）*1000</w:t>
      </w:r>
    </w:p>
    <w:p w14:paraId="0D89B29E" w14:textId="77777777" w:rsidR="00FD0AB2" w:rsidRPr="00FD0AB2" w:rsidRDefault="00FD0AB2" w:rsidP="00FD0AB2">
      <w:pPr>
        <w:pStyle w:val="20"/>
        <w:adjustRightInd w:val="0"/>
        <w:snapToGrid w:val="0"/>
        <w:ind w:firstLine="480"/>
        <w:rPr>
          <w:kern w:val="0"/>
          <w:sz w:val="24"/>
        </w:rPr>
      </w:pPr>
      <w:r w:rsidRPr="00FD0AB2">
        <w:rPr>
          <w:rFonts w:hint="eastAsia"/>
          <w:kern w:val="0"/>
          <w:sz w:val="24"/>
        </w:rPr>
        <w:t>其中，调整市值＝ ∑(证券价格×调整股本数×权重因子)。</w:t>
      </w:r>
      <w:r w:rsidRPr="00FD0AB2">
        <w:rPr>
          <w:kern w:val="0"/>
          <w:sz w:val="24"/>
        </w:rPr>
        <w:t>调整股本数的计算方法、除数修正方法参见计算与维护细则。单个样本权重上限为</w:t>
      </w:r>
      <w:r w:rsidRPr="00FD0AB2">
        <w:rPr>
          <w:rFonts w:hint="eastAsia"/>
          <w:kern w:val="0"/>
          <w:sz w:val="24"/>
        </w:rPr>
        <w:t>1</w:t>
      </w:r>
      <w:r w:rsidRPr="00FD0AB2">
        <w:rPr>
          <w:kern w:val="0"/>
          <w:sz w:val="24"/>
        </w:rPr>
        <w:t>5%。</w:t>
      </w:r>
    </w:p>
    <w:p w14:paraId="7695FF42" w14:textId="45CCB1EC" w:rsidR="00FD0AB2" w:rsidRPr="00FD0AB2" w:rsidRDefault="00FD0AB2" w:rsidP="00FD0AB2">
      <w:pPr>
        <w:pStyle w:val="20"/>
        <w:ind w:firstLine="480"/>
        <w:rPr>
          <w:kern w:val="0"/>
          <w:sz w:val="24"/>
        </w:rPr>
      </w:pPr>
      <w:r>
        <w:rPr>
          <w:rFonts w:hint="eastAsia"/>
          <w:kern w:val="0"/>
          <w:sz w:val="24"/>
        </w:rPr>
        <w:t>5</w:t>
      </w:r>
      <w:r w:rsidRPr="00FD0AB2">
        <w:rPr>
          <w:kern w:val="0"/>
          <w:sz w:val="24"/>
        </w:rPr>
        <w:t xml:space="preserve">、指数样本和权重调整 </w:t>
      </w:r>
    </w:p>
    <w:p w14:paraId="736E7917" w14:textId="4FA512DE" w:rsidR="00FD0AB2" w:rsidRPr="00FD0AB2" w:rsidRDefault="00FD0AB2" w:rsidP="00FD0AB2">
      <w:pPr>
        <w:pStyle w:val="20"/>
        <w:ind w:firstLine="480"/>
        <w:rPr>
          <w:kern w:val="0"/>
          <w:sz w:val="24"/>
        </w:rPr>
      </w:pPr>
      <w:r>
        <w:rPr>
          <w:rFonts w:hint="eastAsia"/>
          <w:kern w:val="0"/>
          <w:sz w:val="24"/>
        </w:rPr>
        <w:t>（1）</w:t>
      </w:r>
      <w:r w:rsidRPr="00FD0AB2">
        <w:rPr>
          <w:kern w:val="0"/>
          <w:sz w:val="24"/>
        </w:rPr>
        <w:t xml:space="preserve">定期调整 </w:t>
      </w:r>
    </w:p>
    <w:p w14:paraId="702859C5" w14:textId="77777777" w:rsidR="00FD0AB2" w:rsidRPr="00FD0AB2" w:rsidRDefault="00FD0AB2" w:rsidP="00FD0AB2">
      <w:pPr>
        <w:pStyle w:val="20"/>
        <w:ind w:firstLine="480"/>
        <w:rPr>
          <w:kern w:val="0"/>
          <w:sz w:val="24"/>
        </w:rPr>
      </w:pPr>
      <w:r w:rsidRPr="00FD0AB2">
        <w:rPr>
          <w:kern w:val="0"/>
          <w:sz w:val="24"/>
        </w:rPr>
        <w:t xml:space="preserve">指数样本每半年调整一次，样本调整实施时间分别为每年 6月和12月的第 二个星期五的下一交易日。 </w:t>
      </w:r>
    </w:p>
    <w:p w14:paraId="5708C27E" w14:textId="77777777" w:rsidR="00FD0AB2" w:rsidRPr="00FD0AB2" w:rsidRDefault="00FD0AB2" w:rsidP="00FD0AB2">
      <w:pPr>
        <w:pStyle w:val="20"/>
        <w:ind w:firstLine="480"/>
        <w:rPr>
          <w:kern w:val="0"/>
          <w:sz w:val="24"/>
        </w:rPr>
      </w:pPr>
      <w:r w:rsidRPr="00FD0AB2">
        <w:rPr>
          <w:kern w:val="0"/>
          <w:sz w:val="24"/>
        </w:rPr>
        <w:t xml:space="preserve">权重因子随样本定期调整而调整，调整时间与指数样本定期调整实施时间相同。在下一个定期调整日前，权重因子一般固定不变。 </w:t>
      </w:r>
    </w:p>
    <w:p w14:paraId="061A3338" w14:textId="342750DE" w:rsidR="00FD0AB2" w:rsidRPr="00FD0AB2" w:rsidRDefault="00FD0AB2" w:rsidP="00FD0AB2">
      <w:pPr>
        <w:pStyle w:val="20"/>
        <w:ind w:firstLine="480"/>
        <w:rPr>
          <w:kern w:val="0"/>
          <w:sz w:val="24"/>
        </w:rPr>
      </w:pPr>
      <w:r>
        <w:rPr>
          <w:rFonts w:hint="eastAsia"/>
          <w:kern w:val="0"/>
          <w:sz w:val="24"/>
        </w:rPr>
        <w:t>（2）</w:t>
      </w:r>
      <w:r w:rsidRPr="00FD0AB2">
        <w:rPr>
          <w:kern w:val="0"/>
          <w:sz w:val="24"/>
        </w:rPr>
        <w:t xml:space="preserve">临时调整 </w:t>
      </w:r>
    </w:p>
    <w:p w14:paraId="2C977344" w14:textId="362B9DD9" w:rsidR="002C4363" w:rsidRPr="0075418D" w:rsidRDefault="00FD0AB2" w:rsidP="00FD0AB2">
      <w:pPr>
        <w:pStyle w:val="20"/>
        <w:adjustRightInd w:val="0"/>
        <w:snapToGrid w:val="0"/>
        <w:ind w:firstLine="480"/>
        <w:rPr>
          <w:sz w:val="24"/>
        </w:rPr>
      </w:pPr>
      <w:r w:rsidRPr="00FD0AB2">
        <w:rPr>
          <w:kern w:val="0"/>
          <w:sz w:val="24"/>
          <w:szCs w:val="24"/>
        </w:rPr>
        <w:t>当中证全指指数调整样本时，中证全指行业指数样本随之进行相应调整。在样本公司有特殊事件发生，导致其行业归属发生变更时，将对中证全指行业指数样本进行相应调整。当样本退市时，将其从指数样本中剔除。样本公司发生收购、合并、分拆等情形的处理，参照计算与维护细则处理。</w:t>
      </w:r>
    </w:p>
    <w:bookmarkEnd w:id="10"/>
    <w:bookmarkEnd w:id="11"/>
    <w:p w14:paraId="754F0D7B" w14:textId="4746A388" w:rsidR="00BF4A4E" w:rsidRDefault="003570DC">
      <w:pPr>
        <w:pStyle w:val="20"/>
        <w:adjustRightInd w:val="0"/>
        <w:snapToGrid w:val="0"/>
        <w:ind w:firstLine="480"/>
        <w:rPr>
          <w:sz w:val="24"/>
        </w:rPr>
      </w:pPr>
      <w:r w:rsidRPr="0075418D">
        <w:rPr>
          <w:rFonts w:hint="eastAsia"/>
          <w:sz w:val="24"/>
        </w:rPr>
        <w:t>有关标的指数具体编制方案及成份股信息详见中证指数有限公司网站，网址：</w:t>
      </w:r>
      <w:r w:rsidR="00A569B2" w:rsidRPr="0075418D">
        <w:rPr>
          <w:rFonts w:hint="eastAsia"/>
          <w:sz w:val="24"/>
        </w:rPr>
        <w:t xml:space="preserve"> </w:t>
      </w:r>
      <w:r w:rsidRPr="0075418D">
        <w:rPr>
          <w:rFonts w:hint="eastAsia"/>
          <w:sz w:val="24"/>
        </w:rPr>
        <w:t>www.csindex.com.cn。</w:t>
      </w:r>
    </w:p>
    <w:p w14:paraId="74C51587" w14:textId="77777777" w:rsidR="00BF4A4E" w:rsidRDefault="00BF4A4E">
      <w:pPr>
        <w:spacing w:line="360" w:lineRule="auto"/>
        <w:jc w:val="center"/>
        <w:rPr>
          <w:rFonts w:ascii="宋体" w:hAnsi="宋体"/>
          <w:b/>
          <w:sz w:val="32"/>
          <w:szCs w:val="32"/>
        </w:rPr>
      </w:pPr>
      <w:r>
        <w:rPr>
          <w:rFonts w:ascii="宋体" w:hAnsi="宋体" w:cs="SimSun-Identity-H"/>
        </w:rPr>
        <w:br w:type="page"/>
      </w:r>
      <w:bookmarkStart w:id="12" w:name="_Toc413164585"/>
      <w:bookmarkStart w:id="13" w:name="_Toc461548634"/>
      <w:bookmarkStart w:id="14" w:name="_Toc461548757"/>
      <w:bookmarkStart w:id="15" w:name="_Toc461548854"/>
      <w:bookmarkStart w:id="16" w:name="_Toc472089776"/>
      <w:bookmarkStart w:id="17" w:name="_Toc472089836"/>
      <w:bookmarkStart w:id="18" w:name="_Toc479592724"/>
      <w:r>
        <w:rPr>
          <w:rFonts w:ascii="宋体" w:hAnsi="宋体" w:hint="eastAsia"/>
          <w:b/>
          <w:sz w:val="32"/>
          <w:szCs w:val="32"/>
        </w:rPr>
        <w:lastRenderedPageBreak/>
        <w:t xml:space="preserve">目   </w:t>
      </w:r>
      <w:r>
        <w:rPr>
          <w:rFonts w:ascii="宋体" w:hAnsi="宋体"/>
          <w:b/>
          <w:sz w:val="32"/>
          <w:szCs w:val="32"/>
        </w:rPr>
        <w:t xml:space="preserve"> </w:t>
      </w:r>
      <w:r>
        <w:rPr>
          <w:rFonts w:ascii="宋体" w:hAnsi="宋体" w:hint="eastAsia"/>
          <w:b/>
          <w:sz w:val="32"/>
          <w:szCs w:val="32"/>
        </w:rPr>
        <w:t>录</w:t>
      </w:r>
      <w:bookmarkEnd w:id="12"/>
      <w:bookmarkEnd w:id="13"/>
      <w:bookmarkEnd w:id="14"/>
      <w:bookmarkEnd w:id="15"/>
      <w:bookmarkEnd w:id="16"/>
      <w:bookmarkEnd w:id="17"/>
      <w:bookmarkEnd w:id="18"/>
    </w:p>
    <w:p w14:paraId="47D7C0F9" w14:textId="77777777" w:rsidR="00BF4A4E" w:rsidRDefault="00BF4A4E">
      <w:pPr>
        <w:adjustRightInd w:val="0"/>
        <w:snapToGrid w:val="0"/>
        <w:spacing w:line="360" w:lineRule="auto"/>
        <w:jc w:val="center"/>
        <w:rPr>
          <w:rFonts w:ascii="宋体" w:hAnsi="宋体" w:cs="SimSun-Identity-H"/>
          <w:b/>
          <w:sz w:val="28"/>
          <w:szCs w:val="28"/>
        </w:rPr>
      </w:pPr>
    </w:p>
    <w:bookmarkStart w:id="19" w:name="_GoBack"/>
    <w:bookmarkEnd w:id="19"/>
    <w:p w14:paraId="3B12DDB5" w14:textId="39A84C9A" w:rsidR="00447880" w:rsidRPr="00096940" w:rsidRDefault="00BF4A4E">
      <w:pPr>
        <w:pStyle w:val="11"/>
        <w:rPr>
          <w:rFonts w:ascii="宋体" w:cs="Times New Roman"/>
          <w:b w:val="0"/>
          <w:noProof/>
          <w:sz w:val="22"/>
          <w:szCs w:val="22"/>
        </w:rPr>
      </w:pPr>
      <w:r w:rsidRPr="00096940">
        <w:rPr>
          <w:rFonts w:ascii="宋体" w:cs="Times New Roman"/>
          <w:b w:val="0"/>
          <w:kern w:val="2"/>
          <w:sz w:val="24"/>
        </w:rPr>
        <w:fldChar w:fldCharType="begin"/>
      </w:r>
      <w:r w:rsidRPr="00096940">
        <w:rPr>
          <w:rStyle w:val="a4"/>
          <w:rFonts w:ascii="宋体" w:cs="Times New Roman"/>
          <w:b w:val="0"/>
          <w:kern w:val="2"/>
          <w:sz w:val="24"/>
        </w:rPr>
        <w:instrText xml:space="preserve"> TOC \o "1-1" \h \z \u </w:instrText>
      </w:r>
      <w:r w:rsidRPr="00096940">
        <w:rPr>
          <w:rFonts w:ascii="宋体" w:cs="Times New Roman"/>
          <w:b w:val="0"/>
          <w:kern w:val="2"/>
          <w:sz w:val="24"/>
        </w:rPr>
        <w:fldChar w:fldCharType="separate"/>
      </w:r>
      <w:hyperlink w:anchor="_Toc103003343" w:history="1">
        <w:r w:rsidR="00447880" w:rsidRPr="00096940">
          <w:rPr>
            <w:rStyle w:val="a4"/>
            <w:rFonts w:ascii="宋体" w:hint="eastAsia"/>
            <w:noProof/>
          </w:rPr>
          <w:t>第一部分</w:t>
        </w:r>
        <w:r w:rsidR="00447880" w:rsidRPr="00096940">
          <w:rPr>
            <w:rStyle w:val="a4"/>
            <w:rFonts w:ascii="宋体"/>
            <w:noProof/>
          </w:rPr>
          <w:t xml:space="preserve">  </w:t>
        </w:r>
        <w:r w:rsidR="00447880" w:rsidRPr="00096940">
          <w:rPr>
            <w:rStyle w:val="a4"/>
            <w:rFonts w:ascii="宋体" w:hint="eastAsia"/>
            <w:noProof/>
          </w:rPr>
          <w:t>绪言</w:t>
        </w:r>
        <w:r w:rsidR="00447880" w:rsidRPr="00096940">
          <w:rPr>
            <w:rFonts w:ascii="宋体"/>
            <w:noProof/>
            <w:webHidden/>
          </w:rPr>
          <w:tab/>
        </w:r>
        <w:r w:rsidR="00447880" w:rsidRPr="00096940">
          <w:rPr>
            <w:rFonts w:ascii="宋体"/>
            <w:noProof/>
            <w:webHidden/>
          </w:rPr>
          <w:fldChar w:fldCharType="begin"/>
        </w:r>
        <w:r w:rsidR="00447880" w:rsidRPr="00096940">
          <w:rPr>
            <w:rFonts w:ascii="宋体"/>
            <w:noProof/>
            <w:webHidden/>
          </w:rPr>
          <w:instrText xml:space="preserve"> PAGEREF _Toc103003343 \h </w:instrText>
        </w:r>
        <w:r w:rsidR="00447880" w:rsidRPr="00096940">
          <w:rPr>
            <w:rFonts w:ascii="宋体"/>
            <w:noProof/>
            <w:webHidden/>
          </w:rPr>
        </w:r>
        <w:r w:rsidR="00447880" w:rsidRPr="00096940">
          <w:rPr>
            <w:rFonts w:ascii="宋体"/>
            <w:noProof/>
            <w:webHidden/>
          </w:rPr>
          <w:fldChar w:fldCharType="separate"/>
        </w:r>
        <w:r w:rsidR="00CF3897">
          <w:rPr>
            <w:rFonts w:ascii="宋体"/>
            <w:noProof/>
            <w:webHidden/>
          </w:rPr>
          <w:t>6</w:t>
        </w:r>
        <w:r w:rsidR="00447880" w:rsidRPr="00096940">
          <w:rPr>
            <w:rFonts w:ascii="宋体"/>
            <w:noProof/>
            <w:webHidden/>
          </w:rPr>
          <w:fldChar w:fldCharType="end"/>
        </w:r>
      </w:hyperlink>
    </w:p>
    <w:p w14:paraId="5DD04D02" w14:textId="609F4A91" w:rsidR="00447880" w:rsidRPr="00096940" w:rsidRDefault="00FE279F">
      <w:pPr>
        <w:pStyle w:val="11"/>
        <w:rPr>
          <w:rFonts w:ascii="宋体" w:cs="Times New Roman"/>
          <w:b w:val="0"/>
          <w:noProof/>
          <w:sz w:val="22"/>
          <w:szCs w:val="22"/>
        </w:rPr>
      </w:pPr>
      <w:hyperlink w:anchor="_Toc103003344" w:history="1">
        <w:r w:rsidR="00447880" w:rsidRPr="00096940">
          <w:rPr>
            <w:rStyle w:val="a4"/>
            <w:rFonts w:ascii="宋体" w:hint="eastAsia"/>
            <w:noProof/>
          </w:rPr>
          <w:t>第二部分</w:t>
        </w:r>
        <w:r w:rsidR="00447880" w:rsidRPr="00096940">
          <w:rPr>
            <w:rStyle w:val="a4"/>
            <w:rFonts w:ascii="宋体"/>
            <w:noProof/>
          </w:rPr>
          <w:t xml:space="preserve">  </w:t>
        </w:r>
        <w:r w:rsidR="00447880" w:rsidRPr="00096940">
          <w:rPr>
            <w:rStyle w:val="a4"/>
            <w:rFonts w:ascii="宋体" w:hint="eastAsia"/>
            <w:noProof/>
          </w:rPr>
          <w:t>释义</w:t>
        </w:r>
        <w:r w:rsidR="00447880" w:rsidRPr="00096940">
          <w:rPr>
            <w:rFonts w:ascii="宋体"/>
            <w:noProof/>
            <w:webHidden/>
          </w:rPr>
          <w:tab/>
        </w:r>
        <w:r w:rsidR="00447880" w:rsidRPr="00096940">
          <w:rPr>
            <w:rFonts w:ascii="宋体"/>
            <w:noProof/>
            <w:webHidden/>
          </w:rPr>
          <w:fldChar w:fldCharType="begin"/>
        </w:r>
        <w:r w:rsidR="00447880" w:rsidRPr="00096940">
          <w:rPr>
            <w:rFonts w:ascii="宋体"/>
            <w:noProof/>
            <w:webHidden/>
          </w:rPr>
          <w:instrText xml:space="preserve"> PAGEREF _Toc103003344 \h </w:instrText>
        </w:r>
        <w:r w:rsidR="00447880" w:rsidRPr="00096940">
          <w:rPr>
            <w:rFonts w:ascii="宋体"/>
            <w:noProof/>
            <w:webHidden/>
          </w:rPr>
        </w:r>
        <w:r w:rsidR="00447880" w:rsidRPr="00096940">
          <w:rPr>
            <w:rFonts w:ascii="宋体"/>
            <w:noProof/>
            <w:webHidden/>
          </w:rPr>
          <w:fldChar w:fldCharType="separate"/>
        </w:r>
        <w:r w:rsidR="00CF3897">
          <w:rPr>
            <w:rFonts w:ascii="宋体"/>
            <w:noProof/>
            <w:webHidden/>
          </w:rPr>
          <w:t>7</w:t>
        </w:r>
        <w:r w:rsidR="00447880" w:rsidRPr="00096940">
          <w:rPr>
            <w:rFonts w:ascii="宋体"/>
            <w:noProof/>
            <w:webHidden/>
          </w:rPr>
          <w:fldChar w:fldCharType="end"/>
        </w:r>
      </w:hyperlink>
    </w:p>
    <w:p w14:paraId="1B2720EB" w14:textId="396AC2D9" w:rsidR="00447880" w:rsidRPr="00096940" w:rsidRDefault="00FE279F">
      <w:pPr>
        <w:pStyle w:val="11"/>
        <w:rPr>
          <w:rFonts w:ascii="宋体" w:cs="Times New Roman"/>
          <w:b w:val="0"/>
          <w:noProof/>
          <w:sz w:val="22"/>
          <w:szCs w:val="22"/>
        </w:rPr>
      </w:pPr>
      <w:hyperlink w:anchor="_Toc103003345" w:history="1">
        <w:r w:rsidR="00447880" w:rsidRPr="00096940">
          <w:rPr>
            <w:rStyle w:val="a4"/>
            <w:rFonts w:ascii="宋体" w:hint="eastAsia"/>
            <w:noProof/>
          </w:rPr>
          <w:t>第三部分</w:t>
        </w:r>
        <w:r w:rsidR="00447880" w:rsidRPr="00096940">
          <w:rPr>
            <w:rStyle w:val="a4"/>
            <w:rFonts w:ascii="宋体"/>
            <w:noProof/>
          </w:rPr>
          <w:t xml:space="preserve">  </w:t>
        </w:r>
        <w:r w:rsidR="00447880" w:rsidRPr="00096940">
          <w:rPr>
            <w:rStyle w:val="a4"/>
            <w:rFonts w:ascii="宋体" w:hint="eastAsia"/>
            <w:noProof/>
          </w:rPr>
          <w:t>基金管理人</w:t>
        </w:r>
        <w:r w:rsidR="00447880" w:rsidRPr="00096940">
          <w:rPr>
            <w:rFonts w:ascii="宋体"/>
            <w:noProof/>
            <w:webHidden/>
          </w:rPr>
          <w:tab/>
        </w:r>
        <w:r w:rsidR="00447880" w:rsidRPr="00096940">
          <w:rPr>
            <w:rFonts w:ascii="宋体"/>
            <w:noProof/>
            <w:webHidden/>
          </w:rPr>
          <w:fldChar w:fldCharType="begin"/>
        </w:r>
        <w:r w:rsidR="00447880" w:rsidRPr="00096940">
          <w:rPr>
            <w:rFonts w:ascii="宋体"/>
            <w:noProof/>
            <w:webHidden/>
          </w:rPr>
          <w:instrText xml:space="preserve"> PAGEREF _Toc103003345 \h </w:instrText>
        </w:r>
        <w:r w:rsidR="00447880" w:rsidRPr="00096940">
          <w:rPr>
            <w:rFonts w:ascii="宋体"/>
            <w:noProof/>
            <w:webHidden/>
          </w:rPr>
        </w:r>
        <w:r w:rsidR="00447880" w:rsidRPr="00096940">
          <w:rPr>
            <w:rFonts w:ascii="宋体"/>
            <w:noProof/>
            <w:webHidden/>
          </w:rPr>
          <w:fldChar w:fldCharType="separate"/>
        </w:r>
        <w:r w:rsidR="00CF3897">
          <w:rPr>
            <w:rFonts w:ascii="宋体"/>
            <w:noProof/>
            <w:webHidden/>
          </w:rPr>
          <w:t>13</w:t>
        </w:r>
        <w:r w:rsidR="00447880" w:rsidRPr="00096940">
          <w:rPr>
            <w:rFonts w:ascii="宋体"/>
            <w:noProof/>
            <w:webHidden/>
          </w:rPr>
          <w:fldChar w:fldCharType="end"/>
        </w:r>
      </w:hyperlink>
    </w:p>
    <w:p w14:paraId="47268D05" w14:textId="7EC54882" w:rsidR="00447880" w:rsidRPr="00096940" w:rsidRDefault="00FE279F">
      <w:pPr>
        <w:pStyle w:val="11"/>
        <w:rPr>
          <w:rFonts w:ascii="宋体" w:cs="Times New Roman"/>
          <w:b w:val="0"/>
          <w:noProof/>
          <w:sz w:val="22"/>
          <w:szCs w:val="22"/>
        </w:rPr>
      </w:pPr>
      <w:hyperlink w:anchor="_Toc103003346" w:history="1">
        <w:r w:rsidR="00447880" w:rsidRPr="00096940">
          <w:rPr>
            <w:rStyle w:val="a4"/>
            <w:rFonts w:ascii="宋体" w:hint="eastAsia"/>
            <w:noProof/>
          </w:rPr>
          <w:t>第四部分</w:t>
        </w:r>
        <w:r w:rsidR="00447880" w:rsidRPr="00096940">
          <w:rPr>
            <w:rStyle w:val="a4"/>
            <w:rFonts w:ascii="宋体"/>
            <w:noProof/>
          </w:rPr>
          <w:t xml:space="preserve">  </w:t>
        </w:r>
        <w:r w:rsidR="00447880" w:rsidRPr="00096940">
          <w:rPr>
            <w:rStyle w:val="a4"/>
            <w:rFonts w:ascii="宋体" w:hint="eastAsia"/>
            <w:noProof/>
          </w:rPr>
          <w:t>基金托管人</w:t>
        </w:r>
        <w:r w:rsidR="00447880" w:rsidRPr="00096940">
          <w:rPr>
            <w:rFonts w:ascii="宋体"/>
            <w:noProof/>
            <w:webHidden/>
          </w:rPr>
          <w:tab/>
        </w:r>
        <w:r w:rsidR="00447880" w:rsidRPr="00096940">
          <w:rPr>
            <w:rFonts w:ascii="宋体"/>
            <w:noProof/>
            <w:webHidden/>
          </w:rPr>
          <w:fldChar w:fldCharType="begin"/>
        </w:r>
        <w:r w:rsidR="00447880" w:rsidRPr="00096940">
          <w:rPr>
            <w:rFonts w:ascii="宋体"/>
            <w:noProof/>
            <w:webHidden/>
          </w:rPr>
          <w:instrText xml:space="preserve"> PAGEREF _Toc103003346 \h </w:instrText>
        </w:r>
        <w:r w:rsidR="00447880" w:rsidRPr="00096940">
          <w:rPr>
            <w:rFonts w:ascii="宋体"/>
            <w:noProof/>
            <w:webHidden/>
          </w:rPr>
        </w:r>
        <w:r w:rsidR="00447880" w:rsidRPr="00096940">
          <w:rPr>
            <w:rFonts w:ascii="宋体"/>
            <w:noProof/>
            <w:webHidden/>
          </w:rPr>
          <w:fldChar w:fldCharType="separate"/>
        </w:r>
        <w:r w:rsidR="00CF3897">
          <w:rPr>
            <w:rFonts w:ascii="宋体"/>
            <w:noProof/>
            <w:webHidden/>
          </w:rPr>
          <w:t>29</w:t>
        </w:r>
        <w:r w:rsidR="00447880" w:rsidRPr="00096940">
          <w:rPr>
            <w:rFonts w:ascii="宋体"/>
            <w:noProof/>
            <w:webHidden/>
          </w:rPr>
          <w:fldChar w:fldCharType="end"/>
        </w:r>
      </w:hyperlink>
    </w:p>
    <w:p w14:paraId="2CFCD4C1" w14:textId="1F16A1FD" w:rsidR="00447880" w:rsidRPr="00096940" w:rsidRDefault="00FE279F">
      <w:pPr>
        <w:pStyle w:val="11"/>
        <w:rPr>
          <w:rFonts w:ascii="宋体" w:cs="Times New Roman"/>
          <w:b w:val="0"/>
          <w:noProof/>
          <w:sz w:val="22"/>
          <w:szCs w:val="22"/>
        </w:rPr>
      </w:pPr>
      <w:hyperlink w:anchor="_Toc103003347" w:history="1">
        <w:r w:rsidR="00447880" w:rsidRPr="00096940">
          <w:rPr>
            <w:rStyle w:val="a4"/>
            <w:rFonts w:ascii="宋体" w:hint="eastAsia"/>
            <w:noProof/>
          </w:rPr>
          <w:t>第五部分</w:t>
        </w:r>
        <w:r w:rsidR="00447880" w:rsidRPr="00096940">
          <w:rPr>
            <w:rStyle w:val="a4"/>
            <w:rFonts w:ascii="宋体"/>
            <w:noProof/>
          </w:rPr>
          <w:t xml:space="preserve">  </w:t>
        </w:r>
        <w:r w:rsidR="00447880" w:rsidRPr="00096940">
          <w:rPr>
            <w:rStyle w:val="a4"/>
            <w:rFonts w:ascii="宋体" w:hint="eastAsia"/>
            <w:noProof/>
          </w:rPr>
          <w:t>相关服务机构</w:t>
        </w:r>
        <w:r w:rsidR="00447880" w:rsidRPr="00096940">
          <w:rPr>
            <w:rFonts w:ascii="宋体"/>
            <w:noProof/>
            <w:webHidden/>
          </w:rPr>
          <w:tab/>
        </w:r>
        <w:r w:rsidR="00447880" w:rsidRPr="00096940">
          <w:rPr>
            <w:rFonts w:ascii="宋体"/>
            <w:noProof/>
            <w:webHidden/>
          </w:rPr>
          <w:fldChar w:fldCharType="begin"/>
        </w:r>
        <w:r w:rsidR="00447880" w:rsidRPr="00096940">
          <w:rPr>
            <w:rFonts w:ascii="宋体"/>
            <w:noProof/>
            <w:webHidden/>
          </w:rPr>
          <w:instrText xml:space="preserve"> PAGEREF _Toc103003347 \h </w:instrText>
        </w:r>
        <w:r w:rsidR="00447880" w:rsidRPr="00096940">
          <w:rPr>
            <w:rFonts w:ascii="宋体"/>
            <w:noProof/>
            <w:webHidden/>
          </w:rPr>
        </w:r>
        <w:r w:rsidR="00447880" w:rsidRPr="00096940">
          <w:rPr>
            <w:rFonts w:ascii="宋体"/>
            <w:noProof/>
            <w:webHidden/>
          </w:rPr>
          <w:fldChar w:fldCharType="separate"/>
        </w:r>
        <w:r w:rsidR="00CF3897">
          <w:rPr>
            <w:rFonts w:ascii="宋体"/>
            <w:noProof/>
            <w:webHidden/>
          </w:rPr>
          <w:t>36</w:t>
        </w:r>
        <w:r w:rsidR="00447880" w:rsidRPr="00096940">
          <w:rPr>
            <w:rFonts w:ascii="宋体"/>
            <w:noProof/>
            <w:webHidden/>
          </w:rPr>
          <w:fldChar w:fldCharType="end"/>
        </w:r>
      </w:hyperlink>
    </w:p>
    <w:p w14:paraId="7A7AC514" w14:textId="5EE17407" w:rsidR="00447880" w:rsidRPr="00096940" w:rsidRDefault="00FE279F">
      <w:pPr>
        <w:pStyle w:val="11"/>
        <w:rPr>
          <w:rFonts w:ascii="宋体" w:cs="Times New Roman"/>
          <w:b w:val="0"/>
          <w:noProof/>
          <w:sz w:val="22"/>
          <w:szCs w:val="22"/>
        </w:rPr>
      </w:pPr>
      <w:hyperlink w:anchor="_Toc103003348" w:history="1">
        <w:r w:rsidR="00447880" w:rsidRPr="00096940">
          <w:rPr>
            <w:rStyle w:val="a4"/>
            <w:rFonts w:ascii="宋体" w:hint="eastAsia"/>
            <w:noProof/>
          </w:rPr>
          <w:t>第六部分</w:t>
        </w:r>
        <w:r w:rsidR="00447880" w:rsidRPr="00096940">
          <w:rPr>
            <w:rStyle w:val="a4"/>
            <w:rFonts w:ascii="宋体"/>
            <w:noProof/>
          </w:rPr>
          <w:t xml:space="preserve">  </w:t>
        </w:r>
        <w:r w:rsidR="00447880" w:rsidRPr="00096940">
          <w:rPr>
            <w:rStyle w:val="a4"/>
            <w:rFonts w:ascii="宋体" w:hint="eastAsia"/>
            <w:noProof/>
          </w:rPr>
          <w:t>基金的募集</w:t>
        </w:r>
        <w:r w:rsidR="00447880" w:rsidRPr="00096940">
          <w:rPr>
            <w:rFonts w:ascii="宋体"/>
            <w:noProof/>
            <w:webHidden/>
          </w:rPr>
          <w:tab/>
        </w:r>
        <w:r w:rsidR="00447880" w:rsidRPr="00096940">
          <w:rPr>
            <w:rFonts w:ascii="宋体"/>
            <w:noProof/>
            <w:webHidden/>
          </w:rPr>
          <w:fldChar w:fldCharType="begin"/>
        </w:r>
        <w:r w:rsidR="00447880" w:rsidRPr="00096940">
          <w:rPr>
            <w:rFonts w:ascii="宋体"/>
            <w:noProof/>
            <w:webHidden/>
          </w:rPr>
          <w:instrText xml:space="preserve"> PAGEREF _Toc103003348 \h </w:instrText>
        </w:r>
        <w:r w:rsidR="00447880" w:rsidRPr="00096940">
          <w:rPr>
            <w:rFonts w:ascii="宋体"/>
            <w:noProof/>
            <w:webHidden/>
          </w:rPr>
        </w:r>
        <w:r w:rsidR="00447880" w:rsidRPr="00096940">
          <w:rPr>
            <w:rFonts w:ascii="宋体"/>
            <w:noProof/>
            <w:webHidden/>
          </w:rPr>
          <w:fldChar w:fldCharType="separate"/>
        </w:r>
        <w:r w:rsidR="00CF3897">
          <w:rPr>
            <w:rFonts w:ascii="宋体"/>
            <w:noProof/>
            <w:webHidden/>
          </w:rPr>
          <w:t>41</w:t>
        </w:r>
        <w:r w:rsidR="00447880" w:rsidRPr="00096940">
          <w:rPr>
            <w:rFonts w:ascii="宋体"/>
            <w:noProof/>
            <w:webHidden/>
          </w:rPr>
          <w:fldChar w:fldCharType="end"/>
        </w:r>
      </w:hyperlink>
    </w:p>
    <w:p w14:paraId="52E78FB8" w14:textId="507B6AE3" w:rsidR="00447880" w:rsidRPr="00096940" w:rsidRDefault="00FE279F">
      <w:pPr>
        <w:pStyle w:val="11"/>
        <w:rPr>
          <w:rFonts w:ascii="宋体" w:cs="Times New Roman"/>
          <w:b w:val="0"/>
          <w:noProof/>
          <w:sz w:val="22"/>
          <w:szCs w:val="22"/>
        </w:rPr>
      </w:pPr>
      <w:hyperlink w:anchor="_Toc103003349" w:history="1">
        <w:r w:rsidR="00447880" w:rsidRPr="00096940">
          <w:rPr>
            <w:rStyle w:val="a4"/>
            <w:rFonts w:ascii="宋体" w:hint="eastAsia"/>
            <w:noProof/>
          </w:rPr>
          <w:t>第七部分</w:t>
        </w:r>
        <w:r w:rsidR="00447880" w:rsidRPr="00096940">
          <w:rPr>
            <w:rStyle w:val="a4"/>
            <w:rFonts w:ascii="宋体"/>
            <w:noProof/>
          </w:rPr>
          <w:t xml:space="preserve">  </w:t>
        </w:r>
        <w:r w:rsidR="00447880" w:rsidRPr="00096940">
          <w:rPr>
            <w:rStyle w:val="a4"/>
            <w:rFonts w:ascii="宋体" w:hint="eastAsia"/>
            <w:noProof/>
          </w:rPr>
          <w:t>基金合同的生效</w:t>
        </w:r>
        <w:r w:rsidR="00447880" w:rsidRPr="00096940">
          <w:rPr>
            <w:rFonts w:ascii="宋体"/>
            <w:noProof/>
            <w:webHidden/>
          </w:rPr>
          <w:tab/>
        </w:r>
        <w:r w:rsidR="00447880" w:rsidRPr="00096940">
          <w:rPr>
            <w:rFonts w:ascii="宋体"/>
            <w:noProof/>
            <w:webHidden/>
          </w:rPr>
          <w:fldChar w:fldCharType="begin"/>
        </w:r>
        <w:r w:rsidR="00447880" w:rsidRPr="00096940">
          <w:rPr>
            <w:rFonts w:ascii="宋体"/>
            <w:noProof/>
            <w:webHidden/>
          </w:rPr>
          <w:instrText xml:space="preserve"> PAGEREF _Toc103003349 \h </w:instrText>
        </w:r>
        <w:r w:rsidR="00447880" w:rsidRPr="00096940">
          <w:rPr>
            <w:rFonts w:ascii="宋体"/>
            <w:noProof/>
            <w:webHidden/>
          </w:rPr>
        </w:r>
        <w:r w:rsidR="00447880" w:rsidRPr="00096940">
          <w:rPr>
            <w:rFonts w:ascii="宋体"/>
            <w:noProof/>
            <w:webHidden/>
          </w:rPr>
          <w:fldChar w:fldCharType="separate"/>
        </w:r>
        <w:r w:rsidR="00CF3897">
          <w:rPr>
            <w:rFonts w:ascii="宋体"/>
            <w:noProof/>
            <w:webHidden/>
          </w:rPr>
          <w:t>48</w:t>
        </w:r>
        <w:r w:rsidR="00447880" w:rsidRPr="00096940">
          <w:rPr>
            <w:rFonts w:ascii="宋体"/>
            <w:noProof/>
            <w:webHidden/>
          </w:rPr>
          <w:fldChar w:fldCharType="end"/>
        </w:r>
      </w:hyperlink>
    </w:p>
    <w:p w14:paraId="18815EA3" w14:textId="03831645" w:rsidR="00447880" w:rsidRPr="00096940" w:rsidRDefault="00FE279F">
      <w:pPr>
        <w:pStyle w:val="11"/>
        <w:rPr>
          <w:rFonts w:ascii="宋体" w:cs="Times New Roman"/>
          <w:b w:val="0"/>
          <w:noProof/>
          <w:sz w:val="22"/>
          <w:szCs w:val="22"/>
        </w:rPr>
      </w:pPr>
      <w:hyperlink w:anchor="_Toc103003350" w:history="1">
        <w:r w:rsidR="00447880" w:rsidRPr="00096940">
          <w:rPr>
            <w:rStyle w:val="a4"/>
            <w:rFonts w:ascii="宋体" w:hint="eastAsia"/>
            <w:noProof/>
          </w:rPr>
          <w:t>第八部分</w:t>
        </w:r>
        <w:r w:rsidR="00447880" w:rsidRPr="00096940">
          <w:rPr>
            <w:rStyle w:val="a4"/>
            <w:rFonts w:ascii="宋体"/>
            <w:noProof/>
          </w:rPr>
          <w:t xml:space="preserve">  </w:t>
        </w:r>
        <w:r w:rsidR="00447880" w:rsidRPr="00096940">
          <w:rPr>
            <w:rStyle w:val="a4"/>
            <w:rFonts w:ascii="宋体" w:hint="eastAsia"/>
            <w:noProof/>
          </w:rPr>
          <w:t>基金份额的申购与赎回</w:t>
        </w:r>
        <w:r w:rsidR="00447880" w:rsidRPr="00096940">
          <w:rPr>
            <w:rFonts w:ascii="宋体"/>
            <w:noProof/>
            <w:webHidden/>
          </w:rPr>
          <w:tab/>
        </w:r>
        <w:r w:rsidR="00447880" w:rsidRPr="00096940">
          <w:rPr>
            <w:rFonts w:ascii="宋体"/>
            <w:noProof/>
            <w:webHidden/>
          </w:rPr>
          <w:fldChar w:fldCharType="begin"/>
        </w:r>
        <w:r w:rsidR="00447880" w:rsidRPr="00096940">
          <w:rPr>
            <w:rFonts w:ascii="宋体"/>
            <w:noProof/>
            <w:webHidden/>
          </w:rPr>
          <w:instrText xml:space="preserve"> PAGEREF _Toc103003350 \h </w:instrText>
        </w:r>
        <w:r w:rsidR="00447880" w:rsidRPr="00096940">
          <w:rPr>
            <w:rFonts w:ascii="宋体"/>
            <w:noProof/>
            <w:webHidden/>
          </w:rPr>
        </w:r>
        <w:r w:rsidR="00447880" w:rsidRPr="00096940">
          <w:rPr>
            <w:rFonts w:ascii="宋体"/>
            <w:noProof/>
            <w:webHidden/>
          </w:rPr>
          <w:fldChar w:fldCharType="separate"/>
        </w:r>
        <w:r w:rsidR="00CF3897">
          <w:rPr>
            <w:rFonts w:ascii="宋体"/>
            <w:noProof/>
            <w:webHidden/>
          </w:rPr>
          <w:t>50</w:t>
        </w:r>
        <w:r w:rsidR="00447880" w:rsidRPr="00096940">
          <w:rPr>
            <w:rFonts w:ascii="宋体"/>
            <w:noProof/>
            <w:webHidden/>
          </w:rPr>
          <w:fldChar w:fldCharType="end"/>
        </w:r>
      </w:hyperlink>
    </w:p>
    <w:p w14:paraId="3618500F" w14:textId="1BE302C0" w:rsidR="00447880" w:rsidRPr="00096940" w:rsidRDefault="00FE279F">
      <w:pPr>
        <w:pStyle w:val="11"/>
        <w:rPr>
          <w:rFonts w:ascii="宋体" w:cs="Times New Roman"/>
          <w:b w:val="0"/>
          <w:noProof/>
          <w:sz w:val="22"/>
          <w:szCs w:val="22"/>
        </w:rPr>
      </w:pPr>
      <w:hyperlink w:anchor="_Toc103003351" w:history="1">
        <w:r w:rsidR="00447880" w:rsidRPr="00096940">
          <w:rPr>
            <w:rStyle w:val="a4"/>
            <w:rFonts w:ascii="宋体" w:hint="eastAsia"/>
            <w:noProof/>
          </w:rPr>
          <w:t>第九部分</w:t>
        </w:r>
        <w:r w:rsidR="00447880" w:rsidRPr="00096940">
          <w:rPr>
            <w:rStyle w:val="a4"/>
            <w:rFonts w:ascii="宋体"/>
            <w:noProof/>
          </w:rPr>
          <w:t xml:space="preserve">  </w:t>
        </w:r>
        <w:r w:rsidR="00447880" w:rsidRPr="00096940">
          <w:rPr>
            <w:rStyle w:val="a4"/>
            <w:rFonts w:ascii="宋体" w:hint="eastAsia"/>
            <w:noProof/>
          </w:rPr>
          <w:t>基金的投资</w:t>
        </w:r>
        <w:r w:rsidR="00447880" w:rsidRPr="00096940">
          <w:rPr>
            <w:rFonts w:ascii="宋体"/>
            <w:noProof/>
            <w:webHidden/>
          </w:rPr>
          <w:tab/>
        </w:r>
        <w:r w:rsidR="00447880" w:rsidRPr="00096940">
          <w:rPr>
            <w:rFonts w:ascii="宋体"/>
            <w:noProof/>
            <w:webHidden/>
          </w:rPr>
          <w:fldChar w:fldCharType="begin"/>
        </w:r>
        <w:r w:rsidR="00447880" w:rsidRPr="00096940">
          <w:rPr>
            <w:rFonts w:ascii="宋体"/>
            <w:noProof/>
            <w:webHidden/>
          </w:rPr>
          <w:instrText xml:space="preserve"> PAGEREF _Toc103003351 \h </w:instrText>
        </w:r>
        <w:r w:rsidR="00447880" w:rsidRPr="00096940">
          <w:rPr>
            <w:rFonts w:ascii="宋体"/>
            <w:noProof/>
            <w:webHidden/>
          </w:rPr>
        </w:r>
        <w:r w:rsidR="00447880" w:rsidRPr="00096940">
          <w:rPr>
            <w:rFonts w:ascii="宋体"/>
            <w:noProof/>
            <w:webHidden/>
          </w:rPr>
          <w:fldChar w:fldCharType="separate"/>
        </w:r>
        <w:r w:rsidR="00CF3897">
          <w:rPr>
            <w:rFonts w:ascii="宋体"/>
            <w:noProof/>
            <w:webHidden/>
          </w:rPr>
          <w:t>63</w:t>
        </w:r>
        <w:r w:rsidR="00447880" w:rsidRPr="00096940">
          <w:rPr>
            <w:rFonts w:ascii="宋体"/>
            <w:noProof/>
            <w:webHidden/>
          </w:rPr>
          <w:fldChar w:fldCharType="end"/>
        </w:r>
      </w:hyperlink>
    </w:p>
    <w:p w14:paraId="5DC415CE" w14:textId="222A2331" w:rsidR="00447880" w:rsidRPr="00096940" w:rsidRDefault="00FE279F">
      <w:pPr>
        <w:pStyle w:val="11"/>
        <w:rPr>
          <w:rFonts w:ascii="宋体" w:cs="Times New Roman"/>
          <w:b w:val="0"/>
          <w:noProof/>
          <w:sz w:val="22"/>
          <w:szCs w:val="22"/>
        </w:rPr>
      </w:pPr>
      <w:hyperlink w:anchor="_Toc103003352" w:history="1">
        <w:r w:rsidR="00447880" w:rsidRPr="00096940">
          <w:rPr>
            <w:rStyle w:val="a4"/>
            <w:rFonts w:ascii="宋体" w:hint="eastAsia"/>
            <w:noProof/>
          </w:rPr>
          <w:t>第十部分</w:t>
        </w:r>
        <w:r w:rsidR="00447880" w:rsidRPr="00096940">
          <w:rPr>
            <w:rStyle w:val="a4"/>
            <w:rFonts w:ascii="宋体"/>
            <w:noProof/>
          </w:rPr>
          <w:t xml:space="preserve">  </w:t>
        </w:r>
        <w:r w:rsidR="00447880" w:rsidRPr="00096940">
          <w:rPr>
            <w:rStyle w:val="a4"/>
            <w:rFonts w:ascii="宋体" w:hint="eastAsia"/>
            <w:noProof/>
          </w:rPr>
          <w:t>基金的财产</w:t>
        </w:r>
        <w:r w:rsidR="00447880" w:rsidRPr="00096940">
          <w:rPr>
            <w:rFonts w:ascii="宋体"/>
            <w:noProof/>
            <w:webHidden/>
          </w:rPr>
          <w:tab/>
        </w:r>
        <w:r w:rsidR="00447880" w:rsidRPr="00096940">
          <w:rPr>
            <w:rFonts w:ascii="宋体"/>
            <w:noProof/>
            <w:webHidden/>
          </w:rPr>
          <w:fldChar w:fldCharType="begin"/>
        </w:r>
        <w:r w:rsidR="00447880" w:rsidRPr="00096940">
          <w:rPr>
            <w:rFonts w:ascii="宋体"/>
            <w:noProof/>
            <w:webHidden/>
          </w:rPr>
          <w:instrText xml:space="preserve"> PAGEREF _Toc103003352 \h </w:instrText>
        </w:r>
        <w:r w:rsidR="00447880" w:rsidRPr="00096940">
          <w:rPr>
            <w:rFonts w:ascii="宋体"/>
            <w:noProof/>
            <w:webHidden/>
          </w:rPr>
        </w:r>
        <w:r w:rsidR="00447880" w:rsidRPr="00096940">
          <w:rPr>
            <w:rFonts w:ascii="宋体"/>
            <w:noProof/>
            <w:webHidden/>
          </w:rPr>
          <w:fldChar w:fldCharType="separate"/>
        </w:r>
        <w:r w:rsidR="00CF3897">
          <w:rPr>
            <w:rFonts w:ascii="宋体"/>
            <w:noProof/>
            <w:webHidden/>
          </w:rPr>
          <w:t>74</w:t>
        </w:r>
        <w:r w:rsidR="00447880" w:rsidRPr="00096940">
          <w:rPr>
            <w:rFonts w:ascii="宋体"/>
            <w:noProof/>
            <w:webHidden/>
          </w:rPr>
          <w:fldChar w:fldCharType="end"/>
        </w:r>
      </w:hyperlink>
    </w:p>
    <w:p w14:paraId="46856F2E" w14:textId="22920E5D" w:rsidR="00447880" w:rsidRPr="00096940" w:rsidRDefault="00FE279F">
      <w:pPr>
        <w:pStyle w:val="11"/>
        <w:rPr>
          <w:rFonts w:ascii="宋体" w:cs="Times New Roman"/>
          <w:b w:val="0"/>
          <w:noProof/>
          <w:sz w:val="22"/>
          <w:szCs w:val="22"/>
        </w:rPr>
      </w:pPr>
      <w:hyperlink w:anchor="_Toc103003353" w:history="1">
        <w:r w:rsidR="00447880" w:rsidRPr="00096940">
          <w:rPr>
            <w:rStyle w:val="a4"/>
            <w:rFonts w:ascii="宋体" w:hint="eastAsia"/>
            <w:noProof/>
          </w:rPr>
          <w:t>第十一部分</w:t>
        </w:r>
        <w:r w:rsidR="00447880" w:rsidRPr="00096940">
          <w:rPr>
            <w:rStyle w:val="a4"/>
            <w:rFonts w:ascii="宋体"/>
            <w:noProof/>
          </w:rPr>
          <w:t xml:space="preserve">  </w:t>
        </w:r>
        <w:r w:rsidR="00447880" w:rsidRPr="00096940">
          <w:rPr>
            <w:rStyle w:val="a4"/>
            <w:rFonts w:ascii="宋体" w:hint="eastAsia"/>
            <w:noProof/>
          </w:rPr>
          <w:t>基金资产估值</w:t>
        </w:r>
        <w:r w:rsidR="00447880" w:rsidRPr="00096940">
          <w:rPr>
            <w:rFonts w:ascii="宋体"/>
            <w:noProof/>
            <w:webHidden/>
          </w:rPr>
          <w:tab/>
        </w:r>
        <w:r w:rsidR="00447880" w:rsidRPr="00096940">
          <w:rPr>
            <w:rFonts w:ascii="宋体"/>
            <w:noProof/>
            <w:webHidden/>
          </w:rPr>
          <w:fldChar w:fldCharType="begin"/>
        </w:r>
        <w:r w:rsidR="00447880" w:rsidRPr="00096940">
          <w:rPr>
            <w:rFonts w:ascii="宋体"/>
            <w:noProof/>
            <w:webHidden/>
          </w:rPr>
          <w:instrText xml:space="preserve"> PAGEREF _Toc103003353 \h </w:instrText>
        </w:r>
        <w:r w:rsidR="00447880" w:rsidRPr="00096940">
          <w:rPr>
            <w:rFonts w:ascii="宋体"/>
            <w:noProof/>
            <w:webHidden/>
          </w:rPr>
        </w:r>
        <w:r w:rsidR="00447880" w:rsidRPr="00096940">
          <w:rPr>
            <w:rFonts w:ascii="宋体"/>
            <w:noProof/>
            <w:webHidden/>
          </w:rPr>
          <w:fldChar w:fldCharType="separate"/>
        </w:r>
        <w:r w:rsidR="00CF3897">
          <w:rPr>
            <w:rFonts w:ascii="宋体"/>
            <w:noProof/>
            <w:webHidden/>
          </w:rPr>
          <w:t>75</w:t>
        </w:r>
        <w:r w:rsidR="00447880" w:rsidRPr="00096940">
          <w:rPr>
            <w:rFonts w:ascii="宋体"/>
            <w:noProof/>
            <w:webHidden/>
          </w:rPr>
          <w:fldChar w:fldCharType="end"/>
        </w:r>
      </w:hyperlink>
    </w:p>
    <w:p w14:paraId="08070E68" w14:textId="6E48541F" w:rsidR="00447880" w:rsidRPr="00096940" w:rsidRDefault="00FE279F">
      <w:pPr>
        <w:pStyle w:val="11"/>
        <w:rPr>
          <w:rFonts w:ascii="宋体" w:cs="Times New Roman"/>
          <w:b w:val="0"/>
          <w:noProof/>
          <w:sz w:val="22"/>
          <w:szCs w:val="22"/>
        </w:rPr>
      </w:pPr>
      <w:hyperlink w:anchor="_Toc103003354" w:history="1">
        <w:r w:rsidR="00447880" w:rsidRPr="00096940">
          <w:rPr>
            <w:rStyle w:val="a4"/>
            <w:rFonts w:ascii="宋体" w:hint="eastAsia"/>
            <w:noProof/>
          </w:rPr>
          <w:t>第十二部分</w:t>
        </w:r>
        <w:r w:rsidR="00447880" w:rsidRPr="00096940">
          <w:rPr>
            <w:rStyle w:val="a4"/>
            <w:rFonts w:ascii="宋体"/>
            <w:noProof/>
          </w:rPr>
          <w:t xml:space="preserve">  </w:t>
        </w:r>
        <w:r w:rsidR="00447880" w:rsidRPr="00096940">
          <w:rPr>
            <w:rStyle w:val="a4"/>
            <w:rFonts w:ascii="宋体" w:hint="eastAsia"/>
            <w:noProof/>
          </w:rPr>
          <w:t>基金的费用与税收</w:t>
        </w:r>
        <w:r w:rsidR="00447880" w:rsidRPr="00096940">
          <w:rPr>
            <w:rFonts w:ascii="宋体"/>
            <w:noProof/>
            <w:webHidden/>
          </w:rPr>
          <w:tab/>
        </w:r>
        <w:r w:rsidR="00447880" w:rsidRPr="00096940">
          <w:rPr>
            <w:rFonts w:ascii="宋体"/>
            <w:noProof/>
            <w:webHidden/>
          </w:rPr>
          <w:fldChar w:fldCharType="begin"/>
        </w:r>
        <w:r w:rsidR="00447880" w:rsidRPr="00096940">
          <w:rPr>
            <w:rFonts w:ascii="宋体"/>
            <w:noProof/>
            <w:webHidden/>
          </w:rPr>
          <w:instrText xml:space="preserve"> PAGEREF _Toc103003354 \h </w:instrText>
        </w:r>
        <w:r w:rsidR="00447880" w:rsidRPr="00096940">
          <w:rPr>
            <w:rFonts w:ascii="宋体"/>
            <w:noProof/>
            <w:webHidden/>
          </w:rPr>
        </w:r>
        <w:r w:rsidR="00447880" w:rsidRPr="00096940">
          <w:rPr>
            <w:rFonts w:ascii="宋体"/>
            <w:noProof/>
            <w:webHidden/>
          </w:rPr>
          <w:fldChar w:fldCharType="separate"/>
        </w:r>
        <w:r w:rsidR="00CF3897">
          <w:rPr>
            <w:rFonts w:ascii="宋体"/>
            <w:noProof/>
            <w:webHidden/>
          </w:rPr>
          <w:t>83</w:t>
        </w:r>
        <w:r w:rsidR="00447880" w:rsidRPr="00096940">
          <w:rPr>
            <w:rFonts w:ascii="宋体"/>
            <w:noProof/>
            <w:webHidden/>
          </w:rPr>
          <w:fldChar w:fldCharType="end"/>
        </w:r>
      </w:hyperlink>
    </w:p>
    <w:p w14:paraId="11C06554" w14:textId="54073660" w:rsidR="00447880" w:rsidRPr="00096940" w:rsidRDefault="00FE279F">
      <w:pPr>
        <w:pStyle w:val="11"/>
        <w:rPr>
          <w:rFonts w:ascii="宋体" w:cs="Times New Roman"/>
          <w:b w:val="0"/>
          <w:noProof/>
          <w:sz w:val="22"/>
          <w:szCs w:val="22"/>
        </w:rPr>
      </w:pPr>
      <w:hyperlink w:anchor="_Toc103003355" w:history="1">
        <w:r w:rsidR="00447880" w:rsidRPr="00096940">
          <w:rPr>
            <w:rStyle w:val="a4"/>
            <w:rFonts w:ascii="宋体" w:hint="eastAsia"/>
            <w:noProof/>
          </w:rPr>
          <w:t>第十三部分</w:t>
        </w:r>
        <w:r w:rsidR="00447880" w:rsidRPr="00096940">
          <w:rPr>
            <w:rStyle w:val="a4"/>
            <w:rFonts w:ascii="宋体"/>
            <w:noProof/>
          </w:rPr>
          <w:t xml:space="preserve">  </w:t>
        </w:r>
        <w:r w:rsidR="00447880" w:rsidRPr="00096940">
          <w:rPr>
            <w:rStyle w:val="a4"/>
            <w:rFonts w:ascii="宋体" w:hint="eastAsia"/>
            <w:noProof/>
          </w:rPr>
          <w:t>基金的收益与分配</w:t>
        </w:r>
        <w:r w:rsidR="00447880" w:rsidRPr="00096940">
          <w:rPr>
            <w:rFonts w:ascii="宋体"/>
            <w:noProof/>
            <w:webHidden/>
          </w:rPr>
          <w:tab/>
        </w:r>
        <w:r w:rsidR="00447880" w:rsidRPr="00096940">
          <w:rPr>
            <w:rFonts w:ascii="宋体"/>
            <w:noProof/>
            <w:webHidden/>
          </w:rPr>
          <w:fldChar w:fldCharType="begin"/>
        </w:r>
        <w:r w:rsidR="00447880" w:rsidRPr="00096940">
          <w:rPr>
            <w:rFonts w:ascii="宋体"/>
            <w:noProof/>
            <w:webHidden/>
          </w:rPr>
          <w:instrText xml:space="preserve"> PAGEREF _Toc103003355 \h </w:instrText>
        </w:r>
        <w:r w:rsidR="00447880" w:rsidRPr="00096940">
          <w:rPr>
            <w:rFonts w:ascii="宋体"/>
            <w:noProof/>
            <w:webHidden/>
          </w:rPr>
        </w:r>
        <w:r w:rsidR="00447880" w:rsidRPr="00096940">
          <w:rPr>
            <w:rFonts w:ascii="宋体"/>
            <w:noProof/>
            <w:webHidden/>
          </w:rPr>
          <w:fldChar w:fldCharType="separate"/>
        </w:r>
        <w:r w:rsidR="00CF3897">
          <w:rPr>
            <w:rFonts w:ascii="宋体"/>
            <w:noProof/>
            <w:webHidden/>
          </w:rPr>
          <w:t>86</w:t>
        </w:r>
        <w:r w:rsidR="00447880" w:rsidRPr="00096940">
          <w:rPr>
            <w:rFonts w:ascii="宋体"/>
            <w:noProof/>
            <w:webHidden/>
          </w:rPr>
          <w:fldChar w:fldCharType="end"/>
        </w:r>
      </w:hyperlink>
    </w:p>
    <w:p w14:paraId="1CFC0E2D" w14:textId="778DDCE6" w:rsidR="00447880" w:rsidRPr="00096940" w:rsidRDefault="00FE279F">
      <w:pPr>
        <w:pStyle w:val="11"/>
        <w:rPr>
          <w:rFonts w:ascii="宋体" w:cs="Times New Roman"/>
          <w:b w:val="0"/>
          <w:noProof/>
          <w:sz w:val="22"/>
          <w:szCs w:val="22"/>
        </w:rPr>
      </w:pPr>
      <w:hyperlink w:anchor="_Toc103003356" w:history="1">
        <w:r w:rsidR="00447880" w:rsidRPr="00096940">
          <w:rPr>
            <w:rStyle w:val="a4"/>
            <w:rFonts w:ascii="宋体" w:hint="eastAsia"/>
            <w:noProof/>
          </w:rPr>
          <w:t>第十四部分</w:t>
        </w:r>
        <w:r w:rsidR="00447880" w:rsidRPr="00096940">
          <w:rPr>
            <w:rStyle w:val="a4"/>
            <w:rFonts w:ascii="宋体"/>
            <w:noProof/>
          </w:rPr>
          <w:t xml:space="preserve">  </w:t>
        </w:r>
        <w:r w:rsidR="00447880" w:rsidRPr="00096940">
          <w:rPr>
            <w:rStyle w:val="a4"/>
            <w:rFonts w:ascii="宋体" w:hint="eastAsia"/>
            <w:noProof/>
          </w:rPr>
          <w:t>基金的会计与审计</w:t>
        </w:r>
        <w:r w:rsidR="00447880" w:rsidRPr="00096940">
          <w:rPr>
            <w:rFonts w:ascii="宋体"/>
            <w:noProof/>
            <w:webHidden/>
          </w:rPr>
          <w:tab/>
        </w:r>
        <w:r w:rsidR="00447880" w:rsidRPr="00096940">
          <w:rPr>
            <w:rFonts w:ascii="宋体"/>
            <w:noProof/>
            <w:webHidden/>
          </w:rPr>
          <w:fldChar w:fldCharType="begin"/>
        </w:r>
        <w:r w:rsidR="00447880" w:rsidRPr="00096940">
          <w:rPr>
            <w:rFonts w:ascii="宋体"/>
            <w:noProof/>
            <w:webHidden/>
          </w:rPr>
          <w:instrText xml:space="preserve"> PAGEREF _Toc103003356 \h </w:instrText>
        </w:r>
        <w:r w:rsidR="00447880" w:rsidRPr="00096940">
          <w:rPr>
            <w:rFonts w:ascii="宋体"/>
            <w:noProof/>
            <w:webHidden/>
          </w:rPr>
        </w:r>
        <w:r w:rsidR="00447880" w:rsidRPr="00096940">
          <w:rPr>
            <w:rFonts w:ascii="宋体"/>
            <w:noProof/>
            <w:webHidden/>
          </w:rPr>
          <w:fldChar w:fldCharType="separate"/>
        </w:r>
        <w:r w:rsidR="00CF3897">
          <w:rPr>
            <w:rFonts w:ascii="宋体"/>
            <w:noProof/>
            <w:webHidden/>
          </w:rPr>
          <w:t>88</w:t>
        </w:r>
        <w:r w:rsidR="00447880" w:rsidRPr="00096940">
          <w:rPr>
            <w:rFonts w:ascii="宋体"/>
            <w:noProof/>
            <w:webHidden/>
          </w:rPr>
          <w:fldChar w:fldCharType="end"/>
        </w:r>
      </w:hyperlink>
    </w:p>
    <w:p w14:paraId="0CB892D7" w14:textId="028B259B" w:rsidR="00447880" w:rsidRPr="00096940" w:rsidRDefault="00FE279F">
      <w:pPr>
        <w:pStyle w:val="11"/>
        <w:rPr>
          <w:rFonts w:ascii="宋体" w:cs="Times New Roman"/>
          <w:b w:val="0"/>
          <w:noProof/>
          <w:sz w:val="22"/>
          <w:szCs w:val="22"/>
        </w:rPr>
      </w:pPr>
      <w:hyperlink w:anchor="_Toc103003357" w:history="1">
        <w:r w:rsidR="00447880" w:rsidRPr="00096940">
          <w:rPr>
            <w:rStyle w:val="a4"/>
            <w:rFonts w:ascii="宋体" w:hint="eastAsia"/>
            <w:noProof/>
          </w:rPr>
          <w:t>第十五部分</w:t>
        </w:r>
        <w:r w:rsidR="00447880" w:rsidRPr="00096940">
          <w:rPr>
            <w:rStyle w:val="a4"/>
            <w:rFonts w:ascii="宋体"/>
            <w:noProof/>
          </w:rPr>
          <w:t xml:space="preserve">  </w:t>
        </w:r>
        <w:r w:rsidR="00447880" w:rsidRPr="00096940">
          <w:rPr>
            <w:rStyle w:val="a4"/>
            <w:rFonts w:ascii="宋体" w:hint="eastAsia"/>
            <w:noProof/>
          </w:rPr>
          <w:t>基金的信息披露</w:t>
        </w:r>
        <w:r w:rsidR="00447880" w:rsidRPr="00096940">
          <w:rPr>
            <w:rFonts w:ascii="宋体"/>
            <w:noProof/>
            <w:webHidden/>
          </w:rPr>
          <w:tab/>
        </w:r>
        <w:r w:rsidR="00447880" w:rsidRPr="00096940">
          <w:rPr>
            <w:rFonts w:ascii="宋体"/>
            <w:noProof/>
            <w:webHidden/>
          </w:rPr>
          <w:fldChar w:fldCharType="begin"/>
        </w:r>
        <w:r w:rsidR="00447880" w:rsidRPr="00096940">
          <w:rPr>
            <w:rFonts w:ascii="宋体"/>
            <w:noProof/>
            <w:webHidden/>
          </w:rPr>
          <w:instrText xml:space="preserve"> PAGEREF _Toc103003357 \h </w:instrText>
        </w:r>
        <w:r w:rsidR="00447880" w:rsidRPr="00096940">
          <w:rPr>
            <w:rFonts w:ascii="宋体"/>
            <w:noProof/>
            <w:webHidden/>
          </w:rPr>
        </w:r>
        <w:r w:rsidR="00447880" w:rsidRPr="00096940">
          <w:rPr>
            <w:rFonts w:ascii="宋体"/>
            <w:noProof/>
            <w:webHidden/>
          </w:rPr>
          <w:fldChar w:fldCharType="separate"/>
        </w:r>
        <w:r w:rsidR="00CF3897">
          <w:rPr>
            <w:rFonts w:ascii="宋体"/>
            <w:noProof/>
            <w:webHidden/>
          </w:rPr>
          <w:t>89</w:t>
        </w:r>
        <w:r w:rsidR="00447880" w:rsidRPr="00096940">
          <w:rPr>
            <w:rFonts w:ascii="宋体"/>
            <w:noProof/>
            <w:webHidden/>
          </w:rPr>
          <w:fldChar w:fldCharType="end"/>
        </w:r>
      </w:hyperlink>
    </w:p>
    <w:p w14:paraId="1FE60851" w14:textId="7B09E20A" w:rsidR="00447880" w:rsidRPr="00096940" w:rsidRDefault="00FE279F">
      <w:pPr>
        <w:pStyle w:val="11"/>
        <w:rPr>
          <w:rFonts w:ascii="宋体" w:cs="Times New Roman"/>
          <w:b w:val="0"/>
          <w:noProof/>
          <w:sz w:val="22"/>
          <w:szCs w:val="22"/>
        </w:rPr>
      </w:pPr>
      <w:hyperlink w:anchor="_Toc103003358" w:history="1">
        <w:r w:rsidR="00447880" w:rsidRPr="00096940">
          <w:rPr>
            <w:rStyle w:val="a4"/>
            <w:rFonts w:ascii="宋体" w:hint="eastAsia"/>
            <w:bCs/>
            <w:noProof/>
            <w:kern w:val="32"/>
          </w:rPr>
          <w:t>第十六部分</w:t>
        </w:r>
        <w:r w:rsidR="00447880" w:rsidRPr="00096940">
          <w:rPr>
            <w:rStyle w:val="a4"/>
            <w:rFonts w:ascii="宋体"/>
            <w:bCs/>
            <w:noProof/>
            <w:kern w:val="32"/>
          </w:rPr>
          <w:t xml:space="preserve">  </w:t>
        </w:r>
        <w:r w:rsidR="00447880" w:rsidRPr="00096940">
          <w:rPr>
            <w:rStyle w:val="a4"/>
            <w:rFonts w:ascii="宋体" w:hint="eastAsia"/>
            <w:bCs/>
            <w:noProof/>
            <w:kern w:val="32"/>
          </w:rPr>
          <w:t>侧袋机制</w:t>
        </w:r>
        <w:r w:rsidR="00447880" w:rsidRPr="00096940">
          <w:rPr>
            <w:rFonts w:ascii="宋体"/>
            <w:noProof/>
            <w:webHidden/>
          </w:rPr>
          <w:tab/>
        </w:r>
        <w:r w:rsidR="00447880" w:rsidRPr="00096940">
          <w:rPr>
            <w:rFonts w:ascii="宋体"/>
            <w:noProof/>
            <w:webHidden/>
          </w:rPr>
          <w:fldChar w:fldCharType="begin"/>
        </w:r>
        <w:r w:rsidR="00447880" w:rsidRPr="00096940">
          <w:rPr>
            <w:rFonts w:ascii="宋体"/>
            <w:noProof/>
            <w:webHidden/>
          </w:rPr>
          <w:instrText xml:space="preserve"> PAGEREF _Toc103003358 \h </w:instrText>
        </w:r>
        <w:r w:rsidR="00447880" w:rsidRPr="00096940">
          <w:rPr>
            <w:rFonts w:ascii="宋体"/>
            <w:noProof/>
            <w:webHidden/>
          </w:rPr>
        </w:r>
        <w:r w:rsidR="00447880" w:rsidRPr="00096940">
          <w:rPr>
            <w:rFonts w:ascii="宋体"/>
            <w:noProof/>
            <w:webHidden/>
          </w:rPr>
          <w:fldChar w:fldCharType="separate"/>
        </w:r>
        <w:r w:rsidR="00CF3897">
          <w:rPr>
            <w:rFonts w:ascii="宋体"/>
            <w:noProof/>
            <w:webHidden/>
          </w:rPr>
          <w:t>97</w:t>
        </w:r>
        <w:r w:rsidR="00447880" w:rsidRPr="00096940">
          <w:rPr>
            <w:rFonts w:ascii="宋体"/>
            <w:noProof/>
            <w:webHidden/>
          </w:rPr>
          <w:fldChar w:fldCharType="end"/>
        </w:r>
      </w:hyperlink>
    </w:p>
    <w:p w14:paraId="56D9C678" w14:textId="689164AB" w:rsidR="00447880" w:rsidRPr="00096940" w:rsidRDefault="00FE279F">
      <w:pPr>
        <w:pStyle w:val="11"/>
        <w:rPr>
          <w:rFonts w:ascii="宋体" w:cs="Times New Roman"/>
          <w:b w:val="0"/>
          <w:noProof/>
          <w:sz w:val="22"/>
          <w:szCs w:val="22"/>
        </w:rPr>
      </w:pPr>
      <w:hyperlink w:anchor="_Toc103003359" w:history="1">
        <w:r w:rsidR="00447880" w:rsidRPr="00096940">
          <w:rPr>
            <w:rStyle w:val="a4"/>
            <w:rFonts w:ascii="宋体" w:hint="eastAsia"/>
            <w:noProof/>
          </w:rPr>
          <w:t>第十七部分</w:t>
        </w:r>
        <w:r w:rsidR="00447880" w:rsidRPr="00096940">
          <w:rPr>
            <w:rStyle w:val="a4"/>
            <w:rFonts w:ascii="宋体"/>
            <w:noProof/>
          </w:rPr>
          <w:t xml:space="preserve">  </w:t>
        </w:r>
        <w:r w:rsidR="00447880" w:rsidRPr="00096940">
          <w:rPr>
            <w:rStyle w:val="a4"/>
            <w:rFonts w:ascii="宋体" w:hint="eastAsia"/>
            <w:noProof/>
          </w:rPr>
          <w:t>风险揭示</w:t>
        </w:r>
        <w:r w:rsidR="00447880" w:rsidRPr="00096940">
          <w:rPr>
            <w:rFonts w:ascii="宋体"/>
            <w:noProof/>
            <w:webHidden/>
          </w:rPr>
          <w:tab/>
        </w:r>
        <w:r w:rsidR="00447880" w:rsidRPr="00096940">
          <w:rPr>
            <w:rFonts w:ascii="宋体"/>
            <w:noProof/>
            <w:webHidden/>
          </w:rPr>
          <w:fldChar w:fldCharType="begin"/>
        </w:r>
        <w:r w:rsidR="00447880" w:rsidRPr="00096940">
          <w:rPr>
            <w:rFonts w:ascii="宋体"/>
            <w:noProof/>
            <w:webHidden/>
          </w:rPr>
          <w:instrText xml:space="preserve"> PAGEREF _Toc103003359 \h </w:instrText>
        </w:r>
        <w:r w:rsidR="00447880" w:rsidRPr="00096940">
          <w:rPr>
            <w:rFonts w:ascii="宋体"/>
            <w:noProof/>
            <w:webHidden/>
          </w:rPr>
        </w:r>
        <w:r w:rsidR="00447880" w:rsidRPr="00096940">
          <w:rPr>
            <w:rFonts w:ascii="宋体"/>
            <w:noProof/>
            <w:webHidden/>
          </w:rPr>
          <w:fldChar w:fldCharType="separate"/>
        </w:r>
        <w:r w:rsidR="00CF3897">
          <w:rPr>
            <w:rFonts w:ascii="宋体"/>
            <w:noProof/>
            <w:webHidden/>
          </w:rPr>
          <w:t>100</w:t>
        </w:r>
        <w:r w:rsidR="00447880" w:rsidRPr="00096940">
          <w:rPr>
            <w:rFonts w:ascii="宋体"/>
            <w:noProof/>
            <w:webHidden/>
          </w:rPr>
          <w:fldChar w:fldCharType="end"/>
        </w:r>
      </w:hyperlink>
    </w:p>
    <w:p w14:paraId="7B9FC886" w14:textId="66328887" w:rsidR="00447880" w:rsidRPr="00096940" w:rsidRDefault="00FE279F">
      <w:pPr>
        <w:pStyle w:val="11"/>
        <w:rPr>
          <w:rFonts w:ascii="宋体" w:cs="Times New Roman"/>
          <w:b w:val="0"/>
          <w:noProof/>
          <w:sz w:val="22"/>
          <w:szCs w:val="22"/>
        </w:rPr>
      </w:pPr>
      <w:hyperlink w:anchor="_Toc103003360" w:history="1">
        <w:r w:rsidR="00447880" w:rsidRPr="00096940">
          <w:rPr>
            <w:rStyle w:val="a4"/>
            <w:rFonts w:ascii="宋体" w:hint="eastAsia"/>
            <w:noProof/>
          </w:rPr>
          <w:t>第十八部分</w:t>
        </w:r>
        <w:r w:rsidR="00447880" w:rsidRPr="00096940">
          <w:rPr>
            <w:rStyle w:val="a4"/>
            <w:rFonts w:ascii="宋体"/>
            <w:noProof/>
          </w:rPr>
          <w:t xml:space="preserve">  </w:t>
        </w:r>
        <w:r w:rsidR="00447880" w:rsidRPr="00096940">
          <w:rPr>
            <w:rStyle w:val="a4"/>
            <w:rFonts w:ascii="宋体" w:hint="eastAsia"/>
            <w:noProof/>
          </w:rPr>
          <w:t>基金合同的变更、终止与基金财产的清算</w:t>
        </w:r>
        <w:r w:rsidR="00447880" w:rsidRPr="00096940">
          <w:rPr>
            <w:rFonts w:ascii="宋体"/>
            <w:noProof/>
            <w:webHidden/>
          </w:rPr>
          <w:tab/>
        </w:r>
        <w:r w:rsidR="00447880" w:rsidRPr="00096940">
          <w:rPr>
            <w:rFonts w:ascii="宋体"/>
            <w:noProof/>
            <w:webHidden/>
          </w:rPr>
          <w:fldChar w:fldCharType="begin"/>
        </w:r>
        <w:r w:rsidR="00447880" w:rsidRPr="00096940">
          <w:rPr>
            <w:rFonts w:ascii="宋体"/>
            <w:noProof/>
            <w:webHidden/>
          </w:rPr>
          <w:instrText xml:space="preserve"> PAGEREF _Toc103003360 \h </w:instrText>
        </w:r>
        <w:r w:rsidR="00447880" w:rsidRPr="00096940">
          <w:rPr>
            <w:rFonts w:ascii="宋体"/>
            <w:noProof/>
            <w:webHidden/>
          </w:rPr>
        </w:r>
        <w:r w:rsidR="00447880" w:rsidRPr="00096940">
          <w:rPr>
            <w:rFonts w:ascii="宋体"/>
            <w:noProof/>
            <w:webHidden/>
          </w:rPr>
          <w:fldChar w:fldCharType="separate"/>
        </w:r>
        <w:r w:rsidR="00CF3897">
          <w:rPr>
            <w:rFonts w:ascii="宋体"/>
            <w:noProof/>
            <w:webHidden/>
          </w:rPr>
          <w:t>112</w:t>
        </w:r>
        <w:r w:rsidR="00447880" w:rsidRPr="00096940">
          <w:rPr>
            <w:rFonts w:ascii="宋体"/>
            <w:noProof/>
            <w:webHidden/>
          </w:rPr>
          <w:fldChar w:fldCharType="end"/>
        </w:r>
      </w:hyperlink>
    </w:p>
    <w:p w14:paraId="3BDCC234" w14:textId="41ACD4CA" w:rsidR="00447880" w:rsidRPr="00096940" w:rsidRDefault="00FE279F">
      <w:pPr>
        <w:pStyle w:val="11"/>
        <w:rPr>
          <w:rFonts w:ascii="宋体" w:cs="Times New Roman"/>
          <w:b w:val="0"/>
          <w:noProof/>
          <w:sz w:val="22"/>
          <w:szCs w:val="22"/>
        </w:rPr>
      </w:pPr>
      <w:hyperlink w:anchor="_Toc103003361" w:history="1">
        <w:r w:rsidR="00447880" w:rsidRPr="00096940">
          <w:rPr>
            <w:rStyle w:val="a4"/>
            <w:rFonts w:ascii="宋体" w:hint="eastAsia"/>
            <w:noProof/>
          </w:rPr>
          <w:t>第十九部分</w:t>
        </w:r>
        <w:r w:rsidR="00447880" w:rsidRPr="00096940">
          <w:rPr>
            <w:rStyle w:val="a4"/>
            <w:rFonts w:ascii="宋体"/>
            <w:noProof/>
          </w:rPr>
          <w:t xml:space="preserve">  </w:t>
        </w:r>
        <w:r w:rsidR="00447880" w:rsidRPr="00096940">
          <w:rPr>
            <w:rStyle w:val="a4"/>
            <w:rFonts w:ascii="宋体" w:hint="eastAsia"/>
            <w:noProof/>
          </w:rPr>
          <w:t>基金合同的内容摘要</w:t>
        </w:r>
        <w:r w:rsidR="00447880" w:rsidRPr="00096940">
          <w:rPr>
            <w:rFonts w:ascii="宋体"/>
            <w:noProof/>
            <w:webHidden/>
          </w:rPr>
          <w:tab/>
        </w:r>
        <w:r w:rsidR="00447880" w:rsidRPr="00096940">
          <w:rPr>
            <w:rFonts w:ascii="宋体"/>
            <w:noProof/>
            <w:webHidden/>
          </w:rPr>
          <w:fldChar w:fldCharType="begin"/>
        </w:r>
        <w:r w:rsidR="00447880" w:rsidRPr="00096940">
          <w:rPr>
            <w:rFonts w:ascii="宋体"/>
            <w:noProof/>
            <w:webHidden/>
          </w:rPr>
          <w:instrText xml:space="preserve"> PAGEREF _Toc103003361 \h </w:instrText>
        </w:r>
        <w:r w:rsidR="00447880" w:rsidRPr="00096940">
          <w:rPr>
            <w:rFonts w:ascii="宋体"/>
            <w:noProof/>
            <w:webHidden/>
          </w:rPr>
        </w:r>
        <w:r w:rsidR="00447880" w:rsidRPr="00096940">
          <w:rPr>
            <w:rFonts w:ascii="宋体"/>
            <w:noProof/>
            <w:webHidden/>
          </w:rPr>
          <w:fldChar w:fldCharType="separate"/>
        </w:r>
        <w:r w:rsidR="00CF3897">
          <w:rPr>
            <w:rFonts w:ascii="宋体"/>
            <w:noProof/>
            <w:webHidden/>
          </w:rPr>
          <w:t>114</w:t>
        </w:r>
        <w:r w:rsidR="00447880" w:rsidRPr="00096940">
          <w:rPr>
            <w:rFonts w:ascii="宋体"/>
            <w:noProof/>
            <w:webHidden/>
          </w:rPr>
          <w:fldChar w:fldCharType="end"/>
        </w:r>
      </w:hyperlink>
    </w:p>
    <w:p w14:paraId="1F1312BE" w14:textId="2851EEDA" w:rsidR="00447880" w:rsidRPr="00096940" w:rsidRDefault="00FE279F">
      <w:pPr>
        <w:pStyle w:val="11"/>
        <w:rPr>
          <w:rFonts w:ascii="宋体" w:cs="Times New Roman"/>
          <w:b w:val="0"/>
          <w:noProof/>
          <w:sz w:val="22"/>
          <w:szCs w:val="22"/>
        </w:rPr>
      </w:pPr>
      <w:hyperlink w:anchor="_Toc103003362" w:history="1">
        <w:r w:rsidR="00447880" w:rsidRPr="00096940">
          <w:rPr>
            <w:rStyle w:val="a4"/>
            <w:rFonts w:ascii="宋体" w:hint="eastAsia"/>
            <w:bCs/>
            <w:noProof/>
            <w:kern w:val="32"/>
          </w:rPr>
          <w:t>第二十部分</w:t>
        </w:r>
        <w:r w:rsidR="00447880" w:rsidRPr="00096940">
          <w:rPr>
            <w:rStyle w:val="a4"/>
            <w:rFonts w:ascii="宋体"/>
            <w:bCs/>
            <w:noProof/>
            <w:kern w:val="32"/>
          </w:rPr>
          <w:t xml:space="preserve">  </w:t>
        </w:r>
        <w:r w:rsidR="00447880" w:rsidRPr="00096940">
          <w:rPr>
            <w:rStyle w:val="a4"/>
            <w:rFonts w:ascii="宋体" w:hint="eastAsia"/>
            <w:bCs/>
            <w:noProof/>
            <w:kern w:val="32"/>
          </w:rPr>
          <w:t>基金托管协议的内容摘要</w:t>
        </w:r>
        <w:r w:rsidR="00447880" w:rsidRPr="00096940">
          <w:rPr>
            <w:rFonts w:ascii="宋体"/>
            <w:noProof/>
            <w:webHidden/>
          </w:rPr>
          <w:tab/>
        </w:r>
        <w:r w:rsidR="00447880" w:rsidRPr="00096940">
          <w:rPr>
            <w:rFonts w:ascii="宋体"/>
            <w:noProof/>
            <w:webHidden/>
          </w:rPr>
          <w:fldChar w:fldCharType="begin"/>
        </w:r>
        <w:r w:rsidR="00447880" w:rsidRPr="00096940">
          <w:rPr>
            <w:rFonts w:ascii="宋体"/>
            <w:noProof/>
            <w:webHidden/>
          </w:rPr>
          <w:instrText xml:space="preserve"> PAGEREF _Toc103003362 \h </w:instrText>
        </w:r>
        <w:r w:rsidR="00447880" w:rsidRPr="00096940">
          <w:rPr>
            <w:rFonts w:ascii="宋体"/>
            <w:noProof/>
            <w:webHidden/>
          </w:rPr>
        </w:r>
        <w:r w:rsidR="00447880" w:rsidRPr="00096940">
          <w:rPr>
            <w:rFonts w:ascii="宋体"/>
            <w:noProof/>
            <w:webHidden/>
          </w:rPr>
          <w:fldChar w:fldCharType="separate"/>
        </w:r>
        <w:r w:rsidR="00CF3897">
          <w:rPr>
            <w:rFonts w:ascii="宋体"/>
            <w:noProof/>
            <w:webHidden/>
          </w:rPr>
          <w:t>133</w:t>
        </w:r>
        <w:r w:rsidR="00447880" w:rsidRPr="00096940">
          <w:rPr>
            <w:rFonts w:ascii="宋体"/>
            <w:noProof/>
            <w:webHidden/>
          </w:rPr>
          <w:fldChar w:fldCharType="end"/>
        </w:r>
      </w:hyperlink>
    </w:p>
    <w:p w14:paraId="39C2D24C" w14:textId="63D8A0F9" w:rsidR="00447880" w:rsidRPr="00096940" w:rsidRDefault="00FE279F">
      <w:pPr>
        <w:pStyle w:val="11"/>
        <w:rPr>
          <w:rFonts w:ascii="宋体" w:cs="Times New Roman"/>
          <w:b w:val="0"/>
          <w:noProof/>
          <w:sz w:val="22"/>
          <w:szCs w:val="22"/>
        </w:rPr>
      </w:pPr>
      <w:hyperlink w:anchor="_Toc103003363" w:history="1">
        <w:r w:rsidR="00447880" w:rsidRPr="00096940">
          <w:rPr>
            <w:rStyle w:val="a4"/>
            <w:rFonts w:ascii="宋体" w:hint="eastAsia"/>
            <w:noProof/>
          </w:rPr>
          <w:t>第二十一部分</w:t>
        </w:r>
        <w:r w:rsidR="00447880" w:rsidRPr="00096940">
          <w:rPr>
            <w:rStyle w:val="a4"/>
            <w:rFonts w:ascii="宋体"/>
            <w:noProof/>
          </w:rPr>
          <w:t xml:space="preserve">  </w:t>
        </w:r>
        <w:r w:rsidR="00447880" w:rsidRPr="00096940">
          <w:rPr>
            <w:rStyle w:val="a4"/>
            <w:rFonts w:ascii="宋体" w:hint="eastAsia"/>
            <w:noProof/>
          </w:rPr>
          <w:t>对基金份额持有人的服务</w:t>
        </w:r>
        <w:r w:rsidR="00447880" w:rsidRPr="00096940">
          <w:rPr>
            <w:rFonts w:ascii="宋体"/>
            <w:noProof/>
            <w:webHidden/>
          </w:rPr>
          <w:tab/>
        </w:r>
        <w:r w:rsidR="00447880" w:rsidRPr="00096940">
          <w:rPr>
            <w:rFonts w:ascii="宋体"/>
            <w:noProof/>
            <w:webHidden/>
          </w:rPr>
          <w:fldChar w:fldCharType="begin"/>
        </w:r>
        <w:r w:rsidR="00447880" w:rsidRPr="00096940">
          <w:rPr>
            <w:rFonts w:ascii="宋体"/>
            <w:noProof/>
            <w:webHidden/>
          </w:rPr>
          <w:instrText xml:space="preserve"> PAGEREF _Toc103003363 \h </w:instrText>
        </w:r>
        <w:r w:rsidR="00447880" w:rsidRPr="00096940">
          <w:rPr>
            <w:rFonts w:ascii="宋体"/>
            <w:noProof/>
            <w:webHidden/>
          </w:rPr>
        </w:r>
        <w:r w:rsidR="00447880" w:rsidRPr="00096940">
          <w:rPr>
            <w:rFonts w:ascii="宋体"/>
            <w:noProof/>
            <w:webHidden/>
          </w:rPr>
          <w:fldChar w:fldCharType="separate"/>
        </w:r>
        <w:r w:rsidR="00CF3897">
          <w:rPr>
            <w:rFonts w:ascii="宋体"/>
            <w:noProof/>
            <w:webHidden/>
          </w:rPr>
          <w:t>152</w:t>
        </w:r>
        <w:r w:rsidR="00447880" w:rsidRPr="00096940">
          <w:rPr>
            <w:rFonts w:ascii="宋体"/>
            <w:noProof/>
            <w:webHidden/>
          </w:rPr>
          <w:fldChar w:fldCharType="end"/>
        </w:r>
      </w:hyperlink>
    </w:p>
    <w:p w14:paraId="020A8E32" w14:textId="5A15AABC" w:rsidR="00447880" w:rsidRPr="00096940" w:rsidRDefault="00FE279F">
      <w:pPr>
        <w:pStyle w:val="11"/>
        <w:rPr>
          <w:rFonts w:ascii="宋体" w:cs="Times New Roman"/>
          <w:b w:val="0"/>
          <w:noProof/>
          <w:sz w:val="22"/>
          <w:szCs w:val="22"/>
        </w:rPr>
      </w:pPr>
      <w:hyperlink w:anchor="_Toc103003364" w:history="1">
        <w:r w:rsidR="00447880" w:rsidRPr="00096940">
          <w:rPr>
            <w:rStyle w:val="a4"/>
            <w:rFonts w:ascii="宋体" w:hint="eastAsia"/>
            <w:noProof/>
          </w:rPr>
          <w:t>第二十二部分</w:t>
        </w:r>
        <w:r w:rsidR="00447880" w:rsidRPr="00096940">
          <w:rPr>
            <w:rStyle w:val="a4"/>
            <w:rFonts w:ascii="宋体"/>
            <w:noProof/>
          </w:rPr>
          <w:t xml:space="preserve">  </w:t>
        </w:r>
        <w:r w:rsidR="00447880" w:rsidRPr="00096940">
          <w:rPr>
            <w:rStyle w:val="a4"/>
            <w:rFonts w:ascii="宋体" w:hint="eastAsia"/>
            <w:noProof/>
          </w:rPr>
          <w:t>其他应披露事项</w:t>
        </w:r>
        <w:r w:rsidR="00447880" w:rsidRPr="00096940">
          <w:rPr>
            <w:rFonts w:ascii="宋体"/>
            <w:noProof/>
            <w:webHidden/>
          </w:rPr>
          <w:tab/>
        </w:r>
        <w:r w:rsidR="00447880" w:rsidRPr="00096940">
          <w:rPr>
            <w:rFonts w:ascii="宋体"/>
            <w:noProof/>
            <w:webHidden/>
          </w:rPr>
          <w:fldChar w:fldCharType="begin"/>
        </w:r>
        <w:r w:rsidR="00447880" w:rsidRPr="00096940">
          <w:rPr>
            <w:rFonts w:ascii="宋体"/>
            <w:noProof/>
            <w:webHidden/>
          </w:rPr>
          <w:instrText xml:space="preserve"> PAGEREF _Toc103003364 \h </w:instrText>
        </w:r>
        <w:r w:rsidR="00447880" w:rsidRPr="00096940">
          <w:rPr>
            <w:rFonts w:ascii="宋体"/>
            <w:noProof/>
            <w:webHidden/>
          </w:rPr>
        </w:r>
        <w:r w:rsidR="00447880" w:rsidRPr="00096940">
          <w:rPr>
            <w:rFonts w:ascii="宋体"/>
            <w:noProof/>
            <w:webHidden/>
          </w:rPr>
          <w:fldChar w:fldCharType="separate"/>
        </w:r>
        <w:r w:rsidR="00CF3897">
          <w:rPr>
            <w:rFonts w:ascii="宋体"/>
            <w:noProof/>
            <w:webHidden/>
          </w:rPr>
          <w:t>154</w:t>
        </w:r>
        <w:r w:rsidR="00447880" w:rsidRPr="00096940">
          <w:rPr>
            <w:rFonts w:ascii="宋体"/>
            <w:noProof/>
            <w:webHidden/>
          </w:rPr>
          <w:fldChar w:fldCharType="end"/>
        </w:r>
      </w:hyperlink>
    </w:p>
    <w:p w14:paraId="69FDCCCF" w14:textId="5AD0C742" w:rsidR="00447880" w:rsidRPr="00096940" w:rsidRDefault="00FE279F">
      <w:pPr>
        <w:pStyle w:val="11"/>
        <w:rPr>
          <w:rFonts w:ascii="宋体" w:cs="Times New Roman"/>
          <w:b w:val="0"/>
          <w:noProof/>
          <w:sz w:val="22"/>
          <w:szCs w:val="22"/>
        </w:rPr>
      </w:pPr>
      <w:hyperlink w:anchor="_Toc103003365" w:history="1">
        <w:r w:rsidR="00447880" w:rsidRPr="00096940">
          <w:rPr>
            <w:rStyle w:val="a4"/>
            <w:rFonts w:ascii="宋体" w:hint="eastAsia"/>
            <w:noProof/>
          </w:rPr>
          <w:t>第二十三部分</w:t>
        </w:r>
        <w:r w:rsidR="00447880" w:rsidRPr="00096940">
          <w:rPr>
            <w:rStyle w:val="a4"/>
            <w:rFonts w:ascii="宋体"/>
            <w:noProof/>
          </w:rPr>
          <w:t xml:space="preserve">  </w:t>
        </w:r>
        <w:r w:rsidR="00447880" w:rsidRPr="00096940">
          <w:rPr>
            <w:rStyle w:val="a4"/>
            <w:rFonts w:ascii="宋体" w:hint="eastAsia"/>
            <w:noProof/>
          </w:rPr>
          <w:t>招募说明书的存放及查阅方式</w:t>
        </w:r>
        <w:r w:rsidR="00447880" w:rsidRPr="00096940">
          <w:rPr>
            <w:rFonts w:ascii="宋体"/>
            <w:noProof/>
            <w:webHidden/>
          </w:rPr>
          <w:tab/>
        </w:r>
        <w:r w:rsidR="00447880" w:rsidRPr="00096940">
          <w:rPr>
            <w:rFonts w:ascii="宋体"/>
            <w:noProof/>
            <w:webHidden/>
          </w:rPr>
          <w:fldChar w:fldCharType="begin"/>
        </w:r>
        <w:r w:rsidR="00447880" w:rsidRPr="00096940">
          <w:rPr>
            <w:rFonts w:ascii="宋体"/>
            <w:noProof/>
            <w:webHidden/>
          </w:rPr>
          <w:instrText xml:space="preserve"> PAGEREF _Toc103003365 \h </w:instrText>
        </w:r>
        <w:r w:rsidR="00447880" w:rsidRPr="00096940">
          <w:rPr>
            <w:rFonts w:ascii="宋体"/>
            <w:noProof/>
            <w:webHidden/>
          </w:rPr>
        </w:r>
        <w:r w:rsidR="00447880" w:rsidRPr="00096940">
          <w:rPr>
            <w:rFonts w:ascii="宋体"/>
            <w:noProof/>
            <w:webHidden/>
          </w:rPr>
          <w:fldChar w:fldCharType="separate"/>
        </w:r>
        <w:r w:rsidR="00CF3897">
          <w:rPr>
            <w:rFonts w:ascii="宋体"/>
            <w:noProof/>
            <w:webHidden/>
          </w:rPr>
          <w:t>155</w:t>
        </w:r>
        <w:r w:rsidR="00447880" w:rsidRPr="00096940">
          <w:rPr>
            <w:rFonts w:ascii="宋体"/>
            <w:noProof/>
            <w:webHidden/>
          </w:rPr>
          <w:fldChar w:fldCharType="end"/>
        </w:r>
      </w:hyperlink>
    </w:p>
    <w:p w14:paraId="48A70754" w14:textId="4BAA9063" w:rsidR="00447880" w:rsidRPr="00096940" w:rsidRDefault="00FE279F">
      <w:pPr>
        <w:pStyle w:val="11"/>
        <w:rPr>
          <w:rFonts w:ascii="宋体" w:cs="Times New Roman"/>
          <w:b w:val="0"/>
          <w:noProof/>
          <w:sz w:val="22"/>
          <w:szCs w:val="22"/>
        </w:rPr>
      </w:pPr>
      <w:hyperlink w:anchor="_Toc103003366" w:history="1">
        <w:r w:rsidR="00447880" w:rsidRPr="00096940">
          <w:rPr>
            <w:rStyle w:val="a4"/>
            <w:rFonts w:ascii="宋体" w:hint="eastAsia"/>
            <w:noProof/>
          </w:rPr>
          <w:t>第二十四部分</w:t>
        </w:r>
        <w:r w:rsidR="00447880" w:rsidRPr="00096940">
          <w:rPr>
            <w:rStyle w:val="a4"/>
            <w:rFonts w:ascii="宋体"/>
            <w:noProof/>
          </w:rPr>
          <w:t xml:space="preserve">  </w:t>
        </w:r>
        <w:r w:rsidR="00447880" w:rsidRPr="00096940">
          <w:rPr>
            <w:rStyle w:val="a4"/>
            <w:rFonts w:ascii="宋体" w:hint="eastAsia"/>
            <w:noProof/>
          </w:rPr>
          <w:t>备查文件</w:t>
        </w:r>
        <w:r w:rsidR="00447880" w:rsidRPr="00096940">
          <w:rPr>
            <w:rFonts w:ascii="宋体"/>
            <w:noProof/>
            <w:webHidden/>
          </w:rPr>
          <w:tab/>
        </w:r>
        <w:r w:rsidR="00447880" w:rsidRPr="00096940">
          <w:rPr>
            <w:rFonts w:ascii="宋体"/>
            <w:noProof/>
            <w:webHidden/>
          </w:rPr>
          <w:fldChar w:fldCharType="begin"/>
        </w:r>
        <w:r w:rsidR="00447880" w:rsidRPr="00096940">
          <w:rPr>
            <w:rFonts w:ascii="宋体"/>
            <w:noProof/>
            <w:webHidden/>
          </w:rPr>
          <w:instrText xml:space="preserve"> PAGEREF _Toc103003366 \h </w:instrText>
        </w:r>
        <w:r w:rsidR="00447880" w:rsidRPr="00096940">
          <w:rPr>
            <w:rFonts w:ascii="宋体"/>
            <w:noProof/>
            <w:webHidden/>
          </w:rPr>
        </w:r>
        <w:r w:rsidR="00447880" w:rsidRPr="00096940">
          <w:rPr>
            <w:rFonts w:ascii="宋体"/>
            <w:noProof/>
            <w:webHidden/>
          </w:rPr>
          <w:fldChar w:fldCharType="separate"/>
        </w:r>
        <w:r w:rsidR="00CF3897">
          <w:rPr>
            <w:rFonts w:ascii="宋体"/>
            <w:noProof/>
            <w:webHidden/>
          </w:rPr>
          <w:t>156</w:t>
        </w:r>
        <w:r w:rsidR="00447880" w:rsidRPr="00096940">
          <w:rPr>
            <w:rFonts w:ascii="宋体"/>
            <w:noProof/>
            <w:webHidden/>
          </w:rPr>
          <w:fldChar w:fldCharType="end"/>
        </w:r>
      </w:hyperlink>
    </w:p>
    <w:p w14:paraId="4AD10219" w14:textId="77777777" w:rsidR="00BF4A4E" w:rsidRDefault="00BF4A4E">
      <w:pPr>
        <w:pStyle w:val="11"/>
        <w:rPr>
          <w:rStyle w:val="a4"/>
          <w:rFonts w:ascii="宋体" w:cs="Times New Roman"/>
          <w:kern w:val="2"/>
          <w:sz w:val="24"/>
        </w:rPr>
      </w:pPr>
      <w:r w:rsidRPr="00096940">
        <w:rPr>
          <w:rFonts w:ascii="宋体" w:cs="Times New Roman"/>
          <w:b w:val="0"/>
          <w:kern w:val="2"/>
          <w:sz w:val="24"/>
        </w:rPr>
        <w:fldChar w:fldCharType="end"/>
      </w:r>
    </w:p>
    <w:p w14:paraId="4F4A5817" w14:textId="77777777" w:rsidR="00BF4A4E" w:rsidRDefault="00BF4A4E">
      <w:pPr>
        <w:pStyle w:val="1"/>
        <w:adjustRightInd w:val="0"/>
        <w:snapToGrid w:val="0"/>
        <w:spacing w:before="0" w:after="0" w:line="360" w:lineRule="auto"/>
        <w:jc w:val="center"/>
        <w:rPr>
          <w:rFonts w:ascii="宋体" w:hAnsi="宋体"/>
        </w:rPr>
      </w:pPr>
      <w:r>
        <w:rPr>
          <w:rFonts w:ascii="宋体" w:hAnsi="宋体" w:cs="SimSun-Identity-H"/>
        </w:rPr>
        <w:br w:type="page"/>
      </w:r>
      <w:bookmarkStart w:id="20" w:name="_Toc103003343"/>
      <w:r>
        <w:rPr>
          <w:rFonts w:ascii="宋体" w:hAnsi="宋体"/>
        </w:rPr>
        <w:lastRenderedPageBreak/>
        <w:t>第一部分</w:t>
      </w:r>
      <w:r>
        <w:rPr>
          <w:rFonts w:ascii="宋体" w:hAnsi="宋体" w:hint="eastAsia"/>
        </w:rPr>
        <w:t xml:space="preserve">  绪言</w:t>
      </w:r>
      <w:bookmarkEnd w:id="20"/>
    </w:p>
    <w:p w14:paraId="7222507B" w14:textId="77777777" w:rsidR="00BF4A4E" w:rsidRDefault="00BF4A4E">
      <w:pPr>
        <w:pStyle w:val="20"/>
        <w:ind w:firstLineChars="0" w:firstLine="480"/>
        <w:rPr>
          <w:sz w:val="24"/>
        </w:rPr>
      </w:pPr>
    </w:p>
    <w:p w14:paraId="29766EA1" w14:textId="20AA9B51" w:rsidR="00BF4A4E" w:rsidRDefault="00BF4A4E">
      <w:pPr>
        <w:pStyle w:val="20"/>
        <w:adjustRightInd w:val="0"/>
        <w:snapToGrid w:val="0"/>
        <w:ind w:firstLine="480"/>
        <w:rPr>
          <w:sz w:val="24"/>
        </w:rPr>
      </w:pPr>
      <w:r>
        <w:rPr>
          <w:rFonts w:hint="eastAsia"/>
          <w:sz w:val="24"/>
        </w:rPr>
        <w:t>《</w:t>
      </w:r>
      <w:r w:rsidR="00BE63A4">
        <w:rPr>
          <w:rFonts w:hint="eastAsia"/>
          <w:sz w:val="24"/>
        </w:rPr>
        <w:t>银华</w:t>
      </w:r>
      <w:r w:rsidR="00FD0AB2">
        <w:rPr>
          <w:rFonts w:hint="eastAsia"/>
          <w:sz w:val="24"/>
        </w:rPr>
        <w:t>中证全指证券公司</w:t>
      </w:r>
      <w:r w:rsidR="00BE63A4">
        <w:rPr>
          <w:rFonts w:hint="eastAsia"/>
          <w:sz w:val="24"/>
        </w:rPr>
        <w:t>交易型开放式指数证券投资基金发起式联接基金</w:t>
      </w:r>
      <w:r>
        <w:rPr>
          <w:rFonts w:hint="eastAsia"/>
          <w:sz w:val="24"/>
        </w:rPr>
        <w:t>招募说明书》（以下简称“招募说明书”或“本招募说明书”）依据《中华人民共和国证券投资基金法》（以下简称“《基金法》”）、《公开募集证券投资基金销售机构监督管理办法》（以下简称“《销售办法》”）、《公开募集证券投资基金运作管理办法》（以下简称“《运作办法》”）、《公开募集证券投资基金信息披露管理办法》（以下简称“《信息披露办法》”）、《公开募集开放式证券投资基金流动性风险管理规定》（以下简称“《流动性风险管理规定》”）、《</w:t>
      </w:r>
      <w:r>
        <w:rPr>
          <w:rFonts w:hint="eastAsia"/>
          <w:bCs/>
          <w:sz w:val="24"/>
        </w:rPr>
        <w:t>公开募集证券投资基金运作指引第2号——基金中基金指引</w:t>
      </w:r>
      <w:r>
        <w:rPr>
          <w:rFonts w:hint="eastAsia"/>
          <w:sz w:val="24"/>
        </w:rPr>
        <w:t>》、《公开募集证券投资基金运作指引第3号——指数基金指引》（以下简称“《指数基金指引》</w:t>
      </w:r>
      <w:r w:rsidR="00ED1B6E">
        <w:rPr>
          <w:rFonts w:hint="eastAsia"/>
          <w:sz w:val="24"/>
        </w:rPr>
        <w:t>”</w:t>
      </w:r>
      <w:r>
        <w:rPr>
          <w:rFonts w:hint="eastAsia"/>
          <w:sz w:val="24"/>
        </w:rPr>
        <w:t>）、《公开募集证券投资基金侧袋机制指引（试行）》、《</w:t>
      </w:r>
      <w:r w:rsidR="00BE63A4">
        <w:rPr>
          <w:rFonts w:hint="eastAsia"/>
          <w:sz w:val="24"/>
        </w:rPr>
        <w:t>银华</w:t>
      </w:r>
      <w:r w:rsidR="00FD0AB2">
        <w:rPr>
          <w:rFonts w:hint="eastAsia"/>
          <w:sz w:val="24"/>
        </w:rPr>
        <w:t>中证全指证券公司</w:t>
      </w:r>
      <w:r w:rsidR="00BE63A4">
        <w:rPr>
          <w:rFonts w:hint="eastAsia"/>
          <w:sz w:val="24"/>
        </w:rPr>
        <w:t>交易型开放式指数证券投资基金发起式联接基金</w:t>
      </w:r>
      <w:r>
        <w:rPr>
          <w:rFonts w:hint="eastAsia"/>
          <w:sz w:val="24"/>
        </w:rPr>
        <w:t>基金合同》（以下简称“基金合同”）及其他有关法律法规编写。</w:t>
      </w:r>
    </w:p>
    <w:p w14:paraId="3F7ED85A" w14:textId="4C1547EB" w:rsidR="00BF4A4E" w:rsidRDefault="00BF4A4E">
      <w:pPr>
        <w:pStyle w:val="20"/>
        <w:adjustRightInd w:val="0"/>
        <w:snapToGrid w:val="0"/>
        <w:ind w:firstLine="480"/>
        <w:rPr>
          <w:sz w:val="24"/>
        </w:rPr>
      </w:pPr>
      <w:r>
        <w:rPr>
          <w:rFonts w:hint="eastAsia"/>
          <w:sz w:val="24"/>
        </w:rPr>
        <w:t>本招募说明书阐述了</w:t>
      </w:r>
      <w:r w:rsidR="00BE63A4">
        <w:rPr>
          <w:rFonts w:hint="eastAsia"/>
          <w:sz w:val="24"/>
        </w:rPr>
        <w:t>银华</w:t>
      </w:r>
      <w:r w:rsidR="00FD0AB2">
        <w:rPr>
          <w:rFonts w:hint="eastAsia"/>
          <w:sz w:val="24"/>
        </w:rPr>
        <w:t>中证全指证券公司</w:t>
      </w:r>
      <w:r w:rsidR="00BE63A4">
        <w:rPr>
          <w:rFonts w:hint="eastAsia"/>
          <w:sz w:val="24"/>
        </w:rPr>
        <w:t>交易型开放式指数证券投资基金发起式联接基金</w:t>
      </w:r>
      <w:r>
        <w:rPr>
          <w:rFonts w:hint="eastAsia"/>
          <w:sz w:val="24"/>
        </w:rPr>
        <w:t>的投资目标、策略、风险、费率等与投资人投资决策有关的全部必要事项，投资人在作出投资决策前应仔细阅读本招募说明书。</w:t>
      </w:r>
    </w:p>
    <w:p w14:paraId="003EC193" w14:textId="77777777" w:rsidR="00BF4A4E" w:rsidRDefault="00BF4A4E">
      <w:pPr>
        <w:pStyle w:val="20"/>
        <w:adjustRightInd w:val="0"/>
        <w:snapToGrid w:val="0"/>
        <w:ind w:firstLine="480"/>
        <w:rPr>
          <w:sz w:val="24"/>
        </w:rPr>
      </w:pPr>
      <w:r>
        <w:rPr>
          <w:rFonts w:hint="eastAsia"/>
          <w:sz w:val="24"/>
        </w:rPr>
        <w:t>基金管理人承诺本招募说明书不存在任何虚假记载、误导性陈述或者重大遗漏，并对其真实性、准确性、完整性承担法律责任。</w:t>
      </w:r>
    </w:p>
    <w:p w14:paraId="0294E5D2" w14:textId="77777777" w:rsidR="00BF4A4E" w:rsidRDefault="00BF4A4E">
      <w:pPr>
        <w:pStyle w:val="20"/>
        <w:adjustRightInd w:val="0"/>
        <w:snapToGrid w:val="0"/>
        <w:ind w:firstLine="480"/>
        <w:rPr>
          <w:sz w:val="24"/>
        </w:rPr>
      </w:pPr>
      <w:r>
        <w:rPr>
          <w:rFonts w:hint="eastAsia"/>
          <w:sz w:val="24"/>
        </w:rPr>
        <w:t>本基金是根据本招募说明书所载明的资料申请募集的。本招募说明书由银华基金管理股份有限公司解释。本基金管理人没有委托或授权任何其他人提供未在本招募说明书中载明的信息，或对本招募说明书作任何解释或者说明。</w:t>
      </w:r>
    </w:p>
    <w:p w14:paraId="25414C5C" w14:textId="77777777" w:rsidR="00BF4A4E" w:rsidRDefault="00BF4A4E">
      <w:pPr>
        <w:pStyle w:val="20"/>
        <w:adjustRightInd w:val="0"/>
        <w:snapToGrid w:val="0"/>
        <w:ind w:firstLine="480"/>
        <w:rPr>
          <w:sz w:val="24"/>
        </w:rPr>
      </w:pPr>
      <w:r>
        <w:rPr>
          <w:rFonts w:hint="eastAsia"/>
          <w:sz w:val="24"/>
        </w:rPr>
        <w:t>本招募说明书根据本基金的基金合同编写，并经中国证监会注册。基金合同是约定基金合同当事人之间权利、义务的法律文件。基金投资人自依基金合同取得基金份额，即成为基金份额持有人和基金合同的当事人，其持有本基金基金份额的行为本身即表明其对基金合同的承认和接受。基金份额持有人作为基金合同当事人并不以在基金合同上书面签章或</w:t>
      </w:r>
      <w:r>
        <w:rPr>
          <w:sz w:val="24"/>
        </w:rPr>
        <w:t>签字</w:t>
      </w:r>
      <w:r>
        <w:rPr>
          <w:rFonts w:hint="eastAsia"/>
          <w:sz w:val="24"/>
        </w:rPr>
        <w:t>为必要条件。基金合同当事人应按照《基金法》、基金合同及其他有关规定享有权利、承担义务。基金投资人欲了解基金份额持有人的权利和义务，应详细查阅基金合同。</w:t>
      </w:r>
    </w:p>
    <w:p w14:paraId="551B2792" w14:textId="77777777" w:rsidR="00BF4A4E" w:rsidRDefault="00BF4A4E">
      <w:pPr>
        <w:pStyle w:val="1"/>
        <w:adjustRightInd w:val="0"/>
        <w:snapToGrid w:val="0"/>
        <w:spacing w:before="0" w:after="0" w:line="360" w:lineRule="auto"/>
        <w:jc w:val="center"/>
        <w:rPr>
          <w:rFonts w:ascii="宋体" w:hAnsi="宋体"/>
        </w:rPr>
      </w:pPr>
      <w:r>
        <w:rPr>
          <w:rFonts w:ascii="宋体" w:hAnsi="宋体"/>
        </w:rPr>
        <w:br w:type="page"/>
      </w:r>
      <w:bookmarkStart w:id="21" w:name="_Toc103003344"/>
      <w:r>
        <w:rPr>
          <w:rFonts w:ascii="宋体" w:hAnsi="宋体"/>
        </w:rPr>
        <w:lastRenderedPageBreak/>
        <w:t>第</w:t>
      </w:r>
      <w:r>
        <w:rPr>
          <w:rFonts w:ascii="宋体" w:hAnsi="宋体" w:hint="eastAsia"/>
        </w:rPr>
        <w:t>二</w:t>
      </w:r>
      <w:r>
        <w:rPr>
          <w:rFonts w:ascii="宋体" w:hAnsi="宋体"/>
        </w:rPr>
        <w:t>部分</w:t>
      </w:r>
      <w:r>
        <w:rPr>
          <w:rFonts w:ascii="宋体" w:hAnsi="宋体" w:hint="eastAsia"/>
        </w:rPr>
        <w:t xml:space="preserve">  释义</w:t>
      </w:r>
      <w:bookmarkEnd w:id="21"/>
    </w:p>
    <w:p w14:paraId="0DC9F4E8" w14:textId="77777777" w:rsidR="00BF4A4E" w:rsidRDefault="00BF4A4E">
      <w:pPr>
        <w:pStyle w:val="20"/>
        <w:ind w:firstLineChars="0" w:firstLine="425"/>
        <w:rPr>
          <w:sz w:val="24"/>
        </w:rPr>
      </w:pPr>
    </w:p>
    <w:p w14:paraId="17C51072" w14:textId="77777777" w:rsidR="00BF4A4E" w:rsidRDefault="00BF4A4E">
      <w:pPr>
        <w:pStyle w:val="20"/>
        <w:adjustRightInd w:val="0"/>
        <w:snapToGrid w:val="0"/>
        <w:ind w:firstLine="480"/>
        <w:rPr>
          <w:rFonts w:cs="宋体"/>
          <w:sz w:val="24"/>
        </w:rPr>
      </w:pPr>
      <w:r>
        <w:rPr>
          <w:rFonts w:cs="宋体" w:hint="eastAsia"/>
          <w:sz w:val="24"/>
        </w:rPr>
        <w:t>在本招募说明书中，除非文意另有所指，下列词语或简称具有如下含义：</w:t>
      </w:r>
    </w:p>
    <w:p w14:paraId="7E14A6AC" w14:textId="6774E5E0" w:rsidR="00F6289E" w:rsidRPr="00F6289E" w:rsidRDefault="00F6289E" w:rsidP="00F6289E">
      <w:pPr>
        <w:pStyle w:val="20"/>
        <w:adjustRightInd w:val="0"/>
        <w:snapToGrid w:val="0"/>
        <w:ind w:firstLine="480"/>
        <w:rPr>
          <w:rFonts w:cs="宋体"/>
          <w:bCs/>
          <w:sz w:val="24"/>
        </w:rPr>
      </w:pPr>
      <w:r w:rsidRPr="00F6289E">
        <w:rPr>
          <w:rFonts w:cs="宋体" w:hint="eastAsia"/>
          <w:bCs/>
          <w:sz w:val="24"/>
        </w:rPr>
        <w:t>1、基金或本基金：指</w:t>
      </w:r>
      <w:r w:rsidR="00BE63A4">
        <w:rPr>
          <w:rFonts w:cs="宋体" w:hint="eastAsia"/>
          <w:bCs/>
          <w:sz w:val="24"/>
        </w:rPr>
        <w:t>银华</w:t>
      </w:r>
      <w:r w:rsidR="00FD0AB2">
        <w:rPr>
          <w:rFonts w:cs="宋体" w:hint="eastAsia"/>
          <w:bCs/>
          <w:sz w:val="24"/>
        </w:rPr>
        <w:t>中证全指证券公司</w:t>
      </w:r>
      <w:r w:rsidR="00BE63A4">
        <w:rPr>
          <w:rFonts w:cs="宋体" w:hint="eastAsia"/>
          <w:bCs/>
          <w:sz w:val="24"/>
        </w:rPr>
        <w:t>交易型开放式指数证券投资基金发起式联接基金</w:t>
      </w:r>
    </w:p>
    <w:p w14:paraId="794B1CB3" w14:textId="77777777" w:rsidR="00F6289E" w:rsidRPr="00F6289E" w:rsidRDefault="00F6289E" w:rsidP="00F6289E">
      <w:pPr>
        <w:pStyle w:val="20"/>
        <w:adjustRightInd w:val="0"/>
        <w:snapToGrid w:val="0"/>
        <w:ind w:firstLine="480"/>
        <w:rPr>
          <w:rFonts w:cs="宋体"/>
          <w:bCs/>
          <w:sz w:val="24"/>
        </w:rPr>
      </w:pPr>
      <w:r w:rsidRPr="00F6289E">
        <w:rPr>
          <w:rFonts w:cs="宋体" w:hint="eastAsia"/>
          <w:bCs/>
          <w:sz w:val="24"/>
        </w:rPr>
        <w:t>2、基金管理人：指银华基金管理股份有限公司</w:t>
      </w:r>
    </w:p>
    <w:p w14:paraId="519907EC" w14:textId="42EEAD2B" w:rsidR="00F6289E" w:rsidRPr="00F6289E" w:rsidRDefault="00F6289E" w:rsidP="00F6289E">
      <w:pPr>
        <w:pStyle w:val="20"/>
        <w:adjustRightInd w:val="0"/>
        <w:snapToGrid w:val="0"/>
        <w:ind w:firstLine="480"/>
        <w:rPr>
          <w:rFonts w:cs="宋体"/>
          <w:bCs/>
          <w:sz w:val="24"/>
        </w:rPr>
      </w:pPr>
      <w:r w:rsidRPr="00F6289E">
        <w:rPr>
          <w:rFonts w:cs="宋体" w:hint="eastAsia"/>
          <w:bCs/>
          <w:sz w:val="24"/>
        </w:rPr>
        <w:t>3、基金托管人：指</w:t>
      </w:r>
      <w:r w:rsidR="00E41E7F">
        <w:rPr>
          <w:rFonts w:cs="宋体" w:hint="eastAsia"/>
          <w:bCs/>
          <w:sz w:val="24"/>
        </w:rPr>
        <w:t>招商银行</w:t>
      </w:r>
      <w:r w:rsidR="003570DC" w:rsidRPr="003570DC">
        <w:rPr>
          <w:rFonts w:cs="宋体" w:hint="eastAsia"/>
          <w:bCs/>
          <w:sz w:val="24"/>
        </w:rPr>
        <w:t>股份有限公司</w:t>
      </w:r>
    </w:p>
    <w:p w14:paraId="76D1BD2D" w14:textId="597622CF" w:rsidR="00F6289E" w:rsidRPr="00F6289E" w:rsidRDefault="00F6289E" w:rsidP="00F6289E">
      <w:pPr>
        <w:pStyle w:val="20"/>
        <w:adjustRightInd w:val="0"/>
        <w:snapToGrid w:val="0"/>
        <w:ind w:firstLine="480"/>
        <w:rPr>
          <w:rFonts w:cs="宋体"/>
          <w:bCs/>
          <w:sz w:val="24"/>
        </w:rPr>
      </w:pPr>
      <w:r w:rsidRPr="00F6289E">
        <w:rPr>
          <w:rFonts w:cs="宋体" w:hint="eastAsia"/>
          <w:bCs/>
          <w:sz w:val="24"/>
        </w:rPr>
        <w:t>4、基金合同、《基金合同》：指《</w:t>
      </w:r>
      <w:r w:rsidR="00BE63A4">
        <w:rPr>
          <w:rFonts w:cs="宋体" w:hint="eastAsia"/>
          <w:bCs/>
          <w:sz w:val="24"/>
        </w:rPr>
        <w:t>银华</w:t>
      </w:r>
      <w:r w:rsidR="00FD0AB2">
        <w:rPr>
          <w:rFonts w:cs="宋体" w:hint="eastAsia"/>
          <w:bCs/>
          <w:sz w:val="24"/>
        </w:rPr>
        <w:t>中证全指证券公司</w:t>
      </w:r>
      <w:r w:rsidR="00BE63A4">
        <w:rPr>
          <w:rFonts w:cs="宋体" w:hint="eastAsia"/>
          <w:bCs/>
          <w:sz w:val="24"/>
        </w:rPr>
        <w:t>交易型开放式指数证券投资基金发起式联接基金</w:t>
      </w:r>
      <w:r>
        <w:rPr>
          <w:rFonts w:cs="宋体" w:hint="eastAsia"/>
          <w:bCs/>
          <w:sz w:val="24"/>
        </w:rPr>
        <w:t>基金合同》及对</w:t>
      </w:r>
      <w:r w:rsidRPr="00F6289E">
        <w:rPr>
          <w:rFonts w:cs="宋体" w:hint="eastAsia"/>
          <w:bCs/>
          <w:sz w:val="24"/>
        </w:rPr>
        <w:t>基金合同的任何有效修订和补充</w:t>
      </w:r>
    </w:p>
    <w:p w14:paraId="67535C62" w14:textId="24225763" w:rsidR="00F6289E" w:rsidRPr="00F6289E" w:rsidRDefault="00F6289E" w:rsidP="00F6289E">
      <w:pPr>
        <w:pStyle w:val="20"/>
        <w:adjustRightInd w:val="0"/>
        <w:snapToGrid w:val="0"/>
        <w:ind w:firstLine="480"/>
        <w:rPr>
          <w:rFonts w:cs="宋体"/>
          <w:bCs/>
          <w:sz w:val="24"/>
        </w:rPr>
      </w:pPr>
      <w:r w:rsidRPr="00F6289E">
        <w:rPr>
          <w:rFonts w:cs="宋体" w:hint="eastAsia"/>
          <w:bCs/>
          <w:sz w:val="24"/>
        </w:rPr>
        <w:t>5、托管协议：指基金管理人与基金托管人就本基金签订之《</w:t>
      </w:r>
      <w:r w:rsidR="00BE63A4">
        <w:rPr>
          <w:rFonts w:cs="宋体" w:hint="eastAsia"/>
          <w:bCs/>
          <w:sz w:val="24"/>
        </w:rPr>
        <w:t>银华</w:t>
      </w:r>
      <w:r w:rsidR="00FD0AB2">
        <w:rPr>
          <w:rFonts w:cs="宋体" w:hint="eastAsia"/>
          <w:bCs/>
          <w:sz w:val="24"/>
        </w:rPr>
        <w:t>中证全指证券公司</w:t>
      </w:r>
      <w:r w:rsidR="00BE63A4">
        <w:rPr>
          <w:rFonts w:cs="宋体" w:hint="eastAsia"/>
          <w:bCs/>
          <w:sz w:val="24"/>
        </w:rPr>
        <w:t>交易型开放式指数证券投资基金发起式联接基金</w:t>
      </w:r>
      <w:r w:rsidRPr="00F6289E">
        <w:rPr>
          <w:rFonts w:cs="宋体" w:hint="eastAsia"/>
          <w:bCs/>
          <w:sz w:val="24"/>
        </w:rPr>
        <w:t>托管协议》及对该托管协议的任何有效修订和补充</w:t>
      </w:r>
    </w:p>
    <w:p w14:paraId="040C1151" w14:textId="547F31ED" w:rsidR="00F6289E" w:rsidRPr="00F6289E" w:rsidRDefault="00F6289E" w:rsidP="00F6289E">
      <w:pPr>
        <w:pStyle w:val="20"/>
        <w:adjustRightInd w:val="0"/>
        <w:snapToGrid w:val="0"/>
        <w:ind w:firstLine="480"/>
        <w:rPr>
          <w:rFonts w:cs="宋体"/>
          <w:bCs/>
          <w:sz w:val="24"/>
        </w:rPr>
      </w:pPr>
      <w:r w:rsidRPr="00F6289E">
        <w:rPr>
          <w:rFonts w:cs="宋体" w:hint="eastAsia"/>
          <w:bCs/>
          <w:sz w:val="24"/>
        </w:rPr>
        <w:t>6、招募说明书</w:t>
      </w:r>
      <w:r w:rsidR="00E1123C">
        <w:rPr>
          <w:rFonts w:cs="宋体" w:hint="eastAsia"/>
          <w:bCs/>
          <w:sz w:val="24"/>
        </w:rPr>
        <w:t>或本招募说明书</w:t>
      </w:r>
      <w:r w:rsidRPr="00F6289E">
        <w:rPr>
          <w:rFonts w:cs="宋体" w:hint="eastAsia"/>
          <w:bCs/>
          <w:sz w:val="24"/>
        </w:rPr>
        <w:t>：指《</w:t>
      </w:r>
      <w:r w:rsidR="00BE63A4">
        <w:rPr>
          <w:rFonts w:cs="宋体" w:hint="eastAsia"/>
          <w:bCs/>
          <w:sz w:val="24"/>
        </w:rPr>
        <w:t>银华</w:t>
      </w:r>
      <w:r w:rsidR="00FD0AB2">
        <w:rPr>
          <w:rFonts w:cs="宋体" w:hint="eastAsia"/>
          <w:bCs/>
          <w:sz w:val="24"/>
        </w:rPr>
        <w:t>中证全指证券公司</w:t>
      </w:r>
      <w:r w:rsidR="00BE63A4">
        <w:rPr>
          <w:rFonts w:cs="宋体" w:hint="eastAsia"/>
          <w:bCs/>
          <w:sz w:val="24"/>
        </w:rPr>
        <w:t>交易型开放式指数证券投资基金发起式联接基金</w:t>
      </w:r>
      <w:r w:rsidRPr="00F6289E">
        <w:rPr>
          <w:rFonts w:cs="宋体" w:hint="eastAsia"/>
          <w:bCs/>
          <w:sz w:val="24"/>
        </w:rPr>
        <w:t>招募说明书》及其更新</w:t>
      </w:r>
    </w:p>
    <w:p w14:paraId="5E01119D" w14:textId="2EAB3D72" w:rsidR="00F6289E" w:rsidRPr="00F6289E" w:rsidRDefault="00F6289E" w:rsidP="00F6289E">
      <w:pPr>
        <w:pStyle w:val="20"/>
        <w:adjustRightInd w:val="0"/>
        <w:snapToGrid w:val="0"/>
        <w:ind w:firstLine="480"/>
        <w:rPr>
          <w:rFonts w:cs="宋体"/>
          <w:bCs/>
          <w:sz w:val="24"/>
        </w:rPr>
      </w:pPr>
      <w:r w:rsidRPr="00F6289E">
        <w:rPr>
          <w:rFonts w:cs="宋体" w:hint="eastAsia"/>
          <w:bCs/>
          <w:sz w:val="24"/>
        </w:rPr>
        <w:t>7、基金份额发售公告：指《</w:t>
      </w:r>
      <w:r w:rsidR="00BE63A4">
        <w:rPr>
          <w:rFonts w:cs="宋体" w:hint="eastAsia"/>
          <w:bCs/>
          <w:sz w:val="24"/>
        </w:rPr>
        <w:t>银华</w:t>
      </w:r>
      <w:r w:rsidR="00FD0AB2">
        <w:rPr>
          <w:rFonts w:cs="宋体" w:hint="eastAsia"/>
          <w:bCs/>
          <w:sz w:val="24"/>
        </w:rPr>
        <w:t>中证全指证券公司</w:t>
      </w:r>
      <w:r w:rsidR="00BE63A4">
        <w:rPr>
          <w:rFonts w:cs="宋体" w:hint="eastAsia"/>
          <w:bCs/>
          <w:sz w:val="24"/>
        </w:rPr>
        <w:t>交易型开放式指数证券投资基金发起式联接基金</w:t>
      </w:r>
      <w:r w:rsidRPr="00F6289E">
        <w:rPr>
          <w:rFonts w:cs="宋体" w:hint="eastAsia"/>
          <w:bCs/>
          <w:sz w:val="24"/>
        </w:rPr>
        <w:t>基金份额发售公告》</w:t>
      </w:r>
    </w:p>
    <w:p w14:paraId="6A0D8EEC" w14:textId="7A610AEA" w:rsidR="00F6289E" w:rsidRPr="00F6289E" w:rsidRDefault="00F6289E" w:rsidP="00F6289E">
      <w:pPr>
        <w:pStyle w:val="20"/>
        <w:adjustRightInd w:val="0"/>
        <w:snapToGrid w:val="0"/>
        <w:ind w:firstLine="480"/>
        <w:rPr>
          <w:rFonts w:cs="宋体"/>
          <w:bCs/>
          <w:sz w:val="24"/>
        </w:rPr>
      </w:pPr>
      <w:r w:rsidRPr="00F6289E">
        <w:rPr>
          <w:rFonts w:cs="宋体" w:hint="eastAsia"/>
          <w:bCs/>
          <w:sz w:val="24"/>
        </w:rPr>
        <w:t>8、基金产品资料概要：指《</w:t>
      </w:r>
      <w:r w:rsidR="00BE63A4">
        <w:rPr>
          <w:rFonts w:cs="宋体" w:hint="eastAsia"/>
          <w:bCs/>
          <w:sz w:val="24"/>
        </w:rPr>
        <w:t>银华</w:t>
      </w:r>
      <w:r w:rsidR="00FD0AB2">
        <w:rPr>
          <w:rFonts w:cs="宋体" w:hint="eastAsia"/>
          <w:bCs/>
          <w:sz w:val="24"/>
        </w:rPr>
        <w:t>中证全指证券公司</w:t>
      </w:r>
      <w:r w:rsidR="00BE63A4">
        <w:rPr>
          <w:rFonts w:cs="宋体" w:hint="eastAsia"/>
          <w:bCs/>
          <w:sz w:val="24"/>
        </w:rPr>
        <w:t>交易型开放式指数证券投资基金发起式联接基金</w:t>
      </w:r>
      <w:r w:rsidRPr="00F6289E">
        <w:rPr>
          <w:rFonts w:cs="宋体" w:hint="eastAsia"/>
          <w:bCs/>
          <w:sz w:val="24"/>
        </w:rPr>
        <w:t>基金产品资料概要》及其更新</w:t>
      </w:r>
    </w:p>
    <w:p w14:paraId="2530DA3D" w14:textId="77777777" w:rsidR="00F6289E" w:rsidRPr="00F6289E" w:rsidRDefault="00F6289E" w:rsidP="00F6289E">
      <w:pPr>
        <w:pStyle w:val="20"/>
        <w:adjustRightInd w:val="0"/>
        <w:snapToGrid w:val="0"/>
        <w:ind w:firstLine="480"/>
        <w:rPr>
          <w:rFonts w:cs="宋体"/>
          <w:bCs/>
          <w:sz w:val="24"/>
        </w:rPr>
      </w:pPr>
      <w:r w:rsidRPr="00F6289E">
        <w:rPr>
          <w:rFonts w:cs="宋体" w:hint="eastAsia"/>
          <w:bCs/>
          <w:sz w:val="24"/>
        </w:rPr>
        <w:t>9、法律法规：指中国现行有效并公布实施的法律、行政法规、规范性文件、司法解释、行政规章以及其他对基金合同当事人有约束力的决定、决议、通知等</w:t>
      </w:r>
    </w:p>
    <w:p w14:paraId="5E311C37" w14:textId="77777777" w:rsidR="00F6289E" w:rsidRPr="00F6289E" w:rsidRDefault="00F6289E" w:rsidP="00F6289E">
      <w:pPr>
        <w:pStyle w:val="20"/>
        <w:adjustRightInd w:val="0"/>
        <w:snapToGrid w:val="0"/>
        <w:ind w:firstLine="480"/>
        <w:rPr>
          <w:rFonts w:cs="宋体"/>
          <w:bCs/>
          <w:sz w:val="24"/>
        </w:rPr>
      </w:pPr>
      <w:r w:rsidRPr="00F6289E">
        <w:rPr>
          <w:rFonts w:cs="宋体" w:hint="eastAsia"/>
          <w:bCs/>
          <w:sz w:val="24"/>
        </w:rPr>
        <w:t>10、《基金法》：指2003年10月28日经第十届全国人民代表大会常务委员会第五次会议通过，经2012年12月28日第十一届全国人民代表大会常务委员会第三十次会议修订，自2013年6月1日起实施，并经2015年4月24日第十二届全国人民代表大会常务委员会第十四次会议《全国人民代表大会常务委员会关于修改&lt;中华人民共和国港口法&gt;等七部法律的决定》修正的《中华人民共和国证券投资基金法》及颁布机关对其不时做出的修订</w:t>
      </w:r>
    </w:p>
    <w:p w14:paraId="1D1463D1" w14:textId="77777777" w:rsidR="00F6289E" w:rsidRPr="00F6289E" w:rsidRDefault="00F6289E" w:rsidP="00F6289E">
      <w:pPr>
        <w:pStyle w:val="20"/>
        <w:adjustRightInd w:val="0"/>
        <w:snapToGrid w:val="0"/>
        <w:ind w:firstLine="480"/>
        <w:rPr>
          <w:rFonts w:cs="宋体"/>
          <w:bCs/>
          <w:sz w:val="24"/>
        </w:rPr>
      </w:pPr>
      <w:r w:rsidRPr="00F6289E">
        <w:rPr>
          <w:rFonts w:cs="宋体" w:hint="eastAsia"/>
          <w:bCs/>
          <w:sz w:val="24"/>
        </w:rPr>
        <w:t>11、《销售办法》：指中国证监会2020年8月28日颁布、同年10月1日实施的《公开募集证券投资基金销售机构监督管理办法》及颁布机关对其不时做出的修订</w:t>
      </w:r>
    </w:p>
    <w:p w14:paraId="324609BD" w14:textId="77777777" w:rsidR="00F6289E" w:rsidRPr="00F6289E" w:rsidRDefault="00F6289E" w:rsidP="00F6289E">
      <w:pPr>
        <w:pStyle w:val="20"/>
        <w:adjustRightInd w:val="0"/>
        <w:snapToGrid w:val="0"/>
        <w:ind w:firstLine="480"/>
        <w:rPr>
          <w:rFonts w:cs="宋体"/>
          <w:bCs/>
          <w:sz w:val="24"/>
        </w:rPr>
      </w:pPr>
      <w:r w:rsidRPr="00F6289E">
        <w:rPr>
          <w:rFonts w:cs="宋体" w:hint="eastAsia"/>
          <w:bCs/>
          <w:sz w:val="24"/>
        </w:rPr>
        <w:lastRenderedPageBreak/>
        <w:t>12、《信息披露办法》：指中国证监会2019年7月26日颁布、同年9月1日实施的，并经2020年3月20日中国证监会《关于修改部分证券期货规章的决定》修正的《公开募集证券投资基金信息披露管理办法》及颁布机关对其不时做出的修订</w:t>
      </w:r>
    </w:p>
    <w:p w14:paraId="43F07612" w14:textId="77777777" w:rsidR="00F6289E" w:rsidRPr="00F6289E" w:rsidRDefault="00F6289E" w:rsidP="00F6289E">
      <w:pPr>
        <w:pStyle w:val="20"/>
        <w:adjustRightInd w:val="0"/>
        <w:snapToGrid w:val="0"/>
        <w:ind w:firstLine="480"/>
        <w:rPr>
          <w:rFonts w:cs="宋体"/>
          <w:bCs/>
          <w:sz w:val="24"/>
        </w:rPr>
      </w:pPr>
      <w:r w:rsidRPr="00F6289E">
        <w:rPr>
          <w:rFonts w:cs="宋体" w:hint="eastAsia"/>
          <w:bCs/>
          <w:sz w:val="24"/>
        </w:rPr>
        <w:t>13、《运作办法》：指中国证监会2014年7月7日颁布、同年8月8日实施的《公开募集证券投资基金运作管理办法》及颁布机关对其不时做出的修订</w:t>
      </w:r>
    </w:p>
    <w:p w14:paraId="7AEE6548" w14:textId="77777777" w:rsidR="00F6289E" w:rsidRPr="00F6289E" w:rsidRDefault="00F6289E" w:rsidP="00F6289E">
      <w:pPr>
        <w:pStyle w:val="20"/>
        <w:adjustRightInd w:val="0"/>
        <w:snapToGrid w:val="0"/>
        <w:ind w:firstLine="480"/>
        <w:rPr>
          <w:rFonts w:cs="宋体"/>
          <w:bCs/>
          <w:sz w:val="24"/>
        </w:rPr>
      </w:pPr>
      <w:r w:rsidRPr="00F6289E">
        <w:rPr>
          <w:rFonts w:cs="宋体" w:hint="eastAsia"/>
          <w:bCs/>
          <w:sz w:val="24"/>
        </w:rPr>
        <w:t>14、《流动性风险管理规定》：指中国证监会2017年8月31日颁布、同年10月1日实施的《公开募集开放式证券投资基金流动性风险管理规定》及颁布机关对其不时做出的修订</w:t>
      </w:r>
    </w:p>
    <w:p w14:paraId="112070A8" w14:textId="575CFE86" w:rsidR="00DB3A01" w:rsidRDefault="00F6289E" w:rsidP="00F6289E">
      <w:pPr>
        <w:pStyle w:val="20"/>
        <w:adjustRightInd w:val="0"/>
        <w:snapToGrid w:val="0"/>
        <w:ind w:firstLine="480"/>
        <w:rPr>
          <w:rFonts w:cs="宋体"/>
          <w:bCs/>
          <w:sz w:val="24"/>
        </w:rPr>
      </w:pPr>
      <w:r w:rsidRPr="00F6289E">
        <w:rPr>
          <w:rFonts w:cs="宋体" w:hint="eastAsia"/>
          <w:bCs/>
          <w:sz w:val="24"/>
        </w:rPr>
        <w:t>15、</w:t>
      </w:r>
      <w:r w:rsidR="00DB3A01" w:rsidRPr="00F6289E">
        <w:rPr>
          <w:rFonts w:cs="宋体" w:hint="eastAsia"/>
          <w:bCs/>
          <w:sz w:val="24"/>
        </w:rPr>
        <w:t>《指数基金指引》：指中国证监会2021年1月</w:t>
      </w:r>
      <w:r w:rsidR="00DB3A01">
        <w:rPr>
          <w:rFonts w:cs="宋体"/>
          <w:bCs/>
          <w:sz w:val="24"/>
        </w:rPr>
        <w:t>18</w:t>
      </w:r>
      <w:r w:rsidR="00DB3A01" w:rsidRPr="00F6289E">
        <w:rPr>
          <w:rFonts w:cs="宋体" w:hint="eastAsia"/>
          <w:bCs/>
          <w:sz w:val="24"/>
        </w:rPr>
        <w:t>日颁布、同年2月1日实施的《公开募集证券投资基金运作指引第3号——指数基金指引》及颁布机关对其不时做出的修订</w:t>
      </w:r>
    </w:p>
    <w:p w14:paraId="248E6AE0" w14:textId="24615585" w:rsidR="009D1EC7" w:rsidRPr="00F6289E" w:rsidRDefault="009D1EC7" w:rsidP="009D1EC7">
      <w:pPr>
        <w:pStyle w:val="20"/>
        <w:adjustRightInd w:val="0"/>
        <w:snapToGrid w:val="0"/>
        <w:ind w:firstLine="480"/>
        <w:rPr>
          <w:rFonts w:cs="宋体"/>
          <w:bCs/>
          <w:sz w:val="24"/>
        </w:rPr>
      </w:pPr>
      <w:r>
        <w:rPr>
          <w:rFonts w:cs="宋体" w:hint="eastAsia"/>
          <w:bCs/>
          <w:sz w:val="24"/>
        </w:rPr>
        <w:t>1</w:t>
      </w:r>
      <w:r>
        <w:rPr>
          <w:rFonts w:cs="宋体"/>
          <w:bCs/>
          <w:sz w:val="24"/>
        </w:rPr>
        <w:t>6、</w:t>
      </w:r>
      <w:r w:rsidRPr="00F6289E">
        <w:rPr>
          <w:rFonts w:cs="宋体" w:hint="eastAsia"/>
          <w:bCs/>
          <w:sz w:val="24"/>
        </w:rPr>
        <w:t>交易型开放式指数证券投资基金：</w:t>
      </w:r>
      <w:r w:rsidR="00AA68D5" w:rsidRPr="00AA68D5">
        <w:rPr>
          <w:rFonts w:cs="宋体" w:hint="eastAsia"/>
          <w:bCs/>
          <w:sz w:val="24"/>
        </w:rPr>
        <w:t>指</w:t>
      </w:r>
      <w:r w:rsidR="00F52834">
        <w:rPr>
          <w:rFonts w:cs="宋体" w:hint="eastAsia"/>
          <w:bCs/>
          <w:sz w:val="24"/>
        </w:rPr>
        <w:t>《深圳证券交易所证券投资基金交易和申购赎回实施细则》</w:t>
      </w:r>
      <w:r w:rsidR="00AA68D5" w:rsidRPr="00AA68D5">
        <w:rPr>
          <w:rFonts w:cs="宋体" w:hint="eastAsia"/>
          <w:bCs/>
          <w:sz w:val="24"/>
        </w:rPr>
        <w:t>定义的“交易型开放式基金”，简称“ETF”（Exchange Traded Fund）</w:t>
      </w:r>
    </w:p>
    <w:p w14:paraId="06A6E474" w14:textId="76BE4E01" w:rsidR="009D1EC7" w:rsidRPr="00F6289E" w:rsidRDefault="009D1EC7" w:rsidP="009D1EC7">
      <w:pPr>
        <w:pStyle w:val="20"/>
        <w:adjustRightInd w:val="0"/>
        <w:snapToGrid w:val="0"/>
        <w:ind w:firstLine="480"/>
        <w:rPr>
          <w:rFonts w:cs="宋体"/>
          <w:bCs/>
          <w:sz w:val="24"/>
        </w:rPr>
      </w:pPr>
      <w:r>
        <w:rPr>
          <w:rFonts w:cs="宋体"/>
          <w:bCs/>
          <w:sz w:val="24"/>
        </w:rPr>
        <w:t>17</w:t>
      </w:r>
      <w:r w:rsidRPr="00F6289E">
        <w:rPr>
          <w:rFonts w:cs="宋体" w:hint="eastAsia"/>
          <w:bCs/>
          <w:sz w:val="24"/>
        </w:rPr>
        <w:t>、ETF联接基金：指将其绝大部分基金财产投资于跟踪同一标的指数的ETF（以下简称“目标ETF”），紧密跟踪标的指数表现，追求跟踪偏离度和跟踪误差最小化，采用开放式运作方式的基金，本基金是联接其所投资的目标ETF的ETF联接基金</w:t>
      </w:r>
    </w:p>
    <w:p w14:paraId="4B96D7C8" w14:textId="4C4163B3" w:rsidR="009D1EC7" w:rsidRPr="00F6289E" w:rsidRDefault="009D1EC7" w:rsidP="009D1EC7">
      <w:pPr>
        <w:pStyle w:val="20"/>
        <w:adjustRightInd w:val="0"/>
        <w:snapToGrid w:val="0"/>
        <w:ind w:firstLine="480"/>
        <w:rPr>
          <w:rFonts w:cs="宋体"/>
          <w:bCs/>
          <w:sz w:val="24"/>
        </w:rPr>
      </w:pPr>
      <w:r>
        <w:rPr>
          <w:rFonts w:cs="宋体"/>
          <w:bCs/>
          <w:sz w:val="24"/>
        </w:rPr>
        <w:t>18</w:t>
      </w:r>
      <w:r w:rsidRPr="00F6289E">
        <w:rPr>
          <w:rFonts w:cs="宋体" w:hint="eastAsia"/>
          <w:bCs/>
          <w:sz w:val="24"/>
        </w:rPr>
        <w:t>、标的指数：</w:t>
      </w:r>
      <w:r w:rsidR="003B0D2F" w:rsidRPr="003B0D2F">
        <w:rPr>
          <w:rFonts w:cs="宋体" w:hint="eastAsia"/>
          <w:bCs/>
          <w:sz w:val="24"/>
        </w:rPr>
        <w:t>指中证指数有限公司编制并发布的</w:t>
      </w:r>
      <w:r w:rsidR="00FD0AB2">
        <w:rPr>
          <w:rFonts w:cs="宋体" w:hint="eastAsia"/>
          <w:bCs/>
          <w:sz w:val="24"/>
        </w:rPr>
        <w:t>中证全指证券公司</w:t>
      </w:r>
      <w:r w:rsidR="007A2F23">
        <w:rPr>
          <w:rFonts w:cs="宋体" w:hint="eastAsia"/>
          <w:bCs/>
          <w:sz w:val="24"/>
        </w:rPr>
        <w:t>指数</w:t>
      </w:r>
      <w:r w:rsidR="00F52834">
        <w:rPr>
          <w:rFonts w:cs="宋体" w:hint="eastAsia"/>
          <w:bCs/>
          <w:sz w:val="24"/>
        </w:rPr>
        <w:t>及其未来可能发生的变更</w:t>
      </w:r>
    </w:p>
    <w:p w14:paraId="6290D217" w14:textId="4B81F45F" w:rsidR="009D1EC7" w:rsidRDefault="009D1EC7" w:rsidP="009D1EC7">
      <w:pPr>
        <w:pStyle w:val="20"/>
        <w:adjustRightInd w:val="0"/>
        <w:snapToGrid w:val="0"/>
        <w:ind w:firstLine="480"/>
        <w:rPr>
          <w:rFonts w:cs="宋体"/>
          <w:bCs/>
          <w:sz w:val="24"/>
        </w:rPr>
      </w:pPr>
      <w:r>
        <w:rPr>
          <w:rFonts w:cs="宋体"/>
          <w:bCs/>
          <w:sz w:val="24"/>
        </w:rPr>
        <w:t>19</w:t>
      </w:r>
      <w:r w:rsidRPr="00F6289E">
        <w:rPr>
          <w:rFonts w:cs="宋体" w:hint="eastAsia"/>
          <w:bCs/>
          <w:sz w:val="24"/>
        </w:rPr>
        <w:t>、目标ETF：指另一获中国证监会注册的交易型开放式指数证券投资基金（简称“该ETF”），该ETF和本基金所跟踪的标的指数相同，并且该ETF的投资目标和本基金的投资目标类似，本基金主要投资于该ETF以求达到投资目标。本基金以</w:t>
      </w:r>
      <w:r>
        <w:rPr>
          <w:rFonts w:hint="eastAsia"/>
          <w:sz w:val="24"/>
          <w:szCs w:val="24"/>
        </w:rPr>
        <w:t>银华</w:t>
      </w:r>
      <w:r w:rsidR="00FD0AB2">
        <w:rPr>
          <w:rFonts w:hint="eastAsia"/>
          <w:sz w:val="24"/>
          <w:szCs w:val="24"/>
        </w:rPr>
        <w:t>中证全指证券公司</w:t>
      </w:r>
      <w:r>
        <w:rPr>
          <w:rFonts w:hint="eastAsia"/>
          <w:sz w:val="24"/>
          <w:szCs w:val="24"/>
        </w:rPr>
        <w:t>交易型开放式指数证券投资基金</w:t>
      </w:r>
      <w:r w:rsidRPr="00F6289E">
        <w:rPr>
          <w:rFonts w:cs="宋体" w:hint="eastAsia"/>
          <w:bCs/>
          <w:sz w:val="24"/>
        </w:rPr>
        <w:t>为目标ETF</w:t>
      </w:r>
    </w:p>
    <w:p w14:paraId="26B065B5" w14:textId="7035FF52" w:rsidR="00F6289E" w:rsidRPr="00F6289E" w:rsidRDefault="009D1EC7" w:rsidP="00F6289E">
      <w:pPr>
        <w:pStyle w:val="20"/>
        <w:adjustRightInd w:val="0"/>
        <w:snapToGrid w:val="0"/>
        <w:ind w:firstLine="480"/>
        <w:rPr>
          <w:rFonts w:cs="宋体"/>
          <w:bCs/>
          <w:sz w:val="24"/>
        </w:rPr>
      </w:pPr>
      <w:r>
        <w:rPr>
          <w:rFonts w:cs="宋体" w:hint="eastAsia"/>
          <w:bCs/>
          <w:sz w:val="24"/>
        </w:rPr>
        <w:t>2</w:t>
      </w:r>
      <w:r>
        <w:rPr>
          <w:rFonts w:cs="宋体"/>
          <w:bCs/>
          <w:sz w:val="24"/>
        </w:rPr>
        <w:t>0、</w:t>
      </w:r>
      <w:r w:rsidR="00F6289E" w:rsidRPr="00F6289E">
        <w:rPr>
          <w:rFonts w:cs="宋体" w:hint="eastAsia"/>
          <w:bCs/>
          <w:sz w:val="24"/>
        </w:rPr>
        <w:t>中国证监会：指中国证券监督管理委员会</w:t>
      </w:r>
    </w:p>
    <w:p w14:paraId="6BF20F63" w14:textId="3A69C09F" w:rsidR="00AB2B63" w:rsidRDefault="00AB2B63" w:rsidP="00F6289E">
      <w:pPr>
        <w:pStyle w:val="20"/>
        <w:adjustRightInd w:val="0"/>
        <w:snapToGrid w:val="0"/>
        <w:ind w:firstLine="480"/>
        <w:rPr>
          <w:rFonts w:cs="宋体"/>
          <w:bCs/>
          <w:sz w:val="24"/>
        </w:rPr>
      </w:pPr>
      <w:r w:rsidRPr="00AB2B63">
        <w:rPr>
          <w:rFonts w:cs="宋体" w:hint="eastAsia"/>
          <w:bCs/>
          <w:sz w:val="24"/>
        </w:rPr>
        <w:t>21、银行业监督管理机构：指中国人民银行和/或国家金融监督管理总局或其他经国务院授权的机构</w:t>
      </w:r>
    </w:p>
    <w:p w14:paraId="59A48972" w14:textId="162B28B5" w:rsidR="00F6289E" w:rsidRPr="00F6289E" w:rsidRDefault="00AB2B63" w:rsidP="00F6289E">
      <w:pPr>
        <w:pStyle w:val="20"/>
        <w:adjustRightInd w:val="0"/>
        <w:snapToGrid w:val="0"/>
        <w:ind w:firstLine="480"/>
        <w:rPr>
          <w:rFonts w:cs="宋体"/>
          <w:bCs/>
          <w:sz w:val="24"/>
        </w:rPr>
      </w:pPr>
      <w:r>
        <w:rPr>
          <w:rFonts w:cs="宋体"/>
          <w:bCs/>
          <w:sz w:val="24"/>
        </w:rPr>
        <w:t>22</w:t>
      </w:r>
      <w:r w:rsidR="00F6289E" w:rsidRPr="00F6289E">
        <w:rPr>
          <w:rFonts w:cs="宋体" w:hint="eastAsia"/>
          <w:bCs/>
          <w:sz w:val="24"/>
        </w:rPr>
        <w:t>、基金合同当事人：指受基金合同约束，根据基金合同享有权利并承担义务的法律主体，包括基金管理人、基金托管人和基金份额持有人</w:t>
      </w:r>
    </w:p>
    <w:p w14:paraId="1839CD95" w14:textId="10C57130" w:rsidR="00F6289E" w:rsidRPr="00F6289E" w:rsidRDefault="00AB2B63" w:rsidP="00F6289E">
      <w:pPr>
        <w:pStyle w:val="20"/>
        <w:adjustRightInd w:val="0"/>
        <w:snapToGrid w:val="0"/>
        <w:ind w:firstLine="480"/>
        <w:rPr>
          <w:rFonts w:cs="宋体"/>
          <w:bCs/>
          <w:sz w:val="24"/>
        </w:rPr>
      </w:pPr>
      <w:r>
        <w:rPr>
          <w:rFonts w:cs="宋体"/>
          <w:bCs/>
          <w:sz w:val="24"/>
        </w:rPr>
        <w:lastRenderedPageBreak/>
        <w:t>23</w:t>
      </w:r>
      <w:r w:rsidR="00F6289E" w:rsidRPr="00F6289E">
        <w:rPr>
          <w:rFonts w:cs="宋体" w:hint="eastAsia"/>
          <w:bCs/>
          <w:sz w:val="24"/>
        </w:rPr>
        <w:t>、个人投资者：指依据有关法律法规规定可投资于证券投资基金的自然人</w:t>
      </w:r>
    </w:p>
    <w:p w14:paraId="7C908792" w14:textId="0193F238" w:rsidR="00F6289E" w:rsidRPr="00F6289E" w:rsidRDefault="00AB2B63" w:rsidP="00F6289E">
      <w:pPr>
        <w:pStyle w:val="20"/>
        <w:adjustRightInd w:val="0"/>
        <w:snapToGrid w:val="0"/>
        <w:ind w:firstLine="480"/>
        <w:rPr>
          <w:rFonts w:cs="宋体"/>
          <w:bCs/>
          <w:sz w:val="24"/>
        </w:rPr>
      </w:pPr>
      <w:r>
        <w:rPr>
          <w:rFonts w:cs="宋体"/>
          <w:bCs/>
          <w:sz w:val="24"/>
        </w:rPr>
        <w:t>24</w:t>
      </w:r>
      <w:r w:rsidR="00F6289E" w:rsidRPr="00F6289E">
        <w:rPr>
          <w:rFonts w:cs="宋体" w:hint="eastAsia"/>
          <w:bCs/>
          <w:sz w:val="24"/>
        </w:rPr>
        <w:t>、机构投资者：指依法可以投资证券投资基金的、在中华人民共和国境内合法登记并存续或经有关政府部门批准设立并存续的企业法人、事业法人、社会团体或其他组织</w:t>
      </w:r>
    </w:p>
    <w:p w14:paraId="4FADDFF4" w14:textId="1546E72B" w:rsidR="00F6289E" w:rsidRPr="00F6289E" w:rsidRDefault="00AB2B63" w:rsidP="00F6289E">
      <w:pPr>
        <w:pStyle w:val="20"/>
        <w:adjustRightInd w:val="0"/>
        <w:snapToGrid w:val="0"/>
        <w:ind w:firstLine="480"/>
        <w:rPr>
          <w:rFonts w:cs="宋体"/>
          <w:bCs/>
          <w:sz w:val="24"/>
        </w:rPr>
      </w:pPr>
      <w:r w:rsidRPr="00F6289E">
        <w:rPr>
          <w:rFonts w:cs="宋体" w:hint="eastAsia"/>
          <w:bCs/>
          <w:sz w:val="24"/>
        </w:rPr>
        <w:t>2</w:t>
      </w:r>
      <w:r>
        <w:rPr>
          <w:rFonts w:cs="宋体"/>
          <w:bCs/>
          <w:sz w:val="24"/>
        </w:rPr>
        <w:t>5</w:t>
      </w:r>
      <w:r w:rsidR="00F6289E" w:rsidRPr="00F6289E">
        <w:rPr>
          <w:rFonts w:cs="宋体" w:hint="eastAsia"/>
          <w:bCs/>
          <w:sz w:val="24"/>
        </w:rPr>
        <w:t>、合格境外投资者：指符合《合格境外机构投资者和人民币合格境外机构投资者境内证券期货投资管理办法》（包括其不时修订）及相关法律法规规定，经中国证监会批准，使用来自境外的资金进行境内证券期货投资的境外机构投资者，包括合格境外机构投资者和人民币合格境外机构投资者</w:t>
      </w:r>
    </w:p>
    <w:p w14:paraId="5C756D7A" w14:textId="2EEE8E5D" w:rsidR="00F6289E" w:rsidRPr="00F6289E" w:rsidRDefault="00AB2B63" w:rsidP="00F6289E">
      <w:pPr>
        <w:pStyle w:val="20"/>
        <w:adjustRightInd w:val="0"/>
        <w:snapToGrid w:val="0"/>
        <w:ind w:firstLine="480"/>
        <w:rPr>
          <w:rFonts w:cs="宋体"/>
          <w:bCs/>
          <w:sz w:val="24"/>
        </w:rPr>
      </w:pPr>
      <w:r w:rsidRPr="00F6289E">
        <w:rPr>
          <w:rFonts w:cs="宋体" w:hint="eastAsia"/>
          <w:bCs/>
          <w:sz w:val="24"/>
        </w:rPr>
        <w:t>2</w:t>
      </w:r>
      <w:r>
        <w:rPr>
          <w:rFonts w:cs="宋体"/>
          <w:bCs/>
          <w:sz w:val="24"/>
        </w:rPr>
        <w:t>6</w:t>
      </w:r>
      <w:r w:rsidR="00F6289E" w:rsidRPr="00F6289E">
        <w:rPr>
          <w:rFonts w:cs="宋体" w:hint="eastAsia"/>
          <w:bCs/>
          <w:sz w:val="24"/>
        </w:rPr>
        <w:t>、投资人、投资者：指个人投资者、机构投资者、合格境外投资者</w:t>
      </w:r>
      <w:r w:rsidR="00A9638B">
        <w:rPr>
          <w:rFonts w:hint="eastAsia"/>
          <w:bCs/>
          <w:sz w:val="24"/>
          <w:szCs w:val="24"/>
        </w:rPr>
        <w:t>、发起资金提供方</w:t>
      </w:r>
      <w:r w:rsidR="00F6289E" w:rsidRPr="00F6289E">
        <w:rPr>
          <w:rFonts w:cs="宋体" w:hint="eastAsia"/>
          <w:bCs/>
          <w:sz w:val="24"/>
        </w:rPr>
        <w:t>以及法律法规或中国证监会允许购买证券投资基金的其他投资人的合称</w:t>
      </w:r>
    </w:p>
    <w:p w14:paraId="1FF5D95C" w14:textId="54FC4FC6" w:rsidR="00F6289E" w:rsidRPr="00F6289E" w:rsidRDefault="00AB2B63" w:rsidP="00F6289E">
      <w:pPr>
        <w:pStyle w:val="20"/>
        <w:adjustRightInd w:val="0"/>
        <w:snapToGrid w:val="0"/>
        <w:ind w:firstLine="480"/>
        <w:rPr>
          <w:rFonts w:cs="宋体"/>
          <w:bCs/>
          <w:sz w:val="24"/>
        </w:rPr>
      </w:pPr>
      <w:r w:rsidRPr="00F6289E">
        <w:rPr>
          <w:rFonts w:cs="宋体" w:hint="eastAsia"/>
          <w:bCs/>
          <w:sz w:val="24"/>
        </w:rPr>
        <w:t>2</w:t>
      </w:r>
      <w:r>
        <w:rPr>
          <w:rFonts w:cs="宋体"/>
          <w:bCs/>
          <w:sz w:val="24"/>
        </w:rPr>
        <w:t>7</w:t>
      </w:r>
      <w:r w:rsidR="00F6289E" w:rsidRPr="00F6289E">
        <w:rPr>
          <w:rFonts w:cs="宋体" w:hint="eastAsia"/>
          <w:bCs/>
          <w:sz w:val="24"/>
        </w:rPr>
        <w:t>、基金份额持有人：指依基金合同和招募说明书合法取得本基金基金份额的投资人</w:t>
      </w:r>
    </w:p>
    <w:p w14:paraId="35A05173" w14:textId="3CF83605" w:rsidR="00F6289E" w:rsidRPr="00F6289E" w:rsidRDefault="00AB2B63" w:rsidP="00F6289E">
      <w:pPr>
        <w:pStyle w:val="20"/>
        <w:adjustRightInd w:val="0"/>
        <w:snapToGrid w:val="0"/>
        <w:ind w:firstLine="480"/>
        <w:rPr>
          <w:rFonts w:cs="宋体"/>
          <w:bCs/>
          <w:sz w:val="24"/>
        </w:rPr>
      </w:pPr>
      <w:r w:rsidRPr="00F6289E">
        <w:rPr>
          <w:rFonts w:cs="宋体" w:hint="eastAsia"/>
          <w:bCs/>
          <w:sz w:val="24"/>
        </w:rPr>
        <w:t>2</w:t>
      </w:r>
      <w:r>
        <w:rPr>
          <w:rFonts w:cs="宋体"/>
          <w:bCs/>
          <w:sz w:val="24"/>
        </w:rPr>
        <w:t>8</w:t>
      </w:r>
      <w:r w:rsidR="00F6289E" w:rsidRPr="00F6289E">
        <w:rPr>
          <w:rFonts w:cs="宋体" w:hint="eastAsia"/>
          <w:bCs/>
          <w:sz w:val="24"/>
        </w:rPr>
        <w:t>、基金销售业务：指基金管理人或销售机构宣传推介基金，发售基金份额，办理基金份额的申购、赎回、转换、转托管及</w:t>
      </w:r>
      <w:r w:rsidR="00D23E2F">
        <w:rPr>
          <w:rFonts w:cs="宋体" w:hint="eastAsia"/>
          <w:bCs/>
          <w:sz w:val="24"/>
        </w:rPr>
        <w:t>定期定额投资</w:t>
      </w:r>
      <w:r w:rsidR="00F6289E" w:rsidRPr="00F6289E">
        <w:rPr>
          <w:rFonts w:cs="宋体" w:hint="eastAsia"/>
          <w:bCs/>
          <w:sz w:val="24"/>
        </w:rPr>
        <w:t>等业务</w:t>
      </w:r>
    </w:p>
    <w:p w14:paraId="62617700" w14:textId="5CCC36DB" w:rsidR="00F6289E" w:rsidRPr="00F6289E" w:rsidRDefault="00AB2B63" w:rsidP="00F6289E">
      <w:pPr>
        <w:pStyle w:val="20"/>
        <w:adjustRightInd w:val="0"/>
        <w:snapToGrid w:val="0"/>
        <w:ind w:firstLine="480"/>
        <w:rPr>
          <w:rFonts w:cs="宋体"/>
          <w:bCs/>
          <w:sz w:val="24"/>
        </w:rPr>
      </w:pPr>
      <w:r w:rsidRPr="00F6289E">
        <w:rPr>
          <w:rFonts w:cs="宋体" w:hint="eastAsia"/>
          <w:bCs/>
          <w:sz w:val="24"/>
        </w:rPr>
        <w:t>2</w:t>
      </w:r>
      <w:r>
        <w:rPr>
          <w:rFonts w:cs="宋体"/>
          <w:bCs/>
          <w:sz w:val="24"/>
        </w:rPr>
        <w:t>9</w:t>
      </w:r>
      <w:r w:rsidR="00F6289E" w:rsidRPr="00F6289E">
        <w:rPr>
          <w:rFonts w:cs="宋体" w:hint="eastAsia"/>
          <w:bCs/>
          <w:sz w:val="24"/>
        </w:rPr>
        <w:t>、发售：指在本基金募集期内，销售机构向投资人销售本基金基金份额的行为</w:t>
      </w:r>
    </w:p>
    <w:p w14:paraId="501F2D1D" w14:textId="2FE17658" w:rsidR="00F6289E" w:rsidRPr="00F6289E" w:rsidRDefault="00AB2B63" w:rsidP="00F6289E">
      <w:pPr>
        <w:pStyle w:val="20"/>
        <w:adjustRightInd w:val="0"/>
        <w:snapToGrid w:val="0"/>
        <w:ind w:firstLine="480"/>
        <w:rPr>
          <w:rFonts w:cs="宋体"/>
          <w:bCs/>
          <w:sz w:val="24"/>
        </w:rPr>
      </w:pPr>
      <w:r>
        <w:rPr>
          <w:rFonts w:cs="宋体"/>
          <w:bCs/>
          <w:sz w:val="24"/>
        </w:rPr>
        <w:t>30</w:t>
      </w:r>
      <w:r w:rsidR="00F6289E" w:rsidRPr="00F6289E">
        <w:rPr>
          <w:rFonts w:cs="宋体" w:hint="eastAsia"/>
          <w:bCs/>
          <w:sz w:val="24"/>
        </w:rPr>
        <w:t>、销售机构：指银华基金管理股份有限公司以及符合《销售办法》和中国证监会规定的其他条件，取得基金销售业务资格并与基金管理人签订了基金销售服务协议，办理基金销售业务的其他机构</w:t>
      </w:r>
    </w:p>
    <w:p w14:paraId="5712A3E0" w14:textId="7785D8F8" w:rsidR="00F6289E" w:rsidRPr="00F6289E" w:rsidRDefault="00AB2B63" w:rsidP="00F6289E">
      <w:pPr>
        <w:pStyle w:val="20"/>
        <w:adjustRightInd w:val="0"/>
        <w:snapToGrid w:val="0"/>
        <w:ind w:firstLine="480"/>
        <w:rPr>
          <w:rFonts w:cs="宋体"/>
          <w:bCs/>
          <w:sz w:val="24"/>
        </w:rPr>
      </w:pPr>
      <w:r>
        <w:rPr>
          <w:rFonts w:cs="宋体"/>
          <w:bCs/>
          <w:sz w:val="24"/>
        </w:rPr>
        <w:t>31</w:t>
      </w:r>
      <w:r w:rsidR="00F6289E" w:rsidRPr="00F6289E">
        <w:rPr>
          <w:rFonts w:cs="宋体" w:hint="eastAsia"/>
          <w:bCs/>
          <w:sz w:val="24"/>
        </w:rPr>
        <w:t>、基金销售网点：指销售机构的销售网点</w:t>
      </w:r>
    </w:p>
    <w:p w14:paraId="0125A943" w14:textId="64E19B7A" w:rsidR="00F6289E" w:rsidRPr="00F6289E" w:rsidRDefault="00AB2B63" w:rsidP="00F6289E">
      <w:pPr>
        <w:pStyle w:val="20"/>
        <w:adjustRightInd w:val="0"/>
        <w:snapToGrid w:val="0"/>
        <w:ind w:firstLine="480"/>
        <w:rPr>
          <w:rFonts w:cs="宋体"/>
          <w:bCs/>
          <w:sz w:val="24"/>
        </w:rPr>
      </w:pPr>
      <w:r>
        <w:rPr>
          <w:rFonts w:cs="宋体"/>
          <w:bCs/>
          <w:sz w:val="24"/>
        </w:rPr>
        <w:t>32</w:t>
      </w:r>
      <w:r w:rsidR="00F6289E" w:rsidRPr="00F6289E">
        <w:rPr>
          <w:rFonts w:cs="宋体" w:hint="eastAsia"/>
          <w:bCs/>
          <w:sz w:val="24"/>
        </w:rPr>
        <w:t>、登记业务：指基金登记、存管、过户、清算和结算业务，具体内容包括投资人基金账户的建立和管理、基金份额登记、基金销售业务的确认、清算和结算、代理发放红利、建立并保管基金份额持有人名册和办理非交易过户等</w:t>
      </w:r>
    </w:p>
    <w:p w14:paraId="1CDB1D80" w14:textId="3E167B0D" w:rsidR="00F6289E" w:rsidRPr="00F6289E" w:rsidRDefault="00AB2B63" w:rsidP="00F6289E">
      <w:pPr>
        <w:pStyle w:val="20"/>
        <w:adjustRightInd w:val="0"/>
        <w:snapToGrid w:val="0"/>
        <w:ind w:firstLine="480"/>
        <w:rPr>
          <w:rFonts w:cs="宋体"/>
          <w:bCs/>
          <w:sz w:val="24"/>
        </w:rPr>
      </w:pPr>
      <w:r>
        <w:rPr>
          <w:rFonts w:cs="宋体"/>
          <w:bCs/>
          <w:sz w:val="24"/>
        </w:rPr>
        <w:t>33</w:t>
      </w:r>
      <w:r w:rsidR="00F6289E" w:rsidRPr="00F6289E">
        <w:rPr>
          <w:rFonts w:cs="宋体" w:hint="eastAsia"/>
          <w:bCs/>
          <w:sz w:val="24"/>
        </w:rPr>
        <w:t>、登记机构：指办理登记业务的机构。本基金的登记机构为银华基金管理股份有限公司或接受银华基金管理股份有限公司委托代为办理登记业务的机构</w:t>
      </w:r>
    </w:p>
    <w:p w14:paraId="1D0766C9" w14:textId="7F7B727E" w:rsidR="00F6289E" w:rsidRPr="00F6289E" w:rsidRDefault="00AB2B63" w:rsidP="00F6289E">
      <w:pPr>
        <w:pStyle w:val="20"/>
        <w:adjustRightInd w:val="0"/>
        <w:snapToGrid w:val="0"/>
        <w:ind w:firstLine="480"/>
        <w:rPr>
          <w:rFonts w:cs="宋体"/>
          <w:bCs/>
          <w:sz w:val="24"/>
        </w:rPr>
      </w:pPr>
      <w:r>
        <w:rPr>
          <w:rFonts w:cs="宋体"/>
          <w:bCs/>
          <w:sz w:val="24"/>
        </w:rPr>
        <w:t>34</w:t>
      </w:r>
      <w:r w:rsidR="00F6289E" w:rsidRPr="00F6289E">
        <w:rPr>
          <w:rFonts w:cs="宋体" w:hint="eastAsia"/>
          <w:bCs/>
          <w:sz w:val="24"/>
        </w:rPr>
        <w:t>、基金账户：指登记机构为投资人开立的、记录其持有的、基金管理人所管理的基金份额余额及其变动情况的账户</w:t>
      </w:r>
    </w:p>
    <w:p w14:paraId="3FFEDD3C" w14:textId="7929D43D" w:rsidR="00F6289E" w:rsidRPr="00F6289E" w:rsidRDefault="00AB2B63" w:rsidP="00F6289E">
      <w:pPr>
        <w:pStyle w:val="20"/>
        <w:adjustRightInd w:val="0"/>
        <w:snapToGrid w:val="0"/>
        <w:ind w:firstLine="480"/>
        <w:rPr>
          <w:rFonts w:cs="宋体"/>
          <w:bCs/>
          <w:sz w:val="24"/>
        </w:rPr>
      </w:pPr>
      <w:r w:rsidRPr="00F6289E">
        <w:rPr>
          <w:rFonts w:cs="宋体" w:hint="eastAsia"/>
          <w:bCs/>
          <w:sz w:val="24"/>
        </w:rPr>
        <w:t>3</w:t>
      </w:r>
      <w:r>
        <w:rPr>
          <w:rFonts w:cs="宋体"/>
          <w:bCs/>
          <w:sz w:val="24"/>
        </w:rPr>
        <w:t>5</w:t>
      </w:r>
      <w:r w:rsidR="00F6289E" w:rsidRPr="00F6289E">
        <w:rPr>
          <w:rFonts w:cs="宋体" w:hint="eastAsia"/>
          <w:bCs/>
          <w:sz w:val="24"/>
        </w:rPr>
        <w:t>、基金交易账户：指销售机构为投资人开立的、记录投资人通过该销售机构办理认购、申购、赎回、转换、转托管及</w:t>
      </w:r>
      <w:r w:rsidR="00D23E2F">
        <w:rPr>
          <w:rFonts w:cs="宋体" w:hint="eastAsia"/>
          <w:bCs/>
          <w:sz w:val="24"/>
        </w:rPr>
        <w:t>定期定额投资</w:t>
      </w:r>
      <w:r w:rsidR="00F6289E" w:rsidRPr="00F6289E">
        <w:rPr>
          <w:rFonts w:cs="宋体" w:hint="eastAsia"/>
          <w:bCs/>
          <w:sz w:val="24"/>
        </w:rPr>
        <w:t>等业务而引起的基金份</w:t>
      </w:r>
      <w:r w:rsidR="00F6289E" w:rsidRPr="00F6289E">
        <w:rPr>
          <w:rFonts w:cs="宋体" w:hint="eastAsia"/>
          <w:bCs/>
          <w:sz w:val="24"/>
        </w:rPr>
        <w:lastRenderedPageBreak/>
        <w:t>额变动及结余情况的账户</w:t>
      </w:r>
    </w:p>
    <w:p w14:paraId="2F7A2F70" w14:textId="691BBD80" w:rsidR="00F6289E" w:rsidRPr="00F6289E" w:rsidRDefault="00AB2B63" w:rsidP="00F6289E">
      <w:pPr>
        <w:pStyle w:val="20"/>
        <w:adjustRightInd w:val="0"/>
        <w:snapToGrid w:val="0"/>
        <w:ind w:firstLine="480"/>
        <w:rPr>
          <w:rFonts w:cs="宋体"/>
          <w:bCs/>
          <w:sz w:val="24"/>
        </w:rPr>
      </w:pPr>
      <w:r w:rsidRPr="00F6289E">
        <w:rPr>
          <w:rFonts w:cs="宋体" w:hint="eastAsia"/>
          <w:bCs/>
          <w:sz w:val="24"/>
        </w:rPr>
        <w:t>3</w:t>
      </w:r>
      <w:r>
        <w:rPr>
          <w:rFonts w:cs="宋体"/>
          <w:bCs/>
          <w:sz w:val="24"/>
        </w:rPr>
        <w:t>6</w:t>
      </w:r>
      <w:r w:rsidR="00F6289E" w:rsidRPr="00F6289E">
        <w:rPr>
          <w:rFonts w:cs="宋体" w:hint="eastAsia"/>
          <w:bCs/>
          <w:sz w:val="24"/>
        </w:rPr>
        <w:t>、基金合同生效日：指基金募集达到法律法规规定及基金合同规定的条件，基金管理人向中国证监会办理基金备案手续完毕，并获得中国证监会书面确认的日期</w:t>
      </w:r>
    </w:p>
    <w:p w14:paraId="7D7A9561" w14:textId="3EE91DFD" w:rsidR="00F6289E" w:rsidRPr="00F6289E" w:rsidRDefault="00AB2B63" w:rsidP="00F6289E">
      <w:pPr>
        <w:pStyle w:val="20"/>
        <w:adjustRightInd w:val="0"/>
        <w:snapToGrid w:val="0"/>
        <w:ind w:firstLine="480"/>
        <w:rPr>
          <w:rFonts w:cs="宋体"/>
          <w:bCs/>
          <w:sz w:val="24"/>
        </w:rPr>
      </w:pPr>
      <w:r w:rsidRPr="00F6289E">
        <w:rPr>
          <w:rFonts w:cs="宋体" w:hint="eastAsia"/>
          <w:bCs/>
          <w:sz w:val="24"/>
        </w:rPr>
        <w:t>3</w:t>
      </w:r>
      <w:r>
        <w:rPr>
          <w:rFonts w:cs="宋体"/>
          <w:bCs/>
          <w:sz w:val="24"/>
        </w:rPr>
        <w:t>7</w:t>
      </w:r>
      <w:r w:rsidR="00F6289E" w:rsidRPr="00F6289E">
        <w:rPr>
          <w:rFonts w:cs="宋体" w:hint="eastAsia"/>
          <w:bCs/>
          <w:sz w:val="24"/>
        </w:rPr>
        <w:t>、基金合同终止日：指基金合同规定的基金合同终止事由出现后，基金财产清算完毕，清算结果报中国证监会备案并予以公告的日期</w:t>
      </w:r>
    </w:p>
    <w:p w14:paraId="62C1A532" w14:textId="27311C9B" w:rsidR="00F6289E" w:rsidRPr="00F6289E" w:rsidRDefault="00AB2B63" w:rsidP="00F6289E">
      <w:pPr>
        <w:pStyle w:val="20"/>
        <w:adjustRightInd w:val="0"/>
        <w:snapToGrid w:val="0"/>
        <w:ind w:firstLine="480"/>
        <w:rPr>
          <w:rFonts w:cs="宋体"/>
          <w:bCs/>
          <w:sz w:val="24"/>
        </w:rPr>
      </w:pPr>
      <w:r w:rsidRPr="00F6289E">
        <w:rPr>
          <w:rFonts w:cs="宋体" w:hint="eastAsia"/>
          <w:bCs/>
          <w:sz w:val="24"/>
        </w:rPr>
        <w:t>3</w:t>
      </w:r>
      <w:r>
        <w:rPr>
          <w:rFonts w:cs="宋体"/>
          <w:bCs/>
          <w:sz w:val="24"/>
        </w:rPr>
        <w:t>8</w:t>
      </w:r>
      <w:r w:rsidR="00F6289E" w:rsidRPr="00F6289E">
        <w:rPr>
          <w:rFonts w:cs="宋体" w:hint="eastAsia"/>
          <w:bCs/>
          <w:sz w:val="24"/>
        </w:rPr>
        <w:t>、基金募集期：指自基金份额发售之日起至发售结束之日止的期间，最长不得超过3个月</w:t>
      </w:r>
    </w:p>
    <w:p w14:paraId="39EB4BDA" w14:textId="3B2A7CF4" w:rsidR="00F6289E" w:rsidRPr="00F6289E" w:rsidRDefault="00AB2B63" w:rsidP="00F6289E">
      <w:pPr>
        <w:pStyle w:val="20"/>
        <w:adjustRightInd w:val="0"/>
        <w:snapToGrid w:val="0"/>
        <w:ind w:firstLine="480"/>
        <w:rPr>
          <w:rFonts w:cs="宋体"/>
          <w:bCs/>
          <w:sz w:val="24"/>
        </w:rPr>
      </w:pPr>
      <w:r w:rsidRPr="00F6289E">
        <w:rPr>
          <w:rFonts w:cs="宋体" w:hint="eastAsia"/>
          <w:bCs/>
          <w:sz w:val="24"/>
        </w:rPr>
        <w:t>3</w:t>
      </w:r>
      <w:r>
        <w:rPr>
          <w:rFonts w:cs="宋体"/>
          <w:bCs/>
          <w:sz w:val="24"/>
        </w:rPr>
        <w:t>9</w:t>
      </w:r>
      <w:r w:rsidR="00F6289E" w:rsidRPr="00F6289E">
        <w:rPr>
          <w:rFonts w:cs="宋体" w:hint="eastAsia"/>
          <w:bCs/>
          <w:sz w:val="24"/>
        </w:rPr>
        <w:t>、存续期：指基金合同生效至终止之间的不定期期限</w:t>
      </w:r>
    </w:p>
    <w:p w14:paraId="12C9B820" w14:textId="28937466" w:rsidR="00F6289E" w:rsidRPr="00F6289E" w:rsidRDefault="00AB2B63" w:rsidP="00F6289E">
      <w:pPr>
        <w:pStyle w:val="20"/>
        <w:adjustRightInd w:val="0"/>
        <w:snapToGrid w:val="0"/>
        <w:ind w:firstLine="480"/>
        <w:rPr>
          <w:rFonts w:cs="宋体"/>
          <w:bCs/>
          <w:sz w:val="24"/>
        </w:rPr>
      </w:pPr>
      <w:r>
        <w:rPr>
          <w:rFonts w:cs="宋体"/>
          <w:bCs/>
          <w:sz w:val="24"/>
        </w:rPr>
        <w:t>40</w:t>
      </w:r>
      <w:r w:rsidR="00F6289E" w:rsidRPr="00F6289E">
        <w:rPr>
          <w:rFonts w:cs="宋体" w:hint="eastAsia"/>
          <w:bCs/>
          <w:sz w:val="24"/>
        </w:rPr>
        <w:t>、工作日：指上海证券交易所、深圳证券交易所的正常交易日</w:t>
      </w:r>
    </w:p>
    <w:p w14:paraId="5FA95381" w14:textId="3BE53C08" w:rsidR="00F6289E" w:rsidRPr="00F6289E" w:rsidRDefault="00AB2B63" w:rsidP="00F6289E">
      <w:pPr>
        <w:pStyle w:val="20"/>
        <w:adjustRightInd w:val="0"/>
        <w:snapToGrid w:val="0"/>
        <w:ind w:firstLine="480"/>
        <w:rPr>
          <w:rFonts w:cs="宋体"/>
          <w:bCs/>
          <w:sz w:val="24"/>
        </w:rPr>
      </w:pPr>
      <w:r>
        <w:rPr>
          <w:rFonts w:cs="宋体"/>
          <w:bCs/>
          <w:sz w:val="24"/>
        </w:rPr>
        <w:t>41</w:t>
      </w:r>
      <w:r w:rsidR="00F6289E" w:rsidRPr="00F6289E">
        <w:rPr>
          <w:rFonts w:cs="宋体" w:hint="eastAsia"/>
          <w:bCs/>
          <w:sz w:val="24"/>
        </w:rPr>
        <w:t>、T日：指销售机构在规定时间受理投资人申购、赎回或其他业务申请的开放日</w:t>
      </w:r>
    </w:p>
    <w:p w14:paraId="7DF55852" w14:textId="643CC39D" w:rsidR="00F6289E" w:rsidRPr="00F6289E" w:rsidRDefault="00AB2B63" w:rsidP="00F6289E">
      <w:pPr>
        <w:pStyle w:val="20"/>
        <w:adjustRightInd w:val="0"/>
        <w:snapToGrid w:val="0"/>
        <w:ind w:firstLine="480"/>
        <w:rPr>
          <w:rFonts w:cs="宋体"/>
          <w:bCs/>
          <w:sz w:val="24"/>
        </w:rPr>
      </w:pPr>
      <w:r>
        <w:rPr>
          <w:rFonts w:cs="宋体"/>
          <w:bCs/>
          <w:sz w:val="24"/>
        </w:rPr>
        <w:t>42</w:t>
      </w:r>
      <w:r w:rsidR="00F6289E" w:rsidRPr="00F6289E">
        <w:rPr>
          <w:rFonts w:cs="宋体" w:hint="eastAsia"/>
          <w:bCs/>
          <w:sz w:val="24"/>
        </w:rPr>
        <w:t>、T+n日：指自T日起第n个工作日（不包含T日），n</w:t>
      </w:r>
      <w:r w:rsidR="00203D7F">
        <w:rPr>
          <w:rFonts w:cs="宋体" w:hint="eastAsia"/>
          <w:bCs/>
          <w:sz w:val="24"/>
        </w:rPr>
        <w:t>为自然数</w:t>
      </w:r>
    </w:p>
    <w:p w14:paraId="484A4789" w14:textId="0B6909BA" w:rsidR="00F6289E" w:rsidRPr="00F6289E" w:rsidRDefault="00AB2B63" w:rsidP="00F6289E">
      <w:pPr>
        <w:pStyle w:val="20"/>
        <w:adjustRightInd w:val="0"/>
        <w:snapToGrid w:val="0"/>
        <w:ind w:firstLine="480"/>
        <w:rPr>
          <w:rFonts w:cs="宋体"/>
          <w:bCs/>
          <w:sz w:val="24"/>
        </w:rPr>
      </w:pPr>
      <w:r>
        <w:rPr>
          <w:rFonts w:cs="宋体"/>
          <w:bCs/>
          <w:sz w:val="24"/>
        </w:rPr>
        <w:t>43</w:t>
      </w:r>
      <w:r w:rsidR="00F6289E" w:rsidRPr="00F6289E">
        <w:rPr>
          <w:rFonts w:cs="宋体" w:hint="eastAsia"/>
          <w:bCs/>
          <w:sz w:val="24"/>
        </w:rPr>
        <w:t>、开放日：指为投资人办理基金份额申购、赎回或其他业务的工作日</w:t>
      </w:r>
    </w:p>
    <w:p w14:paraId="64A73573" w14:textId="6D9018AB" w:rsidR="00F6289E" w:rsidRPr="00F6289E" w:rsidRDefault="00AB2B63" w:rsidP="00F6289E">
      <w:pPr>
        <w:pStyle w:val="20"/>
        <w:adjustRightInd w:val="0"/>
        <w:snapToGrid w:val="0"/>
        <w:ind w:firstLine="480"/>
        <w:rPr>
          <w:rFonts w:cs="宋体"/>
          <w:bCs/>
          <w:sz w:val="24"/>
        </w:rPr>
      </w:pPr>
      <w:r>
        <w:rPr>
          <w:rFonts w:cs="宋体"/>
          <w:bCs/>
          <w:sz w:val="24"/>
        </w:rPr>
        <w:t>44</w:t>
      </w:r>
      <w:r w:rsidR="00F6289E" w:rsidRPr="00F6289E">
        <w:rPr>
          <w:rFonts w:cs="宋体" w:hint="eastAsia"/>
          <w:bCs/>
          <w:sz w:val="24"/>
        </w:rPr>
        <w:t>、开放时间：指开放日基金接受申购、赎回或其他交易的时间段</w:t>
      </w:r>
    </w:p>
    <w:p w14:paraId="7DBA5F14" w14:textId="0368DDBA" w:rsidR="00F6289E" w:rsidRPr="00F6289E" w:rsidRDefault="00AB2B63" w:rsidP="00F6289E">
      <w:pPr>
        <w:pStyle w:val="20"/>
        <w:adjustRightInd w:val="0"/>
        <w:snapToGrid w:val="0"/>
        <w:ind w:firstLine="480"/>
        <w:rPr>
          <w:rFonts w:cs="宋体"/>
          <w:bCs/>
          <w:sz w:val="24"/>
        </w:rPr>
      </w:pPr>
      <w:r w:rsidRPr="00F6289E">
        <w:rPr>
          <w:rFonts w:cs="宋体" w:hint="eastAsia"/>
          <w:bCs/>
          <w:sz w:val="24"/>
        </w:rPr>
        <w:t>4</w:t>
      </w:r>
      <w:r>
        <w:rPr>
          <w:rFonts w:cs="宋体"/>
          <w:bCs/>
          <w:sz w:val="24"/>
        </w:rPr>
        <w:t>5</w:t>
      </w:r>
      <w:r w:rsidR="00F6289E" w:rsidRPr="00F6289E">
        <w:rPr>
          <w:rFonts w:cs="宋体" w:hint="eastAsia"/>
          <w:bCs/>
          <w:sz w:val="24"/>
        </w:rPr>
        <w:t>、《业务规则》</w:t>
      </w:r>
      <w:r w:rsidR="00226D0C">
        <w:rPr>
          <w:rFonts w:cs="宋体" w:hint="eastAsia"/>
          <w:bCs/>
          <w:sz w:val="24"/>
        </w:rPr>
        <w:t>或业务规则</w:t>
      </w:r>
      <w:r w:rsidR="00F6289E" w:rsidRPr="00F6289E">
        <w:rPr>
          <w:rFonts w:cs="宋体" w:hint="eastAsia"/>
          <w:bCs/>
          <w:sz w:val="24"/>
        </w:rPr>
        <w:t>：指《银华基金管理股份有限公司基金注册登记业务规则》及其不时做出的修订，是规范基金管理人所管理的开放式证券投资基金登记方面的业务规则，由基金管理人和投资人共同遵守</w:t>
      </w:r>
    </w:p>
    <w:p w14:paraId="71DE8E74" w14:textId="7CCB8B1E" w:rsidR="00F6289E" w:rsidRPr="00F6289E" w:rsidRDefault="00AB2B63" w:rsidP="00F6289E">
      <w:pPr>
        <w:pStyle w:val="20"/>
        <w:adjustRightInd w:val="0"/>
        <w:snapToGrid w:val="0"/>
        <w:ind w:firstLine="480"/>
        <w:rPr>
          <w:rFonts w:cs="宋体"/>
          <w:bCs/>
          <w:sz w:val="24"/>
        </w:rPr>
      </w:pPr>
      <w:r w:rsidRPr="00F6289E">
        <w:rPr>
          <w:rFonts w:cs="宋体" w:hint="eastAsia"/>
          <w:bCs/>
          <w:sz w:val="24"/>
        </w:rPr>
        <w:t>4</w:t>
      </w:r>
      <w:r>
        <w:rPr>
          <w:rFonts w:cs="宋体"/>
          <w:bCs/>
          <w:sz w:val="24"/>
        </w:rPr>
        <w:t>6</w:t>
      </w:r>
      <w:r w:rsidR="00F6289E" w:rsidRPr="00F6289E">
        <w:rPr>
          <w:rFonts w:cs="宋体" w:hint="eastAsia"/>
          <w:bCs/>
          <w:sz w:val="24"/>
        </w:rPr>
        <w:t>、认购：指在基金募集期内，投资人根据基金合同和招募说明书规定的条件以及基金销售网点规定的手续申请购买本基金基金份额的行为</w:t>
      </w:r>
    </w:p>
    <w:p w14:paraId="020BF2A7" w14:textId="0183C84D" w:rsidR="00F6289E" w:rsidRPr="00F6289E" w:rsidRDefault="00AB2B63" w:rsidP="00F6289E">
      <w:pPr>
        <w:pStyle w:val="20"/>
        <w:adjustRightInd w:val="0"/>
        <w:snapToGrid w:val="0"/>
        <w:ind w:firstLine="480"/>
        <w:rPr>
          <w:rFonts w:cs="宋体"/>
          <w:bCs/>
          <w:sz w:val="24"/>
        </w:rPr>
      </w:pPr>
      <w:r w:rsidRPr="00F6289E">
        <w:rPr>
          <w:rFonts w:cs="宋体" w:hint="eastAsia"/>
          <w:bCs/>
          <w:sz w:val="24"/>
        </w:rPr>
        <w:t>4</w:t>
      </w:r>
      <w:r>
        <w:rPr>
          <w:rFonts w:cs="宋体"/>
          <w:bCs/>
          <w:sz w:val="24"/>
        </w:rPr>
        <w:t>7</w:t>
      </w:r>
      <w:r w:rsidR="00F6289E" w:rsidRPr="00F6289E">
        <w:rPr>
          <w:rFonts w:cs="宋体" w:hint="eastAsia"/>
          <w:bCs/>
          <w:sz w:val="24"/>
        </w:rPr>
        <w:t>、申购：指基金合同生效后，投资人根据基金合同和招募说明书规定的条件以及基金销售网点规定的手续申请购买本基金基金份额的行为</w:t>
      </w:r>
    </w:p>
    <w:p w14:paraId="1F68A38C" w14:textId="3D56F2C1" w:rsidR="00F6289E" w:rsidRPr="00F6289E" w:rsidRDefault="00AB2B63" w:rsidP="00F6289E">
      <w:pPr>
        <w:pStyle w:val="20"/>
        <w:adjustRightInd w:val="0"/>
        <w:snapToGrid w:val="0"/>
        <w:ind w:firstLine="480"/>
        <w:rPr>
          <w:rFonts w:cs="宋体"/>
          <w:bCs/>
          <w:sz w:val="24"/>
        </w:rPr>
      </w:pPr>
      <w:r w:rsidRPr="00F6289E">
        <w:rPr>
          <w:rFonts w:cs="宋体" w:hint="eastAsia"/>
          <w:bCs/>
          <w:sz w:val="24"/>
        </w:rPr>
        <w:t>4</w:t>
      </w:r>
      <w:r>
        <w:rPr>
          <w:rFonts w:cs="宋体"/>
          <w:bCs/>
          <w:sz w:val="24"/>
        </w:rPr>
        <w:t>8</w:t>
      </w:r>
      <w:r w:rsidR="00F6289E" w:rsidRPr="00F6289E">
        <w:rPr>
          <w:rFonts w:cs="宋体" w:hint="eastAsia"/>
          <w:bCs/>
          <w:sz w:val="24"/>
        </w:rPr>
        <w:t>、赎回：指基金合同生效后，基金份额持有人按基金合同和招募说明书规定的条件以及基金销售网点规定的手续要求将本基金基金份额兑换为现金的行为</w:t>
      </w:r>
    </w:p>
    <w:p w14:paraId="0C56F227" w14:textId="156A2B3A" w:rsidR="00F6289E" w:rsidRPr="00F6289E" w:rsidRDefault="00AB2B63" w:rsidP="00F6289E">
      <w:pPr>
        <w:pStyle w:val="20"/>
        <w:adjustRightInd w:val="0"/>
        <w:snapToGrid w:val="0"/>
        <w:ind w:firstLine="480"/>
        <w:rPr>
          <w:rFonts w:cs="宋体"/>
          <w:bCs/>
          <w:sz w:val="24"/>
        </w:rPr>
      </w:pPr>
      <w:r w:rsidRPr="00F6289E">
        <w:rPr>
          <w:rFonts w:cs="宋体" w:hint="eastAsia"/>
          <w:bCs/>
          <w:sz w:val="24"/>
        </w:rPr>
        <w:t>4</w:t>
      </w:r>
      <w:r>
        <w:rPr>
          <w:rFonts w:cs="宋体"/>
          <w:bCs/>
          <w:sz w:val="24"/>
        </w:rPr>
        <w:t>9</w:t>
      </w:r>
      <w:r w:rsidR="00F6289E">
        <w:rPr>
          <w:rFonts w:cs="宋体" w:hint="eastAsia"/>
          <w:bCs/>
          <w:sz w:val="24"/>
        </w:rPr>
        <w:t>、基金转换：指</w:t>
      </w:r>
      <w:r w:rsidR="00B833E6" w:rsidRPr="00B833E6">
        <w:rPr>
          <w:rFonts w:cs="宋体" w:hint="eastAsia"/>
          <w:bCs/>
          <w:sz w:val="24"/>
        </w:rPr>
        <w:t>在基金合同生效后，</w:t>
      </w:r>
      <w:r w:rsidR="00F6289E">
        <w:rPr>
          <w:rFonts w:cs="宋体" w:hint="eastAsia"/>
          <w:bCs/>
          <w:sz w:val="24"/>
        </w:rPr>
        <w:t>基金份额持有人按照</w:t>
      </w:r>
      <w:r w:rsidR="00F6289E" w:rsidRPr="00F6289E">
        <w:rPr>
          <w:rFonts w:cs="宋体" w:hint="eastAsia"/>
          <w:bCs/>
          <w:sz w:val="24"/>
        </w:rPr>
        <w:t>基金合同和基金管理人届时有效公告规定的条件，申请将其持有基金管理人管理的、已开通基金转换业务的某一基金的全部或部分基金份额转换为同一基金管理人管理的且已开通基金转换业务的其他基金份额的行为</w:t>
      </w:r>
    </w:p>
    <w:p w14:paraId="7E9486CC" w14:textId="695ABB2E" w:rsidR="00F6289E" w:rsidRPr="00F6289E" w:rsidRDefault="00AB2B63" w:rsidP="00F6289E">
      <w:pPr>
        <w:pStyle w:val="20"/>
        <w:adjustRightInd w:val="0"/>
        <w:snapToGrid w:val="0"/>
        <w:ind w:firstLine="480"/>
        <w:rPr>
          <w:rFonts w:cs="宋体"/>
          <w:bCs/>
          <w:sz w:val="24"/>
        </w:rPr>
      </w:pPr>
      <w:r>
        <w:rPr>
          <w:rFonts w:cs="宋体"/>
          <w:bCs/>
          <w:sz w:val="24"/>
        </w:rPr>
        <w:t>50</w:t>
      </w:r>
      <w:r w:rsidR="00F6289E" w:rsidRPr="00F6289E">
        <w:rPr>
          <w:rFonts w:cs="宋体" w:hint="eastAsia"/>
          <w:bCs/>
          <w:sz w:val="24"/>
        </w:rPr>
        <w:t>、转托管：指基金份额持有人在本基金的不同销售机构之间实施的变更所</w:t>
      </w:r>
      <w:r w:rsidR="00F6289E" w:rsidRPr="00F6289E">
        <w:rPr>
          <w:rFonts w:cs="宋体" w:hint="eastAsia"/>
          <w:bCs/>
          <w:sz w:val="24"/>
        </w:rPr>
        <w:lastRenderedPageBreak/>
        <w:t>持基金份额销售机构的操作</w:t>
      </w:r>
    </w:p>
    <w:p w14:paraId="23044F00" w14:textId="58CBBFAE" w:rsidR="00F6289E" w:rsidRPr="00F6289E" w:rsidRDefault="00AB2B63" w:rsidP="00F6289E">
      <w:pPr>
        <w:pStyle w:val="20"/>
        <w:adjustRightInd w:val="0"/>
        <w:snapToGrid w:val="0"/>
        <w:ind w:firstLine="480"/>
        <w:rPr>
          <w:rFonts w:cs="宋体"/>
          <w:bCs/>
          <w:sz w:val="24"/>
        </w:rPr>
      </w:pPr>
      <w:r>
        <w:rPr>
          <w:rFonts w:cs="宋体"/>
          <w:bCs/>
          <w:sz w:val="24"/>
        </w:rPr>
        <w:t>51</w:t>
      </w:r>
      <w:r w:rsidR="00F6289E" w:rsidRPr="00F6289E">
        <w:rPr>
          <w:rFonts w:cs="宋体" w:hint="eastAsia"/>
          <w:bCs/>
          <w:sz w:val="24"/>
        </w:rPr>
        <w:t>、</w:t>
      </w:r>
      <w:r w:rsidR="00D23E2F">
        <w:rPr>
          <w:rFonts w:cs="宋体" w:hint="eastAsia"/>
          <w:bCs/>
          <w:sz w:val="24"/>
        </w:rPr>
        <w:t>定期定额投资</w:t>
      </w:r>
      <w:r w:rsidR="00F6289E" w:rsidRPr="00F6289E">
        <w:rPr>
          <w:rFonts w:cs="宋体" w:hint="eastAsia"/>
          <w:bCs/>
          <w:sz w:val="24"/>
        </w:rPr>
        <w:t>计划：指投资人通过有关销售机构提出申请，约定每期申购日、扣款金额及扣款方式</w:t>
      </w:r>
      <w:r w:rsidR="00144F31" w:rsidRPr="00144F31">
        <w:rPr>
          <w:rFonts w:cs="宋体" w:hint="eastAsia"/>
          <w:bCs/>
          <w:sz w:val="24"/>
        </w:rPr>
        <w:t>或其他</w:t>
      </w:r>
      <w:r w:rsidR="003E0342">
        <w:rPr>
          <w:rFonts w:cs="宋体" w:hint="eastAsia"/>
          <w:bCs/>
          <w:sz w:val="24"/>
        </w:rPr>
        <w:t>定期定额投资</w:t>
      </w:r>
      <w:r w:rsidR="00144F31" w:rsidRPr="00144F31">
        <w:rPr>
          <w:rFonts w:cs="宋体" w:hint="eastAsia"/>
          <w:bCs/>
          <w:sz w:val="24"/>
        </w:rPr>
        <w:t>条件</w:t>
      </w:r>
      <w:r w:rsidR="00F6289E" w:rsidRPr="00F6289E">
        <w:rPr>
          <w:rFonts w:cs="宋体" w:hint="eastAsia"/>
          <w:bCs/>
          <w:sz w:val="24"/>
        </w:rPr>
        <w:t>，由销售机构</w:t>
      </w:r>
      <w:r w:rsidR="009E791F">
        <w:rPr>
          <w:rFonts w:cs="宋体" w:hint="eastAsia"/>
          <w:bCs/>
          <w:sz w:val="24"/>
        </w:rPr>
        <w:t>按规定</w:t>
      </w:r>
      <w:r w:rsidR="00F6289E" w:rsidRPr="00F6289E">
        <w:rPr>
          <w:rFonts w:cs="宋体" w:hint="eastAsia"/>
          <w:bCs/>
          <w:sz w:val="24"/>
        </w:rPr>
        <w:t>在投资人指定银行账户内自动完成扣款及受理基金申购申请的一种投资方式</w:t>
      </w:r>
    </w:p>
    <w:p w14:paraId="77577575" w14:textId="1B856C9A" w:rsidR="00F6289E" w:rsidRPr="00F6289E" w:rsidRDefault="00AB2B63" w:rsidP="00F6289E">
      <w:pPr>
        <w:pStyle w:val="20"/>
        <w:adjustRightInd w:val="0"/>
        <w:snapToGrid w:val="0"/>
        <w:ind w:firstLine="480"/>
        <w:rPr>
          <w:rFonts w:cs="宋体"/>
          <w:bCs/>
          <w:sz w:val="24"/>
        </w:rPr>
      </w:pPr>
      <w:r>
        <w:rPr>
          <w:rFonts w:cs="宋体"/>
          <w:bCs/>
          <w:sz w:val="24"/>
        </w:rPr>
        <w:t>52</w:t>
      </w:r>
      <w:r w:rsidR="00F6289E" w:rsidRPr="00F6289E">
        <w:rPr>
          <w:rFonts w:cs="宋体" w:hint="eastAsia"/>
          <w:bCs/>
          <w:sz w:val="24"/>
        </w:rPr>
        <w:t>、巨额赎回：指本基金单个开放日，基金净赎回申请（赎回申请份额总数加上基金转换中转出申请份额总数后扣除申购申请份额总数及基金转换中转入申请份额总数后的余额）超过上一开放日基金总份额的10%</w:t>
      </w:r>
    </w:p>
    <w:p w14:paraId="71420E20" w14:textId="68A4031F" w:rsidR="00F6289E" w:rsidRPr="00F6289E" w:rsidRDefault="00AB2B63" w:rsidP="00F6289E">
      <w:pPr>
        <w:pStyle w:val="20"/>
        <w:adjustRightInd w:val="0"/>
        <w:snapToGrid w:val="0"/>
        <w:ind w:firstLine="480"/>
        <w:rPr>
          <w:rFonts w:cs="宋体"/>
          <w:bCs/>
          <w:sz w:val="24"/>
        </w:rPr>
      </w:pPr>
      <w:r>
        <w:rPr>
          <w:rFonts w:cs="宋体"/>
          <w:bCs/>
          <w:sz w:val="24"/>
        </w:rPr>
        <w:t>53</w:t>
      </w:r>
      <w:r w:rsidR="00F6289E" w:rsidRPr="00F6289E">
        <w:rPr>
          <w:rFonts w:cs="宋体" w:hint="eastAsia"/>
          <w:bCs/>
          <w:sz w:val="24"/>
        </w:rPr>
        <w:t>、元：指人民币元</w:t>
      </w:r>
    </w:p>
    <w:p w14:paraId="0E24CEF3" w14:textId="7718986C" w:rsidR="00F6289E" w:rsidRPr="00F6289E" w:rsidRDefault="00AB2B63" w:rsidP="00F6289E">
      <w:pPr>
        <w:pStyle w:val="20"/>
        <w:adjustRightInd w:val="0"/>
        <w:snapToGrid w:val="0"/>
        <w:ind w:firstLine="480"/>
        <w:rPr>
          <w:rFonts w:cs="宋体"/>
          <w:bCs/>
          <w:sz w:val="24"/>
        </w:rPr>
      </w:pPr>
      <w:r>
        <w:rPr>
          <w:rFonts w:cs="宋体"/>
          <w:bCs/>
          <w:sz w:val="24"/>
        </w:rPr>
        <w:t>54</w:t>
      </w:r>
      <w:r w:rsidR="00F6289E" w:rsidRPr="00F6289E">
        <w:rPr>
          <w:rFonts w:cs="宋体" w:hint="eastAsia"/>
          <w:bCs/>
          <w:sz w:val="24"/>
        </w:rPr>
        <w:t>、基金利润：指基金利息收入、投资收益、公允价值变动收益和其他收入扣除相关费用后的余额</w:t>
      </w:r>
    </w:p>
    <w:p w14:paraId="3523F45A" w14:textId="58E06BF9" w:rsidR="00F6289E" w:rsidRPr="00F6289E" w:rsidRDefault="00AB2B63" w:rsidP="00F6289E">
      <w:pPr>
        <w:pStyle w:val="20"/>
        <w:adjustRightInd w:val="0"/>
        <w:snapToGrid w:val="0"/>
        <w:ind w:firstLine="480"/>
        <w:rPr>
          <w:rFonts w:cs="宋体"/>
          <w:bCs/>
          <w:sz w:val="24"/>
        </w:rPr>
      </w:pPr>
      <w:r w:rsidRPr="00F6289E">
        <w:rPr>
          <w:rFonts w:cs="宋体" w:hint="eastAsia"/>
          <w:bCs/>
          <w:sz w:val="24"/>
        </w:rPr>
        <w:t>5</w:t>
      </w:r>
      <w:r>
        <w:rPr>
          <w:rFonts w:cs="宋体"/>
          <w:bCs/>
          <w:sz w:val="24"/>
        </w:rPr>
        <w:t>5</w:t>
      </w:r>
      <w:r w:rsidR="00F6289E" w:rsidRPr="00F6289E">
        <w:rPr>
          <w:rFonts w:cs="宋体" w:hint="eastAsia"/>
          <w:bCs/>
          <w:sz w:val="24"/>
        </w:rPr>
        <w:t>、基金资产总值：</w:t>
      </w:r>
      <w:r w:rsidR="00E92FC7" w:rsidRPr="00E92FC7">
        <w:rPr>
          <w:rFonts w:cs="宋体" w:hint="eastAsia"/>
          <w:bCs/>
          <w:sz w:val="24"/>
        </w:rPr>
        <w:t>指基金拥有的目标ETF份额、各类有价证券、银行存款本息、基金应收款项及其他资产的价值总和</w:t>
      </w:r>
    </w:p>
    <w:p w14:paraId="3F6203C0" w14:textId="3BCBCE41" w:rsidR="00F6289E" w:rsidRPr="00F6289E" w:rsidRDefault="00AB2B63" w:rsidP="00F6289E">
      <w:pPr>
        <w:pStyle w:val="20"/>
        <w:adjustRightInd w:val="0"/>
        <w:snapToGrid w:val="0"/>
        <w:ind w:firstLine="480"/>
        <w:rPr>
          <w:rFonts w:cs="宋体"/>
          <w:bCs/>
          <w:sz w:val="24"/>
        </w:rPr>
      </w:pPr>
      <w:r w:rsidRPr="00F6289E">
        <w:rPr>
          <w:rFonts w:cs="宋体" w:hint="eastAsia"/>
          <w:bCs/>
          <w:sz w:val="24"/>
        </w:rPr>
        <w:t>5</w:t>
      </w:r>
      <w:r>
        <w:rPr>
          <w:rFonts w:cs="宋体"/>
          <w:bCs/>
          <w:sz w:val="24"/>
        </w:rPr>
        <w:t>6</w:t>
      </w:r>
      <w:r w:rsidR="00F6289E" w:rsidRPr="00F6289E">
        <w:rPr>
          <w:rFonts w:cs="宋体" w:hint="eastAsia"/>
          <w:bCs/>
          <w:sz w:val="24"/>
        </w:rPr>
        <w:t>、基金资产净值：指基金资产总值减去基金负债后的价值</w:t>
      </w:r>
    </w:p>
    <w:p w14:paraId="25F66C50" w14:textId="68D4ECF1" w:rsidR="00EC3843" w:rsidRDefault="00AB2B63" w:rsidP="00F6289E">
      <w:pPr>
        <w:pStyle w:val="20"/>
        <w:adjustRightInd w:val="0"/>
        <w:snapToGrid w:val="0"/>
        <w:ind w:firstLine="480"/>
        <w:rPr>
          <w:rFonts w:cs="宋体"/>
          <w:bCs/>
          <w:sz w:val="24"/>
        </w:rPr>
      </w:pPr>
      <w:r w:rsidRPr="00F6289E">
        <w:rPr>
          <w:rFonts w:cs="宋体" w:hint="eastAsia"/>
          <w:bCs/>
          <w:sz w:val="24"/>
        </w:rPr>
        <w:t>5</w:t>
      </w:r>
      <w:r>
        <w:rPr>
          <w:rFonts w:cs="宋体"/>
          <w:bCs/>
          <w:sz w:val="24"/>
        </w:rPr>
        <w:t>7</w:t>
      </w:r>
      <w:r w:rsidR="00F6289E" w:rsidRPr="00F6289E">
        <w:rPr>
          <w:rFonts w:cs="宋体" w:hint="eastAsia"/>
          <w:bCs/>
          <w:sz w:val="24"/>
        </w:rPr>
        <w:t>、</w:t>
      </w:r>
      <w:r w:rsidR="00554436" w:rsidRPr="00554436">
        <w:rPr>
          <w:rFonts w:cs="宋体" w:hint="eastAsia"/>
          <w:bCs/>
          <w:sz w:val="24"/>
        </w:rPr>
        <w:t>销售服务费：指从基金财产中计提的，用于本基金市场推广、销售以及基金份额持有人服务的费用</w:t>
      </w:r>
    </w:p>
    <w:p w14:paraId="38782B92" w14:textId="451AA2B6" w:rsidR="002431BF" w:rsidRDefault="00AB2B63" w:rsidP="00F6289E">
      <w:pPr>
        <w:pStyle w:val="20"/>
        <w:adjustRightInd w:val="0"/>
        <w:snapToGrid w:val="0"/>
        <w:ind w:firstLine="480"/>
        <w:rPr>
          <w:rFonts w:cs="宋体"/>
          <w:bCs/>
          <w:sz w:val="24"/>
        </w:rPr>
      </w:pPr>
      <w:r w:rsidRPr="00F6289E">
        <w:rPr>
          <w:rFonts w:cs="宋体" w:hint="eastAsia"/>
          <w:bCs/>
          <w:sz w:val="24"/>
        </w:rPr>
        <w:t>5</w:t>
      </w:r>
      <w:r>
        <w:rPr>
          <w:rFonts w:cs="宋体"/>
          <w:bCs/>
          <w:sz w:val="24"/>
        </w:rPr>
        <w:t>8</w:t>
      </w:r>
      <w:r w:rsidR="00F6289E" w:rsidRPr="00F6289E">
        <w:rPr>
          <w:rFonts w:cs="宋体" w:hint="eastAsia"/>
          <w:bCs/>
          <w:sz w:val="24"/>
        </w:rPr>
        <w:t>、</w:t>
      </w:r>
      <w:r w:rsidR="002431BF" w:rsidRPr="00F6289E">
        <w:rPr>
          <w:rFonts w:cs="宋体" w:hint="eastAsia"/>
          <w:bCs/>
          <w:sz w:val="24"/>
        </w:rPr>
        <w:t>基金份额类别：本基金将基金份额分为A类</w:t>
      </w:r>
      <w:r w:rsidR="00F52834">
        <w:rPr>
          <w:rFonts w:cs="宋体" w:hint="eastAsia"/>
          <w:bCs/>
          <w:sz w:val="24"/>
        </w:rPr>
        <w:t>和</w:t>
      </w:r>
      <w:r w:rsidR="002431BF" w:rsidRPr="00F6289E">
        <w:rPr>
          <w:rFonts w:cs="宋体" w:hint="eastAsia"/>
          <w:bCs/>
          <w:sz w:val="24"/>
        </w:rPr>
        <w:t>C类</w:t>
      </w:r>
      <w:r w:rsidR="00C25ADA">
        <w:rPr>
          <w:rFonts w:cs="宋体" w:hint="eastAsia"/>
          <w:bCs/>
          <w:sz w:val="24"/>
        </w:rPr>
        <w:t>两</w:t>
      </w:r>
      <w:r w:rsidR="00E305D1">
        <w:rPr>
          <w:rFonts w:cs="宋体" w:hint="eastAsia"/>
          <w:bCs/>
          <w:sz w:val="24"/>
        </w:rPr>
        <w:t>个</w:t>
      </w:r>
      <w:r w:rsidR="002431BF" w:rsidRPr="00F6289E">
        <w:rPr>
          <w:rFonts w:cs="宋体" w:hint="eastAsia"/>
          <w:bCs/>
          <w:sz w:val="24"/>
        </w:rPr>
        <w:t>不同的类别。在投资人认购、申购基金</w:t>
      </w:r>
      <w:r w:rsidR="002431BF">
        <w:rPr>
          <w:rFonts w:cs="宋体" w:hint="eastAsia"/>
          <w:bCs/>
          <w:sz w:val="24"/>
        </w:rPr>
        <w:t>份额</w:t>
      </w:r>
      <w:r w:rsidR="002431BF" w:rsidRPr="00F6289E">
        <w:rPr>
          <w:rFonts w:cs="宋体" w:hint="eastAsia"/>
          <w:bCs/>
          <w:sz w:val="24"/>
        </w:rPr>
        <w:t>时收取认购、申购费用而不从本类别基金资产中计提销售服务费的，称为A类基金份额；在投资人认购、申购基金份额时不收取认购、申购费用而是从本类别基金资产中计提销售服务费的，称为C类基金份额</w:t>
      </w:r>
    </w:p>
    <w:p w14:paraId="04B53162" w14:textId="1938367E" w:rsidR="002A0336" w:rsidRPr="00F6289E" w:rsidRDefault="00AB2B63" w:rsidP="002A0336">
      <w:pPr>
        <w:pStyle w:val="20"/>
        <w:adjustRightInd w:val="0"/>
        <w:snapToGrid w:val="0"/>
        <w:ind w:firstLine="480"/>
        <w:rPr>
          <w:rFonts w:cs="宋体"/>
          <w:bCs/>
          <w:sz w:val="24"/>
        </w:rPr>
      </w:pPr>
      <w:r>
        <w:rPr>
          <w:rFonts w:cs="宋体" w:hint="eastAsia"/>
          <w:bCs/>
          <w:sz w:val="24"/>
        </w:rPr>
        <w:t>5</w:t>
      </w:r>
      <w:r>
        <w:rPr>
          <w:rFonts w:cs="宋体"/>
          <w:bCs/>
          <w:sz w:val="24"/>
        </w:rPr>
        <w:t>9</w:t>
      </w:r>
      <w:r w:rsidR="002A0336">
        <w:rPr>
          <w:rFonts w:cs="宋体"/>
          <w:bCs/>
          <w:sz w:val="24"/>
        </w:rPr>
        <w:t>、</w:t>
      </w:r>
      <w:r w:rsidR="002A0336" w:rsidRPr="00F6289E">
        <w:rPr>
          <w:rFonts w:cs="宋体" w:hint="eastAsia"/>
          <w:bCs/>
          <w:sz w:val="24"/>
        </w:rPr>
        <w:t>基金份额净值：指计算日各类基金资产净值分别除以计算日</w:t>
      </w:r>
      <w:r w:rsidR="002D5333">
        <w:rPr>
          <w:rFonts w:cs="宋体" w:hint="eastAsia"/>
          <w:bCs/>
          <w:sz w:val="24"/>
        </w:rPr>
        <w:t>该</w:t>
      </w:r>
      <w:r w:rsidR="002A0336" w:rsidRPr="00F6289E">
        <w:rPr>
          <w:rFonts w:cs="宋体" w:hint="eastAsia"/>
          <w:bCs/>
          <w:sz w:val="24"/>
        </w:rPr>
        <w:t>类基金份额总数</w:t>
      </w:r>
      <w:r w:rsidR="002D5333">
        <w:rPr>
          <w:rFonts w:cs="宋体" w:hint="eastAsia"/>
          <w:bCs/>
          <w:sz w:val="24"/>
        </w:rPr>
        <w:t>所得价值</w:t>
      </w:r>
    </w:p>
    <w:p w14:paraId="04C547FF" w14:textId="3D744700" w:rsidR="00F6289E" w:rsidRPr="00F6289E" w:rsidRDefault="00AB2B63" w:rsidP="00F6289E">
      <w:pPr>
        <w:pStyle w:val="20"/>
        <w:adjustRightInd w:val="0"/>
        <w:snapToGrid w:val="0"/>
        <w:ind w:firstLine="480"/>
        <w:rPr>
          <w:rFonts w:cs="宋体"/>
          <w:bCs/>
          <w:sz w:val="24"/>
        </w:rPr>
      </w:pPr>
      <w:r>
        <w:rPr>
          <w:rFonts w:cs="宋体"/>
          <w:bCs/>
          <w:sz w:val="24"/>
        </w:rPr>
        <w:t>60</w:t>
      </w:r>
      <w:r w:rsidR="008822D4">
        <w:rPr>
          <w:rFonts w:cs="宋体"/>
          <w:bCs/>
          <w:sz w:val="24"/>
        </w:rPr>
        <w:t>、</w:t>
      </w:r>
      <w:r w:rsidR="00F6289E" w:rsidRPr="00F6289E">
        <w:rPr>
          <w:rFonts w:cs="宋体" w:hint="eastAsia"/>
          <w:bCs/>
          <w:sz w:val="24"/>
        </w:rPr>
        <w:t>基金资产估值：指计算评估基金资产和负债的价值，以确定基金资产净值和基金份额净值的过程</w:t>
      </w:r>
    </w:p>
    <w:p w14:paraId="1F67B138" w14:textId="30D49495" w:rsidR="00F6289E" w:rsidRPr="00F6289E" w:rsidRDefault="00AB2B63" w:rsidP="00F6289E">
      <w:pPr>
        <w:pStyle w:val="20"/>
        <w:adjustRightInd w:val="0"/>
        <w:snapToGrid w:val="0"/>
        <w:ind w:firstLine="480"/>
        <w:rPr>
          <w:rFonts w:cs="宋体"/>
          <w:bCs/>
          <w:sz w:val="24"/>
        </w:rPr>
      </w:pPr>
      <w:r>
        <w:rPr>
          <w:rFonts w:cs="宋体"/>
          <w:bCs/>
          <w:sz w:val="24"/>
        </w:rPr>
        <w:t>61</w:t>
      </w:r>
      <w:r w:rsidR="00CC5DB0">
        <w:rPr>
          <w:rFonts w:cs="宋体"/>
          <w:bCs/>
          <w:sz w:val="24"/>
        </w:rPr>
        <w:t>、</w:t>
      </w:r>
      <w:r w:rsidR="00CC5DB0" w:rsidRPr="00CC5DB0">
        <w:rPr>
          <w:rFonts w:cs="宋体" w:hint="eastAsia"/>
          <w:bCs/>
          <w:sz w:val="24"/>
        </w:rPr>
        <w:t>基金份额折算：指基金管理人根据基金运作的需要，在基金资产净值不变的前提下，按照一定比例调整基金份额总额及基金份额净值</w:t>
      </w:r>
    </w:p>
    <w:p w14:paraId="5B5055CA" w14:textId="6654D9D7" w:rsidR="00F6289E" w:rsidRPr="00F6289E" w:rsidRDefault="00AB2B63" w:rsidP="00F6289E">
      <w:pPr>
        <w:pStyle w:val="20"/>
        <w:adjustRightInd w:val="0"/>
        <w:snapToGrid w:val="0"/>
        <w:ind w:firstLine="480"/>
        <w:rPr>
          <w:rFonts w:cs="宋体"/>
          <w:bCs/>
          <w:sz w:val="24"/>
        </w:rPr>
      </w:pPr>
      <w:r>
        <w:rPr>
          <w:rFonts w:cs="宋体"/>
          <w:bCs/>
          <w:sz w:val="24"/>
        </w:rPr>
        <w:t>62</w:t>
      </w:r>
      <w:r w:rsidR="00F6289E" w:rsidRPr="00F6289E">
        <w:rPr>
          <w:rFonts w:cs="宋体" w:hint="eastAsia"/>
          <w:bCs/>
          <w:sz w:val="24"/>
        </w:rPr>
        <w:t>、</w:t>
      </w:r>
      <w:r w:rsidR="00F67850" w:rsidRPr="00F67850">
        <w:rPr>
          <w:rFonts w:cs="宋体" w:hint="eastAsia"/>
          <w:bCs/>
          <w:sz w:val="24"/>
        </w:rPr>
        <w:t>流动性受限资产：指由于法律法规、监管、合同或操作障碍等原因无法以合理价格予以变现的资产，包括但不限于到期日在10个交易日以上的逆回购与银行定期存款（含协议约定有条件提前支取的银行存款）、停牌股票、流通受限的新股及非公开发行股票、资产支持证券、因发行人债务违约无法进行转让或交易的债券等</w:t>
      </w:r>
    </w:p>
    <w:p w14:paraId="33F81FEB" w14:textId="10A16FCD" w:rsidR="00F6289E" w:rsidRPr="00F6289E" w:rsidRDefault="00AB2B63" w:rsidP="00F6289E">
      <w:pPr>
        <w:pStyle w:val="20"/>
        <w:adjustRightInd w:val="0"/>
        <w:snapToGrid w:val="0"/>
        <w:ind w:firstLine="480"/>
        <w:rPr>
          <w:rFonts w:cs="宋体"/>
          <w:bCs/>
          <w:sz w:val="24"/>
        </w:rPr>
      </w:pPr>
      <w:r w:rsidRPr="00F6289E">
        <w:rPr>
          <w:rFonts w:cs="宋体" w:hint="eastAsia"/>
          <w:bCs/>
          <w:sz w:val="24"/>
        </w:rPr>
        <w:lastRenderedPageBreak/>
        <w:t>6</w:t>
      </w:r>
      <w:r>
        <w:rPr>
          <w:rFonts w:cs="宋体"/>
          <w:bCs/>
          <w:sz w:val="24"/>
        </w:rPr>
        <w:t>3</w:t>
      </w:r>
      <w:r w:rsidR="00F6289E" w:rsidRPr="00F6289E">
        <w:rPr>
          <w:rFonts w:cs="宋体" w:hint="eastAsia"/>
          <w:bCs/>
          <w:sz w:val="24"/>
        </w:rPr>
        <w:t>、摆动定价机制：指当开放式基金遭遇大额申购赎回时，通过调整基金份额净值的方式，将基金调整投资组合的市场冲击成本分配给实际申购、赎回的投资者，从而减少对存量基金份额持有人利益的不利影响，确保投资者的合法权益不受损害并得到公平对待</w:t>
      </w:r>
    </w:p>
    <w:p w14:paraId="50ED45AC" w14:textId="7DB9BD59" w:rsidR="00F6289E" w:rsidRPr="00F6289E" w:rsidRDefault="00AB2B63" w:rsidP="00F6289E">
      <w:pPr>
        <w:pStyle w:val="20"/>
        <w:adjustRightInd w:val="0"/>
        <w:snapToGrid w:val="0"/>
        <w:ind w:firstLine="480"/>
        <w:rPr>
          <w:rFonts w:cs="宋体"/>
          <w:bCs/>
          <w:sz w:val="24"/>
        </w:rPr>
      </w:pPr>
      <w:r w:rsidRPr="00F6289E">
        <w:rPr>
          <w:rFonts w:cs="宋体" w:hint="eastAsia"/>
          <w:bCs/>
          <w:sz w:val="24"/>
        </w:rPr>
        <w:t>6</w:t>
      </w:r>
      <w:r>
        <w:rPr>
          <w:rFonts w:cs="宋体"/>
          <w:bCs/>
          <w:sz w:val="24"/>
        </w:rPr>
        <w:t>4</w:t>
      </w:r>
      <w:r w:rsidR="00F6289E" w:rsidRPr="00F6289E">
        <w:rPr>
          <w:rFonts w:cs="宋体" w:hint="eastAsia"/>
          <w:bCs/>
          <w:sz w:val="24"/>
        </w:rPr>
        <w:t>、规定媒介：指符合中国证监会规定条件的用以进行信息披露的全国性报刊及《信息披露办法》规定的互联网网站（包括基金管理人网站、基金托管人网站、中国证监会基金电子披露网站）等媒介</w:t>
      </w:r>
    </w:p>
    <w:p w14:paraId="45474951" w14:textId="59A1EFB9" w:rsidR="00F6289E" w:rsidRPr="00F6289E" w:rsidRDefault="00AB2B63" w:rsidP="00F6289E">
      <w:pPr>
        <w:pStyle w:val="20"/>
        <w:adjustRightInd w:val="0"/>
        <w:snapToGrid w:val="0"/>
        <w:ind w:firstLine="480"/>
        <w:rPr>
          <w:rFonts w:cs="宋体"/>
          <w:bCs/>
          <w:sz w:val="24"/>
        </w:rPr>
      </w:pPr>
      <w:r w:rsidRPr="00F6289E">
        <w:rPr>
          <w:rFonts w:cs="宋体" w:hint="eastAsia"/>
          <w:bCs/>
          <w:sz w:val="24"/>
        </w:rPr>
        <w:t>6</w:t>
      </w:r>
      <w:r>
        <w:rPr>
          <w:rFonts w:cs="宋体"/>
          <w:bCs/>
          <w:sz w:val="24"/>
        </w:rPr>
        <w:t>5</w:t>
      </w:r>
      <w:r w:rsidR="00F6289E">
        <w:rPr>
          <w:rFonts w:cs="宋体" w:hint="eastAsia"/>
          <w:bCs/>
          <w:sz w:val="24"/>
        </w:rPr>
        <w:t>、不可抗力：指</w:t>
      </w:r>
      <w:r w:rsidR="00F6289E" w:rsidRPr="00F6289E">
        <w:rPr>
          <w:rFonts w:cs="宋体" w:hint="eastAsia"/>
          <w:bCs/>
          <w:sz w:val="24"/>
        </w:rPr>
        <w:t>基金合同当事人不能预见、不能避免且不能克服的客观事件</w:t>
      </w:r>
    </w:p>
    <w:p w14:paraId="5AD49333" w14:textId="347677BB" w:rsidR="00F6289E" w:rsidRPr="00F6289E" w:rsidRDefault="00AB2B63" w:rsidP="00F6289E">
      <w:pPr>
        <w:pStyle w:val="20"/>
        <w:adjustRightInd w:val="0"/>
        <w:snapToGrid w:val="0"/>
        <w:ind w:firstLine="480"/>
        <w:rPr>
          <w:rFonts w:cs="宋体"/>
          <w:bCs/>
          <w:sz w:val="24"/>
        </w:rPr>
      </w:pPr>
      <w:r w:rsidRPr="00F6289E">
        <w:rPr>
          <w:rFonts w:cs="宋体" w:hint="eastAsia"/>
          <w:bCs/>
          <w:sz w:val="24"/>
        </w:rPr>
        <w:t>6</w:t>
      </w:r>
      <w:r>
        <w:rPr>
          <w:rFonts w:cs="宋体"/>
          <w:bCs/>
          <w:sz w:val="24"/>
        </w:rPr>
        <w:t>6</w:t>
      </w:r>
      <w:r w:rsidR="00F6289E" w:rsidRPr="00F6289E">
        <w:rPr>
          <w:rFonts w:cs="宋体" w:hint="eastAsia"/>
          <w:bCs/>
          <w:sz w:val="24"/>
        </w:rPr>
        <w:t>、转融通证券出借业务：指本基金以一定费率</w:t>
      </w:r>
      <w:r w:rsidR="0008435C">
        <w:rPr>
          <w:rFonts w:cs="宋体" w:hint="eastAsia"/>
          <w:bCs/>
          <w:sz w:val="24"/>
        </w:rPr>
        <w:t>，</w:t>
      </w:r>
      <w:r w:rsidR="00F6289E" w:rsidRPr="00F6289E">
        <w:rPr>
          <w:rFonts w:cs="宋体" w:hint="eastAsia"/>
          <w:bCs/>
          <w:sz w:val="24"/>
        </w:rPr>
        <w:t>通过证券交易所综合业务平台向中国证券金融股份有限公司出借证券，中国证券金融股份有限公司到期归还所借证券及相应权益补偿并支付费用的业务</w:t>
      </w:r>
    </w:p>
    <w:p w14:paraId="69C0838D" w14:textId="3FDC0D83" w:rsidR="00F6289E" w:rsidRPr="00F6289E" w:rsidRDefault="00AB2B63" w:rsidP="00EA38C7">
      <w:pPr>
        <w:pStyle w:val="20"/>
        <w:adjustRightInd w:val="0"/>
        <w:snapToGrid w:val="0"/>
        <w:ind w:firstLine="480"/>
        <w:rPr>
          <w:rFonts w:cs="宋体"/>
          <w:bCs/>
          <w:sz w:val="24"/>
        </w:rPr>
      </w:pPr>
      <w:r w:rsidRPr="00F6289E">
        <w:rPr>
          <w:rFonts w:cs="宋体" w:hint="eastAsia"/>
          <w:bCs/>
          <w:sz w:val="24"/>
        </w:rPr>
        <w:t>6</w:t>
      </w:r>
      <w:r>
        <w:rPr>
          <w:rFonts w:cs="宋体"/>
          <w:bCs/>
          <w:sz w:val="24"/>
        </w:rPr>
        <w:t>7</w:t>
      </w:r>
      <w:r w:rsidR="00F6289E" w:rsidRPr="00F6289E">
        <w:rPr>
          <w:rFonts w:cs="宋体" w:hint="eastAsia"/>
          <w:bCs/>
          <w:sz w:val="24"/>
        </w:rPr>
        <w:t>、侧袋机制：指将基金投资组合中的特定资产从原有账户分离至一个专门账户进行处置清算，目的在于有效隔离并化解风险，确保投资者得到公平对待，属于流动性风险管理工具。侧袋机制实施期间，原有账户称为主袋账户，专门账户称为侧袋账户</w:t>
      </w:r>
    </w:p>
    <w:p w14:paraId="1983B4C2" w14:textId="127489B1" w:rsidR="00BF4A4E" w:rsidRDefault="00AB2B63">
      <w:pPr>
        <w:pStyle w:val="20"/>
        <w:adjustRightInd w:val="0"/>
        <w:snapToGrid w:val="0"/>
        <w:ind w:firstLine="480"/>
        <w:rPr>
          <w:rFonts w:cs="宋体"/>
          <w:bCs/>
          <w:sz w:val="24"/>
        </w:rPr>
      </w:pPr>
      <w:r w:rsidRPr="00F6289E">
        <w:rPr>
          <w:rFonts w:cs="宋体" w:hint="eastAsia"/>
          <w:bCs/>
          <w:sz w:val="24"/>
        </w:rPr>
        <w:t>6</w:t>
      </w:r>
      <w:r>
        <w:rPr>
          <w:rFonts w:cs="宋体"/>
          <w:bCs/>
          <w:sz w:val="24"/>
        </w:rPr>
        <w:t>8</w:t>
      </w:r>
      <w:r w:rsidR="00F6289E" w:rsidRPr="00F6289E">
        <w:rPr>
          <w:rFonts w:cs="宋体" w:hint="eastAsia"/>
          <w:bCs/>
          <w:sz w:val="24"/>
        </w:rPr>
        <w:t>、特定资产：包括：（一）无可参考的活跃市场价格且采用估值技术仍导致公允价值存在重大不确定性的资产；（二）按摊余成本计量且计提资产减值准备仍导致资产价值存在重大不确定性的资产；（三）其他资产价值存在重大不确定性的资产</w:t>
      </w:r>
    </w:p>
    <w:p w14:paraId="6CBA259B" w14:textId="1BD2FD95" w:rsidR="00716026" w:rsidRDefault="00AB2B63" w:rsidP="00716026">
      <w:pPr>
        <w:spacing w:line="360" w:lineRule="auto"/>
        <w:ind w:firstLineChars="200" w:firstLine="480"/>
        <w:rPr>
          <w:rFonts w:ascii="宋体" w:hAnsi="宋体"/>
          <w:bCs/>
          <w:sz w:val="24"/>
        </w:rPr>
      </w:pPr>
      <w:r>
        <w:rPr>
          <w:rFonts w:ascii="宋体" w:hAnsi="宋体"/>
          <w:bCs/>
          <w:sz w:val="24"/>
        </w:rPr>
        <w:t>69</w:t>
      </w:r>
      <w:r w:rsidR="00716026">
        <w:rPr>
          <w:rFonts w:ascii="宋体" w:hAnsi="宋体" w:hint="eastAsia"/>
          <w:bCs/>
          <w:sz w:val="24"/>
        </w:rPr>
        <w:t>、发起式基金：指符合《运作办法》和中国证监会规定的相关条件而募集、运作，由基金管理人、基金管理人股东、基金管理人高级管理人员或基金经理（指基金管理人员工中依法具有基金经理资格者，包括但不限于本基金的基金经理，下同）</w:t>
      </w:r>
      <w:r w:rsidR="00B06740">
        <w:rPr>
          <w:rFonts w:ascii="宋体" w:hAnsi="宋体" w:hint="eastAsia"/>
          <w:bCs/>
          <w:sz w:val="24"/>
        </w:rPr>
        <w:t>等人员</w:t>
      </w:r>
      <w:r w:rsidR="00716026">
        <w:rPr>
          <w:rFonts w:ascii="宋体" w:hAnsi="宋体" w:hint="eastAsia"/>
          <w:bCs/>
          <w:sz w:val="24"/>
        </w:rPr>
        <w:t>承诺认购一定金额并持有一定期限的证券投资基金</w:t>
      </w:r>
    </w:p>
    <w:p w14:paraId="3C418ED0" w14:textId="0856EC0A" w:rsidR="00716026" w:rsidRDefault="00AB2B63" w:rsidP="00716026">
      <w:pPr>
        <w:spacing w:line="360" w:lineRule="auto"/>
        <w:ind w:firstLineChars="200" w:firstLine="480"/>
        <w:rPr>
          <w:rFonts w:ascii="宋体" w:hAnsi="宋体"/>
          <w:bCs/>
          <w:sz w:val="24"/>
        </w:rPr>
      </w:pPr>
      <w:r>
        <w:rPr>
          <w:rFonts w:ascii="宋体" w:hAnsi="宋体"/>
          <w:bCs/>
          <w:sz w:val="24"/>
        </w:rPr>
        <w:t>70</w:t>
      </w:r>
      <w:r w:rsidR="00716026">
        <w:rPr>
          <w:rFonts w:ascii="宋体" w:hAnsi="宋体" w:hint="eastAsia"/>
          <w:bCs/>
          <w:sz w:val="24"/>
        </w:rPr>
        <w:t>、发起资金：指基金管理人的股东资金、基金管理人固有资金、基金管理人高级管理人员或基金经理等人员参与认购本基金的资金。发起资金认购本基金的金额不低于</w:t>
      </w:r>
      <w:r w:rsidR="00716026">
        <w:rPr>
          <w:rFonts w:ascii="宋体" w:hAnsi="宋体"/>
          <w:bCs/>
          <w:sz w:val="24"/>
        </w:rPr>
        <w:t>1000</w:t>
      </w:r>
      <w:r w:rsidR="00716026">
        <w:rPr>
          <w:rFonts w:ascii="宋体" w:hAnsi="宋体" w:hint="eastAsia"/>
          <w:bCs/>
          <w:sz w:val="24"/>
        </w:rPr>
        <w:t>万元，且发起资金认购的基金份额持有期限不低于三年</w:t>
      </w:r>
    </w:p>
    <w:p w14:paraId="5E7D6192" w14:textId="5FE6667D" w:rsidR="00E41E7F" w:rsidRPr="0034193C" w:rsidRDefault="00AB2B63" w:rsidP="0034193C">
      <w:pPr>
        <w:spacing w:line="360" w:lineRule="auto"/>
        <w:ind w:firstLineChars="200" w:firstLine="480"/>
        <w:rPr>
          <w:rFonts w:ascii="宋体" w:hAnsi="宋体"/>
          <w:bCs/>
          <w:sz w:val="24"/>
        </w:rPr>
      </w:pPr>
      <w:r>
        <w:rPr>
          <w:rFonts w:ascii="宋体" w:hAnsi="宋体"/>
          <w:bCs/>
          <w:sz w:val="24"/>
        </w:rPr>
        <w:t>71</w:t>
      </w:r>
      <w:r w:rsidR="00716026">
        <w:rPr>
          <w:rFonts w:ascii="宋体" w:hAnsi="宋体" w:hint="eastAsia"/>
          <w:bCs/>
          <w:sz w:val="24"/>
        </w:rPr>
        <w:t>、发起资金提供方：指以发起资金认购本基金且承诺以发起资金认购的基金份额持有期限不少于三年的基金管理人股东、基金管理人、基金管理人高级管理人员或基金经理等人员</w:t>
      </w:r>
    </w:p>
    <w:p w14:paraId="6340EF7F" w14:textId="77777777" w:rsidR="00BF4A4E" w:rsidRDefault="00BF4A4E">
      <w:pPr>
        <w:pStyle w:val="1"/>
        <w:adjustRightInd w:val="0"/>
        <w:snapToGrid w:val="0"/>
        <w:spacing w:before="0" w:after="0" w:line="360" w:lineRule="auto"/>
        <w:jc w:val="center"/>
        <w:rPr>
          <w:rFonts w:ascii="宋体" w:hAnsi="宋体"/>
        </w:rPr>
      </w:pPr>
      <w:bookmarkStart w:id="22" w:name="_Toc339534340"/>
      <w:bookmarkStart w:id="23" w:name="_Toc352679263"/>
      <w:r>
        <w:rPr>
          <w:rFonts w:ascii="宋体" w:hAnsi="宋体"/>
        </w:rPr>
        <w:br w:type="page"/>
      </w:r>
      <w:bookmarkStart w:id="24" w:name="_Toc103003345"/>
      <w:r>
        <w:rPr>
          <w:rFonts w:ascii="宋体" w:hAnsi="宋体"/>
        </w:rPr>
        <w:lastRenderedPageBreak/>
        <w:t>第</w:t>
      </w:r>
      <w:r>
        <w:rPr>
          <w:rFonts w:ascii="宋体" w:hAnsi="宋体" w:hint="eastAsia"/>
        </w:rPr>
        <w:t>三</w:t>
      </w:r>
      <w:r>
        <w:rPr>
          <w:rFonts w:ascii="宋体" w:hAnsi="宋体"/>
        </w:rPr>
        <w:t>部分</w:t>
      </w:r>
      <w:r>
        <w:rPr>
          <w:rFonts w:ascii="宋体" w:hAnsi="宋体" w:hint="eastAsia"/>
        </w:rPr>
        <w:t xml:space="preserve">  基金管理人</w:t>
      </w:r>
      <w:bookmarkEnd w:id="22"/>
      <w:bookmarkEnd w:id="23"/>
      <w:bookmarkEnd w:id="24"/>
    </w:p>
    <w:p w14:paraId="4D30D352" w14:textId="77777777" w:rsidR="00BF4A4E" w:rsidRDefault="00BF4A4E">
      <w:pPr>
        <w:spacing w:line="360" w:lineRule="auto"/>
        <w:rPr>
          <w:rFonts w:ascii="宋体" w:hAnsi="宋体"/>
        </w:rPr>
      </w:pPr>
    </w:p>
    <w:p w14:paraId="2851D569" w14:textId="77777777" w:rsidR="00747DF7" w:rsidRDefault="00747DF7" w:rsidP="00747DF7">
      <w:pPr>
        <w:pStyle w:val="20"/>
        <w:ind w:firstLineChars="0" w:firstLine="425"/>
        <w:rPr>
          <w:bCs/>
          <w:sz w:val="24"/>
        </w:rPr>
      </w:pPr>
      <w:r>
        <w:rPr>
          <w:rFonts w:hint="eastAsia"/>
          <w:bCs/>
          <w:sz w:val="24"/>
        </w:rPr>
        <w:t>一、基金管理人概况</w:t>
      </w:r>
    </w:p>
    <w:tbl>
      <w:tblPr>
        <w:tblW w:w="0" w:type="auto"/>
        <w:jc w:val="center"/>
        <w:tblLayout w:type="fixed"/>
        <w:tblCellMar>
          <w:left w:w="0" w:type="dxa"/>
          <w:right w:w="0" w:type="dxa"/>
        </w:tblCellMar>
        <w:tblLook w:val="04A0" w:firstRow="1" w:lastRow="0" w:firstColumn="1" w:lastColumn="0" w:noHBand="0" w:noVBand="1"/>
      </w:tblPr>
      <w:tblGrid>
        <w:gridCol w:w="1691"/>
        <w:gridCol w:w="1701"/>
        <w:gridCol w:w="1675"/>
        <w:gridCol w:w="3218"/>
      </w:tblGrid>
      <w:tr w:rsidR="00747DF7" w14:paraId="1DAD8CFC" w14:textId="77777777" w:rsidTr="00747DF7">
        <w:trPr>
          <w:trHeight w:val="454"/>
          <w:jc w:val="center"/>
        </w:trPr>
        <w:tc>
          <w:tcPr>
            <w:tcW w:w="16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674D749" w14:textId="77777777" w:rsidR="00747DF7" w:rsidRDefault="00747DF7">
            <w:pPr>
              <w:widowControl/>
              <w:autoSpaceDE w:val="0"/>
              <w:autoSpaceDN w:val="0"/>
              <w:spacing w:line="360" w:lineRule="auto"/>
              <w:rPr>
                <w:rFonts w:ascii="宋体" w:hAnsi="宋体" w:cs="宋体"/>
                <w:kern w:val="0"/>
                <w:sz w:val="24"/>
              </w:rPr>
            </w:pPr>
            <w:r>
              <w:rPr>
                <w:rFonts w:ascii="宋体" w:hAnsi="宋体" w:cs="宋体" w:hint="eastAsia"/>
                <w:kern w:val="0"/>
                <w:sz w:val="24"/>
              </w:rPr>
              <w:t>名称</w:t>
            </w:r>
          </w:p>
        </w:tc>
        <w:tc>
          <w:tcPr>
            <w:tcW w:w="6594"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B7409ED" w14:textId="77777777" w:rsidR="00747DF7" w:rsidRDefault="00747DF7">
            <w:pPr>
              <w:widowControl/>
              <w:autoSpaceDE w:val="0"/>
              <w:autoSpaceDN w:val="0"/>
              <w:spacing w:line="360" w:lineRule="auto"/>
              <w:rPr>
                <w:rFonts w:ascii="宋体" w:hAnsi="宋体" w:cs="宋体"/>
                <w:kern w:val="0"/>
                <w:sz w:val="24"/>
              </w:rPr>
            </w:pPr>
            <w:r>
              <w:rPr>
                <w:rFonts w:ascii="宋体" w:hAnsi="宋体" w:cs="宋体" w:hint="eastAsia"/>
                <w:kern w:val="0"/>
                <w:sz w:val="24"/>
              </w:rPr>
              <w:t>银华基金管理股份有限公司</w:t>
            </w:r>
          </w:p>
        </w:tc>
      </w:tr>
      <w:tr w:rsidR="00747DF7" w14:paraId="57551EE0" w14:textId="77777777" w:rsidTr="00747DF7">
        <w:trPr>
          <w:trHeight w:val="454"/>
          <w:jc w:val="center"/>
        </w:trPr>
        <w:tc>
          <w:tcPr>
            <w:tcW w:w="16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60668C1" w14:textId="77777777" w:rsidR="00747DF7" w:rsidRDefault="00747DF7">
            <w:pPr>
              <w:widowControl/>
              <w:autoSpaceDE w:val="0"/>
              <w:autoSpaceDN w:val="0"/>
              <w:spacing w:line="360" w:lineRule="auto"/>
              <w:rPr>
                <w:rFonts w:ascii="宋体" w:hAnsi="宋体" w:cs="宋体"/>
                <w:kern w:val="0"/>
                <w:sz w:val="24"/>
              </w:rPr>
            </w:pPr>
            <w:r>
              <w:rPr>
                <w:rFonts w:ascii="宋体" w:hAnsi="宋体" w:cs="宋体" w:hint="eastAsia"/>
                <w:kern w:val="0"/>
                <w:sz w:val="24"/>
              </w:rPr>
              <w:t>住所</w:t>
            </w:r>
          </w:p>
        </w:tc>
        <w:tc>
          <w:tcPr>
            <w:tcW w:w="6594"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14:paraId="5EED7958" w14:textId="77777777" w:rsidR="00747DF7" w:rsidRDefault="00747DF7">
            <w:pPr>
              <w:widowControl/>
              <w:autoSpaceDE w:val="0"/>
              <w:autoSpaceDN w:val="0"/>
              <w:spacing w:line="360" w:lineRule="auto"/>
              <w:rPr>
                <w:rFonts w:ascii="宋体" w:hAnsi="宋体" w:cs="宋体"/>
                <w:kern w:val="0"/>
                <w:sz w:val="24"/>
              </w:rPr>
            </w:pPr>
            <w:r>
              <w:rPr>
                <w:rFonts w:ascii="宋体" w:hAnsi="宋体" w:cs="宋体" w:hint="eastAsia"/>
                <w:kern w:val="0"/>
                <w:sz w:val="24"/>
              </w:rPr>
              <w:t>深圳市福田区深南大道6008号特区报业大厦19层</w:t>
            </w:r>
          </w:p>
        </w:tc>
      </w:tr>
      <w:tr w:rsidR="00747DF7" w14:paraId="2E1B0481" w14:textId="77777777" w:rsidTr="00747DF7">
        <w:trPr>
          <w:trHeight w:val="454"/>
          <w:jc w:val="center"/>
        </w:trPr>
        <w:tc>
          <w:tcPr>
            <w:tcW w:w="16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78E6584" w14:textId="77777777" w:rsidR="00747DF7" w:rsidRDefault="00747DF7">
            <w:pPr>
              <w:widowControl/>
              <w:autoSpaceDE w:val="0"/>
              <w:autoSpaceDN w:val="0"/>
              <w:spacing w:line="360" w:lineRule="auto"/>
              <w:rPr>
                <w:rFonts w:ascii="宋体" w:hAnsi="宋体" w:cs="宋体"/>
                <w:kern w:val="0"/>
                <w:sz w:val="24"/>
              </w:rPr>
            </w:pPr>
            <w:r>
              <w:rPr>
                <w:rFonts w:ascii="宋体" w:hAnsi="宋体" w:cs="宋体" w:hint="eastAsia"/>
                <w:kern w:val="0"/>
                <w:sz w:val="24"/>
              </w:rPr>
              <w:t>办公地址</w:t>
            </w:r>
          </w:p>
        </w:tc>
        <w:tc>
          <w:tcPr>
            <w:tcW w:w="6594"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D9799B" w14:textId="77777777" w:rsidR="00747DF7" w:rsidRDefault="00747DF7">
            <w:pPr>
              <w:widowControl/>
              <w:autoSpaceDE w:val="0"/>
              <w:autoSpaceDN w:val="0"/>
              <w:spacing w:line="360" w:lineRule="auto"/>
              <w:rPr>
                <w:rFonts w:ascii="宋体" w:hAnsi="宋体" w:cs="宋体"/>
                <w:kern w:val="0"/>
                <w:sz w:val="24"/>
              </w:rPr>
            </w:pPr>
            <w:r>
              <w:rPr>
                <w:rFonts w:ascii="宋体" w:hAnsi="宋体" w:cs="宋体" w:hint="eastAsia"/>
                <w:kern w:val="0"/>
                <w:sz w:val="24"/>
              </w:rPr>
              <w:t>北京市东城区东长安街1号东方广场东方经贸城C2办公楼15层</w:t>
            </w:r>
          </w:p>
        </w:tc>
      </w:tr>
      <w:tr w:rsidR="00747DF7" w14:paraId="3C2B20FC" w14:textId="77777777" w:rsidTr="00747DF7">
        <w:trPr>
          <w:trHeight w:val="454"/>
          <w:jc w:val="center"/>
        </w:trPr>
        <w:tc>
          <w:tcPr>
            <w:tcW w:w="16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D88907E" w14:textId="77777777" w:rsidR="00747DF7" w:rsidRDefault="00747DF7">
            <w:pPr>
              <w:widowControl/>
              <w:autoSpaceDE w:val="0"/>
              <w:autoSpaceDN w:val="0"/>
              <w:spacing w:line="360" w:lineRule="auto"/>
              <w:rPr>
                <w:rFonts w:ascii="宋体" w:hAnsi="宋体" w:cs="宋体"/>
                <w:kern w:val="0"/>
                <w:sz w:val="24"/>
              </w:rPr>
            </w:pPr>
            <w:r>
              <w:rPr>
                <w:rFonts w:ascii="宋体" w:hAnsi="宋体" w:cs="宋体" w:hint="eastAsia"/>
                <w:kern w:val="0"/>
                <w:sz w:val="24"/>
              </w:rPr>
              <w:t>法定代表人</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B1C247D" w14:textId="77777777" w:rsidR="00747DF7" w:rsidRDefault="00747DF7">
            <w:pPr>
              <w:widowControl/>
              <w:autoSpaceDE w:val="0"/>
              <w:autoSpaceDN w:val="0"/>
              <w:spacing w:line="360" w:lineRule="auto"/>
              <w:rPr>
                <w:rFonts w:ascii="宋体" w:hAnsi="宋体" w:cs="宋体"/>
                <w:kern w:val="0"/>
                <w:sz w:val="24"/>
              </w:rPr>
            </w:pPr>
            <w:r>
              <w:rPr>
                <w:rFonts w:ascii="宋体" w:hAnsi="宋体" w:cs="宋体" w:hint="eastAsia"/>
                <w:kern w:val="0"/>
                <w:sz w:val="24"/>
              </w:rPr>
              <w:t>王珠林</w:t>
            </w:r>
          </w:p>
        </w:tc>
        <w:tc>
          <w:tcPr>
            <w:tcW w:w="16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1B0ACC5" w14:textId="77777777" w:rsidR="00747DF7" w:rsidRDefault="00747DF7">
            <w:pPr>
              <w:widowControl/>
              <w:autoSpaceDE w:val="0"/>
              <w:autoSpaceDN w:val="0"/>
              <w:spacing w:line="360" w:lineRule="auto"/>
              <w:rPr>
                <w:rFonts w:ascii="宋体" w:hAnsi="宋体" w:cs="宋体"/>
                <w:kern w:val="0"/>
                <w:sz w:val="24"/>
              </w:rPr>
            </w:pPr>
            <w:r>
              <w:rPr>
                <w:rFonts w:ascii="宋体" w:hAnsi="宋体" w:cs="宋体" w:hint="eastAsia"/>
                <w:kern w:val="0"/>
                <w:sz w:val="24"/>
              </w:rPr>
              <w:t>设立日期</w:t>
            </w:r>
          </w:p>
        </w:tc>
        <w:tc>
          <w:tcPr>
            <w:tcW w:w="32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1E0E7D8" w14:textId="77777777" w:rsidR="00747DF7" w:rsidRDefault="00747DF7">
            <w:pPr>
              <w:widowControl/>
              <w:autoSpaceDE w:val="0"/>
              <w:autoSpaceDN w:val="0"/>
              <w:spacing w:line="360" w:lineRule="auto"/>
              <w:rPr>
                <w:rFonts w:ascii="宋体" w:hAnsi="宋体" w:cs="宋体"/>
                <w:kern w:val="0"/>
                <w:sz w:val="24"/>
              </w:rPr>
            </w:pPr>
            <w:r>
              <w:rPr>
                <w:rFonts w:ascii="宋体" w:hAnsi="宋体" w:cs="宋体" w:hint="eastAsia"/>
                <w:kern w:val="0"/>
                <w:sz w:val="24"/>
              </w:rPr>
              <w:t>2001年5月28日</w:t>
            </w:r>
          </w:p>
        </w:tc>
      </w:tr>
      <w:tr w:rsidR="00747DF7" w14:paraId="098C6EEA" w14:textId="77777777" w:rsidTr="00747DF7">
        <w:trPr>
          <w:trHeight w:val="454"/>
          <w:jc w:val="center"/>
        </w:trPr>
        <w:tc>
          <w:tcPr>
            <w:tcW w:w="16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D9D4361" w14:textId="77777777" w:rsidR="00747DF7" w:rsidRDefault="00747DF7">
            <w:pPr>
              <w:widowControl/>
              <w:autoSpaceDE w:val="0"/>
              <w:autoSpaceDN w:val="0"/>
              <w:spacing w:line="360" w:lineRule="auto"/>
              <w:rPr>
                <w:rFonts w:ascii="宋体" w:hAnsi="宋体" w:cs="宋体"/>
                <w:kern w:val="0"/>
                <w:sz w:val="24"/>
              </w:rPr>
            </w:pPr>
            <w:r>
              <w:rPr>
                <w:rFonts w:ascii="宋体" w:hAnsi="宋体" w:cs="宋体" w:hint="eastAsia"/>
                <w:kern w:val="0"/>
                <w:sz w:val="24"/>
              </w:rPr>
              <w:t>批准设立机关</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2EC64A" w14:textId="77777777" w:rsidR="00747DF7" w:rsidRDefault="00747DF7">
            <w:pPr>
              <w:widowControl/>
              <w:autoSpaceDE w:val="0"/>
              <w:autoSpaceDN w:val="0"/>
              <w:spacing w:line="360" w:lineRule="auto"/>
              <w:rPr>
                <w:rFonts w:ascii="宋体" w:hAnsi="宋体" w:cs="宋体"/>
                <w:kern w:val="0"/>
                <w:sz w:val="24"/>
              </w:rPr>
            </w:pPr>
            <w:r>
              <w:rPr>
                <w:rFonts w:ascii="宋体" w:hAnsi="宋体" w:cs="宋体" w:hint="eastAsia"/>
                <w:kern w:val="0"/>
                <w:sz w:val="24"/>
              </w:rPr>
              <w:t>中国证监会</w:t>
            </w:r>
          </w:p>
        </w:tc>
        <w:tc>
          <w:tcPr>
            <w:tcW w:w="16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E79EDDC" w14:textId="77777777" w:rsidR="00747DF7" w:rsidRDefault="00747DF7">
            <w:pPr>
              <w:widowControl/>
              <w:autoSpaceDE w:val="0"/>
              <w:autoSpaceDN w:val="0"/>
              <w:spacing w:line="360" w:lineRule="auto"/>
              <w:rPr>
                <w:rFonts w:ascii="宋体" w:hAnsi="宋体" w:cs="宋体"/>
                <w:kern w:val="0"/>
                <w:sz w:val="24"/>
              </w:rPr>
            </w:pPr>
            <w:r>
              <w:rPr>
                <w:rFonts w:ascii="宋体" w:hAnsi="宋体" w:cs="宋体" w:hint="eastAsia"/>
                <w:kern w:val="0"/>
                <w:sz w:val="24"/>
              </w:rPr>
              <w:t>批准设立文号</w:t>
            </w:r>
          </w:p>
        </w:tc>
        <w:tc>
          <w:tcPr>
            <w:tcW w:w="32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A6D6D4" w14:textId="77777777" w:rsidR="00747DF7" w:rsidRDefault="00747DF7">
            <w:pPr>
              <w:widowControl/>
              <w:autoSpaceDE w:val="0"/>
              <w:autoSpaceDN w:val="0"/>
              <w:spacing w:line="360" w:lineRule="auto"/>
              <w:rPr>
                <w:rFonts w:ascii="宋体" w:hAnsi="宋体" w:cs="宋体"/>
                <w:kern w:val="0"/>
                <w:sz w:val="24"/>
              </w:rPr>
            </w:pPr>
            <w:r>
              <w:rPr>
                <w:rFonts w:ascii="宋体" w:hAnsi="宋体" w:cs="宋体" w:hint="eastAsia"/>
                <w:kern w:val="0"/>
                <w:sz w:val="24"/>
              </w:rPr>
              <w:t>中国证监会证监基金字[2001]7号</w:t>
            </w:r>
          </w:p>
        </w:tc>
      </w:tr>
      <w:tr w:rsidR="00747DF7" w14:paraId="052A8FFD" w14:textId="77777777" w:rsidTr="00747DF7">
        <w:trPr>
          <w:trHeight w:val="454"/>
          <w:jc w:val="center"/>
        </w:trPr>
        <w:tc>
          <w:tcPr>
            <w:tcW w:w="16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B87D010" w14:textId="77777777" w:rsidR="00747DF7" w:rsidRDefault="00747DF7">
            <w:pPr>
              <w:widowControl/>
              <w:autoSpaceDE w:val="0"/>
              <w:autoSpaceDN w:val="0"/>
              <w:spacing w:line="360" w:lineRule="auto"/>
              <w:rPr>
                <w:rFonts w:ascii="宋体" w:hAnsi="宋体" w:cs="宋体"/>
                <w:kern w:val="0"/>
                <w:sz w:val="24"/>
              </w:rPr>
            </w:pPr>
            <w:r>
              <w:rPr>
                <w:rFonts w:ascii="宋体" w:hAnsi="宋体" w:cs="宋体" w:hint="eastAsia"/>
                <w:kern w:val="0"/>
                <w:sz w:val="24"/>
              </w:rPr>
              <w:t>组织形式</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45D379" w14:textId="77777777" w:rsidR="00747DF7" w:rsidRDefault="00747DF7">
            <w:pPr>
              <w:widowControl/>
              <w:autoSpaceDE w:val="0"/>
              <w:autoSpaceDN w:val="0"/>
              <w:spacing w:line="360" w:lineRule="auto"/>
              <w:rPr>
                <w:rFonts w:ascii="宋体" w:hAnsi="宋体" w:cs="宋体"/>
                <w:kern w:val="0"/>
                <w:sz w:val="24"/>
              </w:rPr>
            </w:pPr>
            <w:r>
              <w:rPr>
                <w:rFonts w:ascii="宋体" w:hAnsi="宋体" w:cs="宋体" w:hint="eastAsia"/>
                <w:kern w:val="0"/>
                <w:sz w:val="24"/>
              </w:rPr>
              <w:t>股份有限公司</w:t>
            </w:r>
          </w:p>
        </w:tc>
        <w:tc>
          <w:tcPr>
            <w:tcW w:w="16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CEA4E6" w14:textId="77777777" w:rsidR="00747DF7" w:rsidRDefault="00747DF7">
            <w:pPr>
              <w:widowControl/>
              <w:autoSpaceDE w:val="0"/>
              <w:autoSpaceDN w:val="0"/>
              <w:spacing w:line="360" w:lineRule="auto"/>
              <w:rPr>
                <w:rFonts w:ascii="宋体" w:hAnsi="宋体" w:cs="宋体"/>
                <w:kern w:val="0"/>
                <w:sz w:val="24"/>
              </w:rPr>
            </w:pPr>
            <w:r>
              <w:rPr>
                <w:rFonts w:ascii="宋体" w:hAnsi="宋体" w:cs="宋体" w:hint="eastAsia"/>
                <w:kern w:val="0"/>
                <w:sz w:val="24"/>
              </w:rPr>
              <w:t>注册资本</w:t>
            </w:r>
          </w:p>
        </w:tc>
        <w:tc>
          <w:tcPr>
            <w:tcW w:w="32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398BA29" w14:textId="77777777" w:rsidR="00747DF7" w:rsidRDefault="00747DF7">
            <w:pPr>
              <w:widowControl/>
              <w:autoSpaceDE w:val="0"/>
              <w:autoSpaceDN w:val="0"/>
              <w:spacing w:line="360" w:lineRule="auto"/>
              <w:rPr>
                <w:rFonts w:ascii="宋体" w:hAnsi="宋体" w:cs="宋体"/>
                <w:kern w:val="0"/>
                <w:sz w:val="24"/>
              </w:rPr>
            </w:pPr>
            <w:r>
              <w:rPr>
                <w:rFonts w:ascii="宋体" w:hAnsi="宋体" w:cs="宋体" w:hint="eastAsia"/>
                <w:kern w:val="0"/>
                <w:sz w:val="24"/>
              </w:rPr>
              <w:t>2.222亿元人民币</w:t>
            </w:r>
          </w:p>
        </w:tc>
      </w:tr>
      <w:tr w:rsidR="00747DF7" w14:paraId="2FD765FD" w14:textId="77777777" w:rsidTr="00747DF7">
        <w:trPr>
          <w:trHeight w:val="454"/>
          <w:jc w:val="center"/>
        </w:trPr>
        <w:tc>
          <w:tcPr>
            <w:tcW w:w="16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CE28F43" w14:textId="77777777" w:rsidR="00747DF7" w:rsidRDefault="00747DF7">
            <w:pPr>
              <w:widowControl/>
              <w:autoSpaceDE w:val="0"/>
              <w:autoSpaceDN w:val="0"/>
              <w:spacing w:line="360" w:lineRule="auto"/>
              <w:rPr>
                <w:rFonts w:ascii="宋体" w:hAnsi="宋体" w:cs="宋体"/>
                <w:kern w:val="0"/>
                <w:sz w:val="24"/>
              </w:rPr>
            </w:pPr>
            <w:r>
              <w:rPr>
                <w:rFonts w:ascii="宋体" w:hAnsi="宋体" w:cs="宋体" w:hint="eastAsia"/>
                <w:kern w:val="0"/>
                <w:sz w:val="24"/>
              </w:rPr>
              <w:t>存续期间</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9ED994" w14:textId="77777777" w:rsidR="00747DF7" w:rsidRDefault="00747DF7">
            <w:pPr>
              <w:widowControl/>
              <w:autoSpaceDE w:val="0"/>
              <w:autoSpaceDN w:val="0"/>
              <w:spacing w:line="360" w:lineRule="auto"/>
              <w:rPr>
                <w:rFonts w:ascii="宋体" w:hAnsi="宋体" w:cs="宋体"/>
                <w:kern w:val="0"/>
                <w:sz w:val="24"/>
              </w:rPr>
            </w:pPr>
            <w:r>
              <w:rPr>
                <w:rFonts w:ascii="宋体" w:hAnsi="宋体" w:cs="宋体" w:hint="eastAsia"/>
                <w:kern w:val="0"/>
                <w:sz w:val="24"/>
              </w:rPr>
              <w:t>持续经营</w:t>
            </w:r>
          </w:p>
        </w:tc>
        <w:tc>
          <w:tcPr>
            <w:tcW w:w="16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0DCD3F" w14:textId="77777777" w:rsidR="00747DF7" w:rsidRDefault="00747DF7">
            <w:pPr>
              <w:widowControl/>
              <w:autoSpaceDE w:val="0"/>
              <w:autoSpaceDN w:val="0"/>
              <w:spacing w:line="360" w:lineRule="auto"/>
              <w:rPr>
                <w:rFonts w:ascii="宋体" w:hAnsi="宋体" w:cs="宋体"/>
                <w:kern w:val="0"/>
                <w:sz w:val="24"/>
              </w:rPr>
            </w:pPr>
            <w:r>
              <w:rPr>
                <w:rFonts w:ascii="宋体" w:hAnsi="宋体" w:cs="宋体" w:hint="eastAsia"/>
                <w:kern w:val="0"/>
                <w:sz w:val="24"/>
              </w:rPr>
              <w:t>联系人</w:t>
            </w:r>
          </w:p>
        </w:tc>
        <w:tc>
          <w:tcPr>
            <w:tcW w:w="32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B87B27E" w14:textId="77777777" w:rsidR="00747DF7" w:rsidRDefault="00747DF7">
            <w:pPr>
              <w:widowControl/>
              <w:autoSpaceDE w:val="0"/>
              <w:autoSpaceDN w:val="0"/>
              <w:spacing w:line="360" w:lineRule="auto"/>
              <w:rPr>
                <w:rFonts w:ascii="宋体" w:hAnsi="宋体" w:cs="宋体"/>
                <w:kern w:val="0"/>
                <w:sz w:val="24"/>
              </w:rPr>
            </w:pPr>
            <w:r>
              <w:rPr>
                <w:rFonts w:ascii="宋体" w:hAnsi="宋体" w:cs="宋体" w:hint="eastAsia"/>
                <w:kern w:val="0"/>
                <w:sz w:val="24"/>
              </w:rPr>
              <w:t>兰健</w:t>
            </w:r>
          </w:p>
        </w:tc>
      </w:tr>
      <w:tr w:rsidR="00747DF7" w14:paraId="0AA9558A" w14:textId="77777777" w:rsidTr="00747DF7">
        <w:trPr>
          <w:trHeight w:val="454"/>
          <w:jc w:val="center"/>
        </w:trPr>
        <w:tc>
          <w:tcPr>
            <w:tcW w:w="16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570690F" w14:textId="77777777" w:rsidR="00747DF7" w:rsidRDefault="00747DF7">
            <w:pPr>
              <w:widowControl/>
              <w:autoSpaceDE w:val="0"/>
              <w:autoSpaceDN w:val="0"/>
              <w:spacing w:line="360" w:lineRule="auto"/>
              <w:rPr>
                <w:rFonts w:ascii="宋体" w:hAnsi="宋体" w:cs="宋体"/>
                <w:kern w:val="0"/>
                <w:sz w:val="24"/>
              </w:rPr>
            </w:pPr>
            <w:r>
              <w:rPr>
                <w:rFonts w:ascii="宋体" w:hAnsi="宋体" w:cs="宋体" w:hint="eastAsia"/>
                <w:kern w:val="0"/>
                <w:sz w:val="24"/>
              </w:rPr>
              <w:t>电话</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47B4F98" w14:textId="77777777" w:rsidR="00747DF7" w:rsidRDefault="00747DF7">
            <w:pPr>
              <w:widowControl/>
              <w:autoSpaceDE w:val="0"/>
              <w:autoSpaceDN w:val="0"/>
              <w:spacing w:line="360" w:lineRule="auto"/>
              <w:rPr>
                <w:rFonts w:ascii="宋体" w:hAnsi="宋体" w:cs="宋体"/>
                <w:kern w:val="0"/>
                <w:sz w:val="24"/>
              </w:rPr>
            </w:pPr>
            <w:r>
              <w:rPr>
                <w:rFonts w:ascii="宋体" w:hAnsi="宋体" w:cs="宋体" w:hint="eastAsia"/>
                <w:kern w:val="0"/>
                <w:sz w:val="24"/>
              </w:rPr>
              <w:t>010-58163000</w:t>
            </w:r>
          </w:p>
        </w:tc>
        <w:tc>
          <w:tcPr>
            <w:tcW w:w="16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A970D5" w14:textId="77777777" w:rsidR="00747DF7" w:rsidRDefault="00747DF7">
            <w:pPr>
              <w:widowControl/>
              <w:autoSpaceDE w:val="0"/>
              <w:autoSpaceDN w:val="0"/>
              <w:spacing w:line="360" w:lineRule="auto"/>
              <w:rPr>
                <w:rFonts w:ascii="宋体" w:hAnsi="宋体" w:cs="宋体"/>
                <w:kern w:val="0"/>
                <w:sz w:val="24"/>
              </w:rPr>
            </w:pPr>
            <w:r>
              <w:rPr>
                <w:rFonts w:ascii="宋体" w:hAnsi="宋体" w:cs="宋体" w:hint="eastAsia"/>
                <w:kern w:val="0"/>
                <w:sz w:val="24"/>
              </w:rPr>
              <w:t>传真</w:t>
            </w:r>
          </w:p>
        </w:tc>
        <w:tc>
          <w:tcPr>
            <w:tcW w:w="32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45A6389" w14:textId="77777777" w:rsidR="00747DF7" w:rsidRDefault="00747DF7">
            <w:pPr>
              <w:widowControl/>
              <w:autoSpaceDE w:val="0"/>
              <w:autoSpaceDN w:val="0"/>
              <w:spacing w:line="360" w:lineRule="auto"/>
              <w:rPr>
                <w:rFonts w:ascii="宋体" w:hAnsi="宋体" w:cs="宋体"/>
                <w:kern w:val="0"/>
                <w:sz w:val="24"/>
              </w:rPr>
            </w:pPr>
            <w:r>
              <w:rPr>
                <w:rFonts w:ascii="宋体" w:hAnsi="宋体" w:cs="宋体" w:hint="eastAsia"/>
                <w:kern w:val="0"/>
                <w:sz w:val="24"/>
              </w:rPr>
              <w:t>010-58163090</w:t>
            </w:r>
          </w:p>
        </w:tc>
      </w:tr>
    </w:tbl>
    <w:p w14:paraId="2B452D20" w14:textId="77777777" w:rsidR="002F3DCE" w:rsidRPr="002F3DCE" w:rsidRDefault="002F3DCE" w:rsidP="002F3DCE">
      <w:pPr>
        <w:pStyle w:val="CM17"/>
        <w:snapToGrid w:val="0"/>
        <w:spacing w:line="360" w:lineRule="auto"/>
        <w:ind w:firstLineChars="200" w:firstLine="480"/>
        <w:rPr>
          <w:rFonts w:ascii="宋体" w:eastAsia="宋体" w:hAnsi="宋体" w:cs="Times New Roman"/>
          <w:kern w:val="2"/>
          <w:szCs w:val="20"/>
        </w:rPr>
      </w:pPr>
      <w:bookmarkStart w:id="25" w:name="OLE_LINK36"/>
      <w:bookmarkStart w:id="26" w:name="OLE_LINK37"/>
      <w:r w:rsidRPr="002F3DCE">
        <w:rPr>
          <w:rFonts w:ascii="宋体" w:eastAsia="宋体" w:hAnsi="宋体" w:cs="Times New Roman" w:hint="eastAsia"/>
          <w:kern w:val="2"/>
          <w:szCs w:val="20"/>
        </w:rPr>
        <w:t>银华基金管理有限公司成立于2001年5月28日，是经中国证监会批准（证监基金字[2001]7号文）设立的全国性资产管理公司。公司注册资本为2.222亿元人民币，公司的股权结构为西南证券股份有限公司（出资比例44.10%）、第一创业证券股份有限公司（出资比例26.10%）、东北证券股份有限公司（出资比例18.90%）、山西海鑫实业有限公司（出资比例0.90%）、珠海银华聚义投资合伙企业（有限合伙）（出资比例3.57%）、珠海银华致信投资合伙企业（有限合伙）（出资比例3.20%）及珠海银华汇玥投资合伙企业（有限合伙）（出资比例3.22%）。公司的主要业务是基金募集、基金销售、资产管理及中国证监会许可的其他业务。公司注册地为广东省深圳市。银华基金管理有限公司的法定名称已于2016年8月9日起变更为“银华基金管理股份有限公司”。</w:t>
      </w:r>
    </w:p>
    <w:p w14:paraId="17E0DE66" w14:textId="77777777" w:rsidR="002F3DCE" w:rsidRPr="002F3DCE" w:rsidRDefault="002F3DCE" w:rsidP="002F3DCE">
      <w:pPr>
        <w:pStyle w:val="CM17"/>
        <w:snapToGrid w:val="0"/>
        <w:spacing w:line="360" w:lineRule="auto"/>
        <w:ind w:firstLineChars="200" w:firstLine="480"/>
        <w:rPr>
          <w:rFonts w:ascii="宋体" w:eastAsia="宋体" w:hAnsi="宋体" w:cs="Times New Roman"/>
          <w:kern w:val="2"/>
          <w:szCs w:val="20"/>
        </w:rPr>
      </w:pPr>
      <w:r w:rsidRPr="002F3DCE">
        <w:rPr>
          <w:rFonts w:ascii="宋体" w:eastAsia="宋体" w:hAnsi="宋体" w:cs="Times New Roman" w:hint="eastAsia"/>
          <w:kern w:val="2"/>
          <w:szCs w:val="20"/>
        </w:rPr>
        <w:t>公司治理结构完善，经营运作规范，能够切实维护基金投资人的利益。公司董事会下设“战略委员会”、“风险控制委员会”、“薪酬与提名委员会”、“审计委员会”四个专业委员会，有针对性地研究公司在经营管理和基金运作中的相关情况，制定相应的政策，并充分发挥独立董事的职能，切实加强对公司运作的监督。</w:t>
      </w:r>
    </w:p>
    <w:p w14:paraId="28C0A441" w14:textId="77777777" w:rsidR="002F3DCE" w:rsidRPr="002F3DCE" w:rsidRDefault="002F3DCE" w:rsidP="002F3DCE">
      <w:pPr>
        <w:pStyle w:val="CM17"/>
        <w:snapToGrid w:val="0"/>
        <w:spacing w:line="360" w:lineRule="auto"/>
        <w:ind w:firstLineChars="200" w:firstLine="480"/>
        <w:rPr>
          <w:rFonts w:ascii="宋体" w:eastAsia="宋体" w:hAnsi="宋体" w:cs="Times New Roman"/>
          <w:kern w:val="2"/>
          <w:szCs w:val="20"/>
        </w:rPr>
      </w:pPr>
      <w:r w:rsidRPr="002F3DCE">
        <w:rPr>
          <w:rFonts w:ascii="宋体" w:eastAsia="宋体" w:hAnsi="宋体" w:cs="Times New Roman" w:hint="eastAsia"/>
          <w:kern w:val="2"/>
          <w:szCs w:val="20"/>
        </w:rPr>
        <w:t>公司监事会由4位监事组成，主要负责检查公司的财务以及对公司董事、高级管理人员的行为进行监督。</w:t>
      </w:r>
    </w:p>
    <w:p w14:paraId="016A2A1C" w14:textId="77777777" w:rsidR="002F3DCE" w:rsidRPr="002F3DCE" w:rsidRDefault="002F3DCE" w:rsidP="002F3DCE">
      <w:pPr>
        <w:pStyle w:val="CM17"/>
        <w:snapToGrid w:val="0"/>
        <w:spacing w:line="360" w:lineRule="auto"/>
        <w:ind w:firstLineChars="200" w:firstLine="480"/>
        <w:rPr>
          <w:rFonts w:ascii="宋体" w:eastAsia="宋体" w:hAnsi="宋体" w:cs="Times New Roman"/>
          <w:kern w:val="2"/>
          <w:szCs w:val="20"/>
        </w:rPr>
      </w:pPr>
      <w:r w:rsidRPr="002F3DCE">
        <w:rPr>
          <w:rFonts w:ascii="宋体" w:eastAsia="宋体" w:hAnsi="宋体" w:cs="Times New Roman" w:hint="eastAsia"/>
          <w:kern w:val="2"/>
          <w:szCs w:val="20"/>
        </w:rPr>
        <w:lastRenderedPageBreak/>
        <w:t>公司具体经营管理由总经理负责，公司根据经营运作需要设置权益投资管理部、多元策略投资管理部、固定收益投资管理部、养老金及多资产投资管理部、量化投资部、境外投资部、FOF投资管理部、研究部、产品开发与管理部、营销管理与服务部、渠道业务总部、机构业务总部、养老金业务总部、券商与指数业务部、交易管理部、风险管理部、运作保障部、信息技术部、互联网金融部、战略发展部、投资银行部、基础设施投资部、监察稽核部、内部审计部、党委办公室（党群工作部）、人力资源部、公司办公室、财务行政部、深圳管理部等职能部门，并设有北京分公司、上海分公司两家分公司，以及银华长安资本管理（北京）有限公司、深圳银华永泰创新投资有限公司和银华国际资本管理有限公司三家全资子公司。此外，公司设立投资决策委员会作为公司投资业务的最高决策机构，同时下设“主动型股票投资决策、固定收益投资决策、量化和境外投资决策、养老金投资决策、基金中基金投资决策、基金投资顾问投资决策、基础设施基金投资决策”七个专门委员会。公司投资决策委员会负责确定公司投资业务理念、投资政策及投资决策流程和风险管理。</w:t>
      </w:r>
    </w:p>
    <w:p w14:paraId="60DE1523" w14:textId="77777777" w:rsidR="002F3DCE" w:rsidRPr="002F3DCE" w:rsidRDefault="002F3DCE" w:rsidP="002F3DCE">
      <w:pPr>
        <w:pStyle w:val="CM17"/>
        <w:snapToGrid w:val="0"/>
        <w:spacing w:line="360" w:lineRule="auto"/>
        <w:ind w:firstLineChars="200" w:firstLine="480"/>
        <w:rPr>
          <w:rFonts w:ascii="宋体" w:eastAsia="宋体" w:hAnsi="宋体" w:cs="Times New Roman"/>
          <w:kern w:val="2"/>
          <w:szCs w:val="20"/>
        </w:rPr>
      </w:pPr>
      <w:r w:rsidRPr="002F3DCE">
        <w:rPr>
          <w:rFonts w:ascii="宋体" w:eastAsia="宋体" w:hAnsi="宋体" w:cs="Times New Roman" w:hint="eastAsia"/>
          <w:kern w:val="2"/>
          <w:szCs w:val="20"/>
        </w:rPr>
        <w:t>（二）主要人员情况</w:t>
      </w:r>
    </w:p>
    <w:p w14:paraId="42DDDCEC" w14:textId="77777777" w:rsidR="002F3DCE" w:rsidRPr="002F3DCE" w:rsidRDefault="002F3DCE" w:rsidP="002F3DCE">
      <w:pPr>
        <w:pStyle w:val="CM17"/>
        <w:snapToGrid w:val="0"/>
        <w:spacing w:line="360" w:lineRule="auto"/>
        <w:ind w:firstLineChars="200" w:firstLine="480"/>
        <w:rPr>
          <w:rFonts w:ascii="宋体" w:eastAsia="宋体" w:hAnsi="宋体" w:cs="Times New Roman"/>
          <w:kern w:val="2"/>
          <w:szCs w:val="20"/>
        </w:rPr>
      </w:pPr>
      <w:r w:rsidRPr="002F3DCE">
        <w:rPr>
          <w:rFonts w:ascii="宋体" w:eastAsia="宋体" w:hAnsi="宋体" w:cs="Times New Roman" w:hint="eastAsia"/>
          <w:kern w:val="2"/>
          <w:szCs w:val="20"/>
        </w:rPr>
        <w:t>1、基金管理人董事、监事、经理及其他高级管理人员</w:t>
      </w:r>
    </w:p>
    <w:p w14:paraId="54711CAE" w14:textId="77777777" w:rsidR="002F3DCE" w:rsidRPr="002F3DCE" w:rsidRDefault="002F3DCE" w:rsidP="002F3DCE">
      <w:pPr>
        <w:pStyle w:val="CM17"/>
        <w:snapToGrid w:val="0"/>
        <w:spacing w:line="360" w:lineRule="auto"/>
        <w:ind w:firstLineChars="200" w:firstLine="480"/>
        <w:rPr>
          <w:rFonts w:ascii="宋体" w:eastAsia="宋体" w:hAnsi="宋体" w:cs="Times New Roman"/>
          <w:kern w:val="2"/>
          <w:szCs w:val="20"/>
        </w:rPr>
      </w:pPr>
      <w:r w:rsidRPr="002F3DCE">
        <w:rPr>
          <w:rFonts w:ascii="宋体" w:eastAsia="宋体" w:hAnsi="宋体" w:cs="Times New Roman" w:hint="eastAsia"/>
          <w:kern w:val="2"/>
          <w:szCs w:val="20"/>
        </w:rPr>
        <w:t>王珠林先生：董事长，经济学博士。曾任甘肃省职工财经学院财会系讲师，甘肃省证券公司发行部经理，中国蓝星化学工业总公司处长，蓝星清洗股份有限公司董事、副总经理、董事会秘书，西南证券副总裁，中国银河证券副总裁，西南证券董事、总裁；还曾先后担任中国证监会发行审核委员会委员、中国证监会上市公司并购重组审核委员会委员、中国证券业协会投资银行业委员会委员、重庆市证券期货业协会会长、中国证券业协会绿色证券专业委员会副主任委员、中证机构间报价系统股份有限公司董事。现任公司董事长，兼任银华国际资本管理有限公司董事长、银华长安资本管理（北京）有限公司董事、中国上市公司协会并购融资委员会执行主任、中国证券业协会证券行业文化建设委员会顾问、深圳证券交易所理事会创业板股票发行规范委员会委员、中国退役士兵就业创业服务促进会副理事长。</w:t>
      </w:r>
    </w:p>
    <w:p w14:paraId="12661BFA" w14:textId="77777777" w:rsidR="002F3DCE" w:rsidRPr="002F3DCE" w:rsidRDefault="002F3DCE" w:rsidP="002F3DCE">
      <w:pPr>
        <w:pStyle w:val="CM17"/>
        <w:snapToGrid w:val="0"/>
        <w:spacing w:line="360" w:lineRule="auto"/>
        <w:ind w:firstLineChars="200" w:firstLine="480"/>
        <w:rPr>
          <w:rFonts w:ascii="宋体" w:eastAsia="宋体" w:hAnsi="宋体" w:cs="Times New Roman"/>
          <w:kern w:val="2"/>
          <w:szCs w:val="20"/>
        </w:rPr>
      </w:pPr>
      <w:r w:rsidRPr="002F3DCE">
        <w:rPr>
          <w:rFonts w:ascii="宋体" w:eastAsia="宋体" w:hAnsi="宋体" w:cs="Times New Roman" w:hint="eastAsia"/>
          <w:kern w:val="2"/>
          <w:szCs w:val="20"/>
        </w:rPr>
        <w:t>王芳女士：董事，法学硕士、清华五道口金融EMBA。曾任大鹏证券有限责任公司法律支持部经理，第一创业证券有限责任公司首席律师、法律合规部总经理、合规总监、副总裁，第一创业证券股份有限公司副总裁、合规总监、常</w:t>
      </w:r>
      <w:r w:rsidRPr="002F3DCE">
        <w:rPr>
          <w:rFonts w:ascii="宋体" w:eastAsia="宋体" w:hAnsi="宋体" w:cs="Times New Roman" w:hint="eastAsia"/>
          <w:kern w:val="2"/>
          <w:szCs w:val="20"/>
        </w:rPr>
        <w:lastRenderedPageBreak/>
        <w:t>务副总裁。现任第一创业证券股份有限公司董事、总裁，第一创业证券承销保荐有限责任公司执行董事，深圳第一创业创新资本管理有限公司董事。</w:t>
      </w:r>
    </w:p>
    <w:p w14:paraId="724BF459" w14:textId="77777777" w:rsidR="002F3DCE" w:rsidRPr="002F3DCE" w:rsidRDefault="002F3DCE" w:rsidP="002F3DCE">
      <w:pPr>
        <w:pStyle w:val="CM17"/>
        <w:snapToGrid w:val="0"/>
        <w:spacing w:line="360" w:lineRule="auto"/>
        <w:ind w:firstLineChars="200" w:firstLine="480"/>
        <w:rPr>
          <w:rFonts w:ascii="宋体" w:eastAsia="宋体" w:hAnsi="宋体" w:cs="Times New Roman"/>
          <w:kern w:val="2"/>
          <w:szCs w:val="20"/>
        </w:rPr>
      </w:pPr>
      <w:r w:rsidRPr="002F3DCE">
        <w:rPr>
          <w:rFonts w:ascii="宋体" w:eastAsia="宋体" w:hAnsi="宋体" w:cs="Times New Roman" w:hint="eastAsia"/>
          <w:kern w:val="2"/>
          <w:szCs w:val="20"/>
        </w:rPr>
        <w:t>李福春先生：董事，中共党员，硕士研究生，高级工程师。曾任一汽集团公司发展部部长；吉林省经济贸易委员会副主任；吉林省发展和改革委员会副主任；长春市副市长；吉林省发展和改革委员会主任；吉林省政府党组成员、秘书长。现任东北证券股份有限公司党委委员、董事长，东证融汇证券资产管理有限公司董事，中国证券业协会第七届理事会理事，上海证券交易所第六届理事会政策咨询委员会委员，吉林省证券业协会会长、证券经营机构分会会长，吉林省资本市场发展促进会会长。</w:t>
      </w:r>
    </w:p>
    <w:p w14:paraId="66E9F2D1" w14:textId="77777777" w:rsidR="002F3DCE" w:rsidRPr="002F3DCE" w:rsidRDefault="002F3DCE" w:rsidP="002F3DCE">
      <w:pPr>
        <w:pStyle w:val="CM17"/>
        <w:snapToGrid w:val="0"/>
        <w:spacing w:line="360" w:lineRule="auto"/>
        <w:ind w:firstLineChars="200" w:firstLine="480"/>
        <w:rPr>
          <w:rFonts w:ascii="宋体" w:eastAsia="宋体" w:hAnsi="宋体" w:cs="Times New Roman"/>
          <w:kern w:val="2"/>
          <w:szCs w:val="20"/>
        </w:rPr>
      </w:pPr>
      <w:r w:rsidRPr="002F3DCE">
        <w:rPr>
          <w:rFonts w:ascii="宋体" w:eastAsia="宋体" w:hAnsi="宋体" w:cs="Times New Roman" w:hint="eastAsia"/>
          <w:kern w:val="2"/>
          <w:szCs w:val="20"/>
        </w:rPr>
        <w:t>赵天才先生：董事，计算机硕士、工商管理硕士。曾任西南大学图书馆系统管理员，重庆有价证券公司营业部系统管理员，西南证券有限责任公司重庆胜利路证券营业部交易主管、徐州淮海西路证券营业部业务总监、风险管理部总经理助理、合规与风险管理部总经理助理，西南证券股份有限公司合规与风险管理部总经理助理、风险控制部副总经理、风险控制部总经理、职工监事、合规部总经理、风险控制部总经理，西证股权投资有限公司董事、西证创新投资有限公司董事。现任西南证券股份有限公司合规总监、首席风险官。</w:t>
      </w:r>
    </w:p>
    <w:p w14:paraId="381518C3" w14:textId="77777777" w:rsidR="002F3DCE" w:rsidRPr="002F3DCE" w:rsidRDefault="002F3DCE" w:rsidP="002F3DCE">
      <w:pPr>
        <w:pStyle w:val="CM17"/>
        <w:snapToGrid w:val="0"/>
        <w:spacing w:line="360" w:lineRule="auto"/>
        <w:ind w:firstLineChars="200" w:firstLine="480"/>
        <w:rPr>
          <w:rFonts w:ascii="宋体" w:eastAsia="宋体" w:hAnsi="宋体" w:cs="Times New Roman"/>
          <w:kern w:val="2"/>
          <w:szCs w:val="20"/>
        </w:rPr>
      </w:pPr>
      <w:r w:rsidRPr="002F3DCE">
        <w:rPr>
          <w:rFonts w:ascii="宋体" w:eastAsia="宋体" w:hAnsi="宋体" w:cs="Times New Roman" w:hint="eastAsia"/>
          <w:kern w:val="2"/>
          <w:szCs w:val="20"/>
        </w:rPr>
        <w:t>王立新先生：经济学博士，曾任职于中国工商银行总行、中国农村发展信托投资公司、南方证券股份有限公司、南方基金管理有限公司。现任银华基金管理股份有限公司董事、总经理，银华长安资本管理（北京）有限公司董事长，银华国际资本管理有限公司董事，银华基金投资决策委员会主任，兼任中国基金业协会兼职副会长。</w:t>
      </w:r>
    </w:p>
    <w:p w14:paraId="1C63CCB4" w14:textId="77777777" w:rsidR="002F3DCE" w:rsidRPr="002F3DCE" w:rsidRDefault="002F3DCE" w:rsidP="002F3DCE">
      <w:pPr>
        <w:pStyle w:val="CM17"/>
        <w:snapToGrid w:val="0"/>
        <w:spacing w:line="360" w:lineRule="auto"/>
        <w:ind w:firstLineChars="200" w:firstLine="480"/>
        <w:rPr>
          <w:rFonts w:ascii="宋体" w:eastAsia="宋体" w:hAnsi="宋体" w:cs="Times New Roman"/>
          <w:kern w:val="2"/>
          <w:szCs w:val="20"/>
        </w:rPr>
      </w:pPr>
      <w:r w:rsidRPr="002F3DCE">
        <w:rPr>
          <w:rFonts w:ascii="宋体" w:eastAsia="宋体" w:hAnsi="宋体" w:cs="Times New Roman" w:hint="eastAsia"/>
          <w:kern w:val="2"/>
          <w:szCs w:val="20"/>
        </w:rPr>
        <w:t>郑秉文先生：独立董事，经济学博士，教授，博士生导师。曾任中国社会科学院研究生院副院长，欧洲所副所长，拉美所所长和美国所所长，第十三届全国政协委员。现任中国社科院世界社保研究中心主任，中国社会科学院社会保障实验室首席专家，中国社科院大学政府管理学院教授、博士生导师，政府特殊津贴享受者，人力资源和社会保障部咨询专家委员会委员，在北京大学、中国人民大学、国家行政学院、武汉大学等十几所大学担任客座教授。</w:t>
      </w:r>
    </w:p>
    <w:p w14:paraId="3BB0E364" w14:textId="77777777" w:rsidR="002F3DCE" w:rsidRPr="002F3DCE" w:rsidRDefault="002F3DCE" w:rsidP="002F3DCE">
      <w:pPr>
        <w:pStyle w:val="CM17"/>
        <w:snapToGrid w:val="0"/>
        <w:spacing w:line="360" w:lineRule="auto"/>
        <w:ind w:firstLineChars="200" w:firstLine="480"/>
        <w:rPr>
          <w:rFonts w:ascii="宋体" w:eastAsia="宋体" w:hAnsi="宋体" w:cs="Times New Roman"/>
          <w:kern w:val="2"/>
          <w:szCs w:val="20"/>
        </w:rPr>
      </w:pPr>
      <w:r w:rsidRPr="002F3DCE">
        <w:rPr>
          <w:rFonts w:ascii="宋体" w:eastAsia="宋体" w:hAnsi="宋体" w:cs="Times New Roman" w:hint="eastAsia"/>
          <w:kern w:val="2"/>
          <w:szCs w:val="20"/>
        </w:rPr>
        <w:t>刘星先生：独立董事，管理学博士，中国注册会计师协会非执业会员，国务院“政府特殊津贴”获得者，全国先进会计（教育）工作者。曾任中国会计学会理事、中国会计学会教育分会会长、中国会计学会对外学术交流专业委员</w:t>
      </w:r>
      <w:r w:rsidRPr="002F3DCE">
        <w:rPr>
          <w:rFonts w:ascii="宋体" w:eastAsia="宋体" w:hAnsi="宋体" w:cs="Times New Roman" w:hint="eastAsia"/>
          <w:kern w:val="2"/>
          <w:szCs w:val="20"/>
        </w:rPr>
        <w:lastRenderedPageBreak/>
        <w:t>会副主任。现任重庆大学经济与工商管理学院会计学教授、博士生导师，中国企业管理协会常务理事，中国管理现代化研究会常务理事，中国优选法统筹与经济数学研究会常务理事，并担任电科芯片、重庆银行、丽江股份三家上市公司独立董事职务。</w:t>
      </w:r>
    </w:p>
    <w:p w14:paraId="0C10508B" w14:textId="77777777" w:rsidR="002F3DCE" w:rsidRPr="002F3DCE" w:rsidRDefault="002F3DCE" w:rsidP="002F3DCE">
      <w:pPr>
        <w:pStyle w:val="CM17"/>
        <w:snapToGrid w:val="0"/>
        <w:spacing w:line="360" w:lineRule="auto"/>
        <w:ind w:firstLineChars="200" w:firstLine="480"/>
        <w:rPr>
          <w:rFonts w:ascii="宋体" w:eastAsia="宋体" w:hAnsi="宋体" w:cs="Times New Roman"/>
          <w:kern w:val="2"/>
          <w:szCs w:val="20"/>
        </w:rPr>
      </w:pPr>
      <w:r w:rsidRPr="002F3DCE">
        <w:rPr>
          <w:rFonts w:ascii="宋体" w:eastAsia="宋体" w:hAnsi="宋体" w:cs="Times New Roman" w:hint="eastAsia"/>
          <w:kern w:val="2"/>
          <w:szCs w:val="20"/>
        </w:rPr>
        <w:t>封和平先生：独立董事，会计学硕士，中国注册会计师。曾任职于财政部所属中华财务会计咨询公司，并历任安达信华强会计师事务所副总经理、合伙人，普华永道会计师事务所合伙人、北京主管合伙人，摩根士丹利中国区副主席；还曾担任中国证监会发行审核委员会委员、中国证监会上市公司并购重组审核委员会委员、第29届奥运会北京奥组委财务顾问。</w:t>
      </w:r>
    </w:p>
    <w:p w14:paraId="68EE9679" w14:textId="77777777" w:rsidR="002F3DCE" w:rsidRPr="002F3DCE" w:rsidRDefault="002F3DCE" w:rsidP="002F3DCE">
      <w:pPr>
        <w:pStyle w:val="CM17"/>
        <w:snapToGrid w:val="0"/>
        <w:spacing w:line="360" w:lineRule="auto"/>
        <w:ind w:firstLineChars="200" w:firstLine="480"/>
        <w:rPr>
          <w:rFonts w:ascii="宋体" w:eastAsia="宋体" w:hAnsi="宋体" w:cs="Times New Roman"/>
          <w:kern w:val="2"/>
          <w:szCs w:val="20"/>
        </w:rPr>
      </w:pPr>
      <w:r w:rsidRPr="002F3DCE">
        <w:rPr>
          <w:rFonts w:ascii="宋体" w:eastAsia="宋体" w:hAnsi="宋体" w:cs="Times New Roman" w:hint="eastAsia"/>
          <w:kern w:val="2"/>
          <w:szCs w:val="20"/>
        </w:rPr>
        <w:t>李伟东先生：独立董事，法学博士。曾担任平安证券股份有限公司、华泰期货有限公司、福建海西金融租赁有限公司、深圳市美盈森集团股份有限公司、海控南海发展股份有限公司、深圳市联建光电股份有限公司、深圳市朗科科技股份有限公司独立董事职务。现任广东海派律师事务所主任，全面负责律师事务所管理，兼任中国国际经济贸易仲裁委员会和深圳国际仲裁院(华南国际经济贸易仲裁院）仲裁员、平潭综合试验区海峡两岸仲裁委员会仲裁员，以及陆金所控股、深圳市盐田港股份有限公司、远航港口发展有限公司、中国中药控股有限公司、深圳市英唐智能控制股份有限公司等上市公司独立董事职务。</w:t>
      </w:r>
    </w:p>
    <w:p w14:paraId="240F7FB8" w14:textId="77777777" w:rsidR="002F3DCE" w:rsidRPr="002F3DCE" w:rsidRDefault="002F3DCE" w:rsidP="002F3DCE">
      <w:pPr>
        <w:pStyle w:val="CM17"/>
        <w:snapToGrid w:val="0"/>
        <w:spacing w:line="360" w:lineRule="auto"/>
        <w:ind w:firstLineChars="200" w:firstLine="480"/>
        <w:rPr>
          <w:rFonts w:ascii="宋体" w:eastAsia="宋体" w:hAnsi="宋体" w:cs="Times New Roman"/>
          <w:kern w:val="2"/>
          <w:szCs w:val="20"/>
        </w:rPr>
      </w:pPr>
      <w:r w:rsidRPr="002F3DCE">
        <w:rPr>
          <w:rFonts w:ascii="宋体" w:eastAsia="宋体" w:hAnsi="宋体" w:cs="Times New Roman" w:hint="eastAsia"/>
          <w:kern w:val="2"/>
          <w:szCs w:val="20"/>
        </w:rPr>
        <w:t>马东军先生：监事会主席，研究生，注册会计师、注册评估师。曾任天勤会计师事务所和中天勤会计师事务所合伙人，深圳同盛创业投资管理有限公司合伙人，日域（美国）国际工程有限公司财务部国际财务总监，深圳发展银行（现更名为平安银行）总行稽核部副总经理（主持工作），第一创业证券股份有限公司计划财务部负责人，第一创业证券股份有限公司董事会秘书，兼任第一创业证券承销保荐有限责任公司董事、第一创业期货有限责任公司监事、第一创业期货有限责任公司董事等职务。现任第一创业证券股份有限公司副总裁兼财务总监、第一创业投资管理有限公司董事、深圳第一创业创新资本管理有限公司董事长兼总经理。</w:t>
      </w:r>
    </w:p>
    <w:p w14:paraId="01A36E92" w14:textId="77777777" w:rsidR="002F3DCE" w:rsidRPr="002F3DCE" w:rsidRDefault="002F3DCE" w:rsidP="002F3DCE">
      <w:pPr>
        <w:pStyle w:val="CM17"/>
        <w:snapToGrid w:val="0"/>
        <w:spacing w:line="360" w:lineRule="auto"/>
        <w:ind w:firstLineChars="200" w:firstLine="480"/>
        <w:rPr>
          <w:rFonts w:ascii="宋体" w:eastAsia="宋体" w:hAnsi="宋体" w:cs="Times New Roman"/>
          <w:kern w:val="2"/>
          <w:szCs w:val="20"/>
        </w:rPr>
      </w:pPr>
      <w:r w:rsidRPr="002F3DCE">
        <w:rPr>
          <w:rFonts w:ascii="宋体" w:eastAsia="宋体" w:hAnsi="宋体" w:cs="Times New Roman" w:hint="eastAsia"/>
          <w:kern w:val="2"/>
          <w:szCs w:val="20"/>
        </w:rPr>
        <w:t>李军先生：监事，管理学博士，中共党员。曾任西南证券有限责任公司成都营业部总经理助理、业务总监、经纪业务部副总经理，重庆市国资委副处长、处长兼重庆渝富资产经营管理集团有限公司外部董事，西南期货有限公司董事，公司经纪业务事业部执行总裁兼运营管理部总经理，西证创新投资有限</w:t>
      </w:r>
      <w:r w:rsidRPr="002F3DCE">
        <w:rPr>
          <w:rFonts w:ascii="宋体" w:eastAsia="宋体" w:hAnsi="宋体" w:cs="Times New Roman" w:hint="eastAsia"/>
          <w:kern w:val="2"/>
          <w:szCs w:val="20"/>
        </w:rPr>
        <w:lastRenderedPageBreak/>
        <w:t>公司董事。现任西南证券股份有限公司党委委员、董事、副总经理、董事会秘书，重庆市证券期货业协会会长。</w:t>
      </w:r>
    </w:p>
    <w:p w14:paraId="75D57768" w14:textId="77777777" w:rsidR="002F3DCE" w:rsidRPr="002F3DCE" w:rsidRDefault="002F3DCE" w:rsidP="002F3DCE">
      <w:pPr>
        <w:pStyle w:val="CM17"/>
        <w:snapToGrid w:val="0"/>
        <w:spacing w:line="360" w:lineRule="auto"/>
        <w:ind w:firstLineChars="200" w:firstLine="480"/>
        <w:rPr>
          <w:rFonts w:ascii="宋体" w:eastAsia="宋体" w:hAnsi="宋体" w:cs="Times New Roman"/>
          <w:kern w:val="2"/>
          <w:szCs w:val="20"/>
        </w:rPr>
      </w:pPr>
      <w:r w:rsidRPr="002F3DCE">
        <w:rPr>
          <w:rFonts w:ascii="宋体" w:eastAsia="宋体" w:hAnsi="宋体" w:cs="Times New Roman" w:hint="eastAsia"/>
          <w:kern w:val="2"/>
          <w:szCs w:val="20"/>
        </w:rPr>
        <w:t>龚飒女士：监事，硕士学位，注册会计师，高级会计师。曾任湘财证券有限责任公司分支机构财务负责人，泰达荷银基金管理有限公司基金事业部副总经理（主持工作），湘财证券有限责任公司稽核经理，交银施罗德基金管理有限公司运营部总经理，银华基金管理股份有限公司运作保障部总监、机构业务部总监。现任公司业务副总经理兼养老金业务总部总监。</w:t>
      </w:r>
    </w:p>
    <w:p w14:paraId="1952BC9B" w14:textId="77777777" w:rsidR="002F3DCE" w:rsidRPr="002F3DCE" w:rsidRDefault="002F3DCE" w:rsidP="002F3DCE">
      <w:pPr>
        <w:pStyle w:val="CM17"/>
        <w:snapToGrid w:val="0"/>
        <w:spacing w:line="360" w:lineRule="auto"/>
        <w:ind w:firstLineChars="200" w:firstLine="480"/>
        <w:rPr>
          <w:rFonts w:ascii="宋体" w:eastAsia="宋体" w:hAnsi="宋体" w:cs="Times New Roman"/>
          <w:kern w:val="2"/>
          <w:szCs w:val="20"/>
        </w:rPr>
      </w:pPr>
      <w:r w:rsidRPr="002F3DCE">
        <w:rPr>
          <w:rFonts w:ascii="宋体" w:eastAsia="宋体" w:hAnsi="宋体" w:cs="Times New Roman" w:hint="eastAsia"/>
          <w:kern w:val="2"/>
          <w:szCs w:val="20"/>
        </w:rPr>
        <w:t>杜永军先生：监事，大专学历。曾任五洲大酒店财务部主管，北京赛特饭店财务部主管、主任、经理助理、副经理、经理，银华基金管理股份有限公司财务行政部总监助理。现任公司财务行政部副总监。</w:t>
      </w:r>
    </w:p>
    <w:p w14:paraId="161A5403" w14:textId="77777777" w:rsidR="002F3DCE" w:rsidRPr="002F3DCE" w:rsidRDefault="002F3DCE" w:rsidP="002F3DCE">
      <w:pPr>
        <w:pStyle w:val="CM17"/>
        <w:snapToGrid w:val="0"/>
        <w:spacing w:line="360" w:lineRule="auto"/>
        <w:ind w:firstLineChars="200" w:firstLine="480"/>
        <w:rPr>
          <w:rFonts w:ascii="宋体" w:eastAsia="宋体" w:hAnsi="宋体" w:cs="Times New Roman"/>
          <w:kern w:val="2"/>
          <w:szCs w:val="20"/>
        </w:rPr>
      </w:pPr>
      <w:r w:rsidRPr="002F3DCE">
        <w:rPr>
          <w:rFonts w:ascii="宋体" w:eastAsia="宋体" w:hAnsi="宋体" w:cs="Times New Roman" w:hint="eastAsia"/>
          <w:kern w:val="2"/>
          <w:szCs w:val="20"/>
        </w:rPr>
        <w:t>徐波先生：副总经理，北京大学工商管理硕士。自2002年起，先后任职于全国社会保障基金理事会、中国文化产业投资母基金管理有限公司。现任公司副总经理、投资决策委员会副主任。</w:t>
      </w:r>
    </w:p>
    <w:p w14:paraId="0B15B86E" w14:textId="77777777" w:rsidR="002F3DCE" w:rsidRPr="002F3DCE" w:rsidRDefault="002F3DCE" w:rsidP="002F3DCE">
      <w:pPr>
        <w:pStyle w:val="CM17"/>
        <w:snapToGrid w:val="0"/>
        <w:spacing w:line="360" w:lineRule="auto"/>
        <w:ind w:firstLineChars="200" w:firstLine="480"/>
        <w:rPr>
          <w:rFonts w:ascii="宋体" w:eastAsia="宋体" w:hAnsi="宋体" w:cs="Times New Roman"/>
          <w:kern w:val="2"/>
          <w:szCs w:val="20"/>
        </w:rPr>
      </w:pPr>
      <w:r w:rsidRPr="002F3DCE">
        <w:rPr>
          <w:rFonts w:ascii="宋体" w:eastAsia="宋体" w:hAnsi="宋体" w:cs="Times New Roman" w:hint="eastAsia"/>
          <w:kern w:val="2"/>
          <w:szCs w:val="20"/>
        </w:rPr>
        <w:t>凌宇翔先生：副总经理，工商管理硕士。曾任职于机械工业部、西南证券有限责任公司。2001年起任银华基金管理有限公司督察长。现任公司副总经理。</w:t>
      </w:r>
    </w:p>
    <w:p w14:paraId="5B51166C" w14:textId="77777777" w:rsidR="002F3DCE" w:rsidRPr="002F3DCE" w:rsidRDefault="002F3DCE" w:rsidP="002F3DCE">
      <w:pPr>
        <w:pStyle w:val="CM17"/>
        <w:snapToGrid w:val="0"/>
        <w:spacing w:line="360" w:lineRule="auto"/>
        <w:ind w:firstLineChars="200" w:firstLine="480"/>
        <w:rPr>
          <w:rFonts w:ascii="宋体" w:eastAsia="宋体" w:hAnsi="宋体" w:cs="Times New Roman"/>
          <w:kern w:val="2"/>
          <w:szCs w:val="20"/>
        </w:rPr>
      </w:pPr>
      <w:r w:rsidRPr="002F3DCE">
        <w:rPr>
          <w:rFonts w:ascii="宋体" w:eastAsia="宋体" w:hAnsi="宋体" w:cs="Times New Roman" w:hint="eastAsia"/>
          <w:kern w:val="2"/>
          <w:szCs w:val="20"/>
        </w:rPr>
        <w:t>周毅先生：副总经理，CFA，硕士学位，国家特聘专家。现任银华基金副总经理、银华国际资本总经理，分管指数基金投资、数量化投资、境外投资及国际业务。周毅先生毕业于中国北京大学、美国南卡罗莱纳大学、美国约翰霍普金斯大学，拥有23年证券从业经验。回国加入银华基金前，先后在美国普华永道金融部，巴克莱资本，巴克莱亚太集团等金融机构从事数量化投资工作。</w:t>
      </w:r>
    </w:p>
    <w:p w14:paraId="50D60B7E" w14:textId="77777777" w:rsidR="002F3DCE" w:rsidRPr="002F3DCE" w:rsidRDefault="002F3DCE" w:rsidP="002F3DCE">
      <w:pPr>
        <w:pStyle w:val="CM17"/>
        <w:snapToGrid w:val="0"/>
        <w:spacing w:line="360" w:lineRule="auto"/>
        <w:ind w:firstLineChars="200" w:firstLine="480"/>
        <w:rPr>
          <w:rFonts w:ascii="宋体" w:eastAsia="宋体" w:hAnsi="宋体" w:cs="Times New Roman"/>
          <w:kern w:val="2"/>
          <w:szCs w:val="20"/>
        </w:rPr>
      </w:pPr>
      <w:r w:rsidRPr="002F3DCE">
        <w:rPr>
          <w:rFonts w:ascii="宋体" w:eastAsia="宋体" w:hAnsi="宋体" w:cs="Times New Roman" w:hint="eastAsia"/>
          <w:kern w:val="2"/>
          <w:szCs w:val="20"/>
        </w:rPr>
        <w:t>杨文辉先生：督察长，法学博士。曾任职于北京市水利经济发展有限公司、中国证监会。现任银华基金管理股份有限公司督察长，兼任银华长安资本管理（北京）有限公司董事、银华国际资本管理有限公司董事，深圳市银华公益基金会理事长。</w:t>
      </w:r>
    </w:p>
    <w:p w14:paraId="3E83CDF2" w14:textId="77777777" w:rsidR="002F3DCE" w:rsidRPr="002F3DCE" w:rsidRDefault="002F3DCE" w:rsidP="002F3DCE">
      <w:pPr>
        <w:pStyle w:val="CM17"/>
        <w:snapToGrid w:val="0"/>
        <w:spacing w:line="360" w:lineRule="auto"/>
        <w:ind w:firstLineChars="200" w:firstLine="480"/>
        <w:rPr>
          <w:rFonts w:ascii="宋体" w:eastAsia="宋体" w:hAnsi="宋体" w:cs="Times New Roman"/>
          <w:kern w:val="2"/>
          <w:szCs w:val="20"/>
        </w:rPr>
      </w:pPr>
      <w:r w:rsidRPr="002F3DCE">
        <w:rPr>
          <w:rFonts w:ascii="宋体" w:eastAsia="宋体" w:hAnsi="宋体" w:cs="Times New Roman" w:hint="eastAsia"/>
          <w:kern w:val="2"/>
          <w:szCs w:val="20"/>
        </w:rPr>
        <w:t>苏薪茗先生：副总经理，博士研究生，获得中国政法大学法学学士、清华大学法律硕士、英国剑桥大学哲学硕士、中国社会科学院研究生院经济学博士（金融学专业）学位。曾先后担任福建日报社要闻采访部记者，中国银监会政策法规部创新处主任科员，中国银监会创新监管部综合处副处长，中国银监会创新监管部产品创新处处长，中国银监会湖北银监局副局长。现任公司副总经</w:t>
      </w:r>
      <w:r w:rsidRPr="002F3DCE">
        <w:rPr>
          <w:rFonts w:ascii="宋体" w:eastAsia="宋体" w:hAnsi="宋体" w:cs="Times New Roman" w:hint="eastAsia"/>
          <w:kern w:val="2"/>
          <w:szCs w:val="20"/>
        </w:rPr>
        <w:lastRenderedPageBreak/>
        <w:t>理、银华长安资本管理（北京）有限公司董事、银华国际资本管理有限公司董事。</w:t>
      </w:r>
    </w:p>
    <w:p w14:paraId="61808957" w14:textId="77777777" w:rsidR="002F3DCE" w:rsidRPr="002F3DCE" w:rsidRDefault="002F3DCE" w:rsidP="002F3DCE">
      <w:pPr>
        <w:pStyle w:val="CM17"/>
        <w:snapToGrid w:val="0"/>
        <w:spacing w:line="360" w:lineRule="auto"/>
        <w:ind w:firstLineChars="200" w:firstLine="480"/>
        <w:rPr>
          <w:rFonts w:ascii="宋体" w:eastAsia="宋体" w:hAnsi="宋体" w:cs="Times New Roman"/>
          <w:kern w:val="2"/>
          <w:szCs w:val="20"/>
        </w:rPr>
      </w:pPr>
      <w:r w:rsidRPr="002F3DCE">
        <w:rPr>
          <w:rFonts w:ascii="宋体" w:eastAsia="宋体" w:hAnsi="宋体" w:cs="Times New Roman" w:hint="eastAsia"/>
          <w:kern w:val="2"/>
          <w:szCs w:val="20"/>
        </w:rPr>
        <w:t>邓列军先生：首席信息官，清华大学软件工程硕士。曾在汇添富基金管理股份有限公司先后任职信息技术部总监助理、副总监、总监，浦银安盛基金管理有限公司任职副总经理兼首席信息官。现任银华基金管理股份有限公司首席信息官。</w:t>
      </w:r>
    </w:p>
    <w:p w14:paraId="1B21B2F0" w14:textId="77777777" w:rsidR="002F3DCE" w:rsidRPr="002F3DCE" w:rsidRDefault="002F3DCE" w:rsidP="002F3DCE">
      <w:pPr>
        <w:pStyle w:val="CM17"/>
        <w:snapToGrid w:val="0"/>
        <w:spacing w:line="360" w:lineRule="auto"/>
        <w:ind w:firstLineChars="200" w:firstLine="480"/>
        <w:rPr>
          <w:rFonts w:ascii="宋体" w:eastAsia="宋体" w:hAnsi="宋体" w:cs="Times New Roman"/>
          <w:kern w:val="2"/>
          <w:szCs w:val="20"/>
        </w:rPr>
      </w:pPr>
      <w:r w:rsidRPr="002F3DCE">
        <w:rPr>
          <w:rFonts w:ascii="宋体" w:eastAsia="宋体" w:hAnsi="宋体" w:cs="Times New Roman" w:hint="eastAsia"/>
          <w:kern w:val="2"/>
          <w:szCs w:val="20"/>
        </w:rPr>
        <w:t>郑蓓雷女士：财务负责人，工商管理硕士。曾就职于中国贸促会北京分会、搜狐公司、中国网通公司、西南证券、红塔证券。2011年6月加入银华基金，历任人力资源部副总监、总监、总经理助理。现任公司财务负责人兼人力资源部总监。</w:t>
      </w:r>
    </w:p>
    <w:p w14:paraId="318FCD9E" w14:textId="76DA5CFA" w:rsidR="00747DF7" w:rsidRPr="002F3DCE" w:rsidRDefault="002F3DCE" w:rsidP="002F3DCE">
      <w:pPr>
        <w:pStyle w:val="CM17"/>
        <w:snapToGrid w:val="0"/>
        <w:spacing w:line="360" w:lineRule="auto"/>
        <w:ind w:firstLineChars="200" w:firstLine="480"/>
        <w:jc w:val="both"/>
        <w:rPr>
          <w:rFonts w:ascii="宋体" w:eastAsia="宋体" w:hAnsi="宋体" w:cs="Times New Roman"/>
          <w:bCs/>
          <w:kern w:val="2"/>
        </w:rPr>
      </w:pPr>
      <w:r w:rsidRPr="002F3DCE">
        <w:rPr>
          <w:rFonts w:ascii="宋体" w:eastAsia="宋体" w:hAnsi="宋体" w:cs="Times New Roman" w:hint="eastAsia"/>
          <w:kern w:val="2"/>
          <w:szCs w:val="20"/>
        </w:rPr>
        <w:t>王勇先生：董事会秘书，管理学博士。曾任职于西南证券股份有限公司。现任公司董事会秘书、投资银行部总监、党委办公室（党群工作部）主任、公司办公室副总监，兼任银华国际资本管理有限公司董事、副总经理，银华长安资本管理（北京）有限公司监事、深圳银华永泰创新投资有限公司监事。</w:t>
      </w:r>
    </w:p>
    <w:p w14:paraId="6D1C451E" w14:textId="77777777" w:rsidR="0038268F" w:rsidRDefault="00747DF7" w:rsidP="00790309">
      <w:pPr>
        <w:pStyle w:val="CM17"/>
        <w:snapToGrid w:val="0"/>
        <w:spacing w:line="360" w:lineRule="auto"/>
        <w:ind w:firstLineChars="200" w:firstLine="480"/>
        <w:jc w:val="both"/>
        <w:rPr>
          <w:rFonts w:ascii="宋体" w:eastAsia="宋体" w:hAnsi="宋体" w:cs="Times New Roman"/>
          <w:bCs/>
          <w:kern w:val="2"/>
        </w:rPr>
      </w:pPr>
      <w:r>
        <w:rPr>
          <w:rFonts w:ascii="宋体" w:eastAsia="宋体" w:hAnsi="宋体" w:cs="Times New Roman" w:hint="eastAsia"/>
          <w:bCs/>
          <w:kern w:val="2"/>
        </w:rPr>
        <w:t>2、本基金拟任基金经理</w:t>
      </w:r>
    </w:p>
    <w:p w14:paraId="326AB6E1" w14:textId="3F875DBA" w:rsidR="00790309" w:rsidRPr="00790309" w:rsidRDefault="00FF417A" w:rsidP="00790309">
      <w:pPr>
        <w:pStyle w:val="CM17"/>
        <w:snapToGrid w:val="0"/>
        <w:spacing w:line="360" w:lineRule="auto"/>
        <w:ind w:firstLineChars="200" w:firstLine="480"/>
        <w:jc w:val="both"/>
        <w:rPr>
          <w:rFonts w:ascii="宋体" w:eastAsia="宋体" w:hAnsi="宋体" w:cs="Times New Roman"/>
          <w:bCs/>
          <w:kern w:val="2"/>
        </w:rPr>
      </w:pPr>
      <w:bookmarkStart w:id="27" w:name="OLE_LINK50"/>
      <w:bookmarkStart w:id="28" w:name="OLE_LINK51"/>
      <w:r>
        <w:rPr>
          <w:rFonts w:ascii="宋体" w:eastAsia="宋体" w:hAnsi="宋体" w:cs="Times New Roman" w:hint="eastAsia"/>
          <w:bCs/>
          <w:kern w:val="2"/>
        </w:rPr>
        <w:t>王帅</w:t>
      </w:r>
      <w:r w:rsidR="00DC06BA">
        <w:rPr>
          <w:rFonts w:ascii="宋体" w:eastAsia="宋体" w:hAnsi="宋体" w:cs="Times New Roman" w:hint="eastAsia"/>
          <w:bCs/>
          <w:kern w:val="2"/>
        </w:rPr>
        <w:t>先生</w:t>
      </w:r>
      <w:r w:rsidR="00476668" w:rsidRPr="00790309">
        <w:rPr>
          <w:rFonts w:ascii="宋体" w:eastAsia="宋体" w:hAnsi="宋体" w:cs="Times New Roman" w:hint="eastAsia"/>
          <w:bCs/>
          <w:kern w:val="2"/>
        </w:rPr>
        <w:t>：</w:t>
      </w:r>
      <w:r w:rsidR="002F3DCE" w:rsidRPr="002F3DCE">
        <w:rPr>
          <w:rFonts w:ascii="宋体" w:eastAsia="宋体" w:hAnsi="宋体" w:cs="Times New Roman" w:hint="eastAsia"/>
          <w:bCs/>
          <w:kern w:val="2"/>
        </w:rPr>
        <w:t>硕士学位。曾就职于泰康资产管理有限责任公司、工银瑞信基金管理有限公司、工银瑞信投资管理有限公司，2018年8月加入银华基金，历任量化投资部基金经理助理，现任量化投资部基金经理。自2019年6月28日至2021年2月25日担任银华深证100交易型开放式指数证券投资基金基金经理，自2019年11月1日至2021年5月19日兼任银华中证研发创新100交易型开放式指数证券投资基金基金经理，自2019年12月6日至2021年2月25日兼任银华巨潮小盘价值交易型开放式指数证券投资基金基金经理，自2020年1月22日起兼任银华中证5G通信主题交易型开放式指数证券投资基金基金经理，自2020年3月20日起兼任银华中证创新药产业交易型开放式指数证券投资基金基金经理，自2020年5月28日至2023年4月12日兼任银华中证5G通信主题交易型开放式指数证券投资基金联接基金基金经理，自2020年12月10日至2022年6月20日兼任银华中证农业主题交易型开放式指数证券投资基金基金经理，自2021年1月5日起兼任银华中证光伏产业交易型开放式指数证券投资基金基金经理，自2021年2月3日至2022年6月20日兼任银华巨潮小盘价值交易型开放式指数证券投资基金发起式联接基金基金经理，自2021年2月4日起兼任银华中证沪港深500交易型开放式指数证券投资基金基金经理，自</w:t>
      </w:r>
      <w:r w:rsidR="002F3DCE" w:rsidRPr="002F3DCE">
        <w:rPr>
          <w:rFonts w:ascii="宋体" w:eastAsia="宋体" w:hAnsi="宋体" w:cs="Times New Roman" w:hint="eastAsia"/>
          <w:bCs/>
          <w:kern w:val="2"/>
        </w:rPr>
        <w:lastRenderedPageBreak/>
        <w:t>2021年2月9日至2022年6月20日兼任银华中证影视主题交易型开放式指数证券投资基金基金经理，自2021年3月3日起兼任银华中证全指证券公司交易型开放式指数证券投资基金基金经理，自2021年3月10日至2022年6月20日兼任银华中证有色金属交易型开放式指数证券投资基金基金经理，自2021年4月29日起兼任银华中证基建交易型开放式指数证券投资基金基金经理，自2021年6月29日起兼任银华中证科创创业50交易型开放式指数证券投资基金基金经理，自2021年10月26日至2023年4月6日兼任银华中证细分食品饮料产业主题交易型开放式指数证券投资基金基金经理，自2021年12月7日至2023年7月28日兼任银华中证细分化工产业主题交易型开放式指数证券投资基金基金经理，自2021年12月30日起兼任银华中证创新药产业交易型开放式指数证券投资基金发起式联接基金基金经理，自2022年1月4日至2024年1月23日兼任银华中证现代物流交易型开放式指数证券投资基金基金经理，自2022年2月18日至2023年3月17日兼任银华中证消费电子主题交易型开放式指数证券投资基金基金经理，自2022年6月30日至2024年1月23日兼任银华中证全指电力公用事业交易型开放式指数证券投资基金基金经理，自2022年9月1日起兼任银华沪深300成长交易型开放式指数证券投资基金基金经理，自2022年11月24日至2024年1月23日兼任银华中证1000增强策略交易型开放式指数证券投资基金基金经理，自2022年12月29日至2024年1月23日兼任银华沪深300价值交易型开放式指数证券投资基金基金经理，自2023年6月26日起兼任银华中证国新央企科技引领交易型开放式指数证券投资基金基金经理，自2023年8月23日起兼任银华中证800增强策略交易型开放式指数证券投资基金基金经理，自2024年1月25日起兼任银华中证国新央企科技引领交易型开放式指数证券投资基金联接基金基金经理，自2024年3月6日起兼任银华中证A50交易型开放式指数证券投资基金基金经理，自2024年5月22日起兼任银华中证A50交易型开放式指数证券投资基金联接基金基金经理，自2025年1月17日起兼任银华上证180交易型开放式指数证券投资基金基金经理，自2025年1月17日至2025年2月4日兼任银华上证180指数型发起式证券投资基金基金经理，自2025年2月5日起兼任银华上证180交易型开放式指数证券投资基金发起式联接基金基金经理，自2025年4月9日起兼任银华国证自由现金流交易型开放式指数证券投资基金基金经理，自2025年7月8日起兼任银华国证自由现金流交易型开放式指数证券投资基金联接基金基金经理。</w:t>
      </w:r>
    </w:p>
    <w:bookmarkEnd w:id="27"/>
    <w:bookmarkEnd w:id="28"/>
    <w:p w14:paraId="1A0FBA3A" w14:textId="42F6B605" w:rsidR="00747DF7" w:rsidRDefault="00747DF7" w:rsidP="00747DF7">
      <w:pPr>
        <w:pStyle w:val="20"/>
        <w:adjustRightInd w:val="0"/>
        <w:snapToGrid w:val="0"/>
        <w:ind w:firstLine="480"/>
        <w:rPr>
          <w:bCs/>
          <w:sz w:val="24"/>
          <w:szCs w:val="24"/>
        </w:rPr>
      </w:pPr>
      <w:r>
        <w:rPr>
          <w:rFonts w:hint="eastAsia"/>
          <w:bCs/>
          <w:sz w:val="24"/>
          <w:szCs w:val="24"/>
        </w:rPr>
        <w:t>3、公司投资决策委员会成员</w:t>
      </w:r>
    </w:p>
    <w:p w14:paraId="03A953AA" w14:textId="77777777" w:rsidR="00AE3B0D" w:rsidRPr="00AE3B0D" w:rsidRDefault="00AE3B0D" w:rsidP="00AE3B0D">
      <w:pPr>
        <w:pStyle w:val="20"/>
        <w:ind w:firstLine="480"/>
        <w:rPr>
          <w:bCs/>
          <w:sz w:val="24"/>
        </w:rPr>
      </w:pPr>
      <w:r w:rsidRPr="00AE3B0D">
        <w:rPr>
          <w:rFonts w:hint="eastAsia"/>
          <w:bCs/>
          <w:sz w:val="24"/>
        </w:rPr>
        <w:lastRenderedPageBreak/>
        <w:t>委员会主任：王立新</w:t>
      </w:r>
    </w:p>
    <w:p w14:paraId="11FB5DE7" w14:textId="77777777" w:rsidR="00AE3B0D" w:rsidRPr="00AE3B0D" w:rsidRDefault="00AE3B0D" w:rsidP="00AE3B0D">
      <w:pPr>
        <w:pStyle w:val="20"/>
        <w:ind w:firstLine="480"/>
        <w:rPr>
          <w:rFonts w:hint="eastAsia"/>
          <w:bCs/>
          <w:sz w:val="24"/>
        </w:rPr>
      </w:pPr>
      <w:r w:rsidRPr="00AE3B0D">
        <w:rPr>
          <w:rFonts w:hint="eastAsia"/>
          <w:bCs/>
          <w:sz w:val="24"/>
        </w:rPr>
        <w:t>委员会副主任：徐波</w:t>
      </w:r>
    </w:p>
    <w:p w14:paraId="734E22C8" w14:textId="77777777" w:rsidR="00AE3B0D" w:rsidRPr="00AE3B0D" w:rsidRDefault="00AE3B0D" w:rsidP="00AE3B0D">
      <w:pPr>
        <w:pStyle w:val="20"/>
        <w:ind w:firstLine="480"/>
        <w:rPr>
          <w:rFonts w:hint="eastAsia"/>
          <w:bCs/>
          <w:sz w:val="24"/>
        </w:rPr>
      </w:pPr>
      <w:r w:rsidRPr="00AE3B0D">
        <w:rPr>
          <w:rFonts w:hint="eastAsia"/>
          <w:bCs/>
          <w:sz w:val="24"/>
        </w:rPr>
        <w:t>委员：周毅、王华、李晓星、吴伟、于蕾、董岚枫、杨宇、倪明</w:t>
      </w:r>
    </w:p>
    <w:p w14:paraId="179957E2" w14:textId="77777777" w:rsidR="00AE3B0D" w:rsidRPr="00AE3B0D" w:rsidRDefault="00AE3B0D" w:rsidP="00AE3B0D">
      <w:pPr>
        <w:pStyle w:val="20"/>
        <w:ind w:firstLine="480"/>
        <w:rPr>
          <w:rFonts w:hint="eastAsia"/>
          <w:bCs/>
          <w:sz w:val="24"/>
        </w:rPr>
      </w:pPr>
      <w:r w:rsidRPr="00AE3B0D">
        <w:rPr>
          <w:rFonts w:hint="eastAsia"/>
          <w:bCs/>
          <w:sz w:val="24"/>
        </w:rPr>
        <w:t>王立新先生：详见主要人员情况。</w:t>
      </w:r>
    </w:p>
    <w:p w14:paraId="70CD2B13" w14:textId="77777777" w:rsidR="00AE3B0D" w:rsidRPr="00AE3B0D" w:rsidRDefault="00AE3B0D" w:rsidP="00AE3B0D">
      <w:pPr>
        <w:pStyle w:val="20"/>
        <w:ind w:firstLine="480"/>
        <w:rPr>
          <w:rFonts w:hint="eastAsia"/>
          <w:bCs/>
          <w:sz w:val="24"/>
        </w:rPr>
      </w:pPr>
      <w:r w:rsidRPr="00AE3B0D">
        <w:rPr>
          <w:rFonts w:hint="eastAsia"/>
          <w:bCs/>
          <w:sz w:val="24"/>
        </w:rPr>
        <w:t>徐波先生：详见主要人员情况。</w:t>
      </w:r>
    </w:p>
    <w:p w14:paraId="09FA7E07" w14:textId="77777777" w:rsidR="00AE3B0D" w:rsidRPr="00AE3B0D" w:rsidRDefault="00AE3B0D" w:rsidP="00AE3B0D">
      <w:pPr>
        <w:pStyle w:val="20"/>
        <w:ind w:firstLine="480"/>
        <w:rPr>
          <w:rFonts w:hint="eastAsia"/>
          <w:bCs/>
          <w:sz w:val="24"/>
        </w:rPr>
      </w:pPr>
      <w:r w:rsidRPr="00AE3B0D">
        <w:rPr>
          <w:rFonts w:hint="eastAsia"/>
          <w:bCs/>
          <w:sz w:val="24"/>
        </w:rPr>
        <w:t>周毅先生：详见主要人员情况。</w:t>
      </w:r>
    </w:p>
    <w:p w14:paraId="69C18B69" w14:textId="77777777" w:rsidR="00AE3B0D" w:rsidRPr="00AE3B0D" w:rsidRDefault="00AE3B0D" w:rsidP="00AE3B0D">
      <w:pPr>
        <w:pStyle w:val="20"/>
        <w:ind w:firstLine="480"/>
        <w:rPr>
          <w:rFonts w:hint="eastAsia"/>
          <w:bCs/>
          <w:sz w:val="24"/>
        </w:rPr>
      </w:pPr>
      <w:r w:rsidRPr="00AE3B0D">
        <w:rPr>
          <w:rFonts w:hint="eastAsia"/>
          <w:bCs/>
          <w:sz w:val="24"/>
        </w:rPr>
        <w:t>王华先生：高级董事总经理，经济学硕士。曾就职于西南证券有限责任公司。 2000年10月加入银华基金（筹），历任基金经理、总经理助理，现任公司业务副总经理、主动型股票投资决策专门委员会联席主任、A股基金投资总监、多元策略投资管理部总监、社保和基本养老组合投资经理、投资经理。</w:t>
      </w:r>
    </w:p>
    <w:p w14:paraId="410E362D" w14:textId="77777777" w:rsidR="00AE3B0D" w:rsidRPr="00AE3B0D" w:rsidRDefault="00AE3B0D" w:rsidP="00AE3B0D">
      <w:pPr>
        <w:pStyle w:val="20"/>
        <w:ind w:firstLine="480"/>
        <w:rPr>
          <w:rFonts w:hint="eastAsia"/>
          <w:bCs/>
          <w:sz w:val="24"/>
        </w:rPr>
      </w:pPr>
      <w:r w:rsidRPr="00AE3B0D">
        <w:rPr>
          <w:rFonts w:hint="eastAsia"/>
          <w:bCs/>
          <w:sz w:val="24"/>
        </w:rPr>
        <w:t>李晓星先生：北京理工大学学士、英国帝国理工大学工程硕士、英国剑桥大学工学硕士。曾就职于ABB（中国）有限公司。2011年3月加入银华基金，历任研究部助理行业研究员、投资管理部基金经理助理、投资管理一部基金经理，现任公司业务副总经理、权益投资管理部投资总监、基金经理、投资经理（社保基本养老）、主动型股票投资决策专门委员会联席主任。</w:t>
      </w:r>
    </w:p>
    <w:p w14:paraId="59413FED" w14:textId="77777777" w:rsidR="00AE3B0D" w:rsidRPr="00AE3B0D" w:rsidRDefault="00AE3B0D" w:rsidP="00AE3B0D">
      <w:pPr>
        <w:pStyle w:val="20"/>
        <w:ind w:firstLine="480"/>
        <w:rPr>
          <w:rFonts w:hint="eastAsia"/>
          <w:bCs/>
          <w:sz w:val="24"/>
        </w:rPr>
      </w:pPr>
      <w:r w:rsidRPr="00AE3B0D">
        <w:rPr>
          <w:rFonts w:hint="eastAsia"/>
          <w:bCs/>
          <w:sz w:val="24"/>
        </w:rPr>
        <w:t>吴伟先生：金融学硕士。曾先后担任中国银行北京市分行副科长、卢森堡分行副经理，中国民生银行资产管理部副总经理、民生理财有限责任公司副总裁等职务。现任公司业务副总经理。</w:t>
      </w:r>
    </w:p>
    <w:p w14:paraId="373E504C" w14:textId="77777777" w:rsidR="00AE3B0D" w:rsidRPr="00AE3B0D" w:rsidRDefault="00AE3B0D" w:rsidP="00AE3B0D">
      <w:pPr>
        <w:pStyle w:val="20"/>
        <w:ind w:firstLine="480"/>
        <w:rPr>
          <w:rFonts w:hint="eastAsia"/>
          <w:bCs/>
          <w:sz w:val="24"/>
        </w:rPr>
      </w:pPr>
      <w:r w:rsidRPr="00AE3B0D">
        <w:rPr>
          <w:rFonts w:hint="eastAsia"/>
          <w:bCs/>
          <w:sz w:val="24"/>
        </w:rPr>
        <w:t xml:space="preserve">于蕾女士：业务副总经理，经济学硕士。曾就职于中国人寿资产管理有限公司、中国人寿养老保险股份有限公司。2024年4月加入银华基金管理股份有限公司，现任公司业务副总经理、养老金及多资产投资管理部总监、FOF投资管理部总监。 </w:t>
      </w:r>
    </w:p>
    <w:p w14:paraId="6C9B4E58" w14:textId="77777777" w:rsidR="00AE3B0D" w:rsidRPr="00AE3B0D" w:rsidRDefault="00AE3B0D" w:rsidP="00AE3B0D">
      <w:pPr>
        <w:pStyle w:val="20"/>
        <w:ind w:firstLine="480"/>
        <w:rPr>
          <w:rFonts w:hint="eastAsia"/>
          <w:bCs/>
          <w:sz w:val="24"/>
        </w:rPr>
      </w:pPr>
      <w:r w:rsidRPr="00AE3B0D">
        <w:rPr>
          <w:rFonts w:hint="eastAsia"/>
          <w:bCs/>
          <w:sz w:val="24"/>
        </w:rPr>
        <w:t xml:space="preserve">董岚枫先生：清华大学工学学士、硕士、博士。曾就职于中国五矿集团。2010年10月加入银华基金，历任研究部助理行业研究员、行业研究员、研究组长、研究部总监助理、副总监、总监、总经理助理，现任公司业务副总经理兼研究部总监。 </w:t>
      </w:r>
    </w:p>
    <w:p w14:paraId="1D1984E6" w14:textId="77777777" w:rsidR="00AE3B0D" w:rsidRPr="00AE3B0D" w:rsidRDefault="00AE3B0D" w:rsidP="00AE3B0D">
      <w:pPr>
        <w:pStyle w:val="20"/>
        <w:ind w:firstLine="480"/>
        <w:rPr>
          <w:rFonts w:hint="eastAsia"/>
          <w:bCs/>
          <w:sz w:val="24"/>
        </w:rPr>
      </w:pPr>
      <w:r w:rsidRPr="00AE3B0D">
        <w:rPr>
          <w:rFonts w:hint="eastAsia"/>
          <w:bCs/>
          <w:sz w:val="24"/>
        </w:rPr>
        <w:t>杨宇先生：中央财经大学经济学硕士。历任CCTV证券资讯频道主持人、制片人，新浪仓石基金销售有限公司高级基金研究员，北京恒天明泽基金销售有限公司研究产品部经理，银华基金电子商务部高级经理，华宝证券首席财富官。现</w:t>
      </w:r>
      <w:r w:rsidRPr="00AE3B0D">
        <w:rPr>
          <w:rFonts w:hint="eastAsia"/>
          <w:bCs/>
          <w:sz w:val="24"/>
        </w:rPr>
        <w:lastRenderedPageBreak/>
        <w:t>任公司基金投资顾问投资决策专门委员会主任、资产配置与投顾服务委员会办公室主任。</w:t>
      </w:r>
    </w:p>
    <w:p w14:paraId="770C3A00" w14:textId="77777777" w:rsidR="00AE3B0D" w:rsidRPr="00AE3B0D" w:rsidRDefault="00AE3B0D" w:rsidP="00AE3B0D">
      <w:pPr>
        <w:pStyle w:val="20"/>
        <w:ind w:firstLine="480"/>
        <w:rPr>
          <w:rFonts w:hint="eastAsia"/>
          <w:bCs/>
          <w:sz w:val="24"/>
        </w:rPr>
      </w:pPr>
      <w:r w:rsidRPr="00AE3B0D">
        <w:rPr>
          <w:rFonts w:hint="eastAsia"/>
          <w:bCs/>
          <w:sz w:val="24"/>
        </w:rPr>
        <w:t>倪明先生：经济学博士。曾在大成基金管理有限公司从事研究分析工作，历任债券信用分析师、债券基金助理、行业研究员、股票基金助理等职，并曾任大成创新成长混合型证券投资基金基金经理职务。2011年4月加盟银华基金管理有限公司，曾任投资管理一部副总监兼基金经理。现任研究部副总监。</w:t>
      </w:r>
    </w:p>
    <w:p w14:paraId="238A892A" w14:textId="77777777" w:rsidR="003E5463" w:rsidRDefault="00747DF7" w:rsidP="00770B2C">
      <w:pPr>
        <w:pStyle w:val="20"/>
        <w:ind w:firstLineChars="0" w:firstLine="482"/>
        <w:rPr>
          <w:bCs/>
          <w:sz w:val="24"/>
        </w:rPr>
      </w:pPr>
      <w:r>
        <w:rPr>
          <w:bCs/>
          <w:sz w:val="24"/>
        </w:rPr>
        <w:t>4</w:t>
      </w:r>
      <w:r>
        <w:rPr>
          <w:rFonts w:hint="eastAsia"/>
          <w:bCs/>
          <w:sz w:val="24"/>
        </w:rPr>
        <w:t>、上述人员之间均不存在近亲属关系。</w:t>
      </w:r>
    </w:p>
    <w:p w14:paraId="282251B3" w14:textId="206A27EE" w:rsidR="00BF4A4E" w:rsidRDefault="00BF4A4E" w:rsidP="00770B2C">
      <w:pPr>
        <w:pStyle w:val="20"/>
        <w:ind w:firstLineChars="0" w:firstLine="482"/>
        <w:rPr>
          <w:rFonts w:cs="宋体"/>
          <w:sz w:val="24"/>
          <w:szCs w:val="24"/>
        </w:rPr>
      </w:pPr>
      <w:bookmarkStart w:id="29" w:name="_Hlk190605596"/>
      <w:bookmarkEnd w:id="25"/>
      <w:bookmarkEnd w:id="26"/>
      <w:r>
        <w:rPr>
          <w:rFonts w:cs="宋体" w:hint="eastAsia"/>
          <w:sz w:val="24"/>
          <w:szCs w:val="24"/>
        </w:rPr>
        <w:t>三、基金管理人的权利与义务</w:t>
      </w:r>
    </w:p>
    <w:p w14:paraId="47A51A9E" w14:textId="77777777" w:rsidR="00BF4A4E" w:rsidRDefault="00BF4A4E" w:rsidP="00770B2C">
      <w:pPr>
        <w:pStyle w:val="20"/>
        <w:ind w:firstLineChars="0" w:firstLine="482"/>
        <w:rPr>
          <w:rFonts w:cs="宋体"/>
          <w:sz w:val="24"/>
          <w:szCs w:val="24"/>
        </w:rPr>
      </w:pPr>
      <w:r>
        <w:rPr>
          <w:rFonts w:cs="宋体" w:hint="eastAsia"/>
          <w:sz w:val="24"/>
          <w:szCs w:val="24"/>
        </w:rPr>
        <w:t>1、根据《基金法》、《运作办法》及其他有关规定，基金管理人的权利包括但不限于：</w:t>
      </w:r>
    </w:p>
    <w:p w14:paraId="23FAEA07" w14:textId="77777777" w:rsidR="0057773A" w:rsidRPr="0057773A" w:rsidRDefault="0057773A" w:rsidP="0057773A">
      <w:pPr>
        <w:pStyle w:val="20"/>
        <w:ind w:firstLine="480"/>
        <w:rPr>
          <w:bCs/>
          <w:sz w:val="24"/>
        </w:rPr>
      </w:pPr>
      <w:bookmarkStart w:id="30" w:name="_Hlk130220613"/>
      <w:r w:rsidRPr="0057773A">
        <w:rPr>
          <w:rFonts w:hint="eastAsia"/>
          <w:bCs/>
          <w:sz w:val="24"/>
        </w:rPr>
        <w:t>（1）依法募集资金；</w:t>
      </w:r>
    </w:p>
    <w:p w14:paraId="6BF0E515" w14:textId="77777777" w:rsidR="0057773A" w:rsidRPr="0057773A" w:rsidRDefault="0057773A" w:rsidP="0057773A">
      <w:pPr>
        <w:pStyle w:val="20"/>
        <w:ind w:firstLine="480"/>
        <w:rPr>
          <w:bCs/>
          <w:sz w:val="24"/>
        </w:rPr>
      </w:pPr>
      <w:r w:rsidRPr="0057773A">
        <w:rPr>
          <w:rFonts w:hint="eastAsia"/>
          <w:bCs/>
          <w:sz w:val="24"/>
        </w:rPr>
        <w:t>（2）自基金合同生效之日起，根据法律法规和基金合同独立运用并管理基金财产；</w:t>
      </w:r>
    </w:p>
    <w:p w14:paraId="13914EF7" w14:textId="77777777" w:rsidR="0057773A" w:rsidRPr="0057773A" w:rsidRDefault="0057773A" w:rsidP="0057773A">
      <w:pPr>
        <w:pStyle w:val="20"/>
        <w:ind w:firstLine="480"/>
        <w:rPr>
          <w:bCs/>
          <w:sz w:val="24"/>
        </w:rPr>
      </w:pPr>
      <w:r w:rsidRPr="0057773A">
        <w:rPr>
          <w:rFonts w:hint="eastAsia"/>
          <w:bCs/>
          <w:sz w:val="24"/>
        </w:rPr>
        <w:t>（3）依照基金合同收取基金管理费以及法律法规规定或中国证监会批准的其他费用；</w:t>
      </w:r>
    </w:p>
    <w:p w14:paraId="488F28C8" w14:textId="77777777" w:rsidR="0057773A" w:rsidRPr="0057773A" w:rsidRDefault="0057773A" w:rsidP="0057773A">
      <w:pPr>
        <w:pStyle w:val="20"/>
        <w:ind w:firstLine="480"/>
        <w:rPr>
          <w:bCs/>
          <w:sz w:val="24"/>
        </w:rPr>
      </w:pPr>
      <w:r w:rsidRPr="0057773A">
        <w:rPr>
          <w:rFonts w:hint="eastAsia"/>
          <w:bCs/>
          <w:sz w:val="24"/>
        </w:rPr>
        <w:t>（4）销售基金份额；</w:t>
      </w:r>
    </w:p>
    <w:p w14:paraId="371C4C56" w14:textId="77777777" w:rsidR="0057773A" w:rsidRPr="0057773A" w:rsidRDefault="0057773A" w:rsidP="0057773A">
      <w:pPr>
        <w:pStyle w:val="20"/>
        <w:ind w:firstLine="480"/>
        <w:rPr>
          <w:bCs/>
          <w:sz w:val="24"/>
        </w:rPr>
      </w:pPr>
      <w:r w:rsidRPr="0057773A">
        <w:rPr>
          <w:rFonts w:hint="eastAsia"/>
          <w:bCs/>
          <w:sz w:val="24"/>
        </w:rPr>
        <w:t>（5）按照规定召集基金份额持有人大会；</w:t>
      </w:r>
    </w:p>
    <w:p w14:paraId="53A94440" w14:textId="77777777" w:rsidR="0057773A" w:rsidRPr="0057773A" w:rsidRDefault="0057773A" w:rsidP="0057773A">
      <w:pPr>
        <w:pStyle w:val="20"/>
        <w:ind w:firstLine="480"/>
        <w:rPr>
          <w:bCs/>
          <w:sz w:val="24"/>
        </w:rPr>
      </w:pPr>
      <w:r w:rsidRPr="0057773A">
        <w:rPr>
          <w:rFonts w:hint="eastAsia"/>
          <w:bCs/>
          <w:sz w:val="24"/>
        </w:rPr>
        <w:t>（6）依据基金合同及有关法律规定监督基金托管人，如认为基金托管人违反了基金合同及国家有关法律规定，应呈报中国证监会和其他监管部门，并采取必要措施保护基金投资人的利益；</w:t>
      </w:r>
    </w:p>
    <w:p w14:paraId="1FAC3041" w14:textId="77777777" w:rsidR="0057773A" w:rsidRPr="0057773A" w:rsidRDefault="0057773A" w:rsidP="0057773A">
      <w:pPr>
        <w:pStyle w:val="20"/>
        <w:ind w:firstLine="480"/>
        <w:rPr>
          <w:bCs/>
          <w:sz w:val="24"/>
        </w:rPr>
      </w:pPr>
      <w:r w:rsidRPr="0057773A">
        <w:rPr>
          <w:rFonts w:hint="eastAsia"/>
          <w:bCs/>
          <w:sz w:val="24"/>
        </w:rPr>
        <w:t>（7）在基金托管人更换时，提名新的基金托管人；</w:t>
      </w:r>
    </w:p>
    <w:p w14:paraId="2BC401C2" w14:textId="7EC8A867" w:rsidR="0057773A" w:rsidRPr="0057773A" w:rsidRDefault="0057773A" w:rsidP="0057773A">
      <w:pPr>
        <w:pStyle w:val="20"/>
        <w:ind w:firstLine="480"/>
        <w:rPr>
          <w:bCs/>
          <w:sz w:val="24"/>
        </w:rPr>
      </w:pPr>
      <w:r w:rsidRPr="0057773A">
        <w:rPr>
          <w:rFonts w:hint="eastAsia"/>
          <w:bCs/>
          <w:sz w:val="24"/>
        </w:rPr>
        <w:t>（8）选择、更换销售机构，对销售机构的相关行为进行监督和处理；</w:t>
      </w:r>
    </w:p>
    <w:p w14:paraId="198448A5" w14:textId="77777777" w:rsidR="0057773A" w:rsidRPr="0057773A" w:rsidRDefault="0057773A" w:rsidP="0057773A">
      <w:pPr>
        <w:pStyle w:val="20"/>
        <w:ind w:firstLine="480"/>
        <w:rPr>
          <w:bCs/>
          <w:sz w:val="24"/>
        </w:rPr>
      </w:pPr>
      <w:r w:rsidRPr="0057773A">
        <w:rPr>
          <w:rFonts w:hint="eastAsia"/>
          <w:bCs/>
          <w:sz w:val="24"/>
        </w:rPr>
        <w:t>（9）担任或委托其他符合条件的机构担任基金登记机构办理基金登记业务并获得基金合同规定的费用；</w:t>
      </w:r>
    </w:p>
    <w:p w14:paraId="02E39B44" w14:textId="77777777" w:rsidR="0057773A" w:rsidRPr="0057773A" w:rsidRDefault="0057773A" w:rsidP="0057773A">
      <w:pPr>
        <w:pStyle w:val="20"/>
        <w:ind w:firstLine="480"/>
        <w:rPr>
          <w:bCs/>
          <w:sz w:val="24"/>
        </w:rPr>
      </w:pPr>
      <w:r w:rsidRPr="0057773A">
        <w:rPr>
          <w:rFonts w:hint="eastAsia"/>
          <w:bCs/>
          <w:sz w:val="24"/>
        </w:rPr>
        <w:t>（10）依据基金合同及有关法律规定决定基金收益的分配方案；</w:t>
      </w:r>
    </w:p>
    <w:p w14:paraId="70C83174" w14:textId="77777777" w:rsidR="0057773A" w:rsidRPr="0057773A" w:rsidRDefault="0057773A" w:rsidP="0057773A">
      <w:pPr>
        <w:pStyle w:val="20"/>
        <w:ind w:firstLine="480"/>
        <w:rPr>
          <w:bCs/>
          <w:sz w:val="24"/>
        </w:rPr>
      </w:pPr>
      <w:r w:rsidRPr="0057773A">
        <w:rPr>
          <w:rFonts w:hint="eastAsia"/>
          <w:bCs/>
          <w:sz w:val="24"/>
        </w:rPr>
        <w:t>（11）在基金合同约定的范围内，拒绝或暂停受理申购、赎回和转换申请；</w:t>
      </w:r>
    </w:p>
    <w:p w14:paraId="4B1E205C" w14:textId="77777777" w:rsidR="0057773A" w:rsidRPr="0057773A" w:rsidRDefault="0057773A" w:rsidP="0057773A">
      <w:pPr>
        <w:pStyle w:val="20"/>
        <w:ind w:firstLine="480"/>
        <w:rPr>
          <w:bCs/>
          <w:sz w:val="24"/>
        </w:rPr>
      </w:pPr>
      <w:r w:rsidRPr="0057773A">
        <w:rPr>
          <w:rFonts w:hint="eastAsia"/>
          <w:bCs/>
          <w:sz w:val="24"/>
        </w:rPr>
        <w:t>（12）依照法律法规为基金的利益对被投资公司行使股东权利，为基金的利益行使因基金财产投资于证券/期货所产生的权利；</w:t>
      </w:r>
    </w:p>
    <w:p w14:paraId="5DCC4582" w14:textId="77777777" w:rsidR="0057773A" w:rsidRPr="0057773A" w:rsidRDefault="0057773A" w:rsidP="0057773A">
      <w:pPr>
        <w:pStyle w:val="20"/>
        <w:ind w:firstLine="480"/>
        <w:rPr>
          <w:bCs/>
          <w:sz w:val="24"/>
        </w:rPr>
      </w:pPr>
      <w:r w:rsidRPr="0057773A">
        <w:rPr>
          <w:rFonts w:hint="eastAsia"/>
          <w:bCs/>
          <w:sz w:val="24"/>
        </w:rPr>
        <w:t>（13）在法律法规允许的前提下，为基金的利益依法为基金进行融资及转融</w:t>
      </w:r>
      <w:r w:rsidRPr="0057773A">
        <w:rPr>
          <w:rFonts w:hint="eastAsia"/>
          <w:bCs/>
          <w:sz w:val="24"/>
        </w:rPr>
        <w:lastRenderedPageBreak/>
        <w:t>通证券出借业务；</w:t>
      </w:r>
    </w:p>
    <w:p w14:paraId="00936F23" w14:textId="77777777" w:rsidR="0057773A" w:rsidRPr="0057773A" w:rsidRDefault="0057773A" w:rsidP="0057773A">
      <w:pPr>
        <w:pStyle w:val="20"/>
        <w:ind w:firstLine="480"/>
        <w:rPr>
          <w:bCs/>
          <w:sz w:val="24"/>
        </w:rPr>
      </w:pPr>
      <w:r w:rsidRPr="0057773A">
        <w:rPr>
          <w:rFonts w:hint="eastAsia"/>
          <w:bCs/>
          <w:sz w:val="24"/>
        </w:rPr>
        <w:t>（14）以基金管理人的名义，代表基金份额持有人的利益行使诉讼权利或者实施其他法律行为；</w:t>
      </w:r>
    </w:p>
    <w:p w14:paraId="331B3C33" w14:textId="13050387" w:rsidR="0057773A" w:rsidRPr="0057773A" w:rsidRDefault="0057773A" w:rsidP="0057773A">
      <w:pPr>
        <w:pStyle w:val="20"/>
        <w:ind w:firstLine="480"/>
        <w:rPr>
          <w:bCs/>
          <w:sz w:val="24"/>
        </w:rPr>
      </w:pPr>
      <w:r w:rsidRPr="0057773A">
        <w:rPr>
          <w:rFonts w:hint="eastAsia"/>
          <w:bCs/>
          <w:sz w:val="24"/>
        </w:rPr>
        <w:t>（15）选择、更换律师事务所、会计师事务所、证券、期货经纪商或其他为基金提供服务的外部机构；</w:t>
      </w:r>
      <w:r w:rsidR="001E41E4" w:rsidRPr="00F44763">
        <w:rPr>
          <w:rFonts w:hint="eastAsia"/>
          <w:bCs/>
          <w:sz w:val="24"/>
        </w:rPr>
        <w:t>若本基金采用证券经纪机构交易结算模式，基金管理人有权选择代表本基金进行场内交易、作为结算参与人代理本基金进行结算的证券经纪机构，并签订证券经纪服务协议；</w:t>
      </w:r>
    </w:p>
    <w:p w14:paraId="36E149FE" w14:textId="71BADC50" w:rsidR="0057773A" w:rsidRPr="0057773A" w:rsidRDefault="0057773A" w:rsidP="0057773A">
      <w:pPr>
        <w:pStyle w:val="20"/>
        <w:ind w:firstLine="480"/>
        <w:rPr>
          <w:bCs/>
          <w:sz w:val="24"/>
        </w:rPr>
      </w:pPr>
      <w:r w:rsidRPr="0057773A">
        <w:rPr>
          <w:rFonts w:hint="eastAsia"/>
          <w:bCs/>
          <w:sz w:val="24"/>
        </w:rPr>
        <w:t>（16）在符合有关法律、法规的前提下，制订和调整有关基金认购、申购、赎回、转换、非交易过户、转托管</w:t>
      </w:r>
      <w:r w:rsidR="00933A66">
        <w:rPr>
          <w:rFonts w:hint="eastAsia"/>
          <w:sz w:val="24"/>
          <w:szCs w:val="24"/>
        </w:rPr>
        <w:t>及定期定额投资</w:t>
      </w:r>
      <w:r w:rsidRPr="0057773A">
        <w:rPr>
          <w:rFonts w:hint="eastAsia"/>
          <w:bCs/>
          <w:sz w:val="24"/>
        </w:rPr>
        <w:t>等业务规则；</w:t>
      </w:r>
    </w:p>
    <w:p w14:paraId="7BE075F7" w14:textId="77777777" w:rsidR="0057773A" w:rsidRPr="0057773A" w:rsidRDefault="0057773A" w:rsidP="0057773A">
      <w:pPr>
        <w:pStyle w:val="20"/>
        <w:ind w:firstLine="480"/>
        <w:rPr>
          <w:bCs/>
          <w:sz w:val="24"/>
        </w:rPr>
      </w:pPr>
      <w:r w:rsidRPr="0057773A">
        <w:rPr>
          <w:rFonts w:hint="eastAsia"/>
          <w:bCs/>
          <w:sz w:val="24"/>
        </w:rPr>
        <w:t>（17）基金管理人有权根据反洗钱法律法规的相关规定，结合基金份额持有人洗钱风险状况，采取相应合理的控制措施；</w:t>
      </w:r>
    </w:p>
    <w:p w14:paraId="6D1A8169" w14:textId="77777777" w:rsidR="0057773A" w:rsidRPr="0057773A" w:rsidRDefault="0057773A" w:rsidP="0057773A">
      <w:pPr>
        <w:pStyle w:val="20"/>
        <w:ind w:firstLine="480"/>
        <w:rPr>
          <w:bCs/>
          <w:sz w:val="24"/>
        </w:rPr>
      </w:pPr>
      <w:r w:rsidRPr="0057773A">
        <w:rPr>
          <w:rFonts w:hint="eastAsia"/>
          <w:bCs/>
          <w:sz w:val="24"/>
        </w:rPr>
        <w:t>（18）在法律法规和基金合同规定的范围内决定调整基金费率结构和收费方式；</w:t>
      </w:r>
    </w:p>
    <w:p w14:paraId="2CE37C93" w14:textId="77777777" w:rsidR="0057773A" w:rsidRPr="0057773A" w:rsidRDefault="0057773A" w:rsidP="0057773A">
      <w:pPr>
        <w:pStyle w:val="20"/>
        <w:ind w:firstLine="480"/>
        <w:rPr>
          <w:bCs/>
          <w:sz w:val="24"/>
        </w:rPr>
      </w:pPr>
      <w:r w:rsidRPr="0057773A">
        <w:rPr>
          <w:rFonts w:hint="eastAsia"/>
          <w:bCs/>
          <w:sz w:val="24"/>
        </w:rPr>
        <w:t>（19）代表基金份额持有人的利益行使因基金财产投资于目标ETF所产生的权利，基金合同另有约定的除外；</w:t>
      </w:r>
    </w:p>
    <w:p w14:paraId="2E2EEEBE" w14:textId="77777777" w:rsidR="0057773A" w:rsidRDefault="0057773A">
      <w:pPr>
        <w:pStyle w:val="20"/>
        <w:adjustRightInd w:val="0"/>
        <w:snapToGrid w:val="0"/>
        <w:ind w:firstLine="480"/>
        <w:rPr>
          <w:bCs/>
          <w:sz w:val="24"/>
        </w:rPr>
      </w:pPr>
      <w:r w:rsidRPr="0057773A">
        <w:rPr>
          <w:rFonts w:hint="eastAsia"/>
          <w:bCs/>
          <w:sz w:val="24"/>
        </w:rPr>
        <w:t>（20）法律法规及中国证监会规定的和基金合同约定的其他权利。</w:t>
      </w:r>
    </w:p>
    <w:p w14:paraId="5989B29C" w14:textId="77777777" w:rsidR="00BF4A4E" w:rsidRDefault="00BF4A4E">
      <w:pPr>
        <w:pStyle w:val="20"/>
        <w:adjustRightInd w:val="0"/>
        <w:snapToGrid w:val="0"/>
        <w:ind w:firstLine="480"/>
        <w:rPr>
          <w:rFonts w:cs="宋体"/>
          <w:sz w:val="24"/>
          <w:szCs w:val="24"/>
        </w:rPr>
      </w:pPr>
      <w:r>
        <w:rPr>
          <w:rFonts w:cs="宋体" w:hint="eastAsia"/>
          <w:sz w:val="24"/>
          <w:szCs w:val="24"/>
        </w:rPr>
        <w:t>2、根据《基金法》、《运作办法》及其他有关规定，基金管理人的义务包括但不限于：</w:t>
      </w:r>
    </w:p>
    <w:p w14:paraId="1295DE5F" w14:textId="77777777" w:rsidR="0057773A" w:rsidRPr="0057773A" w:rsidRDefault="0057773A" w:rsidP="0057773A">
      <w:pPr>
        <w:pStyle w:val="20"/>
        <w:adjustRightInd w:val="0"/>
        <w:snapToGrid w:val="0"/>
        <w:ind w:firstLine="480"/>
        <w:rPr>
          <w:bCs/>
          <w:sz w:val="24"/>
          <w:szCs w:val="24"/>
        </w:rPr>
      </w:pPr>
      <w:r w:rsidRPr="0057773A">
        <w:rPr>
          <w:rFonts w:hint="eastAsia"/>
          <w:bCs/>
          <w:sz w:val="24"/>
          <w:szCs w:val="24"/>
        </w:rPr>
        <w:t>（1）依法募集资金，办理或者委托经中国证监会认定的其他机构代为办理基金份额的发售、申购、赎回和登记事宜；</w:t>
      </w:r>
    </w:p>
    <w:p w14:paraId="1A8091DE" w14:textId="77777777" w:rsidR="0057773A" w:rsidRPr="0057773A" w:rsidRDefault="0057773A" w:rsidP="0057773A">
      <w:pPr>
        <w:pStyle w:val="20"/>
        <w:adjustRightInd w:val="0"/>
        <w:snapToGrid w:val="0"/>
        <w:ind w:firstLine="480"/>
        <w:rPr>
          <w:bCs/>
          <w:sz w:val="24"/>
          <w:szCs w:val="24"/>
        </w:rPr>
      </w:pPr>
      <w:r w:rsidRPr="0057773A">
        <w:rPr>
          <w:rFonts w:hint="eastAsia"/>
          <w:bCs/>
          <w:sz w:val="24"/>
          <w:szCs w:val="24"/>
        </w:rPr>
        <w:t>（2）办理基金备案手续；</w:t>
      </w:r>
    </w:p>
    <w:p w14:paraId="5168C3B2" w14:textId="77777777" w:rsidR="0057773A" w:rsidRPr="0057773A" w:rsidRDefault="0057773A" w:rsidP="0057773A">
      <w:pPr>
        <w:pStyle w:val="20"/>
        <w:adjustRightInd w:val="0"/>
        <w:snapToGrid w:val="0"/>
        <w:ind w:firstLine="480"/>
        <w:rPr>
          <w:bCs/>
          <w:sz w:val="24"/>
          <w:szCs w:val="24"/>
        </w:rPr>
      </w:pPr>
      <w:r w:rsidRPr="0057773A">
        <w:rPr>
          <w:rFonts w:hint="eastAsia"/>
          <w:bCs/>
          <w:sz w:val="24"/>
          <w:szCs w:val="24"/>
        </w:rPr>
        <w:t>（3）自基金合同生效之日起，以诚实信用、谨慎勤勉的原则管理和运用基金财产；</w:t>
      </w:r>
    </w:p>
    <w:p w14:paraId="3B285988" w14:textId="77777777" w:rsidR="0057773A" w:rsidRPr="0057773A" w:rsidRDefault="0057773A" w:rsidP="0057773A">
      <w:pPr>
        <w:pStyle w:val="20"/>
        <w:adjustRightInd w:val="0"/>
        <w:snapToGrid w:val="0"/>
        <w:ind w:firstLine="480"/>
        <w:rPr>
          <w:bCs/>
          <w:sz w:val="24"/>
          <w:szCs w:val="24"/>
        </w:rPr>
      </w:pPr>
      <w:r w:rsidRPr="0057773A">
        <w:rPr>
          <w:rFonts w:hint="eastAsia"/>
          <w:bCs/>
          <w:sz w:val="24"/>
          <w:szCs w:val="24"/>
        </w:rPr>
        <w:t>（4）配备足够的具有专业资格的人员进行基金投资分析、决策，以专业化的经营方式管理和运作基金财产；</w:t>
      </w:r>
    </w:p>
    <w:p w14:paraId="15FF9664" w14:textId="77777777" w:rsidR="0057773A" w:rsidRPr="0057773A" w:rsidRDefault="0057773A" w:rsidP="0057773A">
      <w:pPr>
        <w:pStyle w:val="20"/>
        <w:adjustRightInd w:val="0"/>
        <w:snapToGrid w:val="0"/>
        <w:ind w:firstLine="480"/>
        <w:rPr>
          <w:bCs/>
          <w:sz w:val="24"/>
          <w:szCs w:val="24"/>
        </w:rPr>
      </w:pPr>
      <w:r w:rsidRPr="0057773A">
        <w:rPr>
          <w:rFonts w:hint="eastAsia"/>
          <w:bCs/>
          <w:sz w:val="24"/>
          <w:szCs w:val="24"/>
        </w:rPr>
        <w:t>（5）建立健全内部风险控制、监察与稽核、财务管理及人事管理等制度，保证所管理的基金财产和基金管理人的财产相互独立，对所管理的不同基金分别管理，分别记账，进行证券/期货投资；</w:t>
      </w:r>
    </w:p>
    <w:p w14:paraId="093947F5" w14:textId="77777777" w:rsidR="0057773A" w:rsidRPr="0057773A" w:rsidRDefault="0057773A" w:rsidP="0057773A">
      <w:pPr>
        <w:pStyle w:val="20"/>
        <w:adjustRightInd w:val="0"/>
        <w:snapToGrid w:val="0"/>
        <w:ind w:firstLine="480"/>
        <w:rPr>
          <w:bCs/>
          <w:sz w:val="24"/>
          <w:szCs w:val="24"/>
        </w:rPr>
      </w:pPr>
      <w:r w:rsidRPr="0057773A">
        <w:rPr>
          <w:rFonts w:hint="eastAsia"/>
          <w:bCs/>
          <w:sz w:val="24"/>
          <w:szCs w:val="24"/>
        </w:rPr>
        <w:t>（6）除依据《基金法》、基金合同及其他有关规定外，不得利用基金财产为自己及任何第三人谋取利益，不得委托第三人运作基金财产；</w:t>
      </w:r>
    </w:p>
    <w:p w14:paraId="758A3C5F" w14:textId="77777777" w:rsidR="0057773A" w:rsidRPr="0057773A" w:rsidRDefault="0057773A" w:rsidP="0057773A">
      <w:pPr>
        <w:pStyle w:val="20"/>
        <w:adjustRightInd w:val="0"/>
        <w:snapToGrid w:val="0"/>
        <w:ind w:firstLine="480"/>
        <w:rPr>
          <w:bCs/>
          <w:sz w:val="24"/>
          <w:szCs w:val="24"/>
        </w:rPr>
      </w:pPr>
      <w:r w:rsidRPr="0057773A">
        <w:rPr>
          <w:rFonts w:hint="eastAsia"/>
          <w:bCs/>
          <w:sz w:val="24"/>
          <w:szCs w:val="24"/>
        </w:rPr>
        <w:lastRenderedPageBreak/>
        <w:t>（7）依法接受基金托管人的监督；</w:t>
      </w:r>
    </w:p>
    <w:p w14:paraId="533AF575" w14:textId="2CC9E1C4" w:rsidR="0057773A" w:rsidRPr="0057773A" w:rsidRDefault="0057773A" w:rsidP="0057773A">
      <w:pPr>
        <w:pStyle w:val="20"/>
        <w:adjustRightInd w:val="0"/>
        <w:snapToGrid w:val="0"/>
        <w:ind w:firstLine="480"/>
        <w:rPr>
          <w:bCs/>
          <w:sz w:val="24"/>
          <w:szCs w:val="24"/>
        </w:rPr>
      </w:pPr>
      <w:r w:rsidRPr="0057773A">
        <w:rPr>
          <w:rFonts w:hint="eastAsia"/>
          <w:bCs/>
          <w:sz w:val="24"/>
          <w:szCs w:val="24"/>
        </w:rPr>
        <w:t>（8）采取适当合理的措施使计算基金份额认购、申购、赎回</w:t>
      </w:r>
      <w:r w:rsidR="008D3842">
        <w:rPr>
          <w:rFonts w:hint="eastAsia"/>
          <w:bCs/>
          <w:sz w:val="24"/>
          <w:szCs w:val="24"/>
        </w:rPr>
        <w:t>和注销</w:t>
      </w:r>
      <w:r w:rsidRPr="0057773A">
        <w:rPr>
          <w:rFonts w:hint="eastAsia"/>
          <w:bCs/>
          <w:sz w:val="24"/>
          <w:szCs w:val="24"/>
        </w:rPr>
        <w:t>价格的方法符合《基金合同》等法律文件的规定，按有关规定计算并公告基金净值信息，确定各类基金份额申购、赎回的价格；</w:t>
      </w:r>
    </w:p>
    <w:p w14:paraId="17E7678B" w14:textId="77777777" w:rsidR="0057773A" w:rsidRPr="0057773A" w:rsidRDefault="0057773A" w:rsidP="0057773A">
      <w:pPr>
        <w:pStyle w:val="20"/>
        <w:adjustRightInd w:val="0"/>
        <w:snapToGrid w:val="0"/>
        <w:ind w:firstLine="480"/>
        <w:rPr>
          <w:bCs/>
          <w:sz w:val="24"/>
          <w:szCs w:val="24"/>
        </w:rPr>
      </w:pPr>
      <w:r w:rsidRPr="0057773A">
        <w:rPr>
          <w:rFonts w:hint="eastAsia"/>
          <w:bCs/>
          <w:sz w:val="24"/>
          <w:szCs w:val="24"/>
        </w:rPr>
        <w:t>（9）进行基金会计核算并编制基金财务会计报告；</w:t>
      </w:r>
    </w:p>
    <w:p w14:paraId="237BF167" w14:textId="77777777" w:rsidR="0057773A" w:rsidRPr="0057773A" w:rsidRDefault="0057773A" w:rsidP="0057773A">
      <w:pPr>
        <w:pStyle w:val="20"/>
        <w:adjustRightInd w:val="0"/>
        <w:snapToGrid w:val="0"/>
        <w:ind w:firstLine="480"/>
        <w:rPr>
          <w:bCs/>
          <w:sz w:val="24"/>
          <w:szCs w:val="24"/>
        </w:rPr>
      </w:pPr>
      <w:r w:rsidRPr="0057773A">
        <w:rPr>
          <w:rFonts w:hint="eastAsia"/>
          <w:bCs/>
          <w:sz w:val="24"/>
          <w:szCs w:val="24"/>
        </w:rPr>
        <w:t>（10）编制季度报告、中期报告和年度报告；</w:t>
      </w:r>
    </w:p>
    <w:p w14:paraId="64E8AED8" w14:textId="77777777" w:rsidR="0057773A" w:rsidRPr="0057773A" w:rsidRDefault="0057773A" w:rsidP="0057773A">
      <w:pPr>
        <w:pStyle w:val="20"/>
        <w:adjustRightInd w:val="0"/>
        <w:snapToGrid w:val="0"/>
        <w:ind w:firstLine="480"/>
        <w:rPr>
          <w:bCs/>
          <w:sz w:val="24"/>
          <w:szCs w:val="24"/>
        </w:rPr>
      </w:pPr>
      <w:r w:rsidRPr="0057773A">
        <w:rPr>
          <w:rFonts w:hint="eastAsia"/>
          <w:bCs/>
          <w:sz w:val="24"/>
          <w:szCs w:val="24"/>
        </w:rPr>
        <w:t>（11）严格按照《基金法》、基金合同及其他有关规定，履行信息披露及报告义务；</w:t>
      </w:r>
    </w:p>
    <w:p w14:paraId="4D8877AC" w14:textId="77777777" w:rsidR="0057773A" w:rsidRPr="0057773A" w:rsidRDefault="0057773A" w:rsidP="0057773A">
      <w:pPr>
        <w:pStyle w:val="20"/>
        <w:adjustRightInd w:val="0"/>
        <w:snapToGrid w:val="0"/>
        <w:ind w:firstLine="480"/>
        <w:rPr>
          <w:bCs/>
          <w:sz w:val="24"/>
          <w:szCs w:val="24"/>
        </w:rPr>
      </w:pPr>
      <w:r w:rsidRPr="0057773A">
        <w:rPr>
          <w:rFonts w:hint="eastAsia"/>
          <w:bCs/>
          <w:sz w:val="24"/>
          <w:szCs w:val="24"/>
        </w:rPr>
        <w:t>（12）保守基金商业秘密，不泄露基金投资计划、投资意向等。除《基金法》、基金合同及其他有关法律法规或监管机构另有规定或要求外，在基金信息公开披露前应予保密，不向他人泄露，但向监管机构、司法机关提供或因审计、法律等外部专业顾问提供服务而向其提供的情况除外；</w:t>
      </w:r>
    </w:p>
    <w:p w14:paraId="0763EE36" w14:textId="77777777" w:rsidR="0057773A" w:rsidRPr="0057773A" w:rsidRDefault="0057773A" w:rsidP="0057773A">
      <w:pPr>
        <w:pStyle w:val="20"/>
        <w:adjustRightInd w:val="0"/>
        <w:snapToGrid w:val="0"/>
        <w:ind w:firstLine="480"/>
        <w:rPr>
          <w:bCs/>
          <w:sz w:val="24"/>
          <w:szCs w:val="24"/>
        </w:rPr>
      </w:pPr>
      <w:r w:rsidRPr="0057773A">
        <w:rPr>
          <w:rFonts w:hint="eastAsia"/>
          <w:bCs/>
          <w:sz w:val="24"/>
          <w:szCs w:val="24"/>
        </w:rPr>
        <w:t>（13）按基金合同的约定确定基金收益分配方案，及时向基金份额持有人分配基金收益；</w:t>
      </w:r>
    </w:p>
    <w:p w14:paraId="1FB6303D" w14:textId="77777777" w:rsidR="0057773A" w:rsidRPr="0057773A" w:rsidRDefault="0057773A" w:rsidP="0057773A">
      <w:pPr>
        <w:pStyle w:val="20"/>
        <w:adjustRightInd w:val="0"/>
        <w:snapToGrid w:val="0"/>
        <w:ind w:firstLine="480"/>
        <w:rPr>
          <w:bCs/>
          <w:sz w:val="24"/>
          <w:szCs w:val="24"/>
        </w:rPr>
      </w:pPr>
      <w:r w:rsidRPr="0057773A">
        <w:rPr>
          <w:rFonts w:hint="eastAsia"/>
          <w:bCs/>
          <w:sz w:val="24"/>
          <w:szCs w:val="24"/>
        </w:rPr>
        <w:t>（14）按规定受理申购与赎回申请，及时、足额支付赎回款项；</w:t>
      </w:r>
    </w:p>
    <w:p w14:paraId="2B65447E" w14:textId="77777777" w:rsidR="0057773A" w:rsidRPr="0057773A" w:rsidRDefault="0057773A" w:rsidP="0057773A">
      <w:pPr>
        <w:pStyle w:val="20"/>
        <w:adjustRightInd w:val="0"/>
        <w:snapToGrid w:val="0"/>
        <w:ind w:firstLine="480"/>
        <w:rPr>
          <w:bCs/>
          <w:sz w:val="24"/>
          <w:szCs w:val="24"/>
        </w:rPr>
      </w:pPr>
      <w:r w:rsidRPr="0057773A">
        <w:rPr>
          <w:rFonts w:hint="eastAsia"/>
          <w:bCs/>
          <w:sz w:val="24"/>
          <w:szCs w:val="24"/>
        </w:rPr>
        <w:t>（15）依据《基金法》、基金合同及其他有关规定召集基金份额持有人大会或配合基金托管人、基金份额持有人依法召集基金份额持有人大会；</w:t>
      </w:r>
    </w:p>
    <w:p w14:paraId="67014F51" w14:textId="77777777" w:rsidR="0057773A" w:rsidRPr="0057773A" w:rsidRDefault="0057773A" w:rsidP="0057773A">
      <w:pPr>
        <w:pStyle w:val="20"/>
        <w:adjustRightInd w:val="0"/>
        <w:snapToGrid w:val="0"/>
        <w:ind w:firstLine="480"/>
        <w:rPr>
          <w:bCs/>
          <w:sz w:val="24"/>
          <w:szCs w:val="24"/>
        </w:rPr>
      </w:pPr>
      <w:r w:rsidRPr="0057773A">
        <w:rPr>
          <w:rFonts w:hint="eastAsia"/>
          <w:bCs/>
          <w:sz w:val="24"/>
          <w:szCs w:val="24"/>
        </w:rPr>
        <w:t>（16）按规定保存基金财产管理业务活动的会计账册、报表、记录和其他相关资料，保存期限不低于法律法规的规定；</w:t>
      </w:r>
    </w:p>
    <w:p w14:paraId="384CC372" w14:textId="77777777" w:rsidR="0057773A" w:rsidRPr="0057773A" w:rsidRDefault="0057773A" w:rsidP="0057773A">
      <w:pPr>
        <w:pStyle w:val="20"/>
        <w:adjustRightInd w:val="0"/>
        <w:snapToGrid w:val="0"/>
        <w:ind w:firstLine="480"/>
        <w:rPr>
          <w:bCs/>
          <w:sz w:val="24"/>
          <w:szCs w:val="24"/>
        </w:rPr>
      </w:pPr>
      <w:r w:rsidRPr="0057773A">
        <w:rPr>
          <w:rFonts w:hint="eastAsia"/>
          <w:bCs/>
          <w:sz w:val="24"/>
          <w:szCs w:val="24"/>
        </w:rPr>
        <w:t>（17）确保需要向基金投资人提供的各项文件或资料在规定时间发出，并且保证投资人能够按照基金合同规定的时间和方式，随时查阅到与基金有关的公开资料，并在支付合理成本的条件下得到有关资料的复印件；</w:t>
      </w:r>
    </w:p>
    <w:p w14:paraId="73F2D144" w14:textId="77777777" w:rsidR="0057773A" w:rsidRPr="0057773A" w:rsidRDefault="0057773A" w:rsidP="0057773A">
      <w:pPr>
        <w:pStyle w:val="20"/>
        <w:adjustRightInd w:val="0"/>
        <w:snapToGrid w:val="0"/>
        <w:ind w:firstLine="480"/>
        <w:rPr>
          <w:bCs/>
          <w:sz w:val="24"/>
          <w:szCs w:val="24"/>
        </w:rPr>
      </w:pPr>
      <w:r w:rsidRPr="0057773A">
        <w:rPr>
          <w:rFonts w:hint="eastAsia"/>
          <w:bCs/>
          <w:sz w:val="24"/>
          <w:szCs w:val="24"/>
        </w:rPr>
        <w:t>（18）组织并参加基金财产清算小组，参与基金财产的保管、清理、估价、变现和分配；</w:t>
      </w:r>
    </w:p>
    <w:p w14:paraId="45530A46" w14:textId="77777777" w:rsidR="0057773A" w:rsidRPr="0057773A" w:rsidRDefault="0057773A" w:rsidP="0057773A">
      <w:pPr>
        <w:pStyle w:val="20"/>
        <w:adjustRightInd w:val="0"/>
        <w:snapToGrid w:val="0"/>
        <w:ind w:firstLine="480"/>
        <w:rPr>
          <w:bCs/>
          <w:sz w:val="24"/>
          <w:szCs w:val="24"/>
        </w:rPr>
      </w:pPr>
      <w:r w:rsidRPr="0057773A">
        <w:rPr>
          <w:rFonts w:hint="eastAsia"/>
          <w:bCs/>
          <w:sz w:val="24"/>
          <w:szCs w:val="24"/>
        </w:rPr>
        <w:t>（19）面临解散、依法被撤销或者被依法宣告破产时，及时报告中国证监会并通知基金托管人；</w:t>
      </w:r>
    </w:p>
    <w:p w14:paraId="1DBE00EA" w14:textId="77777777" w:rsidR="0057773A" w:rsidRPr="0057773A" w:rsidRDefault="0057773A" w:rsidP="0057773A">
      <w:pPr>
        <w:pStyle w:val="20"/>
        <w:adjustRightInd w:val="0"/>
        <w:snapToGrid w:val="0"/>
        <w:ind w:firstLine="480"/>
        <w:rPr>
          <w:bCs/>
          <w:sz w:val="24"/>
          <w:szCs w:val="24"/>
        </w:rPr>
      </w:pPr>
      <w:r w:rsidRPr="0057773A">
        <w:rPr>
          <w:rFonts w:hint="eastAsia"/>
          <w:bCs/>
          <w:sz w:val="24"/>
          <w:szCs w:val="24"/>
        </w:rPr>
        <w:t>（20）因违反基金合同导致基金财产的损失或损害基金份额持有人合法权益时，应当承担赔偿责任，其赔偿责任不因其退任而免除；</w:t>
      </w:r>
    </w:p>
    <w:p w14:paraId="1D35D08D" w14:textId="77777777" w:rsidR="0057773A" w:rsidRPr="0057773A" w:rsidRDefault="0057773A" w:rsidP="0057773A">
      <w:pPr>
        <w:pStyle w:val="20"/>
        <w:adjustRightInd w:val="0"/>
        <w:snapToGrid w:val="0"/>
        <w:ind w:firstLine="480"/>
        <w:rPr>
          <w:bCs/>
          <w:sz w:val="24"/>
          <w:szCs w:val="24"/>
        </w:rPr>
      </w:pPr>
      <w:r w:rsidRPr="0057773A">
        <w:rPr>
          <w:rFonts w:hint="eastAsia"/>
          <w:bCs/>
          <w:sz w:val="24"/>
          <w:szCs w:val="24"/>
        </w:rPr>
        <w:t>（21）监督基金托管人按法律法规和基金合同规定履行自己的义务，基金托管人违反基金合同造成基金财产损失时，基金管理人应为基金份额持有人利益向</w:t>
      </w:r>
      <w:r w:rsidRPr="0057773A">
        <w:rPr>
          <w:rFonts w:hint="eastAsia"/>
          <w:bCs/>
          <w:sz w:val="24"/>
          <w:szCs w:val="24"/>
        </w:rPr>
        <w:lastRenderedPageBreak/>
        <w:t>基金托管人追偿；</w:t>
      </w:r>
    </w:p>
    <w:p w14:paraId="348E65E6" w14:textId="77777777" w:rsidR="0057773A" w:rsidRPr="0057773A" w:rsidRDefault="0057773A" w:rsidP="0057773A">
      <w:pPr>
        <w:pStyle w:val="20"/>
        <w:adjustRightInd w:val="0"/>
        <w:snapToGrid w:val="0"/>
        <w:ind w:firstLine="480"/>
        <w:rPr>
          <w:bCs/>
          <w:sz w:val="24"/>
          <w:szCs w:val="24"/>
        </w:rPr>
      </w:pPr>
      <w:r w:rsidRPr="0057773A">
        <w:rPr>
          <w:rFonts w:hint="eastAsia"/>
          <w:bCs/>
          <w:sz w:val="24"/>
          <w:szCs w:val="24"/>
        </w:rPr>
        <w:t>（22）当基金管理人将其义务委托第三方处理时，应当对第三方处理有关基金事务的行为承担责任；</w:t>
      </w:r>
    </w:p>
    <w:p w14:paraId="55E7F6A1" w14:textId="77777777" w:rsidR="0057773A" w:rsidRPr="0057773A" w:rsidRDefault="0057773A" w:rsidP="0057773A">
      <w:pPr>
        <w:pStyle w:val="20"/>
        <w:adjustRightInd w:val="0"/>
        <w:snapToGrid w:val="0"/>
        <w:ind w:firstLine="480"/>
        <w:rPr>
          <w:bCs/>
          <w:sz w:val="24"/>
          <w:szCs w:val="24"/>
        </w:rPr>
      </w:pPr>
      <w:r w:rsidRPr="0057773A">
        <w:rPr>
          <w:rFonts w:hint="eastAsia"/>
          <w:bCs/>
          <w:sz w:val="24"/>
          <w:szCs w:val="24"/>
        </w:rPr>
        <w:t>（23）以基金管理人名义，代表基金份额持有人利益行使诉讼权利或实施其他法律行为；</w:t>
      </w:r>
    </w:p>
    <w:p w14:paraId="3EED62AB" w14:textId="77777777" w:rsidR="0057773A" w:rsidRPr="0057773A" w:rsidRDefault="0057773A" w:rsidP="0057773A">
      <w:pPr>
        <w:pStyle w:val="20"/>
        <w:adjustRightInd w:val="0"/>
        <w:snapToGrid w:val="0"/>
        <w:ind w:firstLine="480"/>
        <w:rPr>
          <w:bCs/>
          <w:sz w:val="24"/>
          <w:szCs w:val="24"/>
        </w:rPr>
      </w:pPr>
      <w:r w:rsidRPr="0057773A">
        <w:rPr>
          <w:rFonts w:hint="eastAsia"/>
          <w:bCs/>
          <w:sz w:val="24"/>
          <w:szCs w:val="24"/>
        </w:rPr>
        <w:t>（24）基金管理人在募集期间未能达到基金的备案条件，基金合同不能生效，基金管理人承担全部募集费用，将已募集资金并加计银行同期活期存款利息（税后）在基金募集期结束后30日内退还基金认购人；</w:t>
      </w:r>
    </w:p>
    <w:p w14:paraId="33EF0E57" w14:textId="77777777" w:rsidR="0057773A" w:rsidRPr="0057773A" w:rsidRDefault="0057773A" w:rsidP="0057773A">
      <w:pPr>
        <w:pStyle w:val="20"/>
        <w:adjustRightInd w:val="0"/>
        <w:snapToGrid w:val="0"/>
        <w:ind w:firstLine="480"/>
        <w:rPr>
          <w:bCs/>
          <w:sz w:val="24"/>
          <w:szCs w:val="24"/>
        </w:rPr>
      </w:pPr>
      <w:r w:rsidRPr="0057773A">
        <w:rPr>
          <w:rFonts w:hint="eastAsia"/>
          <w:bCs/>
          <w:sz w:val="24"/>
          <w:szCs w:val="24"/>
        </w:rPr>
        <w:t>（25）执行生效的基金份额持有人大会的决议；</w:t>
      </w:r>
    </w:p>
    <w:p w14:paraId="7505FFBC" w14:textId="77777777" w:rsidR="0057773A" w:rsidRPr="0057773A" w:rsidRDefault="0057773A" w:rsidP="0057773A">
      <w:pPr>
        <w:pStyle w:val="20"/>
        <w:adjustRightInd w:val="0"/>
        <w:snapToGrid w:val="0"/>
        <w:ind w:firstLine="480"/>
        <w:rPr>
          <w:bCs/>
          <w:sz w:val="24"/>
          <w:szCs w:val="24"/>
        </w:rPr>
      </w:pPr>
      <w:r w:rsidRPr="0057773A">
        <w:rPr>
          <w:rFonts w:hint="eastAsia"/>
          <w:bCs/>
          <w:sz w:val="24"/>
          <w:szCs w:val="24"/>
        </w:rPr>
        <w:t>（26）建立并保存基金份额持有人名册；</w:t>
      </w:r>
    </w:p>
    <w:p w14:paraId="0230D13A" w14:textId="77777777" w:rsidR="00BF4A4E" w:rsidRDefault="0057773A">
      <w:pPr>
        <w:adjustRightInd w:val="0"/>
        <w:snapToGrid w:val="0"/>
        <w:spacing w:line="360" w:lineRule="auto"/>
        <w:ind w:firstLineChars="200" w:firstLine="480"/>
        <w:rPr>
          <w:rFonts w:ascii="宋体" w:hAnsi="宋体"/>
          <w:bCs/>
          <w:sz w:val="24"/>
        </w:rPr>
      </w:pPr>
      <w:r w:rsidRPr="0057773A">
        <w:rPr>
          <w:rFonts w:hint="eastAsia"/>
          <w:bCs/>
          <w:sz w:val="24"/>
        </w:rPr>
        <w:t>（</w:t>
      </w:r>
      <w:r w:rsidRPr="00EB1ECE">
        <w:rPr>
          <w:rFonts w:ascii="宋体" w:hAnsi="宋体"/>
          <w:bCs/>
          <w:sz w:val="24"/>
        </w:rPr>
        <w:t>27</w:t>
      </w:r>
      <w:r w:rsidRPr="0057773A">
        <w:rPr>
          <w:rFonts w:hint="eastAsia"/>
          <w:bCs/>
          <w:sz w:val="24"/>
        </w:rPr>
        <w:t>）法律法规及中国证监会规定的和《基金合同》约定的其他义务。</w:t>
      </w:r>
    </w:p>
    <w:bookmarkEnd w:id="29"/>
    <w:bookmarkEnd w:id="30"/>
    <w:p w14:paraId="25D75059" w14:textId="77777777" w:rsidR="00BF4A4E" w:rsidRDefault="00BF4A4E">
      <w:pPr>
        <w:pStyle w:val="20"/>
        <w:adjustRightInd w:val="0"/>
        <w:snapToGrid w:val="0"/>
        <w:ind w:firstLine="480"/>
        <w:rPr>
          <w:rFonts w:cs="宋体"/>
          <w:sz w:val="24"/>
          <w:szCs w:val="24"/>
        </w:rPr>
      </w:pPr>
      <w:r>
        <w:rPr>
          <w:rFonts w:cs="宋体" w:hint="eastAsia"/>
          <w:sz w:val="24"/>
          <w:szCs w:val="24"/>
        </w:rPr>
        <w:t>四、基金管理人承诺</w:t>
      </w:r>
    </w:p>
    <w:p w14:paraId="50323B9A" w14:textId="77777777" w:rsidR="00BF4A4E" w:rsidRDefault="00BF4A4E">
      <w:pPr>
        <w:pStyle w:val="20"/>
        <w:adjustRightInd w:val="0"/>
        <w:snapToGrid w:val="0"/>
        <w:ind w:firstLine="480"/>
        <w:rPr>
          <w:rFonts w:cs="宋体"/>
          <w:sz w:val="24"/>
          <w:szCs w:val="24"/>
        </w:rPr>
      </w:pPr>
      <w:r>
        <w:rPr>
          <w:rFonts w:cs="宋体" w:hint="eastAsia"/>
          <w:sz w:val="24"/>
          <w:szCs w:val="24"/>
        </w:rPr>
        <w:t>1、本基金管理人将根据基金合同的规定，按照招募说明书列明的投资目标、策略及限制全权处理本基金的投资。</w:t>
      </w:r>
    </w:p>
    <w:p w14:paraId="3225688D" w14:textId="77777777" w:rsidR="00BF4A4E" w:rsidRDefault="00BF4A4E">
      <w:pPr>
        <w:pStyle w:val="20"/>
        <w:adjustRightInd w:val="0"/>
        <w:snapToGrid w:val="0"/>
        <w:ind w:firstLine="480"/>
        <w:rPr>
          <w:rFonts w:cs="宋体"/>
          <w:sz w:val="24"/>
          <w:szCs w:val="24"/>
        </w:rPr>
      </w:pPr>
      <w:r>
        <w:rPr>
          <w:rFonts w:cs="宋体" w:hint="eastAsia"/>
          <w:sz w:val="24"/>
          <w:szCs w:val="24"/>
        </w:rPr>
        <w:t>2、本基金管理人不从事违反《中华人民共和国证券法》的行为，并建立健全内部控制制度，采取有效措施，防止违反《中华人民共和国证券法》行为的发生。</w:t>
      </w:r>
    </w:p>
    <w:p w14:paraId="6028A863" w14:textId="77777777" w:rsidR="00BF4A4E" w:rsidRDefault="00BF4A4E">
      <w:pPr>
        <w:pStyle w:val="20"/>
        <w:adjustRightInd w:val="0"/>
        <w:snapToGrid w:val="0"/>
        <w:ind w:firstLine="480"/>
        <w:rPr>
          <w:rFonts w:cs="宋体"/>
          <w:sz w:val="24"/>
          <w:szCs w:val="24"/>
        </w:rPr>
      </w:pPr>
      <w:r>
        <w:rPr>
          <w:rFonts w:cs="宋体" w:hint="eastAsia"/>
          <w:sz w:val="24"/>
          <w:szCs w:val="24"/>
        </w:rPr>
        <w:t>3、本基金管理人不从事违反《基金法》的行为，并建立健全内部控制制度，采取有效措施，防止下列行为的发生：</w:t>
      </w:r>
    </w:p>
    <w:p w14:paraId="12D0BC87" w14:textId="77777777" w:rsidR="00BF4A4E" w:rsidRDefault="00BF4A4E">
      <w:pPr>
        <w:pStyle w:val="20"/>
        <w:adjustRightInd w:val="0"/>
        <w:snapToGrid w:val="0"/>
        <w:ind w:firstLine="480"/>
        <w:rPr>
          <w:rFonts w:cs="宋体"/>
          <w:sz w:val="24"/>
          <w:szCs w:val="24"/>
        </w:rPr>
      </w:pPr>
      <w:r>
        <w:rPr>
          <w:rFonts w:cs="宋体" w:hint="eastAsia"/>
          <w:sz w:val="24"/>
          <w:szCs w:val="24"/>
        </w:rPr>
        <w:t>（1）以基金的名义使用不属于基金名下的资金买卖证券；</w:t>
      </w:r>
    </w:p>
    <w:p w14:paraId="6CDD435C" w14:textId="77777777" w:rsidR="00BF4A4E" w:rsidRDefault="00BF4A4E">
      <w:pPr>
        <w:pStyle w:val="20"/>
        <w:adjustRightInd w:val="0"/>
        <w:snapToGrid w:val="0"/>
        <w:ind w:firstLine="480"/>
        <w:rPr>
          <w:rFonts w:cs="宋体"/>
          <w:sz w:val="24"/>
          <w:szCs w:val="24"/>
        </w:rPr>
      </w:pPr>
      <w:r>
        <w:rPr>
          <w:rFonts w:cs="宋体" w:hint="eastAsia"/>
          <w:sz w:val="24"/>
          <w:szCs w:val="24"/>
        </w:rPr>
        <w:t>（2）动用银行信贷资金从事证券买卖；</w:t>
      </w:r>
    </w:p>
    <w:p w14:paraId="7F6E02B9" w14:textId="77777777" w:rsidR="00BF4A4E" w:rsidRDefault="00BF4A4E">
      <w:pPr>
        <w:pStyle w:val="20"/>
        <w:adjustRightInd w:val="0"/>
        <w:snapToGrid w:val="0"/>
        <w:ind w:firstLine="480"/>
        <w:rPr>
          <w:rFonts w:cs="宋体"/>
          <w:sz w:val="24"/>
          <w:szCs w:val="24"/>
        </w:rPr>
      </w:pPr>
      <w:r>
        <w:rPr>
          <w:rFonts w:cs="宋体" w:hint="eastAsia"/>
          <w:sz w:val="24"/>
          <w:szCs w:val="24"/>
        </w:rPr>
        <w:t>（3）违反规定将基金资产向他人贷款或者提供担保；</w:t>
      </w:r>
    </w:p>
    <w:p w14:paraId="3A6B7F66" w14:textId="77777777" w:rsidR="00BF4A4E" w:rsidRDefault="00BF4A4E">
      <w:pPr>
        <w:pStyle w:val="20"/>
        <w:adjustRightInd w:val="0"/>
        <w:snapToGrid w:val="0"/>
        <w:ind w:firstLine="480"/>
        <w:rPr>
          <w:rFonts w:cs="宋体"/>
          <w:sz w:val="24"/>
          <w:szCs w:val="24"/>
        </w:rPr>
      </w:pPr>
      <w:r>
        <w:rPr>
          <w:rFonts w:cs="宋体" w:hint="eastAsia"/>
          <w:sz w:val="24"/>
          <w:szCs w:val="24"/>
        </w:rPr>
        <w:t>（4）从事证券信用交易（法律法规、基金合同和中国证监会另有规定的除外）；</w:t>
      </w:r>
    </w:p>
    <w:p w14:paraId="49034033" w14:textId="77777777" w:rsidR="00BF4A4E" w:rsidRDefault="00BF4A4E">
      <w:pPr>
        <w:pStyle w:val="20"/>
        <w:adjustRightInd w:val="0"/>
        <w:snapToGrid w:val="0"/>
        <w:ind w:firstLine="480"/>
        <w:rPr>
          <w:rFonts w:cs="宋体"/>
          <w:sz w:val="24"/>
          <w:szCs w:val="24"/>
        </w:rPr>
      </w:pPr>
      <w:r>
        <w:rPr>
          <w:rFonts w:cs="宋体" w:hint="eastAsia"/>
          <w:sz w:val="24"/>
          <w:szCs w:val="24"/>
        </w:rPr>
        <w:t>（5）以基金资产进行房地产投资；</w:t>
      </w:r>
    </w:p>
    <w:p w14:paraId="1CC2BDB2" w14:textId="77777777" w:rsidR="00BF4A4E" w:rsidRDefault="00BF4A4E">
      <w:pPr>
        <w:pStyle w:val="20"/>
        <w:adjustRightInd w:val="0"/>
        <w:snapToGrid w:val="0"/>
        <w:ind w:firstLine="480"/>
        <w:rPr>
          <w:rFonts w:cs="宋体"/>
          <w:sz w:val="24"/>
          <w:szCs w:val="24"/>
        </w:rPr>
      </w:pPr>
      <w:r>
        <w:rPr>
          <w:rFonts w:cs="宋体" w:hint="eastAsia"/>
          <w:sz w:val="24"/>
          <w:szCs w:val="24"/>
        </w:rPr>
        <w:t>（6）从事有可能使基金承担无限责任的投资；</w:t>
      </w:r>
    </w:p>
    <w:p w14:paraId="75F40EFB" w14:textId="77777777" w:rsidR="00BF4A4E" w:rsidRDefault="00BF4A4E">
      <w:pPr>
        <w:pStyle w:val="20"/>
        <w:adjustRightInd w:val="0"/>
        <w:snapToGrid w:val="0"/>
        <w:ind w:firstLine="480"/>
        <w:rPr>
          <w:rFonts w:cs="宋体"/>
          <w:sz w:val="24"/>
          <w:szCs w:val="24"/>
        </w:rPr>
      </w:pPr>
      <w:r>
        <w:rPr>
          <w:rFonts w:cs="宋体" w:hint="eastAsia"/>
          <w:sz w:val="24"/>
          <w:szCs w:val="24"/>
        </w:rPr>
        <w:t>（7）从事证券承销行为；</w:t>
      </w:r>
    </w:p>
    <w:p w14:paraId="2EEFB1AA" w14:textId="77777777" w:rsidR="00BF4A4E" w:rsidRDefault="00BF4A4E">
      <w:pPr>
        <w:pStyle w:val="20"/>
        <w:adjustRightInd w:val="0"/>
        <w:snapToGrid w:val="0"/>
        <w:ind w:firstLine="480"/>
        <w:rPr>
          <w:rFonts w:cs="宋体"/>
          <w:sz w:val="24"/>
          <w:szCs w:val="24"/>
        </w:rPr>
      </w:pPr>
      <w:r>
        <w:rPr>
          <w:rFonts w:cs="宋体" w:hint="eastAsia"/>
          <w:sz w:val="24"/>
          <w:szCs w:val="24"/>
        </w:rPr>
        <w:t>（8）违反证券交易业务规则，利用对敲、倒仓等行为来操纵和扰乱市场价格；</w:t>
      </w:r>
    </w:p>
    <w:p w14:paraId="3C7F919D" w14:textId="77777777" w:rsidR="00BF4A4E" w:rsidRDefault="00BF4A4E">
      <w:pPr>
        <w:pStyle w:val="20"/>
        <w:adjustRightInd w:val="0"/>
        <w:snapToGrid w:val="0"/>
        <w:ind w:firstLine="480"/>
        <w:rPr>
          <w:rFonts w:cs="宋体"/>
          <w:sz w:val="24"/>
          <w:szCs w:val="24"/>
        </w:rPr>
      </w:pPr>
      <w:r>
        <w:rPr>
          <w:rFonts w:cs="宋体" w:hint="eastAsia"/>
          <w:sz w:val="24"/>
          <w:szCs w:val="24"/>
        </w:rPr>
        <w:t>（9）进行高位接盘、利益输送等损害基金份额持有人利益的行为；</w:t>
      </w:r>
    </w:p>
    <w:p w14:paraId="0501F91F" w14:textId="77777777" w:rsidR="00BF4A4E" w:rsidRDefault="00BF4A4E">
      <w:pPr>
        <w:pStyle w:val="20"/>
        <w:adjustRightInd w:val="0"/>
        <w:snapToGrid w:val="0"/>
        <w:ind w:firstLine="480"/>
        <w:rPr>
          <w:rFonts w:cs="宋体"/>
          <w:sz w:val="24"/>
          <w:szCs w:val="24"/>
        </w:rPr>
      </w:pPr>
      <w:r>
        <w:rPr>
          <w:rFonts w:cs="宋体" w:hint="eastAsia"/>
          <w:sz w:val="24"/>
          <w:szCs w:val="24"/>
        </w:rPr>
        <w:lastRenderedPageBreak/>
        <w:t>（10）通过股票投资取得对上市公司的控制权；</w:t>
      </w:r>
    </w:p>
    <w:p w14:paraId="37BEDFDF" w14:textId="77777777" w:rsidR="00BF4A4E" w:rsidRDefault="00BF4A4E" w:rsidP="00350DEA">
      <w:pPr>
        <w:pStyle w:val="20"/>
        <w:adjustRightInd w:val="0"/>
        <w:snapToGrid w:val="0"/>
        <w:ind w:firstLine="480"/>
        <w:rPr>
          <w:rFonts w:cs="宋体"/>
          <w:sz w:val="24"/>
          <w:szCs w:val="24"/>
        </w:rPr>
      </w:pPr>
      <w:r>
        <w:rPr>
          <w:rFonts w:cs="宋体" w:hint="eastAsia"/>
          <w:sz w:val="24"/>
          <w:szCs w:val="24"/>
        </w:rPr>
        <w:t>（11）法律、法规及监管机关规定禁止从事的其他行为。</w:t>
      </w:r>
    </w:p>
    <w:p w14:paraId="309F3E09" w14:textId="77777777" w:rsidR="00BF4A4E" w:rsidRDefault="00BF4A4E">
      <w:pPr>
        <w:pStyle w:val="20"/>
        <w:adjustRightInd w:val="0"/>
        <w:snapToGrid w:val="0"/>
        <w:ind w:firstLine="480"/>
        <w:rPr>
          <w:rFonts w:cs="宋体"/>
          <w:sz w:val="24"/>
          <w:szCs w:val="24"/>
        </w:rPr>
      </w:pPr>
      <w:r>
        <w:rPr>
          <w:rFonts w:cs="宋体" w:hint="eastAsia"/>
          <w:sz w:val="24"/>
          <w:szCs w:val="24"/>
        </w:rPr>
        <w:t>4、本基金管理人将加强人员管理，强化职业操守，督促和约束员工遵守国家有关法律、法规及行业规范，诚实信用、勤勉尽责，不从事以下行为：</w:t>
      </w:r>
    </w:p>
    <w:p w14:paraId="681BB8CF" w14:textId="77777777" w:rsidR="00BF4A4E" w:rsidRDefault="00BF4A4E">
      <w:pPr>
        <w:pStyle w:val="20"/>
        <w:adjustRightInd w:val="0"/>
        <w:snapToGrid w:val="0"/>
        <w:ind w:firstLine="480"/>
        <w:rPr>
          <w:rFonts w:cs="宋体"/>
          <w:sz w:val="24"/>
          <w:szCs w:val="24"/>
        </w:rPr>
      </w:pPr>
      <w:r>
        <w:rPr>
          <w:rFonts w:cs="宋体" w:hint="eastAsia"/>
          <w:sz w:val="24"/>
          <w:szCs w:val="24"/>
        </w:rPr>
        <w:t>（1）越权或违规经营，违反基金合同或托管协议；</w:t>
      </w:r>
    </w:p>
    <w:p w14:paraId="0A8DB95D" w14:textId="77777777" w:rsidR="00BF4A4E" w:rsidRDefault="00BF4A4E">
      <w:pPr>
        <w:pStyle w:val="20"/>
        <w:adjustRightInd w:val="0"/>
        <w:snapToGrid w:val="0"/>
        <w:ind w:firstLine="480"/>
        <w:rPr>
          <w:rFonts w:cs="宋体"/>
          <w:sz w:val="24"/>
          <w:szCs w:val="24"/>
        </w:rPr>
      </w:pPr>
      <w:r>
        <w:rPr>
          <w:rFonts w:cs="宋体" w:hint="eastAsia"/>
          <w:sz w:val="24"/>
          <w:szCs w:val="24"/>
        </w:rPr>
        <w:t>（2）故意损害基金份额持有人或其他基金相关机构的合法利益；</w:t>
      </w:r>
    </w:p>
    <w:p w14:paraId="7A0CE84B" w14:textId="77777777" w:rsidR="00BF4A4E" w:rsidRDefault="00BF4A4E">
      <w:pPr>
        <w:pStyle w:val="20"/>
        <w:adjustRightInd w:val="0"/>
        <w:snapToGrid w:val="0"/>
        <w:ind w:firstLine="480"/>
        <w:rPr>
          <w:rFonts w:cs="宋体"/>
          <w:sz w:val="24"/>
          <w:szCs w:val="24"/>
        </w:rPr>
      </w:pPr>
      <w:r>
        <w:rPr>
          <w:rFonts w:cs="宋体" w:hint="eastAsia"/>
          <w:sz w:val="24"/>
          <w:szCs w:val="24"/>
        </w:rPr>
        <w:t>（3）在向中国证监会报送的材料中弄虚作假；</w:t>
      </w:r>
    </w:p>
    <w:p w14:paraId="5C387856" w14:textId="77777777" w:rsidR="00BF4A4E" w:rsidRDefault="00BF4A4E">
      <w:pPr>
        <w:pStyle w:val="20"/>
        <w:adjustRightInd w:val="0"/>
        <w:snapToGrid w:val="0"/>
        <w:ind w:firstLine="480"/>
        <w:rPr>
          <w:rFonts w:cs="宋体"/>
          <w:sz w:val="24"/>
          <w:szCs w:val="24"/>
        </w:rPr>
      </w:pPr>
      <w:r>
        <w:rPr>
          <w:rFonts w:cs="宋体" w:hint="eastAsia"/>
          <w:sz w:val="24"/>
          <w:szCs w:val="24"/>
        </w:rPr>
        <w:t>（4）拒绝、干扰、阻挠或严重影响中国证监会依法监管；</w:t>
      </w:r>
    </w:p>
    <w:p w14:paraId="7D6D5514" w14:textId="77777777" w:rsidR="00BF4A4E" w:rsidRDefault="00BF4A4E">
      <w:pPr>
        <w:pStyle w:val="20"/>
        <w:adjustRightInd w:val="0"/>
        <w:snapToGrid w:val="0"/>
        <w:ind w:firstLine="480"/>
        <w:rPr>
          <w:rFonts w:cs="宋体"/>
          <w:sz w:val="24"/>
          <w:szCs w:val="24"/>
        </w:rPr>
      </w:pPr>
      <w:r>
        <w:rPr>
          <w:rFonts w:cs="宋体" w:hint="eastAsia"/>
          <w:sz w:val="24"/>
          <w:szCs w:val="24"/>
        </w:rPr>
        <w:t>（5）玩忽职守、滥用职权，不按照规定履行职责；</w:t>
      </w:r>
    </w:p>
    <w:p w14:paraId="6665D84C" w14:textId="77777777" w:rsidR="00BF4A4E" w:rsidRDefault="00BF4A4E">
      <w:pPr>
        <w:pStyle w:val="20"/>
        <w:adjustRightInd w:val="0"/>
        <w:snapToGrid w:val="0"/>
        <w:ind w:firstLine="480"/>
        <w:rPr>
          <w:rFonts w:cs="宋体"/>
          <w:sz w:val="24"/>
          <w:szCs w:val="24"/>
        </w:rPr>
      </w:pPr>
      <w:r>
        <w:rPr>
          <w:rFonts w:cs="宋体" w:hint="eastAsia"/>
          <w:sz w:val="24"/>
          <w:szCs w:val="24"/>
        </w:rPr>
        <w:t>（6）泄露在任职期间知悉的有关证券、基金的商业秘密、尚未依法公开的基金投资内容、基金投资计划等信息，或利用该信息从事或者明示、暗示他人从事相关的交易活动；</w:t>
      </w:r>
    </w:p>
    <w:p w14:paraId="6C27DB82" w14:textId="77777777" w:rsidR="00BF4A4E" w:rsidRDefault="00BF4A4E">
      <w:pPr>
        <w:pStyle w:val="20"/>
        <w:adjustRightInd w:val="0"/>
        <w:snapToGrid w:val="0"/>
        <w:ind w:firstLine="480"/>
        <w:rPr>
          <w:rFonts w:cs="宋体"/>
          <w:sz w:val="24"/>
          <w:szCs w:val="24"/>
        </w:rPr>
      </w:pPr>
      <w:r>
        <w:rPr>
          <w:rFonts w:cs="宋体" w:hint="eastAsia"/>
          <w:sz w:val="24"/>
          <w:szCs w:val="24"/>
        </w:rPr>
        <w:t>（7）其他法律、行政法规以及中国证监会禁止的行为。</w:t>
      </w:r>
    </w:p>
    <w:p w14:paraId="501D0CC0" w14:textId="77777777" w:rsidR="00BF4A4E" w:rsidRDefault="00BF4A4E">
      <w:pPr>
        <w:pStyle w:val="20"/>
        <w:adjustRightInd w:val="0"/>
        <w:snapToGrid w:val="0"/>
        <w:ind w:firstLine="480"/>
        <w:rPr>
          <w:rFonts w:cs="宋体"/>
          <w:sz w:val="24"/>
          <w:szCs w:val="24"/>
        </w:rPr>
      </w:pPr>
      <w:r>
        <w:rPr>
          <w:rFonts w:cs="宋体" w:hint="eastAsia"/>
          <w:sz w:val="24"/>
          <w:szCs w:val="24"/>
        </w:rPr>
        <w:t>5、基金经理承诺</w:t>
      </w:r>
    </w:p>
    <w:p w14:paraId="057F0BC7" w14:textId="77777777" w:rsidR="00BF4A4E" w:rsidRDefault="00BF4A4E">
      <w:pPr>
        <w:pStyle w:val="20"/>
        <w:adjustRightInd w:val="0"/>
        <w:snapToGrid w:val="0"/>
        <w:ind w:firstLine="480"/>
        <w:rPr>
          <w:rFonts w:cs="宋体"/>
          <w:sz w:val="24"/>
          <w:szCs w:val="24"/>
        </w:rPr>
      </w:pPr>
      <w:r>
        <w:rPr>
          <w:rFonts w:cs="宋体" w:hint="eastAsia"/>
          <w:sz w:val="24"/>
          <w:szCs w:val="24"/>
        </w:rPr>
        <w:t>（1）依照有关法律法规和基金合同的规定，本着谨慎的原则为基金份额持有人谋取最大利益；</w:t>
      </w:r>
    </w:p>
    <w:p w14:paraId="75F38597" w14:textId="77777777" w:rsidR="00BF4A4E" w:rsidRDefault="00BF4A4E">
      <w:pPr>
        <w:pStyle w:val="20"/>
        <w:adjustRightInd w:val="0"/>
        <w:snapToGrid w:val="0"/>
        <w:ind w:firstLine="480"/>
        <w:rPr>
          <w:rFonts w:cs="宋体"/>
          <w:sz w:val="24"/>
          <w:szCs w:val="24"/>
        </w:rPr>
      </w:pPr>
      <w:r>
        <w:rPr>
          <w:rFonts w:cs="宋体" w:hint="eastAsia"/>
          <w:sz w:val="24"/>
          <w:szCs w:val="24"/>
        </w:rPr>
        <w:t>（2）不利用职务之便为自己及其代理人、代表人、受雇人或任何第三人谋取利益；</w:t>
      </w:r>
    </w:p>
    <w:p w14:paraId="1A58E9D1" w14:textId="77777777" w:rsidR="00BF4A4E" w:rsidRDefault="00BF4A4E">
      <w:pPr>
        <w:pStyle w:val="20"/>
        <w:adjustRightInd w:val="0"/>
        <w:snapToGrid w:val="0"/>
        <w:ind w:firstLine="480"/>
        <w:rPr>
          <w:rFonts w:cs="宋体"/>
          <w:sz w:val="24"/>
          <w:szCs w:val="24"/>
        </w:rPr>
      </w:pPr>
      <w:r>
        <w:rPr>
          <w:rFonts w:cs="宋体" w:hint="eastAsia"/>
          <w:sz w:val="24"/>
          <w:szCs w:val="24"/>
        </w:rPr>
        <w:t>（3）不泄露在任职期间知悉的有关证券、基金的商业秘密、尚未依法公开的基金投资内容、基金投资计划等信息，或利用该信息从事或者明示、暗示他人从事相关的交易活动；</w:t>
      </w:r>
    </w:p>
    <w:p w14:paraId="600EC96C" w14:textId="77777777" w:rsidR="00BF4A4E" w:rsidRDefault="00BF4A4E">
      <w:pPr>
        <w:pStyle w:val="20"/>
        <w:adjustRightInd w:val="0"/>
        <w:snapToGrid w:val="0"/>
        <w:ind w:firstLine="480"/>
        <w:rPr>
          <w:rFonts w:cs="宋体"/>
          <w:sz w:val="24"/>
          <w:szCs w:val="24"/>
        </w:rPr>
      </w:pPr>
      <w:r>
        <w:rPr>
          <w:rFonts w:cs="宋体" w:hint="eastAsia"/>
          <w:sz w:val="24"/>
          <w:szCs w:val="24"/>
        </w:rPr>
        <w:t>（4）不以任何形式为其他组织或个人进行证券交易。</w:t>
      </w:r>
    </w:p>
    <w:p w14:paraId="32520D8D" w14:textId="77777777" w:rsidR="00BF4A4E" w:rsidRDefault="00BF4A4E">
      <w:pPr>
        <w:pStyle w:val="20"/>
        <w:adjustRightInd w:val="0"/>
        <w:snapToGrid w:val="0"/>
        <w:ind w:firstLine="480"/>
        <w:rPr>
          <w:rFonts w:cs="宋体"/>
          <w:sz w:val="24"/>
          <w:szCs w:val="24"/>
        </w:rPr>
      </w:pPr>
      <w:r>
        <w:rPr>
          <w:rFonts w:cs="宋体" w:hint="eastAsia"/>
          <w:sz w:val="24"/>
          <w:szCs w:val="24"/>
        </w:rPr>
        <w:t>五、基金管理人的风险管理体系和内部控制制度</w:t>
      </w:r>
    </w:p>
    <w:p w14:paraId="10DEA17C" w14:textId="77777777" w:rsidR="00BF4A4E" w:rsidRDefault="00BF4A4E">
      <w:pPr>
        <w:pStyle w:val="20"/>
        <w:adjustRightInd w:val="0"/>
        <w:snapToGrid w:val="0"/>
        <w:ind w:firstLine="480"/>
        <w:rPr>
          <w:rFonts w:cs="宋体"/>
          <w:sz w:val="24"/>
          <w:szCs w:val="24"/>
        </w:rPr>
      </w:pPr>
      <w:r>
        <w:rPr>
          <w:rFonts w:cs="宋体" w:hint="eastAsia"/>
          <w:sz w:val="24"/>
          <w:szCs w:val="24"/>
        </w:rPr>
        <w:t>1、风险管理体系</w:t>
      </w:r>
    </w:p>
    <w:p w14:paraId="47E5BB8F" w14:textId="77777777" w:rsidR="00BF4A4E" w:rsidRDefault="00BF4A4E">
      <w:pPr>
        <w:pStyle w:val="20"/>
        <w:adjustRightInd w:val="0"/>
        <w:snapToGrid w:val="0"/>
        <w:ind w:firstLine="480"/>
        <w:rPr>
          <w:rFonts w:cs="宋体"/>
          <w:sz w:val="24"/>
          <w:szCs w:val="24"/>
        </w:rPr>
      </w:pPr>
      <w:r>
        <w:rPr>
          <w:rFonts w:cs="宋体" w:hint="eastAsia"/>
          <w:sz w:val="24"/>
          <w:szCs w:val="24"/>
        </w:rPr>
        <w:t>本基金在运作过程中面临的风险主要包括市场风险、信用风险、流动性风险、操作或技术风险、合规性风险、声誉风险和外部风险。针对上述各种风险，基金管理人建立了一套完整的风险管理体系，具体包括以下内容：</w:t>
      </w:r>
    </w:p>
    <w:p w14:paraId="5359288D" w14:textId="77777777" w:rsidR="00BF4A4E" w:rsidRDefault="00BF4A4E">
      <w:pPr>
        <w:pStyle w:val="20"/>
        <w:adjustRightInd w:val="0"/>
        <w:snapToGrid w:val="0"/>
        <w:ind w:firstLine="480"/>
        <w:rPr>
          <w:rFonts w:cs="宋体"/>
          <w:sz w:val="24"/>
          <w:szCs w:val="24"/>
        </w:rPr>
      </w:pPr>
      <w:r>
        <w:rPr>
          <w:rFonts w:cs="宋体" w:hint="eastAsia"/>
          <w:sz w:val="24"/>
          <w:szCs w:val="24"/>
        </w:rPr>
        <w:t>（1）建立风险管理环境。具体包括制定风险管理战略、目标，设置相应的组织机构，配备相应的人力资源与技术系统，设定风险管理的时间范围与空间范围等内容。</w:t>
      </w:r>
    </w:p>
    <w:p w14:paraId="1E758DA1" w14:textId="77777777" w:rsidR="00BF4A4E" w:rsidRDefault="00BF4A4E">
      <w:pPr>
        <w:pStyle w:val="20"/>
        <w:adjustRightInd w:val="0"/>
        <w:snapToGrid w:val="0"/>
        <w:ind w:firstLine="480"/>
        <w:rPr>
          <w:rFonts w:cs="宋体"/>
          <w:sz w:val="24"/>
          <w:szCs w:val="24"/>
        </w:rPr>
      </w:pPr>
      <w:r>
        <w:rPr>
          <w:rFonts w:cs="宋体" w:hint="eastAsia"/>
          <w:sz w:val="24"/>
          <w:szCs w:val="24"/>
        </w:rPr>
        <w:lastRenderedPageBreak/>
        <w:t>（2）识别风险。辨识组织系统与业务流程中存在什么样的风险，为什么会存在以及如何引起风险。</w:t>
      </w:r>
    </w:p>
    <w:p w14:paraId="1EC71C40" w14:textId="77777777" w:rsidR="00BF4A4E" w:rsidRDefault="00BF4A4E">
      <w:pPr>
        <w:pStyle w:val="20"/>
        <w:adjustRightInd w:val="0"/>
        <w:snapToGrid w:val="0"/>
        <w:ind w:firstLine="480"/>
        <w:rPr>
          <w:rFonts w:cs="宋体"/>
          <w:sz w:val="24"/>
          <w:szCs w:val="24"/>
        </w:rPr>
      </w:pPr>
      <w:r>
        <w:rPr>
          <w:rFonts w:cs="宋体" w:hint="eastAsia"/>
          <w:sz w:val="24"/>
          <w:szCs w:val="24"/>
        </w:rPr>
        <w:t>（3）分析风险。检查存在的控制措施，分析风险发生的可能性及其引起的后果。</w:t>
      </w:r>
    </w:p>
    <w:p w14:paraId="57939705" w14:textId="77777777" w:rsidR="00BF4A4E" w:rsidRDefault="00BF4A4E">
      <w:pPr>
        <w:pStyle w:val="20"/>
        <w:adjustRightInd w:val="0"/>
        <w:snapToGrid w:val="0"/>
        <w:ind w:firstLine="480"/>
        <w:rPr>
          <w:rFonts w:cs="宋体"/>
          <w:sz w:val="24"/>
          <w:szCs w:val="24"/>
        </w:rPr>
      </w:pPr>
      <w:r>
        <w:rPr>
          <w:rFonts w:cs="宋体" w:hint="eastAsia"/>
          <w:sz w:val="24"/>
          <w:szCs w:val="24"/>
        </w:rPr>
        <w:t>（4）度量风险。评估风险水平的高低，既有定性的度量手段，也有定量的度量手段。定性的度量是把风险水平划分为若干级别，每一种风险按其发生的可能性与后果的严重程度分别进入相应的级别。定量的方法则是设计一些风险指标，测量其数值的大小。</w:t>
      </w:r>
    </w:p>
    <w:p w14:paraId="54157780" w14:textId="77777777" w:rsidR="00BF4A4E" w:rsidRDefault="00BF4A4E">
      <w:pPr>
        <w:pStyle w:val="20"/>
        <w:adjustRightInd w:val="0"/>
        <w:snapToGrid w:val="0"/>
        <w:ind w:firstLine="480"/>
        <w:rPr>
          <w:rFonts w:cs="宋体"/>
          <w:sz w:val="24"/>
          <w:szCs w:val="24"/>
        </w:rPr>
      </w:pPr>
      <w:r>
        <w:rPr>
          <w:rFonts w:cs="宋体" w:hint="eastAsia"/>
          <w:sz w:val="24"/>
          <w:szCs w:val="24"/>
        </w:rPr>
        <w:t>（5）处理风险。将风险水平与既定的标准相对比，对于那些级别较低的风险，则承担它，但需加以监控。而对较为严重的风险，则实施一定的管理计划，对于一些后果极其严重的风险，则准备相应的应急处理措施。</w:t>
      </w:r>
    </w:p>
    <w:p w14:paraId="56965DCA" w14:textId="77777777" w:rsidR="00BF4A4E" w:rsidRDefault="00BF4A4E">
      <w:pPr>
        <w:pStyle w:val="20"/>
        <w:adjustRightInd w:val="0"/>
        <w:snapToGrid w:val="0"/>
        <w:ind w:firstLine="480"/>
        <w:rPr>
          <w:rFonts w:cs="宋体"/>
          <w:sz w:val="24"/>
          <w:szCs w:val="24"/>
        </w:rPr>
      </w:pPr>
      <w:r>
        <w:rPr>
          <w:rFonts w:cs="宋体" w:hint="eastAsia"/>
          <w:sz w:val="24"/>
          <w:szCs w:val="24"/>
        </w:rPr>
        <w:t>（6）监视与检查。对已有的风险管理系统要监视及评价其管理绩效，在必要时适时加以改变。</w:t>
      </w:r>
    </w:p>
    <w:p w14:paraId="6198E4A0" w14:textId="77777777" w:rsidR="00BF4A4E" w:rsidRDefault="00BF4A4E">
      <w:pPr>
        <w:pStyle w:val="20"/>
        <w:adjustRightInd w:val="0"/>
        <w:snapToGrid w:val="0"/>
        <w:ind w:firstLine="480"/>
        <w:rPr>
          <w:rFonts w:cs="宋体"/>
          <w:sz w:val="24"/>
          <w:szCs w:val="24"/>
        </w:rPr>
      </w:pPr>
      <w:r>
        <w:rPr>
          <w:rFonts w:cs="宋体" w:hint="eastAsia"/>
          <w:sz w:val="24"/>
          <w:szCs w:val="24"/>
        </w:rPr>
        <w:t>（7）报告与咨询。建立风险管理的报告系统，使公司股东、公司董事会、公司高级管理人员及监管部门了解公司风险管理状况，并寻求咨询意见。</w:t>
      </w:r>
    </w:p>
    <w:p w14:paraId="4187AA96" w14:textId="77777777" w:rsidR="00BF4A4E" w:rsidRDefault="00BF4A4E">
      <w:pPr>
        <w:pStyle w:val="20"/>
        <w:adjustRightInd w:val="0"/>
        <w:snapToGrid w:val="0"/>
        <w:ind w:firstLine="480"/>
        <w:rPr>
          <w:rFonts w:cs="宋体"/>
          <w:sz w:val="24"/>
          <w:szCs w:val="24"/>
        </w:rPr>
      </w:pPr>
      <w:r>
        <w:rPr>
          <w:rFonts w:cs="宋体" w:hint="eastAsia"/>
          <w:sz w:val="24"/>
          <w:szCs w:val="24"/>
        </w:rPr>
        <w:t>2、内部控制制度</w:t>
      </w:r>
    </w:p>
    <w:p w14:paraId="0CA81BE1" w14:textId="77777777" w:rsidR="00BF4A4E" w:rsidRDefault="00BF4A4E">
      <w:pPr>
        <w:pStyle w:val="20"/>
        <w:adjustRightInd w:val="0"/>
        <w:snapToGrid w:val="0"/>
        <w:ind w:firstLine="480"/>
        <w:rPr>
          <w:rFonts w:cs="宋体"/>
          <w:sz w:val="24"/>
          <w:szCs w:val="24"/>
        </w:rPr>
      </w:pPr>
      <w:r>
        <w:rPr>
          <w:rFonts w:cs="宋体" w:hint="eastAsia"/>
          <w:sz w:val="24"/>
          <w:szCs w:val="24"/>
        </w:rPr>
        <w:t>（1）内部控制的原则</w:t>
      </w:r>
    </w:p>
    <w:p w14:paraId="284242FB" w14:textId="77777777" w:rsidR="00BF4A4E" w:rsidRDefault="00BF4A4E">
      <w:pPr>
        <w:pStyle w:val="20"/>
        <w:adjustRightInd w:val="0"/>
        <w:snapToGrid w:val="0"/>
        <w:ind w:firstLine="480"/>
        <w:rPr>
          <w:rFonts w:cs="宋体"/>
          <w:sz w:val="24"/>
          <w:szCs w:val="24"/>
        </w:rPr>
      </w:pPr>
      <w:r>
        <w:rPr>
          <w:rFonts w:cs="宋体" w:hint="eastAsia"/>
          <w:sz w:val="24"/>
          <w:szCs w:val="24"/>
        </w:rPr>
        <w:t>1）全面性原则。内部控制制度覆盖公司的各项业务、各个部门和各级人员，并渗透到决策、执行、监督、反馈等各个经营环节。</w:t>
      </w:r>
    </w:p>
    <w:p w14:paraId="11107286" w14:textId="77777777" w:rsidR="00BF4A4E" w:rsidRDefault="00BF4A4E">
      <w:pPr>
        <w:pStyle w:val="20"/>
        <w:adjustRightInd w:val="0"/>
        <w:snapToGrid w:val="0"/>
        <w:ind w:firstLine="480"/>
        <w:rPr>
          <w:rFonts w:cs="宋体"/>
          <w:sz w:val="24"/>
          <w:szCs w:val="24"/>
        </w:rPr>
      </w:pPr>
      <w:r>
        <w:rPr>
          <w:rFonts w:cs="宋体" w:hint="eastAsia"/>
          <w:sz w:val="24"/>
          <w:szCs w:val="24"/>
        </w:rPr>
        <w:t>2）独立性原则。公司设立独立的督察长与监察稽核部门，并使它们保持高度的独立性与权威性。</w:t>
      </w:r>
    </w:p>
    <w:p w14:paraId="3F064244" w14:textId="77777777" w:rsidR="00BF4A4E" w:rsidRDefault="00BF4A4E">
      <w:pPr>
        <w:pStyle w:val="20"/>
        <w:adjustRightInd w:val="0"/>
        <w:snapToGrid w:val="0"/>
        <w:ind w:firstLine="480"/>
        <w:rPr>
          <w:rFonts w:cs="宋体"/>
          <w:sz w:val="24"/>
          <w:szCs w:val="24"/>
        </w:rPr>
      </w:pPr>
      <w:r>
        <w:rPr>
          <w:rFonts w:cs="宋体" w:hint="eastAsia"/>
          <w:sz w:val="24"/>
          <w:szCs w:val="24"/>
        </w:rPr>
        <w:t>3）相互制约原则。公司部门和岗位的设置权责分明、相互牵制，并通过切实可行的相互制衡措施来消除内部控制中的盲点。</w:t>
      </w:r>
    </w:p>
    <w:p w14:paraId="6E28FE65" w14:textId="77777777" w:rsidR="00BF4A4E" w:rsidRDefault="00BF4A4E">
      <w:pPr>
        <w:pStyle w:val="20"/>
        <w:adjustRightInd w:val="0"/>
        <w:snapToGrid w:val="0"/>
        <w:ind w:firstLine="480"/>
        <w:rPr>
          <w:rFonts w:cs="宋体"/>
          <w:sz w:val="24"/>
          <w:szCs w:val="24"/>
        </w:rPr>
      </w:pPr>
      <w:r>
        <w:rPr>
          <w:rFonts w:cs="宋体" w:hint="eastAsia"/>
          <w:sz w:val="24"/>
          <w:szCs w:val="24"/>
        </w:rPr>
        <w:t>4）有效性原则。公司的内部风险控制工作必须从实际出发，主要通过对工作流程的控制，进而达到对各项经营风险的控制。</w:t>
      </w:r>
    </w:p>
    <w:p w14:paraId="35B464C6" w14:textId="77777777" w:rsidR="00BF4A4E" w:rsidRDefault="00BF4A4E">
      <w:pPr>
        <w:pStyle w:val="20"/>
        <w:adjustRightInd w:val="0"/>
        <w:snapToGrid w:val="0"/>
        <w:ind w:firstLine="480"/>
        <w:rPr>
          <w:rFonts w:cs="宋体"/>
          <w:sz w:val="24"/>
          <w:szCs w:val="24"/>
        </w:rPr>
      </w:pPr>
      <w:r>
        <w:rPr>
          <w:rFonts w:cs="宋体" w:hint="eastAsia"/>
          <w:sz w:val="24"/>
          <w:szCs w:val="24"/>
        </w:rPr>
        <w:t>5）防火墙原则。公司的投资管理、基金运作、计算机技术系统等相关部门，在物理上和制度上适当隔离。对因业务需要知悉内幕信息的人员，制定严格的批准程序和监督处罚措施。</w:t>
      </w:r>
    </w:p>
    <w:p w14:paraId="648AD1F9" w14:textId="77777777" w:rsidR="00BF4A4E" w:rsidRDefault="00BF4A4E">
      <w:pPr>
        <w:pStyle w:val="20"/>
        <w:adjustRightInd w:val="0"/>
        <w:snapToGrid w:val="0"/>
        <w:ind w:firstLine="480"/>
        <w:rPr>
          <w:rFonts w:cs="宋体"/>
          <w:sz w:val="24"/>
          <w:szCs w:val="24"/>
        </w:rPr>
      </w:pPr>
      <w:r>
        <w:rPr>
          <w:rFonts w:cs="宋体" w:hint="eastAsia"/>
          <w:sz w:val="24"/>
          <w:szCs w:val="24"/>
        </w:rPr>
        <w:t>6）适时性原则。公司内部风险控制制度的制定，应具有前瞻性，并且必须随着公司经营战略、经营方针、经营理念等内部环境的变化和国家法律、法规、</w:t>
      </w:r>
      <w:r>
        <w:rPr>
          <w:rFonts w:cs="宋体" w:hint="eastAsia"/>
          <w:sz w:val="24"/>
          <w:szCs w:val="24"/>
        </w:rPr>
        <w:lastRenderedPageBreak/>
        <w:t>政策制度等外部环境的改变及时进行相应的修改和完善。</w:t>
      </w:r>
    </w:p>
    <w:p w14:paraId="3CA639B0" w14:textId="77777777" w:rsidR="00BF4A4E" w:rsidRDefault="00BF4A4E">
      <w:pPr>
        <w:pStyle w:val="20"/>
        <w:adjustRightInd w:val="0"/>
        <w:snapToGrid w:val="0"/>
        <w:ind w:firstLine="480"/>
        <w:rPr>
          <w:rFonts w:cs="宋体"/>
          <w:sz w:val="24"/>
          <w:szCs w:val="24"/>
        </w:rPr>
      </w:pPr>
      <w:r>
        <w:rPr>
          <w:rFonts w:cs="宋体" w:hint="eastAsia"/>
          <w:sz w:val="24"/>
          <w:szCs w:val="24"/>
        </w:rPr>
        <w:t>（2）内部控制的主要内容</w:t>
      </w:r>
    </w:p>
    <w:p w14:paraId="4FFFF4EC" w14:textId="77777777" w:rsidR="00BF4A4E" w:rsidRDefault="00BF4A4E">
      <w:pPr>
        <w:pStyle w:val="20"/>
        <w:adjustRightInd w:val="0"/>
        <w:snapToGrid w:val="0"/>
        <w:ind w:firstLine="480"/>
        <w:rPr>
          <w:rFonts w:cs="宋体"/>
          <w:sz w:val="24"/>
          <w:szCs w:val="24"/>
        </w:rPr>
      </w:pPr>
      <w:r>
        <w:rPr>
          <w:rFonts w:cs="宋体" w:hint="eastAsia"/>
          <w:sz w:val="24"/>
          <w:szCs w:val="24"/>
        </w:rPr>
        <w:t>1）控制环境</w:t>
      </w:r>
    </w:p>
    <w:p w14:paraId="2963CF5D" w14:textId="77777777" w:rsidR="00BF4A4E" w:rsidRDefault="00BF4A4E">
      <w:pPr>
        <w:pStyle w:val="20"/>
        <w:adjustRightInd w:val="0"/>
        <w:snapToGrid w:val="0"/>
        <w:ind w:firstLine="480"/>
        <w:rPr>
          <w:rFonts w:cs="宋体"/>
          <w:sz w:val="24"/>
          <w:szCs w:val="24"/>
        </w:rPr>
      </w:pPr>
      <w:r>
        <w:rPr>
          <w:rFonts w:cs="宋体" w:hint="eastAsia"/>
          <w:sz w:val="24"/>
          <w:szCs w:val="24"/>
        </w:rPr>
        <w:t>公司董事会重视建立完善的公司治理结构与内部控制体系。基金管理人在董事会下设立了风险控制委员会，负责针对公司在经营管理和基金运作中的风险进行研究并制定相应的控制制度。在特殊情况下，风险控制委员会可依据其职权，在上报董事会的同时，对公司业务进行一定的干预。</w:t>
      </w:r>
    </w:p>
    <w:p w14:paraId="7516DD27" w14:textId="77777777" w:rsidR="00BF4A4E" w:rsidRDefault="00BF4A4E">
      <w:pPr>
        <w:pStyle w:val="20"/>
        <w:adjustRightInd w:val="0"/>
        <w:snapToGrid w:val="0"/>
        <w:ind w:firstLine="480"/>
        <w:rPr>
          <w:rFonts w:cs="宋体"/>
          <w:sz w:val="24"/>
          <w:szCs w:val="24"/>
        </w:rPr>
      </w:pPr>
      <w:r>
        <w:rPr>
          <w:rFonts w:cs="宋体" w:hint="eastAsia"/>
          <w:sz w:val="24"/>
          <w:szCs w:val="24"/>
        </w:rPr>
        <w:t>公司管理层在总经理领导下，认真执行董事会确定的内部控制战略，为了有效贯彻公司董事会制定的经营方针及发展战略，设立了投资决策委员会，就基金投资等发表专业意见及建议。</w:t>
      </w:r>
    </w:p>
    <w:p w14:paraId="092F0E1E" w14:textId="77777777" w:rsidR="00BF4A4E" w:rsidRDefault="00BF4A4E">
      <w:pPr>
        <w:pStyle w:val="20"/>
        <w:adjustRightInd w:val="0"/>
        <w:snapToGrid w:val="0"/>
        <w:ind w:firstLine="480"/>
        <w:rPr>
          <w:rFonts w:cs="宋体"/>
          <w:sz w:val="24"/>
          <w:szCs w:val="24"/>
        </w:rPr>
      </w:pPr>
      <w:r>
        <w:rPr>
          <w:rFonts w:cs="宋体" w:hint="eastAsia"/>
          <w:sz w:val="24"/>
          <w:szCs w:val="24"/>
        </w:rPr>
        <w:t>此外，公司设有督察长，组织指导公司的监察与稽核工作，对公司和基金运作的合法性、合规性进行全面检查与监督，发生重大合规事件时向公司董事长和中国证监会报告。</w:t>
      </w:r>
    </w:p>
    <w:p w14:paraId="6D3D4C91" w14:textId="77777777" w:rsidR="00BF4A4E" w:rsidRDefault="00BF4A4E">
      <w:pPr>
        <w:pStyle w:val="20"/>
        <w:adjustRightInd w:val="0"/>
        <w:snapToGrid w:val="0"/>
        <w:ind w:firstLine="480"/>
        <w:rPr>
          <w:rFonts w:cs="宋体"/>
          <w:sz w:val="24"/>
          <w:szCs w:val="24"/>
        </w:rPr>
      </w:pPr>
      <w:r>
        <w:rPr>
          <w:rFonts w:cs="宋体" w:hint="eastAsia"/>
          <w:sz w:val="24"/>
          <w:szCs w:val="24"/>
        </w:rPr>
        <w:t>2）风险评估</w:t>
      </w:r>
    </w:p>
    <w:p w14:paraId="63AF554E" w14:textId="77777777" w:rsidR="00BF4A4E" w:rsidRDefault="00BF4A4E">
      <w:pPr>
        <w:pStyle w:val="20"/>
        <w:adjustRightInd w:val="0"/>
        <w:snapToGrid w:val="0"/>
        <w:ind w:firstLine="480"/>
        <w:rPr>
          <w:rFonts w:cs="宋体"/>
          <w:sz w:val="24"/>
          <w:szCs w:val="24"/>
        </w:rPr>
      </w:pPr>
      <w:r>
        <w:rPr>
          <w:rFonts w:cs="宋体" w:hint="eastAsia"/>
          <w:sz w:val="24"/>
          <w:szCs w:val="24"/>
        </w:rPr>
        <w:t>公司风险控制人员定期评估公司风险状况，范围包括所有能对经营目标产生负面影响的内部和外部因素，评估这些因素对公司总体经营目标产生影响的程度及可能性，并将评估报告报公司董事会及高层管理人员。</w:t>
      </w:r>
    </w:p>
    <w:p w14:paraId="58686A46" w14:textId="77777777" w:rsidR="00BF4A4E" w:rsidRDefault="00BF4A4E">
      <w:pPr>
        <w:pStyle w:val="20"/>
        <w:adjustRightInd w:val="0"/>
        <w:snapToGrid w:val="0"/>
        <w:ind w:firstLine="480"/>
        <w:rPr>
          <w:rFonts w:cs="宋体"/>
          <w:sz w:val="24"/>
          <w:szCs w:val="24"/>
        </w:rPr>
      </w:pPr>
      <w:r>
        <w:rPr>
          <w:rFonts w:cs="宋体" w:hint="eastAsia"/>
          <w:sz w:val="24"/>
          <w:szCs w:val="24"/>
        </w:rPr>
        <w:t>3）操作控制</w:t>
      </w:r>
    </w:p>
    <w:p w14:paraId="38C1F092" w14:textId="77777777" w:rsidR="00BF4A4E" w:rsidRDefault="00BF4A4E">
      <w:pPr>
        <w:pStyle w:val="20"/>
        <w:adjustRightInd w:val="0"/>
        <w:snapToGrid w:val="0"/>
        <w:ind w:firstLine="480"/>
        <w:rPr>
          <w:rFonts w:cs="宋体"/>
          <w:sz w:val="24"/>
          <w:szCs w:val="24"/>
        </w:rPr>
      </w:pPr>
      <w:r>
        <w:rPr>
          <w:rFonts w:cs="宋体" w:hint="eastAsia"/>
          <w:sz w:val="24"/>
          <w:szCs w:val="24"/>
        </w:rPr>
        <w:t>公司内部组织结构的设计方面，体现部门之间职责有分工，但部门之间又相互合作与制衡的原则。基金投资管理、基金运作、市场等业务部门有明确的授权分工，各部门的操作相互独立，并且有独立的报告系统。各业务部门之间相互核对、相互牵制。</w:t>
      </w:r>
    </w:p>
    <w:p w14:paraId="0336F586" w14:textId="77777777" w:rsidR="00BF4A4E" w:rsidRDefault="00BF4A4E">
      <w:pPr>
        <w:pStyle w:val="20"/>
        <w:adjustRightInd w:val="0"/>
        <w:snapToGrid w:val="0"/>
        <w:ind w:firstLine="480"/>
        <w:rPr>
          <w:rFonts w:cs="宋体"/>
          <w:sz w:val="24"/>
          <w:szCs w:val="24"/>
        </w:rPr>
      </w:pPr>
      <w:r>
        <w:rPr>
          <w:rFonts w:cs="宋体" w:hint="eastAsia"/>
          <w:sz w:val="24"/>
          <w:szCs w:val="24"/>
        </w:rPr>
        <w:t>各业务部门内部工作岗位分工合理、职责明确，形成相互检查、相互制约的关系，以减少舞弊或差错发生的风险，各工作岗位均制定有相应的书面管理制度。</w:t>
      </w:r>
    </w:p>
    <w:p w14:paraId="6E75B90B" w14:textId="77777777" w:rsidR="00BF4A4E" w:rsidRDefault="00BF4A4E">
      <w:pPr>
        <w:pStyle w:val="20"/>
        <w:adjustRightInd w:val="0"/>
        <w:snapToGrid w:val="0"/>
        <w:ind w:firstLine="480"/>
        <w:rPr>
          <w:rFonts w:cs="宋体"/>
          <w:sz w:val="24"/>
          <w:szCs w:val="24"/>
        </w:rPr>
      </w:pPr>
      <w:r>
        <w:rPr>
          <w:rFonts w:cs="宋体" w:hint="eastAsia"/>
          <w:sz w:val="24"/>
          <w:szCs w:val="24"/>
        </w:rPr>
        <w:t>在明确的岗位责任制度基础上，设置科学、合理、标准化的业务操作流程，每项业务操作有清晰、书面化的操作手册，同时，规定完备的处理手续，</w:t>
      </w:r>
      <w:r w:rsidR="00871306">
        <w:rPr>
          <w:rFonts w:cs="宋体" w:hint="eastAsia"/>
          <w:sz w:val="24"/>
          <w:szCs w:val="24"/>
        </w:rPr>
        <w:t>指定</w:t>
      </w:r>
      <w:r>
        <w:rPr>
          <w:rFonts w:cs="宋体" w:hint="eastAsia"/>
          <w:sz w:val="24"/>
          <w:szCs w:val="24"/>
        </w:rPr>
        <w:t>人员进行处理。</w:t>
      </w:r>
    </w:p>
    <w:p w14:paraId="3548D103" w14:textId="77777777" w:rsidR="00BF4A4E" w:rsidRDefault="00BF4A4E">
      <w:pPr>
        <w:pStyle w:val="20"/>
        <w:adjustRightInd w:val="0"/>
        <w:snapToGrid w:val="0"/>
        <w:ind w:firstLine="480"/>
        <w:rPr>
          <w:rFonts w:cs="宋体"/>
          <w:sz w:val="24"/>
          <w:szCs w:val="24"/>
        </w:rPr>
      </w:pPr>
      <w:r>
        <w:rPr>
          <w:rFonts w:cs="宋体" w:hint="eastAsia"/>
          <w:sz w:val="24"/>
          <w:szCs w:val="24"/>
        </w:rPr>
        <w:t>4）信息与沟通</w:t>
      </w:r>
    </w:p>
    <w:p w14:paraId="45872DCA" w14:textId="77777777" w:rsidR="00BF4A4E" w:rsidRDefault="00BF4A4E">
      <w:pPr>
        <w:pStyle w:val="20"/>
        <w:adjustRightInd w:val="0"/>
        <w:snapToGrid w:val="0"/>
        <w:ind w:firstLine="480"/>
        <w:rPr>
          <w:rFonts w:cs="宋体"/>
          <w:sz w:val="24"/>
          <w:szCs w:val="24"/>
        </w:rPr>
      </w:pPr>
      <w:r>
        <w:rPr>
          <w:rFonts w:cs="宋体" w:hint="eastAsia"/>
          <w:sz w:val="24"/>
          <w:szCs w:val="24"/>
        </w:rPr>
        <w:t>公司建立了内部办公自动化信息系统与业务汇报体系，通过建立有效的信息交流渠道，保证公司员工及各级管理人员可以充分了解与其职责相关的信息，保</w:t>
      </w:r>
      <w:r>
        <w:rPr>
          <w:rFonts w:cs="宋体" w:hint="eastAsia"/>
          <w:sz w:val="24"/>
          <w:szCs w:val="24"/>
        </w:rPr>
        <w:lastRenderedPageBreak/>
        <w:t>证信息及时送达适当的人员进行处理。</w:t>
      </w:r>
    </w:p>
    <w:p w14:paraId="6DF48615" w14:textId="77777777" w:rsidR="00BF4A4E" w:rsidRDefault="00BF4A4E">
      <w:pPr>
        <w:pStyle w:val="20"/>
        <w:adjustRightInd w:val="0"/>
        <w:snapToGrid w:val="0"/>
        <w:ind w:firstLine="480"/>
        <w:rPr>
          <w:rFonts w:cs="宋体"/>
          <w:sz w:val="24"/>
          <w:szCs w:val="24"/>
        </w:rPr>
      </w:pPr>
      <w:r>
        <w:rPr>
          <w:rFonts w:cs="宋体" w:hint="eastAsia"/>
          <w:sz w:val="24"/>
          <w:szCs w:val="24"/>
        </w:rPr>
        <w:t>5）监督与内部稽核</w:t>
      </w:r>
    </w:p>
    <w:p w14:paraId="58C8BC74" w14:textId="77777777" w:rsidR="00BF4A4E" w:rsidRDefault="00BF4A4E">
      <w:pPr>
        <w:pStyle w:val="20"/>
        <w:adjustRightInd w:val="0"/>
        <w:snapToGrid w:val="0"/>
        <w:ind w:firstLine="480"/>
        <w:rPr>
          <w:rFonts w:cs="宋体"/>
          <w:sz w:val="24"/>
          <w:szCs w:val="24"/>
        </w:rPr>
      </w:pPr>
      <w:r>
        <w:rPr>
          <w:rFonts w:cs="宋体" w:hint="eastAsia"/>
          <w:sz w:val="24"/>
          <w:szCs w:val="24"/>
        </w:rPr>
        <w:t>基金管理人设立了独立于各业务部门的监察稽核部，其中监察稽核人员履行内部稽核职能，检查、评价公司内部控制制度合法合规性。监察稽核人员具有相对的独立性，定期出具合规报告，报公司督察长、董事会及中国证监会。</w:t>
      </w:r>
    </w:p>
    <w:p w14:paraId="27F28C7A" w14:textId="77777777" w:rsidR="00BF4A4E" w:rsidRDefault="00BF4A4E">
      <w:pPr>
        <w:pStyle w:val="20"/>
        <w:adjustRightInd w:val="0"/>
        <w:snapToGrid w:val="0"/>
        <w:ind w:firstLine="480"/>
        <w:rPr>
          <w:rFonts w:cs="宋体"/>
          <w:sz w:val="24"/>
          <w:szCs w:val="24"/>
        </w:rPr>
      </w:pPr>
      <w:r>
        <w:rPr>
          <w:rFonts w:cs="宋体" w:hint="eastAsia"/>
          <w:sz w:val="24"/>
          <w:szCs w:val="24"/>
        </w:rPr>
        <w:t>（3）基金管理人关于内部控制制度的声明</w:t>
      </w:r>
    </w:p>
    <w:p w14:paraId="1F03F219" w14:textId="77777777" w:rsidR="00BF4A4E" w:rsidRDefault="00BF4A4E">
      <w:pPr>
        <w:pStyle w:val="20"/>
        <w:adjustRightInd w:val="0"/>
        <w:snapToGrid w:val="0"/>
        <w:ind w:firstLine="480"/>
        <w:rPr>
          <w:rFonts w:cs="宋体"/>
          <w:sz w:val="24"/>
          <w:szCs w:val="24"/>
        </w:rPr>
      </w:pPr>
      <w:r>
        <w:rPr>
          <w:rFonts w:cs="宋体" w:hint="eastAsia"/>
          <w:sz w:val="24"/>
          <w:szCs w:val="24"/>
        </w:rPr>
        <w:t>1）基金管理人确知建立、实施和维持内部控制制度是基金管理人董事会及管理层的责任；</w:t>
      </w:r>
    </w:p>
    <w:p w14:paraId="756B7163" w14:textId="77777777" w:rsidR="00BF4A4E" w:rsidRDefault="00BF4A4E">
      <w:pPr>
        <w:pStyle w:val="20"/>
        <w:adjustRightInd w:val="0"/>
        <w:snapToGrid w:val="0"/>
        <w:ind w:firstLine="480"/>
        <w:rPr>
          <w:rFonts w:cs="宋体"/>
          <w:sz w:val="24"/>
          <w:szCs w:val="24"/>
        </w:rPr>
      </w:pPr>
      <w:r>
        <w:rPr>
          <w:rFonts w:cs="宋体" w:hint="eastAsia"/>
          <w:sz w:val="24"/>
          <w:szCs w:val="24"/>
        </w:rPr>
        <w:t>2）上述关于内部控制制度的披露真实、准确；</w:t>
      </w:r>
    </w:p>
    <w:p w14:paraId="35E9C7AB" w14:textId="77777777" w:rsidR="00BF4A4E" w:rsidRDefault="00BF4A4E">
      <w:pPr>
        <w:pStyle w:val="20"/>
        <w:adjustRightInd w:val="0"/>
        <w:snapToGrid w:val="0"/>
        <w:ind w:firstLine="480"/>
        <w:rPr>
          <w:sz w:val="24"/>
        </w:rPr>
      </w:pPr>
      <w:r>
        <w:rPr>
          <w:rFonts w:cs="宋体" w:hint="eastAsia"/>
          <w:sz w:val="24"/>
          <w:szCs w:val="24"/>
        </w:rPr>
        <w:t>3）基金管理人承诺将根据市场环境的变化及基金管理人的发展不断完善内部控制制度。</w:t>
      </w:r>
    </w:p>
    <w:p w14:paraId="649DC9C1" w14:textId="77777777" w:rsidR="00BF4A4E" w:rsidRDefault="00BF4A4E">
      <w:pPr>
        <w:pStyle w:val="1"/>
        <w:adjustRightInd w:val="0"/>
        <w:snapToGrid w:val="0"/>
        <w:spacing w:before="0" w:after="0" w:line="360" w:lineRule="auto"/>
        <w:jc w:val="center"/>
        <w:rPr>
          <w:rFonts w:ascii="宋体" w:hAnsi="宋体"/>
        </w:rPr>
      </w:pPr>
      <w:r>
        <w:rPr>
          <w:rFonts w:ascii="宋体" w:hAnsi="宋体"/>
        </w:rPr>
        <w:br w:type="page"/>
      </w:r>
      <w:bookmarkStart w:id="31" w:name="_Toc103003346"/>
      <w:r>
        <w:rPr>
          <w:rFonts w:ascii="宋体" w:hAnsi="宋体"/>
        </w:rPr>
        <w:lastRenderedPageBreak/>
        <w:t>第</w:t>
      </w:r>
      <w:r>
        <w:rPr>
          <w:rFonts w:ascii="宋体" w:hAnsi="宋体" w:hint="eastAsia"/>
        </w:rPr>
        <w:t>四</w:t>
      </w:r>
      <w:r>
        <w:rPr>
          <w:rFonts w:ascii="宋体" w:hAnsi="宋体"/>
        </w:rPr>
        <w:t>部分</w:t>
      </w:r>
      <w:r>
        <w:rPr>
          <w:rFonts w:ascii="宋体" w:hAnsi="宋体" w:hint="eastAsia"/>
        </w:rPr>
        <w:t xml:space="preserve">  基金托管人</w:t>
      </w:r>
      <w:bookmarkEnd w:id="31"/>
    </w:p>
    <w:p w14:paraId="5E715AA0" w14:textId="77777777" w:rsidR="00A24E6F" w:rsidRDefault="00A24E6F" w:rsidP="00A24E6F">
      <w:pPr>
        <w:spacing w:line="360" w:lineRule="auto"/>
        <w:ind w:firstLineChars="200" w:firstLine="480"/>
        <w:rPr>
          <w:rFonts w:ascii="宋体" w:hAnsi="宋体" w:cs="宋体"/>
          <w:sz w:val="24"/>
        </w:rPr>
      </w:pPr>
      <w:r>
        <w:rPr>
          <w:rFonts w:ascii="宋体" w:hAnsi="宋体" w:cs="宋体" w:hint="eastAsia"/>
          <w:kern w:val="0"/>
          <w:sz w:val="24"/>
          <w:lang w:bidi="ar"/>
        </w:rPr>
        <w:t>（一）基金托管人概况</w:t>
      </w:r>
    </w:p>
    <w:p w14:paraId="0D33CFE8" w14:textId="77777777" w:rsidR="009F0506" w:rsidRDefault="009F0506" w:rsidP="009F0506">
      <w:pPr>
        <w:spacing w:line="360" w:lineRule="auto"/>
        <w:ind w:firstLineChars="200" w:firstLine="480"/>
        <w:rPr>
          <w:rFonts w:ascii="宋体" w:hAnsi="宋体"/>
          <w:sz w:val="24"/>
        </w:rPr>
      </w:pPr>
      <w:r>
        <w:rPr>
          <w:rFonts w:ascii="宋体" w:hAnsi="宋体" w:hint="eastAsia"/>
          <w:sz w:val="24"/>
        </w:rPr>
        <w:t>1、基本情况</w:t>
      </w:r>
    </w:p>
    <w:p w14:paraId="17BBA969" w14:textId="77777777" w:rsidR="009F0506" w:rsidRDefault="009F0506" w:rsidP="009F0506">
      <w:pPr>
        <w:spacing w:line="360" w:lineRule="auto"/>
        <w:ind w:firstLineChars="200" w:firstLine="480"/>
        <w:rPr>
          <w:rFonts w:ascii="宋体" w:hAnsi="宋体"/>
          <w:sz w:val="24"/>
        </w:rPr>
      </w:pPr>
      <w:r>
        <w:rPr>
          <w:rFonts w:ascii="宋体" w:hAnsi="宋体" w:hint="eastAsia"/>
          <w:sz w:val="24"/>
        </w:rPr>
        <w:t>名称：招商银行股份有限公司（以下简称“招商银行”）</w:t>
      </w:r>
    </w:p>
    <w:p w14:paraId="155EE87B" w14:textId="77777777" w:rsidR="009F0506" w:rsidRDefault="009F0506" w:rsidP="009F0506">
      <w:pPr>
        <w:spacing w:line="360" w:lineRule="auto"/>
        <w:ind w:firstLineChars="200" w:firstLine="480"/>
        <w:rPr>
          <w:rFonts w:ascii="宋体" w:hAnsi="宋体"/>
          <w:sz w:val="24"/>
        </w:rPr>
      </w:pPr>
      <w:r>
        <w:rPr>
          <w:rFonts w:ascii="宋体" w:hAnsi="宋体" w:hint="eastAsia"/>
          <w:sz w:val="24"/>
        </w:rPr>
        <w:t>设立日期：1987年4月8日</w:t>
      </w:r>
    </w:p>
    <w:p w14:paraId="75096729" w14:textId="77777777" w:rsidR="009F0506" w:rsidRDefault="009F0506" w:rsidP="009F0506">
      <w:pPr>
        <w:spacing w:line="360" w:lineRule="auto"/>
        <w:ind w:firstLineChars="200" w:firstLine="480"/>
        <w:rPr>
          <w:rFonts w:ascii="宋体" w:hAnsi="宋体"/>
          <w:sz w:val="24"/>
        </w:rPr>
      </w:pPr>
      <w:r>
        <w:rPr>
          <w:rFonts w:ascii="宋体" w:hAnsi="宋体" w:hint="eastAsia"/>
          <w:sz w:val="24"/>
        </w:rPr>
        <w:t>注册地址：深圳市深南大道7088号招商银行大厦</w:t>
      </w:r>
    </w:p>
    <w:p w14:paraId="04C77DBE" w14:textId="77777777" w:rsidR="009F0506" w:rsidRDefault="009F0506" w:rsidP="009F0506">
      <w:pPr>
        <w:spacing w:line="360" w:lineRule="auto"/>
        <w:ind w:firstLineChars="200" w:firstLine="480"/>
        <w:rPr>
          <w:rFonts w:ascii="宋体" w:hAnsi="宋体"/>
          <w:sz w:val="24"/>
        </w:rPr>
      </w:pPr>
      <w:r>
        <w:rPr>
          <w:rFonts w:ascii="宋体" w:hAnsi="宋体" w:hint="eastAsia"/>
          <w:sz w:val="24"/>
        </w:rPr>
        <w:t>办公地址：深圳市深南大道7088号招商银行大厦</w:t>
      </w:r>
    </w:p>
    <w:p w14:paraId="742FA096" w14:textId="77777777" w:rsidR="009F0506" w:rsidRDefault="009F0506" w:rsidP="009F0506">
      <w:pPr>
        <w:spacing w:line="360" w:lineRule="auto"/>
        <w:ind w:firstLineChars="200" w:firstLine="480"/>
        <w:rPr>
          <w:rFonts w:ascii="宋体" w:hAnsi="宋体"/>
          <w:sz w:val="24"/>
        </w:rPr>
      </w:pPr>
      <w:r>
        <w:rPr>
          <w:rFonts w:ascii="宋体" w:hAnsi="宋体" w:hint="eastAsia"/>
          <w:sz w:val="24"/>
        </w:rPr>
        <w:t>注册资本：252.20亿元</w:t>
      </w:r>
    </w:p>
    <w:p w14:paraId="62308E08" w14:textId="77777777" w:rsidR="009F0506" w:rsidRDefault="009F0506" w:rsidP="009F0506">
      <w:pPr>
        <w:spacing w:line="360" w:lineRule="auto"/>
        <w:ind w:firstLineChars="200" w:firstLine="480"/>
        <w:rPr>
          <w:rFonts w:ascii="宋体" w:hAnsi="宋体"/>
          <w:sz w:val="24"/>
        </w:rPr>
      </w:pPr>
      <w:r>
        <w:rPr>
          <w:rFonts w:ascii="宋体" w:hAnsi="宋体" w:hint="eastAsia"/>
          <w:sz w:val="24"/>
        </w:rPr>
        <w:t>法定代表人：缪建民</w:t>
      </w:r>
    </w:p>
    <w:p w14:paraId="7BC5A657" w14:textId="77777777" w:rsidR="009F0506" w:rsidRDefault="009F0506" w:rsidP="009F0506">
      <w:pPr>
        <w:spacing w:line="360" w:lineRule="auto"/>
        <w:ind w:firstLineChars="200" w:firstLine="480"/>
        <w:rPr>
          <w:rFonts w:ascii="宋体" w:hAnsi="宋体"/>
          <w:sz w:val="24"/>
        </w:rPr>
      </w:pPr>
      <w:r>
        <w:rPr>
          <w:rFonts w:ascii="宋体" w:hAnsi="宋体" w:hint="eastAsia"/>
          <w:sz w:val="24"/>
        </w:rPr>
        <w:t>行长：王良</w:t>
      </w:r>
    </w:p>
    <w:p w14:paraId="688B44D9" w14:textId="77777777" w:rsidR="009F0506" w:rsidRDefault="009F0506" w:rsidP="009F0506">
      <w:pPr>
        <w:spacing w:line="360" w:lineRule="auto"/>
        <w:ind w:firstLineChars="200" w:firstLine="480"/>
        <w:rPr>
          <w:rFonts w:ascii="宋体" w:hAnsi="宋体"/>
          <w:sz w:val="24"/>
        </w:rPr>
      </w:pPr>
      <w:r>
        <w:rPr>
          <w:rFonts w:ascii="宋体" w:hAnsi="宋体" w:hint="eastAsia"/>
          <w:sz w:val="24"/>
        </w:rPr>
        <w:t>资产托管业务批准文号：证监基金字[2002]83号</w:t>
      </w:r>
    </w:p>
    <w:p w14:paraId="41DD32BE" w14:textId="77777777" w:rsidR="009F0506" w:rsidRDefault="009F0506" w:rsidP="009F0506">
      <w:pPr>
        <w:spacing w:line="360" w:lineRule="auto"/>
        <w:ind w:firstLineChars="200" w:firstLine="480"/>
        <w:rPr>
          <w:rFonts w:ascii="宋体" w:hAnsi="宋体"/>
          <w:sz w:val="24"/>
        </w:rPr>
      </w:pPr>
      <w:r>
        <w:rPr>
          <w:rFonts w:ascii="宋体" w:hAnsi="宋体" w:hint="eastAsia"/>
          <w:sz w:val="24"/>
        </w:rPr>
        <w:t>电话：4006195555</w:t>
      </w:r>
    </w:p>
    <w:p w14:paraId="5DF06ACE" w14:textId="77777777" w:rsidR="009F0506" w:rsidRDefault="009F0506" w:rsidP="009F0506">
      <w:pPr>
        <w:spacing w:line="360" w:lineRule="auto"/>
        <w:ind w:firstLineChars="200" w:firstLine="480"/>
        <w:rPr>
          <w:rFonts w:ascii="宋体" w:hAnsi="宋体"/>
          <w:sz w:val="24"/>
        </w:rPr>
      </w:pPr>
      <w:r>
        <w:rPr>
          <w:rFonts w:ascii="宋体" w:hAnsi="宋体" w:hint="eastAsia"/>
          <w:sz w:val="24"/>
        </w:rPr>
        <w:t>传真：0755-83195201</w:t>
      </w:r>
    </w:p>
    <w:p w14:paraId="6B3E3B1F" w14:textId="77777777" w:rsidR="009F0506" w:rsidRDefault="009F0506" w:rsidP="009F0506">
      <w:pPr>
        <w:spacing w:line="360" w:lineRule="auto"/>
        <w:ind w:firstLineChars="200" w:firstLine="480"/>
        <w:rPr>
          <w:rFonts w:ascii="宋体" w:hAnsi="宋体"/>
          <w:sz w:val="24"/>
        </w:rPr>
      </w:pPr>
      <w:r>
        <w:rPr>
          <w:rFonts w:ascii="宋体" w:hAnsi="宋体" w:hint="eastAsia"/>
          <w:sz w:val="24"/>
        </w:rPr>
        <w:t>资产托管部信息披露负责人：张姗</w:t>
      </w:r>
    </w:p>
    <w:p w14:paraId="4D6F0FBE" w14:textId="77777777" w:rsidR="009F0506" w:rsidRDefault="009F0506" w:rsidP="009F0506">
      <w:pPr>
        <w:spacing w:line="360" w:lineRule="auto"/>
        <w:ind w:firstLineChars="200" w:firstLine="480"/>
        <w:rPr>
          <w:rFonts w:ascii="宋体" w:hAnsi="宋体"/>
          <w:sz w:val="24"/>
        </w:rPr>
      </w:pPr>
      <w:r>
        <w:rPr>
          <w:rFonts w:ascii="宋体" w:hAnsi="宋体" w:hint="eastAsia"/>
          <w:sz w:val="24"/>
        </w:rPr>
        <w:t xml:space="preserve">2、发展概况   </w:t>
      </w:r>
    </w:p>
    <w:p w14:paraId="38BBD30D" w14:textId="77777777" w:rsidR="009F0506" w:rsidRDefault="009F0506" w:rsidP="009F0506">
      <w:pPr>
        <w:spacing w:line="360" w:lineRule="auto"/>
        <w:ind w:firstLineChars="200" w:firstLine="480"/>
        <w:rPr>
          <w:rFonts w:ascii="宋体" w:hAnsi="宋体"/>
          <w:sz w:val="24"/>
        </w:rPr>
      </w:pPr>
      <w:r>
        <w:rPr>
          <w:rFonts w:ascii="宋体" w:hAnsi="宋体" w:hint="eastAsia"/>
          <w:sz w:val="24"/>
        </w:rPr>
        <w:t>招商银行成立于1987年4月8日，是我国第一家完全由企业法人持股的股份制商业银行，总行设在深圳。自成立以来，招商银行先后进行了三次增资扩股，并于2002年3月成功地发行了15亿A股，4月9日在上交所挂牌（股票代码：600036），是国内第一家采用国际会计标准上市的公司。2006年9月又成功发行了22亿H股，9月22日在香港联交所挂牌交易（股票代码：3968），10月5日行使H股超额配售，共发行了24.2亿H股。截至2025年3月31日，本集团总资产125,297.92亿元人民币，高级法下资本充足率19.06%，权重法下资本充足率15.62%。</w:t>
      </w:r>
    </w:p>
    <w:p w14:paraId="189C6A33" w14:textId="77777777" w:rsidR="009F0506" w:rsidRDefault="009F0506" w:rsidP="009F0506">
      <w:pPr>
        <w:spacing w:line="360" w:lineRule="auto"/>
        <w:ind w:firstLineChars="200" w:firstLine="480"/>
        <w:rPr>
          <w:rFonts w:ascii="宋体" w:hAnsi="宋体"/>
          <w:sz w:val="24"/>
        </w:rPr>
      </w:pPr>
      <w:r>
        <w:rPr>
          <w:rFonts w:ascii="宋体" w:hAnsi="宋体" w:hint="eastAsia"/>
          <w:sz w:val="24"/>
        </w:rPr>
        <w:t>2002年8月，招商银行成立基金托管部；2005年8月，经报中国证监会同意，更名为资产托管部，现下设基金券商团队、银保信托团队、养老金团队、业务管理团队、产品研发团队、风险管理团队、系统与数据团队、项目支持团队、运营管理团队、基金外包业务团队10个职能团队，现有员工261人。2002年11月，经中国人民银行和中国证监会批准获得证券投资基金托管业务资格，成为国内第一家获得该项业务资格上市银行；2003年4月，正式办理基金托管业务。</w:t>
      </w:r>
      <w:r>
        <w:rPr>
          <w:rFonts w:ascii="宋体" w:hAnsi="宋体" w:hint="eastAsia"/>
          <w:sz w:val="24"/>
        </w:rPr>
        <w:lastRenderedPageBreak/>
        <w:t>招商银行作为托管业务资质最全的商业银行之一，拥有证券投资基金托管资格、基本养老保险基金托管机构资格、受托投资管理托管业务托管资格、保险资金托管业务资格、企业年金基金托管业务资格、合格境外机构投资者托管（QFII）资格、合格境内机构投资者托管（QDII）资格、私募基金业务外包服务资格、存托凭证试点存托业务等业务资格。</w:t>
      </w:r>
    </w:p>
    <w:p w14:paraId="43A2DD26" w14:textId="77777777" w:rsidR="009F0506" w:rsidRDefault="009F0506" w:rsidP="009F0506">
      <w:pPr>
        <w:spacing w:line="360" w:lineRule="auto"/>
        <w:ind w:firstLineChars="200" w:firstLine="480"/>
        <w:rPr>
          <w:rFonts w:ascii="宋体" w:hAnsi="宋体"/>
          <w:sz w:val="24"/>
        </w:rPr>
      </w:pPr>
      <w:r>
        <w:rPr>
          <w:rFonts w:ascii="宋体" w:hAnsi="宋体" w:hint="eastAsia"/>
          <w:sz w:val="24"/>
        </w:rPr>
        <w:t>招商银行资产托管结合自身在托管行业深耕23年的专业能力和创新精神，推出“招商银行托管+”服务品牌，以“践行价值银行战略，致力于成为专业更精、科技更强、服务更佳的客户首选全球托管银行”品牌愿景为指引，以“值得信赖的专家、贴心服务的管家、让价值持续增加、客户的体验更佳”的“4+目标”，以创新的“服务产品化”为方法论，全方位助力资管机构实现可持续的高质量发展。招商银行资产托管围绕资管全场景，打造了“如风运营”“大观投研”“见微数据”三个服务子品牌，不断创新托管系统、服务和产品：在业内率先推出“网上托管银行系统”、托管业务综合系统和“6S”托管服务标准，首家发布私募基金绩效分析报告，开办国内首个托管银行网站，推出国内首个托管大数据平台，成功托管国内第一只券商集合资产管理计划、第一只FOF、第一只信托资金计划、第一只股权私募基金、第一家实现货币市场基金赎回资金T+1到账、第一只境外银行QDII基金、第一只红利ETF基金、第一只“1+N”基金专户理财、第一家大小非解禁资产、第一单TOT保管，实现从单一托管服务商向全面投资者服务机构的转变，得到了同业认可。</w:t>
      </w:r>
    </w:p>
    <w:p w14:paraId="5A0AE49A" w14:textId="77777777" w:rsidR="009F0506" w:rsidRDefault="009F0506" w:rsidP="009F0506">
      <w:pPr>
        <w:spacing w:line="360" w:lineRule="auto"/>
        <w:ind w:firstLineChars="200" w:firstLine="480"/>
        <w:rPr>
          <w:rFonts w:ascii="宋体" w:hAnsi="宋体"/>
          <w:sz w:val="24"/>
        </w:rPr>
      </w:pPr>
      <w:r>
        <w:rPr>
          <w:rFonts w:ascii="宋体" w:hAnsi="宋体" w:hint="eastAsia"/>
          <w:sz w:val="24"/>
        </w:rPr>
        <w:t>招商银行资产托管业务持续稳健发展，社会影响力不断提升,近年来获得业内各类奖项荣誉。2016年5月 “托管通”荣获《银行家》2016中国金融创新 “十佳金融产品创新奖”； 6月荣获《财资》“中国最佳托管银行奖”，成为国内唯一获得该奖项的托管银行；7月荣获中国资产管理“金贝奖”“最佳资产托管银行”、《21世纪经济报道》“2016最佳资产托管银行”。2017年5月荣获《亚洲银行家》“中国年度托管银行奖”；6月荣获《财资》“中国最佳托管银行奖”；“全功能网上托管银行2.0”荣获《银行家》2017中国金融创新“十佳金融产品创新奖”。2018年1月荣获中央国债登记结算有限责任公司“2017年度优秀资产托管机构”奖；同月，托管大数据平台风险管理系统荣获2016-2017年度银监会系统“金点子”方案一等奖，以及中央金融团工委、全国金融青联第五届“双提升”金点子</w:t>
      </w:r>
      <w:r>
        <w:rPr>
          <w:rFonts w:ascii="宋体" w:hAnsi="宋体" w:hint="eastAsia"/>
          <w:sz w:val="24"/>
        </w:rPr>
        <w:lastRenderedPageBreak/>
        <w:t>方案二等奖；3月荣获《中国基金报》 “最佳基金托管银行”奖；5月荣获国际财经权威媒体《亚洲银行家》“中国年度托管银行奖”；12月荣获2018东方财富风云榜“2018年度最佳托管银行”、“20年最值得信赖托管银行”奖。2019年3月荣获《中国基金报》“2018年度最佳基金托管银行”奖；6月荣获《财资》“中国最佳托管机构”“中国最佳养老金托管机构”“中国最佳零售基金行政外包”三项大奖；12月荣获2019东方财富风云榜“2019年度最佳托管银行”奖。2020年1月，荣获中央国债登记结算有限责任公司“2019年度优秀资产托管机构”奖项；6月荣获《财资》“中国境内最佳托管机构”“最佳公募基金托管机构”“最佳公募基金行政外包机构”三项大奖；10月荣获《中国基金报》第二届中国公募基金英华奖“2019年度最佳基金托管银行”奖。2021年1月，荣获中央国债登记结算有限责任公司“2020年度优秀资产托管机构”奖项；同月荣获2020东方财富风云榜“2020年度最受欢迎托管银行”奖项；2021年10月，《证券时报》“2021年度杰出资产托管银行天玑奖”；2021年12月，荣获《中国基金报》第三届中国公募基金英华奖“2020年度最佳基金托管银行”；2022年1月荣获中央国债登记结算有限责任公司“2021年度优秀资产托管机构、估值业务杰出机构”奖项；9月荣获《财资》“中国最佳托管银行”“最佳公募基金托管银行”“最佳理财托管银行”三项大奖；12月荣获《证券时报》“2022年度杰出资产托管银行天玑奖”；2023年1月荣获中央国债登记结算有限责任公司“2022年度优秀资产托管机构”、银行间市场清算所股份有限公司“2022年度优秀托管机构”、全国银行间同业拆借中心“2022年度银行间本币市场托管业务市场创新奖”三项大奖；2023年4月，荣获《中国基金报》第二届中国基金业创新英华奖“托管创新奖”；2023年9月，荣获《中国基金报》中国基金业英华奖“公募基金25年基金托管示范银行（全国性股份行）”；2023年12月，荣获《东方财富风云榜》“2023年度托管银行风云奖”。2024年1月，荣获中央国债登记结算有限责任公司“2023年度优秀资产托管机构”、“2023年度估值业务杰出机构”、“2023年度债市领军机构”、“2023年度中债绿债指数优秀承销机构”四项大奖；2024年2月，荣获泰康养老保险股份有限公司“2023年度最佳年金托管合作伙伴”奖。2024年4月，荣获中国基金报“中国基金业英华奖-ETF20周年特别评选“优秀ETF托管人””奖。2024年6月，荣获上海清算所“2023年度优秀托管机构”奖。2024年8月，在</w:t>
      </w:r>
      <w:r>
        <w:rPr>
          <w:rFonts w:ascii="宋体" w:hAnsi="宋体" w:hint="eastAsia"/>
          <w:sz w:val="24"/>
        </w:rPr>
        <w:lastRenderedPageBreak/>
        <w:t>《21世纪经济报道》主办的2024资产管理年会暨十七届21世纪【金贝】资产管理竞争力研究案例发布盛典上，“招商银行托管+”荣获“2024卓越影响力品牌”奖项；2024年9月，在2024财联社中国金融业“拓扑奖”评选中，荣获银行业务类奖项“2024年资产托管银行‘拓扑奖’”；2024年12月，荣获《中国证券报》“ETF金牛生态圈卓越托管机构（银行）奖”；2024年12月，荣获《2024东方财富风云际会》“年度托管银行风云奖”。2025年1月，荣获中央国债登记结算有限责任公司“2024年度优秀资产托管机构”奖项、上海清算所“2024年度优秀托管机构”奖项；2025年2月，荣获全国银行间同业拆借中心“2024年度市场创新业务机构”奖项；2025年3月，荣获《中国基金报》2025年指数生态圈英华典型案例“指数产品托管机构”奖项。</w:t>
      </w:r>
    </w:p>
    <w:p w14:paraId="6EF0D410" w14:textId="77777777" w:rsidR="009F0506" w:rsidRDefault="009F0506" w:rsidP="009F0506">
      <w:pPr>
        <w:spacing w:line="360" w:lineRule="auto"/>
        <w:ind w:firstLineChars="200" w:firstLine="480"/>
        <w:rPr>
          <w:rFonts w:ascii="宋体" w:hAnsi="宋体"/>
          <w:sz w:val="24"/>
        </w:rPr>
      </w:pPr>
      <w:r>
        <w:rPr>
          <w:rFonts w:ascii="宋体" w:hAnsi="宋体" w:hint="eastAsia"/>
          <w:sz w:val="24"/>
        </w:rPr>
        <w:t>（二）主要人员情况</w:t>
      </w:r>
    </w:p>
    <w:p w14:paraId="28046E23" w14:textId="5162334D" w:rsidR="009F0506" w:rsidRDefault="009F0506" w:rsidP="009F0506">
      <w:pPr>
        <w:spacing w:line="360" w:lineRule="auto"/>
        <w:ind w:firstLineChars="200" w:firstLine="480"/>
        <w:rPr>
          <w:rFonts w:ascii="宋体" w:hAnsi="宋体"/>
          <w:sz w:val="24"/>
        </w:rPr>
      </w:pPr>
      <w:r>
        <w:rPr>
          <w:rFonts w:ascii="宋体" w:hAnsi="宋体" w:hint="eastAsia"/>
          <w:sz w:val="24"/>
        </w:rPr>
        <w:t>缪建民先生，招商银行董事长、非执行董事，2020年9月起担任招商银行董事、董事长。中央财经大学经济学博士，高级经济师。中国共产党第十九届、二十届中央委员会候补委员。招商局集团有限公司董事长。曾任中国人寿保险（集团）公司副董事长、总裁，中国人民保险 集团股份有限公司副董事长、总裁、董事长，曾兼任中国人民财产保险股份有限公司董事长，中国人保资产管理有限公司董事长，中国人民健康保险股份有限公司董事长，中国人民保险（香港）有限公司董事长，人保资本投资管理有限公司董事长，中国人民养老保险有限责任公司董事长，中国人民人寿保险股份有限公司董事长。</w:t>
      </w:r>
    </w:p>
    <w:p w14:paraId="4D020629" w14:textId="49DED36F" w:rsidR="009F0506" w:rsidRDefault="009F0506" w:rsidP="009F0506">
      <w:pPr>
        <w:spacing w:line="360" w:lineRule="auto"/>
        <w:ind w:firstLineChars="200" w:firstLine="480"/>
        <w:rPr>
          <w:rFonts w:ascii="宋体" w:hAnsi="宋体"/>
          <w:sz w:val="24"/>
        </w:rPr>
      </w:pPr>
      <w:r>
        <w:rPr>
          <w:rFonts w:ascii="宋体" w:hAnsi="宋体" w:hint="eastAsia"/>
          <w:sz w:val="24"/>
        </w:rPr>
        <w:t>王良先生，招商银行党委书记、执行董事、行长。中国人民大学经济学硕士，高级经济师。1995年6月加入招商银行，历任招商银行北京分行行长助理、副行长、行长，2012年6月起历任招商银行行长助理、副行长、常务副行长，2022年5月起任招商银行党委书记，2022年6月起任招商银行行长。兼任招商银行香港上市相关事宜之授权代表、招银国际金融控股有限公司董事长、招银国际金融有限公司董事长、招商永隆银行董事长、招联消费金融有限公司副董事长、招商局金融控股有限公司董事、中国银行业协会中间业务专业委员会第四届主任、中国金融会计学会第六届常务理事、广东省第十四届人大代表。</w:t>
      </w:r>
    </w:p>
    <w:p w14:paraId="61B33DBE" w14:textId="02CBAF7C" w:rsidR="009F0506" w:rsidRDefault="009F0506" w:rsidP="009F0506">
      <w:pPr>
        <w:spacing w:line="360" w:lineRule="auto"/>
        <w:ind w:firstLineChars="200" w:firstLine="480"/>
        <w:rPr>
          <w:rFonts w:ascii="宋体" w:hAnsi="宋体"/>
          <w:sz w:val="24"/>
        </w:rPr>
      </w:pPr>
      <w:r>
        <w:rPr>
          <w:rFonts w:ascii="宋体" w:hAnsi="宋体" w:hint="eastAsia"/>
          <w:sz w:val="24"/>
        </w:rPr>
        <w:t>王颖女士，招商银行副行长，南京大学政治经济学专业硕士，经济师。王颖女士1997年1月加入招商银行，历任招商银行北京分行行长助理、副行长，天</w:t>
      </w:r>
      <w:r>
        <w:rPr>
          <w:rFonts w:ascii="宋体" w:hAnsi="宋体" w:hint="eastAsia"/>
          <w:sz w:val="24"/>
        </w:rPr>
        <w:lastRenderedPageBreak/>
        <w:t>津分行行长，深圳分行行长，招商银行行长助理。2023年11月起任招商银行副行长。</w:t>
      </w:r>
    </w:p>
    <w:p w14:paraId="34547C9D" w14:textId="7BC9B29A" w:rsidR="009F0506" w:rsidRDefault="009F0506" w:rsidP="009F0506">
      <w:pPr>
        <w:spacing w:line="360" w:lineRule="auto"/>
        <w:ind w:firstLineChars="200" w:firstLine="480"/>
        <w:rPr>
          <w:rFonts w:ascii="宋体" w:hAnsi="宋体"/>
          <w:sz w:val="24"/>
        </w:rPr>
      </w:pPr>
      <w:r>
        <w:rPr>
          <w:rFonts w:ascii="宋体" w:hAnsi="宋体" w:hint="eastAsia"/>
          <w:sz w:val="24"/>
        </w:rPr>
        <w:t>孙乐女士，招商银行资产托管部总经理，硕士研究生毕业，2001年8月加入招商银行至今，历任招商银行合肥分行风险控制部副经理、经理、信贷管理部总经理助理、副总经理、总经理、公司银行部总经理、中小企业金融部总经理、投行与金融市场部总经理；无锡分行行长助理、副行长；南京分行副行长，具有20余年银行从业经验，在风险管理、信贷管理、公司金融、资产托管等领域有深入的研究和丰富的实务经验。</w:t>
      </w:r>
    </w:p>
    <w:p w14:paraId="283D5DAA" w14:textId="77777777" w:rsidR="009F0506" w:rsidRDefault="009F0506" w:rsidP="009F0506">
      <w:pPr>
        <w:spacing w:line="360" w:lineRule="auto"/>
        <w:ind w:firstLineChars="200" w:firstLine="480"/>
        <w:rPr>
          <w:rFonts w:ascii="宋体" w:hAnsi="宋体"/>
          <w:sz w:val="24"/>
        </w:rPr>
      </w:pPr>
      <w:r>
        <w:rPr>
          <w:rFonts w:ascii="宋体" w:hAnsi="宋体" w:hint="eastAsia"/>
          <w:sz w:val="24"/>
        </w:rPr>
        <w:t>（三）基金托管业务经营情况</w:t>
      </w:r>
    </w:p>
    <w:p w14:paraId="553F194D" w14:textId="77777777" w:rsidR="009F0506" w:rsidRDefault="009F0506" w:rsidP="009F0506">
      <w:pPr>
        <w:spacing w:line="360" w:lineRule="auto"/>
        <w:ind w:firstLineChars="200" w:firstLine="480"/>
        <w:rPr>
          <w:rFonts w:ascii="宋体" w:hAnsi="宋体"/>
          <w:sz w:val="24"/>
        </w:rPr>
      </w:pPr>
      <w:r>
        <w:rPr>
          <w:rFonts w:ascii="宋体" w:hAnsi="宋体" w:hint="eastAsia"/>
          <w:sz w:val="24"/>
        </w:rPr>
        <w:t>截至2025年3月31日，招商银行股份有限公司累计托管1598只证券投资基金。</w:t>
      </w:r>
    </w:p>
    <w:p w14:paraId="70BA70F1" w14:textId="77777777" w:rsidR="009F0506" w:rsidRDefault="009F0506" w:rsidP="009F0506">
      <w:pPr>
        <w:spacing w:line="360" w:lineRule="auto"/>
        <w:ind w:firstLineChars="200" w:firstLine="480"/>
        <w:rPr>
          <w:rFonts w:ascii="宋体" w:hAnsi="宋体"/>
          <w:sz w:val="24"/>
        </w:rPr>
      </w:pPr>
      <w:r>
        <w:rPr>
          <w:rFonts w:ascii="宋体" w:hAnsi="宋体" w:hint="eastAsia"/>
          <w:sz w:val="24"/>
        </w:rPr>
        <w:t xml:space="preserve"> (四) 托管人的内部控制制度</w:t>
      </w:r>
    </w:p>
    <w:p w14:paraId="3B8BC2D0" w14:textId="77777777" w:rsidR="009F0506" w:rsidRDefault="009F0506" w:rsidP="009F0506">
      <w:pPr>
        <w:spacing w:line="360" w:lineRule="auto"/>
        <w:ind w:firstLineChars="200" w:firstLine="480"/>
        <w:rPr>
          <w:rFonts w:ascii="宋体" w:hAnsi="宋体"/>
          <w:sz w:val="24"/>
        </w:rPr>
      </w:pPr>
      <w:r>
        <w:rPr>
          <w:rFonts w:ascii="宋体" w:hAnsi="宋体" w:hint="eastAsia"/>
          <w:sz w:val="24"/>
        </w:rPr>
        <w:t>1、内部控制目标</w:t>
      </w:r>
    </w:p>
    <w:p w14:paraId="7BBD89BD" w14:textId="77777777" w:rsidR="009F0506" w:rsidRDefault="009F0506" w:rsidP="009F0506">
      <w:pPr>
        <w:spacing w:line="360" w:lineRule="auto"/>
        <w:ind w:firstLineChars="200" w:firstLine="480"/>
        <w:rPr>
          <w:rFonts w:ascii="宋体" w:hAnsi="宋体"/>
          <w:sz w:val="24"/>
        </w:rPr>
      </w:pPr>
      <w:r>
        <w:rPr>
          <w:rFonts w:ascii="宋体" w:hAnsi="宋体" w:hint="eastAsia"/>
          <w:sz w:val="24"/>
        </w:rPr>
        <w:t>招商银行确保托管业务严格遵守国家有关法律法规和行业监管制度，坚持守法经营、规范运作的经营理念；形成科学合理的决策机制、执行机制和监督机制，防范和化解经营风险，确保托管业务的稳健运行和托管资产的安全；建立有利于查错防弊、堵塞漏洞、消除隐患，保证业务稳健运行的风险控制制度，确保托管业务信息真实、准确、完整、及时；确保内控机制、体制的不断改进和各项业务制度、流程的不断完善。</w:t>
      </w:r>
    </w:p>
    <w:p w14:paraId="315A123E" w14:textId="77777777" w:rsidR="009F0506" w:rsidRDefault="009F0506" w:rsidP="009F0506">
      <w:pPr>
        <w:spacing w:line="360" w:lineRule="auto"/>
        <w:ind w:firstLineChars="200" w:firstLine="480"/>
        <w:rPr>
          <w:rFonts w:ascii="宋体" w:hAnsi="宋体"/>
          <w:sz w:val="24"/>
        </w:rPr>
      </w:pPr>
      <w:r>
        <w:rPr>
          <w:rFonts w:ascii="宋体" w:hAnsi="宋体" w:hint="eastAsia"/>
          <w:sz w:val="24"/>
        </w:rPr>
        <w:t>2、内部控制组织结构</w:t>
      </w:r>
    </w:p>
    <w:p w14:paraId="677AB4A8" w14:textId="77777777" w:rsidR="009F0506" w:rsidRDefault="009F0506" w:rsidP="009F0506">
      <w:pPr>
        <w:spacing w:line="360" w:lineRule="auto"/>
        <w:ind w:firstLineChars="200" w:firstLine="480"/>
        <w:rPr>
          <w:rFonts w:ascii="宋体" w:hAnsi="宋体"/>
          <w:sz w:val="24"/>
        </w:rPr>
      </w:pPr>
      <w:r>
        <w:rPr>
          <w:rFonts w:ascii="宋体" w:hAnsi="宋体" w:hint="eastAsia"/>
          <w:sz w:val="24"/>
        </w:rPr>
        <w:t>招商银行资产托管业务建立三级内部控制及风险防范体系：</w:t>
      </w:r>
    </w:p>
    <w:p w14:paraId="69716C97" w14:textId="77777777" w:rsidR="009F0506" w:rsidRDefault="009F0506" w:rsidP="009F0506">
      <w:pPr>
        <w:spacing w:line="360" w:lineRule="auto"/>
        <w:ind w:firstLineChars="200" w:firstLine="480"/>
        <w:rPr>
          <w:rFonts w:ascii="宋体" w:hAnsi="宋体"/>
          <w:sz w:val="24"/>
        </w:rPr>
      </w:pPr>
      <w:r>
        <w:rPr>
          <w:rFonts w:ascii="宋体" w:hAnsi="宋体" w:hint="eastAsia"/>
          <w:sz w:val="24"/>
        </w:rPr>
        <w:t>一级内部控制及风险防范是在招商银行总行风险管控层面对风险进行预防和控制；总行风险管理部、法律合规部、审计部独立对资产托管业务进行评估监督，并提出内控提升管理建议。</w:t>
      </w:r>
    </w:p>
    <w:p w14:paraId="3F5FDBB6" w14:textId="77777777" w:rsidR="009F0506" w:rsidRDefault="009F0506" w:rsidP="009F0506">
      <w:pPr>
        <w:spacing w:line="360" w:lineRule="auto"/>
        <w:ind w:firstLineChars="200" w:firstLine="480"/>
        <w:rPr>
          <w:rFonts w:ascii="宋体" w:hAnsi="宋体"/>
          <w:sz w:val="24"/>
        </w:rPr>
      </w:pPr>
      <w:r>
        <w:rPr>
          <w:rFonts w:ascii="宋体" w:hAnsi="宋体" w:hint="eastAsia"/>
          <w:sz w:val="24"/>
        </w:rPr>
        <w:t>二级内部控制及风险防范是招商银行资产托管部设立风险合规管理相关团队，负责部门内部风险预防和控制，及时发现内部控制缺陷，提出整改方案，跟踪整改情况，并直接向部门总经理室报告。</w:t>
      </w:r>
    </w:p>
    <w:p w14:paraId="5B7C9C73" w14:textId="77777777" w:rsidR="009F0506" w:rsidRDefault="009F0506" w:rsidP="009F0506">
      <w:pPr>
        <w:spacing w:line="360" w:lineRule="auto"/>
        <w:ind w:firstLineChars="200" w:firstLine="480"/>
        <w:rPr>
          <w:rFonts w:ascii="宋体" w:hAnsi="宋体"/>
          <w:sz w:val="24"/>
        </w:rPr>
      </w:pPr>
      <w:r>
        <w:rPr>
          <w:rFonts w:ascii="宋体" w:hAnsi="宋体" w:hint="eastAsia"/>
          <w:sz w:val="24"/>
        </w:rPr>
        <w:t>三级内部控制及风险防范是招商银行资产托管部在设置专业岗位时，遵循内控制衡原则，视业务的风险程度制定相应监督制衡机制。</w:t>
      </w:r>
    </w:p>
    <w:p w14:paraId="568ABE9E" w14:textId="77777777" w:rsidR="009F0506" w:rsidRDefault="009F0506" w:rsidP="009F0506">
      <w:pPr>
        <w:spacing w:line="360" w:lineRule="auto"/>
        <w:ind w:firstLineChars="200" w:firstLine="480"/>
        <w:rPr>
          <w:rFonts w:ascii="宋体" w:hAnsi="宋体"/>
          <w:sz w:val="24"/>
        </w:rPr>
      </w:pPr>
      <w:r>
        <w:rPr>
          <w:rFonts w:ascii="宋体" w:hAnsi="宋体" w:hint="eastAsia"/>
          <w:sz w:val="24"/>
        </w:rPr>
        <w:lastRenderedPageBreak/>
        <w:t>3、内部控制原则</w:t>
      </w:r>
    </w:p>
    <w:p w14:paraId="23BFA13F" w14:textId="77777777" w:rsidR="009F0506" w:rsidRDefault="009F0506" w:rsidP="009F0506">
      <w:pPr>
        <w:spacing w:line="360" w:lineRule="auto"/>
        <w:ind w:firstLineChars="200" w:firstLine="480"/>
        <w:rPr>
          <w:rFonts w:ascii="宋体" w:hAnsi="宋体"/>
          <w:sz w:val="24"/>
        </w:rPr>
      </w:pPr>
      <w:r>
        <w:rPr>
          <w:rFonts w:ascii="宋体" w:hAnsi="宋体" w:hint="eastAsia"/>
          <w:sz w:val="24"/>
        </w:rPr>
        <w:t>（1）全面性原则。内部控制覆盖各项业务过程和操作环节、覆盖所有团队和岗位，并由全部人员参与。</w:t>
      </w:r>
    </w:p>
    <w:p w14:paraId="0999AC4E" w14:textId="77777777" w:rsidR="009F0506" w:rsidRDefault="009F0506" w:rsidP="009F0506">
      <w:pPr>
        <w:spacing w:line="360" w:lineRule="auto"/>
        <w:ind w:firstLineChars="200" w:firstLine="480"/>
        <w:rPr>
          <w:rFonts w:ascii="宋体" w:hAnsi="宋体"/>
          <w:sz w:val="24"/>
        </w:rPr>
      </w:pPr>
      <w:r>
        <w:rPr>
          <w:rFonts w:ascii="宋体" w:hAnsi="宋体" w:hint="eastAsia"/>
          <w:sz w:val="24"/>
        </w:rPr>
        <w:t>（2）审慎性原则。托管组织体系的构成、内部管理制度的建立均以防范风险、审慎经营为出发点，体现“内控优先”的要求。</w:t>
      </w:r>
    </w:p>
    <w:p w14:paraId="6773EB93" w14:textId="77777777" w:rsidR="009F0506" w:rsidRDefault="009F0506" w:rsidP="009F0506">
      <w:pPr>
        <w:spacing w:line="360" w:lineRule="auto"/>
        <w:ind w:firstLineChars="200" w:firstLine="480"/>
        <w:rPr>
          <w:rFonts w:ascii="宋体" w:hAnsi="宋体"/>
          <w:sz w:val="24"/>
        </w:rPr>
      </w:pPr>
      <w:r>
        <w:rPr>
          <w:rFonts w:ascii="宋体" w:hAnsi="宋体" w:hint="eastAsia"/>
          <w:sz w:val="24"/>
        </w:rPr>
        <w:t>（3）独立性原则。招商银行资产托管部各团队、各岗位职责保持相对独立，不同托管资产之间、托管资产和自有资产之间相互分离。内部控制的检查、评价部门独立于内部控制的建立和执行部门。</w:t>
      </w:r>
    </w:p>
    <w:p w14:paraId="65214BEE" w14:textId="77777777" w:rsidR="009F0506" w:rsidRDefault="009F0506" w:rsidP="009F0506">
      <w:pPr>
        <w:spacing w:line="360" w:lineRule="auto"/>
        <w:ind w:firstLineChars="200" w:firstLine="480"/>
        <w:rPr>
          <w:rFonts w:ascii="宋体" w:hAnsi="宋体"/>
          <w:sz w:val="24"/>
        </w:rPr>
      </w:pPr>
      <w:r>
        <w:rPr>
          <w:rFonts w:ascii="宋体" w:hAnsi="宋体" w:hint="eastAsia"/>
          <w:sz w:val="24"/>
        </w:rPr>
        <w:t>（4）有效性原则。内部控制有效性包含内部控制设计的有效性、内部控制执行的有效性。内部控制设计的有效性是指内部控制的设计覆盖了所有应关注的重要风险，且设计的风险应对措施适当。内部控制执行的有效性是指内部控制能够按照设计要求严格有效执行。</w:t>
      </w:r>
    </w:p>
    <w:p w14:paraId="496AC805" w14:textId="77777777" w:rsidR="009F0506" w:rsidRDefault="009F0506" w:rsidP="009F0506">
      <w:pPr>
        <w:spacing w:line="360" w:lineRule="auto"/>
        <w:ind w:firstLineChars="200" w:firstLine="480"/>
        <w:rPr>
          <w:rFonts w:ascii="宋体" w:hAnsi="宋体"/>
          <w:sz w:val="24"/>
        </w:rPr>
      </w:pPr>
      <w:r>
        <w:rPr>
          <w:rFonts w:ascii="宋体" w:hAnsi="宋体" w:hint="eastAsia"/>
          <w:sz w:val="24"/>
        </w:rPr>
        <w:t>（5）适应性原则。内部控制适应招商银行托管业务风险管理的需要，并能够随着托管业务经营战略、经营方针、经营理念等内部环境的变化和国家法律、法规、政策制度等外部环境的改变及时进行修订和完善。</w:t>
      </w:r>
    </w:p>
    <w:p w14:paraId="20884A80" w14:textId="6FCEEF57" w:rsidR="009F0506" w:rsidRDefault="009F0506" w:rsidP="009F0506">
      <w:pPr>
        <w:spacing w:line="360" w:lineRule="auto"/>
        <w:ind w:firstLineChars="200" w:firstLine="480"/>
        <w:rPr>
          <w:rFonts w:ascii="宋体" w:hAnsi="宋体"/>
          <w:sz w:val="24"/>
        </w:rPr>
      </w:pPr>
      <w:r>
        <w:rPr>
          <w:rFonts w:ascii="宋体" w:hAnsi="宋体" w:hint="eastAsia"/>
          <w:sz w:val="24"/>
        </w:rPr>
        <w:t xml:space="preserve">（6）防火墙原则。招商银行资产托管部办公场地与招商银行其他业务场地隔离，办公网和业务网物理分离，部门业务网和全行业务网防火墙策略分离，以达到风险防范的目的。 </w:t>
      </w:r>
    </w:p>
    <w:p w14:paraId="279ECC72" w14:textId="77777777" w:rsidR="009F0506" w:rsidRDefault="009F0506" w:rsidP="009F0506">
      <w:pPr>
        <w:spacing w:line="360" w:lineRule="auto"/>
        <w:ind w:firstLineChars="200" w:firstLine="480"/>
        <w:rPr>
          <w:rFonts w:ascii="宋体" w:hAnsi="宋体"/>
          <w:sz w:val="24"/>
        </w:rPr>
      </w:pPr>
      <w:r>
        <w:rPr>
          <w:rFonts w:ascii="宋体" w:hAnsi="宋体" w:hint="eastAsia"/>
          <w:sz w:val="24"/>
        </w:rPr>
        <w:t>（7）重要性原则。内部控制在实现全面控制的基础上，关注重要托管业务重要事项和高风险环节。</w:t>
      </w:r>
    </w:p>
    <w:p w14:paraId="1215F0E2" w14:textId="77777777" w:rsidR="009F0506" w:rsidRDefault="009F0506" w:rsidP="009F0506">
      <w:pPr>
        <w:spacing w:line="360" w:lineRule="auto"/>
        <w:ind w:firstLineChars="200" w:firstLine="480"/>
        <w:rPr>
          <w:rFonts w:ascii="宋体" w:hAnsi="宋体"/>
          <w:sz w:val="24"/>
        </w:rPr>
      </w:pPr>
      <w:r>
        <w:rPr>
          <w:rFonts w:ascii="宋体" w:hAnsi="宋体" w:hint="eastAsia"/>
          <w:sz w:val="24"/>
        </w:rPr>
        <w:t>（8）制衡性原则。内部控制能够实现在托管组织体系、机构设置、权责分配及业务流程等方面相互制约、相互监督，同时兼顾运营效率。</w:t>
      </w:r>
    </w:p>
    <w:p w14:paraId="6EC6BBCE" w14:textId="77777777" w:rsidR="009F0506" w:rsidRDefault="009F0506" w:rsidP="009F0506">
      <w:pPr>
        <w:spacing w:line="360" w:lineRule="auto"/>
        <w:ind w:firstLineChars="200" w:firstLine="480"/>
        <w:rPr>
          <w:rFonts w:ascii="宋体" w:hAnsi="宋体"/>
          <w:sz w:val="24"/>
        </w:rPr>
      </w:pPr>
      <w:r>
        <w:rPr>
          <w:rFonts w:ascii="宋体" w:hAnsi="宋体" w:hint="eastAsia"/>
          <w:sz w:val="24"/>
        </w:rPr>
        <w:t>4、内部控制措施</w:t>
      </w:r>
    </w:p>
    <w:p w14:paraId="591FC665" w14:textId="77777777" w:rsidR="009F0506" w:rsidRDefault="009F0506" w:rsidP="009F0506">
      <w:pPr>
        <w:spacing w:line="360" w:lineRule="auto"/>
        <w:ind w:firstLineChars="200" w:firstLine="480"/>
        <w:rPr>
          <w:rFonts w:ascii="宋体" w:hAnsi="宋体"/>
          <w:sz w:val="24"/>
        </w:rPr>
      </w:pPr>
      <w:r>
        <w:rPr>
          <w:rFonts w:ascii="宋体" w:hAnsi="宋体" w:hint="eastAsia"/>
          <w:sz w:val="24"/>
        </w:rPr>
        <w:t>（1）完善的制度建设。招商银行资产托管部从资产托管业务内控管理、产品受理、会计核算、资金清算、岗位管理、档案管理和信息管理等方面制定一系列规章制度，建立了三层制度体系，即：基本规定、业务管理办法和业务操作规程。制度结构层次清晰、管理要求明确，满足风险管理全覆盖的要求，保证资产托管业务科学化、制度化、规范化运作。</w:t>
      </w:r>
    </w:p>
    <w:p w14:paraId="330AF492" w14:textId="77777777" w:rsidR="009F0506" w:rsidRDefault="009F0506" w:rsidP="009F0506">
      <w:pPr>
        <w:spacing w:line="360" w:lineRule="auto"/>
        <w:ind w:firstLineChars="200" w:firstLine="480"/>
        <w:rPr>
          <w:rFonts w:ascii="宋体" w:hAnsi="宋体"/>
          <w:sz w:val="24"/>
        </w:rPr>
      </w:pPr>
      <w:r>
        <w:rPr>
          <w:rFonts w:ascii="宋体" w:hAnsi="宋体" w:hint="eastAsia"/>
          <w:sz w:val="24"/>
        </w:rPr>
        <w:t>（2）业务信息风险控制。招商银行资产托管部在数据传输和保存方面有严</w:t>
      </w:r>
      <w:r>
        <w:rPr>
          <w:rFonts w:ascii="宋体" w:hAnsi="宋体" w:hint="eastAsia"/>
          <w:sz w:val="24"/>
        </w:rPr>
        <w:lastRenderedPageBreak/>
        <w:t>格的加密和备份措施，采用加密、直连方式传输数据，数据执行异地实时备份，所有的业务信息须经过严格的授权方能进行访问。</w:t>
      </w:r>
    </w:p>
    <w:p w14:paraId="465563C0" w14:textId="77777777" w:rsidR="009F0506" w:rsidRDefault="009F0506" w:rsidP="009F0506">
      <w:pPr>
        <w:spacing w:line="360" w:lineRule="auto"/>
        <w:ind w:firstLineChars="200" w:firstLine="480"/>
        <w:rPr>
          <w:rFonts w:ascii="宋体" w:hAnsi="宋体"/>
          <w:sz w:val="24"/>
        </w:rPr>
      </w:pPr>
      <w:r>
        <w:rPr>
          <w:rFonts w:ascii="宋体" w:hAnsi="宋体" w:hint="eastAsia"/>
          <w:sz w:val="24"/>
        </w:rPr>
        <w:t>（3）客户资料风险控制。招商银行资产托管部对业务办理过程中获取的客户资料严格保密，除法律法规和其他有关规定、监管机构及审计要求外，不向任何机构、部门或个人泄露。</w:t>
      </w:r>
    </w:p>
    <w:p w14:paraId="54E08701" w14:textId="77777777" w:rsidR="009F0506" w:rsidRDefault="009F0506" w:rsidP="009F0506">
      <w:pPr>
        <w:spacing w:line="360" w:lineRule="auto"/>
        <w:ind w:firstLineChars="200" w:firstLine="480"/>
        <w:rPr>
          <w:rFonts w:ascii="宋体" w:hAnsi="宋体"/>
          <w:sz w:val="24"/>
        </w:rPr>
      </w:pPr>
      <w:r>
        <w:rPr>
          <w:rFonts w:ascii="宋体" w:hAnsi="宋体" w:hint="eastAsia"/>
          <w:sz w:val="24"/>
        </w:rPr>
        <w:t>（4）信息技术系统风险控制。招商银行对信息技术系统机房、权限管理实行双人双岗双责，电脑机房24小时值班并设置门禁，所有电脑设置密码及相应权限。业务网和办公网、托管业务网与全行业务网双分离制度，与外部业务机构实行防火墙保护，对信息技术系统采取两地三中心的应急备份管理措施等，保证信息技术系统的安全。</w:t>
      </w:r>
    </w:p>
    <w:p w14:paraId="44A80B6D" w14:textId="77777777" w:rsidR="009F0506" w:rsidRDefault="009F0506" w:rsidP="009F0506">
      <w:pPr>
        <w:spacing w:line="360" w:lineRule="auto"/>
        <w:ind w:firstLineChars="200" w:firstLine="480"/>
        <w:rPr>
          <w:rFonts w:ascii="宋体" w:hAnsi="宋体"/>
          <w:sz w:val="24"/>
        </w:rPr>
      </w:pPr>
      <w:r>
        <w:rPr>
          <w:rFonts w:ascii="宋体" w:hAnsi="宋体" w:hint="eastAsia"/>
          <w:sz w:val="24"/>
        </w:rPr>
        <w:t>（5）人力资源控制。招商银行资产托管部通过建立良好的企业文化和员工培训、激励机制、加强人力资源管理及建立人才梯级队伍及人才储备机制，有效地进行人力资源管理。</w:t>
      </w:r>
    </w:p>
    <w:p w14:paraId="7DCB3B2C" w14:textId="77777777" w:rsidR="009F0506" w:rsidRDefault="009F0506" w:rsidP="009F0506">
      <w:pPr>
        <w:spacing w:line="360" w:lineRule="auto"/>
        <w:ind w:firstLineChars="200" w:firstLine="480"/>
        <w:rPr>
          <w:rFonts w:ascii="宋体" w:hAnsi="宋体"/>
          <w:sz w:val="24"/>
        </w:rPr>
      </w:pPr>
      <w:r>
        <w:rPr>
          <w:rFonts w:ascii="宋体" w:hAnsi="宋体" w:hint="eastAsia"/>
          <w:sz w:val="24"/>
        </w:rPr>
        <w:t>（五）基金托管人对基金管理人运作基金进行监督的方法和程序</w:t>
      </w:r>
    </w:p>
    <w:p w14:paraId="78A9FA5F" w14:textId="77777777" w:rsidR="009F0506" w:rsidRDefault="009F0506" w:rsidP="009F0506">
      <w:pPr>
        <w:spacing w:line="360" w:lineRule="auto"/>
        <w:ind w:firstLineChars="200" w:firstLine="480"/>
        <w:rPr>
          <w:rFonts w:ascii="宋体" w:hAnsi="宋体"/>
          <w:sz w:val="24"/>
        </w:rPr>
      </w:pPr>
      <w:r>
        <w:rPr>
          <w:rFonts w:ascii="宋体" w:hAnsi="宋体" w:hint="eastAsia"/>
          <w:sz w:val="24"/>
        </w:rPr>
        <w:t>根据《中华人民共和国证券投资基金法》《公开募集证券投资基金运作管理办法》等有关法律法规的规定及基金合同、托管协议的约定，对基金投资范围、投资比例、投资组合等情况的合法性、合规性进行监督和核查。</w:t>
      </w:r>
    </w:p>
    <w:p w14:paraId="2BF7043A" w14:textId="77777777" w:rsidR="009F0506" w:rsidRDefault="009F0506" w:rsidP="009F0506">
      <w:pPr>
        <w:spacing w:line="360" w:lineRule="auto"/>
        <w:ind w:firstLineChars="200" w:firstLine="480"/>
        <w:rPr>
          <w:rFonts w:ascii="宋体" w:hAnsi="宋体"/>
          <w:sz w:val="24"/>
        </w:rPr>
      </w:pPr>
      <w:r>
        <w:rPr>
          <w:rFonts w:ascii="宋体" w:hAnsi="宋体" w:hint="eastAsia"/>
          <w:sz w:val="24"/>
        </w:rPr>
        <w:t>在为基金投资运作所提供的基金清算和核算服务环节中，基金托管人对基金管理人发送的投资指令、基金管理人对各基金费用的提取与支付情况进行检查监督，对违反法律法规、基金合同的指令拒绝执行，并立即通知基金管理人。</w:t>
      </w:r>
    </w:p>
    <w:p w14:paraId="3E69E655" w14:textId="77777777" w:rsidR="009F0506" w:rsidRPr="009F0506" w:rsidRDefault="009F0506" w:rsidP="009F0506">
      <w:pPr>
        <w:spacing w:line="360" w:lineRule="auto"/>
        <w:ind w:firstLineChars="200" w:firstLine="480"/>
        <w:rPr>
          <w:rFonts w:ascii="宋体" w:hAnsi="宋体"/>
          <w:sz w:val="24"/>
        </w:rPr>
      </w:pPr>
      <w:bookmarkStart w:id="32" w:name="_Hlt145312160"/>
      <w:r>
        <w:rPr>
          <w:rFonts w:ascii="宋体" w:hAnsi="宋体" w:hint="eastAsia"/>
          <w:sz w:val="24"/>
        </w:rPr>
        <w:t>基金托管人如发现基金管理人依据交易程序已经生效的投资指令违反法律、行政法规和其他有关规定，或者违反基金合同约定，及时以书面形式通知基金管理人进行整改，整改的时限应符合法律法规及基金合同允许的调整期限。基金管理人收到通知后应及时核对确认并以书面形式向基金托管人发出回函并改正。基金管理人对基金托管人通知的违规事项未能在限期内纠正的，基金托管人应报告中国证监会</w:t>
      </w:r>
      <w:bookmarkEnd w:id="32"/>
      <w:r>
        <w:rPr>
          <w:rFonts w:ascii="宋体" w:hAnsi="宋体" w:hint="eastAsia"/>
          <w:sz w:val="24"/>
        </w:rPr>
        <w:t>。</w:t>
      </w:r>
    </w:p>
    <w:p w14:paraId="1451DAC4" w14:textId="2923D364" w:rsidR="00BF4A4E" w:rsidRPr="009F0506" w:rsidRDefault="00BF4A4E" w:rsidP="009F0506">
      <w:pPr>
        <w:spacing w:line="360" w:lineRule="auto"/>
        <w:ind w:firstLineChars="200" w:firstLine="480"/>
        <w:rPr>
          <w:rFonts w:ascii="宋体" w:hAnsi="宋体"/>
          <w:sz w:val="24"/>
        </w:rPr>
      </w:pPr>
    </w:p>
    <w:p w14:paraId="0F2161A9" w14:textId="7DE615E3" w:rsidR="00BC00F7" w:rsidRDefault="00BC00F7">
      <w:pPr>
        <w:widowControl/>
        <w:jc w:val="left"/>
        <w:rPr>
          <w:rFonts w:ascii="宋体" w:hAnsi="宋体"/>
          <w:sz w:val="24"/>
          <w:szCs w:val="20"/>
        </w:rPr>
      </w:pPr>
      <w:r>
        <w:rPr>
          <w:sz w:val="24"/>
        </w:rPr>
        <w:br w:type="page"/>
      </w:r>
    </w:p>
    <w:p w14:paraId="7EE298DA" w14:textId="77777777" w:rsidR="00BC00F7" w:rsidRDefault="00BC00F7">
      <w:pPr>
        <w:pStyle w:val="20"/>
        <w:adjustRightInd w:val="0"/>
        <w:snapToGrid w:val="0"/>
        <w:ind w:firstLine="480"/>
        <w:rPr>
          <w:sz w:val="24"/>
        </w:rPr>
      </w:pPr>
    </w:p>
    <w:p w14:paraId="03AF298F" w14:textId="64535BCB" w:rsidR="00BF4A4E" w:rsidRDefault="00BF4A4E" w:rsidP="000B2B44">
      <w:pPr>
        <w:pStyle w:val="1"/>
        <w:adjustRightInd w:val="0"/>
        <w:snapToGrid w:val="0"/>
        <w:spacing w:before="0" w:after="0" w:line="360" w:lineRule="auto"/>
        <w:jc w:val="center"/>
        <w:rPr>
          <w:rFonts w:ascii="宋体" w:hAnsi="宋体"/>
        </w:rPr>
      </w:pPr>
      <w:bookmarkStart w:id="33" w:name="_Toc103003347"/>
      <w:r>
        <w:rPr>
          <w:rFonts w:ascii="宋体" w:hAnsi="宋体"/>
        </w:rPr>
        <w:t>第五部分  相关服务机构</w:t>
      </w:r>
      <w:bookmarkEnd w:id="33"/>
    </w:p>
    <w:p w14:paraId="71DA0A52" w14:textId="77777777" w:rsidR="00BF4A4E" w:rsidRDefault="00BF4A4E">
      <w:pPr>
        <w:pStyle w:val="20"/>
        <w:ind w:firstLineChars="0" w:firstLine="480"/>
        <w:rPr>
          <w:sz w:val="24"/>
        </w:rPr>
      </w:pPr>
    </w:p>
    <w:p w14:paraId="54CACE8B" w14:textId="77777777" w:rsidR="00BF4A4E" w:rsidRDefault="00BF4A4E">
      <w:pPr>
        <w:pStyle w:val="20"/>
        <w:adjustRightInd w:val="0"/>
        <w:snapToGrid w:val="0"/>
        <w:ind w:firstLine="480"/>
        <w:rPr>
          <w:sz w:val="24"/>
        </w:rPr>
      </w:pPr>
      <w:r>
        <w:rPr>
          <w:rFonts w:hint="eastAsia"/>
          <w:sz w:val="24"/>
        </w:rPr>
        <w:t>一、</w:t>
      </w:r>
      <w:r>
        <w:rPr>
          <w:sz w:val="24"/>
        </w:rPr>
        <w:t>基金份额</w:t>
      </w:r>
      <w:r>
        <w:rPr>
          <w:rFonts w:hint="eastAsia"/>
          <w:sz w:val="24"/>
        </w:rPr>
        <w:t>销售</w:t>
      </w:r>
      <w:r>
        <w:rPr>
          <w:sz w:val="24"/>
        </w:rPr>
        <w:t>机构</w:t>
      </w:r>
    </w:p>
    <w:p w14:paraId="036293ED" w14:textId="77777777" w:rsidR="00BF4A4E" w:rsidRDefault="00BF4A4E">
      <w:pPr>
        <w:pStyle w:val="20"/>
        <w:adjustRightInd w:val="0"/>
        <w:snapToGrid w:val="0"/>
        <w:ind w:firstLine="480"/>
        <w:rPr>
          <w:sz w:val="24"/>
        </w:rPr>
      </w:pPr>
      <w:r>
        <w:rPr>
          <w:rFonts w:hint="eastAsia"/>
          <w:sz w:val="24"/>
        </w:rPr>
        <w:t>1、直销机构</w:t>
      </w:r>
    </w:p>
    <w:p w14:paraId="77D18E03" w14:textId="77777777" w:rsidR="00BF4A4E" w:rsidRPr="005E682F" w:rsidRDefault="00626B8B" w:rsidP="005E682F">
      <w:pPr>
        <w:spacing w:line="360" w:lineRule="auto"/>
        <w:rPr>
          <w:rFonts w:ascii="宋体" w:hAnsi="宋体"/>
          <w:sz w:val="24"/>
        </w:rPr>
      </w:pPr>
      <w:r>
        <w:rPr>
          <w:rFonts w:ascii="宋体" w:hAnsi="宋体" w:hint="eastAsia"/>
          <w:sz w:val="24"/>
        </w:rPr>
        <w:t xml:space="preserve"> </w:t>
      </w:r>
      <w:r>
        <w:rPr>
          <w:rFonts w:ascii="宋体" w:hAnsi="宋体"/>
          <w:sz w:val="24"/>
        </w:rPr>
        <w:t xml:space="preserve">  </w:t>
      </w:r>
      <w:r>
        <w:rPr>
          <w:rFonts w:ascii="宋体" w:hAnsi="宋体" w:hint="eastAsia"/>
          <w:sz w:val="24"/>
        </w:rPr>
        <w:t>（1）</w:t>
      </w:r>
      <w:r w:rsidR="00BF4A4E" w:rsidRPr="005E682F">
        <w:rPr>
          <w:rFonts w:ascii="宋体" w:hAnsi="宋体" w:hint="eastAsia"/>
          <w:sz w:val="24"/>
        </w:rPr>
        <w:t>银华基金管理股份有限公司北京直销中心</w:t>
      </w:r>
    </w:p>
    <w:tbl>
      <w:tblPr>
        <w:tblW w:w="87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3"/>
        <w:gridCol w:w="2505"/>
        <w:gridCol w:w="1117"/>
        <w:gridCol w:w="3240"/>
      </w:tblGrid>
      <w:tr w:rsidR="00BF4A4E" w14:paraId="2F72CF88" w14:textId="77777777" w:rsidTr="006B521A">
        <w:trPr>
          <w:trHeight w:val="454"/>
        </w:trPr>
        <w:tc>
          <w:tcPr>
            <w:tcW w:w="1883" w:type="dxa"/>
            <w:tcBorders>
              <w:top w:val="single" w:sz="4" w:space="0" w:color="auto"/>
              <w:left w:val="single" w:sz="4" w:space="0" w:color="auto"/>
              <w:bottom w:val="single" w:sz="4" w:space="0" w:color="auto"/>
              <w:right w:val="single" w:sz="4" w:space="0" w:color="auto"/>
            </w:tcBorders>
            <w:vAlign w:val="center"/>
          </w:tcPr>
          <w:p w14:paraId="3D41FBA8" w14:textId="77777777" w:rsidR="00BF4A4E" w:rsidRDefault="00BF4A4E">
            <w:pPr>
              <w:widowControl/>
              <w:spacing w:line="360" w:lineRule="auto"/>
              <w:jc w:val="left"/>
              <w:rPr>
                <w:rFonts w:ascii="宋体" w:hAnsi="宋体"/>
                <w:sz w:val="24"/>
              </w:rPr>
            </w:pPr>
            <w:r>
              <w:rPr>
                <w:rFonts w:ascii="宋体" w:hAnsi="宋体" w:hint="eastAsia"/>
                <w:sz w:val="24"/>
              </w:rPr>
              <w:t>地址</w:t>
            </w:r>
          </w:p>
        </w:tc>
        <w:tc>
          <w:tcPr>
            <w:tcW w:w="6862" w:type="dxa"/>
            <w:gridSpan w:val="3"/>
            <w:tcBorders>
              <w:top w:val="single" w:sz="4" w:space="0" w:color="auto"/>
              <w:left w:val="single" w:sz="4" w:space="0" w:color="auto"/>
              <w:bottom w:val="single" w:sz="4" w:space="0" w:color="auto"/>
              <w:right w:val="single" w:sz="4" w:space="0" w:color="auto"/>
            </w:tcBorders>
            <w:vAlign w:val="center"/>
          </w:tcPr>
          <w:p w14:paraId="27602B88" w14:textId="30D2C612" w:rsidR="00BF4A4E" w:rsidRDefault="00BF4A4E">
            <w:pPr>
              <w:widowControl/>
              <w:spacing w:line="360" w:lineRule="auto"/>
              <w:jc w:val="left"/>
              <w:rPr>
                <w:rFonts w:ascii="宋体" w:hAnsi="宋体"/>
                <w:sz w:val="24"/>
              </w:rPr>
            </w:pPr>
            <w:r>
              <w:rPr>
                <w:rFonts w:ascii="宋体" w:hAnsi="宋体" w:hint="eastAsia"/>
                <w:sz w:val="24"/>
              </w:rPr>
              <w:t>北京市东城区东长安街1号东方广场东方经贸城C2办公楼</w:t>
            </w:r>
            <w:r w:rsidR="007B011B">
              <w:rPr>
                <w:rFonts w:ascii="宋体" w:hAnsi="宋体"/>
                <w:sz w:val="24"/>
              </w:rPr>
              <w:t>3</w:t>
            </w:r>
            <w:r>
              <w:rPr>
                <w:rFonts w:ascii="宋体" w:hAnsi="宋体" w:hint="eastAsia"/>
                <w:sz w:val="24"/>
              </w:rPr>
              <w:t>层</w:t>
            </w:r>
          </w:p>
        </w:tc>
      </w:tr>
      <w:tr w:rsidR="00BF4A4E" w14:paraId="07A8E5B6" w14:textId="77777777" w:rsidTr="006B521A">
        <w:trPr>
          <w:trHeight w:val="454"/>
        </w:trPr>
        <w:tc>
          <w:tcPr>
            <w:tcW w:w="1883" w:type="dxa"/>
            <w:vAlign w:val="center"/>
          </w:tcPr>
          <w:p w14:paraId="6290670D" w14:textId="77777777" w:rsidR="00BF4A4E" w:rsidRDefault="00BF4A4E">
            <w:pPr>
              <w:widowControl/>
              <w:spacing w:line="360" w:lineRule="auto"/>
              <w:jc w:val="left"/>
              <w:rPr>
                <w:rFonts w:ascii="宋体" w:hAnsi="宋体"/>
                <w:sz w:val="24"/>
              </w:rPr>
            </w:pPr>
            <w:r>
              <w:rPr>
                <w:rFonts w:ascii="宋体" w:hAnsi="宋体" w:hint="eastAsia"/>
                <w:sz w:val="24"/>
              </w:rPr>
              <w:t>电话</w:t>
            </w:r>
          </w:p>
        </w:tc>
        <w:tc>
          <w:tcPr>
            <w:tcW w:w="2505" w:type="dxa"/>
            <w:vAlign w:val="center"/>
          </w:tcPr>
          <w:p w14:paraId="58CE44F9" w14:textId="77777777" w:rsidR="00BF4A4E" w:rsidRDefault="00BF4A4E">
            <w:pPr>
              <w:widowControl/>
              <w:spacing w:line="360" w:lineRule="auto"/>
              <w:jc w:val="left"/>
              <w:rPr>
                <w:rFonts w:ascii="宋体" w:hAnsi="宋体"/>
                <w:sz w:val="24"/>
              </w:rPr>
            </w:pPr>
            <w:r>
              <w:rPr>
                <w:rFonts w:ascii="宋体" w:hAnsi="宋体" w:hint="eastAsia"/>
                <w:sz w:val="24"/>
              </w:rPr>
              <w:t>010-58162950</w:t>
            </w:r>
          </w:p>
        </w:tc>
        <w:tc>
          <w:tcPr>
            <w:tcW w:w="1117" w:type="dxa"/>
            <w:vAlign w:val="center"/>
          </w:tcPr>
          <w:p w14:paraId="7C38E9D5" w14:textId="77777777" w:rsidR="00BF4A4E" w:rsidRDefault="00BF4A4E">
            <w:pPr>
              <w:widowControl/>
              <w:spacing w:line="360" w:lineRule="auto"/>
              <w:jc w:val="left"/>
              <w:rPr>
                <w:rFonts w:ascii="宋体" w:hAnsi="宋体"/>
                <w:sz w:val="24"/>
              </w:rPr>
            </w:pPr>
            <w:r>
              <w:rPr>
                <w:rFonts w:ascii="宋体" w:hAnsi="宋体" w:hint="eastAsia"/>
                <w:sz w:val="24"/>
              </w:rPr>
              <w:t>传真</w:t>
            </w:r>
          </w:p>
        </w:tc>
        <w:tc>
          <w:tcPr>
            <w:tcW w:w="3239" w:type="dxa"/>
            <w:vAlign w:val="center"/>
          </w:tcPr>
          <w:p w14:paraId="2E6F875E" w14:textId="77777777" w:rsidR="00BF4A4E" w:rsidRDefault="00BF4A4E">
            <w:pPr>
              <w:widowControl/>
              <w:spacing w:line="360" w:lineRule="auto"/>
              <w:jc w:val="left"/>
              <w:rPr>
                <w:rFonts w:ascii="宋体" w:hAnsi="宋体"/>
                <w:sz w:val="24"/>
              </w:rPr>
            </w:pPr>
            <w:r>
              <w:rPr>
                <w:rFonts w:ascii="宋体" w:hAnsi="宋体" w:hint="eastAsia"/>
                <w:sz w:val="24"/>
              </w:rPr>
              <w:t>010-58162951</w:t>
            </w:r>
          </w:p>
        </w:tc>
      </w:tr>
      <w:tr w:rsidR="00BF4A4E" w14:paraId="126DD109" w14:textId="77777777" w:rsidTr="006B521A">
        <w:trPr>
          <w:trHeight w:val="454"/>
        </w:trPr>
        <w:tc>
          <w:tcPr>
            <w:tcW w:w="1883" w:type="dxa"/>
            <w:vAlign w:val="center"/>
          </w:tcPr>
          <w:p w14:paraId="7581324F" w14:textId="77777777" w:rsidR="00BF4A4E" w:rsidRDefault="00BF4A4E">
            <w:pPr>
              <w:widowControl/>
              <w:spacing w:line="360" w:lineRule="auto"/>
              <w:jc w:val="left"/>
              <w:rPr>
                <w:rFonts w:ascii="宋体" w:hAnsi="宋体"/>
                <w:sz w:val="24"/>
              </w:rPr>
            </w:pPr>
            <w:r>
              <w:rPr>
                <w:rFonts w:ascii="宋体" w:hAnsi="宋体" w:hint="eastAsia"/>
                <w:sz w:val="24"/>
              </w:rPr>
              <w:t>联系人</w:t>
            </w:r>
          </w:p>
        </w:tc>
        <w:tc>
          <w:tcPr>
            <w:tcW w:w="6862" w:type="dxa"/>
            <w:gridSpan w:val="3"/>
            <w:vAlign w:val="center"/>
          </w:tcPr>
          <w:p w14:paraId="7873ED91" w14:textId="77777777" w:rsidR="00BF4A4E" w:rsidRDefault="00BF4A4E">
            <w:pPr>
              <w:widowControl/>
              <w:spacing w:line="360" w:lineRule="auto"/>
              <w:jc w:val="left"/>
              <w:rPr>
                <w:rFonts w:ascii="宋体" w:hAnsi="宋体"/>
                <w:sz w:val="24"/>
              </w:rPr>
            </w:pPr>
            <w:r>
              <w:rPr>
                <w:rFonts w:ascii="宋体" w:hAnsi="宋体" w:hint="eastAsia"/>
                <w:sz w:val="24"/>
              </w:rPr>
              <w:t>展璐</w:t>
            </w:r>
          </w:p>
        </w:tc>
      </w:tr>
    </w:tbl>
    <w:p w14:paraId="19F8F567" w14:textId="77777777" w:rsidR="00BF4A4E" w:rsidRPr="005E682F" w:rsidRDefault="00626B8B" w:rsidP="005E682F">
      <w:pPr>
        <w:spacing w:line="360" w:lineRule="auto"/>
        <w:rPr>
          <w:rFonts w:ascii="宋体" w:hAnsi="宋体"/>
          <w:sz w:val="24"/>
        </w:rPr>
      </w:pPr>
      <w:r>
        <w:rPr>
          <w:rFonts w:ascii="宋体" w:hAnsi="宋体" w:hint="eastAsia"/>
          <w:sz w:val="24"/>
        </w:rPr>
        <w:t xml:space="preserve"> </w:t>
      </w:r>
      <w:r>
        <w:rPr>
          <w:rFonts w:ascii="宋体" w:hAnsi="宋体"/>
          <w:sz w:val="24"/>
        </w:rPr>
        <w:t xml:space="preserve">  </w:t>
      </w:r>
      <w:r>
        <w:rPr>
          <w:rFonts w:ascii="宋体" w:hAnsi="宋体" w:hint="eastAsia"/>
          <w:sz w:val="24"/>
        </w:rPr>
        <w:t>（2）</w:t>
      </w:r>
      <w:r w:rsidR="00BF4A4E" w:rsidRPr="005E682F">
        <w:rPr>
          <w:rFonts w:ascii="宋体" w:hAnsi="宋体" w:hint="eastAsia"/>
          <w:sz w:val="24"/>
        </w:rPr>
        <w:t>银华基金管理股份有限公司网上直销交易系统</w:t>
      </w:r>
    </w:p>
    <w:tbl>
      <w:tblPr>
        <w:tblW w:w="87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2"/>
        <w:gridCol w:w="6893"/>
      </w:tblGrid>
      <w:tr w:rsidR="00BF4A4E" w14:paraId="684A28A5" w14:textId="77777777" w:rsidTr="006B521A">
        <w:trPr>
          <w:trHeight w:val="456"/>
        </w:trPr>
        <w:tc>
          <w:tcPr>
            <w:tcW w:w="1892" w:type="dxa"/>
            <w:tcBorders>
              <w:top w:val="single" w:sz="4" w:space="0" w:color="auto"/>
              <w:left w:val="single" w:sz="4" w:space="0" w:color="auto"/>
              <w:bottom w:val="single" w:sz="4" w:space="0" w:color="auto"/>
              <w:right w:val="single" w:sz="4" w:space="0" w:color="auto"/>
            </w:tcBorders>
          </w:tcPr>
          <w:p w14:paraId="7EEB2D8E" w14:textId="77777777" w:rsidR="00BF4A4E" w:rsidRDefault="00BF4A4E">
            <w:pPr>
              <w:widowControl/>
              <w:spacing w:line="360" w:lineRule="auto"/>
              <w:jc w:val="left"/>
              <w:rPr>
                <w:rFonts w:ascii="宋体" w:hAnsi="宋体"/>
                <w:sz w:val="24"/>
              </w:rPr>
            </w:pPr>
            <w:r>
              <w:rPr>
                <w:rFonts w:ascii="宋体" w:hAnsi="宋体" w:hint="eastAsia"/>
                <w:sz w:val="24"/>
              </w:rPr>
              <w:t>网上交易网址</w:t>
            </w:r>
          </w:p>
        </w:tc>
        <w:tc>
          <w:tcPr>
            <w:tcW w:w="6893" w:type="dxa"/>
            <w:tcBorders>
              <w:top w:val="single" w:sz="4" w:space="0" w:color="auto"/>
              <w:left w:val="single" w:sz="4" w:space="0" w:color="auto"/>
              <w:bottom w:val="single" w:sz="4" w:space="0" w:color="auto"/>
              <w:right w:val="single" w:sz="4" w:space="0" w:color="auto"/>
            </w:tcBorders>
          </w:tcPr>
          <w:p w14:paraId="1F3FA92F" w14:textId="77777777" w:rsidR="00BF4A4E" w:rsidRDefault="0018795B">
            <w:pPr>
              <w:widowControl/>
              <w:spacing w:line="360" w:lineRule="auto"/>
              <w:jc w:val="left"/>
              <w:rPr>
                <w:rFonts w:ascii="宋体" w:hAnsi="宋体"/>
                <w:sz w:val="24"/>
              </w:rPr>
            </w:pPr>
            <w:r w:rsidRPr="00170B02">
              <w:rPr>
                <w:rFonts w:ascii="宋体" w:hAnsi="宋体" w:hint="eastAsia"/>
                <w:sz w:val="24"/>
              </w:rPr>
              <w:t>https://trade.yhfund.com.cn/yhxntrade</w:t>
            </w:r>
          </w:p>
        </w:tc>
      </w:tr>
      <w:tr w:rsidR="00BF4A4E" w14:paraId="14E26326" w14:textId="77777777" w:rsidTr="006B521A">
        <w:trPr>
          <w:trHeight w:val="456"/>
        </w:trPr>
        <w:tc>
          <w:tcPr>
            <w:tcW w:w="1892" w:type="dxa"/>
            <w:tcBorders>
              <w:top w:val="single" w:sz="4" w:space="0" w:color="auto"/>
              <w:left w:val="single" w:sz="4" w:space="0" w:color="auto"/>
              <w:bottom w:val="single" w:sz="4" w:space="0" w:color="auto"/>
              <w:right w:val="single" w:sz="4" w:space="0" w:color="auto"/>
            </w:tcBorders>
          </w:tcPr>
          <w:p w14:paraId="0006211B" w14:textId="77777777" w:rsidR="00BF4A4E" w:rsidRDefault="00BF4A4E">
            <w:pPr>
              <w:widowControl/>
              <w:spacing w:line="360" w:lineRule="auto"/>
              <w:jc w:val="left"/>
              <w:rPr>
                <w:rFonts w:ascii="宋体" w:hAnsi="宋体"/>
                <w:sz w:val="24"/>
              </w:rPr>
            </w:pPr>
            <w:r>
              <w:rPr>
                <w:rFonts w:ascii="宋体" w:hAnsi="宋体" w:hint="eastAsia"/>
                <w:sz w:val="24"/>
              </w:rPr>
              <w:t>移动端站点</w:t>
            </w:r>
          </w:p>
        </w:tc>
        <w:tc>
          <w:tcPr>
            <w:tcW w:w="6893" w:type="dxa"/>
            <w:tcBorders>
              <w:top w:val="single" w:sz="4" w:space="0" w:color="auto"/>
              <w:left w:val="single" w:sz="4" w:space="0" w:color="auto"/>
              <w:bottom w:val="single" w:sz="4" w:space="0" w:color="auto"/>
              <w:right w:val="single" w:sz="4" w:space="0" w:color="auto"/>
            </w:tcBorders>
          </w:tcPr>
          <w:p w14:paraId="0630B026" w14:textId="1BA4713F" w:rsidR="00BF4A4E" w:rsidRDefault="00BF4A4E">
            <w:pPr>
              <w:widowControl/>
              <w:spacing w:line="360" w:lineRule="auto"/>
              <w:jc w:val="left"/>
              <w:rPr>
                <w:rFonts w:ascii="宋体" w:hAnsi="宋体"/>
                <w:sz w:val="24"/>
              </w:rPr>
            </w:pPr>
            <w:r>
              <w:rPr>
                <w:rFonts w:ascii="宋体" w:hAnsi="宋体" w:hint="eastAsia"/>
                <w:sz w:val="24"/>
              </w:rPr>
              <w:t>请到基金管理</w:t>
            </w:r>
            <w:r>
              <w:rPr>
                <w:rFonts w:ascii="宋体" w:hAnsi="宋体"/>
                <w:sz w:val="24"/>
              </w:rPr>
              <w:t>人</w:t>
            </w:r>
            <w:r>
              <w:rPr>
                <w:rFonts w:ascii="宋体" w:hAnsi="宋体" w:hint="eastAsia"/>
                <w:sz w:val="24"/>
              </w:rPr>
              <w:t>官方网站或各大移动应用市场下载“银华生利宝”手机</w:t>
            </w:r>
            <w:r>
              <w:rPr>
                <w:rFonts w:ascii="宋体" w:hAnsi="宋体"/>
                <w:sz w:val="24"/>
              </w:rPr>
              <w:t>APP</w:t>
            </w:r>
            <w:r>
              <w:rPr>
                <w:rFonts w:ascii="宋体" w:hAnsi="宋体" w:hint="eastAsia"/>
                <w:sz w:val="24"/>
              </w:rPr>
              <w:t>或关注“银华基金”官方微信</w:t>
            </w:r>
            <w:r w:rsidR="00163B4E">
              <w:rPr>
                <w:rFonts w:ascii="宋体" w:hAnsi="宋体" w:hint="eastAsia"/>
                <w:sz w:val="24"/>
              </w:rPr>
              <w:t>公众号</w:t>
            </w:r>
          </w:p>
        </w:tc>
      </w:tr>
      <w:tr w:rsidR="00BF4A4E" w14:paraId="1F57FE13" w14:textId="77777777" w:rsidTr="006B521A">
        <w:trPr>
          <w:trHeight w:val="456"/>
        </w:trPr>
        <w:tc>
          <w:tcPr>
            <w:tcW w:w="1892" w:type="dxa"/>
            <w:tcBorders>
              <w:top w:val="single" w:sz="4" w:space="0" w:color="auto"/>
              <w:left w:val="single" w:sz="4" w:space="0" w:color="auto"/>
              <w:bottom w:val="single" w:sz="4" w:space="0" w:color="auto"/>
              <w:right w:val="single" w:sz="4" w:space="0" w:color="auto"/>
            </w:tcBorders>
          </w:tcPr>
          <w:p w14:paraId="4C02528F" w14:textId="77777777" w:rsidR="00BF4A4E" w:rsidRDefault="00BF4A4E">
            <w:pPr>
              <w:widowControl/>
              <w:spacing w:line="360" w:lineRule="auto"/>
              <w:jc w:val="left"/>
              <w:rPr>
                <w:rFonts w:ascii="宋体" w:hAnsi="宋体"/>
                <w:sz w:val="24"/>
              </w:rPr>
            </w:pPr>
            <w:r>
              <w:rPr>
                <w:rFonts w:ascii="宋体" w:hAnsi="宋体" w:hint="eastAsia"/>
                <w:sz w:val="24"/>
              </w:rPr>
              <w:t>客户服务电话</w:t>
            </w:r>
          </w:p>
        </w:tc>
        <w:tc>
          <w:tcPr>
            <w:tcW w:w="6893" w:type="dxa"/>
            <w:tcBorders>
              <w:top w:val="single" w:sz="4" w:space="0" w:color="auto"/>
              <w:left w:val="single" w:sz="4" w:space="0" w:color="auto"/>
              <w:bottom w:val="single" w:sz="4" w:space="0" w:color="auto"/>
              <w:right w:val="single" w:sz="4" w:space="0" w:color="auto"/>
            </w:tcBorders>
          </w:tcPr>
          <w:p w14:paraId="1026109D" w14:textId="77777777" w:rsidR="00BF4A4E" w:rsidRDefault="00BF4A4E">
            <w:pPr>
              <w:widowControl/>
              <w:spacing w:line="360" w:lineRule="auto"/>
              <w:jc w:val="left"/>
              <w:rPr>
                <w:rFonts w:ascii="宋体" w:hAnsi="宋体"/>
                <w:sz w:val="24"/>
              </w:rPr>
            </w:pPr>
            <w:r>
              <w:rPr>
                <w:rFonts w:ascii="宋体" w:hAnsi="宋体"/>
                <w:sz w:val="24"/>
              </w:rPr>
              <w:t>010-85186558</w:t>
            </w:r>
            <w:r>
              <w:rPr>
                <w:rFonts w:ascii="宋体" w:hAnsi="宋体" w:hint="eastAsia"/>
                <w:sz w:val="24"/>
              </w:rPr>
              <w:t>，</w:t>
            </w:r>
            <w:r>
              <w:rPr>
                <w:rFonts w:ascii="宋体" w:hAnsi="宋体"/>
                <w:sz w:val="24"/>
              </w:rPr>
              <w:t>4006783333</w:t>
            </w:r>
          </w:p>
        </w:tc>
      </w:tr>
    </w:tbl>
    <w:p w14:paraId="0DBAEABC" w14:textId="77777777" w:rsidR="00BF4A4E" w:rsidRDefault="00BF4A4E">
      <w:pPr>
        <w:pStyle w:val="20"/>
        <w:adjustRightInd w:val="0"/>
        <w:snapToGrid w:val="0"/>
        <w:spacing w:beforeLines="50" w:before="156"/>
        <w:ind w:firstLine="480"/>
        <w:rPr>
          <w:sz w:val="24"/>
        </w:rPr>
      </w:pPr>
      <w:r>
        <w:rPr>
          <w:rFonts w:hint="eastAsia"/>
          <w:sz w:val="24"/>
        </w:rPr>
        <w:t>投资人可以通过基金管理人网上直销交易系统办理本基金的开户和认购手续，具体交易细则请参阅基金管理人网站公告。</w:t>
      </w:r>
    </w:p>
    <w:p w14:paraId="56CBDAE1" w14:textId="77777777" w:rsidR="00BC1A63" w:rsidRDefault="00BF4A4E" w:rsidP="00BC1A63">
      <w:pPr>
        <w:pStyle w:val="20"/>
        <w:ind w:firstLine="480"/>
        <w:jc w:val="left"/>
        <w:rPr>
          <w:rFonts w:cs="宋体"/>
          <w:color w:val="000000"/>
          <w:kern w:val="0"/>
          <w:sz w:val="24"/>
        </w:rPr>
      </w:pPr>
      <w:r>
        <w:rPr>
          <w:rFonts w:hint="eastAsia"/>
          <w:sz w:val="24"/>
        </w:rPr>
        <w:t>2、其他销售</w:t>
      </w:r>
      <w:r>
        <w:rPr>
          <w:sz w:val="24"/>
        </w:rPr>
        <w:t>机构</w:t>
      </w:r>
      <w:r>
        <w:rPr>
          <w:rFonts w:cs="宋体" w:hint="eastAsia"/>
          <w:color w:val="000000"/>
          <w:kern w:val="0"/>
          <w:sz w:val="24"/>
        </w:rPr>
        <w:t>（以下排名不分先后）</w:t>
      </w:r>
      <w:bookmarkStart w:id="34" w:name="_Toc265243015"/>
      <w:bookmarkStart w:id="35" w:name="_Toc265581178"/>
    </w:p>
    <w:p w14:paraId="0B31F024" w14:textId="77777777" w:rsidR="00FE279F" w:rsidRPr="003028B5" w:rsidRDefault="00FE279F" w:rsidP="00FE279F">
      <w:pPr>
        <w:numPr>
          <w:ilvl w:val="0"/>
          <w:numId w:val="12"/>
        </w:numPr>
        <w:autoSpaceDE w:val="0"/>
        <w:autoSpaceDN w:val="0"/>
        <w:adjustRightInd w:val="0"/>
        <w:spacing w:line="360" w:lineRule="auto"/>
        <w:rPr>
          <w:rFonts w:asciiTheme="minorEastAsia" w:eastAsiaTheme="minorEastAsia" w:hAnsiTheme="minorEastAsia" w:cs="仿宋"/>
          <w:sz w:val="24"/>
        </w:rPr>
      </w:pPr>
      <w:r w:rsidRPr="003028B5">
        <w:rPr>
          <w:rFonts w:asciiTheme="minorEastAsia" w:eastAsiaTheme="minorEastAsia" w:hAnsiTheme="minorEastAsia" w:cs="仿宋" w:hint="eastAsia"/>
          <w:sz w:val="24"/>
        </w:rPr>
        <w:t>蚂蚁（杭州）基金销售有限公司</w:t>
      </w:r>
    </w:p>
    <w:tbl>
      <w:tblPr>
        <w:tblW w:w="85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268"/>
        <w:gridCol w:w="1134"/>
        <w:gridCol w:w="3261"/>
      </w:tblGrid>
      <w:tr w:rsidR="00FE279F" w:rsidRPr="003028B5" w14:paraId="24A14575" w14:textId="77777777" w:rsidTr="00FE279F">
        <w:tc>
          <w:tcPr>
            <w:tcW w:w="1843" w:type="dxa"/>
            <w:tcBorders>
              <w:top w:val="single" w:sz="4" w:space="0" w:color="auto"/>
              <w:left w:val="single" w:sz="4" w:space="0" w:color="auto"/>
              <w:bottom w:val="single" w:sz="4" w:space="0" w:color="auto"/>
              <w:right w:val="single" w:sz="4" w:space="0" w:color="auto"/>
            </w:tcBorders>
            <w:vAlign w:val="center"/>
          </w:tcPr>
          <w:p w14:paraId="15D63E37"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sz w:val="24"/>
                <w:lang w:val="zh-CN"/>
              </w:rPr>
            </w:pPr>
            <w:r w:rsidRPr="003028B5">
              <w:rPr>
                <w:rFonts w:asciiTheme="minorEastAsia" w:eastAsiaTheme="minorEastAsia" w:hAnsiTheme="minorEastAsia" w:cs="仿宋" w:hint="eastAsia"/>
                <w:sz w:val="24"/>
                <w:lang w:val="zh-CN"/>
              </w:rPr>
              <w:t>办公地址</w:t>
            </w:r>
          </w:p>
        </w:tc>
        <w:tc>
          <w:tcPr>
            <w:tcW w:w="6663" w:type="dxa"/>
            <w:gridSpan w:val="3"/>
            <w:tcBorders>
              <w:top w:val="single" w:sz="4" w:space="0" w:color="auto"/>
              <w:left w:val="single" w:sz="4" w:space="0" w:color="auto"/>
              <w:bottom w:val="single" w:sz="4" w:space="0" w:color="auto"/>
              <w:right w:val="single" w:sz="4" w:space="0" w:color="auto"/>
            </w:tcBorders>
            <w:vAlign w:val="center"/>
          </w:tcPr>
          <w:p w14:paraId="571D931B"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sz w:val="24"/>
                <w:lang w:val="zh-CN"/>
              </w:rPr>
            </w:pPr>
            <w:r w:rsidRPr="003028B5">
              <w:rPr>
                <w:rFonts w:asciiTheme="minorEastAsia" w:eastAsiaTheme="minorEastAsia" w:hAnsiTheme="minorEastAsia" w:cs="仿宋" w:hint="eastAsia"/>
                <w:kern w:val="0"/>
                <w:sz w:val="24"/>
              </w:rPr>
              <w:t>浙江省杭州市西湖区西溪路556号</w:t>
            </w:r>
          </w:p>
        </w:tc>
      </w:tr>
      <w:tr w:rsidR="00FE279F" w:rsidRPr="003028B5" w14:paraId="49695760" w14:textId="77777777" w:rsidTr="00FE279F">
        <w:tc>
          <w:tcPr>
            <w:tcW w:w="1843" w:type="dxa"/>
            <w:tcBorders>
              <w:top w:val="single" w:sz="4" w:space="0" w:color="auto"/>
              <w:left w:val="single" w:sz="4" w:space="0" w:color="auto"/>
              <w:bottom w:val="single" w:sz="4" w:space="0" w:color="auto"/>
              <w:right w:val="single" w:sz="4" w:space="0" w:color="auto"/>
            </w:tcBorders>
            <w:vAlign w:val="center"/>
          </w:tcPr>
          <w:p w14:paraId="59F25A64"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sz w:val="24"/>
                <w:lang w:val="zh-CN"/>
              </w:rPr>
            </w:pPr>
            <w:r w:rsidRPr="003028B5">
              <w:rPr>
                <w:rFonts w:asciiTheme="minorEastAsia" w:eastAsiaTheme="minorEastAsia" w:hAnsiTheme="minorEastAsia" w:cs="仿宋" w:hint="eastAsia"/>
                <w:sz w:val="24"/>
                <w:lang w:val="zh-CN"/>
              </w:rPr>
              <w:t>联系人</w:t>
            </w:r>
          </w:p>
        </w:tc>
        <w:tc>
          <w:tcPr>
            <w:tcW w:w="6663" w:type="dxa"/>
            <w:gridSpan w:val="3"/>
            <w:tcBorders>
              <w:top w:val="single" w:sz="4" w:space="0" w:color="auto"/>
              <w:left w:val="single" w:sz="4" w:space="0" w:color="auto"/>
              <w:bottom w:val="single" w:sz="4" w:space="0" w:color="auto"/>
              <w:right w:val="single" w:sz="4" w:space="0" w:color="auto"/>
            </w:tcBorders>
            <w:vAlign w:val="center"/>
          </w:tcPr>
          <w:p w14:paraId="418293B5" w14:textId="77777777" w:rsidR="00FE279F" w:rsidRPr="003028B5" w:rsidRDefault="00FE279F" w:rsidP="00FE279F">
            <w:pPr>
              <w:rPr>
                <w:rFonts w:asciiTheme="minorEastAsia" w:eastAsiaTheme="minorEastAsia" w:hAnsiTheme="minorEastAsia" w:cs="仿宋"/>
                <w:sz w:val="24"/>
              </w:rPr>
            </w:pPr>
            <w:r w:rsidRPr="003028B5">
              <w:rPr>
                <w:rFonts w:asciiTheme="minorEastAsia" w:eastAsiaTheme="minorEastAsia" w:hAnsiTheme="minorEastAsia" w:cs="仿宋" w:hint="eastAsia"/>
                <w:sz w:val="24"/>
              </w:rPr>
              <w:t>韩爱彬</w:t>
            </w:r>
          </w:p>
        </w:tc>
      </w:tr>
      <w:tr w:rsidR="00FE279F" w:rsidRPr="003028B5" w14:paraId="2D07DC3C" w14:textId="77777777" w:rsidTr="00FE279F">
        <w:tc>
          <w:tcPr>
            <w:tcW w:w="1843" w:type="dxa"/>
            <w:tcBorders>
              <w:top w:val="single" w:sz="4" w:space="0" w:color="auto"/>
              <w:left w:val="single" w:sz="4" w:space="0" w:color="auto"/>
              <w:bottom w:val="single" w:sz="4" w:space="0" w:color="auto"/>
              <w:right w:val="single" w:sz="4" w:space="0" w:color="auto"/>
            </w:tcBorders>
            <w:vAlign w:val="center"/>
          </w:tcPr>
          <w:p w14:paraId="6949E8CC"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sz w:val="24"/>
                <w:lang w:val="zh-CN"/>
              </w:rPr>
            </w:pPr>
            <w:r w:rsidRPr="003028B5">
              <w:rPr>
                <w:rFonts w:asciiTheme="minorEastAsia" w:eastAsiaTheme="minorEastAsia" w:hAnsiTheme="minorEastAsia" w:cs="仿宋" w:hint="eastAsia"/>
                <w:sz w:val="24"/>
                <w:lang w:val="zh-CN"/>
              </w:rPr>
              <w:t>客服电话</w:t>
            </w:r>
          </w:p>
        </w:tc>
        <w:tc>
          <w:tcPr>
            <w:tcW w:w="2268" w:type="dxa"/>
            <w:tcBorders>
              <w:top w:val="single" w:sz="4" w:space="0" w:color="auto"/>
              <w:left w:val="single" w:sz="4" w:space="0" w:color="auto"/>
              <w:bottom w:val="single" w:sz="4" w:space="0" w:color="auto"/>
              <w:right w:val="single" w:sz="4" w:space="0" w:color="auto"/>
            </w:tcBorders>
            <w:vAlign w:val="center"/>
          </w:tcPr>
          <w:p w14:paraId="5374BBAA"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sz w:val="24"/>
                <w:lang w:val="zh-CN"/>
              </w:rPr>
            </w:pPr>
            <w:r w:rsidRPr="003028B5">
              <w:rPr>
                <w:rFonts w:asciiTheme="minorEastAsia" w:eastAsiaTheme="minorEastAsia" w:hAnsiTheme="minorEastAsia" w:cs="仿宋" w:hint="eastAsia"/>
                <w:kern w:val="0"/>
                <w:sz w:val="24"/>
              </w:rPr>
              <w:t>95188-8</w:t>
            </w:r>
          </w:p>
        </w:tc>
        <w:tc>
          <w:tcPr>
            <w:tcW w:w="1134" w:type="dxa"/>
            <w:tcBorders>
              <w:top w:val="single" w:sz="4" w:space="0" w:color="auto"/>
              <w:left w:val="single" w:sz="4" w:space="0" w:color="auto"/>
              <w:bottom w:val="single" w:sz="4" w:space="0" w:color="auto"/>
              <w:right w:val="single" w:sz="4" w:space="0" w:color="auto"/>
            </w:tcBorders>
            <w:vAlign w:val="center"/>
          </w:tcPr>
          <w:p w14:paraId="405055A1"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sz w:val="24"/>
                <w:lang w:val="zh-CN"/>
              </w:rPr>
            </w:pPr>
            <w:r w:rsidRPr="003028B5">
              <w:rPr>
                <w:rFonts w:asciiTheme="minorEastAsia" w:eastAsiaTheme="minorEastAsia" w:hAnsiTheme="minorEastAsia" w:cs="仿宋" w:hint="eastAsia"/>
                <w:sz w:val="24"/>
                <w:lang w:val="zh-CN"/>
              </w:rPr>
              <w:t>网址</w:t>
            </w:r>
          </w:p>
        </w:tc>
        <w:tc>
          <w:tcPr>
            <w:tcW w:w="3261" w:type="dxa"/>
            <w:tcBorders>
              <w:top w:val="single" w:sz="4" w:space="0" w:color="auto"/>
              <w:left w:val="single" w:sz="4" w:space="0" w:color="auto"/>
              <w:bottom w:val="single" w:sz="4" w:space="0" w:color="auto"/>
              <w:right w:val="single" w:sz="4" w:space="0" w:color="auto"/>
            </w:tcBorders>
            <w:vAlign w:val="center"/>
          </w:tcPr>
          <w:p w14:paraId="64F1D867"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sz w:val="24"/>
                <w:lang w:val="zh-CN"/>
              </w:rPr>
            </w:pPr>
            <w:r w:rsidRPr="003028B5">
              <w:rPr>
                <w:rFonts w:asciiTheme="minorEastAsia" w:eastAsiaTheme="minorEastAsia" w:hAnsiTheme="minorEastAsia" w:cs="仿宋" w:hint="eastAsia"/>
                <w:sz w:val="24"/>
                <w:lang w:val="zh-CN"/>
              </w:rPr>
              <w:t>www.fund123.cn</w:t>
            </w:r>
          </w:p>
        </w:tc>
      </w:tr>
    </w:tbl>
    <w:p w14:paraId="2198A418" w14:textId="77777777" w:rsidR="00FE279F" w:rsidRPr="003028B5" w:rsidRDefault="00FE279F" w:rsidP="00FE279F">
      <w:pPr>
        <w:numPr>
          <w:ilvl w:val="0"/>
          <w:numId w:val="12"/>
        </w:numPr>
        <w:autoSpaceDE w:val="0"/>
        <w:autoSpaceDN w:val="0"/>
        <w:adjustRightInd w:val="0"/>
        <w:spacing w:line="360" w:lineRule="auto"/>
        <w:rPr>
          <w:rFonts w:asciiTheme="minorEastAsia" w:eastAsiaTheme="minorEastAsia" w:hAnsiTheme="minorEastAsia" w:cs="仿宋"/>
          <w:sz w:val="24"/>
        </w:rPr>
      </w:pPr>
      <w:r w:rsidRPr="003028B5">
        <w:rPr>
          <w:rFonts w:asciiTheme="minorEastAsia" w:eastAsiaTheme="minorEastAsia" w:hAnsiTheme="minorEastAsia" w:cs="仿宋" w:hint="eastAsia"/>
          <w:sz w:val="24"/>
        </w:rPr>
        <w:t>上海好买基金销售有限公司</w:t>
      </w:r>
    </w:p>
    <w:tbl>
      <w:tblPr>
        <w:tblW w:w="85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268"/>
        <w:gridCol w:w="1134"/>
        <w:gridCol w:w="3261"/>
      </w:tblGrid>
      <w:tr w:rsidR="00FE279F" w:rsidRPr="003028B5" w14:paraId="4DD9806B" w14:textId="77777777" w:rsidTr="00FE279F">
        <w:tc>
          <w:tcPr>
            <w:tcW w:w="1843" w:type="dxa"/>
            <w:tcBorders>
              <w:top w:val="single" w:sz="4" w:space="0" w:color="auto"/>
              <w:left w:val="single" w:sz="4" w:space="0" w:color="auto"/>
              <w:bottom w:val="single" w:sz="4" w:space="0" w:color="auto"/>
              <w:right w:val="single" w:sz="4" w:space="0" w:color="auto"/>
            </w:tcBorders>
            <w:vAlign w:val="center"/>
          </w:tcPr>
          <w:p w14:paraId="77DBEC54"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sz w:val="24"/>
                <w:lang w:val="zh-CN"/>
              </w:rPr>
            </w:pPr>
            <w:r w:rsidRPr="003028B5">
              <w:rPr>
                <w:rFonts w:asciiTheme="minorEastAsia" w:eastAsiaTheme="minorEastAsia" w:hAnsiTheme="minorEastAsia" w:cs="仿宋" w:hint="eastAsia"/>
                <w:sz w:val="24"/>
                <w:lang w:val="zh-CN"/>
              </w:rPr>
              <w:t>办公地址</w:t>
            </w:r>
          </w:p>
        </w:tc>
        <w:tc>
          <w:tcPr>
            <w:tcW w:w="6663" w:type="dxa"/>
            <w:gridSpan w:val="3"/>
            <w:tcBorders>
              <w:top w:val="single" w:sz="4" w:space="0" w:color="auto"/>
              <w:left w:val="single" w:sz="4" w:space="0" w:color="auto"/>
              <w:bottom w:val="single" w:sz="4" w:space="0" w:color="auto"/>
              <w:right w:val="single" w:sz="4" w:space="0" w:color="auto"/>
            </w:tcBorders>
            <w:vAlign w:val="center"/>
          </w:tcPr>
          <w:p w14:paraId="4B065AE2"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sz w:val="24"/>
                <w:lang w:val="zh-CN"/>
              </w:rPr>
            </w:pPr>
            <w:r w:rsidRPr="003028B5">
              <w:rPr>
                <w:rFonts w:asciiTheme="minorEastAsia" w:eastAsiaTheme="minorEastAsia" w:hAnsiTheme="minorEastAsia" w:cs="仿宋" w:hint="eastAsia"/>
                <w:sz w:val="24"/>
                <w:lang w:val="zh-CN"/>
              </w:rPr>
              <w:t>上海市浦东新区浦东南路1118号鄂尔多斯国际大厦9楼（200120）</w:t>
            </w:r>
          </w:p>
        </w:tc>
      </w:tr>
      <w:tr w:rsidR="00FE279F" w:rsidRPr="003028B5" w14:paraId="31419223" w14:textId="77777777" w:rsidTr="00FE279F">
        <w:tc>
          <w:tcPr>
            <w:tcW w:w="1843" w:type="dxa"/>
            <w:tcBorders>
              <w:top w:val="single" w:sz="4" w:space="0" w:color="auto"/>
              <w:left w:val="single" w:sz="4" w:space="0" w:color="auto"/>
              <w:bottom w:val="single" w:sz="4" w:space="0" w:color="auto"/>
              <w:right w:val="single" w:sz="4" w:space="0" w:color="auto"/>
            </w:tcBorders>
            <w:vAlign w:val="center"/>
          </w:tcPr>
          <w:p w14:paraId="2C206D6D"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sz w:val="24"/>
                <w:lang w:val="zh-CN"/>
              </w:rPr>
            </w:pPr>
            <w:r w:rsidRPr="003028B5">
              <w:rPr>
                <w:rFonts w:asciiTheme="minorEastAsia" w:eastAsiaTheme="minorEastAsia" w:hAnsiTheme="minorEastAsia" w:cs="仿宋" w:hint="eastAsia"/>
                <w:sz w:val="24"/>
                <w:lang w:val="zh-CN"/>
              </w:rPr>
              <w:t>联系人</w:t>
            </w:r>
          </w:p>
        </w:tc>
        <w:tc>
          <w:tcPr>
            <w:tcW w:w="6663" w:type="dxa"/>
            <w:gridSpan w:val="3"/>
            <w:tcBorders>
              <w:top w:val="single" w:sz="4" w:space="0" w:color="auto"/>
              <w:left w:val="single" w:sz="4" w:space="0" w:color="auto"/>
              <w:bottom w:val="single" w:sz="4" w:space="0" w:color="auto"/>
              <w:right w:val="single" w:sz="4" w:space="0" w:color="auto"/>
            </w:tcBorders>
            <w:vAlign w:val="center"/>
          </w:tcPr>
          <w:p w14:paraId="7312BF4B"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sz w:val="24"/>
                <w:lang w:val="zh-CN"/>
              </w:rPr>
            </w:pPr>
            <w:r w:rsidRPr="003028B5">
              <w:rPr>
                <w:rFonts w:asciiTheme="minorEastAsia" w:eastAsiaTheme="minorEastAsia" w:hAnsiTheme="minorEastAsia" w:cs="仿宋" w:hint="eastAsia"/>
                <w:sz w:val="24"/>
                <w:lang w:val="zh-CN"/>
              </w:rPr>
              <w:t>罗梦</w:t>
            </w:r>
          </w:p>
        </w:tc>
      </w:tr>
      <w:tr w:rsidR="00FE279F" w:rsidRPr="003028B5" w14:paraId="65D00856" w14:textId="77777777" w:rsidTr="00FE279F">
        <w:tc>
          <w:tcPr>
            <w:tcW w:w="1843" w:type="dxa"/>
            <w:tcBorders>
              <w:top w:val="single" w:sz="4" w:space="0" w:color="auto"/>
              <w:left w:val="single" w:sz="4" w:space="0" w:color="auto"/>
              <w:bottom w:val="single" w:sz="4" w:space="0" w:color="auto"/>
              <w:right w:val="single" w:sz="4" w:space="0" w:color="auto"/>
            </w:tcBorders>
            <w:vAlign w:val="center"/>
          </w:tcPr>
          <w:p w14:paraId="3B902627"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sz w:val="24"/>
                <w:lang w:val="zh-CN"/>
              </w:rPr>
            </w:pPr>
            <w:r w:rsidRPr="003028B5">
              <w:rPr>
                <w:rFonts w:asciiTheme="minorEastAsia" w:eastAsiaTheme="minorEastAsia" w:hAnsiTheme="minorEastAsia" w:cs="仿宋" w:hint="eastAsia"/>
                <w:sz w:val="24"/>
                <w:lang w:val="zh-CN"/>
              </w:rPr>
              <w:t>客服电话</w:t>
            </w:r>
          </w:p>
        </w:tc>
        <w:tc>
          <w:tcPr>
            <w:tcW w:w="2268" w:type="dxa"/>
            <w:tcBorders>
              <w:top w:val="single" w:sz="4" w:space="0" w:color="auto"/>
              <w:left w:val="single" w:sz="4" w:space="0" w:color="auto"/>
              <w:bottom w:val="single" w:sz="4" w:space="0" w:color="auto"/>
              <w:right w:val="single" w:sz="4" w:space="0" w:color="auto"/>
            </w:tcBorders>
            <w:vAlign w:val="center"/>
          </w:tcPr>
          <w:p w14:paraId="24146D0D"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sz w:val="24"/>
                <w:lang w:val="zh-CN"/>
              </w:rPr>
            </w:pPr>
            <w:r w:rsidRPr="003028B5">
              <w:rPr>
                <w:rFonts w:asciiTheme="minorEastAsia" w:eastAsiaTheme="minorEastAsia" w:hAnsiTheme="minorEastAsia" w:cs="仿宋" w:hint="eastAsia"/>
                <w:kern w:val="0"/>
                <w:sz w:val="24"/>
              </w:rPr>
              <w:t>400-700-9665</w:t>
            </w:r>
          </w:p>
        </w:tc>
        <w:tc>
          <w:tcPr>
            <w:tcW w:w="1134" w:type="dxa"/>
            <w:tcBorders>
              <w:top w:val="single" w:sz="4" w:space="0" w:color="auto"/>
              <w:left w:val="single" w:sz="4" w:space="0" w:color="auto"/>
              <w:bottom w:val="single" w:sz="4" w:space="0" w:color="auto"/>
              <w:right w:val="single" w:sz="4" w:space="0" w:color="auto"/>
            </w:tcBorders>
            <w:vAlign w:val="center"/>
          </w:tcPr>
          <w:p w14:paraId="3EA85F1E"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sz w:val="24"/>
                <w:lang w:val="zh-CN"/>
              </w:rPr>
            </w:pPr>
            <w:r w:rsidRPr="003028B5">
              <w:rPr>
                <w:rFonts w:asciiTheme="minorEastAsia" w:eastAsiaTheme="minorEastAsia" w:hAnsiTheme="minorEastAsia" w:cs="仿宋" w:hint="eastAsia"/>
                <w:sz w:val="24"/>
                <w:lang w:val="zh-CN"/>
              </w:rPr>
              <w:t>网址</w:t>
            </w:r>
          </w:p>
        </w:tc>
        <w:tc>
          <w:tcPr>
            <w:tcW w:w="3261" w:type="dxa"/>
            <w:tcBorders>
              <w:top w:val="single" w:sz="4" w:space="0" w:color="auto"/>
              <w:left w:val="single" w:sz="4" w:space="0" w:color="auto"/>
              <w:bottom w:val="single" w:sz="4" w:space="0" w:color="auto"/>
              <w:right w:val="single" w:sz="4" w:space="0" w:color="auto"/>
            </w:tcBorders>
            <w:vAlign w:val="center"/>
          </w:tcPr>
          <w:p w14:paraId="5C55E21B"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sz w:val="24"/>
                <w:lang w:val="zh-CN"/>
              </w:rPr>
            </w:pPr>
            <w:r w:rsidRPr="003028B5">
              <w:rPr>
                <w:rFonts w:asciiTheme="minorEastAsia" w:eastAsiaTheme="minorEastAsia" w:hAnsiTheme="minorEastAsia" w:cs="仿宋" w:hint="eastAsia"/>
                <w:sz w:val="24"/>
              </w:rPr>
              <w:t>www.ehowbuy.com</w:t>
            </w:r>
          </w:p>
        </w:tc>
      </w:tr>
    </w:tbl>
    <w:p w14:paraId="78DCC5F9" w14:textId="77777777" w:rsidR="00FE279F" w:rsidRPr="003028B5" w:rsidRDefault="00FE279F" w:rsidP="00FE279F">
      <w:pPr>
        <w:numPr>
          <w:ilvl w:val="0"/>
          <w:numId w:val="12"/>
        </w:numPr>
        <w:autoSpaceDE w:val="0"/>
        <w:autoSpaceDN w:val="0"/>
        <w:adjustRightInd w:val="0"/>
        <w:spacing w:line="360" w:lineRule="auto"/>
        <w:rPr>
          <w:rFonts w:asciiTheme="minorEastAsia" w:eastAsiaTheme="minorEastAsia" w:hAnsiTheme="minorEastAsia" w:cs="仿宋"/>
          <w:sz w:val="24"/>
        </w:rPr>
      </w:pPr>
      <w:r w:rsidRPr="003028B5">
        <w:rPr>
          <w:rFonts w:asciiTheme="minorEastAsia" w:eastAsiaTheme="minorEastAsia" w:hAnsiTheme="minorEastAsia" w:cs="仿宋" w:hint="eastAsia"/>
          <w:sz w:val="24"/>
        </w:rPr>
        <w:t>上海天天基金销售有限公司</w:t>
      </w:r>
    </w:p>
    <w:tbl>
      <w:tblPr>
        <w:tblW w:w="86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268"/>
        <w:gridCol w:w="1134"/>
        <w:gridCol w:w="3402"/>
      </w:tblGrid>
      <w:tr w:rsidR="00FE279F" w:rsidRPr="003028B5" w14:paraId="47A445E5" w14:textId="77777777" w:rsidTr="00FE279F">
        <w:tc>
          <w:tcPr>
            <w:tcW w:w="1843" w:type="dxa"/>
            <w:tcBorders>
              <w:top w:val="single" w:sz="4" w:space="0" w:color="auto"/>
              <w:left w:val="single" w:sz="4" w:space="0" w:color="auto"/>
              <w:bottom w:val="single" w:sz="4" w:space="0" w:color="auto"/>
              <w:right w:val="single" w:sz="4" w:space="0" w:color="auto"/>
            </w:tcBorders>
            <w:vAlign w:val="center"/>
          </w:tcPr>
          <w:p w14:paraId="48A3CF87"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办公地址</w:t>
            </w:r>
          </w:p>
        </w:tc>
        <w:tc>
          <w:tcPr>
            <w:tcW w:w="6804" w:type="dxa"/>
            <w:gridSpan w:val="3"/>
            <w:tcBorders>
              <w:top w:val="single" w:sz="4" w:space="0" w:color="auto"/>
              <w:left w:val="single" w:sz="4" w:space="0" w:color="auto"/>
              <w:bottom w:val="single" w:sz="4" w:space="0" w:color="auto"/>
              <w:right w:val="single" w:sz="4" w:space="0" w:color="auto"/>
            </w:tcBorders>
            <w:vAlign w:val="center"/>
          </w:tcPr>
          <w:p w14:paraId="4F5D4170"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上海市徐汇区宛平南路88号金座东方财富大厦</w:t>
            </w:r>
          </w:p>
        </w:tc>
      </w:tr>
      <w:tr w:rsidR="00FE279F" w:rsidRPr="003028B5" w14:paraId="569F9279" w14:textId="77777777" w:rsidTr="00FE279F">
        <w:tc>
          <w:tcPr>
            <w:tcW w:w="1843" w:type="dxa"/>
            <w:tcBorders>
              <w:top w:val="single" w:sz="4" w:space="0" w:color="auto"/>
              <w:left w:val="single" w:sz="4" w:space="0" w:color="auto"/>
              <w:bottom w:val="single" w:sz="4" w:space="0" w:color="auto"/>
              <w:right w:val="single" w:sz="4" w:space="0" w:color="auto"/>
            </w:tcBorders>
            <w:vAlign w:val="center"/>
          </w:tcPr>
          <w:p w14:paraId="041A44BA"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lastRenderedPageBreak/>
              <w:t>联系人</w:t>
            </w:r>
          </w:p>
        </w:tc>
        <w:tc>
          <w:tcPr>
            <w:tcW w:w="6804" w:type="dxa"/>
            <w:gridSpan w:val="3"/>
            <w:tcBorders>
              <w:top w:val="single" w:sz="4" w:space="0" w:color="auto"/>
              <w:left w:val="single" w:sz="4" w:space="0" w:color="auto"/>
              <w:bottom w:val="single" w:sz="4" w:space="0" w:color="auto"/>
              <w:right w:val="single" w:sz="4" w:space="0" w:color="auto"/>
            </w:tcBorders>
            <w:vAlign w:val="center"/>
          </w:tcPr>
          <w:p w14:paraId="7ECB4193" w14:textId="77777777" w:rsidR="00FE279F" w:rsidRPr="003028B5" w:rsidRDefault="00FE279F" w:rsidP="00FE279F">
            <w:pPr>
              <w:rPr>
                <w:rFonts w:asciiTheme="minorEastAsia" w:eastAsiaTheme="minorEastAsia" w:hAnsiTheme="minorEastAsia" w:cs="仿宋"/>
                <w:sz w:val="24"/>
              </w:rPr>
            </w:pPr>
            <w:r w:rsidRPr="003028B5">
              <w:rPr>
                <w:rFonts w:asciiTheme="minorEastAsia" w:eastAsiaTheme="minorEastAsia" w:hAnsiTheme="minorEastAsia" w:cs="仿宋" w:hint="eastAsia"/>
                <w:sz w:val="24"/>
              </w:rPr>
              <w:t>何薇</w:t>
            </w:r>
          </w:p>
        </w:tc>
      </w:tr>
      <w:tr w:rsidR="00FE279F" w:rsidRPr="003028B5" w14:paraId="1E58C4AA" w14:textId="77777777" w:rsidTr="00FE279F">
        <w:tc>
          <w:tcPr>
            <w:tcW w:w="1843" w:type="dxa"/>
            <w:tcBorders>
              <w:top w:val="single" w:sz="4" w:space="0" w:color="auto"/>
              <w:left w:val="single" w:sz="4" w:space="0" w:color="auto"/>
              <w:bottom w:val="single" w:sz="4" w:space="0" w:color="auto"/>
              <w:right w:val="single" w:sz="4" w:space="0" w:color="auto"/>
            </w:tcBorders>
            <w:vAlign w:val="center"/>
          </w:tcPr>
          <w:p w14:paraId="42C2FF5A"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客服电话</w:t>
            </w:r>
          </w:p>
        </w:tc>
        <w:tc>
          <w:tcPr>
            <w:tcW w:w="2268" w:type="dxa"/>
            <w:tcBorders>
              <w:top w:val="single" w:sz="4" w:space="0" w:color="auto"/>
              <w:left w:val="single" w:sz="4" w:space="0" w:color="auto"/>
              <w:bottom w:val="single" w:sz="4" w:space="0" w:color="auto"/>
              <w:right w:val="single" w:sz="4" w:space="0" w:color="auto"/>
            </w:tcBorders>
            <w:vAlign w:val="center"/>
          </w:tcPr>
          <w:p w14:paraId="4DCAFFE7"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400-1818-188</w:t>
            </w:r>
          </w:p>
        </w:tc>
        <w:tc>
          <w:tcPr>
            <w:tcW w:w="1134" w:type="dxa"/>
            <w:tcBorders>
              <w:top w:val="single" w:sz="4" w:space="0" w:color="auto"/>
              <w:left w:val="single" w:sz="4" w:space="0" w:color="auto"/>
              <w:bottom w:val="single" w:sz="4" w:space="0" w:color="auto"/>
              <w:right w:val="single" w:sz="4" w:space="0" w:color="auto"/>
            </w:tcBorders>
            <w:vAlign w:val="center"/>
          </w:tcPr>
          <w:p w14:paraId="7FC82372"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网址</w:t>
            </w:r>
          </w:p>
        </w:tc>
        <w:tc>
          <w:tcPr>
            <w:tcW w:w="3402" w:type="dxa"/>
            <w:tcBorders>
              <w:top w:val="single" w:sz="4" w:space="0" w:color="auto"/>
              <w:left w:val="single" w:sz="4" w:space="0" w:color="auto"/>
              <w:bottom w:val="single" w:sz="4" w:space="0" w:color="auto"/>
              <w:right w:val="single" w:sz="4" w:space="0" w:color="auto"/>
            </w:tcBorders>
            <w:vAlign w:val="center"/>
          </w:tcPr>
          <w:p w14:paraId="3C04C726"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www.1234567.com.cn</w:t>
            </w:r>
          </w:p>
        </w:tc>
      </w:tr>
    </w:tbl>
    <w:p w14:paraId="4E7D68A7" w14:textId="77777777" w:rsidR="00FE279F" w:rsidRPr="003028B5" w:rsidRDefault="00FE279F" w:rsidP="00FE279F">
      <w:pPr>
        <w:numPr>
          <w:ilvl w:val="0"/>
          <w:numId w:val="12"/>
        </w:numPr>
        <w:autoSpaceDE w:val="0"/>
        <w:autoSpaceDN w:val="0"/>
        <w:adjustRightInd w:val="0"/>
        <w:spacing w:line="360" w:lineRule="auto"/>
        <w:rPr>
          <w:rFonts w:asciiTheme="minorEastAsia" w:eastAsiaTheme="minorEastAsia" w:hAnsiTheme="minorEastAsia" w:cs="仿宋"/>
          <w:sz w:val="24"/>
        </w:rPr>
      </w:pPr>
      <w:r w:rsidRPr="003028B5">
        <w:rPr>
          <w:rFonts w:asciiTheme="minorEastAsia" w:eastAsiaTheme="minorEastAsia" w:hAnsiTheme="minorEastAsia" w:cs="仿宋" w:hint="eastAsia"/>
          <w:sz w:val="24"/>
        </w:rPr>
        <w:t>珠海盈米基金销售有限公司</w:t>
      </w:r>
    </w:p>
    <w:tbl>
      <w:tblPr>
        <w:tblW w:w="864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2410"/>
        <w:gridCol w:w="992"/>
        <w:gridCol w:w="3402"/>
      </w:tblGrid>
      <w:tr w:rsidR="00FE279F" w:rsidRPr="003028B5" w14:paraId="0D8E05D9" w14:textId="77777777" w:rsidTr="00FE279F">
        <w:tc>
          <w:tcPr>
            <w:tcW w:w="1843" w:type="dxa"/>
            <w:tcBorders>
              <w:top w:val="single" w:sz="4" w:space="0" w:color="000000"/>
              <w:left w:val="single" w:sz="4" w:space="0" w:color="000000"/>
              <w:bottom w:val="single" w:sz="4" w:space="0" w:color="000000"/>
              <w:right w:val="single" w:sz="4" w:space="0" w:color="000000"/>
            </w:tcBorders>
            <w:vAlign w:val="center"/>
          </w:tcPr>
          <w:p w14:paraId="3C249FAA"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办公地址</w:t>
            </w:r>
          </w:p>
        </w:tc>
        <w:tc>
          <w:tcPr>
            <w:tcW w:w="6804" w:type="dxa"/>
            <w:gridSpan w:val="3"/>
            <w:tcBorders>
              <w:top w:val="single" w:sz="4" w:space="0" w:color="000000"/>
              <w:left w:val="single" w:sz="4" w:space="0" w:color="000000"/>
              <w:bottom w:val="single" w:sz="4" w:space="0" w:color="000000"/>
              <w:right w:val="single" w:sz="4" w:space="0" w:color="000000"/>
            </w:tcBorders>
            <w:vAlign w:val="center"/>
          </w:tcPr>
          <w:p w14:paraId="640E2428"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广州市海珠区阅江中路688号保利国际广场北塔33楼</w:t>
            </w:r>
          </w:p>
        </w:tc>
      </w:tr>
      <w:tr w:rsidR="00FE279F" w:rsidRPr="003028B5" w14:paraId="22449666" w14:textId="77777777" w:rsidTr="00FE279F">
        <w:tc>
          <w:tcPr>
            <w:tcW w:w="1843" w:type="dxa"/>
            <w:tcBorders>
              <w:top w:val="single" w:sz="4" w:space="0" w:color="000000"/>
              <w:left w:val="single" w:sz="4" w:space="0" w:color="000000"/>
              <w:bottom w:val="single" w:sz="4" w:space="0" w:color="000000"/>
              <w:right w:val="single" w:sz="4" w:space="0" w:color="000000"/>
            </w:tcBorders>
            <w:vAlign w:val="center"/>
          </w:tcPr>
          <w:p w14:paraId="1C831E37"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联系人</w:t>
            </w:r>
          </w:p>
        </w:tc>
        <w:tc>
          <w:tcPr>
            <w:tcW w:w="6804" w:type="dxa"/>
            <w:gridSpan w:val="3"/>
            <w:tcBorders>
              <w:top w:val="single" w:sz="4" w:space="0" w:color="000000"/>
              <w:left w:val="single" w:sz="4" w:space="0" w:color="000000"/>
              <w:bottom w:val="single" w:sz="4" w:space="0" w:color="000000"/>
              <w:right w:val="single" w:sz="4" w:space="0" w:color="000000"/>
            </w:tcBorders>
            <w:vAlign w:val="center"/>
          </w:tcPr>
          <w:p w14:paraId="6D2AE949"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邱湘湘</w:t>
            </w:r>
          </w:p>
        </w:tc>
      </w:tr>
      <w:tr w:rsidR="00FE279F" w:rsidRPr="003028B5" w14:paraId="3D24C76F" w14:textId="77777777" w:rsidTr="00FE279F">
        <w:tc>
          <w:tcPr>
            <w:tcW w:w="1843" w:type="dxa"/>
            <w:tcBorders>
              <w:top w:val="single" w:sz="4" w:space="0" w:color="000000"/>
              <w:left w:val="single" w:sz="4" w:space="0" w:color="000000"/>
              <w:bottom w:val="single" w:sz="4" w:space="0" w:color="000000"/>
              <w:right w:val="single" w:sz="4" w:space="0" w:color="000000"/>
            </w:tcBorders>
            <w:vAlign w:val="center"/>
          </w:tcPr>
          <w:p w14:paraId="3C4A8AB7"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客服电话</w:t>
            </w:r>
          </w:p>
        </w:tc>
        <w:tc>
          <w:tcPr>
            <w:tcW w:w="2410" w:type="dxa"/>
            <w:tcBorders>
              <w:top w:val="single" w:sz="4" w:space="0" w:color="000000"/>
              <w:left w:val="single" w:sz="4" w:space="0" w:color="000000"/>
              <w:bottom w:val="single" w:sz="4" w:space="0" w:color="000000"/>
              <w:right w:val="single" w:sz="4" w:space="0" w:color="000000"/>
            </w:tcBorders>
            <w:vAlign w:val="center"/>
          </w:tcPr>
          <w:p w14:paraId="12B86926"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020-89629066</w:t>
            </w:r>
          </w:p>
        </w:tc>
        <w:tc>
          <w:tcPr>
            <w:tcW w:w="992" w:type="dxa"/>
            <w:tcBorders>
              <w:top w:val="single" w:sz="4" w:space="0" w:color="000000"/>
              <w:left w:val="single" w:sz="4" w:space="0" w:color="000000"/>
              <w:bottom w:val="single" w:sz="4" w:space="0" w:color="000000"/>
              <w:right w:val="single" w:sz="4" w:space="0" w:color="000000"/>
            </w:tcBorders>
            <w:vAlign w:val="center"/>
          </w:tcPr>
          <w:p w14:paraId="47A6820A"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网址</w:t>
            </w:r>
          </w:p>
        </w:tc>
        <w:tc>
          <w:tcPr>
            <w:tcW w:w="3402" w:type="dxa"/>
            <w:tcBorders>
              <w:top w:val="single" w:sz="4" w:space="0" w:color="000000"/>
              <w:left w:val="single" w:sz="4" w:space="0" w:color="000000"/>
              <w:bottom w:val="single" w:sz="4" w:space="0" w:color="000000"/>
              <w:right w:val="single" w:sz="4" w:space="0" w:color="000000"/>
            </w:tcBorders>
            <w:vAlign w:val="center"/>
          </w:tcPr>
          <w:p w14:paraId="59D78C0D"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www.yingmi.cn</w:t>
            </w:r>
          </w:p>
        </w:tc>
      </w:tr>
    </w:tbl>
    <w:p w14:paraId="4703B8B4" w14:textId="77777777" w:rsidR="00FE279F" w:rsidRPr="003028B5" w:rsidRDefault="00FE279F" w:rsidP="00FE279F">
      <w:pPr>
        <w:numPr>
          <w:ilvl w:val="0"/>
          <w:numId w:val="12"/>
        </w:numPr>
        <w:autoSpaceDE w:val="0"/>
        <w:autoSpaceDN w:val="0"/>
        <w:adjustRightInd w:val="0"/>
        <w:spacing w:line="360" w:lineRule="auto"/>
        <w:rPr>
          <w:rFonts w:asciiTheme="minorEastAsia" w:eastAsiaTheme="minorEastAsia" w:hAnsiTheme="minorEastAsia" w:cs="仿宋"/>
          <w:sz w:val="24"/>
        </w:rPr>
      </w:pPr>
      <w:r w:rsidRPr="003028B5">
        <w:rPr>
          <w:rFonts w:asciiTheme="minorEastAsia" w:eastAsiaTheme="minorEastAsia" w:hAnsiTheme="minorEastAsia" w:cs="仿宋" w:hint="eastAsia"/>
          <w:sz w:val="24"/>
        </w:rPr>
        <w:t>京东肯特瑞基金销售有限公司</w:t>
      </w:r>
    </w:p>
    <w:tbl>
      <w:tblPr>
        <w:tblW w:w="86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410"/>
        <w:gridCol w:w="992"/>
        <w:gridCol w:w="3402"/>
      </w:tblGrid>
      <w:tr w:rsidR="00FE279F" w:rsidRPr="003028B5" w14:paraId="4FEE7849" w14:textId="77777777" w:rsidTr="00FE279F">
        <w:tc>
          <w:tcPr>
            <w:tcW w:w="1843" w:type="dxa"/>
            <w:tcBorders>
              <w:top w:val="single" w:sz="4" w:space="0" w:color="auto"/>
              <w:left w:val="single" w:sz="4" w:space="0" w:color="auto"/>
              <w:bottom w:val="single" w:sz="4" w:space="0" w:color="auto"/>
              <w:right w:val="single" w:sz="4" w:space="0" w:color="auto"/>
            </w:tcBorders>
            <w:vAlign w:val="center"/>
          </w:tcPr>
          <w:p w14:paraId="74D1A0E3"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办公地址</w:t>
            </w:r>
          </w:p>
        </w:tc>
        <w:tc>
          <w:tcPr>
            <w:tcW w:w="6804" w:type="dxa"/>
            <w:gridSpan w:val="3"/>
            <w:tcBorders>
              <w:top w:val="single" w:sz="4" w:space="0" w:color="auto"/>
              <w:left w:val="single" w:sz="4" w:space="0" w:color="auto"/>
              <w:bottom w:val="single" w:sz="4" w:space="0" w:color="auto"/>
              <w:right w:val="single" w:sz="4" w:space="0" w:color="auto"/>
            </w:tcBorders>
            <w:vAlign w:val="center"/>
          </w:tcPr>
          <w:p w14:paraId="291619F4"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北京市通州区亦庄经济开发区科创十一街18号院京东集团总部A座15层</w:t>
            </w:r>
          </w:p>
        </w:tc>
      </w:tr>
      <w:tr w:rsidR="00FE279F" w:rsidRPr="003028B5" w14:paraId="5330BD89" w14:textId="77777777" w:rsidTr="00FE279F">
        <w:tc>
          <w:tcPr>
            <w:tcW w:w="1843" w:type="dxa"/>
            <w:tcBorders>
              <w:top w:val="single" w:sz="4" w:space="0" w:color="auto"/>
              <w:left w:val="single" w:sz="4" w:space="0" w:color="auto"/>
              <w:bottom w:val="single" w:sz="4" w:space="0" w:color="auto"/>
              <w:right w:val="single" w:sz="4" w:space="0" w:color="auto"/>
            </w:tcBorders>
            <w:vAlign w:val="center"/>
          </w:tcPr>
          <w:p w14:paraId="0A896FC6"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联系人</w:t>
            </w:r>
          </w:p>
        </w:tc>
        <w:tc>
          <w:tcPr>
            <w:tcW w:w="6804" w:type="dxa"/>
            <w:gridSpan w:val="3"/>
            <w:tcBorders>
              <w:top w:val="single" w:sz="4" w:space="0" w:color="auto"/>
              <w:left w:val="single" w:sz="4" w:space="0" w:color="auto"/>
              <w:bottom w:val="single" w:sz="4" w:space="0" w:color="auto"/>
              <w:right w:val="single" w:sz="4" w:space="0" w:color="auto"/>
            </w:tcBorders>
            <w:vAlign w:val="center"/>
          </w:tcPr>
          <w:p w14:paraId="5591BDF2"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李丹</w:t>
            </w:r>
          </w:p>
        </w:tc>
      </w:tr>
      <w:tr w:rsidR="00FE279F" w:rsidRPr="003028B5" w14:paraId="02858C31" w14:textId="77777777" w:rsidTr="00FE279F">
        <w:tc>
          <w:tcPr>
            <w:tcW w:w="1843" w:type="dxa"/>
            <w:tcBorders>
              <w:top w:val="single" w:sz="4" w:space="0" w:color="auto"/>
              <w:left w:val="single" w:sz="4" w:space="0" w:color="auto"/>
              <w:bottom w:val="single" w:sz="4" w:space="0" w:color="auto"/>
              <w:right w:val="single" w:sz="4" w:space="0" w:color="auto"/>
            </w:tcBorders>
            <w:vAlign w:val="center"/>
          </w:tcPr>
          <w:p w14:paraId="0FE41BB2"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客服电话</w:t>
            </w:r>
          </w:p>
        </w:tc>
        <w:tc>
          <w:tcPr>
            <w:tcW w:w="2410" w:type="dxa"/>
            <w:tcBorders>
              <w:top w:val="single" w:sz="4" w:space="0" w:color="auto"/>
              <w:left w:val="single" w:sz="4" w:space="0" w:color="auto"/>
              <w:bottom w:val="single" w:sz="4" w:space="0" w:color="auto"/>
              <w:right w:val="single" w:sz="4" w:space="0" w:color="auto"/>
            </w:tcBorders>
            <w:vAlign w:val="center"/>
          </w:tcPr>
          <w:p w14:paraId="3D0736DC"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95118</w:t>
            </w:r>
          </w:p>
        </w:tc>
        <w:tc>
          <w:tcPr>
            <w:tcW w:w="992" w:type="dxa"/>
            <w:tcBorders>
              <w:top w:val="single" w:sz="4" w:space="0" w:color="auto"/>
              <w:left w:val="single" w:sz="4" w:space="0" w:color="auto"/>
              <w:bottom w:val="single" w:sz="4" w:space="0" w:color="auto"/>
              <w:right w:val="single" w:sz="4" w:space="0" w:color="auto"/>
            </w:tcBorders>
            <w:vAlign w:val="center"/>
          </w:tcPr>
          <w:p w14:paraId="58D05C6E"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网址</w:t>
            </w:r>
          </w:p>
        </w:tc>
        <w:tc>
          <w:tcPr>
            <w:tcW w:w="3402" w:type="dxa"/>
            <w:tcBorders>
              <w:top w:val="single" w:sz="4" w:space="0" w:color="auto"/>
              <w:left w:val="single" w:sz="4" w:space="0" w:color="auto"/>
              <w:bottom w:val="single" w:sz="4" w:space="0" w:color="auto"/>
              <w:right w:val="single" w:sz="4" w:space="0" w:color="auto"/>
            </w:tcBorders>
            <w:vAlign w:val="center"/>
          </w:tcPr>
          <w:p w14:paraId="4C76BEE1"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fund.jd.com</w:t>
            </w:r>
          </w:p>
        </w:tc>
      </w:tr>
    </w:tbl>
    <w:p w14:paraId="585FEE18" w14:textId="77777777" w:rsidR="00FE279F" w:rsidRPr="003028B5" w:rsidRDefault="00FE279F" w:rsidP="00FE279F">
      <w:pPr>
        <w:numPr>
          <w:ilvl w:val="0"/>
          <w:numId w:val="12"/>
        </w:numPr>
        <w:autoSpaceDE w:val="0"/>
        <w:autoSpaceDN w:val="0"/>
        <w:adjustRightInd w:val="0"/>
        <w:spacing w:line="360" w:lineRule="auto"/>
        <w:rPr>
          <w:rFonts w:asciiTheme="minorEastAsia" w:eastAsiaTheme="minorEastAsia" w:hAnsiTheme="minorEastAsia" w:cs="仿宋"/>
          <w:sz w:val="24"/>
        </w:rPr>
      </w:pPr>
      <w:r w:rsidRPr="003028B5">
        <w:rPr>
          <w:rFonts w:asciiTheme="minorEastAsia" w:eastAsiaTheme="minorEastAsia" w:hAnsiTheme="minorEastAsia" w:cs="仿宋" w:hint="eastAsia"/>
          <w:sz w:val="24"/>
        </w:rPr>
        <w:t>南京苏宁基金销售有限公司</w:t>
      </w:r>
    </w:p>
    <w:tbl>
      <w:tblPr>
        <w:tblW w:w="86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410"/>
        <w:gridCol w:w="992"/>
        <w:gridCol w:w="3402"/>
      </w:tblGrid>
      <w:tr w:rsidR="00FE279F" w:rsidRPr="003028B5" w14:paraId="1FD432D0" w14:textId="77777777" w:rsidTr="00FE279F">
        <w:tc>
          <w:tcPr>
            <w:tcW w:w="1843" w:type="dxa"/>
            <w:tcBorders>
              <w:top w:val="single" w:sz="4" w:space="0" w:color="auto"/>
              <w:left w:val="single" w:sz="4" w:space="0" w:color="auto"/>
              <w:bottom w:val="single" w:sz="4" w:space="0" w:color="auto"/>
              <w:right w:val="single" w:sz="4" w:space="0" w:color="auto"/>
            </w:tcBorders>
            <w:vAlign w:val="center"/>
          </w:tcPr>
          <w:p w14:paraId="733DF4B2"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办公地址</w:t>
            </w:r>
          </w:p>
        </w:tc>
        <w:tc>
          <w:tcPr>
            <w:tcW w:w="6804" w:type="dxa"/>
            <w:gridSpan w:val="3"/>
            <w:tcBorders>
              <w:top w:val="single" w:sz="4" w:space="0" w:color="auto"/>
              <w:left w:val="single" w:sz="4" w:space="0" w:color="auto"/>
              <w:bottom w:val="single" w:sz="4" w:space="0" w:color="auto"/>
              <w:right w:val="single" w:sz="4" w:space="0" w:color="auto"/>
            </w:tcBorders>
            <w:vAlign w:val="center"/>
          </w:tcPr>
          <w:p w14:paraId="2AE149AD"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南京市玄武区徐庄软件园苏宁大道1号</w:t>
            </w:r>
          </w:p>
        </w:tc>
      </w:tr>
      <w:tr w:rsidR="00FE279F" w:rsidRPr="003028B5" w14:paraId="2B8C32B9" w14:textId="77777777" w:rsidTr="00FE279F">
        <w:tc>
          <w:tcPr>
            <w:tcW w:w="1843" w:type="dxa"/>
            <w:tcBorders>
              <w:top w:val="single" w:sz="4" w:space="0" w:color="auto"/>
              <w:left w:val="single" w:sz="4" w:space="0" w:color="auto"/>
              <w:bottom w:val="single" w:sz="4" w:space="0" w:color="auto"/>
              <w:right w:val="single" w:sz="4" w:space="0" w:color="auto"/>
            </w:tcBorders>
            <w:vAlign w:val="center"/>
          </w:tcPr>
          <w:p w14:paraId="2AAE1B8C"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联系人</w:t>
            </w:r>
          </w:p>
        </w:tc>
        <w:tc>
          <w:tcPr>
            <w:tcW w:w="6804" w:type="dxa"/>
            <w:gridSpan w:val="3"/>
            <w:tcBorders>
              <w:top w:val="single" w:sz="4" w:space="0" w:color="auto"/>
              <w:left w:val="single" w:sz="4" w:space="0" w:color="auto"/>
              <w:bottom w:val="single" w:sz="4" w:space="0" w:color="auto"/>
              <w:right w:val="single" w:sz="4" w:space="0" w:color="auto"/>
            </w:tcBorders>
            <w:vAlign w:val="center"/>
          </w:tcPr>
          <w:p w14:paraId="7463965C"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王旋</w:t>
            </w:r>
          </w:p>
        </w:tc>
      </w:tr>
      <w:tr w:rsidR="00FE279F" w:rsidRPr="003028B5" w14:paraId="1A23B91B" w14:textId="77777777" w:rsidTr="00FE279F">
        <w:tc>
          <w:tcPr>
            <w:tcW w:w="1843" w:type="dxa"/>
            <w:tcBorders>
              <w:top w:val="single" w:sz="4" w:space="0" w:color="auto"/>
              <w:left w:val="single" w:sz="4" w:space="0" w:color="auto"/>
              <w:bottom w:val="single" w:sz="4" w:space="0" w:color="auto"/>
              <w:right w:val="single" w:sz="4" w:space="0" w:color="auto"/>
            </w:tcBorders>
            <w:vAlign w:val="center"/>
          </w:tcPr>
          <w:p w14:paraId="3C829AE1"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客服电话</w:t>
            </w:r>
          </w:p>
        </w:tc>
        <w:tc>
          <w:tcPr>
            <w:tcW w:w="2410" w:type="dxa"/>
            <w:tcBorders>
              <w:top w:val="single" w:sz="4" w:space="0" w:color="auto"/>
              <w:left w:val="single" w:sz="4" w:space="0" w:color="auto"/>
              <w:bottom w:val="single" w:sz="4" w:space="0" w:color="auto"/>
              <w:right w:val="single" w:sz="4" w:space="0" w:color="auto"/>
            </w:tcBorders>
            <w:vAlign w:val="center"/>
          </w:tcPr>
          <w:p w14:paraId="797C8200"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95177</w:t>
            </w:r>
          </w:p>
        </w:tc>
        <w:tc>
          <w:tcPr>
            <w:tcW w:w="992" w:type="dxa"/>
            <w:tcBorders>
              <w:top w:val="single" w:sz="4" w:space="0" w:color="auto"/>
              <w:left w:val="single" w:sz="4" w:space="0" w:color="auto"/>
              <w:bottom w:val="single" w:sz="4" w:space="0" w:color="auto"/>
              <w:right w:val="single" w:sz="4" w:space="0" w:color="auto"/>
            </w:tcBorders>
            <w:vAlign w:val="center"/>
          </w:tcPr>
          <w:p w14:paraId="38943927"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网址</w:t>
            </w:r>
          </w:p>
        </w:tc>
        <w:tc>
          <w:tcPr>
            <w:tcW w:w="3402" w:type="dxa"/>
            <w:tcBorders>
              <w:top w:val="single" w:sz="4" w:space="0" w:color="auto"/>
              <w:left w:val="single" w:sz="4" w:space="0" w:color="auto"/>
              <w:bottom w:val="single" w:sz="4" w:space="0" w:color="auto"/>
              <w:right w:val="single" w:sz="4" w:space="0" w:color="auto"/>
            </w:tcBorders>
            <w:vAlign w:val="center"/>
          </w:tcPr>
          <w:p w14:paraId="29617073"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www.suning.com</w:t>
            </w:r>
          </w:p>
        </w:tc>
      </w:tr>
    </w:tbl>
    <w:p w14:paraId="678105AA" w14:textId="77777777" w:rsidR="00FE279F" w:rsidRPr="003028B5" w:rsidRDefault="00FE279F" w:rsidP="00FE279F">
      <w:pPr>
        <w:numPr>
          <w:ilvl w:val="0"/>
          <w:numId w:val="12"/>
        </w:numPr>
        <w:autoSpaceDE w:val="0"/>
        <w:autoSpaceDN w:val="0"/>
        <w:adjustRightInd w:val="0"/>
        <w:spacing w:line="360" w:lineRule="auto"/>
        <w:rPr>
          <w:rFonts w:asciiTheme="minorEastAsia" w:eastAsiaTheme="minorEastAsia" w:hAnsiTheme="minorEastAsia" w:cs="仿宋"/>
          <w:sz w:val="24"/>
        </w:rPr>
      </w:pPr>
      <w:r w:rsidRPr="003028B5">
        <w:rPr>
          <w:rFonts w:asciiTheme="minorEastAsia" w:eastAsiaTheme="minorEastAsia" w:hAnsiTheme="minorEastAsia" w:cs="仿宋" w:hint="eastAsia"/>
          <w:sz w:val="24"/>
        </w:rPr>
        <w:t>北京雪球基金销售有限公司</w:t>
      </w:r>
    </w:p>
    <w:tbl>
      <w:tblPr>
        <w:tblW w:w="86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835"/>
        <w:gridCol w:w="851"/>
        <w:gridCol w:w="3118"/>
      </w:tblGrid>
      <w:tr w:rsidR="00FE279F" w:rsidRPr="003028B5" w14:paraId="5BDEB811" w14:textId="77777777" w:rsidTr="00FE279F">
        <w:tc>
          <w:tcPr>
            <w:tcW w:w="1843" w:type="dxa"/>
            <w:tcBorders>
              <w:top w:val="single" w:sz="4" w:space="0" w:color="auto"/>
              <w:left w:val="single" w:sz="4" w:space="0" w:color="auto"/>
              <w:bottom w:val="single" w:sz="4" w:space="0" w:color="auto"/>
              <w:right w:val="single" w:sz="4" w:space="0" w:color="auto"/>
            </w:tcBorders>
          </w:tcPr>
          <w:p w14:paraId="5BC34830"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办公地址</w:t>
            </w:r>
          </w:p>
        </w:tc>
        <w:tc>
          <w:tcPr>
            <w:tcW w:w="6804" w:type="dxa"/>
            <w:gridSpan w:val="3"/>
            <w:tcBorders>
              <w:top w:val="single" w:sz="4" w:space="0" w:color="auto"/>
              <w:left w:val="single" w:sz="4" w:space="0" w:color="auto"/>
              <w:bottom w:val="single" w:sz="4" w:space="0" w:color="auto"/>
              <w:right w:val="single" w:sz="4" w:space="0" w:color="auto"/>
            </w:tcBorders>
          </w:tcPr>
          <w:p w14:paraId="6DB535D2"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北京市朝阳区创远路34号院6号楼15层1501室</w:t>
            </w:r>
          </w:p>
        </w:tc>
      </w:tr>
      <w:tr w:rsidR="00FE279F" w:rsidRPr="003028B5" w14:paraId="2EA15736" w14:textId="77777777" w:rsidTr="00FE279F">
        <w:tc>
          <w:tcPr>
            <w:tcW w:w="1843" w:type="dxa"/>
            <w:tcBorders>
              <w:top w:val="single" w:sz="4" w:space="0" w:color="auto"/>
              <w:left w:val="single" w:sz="4" w:space="0" w:color="auto"/>
              <w:bottom w:val="single" w:sz="4" w:space="0" w:color="auto"/>
              <w:right w:val="single" w:sz="4" w:space="0" w:color="auto"/>
            </w:tcBorders>
          </w:tcPr>
          <w:p w14:paraId="0A484AE8"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联系人</w:t>
            </w:r>
          </w:p>
        </w:tc>
        <w:tc>
          <w:tcPr>
            <w:tcW w:w="6804" w:type="dxa"/>
            <w:gridSpan w:val="3"/>
            <w:tcBorders>
              <w:top w:val="single" w:sz="4" w:space="0" w:color="auto"/>
              <w:left w:val="single" w:sz="4" w:space="0" w:color="auto"/>
              <w:bottom w:val="single" w:sz="4" w:space="0" w:color="auto"/>
              <w:right w:val="single" w:sz="4" w:space="0" w:color="auto"/>
            </w:tcBorders>
          </w:tcPr>
          <w:p w14:paraId="126E5AE2"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朱晓燕</w:t>
            </w:r>
          </w:p>
        </w:tc>
      </w:tr>
      <w:tr w:rsidR="00FE279F" w:rsidRPr="003028B5" w14:paraId="7FCF1865" w14:textId="77777777" w:rsidTr="00FE279F">
        <w:tc>
          <w:tcPr>
            <w:tcW w:w="1843" w:type="dxa"/>
            <w:tcBorders>
              <w:top w:val="single" w:sz="4" w:space="0" w:color="auto"/>
              <w:left w:val="single" w:sz="4" w:space="0" w:color="auto"/>
              <w:bottom w:val="single" w:sz="4" w:space="0" w:color="auto"/>
              <w:right w:val="single" w:sz="4" w:space="0" w:color="auto"/>
            </w:tcBorders>
          </w:tcPr>
          <w:p w14:paraId="7E9B748D"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客服电话</w:t>
            </w:r>
          </w:p>
        </w:tc>
        <w:tc>
          <w:tcPr>
            <w:tcW w:w="2835" w:type="dxa"/>
            <w:tcBorders>
              <w:top w:val="single" w:sz="4" w:space="0" w:color="auto"/>
              <w:left w:val="single" w:sz="4" w:space="0" w:color="auto"/>
              <w:bottom w:val="single" w:sz="4" w:space="0" w:color="auto"/>
              <w:right w:val="single" w:sz="4" w:space="0" w:color="auto"/>
            </w:tcBorders>
          </w:tcPr>
          <w:p w14:paraId="2CD33F6F"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400-159-9288</w:t>
            </w:r>
          </w:p>
        </w:tc>
        <w:tc>
          <w:tcPr>
            <w:tcW w:w="851" w:type="dxa"/>
            <w:tcBorders>
              <w:top w:val="single" w:sz="4" w:space="0" w:color="auto"/>
              <w:left w:val="single" w:sz="4" w:space="0" w:color="auto"/>
              <w:bottom w:val="single" w:sz="4" w:space="0" w:color="auto"/>
              <w:right w:val="single" w:sz="4" w:space="0" w:color="auto"/>
            </w:tcBorders>
          </w:tcPr>
          <w:p w14:paraId="3F3542B1"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网址</w:t>
            </w:r>
          </w:p>
        </w:tc>
        <w:tc>
          <w:tcPr>
            <w:tcW w:w="3118" w:type="dxa"/>
            <w:tcBorders>
              <w:top w:val="single" w:sz="4" w:space="0" w:color="auto"/>
              <w:left w:val="single" w:sz="4" w:space="0" w:color="auto"/>
              <w:bottom w:val="single" w:sz="4" w:space="0" w:color="auto"/>
              <w:right w:val="single" w:sz="4" w:space="0" w:color="auto"/>
            </w:tcBorders>
          </w:tcPr>
          <w:p w14:paraId="794C5112"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www.danjuanapp.com</w:t>
            </w:r>
          </w:p>
        </w:tc>
      </w:tr>
    </w:tbl>
    <w:p w14:paraId="46E7DA72" w14:textId="77777777" w:rsidR="00FE279F" w:rsidRPr="003028B5" w:rsidRDefault="00FE279F" w:rsidP="00FE279F">
      <w:pPr>
        <w:numPr>
          <w:ilvl w:val="0"/>
          <w:numId w:val="12"/>
        </w:numPr>
        <w:autoSpaceDE w:val="0"/>
        <w:autoSpaceDN w:val="0"/>
        <w:adjustRightInd w:val="0"/>
        <w:spacing w:line="360" w:lineRule="auto"/>
        <w:rPr>
          <w:rFonts w:asciiTheme="minorEastAsia" w:eastAsiaTheme="minorEastAsia" w:hAnsiTheme="minorEastAsia" w:cs="仿宋"/>
          <w:sz w:val="24"/>
        </w:rPr>
      </w:pPr>
      <w:r w:rsidRPr="003028B5">
        <w:rPr>
          <w:rFonts w:asciiTheme="minorEastAsia" w:eastAsiaTheme="minorEastAsia" w:hAnsiTheme="minorEastAsia" w:cs="仿宋" w:hint="eastAsia"/>
          <w:sz w:val="24"/>
        </w:rPr>
        <w:t>宜信普泽（北京）基金销售有限公司</w:t>
      </w:r>
    </w:p>
    <w:tbl>
      <w:tblPr>
        <w:tblW w:w="86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834"/>
        <w:gridCol w:w="850"/>
        <w:gridCol w:w="3120"/>
      </w:tblGrid>
      <w:tr w:rsidR="00FE279F" w:rsidRPr="003028B5" w14:paraId="5CF2F2BF" w14:textId="77777777" w:rsidTr="00FE279F">
        <w:trPr>
          <w:trHeight w:val="455"/>
        </w:trPr>
        <w:tc>
          <w:tcPr>
            <w:tcW w:w="1843" w:type="dxa"/>
            <w:tcBorders>
              <w:top w:val="single" w:sz="4" w:space="0" w:color="auto"/>
              <w:left w:val="single" w:sz="4" w:space="0" w:color="auto"/>
              <w:bottom w:val="single" w:sz="4" w:space="0" w:color="auto"/>
              <w:right w:val="single" w:sz="4" w:space="0" w:color="auto"/>
            </w:tcBorders>
          </w:tcPr>
          <w:p w14:paraId="47B415B7"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办公地址</w:t>
            </w:r>
          </w:p>
        </w:tc>
        <w:tc>
          <w:tcPr>
            <w:tcW w:w="6804" w:type="dxa"/>
            <w:gridSpan w:val="3"/>
            <w:tcBorders>
              <w:top w:val="single" w:sz="4" w:space="0" w:color="auto"/>
              <w:left w:val="single" w:sz="4" w:space="0" w:color="auto"/>
              <w:bottom w:val="single" w:sz="4" w:space="0" w:color="auto"/>
              <w:right w:val="single" w:sz="4" w:space="0" w:color="auto"/>
            </w:tcBorders>
          </w:tcPr>
          <w:p w14:paraId="62B1E033"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北京市朝阳区光华路7号楼20层20A1、20A2单元</w:t>
            </w:r>
          </w:p>
        </w:tc>
      </w:tr>
      <w:tr w:rsidR="00FE279F" w:rsidRPr="003028B5" w14:paraId="15343AAB" w14:textId="77777777" w:rsidTr="00FE279F">
        <w:tc>
          <w:tcPr>
            <w:tcW w:w="1843" w:type="dxa"/>
            <w:tcBorders>
              <w:top w:val="single" w:sz="4" w:space="0" w:color="auto"/>
              <w:left w:val="single" w:sz="4" w:space="0" w:color="auto"/>
              <w:bottom w:val="single" w:sz="4" w:space="0" w:color="auto"/>
              <w:right w:val="single" w:sz="4" w:space="0" w:color="auto"/>
            </w:tcBorders>
          </w:tcPr>
          <w:p w14:paraId="6F576AA4"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联系人</w:t>
            </w:r>
          </w:p>
        </w:tc>
        <w:tc>
          <w:tcPr>
            <w:tcW w:w="6804" w:type="dxa"/>
            <w:gridSpan w:val="3"/>
            <w:tcBorders>
              <w:top w:val="single" w:sz="4" w:space="0" w:color="auto"/>
              <w:left w:val="single" w:sz="4" w:space="0" w:color="auto"/>
              <w:bottom w:val="single" w:sz="4" w:space="0" w:color="auto"/>
              <w:right w:val="single" w:sz="4" w:space="0" w:color="auto"/>
            </w:tcBorders>
          </w:tcPr>
          <w:p w14:paraId="07A30CF1"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魏晨</w:t>
            </w:r>
          </w:p>
        </w:tc>
      </w:tr>
      <w:tr w:rsidR="00FE279F" w:rsidRPr="003028B5" w14:paraId="2A305975" w14:textId="77777777" w:rsidTr="00FE279F">
        <w:tc>
          <w:tcPr>
            <w:tcW w:w="1843" w:type="dxa"/>
            <w:tcBorders>
              <w:top w:val="single" w:sz="4" w:space="0" w:color="auto"/>
              <w:left w:val="single" w:sz="4" w:space="0" w:color="auto"/>
              <w:bottom w:val="single" w:sz="4" w:space="0" w:color="auto"/>
              <w:right w:val="single" w:sz="4" w:space="0" w:color="auto"/>
            </w:tcBorders>
          </w:tcPr>
          <w:p w14:paraId="0FBB5FAE"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客服电话</w:t>
            </w:r>
          </w:p>
        </w:tc>
        <w:tc>
          <w:tcPr>
            <w:tcW w:w="2834" w:type="dxa"/>
            <w:tcBorders>
              <w:top w:val="single" w:sz="4" w:space="0" w:color="auto"/>
              <w:left w:val="single" w:sz="4" w:space="0" w:color="auto"/>
              <w:bottom w:val="single" w:sz="4" w:space="0" w:color="auto"/>
              <w:right w:val="single" w:sz="4" w:space="0" w:color="auto"/>
            </w:tcBorders>
          </w:tcPr>
          <w:p w14:paraId="22525A79"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400-6099-200</w:t>
            </w:r>
          </w:p>
        </w:tc>
        <w:tc>
          <w:tcPr>
            <w:tcW w:w="850" w:type="dxa"/>
            <w:tcBorders>
              <w:top w:val="single" w:sz="4" w:space="0" w:color="auto"/>
              <w:left w:val="single" w:sz="4" w:space="0" w:color="auto"/>
              <w:bottom w:val="single" w:sz="4" w:space="0" w:color="auto"/>
              <w:right w:val="single" w:sz="4" w:space="0" w:color="auto"/>
            </w:tcBorders>
          </w:tcPr>
          <w:p w14:paraId="4C6599A4"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网址</w:t>
            </w:r>
          </w:p>
        </w:tc>
        <w:tc>
          <w:tcPr>
            <w:tcW w:w="3120" w:type="dxa"/>
            <w:tcBorders>
              <w:top w:val="single" w:sz="4" w:space="0" w:color="auto"/>
              <w:left w:val="single" w:sz="4" w:space="0" w:color="auto"/>
              <w:bottom w:val="single" w:sz="4" w:space="0" w:color="auto"/>
              <w:right w:val="single" w:sz="4" w:space="0" w:color="auto"/>
            </w:tcBorders>
          </w:tcPr>
          <w:p w14:paraId="70C3FF91"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www.yixinfund.com</w:t>
            </w:r>
          </w:p>
        </w:tc>
      </w:tr>
    </w:tbl>
    <w:p w14:paraId="1BE4BA0B" w14:textId="77777777" w:rsidR="00FE279F" w:rsidRPr="003028B5" w:rsidRDefault="00FE279F" w:rsidP="00FE279F">
      <w:pPr>
        <w:numPr>
          <w:ilvl w:val="0"/>
          <w:numId w:val="12"/>
        </w:numPr>
        <w:autoSpaceDE w:val="0"/>
        <w:autoSpaceDN w:val="0"/>
        <w:adjustRightInd w:val="0"/>
        <w:spacing w:line="360" w:lineRule="auto"/>
        <w:rPr>
          <w:rFonts w:asciiTheme="minorEastAsia" w:eastAsiaTheme="minorEastAsia" w:hAnsiTheme="minorEastAsia" w:cs="仿宋"/>
          <w:sz w:val="24"/>
        </w:rPr>
      </w:pPr>
      <w:r w:rsidRPr="003028B5">
        <w:rPr>
          <w:rFonts w:asciiTheme="minorEastAsia" w:eastAsiaTheme="minorEastAsia" w:hAnsiTheme="minorEastAsia" w:cs="仿宋" w:hint="eastAsia"/>
          <w:sz w:val="24"/>
        </w:rPr>
        <w:t>泛华普益基金销售有限公司</w:t>
      </w:r>
    </w:p>
    <w:tbl>
      <w:tblPr>
        <w:tblW w:w="86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834"/>
        <w:gridCol w:w="850"/>
        <w:gridCol w:w="3120"/>
      </w:tblGrid>
      <w:tr w:rsidR="00FE279F" w:rsidRPr="003028B5" w14:paraId="4524D79E" w14:textId="77777777" w:rsidTr="00FE279F">
        <w:trPr>
          <w:trHeight w:val="455"/>
        </w:trPr>
        <w:tc>
          <w:tcPr>
            <w:tcW w:w="1843" w:type="dxa"/>
            <w:tcBorders>
              <w:top w:val="single" w:sz="4" w:space="0" w:color="auto"/>
              <w:left w:val="single" w:sz="4" w:space="0" w:color="auto"/>
              <w:bottom w:val="single" w:sz="4" w:space="0" w:color="auto"/>
              <w:right w:val="single" w:sz="4" w:space="0" w:color="auto"/>
            </w:tcBorders>
          </w:tcPr>
          <w:p w14:paraId="30C1F7FC"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办公地址</w:t>
            </w:r>
          </w:p>
        </w:tc>
        <w:tc>
          <w:tcPr>
            <w:tcW w:w="6804" w:type="dxa"/>
            <w:gridSpan w:val="3"/>
            <w:tcBorders>
              <w:top w:val="single" w:sz="4" w:space="0" w:color="auto"/>
              <w:left w:val="single" w:sz="4" w:space="0" w:color="auto"/>
              <w:bottom w:val="single" w:sz="4" w:space="0" w:color="auto"/>
              <w:right w:val="single" w:sz="4" w:space="0" w:color="auto"/>
            </w:tcBorders>
          </w:tcPr>
          <w:p w14:paraId="1C535D09"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bCs/>
                <w:kern w:val="0"/>
                <w:sz w:val="24"/>
              </w:rPr>
              <w:t>广州市天河区珠江西路 15 号珠江城大厦 61 楼</w:t>
            </w:r>
          </w:p>
        </w:tc>
      </w:tr>
      <w:tr w:rsidR="00FE279F" w:rsidRPr="003028B5" w14:paraId="69C37566" w14:textId="77777777" w:rsidTr="00FE279F">
        <w:tc>
          <w:tcPr>
            <w:tcW w:w="1843" w:type="dxa"/>
            <w:tcBorders>
              <w:top w:val="single" w:sz="4" w:space="0" w:color="auto"/>
              <w:left w:val="single" w:sz="4" w:space="0" w:color="auto"/>
              <w:bottom w:val="single" w:sz="4" w:space="0" w:color="auto"/>
              <w:right w:val="single" w:sz="4" w:space="0" w:color="auto"/>
            </w:tcBorders>
          </w:tcPr>
          <w:p w14:paraId="3170AED4"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联系人</w:t>
            </w:r>
          </w:p>
        </w:tc>
        <w:tc>
          <w:tcPr>
            <w:tcW w:w="6804" w:type="dxa"/>
            <w:gridSpan w:val="3"/>
            <w:tcBorders>
              <w:top w:val="single" w:sz="4" w:space="0" w:color="auto"/>
              <w:left w:val="single" w:sz="4" w:space="0" w:color="auto"/>
              <w:bottom w:val="single" w:sz="4" w:space="0" w:color="auto"/>
              <w:right w:val="single" w:sz="4" w:space="0" w:color="auto"/>
            </w:tcBorders>
          </w:tcPr>
          <w:p w14:paraId="4AEFBA1B"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史若芬</w:t>
            </w:r>
          </w:p>
        </w:tc>
      </w:tr>
      <w:tr w:rsidR="00FE279F" w:rsidRPr="003028B5" w14:paraId="5007CA7E" w14:textId="77777777" w:rsidTr="00FE279F">
        <w:tc>
          <w:tcPr>
            <w:tcW w:w="1843" w:type="dxa"/>
            <w:tcBorders>
              <w:top w:val="single" w:sz="4" w:space="0" w:color="auto"/>
              <w:left w:val="single" w:sz="4" w:space="0" w:color="auto"/>
              <w:bottom w:val="single" w:sz="4" w:space="0" w:color="auto"/>
              <w:right w:val="single" w:sz="4" w:space="0" w:color="auto"/>
            </w:tcBorders>
          </w:tcPr>
          <w:p w14:paraId="0A7BB0DC"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客服电话</w:t>
            </w:r>
          </w:p>
        </w:tc>
        <w:tc>
          <w:tcPr>
            <w:tcW w:w="2834" w:type="dxa"/>
            <w:tcBorders>
              <w:top w:val="single" w:sz="4" w:space="0" w:color="auto"/>
              <w:left w:val="single" w:sz="4" w:space="0" w:color="auto"/>
              <w:bottom w:val="single" w:sz="4" w:space="0" w:color="auto"/>
              <w:right w:val="single" w:sz="4" w:space="0" w:color="auto"/>
            </w:tcBorders>
          </w:tcPr>
          <w:p w14:paraId="463CA37D"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4</w:t>
            </w:r>
            <w:r w:rsidRPr="003028B5">
              <w:rPr>
                <w:rFonts w:asciiTheme="minorEastAsia" w:eastAsiaTheme="minorEastAsia" w:hAnsiTheme="minorEastAsia" w:cs="仿宋"/>
                <w:bCs/>
                <w:kern w:val="0"/>
                <w:sz w:val="24"/>
              </w:rPr>
              <w:t>00-080-3388</w:t>
            </w:r>
          </w:p>
        </w:tc>
        <w:tc>
          <w:tcPr>
            <w:tcW w:w="850" w:type="dxa"/>
            <w:tcBorders>
              <w:top w:val="single" w:sz="4" w:space="0" w:color="auto"/>
              <w:left w:val="single" w:sz="4" w:space="0" w:color="auto"/>
              <w:bottom w:val="single" w:sz="4" w:space="0" w:color="auto"/>
              <w:right w:val="single" w:sz="4" w:space="0" w:color="auto"/>
            </w:tcBorders>
          </w:tcPr>
          <w:p w14:paraId="1F58DBC3"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网址</w:t>
            </w:r>
          </w:p>
        </w:tc>
        <w:tc>
          <w:tcPr>
            <w:tcW w:w="3120" w:type="dxa"/>
            <w:tcBorders>
              <w:top w:val="single" w:sz="4" w:space="0" w:color="auto"/>
              <w:left w:val="single" w:sz="4" w:space="0" w:color="auto"/>
              <w:bottom w:val="single" w:sz="4" w:space="0" w:color="auto"/>
              <w:right w:val="single" w:sz="4" w:space="0" w:color="auto"/>
            </w:tcBorders>
          </w:tcPr>
          <w:p w14:paraId="2EF38A27"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hyperlink r:id="rId11" w:tgtFrame="https://mail.yhfund.com.cn/coremail/XT5/jsp/_blank" w:history="1">
              <w:r w:rsidRPr="003028B5">
                <w:rPr>
                  <w:rFonts w:asciiTheme="minorEastAsia" w:eastAsiaTheme="minorEastAsia" w:hAnsiTheme="minorEastAsia" w:cs="仿宋"/>
                  <w:bCs/>
                  <w:kern w:val="0"/>
                  <w:sz w:val="24"/>
                </w:rPr>
                <w:t>https://www.puyifund.com/</w:t>
              </w:r>
            </w:hyperlink>
          </w:p>
        </w:tc>
      </w:tr>
    </w:tbl>
    <w:p w14:paraId="55F012D2" w14:textId="77777777" w:rsidR="00FE279F" w:rsidRPr="003028B5" w:rsidRDefault="00FE279F" w:rsidP="00FE279F">
      <w:pPr>
        <w:numPr>
          <w:ilvl w:val="0"/>
          <w:numId w:val="12"/>
        </w:numPr>
        <w:autoSpaceDE w:val="0"/>
        <w:autoSpaceDN w:val="0"/>
        <w:adjustRightInd w:val="0"/>
        <w:spacing w:line="360" w:lineRule="auto"/>
        <w:rPr>
          <w:rFonts w:asciiTheme="minorEastAsia" w:eastAsiaTheme="minorEastAsia" w:hAnsiTheme="minorEastAsia" w:cs="仿宋"/>
          <w:sz w:val="24"/>
        </w:rPr>
      </w:pPr>
      <w:r w:rsidRPr="003028B5">
        <w:rPr>
          <w:rFonts w:asciiTheme="minorEastAsia" w:eastAsiaTheme="minorEastAsia" w:hAnsiTheme="minorEastAsia" w:cs="仿宋" w:hint="eastAsia"/>
          <w:sz w:val="24"/>
        </w:rPr>
        <w:t>浙江同花顺基金销售有限公司</w:t>
      </w:r>
    </w:p>
    <w:tbl>
      <w:tblPr>
        <w:tblW w:w="865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1"/>
        <w:gridCol w:w="2443"/>
        <w:gridCol w:w="1222"/>
        <w:gridCol w:w="3052"/>
      </w:tblGrid>
      <w:tr w:rsidR="00FE279F" w:rsidRPr="003028B5" w14:paraId="047A5A8C" w14:textId="77777777" w:rsidTr="00FE279F">
        <w:trPr>
          <w:trHeight w:val="406"/>
        </w:trPr>
        <w:tc>
          <w:tcPr>
            <w:tcW w:w="1941" w:type="dxa"/>
            <w:tcBorders>
              <w:top w:val="single" w:sz="4" w:space="0" w:color="auto"/>
              <w:left w:val="single" w:sz="4" w:space="0" w:color="auto"/>
              <w:bottom w:val="single" w:sz="4" w:space="0" w:color="auto"/>
              <w:right w:val="single" w:sz="4" w:space="0" w:color="auto"/>
            </w:tcBorders>
            <w:vAlign w:val="center"/>
          </w:tcPr>
          <w:p w14:paraId="760EF454"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lastRenderedPageBreak/>
              <w:t>办公地址</w:t>
            </w:r>
          </w:p>
        </w:tc>
        <w:tc>
          <w:tcPr>
            <w:tcW w:w="6717" w:type="dxa"/>
            <w:gridSpan w:val="3"/>
            <w:tcBorders>
              <w:top w:val="single" w:sz="4" w:space="0" w:color="auto"/>
              <w:left w:val="single" w:sz="4" w:space="0" w:color="auto"/>
              <w:bottom w:val="single" w:sz="4" w:space="0" w:color="auto"/>
              <w:right w:val="single" w:sz="4" w:space="0" w:color="auto"/>
            </w:tcBorders>
            <w:vAlign w:val="center"/>
          </w:tcPr>
          <w:p w14:paraId="36C025E4"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杭州市余杭区五常街道同顺街18号 同花顺大楼4层</w:t>
            </w:r>
          </w:p>
        </w:tc>
      </w:tr>
      <w:tr w:rsidR="00FE279F" w:rsidRPr="003028B5" w14:paraId="6E86B689" w14:textId="77777777" w:rsidTr="00FE279F">
        <w:trPr>
          <w:trHeight w:val="419"/>
        </w:trPr>
        <w:tc>
          <w:tcPr>
            <w:tcW w:w="1941" w:type="dxa"/>
            <w:tcBorders>
              <w:top w:val="single" w:sz="4" w:space="0" w:color="auto"/>
              <w:left w:val="single" w:sz="4" w:space="0" w:color="auto"/>
              <w:bottom w:val="single" w:sz="4" w:space="0" w:color="auto"/>
              <w:right w:val="single" w:sz="4" w:space="0" w:color="auto"/>
            </w:tcBorders>
            <w:vAlign w:val="center"/>
          </w:tcPr>
          <w:p w14:paraId="64F0619B"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联系人</w:t>
            </w:r>
          </w:p>
        </w:tc>
        <w:tc>
          <w:tcPr>
            <w:tcW w:w="6717" w:type="dxa"/>
            <w:gridSpan w:val="3"/>
            <w:tcBorders>
              <w:top w:val="single" w:sz="4" w:space="0" w:color="auto"/>
              <w:left w:val="single" w:sz="4" w:space="0" w:color="auto"/>
              <w:bottom w:val="single" w:sz="4" w:space="0" w:color="auto"/>
              <w:right w:val="single" w:sz="4" w:space="0" w:color="auto"/>
            </w:tcBorders>
            <w:vAlign w:val="center"/>
          </w:tcPr>
          <w:p w14:paraId="74DD72B6"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董一锋</w:t>
            </w:r>
          </w:p>
        </w:tc>
      </w:tr>
      <w:tr w:rsidR="00FE279F" w:rsidRPr="003028B5" w14:paraId="4D00D8D6" w14:textId="77777777" w:rsidTr="00FE279F">
        <w:trPr>
          <w:trHeight w:val="406"/>
        </w:trPr>
        <w:tc>
          <w:tcPr>
            <w:tcW w:w="1941" w:type="dxa"/>
            <w:tcBorders>
              <w:top w:val="single" w:sz="4" w:space="0" w:color="auto"/>
              <w:left w:val="single" w:sz="4" w:space="0" w:color="auto"/>
              <w:bottom w:val="single" w:sz="4" w:space="0" w:color="auto"/>
              <w:right w:val="single" w:sz="4" w:space="0" w:color="auto"/>
            </w:tcBorders>
            <w:vAlign w:val="center"/>
          </w:tcPr>
          <w:p w14:paraId="4115A0E1"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客服电话</w:t>
            </w:r>
          </w:p>
        </w:tc>
        <w:tc>
          <w:tcPr>
            <w:tcW w:w="2443" w:type="dxa"/>
            <w:tcBorders>
              <w:top w:val="single" w:sz="4" w:space="0" w:color="auto"/>
              <w:left w:val="single" w:sz="4" w:space="0" w:color="auto"/>
              <w:bottom w:val="single" w:sz="4" w:space="0" w:color="auto"/>
              <w:right w:val="single" w:sz="4" w:space="0" w:color="auto"/>
            </w:tcBorders>
            <w:vAlign w:val="center"/>
          </w:tcPr>
          <w:p w14:paraId="75C99BFF"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4008-773-772</w:t>
            </w:r>
          </w:p>
        </w:tc>
        <w:tc>
          <w:tcPr>
            <w:tcW w:w="1222" w:type="dxa"/>
            <w:tcBorders>
              <w:top w:val="single" w:sz="4" w:space="0" w:color="auto"/>
              <w:left w:val="single" w:sz="4" w:space="0" w:color="auto"/>
              <w:bottom w:val="single" w:sz="4" w:space="0" w:color="auto"/>
              <w:right w:val="single" w:sz="4" w:space="0" w:color="auto"/>
            </w:tcBorders>
            <w:vAlign w:val="center"/>
          </w:tcPr>
          <w:p w14:paraId="527271AF"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网址</w:t>
            </w:r>
          </w:p>
        </w:tc>
        <w:tc>
          <w:tcPr>
            <w:tcW w:w="3052" w:type="dxa"/>
            <w:tcBorders>
              <w:top w:val="single" w:sz="4" w:space="0" w:color="auto"/>
              <w:left w:val="single" w:sz="4" w:space="0" w:color="auto"/>
              <w:bottom w:val="single" w:sz="4" w:space="0" w:color="auto"/>
              <w:right w:val="single" w:sz="4" w:space="0" w:color="auto"/>
            </w:tcBorders>
            <w:vAlign w:val="center"/>
          </w:tcPr>
          <w:p w14:paraId="0B801DB8"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www.5ifund.com</w:t>
            </w:r>
          </w:p>
        </w:tc>
      </w:tr>
    </w:tbl>
    <w:p w14:paraId="348B5E0A" w14:textId="77777777" w:rsidR="00FE279F" w:rsidRPr="003028B5" w:rsidRDefault="00FE279F" w:rsidP="00FE279F">
      <w:pPr>
        <w:numPr>
          <w:ilvl w:val="0"/>
          <w:numId w:val="12"/>
        </w:numPr>
        <w:autoSpaceDE w:val="0"/>
        <w:autoSpaceDN w:val="0"/>
        <w:adjustRightInd w:val="0"/>
        <w:spacing w:line="360" w:lineRule="auto"/>
        <w:rPr>
          <w:rFonts w:asciiTheme="minorEastAsia" w:eastAsiaTheme="minorEastAsia" w:hAnsiTheme="minorEastAsia" w:cs="仿宋"/>
          <w:sz w:val="24"/>
        </w:rPr>
      </w:pPr>
      <w:r w:rsidRPr="003028B5">
        <w:rPr>
          <w:rFonts w:asciiTheme="minorEastAsia" w:eastAsiaTheme="minorEastAsia" w:hAnsiTheme="minorEastAsia" w:cs="仿宋" w:hint="eastAsia"/>
          <w:sz w:val="24"/>
        </w:rPr>
        <w:t>北京度小满基金销售有限公司</w:t>
      </w:r>
    </w:p>
    <w:tbl>
      <w:tblPr>
        <w:tblW w:w="86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834"/>
        <w:gridCol w:w="850"/>
        <w:gridCol w:w="3120"/>
      </w:tblGrid>
      <w:tr w:rsidR="00FE279F" w:rsidRPr="003028B5" w14:paraId="5E726681" w14:textId="77777777" w:rsidTr="00FE279F">
        <w:trPr>
          <w:trHeight w:val="455"/>
        </w:trPr>
        <w:tc>
          <w:tcPr>
            <w:tcW w:w="1843" w:type="dxa"/>
            <w:tcBorders>
              <w:top w:val="single" w:sz="4" w:space="0" w:color="auto"/>
              <w:left w:val="single" w:sz="4" w:space="0" w:color="auto"/>
              <w:bottom w:val="single" w:sz="4" w:space="0" w:color="auto"/>
              <w:right w:val="single" w:sz="4" w:space="0" w:color="auto"/>
            </w:tcBorders>
          </w:tcPr>
          <w:p w14:paraId="61A3665E"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办公地址</w:t>
            </w:r>
          </w:p>
        </w:tc>
        <w:tc>
          <w:tcPr>
            <w:tcW w:w="6804" w:type="dxa"/>
            <w:gridSpan w:val="3"/>
            <w:tcBorders>
              <w:top w:val="single" w:sz="4" w:space="0" w:color="auto"/>
              <w:left w:val="single" w:sz="4" w:space="0" w:color="auto"/>
              <w:bottom w:val="single" w:sz="4" w:space="0" w:color="auto"/>
              <w:right w:val="single" w:sz="4" w:space="0" w:color="auto"/>
            </w:tcBorders>
          </w:tcPr>
          <w:p w14:paraId="549B21F4"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北京市海淀区西北旺东路10号院西区4号楼</w:t>
            </w:r>
          </w:p>
        </w:tc>
      </w:tr>
      <w:tr w:rsidR="00FE279F" w:rsidRPr="003028B5" w14:paraId="72C2465D" w14:textId="77777777" w:rsidTr="00FE279F">
        <w:tc>
          <w:tcPr>
            <w:tcW w:w="1843" w:type="dxa"/>
            <w:tcBorders>
              <w:top w:val="single" w:sz="4" w:space="0" w:color="auto"/>
              <w:left w:val="single" w:sz="4" w:space="0" w:color="auto"/>
              <w:bottom w:val="single" w:sz="4" w:space="0" w:color="auto"/>
              <w:right w:val="single" w:sz="4" w:space="0" w:color="auto"/>
            </w:tcBorders>
          </w:tcPr>
          <w:p w14:paraId="65D34D09"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联系人</w:t>
            </w:r>
          </w:p>
        </w:tc>
        <w:tc>
          <w:tcPr>
            <w:tcW w:w="6804" w:type="dxa"/>
            <w:gridSpan w:val="3"/>
            <w:tcBorders>
              <w:top w:val="single" w:sz="4" w:space="0" w:color="auto"/>
              <w:left w:val="single" w:sz="4" w:space="0" w:color="auto"/>
              <w:bottom w:val="single" w:sz="4" w:space="0" w:color="auto"/>
              <w:right w:val="single" w:sz="4" w:space="0" w:color="auto"/>
            </w:tcBorders>
          </w:tcPr>
          <w:p w14:paraId="763F3ADE"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陈嘉义</w:t>
            </w:r>
          </w:p>
        </w:tc>
      </w:tr>
      <w:tr w:rsidR="00FE279F" w:rsidRPr="003028B5" w14:paraId="07461CFC" w14:textId="77777777" w:rsidTr="00FE279F">
        <w:tc>
          <w:tcPr>
            <w:tcW w:w="1843" w:type="dxa"/>
            <w:tcBorders>
              <w:top w:val="single" w:sz="4" w:space="0" w:color="auto"/>
              <w:left w:val="single" w:sz="4" w:space="0" w:color="auto"/>
              <w:bottom w:val="single" w:sz="4" w:space="0" w:color="auto"/>
              <w:right w:val="single" w:sz="4" w:space="0" w:color="auto"/>
            </w:tcBorders>
          </w:tcPr>
          <w:p w14:paraId="22125765"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客服电话</w:t>
            </w:r>
          </w:p>
        </w:tc>
        <w:tc>
          <w:tcPr>
            <w:tcW w:w="2834" w:type="dxa"/>
            <w:tcBorders>
              <w:top w:val="single" w:sz="4" w:space="0" w:color="auto"/>
              <w:left w:val="single" w:sz="4" w:space="0" w:color="auto"/>
              <w:bottom w:val="single" w:sz="4" w:space="0" w:color="auto"/>
              <w:right w:val="single" w:sz="4" w:space="0" w:color="auto"/>
            </w:tcBorders>
          </w:tcPr>
          <w:p w14:paraId="34AF900A"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95055-4</w:t>
            </w:r>
          </w:p>
        </w:tc>
        <w:tc>
          <w:tcPr>
            <w:tcW w:w="850" w:type="dxa"/>
            <w:tcBorders>
              <w:top w:val="single" w:sz="4" w:space="0" w:color="auto"/>
              <w:left w:val="single" w:sz="4" w:space="0" w:color="auto"/>
              <w:bottom w:val="single" w:sz="4" w:space="0" w:color="auto"/>
              <w:right w:val="single" w:sz="4" w:space="0" w:color="auto"/>
            </w:tcBorders>
          </w:tcPr>
          <w:p w14:paraId="4E359B03"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网址</w:t>
            </w:r>
          </w:p>
        </w:tc>
        <w:tc>
          <w:tcPr>
            <w:tcW w:w="3120" w:type="dxa"/>
            <w:tcBorders>
              <w:top w:val="single" w:sz="4" w:space="0" w:color="auto"/>
              <w:left w:val="single" w:sz="4" w:space="0" w:color="auto"/>
              <w:bottom w:val="single" w:sz="4" w:space="0" w:color="auto"/>
              <w:right w:val="single" w:sz="4" w:space="0" w:color="auto"/>
            </w:tcBorders>
          </w:tcPr>
          <w:p w14:paraId="79889196"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hyperlink r:id="rId12" w:tgtFrame="https://mail.yhfund.com.cn/coremail/XT5/jsp/_blank" w:history="1">
              <w:r w:rsidRPr="003028B5">
                <w:rPr>
                  <w:rFonts w:asciiTheme="minorEastAsia" w:eastAsiaTheme="minorEastAsia" w:hAnsiTheme="minorEastAsia" w:cs="仿宋"/>
                  <w:bCs/>
                  <w:kern w:val="0"/>
                  <w:sz w:val="24"/>
                </w:rPr>
                <w:t>https://www.duxiaoman.com/</w:t>
              </w:r>
            </w:hyperlink>
          </w:p>
        </w:tc>
      </w:tr>
    </w:tbl>
    <w:p w14:paraId="27D29BD5" w14:textId="77777777" w:rsidR="00FE279F" w:rsidRPr="003028B5" w:rsidRDefault="00FE279F" w:rsidP="00FE279F">
      <w:pPr>
        <w:numPr>
          <w:ilvl w:val="0"/>
          <w:numId w:val="12"/>
        </w:numPr>
        <w:autoSpaceDE w:val="0"/>
        <w:autoSpaceDN w:val="0"/>
        <w:adjustRightInd w:val="0"/>
        <w:spacing w:line="360" w:lineRule="auto"/>
        <w:rPr>
          <w:rFonts w:asciiTheme="minorEastAsia" w:eastAsiaTheme="minorEastAsia" w:hAnsiTheme="minorEastAsia" w:cs="仿宋"/>
          <w:sz w:val="24"/>
        </w:rPr>
      </w:pPr>
      <w:r w:rsidRPr="003028B5">
        <w:rPr>
          <w:rFonts w:asciiTheme="minorEastAsia" w:eastAsiaTheme="minorEastAsia" w:hAnsiTheme="minorEastAsia" w:cs="仿宋" w:hint="eastAsia"/>
          <w:sz w:val="24"/>
        </w:rPr>
        <w:t>上海万得基金销售有限公司</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835"/>
        <w:gridCol w:w="851"/>
        <w:gridCol w:w="3118"/>
      </w:tblGrid>
      <w:tr w:rsidR="00FE279F" w:rsidRPr="003028B5" w14:paraId="15FB0741" w14:textId="77777777" w:rsidTr="00FE279F">
        <w:trPr>
          <w:trHeight w:val="455"/>
        </w:trPr>
        <w:tc>
          <w:tcPr>
            <w:tcW w:w="1843" w:type="dxa"/>
            <w:tcBorders>
              <w:top w:val="single" w:sz="4" w:space="0" w:color="auto"/>
              <w:left w:val="single" w:sz="4" w:space="0" w:color="auto"/>
              <w:bottom w:val="single" w:sz="4" w:space="0" w:color="auto"/>
              <w:right w:val="single" w:sz="4" w:space="0" w:color="auto"/>
            </w:tcBorders>
          </w:tcPr>
          <w:p w14:paraId="55B0FB44"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办公地址</w:t>
            </w:r>
          </w:p>
        </w:tc>
        <w:tc>
          <w:tcPr>
            <w:tcW w:w="6804" w:type="dxa"/>
            <w:gridSpan w:val="3"/>
            <w:tcBorders>
              <w:top w:val="single" w:sz="4" w:space="0" w:color="auto"/>
              <w:left w:val="single" w:sz="4" w:space="0" w:color="auto"/>
              <w:bottom w:val="single" w:sz="4" w:space="0" w:color="auto"/>
              <w:right w:val="single" w:sz="4" w:space="0" w:color="auto"/>
            </w:tcBorders>
          </w:tcPr>
          <w:p w14:paraId="01A44516"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上海自由贸易试验区福山路33号11楼B座</w:t>
            </w:r>
          </w:p>
        </w:tc>
      </w:tr>
      <w:tr w:rsidR="00FE279F" w:rsidRPr="003028B5" w14:paraId="07E9011E" w14:textId="77777777" w:rsidTr="00FE279F">
        <w:tc>
          <w:tcPr>
            <w:tcW w:w="1843" w:type="dxa"/>
            <w:tcBorders>
              <w:top w:val="single" w:sz="4" w:space="0" w:color="auto"/>
              <w:left w:val="single" w:sz="4" w:space="0" w:color="auto"/>
              <w:bottom w:val="single" w:sz="4" w:space="0" w:color="auto"/>
              <w:right w:val="single" w:sz="4" w:space="0" w:color="auto"/>
            </w:tcBorders>
          </w:tcPr>
          <w:p w14:paraId="5A520D2C"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联系人</w:t>
            </w:r>
          </w:p>
        </w:tc>
        <w:tc>
          <w:tcPr>
            <w:tcW w:w="6804" w:type="dxa"/>
            <w:gridSpan w:val="3"/>
            <w:tcBorders>
              <w:top w:val="single" w:sz="4" w:space="0" w:color="auto"/>
              <w:left w:val="single" w:sz="4" w:space="0" w:color="auto"/>
              <w:bottom w:val="single" w:sz="4" w:space="0" w:color="auto"/>
              <w:right w:val="single" w:sz="4" w:space="0" w:color="auto"/>
            </w:tcBorders>
          </w:tcPr>
          <w:p w14:paraId="18D03E0C"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徐亚丹</w:t>
            </w:r>
          </w:p>
        </w:tc>
      </w:tr>
      <w:tr w:rsidR="00FE279F" w:rsidRPr="003028B5" w14:paraId="4CABECE3" w14:textId="77777777" w:rsidTr="00FE279F">
        <w:tc>
          <w:tcPr>
            <w:tcW w:w="1843" w:type="dxa"/>
            <w:tcBorders>
              <w:top w:val="single" w:sz="4" w:space="0" w:color="auto"/>
              <w:left w:val="single" w:sz="4" w:space="0" w:color="auto"/>
              <w:bottom w:val="single" w:sz="4" w:space="0" w:color="auto"/>
              <w:right w:val="single" w:sz="4" w:space="0" w:color="auto"/>
            </w:tcBorders>
          </w:tcPr>
          <w:p w14:paraId="10DC9C91"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客服电话</w:t>
            </w:r>
          </w:p>
        </w:tc>
        <w:tc>
          <w:tcPr>
            <w:tcW w:w="2835" w:type="dxa"/>
            <w:tcBorders>
              <w:top w:val="single" w:sz="4" w:space="0" w:color="auto"/>
              <w:left w:val="single" w:sz="4" w:space="0" w:color="auto"/>
              <w:bottom w:val="single" w:sz="4" w:space="0" w:color="auto"/>
              <w:right w:val="single" w:sz="4" w:space="0" w:color="auto"/>
            </w:tcBorders>
          </w:tcPr>
          <w:p w14:paraId="7A6F10C8"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400-821-0203</w:t>
            </w:r>
          </w:p>
        </w:tc>
        <w:tc>
          <w:tcPr>
            <w:tcW w:w="851" w:type="dxa"/>
            <w:tcBorders>
              <w:top w:val="single" w:sz="4" w:space="0" w:color="auto"/>
              <w:left w:val="single" w:sz="4" w:space="0" w:color="auto"/>
              <w:bottom w:val="single" w:sz="4" w:space="0" w:color="auto"/>
              <w:right w:val="single" w:sz="4" w:space="0" w:color="auto"/>
            </w:tcBorders>
          </w:tcPr>
          <w:p w14:paraId="11E3CC02"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网址</w:t>
            </w:r>
          </w:p>
        </w:tc>
        <w:tc>
          <w:tcPr>
            <w:tcW w:w="3118" w:type="dxa"/>
            <w:tcBorders>
              <w:top w:val="single" w:sz="4" w:space="0" w:color="auto"/>
              <w:left w:val="single" w:sz="4" w:space="0" w:color="auto"/>
              <w:bottom w:val="single" w:sz="4" w:space="0" w:color="auto"/>
              <w:right w:val="single" w:sz="4" w:space="0" w:color="auto"/>
            </w:tcBorders>
          </w:tcPr>
          <w:p w14:paraId="6B162C3C"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www.520fund.com.cn</w:t>
            </w:r>
          </w:p>
        </w:tc>
      </w:tr>
    </w:tbl>
    <w:p w14:paraId="7AAB9A4D" w14:textId="77777777" w:rsidR="00FE279F" w:rsidRPr="003028B5" w:rsidRDefault="00FE279F" w:rsidP="00FE279F">
      <w:pPr>
        <w:numPr>
          <w:ilvl w:val="0"/>
          <w:numId w:val="12"/>
        </w:numPr>
        <w:autoSpaceDE w:val="0"/>
        <w:autoSpaceDN w:val="0"/>
        <w:adjustRightInd w:val="0"/>
        <w:spacing w:line="360" w:lineRule="auto"/>
        <w:rPr>
          <w:rFonts w:asciiTheme="minorEastAsia" w:eastAsiaTheme="minorEastAsia" w:hAnsiTheme="minorEastAsia" w:cs="仿宋"/>
          <w:sz w:val="24"/>
        </w:rPr>
      </w:pPr>
      <w:r w:rsidRPr="003028B5">
        <w:rPr>
          <w:rFonts w:asciiTheme="minorEastAsia" w:eastAsiaTheme="minorEastAsia" w:hAnsiTheme="minorEastAsia" w:cs="仿宋" w:hint="eastAsia"/>
          <w:sz w:val="24"/>
        </w:rPr>
        <w:t>腾安基金销售（深圳）有限公司</w:t>
      </w:r>
    </w:p>
    <w:tbl>
      <w:tblPr>
        <w:tblW w:w="86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835"/>
        <w:gridCol w:w="851"/>
        <w:gridCol w:w="3118"/>
      </w:tblGrid>
      <w:tr w:rsidR="00FE279F" w:rsidRPr="003028B5" w14:paraId="2263EEDE" w14:textId="77777777" w:rsidTr="00FE279F">
        <w:trPr>
          <w:trHeight w:val="455"/>
        </w:trPr>
        <w:tc>
          <w:tcPr>
            <w:tcW w:w="1843" w:type="dxa"/>
            <w:tcBorders>
              <w:top w:val="single" w:sz="4" w:space="0" w:color="auto"/>
              <w:left w:val="single" w:sz="4" w:space="0" w:color="auto"/>
              <w:bottom w:val="single" w:sz="4" w:space="0" w:color="auto"/>
              <w:right w:val="single" w:sz="4" w:space="0" w:color="auto"/>
            </w:tcBorders>
            <w:vAlign w:val="center"/>
          </w:tcPr>
          <w:p w14:paraId="244B7403"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办公地址</w:t>
            </w:r>
          </w:p>
        </w:tc>
        <w:tc>
          <w:tcPr>
            <w:tcW w:w="6804" w:type="dxa"/>
            <w:gridSpan w:val="3"/>
            <w:tcBorders>
              <w:top w:val="single" w:sz="4" w:space="0" w:color="auto"/>
              <w:left w:val="single" w:sz="4" w:space="0" w:color="auto"/>
              <w:bottom w:val="single" w:sz="4" w:space="0" w:color="auto"/>
              <w:right w:val="single" w:sz="4" w:space="0" w:color="auto"/>
            </w:tcBorders>
            <w:vAlign w:val="center"/>
          </w:tcPr>
          <w:p w14:paraId="7DAE4A43"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深圳市南山区海天二路33号腾讯滨海大厦15层</w:t>
            </w:r>
          </w:p>
        </w:tc>
      </w:tr>
      <w:tr w:rsidR="00FE279F" w:rsidRPr="003028B5" w14:paraId="5048FC88" w14:textId="77777777" w:rsidTr="00FE279F">
        <w:tc>
          <w:tcPr>
            <w:tcW w:w="1843" w:type="dxa"/>
            <w:tcBorders>
              <w:top w:val="single" w:sz="4" w:space="0" w:color="auto"/>
              <w:left w:val="single" w:sz="4" w:space="0" w:color="auto"/>
              <w:bottom w:val="single" w:sz="4" w:space="0" w:color="auto"/>
              <w:right w:val="single" w:sz="4" w:space="0" w:color="auto"/>
            </w:tcBorders>
            <w:vAlign w:val="center"/>
          </w:tcPr>
          <w:p w14:paraId="6ECF7E4E"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联系人</w:t>
            </w:r>
          </w:p>
        </w:tc>
        <w:tc>
          <w:tcPr>
            <w:tcW w:w="6804" w:type="dxa"/>
            <w:gridSpan w:val="3"/>
            <w:tcBorders>
              <w:top w:val="single" w:sz="4" w:space="0" w:color="auto"/>
              <w:left w:val="single" w:sz="4" w:space="0" w:color="auto"/>
              <w:bottom w:val="single" w:sz="4" w:space="0" w:color="auto"/>
              <w:right w:val="single" w:sz="4" w:space="0" w:color="auto"/>
            </w:tcBorders>
            <w:vAlign w:val="center"/>
          </w:tcPr>
          <w:p w14:paraId="292D775D"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胡世铭</w:t>
            </w:r>
          </w:p>
        </w:tc>
      </w:tr>
      <w:tr w:rsidR="00FE279F" w:rsidRPr="003028B5" w14:paraId="09F6833D" w14:textId="77777777" w:rsidTr="00FE279F">
        <w:tc>
          <w:tcPr>
            <w:tcW w:w="1843" w:type="dxa"/>
            <w:tcBorders>
              <w:top w:val="single" w:sz="4" w:space="0" w:color="auto"/>
              <w:left w:val="single" w:sz="4" w:space="0" w:color="auto"/>
              <w:bottom w:val="single" w:sz="4" w:space="0" w:color="auto"/>
              <w:right w:val="single" w:sz="4" w:space="0" w:color="auto"/>
            </w:tcBorders>
            <w:vAlign w:val="center"/>
          </w:tcPr>
          <w:p w14:paraId="1B0CCDC4"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客服电话</w:t>
            </w:r>
          </w:p>
        </w:tc>
        <w:tc>
          <w:tcPr>
            <w:tcW w:w="2835" w:type="dxa"/>
            <w:tcBorders>
              <w:top w:val="single" w:sz="4" w:space="0" w:color="auto"/>
              <w:left w:val="single" w:sz="4" w:space="0" w:color="auto"/>
              <w:bottom w:val="single" w:sz="4" w:space="0" w:color="auto"/>
              <w:right w:val="single" w:sz="4" w:space="0" w:color="auto"/>
            </w:tcBorders>
            <w:vAlign w:val="center"/>
          </w:tcPr>
          <w:p w14:paraId="553EA24E"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95017（转1转8）</w:t>
            </w:r>
          </w:p>
        </w:tc>
        <w:tc>
          <w:tcPr>
            <w:tcW w:w="851" w:type="dxa"/>
            <w:tcBorders>
              <w:top w:val="single" w:sz="4" w:space="0" w:color="auto"/>
              <w:left w:val="single" w:sz="4" w:space="0" w:color="auto"/>
              <w:bottom w:val="single" w:sz="4" w:space="0" w:color="auto"/>
              <w:right w:val="single" w:sz="4" w:space="0" w:color="auto"/>
            </w:tcBorders>
            <w:vAlign w:val="center"/>
          </w:tcPr>
          <w:p w14:paraId="5EE57CD3"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网址</w:t>
            </w:r>
          </w:p>
        </w:tc>
        <w:tc>
          <w:tcPr>
            <w:tcW w:w="3118" w:type="dxa"/>
            <w:tcBorders>
              <w:top w:val="single" w:sz="4" w:space="0" w:color="auto"/>
              <w:left w:val="single" w:sz="4" w:space="0" w:color="auto"/>
              <w:bottom w:val="single" w:sz="4" w:space="0" w:color="auto"/>
              <w:right w:val="single" w:sz="4" w:space="0" w:color="auto"/>
            </w:tcBorders>
            <w:vAlign w:val="center"/>
          </w:tcPr>
          <w:p w14:paraId="24F29979"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hyperlink r:id="rId13" w:history="1">
              <w:r w:rsidRPr="003028B5">
                <w:rPr>
                  <w:rFonts w:asciiTheme="minorEastAsia" w:eastAsiaTheme="minorEastAsia" w:hAnsiTheme="minorEastAsia" w:cs="仿宋" w:hint="eastAsia"/>
                  <w:bCs/>
                  <w:kern w:val="0"/>
                  <w:sz w:val="24"/>
                </w:rPr>
                <w:t>www.tenganxinxi.com</w:t>
              </w:r>
            </w:hyperlink>
            <w:r w:rsidRPr="003028B5">
              <w:rPr>
                <w:rFonts w:asciiTheme="minorEastAsia" w:eastAsiaTheme="minorEastAsia" w:hAnsiTheme="minorEastAsia" w:cs="仿宋" w:hint="eastAsia"/>
                <w:bCs/>
                <w:kern w:val="0"/>
                <w:sz w:val="24"/>
              </w:rPr>
              <w:t>或www.txfund.com</w:t>
            </w:r>
          </w:p>
        </w:tc>
      </w:tr>
    </w:tbl>
    <w:p w14:paraId="51156B30" w14:textId="77777777" w:rsidR="00FE279F" w:rsidRPr="003028B5" w:rsidRDefault="00FE279F" w:rsidP="00FE279F">
      <w:pPr>
        <w:numPr>
          <w:ilvl w:val="0"/>
          <w:numId w:val="12"/>
        </w:numPr>
        <w:autoSpaceDE w:val="0"/>
        <w:autoSpaceDN w:val="0"/>
        <w:adjustRightInd w:val="0"/>
        <w:spacing w:line="360" w:lineRule="auto"/>
        <w:rPr>
          <w:rFonts w:asciiTheme="minorEastAsia" w:eastAsiaTheme="minorEastAsia" w:hAnsiTheme="minorEastAsia" w:cs="仿宋"/>
          <w:sz w:val="24"/>
        </w:rPr>
      </w:pPr>
      <w:r w:rsidRPr="003028B5">
        <w:rPr>
          <w:rFonts w:asciiTheme="minorEastAsia" w:eastAsiaTheme="minorEastAsia" w:hAnsiTheme="minorEastAsia" w:cs="仿宋" w:hint="eastAsia"/>
          <w:sz w:val="24"/>
        </w:rPr>
        <w:t>和耕传承基金销售有限公司</w:t>
      </w:r>
    </w:p>
    <w:tbl>
      <w:tblPr>
        <w:tblW w:w="86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834"/>
        <w:gridCol w:w="850"/>
        <w:gridCol w:w="3120"/>
      </w:tblGrid>
      <w:tr w:rsidR="00FE279F" w:rsidRPr="003028B5" w14:paraId="66AA5374" w14:textId="77777777" w:rsidTr="00FE279F">
        <w:trPr>
          <w:trHeight w:val="455"/>
        </w:trPr>
        <w:tc>
          <w:tcPr>
            <w:tcW w:w="1843" w:type="dxa"/>
            <w:tcBorders>
              <w:top w:val="single" w:sz="4" w:space="0" w:color="auto"/>
              <w:left w:val="single" w:sz="4" w:space="0" w:color="auto"/>
              <w:bottom w:val="single" w:sz="4" w:space="0" w:color="auto"/>
              <w:right w:val="single" w:sz="4" w:space="0" w:color="auto"/>
            </w:tcBorders>
            <w:vAlign w:val="center"/>
          </w:tcPr>
          <w:p w14:paraId="3DBDFAD6" w14:textId="77777777" w:rsidR="00FE279F" w:rsidRPr="003028B5" w:rsidRDefault="00FE279F" w:rsidP="00FE279F">
            <w:pPr>
              <w:autoSpaceDE w:val="0"/>
              <w:autoSpaceDN w:val="0"/>
              <w:adjustRightInd w:val="0"/>
              <w:snapToGrid w:val="0"/>
              <w:spacing w:line="360" w:lineRule="auto"/>
              <w:jc w:val="left"/>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办公地址</w:t>
            </w:r>
          </w:p>
        </w:tc>
        <w:tc>
          <w:tcPr>
            <w:tcW w:w="6804" w:type="dxa"/>
            <w:gridSpan w:val="3"/>
            <w:tcBorders>
              <w:top w:val="single" w:sz="4" w:space="0" w:color="auto"/>
              <w:left w:val="single" w:sz="4" w:space="0" w:color="auto"/>
              <w:bottom w:val="single" w:sz="4" w:space="0" w:color="auto"/>
              <w:right w:val="single" w:sz="4" w:space="0" w:color="auto"/>
            </w:tcBorders>
          </w:tcPr>
          <w:p w14:paraId="3C4CBAE2"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河南自贸试验区郑州片区（郑东）东风南路东康宁街北6号楼5楼503</w:t>
            </w:r>
          </w:p>
        </w:tc>
      </w:tr>
      <w:tr w:rsidR="00FE279F" w:rsidRPr="003028B5" w14:paraId="41C3BF0F" w14:textId="77777777" w:rsidTr="00FE279F">
        <w:tc>
          <w:tcPr>
            <w:tcW w:w="1843" w:type="dxa"/>
            <w:tcBorders>
              <w:top w:val="single" w:sz="4" w:space="0" w:color="auto"/>
              <w:left w:val="single" w:sz="4" w:space="0" w:color="auto"/>
              <w:bottom w:val="single" w:sz="4" w:space="0" w:color="auto"/>
              <w:right w:val="single" w:sz="4" w:space="0" w:color="auto"/>
            </w:tcBorders>
            <w:vAlign w:val="center"/>
          </w:tcPr>
          <w:p w14:paraId="2F5083CD" w14:textId="77777777" w:rsidR="00FE279F" w:rsidRPr="003028B5" w:rsidRDefault="00FE279F" w:rsidP="00FE279F">
            <w:pPr>
              <w:autoSpaceDE w:val="0"/>
              <w:autoSpaceDN w:val="0"/>
              <w:adjustRightInd w:val="0"/>
              <w:snapToGrid w:val="0"/>
              <w:spacing w:line="360" w:lineRule="auto"/>
              <w:jc w:val="left"/>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联系人</w:t>
            </w:r>
          </w:p>
        </w:tc>
        <w:tc>
          <w:tcPr>
            <w:tcW w:w="6804" w:type="dxa"/>
            <w:gridSpan w:val="3"/>
            <w:tcBorders>
              <w:top w:val="single" w:sz="4" w:space="0" w:color="auto"/>
              <w:left w:val="single" w:sz="4" w:space="0" w:color="auto"/>
              <w:bottom w:val="single" w:sz="4" w:space="0" w:color="auto"/>
              <w:right w:val="single" w:sz="4" w:space="0" w:color="auto"/>
            </w:tcBorders>
          </w:tcPr>
          <w:p w14:paraId="3EDD1036"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董亚芳</w:t>
            </w:r>
          </w:p>
        </w:tc>
      </w:tr>
      <w:tr w:rsidR="00FE279F" w:rsidRPr="003028B5" w14:paraId="27659D51" w14:textId="77777777" w:rsidTr="00FE279F">
        <w:trPr>
          <w:trHeight w:val="430"/>
        </w:trPr>
        <w:tc>
          <w:tcPr>
            <w:tcW w:w="1843" w:type="dxa"/>
            <w:tcBorders>
              <w:top w:val="single" w:sz="4" w:space="0" w:color="auto"/>
              <w:left w:val="single" w:sz="4" w:space="0" w:color="auto"/>
              <w:bottom w:val="single" w:sz="4" w:space="0" w:color="auto"/>
              <w:right w:val="single" w:sz="4" w:space="0" w:color="auto"/>
            </w:tcBorders>
            <w:vAlign w:val="center"/>
          </w:tcPr>
          <w:p w14:paraId="0D857B51" w14:textId="77777777" w:rsidR="00FE279F" w:rsidRPr="003028B5" w:rsidRDefault="00FE279F" w:rsidP="00FE279F">
            <w:pPr>
              <w:autoSpaceDE w:val="0"/>
              <w:autoSpaceDN w:val="0"/>
              <w:adjustRightInd w:val="0"/>
              <w:snapToGrid w:val="0"/>
              <w:spacing w:line="360" w:lineRule="auto"/>
              <w:jc w:val="left"/>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客服电话</w:t>
            </w:r>
          </w:p>
        </w:tc>
        <w:tc>
          <w:tcPr>
            <w:tcW w:w="2834" w:type="dxa"/>
            <w:tcBorders>
              <w:top w:val="single" w:sz="4" w:space="0" w:color="auto"/>
              <w:left w:val="single" w:sz="4" w:space="0" w:color="auto"/>
              <w:bottom w:val="single" w:sz="4" w:space="0" w:color="auto"/>
              <w:right w:val="single" w:sz="4" w:space="0" w:color="auto"/>
            </w:tcBorders>
          </w:tcPr>
          <w:p w14:paraId="54D8963C"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400-0555-671</w:t>
            </w:r>
          </w:p>
        </w:tc>
        <w:tc>
          <w:tcPr>
            <w:tcW w:w="850" w:type="dxa"/>
            <w:tcBorders>
              <w:top w:val="single" w:sz="4" w:space="0" w:color="auto"/>
              <w:left w:val="single" w:sz="4" w:space="0" w:color="auto"/>
              <w:bottom w:val="single" w:sz="4" w:space="0" w:color="auto"/>
              <w:right w:val="single" w:sz="4" w:space="0" w:color="auto"/>
            </w:tcBorders>
          </w:tcPr>
          <w:p w14:paraId="14086466"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网址</w:t>
            </w:r>
          </w:p>
        </w:tc>
        <w:tc>
          <w:tcPr>
            <w:tcW w:w="3120" w:type="dxa"/>
            <w:tcBorders>
              <w:top w:val="single" w:sz="4" w:space="0" w:color="auto"/>
              <w:left w:val="single" w:sz="4" w:space="0" w:color="auto"/>
              <w:bottom w:val="single" w:sz="4" w:space="0" w:color="auto"/>
              <w:right w:val="single" w:sz="4" w:space="0" w:color="auto"/>
            </w:tcBorders>
          </w:tcPr>
          <w:p w14:paraId="21006669"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www.hgccpb.com</w:t>
            </w:r>
          </w:p>
        </w:tc>
      </w:tr>
    </w:tbl>
    <w:p w14:paraId="0050F7BC" w14:textId="77777777" w:rsidR="00FE279F" w:rsidRPr="003028B5" w:rsidRDefault="00FE279F" w:rsidP="00FE279F">
      <w:pPr>
        <w:numPr>
          <w:ilvl w:val="0"/>
          <w:numId w:val="12"/>
        </w:numPr>
        <w:autoSpaceDE w:val="0"/>
        <w:autoSpaceDN w:val="0"/>
        <w:adjustRightInd w:val="0"/>
        <w:spacing w:line="360" w:lineRule="auto"/>
        <w:rPr>
          <w:rFonts w:asciiTheme="minorEastAsia" w:eastAsiaTheme="minorEastAsia" w:hAnsiTheme="minorEastAsia" w:cs="仿宋"/>
          <w:sz w:val="24"/>
        </w:rPr>
      </w:pPr>
      <w:r w:rsidRPr="003028B5">
        <w:rPr>
          <w:rFonts w:asciiTheme="minorEastAsia" w:eastAsiaTheme="minorEastAsia" w:hAnsiTheme="minorEastAsia" w:cs="仿宋" w:hint="eastAsia"/>
          <w:sz w:val="24"/>
        </w:rPr>
        <w:t>北京新浪仓石基金销售有限公司</w:t>
      </w:r>
    </w:p>
    <w:tbl>
      <w:tblPr>
        <w:tblW w:w="86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834"/>
        <w:gridCol w:w="850"/>
        <w:gridCol w:w="3120"/>
      </w:tblGrid>
      <w:tr w:rsidR="00FE279F" w:rsidRPr="003028B5" w14:paraId="7EDEC1F9" w14:textId="77777777" w:rsidTr="00FE279F">
        <w:trPr>
          <w:trHeight w:val="455"/>
        </w:trPr>
        <w:tc>
          <w:tcPr>
            <w:tcW w:w="1843" w:type="dxa"/>
            <w:tcBorders>
              <w:top w:val="single" w:sz="4" w:space="0" w:color="auto"/>
              <w:left w:val="single" w:sz="4" w:space="0" w:color="auto"/>
              <w:bottom w:val="single" w:sz="4" w:space="0" w:color="auto"/>
              <w:right w:val="single" w:sz="4" w:space="0" w:color="auto"/>
            </w:tcBorders>
            <w:vAlign w:val="center"/>
          </w:tcPr>
          <w:p w14:paraId="3D3C8977" w14:textId="77777777" w:rsidR="00FE279F" w:rsidRPr="003028B5" w:rsidRDefault="00FE279F" w:rsidP="00FE279F">
            <w:pPr>
              <w:autoSpaceDE w:val="0"/>
              <w:autoSpaceDN w:val="0"/>
              <w:adjustRightInd w:val="0"/>
              <w:snapToGrid w:val="0"/>
              <w:spacing w:line="360" w:lineRule="auto"/>
              <w:jc w:val="left"/>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办公地址</w:t>
            </w:r>
          </w:p>
        </w:tc>
        <w:tc>
          <w:tcPr>
            <w:tcW w:w="6804" w:type="dxa"/>
            <w:gridSpan w:val="3"/>
            <w:tcBorders>
              <w:top w:val="single" w:sz="4" w:space="0" w:color="auto"/>
              <w:left w:val="single" w:sz="4" w:space="0" w:color="auto"/>
              <w:bottom w:val="single" w:sz="4" w:space="0" w:color="auto"/>
              <w:right w:val="single" w:sz="4" w:space="0" w:color="auto"/>
            </w:tcBorders>
          </w:tcPr>
          <w:p w14:paraId="56726D7A"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北京市海淀区西北旺东路10号院西区8号楼新浪总部大厦</w:t>
            </w:r>
          </w:p>
        </w:tc>
      </w:tr>
      <w:tr w:rsidR="00FE279F" w:rsidRPr="003028B5" w14:paraId="2DAD4DBA" w14:textId="77777777" w:rsidTr="00FE279F">
        <w:tc>
          <w:tcPr>
            <w:tcW w:w="1843" w:type="dxa"/>
            <w:tcBorders>
              <w:top w:val="single" w:sz="4" w:space="0" w:color="auto"/>
              <w:left w:val="single" w:sz="4" w:space="0" w:color="auto"/>
              <w:bottom w:val="single" w:sz="4" w:space="0" w:color="auto"/>
              <w:right w:val="single" w:sz="4" w:space="0" w:color="auto"/>
            </w:tcBorders>
            <w:vAlign w:val="center"/>
          </w:tcPr>
          <w:p w14:paraId="42C479CC" w14:textId="77777777" w:rsidR="00FE279F" w:rsidRPr="003028B5" w:rsidRDefault="00FE279F" w:rsidP="00FE279F">
            <w:pPr>
              <w:autoSpaceDE w:val="0"/>
              <w:autoSpaceDN w:val="0"/>
              <w:adjustRightInd w:val="0"/>
              <w:snapToGrid w:val="0"/>
              <w:spacing w:line="360" w:lineRule="auto"/>
              <w:jc w:val="left"/>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联系人</w:t>
            </w:r>
          </w:p>
        </w:tc>
        <w:tc>
          <w:tcPr>
            <w:tcW w:w="6804" w:type="dxa"/>
            <w:gridSpan w:val="3"/>
            <w:tcBorders>
              <w:top w:val="single" w:sz="4" w:space="0" w:color="auto"/>
              <w:left w:val="single" w:sz="4" w:space="0" w:color="auto"/>
              <w:bottom w:val="single" w:sz="4" w:space="0" w:color="auto"/>
              <w:right w:val="single" w:sz="4" w:space="0" w:color="auto"/>
            </w:tcBorders>
          </w:tcPr>
          <w:p w14:paraId="06816932"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李柳娜</w:t>
            </w:r>
          </w:p>
        </w:tc>
      </w:tr>
      <w:tr w:rsidR="00FE279F" w:rsidRPr="003028B5" w14:paraId="2EF154C0" w14:textId="77777777" w:rsidTr="00FE279F">
        <w:trPr>
          <w:trHeight w:val="430"/>
        </w:trPr>
        <w:tc>
          <w:tcPr>
            <w:tcW w:w="1843" w:type="dxa"/>
            <w:tcBorders>
              <w:top w:val="single" w:sz="4" w:space="0" w:color="auto"/>
              <w:left w:val="single" w:sz="4" w:space="0" w:color="auto"/>
              <w:bottom w:val="single" w:sz="4" w:space="0" w:color="auto"/>
              <w:right w:val="single" w:sz="4" w:space="0" w:color="auto"/>
            </w:tcBorders>
            <w:vAlign w:val="center"/>
          </w:tcPr>
          <w:p w14:paraId="6C8B92A3" w14:textId="77777777" w:rsidR="00FE279F" w:rsidRPr="003028B5" w:rsidRDefault="00FE279F" w:rsidP="00FE279F">
            <w:pPr>
              <w:autoSpaceDE w:val="0"/>
              <w:autoSpaceDN w:val="0"/>
              <w:adjustRightInd w:val="0"/>
              <w:snapToGrid w:val="0"/>
              <w:spacing w:line="360" w:lineRule="auto"/>
              <w:jc w:val="left"/>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客服电话</w:t>
            </w:r>
          </w:p>
        </w:tc>
        <w:tc>
          <w:tcPr>
            <w:tcW w:w="2834" w:type="dxa"/>
            <w:tcBorders>
              <w:top w:val="single" w:sz="4" w:space="0" w:color="auto"/>
              <w:left w:val="single" w:sz="4" w:space="0" w:color="auto"/>
              <w:bottom w:val="single" w:sz="4" w:space="0" w:color="auto"/>
              <w:right w:val="single" w:sz="4" w:space="0" w:color="auto"/>
            </w:tcBorders>
          </w:tcPr>
          <w:p w14:paraId="41856EA7"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010-62675768</w:t>
            </w:r>
          </w:p>
        </w:tc>
        <w:tc>
          <w:tcPr>
            <w:tcW w:w="850" w:type="dxa"/>
            <w:tcBorders>
              <w:top w:val="single" w:sz="4" w:space="0" w:color="auto"/>
              <w:left w:val="single" w:sz="4" w:space="0" w:color="auto"/>
              <w:bottom w:val="single" w:sz="4" w:space="0" w:color="auto"/>
              <w:right w:val="single" w:sz="4" w:space="0" w:color="auto"/>
            </w:tcBorders>
          </w:tcPr>
          <w:p w14:paraId="36F2C4D3"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网址</w:t>
            </w:r>
          </w:p>
        </w:tc>
        <w:tc>
          <w:tcPr>
            <w:tcW w:w="3120" w:type="dxa"/>
            <w:tcBorders>
              <w:top w:val="single" w:sz="4" w:space="0" w:color="auto"/>
              <w:left w:val="single" w:sz="4" w:space="0" w:color="auto"/>
              <w:bottom w:val="single" w:sz="4" w:space="0" w:color="auto"/>
              <w:right w:val="single" w:sz="4" w:space="0" w:color="auto"/>
            </w:tcBorders>
          </w:tcPr>
          <w:p w14:paraId="1A75A96C"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hyperlink r:id="rId14" w:tgtFrame="_blank" w:history="1">
              <w:r w:rsidRPr="003028B5">
                <w:rPr>
                  <w:rFonts w:asciiTheme="minorEastAsia" w:eastAsiaTheme="minorEastAsia" w:hAnsiTheme="minorEastAsia" w:cs="仿宋" w:hint="eastAsia"/>
                  <w:bCs/>
                  <w:kern w:val="0"/>
                  <w:sz w:val="24"/>
                </w:rPr>
                <w:t>www.xincai.com</w:t>
              </w:r>
            </w:hyperlink>
          </w:p>
        </w:tc>
      </w:tr>
    </w:tbl>
    <w:p w14:paraId="7B4D0C48" w14:textId="77777777" w:rsidR="00FE279F" w:rsidRPr="003028B5" w:rsidRDefault="00FE279F" w:rsidP="00FE279F">
      <w:pPr>
        <w:numPr>
          <w:ilvl w:val="0"/>
          <w:numId w:val="12"/>
        </w:numPr>
        <w:autoSpaceDE w:val="0"/>
        <w:autoSpaceDN w:val="0"/>
        <w:adjustRightInd w:val="0"/>
        <w:spacing w:line="360" w:lineRule="auto"/>
        <w:rPr>
          <w:rFonts w:asciiTheme="minorEastAsia" w:eastAsiaTheme="minorEastAsia" w:hAnsiTheme="minorEastAsia" w:cs="仿宋"/>
          <w:sz w:val="24"/>
        </w:rPr>
      </w:pPr>
      <w:r w:rsidRPr="003028B5">
        <w:rPr>
          <w:rFonts w:asciiTheme="minorEastAsia" w:eastAsiaTheme="minorEastAsia" w:hAnsiTheme="minorEastAsia" w:cs="仿宋" w:hint="eastAsia"/>
          <w:sz w:val="24"/>
        </w:rPr>
        <w:t>通华财富（上海）基金销售有限公司</w:t>
      </w:r>
    </w:p>
    <w:tbl>
      <w:tblPr>
        <w:tblW w:w="86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835"/>
        <w:gridCol w:w="851"/>
        <w:gridCol w:w="3118"/>
      </w:tblGrid>
      <w:tr w:rsidR="00FE279F" w:rsidRPr="003028B5" w14:paraId="6A3F565C" w14:textId="77777777" w:rsidTr="00FE279F">
        <w:tc>
          <w:tcPr>
            <w:tcW w:w="1843" w:type="dxa"/>
            <w:tcBorders>
              <w:top w:val="single" w:sz="4" w:space="0" w:color="auto"/>
              <w:left w:val="single" w:sz="4" w:space="0" w:color="auto"/>
              <w:bottom w:val="single" w:sz="4" w:space="0" w:color="auto"/>
              <w:right w:val="single" w:sz="4" w:space="0" w:color="auto"/>
            </w:tcBorders>
          </w:tcPr>
          <w:p w14:paraId="55DD31BF"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sz w:val="24"/>
              </w:rPr>
            </w:pPr>
            <w:r w:rsidRPr="003028B5">
              <w:rPr>
                <w:rFonts w:asciiTheme="minorEastAsia" w:eastAsiaTheme="minorEastAsia" w:hAnsiTheme="minorEastAsia" w:cs="仿宋" w:hint="eastAsia"/>
                <w:bCs/>
                <w:sz w:val="24"/>
              </w:rPr>
              <w:t>办公地址</w:t>
            </w:r>
          </w:p>
        </w:tc>
        <w:tc>
          <w:tcPr>
            <w:tcW w:w="6804" w:type="dxa"/>
            <w:gridSpan w:val="3"/>
            <w:tcBorders>
              <w:top w:val="single" w:sz="4" w:space="0" w:color="auto"/>
              <w:left w:val="single" w:sz="4" w:space="0" w:color="auto"/>
              <w:bottom w:val="single" w:sz="4" w:space="0" w:color="auto"/>
              <w:right w:val="single" w:sz="4" w:space="0" w:color="auto"/>
            </w:tcBorders>
          </w:tcPr>
          <w:p w14:paraId="21CA5583"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sz w:val="24"/>
              </w:rPr>
            </w:pPr>
            <w:r w:rsidRPr="003028B5">
              <w:rPr>
                <w:rFonts w:asciiTheme="minorEastAsia" w:eastAsiaTheme="minorEastAsia" w:hAnsiTheme="minorEastAsia" w:cs="仿宋" w:hint="eastAsia"/>
                <w:bCs/>
                <w:sz w:val="24"/>
              </w:rPr>
              <w:t>上海市浦东新区金沪路55号通华科技大厦10层</w:t>
            </w:r>
          </w:p>
        </w:tc>
      </w:tr>
      <w:tr w:rsidR="00FE279F" w:rsidRPr="003028B5" w14:paraId="35249953" w14:textId="77777777" w:rsidTr="00FE279F">
        <w:tc>
          <w:tcPr>
            <w:tcW w:w="1843" w:type="dxa"/>
            <w:tcBorders>
              <w:top w:val="single" w:sz="4" w:space="0" w:color="auto"/>
              <w:left w:val="single" w:sz="4" w:space="0" w:color="auto"/>
              <w:bottom w:val="single" w:sz="4" w:space="0" w:color="auto"/>
              <w:right w:val="single" w:sz="4" w:space="0" w:color="auto"/>
            </w:tcBorders>
          </w:tcPr>
          <w:p w14:paraId="1AE0E41C"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sz w:val="24"/>
              </w:rPr>
            </w:pPr>
            <w:r w:rsidRPr="003028B5">
              <w:rPr>
                <w:rFonts w:asciiTheme="minorEastAsia" w:eastAsiaTheme="minorEastAsia" w:hAnsiTheme="minorEastAsia" w:cs="仿宋" w:hint="eastAsia"/>
                <w:bCs/>
                <w:sz w:val="24"/>
              </w:rPr>
              <w:t>联系人</w:t>
            </w:r>
          </w:p>
        </w:tc>
        <w:tc>
          <w:tcPr>
            <w:tcW w:w="6804" w:type="dxa"/>
            <w:gridSpan w:val="3"/>
            <w:tcBorders>
              <w:top w:val="single" w:sz="4" w:space="0" w:color="auto"/>
              <w:left w:val="single" w:sz="4" w:space="0" w:color="auto"/>
              <w:bottom w:val="single" w:sz="4" w:space="0" w:color="auto"/>
              <w:right w:val="single" w:sz="4" w:space="0" w:color="auto"/>
            </w:tcBorders>
          </w:tcPr>
          <w:p w14:paraId="409BD419"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sz w:val="24"/>
              </w:rPr>
            </w:pPr>
            <w:r w:rsidRPr="003028B5">
              <w:rPr>
                <w:rFonts w:asciiTheme="minorEastAsia" w:eastAsiaTheme="minorEastAsia" w:hAnsiTheme="minorEastAsia" w:cs="仿宋" w:hint="eastAsia"/>
                <w:bCs/>
                <w:sz w:val="24"/>
              </w:rPr>
              <w:t>云澎</w:t>
            </w:r>
          </w:p>
        </w:tc>
      </w:tr>
      <w:tr w:rsidR="00FE279F" w:rsidRPr="003028B5" w14:paraId="74B9FFFA" w14:textId="77777777" w:rsidTr="00FE279F">
        <w:tc>
          <w:tcPr>
            <w:tcW w:w="1843" w:type="dxa"/>
            <w:tcBorders>
              <w:top w:val="single" w:sz="4" w:space="0" w:color="auto"/>
              <w:left w:val="single" w:sz="4" w:space="0" w:color="auto"/>
              <w:bottom w:val="single" w:sz="4" w:space="0" w:color="auto"/>
              <w:right w:val="single" w:sz="4" w:space="0" w:color="auto"/>
            </w:tcBorders>
          </w:tcPr>
          <w:p w14:paraId="581AE19D"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sz w:val="24"/>
              </w:rPr>
            </w:pPr>
            <w:r w:rsidRPr="003028B5">
              <w:rPr>
                <w:rFonts w:asciiTheme="minorEastAsia" w:eastAsiaTheme="minorEastAsia" w:hAnsiTheme="minorEastAsia" w:cs="仿宋" w:hint="eastAsia"/>
                <w:bCs/>
                <w:sz w:val="24"/>
              </w:rPr>
              <w:lastRenderedPageBreak/>
              <w:t>客服电话</w:t>
            </w:r>
          </w:p>
        </w:tc>
        <w:tc>
          <w:tcPr>
            <w:tcW w:w="2835" w:type="dxa"/>
            <w:tcBorders>
              <w:top w:val="single" w:sz="4" w:space="0" w:color="auto"/>
              <w:left w:val="single" w:sz="4" w:space="0" w:color="auto"/>
              <w:bottom w:val="single" w:sz="4" w:space="0" w:color="auto"/>
              <w:right w:val="single" w:sz="4" w:space="0" w:color="auto"/>
            </w:tcBorders>
          </w:tcPr>
          <w:p w14:paraId="1A4E236C"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sz w:val="24"/>
              </w:rPr>
            </w:pPr>
            <w:r w:rsidRPr="003028B5">
              <w:rPr>
                <w:rFonts w:asciiTheme="minorEastAsia" w:eastAsiaTheme="minorEastAsia" w:hAnsiTheme="minorEastAsia" w:cs="仿宋" w:hint="eastAsia"/>
                <w:bCs/>
                <w:sz w:val="24"/>
              </w:rPr>
              <w:t>400-101-9301</w:t>
            </w:r>
          </w:p>
        </w:tc>
        <w:tc>
          <w:tcPr>
            <w:tcW w:w="851" w:type="dxa"/>
            <w:tcBorders>
              <w:top w:val="single" w:sz="4" w:space="0" w:color="auto"/>
              <w:left w:val="single" w:sz="4" w:space="0" w:color="auto"/>
              <w:bottom w:val="single" w:sz="4" w:space="0" w:color="auto"/>
              <w:right w:val="single" w:sz="4" w:space="0" w:color="auto"/>
            </w:tcBorders>
          </w:tcPr>
          <w:p w14:paraId="42B1A27A"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sz w:val="24"/>
              </w:rPr>
            </w:pPr>
            <w:r w:rsidRPr="003028B5">
              <w:rPr>
                <w:rFonts w:asciiTheme="minorEastAsia" w:eastAsiaTheme="minorEastAsia" w:hAnsiTheme="minorEastAsia" w:cs="仿宋" w:hint="eastAsia"/>
                <w:bCs/>
                <w:sz w:val="24"/>
              </w:rPr>
              <w:t>网址</w:t>
            </w:r>
          </w:p>
        </w:tc>
        <w:tc>
          <w:tcPr>
            <w:tcW w:w="3118" w:type="dxa"/>
            <w:tcBorders>
              <w:top w:val="single" w:sz="4" w:space="0" w:color="auto"/>
              <w:left w:val="single" w:sz="4" w:space="0" w:color="auto"/>
              <w:bottom w:val="single" w:sz="4" w:space="0" w:color="auto"/>
              <w:right w:val="single" w:sz="4" w:space="0" w:color="auto"/>
            </w:tcBorders>
          </w:tcPr>
          <w:p w14:paraId="33B2FDA9"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sz w:val="24"/>
              </w:rPr>
            </w:pPr>
            <w:bookmarkStart w:id="36" w:name="OLE_LINK4"/>
            <w:r w:rsidRPr="003028B5">
              <w:rPr>
                <w:rFonts w:asciiTheme="minorEastAsia" w:eastAsiaTheme="minorEastAsia" w:hAnsiTheme="minorEastAsia" w:cs="仿宋" w:hint="eastAsia"/>
                <w:bCs/>
                <w:sz w:val="24"/>
              </w:rPr>
              <w:t>www.tonghuafund.com</w:t>
            </w:r>
            <w:bookmarkEnd w:id="36"/>
          </w:p>
        </w:tc>
      </w:tr>
    </w:tbl>
    <w:p w14:paraId="1E9E13E2" w14:textId="77777777" w:rsidR="00FE279F" w:rsidRPr="003028B5" w:rsidRDefault="00FE279F" w:rsidP="00FE279F">
      <w:pPr>
        <w:pStyle w:val="af7"/>
        <w:numPr>
          <w:ilvl w:val="0"/>
          <w:numId w:val="12"/>
        </w:numPr>
        <w:autoSpaceDE w:val="0"/>
        <w:autoSpaceDN w:val="0"/>
        <w:adjustRightInd w:val="0"/>
        <w:spacing w:line="360" w:lineRule="auto"/>
        <w:ind w:firstLineChars="0"/>
        <w:rPr>
          <w:rFonts w:asciiTheme="minorEastAsia" w:eastAsiaTheme="minorEastAsia" w:hAnsiTheme="minorEastAsia" w:cs="仿宋"/>
          <w:sz w:val="24"/>
        </w:rPr>
      </w:pPr>
      <w:r w:rsidRPr="003028B5">
        <w:rPr>
          <w:rFonts w:asciiTheme="minorEastAsia" w:eastAsiaTheme="minorEastAsia" w:hAnsiTheme="minorEastAsia" w:cs="仿宋" w:hint="eastAsia"/>
          <w:bCs/>
          <w:sz w:val="24"/>
        </w:rPr>
        <w:t>玄元保险代理有限公司</w:t>
      </w:r>
    </w:p>
    <w:tbl>
      <w:tblPr>
        <w:tblW w:w="869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4"/>
        <w:gridCol w:w="2424"/>
        <w:gridCol w:w="757"/>
        <w:gridCol w:w="3664"/>
      </w:tblGrid>
      <w:tr w:rsidR="00FE279F" w:rsidRPr="003028B5" w14:paraId="0E5F26FC" w14:textId="77777777" w:rsidTr="00FE279F">
        <w:trPr>
          <w:trHeight w:val="393"/>
        </w:trPr>
        <w:tc>
          <w:tcPr>
            <w:tcW w:w="1854" w:type="dxa"/>
            <w:tcBorders>
              <w:top w:val="single" w:sz="4" w:space="0" w:color="000000"/>
              <w:left w:val="single" w:sz="4" w:space="0" w:color="000000"/>
              <w:bottom w:val="single" w:sz="4" w:space="0" w:color="000000"/>
              <w:right w:val="single" w:sz="4" w:space="0" w:color="000000"/>
            </w:tcBorders>
            <w:vAlign w:val="center"/>
          </w:tcPr>
          <w:p w14:paraId="316D7488" w14:textId="77777777" w:rsidR="00FE279F" w:rsidRPr="003028B5" w:rsidRDefault="00FE279F" w:rsidP="00FE279F">
            <w:pPr>
              <w:autoSpaceDE w:val="0"/>
              <w:autoSpaceDN w:val="0"/>
              <w:adjustRightInd w:val="0"/>
              <w:spacing w:line="360" w:lineRule="auto"/>
              <w:rPr>
                <w:rFonts w:asciiTheme="minorEastAsia" w:eastAsiaTheme="minorEastAsia" w:hAnsiTheme="minorEastAsia" w:cs="仿宋"/>
                <w:bCs/>
                <w:sz w:val="24"/>
              </w:rPr>
            </w:pPr>
            <w:r w:rsidRPr="003028B5">
              <w:rPr>
                <w:rFonts w:asciiTheme="minorEastAsia" w:eastAsiaTheme="minorEastAsia" w:hAnsiTheme="minorEastAsia" w:cs="仿宋" w:hint="eastAsia"/>
                <w:bCs/>
                <w:sz w:val="24"/>
              </w:rPr>
              <w:t>办公地址</w:t>
            </w:r>
          </w:p>
        </w:tc>
        <w:tc>
          <w:tcPr>
            <w:tcW w:w="6845" w:type="dxa"/>
            <w:gridSpan w:val="3"/>
            <w:tcBorders>
              <w:top w:val="single" w:sz="4" w:space="0" w:color="000000"/>
              <w:left w:val="single" w:sz="4" w:space="0" w:color="000000"/>
              <w:bottom w:val="single" w:sz="4" w:space="0" w:color="000000"/>
              <w:right w:val="single" w:sz="4" w:space="0" w:color="000000"/>
            </w:tcBorders>
            <w:vAlign w:val="center"/>
          </w:tcPr>
          <w:p w14:paraId="4F1C5E6C" w14:textId="77777777" w:rsidR="00FE279F" w:rsidRPr="003028B5" w:rsidRDefault="00FE279F" w:rsidP="00FE279F">
            <w:pPr>
              <w:autoSpaceDE w:val="0"/>
              <w:autoSpaceDN w:val="0"/>
              <w:adjustRightInd w:val="0"/>
              <w:spacing w:line="360" w:lineRule="auto"/>
              <w:rPr>
                <w:rFonts w:asciiTheme="minorEastAsia" w:eastAsiaTheme="minorEastAsia" w:hAnsiTheme="minorEastAsia" w:cs="仿宋"/>
                <w:sz w:val="24"/>
              </w:rPr>
            </w:pPr>
            <w:r w:rsidRPr="003028B5">
              <w:rPr>
                <w:rFonts w:asciiTheme="minorEastAsia" w:eastAsiaTheme="minorEastAsia" w:hAnsiTheme="minorEastAsia" w:cs="仿宋" w:hint="eastAsia"/>
                <w:bCs/>
                <w:sz w:val="24"/>
              </w:rPr>
              <w:t>中国（上海）自由贸易试验区张杨路707号1105室</w:t>
            </w:r>
          </w:p>
        </w:tc>
      </w:tr>
      <w:tr w:rsidR="00FE279F" w:rsidRPr="003028B5" w14:paraId="47472926" w14:textId="77777777" w:rsidTr="00FE279F">
        <w:trPr>
          <w:trHeight w:val="338"/>
        </w:trPr>
        <w:tc>
          <w:tcPr>
            <w:tcW w:w="1854" w:type="dxa"/>
            <w:tcBorders>
              <w:top w:val="single" w:sz="4" w:space="0" w:color="000000"/>
              <w:left w:val="single" w:sz="4" w:space="0" w:color="000000"/>
              <w:bottom w:val="single" w:sz="4" w:space="0" w:color="000000"/>
              <w:right w:val="single" w:sz="4" w:space="0" w:color="000000"/>
            </w:tcBorders>
            <w:vAlign w:val="center"/>
          </w:tcPr>
          <w:p w14:paraId="73674B8A" w14:textId="77777777" w:rsidR="00FE279F" w:rsidRPr="003028B5" w:rsidRDefault="00FE279F" w:rsidP="00FE279F">
            <w:pPr>
              <w:autoSpaceDE w:val="0"/>
              <w:autoSpaceDN w:val="0"/>
              <w:adjustRightInd w:val="0"/>
              <w:spacing w:line="360" w:lineRule="auto"/>
              <w:rPr>
                <w:rFonts w:asciiTheme="minorEastAsia" w:eastAsiaTheme="minorEastAsia" w:hAnsiTheme="minorEastAsia" w:cs="仿宋"/>
                <w:bCs/>
                <w:sz w:val="24"/>
              </w:rPr>
            </w:pPr>
            <w:r w:rsidRPr="003028B5">
              <w:rPr>
                <w:rFonts w:asciiTheme="minorEastAsia" w:eastAsiaTheme="minorEastAsia" w:hAnsiTheme="minorEastAsia" w:cs="仿宋" w:hint="eastAsia"/>
                <w:bCs/>
                <w:sz w:val="24"/>
              </w:rPr>
              <w:t>联系人</w:t>
            </w:r>
          </w:p>
        </w:tc>
        <w:tc>
          <w:tcPr>
            <w:tcW w:w="6845" w:type="dxa"/>
            <w:gridSpan w:val="3"/>
            <w:tcBorders>
              <w:top w:val="single" w:sz="4" w:space="0" w:color="000000"/>
              <w:left w:val="single" w:sz="4" w:space="0" w:color="000000"/>
              <w:bottom w:val="single" w:sz="4" w:space="0" w:color="000000"/>
              <w:right w:val="single" w:sz="4" w:space="0" w:color="000000"/>
            </w:tcBorders>
            <w:vAlign w:val="center"/>
          </w:tcPr>
          <w:p w14:paraId="5CC9DD99" w14:textId="77777777" w:rsidR="00FE279F" w:rsidRPr="003028B5" w:rsidRDefault="00FE279F" w:rsidP="00FE279F">
            <w:pPr>
              <w:autoSpaceDE w:val="0"/>
              <w:autoSpaceDN w:val="0"/>
              <w:adjustRightInd w:val="0"/>
              <w:spacing w:line="360" w:lineRule="auto"/>
              <w:rPr>
                <w:rFonts w:asciiTheme="minorEastAsia" w:eastAsiaTheme="minorEastAsia" w:hAnsiTheme="minorEastAsia" w:cs="仿宋"/>
                <w:bCs/>
                <w:sz w:val="24"/>
              </w:rPr>
            </w:pPr>
            <w:r w:rsidRPr="003028B5">
              <w:rPr>
                <w:rFonts w:asciiTheme="minorEastAsia" w:eastAsiaTheme="minorEastAsia" w:hAnsiTheme="minorEastAsia" w:cs="仿宋" w:hint="eastAsia"/>
                <w:bCs/>
                <w:sz w:val="24"/>
              </w:rPr>
              <w:t>张苗苗</w:t>
            </w:r>
          </w:p>
        </w:tc>
      </w:tr>
      <w:tr w:rsidR="00FE279F" w:rsidRPr="003028B5" w14:paraId="736FB81D" w14:textId="77777777" w:rsidTr="00FE279F">
        <w:trPr>
          <w:trHeight w:val="786"/>
        </w:trPr>
        <w:tc>
          <w:tcPr>
            <w:tcW w:w="1854" w:type="dxa"/>
            <w:tcBorders>
              <w:top w:val="single" w:sz="4" w:space="0" w:color="000000"/>
              <w:left w:val="single" w:sz="4" w:space="0" w:color="000000"/>
              <w:bottom w:val="single" w:sz="4" w:space="0" w:color="000000"/>
              <w:right w:val="single" w:sz="4" w:space="0" w:color="000000"/>
            </w:tcBorders>
            <w:vAlign w:val="center"/>
          </w:tcPr>
          <w:p w14:paraId="1002663B" w14:textId="77777777" w:rsidR="00FE279F" w:rsidRPr="003028B5" w:rsidRDefault="00FE279F" w:rsidP="00FE279F">
            <w:pPr>
              <w:autoSpaceDE w:val="0"/>
              <w:autoSpaceDN w:val="0"/>
              <w:adjustRightInd w:val="0"/>
              <w:spacing w:line="360" w:lineRule="auto"/>
              <w:rPr>
                <w:rFonts w:asciiTheme="minorEastAsia" w:eastAsiaTheme="minorEastAsia" w:hAnsiTheme="minorEastAsia" w:cs="仿宋"/>
                <w:bCs/>
                <w:sz w:val="24"/>
              </w:rPr>
            </w:pPr>
            <w:r w:rsidRPr="003028B5">
              <w:rPr>
                <w:rFonts w:asciiTheme="minorEastAsia" w:eastAsiaTheme="minorEastAsia" w:hAnsiTheme="minorEastAsia" w:cs="仿宋" w:hint="eastAsia"/>
                <w:bCs/>
                <w:sz w:val="24"/>
              </w:rPr>
              <w:t>客服电话</w:t>
            </w:r>
          </w:p>
        </w:tc>
        <w:tc>
          <w:tcPr>
            <w:tcW w:w="2424" w:type="dxa"/>
            <w:tcBorders>
              <w:top w:val="single" w:sz="4" w:space="0" w:color="000000"/>
              <w:left w:val="single" w:sz="4" w:space="0" w:color="000000"/>
              <w:bottom w:val="single" w:sz="4" w:space="0" w:color="000000"/>
              <w:right w:val="single" w:sz="4" w:space="0" w:color="000000"/>
            </w:tcBorders>
            <w:vAlign w:val="center"/>
          </w:tcPr>
          <w:p w14:paraId="4718AD97" w14:textId="77777777" w:rsidR="00FE279F" w:rsidRPr="003028B5" w:rsidRDefault="00FE279F" w:rsidP="00FE279F">
            <w:pPr>
              <w:autoSpaceDE w:val="0"/>
              <w:autoSpaceDN w:val="0"/>
              <w:adjustRightInd w:val="0"/>
              <w:spacing w:line="360" w:lineRule="auto"/>
              <w:rPr>
                <w:rFonts w:asciiTheme="minorEastAsia" w:eastAsiaTheme="minorEastAsia" w:hAnsiTheme="minorEastAsia" w:cs="仿宋"/>
                <w:bCs/>
                <w:sz w:val="24"/>
              </w:rPr>
            </w:pPr>
            <w:r w:rsidRPr="003028B5">
              <w:rPr>
                <w:rFonts w:asciiTheme="minorEastAsia" w:eastAsiaTheme="minorEastAsia" w:hAnsiTheme="minorEastAsia" w:cs="仿宋" w:hint="eastAsia"/>
                <w:bCs/>
                <w:sz w:val="24"/>
              </w:rPr>
              <w:t>400-080-8208</w:t>
            </w:r>
          </w:p>
        </w:tc>
        <w:tc>
          <w:tcPr>
            <w:tcW w:w="757" w:type="dxa"/>
            <w:tcBorders>
              <w:top w:val="single" w:sz="4" w:space="0" w:color="000000"/>
              <w:left w:val="single" w:sz="4" w:space="0" w:color="000000"/>
              <w:bottom w:val="single" w:sz="4" w:space="0" w:color="000000"/>
              <w:right w:val="single" w:sz="4" w:space="0" w:color="000000"/>
            </w:tcBorders>
            <w:vAlign w:val="center"/>
          </w:tcPr>
          <w:p w14:paraId="18C850A0" w14:textId="77777777" w:rsidR="00FE279F" w:rsidRPr="003028B5" w:rsidRDefault="00FE279F" w:rsidP="00FE279F">
            <w:pPr>
              <w:autoSpaceDE w:val="0"/>
              <w:autoSpaceDN w:val="0"/>
              <w:adjustRightInd w:val="0"/>
              <w:spacing w:line="360" w:lineRule="auto"/>
              <w:rPr>
                <w:rFonts w:asciiTheme="minorEastAsia" w:eastAsiaTheme="minorEastAsia" w:hAnsiTheme="minorEastAsia" w:cs="仿宋"/>
                <w:bCs/>
                <w:sz w:val="24"/>
              </w:rPr>
            </w:pPr>
            <w:r w:rsidRPr="003028B5">
              <w:rPr>
                <w:rFonts w:asciiTheme="minorEastAsia" w:eastAsiaTheme="minorEastAsia" w:hAnsiTheme="minorEastAsia" w:cs="仿宋" w:hint="eastAsia"/>
                <w:bCs/>
                <w:sz w:val="24"/>
              </w:rPr>
              <w:t>网址</w:t>
            </w:r>
          </w:p>
        </w:tc>
        <w:tc>
          <w:tcPr>
            <w:tcW w:w="3664" w:type="dxa"/>
            <w:tcBorders>
              <w:top w:val="single" w:sz="4" w:space="0" w:color="000000"/>
              <w:left w:val="single" w:sz="4" w:space="0" w:color="000000"/>
              <w:bottom w:val="single" w:sz="4" w:space="0" w:color="000000"/>
              <w:right w:val="single" w:sz="4" w:space="0" w:color="000000"/>
            </w:tcBorders>
            <w:vAlign w:val="center"/>
          </w:tcPr>
          <w:p w14:paraId="57C9CAA3" w14:textId="77777777" w:rsidR="00FE279F" w:rsidRPr="003028B5" w:rsidRDefault="00FE279F" w:rsidP="00FE279F">
            <w:pPr>
              <w:autoSpaceDE w:val="0"/>
              <w:autoSpaceDN w:val="0"/>
              <w:adjustRightInd w:val="0"/>
              <w:spacing w:line="360" w:lineRule="auto"/>
              <w:rPr>
                <w:rFonts w:asciiTheme="minorEastAsia" w:eastAsiaTheme="minorEastAsia" w:hAnsiTheme="minorEastAsia" w:cs="仿宋"/>
                <w:bCs/>
                <w:sz w:val="24"/>
              </w:rPr>
            </w:pPr>
            <w:r w:rsidRPr="003028B5">
              <w:rPr>
                <w:rFonts w:asciiTheme="minorEastAsia" w:eastAsiaTheme="minorEastAsia" w:hAnsiTheme="minorEastAsia" w:cs="仿宋" w:hint="eastAsia"/>
                <w:bCs/>
                <w:sz w:val="24"/>
              </w:rPr>
              <w:t>https://www.licaimofang.cn/</w:t>
            </w:r>
          </w:p>
        </w:tc>
      </w:tr>
    </w:tbl>
    <w:p w14:paraId="1FF715C4" w14:textId="77777777" w:rsidR="00FE279F" w:rsidRPr="003028B5" w:rsidRDefault="00FE279F" w:rsidP="00FE279F">
      <w:pPr>
        <w:numPr>
          <w:ilvl w:val="0"/>
          <w:numId w:val="12"/>
        </w:numPr>
        <w:autoSpaceDE w:val="0"/>
        <w:autoSpaceDN w:val="0"/>
        <w:adjustRightInd w:val="0"/>
        <w:rPr>
          <w:rFonts w:asciiTheme="minorEastAsia" w:eastAsiaTheme="minorEastAsia" w:hAnsiTheme="minorEastAsia" w:cs="仿宋"/>
          <w:bCs/>
          <w:sz w:val="24"/>
        </w:rPr>
      </w:pPr>
      <w:r w:rsidRPr="003028B5">
        <w:rPr>
          <w:rFonts w:asciiTheme="minorEastAsia" w:eastAsiaTheme="minorEastAsia" w:hAnsiTheme="minorEastAsia" w:cs="仿宋" w:hint="eastAsia"/>
          <w:bCs/>
          <w:sz w:val="24"/>
        </w:rPr>
        <w:t>上海挖财基金销售有限公司</w:t>
      </w:r>
    </w:p>
    <w:tbl>
      <w:tblPr>
        <w:tblW w:w="8637" w:type="dxa"/>
        <w:tblInd w:w="-107" w:type="dxa"/>
        <w:tblBorders>
          <w:top w:val="none" w:sz="6" w:space="0" w:color="auto"/>
          <w:left w:val="none" w:sz="6" w:space="0" w:color="auto"/>
          <w:bottom w:val="none" w:sz="6" w:space="0" w:color="auto"/>
          <w:right w:val="none" w:sz="6" w:space="0" w:color="auto"/>
          <w:insideH w:val="outset" w:sz="6" w:space="0" w:color="auto"/>
          <w:insideV w:val="outset" w:sz="6" w:space="0" w:color="auto"/>
        </w:tblBorders>
        <w:tblCellMar>
          <w:top w:w="15" w:type="dxa"/>
          <w:left w:w="15" w:type="dxa"/>
          <w:bottom w:w="15" w:type="dxa"/>
          <w:right w:w="15" w:type="dxa"/>
        </w:tblCellMar>
        <w:tblLook w:val="04A0" w:firstRow="1" w:lastRow="0" w:firstColumn="1" w:lastColumn="0" w:noHBand="0" w:noVBand="1"/>
      </w:tblPr>
      <w:tblGrid>
        <w:gridCol w:w="1327"/>
        <w:gridCol w:w="1600"/>
        <w:gridCol w:w="660"/>
        <w:gridCol w:w="5050"/>
      </w:tblGrid>
      <w:tr w:rsidR="00FE279F" w:rsidRPr="003028B5" w14:paraId="66D1782F" w14:textId="77777777" w:rsidTr="00FE279F">
        <w:trPr>
          <w:trHeight w:val="572"/>
        </w:trPr>
        <w:tc>
          <w:tcPr>
            <w:tcW w:w="1327" w:type="dxa"/>
            <w:tcBorders>
              <w:top w:val="single" w:sz="8" w:space="0" w:color="auto"/>
              <w:left w:val="single" w:sz="8" w:space="0" w:color="auto"/>
              <w:bottom w:val="single" w:sz="8" w:space="0" w:color="auto"/>
              <w:right w:val="single" w:sz="8" w:space="0" w:color="auto"/>
            </w:tcBorders>
            <w:shd w:val="clear" w:color="auto" w:fill="auto"/>
            <w:vAlign w:val="center"/>
          </w:tcPr>
          <w:p w14:paraId="650AC2F6" w14:textId="77777777" w:rsidR="00FE279F" w:rsidRPr="003028B5" w:rsidRDefault="00FE279F" w:rsidP="00FE279F">
            <w:pPr>
              <w:autoSpaceDE w:val="0"/>
              <w:autoSpaceDN w:val="0"/>
              <w:adjustRightInd w:val="0"/>
              <w:spacing w:line="360" w:lineRule="auto"/>
              <w:rPr>
                <w:rFonts w:asciiTheme="minorEastAsia" w:eastAsiaTheme="minorEastAsia" w:hAnsiTheme="minorEastAsia" w:cs="仿宋"/>
                <w:bCs/>
                <w:sz w:val="24"/>
              </w:rPr>
            </w:pPr>
            <w:r w:rsidRPr="003028B5">
              <w:rPr>
                <w:rFonts w:asciiTheme="minorEastAsia" w:eastAsiaTheme="minorEastAsia" w:hAnsiTheme="minorEastAsia" w:cs="仿宋" w:hint="eastAsia"/>
                <w:bCs/>
                <w:sz w:val="24"/>
              </w:rPr>
              <w:t>办公地址</w:t>
            </w:r>
          </w:p>
        </w:tc>
        <w:tc>
          <w:tcPr>
            <w:tcW w:w="7310" w:type="dxa"/>
            <w:gridSpan w:val="3"/>
            <w:tcBorders>
              <w:top w:val="single" w:sz="8" w:space="0" w:color="auto"/>
              <w:left w:val="single" w:sz="8" w:space="0" w:color="auto"/>
              <w:bottom w:val="single" w:sz="8" w:space="0" w:color="auto"/>
              <w:right w:val="single" w:sz="8" w:space="0" w:color="auto"/>
            </w:tcBorders>
            <w:shd w:val="clear" w:color="auto" w:fill="auto"/>
            <w:vAlign w:val="center"/>
          </w:tcPr>
          <w:p w14:paraId="68E65180" w14:textId="77777777" w:rsidR="00FE279F" w:rsidRPr="003028B5" w:rsidRDefault="00FE279F" w:rsidP="00FE279F">
            <w:pPr>
              <w:autoSpaceDE w:val="0"/>
              <w:autoSpaceDN w:val="0"/>
              <w:adjustRightInd w:val="0"/>
              <w:spacing w:line="360" w:lineRule="auto"/>
              <w:rPr>
                <w:rFonts w:asciiTheme="minorEastAsia" w:eastAsiaTheme="minorEastAsia" w:hAnsiTheme="minorEastAsia" w:cs="仿宋"/>
                <w:bCs/>
                <w:sz w:val="24"/>
              </w:rPr>
            </w:pPr>
            <w:r w:rsidRPr="003028B5">
              <w:rPr>
                <w:rFonts w:asciiTheme="minorEastAsia" w:eastAsiaTheme="minorEastAsia" w:hAnsiTheme="minorEastAsia" w:cs="仿宋" w:hint="eastAsia"/>
                <w:bCs/>
                <w:sz w:val="24"/>
              </w:rPr>
              <w:t>中国(上海)自由贸易试验区杨高南路759号18层03单元</w:t>
            </w:r>
          </w:p>
        </w:tc>
      </w:tr>
      <w:tr w:rsidR="00FE279F" w:rsidRPr="003028B5" w14:paraId="43F96601" w14:textId="77777777" w:rsidTr="00FE279F">
        <w:trPr>
          <w:trHeight w:val="584"/>
        </w:trPr>
        <w:tc>
          <w:tcPr>
            <w:tcW w:w="1327" w:type="dxa"/>
            <w:tcBorders>
              <w:top w:val="dotted" w:sz="4" w:space="0" w:color="AAAAAA"/>
              <w:left w:val="single" w:sz="8" w:space="0" w:color="auto"/>
              <w:bottom w:val="single" w:sz="8" w:space="0" w:color="auto"/>
              <w:right w:val="single" w:sz="8" w:space="0" w:color="auto"/>
            </w:tcBorders>
            <w:shd w:val="clear" w:color="auto" w:fill="auto"/>
            <w:vAlign w:val="center"/>
          </w:tcPr>
          <w:p w14:paraId="0CFC975E" w14:textId="77777777" w:rsidR="00FE279F" w:rsidRPr="003028B5" w:rsidRDefault="00FE279F" w:rsidP="00FE279F">
            <w:pPr>
              <w:autoSpaceDE w:val="0"/>
              <w:autoSpaceDN w:val="0"/>
              <w:adjustRightInd w:val="0"/>
              <w:spacing w:line="360" w:lineRule="auto"/>
              <w:rPr>
                <w:rFonts w:asciiTheme="minorEastAsia" w:eastAsiaTheme="minorEastAsia" w:hAnsiTheme="minorEastAsia" w:cs="仿宋"/>
                <w:bCs/>
                <w:sz w:val="24"/>
              </w:rPr>
            </w:pPr>
            <w:r w:rsidRPr="003028B5">
              <w:rPr>
                <w:rFonts w:asciiTheme="minorEastAsia" w:eastAsiaTheme="minorEastAsia" w:hAnsiTheme="minorEastAsia" w:cs="仿宋" w:hint="eastAsia"/>
                <w:bCs/>
                <w:sz w:val="24"/>
              </w:rPr>
              <w:t>联系人</w:t>
            </w:r>
          </w:p>
        </w:tc>
        <w:tc>
          <w:tcPr>
            <w:tcW w:w="7310" w:type="dxa"/>
            <w:gridSpan w:val="3"/>
            <w:tcBorders>
              <w:top w:val="dotted" w:sz="4" w:space="0" w:color="AAAAAA"/>
              <w:left w:val="single" w:sz="8" w:space="0" w:color="auto"/>
              <w:bottom w:val="single" w:sz="8" w:space="0" w:color="auto"/>
              <w:right w:val="single" w:sz="8" w:space="0" w:color="auto"/>
            </w:tcBorders>
            <w:shd w:val="clear" w:color="auto" w:fill="auto"/>
            <w:vAlign w:val="center"/>
          </w:tcPr>
          <w:p w14:paraId="5147A107" w14:textId="77777777" w:rsidR="00FE279F" w:rsidRPr="003028B5" w:rsidRDefault="00FE279F" w:rsidP="00FE279F">
            <w:pPr>
              <w:autoSpaceDE w:val="0"/>
              <w:autoSpaceDN w:val="0"/>
              <w:adjustRightInd w:val="0"/>
              <w:spacing w:line="360" w:lineRule="auto"/>
              <w:rPr>
                <w:rFonts w:asciiTheme="minorEastAsia" w:eastAsiaTheme="minorEastAsia" w:hAnsiTheme="minorEastAsia" w:cs="仿宋"/>
                <w:bCs/>
                <w:sz w:val="24"/>
              </w:rPr>
            </w:pPr>
            <w:r w:rsidRPr="003028B5">
              <w:rPr>
                <w:rFonts w:asciiTheme="minorEastAsia" w:eastAsiaTheme="minorEastAsia" w:hAnsiTheme="minorEastAsia" w:cs="仿宋" w:hint="eastAsia"/>
                <w:bCs/>
                <w:sz w:val="24"/>
              </w:rPr>
              <w:t>毛善波</w:t>
            </w:r>
          </w:p>
        </w:tc>
      </w:tr>
      <w:tr w:rsidR="00FE279F" w:rsidRPr="003028B5" w14:paraId="44D2F467" w14:textId="77777777" w:rsidTr="00FE279F">
        <w:trPr>
          <w:trHeight w:val="602"/>
        </w:trPr>
        <w:tc>
          <w:tcPr>
            <w:tcW w:w="1327" w:type="dxa"/>
            <w:tcBorders>
              <w:top w:val="dotted" w:sz="4" w:space="0" w:color="AAAAAA"/>
              <w:left w:val="single" w:sz="8" w:space="0" w:color="auto"/>
              <w:bottom w:val="single" w:sz="8" w:space="0" w:color="auto"/>
              <w:right w:val="single" w:sz="8" w:space="0" w:color="auto"/>
            </w:tcBorders>
            <w:shd w:val="clear" w:color="auto" w:fill="auto"/>
            <w:vAlign w:val="center"/>
          </w:tcPr>
          <w:p w14:paraId="51CB13BF" w14:textId="77777777" w:rsidR="00FE279F" w:rsidRPr="003028B5" w:rsidRDefault="00FE279F" w:rsidP="00FE279F">
            <w:pPr>
              <w:autoSpaceDE w:val="0"/>
              <w:autoSpaceDN w:val="0"/>
              <w:adjustRightInd w:val="0"/>
              <w:spacing w:line="360" w:lineRule="auto"/>
              <w:rPr>
                <w:rFonts w:asciiTheme="minorEastAsia" w:eastAsiaTheme="minorEastAsia" w:hAnsiTheme="minorEastAsia" w:cs="仿宋"/>
                <w:bCs/>
                <w:sz w:val="24"/>
              </w:rPr>
            </w:pPr>
            <w:r w:rsidRPr="003028B5">
              <w:rPr>
                <w:rFonts w:asciiTheme="minorEastAsia" w:eastAsiaTheme="minorEastAsia" w:hAnsiTheme="minorEastAsia" w:cs="仿宋" w:hint="eastAsia"/>
                <w:bCs/>
                <w:sz w:val="24"/>
              </w:rPr>
              <w:t>客服电话</w:t>
            </w:r>
          </w:p>
        </w:tc>
        <w:tc>
          <w:tcPr>
            <w:tcW w:w="1600" w:type="dxa"/>
            <w:tcBorders>
              <w:top w:val="dotted" w:sz="4" w:space="0" w:color="AAAAAA"/>
              <w:left w:val="single" w:sz="8" w:space="0" w:color="auto"/>
              <w:bottom w:val="single" w:sz="8" w:space="0" w:color="auto"/>
              <w:right w:val="single" w:sz="8" w:space="0" w:color="auto"/>
            </w:tcBorders>
            <w:shd w:val="clear" w:color="auto" w:fill="auto"/>
            <w:vAlign w:val="center"/>
          </w:tcPr>
          <w:p w14:paraId="76C168FD" w14:textId="77777777" w:rsidR="00FE279F" w:rsidRPr="003028B5" w:rsidRDefault="00FE279F" w:rsidP="00FE279F">
            <w:pPr>
              <w:autoSpaceDE w:val="0"/>
              <w:autoSpaceDN w:val="0"/>
              <w:adjustRightInd w:val="0"/>
              <w:spacing w:line="360" w:lineRule="auto"/>
              <w:rPr>
                <w:rFonts w:asciiTheme="minorEastAsia" w:eastAsiaTheme="minorEastAsia" w:hAnsiTheme="minorEastAsia" w:cs="仿宋"/>
                <w:bCs/>
                <w:sz w:val="24"/>
              </w:rPr>
            </w:pPr>
            <w:r w:rsidRPr="003028B5">
              <w:rPr>
                <w:rFonts w:asciiTheme="minorEastAsia" w:eastAsiaTheme="minorEastAsia" w:hAnsiTheme="minorEastAsia" w:cs="仿宋" w:hint="eastAsia"/>
                <w:bCs/>
                <w:sz w:val="24"/>
              </w:rPr>
              <w:t>400-711-8718</w:t>
            </w:r>
          </w:p>
        </w:tc>
        <w:tc>
          <w:tcPr>
            <w:tcW w:w="660" w:type="dxa"/>
            <w:tcBorders>
              <w:top w:val="single" w:sz="8" w:space="0" w:color="auto"/>
              <w:left w:val="single" w:sz="8" w:space="0" w:color="auto"/>
              <w:bottom w:val="single" w:sz="8" w:space="0" w:color="auto"/>
              <w:right w:val="single" w:sz="8" w:space="0" w:color="auto"/>
            </w:tcBorders>
            <w:shd w:val="clear" w:color="auto" w:fill="auto"/>
            <w:vAlign w:val="center"/>
          </w:tcPr>
          <w:p w14:paraId="74E5B39C" w14:textId="77777777" w:rsidR="00FE279F" w:rsidRPr="003028B5" w:rsidRDefault="00FE279F" w:rsidP="00FE279F">
            <w:pPr>
              <w:autoSpaceDE w:val="0"/>
              <w:autoSpaceDN w:val="0"/>
              <w:adjustRightInd w:val="0"/>
              <w:spacing w:line="360" w:lineRule="auto"/>
              <w:rPr>
                <w:rFonts w:asciiTheme="minorEastAsia" w:eastAsiaTheme="minorEastAsia" w:hAnsiTheme="minorEastAsia" w:cs="仿宋"/>
                <w:bCs/>
                <w:sz w:val="24"/>
              </w:rPr>
            </w:pPr>
            <w:r w:rsidRPr="003028B5">
              <w:rPr>
                <w:rFonts w:asciiTheme="minorEastAsia" w:eastAsiaTheme="minorEastAsia" w:hAnsiTheme="minorEastAsia" w:cs="仿宋" w:hint="eastAsia"/>
                <w:bCs/>
                <w:sz w:val="24"/>
              </w:rPr>
              <w:t>网址</w:t>
            </w:r>
          </w:p>
        </w:tc>
        <w:tc>
          <w:tcPr>
            <w:tcW w:w="5050" w:type="dxa"/>
            <w:tcBorders>
              <w:top w:val="single" w:sz="8" w:space="0" w:color="auto"/>
              <w:left w:val="single" w:sz="8" w:space="0" w:color="auto"/>
              <w:bottom w:val="single" w:sz="8" w:space="0" w:color="auto"/>
              <w:right w:val="single" w:sz="8" w:space="0" w:color="auto"/>
            </w:tcBorders>
            <w:shd w:val="clear" w:color="auto" w:fill="auto"/>
            <w:vAlign w:val="center"/>
          </w:tcPr>
          <w:p w14:paraId="2B2851B2" w14:textId="77777777" w:rsidR="00FE279F" w:rsidRPr="003028B5" w:rsidRDefault="00FE279F" w:rsidP="00FE279F">
            <w:pPr>
              <w:autoSpaceDE w:val="0"/>
              <w:autoSpaceDN w:val="0"/>
              <w:adjustRightInd w:val="0"/>
              <w:spacing w:line="360" w:lineRule="auto"/>
              <w:rPr>
                <w:rFonts w:asciiTheme="minorEastAsia" w:eastAsiaTheme="minorEastAsia" w:hAnsiTheme="minorEastAsia" w:cs="仿宋"/>
                <w:bCs/>
                <w:sz w:val="24"/>
              </w:rPr>
            </w:pPr>
            <w:r w:rsidRPr="003028B5">
              <w:rPr>
                <w:rFonts w:asciiTheme="minorEastAsia" w:eastAsiaTheme="minorEastAsia" w:hAnsiTheme="minorEastAsia" w:cs="仿宋" w:hint="eastAsia"/>
                <w:bCs/>
                <w:sz w:val="24"/>
              </w:rPr>
              <w:t>www.wacaijijin.com</w:t>
            </w:r>
          </w:p>
        </w:tc>
      </w:tr>
    </w:tbl>
    <w:p w14:paraId="6BF6EBFB" w14:textId="77777777" w:rsidR="00FE279F" w:rsidRPr="003028B5" w:rsidRDefault="00FE279F" w:rsidP="00FE279F">
      <w:pPr>
        <w:numPr>
          <w:ilvl w:val="0"/>
          <w:numId w:val="12"/>
        </w:numPr>
        <w:autoSpaceDE w:val="0"/>
        <w:autoSpaceDN w:val="0"/>
        <w:adjustRightInd w:val="0"/>
        <w:spacing w:line="360" w:lineRule="auto"/>
        <w:rPr>
          <w:rFonts w:asciiTheme="minorEastAsia" w:eastAsiaTheme="minorEastAsia" w:hAnsiTheme="minorEastAsia"/>
          <w:sz w:val="24"/>
          <w:szCs w:val="21"/>
        </w:rPr>
      </w:pPr>
      <w:r w:rsidRPr="003028B5">
        <w:rPr>
          <w:rFonts w:asciiTheme="minorEastAsia" w:eastAsiaTheme="minorEastAsia" w:hAnsiTheme="minorEastAsia" w:hint="eastAsia"/>
          <w:sz w:val="24"/>
          <w:szCs w:val="21"/>
        </w:rPr>
        <w:t>深圳市前海排排网基金销售有限责任公司</w:t>
      </w:r>
    </w:p>
    <w:tbl>
      <w:tblPr>
        <w:tblW w:w="86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835"/>
        <w:gridCol w:w="851"/>
        <w:gridCol w:w="3118"/>
      </w:tblGrid>
      <w:tr w:rsidR="00FE279F" w:rsidRPr="003028B5" w14:paraId="48B2FA63" w14:textId="77777777" w:rsidTr="00FE279F">
        <w:tc>
          <w:tcPr>
            <w:tcW w:w="1843" w:type="dxa"/>
            <w:tcBorders>
              <w:top w:val="single" w:sz="4" w:space="0" w:color="auto"/>
              <w:left w:val="single" w:sz="4" w:space="0" w:color="auto"/>
              <w:bottom w:val="single" w:sz="4" w:space="0" w:color="auto"/>
              <w:right w:val="single" w:sz="4" w:space="0" w:color="auto"/>
            </w:tcBorders>
          </w:tcPr>
          <w:p w14:paraId="7AC7F0D8" w14:textId="77777777" w:rsidR="00FE279F" w:rsidRPr="003028B5" w:rsidRDefault="00FE279F" w:rsidP="00FE279F">
            <w:pPr>
              <w:autoSpaceDE w:val="0"/>
              <w:autoSpaceDN w:val="0"/>
              <w:adjustRightInd w:val="0"/>
              <w:snapToGrid w:val="0"/>
              <w:spacing w:line="360" w:lineRule="auto"/>
              <w:jc w:val="left"/>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办公地址</w:t>
            </w:r>
          </w:p>
        </w:tc>
        <w:tc>
          <w:tcPr>
            <w:tcW w:w="6804" w:type="dxa"/>
            <w:gridSpan w:val="3"/>
            <w:tcBorders>
              <w:top w:val="single" w:sz="4" w:space="0" w:color="auto"/>
              <w:left w:val="single" w:sz="4" w:space="0" w:color="auto"/>
              <w:bottom w:val="single" w:sz="4" w:space="0" w:color="auto"/>
              <w:right w:val="single" w:sz="4" w:space="0" w:color="auto"/>
            </w:tcBorders>
          </w:tcPr>
          <w:p w14:paraId="636F87A0" w14:textId="77777777" w:rsidR="00FE279F" w:rsidRPr="003028B5" w:rsidRDefault="00FE279F" w:rsidP="00FE279F">
            <w:pPr>
              <w:autoSpaceDE w:val="0"/>
              <w:autoSpaceDN w:val="0"/>
              <w:adjustRightInd w:val="0"/>
              <w:snapToGrid w:val="0"/>
              <w:spacing w:line="360" w:lineRule="auto"/>
              <w:jc w:val="left"/>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深圳市福田区福强路4001号深圳市世纪工艺品文化市场313栋E-403</w:t>
            </w:r>
          </w:p>
        </w:tc>
      </w:tr>
      <w:tr w:rsidR="00FE279F" w:rsidRPr="003028B5" w14:paraId="108C38A4" w14:textId="77777777" w:rsidTr="00FE279F">
        <w:tc>
          <w:tcPr>
            <w:tcW w:w="1843" w:type="dxa"/>
            <w:tcBorders>
              <w:top w:val="single" w:sz="4" w:space="0" w:color="auto"/>
              <w:left w:val="single" w:sz="4" w:space="0" w:color="auto"/>
              <w:bottom w:val="single" w:sz="4" w:space="0" w:color="auto"/>
              <w:right w:val="single" w:sz="4" w:space="0" w:color="auto"/>
            </w:tcBorders>
          </w:tcPr>
          <w:p w14:paraId="153C8C12" w14:textId="77777777" w:rsidR="00FE279F" w:rsidRPr="003028B5" w:rsidRDefault="00FE279F" w:rsidP="00FE279F">
            <w:pPr>
              <w:autoSpaceDE w:val="0"/>
              <w:autoSpaceDN w:val="0"/>
              <w:adjustRightInd w:val="0"/>
              <w:snapToGrid w:val="0"/>
              <w:spacing w:line="360" w:lineRule="auto"/>
              <w:jc w:val="left"/>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联系人</w:t>
            </w:r>
          </w:p>
        </w:tc>
        <w:tc>
          <w:tcPr>
            <w:tcW w:w="6804" w:type="dxa"/>
            <w:gridSpan w:val="3"/>
            <w:tcBorders>
              <w:top w:val="single" w:sz="4" w:space="0" w:color="auto"/>
              <w:left w:val="single" w:sz="4" w:space="0" w:color="auto"/>
              <w:bottom w:val="single" w:sz="4" w:space="0" w:color="auto"/>
              <w:right w:val="single" w:sz="4" w:space="0" w:color="auto"/>
            </w:tcBorders>
          </w:tcPr>
          <w:p w14:paraId="4ED65BCA" w14:textId="77777777" w:rsidR="00FE279F" w:rsidRPr="003028B5" w:rsidRDefault="00FE279F" w:rsidP="00FE279F">
            <w:pPr>
              <w:autoSpaceDE w:val="0"/>
              <w:autoSpaceDN w:val="0"/>
              <w:adjustRightInd w:val="0"/>
              <w:snapToGrid w:val="0"/>
              <w:spacing w:line="360" w:lineRule="auto"/>
              <w:jc w:val="left"/>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华荣杰</w:t>
            </w:r>
          </w:p>
        </w:tc>
      </w:tr>
      <w:tr w:rsidR="00FE279F" w:rsidRPr="003028B5" w14:paraId="5458EFC5" w14:textId="77777777" w:rsidTr="00FE279F">
        <w:tc>
          <w:tcPr>
            <w:tcW w:w="1843" w:type="dxa"/>
            <w:tcBorders>
              <w:top w:val="single" w:sz="4" w:space="0" w:color="auto"/>
              <w:left w:val="single" w:sz="4" w:space="0" w:color="auto"/>
              <w:bottom w:val="single" w:sz="4" w:space="0" w:color="auto"/>
              <w:right w:val="single" w:sz="4" w:space="0" w:color="auto"/>
            </w:tcBorders>
          </w:tcPr>
          <w:p w14:paraId="6E65A066" w14:textId="77777777" w:rsidR="00FE279F" w:rsidRPr="003028B5" w:rsidRDefault="00FE279F" w:rsidP="00FE279F">
            <w:pPr>
              <w:autoSpaceDE w:val="0"/>
              <w:autoSpaceDN w:val="0"/>
              <w:adjustRightInd w:val="0"/>
              <w:snapToGrid w:val="0"/>
              <w:spacing w:line="360" w:lineRule="auto"/>
              <w:jc w:val="left"/>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客服电话</w:t>
            </w:r>
          </w:p>
        </w:tc>
        <w:tc>
          <w:tcPr>
            <w:tcW w:w="2835" w:type="dxa"/>
            <w:tcBorders>
              <w:top w:val="single" w:sz="4" w:space="0" w:color="auto"/>
              <w:left w:val="single" w:sz="4" w:space="0" w:color="auto"/>
              <w:bottom w:val="single" w:sz="4" w:space="0" w:color="auto"/>
              <w:right w:val="single" w:sz="4" w:space="0" w:color="auto"/>
            </w:tcBorders>
          </w:tcPr>
          <w:p w14:paraId="4BC76B6E" w14:textId="77777777" w:rsidR="00FE279F" w:rsidRPr="003028B5" w:rsidRDefault="00FE279F" w:rsidP="00FE279F">
            <w:pPr>
              <w:autoSpaceDE w:val="0"/>
              <w:autoSpaceDN w:val="0"/>
              <w:adjustRightInd w:val="0"/>
              <w:snapToGrid w:val="0"/>
              <w:spacing w:line="360" w:lineRule="auto"/>
              <w:jc w:val="left"/>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400-680-3928</w:t>
            </w:r>
          </w:p>
        </w:tc>
        <w:tc>
          <w:tcPr>
            <w:tcW w:w="851" w:type="dxa"/>
            <w:tcBorders>
              <w:top w:val="single" w:sz="4" w:space="0" w:color="auto"/>
              <w:left w:val="single" w:sz="4" w:space="0" w:color="auto"/>
              <w:bottom w:val="single" w:sz="4" w:space="0" w:color="auto"/>
              <w:right w:val="single" w:sz="4" w:space="0" w:color="auto"/>
            </w:tcBorders>
          </w:tcPr>
          <w:p w14:paraId="3C7136E6" w14:textId="77777777" w:rsidR="00FE279F" w:rsidRPr="003028B5" w:rsidRDefault="00FE279F" w:rsidP="00FE279F">
            <w:pPr>
              <w:autoSpaceDE w:val="0"/>
              <w:autoSpaceDN w:val="0"/>
              <w:adjustRightInd w:val="0"/>
              <w:snapToGrid w:val="0"/>
              <w:spacing w:line="360" w:lineRule="auto"/>
              <w:jc w:val="left"/>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网址</w:t>
            </w:r>
          </w:p>
        </w:tc>
        <w:tc>
          <w:tcPr>
            <w:tcW w:w="3118" w:type="dxa"/>
            <w:tcBorders>
              <w:top w:val="single" w:sz="4" w:space="0" w:color="auto"/>
              <w:left w:val="single" w:sz="4" w:space="0" w:color="auto"/>
              <w:bottom w:val="single" w:sz="4" w:space="0" w:color="auto"/>
              <w:right w:val="single" w:sz="4" w:space="0" w:color="auto"/>
            </w:tcBorders>
          </w:tcPr>
          <w:p w14:paraId="5E53EA86" w14:textId="77777777" w:rsidR="00FE279F" w:rsidRPr="003028B5" w:rsidRDefault="00FE279F" w:rsidP="00FE279F">
            <w:pPr>
              <w:autoSpaceDE w:val="0"/>
              <w:autoSpaceDN w:val="0"/>
              <w:adjustRightInd w:val="0"/>
              <w:snapToGrid w:val="0"/>
              <w:spacing w:line="360" w:lineRule="auto"/>
              <w:jc w:val="left"/>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www.simuwang.com</w:t>
            </w:r>
          </w:p>
        </w:tc>
      </w:tr>
    </w:tbl>
    <w:p w14:paraId="72F33147" w14:textId="77777777" w:rsidR="00FE279F" w:rsidRPr="003028B5" w:rsidRDefault="00FE279F" w:rsidP="00FE279F">
      <w:pPr>
        <w:numPr>
          <w:ilvl w:val="0"/>
          <w:numId w:val="12"/>
        </w:numPr>
        <w:autoSpaceDE w:val="0"/>
        <w:autoSpaceDN w:val="0"/>
        <w:adjustRightInd w:val="0"/>
        <w:spacing w:line="360" w:lineRule="auto"/>
        <w:rPr>
          <w:rFonts w:asciiTheme="minorEastAsia" w:eastAsiaTheme="minorEastAsia" w:hAnsiTheme="minorEastAsia" w:cs="仿宋"/>
          <w:sz w:val="24"/>
        </w:rPr>
      </w:pPr>
      <w:r w:rsidRPr="003028B5">
        <w:rPr>
          <w:rFonts w:asciiTheme="minorEastAsia" w:eastAsiaTheme="minorEastAsia" w:hAnsiTheme="minorEastAsia" w:hint="eastAsia"/>
          <w:sz w:val="24"/>
          <w:szCs w:val="21"/>
        </w:rPr>
        <w:t>上海大智慧基金销售有限公司</w:t>
      </w:r>
    </w:p>
    <w:tbl>
      <w:tblPr>
        <w:tblW w:w="85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268"/>
        <w:gridCol w:w="1134"/>
        <w:gridCol w:w="3261"/>
      </w:tblGrid>
      <w:tr w:rsidR="00FE279F" w:rsidRPr="003028B5" w14:paraId="4E90A489" w14:textId="77777777" w:rsidTr="00FE279F">
        <w:tc>
          <w:tcPr>
            <w:tcW w:w="1843" w:type="dxa"/>
            <w:tcBorders>
              <w:top w:val="single" w:sz="4" w:space="0" w:color="auto"/>
              <w:left w:val="single" w:sz="4" w:space="0" w:color="auto"/>
              <w:bottom w:val="single" w:sz="4" w:space="0" w:color="auto"/>
              <w:right w:val="single" w:sz="4" w:space="0" w:color="auto"/>
            </w:tcBorders>
            <w:vAlign w:val="center"/>
          </w:tcPr>
          <w:p w14:paraId="76B67364"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sz w:val="24"/>
                <w:lang w:val="zh-CN"/>
              </w:rPr>
            </w:pPr>
            <w:r w:rsidRPr="003028B5">
              <w:rPr>
                <w:rFonts w:asciiTheme="minorEastAsia" w:eastAsiaTheme="minorEastAsia" w:hAnsiTheme="minorEastAsia" w:cs="仿宋" w:hint="eastAsia"/>
                <w:sz w:val="24"/>
                <w:lang w:val="zh-CN"/>
              </w:rPr>
              <w:t>办公地址</w:t>
            </w:r>
          </w:p>
        </w:tc>
        <w:tc>
          <w:tcPr>
            <w:tcW w:w="6663" w:type="dxa"/>
            <w:gridSpan w:val="3"/>
            <w:tcBorders>
              <w:top w:val="single" w:sz="4" w:space="0" w:color="auto"/>
              <w:left w:val="single" w:sz="4" w:space="0" w:color="auto"/>
              <w:bottom w:val="single" w:sz="4" w:space="0" w:color="auto"/>
              <w:right w:val="single" w:sz="4" w:space="0" w:color="auto"/>
            </w:tcBorders>
            <w:vAlign w:val="center"/>
          </w:tcPr>
          <w:p w14:paraId="5075B43F"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sz w:val="24"/>
                <w:lang w:val="zh-CN"/>
              </w:rPr>
            </w:pPr>
            <w:r w:rsidRPr="003028B5">
              <w:rPr>
                <w:rFonts w:asciiTheme="minorEastAsia" w:eastAsiaTheme="minorEastAsia" w:hAnsiTheme="minorEastAsia" w:cs="仿宋" w:hint="eastAsia"/>
                <w:sz w:val="24"/>
                <w:lang w:val="zh-CN"/>
              </w:rPr>
              <w:t>上海市浦东新区杨高南路428号由由世纪广场1号楼</w:t>
            </w:r>
          </w:p>
        </w:tc>
      </w:tr>
      <w:tr w:rsidR="00FE279F" w:rsidRPr="003028B5" w14:paraId="624559A8" w14:textId="77777777" w:rsidTr="00FE279F">
        <w:tc>
          <w:tcPr>
            <w:tcW w:w="1843" w:type="dxa"/>
            <w:tcBorders>
              <w:top w:val="single" w:sz="4" w:space="0" w:color="auto"/>
              <w:left w:val="single" w:sz="4" w:space="0" w:color="auto"/>
              <w:bottom w:val="single" w:sz="4" w:space="0" w:color="auto"/>
              <w:right w:val="single" w:sz="4" w:space="0" w:color="auto"/>
            </w:tcBorders>
            <w:vAlign w:val="center"/>
          </w:tcPr>
          <w:p w14:paraId="1E04F8D5"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sz w:val="24"/>
                <w:lang w:val="zh-CN"/>
              </w:rPr>
            </w:pPr>
            <w:r w:rsidRPr="003028B5">
              <w:rPr>
                <w:rFonts w:asciiTheme="minorEastAsia" w:eastAsiaTheme="minorEastAsia" w:hAnsiTheme="minorEastAsia" w:cs="仿宋" w:hint="eastAsia"/>
                <w:sz w:val="24"/>
                <w:lang w:val="zh-CN"/>
              </w:rPr>
              <w:t>联系人</w:t>
            </w:r>
          </w:p>
        </w:tc>
        <w:tc>
          <w:tcPr>
            <w:tcW w:w="6663" w:type="dxa"/>
            <w:gridSpan w:val="3"/>
            <w:tcBorders>
              <w:top w:val="single" w:sz="4" w:space="0" w:color="auto"/>
              <w:left w:val="single" w:sz="4" w:space="0" w:color="auto"/>
              <w:bottom w:val="single" w:sz="4" w:space="0" w:color="auto"/>
              <w:right w:val="single" w:sz="4" w:space="0" w:color="auto"/>
            </w:tcBorders>
            <w:vAlign w:val="center"/>
          </w:tcPr>
          <w:p w14:paraId="3FCACDC8" w14:textId="77777777" w:rsidR="00FE279F" w:rsidRPr="003028B5" w:rsidRDefault="00FE279F" w:rsidP="00FE279F">
            <w:pPr>
              <w:rPr>
                <w:rFonts w:asciiTheme="minorEastAsia" w:eastAsiaTheme="minorEastAsia" w:hAnsiTheme="minorEastAsia" w:cs="仿宋"/>
                <w:sz w:val="24"/>
              </w:rPr>
            </w:pPr>
            <w:r w:rsidRPr="003028B5">
              <w:rPr>
                <w:rFonts w:asciiTheme="minorEastAsia" w:eastAsiaTheme="minorEastAsia" w:hAnsiTheme="minorEastAsia" w:cs="Calibri"/>
                <w:sz w:val="24"/>
              </w:rPr>
              <w:t> </w:t>
            </w:r>
            <w:r w:rsidRPr="003028B5">
              <w:rPr>
                <w:rFonts w:asciiTheme="minorEastAsia" w:eastAsiaTheme="minorEastAsia" w:hAnsiTheme="minorEastAsia" w:cs="仿宋" w:hint="eastAsia"/>
                <w:sz w:val="24"/>
              </w:rPr>
              <w:t>张蜓</w:t>
            </w:r>
          </w:p>
        </w:tc>
      </w:tr>
      <w:tr w:rsidR="00FE279F" w:rsidRPr="003028B5" w14:paraId="3DC582E6" w14:textId="77777777" w:rsidTr="00FE279F">
        <w:tc>
          <w:tcPr>
            <w:tcW w:w="1843" w:type="dxa"/>
            <w:tcBorders>
              <w:top w:val="single" w:sz="4" w:space="0" w:color="auto"/>
              <w:left w:val="single" w:sz="4" w:space="0" w:color="auto"/>
              <w:bottom w:val="single" w:sz="4" w:space="0" w:color="auto"/>
              <w:right w:val="single" w:sz="4" w:space="0" w:color="auto"/>
            </w:tcBorders>
            <w:vAlign w:val="center"/>
          </w:tcPr>
          <w:p w14:paraId="198D605E"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sz w:val="24"/>
                <w:lang w:val="zh-CN"/>
              </w:rPr>
            </w:pPr>
            <w:r w:rsidRPr="003028B5">
              <w:rPr>
                <w:rFonts w:asciiTheme="minorEastAsia" w:eastAsiaTheme="minorEastAsia" w:hAnsiTheme="minorEastAsia" w:cs="仿宋" w:hint="eastAsia"/>
                <w:sz w:val="24"/>
                <w:lang w:val="zh-CN"/>
              </w:rPr>
              <w:t>客服电话</w:t>
            </w:r>
          </w:p>
        </w:tc>
        <w:tc>
          <w:tcPr>
            <w:tcW w:w="2268" w:type="dxa"/>
            <w:tcBorders>
              <w:top w:val="single" w:sz="4" w:space="0" w:color="auto"/>
              <w:left w:val="single" w:sz="4" w:space="0" w:color="auto"/>
              <w:bottom w:val="single" w:sz="4" w:space="0" w:color="auto"/>
              <w:right w:val="single" w:sz="4" w:space="0" w:color="auto"/>
            </w:tcBorders>
            <w:vAlign w:val="center"/>
          </w:tcPr>
          <w:p w14:paraId="5FB6C3EC"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sz w:val="24"/>
                <w:lang w:val="zh-CN"/>
              </w:rPr>
            </w:pPr>
            <w:r w:rsidRPr="003028B5">
              <w:rPr>
                <w:rFonts w:asciiTheme="minorEastAsia" w:eastAsiaTheme="minorEastAsia" w:hAnsiTheme="minorEastAsia" w:cs="仿宋" w:hint="eastAsia"/>
                <w:sz w:val="24"/>
                <w:lang w:val="zh-CN"/>
              </w:rPr>
              <w:t>021-20292031</w:t>
            </w:r>
          </w:p>
        </w:tc>
        <w:tc>
          <w:tcPr>
            <w:tcW w:w="1134" w:type="dxa"/>
            <w:tcBorders>
              <w:top w:val="single" w:sz="4" w:space="0" w:color="auto"/>
              <w:left w:val="single" w:sz="4" w:space="0" w:color="auto"/>
              <w:bottom w:val="single" w:sz="4" w:space="0" w:color="auto"/>
              <w:right w:val="single" w:sz="4" w:space="0" w:color="auto"/>
            </w:tcBorders>
            <w:vAlign w:val="center"/>
          </w:tcPr>
          <w:p w14:paraId="01872368"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sz w:val="24"/>
                <w:lang w:val="zh-CN"/>
              </w:rPr>
            </w:pPr>
            <w:r w:rsidRPr="003028B5">
              <w:rPr>
                <w:rFonts w:asciiTheme="minorEastAsia" w:eastAsiaTheme="minorEastAsia" w:hAnsiTheme="minorEastAsia" w:cs="仿宋" w:hint="eastAsia"/>
                <w:sz w:val="24"/>
                <w:lang w:val="zh-CN"/>
              </w:rPr>
              <w:t>网址</w:t>
            </w:r>
          </w:p>
        </w:tc>
        <w:tc>
          <w:tcPr>
            <w:tcW w:w="3261" w:type="dxa"/>
            <w:tcBorders>
              <w:top w:val="single" w:sz="4" w:space="0" w:color="auto"/>
              <w:left w:val="single" w:sz="4" w:space="0" w:color="auto"/>
              <w:bottom w:val="single" w:sz="4" w:space="0" w:color="auto"/>
              <w:right w:val="single" w:sz="4" w:space="0" w:color="auto"/>
            </w:tcBorders>
            <w:vAlign w:val="center"/>
          </w:tcPr>
          <w:p w14:paraId="38660B1F"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sz w:val="24"/>
                <w:lang w:val="zh-CN"/>
              </w:rPr>
            </w:pPr>
            <w:r w:rsidRPr="003028B5">
              <w:rPr>
                <w:rFonts w:asciiTheme="minorEastAsia" w:eastAsiaTheme="minorEastAsia" w:hAnsiTheme="minorEastAsia" w:cs="仿宋" w:hint="eastAsia"/>
                <w:sz w:val="24"/>
                <w:lang w:val="zh-CN"/>
              </w:rPr>
              <w:t>www.wg.com.cn</w:t>
            </w:r>
          </w:p>
        </w:tc>
      </w:tr>
    </w:tbl>
    <w:p w14:paraId="5D3B804E" w14:textId="77777777" w:rsidR="00FE279F" w:rsidRPr="003028B5" w:rsidRDefault="00FE279F" w:rsidP="00FE279F">
      <w:pPr>
        <w:numPr>
          <w:ilvl w:val="0"/>
          <w:numId w:val="12"/>
        </w:numPr>
        <w:autoSpaceDE w:val="0"/>
        <w:autoSpaceDN w:val="0"/>
        <w:adjustRightInd w:val="0"/>
        <w:spacing w:line="360" w:lineRule="auto"/>
        <w:rPr>
          <w:rFonts w:asciiTheme="minorEastAsia" w:eastAsiaTheme="minorEastAsia" w:hAnsiTheme="minorEastAsia" w:cs="仿宋"/>
          <w:sz w:val="24"/>
        </w:rPr>
      </w:pPr>
      <w:r w:rsidRPr="003028B5">
        <w:rPr>
          <w:rFonts w:asciiTheme="minorEastAsia" w:eastAsiaTheme="minorEastAsia" w:hAnsiTheme="minorEastAsia" w:cs="仿宋" w:hint="eastAsia"/>
          <w:sz w:val="24"/>
        </w:rPr>
        <w:t>上海华夏财富投资管理有限公司</w:t>
      </w:r>
    </w:p>
    <w:tbl>
      <w:tblPr>
        <w:tblW w:w="86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834"/>
        <w:gridCol w:w="850"/>
        <w:gridCol w:w="3120"/>
      </w:tblGrid>
      <w:tr w:rsidR="00FE279F" w:rsidRPr="003028B5" w14:paraId="655E7E90" w14:textId="77777777" w:rsidTr="00FE279F">
        <w:trPr>
          <w:trHeight w:val="455"/>
        </w:trPr>
        <w:tc>
          <w:tcPr>
            <w:tcW w:w="1843" w:type="dxa"/>
            <w:tcBorders>
              <w:top w:val="single" w:sz="4" w:space="0" w:color="auto"/>
              <w:left w:val="single" w:sz="4" w:space="0" w:color="auto"/>
              <w:bottom w:val="single" w:sz="4" w:space="0" w:color="auto"/>
              <w:right w:val="single" w:sz="4" w:space="0" w:color="auto"/>
            </w:tcBorders>
            <w:vAlign w:val="center"/>
          </w:tcPr>
          <w:p w14:paraId="4EB60681" w14:textId="77777777" w:rsidR="00FE279F" w:rsidRPr="003028B5" w:rsidRDefault="00FE279F" w:rsidP="00FE279F">
            <w:pPr>
              <w:autoSpaceDE w:val="0"/>
              <w:autoSpaceDN w:val="0"/>
              <w:adjustRightInd w:val="0"/>
              <w:snapToGrid w:val="0"/>
              <w:spacing w:line="360" w:lineRule="auto"/>
              <w:jc w:val="left"/>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办公地址</w:t>
            </w:r>
          </w:p>
        </w:tc>
        <w:tc>
          <w:tcPr>
            <w:tcW w:w="6804" w:type="dxa"/>
            <w:gridSpan w:val="3"/>
            <w:tcBorders>
              <w:top w:val="single" w:sz="4" w:space="0" w:color="auto"/>
              <w:left w:val="single" w:sz="4" w:space="0" w:color="auto"/>
              <w:bottom w:val="single" w:sz="4" w:space="0" w:color="auto"/>
              <w:right w:val="single" w:sz="4" w:space="0" w:color="auto"/>
            </w:tcBorders>
          </w:tcPr>
          <w:p w14:paraId="3824585B"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北京市西城区金融大街33号通泰大厦B座8层</w:t>
            </w:r>
          </w:p>
        </w:tc>
      </w:tr>
      <w:tr w:rsidR="00FE279F" w:rsidRPr="003028B5" w14:paraId="675F9E66" w14:textId="77777777" w:rsidTr="00FE279F">
        <w:tc>
          <w:tcPr>
            <w:tcW w:w="1843" w:type="dxa"/>
            <w:tcBorders>
              <w:top w:val="single" w:sz="4" w:space="0" w:color="auto"/>
              <w:left w:val="single" w:sz="4" w:space="0" w:color="auto"/>
              <w:bottom w:val="single" w:sz="4" w:space="0" w:color="auto"/>
              <w:right w:val="single" w:sz="4" w:space="0" w:color="auto"/>
            </w:tcBorders>
            <w:vAlign w:val="center"/>
          </w:tcPr>
          <w:p w14:paraId="752A3C8A" w14:textId="77777777" w:rsidR="00FE279F" w:rsidRPr="003028B5" w:rsidRDefault="00FE279F" w:rsidP="00FE279F">
            <w:pPr>
              <w:autoSpaceDE w:val="0"/>
              <w:autoSpaceDN w:val="0"/>
              <w:adjustRightInd w:val="0"/>
              <w:snapToGrid w:val="0"/>
              <w:spacing w:line="360" w:lineRule="auto"/>
              <w:jc w:val="left"/>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联系人</w:t>
            </w:r>
          </w:p>
        </w:tc>
        <w:tc>
          <w:tcPr>
            <w:tcW w:w="6804" w:type="dxa"/>
            <w:gridSpan w:val="3"/>
            <w:tcBorders>
              <w:top w:val="single" w:sz="4" w:space="0" w:color="auto"/>
              <w:left w:val="single" w:sz="4" w:space="0" w:color="auto"/>
              <w:bottom w:val="single" w:sz="4" w:space="0" w:color="auto"/>
              <w:right w:val="single" w:sz="4" w:space="0" w:color="auto"/>
            </w:tcBorders>
          </w:tcPr>
          <w:p w14:paraId="70617F5A"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张静怡</w:t>
            </w:r>
          </w:p>
        </w:tc>
      </w:tr>
      <w:tr w:rsidR="00FE279F" w:rsidRPr="003028B5" w14:paraId="3D47822D" w14:textId="77777777" w:rsidTr="00FE279F">
        <w:trPr>
          <w:trHeight w:val="430"/>
        </w:trPr>
        <w:tc>
          <w:tcPr>
            <w:tcW w:w="1843" w:type="dxa"/>
            <w:tcBorders>
              <w:top w:val="single" w:sz="4" w:space="0" w:color="auto"/>
              <w:left w:val="single" w:sz="4" w:space="0" w:color="auto"/>
              <w:bottom w:val="single" w:sz="4" w:space="0" w:color="auto"/>
              <w:right w:val="single" w:sz="4" w:space="0" w:color="auto"/>
            </w:tcBorders>
            <w:vAlign w:val="center"/>
          </w:tcPr>
          <w:p w14:paraId="5A4C8EE3" w14:textId="77777777" w:rsidR="00FE279F" w:rsidRPr="003028B5" w:rsidRDefault="00FE279F" w:rsidP="00FE279F">
            <w:pPr>
              <w:autoSpaceDE w:val="0"/>
              <w:autoSpaceDN w:val="0"/>
              <w:adjustRightInd w:val="0"/>
              <w:snapToGrid w:val="0"/>
              <w:spacing w:line="360" w:lineRule="auto"/>
              <w:jc w:val="left"/>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客服电话</w:t>
            </w:r>
          </w:p>
        </w:tc>
        <w:tc>
          <w:tcPr>
            <w:tcW w:w="2834" w:type="dxa"/>
            <w:tcBorders>
              <w:top w:val="single" w:sz="4" w:space="0" w:color="auto"/>
              <w:left w:val="single" w:sz="4" w:space="0" w:color="auto"/>
              <w:bottom w:val="single" w:sz="4" w:space="0" w:color="auto"/>
              <w:right w:val="single" w:sz="4" w:space="0" w:color="auto"/>
            </w:tcBorders>
          </w:tcPr>
          <w:p w14:paraId="46128084"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400-817-5666</w:t>
            </w:r>
          </w:p>
        </w:tc>
        <w:tc>
          <w:tcPr>
            <w:tcW w:w="850" w:type="dxa"/>
            <w:tcBorders>
              <w:top w:val="single" w:sz="4" w:space="0" w:color="auto"/>
              <w:left w:val="single" w:sz="4" w:space="0" w:color="auto"/>
              <w:bottom w:val="single" w:sz="4" w:space="0" w:color="auto"/>
              <w:right w:val="single" w:sz="4" w:space="0" w:color="auto"/>
            </w:tcBorders>
          </w:tcPr>
          <w:p w14:paraId="4ED930ED"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网址</w:t>
            </w:r>
          </w:p>
        </w:tc>
        <w:tc>
          <w:tcPr>
            <w:tcW w:w="3120" w:type="dxa"/>
            <w:tcBorders>
              <w:top w:val="single" w:sz="4" w:space="0" w:color="auto"/>
              <w:left w:val="single" w:sz="4" w:space="0" w:color="auto"/>
              <w:bottom w:val="single" w:sz="4" w:space="0" w:color="auto"/>
              <w:right w:val="single" w:sz="4" w:space="0" w:color="auto"/>
            </w:tcBorders>
          </w:tcPr>
          <w:p w14:paraId="7D36E04A"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www.amcfortune.com</w:t>
            </w:r>
          </w:p>
        </w:tc>
      </w:tr>
    </w:tbl>
    <w:p w14:paraId="7B59C598" w14:textId="77777777" w:rsidR="00FE279F" w:rsidRPr="003028B5" w:rsidRDefault="00FE279F" w:rsidP="00FE279F">
      <w:pPr>
        <w:numPr>
          <w:ilvl w:val="0"/>
          <w:numId w:val="12"/>
        </w:numPr>
        <w:autoSpaceDE w:val="0"/>
        <w:autoSpaceDN w:val="0"/>
        <w:adjustRightInd w:val="0"/>
        <w:spacing w:line="360" w:lineRule="auto"/>
        <w:rPr>
          <w:rFonts w:asciiTheme="minorEastAsia" w:eastAsiaTheme="minorEastAsia" w:hAnsiTheme="minorEastAsia" w:cs="仿宋"/>
          <w:sz w:val="24"/>
        </w:rPr>
      </w:pPr>
      <w:r w:rsidRPr="003028B5">
        <w:rPr>
          <w:rFonts w:asciiTheme="minorEastAsia" w:eastAsiaTheme="minorEastAsia" w:hAnsiTheme="minorEastAsia" w:cs="仿宋" w:hint="eastAsia"/>
          <w:sz w:val="24"/>
        </w:rPr>
        <w:t>东方财富证券股份有限公司</w:t>
      </w:r>
    </w:p>
    <w:tbl>
      <w:tblPr>
        <w:tblW w:w="86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268"/>
        <w:gridCol w:w="1134"/>
        <w:gridCol w:w="3402"/>
      </w:tblGrid>
      <w:tr w:rsidR="00FE279F" w:rsidRPr="003028B5" w14:paraId="3EA4F437" w14:textId="77777777" w:rsidTr="00FE279F">
        <w:tc>
          <w:tcPr>
            <w:tcW w:w="1843" w:type="dxa"/>
            <w:tcBorders>
              <w:top w:val="single" w:sz="4" w:space="0" w:color="auto"/>
              <w:left w:val="single" w:sz="4" w:space="0" w:color="auto"/>
              <w:bottom w:val="single" w:sz="4" w:space="0" w:color="auto"/>
              <w:right w:val="single" w:sz="4" w:space="0" w:color="auto"/>
            </w:tcBorders>
            <w:vAlign w:val="center"/>
          </w:tcPr>
          <w:p w14:paraId="3DFE62D6"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办公地址</w:t>
            </w:r>
          </w:p>
        </w:tc>
        <w:tc>
          <w:tcPr>
            <w:tcW w:w="6804" w:type="dxa"/>
            <w:gridSpan w:val="3"/>
            <w:tcBorders>
              <w:top w:val="single" w:sz="4" w:space="0" w:color="auto"/>
              <w:left w:val="single" w:sz="4" w:space="0" w:color="auto"/>
              <w:bottom w:val="single" w:sz="4" w:space="0" w:color="auto"/>
              <w:right w:val="single" w:sz="4" w:space="0" w:color="auto"/>
            </w:tcBorders>
            <w:vAlign w:val="center"/>
          </w:tcPr>
          <w:p w14:paraId="63228714"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上海市徐汇区宛平南路88号东方财富大厦</w:t>
            </w:r>
          </w:p>
        </w:tc>
      </w:tr>
      <w:tr w:rsidR="00FE279F" w:rsidRPr="003028B5" w14:paraId="6CF323B8" w14:textId="77777777" w:rsidTr="00FE279F">
        <w:tc>
          <w:tcPr>
            <w:tcW w:w="1843" w:type="dxa"/>
            <w:tcBorders>
              <w:top w:val="single" w:sz="4" w:space="0" w:color="auto"/>
              <w:left w:val="single" w:sz="4" w:space="0" w:color="auto"/>
              <w:bottom w:val="single" w:sz="4" w:space="0" w:color="auto"/>
              <w:right w:val="single" w:sz="4" w:space="0" w:color="auto"/>
            </w:tcBorders>
            <w:vAlign w:val="center"/>
          </w:tcPr>
          <w:p w14:paraId="5939B5AD"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联系人</w:t>
            </w:r>
          </w:p>
        </w:tc>
        <w:tc>
          <w:tcPr>
            <w:tcW w:w="6804" w:type="dxa"/>
            <w:gridSpan w:val="3"/>
            <w:tcBorders>
              <w:top w:val="single" w:sz="4" w:space="0" w:color="auto"/>
              <w:left w:val="single" w:sz="4" w:space="0" w:color="auto"/>
              <w:bottom w:val="single" w:sz="4" w:space="0" w:color="auto"/>
              <w:right w:val="single" w:sz="4" w:space="0" w:color="auto"/>
            </w:tcBorders>
            <w:vAlign w:val="center"/>
          </w:tcPr>
          <w:p w14:paraId="15FB8392" w14:textId="77777777" w:rsidR="00FE279F" w:rsidRPr="003028B5" w:rsidRDefault="00FE279F" w:rsidP="00FE279F">
            <w:pPr>
              <w:rPr>
                <w:rFonts w:asciiTheme="minorEastAsia" w:eastAsiaTheme="minorEastAsia" w:hAnsiTheme="minorEastAsia" w:cs="仿宋"/>
                <w:sz w:val="24"/>
              </w:rPr>
            </w:pPr>
            <w:r w:rsidRPr="003028B5">
              <w:rPr>
                <w:rFonts w:asciiTheme="minorEastAsia" w:eastAsiaTheme="minorEastAsia" w:hAnsiTheme="minorEastAsia" w:cs="仿宋" w:hint="eastAsia"/>
                <w:sz w:val="24"/>
              </w:rPr>
              <w:t>马茜玲</w:t>
            </w:r>
          </w:p>
        </w:tc>
      </w:tr>
      <w:tr w:rsidR="00FE279F" w:rsidRPr="003028B5" w14:paraId="0335A059" w14:textId="77777777" w:rsidTr="00FE279F">
        <w:tc>
          <w:tcPr>
            <w:tcW w:w="1843" w:type="dxa"/>
            <w:tcBorders>
              <w:top w:val="single" w:sz="4" w:space="0" w:color="auto"/>
              <w:left w:val="single" w:sz="4" w:space="0" w:color="auto"/>
              <w:bottom w:val="single" w:sz="4" w:space="0" w:color="auto"/>
              <w:right w:val="single" w:sz="4" w:space="0" w:color="auto"/>
            </w:tcBorders>
            <w:vAlign w:val="center"/>
          </w:tcPr>
          <w:p w14:paraId="46AE4613"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客服电话</w:t>
            </w:r>
          </w:p>
        </w:tc>
        <w:tc>
          <w:tcPr>
            <w:tcW w:w="2268" w:type="dxa"/>
            <w:tcBorders>
              <w:top w:val="single" w:sz="4" w:space="0" w:color="auto"/>
              <w:left w:val="single" w:sz="4" w:space="0" w:color="auto"/>
              <w:bottom w:val="single" w:sz="4" w:space="0" w:color="auto"/>
              <w:right w:val="single" w:sz="4" w:space="0" w:color="auto"/>
            </w:tcBorders>
            <w:vAlign w:val="center"/>
          </w:tcPr>
          <w:p w14:paraId="26C3270A"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bCs/>
                <w:kern w:val="0"/>
                <w:sz w:val="24"/>
              </w:rPr>
              <w:t>95537</w:t>
            </w:r>
          </w:p>
        </w:tc>
        <w:tc>
          <w:tcPr>
            <w:tcW w:w="1134" w:type="dxa"/>
            <w:tcBorders>
              <w:top w:val="single" w:sz="4" w:space="0" w:color="auto"/>
              <w:left w:val="single" w:sz="4" w:space="0" w:color="auto"/>
              <w:bottom w:val="single" w:sz="4" w:space="0" w:color="auto"/>
              <w:right w:val="single" w:sz="4" w:space="0" w:color="auto"/>
            </w:tcBorders>
            <w:vAlign w:val="center"/>
          </w:tcPr>
          <w:p w14:paraId="27BD5FD5"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hint="eastAsia"/>
                <w:bCs/>
                <w:kern w:val="0"/>
                <w:sz w:val="24"/>
              </w:rPr>
              <w:t>网址</w:t>
            </w:r>
          </w:p>
        </w:tc>
        <w:tc>
          <w:tcPr>
            <w:tcW w:w="3402" w:type="dxa"/>
            <w:tcBorders>
              <w:top w:val="single" w:sz="4" w:space="0" w:color="auto"/>
              <w:left w:val="single" w:sz="4" w:space="0" w:color="auto"/>
              <w:bottom w:val="single" w:sz="4" w:space="0" w:color="auto"/>
              <w:right w:val="single" w:sz="4" w:space="0" w:color="auto"/>
            </w:tcBorders>
            <w:vAlign w:val="center"/>
          </w:tcPr>
          <w:p w14:paraId="271246DF" w14:textId="77777777" w:rsidR="00FE279F" w:rsidRPr="003028B5" w:rsidRDefault="00FE279F" w:rsidP="00FE279F">
            <w:pPr>
              <w:autoSpaceDE w:val="0"/>
              <w:autoSpaceDN w:val="0"/>
              <w:adjustRightInd w:val="0"/>
              <w:snapToGrid w:val="0"/>
              <w:spacing w:line="360" w:lineRule="auto"/>
              <w:rPr>
                <w:rFonts w:asciiTheme="minorEastAsia" w:eastAsiaTheme="minorEastAsia" w:hAnsiTheme="minorEastAsia" w:cs="仿宋"/>
                <w:bCs/>
                <w:kern w:val="0"/>
                <w:sz w:val="24"/>
              </w:rPr>
            </w:pPr>
            <w:r w:rsidRPr="003028B5">
              <w:rPr>
                <w:rFonts w:asciiTheme="minorEastAsia" w:eastAsiaTheme="minorEastAsia" w:hAnsiTheme="minorEastAsia" w:cs="仿宋"/>
                <w:bCs/>
                <w:kern w:val="0"/>
                <w:sz w:val="24"/>
              </w:rPr>
              <w:t>www.eastmoney.com</w:t>
            </w:r>
          </w:p>
        </w:tc>
      </w:tr>
    </w:tbl>
    <w:p w14:paraId="6AF2E7C6" w14:textId="77777777" w:rsidR="007A67C4" w:rsidRPr="00FE279F" w:rsidRDefault="007A67C4" w:rsidP="00BC1A63">
      <w:pPr>
        <w:pStyle w:val="20"/>
        <w:ind w:firstLine="480"/>
        <w:jc w:val="left"/>
        <w:rPr>
          <w:rFonts w:cs="宋体"/>
          <w:color w:val="000000"/>
          <w:kern w:val="0"/>
          <w:sz w:val="24"/>
        </w:rPr>
      </w:pPr>
    </w:p>
    <w:p w14:paraId="6598C67F" w14:textId="77777777" w:rsidR="00BF4A4E" w:rsidRDefault="00BF4A4E" w:rsidP="005B61C7">
      <w:pPr>
        <w:pStyle w:val="20"/>
        <w:ind w:firstLine="480"/>
        <w:jc w:val="left"/>
        <w:rPr>
          <w:sz w:val="24"/>
        </w:rPr>
      </w:pPr>
      <w:r>
        <w:rPr>
          <w:rFonts w:hint="eastAsia"/>
          <w:sz w:val="24"/>
        </w:rPr>
        <w:t>基金管理人可根据《基金法》、《运作办法》、《销售办法》和基金合同等的</w:t>
      </w:r>
      <w:r>
        <w:rPr>
          <w:rFonts w:hint="eastAsia"/>
          <w:sz w:val="24"/>
        </w:rPr>
        <w:lastRenderedPageBreak/>
        <w:t>规定，选择其他符合要求的机构销售本基金，并在基金管理人网站公示。</w:t>
      </w:r>
    </w:p>
    <w:bookmarkEnd w:id="34"/>
    <w:bookmarkEnd w:id="35"/>
    <w:p w14:paraId="3103F165" w14:textId="77777777" w:rsidR="00BF4A4E" w:rsidRDefault="00BF4A4E">
      <w:pPr>
        <w:pStyle w:val="20"/>
        <w:adjustRightInd w:val="0"/>
        <w:snapToGrid w:val="0"/>
        <w:ind w:firstLine="480"/>
        <w:rPr>
          <w:sz w:val="24"/>
          <w:shd w:val="pct10" w:color="auto" w:fill="FFFFFF"/>
        </w:rPr>
      </w:pPr>
      <w:r>
        <w:rPr>
          <w:rFonts w:hint="eastAsia"/>
          <w:sz w:val="24"/>
        </w:rPr>
        <w:t>二、登记机构</w:t>
      </w:r>
    </w:p>
    <w:tbl>
      <w:tblPr>
        <w:tblW w:w="0" w:type="auto"/>
        <w:tblInd w:w="-34" w:type="dxa"/>
        <w:tblLayout w:type="fixed"/>
        <w:tblCellMar>
          <w:left w:w="0" w:type="dxa"/>
          <w:right w:w="0" w:type="dxa"/>
        </w:tblCellMar>
        <w:tblLook w:val="0000" w:firstRow="0" w:lastRow="0" w:firstColumn="0" w:lastColumn="0" w:noHBand="0" w:noVBand="0"/>
      </w:tblPr>
      <w:tblGrid>
        <w:gridCol w:w="1843"/>
        <w:gridCol w:w="2835"/>
        <w:gridCol w:w="993"/>
        <w:gridCol w:w="2885"/>
      </w:tblGrid>
      <w:tr w:rsidR="00BF4A4E" w14:paraId="27BD55FE" w14:textId="77777777" w:rsidTr="00A802BE">
        <w:trPr>
          <w:trHeight w:val="454"/>
        </w:trPr>
        <w:tc>
          <w:tcPr>
            <w:tcW w:w="18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F5081CF" w14:textId="77777777" w:rsidR="00BF4A4E" w:rsidRDefault="00BF4A4E">
            <w:pPr>
              <w:widowControl/>
              <w:spacing w:line="360" w:lineRule="auto"/>
              <w:jc w:val="left"/>
              <w:rPr>
                <w:rFonts w:ascii="宋体" w:hAnsi="宋体"/>
                <w:sz w:val="24"/>
              </w:rPr>
            </w:pPr>
            <w:r>
              <w:rPr>
                <w:rFonts w:ascii="宋体" w:hAnsi="宋体" w:hint="eastAsia"/>
                <w:sz w:val="24"/>
              </w:rPr>
              <w:t>名称</w:t>
            </w:r>
          </w:p>
        </w:tc>
        <w:tc>
          <w:tcPr>
            <w:tcW w:w="6713"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E90E566" w14:textId="77777777" w:rsidR="00BF4A4E" w:rsidRDefault="00BF4A4E">
            <w:pPr>
              <w:widowControl/>
              <w:spacing w:line="360" w:lineRule="auto"/>
              <w:jc w:val="left"/>
              <w:rPr>
                <w:rFonts w:ascii="宋体" w:hAnsi="宋体"/>
                <w:sz w:val="24"/>
              </w:rPr>
            </w:pPr>
            <w:r>
              <w:rPr>
                <w:rFonts w:ascii="宋体" w:hAnsi="宋体" w:hint="eastAsia"/>
                <w:sz w:val="24"/>
              </w:rPr>
              <w:t>银华基金管理股份有限公司</w:t>
            </w:r>
          </w:p>
        </w:tc>
      </w:tr>
      <w:tr w:rsidR="00BF4A4E" w14:paraId="44828CC0" w14:textId="77777777" w:rsidTr="00A802BE">
        <w:trPr>
          <w:trHeight w:val="454"/>
        </w:trPr>
        <w:tc>
          <w:tcPr>
            <w:tcW w:w="184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598C63E" w14:textId="77777777" w:rsidR="00BF4A4E" w:rsidRDefault="00BF4A4E">
            <w:pPr>
              <w:widowControl/>
              <w:spacing w:line="360" w:lineRule="auto"/>
              <w:jc w:val="left"/>
              <w:rPr>
                <w:rFonts w:ascii="宋体" w:hAnsi="宋体"/>
                <w:sz w:val="24"/>
              </w:rPr>
            </w:pPr>
            <w:r>
              <w:rPr>
                <w:rFonts w:ascii="宋体" w:hAnsi="宋体" w:hint="eastAsia"/>
                <w:sz w:val="24"/>
              </w:rPr>
              <w:t>住所</w:t>
            </w:r>
          </w:p>
        </w:tc>
        <w:tc>
          <w:tcPr>
            <w:tcW w:w="6713" w:type="dxa"/>
            <w:gridSpan w:val="3"/>
            <w:tcBorders>
              <w:top w:val="nil"/>
              <w:left w:val="nil"/>
              <w:bottom w:val="single" w:sz="8" w:space="0" w:color="auto"/>
              <w:right w:val="single" w:sz="8" w:space="0" w:color="auto"/>
            </w:tcBorders>
            <w:tcMar>
              <w:top w:w="0" w:type="dxa"/>
              <w:left w:w="108" w:type="dxa"/>
              <w:bottom w:w="0" w:type="dxa"/>
              <w:right w:w="108" w:type="dxa"/>
            </w:tcMar>
            <w:vAlign w:val="center"/>
          </w:tcPr>
          <w:p w14:paraId="70FA119C" w14:textId="77777777" w:rsidR="00BF4A4E" w:rsidRDefault="00BF4A4E">
            <w:pPr>
              <w:widowControl/>
              <w:spacing w:line="360" w:lineRule="auto"/>
              <w:jc w:val="left"/>
              <w:rPr>
                <w:rFonts w:ascii="宋体" w:hAnsi="宋体"/>
                <w:sz w:val="24"/>
              </w:rPr>
            </w:pPr>
            <w:r>
              <w:rPr>
                <w:rFonts w:ascii="宋体" w:hAnsi="宋体" w:hint="eastAsia"/>
                <w:sz w:val="24"/>
              </w:rPr>
              <w:t>深圳市福田区深南大道</w:t>
            </w:r>
            <w:r>
              <w:rPr>
                <w:rFonts w:ascii="宋体" w:hAnsi="宋体"/>
                <w:sz w:val="24"/>
              </w:rPr>
              <w:t>6008</w:t>
            </w:r>
            <w:r>
              <w:rPr>
                <w:rFonts w:ascii="宋体" w:hAnsi="宋体" w:hint="eastAsia"/>
                <w:sz w:val="24"/>
              </w:rPr>
              <w:t>号特区报业大厦</w:t>
            </w:r>
            <w:r>
              <w:rPr>
                <w:rFonts w:ascii="宋体" w:hAnsi="宋体"/>
                <w:sz w:val="24"/>
              </w:rPr>
              <w:t>19</w:t>
            </w:r>
            <w:r>
              <w:rPr>
                <w:rFonts w:ascii="宋体" w:hAnsi="宋体" w:hint="eastAsia"/>
                <w:sz w:val="24"/>
              </w:rPr>
              <w:t>层</w:t>
            </w:r>
          </w:p>
        </w:tc>
      </w:tr>
      <w:tr w:rsidR="00BF4A4E" w14:paraId="69B84DEE" w14:textId="77777777" w:rsidTr="00A802BE">
        <w:trPr>
          <w:trHeight w:val="454"/>
        </w:trPr>
        <w:tc>
          <w:tcPr>
            <w:tcW w:w="184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F5E7DFC" w14:textId="77777777" w:rsidR="00BF4A4E" w:rsidRDefault="00BF4A4E">
            <w:pPr>
              <w:widowControl/>
              <w:spacing w:line="360" w:lineRule="auto"/>
              <w:jc w:val="left"/>
              <w:rPr>
                <w:rFonts w:ascii="宋体" w:hAnsi="宋体"/>
                <w:sz w:val="24"/>
              </w:rPr>
            </w:pPr>
            <w:r>
              <w:rPr>
                <w:rFonts w:ascii="宋体" w:hAnsi="宋体" w:hint="eastAsia"/>
                <w:sz w:val="24"/>
              </w:rPr>
              <w:t>办公地址</w:t>
            </w:r>
          </w:p>
        </w:tc>
        <w:tc>
          <w:tcPr>
            <w:tcW w:w="6713" w:type="dxa"/>
            <w:gridSpan w:val="3"/>
            <w:tcBorders>
              <w:top w:val="nil"/>
              <w:left w:val="nil"/>
              <w:bottom w:val="single" w:sz="8" w:space="0" w:color="auto"/>
              <w:right w:val="single" w:sz="8" w:space="0" w:color="auto"/>
            </w:tcBorders>
            <w:tcMar>
              <w:top w:w="0" w:type="dxa"/>
              <w:left w:w="108" w:type="dxa"/>
              <w:bottom w:w="0" w:type="dxa"/>
              <w:right w:w="108" w:type="dxa"/>
            </w:tcMar>
            <w:vAlign w:val="center"/>
          </w:tcPr>
          <w:p w14:paraId="47141D64" w14:textId="77777777" w:rsidR="00BF4A4E" w:rsidRDefault="00BF4A4E">
            <w:pPr>
              <w:widowControl/>
              <w:spacing w:line="360" w:lineRule="auto"/>
              <w:jc w:val="left"/>
              <w:rPr>
                <w:rFonts w:ascii="宋体" w:hAnsi="宋体"/>
                <w:sz w:val="24"/>
              </w:rPr>
            </w:pPr>
            <w:r>
              <w:rPr>
                <w:rFonts w:ascii="宋体" w:hAnsi="宋体" w:hint="eastAsia"/>
                <w:sz w:val="24"/>
              </w:rPr>
              <w:t>北京市东城区东长安街1号东方广场东方经贸城C2办公楼15层</w:t>
            </w:r>
          </w:p>
        </w:tc>
      </w:tr>
      <w:tr w:rsidR="00BF4A4E" w14:paraId="31498768" w14:textId="77777777" w:rsidTr="00A802BE">
        <w:trPr>
          <w:trHeight w:val="454"/>
        </w:trPr>
        <w:tc>
          <w:tcPr>
            <w:tcW w:w="184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E92A409" w14:textId="77777777" w:rsidR="00BF4A4E" w:rsidRDefault="00BF4A4E">
            <w:pPr>
              <w:widowControl/>
              <w:spacing w:line="360" w:lineRule="auto"/>
              <w:jc w:val="left"/>
              <w:rPr>
                <w:rFonts w:ascii="宋体" w:hAnsi="宋体"/>
                <w:sz w:val="24"/>
              </w:rPr>
            </w:pPr>
            <w:r>
              <w:rPr>
                <w:rFonts w:ascii="宋体" w:hAnsi="宋体" w:hint="eastAsia"/>
                <w:sz w:val="24"/>
              </w:rPr>
              <w:t>法定代表人</w:t>
            </w:r>
          </w:p>
        </w:tc>
        <w:tc>
          <w:tcPr>
            <w:tcW w:w="2835" w:type="dxa"/>
            <w:tcBorders>
              <w:top w:val="nil"/>
              <w:left w:val="nil"/>
              <w:bottom w:val="single" w:sz="8" w:space="0" w:color="auto"/>
              <w:right w:val="single" w:sz="8" w:space="0" w:color="auto"/>
            </w:tcBorders>
            <w:tcMar>
              <w:top w:w="0" w:type="dxa"/>
              <w:left w:w="108" w:type="dxa"/>
              <w:bottom w:w="0" w:type="dxa"/>
              <w:right w:w="108" w:type="dxa"/>
            </w:tcMar>
            <w:vAlign w:val="center"/>
          </w:tcPr>
          <w:p w14:paraId="3AABE1C9" w14:textId="77777777" w:rsidR="00BF4A4E" w:rsidRDefault="00BF4A4E">
            <w:pPr>
              <w:widowControl/>
              <w:spacing w:line="360" w:lineRule="auto"/>
              <w:jc w:val="left"/>
              <w:rPr>
                <w:rFonts w:ascii="宋体" w:hAnsi="宋体"/>
                <w:sz w:val="24"/>
              </w:rPr>
            </w:pPr>
            <w:r>
              <w:rPr>
                <w:rFonts w:ascii="宋体" w:hAnsi="宋体" w:hint="eastAsia"/>
                <w:sz w:val="24"/>
              </w:rPr>
              <w:t>王珠林</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6F01A0CD" w14:textId="77777777" w:rsidR="00BF4A4E" w:rsidRDefault="00BF4A4E">
            <w:pPr>
              <w:widowControl/>
              <w:spacing w:line="360" w:lineRule="auto"/>
              <w:jc w:val="left"/>
              <w:rPr>
                <w:rFonts w:ascii="宋体" w:hAnsi="宋体"/>
                <w:sz w:val="24"/>
              </w:rPr>
            </w:pPr>
            <w:r>
              <w:rPr>
                <w:rFonts w:ascii="宋体" w:hAnsi="宋体" w:hint="eastAsia"/>
                <w:sz w:val="24"/>
              </w:rPr>
              <w:t>联系人</w:t>
            </w:r>
          </w:p>
        </w:tc>
        <w:tc>
          <w:tcPr>
            <w:tcW w:w="288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C82CEF0" w14:textId="77777777" w:rsidR="00BF4A4E" w:rsidRDefault="00BF4A4E">
            <w:pPr>
              <w:widowControl/>
              <w:spacing w:line="360" w:lineRule="auto"/>
              <w:jc w:val="left"/>
              <w:rPr>
                <w:rFonts w:ascii="宋体" w:hAnsi="宋体"/>
                <w:sz w:val="24"/>
              </w:rPr>
            </w:pPr>
            <w:r>
              <w:rPr>
                <w:rFonts w:ascii="宋体" w:hAnsi="宋体" w:hint="eastAsia"/>
                <w:sz w:val="24"/>
              </w:rPr>
              <w:t>伍军辉</w:t>
            </w:r>
          </w:p>
        </w:tc>
      </w:tr>
      <w:tr w:rsidR="00BF4A4E" w14:paraId="78AAD9DB" w14:textId="77777777" w:rsidTr="00A802BE">
        <w:trPr>
          <w:trHeight w:val="454"/>
        </w:trPr>
        <w:tc>
          <w:tcPr>
            <w:tcW w:w="184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CDC7FCA" w14:textId="77777777" w:rsidR="00BF4A4E" w:rsidRDefault="00BF4A4E">
            <w:pPr>
              <w:widowControl/>
              <w:spacing w:line="360" w:lineRule="auto"/>
              <w:jc w:val="left"/>
              <w:rPr>
                <w:rFonts w:ascii="宋体" w:hAnsi="宋体"/>
                <w:sz w:val="24"/>
              </w:rPr>
            </w:pPr>
            <w:r>
              <w:rPr>
                <w:rFonts w:ascii="宋体" w:hAnsi="宋体" w:hint="eastAsia"/>
                <w:sz w:val="24"/>
              </w:rPr>
              <w:t>电话</w:t>
            </w:r>
          </w:p>
        </w:tc>
        <w:tc>
          <w:tcPr>
            <w:tcW w:w="2835" w:type="dxa"/>
            <w:tcBorders>
              <w:top w:val="nil"/>
              <w:left w:val="nil"/>
              <w:bottom w:val="single" w:sz="8" w:space="0" w:color="auto"/>
              <w:right w:val="single" w:sz="8" w:space="0" w:color="auto"/>
            </w:tcBorders>
            <w:tcMar>
              <w:top w:w="0" w:type="dxa"/>
              <w:left w:w="108" w:type="dxa"/>
              <w:bottom w:w="0" w:type="dxa"/>
              <w:right w:w="108" w:type="dxa"/>
            </w:tcMar>
            <w:vAlign w:val="center"/>
          </w:tcPr>
          <w:p w14:paraId="621F4E82" w14:textId="77777777" w:rsidR="00BF4A4E" w:rsidRDefault="00BF4A4E">
            <w:pPr>
              <w:widowControl/>
              <w:spacing w:line="360" w:lineRule="auto"/>
              <w:jc w:val="left"/>
              <w:rPr>
                <w:rFonts w:ascii="宋体" w:hAnsi="宋体"/>
                <w:sz w:val="24"/>
              </w:rPr>
            </w:pPr>
            <w:r>
              <w:rPr>
                <w:rFonts w:ascii="宋体" w:hAnsi="宋体" w:hint="eastAsia"/>
                <w:sz w:val="24"/>
              </w:rPr>
              <w:t>010-</w:t>
            </w:r>
            <w:r>
              <w:rPr>
                <w:rFonts w:ascii="宋体" w:hAnsi="宋体"/>
                <w:sz w:val="24"/>
              </w:rPr>
              <w:t>58163000</w:t>
            </w:r>
          </w:p>
        </w:tc>
        <w:tc>
          <w:tcPr>
            <w:tcW w:w="993" w:type="dxa"/>
            <w:tcBorders>
              <w:top w:val="nil"/>
              <w:left w:val="nil"/>
              <w:bottom w:val="single" w:sz="8" w:space="0" w:color="auto"/>
              <w:right w:val="single" w:sz="8" w:space="0" w:color="auto"/>
            </w:tcBorders>
            <w:tcMar>
              <w:top w:w="0" w:type="dxa"/>
              <w:left w:w="108" w:type="dxa"/>
              <w:bottom w:w="0" w:type="dxa"/>
              <w:right w:w="108" w:type="dxa"/>
            </w:tcMar>
            <w:vAlign w:val="center"/>
          </w:tcPr>
          <w:p w14:paraId="6613C13E" w14:textId="77777777" w:rsidR="00BF4A4E" w:rsidRDefault="00BF4A4E">
            <w:pPr>
              <w:widowControl/>
              <w:spacing w:line="360" w:lineRule="auto"/>
              <w:jc w:val="left"/>
              <w:rPr>
                <w:rFonts w:ascii="宋体" w:hAnsi="宋体"/>
                <w:sz w:val="24"/>
              </w:rPr>
            </w:pPr>
            <w:r>
              <w:rPr>
                <w:rFonts w:ascii="宋体" w:hAnsi="宋体" w:hint="eastAsia"/>
                <w:sz w:val="24"/>
              </w:rPr>
              <w:t>传真</w:t>
            </w:r>
          </w:p>
        </w:tc>
        <w:tc>
          <w:tcPr>
            <w:tcW w:w="2885" w:type="dxa"/>
            <w:tcBorders>
              <w:top w:val="nil"/>
              <w:left w:val="nil"/>
              <w:bottom w:val="single" w:sz="8" w:space="0" w:color="auto"/>
              <w:right w:val="single" w:sz="8" w:space="0" w:color="auto"/>
            </w:tcBorders>
            <w:tcMar>
              <w:top w:w="0" w:type="dxa"/>
              <w:left w:w="108" w:type="dxa"/>
              <w:bottom w:w="0" w:type="dxa"/>
              <w:right w:w="108" w:type="dxa"/>
            </w:tcMar>
            <w:vAlign w:val="center"/>
          </w:tcPr>
          <w:p w14:paraId="1EE95692" w14:textId="77777777" w:rsidR="00BF4A4E" w:rsidRDefault="00BF4A4E">
            <w:pPr>
              <w:widowControl/>
              <w:spacing w:line="360" w:lineRule="auto"/>
              <w:jc w:val="left"/>
              <w:rPr>
                <w:rFonts w:ascii="宋体" w:hAnsi="宋体"/>
                <w:sz w:val="24"/>
              </w:rPr>
            </w:pPr>
            <w:r>
              <w:rPr>
                <w:rFonts w:ascii="宋体" w:hAnsi="宋体" w:hint="eastAsia"/>
                <w:sz w:val="24"/>
              </w:rPr>
              <w:t>010-</w:t>
            </w:r>
            <w:r>
              <w:rPr>
                <w:rFonts w:ascii="宋体" w:hAnsi="宋体"/>
                <w:sz w:val="24"/>
              </w:rPr>
              <w:t>58162824</w:t>
            </w:r>
          </w:p>
        </w:tc>
      </w:tr>
    </w:tbl>
    <w:p w14:paraId="4D7496F3" w14:textId="77777777" w:rsidR="00BF4A4E" w:rsidRDefault="00BF4A4E">
      <w:pPr>
        <w:pStyle w:val="20"/>
        <w:adjustRightInd w:val="0"/>
        <w:snapToGrid w:val="0"/>
        <w:spacing w:beforeLines="50" w:before="156"/>
        <w:ind w:firstLine="480"/>
        <w:rPr>
          <w:sz w:val="24"/>
        </w:rPr>
      </w:pPr>
      <w:r>
        <w:rPr>
          <w:rFonts w:hint="eastAsia"/>
          <w:sz w:val="24"/>
        </w:rPr>
        <w:t>三、出具法律意见书的律师事务所</w:t>
      </w:r>
    </w:p>
    <w:tbl>
      <w:tblPr>
        <w:tblW w:w="8506" w:type="dxa"/>
        <w:tblInd w:w="-34" w:type="dxa"/>
        <w:tblLayout w:type="fixed"/>
        <w:tblCellMar>
          <w:left w:w="0" w:type="dxa"/>
          <w:right w:w="0" w:type="dxa"/>
        </w:tblCellMar>
        <w:tblLook w:val="0000" w:firstRow="0" w:lastRow="0" w:firstColumn="0" w:lastColumn="0" w:noHBand="0" w:noVBand="0"/>
      </w:tblPr>
      <w:tblGrid>
        <w:gridCol w:w="1985"/>
        <w:gridCol w:w="2900"/>
        <w:gridCol w:w="1211"/>
        <w:gridCol w:w="2410"/>
      </w:tblGrid>
      <w:tr w:rsidR="005E15D4" w14:paraId="5A8FBAA0" w14:textId="77777777" w:rsidTr="005E15D4">
        <w:trPr>
          <w:trHeight w:hRule="exact" w:val="454"/>
        </w:trPr>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CCFD3CE" w14:textId="77777777" w:rsidR="005E15D4" w:rsidRDefault="005E15D4" w:rsidP="005E15D4">
            <w:pPr>
              <w:widowControl/>
              <w:spacing w:line="360" w:lineRule="auto"/>
              <w:jc w:val="left"/>
              <w:rPr>
                <w:rFonts w:ascii="宋体" w:hAnsi="宋体"/>
                <w:sz w:val="24"/>
              </w:rPr>
            </w:pPr>
            <w:r>
              <w:rPr>
                <w:rFonts w:ascii="宋体" w:hAnsi="宋体" w:hint="eastAsia"/>
                <w:sz w:val="24"/>
              </w:rPr>
              <w:t>名称</w:t>
            </w:r>
          </w:p>
        </w:tc>
        <w:tc>
          <w:tcPr>
            <w:tcW w:w="6521"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BFD2C0D" w14:textId="5F784659" w:rsidR="005E15D4" w:rsidRDefault="005E15D4" w:rsidP="005E15D4">
            <w:pPr>
              <w:widowControl/>
              <w:spacing w:line="360" w:lineRule="auto"/>
              <w:jc w:val="left"/>
              <w:rPr>
                <w:rFonts w:ascii="宋体" w:hAnsi="宋体"/>
                <w:sz w:val="24"/>
              </w:rPr>
            </w:pPr>
            <w:r>
              <w:rPr>
                <w:rFonts w:ascii="宋体" w:hAnsi="宋体" w:hint="eastAsia"/>
                <w:sz w:val="24"/>
              </w:rPr>
              <w:t>上海市通力律师事务所</w:t>
            </w:r>
          </w:p>
        </w:tc>
      </w:tr>
      <w:tr w:rsidR="005E15D4" w14:paraId="18EA60B3" w14:textId="77777777" w:rsidTr="005E15D4">
        <w:trPr>
          <w:trHeight w:hRule="exact" w:val="454"/>
        </w:trPr>
        <w:tc>
          <w:tcPr>
            <w:tcW w:w="198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6F7660A" w14:textId="77777777" w:rsidR="005E15D4" w:rsidRDefault="005E15D4" w:rsidP="005E15D4">
            <w:pPr>
              <w:widowControl/>
              <w:spacing w:line="360" w:lineRule="auto"/>
              <w:jc w:val="left"/>
              <w:rPr>
                <w:rFonts w:ascii="宋体" w:hAnsi="宋体"/>
                <w:sz w:val="24"/>
              </w:rPr>
            </w:pPr>
            <w:r>
              <w:rPr>
                <w:rFonts w:ascii="宋体" w:hAnsi="宋体" w:hint="eastAsia"/>
                <w:sz w:val="24"/>
              </w:rPr>
              <w:t>住所及办公地址</w:t>
            </w:r>
          </w:p>
        </w:tc>
        <w:tc>
          <w:tcPr>
            <w:tcW w:w="6521" w:type="dxa"/>
            <w:gridSpan w:val="3"/>
            <w:tcBorders>
              <w:top w:val="nil"/>
              <w:left w:val="nil"/>
              <w:bottom w:val="single" w:sz="8" w:space="0" w:color="auto"/>
              <w:right w:val="single" w:sz="8" w:space="0" w:color="auto"/>
            </w:tcBorders>
            <w:tcMar>
              <w:top w:w="0" w:type="dxa"/>
              <w:left w:w="108" w:type="dxa"/>
              <w:bottom w:w="0" w:type="dxa"/>
              <w:right w:w="108" w:type="dxa"/>
            </w:tcMar>
            <w:vAlign w:val="center"/>
          </w:tcPr>
          <w:p w14:paraId="6C126645" w14:textId="5A1903F7" w:rsidR="005E15D4" w:rsidRDefault="005E15D4" w:rsidP="005E15D4">
            <w:pPr>
              <w:widowControl/>
              <w:spacing w:line="360" w:lineRule="auto"/>
              <w:jc w:val="left"/>
              <w:rPr>
                <w:rFonts w:ascii="宋体" w:hAnsi="宋体"/>
                <w:sz w:val="24"/>
              </w:rPr>
            </w:pPr>
            <w:r>
              <w:rPr>
                <w:rFonts w:ascii="宋体" w:hAnsi="宋体" w:hint="eastAsia"/>
                <w:sz w:val="24"/>
              </w:rPr>
              <w:t>上海市银城中路68号时代金融中心19楼</w:t>
            </w:r>
          </w:p>
        </w:tc>
      </w:tr>
      <w:tr w:rsidR="005E15D4" w14:paraId="1410F31D" w14:textId="77777777" w:rsidTr="005E15D4">
        <w:trPr>
          <w:trHeight w:hRule="exact" w:val="454"/>
        </w:trPr>
        <w:tc>
          <w:tcPr>
            <w:tcW w:w="198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28C81C6" w14:textId="77777777" w:rsidR="005E15D4" w:rsidRDefault="005E15D4" w:rsidP="005E15D4">
            <w:pPr>
              <w:widowControl/>
              <w:spacing w:line="360" w:lineRule="auto"/>
              <w:jc w:val="left"/>
              <w:rPr>
                <w:rFonts w:ascii="宋体" w:hAnsi="宋体"/>
                <w:sz w:val="24"/>
              </w:rPr>
            </w:pPr>
            <w:r>
              <w:rPr>
                <w:rFonts w:ascii="宋体" w:hAnsi="宋体" w:hint="eastAsia"/>
                <w:sz w:val="24"/>
              </w:rPr>
              <w:t>负责人</w:t>
            </w:r>
          </w:p>
        </w:tc>
        <w:tc>
          <w:tcPr>
            <w:tcW w:w="2900" w:type="dxa"/>
            <w:tcBorders>
              <w:top w:val="nil"/>
              <w:left w:val="nil"/>
              <w:bottom w:val="single" w:sz="8" w:space="0" w:color="auto"/>
              <w:right w:val="single" w:sz="8" w:space="0" w:color="auto"/>
            </w:tcBorders>
            <w:tcMar>
              <w:top w:w="0" w:type="dxa"/>
              <w:left w:w="108" w:type="dxa"/>
              <w:bottom w:w="0" w:type="dxa"/>
              <w:right w:w="108" w:type="dxa"/>
            </w:tcMar>
            <w:vAlign w:val="center"/>
          </w:tcPr>
          <w:p w14:paraId="135B8577" w14:textId="0CBA0834" w:rsidR="005E15D4" w:rsidRDefault="005E15D4" w:rsidP="005E15D4">
            <w:pPr>
              <w:widowControl/>
              <w:spacing w:line="360" w:lineRule="auto"/>
              <w:jc w:val="left"/>
              <w:rPr>
                <w:rFonts w:ascii="宋体" w:hAnsi="宋体"/>
                <w:sz w:val="24"/>
              </w:rPr>
            </w:pPr>
            <w:r>
              <w:rPr>
                <w:rFonts w:ascii="宋体" w:hAnsi="宋体" w:hint="eastAsia"/>
                <w:sz w:val="24"/>
              </w:rPr>
              <w:t>韩炯</w:t>
            </w:r>
          </w:p>
        </w:tc>
        <w:tc>
          <w:tcPr>
            <w:tcW w:w="121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91BD583" w14:textId="77777777" w:rsidR="005E15D4" w:rsidRDefault="005E15D4" w:rsidP="005E15D4">
            <w:pPr>
              <w:widowControl/>
              <w:spacing w:line="360" w:lineRule="auto"/>
              <w:jc w:val="left"/>
              <w:rPr>
                <w:rFonts w:ascii="宋体" w:hAnsi="宋体"/>
                <w:sz w:val="24"/>
              </w:rPr>
            </w:pPr>
            <w:r>
              <w:rPr>
                <w:rFonts w:ascii="宋体" w:hAnsi="宋体" w:hint="eastAsia"/>
                <w:sz w:val="24"/>
              </w:rPr>
              <w:t>联系人</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BDACDAA" w14:textId="57D974D4" w:rsidR="005E15D4" w:rsidRDefault="005E15D4" w:rsidP="005E15D4">
            <w:pPr>
              <w:widowControl/>
              <w:spacing w:line="360" w:lineRule="auto"/>
              <w:jc w:val="left"/>
              <w:rPr>
                <w:rFonts w:ascii="宋体" w:hAnsi="宋体"/>
                <w:sz w:val="24"/>
              </w:rPr>
            </w:pPr>
            <w:r>
              <w:rPr>
                <w:rFonts w:ascii="宋体" w:hAnsi="宋体" w:hint="eastAsia"/>
                <w:sz w:val="24"/>
              </w:rPr>
              <w:t>陈颖华</w:t>
            </w:r>
          </w:p>
        </w:tc>
      </w:tr>
      <w:tr w:rsidR="005E15D4" w14:paraId="141AE7EF" w14:textId="77777777" w:rsidTr="005E15D4">
        <w:trPr>
          <w:trHeight w:hRule="exact" w:val="454"/>
        </w:trPr>
        <w:tc>
          <w:tcPr>
            <w:tcW w:w="198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94B58DA" w14:textId="77777777" w:rsidR="005E15D4" w:rsidRDefault="005E15D4" w:rsidP="005E15D4">
            <w:pPr>
              <w:widowControl/>
              <w:spacing w:line="360" w:lineRule="auto"/>
              <w:jc w:val="left"/>
              <w:rPr>
                <w:rFonts w:ascii="宋体" w:hAnsi="宋体"/>
                <w:sz w:val="24"/>
              </w:rPr>
            </w:pPr>
            <w:r>
              <w:rPr>
                <w:rFonts w:ascii="宋体" w:hAnsi="宋体" w:hint="eastAsia"/>
                <w:sz w:val="24"/>
              </w:rPr>
              <w:t>电话</w:t>
            </w:r>
          </w:p>
        </w:tc>
        <w:tc>
          <w:tcPr>
            <w:tcW w:w="2900" w:type="dxa"/>
            <w:tcBorders>
              <w:top w:val="nil"/>
              <w:left w:val="nil"/>
              <w:bottom w:val="single" w:sz="8" w:space="0" w:color="auto"/>
              <w:right w:val="single" w:sz="8" w:space="0" w:color="auto"/>
            </w:tcBorders>
            <w:tcMar>
              <w:top w:w="0" w:type="dxa"/>
              <w:left w:w="108" w:type="dxa"/>
              <w:bottom w:w="0" w:type="dxa"/>
              <w:right w:w="108" w:type="dxa"/>
            </w:tcMar>
            <w:vAlign w:val="center"/>
          </w:tcPr>
          <w:p w14:paraId="0A9CA1AE" w14:textId="4C63BCDC" w:rsidR="005E15D4" w:rsidRDefault="005E15D4" w:rsidP="005E15D4">
            <w:pPr>
              <w:widowControl/>
              <w:spacing w:line="360" w:lineRule="auto"/>
              <w:jc w:val="left"/>
              <w:rPr>
                <w:rFonts w:ascii="宋体" w:hAnsi="宋体"/>
                <w:sz w:val="24"/>
              </w:rPr>
            </w:pPr>
            <w:r>
              <w:rPr>
                <w:rFonts w:ascii="宋体" w:hAnsi="宋体" w:hint="eastAsia"/>
                <w:sz w:val="24"/>
              </w:rPr>
              <w:t>021-31358666</w:t>
            </w:r>
          </w:p>
        </w:tc>
        <w:tc>
          <w:tcPr>
            <w:tcW w:w="121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F334B4" w14:textId="77777777" w:rsidR="005E15D4" w:rsidRDefault="005E15D4" w:rsidP="005E15D4">
            <w:pPr>
              <w:widowControl/>
              <w:spacing w:line="360" w:lineRule="auto"/>
              <w:jc w:val="left"/>
              <w:rPr>
                <w:rFonts w:ascii="宋体" w:hAnsi="宋体"/>
                <w:sz w:val="24"/>
              </w:rPr>
            </w:pPr>
            <w:r>
              <w:rPr>
                <w:rFonts w:ascii="宋体" w:hAnsi="宋体" w:hint="eastAsia"/>
                <w:sz w:val="24"/>
              </w:rPr>
              <w:t>传真</w:t>
            </w:r>
          </w:p>
        </w:tc>
        <w:tc>
          <w:tcPr>
            <w:tcW w:w="2410" w:type="dxa"/>
            <w:tcBorders>
              <w:top w:val="nil"/>
              <w:left w:val="nil"/>
              <w:bottom w:val="single" w:sz="8" w:space="0" w:color="auto"/>
              <w:right w:val="single" w:sz="8" w:space="0" w:color="auto"/>
            </w:tcBorders>
            <w:tcMar>
              <w:top w:w="0" w:type="dxa"/>
              <w:left w:w="108" w:type="dxa"/>
              <w:bottom w:w="0" w:type="dxa"/>
              <w:right w:w="108" w:type="dxa"/>
            </w:tcMar>
            <w:vAlign w:val="center"/>
          </w:tcPr>
          <w:p w14:paraId="4E39A279" w14:textId="29682292" w:rsidR="005E15D4" w:rsidRDefault="005E15D4" w:rsidP="005E15D4">
            <w:pPr>
              <w:widowControl/>
              <w:spacing w:line="360" w:lineRule="auto"/>
              <w:jc w:val="left"/>
              <w:rPr>
                <w:rFonts w:ascii="宋体" w:hAnsi="宋体"/>
                <w:sz w:val="24"/>
              </w:rPr>
            </w:pPr>
            <w:r>
              <w:rPr>
                <w:rFonts w:ascii="宋体" w:hAnsi="宋体" w:hint="eastAsia"/>
                <w:sz w:val="24"/>
              </w:rPr>
              <w:t>021-31358600</w:t>
            </w:r>
          </w:p>
        </w:tc>
      </w:tr>
      <w:tr w:rsidR="00BF4A4E" w14:paraId="170299A8" w14:textId="77777777" w:rsidTr="005E15D4">
        <w:trPr>
          <w:trHeight w:hRule="exact" w:val="454"/>
        </w:trPr>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6740657B" w14:textId="77777777" w:rsidR="00BF4A4E" w:rsidRDefault="00BF4A4E">
            <w:pPr>
              <w:widowControl/>
              <w:spacing w:line="360" w:lineRule="auto"/>
              <w:jc w:val="left"/>
              <w:rPr>
                <w:rFonts w:ascii="宋体" w:hAnsi="宋体"/>
                <w:sz w:val="24"/>
              </w:rPr>
            </w:pPr>
            <w:r>
              <w:rPr>
                <w:rFonts w:ascii="宋体" w:hAnsi="宋体" w:hint="eastAsia"/>
                <w:sz w:val="24"/>
              </w:rPr>
              <w:t>经办律师</w:t>
            </w:r>
          </w:p>
        </w:tc>
        <w:tc>
          <w:tcPr>
            <w:tcW w:w="6521" w:type="dxa"/>
            <w:gridSpan w:val="3"/>
            <w:tcBorders>
              <w:top w:val="nil"/>
              <w:left w:val="nil"/>
              <w:bottom w:val="single" w:sz="8" w:space="0" w:color="auto"/>
              <w:right w:val="single" w:sz="8" w:space="0" w:color="auto"/>
            </w:tcBorders>
            <w:tcMar>
              <w:top w:w="0" w:type="dxa"/>
              <w:left w:w="108" w:type="dxa"/>
              <w:bottom w:w="0" w:type="dxa"/>
              <w:right w:w="108" w:type="dxa"/>
            </w:tcMar>
            <w:vAlign w:val="center"/>
          </w:tcPr>
          <w:p w14:paraId="2C821F96" w14:textId="57AB7BCD" w:rsidR="00BF4A4E" w:rsidRDefault="005E15D4">
            <w:pPr>
              <w:widowControl/>
              <w:spacing w:line="360" w:lineRule="auto"/>
              <w:jc w:val="left"/>
              <w:rPr>
                <w:rFonts w:ascii="宋体" w:hAnsi="宋体"/>
                <w:sz w:val="24"/>
              </w:rPr>
            </w:pPr>
            <w:r>
              <w:rPr>
                <w:rFonts w:ascii="宋体" w:hAnsi="宋体" w:hint="eastAsia"/>
                <w:sz w:val="24"/>
              </w:rPr>
              <w:t>陈颖华</w:t>
            </w:r>
            <w:r w:rsidR="00392CCF">
              <w:rPr>
                <w:rFonts w:ascii="宋体" w:hAnsi="宋体" w:hint="eastAsia"/>
                <w:sz w:val="24"/>
              </w:rPr>
              <w:t>、</w:t>
            </w:r>
            <w:r w:rsidR="00392CCF" w:rsidRPr="000463E9">
              <w:rPr>
                <w:rFonts w:ascii="宋体" w:hAnsi="宋体" w:hint="eastAsia"/>
                <w:sz w:val="24"/>
              </w:rPr>
              <w:t>袁莹娅</w:t>
            </w:r>
          </w:p>
        </w:tc>
      </w:tr>
    </w:tbl>
    <w:p w14:paraId="59CD858A" w14:textId="77777777" w:rsidR="00BF4A4E" w:rsidRDefault="009616FD" w:rsidP="009616FD">
      <w:pPr>
        <w:pStyle w:val="20"/>
        <w:adjustRightInd w:val="0"/>
        <w:snapToGrid w:val="0"/>
        <w:spacing w:beforeLines="50" w:before="156"/>
        <w:ind w:firstLineChars="0" w:firstLine="0"/>
        <w:rPr>
          <w:sz w:val="24"/>
        </w:rPr>
      </w:pPr>
      <w:r>
        <w:rPr>
          <w:sz w:val="24"/>
        </w:rPr>
        <w:t xml:space="preserve">    </w:t>
      </w:r>
      <w:r w:rsidR="00BF4A4E">
        <w:rPr>
          <w:rFonts w:hint="eastAsia"/>
          <w:sz w:val="24"/>
        </w:rPr>
        <w:t>四、审计基金财产的会计师事务所</w:t>
      </w:r>
    </w:p>
    <w:tbl>
      <w:tblPr>
        <w:tblW w:w="8556" w:type="dxa"/>
        <w:tblInd w:w="-34" w:type="dxa"/>
        <w:tblLayout w:type="fixed"/>
        <w:tblCellMar>
          <w:left w:w="0" w:type="dxa"/>
          <w:right w:w="0" w:type="dxa"/>
        </w:tblCellMar>
        <w:tblLook w:val="0000" w:firstRow="0" w:lastRow="0" w:firstColumn="0" w:lastColumn="0" w:noHBand="0" w:noVBand="0"/>
      </w:tblPr>
      <w:tblGrid>
        <w:gridCol w:w="1985"/>
        <w:gridCol w:w="2835"/>
        <w:gridCol w:w="1276"/>
        <w:gridCol w:w="2460"/>
      </w:tblGrid>
      <w:tr w:rsidR="00746CA1" w14:paraId="4EEF2288" w14:textId="77777777" w:rsidTr="00746CA1">
        <w:trPr>
          <w:trHeight w:hRule="exact" w:val="454"/>
        </w:trPr>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3C88F239" w14:textId="77777777" w:rsidR="00746CA1" w:rsidRDefault="00746CA1" w:rsidP="00746CA1">
            <w:pPr>
              <w:widowControl/>
              <w:spacing w:line="360" w:lineRule="auto"/>
              <w:jc w:val="left"/>
              <w:rPr>
                <w:rFonts w:ascii="宋体" w:hAnsi="宋体"/>
                <w:sz w:val="24"/>
              </w:rPr>
            </w:pPr>
            <w:r>
              <w:rPr>
                <w:rFonts w:ascii="宋体" w:hAnsi="宋体" w:hint="eastAsia"/>
                <w:sz w:val="24"/>
              </w:rPr>
              <w:t>名称</w:t>
            </w:r>
          </w:p>
        </w:tc>
        <w:tc>
          <w:tcPr>
            <w:tcW w:w="6571"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6CC14E8B" w14:textId="762D9727" w:rsidR="00746CA1" w:rsidRDefault="00EB1E45" w:rsidP="008E0256">
            <w:pPr>
              <w:widowControl/>
              <w:spacing w:line="360" w:lineRule="auto"/>
              <w:jc w:val="left"/>
              <w:rPr>
                <w:rFonts w:ascii="宋体" w:hAnsi="宋体"/>
                <w:sz w:val="24"/>
              </w:rPr>
            </w:pPr>
            <w:r w:rsidRPr="00EB1E45">
              <w:rPr>
                <w:rFonts w:ascii="宋体" w:hAnsi="宋体" w:hint="eastAsia"/>
                <w:sz w:val="24"/>
              </w:rPr>
              <w:t>容诚会计师事务所（特殊普通合伙）</w:t>
            </w:r>
          </w:p>
        </w:tc>
      </w:tr>
      <w:tr w:rsidR="00746CA1" w14:paraId="44CC96C7" w14:textId="77777777" w:rsidTr="00746CA1">
        <w:trPr>
          <w:trHeight w:hRule="exact" w:val="1062"/>
        </w:trPr>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70C94F2" w14:textId="77777777" w:rsidR="00746CA1" w:rsidRDefault="00746CA1" w:rsidP="00746CA1">
            <w:pPr>
              <w:widowControl/>
              <w:spacing w:line="360" w:lineRule="auto"/>
              <w:jc w:val="left"/>
              <w:rPr>
                <w:rFonts w:ascii="宋体" w:hAnsi="宋体"/>
                <w:sz w:val="24"/>
              </w:rPr>
            </w:pPr>
            <w:r>
              <w:rPr>
                <w:rFonts w:ascii="宋体" w:hAnsi="宋体" w:hint="eastAsia"/>
                <w:sz w:val="24"/>
              </w:rPr>
              <w:t>住所及办公地址</w:t>
            </w:r>
          </w:p>
        </w:tc>
        <w:tc>
          <w:tcPr>
            <w:tcW w:w="6571"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8BAE413" w14:textId="5C7E0D2E" w:rsidR="00746CA1" w:rsidRDefault="00EB1E45" w:rsidP="00746CA1">
            <w:pPr>
              <w:widowControl/>
              <w:spacing w:line="360" w:lineRule="auto"/>
              <w:jc w:val="left"/>
              <w:rPr>
                <w:rFonts w:ascii="宋体" w:hAnsi="宋体"/>
                <w:sz w:val="24"/>
              </w:rPr>
            </w:pPr>
            <w:bookmarkStart w:id="37" w:name="OLE_LINK25"/>
            <w:bookmarkStart w:id="38" w:name="OLE_LINK26"/>
            <w:r w:rsidRPr="00EB1E45">
              <w:rPr>
                <w:rFonts w:ascii="宋体" w:hAnsi="宋体" w:hint="eastAsia"/>
                <w:sz w:val="24"/>
              </w:rPr>
              <w:t>北京市西城区阜成门外大街22号1幢</w:t>
            </w:r>
            <w:r w:rsidR="00F166D5" w:rsidRPr="00F166D5">
              <w:rPr>
                <w:rFonts w:ascii="宋体" w:hAnsi="宋体" w:hint="eastAsia"/>
                <w:sz w:val="24"/>
              </w:rPr>
              <w:t>10层1001-1至1001-26</w:t>
            </w:r>
            <w:bookmarkEnd w:id="37"/>
            <w:bookmarkEnd w:id="38"/>
          </w:p>
        </w:tc>
      </w:tr>
      <w:tr w:rsidR="00746CA1" w14:paraId="088E92C7" w14:textId="77777777" w:rsidTr="00746CA1">
        <w:trPr>
          <w:trHeight w:hRule="exact" w:val="454"/>
        </w:trPr>
        <w:tc>
          <w:tcPr>
            <w:tcW w:w="198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7C11D04" w14:textId="067F6839" w:rsidR="00746CA1" w:rsidRDefault="008E0256" w:rsidP="00746CA1">
            <w:pPr>
              <w:widowControl/>
              <w:spacing w:line="360" w:lineRule="auto"/>
              <w:jc w:val="left"/>
              <w:rPr>
                <w:rFonts w:ascii="宋体" w:hAnsi="宋体" w:cs="宋体"/>
                <w:color w:val="000000"/>
                <w:kern w:val="0"/>
                <w:sz w:val="24"/>
                <w:szCs w:val="21"/>
              </w:rPr>
            </w:pPr>
            <w:r w:rsidRPr="008E0256">
              <w:rPr>
                <w:rFonts w:ascii="宋体" w:hAnsi="宋体" w:cs="宋体" w:hint="eastAsia"/>
                <w:color w:val="000000"/>
                <w:kern w:val="0"/>
                <w:sz w:val="24"/>
                <w:szCs w:val="21"/>
              </w:rPr>
              <w:t>执行事务合伙人</w:t>
            </w:r>
          </w:p>
        </w:tc>
        <w:tc>
          <w:tcPr>
            <w:tcW w:w="2835" w:type="dxa"/>
            <w:tcBorders>
              <w:top w:val="nil"/>
              <w:left w:val="nil"/>
              <w:bottom w:val="single" w:sz="8" w:space="0" w:color="auto"/>
              <w:right w:val="single" w:sz="8" w:space="0" w:color="auto"/>
            </w:tcBorders>
            <w:tcMar>
              <w:top w:w="0" w:type="dxa"/>
              <w:left w:w="108" w:type="dxa"/>
              <w:bottom w:w="0" w:type="dxa"/>
              <w:right w:w="108" w:type="dxa"/>
            </w:tcMar>
            <w:vAlign w:val="center"/>
          </w:tcPr>
          <w:p w14:paraId="468322A8" w14:textId="533DFBC1" w:rsidR="00746CA1" w:rsidRDefault="00EB1E45" w:rsidP="00746CA1">
            <w:pPr>
              <w:widowControl/>
              <w:spacing w:line="360" w:lineRule="auto"/>
              <w:jc w:val="left"/>
              <w:rPr>
                <w:rFonts w:ascii="宋体" w:hAnsi="宋体" w:cs="宋体"/>
                <w:color w:val="000000"/>
                <w:kern w:val="0"/>
                <w:sz w:val="24"/>
                <w:szCs w:val="21"/>
              </w:rPr>
            </w:pPr>
            <w:r w:rsidRPr="00EB1E45">
              <w:rPr>
                <w:rFonts w:ascii="宋体" w:hAnsi="宋体" w:cs="宋体" w:hint="eastAsia"/>
                <w:color w:val="000000"/>
                <w:kern w:val="0"/>
                <w:sz w:val="24"/>
                <w:szCs w:val="21"/>
              </w:rPr>
              <w:t>刘维、肖厚发</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FD558C8" w14:textId="77777777" w:rsidR="00746CA1" w:rsidRDefault="00746CA1" w:rsidP="00746CA1">
            <w:pPr>
              <w:widowControl/>
              <w:spacing w:line="360" w:lineRule="auto"/>
              <w:jc w:val="left"/>
              <w:rPr>
                <w:rFonts w:ascii="宋体" w:hAnsi="宋体" w:cs="宋体"/>
                <w:color w:val="000000"/>
                <w:kern w:val="0"/>
                <w:sz w:val="24"/>
                <w:szCs w:val="21"/>
              </w:rPr>
            </w:pPr>
            <w:r>
              <w:rPr>
                <w:rFonts w:ascii="宋体" w:hAnsi="宋体" w:cs="宋体" w:hint="eastAsia"/>
                <w:color w:val="000000"/>
                <w:kern w:val="0"/>
                <w:sz w:val="24"/>
                <w:szCs w:val="21"/>
              </w:rPr>
              <w:t>联系人</w:t>
            </w:r>
          </w:p>
        </w:tc>
        <w:tc>
          <w:tcPr>
            <w:tcW w:w="246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6BBAAA7" w14:textId="0BEFF87A" w:rsidR="00746CA1" w:rsidRDefault="00EB1E45" w:rsidP="00746CA1">
            <w:pPr>
              <w:widowControl/>
              <w:spacing w:line="360" w:lineRule="auto"/>
              <w:jc w:val="left"/>
              <w:rPr>
                <w:rFonts w:ascii="宋体" w:hAnsi="宋体" w:cs="宋体"/>
                <w:color w:val="000000"/>
                <w:kern w:val="0"/>
                <w:sz w:val="24"/>
                <w:szCs w:val="21"/>
              </w:rPr>
            </w:pPr>
            <w:r w:rsidRPr="00EB1E45">
              <w:rPr>
                <w:rFonts w:ascii="宋体" w:hAnsi="宋体" w:cs="宋体" w:hint="eastAsia"/>
                <w:color w:val="000000"/>
                <w:kern w:val="0"/>
                <w:sz w:val="24"/>
                <w:szCs w:val="21"/>
              </w:rPr>
              <w:t>陈玉珊</w:t>
            </w:r>
          </w:p>
        </w:tc>
      </w:tr>
      <w:tr w:rsidR="00746CA1" w14:paraId="1B38FD02" w14:textId="77777777" w:rsidTr="00746CA1">
        <w:trPr>
          <w:trHeight w:hRule="exact" w:val="454"/>
        </w:trPr>
        <w:tc>
          <w:tcPr>
            <w:tcW w:w="198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0A1820E" w14:textId="77777777" w:rsidR="00746CA1" w:rsidRDefault="00746CA1" w:rsidP="00746CA1">
            <w:pPr>
              <w:widowControl/>
              <w:spacing w:line="360" w:lineRule="auto"/>
              <w:jc w:val="left"/>
              <w:rPr>
                <w:rFonts w:ascii="宋体" w:hAnsi="宋体" w:cs="宋体"/>
                <w:color w:val="000000"/>
                <w:kern w:val="0"/>
                <w:sz w:val="24"/>
                <w:szCs w:val="21"/>
              </w:rPr>
            </w:pPr>
            <w:r>
              <w:rPr>
                <w:rFonts w:ascii="宋体" w:hAnsi="宋体" w:cs="宋体" w:hint="eastAsia"/>
                <w:color w:val="000000"/>
                <w:kern w:val="0"/>
                <w:sz w:val="24"/>
                <w:szCs w:val="21"/>
              </w:rPr>
              <w:t>电话</w:t>
            </w:r>
          </w:p>
        </w:tc>
        <w:tc>
          <w:tcPr>
            <w:tcW w:w="2835" w:type="dxa"/>
            <w:tcBorders>
              <w:top w:val="nil"/>
              <w:left w:val="nil"/>
              <w:bottom w:val="single" w:sz="8" w:space="0" w:color="auto"/>
              <w:right w:val="single" w:sz="8" w:space="0" w:color="auto"/>
            </w:tcBorders>
            <w:tcMar>
              <w:top w:w="0" w:type="dxa"/>
              <w:left w:w="108" w:type="dxa"/>
              <w:bottom w:w="0" w:type="dxa"/>
              <w:right w:w="108" w:type="dxa"/>
            </w:tcMar>
            <w:vAlign w:val="center"/>
          </w:tcPr>
          <w:p w14:paraId="2F0741E8" w14:textId="101C203D" w:rsidR="00746CA1" w:rsidRDefault="00EB1E45" w:rsidP="00746CA1">
            <w:pPr>
              <w:widowControl/>
              <w:spacing w:line="360" w:lineRule="auto"/>
              <w:jc w:val="left"/>
              <w:rPr>
                <w:rFonts w:ascii="宋体" w:hAnsi="宋体" w:cs="宋体"/>
                <w:color w:val="000000"/>
                <w:kern w:val="0"/>
                <w:sz w:val="24"/>
                <w:szCs w:val="21"/>
              </w:rPr>
            </w:pPr>
            <w:r w:rsidRPr="00EB1E45">
              <w:rPr>
                <w:rFonts w:ascii="宋体" w:hAnsi="宋体" w:cs="宋体"/>
                <w:color w:val="000000"/>
                <w:kern w:val="0"/>
                <w:sz w:val="24"/>
                <w:szCs w:val="21"/>
              </w:rPr>
              <w:t>010-66001391</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tcPr>
          <w:p w14:paraId="44782D8F" w14:textId="77777777" w:rsidR="00746CA1" w:rsidRDefault="00746CA1" w:rsidP="00746CA1">
            <w:pPr>
              <w:widowControl/>
              <w:spacing w:line="360" w:lineRule="auto"/>
              <w:jc w:val="left"/>
              <w:rPr>
                <w:rFonts w:ascii="宋体" w:hAnsi="宋体" w:cs="宋体"/>
                <w:color w:val="000000"/>
                <w:kern w:val="0"/>
                <w:sz w:val="24"/>
                <w:szCs w:val="21"/>
              </w:rPr>
            </w:pPr>
            <w:r>
              <w:rPr>
                <w:rFonts w:ascii="宋体" w:hAnsi="宋体" w:cs="宋体" w:hint="eastAsia"/>
                <w:color w:val="000000"/>
                <w:kern w:val="0"/>
                <w:sz w:val="24"/>
                <w:szCs w:val="21"/>
              </w:rPr>
              <w:t>传真</w:t>
            </w:r>
          </w:p>
        </w:tc>
        <w:tc>
          <w:tcPr>
            <w:tcW w:w="2460" w:type="dxa"/>
            <w:tcBorders>
              <w:top w:val="nil"/>
              <w:left w:val="nil"/>
              <w:bottom w:val="single" w:sz="8" w:space="0" w:color="auto"/>
              <w:right w:val="single" w:sz="8" w:space="0" w:color="auto"/>
            </w:tcBorders>
            <w:tcMar>
              <w:top w:w="0" w:type="dxa"/>
              <w:left w:w="108" w:type="dxa"/>
              <w:bottom w:w="0" w:type="dxa"/>
              <w:right w:w="108" w:type="dxa"/>
            </w:tcMar>
            <w:vAlign w:val="center"/>
          </w:tcPr>
          <w:p w14:paraId="51789D57" w14:textId="220D7551" w:rsidR="00746CA1" w:rsidRDefault="00EB1E45" w:rsidP="00746CA1">
            <w:pPr>
              <w:widowControl/>
              <w:spacing w:line="360" w:lineRule="auto"/>
              <w:jc w:val="left"/>
              <w:rPr>
                <w:rFonts w:ascii="宋体" w:hAnsi="宋体" w:cs="宋体"/>
                <w:color w:val="000000"/>
                <w:kern w:val="0"/>
                <w:sz w:val="24"/>
                <w:szCs w:val="21"/>
              </w:rPr>
            </w:pPr>
            <w:r w:rsidRPr="00EB1E45">
              <w:rPr>
                <w:rFonts w:ascii="宋体" w:hAnsi="宋体" w:cs="宋体"/>
                <w:color w:val="000000"/>
                <w:kern w:val="0"/>
                <w:sz w:val="24"/>
                <w:szCs w:val="21"/>
              </w:rPr>
              <w:t>010-66001392</w:t>
            </w:r>
          </w:p>
        </w:tc>
      </w:tr>
      <w:tr w:rsidR="00BF4A4E" w14:paraId="69DA26C9" w14:textId="77777777" w:rsidTr="00746CA1">
        <w:trPr>
          <w:trHeight w:hRule="exact" w:val="454"/>
        </w:trPr>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44EE681" w14:textId="77777777" w:rsidR="00BF4A4E" w:rsidRDefault="00BF4A4E">
            <w:pPr>
              <w:widowControl/>
              <w:spacing w:line="360" w:lineRule="auto"/>
              <w:jc w:val="left"/>
              <w:rPr>
                <w:rFonts w:ascii="宋体" w:hAnsi="宋体" w:cs="宋体"/>
                <w:color w:val="000000"/>
                <w:kern w:val="0"/>
                <w:sz w:val="24"/>
                <w:szCs w:val="21"/>
              </w:rPr>
            </w:pPr>
            <w:r>
              <w:rPr>
                <w:rFonts w:ascii="宋体" w:hAnsi="宋体" w:cs="宋体" w:hint="eastAsia"/>
                <w:color w:val="000000"/>
                <w:kern w:val="0"/>
                <w:sz w:val="24"/>
                <w:szCs w:val="21"/>
              </w:rPr>
              <w:t>经办注册会计师</w:t>
            </w:r>
          </w:p>
        </w:tc>
        <w:tc>
          <w:tcPr>
            <w:tcW w:w="6571" w:type="dxa"/>
            <w:gridSpan w:val="3"/>
            <w:tcBorders>
              <w:top w:val="nil"/>
              <w:left w:val="nil"/>
              <w:bottom w:val="single" w:sz="8" w:space="0" w:color="auto"/>
              <w:right w:val="single" w:sz="8" w:space="0" w:color="auto"/>
            </w:tcBorders>
            <w:tcMar>
              <w:top w:w="0" w:type="dxa"/>
              <w:left w:w="108" w:type="dxa"/>
              <w:bottom w:w="0" w:type="dxa"/>
              <w:right w:w="108" w:type="dxa"/>
            </w:tcMar>
            <w:vAlign w:val="center"/>
          </w:tcPr>
          <w:p w14:paraId="11EDC639" w14:textId="795A5DE5" w:rsidR="00BF4A4E" w:rsidRDefault="00EB1E45">
            <w:pPr>
              <w:widowControl/>
              <w:spacing w:line="360" w:lineRule="auto"/>
              <w:jc w:val="left"/>
              <w:rPr>
                <w:rFonts w:ascii="宋体" w:hAnsi="宋体" w:cs="宋体"/>
                <w:color w:val="000000"/>
                <w:kern w:val="0"/>
                <w:sz w:val="24"/>
                <w:szCs w:val="21"/>
              </w:rPr>
            </w:pPr>
            <w:r w:rsidRPr="00EB1E45">
              <w:rPr>
                <w:rFonts w:ascii="宋体" w:hAnsi="宋体" w:cs="宋体" w:hint="eastAsia"/>
                <w:color w:val="000000"/>
                <w:kern w:val="0"/>
                <w:sz w:val="24"/>
                <w:szCs w:val="21"/>
              </w:rPr>
              <w:t>陈熹、陈玉珊</w:t>
            </w:r>
          </w:p>
        </w:tc>
      </w:tr>
    </w:tbl>
    <w:p w14:paraId="710EE20E" w14:textId="77777777" w:rsidR="00BF4A4E" w:rsidRDefault="00BF4A4E">
      <w:pPr>
        <w:pStyle w:val="1"/>
        <w:adjustRightInd w:val="0"/>
        <w:snapToGrid w:val="0"/>
        <w:spacing w:before="0" w:after="0" w:line="360" w:lineRule="auto"/>
        <w:jc w:val="center"/>
        <w:rPr>
          <w:rFonts w:ascii="宋体" w:hAnsi="宋体"/>
        </w:rPr>
      </w:pPr>
      <w:r>
        <w:rPr>
          <w:rFonts w:ascii="宋体" w:hAnsi="宋体"/>
        </w:rPr>
        <w:br w:type="page"/>
      </w:r>
      <w:bookmarkStart w:id="39" w:name="_Toc103003348"/>
      <w:r>
        <w:rPr>
          <w:rFonts w:ascii="宋体" w:hAnsi="宋体"/>
        </w:rPr>
        <w:lastRenderedPageBreak/>
        <w:t>第</w:t>
      </w:r>
      <w:r>
        <w:rPr>
          <w:rFonts w:ascii="宋体" w:hAnsi="宋体" w:hint="eastAsia"/>
        </w:rPr>
        <w:t>六</w:t>
      </w:r>
      <w:r>
        <w:rPr>
          <w:rFonts w:ascii="宋体" w:hAnsi="宋体"/>
        </w:rPr>
        <w:t>部分</w:t>
      </w:r>
      <w:r>
        <w:rPr>
          <w:rFonts w:ascii="宋体" w:hAnsi="宋体" w:hint="eastAsia"/>
        </w:rPr>
        <w:t xml:space="preserve">  基金的募集</w:t>
      </w:r>
      <w:bookmarkEnd w:id="39"/>
    </w:p>
    <w:p w14:paraId="630328A6" w14:textId="77777777" w:rsidR="00BF4A4E" w:rsidRDefault="00BF4A4E">
      <w:pPr>
        <w:spacing w:line="360" w:lineRule="auto"/>
        <w:rPr>
          <w:rFonts w:ascii="宋体" w:hAnsi="宋体"/>
        </w:rPr>
      </w:pPr>
    </w:p>
    <w:p w14:paraId="0B3B41FF" w14:textId="77777777" w:rsidR="00BF4A4E" w:rsidRDefault="00BF4A4E">
      <w:pPr>
        <w:pStyle w:val="20"/>
        <w:adjustRightInd w:val="0"/>
        <w:snapToGrid w:val="0"/>
        <w:ind w:firstLine="480"/>
        <w:rPr>
          <w:rFonts w:cs="宋体"/>
          <w:sz w:val="24"/>
        </w:rPr>
      </w:pPr>
      <w:r>
        <w:rPr>
          <w:rFonts w:cs="宋体" w:hint="eastAsia"/>
          <w:sz w:val="24"/>
        </w:rPr>
        <w:t>一、基金募集的依据</w:t>
      </w:r>
    </w:p>
    <w:p w14:paraId="7B5F975E" w14:textId="2FAA3A32" w:rsidR="00BF4A4E" w:rsidRDefault="00BF4A4E">
      <w:pPr>
        <w:pStyle w:val="20"/>
        <w:adjustRightInd w:val="0"/>
        <w:snapToGrid w:val="0"/>
        <w:ind w:firstLine="480"/>
        <w:rPr>
          <w:rFonts w:cs="宋体"/>
          <w:sz w:val="24"/>
        </w:rPr>
      </w:pPr>
      <w:r>
        <w:rPr>
          <w:rFonts w:cs="宋体" w:hint="eastAsia"/>
          <w:sz w:val="24"/>
        </w:rPr>
        <w:t>本基金由基金管理人依照《基金法》、《运作办法》、《销售办法》、《信息披露办法》、基金合同及其他有关规定，经中国证监会</w:t>
      </w:r>
      <w:r w:rsidR="005D2B88">
        <w:rPr>
          <w:rFonts w:cs="宋体" w:hint="eastAsia"/>
          <w:sz w:val="24"/>
        </w:rPr>
        <w:t>20</w:t>
      </w:r>
      <w:r w:rsidR="005D2B88">
        <w:rPr>
          <w:rFonts w:cs="宋体"/>
          <w:sz w:val="24"/>
        </w:rPr>
        <w:t>2</w:t>
      </w:r>
      <w:r w:rsidR="00BF5351">
        <w:rPr>
          <w:rFonts w:cs="宋体"/>
          <w:sz w:val="24"/>
        </w:rPr>
        <w:t>5</w:t>
      </w:r>
      <w:r w:rsidR="00034B8A">
        <w:rPr>
          <w:rFonts w:cs="宋体" w:hint="eastAsia"/>
          <w:sz w:val="24"/>
        </w:rPr>
        <w:t>年</w:t>
      </w:r>
      <w:r w:rsidR="00BF5351">
        <w:rPr>
          <w:rFonts w:cs="宋体"/>
          <w:sz w:val="24"/>
        </w:rPr>
        <w:t>7</w:t>
      </w:r>
      <w:r>
        <w:rPr>
          <w:rFonts w:cs="宋体" w:hint="eastAsia"/>
          <w:sz w:val="24"/>
        </w:rPr>
        <w:t>月</w:t>
      </w:r>
      <w:r w:rsidR="00BF5351">
        <w:rPr>
          <w:rFonts w:cs="宋体"/>
          <w:sz w:val="24"/>
        </w:rPr>
        <w:t>29</w:t>
      </w:r>
      <w:r>
        <w:rPr>
          <w:rFonts w:cs="宋体" w:hint="eastAsia"/>
          <w:sz w:val="24"/>
        </w:rPr>
        <w:t>日证监许可【</w:t>
      </w:r>
      <w:r w:rsidR="005D2B88">
        <w:rPr>
          <w:rFonts w:cs="宋体" w:hint="eastAsia"/>
          <w:sz w:val="24"/>
        </w:rPr>
        <w:t>20</w:t>
      </w:r>
      <w:r w:rsidR="005D2B88">
        <w:rPr>
          <w:rFonts w:cs="宋体"/>
          <w:sz w:val="24"/>
        </w:rPr>
        <w:t>2</w:t>
      </w:r>
      <w:r w:rsidR="00BF5351">
        <w:rPr>
          <w:rFonts w:cs="宋体"/>
          <w:sz w:val="24"/>
        </w:rPr>
        <w:t>5</w:t>
      </w:r>
      <w:r>
        <w:rPr>
          <w:rFonts w:cs="宋体" w:hint="eastAsia"/>
          <w:sz w:val="24"/>
        </w:rPr>
        <w:t>】</w:t>
      </w:r>
      <w:r w:rsidR="00BF5351">
        <w:rPr>
          <w:rFonts w:cs="宋体"/>
          <w:sz w:val="24"/>
        </w:rPr>
        <w:t>1607</w:t>
      </w:r>
      <w:r>
        <w:rPr>
          <w:rFonts w:cs="宋体" w:hint="eastAsia"/>
          <w:sz w:val="24"/>
        </w:rPr>
        <w:t>号文准予募集注册。</w:t>
      </w:r>
    </w:p>
    <w:p w14:paraId="1D3EF925" w14:textId="77777777" w:rsidR="00BF4A4E" w:rsidRDefault="00BF4A4E">
      <w:pPr>
        <w:pStyle w:val="20"/>
        <w:adjustRightInd w:val="0"/>
        <w:snapToGrid w:val="0"/>
        <w:ind w:firstLine="480"/>
        <w:rPr>
          <w:rFonts w:cs="宋体"/>
          <w:sz w:val="24"/>
        </w:rPr>
      </w:pPr>
      <w:r>
        <w:rPr>
          <w:rFonts w:cs="宋体" w:hint="eastAsia"/>
          <w:sz w:val="24"/>
        </w:rPr>
        <w:t>二、基金类别</w:t>
      </w:r>
    </w:p>
    <w:p w14:paraId="13E8CDFF" w14:textId="77777777" w:rsidR="00BF4A4E" w:rsidRDefault="00BF4A4E">
      <w:pPr>
        <w:pStyle w:val="20"/>
        <w:adjustRightInd w:val="0"/>
        <w:snapToGrid w:val="0"/>
        <w:ind w:firstLine="480"/>
        <w:rPr>
          <w:rFonts w:cs="宋体"/>
          <w:sz w:val="24"/>
        </w:rPr>
      </w:pPr>
      <w:r>
        <w:rPr>
          <w:rFonts w:cs="宋体" w:hint="eastAsia"/>
          <w:sz w:val="24"/>
        </w:rPr>
        <w:t>ETF联接基金</w:t>
      </w:r>
    </w:p>
    <w:p w14:paraId="65336309" w14:textId="77777777" w:rsidR="00BF4A4E" w:rsidRDefault="00BF4A4E">
      <w:pPr>
        <w:pStyle w:val="20"/>
        <w:adjustRightInd w:val="0"/>
        <w:snapToGrid w:val="0"/>
        <w:ind w:firstLine="480"/>
        <w:rPr>
          <w:rFonts w:cs="宋体"/>
          <w:sz w:val="24"/>
        </w:rPr>
      </w:pPr>
      <w:r>
        <w:rPr>
          <w:rFonts w:cs="宋体" w:hint="eastAsia"/>
          <w:sz w:val="24"/>
        </w:rPr>
        <w:t>三、基金的运作方式</w:t>
      </w:r>
    </w:p>
    <w:p w14:paraId="7F6B4155" w14:textId="77777777" w:rsidR="00BF4A4E" w:rsidRDefault="00BF4A4E">
      <w:pPr>
        <w:pStyle w:val="20"/>
        <w:adjustRightInd w:val="0"/>
        <w:snapToGrid w:val="0"/>
        <w:ind w:firstLine="480"/>
        <w:rPr>
          <w:rFonts w:cs="宋体"/>
          <w:sz w:val="24"/>
        </w:rPr>
      </w:pPr>
      <w:r>
        <w:rPr>
          <w:rFonts w:cs="宋体" w:hint="eastAsia"/>
          <w:sz w:val="24"/>
        </w:rPr>
        <w:t>契约型开放式</w:t>
      </w:r>
    </w:p>
    <w:p w14:paraId="50B65DC1" w14:textId="77777777" w:rsidR="00BF4A4E" w:rsidRDefault="00BF4A4E">
      <w:pPr>
        <w:pStyle w:val="20"/>
        <w:adjustRightInd w:val="0"/>
        <w:snapToGrid w:val="0"/>
        <w:ind w:firstLine="480"/>
        <w:rPr>
          <w:rFonts w:cs="宋体"/>
          <w:sz w:val="24"/>
        </w:rPr>
      </w:pPr>
      <w:r>
        <w:rPr>
          <w:rFonts w:cs="宋体" w:hint="eastAsia"/>
          <w:sz w:val="24"/>
        </w:rPr>
        <w:t>四、基金份额发售面值和认购价格</w:t>
      </w:r>
    </w:p>
    <w:p w14:paraId="7F3782F6" w14:textId="77777777" w:rsidR="00BF4A4E" w:rsidRDefault="00BF4A4E">
      <w:pPr>
        <w:pStyle w:val="20"/>
        <w:adjustRightInd w:val="0"/>
        <w:snapToGrid w:val="0"/>
        <w:ind w:firstLine="480"/>
        <w:rPr>
          <w:rFonts w:cs="宋体"/>
          <w:bCs/>
          <w:sz w:val="24"/>
        </w:rPr>
      </w:pPr>
      <w:r>
        <w:rPr>
          <w:rFonts w:cs="宋体" w:hint="eastAsia"/>
          <w:bCs/>
          <w:sz w:val="24"/>
        </w:rPr>
        <w:t>本基金</w:t>
      </w:r>
      <w:r w:rsidR="002135F8" w:rsidRPr="002135F8">
        <w:rPr>
          <w:rFonts w:cs="宋体" w:hint="eastAsia"/>
          <w:bCs/>
          <w:sz w:val="24"/>
        </w:rPr>
        <w:t>基金份额</w:t>
      </w:r>
      <w:r>
        <w:rPr>
          <w:rFonts w:cs="宋体" w:hint="eastAsia"/>
          <w:bCs/>
          <w:sz w:val="24"/>
        </w:rPr>
        <w:t>发售面值为人民币1.00元。</w:t>
      </w:r>
    </w:p>
    <w:p w14:paraId="0FA80D02" w14:textId="77777777" w:rsidR="00BF4A4E" w:rsidRDefault="00BF4A4E">
      <w:pPr>
        <w:pStyle w:val="20"/>
        <w:adjustRightInd w:val="0"/>
        <w:snapToGrid w:val="0"/>
        <w:ind w:firstLine="480"/>
        <w:rPr>
          <w:rFonts w:cs="宋体"/>
          <w:bCs/>
          <w:sz w:val="24"/>
        </w:rPr>
      </w:pPr>
      <w:r>
        <w:rPr>
          <w:rFonts w:cs="宋体" w:hint="eastAsia"/>
          <w:bCs/>
          <w:sz w:val="24"/>
        </w:rPr>
        <w:t>本基金认购价格为人民币1.00元/份。</w:t>
      </w:r>
    </w:p>
    <w:p w14:paraId="3D07C019" w14:textId="77777777" w:rsidR="00BF4A4E" w:rsidRDefault="00BF4A4E">
      <w:pPr>
        <w:pStyle w:val="20"/>
        <w:adjustRightInd w:val="0"/>
        <w:snapToGrid w:val="0"/>
        <w:ind w:firstLine="480"/>
        <w:rPr>
          <w:rFonts w:cs="宋体"/>
          <w:sz w:val="24"/>
        </w:rPr>
      </w:pPr>
      <w:r>
        <w:rPr>
          <w:rFonts w:cs="宋体" w:hint="eastAsia"/>
          <w:sz w:val="24"/>
        </w:rPr>
        <w:t>五、基金份额类别</w:t>
      </w:r>
    </w:p>
    <w:p w14:paraId="6D6145A9" w14:textId="5B48DFE4" w:rsidR="00294C7F" w:rsidRPr="00294C7F" w:rsidRDefault="00294C7F" w:rsidP="00294C7F">
      <w:pPr>
        <w:pStyle w:val="20"/>
        <w:adjustRightInd w:val="0"/>
        <w:snapToGrid w:val="0"/>
        <w:ind w:firstLine="480"/>
        <w:rPr>
          <w:bCs/>
          <w:sz w:val="24"/>
        </w:rPr>
      </w:pPr>
      <w:r w:rsidRPr="00294C7F">
        <w:rPr>
          <w:rFonts w:hint="eastAsia"/>
          <w:bCs/>
          <w:sz w:val="24"/>
        </w:rPr>
        <w:t>本基金将基金份额分为A类</w:t>
      </w:r>
      <w:r w:rsidR="00AB0699">
        <w:rPr>
          <w:rFonts w:hint="eastAsia"/>
          <w:bCs/>
          <w:sz w:val="24"/>
        </w:rPr>
        <w:t>、</w:t>
      </w:r>
      <w:r w:rsidRPr="00294C7F">
        <w:rPr>
          <w:rFonts w:hint="eastAsia"/>
          <w:bCs/>
          <w:sz w:val="24"/>
        </w:rPr>
        <w:t>C类</w:t>
      </w:r>
      <w:r w:rsidR="00C25ADA">
        <w:rPr>
          <w:rFonts w:hint="eastAsia"/>
          <w:bCs/>
          <w:sz w:val="24"/>
        </w:rPr>
        <w:t>两</w:t>
      </w:r>
      <w:r w:rsidR="00D17671">
        <w:rPr>
          <w:rFonts w:hint="eastAsia"/>
          <w:bCs/>
          <w:sz w:val="24"/>
        </w:rPr>
        <w:t>类</w:t>
      </w:r>
      <w:r w:rsidRPr="00294C7F">
        <w:rPr>
          <w:rFonts w:hint="eastAsia"/>
          <w:bCs/>
          <w:sz w:val="24"/>
        </w:rPr>
        <w:t>不同的类别。在投资人认购、申购基金份额时收取认购、申购费用而不从本类别基金资产中计提销售服务费的，称为A类基金份额；在投资人认购、申购基金份额时不收取认购、申购费用，而是从本类别基金资产中计提销售服务费的，称为C类基金份额。</w:t>
      </w:r>
    </w:p>
    <w:p w14:paraId="47BA68A5" w14:textId="4C24673F" w:rsidR="00294C7F" w:rsidRPr="00294C7F" w:rsidRDefault="00294C7F" w:rsidP="00294C7F">
      <w:pPr>
        <w:pStyle w:val="20"/>
        <w:adjustRightInd w:val="0"/>
        <w:snapToGrid w:val="0"/>
        <w:ind w:firstLine="480"/>
        <w:rPr>
          <w:bCs/>
          <w:sz w:val="24"/>
        </w:rPr>
      </w:pPr>
      <w:r w:rsidRPr="00294C7F">
        <w:rPr>
          <w:rFonts w:hint="eastAsia"/>
          <w:bCs/>
          <w:sz w:val="24"/>
        </w:rPr>
        <w:t>本基金A类、C类基金份额分别设置代码。由于基金费用的不同，本基金</w:t>
      </w:r>
      <w:r w:rsidR="005D4F3B">
        <w:rPr>
          <w:rFonts w:hint="eastAsia"/>
          <w:bCs/>
          <w:sz w:val="24"/>
        </w:rPr>
        <w:t>各</w:t>
      </w:r>
      <w:r w:rsidRPr="00294C7F">
        <w:rPr>
          <w:rFonts w:hint="eastAsia"/>
          <w:bCs/>
          <w:sz w:val="24"/>
        </w:rPr>
        <w:t>类基金份额将分别计算和公告基金份额净值。</w:t>
      </w:r>
    </w:p>
    <w:p w14:paraId="554D4C58" w14:textId="7E7A0BE8" w:rsidR="00294C7F" w:rsidRPr="00294C7F" w:rsidRDefault="00CA3B08" w:rsidP="00294C7F">
      <w:pPr>
        <w:pStyle w:val="20"/>
        <w:adjustRightInd w:val="0"/>
        <w:snapToGrid w:val="0"/>
        <w:ind w:firstLine="480"/>
        <w:rPr>
          <w:bCs/>
          <w:sz w:val="24"/>
        </w:rPr>
      </w:pPr>
      <w:r>
        <w:rPr>
          <w:rFonts w:hint="eastAsia"/>
          <w:bCs/>
          <w:sz w:val="24"/>
        </w:rPr>
        <w:t>根据基金销售情况，在</w:t>
      </w:r>
      <w:r w:rsidR="00D40520">
        <w:rPr>
          <w:rFonts w:hint="eastAsia"/>
          <w:bCs/>
          <w:sz w:val="24"/>
        </w:rPr>
        <w:t>不违反</w:t>
      </w:r>
      <w:r>
        <w:rPr>
          <w:rFonts w:hint="eastAsia"/>
          <w:bCs/>
          <w:sz w:val="24"/>
        </w:rPr>
        <w:t>法律法规规定和基金合同约定且</w:t>
      </w:r>
      <w:r w:rsidR="005D4F3B">
        <w:rPr>
          <w:rFonts w:hint="eastAsia"/>
          <w:bCs/>
          <w:sz w:val="24"/>
        </w:rPr>
        <w:t>对</w:t>
      </w:r>
      <w:r>
        <w:rPr>
          <w:rFonts w:hint="eastAsia"/>
          <w:bCs/>
          <w:sz w:val="24"/>
        </w:rPr>
        <w:t>基金份额持有人</w:t>
      </w:r>
      <w:r w:rsidR="005D4F3B">
        <w:rPr>
          <w:rFonts w:hint="eastAsia"/>
          <w:bCs/>
          <w:sz w:val="24"/>
        </w:rPr>
        <w:t>利益无实质性不利影响</w:t>
      </w:r>
      <w:r>
        <w:rPr>
          <w:rFonts w:hint="eastAsia"/>
          <w:bCs/>
          <w:sz w:val="24"/>
        </w:rPr>
        <w:t>的情况下，基金管理人在履行适当程序后可以增加新的基金份额类别</w:t>
      </w:r>
      <w:r w:rsidR="00D40520">
        <w:rPr>
          <w:rFonts w:hint="eastAsia"/>
          <w:bCs/>
          <w:sz w:val="24"/>
        </w:rPr>
        <w:t>、</w:t>
      </w:r>
      <w:r>
        <w:rPr>
          <w:rFonts w:hint="eastAsia"/>
          <w:bCs/>
          <w:sz w:val="24"/>
        </w:rPr>
        <w:t>变更现有基金份额类别的申购费率、</w:t>
      </w:r>
      <w:r w:rsidR="005A6103" w:rsidRPr="00E71261">
        <w:rPr>
          <w:rFonts w:hint="eastAsia"/>
          <w:bCs/>
          <w:sz w:val="24"/>
        </w:rPr>
        <w:t>调低赎回费率、</w:t>
      </w:r>
      <w:r>
        <w:rPr>
          <w:rFonts w:hint="eastAsia"/>
          <w:bCs/>
          <w:sz w:val="24"/>
        </w:rPr>
        <w:t>调低销售服务费率、变更收费方式、停止现有基金份额类别的销售等，基金管理人在调整实施前</w:t>
      </w:r>
      <w:r w:rsidR="005D4F3B" w:rsidRPr="005D4F3B">
        <w:rPr>
          <w:rFonts w:hint="eastAsia"/>
          <w:bCs/>
          <w:sz w:val="24"/>
        </w:rPr>
        <w:t>依照《信息披露办法》的有关规定在规定媒介上</w:t>
      </w:r>
      <w:r>
        <w:rPr>
          <w:rFonts w:hint="eastAsia"/>
          <w:bCs/>
          <w:sz w:val="24"/>
        </w:rPr>
        <w:t>公告</w:t>
      </w:r>
      <w:r w:rsidR="00294C7F" w:rsidRPr="00294C7F">
        <w:rPr>
          <w:rFonts w:hint="eastAsia"/>
          <w:bCs/>
          <w:sz w:val="24"/>
        </w:rPr>
        <w:t>。</w:t>
      </w:r>
    </w:p>
    <w:p w14:paraId="1176B3F9" w14:textId="77777777" w:rsidR="00294C7F" w:rsidRDefault="00294C7F">
      <w:pPr>
        <w:pStyle w:val="20"/>
        <w:adjustRightInd w:val="0"/>
        <w:snapToGrid w:val="0"/>
        <w:ind w:firstLine="480"/>
        <w:rPr>
          <w:bCs/>
          <w:sz w:val="24"/>
        </w:rPr>
      </w:pPr>
      <w:r w:rsidRPr="00294C7F">
        <w:rPr>
          <w:rFonts w:hint="eastAsia"/>
          <w:bCs/>
          <w:sz w:val="24"/>
        </w:rPr>
        <w:t>投资人在认购、申购基金份额时可自行选择基金份额类别。</w:t>
      </w:r>
    </w:p>
    <w:p w14:paraId="11E30F6E" w14:textId="77777777" w:rsidR="00BF4A4E" w:rsidRDefault="00BF4A4E">
      <w:pPr>
        <w:pStyle w:val="20"/>
        <w:adjustRightInd w:val="0"/>
        <w:snapToGrid w:val="0"/>
        <w:ind w:firstLine="480"/>
        <w:rPr>
          <w:rFonts w:cs="宋体"/>
          <w:sz w:val="24"/>
        </w:rPr>
      </w:pPr>
      <w:r>
        <w:rPr>
          <w:rFonts w:cs="宋体" w:hint="eastAsia"/>
          <w:sz w:val="24"/>
        </w:rPr>
        <w:t>六、基金存续期限</w:t>
      </w:r>
    </w:p>
    <w:p w14:paraId="4ED3BCBC" w14:textId="77777777" w:rsidR="00BF4A4E" w:rsidRDefault="00BF4A4E">
      <w:pPr>
        <w:pStyle w:val="20"/>
        <w:adjustRightInd w:val="0"/>
        <w:snapToGrid w:val="0"/>
        <w:ind w:firstLine="480"/>
        <w:rPr>
          <w:rFonts w:cs="宋体"/>
          <w:sz w:val="24"/>
        </w:rPr>
      </w:pPr>
      <w:r>
        <w:rPr>
          <w:rFonts w:cs="宋体" w:hint="eastAsia"/>
          <w:sz w:val="24"/>
        </w:rPr>
        <w:t>不定期</w:t>
      </w:r>
    </w:p>
    <w:p w14:paraId="2BFC66F8" w14:textId="32E146AB" w:rsidR="005D2B88" w:rsidRDefault="005D2B88">
      <w:pPr>
        <w:pStyle w:val="20"/>
        <w:adjustRightInd w:val="0"/>
        <w:snapToGrid w:val="0"/>
        <w:ind w:firstLine="480"/>
        <w:rPr>
          <w:bCs/>
          <w:sz w:val="24"/>
        </w:rPr>
      </w:pPr>
      <w:r>
        <w:rPr>
          <w:bCs/>
          <w:sz w:val="24"/>
        </w:rPr>
        <w:t>基金合同生效之日起三年后的对应自然日，若基金资产净值低于</w:t>
      </w:r>
      <w:r w:rsidR="008269DF">
        <w:rPr>
          <w:bCs/>
          <w:sz w:val="24"/>
        </w:rPr>
        <w:t>2</w:t>
      </w:r>
      <w:r>
        <w:rPr>
          <w:bCs/>
          <w:sz w:val="24"/>
        </w:rPr>
        <w:t>亿元，本</w:t>
      </w:r>
      <w:r>
        <w:rPr>
          <w:bCs/>
          <w:sz w:val="24"/>
        </w:rPr>
        <w:lastRenderedPageBreak/>
        <w:t>基金应当按照基金合同约定的程序进行清算并终止，且不得通过召开基金份额持有人大会的方式延续。若届时的法律法规或中国证监会规定发生变化，上述终止规定被取消、更改或补充时，则本基金可以参照届时有效的法律法规或中国证监会规定执行</w:t>
      </w:r>
      <w:r w:rsidR="00C53AF5">
        <w:rPr>
          <w:rFonts w:hint="eastAsia"/>
          <w:bCs/>
          <w:sz w:val="24"/>
        </w:rPr>
        <w:t>。</w:t>
      </w:r>
    </w:p>
    <w:p w14:paraId="0D06F670" w14:textId="77777777" w:rsidR="00BF4A4E" w:rsidRDefault="00BF4A4E">
      <w:pPr>
        <w:pStyle w:val="20"/>
        <w:adjustRightInd w:val="0"/>
        <w:snapToGrid w:val="0"/>
        <w:ind w:firstLine="480"/>
        <w:rPr>
          <w:rFonts w:cs="宋体"/>
          <w:sz w:val="24"/>
        </w:rPr>
      </w:pPr>
      <w:r>
        <w:rPr>
          <w:rFonts w:cs="宋体" w:hint="eastAsia"/>
          <w:sz w:val="24"/>
        </w:rPr>
        <w:t>七、募集方式</w:t>
      </w:r>
    </w:p>
    <w:p w14:paraId="5F28DEF5" w14:textId="6295C38E" w:rsidR="00BF4A4E" w:rsidRDefault="00BF4A4E">
      <w:pPr>
        <w:pStyle w:val="20"/>
        <w:adjustRightInd w:val="0"/>
        <w:snapToGrid w:val="0"/>
        <w:ind w:firstLine="480"/>
        <w:rPr>
          <w:rFonts w:cs="宋体"/>
          <w:sz w:val="24"/>
        </w:rPr>
      </w:pPr>
      <w:r>
        <w:rPr>
          <w:rFonts w:cs="宋体" w:hint="eastAsia"/>
          <w:sz w:val="24"/>
        </w:rPr>
        <w:t>本基金将通过各销售机构的基金销售网点公开发售或按基金管理人、销售机构提供的其他方式公开发售</w:t>
      </w:r>
      <w:r w:rsidR="00D23CFA" w:rsidRPr="00D23CFA">
        <w:rPr>
          <w:rFonts w:cs="宋体" w:hint="eastAsia"/>
          <w:sz w:val="24"/>
        </w:rPr>
        <w:t>，各销售机构的具体名单见基金份额发售公告以及基金管理人网站公示</w:t>
      </w:r>
      <w:r>
        <w:rPr>
          <w:rFonts w:cs="宋体" w:hint="eastAsia"/>
          <w:sz w:val="24"/>
        </w:rPr>
        <w:t>。本基金认购采取全额缴款认购的方式。基金投资人在募集期内可</w:t>
      </w:r>
      <w:r w:rsidR="002135F8">
        <w:rPr>
          <w:rFonts w:cs="宋体" w:hint="eastAsia"/>
          <w:sz w:val="24"/>
        </w:rPr>
        <w:t>以</w:t>
      </w:r>
      <w:r>
        <w:rPr>
          <w:rFonts w:cs="宋体" w:hint="eastAsia"/>
          <w:sz w:val="24"/>
        </w:rPr>
        <w:t>多次认购</w:t>
      </w:r>
      <w:r w:rsidR="002135F8">
        <w:rPr>
          <w:rFonts w:cs="宋体" w:hint="eastAsia"/>
          <w:sz w:val="24"/>
        </w:rPr>
        <w:t>基金份额</w:t>
      </w:r>
      <w:r>
        <w:rPr>
          <w:rFonts w:cs="宋体" w:hint="eastAsia"/>
          <w:sz w:val="24"/>
        </w:rPr>
        <w:t>，认购申请一经受理不得撤销。</w:t>
      </w:r>
    </w:p>
    <w:p w14:paraId="3DFE46A7" w14:textId="77777777" w:rsidR="00BF4A4E" w:rsidRDefault="00BF4A4E">
      <w:pPr>
        <w:pStyle w:val="20"/>
        <w:adjustRightInd w:val="0"/>
        <w:snapToGrid w:val="0"/>
        <w:ind w:firstLine="480"/>
        <w:rPr>
          <w:rFonts w:cs="宋体"/>
          <w:sz w:val="24"/>
        </w:rPr>
      </w:pPr>
      <w:r>
        <w:rPr>
          <w:rFonts w:cs="宋体" w:hint="eastAsia"/>
          <w:sz w:val="24"/>
        </w:rPr>
        <w:t>八、募集期限</w:t>
      </w:r>
    </w:p>
    <w:p w14:paraId="5EE952DA" w14:textId="77777777" w:rsidR="00BF4A4E" w:rsidRDefault="00BF4A4E">
      <w:pPr>
        <w:pStyle w:val="20"/>
        <w:adjustRightInd w:val="0"/>
        <w:snapToGrid w:val="0"/>
        <w:ind w:firstLine="480"/>
        <w:rPr>
          <w:rFonts w:cs="宋体"/>
          <w:sz w:val="24"/>
        </w:rPr>
      </w:pPr>
      <w:r>
        <w:rPr>
          <w:rFonts w:cs="宋体" w:hint="eastAsia"/>
          <w:sz w:val="24"/>
        </w:rPr>
        <w:t>本基金募集期限自基金份额发售之日起不超过3个月。</w:t>
      </w:r>
    </w:p>
    <w:p w14:paraId="381C5B66" w14:textId="202B4274" w:rsidR="00BF4A4E" w:rsidRDefault="00BF4A4E">
      <w:pPr>
        <w:pStyle w:val="20"/>
        <w:adjustRightInd w:val="0"/>
        <w:snapToGrid w:val="0"/>
        <w:ind w:firstLine="480"/>
        <w:rPr>
          <w:rFonts w:cs="宋体"/>
          <w:sz w:val="24"/>
        </w:rPr>
      </w:pPr>
      <w:r>
        <w:rPr>
          <w:rFonts w:cs="宋体" w:hint="eastAsia"/>
          <w:sz w:val="24"/>
        </w:rPr>
        <w:t>本基金自</w:t>
      </w:r>
      <w:r w:rsidR="005D2B88">
        <w:rPr>
          <w:rFonts w:cs="宋体" w:hint="eastAsia"/>
          <w:sz w:val="24"/>
        </w:rPr>
        <w:t>20</w:t>
      </w:r>
      <w:r w:rsidR="005D2B88">
        <w:rPr>
          <w:rFonts w:cs="宋体"/>
          <w:sz w:val="24"/>
        </w:rPr>
        <w:t>2</w:t>
      </w:r>
      <w:r w:rsidR="00935511">
        <w:rPr>
          <w:rFonts w:cs="宋体"/>
          <w:sz w:val="24"/>
        </w:rPr>
        <w:t>5</w:t>
      </w:r>
      <w:r>
        <w:rPr>
          <w:rFonts w:cs="宋体" w:hint="eastAsia"/>
          <w:sz w:val="24"/>
        </w:rPr>
        <w:t>年</w:t>
      </w:r>
      <w:r w:rsidR="00935511">
        <w:rPr>
          <w:rFonts w:cs="宋体"/>
          <w:sz w:val="24"/>
        </w:rPr>
        <w:t>8</w:t>
      </w:r>
      <w:r>
        <w:rPr>
          <w:rFonts w:cs="宋体" w:hint="eastAsia"/>
          <w:sz w:val="24"/>
        </w:rPr>
        <w:t>月</w:t>
      </w:r>
      <w:r w:rsidR="00935511">
        <w:rPr>
          <w:rFonts w:cs="宋体"/>
          <w:sz w:val="24"/>
        </w:rPr>
        <w:t>25</w:t>
      </w:r>
      <w:r>
        <w:rPr>
          <w:rFonts w:cs="宋体" w:hint="eastAsia"/>
          <w:sz w:val="24"/>
        </w:rPr>
        <w:t>日至</w:t>
      </w:r>
      <w:r w:rsidR="005D2B88">
        <w:rPr>
          <w:rFonts w:cs="宋体" w:hint="eastAsia"/>
          <w:sz w:val="24"/>
        </w:rPr>
        <w:t>20</w:t>
      </w:r>
      <w:r w:rsidR="005D2B88">
        <w:rPr>
          <w:rFonts w:cs="宋体"/>
          <w:sz w:val="24"/>
        </w:rPr>
        <w:t>2</w:t>
      </w:r>
      <w:r w:rsidR="00935511">
        <w:rPr>
          <w:rFonts w:cs="宋体"/>
          <w:sz w:val="24"/>
        </w:rPr>
        <w:t>5</w:t>
      </w:r>
      <w:r>
        <w:rPr>
          <w:rFonts w:cs="宋体" w:hint="eastAsia"/>
          <w:sz w:val="24"/>
        </w:rPr>
        <w:t>年</w:t>
      </w:r>
      <w:r w:rsidR="00935511">
        <w:rPr>
          <w:rFonts w:cs="宋体"/>
          <w:sz w:val="24"/>
        </w:rPr>
        <w:t>8</w:t>
      </w:r>
      <w:r>
        <w:rPr>
          <w:rFonts w:cs="宋体" w:hint="eastAsia"/>
          <w:sz w:val="24"/>
        </w:rPr>
        <w:t>月</w:t>
      </w:r>
      <w:r w:rsidR="00935511">
        <w:rPr>
          <w:rFonts w:cs="宋体"/>
          <w:sz w:val="24"/>
        </w:rPr>
        <w:t>27</w:t>
      </w:r>
      <w:r>
        <w:rPr>
          <w:rFonts w:cs="宋体" w:hint="eastAsia"/>
          <w:sz w:val="24"/>
        </w:rPr>
        <w:t>日进行发售。如果在此期间届满时未达到本招募说明书第七部分第一条规定的基金备案条件，基金可在募集期限内继续销售。基金管理人也可根据基金销售情况，在符合相关法律法规的情况下，在募集期限内调整基金发售时间，并及时公告。</w:t>
      </w:r>
    </w:p>
    <w:p w14:paraId="32EB289B" w14:textId="77777777" w:rsidR="00BF4A4E" w:rsidRDefault="00BF4A4E">
      <w:pPr>
        <w:pStyle w:val="20"/>
        <w:adjustRightInd w:val="0"/>
        <w:snapToGrid w:val="0"/>
        <w:ind w:firstLine="480"/>
        <w:rPr>
          <w:rFonts w:cs="宋体"/>
          <w:sz w:val="24"/>
        </w:rPr>
      </w:pPr>
      <w:r>
        <w:rPr>
          <w:rFonts w:cs="宋体" w:hint="eastAsia"/>
          <w:sz w:val="24"/>
        </w:rPr>
        <w:t>九、募集对象</w:t>
      </w:r>
    </w:p>
    <w:p w14:paraId="02817FE7" w14:textId="77777777" w:rsidR="00BF4A4E" w:rsidRDefault="00BF4A4E">
      <w:pPr>
        <w:adjustRightInd w:val="0"/>
        <w:snapToGrid w:val="0"/>
        <w:spacing w:line="360" w:lineRule="auto"/>
        <w:ind w:firstLineChars="200" w:firstLine="480"/>
        <w:rPr>
          <w:rFonts w:ascii="宋体" w:hAnsi="宋体"/>
          <w:bCs/>
          <w:sz w:val="24"/>
        </w:rPr>
      </w:pPr>
      <w:r>
        <w:rPr>
          <w:rFonts w:ascii="宋体" w:hAnsi="宋体"/>
          <w:bCs/>
          <w:sz w:val="24"/>
        </w:rPr>
        <w:t>符合法律法规规定的可投资于证券投资基金的个人投资者、机构投资者</w:t>
      </w:r>
      <w:r>
        <w:rPr>
          <w:rFonts w:ascii="宋体" w:hAnsi="宋体" w:hint="eastAsia"/>
          <w:bCs/>
          <w:sz w:val="24"/>
        </w:rPr>
        <w:t>、</w:t>
      </w:r>
      <w:r>
        <w:rPr>
          <w:rFonts w:ascii="宋体" w:hAnsi="宋体"/>
          <w:bCs/>
          <w:sz w:val="24"/>
        </w:rPr>
        <w:t>合格境外投资者</w:t>
      </w:r>
      <w:r w:rsidR="005D2B88">
        <w:rPr>
          <w:rFonts w:ascii="宋体" w:hAnsi="宋体" w:hint="eastAsia"/>
          <w:bCs/>
          <w:sz w:val="24"/>
        </w:rPr>
        <w:t>、</w:t>
      </w:r>
      <w:r w:rsidR="005D2B88">
        <w:rPr>
          <w:rFonts w:ascii="宋体" w:hAnsi="宋体"/>
          <w:bCs/>
          <w:sz w:val="24"/>
        </w:rPr>
        <w:t>发起资金提供方</w:t>
      </w:r>
      <w:r>
        <w:rPr>
          <w:rFonts w:ascii="宋体" w:hAnsi="宋体"/>
          <w:bCs/>
          <w:sz w:val="24"/>
        </w:rPr>
        <w:t>以及法律法规或中国证监会允许购买证券投资基金的其他投资人</w:t>
      </w:r>
      <w:r>
        <w:rPr>
          <w:rFonts w:ascii="宋体" w:hAnsi="宋体" w:hint="eastAsia"/>
          <w:bCs/>
          <w:sz w:val="24"/>
        </w:rPr>
        <w:t>。</w:t>
      </w:r>
    </w:p>
    <w:p w14:paraId="3D14803C" w14:textId="77777777" w:rsidR="00BF4A4E" w:rsidRDefault="00BF4A4E">
      <w:pPr>
        <w:pStyle w:val="20"/>
        <w:adjustRightInd w:val="0"/>
        <w:snapToGrid w:val="0"/>
        <w:ind w:firstLine="480"/>
        <w:rPr>
          <w:rFonts w:cs="宋体"/>
          <w:sz w:val="24"/>
        </w:rPr>
      </w:pPr>
      <w:r>
        <w:rPr>
          <w:rFonts w:cs="宋体" w:hint="eastAsia"/>
          <w:sz w:val="24"/>
        </w:rPr>
        <w:t>十、募集场所</w:t>
      </w:r>
    </w:p>
    <w:p w14:paraId="568843EE" w14:textId="2C70B455" w:rsidR="00BF4A4E" w:rsidRDefault="00BF4A4E">
      <w:pPr>
        <w:pStyle w:val="20"/>
        <w:adjustRightInd w:val="0"/>
        <w:snapToGrid w:val="0"/>
        <w:ind w:firstLine="480"/>
        <w:rPr>
          <w:rFonts w:cs="宋体"/>
          <w:sz w:val="24"/>
        </w:rPr>
      </w:pPr>
      <w:r>
        <w:rPr>
          <w:rFonts w:cs="宋体" w:hint="eastAsia"/>
          <w:sz w:val="24"/>
        </w:rPr>
        <w:t>在基金募集期内，本基金将通过基金管理人的直销中心、网上直销交易系统及其他基金销售机构的销售网点</w:t>
      </w:r>
      <w:r w:rsidR="00CE028A">
        <w:rPr>
          <w:rFonts w:cs="宋体" w:hint="eastAsia"/>
          <w:sz w:val="24"/>
        </w:rPr>
        <w:t>公开</w:t>
      </w:r>
      <w:r>
        <w:rPr>
          <w:rFonts w:cs="宋体" w:hint="eastAsia"/>
          <w:sz w:val="24"/>
        </w:rPr>
        <w:t>发售（具体名单详见基金份额发售公告以及基金管理人网站公示）。</w:t>
      </w:r>
    </w:p>
    <w:p w14:paraId="44A2F2E7" w14:textId="77777777" w:rsidR="00BF4A4E" w:rsidRDefault="00BF4A4E">
      <w:pPr>
        <w:pStyle w:val="20"/>
        <w:adjustRightInd w:val="0"/>
        <w:snapToGrid w:val="0"/>
        <w:ind w:firstLine="480"/>
        <w:rPr>
          <w:rFonts w:cs="宋体"/>
          <w:sz w:val="24"/>
        </w:rPr>
      </w:pPr>
      <w:r>
        <w:rPr>
          <w:rFonts w:cs="宋体" w:hint="eastAsia"/>
          <w:sz w:val="24"/>
        </w:rPr>
        <w:t>基金管理人可以根据情况变更、增减销售机构，并在基金管理人网站公示。</w:t>
      </w:r>
    </w:p>
    <w:p w14:paraId="3A4D61E8" w14:textId="6B3581F7" w:rsidR="00BF4A4E" w:rsidRDefault="00BF4A4E">
      <w:pPr>
        <w:pStyle w:val="20"/>
        <w:adjustRightInd w:val="0"/>
        <w:snapToGrid w:val="0"/>
        <w:ind w:firstLine="480"/>
        <w:rPr>
          <w:rFonts w:cs="宋体"/>
          <w:sz w:val="24"/>
        </w:rPr>
      </w:pPr>
      <w:r>
        <w:rPr>
          <w:rFonts w:cs="宋体" w:hint="eastAsia"/>
          <w:sz w:val="24"/>
        </w:rPr>
        <w:t>十一、基金的最低募集金额</w:t>
      </w:r>
    </w:p>
    <w:p w14:paraId="45B1E0E4" w14:textId="77777777" w:rsidR="005D2B88" w:rsidRDefault="005D2B88" w:rsidP="005D2B88">
      <w:pPr>
        <w:pStyle w:val="20"/>
        <w:adjustRightInd w:val="0"/>
        <w:snapToGrid w:val="0"/>
        <w:ind w:firstLine="480"/>
        <w:rPr>
          <w:rFonts w:cs="宋体"/>
          <w:sz w:val="24"/>
        </w:rPr>
      </w:pPr>
      <w:r>
        <w:rPr>
          <w:rFonts w:cs="宋体" w:hint="eastAsia"/>
          <w:sz w:val="24"/>
        </w:rPr>
        <w:t>本基金为发起式基金，发起资金提供方认购基金的金额不少于1000万元人民币，且持有认购份额的期限自基金合同生效日起不少于3年，期间基金份额不能赎回。本基金发起资金的认购情况见基金管理人届时发布的公告。法律法规和监管机构另有规定的除外。</w:t>
      </w:r>
    </w:p>
    <w:p w14:paraId="6F72736B" w14:textId="77777777" w:rsidR="00BF4A4E" w:rsidRDefault="00BF4A4E">
      <w:pPr>
        <w:pStyle w:val="20"/>
        <w:adjustRightInd w:val="0"/>
        <w:snapToGrid w:val="0"/>
        <w:ind w:firstLine="480"/>
        <w:rPr>
          <w:rFonts w:cs="宋体"/>
          <w:sz w:val="24"/>
        </w:rPr>
      </w:pPr>
      <w:r>
        <w:rPr>
          <w:rFonts w:cs="宋体" w:hint="eastAsia"/>
          <w:sz w:val="24"/>
        </w:rPr>
        <w:t>十二、投资人对基金份额的认购</w:t>
      </w:r>
    </w:p>
    <w:p w14:paraId="14C2B481" w14:textId="77777777" w:rsidR="00BF4A4E" w:rsidRDefault="00BF4A4E">
      <w:pPr>
        <w:pStyle w:val="20"/>
        <w:adjustRightInd w:val="0"/>
        <w:snapToGrid w:val="0"/>
        <w:ind w:firstLine="480"/>
        <w:rPr>
          <w:rFonts w:cs="宋体"/>
          <w:sz w:val="24"/>
        </w:rPr>
      </w:pPr>
      <w:r>
        <w:rPr>
          <w:rFonts w:cs="宋体" w:hint="eastAsia"/>
          <w:sz w:val="24"/>
        </w:rPr>
        <w:lastRenderedPageBreak/>
        <w:t>1、认购时间安排：</w:t>
      </w:r>
    </w:p>
    <w:p w14:paraId="0C936A3F" w14:textId="7C5EE14D" w:rsidR="00BF4A4E" w:rsidRDefault="00BF4A4E">
      <w:pPr>
        <w:pStyle w:val="20"/>
        <w:adjustRightInd w:val="0"/>
        <w:snapToGrid w:val="0"/>
        <w:ind w:firstLine="480"/>
        <w:rPr>
          <w:rFonts w:cs="宋体"/>
          <w:sz w:val="24"/>
        </w:rPr>
      </w:pPr>
      <w:r>
        <w:rPr>
          <w:rFonts w:cs="宋体" w:hint="eastAsia"/>
          <w:sz w:val="24"/>
        </w:rPr>
        <w:t>本基金认购时间为</w:t>
      </w:r>
      <w:r w:rsidR="00935511">
        <w:rPr>
          <w:rFonts w:cs="宋体" w:hint="eastAsia"/>
          <w:sz w:val="24"/>
        </w:rPr>
        <w:t>20</w:t>
      </w:r>
      <w:r w:rsidR="00935511">
        <w:rPr>
          <w:rFonts w:cs="宋体"/>
          <w:sz w:val="24"/>
        </w:rPr>
        <w:t>25</w:t>
      </w:r>
      <w:r w:rsidR="00935511">
        <w:rPr>
          <w:rFonts w:cs="宋体" w:hint="eastAsia"/>
          <w:sz w:val="24"/>
        </w:rPr>
        <w:t>年</w:t>
      </w:r>
      <w:r w:rsidR="00935511">
        <w:rPr>
          <w:rFonts w:cs="宋体"/>
          <w:sz w:val="24"/>
        </w:rPr>
        <w:t>8</w:t>
      </w:r>
      <w:r w:rsidR="00935511">
        <w:rPr>
          <w:rFonts w:cs="宋体" w:hint="eastAsia"/>
          <w:sz w:val="24"/>
        </w:rPr>
        <w:t>月</w:t>
      </w:r>
      <w:r w:rsidR="00935511">
        <w:rPr>
          <w:rFonts w:cs="宋体"/>
          <w:sz w:val="24"/>
        </w:rPr>
        <w:t>25</w:t>
      </w:r>
      <w:r w:rsidR="00935511">
        <w:rPr>
          <w:rFonts w:cs="宋体" w:hint="eastAsia"/>
          <w:sz w:val="24"/>
        </w:rPr>
        <w:t>日至20</w:t>
      </w:r>
      <w:r w:rsidR="00935511">
        <w:rPr>
          <w:rFonts w:cs="宋体"/>
          <w:sz w:val="24"/>
        </w:rPr>
        <w:t>25</w:t>
      </w:r>
      <w:r w:rsidR="00935511">
        <w:rPr>
          <w:rFonts w:cs="宋体" w:hint="eastAsia"/>
          <w:sz w:val="24"/>
        </w:rPr>
        <w:t>年</w:t>
      </w:r>
      <w:r w:rsidR="00935511">
        <w:rPr>
          <w:rFonts w:cs="宋体"/>
          <w:sz w:val="24"/>
        </w:rPr>
        <w:t>8</w:t>
      </w:r>
      <w:r w:rsidR="00935511">
        <w:rPr>
          <w:rFonts w:cs="宋体" w:hint="eastAsia"/>
          <w:sz w:val="24"/>
        </w:rPr>
        <w:t>月</w:t>
      </w:r>
      <w:r w:rsidR="00935511">
        <w:rPr>
          <w:rFonts w:cs="宋体"/>
          <w:sz w:val="24"/>
        </w:rPr>
        <w:t>27</w:t>
      </w:r>
      <w:r w:rsidR="00935511">
        <w:rPr>
          <w:rFonts w:cs="宋体" w:hint="eastAsia"/>
          <w:sz w:val="24"/>
        </w:rPr>
        <w:t>日</w:t>
      </w:r>
      <w:r>
        <w:rPr>
          <w:rFonts w:cs="宋体" w:hint="eastAsia"/>
          <w:sz w:val="24"/>
        </w:rPr>
        <w:t>。如遇突发事件，发售时间可适当调整，并进行公告。</w:t>
      </w:r>
    </w:p>
    <w:p w14:paraId="0E5F9AE7" w14:textId="77777777" w:rsidR="00BF4A4E" w:rsidRDefault="00BF4A4E">
      <w:pPr>
        <w:pStyle w:val="20"/>
        <w:adjustRightInd w:val="0"/>
        <w:snapToGrid w:val="0"/>
        <w:ind w:firstLine="480"/>
        <w:rPr>
          <w:rFonts w:cs="宋体"/>
          <w:sz w:val="24"/>
        </w:rPr>
      </w:pPr>
      <w:r>
        <w:rPr>
          <w:rFonts w:cs="宋体" w:hint="eastAsia"/>
          <w:sz w:val="24"/>
        </w:rPr>
        <w:t>各个销售机构在本基金发售募集期内对于个人投资者或机构投资者的具体业务办理时间可能不同，若基金份额发售公告没有明确规定，则由各销售机构自行决定每天的业务办理时间。</w:t>
      </w:r>
    </w:p>
    <w:p w14:paraId="04C6433F" w14:textId="77777777" w:rsidR="00BF4A4E" w:rsidRDefault="00BF4A4E">
      <w:pPr>
        <w:pStyle w:val="20"/>
        <w:adjustRightInd w:val="0"/>
        <w:snapToGrid w:val="0"/>
        <w:ind w:firstLine="480"/>
        <w:rPr>
          <w:rFonts w:cs="宋体"/>
          <w:sz w:val="24"/>
        </w:rPr>
      </w:pPr>
      <w:r>
        <w:rPr>
          <w:rFonts w:cs="宋体" w:hint="eastAsia"/>
          <w:sz w:val="24"/>
        </w:rPr>
        <w:t>根据法</w:t>
      </w:r>
      <w:bookmarkStart w:id="40" w:name="_Hlk130210711"/>
      <w:r>
        <w:rPr>
          <w:rFonts w:cs="宋体" w:hint="eastAsia"/>
          <w:sz w:val="24"/>
        </w:rPr>
        <w:t>律法规的规定与基金合同的约定</w:t>
      </w:r>
      <w:bookmarkEnd w:id="40"/>
      <w:r>
        <w:rPr>
          <w:rFonts w:cs="宋体" w:hint="eastAsia"/>
          <w:sz w:val="24"/>
        </w:rPr>
        <w:t>，如果基金</w:t>
      </w:r>
      <w:r>
        <w:rPr>
          <w:rFonts w:cs="宋体"/>
          <w:sz w:val="24"/>
        </w:rPr>
        <w:t>募集</w:t>
      </w:r>
      <w:r>
        <w:rPr>
          <w:rFonts w:cs="宋体" w:hint="eastAsia"/>
          <w:sz w:val="24"/>
        </w:rPr>
        <w:t>达到基金备案条件，基金合同自基金管理人办理完毕基金备案手续并取得中国证监会书面确认之日起生效。如果未达到前述条件，基金可在上述定明的募集期限内继续销售，直到达到条件并经备案后宣布基金合同生效。基金管理人可根据募集情况，在符合相关法律法规的情况下，在募集期限内调整本基金的发售时间，但最长不超过法定募集期限并及时公告。</w:t>
      </w:r>
    </w:p>
    <w:p w14:paraId="450E8B9F" w14:textId="77777777" w:rsidR="00BF4A4E" w:rsidRDefault="00BF4A4E">
      <w:pPr>
        <w:pStyle w:val="20"/>
        <w:adjustRightInd w:val="0"/>
        <w:snapToGrid w:val="0"/>
        <w:ind w:firstLine="480"/>
        <w:rPr>
          <w:rFonts w:cs="宋体"/>
          <w:sz w:val="24"/>
        </w:rPr>
      </w:pPr>
      <w:r>
        <w:rPr>
          <w:rFonts w:cs="宋体" w:hint="eastAsia"/>
          <w:sz w:val="24"/>
        </w:rPr>
        <w:t>具体发售方案以本基金的基金份额发售公告为准，请基金投资人就发售和购买事宜仔细阅读本基金的基金份额发售公告及相关公告。</w:t>
      </w:r>
    </w:p>
    <w:p w14:paraId="5A0F3464" w14:textId="77777777" w:rsidR="00BF4A4E" w:rsidRDefault="00BF4A4E">
      <w:pPr>
        <w:pStyle w:val="20"/>
        <w:adjustRightInd w:val="0"/>
        <w:snapToGrid w:val="0"/>
        <w:ind w:firstLine="480"/>
        <w:rPr>
          <w:rFonts w:cs="宋体"/>
          <w:sz w:val="24"/>
        </w:rPr>
      </w:pPr>
      <w:r>
        <w:rPr>
          <w:rFonts w:cs="宋体" w:hint="eastAsia"/>
          <w:sz w:val="24"/>
        </w:rPr>
        <w:t>2、认购原则</w:t>
      </w:r>
    </w:p>
    <w:p w14:paraId="1459D42C" w14:textId="77777777" w:rsidR="00BF4A4E" w:rsidRDefault="00BF4A4E">
      <w:pPr>
        <w:pStyle w:val="20"/>
        <w:adjustRightInd w:val="0"/>
        <w:snapToGrid w:val="0"/>
        <w:ind w:firstLine="480"/>
        <w:rPr>
          <w:rFonts w:cs="宋体"/>
          <w:sz w:val="24"/>
        </w:rPr>
      </w:pPr>
      <w:r>
        <w:rPr>
          <w:rFonts w:cs="宋体" w:hint="eastAsia"/>
          <w:sz w:val="24"/>
        </w:rPr>
        <w:t>（1）基金认购采用“金额认购、份额确认”的方式；</w:t>
      </w:r>
    </w:p>
    <w:p w14:paraId="552D486A" w14:textId="77777777" w:rsidR="00BF4A4E" w:rsidRDefault="00BF4A4E">
      <w:pPr>
        <w:pStyle w:val="20"/>
        <w:adjustRightInd w:val="0"/>
        <w:snapToGrid w:val="0"/>
        <w:ind w:firstLine="480"/>
        <w:rPr>
          <w:rFonts w:cs="宋体"/>
          <w:sz w:val="24"/>
        </w:rPr>
      </w:pPr>
      <w:r>
        <w:rPr>
          <w:rFonts w:cs="宋体" w:hint="eastAsia"/>
          <w:sz w:val="24"/>
        </w:rPr>
        <w:t>（2）投资人认购时，需按销售机构规定的方式全额缴款；</w:t>
      </w:r>
    </w:p>
    <w:p w14:paraId="453FFFB2" w14:textId="6E9D8FBC" w:rsidR="00BF4A4E" w:rsidRDefault="00BF4A4E">
      <w:pPr>
        <w:pStyle w:val="20"/>
        <w:adjustRightInd w:val="0"/>
        <w:snapToGrid w:val="0"/>
        <w:ind w:firstLine="480"/>
        <w:rPr>
          <w:rFonts w:cs="宋体"/>
          <w:sz w:val="24"/>
        </w:rPr>
      </w:pPr>
      <w:r>
        <w:rPr>
          <w:rFonts w:cs="宋体" w:hint="eastAsia"/>
          <w:sz w:val="24"/>
        </w:rPr>
        <w:t>（3）投资人在募集期内可以多次认购基金份额，但</w:t>
      </w:r>
      <w:r>
        <w:rPr>
          <w:rFonts w:cs="宋体" w:hint="eastAsia"/>
          <w:bCs/>
          <w:sz w:val="24"/>
        </w:rPr>
        <w:t>已受理的认购申请不允许撤销，A类基金份额的</w:t>
      </w:r>
      <w:r>
        <w:rPr>
          <w:rFonts w:cs="宋体" w:hint="eastAsia"/>
          <w:sz w:val="24"/>
        </w:rPr>
        <w:t>认购费按每笔认购申请单独计算；</w:t>
      </w:r>
    </w:p>
    <w:p w14:paraId="43412CCD" w14:textId="09C52987" w:rsidR="00BF4A4E" w:rsidRDefault="00BF4A4E">
      <w:pPr>
        <w:pStyle w:val="20"/>
        <w:adjustRightInd w:val="0"/>
        <w:snapToGrid w:val="0"/>
        <w:ind w:firstLine="480"/>
        <w:rPr>
          <w:rFonts w:cs="宋体"/>
          <w:sz w:val="24"/>
        </w:rPr>
      </w:pPr>
      <w:r>
        <w:rPr>
          <w:rFonts w:cs="宋体" w:hint="eastAsia"/>
          <w:sz w:val="24"/>
        </w:rPr>
        <w:t>（4）</w:t>
      </w:r>
      <w:r w:rsidR="00E977AE">
        <w:rPr>
          <w:rFonts w:cs="宋体" w:hint="eastAsia"/>
          <w:sz w:val="24"/>
        </w:rPr>
        <w:t>募集</w:t>
      </w:r>
      <w:r>
        <w:rPr>
          <w:rFonts w:cs="宋体" w:hint="eastAsia"/>
          <w:sz w:val="24"/>
        </w:rPr>
        <w:t>期间本基金管理人有权对单个投资人的累计认购</w:t>
      </w:r>
      <w:r w:rsidR="003E0D86">
        <w:rPr>
          <w:rFonts w:cs="宋体" w:hint="eastAsia"/>
          <w:sz w:val="24"/>
        </w:rPr>
        <w:t>金额进行限制</w:t>
      </w:r>
      <w:r>
        <w:rPr>
          <w:rFonts w:cs="宋体" w:hint="eastAsia"/>
          <w:sz w:val="24"/>
        </w:rPr>
        <w:t>，且需满足本基金关于募集上限和基金备案条件的相关规定。</w:t>
      </w:r>
    </w:p>
    <w:p w14:paraId="366085D8" w14:textId="77777777" w:rsidR="00BF4A4E" w:rsidRDefault="00BF4A4E">
      <w:pPr>
        <w:pStyle w:val="20"/>
        <w:adjustRightInd w:val="0"/>
        <w:snapToGrid w:val="0"/>
        <w:ind w:firstLine="480"/>
        <w:rPr>
          <w:rFonts w:cs="宋体"/>
          <w:sz w:val="24"/>
        </w:rPr>
      </w:pPr>
      <w:r>
        <w:rPr>
          <w:rFonts w:cs="宋体" w:hint="eastAsia"/>
          <w:sz w:val="24"/>
        </w:rPr>
        <w:t>3、认购限额</w:t>
      </w:r>
    </w:p>
    <w:p w14:paraId="2FFB9359" w14:textId="3507B177" w:rsidR="00BF4A4E" w:rsidRDefault="00BF4A4E">
      <w:pPr>
        <w:pStyle w:val="20"/>
        <w:adjustRightInd w:val="0"/>
        <w:snapToGrid w:val="0"/>
        <w:ind w:firstLine="480"/>
        <w:rPr>
          <w:rFonts w:cs="宋体"/>
          <w:sz w:val="24"/>
        </w:rPr>
      </w:pPr>
      <w:r>
        <w:rPr>
          <w:rFonts w:cs="宋体" w:hint="eastAsia"/>
          <w:sz w:val="24"/>
        </w:rPr>
        <w:t>在本基金销售机构的销售网点及网上直销交易系统进行认购时，投资人以金额申请，每个基金账户首笔认购的最低金额为人民币1元，每笔追加认购的最低金额为人民币1元。直销中心办理业务时以其相关规则为准。基金管理人直销机构或各销售机构对最低认购限额及交易级差另有规定的，从其规定，但不得低于上述最低认购金额。基金管理人可根据市场情况，调整本基金首笔认购和每笔追加认购的最低金额。</w:t>
      </w:r>
    </w:p>
    <w:p w14:paraId="61509C0A" w14:textId="77777777" w:rsidR="00BF4A4E" w:rsidRDefault="00BF4A4E">
      <w:pPr>
        <w:pStyle w:val="20"/>
        <w:adjustRightInd w:val="0"/>
        <w:snapToGrid w:val="0"/>
        <w:ind w:firstLine="480"/>
        <w:rPr>
          <w:rFonts w:cs="宋体"/>
          <w:sz w:val="24"/>
        </w:rPr>
      </w:pPr>
      <w:r>
        <w:rPr>
          <w:rFonts w:cs="宋体"/>
          <w:sz w:val="24"/>
        </w:rPr>
        <w:t>本基金可设置募集规模上限</w:t>
      </w:r>
      <w:r>
        <w:rPr>
          <w:rFonts w:cs="宋体" w:hint="eastAsia"/>
          <w:sz w:val="24"/>
        </w:rPr>
        <w:t>，</w:t>
      </w:r>
      <w:r>
        <w:rPr>
          <w:rFonts w:cs="宋体"/>
          <w:sz w:val="24"/>
        </w:rPr>
        <w:t>具体规模上限及规模控制的方案详见基金份额发售公告或其他公告</w:t>
      </w:r>
      <w:r>
        <w:rPr>
          <w:rFonts w:cs="宋体" w:hint="eastAsia"/>
          <w:sz w:val="24"/>
        </w:rPr>
        <w:t>。</w:t>
      </w:r>
    </w:p>
    <w:p w14:paraId="6C7F1C3F" w14:textId="77777777" w:rsidR="00BF4A4E" w:rsidRDefault="00BF4A4E">
      <w:pPr>
        <w:pStyle w:val="20"/>
        <w:adjustRightInd w:val="0"/>
        <w:snapToGrid w:val="0"/>
        <w:ind w:firstLine="480"/>
        <w:rPr>
          <w:rFonts w:cs="宋体"/>
          <w:sz w:val="24"/>
        </w:rPr>
      </w:pPr>
      <w:r>
        <w:rPr>
          <w:rFonts w:cs="宋体" w:hint="eastAsia"/>
          <w:sz w:val="24"/>
        </w:rPr>
        <w:lastRenderedPageBreak/>
        <w:t>4、销售机构认购业务的办理网点、办理日期和时间等事项参照各销售机构的具体规定。</w:t>
      </w:r>
    </w:p>
    <w:p w14:paraId="636B9D50" w14:textId="77777777" w:rsidR="00BF4A4E" w:rsidRDefault="00BF4A4E">
      <w:pPr>
        <w:pStyle w:val="20"/>
        <w:adjustRightInd w:val="0"/>
        <w:snapToGrid w:val="0"/>
        <w:ind w:firstLine="480"/>
        <w:rPr>
          <w:rFonts w:cs="宋体"/>
          <w:sz w:val="24"/>
        </w:rPr>
      </w:pPr>
      <w:r>
        <w:rPr>
          <w:rFonts w:cs="宋体" w:hint="eastAsia"/>
          <w:sz w:val="24"/>
        </w:rPr>
        <w:t>5、投资人认购应提交的文件和办理的手续</w:t>
      </w:r>
    </w:p>
    <w:p w14:paraId="327EECCA" w14:textId="77777777" w:rsidR="00BF4A4E" w:rsidRDefault="00BF4A4E">
      <w:pPr>
        <w:pStyle w:val="20"/>
        <w:adjustRightInd w:val="0"/>
        <w:snapToGrid w:val="0"/>
        <w:ind w:firstLine="480"/>
        <w:rPr>
          <w:rFonts w:cs="宋体"/>
          <w:sz w:val="24"/>
        </w:rPr>
      </w:pPr>
      <w:r>
        <w:rPr>
          <w:rFonts w:cs="宋体" w:hint="eastAsia"/>
          <w:sz w:val="24"/>
        </w:rPr>
        <w:t>投资人认购本基金应首先办理开户手续，开立基金账户（已开立银华基金管理股份有限公司基金账户的投资人无需重新开户），然后办理基金认购手续。</w:t>
      </w:r>
    </w:p>
    <w:p w14:paraId="4A4EDC58" w14:textId="77777777" w:rsidR="00BF4A4E" w:rsidRDefault="00BF4A4E">
      <w:pPr>
        <w:pStyle w:val="20"/>
        <w:adjustRightInd w:val="0"/>
        <w:snapToGrid w:val="0"/>
        <w:ind w:firstLine="480"/>
        <w:rPr>
          <w:rFonts w:cs="宋体"/>
          <w:sz w:val="24"/>
        </w:rPr>
      </w:pPr>
      <w:r>
        <w:rPr>
          <w:rFonts w:cs="宋体" w:hint="eastAsia"/>
          <w:sz w:val="24"/>
        </w:rPr>
        <w:t>投资人认购应提交的文件和办理的手续请详细查阅本基金的基金份额发售公告或各销售机构相关业务办理规则。</w:t>
      </w:r>
    </w:p>
    <w:p w14:paraId="4E680970" w14:textId="77777777" w:rsidR="00BF4A4E" w:rsidRDefault="00BF4A4E">
      <w:pPr>
        <w:pStyle w:val="20"/>
        <w:adjustRightInd w:val="0"/>
        <w:snapToGrid w:val="0"/>
        <w:ind w:firstLine="480"/>
        <w:rPr>
          <w:rFonts w:cs="宋体"/>
          <w:sz w:val="24"/>
        </w:rPr>
      </w:pPr>
      <w:r>
        <w:rPr>
          <w:rFonts w:cs="宋体" w:hint="eastAsia"/>
          <w:sz w:val="24"/>
        </w:rPr>
        <w:t>十三、基金的认购费用</w:t>
      </w:r>
    </w:p>
    <w:p w14:paraId="083EF5FE" w14:textId="58725F68" w:rsidR="00BF4A4E" w:rsidRDefault="00BF4A4E">
      <w:pPr>
        <w:pStyle w:val="20"/>
        <w:adjustRightInd w:val="0"/>
        <w:snapToGrid w:val="0"/>
        <w:ind w:firstLineChars="0"/>
        <w:rPr>
          <w:rFonts w:cs="宋体"/>
          <w:sz w:val="24"/>
        </w:rPr>
      </w:pPr>
      <w:r>
        <w:rPr>
          <w:rFonts w:cs="宋体" w:hint="eastAsia"/>
          <w:sz w:val="24"/>
        </w:rPr>
        <w:t>本基金的A类基金份额在认购时收取认购费用，C类基金份额不收取认购费用。投资人认购本基金A类基金份额时所适用认购费率如下表所示：</w:t>
      </w:r>
    </w:p>
    <w:tbl>
      <w:tblPr>
        <w:tblW w:w="8497"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2089"/>
        <w:gridCol w:w="3114"/>
        <w:gridCol w:w="3294"/>
      </w:tblGrid>
      <w:tr w:rsidR="007853B3" w14:paraId="4806B5B6" w14:textId="77777777">
        <w:trPr>
          <w:trHeight w:val="270"/>
          <w:jc w:val="center"/>
        </w:trPr>
        <w:tc>
          <w:tcPr>
            <w:tcW w:w="2089" w:type="dxa"/>
            <w:vMerge w:val="restart"/>
            <w:tcMar>
              <w:top w:w="15" w:type="dxa"/>
              <w:left w:w="15" w:type="dxa"/>
              <w:bottom w:w="0" w:type="dxa"/>
              <w:right w:w="15" w:type="dxa"/>
            </w:tcMar>
            <w:vAlign w:val="center"/>
          </w:tcPr>
          <w:p w14:paraId="726FBEC1" w14:textId="77777777" w:rsidR="007853B3" w:rsidRDefault="007853B3">
            <w:pPr>
              <w:pStyle w:val="20"/>
              <w:adjustRightInd w:val="0"/>
              <w:snapToGrid w:val="0"/>
              <w:ind w:firstLineChars="0" w:firstLine="0"/>
              <w:jc w:val="center"/>
              <w:rPr>
                <w:b/>
                <w:sz w:val="24"/>
              </w:rPr>
            </w:pPr>
            <w:r>
              <w:rPr>
                <w:rFonts w:hint="eastAsia"/>
                <w:b/>
                <w:sz w:val="24"/>
              </w:rPr>
              <w:t>A类基金份额</w:t>
            </w:r>
          </w:p>
          <w:p w14:paraId="43F5D5C5" w14:textId="77777777" w:rsidR="007853B3" w:rsidRDefault="007853B3">
            <w:pPr>
              <w:pStyle w:val="20"/>
              <w:adjustRightInd w:val="0"/>
              <w:snapToGrid w:val="0"/>
              <w:ind w:firstLineChars="0" w:firstLine="0"/>
              <w:jc w:val="center"/>
              <w:rPr>
                <w:sz w:val="24"/>
              </w:rPr>
            </w:pPr>
            <w:r>
              <w:rPr>
                <w:rFonts w:hint="eastAsia"/>
                <w:b/>
                <w:sz w:val="24"/>
              </w:rPr>
              <w:t>认购费率</w:t>
            </w:r>
          </w:p>
        </w:tc>
        <w:tc>
          <w:tcPr>
            <w:tcW w:w="3114" w:type="dxa"/>
            <w:tcMar>
              <w:top w:w="15" w:type="dxa"/>
              <w:left w:w="15" w:type="dxa"/>
              <w:bottom w:w="0" w:type="dxa"/>
              <w:right w:w="15" w:type="dxa"/>
            </w:tcMar>
            <w:vAlign w:val="center"/>
          </w:tcPr>
          <w:p w14:paraId="4916B085" w14:textId="77777777" w:rsidR="007853B3" w:rsidRDefault="007853B3" w:rsidP="00770B2C">
            <w:pPr>
              <w:pStyle w:val="20"/>
              <w:adjustRightInd w:val="0"/>
              <w:snapToGrid w:val="0"/>
              <w:ind w:firstLineChars="0" w:firstLine="480"/>
              <w:jc w:val="center"/>
              <w:rPr>
                <w:b/>
                <w:sz w:val="24"/>
              </w:rPr>
            </w:pPr>
            <w:r>
              <w:rPr>
                <w:rFonts w:hint="eastAsia"/>
                <w:b/>
                <w:sz w:val="24"/>
              </w:rPr>
              <w:t>认购金额（</w:t>
            </w:r>
            <w:r>
              <w:rPr>
                <w:b/>
                <w:sz w:val="24"/>
              </w:rPr>
              <w:t>M,</w:t>
            </w:r>
            <w:r>
              <w:rPr>
                <w:rFonts w:hint="eastAsia"/>
                <w:b/>
                <w:sz w:val="24"/>
              </w:rPr>
              <w:t>含认购费）</w:t>
            </w:r>
          </w:p>
        </w:tc>
        <w:tc>
          <w:tcPr>
            <w:tcW w:w="3294" w:type="dxa"/>
            <w:vAlign w:val="center"/>
          </w:tcPr>
          <w:p w14:paraId="067EC2E0" w14:textId="77777777" w:rsidR="007853B3" w:rsidRDefault="007853B3" w:rsidP="00770B2C">
            <w:pPr>
              <w:pStyle w:val="20"/>
              <w:adjustRightInd w:val="0"/>
              <w:snapToGrid w:val="0"/>
              <w:ind w:firstLineChars="0" w:firstLine="480"/>
              <w:jc w:val="center"/>
              <w:rPr>
                <w:b/>
                <w:sz w:val="24"/>
              </w:rPr>
            </w:pPr>
            <w:r>
              <w:rPr>
                <w:rFonts w:hint="eastAsia"/>
                <w:b/>
                <w:sz w:val="24"/>
              </w:rPr>
              <w:t>认购费率</w:t>
            </w:r>
          </w:p>
        </w:tc>
      </w:tr>
      <w:tr w:rsidR="007853B3" w14:paraId="343931CF" w14:textId="77777777" w:rsidTr="00DB3A01">
        <w:trPr>
          <w:trHeight w:val="254"/>
          <w:jc w:val="center"/>
        </w:trPr>
        <w:tc>
          <w:tcPr>
            <w:tcW w:w="2089" w:type="dxa"/>
            <w:vMerge/>
            <w:tcMar>
              <w:top w:w="15" w:type="dxa"/>
              <w:left w:w="15" w:type="dxa"/>
              <w:bottom w:w="0" w:type="dxa"/>
              <w:right w:w="15" w:type="dxa"/>
            </w:tcMar>
            <w:vAlign w:val="center"/>
          </w:tcPr>
          <w:p w14:paraId="4475D2A5" w14:textId="77777777" w:rsidR="007853B3" w:rsidRDefault="007853B3" w:rsidP="007853B3">
            <w:pPr>
              <w:pStyle w:val="20"/>
              <w:adjustRightInd w:val="0"/>
              <w:snapToGrid w:val="0"/>
              <w:ind w:firstLineChars="0" w:firstLine="0"/>
              <w:jc w:val="center"/>
              <w:rPr>
                <w:sz w:val="24"/>
              </w:rPr>
            </w:pPr>
          </w:p>
        </w:tc>
        <w:tc>
          <w:tcPr>
            <w:tcW w:w="3114" w:type="dxa"/>
            <w:tcMar>
              <w:top w:w="15" w:type="dxa"/>
              <w:left w:w="15" w:type="dxa"/>
              <w:bottom w:w="0" w:type="dxa"/>
              <w:right w:w="15" w:type="dxa"/>
            </w:tcMar>
            <w:vAlign w:val="center"/>
          </w:tcPr>
          <w:p w14:paraId="771EE160" w14:textId="3757F523" w:rsidR="007853B3" w:rsidRPr="007853B3" w:rsidRDefault="007853B3" w:rsidP="007853B3">
            <w:pPr>
              <w:pStyle w:val="20"/>
              <w:adjustRightInd w:val="0"/>
              <w:snapToGrid w:val="0"/>
              <w:ind w:firstLineChars="0" w:firstLine="0"/>
              <w:jc w:val="center"/>
              <w:rPr>
                <w:sz w:val="24"/>
              </w:rPr>
            </w:pPr>
            <w:r w:rsidRPr="00CE2702">
              <w:rPr>
                <w:rFonts w:hint="eastAsia"/>
                <w:sz w:val="24"/>
                <w:szCs w:val="24"/>
              </w:rPr>
              <w:t>M＜100万元</w:t>
            </w:r>
          </w:p>
        </w:tc>
        <w:tc>
          <w:tcPr>
            <w:tcW w:w="3294" w:type="dxa"/>
            <w:vAlign w:val="center"/>
          </w:tcPr>
          <w:p w14:paraId="76B90D1E" w14:textId="4DED7D00" w:rsidR="007853B3" w:rsidRPr="007853B3" w:rsidRDefault="007853B3" w:rsidP="007853B3">
            <w:pPr>
              <w:pStyle w:val="20"/>
              <w:adjustRightInd w:val="0"/>
              <w:snapToGrid w:val="0"/>
              <w:ind w:firstLineChars="0" w:firstLine="0"/>
              <w:jc w:val="center"/>
              <w:rPr>
                <w:sz w:val="24"/>
              </w:rPr>
            </w:pPr>
            <w:r w:rsidRPr="00CE2702">
              <w:rPr>
                <w:sz w:val="24"/>
                <w:szCs w:val="24"/>
              </w:rPr>
              <w:t>1.00</w:t>
            </w:r>
            <w:r w:rsidRPr="00CE2702">
              <w:rPr>
                <w:rFonts w:hint="eastAsia"/>
                <w:sz w:val="24"/>
                <w:szCs w:val="24"/>
              </w:rPr>
              <w:t>%</w:t>
            </w:r>
          </w:p>
        </w:tc>
      </w:tr>
      <w:tr w:rsidR="007853B3" w14:paraId="1F633722" w14:textId="77777777" w:rsidTr="00DB3A01">
        <w:trPr>
          <w:trHeight w:val="42"/>
          <w:jc w:val="center"/>
        </w:trPr>
        <w:tc>
          <w:tcPr>
            <w:tcW w:w="2089" w:type="dxa"/>
            <w:vMerge/>
            <w:tcMar>
              <w:top w:w="15" w:type="dxa"/>
              <w:left w:w="15" w:type="dxa"/>
              <w:bottom w:w="0" w:type="dxa"/>
              <w:right w:w="15" w:type="dxa"/>
            </w:tcMar>
            <w:vAlign w:val="center"/>
          </w:tcPr>
          <w:p w14:paraId="11389A0F" w14:textId="77777777" w:rsidR="007853B3" w:rsidRDefault="007853B3" w:rsidP="007853B3">
            <w:pPr>
              <w:pStyle w:val="20"/>
              <w:adjustRightInd w:val="0"/>
              <w:snapToGrid w:val="0"/>
              <w:ind w:firstLineChars="0" w:firstLine="0"/>
              <w:jc w:val="center"/>
              <w:rPr>
                <w:sz w:val="24"/>
              </w:rPr>
            </w:pPr>
          </w:p>
        </w:tc>
        <w:tc>
          <w:tcPr>
            <w:tcW w:w="3114" w:type="dxa"/>
            <w:tcMar>
              <w:top w:w="15" w:type="dxa"/>
              <w:left w:w="15" w:type="dxa"/>
              <w:bottom w:w="0" w:type="dxa"/>
              <w:right w:w="15" w:type="dxa"/>
            </w:tcMar>
            <w:vAlign w:val="center"/>
          </w:tcPr>
          <w:p w14:paraId="437AEC58" w14:textId="218E51C7" w:rsidR="007853B3" w:rsidRPr="007853B3" w:rsidRDefault="007853B3" w:rsidP="007853B3">
            <w:pPr>
              <w:pStyle w:val="20"/>
              <w:adjustRightInd w:val="0"/>
              <w:snapToGrid w:val="0"/>
              <w:ind w:firstLineChars="0" w:firstLine="0"/>
              <w:jc w:val="center"/>
              <w:rPr>
                <w:sz w:val="24"/>
              </w:rPr>
            </w:pPr>
            <w:r w:rsidRPr="00CE2702">
              <w:rPr>
                <w:sz w:val="24"/>
                <w:szCs w:val="24"/>
              </w:rPr>
              <w:t>1</w:t>
            </w:r>
            <w:r w:rsidRPr="00CE2702">
              <w:rPr>
                <w:rFonts w:hint="eastAsia"/>
                <w:sz w:val="24"/>
                <w:szCs w:val="24"/>
              </w:rPr>
              <w:t>00万元≤M＜</w:t>
            </w:r>
            <w:r w:rsidRPr="00CE2702">
              <w:rPr>
                <w:sz w:val="24"/>
                <w:szCs w:val="24"/>
              </w:rPr>
              <w:t>2</w:t>
            </w:r>
            <w:r w:rsidRPr="00CE2702">
              <w:rPr>
                <w:rFonts w:hint="eastAsia"/>
                <w:sz w:val="24"/>
                <w:szCs w:val="24"/>
              </w:rPr>
              <w:t>00万元</w:t>
            </w:r>
          </w:p>
        </w:tc>
        <w:tc>
          <w:tcPr>
            <w:tcW w:w="3294" w:type="dxa"/>
            <w:vAlign w:val="center"/>
          </w:tcPr>
          <w:p w14:paraId="5DC9BCF7" w14:textId="6BE410E3" w:rsidR="007853B3" w:rsidRPr="007853B3" w:rsidRDefault="007853B3" w:rsidP="007853B3">
            <w:pPr>
              <w:pStyle w:val="20"/>
              <w:adjustRightInd w:val="0"/>
              <w:snapToGrid w:val="0"/>
              <w:ind w:firstLineChars="0" w:firstLine="0"/>
              <w:jc w:val="center"/>
              <w:rPr>
                <w:sz w:val="24"/>
              </w:rPr>
            </w:pPr>
            <w:r w:rsidRPr="00CE2702">
              <w:rPr>
                <w:rFonts w:hint="eastAsia"/>
                <w:sz w:val="24"/>
                <w:szCs w:val="24"/>
              </w:rPr>
              <w:t>0.</w:t>
            </w:r>
            <w:r w:rsidRPr="00CE2702">
              <w:rPr>
                <w:sz w:val="24"/>
                <w:szCs w:val="24"/>
              </w:rPr>
              <w:t>8</w:t>
            </w:r>
            <w:r w:rsidRPr="00CE2702">
              <w:rPr>
                <w:rFonts w:hint="eastAsia"/>
                <w:sz w:val="24"/>
                <w:szCs w:val="24"/>
              </w:rPr>
              <w:t>0%</w:t>
            </w:r>
          </w:p>
        </w:tc>
      </w:tr>
      <w:tr w:rsidR="007853B3" w14:paraId="00FB42AF" w14:textId="77777777" w:rsidTr="00DB3A01">
        <w:trPr>
          <w:trHeight w:val="42"/>
          <w:jc w:val="center"/>
        </w:trPr>
        <w:tc>
          <w:tcPr>
            <w:tcW w:w="2089" w:type="dxa"/>
            <w:vMerge/>
            <w:tcMar>
              <w:top w:w="15" w:type="dxa"/>
              <w:left w:w="15" w:type="dxa"/>
              <w:bottom w:w="0" w:type="dxa"/>
              <w:right w:w="15" w:type="dxa"/>
            </w:tcMar>
            <w:vAlign w:val="center"/>
          </w:tcPr>
          <w:p w14:paraId="3C46E04E" w14:textId="77777777" w:rsidR="007853B3" w:rsidRDefault="007853B3" w:rsidP="007853B3">
            <w:pPr>
              <w:pStyle w:val="20"/>
              <w:adjustRightInd w:val="0"/>
              <w:snapToGrid w:val="0"/>
              <w:ind w:firstLineChars="0" w:firstLine="0"/>
              <w:jc w:val="center"/>
              <w:rPr>
                <w:sz w:val="24"/>
              </w:rPr>
            </w:pPr>
          </w:p>
        </w:tc>
        <w:tc>
          <w:tcPr>
            <w:tcW w:w="3114" w:type="dxa"/>
            <w:tcMar>
              <w:top w:w="15" w:type="dxa"/>
              <w:left w:w="15" w:type="dxa"/>
              <w:bottom w:w="0" w:type="dxa"/>
              <w:right w:w="15" w:type="dxa"/>
            </w:tcMar>
            <w:vAlign w:val="center"/>
          </w:tcPr>
          <w:p w14:paraId="0617D8B8" w14:textId="07CCF705" w:rsidR="007853B3" w:rsidRPr="007853B3" w:rsidRDefault="007853B3" w:rsidP="007853B3">
            <w:pPr>
              <w:pStyle w:val="20"/>
              <w:adjustRightInd w:val="0"/>
              <w:snapToGrid w:val="0"/>
              <w:ind w:firstLineChars="0" w:firstLine="0"/>
              <w:jc w:val="center"/>
              <w:rPr>
                <w:sz w:val="24"/>
              </w:rPr>
            </w:pPr>
            <w:r w:rsidRPr="00CE2702">
              <w:rPr>
                <w:sz w:val="24"/>
                <w:szCs w:val="24"/>
              </w:rPr>
              <w:t>2</w:t>
            </w:r>
            <w:r w:rsidRPr="00CE2702">
              <w:rPr>
                <w:rFonts w:hint="eastAsia"/>
                <w:sz w:val="24"/>
                <w:szCs w:val="24"/>
              </w:rPr>
              <w:t>00万元≤M＜500万元</w:t>
            </w:r>
          </w:p>
        </w:tc>
        <w:tc>
          <w:tcPr>
            <w:tcW w:w="3294" w:type="dxa"/>
            <w:vAlign w:val="center"/>
          </w:tcPr>
          <w:p w14:paraId="5BE1D027" w14:textId="73BB73CB" w:rsidR="007853B3" w:rsidRPr="007853B3" w:rsidRDefault="007853B3" w:rsidP="007853B3">
            <w:pPr>
              <w:pStyle w:val="20"/>
              <w:adjustRightInd w:val="0"/>
              <w:snapToGrid w:val="0"/>
              <w:ind w:firstLineChars="0" w:firstLine="0"/>
              <w:jc w:val="center"/>
              <w:rPr>
                <w:sz w:val="24"/>
              </w:rPr>
            </w:pPr>
            <w:r w:rsidRPr="00CE2702">
              <w:rPr>
                <w:rFonts w:hint="eastAsia"/>
                <w:sz w:val="24"/>
                <w:szCs w:val="24"/>
              </w:rPr>
              <w:t>0</w:t>
            </w:r>
            <w:r w:rsidRPr="00CE2702">
              <w:rPr>
                <w:sz w:val="24"/>
                <w:szCs w:val="24"/>
              </w:rPr>
              <w:t>.50%</w:t>
            </w:r>
          </w:p>
        </w:tc>
      </w:tr>
      <w:tr w:rsidR="007853B3" w14:paraId="23C16A01" w14:textId="77777777" w:rsidTr="00DB3A01">
        <w:trPr>
          <w:trHeight w:val="42"/>
          <w:jc w:val="center"/>
        </w:trPr>
        <w:tc>
          <w:tcPr>
            <w:tcW w:w="2089" w:type="dxa"/>
            <w:vMerge/>
            <w:tcMar>
              <w:top w:w="15" w:type="dxa"/>
              <w:left w:w="15" w:type="dxa"/>
              <w:bottom w:w="0" w:type="dxa"/>
              <w:right w:w="15" w:type="dxa"/>
            </w:tcMar>
            <w:vAlign w:val="center"/>
          </w:tcPr>
          <w:p w14:paraId="2918AA34" w14:textId="77777777" w:rsidR="007853B3" w:rsidRDefault="007853B3" w:rsidP="007853B3">
            <w:pPr>
              <w:pStyle w:val="20"/>
              <w:adjustRightInd w:val="0"/>
              <w:snapToGrid w:val="0"/>
              <w:ind w:firstLineChars="0" w:firstLine="0"/>
              <w:jc w:val="center"/>
              <w:rPr>
                <w:sz w:val="24"/>
              </w:rPr>
            </w:pPr>
          </w:p>
        </w:tc>
        <w:tc>
          <w:tcPr>
            <w:tcW w:w="3114" w:type="dxa"/>
            <w:tcMar>
              <w:top w:w="15" w:type="dxa"/>
              <w:left w:w="15" w:type="dxa"/>
              <w:bottom w:w="0" w:type="dxa"/>
              <w:right w:w="15" w:type="dxa"/>
            </w:tcMar>
            <w:vAlign w:val="center"/>
          </w:tcPr>
          <w:p w14:paraId="324652A6" w14:textId="2F14E3C6" w:rsidR="007853B3" w:rsidRPr="007853B3" w:rsidRDefault="007853B3" w:rsidP="007853B3">
            <w:pPr>
              <w:pStyle w:val="20"/>
              <w:adjustRightInd w:val="0"/>
              <w:snapToGrid w:val="0"/>
              <w:ind w:firstLineChars="0" w:firstLine="0"/>
              <w:jc w:val="center"/>
              <w:rPr>
                <w:sz w:val="24"/>
              </w:rPr>
            </w:pPr>
            <w:r w:rsidRPr="00CE2702">
              <w:rPr>
                <w:rFonts w:hint="eastAsia"/>
                <w:sz w:val="24"/>
                <w:szCs w:val="24"/>
              </w:rPr>
              <w:t>M≥500万元</w:t>
            </w:r>
          </w:p>
        </w:tc>
        <w:tc>
          <w:tcPr>
            <w:tcW w:w="3294" w:type="dxa"/>
            <w:vAlign w:val="center"/>
          </w:tcPr>
          <w:p w14:paraId="4EDD8844" w14:textId="4F72FC9E" w:rsidR="007853B3" w:rsidRPr="007853B3" w:rsidRDefault="007853B3" w:rsidP="007853B3">
            <w:pPr>
              <w:pStyle w:val="20"/>
              <w:adjustRightInd w:val="0"/>
              <w:snapToGrid w:val="0"/>
              <w:ind w:firstLineChars="0" w:firstLine="0"/>
              <w:jc w:val="center"/>
              <w:rPr>
                <w:sz w:val="24"/>
              </w:rPr>
            </w:pPr>
            <w:r w:rsidRPr="00CE2702">
              <w:rPr>
                <w:rFonts w:hint="eastAsia"/>
                <w:sz w:val="24"/>
                <w:szCs w:val="24"/>
              </w:rPr>
              <w:t>按笔固定收取，</w:t>
            </w:r>
            <w:r w:rsidRPr="00CE2702">
              <w:rPr>
                <w:sz w:val="24"/>
                <w:szCs w:val="24"/>
              </w:rPr>
              <w:t>1000元/笔</w:t>
            </w:r>
          </w:p>
        </w:tc>
      </w:tr>
    </w:tbl>
    <w:p w14:paraId="4239F73C" w14:textId="77777777" w:rsidR="00BF4A4E" w:rsidRDefault="00BF4A4E">
      <w:pPr>
        <w:pStyle w:val="20"/>
        <w:adjustRightInd w:val="0"/>
        <w:snapToGrid w:val="0"/>
        <w:ind w:firstLine="480"/>
        <w:rPr>
          <w:sz w:val="24"/>
        </w:rPr>
      </w:pPr>
      <w:r>
        <w:rPr>
          <w:rFonts w:hint="eastAsia"/>
          <w:sz w:val="24"/>
        </w:rPr>
        <w:t>本基金A类</w:t>
      </w:r>
      <w:r>
        <w:rPr>
          <w:sz w:val="24"/>
        </w:rPr>
        <w:t>基金份额</w:t>
      </w:r>
      <w:r>
        <w:rPr>
          <w:rFonts w:hint="eastAsia"/>
          <w:sz w:val="24"/>
        </w:rPr>
        <w:t>的认购费由提出认购该类基金</w:t>
      </w:r>
      <w:r>
        <w:rPr>
          <w:sz w:val="24"/>
        </w:rPr>
        <w:t>份额</w:t>
      </w:r>
      <w:r>
        <w:rPr>
          <w:rFonts w:hint="eastAsia"/>
          <w:sz w:val="24"/>
        </w:rPr>
        <w:t>申请并成功确认的投资人承担。基金认购费用不列入基金财产，主要用于本基金的市场推广、销售、登记等募集期间发生的各项费用。募集期间发生的信息披露费、会计师费和律师费等各项费用，不从基金财产中列支。若投资人重复认购本基金A类</w:t>
      </w:r>
      <w:r>
        <w:rPr>
          <w:sz w:val="24"/>
        </w:rPr>
        <w:t>基金份额</w:t>
      </w:r>
      <w:r>
        <w:rPr>
          <w:rFonts w:hint="eastAsia"/>
          <w:sz w:val="24"/>
        </w:rPr>
        <w:t>时，需按单笔认购金额对应的认购费率分别计算认购费用。</w:t>
      </w:r>
    </w:p>
    <w:p w14:paraId="44CE9376" w14:textId="1A9FF92C" w:rsidR="00BF4A4E" w:rsidRDefault="00BF4A4E">
      <w:pPr>
        <w:pStyle w:val="20"/>
        <w:adjustRightInd w:val="0"/>
        <w:snapToGrid w:val="0"/>
        <w:ind w:firstLine="480"/>
        <w:rPr>
          <w:sz w:val="24"/>
        </w:rPr>
      </w:pPr>
      <w:r>
        <w:rPr>
          <w:rFonts w:hint="eastAsia"/>
          <w:sz w:val="24"/>
        </w:rPr>
        <w:t>本基金C类</w:t>
      </w:r>
      <w:r>
        <w:rPr>
          <w:sz w:val="24"/>
        </w:rPr>
        <w:t>基金份额不收取</w:t>
      </w:r>
      <w:r>
        <w:rPr>
          <w:rFonts w:hint="eastAsia"/>
          <w:sz w:val="24"/>
        </w:rPr>
        <w:t>认购</w:t>
      </w:r>
      <w:r>
        <w:rPr>
          <w:sz w:val="24"/>
        </w:rPr>
        <w:t>费用，</w:t>
      </w:r>
      <w:r>
        <w:rPr>
          <w:rFonts w:hint="eastAsia"/>
          <w:sz w:val="24"/>
        </w:rPr>
        <w:t>而是</w:t>
      </w:r>
      <w:r>
        <w:rPr>
          <w:sz w:val="24"/>
        </w:rPr>
        <w:t>从该类别基金资产中计提销售服务费。</w:t>
      </w:r>
    </w:p>
    <w:p w14:paraId="43FBF2EE" w14:textId="77777777" w:rsidR="00BF4A4E" w:rsidRDefault="00BF4A4E">
      <w:pPr>
        <w:pStyle w:val="20"/>
        <w:adjustRightInd w:val="0"/>
        <w:snapToGrid w:val="0"/>
        <w:ind w:firstLine="480"/>
        <w:rPr>
          <w:sz w:val="24"/>
        </w:rPr>
      </w:pPr>
      <w:r>
        <w:rPr>
          <w:rFonts w:hint="eastAsia"/>
          <w:sz w:val="24"/>
        </w:rPr>
        <w:t>十四、认购份额的计算</w:t>
      </w:r>
    </w:p>
    <w:p w14:paraId="33A35EDE" w14:textId="77777777" w:rsidR="00BF4A4E" w:rsidRDefault="00BF4A4E">
      <w:pPr>
        <w:pStyle w:val="20"/>
        <w:adjustRightInd w:val="0"/>
        <w:snapToGrid w:val="0"/>
        <w:ind w:firstLine="480"/>
        <w:rPr>
          <w:sz w:val="24"/>
        </w:rPr>
      </w:pPr>
      <w:r>
        <w:rPr>
          <w:rFonts w:hint="eastAsia"/>
          <w:sz w:val="24"/>
        </w:rPr>
        <w:t>认购份额、</w:t>
      </w:r>
      <w:r>
        <w:rPr>
          <w:sz w:val="24"/>
        </w:rPr>
        <w:t>认购金额</w:t>
      </w:r>
      <w:r>
        <w:rPr>
          <w:rFonts w:hint="eastAsia"/>
          <w:sz w:val="24"/>
        </w:rPr>
        <w:t>计算结果保留到小数点后两位，小数点后两位以后的部分舍去，舍去部分所代表的资产归基金财产所有。</w:t>
      </w:r>
    </w:p>
    <w:p w14:paraId="1D7B2C4A" w14:textId="77777777" w:rsidR="00BF4A4E" w:rsidRDefault="00BF4A4E">
      <w:pPr>
        <w:pStyle w:val="20"/>
        <w:adjustRightInd w:val="0"/>
        <w:snapToGrid w:val="0"/>
        <w:ind w:firstLine="480"/>
        <w:rPr>
          <w:sz w:val="24"/>
        </w:rPr>
      </w:pPr>
      <w:r>
        <w:rPr>
          <w:rFonts w:hint="eastAsia"/>
          <w:sz w:val="24"/>
        </w:rPr>
        <w:t>1、本基金A类</w:t>
      </w:r>
      <w:r>
        <w:rPr>
          <w:sz w:val="24"/>
        </w:rPr>
        <w:t>基金份额的</w:t>
      </w:r>
      <w:r>
        <w:rPr>
          <w:rFonts w:hint="eastAsia"/>
          <w:sz w:val="24"/>
        </w:rPr>
        <w:t>认购份额的计算公式如下：</w:t>
      </w:r>
    </w:p>
    <w:p w14:paraId="195ECADB" w14:textId="77777777" w:rsidR="00BF4A4E" w:rsidRDefault="00BF4A4E">
      <w:pPr>
        <w:pStyle w:val="20"/>
        <w:adjustRightInd w:val="0"/>
        <w:snapToGrid w:val="0"/>
        <w:ind w:firstLine="480"/>
        <w:rPr>
          <w:sz w:val="24"/>
        </w:rPr>
      </w:pPr>
      <w:r>
        <w:rPr>
          <w:rFonts w:hint="eastAsia"/>
          <w:sz w:val="24"/>
        </w:rPr>
        <w:t>净认购金额=认购金额/（1＋认购费率）</w:t>
      </w:r>
    </w:p>
    <w:p w14:paraId="64990155" w14:textId="77777777" w:rsidR="00BF4A4E" w:rsidRDefault="00BF4A4E">
      <w:pPr>
        <w:pStyle w:val="20"/>
        <w:adjustRightInd w:val="0"/>
        <w:snapToGrid w:val="0"/>
        <w:ind w:firstLine="480"/>
        <w:rPr>
          <w:sz w:val="24"/>
        </w:rPr>
      </w:pPr>
      <w:r>
        <w:rPr>
          <w:rFonts w:hint="eastAsia"/>
          <w:sz w:val="24"/>
        </w:rPr>
        <w:t>（注：对于适用固定金额认购费的认购，净认购金额=认购金额-固定认购费</w:t>
      </w:r>
      <w:r>
        <w:rPr>
          <w:rFonts w:hint="eastAsia"/>
          <w:sz w:val="24"/>
        </w:rPr>
        <w:lastRenderedPageBreak/>
        <w:t>金额）</w:t>
      </w:r>
    </w:p>
    <w:p w14:paraId="5CD5088C" w14:textId="77777777" w:rsidR="00BF4A4E" w:rsidRDefault="00BF4A4E">
      <w:pPr>
        <w:pStyle w:val="20"/>
        <w:adjustRightInd w:val="0"/>
        <w:snapToGrid w:val="0"/>
        <w:ind w:firstLine="480"/>
        <w:rPr>
          <w:sz w:val="24"/>
        </w:rPr>
      </w:pPr>
      <w:r>
        <w:rPr>
          <w:rFonts w:hint="eastAsia"/>
          <w:sz w:val="24"/>
        </w:rPr>
        <w:t>认购费用=认购金额-净认购金额</w:t>
      </w:r>
    </w:p>
    <w:p w14:paraId="73B5C78F" w14:textId="77777777" w:rsidR="00BF4A4E" w:rsidRDefault="00BF4A4E">
      <w:pPr>
        <w:pStyle w:val="20"/>
        <w:adjustRightInd w:val="0"/>
        <w:snapToGrid w:val="0"/>
        <w:ind w:firstLine="480"/>
        <w:rPr>
          <w:sz w:val="24"/>
        </w:rPr>
      </w:pPr>
      <w:r>
        <w:rPr>
          <w:rFonts w:hint="eastAsia"/>
          <w:sz w:val="24"/>
        </w:rPr>
        <w:t>（注：对于适用固定金额认购费的认购，认购费用=固定认购费金额）</w:t>
      </w:r>
    </w:p>
    <w:p w14:paraId="1FB5BDF3" w14:textId="77777777" w:rsidR="00BF4A4E" w:rsidRDefault="00BF4A4E">
      <w:pPr>
        <w:pStyle w:val="20"/>
        <w:adjustRightInd w:val="0"/>
        <w:snapToGrid w:val="0"/>
        <w:ind w:firstLine="480"/>
        <w:rPr>
          <w:sz w:val="24"/>
        </w:rPr>
      </w:pPr>
      <w:r>
        <w:rPr>
          <w:rFonts w:hint="eastAsia"/>
          <w:sz w:val="24"/>
        </w:rPr>
        <w:t>认购份额=（净认购金额＋利息）/基金份额发售面值</w:t>
      </w:r>
    </w:p>
    <w:p w14:paraId="1A44D6A4" w14:textId="29A03C75" w:rsidR="00BF4A4E" w:rsidRDefault="00BF4A4E">
      <w:pPr>
        <w:pStyle w:val="20"/>
        <w:adjustRightInd w:val="0"/>
        <w:snapToGrid w:val="0"/>
        <w:ind w:firstLine="480"/>
        <w:rPr>
          <w:sz w:val="24"/>
        </w:rPr>
      </w:pPr>
      <w:r>
        <w:rPr>
          <w:rFonts w:hint="eastAsia"/>
          <w:sz w:val="24"/>
        </w:rPr>
        <w:t>例1：某投资人在认购期内投资</w:t>
      </w:r>
      <w:r w:rsidR="00F37CFE">
        <w:rPr>
          <w:sz w:val="24"/>
        </w:rPr>
        <w:t>7</w:t>
      </w:r>
      <w:r w:rsidR="00F37CFE">
        <w:rPr>
          <w:rFonts w:hint="eastAsia"/>
          <w:sz w:val="24"/>
        </w:rPr>
        <w:t>00</w:t>
      </w:r>
      <w:r>
        <w:rPr>
          <w:rFonts w:hint="eastAsia"/>
          <w:sz w:val="24"/>
        </w:rPr>
        <w:t>,000.00元认购本基金A类</w:t>
      </w:r>
      <w:r>
        <w:rPr>
          <w:sz w:val="24"/>
        </w:rPr>
        <w:t>基金份额</w:t>
      </w:r>
      <w:r>
        <w:rPr>
          <w:rFonts w:hint="eastAsia"/>
          <w:sz w:val="24"/>
        </w:rPr>
        <w:t>，认购费率为</w:t>
      </w:r>
      <w:r w:rsidR="00ED7DCA">
        <w:rPr>
          <w:sz w:val="24"/>
        </w:rPr>
        <w:t>1</w:t>
      </w:r>
      <w:r w:rsidR="00F37CFE">
        <w:rPr>
          <w:sz w:val="24"/>
        </w:rPr>
        <w:t>.</w:t>
      </w:r>
      <w:r w:rsidR="00ED7DCA">
        <w:rPr>
          <w:sz w:val="24"/>
        </w:rPr>
        <w:t>00</w:t>
      </w:r>
      <w:r>
        <w:rPr>
          <w:rFonts w:hint="eastAsia"/>
          <w:sz w:val="24"/>
        </w:rPr>
        <w:t>%，假设这</w:t>
      </w:r>
      <w:r w:rsidR="00F37CFE">
        <w:rPr>
          <w:sz w:val="24"/>
        </w:rPr>
        <w:t>7</w:t>
      </w:r>
      <w:r w:rsidR="00F37CFE">
        <w:rPr>
          <w:rFonts w:hint="eastAsia"/>
          <w:sz w:val="24"/>
        </w:rPr>
        <w:t>00</w:t>
      </w:r>
      <w:r>
        <w:rPr>
          <w:rFonts w:hint="eastAsia"/>
          <w:sz w:val="24"/>
        </w:rPr>
        <w:t>,000.00元在认购期间产生的利息为90.00元，则其可得到的</w:t>
      </w:r>
      <w:r w:rsidR="00C74990">
        <w:rPr>
          <w:rFonts w:hint="eastAsia"/>
          <w:sz w:val="24"/>
        </w:rPr>
        <w:t>A类基金份额</w:t>
      </w:r>
      <w:r>
        <w:rPr>
          <w:rFonts w:hint="eastAsia"/>
          <w:sz w:val="24"/>
        </w:rPr>
        <w:t>计算方法为：</w:t>
      </w:r>
    </w:p>
    <w:p w14:paraId="5DEB105E" w14:textId="1F9F4D63" w:rsidR="00BF4A4E" w:rsidRDefault="00BF4A4E">
      <w:pPr>
        <w:pStyle w:val="20"/>
        <w:adjustRightInd w:val="0"/>
        <w:snapToGrid w:val="0"/>
        <w:ind w:firstLine="480"/>
        <w:rPr>
          <w:sz w:val="24"/>
        </w:rPr>
      </w:pPr>
      <w:r>
        <w:rPr>
          <w:rFonts w:hint="eastAsia"/>
          <w:sz w:val="24"/>
        </w:rPr>
        <w:t>净认购金额＝</w:t>
      </w:r>
      <w:r w:rsidR="00872563">
        <w:rPr>
          <w:sz w:val="24"/>
        </w:rPr>
        <w:t>7</w:t>
      </w:r>
      <w:r w:rsidR="00872563">
        <w:rPr>
          <w:rFonts w:hint="eastAsia"/>
          <w:sz w:val="24"/>
        </w:rPr>
        <w:t>00</w:t>
      </w:r>
      <w:r>
        <w:rPr>
          <w:rFonts w:hint="eastAsia"/>
          <w:sz w:val="24"/>
        </w:rPr>
        <w:t>,000.00/(1＋</w:t>
      </w:r>
      <w:r w:rsidR="00385F74">
        <w:rPr>
          <w:sz w:val="24"/>
        </w:rPr>
        <w:t>1</w:t>
      </w:r>
      <w:r w:rsidR="00F37CFE">
        <w:rPr>
          <w:sz w:val="24"/>
        </w:rPr>
        <w:t>.</w:t>
      </w:r>
      <w:r w:rsidR="00385F74">
        <w:rPr>
          <w:sz w:val="24"/>
        </w:rPr>
        <w:t>00</w:t>
      </w:r>
      <w:r>
        <w:rPr>
          <w:rFonts w:hint="eastAsia"/>
          <w:sz w:val="24"/>
        </w:rPr>
        <w:t>%)＝</w:t>
      </w:r>
      <w:r w:rsidR="00872563">
        <w:rPr>
          <w:sz w:val="24"/>
        </w:rPr>
        <w:t>69</w:t>
      </w:r>
      <w:r w:rsidR="00B0270C">
        <w:rPr>
          <w:sz w:val="24"/>
        </w:rPr>
        <w:t>3</w:t>
      </w:r>
      <w:r w:rsidR="00872563">
        <w:rPr>
          <w:rFonts w:hint="eastAsia"/>
          <w:sz w:val="24"/>
        </w:rPr>
        <w:t>,</w:t>
      </w:r>
      <w:r w:rsidR="00B0270C">
        <w:rPr>
          <w:sz w:val="24"/>
        </w:rPr>
        <w:t>069</w:t>
      </w:r>
      <w:r w:rsidR="00872563">
        <w:rPr>
          <w:sz w:val="24"/>
        </w:rPr>
        <w:t>.</w:t>
      </w:r>
      <w:r w:rsidR="00B0270C">
        <w:rPr>
          <w:sz w:val="24"/>
        </w:rPr>
        <w:t>30</w:t>
      </w:r>
      <w:r>
        <w:rPr>
          <w:rFonts w:hint="eastAsia"/>
          <w:sz w:val="24"/>
        </w:rPr>
        <w:t>元</w:t>
      </w:r>
    </w:p>
    <w:p w14:paraId="1DDFC83B" w14:textId="24FFD7C9" w:rsidR="00BF4A4E" w:rsidRDefault="00BF4A4E">
      <w:pPr>
        <w:pStyle w:val="20"/>
        <w:adjustRightInd w:val="0"/>
        <w:snapToGrid w:val="0"/>
        <w:ind w:firstLine="480"/>
        <w:rPr>
          <w:sz w:val="24"/>
        </w:rPr>
      </w:pPr>
      <w:r>
        <w:rPr>
          <w:rFonts w:hint="eastAsia"/>
          <w:sz w:val="24"/>
        </w:rPr>
        <w:t>认购费用＝</w:t>
      </w:r>
      <w:r w:rsidR="00872563">
        <w:rPr>
          <w:sz w:val="24"/>
        </w:rPr>
        <w:t>7</w:t>
      </w:r>
      <w:r w:rsidR="00872563">
        <w:rPr>
          <w:rFonts w:hint="eastAsia"/>
          <w:sz w:val="24"/>
        </w:rPr>
        <w:t>00</w:t>
      </w:r>
      <w:r>
        <w:rPr>
          <w:rFonts w:hint="eastAsia"/>
          <w:sz w:val="24"/>
        </w:rPr>
        <w:t>,000.00－</w:t>
      </w:r>
      <w:r w:rsidR="00B0270C">
        <w:rPr>
          <w:sz w:val="24"/>
        </w:rPr>
        <w:t>693</w:t>
      </w:r>
      <w:r w:rsidR="00B0270C">
        <w:rPr>
          <w:rFonts w:hint="eastAsia"/>
          <w:sz w:val="24"/>
        </w:rPr>
        <w:t>,</w:t>
      </w:r>
      <w:r w:rsidR="00B0270C">
        <w:rPr>
          <w:sz w:val="24"/>
        </w:rPr>
        <w:t>069.30</w:t>
      </w:r>
      <w:r>
        <w:rPr>
          <w:rFonts w:hint="eastAsia"/>
          <w:sz w:val="24"/>
        </w:rPr>
        <w:t>＝</w:t>
      </w:r>
      <w:r w:rsidR="00B0270C">
        <w:rPr>
          <w:sz w:val="24"/>
        </w:rPr>
        <w:t>6</w:t>
      </w:r>
      <w:r w:rsidR="00872563">
        <w:rPr>
          <w:rFonts w:hint="eastAsia"/>
          <w:sz w:val="24"/>
        </w:rPr>
        <w:t>,</w:t>
      </w:r>
      <w:r w:rsidR="00B0270C">
        <w:rPr>
          <w:sz w:val="24"/>
        </w:rPr>
        <w:t>930</w:t>
      </w:r>
      <w:r w:rsidR="00872563">
        <w:rPr>
          <w:sz w:val="24"/>
        </w:rPr>
        <w:t>.</w:t>
      </w:r>
      <w:r w:rsidR="00B0270C">
        <w:rPr>
          <w:sz w:val="24"/>
        </w:rPr>
        <w:t>70</w:t>
      </w:r>
      <w:r>
        <w:rPr>
          <w:rFonts w:hint="eastAsia"/>
          <w:sz w:val="24"/>
        </w:rPr>
        <w:t>元</w:t>
      </w:r>
    </w:p>
    <w:p w14:paraId="2D11505C" w14:textId="673F56EF" w:rsidR="00BF4A4E" w:rsidRDefault="00BF4A4E" w:rsidP="00736663">
      <w:pPr>
        <w:pStyle w:val="20"/>
        <w:adjustRightInd w:val="0"/>
        <w:snapToGrid w:val="0"/>
        <w:ind w:firstLine="480"/>
        <w:rPr>
          <w:sz w:val="24"/>
        </w:rPr>
      </w:pPr>
      <w:r>
        <w:rPr>
          <w:rFonts w:hint="eastAsia"/>
          <w:sz w:val="24"/>
        </w:rPr>
        <w:t>认购份额＝（</w:t>
      </w:r>
      <w:r w:rsidR="00F95A00">
        <w:rPr>
          <w:sz w:val="24"/>
        </w:rPr>
        <w:t>693</w:t>
      </w:r>
      <w:r w:rsidR="00F95A00">
        <w:rPr>
          <w:rFonts w:hint="eastAsia"/>
          <w:sz w:val="24"/>
        </w:rPr>
        <w:t>,</w:t>
      </w:r>
      <w:r w:rsidR="00F95A00">
        <w:rPr>
          <w:sz w:val="24"/>
        </w:rPr>
        <w:t>069.30</w:t>
      </w:r>
      <w:r>
        <w:rPr>
          <w:rFonts w:hint="eastAsia"/>
          <w:sz w:val="24"/>
        </w:rPr>
        <w:t>＋90.00）/1.00＝</w:t>
      </w:r>
      <w:r w:rsidR="00F95A00" w:rsidRPr="00F95A00">
        <w:rPr>
          <w:sz w:val="24"/>
        </w:rPr>
        <w:t>693,159.30</w:t>
      </w:r>
      <w:r>
        <w:rPr>
          <w:rFonts w:hint="eastAsia"/>
          <w:sz w:val="24"/>
        </w:rPr>
        <w:t>份</w:t>
      </w:r>
    </w:p>
    <w:p w14:paraId="0C44937F" w14:textId="6289BED8" w:rsidR="00BF4A4E" w:rsidRDefault="00BF4A4E" w:rsidP="00B912CF">
      <w:pPr>
        <w:pStyle w:val="20"/>
        <w:adjustRightInd w:val="0"/>
        <w:snapToGrid w:val="0"/>
        <w:spacing w:line="460" w:lineRule="exact"/>
        <w:ind w:firstLine="480"/>
        <w:rPr>
          <w:sz w:val="24"/>
        </w:rPr>
      </w:pPr>
      <w:r>
        <w:rPr>
          <w:rFonts w:hint="eastAsia"/>
          <w:sz w:val="24"/>
        </w:rPr>
        <w:t>即：</w:t>
      </w:r>
      <w:r w:rsidR="00DA34BF">
        <w:rPr>
          <w:rFonts w:hint="eastAsia"/>
          <w:sz w:val="24"/>
        </w:rPr>
        <w:t>某</w:t>
      </w:r>
      <w:r>
        <w:rPr>
          <w:rFonts w:hint="eastAsia"/>
          <w:sz w:val="24"/>
        </w:rPr>
        <w:t>投资人投资</w:t>
      </w:r>
      <w:r w:rsidR="00872563">
        <w:rPr>
          <w:sz w:val="24"/>
        </w:rPr>
        <w:t>7</w:t>
      </w:r>
      <w:r w:rsidR="00872563">
        <w:rPr>
          <w:rFonts w:hint="eastAsia"/>
          <w:sz w:val="24"/>
        </w:rPr>
        <w:t>00</w:t>
      </w:r>
      <w:r>
        <w:rPr>
          <w:rFonts w:hint="eastAsia"/>
          <w:sz w:val="24"/>
        </w:rPr>
        <w:t>,000.00元认购本基金</w:t>
      </w:r>
      <w:r w:rsidR="00416217">
        <w:rPr>
          <w:rFonts w:hint="eastAsia"/>
          <w:sz w:val="24"/>
        </w:rPr>
        <w:t>A类基金份额</w:t>
      </w:r>
      <w:r>
        <w:rPr>
          <w:rFonts w:hint="eastAsia"/>
          <w:sz w:val="24"/>
        </w:rPr>
        <w:t>，加上有效认购款在认购期内获得的利息，基金认购期结束后，</w:t>
      </w:r>
      <w:r w:rsidR="009F7007">
        <w:rPr>
          <w:rFonts w:hint="eastAsia"/>
          <w:sz w:val="24"/>
        </w:rPr>
        <w:t>该</w:t>
      </w:r>
      <w:r>
        <w:rPr>
          <w:rFonts w:hint="eastAsia"/>
          <w:sz w:val="24"/>
        </w:rPr>
        <w:t>投资人经确认的A类基金份额为</w:t>
      </w:r>
      <w:r w:rsidR="00F95A00" w:rsidRPr="00F95A00">
        <w:rPr>
          <w:sz w:val="24"/>
        </w:rPr>
        <w:t>693,159.30</w:t>
      </w:r>
      <w:r>
        <w:rPr>
          <w:rFonts w:hint="eastAsia"/>
          <w:sz w:val="24"/>
        </w:rPr>
        <w:t>份。</w:t>
      </w:r>
    </w:p>
    <w:p w14:paraId="3DDB19D9" w14:textId="61323287" w:rsidR="00BF4A4E" w:rsidRDefault="00BF4A4E" w:rsidP="00B912CF">
      <w:pPr>
        <w:pStyle w:val="20"/>
        <w:adjustRightInd w:val="0"/>
        <w:snapToGrid w:val="0"/>
        <w:spacing w:line="460" w:lineRule="exact"/>
        <w:ind w:firstLine="480"/>
        <w:rPr>
          <w:sz w:val="24"/>
        </w:rPr>
      </w:pPr>
      <w:r>
        <w:rPr>
          <w:rFonts w:hint="eastAsia"/>
          <w:sz w:val="24"/>
        </w:rPr>
        <w:t>2、本基金认购C类基金份额的计算公式如下：</w:t>
      </w:r>
    </w:p>
    <w:p w14:paraId="197B61D7" w14:textId="77777777" w:rsidR="00BF4A4E" w:rsidRDefault="00BF4A4E" w:rsidP="00B912CF">
      <w:pPr>
        <w:pStyle w:val="20"/>
        <w:adjustRightInd w:val="0"/>
        <w:snapToGrid w:val="0"/>
        <w:spacing w:line="460" w:lineRule="exact"/>
        <w:ind w:firstLine="480"/>
        <w:rPr>
          <w:sz w:val="24"/>
        </w:rPr>
      </w:pPr>
      <w:r>
        <w:rPr>
          <w:rFonts w:hint="eastAsia"/>
          <w:sz w:val="24"/>
        </w:rPr>
        <w:t>认购份额=（认购金额+利息）/基金份额发售面值</w:t>
      </w:r>
    </w:p>
    <w:p w14:paraId="2D653DF0" w14:textId="777FB7D1" w:rsidR="00BF4A4E" w:rsidRDefault="00BF4A4E" w:rsidP="00B912CF">
      <w:pPr>
        <w:pStyle w:val="20"/>
        <w:adjustRightInd w:val="0"/>
        <w:snapToGrid w:val="0"/>
        <w:spacing w:line="460" w:lineRule="exact"/>
        <w:ind w:firstLine="480"/>
        <w:rPr>
          <w:sz w:val="24"/>
        </w:rPr>
      </w:pPr>
      <w:r>
        <w:rPr>
          <w:rFonts w:hint="eastAsia"/>
          <w:sz w:val="24"/>
        </w:rPr>
        <w:t>例2：某投资人在认购期内投资500,000.00元认购本基金C类基金份额，</w:t>
      </w:r>
      <w:r w:rsidRPr="00EB1ECE">
        <w:rPr>
          <w:rFonts w:hint="eastAsia"/>
          <w:sz w:val="24"/>
        </w:rPr>
        <w:t>假设这500,000.00元在认购期间产生的利息为90.00元，则其可得到的</w:t>
      </w:r>
      <w:r w:rsidRPr="00EB1ECE">
        <w:rPr>
          <w:sz w:val="24"/>
        </w:rPr>
        <w:t>C类基金份额</w:t>
      </w:r>
      <w:r w:rsidRPr="00EB1ECE">
        <w:rPr>
          <w:rFonts w:hint="eastAsia"/>
          <w:sz w:val="24"/>
        </w:rPr>
        <w:t>计算方法为：</w:t>
      </w:r>
    </w:p>
    <w:p w14:paraId="2005E8F2" w14:textId="77777777" w:rsidR="00BF4A4E" w:rsidRDefault="00BF4A4E" w:rsidP="00B912CF">
      <w:pPr>
        <w:pStyle w:val="20"/>
        <w:adjustRightInd w:val="0"/>
        <w:snapToGrid w:val="0"/>
        <w:spacing w:line="460" w:lineRule="exact"/>
        <w:ind w:firstLine="480"/>
        <w:rPr>
          <w:sz w:val="24"/>
        </w:rPr>
      </w:pPr>
      <w:r>
        <w:rPr>
          <w:rFonts w:hint="eastAsia"/>
          <w:sz w:val="24"/>
        </w:rPr>
        <w:t>认购份额=（500,000.00+90.00）/1.00=500,090.00份</w:t>
      </w:r>
    </w:p>
    <w:p w14:paraId="1DC64DB4" w14:textId="0896E0EB" w:rsidR="00BF4A4E" w:rsidRDefault="00BF4A4E" w:rsidP="00B912CF">
      <w:pPr>
        <w:pStyle w:val="20"/>
        <w:adjustRightInd w:val="0"/>
        <w:snapToGrid w:val="0"/>
        <w:spacing w:line="460" w:lineRule="exact"/>
        <w:ind w:firstLine="480"/>
        <w:rPr>
          <w:sz w:val="24"/>
        </w:rPr>
      </w:pPr>
      <w:r>
        <w:rPr>
          <w:rFonts w:hint="eastAsia"/>
          <w:sz w:val="24"/>
        </w:rPr>
        <w:t>即：某投资人投资500,000.00元认购本基金C类基金份额，加上有效认购款在认购期内获得的利息，基金认购期结束后，该投资人经确认的C类基金份额为500,090.00份。</w:t>
      </w:r>
    </w:p>
    <w:p w14:paraId="5B9FB84C" w14:textId="77777777" w:rsidR="00BF4A4E" w:rsidRDefault="00BF4A4E" w:rsidP="00B912CF">
      <w:pPr>
        <w:pStyle w:val="20"/>
        <w:adjustRightInd w:val="0"/>
        <w:snapToGrid w:val="0"/>
        <w:spacing w:line="460" w:lineRule="exact"/>
        <w:ind w:firstLine="480"/>
        <w:rPr>
          <w:sz w:val="24"/>
        </w:rPr>
      </w:pPr>
      <w:r>
        <w:rPr>
          <w:rFonts w:hint="eastAsia"/>
          <w:sz w:val="24"/>
        </w:rPr>
        <w:t>十五、认购的确认</w:t>
      </w:r>
    </w:p>
    <w:p w14:paraId="196E2782" w14:textId="77777777" w:rsidR="00BF4A4E" w:rsidRDefault="00BF4A4E" w:rsidP="00B912CF">
      <w:pPr>
        <w:pStyle w:val="20"/>
        <w:adjustRightInd w:val="0"/>
        <w:snapToGrid w:val="0"/>
        <w:spacing w:line="460" w:lineRule="exact"/>
        <w:ind w:firstLine="480"/>
        <w:rPr>
          <w:sz w:val="24"/>
        </w:rPr>
      </w:pPr>
      <w:r>
        <w:rPr>
          <w:rFonts w:hint="eastAsia"/>
          <w:sz w:val="24"/>
        </w:rPr>
        <w:t>对于T日交易时间内受理的认购申请，登记机构将在T+1日就申请的有效性进行确认，投资人应在T+2日后（包括该日）及时到销售网点柜台或以销售机构规定的其他方式查询认购申请有效性的确认情况。</w:t>
      </w:r>
    </w:p>
    <w:p w14:paraId="31EE6F48" w14:textId="379757F0" w:rsidR="00BF4A4E" w:rsidRDefault="00BF4A4E" w:rsidP="00B912CF">
      <w:pPr>
        <w:pStyle w:val="20"/>
        <w:adjustRightInd w:val="0"/>
        <w:snapToGrid w:val="0"/>
        <w:spacing w:line="460" w:lineRule="exact"/>
        <w:ind w:firstLine="480"/>
        <w:rPr>
          <w:color w:val="000000"/>
          <w:kern w:val="0"/>
          <w:sz w:val="24"/>
        </w:rPr>
      </w:pPr>
      <w:r>
        <w:rPr>
          <w:rFonts w:hint="eastAsia"/>
          <w:sz w:val="24"/>
        </w:rPr>
        <w:t>销售机构对认购申请的受理并不代表该申请一定成功，而仅代表销售机构确实接收到认购申请。认购的确认以登记机构的确认结果为准。对于认购申请及认购份额的确认情况，投资人应及时查询并妥善行使合法权利</w:t>
      </w:r>
      <w:r>
        <w:rPr>
          <w:rFonts w:hint="eastAsia"/>
          <w:bCs/>
          <w:color w:val="000000"/>
          <w:kern w:val="0"/>
          <w:sz w:val="24"/>
        </w:rPr>
        <w:t>，否则，由于投资人怠于查询而产生的投资人任何损失由投资人自行承担</w:t>
      </w:r>
      <w:r>
        <w:rPr>
          <w:rFonts w:hint="eastAsia"/>
          <w:color w:val="000000"/>
          <w:kern w:val="0"/>
          <w:sz w:val="24"/>
        </w:rPr>
        <w:t>。</w:t>
      </w:r>
    </w:p>
    <w:p w14:paraId="232FFAD2" w14:textId="77777777" w:rsidR="00BF4A4E" w:rsidRDefault="00BF4A4E" w:rsidP="00B912CF">
      <w:pPr>
        <w:pStyle w:val="20"/>
        <w:adjustRightInd w:val="0"/>
        <w:snapToGrid w:val="0"/>
        <w:spacing w:line="460" w:lineRule="exact"/>
        <w:ind w:firstLine="480"/>
        <w:rPr>
          <w:sz w:val="24"/>
        </w:rPr>
      </w:pPr>
      <w:r>
        <w:rPr>
          <w:rFonts w:hint="eastAsia"/>
          <w:sz w:val="24"/>
        </w:rPr>
        <w:lastRenderedPageBreak/>
        <w:t>十六、募集期利息的处理方式</w:t>
      </w:r>
    </w:p>
    <w:p w14:paraId="02B5FFB8" w14:textId="0EEE1A4B" w:rsidR="00BF4A4E" w:rsidRDefault="00BF4A4E" w:rsidP="00B912CF">
      <w:pPr>
        <w:pStyle w:val="20"/>
        <w:adjustRightInd w:val="0"/>
        <w:snapToGrid w:val="0"/>
        <w:spacing w:line="460" w:lineRule="exact"/>
        <w:ind w:firstLine="480"/>
        <w:rPr>
          <w:sz w:val="24"/>
        </w:rPr>
      </w:pPr>
      <w:r>
        <w:rPr>
          <w:rFonts w:hint="eastAsia"/>
          <w:sz w:val="24"/>
        </w:rPr>
        <w:t>有效认购款项在募集期间产生的利息将折算为</w:t>
      </w:r>
      <w:r w:rsidR="008A5BCB">
        <w:rPr>
          <w:rFonts w:hint="eastAsia"/>
          <w:sz w:val="24"/>
        </w:rPr>
        <w:t>相应类别的</w:t>
      </w:r>
      <w:r>
        <w:rPr>
          <w:rFonts w:hint="eastAsia"/>
          <w:sz w:val="24"/>
        </w:rPr>
        <w:t>基金份额归基金份额持有人所有，计入基金份额持有人的基金账户，其中利息转份额的具体数额以登记机构的记录为准。有效认购款项利息折算的份额保留到小数点后两位，小数点两位以后的部分舍去，舍去部分所代表的资产归基金财产所有。</w:t>
      </w:r>
    </w:p>
    <w:p w14:paraId="1B1FD684" w14:textId="77777777" w:rsidR="00BF4A4E" w:rsidRDefault="00BF4A4E" w:rsidP="00B912CF">
      <w:pPr>
        <w:pStyle w:val="20"/>
        <w:adjustRightInd w:val="0"/>
        <w:snapToGrid w:val="0"/>
        <w:spacing w:line="460" w:lineRule="exact"/>
        <w:ind w:firstLine="480"/>
        <w:rPr>
          <w:sz w:val="24"/>
        </w:rPr>
      </w:pPr>
      <w:r>
        <w:rPr>
          <w:rFonts w:hint="eastAsia"/>
          <w:sz w:val="24"/>
        </w:rPr>
        <w:t>十七、募集资金的管理</w:t>
      </w:r>
    </w:p>
    <w:p w14:paraId="2F7540ED" w14:textId="77777777" w:rsidR="00BF4A4E" w:rsidRDefault="00BF4A4E" w:rsidP="00B912CF">
      <w:pPr>
        <w:pStyle w:val="20"/>
        <w:adjustRightInd w:val="0"/>
        <w:snapToGrid w:val="0"/>
        <w:spacing w:line="460" w:lineRule="exact"/>
        <w:ind w:firstLine="480"/>
        <w:rPr>
          <w:sz w:val="24"/>
        </w:rPr>
      </w:pPr>
      <w:r>
        <w:rPr>
          <w:sz w:val="24"/>
        </w:rPr>
        <w:t>本基金</w:t>
      </w:r>
      <w:r>
        <w:rPr>
          <w:rFonts w:hint="eastAsia"/>
          <w:sz w:val="24"/>
        </w:rPr>
        <w:t>募集行为结束前，投资人的认购款项只能存入募集账户，任何人不得动用。认购期结束后，由登记机构计算投资人认购应获得的基金份额，基金管理人应在10日内聘请法定验资机构进行认购款项的验资。</w:t>
      </w:r>
    </w:p>
    <w:p w14:paraId="22F186AE" w14:textId="20FD2D6B" w:rsidR="00BF3812" w:rsidRPr="00BF3812" w:rsidRDefault="00BF3812" w:rsidP="00BF3812">
      <w:pPr>
        <w:pStyle w:val="20"/>
        <w:adjustRightInd w:val="0"/>
        <w:snapToGrid w:val="0"/>
        <w:spacing w:line="460" w:lineRule="exact"/>
        <w:ind w:firstLine="480"/>
        <w:rPr>
          <w:sz w:val="24"/>
        </w:rPr>
      </w:pPr>
      <w:r>
        <w:rPr>
          <w:rFonts w:hint="eastAsia"/>
          <w:sz w:val="24"/>
        </w:rPr>
        <w:t>十八、</w:t>
      </w:r>
      <w:r w:rsidRPr="00BF3812">
        <w:rPr>
          <w:rFonts w:hint="eastAsia"/>
          <w:sz w:val="24"/>
        </w:rPr>
        <w:t>本基金与目标ETF的联系和区别</w:t>
      </w:r>
    </w:p>
    <w:p w14:paraId="26C88626" w14:textId="77777777" w:rsidR="00BF3812" w:rsidRPr="00BF3812" w:rsidRDefault="00BF3812" w:rsidP="00BF3812">
      <w:pPr>
        <w:pStyle w:val="20"/>
        <w:adjustRightInd w:val="0"/>
        <w:snapToGrid w:val="0"/>
        <w:spacing w:line="460" w:lineRule="exact"/>
        <w:ind w:firstLine="480"/>
        <w:rPr>
          <w:sz w:val="24"/>
        </w:rPr>
      </w:pPr>
      <w:r w:rsidRPr="00BF3812">
        <w:rPr>
          <w:rFonts w:hint="eastAsia"/>
          <w:sz w:val="24"/>
        </w:rPr>
        <w:t>1、本基金为目标ETF的联接基金，二者既有联系也有区别：</w:t>
      </w:r>
    </w:p>
    <w:p w14:paraId="00D34460" w14:textId="77777777" w:rsidR="001D788E" w:rsidRPr="001D788E" w:rsidRDefault="001D788E" w:rsidP="001D788E">
      <w:pPr>
        <w:pStyle w:val="20"/>
        <w:adjustRightInd w:val="0"/>
        <w:snapToGrid w:val="0"/>
        <w:spacing w:line="460" w:lineRule="exact"/>
        <w:ind w:firstLine="480"/>
        <w:rPr>
          <w:sz w:val="24"/>
        </w:rPr>
      </w:pPr>
      <w:r w:rsidRPr="001D788E">
        <w:rPr>
          <w:rFonts w:hint="eastAsia"/>
          <w:sz w:val="24"/>
        </w:rPr>
        <w:t>（1）在投资方法方面，目标ETF主要采取完全复制法，直接投资于标的指数的成份股及备选成份股；而本基金则采取间接的方法，通过将绝大部分基金财产投资于目标ETF，实现对业绩比较基准的紧密跟踪。</w:t>
      </w:r>
    </w:p>
    <w:p w14:paraId="24C47B96" w14:textId="43F2BA17" w:rsidR="00BF3812" w:rsidRPr="00BF3812" w:rsidRDefault="001D788E" w:rsidP="001D788E">
      <w:pPr>
        <w:pStyle w:val="20"/>
        <w:adjustRightInd w:val="0"/>
        <w:snapToGrid w:val="0"/>
        <w:spacing w:line="460" w:lineRule="exact"/>
        <w:ind w:firstLine="480"/>
        <w:rPr>
          <w:sz w:val="24"/>
        </w:rPr>
      </w:pPr>
      <w:r w:rsidRPr="001D788E">
        <w:rPr>
          <w:rFonts w:hint="eastAsia"/>
          <w:sz w:val="24"/>
        </w:rPr>
        <w:t>（2）在交易方式方面，投资人既可以在二级市场买卖目标ETF，也可以按照申购赎回清单的要求，采用份额申购和份额赎回的方式申赎目标ETF或者按照目标ETF法律文件的约定以其他方式申赎目标ETF；而本基金的申购与赎回则与普通的开放式基金类似，通过基金管理人及销售机构按未知价法采用金额申购、份额赎回的方式进行</w:t>
      </w:r>
      <w:r w:rsidR="00BF3812" w:rsidRPr="00BF3812">
        <w:rPr>
          <w:rFonts w:hint="eastAsia"/>
          <w:sz w:val="24"/>
        </w:rPr>
        <w:t>。</w:t>
      </w:r>
    </w:p>
    <w:p w14:paraId="63C8651B" w14:textId="77777777" w:rsidR="001D788E" w:rsidRPr="001D788E" w:rsidRDefault="001D788E" w:rsidP="001D788E">
      <w:pPr>
        <w:pStyle w:val="20"/>
        <w:adjustRightInd w:val="0"/>
        <w:snapToGrid w:val="0"/>
        <w:spacing w:line="460" w:lineRule="exact"/>
        <w:ind w:firstLine="480"/>
        <w:rPr>
          <w:sz w:val="24"/>
        </w:rPr>
      </w:pPr>
      <w:r w:rsidRPr="001D788E">
        <w:rPr>
          <w:rFonts w:hint="eastAsia"/>
          <w:sz w:val="24"/>
        </w:rPr>
        <w:t>（3）价格揭示机制不同。目标ETF有实时市场交易价格和每个交易日基金份额净值；本基金只揭示每个交易日基金份额净值。</w:t>
      </w:r>
    </w:p>
    <w:p w14:paraId="6758271A" w14:textId="19DBB5D2" w:rsidR="00BF3812" w:rsidRPr="00BF3812" w:rsidRDefault="001D788E" w:rsidP="001D788E">
      <w:pPr>
        <w:pStyle w:val="20"/>
        <w:adjustRightInd w:val="0"/>
        <w:snapToGrid w:val="0"/>
        <w:spacing w:line="460" w:lineRule="exact"/>
        <w:ind w:firstLine="480"/>
        <w:rPr>
          <w:sz w:val="24"/>
        </w:rPr>
      </w:pPr>
      <w:r w:rsidRPr="001D788E">
        <w:rPr>
          <w:rFonts w:hint="eastAsia"/>
          <w:sz w:val="24"/>
        </w:rPr>
        <w:t>（4）申购赎回方式不同。目标ETF的投资人依据申购赎回清单，按以组合证券为主的申购对价、赎回对价进行申购赎回，申购赎回均以份额申报或者按照目标ETF法律文件的约定以其他方式申赎目标ETF；本基金的投资人依据基金份额净值，以金额申购、份额赎回</w:t>
      </w:r>
      <w:r w:rsidR="00BF3812" w:rsidRPr="00BF3812">
        <w:rPr>
          <w:rFonts w:hint="eastAsia"/>
          <w:sz w:val="24"/>
        </w:rPr>
        <w:t>。</w:t>
      </w:r>
    </w:p>
    <w:p w14:paraId="3BE0F4ED" w14:textId="77777777" w:rsidR="00BF3812" w:rsidRPr="00BF3812" w:rsidRDefault="00BF3812" w:rsidP="00BF3812">
      <w:pPr>
        <w:pStyle w:val="20"/>
        <w:adjustRightInd w:val="0"/>
        <w:snapToGrid w:val="0"/>
        <w:spacing w:line="460" w:lineRule="exact"/>
        <w:ind w:firstLine="480"/>
        <w:rPr>
          <w:sz w:val="24"/>
        </w:rPr>
      </w:pPr>
      <w:r w:rsidRPr="00BF3812">
        <w:rPr>
          <w:rFonts w:hint="eastAsia"/>
          <w:sz w:val="24"/>
        </w:rPr>
        <w:t>2、本基金与目标ETF业绩表现可能出现差异。可能引发差异的因素主要包括：</w:t>
      </w:r>
    </w:p>
    <w:p w14:paraId="4020F1D4" w14:textId="6D088194" w:rsidR="00BF3812" w:rsidRPr="00BF3812" w:rsidRDefault="00BF3812" w:rsidP="00BF3812">
      <w:pPr>
        <w:pStyle w:val="20"/>
        <w:adjustRightInd w:val="0"/>
        <w:snapToGrid w:val="0"/>
        <w:spacing w:line="460" w:lineRule="exact"/>
        <w:ind w:firstLine="480"/>
        <w:rPr>
          <w:sz w:val="24"/>
        </w:rPr>
      </w:pPr>
      <w:r w:rsidRPr="00BF3812">
        <w:rPr>
          <w:rFonts w:hint="eastAsia"/>
          <w:sz w:val="24"/>
        </w:rPr>
        <w:t>（1）法律法规对投资比例的要求。目标ETF作为一种特殊的基金品种，可将全部或接近全部的基金资产，用于跟踪标的指数的表现；而本基金作为普通的开放式基金，每个交易日日终在扣除股指期货合约、股票期权合约</w:t>
      </w:r>
      <w:r w:rsidR="009F7007" w:rsidRPr="009F7007">
        <w:rPr>
          <w:rFonts w:hint="eastAsia"/>
          <w:sz w:val="24"/>
        </w:rPr>
        <w:t>和国债期货合</w:t>
      </w:r>
      <w:r w:rsidR="009F7007" w:rsidRPr="009F7007">
        <w:rPr>
          <w:rFonts w:hint="eastAsia"/>
          <w:sz w:val="24"/>
        </w:rPr>
        <w:lastRenderedPageBreak/>
        <w:t>约</w:t>
      </w:r>
      <w:r w:rsidRPr="00BF3812">
        <w:rPr>
          <w:rFonts w:hint="eastAsia"/>
          <w:sz w:val="24"/>
        </w:rPr>
        <w:t>需缴纳的交易保证金后，仍需保持不低于基金资产净值5%的现金（不包括结算备付金、存出保证金、应收申购款等）或者到期日在一年以内的政府债券。</w:t>
      </w:r>
    </w:p>
    <w:p w14:paraId="4AEA21AA" w14:textId="77777777" w:rsidR="00BF3812" w:rsidRPr="00BF3812" w:rsidRDefault="00BF3812" w:rsidP="00BF3812">
      <w:pPr>
        <w:pStyle w:val="20"/>
        <w:adjustRightInd w:val="0"/>
        <w:snapToGrid w:val="0"/>
        <w:spacing w:line="460" w:lineRule="exact"/>
        <w:ind w:firstLine="480"/>
        <w:rPr>
          <w:sz w:val="24"/>
        </w:rPr>
      </w:pPr>
      <w:r w:rsidRPr="00BF3812">
        <w:rPr>
          <w:rFonts w:hint="eastAsia"/>
          <w:sz w:val="24"/>
        </w:rPr>
        <w:t>（2）申购赎回的影响。目标ETF采取实物申赎的方式或者按照目标ETF法律文件的约定以其他方式申赎目标ETF，申购赎回对基金净值影响较小；而本基金申购赎回采用现金方式，大额申赎可能会对基金净值产生一定冲击。</w:t>
      </w:r>
    </w:p>
    <w:p w14:paraId="7E295360" w14:textId="131A53D2" w:rsidR="00817EE7" w:rsidRDefault="00BF3812" w:rsidP="00BF3812">
      <w:pPr>
        <w:pStyle w:val="20"/>
        <w:adjustRightInd w:val="0"/>
        <w:snapToGrid w:val="0"/>
        <w:spacing w:line="460" w:lineRule="exact"/>
        <w:ind w:firstLine="480"/>
        <w:rPr>
          <w:sz w:val="24"/>
        </w:rPr>
      </w:pPr>
      <w:r w:rsidRPr="00BF3812">
        <w:rPr>
          <w:rFonts w:hint="eastAsia"/>
          <w:sz w:val="24"/>
        </w:rPr>
        <w:t>（3）投资管理方式的不同，如在指数化投资过程中，不同的管理方式会导致跟踪指数的水平、技术手段、买入卖出的时机选择等的不同。</w:t>
      </w:r>
    </w:p>
    <w:p w14:paraId="40488CB4" w14:textId="77777777" w:rsidR="00BF4A4E" w:rsidRDefault="00BF4A4E" w:rsidP="00B912CF">
      <w:pPr>
        <w:pStyle w:val="1"/>
        <w:adjustRightInd w:val="0"/>
        <w:snapToGrid w:val="0"/>
        <w:spacing w:before="0" w:after="0" w:line="460" w:lineRule="exact"/>
        <w:jc w:val="center"/>
        <w:rPr>
          <w:rFonts w:ascii="宋体" w:hAnsi="宋体"/>
        </w:rPr>
      </w:pPr>
      <w:r>
        <w:rPr>
          <w:rFonts w:ascii="宋体" w:hAnsi="宋体"/>
        </w:rPr>
        <w:br w:type="page"/>
      </w:r>
      <w:bookmarkStart w:id="41" w:name="_Toc103003349"/>
      <w:r>
        <w:rPr>
          <w:rFonts w:ascii="宋体" w:hAnsi="宋体"/>
        </w:rPr>
        <w:lastRenderedPageBreak/>
        <w:t>第</w:t>
      </w:r>
      <w:r>
        <w:rPr>
          <w:rFonts w:ascii="宋体" w:hAnsi="宋体" w:hint="eastAsia"/>
        </w:rPr>
        <w:t>七</w:t>
      </w:r>
      <w:r>
        <w:rPr>
          <w:rFonts w:ascii="宋体" w:hAnsi="宋体"/>
        </w:rPr>
        <w:t>部分</w:t>
      </w:r>
      <w:r>
        <w:rPr>
          <w:rFonts w:ascii="宋体" w:hAnsi="宋体" w:hint="eastAsia"/>
        </w:rPr>
        <w:t xml:space="preserve">  基金合同的生效</w:t>
      </w:r>
      <w:bookmarkEnd w:id="41"/>
    </w:p>
    <w:p w14:paraId="3A4AAF9B" w14:textId="77777777" w:rsidR="00BF4A4E" w:rsidRDefault="00BF4A4E">
      <w:pPr>
        <w:pStyle w:val="20"/>
        <w:adjustRightInd w:val="0"/>
        <w:snapToGrid w:val="0"/>
        <w:ind w:firstLine="480"/>
        <w:rPr>
          <w:sz w:val="24"/>
        </w:rPr>
      </w:pPr>
    </w:p>
    <w:p w14:paraId="5E3F9B75" w14:textId="77777777" w:rsidR="002855E2" w:rsidRPr="002855E2" w:rsidRDefault="002855E2" w:rsidP="002855E2">
      <w:pPr>
        <w:pStyle w:val="20"/>
        <w:adjustRightInd w:val="0"/>
        <w:snapToGrid w:val="0"/>
        <w:ind w:firstLine="480"/>
        <w:rPr>
          <w:rFonts w:ascii="Times New Roman" w:hAnsi="Times New Roman"/>
          <w:bCs/>
          <w:sz w:val="24"/>
          <w:szCs w:val="24"/>
        </w:rPr>
      </w:pPr>
      <w:r w:rsidRPr="002855E2">
        <w:rPr>
          <w:rFonts w:ascii="Times New Roman" w:hAnsi="Times New Roman" w:hint="eastAsia"/>
          <w:bCs/>
          <w:sz w:val="24"/>
          <w:szCs w:val="24"/>
        </w:rPr>
        <w:t>一、基金备案的条件</w:t>
      </w:r>
    </w:p>
    <w:p w14:paraId="493BC2A7" w14:textId="66B6497F" w:rsidR="002855E2" w:rsidRPr="002855E2" w:rsidRDefault="005D2B88" w:rsidP="002855E2">
      <w:pPr>
        <w:pStyle w:val="20"/>
        <w:adjustRightInd w:val="0"/>
        <w:snapToGrid w:val="0"/>
        <w:ind w:firstLine="480"/>
        <w:rPr>
          <w:rFonts w:ascii="Times New Roman" w:hAnsi="Times New Roman"/>
          <w:bCs/>
          <w:sz w:val="24"/>
          <w:szCs w:val="24"/>
        </w:rPr>
      </w:pPr>
      <w:r>
        <w:rPr>
          <w:rFonts w:hint="eastAsia"/>
          <w:bCs/>
          <w:sz w:val="24"/>
        </w:rPr>
        <w:t>本基金自基金份额发售之日起3个月内，在使用发起资金认购本基金的金额不少于1000万元、且发起资金提供方承诺其认购的基金份额持有期限不少于3年的条件下，基金募集期届满或基金管理人依据法律法规及招募说明书可以决定停止基金发售，并在10日内聘请法定验资机构验资，法定验资机构提交的验资报告需对发起资金提供方及其持有份额进行专门说明。基金管理人自收到验资报告之日起10日内，向中国证监会办理基金备案手续</w:t>
      </w:r>
      <w:r w:rsidR="002855E2" w:rsidRPr="002855E2">
        <w:rPr>
          <w:rFonts w:ascii="Times New Roman" w:hAnsi="Times New Roman" w:hint="eastAsia"/>
          <w:bCs/>
          <w:sz w:val="24"/>
          <w:szCs w:val="24"/>
        </w:rPr>
        <w:t>。</w:t>
      </w:r>
    </w:p>
    <w:p w14:paraId="14A750C5" w14:textId="77777777" w:rsidR="002855E2" w:rsidRPr="002855E2" w:rsidRDefault="002855E2" w:rsidP="002855E2">
      <w:pPr>
        <w:pStyle w:val="20"/>
        <w:adjustRightInd w:val="0"/>
        <w:snapToGrid w:val="0"/>
        <w:ind w:firstLine="480"/>
        <w:rPr>
          <w:rFonts w:ascii="Times New Roman" w:hAnsi="Times New Roman"/>
          <w:bCs/>
          <w:sz w:val="24"/>
          <w:szCs w:val="24"/>
        </w:rPr>
      </w:pPr>
      <w:r w:rsidRPr="002855E2">
        <w:rPr>
          <w:rFonts w:ascii="Times New Roman" w:hAnsi="Times New Roman" w:hint="eastAsia"/>
          <w:bCs/>
          <w:sz w:val="24"/>
          <w:szCs w:val="24"/>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71D24FB5" w14:textId="77777777" w:rsidR="002855E2" w:rsidRPr="002855E2" w:rsidRDefault="002855E2" w:rsidP="002855E2">
      <w:pPr>
        <w:pStyle w:val="20"/>
        <w:adjustRightInd w:val="0"/>
        <w:snapToGrid w:val="0"/>
        <w:ind w:firstLine="480"/>
        <w:rPr>
          <w:rFonts w:ascii="Times New Roman" w:hAnsi="Times New Roman"/>
          <w:bCs/>
          <w:sz w:val="24"/>
          <w:szCs w:val="24"/>
        </w:rPr>
      </w:pPr>
      <w:r w:rsidRPr="002855E2">
        <w:rPr>
          <w:rFonts w:ascii="Times New Roman" w:hAnsi="Times New Roman" w:hint="eastAsia"/>
          <w:bCs/>
          <w:sz w:val="24"/>
          <w:szCs w:val="24"/>
        </w:rPr>
        <w:t>二、基金合同不能生效时募集资金的处理方式</w:t>
      </w:r>
    </w:p>
    <w:p w14:paraId="2C48D129" w14:textId="77777777" w:rsidR="002855E2" w:rsidRPr="002855E2" w:rsidRDefault="002855E2" w:rsidP="002855E2">
      <w:pPr>
        <w:pStyle w:val="20"/>
        <w:adjustRightInd w:val="0"/>
        <w:snapToGrid w:val="0"/>
        <w:ind w:firstLine="480"/>
        <w:rPr>
          <w:rFonts w:ascii="Times New Roman" w:hAnsi="Times New Roman"/>
          <w:bCs/>
          <w:sz w:val="24"/>
          <w:szCs w:val="24"/>
        </w:rPr>
      </w:pPr>
      <w:r w:rsidRPr="002855E2">
        <w:rPr>
          <w:rFonts w:ascii="Times New Roman" w:hAnsi="Times New Roman" w:hint="eastAsia"/>
          <w:bCs/>
          <w:sz w:val="24"/>
          <w:szCs w:val="24"/>
        </w:rPr>
        <w:t>如果募集期限届满，未满足基金备案条件，基金管理人应当承担下列责任：</w:t>
      </w:r>
    </w:p>
    <w:p w14:paraId="008CD5DC" w14:textId="77777777" w:rsidR="002855E2" w:rsidRPr="002855E2" w:rsidRDefault="002855E2" w:rsidP="002855E2">
      <w:pPr>
        <w:pStyle w:val="20"/>
        <w:adjustRightInd w:val="0"/>
        <w:snapToGrid w:val="0"/>
        <w:ind w:firstLine="480"/>
        <w:rPr>
          <w:rFonts w:ascii="Times New Roman" w:hAnsi="Times New Roman"/>
          <w:bCs/>
          <w:sz w:val="24"/>
          <w:szCs w:val="24"/>
        </w:rPr>
      </w:pPr>
      <w:bookmarkStart w:id="42" w:name="_Hlk130210812"/>
      <w:r w:rsidRPr="002855E2">
        <w:rPr>
          <w:rFonts w:ascii="Times New Roman" w:hAnsi="Times New Roman" w:hint="eastAsia"/>
          <w:bCs/>
          <w:sz w:val="24"/>
          <w:szCs w:val="24"/>
        </w:rPr>
        <w:t>1</w:t>
      </w:r>
      <w:r w:rsidRPr="002855E2">
        <w:rPr>
          <w:rFonts w:ascii="Times New Roman" w:hAnsi="Times New Roman" w:hint="eastAsia"/>
          <w:bCs/>
          <w:sz w:val="24"/>
          <w:szCs w:val="24"/>
        </w:rPr>
        <w:t>、以其固有财产承担因募集行为而产生的债务和费用；</w:t>
      </w:r>
    </w:p>
    <w:bookmarkEnd w:id="42"/>
    <w:p w14:paraId="35F502BC" w14:textId="38085137" w:rsidR="002855E2" w:rsidRPr="002855E2" w:rsidRDefault="002855E2" w:rsidP="002855E2">
      <w:pPr>
        <w:pStyle w:val="20"/>
        <w:adjustRightInd w:val="0"/>
        <w:snapToGrid w:val="0"/>
        <w:ind w:firstLine="480"/>
        <w:rPr>
          <w:rFonts w:ascii="Times New Roman" w:hAnsi="Times New Roman"/>
          <w:bCs/>
          <w:sz w:val="24"/>
          <w:szCs w:val="24"/>
        </w:rPr>
      </w:pPr>
      <w:r w:rsidRPr="002855E2">
        <w:rPr>
          <w:rFonts w:ascii="Times New Roman" w:hAnsi="Times New Roman" w:hint="eastAsia"/>
          <w:bCs/>
          <w:sz w:val="24"/>
          <w:szCs w:val="24"/>
        </w:rPr>
        <w:t>2</w:t>
      </w:r>
      <w:r w:rsidRPr="002855E2">
        <w:rPr>
          <w:rFonts w:ascii="Times New Roman" w:hAnsi="Times New Roman" w:hint="eastAsia"/>
          <w:bCs/>
          <w:sz w:val="24"/>
          <w:szCs w:val="24"/>
        </w:rPr>
        <w:t>、在基金募集期限届满后</w:t>
      </w:r>
      <w:r w:rsidRPr="002855E2">
        <w:rPr>
          <w:rFonts w:ascii="Times New Roman" w:hAnsi="Times New Roman" w:hint="eastAsia"/>
          <w:bCs/>
          <w:sz w:val="24"/>
          <w:szCs w:val="24"/>
        </w:rPr>
        <w:t>30</w:t>
      </w:r>
      <w:r w:rsidRPr="002855E2">
        <w:rPr>
          <w:rFonts w:ascii="Times New Roman" w:hAnsi="Times New Roman" w:hint="eastAsia"/>
          <w:bCs/>
          <w:sz w:val="24"/>
          <w:szCs w:val="24"/>
        </w:rPr>
        <w:t>日内返还投资人已</w:t>
      </w:r>
      <w:r w:rsidR="00843ECB">
        <w:rPr>
          <w:rFonts w:ascii="Times New Roman" w:hAnsi="Times New Roman" w:hint="eastAsia"/>
          <w:bCs/>
          <w:sz w:val="24"/>
          <w:szCs w:val="24"/>
        </w:rPr>
        <w:t>缴</w:t>
      </w:r>
      <w:r w:rsidRPr="002855E2">
        <w:rPr>
          <w:rFonts w:ascii="Times New Roman" w:hAnsi="Times New Roman" w:hint="eastAsia"/>
          <w:bCs/>
          <w:sz w:val="24"/>
          <w:szCs w:val="24"/>
        </w:rPr>
        <w:t>纳的款项，并加计银行同期活期存款利息（税后）；</w:t>
      </w:r>
    </w:p>
    <w:p w14:paraId="1376A76A" w14:textId="77777777" w:rsidR="002855E2" w:rsidRPr="002855E2" w:rsidRDefault="002855E2" w:rsidP="002855E2">
      <w:pPr>
        <w:pStyle w:val="20"/>
        <w:adjustRightInd w:val="0"/>
        <w:snapToGrid w:val="0"/>
        <w:ind w:firstLine="480"/>
        <w:rPr>
          <w:rFonts w:ascii="Times New Roman" w:hAnsi="Times New Roman"/>
          <w:bCs/>
          <w:sz w:val="24"/>
          <w:szCs w:val="24"/>
        </w:rPr>
      </w:pPr>
      <w:r w:rsidRPr="002855E2">
        <w:rPr>
          <w:rFonts w:ascii="Times New Roman" w:hAnsi="Times New Roman" w:hint="eastAsia"/>
          <w:bCs/>
          <w:sz w:val="24"/>
          <w:szCs w:val="24"/>
        </w:rPr>
        <w:t>3</w:t>
      </w:r>
      <w:r w:rsidRPr="002855E2">
        <w:rPr>
          <w:rFonts w:ascii="Times New Roman" w:hAnsi="Times New Roman" w:hint="eastAsia"/>
          <w:bCs/>
          <w:sz w:val="24"/>
          <w:szCs w:val="24"/>
        </w:rPr>
        <w:t>、如基金募集失败，基金管理人、基金托管人及销售机构不得请求报酬。基金管理人、基金托管人和销售机构为基金募集支付之一切费用应由各方各自承担。</w:t>
      </w:r>
    </w:p>
    <w:p w14:paraId="4A014687" w14:textId="77777777" w:rsidR="002855E2" w:rsidRPr="002855E2" w:rsidRDefault="002855E2" w:rsidP="002855E2">
      <w:pPr>
        <w:pStyle w:val="20"/>
        <w:adjustRightInd w:val="0"/>
        <w:snapToGrid w:val="0"/>
        <w:ind w:firstLine="480"/>
        <w:rPr>
          <w:rFonts w:ascii="Times New Roman" w:hAnsi="Times New Roman"/>
          <w:bCs/>
          <w:sz w:val="24"/>
          <w:szCs w:val="24"/>
        </w:rPr>
      </w:pPr>
      <w:r w:rsidRPr="002855E2">
        <w:rPr>
          <w:rFonts w:ascii="Times New Roman" w:hAnsi="Times New Roman" w:hint="eastAsia"/>
          <w:bCs/>
          <w:sz w:val="24"/>
          <w:szCs w:val="24"/>
        </w:rPr>
        <w:t>三、基金存续期内的基金份额持有人数量和资产规模</w:t>
      </w:r>
    </w:p>
    <w:p w14:paraId="2DFB8BA6" w14:textId="737A78ED" w:rsidR="005D2B88" w:rsidRDefault="005D2B88" w:rsidP="005D2B88">
      <w:pPr>
        <w:adjustRightInd w:val="0"/>
        <w:snapToGrid w:val="0"/>
        <w:spacing w:line="360" w:lineRule="auto"/>
        <w:ind w:firstLineChars="200" w:firstLine="480"/>
        <w:rPr>
          <w:rFonts w:ascii="宋体" w:hAnsi="宋体"/>
          <w:bCs/>
          <w:color w:val="000000"/>
          <w:kern w:val="0"/>
          <w:sz w:val="24"/>
        </w:rPr>
      </w:pPr>
      <w:r>
        <w:rPr>
          <w:rFonts w:ascii="宋体" w:hAnsi="宋体" w:hint="eastAsia"/>
          <w:bCs/>
          <w:color w:val="000000"/>
          <w:kern w:val="0"/>
          <w:sz w:val="24"/>
        </w:rPr>
        <w:t>基金合同生效之日起三年后的对应自然日，若基金资产净值低于2亿元，本基金应当按照</w:t>
      </w:r>
      <w:r w:rsidR="001D788E" w:rsidRPr="001D788E">
        <w:rPr>
          <w:rFonts w:ascii="宋体" w:hAnsi="宋体" w:hint="eastAsia"/>
          <w:bCs/>
          <w:color w:val="000000"/>
          <w:kern w:val="0"/>
          <w:sz w:val="24"/>
        </w:rPr>
        <w:t>基金合同约定的程序进行清算并终止，且不得通过召开基金份额持有人大会的方式延续。若届时的法律法规或中国证监会规定发生变化，上述终止规定被取消、更改或补充时，则本基金可以参照届时有效的法律法规或中国证监会规定执行</w:t>
      </w:r>
      <w:r>
        <w:rPr>
          <w:rFonts w:ascii="宋体" w:hAnsi="宋体" w:hint="eastAsia"/>
          <w:bCs/>
          <w:color w:val="000000"/>
          <w:kern w:val="0"/>
          <w:sz w:val="24"/>
        </w:rPr>
        <w:t>。</w:t>
      </w:r>
    </w:p>
    <w:p w14:paraId="7FDE4EA0" w14:textId="579C4260" w:rsidR="007853B3" w:rsidRDefault="00504ECA" w:rsidP="007853B3">
      <w:pPr>
        <w:adjustRightInd w:val="0"/>
        <w:snapToGrid w:val="0"/>
        <w:spacing w:line="360" w:lineRule="auto"/>
        <w:ind w:firstLineChars="200" w:firstLine="480"/>
        <w:rPr>
          <w:rFonts w:asciiTheme="majorEastAsia" w:eastAsiaTheme="majorEastAsia" w:hAnsiTheme="majorEastAsia"/>
          <w:bCs/>
          <w:color w:val="000000"/>
          <w:kern w:val="0"/>
          <w:sz w:val="24"/>
        </w:rPr>
      </w:pPr>
      <w:r w:rsidRPr="00504ECA">
        <w:rPr>
          <w:rFonts w:asciiTheme="majorEastAsia" w:eastAsiaTheme="majorEastAsia" w:hAnsiTheme="majorEastAsia" w:hint="eastAsia"/>
          <w:bCs/>
          <w:color w:val="000000"/>
          <w:kern w:val="0"/>
          <w:sz w:val="24"/>
        </w:rPr>
        <w:t>自基金合同生效之日起满3年后本基金继续存续的，连续20个工作日出现基金份额持有人数量不满200人或者基金资产净值低于</w:t>
      </w:r>
      <w:r w:rsidR="007853B3" w:rsidRPr="00225D81">
        <w:rPr>
          <w:rFonts w:asciiTheme="majorEastAsia" w:eastAsiaTheme="majorEastAsia" w:hAnsiTheme="majorEastAsia" w:hint="eastAsia"/>
          <w:bCs/>
          <w:color w:val="000000"/>
          <w:kern w:val="0"/>
          <w:sz w:val="24"/>
        </w:rPr>
        <w:t>5</w:t>
      </w:r>
      <w:r w:rsidR="00A2357B">
        <w:rPr>
          <w:rFonts w:asciiTheme="majorEastAsia" w:eastAsiaTheme="majorEastAsia" w:hAnsiTheme="majorEastAsia" w:hint="eastAsia"/>
          <w:bCs/>
          <w:color w:val="000000"/>
          <w:kern w:val="0"/>
          <w:sz w:val="24"/>
        </w:rPr>
        <w:t>,</w:t>
      </w:r>
      <w:r w:rsidR="007853B3" w:rsidRPr="00225D81">
        <w:rPr>
          <w:rFonts w:asciiTheme="majorEastAsia" w:eastAsiaTheme="majorEastAsia" w:hAnsiTheme="majorEastAsia" w:hint="eastAsia"/>
          <w:bCs/>
          <w:color w:val="000000"/>
          <w:kern w:val="0"/>
          <w:sz w:val="24"/>
        </w:rPr>
        <w:t>000万元情形的，基金</w:t>
      </w:r>
      <w:r w:rsidR="007853B3" w:rsidRPr="00225D81">
        <w:rPr>
          <w:rFonts w:asciiTheme="majorEastAsia" w:eastAsiaTheme="majorEastAsia" w:hAnsiTheme="majorEastAsia" w:hint="eastAsia"/>
          <w:bCs/>
          <w:color w:val="000000"/>
          <w:kern w:val="0"/>
          <w:sz w:val="24"/>
        </w:rPr>
        <w:lastRenderedPageBreak/>
        <w:t>管理人应当在定期报告中予以披露；连续60个工作日出现前述情形的，基金管理人应当在10个工作日内向中国证监会报告并提出解决方案，如转换运作方式、与其他基金合并或者终止基金合同等，并于6个月内召集基金份额持有人大会。</w:t>
      </w:r>
    </w:p>
    <w:p w14:paraId="16BB8F88" w14:textId="0A26CE10" w:rsidR="00BF4A4E" w:rsidRPr="00225D81" w:rsidRDefault="007853B3">
      <w:pPr>
        <w:adjustRightInd w:val="0"/>
        <w:snapToGrid w:val="0"/>
        <w:spacing w:line="360" w:lineRule="auto"/>
        <w:ind w:firstLineChars="200" w:firstLine="480"/>
        <w:rPr>
          <w:rFonts w:asciiTheme="majorEastAsia" w:eastAsiaTheme="majorEastAsia" w:hAnsiTheme="majorEastAsia"/>
          <w:bCs/>
          <w:color w:val="000000"/>
          <w:kern w:val="0"/>
          <w:sz w:val="24"/>
        </w:rPr>
      </w:pPr>
      <w:r w:rsidRPr="00225D81">
        <w:rPr>
          <w:rFonts w:asciiTheme="majorEastAsia" w:eastAsiaTheme="majorEastAsia" w:hAnsiTheme="majorEastAsia" w:hint="eastAsia"/>
          <w:bCs/>
          <w:color w:val="000000"/>
          <w:kern w:val="0"/>
          <w:sz w:val="24"/>
        </w:rPr>
        <w:t>法律法规或中国证监会另有规定时，从其规定。</w:t>
      </w:r>
    </w:p>
    <w:p w14:paraId="347E01BD" w14:textId="77777777" w:rsidR="00BF4A4E" w:rsidRDefault="00BF4A4E">
      <w:pPr>
        <w:pStyle w:val="1"/>
        <w:adjustRightInd w:val="0"/>
        <w:snapToGrid w:val="0"/>
        <w:spacing w:before="0" w:after="0" w:line="360" w:lineRule="auto"/>
        <w:jc w:val="center"/>
        <w:rPr>
          <w:rFonts w:ascii="宋体" w:hAnsi="宋体"/>
        </w:rPr>
      </w:pPr>
      <w:r>
        <w:rPr>
          <w:rFonts w:ascii="宋体" w:hAnsi="宋体"/>
        </w:rPr>
        <w:br w:type="page"/>
      </w:r>
      <w:bookmarkStart w:id="43" w:name="_Toc103003350"/>
      <w:r>
        <w:rPr>
          <w:rFonts w:ascii="宋体" w:hAnsi="宋体"/>
        </w:rPr>
        <w:lastRenderedPageBreak/>
        <w:t>第</w:t>
      </w:r>
      <w:r>
        <w:rPr>
          <w:rFonts w:ascii="宋体" w:hAnsi="宋体" w:hint="eastAsia"/>
        </w:rPr>
        <w:t>八</w:t>
      </w:r>
      <w:r>
        <w:rPr>
          <w:rFonts w:ascii="宋体" w:hAnsi="宋体"/>
        </w:rPr>
        <w:t>部分</w:t>
      </w:r>
      <w:r>
        <w:rPr>
          <w:rFonts w:ascii="宋体" w:hAnsi="宋体" w:hint="eastAsia"/>
        </w:rPr>
        <w:t xml:space="preserve">  基金份额的申购与赎回</w:t>
      </w:r>
      <w:bookmarkEnd w:id="43"/>
    </w:p>
    <w:p w14:paraId="61158560" w14:textId="77777777" w:rsidR="00BF4A4E" w:rsidRDefault="00BF4A4E">
      <w:pPr>
        <w:pStyle w:val="20"/>
        <w:adjustRightInd w:val="0"/>
        <w:snapToGrid w:val="0"/>
        <w:ind w:firstLine="480"/>
        <w:rPr>
          <w:sz w:val="24"/>
        </w:rPr>
      </w:pPr>
    </w:p>
    <w:p w14:paraId="11AAAC4A" w14:textId="77777777" w:rsidR="00BF4A4E" w:rsidRDefault="00BF4A4E">
      <w:pPr>
        <w:pStyle w:val="20"/>
        <w:adjustRightInd w:val="0"/>
        <w:snapToGrid w:val="0"/>
        <w:ind w:firstLine="480"/>
        <w:rPr>
          <w:rFonts w:cs="宋体"/>
          <w:sz w:val="24"/>
        </w:rPr>
      </w:pPr>
      <w:r>
        <w:rPr>
          <w:rFonts w:cs="宋体" w:hint="eastAsia"/>
          <w:sz w:val="24"/>
        </w:rPr>
        <w:t>一、申购和赎回场所</w:t>
      </w:r>
    </w:p>
    <w:p w14:paraId="5BA04263" w14:textId="142A3790" w:rsidR="00BF4A4E" w:rsidRDefault="00BF4A4E">
      <w:pPr>
        <w:pStyle w:val="20"/>
        <w:adjustRightInd w:val="0"/>
        <w:snapToGrid w:val="0"/>
        <w:ind w:firstLine="480"/>
        <w:rPr>
          <w:rFonts w:cs="宋体"/>
          <w:bCs/>
          <w:sz w:val="24"/>
          <w:szCs w:val="24"/>
        </w:rPr>
      </w:pPr>
      <w:r>
        <w:rPr>
          <w:rFonts w:cs="宋体" w:hint="eastAsia"/>
          <w:bCs/>
          <w:sz w:val="24"/>
          <w:szCs w:val="24"/>
        </w:rPr>
        <w:t>本基金的申购与赎回将通过销售机构进行。具体的销售机构将由基金管理人在本招募说明书“第五部分 相关服务机构”</w:t>
      </w:r>
      <w:r>
        <w:rPr>
          <w:rFonts w:cs="宋体"/>
          <w:bCs/>
          <w:sz w:val="24"/>
          <w:szCs w:val="24"/>
        </w:rPr>
        <w:t>列明</w:t>
      </w:r>
      <w:r>
        <w:rPr>
          <w:rFonts w:cs="宋体" w:hint="eastAsia"/>
          <w:bCs/>
          <w:sz w:val="24"/>
          <w:szCs w:val="24"/>
        </w:rPr>
        <w:t>或在基金管理人网站公示。</w:t>
      </w:r>
      <w:r w:rsidR="006E0632" w:rsidRPr="006E0632">
        <w:rPr>
          <w:rFonts w:cs="宋体" w:hint="eastAsia"/>
          <w:bCs/>
          <w:sz w:val="24"/>
          <w:szCs w:val="24"/>
        </w:rPr>
        <w:t>基金管理人可根据情况变更或增减销售机构，并在基金管理人网站公示。若基金管理人或其指定的销售机构开通电话、传真或网上等交易方式，投资人可通过上述方式进行申购与赎回。基金投资人应当在销售机构办理基金销售业务的营业场所或按销售机构提供的其他方式办理基金份额的申购与赎回。</w:t>
      </w:r>
    </w:p>
    <w:p w14:paraId="2E1FAFF3" w14:textId="77777777" w:rsidR="00BF4A4E" w:rsidRDefault="00BF4A4E">
      <w:pPr>
        <w:pStyle w:val="20"/>
        <w:adjustRightInd w:val="0"/>
        <w:snapToGrid w:val="0"/>
        <w:ind w:firstLine="480"/>
        <w:rPr>
          <w:rFonts w:cs="宋体"/>
          <w:sz w:val="24"/>
        </w:rPr>
      </w:pPr>
      <w:r>
        <w:rPr>
          <w:rFonts w:cs="宋体" w:hint="eastAsia"/>
          <w:sz w:val="24"/>
        </w:rPr>
        <w:t>二、基金销售对象</w:t>
      </w:r>
    </w:p>
    <w:p w14:paraId="10ADCAE8" w14:textId="6F98DDFA" w:rsidR="00BF4A4E" w:rsidRDefault="00BF4A4E">
      <w:pPr>
        <w:pStyle w:val="20"/>
        <w:adjustRightInd w:val="0"/>
        <w:snapToGrid w:val="0"/>
        <w:ind w:firstLine="480"/>
        <w:rPr>
          <w:rFonts w:cs="宋体"/>
          <w:sz w:val="24"/>
        </w:rPr>
      </w:pPr>
      <w:r>
        <w:rPr>
          <w:rFonts w:cs="宋体" w:hint="eastAsia"/>
          <w:sz w:val="24"/>
        </w:rPr>
        <w:t>符合法律法规规定的可投资于证券投资基金的个人投资者、机构投资者、合格境外投资者</w:t>
      </w:r>
      <w:r w:rsidR="00FC058F" w:rsidRPr="00FC058F">
        <w:rPr>
          <w:rFonts w:cs="宋体" w:hint="eastAsia"/>
          <w:sz w:val="24"/>
        </w:rPr>
        <w:t>、发起资金提供方</w:t>
      </w:r>
      <w:r>
        <w:rPr>
          <w:rFonts w:cs="宋体" w:hint="eastAsia"/>
          <w:sz w:val="24"/>
        </w:rPr>
        <w:t>以及法律法规或中国证监会允许购买证券投资基金的其他投资人。</w:t>
      </w:r>
    </w:p>
    <w:p w14:paraId="764DE0A6" w14:textId="77777777" w:rsidR="00BF4A4E" w:rsidRDefault="00BF4A4E">
      <w:pPr>
        <w:pStyle w:val="20"/>
        <w:adjustRightInd w:val="0"/>
        <w:snapToGrid w:val="0"/>
        <w:ind w:firstLine="480"/>
        <w:rPr>
          <w:rFonts w:cs="宋体"/>
          <w:sz w:val="24"/>
        </w:rPr>
      </w:pPr>
      <w:r>
        <w:rPr>
          <w:rFonts w:cs="宋体" w:hint="eastAsia"/>
          <w:sz w:val="24"/>
        </w:rPr>
        <w:t>三、申购和赎回的开放日及时间</w:t>
      </w:r>
    </w:p>
    <w:p w14:paraId="24B02D41" w14:textId="77777777" w:rsidR="00BF4A4E" w:rsidRDefault="00BF4A4E">
      <w:pPr>
        <w:pStyle w:val="20"/>
        <w:adjustRightInd w:val="0"/>
        <w:snapToGrid w:val="0"/>
        <w:ind w:firstLine="480"/>
        <w:rPr>
          <w:rFonts w:cs="宋体"/>
          <w:sz w:val="24"/>
        </w:rPr>
      </w:pPr>
      <w:r>
        <w:rPr>
          <w:rFonts w:cs="宋体" w:hint="eastAsia"/>
          <w:sz w:val="24"/>
        </w:rPr>
        <w:t>1、开放日及开放时间</w:t>
      </w:r>
    </w:p>
    <w:p w14:paraId="15C4CE4A" w14:textId="2E9E8258" w:rsidR="00BF4A4E" w:rsidRDefault="00BF4A4E">
      <w:pPr>
        <w:adjustRightInd w:val="0"/>
        <w:snapToGrid w:val="0"/>
        <w:spacing w:line="360" w:lineRule="auto"/>
        <w:ind w:firstLineChars="200" w:firstLine="480"/>
        <w:rPr>
          <w:rFonts w:ascii="宋体" w:hAnsi="宋体"/>
          <w:bCs/>
          <w:sz w:val="24"/>
        </w:rPr>
      </w:pPr>
      <w:r>
        <w:rPr>
          <w:rFonts w:ascii="宋体" w:hAnsi="宋体"/>
          <w:bCs/>
          <w:sz w:val="24"/>
        </w:rPr>
        <w:t>投资人在开放日办理基金份额的申购和赎回，</w:t>
      </w:r>
      <w:r>
        <w:rPr>
          <w:rFonts w:ascii="宋体" w:hAnsi="宋体" w:hint="eastAsia"/>
          <w:bCs/>
          <w:sz w:val="24"/>
        </w:rPr>
        <w:t>开放日的</w:t>
      </w:r>
      <w:r>
        <w:rPr>
          <w:rFonts w:ascii="宋体" w:hAnsi="宋体"/>
          <w:bCs/>
          <w:sz w:val="24"/>
        </w:rPr>
        <w:t>具体业务办理时间为上海证券交易所、深圳证券交易所的正常交易日的交易时间</w:t>
      </w:r>
      <w:r w:rsidR="005A5193">
        <w:rPr>
          <w:rFonts w:ascii="宋体" w:hAnsi="宋体" w:hint="eastAsia"/>
          <w:bCs/>
          <w:sz w:val="24"/>
        </w:rPr>
        <w:t>，</w:t>
      </w:r>
      <w:r>
        <w:rPr>
          <w:rFonts w:ascii="宋体" w:hAnsi="宋体"/>
          <w:bCs/>
          <w:sz w:val="24"/>
        </w:rPr>
        <w:t>但基金管理人根据法律法规、中国证监会的要求或基金合同的规定公告暂停申购、赎回时除外。</w:t>
      </w:r>
    </w:p>
    <w:p w14:paraId="3A2A9EC9" w14:textId="041C4057" w:rsidR="00BF4A4E" w:rsidRDefault="00BF4A4E">
      <w:pPr>
        <w:adjustRightInd w:val="0"/>
        <w:snapToGrid w:val="0"/>
        <w:spacing w:line="360" w:lineRule="auto"/>
        <w:ind w:firstLineChars="200" w:firstLine="480"/>
        <w:rPr>
          <w:rFonts w:ascii="宋体" w:hAnsi="宋体"/>
          <w:bCs/>
          <w:sz w:val="24"/>
        </w:rPr>
      </w:pPr>
      <w:r>
        <w:rPr>
          <w:rFonts w:ascii="宋体" w:hAnsi="宋体"/>
          <w:bCs/>
          <w:sz w:val="24"/>
        </w:rPr>
        <w:t>基金合同生效后，若出现</w:t>
      </w:r>
      <w:r w:rsidR="002E4241">
        <w:rPr>
          <w:rFonts w:ascii="宋体" w:hAnsi="宋体"/>
          <w:bCs/>
          <w:sz w:val="24"/>
        </w:rPr>
        <w:t>不可抗力、</w:t>
      </w:r>
      <w:r>
        <w:rPr>
          <w:rFonts w:ascii="宋体" w:hAnsi="宋体"/>
          <w:bCs/>
          <w:sz w:val="24"/>
        </w:rPr>
        <w:t>新的证券</w:t>
      </w:r>
      <w:r>
        <w:rPr>
          <w:rFonts w:ascii="宋体" w:hAnsi="宋体" w:hint="eastAsia"/>
          <w:bCs/>
          <w:sz w:val="24"/>
        </w:rPr>
        <w:t>/期货</w:t>
      </w:r>
      <w:r>
        <w:rPr>
          <w:rFonts w:ascii="宋体" w:hAnsi="宋体"/>
          <w:bCs/>
          <w:sz w:val="24"/>
        </w:rPr>
        <w:t>交易市场、证券</w:t>
      </w:r>
      <w:r>
        <w:rPr>
          <w:rFonts w:ascii="宋体" w:hAnsi="宋体" w:hint="eastAsia"/>
          <w:bCs/>
          <w:sz w:val="24"/>
        </w:rPr>
        <w:t>/期货</w:t>
      </w:r>
      <w:r>
        <w:rPr>
          <w:rFonts w:ascii="宋体" w:hAnsi="宋体"/>
          <w:bCs/>
          <w:sz w:val="24"/>
        </w:rPr>
        <w:t>交易所交易时间变更或其他特殊情况</w:t>
      </w:r>
      <w:r>
        <w:rPr>
          <w:rFonts w:ascii="宋体" w:hAnsi="宋体" w:hint="eastAsia"/>
          <w:bCs/>
          <w:sz w:val="24"/>
        </w:rPr>
        <w:t>或根据业务需要</w:t>
      </w:r>
      <w:r>
        <w:rPr>
          <w:rFonts w:ascii="宋体" w:hAnsi="宋体"/>
          <w:bCs/>
          <w:sz w:val="24"/>
        </w:rPr>
        <w:t>，基金管理人</w:t>
      </w:r>
      <w:r>
        <w:rPr>
          <w:rFonts w:ascii="宋体" w:hAnsi="宋体" w:hint="eastAsia"/>
          <w:bCs/>
          <w:sz w:val="24"/>
        </w:rPr>
        <w:t>有权</w:t>
      </w:r>
      <w:r>
        <w:rPr>
          <w:rFonts w:ascii="宋体" w:hAnsi="宋体"/>
          <w:bCs/>
          <w:sz w:val="24"/>
        </w:rPr>
        <w:t>视情况对前述开放日及开放时间进行相应的调整，但应在实施日前依照《信息披露办法》的有关规定在</w:t>
      </w:r>
      <w:r>
        <w:rPr>
          <w:rFonts w:ascii="宋体" w:hAnsi="宋体" w:hint="eastAsia"/>
          <w:bCs/>
          <w:sz w:val="24"/>
        </w:rPr>
        <w:t>规定媒介</w:t>
      </w:r>
      <w:r>
        <w:rPr>
          <w:rFonts w:ascii="宋体" w:hAnsi="宋体"/>
          <w:bCs/>
          <w:sz w:val="24"/>
        </w:rPr>
        <w:t>上公告。</w:t>
      </w:r>
    </w:p>
    <w:p w14:paraId="101A5DD0" w14:textId="77777777" w:rsidR="00BF4A4E" w:rsidRDefault="00BF4A4E">
      <w:pPr>
        <w:pStyle w:val="20"/>
        <w:adjustRightInd w:val="0"/>
        <w:snapToGrid w:val="0"/>
        <w:ind w:firstLine="480"/>
        <w:rPr>
          <w:rFonts w:cs="宋体"/>
          <w:sz w:val="24"/>
        </w:rPr>
      </w:pPr>
      <w:r>
        <w:rPr>
          <w:rFonts w:cs="宋体" w:hint="eastAsia"/>
          <w:sz w:val="24"/>
        </w:rPr>
        <w:t>2、申购、赎回开始日及业务办理时间</w:t>
      </w:r>
    </w:p>
    <w:p w14:paraId="5E8DB167" w14:textId="77777777" w:rsidR="00BF4A4E" w:rsidRDefault="00BF4A4E">
      <w:pPr>
        <w:pStyle w:val="20"/>
        <w:adjustRightInd w:val="0"/>
        <w:snapToGrid w:val="0"/>
        <w:ind w:firstLine="480"/>
        <w:rPr>
          <w:rFonts w:cs="宋体"/>
          <w:bCs/>
          <w:sz w:val="24"/>
        </w:rPr>
      </w:pPr>
      <w:r>
        <w:rPr>
          <w:rFonts w:cs="宋体" w:hint="eastAsia"/>
          <w:bCs/>
          <w:sz w:val="24"/>
        </w:rPr>
        <w:t>基金管理人可以根据实际情况依法决定本基金开始办理申购的具体日期，具体业务办理时间在申购开始公告中规定。</w:t>
      </w:r>
    </w:p>
    <w:p w14:paraId="7CDBA923" w14:textId="77777777" w:rsidR="00BF4A4E" w:rsidRDefault="00BF4A4E">
      <w:pPr>
        <w:pStyle w:val="20"/>
        <w:adjustRightInd w:val="0"/>
        <w:snapToGrid w:val="0"/>
        <w:ind w:firstLine="480"/>
        <w:rPr>
          <w:rFonts w:cs="宋体"/>
          <w:bCs/>
          <w:sz w:val="24"/>
        </w:rPr>
      </w:pPr>
      <w:r>
        <w:rPr>
          <w:rFonts w:cs="宋体" w:hint="eastAsia"/>
          <w:bCs/>
          <w:sz w:val="24"/>
        </w:rPr>
        <w:t>基金管理人自基金合同生效之日起不超过3个月开始办理赎回，具体业务办理时间在赎回开始公告中规定。</w:t>
      </w:r>
    </w:p>
    <w:p w14:paraId="11F49310" w14:textId="2482FEBD" w:rsidR="00BF4A4E" w:rsidRDefault="00BF4A4E">
      <w:pPr>
        <w:pStyle w:val="20"/>
        <w:adjustRightInd w:val="0"/>
        <w:snapToGrid w:val="0"/>
        <w:ind w:firstLine="480"/>
        <w:rPr>
          <w:rFonts w:cs="宋体"/>
          <w:bCs/>
          <w:sz w:val="24"/>
        </w:rPr>
      </w:pPr>
      <w:r>
        <w:rPr>
          <w:rFonts w:cs="宋体" w:hint="eastAsia"/>
          <w:bCs/>
          <w:sz w:val="24"/>
        </w:rPr>
        <w:t>在确定申购开始</w:t>
      </w:r>
      <w:r w:rsidR="00085D7A">
        <w:rPr>
          <w:rFonts w:cs="宋体" w:hint="eastAsia"/>
          <w:bCs/>
          <w:sz w:val="24"/>
        </w:rPr>
        <w:t>或</w:t>
      </w:r>
      <w:r>
        <w:rPr>
          <w:rFonts w:cs="宋体" w:hint="eastAsia"/>
          <w:bCs/>
          <w:sz w:val="24"/>
        </w:rPr>
        <w:t>赎回开始时间后，基金管理人应在申购、赎回开放日前依照《信息披露办法》的有关规定在规定媒介上公告申购</w:t>
      </w:r>
      <w:r w:rsidR="00085D7A">
        <w:rPr>
          <w:rFonts w:cs="宋体" w:hint="eastAsia"/>
          <w:bCs/>
          <w:sz w:val="24"/>
        </w:rPr>
        <w:t>或</w:t>
      </w:r>
      <w:r>
        <w:rPr>
          <w:rFonts w:cs="宋体" w:hint="eastAsia"/>
          <w:bCs/>
          <w:sz w:val="24"/>
        </w:rPr>
        <w:t>赎回的开始时间。</w:t>
      </w:r>
    </w:p>
    <w:p w14:paraId="6EBA7D4A" w14:textId="50736469" w:rsidR="00BF4A4E" w:rsidRDefault="00BF4A4E">
      <w:pPr>
        <w:pStyle w:val="20"/>
        <w:adjustRightInd w:val="0"/>
        <w:snapToGrid w:val="0"/>
        <w:ind w:firstLine="480"/>
        <w:rPr>
          <w:rFonts w:cs="宋体"/>
          <w:sz w:val="24"/>
        </w:rPr>
      </w:pPr>
      <w:r>
        <w:rPr>
          <w:rFonts w:cs="宋体" w:hint="eastAsia"/>
          <w:bCs/>
          <w:sz w:val="24"/>
        </w:rPr>
        <w:lastRenderedPageBreak/>
        <w:t>基金管理人不得在基金合同约定之外的日期或者时间办理基金份额的申购、赎回或者转换。投资人在基金合同约定之外的日期和时间提出申购、赎回或转换申请且登记机构确认接受的，其基金份额申购、赎回价格为下一开放日</w:t>
      </w:r>
      <w:r w:rsidR="00C47641">
        <w:rPr>
          <w:rFonts w:cs="宋体" w:hint="eastAsia"/>
          <w:bCs/>
          <w:sz w:val="24"/>
        </w:rPr>
        <w:t>相应类别</w:t>
      </w:r>
      <w:r>
        <w:rPr>
          <w:rFonts w:cs="宋体" w:hint="eastAsia"/>
          <w:bCs/>
          <w:sz w:val="24"/>
        </w:rPr>
        <w:t>基金份额申购、赎回的价格</w:t>
      </w:r>
      <w:r>
        <w:rPr>
          <w:rFonts w:cs="宋体" w:hint="eastAsia"/>
          <w:sz w:val="24"/>
        </w:rPr>
        <w:t>。</w:t>
      </w:r>
    </w:p>
    <w:p w14:paraId="03656DBB" w14:textId="77777777" w:rsidR="00BF4A4E" w:rsidRDefault="00BF4A4E">
      <w:pPr>
        <w:pStyle w:val="20"/>
        <w:adjustRightInd w:val="0"/>
        <w:snapToGrid w:val="0"/>
        <w:ind w:firstLine="480"/>
        <w:rPr>
          <w:rFonts w:cs="宋体"/>
          <w:sz w:val="24"/>
        </w:rPr>
      </w:pPr>
      <w:r>
        <w:rPr>
          <w:rFonts w:cs="宋体" w:hint="eastAsia"/>
          <w:sz w:val="24"/>
        </w:rPr>
        <w:t>四、申购与赎回的原则</w:t>
      </w:r>
    </w:p>
    <w:p w14:paraId="652F5D7F" w14:textId="77777777" w:rsidR="00BF4A4E" w:rsidRDefault="00BF4A4E">
      <w:pPr>
        <w:adjustRightInd w:val="0"/>
        <w:snapToGrid w:val="0"/>
        <w:spacing w:line="360" w:lineRule="auto"/>
        <w:ind w:firstLineChars="200" w:firstLine="480"/>
        <w:rPr>
          <w:rFonts w:ascii="宋体" w:hAnsi="宋体"/>
          <w:bCs/>
          <w:sz w:val="24"/>
        </w:rPr>
      </w:pPr>
      <w:r>
        <w:rPr>
          <w:rFonts w:ascii="宋体" w:hAnsi="宋体"/>
          <w:bCs/>
          <w:sz w:val="24"/>
        </w:rPr>
        <w:t>1</w:t>
      </w:r>
      <w:r>
        <w:rPr>
          <w:rFonts w:ascii="宋体" w:hAnsi="宋体" w:hint="eastAsia"/>
          <w:bCs/>
          <w:sz w:val="24"/>
        </w:rPr>
        <w:t>、“</w:t>
      </w:r>
      <w:r>
        <w:rPr>
          <w:rFonts w:ascii="宋体" w:hAnsi="宋体"/>
          <w:bCs/>
          <w:sz w:val="24"/>
        </w:rPr>
        <w:t>未知价</w:t>
      </w:r>
      <w:r>
        <w:rPr>
          <w:rFonts w:ascii="宋体" w:hAnsi="宋体" w:hint="eastAsia"/>
          <w:bCs/>
          <w:sz w:val="24"/>
        </w:rPr>
        <w:t>”</w:t>
      </w:r>
      <w:r>
        <w:rPr>
          <w:rFonts w:ascii="宋体" w:hAnsi="宋体"/>
          <w:bCs/>
          <w:sz w:val="24"/>
        </w:rPr>
        <w:t>原则，即申购、赎回价格以申请当日收市后计算的</w:t>
      </w:r>
      <w:r>
        <w:rPr>
          <w:rFonts w:ascii="宋体" w:hAnsi="宋体" w:hint="eastAsia"/>
          <w:bCs/>
          <w:sz w:val="24"/>
        </w:rPr>
        <w:t>相应类别的</w:t>
      </w:r>
      <w:r>
        <w:rPr>
          <w:rFonts w:ascii="宋体" w:hAnsi="宋体"/>
          <w:bCs/>
          <w:sz w:val="24"/>
        </w:rPr>
        <w:t>基金份额净值为基准进行计算；</w:t>
      </w:r>
    </w:p>
    <w:p w14:paraId="6522C4AD" w14:textId="77777777" w:rsidR="00BF4A4E" w:rsidRDefault="00BF4A4E">
      <w:pPr>
        <w:adjustRightInd w:val="0"/>
        <w:snapToGrid w:val="0"/>
        <w:spacing w:line="360" w:lineRule="auto"/>
        <w:ind w:firstLineChars="200" w:firstLine="480"/>
        <w:rPr>
          <w:rFonts w:ascii="宋体" w:hAnsi="宋体"/>
          <w:bCs/>
          <w:sz w:val="24"/>
        </w:rPr>
      </w:pPr>
      <w:r>
        <w:rPr>
          <w:rFonts w:ascii="宋体" w:hAnsi="宋体"/>
          <w:bCs/>
          <w:sz w:val="24"/>
        </w:rPr>
        <w:t>2</w:t>
      </w:r>
      <w:r>
        <w:rPr>
          <w:rFonts w:ascii="宋体" w:hAnsi="宋体" w:hint="eastAsia"/>
          <w:bCs/>
          <w:sz w:val="24"/>
        </w:rPr>
        <w:t>、“</w:t>
      </w:r>
      <w:r>
        <w:rPr>
          <w:rFonts w:ascii="宋体" w:hAnsi="宋体"/>
          <w:bCs/>
          <w:sz w:val="24"/>
        </w:rPr>
        <w:t>金额申购、份额赎回</w:t>
      </w:r>
      <w:r>
        <w:rPr>
          <w:rFonts w:ascii="宋体" w:hAnsi="宋体" w:hint="eastAsia"/>
          <w:bCs/>
          <w:sz w:val="24"/>
        </w:rPr>
        <w:t>”</w:t>
      </w:r>
      <w:r>
        <w:rPr>
          <w:rFonts w:ascii="宋体" w:hAnsi="宋体"/>
          <w:bCs/>
          <w:sz w:val="24"/>
        </w:rPr>
        <w:t>原则，即申购以金额申请，赎回以份额申请；</w:t>
      </w:r>
    </w:p>
    <w:p w14:paraId="01DFFE23" w14:textId="77777777" w:rsidR="00BF4A4E" w:rsidRDefault="00BF4A4E">
      <w:pPr>
        <w:adjustRightInd w:val="0"/>
        <w:snapToGrid w:val="0"/>
        <w:spacing w:line="360" w:lineRule="auto"/>
        <w:ind w:firstLineChars="200" w:firstLine="480"/>
        <w:rPr>
          <w:rFonts w:ascii="宋体" w:hAnsi="宋体"/>
          <w:bCs/>
          <w:sz w:val="24"/>
        </w:rPr>
      </w:pPr>
      <w:r>
        <w:rPr>
          <w:rFonts w:ascii="宋体" w:hAnsi="宋体" w:hint="eastAsia"/>
          <w:bCs/>
          <w:sz w:val="24"/>
        </w:rPr>
        <w:t>3、当日的申购与赎回申请可以在基金管理人规定的时间以内撤销，在当日业务办理时间结束后不得撤销；</w:t>
      </w:r>
    </w:p>
    <w:p w14:paraId="09253DAA" w14:textId="77777777" w:rsidR="00BF4A4E" w:rsidRDefault="00BF4A4E">
      <w:pPr>
        <w:adjustRightInd w:val="0"/>
        <w:snapToGrid w:val="0"/>
        <w:spacing w:line="360" w:lineRule="auto"/>
        <w:ind w:firstLineChars="200" w:firstLine="480"/>
        <w:rPr>
          <w:rFonts w:ascii="宋体" w:hAnsi="宋体"/>
          <w:bCs/>
          <w:sz w:val="24"/>
        </w:rPr>
      </w:pPr>
      <w:r>
        <w:rPr>
          <w:rFonts w:ascii="宋体" w:hAnsi="宋体" w:hint="eastAsia"/>
          <w:bCs/>
          <w:sz w:val="24"/>
        </w:rPr>
        <w:t>4、</w:t>
      </w:r>
      <w:r>
        <w:rPr>
          <w:rFonts w:ascii="宋体" w:hAnsi="宋体"/>
          <w:bCs/>
          <w:sz w:val="24"/>
        </w:rPr>
        <w:t>赎回</w:t>
      </w:r>
      <w:r>
        <w:rPr>
          <w:rFonts w:ascii="宋体" w:hAnsi="宋体" w:hint="eastAsia"/>
          <w:bCs/>
          <w:sz w:val="24"/>
        </w:rPr>
        <w:t>遵循“先进先出”原则，即按照投资人持有基金份额登记日期的先后次序进行顺序赎回；</w:t>
      </w:r>
    </w:p>
    <w:p w14:paraId="74BB5808" w14:textId="77777777" w:rsidR="00BF4A4E" w:rsidRDefault="00BF4A4E">
      <w:pPr>
        <w:adjustRightInd w:val="0"/>
        <w:snapToGrid w:val="0"/>
        <w:spacing w:line="360" w:lineRule="auto"/>
        <w:ind w:firstLineChars="200" w:firstLine="480"/>
        <w:rPr>
          <w:rFonts w:ascii="宋体" w:hAnsi="宋体"/>
          <w:bCs/>
          <w:sz w:val="24"/>
        </w:rPr>
      </w:pPr>
      <w:r>
        <w:rPr>
          <w:rFonts w:ascii="宋体" w:hAnsi="宋体" w:hint="eastAsia"/>
          <w:bCs/>
          <w:sz w:val="24"/>
        </w:rPr>
        <w:t>5、办理申购、赎回业务时，应当遵循基金份额持有人利益优先原则，确保投资者的合法权益不受损害并得到公平对待。</w:t>
      </w:r>
    </w:p>
    <w:p w14:paraId="522D215C" w14:textId="75E0027B" w:rsidR="00BF4A4E" w:rsidRDefault="00BF4A4E">
      <w:pPr>
        <w:pStyle w:val="20"/>
        <w:adjustRightInd w:val="0"/>
        <w:snapToGrid w:val="0"/>
        <w:ind w:firstLine="480"/>
        <w:rPr>
          <w:rFonts w:cs="宋体"/>
          <w:sz w:val="24"/>
        </w:rPr>
      </w:pPr>
      <w:r>
        <w:rPr>
          <w:rFonts w:cs="宋体" w:hint="eastAsia"/>
          <w:bCs/>
          <w:sz w:val="24"/>
        </w:rPr>
        <w:t>基金管理人可在</w:t>
      </w:r>
      <w:r w:rsidR="00CA3B08">
        <w:rPr>
          <w:rFonts w:cs="宋体" w:hint="eastAsia"/>
          <w:bCs/>
          <w:sz w:val="24"/>
        </w:rPr>
        <w:t>不违反</w:t>
      </w:r>
      <w:r>
        <w:rPr>
          <w:rFonts w:cs="宋体" w:hint="eastAsia"/>
          <w:bCs/>
          <w:sz w:val="24"/>
        </w:rPr>
        <w:t>法律法规的情况下，对上述原则进行调整。基金管理人</w:t>
      </w:r>
      <w:r w:rsidR="00BD2E36">
        <w:rPr>
          <w:rFonts w:cs="宋体" w:hint="eastAsia"/>
          <w:bCs/>
          <w:sz w:val="24"/>
        </w:rPr>
        <w:t>应</w:t>
      </w:r>
      <w:r>
        <w:rPr>
          <w:rFonts w:cs="宋体" w:hint="eastAsia"/>
          <w:bCs/>
          <w:sz w:val="24"/>
        </w:rPr>
        <w:t>在新规则开始实施前依照《信息披露办法》的有关规定在规定媒介上公告</w:t>
      </w:r>
      <w:r>
        <w:rPr>
          <w:rFonts w:cs="宋体" w:hint="eastAsia"/>
          <w:sz w:val="24"/>
        </w:rPr>
        <w:t>。</w:t>
      </w:r>
    </w:p>
    <w:p w14:paraId="286597B9" w14:textId="77777777" w:rsidR="00BF4A4E" w:rsidRDefault="00BF4A4E">
      <w:pPr>
        <w:pStyle w:val="20"/>
        <w:adjustRightInd w:val="0"/>
        <w:snapToGrid w:val="0"/>
        <w:ind w:firstLine="480"/>
        <w:rPr>
          <w:rFonts w:cs="宋体"/>
          <w:sz w:val="24"/>
        </w:rPr>
      </w:pPr>
      <w:r>
        <w:rPr>
          <w:rFonts w:cs="宋体" w:hint="eastAsia"/>
          <w:sz w:val="24"/>
        </w:rPr>
        <w:t>五、申购与赎回的程序</w:t>
      </w:r>
    </w:p>
    <w:p w14:paraId="5C7A4AC1" w14:textId="77777777" w:rsidR="00BF4A4E" w:rsidRDefault="00BF4A4E">
      <w:pPr>
        <w:pStyle w:val="20"/>
        <w:adjustRightInd w:val="0"/>
        <w:snapToGrid w:val="0"/>
        <w:ind w:firstLine="480"/>
        <w:rPr>
          <w:rFonts w:cs="宋体"/>
          <w:bCs/>
          <w:sz w:val="24"/>
        </w:rPr>
      </w:pPr>
      <w:r>
        <w:rPr>
          <w:rFonts w:cs="宋体" w:hint="eastAsia"/>
          <w:bCs/>
          <w:sz w:val="24"/>
        </w:rPr>
        <w:t>1、申购和赎回的申请方式</w:t>
      </w:r>
    </w:p>
    <w:p w14:paraId="5A92B0F1" w14:textId="77777777" w:rsidR="00BF4A4E" w:rsidRDefault="00BF4A4E">
      <w:pPr>
        <w:pStyle w:val="20"/>
        <w:adjustRightInd w:val="0"/>
        <w:snapToGrid w:val="0"/>
        <w:ind w:firstLine="480"/>
        <w:rPr>
          <w:rFonts w:cs="宋体"/>
          <w:bCs/>
          <w:sz w:val="24"/>
        </w:rPr>
      </w:pPr>
      <w:r>
        <w:rPr>
          <w:rFonts w:cs="宋体" w:hint="eastAsia"/>
          <w:bCs/>
          <w:sz w:val="24"/>
        </w:rPr>
        <w:t>投资人必须根据销售机构规定的程序，在开放日的具体业务办理时间内提出申购或赎回的申请。投资人办理申购、赎回等业务时应提交的文件和办理手续、办理时间、处理规则等，在遵守基金合同和招募说明书规定的前提下，以各销售机构的具体规定为准。</w:t>
      </w:r>
    </w:p>
    <w:p w14:paraId="489AFDCB" w14:textId="77777777" w:rsidR="00BF4A4E" w:rsidRDefault="00BF4A4E">
      <w:pPr>
        <w:pStyle w:val="20"/>
        <w:adjustRightInd w:val="0"/>
        <w:snapToGrid w:val="0"/>
        <w:ind w:firstLine="480"/>
        <w:rPr>
          <w:rFonts w:cs="宋体"/>
          <w:bCs/>
          <w:sz w:val="24"/>
        </w:rPr>
      </w:pPr>
      <w:r>
        <w:rPr>
          <w:rFonts w:cs="宋体" w:hint="eastAsia"/>
          <w:bCs/>
          <w:sz w:val="24"/>
        </w:rPr>
        <w:t>2、申购和赎回的款项支付</w:t>
      </w:r>
    </w:p>
    <w:p w14:paraId="7D073254" w14:textId="185ADE44" w:rsidR="00BF4A4E" w:rsidRDefault="00BF4A4E">
      <w:pPr>
        <w:pStyle w:val="20"/>
        <w:adjustRightInd w:val="0"/>
        <w:snapToGrid w:val="0"/>
        <w:ind w:firstLine="480"/>
        <w:rPr>
          <w:rFonts w:cs="宋体"/>
          <w:bCs/>
          <w:sz w:val="24"/>
          <w:lang w:val="zh-CN"/>
        </w:rPr>
      </w:pPr>
      <w:r>
        <w:rPr>
          <w:rFonts w:cs="宋体" w:hint="eastAsia"/>
          <w:bCs/>
          <w:sz w:val="24"/>
          <w:lang w:val="zh-CN"/>
        </w:rPr>
        <w:t>投资人申购基金份额时，必须按销售机构规定的方式全额交付申购款项</w:t>
      </w:r>
      <w:r w:rsidR="00BD2E36" w:rsidRPr="00BD2E36">
        <w:rPr>
          <w:rFonts w:cs="宋体" w:hint="eastAsia"/>
          <w:bCs/>
          <w:sz w:val="24"/>
          <w:lang w:val="zh-CN"/>
        </w:rPr>
        <w:t>，否则所提交的申购申请不成立</w:t>
      </w:r>
      <w:r>
        <w:rPr>
          <w:rFonts w:cs="宋体" w:hint="eastAsia"/>
          <w:bCs/>
          <w:sz w:val="24"/>
          <w:lang w:val="zh-CN"/>
        </w:rPr>
        <w:t>。投资人</w:t>
      </w:r>
      <w:r w:rsidR="00BD2E36">
        <w:rPr>
          <w:rFonts w:cs="宋体" w:hint="eastAsia"/>
          <w:bCs/>
          <w:sz w:val="24"/>
          <w:lang w:val="zh-CN"/>
        </w:rPr>
        <w:t>全额</w:t>
      </w:r>
      <w:r>
        <w:rPr>
          <w:rFonts w:cs="宋体" w:hint="eastAsia"/>
          <w:bCs/>
          <w:sz w:val="24"/>
          <w:lang w:val="zh-CN"/>
        </w:rPr>
        <w:t>交付申购款项，申购成立；基金份额登记机构确认基金份额时，申购生效。</w:t>
      </w:r>
    </w:p>
    <w:p w14:paraId="1822BBB3" w14:textId="4ADCF271" w:rsidR="00BF4A4E" w:rsidRDefault="00BF4A4E">
      <w:pPr>
        <w:pStyle w:val="20"/>
        <w:adjustRightInd w:val="0"/>
        <w:snapToGrid w:val="0"/>
        <w:ind w:firstLine="480"/>
        <w:rPr>
          <w:rFonts w:cs="宋体"/>
          <w:bCs/>
          <w:sz w:val="24"/>
        </w:rPr>
      </w:pPr>
      <w:r>
        <w:rPr>
          <w:rFonts w:cs="宋体" w:hint="eastAsia"/>
          <w:bCs/>
          <w:sz w:val="24"/>
          <w:lang w:val="zh-CN"/>
        </w:rPr>
        <w:t>基金份额持有人递交赎回申请，</w:t>
      </w:r>
      <w:r w:rsidR="00DC21FD" w:rsidRPr="00DC21FD">
        <w:rPr>
          <w:rFonts w:cs="宋体" w:hint="eastAsia"/>
          <w:bCs/>
          <w:sz w:val="24"/>
          <w:lang w:val="zh-CN"/>
        </w:rPr>
        <w:t>必须持有足够的基金份额余额，否则所提交的赎回申请不成立。基金份额持有人在规定的时间内递交赎回申请，</w:t>
      </w:r>
      <w:r>
        <w:rPr>
          <w:rFonts w:cs="宋体" w:hint="eastAsia"/>
          <w:bCs/>
          <w:sz w:val="24"/>
          <w:lang w:val="zh-CN"/>
        </w:rPr>
        <w:t>赎回成立；基金份额登记机构确认赎回时，赎回生效。投资人赎回申请生效后，基金管理人将通过登记机构及其相关销售机构在T＋7日（包括该日）内将赎回款项划往基</w:t>
      </w:r>
      <w:r>
        <w:rPr>
          <w:rFonts w:cs="宋体" w:hint="eastAsia"/>
          <w:bCs/>
          <w:sz w:val="24"/>
          <w:lang w:val="zh-CN"/>
        </w:rPr>
        <w:lastRenderedPageBreak/>
        <w:t>金份额持有人银行账户，但中国证监会另有规定时除外。遇证券</w:t>
      </w:r>
      <w:r>
        <w:rPr>
          <w:rFonts w:cs="宋体" w:hint="eastAsia"/>
          <w:bCs/>
          <w:sz w:val="24"/>
        </w:rPr>
        <w:t>/期货</w:t>
      </w:r>
      <w:r>
        <w:rPr>
          <w:rFonts w:cs="宋体" w:hint="eastAsia"/>
          <w:bCs/>
          <w:sz w:val="24"/>
          <w:lang w:val="zh-CN"/>
        </w:rPr>
        <w:t>交易所或交易市场数据传输延迟、通讯系统故障、银行数据交换系统故障或其它非基金管理人及基金托管人所能控制的因素影响业务处理流程时，赎回款项</w:t>
      </w:r>
      <w:r w:rsidR="00725824">
        <w:rPr>
          <w:rFonts w:cs="宋体" w:hint="eastAsia"/>
          <w:bCs/>
          <w:sz w:val="24"/>
          <w:lang w:val="zh-CN"/>
        </w:rPr>
        <w:t>的划付时间</w:t>
      </w:r>
      <w:r>
        <w:rPr>
          <w:rFonts w:cs="宋体" w:hint="eastAsia"/>
          <w:bCs/>
          <w:sz w:val="24"/>
          <w:lang w:val="zh-CN"/>
        </w:rPr>
        <w:t>顺延至上述因素消除的下一个工作日。在发生巨额赎回或基金合同载明的其他暂停赎回或延缓支付赎回款项的情形时，款项的支付办法</w:t>
      </w:r>
      <w:r w:rsidR="003F5A9D">
        <w:rPr>
          <w:rFonts w:cs="宋体" w:hint="eastAsia"/>
          <w:bCs/>
          <w:sz w:val="24"/>
          <w:lang w:val="zh-CN"/>
        </w:rPr>
        <w:t>按</w:t>
      </w:r>
      <w:r>
        <w:rPr>
          <w:rFonts w:cs="宋体" w:hint="eastAsia"/>
          <w:bCs/>
          <w:sz w:val="24"/>
          <w:lang w:val="zh-CN"/>
        </w:rPr>
        <w:t>照基金合同有关条款处理。</w:t>
      </w:r>
    </w:p>
    <w:p w14:paraId="07878D2F" w14:textId="77777777" w:rsidR="00BF4A4E" w:rsidRDefault="00BF4A4E">
      <w:pPr>
        <w:pStyle w:val="20"/>
        <w:adjustRightInd w:val="0"/>
        <w:snapToGrid w:val="0"/>
        <w:ind w:firstLine="480"/>
        <w:rPr>
          <w:rFonts w:cs="宋体"/>
          <w:bCs/>
          <w:sz w:val="24"/>
        </w:rPr>
      </w:pPr>
      <w:r>
        <w:rPr>
          <w:rFonts w:cs="宋体" w:hint="eastAsia"/>
          <w:bCs/>
          <w:sz w:val="24"/>
        </w:rPr>
        <w:t>3、申购和赎回申请的确认</w:t>
      </w:r>
    </w:p>
    <w:p w14:paraId="763FFEAA" w14:textId="3C225A97" w:rsidR="00BF4A4E" w:rsidRDefault="00BF4A4E">
      <w:pPr>
        <w:pStyle w:val="20"/>
        <w:adjustRightInd w:val="0"/>
        <w:snapToGrid w:val="0"/>
        <w:ind w:firstLine="480"/>
        <w:rPr>
          <w:rFonts w:cs="宋体"/>
          <w:bCs/>
          <w:sz w:val="24"/>
        </w:rPr>
      </w:pPr>
      <w:r>
        <w:rPr>
          <w:rFonts w:cs="宋体" w:hint="eastAsia"/>
          <w:bCs/>
          <w:sz w:val="24"/>
        </w:rPr>
        <w:t>基金管理人应以交易时间结束前受理有效申购和赎回申请的当天作为申购或赎回申请日（T日），在正常情况下，本基金登记机构在T+1日内对该交易的有效性进行确认。T日提交的有效申请，投资人应在T+2日后（包括该日）及时到销售网点柜台或以销售机构规定的其他方式查询申请的确认情况。若申购不</w:t>
      </w:r>
      <w:r w:rsidR="000D27AE">
        <w:rPr>
          <w:rFonts w:cs="宋体" w:hint="eastAsia"/>
          <w:bCs/>
          <w:sz w:val="24"/>
        </w:rPr>
        <w:t>成立或无效</w:t>
      </w:r>
      <w:r>
        <w:rPr>
          <w:rFonts w:cs="宋体" w:hint="eastAsia"/>
          <w:bCs/>
          <w:sz w:val="24"/>
        </w:rPr>
        <w:t>，则申购款项本金将退还给投资人</w:t>
      </w:r>
      <w:r w:rsidR="00B338BF" w:rsidRPr="00B338BF">
        <w:rPr>
          <w:rFonts w:cs="宋体" w:hint="eastAsia"/>
          <w:bCs/>
          <w:sz w:val="24"/>
        </w:rPr>
        <w:t>，基金管理人及基金托管人不承担该退回款项产生的利息等损失</w:t>
      </w:r>
      <w:r>
        <w:rPr>
          <w:rFonts w:cs="宋体" w:hint="eastAsia"/>
          <w:bCs/>
          <w:sz w:val="24"/>
        </w:rPr>
        <w:t>。</w:t>
      </w:r>
    </w:p>
    <w:p w14:paraId="1019C19D" w14:textId="0D57920F" w:rsidR="00BF4A4E" w:rsidRDefault="00BF4A4E">
      <w:pPr>
        <w:pStyle w:val="20"/>
        <w:adjustRightInd w:val="0"/>
        <w:snapToGrid w:val="0"/>
        <w:ind w:firstLine="480"/>
        <w:rPr>
          <w:rFonts w:cs="宋体"/>
          <w:bCs/>
          <w:sz w:val="24"/>
        </w:rPr>
      </w:pPr>
      <w:r>
        <w:rPr>
          <w:rFonts w:cs="宋体" w:hint="eastAsia"/>
          <w:bCs/>
          <w:sz w:val="24"/>
        </w:rPr>
        <w:t>销售机构对申购、赎回申请的受理并不代表申请一定成功，而仅代表销售机构确实接收到申购、赎回申请，申购与赎回申请的确认以登记机构的确认结果为准。对于申请的确认情况，投资人应及时查询，并妥善行使合法权利。因投资人怠于履行该项查询等各项义务，致使其相关权益受损的，基金管理人、基金托管人、销售机构不承担由此造成的损失或不利后果。如因申请未得到登记机构的确认而造成的损失，由投资人自行承担。</w:t>
      </w:r>
    </w:p>
    <w:p w14:paraId="47254F45" w14:textId="738AFFB2" w:rsidR="00BF4A4E" w:rsidRDefault="00BF4A4E">
      <w:pPr>
        <w:pStyle w:val="20"/>
        <w:adjustRightInd w:val="0"/>
        <w:snapToGrid w:val="0"/>
        <w:ind w:firstLine="480"/>
        <w:rPr>
          <w:rFonts w:cs="宋体"/>
          <w:sz w:val="24"/>
        </w:rPr>
      </w:pPr>
      <w:r>
        <w:rPr>
          <w:rFonts w:cs="宋体" w:hint="eastAsia"/>
          <w:bCs/>
          <w:sz w:val="24"/>
        </w:rPr>
        <w:t>在</w:t>
      </w:r>
      <w:r w:rsidR="000D27AE">
        <w:rPr>
          <w:rFonts w:cs="宋体" w:hint="eastAsia"/>
          <w:bCs/>
          <w:sz w:val="24"/>
        </w:rPr>
        <w:t>不违反</w:t>
      </w:r>
      <w:r>
        <w:rPr>
          <w:rFonts w:cs="宋体" w:hint="eastAsia"/>
          <w:bCs/>
          <w:sz w:val="24"/>
        </w:rPr>
        <w:t>法律法规的</w:t>
      </w:r>
      <w:r w:rsidR="00AC12D0">
        <w:rPr>
          <w:rFonts w:cs="宋体" w:hint="eastAsia"/>
          <w:bCs/>
          <w:sz w:val="24"/>
        </w:rPr>
        <w:t>情况下</w:t>
      </w:r>
      <w:r>
        <w:rPr>
          <w:rFonts w:cs="宋体" w:hint="eastAsia"/>
          <w:bCs/>
          <w:sz w:val="24"/>
        </w:rPr>
        <w:t>，基金管理人可根据业务规则，对上述业务办理时间进行调整并将于开始实施前按照</w:t>
      </w:r>
      <w:r w:rsidR="00F45C04" w:rsidRPr="00F45C04">
        <w:rPr>
          <w:rFonts w:cs="宋体" w:hint="eastAsia"/>
          <w:bCs/>
          <w:sz w:val="24"/>
        </w:rPr>
        <w:t>《信息披露办法》的</w:t>
      </w:r>
      <w:r>
        <w:rPr>
          <w:rFonts w:cs="宋体" w:hint="eastAsia"/>
          <w:bCs/>
          <w:sz w:val="24"/>
        </w:rPr>
        <w:t>有关规定公告。</w:t>
      </w:r>
    </w:p>
    <w:p w14:paraId="7D5EDC7C" w14:textId="77777777" w:rsidR="00BF4A4E" w:rsidRDefault="00BF4A4E">
      <w:pPr>
        <w:pStyle w:val="20"/>
        <w:adjustRightInd w:val="0"/>
        <w:snapToGrid w:val="0"/>
        <w:ind w:firstLine="480"/>
        <w:rPr>
          <w:rFonts w:cs="宋体"/>
          <w:sz w:val="24"/>
        </w:rPr>
      </w:pPr>
      <w:r>
        <w:rPr>
          <w:rFonts w:cs="宋体" w:hint="eastAsia"/>
          <w:sz w:val="24"/>
        </w:rPr>
        <w:t>六、申购金额和赎回份额的限制</w:t>
      </w:r>
    </w:p>
    <w:p w14:paraId="3B3D79C2" w14:textId="70B069FC" w:rsidR="00BF4A4E" w:rsidRDefault="00BF4A4E">
      <w:pPr>
        <w:pStyle w:val="20"/>
        <w:adjustRightInd w:val="0"/>
        <w:snapToGrid w:val="0"/>
        <w:ind w:firstLine="480"/>
        <w:rPr>
          <w:rFonts w:cs="宋体"/>
          <w:sz w:val="24"/>
        </w:rPr>
      </w:pPr>
      <w:r>
        <w:rPr>
          <w:rFonts w:cs="宋体" w:hint="eastAsia"/>
          <w:sz w:val="24"/>
        </w:rPr>
        <w:t>1、在本基金销售机构的销售网点及网上直销交易系统进行申购时，投资人以金额申请，每个基金账户首笔申购的最低金额为人民币1元，每笔追加申购的最低金额为人民币1元。直销中心办理业务时以其相关规则为准，基金管理人直销机构或各销售机构对最低申购限额及交易级差有其他规定的，从其规定，但不得低于上述最低申购金额。投资人将</w:t>
      </w:r>
      <w:r w:rsidR="00544D10">
        <w:rPr>
          <w:rFonts w:cs="宋体" w:hint="eastAsia"/>
          <w:sz w:val="24"/>
        </w:rPr>
        <w:t>所申购的基金份额</w:t>
      </w:r>
      <w:r>
        <w:rPr>
          <w:rFonts w:cs="宋体" w:hint="eastAsia"/>
          <w:sz w:val="24"/>
        </w:rPr>
        <w:t>当期分配的基金收益</w:t>
      </w:r>
      <w:r w:rsidR="00285EAF">
        <w:rPr>
          <w:rFonts w:cs="宋体" w:hint="eastAsia"/>
          <w:sz w:val="24"/>
        </w:rPr>
        <w:t>转为相应类别的基金份额</w:t>
      </w:r>
      <w:r>
        <w:rPr>
          <w:rFonts w:cs="宋体" w:hint="eastAsia"/>
          <w:sz w:val="24"/>
        </w:rPr>
        <w:t>时，不受最低申购金额的限制。</w:t>
      </w:r>
    </w:p>
    <w:p w14:paraId="4074D2EE" w14:textId="0FBA1178" w:rsidR="00BF4A4E" w:rsidRDefault="00BF4A4E">
      <w:pPr>
        <w:pStyle w:val="20"/>
        <w:adjustRightInd w:val="0"/>
        <w:snapToGrid w:val="0"/>
        <w:ind w:firstLine="480"/>
        <w:rPr>
          <w:rFonts w:cs="宋体"/>
          <w:sz w:val="24"/>
        </w:rPr>
      </w:pPr>
      <w:r>
        <w:rPr>
          <w:rFonts w:cs="宋体" w:hint="eastAsia"/>
          <w:sz w:val="24"/>
        </w:rPr>
        <w:t>2、基金份额持有人在销售机构办理赎回时，每笔赎回申请的最低份额为1份基金份额；基金份额持有人可将其全部或部分基金份额赎回，基金份额持有人办理某笔赎回业务时或办理某笔赎回业务后在销售机构（网点）单个交易账户保</w:t>
      </w:r>
      <w:r>
        <w:rPr>
          <w:rFonts w:cs="宋体" w:hint="eastAsia"/>
          <w:sz w:val="24"/>
        </w:rPr>
        <w:lastRenderedPageBreak/>
        <w:t>留的基金份额余额不足1份的，余额部分基金份额必须一同赎回。</w:t>
      </w:r>
    </w:p>
    <w:p w14:paraId="5CCCCAED" w14:textId="7E920174" w:rsidR="00BF4A4E" w:rsidRDefault="00BF4A4E">
      <w:pPr>
        <w:pStyle w:val="20"/>
        <w:adjustRightInd w:val="0"/>
        <w:snapToGrid w:val="0"/>
        <w:ind w:firstLine="480"/>
        <w:rPr>
          <w:rFonts w:cs="宋体"/>
          <w:bCs/>
          <w:sz w:val="24"/>
        </w:rPr>
      </w:pPr>
      <w:r>
        <w:rPr>
          <w:rFonts w:cs="宋体" w:hint="eastAsia"/>
          <w:bCs/>
          <w:sz w:val="24"/>
        </w:rPr>
        <w:t>3、基金管理人可以规定单个投资人累计持有的基金份额上限或累计持有的基金份额占基金份额总数的比例上限，具体规定请参见招募说明书更新或相关公告。</w:t>
      </w:r>
    </w:p>
    <w:p w14:paraId="424EC4BD" w14:textId="5011D083" w:rsidR="00A656A1" w:rsidRDefault="00A656A1">
      <w:pPr>
        <w:pStyle w:val="20"/>
        <w:adjustRightInd w:val="0"/>
        <w:snapToGrid w:val="0"/>
        <w:ind w:firstLine="480"/>
        <w:rPr>
          <w:rFonts w:cs="宋体"/>
          <w:bCs/>
          <w:sz w:val="24"/>
        </w:rPr>
      </w:pPr>
      <w:r w:rsidRPr="00A656A1">
        <w:rPr>
          <w:rFonts w:cs="宋体" w:hint="eastAsia"/>
          <w:bCs/>
          <w:sz w:val="24"/>
        </w:rPr>
        <w:t>4、基金管理人可以规定本基金的总规模限额、单日申购金额限制、单日净申购比例上限、单个投资者单日或单笔申购金额上限，具体规定请参见招募说明书</w:t>
      </w:r>
      <w:r>
        <w:rPr>
          <w:rFonts w:cs="宋体" w:hint="eastAsia"/>
          <w:bCs/>
          <w:sz w:val="24"/>
        </w:rPr>
        <w:t>更新</w:t>
      </w:r>
      <w:r w:rsidRPr="00A656A1">
        <w:rPr>
          <w:rFonts w:cs="宋体" w:hint="eastAsia"/>
          <w:bCs/>
          <w:sz w:val="24"/>
        </w:rPr>
        <w:t>或相关公告。</w:t>
      </w:r>
    </w:p>
    <w:p w14:paraId="3791D777" w14:textId="3ADECB9A" w:rsidR="00BF4A4E" w:rsidRDefault="00A656A1">
      <w:pPr>
        <w:pStyle w:val="20"/>
        <w:adjustRightInd w:val="0"/>
        <w:snapToGrid w:val="0"/>
        <w:ind w:firstLine="480"/>
        <w:rPr>
          <w:rFonts w:cs="宋体"/>
          <w:bCs/>
          <w:sz w:val="24"/>
        </w:rPr>
      </w:pPr>
      <w:r>
        <w:rPr>
          <w:rFonts w:cs="宋体"/>
          <w:bCs/>
          <w:sz w:val="24"/>
        </w:rPr>
        <w:t>5</w:t>
      </w:r>
      <w:r w:rsidR="00BF4A4E">
        <w:rPr>
          <w:rFonts w:cs="宋体" w:hint="eastAsia"/>
          <w:bCs/>
          <w:sz w:val="24"/>
        </w:rPr>
        <w:t>、当接受申购申请对存量基金份额持有人利益构成潜在重大不利影响时，基金管理人应当采取设定单一投资人申购金额上限或</w:t>
      </w:r>
      <w:r w:rsidR="004D1524">
        <w:rPr>
          <w:rFonts w:cs="宋体" w:hint="eastAsia"/>
          <w:bCs/>
          <w:sz w:val="24"/>
        </w:rPr>
        <w:t>基金</w:t>
      </w:r>
      <w:r w:rsidR="00BF4A4E">
        <w:rPr>
          <w:rFonts w:cs="宋体" w:hint="eastAsia"/>
          <w:bCs/>
          <w:sz w:val="24"/>
        </w:rPr>
        <w:t>单日净申购比例上限、拒绝大额申购、暂停基金申购等措施，切实保护存量基金份额持有人的合法权益。基金管理人基于投资运作与风险控制的需要，可采取上述措施对基金规模予以控制。具体见基金管理人相关公告。</w:t>
      </w:r>
    </w:p>
    <w:p w14:paraId="7103C340" w14:textId="76F5E3E5" w:rsidR="00BF4A4E" w:rsidRDefault="00A656A1">
      <w:pPr>
        <w:adjustRightInd w:val="0"/>
        <w:snapToGrid w:val="0"/>
        <w:spacing w:line="360" w:lineRule="auto"/>
        <w:ind w:firstLineChars="200" w:firstLine="480"/>
        <w:rPr>
          <w:rFonts w:ascii="宋体" w:hAnsi="宋体" w:cs="宋体"/>
          <w:sz w:val="24"/>
        </w:rPr>
      </w:pPr>
      <w:r>
        <w:rPr>
          <w:rFonts w:cs="宋体"/>
          <w:bCs/>
          <w:sz w:val="24"/>
        </w:rPr>
        <w:t>6</w:t>
      </w:r>
      <w:r w:rsidR="00BF4A4E">
        <w:rPr>
          <w:rFonts w:cs="宋体" w:hint="eastAsia"/>
          <w:bCs/>
          <w:sz w:val="24"/>
        </w:rPr>
        <w:t>、基金管理人可在</w:t>
      </w:r>
      <w:r w:rsidR="009866D8">
        <w:rPr>
          <w:rFonts w:cs="宋体" w:hint="eastAsia"/>
          <w:bCs/>
          <w:sz w:val="24"/>
        </w:rPr>
        <w:t>不违反</w:t>
      </w:r>
      <w:r w:rsidR="00BF4A4E">
        <w:rPr>
          <w:rFonts w:cs="宋体" w:hint="eastAsia"/>
          <w:bCs/>
          <w:sz w:val="24"/>
        </w:rPr>
        <w:t>法律法规的情况下，调整上述规定申购金额和赎回份额的数量限制，或者新增基金规模控制措施。基金管理人</w:t>
      </w:r>
      <w:r w:rsidR="00CB7E6E">
        <w:rPr>
          <w:rFonts w:cs="宋体" w:hint="eastAsia"/>
          <w:bCs/>
          <w:sz w:val="24"/>
        </w:rPr>
        <w:t>应</w:t>
      </w:r>
      <w:r w:rsidR="00BF4A4E">
        <w:rPr>
          <w:rFonts w:cs="宋体" w:hint="eastAsia"/>
          <w:bCs/>
          <w:sz w:val="24"/>
        </w:rPr>
        <w:t>依照《信息披露办法》的有关规定在规定媒介上公告</w:t>
      </w:r>
      <w:r w:rsidR="00BF4A4E">
        <w:rPr>
          <w:rFonts w:ascii="宋体" w:hAnsi="宋体" w:cs="宋体" w:hint="eastAsia"/>
          <w:sz w:val="24"/>
        </w:rPr>
        <w:t>。</w:t>
      </w:r>
    </w:p>
    <w:p w14:paraId="386651FB" w14:textId="77777777" w:rsidR="00BF4A4E" w:rsidRDefault="00BF4A4E">
      <w:pPr>
        <w:pStyle w:val="20"/>
        <w:adjustRightInd w:val="0"/>
        <w:snapToGrid w:val="0"/>
        <w:ind w:firstLine="480"/>
        <w:rPr>
          <w:rFonts w:cs="宋体"/>
          <w:sz w:val="24"/>
        </w:rPr>
      </w:pPr>
      <w:r>
        <w:rPr>
          <w:rFonts w:cs="宋体" w:hint="eastAsia"/>
          <w:sz w:val="24"/>
        </w:rPr>
        <w:t>七、申购和赎回的费用及其用途</w:t>
      </w:r>
    </w:p>
    <w:p w14:paraId="4863DB08" w14:textId="77777777" w:rsidR="00BF4A4E" w:rsidRDefault="00BF4A4E">
      <w:pPr>
        <w:pStyle w:val="20"/>
        <w:adjustRightInd w:val="0"/>
        <w:snapToGrid w:val="0"/>
        <w:ind w:firstLine="480"/>
        <w:rPr>
          <w:rFonts w:cs="宋体"/>
          <w:sz w:val="24"/>
        </w:rPr>
      </w:pPr>
      <w:r>
        <w:rPr>
          <w:rFonts w:cs="宋体" w:hint="eastAsia"/>
          <w:sz w:val="24"/>
        </w:rPr>
        <w:t>1、申购费率</w:t>
      </w:r>
    </w:p>
    <w:p w14:paraId="39D69B5F" w14:textId="7C316EF1" w:rsidR="00BF4A4E" w:rsidRDefault="00BF4A4E">
      <w:pPr>
        <w:pStyle w:val="20"/>
        <w:adjustRightInd w:val="0"/>
        <w:snapToGrid w:val="0"/>
        <w:ind w:firstLine="480"/>
        <w:rPr>
          <w:rFonts w:cs="宋体"/>
          <w:sz w:val="24"/>
        </w:rPr>
      </w:pPr>
      <w:r>
        <w:rPr>
          <w:rFonts w:cs="宋体" w:hint="eastAsia"/>
          <w:sz w:val="24"/>
        </w:rPr>
        <w:t>本基金A类基金份额在申购时收取基金申购费用；C类基金份额不收取申购费用。</w:t>
      </w:r>
    </w:p>
    <w:p w14:paraId="791360B4" w14:textId="77777777" w:rsidR="00BF4A4E" w:rsidRDefault="00BF4A4E">
      <w:pPr>
        <w:pStyle w:val="20"/>
        <w:adjustRightInd w:val="0"/>
        <w:snapToGrid w:val="0"/>
        <w:ind w:firstLine="480"/>
        <w:rPr>
          <w:rFonts w:cs="宋体"/>
          <w:sz w:val="24"/>
        </w:rPr>
      </w:pPr>
      <w:r>
        <w:rPr>
          <w:rFonts w:cs="宋体" w:hint="eastAsia"/>
          <w:sz w:val="24"/>
        </w:rPr>
        <w:t>本基金申购费在投资人申购A类基金份额时收取。</w:t>
      </w:r>
      <w:r w:rsidR="00B40BAC">
        <w:rPr>
          <w:bCs/>
          <w:sz w:val="24"/>
          <w:szCs w:val="24"/>
        </w:rPr>
        <w:t>A类</w:t>
      </w:r>
      <w:r w:rsidR="00B40BAC">
        <w:rPr>
          <w:rFonts w:hint="eastAsia"/>
          <w:bCs/>
          <w:sz w:val="24"/>
          <w:szCs w:val="24"/>
        </w:rPr>
        <w:t>基金</w:t>
      </w:r>
      <w:r w:rsidR="00B40BAC">
        <w:rPr>
          <w:bCs/>
          <w:sz w:val="24"/>
          <w:szCs w:val="24"/>
        </w:rPr>
        <w:t>份额的</w:t>
      </w:r>
      <w:r>
        <w:rPr>
          <w:rFonts w:cs="宋体" w:hint="eastAsia"/>
          <w:sz w:val="24"/>
        </w:rPr>
        <w:t>申购费用由申购本基金A类基金份额的投资人承担，主要用于本基金的市场推广、销售、登记等各项费用，不列入基金财产。投资人在一天之内如果有多笔申购，适用费率按单笔分别计算。</w:t>
      </w:r>
    </w:p>
    <w:p w14:paraId="7771C762" w14:textId="77777777" w:rsidR="00BF4A4E" w:rsidRDefault="00BF4A4E">
      <w:pPr>
        <w:pStyle w:val="20"/>
        <w:adjustRightInd w:val="0"/>
        <w:snapToGrid w:val="0"/>
        <w:ind w:firstLine="480"/>
        <w:rPr>
          <w:sz w:val="24"/>
        </w:rPr>
      </w:pPr>
      <w:r>
        <w:rPr>
          <w:rFonts w:cs="宋体" w:hint="eastAsia"/>
          <w:sz w:val="24"/>
        </w:rPr>
        <w:t>投资人申购本基金A类基金份额所适用的申购费率如下所示：</w:t>
      </w:r>
    </w:p>
    <w:tbl>
      <w:tblPr>
        <w:tblW w:w="833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1438"/>
        <w:gridCol w:w="3483"/>
        <w:gridCol w:w="3409"/>
      </w:tblGrid>
      <w:tr w:rsidR="007853B3" w14:paraId="5518D4BC" w14:textId="77777777" w:rsidTr="007853B3">
        <w:trPr>
          <w:trHeight w:val="294"/>
          <w:jc w:val="center"/>
        </w:trPr>
        <w:tc>
          <w:tcPr>
            <w:tcW w:w="1438" w:type="dxa"/>
            <w:vMerge w:val="restart"/>
            <w:tcMar>
              <w:top w:w="15" w:type="dxa"/>
              <w:left w:w="15" w:type="dxa"/>
              <w:bottom w:w="0" w:type="dxa"/>
              <w:right w:w="15" w:type="dxa"/>
            </w:tcMar>
            <w:vAlign w:val="center"/>
          </w:tcPr>
          <w:p w14:paraId="62FAED51" w14:textId="77777777" w:rsidR="007853B3" w:rsidRDefault="007853B3">
            <w:pPr>
              <w:pStyle w:val="080318"/>
              <w:adjustRightInd/>
              <w:snapToGrid/>
              <w:ind w:firstLineChars="0" w:firstLine="0"/>
              <w:jc w:val="center"/>
              <w:rPr>
                <w:rFonts w:hAnsi="宋体"/>
                <w:b/>
                <w:sz w:val="24"/>
                <w:szCs w:val="24"/>
              </w:rPr>
            </w:pPr>
            <w:r>
              <w:rPr>
                <w:rFonts w:hAnsi="宋体" w:hint="eastAsia"/>
                <w:b/>
                <w:sz w:val="24"/>
                <w:szCs w:val="24"/>
              </w:rPr>
              <w:t>A类基金份额</w:t>
            </w:r>
          </w:p>
          <w:p w14:paraId="4F6F19DC" w14:textId="77777777" w:rsidR="007853B3" w:rsidRDefault="007853B3">
            <w:pPr>
              <w:pStyle w:val="080318"/>
              <w:adjustRightInd/>
              <w:snapToGrid/>
              <w:ind w:firstLineChars="0" w:firstLine="0"/>
              <w:jc w:val="center"/>
              <w:rPr>
                <w:rFonts w:hAnsi="宋体"/>
                <w:b/>
                <w:sz w:val="24"/>
                <w:szCs w:val="24"/>
              </w:rPr>
            </w:pPr>
            <w:r>
              <w:rPr>
                <w:rFonts w:hAnsi="宋体" w:hint="eastAsia"/>
                <w:b/>
                <w:sz w:val="24"/>
                <w:szCs w:val="24"/>
              </w:rPr>
              <w:t>申购费率</w:t>
            </w:r>
          </w:p>
        </w:tc>
        <w:tc>
          <w:tcPr>
            <w:tcW w:w="3483" w:type="dxa"/>
            <w:tcMar>
              <w:top w:w="15" w:type="dxa"/>
              <w:left w:w="15" w:type="dxa"/>
              <w:bottom w:w="0" w:type="dxa"/>
              <w:right w:w="15" w:type="dxa"/>
            </w:tcMar>
            <w:vAlign w:val="center"/>
          </w:tcPr>
          <w:p w14:paraId="743FFA2A" w14:textId="77777777" w:rsidR="007853B3" w:rsidRDefault="007853B3">
            <w:pPr>
              <w:widowControl/>
              <w:spacing w:line="360" w:lineRule="auto"/>
              <w:jc w:val="center"/>
              <w:rPr>
                <w:rFonts w:ascii="宋体" w:hAnsi="宋体"/>
                <w:b/>
                <w:kern w:val="0"/>
                <w:sz w:val="24"/>
              </w:rPr>
            </w:pPr>
            <w:r>
              <w:rPr>
                <w:rFonts w:ascii="宋体" w:hAnsi="宋体" w:hint="eastAsia"/>
                <w:b/>
                <w:sz w:val="24"/>
              </w:rPr>
              <w:t>申购金额（M,含申购费）</w:t>
            </w:r>
          </w:p>
        </w:tc>
        <w:tc>
          <w:tcPr>
            <w:tcW w:w="3409" w:type="dxa"/>
            <w:vAlign w:val="center"/>
          </w:tcPr>
          <w:p w14:paraId="556D1704" w14:textId="77777777" w:rsidR="007853B3" w:rsidRDefault="007853B3">
            <w:pPr>
              <w:widowControl/>
              <w:spacing w:line="360" w:lineRule="auto"/>
              <w:jc w:val="center"/>
              <w:rPr>
                <w:rFonts w:ascii="宋体" w:hAnsi="宋体"/>
                <w:b/>
                <w:kern w:val="0"/>
                <w:sz w:val="24"/>
              </w:rPr>
            </w:pPr>
            <w:r>
              <w:rPr>
                <w:rFonts w:ascii="宋体" w:hAnsi="宋体" w:hint="eastAsia"/>
                <w:b/>
                <w:kern w:val="0"/>
                <w:sz w:val="24"/>
              </w:rPr>
              <w:t>申购费率</w:t>
            </w:r>
          </w:p>
        </w:tc>
      </w:tr>
      <w:tr w:rsidR="005241CE" w14:paraId="457D40A9" w14:textId="77777777" w:rsidTr="00281351">
        <w:trPr>
          <w:trHeight w:val="370"/>
          <w:jc w:val="center"/>
        </w:trPr>
        <w:tc>
          <w:tcPr>
            <w:tcW w:w="1438" w:type="dxa"/>
            <w:vMerge/>
            <w:tcMar>
              <w:top w:w="15" w:type="dxa"/>
              <w:left w:w="15" w:type="dxa"/>
              <w:bottom w:w="0" w:type="dxa"/>
              <w:right w:w="15" w:type="dxa"/>
            </w:tcMar>
            <w:vAlign w:val="center"/>
          </w:tcPr>
          <w:p w14:paraId="34A619CC" w14:textId="77777777" w:rsidR="005241CE" w:rsidRDefault="005241CE" w:rsidP="005241CE">
            <w:pPr>
              <w:autoSpaceDE w:val="0"/>
              <w:autoSpaceDN w:val="0"/>
              <w:spacing w:line="360" w:lineRule="auto"/>
              <w:jc w:val="center"/>
              <w:rPr>
                <w:rFonts w:ascii="宋体" w:hAnsi="宋体" w:cs="宋体"/>
                <w:b/>
                <w:sz w:val="24"/>
                <w:lang w:val="zh-CN"/>
              </w:rPr>
            </w:pPr>
          </w:p>
        </w:tc>
        <w:tc>
          <w:tcPr>
            <w:tcW w:w="3483" w:type="dxa"/>
            <w:tcMar>
              <w:top w:w="15" w:type="dxa"/>
              <w:left w:w="15" w:type="dxa"/>
              <w:bottom w:w="0" w:type="dxa"/>
              <w:right w:w="15" w:type="dxa"/>
            </w:tcMar>
          </w:tcPr>
          <w:p w14:paraId="6338775B" w14:textId="55592C03" w:rsidR="005241CE" w:rsidRPr="005D4F22" w:rsidRDefault="005241CE" w:rsidP="005241CE">
            <w:pPr>
              <w:spacing w:line="360" w:lineRule="auto"/>
              <w:ind w:leftChars="-7" w:left="2" w:hangingChars="7" w:hanging="17"/>
              <w:jc w:val="center"/>
              <w:rPr>
                <w:rFonts w:ascii="宋体" w:hAnsi="宋体"/>
                <w:sz w:val="24"/>
              </w:rPr>
            </w:pPr>
            <w:r w:rsidRPr="005D4F22">
              <w:rPr>
                <w:rFonts w:hint="eastAsia"/>
                <w:sz w:val="24"/>
              </w:rPr>
              <w:t>M</w:t>
            </w:r>
            <w:r w:rsidRPr="005D4F22">
              <w:rPr>
                <w:rFonts w:hint="eastAsia"/>
                <w:sz w:val="24"/>
              </w:rPr>
              <w:t>＜</w:t>
            </w:r>
            <w:r w:rsidRPr="005D4F22">
              <w:rPr>
                <w:rFonts w:hint="eastAsia"/>
                <w:sz w:val="24"/>
              </w:rPr>
              <w:t>100</w:t>
            </w:r>
            <w:r w:rsidRPr="005D4F22">
              <w:rPr>
                <w:rFonts w:hint="eastAsia"/>
                <w:sz w:val="24"/>
              </w:rPr>
              <w:t>万元</w:t>
            </w:r>
          </w:p>
        </w:tc>
        <w:tc>
          <w:tcPr>
            <w:tcW w:w="3409" w:type="dxa"/>
            <w:vAlign w:val="center"/>
          </w:tcPr>
          <w:p w14:paraId="0847CC82" w14:textId="03D1577C" w:rsidR="005241CE" w:rsidRPr="005D4F22" w:rsidRDefault="005241CE" w:rsidP="005241CE">
            <w:pPr>
              <w:spacing w:line="360" w:lineRule="auto"/>
              <w:jc w:val="center"/>
              <w:rPr>
                <w:rFonts w:ascii="宋体" w:hAnsi="宋体"/>
                <w:kern w:val="0"/>
                <w:sz w:val="24"/>
              </w:rPr>
            </w:pPr>
            <w:r w:rsidRPr="00CE2702">
              <w:rPr>
                <w:sz w:val="24"/>
              </w:rPr>
              <w:t>1.00</w:t>
            </w:r>
            <w:r w:rsidRPr="00CE2702">
              <w:rPr>
                <w:rFonts w:hint="eastAsia"/>
                <w:sz w:val="24"/>
              </w:rPr>
              <w:t>%</w:t>
            </w:r>
          </w:p>
        </w:tc>
      </w:tr>
      <w:tr w:rsidR="005241CE" w14:paraId="5CFEDC26" w14:textId="77777777" w:rsidTr="00281351">
        <w:trPr>
          <w:trHeight w:val="370"/>
          <w:jc w:val="center"/>
        </w:trPr>
        <w:tc>
          <w:tcPr>
            <w:tcW w:w="1438" w:type="dxa"/>
            <w:vMerge/>
            <w:tcMar>
              <w:top w:w="15" w:type="dxa"/>
              <w:left w:w="15" w:type="dxa"/>
              <w:bottom w:w="0" w:type="dxa"/>
              <w:right w:w="15" w:type="dxa"/>
            </w:tcMar>
            <w:vAlign w:val="center"/>
          </w:tcPr>
          <w:p w14:paraId="71267E64" w14:textId="77777777" w:rsidR="005241CE" w:rsidRDefault="005241CE" w:rsidP="005241CE">
            <w:pPr>
              <w:autoSpaceDE w:val="0"/>
              <w:autoSpaceDN w:val="0"/>
              <w:spacing w:line="360" w:lineRule="auto"/>
              <w:jc w:val="center"/>
              <w:rPr>
                <w:rFonts w:ascii="宋体" w:hAnsi="宋体" w:cs="宋体"/>
                <w:b/>
                <w:sz w:val="24"/>
                <w:lang w:val="zh-CN"/>
              </w:rPr>
            </w:pPr>
          </w:p>
        </w:tc>
        <w:tc>
          <w:tcPr>
            <w:tcW w:w="3483" w:type="dxa"/>
            <w:tcMar>
              <w:top w:w="15" w:type="dxa"/>
              <w:left w:w="15" w:type="dxa"/>
              <w:bottom w:w="0" w:type="dxa"/>
              <w:right w:w="15" w:type="dxa"/>
            </w:tcMar>
          </w:tcPr>
          <w:p w14:paraId="6CCBAADA" w14:textId="70BD030B" w:rsidR="005241CE" w:rsidRPr="005D4F22" w:rsidRDefault="005241CE" w:rsidP="005241CE">
            <w:pPr>
              <w:spacing w:line="360" w:lineRule="auto"/>
              <w:ind w:leftChars="-7" w:left="2" w:hangingChars="7" w:hanging="17"/>
              <w:jc w:val="center"/>
              <w:rPr>
                <w:rFonts w:ascii="宋体" w:hAnsi="宋体"/>
                <w:sz w:val="24"/>
              </w:rPr>
            </w:pPr>
            <w:r w:rsidRPr="005D4F22">
              <w:rPr>
                <w:rFonts w:hint="eastAsia"/>
                <w:sz w:val="24"/>
              </w:rPr>
              <w:t>100</w:t>
            </w:r>
            <w:r w:rsidRPr="005D4F22">
              <w:rPr>
                <w:rFonts w:hint="eastAsia"/>
                <w:sz w:val="24"/>
              </w:rPr>
              <w:t>万元≤</w:t>
            </w:r>
            <w:r w:rsidRPr="005D4F22">
              <w:rPr>
                <w:rFonts w:hint="eastAsia"/>
                <w:sz w:val="24"/>
              </w:rPr>
              <w:t>M</w:t>
            </w:r>
            <w:r w:rsidRPr="005D4F22">
              <w:rPr>
                <w:rFonts w:hint="eastAsia"/>
                <w:sz w:val="24"/>
              </w:rPr>
              <w:t>＜</w:t>
            </w:r>
            <w:r w:rsidRPr="005D4F22">
              <w:rPr>
                <w:rFonts w:hint="eastAsia"/>
                <w:sz w:val="24"/>
              </w:rPr>
              <w:t>200</w:t>
            </w:r>
            <w:r w:rsidRPr="005D4F22">
              <w:rPr>
                <w:rFonts w:hint="eastAsia"/>
                <w:sz w:val="24"/>
              </w:rPr>
              <w:t>万元</w:t>
            </w:r>
          </w:p>
        </w:tc>
        <w:tc>
          <w:tcPr>
            <w:tcW w:w="3409" w:type="dxa"/>
            <w:vAlign w:val="center"/>
          </w:tcPr>
          <w:p w14:paraId="5C665605" w14:textId="1113CE5A" w:rsidR="005241CE" w:rsidRPr="005D4F22" w:rsidRDefault="005241CE" w:rsidP="005241CE">
            <w:pPr>
              <w:spacing w:line="360" w:lineRule="auto"/>
              <w:jc w:val="center"/>
              <w:rPr>
                <w:rFonts w:ascii="宋体" w:hAnsi="宋体"/>
                <w:kern w:val="0"/>
                <w:sz w:val="24"/>
              </w:rPr>
            </w:pPr>
            <w:r w:rsidRPr="00CE2702">
              <w:rPr>
                <w:rFonts w:hint="eastAsia"/>
                <w:sz w:val="24"/>
              </w:rPr>
              <w:t>0.</w:t>
            </w:r>
            <w:r w:rsidRPr="00CE2702">
              <w:rPr>
                <w:sz w:val="24"/>
              </w:rPr>
              <w:t>8</w:t>
            </w:r>
            <w:r w:rsidRPr="00CE2702">
              <w:rPr>
                <w:rFonts w:hint="eastAsia"/>
                <w:sz w:val="24"/>
              </w:rPr>
              <w:t>0%</w:t>
            </w:r>
          </w:p>
        </w:tc>
      </w:tr>
      <w:tr w:rsidR="005241CE" w14:paraId="2BD970FF" w14:textId="77777777" w:rsidTr="00281351">
        <w:trPr>
          <w:trHeight w:val="294"/>
          <w:jc w:val="center"/>
        </w:trPr>
        <w:tc>
          <w:tcPr>
            <w:tcW w:w="1438" w:type="dxa"/>
            <w:vMerge/>
            <w:tcMar>
              <w:top w:w="15" w:type="dxa"/>
              <w:left w:w="15" w:type="dxa"/>
              <w:bottom w:w="0" w:type="dxa"/>
              <w:right w:w="15" w:type="dxa"/>
            </w:tcMar>
            <w:vAlign w:val="center"/>
          </w:tcPr>
          <w:p w14:paraId="385091F2" w14:textId="77777777" w:rsidR="005241CE" w:rsidRDefault="005241CE" w:rsidP="005241CE">
            <w:pPr>
              <w:autoSpaceDE w:val="0"/>
              <w:autoSpaceDN w:val="0"/>
              <w:spacing w:line="360" w:lineRule="auto"/>
              <w:jc w:val="center"/>
              <w:rPr>
                <w:rFonts w:ascii="宋体" w:hAnsi="宋体" w:cs="宋体"/>
                <w:b/>
                <w:sz w:val="24"/>
                <w:lang w:val="zh-CN"/>
              </w:rPr>
            </w:pPr>
          </w:p>
        </w:tc>
        <w:tc>
          <w:tcPr>
            <w:tcW w:w="3483" w:type="dxa"/>
            <w:tcMar>
              <w:top w:w="15" w:type="dxa"/>
              <w:left w:w="15" w:type="dxa"/>
              <w:bottom w:w="0" w:type="dxa"/>
              <w:right w:w="15" w:type="dxa"/>
            </w:tcMar>
          </w:tcPr>
          <w:p w14:paraId="05FBB939" w14:textId="536865E3" w:rsidR="005241CE" w:rsidRPr="005D4F22" w:rsidRDefault="005241CE" w:rsidP="005241CE">
            <w:pPr>
              <w:spacing w:line="360" w:lineRule="auto"/>
              <w:ind w:leftChars="-7" w:left="2" w:hangingChars="7" w:hanging="17"/>
              <w:jc w:val="center"/>
              <w:rPr>
                <w:rFonts w:ascii="宋体" w:hAnsi="宋体"/>
                <w:sz w:val="24"/>
              </w:rPr>
            </w:pPr>
            <w:r w:rsidRPr="005D4F22">
              <w:rPr>
                <w:rFonts w:hint="eastAsia"/>
                <w:sz w:val="24"/>
              </w:rPr>
              <w:t>200</w:t>
            </w:r>
            <w:r w:rsidRPr="005D4F22">
              <w:rPr>
                <w:rFonts w:hint="eastAsia"/>
                <w:sz w:val="24"/>
              </w:rPr>
              <w:t>万元≤</w:t>
            </w:r>
            <w:r w:rsidRPr="005D4F22">
              <w:rPr>
                <w:rFonts w:hint="eastAsia"/>
                <w:sz w:val="24"/>
              </w:rPr>
              <w:t>M</w:t>
            </w:r>
            <w:r w:rsidRPr="005D4F22">
              <w:rPr>
                <w:rFonts w:hint="eastAsia"/>
                <w:sz w:val="24"/>
              </w:rPr>
              <w:t>＜</w:t>
            </w:r>
            <w:r w:rsidRPr="005D4F22">
              <w:rPr>
                <w:rFonts w:hint="eastAsia"/>
                <w:sz w:val="24"/>
              </w:rPr>
              <w:t>500</w:t>
            </w:r>
            <w:r w:rsidRPr="005D4F22">
              <w:rPr>
                <w:rFonts w:hint="eastAsia"/>
                <w:sz w:val="24"/>
              </w:rPr>
              <w:t>万元</w:t>
            </w:r>
          </w:p>
        </w:tc>
        <w:tc>
          <w:tcPr>
            <w:tcW w:w="3409" w:type="dxa"/>
            <w:vAlign w:val="center"/>
          </w:tcPr>
          <w:p w14:paraId="24FD7E0D" w14:textId="1361B4BE" w:rsidR="005241CE" w:rsidRPr="005D4F22" w:rsidRDefault="005241CE" w:rsidP="005241CE">
            <w:pPr>
              <w:spacing w:line="360" w:lineRule="auto"/>
              <w:jc w:val="center"/>
              <w:rPr>
                <w:rFonts w:ascii="宋体" w:hAnsi="宋体"/>
                <w:kern w:val="0"/>
                <w:sz w:val="24"/>
              </w:rPr>
            </w:pPr>
            <w:r w:rsidRPr="00CE2702">
              <w:rPr>
                <w:rFonts w:hint="eastAsia"/>
                <w:sz w:val="24"/>
              </w:rPr>
              <w:t>0</w:t>
            </w:r>
            <w:r w:rsidRPr="00CE2702">
              <w:rPr>
                <w:sz w:val="24"/>
              </w:rPr>
              <w:t>.50%</w:t>
            </w:r>
          </w:p>
        </w:tc>
      </w:tr>
      <w:tr w:rsidR="007853B3" w14:paraId="76C185BD" w14:textId="77777777" w:rsidTr="00DB3A01">
        <w:trPr>
          <w:trHeight w:val="294"/>
          <w:jc w:val="center"/>
        </w:trPr>
        <w:tc>
          <w:tcPr>
            <w:tcW w:w="1438" w:type="dxa"/>
            <w:vMerge/>
            <w:tcMar>
              <w:top w:w="15" w:type="dxa"/>
              <w:left w:w="15" w:type="dxa"/>
              <w:bottom w:w="0" w:type="dxa"/>
              <w:right w:w="15" w:type="dxa"/>
            </w:tcMar>
            <w:vAlign w:val="center"/>
          </w:tcPr>
          <w:p w14:paraId="32B7DA00" w14:textId="77777777" w:rsidR="007853B3" w:rsidRDefault="007853B3" w:rsidP="007853B3">
            <w:pPr>
              <w:autoSpaceDE w:val="0"/>
              <w:autoSpaceDN w:val="0"/>
              <w:spacing w:line="360" w:lineRule="auto"/>
              <w:jc w:val="center"/>
              <w:rPr>
                <w:rFonts w:ascii="宋体" w:hAnsi="宋体" w:cs="宋体"/>
                <w:b/>
                <w:sz w:val="24"/>
                <w:lang w:val="zh-CN"/>
              </w:rPr>
            </w:pPr>
          </w:p>
        </w:tc>
        <w:tc>
          <w:tcPr>
            <w:tcW w:w="3483" w:type="dxa"/>
            <w:tcMar>
              <w:top w:w="15" w:type="dxa"/>
              <w:left w:w="15" w:type="dxa"/>
              <w:bottom w:w="0" w:type="dxa"/>
              <w:right w:w="15" w:type="dxa"/>
            </w:tcMar>
          </w:tcPr>
          <w:p w14:paraId="523304F2" w14:textId="7CD3212E" w:rsidR="007853B3" w:rsidRPr="005D4F22" w:rsidRDefault="007853B3" w:rsidP="007853B3">
            <w:pPr>
              <w:spacing w:line="360" w:lineRule="auto"/>
              <w:ind w:leftChars="-7" w:left="2" w:hangingChars="7" w:hanging="17"/>
              <w:jc w:val="center"/>
              <w:rPr>
                <w:rFonts w:ascii="宋体" w:hAnsi="宋体"/>
                <w:sz w:val="24"/>
              </w:rPr>
            </w:pPr>
            <w:r w:rsidRPr="005D4F22">
              <w:rPr>
                <w:rFonts w:hint="eastAsia"/>
                <w:sz w:val="24"/>
              </w:rPr>
              <w:t>M</w:t>
            </w:r>
            <w:r w:rsidRPr="005D4F22">
              <w:rPr>
                <w:rFonts w:hint="eastAsia"/>
                <w:sz w:val="24"/>
              </w:rPr>
              <w:t>≥</w:t>
            </w:r>
            <w:r w:rsidRPr="005D4F22">
              <w:rPr>
                <w:rFonts w:hint="eastAsia"/>
                <w:sz w:val="24"/>
              </w:rPr>
              <w:t>500</w:t>
            </w:r>
            <w:r w:rsidRPr="005D4F22">
              <w:rPr>
                <w:rFonts w:hint="eastAsia"/>
                <w:sz w:val="24"/>
              </w:rPr>
              <w:t>万元</w:t>
            </w:r>
          </w:p>
        </w:tc>
        <w:tc>
          <w:tcPr>
            <w:tcW w:w="3409" w:type="dxa"/>
          </w:tcPr>
          <w:p w14:paraId="0A5194AE" w14:textId="4AACDEFE" w:rsidR="007853B3" w:rsidRPr="005D4F22" w:rsidRDefault="007853B3" w:rsidP="007853B3">
            <w:pPr>
              <w:spacing w:line="360" w:lineRule="auto"/>
              <w:jc w:val="center"/>
              <w:rPr>
                <w:rFonts w:ascii="宋体" w:hAnsi="宋体"/>
                <w:kern w:val="0"/>
                <w:sz w:val="24"/>
              </w:rPr>
            </w:pPr>
            <w:r w:rsidRPr="005D4F22">
              <w:rPr>
                <w:rFonts w:hint="eastAsia"/>
                <w:sz w:val="24"/>
              </w:rPr>
              <w:t>按笔固定收取，</w:t>
            </w:r>
            <w:r w:rsidRPr="005D4F22">
              <w:rPr>
                <w:rFonts w:hint="eastAsia"/>
                <w:sz w:val="24"/>
              </w:rPr>
              <w:t>1000</w:t>
            </w:r>
            <w:r w:rsidRPr="005D4F22">
              <w:rPr>
                <w:rFonts w:hint="eastAsia"/>
                <w:sz w:val="24"/>
              </w:rPr>
              <w:t>元</w:t>
            </w:r>
            <w:r w:rsidRPr="005D4F22">
              <w:rPr>
                <w:rFonts w:hint="eastAsia"/>
                <w:sz w:val="24"/>
              </w:rPr>
              <w:t>/</w:t>
            </w:r>
            <w:r w:rsidRPr="005D4F22">
              <w:rPr>
                <w:rFonts w:hint="eastAsia"/>
                <w:sz w:val="24"/>
              </w:rPr>
              <w:t>笔</w:t>
            </w:r>
          </w:p>
        </w:tc>
      </w:tr>
    </w:tbl>
    <w:p w14:paraId="4FD0A9EC" w14:textId="77777777" w:rsidR="00BF4A4E" w:rsidRDefault="00BF4A4E">
      <w:pPr>
        <w:pStyle w:val="20"/>
        <w:adjustRightInd w:val="0"/>
        <w:snapToGrid w:val="0"/>
        <w:ind w:firstLine="480"/>
        <w:rPr>
          <w:sz w:val="24"/>
        </w:rPr>
      </w:pPr>
      <w:r>
        <w:rPr>
          <w:rFonts w:hint="eastAsia"/>
          <w:sz w:val="24"/>
        </w:rPr>
        <w:lastRenderedPageBreak/>
        <w:t>2、赎回费率</w:t>
      </w:r>
    </w:p>
    <w:p w14:paraId="1313A0EC" w14:textId="2107C5F7" w:rsidR="00BF4A4E" w:rsidRDefault="00BF4A4E">
      <w:pPr>
        <w:pStyle w:val="20"/>
        <w:adjustRightInd w:val="0"/>
        <w:snapToGrid w:val="0"/>
        <w:ind w:firstLine="480"/>
        <w:rPr>
          <w:sz w:val="24"/>
        </w:rPr>
      </w:pPr>
      <w:r>
        <w:rPr>
          <w:sz w:val="24"/>
        </w:rPr>
        <w:t>本基金的赎回费用由赎回本基金</w:t>
      </w:r>
      <w:r w:rsidR="001B11A6">
        <w:rPr>
          <w:sz w:val="24"/>
        </w:rPr>
        <w:t>各类</w:t>
      </w:r>
      <w:r>
        <w:rPr>
          <w:sz w:val="24"/>
        </w:rPr>
        <w:t>基金份额的基金份额持有人承担，赎回费用在基金份额持有人赎回本</w:t>
      </w:r>
      <w:r>
        <w:rPr>
          <w:rFonts w:hint="eastAsia"/>
          <w:sz w:val="24"/>
        </w:rPr>
        <w:t>基金</w:t>
      </w:r>
      <w:r w:rsidR="001B11A6">
        <w:rPr>
          <w:rFonts w:hint="eastAsia"/>
          <w:bCs/>
          <w:sz w:val="24"/>
          <w:szCs w:val="24"/>
        </w:rPr>
        <w:t>相应类别</w:t>
      </w:r>
      <w:r>
        <w:rPr>
          <w:sz w:val="24"/>
        </w:rPr>
        <w:t>基金份额时收取。赎回费未</w:t>
      </w:r>
      <w:r>
        <w:rPr>
          <w:rFonts w:hint="eastAsia"/>
          <w:sz w:val="24"/>
        </w:rPr>
        <w:t>计</w:t>
      </w:r>
      <w:r>
        <w:rPr>
          <w:sz w:val="24"/>
        </w:rPr>
        <w:t>入基金财产的部分用于支付登记费和其他必要的手续费。</w:t>
      </w:r>
    </w:p>
    <w:p w14:paraId="73113D92" w14:textId="77777777" w:rsidR="00BF4A4E" w:rsidRDefault="00BF4A4E">
      <w:pPr>
        <w:pStyle w:val="20"/>
        <w:adjustRightInd w:val="0"/>
        <w:snapToGrid w:val="0"/>
        <w:ind w:firstLine="480"/>
        <w:rPr>
          <w:sz w:val="24"/>
        </w:rPr>
      </w:pPr>
      <w:r>
        <w:rPr>
          <w:rFonts w:hint="eastAsia"/>
          <w:sz w:val="24"/>
        </w:rPr>
        <w:t>（1）A类基金份额的赎回费率</w:t>
      </w:r>
    </w:p>
    <w:p w14:paraId="777400F2" w14:textId="77777777" w:rsidR="00BF4A4E" w:rsidRDefault="00F152BE">
      <w:pPr>
        <w:pStyle w:val="20"/>
        <w:adjustRightInd w:val="0"/>
        <w:snapToGrid w:val="0"/>
        <w:ind w:firstLine="480"/>
        <w:rPr>
          <w:sz w:val="24"/>
        </w:rPr>
      </w:pPr>
      <w:r>
        <w:rPr>
          <w:rFonts w:hint="eastAsia"/>
          <w:bCs/>
          <w:sz w:val="24"/>
        </w:rPr>
        <w:t>本基金</w:t>
      </w:r>
      <w:r w:rsidR="00BF4A4E">
        <w:rPr>
          <w:rFonts w:hint="eastAsia"/>
          <w:bCs/>
          <w:sz w:val="24"/>
        </w:rPr>
        <w:t>对持续持有A类</w:t>
      </w:r>
      <w:r w:rsidR="00BF4A4E">
        <w:rPr>
          <w:bCs/>
          <w:sz w:val="24"/>
        </w:rPr>
        <w:t>基金份额</w:t>
      </w:r>
      <w:r w:rsidR="00BF4A4E">
        <w:rPr>
          <w:rFonts w:hint="eastAsia"/>
          <w:bCs/>
          <w:sz w:val="24"/>
        </w:rPr>
        <w:t>少于</w:t>
      </w:r>
      <w:r w:rsidR="00BF4A4E">
        <w:rPr>
          <w:bCs/>
          <w:sz w:val="24"/>
        </w:rPr>
        <w:t>30</w:t>
      </w:r>
      <w:r w:rsidR="00BF4A4E">
        <w:rPr>
          <w:rFonts w:hint="eastAsia"/>
          <w:bCs/>
          <w:sz w:val="24"/>
        </w:rPr>
        <w:t>日的投资人收取的赎回费，将全额计入基金财产</w:t>
      </w:r>
      <w:r w:rsidR="00BF4A4E">
        <w:rPr>
          <w:rFonts w:hint="eastAsia"/>
          <w:sz w:val="24"/>
        </w:rPr>
        <w:t>。</w:t>
      </w:r>
    </w:p>
    <w:p w14:paraId="38554E4F" w14:textId="77777777" w:rsidR="00BF4A4E" w:rsidRDefault="00BF4A4E">
      <w:pPr>
        <w:pStyle w:val="20"/>
        <w:adjustRightInd w:val="0"/>
        <w:snapToGrid w:val="0"/>
        <w:ind w:firstLine="480"/>
        <w:rPr>
          <w:sz w:val="24"/>
        </w:rPr>
      </w:pPr>
      <w:r>
        <w:rPr>
          <w:rFonts w:hint="eastAsia"/>
          <w:sz w:val="24"/>
        </w:rPr>
        <w:t>本</w:t>
      </w:r>
      <w:r>
        <w:rPr>
          <w:sz w:val="24"/>
        </w:rPr>
        <w:t>基金</w:t>
      </w:r>
      <w:r>
        <w:rPr>
          <w:rFonts w:hint="eastAsia"/>
          <w:sz w:val="24"/>
        </w:rPr>
        <w:t>A类基金</w:t>
      </w:r>
      <w:r>
        <w:rPr>
          <w:sz w:val="24"/>
        </w:rPr>
        <w:t>份额</w:t>
      </w:r>
      <w:r>
        <w:rPr>
          <w:rFonts w:hint="eastAsia"/>
          <w:sz w:val="24"/>
        </w:rPr>
        <w:t>的</w:t>
      </w:r>
      <w:r>
        <w:rPr>
          <w:sz w:val="24"/>
        </w:rPr>
        <w:t>赎回费率</w:t>
      </w:r>
      <w:r>
        <w:rPr>
          <w:rFonts w:hint="eastAsia"/>
          <w:sz w:val="24"/>
        </w:rPr>
        <w:t>按持有期限的长短分档，具体如下：</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1483"/>
        <w:gridCol w:w="3777"/>
        <w:gridCol w:w="2977"/>
      </w:tblGrid>
      <w:tr w:rsidR="00BF4A4E" w14:paraId="09AA866E" w14:textId="77777777">
        <w:trPr>
          <w:trHeight w:val="313"/>
          <w:jc w:val="center"/>
        </w:trPr>
        <w:tc>
          <w:tcPr>
            <w:tcW w:w="1483" w:type="dxa"/>
            <w:vMerge w:val="restart"/>
            <w:tcMar>
              <w:top w:w="15" w:type="dxa"/>
              <w:left w:w="15" w:type="dxa"/>
              <w:bottom w:w="0" w:type="dxa"/>
              <w:right w:w="15" w:type="dxa"/>
            </w:tcMar>
            <w:vAlign w:val="center"/>
          </w:tcPr>
          <w:p w14:paraId="3BA9F30F" w14:textId="77777777" w:rsidR="00BF4A4E" w:rsidRDefault="00BF4A4E">
            <w:pPr>
              <w:pStyle w:val="20"/>
              <w:adjustRightInd w:val="0"/>
              <w:snapToGrid w:val="0"/>
              <w:ind w:firstLineChars="0" w:firstLine="0"/>
              <w:jc w:val="center"/>
              <w:rPr>
                <w:b/>
                <w:sz w:val="24"/>
              </w:rPr>
            </w:pPr>
            <w:bookmarkStart w:id="44" w:name="_Toc378682822"/>
            <w:bookmarkStart w:id="45" w:name="_Toc378682929"/>
            <w:r>
              <w:rPr>
                <w:rFonts w:hint="eastAsia"/>
                <w:b/>
                <w:sz w:val="24"/>
              </w:rPr>
              <w:t>A类</w:t>
            </w:r>
            <w:r>
              <w:rPr>
                <w:b/>
                <w:sz w:val="24"/>
              </w:rPr>
              <w:t>基金份额</w:t>
            </w:r>
          </w:p>
          <w:p w14:paraId="01DE4F6F" w14:textId="77777777" w:rsidR="00BF4A4E" w:rsidRDefault="00BF4A4E">
            <w:pPr>
              <w:pStyle w:val="23"/>
              <w:spacing w:before="0" w:line="360" w:lineRule="auto"/>
              <w:ind w:firstLineChars="0" w:firstLine="0"/>
              <w:jc w:val="center"/>
              <w:outlineLvl w:val="9"/>
              <w:rPr>
                <w:rFonts w:ascii="宋体" w:eastAsia="宋体" w:hAnsi="宋体"/>
                <w:sz w:val="24"/>
              </w:rPr>
            </w:pPr>
            <w:r>
              <w:rPr>
                <w:rFonts w:ascii="宋体" w:eastAsia="宋体" w:hAnsi="宋体" w:hint="eastAsia"/>
                <w:kern w:val="2"/>
                <w:sz w:val="24"/>
                <w:szCs w:val="20"/>
              </w:rPr>
              <w:t>赎回费率</w:t>
            </w:r>
            <w:bookmarkEnd w:id="44"/>
            <w:bookmarkEnd w:id="45"/>
          </w:p>
        </w:tc>
        <w:tc>
          <w:tcPr>
            <w:tcW w:w="3777" w:type="dxa"/>
            <w:tcMar>
              <w:top w:w="15" w:type="dxa"/>
              <w:left w:w="15" w:type="dxa"/>
              <w:bottom w:w="0" w:type="dxa"/>
              <w:right w:w="15" w:type="dxa"/>
            </w:tcMar>
            <w:vAlign w:val="center"/>
          </w:tcPr>
          <w:p w14:paraId="489A05A7" w14:textId="77777777" w:rsidR="00BF4A4E" w:rsidRDefault="00BF4A4E">
            <w:pPr>
              <w:widowControl/>
              <w:spacing w:line="360" w:lineRule="auto"/>
              <w:jc w:val="center"/>
              <w:rPr>
                <w:rFonts w:ascii="宋体" w:hAnsi="宋体"/>
                <w:b/>
                <w:kern w:val="0"/>
                <w:sz w:val="24"/>
              </w:rPr>
            </w:pPr>
            <w:r>
              <w:rPr>
                <w:rFonts w:ascii="宋体" w:hAnsi="宋体" w:hint="eastAsia"/>
                <w:b/>
                <w:kern w:val="0"/>
                <w:sz w:val="24"/>
              </w:rPr>
              <w:t>持有期限</w:t>
            </w:r>
            <w:r>
              <w:rPr>
                <w:rFonts w:ascii="宋体" w:hAnsi="宋体" w:hint="eastAsia"/>
                <w:b/>
                <w:sz w:val="24"/>
              </w:rPr>
              <w:t>（Y）</w:t>
            </w:r>
          </w:p>
        </w:tc>
        <w:tc>
          <w:tcPr>
            <w:tcW w:w="2977" w:type="dxa"/>
            <w:vAlign w:val="center"/>
          </w:tcPr>
          <w:p w14:paraId="57D7B794" w14:textId="77777777" w:rsidR="00BF4A4E" w:rsidRDefault="00BF4A4E">
            <w:pPr>
              <w:widowControl/>
              <w:spacing w:line="360" w:lineRule="auto"/>
              <w:jc w:val="center"/>
              <w:rPr>
                <w:rFonts w:ascii="宋体" w:hAnsi="宋体"/>
                <w:b/>
                <w:kern w:val="0"/>
                <w:sz w:val="24"/>
              </w:rPr>
            </w:pPr>
            <w:r>
              <w:rPr>
                <w:rFonts w:ascii="宋体" w:hAnsi="宋体" w:hint="eastAsia"/>
                <w:b/>
                <w:kern w:val="0"/>
                <w:sz w:val="24"/>
              </w:rPr>
              <w:t>赎回费率</w:t>
            </w:r>
          </w:p>
        </w:tc>
      </w:tr>
      <w:tr w:rsidR="00BF4A4E" w14:paraId="1A003410" w14:textId="77777777">
        <w:trPr>
          <w:trHeight w:val="454"/>
          <w:jc w:val="center"/>
        </w:trPr>
        <w:tc>
          <w:tcPr>
            <w:tcW w:w="1483" w:type="dxa"/>
            <w:vMerge/>
            <w:tcMar>
              <w:top w:w="15" w:type="dxa"/>
              <w:left w:w="15" w:type="dxa"/>
              <w:bottom w:w="0" w:type="dxa"/>
              <w:right w:w="15" w:type="dxa"/>
            </w:tcMar>
            <w:vAlign w:val="center"/>
          </w:tcPr>
          <w:p w14:paraId="6DF3DF62" w14:textId="77777777" w:rsidR="00BF4A4E" w:rsidRDefault="00BF4A4E">
            <w:pPr>
              <w:pStyle w:val="23"/>
              <w:spacing w:before="0" w:line="360" w:lineRule="auto"/>
              <w:ind w:firstLineChars="0" w:firstLine="0"/>
              <w:jc w:val="center"/>
              <w:outlineLvl w:val="9"/>
              <w:rPr>
                <w:rFonts w:ascii="宋体" w:eastAsia="宋体" w:hAnsi="宋体"/>
                <w:sz w:val="24"/>
              </w:rPr>
            </w:pPr>
          </w:p>
        </w:tc>
        <w:tc>
          <w:tcPr>
            <w:tcW w:w="3777" w:type="dxa"/>
            <w:tcMar>
              <w:top w:w="15" w:type="dxa"/>
              <w:left w:w="15" w:type="dxa"/>
              <w:bottom w:w="0" w:type="dxa"/>
              <w:right w:w="15" w:type="dxa"/>
            </w:tcMar>
            <w:vAlign w:val="center"/>
          </w:tcPr>
          <w:p w14:paraId="3FCD9FFF" w14:textId="77777777" w:rsidR="00BF4A4E" w:rsidRDefault="00BF4A4E">
            <w:pPr>
              <w:widowControl/>
              <w:spacing w:line="360" w:lineRule="auto"/>
              <w:jc w:val="center"/>
              <w:rPr>
                <w:rFonts w:ascii="宋体" w:hAnsi="宋体"/>
                <w:kern w:val="0"/>
                <w:sz w:val="24"/>
              </w:rPr>
            </w:pPr>
            <w:r>
              <w:rPr>
                <w:rFonts w:ascii="宋体" w:hAnsi="宋体" w:hint="eastAsia"/>
                <w:kern w:val="0"/>
                <w:sz w:val="24"/>
              </w:rPr>
              <w:t>Y＜7日</w:t>
            </w:r>
          </w:p>
        </w:tc>
        <w:tc>
          <w:tcPr>
            <w:tcW w:w="2977" w:type="dxa"/>
            <w:vAlign w:val="center"/>
          </w:tcPr>
          <w:p w14:paraId="4E7FDAF8" w14:textId="77777777" w:rsidR="00BF4A4E" w:rsidRDefault="00BF4A4E">
            <w:pPr>
              <w:pStyle w:val="20"/>
              <w:adjustRightInd w:val="0"/>
              <w:snapToGrid w:val="0"/>
              <w:ind w:firstLineChars="0" w:firstLine="0"/>
              <w:jc w:val="center"/>
              <w:rPr>
                <w:sz w:val="24"/>
              </w:rPr>
            </w:pPr>
            <w:r>
              <w:rPr>
                <w:rFonts w:hint="eastAsia"/>
                <w:sz w:val="24"/>
              </w:rPr>
              <w:t>1.50%</w:t>
            </w:r>
          </w:p>
        </w:tc>
      </w:tr>
      <w:tr w:rsidR="00BF4A4E" w14:paraId="67DE7798" w14:textId="77777777" w:rsidTr="00770B2C">
        <w:trPr>
          <w:trHeight w:val="454"/>
          <w:jc w:val="center"/>
        </w:trPr>
        <w:tc>
          <w:tcPr>
            <w:tcW w:w="1483" w:type="dxa"/>
            <w:vMerge/>
            <w:tcMar>
              <w:top w:w="15" w:type="dxa"/>
              <w:left w:w="15" w:type="dxa"/>
              <w:bottom w:w="0" w:type="dxa"/>
              <w:right w:w="15" w:type="dxa"/>
            </w:tcMar>
            <w:vAlign w:val="center"/>
          </w:tcPr>
          <w:p w14:paraId="14DA06BB" w14:textId="77777777" w:rsidR="00BF4A4E" w:rsidRDefault="00BF4A4E">
            <w:pPr>
              <w:pStyle w:val="23"/>
              <w:spacing w:before="0" w:line="360" w:lineRule="auto"/>
              <w:ind w:firstLineChars="0" w:firstLine="0"/>
              <w:jc w:val="center"/>
              <w:outlineLvl w:val="9"/>
              <w:rPr>
                <w:rFonts w:ascii="宋体" w:eastAsia="宋体" w:hAnsi="宋体"/>
                <w:sz w:val="24"/>
              </w:rPr>
            </w:pPr>
          </w:p>
        </w:tc>
        <w:tc>
          <w:tcPr>
            <w:tcW w:w="3777" w:type="dxa"/>
            <w:tcMar>
              <w:top w:w="15" w:type="dxa"/>
              <w:left w:w="15" w:type="dxa"/>
              <w:bottom w:w="0" w:type="dxa"/>
              <w:right w:w="15" w:type="dxa"/>
            </w:tcMar>
            <w:vAlign w:val="center"/>
          </w:tcPr>
          <w:p w14:paraId="0B410143" w14:textId="77777777" w:rsidR="00BF4A4E" w:rsidRDefault="00BF4A4E" w:rsidP="00770B2C">
            <w:pPr>
              <w:widowControl/>
              <w:spacing w:line="360" w:lineRule="auto"/>
              <w:jc w:val="center"/>
              <w:rPr>
                <w:rFonts w:ascii="宋体" w:hAnsi="宋体"/>
                <w:kern w:val="0"/>
                <w:sz w:val="24"/>
              </w:rPr>
            </w:pPr>
            <w:r>
              <w:rPr>
                <w:rFonts w:ascii="宋体" w:hAnsi="宋体" w:hint="eastAsia"/>
                <w:kern w:val="0"/>
                <w:sz w:val="24"/>
              </w:rPr>
              <w:t>7日≤Y＜30日</w:t>
            </w:r>
          </w:p>
        </w:tc>
        <w:tc>
          <w:tcPr>
            <w:tcW w:w="2977" w:type="dxa"/>
            <w:vAlign w:val="center"/>
          </w:tcPr>
          <w:p w14:paraId="57DA2C33" w14:textId="77777777" w:rsidR="00BF4A4E" w:rsidRDefault="00BF4A4E" w:rsidP="00770B2C">
            <w:pPr>
              <w:pStyle w:val="20"/>
              <w:adjustRightInd w:val="0"/>
              <w:snapToGrid w:val="0"/>
              <w:ind w:firstLineChars="0" w:firstLine="0"/>
              <w:jc w:val="center"/>
              <w:rPr>
                <w:sz w:val="24"/>
              </w:rPr>
            </w:pPr>
            <w:r>
              <w:rPr>
                <w:sz w:val="24"/>
              </w:rPr>
              <w:t>0.</w:t>
            </w:r>
            <w:r w:rsidR="005F6FAE">
              <w:rPr>
                <w:sz w:val="24"/>
              </w:rPr>
              <w:t>50</w:t>
            </w:r>
            <w:r>
              <w:rPr>
                <w:rFonts w:hint="eastAsia"/>
                <w:sz w:val="24"/>
              </w:rPr>
              <w:t>%</w:t>
            </w:r>
          </w:p>
        </w:tc>
      </w:tr>
      <w:tr w:rsidR="00BF4A4E" w14:paraId="45B2E6CA" w14:textId="77777777">
        <w:trPr>
          <w:trHeight w:val="454"/>
          <w:jc w:val="center"/>
        </w:trPr>
        <w:tc>
          <w:tcPr>
            <w:tcW w:w="1483" w:type="dxa"/>
            <w:vMerge/>
            <w:tcMar>
              <w:top w:w="15" w:type="dxa"/>
              <w:left w:w="15" w:type="dxa"/>
              <w:bottom w:w="0" w:type="dxa"/>
              <w:right w:w="15" w:type="dxa"/>
            </w:tcMar>
            <w:vAlign w:val="center"/>
          </w:tcPr>
          <w:p w14:paraId="5C9EDE9B" w14:textId="77777777" w:rsidR="00BF4A4E" w:rsidRDefault="00BF4A4E">
            <w:pPr>
              <w:pStyle w:val="23"/>
              <w:spacing w:before="0" w:line="360" w:lineRule="auto"/>
              <w:ind w:firstLineChars="0" w:firstLine="0"/>
              <w:jc w:val="center"/>
              <w:outlineLvl w:val="9"/>
              <w:rPr>
                <w:rFonts w:ascii="宋体" w:eastAsia="宋体" w:hAnsi="宋体"/>
                <w:sz w:val="24"/>
              </w:rPr>
            </w:pPr>
          </w:p>
        </w:tc>
        <w:tc>
          <w:tcPr>
            <w:tcW w:w="3777" w:type="dxa"/>
            <w:tcMar>
              <w:top w:w="15" w:type="dxa"/>
              <w:left w:w="15" w:type="dxa"/>
              <w:bottom w:w="0" w:type="dxa"/>
              <w:right w:w="15" w:type="dxa"/>
            </w:tcMar>
            <w:vAlign w:val="center"/>
          </w:tcPr>
          <w:p w14:paraId="55CEB8B9" w14:textId="77777777" w:rsidR="00BF4A4E" w:rsidRDefault="00BF4A4E">
            <w:pPr>
              <w:widowControl/>
              <w:spacing w:line="360" w:lineRule="auto"/>
              <w:jc w:val="center"/>
              <w:rPr>
                <w:rFonts w:ascii="宋体" w:hAnsi="宋体"/>
                <w:kern w:val="0"/>
                <w:sz w:val="24"/>
              </w:rPr>
            </w:pPr>
            <w:r>
              <w:rPr>
                <w:rFonts w:ascii="宋体" w:hAnsi="宋体" w:hint="eastAsia"/>
                <w:kern w:val="0"/>
                <w:sz w:val="24"/>
              </w:rPr>
              <w:t>Y≥30日</w:t>
            </w:r>
          </w:p>
        </w:tc>
        <w:tc>
          <w:tcPr>
            <w:tcW w:w="2977" w:type="dxa"/>
            <w:vAlign w:val="center"/>
          </w:tcPr>
          <w:p w14:paraId="769177EE" w14:textId="77777777" w:rsidR="00BF4A4E" w:rsidRDefault="00BF4A4E">
            <w:pPr>
              <w:pStyle w:val="20"/>
              <w:adjustRightInd w:val="0"/>
              <w:snapToGrid w:val="0"/>
              <w:ind w:firstLineChars="0" w:firstLine="0"/>
              <w:jc w:val="center"/>
              <w:rPr>
                <w:sz w:val="24"/>
              </w:rPr>
            </w:pPr>
            <w:r>
              <w:rPr>
                <w:rFonts w:hint="eastAsia"/>
                <w:sz w:val="24"/>
              </w:rPr>
              <w:t>0</w:t>
            </w:r>
          </w:p>
        </w:tc>
      </w:tr>
    </w:tbl>
    <w:p w14:paraId="7B4C9AA3" w14:textId="565632CD" w:rsidR="00BF4A4E" w:rsidRDefault="00BF4A4E">
      <w:pPr>
        <w:pStyle w:val="20"/>
        <w:adjustRightInd w:val="0"/>
        <w:snapToGrid w:val="0"/>
        <w:ind w:firstLine="480"/>
        <w:rPr>
          <w:sz w:val="24"/>
        </w:rPr>
      </w:pPr>
      <w:r>
        <w:rPr>
          <w:rFonts w:hint="eastAsia"/>
          <w:sz w:val="24"/>
        </w:rPr>
        <w:t>（2）C类</w:t>
      </w:r>
      <w:r>
        <w:rPr>
          <w:sz w:val="24"/>
        </w:rPr>
        <w:t>基金份额的赎回费率</w:t>
      </w:r>
    </w:p>
    <w:p w14:paraId="6F577642" w14:textId="1B3E9A98" w:rsidR="005D14A2" w:rsidRDefault="00BF4A4E">
      <w:pPr>
        <w:pStyle w:val="20"/>
        <w:adjustRightInd w:val="0"/>
        <w:snapToGrid w:val="0"/>
        <w:ind w:firstLine="480"/>
        <w:rPr>
          <w:rFonts w:cs="宋体"/>
          <w:sz w:val="24"/>
        </w:rPr>
      </w:pPr>
      <w:r>
        <w:rPr>
          <w:rFonts w:hint="eastAsia"/>
          <w:sz w:val="24"/>
        </w:rPr>
        <w:t>本</w:t>
      </w:r>
      <w:r>
        <w:rPr>
          <w:sz w:val="24"/>
        </w:rPr>
        <w:t>基金对</w:t>
      </w:r>
      <w:r>
        <w:rPr>
          <w:rFonts w:hint="eastAsia"/>
          <w:sz w:val="24"/>
        </w:rPr>
        <w:t>持续</w:t>
      </w:r>
      <w:r>
        <w:rPr>
          <w:sz w:val="24"/>
        </w:rPr>
        <w:t>持有</w:t>
      </w:r>
      <w:r>
        <w:rPr>
          <w:rFonts w:hint="eastAsia"/>
          <w:sz w:val="24"/>
        </w:rPr>
        <w:t>C类</w:t>
      </w:r>
      <w:r>
        <w:rPr>
          <w:sz w:val="24"/>
        </w:rPr>
        <w:t>基金份额少于</w:t>
      </w:r>
      <w:r>
        <w:rPr>
          <w:rFonts w:hint="eastAsia"/>
          <w:sz w:val="24"/>
        </w:rPr>
        <w:t>7日</w:t>
      </w:r>
      <w:r>
        <w:rPr>
          <w:sz w:val="24"/>
        </w:rPr>
        <w:t>的投资者收取的赎回费率为</w:t>
      </w:r>
      <w:r>
        <w:rPr>
          <w:rFonts w:hint="eastAsia"/>
          <w:sz w:val="24"/>
        </w:rPr>
        <w:t>1.5</w:t>
      </w:r>
      <w:r>
        <w:rPr>
          <w:sz w:val="24"/>
        </w:rPr>
        <w:t>0%</w:t>
      </w:r>
      <w:r>
        <w:rPr>
          <w:rFonts w:hint="eastAsia"/>
          <w:sz w:val="24"/>
        </w:rPr>
        <w:t>，</w:t>
      </w:r>
      <w:r w:rsidR="00F152BE">
        <w:rPr>
          <w:rFonts w:cs="宋体" w:hint="eastAsia"/>
          <w:sz w:val="24"/>
        </w:rPr>
        <w:t>赎回费用将全额计入基金财产。</w:t>
      </w:r>
    </w:p>
    <w:p w14:paraId="44D55574" w14:textId="0B8EA823" w:rsidR="00BF4A4E" w:rsidRDefault="005D14A2">
      <w:pPr>
        <w:pStyle w:val="20"/>
        <w:adjustRightInd w:val="0"/>
        <w:snapToGrid w:val="0"/>
        <w:ind w:firstLine="480"/>
        <w:rPr>
          <w:sz w:val="24"/>
        </w:rPr>
      </w:pPr>
      <w:r>
        <w:rPr>
          <w:rFonts w:hint="eastAsia"/>
          <w:sz w:val="24"/>
        </w:rPr>
        <w:t>本</w:t>
      </w:r>
      <w:r>
        <w:rPr>
          <w:sz w:val="24"/>
        </w:rPr>
        <w:t>基金C</w:t>
      </w:r>
      <w:r>
        <w:rPr>
          <w:rFonts w:hint="eastAsia"/>
          <w:sz w:val="24"/>
        </w:rPr>
        <w:t>类基金</w:t>
      </w:r>
      <w:r>
        <w:rPr>
          <w:sz w:val="24"/>
        </w:rPr>
        <w:t>份额</w:t>
      </w:r>
      <w:r>
        <w:rPr>
          <w:rFonts w:hint="eastAsia"/>
          <w:sz w:val="24"/>
        </w:rPr>
        <w:t>的</w:t>
      </w:r>
      <w:r>
        <w:rPr>
          <w:sz w:val="24"/>
        </w:rPr>
        <w:t>赎回费率</w:t>
      </w:r>
      <w:r>
        <w:rPr>
          <w:rFonts w:hint="eastAsia"/>
          <w:sz w:val="24"/>
        </w:rPr>
        <w:t>按持有期限的长短分档，</w:t>
      </w:r>
      <w:r w:rsidR="00BF4A4E">
        <w:rPr>
          <w:sz w:val="24"/>
        </w:rPr>
        <w:t>具体如下：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2"/>
        <w:gridCol w:w="3669"/>
        <w:gridCol w:w="2965"/>
      </w:tblGrid>
      <w:tr w:rsidR="00BF4A4E" w14:paraId="3ED2CB3F" w14:textId="77777777" w:rsidTr="00F152BE">
        <w:trPr>
          <w:jc w:val="center"/>
        </w:trPr>
        <w:tc>
          <w:tcPr>
            <w:tcW w:w="1668" w:type="dxa"/>
            <w:vMerge w:val="restart"/>
            <w:vAlign w:val="center"/>
          </w:tcPr>
          <w:p w14:paraId="6614332B" w14:textId="451CACDD" w:rsidR="00BF4A4E" w:rsidRDefault="00BF4A4E" w:rsidP="00C25ADA">
            <w:pPr>
              <w:pStyle w:val="20"/>
              <w:adjustRightInd w:val="0"/>
              <w:snapToGrid w:val="0"/>
              <w:ind w:firstLineChars="0" w:firstLine="0"/>
              <w:jc w:val="center"/>
              <w:rPr>
                <w:b/>
                <w:sz w:val="24"/>
              </w:rPr>
            </w:pPr>
            <w:r>
              <w:rPr>
                <w:rFonts w:hint="eastAsia"/>
                <w:b/>
                <w:sz w:val="24"/>
              </w:rPr>
              <w:t>C类</w:t>
            </w:r>
            <w:r>
              <w:rPr>
                <w:b/>
                <w:sz w:val="24"/>
              </w:rPr>
              <w:t>基金份额赎回费率</w:t>
            </w:r>
          </w:p>
        </w:tc>
        <w:tc>
          <w:tcPr>
            <w:tcW w:w="3685" w:type="dxa"/>
            <w:vAlign w:val="center"/>
          </w:tcPr>
          <w:p w14:paraId="2FFBD981" w14:textId="77777777" w:rsidR="00BF4A4E" w:rsidRDefault="00BF4A4E" w:rsidP="00F152BE">
            <w:pPr>
              <w:pStyle w:val="20"/>
              <w:adjustRightInd w:val="0"/>
              <w:snapToGrid w:val="0"/>
              <w:ind w:firstLineChars="0" w:firstLine="0"/>
              <w:jc w:val="center"/>
              <w:rPr>
                <w:b/>
                <w:sz w:val="24"/>
              </w:rPr>
            </w:pPr>
            <w:r>
              <w:rPr>
                <w:rFonts w:hint="eastAsia"/>
                <w:b/>
                <w:sz w:val="24"/>
              </w:rPr>
              <w:t>持有</w:t>
            </w:r>
            <w:r>
              <w:rPr>
                <w:b/>
                <w:sz w:val="24"/>
              </w:rPr>
              <w:t>期限（</w:t>
            </w:r>
            <w:r>
              <w:rPr>
                <w:rFonts w:hint="eastAsia"/>
                <w:b/>
                <w:sz w:val="24"/>
              </w:rPr>
              <w:t>Y</w:t>
            </w:r>
            <w:r>
              <w:rPr>
                <w:b/>
                <w:sz w:val="24"/>
              </w:rPr>
              <w:t>）</w:t>
            </w:r>
          </w:p>
        </w:tc>
        <w:tc>
          <w:tcPr>
            <w:tcW w:w="2977" w:type="dxa"/>
            <w:vAlign w:val="center"/>
          </w:tcPr>
          <w:p w14:paraId="6BD3FE61" w14:textId="77777777" w:rsidR="00BF4A4E" w:rsidRDefault="00BF4A4E" w:rsidP="007E0179">
            <w:pPr>
              <w:pStyle w:val="20"/>
              <w:adjustRightInd w:val="0"/>
              <w:snapToGrid w:val="0"/>
              <w:ind w:firstLineChars="0" w:firstLine="0"/>
              <w:jc w:val="center"/>
              <w:rPr>
                <w:b/>
                <w:sz w:val="24"/>
              </w:rPr>
            </w:pPr>
            <w:r>
              <w:rPr>
                <w:rFonts w:hint="eastAsia"/>
                <w:b/>
                <w:sz w:val="24"/>
              </w:rPr>
              <w:t>赎回</w:t>
            </w:r>
            <w:r>
              <w:rPr>
                <w:b/>
                <w:sz w:val="24"/>
              </w:rPr>
              <w:t>费率</w:t>
            </w:r>
          </w:p>
        </w:tc>
      </w:tr>
      <w:tr w:rsidR="00BF4A4E" w14:paraId="0AA3547F" w14:textId="77777777" w:rsidTr="00F152BE">
        <w:trPr>
          <w:jc w:val="center"/>
        </w:trPr>
        <w:tc>
          <w:tcPr>
            <w:tcW w:w="1668" w:type="dxa"/>
            <w:vMerge/>
            <w:vAlign w:val="center"/>
          </w:tcPr>
          <w:p w14:paraId="37CBFB0A" w14:textId="77777777" w:rsidR="00BF4A4E" w:rsidRDefault="00BF4A4E" w:rsidP="00970FB3">
            <w:pPr>
              <w:pStyle w:val="20"/>
              <w:adjustRightInd w:val="0"/>
              <w:snapToGrid w:val="0"/>
              <w:ind w:firstLineChars="0" w:firstLine="0"/>
              <w:jc w:val="center"/>
              <w:rPr>
                <w:sz w:val="24"/>
              </w:rPr>
            </w:pPr>
          </w:p>
        </w:tc>
        <w:tc>
          <w:tcPr>
            <w:tcW w:w="3685" w:type="dxa"/>
            <w:vAlign w:val="center"/>
          </w:tcPr>
          <w:p w14:paraId="276A8F98" w14:textId="77777777" w:rsidR="00BF4A4E" w:rsidRDefault="00BF4A4E" w:rsidP="00F152BE">
            <w:pPr>
              <w:pStyle w:val="20"/>
              <w:adjustRightInd w:val="0"/>
              <w:snapToGrid w:val="0"/>
              <w:ind w:firstLineChars="0" w:firstLine="0"/>
              <w:jc w:val="center"/>
              <w:rPr>
                <w:sz w:val="24"/>
              </w:rPr>
            </w:pPr>
            <w:r>
              <w:rPr>
                <w:rFonts w:hint="eastAsia"/>
                <w:kern w:val="0"/>
                <w:sz w:val="24"/>
              </w:rPr>
              <w:t>Y</w:t>
            </w:r>
            <w:r>
              <w:rPr>
                <w:rFonts w:hint="eastAsia"/>
                <w:sz w:val="24"/>
              </w:rPr>
              <w:t>＜7日</w:t>
            </w:r>
          </w:p>
        </w:tc>
        <w:tc>
          <w:tcPr>
            <w:tcW w:w="2977" w:type="dxa"/>
            <w:vAlign w:val="center"/>
          </w:tcPr>
          <w:p w14:paraId="3E136F58" w14:textId="77777777" w:rsidR="00BF4A4E" w:rsidRDefault="00BF4A4E" w:rsidP="00F152BE">
            <w:pPr>
              <w:pStyle w:val="20"/>
              <w:adjustRightInd w:val="0"/>
              <w:snapToGrid w:val="0"/>
              <w:ind w:firstLineChars="0" w:firstLine="0"/>
              <w:jc w:val="center"/>
              <w:rPr>
                <w:sz w:val="24"/>
              </w:rPr>
            </w:pPr>
            <w:r>
              <w:rPr>
                <w:rFonts w:hint="eastAsia"/>
                <w:sz w:val="24"/>
              </w:rPr>
              <w:t>1.5</w:t>
            </w:r>
            <w:r>
              <w:rPr>
                <w:sz w:val="24"/>
              </w:rPr>
              <w:t>0%</w:t>
            </w:r>
          </w:p>
        </w:tc>
      </w:tr>
      <w:tr w:rsidR="00BF4A4E" w14:paraId="13ACFABD" w14:textId="77777777" w:rsidTr="00F152BE">
        <w:trPr>
          <w:jc w:val="center"/>
        </w:trPr>
        <w:tc>
          <w:tcPr>
            <w:tcW w:w="1668" w:type="dxa"/>
            <w:vMerge/>
            <w:vAlign w:val="center"/>
          </w:tcPr>
          <w:p w14:paraId="36ED313A" w14:textId="77777777" w:rsidR="00BF4A4E" w:rsidRDefault="00BF4A4E" w:rsidP="00970FB3">
            <w:pPr>
              <w:pStyle w:val="20"/>
              <w:adjustRightInd w:val="0"/>
              <w:snapToGrid w:val="0"/>
              <w:ind w:firstLineChars="0" w:firstLine="0"/>
              <w:jc w:val="center"/>
              <w:rPr>
                <w:sz w:val="24"/>
              </w:rPr>
            </w:pPr>
          </w:p>
        </w:tc>
        <w:tc>
          <w:tcPr>
            <w:tcW w:w="3685" w:type="dxa"/>
            <w:vAlign w:val="center"/>
          </w:tcPr>
          <w:p w14:paraId="4486548A" w14:textId="77777777" w:rsidR="00BF4A4E" w:rsidRDefault="00BF4A4E" w:rsidP="00F152BE">
            <w:pPr>
              <w:pStyle w:val="20"/>
              <w:adjustRightInd w:val="0"/>
              <w:snapToGrid w:val="0"/>
              <w:ind w:firstLineChars="0" w:firstLine="0"/>
              <w:jc w:val="center"/>
              <w:rPr>
                <w:sz w:val="24"/>
              </w:rPr>
            </w:pPr>
            <w:r>
              <w:rPr>
                <w:rFonts w:hint="eastAsia"/>
                <w:kern w:val="0"/>
                <w:sz w:val="24"/>
              </w:rPr>
              <w:t>Y</w:t>
            </w:r>
            <w:r>
              <w:rPr>
                <w:rFonts w:hint="eastAsia"/>
                <w:sz w:val="24"/>
              </w:rPr>
              <w:t>≥</w:t>
            </w:r>
            <w:r>
              <w:rPr>
                <w:sz w:val="24"/>
              </w:rPr>
              <w:t>7</w:t>
            </w:r>
            <w:r>
              <w:rPr>
                <w:rFonts w:hint="eastAsia"/>
                <w:sz w:val="24"/>
              </w:rPr>
              <w:t>日</w:t>
            </w:r>
          </w:p>
        </w:tc>
        <w:tc>
          <w:tcPr>
            <w:tcW w:w="2977" w:type="dxa"/>
            <w:vAlign w:val="center"/>
          </w:tcPr>
          <w:p w14:paraId="7065FD22" w14:textId="77777777" w:rsidR="00BF4A4E" w:rsidRDefault="00BF4A4E" w:rsidP="00F152BE">
            <w:pPr>
              <w:pStyle w:val="20"/>
              <w:adjustRightInd w:val="0"/>
              <w:snapToGrid w:val="0"/>
              <w:ind w:firstLineChars="0" w:firstLine="0"/>
              <w:jc w:val="center"/>
              <w:rPr>
                <w:sz w:val="24"/>
              </w:rPr>
            </w:pPr>
            <w:r>
              <w:rPr>
                <w:rFonts w:hint="eastAsia"/>
                <w:sz w:val="24"/>
              </w:rPr>
              <w:t>0</w:t>
            </w:r>
          </w:p>
        </w:tc>
      </w:tr>
    </w:tbl>
    <w:p w14:paraId="6E1BE206" w14:textId="6AACE9D9" w:rsidR="00BF4A4E" w:rsidRDefault="00BF4A4E">
      <w:pPr>
        <w:pStyle w:val="20"/>
        <w:adjustRightInd w:val="0"/>
        <w:snapToGrid w:val="0"/>
        <w:ind w:firstLine="480"/>
        <w:rPr>
          <w:rFonts w:cs="宋体"/>
          <w:sz w:val="24"/>
        </w:rPr>
      </w:pPr>
      <w:r>
        <w:rPr>
          <w:rFonts w:cs="宋体" w:hint="eastAsia"/>
          <w:sz w:val="24"/>
        </w:rPr>
        <w:t>3、</w:t>
      </w:r>
      <w:r w:rsidR="00DA10CB" w:rsidRPr="00DA10CB">
        <w:rPr>
          <w:rFonts w:cs="宋体" w:hint="eastAsia"/>
          <w:bCs/>
          <w:sz w:val="24"/>
        </w:rPr>
        <w:t>在对基金份额持有人无实质性不利影响的情况下，基金管理人可以在基金合同约定的范围内调整费率或收费方式，并最迟应于新的费率或收费方式实施日前依照《信息披露办法》的有关规定在规定媒介上公告</w:t>
      </w:r>
      <w:r>
        <w:rPr>
          <w:rFonts w:cs="宋体" w:hint="eastAsia"/>
          <w:sz w:val="24"/>
        </w:rPr>
        <w:t>。</w:t>
      </w:r>
    </w:p>
    <w:p w14:paraId="3EBAF751" w14:textId="139013BD" w:rsidR="00BF4A4E" w:rsidRDefault="00BF4A4E">
      <w:pPr>
        <w:pStyle w:val="20"/>
        <w:adjustRightInd w:val="0"/>
        <w:snapToGrid w:val="0"/>
        <w:ind w:firstLine="480"/>
        <w:rPr>
          <w:rFonts w:cs="宋体"/>
          <w:sz w:val="24"/>
        </w:rPr>
      </w:pPr>
      <w:r>
        <w:rPr>
          <w:rFonts w:cs="宋体" w:hint="eastAsia"/>
          <w:sz w:val="24"/>
        </w:rPr>
        <w:t>4、</w:t>
      </w:r>
      <w:r>
        <w:rPr>
          <w:rFonts w:cs="宋体" w:hint="eastAsia"/>
          <w:bCs/>
          <w:sz w:val="24"/>
          <w:szCs w:val="24"/>
        </w:rPr>
        <w:t>基金管理人可以在不违反法律法规规定及基金合同约定</w:t>
      </w:r>
      <w:r w:rsidR="007F3E9C">
        <w:rPr>
          <w:rFonts w:cs="宋体" w:hint="eastAsia"/>
          <w:bCs/>
          <w:sz w:val="24"/>
          <w:szCs w:val="24"/>
        </w:rPr>
        <w:t>且对现有基金份额持有人利益无实质性不利影响</w:t>
      </w:r>
      <w:r>
        <w:rPr>
          <w:rFonts w:cs="宋体" w:hint="eastAsia"/>
          <w:bCs/>
          <w:sz w:val="24"/>
          <w:szCs w:val="24"/>
        </w:rPr>
        <w:t>的前提下，根据市场情况制定基金促销计划，针对投资人定期或不定期地开展基金促销活动。在基金促销活动期间，按相关监管部门要求履行必要手续后，基金管理人可以适当调低基金销售费率，或针对特定渠道、特定投资群体开展有差别的费率优惠活动，并进行公告。</w:t>
      </w:r>
    </w:p>
    <w:p w14:paraId="25AEB113" w14:textId="4985DD1C" w:rsidR="00BF4A4E" w:rsidRDefault="00BF4A4E">
      <w:pPr>
        <w:pStyle w:val="20"/>
        <w:adjustRightInd w:val="0"/>
        <w:snapToGrid w:val="0"/>
        <w:ind w:firstLine="480"/>
        <w:rPr>
          <w:rFonts w:cs="宋体"/>
          <w:sz w:val="24"/>
        </w:rPr>
      </w:pPr>
      <w:r>
        <w:rPr>
          <w:rFonts w:cs="宋体" w:hint="eastAsia"/>
          <w:sz w:val="24"/>
        </w:rPr>
        <w:t>5、</w:t>
      </w:r>
      <w:r w:rsidR="00DA10CB" w:rsidRPr="00DA10CB">
        <w:rPr>
          <w:rFonts w:cs="宋体" w:hint="eastAsia"/>
          <w:sz w:val="24"/>
        </w:rPr>
        <w:t>当本基金发生大额申购或赎回情形时，基金管理人可以采用摆动定价机制，以确保基金估值的公平性。具体处理原则与操作规范遵循相关法律法规以及</w:t>
      </w:r>
      <w:r w:rsidR="00DA10CB" w:rsidRPr="00DA10CB">
        <w:rPr>
          <w:rFonts w:cs="宋体" w:hint="eastAsia"/>
          <w:sz w:val="24"/>
        </w:rPr>
        <w:lastRenderedPageBreak/>
        <w:t>监管部门、自律规则的规定</w:t>
      </w:r>
      <w:r>
        <w:rPr>
          <w:rFonts w:cs="宋体" w:hint="eastAsia"/>
          <w:sz w:val="24"/>
        </w:rPr>
        <w:t>。</w:t>
      </w:r>
    </w:p>
    <w:p w14:paraId="39CBE6CA" w14:textId="77777777" w:rsidR="00BF4A4E" w:rsidRDefault="00BF4A4E">
      <w:pPr>
        <w:pStyle w:val="20"/>
        <w:adjustRightInd w:val="0"/>
        <w:snapToGrid w:val="0"/>
        <w:ind w:firstLine="480"/>
        <w:rPr>
          <w:rFonts w:cs="宋体"/>
          <w:sz w:val="24"/>
        </w:rPr>
      </w:pPr>
      <w:r>
        <w:rPr>
          <w:rFonts w:cs="宋体" w:hint="eastAsia"/>
          <w:sz w:val="24"/>
        </w:rPr>
        <w:t>八、申购份额与赎回金额的计算方式</w:t>
      </w:r>
    </w:p>
    <w:p w14:paraId="5E61B8C2" w14:textId="77777777" w:rsidR="00BF4A4E" w:rsidRDefault="00BF4A4E">
      <w:pPr>
        <w:pStyle w:val="20"/>
        <w:adjustRightInd w:val="0"/>
        <w:snapToGrid w:val="0"/>
        <w:ind w:firstLine="480"/>
        <w:rPr>
          <w:rFonts w:cs="宋体"/>
          <w:sz w:val="24"/>
        </w:rPr>
      </w:pPr>
      <w:r>
        <w:rPr>
          <w:rFonts w:cs="宋体" w:hint="eastAsia"/>
          <w:sz w:val="24"/>
        </w:rPr>
        <w:t>1、申购和赎回数额、余额的处理方式</w:t>
      </w:r>
    </w:p>
    <w:p w14:paraId="65F9E176" w14:textId="77777777" w:rsidR="00BF4A4E" w:rsidRDefault="00BF4A4E">
      <w:pPr>
        <w:pStyle w:val="20"/>
        <w:adjustRightInd w:val="0"/>
        <w:snapToGrid w:val="0"/>
        <w:ind w:firstLine="480"/>
        <w:rPr>
          <w:rFonts w:cs="宋体"/>
          <w:sz w:val="24"/>
        </w:rPr>
      </w:pPr>
      <w:r>
        <w:rPr>
          <w:rFonts w:cs="宋体" w:hint="eastAsia"/>
          <w:sz w:val="24"/>
        </w:rPr>
        <w:t>（1）申购的有效份额为按实际确认的申购金额在扣除相应的费用后，以当日相应类别的基金份额净值为基准计算，计算结果保留到小数点后2位，小数点后两位以后的部分舍去，舍去部分所代表的资产归基金财产所有。</w:t>
      </w:r>
    </w:p>
    <w:p w14:paraId="3E4B56CA" w14:textId="77777777" w:rsidR="00BF4A4E" w:rsidRDefault="00BF4A4E">
      <w:pPr>
        <w:pStyle w:val="20"/>
        <w:adjustRightInd w:val="0"/>
        <w:snapToGrid w:val="0"/>
        <w:ind w:firstLine="480"/>
        <w:rPr>
          <w:rFonts w:cs="宋体"/>
          <w:sz w:val="24"/>
        </w:rPr>
      </w:pPr>
      <w:r>
        <w:rPr>
          <w:rFonts w:cs="宋体" w:hint="eastAsia"/>
          <w:sz w:val="24"/>
        </w:rPr>
        <w:t>（2）赎回金额为按实际确认的有效赎回份额乘以当日相应类别的基金份额净值并扣除相应的费用后的余额，赎回金额计算结果保留到小数点后2位，小数点后两位以后的部分舍去，舍去部分所代表的资产归基金财产所有。</w:t>
      </w:r>
    </w:p>
    <w:p w14:paraId="6B4D64F0" w14:textId="77777777" w:rsidR="00BF4A4E" w:rsidRDefault="00BF4A4E">
      <w:pPr>
        <w:pStyle w:val="20"/>
        <w:adjustRightInd w:val="0"/>
        <w:snapToGrid w:val="0"/>
        <w:ind w:firstLine="480"/>
        <w:rPr>
          <w:rFonts w:cs="宋体"/>
          <w:sz w:val="24"/>
        </w:rPr>
      </w:pPr>
      <w:r>
        <w:rPr>
          <w:rFonts w:cs="宋体" w:hint="eastAsia"/>
          <w:sz w:val="24"/>
        </w:rPr>
        <w:t>2、申购份额的计算：</w:t>
      </w:r>
    </w:p>
    <w:p w14:paraId="13263810" w14:textId="77777777" w:rsidR="00BF4A4E" w:rsidRDefault="00BF4A4E">
      <w:pPr>
        <w:pStyle w:val="20"/>
        <w:adjustRightInd w:val="0"/>
        <w:snapToGrid w:val="0"/>
        <w:ind w:firstLine="480"/>
        <w:rPr>
          <w:rFonts w:cs="宋体"/>
          <w:sz w:val="24"/>
        </w:rPr>
      </w:pPr>
      <w:r>
        <w:rPr>
          <w:rFonts w:cs="宋体" w:hint="eastAsia"/>
          <w:sz w:val="24"/>
        </w:rPr>
        <w:t>（1）本基金A类基金份额的申购份额的计算方式如下：</w:t>
      </w:r>
    </w:p>
    <w:p w14:paraId="3C416E71" w14:textId="77777777" w:rsidR="00BF4A4E" w:rsidRDefault="00BF4A4E">
      <w:pPr>
        <w:pStyle w:val="20"/>
        <w:adjustRightInd w:val="0"/>
        <w:snapToGrid w:val="0"/>
        <w:ind w:firstLine="480"/>
        <w:rPr>
          <w:rFonts w:cs="宋体"/>
          <w:sz w:val="24"/>
        </w:rPr>
      </w:pPr>
      <w:r>
        <w:rPr>
          <w:rFonts w:cs="宋体" w:hint="eastAsia"/>
          <w:sz w:val="24"/>
        </w:rPr>
        <w:t>A类基金份额的申购金额包括申购费用和净申购金额，其中：</w:t>
      </w:r>
    </w:p>
    <w:p w14:paraId="3536BA78" w14:textId="77777777" w:rsidR="00BF4A4E" w:rsidRDefault="00BF4A4E">
      <w:pPr>
        <w:pStyle w:val="20"/>
        <w:adjustRightInd w:val="0"/>
        <w:snapToGrid w:val="0"/>
        <w:ind w:firstLine="480"/>
        <w:rPr>
          <w:rFonts w:cs="宋体"/>
          <w:sz w:val="24"/>
        </w:rPr>
      </w:pPr>
      <w:r>
        <w:rPr>
          <w:rFonts w:cs="宋体" w:hint="eastAsia"/>
          <w:sz w:val="24"/>
        </w:rPr>
        <w:t>净申购金额=申购金额/（1＋申购费率）</w:t>
      </w:r>
    </w:p>
    <w:p w14:paraId="0F9C6A22" w14:textId="77777777" w:rsidR="00BF4A4E" w:rsidRDefault="00BF4A4E">
      <w:pPr>
        <w:pStyle w:val="20"/>
        <w:adjustRightInd w:val="0"/>
        <w:snapToGrid w:val="0"/>
        <w:ind w:firstLine="480"/>
        <w:rPr>
          <w:rFonts w:cs="宋体"/>
          <w:sz w:val="24"/>
        </w:rPr>
      </w:pPr>
      <w:r>
        <w:rPr>
          <w:rFonts w:cs="宋体" w:hint="eastAsia"/>
          <w:sz w:val="24"/>
        </w:rPr>
        <w:t>（注：对于适用固定金额申购费的申购，净申购金额=申购金额-固定申购费金额）</w:t>
      </w:r>
    </w:p>
    <w:p w14:paraId="7EA05A56" w14:textId="77777777" w:rsidR="00BF4A4E" w:rsidRDefault="00BF4A4E">
      <w:pPr>
        <w:pStyle w:val="20"/>
        <w:adjustRightInd w:val="0"/>
        <w:snapToGrid w:val="0"/>
        <w:ind w:firstLine="480"/>
        <w:rPr>
          <w:rFonts w:cs="宋体"/>
          <w:sz w:val="24"/>
        </w:rPr>
      </w:pPr>
      <w:r>
        <w:rPr>
          <w:rFonts w:cs="宋体" w:hint="eastAsia"/>
          <w:sz w:val="24"/>
        </w:rPr>
        <w:t>申购费用=申购金额-净申购金额</w:t>
      </w:r>
    </w:p>
    <w:p w14:paraId="68B69A17" w14:textId="77777777" w:rsidR="00BF4A4E" w:rsidRDefault="00BF4A4E">
      <w:pPr>
        <w:pStyle w:val="20"/>
        <w:adjustRightInd w:val="0"/>
        <w:snapToGrid w:val="0"/>
        <w:ind w:firstLine="480"/>
        <w:rPr>
          <w:rFonts w:cs="宋体"/>
          <w:sz w:val="24"/>
        </w:rPr>
      </w:pPr>
      <w:r>
        <w:rPr>
          <w:rFonts w:cs="宋体" w:hint="eastAsia"/>
          <w:sz w:val="24"/>
        </w:rPr>
        <w:t>（注：对于适用固定金额申购费的申购，申购费用=固定申购费金额）</w:t>
      </w:r>
    </w:p>
    <w:p w14:paraId="40424025" w14:textId="7AC05E51" w:rsidR="00BF4A4E" w:rsidRDefault="00BF4A4E">
      <w:pPr>
        <w:pStyle w:val="20"/>
        <w:adjustRightInd w:val="0"/>
        <w:snapToGrid w:val="0"/>
        <w:ind w:firstLine="480"/>
        <w:rPr>
          <w:rFonts w:cs="宋体"/>
          <w:sz w:val="24"/>
        </w:rPr>
      </w:pPr>
      <w:r>
        <w:rPr>
          <w:rFonts w:cs="宋体" w:hint="eastAsia"/>
          <w:sz w:val="24"/>
        </w:rPr>
        <w:t>申购份额=净申购金额/T日A类基金份额净值</w:t>
      </w:r>
    </w:p>
    <w:p w14:paraId="48A39279" w14:textId="4ECEC138" w:rsidR="00BF4A4E" w:rsidRDefault="00BF4A4E">
      <w:pPr>
        <w:pStyle w:val="20"/>
        <w:adjustRightInd w:val="0"/>
        <w:snapToGrid w:val="0"/>
        <w:ind w:firstLine="480"/>
        <w:rPr>
          <w:rFonts w:cs="宋体"/>
          <w:sz w:val="24"/>
        </w:rPr>
      </w:pPr>
      <w:r>
        <w:rPr>
          <w:rFonts w:cs="宋体" w:hint="eastAsia"/>
          <w:sz w:val="24"/>
        </w:rPr>
        <w:t>例3：某投资人投资6,000.00元申购本基金A类基金份额，其对应的申购费率为1.</w:t>
      </w:r>
      <w:r w:rsidR="00E97C98">
        <w:rPr>
          <w:rFonts w:cs="宋体"/>
          <w:sz w:val="24"/>
        </w:rPr>
        <w:t>0</w:t>
      </w:r>
      <w:r w:rsidR="00492F66">
        <w:rPr>
          <w:rFonts w:cs="宋体" w:hint="eastAsia"/>
          <w:sz w:val="24"/>
        </w:rPr>
        <w:t>0</w:t>
      </w:r>
      <w:r>
        <w:rPr>
          <w:rFonts w:cs="宋体" w:hint="eastAsia"/>
          <w:sz w:val="24"/>
        </w:rPr>
        <w:t>%，假设申购当日本基金A类基金份额的基金份额净值为1.0600元，则其可得到的申购份额为：</w:t>
      </w:r>
    </w:p>
    <w:p w14:paraId="46370D4A" w14:textId="281298FF" w:rsidR="00BF4A4E" w:rsidRDefault="00BF4A4E">
      <w:pPr>
        <w:pStyle w:val="20"/>
        <w:adjustRightInd w:val="0"/>
        <w:snapToGrid w:val="0"/>
        <w:ind w:firstLine="480"/>
        <w:rPr>
          <w:rFonts w:cs="宋体"/>
          <w:sz w:val="24"/>
        </w:rPr>
      </w:pPr>
      <w:r>
        <w:rPr>
          <w:rFonts w:cs="宋体" w:hint="eastAsia"/>
          <w:sz w:val="24"/>
        </w:rPr>
        <w:t>净申购金额＝6,000.00/（1＋1.</w:t>
      </w:r>
      <w:r w:rsidR="00E97C98">
        <w:rPr>
          <w:rFonts w:cs="宋体"/>
          <w:sz w:val="24"/>
        </w:rPr>
        <w:t>0</w:t>
      </w:r>
      <w:r w:rsidR="00CF696A">
        <w:rPr>
          <w:rFonts w:cs="宋体" w:hint="eastAsia"/>
          <w:sz w:val="24"/>
        </w:rPr>
        <w:t>0</w:t>
      </w:r>
      <w:r>
        <w:rPr>
          <w:rFonts w:cs="宋体" w:hint="eastAsia"/>
          <w:sz w:val="24"/>
        </w:rPr>
        <w:t>%）＝</w:t>
      </w:r>
      <w:r w:rsidR="009F5CE2">
        <w:rPr>
          <w:rFonts w:cs="宋体"/>
          <w:sz w:val="24"/>
        </w:rPr>
        <w:t>5</w:t>
      </w:r>
      <w:r w:rsidR="009F5CE2">
        <w:rPr>
          <w:rFonts w:cs="宋体" w:hint="eastAsia"/>
          <w:sz w:val="24"/>
        </w:rPr>
        <w:t>,</w:t>
      </w:r>
      <w:r w:rsidR="00CF696A">
        <w:rPr>
          <w:rFonts w:cs="宋体" w:hint="eastAsia"/>
          <w:sz w:val="24"/>
        </w:rPr>
        <w:t>9</w:t>
      </w:r>
      <w:r w:rsidR="00E97C98">
        <w:rPr>
          <w:rFonts w:cs="宋体"/>
          <w:sz w:val="24"/>
        </w:rPr>
        <w:t>40</w:t>
      </w:r>
      <w:r w:rsidR="009F5CE2">
        <w:rPr>
          <w:rFonts w:cs="宋体"/>
          <w:sz w:val="24"/>
        </w:rPr>
        <w:t>.</w:t>
      </w:r>
      <w:r w:rsidR="00E97C98">
        <w:rPr>
          <w:rFonts w:cs="宋体"/>
          <w:sz w:val="24"/>
        </w:rPr>
        <w:t>59</w:t>
      </w:r>
      <w:r>
        <w:rPr>
          <w:rFonts w:cs="宋体" w:hint="eastAsia"/>
          <w:sz w:val="24"/>
        </w:rPr>
        <w:t>元</w:t>
      </w:r>
    </w:p>
    <w:p w14:paraId="4905A7D9" w14:textId="12B49E82" w:rsidR="00BF4A4E" w:rsidRDefault="00BF4A4E">
      <w:pPr>
        <w:pStyle w:val="20"/>
        <w:adjustRightInd w:val="0"/>
        <w:snapToGrid w:val="0"/>
        <w:ind w:firstLine="480"/>
        <w:rPr>
          <w:rFonts w:cs="宋体"/>
          <w:sz w:val="24"/>
        </w:rPr>
      </w:pPr>
      <w:r>
        <w:rPr>
          <w:rFonts w:cs="宋体" w:hint="eastAsia"/>
          <w:sz w:val="24"/>
        </w:rPr>
        <w:t>申购费用＝6,000.00－</w:t>
      </w:r>
      <w:r w:rsidR="00E97C98">
        <w:rPr>
          <w:rFonts w:cs="宋体"/>
          <w:sz w:val="24"/>
        </w:rPr>
        <w:t>5</w:t>
      </w:r>
      <w:r w:rsidR="00E97C98">
        <w:rPr>
          <w:rFonts w:cs="宋体" w:hint="eastAsia"/>
          <w:sz w:val="24"/>
        </w:rPr>
        <w:t>,9</w:t>
      </w:r>
      <w:r w:rsidR="00E97C98">
        <w:rPr>
          <w:rFonts w:cs="宋体"/>
          <w:sz w:val="24"/>
        </w:rPr>
        <w:t>40.59</w:t>
      </w:r>
      <w:r>
        <w:rPr>
          <w:rFonts w:cs="宋体" w:hint="eastAsia"/>
          <w:sz w:val="24"/>
        </w:rPr>
        <w:t>＝</w:t>
      </w:r>
      <w:r w:rsidR="00E97C98">
        <w:rPr>
          <w:rFonts w:cs="宋体"/>
          <w:sz w:val="24"/>
        </w:rPr>
        <w:t>59.41</w:t>
      </w:r>
      <w:r>
        <w:rPr>
          <w:rFonts w:cs="宋体" w:hint="eastAsia"/>
          <w:sz w:val="24"/>
        </w:rPr>
        <w:t>元</w:t>
      </w:r>
    </w:p>
    <w:p w14:paraId="7905131C" w14:textId="6C9F220E" w:rsidR="00BF4A4E" w:rsidRDefault="00BF4A4E">
      <w:pPr>
        <w:pStyle w:val="20"/>
        <w:adjustRightInd w:val="0"/>
        <w:snapToGrid w:val="0"/>
        <w:ind w:firstLine="480"/>
        <w:rPr>
          <w:rFonts w:cs="宋体"/>
          <w:sz w:val="24"/>
        </w:rPr>
      </w:pPr>
      <w:r>
        <w:rPr>
          <w:rFonts w:cs="宋体" w:hint="eastAsia"/>
          <w:sz w:val="24"/>
        </w:rPr>
        <w:t>申购份额＝</w:t>
      </w:r>
      <w:r w:rsidR="00E97C98">
        <w:rPr>
          <w:rFonts w:cs="宋体"/>
          <w:sz w:val="24"/>
        </w:rPr>
        <w:t>5</w:t>
      </w:r>
      <w:r w:rsidR="00E97C98">
        <w:rPr>
          <w:rFonts w:cs="宋体" w:hint="eastAsia"/>
          <w:sz w:val="24"/>
        </w:rPr>
        <w:t>,9</w:t>
      </w:r>
      <w:r w:rsidR="00E97C98">
        <w:rPr>
          <w:rFonts w:cs="宋体"/>
          <w:sz w:val="24"/>
        </w:rPr>
        <w:t>40.59</w:t>
      </w:r>
      <w:r>
        <w:rPr>
          <w:rFonts w:cs="宋体" w:hint="eastAsia"/>
          <w:sz w:val="24"/>
        </w:rPr>
        <w:t>/1.0600＝</w:t>
      </w:r>
      <w:r w:rsidR="00FA1ECA" w:rsidRPr="00FA1ECA">
        <w:rPr>
          <w:rFonts w:cs="宋体"/>
          <w:sz w:val="24"/>
        </w:rPr>
        <w:t>5,</w:t>
      </w:r>
      <w:r w:rsidR="00E97C98">
        <w:rPr>
          <w:rFonts w:cs="宋体"/>
          <w:sz w:val="24"/>
        </w:rPr>
        <w:t>604</w:t>
      </w:r>
      <w:r w:rsidR="00FA1ECA" w:rsidRPr="00FA1ECA">
        <w:rPr>
          <w:rFonts w:cs="宋体"/>
          <w:sz w:val="24"/>
        </w:rPr>
        <w:t>.</w:t>
      </w:r>
      <w:r w:rsidR="00E97C98">
        <w:rPr>
          <w:rFonts w:cs="宋体"/>
          <w:sz w:val="24"/>
        </w:rPr>
        <w:t>33</w:t>
      </w:r>
      <w:r>
        <w:rPr>
          <w:rFonts w:cs="宋体" w:hint="eastAsia"/>
          <w:sz w:val="24"/>
        </w:rPr>
        <w:t>份</w:t>
      </w:r>
    </w:p>
    <w:p w14:paraId="52BB0CDC" w14:textId="1CAF347B" w:rsidR="00BF4A4E" w:rsidRDefault="00BF4A4E">
      <w:pPr>
        <w:pStyle w:val="20"/>
        <w:adjustRightInd w:val="0"/>
        <w:snapToGrid w:val="0"/>
        <w:ind w:firstLine="480"/>
        <w:rPr>
          <w:rFonts w:cs="宋体"/>
          <w:sz w:val="24"/>
        </w:rPr>
      </w:pPr>
      <w:r>
        <w:rPr>
          <w:rFonts w:cs="宋体" w:hint="eastAsia"/>
          <w:sz w:val="24"/>
        </w:rPr>
        <w:t>即：</w:t>
      </w:r>
      <w:r w:rsidR="00316D1A">
        <w:rPr>
          <w:rFonts w:cs="宋体" w:hint="eastAsia"/>
          <w:sz w:val="24"/>
        </w:rPr>
        <w:t>某</w:t>
      </w:r>
      <w:r>
        <w:rPr>
          <w:rFonts w:cs="宋体" w:hint="eastAsia"/>
          <w:sz w:val="24"/>
        </w:rPr>
        <w:t>投资人投资6,000.00元申购本基金A类基金份额，假设申购当日</w:t>
      </w:r>
      <w:r w:rsidR="00025298">
        <w:rPr>
          <w:rFonts w:cs="宋体" w:hint="eastAsia"/>
          <w:sz w:val="24"/>
        </w:rPr>
        <w:t>本基金</w:t>
      </w:r>
      <w:r>
        <w:rPr>
          <w:rFonts w:cs="宋体" w:hint="eastAsia"/>
          <w:sz w:val="24"/>
        </w:rPr>
        <w:t>A类基金份额净值为1.0600元，则其可得到</w:t>
      </w:r>
      <w:r w:rsidR="00E97C98" w:rsidRPr="00FA1ECA">
        <w:rPr>
          <w:rFonts w:cs="宋体"/>
          <w:sz w:val="24"/>
        </w:rPr>
        <w:t>5,</w:t>
      </w:r>
      <w:r w:rsidR="00E97C98">
        <w:rPr>
          <w:rFonts w:cs="宋体"/>
          <w:sz w:val="24"/>
        </w:rPr>
        <w:t>604</w:t>
      </w:r>
      <w:r w:rsidR="00E97C98" w:rsidRPr="00FA1ECA">
        <w:rPr>
          <w:rFonts w:cs="宋体"/>
          <w:sz w:val="24"/>
        </w:rPr>
        <w:t>.</w:t>
      </w:r>
      <w:r w:rsidR="00E97C98">
        <w:rPr>
          <w:rFonts w:cs="宋体"/>
          <w:sz w:val="24"/>
        </w:rPr>
        <w:t>33</w:t>
      </w:r>
      <w:r>
        <w:rPr>
          <w:rFonts w:cs="宋体" w:hint="eastAsia"/>
          <w:sz w:val="24"/>
        </w:rPr>
        <w:t>份本基金A类基金份额。</w:t>
      </w:r>
    </w:p>
    <w:p w14:paraId="6CE93F24" w14:textId="7E0E4890" w:rsidR="00BF4A4E" w:rsidRDefault="00BF4A4E">
      <w:pPr>
        <w:pStyle w:val="20"/>
        <w:adjustRightInd w:val="0"/>
        <w:snapToGrid w:val="0"/>
        <w:ind w:firstLine="480"/>
        <w:rPr>
          <w:rFonts w:cs="宋体"/>
          <w:sz w:val="24"/>
        </w:rPr>
      </w:pPr>
      <w:r>
        <w:rPr>
          <w:rFonts w:cs="宋体" w:hint="eastAsia"/>
          <w:sz w:val="24"/>
        </w:rPr>
        <w:t>（2）本基金C类基金份额的申购份额的计算方式如下：</w:t>
      </w:r>
    </w:p>
    <w:p w14:paraId="4B284582" w14:textId="479D77B8" w:rsidR="00BF4A4E" w:rsidRDefault="00BF4A4E">
      <w:pPr>
        <w:pStyle w:val="20"/>
        <w:adjustRightInd w:val="0"/>
        <w:snapToGrid w:val="0"/>
        <w:ind w:firstLine="480"/>
        <w:rPr>
          <w:rFonts w:cs="宋体"/>
          <w:sz w:val="24"/>
        </w:rPr>
      </w:pPr>
      <w:r>
        <w:rPr>
          <w:rFonts w:cs="宋体" w:hint="eastAsia"/>
          <w:sz w:val="24"/>
        </w:rPr>
        <w:t>本基金C类基金份额在投资人申购时不收取申购费用。</w:t>
      </w:r>
    </w:p>
    <w:p w14:paraId="62FF68C3" w14:textId="0CA88B3E" w:rsidR="00BF4A4E" w:rsidRDefault="00BF4A4E">
      <w:pPr>
        <w:pStyle w:val="20"/>
        <w:adjustRightInd w:val="0"/>
        <w:snapToGrid w:val="0"/>
        <w:ind w:firstLine="480"/>
        <w:rPr>
          <w:rFonts w:cs="宋体"/>
          <w:sz w:val="24"/>
        </w:rPr>
      </w:pPr>
      <w:r>
        <w:rPr>
          <w:rFonts w:cs="宋体" w:hint="eastAsia"/>
          <w:sz w:val="24"/>
        </w:rPr>
        <w:t>申购份额=申购金额/</w:t>
      </w:r>
      <w:r w:rsidR="00782962">
        <w:rPr>
          <w:rFonts w:cs="宋体" w:hint="eastAsia"/>
          <w:sz w:val="24"/>
        </w:rPr>
        <w:t>T</w:t>
      </w:r>
      <w:r>
        <w:rPr>
          <w:rFonts w:cs="宋体" w:hint="eastAsia"/>
          <w:sz w:val="24"/>
        </w:rPr>
        <w:t>日C类基金份额净值</w:t>
      </w:r>
    </w:p>
    <w:p w14:paraId="7B62E730" w14:textId="5DB8D3AA" w:rsidR="00BF4A4E" w:rsidRDefault="00BF4A4E">
      <w:pPr>
        <w:pStyle w:val="20"/>
        <w:adjustRightInd w:val="0"/>
        <w:snapToGrid w:val="0"/>
        <w:ind w:firstLine="480"/>
        <w:rPr>
          <w:rFonts w:cs="宋体"/>
          <w:sz w:val="24"/>
        </w:rPr>
      </w:pPr>
      <w:r>
        <w:rPr>
          <w:rFonts w:cs="宋体" w:hint="eastAsia"/>
          <w:sz w:val="24"/>
        </w:rPr>
        <w:lastRenderedPageBreak/>
        <w:t>例4：某投资人投资100,000.00元申购本基金C类基金份额，假设申购当日本基金</w:t>
      </w:r>
      <w:r w:rsidR="00A44B39">
        <w:rPr>
          <w:rFonts w:cs="宋体" w:hint="eastAsia"/>
          <w:sz w:val="24"/>
        </w:rPr>
        <w:t>该</w:t>
      </w:r>
      <w:r w:rsidR="00EF6E21">
        <w:rPr>
          <w:rFonts w:cs="宋体" w:hint="eastAsia"/>
          <w:sz w:val="24"/>
        </w:rPr>
        <w:t>类</w:t>
      </w:r>
      <w:r>
        <w:rPr>
          <w:rFonts w:cs="宋体" w:hint="eastAsia"/>
          <w:sz w:val="24"/>
        </w:rPr>
        <w:t>基金份额净值为1.0600元，则其可得到的申购份额为：</w:t>
      </w:r>
    </w:p>
    <w:p w14:paraId="1C4C214A" w14:textId="77777777" w:rsidR="00BF4A4E" w:rsidRDefault="00BF4A4E">
      <w:pPr>
        <w:pStyle w:val="20"/>
        <w:adjustRightInd w:val="0"/>
        <w:snapToGrid w:val="0"/>
        <w:ind w:firstLine="480"/>
        <w:rPr>
          <w:rFonts w:cs="宋体"/>
          <w:sz w:val="24"/>
        </w:rPr>
      </w:pPr>
      <w:r>
        <w:rPr>
          <w:rFonts w:cs="宋体" w:hint="eastAsia"/>
          <w:sz w:val="24"/>
        </w:rPr>
        <w:t>申购份额=100,000.00/1.0600=94,339.62份</w:t>
      </w:r>
    </w:p>
    <w:p w14:paraId="2FA5C94F" w14:textId="6F585FF0" w:rsidR="00BF4A4E" w:rsidRDefault="00BF4A4E">
      <w:pPr>
        <w:pStyle w:val="20"/>
        <w:adjustRightInd w:val="0"/>
        <w:snapToGrid w:val="0"/>
        <w:ind w:firstLine="480"/>
        <w:rPr>
          <w:rFonts w:cs="宋体"/>
          <w:sz w:val="24"/>
        </w:rPr>
      </w:pPr>
      <w:r>
        <w:rPr>
          <w:rFonts w:cs="宋体" w:hint="eastAsia"/>
          <w:sz w:val="24"/>
        </w:rPr>
        <w:t>即：</w:t>
      </w:r>
      <w:r w:rsidR="00316D1A">
        <w:rPr>
          <w:rFonts w:cs="宋体" w:hint="eastAsia"/>
          <w:sz w:val="24"/>
        </w:rPr>
        <w:t>某</w:t>
      </w:r>
      <w:r>
        <w:rPr>
          <w:rFonts w:cs="宋体" w:hint="eastAsia"/>
          <w:sz w:val="24"/>
        </w:rPr>
        <w:t>投资人投资100,000.00元申购本基金C类基金份额，假设申购当日本基金</w:t>
      </w:r>
      <w:r w:rsidR="00A44B39">
        <w:rPr>
          <w:rFonts w:cs="宋体" w:hint="eastAsia"/>
          <w:sz w:val="24"/>
        </w:rPr>
        <w:t>该</w:t>
      </w:r>
      <w:r w:rsidR="00EF6E21">
        <w:rPr>
          <w:rFonts w:cs="宋体" w:hint="eastAsia"/>
          <w:sz w:val="24"/>
        </w:rPr>
        <w:t>类</w:t>
      </w:r>
      <w:r>
        <w:rPr>
          <w:rFonts w:cs="宋体" w:hint="eastAsia"/>
          <w:sz w:val="24"/>
        </w:rPr>
        <w:t>基金份额净值为1.0600元，则其可得到94,339.62份</w:t>
      </w:r>
      <w:r w:rsidR="00D826CD">
        <w:rPr>
          <w:rFonts w:cs="宋体" w:hint="eastAsia"/>
          <w:sz w:val="24"/>
        </w:rPr>
        <w:t>该</w:t>
      </w:r>
      <w:r w:rsidR="00EF6E21">
        <w:rPr>
          <w:rFonts w:cs="宋体" w:hint="eastAsia"/>
          <w:sz w:val="24"/>
        </w:rPr>
        <w:t>类</w:t>
      </w:r>
      <w:r>
        <w:rPr>
          <w:rFonts w:cs="宋体" w:hint="eastAsia"/>
          <w:sz w:val="24"/>
        </w:rPr>
        <w:t>基金份额。</w:t>
      </w:r>
    </w:p>
    <w:p w14:paraId="0628A2BC" w14:textId="77777777" w:rsidR="00BF4A4E" w:rsidRDefault="00BF4A4E">
      <w:pPr>
        <w:pStyle w:val="20"/>
        <w:adjustRightInd w:val="0"/>
        <w:snapToGrid w:val="0"/>
        <w:ind w:firstLine="480"/>
        <w:rPr>
          <w:rFonts w:cs="宋体"/>
          <w:sz w:val="24"/>
        </w:rPr>
      </w:pPr>
      <w:r>
        <w:rPr>
          <w:rFonts w:cs="宋体" w:hint="eastAsia"/>
          <w:sz w:val="24"/>
        </w:rPr>
        <w:t>3、赎回金额的计算：</w:t>
      </w:r>
    </w:p>
    <w:p w14:paraId="5FF7C144" w14:textId="77777777" w:rsidR="00BF4A4E" w:rsidRDefault="00BF4A4E">
      <w:pPr>
        <w:pStyle w:val="20"/>
        <w:adjustRightInd w:val="0"/>
        <w:snapToGrid w:val="0"/>
        <w:ind w:firstLine="480"/>
        <w:rPr>
          <w:rFonts w:cs="宋体"/>
          <w:sz w:val="24"/>
        </w:rPr>
      </w:pPr>
      <w:r>
        <w:rPr>
          <w:rFonts w:cs="宋体" w:hint="eastAsia"/>
          <w:sz w:val="24"/>
        </w:rPr>
        <w:t>赎回金额的计算方法如下：</w:t>
      </w:r>
    </w:p>
    <w:p w14:paraId="3EBE25AB" w14:textId="77777777" w:rsidR="00BF4A4E" w:rsidRDefault="00BF4A4E">
      <w:pPr>
        <w:pStyle w:val="20"/>
        <w:adjustRightInd w:val="0"/>
        <w:snapToGrid w:val="0"/>
        <w:ind w:firstLine="480"/>
        <w:rPr>
          <w:rFonts w:cs="宋体"/>
          <w:sz w:val="24"/>
        </w:rPr>
      </w:pPr>
      <w:r>
        <w:rPr>
          <w:rFonts w:cs="宋体" w:hint="eastAsia"/>
          <w:sz w:val="24"/>
        </w:rPr>
        <w:t>赎回总金额=赎回份额×T日相应类别的基金份额净值</w:t>
      </w:r>
    </w:p>
    <w:p w14:paraId="1FB7F467" w14:textId="77777777" w:rsidR="00BF4A4E" w:rsidRDefault="00BF4A4E">
      <w:pPr>
        <w:pStyle w:val="20"/>
        <w:adjustRightInd w:val="0"/>
        <w:snapToGrid w:val="0"/>
        <w:ind w:firstLine="480"/>
        <w:rPr>
          <w:rFonts w:cs="宋体"/>
          <w:sz w:val="24"/>
        </w:rPr>
      </w:pPr>
      <w:r>
        <w:rPr>
          <w:rFonts w:cs="宋体" w:hint="eastAsia"/>
          <w:sz w:val="24"/>
        </w:rPr>
        <w:t>赎回费用=赎回总金额×赎回费率</w:t>
      </w:r>
    </w:p>
    <w:p w14:paraId="6F27E0BE" w14:textId="77777777" w:rsidR="00BF4A4E" w:rsidRDefault="00BF4A4E">
      <w:pPr>
        <w:pStyle w:val="20"/>
        <w:adjustRightInd w:val="0"/>
        <w:snapToGrid w:val="0"/>
        <w:ind w:firstLine="480"/>
        <w:rPr>
          <w:rFonts w:cs="宋体"/>
          <w:sz w:val="24"/>
        </w:rPr>
      </w:pPr>
      <w:r>
        <w:rPr>
          <w:rFonts w:cs="宋体" w:hint="eastAsia"/>
          <w:sz w:val="24"/>
        </w:rPr>
        <w:t>净赎回金额=赎回总金额-赎回费用</w:t>
      </w:r>
    </w:p>
    <w:p w14:paraId="67E5C43E" w14:textId="77777777" w:rsidR="00BF4A4E" w:rsidRDefault="00BF4A4E">
      <w:pPr>
        <w:pStyle w:val="20"/>
        <w:adjustRightInd w:val="0"/>
        <w:snapToGrid w:val="0"/>
        <w:ind w:firstLine="480"/>
        <w:rPr>
          <w:rFonts w:cs="宋体"/>
          <w:sz w:val="24"/>
        </w:rPr>
      </w:pPr>
      <w:r>
        <w:rPr>
          <w:rFonts w:cs="宋体" w:hint="eastAsia"/>
          <w:sz w:val="24"/>
        </w:rPr>
        <w:t>例5：某投资人赎回本基金A类基金份额10,000份，持有时间为</w:t>
      </w:r>
      <w:r w:rsidR="00272CD3">
        <w:rPr>
          <w:rFonts w:cs="宋体"/>
          <w:sz w:val="24"/>
        </w:rPr>
        <w:t>5天</w:t>
      </w:r>
      <w:r>
        <w:rPr>
          <w:rFonts w:cs="宋体" w:hint="eastAsia"/>
          <w:sz w:val="24"/>
        </w:rPr>
        <w:t>，对应的赎回费率为</w:t>
      </w:r>
      <w:r w:rsidR="00272CD3">
        <w:rPr>
          <w:rFonts w:cs="宋体"/>
          <w:sz w:val="24"/>
        </w:rPr>
        <w:t>1.50</w:t>
      </w:r>
      <w:r>
        <w:rPr>
          <w:rFonts w:cs="宋体" w:hint="eastAsia"/>
          <w:sz w:val="24"/>
        </w:rPr>
        <w:t>%，假设赎回当日A类基金份额净值是1.1480元，则其可得到的净赎回金额为：</w:t>
      </w:r>
    </w:p>
    <w:p w14:paraId="74A67C07" w14:textId="77777777" w:rsidR="00BF4A4E" w:rsidRDefault="00BF4A4E">
      <w:pPr>
        <w:pStyle w:val="20"/>
        <w:adjustRightInd w:val="0"/>
        <w:snapToGrid w:val="0"/>
        <w:ind w:firstLine="480"/>
        <w:rPr>
          <w:rFonts w:cs="宋体"/>
          <w:sz w:val="24"/>
        </w:rPr>
      </w:pPr>
      <w:r>
        <w:rPr>
          <w:rFonts w:cs="宋体" w:hint="eastAsia"/>
          <w:sz w:val="24"/>
        </w:rPr>
        <w:t>赎回总金额＝10,000×1.1480＝11,480.00元</w:t>
      </w:r>
    </w:p>
    <w:p w14:paraId="31F0FBE6" w14:textId="77777777" w:rsidR="00BF4A4E" w:rsidRDefault="00BF4A4E">
      <w:pPr>
        <w:pStyle w:val="20"/>
        <w:adjustRightInd w:val="0"/>
        <w:snapToGrid w:val="0"/>
        <w:ind w:firstLine="480"/>
        <w:rPr>
          <w:rFonts w:cs="宋体"/>
          <w:sz w:val="24"/>
        </w:rPr>
      </w:pPr>
      <w:r>
        <w:rPr>
          <w:rFonts w:cs="宋体" w:hint="eastAsia"/>
          <w:sz w:val="24"/>
        </w:rPr>
        <w:t>赎回费用＝11,480.00×</w:t>
      </w:r>
      <w:r w:rsidR="00272CD3">
        <w:rPr>
          <w:rFonts w:cs="宋体"/>
          <w:sz w:val="24"/>
        </w:rPr>
        <w:t>1.50</w:t>
      </w:r>
      <w:r>
        <w:rPr>
          <w:rFonts w:cs="宋体" w:hint="eastAsia"/>
          <w:sz w:val="24"/>
        </w:rPr>
        <w:t>%＝</w:t>
      </w:r>
      <w:r w:rsidR="00272CD3">
        <w:rPr>
          <w:rFonts w:cs="宋体"/>
          <w:sz w:val="24"/>
        </w:rPr>
        <w:t>172.20</w:t>
      </w:r>
      <w:r>
        <w:rPr>
          <w:rFonts w:cs="宋体" w:hint="eastAsia"/>
          <w:sz w:val="24"/>
        </w:rPr>
        <w:t>元</w:t>
      </w:r>
    </w:p>
    <w:p w14:paraId="04FC7B01" w14:textId="77777777" w:rsidR="00BF4A4E" w:rsidRDefault="00BF4A4E">
      <w:pPr>
        <w:pStyle w:val="20"/>
        <w:adjustRightInd w:val="0"/>
        <w:snapToGrid w:val="0"/>
        <w:ind w:firstLine="480"/>
        <w:rPr>
          <w:rFonts w:cs="宋体"/>
          <w:sz w:val="24"/>
        </w:rPr>
      </w:pPr>
      <w:r>
        <w:rPr>
          <w:rFonts w:cs="宋体" w:hint="eastAsia"/>
          <w:sz w:val="24"/>
        </w:rPr>
        <w:t>净赎回金额＝11,480.00－</w:t>
      </w:r>
      <w:r w:rsidR="00272CD3">
        <w:rPr>
          <w:rFonts w:cs="宋体"/>
          <w:sz w:val="24"/>
        </w:rPr>
        <w:t>172.20</w:t>
      </w:r>
      <w:r>
        <w:rPr>
          <w:rFonts w:cs="宋体" w:hint="eastAsia"/>
          <w:sz w:val="24"/>
        </w:rPr>
        <w:t>＝</w:t>
      </w:r>
      <w:r w:rsidR="00272CD3">
        <w:rPr>
          <w:rFonts w:cs="宋体"/>
          <w:sz w:val="24"/>
        </w:rPr>
        <w:t>11</w:t>
      </w:r>
      <w:r w:rsidR="00272CD3">
        <w:rPr>
          <w:rFonts w:cs="宋体" w:hint="eastAsia"/>
          <w:sz w:val="24"/>
        </w:rPr>
        <w:t>,3</w:t>
      </w:r>
      <w:r w:rsidR="00272CD3">
        <w:rPr>
          <w:rFonts w:cs="宋体"/>
          <w:sz w:val="24"/>
        </w:rPr>
        <w:t>07.80</w:t>
      </w:r>
      <w:r>
        <w:rPr>
          <w:rFonts w:cs="宋体" w:hint="eastAsia"/>
          <w:sz w:val="24"/>
        </w:rPr>
        <w:t>元</w:t>
      </w:r>
    </w:p>
    <w:p w14:paraId="65077DAC" w14:textId="77777777" w:rsidR="00BF4A4E" w:rsidRDefault="00BF4A4E">
      <w:pPr>
        <w:pStyle w:val="20"/>
        <w:adjustRightInd w:val="0"/>
        <w:snapToGrid w:val="0"/>
        <w:ind w:firstLine="480"/>
        <w:rPr>
          <w:rFonts w:cs="宋体"/>
          <w:sz w:val="24"/>
        </w:rPr>
      </w:pPr>
      <w:r>
        <w:rPr>
          <w:rFonts w:cs="宋体" w:hint="eastAsia"/>
          <w:sz w:val="24"/>
        </w:rPr>
        <w:t>即：某投资人持有10,000份本基金A类基金份额</w:t>
      </w:r>
      <w:r w:rsidR="00272CD3">
        <w:rPr>
          <w:rFonts w:cs="宋体"/>
          <w:sz w:val="24"/>
        </w:rPr>
        <w:t>5天</w:t>
      </w:r>
      <w:r>
        <w:rPr>
          <w:rFonts w:cs="宋体" w:hint="eastAsia"/>
          <w:sz w:val="24"/>
        </w:rPr>
        <w:t>后赎回，假设赎回当日本基金A类基金份额净值是1.1480元，则其可得到的净赎回金额为</w:t>
      </w:r>
      <w:r w:rsidR="00272CD3" w:rsidRPr="00272CD3">
        <w:rPr>
          <w:rFonts w:cs="宋体"/>
          <w:sz w:val="24"/>
        </w:rPr>
        <w:t>11,307.80</w:t>
      </w:r>
      <w:r>
        <w:rPr>
          <w:rFonts w:cs="宋体" w:hint="eastAsia"/>
          <w:sz w:val="24"/>
        </w:rPr>
        <w:t>元。</w:t>
      </w:r>
    </w:p>
    <w:p w14:paraId="6B6D250B" w14:textId="1354E805" w:rsidR="0048673A" w:rsidRDefault="0048673A" w:rsidP="0048673A">
      <w:pPr>
        <w:pStyle w:val="20"/>
        <w:adjustRightInd w:val="0"/>
        <w:snapToGrid w:val="0"/>
        <w:ind w:firstLine="480"/>
        <w:rPr>
          <w:rFonts w:cs="宋体"/>
          <w:sz w:val="24"/>
        </w:rPr>
      </w:pPr>
      <w:r>
        <w:rPr>
          <w:rFonts w:cs="宋体"/>
          <w:sz w:val="24"/>
        </w:rPr>
        <w:t>例</w:t>
      </w:r>
      <w:r>
        <w:rPr>
          <w:rFonts w:cs="宋体" w:hint="eastAsia"/>
          <w:sz w:val="24"/>
        </w:rPr>
        <w:t>6：某投资人赎回本基金</w:t>
      </w:r>
      <w:r>
        <w:rPr>
          <w:rFonts w:cs="宋体"/>
          <w:sz w:val="24"/>
        </w:rPr>
        <w:t>C</w:t>
      </w:r>
      <w:r>
        <w:rPr>
          <w:rFonts w:cs="宋体" w:hint="eastAsia"/>
          <w:sz w:val="24"/>
        </w:rPr>
        <w:t>类基金份额10,000份，持有时间为29个月，对应的赎回费率为0%，假设赎回当日</w:t>
      </w:r>
      <w:r w:rsidR="00DB0989">
        <w:rPr>
          <w:rFonts w:cs="宋体" w:hint="eastAsia"/>
          <w:sz w:val="24"/>
        </w:rPr>
        <w:t>该</w:t>
      </w:r>
      <w:r w:rsidR="00EF6E21">
        <w:rPr>
          <w:rFonts w:cs="宋体" w:hint="eastAsia"/>
          <w:sz w:val="24"/>
        </w:rPr>
        <w:t>类</w:t>
      </w:r>
      <w:r>
        <w:rPr>
          <w:rFonts w:cs="宋体" w:hint="eastAsia"/>
          <w:sz w:val="24"/>
        </w:rPr>
        <w:t>基金份额净值是1.1480元，则其可得到的净赎回金额为：</w:t>
      </w:r>
    </w:p>
    <w:p w14:paraId="553316F9" w14:textId="77777777" w:rsidR="0048673A" w:rsidRDefault="0048673A" w:rsidP="00272CD3">
      <w:pPr>
        <w:pStyle w:val="20"/>
        <w:adjustRightInd w:val="0"/>
        <w:snapToGrid w:val="0"/>
        <w:ind w:firstLine="480"/>
        <w:rPr>
          <w:rFonts w:cs="宋体"/>
          <w:sz w:val="24"/>
        </w:rPr>
      </w:pPr>
      <w:r>
        <w:rPr>
          <w:rFonts w:cs="宋体" w:hint="eastAsia"/>
          <w:sz w:val="24"/>
        </w:rPr>
        <w:t>赎回总金额＝10,000×1.1480＝11,480.00元</w:t>
      </w:r>
    </w:p>
    <w:p w14:paraId="24053197" w14:textId="77777777" w:rsidR="0048673A" w:rsidRDefault="0048673A" w:rsidP="00BD09B2">
      <w:pPr>
        <w:pStyle w:val="20"/>
        <w:adjustRightInd w:val="0"/>
        <w:snapToGrid w:val="0"/>
        <w:ind w:firstLine="480"/>
        <w:rPr>
          <w:rFonts w:cs="宋体"/>
          <w:sz w:val="24"/>
        </w:rPr>
      </w:pPr>
      <w:r>
        <w:rPr>
          <w:rFonts w:cs="宋体" w:hint="eastAsia"/>
          <w:sz w:val="24"/>
        </w:rPr>
        <w:t>赎回费用＝11,480.00×0%＝0.00元</w:t>
      </w:r>
    </w:p>
    <w:p w14:paraId="764C2D3E" w14:textId="77777777" w:rsidR="0048673A" w:rsidRDefault="0048673A" w:rsidP="00BD09B2">
      <w:pPr>
        <w:pStyle w:val="20"/>
        <w:adjustRightInd w:val="0"/>
        <w:snapToGrid w:val="0"/>
        <w:ind w:firstLine="480"/>
        <w:rPr>
          <w:rFonts w:cs="宋体"/>
          <w:sz w:val="24"/>
        </w:rPr>
      </w:pPr>
      <w:r>
        <w:rPr>
          <w:rFonts w:cs="宋体" w:hint="eastAsia"/>
          <w:sz w:val="24"/>
        </w:rPr>
        <w:t>净赎回金额＝11,480.00－0.00＝11,480.00元</w:t>
      </w:r>
    </w:p>
    <w:p w14:paraId="637096FC" w14:textId="535625ED" w:rsidR="0048673A" w:rsidRDefault="0048673A" w:rsidP="00BD09B2">
      <w:pPr>
        <w:pStyle w:val="20"/>
        <w:adjustRightInd w:val="0"/>
        <w:snapToGrid w:val="0"/>
        <w:ind w:firstLine="480"/>
        <w:rPr>
          <w:rFonts w:cs="宋体"/>
          <w:sz w:val="24"/>
        </w:rPr>
      </w:pPr>
      <w:r>
        <w:rPr>
          <w:rFonts w:cs="宋体" w:hint="eastAsia"/>
          <w:sz w:val="24"/>
        </w:rPr>
        <w:t>即：某投资人持有10,000份本基金</w:t>
      </w:r>
      <w:r>
        <w:rPr>
          <w:rFonts w:cs="宋体"/>
          <w:sz w:val="24"/>
        </w:rPr>
        <w:t>C</w:t>
      </w:r>
      <w:r>
        <w:rPr>
          <w:rFonts w:cs="宋体" w:hint="eastAsia"/>
          <w:sz w:val="24"/>
        </w:rPr>
        <w:t>类基金份额29个月后赎回，假设赎回当日本基金</w:t>
      </w:r>
      <w:r w:rsidR="00DB0989">
        <w:rPr>
          <w:rFonts w:cs="宋体" w:hint="eastAsia"/>
          <w:sz w:val="24"/>
        </w:rPr>
        <w:t>该</w:t>
      </w:r>
      <w:r w:rsidR="00EF6E21">
        <w:rPr>
          <w:rFonts w:cs="宋体" w:hint="eastAsia"/>
          <w:sz w:val="24"/>
        </w:rPr>
        <w:t>类</w:t>
      </w:r>
      <w:r>
        <w:rPr>
          <w:rFonts w:cs="宋体" w:hint="eastAsia"/>
          <w:sz w:val="24"/>
        </w:rPr>
        <w:t>基金份额净值是1.1480元，则其可得到的净赎回金额为11,480.00元。</w:t>
      </w:r>
    </w:p>
    <w:p w14:paraId="715D3E4D" w14:textId="77777777" w:rsidR="00BF4A4E" w:rsidRDefault="00BF4A4E">
      <w:pPr>
        <w:pStyle w:val="20"/>
        <w:adjustRightInd w:val="0"/>
        <w:snapToGrid w:val="0"/>
        <w:ind w:firstLine="480"/>
        <w:rPr>
          <w:rFonts w:cs="宋体"/>
          <w:sz w:val="24"/>
        </w:rPr>
      </w:pPr>
      <w:r>
        <w:rPr>
          <w:rFonts w:cs="宋体" w:hint="eastAsia"/>
          <w:sz w:val="24"/>
        </w:rPr>
        <w:t>4、基金份额净值的计算</w:t>
      </w:r>
    </w:p>
    <w:p w14:paraId="212BFA5F" w14:textId="77777777" w:rsidR="00BF4A4E" w:rsidRDefault="00BF4A4E">
      <w:pPr>
        <w:pStyle w:val="20"/>
        <w:adjustRightInd w:val="0"/>
        <w:snapToGrid w:val="0"/>
        <w:ind w:firstLine="480"/>
        <w:rPr>
          <w:rFonts w:cs="宋体"/>
          <w:sz w:val="24"/>
        </w:rPr>
      </w:pPr>
      <w:r>
        <w:rPr>
          <w:rFonts w:cs="宋体" w:hint="eastAsia"/>
          <w:sz w:val="24"/>
        </w:rPr>
        <w:t>本基金各类基金份额的基金份额净值计算公式如下：</w:t>
      </w:r>
    </w:p>
    <w:p w14:paraId="2F30E5A8" w14:textId="77777777" w:rsidR="00BF4A4E" w:rsidRDefault="00BF4A4E">
      <w:pPr>
        <w:pStyle w:val="20"/>
        <w:adjustRightInd w:val="0"/>
        <w:snapToGrid w:val="0"/>
        <w:ind w:firstLine="480"/>
        <w:rPr>
          <w:rFonts w:cs="宋体"/>
          <w:sz w:val="24"/>
        </w:rPr>
      </w:pPr>
      <w:r>
        <w:rPr>
          <w:rFonts w:cs="宋体" w:hint="eastAsia"/>
          <w:sz w:val="24"/>
        </w:rPr>
        <w:lastRenderedPageBreak/>
        <w:t>T日</w:t>
      </w:r>
      <w:r w:rsidR="007E0179">
        <w:rPr>
          <w:rFonts w:cs="宋体" w:hint="eastAsia"/>
          <w:sz w:val="24"/>
        </w:rPr>
        <w:t>某类</w:t>
      </w:r>
      <w:r>
        <w:rPr>
          <w:rFonts w:cs="宋体" w:hint="eastAsia"/>
          <w:sz w:val="24"/>
        </w:rPr>
        <w:t>基金份额净值＝T日闭市后的该类别基金资产净值/T日该类别基金份额的余额数量</w:t>
      </w:r>
    </w:p>
    <w:p w14:paraId="01E71B07" w14:textId="11388B3F" w:rsidR="00BF4A4E" w:rsidRDefault="00BF4A4E">
      <w:pPr>
        <w:pStyle w:val="20"/>
        <w:adjustRightInd w:val="0"/>
        <w:snapToGrid w:val="0"/>
        <w:ind w:firstLine="480"/>
        <w:rPr>
          <w:rFonts w:cs="宋体"/>
          <w:sz w:val="24"/>
        </w:rPr>
      </w:pPr>
      <w:r>
        <w:rPr>
          <w:rFonts w:cs="宋体" w:hint="eastAsia"/>
          <w:sz w:val="24"/>
        </w:rPr>
        <w:t>本基金各类基金份额净值的计算，均保留到小数点后4位，小数点后第5位四舍五入，由此产生的收益或损失由基金财产承担。</w:t>
      </w:r>
      <w:r>
        <w:rPr>
          <w:rFonts w:cs="宋体" w:hint="eastAsia"/>
          <w:bCs/>
          <w:sz w:val="24"/>
        </w:rPr>
        <w:t>基金申购、赎回开放日（T日）的各类基金份额净值在当天收市后计算，</w:t>
      </w:r>
      <w:r w:rsidR="00B40BAC" w:rsidRPr="00B40BAC">
        <w:rPr>
          <w:rFonts w:cs="宋体" w:hint="eastAsia"/>
          <w:bCs/>
          <w:sz w:val="24"/>
        </w:rPr>
        <w:t>并</w:t>
      </w:r>
      <w:r w:rsidR="00AA6752">
        <w:rPr>
          <w:rFonts w:cs="宋体" w:hint="eastAsia"/>
          <w:bCs/>
          <w:sz w:val="24"/>
        </w:rPr>
        <w:t>按基金合同的约定</w:t>
      </w:r>
      <w:r w:rsidR="00B40BAC" w:rsidRPr="00B40BAC">
        <w:rPr>
          <w:rFonts w:cs="宋体" w:hint="eastAsia"/>
          <w:bCs/>
          <w:sz w:val="24"/>
        </w:rPr>
        <w:t>公告</w:t>
      </w:r>
      <w:r>
        <w:rPr>
          <w:rFonts w:cs="宋体" w:hint="eastAsia"/>
          <w:bCs/>
          <w:sz w:val="24"/>
        </w:rPr>
        <w:t>。</w:t>
      </w:r>
      <w:r>
        <w:rPr>
          <w:rFonts w:cs="宋体" w:hint="eastAsia"/>
          <w:sz w:val="24"/>
        </w:rPr>
        <w:t>遇特殊情况，经</w:t>
      </w:r>
      <w:r>
        <w:rPr>
          <w:rFonts w:cs="宋体" w:hint="eastAsia"/>
          <w:bCs/>
          <w:sz w:val="24"/>
          <w:szCs w:val="24"/>
        </w:rPr>
        <w:t>履行适当程序</w:t>
      </w:r>
      <w:r>
        <w:rPr>
          <w:rFonts w:cs="宋体" w:hint="eastAsia"/>
          <w:sz w:val="24"/>
        </w:rPr>
        <w:t>，可以适当延迟计算或公告。</w:t>
      </w:r>
    </w:p>
    <w:p w14:paraId="1A04897A" w14:textId="77777777" w:rsidR="00BF4A4E" w:rsidRDefault="00BF4A4E">
      <w:pPr>
        <w:pStyle w:val="20"/>
        <w:adjustRightInd w:val="0"/>
        <w:snapToGrid w:val="0"/>
        <w:ind w:firstLine="480"/>
        <w:rPr>
          <w:rFonts w:cs="宋体"/>
          <w:sz w:val="24"/>
        </w:rPr>
      </w:pPr>
      <w:r>
        <w:rPr>
          <w:rFonts w:cs="宋体" w:hint="eastAsia"/>
          <w:sz w:val="24"/>
        </w:rPr>
        <w:t>九、基金份额的登记</w:t>
      </w:r>
    </w:p>
    <w:p w14:paraId="3B1ACE10" w14:textId="2A366370" w:rsidR="00BF4A4E" w:rsidRDefault="00BF4A4E">
      <w:pPr>
        <w:pStyle w:val="20"/>
        <w:adjustRightInd w:val="0"/>
        <w:snapToGrid w:val="0"/>
        <w:ind w:firstLine="480"/>
        <w:rPr>
          <w:rFonts w:cs="宋体"/>
          <w:sz w:val="24"/>
        </w:rPr>
      </w:pPr>
      <w:r>
        <w:rPr>
          <w:rFonts w:cs="宋体" w:hint="eastAsia"/>
          <w:sz w:val="24"/>
        </w:rPr>
        <w:t>投资人申购基金成功后，登记机构在T+1日为投资人登记权益并办理登记手续。</w:t>
      </w:r>
    </w:p>
    <w:p w14:paraId="0E6003E6" w14:textId="77777777" w:rsidR="00BF4A4E" w:rsidRDefault="00BF4A4E">
      <w:pPr>
        <w:pStyle w:val="20"/>
        <w:adjustRightInd w:val="0"/>
        <w:snapToGrid w:val="0"/>
        <w:ind w:firstLine="480"/>
        <w:rPr>
          <w:rFonts w:cs="宋体"/>
          <w:sz w:val="24"/>
        </w:rPr>
      </w:pPr>
      <w:r>
        <w:rPr>
          <w:rFonts w:cs="宋体" w:hint="eastAsia"/>
          <w:sz w:val="24"/>
        </w:rPr>
        <w:t>投资人赎回基金成功后，登记机构在T+1日为投资人办理扣除权益的登记手续。</w:t>
      </w:r>
    </w:p>
    <w:p w14:paraId="148237FE" w14:textId="03918BBE" w:rsidR="00BF4A4E" w:rsidRDefault="00BF4A4E">
      <w:pPr>
        <w:pStyle w:val="20"/>
        <w:adjustRightInd w:val="0"/>
        <w:snapToGrid w:val="0"/>
        <w:ind w:firstLine="480"/>
        <w:rPr>
          <w:rFonts w:cs="宋体"/>
          <w:sz w:val="24"/>
        </w:rPr>
      </w:pPr>
      <w:r>
        <w:rPr>
          <w:rFonts w:cs="宋体" w:hint="eastAsia"/>
          <w:sz w:val="24"/>
        </w:rPr>
        <w:t>基金管理人可以在</w:t>
      </w:r>
      <w:r w:rsidR="006F4BE3">
        <w:rPr>
          <w:rFonts w:cs="宋体" w:hint="eastAsia"/>
          <w:sz w:val="24"/>
        </w:rPr>
        <w:t>不违反</w:t>
      </w:r>
      <w:r>
        <w:rPr>
          <w:rFonts w:cs="宋体" w:hint="eastAsia"/>
          <w:sz w:val="24"/>
        </w:rPr>
        <w:t>法律法规的范围内，对上述登记办理时间进行调整，但不得实质影响投资人的合法权益，并依照《信息披露办法》的有关规定在规定媒介公告。</w:t>
      </w:r>
    </w:p>
    <w:p w14:paraId="62AACFE8" w14:textId="77777777" w:rsidR="00BF4A4E" w:rsidRDefault="00BF4A4E">
      <w:pPr>
        <w:pStyle w:val="20"/>
        <w:adjustRightInd w:val="0"/>
        <w:snapToGrid w:val="0"/>
        <w:ind w:firstLine="480"/>
        <w:rPr>
          <w:rFonts w:cs="宋体"/>
          <w:sz w:val="24"/>
        </w:rPr>
      </w:pPr>
      <w:bookmarkStart w:id="46" w:name="_Hlk130212524"/>
      <w:r>
        <w:rPr>
          <w:rFonts w:cs="宋体" w:hint="eastAsia"/>
          <w:sz w:val="24"/>
        </w:rPr>
        <w:t>十、拒绝或暂停申购的情形及处理方式</w:t>
      </w:r>
    </w:p>
    <w:p w14:paraId="4DF6DFCE" w14:textId="77777777" w:rsidR="006F58A6" w:rsidRPr="006F58A6" w:rsidRDefault="006F58A6" w:rsidP="006F58A6">
      <w:pPr>
        <w:pStyle w:val="20"/>
        <w:adjustRightInd w:val="0"/>
        <w:snapToGrid w:val="0"/>
        <w:ind w:firstLine="480"/>
        <w:rPr>
          <w:rFonts w:cs="宋体"/>
          <w:bCs/>
          <w:sz w:val="24"/>
        </w:rPr>
      </w:pPr>
      <w:r w:rsidRPr="006F58A6">
        <w:rPr>
          <w:rFonts w:cs="宋体" w:hint="eastAsia"/>
          <w:bCs/>
          <w:sz w:val="24"/>
        </w:rPr>
        <w:t>发生下列情况时，基金管理人可拒绝或暂停接受投资人的申购申请：</w:t>
      </w:r>
    </w:p>
    <w:p w14:paraId="12F4CA97" w14:textId="77777777" w:rsidR="006F58A6" w:rsidRPr="006F58A6" w:rsidRDefault="006F58A6" w:rsidP="006F58A6">
      <w:pPr>
        <w:pStyle w:val="20"/>
        <w:adjustRightInd w:val="0"/>
        <w:snapToGrid w:val="0"/>
        <w:ind w:firstLine="480"/>
        <w:rPr>
          <w:rFonts w:cs="宋体"/>
          <w:bCs/>
          <w:sz w:val="24"/>
        </w:rPr>
      </w:pPr>
      <w:r w:rsidRPr="006F58A6">
        <w:rPr>
          <w:rFonts w:cs="宋体" w:hint="eastAsia"/>
          <w:bCs/>
          <w:sz w:val="24"/>
        </w:rPr>
        <w:t>1、因不可抗力导致基金无法正常运作。</w:t>
      </w:r>
    </w:p>
    <w:p w14:paraId="540CB3C8" w14:textId="34A8A4CA" w:rsidR="006F58A6" w:rsidRPr="00D41D99" w:rsidRDefault="006F58A6" w:rsidP="006F58A6">
      <w:pPr>
        <w:pStyle w:val="20"/>
        <w:adjustRightInd w:val="0"/>
        <w:snapToGrid w:val="0"/>
        <w:ind w:firstLine="480"/>
        <w:rPr>
          <w:rFonts w:cs="宋体"/>
          <w:bCs/>
          <w:sz w:val="24"/>
        </w:rPr>
      </w:pPr>
      <w:r w:rsidRPr="006F58A6">
        <w:rPr>
          <w:rFonts w:cs="宋体" w:hint="eastAsia"/>
          <w:bCs/>
          <w:sz w:val="24"/>
        </w:rPr>
        <w:t>2、发生基金合同规定的暂停基金资产估值情况时，基金管理人可暂停接受投资人的申购申请。</w:t>
      </w:r>
      <w:r w:rsidR="00D41D99" w:rsidRPr="00D41D99">
        <w:rPr>
          <w:rFonts w:cs="宋体" w:hint="eastAsia"/>
          <w:bCs/>
          <w:sz w:val="24"/>
        </w:rPr>
        <w:t>当前一估值日基金资产净值50%以上的资产出现无可参考的活跃市场价格且采用估值技术仍导致公允价值存在重大不确定性时，经与基金托管人协商确认后，基金管理人应当</w:t>
      </w:r>
      <w:r w:rsidR="00C028B4">
        <w:rPr>
          <w:rFonts w:cs="宋体" w:hint="eastAsia"/>
          <w:bCs/>
          <w:sz w:val="24"/>
        </w:rPr>
        <w:t>采取</w:t>
      </w:r>
      <w:r w:rsidR="00D41D99" w:rsidRPr="00D41D99">
        <w:rPr>
          <w:rFonts w:cs="宋体" w:hint="eastAsia"/>
          <w:bCs/>
          <w:sz w:val="24"/>
        </w:rPr>
        <w:t>暂停接受基金申购申请</w:t>
      </w:r>
      <w:r w:rsidR="00C028B4">
        <w:rPr>
          <w:rFonts w:cs="宋体" w:hint="eastAsia"/>
          <w:bCs/>
          <w:sz w:val="24"/>
        </w:rPr>
        <w:t>的措施</w:t>
      </w:r>
      <w:r w:rsidR="00D41D99" w:rsidRPr="00D41D99">
        <w:rPr>
          <w:rFonts w:cs="宋体" w:hint="eastAsia"/>
          <w:bCs/>
          <w:sz w:val="24"/>
        </w:rPr>
        <w:t>。</w:t>
      </w:r>
    </w:p>
    <w:p w14:paraId="0659F0F4" w14:textId="0101E43F" w:rsidR="006F58A6" w:rsidRPr="006F58A6" w:rsidRDefault="006F58A6" w:rsidP="006F58A6">
      <w:pPr>
        <w:pStyle w:val="20"/>
        <w:adjustRightInd w:val="0"/>
        <w:snapToGrid w:val="0"/>
        <w:ind w:firstLine="480"/>
        <w:rPr>
          <w:rFonts w:cs="宋体"/>
          <w:bCs/>
          <w:sz w:val="24"/>
        </w:rPr>
      </w:pPr>
      <w:r w:rsidRPr="006F58A6">
        <w:rPr>
          <w:rFonts w:cs="宋体" w:hint="eastAsia"/>
          <w:bCs/>
          <w:sz w:val="24"/>
        </w:rPr>
        <w:t>3、证券/期货交易所依法决定临时停市或交易时间非正常停市，导致基金管理人无法计算当日基金资产净值或者无法办理基金的申购业务或者无法进行证券交易时。</w:t>
      </w:r>
    </w:p>
    <w:p w14:paraId="437D6654" w14:textId="77777777" w:rsidR="006F58A6" w:rsidRPr="006F58A6" w:rsidRDefault="006F58A6" w:rsidP="006F58A6">
      <w:pPr>
        <w:pStyle w:val="20"/>
        <w:adjustRightInd w:val="0"/>
        <w:snapToGrid w:val="0"/>
        <w:ind w:firstLine="480"/>
        <w:rPr>
          <w:rFonts w:cs="宋体"/>
          <w:bCs/>
          <w:sz w:val="24"/>
        </w:rPr>
      </w:pPr>
      <w:r w:rsidRPr="006F58A6">
        <w:rPr>
          <w:rFonts w:cs="宋体" w:hint="eastAsia"/>
          <w:bCs/>
          <w:sz w:val="24"/>
        </w:rPr>
        <w:t>4、基金管理人接受某笔或某些申购申请可能会影响或损害现有基金份额持有人利益时。</w:t>
      </w:r>
    </w:p>
    <w:p w14:paraId="3CCB8C5E" w14:textId="77777777" w:rsidR="006F58A6" w:rsidRPr="006F58A6" w:rsidRDefault="006F58A6" w:rsidP="006F58A6">
      <w:pPr>
        <w:pStyle w:val="20"/>
        <w:adjustRightInd w:val="0"/>
        <w:snapToGrid w:val="0"/>
        <w:ind w:firstLine="480"/>
        <w:rPr>
          <w:rFonts w:cs="宋体"/>
          <w:bCs/>
          <w:sz w:val="24"/>
        </w:rPr>
      </w:pPr>
      <w:r w:rsidRPr="006F58A6">
        <w:rPr>
          <w:rFonts w:cs="宋体" w:hint="eastAsia"/>
          <w:bCs/>
          <w:sz w:val="24"/>
        </w:rPr>
        <w:t>5、基金资产规模过大，使基金管理人无法找到合适的投资品种，或证券市场价格发生大幅波动，或其他可能对基金业绩产生负面影响，或发生其他损害现有基金份额持有人利益的情形。</w:t>
      </w:r>
    </w:p>
    <w:p w14:paraId="68384AE0" w14:textId="7FBF4D44" w:rsidR="006F58A6" w:rsidRPr="006F58A6" w:rsidRDefault="006F58A6" w:rsidP="00D41D99">
      <w:pPr>
        <w:pStyle w:val="20"/>
        <w:adjustRightInd w:val="0"/>
        <w:snapToGrid w:val="0"/>
        <w:ind w:firstLine="480"/>
        <w:rPr>
          <w:rFonts w:cs="宋体"/>
          <w:bCs/>
          <w:sz w:val="24"/>
        </w:rPr>
      </w:pPr>
      <w:r w:rsidRPr="006F58A6">
        <w:rPr>
          <w:rFonts w:cs="宋体" w:hint="eastAsia"/>
          <w:bCs/>
          <w:sz w:val="24"/>
        </w:rPr>
        <w:t>6、基金管理人、基金托管人、销售机构、登记机构、支付结算机构等因技</w:t>
      </w:r>
      <w:r w:rsidRPr="006F58A6">
        <w:rPr>
          <w:rFonts w:cs="宋体" w:hint="eastAsia"/>
          <w:bCs/>
          <w:sz w:val="24"/>
        </w:rPr>
        <w:lastRenderedPageBreak/>
        <w:t>术故障或其他异常情况导致基金销售系统、基金销售支付结算系统、基金登记系统或基金会计系统等无法正常运行。</w:t>
      </w:r>
    </w:p>
    <w:p w14:paraId="529D614B" w14:textId="5CE5BC57" w:rsidR="006F58A6" w:rsidRPr="006F58A6" w:rsidRDefault="009C39D4" w:rsidP="006F58A6">
      <w:pPr>
        <w:pStyle w:val="20"/>
        <w:adjustRightInd w:val="0"/>
        <w:snapToGrid w:val="0"/>
        <w:ind w:firstLine="480"/>
        <w:rPr>
          <w:rFonts w:cs="宋体"/>
          <w:bCs/>
          <w:sz w:val="24"/>
        </w:rPr>
      </w:pPr>
      <w:r>
        <w:rPr>
          <w:rFonts w:cs="宋体"/>
          <w:bCs/>
          <w:sz w:val="24"/>
        </w:rPr>
        <w:t>7</w:t>
      </w:r>
      <w:r w:rsidR="006F58A6" w:rsidRPr="006F58A6">
        <w:rPr>
          <w:rFonts w:cs="宋体" w:hint="eastAsia"/>
          <w:bCs/>
          <w:sz w:val="24"/>
        </w:rPr>
        <w:t>、</w:t>
      </w:r>
      <w:r w:rsidR="002F7428" w:rsidRPr="002F7428">
        <w:rPr>
          <w:rFonts w:cs="宋体" w:hint="eastAsia"/>
          <w:bCs/>
          <w:sz w:val="24"/>
        </w:rPr>
        <w:t>接受某笔或某些申购</w:t>
      </w:r>
      <w:r w:rsidR="006F58A6" w:rsidRPr="006F58A6">
        <w:rPr>
          <w:rFonts w:cs="宋体" w:hint="eastAsia"/>
          <w:bCs/>
          <w:sz w:val="24"/>
        </w:rPr>
        <w:t>申请超过基金管理人设定的</w:t>
      </w:r>
      <w:r>
        <w:rPr>
          <w:rFonts w:cs="宋体" w:hint="eastAsia"/>
          <w:bCs/>
          <w:sz w:val="24"/>
        </w:rPr>
        <w:t>本</w:t>
      </w:r>
      <w:r w:rsidR="006F58A6" w:rsidRPr="006F58A6">
        <w:rPr>
          <w:rFonts w:cs="宋体" w:hint="eastAsia"/>
          <w:bCs/>
          <w:sz w:val="24"/>
        </w:rPr>
        <w:t>基金</w:t>
      </w:r>
      <w:r>
        <w:rPr>
          <w:rFonts w:cs="宋体" w:hint="eastAsia"/>
          <w:bCs/>
          <w:sz w:val="24"/>
        </w:rPr>
        <w:t>的总规模限额、单日申购金额限制、</w:t>
      </w:r>
      <w:r w:rsidR="006F58A6" w:rsidRPr="006F58A6">
        <w:rPr>
          <w:rFonts w:cs="宋体" w:hint="eastAsia"/>
          <w:bCs/>
          <w:sz w:val="24"/>
        </w:rPr>
        <w:t>单日净申购比例上限</w:t>
      </w:r>
      <w:r>
        <w:rPr>
          <w:rFonts w:cs="宋体" w:hint="eastAsia"/>
          <w:bCs/>
          <w:sz w:val="24"/>
        </w:rPr>
        <w:t>，或超过单个投资者累计持有</w:t>
      </w:r>
      <w:r w:rsidR="006F58A6" w:rsidRPr="006F58A6">
        <w:rPr>
          <w:rFonts w:cs="宋体" w:hint="eastAsia"/>
          <w:bCs/>
          <w:sz w:val="24"/>
        </w:rPr>
        <w:t>、单日或单笔申购金额上限的。</w:t>
      </w:r>
    </w:p>
    <w:p w14:paraId="7AAA65FD" w14:textId="74772DDE" w:rsidR="006F58A6" w:rsidRPr="006F58A6" w:rsidRDefault="009C39D4" w:rsidP="006F58A6">
      <w:pPr>
        <w:pStyle w:val="20"/>
        <w:adjustRightInd w:val="0"/>
        <w:snapToGrid w:val="0"/>
        <w:ind w:firstLine="480"/>
        <w:rPr>
          <w:rFonts w:cs="宋体"/>
          <w:bCs/>
          <w:sz w:val="24"/>
        </w:rPr>
      </w:pPr>
      <w:r>
        <w:rPr>
          <w:rFonts w:cs="宋体"/>
          <w:bCs/>
          <w:sz w:val="24"/>
        </w:rPr>
        <w:t>8</w:t>
      </w:r>
      <w:r w:rsidR="006F58A6" w:rsidRPr="006F58A6">
        <w:rPr>
          <w:rFonts w:cs="宋体" w:hint="eastAsia"/>
          <w:bCs/>
          <w:sz w:val="24"/>
        </w:rPr>
        <w:t>、所投资的目标ETF暂停估值、暂停公告基金份额净值，导致基金管理人无法计算当日基金资产净值。</w:t>
      </w:r>
    </w:p>
    <w:p w14:paraId="7617A2C1" w14:textId="1B279CCE" w:rsidR="006F58A6" w:rsidRDefault="009C39D4" w:rsidP="006F58A6">
      <w:pPr>
        <w:pStyle w:val="20"/>
        <w:adjustRightInd w:val="0"/>
        <w:snapToGrid w:val="0"/>
        <w:ind w:firstLine="480"/>
        <w:rPr>
          <w:rFonts w:cs="宋体"/>
          <w:bCs/>
          <w:sz w:val="24"/>
        </w:rPr>
      </w:pPr>
      <w:r>
        <w:rPr>
          <w:rFonts w:cs="宋体"/>
          <w:bCs/>
          <w:sz w:val="24"/>
        </w:rPr>
        <w:t>9</w:t>
      </w:r>
      <w:r w:rsidR="006F58A6" w:rsidRPr="006F58A6">
        <w:rPr>
          <w:rFonts w:cs="宋体" w:hint="eastAsia"/>
          <w:bCs/>
          <w:sz w:val="24"/>
        </w:rPr>
        <w:t>、所投资的目标ETF暂停申购、暂停上市或二级市场交易停牌。</w:t>
      </w:r>
    </w:p>
    <w:p w14:paraId="03CBAC18" w14:textId="47283A7C" w:rsidR="006F58A6" w:rsidRPr="006F58A6" w:rsidRDefault="00F166D5" w:rsidP="006F58A6">
      <w:pPr>
        <w:pStyle w:val="20"/>
        <w:adjustRightInd w:val="0"/>
        <w:snapToGrid w:val="0"/>
        <w:ind w:firstLine="480"/>
        <w:rPr>
          <w:rFonts w:cs="宋体"/>
          <w:bCs/>
          <w:sz w:val="24"/>
        </w:rPr>
      </w:pPr>
      <w:r>
        <w:rPr>
          <w:rFonts w:cs="宋体" w:hint="eastAsia"/>
          <w:bCs/>
          <w:sz w:val="24"/>
        </w:rPr>
        <w:t>1</w:t>
      </w:r>
      <w:r>
        <w:rPr>
          <w:rFonts w:cs="宋体"/>
          <w:bCs/>
          <w:sz w:val="24"/>
        </w:rPr>
        <w:t>0</w:t>
      </w:r>
      <w:r w:rsidR="006F58A6" w:rsidRPr="006F58A6">
        <w:rPr>
          <w:rFonts w:cs="宋体" w:hint="eastAsia"/>
          <w:bCs/>
          <w:sz w:val="24"/>
        </w:rPr>
        <w:t>、法律法规规定、中国证监会认定或基金合同约定的其他情形。</w:t>
      </w:r>
    </w:p>
    <w:p w14:paraId="3795D070" w14:textId="4B0C16FC" w:rsidR="00DF2D10" w:rsidRDefault="00DE12EF">
      <w:pPr>
        <w:pStyle w:val="20"/>
        <w:adjustRightInd w:val="0"/>
        <w:snapToGrid w:val="0"/>
        <w:ind w:firstLine="480"/>
        <w:rPr>
          <w:rFonts w:cs="宋体"/>
          <w:bCs/>
          <w:sz w:val="24"/>
        </w:rPr>
      </w:pPr>
      <w:r>
        <w:rPr>
          <w:rFonts w:hint="eastAsia"/>
          <w:bCs/>
          <w:sz w:val="24"/>
          <w:szCs w:val="24"/>
        </w:rPr>
        <w:t>发生上述第1、2、3、5、6、8、9、1</w:t>
      </w:r>
      <w:r>
        <w:rPr>
          <w:bCs/>
          <w:sz w:val="24"/>
          <w:szCs w:val="24"/>
        </w:rPr>
        <w:t>0</w:t>
      </w:r>
      <w:r>
        <w:rPr>
          <w:rFonts w:hint="eastAsia"/>
          <w:bCs/>
          <w:sz w:val="24"/>
          <w:szCs w:val="24"/>
        </w:rPr>
        <w:t>项</w:t>
      </w:r>
      <w:r w:rsidR="006F58A6" w:rsidRPr="006F58A6">
        <w:rPr>
          <w:rFonts w:cs="宋体" w:hint="eastAsia"/>
          <w:bCs/>
          <w:sz w:val="24"/>
        </w:rPr>
        <w:t>暂停申购情形之一且基金管理人决定暂停接受投资人申购申请时，基金管理人应当根据有关规定在规定媒介上刊登暂停申购公告。如果投资人的申购申请被全部或部分拒绝的，被拒绝的申购款项本金将退还给投资人，基金管理人及基金托管人不承担该退回款项产生的利息等损失。在暂停申购的情况消除时，基金管理人应及时恢复申购业务的办理。</w:t>
      </w:r>
      <w:bookmarkStart w:id="47" w:name="_Hlt70481650"/>
      <w:bookmarkEnd w:id="47"/>
    </w:p>
    <w:p w14:paraId="096A299D" w14:textId="77777777" w:rsidR="00BF4A4E" w:rsidRDefault="00BF4A4E">
      <w:pPr>
        <w:pStyle w:val="20"/>
        <w:adjustRightInd w:val="0"/>
        <w:snapToGrid w:val="0"/>
        <w:ind w:firstLine="480"/>
        <w:rPr>
          <w:rFonts w:cs="宋体"/>
          <w:sz w:val="24"/>
        </w:rPr>
      </w:pPr>
      <w:r>
        <w:rPr>
          <w:rFonts w:cs="宋体" w:hint="eastAsia"/>
          <w:sz w:val="24"/>
        </w:rPr>
        <w:t>十一、暂停赎回或延缓支付赎回款项的情形及处理方式</w:t>
      </w:r>
    </w:p>
    <w:p w14:paraId="48CB261B" w14:textId="77777777" w:rsidR="006F58A6" w:rsidRPr="006F58A6" w:rsidRDefault="006F58A6" w:rsidP="006F58A6">
      <w:pPr>
        <w:pStyle w:val="20"/>
        <w:adjustRightInd w:val="0"/>
        <w:snapToGrid w:val="0"/>
        <w:ind w:firstLine="480"/>
        <w:rPr>
          <w:rFonts w:cs="宋体"/>
          <w:bCs/>
          <w:sz w:val="24"/>
        </w:rPr>
      </w:pPr>
      <w:r w:rsidRPr="006F58A6">
        <w:rPr>
          <w:rFonts w:cs="宋体" w:hint="eastAsia"/>
          <w:bCs/>
          <w:sz w:val="24"/>
        </w:rPr>
        <w:t>发生下列情形时，基金管理人可暂停接受投资人的赎回申请或延缓支付赎回款项：</w:t>
      </w:r>
    </w:p>
    <w:p w14:paraId="3481AAE2" w14:textId="77777777" w:rsidR="006F58A6" w:rsidRPr="006F58A6" w:rsidRDefault="006F58A6" w:rsidP="006F58A6">
      <w:pPr>
        <w:pStyle w:val="20"/>
        <w:adjustRightInd w:val="0"/>
        <w:snapToGrid w:val="0"/>
        <w:ind w:firstLine="480"/>
        <w:rPr>
          <w:rFonts w:cs="宋体"/>
          <w:bCs/>
          <w:sz w:val="24"/>
        </w:rPr>
      </w:pPr>
      <w:r w:rsidRPr="006F58A6">
        <w:rPr>
          <w:rFonts w:cs="宋体" w:hint="eastAsia"/>
          <w:bCs/>
          <w:sz w:val="24"/>
        </w:rPr>
        <w:t>1、因不可抗力导致基金管理人不能支付赎回款项。</w:t>
      </w:r>
    </w:p>
    <w:p w14:paraId="6D85681B" w14:textId="3161EB92" w:rsidR="006F58A6" w:rsidRPr="008A096F" w:rsidRDefault="006F58A6" w:rsidP="006F58A6">
      <w:pPr>
        <w:pStyle w:val="20"/>
        <w:adjustRightInd w:val="0"/>
        <w:snapToGrid w:val="0"/>
        <w:ind w:firstLine="480"/>
        <w:rPr>
          <w:rFonts w:cs="宋体"/>
          <w:bCs/>
          <w:sz w:val="24"/>
        </w:rPr>
      </w:pPr>
      <w:r w:rsidRPr="006F58A6">
        <w:rPr>
          <w:rFonts w:cs="宋体" w:hint="eastAsia"/>
          <w:bCs/>
          <w:sz w:val="24"/>
        </w:rPr>
        <w:t>2、发生基金合同规定的暂停基金资产估值情况时，基金管理人可暂停接受投资人的赎回申请或延缓支付赎回款项。</w:t>
      </w:r>
      <w:r w:rsidR="008B14B7" w:rsidRPr="008B14B7">
        <w:rPr>
          <w:rFonts w:cs="宋体" w:hint="eastAsia"/>
          <w:bCs/>
          <w:sz w:val="24"/>
        </w:rPr>
        <w:t>当前一估值日基金资产净值50%以上的资产出现无可参考的活跃市场价格且采用估值技术仍导致公允价值存在重大不确定性时，经与基金托管人协商确认后，基金管理人应当</w:t>
      </w:r>
      <w:r w:rsidR="008B14B7">
        <w:rPr>
          <w:rFonts w:cs="宋体" w:hint="eastAsia"/>
          <w:bCs/>
          <w:sz w:val="24"/>
        </w:rPr>
        <w:t>采取</w:t>
      </w:r>
      <w:r w:rsidR="008B14B7" w:rsidRPr="008B14B7">
        <w:rPr>
          <w:rFonts w:cs="宋体" w:hint="eastAsia"/>
          <w:bCs/>
          <w:sz w:val="24"/>
        </w:rPr>
        <w:t>延缓支付赎回款项或暂停接受赎回申请</w:t>
      </w:r>
      <w:r w:rsidR="008B14B7">
        <w:rPr>
          <w:rFonts w:cs="宋体" w:hint="eastAsia"/>
          <w:bCs/>
          <w:sz w:val="24"/>
        </w:rPr>
        <w:t>的措施</w:t>
      </w:r>
      <w:r w:rsidR="008B14B7" w:rsidRPr="008B14B7">
        <w:rPr>
          <w:rFonts w:cs="宋体" w:hint="eastAsia"/>
          <w:bCs/>
          <w:sz w:val="24"/>
        </w:rPr>
        <w:t>。</w:t>
      </w:r>
    </w:p>
    <w:p w14:paraId="31F7C301" w14:textId="5989877B" w:rsidR="006F58A6" w:rsidRPr="006F58A6" w:rsidRDefault="006F58A6" w:rsidP="006F58A6">
      <w:pPr>
        <w:pStyle w:val="20"/>
        <w:adjustRightInd w:val="0"/>
        <w:snapToGrid w:val="0"/>
        <w:ind w:firstLine="480"/>
        <w:rPr>
          <w:rFonts w:cs="宋体"/>
          <w:bCs/>
          <w:sz w:val="24"/>
        </w:rPr>
      </w:pPr>
      <w:r w:rsidRPr="006F58A6">
        <w:rPr>
          <w:rFonts w:cs="宋体" w:hint="eastAsia"/>
          <w:bCs/>
          <w:sz w:val="24"/>
        </w:rPr>
        <w:t>3、证券/期货交易所依法决定临时停市或交易时间非正常停市，导致基金管理人无法计算当日基金资产净值或者无法办理基金的赎回业务或者无法进行证券交易时。</w:t>
      </w:r>
    </w:p>
    <w:p w14:paraId="0900C61F" w14:textId="77777777" w:rsidR="006F58A6" w:rsidRPr="006F58A6" w:rsidRDefault="006F58A6" w:rsidP="006F58A6">
      <w:pPr>
        <w:pStyle w:val="20"/>
        <w:adjustRightInd w:val="0"/>
        <w:snapToGrid w:val="0"/>
        <w:ind w:firstLine="480"/>
        <w:rPr>
          <w:rFonts w:cs="宋体"/>
          <w:bCs/>
          <w:sz w:val="24"/>
        </w:rPr>
      </w:pPr>
      <w:r w:rsidRPr="006F58A6">
        <w:rPr>
          <w:rFonts w:cs="宋体" w:hint="eastAsia"/>
          <w:bCs/>
          <w:sz w:val="24"/>
        </w:rPr>
        <w:t>4、连续两个或两个以上开放日发生巨额赎回。</w:t>
      </w:r>
    </w:p>
    <w:p w14:paraId="7DBD550C" w14:textId="23D7837B" w:rsidR="006F58A6" w:rsidRPr="006F58A6" w:rsidRDefault="006F58A6" w:rsidP="006F58A6">
      <w:pPr>
        <w:pStyle w:val="20"/>
        <w:adjustRightInd w:val="0"/>
        <w:snapToGrid w:val="0"/>
        <w:ind w:firstLine="480"/>
        <w:rPr>
          <w:rFonts w:cs="宋体"/>
          <w:bCs/>
          <w:sz w:val="24"/>
        </w:rPr>
      </w:pPr>
      <w:r w:rsidRPr="006F58A6">
        <w:rPr>
          <w:rFonts w:cs="宋体" w:hint="eastAsia"/>
          <w:bCs/>
          <w:sz w:val="24"/>
        </w:rPr>
        <w:t>5、</w:t>
      </w:r>
      <w:r w:rsidR="002E54C9" w:rsidRPr="002E54C9">
        <w:rPr>
          <w:rFonts w:cs="宋体" w:hint="eastAsia"/>
          <w:bCs/>
          <w:sz w:val="24"/>
        </w:rPr>
        <w:t>遵循基金份额持有人利益优先原则，</w:t>
      </w:r>
      <w:r w:rsidRPr="006F58A6">
        <w:rPr>
          <w:rFonts w:cs="宋体" w:hint="eastAsia"/>
          <w:bCs/>
          <w:sz w:val="24"/>
        </w:rPr>
        <w:t>发生继续接受赎回申请将损害现有基金份额持有人利益的情形时。</w:t>
      </w:r>
    </w:p>
    <w:p w14:paraId="0B36A177" w14:textId="00740B0C" w:rsidR="006F58A6" w:rsidRPr="006F58A6" w:rsidRDefault="006F58A6" w:rsidP="00587CA1">
      <w:pPr>
        <w:pStyle w:val="20"/>
        <w:adjustRightInd w:val="0"/>
        <w:snapToGrid w:val="0"/>
        <w:ind w:firstLine="480"/>
        <w:rPr>
          <w:rFonts w:cs="宋体"/>
          <w:bCs/>
          <w:sz w:val="24"/>
        </w:rPr>
      </w:pPr>
      <w:r w:rsidRPr="006F58A6">
        <w:rPr>
          <w:rFonts w:cs="宋体" w:hint="eastAsia"/>
          <w:bCs/>
          <w:sz w:val="24"/>
        </w:rPr>
        <w:t>6、所投资的目标ETF暂停估值、暂停公告基金份额净值，导致基金管理人</w:t>
      </w:r>
      <w:r w:rsidRPr="006F58A6">
        <w:rPr>
          <w:rFonts w:cs="宋体" w:hint="eastAsia"/>
          <w:bCs/>
          <w:sz w:val="24"/>
        </w:rPr>
        <w:lastRenderedPageBreak/>
        <w:t>无法计算当日基金资产净值。</w:t>
      </w:r>
    </w:p>
    <w:p w14:paraId="49DCFBE4" w14:textId="7ED8838D" w:rsidR="006F58A6" w:rsidRPr="006F58A6" w:rsidRDefault="008B14B7" w:rsidP="006F58A6">
      <w:pPr>
        <w:pStyle w:val="20"/>
        <w:adjustRightInd w:val="0"/>
        <w:snapToGrid w:val="0"/>
        <w:ind w:firstLine="480"/>
        <w:rPr>
          <w:rFonts w:cs="宋体"/>
          <w:bCs/>
          <w:sz w:val="24"/>
        </w:rPr>
      </w:pPr>
      <w:r>
        <w:rPr>
          <w:rFonts w:cs="宋体"/>
          <w:bCs/>
          <w:sz w:val="24"/>
        </w:rPr>
        <w:t>7</w:t>
      </w:r>
      <w:r w:rsidR="006F58A6" w:rsidRPr="006F58A6">
        <w:rPr>
          <w:rFonts w:cs="宋体" w:hint="eastAsia"/>
          <w:bCs/>
          <w:sz w:val="24"/>
        </w:rPr>
        <w:t>、所投资的目标ETF暂停赎回、暂停上市或二级市场交易停牌，或延缓支付赎回对价时。</w:t>
      </w:r>
    </w:p>
    <w:p w14:paraId="3DB8335E" w14:textId="59A57EEB" w:rsidR="006F58A6" w:rsidRPr="006F58A6" w:rsidRDefault="008B14B7" w:rsidP="00EA4A84">
      <w:pPr>
        <w:pStyle w:val="20"/>
        <w:adjustRightInd w:val="0"/>
        <w:snapToGrid w:val="0"/>
        <w:ind w:firstLine="480"/>
        <w:rPr>
          <w:rFonts w:cs="宋体"/>
          <w:bCs/>
          <w:sz w:val="24"/>
        </w:rPr>
      </w:pPr>
      <w:r>
        <w:rPr>
          <w:rFonts w:cs="宋体"/>
          <w:bCs/>
          <w:sz w:val="24"/>
        </w:rPr>
        <w:t>8</w:t>
      </w:r>
      <w:r w:rsidR="006F58A6" w:rsidRPr="006F58A6">
        <w:rPr>
          <w:rFonts w:cs="宋体" w:hint="eastAsia"/>
          <w:bCs/>
          <w:sz w:val="24"/>
        </w:rPr>
        <w:t>、法律法规规定、中国证监会认定或基金合同约定的其他情形。</w:t>
      </w:r>
    </w:p>
    <w:p w14:paraId="5E97794F" w14:textId="77777777" w:rsidR="006F58A6" w:rsidRDefault="006F58A6">
      <w:pPr>
        <w:pStyle w:val="20"/>
        <w:adjustRightInd w:val="0"/>
        <w:snapToGrid w:val="0"/>
        <w:ind w:firstLine="480"/>
        <w:rPr>
          <w:rFonts w:cs="宋体"/>
          <w:bCs/>
          <w:sz w:val="24"/>
        </w:rPr>
      </w:pPr>
      <w:r w:rsidRPr="006F58A6">
        <w:rPr>
          <w:rFonts w:cs="宋体" w:hint="eastAsia"/>
          <w:bCs/>
          <w:sz w:val="24"/>
        </w:rPr>
        <w:t>发生上述情形之一且基金管理人决定暂停赎回或延缓支付赎回款项时，基金管理人应根据有关规定报中国证监会备案，已确认的赎回申请，基金管理人应足额支付；如暂时不能足额支付，应将可支付部分按单个账户申请量占申请总量的比例分配给赎回申请人，未支付部分可延缓支付。若出现上述第4项所述情形，按基金合同的相关条款处理。基金份额持有人在申请赎回时可事先选择将当日可能未获受理部分予以撤销。如暂停本基金基金份额的赎回，基金管理人应及时在规定媒介上刊登暂停赎回公告。在暂停赎回的情况消除时，基金管理人应及时恢复赎回业务的办理并公告。</w:t>
      </w:r>
    </w:p>
    <w:p w14:paraId="7415B592" w14:textId="77777777" w:rsidR="00BF4A4E" w:rsidRDefault="00BF4A4E">
      <w:pPr>
        <w:pStyle w:val="20"/>
        <w:adjustRightInd w:val="0"/>
        <w:snapToGrid w:val="0"/>
        <w:ind w:firstLine="480"/>
        <w:rPr>
          <w:rFonts w:cs="宋体"/>
          <w:sz w:val="24"/>
        </w:rPr>
      </w:pPr>
      <w:r>
        <w:rPr>
          <w:rFonts w:cs="宋体" w:hint="eastAsia"/>
          <w:sz w:val="24"/>
        </w:rPr>
        <w:t>十二、巨额赎回的情形及处理方式</w:t>
      </w:r>
    </w:p>
    <w:p w14:paraId="7FE39520" w14:textId="77777777" w:rsidR="006F58A6" w:rsidRPr="006F58A6" w:rsidRDefault="006F58A6" w:rsidP="006F58A6">
      <w:pPr>
        <w:pStyle w:val="20"/>
        <w:adjustRightInd w:val="0"/>
        <w:snapToGrid w:val="0"/>
        <w:ind w:firstLine="480"/>
        <w:rPr>
          <w:rFonts w:cs="宋体"/>
          <w:bCs/>
          <w:sz w:val="24"/>
        </w:rPr>
      </w:pPr>
      <w:r w:rsidRPr="006F58A6">
        <w:rPr>
          <w:rFonts w:cs="宋体" w:hint="eastAsia"/>
          <w:bCs/>
          <w:sz w:val="24"/>
        </w:rPr>
        <w:t>1、巨额赎回的认定</w:t>
      </w:r>
    </w:p>
    <w:p w14:paraId="58DCECD3" w14:textId="77777777" w:rsidR="006F58A6" w:rsidRPr="006F58A6" w:rsidRDefault="006F58A6" w:rsidP="006F58A6">
      <w:pPr>
        <w:pStyle w:val="20"/>
        <w:adjustRightInd w:val="0"/>
        <w:snapToGrid w:val="0"/>
        <w:ind w:firstLine="480"/>
        <w:rPr>
          <w:rFonts w:cs="宋体"/>
          <w:bCs/>
          <w:sz w:val="24"/>
        </w:rPr>
      </w:pPr>
      <w:r w:rsidRPr="006F58A6">
        <w:rPr>
          <w:rFonts w:cs="宋体" w:hint="eastAsia"/>
          <w:bCs/>
          <w:sz w:val="24"/>
        </w:rPr>
        <w:t>若本基金单个开放日内的基金份额净赎回申请（赎回申请份额总数加上基金转换中转出申请份额总数后扣除申购申请份额总数及基金转换中转入申请份额总数后的余额）超过前一开放日的基金总份额的10%，即认为是发生了巨额赎回。</w:t>
      </w:r>
    </w:p>
    <w:p w14:paraId="2E7652C4" w14:textId="77777777" w:rsidR="006F58A6" w:rsidRPr="006F58A6" w:rsidRDefault="006F58A6" w:rsidP="006F58A6">
      <w:pPr>
        <w:pStyle w:val="20"/>
        <w:adjustRightInd w:val="0"/>
        <w:snapToGrid w:val="0"/>
        <w:ind w:firstLine="480"/>
        <w:rPr>
          <w:rFonts w:cs="宋体"/>
          <w:bCs/>
          <w:sz w:val="24"/>
        </w:rPr>
      </w:pPr>
      <w:r w:rsidRPr="006F58A6">
        <w:rPr>
          <w:rFonts w:cs="宋体" w:hint="eastAsia"/>
          <w:bCs/>
          <w:sz w:val="24"/>
        </w:rPr>
        <w:t>2、巨额赎回的处理方式</w:t>
      </w:r>
    </w:p>
    <w:p w14:paraId="0C51E333" w14:textId="77777777" w:rsidR="006F58A6" w:rsidRPr="006F58A6" w:rsidRDefault="006F58A6" w:rsidP="006F58A6">
      <w:pPr>
        <w:pStyle w:val="20"/>
        <w:adjustRightInd w:val="0"/>
        <w:snapToGrid w:val="0"/>
        <w:ind w:firstLine="480"/>
        <w:rPr>
          <w:rFonts w:cs="宋体"/>
          <w:bCs/>
          <w:sz w:val="24"/>
        </w:rPr>
      </w:pPr>
      <w:r w:rsidRPr="006F58A6">
        <w:rPr>
          <w:rFonts w:cs="宋体" w:hint="eastAsia"/>
          <w:bCs/>
          <w:sz w:val="24"/>
        </w:rPr>
        <w:t>当基金出现巨额赎回时，基金管理人可以根据基金当时的资产组合状况决定全额赎回或部分延期赎回。</w:t>
      </w:r>
    </w:p>
    <w:p w14:paraId="3C85E5A2" w14:textId="77777777" w:rsidR="006F58A6" w:rsidRPr="006F58A6" w:rsidRDefault="006F58A6" w:rsidP="006F58A6">
      <w:pPr>
        <w:pStyle w:val="20"/>
        <w:adjustRightInd w:val="0"/>
        <w:snapToGrid w:val="0"/>
        <w:ind w:firstLine="480"/>
        <w:rPr>
          <w:rFonts w:cs="宋体"/>
          <w:bCs/>
          <w:sz w:val="24"/>
        </w:rPr>
      </w:pPr>
      <w:r w:rsidRPr="006F58A6">
        <w:rPr>
          <w:rFonts w:cs="宋体" w:hint="eastAsia"/>
          <w:bCs/>
          <w:sz w:val="24"/>
        </w:rPr>
        <w:t>（1）全额赎回：当基金管理人认为有能力支付投资人的全部赎回申请时，按正常赎回程序执行。</w:t>
      </w:r>
    </w:p>
    <w:p w14:paraId="77C743FA" w14:textId="368CC4F4" w:rsidR="006F58A6" w:rsidRPr="006F58A6" w:rsidRDefault="006F58A6" w:rsidP="006F58A6">
      <w:pPr>
        <w:pStyle w:val="20"/>
        <w:adjustRightInd w:val="0"/>
        <w:snapToGrid w:val="0"/>
        <w:ind w:firstLine="480"/>
        <w:rPr>
          <w:rFonts w:cs="宋体"/>
          <w:bCs/>
          <w:sz w:val="24"/>
        </w:rPr>
      </w:pPr>
      <w:r w:rsidRPr="006F58A6">
        <w:rPr>
          <w:rFonts w:cs="宋体" w:hint="eastAsia"/>
          <w:bCs/>
          <w:sz w:val="24"/>
        </w:rPr>
        <w:t>（2）部分延期赎回：</w:t>
      </w:r>
      <w:r w:rsidR="003B457C" w:rsidRPr="003B457C">
        <w:rPr>
          <w:rFonts w:cs="宋体" w:hint="eastAsia"/>
          <w:bCs/>
          <w:sz w:val="24"/>
        </w:rPr>
        <w:t>当基金管理人认为支付投资人的赎回申请有困难或认为因支付投资人的赎回申请而进行的财产变现可能会对基金资产净值造成较大波动时，基金管理人在当日接受赎回比例不低于上一开放日基金总份额的10%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w:t>
      </w:r>
      <w:r w:rsidR="003B457C" w:rsidRPr="003B457C">
        <w:rPr>
          <w:rFonts w:cs="宋体" w:hint="eastAsia"/>
          <w:bCs/>
          <w:sz w:val="24"/>
        </w:rPr>
        <w:lastRenderedPageBreak/>
        <w:t>无优先权并以下一开放日相应类别的基金份额净值为基础计算赎回金额，以此类推，直到全部赎回为止。如投资人在提交赎回申请时未作明确选择，投资人未能赎回部分作自动延期赎回处理。部分延期赎回不受单笔赎回最低份额的限制。当出现巨额赎回时，基金转换中转出份额的申请的处理方式遵照相关的业务规则及相关公告。</w:t>
      </w:r>
    </w:p>
    <w:p w14:paraId="3287BCA4" w14:textId="24225AC6" w:rsidR="006F58A6" w:rsidRPr="006F58A6" w:rsidRDefault="006F58A6" w:rsidP="006F58A6">
      <w:pPr>
        <w:pStyle w:val="20"/>
        <w:adjustRightInd w:val="0"/>
        <w:snapToGrid w:val="0"/>
        <w:ind w:firstLine="480"/>
        <w:rPr>
          <w:rFonts w:cs="宋体"/>
          <w:bCs/>
          <w:sz w:val="24"/>
        </w:rPr>
      </w:pPr>
      <w:r w:rsidRPr="006F58A6">
        <w:rPr>
          <w:rFonts w:cs="宋体" w:hint="eastAsia"/>
          <w:bCs/>
          <w:sz w:val="24"/>
        </w:rPr>
        <w:t>（3）</w:t>
      </w:r>
      <w:r w:rsidR="003B457C" w:rsidRPr="003B457C">
        <w:rPr>
          <w:rFonts w:cs="宋体" w:hint="eastAsia"/>
          <w:bCs/>
          <w:sz w:val="24"/>
        </w:rPr>
        <w:t>在本基金出现巨额赎回且单个基金份额持有人的赎回申请超过上一开放日基金总份额的20%（不含20%）时，基金管理人认为支付该基金份额持有人的全部赎回申请有困难或认为因支付该基金份额持有人的全部赎回申请而进行的财产变现可能会对基金资产净值造成较大波动时，对于该基金份额持有人当日提出的赎回申请中超过上一开放日基金总份额20%（不含20%）的部分，基金管理人可以延期办理。对于未能赎回部分，单个基金份额持有人在提交赎回申请时可以选择延期赎回或取消赎回。选择延期赎回的，将自动转入下一个开放日继续赎回，延期的赎回申请与下一开放日赎回申请一并处理，无优先权并以下一开放日相应类别的基金份额净值为基础计算赎回金额，以此类推，直到全部赎回为止；选择取消赎回的，当日未获受理的部分赎回申请将被撤销。如该单个基金份额持有人在提交赎回申请时未作明确选择，该单个基金份额持有人未能赎回部分作自动延期赎回处理。部分延期赎回不受单笔赎回最低份额的限制。当出现巨额赎回时，基金转换中转出份额的申请的处理方式遵照相关的业务规则及相关公告。</w:t>
      </w:r>
    </w:p>
    <w:p w14:paraId="1C5CABEF" w14:textId="78777E54" w:rsidR="006F58A6" w:rsidRPr="006F58A6" w:rsidRDefault="003B457C" w:rsidP="006F58A6">
      <w:pPr>
        <w:pStyle w:val="20"/>
        <w:adjustRightInd w:val="0"/>
        <w:snapToGrid w:val="0"/>
        <w:ind w:firstLine="480"/>
        <w:rPr>
          <w:rFonts w:cs="宋体"/>
          <w:bCs/>
          <w:sz w:val="24"/>
        </w:rPr>
      </w:pPr>
      <w:r w:rsidRPr="003B457C">
        <w:rPr>
          <w:rFonts w:cs="宋体" w:hint="eastAsia"/>
          <w:bCs/>
          <w:sz w:val="24"/>
        </w:rPr>
        <w:t>对于该基金份额持有人当日提出的赎回申请中未超过上一开放日基金总份额20%（含20%）的部分，基金管理人可以采取全额赎回或部分延期赎回的方式，与其他基金份额持有人的赎回申请一并办理，并且对于该基金份额持有人和其他基金份额持有人的赎回申请采取相同的处理方式。对于前述未能赎回部分，基金份额持有人在提交赎回申请时可以选择延期赎回或取消赎回。选择延期赎回的，将自动转入下一个开放日继续赎回，延期的赎回申请与下一开放日赎回申请一并处理，无优先权并以下一开放日相应类别的基金份额净值为基础计算赎回金额，以此类推，直到全部赎回为止；选择取消赎回的，当日未获受理的部分赎回申请将被撤销。如该单个基金份额持有人在提交赎回申请时未作明确选择，该单个基金份额持有人未能赎回部分作自动延期赎回处理。部分延期赎回不受单笔赎回最低份额的限制。当出现巨额赎回时，基金转换中转出份额的申请的处理方式遵照相关的业务规则及相关公告。</w:t>
      </w:r>
    </w:p>
    <w:p w14:paraId="2A3CA6D3" w14:textId="77777777" w:rsidR="006F58A6" w:rsidRPr="006F58A6" w:rsidRDefault="006F58A6" w:rsidP="006F58A6">
      <w:pPr>
        <w:pStyle w:val="20"/>
        <w:adjustRightInd w:val="0"/>
        <w:snapToGrid w:val="0"/>
        <w:ind w:firstLine="480"/>
        <w:rPr>
          <w:rFonts w:cs="宋体"/>
          <w:bCs/>
          <w:sz w:val="24"/>
        </w:rPr>
      </w:pPr>
      <w:r w:rsidRPr="006F58A6">
        <w:rPr>
          <w:rFonts w:cs="宋体" w:hint="eastAsia"/>
          <w:bCs/>
          <w:sz w:val="24"/>
        </w:rPr>
        <w:lastRenderedPageBreak/>
        <w:t>（4）暂停赎回：连续2个开放日以上（含本数）发生巨额赎回，如基金管理人认为有必要，可暂停接受基金的赎回申请；已经接受的赎回申请可以延缓支付赎回款项，但不得超过20个工作日，并应当在规定媒介上进行公告。</w:t>
      </w:r>
    </w:p>
    <w:p w14:paraId="73D8AC90" w14:textId="77777777" w:rsidR="006F58A6" w:rsidRPr="006F58A6" w:rsidRDefault="006F58A6" w:rsidP="006F58A6">
      <w:pPr>
        <w:pStyle w:val="20"/>
        <w:adjustRightInd w:val="0"/>
        <w:snapToGrid w:val="0"/>
        <w:ind w:firstLine="480"/>
        <w:rPr>
          <w:rFonts w:cs="宋体"/>
          <w:bCs/>
          <w:sz w:val="24"/>
        </w:rPr>
      </w:pPr>
      <w:r w:rsidRPr="006F58A6">
        <w:rPr>
          <w:rFonts w:cs="宋体" w:hint="eastAsia"/>
          <w:bCs/>
          <w:sz w:val="24"/>
        </w:rPr>
        <w:t>3、巨额赎回的公告</w:t>
      </w:r>
    </w:p>
    <w:p w14:paraId="5A610E31" w14:textId="77777777" w:rsidR="006F58A6" w:rsidRDefault="006F58A6">
      <w:pPr>
        <w:pStyle w:val="20"/>
        <w:adjustRightInd w:val="0"/>
        <w:snapToGrid w:val="0"/>
        <w:ind w:firstLine="480"/>
        <w:rPr>
          <w:rFonts w:cs="宋体"/>
          <w:bCs/>
          <w:sz w:val="24"/>
        </w:rPr>
      </w:pPr>
      <w:r w:rsidRPr="006F58A6">
        <w:rPr>
          <w:rFonts w:cs="宋体" w:hint="eastAsia"/>
          <w:bCs/>
          <w:sz w:val="24"/>
        </w:rPr>
        <w:t>当发生上述巨额赎回并延期办理时，基金管理人应</w:t>
      </w:r>
      <w:r w:rsidR="003035AD" w:rsidRPr="003035AD">
        <w:rPr>
          <w:rFonts w:cs="宋体" w:hint="eastAsia"/>
          <w:bCs/>
          <w:sz w:val="24"/>
        </w:rPr>
        <w:t>依照《信息披露办法》的有关规定</w:t>
      </w:r>
      <w:r w:rsidRPr="006F58A6">
        <w:rPr>
          <w:rFonts w:cs="宋体" w:hint="eastAsia"/>
          <w:bCs/>
          <w:sz w:val="24"/>
        </w:rPr>
        <w:t>在规定媒介上刊登公告说明有关处理方法。</w:t>
      </w:r>
    </w:p>
    <w:p w14:paraId="586A4DA2" w14:textId="77777777" w:rsidR="00BF4A4E" w:rsidRDefault="00BF4A4E">
      <w:pPr>
        <w:pStyle w:val="20"/>
        <w:adjustRightInd w:val="0"/>
        <w:snapToGrid w:val="0"/>
        <w:ind w:firstLine="480"/>
        <w:rPr>
          <w:rFonts w:cs="宋体"/>
          <w:sz w:val="24"/>
        </w:rPr>
      </w:pPr>
      <w:r>
        <w:rPr>
          <w:rFonts w:cs="宋体" w:hint="eastAsia"/>
          <w:sz w:val="24"/>
        </w:rPr>
        <w:t>十三、暂停申购或赎回的公告和重新开放申购或赎回的公告</w:t>
      </w:r>
    </w:p>
    <w:p w14:paraId="013125E8" w14:textId="77777777" w:rsidR="006F58A6" w:rsidRPr="006F58A6" w:rsidRDefault="006F58A6" w:rsidP="006F58A6">
      <w:pPr>
        <w:pStyle w:val="20"/>
        <w:adjustRightInd w:val="0"/>
        <w:snapToGrid w:val="0"/>
        <w:ind w:firstLine="480"/>
        <w:rPr>
          <w:rFonts w:cs="宋体"/>
          <w:bCs/>
          <w:sz w:val="24"/>
        </w:rPr>
      </w:pPr>
      <w:r w:rsidRPr="006F58A6">
        <w:rPr>
          <w:rFonts w:cs="宋体" w:hint="eastAsia"/>
          <w:bCs/>
          <w:sz w:val="24"/>
        </w:rPr>
        <w:t>1、发生上述暂停申购或赎回情况的，基金管理人应在规定期限内在规定媒介上刊登暂停公告。</w:t>
      </w:r>
    </w:p>
    <w:p w14:paraId="5587F7E4" w14:textId="77777777" w:rsidR="006F58A6" w:rsidRPr="006F58A6" w:rsidRDefault="006F58A6" w:rsidP="006F58A6">
      <w:pPr>
        <w:pStyle w:val="20"/>
        <w:adjustRightInd w:val="0"/>
        <w:snapToGrid w:val="0"/>
        <w:ind w:firstLine="480"/>
        <w:rPr>
          <w:rFonts w:cs="宋体"/>
          <w:bCs/>
          <w:sz w:val="24"/>
        </w:rPr>
      </w:pPr>
      <w:r w:rsidRPr="006F58A6">
        <w:rPr>
          <w:rFonts w:cs="宋体" w:hint="eastAsia"/>
          <w:bCs/>
          <w:sz w:val="24"/>
        </w:rPr>
        <w:t>2、上述暂停申购或赎回情况消除的，基金管理人应于重新开放日公布最近1个开放日的各类基金份额的基金份额净值。</w:t>
      </w:r>
    </w:p>
    <w:p w14:paraId="5C3DD206" w14:textId="3D8AB535" w:rsidR="006F58A6" w:rsidRDefault="006F58A6">
      <w:pPr>
        <w:pStyle w:val="20"/>
        <w:adjustRightInd w:val="0"/>
        <w:snapToGrid w:val="0"/>
        <w:ind w:firstLine="480"/>
        <w:rPr>
          <w:rFonts w:cs="宋体"/>
          <w:bCs/>
          <w:sz w:val="24"/>
        </w:rPr>
      </w:pPr>
      <w:r w:rsidRPr="006F58A6">
        <w:rPr>
          <w:rFonts w:cs="宋体" w:hint="eastAsia"/>
          <w:bCs/>
          <w:sz w:val="24"/>
        </w:rPr>
        <w:t>3、基金管理人可以根据暂停申购或赎回的时间，</w:t>
      </w:r>
      <w:r w:rsidR="004A2C3B">
        <w:rPr>
          <w:rFonts w:ascii="黑体" w:hAnsi="黑体" w:hint="eastAsia"/>
          <w:bCs/>
          <w:sz w:val="24"/>
          <w:szCs w:val="24"/>
        </w:rPr>
        <w:t>依照《信息披露办法》的有关规定</w:t>
      </w:r>
      <w:r w:rsidRPr="006F58A6">
        <w:rPr>
          <w:rFonts w:cs="宋体" w:hint="eastAsia"/>
          <w:bCs/>
          <w:sz w:val="24"/>
        </w:rPr>
        <w:t>在规定媒介上刊登重新开放申购或赎回的公告；也可以根据实际情况在暂停申购或赎回公告中明确重新开放申购或赎回的时间，届时不再另行发布重新开放的公告。</w:t>
      </w:r>
    </w:p>
    <w:p w14:paraId="4AAF2092" w14:textId="77777777" w:rsidR="00BF4A4E" w:rsidRDefault="00BF4A4E">
      <w:pPr>
        <w:pStyle w:val="20"/>
        <w:adjustRightInd w:val="0"/>
        <w:snapToGrid w:val="0"/>
        <w:ind w:firstLine="480"/>
        <w:rPr>
          <w:rFonts w:cs="宋体"/>
          <w:sz w:val="24"/>
        </w:rPr>
      </w:pPr>
      <w:r>
        <w:rPr>
          <w:rFonts w:cs="宋体" w:hint="eastAsia"/>
          <w:sz w:val="24"/>
        </w:rPr>
        <w:t>十四、基金转换</w:t>
      </w:r>
    </w:p>
    <w:p w14:paraId="3B816C90" w14:textId="257CF40A" w:rsidR="006F58A6" w:rsidRDefault="006F58A6" w:rsidP="006F58A6">
      <w:pPr>
        <w:adjustRightInd w:val="0"/>
        <w:snapToGrid w:val="0"/>
        <w:spacing w:line="360" w:lineRule="auto"/>
        <w:ind w:firstLineChars="200" w:firstLine="480"/>
        <w:rPr>
          <w:rFonts w:ascii="宋体" w:hAnsi="宋体"/>
          <w:bCs/>
          <w:sz w:val="24"/>
        </w:rPr>
      </w:pPr>
      <w:r>
        <w:rPr>
          <w:rFonts w:ascii="宋体" w:hAnsi="宋体" w:hint="eastAsia"/>
          <w:bCs/>
          <w:sz w:val="24"/>
        </w:rPr>
        <w:t>基金管理人可以根据相关法律法规以及基金合同的规定决定开办本基金的转换业务，基金转换可以收取一定的转换费，相关规则由基金管理人届时根据相关法律法规及基金合同的规定制定并公告，并提前告知基金托管人与相关机构。</w:t>
      </w:r>
    </w:p>
    <w:p w14:paraId="6F2E9CE3" w14:textId="77777777" w:rsidR="00BF4A4E" w:rsidRDefault="00BF4A4E">
      <w:pPr>
        <w:pStyle w:val="20"/>
        <w:adjustRightInd w:val="0"/>
        <w:snapToGrid w:val="0"/>
        <w:ind w:firstLine="480"/>
        <w:rPr>
          <w:rFonts w:cs="宋体"/>
          <w:sz w:val="24"/>
        </w:rPr>
      </w:pPr>
      <w:r>
        <w:rPr>
          <w:rFonts w:cs="宋体" w:hint="eastAsia"/>
          <w:sz w:val="24"/>
        </w:rPr>
        <w:t>十五、基金份额的转让</w:t>
      </w:r>
    </w:p>
    <w:p w14:paraId="6A45A2BA" w14:textId="78B3EB03" w:rsidR="006F58A6" w:rsidRDefault="006F58A6" w:rsidP="006F58A6">
      <w:pPr>
        <w:adjustRightInd w:val="0"/>
        <w:snapToGrid w:val="0"/>
        <w:spacing w:line="360" w:lineRule="auto"/>
        <w:ind w:firstLineChars="200" w:firstLine="480"/>
        <w:rPr>
          <w:rFonts w:ascii="宋体" w:hAnsi="宋体"/>
          <w:bCs/>
          <w:sz w:val="24"/>
        </w:rPr>
      </w:pPr>
      <w:r>
        <w:rPr>
          <w:rFonts w:ascii="宋体" w:hAnsi="宋体" w:hint="eastAsia"/>
          <w:bCs/>
          <w:sz w:val="24"/>
        </w:rPr>
        <w:t>在法律法规允许且条件具备的情况下，基金管理人可受理基金份额持有人通过中国证监会认可的交易</w:t>
      </w:r>
      <w:r w:rsidR="0070516A">
        <w:rPr>
          <w:rFonts w:ascii="宋体" w:hAnsi="宋体" w:hint="eastAsia"/>
          <w:bCs/>
          <w:sz w:val="24"/>
        </w:rPr>
        <w:t>场</w:t>
      </w:r>
      <w:r>
        <w:rPr>
          <w:rFonts w:ascii="宋体" w:hAnsi="宋体" w:hint="eastAsia"/>
          <w:bCs/>
          <w:sz w:val="24"/>
        </w:rPr>
        <w:t>所或者交易方式进行份额转让的申请并由登记机构办理基金份额的过户登记。基金管理人拟受理基金份额转让业务的，将提前公告，基金份额持有人应根据基金管理人公告的业务规则办理基金份额转让业务。</w:t>
      </w:r>
    </w:p>
    <w:p w14:paraId="0C80B9ED" w14:textId="77777777" w:rsidR="00BF4A4E" w:rsidRDefault="00BF4A4E">
      <w:pPr>
        <w:pStyle w:val="20"/>
        <w:adjustRightInd w:val="0"/>
        <w:snapToGrid w:val="0"/>
        <w:ind w:firstLine="480"/>
        <w:rPr>
          <w:rFonts w:cs="宋体"/>
          <w:sz w:val="24"/>
        </w:rPr>
      </w:pPr>
      <w:r>
        <w:rPr>
          <w:rFonts w:cs="宋体" w:hint="eastAsia"/>
          <w:sz w:val="24"/>
        </w:rPr>
        <w:t>十六、基金的非交易过户</w:t>
      </w:r>
    </w:p>
    <w:p w14:paraId="41697258" w14:textId="77777777" w:rsidR="006F58A6" w:rsidRDefault="006F58A6" w:rsidP="006F58A6">
      <w:pPr>
        <w:adjustRightInd w:val="0"/>
        <w:snapToGrid w:val="0"/>
        <w:spacing w:line="360" w:lineRule="auto"/>
        <w:ind w:firstLineChars="200" w:firstLine="480"/>
        <w:rPr>
          <w:rFonts w:ascii="宋体" w:hAnsi="宋体"/>
          <w:bCs/>
          <w:sz w:val="24"/>
        </w:rPr>
      </w:pPr>
      <w:r>
        <w:rPr>
          <w:rFonts w:ascii="宋体" w:hAnsi="宋体" w:hint="eastAsia"/>
          <w:bCs/>
          <w:sz w:val="24"/>
        </w:rPr>
        <w:t>基金的非交易过户是指基金登记机构受理继承、捐赠和司法强制执行等情形而产生的非交易过户以及登记机构认可、符合法律法规的其它非交易过户。无论在上述何种情况下，接受划转的主体必须是依法可以持有本基金基金份额的投资人，或者是按照相关法律法规或国家有权机关要求的划转主体。</w:t>
      </w:r>
    </w:p>
    <w:p w14:paraId="05546B1F" w14:textId="77777777" w:rsidR="006F58A6" w:rsidRDefault="006F58A6" w:rsidP="006F58A6">
      <w:pPr>
        <w:adjustRightInd w:val="0"/>
        <w:snapToGrid w:val="0"/>
        <w:spacing w:line="360" w:lineRule="auto"/>
        <w:ind w:firstLineChars="200" w:firstLine="480"/>
        <w:rPr>
          <w:rFonts w:ascii="宋体" w:hAnsi="宋体"/>
          <w:bCs/>
          <w:sz w:val="24"/>
        </w:rPr>
      </w:pPr>
      <w:r>
        <w:rPr>
          <w:rFonts w:ascii="宋体" w:hAnsi="宋体" w:hint="eastAsia"/>
          <w:bCs/>
          <w:sz w:val="24"/>
        </w:rPr>
        <w:t>继承是指基金份额持有人死亡，其持有的基金份额由其合法的继承人继承；</w:t>
      </w:r>
      <w:r>
        <w:rPr>
          <w:rFonts w:ascii="宋体" w:hAnsi="宋体" w:hint="eastAsia"/>
          <w:bCs/>
          <w:sz w:val="24"/>
        </w:rPr>
        <w:lastRenderedPageBreak/>
        <w:t>捐赠指基金份额持有人将其合法持有的基金份额捐赠给福利性质的基金会或社会团体；司法强制执行是指司法机构依据生效司法文书将基金份额持有人持有的基金份额强制划转给其他自然人、法人或其他组织或者以其他方式处分。办理非交易过户必须提供基金登记机构要求提供的相关资料，对于符合条件的非交易过户申请按基金登记机构的规定办理，并按基金登记机构规定的标准收费。</w:t>
      </w:r>
    </w:p>
    <w:p w14:paraId="129E2CE0" w14:textId="77777777" w:rsidR="00BF4A4E" w:rsidRDefault="00BF4A4E">
      <w:pPr>
        <w:pStyle w:val="20"/>
        <w:adjustRightInd w:val="0"/>
        <w:snapToGrid w:val="0"/>
        <w:ind w:firstLine="480"/>
        <w:rPr>
          <w:rFonts w:cs="宋体"/>
          <w:sz w:val="24"/>
        </w:rPr>
      </w:pPr>
      <w:r>
        <w:rPr>
          <w:rFonts w:cs="宋体" w:hint="eastAsia"/>
          <w:sz w:val="24"/>
        </w:rPr>
        <w:t>十七、基金的转托管</w:t>
      </w:r>
    </w:p>
    <w:p w14:paraId="592C5215" w14:textId="36723BA0" w:rsidR="006F58A6" w:rsidRDefault="006F58A6" w:rsidP="006F58A6">
      <w:pPr>
        <w:adjustRightInd w:val="0"/>
        <w:snapToGrid w:val="0"/>
        <w:spacing w:line="360" w:lineRule="auto"/>
        <w:ind w:firstLineChars="200" w:firstLine="480"/>
        <w:rPr>
          <w:rFonts w:ascii="宋体" w:hAnsi="宋体"/>
          <w:bCs/>
          <w:sz w:val="24"/>
        </w:rPr>
      </w:pPr>
      <w:r>
        <w:rPr>
          <w:rFonts w:ascii="宋体" w:hAnsi="宋体"/>
          <w:bCs/>
          <w:sz w:val="24"/>
        </w:rPr>
        <w:t>基金份额持有人可办理已持有基金份额在不同销售机构之间的转托管，销售机构可以按照规定的标准收取转托管费。</w:t>
      </w:r>
    </w:p>
    <w:p w14:paraId="1455DF20" w14:textId="45AAE4E5" w:rsidR="00BF4A4E" w:rsidRDefault="00BF4A4E">
      <w:pPr>
        <w:pStyle w:val="20"/>
        <w:adjustRightInd w:val="0"/>
        <w:snapToGrid w:val="0"/>
        <w:ind w:firstLine="480"/>
        <w:rPr>
          <w:rFonts w:cs="宋体"/>
          <w:sz w:val="24"/>
        </w:rPr>
      </w:pPr>
      <w:r>
        <w:rPr>
          <w:rFonts w:cs="宋体" w:hint="eastAsia"/>
          <w:sz w:val="24"/>
        </w:rPr>
        <w:t>十八、定</w:t>
      </w:r>
      <w:r w:rsidR="0070516A">
        <w:rPr>
          <w:rFonts w:ascii="黑体" w:hAnsi="黑体" w:hint="eastAsia"/>
          <w:bCs/>
          <w:sz w:val="24"/>
          <w:szCs w:val="24"/>
        </w:rPr>
        <w:t>期</w:t>
      </w:r>
      <w:r w:rsidR="0070516A">
        <w:rPr>
          <w:rFonts w:ascii="黑体" w:hAnsi="黑体"/>
          <w:bCs/>
          <w:sz w:val="24"/>
          <w:szCs w:val="24"/>
        </w:rPr>
        <w:t>定额投资</w:t>
      </w:r>
      <w:r>
        <w:rPr>
          <w:rFonts w:cs="宋体" w:hint="eastAsia"/>
          <w:sz w:val="24"/>
        </w:rPr>
        <w:t>计划</w:t>
      </w:r>
    </w:p>
    <w:p w14:paraId="3D5D8CE4" w14:textId="257EF475" w:rsidR="00BF4A4E" w:rsidRDefault="00BF4A4E">
      <w:pPr>
        <w:pStyle w:val="20"/>
        <w:adjustRightInd w:val="0"/>
        <w:snapToGrid w:val="0"/>
        <w:ind w:firstLine="480"/>
        <w:rPr>
          <w:rFonts w:cs="宋体"/>
          <w:sz w:val="24"/>
        </w:rPr>
      </w:pPr>
      <w:r>
        <w:rPr>
          <w:rFonts w:cs="宋体" w:hint="eastAsia"/>
          <w:bCs/>
          <w:sz w:val="24"/>
        </w:rPr>
        <w:t>基金管理人可以为投资人办理定</w:t>
      </w:r>
      <w:r w:rsidR="0070516A">
        <w:rPr>
          <w:rFonts w:ascii="黑体" w:hAnsi="黑体" w:hint="eastAsia"/>
          <w:bCs/>
          <w:sz w:val="24"/>
          <w:szCs w:val="24"/>
        </w:rPr>
        <w:t>期</w:t>
      </w:r>
      <w:r w:rsidR="0070516A">
        <w:rPr>
          <w:rFonts w:ascii="黑体" w:hAnsi="黑体"/>
          <w:bCs/>
          <w:sz w:val="24"/>
          <w:szCs w:val="24"/>
        </w:rPr>
        <w:t>定额投资</w:t>
      </w:r>
      <w:r>
        <w:rPr>
          <w:rFonts w:cs="宋体" w:hint="eastAsia"/>
          <w:bCs/>
          <w:sz w:val="24"/>
        </w:rPr>
        <w:t>计划，具体规则由基金管理人另行规定。投资人在办理定</w:t>
      </w:r>
      <w:r w:rsidR="0070516A">
        <w:rPr>
          <w:rFonts w:ascii="黑体" w:hAnsi="黑体" w:hint="eastAsia"/>
          <w:bCs/>
          <w:sz w:val="24"/>
          <w:szCs w:val="24"/>
        </w:rPr>
        <w:t>期</w:t>
      </w:r>
      <w:r w:rsidR="0070516A">
        <w:rPr>
          <w:rFonts w:ascii="黑体" w:hAnsi="黑体"/>
          <w:bCs/>
          <w:sz w:val="24"/>
          <w:szCs w:val="24"/>
        </w:rPr>
        <w:t>定额投资</w:t>
      </w:r>
      <w:r>
        <w:rPr>
          <w:rFonts w:cs="宋体" w:hint="eastAsia"/>
          <w:bCs/>
          <w:sz w:val="24"/>
        </w:rPr>
        <w:t>计划时可自行约定每期扣款金额，每期扣款金额必须不低于基金管理人在相关公告或更新的招募说明书中所规定的定</w:t>
      </w:r>
      <w:r w:rsidR="0070516A">
        <w:rPr>
          <w:rFonts w:ascii="黑体" w:hAnsi="黑体" w:hint="eastAsia"/>
          <w:bCs/>
          <w:sz w:val="24"/>
          <w:szCs w:val="24"/>
        </w:rPr>
        <w:t>期</w:t>
      </w:r>
      <w:r w:rsidR="0070516A">
        <w:rPr>
          <w:rFonts w:ascii="黑体" w:hAnsi="黑体"/>
          <w:bCs/>
          <w:sz w:val="24"/>
          <w:szCs w:val="24"/>
        </w:rPr>
        <w:t>定额投资</w:t>
      </w:r>
      <w:r>
        <w:rPr>
          <w:rFonts w:cs="宋体" w:hint="eastAsia"/>
          <w:bCs/>
          <w:sz w:val="24"/>
        </w:rPr>
        <w:t>计划最低申购金额</w:t>
      </w:r>
      <w:r>
        <w:rPr>
          <w:rFonts w:cs="宋体" w:hint="eastAsia"/>
          <w:sz w:val="24"/>
        </w:rPr>
        <w:t>。</w:t>
      </w:r>
    </w:p>
    <w:p w14:paraId="48F2DE7E" w14:textId="77777777" w:rsidR="00BF4A4E" w:rsidRDefault="00BF4A4E">
      <w:pPr>
        <w:pStyle w:val="20"/>
        <w:adjustRightInd w:val="0"/>
        <w:snapToGrid w:val="0"/>
        <w:ind w:firstLine="480"/>
        <w:rPr>
          <w:rFonts w:cs="宋体"/>
          <w:sz w:val="24"/>
        </w:rPr>
      </w:pPr>
      <w:r>
        <w:rPr>
          <w:rFonts w:cs="宋体" w:hint="eastAsia"/>
          <w:sz w:val="24"/>
        </w:rPr>
        <w:t>十九、基金份额的冻结和解冻</w:t>
      </w:r>
    </w:p>
    <w:p w14:paraId="284E758C" w14:textId="10D083C5" w:rsidR="006F58A6" w:rsidRDefault="003F6E38">
      <w:pPr>
        <w:adjustRightInd w:val="0"/>
        <w:snapToGrid w:val="0"/>
        <w:spacing w:line="360" w:lineRule="auto"/>
        <w:ind w:firstLineChars="200" w:firstLine="480"/>
        <w:rPr>
          <w:rFonts w:cs="宋体"/>
          <w:bCs/>
          <w:sz w:val="24"/>
        </w:rPr>
      </w:pPr>
      <w:r w:rsidRPr="003F6E38">
        <w:rPr>
          <w:rFonts w:cs="宋体" w:hint="eastAsia"/>
          <w:bCs/>
          <w:sz w:val="24"/>
        </w:rPr>
        <w:t>基金登记机构只受理国家有权机关依法要求的基金份额的冻结与解冻，以及登记机构认可、符合法律法规的其他情况下的冻结与解冻。基金份额被冻结的，被冻结部分产生的权益按照我国法律法规、监管规章以及国家有权机关的要求来决定是否冻结。如无法律法规明确规定或国家有权机关的明确指示，被冻结的基金份额产生的权益</w:t>
      </w:r>
      <w:r w:rsidR="006F58A6" w:rsidRPr="006F58A6">
        <w:rPr>
          <w:rFonts w:cs="宋体" w:hint="eastAsia"/>
          <w:bCs/>
          <w:sz w:val="24"/>
        </w:rPr>
        <w:t>（权益为现金红利部分，自动转为</w:t>
      </w:r>
      <w:r w:rsidR="005925C7">
        <w:rPr>
          <w:rFonts w:ascii="黑体" w:hAnsi="黑体" w:hint="eastAsia"/>
          <w:bCs/>
          <w:sz w:val="24"/>
        </w:rPr>
        <w:t>相应类别的</w:t>
      </w:r>
      <w:r w:rsidR="006F58A6" w:rsidRPr="006F58A6">
        <w:rPr>
          <w:rFonts w:cs="宋体" w:hint="eastAsia"/>
          <w:bCs/>
          <w:sz w:val="24"/>
        </w:rPr>
        <w:t>基金份额）先行一并冻结。被冻结基金份额仍然参与收益分配。法律法规另有规定的除外。</w:t>
      </w:r>
    </w:p>
    <w:p w14:paraId="6500334E" w14:textId="77777777" w:rsidR="00BF4A4E" w:rsidRDefault="00BF4A4E">
      <w:pPr>
        <w:adjustRightInd w:val="0"/>
        <w:snapToGrid w:val="0"/>
        <w:spacing w:line="360" w:lineRule="auto"/>
        <w:ind w:firstLineChars="200" w:firstLine="480"/>
        <w:rPr>
          <w:rFonts w:ascii="宋体" w:hAnsi="宋体" w:cs="宋体"/>
          <w:bCs/>
          <w:sz w:val="24"/>
          <w:szCs w:val="20"/>
        </w:rPr>
      </w:pPr>
      <w:r>
        <w:rPr>
          <w:rFonts w:ascii="宋体" w:hAnsi="宋体" w:cs="宋体" w:hint="eastAsia"/>
          <w:bCs/>
          <w:sz w:val="24"/>
          <w:szCs w:val="20"/>
        </w:rPr>
        <w:t>二十、基金份额折算</w:t>
      </w:r>
    </w:p>
    <w:p w14:paraId="53BD210F" w14:textId="77777777" w:rsidR="00BF4A4E" w:rsidRDefault="00BF4A4E">
      <w:pPr>
        <w:adjustRightInd w:val="0"/>
        <w:snapToGrid w:val="0"/>
        <w:spacing w:line="360" w:lineRule="auto"/>
        <w:ind w:firstLineChars="200" w:firstLine="480"/>
        <w:rPr>
          <w:rFonts w:ascii="宋体" w:hAnsi="宋体" w:cs="宋体"/>
          <w:bCs/>
          <w:sz w:val="24"/>
          <w:szCs w:val="20"/>
        </w:rPr>
      </w:pPr>
      <w:r>
        <w:rPr>
          <w:rFonts w:ascii="宋体" w:hAnsi="宋体" w:cs="宋体" w:hint="eastAsia"/>
          <w:bCs/>
          <w:sz w:val="24"/>
          <w:szCs w:val="20"/>
        </w:rPr>
        <w:t>在对基金份额持有人利益无实质</w:t>
      </w:r>
      <w:r w:rsidR="00AB5C3E">
        <w:rPr>
          <w:rFonts w:ascii="宋体" w:hAnsi="宋体" w:cs="宋体" w:hint="eastAsia"/>
          <w:bCs/>
          <w:sz w:val="24"/>
          <w:szCs w:val="20"/>
        </w:rPr>
        <w:t>性</w:t>
      </w:r>
      <w:r>
        <w:rPr>
          <w:rFonts w:ascii="宋体" w:hAnsi="宋体" w:cs="宋体" w:hint="eastAsia"/>
          <w:bCs/>
          <w:sz w:val="24"/>
          <w:szCs w:val="20"/>
        </w:rPr>
        <w:t>不利影响的前提下，基金管理人经与基金托管人协商一致，可对基金份额进行折算，不需召开基金份额持有人大会审议。</w:t>
      </w:r>
    </w:p>
    <w:p w14:paraId="19AA219B" w14:textId="77777777" w:rsidR="00BF4A4E" w:rsidRDefault="00BF4A4E">
      <w:pPr>
        <w:adjustRightInd w:val="0"/>
        <w:snapToGrid w:val="0"/>
        <w:spacing w:line="360" w:lineRule="auto"/>
        <w:ind w:firstLineChars="200" w:firstLine="480"/>
        <w:rPr>
          <w:rFonts w:ascii="宋体" w:hAnsi="宋体" w:cs="宋体"/>
          <w:bCs/>
          <w:sz w:val="24"/>
          <w:szCs w:val="20"/>
        </w:rPr>
      </w:pPr>
      <w:r>
        <w:rPr>
          <w:rFonts w:ascii="宋体" w:hAnsi="宋体" w:cs="宋体" w:hint="eastAsia"/>
          <w:bCs/>
          <w:sz w:val="24"/>
          <w:szCs w:val="20"/>
        </w:rPr>
        <w:t>二十一</w:t>
      </w:r>
      <w:r>
        <w:rPr>
          <w:rFonts w:ascii="宋体" w:hAnsi="宋体" w:cs="宋体"/>
          <w:bCs/>
          <w:sz w:val="24"/>
          <w:szCs w:val="20"/>
        </w:rPr>
        <w:t>、</w:t>
      </w:r>
      <w:r>
        <w:rPr>
          <w:rFonts w:ascii="宋体" w:hAnsi="宋体" w:cs="宋体" w:hint="eastAsia"/>
          <w:bCs/>
          <w:sz w:val="24"/>
          <w:szCs w:val="20"/>
        </w:rPr>
        <w:t>实施侧袋机制期间本基金的申购与赎回</w:t>
      </w:r>
    </w:p>
    <w:p w14:paraId="2ED7F307" w14:textId="77777777" w:rsidR="00BF4A4E" w:rsidRDefault="00BF4A4E">
      <w:pPr>
        <w:adjustRightInd w:val="0"/>
        <w:snapToGrid w:val="0"/>
        <w:spacing w:line="360" w:lineRule="auto"/>
        <w:ind w:firstLineChars="200" w:firstLine="480"/>
        <w:rPr>
          <w:rFonts w:ascii="宋体" w:hAnsi="宋体" w:cs="宋体"/>
          <w:bCs/>
          <w:sz w:val="24"/>
          <w:szCs w:val="20"/>
        </w:rPr>
      </w:pPr>
      <w:r>
        <w:rPr>
          <w:rFonts w:ascii="宋体" w:hAnsi="宋体" w:cs="宋体" w:hint="eastAsia"/>
          <w:bCs/>
          <w:sz w:val="24"/>
          <w:szCs w:val="20"/>
        </w:rPr>
        <w:t>本基金实施侧袋机制的，本基金的申购和赎回安排详见本招募说明书“第十六部分  侧袋机制”的规定或相关公告。</w:t>
      </w:r>
    </w:p>
    <w:p w14:paraId="2D932478" w14:textId="652DFBA7" w:rsidR="00BF4A4E" w:rsidRDefault="00BF4A4E">
      <w:pPr>
        <w:adjustRightInd w:val="0"/>
        <w:snapToGrid w:val="0"/>
        <w:spacing w:line="360" w:lineRule="auto"/>
        <w:ind w:firstLineChars="200" w:firstLine="480"/>
        <w:rPr>
          <w:rFonts w:ascii="宋体" w:hAnsi="宋体"/>
        </w:rPr>
      </w:pPr>
      <w:r>
        <w:rPr>
          <w:rFonts w:ascii="宋体" w:hAnsi="宋体" w:cs="宋体" w:hint="eastAsia"/>
          <w:bCs/>
          <w:sz w:val="24"/>
          <w:szCs w:val="20"/>
        </w:rPr>
        <w:t>二十二、</w:t>
      </w:r>
      <w:bookmarkEnd w:id="46"/>
      <w:r w:rsidR="007711F2">
        <w:rPr>
          <w:rFonts w:ascii="Courier New" w:hAnsi="Courier New" w:hint="eastAsia"/>
          <w:bCs/>
          <w:sz w:val="24"/>
        </w:rPr>
        <w:t>在不违反相关法律法规规定和基金合同约定且对基金份额持有人利益无实质性不利影响的前提下，基金管理人可以与基金托管人协商一致并在履行相关程序后，根据具体情况对上述申购和赎回的安排进行补充和调整，或者办理基金份额质押等相关业务，届时须提前公告</w:t>
      </w:r>
      <w:r w:rsidR="003F6E38" w:rsidRPr="003F6E38">
        <w:rPr>
          <w:rFonts w:ascii="宋体" w:hAnsi="宋体" w:cs="宋体" w:hint="eastAsia"/>
          <w:bCs/>
          <w:sz w:val="24"/>
          <w:szCs w:val="20"/>
        </w:rPr>
        <w:t>。</w:t>
      </w:r>
      <w:r>
        <w:rPr>
          <w:rFonts w:ascii="宋体" w:hAnsi="宋体"/>
          <w:bCs/>
          <w:sz w:val="24"/>
          <w:szCs w:val="20"/>
        </w:rPr>
        <w:br w:type="page"/>
      </w:r>
    </w:p>
    <w:p w14:paraId="00EAC9AB" w14:textId="77777777" w:rsidR="00BF4A4E" w:rsidRDefault="00BF4A4E">
      <w:pPr>
        <w:pStyle w:val="1"/>
        <w:adjustRightInd w:val="0"/>
        <w:snapToGrid w:val="0"/>
        <w:spacing w:before="0" w:after="0" w:line="360" w:lineRule="auto"/>
        <w:jc w:val="center"/>
        <w:rPr>
          <w:rFonts w:ascii="宋体" w:hAnsi="宋体"/>
        </w:rPr>
      </w:pPr>
      <w:bookmarkStart w:id="48" w:name="_Toc103003351"/>
      <w:r>
        <w:rPr>
          <w:rFonts w:ascii="宋体" w:hAnsi="宋体"/>
        </w:rPr>
        <w:lastRenderedPageBreak/>
        <w:t>第</w:t>
      </w:r>
      <w:r>
        <w:rPr>
          <w:rFonts w:ascii="宋体" w:hAnsi="宋体" w:hint="eastAsia"/>
        </w:rPr>
        <w:t>九</w:t>
      </w:r>
      <w:r>
        <w:rPr>
          <w:rFonts w:ascii="宋体" w:hAnsi="宋体"/>
        </w:rPr>
        <w:t>部分</w:t>
      </w:r>
      <w:r>
        <w:rPr>
          <w:rFonts w:ascii="宋体" w:hAnsi="宋体" w:hint="eastAsia"/>
        </w:rPr>
        <w:t xml:space="preserve">  基金的投资</w:t>
      </w:r>
      <w:bookmarkEnd w:id="48"/>
    </w:p>
    <w:p w14:paraId="4A474FD4" w14:textId="77777777" w:rsidR="00BF4A4E" w:rsidRDefault="00BF4A4E">
      <w:pPr>
        <w:pStyle w:val="20"/>
        <w:adjustRightInd w:val="0"/>
        <w:snapToGrid w:val="0"/>
        <w:ind w:firstLine="480"/>
        <w:rPr>
          <w:sz w:val="24"/>
        </w:rPr>
      </w:pPr>
    </w:p>
    <w:p w14:paraId="5987AC0C" w14:textId="77777777" w:rsidR="00881E8A" w:rsidRPr="003438BF" w:rsidRDefault="00881E8A" w:rsidP="00881E8A">
      <w:pPr>
        <w:adjustRightInd w:val="0"/>
        <w:snapToGrid w:val="0"/>
        <w:spacing w:line="360" w:lineRule="auto"/>
        <w:ind w:firstLineChars="200" w:firstLine="480"/>
        <w:rPr>
          <w:rFonts w:asciiTheme="minorEastAsia" w:eastAsiaTheme="minorEastAsia" w:hAnsiTheme="minorEastAsia"/>
          <w:bCs/>
          <w:sz w:val="24"/>
        </w:rPr>
      </w:pPr>
      <w:bookmarkStart w:id="49" w:name="_Hlk130212624"/>
      <w:r w:rsidRPr="003438BF">
        <w:rPr>
          <w:rFonts w:asciiTheme="minorEastAsia" w:eastAsiaTheme="minorEastAsia" w:hAnsiTheme="minorEastAsia"/>
          <w:bCs/>
          <w:sz w:val="24"/>
        </w:rPr>
        <w:t>一、投资目标</w:t>
      </w:r>
    </w:p>
    <w:p w14:paraId="44E02B7D" w14:textId="77777777" w:rsidR="00881E8A" w:rsidRPr="003438BF" w:rsidRDefault="00881E8A" w:rsidP="00881E8A">
      <w:pPr>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sz w:val="24"/>
        </w:rPr>
        <w:t>本基金主要通过投资于目标ETF，紧密跟踪标的指数，追求跟踪偏离度和跟踪误差最小化</w:t>
      </w:r>
      <w:r w:rsidRPr="003438BF">
        <w:rPr>
          <w:rFonts w:asciiTheme="minorEastAsia" w:eastAsiaTheme="minorEastAsia" w:hAnsiTheme="minorEastAsia"/>
          <w:bCs/>
          <w:sz w:val="24"/>
        </w:rPr>
        <w:t>。</w:t>
      </w:r>
    </w:p>
    <w:p w14:paraId="66F14029" w14:textId="77777777" w:rsidR="00881E8A" w:rsidRPr="003438BF" w:rsidRDefault="00881E8A" w:rsidP="00881E8A">
      <w:pPr>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bCs/>
          <w:sz w:val="24"/>
        </w:rPr>
        <w:t>二、投资范围</w:t>
      </w:r>
    </w:p>
    <w:p w14:paraId="0A3B524E" w14:textId="738696AD" w:rsidR="00EA4A84" w:rsidRPr="003438BF" w:rsidRDefault="00EA4A84" w:rsidP="00EA4A84">
      <w:pPr>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hint="eastAsia"/>
          <w:bCs/>
          <w:sz w:val="24"/>
        </w:rPr>
        <w:t>本基金以目标ETF基金份额、标的指数成份股及备选成份股（均含存托凭证，下同）为主要投资对象。此外，为更好地实现投资目标，本基金可少量投资于部分非成份股（包括主板股票、科创板股票、创业板股票、存托凭证及其他经中国证监会核准或注册上市的股票）、债券资产（包括国债、金融债券、企业债券、公司债券、公开发行的次级债券、可转换公司债券</w:t>
      </w:r>
      <w:r w:rsidR="007711F2">
        <w:rPr>
          <w:rFonts w:asciiTheme="minorEastAsia" w:eastAsiaTheme="minorEastAsia" w:hAnsiTheme="minorEastAsia" w:hint="eastAsia"/>
          <w:bCs/>
          <w:sz w:val="24"/>
        </w:rPr>
        <w:t>、</w:t>
      </w:r>
      <w:r w:rsidRPr="003438BF">
        <w:rPr>
          <w:rFonts w:asciiTheme="minorEastAsia" w:eastAsiaTheme="minorEastAsia" w:hAnsiTheme="minorEastAsia" w:hint="eastAsia"/>
          <w:bCs/>
          <w:sz w:val="24"/>
        </w:rPr>
        <w:t>分离交易可转换公司债券、央行票据、短期融资券、超短期融资券、地方政府债券、政府支持机构债券、中期票据、可交换债券以及其他中国证监会允许投资的债券）、银行存款（包括银行定期存款、协议存款及其他银行存款）、资产支持证券、债券回购、同业存单、现金、衍生工具（股指期货、股票期权、国债期货）以及法律法规或中国证监会允许基金投资的其他金融工具，但须符合中国证监会相关规定。</w:t>
      </w:r>
    </w:p>
    <w:p w14:paraId="20D122E0" w14:textId="77777777" w:rsidR="00EA4A84" w:rsidRPr="003438BF" w:rsidRDefault="00EA4A84" w:rsidP="00EA4A84">
      <w:pPr>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hint="eastAsia"/>
          <w:bCs/>
          <w:sz w:val="24"/>
        </w:rPr>
        <w:t>本基金可以根据相关法律法规，参与融资及转融通证券出借业务，以提高投资效率及进行风险管理。</w:t>
      </w:r>
    </w:p>
    <w:p w14:paraId="1233A91E" w14:textId="77777777" w:rsidR="00EA4A84" w:rsidRPr="003438BF" w:rsidRDefault="00EA4A84" w:rsidP="00EA4A84">
      <w:pPr>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hint="eastAsia"/>
          <w:bCs/>
          <w:sz w:val="24"/>
        </w:rPr>
        <w:t>如法律法规或监管机构以后允许基金投资其他品种，基金管理人在履行适当程序后，可以将其纳入投资范围，其投资原则及投资比例限制按法律法规或监管机构的相关规定执行。</w:t>
      </w:r>
    </w:p>
    <w:p w14:paraId="62EBB126" w14:textId="77777777" w:rsidR="00EA4A84" w:rsidRPr="003438BF" w:rsidRDefault="00EA4A84" w:rsidP="00EA4A84">
      <w:pPr>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hint="eastAsia"/>
          <w:bCs/>
          <w:sz w:val="24"/>
        </w:rPr>
        <w:t>基金的投资组合比例为：本基金投资于目标ETF的比例不低于基金资产净值的90%，每个交易日日终在扣除股指期货合约、股票期权合约和国债期货合约需缴纳的交易保证金后，保持不低于基金资产净值5%的现金或者到期日在一年以内的政府债券。其中，现金不包括结算备付金、存出保证金和应收申购款等。</w:t>
      </w:r>
    </w:p>
    <w:p w14:paraId="080EC241" w14:textId="44F70790" w:rsidR="00881E8A" w:rsidRPr="003438BF" w:rsidRDefault="00EA4A84" w:rsidP="00881E8A">
      <w:pPr>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hint="eastAsia"/>
          <w:bCs/>
          <w:sz w:val="24"/>
        </w:rPr>
        <w:t>如法律法规或监管机构变更相关投资品种的投资比例限制，基金管理人在履行适当程序后，可以调整上述投资品种的投资比例或按变更后的规定执行。</w:t>
      </w:r>
    </w:p>
    <w:p w14:paraId="393EE518" w14:textId="77777777" w:rsidR="00881E8A" w:rsidRPr="003438BF" w:rsidRDefault="00881E8A" w:rsidP="00881E8A">
      <w:pPr>
        <w:tabs>
          <w:tab w:val="center" w:pos="4393"/>
        </w:tabs>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bCs/>
          <w:sz w:val="24"/>
        </w:rPr>
        <w:t>三、投资策略</w:t>
      </w:r>
    </w:p>
    <w:p w14:paraId="12BD9C56" w14:textId="1FA778E9" w:rsidR="00EA4A84" w:rsidRPr="003438BF" w:rsidRDefault="00344C25" w:rsidP="00EA4A84">
      <w:pPr>
        <w:tabs>
          <w:tab w:val="center" w:pos="4393"/>
        </w:tabs>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hint="eastAsia"/>
          <w:bCs/>
          <w:sz w:val="24"/>
        </w:rPr>
        <w:t>本基金为</w:t>
      </w:r>
      <w:r w:rsidRPr="003438BF">
        <w:rPr>
          <w:rFonts w:asciiTheme="minorEastAsia" w:eastAsiaTheme="minorEastAsia" w:hAnsiTheme="minorEastAsia"/>
          <w:bCs/>
          <w:sz w:val="24"/>
        </w:rPr>
        <w:t>ETF</w:t>
      </w:r>
      <w:r w:rsidRPr="003438BF">
        <w:rPr>
          <w:rFonts w:asciiTheme="minorEastAsia" w:eastAsiaTheme="minorEastAsia" w:hAnsiTheme="minorEastAsia" w:hint="eastAsia"/>
          <w:bCs/>
          <w:sz w:val="24"/>
        </w:rPr>
        <w:t>联接基金，主要通过投资于目标</w:t>
      </w:r>
      <w:r w:rsidRPr="003438BF">
        <w:rPr>
          <w:rFonts w:asciiTheme="minorEastAsia" w:eastAsiaTheme="minorEastAsia" w:hAnsiTheme="minorEastAsia"/>
          <w:bCs/>
          <w:sz w:val="24"/>
        </w:rPr>
        <w:t>ETF</w:t>
      </w:r>
      <w:r w:rsidRPr="003438BF">
        <w:rPr>
          <w:rFonts w:asciiTheme="minorEastAsia" w:eastAsiaTheme="minorEastAsia" w:hAnsiTheme="minorEastAsia" w:hint="eastAsia"/>
          <w:bCs/>
          <w:sz w:val="24"/>
        </w:rPr>
        <w:t>，以实现对标的指数的紧</w:t>
      </w:r>
      <w:r w:rsidRPr="003438BF">
        <w:rPr>
          <w:rFonts w:asciiTheme="minorEastAsia" w:eastAsiaTheme="minorEastAsia" w:hAnsiTheme="minorEastAsia" w:hint="eastAsia"/>
          <w:bCs/>
          <w:sz w:val="24"/>
        </w:rPr>
        <w:lastRenderedPageBreak/>
        <w:t>密跟踪。本基金力争将本基金净值增长率与业绩比较基准之间的日均跟踪偏离度的绝对值控制在</w:t>
      </w:r>
      <w:r w:rsidRPr="003438BF">
        <w:rPr>
          <w:rFonts w:asciiTheme="minorEastAsia" w:eastAsiaTheme="minorEastAsia" w:hAnsiTheme="minorEastAsia"/>
          <w:bCs/>
          <w:sz w:val="24"/>
        </w:rPr>
        <w:t>0.35%</w:t>
      </w:r>
      <w:r w:rsidRPr="003438BF">
        <w:rPr>
          <w:rFonts w:asciiTheme="minorEastAsia" w:eastAsiaTheme="minorEastAsia" w:hAnsiTheme="minorEastAsia" w:hint="eastAsia"/>
          <w:bCs/>
          <w:sz w:val="24"/>
        </w:rPr>
        <w:t>以内，年跟踪误差控制在</w:t>
      </w:r>
      <w:r w:rsidRPr="003438BF">
        <w:rPr>
          <w:rFonts w:asciiTheme="minorEastAsia" w:eastAsiaTheme="minorEastAsia" w:hAnsiTheme="minorEastAsia"/>
          <w:bCs/>
          <w:sz w:val="24"/>
        </w:rPr>
        <w:t>4%</w:t>
      </w:r>
      <w:r w:rsidRPr="003438BF">
        <w:rPr>
          <w:rFonts w:asciiTheme="minorEastAsia" w:eastAsiaTheme="minorEastAsia" w:hAnsiTheme="minorEastAsia" w:hint="eastAsia"/>
          <w:bCs/>
          <w:sz w:val="24"/>
        </w:rPr>
        <w:t>以内。如因指数编制规则调整或其他因素导致跟踪偏离度和跟踪误差超过上述范围，基金管理人应采取合理措施避免跟踪偏离度、跟踪误差进一步扩大。</w:t>
      </w:r>
    </w:p>
    <w:p w14:paraId="0F235D8C" w14:textId="77777777" w:rsidR="00EA4A84" w:rsidRPr="003438BF" w:rsidRDefault="00EA4A84" w:rsidP="00EA4A84">
      <w:pPr>
        <w:tabs>
          <w:tab w:val="center" w:pos="4393"/>
        </w:tabs>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hint="eastAsia"/>
          <w:bCs/>
          <w:sz w:val="24"/>
        </w:rPr>
        <w:t>（一）资产配置策略</w:t>
      </w:r>
    </w:p>
    <w:p w14:paraId="5AC87037" w14:textId="5250DFD1" w:rsidR="00EA4A84" w:rsidRPr="003438BF" w:rsidRDefault="00EA4A84" w:rsidP="00EA4A84">
      <w:pPr>
        <w:tabs>
          <w:tab w:val="center" w:pos="4393"/>
        </w:tabs>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hint="eastAsia"/>
          <w:bCs/>
          <w:sz w:val="24"/>
        </w:rPr>
        <w:t>本基金主要投资于目标</w:t>
      </w:r>
      <w:r w:rsidRPr="003438BF">
        <w:rPr>
          <w:rFonts w:asciiTheme="minorEastAsia" w:eastAsiaTheme="minorEastAsia" w:hAnsiTheme="minorEastAsia"/>
          <w:bCs/>
          <w:sz w:val="24"/>
        </w:rPr>
        <w:t>ETF</w:t>
      </w:r>
      <w:r w:rsidRPr="003438BF">
        <w:rPr>
          <w:rFonts w:asciiTheme="minorEastAsia" w:eastAsiaTheme="minorEastAsia" w:hAnsiTheme="minorEastAsia" w:hint="eastAsia"/>
          <w:bCs/>
          <w:sz w:val="24"/>
        </w:rPr>
        <w:t>、标的指数成份股、备选成份股，其中投资于目标</w:t>
      </w:r>
      <w:r w:rsidRPr="003438BF">
        <w:rPr>
          <w:rFonts w:asciiTheme="minorEastAsia" w:eastAsiaTheme="minorEastAsia" w:hAnsiTheme="minorEastAsia"/>
          <w:bCs/>
          <w:sz w:val="24"/>
        </w:rPr>
        <w:t>ETF</w:t>
      </w:r>
      <w:r w:rsidRPr="003438BF">
        <w:rPr>
          <w:rFonts w:asciiTheme="minorEastAsia" w:eastAsiaTheme="minorEastAsia" w:hAnsiTheme="minorEastAsia" w:hint="eastAsia"/>
          <w:bCs/>
          <w:sz w:val="24"/>
        </w:rPr>
        <w:t>的比例不低于基金资产净值的</w:t>
      </w:r>
      <w:r w:rsidR="00CE302A" w:rsidRPr="003438BF">
        <w:rPr>
          <w:rFonts w:asciiTheme="minorEastAsia" w:eastAsiaTheme="minorEastAsia" w:hAnsiTheme="minorEastAsia"/>
          <w:bCs/>
          <w:sz w:val="24"/>
        </w:rPr>
        <w:t>90%</w:t>
      </w:r>
      <w:r w:rsidRPr="003438BF">
        <w:rPr>
          <w:rFonts w:asciiTheme="minorEastAsia" w:eastAsiaTheme="minorEastAsia" w:hAnsiTheme="minorEastAsia" w:hint="eastAsia"/>
          <w:bCs/>
          <w:sz w:val="24"/>
        </w:rPr>
        <w:t>，每个交易日日终在扣除股指期货合约、股票期权合约和国债期货合约需缴纳的交易保证金后，保持不低于基金资产净值</w:t>
      </w:r>
      <w:r w:rsidR="00344C25" w:rsidRPr="003438BF">
        <w:rPr>
          <w:rFonts w:asciiTheme="minorEastAsia" w:eastAsiaTheme="minorEastAsia" w:hAnsiTheme="minorEastAsia"/>
          <w:bCs/>
          <w:sz w:val="24"/>
        </w:rPr>
        <w:t>5%</w:t>
      </w:r>
      <w:r w:rsidRPr="003438BF">
        <w:rPr>
          <w:rFonts w:asciiTheme="minorEastAsia" w:eastAsiaTheme="minorEastAsia" w:hAnsiTheme="minorEastAsia" w:hint="eastAsia"/>
          <w:bCs/>
          <w:sz w:val="24"/>
        </w:rPr>
        <w:t>的现金或者到期日在一年以内的政府债券。为更好地实现投资目标，本基金可少量投资于部分非成份股（包括主板股票、科创板股票、创业板股票、存托凭证及其他经中国证监会核准或注册上市的股票）、债券资产（包括国债、金融债券、企业债券、公司债券、公开发行的次级债券、可转换公司债券</w:t>
      </w:r>
      <w:r w:rsidR="0056360D">
        <w:rPr>
          <w:rFonts w:asciiTheme="minorEastAsia" w:eastAsiaTheme="minorEastAsia" w:hAnsiTheme="minorEastAsia" w:hint="eastAsia"/>
          <w:bCs/>
          <w:sz w:val="24"/>
        </w:rPr>
        <w:t>、</w:t>
      </w:r>
      <w:r w:rsidRPr="003438BF">
        <w:rPr>
          <w:rFonts w:asciiTheme="minorEastAsia" w:eastAsiaTheme="minorEastAsia" w:hAnsiTheme="minorEastAsia" w:hint="eastAsia"/>
          <w:bCs/>
          <w:sz w:val="24"/>
        </w:rPr>
        <w:t>分离交易可转换公司债券、央行票据、短期融资券、超短期融资券、地方政府债券、政府支持机构债券、中期票据、可交换债券以及其他中国证监会允许投资的债券）、银行存款（包括银行定期存款、协议存款及其他银行存款）、资产支持证券、债券回购、同业存单、现金、衍生工具（股指期货、股票期权、国债期货）以及法律法规或中国证监会允许基金投资的其他金融工具，也可以根据相关法律法规参与融资及转融通证券出借业务，其目的是为了使本基金在应对申购赎回的前提下，更好地跟踪标的指数。</w:t>
      </w:r>
    </w:p>
    <w:p w14:paraId="5685DC33" w14:textId="77777777" w:rsidR="00EA4A84" w:rsidRPr="00EA4A84" w:rsidRDefault="00EA4A84" w:rsidP="00EA4A84">
      <w:pPr>
        <w:tabs>
          <w:tab w:val="center" w:pos="4393"/>
        </w:tabs>
        <w:adjustRightInd w:val="0"/>
        <w:snapToGrid w:val="0"/>
        <w:spacing w:line="360" w:lineRule="auto"/>
        <w:ind w:firstLineChars="200" w:firstLine="480"/>
        <w:rPr>
          <w:bCs/>
          <w:sz w:val="24"/>
        </w:rPr>
      </w:pPr>
      <w:r w:rsidRPr="003438BF">
        <w:rPr>
          <w:rFonts w:asciiTheme="minorEastAsia" w:eastAsiaTheme="minorEastAsia" w:hAnsiTheme="minorEastAsia" w:hint="eastAsia"/>
          <w:bCs/>
          <w:sz w:val="24"/>
        </w:rPr>
        <w:t>本基金将根据市场的实际情况，适当调整基金资产在各类资产上的配置比例，以保证对标的指数的有效跟踪。</w:t>
      </w:r>
    </w:p>
    <w:p w14:paraId="685D71C8" w14:textId="77777777" w:rsidR="00EA4A84" w:rsidRPr="003438BF" w:rsidRDefault="00EA4A84" w:rsidP="00EA4A84">
      <w:pPr>
        <w:tabs>
          <w:tab w:val="center" w:pos="4393"/>
        </w:tabs>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hint="eastAsia"/>
          <w:bCs/>
          <w:sz w:val="24"/>
        </w:rPr>
        <w:t>（二）目标ETF投资策略</w:t>
      </w:r>
    </w:p>
    <w:p w14:paraId="63E2FD04" w14:textId="49259E11" w:rsidR="00EA4A84" w:rsidRPr="003438BF" w:rsidRDefault="00497594" w:rsidP="00EA4A84">
      <w:pPr>
        <w:tabs>
          <w:tab w:val="center" w:pos="4393"/>
        </w:tabs>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bCs/>
          <w:sz w:val="24"/>
        </w:rPr>
        <w:t>1</w:t>
      </w:r>
      <w:r w:rsidR="00EA4A84" w:rsidRPr="003438BF">
        <w:rPr>
          <w:rFonts w:asciiTheme="minorEastAsia" w:eastAsiaTheme="minorEastAsia" w:hAnsiTheme="minorEastAsia" w:hint="eastAsia"/>
          <w:bCs/>
          <w:sz w:val="24"/>
        </w:rPr>
        <w:t>、投资组合的投资方式</w:t>
      </w:r>
    </w:p>
    <w:p w14:paraId="161169DB" w14:textId="03A72F38" w:rsidR="00EA4A84" w:rsidRPr="003438BF" w:rsidRDefault="00EA4A84" w:rsidP="00EA4A84">
      <w:pPr>
        <w:tabs>
          <w:tab w:val="center" w:pos="4393"/>
        </w:tabs>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hint="eastAsia"/>
          <w:bCs/>
          <w:sz w:val="24"/>
        </w:rPr>
        <w:t>本基金在综合考虑合规、风险、效率、成本等因素的基础上，决定采用申赎的方式或二级市场交易的方式进行目标ETF的买卖。</w:t>
      </w:r>
    </w:p>
    <w:p w14:paraId="3516C383" w14:textId="432DD8D4" w:rsidR="00EA4A84" w:rsidRPr="003438BF" w:rsidRDefault="00497594" w:rsidP="00EA4A84">
      <w:pPr>
        <w:tabs>
          <w:tab w:val="center" w:pos="4393"/>
        </w:tabs>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bCs/>
          <w:sz w:val="24"/>
        </w:rPr>
        <w:t>2</w:t>
      </w:r>
      <w:r w:rsidR="00EA4A84" w:rsidRPr="003438BF">
        <w:rPr>
          <w:rFonts w:asciiTheme="minorEastAsia" w:eastAsiaTheme="minorEastAsia" w:hAnsiTheme="minorEastAsia" w:hint="eastAsia"/>
          <w:bCs/>
          <w:sz w:val="24"/>
        </w:rPr>
        <w:t>、投资组合的调整</w:t>
      </w:r>
    </w:p>
    <w:p w14:paraId="455740F8" w14:textId="77777777" w:rsidR="00EA4A84" w:rsidRPr="003438BF" w:rsidRDefault="00EA4A84" w:rsidP="00EA4A84">
      <w:pPr>
        <w:tabs>
          <w:tab w:val="center" w:pos="4393"/>
        </w:tabs>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hint="eastAsia"/>
          <w:bCs/>
          <w:sz w:val="24"/>
        </w:rPr>
        <w:t>本基金将根据开放日申购和赎回情况，决定投资目标ETF的时间和方式。</w:t>
      </w:r>
    </w:p>
    <w:p w14:paraId="3F6455C4" w14:textId="50E41102" w:rsidR="00EA4A84" w:rsidRPr="003438BF" w:rsidRDefault="00EA4A84" w:rsidP="00EA4A84">
      <w:pPr>
        <w:tabs>
          <w:tab w:val="center" w:pos="4393"/>
        </w:tabs>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hint="eastAsia"/>
          <w:bCs/>
          <w:sz w:val="24"/>
        </w:rPr>
        <w:t>（</w:t>
      </w:r>
      <w:r w:rsidR="00497594" w:rsidRPr="003438BF">
        <w:rPr>
          <w:rFonts w:asciiTheme="minorEastAsia" w:eastAsiaTheme="minorEastAsia" w:hAnsiTheme="minorEastAsia"/>
          <w:bCs/>
          <w:sz w:val="24"/>
        </w:rPr>
        <w:t>1</w:t>
      </w:r>
      <w:r w:rsidRPr="003438BF">
        <w:rPr>
          <w:rFonts w:asciiTheme="minorEastAsia" w:eastAsiaTheme="minorEastAsia" w:hAnsiTheme="minorEastAsia" w:hint="eastAsia"/>
          <w:bCs/>
          <w:sz w:val="24"/>
        </w:rPr>
        <w:t>）当净申购时，本基金将根据净申购规模及仓位情况，决定股票组合的构建、目标</w:t>
      </w:r>
      <w:r w:rsidRPr="003438BF">
        <w:rPr>
          <w:rFonts w:asciiTheme="minorEastAsia" w:eastAsiaTheme="minorEastAsia" w:hAnsiTheme="minorEastAsia"/>
          <w:bCs/>
          <w:sz w:val="24"/>
        </w:rPr>
        <w:t>ETF</w:t>
      </w:r>
      <w:r w:rsidRPr="003438BF">
        <w:rPr>
          <w:rFonts w:asciiTheme="minorEastAsia" w:eastAsiaTheme="minorEastAsia" w:hAnsiTheme="minorEastAsia" w:hint="eastAsia"/>
          <w:bCs/>
          <w:sz w:val="24"/>
        </w:rPr>
        <w:t>的申购或买入等；</w:t>
      </w:r>
    </w:p>
    <w:p w14:paraId="073B1AB8" w14:textId="586D6B51" w:rsidR="00EA4A84" w:rsidRPr="003438BF" w:rsidRDefault="00EA4A84" w:rsidP="00EA4A84">
      <w:pPr>
        <w:tabs>
          <w:tab w:val="center" w:pos="4393"/>
        </w:tabs>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hint="eastAsia"/>
          <w:bCs/>
          <w:sz w:val="24"/>
        </w:rPr>
        <w:t>（</w:t>
      </w:r>
      <w:r w:rsidR="00497594" w:rsidRPr="003438BF">
        <w:rPr>
          <w:rFonts w:asciiTheme="minorEastAsia" w:eastAsiaTheme="minorEastAsia" w:hAnsiTheme="minorEastAsia"/>
          <w:bCs/>
          <w:sz w:val="24"/>
        </w:rPr>
        <w:t>2</w:t>
      </w:r>
      <w:r w:rsidRPr="003438BF">
        <w:rPr>
          <w:rFonts w:asciiTheme="minorEastAsia" w:eastAsiaTheme="minorEastAsia" w:hAnsiTheme="minorEastAsia" w:hint="eastAsia"/>
          <w:bCs/>
          <w:sz w:val="24"/>
        </w:rPr>
        <w:t>）当净赎回时，本基金将根据净赎回规模及仓位情况，决定目标</w:t>
      </w:r>
      <w:r w:rsidRPr="003438BF">
        <w:rPr>
          <w:rFonts w:asciiTheme="minorEastAsia" w:eastAsiaTheme="minorEastAsia" w:hAnsiTheme="minorEastAsia"/>
          <w:bCs/>
          <w:sz w:val="24"/>
        </w:rPr>
        <w:t>ETF</w:t>
      </w:r>
      <w:r w:rsidRPr="003438BF">
        <w:rPr>
          <w:rFonts w:asciiTheme="minorEastAsia" w:eastAsiaTheme="minorEastAsia" w:hAnsiTheme="minorEastAsia" w:hint="eastAsia"/>
          <w:bCs/>
          <w:sz w:val="24"/>
        </w:rPr>
        <w:t>的</w:t>
      </w:r>
      <w:r w:rsidRPr="003438BF">
        <w:rPr>
          <w:rFonts w:asciiTheme="minorEastAsia" w:eastAsiaTheme="minorEastAsia" w:hAnsiTheme="minorEastAsia" w:hint="eastAsia"/>
          <w:bCs/>
          <w:sz w:val="24"/>
        </w:rPr>
        <w:lastRenderedPageBreak/>
        <w:t>赎回或卖出等。</w:t>
      </w:r>
    </w:p>
    <w:p w14:paraId="017CC882" w14:textId="77777777" w:rsidR="00EA4A84" w:rsidRPr="003438BF" w:rsidRDefault="00EA4A84" w:rsidP="00EA4A84">
      <w:pPr>
        <w:tabs>
          <w:tab w:val="center" w:pos="4393"/>
        </w:tabs>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hint="eastAsia"/>
          <w:bCs/>
          <w:sz w:val="24"/>
        </w:rPr>
        <w:t>（三）股票投资策略</w:t>
      </w:r>
    </w:p>
    <w:p w14:paraId="2B24D787" w14:textId="78BAEA59" w:rsidR="00EA4A84" w:rsidRPr="003438BF" w:rsidRDefault="00497594" w:rsidP="00EA4A84">
      <w:pPr>
        <w:tabs>
          <w:tab w:val="center" w:pos="4393"/>
        </w:tabs>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bCs/>
          <w:sz w:val="24"/>
        </w:rPr>
        <w:t>1</w:t>
      </w:r>
      <w:r w:rsidR="00EA4A84" w:rsidRPr="003438BF">
        <w:rPr>
          <w:rFonts w:asciiTheme="minorEastAsia" w:eastAsiaTheme="minorEastAsia" w:hAnsiTheme="minorEastAsia" w:hint="eastAsia"/>
          <w:bCs/>
          <w:sz w:val="24"/>
        </w:rPr>
        <w:t>、股票组合构建原则</w:t>
      </w:r>
    </w:p>
    <w:p w14:paraId="3F6D27A4" w14:textId="77777777" w:rsidR="00EA4A84" w:rsidRPr="003438BF" w:rsidRDefault="00EA4A84" w:rsidP="00EA4A84">
      <w:pPr>
        <w:tabs>
          <w:tab w:val="center" w:pos="4393"/>
        </w:tabs>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hint="eastAsia"/>
          <w:bCs/>
          <w:sz w:val="24"/>
        </w:rPr>
        <w:t>根据标的指数，结合研究报告和基金组合的构建情况，采用被动式指数化投资的方法构建股票组合。</w:t>
      </w:r>
    </w:p>
    <w:p w14:paraId="59969C80" w14:textId="35BD5610" w:rsidR="00EA4A84" w:rsidRPr="003438BF" w:rsidRDefault="00497594" w:rsidP="00EA4A84">
      <w:pPr>
        <w:tabs>
          <w:tab w:val="center" w:pos="4393"/>
        </w:tabs>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bCs/>
          <w:sz w:val="24"/>
        </w:rPr>
        <w:t>2</w:t>
      </w:r>
      <w:r w:rsidR="00EA4A84" w:rsidRPr="003438BF">
        <w:rPr>
          <w:rFonts w:asciiTheme="minorEastAsia" w:eastAsiaTheme="minorEastAsia" w:hAnsiTheme="minorEastAsia" w:hint="eastAsia"/>
          <w:bCs/>
          <w:sz w:val="24"/>
        </w:rPr>
        <w:t>、股票组合构建方法</w:t>
      </w:r>
    </w:p>
    <w:p w14:paraId="01FEBB76" w14:textId="77777777" w:rsidR="00EA4A84" w:rsidRPr="003438BF" w:rsidRDefault="00EA4A84" w:rsidP="00EA4A84">
      <w:pPr>
        <w:tabs>
          <w:tab w:val="center" w:pos="4393"/>
        </w:tabs>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hint="eastAsia"/>
          <w:bCs/>
          <w:sz w:val="24"/>
        </w:rPr>
        <w:t>本基金将以追求跟踪误差最小化进行标的指数成份股和备选成份股的投资。本基金采用被动式指数化投资的方法，根据标的指数成份股的构成及权重构建股票投资组合。如有因受成份股停牌、成份股流动性不足或其它一些影响指数复制的市场因素的限制，基金管理人可以根据市场情况，结合经验判断，对股票组合管理进行适当变通和调整，以更紧密地跟踪标的指数。</w:t>
      </w:r>
    </w:p>
    <w:p w14:paraId="246A52FE" w14:textId="77777777" w:rsidR="00EA4A84" w:rsidRPr="003438BF" w:rsidRDefault="00EA4A84" w:rsidP="00EA4A84">
      <w:pPr>
        <w:tabs>
          <w:tab w:val="center" w:pos="4393"/>
        </w:tabs>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hint="eastAsia"/>
          <w:bCs/>
          <w:sz w:val="24"/>
        </w:rPr>
        <w:t>在本基金运作过程中，如本基金标的指数成份股发生明显负面事件面临退市风险，且指数编制机构暂未做出调整的，基金管理人按照基金份额持有人利益优先的原则，在履行内部决策程序后，通过成份股替代等方式对相关指数成份股进行调整。</w:t>
      </w:r>
    </w:p>
    <w:p w14:paraId="1DFEABCD" w14:textId="3B9B75DC" w:rsidR="00EA4A84" w:rsidRPr="003438BF" w:rsidRDefault="00857283" w:rsidP="00EA4A84">
      <w:pPr>
        <w:tabs>
          <w:tab w:val="center" w:pos="4393"/>
        </w:tabs>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bCs/>
          <w:sz w:val="24"/>
        </w:rPr>
        <w:t>3</w:t>
      </w:r>
      <w:r w:rsidR="00EA4A84" w:rsidRPr="003438BF">
        <w:rPr>
          <w:rFonts w:asciiTheme="minorEastAsia" w:eastAsiaTheme="minorEastAsia" w:hAnsiTheme="minorEastAsia" w:hint="eastAsia"/>
          <w:bCs/>
          <w:sz w:val="24"/>
        </w:rPr>
        <w:t>、股票组合的调整</w:t>
      </w:r>
    </w:p>
    <w:p w14:paraId="4E119391" w14:textId="56054ECA" w:rsidR="00EA4A84" w:rsidRPr="003438BF" w:rsidRDefault="00EA4A84" w:rsidP="00EA4A84">
      <w:pPr>
        <w:tabs>
          <w:tab w:val="center" w:pos="4393"/>
        </w:tabs>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hint="eastAsia"/>
          <w:bCs/>
          <w:sz w:val="24"/>
        </w:rPr>
        <w:t>（</w:t>
      </w:r>
      <w:r w:rsidR="00857283" w:rsidRPr="003438BF">
        <w:rPr>
          <w:rFonts w:asciiTheme="minorEastAsia" w:eastAsiaTheme="minorEastAsia" w:hAnsiTheme="minorEastAsia"/>
          <w:bCs/>
          <w:sz w:val="24"/>
        </w:rPr>
        <w:t>1</w:t>
      </w:r>
      <w:r w:rsidRPr="003438BF">
        <w:rPr>
          <w:rFonts w:asciiTheme="minorEastAsia" w:eastAsiaTheme="minorEastAsia" w:hAnsiTheme="minorEastAsia" w:hint="eastAsia"/>
          <w:bCs/>
          <w:sz w:val="24"/>
        </w:rPr>
        <w:t>）定期调整</w:t>
      </w:r>
    </w:p>
    <w:p w14:paraId="1356EF14" w14:textId="77777777" w:rsidR="00EA4A84" w:rsidRPr="003438BF" w:rsidRDefault="00EA4A84" w:rsidP="00EA4A84">
      <w:pPr>
        <w:tabs>
          <w:tab w:val="center" w:pos="4393"/>
        </w:tabs>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hint="eastAsia"/>
          <w:bCs/>
          <w:sz w:val="24"/>
        </w:rPr>
        <w:t>本基金所构建的股票组合将根据所跟踪的标的指数对其成份股的调整而进行相应的定期跟踪调整。</w:t>
      </w:r>
    </w:p>
    <w:p w14:paraId="091E9E19" w14:textId="24AC7B5E" w:rsidR="00EA4A84" w:rsidRPr="003438BF" w:rsidRDefault="00EA4A84" w:rsidP="00EA4A84">
      <w:pPr>
        <w:tabs>
          <w:tab w:val="center" w:pos="4393"/>
        </w:tabs>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hint="eastAsia"/>
          <w:bCs/>
          <w:sz w:val="24"/>
        </w:rPr>
        <w:t>（</w:t>
      </w:r>
      <w:r w:rsidR="00857283" w:rsidRPr="003438BF">
        <w:rPr>
          <w:rFonts w:asciiTheme="minorEastAsia" w:eastAsiaTheme="minorEastAsia" w:hAnsiTheme="minorEastAsia"/>
          <w:bCs/>
          <w:sz w:val="24"/>
        </w:rPr>
        <w:t>2</w:t>
      </w:r>
      <w:r w:rsidRPr="003438BF">
        <w:rPr>
          <w:rFonts w:asciiTheme="minorEastAsia" w:eastAsiaTheme="minorEastAsia" w:hAnsiTheme="minorEastAsia" w:hint="eastAsia"/>
          <w:bCs/>
          <w:sz w:val="24"/>
        </w:rPr>
        <w:t>）不定期调整</w:t>
      </w:r>
    </w:p>
    <w:p w14:paraId="76A3D1A9" w14:textId="77777777" w:rsidR="00EA4A84" w:rsidRPr="003438BF" w:rsidRDefault="00EA4A84" w:rsidP="00EA4A84">
      <w:pPr>
        <w:tabs>
          <w:tab w:val="center" w:pos="4393"/>
        </w:tabs>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hint="eastAsia"/>
          <w:bCs/>
          <w:sz w:val="24"/>
        </w:rPr>
        <w:t>基金经理将跟踪标的指数变动，基金组合跟踪偏离度情况，结合成份股基本面情况、流动性状况、基金申购和赎回的现金流量情况以及组合投资绩效评估的结果，对投资组合进行监控和调整，密切跟踪标的指数。</w:t>
      </w:r>
    </w:p>
    <w:p w14:paraId="05AF4386" w14:textId="77777777" w:rsidR="00EA4A84" w:rsidRPr="003438BF" w:rsidRDefault="00EA4A84" w:rsidP="00EA4A84">
      <w:pPr>
        <w:tabs>
          <w:tab w:val="center" w:pos="4393"/>
        </w:tabs>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hint="eastAsia"/>
          <w:bCs/>
          <w:sz w:val="24"/>
        </w:rPr>
        <w:t>本基金在综合考虑预期收益、风险、流动性等因素的基础上，根据审慎原则合理参与存托凭证的投资，以更好地跟踪标的指数，追求跟踪偏离度和跟踪误差的最小化。</w:t>
      </w:r>
    </w:p>
    <w:p w14:paraId="2FBE1A5D" w14:textId="77777777" w:rsidR="00EA4A84" w:rsidRPr="003438BF" w:rsidRDefault="00EA4A84" w:rsidP="00EA4A84">
      <w:pPr>
        <w:tabs>
          <w:tab w:val="center" w:pos="4393"/>
        </w:tabs>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hint="eastAsia"/>
          <w:bCs/>
          <w:sz w:val="24"/>
        </w:rPr>
        <w:t>（四）债券投资策略</w:t>
      </w:r>
    </w:p>
    <w:p w14:paraId="2B061B7B" w14:textId="77777777" w:rsidR="00EA4A84" w:rsidRPr="003438BF" w:rsidRDefault="00EA4A84" w:rsidP="00EA4A84">
      <w:pPr>
        <w:tabs>
          <w:tab w:val="center" w:pos="4393"/>
        </w:tabs>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hint="eastAsia"/>
          <w:bCs/>
          <w:sz w:val="24"/>
        </w:rPr>
        <w:t>本基金将通过自上而下的宏观分析，结合对金融货币政策和利率趋势的判断确定债券投资组合的债券类别配置，并根据对个券相对价值的比较，进行个券选择和配置。债券投资的主要目的是保证基金资产的流动性，有效利用基金资产。</w:t>
      </w:r>
    </w:p>
    <w:p w14:paraId="24591248" w14:textId="3FCB2619" w:rsidR="00EA4A84" w:rsidRPr="003438BF" w:rsidRDefault="00EA4A84" w:rsidP="00EA4A84">
      <w:pPr>
        <w:tabs>
          <w:tab w:val="center" w:pos="4393"/>
        </w:tabs>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hint="eastAsia"/>
          <w:bCs/>
          <w:sz w:val="24"/>
        </w:rPr>
        <w:lastRenderedPageBreak/>
        <w:t>（五）可转换公司债券（含分离交易可转换公司债券）及可交换债券的投资策略</w:t>
      </w:r>
    </w:p>
    <w:p w14:paraId="081F0A68" w14:textId="77777777" w:rsidR="00EA4A84" w:rsidRPr="003438BF" w:rsidRDefault="00EA4A84" w:rsidP="00EA4A84">
      <w:pPr>
        <w:tabs>
          <w:tab w:val="center" w:pos="4393"/>
        </w:tabs>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hint="eastAsia"/>
          <w:bCs/>
          <w:sz w:val="24"/>
        </w:rPr>
        <w:t>可转换公司债券等投资品种通过赋予债券投资者某种期权的形式，兼具债券属性与权益属性，风险收益特征更加独特，相应的投资策略灵活多样。本基金将充分利用该类投资品种的特性，研究挖掘其投资价值，债券价值方面综合考虑票面利率、久期、信用资质、发行主体财务状况、行业特征及公司治理等因素；权益价值方面通过对可转换公司债券所对应个股的价值分析，包括估值水平、盈利能力及预期等。此外，还需结合对含权条款的研究，以衍生品量化视角综合判断内含的期权价值。</w:t>
      </w:r>
    </w:p>
    <w:p w14:paraId="29DEFEBD" w14:textId="77777777" w:rsidR="00EA4A84" w:rsidRPr="003438BF" w:rsidRDefault="00EA4A84" w:rsidP="00EA4A84">
      <w:pPr>
        <w:tabs>
          <w:tab w:val="center" w:pos="4393"/>
        </w:tabs>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hint="eastAsia"/>
          <w:bCs/>
          <w:sz w:val="24"/>
        </w:rPr>
        <w:t>可交换债券与可转换公司债券的区别在于换股期间用于交换的股票并非自身新发的股票，而是发行人持有的其他上市公司的股票。可交换债券同样具有债券属性和权益属性，其中债券属性与可转换公司债券相同，即选择持有可交换债券至到期以获取票面价值和票面利息；而对于权益属性的分析则需关注目标公司的股票价值以及发行人作为股东的换股意愿等。本基金将通过对目标公司股票的投资价值、可交换债券的债券价值以及条款带来的期权价值等综合分析，进行投资决策。</w:t>
      </w:r>
    </w:p>
    <w:p w14:paraId="6ADF7305" w14:textId="77777777" w:rsidR="00EA4A84" w:rsidRPr="003438BF" w:rsidRDefault="00EA4A84" w:rsidP="00EA4A84">
      <w:pPr>
        <w:tabs>
          <w:tab w:val="center" w:pos="4393"/>
        </w:tabs>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hint="eastAsia"/>
          <w:bCs/>
          <w:sz w:val="24"/>
        </w:rPr>
        <w:t>（六）金融衍生品投资策略</w:t>
      </w:r>
    </w:p>
    <w:p w14:paraId="194C8945" w14:textId="6851C3F9" w:rsidR="00EA4A84" w:rsidRPr="003438BF" w:rsidRDefault="00EA4A84" w:rsidP="00EA4A84">
      <w:pPr>
        <w:tabs>
          <w:tab w:val="center" w:pos="4393"/>
        </w:tabs>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hint="eastAsia"/>
          <w:bCs/>
          <w:sz w:val="24"/>
        </w:rPr>
        <w:t>为提高投资效率，使得基金的投资组合更紧密地跟踪标的指数，更好地实现本基金的投资目标，</w:t>
      </w:r>
      <w:r w:rsidR="001836CE">
        <w:rPr>
          <w:rFonts w:ascii="宋体" w:hAnsi="宋体" w:hint="eastAsia"/>
          <w:bCs/>
          <w:sz w:val="24"/>
        </w:rPr>
        <w:t>在法律法规许可时，</w:t>
      </w:r>
      <w:r w:rsidRPr="003438BF">
        <w:rPr>
          <w:rFonts w:asciiTheme="minorEastAsia" w:eastAsiaTheme="minorEastAsia" w:hAnsiTheme="minorEastAsia" w:hint="eastAsia"/>
          <w:bCs/>
          <w:sz w:val="24"/>
        </w:rPr>
        <w:t>本基金可投资于经中国证监会允许的股票期权、股指期货、国债期货。</w:t>
      </w:r>
    </w:p>
    <w:p w14:paraId="283AD8AF" w14:textId="77777777" w:rsidR="00EA4A84" w:rsidRPr="003438BF" w:rsidRDefault="00EA4A84" w:rsidP="00EA4A84">
      <w:pPr>
        <w:tabs>
          <w:tab w:val="center" w:pos="4393"/>
        </w:tabs>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hint="eastAsia"/>
          <w:bCs/>
          <w:sz w:val="24"/>
        </w:rPr>
        <w:t>1、股指期货投资策略</w:t>
      </w:r>
    </w:p>
    <w:p w14:paraId="74978963" w14:textId="77777777" w:rsidR="00EA4A84" w:rsidRPr="003438BF" w:rsidRDefault="00EA4A84" w:rsidP="00EA4A84">
      <w:pPr>
        <w:tabs>
          <w:tab w:val="center" w:pos="4393"/>
        </w:tabs>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hint="eastAsia"/>
          <w:bCs/>
          <w:sz w:val="24"/>
        </w:rPr>
        <w:t>本基金投资股指期货将根据风险管理的原则，以套期保值为目的，主要选择流动性好、交易活跃的股指期货合约。本基金力争利用股指期货的杠杆作用，降低股票仓位频繁调整的交易成本和跟踪误差，达到有效跟踪标的指数的目的。</w:t>
      </w:r>
    </w:p>
    <w:p w14:paraId="747E96AB" w14:textId="77777777" w:rsidR="00EA4A84" w:rsidRPr="003438BF" w:rsidRDefault="00EA4A84" w:rsidP="00EA4A84">
      <w:pPr>
        <w:tabs>
          <w:tab w:val="center" w:pos="4393"/>
        </w:tabs>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hint="eastAsia"/>
          <w:bCs/>
          <w:sz w:val="24"/>
        </w:rPr>
        <w:t>2、股票期权投资策略</w:t>
      </w:r>
    </w:p>
    <w:p w14:paraId="37671A21" w14:textId="77777777" w:rsidR="00EA4A84" w:rsidRPr="003438BF" w:rsidRDefault="00EA4A84" w:rsidP="00EA4A84">
      <w:pPr>
        <w:tabs>
          <w:tab w:val="center" w:pos="4393"/>
        </w:tabs>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hint="eastAsia"/>
          <w:bCs/>
          <w:sz w:val="24"/>
        </w:rPr>
        <w:t>本基金将按照风险管理的原则，以套期保值为主要目的参与股票期权交易。本基金将结合投资目标、比例限制、风险收益特征以及法律法规的相关限定和要求，确定参与股票期权交易的投资时机和投资比例。</w:t>
      </w:r>
    </w:p>
    <w:p w14:paraId="09622F25" w14:textId="77777777" w:rsidR="00EA4A84" w:rsidRPr="003438BF" w:rsidRDefault="00EA4A84" w:rsidP="00EA4A84">
      <w:pPr>
        <w:tabs>
          <w:tab w:val="center" w:pos="4393"/>
        </w:tabs>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hint="eastAsia"/>
          <w:bCs/>
          <w:sz w:val="24"/>
        </w:rPr>
        <w:t>3、国债期货投资策略</w:t>
      </w:r>
    </w:p>
    <w:p w14:paraId="16B7590A" w14:textId="77777777" w:rsidR="00EA4A84" w:rsidRPr="003438BF" w:rsidRDefault="00EA4A84" w:rsidP="00EA4A84">
      <w:pPr>
        <w:tabs>
          <w:tab w:val="center" w:pos="4393"/>
        </w:tabs>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hint="eastAsia"/>
          <w:bCs/>
          <w:sz w:val="24"/>
        </w:rPr>
        <w:t>本基金投资国债期货将根据风险管理的原则，以套期保值为目的，主要选择</w:t>
      </w:r>
      <w:r w:rsidRPr="003438BF">
        <w:rPr>
          <w:rFonts w:asciiTheme="minorEastAsia" w:eastAsiaTheme="minorEastAsia" w:hAnsiTheme="minorEastAsia" w:hint="eastAsia"/>
          <w:bCs/>
          <w:sz w:val="24"/>
        </w:rPr>
        <w:lastRenderedPageBreak/>
        <w:t>流动性好、交易活跃的国债期货合约。通过对债券市场和期货市场运行趋势的研究，结合国债期货的定价模型寻求其合理的估值水平，与现货资产进行匹配，通过多头或空头套期保值等策略进行套期保值操作。基金管理人将充分考虑国债期货的收益性、流动性及风险性特征，运用国债期货对冲系统性风险以及特殊情况下的流动性风险，如大额申购赎回等；利用金融衍生品的杠杆作用，以达到降低投资组合的整体风险的目的。</w:t>
      </w:r>
    </w:p>
    <w:p w14:paraId="12DF89C3" w14:textId="77777777" w:rsidR="00EA4A84" w:rsidRPr="003438BF" w:rsidRDefault="00EA4A84" w:rsidP="00EA4A84">
      <w:pPr>
        <w:tabs>
          <w:tab w:val="center" w:pos="4393"/>
        </w:tabs>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hint="eastAsia"/>
          <w:bCs/>
          <w:sz w:val="24"/>
        </w:rPr>
        <w:t>（七）资产支持证券投资策略</w:t>
      </w:r>
    </w:p>
    <w:p w14:paraId="24B4A900" w14:textId="77777777" w:rsidR="00EA4A84" w:rsidRPr="003438BF" w:rsidRDefault="00EA4A84" w:rsidP="00EA4A84">
      <w:pPr>
        <w:tabs>
          <w:tab w:val="center" w:pos="4393"/>
        </w:tabs>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hint="eastAsia"/>
          <w:bCs/>
          <w:sz w:val="24"/>
        </w:rPr>
        <w:t>本基金将深入分析资产支持证券的市场利率、发行条款、支持资产的构成及质量、提前偿还率、风险补偿收益和市场流动性等基本面因素，估计资产违约风险和提前偿付风险，并根据资产证券化的收益结构安排，模拟资产支持证券的本金偿还和利息收益的现金流过程，辅助采用蒙特卡洛方法等数量化定价模型，评估其内在价值。</w:t>
      </w:r>
    </w:p>
    <w:p w14:paraId="41C43074" w14:textId="77777777" w:rsidR="00EA4A84" w:rsidRPr="003438BF" w:rsidRDefault="00EA4A84" w:rsidP="00EA4A84">
      <w:pPr>
        <w:tabs>
          <w:tab w:val="center" w:pos="4393"/>
        </w:tabs>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hint="eastAsia"/>
          <w:bCs/>
          <w:sz w:val="24"/>
        </w:rPr>
        <w:t>（八）参与融资及转融通证券出借业务策略</w:t>
      </w:r>
    </w:p>
    <w:p w14:paraId="1E83A89C" w14:textId="77777777" w:rsidR="00EA4A84" w:rsidRPr="003438BF" w:rsidRDefault="00EA4A84" w:rsidP="00EA4A84">
      <w:pPr>
        <w:tabs>
          <w:tab w:val="center" w:pos="4393"/>
        </w:tabs>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hint="eastAsia"/>
          <w:bCs/>
          <w:sz w:val="24"/>
        </w:rPr>
        <w:t>为更好的实现投资目标，在加强风险防范并遵守审慎性原则的前提下，本基金可根据投资管理的需要参与融资及转融通证券出借业务。本基金将在分析市场情况、投资者类型与结构、基金历史申赎情况及出借证券流动性情况等因素的基础上，合理确定出借证券的范围、证券出借平均剩余期限和出借证券在基金资产中的占比。</w:t>
      </w:r>
    </w:p>
    <w:p w14:paraId="3DFEE466" w14:textId="0B3A6E4C" w:rsidR="00881E8A" w:rsidRPr="003438BF" w:rsidRDefault="00EA4A84" w:rsidP="00881E8A">
      <w:pPr>
        <w:tabs>
          <w:tab w:val="center" w:pos="4393"/>
        </w:tabs>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hint="eastAsia"/>
          <w:bCs/>
          <w:sz w:val="24"/>
        </w:rPr>
        <w:t>未来，随着市场的发展和基金管理运作的需要，基金管理人可以在不改变投资目标的前提下，遵循法律法规的规定，履行适当程序后，相应调整或更新投资策略，并在招募说明书更新中公告。</w:t>
      </w:r>
    </w:p>
    <w:p w14:paraId="768CED86" w14:textId="77777777" w:rsidR="00881E8A" w:rsidRPr="003438BF" w:rsidRDefault="00881E8A" w:rsidP="00881E8A">
      <w:pPr>
        <w:tabs>
          <w:tab w:val="center" w:pos="4393"/>
        </w:tabs>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bCs/>
          <w:sz w:val="24"/>
        </w:rPr>
        <w:t>四、投资限制</w:t>
      </w:r>
    </w:p>
    <w:p w14:paraId="17813108" w14:textId="77777777" w:rsidR="00881E8A" w:rsidRPr="003438BF" w:rsidRDefault="00881E8A" w:rsidP="00881E8A">
      <w:pPr>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hint="eastAsia"/>
          <w:sz w:val="24"/>
        </w:rPr>
        <w:t>（一）</w:t>
      </w:r>
      <w:r w:rsidRPr="003438BF">
        <w:rPr>
          <w:rFonts w:asciiTheme="minorEastAsia" w:eastAsiaTheme="minorEastAsia" w:hAnsiTheme="minorEastAsia"/>
          <w:bCs/>
          <w:sz w:val="24"/>
        </w:rPr>
        <w:t>组合限制</w:t>
      </w:r>
    </w:p>
    <w:p w14:paraId="5242C36A" w14:textId="77777777" w:rsidR="00881E8A" w:rsidRPr="003438BF" w:rsidRDefault="00881E8A" w:rsidP="00881E8A">
      <w:pPr>
        <w:adjustRightInd w:val="0"/>
        <w:snapToGrid w:val="0"/>
        <w:spacing w:line="360" w:lineRule="auto"/>
        <w:ind w:firstLineChars="200" w:firstLine="480"/>
        <w:rPr>
          <w:rFonts w:asciiTheme="minorEastAsia" w:eastAsiaTheme="minorEastAsia" w:hAnsiTheme="minorEastAsia"/>
          <w:sz w:val="24"/>
        </w:rPr>
      </w:pPr>
      <w:r w:rsidRPr="003438BF">
        <w:rPr>
          <w:rFonts w:asciiTheme="minorEastAsia" w:eastAsiaTheme="minorEastAsia" w:hAnsiTheme="minorEastAsia" w:hint="eastAsia"/>
          <w:sz w:val="24"/>
        </w:rPr>
        <w:t>基金的投资组合应遵循以下限制：</w:t>
      </w:r>
    </w:p>
    <w:p w14:paraId="11481FF1" w14:textId="77777777" w:rsidR="00EA4A84" w:rsidRPr="003438BF" w:rsidRDefault="00EA4A84" w:rsidP="00EA4A84">
      <w:pPr>
        <w:adjustRightInd w:val="0"/>
        <w:snapToGrid w:val="0"/>
        <w:spacing w:line="360" w:lineRule="auto"/>
        <w:ind w:firstLineChars="200" w:firstLine="480"/>
        <w:rPr>
          <w:rFonts w:asciiTheme="minorEastAsia" w:eastAsiaTheme="minorEastAsia" w:hAnsiTheme="minorEastAsia"/>
          <w:sz w:val="24"/>
        </w:rPr>
      </w:pPr>
      <w:r w:rsidRPr="003438BF">
        <w:rPr>
          <w:rFonts w:asciiTheme="minorEastAsia" w:eastAsiaTheme="minorEastAsia" w:hAnsiTheme="minorEastAsia" w:hint="eastAsia"/>
          <w:sz w:val="24"/>
        </w:rPr>
        <w:t>1、本基金持有的目标ETF的比例不得低于基金资产净值的90%；</w:t>
      </w:r>
    </w:p>
    <w:p w14:paraId="16FE2D78" w14:textId="77777777" w:rsidR="00EA4A84" w:rsidRPr="003438BF" w:rsidRDefault="00EA4A84" w:rsidP="00EA4A84">
      <w:pPr>
        <w:adjustRightInd w:val="0"/>
        <w:snapToGrid w:val="0"/>
        <w:spacing w:line="360" w:lineRule="auto"/>
        <w:ind w:firstLineChars="200" w:firstLine="480"/>
        <w:rPr>
          <w:rFonts w:asciiTheme="minorEastAsia" w:eastAsiaTheme="minorEastAsia" w:hAnsiTheme="minorEastAsia"/>
          <w:sz w:val="24"/>
        </w:rPr>
      </w:pPr>
      <w:r w:rsidRPr="003438BF">
        <w:rPr>
          <w:rFonts w:asciiTheme="minorEastAsia" w:eastAsiaTheme="minorEastAsia" w:hAnsiTheme="minorEastAsia" w:hint="eastAsia"/>
          <w:sz w:val="24"/>
        </w:rPr>
        <w:t>2、每个交易日日终在扣除股指期货合约、股票期权合约和国债期货合约需缴纳的交易保证金后，保持不低于基金资产净值5%的现金或者到期日在一年以内的政府债券，其中现金不包括结算备付金、存出保证金和应收申购款等；</w:t>
      </w:r>
    </w:p>
    <w:p w14:paraId="3023064F" w14:textId="77777777" w:rsidR="00EA4A84" w:rsidRPr="003438BF" w:rsidRDefault="00EA4A84" w:rsidP="00EA4A84">
      <w:pPr>
        <w:adjustRightInd w:val="0"/>
        <w:snapToGrid w:val="0"/>
        <w:spacing w:line="360" w:lineRule="auto"/>
        <w:ind w:firstLineChars="200" w:firstLine="480"/>
        <w:rPr>
          <w:rFonts w:asciiTheme="minorEastAsia" w:eastAsiaTheme="minorEastAsia" w:hAnsiTheme="minorEastAsia"/>
          <w:sz w:val="24"/>
        </w:rPr>
      </w:pPr>
      <w:r w:rsidRPr="003438BF">
        <w:rPr>
          <w:rFonts w:asciiTheme="minorEastAsia" w:eastAsiaTheme="minorEastAsia" w:hAnsiTheme="minorEastAsia" w:hint="eastAsia"/>
          <w:sz w:val="24"/>
        </w:rPr>
        <w:t>3、本基金投资于股指期货，需遵循以下投资比例限制：</w:t>
      </w:r>
    </w:p>
    <w:p w14:paraId="4AB5DF40" w14:textId="6F81741B" w:rsidR="00EA4A84" w:rsidRPr="003438BF" w:rsidRDefault="00EA4A84" w:rsidP="00EA4A84">
      <w:pPr>
        <w:adjustRightInd w:val="0"/>
        <w:snapToGrid w:val="0"/>
        <w:spacing w:line="360" w:lineRule="auto"/>
        <w:ind w:firstLineChars="200" w:firstLine="480"/>
        <w:rPr>
          <w:rFonts w:asciiTheme="minorEastAsia" w:eastAsiaTheme="minorEastAsia" w:hAnsiTheme="minorEastAsia"/>
          <w:sz w:val="24"/>
        </w:rPr>
      </w:pPr>
      <w:r w:rsidRPr="003438BF">
        <w:rPr>
          <w:rFonts w:asciiTheme="minorEastAsia" w:eastAsiaTheme="minorEastAsia" w:hAnsiTheme="minorEastAsia" w:hint="eastAsia"/>
          <w:sz w:val="24"/>
        </w:rPr>
        <w:t>在任何交易日日终，持有的买入股指期货合约价值，不得超过基金资产净值</w:t>
      </w:r>
      <w:r w:rsidRPr="003438BF">
        <w:rPr>
          <w:rFonts w:asciiTheme="minorEastAsia" w:eastAsiaTheme="minorEastAsia" w:hAnsiTheme="minorEastAsia" w:hint="eastAsia"/>
          <w:sz w:val="24"/>
        </w:rPr>
        <w:lastRenderedPageBreak/>
        <w:t>的10%；基金在任何交易日日终，持有的卖出期货合约价值不得超过基金持有的股票和目标ETF总市值的20%；本基金所持有的股票市值和买入、卖出股指期货合约价值，合计（轧差计算）应当符合基金合同关于股票投资比例的有关约定；在任何交易日内交易（不包括平仓）的股指期货合约的成交金额不得超过上一交易日基金资产净值的20%；</w:t>
      </w:r>
    </w:p>
    <w:p w14:paraId="3E427494" w14:textId="77777777" w:rsidR="00EA4A84" w:rsidRPr="003438BF" w:rsidRDefault="00EA4A84" w:rsidP="00EA4A84">
      <w:pPr>
        <w:adjustRightInd w:val="0"/>
        <w:snapToGrid w:val="0"/>
        <w:spacing w:line="360" w:lineRule="auto"/>
        <w:ind w:firstLineChars="200" w:firstLine="480"/>
        <w:rPr>
          <w:rFonts w:asciiTheme="minorEastAsia" w:eastAsiaTheme="minorEastAsia" w:hAnsiTheme="minorEastAsia"/>
          <w:sz w:val="24"/>
        </w:rPr>
      </w:pPr>
      <w:r w:rsidRPr="003438BF">
        <w:rPr>
          <w:rFonts w:asciiTheme="minorEastAsia" w:eastAsiaTheme="minorEastAsia" w:hAnsiTheme="minorEastAsia" w:hint="eastAsia"/>
          <w:sz w:val="24"/>
        </w:rPr>
        <w:t>4、本基金参与股票期权交易，需遵守下列投资比例限制：</w:t>
      </w:r>
    </w:p>
    <w:p w14:paraId="167F1727" w14:textId="21E76514" w:rsidR="00EA4A84" w:rsidRPr="003438BF" w:rsidRDefault="00EA4A84" w:rsidP="00EA4A84">
      <w:pPr>
        <w:adjustRightInd w:val="0"/>
        <w:snapToGrid w:val="0"/>
        <w:spacing w:line="360" w:lineRule="auto"/>
        <w:ind w:firstLineChars="200" w:firstLine="480"/>
        <w:rPr>
          <w:rFonts w:asciiTheme="minorEastAsia" w:eastAsiaTheme="minorEastAsia" w:hAnsiTheme="minorEastAsia"/>
          <w:sz w:val="24"/>
        </w:rPr>
      </w:pPr>
      <w:r w:rsidRPr="003438BF">
        <w:rPr>
          <w:rFonts w:asciiTheme="minorEastAsia" w:eastAsiaTheme="minorEastAsia" w:hAnsiTheme="minorEastAsia" w:hint="eastAsia"/>
          <w:sz w:val="24"/>
        </w:rPr>
        <w:t>因未平仓的期权合约支付和收取的权利金总额不得超过基金资产净值的10%；开仓卖出认购期权的，应持有足额标的证券；开仓卖出认沽期权的，应持有合约行权所需的全额现金或交易所规则认可的可冲抵期权保证金的现金等价物；未平仓的期权合约面值不得超过基金资产净值的20%。其中，合约面值按照行权价乘以合约乘数计算；</w:t>
      </w:r>
    </w:p>
    <w:p w14:paraId="24A7EE4A" w14:textId="77777777" w:rsidR="00EA4A84" w:rsidRPr="003438BF" w:rsidRDefault="00EA4A84" w:rsidP="00EA4A84">
      <w:pPr>
        <w:adjustRightInd w:val="0"/>
        <w:snapToGrid w:val="0"/>
        <w:spacing w:line="360" w:lineRule="auto"/>
        <w:ind w:firstLineChars="200" w:firstLine="480"/>
        <w:rPr>
          <w:rFonts w:asciiTheme="minorEastAsia" w:eastAsiaTheme="minorEastAsia" w:hAnsiTheme="minorEastAsia"/>
          <w:sz w:val="24"/>
        </w:rPr>
      </w:pPr>
      <w:r w:rsidRPr="003438BF">
        <w:rPr>
          <w:rFonts w:asciiTheme="minorEastAsia" w:eastAsiaTheme="minorEastAsia" w:hAnsiTheme="minorEastAsia" w:hint="eastAsia"/>
          <w:sz w:val="24"/>
        </w:rPr>
        <w:t>5、本基金参与国债期货交易的，需遵守下列投资比例限制：</w:t>
      </w:r>
    </w:p>
    <w:p w14:paraId="596D4C6C" w14:textId="77777777" w:rsidR="00EA4A84" w:rsidRPr="003438BF" w:rsidRDefault="00EA4A84" w:rsidP="00EA4A84">
      <w:pPr>
        <w:adjustRightInd w:val="0"/>
        <w:snapToGrid w:val="0"/>
        <w:spacing w:line="360" w:lineRule="auto"/>
        <w:ind w:firstLineChars="200" w:firstLine="480"/>
        <w:rPr>
          <w:rFonts w:asciiTheme="minorEastAsia" w:eastAsiaTheme="minorEastAsia" w:hAnsiTheme="minorEastAsia"/>
          <w:sz w:val="24"/>
        </w:rPr>
      </w:pPr>
      <w:r w:rsidRPr="003438BF">
        <w:rPr>
          <w:rFonts w:asciiTheme="minorEastAsia" w:eastAsiaTheme="minorEastAsia" w:hAnsiTheme="minorEastAsia" w:hint="eastAsia"/>
          <w:sz w:val="24"/>
        </w:rPr>
        <w:t>本基金在任何交易日日终，持有的买入国债期货合约价值，不得超过基金资产净值的15%；本基金在任何交易日日终，持有的卖出国债期货合约价值不得超过基金持有的债券总市值的30%；本基金在任何交易日内交易（不包括平仓）的国债期货合约的成交金额不得超过上一交易日基金资产净值的30%；本基金所持有的债券（不含到期日在一年以内的政府债券）市值和买入、卖出国债期货合约价值，合计（轧差计算）应当符合基金合同关于债券投资比例的有关约定；</w:t>
      </w:r>
    </w:p>
    <w:p w14:paraId="5119A646" w14:textId="2984D0C7" w:rsidR="00EA4A84" w:rsidRPr="003438BF" w:rsidRDefault="00EA4A84" w:rsidP="00EA4A84">
      <w:pPr>
        <w:adjustRightInd w:val="0"/>
        <w:snapToGrid w:val="0"/>
        <w:spacing w:line="360" w:lineRule="auto"/>
        <w:ind w:firstLineChars="200" w:firstLine="480"/>
        <w:rPr>
          <w:rFonts w:asciiTheme="minorEastAsia" w:eastAsiaTheme="minorEastAsia" w:hAnsiTheme="minorEastAsia"/>
          <w:sz w:val="24"/>
        </w:rPr>
      </w:pPr>
      <w:r w:rsidRPr="003438BF">
        <w:rPr>
          <w:rFonts w:asciiTheme="minorEastAsia" w:eastAsiaTheme="minorEastAsia" w:hAnsiTheme="minorEastAsia" w:hint="eastAsia"/>
          <w:sz w:val="24"/>
        </w:rPr>
        <w:t>6、本基金参与股指</w:t>
      </w:r>
      <w:r w:rsidR="00E94C5B">
        <w:rPr>
          <w:rFonts w:asciiTheme="minorEastAsia" w:eastAsiaTheme="minorEastAsia" w:hAnsiTheme="minorEastAsia" w:hint="eastAsia"/>
          <w:sz w:val="24"/>
        </w:rPr>
        <w:t>期货或国债期货交易后，在任何交易日日终，持有的买入国债期货和股指</w:t>
      </w:r>
      <w:r w:rsidRPr="003438BF">
        <w:rPr>
          <w:rFonts w:asciiTheme="minorEastAsia" w:eastAsiaTheme="minorEastAsia" w:hAnsiTheme="minorEastAsia" w:hint="eastAsia"/>
          <w:sz w:val="24"/>
        </w:rPr>
        <w:t>期货合约价值与有价证券市值之和，不得超过基金资产净值的100%，其中，有价证券指股票、目标ETF、债券（不含到期日在一年以内的政府债券）、资产支持证券、买入返售金融资产（不含质押式回购）等；</w:t>
      </w:r>
    </w:p>
    <w:p w14:paraId="600C9981" w14:textId="77777777" w:rsidR="00EA4A84" w:rsidRPr="003438BF" w:rsidRDefault="00EA4A84" w:rsidP="00EA4A84">
      <w:pPr>
        <w:adjustRightInd w:val="0"/>
        <w:snapToGrid w:val="0"/>
        <w:spacing w:line="360" w:lineRule="auto"/>
        <w:ind w:firstLineChars="200" w:firstLine="480"/>
        <w:rPr>
          <w:rFonts w:asciiTheme="minorEastAsia" w:eastAsiaTheme="minorEastAsia" w:hAnsiTheme="minorEastAsia"/>
          <w:sz w:val="24"/>
        </w:rPr>
      </w:pPr>
      <w:r w:rsidRPr="003438BF">
        <w:rPr>
          <w:rFonts w:asciiTheme="minorEastAsia" w:eastAsiaTheme="minorEastAsia" w:hAnsiTheme="minorEastAsia" w:hint="eastAsia"/>
          <w:sz w:val="24"/>
        </w:rPr>
        <w:t>7、基金财产参与股票发行申购，本基金所申报的金额不超过本基金的总资产，本基金所申报的股票数量不超过拟发行股票公司本次发行股票的总量；</w:t>
      </w:r>
    </w:p>
    <w:p w14:paraId="5E69CE0A" w14:textId="77777777" w:rsidR="00EA4A84" w:rsidRPr="003438BF" w:rsidRDefault="00EA4A84" w:rsidP="00EA4A84">
      <w:pPr>
        <w:adjustRightInd w:val="0"/>
        <w:snapToGrid w:val="0"/>
        <w:spacing w:line="360" w:lineRule="auto"/>
        <w:ind w:firstLineChars="200" w:firstLine="480"/>
        <w:rPr>
          <w:rFonts w:asciiTheme="minorEastAsia" w:eastAsiaTheme="minorEastAsia" w:hAnsiTheme="minorEastAsia"/>
          <w:sz w:val="24"/>
        </w:rPr>
      </w:pPr>
      <w:r w:rsidRPr="003438BF">
        <w:rPr>
          <w:rFonts w:asciiTheme="minorEastAsia" w:eastAsiaTheme="minorEastAsia" w:hAnsiTheme="minorEastAsia" w:hint="eastAsia"/>
          <w:sz w:val="24"/>
        </w:rPr>
        <w:t>8、本基金资产总值不超过基金资产净值的140%；</w:t>
      </w:r>
    </w:p>
    <w:p w14:paraId="1C125038" w14:textId="77777777" w:rsidR="00EA4A84" w:rsidRPr="003438BF" w:rsidRDefault="00EA4A84" w:rsidP="00EA4A84">
      <w:pPr>
        <w:adjustRightInd w:val="0"/>
        <w:snapToGrid w:val="0"/>
        <w:spacing w:line="360" w:lineRule="auto"/>
        <w:ind w:firstLineChars="200" w:firstLine="480"/>
        <w:rPr>
          <w:rFonts w:asciiTheme="minorEastAsia" w:eastAsiaTheme="minorEastAsia" w:hAnsiTheme="minorEastAsia"/>
          <w:sz w:val="24"/>
        </w:rPr>
      </w:pPr>
      <w:r w:rsidRPr="003438BF">
        <w:rPr>
          <w:rFonts w:asciiTheme="minorEastAsia" w:eastAsiaTheme="minorEastAsia" w:hAnsiTheme="minorEastAsia" w:hint="eastAsia"/>
          <w:sz w:val="24"/>
        </w:rPr>
        <w:t>9、本基金主动投资于流动性受限资产的市值合计不得超过基金资产净值的15%；因证券市场波动、上市公司股票停牌、基金规模变动等基金管理人之外的因素致使基金不符合该比例限制的，基金管理人不得主动新增流动性受限资产的投资；</w:t>
      </w:r>
    </w:p>
    <w:p w14:paraId="059C2E1E" w14:textId="77777777" w:rsidR="00EA4A84" w:rsidRPr="003438BF" w:rsidRDefault="00EA4A84" w:rsidP="00EA4A84">
      <w:pPr>
        <w:adjustRightInd w:val="0"/>
        <w:snapToGrid w:val="0"/>
        <w:spacing w:line="360" w:lineRule="auto"/>
        <w:ind w:firstLineChars="200" w:firstLine="480"/>
        <w:rPr>
          <w:rFonts w:asciiTheme="minorEastAsia" w:eastAsiaTheme="minorEastAsia" w:hAnsiTheme="minorEastAsia"/>
          <w:sz w:val="24"/>
        </w:rPr>
      </w:pPr>
      <w:r w:rsidRPr="003438BF">
        <w:rPr>
          <w:rFonts w:asciiTheme="minorEastAsia" w:eastAsiaTheme="minorEastAsia" w:hAnsiTheme="minorEastAsia" w:hint="eastAsia"/>
          <w:sz w:val="24"/>
        </w:rPr>
        <w:t>10、本基金与私募类证券资管产品及中国证监会认定的其他主体为交易对手</w:t>
      </w:r>
      <w:r w:rsidRPr="003438BF">
        <w:rPr>
          <w:rFonts w:asciiTheme="minorEastAsia" w:eastAsiaTheme="minorEastAsia" w:hAnsiTheme="minorEastAsia" w:hint="eastAsia"/>
          <w:sz w:val="24"/>
        </w:rPr>
        <w:lastRenderedPageBreak/>
        <w:t>开展逆回购交易的，可接受质押品的资质要求应当与基金合同约定的投资范围保持一致；</w:t>
      </w:r>
    </w:p>
    <w:p w14:paraId="53A1EA19" w14:textId="77777777" w:rsidR="00EA4A84" w:rsidRPr="003438BF" w:rsidRDefault="00EA4A84" w:rsidP="00EA4A84">
      <w:pPr>
        <w:adjustRightInd w:val="0"/>
        <w:snapToGrid w:val="0"/>
        <w:spacing w:line="360" w:lineRule="auto"/>
        <w:ind w:firstLineChars="200" w:firstLine="480"/>
        <w:rPr>
          <w:rFonts w:asciiTheme="minorEastAsia" w:eastAsiaTheme="minorEastAsia" w:hAnsiTheme="minorEastAsia"/>
          <w:sz w:val="24"/>
        </w:rPr>
      </w:pPr>
      <w:r w:rsidRPr="003438BF">
        <w:rPr>
          <w:rFonts w:asciiTheme="minorEastAsia" w:eastAsiaTheme="minorEastAsia" w:hAnsiTheme="minorEastAsia" w:hint="eastAsia"/>
          <w:sz w:val="24"/>
        </w:rPr>
        <w:t>11、本基金参与融资的，每个交易日日终，本基金持有的融资买入股票与其他有价证券市值之和，不得超过基金资产净值的95%；</w:t>
      </w:r>
    </w:p>
    <w:p w14:paraId="059E9994" w14:textId="77777777" w:rsidR="00EA4A84" w:rsidRPr="003438BF" w:rsidRDefault="00EA4A84" w:rsidP="00EA4A84">
      <w:pPr>
        <w:adjustRightInd w:val="0"/>
        <w:snapToGrid w:val="0"/>
        <w:spacing w:line="360" w:lineRule="auto"/>
        <w:ind w:firstLineChars="200" w:firstLine="480"/>
        <w:rPr>
          <w:rFonts w:asciiTheme="minorEastAsia" w:eastAsiaTheme="minorEastAsia" w:hAnsiTheme="minorEastAsia"/>
          <w:sz w:val="24"/>
        </w:rPr>
      </w:pPr>
      <w:r w:rsidRPr="003438BF">
        <w:rPr>
          <w:rFonts w:asciiTheme="minorEastAsia" w:eastAsiaTheme="minorEastAsia" w:hAnsiTheme="minorEastAsia" w:hint="eastAsia"/>
          <w:sz w:val="24"/>
        </w:rPr>
        <w:t>12、本基金参与转融通证券出借业务的，应当符合下列要求：</w:t>
      </w:r>
    </w:p>
    <w:p w14:paraId="307663BC" w14:textId="77777777" w:rsidR="00EA4A84" w:rsidRPr="003438BF" w:rsidRDefault="00EA4A84" w:rsidP="00EA4A84">
      <w:pPr>
        <w:adjustRightInd w:val="0"/>
        <w:snapToGrid w:val="0"/>
        <w:spacing w:line="360" w:lineRule="auto"/>
        <w:ind w:firstLineChars="200" w:firstLine="480"/>
        <w:rPr>
          <w:rFonts w:asciiTheme="minorEastAsia" w:eastAsiaTheme="minorEastAsia" w:hAnsiTheme="minorEastAsia"/>
          <w:sz w:val="24"/>
        </w:rPr>
      </w:pPr>
      <w:r w:rsidRPr="003438BF">
        <w:rPr>
          <w:rFonts w:asciiTheme="minorEastAsia" w:eastAsiaTheme="minorEastAsia" w:hAnsiTheme="minorEastAsia" w:hint="eastAsia"/>
          <w:sz w:val="24"/>
        </w:rPr>
        <w:t>（1）参与转融通证券出借业务的资产，不得超过基金资产净值的30%，其中，出借期限在10个交易日以上的出借证券，纳入《流动性风险管理规定》所述流动性受限证券的范围；</w:t>
      </w:r>
    </w:p>
    <w:p w14:paraId="48DCFA23" w14:textId="77777777" w:rsidR="00EA4A84" w:rsidRPr="003438BF" w:rsidRDefault="00EA4A84" w:rsidP="00EA4A84">
      <w:pPr>
        <w:adjustRightInd w:val="0"/>
        <w:snapToGrid w:val="0"/>
        <w:spacing w:line="360" w:lineRule="auto"/>
        <w:ind w:firstLineChars="200" w:firstLine="480"/>
        <w:rPr>
          <w:rFonts w:asciiTheme="minorEastAsia" w:eastAsiaTheme="minorEastAsia" w:hAnsiTheme="minorEastAsia"/>
          <w:sz w:val="24"/>
        </w:rPr>
      </w:pPr>
      <w:r w:rsidRPr="003438BF">
        <w:rPr>
          <w:rFonts w:asciiTheme="minorEastAsia" w:eastAsiaTheme="minorEastAsia" w:hAnsiTheme="minorEastAsia" w:hint="eastAsia"/>
          <w:sz w:val="24"/>
        </w:rPr>
        <w:t>（2）参与转融通证券出借业务的单只证券不得超过基金持有该证券总量的50%；</w:t>
      </w:r>
    </w:p>
    <w:p w14:paraId="6074FE8F" w14:textId="77777777" w:rsidR="00EA4A84" w:rsidRPr="003438BF" w:rsidRDefault="00EA4A84" w:rsidP="00EA4A84">
      <w:pPr>
        <w:adjustRightInd w:val="0"/>
        <w:snapToGrid w:val="0"/>
        <w:spacing w:line="360" w:lineRule="auto"/>
        <w:ind w:firstLineChars="200" w:firstLine="480"/>
        <w:rPr>
          <w:rFonts w:asciiTheme="minorEastAsia" w:eastAsiaTheme="minorEastAsia" w:hAnsiTheme="minorEastAsia"/>
          <w:sz w:val="24"/>
        </w:rPr>
      </w:pPr>
      <w:r w:rsidRPr="003438BF">
        <w:rPr>
          <w:rFonts w:asciiTheme="minorEastAsia" w:eastAsiaTheme="minorEastAsia" w:hAnsiTheme="minorEastAsia" w:hint="eastAsia"/>
          <w:sz w:val="24"/>
        </w:rPr>
        <w:t>（3）最近6个月内日均基金资产净值不得低于2亿元；</w:t>
      </w:r>
    </w:p>
    <w:p w14:paraId="035698BB" w14:textId="77777777" w:rsidR="00EA4A84" w:rsidRPr="003438BF" w:rsidRDefault="00EA4A84" w:rsidP="00EA4A84">
      <w:pPr>
        <w:adjustRightInd w:val="0"/>
        <w:snapToGrid w:val="0"/>
        <w:spacing w:line="360" w:lineRule="auto"/>
        <w:ind w:firstLineChars="200" w:firstLine="480"/>
        <w:rPr>
          <w:rFonts w:asciiTheme="minorEastAsia" w:eastAsiaTheme="minorEastAsia" w:hAnsiTheme="minorEastAsia"/>
          <w:sz w:val="24"/>
        </w:rPr>
      </w:pPr>
      <w:r w:rsidRPr="003438BF">
        <w:rPr>
          <w:rFonts w:asciiTheme="minorEastAsia" w:eastAsiaTheme="minorEastAsia" w:hAnsiTheme="minorEastAsia" w:hint="eastAsia"/>
          <w:sz w:val="24"/>
        </w:rPr>
        <w:t>（4）证券出借的平均剩余期限不得超过30天，平均剩余期限按照市值加权平均计算；</w:t>
      </w:r>
    </w:p>
    <w:p w14:paraId="2C2DFD2D" w14:textId="77777777" w:rsidR="00EA4A84" w:rsidRPr="003438BF" w:rsidRDefault="00EA4A84" w:rsidP="00EA4A84">
      <w:pPr>
        <w:adjustRightInd w:val="0"/>
        <w:snapToGrid w:val="0"/>
        <w:spacing w:line="360" w:lineRule="auto"/>
        <w:ind w:firstLineChars="200" w:firstLine="480"/>
        <w:rPr>
          <w:rFonts w:asciiTheme="minorEastAsia" w:eastAsiaTheme="minorEastAsia" w:hAnsiTheme="minorEastAsia"/>
          <w:sz w:val="24"/>
        </w:rPr>
      </w:pPr>
      <w:r w:rsidRPr="003438BF">
        <w:rPr>
          <w:rFonts w:asciiTheme="minorEastAsia" w:eastAsiaTheme="minorEastAsia" w:hAnsiTheme="minorEastAsia" w:hint="eastAsia"/>
          <w:sz w:val="24"/>
        </w:rPr>
        <w:t>13、本基金投资于同一原始权益人的各类资产支持证券的比例，不得超过基金资产净值的10%；本基金持有的全部资产支持证券，其市值不得超过基金资产净值的20%，中国证监会规定的特殊品种除外；</w:t>
      </w:r>
    </w:p>
    <w:p w14:paraId="7B566682" w14:textId="77777777" w:rsidR="00EA4A84" w:rsidRPr="003438BF" w:rsidRDefault="00EA4A84" w:rsidP="00EA4A84">
      <w:pPr>
        <w:adjustRightInd w:val="0"/>
        <w:snapToGrid w:val="0"/>
        <w:spacing w:line="360" w:lineRule="auto"/>
        <w:ind w:firstLineChars="200" w:firstLine="480"/>
        <w:rPr>
          <w:rFonts w:asciiTheme="minorEastAsia" w:eastAsiaTheme="minorEastAsia" w:hAnsiTheme="minorEastAsia"/>
          <w:sz w:val="24"/>
        </w:rPr>
      </w:pPr>
      <w:r w:rsidRPr="003438BF">
        <w:rPr>
          <w:rFonts w:asciiTheme="minorEastAsia" w:eastAsiaTheme="minorEastAsia" w:hAnsiTheme="minorEastAsia" w:hint="eastAsia"/>
          <w:sz w:val="24"/>
        </w:rPr>
        <w:t>14、本基金持有的同一（指同一信用级别）资产支持证券的比例，不得超过该资产支持证券规模的10%；本基金管理人管理的全部基金投资于同一原始权益人的各类资产支持证券，不得超过其各类资产支持证券合计规模的10%；</w:t>
      </w:r>
    </w:p>
    <w:p w14:paraId="3CA78E26" w14:textId="77777777" w:rsidR="00EA4A84" w:rsidRPr="003438BF" w:rsidRDefault="00EA4A84" w:rsidP="00EA4A84">
      <w:pPr>
        <w:adjustRightInd w:val="0"/>
        <w:snapToGrid w:val="0"/>
        <w:spacing w:line="360" w:lineRule="auto"/>
        <w:ind w:firstLineChars="200" w:firstLine="480"/>
        <w:rPr>
          <w:rFonts w:asciiTheme="minorEastAsia" w:eastAsiaTheme="minorEastAsia" w:hAnsiTheme="minorEastAsia"/>
          <w:sz w:val="24"/>
        </w:rPr>
      </w:pPr>
      <w:r w:rsidRPr="003438BF">
        <w:rPr>
          <w:rFonts w:asciiTheme="minorEastAsia" w:eastAsiaTheme="minorEastAsia" w:hAnsiTheme="minorEastAsia" w:hint="eastAsia"/>
          <w:sz w:val="24"/>
        </w:rPr>
        <w:t>15、本基金应投资于信用级别评级为BBB以上（含BBB）的资产支持证券。基金持有资产支持证券期间，如果其信用等级下降、不再符合投资标准，应在评级报告发布之日起3个月内予以全部卖出；</w:t>
      </w:r>
    </w:p>
    <w:p w14:paraId="03052AA4" w14:textId="77777777" w:rsidR="00EA4A84" w:rsidRPr="003438BF" w:rsidRDefault="00EA4A84" w:rsidP="00EA4A84">
      <w:pPr>
        <w:adjustRightInd w:val="0"/>
        <w:snapToGrid w:val="0"/>
        <w:spacing w:line="360" w:lineRule="auto"/>
        <w:ind w:firstLineChars="200" w:firstLine="480"/>
        <w:rPr>
          <w:rFonts w:asciiTheme="minorEastAsia" w:eastAsiaTheme="minorEastAsia" w:hAnsiTheme="minorEastAsia"/>
          <w:sz w:val="24"/>
        </w:rPr>
      </w:pPr>
      <w:r w:rsidRPr="003438BF">
        <w:rPr>
          <w:rFonts w:asciiTheme="minorEastAsia" w:eastAsiaTheme="minorEastAsia" w:hAnsiTheme="minorEastAsia" w:hint="eastAsia"/>
          <w:sz w:val="24"/>
        </w:rPr>
        <w:t>16、本基金投资存托凭证的比例限制依照境内上市交易的股票执行，与境内上市交易的股票合并计算；</w:t>
      </w:r>
    </w:p>
    <w:p w14:paraId="78417917" w14:textId="77777777" w:rsidR="00EA4A84" w:rsidRPr="003438BF" w:rsidRDefault="00EA4A84" w:rsidP="00EA4A84">
      <w:pPr>
        <w:adjustRightInd w:val="0"/>
        <w:snapToGrid w:val="0"/>
        <w:spacing w:line="360" w:lineRule="auto"/>
        <w:ind w:firstLineChars="200" w:firstLine="480"/>
        <w:rPr>
          <w:rFonts w:asciiTheme="minorEastAsia" w:eastAsiaTheme="minorEastAsia" w:hAnsiTheme="minorEastAsia"/>
          <w:sz w:val="24"/>
        </w:rPr>
      </w:pPr>
      <w:r w:rsidRPr="003438BF">
        <w:rPr>
          <w:rFonts w:asciiTheme="minorEastAsia" w:eastAsiaTheme="minorEastAsia" w:hAnsiTheme="minorEastAsia" w:hint="eastAsia"/>
          <w:sz w:val="24"/>
        </w:rPr>
        <w:t>17、法律法规及中国证监会规定的和《基金合同》约定的其他投资限制。</w:t>
      </w:r>
    </w:p>
    <w:p w14:paraId="02CF6B50" w14:textId="77777777" w:rsidR="00EA4A84" w:rsidRPr="003438BF" w:rsidRDefault="00EA4A84" w:rsidP="00EA4A84">
      <w:pPr>
        <w:adjustRightInd w:val="0"/>
        <w:snapToGrid w:val="0"/>
        <w:spacing w:line="360" w:lineRule="auto"/>
        <w:ind w:firstLineChars="200" w:firstLine="480"/>
        <w:rPr>
          <w:rFonts w:asciiTheme="minorEastAsia" w:eastAsiaTheme="minorEastAsia" w:hAnsiTheme="minorEastAsia"/>
          <w:sz w:val="24"/>
        </w:rPr>
      </w:pPr>
      <w:r w:rsidRPr="003438BF">
        <w:rPr>
          <w:rFonts w:asciiTheme="minorEastAsia" w:eastAsiaTheme="minorEastAsia" w:hAnsiTheme="minorEastAsia" w:hint="eastAsia"/>
          <w:sz w:val="24"/>
        </w:rPr>
        <w:t>除上述1、2、9、10、12、15项情形之外，因证券市场及期货市场波动、证券发行人合并、基金规模变动、标的指数成份股调整、标的指数成份股流动性限制、目标ETF暂停申购、赎回或二级市场交易停牌等基金管理人之外的因素致使基金投资比例不符合上述规定投资比例的，基金管理人应当在10个交易日内进行调整，但中国证监会规定的特殊情形除外。因证券市场及期货市场波动、证券</w:t>
      </w:r>
      <w:r w:rsidRPr="003438BF">
        <w:rPr>
          <w:rFonts w:asciiTheme="minorEastAsia" w:eastAsiaTheme="minorEastAsia" w:hAnsiTheme="minorEastAsia" w:hint="eastAsia"/>
          <w:sz w:val="24"/>
        </w:rPr>
        <w:lastRenderedPageBreak/>
        <w:t>发行人合并、基金规模变动、标的指数成份股调整、标的指数成份股流动性限制、目标ETF暂停申购、赎回或二级市场交易停牌等基金管理人之外的因素致使基金持有的目标ETF的比例低于基金资产净值的90%的，基金管理人应当在20个交易日内进行调整，但中国证监会规定的特殊情形除外。法律法规另有规定的，从其规定。</w:t>
      </w:r>
    </w:p>
    <w:p w14:paraId="6A547B28" w14:textId="77777777" w:rsidR="00EA4A84" w:rsidRPr="003438BF" w:rsidRDefault="00EA4A84" w:rsidP="00EA4A84">
      <w:pPr>
        <w:adjustRightInd w:val="0"/>
        <w:snapToGrid w:val="0"/>
        <w:spacing w:line="360" w:lineRule="auto"/>
        <w:ind w:firstLineChars="200" w:firstLine="480"/>
        <w:rPr>
          <w:rFonts w:asciiTheme="minorEastAsia" w:eastAsiaTheme="minorEastAsia" w:hAnsiTheme="minorEastAsia"/>
          <w:sz w:val="24"/>
        </w:rPr>
      </w:pPr>
      <w:r w:rsidRPr="003438BF">
        <w:rPr>
          <w:rFonts w:asciiTheme="minorEastAsia" w:eastAsiaTheme="minorEastAsia" w:hAnsiTheme="minorEastAsia" w:hint="eastAsia"/>
          <w:sz w:val="24"/>
        </w:rPr>
        <w:t>因证券市场波动、上市公司合并、基金规模变动等基金管理人之外的因素致使基金投资不符合上述第12项的，基金管理人不得新增出借业务。</w:t>
      </w:r>
    </w:p>
    <w:p w14:paraId="460595FC" w14:textId="77777777" w:rsidR="00EA4A84" w:rsidRPr="003438BF" w:rsidRDefault="00EA4A84" w:rsidP="00EA4A84">
      <w:pPr>
        <w:adjustRightInd w:val="0"/>
        <w:snapToGrid w:val="0"/>
        <w:spacing w:line="360" w:lineRule="auto"/>
        <w:ind w:firstLineChars="200" w:firstLine="480"/>
        <w:rPr>
          <w:rFonts w:asciiTheme="minorEastAsia" w:eastAsiaTheme="minorEastAsia" w:hAnsiTheme="minorEastAsia"/>
          <w:sz w:val="24"/>
        </w:rPr>
      </w:pPr>
      <w:r w:rsidRPr="003438BF">
        <w:rPr>
          <w:rFonts w:asciiTheme="minorEastAsia" w:eastAsiaTheme="minorEastAsia" w:hAnsiTheme="minorEastAsia" w:hint="eastAsia"/>
          <w:sz w:val="24"/>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14:paraId="4506E9D9" w14:textId="2B9C1490" w:rsidR="00881E8A" w:rsidRPr="003438BF" w:rsidRDefault="00EA4A84" w:rsidP="00881E8A">
      <w:pPr>
        <w:adjustRightInd w:val="0"/>
        <w:snapToGrid w:val="0"/>
        <w:spacing w:line="360" w:lineRule="auto"/>
        <w:ind w:firstLineChars="200" w:firstLine="480"/>
        <w:rPr>
          <w:rFonts w:asciiTheme="minorEastAsia" w:eastAsiaTheme="minorEastAsia" w:hAnsiTheme="minorEastAsia"/>
          <w:sz w:val="24"/>
        </w:rPr>
      </w:pPr>
      <w:r w:rsidRPr="003438BF">
        <w:rPr>
          <w:rFonts w:asciiTheme="minorEastAsia" w:eastAsiaTheme="minorEastAsia" w:hAnsiTheme="minorEastAsia" w:hint="eastAsia"/>
          <w:sz w:val="24"/>
        </w:rPr>
        <w:t>如果法律法规对上述投资组合比例限制进行变更的，基金管理人在履行适当程序后，可相应调整投资比例限制规定或按变更后的规定执行，不需经基金份额持有人大会审议。法律法规或监管部门取消上述限制，如适用于本基金，基金管理人在履行适当程序后，则本基金投资不再受相关限制。</w:t>
      </w:r>
    </w:p>
    <w:p w14:paraId="3545F570" w14:textId="77777777" w:rsidR="00881E8A" w:rsidRPr="003438BF" w:rsidRDefault="00881E8A" w:rsidP="00881E8A">
      <w:pPr>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hint="eastAsia"/>
          <w:bCs/>
          <w:sz w:val="24"/>
        </w:rPr>
        <w:t>（二）禁止行为</w:t>
      </w:r>
    </w:p>
    <w:p w14:paraId="57E587BA" w14:textId="77777777" w:rsidR="00881E8A" w:rsidRPr="003438BF" w:rsidRDefault="00881E8A" w:rsidP="00881E8A">
      <w:pPr>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bCs/>
          <w:sz w:val="24"/>
        </w:rPr>
        <w:t>为维护基金份额持有人的合法权益，基金财产不得用于下列投资或者活动：</w:t>
      </w:r>
    </w:p>
    <w:p w14:paraId="1B94D3B2" w14:textId="77777777" w:rsidR="00881E8A" w:rsidRPr="003438BF" w:rsidRDefault="00881E8A" w:rsidP="00881E8A">
      <w:pPr>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bCs/>
          <w:sz w:val="24"/>
        </w:rPr>
        <w:t>（1）承销证券；</w:t>
      </w:r>
    </w:p>
    <w:p w14:paraId="378A276F" w14:textId="77777777" w:rsidR="00881E8A" w:rsidRPr="003438BF" w:rsidRDefault="00881E8A" w:rsidP="00881E8A">
      <w:pPr>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bCs/>
          <w:sz w:val="24"/>
        </w:rPr>
        <w:t>（</w:t>
      </w:r>
      <w:r w:rsidRPr="003438BF">
        <w:rPr>
          <w:rFonts w:asciiTheme="minorEastAsia" w:eastAsiaTheme="minorEastAsia" w:hAnsiTheme="minorEastAsia" w:hint="eastAsia"/>
          <w:bCs/>
          <w:sz w:val="24"/>
        </w:rPr>
        <w:t>2</w:t>
      </w:r>
      <w:r w:rsidRPr="003438BF">
        <w:rPr>
          <w:rFonts w:asciiTheme="minorEastAsia" w:eastAsiaTheme="minorEastAsia" w:hAnsiTheme="minorEastAsia"/>
          <w:bCs/>
          <w:sz w:val="24"/>
        </w:rPr>
        <w:t>）</w:t>
      </w:r>
      <w:r w:rsidRPr="003438BF">
        <w:rPr>
          <w:rFonts w:asciiTheme="minorEastAsia" w:eastAsiaTheme="minorEastAsia" w:hAnsiTheme="minorEastAsia" w:hint="eastAsia"/>
          <w:bCs/>
          <w:sz w:val="24"/>
        </w:rPr>
        <w:t>违反规定</w:t>
      </w:r>
      <w:r w:rsidRPr="003438BF">
        <w:rPr>
          <w:rFonts w:asciiTheme="minorEastAsia" w:eastAsiaTheme="minorEastAsia" w:hAnsiTheme="minorEastAsia"/>
          <w:bCs/>
          <w:sz w:val="24"/>
        </w:rPr>
        <w:t>向他人贷款或者提供担保；</w:t>
      </w:r>
    </w:p>
    <w:p w14:paraId="4A17AA03" w14:textId="77777777" w:rsidR="00881E8A" w:rsidRPr="003438BF" w:rsidRDefault="00881E8A" w:rsidP="00881E8A">
      <w:pPr>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bCs/>
          <w:sz w:val="24"/>
        </w:rPr>
        <w:t>（</w:t>
      </w:r>
      <w:r w:rsidRPr="003438BF">
        <w:rPr>
          <w:rFonts w:asciiTheme="minorEastAsia" w:eastAsiaTheme="minorEastAsia" w:hAnsiTheme="minorEastAsia" w:hint="eastAsia"/>
          <w:bCs/>
          <w:sz w:val="24"/>
        </w:rPr>
        <w:t>3</w:t>
      </w:r>
      <w:r w:rsidRPr="003438BF">
        <w:rPr>
          <w:rFonts w:asciiTheme="minorEastAsia" w:eastAsiaTheme="minorEastAsia" w:hAnsiTheme="minorEastAsia"/>
          <w:bCs/>
          <w:sz w:val="24"/>
        </w:rPr>
        <w:t>）从事承担无限责任的投资；</w:t>
      </w:r>
    </w:p>
    <w:p w14:paraId="08E20305" w14:textId="77777777" w:rsidR="00881E8A" w:rsidRPr="003438BF" w:rsidRDefault="00881E8A" w:rsidP="00881E8A">
      <w:pPr>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bCs/>
          <w:sz w:val="24"/>
        </w:rPr>
        <w:t>（</w:t>
      </w:r>
      <w:r w:rsidRPr="003438BF">
        <w:rPr>
          <w:rFonts w:asciiTheme="minorEastAsia" w:eastAsiaTheme="minorEastAsia" w:hAnsiTheme="minorEastAsia" w:hint="eastAsia"/>
          <w:bCs/>
          <w:sz w:val="24"/>
        </w:rPr>
        <w:t>4</w:t>
      </w:r>
      <w:r w:rsidRPr="003438BF">
        <w:rPr>
          <w:rFonts w:asciiTheme="minorEastAsia" w:eastAsiaTheme="minorEastAsia" w:hAnsiTheme="minorEastAsia"/>
          <w:bCs/>
          <w:sz w:val="24"/>
        </w:rPr>
        <w:t>）买卖</w:t>
      </w:r>
      <w:r w:rsidRPr="003438BF">
        <w:rPr>
          <w:rFonts w:asciiTheme="minorEastAsia" w:eastAsiaTheme="minorEastAsia" w:hAnsiTheme="minorEastAsia" w:hint="eastAsia"/>
          <w:bCs/>
          <w:sz w:val="24"/>
        </w:rPr>
        <w:t>除</w:t>
      </w:r>
      <w:r w:rsidRPr="003438BF">
        <w:rPr>
          <w:rFonts w:asciiTheme="minorEastAsia" w:eastAsiaTheme="minorEastAsia" w:hAnsiTheme="minorEastAsia"/>
          <w:bCs/>
          <w:sz w:val="24"/>
        </w:rPr>
        <w:t>目标ETF</w:t>
      </w:r>
      <w:r w:rsidRPr="003438BF">
        <w:rPr>
          <w:rFonts w:asciiTheme="minorEastAsia" w:eastAsiaTheme="minorEastAsia" w:hAnsiTheme="minorEastAsia" w:hint="eastAsia"/>
          <w:bCs/>
          <w:sz w:val="24"/>
        </w:rPr>
        <w:t>以外</w:t>
      </w:r>
      <w:r w:rsidRPr="003438BF">
        <w:rPr>
          <w:rFonts w:asciiTheme="minorEastAsia" w:eastAsiaTheme="minorEastAsia" w:hAnsiTheme="minorEastAsia"/>
          <w:bCs/>
          <w:sz w:val="24"/>
        </w:rPr>
        <w:t>的其他基金份额</w:t>
      </w:r>
      <w:r w:rsidRPr="003438BF">
        <w:rPr>
          <w:rFonts w:asciiTheme="minorEastAsia" w:eastAsiaTheme="minorEastAsia" w:hAnsiTheme="minorEastAsia" w:hint="eastAsia"/>
          <w:bCs/>
          <w:sz w:val="24"/>
        </w:rPr>
        <w:t>，但是中国证监会另有规定的除外</w:t>
      </w:r>
      <w:r w:rsidRPr="003438BF">
        <w:rPr>
          <w:rFonts w:asciiTheme="minorEastAsia" w:eastAsiaTheme="minorEastAsia" w:hAnsiTheme="minorEastAsia"/>
          <w:bCs/>
          <w:sz w:val="24"/>
        </w:rPr>
        <w:t>；</w:t>
      </w:r>
    </w:p>
    <w:p w14:paraId="619A86B2" w14:textId="77777777" w:rsidR="00881E8A" w:rsidRPr="003438BF" w:rsidRDefault="00881E8A" w:rsidP="00881E8A">
      <w:pPr>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bCs/>
          <w:sz w:val="24"/>
        </w:rPr>
        <w:t>（</w:t>
      </w:r>
      <w:r w:rsidRPr="003438BF">
        <w:rPr>
          <w:rFonts w:asciiTheme="minorEastAsia" w:eastAsiaTheme="minorEastAsia" w:hAnsiTheme="minorEastAsia" w:hint="eastAsia"/>
          <w:bCs/>
          <w:sz w:val="24"/>
        </w:rPr>
        <w:t>5</w:t>
      </w:r>
      <w:r w:rsidRPr="003438BF">
        <w:rPr>
          <w:rFonts w:asciiTheme="minorEastAsia" w:eastAsiaTheme="minorEastAsia" w:hAnsiTheme="minorEastAsia"/>
          <w:bCs/>
          <w:sz w:val="24"/>
        </w:rPr>
        <w:t>）向其基金管理人、基金托管人出资；</w:t>
      </w:r>
    </w:p>
    <w:p w14:paraId="002E3721" w14:textId="77777777" w:rsidR="00881E8A" w:rsidRPr="003438BF" w:rsidRDefault="00881E8A" w:rsidP="00881E8A">
      <w:pPr>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bCs/>
          <w:sz w:val="24"/>
        </w:rPr>
        <w:t>（</w:t>
      </w:r>
      <w:r w:rsidRPr="003438BF">
        <w:rPr>
          <w:rFonts w:asciiTheme="minorEastAsia" w:eastAsiaTheme="minorEastAsia" w:hAnsiTheme="minorEastAsia" w:hint="eastAsia"/>
          <w:bCs/>
          <w:sz w:val="24"/>
        </w:rPr>
        <w:t>6</w:t>
      </w:r>
      <w:r w:rsidRPr="003438BF">
        <w:rPr>
          <w:rFonts w:asciiTheme="minorEastAsia" w:eastAsiaTheme="minorEastAsia" w:hAnsiTheme="minorEastAsia"/>
          <w:bCs/>
          <w:sz w:val="24"/>
        </w:rPr>
        <w:t>）从事内幕交易、操纵证券交易价格及其他不正当的证券交易活动；</w:t>
      </w:r>
    </w:p>
    <w:p w14:paraId="0805A603" w14:textId="77777777" w:rsidR="00881E8A" w:rsidRPr="003438BF" w:rsidRDefault="00881E8A" w:rsidP="00881E8A">
      <w:pPr>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bCs/>
          <w:sz w:val="24"/>
        </w:rPr>
        <w:t>（</w:t>
      </w:r>
      <w:r w:rsidRPr="003438BF">
        <w:rPr>
          <w:rFonts w:asciiTheme="minorEastAsia" w:eastAsiaTheme="minorEastAsia" w:hAnsiTheme="minorEastAsia" w:hint="eastAsia"/>
          <w:bCs/>
          <w:sz w:val="24"/>
        </w:rPr>
        <w:t>7</w:t>
      </w:r>
      <w:r w:rsidRPr="003438BF">
        <w:rPr>
          <w:rFonts w:asciiTheme="minorEastAsia" w:eastAsiaTheme="minorEastAsia" w:hAnsiTheme="minorEastAsia"/>
          <w:bCs/>
          <w:sz w:val="24"/>
        </w:rPr>
        <w:t>）</w:t>
      </w:r>
      <w:r w:rsidRPr="003438BF">
        <w:rPr>
          <w:rFonts w:asciiTheme="minorEastAsia" w:eastAsiaTheme="minorEastAsia" w:hAnsiTheme="minorEastAsia" w:hint="eastAsia"/>
          <w:bCs/>
          <w:sz w:val="24"/>
        </w:rPr>
        <w:t>法律、行政法规和</w:t>
      </w:r>
      <w:r w:rsidRPr="003438BF">
        <w:rPr>
          <w:rFonts w:asciiTheme="minorEastAsia" w:eastAsiaTheme="minorEastAsia" w:hAnsiTheme="minorEastAsia"/>
          <w:bCs/>
          <w:sz w:val="24"/>
        </w:rPr>
        <w:t>中国证监会规定禁止的其他活动</w:t>
      </w:r>
      <w:r w:rsidRPr="003438BF">
        <w:rPr>
          <w:rFonts w:asciiTheme="minorEastAsia" w:eastAsiaTheme="minorEastAsia" w:hAnsiTheme="minorEastAsia" w:hint="eastAsia"/>
          <w:bCs/>
          <w:sz w:val="24"/>
        </w:rPr>
        <w:t>。</w:t>
      </w:r>
    </w:p>
    <w:p w14:paraId="5BBE7D55" w14:textId="77777777" w:rsidR="00881E8A" w:rsidRPr="003438BF" w:rsidRDefault="00881E8A" w:rsidP="00881E8A">
      <w:pPr>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hint="eastAsia"/>
          <w:bCs/>
          <w:sz w:val="24"/>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w:t>
      </w:r>
      <w:r w:rsidRPr="003438BF">
        <w:rPr>
          <w:rFonts w:asciiTheme="minorEastAsia" w:eastAsiaTheme="minorEastAsia" w:hAnsiTheme="minorEastAsia" w:hint="eastAsia"/>
          <w:bCs/>
          <w:sz w:val="24"/>
        </w:rPr>
        <w:lastRenderedPageBreak/>
        <w:t>法规予以披露。重大关联交易应提交基金管理人董事会审议，并经过三分之二以上的独立董事通过。基金管理人董事会应至少每半年对关联交易事项进行审查。</w:t>
      </w:r>
    </w:p>
    <w:p w14:paraId="35DB0F98" w14:textId="77777777" w:rsidR="00881E8A" w:rsidRPr="003438BF" w:rsidRDefault="00881E8A" w:rsidP="00881E8A">
      <w:pPr>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hint="eastAsia"/>
          <w:bCs/>
          <w:sz w:val="24"/>
        </w:rPr>
        <w:t>法律、行政法规或监管部门取消或变更上述限制，如适用于本基金，基金管理人在履行适当程序后，则本基金投资不再受相关限制或按变更后的规定执行。</w:t>
      </w:r>
    </w:p>
    <w:p w14:paraId="2FF21016" w14:textId="77777777" w:rsidR="00881E8A" w:rsidRPr="003438BF" w:rsidRDefault="00881E8A" w:rsidP="00881E8A">
      <w:pPr>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bCs/>
          <w:sz w:val="24"/>
        </w:rPr>
        <w:t>五、</w:t>
      </w:r>
      <w:r w:rsidRPr="003438BF">
        <w:rPr>
          <w:rFonts w:asciiTheme="minorEastAsia" w:eastAsiaTheme="minorEastAsia" w:hAnsiTheme="minorEastAsia" w:hint="eastAsia"/>
          <w:bCs/>
          <w:sz w:val="24"/>
        </w:rPr>
        <w:t>标的指数和</w:t>
      </w:r>
      <w:r w:rsidRPr="003438BF">
        <w:rPr>
          <w:rFonts w:asciiTheme="minorEastAsia" w:eastAsiaTheme="minorEastAsia" w:hAnsiTheme="minorEastAsia"/>
          <w:bCs/>
          <w:sz w:val="24"/>
        </w:rPr>
        <w:t>业绩比较基准</w:t>
      </w:r>
    </w:p>
    <w:p w14:paraId="745FFBF9" w14:textId="77777777" w:rsidR="00881E8A" w:rsidRPr="003438BF" w:rsidRDefault="00881E8A" w:rsidP="00881E8A">
      <w:pPr>
        <w:pStyle w:val="HD"/>
        <w:ind w:firstLine="480"/>
        <w:rPr>
          <w:rFonts w:asciiTheme="minorEastAsia" w:eastAsiaTheme="minorEastAsia" w:hAnsiTheme="minorEastAsia"/>
          <w:sz w:val="24"/>
        </w:rPr>
      </w:pPr>
      <w:r w:rsidRPr="003438BF">
        <w:rPr>
          <w:rFonts w:asciiTheme="minorEastAsia" w:eastAsiaTheme="minorEastAsia" w:hAnsiTheme="minorEastAsia"/>
          <w:sz w:val="24"/>
        </w:rPr>
        <w:t>1、标的指数</w:t>
      </w:r>
    </w:p>
    <w:p w14:paraId="21527373" w14:textId="1B0E6A62" w:rsidR="00881E8A" w:rsidRPr="003438BF" w:rsidRDefault="00881E8A" w:rsidP="00881E8A">
      <w:pPr>
        <w:pStyle w:val="HD"/>
        <w:ind w:firstLine="480"/>
        <w:rPr>
          <w:rFonts w:asciiTheme="minorEastAsia" w:eastAsiaTheme="minorEastAsia" w:hAnsiTheme="minorEastAsia"/>
          <w:bCs/>
          <w:sz w:val="24"/>
          <w:szCs w:val="24"/>
        </w:rPr>
      </w:pPr>
      <w:r w:rsidRPr="003438BF">
        <w:rPr>
          <w:rFonts w:asciiTheme="minorEastAsia" w:eastAsiaTheme="minorEastAsia" w:hAnsiTheme="minorEastAsia" w:hint="eastAsia"/>
          <w:bCs/>
          <w:sz w:val="24"/>
          <w:szCs w:val="24"/>
        </w:rPr>
        <w:t>本基金标的指数为</w:t>
      </w:r>
      <w:r w:rsidR="00FD0AB2">
        <w:rPr>
          <w:rFonts w:asciiTheme="minorEastAsia" w:eastAsiaTheme="minorEastAsia" w:hAnsiTheme="minorEastAsia" w:hint="eastAsia"/>
          <w:bCs/>
          <w:sz w:val="24"/>
          <w:szCs w:val="24"/>
        </w:rPr>
        <w:t>中证全指证券公司</w:t>
      </w:r>
      <w:r w:rsidR="00075B03" w:rsidRPr="003438BF">
        <w:rPr>
          <w:rFonts w:asciiTheme="minorEastAsia" w:eastAsiaTheme="minorEastAsia" w:hAnsiTheme="minorEastAsia" w:hint="eastAsia"/>
          <w:bCs/>
          <w:sz w:val="24"/>
          <w:szCs w:val="24"/>
        </w:rPr>
        <w:t>指数</w:t>
      </w:r>
      <w:r w:rsidR="007D0C9D">
        <w:rPr>
          <w:rFonts w:ascii="宋体" w:hAnsi="宋体" w:hint="eastAsia"/>
          <w:bCs/>
          <w:sz w:val="24"/>
          <w:szCs w:val="24"/>
        </w:rPr>
        <w:t>及其未来可能发生的变更</w:t>
      </w:r>
      <w:r w:rsidRPr="003438BF">
        <w:rPr>
          <w:rFonts w:asciiTheme="minorEastAsia" w:eastAsiaTheme="minorEastAsia" w:hAnsiTheme="minorEastAsia" w:hint="eastAsia"/>
          <w:bCs/>
          <w:sz w:val="24"/>
          <w:szCs w:val="24"/>
        </w:rPr>
        <w:t>。</w:t>
      </w:r>
    </w:p>
    <w:p w14:paraId="7323BD25" w14:textId="16B0D88C" w:rsidR="00881E8A" w:rsidRPr="003438BF" w:rsidRDefault="00881E8A" w:rsidP="00881E8A">
      <w:pPr>
        <w:pStyle w:val="HD"/>
        <w:ind w:firstLine="480"/>
        <w:rPr>
          <w:rFonts w:asciiTheme="minorEastAsia" w:eastAsiaTheme="minorEastAsia" w:hAnsiTheme="minorEastAsia"/>
          <w:bCs/>
          <w:sz w:val="24"/>
          <w:szCs w:val="24"/>
        </w:rPr>
      </w:pPr>
      <w:r w:rsidRPr="003438BF">
        <w:rPr>
          <w:rFonts w:asciiTheme="minorEastAsia" w:eastAsiaTheme="minorEastAsia" w:hAnsiTheme="minorEastAsia" w:hint="eastAsia"/>
          <w:bCs/>
          <w:sz w:val="24"/>
          <w:szCs w:val="24"/>
        </w:rPr>
        <w:t>未来若出现标的指数不符合要求（因成份股价格波动等指数编制方法变动之外的因素致使标的指数不符合要求的情形除外）、指数编制机构退出等情形，基金管理人应当自该情形发生之日起十个工作日内向中国证监会报告并提出解决方案，如</w:t>
      </w:r>
      <w:r w:rsidR="007D0C9D">
        <w:rPr>
          <w:rFonts w:ascii="宋体" w:hAnsi="宋体" w:hint="eastAsia"/>
          <w:bCs/>
          <w:sz w:val="24"/>
          <w:szCs w:val="24"/>
        </w:rPr>
        <w:t>更换基金标的指数、</w:t>
      </w:r>
      <w:r w:rsidRPr="003438BF">
        <w:rPr>
          <w:rFonts w:asciiTheme="minorEastAsia" w:eastAsiaTheme="minorEastAsia" w:hAnsiTheme="minorEastAsia" w:hint="eastAsia"/>
          <w:bCs/>
          <w:sz w:val="24"/>
          <w:szCs w:val="24"/>
        </w:rPr>
        <w:t>转换运作方式、与其他基金合并或者终止基金合同等，并在6个月内召集基金份额持有人大会进行表决，基金份额持有人大会未成功召开或就上述事项表决未通过的，基金合同终止。</w:t>
      </w:r>
    </w:p>
    <w:p w14:paraId="3D1C2163" w14:textId="77777777" w:rsidR="00881E8A" w:rsidRPr="003438BF" w:rsidRDefault="00881E8A" w:rsidP="00881E8A">
      <w:pPr>
        <w:pStyle w:val="HD"/>
        <w:ind w:firstLine="480"/>
        <w:rPr>
          <w:rFonts w:asciiTheme="minorEastAsia" w:eastAsiaTheme="minorEastAsia" w:hAnsiTheme="minorEastAsia"/>
          <w:bCs/>
          <w:sz w:val="24"/>
          <w:szCs w:val="24"/>
        </w:rPr>
      </w:pPr>
      <w:r w:rsidRPr="003438BF">
        <w:rPr>
          <w:rFonts w:asciiTheme="minorEastAsia" w:eastAsiaTheme="minorEastAsia" w:hAnsiTheme="minorEastAsia" w:hint="eastAsia"/>
          <w:bCs/>
          <w:sz w:val="24"/>
          <w:szCs w:val="24"/>
        </w:rPr>
        <w:t>自指数编制机构停止标的指数的编制及发布至解决方案确定期间，基金管理人应按照指数编制机构提供的最近一个交易日的指数信息遵循基金份额持有人利益优先原则维持基金投资运作。</w:t>
      </w:r>
    </w:p>
    <w:p w14:paraId="7B39B0FF" w14:textId="52AA8F74" w:rsidR="00881E8A" w:rsidRPr="003438BF" w:rsidRDefault="00881E8A" w:rsidP="00881E8A">
      <w:pPr>
        <w:adjustRightInd w:val="0"/>
        <w:snapToGrid w:val="0"/>
        <w:spacing w:line="360" w:lineRule="auto"/>
        <w:ind w:firstLineChars="200" w:firstLine="480"/>
        <w:rPr>
          <w:rFonts w:asciiTheme="minorEastAsia" w:eastAsiaTheme="minorEastAsia" w:hAnsiTheme="minorEastAsia"/>
          <w:bCs/>
          <w:sz w:val="24"/>
        </w:rPr>
      </w:pPr>
      <w:r w:rsidRPr="003438BF">
        <w:rPr>
          <w:rFonts w:asciiTheme="minorEastAsia" w:eastAsiaTheme="minorEastAsia" w:hAnsiTheme="minorEastAsia" w:hint="eastAsia"/>
          <w:bCs/>
          <w:sz w:val="24"/>
        </w:rPr>
        <w:t>若标的指数变更对基金投资无实质性影响（包括但不限于编制机构变更、指数更名等），</w:t>
      </w:r>
      <w:r w:rsidR="00316D1A" w:rsidRPr="003438BF">
        <w:rPr>
          <w:rFonts w:asciiTheme="minorEastAsia" w:eastAsiaTheme="minorEastAsia" w:hAnsiTheme="minorEastAsia" w:hint="eastAsia"/>
          <w:bCs/>
          <w:sz w:val="24"/>
        </w:rPr>
        <w:t>则无需召开基金份额持有人大会，</w:t>
      </w:r>
      <w:r w:rsidRPr="003438BF">
        <w:rPr>
          <w:rFonts w:asciiTheme="minorEastAsia" w:eastAsiaTheme="minorEastAsia" w:hAnsiTheme="minorEastAsia" w:hint="eastAsia"/>
          <w:bCs/>
          <w:sz w:val="24"/>
        </w:rPr>
        <w:t>基金管理人应与基金托管人协商一致后，在规定媒介上公告。</w:t>
      </w:r>
    </w:p>
    <w:p w14:paraId="6F482543" w14:textId="77777777" w:rsidR="00881E8A" w:rsidRPr="003438BF" w:rsidRDefault="00881E8A" w:rsidP="00881E8A">
      <w:pPr>
        <w:pStyle w:val="HD"/>
        <w:ind w:firstLine="480"/>
        <w:rPr>
          <w:rFonts w:asciiTheme="minorEastAsia" w:eastAsiaTheme="minorEastAsia" w:hAnsiTheme="minorEastAsia"/>
          <w:bCs/>
          <w:sz w:val="24"/>
          <w:szCs w:val="24"/>
        </w:rPr>
      </w:pPr>
      <w:r w:rsidRPr="003438BF">
        <w:rPr>
          <w:rFonts w:asciiTheme="minorEastAsia" w:eastAsiaTheme="minorEastAsia" w:hAnsiTheme="minorEastAsia" w:hint="eastAsia"/>
          <w:bCs/>
          <w:sz w:val="24"/>
          <w:szCs w:val="24"/>
        </w:rPr>
        <w:t>2、业绩比较基准</w:t>
      </w:r>
    </w:p>
    <w:p w14:paraId="3DCA7AA5" w14:textId="1CCE8D70" w:rsidR="00881E8A" w:rsidRPr="003438BF" w:rsidRDefault="00881E8A" w:rsidP="00881E8A">
      <w:pPr>
        <w:adjustRightInd w:val="0"/>
        <w:snapToGrid w:val="0"/>
        <w:spacing w:line="360" w:lineRule="auto"/>
        <w:ind w:firstLineChars="200" w:firstLine="480"/>
        <w:rPr>
          <w:rFonts w:asciiTheme="minorEastAsia" w:eastAsiaTheme="minorEastAsia" w:hAnsiTheme="minorEastAsia" w:cs="宋体"/>
          <w:sz w:val="24"/>
        </w:rPr>
      </w:pPr>
      <w:r w:rsidRPr="003438BF">
        <w:rPr>
          <w:rFonts w:asciiTheme="minorEastAsia" w:eastAsiaTheme="minorEastAsia" w:hAnsiTheme="minorEastAsia" w:hint="eastAsia"/>
          <w:sz w:val="24"/>
        </w:rPr>
        <w:t>本基金业绩比较基准为：</w:t>
      </w:r>
      <w:r w:rsidR="00FD0AB2">
        <w:rPr>
          <w:rFonts w:asciiTheme="minorEastAsia" w:eastAsiaTheme="minorEastAsia" w:hAnsiTheme="minorEastAsia" w:hint="eastAsia"/>
          <w:bCs/>
          <w:sz w:val="24"/>
        </w:rPr>
        <w:t>中证全指证券公司</w:t>
      </w:r>
      <w:r w:rsidR="00A635A2" w:rsidRPr="003438BF">
        <w:rPr>
          <w:rFonts w:asciiTheme="minorEastAsia" w:eastAsiaTheme="minorEastAsia" w:hAnsiTheme="minorEastAsia" w:hint="eastAsia"/>
          <w:bCs/>
          <w:sz w:val="24"/>
        </w:rPr>
        <w:t>指数</w:t>
      </w:r>
      <w:r w:rsidR="00B87FC5" w:rsidRPr="003438BF">
        <w:rPr>
          <w:rFonts w:asciiTheme="minorEastAsia" w:eastAsiaTheme="minorEastAsia" w:hAnsiTheme="minorEastAsia" w:hint="eastAsia"/>
          <w:bCs/>
          <w:sz w:val="24"/>
        </w:rPr>
        <w:t>收益率</w:t>
      </w:r>
      <w:r w:rsidRPr="003438BF">
        <w:rPr>
          <w:rFonts w:asciiTheme="minorEastAsia" w:eastAsiaTheme="minorEastAsia" w:hAnsiTheme="minorEastAsia" w:hint="eastAsia"/>
          <w:sz w:val="24"/>
        </w:rPr>
        <w:t>×95%+银行活期存款利率（税后）×5%</w:t>
      </w:r>
      <w:r w:rsidRPr="003438BF">
        <w:rPr>
          <w:rFonts w:asciiTheme="minorEastAsia" w:eastAsiaTheme="minorEastAsia" w:hAnsiTheme="minorEastAsia" w:cs="宋体" w:hint="eastAsia"/>
          <w:sz w:val="24"/>
        </w:rPr>
        <w:t>。</w:t>
      </w:r>
    </w:p>
    <w:p w14:paraId="1BCFD6CC" w14:textId="62EE4244" w:rsidR="00881E8A" w:rsidRDefault="00881E8A" w:rsidP="00881E8A">
      <w:pPr>
        <w:adjustRightInd w:val="0"/>
        <w:snapToGrid w:val="0"/>
        <w:spacing w:line="360" w:lineRule="auto"/>
        <w:ind w:firstLineChars="200" w:firstLine="480"/>
        <w:rPr>
          <w:rFonts w:asciiTheme="minorEastAsia" w:eastAsiaTheme="minorEastAsia" w:hAnsiTheme="minorEastAsia" w:cs="宋体"/>
          <w:sz w:val="24"/>
        </w:rPr>
      </w:pPr>
      <w:r w:rsidRPr="003438BF">
        <w:rPr>
          <w:rFonts w:asciiTheme="minorEastAsia" w:eastAsiaTheme="minorEastAsia" w:hAnsiTheme="minorEastAsia" w:cs="宋体" w:hint="eastAsia"/>
          <w:sz w:val="24"/>
        </w:rPr>
        <w:t>本基金以</w:t>
      </w:r>
      <w:r w:rsidR="00FD0AB2">
        <w:rPr>
          <w:rFonts w:asciiTheme="minorEastAsia" w:eastAsiaTheme="minorEastAsia" w:hAnsiTheme="minorEastAsia" w:hint="eastAsia"/>
          <w:bCs/>
          <w:sz w:val="24"/>
        </w:rPr>
        <w:t>中证全指证券公司</w:t>
      </w:r>
      <w:r w:rsidR="00D77C9E" w:rsidRPr="003438BF">
        <w:rPr>
          <w:rFonts w:asciiTheme="minorEastAsia" w:eastAsiaTheme="minorEastAsia" w:hAnsiTheme="minorEastAsia" w:hint="eastAsia"/>
          <w:bCs/>
          <w:sz w:val="24"/>
        </w:rPr>
        <w:t>指数</w:t>
      </w:r>
      <w:r w:rsidRPr="003438BF">
        <w:rPr>
          <w:rFonts w:asciiTheme="minorEastAsia" w:eastAsiaTheme="minorEastAsia" w:hAnsiTheme="minorEastAsia" w:cs="宋体" w:hint="eastAsia"/>
          <w:sz w:val="24"/>
        </w:rPr>
        <w:t>为标的指数，</w:t>
      </w:r>
      <w:r w:rsidR="00475276" w:rsidRPr="003438BF">
        <w:rPr>
          <w:rFonts w:asciiTheme="minorEastAsia" w:eastAsiaTheme="minorEastAsia" w:hAnsiTheme="minorEastAsia" w:cs="宋体" w:hint="eastAsia"/>
          <w:sz w:val="24"/>
        </w:rPr>
        <w:t>主要通过投资于目标ETF，紧密跟踪标的指数，本基金投资于目标ETF的比例不低于基金资产净值的90%，选用以上指数收益率作为本基金的业绩比较基准可以有效评估本基金投资组合业绩，反映本基金的风格特点。</w:t>
      </w:r>
    </w:p>
    <w:p w14:paraId="69711CAB" w14:textId="3365B087" w:rsidR="007D0C9D" w:rsidRPr="003438BF" w:rsidRDefault="007D0C9D" w:rsidP="00881E8A">
      <w:pPr>
        <w:adjustRightInd w:val="0"/>
        <w:snapToGrid w:val="0"/>
        <w:spacing w:line="360" w:lineRule="auto"/>
        <w:ind w:firstLineChars="200" w:firstLine="480"/>
        <w:rPr>
          <w:rFonts w:asciiTheme="minorEastAsia" w:eastAsiaTheme="minorEastAsia" w:hAnsiTheme="minorEastAsia" w:cs="宋体"/>
          <w:sz w:val="24"/>
        </w:rPr>
      </w:pPr>
      <w:r>
        <w:rPr>
          <w:rFonts w:ascii="宋体" w:hAnsi="宋体" w:cs="宋体" w:hint="eastAsia"/>
          <w:sz w:val="24"/>
        </w:rPr>
        <w:t>本基金标的指数变更的，基金业绩比较基准随之变更，由基金管理人根据标的指数变更情形履行适当程序后调整。</w:t>
      </w:r>
    </w:p>
    <w:p w14:paraId="59E9E4C5" w14:textId="77777777" w:rsidR="00881E8A" w:rsidRPr="003438BF" w:rsidRDefault="00881E8A" w:rsidP="00881E8A">
      <w:pPr>
        <w:adjustRightInd w:val="0"/>
        <w:snapToGrid w:val="0"/>
        <w:spacing w:line="360" w:lineRule="auto"/>
        <w:ind w:firstLineChars="200" w:firstLine="480"/>
        <w:rPr>
          <w:rFonts w:asciiTheme="minorEastAsia" w:eastAsiaTheme="minorEastAsia" w:hAnsiTheme="minorEastAsia" w:cs="宋体"/>
          <w:sz w:val="24"/>
        </w:rPr>
      </w:pPr>
      <w:r w:rsidRPr="003438BF">
        <w:rPr>
          <w:rFonts w:asciiTheme="minorEastAsia" w:eastAsiaTheme="minorEastAsia" w:hAnsiTheme="minorEastAsia" w:cs="宋体"/>
          <w:sz w:val="24"/>
        </w:rPr>
        <w:t>六、风险收益特征</w:t>
      </w:r>
    </w:p>
    <w:p w14:paraId="7CFA4FF3" w14:textId="338AEF88" w:rsidR="00881E8A" w:rsidRPr="003438BF" w:rsidRDefault="00881E8A" w:rsidP="00881E8A">
      <w:pPr>
        <w:adjustRightInd w:val="0"/>
        <w:snapToGrid w:val="0"/>
        <w:spacing w:line="360" w:lineRule="auto"/>
        <w:ind w:firstLineChars="200" w:firstLine="480"/>
        <w:rPr>
          <w:rFonts w:asciiTheme="minorEastAsia" w:eastAsiaTheme="minorEastAsia" w:hAnsiTheme="minorEastAsia" w:cs="宋体"/>
          <w:sz w:val="24"/>
        </w:rPr>
      </w:pPr>
      <w:r w:rsidRPr="003438BF">
        <w:rPr>
          <w:rFonts w:asciiTheme="minorEastAsia" w:eastAsiaTheme="minorEastAsia" w:hAnsiTheme="minorEastAsia" w:cs="宋体" w:hint="eastAsia"/>
          <w:sz w:val="24"/>
        </w:rPr>
        <w:t>本基金为ETF联接基金，预期风险与预期收益高于债券型基金与货币市场基</w:t>
      </w:r>
      <w:r w:rsidRPr="003438BF">
        <w:rPr>
          <w:rFonts w:asciiTheme="minorEastAsia" w:eastAsiaTheme="minorEastAsia" w:hAnsiTheme="minorEastAsia" w:cs="宋体" w:hint="eastAsia"/>
          <w:sz w:val="24"/>
        </w:rPr>
        <w:lastRenderedPageBreak/>
        <w:t>金。本基金主要投资于目标ETF，紧密跟踪标的指数，具有与标的指数以及标的指数所代表的股票市场相似的风险收益特征。</w:t>
      </w:r>
    </w:p>
    <w:p w14:paraId="3005855B" w14:textId="6B6F9E25" w:rsidR="00DE055B" w:rsidRPr="003438BF" w:rsidRDefault="00DE055B" w:rsidP="00881E8A">
      <w:pPr>
        <w:adjustRightInd w:val="0"/>
        <w:snapToGrid w:val="0"/>
        <w:spacing w:line="360" w:lineRule="auto"/>
        <w:ind w:firstLineChars="200" w:firstLine="480"/>
        <w:rPr>
          <w:rFonts w:asciiTheme="minorEastAsia" w:eastAsiaTheme="minorEastAsia" w:hAnsiTheme="minorEastAsia" w:cs="宋体"/>
          <w:sz w:val="24"/>
        </w:rPr>
      </w:pPr>
      <w:r w:rsidRPr="003438BF">
        <w:rPr>
          <w:rFonts w:asciiTheme="minorEastAsia" w:eastAsiaTheme="minorEastAsia" w:hAnsiTheme="minorEastAsia" w:cs="宋体" w:hint="eastAsia"/>
          <w:sz w:val="24"/>
        </w:rPr>
        <w:t>本基金可投资于科创板股票，</w:t>
      </w:r>
      <w:r w:rsidR="00316D1A" w:rsidRPr="003438BF">
        <w:rPr>
          <w:rFonts w:asciiTheme="minorEastAsia" w:eastAsiaTheme="minorEastAsia" w:hAnsiTheme="minorEastAsia" w:cs="宋体" w:hint="eastAsia"/>
          <w:sz w:val="24"/>
        </w:rPr>
        <w:t>若投资</w:t>
      </w:r>
      <w:r w:rsidRPr="003438BF">
        <w:rPr>
          <w:rFonts w:asciiTheme="minorEastAsia" w:eastAsiaTheme="minorEastAsia" w:hAnsiTheme="minorEastAsia" w:cs="宋体" w:hint="eastAsia"/>
          <w:sz w:val="24"/>
        </w:rPr>
        <w:t>会面临科创板机制下因投资标的、市场制度以及交易规则等差异带来的特有风险，包括但不限于科创板上市公司股票价格波动较大的风险、流动性风险、退市风险和投资集中风险等。</w:t>
      </w:r>
    </w:p>
    <w:p w14:paraId="29DA1D2E" w14:textId="77777777" w:rsidR="00881E8A" w:rsidRPr="003438BF" w:rsidRDefault="00881E8A" w:rsidP="00881E8A">
      <w:pPr>
        <w:adjustRightInd w:val="0"/>
        <w:snapToGrid w:val="0"/>
        <w:spacing w:line="360" w:lineRule="auto"/>
        <w:ind w:firstLineChars="200" w:firstLine="480"/>
        <w:rPr>
          <w:rFonts w:asciiTheme="minorEastAsia" w:eastAsiaTheme="minorEastAsia" w:hAnsiTheme="minorEastAsia" w:cs="宋体"/>
          <w:sz w:val="24"/>
        </w:rPr>
      </w:pPr>
      <w:r w:rsidRPr="003438BF">
        <w:rPr>
          <w:rFonts w:asciiTheme="minorEastAsia" w:eastAsiaTheme="minorEastAsia" w:hAnsiTheme="minorEastAsia" w:cs="宋体" w:hint="eastAsia"/>
          <w:sz w:val="24"/>
        </w:rPr>
        <w:t>七、基金管理人代表基金行使相关权利的处理原则及方法</w:t>
      </w:r>
    </w:p>
    <w:p w14:paraId="2F9E49F3" w14:textId="77777777" w:rsidR="00881E8A" w:rsidRPr="003438BF" w:rsidRDefault="00881E8A" w:rsidP="00881E8A">
      <w:pPr>
        <w:adjustRightInd w:val="0"/>
        <w:snapToGrid w:val="0"/>
        <w:spacing w:line="360" w:lineRule="auto"/>
        <w:ind w:firstLineChars="200" w:firstLine="480"/>
        <w:rPr>
          <w:rFonts w:asciiTheme="minorEastAsia" w:eastAsiaTheme="minorEastAsia" w:hAnsiTheme="minorEastAsia" w:cs="宋体"/>
          <w:sz w:val="24"/>
        </w:rPr>
      </w:pPr>
      <w:r w:rsidRPr="003438BF">
        <w:rPr>
          <w:rFonts w:asciiTheme="minorEastAsia" w:eastAsiaTheme="minorEastAsia" w:hAnsiTheme="minorEastAsia" w:cs="宋体" w:hint="eastAsia"/>
          <w:sz w:val="24"/>
        </w:rPr>
        <w:t>1、基金管理人按照国家有关规定代表基金独立行使相关权利，保护基金份额持有人的利益；</w:t>
      </w:r>
    </w:p>
    <w:p w14:paraId="6687B9C1" w14:textId="77777777" w:rsidR="00881E8A" w:rsidRPr="003438BF" w:rsidRDefault="00881E8A" w:rsidP="00881E8A">
      <w:pPr>
        <w:adjustRightInd w:val="0"/>
        <w:snapToGrid w:val="0"/>
        <w:spacing w:line="360" w:lineRule="auto"/>
        <w:ind w:firstLineChars="200" w:firstLine="480"/>
        <w:rPr>
          <w:rFonts w:asciiTheme="minorEastAsia" w:eastAsiaTheme="minorEastAsia" w:hAnsiTheme="minorEastAsia" w:cs="宋体"/>
          <w:sz w:val="24"/>
        </w:rPr>
      </w:pPr>
      <w:r w:rsidRPr="003438BF">
        <w:rPr>
          <w:rFonts w:asciiTheme="minorEastAsia" w:eastAsiaTheme="minorEastAsia" w:hAnsiTheme="minorEastAsia" w:cs="宋体" w:hint="eastAsia"/>
          <w:sz w:val="24"/>
        </w:rPr>
        <w:t>2、不谋求对上市公司的控股；</w:t>
      </w:r>
    </w:p>
    <w:p w14:paraId="7FEE1014" w14:textId="77777777" w:rsidR="00881E8A" w:rsidRPr="003438BF" w:rsidRDefault="00881E8A" w:rsidP="00881E8A">
      <w:pPr>
        <w:adjustRightInd w:val="0"/>
        <w:snapToGrid w:val="0"/>
        <w:spacing w:line="360" w:lineRule="auto"/>
        <w:ind w:firstLineChars="200" w:firstLine="480"/>
        <w:rPr>
          <w:rFonts w:asciiTheme="minorEastAsia" w:eastAsiaTheme="minorEastAsia" w:hAnsiTheme="minorEastAsia" w:cs="宋体"/>
          <w:sz w:val="24"/>
        </w:rPr>
      </w:pPr>
      <w:r w:rsidRPr="003438BF">
        <w:rPr>
          <w:rFonts w:asciiTheme="minorEastAsia" w:eastAsiaTheme="minorEastAsia" w:hAnsiTheme="minorEastAsia" w:cs="宋体" w:hint="eastAsia"/>
          <w:sz w:val="24"/>
        </w:rPr>
        <w:t>3、有利于基金财产的安全与增值；</w:t>
      </w:r>
    </w:p>
    <w:p w14:paraId="6AEBCFD7" w14:textId="77777777" w:rsidR="00881E8A" w:rsidRPr="003438BF" w:rsidRDefault="00881E8A" w:rsidP="00881E8A">
      <w:pPr>
        <w:adjustRightInd w:val="0"/>
        <w:snapToGrid w:val="0"/>
        <w:spacing w:line="360" w:lineRule="auto"/>
        <w:ind w:firstLineChars="200" w:firstLine="480"/>
        <w:rPr>
          <w:rFonts w:asciiTheme="minorEastAsia" w:eastAsiaTheme="minorEastAsia" w:hAnsiTheme="minorEastAsia" w:cs="宋体"/>
          <w:sz w:val="24"/>
        </w:rPr>
      </w:pPr>
      <w:r w:rsidRPr="003438BF">
        <w:rPr>
          <w:rFonts w:asciiTheme="minorEastAsia" w:eastAsiaTheme="minorEastAsia" w:hAnsiTheme="minorEastAsia" w:cs="宋体" w:hint="eastAsia"/>
          <w:sz w:val="24"/>
        </w:rPr>
        <w:t>4、不通过关联交易为自身、雇员、授权代理人或任何存在利害关系的第三人牟取任何不当利益。</w:t>
      </w:r>
    </w:p>
    <w:p w14:paraId="73915F9E" w14:textId="77777777" w:rsidR="00881E8A" w:rsidRPr="003438BF" w:rsidRDefault="00881E8A" w:rsidP="00881E8A">
      <w:pPr>
        <w:adjustRightInd w:val="0"/>
        <w:snapToGrid w:val="0"/>
        <w:spacing w:line="360" w:lineRule="auto"/>
        <w:ind w:firstLineChars="200" w:firstLine="480"/>
        <w:rPr>
          <w:rFonts w:asciiTheme="minorEastAsia" w:eastAsiaTheme="minorEastAsia" w:hAnsiTheme="minorEastAsia" w:cs="宋体"/>
          <w:sz w:val="24"/>
        </w:rPr>
      </w:pPr>
      <w:r w:rsidRPr="003438BF">
        <w:rPr>
          <w:rFonts w:asciiTheme="minorEastAsia" w:eastAsiaTheme="minorEastAsia" w:hAnsiTheme="minorEastAsia" w:cs="宋体" w:hint="eastAsia"/>
          <w:sz w:val="24"/>
        </w:rPr>
        <w:t>八、目标ETF发生相关变更情形时的处理</w:t>
      </w:r>
    </w:p>
    <w:p w14:paraId="2B0E1B9F" w14:textId="29F4A027" w:rsidR="00881E8A" w:rsidRPr="003438BF" w:rsidRDefault="00881E8A" w:rsidP="00881E8A">
      <w:pPr>
        <w:adjustRightInd w:val="0"/>
        <w:snapToGrid w:val="0"/>
        <w:spacing w:line="360" w:lineRule="auto"/>
        <w:ind w:firstLineChars="200" w:firstLine="480"/>
        <w:rPr>
          <w:rFonts w:asciiTheme="minorEastAsia" w:eastAsiaTheme="minorEastAsia" w:hAnsiTheme="minorEastAsia" w:cs="宋体"/>
          <w:sz w:val="24"/>
        </w:rPr>
      </w:pPr>
      <w:r w:rsidRPr="003438BF">
        <w:rPr>
          <w:rFonts w:asciiTheme="minorEastAsia" w:eastAsiaTheme="minorEastAsia" w:hAnsiTheme="minorEastAsia" w:cs="宋体" w:hint="eastAsia"/>
          <w:sz w:val="24"/>
        </w:rPr>
        <w:t>目标ETF出现下述情形之一的，本基金将由投资于目标ETF的联接基金变更为直接投资该标的指数的指数基金，无需召开基金份额持有人大会</w:t>
      </w:r>
      <w:r w:rsidR="00AE6986" w:rsidRPr="003438BF">
        <w:rPr>
          <w:rFonts w:asciiTheme="minorEastAsia" w:eastAsiaTheme="minorEastAsia" w:hAnsiTheme="minorEastAsia" w:cs="宋体" w:hint="eastAsia"/>
          <w:sz w:val="24"/>
        </w:rPr>
        <w:t>；若届时本基金管理人已有以该指数作为标的指数的指数基金，则本基金将本着维护投资者合法权益的原则，</w:t>
      </w:r>
      <w:r w:rsidR="00AE6986" w:rsidRPr="003438BF">
        <w:rPr>
          <w:rFonts w:asciiTheme="minorEastAsia" w:eastAsiaTheme="minorEastAsia" w:hAnsiTheme="minorEastAsia" w:cs="宋体"/>
          <w:sz w:val="24"/>
        </w:rPr>
        <w:t>在履行适当程序后，</w:t>
      </w:r>
      <w:r w:rsidR="00AE6986" w:rsidRPr="003438BF">
        <w:rPr>
          <w:rFonts w:asciiTheme="minorEastAsia" w:eastAsiaTheme="minorEastAsia" w:hAnsiTheme="minorEastAsia" w:cs="宋体" w:hint="eastAsia"/>
          <w:sz w:val="24"/>
        </w:rPr>
        <w:t>选取其他合适的指数作为标的指数</w:t>
      </w:r>
      <w:r w:rsidRPr="003438BF">
        <w:rPr>
          <w:rFonts w:asciiTheme="minorEastAsia" w:eastAsiaTheme="minorEastAsia" w:hAnsiTheme="minorEastAsia" w:cs="宋体" w:hint="eastAsia"/>
          <w:sz w:val="24"/>
        </w:rPr>
        <w:t>。相应地，基金合同中将删除关于目标ETF的表述部分</w:t>
      </w:r>
      <w:r w:rsidR="00C93EF6" w:rsidRPr="003438BF">
        <w:rPr>
          <w:rFonts w:asciiTheme="minorEastAsia" w:eastAsiaTheme="minorEastAsia" w:hAnsiTheme="minorEastAsia" w:cs="宋体" w:hint="eastAsia"/>
          <w:sz w:val="24"/>
        </w:rPr>
        <w:t>，或将变更标的指数</w:t>
      </w:r>
      <w:r w:rsidRPr="003438BF">
        <w:rPr>
          <w:rFonts w:asciiTheme="minorEastAsia" w:eastAsiaTheme="minorEastAsia" w:hAnsiTheme="minorEastAsia" w:cs="宋体" w:hint="eastAsia"/>
          <w:sz w:val="24"/>
        </w:rPr>
        <w:t>，届时将由基金管理人另行公告。</w:t>
      </w:r>
    </w:p>
    <w:p w14:paraId="574679E7" w14:textId="77777777" w:rsidR="00881E8A" w:rsidRPr="003438BF" w:rsidRDefault="00881E8A" w:rsidP="00881E8A">
      <w:pPr>
        <w:adjustRightInd w:val="0"/>
        <w:snapToGrid w:val="0"/>
        <w:spacing w:line="360" w:lineRule="auto"/>
        <w:ind w:firstLineChars="200" w:firstLine="480"/>
        <w:rPr>
          <w:rFonts w:asciiTheme="minorEastAsia" w:eastAsiaTheme="minorEastAsia" w:hAnsiTheme="minorEastAsia" w:cs="宋体"/>
          <w:sz w:val="24"/>
        </w:rPr>
      </w:pPr>
      <w:r w:rsidRPr="003438BF">
        <w:rPr>
          <w:rFonts w:asciiTheme="minorEastAsia" w:eastAsiaTheme="minorEastAsia" w:hAnsiTheme="minorEastAsia" w:cs="宋体" w:hint="eastAsia"/>
          <w:sz w:val="24"/>
        </w:rPr>
        <w:t>（一）目标ETF交易方式发生重大变更致使本基金的投资策略难以实现；</w:t>
      </w:r>
    </w:p>
    <w:p w14:paraId="45BF7646" w14:textId="77777777" w:rsidR="00881E8A" w:rsidRPr="003438BF" w:rsidRDefault="00881E8A" w:rsidP="00881E8A">
      <w:pPr>
        <w:adjustRightInd w:val="0"/>
        <w:snapToGrid w:val="0"/>
        <w:spacing w:line="360" w:lineRule="auto"/>
        <w:ind w:firstLineChars="200" w:firstLine="480"/>
        <w:rPr>
          <w:rFonts w:asciiTheme="minorEastAsia" w:eastAsiaTheme="minorEastAsia" w:hAnsiTheme="minorEastAsia" w:cs="宋体"/>
          <w:sz w:val="24"/>
        </w:rPr>
      </w:pPr>
      <w:r w:rsidRPr="003438BF">
        <w:rPr>
          <w:rFonts w:asciiTheme="minorEastAsia" w:eastAsiaTheme="minorEastAsia" w:hAnsiTheme="minorEastAsia" w:cs="宋体" w:hint="eastAsia"/>
          <w:sz w:val="24"/>
        </w:rPr>
        <w:t>（二）目标ETF终止上市；</w:t>
      </w:r>
    </w:p>
    <w:p w14:paraId="5D292FB9" w14:textId="77777777" w:rsidR="00881E8A" w:rsidRPr="003438BF" w:rsidRDefault="00881E8A" w:rsidP="00881E8A">
      <w:pPr>
        <w:adjustRightInd w:val="0"/>
        <w:snapToGrid w:val="0"/>
        <w:spacing w:line="360" w:lineRule="auto"/>
        <w:ind w:firstLineChars="200" w:firstLine="480"/>
        <w:rPr>
          <w:rFonts w:asciiTheme="minorEastAsia" w:eastAsiaTheme="minorEastAsia" w:hAnsiTheme="minorEastAsia" w:cs="宋体"/>
          <w:sz w:val="24"/>
        </w:rPr>
      </w:pPr>
      <w:r w:rsidRPr="003438BF">
        <w:rPr>
          <w:rFonts w:asciiTheme="minorEastAsia" w:eastAsiaTheme="minorEastAsia" w:hAnsiTheme="minorEastAsia" w:cs="宋体" w:hint="eastAsia"/>
          <w:sz w:val="24"/>
        </w:rPr>
        <w:t>（三）目标ETF基金合同终止；</w:t>
      </w:r>
    </w:p>
    <w:p w14:paraId="1018B350" w14:textId="77777777" w:rsidR="00881E8A" w:rsidRPr="003438BF" w:rsidRDefault="00881E8A" w:rsidP="00881E8A">
      <w:pPr>
        <w:adjustRightInd w:val="0"/>
        <w:snapToGrid w:val="0"/>
        <w:spacing w:line="360" w:lineRule="auto"/>
        <w:ind w:firstLineChars="200" w:firstLine="480"/>
        <w:rPr>
          <w:rFonts w:asciiTheme="minorEastAsia" w:eastAsiaTheme="minorEastAsia" w:hAnsiTheme="minorEastAsia" w:cs="宋体"/>
          <w:sz w:val="24"/>
        </w:rPr>
      </w:pPr>
      <w:r w:rsidRPr="003438BF">
        <w:rPr>
          <w:rFonts w:asciiTheme="minorEastAsia" w:eastAsiaTheme="minorEastAsia" w:hAnsiTheme="minorEastAsia" w:cs="宋体" w:hint="eastAsia"/>
          <w:sz w:val="24"/>
        </w:rPr>
        <w:t>（四）目标ETF的基金管理人发生变更（但变更后的本基金与目标ETF的基金管理人相同的除外）；</w:t>
      </w:r>
    </w:p>
    <w:p w14:paraId="1EA3B525" w14:textId="77777777" w:rsidR="00881E8A" w:rsidRPr="003438BF" w:rsidRDefault="00881E8A" w:rsidP="00881E8A">
      <w:pPr>
        <w:adjustRightInd w:val="0"/>
        <w:snapToGrid w:val="0"/>
        <w:spacing w:line="360" w:lineRule="auto"/>
        <w:ind w:firstLineChars="200" w:firstLine="480"/>
        <w:rPr>
          <w:rFonts w:asciiTheme="minorEastAsia" w:eastAsiaTheme="minorEastAsia" w:hAnsiTheme="minorEastAsia" w:cs="宋体"/>
          <w:sz w:val="24"/>
        </w:rPr>
      </w:pPr>
      <w:r w:rsidRPr="003438BF">
        <w:rPr>
          <w:rFonts w:asciiTheme="minorEastAsia" w:eastAsiaTheme="minorEastAsia" w:hAnsiTheme="minorEastAsia" w:cs="宋体" w:hint="eastAsia"/>
          <w:sz w:val="24"/>
        </w:rPr>
        <w:t>（五）目标ETF与其他基金进行合并；</w:t>
      </w:r>
    </w:p>
    <w:p w14:paraId="0968FEF2" w14:textId="77777777" w:rsidR="00881E8A" w:rsidRPr="003438BF" w:rsidRDefault="00881E8A" w:rsidP="00881E8A">
      <w:pPr>
        <w:adjustRightInd w:val="0"/>
        <w:snapToGrid w:val="0"/>
        <w:spacing w:line="360" w:lineRule="auto"/>
        <w:ind w:firstLineChars="200" w:firstLine="480"/>
        <w:rPr>
          <w:rFonts w:asciiTheme="minorEastAsia" w:eastAsiaTheme="minorEastAsia" w:hAnsiTheme="minorEastAsia" w:cs="宋体"/>
          <w:sz w:val="24"/>
        </w:rPr>
      </w:pPr>
      <w:r w:rsidRPr="003438BF">
        <w:rPr>
          <w:rFonts w:asciiTheme="minorEastAsia" w:eastAsiaTheme="minorEastAsia" w:hAnsiTheme="minorEastAsia" w:cs="宋体" w:hint="eastAsia"/>
          <w:sz w:val="24"/>
        </w:rPr>
        <w:t>（六）</w:t>
      </w:r>
      <w:r w:rsidRPr="003438BF">
        <w:rPr>
          <w:rFonts w:asciiTheme="minorEastAsia" w:eastAsiaTheme="minorEastAsia" w:hAnsiTheme="minorEastAsia" w:cs="宋体"/>
          <w:sz w:val="24"/>
        </w:rPr>
        <w:t>中国证监会规定的其他情形。</w:t>
      </w:r>
    </w:p>
    <w:p w14:paraId="1C094DBA" w14:textId="07EC2FDE" w:rsidR="00881E8A" w:rsidRPr="003438BF" w:rsidRDefault="0082747E" w:rsidP="00881E8A">
      <w:pPr>
        <w:adjustRightInd w:val="0"/>
        <w:snapToGrid w:val="0"/>
        <w:spacing w:line="360" w:lineRule="auto"/>
        <w:ind w:firstLineChars="200" w:firstLine="480"/>
        <w:rPr>
          <w:rFonts w:asciiTheme="minorEastAsia" w:eastAsiaTheme="minorEastAsia" w:hAnsiTheme="minorEastAsia" w:cs="宋体"/>
          <w:sz w:val="24"/>
        </w:rPr>
      </w:pPr>
      <w:r w:rsidRPr="003438BF">
        <w:rPr>
          <w:rFonts w:asciiTheme="minorEastAsia" w:eastAsiaTheme="minorEastAsia" w:hAnsiTheme="minorEastAsia" w:cs="宋体" w:hint="eastAsia"/>
          <w:sz w:val="24"/>
        </w:rPr>
        <w:t>若目标ETF变更标的指数，本基金将相应变更标的指数且继续投资于该目标ETF。但目标ETF召开基金份额持有人大会审议变更目标ETF标的指数事项的，本</w:t>
      </w:r>
      <w:r w:rsidRPr="003438BF">
        <w:rPr>
          <w:rFonts w:asciiTheme="minorEastAsia" w:eastAsiaTheme="minorEastAsia" w:hAnsiTheme="minorEastAsia" w:cs="宋体"/>
          <w:sz w:val="24"/>
        </w:rPr>
        <w:t>基金</w:t>
      </w:r>
      <w:r w:rsidRPr="003438BF">
        <w:rPr>
          <w:rFonts w:asciiTheme="minorEastAsia" w:eastAsiaTheme="minorEastAsia" w:hAnsiTheme="minorEastAsia" w:cs="宋体" w:hint="eastAsia"/>
          <w:sz w:val="24"/>
        </w:rPr>
        <w:t>基金份额持有人应当根据基金合同约定参加目标ETF基金</w:t>
      </w:r>
      <w:r w:rsidRPr="003438BF">
        <w:rPr>
          <w:rFonts w:asciiTheme="minorEastAsia" w:eastAsiaTheme="minorEastAsia" w:hAnsiTheme="minorEastAsia" w:cs="宋体"/>
          <w:sz w:val="24"/>
        </w:rPr>
        <w:t>份额</w:t>
      </w:r>
      <w:r w:rsidRPr="003438BF">
        <w:rPr>
          <w:rFonts w:asciiTheme="minorEastAsia" w:eastAsiaTheme="minorEastAsia" w:hAnsiTheme="minorEastAsia" w:cs="宋体" w:hint="eastAsia"/>
          <w:sz w:val="24"/>
        </w:rPr>
        <w:t>持有人大会进行表决，目标ETF基金份额持有人大会审议通过变更标的指数事项的，本基</w:t>
      </w:r>
      <w:r w:rsidRPr="003438BF">
        <w:rPr>
          <w:rFonts w:asciiTheme="minorEastAsia" w:eastAsiaTheme="minorEastAsia" w:hAnsiTheme="minorEastAsia" w:cs="宋体" w:hint="eastAsia"/>
          <w:sz w:val="24"/>
        </w:rPr>
        <w:lastRenderedPageBreak/>
        <w:t>金无需召开基金份额持有人大会即可相应变更标的指数并仍为该目标ETF的联接基金。</w:t>
      </w:r>
    </w:p>
    <w:p w14:paraId="2BF79ACF" w14:textId="77777777" w:rsidR="00881E8A" w:rsidRPr="003438BF" w:rsidRDefault="00881E8A" w:rsidP="00881E8A">
      <w:pPr>
        <w:adjustRightInd w:val="0"/>
        <w:snapToGrid w:val="0"/>
        <w:spacing w:line="360" w:lineRule="auto"/>
        <w:ind w:firstLineChars="200" w:firstLine="480"/>
        <w:rPr>
          <w:rFonts w:asciiTheme="minorEastAsia" w:eastAsiaTheme="minorEastAsia" w:hAnsiTheme="minorEastAsia" w:cs="宋体"/>
          <w:sz w:val="24"/>
        </w:rPr>
      </w:pPr>
      <w:r w:rsidRPr="003438BF">
        <w:rPr>
          <w:rFonts w:asciiTheme="minorEastAsia" w:eastAsiaTheme="minorEastAsia" w:hAnsiTheme="minorEastAsia" w:cs="宋体" w:hint="eastAsia"/>
          <w:sz w:val="24"/>
        </w:rPr>
        <w:t>九、侧袋机制的实施和投资运作安排</w:t>
      </w:r>
    </w:p>
    <w:p w14:paraId="54FAC08E" w14:textId="77777777" w:rsidR="00881E8A" w:rsidRPr="003438BF" w:rsidRDefault="00881E8A" w:rsidP="00881E8A">
      <w:pPr>
        <w:adjustRightInd w:val="0"/>
        <w:snapToGrid w:val="0"/>
        <w:spacing w:line="360" w:lineRule="auto"/>
        <w:ind w:firstLineChars="200" w:firstLine="480"/>
        <w:rPr>
          <w:rFonts w:asciiTheme="minorEastAsia" w:eastAsiaTheme="minorEastAsia" w:hAnsiTheme="minorEastAsia" w:cs="宋体"/>
          <w:sz w:val="24"/>
        </w:rPr>
      </w:pPr>
      <w:r w:rsidRPr="003438BF">
        <w:rPr>
          <w:rFonts w:asciiTheme="minorEastAsia" w:eastAsiaTheme="minorEastAsia" w:hAnsiTheme="minorEastAsia" w:cs="宋体" w:hint="eastAsia"/>
          <w:sz w:val="24"/>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14:paraId="32B9DAC2" w14:textId="77777777" w:rsidR="00881E8A" w:rsidRPr="003438BF" w:rsidRDefault="00881E8A" w:rsidP="00881E8A">
      <w:pPr>
        <w:adjustRightInd w:val="0"/>
        <w:snapToGrid w:val="0"/>
        <w:spacing w:line="360" w:lineRule="auto"/>
        <w:ind w:firstLineChars="200" w:firstLine="480"/>
        <w:rPr>
          <w:rFonts w:asciiTheme="minorEastAsia" w:eastAsiaTheme="minorEastAsia" w:hAnsiTheme="minorEastAsia" w:cs="宋体"/>
          <w:sz w:val="24"/>
        </w:rPr>
      </w:pPr>
      <w:r w:rsidRPr="003438BF">
        <w:rPr>
          <w:rFonts w:asciiTheme="minorEastAsia" w:eastAsiaTheme="minorEastAsia" w:hAnsiTheme="minorEastAsia" w:cs="宋体" w:hint="eastAsia"/>
          <w:sz w:val="24"/>
        </w:rPr>
        <w:t>侧袋机制实施期间，本部分约定的投资组合比例、投资策略、组合限制、业绩比较基准、风险收益特征等约定仅适用于主袋账户。</w:t>
      </w:r>
    </w:p>
    <w:p w14:paraId="5888D5CE" w14:textId="4BA4D88E" w:rsidR="00BF4A4E" w:rsidRDefault="00881E8A">
      <w:pPr>
        <w:pStyle w:val="20"/>
        <w:adjustRightInd w:val="0"/>
        <w:snapToGrid w:val="0"/>
        <w:ind w:firstLine="480"/>
        <w:rPr>
          <w:rFonts w:cs="宋体"/>
          <w:sz w:val="24"/>
        </w:rPr>
      </w:pPr>
      <w:r w:rsidRPr="003438BF">
        <w:rPr>
          <w:rFonts w:asciiTheme="minorEastAsia" w:eastAsiaTheme="minorEastAsia" w:hAnsiTheme="minorEastAsia" w:cs="宋体" w:hint="eastAsia"/>
          <w:sz w:val="24"/>
        </w:rPr>
        <w:t>侧袋账户的实施条件、实施程序、运作安排、投资安排、特定资产的处置变现和支付等对投资者权益有重大影响的事项详见招募说明书的规定</w:t>
      </w:r>
      <w:r w:rsidR="00BF4A4E" w:rsidRPr="003438BF">
        <w:rPr>
          <w:rFonts w:asciiTheme="minorEastAsia" w:eastAsiaTheme="minorEastAsia" w:hAnsiTheme="minorEastAsia" w:cs="宋体" w:hint="eastAsia"/>
          <w:sz w:val="24"/>
        </w:rPr>
        <w:t>。</w:t>
      </w:r>
    </w:p>
    <w:p w14:paraId="147F199A" w14:textId="77777777" w:rsidR="00BF4A4E" w:rsidRDefault="00BF4A4E">
      <w:pPr>
        <w:pStyle w:val="1"/>
        <w:adjustRightInd w:val="0"/>
        <w:snapToGrid w:val="0"/>
        <w:spacing w:before="0" w:after="0" w:line="360" w:lineRule="auto"/>
        <w:jc w:val="center"/>
        <w:rPr>
          <w:rFonts w:ascii="宋体" w:hAnsi="宋体"/>
        </w:rPr>
      </w:pPr>
      <w:r>
        <w:rPr>
          <w:rFonts w:ascii="宋体" w:hAnsi="宋体"/>
        </w:rPr>
        <w:br w:type="page"/>
      </w:r>
      <w:bookmarkStart w:id="50" w:name="_Toc88037850"/>
      <w:bookmarkStart w:id="51" w:name="_Toc122336554"/>
      <w:bookmarkStart w:id="52" w:name="_Toc103003352"/>
      <w:r>
        <w:rPr>
          <w:rFonts w:ascii="宋体" w:hAnsi="宋体"/>
        </w:rPr>
        <w:lastRenderedPageBreak/>
        <w:t>第</w:t>
      </w:r>
      <w:r>
        <w:rPr>
          <w:rFonts w:ascii="宋体" w:hAnsi="宋体" w:hint="eastAsia"/>
        </w:rPr>
        <w:t>十</w:t>
      </w:r>
      <w:r>
        <w:rPr>
          <w:rFonts w:ascii="宋体" w:hAnsi="宋体"/>
        </w:rPr>
        <w:t>部分</w:t>
      </w:r>
      <w:r>
        <w:rPr>
          <w:rFonts w:ascii="宋体" w:hAnsi="宋体" w:hint="eastAsia"/>
        </w:rPr>
        <w:t xml:space="preserve">  基金的财产</w:t>
      </w:r>
      <w:bookmarkEnd w:id="50"/>
      <w:bookmarkEnd w:id="51"/>
      <w:bookmarkEnd w:id="52"/>
    </w:p>
    <w:p w14:paraId="6B05F3A6" w14:textId="77777777" w:rsidR="00BF4A4E" w:rsidRDefault="00BF4A4E">
      <w:pPr>
        <w:pStyle w:val="20"/>
        <w:adjustRightInd w:val="0"/>
        <w:snapToGrid w:val="0"/>
        <w:ind w:firstLine="480"/>
        <w:rPr>
          <w:sz w:val="24"/>
        </w:rPr>
      </w:pPr>
    </w:p>
    <w:p w14:paraId="43C5D416" w14:textId="77777777" w:rsidR="00DF5D16" w:rsidRDefault="00DF5D16" w:rsidP="00DF5D16">
      <w:pPr>
        <w:adjustRightInd w:val="0"/>
        <w:snapToGrid w:val="0"/>
        <w:spacing w:line="360" w:lineRule="auto"/>
        <w:ind w:firstLineChars="200" w:firstLine="480"/>
        <w:rPr>
          <w:bCs/>
          <w:sz w:val="24"/>
        </w:rPr>
      </w:pPr>
      <w:r>
        <w:rPr>
          <w:bCs/>
          <w:sz w:val="24"/>
        </w:rPr>
        <w:t>一、基金资产总值</w:t>
      </w:r>
    </w:p>
    <w:p w14:paraId="17661E72" w14:textId="77777777" w:rsidR="00DF5D16" w:rsidRDefault="00DF5D16" w:rsidP="00DF5D16">
      <w:pPr>
        <w:adjustRightInd w:val="0"/>
        <w:snapToGrid w:val="0"/>
        <w:spacing w:line="360" w:lineRule="auto"/>
        <w:ind w:firstLineChars="200" w:firstLine="480"/>
        <w:rPr>
          <w:bCs/>
          <w:sz w:val="24"/>
        </w:rPr>
      </w:pPr>
      <w:r>
        <w:rPr>
          <w:bCs/>
          <w:sz w:val="24"/>
        </w:rPr>
        <w:t>基金资产总值是指基金拥有的目标</w:t>
      </w:r>
      <w:r>
        <w:rPr>
          <w:rFonts w:ascii="宋体" w:hAnsi="宋体" w:hint="eastAsia"/>
          <w:bCs/>
          <w:sz w:val="24"/>
        </w:rPr>
        <w:t>E</w:t>
      </w:r>
      <w:r>
        <w:rPr>
          <w:rFonts w:ascii="宋体" w:hAnsi="宋体"/>
          <w:bCs/>
          <w:sz w:val="24"/>
        </w:rPr>
        <w:t>TF</w:t>
      </w:r>
      <w:r>
        <w:rPr>
          <w:bCs/>
          <w:sz w:val="24"/>
        </w:rPr>
        <w:t>份额、各类有价证券、银行存款本息、基金应收款项及其他资产的价值总和。</w:t>
      </w:r>
    </w:p>
    <w:p w14:paraId="43AAB5B5" w14:textId="77777777" w:rsidR="00DF5D16" w:rsidRDefault="00DF5D16" w:rsidP="00DF5D16">
      <w:pPr>
        <w:adjustRightInd w:val="0"/>
        <w:snapToGrid w:val="0"/>
        <w:spacing w:line="360" w:lineRule="auto"/>
        <w:ind w:firstLineChars="200" w:firstLine="480"/>
        <w:rPr>
          <w:bCs/>
          <w:sz w:val="24"/>
        </w:rPr>
      </w:pPr>
      <w:r>
        <w:rPr>
          <w:bCs/>
          <w:sz w:val="24"/>
        </w:rPr>
        <w:t>二、基金资产净值</w:t>
      </w:r>
    </w:p>
    <w:p w14:paraId="0709C6BC" w14:textId="77777777" w:rsidR="00DF5D16" w:rsidRDefault="00DF5D16" w:rsidP="00DF5D16">
      <w:pPr>
        <w:adjustRightInd w:val="0"/>
        <w:snapToGrid w:val="0"/>
        <w:spacing w:line="360" w:lineRule="auto"/>
        <w:ind w:firstLineChars="200" w:firstLine="480"/>
        <w:rPr>
          <w:bCs/>
          <w:sz w:val="24"/>
        </w:rPr>
      </w:pPr>
      <w:r>
        <w:rPr>
          <w:bCs/>
          <w:sz w:val="24"/>
        </w:rPr>
        <w:t>基金资产净值是指基金资产总值减去基金负债后的价值。</w:t>
      </w:r>
    </w:p>
    <w:p w14:paraId="1D19D5F1" w14:textId="77777777" w:rsidR="00DF5D16" w:rsidRDefault="00DF5D16" w:rsidP="00DF5D16">
      <w:pPr>
        <w:adjustRightInd w:val="0"/>
        <w:snapToGrid w:val="0"/>
        <w:spacing w:line="360" w:lineRule="auto"/>
        <w:ind w:firstLineChars="200" w:firstLine="480"/>
        <w:rPr>
          <w:bCs/>
          <w:sz w:val="24"/>
        </w:rPr>
      </w:pPr>
      <w:r>
        <w:rPr>
          <w:bCs/>
          <w:sz w:val="24"/>
        </w:rPr>
        <w:t>三、基金财产的账户</w:t>
      </w:r>
    </w:p>
    <w:p w14:paraId="03314882" w14:textId="27BF7166" w:rsidR="00DF5D16" w:rsidRDefault="00DF5D16" w:rsidP="00DF5D16">
      <w:pPr>
        <w:adjustRightInd w:val="0"/>
        <w:snapToGrid w:val="0"/>
        <w:spacing w:line="360" w:lineRule="auto"/>
        <w:ind w:firstLineChars="200" w:firstLine="480"/>
      </w:pPr>
      <w:r>
        <w:rPr>
          <w:bCs/>
          <w:sz w:val="24"/>
        </w:rPr>
        <w:t>基金托管人根据相关法律法规、规范性文件为本基金开立资金账户、证券账户以及投资所需的其他专用账户。开立的基金专用账户与基金管理人、基金托管人、销售机构</w:t>
      </w:r>
      <w:r w:rsidR="00914246">
        <w:rPr>
          <w:bCs/>
          <w:sz w:val="24"/>
        </w:rPr>
        <w:t>、证券经纪机构</w:t>
      </w:r>
      <w:r>
        <w:rPr>
          <w:bCs/>
          <w:sz w:val="24"/>
        </w:rPr>
        <w:t>和基金登记机构自有的财产账户以及其他基金财产账户相独立。</w:t>
      </w:r>
    </w:p>
    <w:p w14:paraId="14B7616C" w14:textId="77777777" w:rsidR="00DF5D16" w:rsidRDefault="00DF5D16" w:rsidP="00DF5D16">
      <w:pPr>
        <w:adjustRightInd w:val="0"/>
        <w:snapToGrid w:val="0"/>
        <w:spacing w:line="360" w:lineRule="auto"/>
        <w:ind w:firstLineChars="200" w:firstLine="480"/>
        <w:rPr>
          <w:bCs/>
          <w:sz w:val="24"/>
        </w:rPr>
      </w:pPr>
      <w:r>
        <w:rPr>
          <w:bCs/>
          <w:sz w:val="24"/>
        </w:rPr>
        <w:t>四、基金财产的保管和处分</w:t>
      </w:r>
    </w:p>
    <w:p w14:paraId="5A211692" w14:textId="0C774720" w:rsidR="00DF5D16" w:rsidRDefault="00DF5D16" w:rsidP="00DF5D16">
      <w:pPr>
        <w:adjustRightInd w:val="0"/>
        <w:snapToGrid w:val="0"/>
        <w:spacing w:line="360" w:lineRule="auto"/>
        <w:ind w:firstLineChars="200" w:firstLine="480"/>
        <w:rPr>
          <w:bCs/>
          <w:sz w:val="24"/>
        </w:rPr>
      </w:pPr>
      <w:r>
        <w:rPr>
          <w:bCs/>
          <w:sz w:val="24"/>
        </w:rPr>
        <w:t>本基金财产独立于基金管理人、基金托管人</w:t>
      </w:r>
      <w:r w:rsidR="00914246">
        <w:rPr>
          <w:bCs/>
          <w:sz w:val="24"/>
        </w:rPr>
        <w:t>、证券经纪机构</w:t>
      </w:r>
      <w:r>
        <w:rPr>
          <w:bCs/>
          <w:sz w:val="24"/>
        </w:rPr>
        <w:t>和销售机构的财产，并由基金托管人保管。基金管理人、基金托管人、基金登记机构</w:t>
      </w:r>
      <w:r w:rsidR="00914246">
        <w:rPr>
          <w:bCs/>
          <w:sz w:val="24"/>
        </w:rPr>
        <w:t>、证券经纪机构</w:t>
      </w:r>
      <w:r>
        <w:rPr>
          <w:bCs/>
          <w:sz w:val="24"/>
        </w:rPr>
        <w:t>和销售机构以其自有的财产承担其自身的法律责任，其债权人不得对本基金财产行使请求冻结、扣押或其他权利。除依法律法规和基金合同的规定处分外，基金财产不得被处分。</w:t>
      </w:r>
    </w:p>
    <w:p w14:paraId="2CA8C7CB" w14:textId="0C21E7D0" w:rsidR="00CD5682" w:rsidRPr="00CD5682" w:rsidRDefault="00DF5D16" w:rsidP="00CD5682">
      <w:pPr>
        <w:pStyle w:val="20"/>
        <w:adjustRightInd w:val="0"/>
        <w:snapToGrid w:val="0"/>
        <w:ind w:firstLine="480"/>
        <w:rPr>
          <w:bCs/>
          <w:sz w:val="24"/>
        </w:rPr>
      </w:pPr>
      <w:r>
        <w:rPr>
          <w:bCs/>
          <w:sz w:val="24"/>
        </w:rPr>
        <w:t>基金管理人、基金托管人因依法解散、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非因基金财产本身承担的债务，不得对基金财产强制执行。</w:t>
      </w:r>
    </w:p>
    <w:p w14:paraId="62057755" w14:textId="77777777" w:rsidR="00BF4A4E" w:rsidRDefault="00BF4A4E">
      <w:pPr>
        <w:pStyle w:val="20"/>
        <w:adjustRightInd w:val="0"/>
        <w:snapToGrid w:val="0"/>
        <w:rPr>
          <w:color w:val="000000"/>
          <w:szCs w:val="21"/>
        </w:rPr>
      </w:pPr>
      <w:bookmarkStart w:id="53" w:name="_Hlt88841837"/>
      <w:bookmarkStart w:id="54" w:name="_Hlt88900062"/>
      <w:bookmarkEnd w:id="53"/>
      <w:bookmarkEnd w:id="54"/>
    </w:p>
    <w:p w14:paraId="06BFE7C0" w14:textId="77777777" w:rsidR="00BF4A4E" w:rsidRDefault="00BF4A4E">
      <w:pPr>
        <w:pStyle w:val="1"/>
        <w:adjustRightInd w:val="0"/>
        <w:snapToGrid w:val="0"/>
        <w:spacing w:before="0" w:after="0" w:line="360" w:lineRule="auto"/>
        <w:jc w:val="center"/>
        <w:rPr>
          <w:rFonts w:ascii="宋体" w:hAnsi="宋体"/>
        </w:rPr>
      </w:pPr>
      <w:bookmarkStart w:id="55" w:name="_Toc88037851"/>
      <w:bookmarkStart w:id="56" w:name="_Toc122336555"/>
      <w:r>
        <w:rPr>
          <w:rFonts w:ascii="宋体" w:hAnsi="宋体"/>
        </w:rPr>
        <w:br w:type="page"/>
      </w:r>
      <w:bookmarkStart w:id="57" w:name="_Toc103003353"/>
      <w:r>
        <w:rPr>
          <w:rFonts w:ascii="宋体" w:hAnsi="宋体"/>
        </w:rPr>
        <w:lastRenderedPageBreak/>
        <w:t>第</w:t>
      </w:r>
      <w:r>
        <w:rPr>
          <w:rFonts w:ascii="宋体" w:hAnsi="宋体" w:hint="eastAsia"/>
        </w:rPr>
        <w:t>十一</w:t>
      </w:r>
      <w:r>
        <w:rPr>
          <w:rFonts w:ascii="宋体" w:hAnsi="宋体"/>
        </w:rPr>
        <w:t>部分</w:t>
      </w:r>
      <w:r>
        <w:rPr>
          <w:rFonts w:ascii="宋体" w:hAnsi="宋体" w:hint="eastAsia"/>
        </w:rPr>
        <w:t xml:space="preserve">  基金资产估值</w:t>
      </w:r>
      <w:bookmarkEnd w:id="55"/>
      <w:bookmarkEnd w:id="56"/>
      <w:bookmarkEnd w:id="57"/>
    </w:p>
    <w:p w14:paraId="0B2A6B7F" w14:textId="77777777" w:rsidR="00BF4A4E" w:rsidRDefault="00BF4A4E">
      <w:pPr>
        <w:pStyle w:val="20"/>
        <w:adjustRightInd w:val="0"/>
        <w:snapToGrid w:val="0"/>
        <w:ind w:firstLine="480"/>
        <w:rPr>
          <w:sz w:val="24"/>
        </w:rPr>
      </w:pPr>
    </w:p>
    <w:p w14:paraId="1CB10FD3" w14:textId="77777777" w:rsidR="00DF5D16" w:rsidRDefault="00DF5D16" w:rsidP="00DF5D16">
      <w:pPr>
        <w:adjustRightInd w:val="0"/>
        <w:snapToGrid w:val="0"/>
        <w:spacing w:line="360" w:lineRule="auto"/>
        <w:ind w:firstLineChars="200" w:firstLine="480"/>
        <w:rPr>
          <w:rFonts w:ascii="宋体" w:hAnsi="宋体"/>
          <w:bCs/>
          <w:sz w:val="24"/>
        </w:rPr>
      </w:pPr>
      <w:r>
        <w:rPr>
          <w:rFonts w:ascii="宋体" w:hAnsi="宋体"/>
          <w:bCs/>
          <w:sz w:val="24"/>
        </w:rPr>
        <w:t>一、估值日</w:t>
      </w:r>
    </w:p>
    <w:p w14:paraId="4FB8DAA2" w14:textId="77777777" w:rsidR="00DF5D16" w:rsidRDefault="00DF5D16" w:rsidP="00DF5D16">
      <w:pPr>
        <w:adjustRightInd w:val="0"/>
        <w:snapToGrid w:val="0"/>
        <w:spacing w:line="360" w:lineRule="auto"/>
        <w:ind w:firstLineChars="200" w:firstLine="480"/>
        <w:rPr>
          <w:rFonts w:ascii="宋体" w:hAnsi="宋体"/>
          <w:bCs/>
          <w:sz w:val="24"/>
        </w:rPr>
      </w:pPr>
      <w:r>
        <w:rPr>
          <w:rFonts w:ascii="宋体" w:hAnsi="宋体"/>
          <w:bCs/>
          <w:sz w:val="24"/>
        </w:rPr>
        <w:t>本基金的估值日为本基金相关的证券</w:t>
      </w:r>
      <w:r>
        <w:rPr>
          <w:rFonts w:ascii="宋体" w:hAnsi="宋体" w:hint="eastAsia"/>
          <w:bCs/>
          <w:sz w:val="24"/>
        </w:rPr>
        <w:t>/期货</w:t>
      </w:r>
      <w:r>
        <w:rPr>
          <w:rFonts w:ascii="宋体" w:hAnsi="宋体"/>
          <w:bCs/>
          <w:sz w:val="24"/>
        </w:rPr>
        <w:t>交易</w:t>
      </w:r>
      <w:r>
        <w:rPr>
          <w:rFonts w:ascii="宋体" w:hAnsi="宋体" w:hint="eastAsia"/>
          <w:bCs/>
          <w:sz w:val="24"/>
        </w:rPr>
        <w:t>场</w:t>
      </w:r>
      <w:r>
        <w:rPr>
          <w:rFonts w:ascii="宋体" w:hAnsi="宋体"/>
          <w:bCs/>
          <w:sz w:val="24"/>
        </w:rPr>
        <w:t>所的交易日以及国家法律法规规定需要对外披露基金净值的非交易日。</w:t>
      </w:r>
    </w:p>
    <w:p w14:paraId="01A84F8C" w14:textId="77777777" w:rsidR="00DF5D16" w:rsidRDefault="00DF5D16" w:rsidP="00DF5D16">
      <w:pPr>
        <w:adjustRightInd w:val="0"/>
        <w:snapToGrid w:val="0"/>
        <w:spacing w:line="360" w:lineRule="auto"/>
        <w:ind w:firstLineChars="200" w:firstLine="480"/>
        <w:rPr>
          <w:rFonts w:ascii="宋体" w:hAnsi="宋体"/>
          <w:bCs/>
          <w:sz w:val="24"/>
        </w:rPr>
      </w:pPr>
      <w:r>
        <w:rPr>
          <w:rFonts w:ascii="宋体" w:hAnsi="宋体"/>
          <w:bCs/>
          <w:sz w:val="24"/>
        </w:rPr>
        <w:t>二、估值对象</w:t>
      </w:r>
    </w:p>
    <w:p w14:paraId="31006768" w14:textId="4DAB3B80" w:rsidR="00DF5D16" w:rsidRDefault="00DF5D16" w:rsidP="00DF5D16">
      <w:pPr>
        <w:adjustRightInd w:val="0"/>
        <w:snapToGrid w:val="0"/>
        <w:spacing w:line="360" w:lineRule="auto"/>
        <w:ind w:firstLineChars="200" w:firstLine="480"/>
        <w:rPr>
          <w:rFonts w:ascii="宋体" w:hAnsi="宋体"/>
          <w:bCs/>
          <w:sz w:val="24"/>
        </w:rPr>
      </w:pPr>
      <w:r>
        <w:rPr>
          <w:rFonts w:ascii="宋体" w:hAnsi="宋体" w:hint="eastAsia"/>
          <w:bCs/>
          <w:sz w:val="24"/>
        </w:rPr>
        <w:t>基金所拥有的目标ETF基金份额、股票、股指期货合约、股票期权合约、</w:t>
      </w:r>
      <w:r w:rsidR="00645808">
        <w:rPr>
          <w:rFonts w:ascii="宋体" w:hAnsi="宋体" w:hint="eastAsia"/>
          <w:bCs/>
          <w:sz w:val="24"/>
        </w:rPr>
        <w:t>国债期货合约、</w:t>
      </w:r>
      <w:r>
        <w:rPr>
          <w:rFonts w:ascii="宋体" w:hAnsi="宋体" w:hint="eastAsia"/>
          <w:bCs/>
          <w:sz w:val="24"/>
        </w:rPr>
        <w:t>债券和银行存款本息、资产支持证券、应收款项、其它投资等资产及负债。</w:t>
      </w:r>
    </w:p>
    <w:p w14:paraId="778BC770" w14:textId="77777777" w:rsidR="00DF5D16" w:rsidRDefault="00DF5D16" w:rsidP="00DF5D16">
      <w:pPr>
        <w:adjustRightInd w:val="0"/>
        <w:snapToGrid w:val="0"/>
        <w:spacing w:line="360" w:lineRule="auto"/>
        <w:ind w:firstLineChars="200" w:firstLine="480"/>
        <w:rPr>
          <w:rFonts w:ascii="宋体" w:hAnsi="宋体"/>
          <w:bCs/>
          <w:sz w:val="24"/>
        </w:rPr>
      </w:pPr>
      <w:r>
        <w:rPr>
          <w:rFonts w:ascii="宋体" w:hAnsi="宋体" w:hint="eastAsia"/>
          <w:bCs/>
          <w:sz w:val="24"/>
        </w:rPr>
        <w:t>三、估值原则</w:t>
      </w:r>
    </w:p>
    <w:p w14:paraId="486F040B" w14:textId="77777777" w:rsidR="00DF5D16" w:rsidRDefault="00DF5D16" w:rsidP="00DF5D16">
      <w:pPr>
        <w:adjustRightInd w:val="0"/>
        <w:snapToGrid w:val="0"/>
        <w:spacing w:line="360" w:lineRule="auto"/>
        <w:ind w:firstLineChars="200" w:firstLine="480"/>
        <w:rPr>
          <w:rFonts w:ascii="宋体" w:hAnsi="宋体"/>
          <w:bCs/>
          <w:sz w:val="24"/>
        </w:rPr>
      </w:pPr>
      <w:r>
        <w:rPr>
          <w:rFonts w:ascii="宋体" w:hAnsi="宋体" w:hint="eastAsia"/>
          <w:bCs/>
          <w:sz w:val="24"/>
        </w:rPr>
        <w:t>基金管理人在确定相关金融资产和金融负债的公允价值时，应符合《企业会计准则》、监管部门有关规定。</w:t>
      </w:r>
    </w:p>
    <w:p w14:paraId="65FAEEE3" w14:textId="77777777" w:rsidR="00DF5D16" w:rsidRDefault="00DF5D16" w:rsidP="00DF5D16">
      <w:pPr>
        <w:adjustRightInd w:val="0"/>
        <w:snapToGrid w:val="0"/>
        <w:spacing w:line="360" w:lineRule="auto"/>
        <w:ind w:firstLineChars="200" w:firstLine="480"/>
        <w:rPr>
          <w:rFonts w:ascii="宋体" w:hAnsi="宋体"/>
          <w:bCs/>
          <w:sz w:val="24"/>
        </w:rPr>
      </w:pPr>
      <w:r>
        <w:rPr>
          <w:rFonts w:ascii="宋体" w:hAnsi="宋体" w:hint="eastAsia"/>
          <w:bCs/>
          <w:sz w:val="24"/>
        </w:rPr>
        <w:t>（一）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66AB72F3" w14:textId="77777777" w:rsidR="00DF5D16" w:rsidRDefault="00DF5D16" w:rsidP="00DF5D16">
      <w:pPr>
        <w:adjustRightInd w:val="0"/>
        <w:snapToGrid w:val="0"/>
        <w:spacing w:line="360" w:lineRule="auto"/>
        <w:ind w:firstLineChars="200" w:firstLine="480"/>
        <w:rPr>
          <w:rFonts w:ascii="宋体" w:hAnsi="宋体"/>
          <w:bCs/>
          <w:sz w:val="24"/>
        </w:rPr>
      </w:pPr>
      <w:r>
        <w:rPr>
          <w:rFonts w:ascii="宋体" w:hAnsi="宋体" w:hint="eastAsia"/>
          <w:bCs/>
          <w:sz w:val="24"/>
        </w:rPr>
        <w:t>与上述投资品种相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5A65B11D" w14:textId="77777777" w:rsidR="00DF5D16" w:rsidRDefault="00DF5D16" w:rsidP="00DF5D16">
      <w:pPr>
        <w:adjustRightInd w:val="0"/>
        <w:snapToGrid w:val="0"/>
        <w:spacing w:line="360" w:lineRule="auto"/>
        <w:ind w:firstLineChars="200" w:firstLine="480"/>
        <w:rPr>
          <w:rFonts w:ascii="宋体" w:hAnsi="宋体"/>
          <w:bCs/>
          <w:sz w:val="24"/>
        </w:rPr>
      </w:pPr>
      <w:r>
        <w:rPr>
          <w:rFonts w:ascii="宋体" w:hAnsi="宋体" w:hint="eastAsia"/>
          <w:bCs/>
          <w:sz w:val="24"/>
        </w:rPr>
        <w:t>（二）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0A488167" w14:textId="0CFB0D13" w:rsidR="00DF5D16" w:rsidRDefault="00DF5D16" w:rsidP="00DF5D16">
      <w:pPr>
        <w:adjustRightInd w:val="0"/>
        <w:snapToGrid w:val="0"/>
        <w:spacing w:line="360" w:lineRule="auto"/>
        <w:ind w:firstLineChars="200" w:firstLine="480"/>
        <w:rPr>
          <w:rFonts w:ascii="宋体" w:hAnsi="宋体"/>
          <w:bCs/>
          <w:sz w:val="24"/>
        </w:rPr>
      </w:pPr>
      <w:r>
        <w:rPr>
          <w:rFonts w:ascii="宋体" w:hAnsi="宋体" w:hint="eastAsia"/>
          <w:bCs/>
          <w:sz w:val="24"/>
        </w:rPr>
        <w:t>（三）</w:t>
      </w:r>
      <w:r w:rsidR="00475276" w:rsidRPr="00475276">
        <w:rPr>
          <w:rFonts w:ascii="宋体" w:hAnsi="宋体" w:hint="eastAsia"/>
          <w:bCs/>
          <w:sz w:val="24"/>
        </w:rPr>
        <w:t>如经济环境发生重大变化或证券发行人发生影响证券价格的重大事件，使潜在估值调整对前一估值日的基金资产净值的影响在0.25%以上的，应对估值</w:t>
      </w:r>
      <w:r w:rsidR="00475276" w:rsidRPr="00475276">
        <w:rPr>
          <w:rFonts w:ascii="宋体" w:hAnsi="宋体" w:hint="eastAsia"/>
          <w:bCs/>
          <w:sz w:val="24"/>
        </w:rPr>
        <w:lastRenderedPageBreak/>
        <w:t>进行调整并确定公允价值。</w:t>
      </w:r>
    </w:p>
    <w:p w14:paraId="1A98F40F" w14:textId="77777777" w:rsidR="00DF5D16" w:rsidRDefault="00DF5D16" w:rsidP="00DF5D16">
      <w:pPr>
        <w:adjustRightInd w:val="0"/>
        <w:snapToGrid w:val="0"/>
        <w:spacing w:line="360" w:lineRule="auto"/>
        <w:ind w:firstLineChars="200" w:firstLine="480"/>
        <w:rPr>
          <w:rFonts w:ascii="宋体" w:hAnsi="宋体"/>
          <w:bCs/>
          <w:sz w:val="24"/>
        </w:rPr>
      </w:pPr>
      <w:r>
        <w:rPr>
          <w:rFonts w:ascii="宋体" w:hAnsi="宋体" w:hint="eastAsia"/>
          <w:bCs/>
          <w:sz w:val="24"/>
        </w:rPr>
        <w:t>四</w:t>
      </w:r>
      <w:r>
        <w:rPr>
          <w:rFonts w:ascii="宋体" w:hAnsi="宋体"/>
          <w:bCs/>
          <w:sz w:val="24"/>
        </w:rPr>
        <w:t>、估值方法</w:t>
      </w:r>
    </w:p>
    <w:p w14:paraId="78D79A4B" w14:textId="77777777" w:rsidR="00DF5D16" w:rsidRDefault="00DF5D16" w:rsidP="00DF5D16">
      <w:pPr>
        <w:adjustRightInd w:val="0"/>
        <w:snapToGrid w:val="0"/>
        <w:spacing w:line="360" w:lineRule="auto"/>
        <w:ind w:firstLineChars="200" w:firstLine="480"/>
        <w:rPr>
          <w:rFonts w:ascii="宋体" w:hAnsi="宋体"/>
          <w:bCs/>
          <w:sz w:val="24"/>
        </w:rPr>
      </w:pPr>
      <w:r>
        <w:rPr>
          <w:rFonts w:ascii="宋体" w:hAnsi="宋体" w:hint="eastAsia"/>
          <w:bCs/>
          <w:sz w:val="24"/>
        </w:rPr>
        <w:t>1</w:t>
      </w:r>
      <w:r>
        <w:rPr>
          <w:rFonts w:ascii="宋体" w:hAnsi="宋体"/>
          <w:bCs/>
          <w:sz w:val="24"/>
        </w:rPr>
        <w:t>、</w:t>
      </w:r>
      <w:r>
        <w:rPr>
          <w:rFonts w:ascii="宋体" w:hAnsi="宋体" w:hint="eastAsia"/>
          <w:bCs/>
          <w:sz w:val="24"/>
        </w:rPr>
        <w:t>目标ETF的估值</w:t>
      </w:r>
    </w:p>
    <w:p w14:paraId="02472DF4" w14:textId="08E62429" w:rsidR="00DF5D16" w:rsidRDefault="00DF5D16" w:rsidP="00DF5D16">
      <w:pPr>
        <w:adjustRightInd w:val="0"/>
        <w:snapToGrid w:val="0"/>
        <w:spacing w:line="360" w:lineRule="auto"/>
        <w:ind w:firstLineChars="200" w:firstLine="480"/>
        <w:rPr>
          <w:rFonts w:ascii="宋体" w:hAnsi="宋体"/>
          <w:bCs/>
          <w:sz w:val="24"/>
        </w:rPr>
      </w:pPr>
      <w:r>
        <w:rPr>
          <w:rFonts w:ascii="宋体" w:hAnsi="宋体" w:hint="eastAsia"/>
          <w:bCs/>
          <w:sz w:val="24"/>
        </w:rPr>
        <w:t>本基金投资的目标ETF份额以其估值日基金份额净值估值。</w:t>
      </w:r>
    </w:p>
    <w:p w14:paraId="7FBAA31B" w14:textId="77777777" w:rsidR="00DF5D16" w:rsidRDefault="00DF5D16" w:rsidP="00DF5D16">
      <w:pPr>
        <w:adjustRightInd w:val="0"/>
        <w:snapToGrid w:val="0"/>
        <w:spacing w:line="360" w:lineRule="auto"/>
        <w:ind w:firstLineChars="200" w:firstLine="480"/>
        <w:rPr>
          <w:rFonts w:ascii="宋体" w:hAnsi="宋体"/>
          <w:bCs/>
          <w:sz w:val="24"/>
        </w:rPr>
      </w:pPr>
      <w:r>
        <w:rPr>
          <w:rFonts w:ascii="宋体" w:hAnsi="宋体" w:hint="eastAsia"/>
          <w:bCs/>
          <w:sz w:val="24"/>
        </w:rPr>
        <w:t>2</w:t>
      </w:r>
      <w:r>
        <w:rPr>
          <w:rFonts w:ascii="宋体" w:hAnsi="宋体"/>
          <w:bCs/>
          <w:sz w:val="24"/>
        </w:rPr>
        <w:t>、证券交易所上市的有价证券的估值</w:t>
      </w:r>
    </w:p>
    <w:p w14:paraId="36104F3A" w14:textId="77777777" w:rsidR="00DF5D16" w:rsidRDefault="00DF5D16" w:rsidP="00DF5D16">
      <w:pPr>
        <w:adjustRightInd w:val="0"/>
        <w:snapToGrid w:val="0"/>
        <w:spacing w:line="360" w:lineRule="auto"/>
        <w:ind w:firstLineChars="200" w:firstLine="480"/>
        <w:rPr>
          <w:rFonts w:ascii="宋体" w:hAnsi="宋体"/>
          <w:bCs/>
          <w:sz w:val="24"/>
        </w:rPr>
      </w:pPr>
      <w:r>
        <w:rPr>
          <w:rFonts w:ascii="宋体" w:hAnsi="宋体" w:hint="eastAsia"/>
          <w:bCs/>
          <w:sz w:val="24"/>
        </w:rPr>
        <w:t>（1）交易所上市的有价证券（包括股票等），以其估值日在证券交易所挂牌的市价（收盘价）估值；估值日无市价，但最近交易日后经济环境未发生重大变化且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值；</w:t>
      </w:r>
    </w:p>
    <w:p w14:paraId="2ABC3DC3" w14:textId="77777777" w:rsidR="00DF5D16" w:rsidRDefault="00DF5D16" w:rsidP="00DF5D16">
      <w:pPr>
        <w:adjustRightInd w:val="0"/>
        <w:snapToGrid w:val="0"/>
        <w:spacing w:line="360" w:lineRule="auto"/>
        <w:ind w:firstLineChars="200" w:firstLine="480"/>
        <w:rPr>
          <w:rFonts w:ascii="宋体" w:hAnsi="宋体"/>
          <w:bCs/>
          <w:sz w:val="24"/>
        </w:rPr>
      </w:pPr>
      <w:r>
        <w:rPr>
          <w:rFonts w:ascii="宋体" w:hAnsi="宋体" w:hint="eastAsia"/>
          <w:bCs/>
          <w:sz w:val="24"/>
        </w:rPr>
        <w:t>（2）对于已上市或已挂牌转让的不含权固定收益品种（法规另有规定的除外），选取第三方估值基准服务机构提供的相应品种当日的估值全价，基金管理人根据相关法律、法规的规定进行涉税处理(下同)。对于已上市或已挂牌转让的含权固定收益品种（法规另有规定的除外），选取第三方估值基准服务机构提供的相应品种当日的唯一估值全价或推荐估值全价。对于含投资者回售权的固定收益品种，行使回售权的，在回售登记日至实际收款日期间选取第三方估值基准服务机构提供的相应品种的唯一估值全价或推荐估值全价，同时充分考虑发行人的信用风险变化对公允价值的影响。回售登记期截止日（含当日）后未行使回售权的按照长待偿期所对应的价格进行估值。如最近交易日后经济环境发生了重大变化的，可参考类似投资品种的现行市价及重大变化因素，调整最近交易市价，确定公允价值；</w:t>
      </w:r>
    </w:p>
    <w:p w14:paraId="129A2594" w14:textId="77777777" w:rsidR="00DF5D16" w:rsidRDefault="00DF5D16" w:rsidP="00DF5D16">
      <w:pPr>
        <w:adjustRightInd w:val="0"/>
        <w:snapToGrid w:val="0"/>
        <w:spacing w:line="360" w:lineRule="auto"/>
        <w:ind w:firstLineChars="200" w:firstLine="480"/>
        <w:rPr>
          <w:rFonts w:ascii="宋体" w:hAnsi="宋体"/>
          <w:bCs/>
          <w:sz w:val="24"/>
        </w:rPr>
      </w:pPr>
      <w:r>
        <w:rPr>
          <w:rFonts w:ascii="宋体" w:hAnsi="宋体" w:hint="eastAsia"/>
          <w:bCs/>
          <w:sz w:val="24"/>
        </w:rPr>
        <w:t>（3）交易所上市交易的公开发行的可转换公司债券等有活跃市场的含转股权的债券，实行全价交易的债券选取估值日收盘价作为估值全价；实行净价交易的债券选取估值日收盘价并加计每百元税前应计利息作为估值全价。估值日没有交易的，且最近交易日后经济环境未发生重大变化，按最近交易日债券收盘价并加计每百元税前应计利息作为估值全价。如最近交易日后经济环境发生了重大变化的，可参考类似投资品种的现行市价及重大变化因素，调整最近交易市价，确定公允价值；</w:t>
      </w:r>
    </w:p>
    <w:p w14:paraId="3EA05A09" w14:textId="77777777" w:rsidR="00DF5D16" w:rsidRDefault="00DF5D16" w:rsidP="00DF5D16">
      <w:pPr>
        <w:adjustRightInd w:val="0"/>
        <w:snapToGrid w:val="0"/>
        <w:spacing w:line="360" w:lineRule="auto"/>
        <w:ind w:firstLineChars="200" w:firstLine="480"/>
        <w:rPr>
          <w:rFonts w:ascii="宋体" w:hAnsi="宋体"/>
          <w:bCs/>
          <w:sz w:val="24"/>
        </w:rPr>
      </w:pPr>
      <w:r>
        <w:rPr>
          <w:rFonts w:ascii="宋体" w:hAnsi="宋体" w:hint="eastAsia"/>
          <w:bCs/>
          <w:sz w:val="24"/>
        </w:rPr>
        <w:t>（4）本基金投资存托凭证的估值核算，依照境内上市交易的股票执行。</w:t>
      </w:r>
    </w:p>
    <w:p w14:paraId="28AAD8BF" w14:textId="2EF395A5" w:rsidR="00DF5D16" w:rsidRDefault="00DF5D16" w:rsidP="00DF5D16">
      <w:pPr>
        <w:adjustRightInd w:val="0"/>
        <w:snapToGrid w:val="0"/>
        <w:spacing w:line="360" w:lineRule="auto"/>
        <w:ind w:firstLineChars="200" w:firstLine="480"/>
        <w:rPr>
          <w:rFonts w:ascii="宋体" w:hAnsi="宋体"/>
          <w:bCs/>
          <w:sz w:val="24"/>
        </w:rPr>
      </w:pPr>
      <w:r>
        <w:rPr>
          <w:rFonts w:ascii="宋体" w:hAnsi="宋体" w:hint="eastAsia"/>
          <w:bCs/>
          <w:sz w:val="24"/>
        </w:rPr>
        <w:lastRenderedPageBreak/>
        <w:t>3</w:t>
      </w:r>
      <w:r>
        <w:rPr>
          <w:rFonts w:ascii="宋体" w:hAnsi="宋体"/>
          <w:bCs/>
          <w:sz w:val="24"/>
        </w:rPr>
        <w:t>、处于未上市期间的有价证券应区分如下情况处理</w:t>
      </w:r>
    </w:p>
    <w:p w14:paraId="3D49EA2F" w14:textId="77777777" w:rsidR="00DF5D16" w:rsidRDefault="00DF5D16" w:rsidP="00DF5D16">
      <w:pPr>
        <w:adjustRightInd w:val="0"/>
        <w:snapToGrid w:val="0"/>
        <w:spacing w:line="360" w:lineRule="auto"/>
        <w:ind w:firstLineChars="200" w:firstLine="480"/>
        <w:rPr>
          <w:rFonts w:ascii="宋体" w:hAnsi="宋体"/>
          <w:bCs/>
          <w:sz w:val="24"/>
        </w:rPr>
      </w:pPr>
      <w:r>
        <w:rPr>
          <w:rFonts w:ascii="宋体" w:hAnsi="宋体" w:hint="eastAsia"/>
          <w:bCs/>
          <w:sz w:val="24"/>
        </w:rPr>
        <w:t>（1）送股、转增股、配股和公开增发的股票，按估值日在证券交易所挂牌的同一股票的估值方法估值；该日无交易的，以最近一日的市价（收盘价）估值；</w:t>
      </w:r>
    </w:p>
    <w:p w14:paraId="57A9DBE6" w14:textId="77777777" w:rsidR="00DF5D16" w:rsidRDefault="00DF5D16" w:rsidP="00DF5D16">
      <w:pPr>
        <w:adjustRightInd w:val="0"/>
        <w:snapToGrid w:val="0"/>
        <w:spacing w:line="360" w:lineRule="auto"/>
        <w:ind w:firstLineChars="200" w:firstLine="480"/>
        <w:rPr>
          <w:rFonts w:ascii="宋体" w:hAnsi="宋体"/>
          <w:bCs/>
          <w:sz w:val="24"/>
        </w:rPr>
      </w:pPr>
      <w:r>
        <w:rPr>
          <w:rFonts w:ascii="宋体" w:hAnsi="宋体" w:hint="eastAsia"/>
          <w:bCs/>
          <w:sz w:val="24"/>
        </w:rPr>
        <w:t>（2）首次公开发行未上市的股票，采用估值技术确定公允价值；</w:t>
      </w:r>
    </w:p>
    <w:p w14:paraId="2A65E3B1" w14:textId="77777777" w:rsidR="00DF5D16" w:rsidRDefault="00DF5D16" w:rsidP="00DF5D16">
      <w:pPr>
        <w:adjustRightInd w:val="0"/>
        <w:snapToGrid w:val="0"/>
        <w:spacing w:line="360" w:lineRule="auto"/>
        <w:ind w:firstLineChars="200" w:firstLine="480"/>
        <w:rPr>
          <w:rFonts w:ascii="宋体" w:hAnsi="宋体"/>
          <w:bCs/>
          <w:sz w:val="24"/>
        </w:rPr>
      </w:pPr>
      <w:r>
        <w:rPr>
          <w:rFonts w:ascii="宋体" w:hAnsi="宋体" w:hint="eastAsia"/>
          <w:bCs/>
          <w:sz w:val="24"/>
        </w:rPr>
        <w:t>（3）流通受限的股票，包括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14:paraId="21DCCEAD" w14:textId="77777777" w:rsidR="00DF5D16" w:rsidRDefault="00DF5D16" w:rsidP="00DF5D16">
      <w:pPr>
        <w:adjustRightInd w:val="0"/>
        <w:snapToGrid w:val="0"/>
        <w:spacing w:line="360" w:lineRule="auto"/>
        <w:ind w:firstLineChars="200" w:firstLine="480"/>
        <w:rPr>
          <w:rFonts w:ascii="宋体" w:hAnsi="宋体"/>
          <w:bCs/>
          <w:sz w:val="24"/>
        </w:rPr>
      </w:pPr>
      <w:r>
        <w:rPr>
          <w:rFonts w:ascii="宋体" w:hAnsi="宋体" w:hint="eastAsia"/>
          <w:bCs/>
          <w:sz w:val="24"/>
        </w:rPr>
        <w:t>（4）对于未上市或未挂牌转让且不存在活跃市场的固定收益品种，采用在当前情况下适用并且有足够可利用数据和其他信息支持的估值技术确定其公允价值</w:t>
      </w:r>
      <w:r>
        <w:rPr>
          <w:rFonts w:ascii="宋体" w:hAnsi="宋体"/>
          <w:bCs/>
          <w:sz w:val="24"/>
        </w:rPr>
        <w:t>。</w:t>
      </w:r>
    </w:p>
    <w:p w14:paraId="2EF1805D" w14:textId="77777777" w:rsidR="00DF5D16" w:rsidRDefault="00DF5D16" w:rsidP="00DF5D16">
      <w:pPr>
        <w:adjustRightInd w:val="0"/>
        <w:snapToGrid w:val="0"/>
        <w:spacing w:line="360" w:lineRule="auto"/>
        <w:ind w:firstLineChars="200" w:firstLine="480"/>
        <w:rPr>
          <w:rFonts w:ascii="宋体" w:hAnsi="宋体"/>
          <w:bCs/>
          <w:sz w:val="24"/>
        </w:rPr>
      </w:pPr>
      <w:r>
        <w:rPr>
          <w:rFonts w:ascii="宋体" w:hAnsi="宋体" w:hint="eastAsia"/>
          <w:bCs/>
          <w:sz w:val="24"/>
        </w:rPr>
        <w:t>4</w:t>
      </w:r>
      <w:r>
        <w:rPr>
          <w:rFonts w:ascii="宋体" w:hAnsi="宋体"/>
          <w:bCs/>
          <w:sz w:val="24"/>
        </w:rPr>
        <w:t>、</w:t>
      </w:r>
      <w:r>
        <w:rPr>
          <w:rFonts w:ascii="宋体" w:hAnsi="宋体" w:hint="eastAsia"/>
          <w:bCs/>
          <w:sz w:val="24"/>
        </w:rPr>
        <w:t>对全国银行间市场已上市或已挂牌转让的不含权固定收益品种（法规另有规定的除外），选取第三方估值基准服务机构提供的相应品种当日的估值全价，基金管理人根据相关法律、法规的规定进行涉税处理(下同)。对于已上市或已挂牌转让的含权固定收益品种（法规另有规定的除外），选取第三方估值基准服务机构提供的相应品种当日的唯一估值全价或推荐估值全价。对于含投资者回售权的固定收益品种，行使回售权的，在回售登记日至实际收款日期间选取第三方估值基准服务机构提供的相应品种的唯一估值全价或推荐估值全价，同时充分考虑发行人的信用风险变化对公允价值的影响。回售登记期截止日（含当日）后未行使回售权的按照长待偿期所对应的价格进行估值。如最近交易日后经济环境发生了重大变化的，可参考类似投资品种的现行市价及重大变化因素，调整最近交易市价，确定公允价值</w:t>
      </w:r>
      <w:r>
        <w:rPr>
          <w:bCs/>
          <w:sz w:val="24"/>
        </w:rPr>
        <w:t>。</w:t>
      </w:r>
    </w:p>
    <w:p w14:paraId="01D64E80" w14:textId="77777777" w:rsidR="00DF5D16" w:rsidRDefault="00DF5D16" w:rsidP="00DF5D16">
      <w:pPr>
        <w:adjustRightInd w:val="0"/>
        <w:snapToGrid w:val="0"/>
        <w:spacing w:line="360" w:lineRule="auto"/>
        <w:ind w:firstLineChars="200" w:firstLine="480"/>
        <w:rPr>
          <w:rFonts w:ascii="宋体" w:hAnsi="宋体"/>
          <w:bCs/>
          <w:sz w:val="24"/>
        </w:rPr>
      </w:pPr>
      <w:r>
        <w:rPr>
          <w:rFonts w:ascii="宋体" w:hAnsi="宋体" w:hint="eastAsia"/>
          <w:bCs/>
          <w:sz w:val="24"/>
        </w:rPr>
        <w:t>5</w:t>
      </w:r>
      <w:r>
        <w:rPr>
          <w:rFonts w:ascii="宋体" w:hAnsi="宋体"/>
          <w:bCs/>
          <w:sz w:val="24"/>
        </w:rPr>
        <w:t>、</w:t>
      </w:r>
      <w:r>
        <w:rPr>
          <w:rFonts w:ascii="宋体" w:hAnsi="宋体" w:hint="eastAsia"/>
          <w:bCs/>
          <w:sz w:val="24"/>
        </w:rPr>
        <w:t>同一证券同时在两个或两个以上市场交易的，按其所处的市场分别估值。</w:t>
      </w:r>
    </w:p>
    <w:p w14:paraId="158E2865" w14:textId="77777777" w:rsidR="00DF5D16" w:rsidRDefault="00DF5D16" w:rsidP="00DF5D16">
      <w:pPr>
        <w:adjustRightInd w:val="0"/>
        <w:snapToGrid w:val="0"/>
        <w:spacing w:line="360" w:lineRule="auto"/>
        <w:ind w:firstLineChars="200" w:firstLine="480"/>
        <w:rPr>
          <w:rFonts w:ascii="宋体" w:hAnsi="宋体"/>
          <w:bCs/>
          <w:sz w:val="24"/>
        </w:rPr>
      </w:pPr>
      <w:r>
        <w:rPr>
          <w:rFonts w:ascii="宋体" w:hAnsi="宋体" w:hint="eastAsia"/>
          <w:bCs/>
          <w:sz w:val="24"/>
        </w:rPr>
        <w:t>6、本基金持有的回购以摊余成本列示，按合同利率在回购期间内逐日计提应收或应付利息。</w:t>
      </w:r>
    </w:p>
    <w:p w14:paraId="09B05E66" w14:textId="77777777" w:rsidR="00DF5D16" w:rsidRDefault="00DF5D16" w:rsidP="00DF5D16">
      <w:pPr>
        <w:adjustRightInd w:val="0"/>
        <w:snapToGrid w:val="0"/>
        <w:spacing w:line="360" w:lineRule="auto"/>
        <w:ind w:firstLineChars="200" w:firstLine="480"/>
        <w:rPr>
          <w:rFonts w:ascii="宋体" w:hAnsi="宋体"/>
          <w:bCs/>
          <w:sz w:val="24"/>
        </w:rPr>
      </w:pPr>
      <w:r>
        <w:rPr>
          <w:rFonts w:ascii="宋体" w:hAnsi="宋体" w:hint="eastAsia"/>
          <w:bCs/>
          <w:sz w:val="24"/>
        </w:rPr>
        <w:t>7、本基金持有的银行存款和备付金余额以摊余成本列示，按相应利率逐日计提利息。</w:t>
      </w:r>
    </w:p>
    <w:p w14:paraId="4E221FE8" w14:textId="77777777" w:rsidR="00DF5D16" w:rsidRDefault="00DF5D16" w:rsidP="00DF5D16">
      <w:pPr>
        <w:adjustRightInd w:val="0"/>
        <w:snapToGrid w:val="0"/>
        <w:spacing w:line="360" w:lineRule="auto"/>
        <w:ind w:firstLineChars="200" w:firstLine="480"/>
        <w:rPr>
          <w:rFonts w:ascii="宋体" w:hAnsi="宋体"/>
          <w:bCs/>
          <w:sz w:val="24"/>
        </w:rPr>
      </w:pPr>
      <w:r>
        <w:rPr>
          <w:rFonts w:ascii="宋体" w:hAnsi="宋体" w:hint="eastAsia"/>
          <w:bCs/>
          <w:sz w:val="24"/>
        </w:rPr>
        <w:t>8、本基金投资股指期货合约，一般以估值当日结算价进行估值，估值当日无结算价，且最近交易日后经济环境未发生重大变化的，采用最近交易日结算价估值。</w:t>
      </w:r>
    </w:p>
    <w:p w14:paraId="0E2EF19C" w14:textId="7DE80E94" w:rsidR="00DF5D16" w:rsidRDefault="00DF5D16" w:rsidP="00DF5D16">
      <w:pPr>
        <w:adjustRightInd w:val="0"/>
        <w:snapToGrid w:val="0"/>
        <w:spacing w:line="360" w:lineRule="auto"/>
        <w:ind w:firstLineChars="200" w:firstLine="480"/>
        <w:rPr>
          <w:rFonts w:ascii="宋体" w:hAnsi="宋体"/>
          <w:bCs/>
          <w:sz w:val="24"/>
        </w:rPr>
      </w:pPr>
      <w:r>
        <w:rPr>
          <w:rFonts w:ascii="宋体" w:hAnsi="宋体"/>
          <w:bCs/>
          <w:sz w:val="24"/>
        </w:rPr>
        <w:lastRenderedPageBreak/>
        <w:t>9</w:t>
      </w:r>
      <w:r>
        <w:rPr>
          <w:rFonts w:ascii="宋体" w:hAnsi="宋体" w:hint="eastAsia"/>
          <w:bCs/>
          <w:sz w:val="24"/>
        </w:rPr>
        <w:t>、本基金投资股票期权合约，</w:t>
      </w:r>
      <w:r w:rsidR="00994DC7" w:rsidRPr="00994DC7">
        <w:rPr>
          <w:rFonts w:ascii="宋体" w:hAnsi="宋体" w:hint="eastAsia"/>
          <w:bCs/>
          <w:sz w:val="24"/>
        </w:rPr>
        <w:t>一般以估值当日结算价进行估值，估值当日无结算价，且最近交易日后经济环境未发生重大变化的，采用最近交</w:t>
      </w:r>
      <w:r w:rsidR="00994DC7">
        <w:rPr>
          <w:rFonts w:ascii="宋体" w:hAnsi="宋体" w:hint="eastAsia"/>
          <w:bCs/>
          <w:sz w:val="24"/>
        </w:rPr>
        <w:t>易日结算价估值</w:t>
      </w:r>
      <w:r w:rsidRPr="00502BEB">
        <w:rPr>
          <w:rFonts w:ascii="宋体" w:hAnsi="宋体" w:hint="eastAsia"/>
          <w:bCs/>
          <w:sz w:val="24"/>
        </w:rPr>
        <w:t>。</w:t>
      </w:r>
    </w:p>
    <w:p w14:paraId="187BF3DF" w14:textId="6DD80E1E" w:rsidR="0007563D" w:rsidRDefault="00DF5D16" w:rsidP="00DF5D16">
      <w:pPr>
        <w:adjustRightInd w:val="0"/>
        <w:snapToGrid w:val="0"/>
        <w:spacing w:line="360" w:lineRule="auto"/>
        <w:ind w:firstLineChars="200" w:firstLine="480"/>
        <w:rPr>
          <w:rFonts w:ascii="宋体" w:hAnsi="宋体"/>
          <w:bCs/>
          <w:sz w:val="24"/>
        </w:rPr>
      </w:pPr>
      <w:r>
        <w:rPr>
          <w:rFonts w:ascii="宋体" w:hAnsi="宋体"/>
          <w:bCs/>
          <w:sz w:val="24"/>
        </w:rPr>
        <w:t>10</w:t>
      </w:r>
      <w:r>
        <w:rPr>
          <w:rFonts w:ascii="宋体" w:hAnsi="宋体" w:hint="eastAsia"/>
          <w:bCs/>
          <w:sz w:val="24"/>
        </w:rPr>
        <w:t>、</w:t>
      </w:r>
      <w:r w:rsidR="0007563D" w:rsidRPr="001665AD">
        <w:rPr>
          <w:rFonts w:ascii="宋体" w:hAnsi="宋体" w:hint="eastAsia"/>
          <w:bCs/>
          <w:sz w:val="24"/>
        </w:rPr>
        <w:t>本基金投资国债期货合约，一般以估值当日结算价进行估值，估值当日无结算价，且最近交易日后经济环境未发生重大变化的，采用最近交易日结算价估值。</w:t>
      </w:r>
    </w:p>
    <w:p w14:paraId="39F7977C" w14:textId="2D548FAB" w:rsidR="00DF5D16" w:rsidRDefault="0007563D" w:rsidP="00DF5D16">
      <w:pPr>
        <w:adjustRightInd w:val="0"/>
        <w:snapToGrid w:val="0"/>
        <w:spacing w:line="360" w:lineRule="auto"/>
        <w:ind w:firstLineChars="200" w:firstLine="480"/>
        <w:rPr>
          <w:rFonts w:ascii="宋体" w:hAnsi="宋体"/>
          <w:bCs/>
          <w:sz w:val="24"/>
        </w:rPr>
      </w:pPr>
      <w:r>
        <w:rPr>
          <w:rFonts w:ascii="宋体" w:hAnsi="宋体" w:hint="eastAsia"/>
          <w:bCs/>
          <w:sz w:val="24"/>
        </w:rPr>
        <w:t>1</w:t>
      </w:r>
      <w:r>
        <w:rPr>
          <w:rFonts w:ascii="宋体" w:hAnsi="宋体"/>
          <w:bCs/>
          <w:sz w:val="24"/>
        </w:rPr>
        <w:t>1、</w:t>
      </w:r>
      <w:r w:rsidR="00DF5D16">
        <w:rPr>
          <w:rFonts w:ascii="宋体" w:hAnsi="宋体" w:hint="eastAsia"/>
          <w:bCs/>
          <w:sz w:val="24"/>
        </w:rPr>
        <w:t>本基金参与融资和转融通证券出借业务的，按照相关法律法规和行业协会的相关规定进行估值。</w:t>
      </w:r>
    </w:p>
    <w:p w14:paraId="6A7B3128" w14:textId="0C9DE90A" w:rsidR="00DF5D16" w:rsidRDefault="00095532" w:rsidP="00DF5D16">
      <w:pPr>
        <w:adjustRightInd w:val="0"/>
        <w:snapToGrid w:val="0"/>
        <w:spacing w:line="360" w:lineRule="auto"/>
        <w:ind w:firstLineChars="200" w:firstLine="480"/>
        <w:rPr>
          <w:rFonts w:ascii="宋体" w:hAnsi="宋体"/>
          <w:bCs/>
          <w:sz w:val="24"/>
        </w:rPr>
      </w:pPr>
      <w:r>
        <w:rPr>
          <w:rFonts w:ascii="宋体" w:hAnsi="宋体"/>
          <w:bCs/>
          <w:sz w:val="24"/>
        </w:rPr>
        <w:t>12</w:t>
      </w:r>
      <w:r w:rsidR="00DF5D16">
        <w:rPr>
          <w:rFonts w:ascii="宋体" w:hAnsi="宋体" w:hint="eastAsia"/>
          <w:bCs/>
          <w:sz w:val="24"/>
        </w:rPr>
        <w:t>、</w:t>
      </w:r>
      <w:r w:rsidR="00475276" w:rsidRPr="00475276">
        <w:rPr>
          <w:rFonts w:ascii="宋体" w:hAnsi="宋体" w:hint="eastAsia"/>
          <w:bCs/>
          <w:sz w:val="24"/>
        </w:rPr>
        <w:t>如有确凿证据表明按上述方法进行估值不能客观反映其公允价值的，基金管理人可根据具体情况与基金托管人商定后，按最能反映公允价值的价格估值。</w:t>
      </w:r>
    </w:p>
    <w:p w14:paraId="1319C5D1" w14:textId="2101CCCC" w:rsidR="00DF5D16" w:rsidRDefault="00095532" w:rsidP="00DF5D16">
      <w:pPr>
        <w:adjustRightInd w:val="0"/>
        <w:snapToGrid w:val="0"/>
        <w:spacing w:line="360" w:lineRule="auto"/>
        <w:ind w:firstLineChars="200" w:firstLine="480"/>
        <w:rPr>
          <w:rFonts w:ascii="宋体" w:hAnsi="宋体"/>
          <w:bCs/>
          <w:sz w:val="24"/>
        </w:rPr>
      </w:pPr>
      <w:r>
        <w:rPr>
          <w:rFonts w:ascii="宋体" w:hAnsi="宋体"/>
          <w:bCs/>
          <w:sz w:val="24"/>
        </w:rPr>
        <w:t>13</w:t>
      </w:r>
      <w:r w:rsidR="00DF5D16">
        <w:rPr>
          <w:rFonts w:ascii="宋体" w:hAnsi="宋体"/>
          <w:bCs/>
          <w:sz w:val="24"/>
        </w:rPr>
        <w:t>、</w:t>
      </w:r>
      <w:r w:rsidR="00DF5D16">
        <w:rPr>
          <w:rFonts w:ascii="宋体" w:hAnsi="宋体" w:hint="eastAsia"/>
          <w:bCs/>
          <w:sz w:val="24"/>
        </w:rPr>
        <w:t>当本基金发生大额申购或赎回情形时，基金管理人可以采用摆动定价机制，以确保基金估值的公平性。</w:t>
      </w:r>
    </w:p>
    <w:p w14:paraId="5EC6A72F" w14:textId="5D1A6F5F" w:rsidR="00DF5D16" w:rsidRDefault="00095532" w:rsidP="00DF5D16">
      <w:pPr>
        <w:adjustRightInd w:val="0"/>
        <w:snapToGrid w:val="0"/>
        <w:spacing w:line="360" w:lineRule="auto"/>
        <w:ind w:firstLineChars="200" w:firstLine="480"/>
        <w:rPr>
          <w:rFonts w:ascii="宋体" w:hAnsi="宋体"/>
          <w:bCs/>
          <w:sz w:val="24"/>
        </w:rPr>
      </w:pPr>
      <w:r>
        <w:rPr>
          <w:rFonts w:ascii="宋体" w:hAnsi="宋体"/>
          <w:bCs/>
          <w:sz w:val="24"/>
        </w:rPr>
        <w:t>14</w:t>
      </w:r>
      <w:r w:rsidR="00DF5D16">
        <w:rPr>
          <w:rFonts w:ascii="宋体" w:hAnsi="宋体" w:hint="eastAsia"/>
          <w:bCs/>
          <w:sz w:val="24"/>
        </w:rPr>
        <w:t>、相关法律法规以及监管部门有强制规定的，从其规定。如有新增事项，按国家最新规定估值。</w:t>
      </w:r>
    </w:p>
    <w:p w14:paraId="0608A220" w14:textId="77777777" w:rsidR="00DF5D16" w:rsidRDefault="00DF5D16" w:rsidP="00DF5D16">
      <w:pPr>
        <w:adjustRightInd w:val="0"/>
        <w:snapToGrid w:val="0"/>
        <w:spacing w:line="360" w:lineRule="auto"/>
        <w:ind w:firstLineChars="200" w:firstLine="480"/>
        <w:rPr>
          <w:rFonts w:ascii="宋体" w:hAnsi="宋体"/>
          <w:bCs/>
          <w:sz w:val="24"/>
        </w:rPr>
      </w:pPr>
      <w:r>
        <w:rPr>
          <w:rFonts w:ascii="宋体" w:hAnsi="宋体" w:hint="eastAsia"/>
          <w:bCs/>
          <w:sz w:val="24"/>
        </w:rPr>
        <w:t>如基金管理人或基金托管人发现基金估值违反基金合同订明的估值方法、程序及相关法律法规的规定或者未能充分维护基金份额持有人利益时，应立即通知对方，共同查明原因，双方协商解决，以约定的方法、程序和相关法律法规的规定进行估值，以维护基金份额持有人的利益。</w:t>
      </w:r>
    </w:p>
    <w:p w14:paraId="14405642" w14:textId="4D1F786C" w:rsidR="00DF5D16" w:rsidRDefault="00DF5D16" w:rsidP="00DF5D16">
      <w:pPr>
        <w:adjustRightInd w:val="0"/>
        <w:snapToGrid w:val="0"/>
        <w:spacing w:line="360" w:lineRule="auto"/>
        <w:ind w:firstLineChars="200" w:firstLine="480"/>
        <w:rPr>
          <w:rFonts w:ascii="宋体" w:hAnsi="宋体"/>
          <w:bCs/>
          <w:sz w:val="24"/>
        </w:rPr>
      </w:pPr>
      <w:r>
        <w:rPr>
          <w:rFonts w:ascii="宋体" w:hAnsi="宋体" w:hint="eastAsia"/>
          <w:bCs/>
          <w:sz w:val="24"/>
        </w:rPr>
        <w:t>根据有关法律法规，基金资产净值计算、各类基金份额净值计算和基金会计核算的义务由基金管理人承担。本基金的基金会计责任方由基金管理人担任，因此，就与本基金有关的会计问题，如经相关各方在平等基础上充分讨论后，仍无法达成一致意见的，按照基金管理人对基金净值信息的计算结果按规定对外予以公布。</w:t>
      </w:r>
    </w:p>
    <w:p w14:paraId="0339D109" w14:textId="77777777" w:rsidR="00DF5D16" w:rsidRDefault="00DF5D16" w:rsidP="00DF5D16">
      <w:pPr>
        <w:adjustRightInd w:val="0"/>
        <w:snapToGrid w:val="0"/>
        <w:spacing w:line="360" w:lineRule="auto"/>
        <w:ind w:firstLineChars="200" w:firstLine="480"/>
        <w:rPr>
          <w:rFonts w:ascii="宋体" w:hAnsi="宋体"/>
          <w:bCs/>
          <w:sz w:val="24"/>
        </w:rPr>
      </w:pPr>
      <w:r>
        <w:rPr>
          <w:rFonts w:ascii="宋体" w:hAnsi="宋体" w:hint="eastAsia"/>
          <w:bCs/>
          <w:sz w:val="24"/>
        </w:rPr>
        <w:t>五</w:t>
      </w:r>
      <w:r>
        <w:rPr>
          <w:rFonts w:ascii="宋体" w:hAnsi="宋体"/>
          <w:bCs/>
          <w:sz w:val="24"/>
        </w:rPr>
        <w:t>、估值程序</w:t>
      </w:r>
    </w:p>
    <w:p w14:paraId="5C14FC71" w14:textId="77777777" w:rsidR="00DF5D16" w:rsidRDefault="00DF5D16" w:rsidP="00DF5D16">
      <w:pPr>
        <w:adjustRightInd w:val="0"/>
        <w:snapToGrid w:val="0"/>
        <w:spacing w:line="360" w:lineRule="auto"/>
        <w:ind w:firstLineChars="200" w:firstLine="480"/>
        <w:rPr>
          <w:rFonts w:ascii="黑体" w:hAnsi="黑体"/>
          <w:bCs/>
          <w:sz w:val="24"/>
        </w:rPr>
      </w:pPr>
      <w:r>
        <w:rPr>
          <w:rFonts w:ascii="宋体" w:hAnsi="宋体" w:hint="eastAsia"/>
          <w:bCs/>
          <w:sz w:val="24"/>
        </w:rPr>
        <w:t>1、各类基金份额净值是按照每个估值日闭市后，各类基金份额的基金资产净值分别除以当日该类基金份额的余额数量计算，均精确到0.0001元，小数点后第5位四舍五入。基金管理人可以设立大额赎回情形下的净值精度应急调整机制。国家另有规定的，从其规定。</w:t>
      </w:r>
    </w:p>
    <w:p w14:paraId="2C256168" w14:textId="77777777" w:rsidR="00DF5D16" w:rsidRDefault="00DF5D16" w:rsidP="00DF5D16">
      <w:pPr>
        <w:adjustRightInd w:val="0"/>
        <w:snapToGrid w:val="0"/>
        <w:spacing w:line="360" w:lineRule="auto"/>
        <w:ind w:firstLineChars="200" w:firstLine="480"/>
        <w:rPr>
          <w:rFonts w:ascii="黑体" w:hAnsi="黑体"/>
          <w:bCs/>
          <w:sz w:val="24"/>
        </w:rPr>
      </w:pPr>
      <w:r>
        <w:rPr>
          <w:rFonts w:ascii="黑体" w:hAnsi="黑体" w:hint="eastAsia"/>
          <w:bCs/>
          <w:sz w:val="24"/>
        </w:rPr>
        <w:t>基金管理人于每个估值日计算基金资产净值及各类基金份额净值，经基金托管人复核，并按规定公告。如遇特殊情况，经履行适当程序，可以适当延迟计算</w:t>
      </w:r>
      <w:r>
        <w:rPr>
          <w:rFonts w:ascii="黑体" w:hAnsi="黑体" w:hint="eastAsia"/>
          <w:bCs/>
          <w:sz w:val="24"/>
        </w:rPr>
        <w:lastRenderedPageBreak/>
        <w:t>或公告。</w:t>
      </w:r>
    </w:p>
    <w:p w14:paraId="3116A1E8" w14:textId="4B5BAEC9" w:rsidR="00DF5D16" w:rsidRDefault="00DF5D16" w:rsidP="00DF5D16">
      <w:pPr>
        <w:adjustRightInd w:val="0"/>
        <w:snapToGrid w:val="0"/>
        <w:spacing w:line="360" w:lineRule="auto"/>
        <w:ind w:firstLineChars="200" w:firstLine="480"/>
        <w:rPr>
          <w:rFonts w:ascii="黑体" w:hAnsi="黑体"/>
          <w:bCs/>
          <w:sz w:val="24"/>
        </w:rPr>
      </w:pPr>
      <w:r>
        <w:rPr>
          <w:rFonts w:ascii="黑体" w:hAnsi="黑体" w:hint="eastAsia"/>
          <w:bCs/>
          <w:sz w:val="24"/>
        </w:rPr>
        <w:t>2</w:t>
      </w:r>
      <w:r>
        <w:rPr>
          <w:rFonts w:ascii="黑体" w:hAnsi="黑体" w:hint="eastAsia"/>
          <w:bCs/>
          <w:sz w:val="24"/>
        </w:rPr>
        <w:t>、基金管理人应每个估值日对基金资产估值。但基金管理人根据法律法规或基金合同的规定暂停估值时除外。基金管理人每个估值日对基金资产估值后，将各</w:t>
      </w:r>
      <w:r>
        <w:rPr>
          <w:rFonts w:ascii="宋体" w:hAnsi="宋体" w:hint="eastAsia"/>
          <w:bCs/>
          <w:sz w:val="24"/>
        </w:rPr>
        <w:t>类</w:t>
      </w:r>
      <w:r>
        <w:rPr>
          <w:rFonts w:ascii="黑体" w:hAnsi="黑体" w:hint="eastAsia"/>
          <w:bCs/>
          <w:sz w:val="24"/>
        </w:rPr>
        <w:t>基金份额净值结果发送基金托管人，经基金托管人复核无误后，由基金管理人按约定对外公布。</w:t>
      </w:r>
    </w:p>
    <w:p w14:paraId="4C4E13ED" w14:textId="77777777" w:rsidR="00DF5D16" w:rsidRDefault="00DF5D16" w:rsidP="00DF5D16">
      <w:pPr>
        <w:adjustRightInd w:val="0"/>
        <w:snapToGrid w:val="0"/>
        <w:spacing w:line="360" w:lineRule="auto"/>
        <w:ind w:firstLineChars="200" w:firstLine="480"/>
        <w:rPr>
          <w:rFonts w:ascii="黑体" w:hAnsi="黑体"/>
          <w:bCs/>
          <w:sz w:val="24"/>
        </w:rPr>
      </w:pPr>
      <w:r>
        <w:rPr>
          <w:rFonts w:ascii="黑体" w:hAnsi="黑体" w:hint="eastAsia"/>
          <w:bCs/>
          <w:sz w:val="24"/>
        </w:rPr>
        <w:t>六</w:t>
      </w:r>
      <w:r>
        <w:rPr>
          <w:rFonts w:ascii="黑体" w:hAnsi="黑体"/>
          <w:bCs/>
          <w:sz w:val="24"/>
        </w:rPr>
        <w:t>、估值错误的处理</w:t>
      </w:r>
    </w:p>
    <w:p w14:paraId="6A5F5259" w14:textId="77777777" w:rsidR="00DF5D16" w:rsidRDefault="00DF5D16" w:rsidP="00DF5D16">
      <w:pPr>
        <w:adjustRightInd w:val="0"/>
        <w:snapToGrid w:val="0"/>
        <w:spacing w:line="360" w:lineRule="auto"/>
        <w:ind w:firstLineChars="200" w:firstLine="480"/>
        <w:rPr>
          <w:rFonts w:ascii="黑体" w:hAnsi="黑体"/>
          <w:bCs/>
          <w:sz w:val="24"/>
        </w:rPr>
      </w:pPr>
      <w:r>
        <w:rPr>
          <w:rFonts w:ascii="黑体" w:hAnsi="黑体"/>
          <w:bCs/>
          <w:sz w:val="24"/>
        </w:rPr>
        <w:t>基金管理人和基金托管人将采取必要、适当、合理的措施确保基金资产估值的准确性、及时性。当</w:t>
      </w:r>
      <w:r>
        <w:rPr>
          <w:rFonts w:ascii="黑体" w:hAnsi="黑体" w:hint="eastAsia"/>
          <w:bCs/>
          <w:sz w:val="24"/>
        </w:rPr>
        <w:t>任一类</w:t>
      </w:r>
      <w:r>
        <w:rPr>
          <w:rFonts w:ascii="黑体" w:hAnsi="黑体"/>
          <w:bCs/>
          <w:sz w:val="24"/>
        </w:rPr>
        <w:t>基金份额净</w:t>
      </w:r>
      <w:r>
        <w:rPr>
          <w:rFonts w:ascii="宋体" w:hAnsi="宋体"/>
          <w:bCs/>
          <w:sz w:val="24"/>
        </w:rPr>
        <w:t>值小数点后</w:t>
      </w:r>
      <w:r>
        <w:rPr>
          <w:rFonts w:ascii="宋体" w:hAnsi="宋体" w:hint="eastAsia"/>
          <w:bCs/>
          <w:sz w:val="24"/>
        </w:rPr>
        <w:t>4</w:t>
      </w:r>
      <w:r>
        <w:rPr>
          <w:rFonts w:ascii="宋体" w:hAnsi="宋体"/>
          <w:bCs/>
          <w:sz w:val="24"/>
        </w:rPr>
        <w:t>位以内</w:t>
      </w:r>
      <w:r>
        <w:rPr>
          <w:rFonts w:ascii="宋体" w:hAnsi="宋体" w:hint="eastAsia"/>
          <w:bCs/>
          <w:sz w:val="24"/>
        </w:rPr>
        <w:t>（</w:t>
      </w:r>
      <w:r>
        <w:rPr>
          <w:rFonts w:ascii="宋体" w:hAnsi="宋体"/>
          <w:bCs/>
          <w:sz w:val="24"/>
        </w:rPr>
        <w:t>含第</w:t>
      </w:r>
      <w:r>
        <w:rPr>
          <w:rFonts w:ascii="宋体" w:hAnsi="宋体" w:hint="eastAsia"/>
          <w:bCs/>
          <w:sz w:val="24"/>
        </w:rPr>
        <w:t>4</w:t>
      </w:r>
      <w:r>
        <w:rPr>
          <w:rFonts w:ascii="宋体" w:hAnsi="宋体"/>
          <w:bCs/>
          <w:sz w:val="24"/>
        </w:rPr>
        <w:t>位</w:t>
      </w:r>
      <w:r>
        <w:rPr>
          <w:rFonts w:ascii="宋体" w:hAnsi="宋体" w:hint="eastAsia"/>
          <w:bCs/>
          <w:sz w:val="24"/>
        </w:rPr>
        <w:t>）</w:t>
      </w:r>
      <w:r>
        <w:rPr>
          <w:rFonts w:ascii="宋体" w:hAnsi="宋体"/>
          <w:bCs/>
          <w:sz w:val="24"/>
        </w:rPr>
        <w:t>发生估值错误时，视为</w:t>
      </w:r>
      <w:r>
        <w:rPr>
          <w:rFonts w:ascii="宋体" w:hAnsi="宋体" w:hint="eastAsia"/>
          <w:bCs/>
          <w:sz w:val="24"/>
        </w:rPr>
        <w:t>该类</w:t>
      </w:r>
      <w:r>
        <w:rPr>
          <w:rFonts w:ascii="宋体" w:hAnsi="宋体"/>
          <w:bCs/>
          <w:sz w:val="24"/>
        </w:rPr>
        <w:t>基金份额净值错误。</w:t>
      </w:r>
    </w:p>
    <w:p w14:paraId="65E705B5" w14:textId="0733BDC9" w:rsidR="00DF5D16" w:rsidRDefault="00DF5D16" w:rsidP="00DF5D16">
      <w:pPr>
        <w:adjustRightInd w:val="0"/>
        <w:snapToGrid w:val="0"/>
        <w:spacing w:line="360" w:lineRule="auto"/>
        <w:ind w:firstLineChars="200" w:firstLine="480"/>
        <w:rPr>
          <w:rFonts w:ascii="黑体" w:hAnsi="黑体"/>
          <w:bCs/>
          <w:sz w:val="24"/>
        </w:rPr>
      </w:pPr>
      <w:r>
        <w:rPr>
          <w:rFonts w:ascii="黑体" w:hAnsi="黑体" w:hint="eastAsia"/>
          <w:bCs/>
          <w:sz w:val="24"/>
        </w:rPr>
        <w:t>由于一方当事人提供的信息错误，另一方当事人在采取了必要合理的措施后仍不能发现该错误，进而导致基金资产净值、</w:t>
      </w:r>
      <w:r>
        <w:rPr>
          <w:rFonts w:ascii="宋体" w:hAnsi="宋体" w:hint="eastAsia"/>
          <w:bCs/>
          <w:sz w:val="24"/>
        </w:rPr>
        <w:t>各类基金份额净值</w:t>
      </w:r>
      <w:r>
        <w:rPr>
          <w:rFonts w:ascii="黑体" w:hAnsi="黑体" w:hint="eastAsia"/>
          <w:bCs/>
          <w:sz w:val="24"/>
        </w:rPr>
        <w:t>计算错误造成投资人或基金的损失，以及由此造成以后交易日基金资产净值、</w:t>
      </w:r>
      <w:r>
        <w:rPr>
          <w:rFonts w:ascii="宋体" w:hAnsi="宋体" w:hint="eastAsia"/>
          <w:bCs/>
          <w:sz w:val="24"/>
        </w:rPr>
        <w:t>各类基金份额净值</w:t>
      </w:r>
      <w:r>
        <w:rPr>
          <w:rFonts w:ascii="黑体" w:hAnsi="黑体" w:hint="eastAsia"/>
          <w:bCs/>
          <w:sz w:val="24"/>
        </w:rPr>
        <w:t>计算顺延错误而引起的投资人或基金的损失，由提供错误信息的当事人一方负责赔偿。</w:t>
      </w:r>
    </w:p>
    <w:p w14:paraId="6AD2E7BD" w14:textId="67048E13" w:rsidR="00DF5D16" w:rsidRDefault="00DF5D16" w:rsidP="00DF5D16">
      <w:pPr>
        <w:adjustRightInd w:val="0"/>
        <w:snapToGrid w:val="0"/>
        <w:spacing w:line="360" w:lineRule="auto"/>
        <w:ind w:firstLineChars="200" w:firstLine="480"/>
        <w:rPr>
          <w:rFonts w:ascii="黑体" w:hAnsi="黑体"/>
          <w:bCs/>
          <w:sz w:val="24"/>
        </w:rPr>
      </w:pPr>
      <w:r>
        <w:rPr>
          <w:rFonts w:ascii="黑体" w:hAnsi="黑体"/>
          <w:bCs/>
          <w:sz w:val="24"/>
        </w:rPr>
        <w:t>基金合同的当事人应按照以下约定处理：</w:t>
      </w:r>
    </w:p>
    <w:p w14:paraId="38112895" w14:textId="77777777" w:rsidR="00DF5D16" w:rsidRDefault="00DF5D16" w:rsidP="00DF5D16">
      <w:pPr>
        <w:adjustRightInd w:val="0"/>
        <w:snapToGrid w:val="0"/>
        <w:spacing w:line="360" w:lineRule="auto"/>
        <w:ind w:firstLineChars="200" w:firstLine="480"/>
        <w:rPr>
          <w:rFonts w:ascii="黑体" w:hAnsi="黑体"/>
          <w:bCs/>
          <w:sz w:val="24"/>
        </w:rPr>
      </w:pPr>
      <w:r>
        <w:rPr>
          <w:rFonts w:ascii="黑体" w:hAnsi="黑体"/>
          <w:bCs/>
          <w:sz w:val="24"/>
        </w:rPr>
        <w:t>1</w:t>
      </w:r>
      <w:r>
        <w:rPr>
          <w:rFonts w:ascii="黑体" w:hAnsi="黑体"/>
          <w:bCs/>
          <w:sz w:val="24"/>
        </w:rPr>
        <w:t>、估值错误类型</w:t>
      </w:r>
    </w:p>
    <w:p w14:paraId="054EBDC4" w14:textId="77777777" w:rsidR="00DF5D16" w:rsidRDefault="00DF5D16" w:rsidP="00DF5D16">
      <w:pPr>
        <w:adjustRightInd w:val="0"/>
        <w:snapToGrid w:val="0"/>
        <w:spacing w:line="360" w:lineRule="auto"/>
        <w:ind w:firstLineChars="200" w:firstLine="480"/>
        <w:rPr>
          <w:rFonts w:ascii="黑体" w:hAnsi="黑体"/>
          <w:bCs/>
          <w:sz w:val="24"/>
        </w:rPr>
      </w:pPr>
      <w:r>
        <w:rPr>
          <w:rFonts w:ascii="黑体" w:hAnsi="黑体"/>
          <w:bCs/>
          <w:sz w:val="24"/>
        </w:rPr>
        <w:t>本基金运作过程中，如果由于基金管理人或基金托管人、或登记机构、或销售机构、或投资人自身的过错造成估值错误，导致其他当事人遭受损失的，过错的责任人应当对由于该估值错误遭受损失当事人</w:t>
      </w:r>
      <w:r>
        <w:rPr>
          <w:rFonts w:ascii="黑体" w:hAnsi="黑体" w:hint="eastAsia"/>
          <w:bCs/>
          <w:sz w:val="24"/>
        </w:rPr>
        <w:t>（“</w:t>
      </w:r>
      <w:r>
        <w:rPr>
          <w:rFonts w:ascii="黑体" w:hAnsi="黑体"/>
          <w:bCs/>
          <w:sz w:val="24"/>
        </w:rPr>
        <w:t>受损方</w:t>
      </w:r>
      <w:r>
        <w:rPr>
          <w:rFonts w:ascii="黑体" w:hAnsi="黑体" w:hint="eastAsia"/>
          <w:bCs/>
          <w:sz w:val="24"/>
        </w:rPr>
        <w:t>”）</w:t>
      </w:r>
      <w:r>
        <w:rPr>
          <w:rFonts w:ascii="黑体" w:hAnsi="黑体"/>
          <w:bCs/>
          <w:sz w:val="24"/>
        </w:rPr>
        <w:t>的直接损失按下述</w:t>
      </w:r>
      <w:r>
        <w:rPr>
          <w:rFonts w:ascii="黑体" w:hAnsi="黑体"/>
          <w:bCs/>
          <w:sz w:val="24"/>
        </w:rPr>
        <w:t>“</w:t>
      </w:r>
      <w:r>
        <w:rPr>
          <w:rFonts w:ascii="黑体" w:hAnsi="黑体"/>
          <w:bCs/>
          <w:sz w:val="24"/>
        </w:rPr>
        <w:t>估值错误处理原则</w:t>
      </w:r>
      <w:r>
        <w:rPr>
          <w:rFonts w:ascii="黑体" w:hAnsi="黑体"/>
          <w:bCs/>
          <w:sz w:val="24"/>
        </w:rPr>
        <w:t>”</w:t>
      </w:r>
      <w:r>
        <w:rPr>
          <w:rFonts w:ascii="黑体" w:hAnsi="黑体"/>
          <w:bCs/>
          <w:sz w:val="24"/>
        </w:rPr>
        <w:t>给予赔偿，承担赔偿责任。</w:t>
      </w:r>
    </w:p>
    <w:p w14:paraId="38D2AF51" w14:textId="77777777" w:rsidR="00DF5D16" w:rsidRDefault="00DF5D16" w:rsidP="00DF5D16">
      <w:pPr>
        <w:adjustRightInd w:val="0"/>
        <w:snapToGrid w:val="0"/>
        <w:spacing w:line="360" w:lineRule="auto"/>
        <w:ind w:firstLineChars="200" w:firstLine="480"/>
        <w:rPr>
          <w:rFonts w:ascii="黑体" w:hAnsi="黑体"/>
          <w:bCs/>
          <w:sz w:val="24"/>
        </w:rPr>
      </w:pPr>
      <w:r>
        <w:rPr>
          <w:rFonts w:ascii="黑体" w:hAnsi="黑体"/>
          <w:bCs/>
          <w:sz w:val="24"/>
        </w:rPr>
        <w:t>上述估值错误的主要类型包括但不限于：资料申报差错、数据传输差错、数据计算差错、系统故障差错、下达指令差错等。</w:t>
      </w:r>
    </w:p>
    <w:p w14:paraId="059C893A" w14:textId="77777777" w:rsidR="00DF5D16" w:rsidRDefault="00DF5D16" w:rsidP="00DF5D16">
      <w:pPr>
        <w:adjustRightInd w:val="0"/>
        <w:snapToGrid w:val="0"/>
        <w:spacing w:line="360" w:lineRule="auto"/>
        <w:ind w:firstLineChars="200" w:firstLine="480"/>
        <w:rPr>
          <w:rFonts w:ascii="黑体" w:hAnsi="黑体"/>
          <w:bCs/>
          <w:sz w:val="24"/>
        </w:rPr>
      </w:pPr>
      <w:r>
        <w:rPr>
          <w:rFonts w:ascii="黑体" w:hAnsi="黑体"/>
          <w:bCs/>
          <w:sz w:val="24"/>
        </w:rPr>
        <w:t>2</w:t>
      </w:r>
      <w:r>
        <w:rPr>
          <w:rFonts w:ascii="黑体" w:hAnsi="黑体"/>
          <w:bCs/>
          <w:sz w:val="24"/>
        </w:rPr>
        <w:t>、估值错误处理原则</w:t>
      </w:r>
    </w:p>
    <w:p w14:paraId="61491E88" w14:textId="77777777" w:rsidR="00DF5D16" w:rsidRDefault="00DF5D16" w:rsidP="00DF5D16">
      <w:pPr>
        <w:adjustRightInd w:val="0"/>
        <w:snapToGrid w:val="0"/>
        <w:spacing w:line="360" w:lineRule="auto"/>
        <w:ind w:firstLineChars="200" w:firstLine="480"/>
        <w:rPr>
          <w:rFonts w:ascii="黑体" w:hAnsi="黑体"/>
          <w:bCs/>
          <w:sz w:val="24"/>
        </w:rPr>
      </w:pPr>
      <w:r>
        <w:rPr>
          <w:rFonts w:ascii="黑体" w:hAnsi="黑体"/>
          <w:bCs/>
          <w:sz w:val="24"/>
        </w:rPr>
        <w:t>（</w:t>
      </w:r>
      <w:r>
        <w:rPr>
          <w:rFonts w:ascii="黑体" w:hAnsi="黑体"/>
          <w:bCs/>
          <w:sz w:val="24"/>
        </w:rPr>
        <w:t>1</w:t>
      </w:r>
      <w:r>
        <w:rPr>
          <w:rFonts w:ascii="黑体" w:hAnsi="黑体"/>
          <w:bCs/>
          <w:sz w:val="24"/>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4D25248B" w14:textId="77777777" w:rsidR="00DF5D16" w:rsidRDefault="00DF5D16" w:rsidP="00DF5D16">
      <w:pPr>
        <w:adjustRightInd w:val="0"/>
        <w:snapToGrid w:val="0"/>
        <w:spacing w:line="360" w:lineRule="auto"/>
        <w:ind w:firstLineChars="200" w:firstLine="480"/>
        <w:rPr>
          <w:rFonts w:ascii="黑体" w:hAnsi="黑体"/>
          <w:bCs/>
          <w:sz w:val="24"/>
        </w:rPr>
      </w:pPr>
      <w:r>
        <w:rPr>
          <w:rFonts w:ascii="黑体" w:hAnsi="黑体"/>
          <w:bCs/>
          <w:sz w:val="24"/>
        </w:rPr>
        <w:lastRenderedPageBreak/>
        <w:t>（</w:t>
      </w:r>
      <w:r>
        <w:rPr>
          <w:rFonts w:ascii="黑体" w:hAnsi="黑体" w:hint="eastAsia"/>
          <w:bCs/>
          <w:sz w:val="24"/>
        </w:rPr>
        <w:t>2</w:t>
      </w:r>
      <w:r>
        <w:rPr>
          <w:rFonts w:ascii="黑体" w:hAnsi="黑体"/>
          <w:bCs/>
          <w:sz w:val="24"/>
        </w:rPr>
        <w:t>）估值错误的责任方对有关当事人的直接损失负责，不对间接损失负责，并且仅对估值错误的有关直接当事人负责，不对第三方负责。</w:t>
      </w:r>
    </w:p>
    <w:p w14:paraId="24F7B9DF" w14:textId="77777777" w:rsidR="00DF5D16" w:rsidRDefault="00DF5D16" w:rsidP="00DF5D16">
      <w:pPr>
        <w:adjustRightInd w:val="0"/>
        <w:snapToGrid w:val="0"/>
        <w:spacing w:line="360" w:lineRule="auto"/>
        <w:ind w:firstLineChars="200" w:firstLine="480"/>
        <w:rPr>
          <w:rFonts w:ascii="黑体" w:hAnsi="黑体"/>
          <w:bCs/>
          <w:sz w:val="24"/>
        </w:rPr>
      </w:pPr>
      <w:r>
        <w:rPr>
          <w:rFonts w:ascii="黑体" w:hAnsi="黑体"/>
          <w:bCs/>
          <w:sz w:val="24"/>
        </w:rPr>
        <w:t>（</w:t>
      </w:r>
      <w:r>
        <w:rPr>
          <w:rFonts w:ascii="黑体" w:hAnsi="黑体" w:hint="eastAsia"/>
          <w:bCs/>
          <w:sz w:val="24"/>
        </w:rPr>
        <w:t>3</w:t>
      </w:r>
      <w:r>
        <w:rPr>
          <w:rFonts w:ascii="黑体" w:hAnsi="黑体"/>
          <w:bCs/>
          <w:sz w:val="24"/>
        </w:rPr>
        <w:t>）因估值错误而获得不当得利的当事人负有及时返还不当得利的义务。但估值错误责任方仍应对估值错误负责。如果由于获得不当得利的当事人不返还或不全部返还不当得利造成其他当事人的利益损失</w:t>
      </w:r>
      <w:r>
        <w:rPr>
          <w:rFonts w:ascii="黑体" w:hAnsi="黑体" w:hint="eastAsia"/>
          <w:bCs/>
          <w:sz w:val="24"/>
        </w:rPr>
        <w:t>（“</w:t>
      </w:r>
      <w:r>
        <w:rPr>
          <w:rFonts w:ascii="黑体" w:hAnsi="黑体"/>
          <w:bCs/>
          <w:sz w:val="24"/>
        </w:rPr>
        <w:t>受损方</w:t>
      </w:r>
      <w:r>
        <w:rPr>
          <w:rFonts w:ascii="黑体" w:hAnsi="黑体" w:hint="eastAsia"/>
          <w:bCs/>
          <w:sz w:val="24"/>
        </w:rPr>
        <w:t>”）</w:t>
      </w:r>
      <w:r>
        <w:rPr>
          <w:rFonts w:ascii="黑体" w:hAnsi="黑体"/>
          <w:bCs/>
          <w:sz w:val="24"/>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4EA25D87" w14:textId="77777777" w:rsidR="00DF5D16" w:rsidRDefault="00DF5D16" w:rsidP="00DF5D16">
      <w:pPr>
        <w:adjustRightInd w:val="0"/>
        <w:snapToGrid w:val="0"/>
        <w:spacing w:line="360" w:lineRule="auto"/>
        <w:ind w:firstLineChars="200" w:firstLine="480"/>
        <w:rPr>
          <w:rFonts w:ascii="黑体" w:hAnsi="黑体"/>
          <w:bCs/>
          <w:sz w:val="24"/>
        </w:rPr>
      </w:pPr>
      <w:r>
        <w:rPr>
          <w:rFonts w:ascii="黑体" w:hAnsi="黑体"/>
          <w:bCs/>
          <w:sz w:val="24"/>
        </w:rPr>
        <w:t>（</w:t>
      </w:r>
      <w:r>
        <w:rPr>
          <w:rFonts w:ascii="黑体" w:hAnsi="黑体" w:hint="eastAsia"/>
          <w:bCs/>
          <w:sz w:val="24"/>
        </w:rPr>
        <w:t>4</w:t>
      </w:r>
      <w:r>
        <w:rPr>
          <w:rFonts w:ascii="黑体" w:hAnsi="黑体"/>
          <w:bCs/>
          <w:sz w:val="24"/>
        </w:rPr>
        <w:t>）估值错误调整采用尽量恢复至假设未发生估值错误的正确情形的方式。</w:t>
      </w:r>
    </w:p>
    <w:p w14:paraId="45EAE2C1" w14:textId="77777777" w:rsidR="00DF5D16" w:rsidRDefault="00DF5D16" w:rsidP="00DF5D16">
      <w:pPr>
        <w:adjustRightInd w:val="0"/>
        <w:snapToGrid w:val="0"/>
        <w:spacing w:line="360" w:lineRule="auto"/>
        <w:ind w:firstLineChars="200" w:firstLine="480"/>
        <w:rPr>
          <w:rFonts w:ascii="黑体" w:hAnsi="黑体"/>
          <w:bCs/>
          <w:sz w:val="24"/>
        </w:rPr>
      </w:pPr>
      <w:r>
        <w:rPr>
          <w:rFonts w:ascii="黑体" w:hAnsi="黑体"/>
          <w:bCs/>
          <w:sz w:val="24"/>
        </w:rPr>
        <w:t>3</w:t>
      </w:r>
      <w:r>
        <w:rPr>
          <w:rFonts w:ascii="黑体" w:hAnsi="黑体"/>
          <w:bCs/>
          <w:sz w:val="24"/>
        </w:rPr>
        <w:t>、估值错误处理程序</w:t>
      </w:r>
    </w:p>
    <w:p w14:paraId="5F09D05E" w14:textId="77777777" w:rsidR="00DF5D16" w:rsidRDefault="00DF5D16" w:rsidP="00DF5D16">
      <w:pPr>
        <w:adjustRightInd w:val="0"/>
        <w:snapToGrid w:val="0"/>
        <w:spacing w:line="360" w:lineRule="auto"/>
        <w:ind w:firstLineChars="200" w:firstLine="480"/>
        <w:rPr>
          <w:rFonts w:ascii="黑体" w:hAnsi="黑体"/>
          <w:bCs/>
          <w:sz w:val="24"/>
        </w:rPr>
      </w:pPr>
      <w:r>
        <w:rPr>
          <w:rFonts w:ascii="黑体" w:hAnsi="黑体"/>
          <w:bCs/>
          <w:sz w:val="24"/>
        </w:rPr>
        <w:t>估值错误被发现后，有关的当事人应当及时进行处理，处理的程序如下：</w:t>
      </w:r>
    </w:p>
    <w:p w14:paraId="168B8037" w14:textId="77777777" w:rsidR="00DF5D16" w:rsidRDefault="00DF5D16" w:rsidP="00DF5D16">
      <w:pPr>
        <w:adjustRightInd w:val="0"/>
        <w:snapToGrid w:val="0"/>
        <w:spacing w:line="360" w:lineRule="auto"/>
        <w:ind w:firstLineChars="200" w:firstLine="480"/>
        <w:rPr>
          <w:rFonts w:ascii="黑体" w:hAnsi="黑体"/>
          <w:bCs/>
          <w:sz w:val="24"/>
        </w:rPr>
      </w:pPr>
      <w:r>
        <w:rPr>
          <w:rFonts w:ascii="黑体" w:hAnsi="黑体"/>
          <w:bCs/>
          <w:sz w:val="24"/>
        </w:rPr>
        <w:t>（</w:t>
      </w:r>
      <w:r>
        <w:rPr>
          <w:rFonts w:ascii="黑体" w:hAnsi="黑体"/>
          <w:bCs/>
          <w:sz w:val="24"/>
        </w:rPr>
        <w:t>1</w:t>
      </w:r>
      <w:r>
        <w:rPr>
          <w:rFonts w:ascii="黑体" w:hAnsi="黑体"/>
          <w:bCs/>
          <w:sz w:val="24"/>
        </w:rPr>
        <w:t>）查明估值错误发生的原因，列明所有的当事人，并根据估值错误发生的原因确定估值错误的责任方；</w:t>
      </w:r>
    </w:p>
    <w:p w14:paraId="00C27E33" w14:textId="77777777" w:rsidR="00DF5D16" w:rsidRDefault="00DF5D16" w:rsidP="00DF5D16">
      <w:pPr>
        <w:adjustRightInd w:val="0"/>
        <w:snapToGrid w:val="0"/>
        <w:spacing w:line="360" w:lineRule="auto"/>
        <w:ind w:firstLineChars="200" w:firstLine="480"/>
        <w:rPr>
          <w:rFonts w:ascii="黑体" w:hAnsi="黑体"/>
          <w:bCs/>
          <w:sz w:val="24"/>
        </w:rPr>
      </w:pPr>
      <w:r>
        <w:rPr>
          <w:rFonts w:ascii="黑体" w:hAnsi="黑体"/>
          <w:bCs/>
          <w:sz w:val="24"/>
        </w:rPr>
        <w:t>（</w:t>
      </w:r>
      <w:r>
        <w:rPr>
          <w:rFonts w:ascii="黑体" w:hAnsi="黑体" w:hint="eastAsia"/>
          <w:bCs/>
          <w:sz w:val="24"/>
        </w:rPr>
        <w:t>2</w:t>
      </w:r>
      <w:r>
        <w:rPr>
          <w:rFonts w:ascii="黑体" w:hAnsi="黑体"/>
          <w:bCs/>
          <w:sz w:val="24"/>
        </w:rPr>
        <w:t>）根据估值错误处理原则或当事人协商的方法对因估值错误造成的损失进行评估；</w:t>
      </w:r>
    </w:p>
    <w:p w14:paraId="40701131" w14:textId="77777777" w:rsidR="00DF5D16" w:rsidRDefault="00DF5D16" w:rsidP="00DF5D16">
      <w:pPr>
        <w:adjustRightInd w:val="0"/>
        <w:snapToGrid w:val="0"/>
        <w:spacing w:line="360" w:lineRule="auto"/>
        <w:ind w:firstLineChars="200" w:firstLine="480"/>
        <w:rPr>
          <w:rFonts w:ascii="黑体" w:hAnsi="黑体"/>
          <w:bCs/>
          <w:sz w:val="24"/>
        </w:rPr>
      </w:pPr>
      <w:r>
        <w:rPr>
          <w:rFonts w:ascii="黑体" w:hAnsi="黑体"/>
          <w:bCs/>
          <w:sz w:val="24"/>
        </w:rPr>
        <w:t>（</w:t>
      </w:r>
      <w:r>
        <w:rPr>
          <w:rFonts w:ascii="黑体" w:hAnsi="黑体" w:hint="eastAsia"/>
          <w:bCs/>
          <w:sz w:val="24"/>
        </w:rPr>
        <w:t>3</w:t>
      </w:r>
      <w:r>
        <w:rPr>
          <w:rFonts w:ascii="黑体" w:hAnsi="黑体"/>
          <w:bCs/>
          <w:sz w:val="24"/>
        </w:rPr>
        <w:t>）根据估值错误处理原则或当事人协商的方法由估值错误的责任方进行更正和赔偿损失；</w:t>
      </w:r>
    </w:p>
    <w:p w14:paraId="26505427" w14:textId="77777777" w:rsidR="00DF5D16" w:rsidRDefault="00DF5D16" w:rsidP="00DF5D16">
      <w:pPr>
        <w:adjustRightInd w:val="0"/>
        <w:snapToGrid w:val="0"/>
        <w:spacing w:line="360" w:lineRule="auto"/>
        <w:ind w:firstLineChars="200" w:firstLine="480"/>
        <w:rPr>
          <w:rFonts w:ascii="黑体" w:hAnsi="黑体"/>
          <w:bCs/>
          <w:sz w:val="24"/>
        </w:rPr>
      </w:pPr>
      <w:r>
        <w:rPr>
          <w:rFonts w:ascii="黑体" w:hAnsi="黑体"/>
          <w:bCs/>
          <w:sz w:val="24"/>
        </w:rPr>
        <w:t>（</w:t>
      </w:r>
      <w:r>
        <w:rPr>
          <w:rFonts w:ascii="黑体" w:hAnsi="黑体" w:hint="eastAsia"/>
          <w:bCs/>
          <w:sz w:val="24"/>
        </w:rPr>
        <w:t>4</w:t>
      </w:r>
      <w:r>
        <w:rPr>
          <w:rFonts w:ascii="黑体" w:hAnsi="黑体"/>
          <w:bCs/>
          <w:sz w:val="24"/>
        </w:rPr>
        <w:t>）根据估值错误处理的方法，需要修改基金登记机构交易数据的，由基金登记机构进行更正，并就估值错误的更正向有关当事人进行确认。</w:t>
      </w:r>
    </w:p>
    <w:p w14:paraId="72B928D1" w14:textId="77777777" w:rsidR="00DF5D16" w:rsidRDefault="00DF5D16" w:rsidP="00DF5D16">
      <w:pPr>
        <w:adjustRightInd w:val="0"/>
        <w:snapToGrid w:val="0"/>
        <w:spacing w:line="360" w:lineRule="auto"/>
        <w:ind w:firstLineChars="200" w:firstLine="480"/>
        <w:rPr>
          <w:rFonts w:ascii="黑体" w:hAnsi="黑体"/>
          <w:bCs/>
          <w:sz w:val="24"/>
        </w:rPr>
      </w:pPr>
      <w:r>
        <w:rPr>
          <w:rFonts w:ascii="黑体" w:hAnsi="黑体"/>
          <w:bCs/>
          <w:sz w:val="24"/>
        </w:rPr>
        <w:t>4</w:t>
      </w:r>
      <w:r>
        <w:rPr>
          <w:rFonts w:ascii="黑体" w:hAnsi="黑体"/>
          <w:bCs/>
          <w:sz w:val="24"/>
        </w:rPr>
        <w:t>、基金份额净值估值错误处理的方法如下：</w:t>
      </w:r>
    </w:p>
    <w:p w14:paraId="445FD329" w14:textId="77777777" w:rsidR="00DF5D16" w:rsidRDefault="00DF5D16" w:rsidP="00DF5D16">
      <w:pPr>
        <w:adjustRightInd w:val="0"/>
        <w:snapToGrid w:val="0"/>
        <w:spacing w:line="360" w:lineRule="auto"/>
        <w:ind w:firstLineChars="200" w:firstLine="480"/>
        <w:rPr>
          <w:rFonts w:ascii="黑体" w:hAnsi="黑体"/>
          <w:bCs/>
          <w:sz w:val="24"/>
        </w:rPr>
      </w:pPr>
      <w:r>
        <w:rPr>
          <w:rFonts w:ascii="黑体" w:hAnsi="黑体"/>
          <w:bCs/>
          <w:sz w:val="24"/>
        </w:rPr>
        <w:t>（</w:t>
      </w:r>
      <w:r>
        <w:rPr>
          <w:rFonts w:ascii="黑体" w:hAnsi="黑体"/>
          <w:bCs/>
          <w:sz w:val="24"/>
        </w:rPr>
        <w:t>1</w:t>
      </w:r>
      <w:r>
        <w:rPr>
          <w:rFonts w:ascii="黑体" w:hAnsi="黑体"/>
          <w:bCs/>
          <w:sz w:val="24"/>
        </w:rPr>
        <w:t>）基金份额净值计算出现错误时，基金管理人应当立即予以纠正，通报基金托管人，并采取合理的措施防止损失进一步扩大。</w:t>
      </w:r>
    </w:p>
    <w:p w14:paraId="2B34A1D7" w14:textId="570DD904" w:rsidR="00DF5D16" w:rsidRDefault="00DF5D16" w:rsidP="00DF5D16">
      <w:pPr>
        <w:adjustRightInd w:val="0"/>
        <w:snapToGrid w:val="0"/>
        <w:spacing w:line="360" w:lineRule="auto"/>
        <w:ind w:firstLineChars="200" w:firstLine="480"/>
        <w:rPr>
          <w:rFonts w:ascii="黑体" w:hAnsi="黑体"/>
          <w:bCs/>
          <w:sz w:val="24"/>
        </w:rPr>
      </w:pPr>
      <w:r>
        <w:rPr>
          <w:rFonts w:ascii="黑体" w:hAnsi="黑体"/>
          <w:bCs/>
          <w:sz w:val="24"/>
        </w:rPr>
        <w:t>（</w:t>
      </w:r>
      <w:r>
        <w:rPr>
          <w:rFonts w:ascii="黑体" w:hAnsi="黑体" w:hint="eastAsia"/>
          <w:bCs/>
          <w:sz w:val="24"/>
        </w:rPr>
        <w:t>2</w:t>
      </w:r>
      <w:r>
        <w:rPr>
          <w:rFonts w:ascii="黑体" w:hAnsi="黑体"/>
          <w:bCs/>
          <w:sz w:val="24"/>
        </w:rPr>
        <w:t>）错误偏差达到</w:t>
      </w:r>
      <w:r>
        <w:rPr>
          <w:rFonts w:ascii="宋体" w:hAnsi="宋体" w:hint="eastAsia"/>
          <w:bCs/>
          <w:sz w:val="24"/>
        </w:rPr>
        <w:t>该类</w:t>
      </w:r>
      <w:r>
        <w:rPr>
          <w:rFonts w:ascii="黑体" w:hAnsi="黑体"/>
          <w:bCs/>
          <w:sz w:val="24"/>
        </w:rPr>
        <w:t>基金份额净值</w:t>
      </w:r>
      <w:r>
        <w:rPr>
          <w:rFonts w:ascii="宋体" w:hAnsi="宋体"/>
          <w:bCs/>
          <w:sz w:val="24"/>
        </w:rPr>
        <w:t>的0.25%</w:t>
      </w:r>
      <w:r>
        <w:rPr>
          <w:rFonts w:ascii="黑体" w:hAnsi="黑体"/>
          <w:bCs/>
          <w:sz w:val="24"/>
        </w:rPr>
        <w:t>时，基金</w:t>
      </w:r>
      <w:r>
        <w:rPr>
          <w:rFonts w:ascii="宋体" w:hAnsi="宋体"/>
          <w:bCs/>
          <w:sz w:val="24"/>
        </w:rPr>
        <w:t>管理人应当通报基金托管人并报中国证监会备案；错误偏差达到</w:t>
      </w:r>
      <w:r>
        <w:rPr>
          <w:rFonts w:ascii="宋体" w:hAnsi="宋体" w:hint="eastAsia"/>
          <w:bCs/>
          <w:sz w:val="24"/>
        </w:rPr>
        <w:t>该类</w:t>
      </w:r>
      <w:r>
        <w:rPr>
          <w:rFonts w:ascii="宋体" w:hAnsi="宋体"/>
          <w:bCs/>
          <w:sz w:val="24"/>
        </w:rPr>
        <w:t>基金份额净值的0.5%时</w:t>
      </w:r>
      <w:r>
        <w:rPr>
          <w:rFonts w:ascii="黑体" w:hAnsi="黑体"/>
          <w:bCs/>
          <w:sz w:val="24"/>
        </w:rPr>
        <w:t>，基金管理人应当公告</w:t>
      </w:r>
      <w:r>
        <w:rPr>
          <w:rFonts w:ascii="黑体" w:hAnsi="黑体" w:hint="eastAsia"/>
          <w:bCs/>
          <w:sz w:val="24"/>
        </w:rPr>
        <w:t>，并报中国证监会备案。</w:t>
      </w:r>
    </w:p>
    <w:p w14:paraId="3234AC13" w14:textId="77777777" w:rsidR="00316D1A" w:rsidRPr="00316D1A" w:rsidRDefault="00316D1A" w:rsidP="00316D1A">
      <w:pPr>
        <w:adjustRightInd w:val="0"/>
        <w:snapToGrid w:val="0"/>
        <w:spacing w:line="360" w:lineRule="auto"/>
        <w:ind w:firstLineChars="200" w:firstLine="480"/>
        <w:rPr>
          <w:rFonts w:ascii="黑体" w:hAnsi="黑体"/>
          <w:bCs/>
          <w:sz w:val="24"/>
        </w:rPr>
      </w:pPr>
      <w:r w:rsidRPr="00316D1A">
        <w:rPr>
          <w:rFonts w:ascii="黑体" w:hAnsi="黑体" w:hint="eastAsia"/>
          <w:bCs/>
          <w:sz w:val="24"/>
        </w:rPr>
        <w:t>（</w:t>
      </w:r>
      <w:r w:rsidRPr="00316D1A">
        <w:rPr>
          <w:rFonts w:ascii="黑体" w:hAnsi="黑体" w:hint="eastAsia"/>
          <w:bCs/>
          <w:sz w:val="24"/>
        </w:rPr>
        <w:t>3</w:t>
      </w:r>
      <w:r w:rsidRPr="00316D1A">
        <w:rPr>
          <w:rFonts w:ascii="黑体" w:hAnsi="黑体" w:hint="eastAsia"/>
          <w:bCs/>
          <w:sz w:val="24"/>
        </w:rPr>
        <w:t>）当基金份额净值计算差错给基金和基金份额持有人造成损失需要进行赔偿时，基金管理人和基金托管人应根据实际情况界定双方承担的责任，经确认后按以下条款进行赔偿：</w:t>
      </w:r>
    </w:p>
    <w:p w14:paraId="29BA31E4" w14:textId="77777777" w:rsidR="00316D1A" w:rsidRPr="00316D1A" w:rsidRDefault="00316D1A" w:rsidP="00316D1A">
      <w:pPr>
        <w:adjustRightInd w:val="0"/>
        <w:snapToGrid w:val="0"/>
        <w:spacing w:line="360" w:lineRule="auto"/>
        <w:ind w:firstLineChars="200" w:firstLine="480"/>
        <w:rPr>
          <w:rFonts w:ascii="黑体" w:hAnsi="黑体"/>
          <w:bCs/>
          <w:sz w:val="24"/>
        </w:rPr>
      </w:pPr>
      <w:r w:rsidRPr="00316D1A">
        <w:rPr>
          <w:rFonts w:ascii="黑体" w:hAnsi="黑体" w:hint="eastAsia"/>
          <w:bCs/>
          <w:sz w:val="24"/>
        </w:rPr>
        <w:t>①本基金的基金会计责任方由基金管理人担任，与本基金有关的会计问题，</w:t>
      </w:r>
      <w:r w:rsidRPr="00316D1A">
        <w:rPr>
          <w:rFonts w:ascii="黑体" w:hAnsi="黑体" w:hint="eastAsia"/>
          <w:bCs/>
          <w:sz w:val="24"/>
        </w:rPr>
        <w:lastRenderedPageBreak/>
        <w:t>如经双方在平等基础上充分讨论后，尚不能达成一致时，按基金管理人的建议执行，由此给基金份额持有人和基金财产造成的损失，由基金管理人负责赔付。</w:t>
      </w:r>
    </w:p>
    <w:p w14:paraId="6718D244" w14:textId="77777777" w:rsidR="00316D1A" w:rsidRPr="00316D1A" w:rsidRDefault="00316D1A" w:rsidP="00316D1A">
      <w:pPr>
        <w:adjustRightInd w:val="0"/>
        <w:snapToGrid w:val="0"/>
        <w:spacing w:line="360" w:lineRule="auto"/>
        <w:ind w:firstLineChars="200" w:firstLine="480"/>
        <w:rPr>
          <w:rFonts w:ascii="黑体" w:hAnsi="黑体"/>
          <w:bCs/>
          <w:sz w:val="24"/>
        </w:rPr>
      </w:pPr>
      <w:r w:rsidRPr="00316D1A">
        <w:rPr>
          <w:rFonts w:ascii="黑体" w:hAnsi="黑体" w:hint="eastAsia"/>
          <w:bCs/>
          <w:sz w:val="24"/>
        </w:rPr>
        <w:t>②若基金管理人计算的基金份额净值已由基金托管人复核确认后公告，由此给基金份额持有人造成损失的，应根据法律法规的规定对投资者或基金支付赔偿金，就实际向投资者或基金支付的赔偿金额，基金管理人与基金托管人按照过错程度各自承担相应的责任。</w:t>
      </w:r>
    </w:p>
    <w:p w14:paraId="3E475DC2" w14:textId="77777777" w:rsidR="00316D1A" w:rsidRPr="00316D1A" w:rsidRDefault="00316D1A" w:rsidP="00316D1A">
      <w:pPr>
        <w:adjustRightInd w:val="0"/>
        <w:snapToGrid w:val="0"/>
        <w:spacing w:line="360" w:lineRule="auto"/>
        <w:ind w:firstLineChars="200" w:firstLine="480"/>
        <w:rPr>
          <w:rFonts w:ascii="黑体" w:hAnsi="黑体"/>
          <w:bCs/>
          <w:sz w:val="24"/>
        </w:rPr>
      </w:pPr>
      <w:r w:rsidRPr="00316D1A">
        <w:rPr>
          <w:rFonts w:ascii="黑体" w:hAnsi="黑体" w:hint="eastAsia"/>
          <w:bCs/>
          <w:sz w:val="24"/>
        </w:rPr>
        <w:t>③如基金管理人和基金托管人对基金份额净值的计算结果，虽然多次重新计算和核对，尚不能达成一致时，为避免不能按时公布基金份额净值的情形，以基金管理人的计算结果对外公布，由此给基金份额持有人和基金造成的损失，由基金管理人负责赔付。</w:t>
      </w:r>
    </w:p>
    <w:p w14:paraId="494B5FBF" w14:textId="52E4BA43" w:rsidR="00316D1A" w:rsidRDefault="00316D1A" w:rsidP="00316D1A">
      <w:pPr>
        <w:adjustRightInd w:val="0"/>
        <w:snapToGrid w:val="0"/>
        <w:spacing w:line="360" w:lineRule="auto"/>
        <w:ind w:firstLineChars="200" w:firstLine="480"/>
        <w:rPr>
          <w:rFonts w:ascii="黑体" w:hAnsi="黑体"/>
          <w:bCs/>
          <w:sz w:val="24"/>
        </w:rPr>
      </w:pPr>
      <w:r w:rsidRPr="00316D1A">
        <w:rPr>
          <w:rFonts w:ascii="黑体" w:hAnsi="黑体" w:hint="eastAsia"/>
          <w:bCs/>
          <w:sz w:val="24"/>
        </w:rPr>
        <w:t>④由于基金管理人提供的信息错误（包括但不限于基金申购或赎回金额等），进而导致基金份额净值计算错误而引起的基金份额持有人和基金财产的损失，由基金管理人负责赔付。</w:t>
      </w:r>
    </w:p>
    <w:p w14:paraId="1D3175B2" w14:textId="42DAA685" w:rsidR="00DF5D16" w:rsidRDefault="00DF5D16" w:rsidP="00DF5D16">
      <w:pPr>
        <w:adjustRightInd w:val="0"/>
        <w:snapToGrid w:val="0"/>
        <w:spacing w:line="360" w:lineRule="auto"/>
        <w:ind w:firstLineChars="200" w:firstLine="480"/>
        <w:rPr>
          <w:rFonts w:ascii="黑体" w:hAnsi="黑体"/>
          <w:bCs/>
          <w:sz w:val="24"/>
        </w:rPr>
      </w:pPr>
      <w:r>
        <w:rPr>
          <w:rFonts w:ascii="黑体" w:hAnsi="黑体" w:hint="eastAsia"/>
          <w:bCs/>
          <w:sz w:val="24"/>
        </w:rPr>
        <w:t>（</w:t>
      </w:r>
      <w:r w:rsidR="00316D1A">
        <w:rPr>
          <w:rFonts w:ascii="黑体" w:hAnsi="黑体"/>
          <w:bCs/>
          <w:sz w:val="24"/>
        </w:rPr>
        <w:t>4</w:t>
      </w:r>
      <w:r>
        <w:rPr>
          <w:rFonts w:ascii="黑体" w:hAnsi="黑体" w:hint="eastAsia"/>
          <w:bCs/>
          <w:sz w:val="24"/>
        </w:rPr>
        <w:t>）</w:t>
      </w:r>
      <w:r>
        <w:rPr>
          <w:rFonts w:ascii="黑体" w:hAnsi="黑体"/>
          <w:bCs/>
          <w:sz w:val="24"/>
        </w:rPr>
        <w:t>前述内容如法律法规或监管机关另有规定的，从其规定处理。</w:t>
      </w:r>
      <w:r>
        <w:rPr>
          <w:rFonts w:ascii="黑体" w:hAnsi="黑体" w:hint="eastAsia"/>
          <w:bCs/>
          <w:sz w:val="24"/>
        </w:rPr>
        <w:t>如果行业另有通行做法，基金管理人和基金托管人应本着平等和保护基金份额持有人利益的原则进行协商。</w:t>
      </w:r>
    </w:p>
    <w:p w14:paraId="0E230DBB" w14:textId="77777777" w:rsidR="00DF5D16" w:rsidRDefault="00DF5D16" w:rsidP="00DF5D16">
      <w:pPr>
        <w:adjustRightInd w:val="0"/>
        <w:snapToGrid w:val="0"/>
        <w:spacing w:line="360" w:lineRule="auto"/>
        <w:ind w:firstLineChars="200" w:firstLine="480"/>
        <w:rPr>
          <w:rFonts w:ascii="黑体" w:hAnsi="黑体"/>
          <w:bCs/>
          <w:sz w:val="24"/>
        </w:rPr>
      </w:pPr>
      <w:r>
        <w:rPr>
          <w:rFonts w:ascii="黑体" w:hAnsi="黑体" w:hint="eastAsia"/>
          <w:bCs/>
          <w:sz w:val="24"/>
        </w:rPr>
        <w:t>七</w:t>
      </w:r>
      <w:r>
        <w:rPr>
          <w:rFonts w:ascii="黑体" w:hAnsi="黑体"/>
          <w:bCs/>
          <w:sz w:val="24"/>
        </w:rPr>
        <w:t>、暂停估值的情形</w:t>
      </w:r>
    </w:p>
    <w:p w14:paraId="71D281FE" w14:textId="7FB0A04A" w:rsidR="00DF5D16" w:rsidRDefault="00DF5D16" w:rsidP="00DF5D16">
      <w:pPr>
        <w:adjustRightInd w:val="0"/>
        <w:snapToGrid w:val="0"/>
        <w:spacing w:line="360" w:lineRule="auto"/>
        <w:ind w:firstLineChars="200" w:firstLine="480"/>
        <w:rPr>
          <w:rFonts w:ascii="黑体" w:hAnsi="黑体"/>
          <w:bCs/>
          <w:sz w:val="24"/>
        </w:rPr>
      </w:pPr>
      <w:r>
        <w:rPr>
          <w:rFonts w:ascii="黑体" w:hAnsi="黑体"/>
          <w:bCs/>
          <w:sz w:val="24"/>
        </w:rPr>
        <w:t>1</w:t>
      </w:r>
      <w:r>
        <w:rPr>
          <w:rFonts w:ascii="黑体" w:hAnsi="黑体"/>
          <w:bCs/>
          <w:sz w:val="24"/>
        </w:rPr>
        <w:t>、基金投资所涉及的证券</w:t>
      </w:r>
      <w:r>
        <w:rPr>
          <w:rFonts w:ascii="黑体" w:hAnsi="黑体" w:hint="eastAsia"/>
          <w:bCs/>
          <w:sz w:val="24"/>
        </w:rPr>
        <w:t>/</w:t>
      </w:r>
      <w:r>
        <w:rPr>
          <w:rFonts w:ascii="黑体" w:hAnsi="黑体" w:hint="eastAsia"/>
          <w:bCs/>
          <w:sz w:val="24"/>
        </w:rPr>
        <w:t>期货</w:t>
      </w:r>
      <w:r>
        <w:rPr>
          <w:rFonts w:ascii="黑体" w:hAnsi="黑体"/>
          <w:bCs/>
          <w:sz w:val="24"/>
        </w:rPr>
        <w:t>交易市场遇法定节假日或因其他原因暂停营业时；</w:t>
      </w:r>
    </w:p>
    <w:p w14:paraId="33D1DCEB" w14:textId="77777777" w:rsidR="00DF5D16" w:rsidRDefault="00DF5D16" w:rsidP="00DF5D16">
      <w:pPr>
        <w:adjustRightInd w:val="0"/>
        <w:snapToGrid w:val="0"/>
        <w:spacing w:line="360" w:lineRule="auto"/>
        <w:ind w:firstLineChars="200" w:firstLine="480"/>
        <w:rPr>
          <w:rFonts w:ascii="黑体" w:hAnsi="黑体"/>
          <w:bCs/>
          <w:sz w:val="24"/>
        </w:rPr>
      </w:pPr>
      <w:r>
        <w:rPr>
          <w:rFonts w:ascii="黑体" w:hAnsi="黑体" w:hint="eastAsia"/>
          <w:bCs/>
          <w:sz w:val="24"/>
        </w:rPr>
        <w:t>2</w:t>
      </w:r>
      <w:r>
        <w:rPr>
          <w:rFonts w:ascii="黑体" w:hAnsi="黑体" w:hint="eastAsia"/>
          <w:bCs/>
          <w:sz w:val="24"/>
        </w:rPr>
        <w:t>、基金所投资之目标</w:t>
      </w:r>
      <w:r>
        <w:rPr>
          <w:rFonts w:ascii="宋体" w:hAnsi="宋体"/>
          <w:bCs/>
          <w:sz w:val="24"/>
        </w:rPr>
        <w:t>ETF</w:t>
      </w:r>
      <w:r>
        <w:rPr>
          <w:rFonts w:ascii="黑体" w:hAnsi="黑体" w:hint="eastAsia"/>
          <w:bCs/>
          <w:sz w:val="24"/>
        </w:rPr>
        <w:t>发生暂停估值、暂停公告基金份额净值的情形；</w:t>
      </w:r>
    </w:p>
    <w:p w14:paraId="1514EFBA" w14:textId="77777777" w:rsidR="00DF5D16" w:rsidRDefault="00DF5D16" w:rsidP="00DF5D16">
      <w:pPr>
        <w:adjustRightInd w:val="0"/>
        <w:snapToGrid w:val="0"/>
        <w:spacing w:line="360" w:lineRule="auto"/>
        <w:ind w:firstLineChars="200" w:firstLine="480"/>
        <w:rPr>
          <w:rFonts w:ascii="黑体" w:hAnsi="黑体"/>
          <w:bCs/>
          <w:sz w:val="24"/>
        </w:rPr>
      </w:pPr>
      <w:r>
        <w:rPr>
          <w:rFonts w:ascii="黑体" w:hAnsi="黑体" w:hint="eastAsia"/>
          <w:bCs/>
          <w:sz w:val="24"/>
        </w:rPr>
        <w:t>3</w:t>
      </w:r>
      <w:r>
        <w:rPr>
          <w:rFonts w:ascii="黑体" w:hAnsi="黑体"/>
          <w:bCs/>
          <w:sz w:val="24"/>
        </w:rPr>
        <w:t>、因不可抗力</w:t>
      </w:r>
      <w:r>
        <w:rPr>
          <w:rFonts w:ascii="黑体" w:hAnsi="黑体" w:hint="eastAsia"/>
          <w:bCs/>
          <w:sz w:val="24"/>
        </w:rPr>
        <w:t>或其他情形</w:t>
      </w:r>
      <w:r>
        <w:rPr>
          <w:rFonts w:ascii="黑体" w:hAnsi="黑体"/>
          <w:bCs/>
          <w:sz w:val="24"/>
        </w:rPr>
        <w:t>致使基金管理人、基金托管人无法准确评估基金资产价值时；</w:t>
      </w:r>
    </w:p>
    <w:p w14:paraId="5F3D6991" w14:textId="77777777" w:rsidR="00DF5D16" w:rsidRDefault="00DF5D16" w:rsidP="00DF5D16">
      <w:pPr>
        <w:adjustRightInd w:val="0"/>
        <w:snapToGrid w:val="0"/>
        <w:spacing w:line="360" w:lineRule="auto"/>
        <w:ind w:firstLineChars="200" w:firstLine="480"/>
        <w:rPr>
          <w:rFonts w:ascii="黑体" w:hAnsi="黑体"/>
          <w:bCs/>
          <w:sz w:val="24"/>
        </w:rPr>
      </w:pPr>
      <w:r>
        <w:rPr>
          <w:rFonts w:ascii="黑体" w:hAnsi="黑体"/>
          <w:bCs/>
          <w:sz w:val="24"/>
        </w:rPr>
        <w:t>4</w:t>
      </w:r>
      <w:r>
        <w:rPr>
          <w:rFonts w:ascii="黑体" w:hAnsi="黑体" w:hint="eastAsia"/>
          <w:bCs/>
          <w:sz w:val="24"/>
        </w:rPr>
        <w:t>、当特定资产占前一估值日基金资产净值</w:t>
      </w:r>
      <w:r>
        <w:rPr>
          <w:rFonts w:ascii="黑体" w:hAnsi="黑体" w:hint="eastAsia"/>
          <w:bCs/>
          <w:sz w:val="24"/>
        </w:rPr>
        <w:t>50%</w:t>
      </w:r>
      <w:r>
        <w:rPr>
          <w:rFonts w:ascii="黑体" w:hAnsi="黑体" w:hint="eastAsia"/>
          <w:bCs/>
          <w:sz w:val="24"/>
        </w:rPr>
        <w:t>以上的，经与基金托管人协商确认后，基金管理人应当暂停估值；</w:t>
      </w:r>
    </w:p>
    <w:p w14:paraId="5207C5F4" w14:textId="77777777" w:rsidR="00DF5D16" w:rsidRDefault="00DF5D16" w:rsidP="00DF5D16">
      <w:pPr>
        <w:adjustRightInd w:val="0"/>
        <w:snapToGrid w:val="0"/>
        <w:spacing w:line="360" w:lineRule="auto"/>
        <w:ind w:firstLineChars="200" w:firstLine="480"/>
        <w:rPr>
          <w:rFonts w:ascii="黑体" w:hAnsi="黑体"/>
          <w:bCs/>
          <w:sz w:val="24"/>
        </w:rPr>
      </w:pPr>
      <w:r>
        <w:rPr>
          <w:rFonts w:ascii="黑体" w:hAnsi="黑体"/>
          <w:bCs/>
          <w:sz w:val="24"/>
        </w:rPr>
        <w:t>5</w:t>
      </w:r>
      <w:r>
        <w:rPr>
          <w:rFonts w:ascii="黑体" w:hAnsi="黑体"/>
          <w:bCs/>
          <w:sz w:val="24"/>
        </w:rPr>
        <w:t>、</w:t>
      </w:r>
      <w:r>
        <w:rPr>
          <w:rFonts w:ascii="黑体" w:hAnsi="黑体" w:hint="eastAsia"/>
          <w:bCs/>
          <w:sz w:val="24"/>
        </w:rPr>
        <w:t>法律法规、</w:t>
      </w:r>
      <w:r>
        <w:rPr>
          <w:rFonts w:ascii="黑体" w:hAnsi="黑体"/>
          <w:bCs/>
          <w:sz w:val="24"/>
        </w:rPr>
        <w:t>中国证监会和基金合同认定的其它情形。</w:t>
      </w:r>
    </w:p>
    <w:p w14:paraId="0F41F929" w14:textId="77777777" w:rsidR="00DF5D16" w:rsidRDefault="00DF5D16" w:rsidP="00DF5D16">
      <w:pPr>
        <w:adjustRightInd w:val="0"/>
        <w:snapToGrid w:val="0"/>
        <w:spacing w:line="360" w:lineRule="auto"/>
        <w:ind w:firstLineChars="200" w:firstLine="480"/>
        <w:rPr>
          <w:rFonts w:ascii="黑体" w:hAnsi="黑体"/>
          <w:bCs/>
          <w:sz w:val="24"/>
        </w:rPr>
      </w:pPr>
      <w:r>
        <w:rPr>
          <w:rFonts w:ascii="黑体" w:hAnsi="黑体" w:hint="eastAsia"/>
          <w:bCs/>
          <w:sz w:val="24"/>
        </w:rPr>
        <w:t>八</w:t>
      </w:r>
      <w:r>
        <w:rPr>
          <w:rFonts w:ascii="黑体" w:hAnsi="黑体"/>
          <w:bCs/>
          <w:sz w:val="24"/>
        </w:rPr>
        <w:t>、基金</w:t>
      </w:r>
      <w:r>
        <w:rPr>
          <w:rFonts w:ascii="黑体" w:hAnsi="黑体" w:hint="eastAsia"/>
          <w:bCs/>
          <w:sz w:val="24"/>
        </w:rPr>
        <w:t>资产净值、基金份额</w:t>
      </w:r>
      <w:r>
        <w:rPr>
          <w:rFonts w:ascii="黑体" w:hAnsi="黑体"/>
          <w:bCs/>
          <w:sz w:val="24"/>
        </w:rPr>
        <w:t>净值的确认</w:t>
      </w:r>
    </w:p>
    <w:p w14:paraId="7100535D" w14:textId="77777777" w:rsidR="00DF5D16" w:rsidRDefault="00DF5D16" w:rsidP="00DF5D16">
      <w:pPr>
        <w:adjustRightInd w:val="0"/>
        <w:snapToGrid w:val="0"/>
        <w:spacing w:line="360" w:lineRule="auto"/>
        <w:ind w:firstLineChars="200" w:firstLine="480"/>
        <w:rPr>
          <w:rFonts w:ascii="黑体" w:hAnsi="黑体"/>
          <w:bCs/>
          <w:sz w:val="24"/>
        </w:rPr>
      </w:pPr>
      <w:r>
        <w:rPr>
          <w:rFonts w:ascii="黑体" w:hAnsi="黑体" w:hint="eastAsia"/>
          <w:bCs/>
          <w:sz w:val="24"/>
        </w:rPr>
        <w:t>基金资产净值和各类基金份额净值由基金管理人负责计算，基金托管人负责进行复核。基金管理人应于每个估值日交易结束后计算当日的基金资产净值和各类基金份额净值并发送给基金托管人。基金托管人对净值计算结果复核确认后发送给基金管理人，由基金管理人按规定对各类基金份额净值予以公布。</w:t>
      </w:r>
    </w:p>
    <w:p w14:paraId="348AFCD7" w14:textId="77777777" w:rsidR="00DF5D16" w:rsidRDefault="00DF5D16" w:rsidP="00DF5D16">
      <w:pPr>
        <w:adjustRightInd w:val="0"/>
        <w:snapToGrid w:val="0"/>
        <w:spacing w:line="360" w:lineRule="auto"/>
        <w:ind w:firstLineChars="200" w:firstLine="480"/>
        <w:rPr>
          <w:rFonts w:ascii="黑体" w:hAnsi="黑体"/>
          <w:bCs/>
          <w:sz w:val="24"/>
        </w:rPr>
      </w:pPr>
      <w:r>
        <w:rPr>
          <w:rFonts w:ascii="黑体" w:hAnsi="黑体" w:hint="eastAsia"/>
          <w:bCs/>
          <w:sz w:val="24"/>
        </w:rPr>
        <w:lastRenderedPageBreak/>
        <w:t>九、特殊情况的处理</w:t>
      </w:r>
    </w:p>
    <w:p w14:paraId="531286DE" w14:textId="691D0587" w:rsidR="00DF5D16" w:rsidRPr="00E51B3F" w:rsidRDefault="00DF5D16" w:rsidP="00DF5D16">
      <w:pPr>
        <w:adjustRightInd w:val="0"/>
        <w:snapToGrid w:val="0"/>
        <w:spacing w:line="360" w:lineRule="auto"/>
        <w:ind w:firstLineChars="200" w:firstLine="480"/>
        <w:rPr>
          <w:rFonts w:asciiTheme="minorEastAsia" w:eastAsiaTheme="minorEastAsia" w:hAnsiTheme="minorEastAsia"/>
          <w:bCs/>
          <w:sz w:val="24"/>
        </w:rPr>
      </w:pPr>
      <w:r w:rsidRPr="00E51B3F">
        <w:rPr>
          <w:rFonts w:asciiTheme="minorEastAsia" w:eastAsiaTheme="minorEastAsia" w:hAnsiTheme="minorEastAsia" w:hint="eastAsia"/>
          <w:bCs/>
          <w:sz w:val="24"/>
        </w:rPr>
        <w:t>1、基金管理人或基金托管人按估值方法的</w:t>
      </w:r>
      <w:r w:rsidR="00C93EF6" w:rsidRPr="00E51B3F">
        <w:rPr>
          <w:rFonts w:asciiTheme="minorEastAsia" w:eastAsiaTheme="minorEastAsia" w:hAnsiTheme="minorEastAsia" w:hint="eastAsia"/>
          <w:bCs/>
          <w:sz w:val="24"/>
        </w:rPr>
        <w:t>第</w:t>
      </w:r>
      <w:r w:rsidR="00C93EF6">
        <w:rPr>
          <w:rFonts w:asciiTheme="minorEastAsia" w:eastAsiaTheme="minorEastAsia" w:hAnsiTheme="minorEastAsia"/>
          <w:bCs/>
          <w:sz w:val="24"/>
        </w:rPr>
        <w:t>12</w:t>
      </w:r>
      <w:r w:rsidRPr="00E51B3F">
        <w:rPr>
          <w:rFonts w:asciiTheme="minorEastAsia" w:eastAsiaTheme="minorEastAsia" w:hAnsiTheme="minorEastAsia" w:hint="eastAsia"/>
          <w:bCs/>
          <w:sz w:val="24"/>
        </w:rPr>
        <w:t>项进行估值时，所造成的误差不作为基金资产估值错误处理；</w:t>
      </w:r>
    </w:p>
    <w:p w14:paraId="08CCC66C" w14:textId="3E483C44" w:rsidR="00DF5D16" w:rsidRDefault="00DF5D16" w:rsidP="00DF5D16">
      <w:pPr>
        <w:adjustRightInd w:val="0"/>
        <w:snapToGrid w:val="0"/>
        <w:spacing w:line="360" w:lineRule="auto"/>
        <w:ind w:firstLineChars="200" w:firstLine="480"/>
        <w:rPr>
          <w:rFonts w:ascii="黑体" w:hAnsi="黑体"/>
          <w:bCs/>
          <w:sz w:val="24"/>
        </w:rPr>
      </w:pPr>
      <w:r w:rsidRPr="00E51B3F">
        <w:rPr>
          <w:rFonts w:asciiTheme="minorEastAsia" w:eastAsiaTheme="minorEastAsia" w:hAnsiTheme="minorEastAsia" w:hint="eastAsia"/>
          <w:bCs/>
          <w:sz w:val="24"/>
        </w:rPr>
        <w:t>2</w:t>
      </w:r>
      <w:r w:rsidRPr="00AC5CE3">
        <w:rPr>
          <w:rFonts w:ascii="黑体" w:hAnsi="黑体" w:hint="eastAsia"/>
          <w:bCs/>
          <w:sz w:val="24"/>
        </w:rPr>
        <w:t>、</w:t>
      </w:r>
      <w:r w:rsidR="00E51B3F" w:rsidRPr="00E51B3F">
        <w:rPr>
          <w:rFonts w:ascii="黑体" w:hAnsi="黑体" w:hint="eastAsia"/>
          <w:bCs/>
          <w:sz w:val="24"/>
        </w:rPr>
        <w:t>由于不可抗力原因，或由于证券</w:t>
      </w:r>
      <w:r w:rsidR="00E51B3F" w:rsidRPr="00E51B3F">
        <w:rPr>
          <w:rFonts w:ascii="黑体" w:hAnsi="黑体" w:hint="eastAsia"/>
          <w:bCs/>
          <w:sz w:val="24"/>
        </w:rPr>
        <w:t>/</w:t>
      </w:r>
      <w:r w:rsidR="00E51B3F" w:rsidRPr="00E51B3F">
        <w:rPr>
          <w:rFonts w:ascii="黑体" w:hAnsi="黑体" w:hint="eastAsia"/>
          <w:bCs/>
          <w:sz w:val="24"/>
        </w:rPr>
        <w:t>期货交易所、</w:t>
      </w:r>
      <w:r w:rsidR="00D60DDA">
        <w:rPr>
          <w:rFonts w:ascii="黑体" w:hAnsi="黑体" w:hint="eastAsia"/>
          <w:bCs/>
          <w:sz w:val="24"/>
        </w:rPr>
        <w:t>登记结算公司、</w:t>
      </w:r>
      <w:r w:rsidR="00E51B3F" w:rsidRPr="00E51B3F">
        <w:rPr>
          <w:rFonts w:ascii="黑体" w:hAnsi="黑体" w:hint="eastAsia"/>
          <w:bCs/>
          <w:sz w:val="24"/>
        </w:rPr>
        <w:t>证券</w:t>
      </w:r>
      <w:r w:rsidR="00E51B3F" w:rsidRPr="00E51B3F">
        <w:rPr>
          <w:rFonts w:ascii="黑体" w:hAnsi="黑体" w:hint="eastAsia"/>
          <w:bCs/>
          <w:sz w:val="24"/>
        </w:rPr>
        <w:t>/</w:t>
      </w:r>
      <w:r w:rsidR="00E51B3F" w:rsidRPr="00E51B3F">
        <w:rPr>
          <w:rFonts w:ascii="黑体" w:hAnsi="黑体" w:hint="eastAsia"/>
          <w:bCs/>
          <w:sz w:val="24"/>
        </w:rPr>
        <w:t>期货经纪机构、指数编制机构、存款银行、第三方估值基准服务机构等第三方机构发送的数据错误、遗漏</w:t>
      </w:r>
      <w:r w:rsidRPr="00AC5CE3">
        <w:rPr>
          <w:rFonts w:ascii="黑体" w:hAnsi="黑体" w:hint="eastAsia"/>
          <w:bCs/>
          <w:sz w:val="24"/>
        </w:rPr>
        <w:t>，有关会计制度</w:t>
      </w:r>
      <w:r w:rsidR="00131AC2">
        <w:rPr>
          <w:rFonts w:ascii="黑体" w:hAnsi="黑体" w:hint="eastAsia"/>
          <w:bCs/>
          <w:sz w:val="24"/>
        </w:rPr>
        <w:t>、市场规则</w:t>
      </w:r>
      <w:r w:rsidRPr="00AC5CE3">
        <w:rPr>
          <w:rFonts w:ascii="黑体" w:hAnsi="黑体" w:hint="eastAsia"/>
          <w:bCs/>
          <w:sz w:val="24"/>
        </w:rPr>
        <w:t>变化等非基金管理人与基金托管人原因，基金管理人和基金托管人虽然已经采取必要、适当、合理的措施进行检查，但未能发现该错误、遗漏的，由此造成的基金资产估值错误，基金管理人和基金托管人免除赔偿责任。</w:t>
      </w:r>
      <w:r>
        <w:rPr>
          <w:rFonts w:ascii="黑体" w:hAnsi="黑体" w:hint="eastAsia"/>
          <w:bCs/>
          <w:sz w:val="24"/>
        </w:rPr>
        <w:t>但基金管理人、基金托管人应当积极采取必要的措施消除</w:t>
      </w:r>
      <w:r>
        <w:rPr>
          <w:rFonts w:ascii="黑体" w:hAnsi="黑体"/>
          <w:bCs/>
          <w:sz w:val="24"/>
        </w:rPr>
        <w:t>或</w:t>
      </w:r>
      <w:r>
        <w:rPr>
          <w:rFonts w:ascii="黑体" w:hAnsi="黑体" w:hint="eastAsia"/>
          <w:bCs/>
          <w:sz w:val="24"/>
        </w:rPr>
        <w:t>减轻由此造成的影响。</w:t>
      </w:r>
    </w:p>
    <w:p w14:paraId="32E4D38F" w14:textId="77777777" w:rsidR="00DF5D16" w:rsidRDefault="00DF5D16" w:rsidP="00DF5D16">
      <w:pPr>
        <w:adjustRightInd w:val="0"/>
        <w:snapToGrid w:val="0"/>
        <w:spacing w:line="360" w:lineRule="auto"/>
        <w:ind w:firstLineChars="200" w:firstLine="480"/>
        <w:rPr>
          <w:bCs/>
          <w:sz w:val="24"/>
        </w:rPr>
      </w:pPr>
      <w:r>
        <w:rPr>
          <w:bCs/>
          <w:sz w:val="24"/>
        </w:rPr>
        <w:t>十、实施侧袋机制期间的基金资产估值</w:t>
      </w:r>
    </w:p>
    <w:p w14:paraId="230B9B3C" w14:textId="0EF5E936" w:rsidR="00BF4A4E" w:rsidRDefault="00DF5D16">
      <w:pPr>
        <w:adjustRightInd w:val="0"/>
        <w:snapToGrid w:val="0"/>
        <w:spacing w:line="360" w:lineRule="auto"/>
        <w:ind w:firstLineChars="200" w:firstLine="480"/>
        <w:rPr>
          <w:bCs/>
          <w:sz w:val="24"/>
        </w:rPr>
      </w:pPr>
      <w:r>
        <w:rPr>
          <w:bCs/>
          <w:sz w:val="24"/>
        </w:rPr>
        <w:t>本基金实施侧袋机制的，应根据本部分的约定对主袋账户资产进行估值并披露主袋账户的基金净值信息，暂停披露侧袋账户份额净值。</w:t>
      </w:r>
    </w:p>
    <w:p w14:paraId="0F4F0080" w14:textId="77777777" w:rsidR="00BF4A4E" w:rsidRDefault="00BF4A4E">
      <w:pPr>
        <w:pStyle w:val="1"/>
        <w:spacing w:line="360" w:lineRule="auto"/>
        <w:jc w:val="center"/>
        <w:rPr>
          <w:rFonts w:ascii="宋体" w:hAnsi="宋体"/>
        </w:rPr>
      </w:pPr>
      <w:r>
        <w:rPr>
          <w:rFonts w:ascii="宋体" w:hAnsi="宋体"/>
        </w:rPr>
        <w:br w:type="page"/>
      </w:r>
      <w:bookmarkStart w:id="58" w:name="_Toc103003354"/>
      <w:r>
        <w:rPr>
          <w:rFonts w:ascii="宋体" w:hAnsi="宋体"/>
        </w:rPr>
        <w:lastRenderedPageBreak/>
        <w:t>第</w:t>
      </w:r>
      <w:r>
        <w:rPr>
          <w:rFonts w:ascii="宋体" w:hAnsi="宋体" w:hint="eastAsia"/>
        </w:rPr>
        <w:t>十二</w:t>
      </w:r>
      <w:r>
        <w:rPr>
          <w:rFonts w:ascii="宋体" w:hAnsi="宋体"/>
        </w:rPr>
        <w:t>部分</w:t>
      </w:r>
      <w:r>
        <w:rPr>
          <w:rFonts w:ascii="宋体" w:hAnsi="宋体" w:hint="eastAsia"/>
        </w:rPr>
        <w:t xml:space="preserve">  基金的费用与税收</w:t>
      </w:r>
      <w:bookmarkEnd w:id="58"/>
    </w:p>
    <w:p w14:paraId="64D2EEB6" w14:textId="77777777" w:rsidR="00BF4A4E" w:rsidRDefault="00BF4A4E">
      <w:pPr>
        <w:pStyle w:val="20"/>
        <w:ind w:firstLineChars="0" w:firstLine="480"/>
        <w:rPr>
          <w:sz w:val="24"/>
        </w:rPr>
      </w:pPr>
    </w:p>
    <w:p w14:paraId="06B2A105" w14:textId="77777777" w:rsidR="00DF5D16" w:rsidRDefault="00DF5D16" w:rsidP="00DF5D16">
      <w:pPr>
        <w:adjustRightInd w:val="0"/>
        <w:snapToGrid w:val="0"/>
        <w:spacing w:line="360" w:lineRule="auto"/>
        <w:ind w:firstLineChars="200" w:firstLine="480"/>
        <w:rPr>
          <w:rFonts w:ascii="黑体" w:hAnsi="黑体"/>
          <w:bCs/>
          <w:sz w:val="24"/>
        </w:rPr>
      </w:pPr>
      <w:r>
        <w:rPr>
          <w:rFonts w:ascii="黑体" w:hAnsi="黑体"/>
          <w:bCs/>
          <w:sz w:val="24"/>
        </w:rPr>
        <w:t>一、基金费用的种类</w:t>
      </w:r>
    </w:p>
    <w:p w14:paraId="0DD803C7" w14:textId="77777777" w:rsidR="00DF5D16" w:rsidRDefault="00DF5D16" w:rsidP="00DF5D16">
      <w:pPr>
        <w:adjustRightInd w:val="0"/>
        <w:snapToGrid w:val="0"/>
        <w:spacing w:line="360" w:lineRule="auto"/>
        <w:ind w:firstLineChars="200" w:firstLine="480"/>
        <w:rPr>
          <w:rFonts w:ascii="宋体" w:hAnsi="宋体"/>
          <w:bCs/>
          <w:sz w:val="24"/>
        </w:rPr>
      </w:pPr>
      <w:r>
        <w:rPr>
          <w:rFonts w:ascii="宋体" w:hAnsi="宋体"/>
          <w:bCs/>
          <w:sz w:val="24"/>
        </w:rPr>
        <w:t>1、基金管理人的管理费；</w:t>
      </w:r>
    </w:p>
    <w:p w14:paraId="33159D4B" w14:textId="77777777" w:rsidR="00DF5D16" w:rsidRDefault="00DF5D16" w:rsidP="00DF5D16">
      <w:pPr>
        <w:adjustRightInd w:val="0"/>
        <w:snapToGrid w:val="0"/>
        <w:spacing w:line="360" w:lineRule="auto"/>
        <w:ind w:firstLineChars="200" w:firstLine="480"/>
        <w:rPr>
          <w:rFonts w:ascii="宋体" w:hAnsi="宋体"/>
          <w:bCs/>
          <w:sz w:val="24"/>
        </w:rPr>
      </w:pPr>
      <w:r>
        <w:rPr>
          <w:rFonts w:ascii="宋体" w:hAnsi="宋体"/>
          <w:bCs/>
          <w:sz w:val="24"/>
        </w:rPr>
        <w:t>2、基金托管人的托管费；</w:t>
      </w:r>
    </w:p>
    <w:p w14:paraId="5F402255" w14:textId="38C0A67A" w:rsidR="00DF5D16" w:rsidRDefault="00DF5D16" w:rsidP="00DF5D16">
      <w:pPr>
        <w:adjustRightInd w:val="0"/>
        <w:snapToGrid w:val="0"/>
        <w:spacing w:line="360" w:lineRule="auto"/>
        <w:ind w:firstLineChars="200" w:firstLine="480"/>
        <w:rPr>
          <w:rFonts w:ascii="宋体" w:hAnsi="宋体"/>
          <w:bCs/>
          <w:sz w:val="24"/>
        </w:rPr>
      </w:pPr>
      <w:r>
        <w:rPr>
          <w:rFonts w:ascii="宋体" w:hAnsi="宋体" w:hint="eastAsia"/>
          <w:bCs/>
          <w:sz w:val="24"/>
        </w:rPr>
        <w:t>3、从C类基金份额的基金财产中计提的</w:t>
      </w:r>
      <w:r>
        <w:rPr>
          <w:rFonts w:ascii="宋体" w:hAnsi="宋体"/>
          <w:bCs/>
          <w:sz w:val="24"/>
        </w:rPr>
        <w:t>销售服务费；</w:t>
      </w:r>
    </w:p>
    <w:p w14:paraId="3A71F9C9" w14:textId="77777777" w:rsidR="00DF5D16" w:rsidRDefault="00DF5D16" w:rsidP="00DF5D16">
      <w:pPr>
        <w:adjustRightInd w:val="0"/>
        <w:snapToGrid w:val="0"/>
        <w:spacing w:line="360" w:lineRule="auto"/>
        <w:ind w:firstLineChars="200" w:firstLine="480"/>
        <w:rPr>
          <w:rFonts w:ascii="宋体" w:hAnsi="宋体"/>
          <w:bCs/>
          <w:sz w:val="24"/>
        </w:rPr>
      </w:pPr>
      <w:r>
        <w:rPr>
          <w:rFonts w:ascii="宋体" w:hAnsi="宋体"/>
          <w:bCs/>
          <w:sz w:val="24"/>
        </w:rPr>
        <w:t>4</w:t>
      </w:r>
      <w:r>
        <w:rPr>
          <w:rFonts w:ascii="宋体" w:hAnsi="宋体" w:hint="eastAsia"/>
          <w:bCs/>
          <w:sz w:val="24"/>
        </w:rPr>
        <w:t>、</w:t>
      </w:r>
      <w:r>
        <w:rPr>
          <w:rFonts w:ascii="宋体" w:hAnsi="宋体"/>
          <w:bCs/>
          <w:sz w:val="24"/>
        </w:rPr>
        <w:t>基金合同生效后与基金相关的信息披露费用；</w:t>
      </w:r>
    </w:p>
    <w:p w14:paraId="418864DE" w14:textId="77777777" w:rsidR="00DF5D16" w:rsidRDefault="00DF5D16" w:rsidP="00DF5D16">
      <w:pPr>
        <w:adjustRightInd w:val="0"/>
        <w:snapToGrid w:val="0"/>
        <w:spacing w:line="360" w:lineRule="auto"/>
        <w:ind w:firstLineChars="200" w:firstLine="480"/>
        <w:rPr>
          <w:rFonts w:ascii="宋体" w:hAnsi="宋体"/>
          <w:bCs/>
          <w:sz w:val="24"/>
        </w:rPr>
      </w:pPr>
      <w:r>
        <w:rPr>
          <w:rFonts w:ascii="宋体" w:hAnsi="宋体"/>
          <w:bCs/>
          <w:sz w:val="24"/>
        </w:rPr>
        <w:t>5、基金合同生效后与基金相关的</w:t>
      </w:r>
      <w:r>
        <w:rPr>
          <w:rFonts w:ascii="宋体" w:hAnsi="宋体" w:hint="eastAsia"/>
          <w:bCs/>
          <w:sz w:val="24"/>
        </w:rPr>
        <w:t>会计师费、审计费、律师费、诉讼费和仲裁费等费用；</w:t>
      </w:r>
    </w:p>
    <w:p w14:paraId="2892721D" w14:textId="77777777" w:rsidR="00DF5D16" w:rsidRDefault="00DF5D16" w:rsidP="00DF5D16">
      <w:pPr>
        <w:adjustRightInd w:val="0"/>
        <w:snapToGrid w:val="0"/>
        <w:spacing w:line="360" w:lineRule="auto"/>
        <w:ind w:firstLineChars="200" w:firstLine="480"/>
        <w:rPr>
          <w:rFonts w:ascii="宋体" w:hAnsi="宋体"/>
          <w:bCs/>
          <w:sz w:val="24"/>
        </w:rPr>
      </w:pPr>
      <w:r>
        <w:rPr>
          <w:rFonts w:ascii="宋体" w:hAnsi="宋体"/>
          <w:bCs/>
          <w:sz w:val="24"/>
        </w:rPr>
        <w:t>6、基金份额持有人大会费用；</w:t>
      </w:r>
    </w:p>
    <w:p w14:paraId="153097BB" w14:textId="77777777" w:rsidR="00DF5D16" w:rsidRDefault="00DF5D16" w:rsidP="00DF5D16">
      <w:pPr>
        <w:adjustRightInd w:val="0"/>
        <w:snapToGrid w:val="0"/>
        <w:spacing w:line="360" w:lineRule="auto"/>
        <w:ind w:firstLineChars="200" w:firstLine="480"/>
        <w:rPr>
          <w:rFonts w:ascii="宋体" w:hAnsi="宋体"/>
          <w:bCs/>
          <w:sz w:val="24"/>
        </w:rPr>
      </w:pPr>
      <w:r>
        <w:rPr>
          <w:rFonts w:ascii="宋体" w:hAnsi="宋体"/>
          <w:bCs/>
          <w:sz w:val="24"/>
        </w:rPr>
        <w:t>7</w:t>
      </w:r>
      <w:r>
        <w:rPr>
          <w:rFonts w:ascii="宋体" w:hAnsi="宋体" w:hint="eastAsia"/>
          <w:bCs/>
          <w:sz w:val="24"/>
        </w:rPr>
        <w:t>、</w:t>
      </w:r>
      <w:r>
        <w:rPr>
          <w:rFonts w:ascii="宋体" w:hAnsi="宋体"/>
          <w:bCs/>
          <w:sz w:val="24"/>
        </w:rPr>
        <w:t>基金的证券</w:t>
      </w:r>
      <w:r>
        <w:rPr>
          <w:rFonts w:ascii="宋体" w:hAnsi="宋体" w:hint="eastAsia"/>
          <w:bCs/>
          <w:sz w:val="24"/>
        </w:rPr>
        <w:t>、</w:t>
      </w:r>
      <w:r>
        <w:rPr>
          <w:rFonts w:ascii="宋体" w:hAnsi="宋体"/>
          <w:bCs/>
          <w:sz w:val="24"/>
        </w:rPr>
        <w:t>期货</w:t>
      </w:r>
      <w:r>
        <w:rPr>
          <w:rFonts w:ascii="宋体" w:hAnsi="宋体" w:hint="eastAsia"/>
          <w:bCs/>
          <w:sz w:val="24"/>
        </w:rPr>
        <w:t>、股票期权等投资标的</w:t>
      </w:r>
      <w:r>
        <w:rPr>
          <w:rFonts w:ascii="宋体" w:hAnsi="宋体"/>
          <w:bCs/>
          <w:sz w:val="24"/>
        </w:rPr>
        <w:t>交易</w:t>
      </w:r>
      <w:r>
        <w:rPr>
          <w:rFonts w:ascii="宋体" w:hAnsi="宋体" w:hint="eastAsia"/>
          <w:bCs/>
          <w:sz w:val="24"/>
        </w:rPr>
        <w:t>结算</w:t>
      </w:r>
      <w:r>
        <w:rPr>
          <w:rFonts w:ascii="宋体" w:hAnsi="宋体"/>
          <w:bCs/>
          <w:sz w:val="24"/>
        </w:rPr>
        <w:t>费用；</w:t>
      </w:r>
    </w:p>
    <w:p w14:paraId="0439A892" w14:textId="77777777" w:rsidR="00DF5D16" w:rsidRDefault="00DF5D16" w:rsidP="00DF5D16">
      <w:pPr>
        <w:adjustRightInd w:val="0"/>
        <w:snapToGrid w:val="0"/>
        <w:spacing w:line="360" w:lineRule="auto"/>
        <w:ind w:firstLineChars="200" w:firstLine="480"/>
        <w:rPr>
          <w:rFonts w:ascii="宋体" w:hAnsi="宋体"/>
          <w:bCs/>
          <w:sz w:val="24"/>
        </w:rPr>
      </w:pPr>
      <w:r>
        <w:rPr>
          <w:rFonts w:ascii="宋体" w:hAnsi="宋体"/>
          <w:bCs/>
          <w:sz w:val="24"/>
        </w:rPr>
        <w:t>8、基金的银行汇划费用；</w:t>
      </w:r>
    </w:p>
    <w:p w14:paraId="33048F07" w14:textId="77777777" w:rsidR="00DF5D16" w:rsidRDefault="00DF5D16" w:rsidP="00DF5D16">
      <w:pPr>
        <w:adjustRightInd w:val="0"/>
        <w:snapToGrid w:val="0"/>
        <w:spacing w:line="360" w:lineRule="auto"/>
        <w:ind w:firstLineChars="200" w:firstLine="480"/>
        <w:rPr>
          <w:rFonts w:ascii="宋体" w:hAnsi="宋体"/>
          <w:bCs/>
          <w:sz w:val="24"/>
        </w:rPr>
      </w:pPr>
      <w:r>
        <w:rPr>
          <w:rFonts w:ascii="宋体" w:hAnsi="宋体"/>
          <w:bCs/>
          <w:sz w:val="24"/>
        </w:rPr>
        <w:t>9</w:t>
      </w:r>
      <w:r>
        <w:rPr>
          <w:rFonts w:ascii="宋体" w:hAnsi="宋体" w:hint="eastAsia"/>
          <w:bCs/>
          <w:sz w:val="24"/>
        </w:rPr>
        <w:t>、基金相关账户开户和维护费用；</w:t>
      </w:r>
    </w:p>
    <w:p w14:paraId="50EFDCE7" w14:textId="77777777" w:rsidR="00DF5D16" w:rsidRDefault="00DF5D16" w:rsidP="00DF5D16">
      <w:pPr>
        <w:adjustRightInd w:val="0"/>
        <w:snapToGrid w:val="0"/>
        <w:spacing w:line="360" w:lineRule="auto"/>
        <w:ind w:firstLineChars="200" w:firstLine="480"/>
        <w:rPr>
          <w:rFonts w:ascii="宋体" w:hAnsi="宋体"/>
          <w:bCs/>
          <w:sz w:val="24"/>
        </w:rPr>
      </w:pPr>
      <w:r>
        <w:rPr>
          <w:rFonts w:ascii="宋体" w:hAnsi="宋体"/>
          <w:bCs/>
          <w:sz w:val="24"/>
        </w:rPr>
        <w:t>10、</w:t>
      </w:r>
      <w:r>
        <w:rPr>
          <w:rFonts w:ascii="宋体" w:hAnsi="宋体" w:hint="eastAsia"/>
          <w:bCs/>
          <w:sz w:val="24"/>
        </w:rPr>
        <w:t>基金投资目标ETF的相关费用（包括但不限于对目标ETF的交易费用、申赎费用等）；</w:t>
      </w:r>
    </w:p>
    <w:p w14:paraId="1CFA7033" w14:textId="03C0D84F" w:rsidR="00DF5D16" w:rsidRDefault="00095532" w:rsidP="00DF5D16">
      <w:pPr>
        <w:adjustRightInd w:val="0"/>
        <w:snapToGrid w:val="0"/>
        <w:spacing w:line="360" w:lineRule="auto"/>
        <w:ind w:firstLineChars="200" w:firstLine="480"/>
        <w:rPr>
          <w:rFonts w:ascii="黑体" w:hAnsi="黑体"/>
          <w:bCs/>
          <w:sz w:val="24"/>
        </w:rPr>
      </w:pPr>
      <w:r>
        <w:rPr>
          <w:rFonts w:ascii="宋体" w:hAnsi="宋体"/>
          <w:bCs/>
          <w:sz w:val="24"/>
        </w:rPr>
        <w:t>11</w:t>
      </w:r>
      <w:r w:rsidR="00DF5D16">
        <w:rPr>
          <w:rFonts w:ascii="宋体" w:hAnsi="宋体" w:hint="eastAsia"/>
          <w:bCs/>
          <w:sz w:val="24"/>
        </w:rPr>
        <w:t>、</w:t>
      </w:r>
      <w:r w:rsidR="00DF5D16">
        <w:rPr>
          <w:rFonts w:ascii="黑体" w:hAnsi="黑体"/>
          <w:bCs/>
          <w:sz w:val="24"/>
        </w:rPr>
        <w:t>按照国家有关规定和《基金合同》约定，可以在基金财产中列支的其他费用。</w:t>
      </w:r>
    </w:p>
    <w:p w14:paraId="4EAF05AE" w14:textId="77777777" w:rsidR="00DF5D16" w:rsidRDefault="00DF5D16" w:rsidP="00DF5D16">
      <w:pPr>
        <w:adjustRightInd w:val="0"/>
        <w:snapToGrid w:val="0"/>
        <w:spacing w:line="360" w:lineRule="auto"/>
        <w:ind w:firstLineChars="200" w:firstLine="480"/>
        <w:rPr>
          <w:rFonts w:ascii="黑体" w:hAnsi="黑体"/>
          <w:bCs/>
          <w:sz w:val="24"/>
        </w:rPr>
      </w:pPr>
      <w:r>
        <w:rPr>
          <w:rFonts w:ascii="黑体" w:hAnsi="黑体" w:hint="eastAsia"/>
          <w:bCs/>
          <w:sz w:val="24"/>
        </w:rPr>
        <w:t>本基金终止清算时所发生费用，按实际支出额从基金财产中扣除。</w:t>
      </w:r>
    </w:p>
    <w:p w14:paraId="2B79C40C" w14:textId="77777777" w:rsidR="00DF5D16" w:rsidRDefault="00DF5D16" w:rsidP="00DF5D16">
      <w:pPr>
        <w:adjustRightInd w:val="0"/>
        <w:snapToGrid w:val="0"/>
        <w:spacing w:line="360" w:lineRule="auto"/>
        <w:ind w:firstLineChars="200" w:firstLine="480"/>
        <w:rPr>
          <w:rFonts w:ascii="黑体" w:hAnsi="黑体"/>
          <w:bCs/>
          <w:sz w:val="24"/>
        </w:rPr>
      </w:pPr>
      <w:r>
        <w:rPr>
          <w:rFonts w:ascii="黑体" w:hAnsi="黑体"/>
          <w:bCs/>
          <w:sz w:val="24"/>
        </w:rPr>
        <w:t>二、基金费用计提方法、计提标准和支付方式</w:t>
      </w:r>
    </w:p>
    <w:p w14:paraId="7962C00C" w14:textId="77777777" w:rsidR="00DF5D16" w:rsidRDefault="00DF5D16" w:rsidP="00DF5D16">
      <w:pPr>
        <w:adjustRightInd w:val="0"/>
        <w:snapToGrid w:val="0"/>
        <w:spacing w:line="360" w:lineRule="auto"/>
        <w:ind w:firstLineChars="200" w:firstLine="480"/>
        <w:rPr>
          <w:rFonts w:ascii="黑体" w:hAnsi="黑体"/>
          <w:bCs/>
          <w:sz w:val="24"/>
        </w:rPr>
      </w:pPr>
      <w:r>
        <w:rPr>
          <w:rFonts w:ascii="黑体" w:hAnsi="黑体"/>
          <w:bCs/>
          <w:sz w:val="24"/>
        </w:rPr>
        <w:t>1</w:t>
      </w:r>
      <w:r>
        <w:rPr>
          <w:rFonts w:ascii="黑体" w:hAnsi="黑体"/>
          <w:bCs/>
          <w:sz w:val="24"/>
        </w:rPr>
        <w:t>、基金管理人的管理费</w:t>
      </w:r>
    </w:p>
    <w:p w14:paraId="5C6E7555" w14:textId="451D81A3" w:rsidR="00DF5D16" w:rsidRDefault="00DF5D16" w:rsidP="00DF5D16">
      <w:pPr>
        <w:adjustRightInd w:val="0"/>
        <w:snapToGrid w:val="0"/>
        <w:spacing w:line="360" w:lineRule="auto"/>
        <w:ind w:firstLineChars="200" w:firstLine="480"/>
        <w:rPr>
          <w:rFonts w:ascii="宋体" w:hAnsi="宋体"/>
          <w:bCs/>
          <w:sz w:val="24"/>
        </w:rPr>
      </w:pPr>
      <w:r>
        <w:rPr>
          <w:rFonts w:ascii="宋体" w:hAnsi="宋体" w:hint="eastAsia"/>
          <w:bCs/>
          <w:sz w:val="24"/>
        </w:rPr>
        <w:t>本基金基金财产中投资于目标ETF的部分不收取管理费。本基金管理费按前一日基金资产净值扣除所持有目标ETF基金份额部分的基金资产净值后的余额（若为负数，则取0）</w:t>
      </w:r>
      <w:r>
        <w:rPr>
          <w:rFonts w:ascii="宋体" w:hAnsi="宋体"/>
          <w:bCs/>
          <w:sz w:val="24"/>
        </w:rPr>
        <w:t>的</w:t>
      </w:r>
      <w:r>
        <w:rPr>
          <w:rFonts w:ascii="宋体" w:hAnsi="宋体" w:hint="eastAsia"/>
          <w:bCs/>
          <w:sz w:val="24"/>
        </w:rPr>
        <w:t>0.</w:t>
      </w:r>
      <w:r w:rsidR="007B068A">
        <w:rPr>
          <w:rFonts w:ascii="宋体" w:hAnsi="宋体"/>
          <w:bCs/>
          <w:sz w:val="24"/>
        </w:rPr>
        <w:t>15</w:t>
      </w:r>
      <w:r>
        <w:rPr>
          <w:rFonts w:ascii="宋体" w:hAnsi="宋体"/>
          <w:bCs/>
          <w:sz w:val="24"/>
        </w:rPr>
        <w:t>%年费率计提。管理费的计算方法如下：</w:t>
      </w:r>
    </w:p>
    <w:p w14:paraId="14982A27" w14:textId="18032E19" w:rsidR="00DF5D16" w:rsidRDefault="00DF5D16" w:rsidP="00DF5D16">
      <w:pPr>
        <w:adjustRightInd w:val="0"/>
        <w:snapToGrid w:val="0"/>
        <w:spacing w:line="360" w:lineRule="auto"/>
        <w:ind w:firstLineChars="200" w:firstLine="480"/>
        <w:rPr>
          <w:rFonts w:ascii="宋体" w:hAnsi="宋体"/>
          <w:bCs/>
          <w:sz w:val="24"/>
        </w:rPr>
      </w:pPr>
      <w:r>
        <w:rPr>
          <w:rFonts w:ascii="宋体" w:hAnsi="宋体"/>
          <w:bCs/>
          <w:sz w:val="24"/>
        </w:rPr>
        <w:t>H＝E×</w:t>
      </w:r>
      <w:r>
        <w:rPr>
          <w:rFonts w:ascii="宋体" w:hAnsi="宋体" w:hint="eastAsia"/>
          <w:bCs/>
          <w:sz w:val="24"/>
        </w:rPr>
        <w:t>0.</w:t>
      </w:r>
      <w:r w:rsidR="007B068A">
        <w:rPr>
          <w:rFonts w:ascii="宋体" w:hAnsi="宋体"/>
          <w:bCs/>
          <w:sz w:val="24"/>
        </w:rPr>
        <w:t>15</w:t>
      </w:r>
      <w:r>
        <w:rPr>
          <w:rFonts w:ascii="宋体" w:hAnsi="宋体"/>
          <w:bCs/>
          <w:sz w:val="24"/>
        </w:rPr>
        <w:t>%÷当年天数</w:t>
      </w:r>
    </w:p>
    <w:p w14:paraId="2C95DFB4" w14:textId="77777777" w:rsidR="00DF5D16" w:rsidRDefault="00DF5D16" w:rsidP="00DF5D16">
      <w:pPr>
        <w:adjustRightInd w:val="0"/>
        <w:snapToGrid w:val="0"/>
        <w:spacing w:line="360" w:lineRule="auto"/>
        <w:ind w:firstLineChars="200" w:firstLine="480"/>
        <w:rPr>
          <w:rFonts w:ascii="宋体" w:hAnsi="宋体"/>
          <w:bCs/>
          <w:sz w:val="24"/>
        </w:rPr>
      </w:pPr>
      <w:r>
        <w:rPr>
          <w:rFonts w:ascii="宋体" w:hAnsi="宋体"/>
          <w:bCs/>
          <w:sz w:val="24"/>
        </w:rPr>
        <w:t>H为每日应计提的基金管理费</w:t>
      </w:r>
    </w:p>
    <w:p w14:paraId="0CB3C573" w14:textId="77777777" w:rsidR="00DF5D16" w:rsidRDefault="00DF5D16" w:rsidP="00DF5D16">
      <w:pPr>
        <w:adjustRightInd w:val="0"/>
        <w:snapToGrid w:val="0"/>
        <w:spacing w:line="360" w:lineRule="auto"/>
        <w:ind w:firstLineChars="200" w:firstLine="480"/>
        <w:rPr>
          <w:rFonts w:ascii="宋体" w:hAnsi="宋体"/>
          <w:bCs/>
          <w:sz w:val="24"/>
        </w:rPr>
      </w:pPr>
      <w:r>
        <w:rPr>
          <w:rFonts w:ascii="宋体" w:hAnsi="宋体"/>
          <w:bCs/>
          <w:sz w:val="24"/>
        </w:rPr>
        <w:t>E为前一日</w:t>
      </w:r>
      <w:r>
        <w:rPr>
          <w:rFonts w:ascii="宋体" w:hAnsi="宋体" w:hint="eastAsia"/>
          <w:bCs/>
          <w:sz w:val="24"/>
        </w:rPr>
        <w:t>基金资产净值-前一日所持有目标ETF基金份额部分的基金资产净值，若为负数，则E取0。</w:t>
      </w:r>
    </w:p>
    <w:p w14:paraId="7FBB7B69" w14:textId="5B150495" w:rsidR="00413543" w:rsidRDefault="00AA188C" w:rsidP="00DF5D16">
      <w:pPr>
        <w:adjustRightInd w:val="0"/>
        <w:snapToGrid w:val="0"/>
        <w:spacing w:line="360" w:lineRule="auto"/>
        <w:ind w:firstLineChars="200" w:firstLine="480"/>
        <w:rPr>
          <w:rFonts w:ascii="宋体" w:hAnsi="宋体"/>
          <w:sz w:val="24"/>
        </w:rPr>
      </w:pPr>
      <w:r w:rsidRPr="007A10B6">
        <w:rPr>
          <w:rFonts w:ascii="宋体" w:hAnsi="宋体" w:hint="eastAsia"/>
          <w:bCs/>
          <w:sz w:val="24"/>
        </w:rPr>
        <w:t>基金管理费每日计提，逐日累计至每月月末，按月支付，经基金管理人与基金托管人双方核对无误后，基金托管人按照与基金管理人协商一致的方式于次月</w:t>
      </w:r>
      <w:r w:rsidRPr="007A10B6">
        <w:rPr>
          <w:rFonts w:ascii="宋体" w:hAnsi="宋体" w:hint="eastAsia"/>
          <w:bCs/>
          <w:sz w:val="24"/>
        </w:rPr>
        <w:lastRenderedPageBreak/>
        <w:t>首日起5个工作日内从基金财产中一次性支付给基金管理人。若遇法定节假日、休息日或不可抗力等致使无法按时支付的，顺延至最近可支付日支付。</w:t>
      </w:r>
    </w:p>
    <w:p w14:paraId="1399A8B1" w14:textId="567A66C6" w:rsidR="00DF5D16" w:rsidRDefault="00DF5D16" w:rsidP="00DF5D16">
      <w:pPr>
        <w:adjustRightInd w:val="0"/>
        <w:snapToGrid w:val="0"/>
        <w:spacing w:line="360" w:lineRule="auto"/>
        <w:ind w:firstLineChars="200" w:firstLine="480"/>
        <w:rPr>
          <w:rFonts w:ascii="宋体" w:hAnsi="宋体"/>
          <w:bCs/>
          <w:sz w:val="24"/>
        </w:rPr>
      </w:pPr>
      <w:r>
        <w:rPr>
          <w:rFonts w:ascii="宋体" w:hAnsi="宋体"/>
          <w:bCs/>
          <w:sz w:val="24"/>
        </w:rPr>
        <w:t>2、基金托管人的托管费</w:t>
      </w:r>
    </w:p>
    <w:p w14:paraId="08E95556" w14:textId="4D0C2D6D" w:rsidR="00DF5D16" w:rsidRDefault="00DF5D16" w:rsidP="00DF5D16">
      <w:pPr>
        <w:adjustRightInd w:val="0"/>
        <w:snapToGrid w:val="0"/>
        <w:spacing w:line="360" w:lineRule="auto"/>
        <w:ind w:firstLineChars="200" w:firstLine="480"/>
        <w:rPr>
          <w:rFonts w:ascii="宋体" w:hAnsi="宋体"/>
          <w:bCs/>
          <w:sz w:val="24"/>
        </w:rPr>
      </w:pPr>
      <w:r>
        <w:rPr>
          <w:rFonts w:ascii="宋体" w:hAnsi="宋体" w:hint="eastAsia"/>
          <w:bCs/>
          <w:sz w:val="24"/>
        </w:rPr>
        <w:t>本基金基金财产中投资于目标ETF的部分不收取托管费。本基金托管费按前一日基金资产净值扣除所持有目标ETF基金份额部分的基金资产净值后的余额（若为负数，则取0）</w:t>
      </w:r>
      <w:r>
        <w:rPr>
          <w:rFonts w:ascii="宋体" w:hAnsi="宋体"/>
          <w:bCs/>
          <w:sz w:val="24"/>
        </w:rPr>
        <w:t>的</w:t>
      </w:r>
      <w:r>
        <w:rPr>
          <w:rFonts w:ascii="宋体" w:hAnsi="宋体" w:hint="eastAsia"/>
          <w:bCs/>
          <w:sz w:val="24"/>
        </w:rPr>
        <w:t>0.</w:t>
      </w:r>
      <w:r w:rsidR="009F4A7D">
        <w:rPr>
          <w:rFonts w:ascii="宋体" w:hAnsi="宋体"/>
          <w:bCs/>
          <w:sz w:val="24"/>
        </w:rPr>
        <w:t>05</w:t>
      </w:r>
      <w:r>
        <w:rPr>
          <w:rFonts w:ascii="宋体" w:hAnsi="宋体"/>
          <w:bCs/>
          <w:sz w:val="24"/>
        </w:rPr>
        <w:t>%年费率计提。托管费的计算方法如下：</w:t>
      </w:r>
    </w:p>
    <w:p w14:paraId="7A7B7F35" w14:textId="67379F36" w:rsidR="00DF5D16" w:rsidRDefault="00DF5D16" w:rsidP="00DF5D16">
      <w:pPr>
        <w:adjustRightInd w:val="0"/>
        <w:snapToGrid w:val="0"/>
        <w:spacing w:line="360" w:lineRule="auto"/>
        <w:ind w:firstLineChars="200" w:firstLine="480"/>
        <w:rPr>
          <w:rFonts w:ascii="宋体" w:hAnsi="宋体"/>
          <w:bCs/>
          <w:sz w:val="24"/>
        </w:rPr>
      </w:pPr>
      <w:r>
        <w:rPr>
          <w:rFonts w:ascii="宋体" w:hAnsi="宋体"/>
          <w:bCs/>
          <w:sz w:val="24"/>
        </w:rPr>
        <w:t>H＝E×</w:t>
      </w:r>
      <w:r>
        <w:rPr>
          <w:rFonts w:ascii="宋体" w:hAnsi="宋体" w:hint="eastAsia"/>
          <w:bCs/>
          <w:sz w:val="24"/>
        </w:rPr>
        <w:t>0.</w:t>
      </w:r>
      <w:r w:rsidR="009F4A7D">
        <w:rPr>
          <w:rFonts w:ascii="宋体" w:hAnsi="宋体"/>
          <w:bCs/>
          <w:sz w:val="24"/>
        </w:rPr>
        <w:t>05</w:t>
      </w:r>
      <w:r>
        <w:rPr>
          <w:rFonts w:ascii="宋体" w:hAnsi="宋体"/>
          <w:bCs/>
          <w:sz w:val="24"/>
        </w:rPr>
        <w:t>%÷当年天数</w:t>
      </w:r>
    </w:p>
    <w:p w14:paraId="6ECC1295" w14:textId="77777777" w:rsidR="00DF5D16" w:rsidRDefault="00DF5D16" w:rsidP="00DF5D16">
      <w:pPr>
        <w:adjustRightInd w:val="0"/>
        <w:snapToGrid w:val="0"/>
        <w:spacing w:line="360" w:lineRule="auto"/>
        <w:ind w:firstLineChars="200" w:firstLine="480"/>
        <w:rPr>
          <w:rFonts w:ascii="宋体" w:hAnsi="宋体"/>
          <w:bCs/>
          <w:sz w:val="24"/>
        </w:rPr>
      </w:pPr>
      <w:r>
        <w:rPr>
          <w:rFonts w:ascii="宋体" w:hAnsi="宋体"/>
          <w:bCs/>
          <w:sz w:val="24"/>
        </w:rPr>
        <w:t>H为每日应计提的基金托管费</w:t>
      </w:r>
    </w:p>
    <w:p w14:paraId="25F1C190" w14:textId="77777777" w:rsidR="00DF5D16" w:rsidRDefault="00DF5D16" w:rsidP="00DF5D16">
      <w:pPr>
        <w:adjustRightInd w:val="0"/>
        <w:snapToGrid w:val="0"/>
        <w:spacing w:line="360" w:lineRule="auto"/>
        <w:ind w:firstLineChars="200" w:firstLine="480"/>
        <w:rPr>
          <w:rFonts w:ascii="宋体" w:hAnsi="宋体"/>
          <w:bCs/>
          <w:sz w:val="24"/>
        </w:rPr>
      </w:pPr>
      <w:r>
        <w:rPr>
          <w:rFonts w:ascii="宋体" w:hAnsi="宋体"/>
          <w:bCs/>
          <w:sz w:val="24"/>
        </w:rPr>
        <w:t>E为前一日的</w:t>
      </w:r>
      <w:r>
        <w:rPr>
          <w:rFonts w:ascii="宋体" w:hAnsi="宋体" w:hint="eastAsia"/>
          <w:bCs/>
          <w:sz w:val="24"/>
        </w:rPr>
        <w:t>基金资产净值-前一日所持有目标ETF基金份额部分的基金资产净值，若为负数，则E取0。</w:t>
      </w:r>
    </w:p>
    <w:p w14:paraId="27E71A27" w14:textId="6705E1FA" w:rsidR="009269C1" w:rsidRDefault="00AA188C" w:rsidP="00DF5D16">
      <w:pPr>
        <w:adjustRightInd w:val="0"/>
        <w:snapToGrid w:val="0"/>
        <w:spacing w:line="360" w:lineRule="auto"/>
        <w:ind w:firstLineChars="200" w:firstLine="480"/>
        <w:rPr>
          <w:rFonts w:ascii="宋体" w:hAnsi="宋体"/>
          <w:color w:val="000000"/>
          <w:kern w:val="0"/>
          <w:sz w:val="24"/>
        </w:rPr>
      </w:pPr>
      <w:r w:rsidRPr="007A10B6">
        <w:rPr>
          <w:rFonts w:ascii="宋体" w:hAnsi="宋体" w:hint="eastAsia"/>
          <w:sz w:val="24"/>
        </w:rPr>
        <w:t>基金托管费每日计提，逐日累计至每月月末，按月支付，经基金管理人与基金托管人双方核对无误后，基金托管人按照与基金管理人协商一致的方式于次月首日起5个工作日内从基金财产中一次性支取。若遇法定节假日、休息日或不可抗力等致使无法按时支付的，顺延至最近可支付日支付。</w:t>
      </w:r>
    </w:p>
    <w:p w14:paraId="52AFE878" w14:textId="77777777" w:rsidR="00DF5D16" w:rsidRDefault="00DF5D16" w:rsidP="00DF5D16">
      <w:pPr>
        <w:adjustRightInd w:val="0"/>
        <w:snapToGrid w:val="0"/>
        <w:spacing w:line="360" w:lineRule="auto"/>
        <w:ind w:firstLineChars="200" w:firstLine="480"/>
        <w:rPr>
          <w:rFonts w:ascii="宋体" w:hAnsi="宋体"/>
          <w:bCs/>
          <w:sz w:val="24"/>
        </w:rPr>
      </w:pPr>
      <w:r>
        <w:rPr>
          <w:rFonts w:ascii="宋体" w:hAnsi="宋体" w:hint="eastAsia"/>
          <w:bCs/>
          <w:sz w:val="24"/>
        </w:rPr>
        <w:t>3、销售服务费</w:t>
      </w:r>
    </w:p>
    <w:p w14:paraId="4176174A" w14:textId="0BA185FA" w:rsidR="00DF5D16" w:rsidRDefault="00DF5D16" w:rsidP="00DF5D16">
      <w:pPr>
        <w:adjustRightInd w:val="0"/>
        <w:snapToGrid w:val="0"/>
        <w:spacing w:line="360" w:lineRule="auto"/>
        <w:ind w:firstLineChars="200" w:firstLine="480"/>
        <w:rPr>
          <w:rFonts w:ascii="宋体" w:hAnsi="宋体"/>
          <w:bCs/>
          <w:sz w:val="24"/>
        </w:rPr>
      </w:pPr>
      <w:r>
        <w:rPr>
          <w:rFonts w:ascii="宋体" w:hAnsi="宋体" w:hint="eastAsia"/>
          <w:bCs/>
          <w:sz w:val="24"/>
        </w:rPr>
        <w:t>本基金A类基金份额不收取销售服务费，C类基金份额的销售服务费按前一日C类基金份额资产净值的0</w:t>
      </w:r>
      <w:r>
        <w:rPr>
          <w:rFonts w:ascii="宋体" w:hAnsi="宋体"/>
          <w:bCs/>
          <w:sz w:val="24"/>
        </w:rPr>
        <w:t>.</w:t>
      </w:r>
      <w:r w:rsidR="008D4C8B">
        <w:rPr>
          <w:rFonts w:ascii="宋体" w:hAnsi="宋体"/>
          <w:bCs/>
          <w:sz w:val="24"/>
        </w:rPr>
        <w:t>2</w:t>
      </w:r>
      <w:r w:rsidR="00AA188C">
        <w:rPr>
          <w:rFonts w:ascii="宋体" w:hAnsi="宋体"/>
          <w:bCs/>
          <w:sz w:val="24"/>
        </w:rPr>
        <w:t>0</w:t>
      </w:r>
      <w:r>
        <w:rPr>
          <w:rFonts w:ascii="宋体" w:hAnsi="宋体" w:hint="eastAsia"/>
          <w:bCs/>
          <w:sz w:val="24"/>
        </w:rPr>
        <w:t>%年费率计提。计算方法如下：</w:t>
      </w:r>
    </w:p>
    <w:p w14:paraId="6A684799" w14:textId="096AB17A" w:rsidR="00DF5D16" w:rsidRDefault="00DF5D16" w:rsidP="00DF5D16">
      <w:pPr>
        <w:adjustRightInd w:val="0"/>
        <w:snapToGrid w:val="0"/>
        <w:spacing w:line="360" w:lineRule="auto"/>
        <w:ind w:firstLineChars="200" w:firstLine="480"/>
        <w:rPr>
          <w:rFonts w:ascii="宋体" w:hAnsi="宋体"/>
          <w:bCs/>
          <w:sz w:val="24"/>
        </w:rPr>
      </w:pPr>
      <w:r>
        <w:rPr>
          <w:rFonts w:ascii="宋体" w:hAnsi="宋体" w:hint="eastAsia"/>
          <w:bCs/>
          <w:sz w:val="24"/>
        </w:rPr>
        <w:t>H＝E×</w:t>
      </w:r>
      <w:r w:rsidR="0042715E" w:rsidRPr="0042715E">
        <w:rPr>
          <w:rFonts w:ascii="宋体" w:hAnsi="宋体" w:hint="eastAsia"/>
          <w:bCs/>
          <w:sz w:val="24"/>
        </w:rPr>
        <w:t>该类基金份额销售服务费年费率</w:t>
      </w:r>
      <w:r>
        <w:rPr>
          <w:rFonts w:ascii="宋体" w:hAnsi="宋体" w:hint="eastAsia"/>
          <w:bCs/>
          <w:sz w:val="24"/>
        </w:rPr>
        <w:t>÷当年天数</w:t>
      </w:r>
    </w:p>
    <w:p w14:paraId="3D8FB0FE" w14:textId="5BE3DB0B" w:rsidR="00DF5D16" w:rsidRDefault="00DF5D16" w:rsidP="00DF5D16">
      <w:pPr>
        <w:adjustRightInd w:val="0"/>
        <w:snapToGrid w:val="0"/>
        <w:spacing w:line="360" w:lineRule="auto"/>
        <w:ind w:firstLineChars="200" w:firstLine="480"/>
        <w:rPr>
          <w:rFonts w:ascii="宋体" w:hAnsi="宋体"/>
          <w:bCs/>
          <w:sz w:val="24"/>
        </w:rPr>
      </w:pPr>
      <w:r>
        <w:rPr>
          <w:rFonts w:ascii="宋体" w:hAnsi="宋体" w:hint="eastAsia"/>
          <w:bCs/>
          <w:sz w:val="24"/>
        </w:rPr>
        <w:t>H为</w:t>
      </w:r>
      <w:r w:rsidR="009F4A7D">
        <w:rPr>
          <w:rFonts w:ascii="宋体" w:hAnsi="宋体" w:hint="eastAsia"/>
          <w:bCs/>
          <w:sz w:val="24"/>
        </w:rPr>
        <w:t>C</w:t>
      </w:r>
      <w:r>
        <w:rPr>
          <w:rFonts w:ascii="宋体" w:hAnsi="宋体" w:hint="eastAsia"/>
          <w:bCs/>
          <w:sz w:val="24"/>
        </w:rPr>
        <w:t>类基金份额每日应计提的销售服务费</w:t>
      </w:r>
    </w:p>
    <w:p w14:paraId="4C85D624" w14:textId="4F571B93" w:rsidR="00DF5D16" w:rsidRDefault="00DF5D16" w:rsidP="00DF5D16">
      <w:pPr>
        <w:adjustRightInd w:val="0"/>
        <w:snapToGrid w:val="0"/>
        <w:spacing w:line="360" w:lineRule="auto"/>
        <w:ind w:firstLineChars="200" w:firstLine="480"/>
        <w:rPr>
          <w:rFonts w:ascii="宋体" w:hAnsi="宋体"/>
          <w:bCs/>
          <w:sz w:val="24"/>
        </w:rPr>
      </w:pPr>
      <w:r>
        <w:rPr>
          <w:rFonts w:ascii="宋体" w:hAnsi="宋体" w:hint="eastAsia"/>
          <w:bCs/>
          <w:sz w:val="24"/>
        </w:rPr>
        <w:t>E为</w:t>
      </w:r>
      <w:r w:rsidR="009F4A7D">
        <w:rPr>
          <w:rFonts w:ascii="宋体" w:hAnsi="宋体" w:hint="eastAsia"/>
          <w:bCs/>
          <w:sz w:val="24"/>
        </w:rPr>
        <w:t>C</w:t>
      </w:r>
      <w:r>
        <w:rPr>
          <w:rFonts w:ascii="宋体" w:hAnsi="宋体" w:hint="eastAsia"/>
          <w:bCs/>
          <w:sz w:val="24"/>
        </w:rPr>
        <w:t>类基金份额前一日基金资产净值</w:t>
      </w:r>
    </w:p>
    <w:p w14:paraId="45750310" w14:textId="5CB28106" w:rsidR="00DF5D16" w:rsidRDefault="00DD506B" w:rsidP="00DF5D16">
      <w:pPr>
        <w:adjustRightInd w:val="0"/>
        <w:snapToGrid w:val="0"/>
        <w:spacing w:line="360" w:lineRule="auto"/>
        <w:ind w:firstLineChars="200" w:firstLine="480"/>
        <w:rPr>
          <w:rFonts w:ascii="黑体" w:hAnsi="黑体"/>
          <w:bCs/>
          <w:sz w:val="24"/>
        </w:rPr>
      </w:pPr>
      <w:r w:rsidRPr="00DD506B">
        <w:rPr>
          <w:rFonts w:ascii="宋体" w:hAnsi="宋体" w:hint="eastAsia"/>
          <w:sz w:val="24"/>
        </w:rPr>
        <w:t>销售服务费每日计提，逐日累计至每月月末，按月支付，经基金管理人与基金托管人双方核对无误后，基金托管人按照与基金管理人协商一致的方式于次月首日起5个工作日内从基金财产中一次性支付</w:t>
      </w:r>
      <w:r w:rsidR="00214928">
        <w:rPr>
          <w:rFonts w:ascii="宋体" w:hAnsi="宋体" w:cs="Arial" w:hint="eastAsia"/>
          <w:sz w:val="24"/>
        </w:rPr>
        <w:t>给登记机构，由登记机构代付给各个销售机构</w:t>
      </w:r>
      <w:r w:rsidRPr="00DD506B">
        <w:rPr>
          <w:rFonts w:ascii="宋体" w:hAnsi="宋体" w:hint="eastAsia"/>
          <w:sz w:val="24"/>
        </w:rPr>
        <w:t>。若遇法定节假日、休息日或不可抗力等致使无法按时支付的，顺延至最近可支付日支付。</w:t>
      </w:r>
    </w:p>
    <w:p w14:paraId="35034A70" w14:textId="18371117" w:rsidR="00DF5D16" w:rsidRPr="00AA6E5B" w:rsidRDefault="00DF5D16" w:rsidP="00DF5D16">
      <w:pPr>
        <w:adjustRightInd w:val="0"/>
        <w:snapToGrid w:val="0"/>
        <w:spacing w:line="360" w:lineRule="auto"/>
        <w:ind w:firstLineChars="200" w:firstLine="480"/>
        <w:rPr>
          <w:rFonts w:asciiTheme="minorEastAsia" w:eastAsiaTheme="minorEastAsia" w:hAnsiTheme="minorEastAsia"/>
          <w:bCs/>
          <w:sz w:val="24"/>
        </w:rPr>
      </w:pPr>
      <w:r w:rsidRPr="00AA6E5B">
        <w:rPr>
          <w:rFonts w:asciiTheme="minorEastAsia" w:eastAsiaTheme="minorEastAsia" w:hAnsiTheme="minorEastAsia" w:hint="eastAsia"/>
          <w:bCs/>
          <w:sz w:val="24"/>
        </w:rPr>
        <w:t>上述“一、基金费用的种类”中第</w:t>
      </w:r>
      <w:r w:rsidRPr="00AA6E5B">
        <w:rPr>
          <w:rFonts w:asciiTheme="minorEastAsia" w:eastAsiaTheme="minorEastAsia" w:hAnsiTheme="minorEastAsia"/>
          <w:bCs/>
          <w:sz w:val="24"/>
        </w:rPr>
        <w:t>4</w:t>
      </w:r>
      <w:r w:rsidRPr="00AA6E5B">
        <w:rPr>
          <w:rFonts w:asciiTheme="minorEastAsia" w:eastAsiaTheme="minorEastAsia" w:hAnsiTheme="minorEastAsia" w:hint="eastAsia"/>
          <w:bCs/>
          <w:sz w:val="24"/>
        </w:rPr>
        <w:t>－</w:t>
      </w:r>
      <w:r w:rsidRPr="00AA6E5B">
        <w:rPr>
          <w:rFonts w:asciiTheme="minorEastAsia" w:eastAsiaTheme="minorEastAsia" w:hAnsiTheme="minorEastAsia"/>
          <w:bCs/>
          <w:sz w:val="24"/>
        </w:rPr>
        <w:t>11</w:t>
      </w:r>
      <w:r w:rsidRPr="00AA6E5B">
        <w:rPr>
          <w:rFonts w:asciiTheme="minorEastAsia" w:eastAsiaTheme="minorEastAsia" w:hAnsiTheme="minorEastAsia" w:hint="eastAsia"/>
          <w:bCs/>
          <w:sz w:val="24"/>
        </w:rPr>
        <w:t>项费用，根据有关法规及相应协议规定，按费用实际支出金额列入当期费用，由基金托管人从基金财产中支付。</w:t>
      </w:r>
    </w:p>
    <w:p w14:paraId="5A4B8B6B" w14:textId="77777777" w:rsidR="00DF5D16" w:rsidRPr="00AA6E5B" w:rsidRDefault="00DF5D16" w:rsidP="00DF5D16">
      <w:pPr>
        <w:adjustRightInd w:val="0"/>
        <w:snapToGrid w:val="0"/>
        <w:spacing w:line="360" w:lineRule="auto"/>
        <w:ind w:firstLineChars="200" w:firstLine="480"/>
        <w:rPr>
          <w:rFonts w:asciiTheme="minorEastAsia" w:eastAsiaTheme="minorEastAsia" w:hAnsiTheme="minorEastAsia"/>
          <w:bCs/>
          <w:sz w:val="24"/>
        </w:rPr>
      </w:pPr>
      <w:r w:rsidRPr="00AA6E5B">
        <w:rPr>
          <w:rFonts w:asciiTheme="minorEastAsia" w:eastAsiaTheme="minorEastAsia" w:hAnsiTheme="minorEastAsia"/>
          <w:bCs/>
          <w:sz w:val="24"/>
        </w:rPr>
        <w:t>三、不列入基金费用的项目</w:t>
      </w:r>
    </w:p>
    <w:p w14:paraId="20FE53D0" w14:textId="77777777" w:rsidR="00DF5D16" w:rsidRPr="00AA6E5B" w:rsidRDefault="00DF5D16" w:rsidP="00DF5D16">
      <w:pPr>
        <w:adjustRightInd w:val="0"/>
        <w:snapToGrid w:val="0"/>
        <w:spacing w:line="360" w:lineRule="auto"/>
        <w:ind w:firstLineChars="200" w:firstLine="480"/>
        <w:rPr>
          <w:rFonts w:asciiTheme="minorEastAsia" w:eastAsiaTheme="minorEastAsia" w:hAnsiTheme="minorEastAsia"/>
          <w:bCs/>
          <w:sz w:val="24"/>
        </w:rPr>
      </w:pPr>
      <w:r w:rsidRPr="00AA6E5B">
        <w:rPr>
          <w:rFonts w:asciiTheme="minorEastAsia" w:eastAsiaTheme="minorEastAsia" w:hAnsiTheme="minorEastAsia"/>
          <w:bCs/>
          <w:sz w:val="24"/>
        </w:rPr>
        <w:t>1、基金管理人和基金托管人因未履行或未完全履行义务导致的费用支出或基金财产的损失；</w:t>
      </w:r>
    </w:p>
    <w:p w14:paraId="57E21CE4" w14:textId="77777777" w:rsidR="00DF5D16" w:rsidRPr="00AA6E5B" w:rsidRDefault="00DF5D16" w:rsidP="00DF5D16">
      <w:pPr>
        <w:adjustRightInd w:val="0"/>
        <w:snapToGrid w:val="0"/>
        <w:spacing w:line="360" w:lineRule="auto"/>
        <w:ind w:firstLineChars="200" w:firstLine="480"/>
        <w:rPr>
          <w:rFonts w:asciiTheme="minorEastAsia" w:eastAsiaTheme="minorEastAsia" w:hAnsiTheme="minorEastAsia"/>
          <w:bCs/>
          <w:sz w:val="24"/>
        </w:rPr>
      </w:pPr>
      <w:r w:rsidRPr="00AA6E5B">
        <w:rPr>
          <w:rFonts w:asciiTheme="minorEastAsia" w:eastAsiaTheme="minorEastAsia" w:hAnsiTheme="minorEastAsia"/>
          <w:bCs/>
          <w:sz w:val="24"/>
        </w:rPr>
        <w:lastRenderedPageBreak/>
        <w:t>2、基金管理人和基金托管人处理与基金运作无关的事项发生的费用；</w:t>
      </w:r>
    </w:p>
    <w:p w14:paraId="187B37DD" w14:textId="77777777" w:rsidR="00DF5D16" w:rsidRPr="00AA6E5B" w:rsidRDefault="00DF5D16" w:rsidP="00DF5D16">
      <w:pPr>
        <w:adjustRightInd w:val="0"/>
        <w:snapToGrid w:val="0"/>
        <w:spacing w:line="360" w:lineRule="auto"/>
        <w:ind w:firstLineChars="200" w:firstLine="480"/>
        <w:rPr>
          <w:rFonts w:asciiTheme="minorEastAsia" w:eastAsiaTheme="minorEastAsia" w:hAnsiTheme="minorEastAsia"/>
          <w:bCs/>
          <w:sz w:val="24"/>
        </w:rPr>
      </w:pPr>
      <w:r w:rsidRPr="00AA6E5B">
        <w:rPr>
          <w:rFonts w:asciiTheme="minorEastAsia" w:eastAsiaTheme="minorEastAsia" w:hAnsiTheme="minorEastAsia"/>
          <w:bCs/>
          <w:sz w:val="24"/>
        </w:rPr>
        <w:t>3、基金合同生效前的相关费用；</w:t>
      </w:r>
    </w:p>
    <w:p w14:paraId="4A1AD561" w14:textId="77777777" w:rsidR="00DF5D16" w:rsidRPr="00AA6E5B" w:rsidRDefault="00DF5D16" w:rsidP="00DF5D16">
      <w:pPr>
        <w:adjustRightInd w:val="0"/>
        <w:snapToGrid w:val="0"/>
        <w:spacing w:line="360" w:lineRule="auto"/>
        <w:ind w:firstLineChars="200" w:firstLine="480"/>
        <w:rPr>
          <w:rFonts w:asciiTheme="minorEastAsia" w:eastAsiaTheme="minorEastAsia" w:hAnsiTheme="minorEastAsia"/>
          <w:bCs/>
          <w:sz w:val="24"/>
        </w:rPr>
      </w:pPr>
      <w:r w:rsidRPr="00AA6E5B">
        <w:rPr>
          <w:rFonts w:asciiTheme="minorEastAsia" w:eastAsiaTheme="minorEastAsia" w:hAnsiTheme="minorEastAsia"/>
          <w:bCs/>
          <w:sz w:val="24"/>
        </w:rPr>
        <w:t>4、其他根据相关法律法规及中国证监会的有关规定不得列入基金费用的项目。</w:t>
      </w:r>
      <w:bookmarkStart w:id="59" w:name="_Hlt88827255"/>
      <w:bookmarkEnd w:id="59"/>
    </w:p>
    <w:p w14:paraId="0278B7A5" w14:textId="77777777" w:rsidR="00DF5D16" w:rsidRPr="00AA6E5B" w:rsidRDefault="00DF5D16" w:rsidP="00DF5D16">
      <w:pPr>
        <w:adjustRightInd w:val="0"/>
        <w:snapToGrid w:val="0"/>
        <w:spacing w:line="360" w:lineRule="auto"/>
        <w:ind w:firstLineChars="200" w:firstLine="480"/>
        <w:rPr>
          <w:rFonts w:asciiTheme="minorEastAsia" w:eastAsiaTheme="minorEastAsia" w:hAnsiTheme="minorEastAsia"/>
          <w:bCs/>
          <w:sz w:val="24"/>
        </w:rPr>
      </w:pPr>
      <w:r w:rsidRPr="00AA6E5B">
        <w:rPr>
          <w:rFonts w:asciiTheme="minorEastAsia" w:eastAsiaTheme="minorEastAsia" w:hAnsiTheme="minorEastAsia" w:hint="eastAsia"/>
          <w:bCs/>
          <w:sz w:val="24"/>
        </w:rPr>
        <w:t>四、实施侧袋机制期间的基金费用</w:t>
      </w:r>
    </w:p>
    <w:p w14:paraId="6C29DA67" w14:textId="77777777" w:rsidR="00DF5D16" w:rsidRPr="00AA6E5B" w:rsidRDefault="00DF5D16" w:rsidP="00DF5D16">
      <w:pPr>
        <w:adjustRightInd w:val="0"/>
        <w:snapToGrid w:val="0"/>
        <w:spacing w:line="360" w:lineRule="auto"/>
        <w:ind w:firstLineChars="200" w:firstLine="480"/>
        <w:rPr>
          <w:rFonts w:asciiTheme="minorEastAsia" w:eastAsiaTheme="minorEastAsia" w:hAnsiTheme="minorEastAsia"/>
          <w:bCs/>
          <w:sz w:val="24"/>
        </w:rPr>
      </w:pPr>
      <w:r w:rsidRPr="00AA6E5B">
        <w:rPr>
          <w:rFonts w:asciiTheme="minorEastAsia" w:eastAsiaTheme="minorEastAsia" w:hAnsiTheme="minorEastAsia" w:hint="eastAsia"/>
          <w:bCs/>
          <w:sz w:val="24"/>
        </w:rPr>
        <w:t>本基金实施侧袋机制的，与侧袋账户有关的费用可以从侧袋账户中列支，但应待侧袋账户资产变现后方可列支，有关费用可酌情收取或减免，但不得收取基金管理费，详见招募说明书或相关公告。</w:t>
      </w:r>
    </w:p>
    <w:p w14:paraId="1CAC9ABB" w14:textId="77777777" w:rsidR="00DF5D16" w:rsidRPr="00AA6E5B" w:rsidRDefault="00DF5D16" w:rsidP="00DF5D16">
      <w:pPr>
        <w:adjustRightInd w:val="0"/>
        <w:snapToGrid w:val="0"/>
        <w:spacing w:line="360" w:lineRule="auto"/>
        <w:ind w:firstLineChars="200" w:firstLine="480"/>
        <w:rPr>
          <w:rFonts w:asciiTheme="minorEastAsia" w:eastAsiaTheme="minorEastAsia" w:hAnsiTheme="minorEastAsia"/>
          <w:bCs/>
          <w:sz w:val="24"/>
        </w:rPr>
      </w:pPr>
      <w:r w:rsidRPr="00AA6E5B">
        <w:rPr>
          <w:rFonts w:asciiTheme="minorEastAsia" w:eastAsiaTheme="minorEastAsia" w:hAnsiTheme="minorEastAsia" w:hint="eastAsia"/>
          <w:bCs/>
          <w:sz w:val="24"/>
        </w:rPr>
        <w:t>五、</w:t>
      </w:r>
      <w:r w:rsidRPr="00AA6E5B">
        <w:rPr>
          <w:rFonts w:asciiTheme="minorEastAsia" w:eastAsiaTheme="minorEastAsia" w:hAnsiTheme="minorEastAsia"/>
          <w:bCs/>
          <w:sz w:val="24"/>
        </w:rPr>
        <w:t>基金税收</w:t>
      </w:r>
    </w:p>
    <w:p w14:paraId="21538DFA" w14:textId="5A1A3ADC" w:rsidR="00BF4A4E" w:rsidRPr="00AA6E5B" w:rsidRDefault="008D6EAD">
      <w:pPr>
        <w:pStyle w:val="20"/>
        <w:adjustRightInd w:val="0"/>
        <w:snapToGrid w:val="0"/>
        <w:ind w:firstLine="480"/>
        <w:jc w:val="left"/>
        <w:rPr>
          <w:rFonts w:asciiTheme="minorEastAsia" w:eastAsiaTheme="minorEastAsia" w:hAnsiTheme="minorEastAsia"/>
          <w:sz w:val="24"/>
        </w:rPr>
      </w:pPr>
      <w:r w:rsidRPr="00AA6E5B">
        <w:rPr>
          <w:rFonts w:asciiTheme="minorEastAsia" w:eastAsiaTheme="minorEastAsia" w:hAnsiTheme="minorEastAsia" w:hint="eastAsia"/>
          <w:bCs/>
          <w:sz w:val="24"/>
          <w:szCs w:val="24"/>
        </w:rPr>
        <w:t>本基金运作过程中涉及的各纳税主体，其纳税义务按国家税收法律、法规执行。基金财产投资的相关税收，由基金份额持有人承担，基金管理人或者其他扣缴义务人按照国家有关税收征收的规定代扣代缴。</w:t>
      </w:r>
    </w:p>
    <w:p w14:paraId="1D7A70C9" w14:textId="77777777" w:rsidR="00BF4A4E" w:rsidRDefault="00BF4A4E">
      <w:pPr>
        <w:pStyle w:val="1"/>
        <w:spacing w:line="360" w:lineRule="auto"/>
        <w:jc w:val="center"/>
        <w:rPr>
          <w:rFonts w:ascii="宋体" w:hAnsi="宋体"/>
        </w:rPr>
      </w:pPr>
      <w:r>
        <w:rPr>
          <w:rFonts w:ascii="宋体" w:hAnsi="宋体"/>
          <w:sz w:val="24"/>
        </w:rPr>
        <w:br w:type="page"/>
      </w:r>
      <w:bookmarkStart w:id="60" w:name="_Toc103003355"/>
      <w:r>
        <w:rPr>
          <w:rFonts w:ascii="宋体" w:hAnsi="宋体"/>
        </w:rPr>
        <w:lastRenderedPageBreak/>
        <w:t>第</w:t>
      </w:r>
      <w:r>
        <w:rPr>
          <w:rFonts w:ascii="宋体" w:hAnsi="宋体" w:hint="eastAsia"/>
        </w:rPr>
        <w:t>十三</w:t>
      </w:r>
      <w:r>
        <w:rPr>
          <w:rFonts w:ascii="宋体" w:hAnsi="宋体"/>
        </w:rPr>
        <w:t>部分</w:t>
      </w:r>
      <w:r>
        <w:rPr>
          <w:rFonts w:ascii="宋体" w:hAnsi="宋体" w:hint="eastAsia"/>
        </w:rPr>
        <w:t xml:space="preserve">  基金的收益与分配</w:t>
      </w:r>
      <w:bookmarkEnd w:id="60"/>
    </w:p>
    <w:p w14:paraId="7D459500" w14:textId="77777777" w:rsidR="00BF4A4E" w:rsidRDefault="00BF4A4E">
      <w:pPr>
        <w:pStyle w:val="20"/>
        <w:adjustRightInd w:val="0"/>
        <w:snapToGrid w:val="0"/>
        <w:ind w:firstLine="480"/>
        <w:rPr>
          <w:sz w:val="24"/>
        </w:rPr>
      </w:pPr>
    </w:p>
    <w:p w14:paraId="3723ED41" w14:textId="77777777" w:rsidR="00DF5D16" w:rsidRDefault="00DF5D16" w:rsidP="00DF5D16">
      <w:pPr>
        <w:adjustRightInd w:val="0"/>
        <w:snapToGrid w:val="0"/>
        <w:spacing w:line="360" w:lineRule="auto"/>
        <w:ind w:firstLineChars="225" w:firstLine="540"/>
        <w:rPr>
          <w:rFonts w:ascii="黑体" w:hAnsi="黑体"/>
          <w:bCs/>
          <w:sz w:val="24"/>
        </w:rPr>
      </w:pPr>
      <w:r>
        <w:rPr>
          <w:rFonts w:ascii="黑体" w:hAnsi="黑体"/>
          <w:bCs/>
          <w:sz w:val="24"/>
        </w:rPr>
        <w:t>一、基金利润的构成</w:t>
      </w:r>
    </w:p>
    <w:p w14:paraId="785198EC" w14:textId="7E9D6090" w:rsidR="00DF5D16" w:rsidRDefault="008D6EAD" w:rsidP="00DF5D16">
      <w:pPr>
        <w:adjustRightInd w:val="0"/>
        <w:snapToGrid w:val="0"/>
        <w:spacing w:line="360" w:lineRule="auto"/>
        <w:ind w:firstLineChars="225" w:firstLine="540"/>
        <w:rPr>
          <w:rFonts w:ascii="黑体" w:hAnsi="黑体"/>
          <w:bCs/>
          <w:sz w:val="24"/>
        </w:rPr>
      </w:pPr>
      <w:r w:rsidRPr="008D6EAD">
        <w:rPr>
          <w:rFonts w:ascii="黑体" w:hAnsi="黑体" w:hint="eastAsia"/>
          <w:bCs/>
          <w:sz w:val="24"/>
        </w:rPr>
        <w:t>基金利润指基金利息收入、投资收益、公允价值变动收益和其他收入扣除相关费用后的余额，基金已实现收益指基金利润减去公允价值变动收益后的余额。</w:t>
      </w:r>
    </w:p>
    <w:p w14:paraId="6D648C6B" w14:textId="77777777" w:rsidR="00DF5D16" w:rsidRDefault="00DF5D16" w:rsidP="00DF5D16">
      <w:pPr>
        <w:adjustRightInd w:val="0"/>
        <w:snapToGrid w:val="0"/>
        <w:spacing w:line="360" w:lineRule="auto"/>
        <w:ind w:firstLineChars="225" w:firstLine="540"/>
        <w:rPr>
          <w:rFonts w:ascii="黑体" w:hAnsi="黑体"/>
          <w:bCs/>
          <w:sz w:val="24"/>
        </w:rPr>
      </w:pPr>
      <w:r>
        <w:rPr>
          <w:rFonts w:ascii="黑体" w:hAnsi="黑体"/>
          <w:bCs/>
          <w:sz w:val="24"/>
        </w:rPr>
        <w:t>二、基金可供分配利润</w:t>
      </w:r>
    </w:p>
    <w:p w14:paraId="456BDA49" w14:textId="77777777" w:rsidR="00DF5D16" w:rsidRDefault="00DF5D16" w:rsidP="00DF5D16">
      <w:pPr>
        <w:adjustRightInd w:val="0"/>
        <w:snapToGrid w:val="0"/>
        <w:spacing w:line="360" w:lineRule="auto"/>
        <w:ind w:firstLineChars="225" w:firstLine="540"/>
        <w:rPr>
          <w:rFonts w:ascii="黑体" w:hAnsi="黑体"/>
          <w:bCs/>
          <w:sz w:val="24"/>
        </w:rPr>
      </w:pPr>
      <w:r>
        <w:rPr>
          <w:rFonts w:ascii="黑体" w:hAnsi="黑体"/>
          <w:bCs/>
          <w:sz w:val="24"/>
        </w:rPr>
        <w:t>基金可供分配利润指截至收益分配基准日基金未分配利润与未分配利润中已实现收益的孰低数。</w:t>
      </w:r>
    </w:p>
    <w:p w14:paraId="55A1EE45" w14:textId="77777777" w:rsidR="00DF5D16" w:rsidRDefault="00DF5D16" w:rsidP="00DF5D16">
      <w:pPr>
        <w:adjustRightInd w:val="0"/>
        <w:snapToGrid w:val="0"/>
        <w:spacing w:line="360" w:lineRule="auto"/>
        <w:ind w:firstLineChars="225" w:firstLine="540"/>
        <w:rPr>
          <w:rFonts w:ascii="黑体" w:hAnsi="黑体"/>
          <w:bCs/>
          <w:sz w:val="24"/>
        </w:rPr>
      </w:pPr>
      <w:r>
        <w:rPr>
          <w:rFonts w:ascii="黑体" w:hAnsi="黑体"/>
          <w:bCs/>
          <w:sz w:val="24"/>
        </w:rPr>
        <w:t>三、基金收益分配原则</w:t>
      </w:r>
    </w:p>
    <w:p w14:paraId="403EBF68" w14:textId="77777777" w:rsidR="00DF5D16" w:rsidRDefault="00DF5D16" w:rsidP="00DF5D16">
      <w:pPr>
        <w:adjustRightInd w:val="0"/>
        <w:snapToGrid w:val="0"/>
        <w:spacing w:line="360" w:lineRule="auto"/>
        <w:ind w:firstLineChars="225" w:firstLine="540"/>
        <w:rPr>
          <w:rFonts w:ascii="宋体" w:hAnsi="宋体"/>
          <w:bCs/>
          <w:sz w:val="24"/>
        </w:rPr>
      </w:pPr>
      <w:r>
        <w:rPr>
          <w:rFonts w:ascii="宋体" w:hAnsi="宋体" w:hint="eastAsia"/>
          <w:bCs/>
          <w:sz w:val="24"/>
        </w:rPr>
        <w:t>1、本基金在符合有关基金分红条件的前提下可进行收益分配，每次收益分配比例等具体分红方案见基金管理人根据基金运作情况届时不定期发布的相关分红公告，若《基金合同》生效不满3个月可不进行收益分配；</w:t>
      </w:r>
    </w:p>
    <w:p w14:paraId="4241D9AA" w14:textId="35D29EF9" w:rsidR="00DF5D16" w:rsidRDefault="00DF5D16" w:rsidP="00DF5D16">
      <w:pPr>
        <w:adjustRightInd w:val="0"/>
        <w:snapToGrid w:val="0"/>
        <w:spacing w:line="360" w:lineRule="auto"/>
        <w:ind w:firstLineChars="225" w:firstLine="540"/>
        <w:rPr>
          <w:rFonts w:ascii="宋体" w:hAnsi="宋体"/>
          <w:bCs/>
          <w:sz w:val="24"/>
        </w:rPr>
      </w:pPr>
      <w:r>
        <w:rPr>
          <w:rFonts w:ascii="宋体" w:hAnsi="宋体" w:hint="eastAsia"/>
          <w:bCs/>
          <w:sz w:val="24"/>
        </w:rPr>
        <w:t>2、</w:t>
      </w:r>
      <w:r w:rsidR="008D6EAD" w:rsidRPr="008D6EAD">
        <w:rPr>
          <w:rFonts w:ascii="宋体" w:hAnsi="宋体" w:hint="eastAsia"/>
          <w:bCs/>
          <w:sz w:val="24"/>
        </w:rPr>
        <w:t>本基金收益分配方式分两种：现金分红与红利再投资，投资人可选择现金红利或将现金红利自动转为相应类别的基金份额进行再投资；若投资人不选择，本基金默认的收益分配方式是现金分红；红利再投资方式免收再投资的费用；</w:t>
      </w:r>
    </w:p>
    <w:p w14:paraId="73482346" w14:textId="50A5BB18" w:rsidR="00DF5D16" w:rsidRDefault="007667B9" w:rsidP="000F235C">
      <w:pPr>
        <w:adjustRightInd w:val="0"/>
        <w:snapToGrid w:val="0"/>
        <w:spacing w:line="360" w:lineRule="auto"/>
        <w:ind w:firstLineChars="225" w:firstLine="540"/>
        <w:rPr>
          <w:rFonts w:ascii="宋体" w:hAnsi="宋体"/>
          <w:bCs/>
          <w:sz w:val="24"/>
        </w:rPr>
      </w:pPr>
      <w:r>
        <w:rPr>
          <w:rFonts w:ascii="宋体" w:hAnsi="宋体"/>
          <w:bCs/>
          <w:sz w:val="24"/>
        </w:rPr>
        <w:t>3</w:t>
      </w:r>
      <w:r w:rsidR="00DF5D16">
        <w:rPr>
          <w:rFonts w:ascii="宋体" w:hAnsi="宋体" w:hint="eastAsia"/>
          <w:bCs/>
          <w:sz w:val="24"/>
        </w:rPr>
        <w:t>、由于本基金</w:t>
      </w:r>
      <w:r w:rsidR="00DF5D16">
        <w:rPr>
          <w:rFonts w:ascii="宋体" w:hAnsi="宋体"/>
          <w:bCs/>
          <w:sz w:val="24"/>
        </w:rPr>
        <w:t>A类基金份额不收取销售服务费，而C类基金份额收取销售服务费，各基金份额类别对应的可供分配利润将有所不同</w:t>
      </w:r>
      <w:r w:rsidR="00DF5D16">
        <w:rPr>
          <w:rFonts w:ascii="宋体" w:hAnsi="宋体" w:hint="eastAsia"/>
          <w:bCs/>
          <w:sz w:val="24"/>
        </w:rPr>
        <w:t>。</w:t>
      </w:r>
      <w:r w:rsidR="00DF5D16">
        <w:rPr>
          <w:rFonts w:ascii="宋体" w:hAnsi="宋体"/>
          <w:bCs/>
          <w:sz w:val="24"/>
        </w:rPr>
        <w:t>本基金同一类别的</w:t>
      </w:r>
      <w:r w:rsidR="00DF5D16">
        <w:rPr>
          <w:rFonts w:ascii="宋体" w:hAnsi="宋体" w:hint="eastAsia"/>
          <w:bCs/>
          <w:sz w:val="24"/>
        </w:rPr>
        <w:t>每一基金份额享有同等分配权；</w:t>
      </w:r>
    </w:p>
    <w:p w14:paraId="317E3070" w14:textId="208DD395" w:rsidR="00DF5D16" w:rsidRDefault="007667B9" w:rsidP="00DF5D16">
      <w:pPr>
        <w:adjustRightInd w:val="0"/>
        <w:snapToGrid w:val="0"/>
        <w:spacing w:line="360" w:lineRule="auto"/>
        <w:ind w:firstLineChars="225" w:firstLine="540"/>
        <w:rPr>
          <w:rFonts w:ascii="宋体" w:hAnsi="宋体"/>
          <w:bCs/>
          <w:sz w:val="24"/>
        </w:rPr>
      </w:pPr>
      <w:r>
        <w:rPr>
          <w:rFonts w:ascii="宋体" w:hAnsi="宋体"/>
          <w:bCs/>
          <w:sz w:val="24"/>
        </w:rPr>
        <w:t>4</w:t>
      </w:r>
      <w:r w:rsidR="00DF5D16">
        <w:rPr>
          <w:rFonts w:ascii="宋体" w:hAnsi="宋体" w:hint="eastAsia"/>
          <w:bCs/>
          <w:sz w:val="24"/>
        </w:rPr>
        <w:t>、法律法规或监管机关另有规定的，从其规定。</w:t>
      </w:r>
    </w:p>
    <w:p w14:paraId="511503D7" w14:textId="618F824F" w:rsidR="00DF5D16" w:rsidRDefault="00DF5D16" w:rsidP="00DF5D16">
      <w:pPr>
        <w:adjustRightInd w:val="0"/>
        <w:snapToGrid w:val="0"/>
        <w:spacing w:line="360" w:lineRule="auto"/>
        <w:ind w:firstLineChars="225" w:firstLine="540"/>
        <w:rPr>
          <w:rFonts w:ascii="黑体" w:hAnsi="黑体"/>
          <w:bCs/>
          <w:sz w:val="24"/>
        </w:rPr>
      </w:pPr>
      <w:r>
        <w:rPr>
          <w:rFonts w:ascii="黑体" w:hAnsi="黑体" w:hint="eastAsia"/>
          <w:bCs/>
          <w:sz w:val="24"/>
        </w:rPr>
        <w:t>在不违反法律法规且对基金份额持有人利益无实质性不利影响的前提下，基金管理人可酌情调整以上基金收益分配原则和支付方式，并于变更实施日前</w:t>
      </w:r>
      <w:r>
        <w:rPr>
          <w:rFonts w:ascii="宋体" w:hAnsi="宋体" w:hint="eastAsia"/>
          <w:bCs/>
          <w:sz w:val="24"/>
        </w:rPr>
        <w:t>按照《信息披露办法》的规定</w:t>
      </w:r>
      <w:r>
        <w:rPr>
          <w:rFonts w:ascii="黑体" w:hAnsi="黑体" w:hint="eastAsia"/>
          <w:bCs/>
          <w:sz w:val="24"/>
        </w:rPr>
        <w:t>在规定媒介上公告</w:t>
      </w:r>
      <w:r w:rsidR="00886B59">
        <w:rPr>
          <w:rFonts w:ascii="黑体" w:hAnsi="黑体" w:hint="eastAsia"/>
          <w:bCs/>
          <w:sz w:val="24"/>
        </w:rPr>
        <w:t>，且不需召开基金份额持有人大会</w:t>
      </w:r>
      <w:r>
        <w:rPr>
          <w:rFonts w:ascii="黑体" w:hAnsi="黑体" w:hint="eastAsia"/>
          <w:bCs/>
          <w:sz w:val="24"/>
        </w:rPr>
        <w:t>。</w:t>
      </w:r>
    </w:p>
    <w:p w14:paraId="2E413010" w14:textId="0E73B978" w:rsidR="00DF5D16" w:rsidRDefault="00DF5D16">
      <w:pPr>
        <w:adjustRightInd w:val="0"/>
        <w:snapToGrid w:val="0"/>
        <w:spacing w:line="360" w:lineRule="auto"/>
        <w:ind w:firstLineChars="225" w:firstLine="540"/>
        <w:rPr>
          <w:rFonts w:ascii="黑体" w:hAnsi="黑体"/>
          <w:bCs/>
          <w:sz w:val="24"/>
        </w:rPr>
      </w:pPr>
      <w:r w:rsidRPr="001D36E5">
        <w:rPr>
          <w:rFonts w:ascii="宋体" w:hAnsi="宋体" w:hint="eastAsia"/>
          <w:bCs/>
          <w:sz w:val="24"/>
        </w:rPr>
        <w:t>四</w:t>
      </w:r>
      <w:r w:rsidRPr="001D36E5">
        <w:rPr>
          <w:rFonts w:ascii="宋体" w:hAnsi="宋体"/>
          <w:bCs/>
          <w:sz w:val="24"/>
        </w:rPr>
        <w:t>、</w:t>
      </w:r>
      <w:r>
        <w:rPr>
          <w:rFonts w:ascii="黑体" w:hAnsi="黑体"/>
          <w:bCs/>
          <w:sz w:val="24"/>
        </w:rPr>
        <w:t>收益分配方案</w:t>
      </w:r>
    </w:p>
    <w:p w14:paraId="15DDB14E" w14:textId="59965E60" w:rsidR="00DF5D16" w:rsidRDefault="00DF5D16" w:rsidP="00DF5D16">
      <w:pPr>
        <w:adjustRightInd w:val="0"/>
        <w:snapToGrid w:val="0"/>
        <w:spacing w:line="360" w:lineRule="auto"/>
        <w:ind w:firstLineChars="225" w:firstLine="540"/>
        <w:rPr>
          <w:rFonts w:ascii="黑体" w:hAnsi="黑体"/>
          <w:bCs/>
          <w:sz w:val="24"/>
        </w:rPr>
      </w:pPr>
      <w:r>
        <w:rPr>
          <w:rFonts w:ascii="黑体" w:hAnsi="黑体"/>
          <w:bCs/>
          <w:sz w:val="24"/>
        </w:rPr>
        <w:t>基金</w:t>
      </w:r>
      <w:r>
        <w:rPr>
          <w:rFonts w:ascii="黑体" w:hAnsi="黑体" w:hint="eastAsia"/>
          <w:bCs/>
          <w:sz w:val="24"/>
        </w:rPr>
        <w:t>的</w:t>
      </w:r>
      <w:r>
        <w:rPr>
          <w:rFonts w:ascii="黑体" w:hAnsi="黑体"/>
          <w:bCs/>
          <w:sz w:val="24"/>
        </w:rPr>
        <w:t>收益分配方案中应载明</w:t>
      </w:r>
      <w:r>
        <w:rPr>
          <w:rFonts w:ascii="黑体" w:hAnsi="黑体" w:hint="eastAsia"/>
          <w:bCs/>
          <w:sz w:val="24"/>
        </w:rPr>
        <w:t>截至</w:t>
      </w:r>
      <w:r>
        <w:rPr>
          <w:rFonts w:ascii="黑体" w:hAnsi="黑体"/>
          <w:bCs/>
          <w:sz w:val="24"/>
        </w:rPr>
        <w:t>收益分配基准日的可供分配利润、基金收益分配对象、分配时间、分配数额及比例、分配方式等内容。</w:t>
      </w:r>
    </w:p>
    <w:p w14:paraId="74E7A87E" w14:textId="089EF30F" w:rsidR="00DF5D16" w:rsidRDefault="00161160" w:rsidP="00DF5D16">
      <w:pPr>
        <w:adjustRightInd w:val="0"/>
        <w:snapToGrid w:val="0"/>
        <w:spacing w:line="360" w:lineRule="auto"/>
        <w:ind w:firstLineChars="225" w:firstLine="540"/>
        <w:rPr>
          <w:rFonts w:ascii="黑体" w:hAnsi="黑体"/>
          <w:bCs/>
          <w:sz w:val="24"/>
        </w:rPr>
      </w:pPr>
      <w:r>
        <w:rPr>
          <w:rFonts w:ascii="黑体" w:hAnsi="黑体" w:hint="eastAsia"/>
          <w:bCs/>
          <w:sz w:val="24"/>
        </w:rPr>
        <w:t>五</w:t>
      </w:r>
      <w:r w:rsidR="00DF5D16">
        <w:rPr>
          <w:rFonts w:ascii="黑体" w:hAnsi="黑体"/>
          <w:bCs/>
          <w:sz w:val="24"/>
        </w:rPr>
        <w:t>、收益分配方案的确定、公告与实施</w:t>
      </w:r>
    </w:p>
    <w:p w14:paraId="7637DB96" w14:textId="77777777" w:rsidR="00DF5D16" w:rsidRDefault="00DF5D16" w:rsidP="00DF5D16">
      <w:pPr>
        <w:adjustRightInd w:val="0"/>
        <w:snapToGrid w:val="0"/>
        <w:spacing w:line="360" w:lineRule="auto"/>
        <w:ind w:firstLineChars="225" w:firstLine="540"/>
        <w:rPr>
          <w:rFonts w:ascii="黑体" w:hAnsi="黑体"/>
          <w:bCs/>
          <w:sz w:val="24"/>
        </w:rPr>
      </w:pPr>
      <w:r>
        <w:rPr>
          <w:rFonts w:ascii="黑体" w:hAnsi="黑体" w:hint="eastAsia"/>
          <w:bCs/>
          <w:sz w:val="24"/>
        </w:rPr>
        <w:t>本基金收益分配方案由基金管理人拟定，并由基金托管人复核，基金管理人依照《信息披露办法》的有关规定在规定媒介公告。</w:t>
      </w:r>
    </w:p>
    <w:p w14:paraId="57F00666" w14:textId="54DF3E58" w:rsidR="00DF5D16" w:rsidRDefault="00161160" w:rsidP="00DF5D16">
      <w:pPr>
        <w:adjustRightInd w:val="0"/>
        <w:snapToGrid w:val="0"/>
        <w:spacing w:line="360" w:lineRule="auto"/>
        <w:ind w:firstLineChars="225" w:firstLine="540"/>
        <w:rPr>
          <w:rFonts w:ascii="黑体" w:hAnsi="黑体"/>
          <w:bCs/>
          <w:sz w:val="24"/>
        </w:rPr>
      </w:pPr>
      <w:r>
        <w:rPr>
          <w:rFonts w:ascii="黑体" w:hAnsi="黑体" w:hint="eastAsia"/>
          <w:bCs/>
          <w:sz w:val="24"/>
        </w:rPr>
        <w:t>六</w:t>
      </w:r>
      <w:r w:rsidR="00DF5D16">
        <w:rPr>
          <w:rFonts w:ascii="黑体" w:hAnsi="黑体"/>
          <w:bCs/>
          <w:sz w:val="24"/>
        </w:rPr>
        <w:t>、基金收益分配中发生的费用</w:t>
      </w:r>
    </w:p>
    <w:p w14:paraId="2E32491A" w14:textId="77777777" w:rsidR="00DF5D16" w:rsidRDefault="00DF5D16" w:rsidP="00DF5D16">
      <w:pPr>
        <w:adjustRightInd w:val="0"/>
        <w:snapToGrid w:val="0"/>
        <w:spacing w:line="360" w:lineRule="auto"/>
        <w:ind w:firstLineChars="225" w:firstLine="540"/>
        <w:rPr>
          <w:rFonts w:ascii="黑体" w:hAnsi="黑体"/>
          <w:bCs/>
          <w:sz w:val="24"/>
        </w:rPr>
      </w:pPr>
      <w:r>
        <w:rPr>
          <w:rFonts w:ascii="黑体" w:hAnsi="黑体" w:hint="eastAsia"/>
          <w:bCs/>
          <w:sz w:val="24"/>
        </w:rPr>
        <w:lastRenderedPageBreak/>
        <w:t>基金收益分配时所发生的银行转账或其他手续费用由投资人自行承担。当投资人的现金红利小于一定金额，不足以支付银行转账或其他手续费用时，基金登记机构可将该基金份额持有人的现金红利转为相应</w:t>
      </w:r>
      <w:r>
        <w:rPr>
          <w:rFonts w:ascii="黑体" w:hAnsi="黑体"/>
          <w:bCs/>
          <w:sz w:val="24"/>
        </w:rPr>
        <w:t>类别的</w:t>
      </w:r>
      <w:r>
        <w:rPr>
          <w:rFonts w:ascii="黑体" w:hAnsi="黑体" w:hint="eastAsia"/>
          <w:bCs/>
          <w:sz w:val="24"/>
        </w:rPr>
        <w:t>基金份额。红利再投资的计算方法，依照登记机构相关业务规则执行。</w:t>
      </w:r>
    </w:p>
    <w:p w14:paraId="5A2B4050" w14:textId="1367A324" w:rsidR="00DF5D16" w:rsidRDefault="00161160" w:rsidP="00DF5D16">
      <w:pPr>
        <w:adjustRightInd w:val="0"/>
        <w:snapToGrid w:val="0"/>
        <w:spacing w:line="360" w:lineRule="auto"/>
        <w:ind w:firstLineChars="225" w:firstLine="540"/>
        <w:rPr>
          <w:bCs/>
          <w:sz w:val="24"/>
        </w:rPr>
      </w:pPr>
      <w:r>
        <w:rPr>
          <w:rFonts w:hint="eastAsia"/>
          <w:bCs/>
          <w:sz w:val="24"/>
        </w:rPr>
        <w:t>七</w:t>
      </w:r>
      <w:r w:rsidR="00DF5D16">
        <w:rPr>
          <w:bCs/>
          <w:sz w:val="24"/>
        </w:rPr>
        <w:t>、实施侧袋机制期间的收益分配</w:t>
      </w:r>
    </w:p>
    <w:p w14:paraId="0769A427" w14:textId="156DC460" w:rsidR="00BF4A4E" w:rsidRDefault="00DF5D16">
      <w:pPr>
        <w:pStyle w:val="20"/>
        <w:adjustRightInd w:val="0"/>
        <w:snapToGrid w:val="0"/>
        <w:ind w:firstLine="480"/>
        <w:rPr>
          <w:sz w:val="24"/>
        </w:rPr>
      </w:pPr>
      <w:r>
        <w:rPr>
          <w:bCs/>
          <w:sz w:val="24"/>
        </w:rPr>
        <w:t>本基金实施侧袋机制的，侧袋账户不进行收益分配，详见招募说明书的规定或相关公告。</w:t>
      </w:r>
    </w:p>
    <w:p w14:paraId="7ACB2C15" w14:textId="77777777" w:rsidR="00BF4A4E" w:rsidRDefault="00BF4A4E">
      <w:pPr>
        <w:pStyle w:val="1"/>
        <w:adjustRightInd w:val="0"/>
        <w:snapToGrid w:val="0"/>
        <w:spacing w:before="0" w:after="0" w:line="360" w:lineRule="auto"/>
        <w:jc w:val="center"/>
        <w:rPr>
          <w:rFonts w:ascii="宋体" w:hAnsi="宋体"/>
        </w:rPr>
      </w:pPr>
      <w:r>
        <w:rPr>
          <w:rFonts w:ascii="宋体" w:hAnsi="宋体"/>
        </w:rPr>
        <w:br w:type="page"/>
      </w:r>
      <w:bookmarkStart w:id="61" w:name="_Toc103003356"/>
      <w:r>
        <w:rPr>
          <w:rFonts w:ascii="宋体" w:hAnsi="宋体"/>
        </w:rPr>
        <w:lastRenderedPageBreak/>
        <w:t>第</w:t>
      </w:r>
      <w:r>
        <w:rPr>
          <w:rFonts w:ascii="宋体" w:hAnsi="宋体" w:hint="eastAsia"/>
        </w:rPr>
        <w:t>十四</w:t>
      </w:r>
      <w:r>
        <w:rPr>
          <w:rFonts w:ascii="宋体" w:hAnsi="宋体"/>
        </w:rPr>
        <w:t>部分</w:t>
      </w:r>
      <w:r>
        <w:rPr>
          <w:rFonts w:ascii="宋体" w:hAnsi="宋体" w:hint="eastAsia"/>
        </w:rPr>
        <w:t xml:space="preserve">  基金的会计与审计</w:t>
      </w:r>
      <w:bookmarkEnd w:id="61"/>
    </w:p>
    <w:p w14:paraId="5F671023" w14:textId="77777777" w:rsidR="00BF4A4E" w:rsidRDefault="00BF4A4E">
      <w:pPr>
        <w:pStyle w:val="20"/>
        <w:ind w:firstLineChars="0" w:firstLine="480"/>
        <w:rPr>
          <w:sz w:val="24"/>
        </w:rPr>
      </w:pPr>
    </w:p>
    <w:p w14:paraId="0FE2FCA3" w14:textId="77777777" w:rsidR="0020391B" w:rsidRPr="0020391B" w:rsidRDefault="0020391B" w:rsidP="0020391B">
      <w:pPr>
        <w:pStyle w:val="20"/>
        <w:ind w:firstLine="480"/>
        <w:rPr>
          <w:bCs/>
          <w:sz w:val="24"/>
        </w:rPr>
      </w:pPr>
      <w:r w:rsidRPr="0020391B">
        <w:rPr>
          <w:rFonts w:hint="eastAsia"/>
          <w:bCs/>
          <w:sz w:val="24"/>
        </w:rPr>
        <w:t>一、基金会计政策</w:t>
      </w:r>
    </w:p>
    <w:p w14:paraId="1202BE9A" w14:textId="77777777" w:rsidR="0020391B" w:rsidRPr="0020391B" w:rsidRDefault="0020391B" w:rsidP="0020391B">
      <w:pPr>
        <w:pStyle w:val="20"/>
        <w:ind w:firstLine="480"/>
        <w:rPr>
          <w:bCs/>
          <w:sz w:val="24"/>
        </w:rPr>
      </w:pPr>
      <w:r w:rsidRPr="0020391B">
        <w:rPr>
          <w:rFonts w:hint="eastAsia"/>
          <w:bCs/>
          <w:sz w:val="24"/>
        </w:rPr>
        <w:t>1、基金管理人为本基金的基金会计责任方；</w:t>
      </w:r>
    </w:p>
    <w:p w14:paraId="0E56D511" w14:textId="77777777" w:rsidR="0020391B" w:rsidRPr="0020391B" w:rsidRDefault="0020391B" w:rsidP="0020391B">
      <w:pPr>
        <w:pStyle w:val="20"/>
        <w:ind w:firstLine="480"/>
        <w:rPr>
          <w:bCs/>
          <w:sz w:val="24"/>
        </w:rPr>
      </w:pPr>
      <w:r w:rsidRPr="0020391B">
        <w:rPr>
          <w:rFonts w:hint="eastAsia"/>
          <w:bCs/>
          <w:sz w:val="24"/>
        </w:rPr>
        <w:t>2、基金的会计年度为公历年度的1月1日至12月31日；基金首次募集的会计年度按如下原则：如果基金合同生效少于2个月，可以并入下一个会计年度披露；</w:t>
      </w:r>
    </w:p>
    <w:p w14:paraId="3438ACB7" w14:textId="77777777" w:rsidR="0020391B" w:rsidRPr="0020391B" w:rsidRDefault="0020391B" w:rsidP="0020391B">
      <w:pPr>
        <w:pStyle w:val="20"/>
        <w:ind w:firstLine="480"/>
        <w:rPr>
          <w:bCs/>
          <w:sz w:val="24"/>
        </w:rPr>
      </w:pPr>
      <w:r w:rsidRPr="0020391B">
        <w:rPr>
          <w:rFonts w:hint="eastAsia"/>
          <w:bCs/>
          <w:sz w:val="24"/>
        </w:rPr>
        <w:t>3、基金核算以人民币为记账本位币，以人民币元为记账单位；</w:t>
      </w:r>
    </w:p>
    <w:p w14:paraId="7D46C384" w14:textId="77777777" w:rsidR="0020391B" w:rsidRPr="0020391B" w:rsidRDefault="0020391B" w:rsidP="0020391B">
      <w:pPr>
        <w:pStyle w:val="20"/>
        <w:ind w:firstLine="480"/>
        <w:rPr>
          <w:bCs/>
          <w:sz w:val="24"/>
        </w:rPr>
      </w:pPr>
      <w:r w:rsidRPr="0020391B">
        <w:rPr>
          <w:rFonts w:hint="eastAsia"/>
          <w:bCs/>
          <w:sz w:val="24"/>
        </w:rPr>
        <w:t>4、会计制度执行国家有关会计制度；</w:t>
      </w:r>
    </w:p>
    <w:p w14:paraId="1EC79365" w14:textId="77777777" w:rsidR="0020391B" w:rsidRPr="0020391B" w:rsidRDefault="0020391B" w:rsidP="0020391B">
      <w:pPr>
        <w:pStyle w:val="20"/>
        <w:ind w:firstLine="480"/>
        <w:rPr>
          <w:bCs/>
          <w:sz w:val="24"/>
        </w:rPr>
      </w:pPr>
      <w:r w:rsidRPr="0020391B">
        <w:rPr>
          <w:rFonts w:hint="eastAsia"/>
          <w:bCs/>
          <w:sz w:val="24"/>
        </w:rPr>
        <w:t>5、本基金独立建账、独立核算；</w:t>
      </w:r>
    </w:p>
    <w:p w14:paraId="696E47A8" w14:textId="77777777" w:rsidR="0020391B" w:rsidRPr="0020391B" w:rsidRDefault="0020391B" w:rsidP="0020391B">
      <w:pPr>
        <w:pStyle w:val="20"/>
        <w:ind w:firstLine="480"/>
        <w:rPr>
          <w:bCs/>
          <w:sz w:val="24"/>
        </w:rPr>
      </w:pPr>
      <w:r w:rsidRPr="0020391B">
        <w:rPr>
          <w:rFonts w:hint="eastAsia"/>
          <w:bCs/>
          <w:sz w:val="24"/>
        </w:rPr>
        <w:t>6、基金管理人及基金托管人各自保留完整的会计账目、凭证并进行日常的会计核算，按照有关规定编制基金会计报表；</w:t>
      </w:r>
    </w:p>
    <w:p w14:paraId="46BFDA30" w14:textId="77777777" w:rsidR="0020391B" w:rsidRPr="0020391B" w:rsidRDefault="0020391B" w:rsidP="0020391B">
      <w:pPr>
        <w:pStyle w:val="20"/>
        <w:ind w:firstLine="480"/>
        <w:rPr>
          <w:bCs/>
          <w:sz w:val="24"/>
        </w:rPr>
      </w:pPr>
      <w:r w:rsidRPr="0020391B">
        <w:rPr>
          <w:rFonts w:hint="eastAsia"/>
          <w:bCs/>
          <w:sz w:val="24"/>
        </w:rPr>
        <w:t>7、基金托管人每月与基金管理人就基金的会计核算、报表编制等进行核对并以书面方式确认。</w:t>
      </w:r>
    </w:p>
    <w:p w14:paraId="49223B54" w14:textId="77777777" w:rsidR="0020391B" w:rsidRPr="0020391B" w:rsidRDefault="0020391B" w:rsidP="009D0C67">
      <w:pPr>
        <w:pStyle w:val="20"/>
        <w:ind w:firstLine="480"/>
        <w:rPr>
          <w:bCs/>
          <w:sz w:val="24"/>
        </w:rPr>
      </w:pPr>
      <w:r w:rsidRPr="0020391B">
        <w:rPr>
          <w:rFonts w:hint="eastAsia"/>
          <w:bCs/>
          <w:sz w:val="24"/>
        </w:rPr>
        <w:t>法律法规或监管部门对基金会计政策另有规定的，从其规定。</w:t>
      </w:r>
    </w:p>
    <w:p w14:paraId="414AE1D4" w14:textId="77777777" w:rsidR="0020391B" w:rsidRPr="0020391B" w:rsidRDefault="0020391B" w:rsidP="00B85CF7">
      <w:pPr>
        <w:pStyle w:val="20"/>
        <w:ind w:firstLine="480"/>
        <w:rPr>
          <w:bCs/>
          <w:sz w:val="24"/>
        </w:rPr>
      </w:pPr>
      <w:r w:rsidRPr="0020391B">
        <w:rPr>
          <w:rFonts w:hint="eastAsia"/>
          <w:bCs/>
          <w:sz w:val="24"/>
        </w:rPr>
        <w:t>二、基金的年度审计</w:t>
      </w:r>
    </w:p>
    <w:p w14:paraId="70C65376" w14:textId="77777777" w:rsidR="0020391B" w:rsidRPr="0020391B" w:rsidRDefault="0020391B" w:rsidP="00770B2C">
      <w:pPr>
        <w:pStyle w:val="20"/>
        <w:ind w:firstLine="480"/>
        <w:rPr>
          <w:bCs/>
          <w:sz w:val="24"/>
        </w:rPr>
      </w:pPr>
      <w:r w:rsidRPr="0020391B">
        <w:rPr>
          <w:rFonts w:hint="eastAsia"/>
          <w:bCs/>
          <w:sz w:val="24"/>
        </w:rPr>
        <w:t>1、基金管理人聘请与基金管理人、基金托管人相互独立的符合《中华人民共和国证券法》规定的会计师事务所及其注册会计师对本基金的年度财务报表进行审计。</w:t>
      </w:r>
    </w:p>
    <w:p w14:paraId="037CC0B8" w14:textId="77777777" w:rsidR="0020391B" w:rsidRPr="0020391B" w:rsidRDefault="0020391B" w:rsidP="00770B2C">
      <w:pPr>
        <w:pStyle w:val="20"/>
        <w:ind w:firstLine="480"/>
        <w:rPr>
          <w:bCs/>
          <w:sz w:val="24"/>
        </w:rPr>
      </w:pPr>
      <w:r w:rsidRPr="0020391B">
        <w:rPr>
          <w:rFonts w:hint="eastAsia"/>
          <w:bCs/>
          <w:sz w:val="24"/>
        </w:rPr>
        <w:t>2、会计师事务所更换经办注册会计师，应事先征得基金管理人同意。</w:t>
      </w:r>
    </w:p>
    <w:p w14:paraId="63FA0737" w14:textId="77777777" w:rsidR="00BF4A4E" w:rsidRDefault="0020391B" w:rsidP="00770B2C">
      <w:pPr>
        <w:pStyle w:val="20"/>
        <w:ind w:firstLine="480"/>
        <w:rPr>
          <w:sz w:val="24"/>
        </w:rPr>
      </w:pPr>
      <w:r w:rsidRPr="0020391B">
        <w:rPr>
          <w:rFonts w:hint="eastAsia"/>
          <w:bCs/>
          <w:sz w:val="24"/>
        </w:rPr>
        <w:t>3、基金管理人认为有充足理由更换会计师事务所，须通报基金托管人。更换会计师事务所需按照《信息披露办法》的有关规定在规定媒介公告。</w:t>
      </w:r>
    </w:p>
    <w:p w14:paraId="09F3C7EA" w14:textId="77777777" w:rsidR="00BF4A4E" w:rsidRDefault="00BF4A4E">
      <w:pPr>
        <w:pStyle w:val="1"/>
        <w:adjustRightInd w:val="0"/>
        <w:snapToGrid w:val="0"/>
        <w:spacing w:before="0" w:after="0" w:line="360" w:lineRule="auto"/>
        <w:jc w:val="center"/>
        <w:rPr>
          <w:rFonts w:ascii="宋体" w:hAnsi="宋体"/>
        </w:rPr>
      </w:pPr>
      <w:r>
        <w:rPr>
          <w:rFonts w:ascii="宋体" w:hAnsi="宋体"/>
        </w:rPr>
        <w:br w:type="page"/>
      </w:r>
      <w:bookmarkStart w:id="62" w:name="_Toc103003357"/>
      <w:r>
        <w:rPr>
          <w:rFonts w:ascii="宋体" w:hAnsi="宋体"/>
        </w:rPr>
        <w:lastRenderedPageBreak/>
        <w:t>第</w:t>
      </w:r>
      <w:r>
        <w:rPr>
          <w:rFonts w:ascii="宋体" w:hAnsi="宋体" w:hint="eastAsia"/>
        </w:rPr>
        <w:t>十五</w:t>
      </w:r>
      <w:r>
        <w:rPr>
          <w:rFonts w:ascii="宋体" w:hAnsi="宋体"/>
        </w:rPr>
        <w:t>部分</w:t>
      </w:r>
      <w:r>
        <w:rPr>
          <w:rFonts w:ascii="宋体" w:hAnsi="宋体" w:hint="eastAsia"/>
        </w:rPr>
        <w:t xml:space="preserve">  基金的信息披露</w:t>
      </w:r>
      <w:bookmarkEnd w:id="62"/>
    </w:p>
    <w:p w14:paraId="684903F1" w14:textId="77777777" w:rsidR="00BF4A4E" w:rsidRDefault="00BF4A4E">
      <w:pPr>
        <w:pStyle w:val="20"/>
        <w:ind w:firstLineChars="0" w:firstLine="480"/>
        <w:rPr>
          <w:sz w:val="24"/>
        </w:rPr>
      </w:pPr>
    </w:p>
    <w:p w14:paraId="20114397" w14:textId="77777777" w:rsidR="001B5650" w:rsidRDefault="001B5650" w:rsidP="001B5650">
      <w:pPr>
        <w:adjustRightInd w:val="0"/>
        <w:snapToGrid w:val="0"/>
        <w:spacing w:line="360" w:lineRule="auto"/>
        <w:ind w:firstLineChars="200" w:firstLine="480"/>
        <w:rPr>
          <w:rFonts w:ascii="黑体" w:hAnsi="黑体"/>
          <w:bCs/>
          <w:sz w:val="24"/>
        </w:rPr>
      </w:pPr>
      <w:r>
        <w:rPr>
          <w:rFonts w:ascii="黑体" w:hAnsi="黑体" w:hint="eastAsia"/>
          <w:bCs/>
          <w:sz w:val="24"/>
        </w:rPr>
        <w:t>一、本基金的信息披露应符合《基金法》、《运作办法》、《信息披露办法》、《流动性风险管理规定》、基金合同及其他有关规定。相关法律法规关于信息披露的披露方式、登载媒介、报备方式等规定发生变化时，本基金从其最新规定。</w:t>
      </w:r>
    </w:p>
    <w:p w14:paraId="515ACD59" w14:textId="77777777" w:rsidR="001B5650" w:rsidRDefault="001B5650" w:rsidP="001B5650">
      <w:pPr>
        <w:adjustRightInd w:val="0"/>
        <w:snapToGrid w:val="0"/>
        <w:spacing w:line="360" w:lineRule="auto"/>
        <w:ind w:firstLineChars="200" w:firstLine="480"/>
        <w:rPr>
          <w:rFonts w:ascii="黑体" w:hAnsi="黑体"/>
          <w:bCs/>
          <w:sz w:val="24"/>
        </w:rPr>
      </w:pPr>
      <w:r>
        <w:rPr>
          <w:rFonts w:ascii="黑体" w:hAnsi="黑体" w:hint="eastAsia"/>
          <w:bCs/>
          <w:sz w:val="24"/>
        </w:rPr>
        <w:t>二、信息披露义务人</w:t>
      </w:r>
    </w:p>
    <w:p w14:paraId="2384B2D7" w14:textId="77777777" w:rsidR="001B5650" w:rsidRDefault="001B5650" w:rsidP="001B5650">
      <w:pPr>
        <w:adjustRightInd w:val="0"/>
        <w:snapToGrid w:val="0"/>
        <w:spacing w:line="360" w:lineRule="auto"/>
        <w:ind w:firstLineChars="200" w:firstLine="480"/>
        <w:rPr>
          <w:rFonts w:ascii="黑体" w:hAnsi="黑体"/>
          <w:bCs/>
          <w:sz w:val="24"/>
        </w:rPr>
      </w:pPr>
      <w:r>
        <w:rPr>
          <w:rFonts w:ascii="黑体" w:hAnsi="黑体" w:hint="eastAsia"/>
          <w:bCs/>
          <w:sz w:val="24"/>
        </w:rPr>
        <w:t>本基金信息披露义务人包括基金管理人、基金托管人、召集基金份额持有人大会的基金份额持有人等法律、行政法规和中国证监会规定的自然人、法人和非法人组织。</w:t>
      </w:r>
    </w:p>
    <w:p w14:paraId="34CD9DF9" w14:textId="77777777" w:rsidR="001B5650" w:rsidRDefault="001B5650" w:rsidP="001B5650">
      <w:pPr>
        <w:adjustRightInd w:val="0"/>
        <w:snapToGrid w:val="0"/>
        <w:spacing w:line="360" w:lineRule="auto"/>
        <w:ind w:firstLineChars="200" w:firstLine="480"/>
        <w:rPr>
          <w:rFonts w:ascii="黑体" w:hAnsi="黑体"/>
          <w:bCs/>
          <w:sz w:val="24"/>
        </w:rPr>
      </w:pPr>
      <w:r>
        <w:rPr>
          <w:rFonts w:ascii="黑体" w:hAnsi="黑体" w:hint="eastAsia"/>
          <w:bCs/>
          <w:sz w:val="24"/>
        </w:rPr>
        <w:t>本基金信息披露义务人以保护基金份额持有人利益为根本出发点，按照法律法规和中国证监会的规定披露基金信息，并保证所披露信息的真实性、准确性、完整性、及时性、简明性和易得性。</w:t>
      </w:r>
    </w:p>
    <w:p w14:paraId="4F323851" w14:textId="77777777" w:rsidR="001B5650" w:rsidRDefault="001B5650" w:rsidP="001B5650">
      <w:pPr>
        <w:adjustRightInd w:val="0"/>
        <w:snapToGrid w:val="0"/>
        <w:spacing w:line="360" w:lineRule="auto"/>
        <w:ind w:firstLineChars="200" w:firstLine="480"/>
        <w:rPr>
          <w:rFonts w:ascii="黑体" w:hAnsi="黑体"/>
          <w:bCs/>
          <w:sz w:val="24"/>
        </w:rPr>
      </w:pPr>
      <w:r>
        <w:rPr>
          <w:rFonts w:ascii="黑体" w:hAnsi="黑体" w:hint="eastAsia"/>
          <w:bCs/>
          <w:sz w:val="24"/>
        </w:rPr>
        <w:t>本基金信息披露义务人应当在中国证监会规定时间内，将应予披露的基金信息通过符合中国证监会规定条件的全国性报刊（以下简称“规定报刊”）及《信息披露办法》规定的互联网网站（以下简称“规定网站”）等媒介披露，并保证基金投资人能够按照基金合同约定的时间和方式查阅或者复制公开披露的信息资料。</w:t>
      </w:r>
    </w:p>
    <w:p w14:paraId="54A7539E" w14:textId="77777777" w:rsidR="001B5650" w:rsidRPr="00153149" w:rsidRDefault="001B5650" w:rsidP="001B5650">
      <w:pPr>
        <w:adjustRightInd w:val="0"/>
        <w:snapToGrid w:val="0"/>
        <w:spacing w:line="360" w:lineRule="auto"/>
        <w:ind w:firstLineChars="200" w:firstLine="480"/>
        <w:rPr>
          <w:rFonts w:asciiTheme="minorEastAsia" w:eastAsiaTheme="minorEastAsia" w:hAnsiTheme="minorEastAsia"/>
          <w:bCs/>
          <w:sz w:val="24"/>
        </w:rPr>
      </w:pPr>
      <w:r w:rsidRPr="00153149">
        <w:rPr>
          <w:rFonts w:asciiTheme="minorEastAsia" w:eastAsiaTheme="minorEastAsia" w:hAnsiTheme="minorEastAsia" w:hint="eastAsia"/>
          <w:bCs/>
          <w:sz w:val="24"/>
        </w:rPr>
        <w:t>三、本基金信息披露义务人承诺公开披露的基金信息，不得有下列行为：</w:t>
      </w:r>
    </w:p>
    <w:p w14:paraId="323FA639" w14:textId="77777777" w:rsidR="001B5650" w:rsidRPr="00153149" w:rsidRDefault="001B5650" w:rsidP="001B5650">
      <w:pPr>
        <w:adjustRightInd w:val="0"/>
        <w:snapToGrid w:val="0"/>
        <w:spacing w:line="360" w:lineRule="auto"/>
        <w:ind w:firstLineChars="200" w:firstLine="480"/>
        <w:rPr>
          <w:rFonts w:asciiTheme="minorEastAsia" w:eastAsiaTheme="minorEastAsia" w:hAnsiTheme="minorEastAsia"/>
          <w:bCs/>
          <w:sz w:val="24"/>
        </w:rPr>
      </w:pPr>
      <w:r w:rsidRPr="00153149">
        <w:rPr>
          <w:rFonts w:asciiTheme="minorEastAsia" w:eastAsiaTheme="minorEastAsia" w:hAnsiTheme="minorEastAsia" w:hint="eastAsia"/>
          <w:bCs/>
          <w:sz w:val="24"/>
        </w:rPr>
        <w:t>1、虚假记载、误导性陈述或者重大遗漏；</w:t>
      </w:r>
    </w:p>
    <w:p w14:paraId="4ED899AB" w14:textId="77777777" w:rsidR="001B5650" w:rsidRPr="00153149" w:rsidRDefault="001B5650" w:rsidP="001B5650">
      <w:pPr>
        <w:adjustRightInd w:val="0"/>
        <w:snapToGrid w:val="0"/>
        <w:spacing w:line="360" w:lineRule="auto"/>
        <w:ind w:firstLineChars="200" w:firstLine="480"/>
        <w:rPr>
          <w:rFonts w:asciiTheme="minorEastAsia" w:eastAsiaTheme="minorEastAsia" w:hAnsiTheme="minorEastAsia"/>
          <w:bCs/>
          <w:sz w:val="24"/>
        </w:rPr>
      </w:pPr>
      <w:r w:rsidRPr="00153149">
        <w:rPr>
          <w:rFonts w:asciiTheme="minorEastAsia" w:eastAsiaTheme="minorEastAsia" w:hAnsiTheme="minorEastAsia" w:hint="eastAsia"/>
          <w:bCs/>
          <w:sz w:val="24"/>
        </w:rPr>
        <w:t>2、对证券投资业绩进行预测；</w:t>
      </w:r>
    </w:p>
    <w:p w14:paraId="668C2177" w14:textId="77777777" w:rsidR="001B5650" w:rsidRPr="00153149" w:rsidRDefault="001B5650" w:rsidP="001B5650">
      <w:pPr>
        <w:adjustRightInd w:val="0"/>
        <w:snapToGrid w:val="0"/>
        <w:spacing w:line="360" w:lineRule="auto"/>
        <w:ind w:firstLineChars="200" w:firstLine="480"/>
        <w:rPr>
          <w:rFonts w:asciiTheme="minorEastAsia" w:eastAsiaTheme="minorEastAsia" w:hAnsiTheme="minorEastAsia"/>
          <w:bCs/>
          <w:sz w:val="24"/>
        </w:rPr>
      </w:pPr>
      <w:r w:rsidRPr="00153149">
        <w:rPr>
          <w:rFonts w:asciiTheme="minorEastAsia" w:eastAsiaTheme="minorEastAsia" w:hAnsiTheme="minorEastAsia" w:hint="eastAsia"/>
          <w:bCs/>
          <w:sz w:val="24"/>
        </w:rPr>
        <w:t>3、违规承诺收益或者承担损失；</w:t>
      </w:r>
    </w:p>
    <w:p w14:paraId="28ECC519" w14:textId="77777777" w:rsidR="001B5650" w:rsidRPr="00153149" w:rsidRDefault="001B5650" w:rsidP="001B5650">
      <w:pPr>
        <w:adjustRightInd w:val="0"/>
        <w:snapToGrid w:val="0"/>
        <w:spacing w:line="360" w:lineRule="auto"/>
        <w:ind w:firstLineChars="200" w:firstLine="480"/>
        <w:rPr>
          <w:rFonts w:asciiTheme="minorEastAsia" w:eastAsiaTheme="minorEastAsia" w:hAnsiTheme="minorEastAsia"/>
          <w:bCs/>
          <w:sz w:val="24"/>
        </w:rPr>
      </w:pPr>
      <w:r w:rsidRPr="00153149">
        <w:rPr>
          <w:rFonts w:asciiTheme="minorEastAsia" w:eastAsiaTheme="minorEastAsia" w:hAnsiTheme="minorEastAsia" w:hint="eastAsia"/>
          <w:bCs/>
          <w:sz w:val="24"/>
        </w:rPr>
        <w:t>4、诋毁其他基金管理人、基金托管人或者销售机构；</w:t>
      </w:r>
    </w:p>
    <w:p w14:paraId="1E521505" w14:textId="77777777" w:rsidR="001B5650" w:rsidRPr="00153149" w:rsidRDefault="001B5650" w:rsidP="001B5650">
      <w:pPr>
        <w:adjustRightInd w:val="0"/>
        <w:snapToGrid w:val="0"/>
        <w:spacing w:line="360" w:lineRule="auto"/>
        <w:ind w:firstLineChars="200" w:firstLine="480"/>
        <w:rPr>
          <w:rFonts w:asciiTheme="minorEastAsia" w:eastAsiaTheme="minorEastAsia" w:hAnsiTheme="minorEastAsia"/>
          <w:bCs/>
          <w:sz w:val="24"/>
        </w:rPr>
      </w:pPr>
      <w:r w:rsidRPr="00153149">
        <w:rPr>
          <w:rFonts w:asciiTheme="minorEastAsia" w:eastAsiaTheme="minorEastAsia" w:hAnsiTheme="minorEastAsia" w:hint="eastAsia"/>
          <w:bCs/>
          <w:sz w:val="24"/>
        </w:rPr>
        <w:t>5、登载任何自然人、法人和非法人组织的祝贺性、恭维性或推荐性的文字；</w:t>
      </w:r>
    </w:p>
    <w:p w14:paraId="4DFD187D" w14:textId="77777777" w:rsidR="001B5650" w:rsidRPr="00153149" w:rsidRDefault="001B5650" w:rsidP="001B5650">
      <w:pPr>
        <w:adjustRightInd w:val="0"/>
        <w:snapToGrid w:val="0"/>
        <w:spacing w:line="360" w:lineRule="auto"/>
        <w:ind w:firstLineChars="200" w:firstLine="480"/>
        <w:rPr>
          <w:rFonts w:asciiTheme="minorEastAsia" w:eastAsiaTheme="minorEastAsia" w:hAnsiTheme="minorEastAsia"/>
          <w:bCs/>
          <w:sz w:val="24"/>
        </w:rPr>
      </w:pPr>
      <w:r w:rsidRPr="00153149">
        <w:rPr>
          <w:rFonts w:asciiTheme="minorEastAsia" w:eastAsiaTheme="minorEastAsia" w:hAnsiTheme="minorEastAsia" w:hint="eastAsia"/>
          <w:bCs/>
          <w:sz w:val="24"/>
        </w:rPr>
        <w:t>6、中国证监会禁止的其他行为。</w:t>
      </w:r>
    </w:p>
    <w:p w14:paraId="01A14BAE" w14:textId="77777777" w:rsidR="001B5650" w:rsidRDefault="001B5650" w:rsidP="001B5650">
      <w:pPr>
        <w:adjustRightInd w:val="0"/>
        <w:snapToGrid w:val="0"/>
        <w:spacing w:line="360" w:lineRule="auto"/>
        <w:ind w:firstLineChars="200" w:firstLine="480"/>
        <w:rPr>
          <w:rFonts w:ascii="黑体" w:hAnsi="黑体"/>
          <w:bCs/>
          <w:sz w:val="24"/>
        </w:rPr>
      </w:pPr>
      <w:r>
        <w:rPr>
          <w:rFonts w:ascii="黑体" w:hAnsi="黑体" w:hint="eastAsia"/>
          <w:bCs/>
          <w:sz w:val="24"/>
        </w:rPr>
        <w:t>四、本基金公开披露的信息应采用中文文本。如同时采用外文文本的，基金信息披露义务人应保证不同文本的内容一致。不同文本之间发生歧义的，以中文文本为准。</w:t>
      </w:r>
    </w:p>
    <w:p w14:paraId="23E104A4" w14:textId="77777777" w:rsidR="001B5650" w:rsidRDefault="001B5650" w:rsidP="001B5650">
      <w:pPr>
        <w:adjustRightInd w:val="0"/>
        <w:snapToGrid w:val="0"/>
        <w:spacing w:line="360" w:lineRule="auto"/>
        <w:ind w:firstLineChars="200" w:firstLine="480"/>
        <w:rPr>
          <w:rFonts w:ascii="黑体" w:hAnsi="黑体"/>
          <w:bCs/>
          <w:sz w:val="24"/>
        </w:rPr>
      </w:pPr>
      <w:r>
        <w:rPr>
          <w:rFonts w:ascii="黑体" w:hAnsi="黑体" w:hint="eastAsia"/>
          <w:bCs/>
          <w:sz w:val="24"/>
        </w:rPr>
        <w:t>本基金公开披露的信息采用阿拉伯数字；除特别说明外，货币单位为人民币元。</w:t>
      </w:r>
    </w:p>
    <w:p w14:paraId="0A7BC46D" w14:textId="77777777" w:rsidR="001B5650" w:rsidRDefault="001B5650" w:rsidP="001B5650">
      <w:pPr>
        <w:adjustRightInd w:val="0"/>
        <w:snapToGrid w:val="0"/>
        <w:spacing w:line="360" w:lineRule="auto"/>
        <w:ind w:firstLineChars="200" w:firstLine="480"/>
        <w:rPr>
          <w:rFonts w:ascii="黑体" w:hAnsi="黑体"/>
          <w:bCs/>
          <w:sz w:val="24"/>
        </w:rPr>
      </w:pPr>
      <w:r>
        <w:rPr>
          <w:rFonts w:ascii="黑体" w:hAnsi="黑体" w:hint="eastAsia"/>
          <w:bCs/>
          <w:sz w:val="24"/>
        </w:rPr>
        <w:lastRenderedPageBreak/>
        <w:t>五、公开披露的基金信息</w:t>
      </w:r>
    </w:p>
    <w:p w14:paraId="492B3518" w14:textId="77777777" w:rsidR="001B5650" w:rsidRDefault="001B5650" w:rsidP="001B5650">
      <w:pPr>
        <w:adjustRightInd w:val="0"/>
        <w:snapToGrid w:val="0"/>
        <w:spacing w:line="360" w:lineRule="auto"/>
        <w:ind w:firstLineChars="200" w:firstLine="480"/>
        <w:rPr>
          <w:rFonts w:ascii="黑体" w:hAnsi="黑体"/>
          <w:bCs/>
          <w:sz w:val="24"/>
        </w:rPr>
      </w:pPr>
      <w:r>
        <w:rPr>
          <w:rFonts w:ascii="黑体" w:hAnsi="黑体" w:hint="eastAsia"/>
          <w:bCs/>
          <w:sz w:val="24"/>
        </w:rPr>
        <w:t>公开披露的基金信息包括：</w:t>
      </w:r>
    </w:p>
    <w:p w14:paraId="19A0B15A" w14:textId="77777777" w:rsidR="001B5650" w:rsidRDefault="001B5650" w:rsidP="001B5650">
      <w:pPr>
        <w:adjustRightInd w:val="0"/>
        <w:snapToGrid w:val="0"/>
        <w:spacing w:line="360" w:lineRule="auto"/>
        <w:ind w:firstLineChars="200" w:firstLine="480"/>
        <w:rPr>
          <w:rFonts w:ascii="黑体" w:hAnsi="黑体"/>
          <w:bCs/>
          <w:sz w:val="24"/>
        </w:rPr>
      </w:pPr>
      <w:r>
        <w:rPr>
          <w:rFonts w:ascii="黑体" w:hAnsi="黑体" w:hint="eastAsia"/>
          <w:bCs/>
          <w:sz w:val="24"/>
        </w:rPr>
        <w:t>（一）基金招募说明书、基金合同、基金托管协议、基金产品资料概要</w:t>
      </w:r>
    </w:p>
    <w:p w14:paraId="44C07A66" w14:textId="77777777" w:rsidR="001B5650" w:rsidRDefault="001B5650" w:rsidP="001B5650">
      <w:pPr>
        <w:adjustRightInd w:val="0"/>
        <w:snapToGrid w:val="0"/>
        <w:spacing w:line="360" w:lineRule="auto"/>
        <w:ind w:firstLineChars="200" w:firstLine="480"/>
        <w:rPr>
          <w:rFonts w:ascii="宋体" w:hAnsi="宋体"/>
          <w:bCs/>
          <w:sz w:val="24"/>
        </w:rPr>
      </w:pPr>
      <w:r>
        <w:rPr>
          <w:rFonts w:ascii="宋体" w:hAnsi="宋体" w:hint="eastAsia"/>
          <w:bCs/>
          <w:sz w:val="24"/>
        </w:rPr>
        <w:t>1、基金合同是界定基金合同当事人的各项权利、义务关系，明确基金份额持有人大会召开的规则及具体程序，说明基金产品的特性等涉及基金投资人重大利益的事项的法律文件。</w:t>
      </w:r>
    </w:p>
    <w:p w14:paraId="27247771" w14:textId="77777777" w:rsidR="001B5650" w:rsidRDefault="001B5650" w:rsidP="001B5650">
      <w:pPr>
        <w:adjustRightInd w:val="0"/>
        <w:snapToGrid w:val="0"/>
        <w:spacing w:line="360" w:lineRule="auto"/>
        <w:ind w:firstLineChars="200" w:firstLine="480"/>
        <w:rPr>
          <w:rFonts w:ascii="宋体" w:hAnsi="宋体"/>
          <w:bCs/>
          <w:sz w:val="24"/>
        </w:rPr>
      </w:pPr>
      <w:r>
        <w:rPr>
          <w:rFonts w:ascii="宋体" w:hAnsi="宋体" w:hint="eastAsia"/>
          <w:bCs/>
          <w:sz w:val="24"/>
        </w:rPr>
        <w:t>2、基金招募说明书应当最大限度地披露影响基金投资人决策的全部事项，说明基金认购、申购和赎回安排、基金投资、基金产品特性、风险揭示、信息披露及基金份额持有人服务等内容。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14:paraId="3D070277" w14:textId="77777777" w:rsidR="001B5650" w:rsidRDefault="001B5650" w:rsidP="001B5650">
      <w:pPr>
        <w:adjustRightInd w:val="0"/>
        <w:snapToGrid w:val="0"/>
        <w:spacing w:line="360" w:lineRule="auto"/>
        <w:ind w:firstLineChars="200" w:firstLine="480"/>
        <w:rPr>
          <w:rFonts w:ascii="宋体" w:hAnsi="宋体"/>
          <w:bCs/>
          <w:sz w:val="24"/>
        </w:rPr>
      </w:pPr>
      <w:r>
        <w:rPr>
          <w:rFonts w:ascii="宋体" w:hAnsi="宋体" w:hint="eastAsia"/>
          <w:bCs/>
          <w:sz w:val="24"/>
        </w:rPr>
        <w:t>3、基金托管协议是界定基金托管人和基金管理人在基金财产保管及基金运作监督等活动中的权利、义务关系的法律文件。</w:t>
      </w:r>
    </w:p>
    <w:p w14:paraId="50F675F5" w14:textId="77777777" w:rsidR="001B5650" w:rsidRDefault="001B5650" w:rsidP="001B5650">
      <w:pPr>
        <w:adjustRightInd w:val="0"/>
        <w:snapToGrid w:val="0"/>
        <w:spacing w:line="360" w:lineRule="auto"/>
        <w:ind w:firstLineChars="200" w:firstLine="480"/>
        <w:rPr>
          <w:rFonts w:ascii="黑体" w:hAnsi="黑体"/>
          <w:bCs/>
          <w:sz w:val="24"/>
        </w:rPr>
      </w:pPr>
      <w:r>
        <w:rPr>
          <w:rFonts w:ascii="宋体" w:hAnsi="宋体" w:hint="eastAsia"/>
          <w:bCs/>
          <w:sz w:val="24"/>
        </w:rPr>
        <w:t>4、基</w:t>
      </w:r>
      <w:r>
        <w:rPr>
          <w:rFonts w:ascii="黑体" w:hAnsi="黑体" w:hint="eastAsia"/>
          <w:bCs/>
          <w:sz w:val="24"/>
        </w:rPr>
        <w:t>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销售机构网站或营业网点；基金产品资料概要其他信息发生变更的，基金管理人至少每年更新一次。基金终止运作的，基金管理人不再更新基金产品资料概要。</w:t>
      </w:r>
    </w:p>
    <w:p w14:paraId="1A1812F8" w14:textId="77777777" w:rsidR="001B5650" w:rsidRDefault="001B5650" w:rsidP="001B5650">
      <w:pPr>
        <w:adjustRightInd w:val="0"/>
        <w:snapToGrid w:val="0"/>
        <w:spacing w:line="360" w:lineRule="auto"/>
        <w:ind w:firstLineChars="200" w:firstLine="480"/>
        <w:rPr>
          <w:rFonts w:ascii="宋体" w:hAnsi="宋体"/>
          <w:bCs/>
          <w:sz w:val="24"/>
        </w:rPr>
      </w:pPr>
      <w:r>
        <w:rPr>
          <w:rFonts w:ascii="宋体" w:hAnsi="宋体" w:hint="eastAsia"/>
          <w:bCs/>
          <w:sz w:val="24"/>
        </w:rPr>
        <w:t>5、基金募集申请经中国证监会注册后，基金管理人应当在基金份额发售的三日前，将基金份额发售公告、基金招募说明书提示性公告和基金合同提示性公告登载在规定报刊上，将基金份额发售公告、基金招募说明书、基金产品资料概要、《基金合同》和基金托管协议登载在规定网站上，并将基金产品资料概要登载在销售机构网站或营业网点；基金托管人应当同时将基金合同、基金托管协议登载在规定网站上。</w:t>
      </w:r>
    </w:p>
    <w:p w14:paraId="289C7B34" w14:textId="77777777" w:rsidR="001B5650" w:rsidRDefault="001B5650" w:rsidP="001B5650">
      <w:pPr>
        <w:adjustRightInd w:val="0"/>
        <w:snapToGrid w:val="0"/>
        <w:spacing w:line="360" w:lineRule="auto"/>
        <w:ind w:firstLineChars="200" w:firstLine="480"/>
        <w:rPr>
          <w:rFonts w:ascii="宋体" w:hAnsi="宋体"/>
          <w:bCs/>
          <w:sz w:val="24"/>
        </w:rPr>
      </w:pPr>
      <w:r>
        <w:rPr>
          <w:rFonts w:ascii="宋体" w:hAnsi="宋体" w:hint="eastAsia"/>
          <w:bCs/>
          <w:sz w:val="24"/>
        </w:rPr>
        <w:t>（二）基金份额发售公告</w:t>
      </w:r>
    </w:p>
    <w:p w14:paraId="162F3BD5" w14:textId="77777777" w:rsidR="001B5650" w:rsidRDefault="001B5650" w:rsidP="001B5650">
      <w:pPr>
        <w:adjustRightInd w:val="0"/>
        <w:snapToGrid w:val="0"/>
        <w:spacing w:line="360" w:lineRule="auto"/>
        <w:ind w:firstLineChars="200" w:firstLine="480"/>
        <w:rPr>
          <w:rFonts w:ascii="黑体" w:hAnsi="黑体"/>
          <w:bCs/>
          <w:sz w:val="24"/>
        </w:rPr>
      </w:pPr>
      <w:r>
        <w:rPr>
          <w:rFonts w:ascii="黑体" w:hAnsi="黑体" w:hint="eastAsia"/>
          <w:bCs/>
          <w:sz w:val="24"/>
        </w:rPr>
        <w:t>基金管理人应当就基金份额发售的具体事宜编制基金份额发售公告，并在披露招募说明书的当日登载于规定媒介上。</w:t>
      </w:r>
    </w:p>
    <w:p w14:paraId="2D1707DD" w14:textId="77777777" w:rsidR="001B5650" w:rsidRDefault="001B5650" w:rsidP="001B5650">
      <w:pPr>
        <w:adjustRightInd w:val="0"/>
        <w:snapToGrid w:val="0"/>
        <w:spacing w:line="360" w:lineRule="auto"/>
        <w:ind w:firstLineChars="200" w:firstLine="480"/>
        <w:rPr>
          <w:rFonts w:ascii="黑体" w:hAnsi="黑体"/>
          <w:bCs/>
          <w:sz w:val="24"/>
        </w:rPr>
      </w:pPr>
      <w:r>
        <w:rPr>
          <w:rFonts w:ascii="黑体" w:hAnsi="黑体" w:hint="eastAsia"/>
          <w:bCs/>
          <w:sz w:val="24"/>
        </w:rPr>
        <w:t>（三）《基金合同》生效公告</w:t>
      </w:r>
    </w:p>
    <w:p w14:paraId="67956693" w14:textId="77777777" w:rsidR="001B5650" w:rsidRDefault="001B5650" w:rsidP="001B5650">
      <w:pPr>
        <w:adjustRightInd w:val="0"/>
        <w:snapToGrid w:val="0"/>
        <w:spacing w:line="360" w:lineRule="auto"/>
        <w:ind w:firstLineChars="200" w:firstLine="480"/>
        <w:rPr>
          <w:rFonts w:ascii="黑体" w:hAnsi="黑体"/>
          <w:bCs/>
          <w:sz w:val="24"/>
        </w:rPr>
      </w:pPr>
      <w:r>
        <w:rPr>
          <w:rFonts w:ascii="黑体" w:hAnsi="黑体" w:hint="eastAsia"/>
          <w:bCs/>
          <w:sz w:val="24"/>
        </w:rPr>
        <w:lastRenderedPageBreak/>
        <w:t>基金管理人应当在收到中国证监会确认文件的次日在规定媒介上登载基金合同生效公告。</w:t>
      </w:r>
    </w:p>
    <w:p w14:paraId="698D0591" w14:textId="77777777" w:rsidR="001B5650" w:rsidRDefault="001B5650" w:rsidP="001B5650">
      <w:pPr>
        <w:adjustRightInd w:val="0"/>
        <w:snapToGrid w:val="0"/>
        <w:spacing w:line="360" w:lineRule="auto"/>
        <w:ind w:firstLineChars="200" w:firstLine="480"/>
        <w:rPr>
          <w:rFonts w:ascii="黑体" w:hAnsi="黑体"/>
          <w:bCs/>
          <w:sz w:val="24"/>
        </w:rPr>
      </w:pPr>
      <w:r>
        <w:rPr>
          <w:rFonts w:ascii="黑体" w:hAnsi="黑体" w:hint="eastAsia"/>
          <w:bCs/>
          <w:sz w:val="24"/>
        </w:rPr>
        <w:t>《基金合同》生效公告中将说明基金募集情况及基金管理人、基金管理人高级管理人员、基金经理等人员以及基金管理人股东持有的基金份额、承诺持有的期限等情况。</w:t>
      </w:r>
    </w:p>
    <w:p w14:paraId="621B88A8" w14:textId="77777777" w:rsidR="001B5650" w:rsidRDefault="001B5650" w:rsidP="001B5650">
      <w:pPr>
        <w:adjustRightInd w:val="0"/>
        <w:snapToGrid w:val="0"/>
        <w:spacing w:line="360" w:lineRule="auto"/>
        <w:ind w:firstLineChars="200" w:firstLine="480"/>
        <w:rPr>
          <w:rFonts w:ascii="黑体" w:hAnsi="黑体"/>
          <w:bCs/>
          <w:sz w:val="24"/>
        </w:rPr>
      </w:pPr>
      <w:r>
        <w:rPr>
          <w:rFonts w:ascii="黑体" w:hAnsi="黑体" w:hint="eastAsia"/>
          <w:bCs/>
          <w:sz w:val="24"/>
        </w:rPr>
        <w:t>（四）基金净值信息</w:t>
      </w:r>
    </w:p>
    <w:p w14:paraId="55566DF8" w14:textId="77777777" w:rsidR="001B5650" w:rsidRDefault="001B5650" w:rsidP="001B5650">
      <w:pPr>
        <w:adjustRightInd w:val="0"/>
        <w:snapToGrid w:val="0"/>
        <w:spacing w:line="360" w:lineRule="auto"/>
        <w:ind w:firstLineChars="200" w:firstLine="480"/>
        <w:rPr>
          <w:rFonts w:ascii="黑体" w:hAnsi="黑体"/>
          <w:bCs/>
          <w:sz w:val="24"/>
        </w:rPr>
      </w:pPr>
      <w:r>
        <w:rPr>
          <w:rFonts w:ascii="黑体" w:hAnsi="黑体" w:hint="eastAsia"/>
          <w:bCs/>
          <w:sz w:val="24"/>
        </w:rPr>
        <w:t>基金合同生效后，在开始办理基金份额申购或者赎回前，基金管理人应当至少每周在规定网站披露一次各类基金份额的基金份额净值和基金份额累计净值。</w:t>
      </w:r>
    </w:p>
    <w:p w14:paraId="6FC5B43C" w14:textId="77777777" w:rsidR="001B5650" w:rsidRDefault="001B5650" w:rsidP="001B5650">
      <w:pPr>
        <w:adjustRightInd w:val="0"/>
        <w:snapToGrid w:val="0"/>
        <w:spacing w:line="360" w:lineRule="auto"/>
        <w:ind w:firstLineChars="200" w:firstLine="480"/>
        <w:rPr>
          <w:rFonts w:ascii="黑体" w:hAnsi="黑体"/>
          <w:bCs/>
          <w:sz w:val="24"/>
        </w:rPr>
      </w:pPr>
      <w:r>
        <w:rPr>
          <w:rFonts w:ascii="黑体" w:hAnsi="黑体" w:hint="eastAsia"/>
          <w:bCs/>
          <w:sz w:val="24"/>
        </w:rPr>
        <w:t>在本基金开始办理基金份额申购或者赎回后，基金管理人应在不晚于每个开放日的次日，通过规定网站、销售机构网站或者营业网点披露开放日的各类基金份额的基金份额净值和基金份额累计净值。</w:t>
      </w:r>
    </w:p>
    <w:p w14:paraId="0EA04647" w14:textId="77777777" w:rsidR="001B5650" w:rsidRDefault="001B5650" w:rsidP="001B5650">
      <w:pPr>
        <w:adjustRightInd w:val="0"/>
        <w:snapToGrid w:val="0"/>
        <w:spacing w:line="360" w:lineRule="auto"/>
        <w:ind w:firstLineChars="200" w:firstLine="480"/>
        <w:rPr>
          <w:rFonts w:ascii="黑体" w:hAnsi="黑体"/>
          <w:bCs/>
          <w:sz w:val="24"/>
        </w:rPr>
      </w:pPr>
      <w:r>
        <w:rPr>
          <w:rFonts w:ascii="黑体" w:hAnsi="黑体" w:hint="eastAsia"/>
          <w:bCs/>
          <w:sz w:val="24"/>
        </w:rPr>
        <w:t>基金管理人应当在不晚于半年度和年度最后一日的次日，在规定网站披露半年度和年度最后一日的各类基金份额的基金份额净值和基金份额累计净值。</w:t>
      </w:r>
    </w:p>
    <w:p w14:paraId="35B4DB99" w14:textId="77777777" w:rsidR="001B5650" w:rsidRDefault="001B5650" w:rsidP="001B5650">
      <w:pPr>
        <w:adjustRightInd w:val="0"/>
        <w:snapToGrid w:val="0"/>
        <w:spacing w:line="360" w:lineRule="auto"/>
        <w:ind w:firstLineChars="200" w:firstLine="480"/>
        <w:rPr>
          <w:rFonts w:ascii="黑体" w:hAnsi="黑体"/>
          <w:bCs/>
          <w:sz w:val="24"/>
        </w:rPr>
      </w:pPr>
      <w:r>
        <w:rPr>
          <w:rFonts w:ascii="黑体" w:hAnsi="黑体" w:hint="eastAsia"/>
          <w:bCs/>
          <w:sz w:val="24"/>
        </w:rPr>
        <w:t>（五）基金份额申购、赎回价格</w:t>
      </w:r>
    </w:p>
    <w:p w14:paraId="76595332" w14:textId="77777777" w:rsidR="001B5650" w:rsidRDefault="001B5650" w:rsidP="001B5650">
      <w:pPr>
        <w:adjustRightInd w:val="0"/>
        <w:snapToGrid w:val="0"/>
        <w:spacing w:line="360" w:lineRule="auto"/>
        <w:ind w:firstLineChars="200" w:firstLine="480"/>
        <w:rPr>
          <w:rFonts w:ascii="黑体" w:hAnsi="黑体"/>
          <w:bCs/>
          <w:sz w:val="24"/>
        </w:rPr>
      </w:pPr>
      <w:r>
        <w:rPr>
          <w:rFonts w:ascii="黑体" w:hAnsi="黑体" w:hint="eastAsia"/>
          <w:bCs/>
          <w:sz w:val="24"/>
        </w:rPr>
        <w:t>基金管理人应当在基金合同、招募说明书等信息披露文件上载明基金份额申购、赎回价格的计算方式及有关申购、赎回费率，并保证投资人能够在销售机构网站或营业网点查阅或者复制前述信息资料。</w:t>
      </w:r>
    </w:p>
    <w:p w14:paraId="5BD9A477" w14:textId="77777777" w:rsidR="001B5650" w:rsidRDefault="001B5650" w:rsidP="001B5650">
      <w:pPr>
        <w:adjustRightInd w:val="0"/>
        <w:snapToGrid w:val="0"/>
        <w:spacing w:line="360" w:lineRule="auto"/>
        <w:ind w:firstLineChars="200" w:firstLine="480"/>
        <w:rPr>
          <w:rFonts w:ascii="黑体" w:hAnsi="黑体"/>
          <w:bCs/>
          <w:sz w:val="24"/>
        </w:rPr>
      </w:pPr>
      <w:r>
        <w:rPr>
          <w:rFonts w:ascii="黑体" w:hAnsi="黑体" w:hint="eastAsia"/>
          <w:bCs/>
          <w:sz w:val="24"/>
        </w:rPr>
        <w:t>（六）基金定期报告，包括基金年度报告、基金中期报告和基金季度报告</w:t>
      </w:r>
    </w:p>
    <w:p w14:paraId="47875A72" w14:textId="77777777" w:rsidR="001B5650" w:rsidRDefault="001B5650" w:rsidP="001B5650">
      <w:pPr>
        <w:adjustRightInd w:val="0"/>
        <w:snapToGrid w:val="0"/>
        <w:spacing w:line="360" w:lineRule="auto"/>
        <w:ind w:firstLineChars="200" w:firstLine="480"/>
        <w:rPr>
          <w:rFonts w:ascii="黑体" w:hAnsi="黑体"/>
          <w:bCs/>
          <w:sz w:val="24"/>
        </w:rPr>
      </w:pPr>
      <w:r>
        <w:rPr>
          <w:rFonts w:ascii="黑体" w:hAnsi="黑体" w:hint="eastAsia"/>
          <w:bCs/>
          <w:sz w:val="24"/>
        </w:rPr>
        <w:t>基金管理人应当在每年结束之日起三个月内，编制完成基金年度报告，将年度报告登载在规定网站上，并将年度报告提示性公告登载在规定报刊上。基金年度报告中的财务会计报告应当经符合《中华人民共和国证券法》规定的会计师事务所审计。</w:t>
      </w:r>
    </w:p>
    <w:p w14:paraId="2EA5B2DD" w14:textId="77777777" w:rsidR="001B5650" w:rsidRDefault="001B5650" w:rsidP="001B5650">
      <w:pPr>
        <w:adjustRightInd w:val="0"/>
        <w:snapToGrid w:val="0"/>
        <w:spacing w:line="360" w:lineRule="auto"/>
        <w:ind w:firstLineChars="200" w:firstLine="480"/>
        <w:rPr>
          <w:rFonts w:ascii="宋体" w:hAnsi="宋体"/>
          <w:bCs/>
          <w:sz w:val="24"/>
        </w:rPr>
      </w:pPr>
      <w:r>
        <w:rPr>
          <w:rFonts w:ascii="宋体" w:hAnsi="宋体" w:hint="eastAsia"/>
          <w:bCs/>
          <w:sz w:val="24"/>
        </w:rPr>
        <w:t>基金管理人应当在上半年结束之日起两个月内，编制完成基金中期报告，将中期报告登载在规定网站上，并将中期报告提示性公告登载在规定报刊上。</w:t>
      </w:r>
    </w:p>
    <w:p w14:paraId="25CB8DE5" w14:textId="77777777" w:rsidR="001B5650" w:rsidRDefault="001B5650" w:rsidP="001B5650">
      <w:pPr>
        <w:adjustRightInd w:val="0"/>
        <w:snapToGrid w:val="0"/>
        <w:spacing w:line="360" w:lineRule="auto"/>
        <w:ind w:firstLineChars="200" w:firstLine="480"/>
        <w:rPr>
          <w:rFonts w:ascii="宋体" w:hAnsi="宋体"/>
          <w:bCs/>
          <w:sz w:val="24"/>
        </w:rPr>
      </w:pPr>
      <w:r>
        <w:rPr>
          <w:rFonts w:ascii="宋体" w:hAnsi="宋体" w:hint="eastAsia"/>
          <w:bCs/>
          <w:sz w:val="24"/>
        </w:rPr>
        <w:t>基金管理人应当在季度结束之日起15个工作日内，编制完成基金季度报告，将季度报告登载在规定网站上，并将季度报告提示性公告登载在规定报刊上。</w:t>
      </w:r>
    </w:p>
    <w:p w14:paraId="0D0F5A38" w14:textId="77777777" w:rsidR="001B5650" w:rsidRDefault="001B5650" w:rsidP="001B5650">
      <w:pPr>
        <w:adjustRightInd w:val="0"/>
        <w:snapToGrid w:val="0"/>
        <w:spacing w:line="360" w:lineRule="auto"/>
        <w:ind w:firstLineChars="200" w:firstLine="480"/>
        <w:rPr>
          <w:rFonts w:ascii="宋体" w:hAnsi="宋体"/>
          <w:bCs/>
          <w:sz w:val="24"/>
        </w:rPr>
      </w:pPr>
      <w:r>
        <w:rPr>
          <w:rFonts w:ascii="宋体" w:hAnsi="宋体" w:hint="eastAsia"/>
          <w:bCs/>
          <w:sz w:val="24"/>
        </w:rPr>
        <w:t>基金合同生效不足2个月的，基金管理人可以不编制当期季度报告、中期报告或者年度报告。</w:t>
      </w:r>
    </w:p>
    <w:p w14:paraId="2104C986" w14:textId="77777777" w:rsidR="001B5650" w:rsidRDefault="001B5650" w:rsidP="001B5650">
      <w:pPr>
        <w:adjustRightInd w:val="0"/>
        <w:snapToGrid w:val="0"/>
        <w:spacing w:line="360" w:lineRule="auto"/>
        <w:ind w:firstLineChars="200" w:firstLine="480"/>
        <w:rPr>
          <w:rFonts w:ascii="宋体" w:hAnsi="宋体"/>
          <w:bCs/>
          <w:sz w:val="24"/>
        </w:rPr>
      </w:pPr>
      <w:r>
        <w:rPr>
          <w:rFonts w:ascii="宋体" w:hAnsi="宋体" w:hint="eastAsia"/>
          <w:bCs/>
          <w:sz w:val="24"/>
        </w:rPr>
        <w:t>基金管理人应在年度报告、中期报告、季度报告中分别披露基金管理人、基金管理人高级管理人员、基金经理等人员以及基金管理人股东持有基金的份额、</w:t>
      </w:r>
      <w:r>
        <w:rPr>
          <w:rFonts w:ascii="宋体" w:hAnsi="宋体" w:hint="eastAsia"/>
          <w:bCs/>
          <w:sz w:val="24"/>
        </w:rPr>
        <w:lastRenderedPageBreak/>
        <w:t>期限及期间的变动情况。</w:t>
      </w:r>
    </w:p>
    <w:p w14:paraId="4FB3CF7A" w14:textId="77777777" w:rsidR="001B5650" w:rsidRDefault="001B5650" w:rsidP="001B5650">
      <w:pPr>
        <w:adjustRightInd w:val="0"/>
        <w:snapToGrid w:val="0"/>
        <w:spacing w:line="360" w:lineRule="auto"/>
        <w:ind w:firstLineChars="200" w:firstLine="480"/>
        <w:rPr>
          <w:rFonts w:ascii="宋体" w:hAnsi="宋体"/>
          <w:bCs/>
          <w:sz w:val="24"/>
        </w:rPr>
      </w:pPr>
      <w:r>
        <w:rPr>
          <w:rFonts w:ascii="宋体" w:hAnsi="宋体" w:hint="eastAsia"/>
          <w:bCs/>
          <w:sz w:val="24"/>
        </w:rPr>
        <w:t>如报告期内出现单一投资人持有基金份额达到或超过基金总份额20%的情形，为保障其他投资人的权益，基金管理人至少应当在定期报告“影响投资者决策的其他重要信息”项下披露该投资人的类别、报告期末持有份额及占比、报告期内持有份额变化情况及本基金的特有风险，中国证监会认定的特殊情形除外。</w:t>
      </w:r>
    </w:p>
    <w:p w14:paraId="402B6532" w14:textId="77777777" w:rsidR="001B5650" w:rsidRDefault="001B5650" w:rsidP="001B5650">
      <w:pPr>
        <w:adjustRightInd w:val="0"/>
        <w:snapToGrid w:val="0"/>
        <w:spacing w:line="360" w:lineRule="auto"/>
        <w:ind w:firstLineChars="200" w:firstLine="480"/>
        <w:rPr>
          <w:rFonts w:ascii="宋体" w:hAnsi="宋体"/>
          <w:bCs/>
          <w:sz w:val="24"/>
        </w:rPr>
      </w:pPr>
      <w:r>
        <w:rPr>
          <w:rFonts w:ascii="宋体" w:hAnsi="宋体" w:hint="eastAsia"/>
          <w:bCs/>
          <w:sz w:val="24"/>
        </w:rPr>
        <w:t>基金管理人应当在基金年度报告和中期报告中披露基金组合资产情况及其流动性风险分析等。</w:t>
      </w:r>
    </w:p>
    <w:p w14:paraId="5BD5FBE4" w14:textId="77777777" w:rsidR="001B5650" w:rsidRDefault="001B5650" w:rsidP="001B5650">
      <w:pPr>
        <w:adjustRightInd w:val="0"/>
        <w:snapToGrid w:val="0"/>
        <w:spacing w:line="360" w:lineRule="auto"/>
        <w:ind w:firstLineChars="200" w:firstLine="480"/>
        <w:rPr>
          <w:rFonts w:ascii="黑体" w:hAnsi="黑体"/>
          <w:bCs/>
          <w:sz w:val="24"/>
        </w:rPr>
      </w:pPr>
      <w:r>
        <w:rPr>
          <w:rFonts w:ascii="黑体" w:hAnsi="黑体" w:hint="eastAsia"/>
          <w:bCs/>
          <w:sz w:val="24"/>
        </w:rPr>
        <w:t>（七）临时报告</w:t>
      </w:r>
    </w:p>
    <w:p w14:paraId="3B2D33AB" w14:textId="77777777" w:rsidR="001B5650" w:rsidRDefault="001B5650" w:rsidP="001B5650">
      <w:pPr>
        <w:adjustRightInd w:val="0"/>
        <w:snapToGrid w:val="0"/>
        <w:spacing w:line="360" w:lineRule="auto"/>
        <w:ind w:firstLineChars="200" w:firstLine="480"/>
        <w:rPr>
          <w:rFonts w:ascii="黑体" w:hAnsi="黑体"/>
          <w:bCs/>
          <w:sz w:val="24"/>
        </w:rPr>
      </w:pPr>
      <w:r>
        <w:rPr>
          <w:rFonts w:ascii="黑体" w:hAnsi="黑体" w:hint="eastAsia"/>
          <w:bCs/>
          <w:sz w:val="24"/>
        </w:rPr>
        <w:t>本基金发生重大事件，有关信息披露义务人应依照《信息披露办法》的有关规定编制临时报告书，并登载在规定报刊和规定网站上。</w:t>
      </w:r>
    </w:p>
    <w:p w14:paraId="5023F8CB" w14:textId="77777777" w:rsidR="001B5650" w:rsidRDefault="001B5650" w:rsidP="001B5650">
      <w:pPr>
        <w:adjustRightInd w:val="0"/>
        <w:snapToGrid w:val="0"/>
        <w:spacing w:line="360" w:lineRule="auto"/>
        <w:ind w:firstLineChars="200" w:firstLine="480"/>
        <w:rPr>
          <w:rFonts w:ascii="黑体" w:hAnsi="黑体"/>
          <w:bCs/>
          <w:sz w:val="24"/>
        </w:rPr>
      </w:pPr>
      <w:r>
        <w:rPr>
          <w:rFonts w:ascii="黑体" w:hAnsi="黑体" w:hint="eastAsia"/>
          <w:bCs/>
          <w:sz w:val="24"/>
        </w:rPr>
        <w:t>前款所称重大事件，是指可能对基金份额持有人权益或者基金份额的价格产生重大影响的下列事件：</w:t>
      </w:r>
    </w:p>
    <w:p w14:paraId="0F0C5D24" w14:textId="77777777" w:rsidR="001B5650" w:rsidRDefault="001B5650" w:rsidP="001B5650">
      <w:pPr>
        <w:adjustRightInd w:val="0"/>
        <w:snapToGrid w:val="0"/>
        <w:spacing w:line="360" w:lineRule="auto"/>
        <w:ind w:firstLineChars="200" w:firstLine="480"/>
        <w:rPr>
          <w:rFonts w:ascii="宋体" w:hAnsi="宋体"/>
          <w:bCs/>
          <w:sz w:val="24"/>
        </w:rPr>
      </w:pPr>
      <w:r>
        <w:rPr>
          <w:rFonts w:ascii="宋体" w:hAnsi="宋体" w:hint="eastAsia"/>
          <w:bCs/>
          <w:sz w:val="24"/>
        </w:rPr>
        <w:t>1、基金份额持有人大会的召开及决定的事项；</w:t>
      </w:r>
    </w:p>
    <w:p w14:paraId="685DD5F0" w14:textId="77777777" w:rsidR="001B5650" w:rsidRDefault="001B5650" w:rsidP="001B5650">
      <w:pPr>
        <w:adjustRightInd w:val="0"/>
        <w:snapToGrid w:val="0"/>
        <w:spacing w:line="360" w:lineRule="auto"/>
        <w:ind w:firstLineChars="200" w:firstLine="480"/>
        <w:rPr>
          <w:rFonts w:ascii="宋体" w:hAnsi="宋体"/>
          <w:bCs/>
          <w:sz w:val="24"/>
        </w:rPr>
      </w:pPr>
      <w:r>
        <w:rPr>
          <w:rFonts w:ascii="宋体" w:hAnsi="宋体" w:hint="eastAsia"/>
          <w:bCs/>
          <w:sz w:val="24"/>
        </w:rPr>
        <w:t>2、基金合同终止、基金清算；</w:t>
      </w:r>
    </w:p>
    <w:p w14:paraId="72E54A4D" w14:textId="77777777" w:rsidR="001B5650" w:rsidRDefault="001B5650" w:rsidP="001B5650">
      <w:pPr>
        <w:adjustRightInd w:val="0"/>
        <w:snapToGrid w:val="0"/>
        <w:spacing w:line="360" w:lineRule="auto"/>
        <w:ind w:firstLineChars="200" w:firstLine="480"/>
        <w:rPr>
          <w:rFonts w:ascii="宋体" w:hAnsi="宋体"/>
          <w:bCs/>
          <w:sz w:val="24"/>
        </w:rPr>
      </w:pPr>
      <w:r>
        <w:rPr>
          <w:rFonts w:ascii="宋体" w:hAnsi="宋体" w:hint="eastAsia"/>
          <w:bCs/>
          <w:sz w:val="24"/>
        </w:rPr>
        <w:t>3、转换基金运作方式、基金合并；</w:t>
      </w:r>
    </w:p>
    <w:p w14:paraId="61605E50" w14:textId="77777777" w:rsidR="001B5650" w:rsidRDefault="001B5650" w:rsidP="001B5650">
      <w:pPr>
        <w:adjustRightInd w:val="0"/>
        <w:snapToGrid w:val="0"/>
        <w:spacing w:line="360" w:lineRule="auto"/>
        <w:ind w:firstLineChars="200" w:firstLine="480"/>
        <w:rPr>
          <w:rFonts w:ascii="宋体" w:hAnsi="宋体"/>
          <w:bCs/>
          <w:sz w:val="24"/>
        </w:rPr>
      </w:pPr>
      <w:r>
        <w:rPr>
          <w:rFonts w:ascii="宋体" w:hAnsi="宋体" w:hint="eastAsia"/>
          <w:bCs/>
          <w:sz w:val="24"/>
        </w:rPr>
        <w:t>4、更换基金管理人、基金托管人、基金份额登记机构，基金改聘会计师事务所；</w:t>
      </w:r>
    </w:p>
    <w:p w14:paraId="490F0418" w14:textId="77777777" w:rsidR="001B5650" w:rsidRDefault="001B5650" w:rsidP="001B5650">
      <w:pPr>
        <w:adjustRightInd w:val="0"/>
        <w:snapToGrid w:val="0"/>
        <w:spacing w:line="360" w:lineRule="auto"/>
        <w:ind w:firstLineChars="200" w:firstLine="480"/>
        <w:rPr>
          <w:rFonts w:ascii="宋体" w:hAnsi="宋体"/>
          <w:bCs/>
          <w:sz w:val="24"/>
        </w:rPr>
      </w:pPr>
      <w:r>
        <w:rPr>
          <w:rFonts w:ascii="宋体" w:hAnsi="宋体" w:hint="eastAsia"/>
          <w:bCs/>
          <w:sz w:val="24"/>
        </w:rPr>
        <w:t>5、基金管理人委托基金服务机构代为办理基金的份额登记、核算、估值等事项，基金托管人委托基金服务机构代为办理基金的核算、估值、复核等事项；</w:t>
      </w:r>
    </w:p>
    <w:p w14:paraId="601CEF2C" w14:textId="77777777" w:rsidR="001B5650" w:rsidRDefault="001B5650" w:rsidP="001B5650">
      <w:pPr>
        <w:adjustRightInd w:val="0"/>
        <w:snapToGrid w:val="0"/>
        <w:spacing w:line="360" w:lineRule="auto"/>
        <w:ind w:firstLineChars="200" w:firstLine="480"/>
        <w:rPr>
          <w:rFonts w:ascii="宋体" w:hAnsi="宋体"/>
          <w:bCs/>
          <w:sz w:val="24"/>
        </w:rPr>
      </w:pPr>
      <w:r>
        <w:rPr>
          <w:rFonts w:ascii="宋体" w:hAnsi="宋体" w:hint="eastAsia"/>
          <w:bCs/>
          <w:sz w:val="24"/>
        </w:rPr>
        <w:t>6、基金管理人、基金托管人的法定名称、住所发生变更；</w:t>
      </w:r>
    </w:p>
    <w:p w14:paraId="51105EBF" w14:textId="77777777" w:rsidR="001B5650" w:rsidRDefault="001B5650" w:rsidP="001B5650">
      <w:pPr>
        <w:adjustRightInd w:val="0"/>
        <w:snapToGrid w:val="0"/>
        <w:spacing w:line="360" w:lineRule="auto"/>
        <w:ind w:firstLineChars="200" w:firstLine="480"/>
        <w:rPr>
          <w:rFonts w:ascii="宋体" w:hAnsi="宋体"/>
          <w:bCs/>
          <w:sz w:val="24"/>
        </w:rPr>
      </w:pPr>
      <w:r>
        <w:rPr>
          <w:rFonts w:ascii="宋体" w:hAnsi="宋体" w:hint="eastAsia"/>
          <w:bCs/>
          <w:sz w:val="24"/>
        </w:rPr>
        <w:t>7、基金管理人变更持有百分之五以上股权的股东、基金管理人的实际控制人变更；</w:t>
      </w:r>
    </w:p>
    <w:p w14:paraId="7C0FB793" w14:textId="77777777" w:rsidR="001B5650" w:rsidRDefault="001B5650" w:rsidP="001B5650">
      <w:pPr>
        <w:adjustRightInd w:val="0"/>
        <w:snapToGrid w:val="0"/>
        <w:spacing w:line="360" w:lineRule="auto"/>
        <w:ind w:firstLineChars="200" w:firstLine="480"/>
        <w:rPr>
          <w:rFonts w:ascii="宋体" w:hAnsi="宋体"/>
          <w:bCs/>
          <w:sz w:val="24"/>
        </w:rPr>
      </w:pPr>
      <w:r>
        <w:rPr>
          <w:rFonts w:ascii="宋体" w:hAnsi="宋体" w:hint="eastAsia"/>
          <w:bCs/>
          <w:sz w:val="24"/>
        </w:rPr>
        <w:t>8、基金募集期延长或提前结束募集；</w:t>
      </w:r>
    </w:p>
    <w:p w14:paraId="02027BB7" w14:textId="77777777" w:rsidR="001B5650" w:rsidRDefault="001B5650" w:rsidP="001B5650">
      <w:pPr>
        <w:adjustRightInd w:val="0"/>
        <w:snapToGrid w:val="0"/>
        <w:spacing w:line="360" w:lineRule="auto"/>
        <w:ind w:firstLineChars="200" w:firstLine="480"/>
        <w:rPr>
          <w:rFonts w:ascii="宋体" w:hAnsi="宋体"/>
          <w:bCs/>
          <w:sz w:val="24"/>
        </w:rPr>
      </w:pPr>
      <w:r>
        <w:rPr>
          <w:rFonts w:ascii="宋体" w:hAnsi="宋体"/>
          <w:bCs/>
          <w:sz w:val="24"/>
        </w:rPr>
        <w:t>9</w:t>
      </w:r>
      <w:r>
        <w:rPr>
          <w:rFonts w:ascii="宋体" w:hAnsi="宋体" w:hint="eastAsia"/>
          <w:bCs/>
          <w:sz w:val="24"/>
        </w:rPr>
        <w:t>、基金管理人的高级管理人员、基金经理和基金托管人专门基金托管部门负责人发生变动；</w:t>
      </w:r>
    </w:p>
    <w:p w14:paraId="3450D1F4" w14:textId="77777777" w:rsidR="001B5650" w:rsidRDefault="001B5650" w:rsidP="001B5650">
      <w:pPr>
        <w:adjustRightInd w:val="0"/>
        <w:snapToGrid w:val="0"/>
        <w:spacing w:line="360" w:lineRule="auto"/>
        <w:ind w:firstLineChars="200" w:firstLine="480"/>
        <w:rPr>
          <w:rFonts w:ascii="宋体" w:hAnsi="宋体"/>
          <w:bCs/>
          <w:sz w:val="24"/>
        </w:rPr>
      </w:pPr>
      <w:r>
        <w:rPr>
          <w:rFonts w:ascii="宋体" w:hAnsi="宋体"/>
          <w:bCs/>
          <w:sz w:val="24"/>
        </w:rPr>
        <w:t>10</w:t>
      </w:r>
      <w:r>
        <w:rPr>
          <w:rFonts w:ascii="宋体" w:hAnsi="宋体" w:hint="eastAsia"/>
          <w:bCs/>
          <w:sz w:val="24"/>
        </w:rPr>
        <w:t>、基金管理人的董事在最近12个月内变更超过百分之五十，基金管理人、基金托管人专门基金托管部门的主要业务人员在最近12个月内变动超过百分之三十；</w:t>
      </w:r>
    </w:p>
    <w:p w14:paraId="1B935982" w14:textId="77777777" w:rsidR="001B5650" w:rsidRDefault="001B5650" w:rsidP="001B5650">
      <w:pPr>
        <w:adjustRightInd w:val="0"/>
        <w:snapToGrid w:val="0"/>
        <w:spacing w:line="360" w:lineRule="auto"/>
        <w:ind w:firstLineChars="200" w:firstLine="480"/>
        <w:rPr>
          <w:rFonts w:ascii="宋体" w:hAnsi="宋体"/>
          <w:bCs/>
          <w:sz w:val="24"/>
        </w:rPr>
      </w:pPr>
      <w:r>
        <w:rPr>
          <w:rFonts w:ascii="宋体" w:hAnsi="宋体" w:hint="eastAsia"/>
          <w:bCs/>
          <w:sz w:val="24"/>
        </w:rPr>
        <w:t>1</w:t>
      </w:r>
      <w:r>
        <w:rPr>
          <w:rFonts w:ascii="宋体" w:hAnsi="宋体"/>
          <w:bCs/>
          <w:sz w:val="24"/>
        </w:rPr>
        <w:t>1</w:t>
      </w:r>
      <w:r>
        <w:rPr>
          <w:rFonts w:ascii="宋体" w:hAnsi="宋体" w:hint="eastAsia"/>
          <w:bCs/>
          <w:sz w:val="24"/>
        </w:rPr>
        <w:t>、涉及基金财产、基金管理业务、基金托管业务的诉讼或仲裁；</w:t>
      </w:r>
    </w:p>
    <w:p w14:paraId="7EDD8EDD" w14:textId="77777777" w:rsidR="001B5650" w:rsidRDefault="001B5650" w:rsidP="001B5650">
      <w:pPr>
        <w:adjustRightInd w:val="0"/>
        <w:snapToGrid w:val="0"/>
        <w:spacing w:line="360" w:lineRule="auto"/>
        <w:ind w:firstLineChars="200" w:firstLine="480"/>
        <w:rPr>
          <w:rFonts w:ascii="宋体" w:hAnsi="宋体"/>
          <w:bCs/>
          <w:sz w:val="24"/>
        </w:rPr>
      </w:pPr>
      <w:r>
        <w:rPr>
          <w:rFonts w:ascii="宋体" w:hAnsi="宋体" w:hint="eastAsia"/>
          <w:bCs/>
          <w:sz w:val="24"/>
        </w:rPr>
        <w:t>1</w:t>
      </w:r>
      <w:r>
        <w:rPr>
          <w:rFonts w:ascii="宋体" w:hAnsi="宋体"/>
          <w:bCs/>
          <w:sz w:val="24"/>
        </w:rPr>
        <w:t>2</w:t>
      </w:r>
      <w:r>
        <w:rPr>
          <w:rFonts w:ascii="宋体" w:hAnsi="宋体" w:hint="eastAsia"/>
          <w:bCs/>
          <w:sz w:val="24"/>
        </w:rPr>
        <w:t>、基金管理人或其高级管理人员、基金经理因基金管理业务相关行为受到</w:t>
      </w:r>
      <w:r>
        <w:rPr>
          <w:rFonts w:ascii="宋体" w:hAnsi="宋体" w:hint="eastAsia"/>
          <w:bCs/>
          <w:sz w:val="24"/>
        </w:rPr>
        <w:lastRenderedPageBreak/>
        <w:t>重大行政处罚、刑事处罚，基金托管人或其专门基金托管部门负责人因基金托管业务相关行为受到重大行政处罚、刑事处罚；</w:t>
      </w:r>
    </w:p>
    <w:p w14:paraId="14BEAECC" w14:textId="77777777" w:rsidR="001B5650" w:rsidRDefault="001B5650" w:rsidP="001B5650">
      <w:pPr>
        <w:adjustRightInd w:val="0"/>
        <w:snapToGrid w:val="0"/>
        <w:spacing w:line="360" w:lineRule="auto"/>
        <w:ind w:firstLineChars="200" w:firstLine="480"/>
        <w:rPr>
          <w:rFonts w:ascii="宋体" w:hAnsi="宋体"/>
          <w:bCs/>
          <w:sz w:val="24"/>
        </w:rPr>
      </w:pPr>
      <w:r>
        <w:rPr>
          <w:rFonts w:ascii="宋体" w:hAnsi="宋体" w:hint="eastAsia"/>
          <w:bCs/>
          <w:sz w:val="24"/>
        </w:rPr>
        <w:t>1</w:t>
      </w:r>
      <w:r>
        <w:rPr>
          <w:rFonts w:ascii="宋体" w:hAnsi="宋体"/>
          <w:bCs/>
          <w:sz w:val="24"/>
        </w:rPr>
        <w:t>3</w:t>
      </w:r>
      <w:r>
        <w:rPr>
          <w:rFonts w:ascii="宋体" w:hAnsi="宋体" w:hint="eastAsia"/>
          <w:bCs/>
          <w:sz w:val="24"/>
        </w:rPr>
        <w:t>、基金管理人运用基金财产买卖基金管理人、基金托管人及其控股股东、实际控制人或者与其有重大利害关系的公司发行的证券或者承销期内承销的证券，或者从事其他重大关联交易事项，但投资于目标ETF及中国证监会另有规定的除外；</w:t>
      </w:r>
    </w:p>
    <w:p w14:paraId="72447AFC" w14:textId="77777777" w:rsidR="001B5650" w:rsidRDefault="001B5650" w:rsidP="001B5650">
      <w:pPr>
        <w:adjustRightInd w:val="0"/>
        <w:snapToGrid w:val="0"/>
        <w:spacing w:line="360" w:lineRule="auto"/>
        <w:ind w:firstLineChars="200" w:firstLine="480"/>
        <w:rPr>
          <w:rFonts w:ascii="宋体" w:hAnsi="宋体"/>
          <w:bCs/>
          <w:sz w:val="24"/>
        </w:rPr>
      </w:pPr>
      <w:r>
        <w:rPr>
          <w:rFonts w:ascii="宋体" w:hAnsi="宋体" w:hint="eastAsia"/>
          <w:bCs/>
          <w:sz w:val="24"/>
        </w:rPr>
        <w:t>1</w:t>
      </w:r>
      <w:r>
        <w:rPr>
          <w:rFonts w:ascii="宋体" w:hAnsi="宋体"/>
          <w:bCs/>
          <w:sz w:val="24"/>
        </w:rPr>
        <w:t>4</w:t>
      </w:r>
      <w:r>
        <w:rPr>
          <w:rFonts w:ascii="宋体" w:hAnsi="宋体" w:hint="eastAsia"/>
          <w:bCs/>
          <w:sz w:val="24"/>
        </w:rPr>
        <w:t>、基金收益分配事项；</w:t>
      </w:r>
    </w:p>
    <w:p w14:paraId="482EFC33" w14:textId="77777777" w:rsidR="001B5650" w:rsidRDefault="001B5650" w:rsidP="001B5650">
      <w:pPr>
        <w:adjustRightInd w:val="0"/>
        <w:snapToGrid w:val="0"/>
        <w:spacing w:line="360" w:lineRule="auto"/>
        <w:ind w:firstLineChars="200" w:firstLine="480"/>
        <w:rPr>
          <w:rFonts w:ascii="宋体" w:hAnsi="宋体"/>
          <w:bCs/>
          <w:sz w:val="24"/>
        </w:rPr>
      </w:pPr>
      <w:r>
        <w:rPr>
          <w:rFonts w:ascii="宋体" w:hAnsi="宋体" w:hint="eastAsia"/>
          <w:bCs/>
          <w:sz w:val="24"/>
        </w:rPr>
        <w:t>1</w:t>
      </w:r>
      <w:r>
        <w:rPr>
          <w:rFonts w:ascii="宋体" w:hAnsi="宋体"/>
          <w:bCs/>
          <w:sz w:val="24"/>
        </w:rPr>
        <w:t>5</w:t>
      </w:r>
      <w:r>
        <w:rPr>
          <w:rFonts w:ascii="宋体" w:hAnsi="宋体" w:hint="eastAsia"/>
          <w:bCs/>
          <w:sz w:val="24"/>
        </w:rPr>
        <w:t>、管理费、托管费、销售服务费、申购费、赎回费等费用计提标准、计提方式和费率发生变更；</w:t>
      </w:r>
    </w:p>
    <w:p w14:paraId="4D8E04AC" w14:textId="77777777" w:rsidR="001B5650" w:rsidRDefault="001B5650" w:rsidP="001B5650">
      <w:pPr>
        <w:adjustRightInd w:val="0"/>
        <w:snapToGrid w:val="0"/>
        <w:spacing w:line="360" w:lineRule="auto"/>
        <w:ind w:firstLineChars="200" w:firstLine="480"/>
        <w:rPr>
          <w:rFonts w:ascii="宋体" w:hAnsi="宋体"/>
          <w:bCs/>
          <w:sz w:val="24"/>
        </w:rPr>
      </w:pPr>
      <w:r>
        <w:rPr>
          <w:rFonts w:ascii="宋体" w:hAnsi="宋体" w:hint="eastAsia"/>
          <w:bCs/>
          <w:sz w:val="24"/>
        </w:rPr>
        <w:t>1</w:t>
      </w:r>
      <w:r>
        <w:rPr>
          <w:rFonts w:ascii="宋体" w:hAnsi="宋体"/>
          <w:bCs/>
          <w:sz w:val="24"/>
        </w:rPr>
        <w:t>6</w:t>
      </w:r>
      <w:r>
        <w:rPr>
          <w:rFonts w:ascii="宋体" w:hAnsi="宋体" w:hint="eastAsia"/>
          <w:bCs/>
          <w:sz w:val="24"/>
        </w:rPr>
        <w:t>、任一类别基金份额净值估值错误达该类基金份额净值百分之零点五；</w:t>
      </w:r>
    </w:p>
    <w:p w14:paraId="5C5613A6" w14:textId="77777777" w:rsidR="001B5650" w:rsidRDefault="001B5650" w:rsidP="001B5650">
      <w:pPr>
        <w:adjustRightInd w:val="0"/>
        <w:snapToGrid w:val="0"/>
        <w:spacing w:line="360" w:lineRule="auto"/>
        <w:ind w:firstLineChars="200" w:firstLine="480"/>
        <w:rPr>
          <w:rFonts w:ascii="宋体" w:hAnsi="宋体"/>
          <w:bCs/>
          <w:sz w:val="24"/>
        </w:rPr>
      </w:pPr>
      <w:r>
        <w:rPr>
          <w:rFonts w:ascii="宋体" w:hAnsi="宋体" w:hint="eastAsia"/>
          <w:bCs/>
          <w:sz w:val="24"/>
        </w:rPr>
        <w:t>1</w:t>
      </w:r>
      <w:r>
        <w:rPr>
          <w:rFonts w:ascii="宋体" w:hAnsi="宋体"/>
          <w:bCs/>
          <w:sz w:val="24"/>
        </w:rPr>
        <w:t>7</w:t>
      </w:r>
      <w:r>
        <w:rPr>
          <w:rFonts w:ascii="宋体" w:hAnsi="宋体" w:hint="eastAsia"/>
          <w:bCs/>
          <w:sz w:val="24"/>
        </w:rPr>
        <w:t>、本基金开始办理申购、赎回；</w:t>
      </w:r>
    </w:p>
    <w:p w14:paraId="6D3CA6FC" w14:textId="77777777" w:rsidR="001B5650" w:rsidRDefault="001B5650" w:rsidP="001B5650">
      <w:pPr>
        <w:adjustRightInd w:val="0"/>
        <w:snapToGrid w:val="0"/>
        <w:spacing w:line="360" w:lineRule="auto"/>
        <w:ind w:firstLineChars="200" w:firstLine="480"/>
        <w:rPr>
          <w:rFonts w:ascii="宋体" w:hAnsi="宋体"/>
          <w:bCs/>
          <w:sz w:val="24"/>
        </w:rPr>
      </w:pPr>
      <w:r>
        <w:rPr>
          <w:rFonts w:ascii="宋体" w:hAnsi="宋体" w:hint="eastAsia"/>
          <w:bCs/>
          <w:sz w:val="24"/>
        </w:rPr>
        <w:t>1</w:t>
      </w:r>
      <w:r>
        <w:rPr>
          <w:rFonts w:ascii="宋体" w:hAnsi="宋体"/>
          <w:bCs/>
          <w:sz w:val="24"/>
        </w:rPr>
        <w:t>8</w:t>
      </w:r>
      <w:r>
        <w:rPr>
          <w:rFonts w:ascii="宋体" w:hAnsi="宋体" w:hint="eastAsia"/>
          <w:bCs/>
          <w:sz w:val="24"/>
        </w:rPr>
        <w:t>、本基金发生巨额赎回并延期办理；</w:t>
      </w:r>
    </w:p>
    <w:p w14:paraId="4ADF1007" w14:textId="77777777" w:rsidR="001B5650" w:rsidRDefault="001B5650" w:rsidP="001B5650">
      <w:pPr>
        <w:adjustRightInd w:val="0"/>
        <w:snapToGrid w:val="0"/>
        <w:spacing w:line="360" w:lineRule="auto"/>
        <w:ind w:firstLineChars="200" w:firstLine="480"/>
        <w:rPr>
          <w:rFonts w:ascii="宋体" w:hAnsi="宋体"/>
          <w:bCs/>
          <w:sz w:val="24"/>
        </w:rPr>
      </w:pPr>
      <w:r>
        <w:rPr>
          <w:rFonts w:ascii="宋体" w:hAnsi="宋体"/>
          <w:bCs/>
          <w:sz w:val="24"/>
        </w:rPr>
        <w:t>19、</w:t>
      </w:r>
      <w:r>
        <w:rPr>
          <w:rFonts w:ascii="宋体" w:hAnsi="宋体" w:hint="eastAsia"/>
          <w:bCs/>
          <w:sz w:val="24"/>
        </w:rPr>
        <w:t>本基金连续发生巨额赎回并暂停接受赎回申请或延缓支付赎回款项；</w:t>
      </w:r>
    </w:p>
    <w:p w14:paraId="6A76A765" w14:textId="77777777" w:rsidR="001B5650" w:rsidRDefault="001B5650" w:rsidP="001B5650">
      <w:pPr>
        <w:adjustRightInd w:val="0"/>
        <w:snapToGrid w:val="0"/>
        <w:spacing w:line="360" w:lineRule="auto"/>
        <w:ind w:firstLineChars="200" w:firstLine="480"/>
        <w:rPr>
          <w:rFonts w:ascii="宋体" w:hAnsi="宋体"/>
          <w:bCs/>
          <w:sz w:val="24"/>
        </w:rPr>
      </w:pPr>
      <w:r>
        <w:rPr>
          <w:rFonts w:ascii="宋体" w:hAnsi="宋体"/>
          <w:bCs/>
          <w:sz w:val="24"/>
        </w:rPr>
        <w:t>20</w:t>
      </w:r>
      <w:r>
        <w:rPr>
          <w:rFonts w:ascii="宋体" w:hAnsi="宋体" w:hint="eastAsia"/>
          <w:bCs/>
          <w:sz w:val="24"/>
        </w:rPr>
        <w:t>、本基金暂停接受申购、赎回申请或重新接受申购、赎回申请；</w:t>
      </w:r>
    </w:p>
    <w:p w14:paraId="6500B923" w14:textId="77777777" w:rsidR="001B5650" w:rsidRDefault="001B5650" w:rsidP="001B5650">
      <w:pPr>
        <w:adjustRightInd w:val="0"/>
        <w:snapToGrid w:val="0"/>
        <w:spacing w:line="360" w:lineRule="auto"/>
        <w:ind w:firstLineChars="200" w:firstLine="480"/>
        <w:rPr>
          <w:rFonts w:ascii="宋体" w:hAnsi="宋体"/>
          <w:bCs/>
          <w:sz w:val="24"/>
        </w:rPr>
      </w:pPr>
      <w:r>
        <w:rPr>
          <w:rFonts w:ascii="宋体" w:hAnsi="宋体"/>
          <w:bCs/>
          <w:sz w:val="24"/>
        </w:rPr>
        <w:t>21</w:t>
      </w:r>
      <w:r>
        <w:rPr>
          <w:rFonts w:ascii="宋体" w:hAnsi="宋体" w:hint="eastAsia"/>
          <w:bCs/>
          <w:sz w:val="24"/>
        </w:rPr>
        <w:t>、基金推出新业务或服务；</w:t>
      </w:r>
    </w:p>
    <w:p w14:paraId="67CB5FAF" w14:textId="77777777" w:rsidR="001B5650" w:rsidRDefault="001B5650" w:rsidP="001B5650">
      <w:pPr>
        <w:adjustRightInd w:val="0"/>
        <w:snapToGrid w:val="0"/>
        <w:spacing w:line="360" w:lineRule="auto"/>
        <w:ind w:firstLineChars="200" w:firstLine="480"/>
        <w:rPr>
          <w:rFonts w:ascii="宋体" w:hAnsi="宋体"/>
          <w:bCs/>
          <w:sz w:val="24"/>
        </w:rPr>
      </w:pPr>
      <w:r>
        <w:rPr>
          <w:rFonts w:ascii="宋体" w:hAnsi="宋体" w:hint="eastAsia"/>
          <w:bCs/>
          <w:sz w:val="24"/>
        </w:rPr>
        <w:t>2</w:t>
      </w:r>
      <w:r>
        <w:rPr>
          <w:rFonts w:ascii="宋体" w:hAnsi="宋体"/>
          <w:bCs/>
          <w:sz w:val="24"/>
        </w:rPr>
        <w:t>2</w:t>
      </w:r>
      <w:r>
        <w:rPr>
          <w:rFonts w:ascii="宋体" w:hAnsi="宋体" w:hint="eastAsia"/>
          <w:bCs/>
          <w:sz w:val="24"/>
        </w:rPr>
        <w:t>、调整基金份额类别的设置；</w:t>
      </w:r>
    </w:p>
    <w:p w14:paraId="0022B2F7" w14:textId="77777777" w:rsidR="001B5650" w:rsidRDefault="001B5650" w:rsidP="001B5650">
      <w:pPr>
        <w:adjustRightInd w:val="0"/>
        <w:snapToGrid w:val="0"/>
        <w:spacing w:line="360" w:lineRule="auto"/>
        <w:ind w:firstLineChars="200" w:firstLine="480"/>
        <w:rPr>
          <w:rFonts w:ascii="宋体" w:hAnsi="宋体"/>
          <w:bCs/>
          <w:sz w:val="24"/>
        </w:rPr>
      </w:pPr>
      <w:r>
        <w:rPr>
          <w:rFonts w:ascii="宋体" w:hAnsi="宋体" w:hint="eastAsia"/>
          <w:bCs/>
          <w:sz w:val="24"/>
        </w:rPr>
        <w:t>2</w:t>
      </w:r>
      <w:r>
        <w:rPr>
          <w:rFonts w:ascii="宋体" w:hAnsi="宋体"/>
          <w:bCs/>
          <w:sz w:val="24"/>
        </w:rPr>
        <w:t>3</w:t>
      </w:r>
      <w:r>
        <w:rPr>
          <w:rFonts w:ascii="宋体" w:hAnsi="宋体" w:hint="eastAsia"/>
          <w:bCs/>
          <w:sz w:val="24"/>
        </w:rPr>
        <w:t>、发生涉及基金申购、赎回事项调整或潜在影响投资者赎回等重大事项时；</w:t>
      </w:r>
    </w:p>
    <w:p w14:paraId="4E3860E8" w14:textId="77777777" w:rsidR="001B5650" w:rsidRDefault="001B5650" w:rsidP="001B5650">
      <w:pPr>
        <w:adjustRightInd w:val="0"/>
        <w:snapToGrid w:val="0"/>
        <w:spacing w:line="360" w:lineRule="auto"/>
        <w:ind w:firstLineChars="200" w:firstLine="480"/>
        <w:rPr>
          <w:rFonts w:ascii="宋体" w:hAnsi="宋体"/>
          <w:bCs/>
          <w:sz w:val="24"/>
        </w:rPr>
      </w:pPr>
      <w:r>
        <w:rPr>
          <w:rFonts w:ascii="宋体" w:hAnsi="宋体" w:hint="eastAsia"/>
          <w:bCs/>
          <w:sz w:val="24"/>
        </w:rPr>
        <w:t>2</w:t>
      </w:r>
      <w:r>
        <w:rPr>
          <w:rFonts w:ascii="宋体" w:hAnsi="宋体"/>
          <w:bCs/>
          <w:sz w:val="24"/>
        </w:rPr>
        <w:t>4</w:t>
      </w:r>
      <w:r>
        <w:rPr>
          <w:rFonts w:ascii="宋体" w:hAnsi="宋体" w:hint="eastAsia"/>
          <w:bCs/>
          <w:sz w:val="24"/>
        </w:rPr>
        <w:t>、基金管理人采用摆动定价机制进行估值；</w:t>
      </w:r>
    </w:p>
    <w:p w14:paraId="63EA8071" w14:textId="130E3D8E" w:rsidR="001B5650" w:rsidRDefault="001B5650" w:rsidP="001B5650">
      <w:pPr>
        <w:adjustRightInd w:val="0"/>
        <w:snapToGrid w:val="0"/>
        <w:spacing w:line="360" w:lineRule="auto"/>
        <w:ind w:firstLineChars="200" w:firstLine="480"/>
        <w:rPr>
          <w:rFonts w:ascii="宋体" w:hAnsi="宋体"/>
          <w:bCs/>
          <w:sz w:val="24"/>
        </w:rPr>
      </w:pPr>
      <w:r>
        <w:rPr>
          <w:rFonts w:ascii="宋体" w:hAnsi="宋体" w:hint="eastAsia"/>
          <w:bCs/>
          <w:sz w:val="24"/>
        </w:rPr>
        <w:t>2</w:t>
      </w:r>
      <w:r>
        <w:rPr>
          <w:rFonts w:ascii="宋体" w:hAnsi="宋体"/>
          <w:bCs/>
          <w:sz w:val="24"/>
        </w:rPr>
        <w:t>5</w:t>
      </w:r>
      <w:r>
        <w:rPr>
          <w:rFonts w:ascii="宋体" w:hAnsi="宋体" w:hint="eastAsia"/>
          <w:bCs/>
          <w:sz w:val="24"/>
        </w:rPr>
        <w:t>、目标ETF变更</w:t>
      </w:r>
      <w:r w:rsidR="00153149">
        <w:rPr>
          <w:rFonts w:ascii="宋体" w:hAnsi="宋体" w:hint="eastAsia"/>
          <w:bCs/>
          <w:sz w:val="24"/>
        </w:rPr>
        <w:t>或标的指数变更</w:t>
      </w:r>
      <w:r>
        <w:rPr>
          <w:rFonts w:ascii="宋体" w:hAnsi="宋体" w:hint="eastAsia"/>
          <w:bCs/>
          <w:sz w:val="24"/>
        </w:rPr>
        <w:t>；</w:t>
      </w:r>
    </w:p>
    <w:p w14:paraId="364E6750" w14:textId="77777777" w:rsidR="001B5650" w:rsidRDefault="001B5650" w:rsidP="001B5650">
      <w:pPr>
        <w:adjustRightInd w:val="0"/>
        <w:snapToGrid w:val="0"/>
        <w:spacing w:line="360" w:lineRule="auto"/>
        <w:ind w:firstLineChars="200" w:firstLine="480"/>
        <w:rPr>
          <w:rFonts w:ascii="宋体" w:hAnsi="宋体"/>
          <w:bCs/>
          <w:sz w:val="24"/>
        </w:rPr>
      </w:pPr>
      <w:r>
        <w:rPr>
          <w:rFonts w:ascii="宋体" w:hAnsi="宋体"/>
          <w:bCs/>
          <w:sz w:val="24"/>
        </w:rPr>
        <w:t>26</w:t>
      </w:r>
      <w:r>
        <w:rPr>
          <w:rFonts w:ascii="宋体" w:hAnsi="宋体" w:hint="eastAsia"/>
          <w:bCs/>
          <w:sz w:val="24"/>
        </w:rPr>
        <w:t>、基金信息披露义务人认为可能对基金份额持有人权益或者基金份额的价格产生重大影响的其他事项或中国证监会规定或基金合同约定的其他事项。</w:t>
      </w:r>
    </w:p>
    <w:p w14:paraId="78DE2FFE" w14:textId="77777777" w:rsidR="001B5650" w:rsidRDefault="001B5650" w:rsidP="001B5650">
      <w:pPr>
        <w:adjustRightInd w:val="0"/>
        <w:snapToGrid w:val="0"/>
        <w:spacing w:line="360" w:lineRule="auto"/>
        <w:ind w:firstLineChars="200" w:firstLine="480"/>
        <w:rPr>
          <w:rFonts w:ascii="黑体" w:hAnsi="黑体"/>
          <w:bCs/>
          <w:sz w:val="24"/>
        </w:rPr>
      </w:pPr>
      <w:r>
        <w:rPr>
          <w:rFonts w:ascii="黑体" w:hAnsi="黑体" w:hint="eastAsia"/>
          <w:bCs/>
          <w:sz w:val="24"/>
        </w:rPr>
        <w:t>（八）澄清公告</w:t>
      </w:r>
    </w:p>
    <w:p w14:paraId="7EE40B7F" w14:textId="77777777" w:rsidR="001B5650" w:rsidRDefault="001B5650" w:rsidP="001B5650">
      <w:pPr>
        <w:adjustRightInd w:val="0"/>
        <w:snapToGrid w:val="0"/>
        <w:spacing w:line="360" w:lineRule="auto"/>
        <w:ind w:firstLineChars="200" w:firstLine="480"/>
        <w:rPr>
          <w:rFonts w:ascii="黑体" w:hAnsi="黑体"/>
          <w:bCs/>
          <w:sz w:val="24"/>
        </w:rPr>
      </w:pPr>
      <w:r>
        <w:rPr>
          <w:rFonts w:ascii="黑体" w:hAnsi="黑体" w:hint="eastAsia"/>
          <w:bCs/>
          <w:sz w:val="24"/>
        </w:rPr>
        <w:t>在基金合同存续期限内，任何公共媒介中出现的或者在市场上流传的消息可能对基金份额价格产生误导性影响或者引起较大波动，以及可能损害基金份额持有人权益的，相关信息披露义务人知悉后应当立即对该消息进行公开澄清。</w:t>
      </w:r>
    </w:p>
    <w:p w14:paraId="0D99FA74" w14:textId="77777777" w:rsidR="001B5650" w:rsidRDefault="001B5650" w:rsidP="001B5650">
      <w:pPr>
        <w:adjustRightInd w:val="0"/>
        <w:snapToGrid w:val="0"/>
        <w:spacing w:line="360" w:lineRule="auto"/>
        <w:ind w:firstLineChars="200" w:firstLine="480"/>
        <w:rPr>
          <w:rFonts w:ascii="黑体" w:hAnsi="黑体"/>
          <w:bCs/>
          <w:sz w:val="24"/>
        </w:rPr>
      </w:pPr>
      <w:r>
        <w:rPr>
          <w:rFonts w:ascii="黑体" w:hAnsi="黑体" w:hint="eastAsia"/>
          <w:bCs/>
          <w:sz w:val="24"/>
        </w:rPr>
        <w:t>（九）清算报告</w:t>
      </w:r>
    </w:p>
    <w:p w14:paraId="6729FC98" w14:textId="77777777" w:rsidR="001B5650" w:rsidRDefault="001B5650" w:rsidP="001B5650">
      <w:pPr>
        <w:adjustRightInd w:val="0"/>
        <w:snapToGrid w:val="0"/>
        <w:spacing w:line="360" w:lineRule="auto"/>
        <w:ind w:firstLineChars="200" w:firstLine="480"/>
        <w:rPr>
          <w:rFonts w:ascii="黑体" w:hAnsi="黑体"/>
          <w:bCs/>
          <w:sz w:val="24"/>
        </w:rPr>
      </w:pPr>
      <w:r>
        <w:rPr>
          <w:rFonts w:ascii="黑体" w:hAnsi="黑体" w:hint="eastAsia"/>
          <w:bCs/>
          <w:sz w:val="24"/>
        </w:rPr>
        <w:t>基金合同终止的，基金管理人应当依法组织基金财产清算小组对基金财产进行清算并作出清算报告。基金财产清算小组应当将清算报告登载在规定网站上，并将清算报告提示性公告登载在规定报刊上。</w:t>
      </w:r>
    </w:p>
    <w:p w14:paraId="50CC45DC" w14:textId="77777777" w:rsidR="001B5650" w:rsidRDefault="001B5650" w:rsidP="001B5650">
      <w:pPr>
        <w:adjustRightInd w:val="0"/>
        <w:snapToGrid w:val="0"/>
        <w:spacing w:line="360" w:lineRule="auto"/>
        <w:ind w:firstLineChars="200" w:firstLine="480"/>
        <w:rPr>
          <w:rFonts w:ascii="黑体" w:hAnsi="黑体"/>
          <w:bCs/>
          <w:sz w:val="24"/>
        </w:rPr>
      </w:pPr>
      <w:r>
        <w:rPr>
          <w:rFonts w:ascii="黑体" w:hAnsi="黑体" w:hint="eastAsia"/>
          <w:bCs/>
          <w:sz w:val="24"/>
        </w:rPr>
        <w:t>（十）基金份额持有人大会决议</w:t>
      </w:r>
    </w:p>
    <w:p w14:paraId="47A0DF50" w14:textId="77777777" w:rsidR="001B5650" w:rsidRDefault="001B5650" w:rsidP="001B5650">
      <w:pPr>
        <w:adjustRightInd w:val="0"/>
        <w:snapToGrid w:val="0"/>
        <w:spacing w:line="360" w:lineRule="auto"/>
        <w:ind w:firstLineChars="200" w:firstLine="480"/>
        <w:rPr>
          <w:rFonts w:ascii="黑体" w:hAnsi="黑体"/>
          <w:bCs/>
          <w:sz w:val="24"/>
        </w:rPr>
      </w:pPr>
      <w:r>
        <w:rPr>
          <w:rFonts w:ascii="黑体" w:hAnsi="黑体" w:hint="eastAsia"/>
          <w:bCs/>
          <w:sz w:val="24"/>
        </w:rPr>
        <w:lastRenderedPageBreak/>
        <w:t>基金份额持有人大会决定的事项，应当依法报中国证监会备案，并予以公告。</w:t>
      </w:r>
    </w:p>
    <w:p w14:paraId="01A3EA77" w14:textId="77777777" w:rsidR="001B5650" w:rsidRDefault="001B5650" w:rsidP="001B5650">
      <w:pPr>
        <w:adjustRightInd w:val="0"/>
        <w:snapToGrid w:val="0"/>
        <w:spacing w:line="360" w:lineRule="auto"/>
        <w:ind w:firstLineChars="200" w:firstLine="480"/>
        <w:rPr>
          <w:rFonts w:ascii="黑体" w:hAnsi="黑体"/>
          <w:bCs/>
          <w:sz w:val="24"/>
        </w:rPr>
      </w:pPr>
      <w:r>
        <w:rPr>
          <w:rFonts w:ascii="黑体" w:hAnsi="黑体"/>
          <w:bCs/>
          <w:sz w:val="24"/>
        </w:rPr>
        <w:t>（十</w:t>
      </w:r>
      <w:r>
        <w:rPr>
          <w:rFonts w:ascii="黑体" w:hAnsi="黑体" w:hint="eastAsia"/>
          <w:bCs/>
          <w:sz w:val="24"/>
        </w:rPr>
        <w:t>一</w:t>
      </w:r>
      <w:r>
        <w:rPr>
          <w:rFonts w:ascii="黑体" w:hAnsi="黑体"/>
          <w:bCs/>
          <w:sz w:val="24"/>
        </w:rPr>
        <w:t>）投资股指期货</w:t>
      </w:r>
      <w:r>
        <w:rPr>
          <w:rFonts w:ascii="黑体" w:hAnsi="黑体" w:hint="eastAsia"/>
          <w:bCs/>
          <w:sz w:val="24"/>
        </w:rPr>
        <w:t>相关公告</w:t>
      </w:r>
    </w:p>
    <w:p w14:paraId="08668803" w14:textId="77777777" w:rsidR="001B5650" w:rsidRDefault="001B5650" w:rsidP="001B5650">
      <w:pPr>
        <w:adjustRightInd w:val="0"/>
        <w:snapToGrid w:val="0"/>
        <w:spacing w:line="360" w:lineRule="auto"/>
        <w:ind w:firstLineChars="200" w:firstLine="480"/>
        <w:rPr>
          <w:rFonts w:ascii="黑体" w:hAnsi="黑体"/>
          <w:bCs/>
          <w:sz w:val="24"/>
        </w:rPr>
      </w:pPr>
      <w:r>
        <w:rPr>
          <w:rFonts w:ascii="黑体" w:hAnsi="黑体" w:hint="eastAsia"/>
          <w:bCs/>
          <w:sz w:val="24"/>
        </w:rPr>
        <w:t>本基金投资股指期货的，</w:t>
      </w:r>
      <w:r>
        <w:rPr>
          <w:rFonts w:ascii="黑体" w:hAnsi="黑体"/>
          <w:bCs/>
          <w:sz w:val="24"/>
        </w:rPr>
        <w:t>在季度报告、</w:t>
      </w:r>
      <w:r>
        <w:rPr>
          <w:rFonts w:ascii="黑体" w:hAnsi="黑体" w:hint="eastAsia"/>
          <w:bCs/>
          <w:sz w:val="24"/>
        </w:rPr>
        <w:t>中期</w:t>
      </w:r>
      <w:r>
        <w:rPr>
          <w:rFonts w:ascii="黑体" w:hAnsi="黑体"/>
          <w:bCs/>
          <w:sz w:val="24"/>
        </w:rPr>
        <w:t>报告、年度报告等定期报告和招募说明书（更新）等文件中披露股指期货交易情况，包括</w:t>
      </w:r>
      <w:r>
        <w:rPr>
          <w:rFonts w:ascii="黑体" w:hAnsi="黑体" w:hint="eastAsia"/>
          <w:bCs/>
          <w:sz w:val="24"/>
        </w:rPr>
        <w:t>交易</w:t>
      </w:r>
      <w:r>
        <w:rPr>
          <w:rFonts w:ascii="黑体" w:hAnsi="黑体"/>
          <w:bCs/>
          <w:sz w:val="24"/>
        </w:rPr>
        <w:t>政策、持仓情况、损益情况、风险指标等，并充分揭示股指期货交易对基金总体风险的影响以及是否符合既定的</w:t>
      </w:r>
      <w:r>
        <w:rPr>
          <w:rFonts w:ascii="黑体" w:hAnsi="黑体" w:hint="eastAsia"/>
          <w:bCs/>
          <w:sz w:val="24"/>
        </w:rPr>
        <w:t>交易</w:t>
      </w:r>
      <w:r>
        <w:rPr>
          <w:rFonts w:ascii="黑体" w:hAnsi="黑体"/>
          <w:bCs/>
          <w:sz w:val="24"/>
        </w:rPr>
        <w:t>政策和</w:t>
      </w:r>
      <w:r>
        <w:rPr>
          <w:rFonts w:ascii="黑体" w:hAnsi="黑体" w:hint="eastAsia"/>
          <w:bCs/>
          <w:sz w:val="24"/>
        </w:rPr>
        <w:t>交易</w:t>
      </w:r>
      <w:r>
        <w:rPr>
          <w:rFonts w:ascii="黑体" w:hAnsi="黑体"/>
          <w:bCs/>
          <w:sz w:val="24"/>
        </w:rPr>
        <w:t>目标等。</w:t>
      </w:r>
    </w:p>
    <w:p w14:paraId="607C9815" w14:textId="77777777" w:rsidR="001B5650" w:rsidRDefault="001B5650" w:rsidP="001B5650">
      <w:pPr>
        <w:adjustRightInd w:val="0"/>
        <w:snapToGrid w:val="0"/>
        <w:spacing w:line="360" w:lineRule="auto"/>
        <w:ind w:firstLineChars="200" w:firstLine="480"/>
        <w:rPr>
          <w:rFonts w:ascii="黑体" w:hAnsi="黑体"/>
          <w:bCs/>
          <w:sz w:val="24"/>
        </w:rPr>
      </w:pPr>
      <w:r>
        <w:rPr>
          <w:rFonts w:ascii="黑体" w:hAnsi="黑体" w:hint="eastAsia"/>
          <w:bCs/>
          <w:sz w:val="24"/>
        </w:rPr>
        <w:t>（十二）</w:t>
      </w:r>
      <w:r>
        <w:rPr>
          <w:rFonts w:ascii="黑体" w:hAnsi="黑体"/>
          <w:bCs/>
          <w:sz w:val="24"/>
        </w:rPr>
        <w:t>投资</w:t>
      </w:r>
      <w:r>
        <w:rPr>
          <w:rFonts w:ascii="黑体" w:hAnsi="黑体" w:hint="eastAsia"/>
          <w:bCs/>
          <w:sz w:val="24"/>
        </w:rPr>
        <w:t>股票</w:t>
      </w:r>
      <w:r>
        <w:rPr>
          <w:rFonts w:ascii="黑体" w:hAnsi="黑体"/>
          <w:bCs/>
          <w:sz w:val="24"/>
        </w:rPr>
        <w:t>期权</w:t>
      </w:r>
      <w:r>
        <w:rPr>
          <w:rFonts w:ascii="黑体" w:hAnsi="黑体" w:hint="eastAsia"/>
          <w:bCs/>
          <w:sz w:val="24"/>
        </w:rPr>
        <w:t>相关公告</w:t>
      </w:r>
    </w:p>
    <w:p w14:paraId="26E33D6D" w14:textId="77777777" w:rsidR="001B5650" w:rsidRDefault="001B5650" w:rsidP="001B5650">
      <w:pPr>
        <w:adjustRightInd w:val="0"/>
        <w:snapToGrid w:val="0"/>
        <w:spacing w:line="360" w:lineRule="auto"/>
        <w:ind w:firstLineChars="200" w:firstLine="480"/>
        <w:rPr>
          <w:rFonts w:ascii="黑体" w:hAnsi="黑体"/>
          <w:bCs/>
          <w:sz w:val="24"/>
        </w:rPr>
      </w:pPr>
      <w:r>
        <w:rPr>
          <w:rFonts w:ascii="黑体" w:hAnsi="黑体" w:hint="eastAsia"/>
          <w:bCs/>
          <w:sz w:val="24"/>
        </w:rPr>
        <w:t>本基金投资股票期权的，</w:t>
      </w:r>
      <w:r>
        <w:rPr>
          <w:rFonts w:ascii="黑体" w:hAnsi="黑体"/>
          <w:bCs/>
          <w:sz w:val="24"/>
        </w:rPr>
        <w:t>基金管理人应在定期信息披露文件中披露参与</w:t>
      </w:r>
      <w:r>
        <w:rPr>
          <w:rFonts w:ascii="黑体" w:hAnsi="黑体" w:hint="eastAsia"/>
          <w:bCs/>
          <w:sz w:val="24"/>
        </w:rPr>
        <w:t>股票</w:t>
      </w:r>
      <w:r>
        <w:rPr>
          <w:rFonts w:ascii="黑体" w:hAnsi="黑体"/>
          <w:bCs/>
          <w:sz w:val="24"/>
        </w:rPr>
        <w:t>期权交易的有关情况，包括投资政策、持仓情况、损益情况、风险指标、估值方法等，并充分揭示</w:t>
      </w:r>
      <w:r>
        <w:rPr>
          <w:rFonts w:ascii="黑体" w:hAnsi="黑体" w:hint="eastAsia"/>
          <w:bCs/>
          <w:sz w:val="24"/>
        </w:rPr>
        <w:t>股票</w:t>
      </w:r>
      <w:r>
        <w:rPr>
          <w:rFonts w:ascii="黑体" w:hAnsi="黑体"/>
          <w:bCs/>
          <w:sz w:val="24"/>
        </w:rPr>
        <w:t>期权交易对基金总体风险的影响以及是否符合既定的投资政策和投资目标。</w:t>
      </w:r>
    </w:p>
    <w:p w14:paraId="4BBD6799" w14:textId="77777777" w:rsidR="009A4810" w:rsidRPr="00983E60" w:rsidRDefault="001B5650" w:rsidP="009A4810">
      <w:pPr>
        <w:adjustRightInd w:val="0"/>
        <w:snapToGrid w:val="0"/>
        <w:spacing w:line="360" w:lineRule="auto"/>
        <w:ind w:firstLineChars="200" w:firstLine="480"/>
        <w:rPr>
          <w:rFonts w:ascii="黑体" w:hAnsi="黑体"/>
          <w:bCs/>
          <w:sz w:val="24"/>
        </w:rPr>
      </w:pPr>
      <w:r>
        <w:rPr>
          <w:rFonts w:ascii="黑体" w:hAnsi="黑体" w:hint="eastAsia"/>
          <w:bCs/>
          <w:sz w:val="24"/>
        </w:rPr>
        <w:t>（十三）</w:t>
      </w:r>
      <w:r w:rsidR="009A4810" w:rsidRPr="00983E60">
        <w:rPr>
          <w:rFonts w:ascii="黑体" w:hAnsi="黑体" w:hint="eastAsia"/>
          <w:bCs/>
          <w:sz w:val="24"/>
        </w:rPr>
        <w:t>投资国债期货相关公告</w:t>
      </w:r>
    </w:p>
    <w:p w14:paraId="522378B5" w14:textId="3C3C32CC" w:rsidR="008F4420" w:rsidRDefault="009A4810" w:rsidP="009A4810">
      <w:pPr>
        <w:adjustRightInd w:val="0"/>
        <w:snapToGrid w:val="0"/>
        <w:spacing w:line="360" w:lineRule="auto"/>
        <w:ind w:firstLineChars="200" w:firstLine="480"/>
        <w:rPr>
          <w:rFonts w:ascii="黑体" w:hAnsi="黑体"/>
          <w:bCs/>
          <w:sz w:val="24"/>
        </w:rPr>
      </w:pPr>
      <w:r w:rsidRPr="00983E60">
        <w:rPr>
          <w:rFonts w:ascii="黑体" w:hAnsi="黑体" w:hint="eastAsia"/>
          <w:bCs/>
          <w:sz w:val="24"/>
        </w:rPr>
        <w:t>本基金投资国债期货的，在季度报告、中期报告、年度报告等定期报告和招募说明书（更新）等文件中披露国债期货交易情况，包括交易政策、持仓情况、损益情况、风险指标等，并充分揭示国债期货交易对基金总体风险的影响以及是否符合既定的交易政策和交易目标等。</w:t>
      </w:r>
    </w:p>
    <w:p w14:paraId="76B84E05" w14:textId="044528F6" w:rsidR="001B5650" w:rsidRDefault="008F4420" w:rsidP="001B5650">
      <w:pPr>
        <w:adjustRightInd w:val="0"/>
        <w:snapToGrid w:val="0"/>
        <w:spacing w:line="360" w:lineRule="auto"/>
        <w:ind w:firstLineChars="200" w:firstLine="480"/>
        <w:rPr>
          <w:rFonts w:ascii="黑体" w:hAnsi="黑体"/>
          <w:bCs/>
          <w:sz w:val="24"/>
        </w:rPr>
      </w:pPr>
      <w:r>
        <w:rPr>
          <w:rFonts w:ascii="黑体" w:hAnsi="黑体"/>
          <w:bCs/>
          <w:sz w:val="24"/>
        </w:rPr>
        <w:t>（十四）</w:t>
      </w:r>
      <w:r w:rsidR="001B5650">
        <w:rPr>
          <w:rFonts w:ascii="黑体" w:hAnsi="黑体" w:hint="eastAsia"/>
          <w:bCs/>
          <w:sz w:val="24"/>
        </w:rPr>
        <w:t>投资资产支持证券相关公告</w:t>
      </w:r>
    </w:p>
    <w:p w14:paraId="17960457" w14:textId="77777777" w:rsidR="001B5650" w:rsidRDefault="001B5650" w:rsidP="001B5650">
      <w:pPr>
        <w:adjustRightInd w:val="0"/>
        <w:snapToGrid w:val="0"/>
        <w:spacing w:line="360" w:lineRule="auto"/>
        <w:ind w:firstLineChars="200" w:firstLine="480"/>
        <w:rPr>
          <w:rFonts w:ascii="黑体" w:hAnsi="黑体"/>
          <w:bCs/>
          <w:sz w:val="24"/>
        </w:rPr>
      </w:pPr>
      <w:r>
        <w:rPr>
          <w:rFonts w:ascii="黑体" w:hAnsi="黑体" w:hint="eastAsia"/>
          <w:bCs/>
          <w:sz w:val="24"/>
        </w:rPr>
        <w:t>本基金投资资产支持证券的，基金管理人应在基金年度报告及中期报告中披露其持有的资产支持证券总额、资产支持证券市值占基金净资产的比例和报告期内所有的资产支持证券明细。</w:t>
      </w:r>
    </w:p>
    <w:p w14:paraId="71312E15" w14:textId="77777777" w:rsidR="001B5650" w:rsidRDefault="001B5650" w:rsidP="001B5650">
      <w:pPr>
        <w:adjustRightInd w:val="0"/>
        <w:snapToGrid w:val="0"/>
        <w:spacing w:line="360" w:lineRule="auto"/>
        <w:ind w:firstLineChars="200" w:firstLine="480"/>
        <w:rPr>
          <w:rFonts w:ascii="黑体" w:hAnsi="黑体"/>
          <w:bCs/>
          <w:sz w:val="24"/>
        </w:rPr>
      </w:pPr>
      <w:r>
        <w:rPr>
          <w:rFonts w:ascii="黑体" w:hAnsi="黑体" w:hint="eastAsia"/>
          <w:bCs/>
          <w:sz w:val="24"/>
        </w:rPr>
        <w:t>基金管理人应在基金季度报告中披露其持有的资产支持证券总额、资产支持证券市值占基金净资产的比例和报告期末按市值占基金净资产比例大小排序的前</w:t>
      </w:r>
      <w:r>
        <w:rPr>
          <w:rFonts w:ascii="宋体" w:hAnsi="宋体" w:hint="eastAsia"/>
          <w:bCs/>
          <w:sz w:val="24"/>
        </w:rPr>
        <w:t>10</w:t>
      </w:r>
      <w:r>
        <w:rPr>
          <w:rFonts w:ascii="黑体" w:hAnsi="黑体" w:hint="eastAsia"/>
          <w:bCs/>
          <w:sz w:val="24"/>
        </w:rPr>
        <w:t>名资产支持证券明细。</w:t>
      </w:r>
    </w:p>
    <w:p w14:paraId="06C1C97A" w14:textId="69F6E8A5" w:rsidR="001B5650" w:rsidRDefault="001B5650" w:rsidP="001B5650">
      <w:pPr>
        <w:adjustRightInd w:val="0"/>
        <w:snapToGrid w:val="0"/>
        <w:spacing w:line="360" w:lineRule="auto"/>
        <w:ind w:firstLineChars="200" w:firstLine="480"/>
        <w:rPr>
          <w:rFonts w:ascii="宋体" w:hAnsi="宋体"/>
          <w:bCs/>
          <w:sz w:val="24"/>
        </w:rPr>
      </w:pPr>
      <w:r>
        <w:rPr>
          <w:rFonts w:ascii="黑体" w:hAnsi="黑体" w:hint="eastAsia"/>
          <w:bCs/>
          <w:sz w:val="24"/>
        </w:rPr>
        <w:t>（十</w:t>
      </w:r>
      <w:r w:rsidR="009A4810">
        <w:rPr>
          <w:rFonts w:ascii="黑体" w:hAnsi="黑体"/>
          <w:bCs/>
          <w:sz w:val="24"/>
        </w:rPr>
        <w:t>五</w:t>
      </w:r>
      <w:r>
        <w:rPr>
          <w:rFonts w:ascii="黑体" w:hAnsi="黑体" w:hint="eastAsia"/>
          <w:bCs/>
          <w:sz w:val="24"/>
        </w:rPr>
        <w:t>）</w:t>
      </w:r>
      <w:r>
        <w:rPr>
          <w:rFonts w:ascii="宋体" w:hAnsi="宋体" w:hint="eastAsia"/>
          <w:bCs/>
          <w:sz w:val="24"/>
        </w:rPr>
        <w:t>投资目标ETF</w:t>
      </w:r>
      <w:r>
        <w:rPr>
          <w:rFonts w:ascii="宋体" w:hAnsi="宋体"/>
          <w:bCs/>
          <w:sz w:val="24"/>
        </w:rPr>
        <w:t>的信息披露</w:t>
      </w:r>
    </w:p>
    <w:p w14:paraId="535B0BE2" w14:textId="77777777" w:rsidR="001B5650" w:rsidRDefault="001B5650" w:rsidP="001B5650">
      <w:pPr>
        <w:adjustRightInd w:val="0"/>
        <w:snapToGrid w:val="0"/>
        <w:spacing w:line="360" w:lineRule="auto"/>
        <w:ind w:firstLineChars="200" w:firstLine="480"/>
        <w:rPr>
          <w:rFonts w:ascii="宋体" w:hAnsi="宋体"/>
          <w:bCs/>
          <w:sz w:val="24"/>
        </w:rPr>
      </w:pPr>
      <w:r>
        <w:rPr>
          <w:rFonts w:ascii="宋体" w:hAnsi="宋体" w:hint="eastAsia"/>
          <w:bCs/>
          <w:sz w:val="24"/>
        </w:rPr>
        <w:t>基金管理人</w:t>
      </w:r>
      <w:r>
        <w:rPr>
          <w:rFonts w:ascii="宋体" w:hAnsi="宋体"/>
          <w:bCs/>
          <w:sz w:val="24"/>
        </w:rPr>
        <w:t>在招募说明书及定期报告等文件中应当设立专门章节披露</w:t>
      </w:r>
      <w:r>
        <w:rPr>
          <w:rFonts w:ascii="宋体" w:hAnsi="宋体" w:hint="eastAsia"/>
          <w:bCs/>
          <w:sz w:val="24"/>
        </w:rPr>
        <w:t>目标ETF以下</w:t>
      </w:r>
      <w:r>
        <w:rPr>
          <w:rFonts w:ascii="宋体" w:hAnsi="宋体"/>
          <w:bCs/>
          <w:sz w:val="24"/>
        </w:rPr>
        <w:t>情况，并</w:t>
      </w:r>
      <w:r>
        <w:rPr>
          <w:rFonts w:ascii="宋体" w:hAnsi="宋体" w:hint="eastAsia"/>
          <w:bCs/>
          <w:sz w:val="24"/>
        </w:rPr>
        <w:t>揭示</w:t>
      </w:r>
      <w:r>
        <w:rPr>
          <w:rFonts w:ascii="宋体" w:hAnsi="宋体"/>
          <w:bCs/>
          <w:sz w:val="24"/>
        </w:rPr>
        <w:t>相关风险。</w:t>
      </w:r>
    </w:p>
    <w:p w14:paraId="66E3D0A4" w14:textId="77777777" w:rsidR="001B5650" w:rsidRDefault="001B5650" w:rsidP="001B5650">
      <w:pPr>
        <w:adjustRightInd w:val="0"/>
        <w:snapToGrid w:val="0"/>
        <w:spacing w:line="360" w:lineRule="auto"/>
        <w:ind w:firstLineChars="200" w:firstLine="480"/>
        <w:rPr>
          <w:rFonts w:ascii="宋体" w:hAnsi="宋体"/>
          <w:bCs/>
          <w:sz w:val="24"/>
        </w:rPr>
      </w:pPr>
      <w:r>
        <w:rPr>
          <w:rFonts w:ascii="宋体" w:hAnsi="宋体" w:hint="eastAsia"/>
          <w:bCs/>
          <w:sz w:val="24"/>
        </w:rPr>
        <w:t>1、投资</w:t>
      </w:r>
      <w:r>
        <w:rPr>
          <w:rFonts w:ascii="宋体" w:hAnsi="宋体"/>
          <w:bCs/>
          <w:sz w:val="24"/>
        </w:rPr>
        <w:t>策略、持仓情况、损益情况</w:t>
      </w:r>
      <w:r>
        <w:rPr>
          <w:rFonts w:ascii="宋体" w:hAnsi="宋体" w:hint="eastAsia"/>
          <w:bCs/>
          <w:sz w:val="24"/>
        </w:rPr>
        <w:t>、</w:t>
      </w:r>
      <w:r>
        <w:rPr>
          <w:rFonts w:ascii="宋体" w:hAnsi="宋体"/>
          <w:bCs/>
          <w:sz w:val="24"/>
        </w:rPr>
        <w:t>净值披露时间等。</w:t>
      </w:r>
    </w:p>
    <w:p w14:paraId="4CC800DD" w14:textId="77777777" w:rsidR="001B5650" w:rsidRDefault="001B5650" w:rsidP="001B5650">
      <w:pPr>
        <w:adjustRightInd w:val="0"/>
        <w:snapToGrid w:val="0"/>
        <w:spacing w:line="360" w:lineRule="auto"/>
        <w:ind w:firstLineChars="200" w:firstLine="480"/>
        <w:rPr>
          <w:rFonts w:ascii="宋体" w:hAnsi="宋体"/>
          <w:bCs/>
          <w:sz w:val="24"/>
        </w:rPr>
      </w:pPr>
      <w:r>
        <w:rPr>
          <w:rFonts w:ascii="宋体" w:hAnsi="宋体" w:hint="eastAsia"/>
          <w:bCs/>
          <w:sz w:val="24"/>
        </w:rPr>
        <w:t>2、交易</w:t>
      </w:r>
      <w:r>
        <w:rPr>
          <w:rFonts w:ascii="宋体" w:hAnsi="宋体"/>
          <w:bCs/>
          <w:sz w:val="24"/>
        </w:rPr>
        <w:t>及持有基金产生的费用</w:t>
      </w:r>
      <w:r>
        <w:rPr>
          <w:rFonts w:ascii="宋体" w:hAnsi="宋体" w:hint="eastAsia"/>
          <w:bCs/>
          <w:sz w:val="24"/>
        </w:rPr>
        <w:t>，</w:t>
      </w:r>
      <w:r>
        <w:rPr>
          <w:rFonts w:ascii="宋体" w:hAnsi="宋体"/>
          <w:bCs/>
          <w:sz w:val="24"/>
        </w:rPr>
        <w:t>包括申购费、赎回费、</w:t>
      </w:r>
      <w:r>
        <w:rPr>
          <w:rFonts w:ascii="宋体" w:hAnsi="宋体" w:hint="eastAsia"/>
          <w:bCs/>
          <w:sz w:val="24"/>
        </w:rPr>
        <w:t>销售服务费（如有）、</w:t>
      </w:r>
      <w:r>
        <w:rPr>
          <w:rFonts w:ascii="宋体" w:hAnsi="宋体"/>
          <w:bCs/>
          <w:sz w:val="24"/>
        </w:rPr>
        <w:t>管理费、托管费等</w:t>
      </w:r>
      <w:r>
        <w:rPr>
          <w:rFonts w:ascii="宋体" w:hAnsi="宋体" w:hint="eastAsia"/>
          <w:bCs/>
          <w:sz w:val="24"/>
        </w:rPr>
        <w:t>，</w:t>
      </w:r>
      <w:r>
        <w:rPr>
          <w:rFonts w:ascii="宋体" w:hAnsi="宋体"/>
          <w:bCs/>
          <w:sz w:val="24"/>
        </w:rPr>
        <w:t>招募说明书中应当列明计算方法并举例说明。</w:t>
      </w:r>
    </w:p>
    <w:p w14:paraId="2FD5FD98" w14:textId="77777777" w:rsidR="001B5650" w:rsidRDefault="001B5650" w:rsidP="001B5650">
      <w:pPr>
        <w:adjustRightInd w:val="0"/>
        <w:snapToGrid w:val="0"/>
        <w:spacing w:line="360" w:lineRule="auto"/>
        <w:ind w:firstLineChars="200" w:firstLine="480"/>
        <w:rPr>
          <w:rFonts w:ascii="宋体" w:hAnsi="宋体"/>
          <w:bCs/>
          <w:sz w:val="24"/>
        </w:rPr>
      </w:pPr>
      <w:r>
        <w:rPr>
          <w:rFonts w:ascii="宋体" w:hAnsi="宋体" w:hint="eastAsia"/>
          <w:bCs/>
          <w:sz w:val="24"/>
        </w:rPr>
        <w:t>3、目标ETF</w:t>
      </w:r>
      <w:r>
        <w:rPr>
          <w:rFonts w:ascii="宋体" w:hAnsi="宋体"/>
          <w:bCs/>
          <w:sz w:val="24"/>
        </w:rPr>
        <w:t>发生的重大影响</w:t>
      </w:r>
      <w:r>
        <w:rPr>
          <w:rFonts w:ascii="宋体" w:hAnsi="宋体" w:hint="eastAsia"/>
          <w:bCs/>
          <w:sz w:val="24"/>
        </w:rPr>
        <w:t>事件</w:t>
      </w:r>
      <w:r>
        <w:rPr>
          <w:rFonts w:ascii="宋体" w:hAnsi="宋体"/>
          <w:bCs/>
          <w:sz w:val="24"/>
        </w:rPr>
        <w:t>，如转换运作方式、与其他基金合并、终</w:t>
      </w:r>
      <w:r>
        <w:rPr>
          <w:rFonts w:ascii="宋体" w:hAnsi="宋体"/>
          <w:bCs/>
          <w:sz w:val="24"/>
        </w:rPr>
        <w:lastRenderedPageBreak/>
        <w:t>止基金合同以及召开基金份额持有人大会等。</w:t>
      </w:r>
    </w:p>
    <w:p w14:paraId="3F6E8BDB" w14:textId="77777777" w:rsidR="001B5650" w:rsidRDefault="001B5650" w:rsidP="001B5650">
      <w:pPr>
        <w:adjustRightInd w:val="0"/>
        <w:snapToGrid w:val="0"/>
        <w:spacing w:line="360" w:lineRule="auto"/>
        <w:ind w:firstLineChars="200" w:firstLine="480"/>
        <w:rPr>
          <w:rFonts w:ascii="黑体" w:hAnsi="黑体"/>
          <w:bCs/>
          <w:sz w:val="24"/>
        </w:rPr>
      </w:pPr>
      <w:r>
        <w:rPr>
          <w:rFonts w:ascii="宋体" w:hAnsi="宋体" w:hint="eastAsia"/>
          <w:bCs/>
          <w:sz w:val="24"/>
        </w:rPr>
        <w:t>4、本基金投资于基金管理人以及基金管理人关联方所管理基金的情况</w:t>
      </w:r>
      <w:r>
        <w:rPr>
          <w:rFonts w:ascii="黑体" w:hAnsi="黑体" w:hint="eastAsia"/>
          <w:bCs/>
          <w:sz w:val="24"/>
        </w:rPr>
        <w:t>。</w:t>
      </w:r>
    </w:p>
    <w:p w14:paraId="0EF83005" w14:textId="4047F748" w:rsidR="001B5650" w:rsidRDefault="001B5650" w:rsidP="001B5650">
      <w:pPr>
        <w:adjustRightInd w:val="0"/>
        <w:snapToGrid w:val="0"/>
        <w:spacing w:line="360" w:lineRule="auto"/>
        <w:ind w:firstLineChars="200" w:firstLine="480"/>
        <w:rPr>
          <w:rFonts w:ascii="黑体" w:hAnsi="黑体"/>
          <w:bCs/>
          <w:sz w:val="24"/>
        </w:rPr>
      </w:pPr>
      <w:r>
        <w:rPr>
          <w:rFonts w:ascii="黑体" w:hAnsi="黑体" w:hint="eastAsia"/>
          <w:bCs/>
          <w:sz w:val="24"/>
        </w:rPr>
        <w:t>（十</w:t>
      </w:r>
      <w:r w:rsidR="009A4810">
        <w:rPr>
          <w:rFonts w:ascii="黑体" w:hAnsi="黑体" w:hint="eastAsia"/>
          <w:bCs/>
          <w:sz w:val="24"/>
        </w:rPr>
        <w:t>六</w:t>
      </w:r>
      <w:r>
        <w:rPr>
          <w:rFonts w:ascii="黑体" w:hAnsi="黑体" w:hint="eastAsia"/>
          <w:bCs/>
          <w:sz w:val="24"/>
        </w:rPr>
        <w:t>）参与融资</w:t>
      </w:r>
      <w:r>
        <w:rPr>
          <w:rFonts w:ascii="黑体" w:hAnsi="黑体"/>
          <w:bCs/>
          <w:sz w:val="24"/>
        </w:rPr>
        <w:t>及</w:t>
      </w:r>
      <w:r>
        <w:rPr>
          <w:rFonts w:ascii="黑体" w:hAnsi="黑体" w:hint="eastAsia"/>
          <w:bCs/>
          <w:sz w:val="24"/>
        </w:rPr>
        <w:t>转融通证券出借业务的信息披露</w:t>
      </w:r>
    </w:p>
    <w:p w14:paraId="6256F306" w14:textId="77777777" w:rsidR="001B5650" w:rsidRDefault="001B5650" w:rsidP="001B5650">
      <w:pPr>
        <w:adjustRightInd w:val="0"/>
        <w:snapToGrid w:val="0"/>
        <w:spacing w:line="360" w:lineRule="auto"/>
        <w:ind w:firstLineChars="200" w:firstLine="480"/>
        <w:rPr>
          <w:rFonts w:ascii="黑体" w:hAnsi="黑体"/>
          <w:bCs/>
          <w:sz w:val="24"/>
        </w:rPr>
      </w:pPr>
      <w:r>
        <w:rPr>
          <w:rFonts w:ascii="黑体" w:hAnsi="黑体" w:hint="eastAsia"/>
          <w:bCs/>
          <w:sz w:val="24"/>
        </w:rPr>
        <w:t>本基金参与融资</w:t>
      </w:r>
      <w:r>
        <w:rPr>
          <w:rFonts w:ascii="黑体" w:hAnsi="黑体"/>
          <w:bCs/>
          <w:sz w:val="24"/>
        </w:rPr>
        <w:t>及</w:t>
      </w:r>
      <w:r>
        <w:rPr>
          <w:rFonts w:ascii="黑体" w:hAnsi="黑体" w:hint="eastAsia"/>
          <w:bCs/>
          <w:sz w:val="24"/>
        </w:rPr>
        <w:t>转融通证券出借业务的，基金管理人应当在季度报告、中期报告和年度报告等定期报告和招募说明书（更新）等文件中披露参与融资</w:t>
      </w:r>
      <w:r>
        <w:rPr>
          <w:rFonts w:ascii="黑体" w:hAnsi="黑体"/>
          <w:bCs/>
          <w:sz w:val="24"/>
        </w:rPr>
        <w:t>及</w:t>
      </w:r>
      <w:r>
        <w:rPr>
          <w:rFonts w:ascii="黑体" w:hAnsi="黑体" w:hint="eastAsia"/>
          <w:bCs/>
          <w:sz w:val="24"/>
        </w:rPr>
        <w:t>转融通证券出借交易情况，包括投资策略、业务开展情况、损益情况、风险及其管理情况等，并就报告期内本基金参与转融通证券出借业务发生的重大关联交易事项做详细说明。</w:t>
      </w:r>
    </w:p>
    <w:p w14:paraId="3CB62AC3" w14:textId="23E649DE" w:rsidR="001B5650" w:rsidRDefault="001B5650" w:rsidP="001B5650">
      <w:pPr>
        <w:adjustRightInd w:val="0"/>
        <w:snapToGrid w:val="0"/>
        <w:spacing w:line="360" w:lineRule="auto"/>
        <w:ind w:firstLineChars="200" w:firstLine="480"/>
        <w:rPr>
          <w:rFonts w:ascii="黑体" w:hAnsi="黑体"/>
          <w:bCs/>
          <w:sz w:val="24"/>
        </w:rPr>
      </w:pPr>
      <w:r>
        <w:rPr>
          <w:rFonts w:ascii="黑体" w:hAnsi="黑体" w:hint="eastAsia"/>
          <w:bCs/>
          <w:sz w:val="24"/>
        </w:rPr>
        <w:t>（十</w:t>
      </w:r>
      <w:r w:rsidR="00245EDE">
        <w:rPr>
          <w:rFonts w:ascii="黑体" w:hAnsi="黑体" w:hint="eastAsia"/>
          <w:bCs/>
          <w:sz w:val="24"/>
        </w:rPr>
        <w:t>七</w:t>
      </w:r>
      <w:r>
        <w:rPr>
          <w:rFonts w:ascii="黑体" w:hAnsi="黑体" w:hint="eastAsia"/>
          <w:bCs/>
          <w:sz w:val="24"/>
        </w:rPr>
        <w:t>）实施侧袋机制期间的信息披露</w:t>
      </w:r>
    </w:p>
    <w:p w14:paraId="33933ECD" w14:textId="77777777" w:rsidR="001B5650" w:rsidRDefault="001B5650" w:rsidP="001B5650">
      <w:pPr>
        <w:adjustRightInd w:val="0"/>
        <w:snapToGrid w:val="0"/>
        <w:spacing w:line="360" w:lineRule="auto"/>
        <w:ind w:firstLineChars="200" w:firstLine="480"/>
        <w:rPr>
          <w:rFonts w:ascii="黑体" w:hAnsi="黑体"/>
          <w:bCs/>
          <w:sz w:val="24"/>
        </w:rPr>
      </w:pPr>
      <w:r>
        <w:rPr>
          <w:rFonts w:ascii="黑体" w:hAnsi="黑体" w:hint="eastAsia"/>
          <w:bCs/>
          <w:sz w:val="24"/>
        </w:rPr>
        <w:t>本基金实施侧袋机制的，相关信息披露义务人应当根据法律法规、基金合同和招募说明书的规定进行信息披露，详见招募说明书的规定。</w:t>
      </w:r>
    </w:p>
    <w:p w14:paraId="32DD0EA6" w14:textId="7B87C0EB" w:rsidR="001B5650" w:rsidRDefault="001B5650" w:rsidP="001B5650">
      <w:pPr>
        <w:adjustRightInd w:val="0"/>
        <w:snapToGrid w:val="0"/>
        <w:spacing w:line="360" w:lineRule="auto"/>
        <w:ind w:firstLineChars="200" w:firstLine="480"/>
        <w:rPr>
          <w:rFonts w:ascii="黑体" w:hAnsi="黑体"/>
          <w:bCs/>
          <w:sz w:val="24"/>
        </w:rPr>
      </w:pPr>
      <w:r>
        <w:rPr>
          <w:rFonts w:ascii="黑体" w:hAnsi="黑体" w:hint="eastAsia"/>
          <w:bCs/>
          <w:sz w:val="24"/>
        </w:rPr>
        <w:t>（十</w:t>
      </w:r>
      <w:r w:rsidR="00245EDE">
        <w:rPr>
          <w:rFonts w:ascii="黑体" w:hAnsi="黑体" w:hint="eastAsia"/>
          <w:bCs/>
          <w:sz w:val="24"/>
        </w:rPr>
        <w:t>八</w:t>
      </w:r>
      <w:r>
        <w:rPr>
          <w:rFonts w:ascii="黑体" w:hAnsi="黑体" w:hint="eastAsia"/>
          <w:bCs/>
          <w:sz w:val="24"/>
        </w:rPr>
        <w:t>）投资</w:t>
      </w:r>
      <w:r w:rsidR="00245EDE" w:rsidRPr="007D57BE">
        <w:rPr>
          <w:rFonts w:ascii="黑体" w:hAnsi="黑体" w:hint="eastAsia"/>
          <w:bCs/>
          <w:sz w:val="24"/>
        </w:rPr>
        <w:t>非公开发行股票的</w:t>
      </w:r>
      <w:r>
        <w:rPr>
          <w:rFonts w:ascii="黑体" w:hAnsi="黑体" w:hint="eastAsia"/>
          <w:bCs/>
          <w:sz w:val="24"/>
        </w:rPr>
        <w:t>信息披露</w:t>
      </w:r>
    </w:p>
    <w:p w14:paraId="6587B76A" w14:textId="77777777" w:rsidR="001B5650" w:rsidRDefault="001B5650" w:rsidP="001B5650">
      <w:pPr>
        <w:adjustRightInd w:val="0"/>
        <w:snapToGrid w:val="0"/>
        <w:spacing w:line="360" w:lineRule="auto"/>
        <w:ind w:firstLineChars="200" w:firstLine="480"/>
        <w:rPr>
          <w:rFonts w:ascii="黑体" w:hAnsi="黑体"/>
          <w:bCs/>
          <w:sz w:val="24"/>
        </w:rPr>
      </w:pPr>
      <w:r>
        <w:rPr>
          <w:rFonts w:ascii="黑体" w:hAnsi="黑体" w:hint="eastAsia"/>
          <w:bCs/>
          <w:sz w:val="24"/>
        </w:rPr>
        <w:t>基金管理人应在基金投资非公开发行股票后两个交易日内，在中国证监会规定媒介披露所投资非公开发行股票的名称、数量、总成本、账面价值，以及总成本和账面价值占基金资产净值的比例、锁定期等信息。</w:t>
      </w:r>
    </w:p>
    <w:p w14:paraId="229457CB" w14:textId="3CA8D02D" w:rsidR="001B5650" w:rsidRDefault="001B5650" w:rsidP="001B5650">
      <w:pPr>
        <w:adjustRightInd w:val="0"/>
        <w:snapToGrid w:val="0"/>
        <w:spacing w:line="360" w:lineRule="auto"/>
        <w:ind w:firstLineChars="200" w:firstLine="480"/>
        <w:rPr>
          <w:rFonts w:ascii="黑体" w:hAnsi="黑体"/>
          <w:bCs/>
          <w:sz w:val="24"/>
        </w:rPr>
      </w:pPr>
      <w:r>
        <w:rPr>
          <w:rFonts w:ascii="黑体" w:hAnsi="黑体" w:hint="eastAsia"/>
          <w:bCs/>
          <w:sz w:val="24"/>
        </w:rPr>
        <w:t>（</w:t>
      </w:r>
      <w:r w:rsidR="00095532">
        <w:rPr>
          <w:rFonts w:ascii="黑体" w:hAnsi="黑体" w:hint="eastAsia"/>
          <w:bCs/>
          <w:sz w:val="24"/>
        </w:rPr>
        <w:t>十九</w:t>
      </w:r>
      <w:r>
        <w:rPr>
          <w:rFonts w:ascii="黑体" w:hAnsi="黑体" w:hint="eastAsia"/>
          <w:bCs/>
          <w:sz w:val="24"/>
        </w:rPr>
        <w:t>）</w:t>
      </w:r>
      <w:r>
        <w:rPr>
          <w:rFonts w:ascii="黑体" w:hAnsi="黑体"/>
          <w:bCs/>
          <w:sz w:val="24"/>
        </w:rPr>
        <w:t>中国证监会规定的其他信息。</w:t>
      </w:r>
    </w:p>
    <w:p w14:paraId="2FF8CB02" w14:textId="77777777" w:rsidR="001B5650" w:rsidRDefault="001B5650" w:rsidP="001B5650">
      <w:pPr>
        <w:adjustRightInd w:val="0"/>
        <w:snapToGrid w:val="0"/>
        <w:spacing w:line="360" w:lineRule="auto"/>
        <w:ind w:firstLineChars="200" w:firstLine="480"/>
        <w:rPr>
          <w:rFonts w:ascii="黑体" w:hAnsi="黑体"/>
          <w:bCs/>
          <w:sz w:val="24"/>
        </w:rPr>
      </w:pPr>
      <w:r>
        <w:rPr>
          <w:rFonts w:ascii="黑体" w:hAnsi="黑体" w:hint="eastAsia"/>
          <w:bCs/>
          <w:sz w:val="24"/>
        </w:rPr>
        <w:t>六、信息披露事务管理</w:t>
      </w:r>
    </w:p>
    <w:p w14:paraId="7690D168" w14:textId="77777777" w:rsidR="001B5650" w:rsidRDefault="001B5650" w:rsidP="001B5650">
      <w:pPr>
        <w:adjustRightInd w:val="0"/>
        <w:snapToGrid w:val="0"/>
        <w:spacing w:line="360" w:lineRule="auto"/>
        <w:ind w:firstLineChars="200" w:firstLine="480"/>
        <w:rPr>
          <w:rFonts w:ascii="黑体" w:hAnsi="黑体"/>
          <w:bCs/>
          <w:sz w:val="24"/>
        </w:rPr>
      </w:pPr>
      <w:r>
        <w:rPr>
          <w:rFonts w:ascii="黑体" w:hAnsi="黑体" w:hint="eastAsia"/>
          <w:bCs/>
          <w:sz w:val="24"/>
        </w:rPr>
        <w:t>基金管理人、基金托管人应当建立健全信息披露管理制度，指定专门部门及高级管理人员负责管理信息披露事务。</w:t>
      </w:r>
    </w:p>
    <w:p w14:paraId="2CBE8023" w14:textId="77777777" w:rsidR="001B5650" w:rsidRDefault="001B5650" w:rsidP="001B5650">
      <w:pPr>
        <w:adjustRightInd w:val="0"/>
        <w:snapToGrid w:val="0"/>
        <w:spacing w:line="360" w:lineRule="auto"/>
        <w:ind w:firstLineChars="200" w:firstLine="480"/>
        <w:rPr>
          <w:rFonts w:ascii="黑体" w:hAnsi="黑体"/>
          <w:bCs/>
          <w:sz w:val="24"/>
        </w:rPr>
      </w:pPr>
      <w:r>
        <w:rPr>
          <w:rFonts w:ascii="黑体" w:hAnsi="黑体" w:hint="eastAsia"/>
          <w:bCs/>
          <w:sz w:val="24"/>
        </w:rPr>
        <w:t>基金信息披露义务人公开披露基金信息，应当符合中国证监会相关基金信息披露内容与格式准则等法律法规的规定。</w:t>
      </w:r>
    </w:p>
    <w:p w14:paraId="23469436" w14:textId="3CB954FC" w:rsidR="001B5650" w:rsidRDefault="001B5650" w:rsidP="001B5650">
      <w:pPr>
        <w:adjustRightInd w:val="0"/>
        <w:snapToGrid w:val="0"/>
        <w:spacing w:line="360" w:lineRule="auto"/>
        <w:ind w:firstLineChars="200" w:firstLine="480"/>
        <w:rPr>
          <w:rFonts w:ascii="黑体" w:hAnsi="黑体"/>
          <w:bCs/>
          <w:sz w:val="24"/>
        </w:rPr>
      </w:pPr>
      <w:r>
        <w:rPr>
          <w:rFonts w:ascii="黑体" w:hAnsi="黑体" w:hint="eastAsia"/>
          <w:bCs/>
          <w:sz w:val="24"/>
        </w:rPr>
        <w:t>基金托管人应当按照相关法律法规、中国证监会的规定和基金合同的约定，对基金管理人编制的</w:t>
      </w:r>
      <w:r w:rsidR="004955B7" w:rsidRPr="004955B7">
        <w:rPr>
          <w:rFonts w:ascii="黑体" w:hAnsi="黑体" w:hint="eastAsia"/>
          <w:bCs/>
          <w:sz w:val="24"/>
        </w:rPr>
        <w:t>基金资产净值、</w:t>
      </w:r>
      <w:r w:rsidR="00CD56CF">
        <w:rPr>
          <w:rFonts w:ascii="黑体" w:hAnsi="黑体" w:hint="eastAsia"/>
          <w:bCs/>
          <w:sz w:val="24"/>
        </w:rPr>
        <w:t>各类</w:t>
      </w:r>
      <w:r>
        <w:rPr>
          <w:rFonts w:ascii="黑体" w:hAnsi="黑体" w:hint="eastAsia"/>
          <w:bCs/>
          <w:sz w:val="24"/>
        </w:rPr>
        <w:t>基金</w:t>
      </w:r>
      <w:r>
        <w:rPr>
          <w:rFonts w:ascii="黑体" w:hAnsi="黑体"/>
          <w:bCs/>
          <w:sz w:val="24"/>
        </w:rPr>
        <w:t>净值</w:t>
      </w:r>
      <w:r>
        <w:rPr>
          <w:rFonts w:ascii="黑体" w:hAnsi="黑体" w:hint="eastAsia"/>
          <w:bCs/>
          <w:sz w:val="24"/>
        </w:rPr>
        <w:t>信息</w:t>
      </w:r>
      <w:r>
        <w:rPr>
          <w:rFonts w:ascii="黑体" w:hAnsi="黑体"/>
          <w:bCs/>
          <w:sz w:val="24"/>
        </w:rPr>
        <w:t>、</w:t>
      </w:r>
      <w:r>
        <w:rPr>
          <w:rFonts w:ascii="黑体" w:hAnsi="黑体" w:hint="eastAsia"/>
          <w:bCs/>
          <w:sz w:val="24"/>
        </w:rPr>
        <w:t>基金份额申购赎回价格、基金定期报告、更新的招募说明书、基金产品资料概要、基金清算报告等公开披露的相关基金信息进行复核、审查，并向基金管理人进行书面或电子确认。</w:t>
      </w:r>
    </w:p>
    <w:p w14:paraId="65B098C2" w14:textId="77777777" w:rsidR="001B5650" w:rsidRDefault="001B5650" w:rsidP="001B5650">
      <w:pPr>
        <w:adjustRightInd w:val="0"/>
        <w:snapToGrid w:val="0"/>
        <w:spacing w:line="360" w:lineRule="auto"/>
        <w:ind w:firstLineChars="200" w:firstLine="480"/>
        <w:rPr>
          <w:rFonts w:ascii="黑体" w:hAnsi="黑体"/>
          <w:bCs/>
          <w:sz w:val="24"/>
        </w:rPr>
      </w:pPr>
      <w:r>
        <w:rPr>
          <w:rFonts w:ascii="黑体" w:hAnsi="黑体" w:hint="eastAsia"/>
          <w:bCs/>
          <w:sz w:val="24"/>
        </w:rPr>
        <w:t>基金管理人、基金托管人应当在规定报刊中选择一家报刊披露本基金信息。基金管理人、基金托管人应当向中国证监会基金电子披露网站报送拟披露的基金信息，并保证相关报送信息的真实、准确、完整、及时。</w:t>
      </w:r>
    </w:p>
    <w:p w14:paraId="42E12CB5" w14:textId="77777777" w:rsidR="001B5650" w:rsidRDefault="001B5650" w:rsidP="001B5650">
      <w:pPr>
        <w:adjustRightInd w:val="0"/>
        <w:snapToGrid w:val="0"/>
        <w:spacing w:line="360" w:lineRule="auto"/>
        <w:ind w:firstLineChars="200" w:firstLine="480"/>
        <w:rPr>
          <w:rFonts w:ascii="黑体" w:hAnsi="黑体"/>
          <w:bCs/>
          <w:sz w:val="24"/>
        </w:rPr>
      </w:pPr>
      <w:r>
        <w:rPr>
          <w:rFonts w:ascii="黑体" w:hAnsi="黑体" w:hint="eastAsia"/>
          <w:bCs/>
          <w:sz w:val="24"/>
        </w:rPr>
        <w:t>基金管理人、基金托管人除依法在规定媒介上披露信息外，还可以根据需要在其他公共媒介披露信息，但是其他公共媒介不得早于规定媒介披露信息，并且</w:t>
      </w:r>
      <w:r>
        <w:rPr>
          <w:rFonts w:ascii="黑体" w:hAnsi="黑体" w:hint="eastAsia"/>
          <w:bCs/>
          <w:sz w:val="24"/>
        </w:rPr>
        <w:lastRenderedPageBreak/>
        <w:t>在不同媒介上披露同一信息的内容应当一致。</w:t>
      </w:r>
    </w:p>
    <w:p w14:paraId="537CFA9D" w14:textId="77777777" w:rsidR="001B5650" w:rsidRDefault="001B5650" w:rsidP="001B5650">
      <w:pPr>
        <w:adjustRightInd w:val="0"/>
        <w:snapToGrid w:val="0"/>
        <w:spacing w:line="360" w:lineRule="auto"/>
        <w:ind w:firstLineChars="200" w:firstLine="480"/>
        <w:rPr>
          <w:rFonts w:ascii="黑体" w:hAnsi="黑体"/>
          <w:bCs/>
          <w:sz w:val="24"/>
        </w:rPr>
      </w:pPr>
      <w:r>
        <w:rPr>
          <w:rFonts w:ascii="黑体" w:hAnsi="黑体" w:hint="eastAsia"/>
          <w:bCs/>
          <w:sz w:val="24"/>
        </w:rPr>
        <w:t>基金管理人、基金托管人除按法律法规要求披露信息外，也可着眼于为投资者决策提供有用信息的角度，在保证公平对待投资者、不误导投资者、不影响基金正常投资操作的前提下，自主提升信息披露服务的质量。具体要求应当符合中国证监会及自律规则的相关规定。前述自主披露如产生信息披露费用，该费用不得从基金财产中列支。</w:t>
      </w:r>
    </w:p>
    <w:p w14:paraId="7CA73139" w14:textId="77777777" w:rsidR="001B5650" w:rsidRDefault="001B5650" w:rsidP="001B5650">
      <w:pPr>
        <w:adjustRightInd w:val="0"/>
        <w:snapToGrid w:val="0"/>
        <w:spacing w:line="360" w:lineRule="auto"/>
        <w:ind w:firstLineChars="200" w:firstLine="480"/>
        <w:rPr>
          <w:rFonts w:ascii="黑体" w:hAnsi="黑体"/>
          <w:bCs/>
          <w:sz w:val="24"/>
        </w:rPr>
      </w:pPr>
      <w:r>
        <w:rPr>
          <w:rFonts w:ascii="黑体" w:hAnsi="黑体" w:hint="eastAsia"/>
          <w:bCs/>
          <w:sz w:val="24"/>
        </w:rPr>
        <w:t>为基金信息披露义务人公开披露的基金信息出具审计报告、法律意见书的专业机构，应当制作工作底稿，并将相关档案至少保存到基金合同终止后</w:t>
      </w:r>
      <w:r>
        <w:rPr>
          <w:rFonts w:ascii="黑体" w:hAnsi="黑体" w:hint="eastAsia"/>
          <w:bCs/>
          <w:sz w:val="24"/>
        </w:rPr>
        <w:t>10</w:t>
      </w:r>
      <w:r>
        <w:rPr>
          <w:rFonts w:ascii="黑体" w:hAnsi="黑体" w:hint="eastAsia"/>
          <w:bCs/>
          <w:sz w:val="24"/>
        </w:rPr>
        <w:t>年。</w:t>
      </w:r>
    </w:p>
    <w:p w14:paraId="35184FE5" w14:textId="77777777" w:rsidR="001B5650" w:rsidRDefault="001B5650" w:rsidP="001B5650">
      <w:pPr>
        <w:adjustRightInd w:val="0"/>
        <w:snapToGrid w:val="0"/>
        <w:spacing w:line="360" w:lineRule="auto"/>
        <w:ind w:firstLineChars="200" w:firstLine="480"/>
        <w:rPr>
          <w:rFonts w:ascii="黑体" w:hAnsi="黑体"/>
          <w:bCs/>
          <w:sz w:val="24"/>
        </w:rPr>
      </w:pPr>
      <w:r>
        <w:rPr>
          <w:rFonts w:ascii="黑体" w:hAnsi="黑体"/>
          <w:bCs/>
          <w:sz w:val="24"/>
        </w:rPr>
        <w:t>七、信息披露文件的存放与查阅</w:t>
      </w:r>
    </w:p>
    <w:p w14:paraId="00BDC529" w14:textId="77777777" w:rsidR="001B5650" w:rsidRDefault="001B5650" w:rsidP="001B5650">
      <w:pPr>
        <w:adjustRightInd w:val="0"/>
        <w:snapToGrid w:val="0"/>
        <w:spacing w:line="360" w:lineRule="auto"/>
        <w:ind w:firstLineChars="200" w:firstLine="480"/>
        <w:rPr>
          <w:rFonts w:ascii="黑体" w:hAnsi="黑体"/>
          <w:bCs/>
          <w:sz w:val="24"/>
        </w:rPr>
      </w:pPr>
      <w:r>
        <w:rPr>
          <w:rFonts w:ascii="黑体" w:hAnsi="黑体" w:hint="eastAsia"/>
          <w:bCs/>
          <w:sz w:val="24"/>
        </w:rPr>
        <w:t>依法必须披露的信息发布后，基金管理人、基金托管人应当按照相关法律法规规定将信息置备于各自住所，供社会公众查阅、复制</w:t>
      </w:r>
      <w:r>
        <w:rPr>
          <w:rFonts w:ascii="黑体" w:hAnsi="黑体"/>
          <w:bCs/>
          <w:sz w:val="24"/>
        </w:rPr>
        <w:t>。</w:t>
      </w:r>
    </w:p>
    <w:p w14:paraId="0B415585" w14:textId="77777777" w:rsidR="001B5650" w:rsidRPr="00B06F5A" w:rsidRDefault="001B5650" w:rsidP="001B5650">
      <w:pPr>
        <w:adjustRightInd w:val="0"/>
        <w:snapToGrid w:val="0"/>
        <w:spacing w:line="360" w:lineRule="auto"/>
        <w:ind w:firstLineChars="200" w:firstLine="480"/>
        <w:rPr>
          <w:rFonts w:asciiTheme="minorEastAsia" w:eastAsiaTheme="minorEastAsia" w:hAnsiTheme="minorEastAsia"/>
          <w:bCs/>
          <w:sz w:val="24"/>
        </w:rPr>
      </w:pPr>
      <w:r w:rsidRPr="00B06F5A">
        <w:rPr>
          <w:rFonts w:asciiTheme="minorEastAsia" w:eastAsiaTheme="minorEastAsia" w:hAnsiTheme="minorEastAsia" w:hint="eastAsia"/>
          <w:bCs/>
          <w:sz w:val="24"/>
        </w:rPr>
        <w:t>八、暂停或延迟信息披露的情形</w:t>
      </w:r>
    </w:p>
    <w:p w14:paraId="647A7574" w14:textId="77777777" w:rsidR="001B5650" w:rsidRPr="00B06F5A" w:rsidRDefault="001B5650" w:rsidP="001B5650">
      <w:pPr>
        <w:adjustRightInd w:val="0"/>
        <w:snapToGrid w:val="0"/>
        <w:spacing w:line="360" w:lineRule="auto"/>
        <w:ind w:firstLineChars="200" w:firstLine="480"/>
        <w:rPr>
          <w:rFonts w:asciiTheme="minorEastAsia" w:eastAsiaTheme="minorEastAsia" w:hAnsiTheme="minorEastAsia"/>
          <w:bCs/>
          <w:sz w:val="24"/>
        </w:rPr>
      </w:pPr>
      <w:r w:rsidRPr="00B06F5A">
        <w:rPr>
          <w:rFonts w:asciiTheme="minorEastAsia" w:eastAsiaTheme="minorEastAsia" w:hAnsiTheme="minorEastAsia" w:hint="eastAsia"/>
          <w:bCs/>
          <w:sz w:val="24"/>
        </w:rPr>
        <w:t>当出现下述情况时，基金管理人和基金托管人可暂停或延迟披露基金相关信息：</w:t>
      </w:r>
    </w:p>
    <w:p w14:paraId="48F8D9F0" w14:textId="4CC0A0E4" w:rsidR="001B5650" w:rsidRPr="00B06F5A" w:rsidRDefault="001B5650" w:rsidP="001B5650">
      <w:pPr>
        <w:adjustRightInd w:val="0"/>
        <w:snapToGrid w:val="0"/>
        <w:spacing w:line="360" w:lineRule="auto"/>
        <w:ind w:firstLineChars="200" w:firstLine="480"/>
        <w:rPr>
          <w:rFonts w:asciiTheme="minorEastAsia" w:eastAsiaTheme="minorEastAsia" w:hAnsiTheme="minorEastAsia"/>
          <w:bCs/>
          <w:sz w:val="24"/>
        </w:rPr>
      </w:pPr>
      <w:r w:rsidRPr="00B06F5A">
        <w:rPr>
          <w:rFonts w:asciiTheme="minorEastAsia" w:eastAsiaTheme="minorEastAsia" w:hAnsiTheme="minorEastAsia" w:hint="eastAsia"/>
          <w:bCs/>
          <w:sz w:val="24"/>
        </w:rPr>
        <w:t>1、基金投资所涉及的证券/期货交易所遇法定节假日或因其他原因暂停营业时；</w:t>
      </w:r>
    </w:p>
    <w:p w14:paraId="0DCDB8D6" w14:textId="77777777" w:rsidR="001B5650" w:rsidRPr="00B06F5A" w:rsidRDefault="001B5650" w:rsidP="001B5650">
      <w:pPr>
        <w:adjustRightInd w:val="0"/>
        <w:snapToGrid w:val="0"/>
        <w:spacing w:line="360" w:lineRule="auto"/>
        <w:ind w:firstLineChars="200" w:firstLine="480"/>
        <w:rPr>
          <w:rFonts w:asciiTheme="minorEastAsia" w:eastAsiaTheme="minorEastAsia" w:hAnsiTheme="minorEastAsia"/>
          <w:bCs/>
          <w:sz w:val="24"/>
        </w:rPr>
      </w:pPr>
      <w:r w:rsidRPr="00B06F5A">
        <w:rPr>
          <w:rFonts w:asciiTheme="minorEastAsia" w:eastAsiaTheme="minorEastAsia" w:hAnsiTheme="minorEastAsia" w:hint="eastAsia"/>
          <w:bCs/>
          <w:sz w:val="24"/>
        </w:rPr>
        <w:t>2、不可抗力；</w:t>
      </w:r>
    </w:p>
    <w:p w14:paraId="2838ABC1" w14:textId="77777777" w:rsidR="001B5650" w:rsidRPr="00B06F5A" w:rsidRDefault="001B5650" w:rsidP="001B5650">
      <w:pPr>
        <w:adjustRightInd w:val="0"/>
        <w:snapToGrid w:val="0"/>
        <w:spacing w:line="360" w:lineRule="auto"/>
        <w:ind w:firstLineChars="200" w:firstLine="480"/>
        <w:rPr>
          <w:rFonts w:asciiTheme="minorEastAsia" w:eastAsiaTheme="minorEastAsia" w:hAnsiTheme="minorEastAsia"/>
          <w:bCs/>
          <w:sz w:val="24"/>
        </w:rPr>
      </w:pPr>
      <w:r w:rsidRPr="00B06F5A">
        <w:rPr>
          <w:rFonts w:asciiTheme="minorEastAsia" w:eastAsiaTheme="minorEastAsia" w:hAnsiTheme="minorEastAsia" w:hint="eastAsia"/>
          <w:bCs/>
          <w:sz w:val="24"/>
        </w:rPr>
        <w:t>3、发生暂停估值的情形；</w:t>
      </w:r>
    </w:p>
    <w:p w14:paraId="4A367342" w14:textId="591C0180" w:rsidR="00BF4A4E" w:rsidRPr="00B06F5A" w:rsidRDefault="001B5650">
      <w:pPr>
        <w:pStyle w:val="20"/>
        <w:adjustRightInd w:val="0"/>
        <w:snapToGrid w:val="0"/>
        <w:ind w:firstLine="480"/>
        <w:rPr>
          <w:rFonts w:asciiTheme="minorEastAsia" w:eastAsiaTheme="minorEastAsia" w:hAnsiTheme="minorEastAsia" w:cs="宋体"/>
          <w:color w:val="000000"/>
          <w:kern w:val="0"/>
          <w:sz w:val="24"/>
          <w:szCs w:val="24"/>
        </w:rPr>
      </w:pPr>
      <w:r w:rsidRPr="00B06F5A">
        <w:rPr>
          <w:rFonts w:asciiTheme="minorEastAsia" w:eastAsiaTheme="minorEastAsia" w:hAnsiTheme="minorEastAsia" w:hint="eastAsia"/>
          <w:bCs/>
          <w:sz w:val="24"/>
          <w:szCs w:val="24"/>
        </w:rPr>
        <w:t>4、法律法规规定、中国证监会或基金合同认定的其他情形</w:t>
      </w:r>
      <w:r w:rsidR="00BF4A4E" w:rsidRPr="00B06F5A">
        <w:rPr>
          <w:rFonts w:asciiTheme="minorEastAsia" w:eastAsiaTheme="minorEastAsia" w:hAnsiTheme="minorEastAsia" w:cs="宋体" w:hint="eastAsia"/>
          <w:sz w:val="24"/>
          <w:szCs w:val="24"/>
        </w:rPr>
        <w:t>。</w:t>
      </w:r>
    </w:p>
    <w:p w14:paraId="25F08724" w14:textId="77777777" w:rsidR="00BF4A4E" w:rsidRDefault="00BF4A4E">
      <w:pPr>
        <w:pStyle w:val="20"/>
        <w:keepNext/>
        <w:pageBreakBefore/>
        <w:adjustRightInd w:val="0"/>
        <w:snapToGrid w:val="0"/>
        <w:ind w:firstLineChars="0" w:firstLine="0"/>
        <w:jc w:val="center"/>
        <w:outlineLvl w:val="0"/>
        <w:rPr>
          <w:sz w:val="24"/>
        </w:rPr>
      </w:pPr>
      <w:bookmarkStart w:id="63" w:name="_Toc32444"/>
      <w:bookmarkStart w:id="64" w:name="_Toc103003358"/>
      <w:bookmarkEnd w:id="49"/>
      <w:r>
        <w:rPr>
          <w:rFonts w:cs="Arial" w:hint="eastAsia"/>
          <w:b/>
          <w:bCs/>
          <w:kern w:val="32"/>
          <w:sz w:val="32"/>
          <w:szCs w:val="32"/>
        </w:rPr>
        <w:lastRenderedPageBreak/>
        <w:t>第十六部分  侧袋机制</w:t>
      </w:r>
      <w:bookmarkEnd w:id="63"/>
      <w:bookmarkEnd w:id="64"/>
    </w:p>
    <w:p w14:paraId="177D3397" w14:textId="77777777" w:rsidR="00BF4A4E" w:rsidRDefault="00BF4A4E">
      <w:pPr>
        <w:pStyle w:val="20"/>
        <w:adjustRightInd w:val="0"/>
        <w:snapToGrid w:val="0"/>
        <w:ind w:firstLine="480"/>
        <w:rPr>
          <w:sz w:val="24"/>
        </w:rPr>
      </w:pPr>
    </w:p>
    <w:p w14:paraId="3930F495" w14:textId="77777777" w:rsidR="00BF4A4E" w:rsidRDefault="00BF4A4E">
      <w:pPr>
        <w:pStyle w:val="20"/>
        <w:adjustRightInd w:val="0"/>
        <w:snapToGrid w:val="0"/>
        <w:ind w:firstLine="480"/>
        <w:rPr>
          <w:sz w:val="24"/>
        </w:rPr>
      </w:pPr>
      <w:r>
        <w:rPr>
          <w:rFonts w:hint="eastAsia"/>
          <w:sz w:val="24"/>
        </w:rPr>
        <w:t>一、侧袋机制的实施条件、实施程序</w:t>
      </w:r>
    </w:p>
    <w:p w14:paraId="2623D1F8" w14:textId="77777777" w:rsidR="00BF4A4E" w:rsidRDefault="00BF4A4E">
      <w:pPr>
        <w:pStyle w:val="20"/>
        <w:adjustRightInd w:val="0"/>
        <w:snapToGrid w:val="0"/>
        <w:ind w:firstLine="480"/>
        <w:rPr>
          <w:sz w:val="24"/>
        </w:rPr>
      </w:pPr>
      <w:r>
        <w:rPr>
          <w:rFonts w:hint="eastAsia"/>
          <w:sz w:val="24"/>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14:paraId="473AE8C4" w14:textId="77777777" w:rsidR="00BF4A4E" w:rsidRDefault="00BF4A4E">
      <w:pPr>
        <w:pStyle w:val="20"/>
        <w:adjustRightInd w:val="0"/>
        <w:snapToGrid w:val="0"/>
        <w:ind w:firstLine="480"/>
        <w:rPr>
          <w:sz w:val="24"/>
        </w:rPr>
      </w:pPr>
      <w:r>
        <w:rPr>
          <w:rFonts w:hint="eastAsia"/>
          <w:sz w:val="24"/>
        </w:rPr>
        <w:t>基金管理人应当在启用侧袋机制后及时发布临时公告，并及时聘请符合《中华人民共和国证券法》规定的会计师事务所进行审计并披露专项审计意见。</w:t>
      </w:r>
    </w:p>
    <w:p w14:paraId="3A008098" w14:textId="77777777" w:rsidR="00BF4A4E" w:rsidRDefault="00BF4A4E">
      <w:pPr>
        <w:pStyle w:val="20"/>
        <w:adjustRightInd w:val="0"/>
        <w:snapToGrid w:val="0"/>
        <w:ind w:firstLine="480"/>
        <w:rPr>
          <w:sz w:val="24"/>
        </w:rPr>
      </w:pPr>
      <w:r>
        <w:rPr>
          <w:rFonts w:hint="eastAsia"/>
          <w:sz w:val="24"/>
        </w:rPr>
        <w:t>二、侧袋机制实施期间的基金运作安排</w:t>
      </w:r>
    </w:p>
    <w:p w14:paraId="40521572" w14:textId="77777777" w:rsidR="00BF4A4E" w:rsidRDefault="00BF4A4E">
      <w:pPr>
        <w:pStyle w:val="20"/>
        <w:adjustRightInd w:val="0"/>
        <w:snapToGrid w:val="0"/>
        <w:ind w:firstLine="480"/>
        <w:rPr>
          <w:sz w:val="24"/>
        </w:rPr>
      </w:pPr>
      <w:r>
        <w:rPr>
          <w:rFonts w:hint="eastAsia"/>
          <w:sz w:val="24"/>
        </w:rPr>
        <w:t>（一）基金份额的申购与赎回</w:t>
      </w:r>
    </w:p>
    <w:p w14:paraId="280D822B" w14:textId="77777777" w:rsidR="00BF4A4E" w:rsidRDefault="00BF4A4E">
      <w:pPr>
        <w:pStyle w:val="20"/>
        <w:adjustRightInd w:val="0"/>
        <w:snapToGrid w:val="0"/>
        <w:ind w:firstLine="480"/>
        <w:rPr>
          <w:sz w:val="24"/>
        </w:rPr>
      </w:pPr>
      <w:r>
        <w:rPr>
          <w:rFonts w:hint="eastAsia"/>
          <w:sz w:val="24"/>
        </w:rPr>
        <w:t>1、启用侧袋机制当日，基金登记机构以基金份额持有人的原有账户为基础，按照当日份额，确认相应侧袋账户基金份额持有人名册和份额；当日收到的申购申请，按照启用侧袋机制后的主袋账户份额办理；当日收到的赎回申请，仅办理主袋账户的赎回申请并支付赎回款项。</w:t>
      </w:r>
    </w:p>
    <w:p w14:paraId="2947779A" w14:textId="77777777" w:rsidR="00BF4A4E" w:rsidRDefault="00BF4A4E">
      <w:pPr>
        <w:pStyle w:val="20"/>
        <w:adjustRightInd w:val="0"/>
        <w:snapToGrid w:val="0"/>
        <w:ind w:firstLine="480"/>
        <w:rPr>
          <w:sz w:val="24"/>
        </w:rPr>
      </w:pPr>
      <w:r>
        <w:rPr>
          <w:rFonts w:hint="eastAsia"/>
          <w:sz w:val="24"/>
        </w:rPr>
        <w:t>2、实施侧袋机制期间，基金管理人不办理侧袋账户份额的申购、赎回和转换；同时，基金管理人按照基金合同和本招募说明书的约定办理主袋账户份额的赎回，并根据主袋账户运作情况确定是否暂停申购。</w:t>
      </w:r>
    </w:p>
    <w:p w14:paraId="35C40977" w14:textId="77777777" w:rsidR="00BF4A4E" w:rsidRDefault="00BF4A4E">
      <w:pPr>
        <w:pStyle w:val="20"/>
        <w:adjustRightInd w:val="0"/>
        <w:snapToGrid w:val="0"/>
        <w:ind w:firstLine="480"/>
        <w:rPr>
          <w:sz w:val="24"/>
        </w:rPr>
      </w:pPr>
      <w:r>
        <w:rPr>
          <w:rFonts w:hint="eastAsia"/>
          <w:sz w:val="24"/>
        </w:rPr>
        <w:t>3、除基金管理人应按照主袋账户的份额净值办理主袋账户份额的申购和赎回外，本招募说明书“基金份额的申购与赎回”部分的申购、赎回规定适用于主袋账户份额。巨额赎回按照单个开放日内主袋账户份额净赎回申请超过前一开放日主袋账户总份额的10%认定。</w:t>
      </w:r>
    </w:p>
    <w:p w14:paraId="3CABEEC0" w14:textId="77777777" w:rsidR="00BF4A4E" w:rsidRDefault="00BF4A4E">
      <w:pPr>
        <w:pStyle w:val="20"/>
        <w:adjustRightInd w:val="0"/>
        <w:snapToGrid w:val="0"/>
        <w:ind w:firstLine="480"/>
        <w:rPr>
          <w:sz w:val="24"/>
        </w:rPr>
      </w:pPr>
      <w:r>
        <w:rPr>
          <w:rFonts w:hint="eastAsia"/>
          <w:sz w:val="24"/>
        </w:rPr>
        <w:t>（二）实施侧袋机制期间的基金投资</w:t>
      </w:r>
    </w:p>
    <w:p w14:paraId="2AF31165" w14:textId="77777777" w:rsidR="00BF4A4E" w:rsidRDefault="00BF4A4E">
      <w:pPr>
        <w:pStyle w:val="20"/>
        <w:adjustRightInd w:val="0"/>
        <w:snapToGrid w:val="0"/>
        <w:ind w:firstLine="480"/>
        <w:rPr>
          <w:sz w:val="24"/>
        </w:rPr>
      </w:pPr>
      <w:r>
        <w:rPr>
          <w:rFonts w:hint="eastAsia"/>
          <w:sz w:val="24"/>
        </w:rPr>
        <w:t>侧袋机制实施期间，本招募说明书“基金的投资”部分约定的投资组合比例、投资策略、组合限制、业绩比较基准、风险收益特征等约定仅适用于主袋账户。基金管理人计算各项投资运作指标和基金业绩指标时仅需考虑主袋账户资产。</w:t>
      </w:r>
    </w:p>
    <w:p w14:paraId="49EF1AC5" w14:textId="77777777" w:rsidR="00BF4A4E" w:rsidRDefault="00BF4A4E">
      <w:pPr>
        <w:pStyle w:val="20"/>
        <w:adjustRightInd w:val="0"/>
        <w:snapToGrid w:val="0"/>
        <w:ind w:firstLine="480"/>
        <w:rPr>
          <w:sz w:val="24"/>
        </w:rPr>
      </w:pPr>
      <w:r>
        <w:rPr>
          <w:rFonts w:hint="eastAsia"/>
          <w:sz w:val="24"/>
        </w:rPr>
        <w:t>基金管理人原则上应当在侧袋机制启用后20个交易日内完成对主袋账户投资组合的调整，因资产流动性受限等中国证监会规定的情形除外。</w:t>
      </w:r>
    </w:p>
    <w:p w14:paraId="74E2D18D" w14:textId="77777777" w:rsidR="00BF4A4E" w:rsidRDefault="00BF4A4E">
      <w:pPr>
        <w:pStyle w:val="20"/>
        <w:adjustRightInd w:val="0"/>
        <w:snapToGrid w:val="0"/>
        <w:ind w:firstLine="480"/>
        <w:rPr>
          <w:sz w:val="24"/>
        </w:rPr>
      </w:pPr>
      <w:r>
        <w:rPr>
          <w:rFonts w:hint="eastAsia"/>
          <w:sz w:val="24"/>
        </w:rPr>
        <w:t>基金管理人不得在侧袋账户中进行除特定资产处置变现以外的其他投资操作。</w:t>
      </w:r>
    </w:p>
    <w:p w14:paraId="3C8E1432" w14:textId="77777777" w:rsidR="00BF4A4E" w:rsidRDefault="00BF4A4E">
      <w:pPr>
        <w:pStyle w:val="20"/>
        <w:adjustRightInd w:val="0"/>
        <w:snapToGrid w:val="0"/>
        <w:ind w:firstLine="480"/>
        <w:rPr>
          <w:sz w:val="24"/>
        </w:rPr>
      </w:pPr>
      <w:r>
        <w:rPr>
          <w:rFonts w:hint="eastAsia"/>
          <w:sz w:val="24"/>
        </w:rPr>
        <w:lastRenderedPageBreak/>
        <w:t>（三）实施侧袋账户期间的基金费用</w:t>
      </w:r>
    </w:p>
    <w:p w14:paraId="31A99350" w14:textId="77777777" w:rsidR="00BF4A4E" w:rsidRDefault="00BF4A4E">
      <w:pPr>
        <w:pStyle w:val="20"/>
        <w:adjustRightInd w:val="0"/>
        <w:snapToGrid w:val="0"/>
        <w:ind w:firstLine="480"/>
        <w:rPr>
          <w:sz w:val="24"/>
        </w:rPr>
      </w:pPr>
      <w:r>
        <w:rPr>
          <w:rFonts w:hint="eastAsia"/>
          <w:sz w:val="24"/>
        </w:rPr>
        <w:t>1、侧袋机制实施期间，侧袋账户资产不收取基金管理费。</w:t>
      </w:r>
    </w:p>
    <w:p w14:paraId="51853309" w14:textId="77777777" w:rsidR="00BF4A4E" w:rsidRDefault="00BF4A4E">
      <w:pPr>
        <w:pStyle w:val="20"/>
        <w:adjustRightInd w:val="0"/>
        <w:snapToGrid w:val="0"/>
        <w:ind w:firstLine="480"/>
        <w:rPr>
          <w:sz w:val="24"/>
        </w:rPr>
      </w:pPr>
      <w:r>
        <w:rPr>
          <w:rFonts w:hint="eastAsia"/>
          <w:sz w:val="24"/>
        </w:rPr>
        <w:t>2、与侧袋账户有关的费用可从侧袋账户中列支，但应待侧袋账户资产变现后方可列支，有关费用可酌情收取或减免。</w:t>
      </w:r>
    </w:p>
    <w:p w14:paraId="7E03CB57" w14:textId="77777777" w:rsidR="00BF4A4E" w:rsidRDefault="00BF4A4E">
      <w:pPr>
        <w:pStyle w:val="20"/>
        <w:adjustRightInd w:val="0"/>
        <w:snapToGrid w:val="0"/>
        <w:ind w:firstLine="480"/>
        <w:rPr>
          <w:sz w:val="24"/>
        </w:rPr>
      </w:pPr>
      <w:r>
        <w:rPr>
          <w:rFonts w:hint="eastAsia"/>
          <w:sz w:val="24"/>
        </w:rPr>
        <w:t>（四）基金的收益分配</w:t>
      </w:r>
    </w:p>
    <w:p w14:paraId="729CB819" w14:textId="77777777" w:rsidR="00BF4A4E" w:rsidRDefault="00BF4A4E">
      <w:pPr>
        <w:pStyle w:val="20"/>
        <w:adjustRightInd w:val="0"/>
        <w:snapToGrid w:val="0"/>
        <w:ind w:firstLine="480"/>
        <w:rPr>
          <w:sz w:val="24"/>
        </w:rPr>
      </w:pPr>
      <w:r>
        <w:rPr>
          <w:rFonts w:hint="eastAsia"/>
          <w:sz w:val="24"/>
        </w:rPr>
        <w:t>侧袋机制实施期间，在主袋账户份额满足基金合同收益分配条件的情形下，基金管理人可对主袋账户份额进行收益分配。侧袋账户不进行收益分配。</w:t>
      </w:r>
    </w:p>
    <w:p w14:paraId="014F7BB7" w14:textId="77777777" w:rsidR="00BF4A4E" w:rsidRDefault="00BF4A4E">
      <w:pPr>
        <w:pStyle w:val="20"/>
        <w:adjustRightInd w:val="0"/>
        <w:snapToGrid w:val="0"/>
        <w:ind w:firstLine="480"/>
        <w:rPr>
          <w:sz w:val="24"/>
        </w:rPr>
      </w:pPr>
      <w:r>
        <w:rPr>
          <w:rFonts w:hint="eastAsia"/>
          <w:sz w:val="24"/>
        </w:rPr>
        <w:t>（五）侧袋机制的信息披露</w:t>
      </w:r>
    </w:p>
    <w:p w14:paraId="6149CCDB" w14:textId="77777777" w:rsidR="00BF4A4E" w:rsidRDefault="00BF4A4E">
      <w:pPr>
        <w:pStyle w:val="20"/>
        <w:adjustRightInd w:val="0"/>
        <w:snapToGrid w:val="0"/>
        <w:ind w:firstLine="480"/>
        <w:rPr>
          <w:sz w:val="24"/>
        </w:rPr>
      </w:pPr>
      <w:r>
        <w:rPr>
          <w:rFonts w:hint="eastAsia"/>
          <w:sz w:val="24"/>
        </w:rPr>
        <w:t>1、基金净值信息</w:t>
      </w:r>
    </w:p>
    <w:p w14:paraId="6744E24C" w14:textId="77777777" w:rsidR="00BF4A4E" w:rsidRDefault="00BF4A4E">
      <w:pPr>
        <w:pStyle w:val="20"/>
        <w:adjustRightInd w:val="0"/>
        <w:snapToGrid w:val="0"/>
        <w:ind w:firstLine="480"/>
        <w:rPr>
          <w:sz w:val="24"/>
        </w:rPr>
      </w:pPr>
      <w:r>
        <w:rPr>
          <w:rFonts w:hint="eastAsia"/>
          <w:sz w:val="24"/>
        </w:rPr>
        <w:t>基金管理人应按照本招募说明书“基金的信息披露”部分规定的基金净值信息披露方式和频率披露主袋账户份额的基金份额净值和基金份额累计净值。实施侧袋机制期间本基金暂停披露侧袋账户份额净值。</w:t>
      </w:r>
    </w:p>
    <w:p w14:paraId="58AA62C3" w14:textId="77777777" w:rsidR="00BF4A4E" w:rsidRDefault="00BF4A4E">
      <w:pPr>
        <w:pStyle w:val="20"/>
        <w:adjustRightInd w:val="0"/>
        <w:snapToGrid w:val="0"/>
        <w:ind w:firstLine="480"/>
        <w:rPr>
          <w:sz w:val="24"/>
        </w:rPr>
      </w:pPr>
      <w:r>
        <w:rPr>
          <w:rFonts w:hint="eastAsia"/>
          <w:sz w:val="24"/>
        </w:rPr>
        <w:t>2、定期报告</w:t>
      </w:r>
    </w:p>
    <w:p w14:paraId="1B9BB4EC" w14:textId="77777777" w:rsidR="00BF4A4E" w:rsidRDefault="00BF4A4E">
      <w:pPr>
        <w:pStyle w:val="20"/>
        <w:adjustRightInd w:val="0"/>
        <w:snapToGrid w:val="0"/>
        <w:ind w:firstLine="480"/>
        <w:rPr>
          <w:sz w:val="24"/>
        </w:rPr>
      </w:pPr>
      <w:r>
        <w:rPr>
          <w:rFonts w:hint="eastAsia"/>
          <w:sz w:val="24"/>
        </w:rPr>
        <w:t>侧袋机制实施期间，基金管理人应当在基金定期报告中披露报告期内特定资产处置进展情况，披露报告期末特定资产可变现净值或净值区间的，该净值或净值区间并不代表特定资产最终的变现价格，不作为基金管理人对特定资产最终变现价格的承诺。</w:t>
      </w:r>
    </w:p>
    <w:p w14:paraId="3F7892A8" w14:textId="77777777" w:rsidR="00BF4A4E" w:rsidRDefault="00BF4A4E">
      <w:pPr>
        <w:pStyle w:val="20"/>
        <w:adjustRightInd w:val="0"/>
        <w:snapToGrid w:val="0"/>
        <w:ind w:firstLine="480"/>
        <w:rPr>
          <w:sz w:val="24"/>
        </w:rPr>
      </w:pPr>
      <w:r>
        <w:rPr>
          <w:rFonts w:hint="eastAsia"/>
          <w:sz w:val="24"/>
        </w:rPr>
        <w:t>3、临时公告</w:t>
      </w:r>
    </w:p>
    <w:p w14:paraId="0F9F1778" w14:textId="77777777" w:rsidR="00BF4A4E" w:rsidRDefault="00BF4A4E">
      <w:pPr>
        <w:pStyle w:val="20"/>
        <w:adjustRightInd w:val="0"/>
        <w:snapToGrid w:val="0"/>
        <w:ind w:firstLine="480"/>
        <w:rPr>
          <w:sz w:val="24"/>
        </w:rPr>
      </w:pPr>
      <w:r>
        <w:rPr>
          <w:rFonts w:hint="eastAsia"/>
          <w:sz w:val="24"/>
        </w:rPr>
        <w:t>基金管理人在启用侧袋机制、处置特定资产、终止侧袋机制以及发生其他可能对投资者利益产生重大影响的事项后应及时发布临时公告。</w:t>
      </w:r>
    </w:p>
    <w:p w14:paraId="6554014D" w14:textId="77777777" w:rsidR="00BF4A4E" w:rsidRDefault="00BF4A4E">
      <w:pPr>
        <w:pStyle w:val="20"/>
        <w:adjustRightInd w:val="0"/>
        <w:snapToGrid w:val="0"/>
        <w:ind w:firstLine="480"/>
        <w:rPr>
          <w:sz w:val="24"/>
        </w:rPr>
      </w:pPr>
      <w:r>
        <w:rPr>
          <w:rFonts w:hint="eastAsia"/>
          <w:sz w:val="24"/>
        </w:rPr>
        <w:t>启用侧袋机制的临时公告内容应当包括启用原因及程序、特定资产流动性和估值情况、对投资者申购赎回的影响、风险提示等重要信息。</w:t>
      </w:r>
    </w:p>
    <w:p w14:paraId="62C2D557" w14:textId="77777777" w:rsidR="00BF4A4E" w:rsidRDefault="00BF4A4E">
      <w:pPr>
        <w:pStyle w:val="20"/>
        <w:adjustRightInd w:val="0"/>
        <w:snapToGrid w:val="0"/>
        <w:ind w:firstLine="480"/>
        <w:rPr>
          <w:sz w:val="24"/>
        </w:rPr>
      </w:pPr>
      <w:r>
        <w:rPr>
          <w:rFonts w:hint="eastAsia"/>
          <w:sz w:val="24"/>
        </w:rPr>
        <w:t>处置特定资产的临时公告内容应当包括特定资产处置价格和时间、向侧袋账户份额持有人支付的款项、相关费用发生情况等重要信息。</w:t>
      </w:r>
    </w:p>
    <w:p w14:paraId="677F59CC" w14:textId="77777777" w:rsidR="00BF4A4E" w:rsidRDefault="00BF4A4E">
      <w:pPr>
        <w:pStyle w:val="20"/>
        <w:adjustRightInd w:val="0"/>
        <w:snapToGrid w:val="0"/>
        <w:ind w:firstLine="480"/>
        <w:rPr>
          <w:sz w:val="24"/>
        </w:rPr>
      </w:pPr>
      <w:r>
        <w:rPr>
          <w:rFonts w:hint="eastAsia"/>
          <w:sz w:val="24"/>
        </w:rPr>
        <w:t>（六）侧袋账户中特定资产的处置变现和支付</w:t>
      </w:r>
    </w:p>
    <w:p w14:paraId="1BA4D63B" w14:textId="77777777" w:rsidR="00BF4A4E" w:rsidRDefault="00BF4A4E">
      <w:pPr>
        <w:pStyle w:val="20"/>
        <w:adjustRightInd w:val="0"/>
        <w:snapToGrid w:val="0"/>
        <w:ind w:firstLine="480"/>
        <w:rPr>
          <w:sz w:val="24"/>
        </w:rPr>
      </w:pPr>
      <w:r>
        <w:rPr>
          <w:rFonts w:hint="eastAsia"/>
          <w:sz w:val="24"/>
        </w:rPr>
        <w:t>特定资产以可出售、可转让、恢复交易等方式恢复流动性后，基金管理人应当按照基金份额持有人利益最大化原则，采取将特定资产予以处置变现等方式，及时向侧袋账户份额持有人支付对应款项。</w:t>
      </w:r>
    </w:p>
    <w:p w14:paraId="1DBB5739" w14:textId="77777777" w:rsidR="00BF4A4E" w:rsidRDefault="00BF4A4E">
      <w:pPr>
        <w:pStyle w:val="20"/>
        <w:adjustRightInd w:val="0"/>
        <w:snapToGrid w:val="0"/>
        <w:ind w:firstLine="480"/>
        <w:rPr>
          <w:sz w:val="24"/>
        </w:rPr>
      </w:pPr>
      <w:r>
        <w:rPr>
          <w:rFonts w:hint="eastAsia"/>
          <w:sz w:val="24"/>
        </w:rPr>
        <w:t>终止侧袋机制后，基金管理人及时聘请符合《中华人民共和国证券法》规定的会计师事务所进行审计并披露专项审计意见。</w:t>
      </w:r>
    </w:p>
    <w:p w14:paraId="370DEB9E" w14:textId="4DCC5A47" w:rsidR="00BF4A4E" w:rsidRDefault="00BF4A4E">
      <w:pPr>
        <w:pStyle w:val="20"/>
        <w:adjustRightInd w:val="0"/>
        <w:snapToGrid w:val="0"/>
        <w:ind w:firstLine="480"/>
      </w:pPr>
      <w:r>
        <w:rPr>
          <w:rFonts w:hint="eastAsia"/>
          <w:sz w:val="24"/>
        </w:rPr>
        <w:lastRenderedPageBreak/>
        <w:t>三、本部分关于侧袋机制的相关规定，凡是直接引用法律法规或监管规则的部分，如将来法律法规或监管规则修改导致相关内容被取消或变更的，基金管理人经与基金托管人协商一致后，可直接对本部分内容进行修改和调整，无需召开基金份额持有人大会审议。</w:t>
      </w:r>
    </w:p>
    <w:p w14:paraId="2C14D1EF" w14:textId="77777777" w:rsidR="00BF4A4E" w:rsidRDefault="00BF4A4E">
      <w:pPr>
        <w:pStyle w:val="20"/>
        <w:adjustRightInd w:val="0"/>
        <w:snapToGrid w:val="0"/>
      </w:pPr>
    </w:p>
    <w:p w14:paraId="35C686E1" w14:textId="77777777" w:rsidR="00BF4A4E" w:rsidRDefault="00BF4A4E">
      <w:pPr>
        <w:pStyle w:val="1"/>
        <w:pageBreakBefore/>
        <w:spacing w:line="360" w:lineRule="auto"/>
        <w:jc w:val="center"/>
        <w:rPr>
          <w:rFonts w:ascii="宋体" w:hAnsi="宋体"/>
        </w:rPr>
      </w:pPr>
      <w:bookmarkStart w:id="65" w:name="_Toc103003359"/>
      <w:bookmarkStart w:id="66" w:name="_Hlk190697238"/>
      <w:r>
        <w:rPr>
          <w:rFonts w:ascii="宋体" w:hAnsi="宋体"/>
        </w:rPr>
        <w:lastRenderedPageBreak/>
        <w:t>第</w:t>
      </w:r>
      <w:r>
        <w:rPr>
          <w:rFonts w:ascii="宋体" w:hAnsi="宋体" w:hint="eastAsia"/>
        </w:rPr>
        <w:t>十七</w:t>
      </w:r>
      <w:r>
        <w:rPr>
          <w:rFonts w:ascii="宋体" w:hAnsi="宋体"/>
        </w:rPr>
        <w:t>部分</w:t>
      </w:r>
      <w:r>
        <w:rPr>
          <w:rFonts w:ascii="宋体" w:hAnsi="宋体" w:hint="eastAsia"/>
        </w:rPr>
        <w:t xml:space="preserve">  风险揭示</w:t>
      </w:r>
      <w:bookmarkEnd w:id="65"/>
    </w:p>
    <w:p w14:paraId="1C314367" w14:textId="77777777" w:rsidR="00BF4A4E" w:rsidRDefault="00BF4A4E">
      <w:pPr>
        <w:pStyle w:val="20"/>
        <w:ind w:firstLineChars="0" w:firstLine="480"/>
        <w:rPr>
          <w:sz w:val="24"/>
        </w:rPr>
      </w:pPr>
    </w:p>
    <w:p w14:paraId="28F37BD8" w14:textId="77777777" w:rsidR="00BF4A4E" w:rsidRDefault="00BF4A4E">
      <w:pPr>
        <w:pStyle w:val="20"/>
        <w:adjustRightInd w:val="0"/>
        <w:snapToGrid w:val="0"/>
        <w:ind w:firstLine="480"/>
        <w:rPr>
          <w:rFonts w:cs="宋体"/>
          <w:sz w:val="24"/>
        </w:rPr>
      </w:pPr>
      <w:r>
        <w:rPr>
          <w:rFonts w:cs="宋体" w:hint="eastAsia"/>
          <w:sz w:val="24"/>
        </w:rPr>
        <w:t>一、市场风险</w:t>
      </w:r>
    </w:p>
    <w:p w14:paraId="1FE2D481" w14:textId="77777777" w:rsidR="00BF4A4E" w:rsidRDefault="00BF4A4E">
      <w:pPr>
        <w:pStyle w:val="20"/>
        <w:adjustRightInd w:val="0"/>
        <w:snapToGrid w:val="0"/>
        <w:ind w:firstLine="480"/>
        <w:rPr>
          <w:rFonts w:cs="宋体"/>
          <w:sz w:val="24"/>
        </w:rPr>
      </w:pPr>
      <w:r>
        <w:rPr>
          <w:rFonts w:cs="宋体" w:hint="eastAsia"/>
          <w:sz w:val="24"/>
        </w:rPr>
        <w:t>本基金主要投资于证券市场，证券价格受整体政治、经济、社会等环境因素的影响会产生波动，从而对本基金的投资产生潜在风险，导致本基金的收益水平发生波动。</w:t>
      </w:r>
    </w:p>
    <w:p w14:paraId="5BFF13D5" w14:textId="77777777" w:rsidR="00BF4A4E" w:rsidRDefault="00BF4A4E">
      <w:pPr>
        <w:pStyle w:val="20"/>
        <w:adjustRightInd w:val="0"/>
        <w:snapToGrid w:val="0"/>
        <w:ind w:firstLine="480"/>
        <w:rPr>
          <w:rFonts w:cs="宋体"/>
          <w:sz w:val="24"/>
        </w:rPr>
      </w:pPr>
      <w:r>
        <w:rPr>
          <w:rFonts w:cs="宋体" w:hint="eastAsia"/>
          <w:sz w:val="24"/>
        </w:rPr>
        <w:t>1、政策风险</w:t>
      </w:r>
    </w:p>
    <w:p w14:paraId="63A8AA58" w14:textId="77777777" w:rsidR="00BF4A4E" w:rsidRDefault="00BF4A4E">
      <w:pPr>
        <w:pStyle w:val="20"/>
        <w:adjustRightInd w:val="0"/>
        <w:snapToGrid w:val="0"/>
        <w:ind w:firstLine="480"/>
        <w:rPr>
          <w:rFonts w:cs="宋体"/>
          <w:sz w:val="24"/>
        </w:rPr>
      </w:pPr>
      <w:r>
        <w:rPr>
          <w:rFonts w:cs="宋体" w:hint="eastAsia"/>
          <w:sz w:val="24"/>
        </w:rPr>
        <w:t>政策风险是指国家货币政策、财政政策、产业政策等宏观经济政策发生重大变化而导致的本基金投资对象的价格波动，从而给投资人带来的风险。</w:t>
      </w:r>
    </w:p>
    <w:p w14:paraId="589BD53F" w14:textId="77777777" w:rsidR="00BF4A4E" w:rsidRDefault="00BF4A4E">
      <w:pPr>
        <w:pStyle w:val="20"/>
        <w:adjustRightInd w:val="0"/>
        <w:snapToGrid w:val="0"/>
        <w:ind w:firstLine="480"/>
        <w:rPr>
          <w:rFonts w:cs="宋体"/>
          <w:sz w:val="24"/>
        </w:rPr>
      </w:pPr>
      <w:r>
        <w:rPr>
          <w:rFonts w:cs="宋体" w:hint="eastAsia"/>
          <w:sz w:val="24"/>
        </w:rPr>
        <w:t>2、经济周期风险</w:t>
      </w:r>
    </w:p>
    <w:p w14:paraId="6D50C593" w14:textId="77777777" w:rsidR="00BF4A4E" w:rsidRDefault="00BF4A4E">
      <w:pPr>
        <w:pStyle w:val="20"/>
        <w:adjustRightInd w:val="0"/>
        <w:snapToGrid w:val="0"/>
        <w:ind w:firstLine="480"/>
        <w:rPr>
          <w:rFonts w:cs="宋体"/>
          <w:sz w:val="24"/>
        </w:rPr>
      </w:pPr>
      <w:r>
        <w:rPr>
          <w:rFonts w:cs="宋体" w:hint="eastAsia"/>
          <w:sz w:val="24"/>
        </w:rPr>
        <w:t>经济运行具有周期性的特点，市场的收益水平随经济运行的周期性变动而变动，本基金所投资的权益类和/或债券类相关投资工具的收益水平也会随之变化，从而产生风险。</w:t>
      </w:r>
    </w:p>
    <w:p w14:paraId="4EB883A0" w14:textId="77777777" w:rsidR="00BF4A4E" w:rsidRDefault="00BF4A4E">
      <w:pPr>
        <w:pStyle w:val="20"/>
        <w:adjustRightInd w:val="0"/>
        <w:snapToGrid w:val="0"/>
        <w:ind w:firstLine="480"/>
        <w:rPr>
          <w:rFonts w:cs="宋体"/>
          <w:sz w:val="24"/>
        </w:rPr>
      </w:pPr>
      <w:r>
        <w:rPr>
          <w:rFonts w:cs="宋体" w:hint="eastAsia"/>
          <w:sz w:val="24"/>
        </w:rPr>
        <w:t>3、利率风险</w:t>
      </w:r>
    </w:p>
    <w:p w14:paraId="179E6845" w14:textId="77777777" w:rsidR="00BF4A4E" w:rsidRDefault="00BF4A4E">
      <w:pPr>
        <w:pStyle w:val="20"/>
        <w:adjustRightInd w:val="0"/>
        <w:snapToGrid w:val="0"/>
        <w:ind w:firstLine="480"/>
        <w:rPr>
          <w:rFonts w:cs="宋体"/>
          <w:sz w:val="24"/>
        </w:rPr>
      </w:pPr>
      <w:r>
        <w:rPr>
          <w:rFonts w:cs="宋体" w:hint="eastAsia"/>
          <w:sz w:val="24"/>
        </w:rPr>
        <w:t>金融市场利率的波动会导致证券市场价格和收益率的变动。利率不仅直接影响着债券的价格和收益率，还影响着企业的融资成本和利润。基金投资于权益类和/或债券类相关投资工具，其收益水平可能会受到利率变化的影响。</w:t>
      </w:r>
    </w:p>
    <w:p w14:paraId="3312DC0F" w14:textId="77777777" w:rsidR="00BF4A4E" w:rsidRDefault="00BF4A4E">
      <w:pPr>
        <w:pStyle w:val="20"/>
        <w:adjustRightInd w:val="0"/>
        <w:snapToGrid w:val="0"/>
        <w:ind w:firstLine="480"/>
        <w:rPr>
          <w:rFonts w:cs="宋体"/>
          <w:sz w:val="24"/>
        </w:rPr>
      </w:pPr>
      <w:r>
        <w:rPr>
          <w:rFonts w:cs="宋体" w:hint="eastAsia"/>
          <w:sz w:val="24"/>
        </w:rPr>
        <w:t>4、购买力风险</w:t>
      </w:r>
    </w:p>
    <w:p w14:paraId="7590FFBE" w14:textId="77777777" w:rsidR="00BF4A4E" w:rsidRDefault="00BF4A4E">
      <w:pPr>
        <w:pStyle w:val="20"/>
        <w:adjustRightInd w:val="0"/>
        <w:snapToGrid w:val="0"/>
        <w:ind w:firstLine="480"/>
        <w:rPr>
          <w:rFonts w:cs="宋体"/>
          <w:sz w:val="24"/>
        </w:rPr>
      </w:pPr>
      <w:r>
        <w:rPr>
          <w:rFonts w:cs="宋体" w:hint="eastAsia"/>
          <w:sz w:val="24"/>
        </w:rPr>
        <w:t>基金的一部分收益将通过现金形式来分配，而现金的购买力可能因为通货膨胀的影响而下降，从而给投资人带来实际收益水平下降的风险。</w:t>
      </w:r>
    </w:p>
    <w:p w14:paraId="56B00320" w14:textId="77777777" w:rsidR="00BF4A4E" w:rsidRDefault="00BF4A4E">
      <w:pPr>
        <w:pStyle w:val="20"/>
        <w:adjustRightInd w:val="0"/>
        <w:snapToGrid w:val="0"/>
        <w:ind w:firstLine="480"/>
        <w:rPr>
          <w:rFonts w:cs="宋体"/>
          <w:sz w:val="24"/>
        </w:rPr>
      </w:pPr>
      <w:r>
        <w:rPr>
          <w:rFonts w:cs="宋体" w:hint="eastAsia"/>
          <w:sz w:val="24"/>
        </w:rPr>
        <w:t>5、再投资风险</w:t>
      </w:r>
    </w:p>
    <w:p w14:paraId="3974BA11" w14:textId="77777777" w:rsidR="00BF4A4E" w:rsidRDefault="00BF4A4E">
      <w:pPr>
        <w:pStyle w:val="20"/>
        <w:adjustRightInd w:val="0"/>
        <w:snapToGrid w:val="0"/>
        <w:ind w:firstLine="480"/>
        <w:rPr>
          <w:rFonts w:cs="宋体"/>
          <w:sz w:val="24"/>
        </w:rPr>
      </w:pPr>
      <w:r>
        <w:rPr>
          <w:rFonts w:cs="宋体" w:hint="eastAsia"/>
          <w:sz w:val="24"/>
        </w:rPr>
        <w:t>市场利率下降将影响债券利息收入的再投资收益率。</w:t>
      </w:r>
    </w:p>
    <w:p w14:paraId="4E12F70A" w14:textId="77777777" w:rsidR="00BF4A4E" w:rsidRDefault="00BF4A4E">
      <w:pPr>
        <w:pStyle w:val="20"/>
        <w:adjustRightInd w:val="0"/>
        <w:snapToGrid w:val="0"/>
        <w:ind w:firstLine="480"/>
        <w:rPr>
          <w:rFonts w:cs="宋体"/>
          <w:sz w:val="24"/>
        </w:rPr>
      </w:pPr>
      <w:r>
        <w:rPr>
          <w:rFonts w:cs="宋体" w:hint="eastAsia"/>
          <w:sz w:val="24"/>
        </w:rPr>
        <w:t>6、债券发行人提前兑付风险</w:t>
      </w:r>
    </w:p>
    <w:p w14:paraId="489C24CE" w14:textId="1AFDD077" w:rsidR="00BF4A4E" w:rsidRDefault="00BF4A4E">
      <w:pPr>
        <w:pStyle w:val="20"/>
        <w:adjustRightInd w:val="0"/>
        <w:snapToGrid w:val="0"/>
        <w:ind w:firstLine="480"/>
        <w:rPr>
          <w:rFonts w:cs="宋体"/>
          <w:sz w:val="24"/>
        </w:rPr>
      </w:pPr>
      <w:r>
        <w:rPr>
          <w:rFonts w:cs="宋体" w:hint="eastAsia"/>
          <w:sz w:val="24"/>
        </w:rPr>
        <w:t>当利率下降时，拥有提前兑付权的债券发行人往往会行使该类权利。在此情形下，基金经理不得不将兑付资金再投资到收益率更低的债券上，从而影响投资组合的整体回报率。</w:t>
      </w:r>
    </w:p>
    <w:p w14:paraId="560C82F2" w14:textId="2E872631" w:rsidR="00623896" w:rsidRPr="00C06D01" w:rsidRDefault="00623896" w:rsidP="00623896">
      <w:pPr>
        <w:pStyle w:val="20"/>
        <w:adjustRightInd w:val="0"/>
        <w:snapToGrid w:val="0"/>
        <w:ind w:firstLine="480"/>
        <w:rPr>
          <w:rFonts w:cs="宋体"/>
          <w:sz w:val="24"/>
        </w:rPr>
      </w:pPr>
      <w:r>
        <w:rPr>
          <w:rFonts w:cs="宋体"/>
          <w:sz w:val="24"/>
        </w:rPr>
        <w:t>7</w:t>
      </w:r>
      <w:r w:rsidRPr="00C06D01">
        <w:rPr>
          <w:rFonts w:cs="宋体" w:hint="eastAsia"/>
          <w:sz w:val="24"/>
        </w:rPr>
        <w:t>、债券发行人经营风险</w:t>
      </w:r>
    </w:p>
    <w:p w14:paraId="16333841" w14:textId="7DF59BA8" w:rsidR="00623896" w:rsidRPr="00623896" w:rsidRDefault="00623896" w:rsidP="00623896">
      <w:pPr>
        <w:pStyle w:val="20"/>
        <w:adjustRightInd w:val="0"/>
        <w:snapToGrid w:val="0"/>
        <w:ind w:firstLine="480"/>
        <w:rPr>
          <w:rFonts w:cs="宋体"/>
          <w:sz w:val="24"/>
        </w:rPr>
      </w:pPr>
      <w:r w:rsidRPr="00C06D01">
        <w:rPr>
          <w:rFonts w:cs="宋体" w:hint="eastAsia"/>
          <w:sz w:val="24"/>
        </w:rPr>
        <w:t>此类风险与基金所投资债券的发行人的经营活动所引起的收入现金流的不确定性有关。债券发行人期间运营收入变化越大，经营风险就越大；反之，运营</w:t>
      </w:r>
      <w:r w:rsidRPr="00C06D01">
        <w:rPr>
          <w:rFonts w:cs="宋体" w:hint="eastAsia"/>
          <w:sz w:val="24"/>
        </w:rPr>
        <w:lastRenderedPageBreak/>
        <w:t>收入越稳定，经营风险就越小。</w:t>
      </w:r>
    </w:p>
    <w:p w14:paraId="293CDB70" w14:textId="19D337FA" w:rsidR="00BF4A4E" w:rsidRDefault="00623896">
      <w:pPr>
        <w:pStyle w:val="20"/>
        <w:adjustRightInd w:val="0"/>
        <w:snapToGrid w:val="0"/>
        <w:ind w:firstLine="480"/>
        <w:rPr>
          <w:rFonts w:cs="宋体"/>
          <w:sz w:val="24"/>
        </w:rPr>
      </w:pPr>
      <w:r>
        <w:rPr>
          <w:rFonts w:cs="宋体"/>
          <w:sz w:val="24"/>
        </w:rPr>
        <w:t>8</w:t>
      </w:r>
      <w:r w:rsidR="00BF4A4E">
        <w:rPr>
          <w:rFonts w:cs="宋体" w:hint="eastAsia"/>
          <w:sz w:val="24"/>
        </w:rPr>
        <w:t>、上市公司经营风险</w:t>
      </w:r>
    </w:p>
    <w:p w14:paraId="1EBB210B" w14:textId="77777777" w:rsidR="00BF4A4E" w:rsidRDefault="00BF4A4E">
      <w:pPr>
        <w:pStyle w:val="20"/>
        <w:adjustRightInd w:val="0"/>
        <w:snapToGrid w:val="0"/>
        <w:ind w:firstLine="480"/>
        <w:rPr>
          <w:rFonts w:cs="宋体"/>
          <w:sz w:val="24"/>
        </w:rPr>
      </w:pPr>
      <w:r>
        <w:rPr>
          <w:rFonts w:cs="宋体" w:hint="eastAsia"/>
          <w:sz w:val="24"/>
        </w:rPr>
        <w:t>上市公司的经营状况受多种因素的影响，如管理能力、行业竞争、市场前景、技术更新、财务状况、新产品研究开发等都会导致公司盈利发生变化。如果基金所投资的上市公司经营不善，其股票价格可能下跌，或者能够用于分配的利润减少，使基金投资收益下降。上市公司还可能出现难以预见的变化。虽然基金可以通过投资多样化来分散这种非系统风险，但不能完全避免。</w:t>
      </w:r>
    </w:p>
    <w:p w14:paraId="0BEF762C" w14:textId="57173734" w:rsidR="00BF4A4E" w:rsidRDefault="00623896">
      <w:pPr>
        <w:pStyle w:val="20"/>
        <w:adjustRightInd w:val="0"/>
        <w:snapToGrid w:val="0"/>
        <w:ind w:firstLine="480"/>
        <w:rPr>
          <w:rFonts w:cs="宋体"/>
          <w:sz w:val="24"/>
        </w:rPr>
      </w:pPr>
      <w:r>
        <w:rPr>
          <w:rFonts w:cs="宋体"/>
          <w:sz w:val="24"/>
        </w:rPr>
        <w:t>9</w:t>
      </w:r>
      <w:r w:rsidR="00BF4A4E">
        <w:rPr>
          <w:rFonts w:cs="宋体" w:hint="eastAsia"/>
          <w:sz w:val="24"/>
        </w:rPr>
        <w:t>、信用风险</w:t>
      </w:r>
    </w:p>
    <w:p w14:paraId="7C951AEC" w14:textId="77777777" w:rsidR="00BF4A4E" w:rsidRDefault="00BF4A4E">
      <w:pPr>
        <w:pStyle w:val="20"/>
        <w:adjustRightInd w:val="0"/>
        <w:snapToGrid w:val="0"/>
        <w:ind w:firstLine="480"/>
        <w:rPr>
          <w:rFonts w:cs="宋体"/>
          <w:sz w:val="24"/>
        </w:rPr>
      </w:pPr>
      <w:r>
        <w:rPr>
          <w:rFonts w:cs="宋体" w:hint="eastAsia"/>
          <w:sz w:val="24"/>
        </w:rPr>
        <w:t>信用风险是指金融工具的一方到期无法履行约定义务致使本基金遭受损失的风险。基金在交易过程中可能发生交收违约或者所投资债券的发行人违约、拒绝支付到期本息等情况，从而导致基金资产损失。</w:t>
      </w:r>
    </w:p>
    <w:p w14:paraId="7F36BEA0" w14:textId="30ADA760" w:rsidR="00BF4A4E" w:rsidRDefault="00623896">
      <w:pPr>
        <w:pStyle w:val="20"/>
        <w:adjustRightInd w:val="0"/>
        <w:snapToGrid w:val="0"/>
        <w:ind w:firstLine="480"/>
        <w:rPr>
          <w:rFonts w:cs="宋体"/>
          <w:sz w:val="24"/>
        </w:rPr>
      </w:pPr>
      <w:r>
        <w:rPr>
          <w:rFonts w:cs="宋体"/>
          <w:sz w:val="24"/>
        </w:rPr>
        <w:t>10</w:t>
      </w:r>
      <w:r w:rsidR="00BF4A4E">
        <w:rPr>
          <w:rFonts w:cs="宋体" w:hint="eastAsia"/>
          <w:sz w:val="24"/>
        </w:rPr>
        <w:t>、通货膨胀风险</w:t>
      </w:r>
    </w:p>
    <w:p w14:paraId="723BF9BB" w14:textId="77777777" w:rsidR="00BF4A4E" w:rsidRDefault="00BF4A4E">
      <w:pPr>
        <w:pStyle w:val="20"/>
        <w:adjustRightInd w:val="0"/>
        <w:snapToGrid w:val="0"/>
        <w:ind w:firstLine="480"/>
        <w:rPr>
          <w:rFonts w:cs="宋体"/>
          <w:sz w:val="24"/>
        </w:rPr>
      </w:pPr>
      <w:r>
        <w:rPr>
          <w:rFonts w:cs="宋体" w:hint="eastAsia"/>
          <w:sz w:val="24"/>
        </w:rPr>
        <w:t>由于通货膨胀率提高，基金的实际投资价值会因此降低。</w:t>
      </w:r>
    </w:p>
    <w:p w14:paraId="01E873A6" w14:textId="10FACD6B" w:rsidR="00BF4A4E" w:rsidRDefault="00623896">
      <w:pPr>
        <w:pStyle w:val="20"/>
        <w:adjustRightInd w:val="0"/>
        <w:snapToGrid w:val="0"/>
        <w:ind w:firstLine="480"/>
        <w:rPr>
          <w:rFonts w:cs="宋体"/>
          <w:sz w:val="24"/>
        </w:rPr>
      </w:pPr>
      <w:r>
        <w:rPr>
          <w:rFonts w:cs="宋体"/>
          <w:sz w:val="24"/>
        </w:rPr>
        <w:t>11</w:t>
      </w:r>
      <w:r w:rsidR="00BF4A4E">
        <w:rPr>
          <w:rFonts w:cs="宋体" w:hint="eastAsia"/>
          <w:sz w:val="24"/>
        </w:rPr>
        <w:t>、法律风险</w:t>
      </w:r>
    </w:p>
    <w:p w14:paraId="4DA94C65" w14:textId="77777777" w:rsidR="00BF4A4E" w:rsidRDefault="00BF4A4E">
      <w:pPr>
        <w:pStyle w:val="20"/>
        <w:adjustRightInd w:val="0"/>
        <w:snapToGrid w:val="0"/>
        <w:ind w:firstLine="480"/>
        <w:rPr>
          <w:rFonts w:cs="宋体"/>
          <w:sz w:val="24"/>
        </w:rPr>
      </w:pPr>
      <w:r>
        <w:rPr>
          <w:rFonts w:cs="宋体" w:hint="eastAsia"/>
          <w:sz w:val="24"/>
        </w:rPr>
        <w:t>由于法律法规方面的原因，某些市场行为受到限制或合同不能正常执行，导致了基金资产损失的风险。</w:t>
      </w:r>
    </w:p>
    <w:p w14:paraId="72E49529" w14:textId="77777777" w:rsidR="00BF4A4E" w:rsidRDefault="00BF4A4E">
      <w:pPr>
        <w:pStyle w:val="20"/>
        <w:adjustRightInd w:val="0"/>
        <w:snapToGrid w:val="0"/>
        <w:ind w:firstLine="480"/>
        <w:rPr>
          <w:rFonts w:cs="宋体"/>
          <w:sz w:val="24"/>
        </w:rPr>
      </w:pPr>
      <w:r>
        <w:rPr>
          <w:rFonts w:cs="宋体" w:hint="eastAsia"/>
          <w:sz w:val="24"/>
        </w:rPr>
        <w:t>二、基金运作风险</w:t>
      </w:r>
    </w:p>
    <w:p w14:paraId="463B27E7" w14:textId="77777777" w:rsidR="00BF4A4E" w:rsidRDefault="00BF4A4E">
      <w:pPr>
        <w:pStyle w:val="20"/>
        <w:adjustRightInd w:val="0"/>
        <w:snapToGrid w:val="0"/>
        <w:ind w:firstLine="480"/>
        <w:rPr>
          <w:rFonts w:cs="宋体"/>
          <w:sz w:val="24"/>
        </w:rPr>
      </w:pPr>
      <w:r>
        <w:rPr>
          <w:rFonts w:cs="宋体" w:hint="eastAsia"/>
          <w:sz w:val="24"/>
        </w:rPr>
        <w:t>1、管理风险</w:t>
      </w:r>
    </w:p>
    <w:p w14:paraId="667692DF" w14:textId="77777777" w:rsidR="00BF4A4E" w:rsidRDefault="00BF4A4E">
      <w:pPr>
        <w:pStyle w:val="20"/>
        <w:adjustRightInd w:val="0"/>
        <w:snapToGrid w:val="0"/>
        <w:ind w:firstLine="480"/>
        <w:rPr>
          <w:rFonts w:cs="宋体"/>
          <w:sz w:val="24"/>
        </w:rPr>
      </w:pPr>
      <w:r>
        <w:rPr>
          <w:rFonts w:cs="宋体" w:hint="eastAsia"/>
          <w:sz w:val="24"/>
        </w:rPr>
        <w:t>在本基金管理运作过程中基金管理人的知识、经验、判断、决策、技能等，会影响其对信息的占有和对经济形势、证券价格走势的判断，从而影响本基金收益水平。此外，基金管理人的职业操守和道德标准同样都有可能对本基金回报带来负面影响。因此，本基金可能因为基金管理人的因素而影响基金收益水平。</w:t>
      </w:r>
    </w:p>
    <w:p w14:paraId="6DED5990" w14:textId="77777777" w:rsidR="00BF4A4E" w:rsidRDefault="00BF4A4E">
      <w:pPr>
        <w:pStyle w:val="20"/>
        <w:adjustRightInd w:val="0"/>
        <w:snapToGrid w:val="0"/>
        <w:ind w:firstLine="480"/>
        <w:rPr>
          <w:rFonts w:cs="宋体"/>
          <w:sz w:val="24"/>
        </w:rPr>
      </w:pPr>
      <w:r>
        <w:rPr>
          <w:rFonts w:cs="宋体" w:hint="eastAsia"/>
          <w:sz w:val="24"/>
        </w:rPr>
        <w:t>2、操作或技术风险</w:t>
      </w:r>
    </w:p>
    <w:p w14:paraId="4591E060" w14:textId="77777777" w:rsidR="00BF4A4E" w:rsidRDefault="00BF4A4E">
      <w:pPr>
        <w:pStyle w:val="20"/>
        <w:adjustRightInd w:val="0"/>
        <w:snapToGrid w:val="0"/>
        <w:ind w:firstLine="480"/>
        <w:rPr>
          <w:rFonts w:cs="宋体"/>
          <w:sz w:val="24"/>
        </w:rPr>
      </w:pPr>
      <w:r>
        <w:rPr>
          <w:rFonts w:cs="宋体" w:hint="eastAsia"/>
          <w:sz w:val="24"/>
        </w:rPr>
        <w:t>相关当事人在业务各环节操作过程中，可能因内部控制存在缺陷或者人为因素造成操作失误或违反操作规程等导致本基金资产损失，例如，越权违规交易、会计部门欺诈、交易错误等。</w:t>
      </w:r>
    </w:p>
    <w:p w14:paraId="08598E7B" w14:textId="534E10A0" w:rsidR="00BF4A4E" w:rsidRDefault="00BF4A4E">
      <w:pPr>
        <w:pStyle w:val="20"/>
        <w:adjustRightInd w:val="0"/>
        <w:snapToGrid w:val="0"/>
        <w:ind w:firstLine="480"/>
        <w:rPr>
          <w:rFonts w:cs="宋体"/>
          <w:sz w:val="24"/>
        </w:rPr>
      </w:pPr>
      <w:r>
        <w:rPr>
          <w:rFonts w:cs="宋体" w:hint="eastAsia"/>
          <w:sz w:val="24"/>
        </w:rPr>
        <w:t>在基金的各种交易行为或者后台运作中，可能因为技术系统的故障或者差错而影响交易的正常进行或者导致投资人的利益受到影响。这种技术风险可能来自基金管理人、登记机构、销售机构、银行间债券市场、证券</w:t>
      </w:r>
      <w:r w:rsidR="0024049E">
        <w:rPr>
          <w:rFonts w:cs="宋体" w:hint="eastAsia"/>
          <w:sz w:val="24"/>
        </w:rPr>
        <w:t>/期货</w:t>
      </w:r>
      <w:r>
        <w:rPr>
          <w:rFonts w:cs="宋体" w:hint="eastAsia"/>
          <w:sz w:val="24"/>
        </w:rPr>
        <w:t>交易所、证券登记结算机构、中央国债登记结算有限责任公司等等。</w:t>
      </w:r>
    </w:p>
    <w:p w14:paraId="6EBBC2B9" w14:textId="77777777" w:rsidR="00BF4A4E" w:rsidRDefault="00BF4A4E">
      <w:pPr>
        <w:pStyle w:val="20"/>
        <w:adjustRightInd w:val="0"/>
        <w:snapToGrid w:val="0"/>
        <w:ind w:firstLine="480"/>
        <w:rPr>
          <w:rFonts w:cs="宋体"/>
          <w:bCs/>
          <w:sz w:val="24"/>
        </w:rPr>
      </w:pPr>
      <w:r>
        <w:rPr>
          <w:rFonts w:cs="宋体" w:hint="eastAsia"/>
          <w:bCs/>
          <w:sz w:val="24"/>
        </w:rPr>
        <w:lastRenderedPageBreak/>
        <w:t>三、本基金特有的风险</w:t>
      </w:r>
    </w:p>
    <w:p w14:paraId="342A1C55" w14:textId="77777777" w:rsidR="00BF4A4E" w:rsidRDefault="00BF4A4E">
      <w:pPr>
        <w:pStyle w:val="20"/>
        <w:adjustRightInd w:val="0"/>
        <w:snapToGrid w:val="0"/>
        <w:ind w:firstLine="480"/>
        <w:rPr>
          <w:rFonts w:cs="宋体"/>
          <w:sz w:val="24"/>
        </w:rPr>
      </w:pPr>
      <w:r>
        <w:rPr>
          <w:rFonts w:cs="宋体" w:hint="eastAsia"/>
          <w:sz w:val="24"/>
        </w:rPr>
        <w:t>1、联接基金风险</w:t>
      </w:r>
    </w:p>
    <w:p w14:paraId="4E8DBCB9" w14:textId="77777777" w:rsidR="00BF4A4E" w:rsidRDefault="00BF4A4E">
      <w:pPr>
        <w:pStyle w:val="20"/>
        <w:adjustRightInd w:val="0"/>
        <w:snapToGrid w:val="0"/>
        <w:ind w:firstLine="480"/>
        <w:rPr>
          <w:rFonts w:cs="宋体"/>
          <w:sz w:val="24"/>
        </w:rPr>
      </w:pPr>
      <w:r>
        <w:rPr>
          <w:rFonts w:cs="宋体" w:hint="eastAsia"/>
          <w:sz w:val="24"/>
        </w:rPr>
        <w:t>本基金为ETF联接基金，基金资产主要投资于目标ETF，在多数情况下将维持较高的目标ETF投资比例，基金净值可能会随目标ETF的净值波动而波动，目标ETF的相关风险可能直接或间接成为本基金的风险。</w:t>
      </w:r>
    </w:p>
    <w:p w14:paraId="2E8DE8DD" w14:textId="77777777" w:rsidR="00BF4A4E" w:rsidRPr="00786571" w:rsidRDefault="00BF4A4E" w:rsidP="00786571">
      <w:pPr>
        <w:pStyle w:val="20"/>
        <w:ind w:firstLine="480"/>
        <w:rPr>
          <w:sz w:val="24"/>
        </w:rPr>
      </w:pPr>
      <w:r w:rsidRPr="00786571">
        <w:rPr>
          <w:rFonts w:hint="eastAsia"/>
          <w:sz w:val="24"/>
        </w:rPr>
        <w:t>2、跟踪偏离风险</w:t>
      </w:r>
    </w:p>
    <w:p w14:paraId="152B3018" w14:textId="77777777" w:rsidR="00BF4A4E" w:rsidRPr="00786571" w:rsidRDefault="00BF4A4E" w:rsidP="00786571">
      <w:pPr>
        <w:pStyle w:val="20"/>
        <w:ind w:firstLine="480"/>
        <w:rPr>
          <w:sz w:val="24"/>
        </w:rPr>
      </w:pPr>
      <w:r w:rsidRPr="00786571">
        <w:rPr>
          <w:rFonts w:hint="eastAsia"/>
          <w:sz w:val="24"/>
        </w:rPr>
        <w:t>本基金主要投资于目标ETF基金份额，追求跟踪标的指数，获得与指数收益相似的回报。以下因素可能会影响到基金的投资组合与跟踪基准之间产生偏离：</w:t>
      </w:r>
    </w:p>
    <w:p w14:paraId="34E0B8F9" w14:textId="77777777" w:rsidR="00BF4A4E" w:rsidRPr="00786571" w:rsidRDefault="00BF4A4E" w:rsidP="00786571">
      <w:pPr>
        <w:pStyle w:val="20"/>
        <w:ind w:firstLine="480"/>
        <w:rPr>
          <w:sz w:val="24"/>
        </w:rPr>
      </w:pPr>
      <w:r w:rsidRPr="00786571">
        <w:rPr>
          <w:rFonts w:hint="eastAsia"/>
          <w:sz w:val="24"/>
        </w:rPr>
        <w:t>（1）目标ETF与标的指数的偏离。</w:t>
      </w:r>
    </w:p>
    <w:p w14:paraId="2C250166" w14:textId="77777777" w:rsidR="00BF4A4E" w:rsidRPr="00786571" w:rsidRDefault="00BF4A4E" w:rsidP="00786571">
      <w:pPr>
        <w:pStyle w:val="20"/>
        <w:ind w:firstLine="480"/>
        <w:rPr>
          <w:sz w:val="24"/>
        </w:rPr>
      </w:pPr>
      <w:r w:rsidRPr="00786571">
        <w:rPr>
          <w:rFonts w:hint="eastAsia"/>
          <w:sz w:val="24"/>
        </w:rPr>
        <w:t>（2）基金买卖目标ETF时所产生的价格差异、交易成本和交易冲击。</w:t>
      </w:r>
    </w:p>
    <w:p w14:paraId="22B370D6" w14:textId="77777777" w:rsidR="00BF4A4E" w:rsidRPr="00786571" w:rsidRDefault="00BF4A4E" w:rsidP="00786571">
      <w:pPr>
        <w:pStyle w:val="20"/>
        <w:ind w:firstLine="480"/>
        <w:rPr>
          <w:sz w:val="24"/>
        </w:rPr>
      </w:pPr>
      <w:r w:rsidRPr="00786571">
        <w:rPr>
          <w:rFonts w:hint="eastAsia"/>
          <w:sz w:val="24"/>
        </w:rPr>
        <w:t>（3）基金调整资产配置结构时所产生的跟踪误差。</w:t>
      </w:r>
    </w:p>
    <w:p w14:paraId="58FC7FDB" w14:textId="77777777" w:rsidR="00BF4A4E" w:rsidRPr="00786571" w:rsidRDefault="00BF4A4E" w:rsidP="00786571">
      <w:pPr>
        <w:pStyle w:val="20"/>
        <w:ind w:firstLine="480"/>
        <w:rPr>
          <w:sz w:val="24"/>
        </w:rPr>
      </w:pPr>
      <w:r w:rsidRPr="00786571">
        <w:rPr>
          <w:rFonts w:hint="eastAsia"/>
          <w:sz w:val="24"/>
        </w:rPr>
        <w:t>（4）基金申购、赎回因素所产生的跟踪误差。</w:t>
      </w:r>
    </w:p>
    <w:p w14:paraId="69C1E4A6" w14:textId="77777777" w:rsidR="00BF4A4E" w:rsidRPr="00786571" w:rsidRDefault="00BF4A4E" w:rsidP="00786571">
      <w:pPr>
        <w:pStyle w:val="20"/>
        <w:ind w:firstLine="480"/>
        <w:rPr>
          <w:sz w:val="24"/>
        </w:rPr>
      </w:pPr>
      <w:r w:rsidRPr="00786571">
        <w:rPr>
          <w:rFonts w:hint="eastAsia"/>
          <w:sz w:val="24"/>
        </w:rPr>
        <w:t>（5）基金现金资产拖累所产生的跟踪误差。</w:t>
      </w:r>
    </w:p>
    <w:p w14:paraId="4E6DAA51" w14:textId="77777777" w:rsidR="00BF4A4E" w:rsidRPr="00786571" w:rsidRDefault="00BF4A4E" w:rsidP="00786571">
      <w:pPr>
        <w:pStyle w:val="20"/>
        <w:ind w:firstLine="480"/>
        <w:rPr>
          <w:sz w:val="24"/>
        </w:rPr>
      </w:pPr>
      <w:r w:rsidRPr="00786571">
        <w:rPr>
          <w:rFonts w:hint="eastAsia"/>
          <w:sz w:val="24"/>
        </w:rPr>
        <w:t>（6）基金的管理费和托管费所产生的跟踪误差。</w:t>
      </w:r>
    </w:p>
    <w:p w14:paraId="602BC27C" w14:textId="77777777" w:rsidR="00BF4A4E" w:rsidRPr="00786571" w:rsidRDefault="00BF4A4E" w:rsidP="00786571">
      <w:pPr>
        <w:pStyle w:val="20"/>
        <w:ind w:firstLine="480"/>
        <w:rPr>
          <w:sz w:val="24"/>
        </w:rPr>
      </w:pPr>
      <w:r w:rsidRPr="00786571">
        <w:rPr>
          <w:rFonts w:hint="eastAsia"/>
          <w:sz w:val="24"/>
        </w:rPr>
        <w:t>（7）其他因素所产生的偏差。</w:t>
      </w:r>
    </w:p>
    <w:p w14:paraId="09D0FFD1" w14:textId="77777777" w:rsidR="00BF4A4E" w:rsidRPr="00C15251" w:rsidRDefault="00BF4A4E" w:rsidP="00C15251">
      <w:pPr>
        <w:pStyle w:val="20"/>
        <w:ind w:firstLine="480"/>
        <w:rPr>
          <w:sz w:val="24"/>
        </w:rPr>
      </w:pPr>
      <w:r w:rsidRPr="00C15251">
        <w:rPr>
          <w:rFonts w:hint="eastAsia"/>
          <w:sz w:val="24"/>
        </w:rPr>
        <w:t>3、与目标ETF业绩差异的风险</w:t>
      </w:r>
    </w:p>
    <w:p w14:paraId="31F2B690" w14:textId="77777777" w:rsidR="00BF4A4E" w:rsidRPr="00C15251" w:rsidRDefault="00BF4A4E" w:rsidP="00C15251">
      <w:pPr>
        <w:pStyle w:val="20"/>
        <w:ind w:firstLine="480"/>
        <w:rPr>
          <w:sz w:val="24"/>
        </w:rPr>
      </w:pPr>
      <w:r w:rsidRPr="00C15251">
        <w:rPr>
          <w:rFonts w:hint="eastAsia"/>
          <w:sz w:val="24"/>
        </w:rPr>
        <w:t>本基金为目标ETF的联接基金，但由于投资方法、交易方式等方面与目标ETF不同，本基金的业绩表现与目标ETF的业绩表现可能出现差异。</w:t>
      </w:r>
    </w:p>
    <w:p w14:paraId="475290A6" w14:textId="77777777" w:rsidR="00BF4A4E" w:rsidRPr="00C15251" w:rsidRDefault="00BF4A4E" w:rsidP="00C15251">
      <w:pPr>
        <w:pStyle w:val="20"/>
        <w:ind w:firstLine="480"/>
        <w:rPr>
          <w:sz w:val="24"/>
        </w:rPr>
      </w:pPr>
      <w:r w:rsidRPr="00C15251">
        <w:rPr>
          <w:rFonts w:hint="eastAsia"/>
          <w:sz w:val="24"/>
        </w:rPr>
        <w:t>4、其他投资于目标ETF的风险</w:t>
      </w:r>
    </w:p>
    <w:p w14:paraId="4583FE15" w14:textId="1C1A7F89" w:rsidR="00BF4A4E" w:rsidRPr="00C15251" w:rsidRDefault="00BF4A4E" w:rsidP="00C15251">
      <w:pPr>
        <w:pStyle w:val="20"/>
        <w:ind w:firstLine="480"/>
        <w:rPr>
          <w:sz w:val="24"/>
        </w:rPr>
      </w:pPr>
      <w:r w:rsidRPr="00C15251">
        <w:rPr>
          <w:rFonts w:hint="eastAsia"/>
          <w:sz w:val="24"/>
        </w:rPr>
        <w:t>如目标ETF基金份额二级市场交易价格折溢价的风险、</w:t>
      </w:r>
      <w:r w:rsidR="008D6EAD" w:rsidRPr="00C15251">
        <w:rPr>
          <w:rFonts w:hint="eastAsia"/>
          <w:sz w:val="24"/>
        </w:rPr>
        <w:t>目标</w:t>
      </w:r>
      <w:r w:rsidRPr="00C15251">
        <w:rPr>
          <w:rFonts w:hint="eastAsia"/>
          <w:sz w:val="24"/>
        </w:rPr>
        <w:t>ETF参考IOPV决策和IOPV计算错误的风险、目标ETF退市风险、申购赎回失败风险等等。</w:t>
      </w:r>
    </w:p>
    <w:p w14:paraId="73B733EF" w14:textId="77777777" w:rsidR="00BF4A4E" w:rsidRPr="00C15251" w:rsidRDefault="00BF4A4E" w:rsidP="00C15251">
      <w:pPr>
        <w:pStyle w:val="20"/>
        <w:ind w:firstLine="480"/>
        <w:rPr>
          <w:sz w:val="24"/>
        </w:rPr>
      </w:pPr>
      <w:r w:rsidRPr="00C15251">
        <w:rPr>
          <w:rFonts w:hint="eastAsia"/>
          <w:sz w:val="24"/>
        </w:rPr>
        <w:t>5、跟踪误差控制未达约定目标的风险</w:t>
      </w:r>
    </w:p>
    <w:p w14:paraId="56503C87" w14:textId="77777777" w:rsidR="00BF4A4E" w:rsidRPr="00C15251" w:rsidRDefault="00BF4A4E" w:rsidP="00C15251">
      <w:pPr>
        <w:pStyle w:val="20"/>
        <w:ind w:firstLine="480"/>
        <w:rPr>
          <w:sz w:val="24"/>
        </w:rPr>
      </w:pPr>
      <w:r w:rsidRPr="00C15251">
        <w:rPr>
          <w:rFonts w:hint="eastAsia"/>
          <w:sz w:val="24"/>
        </w:rPr>
        <w:t>本基金力争将本基金净值增长率与业绩比较基准之间的日均跟踪偏离度的绝对值控制在0.35%以内，年跟踪误差控制在4%以内。如因指数编制规则调整或其他因素导致跟踪偏离度和跟踪误差超过上述范围，本基金的净值表现与指数价格走势可能发生较大偏离。</w:t>
      </w:r>
    </w:p>
    <w:p w14:paraId="5F2EE5AD" w14:textId="77777777" w:rsidR="00BF4A4E" w:rsidRPr="00C15251" w:rsidRDefault="00BF4A4E" w:rsidP="00C15251">
      <w:pPr>
        <w:pStyle w:val="20"/>
        <w:ind w:firstLine="480"/>
        <w:rPr>
          <w:sz w:val="24"/>
        </w:rPr>
      </w:pPr>
      <w:r w:rsidRPr="00C15251">
        <w:rPr>
          <w:sz w:val="24"/>
        </w:rPr>
        <w:t>6</w:t>
      </w:r>
      <w:r w:rsidRPr="00C15251">
        <w:rPr>
          <w:rFonts w:hint="eastAsia"/>
          <w:sz w:val="24"/>
        </w:rPr>
        <w:t>、指数编制机构停止服务的风险</w:t>
      </w:r>
    </w:p>
    <w:p w14:paraId="252E0780" w14:textId="4BB8F90F" w:rsidR="00BF4A4E" w:rsidRPr="00C15251" w:rsidRDefault="00BF4A4E" w:rsidP="00C15251">
      <w:pPr>
        <w:pStyle w:val="20"/>
        <w:ind w:firstLine="480"/>
        <w:rPr>
          <w:sz w:val="24"/>
        </w:rPr>
      </w:pPr>
      <w:r w:rsidRPr="00C15251">
        <w:rPr>
          <w:rFonts w:hint="eastAsia"/>
          <w:sz w:val="24"/>
        </w:rPr>
        <w:t>本基金的标的指数由指数编制机构发布并管理和维护，未来指数编制机构可能由于各种原因停止对指数的管理和维护，本基金将根据基金合同的约定自相关情形发生之日起十个工作日内向中国证监会报告并提出解决方案，如</w:t>
      </w:r>
      <w:r w:rsidR="00BE6140" w:rsidRPr="00BE6140">
        <w:rPr>
          <w:rFonts w:hint="eastAsia"/>
          <w:sz w:val="24"/>
        </w:rPr>
        <w:t>更换基金标</w:t>
      </w:r>
      <w:r w:rsidR="00BE6140" w:rsidRPr="00BE6140">
        <w:rPr>
          <w:rFonts w:hint="eastAsia"/>
          <w:sz w:val="24"/>
        </w:rPr>
        <w:lastRenderedPageBreak/>
        <w:t>的指数、</w:t>
      </w:r>
      <w:r w:rsidRPr="00C15251">
        <w:rPr>
          <w:rFonts w:hint="eastAsia"/>
          <w:sz w:val="24"/>
        </w:rPr>
        <w:t>转换运作方式、与其他基金合并或者终止基金合同等，并在6个月内召集基金份额持有人大会进行表决，基金份额持有人大会未成功召开或就上述事项表决未通过的，基金合同自动终止。投资人将面临</w:t>
      </w:r>
      <w:r w:rsidR="00BE6140" w:rsidRPr="00BE6140">
        <w:rPr>
          <w:rFonts w:hint="eastAsia"/>
          <w:sz w:val="24"/>
        </w:rPr>
        <w:t>更换基金标的指数、</w:t>
      </w:r>
      <w:r w:rsidRPr="00C15251">
        <w:rPr>
          <w:rFonts w:hint="eastAsia"/>
          <w:sz w:val="24"/>
        </w:rPr>
        <w:t>转换运作方式、与其他基金合并或者终止基金合同等风险。</w:t>
      </w:r>
    </w:p>
    <w:p w14:paraId="71E27152" w14:textId="77777777" w:rsidR="00BF4A4E" w:rsidRPr="00C15251" w:rsidRDefault="00BF4A4E" w:rsidP="00C15251">
      <w:pPr>
        <w:pStyle w:val="20"/>
        <w:ind w:firstLine="480"/>
        <w:rPr>
          <w:sz w:val="24"/>
        </w:rPr>
      </w:pPr>
      <w:r w:rsidRPr="00C15251">
        <w:rPr>
          <w:rFonts w:hint="eastAsia"/>
          <w:sz w:val="24"/>
        </w:rPr>
        <w:t>自指数编制机构停止标的指数的编制及发布至解决方案确定并实施前，基金管理人应按照指数编制机构提供的最近一个交易日的指数信息遵循基金份额持有人利益优先原则维持基金投资运作，该期间由于标的指数不再更新等原因可能导致指数表现与相关市场表现存在差异，影响投资收益。</w:t>
      </w:r>
    </w:p>
    <w:p w14:paraId="17223CFE" w14:textId="77777777" w:rsidR="00BF4A4E" w:rsidRPr="00C15251" w:rsidRDefault="00BF4A4E" w:rsidP="00C15251">
      <w:pPr>
        <w:pStyle w:val="20"/>
        <w:ind w:firstLine="480"/>
        <w:rPr>
          <w:sz w:val="24"/>
        </w:rPr>
      </w:pPr>
      <w:r w:rsidRPr="00C15251">
        <w:rPr>
          <w:rFonts w:hint="eastAsia"/>
          <w:sz w:val="24"/>
        </w:rPr>
        <w:t>7、成份股停牌或退市的风险</w:t>
      </w:r>
    </w:p>
    <w:p w14:paraId="178AACD3" w14:textId="77777777" w:rsidR="00BF4A4E" w:rsidRPr="00C15251" w:rsidRDefault="00BF4A4E" w:rsidP="00C15251">
      <w:pPr>
        <w:pStyle w:val="20"/>
        <w:ind w:firstLine="480"/>
        <w:rPr>
          <w:sz w:val="24"/>
        </w:rPr>
      </w:pPr>
      <w:r w:rsidRPr="00C15251">
        <w:rPr>
          <w:rFonts w:hint="eastAsia"/>
          <w:sz w:val="24"/>
        </w:rPr>
        <w:t>本基金主要投资于目标ETF基金份额、标的指数成份股及备选成份股，当标的指数成份股停牌或发生明显负面事件面临退市时，可能出现导致本基金的跟踪偏离度和跟踪误差扩大的风险。</w:t>
      </w:r>
    </w:p>
    <w:p w14:paraId="3E14D83E" w14:textId="77777777" w:rsidR="00BF4A4E" w:rsidRDefault="00BF4A4E" w:rsidP="00C15251">
      <w:pPr>
        <w:pStyle w:val="20"/>
        <w:ind w:firstLine="480"/>
        <w:rPr>
          <w:sz w:val="24"/>
        </w:rPr>
      </w:pPr>
      <w:r>
        <w:rPr>
          <w:sz w:val="24"/>
        </w:rPr>
        <w:t>8</w:t>
      </w:r>
      <w:r>
        <w:rPr>
          <w:rFonts w:hint="eastAsia"/>
          <w:sz w:val="24"/>
        </w:rPr>
        <w:t>、标的指数变更的风险</w:t>
      </w:r>
    </w:p>
    <w:p w14:paraId="40B8A834" w14:textId="54D55CD7" w:rsidR="00BF4A4E" w:rsidRDefault="00BF4A4E">
      <w:pPr>
        <w:pStyle w:val="20"/>
        <w:ind w:firstLine="480"/>
        <w:rPr>
          <w:sz w:val="24"/>
        </w:rPr>
      </w:pPr>
      <w:r>
        <w:rPr>
          <w:rFonts w:hint="eastAsia"/>
          <w:sz w:val="24"/>
        </w:rPr>
        <w:t>根据基金合同的约定，基金管理人可以依据维护投资者合法权益的原则，</w:t>
      </w:r>
      <w:r w:rsidRPr="00C15251">
        <w:rPr>
          <w:rFonts w:hint="eastAsia"/>
          <w:sz w:val="24"/>
        </w:rPr>
        <w:t>在履行适当程序后</w:t>
      </w:r>
      <w:r>
        <w:rPr>
          <w:rFonts w:hint="eastAsia"/>
          <w:sz w:val="24"/>
        </w:rPr>
        <w:t>变更标的指数</w:t>
      </w:r>
      <w:r w:rsidR="00FC0C9A" w:rsidRPr="00FC0C9A">
        <w:rPr>
          <w:rFonts w:hint="eastAsia"/>
          <w:sz w:val="24"/>
        </w:rPr>
        <w:t>，或若目标ETF变更标的指数，本基金将相应变更标的指数且继续投资于该目标ETF</w:t>
      </w:r>
      <w:r>
        <w:rPr>
          <w:rFonts w:hint="eastAsia"/>
          <w:sz w:val="24"/>
        </w:rPr>
        <w:t>，本基金的投资组合随之调整，基金风险收益特征可能发生变化，且投资组合调整可能产生交易成本和机会成本，投资人需承担投资组合调整所带来的风险与成本。</w:t>
      </w:r>
    </w:p>
    <w:p w14:paraId="07199907" w14:textId="77777777" w:rsidR="00BF4A4E" w:rsidRPr="00C15251" w:rsidRDefault="00BF4A4E" w:rsidP="00C15251">
      <w:pPr>
        <w:pStyle w:val="20"/>
        <w:ind w:firstLine="480"/>
        <w:rPr>
          <w:sz w:val="24"/>
        </w:rPr>
      </w:pPr>
      <w:r w:rsidRPr="00C15251">
        <w:rPr>
          <w:sz w:val="24"/>
        </w:rPr>
        <w:t>9</w:t>
      </w:r>
      <w:r w:rsidRPr="00C15251">
        <w:rPr>
          <w:rFonts w:hint="eastAsia"/>
          <w:sz w:val="24"/>
        </w:rPr>
        <w:t>、投资股指期货的风险</w:t>
      </w:r>
    </w:p>
    <w:p w14:paraId="7C10559D" w14:textId="77777777" w:rsidR="00BF4A4E" w:rsidRPr="00C15251" w:rsidRDefault="00BF4A4E">
      <w:pPr>
        <w:pStyle w:val="20"/>
        <w:ind w:firstLine="480"/>
        <w:rPr>
          <w:sz w:val="24"/>
        </w:rPr>
      </w:pPr>
      <w:r w:rsidRPr="00C15251">
        <w:rPr>
          <w:rFonts w:hint="eastAsia"/>
          <w:sz w:val="24"/>
        </w:rPr>
        <w:t>本基金投资范围包括股指期货，若投资可能给本基金带来的风险包括：</w:t>
      </w:r>
    </w:p>
    <w:p w14:paraId="19B17175" w14:textId="77777777" w:rsidR="00BF4A4E" w:rsidRPr="00C15251" w:rsidRDefault="00BF4A4E" w:rsidP="00C15251">
      <w:pPr>
        <w:pStyle w:val="20"/>
        <w:ind w:firstLine="480"/>
        <w:rPr>
          <w:sz w:val="24"/>
        </w:rPr>
      </w:pPr>
      <w:r w:rsidRPr="00C15251">
        <w:rPr>
          <w:rFonts w:hint="eastAsia"/>
          <w:sz w:val="24"/>
        </w:rPr>
        <w:t>（1）基差风险</w:t>
      </w:r>
    </w:p>
    <w:p w14:paraId="475A4E13" w14:textId="77777777" w:rsidR="00BF4A4E" w:rsidRPr="00C15251" w:rsidRDefault="00BF4A4E" w:rsidP="00C15251">
      <w:pPr>
        <w:pStyle w:val="20"/>
        <w:ind w:firstLine="480"/>
        <w:rPr>
          <w:sz w:val="24"/>
        </w:rPr>
      </w:pPr>
      <w:r w:rsidRPr="00C15251">
        <w:rPr>
          <w:rFonts w:hint="eastAsia"/>
          <w:sz w:val="24"/>
        </w:rPr>
        <w:t>在使用股指期货对冲市场风险的过程中，基金财产可能因为股指期货合约与标的指数价格波动不一致而遭受基差风险。</w:t>
      </w:r>
    </w:p>
    <w:p w14:paraId="6E720E0F" w14:textId="77777777" w:rsidR="00BF4A4E" w:rsidRPr="00C15251" w:rsidRDefault="00BF4A4E" w:rsidP="00C15251">
      <w:pPr>
        <w:pStyle w:val="20"/>
        <w:ind w:firstLine="480"/>
        <w:rPr>
          <w:sz w:val="24"/>
        </w:rPr>
      </w:pPr>
      <w:r w:rsidRPr="00C15251">
        <w:rPr>
          <w:rFonts w:hint="eastAsia"/>
          <w:sz w:val="24"/>
        </w:rPr>
        <w:t>（2）系统性风险</w:t>
      </w:r>
    </w:p>
    <w:p w14:paraId="28924984" w14:textId="77777777" w:rsidR="00BF4A4E" w:rsidRPr="00C15251" w:rsidRDefault="00BF4A4E" w:rsidP="00C15251">
      <w:pPr>
        <w:pStyle w:val="20"/>
        <w:ind w:firstLine="480"/>
        <w:rPr>
          <w:sz w:val="24"/>
        </w:rPr>
      </w:pPr>
      <w:r w:rsidRPr="00C15251">
        <w:rPr>
          <w:rFonts w:hint="eastAsia"/>
          <w:sz w:val="24"/>
        </w:rPr>
        <w:t>组合现货的β可能不足或者过高，组合风险敞口过大，股指期货空头头寸不能完全对冲现货的风险，组合存在系统性暴露的风险。</w:t>
      </w:r>
    </w:p>
    <w:p w14:paraId="0F1B0E5E" w14:textId="77777777" w:rsidR="00BF4A4E" w:rsidRPr="00C15251" w:rsidRDefault="00BF4A4E" w:rsidP="00C15251">
      <w:pPr>
        <w:pStyle w:val="20"/>
        <w:ind w:firstLine="480"/>
        <w:rPr>
          <w:sz w:val="24"/>
        </w:rPr>
      </w:pPr>
      <w:r w:rsidRPr="00C15251">
        <w:rPr>
          <w:rFonts w:hint="eastAsia"/>
          <w:sz w:val="24"/>
        </w:rPr>
        <w:t>（3）保证金风险</w:t>
      </w:r>
    </w:p>
    <w:p w14:paraId="1C02F595" w14:textId="77777777" w:rsidR="00BF4A4E" w:rsidRPr="00C15251" w:rsidRDefault="00BF4A4E" w:rsidP="00C15251">
      <w:pPr>
        <w:pStyle w:val="20"/>
        <w:ind w:firstLine="480"/>
        <w:rPr>
          <w:sz w:val="24"/>
        </w:rPr>
      </w:pPr>
      <w:r w:rsidRPr="00C15251">
        <w:rPr>
          <w:rFonts w:hint="eastAsia"/>
          <w:sz w:val="24"/>
        </w:rPr>
        <w:t>产品的期货头寸，如果未预留足够现金，在市场出现极端情况时，可能遭遇保证金不足而被强制平仓的风险。</w:t>
      </w:r>
    </w:p>
    <w:p w14:paraId="389408E8" w14:textId="77777777" w:rsidR="00BF4A4E" w:rsidRPr="00C15251" w:rsidRDefault="00BF4A4E" w:rsidP="00C15251">
      <w:pPr>
        <w:pStyle w:val="20"/>
        <w:ind w:firstLine="480"/>
        <w:rPr>
          <w:sz w:val="24"/>
        </w:rPr>
      </w:pPr>
      <w:r w:rsidRPr="00C15251">
        <w:rPr>
          <w:rFonts w:hint="eastAsia"/>
          <w:sz w:val="24"/>
        </w:rPr>
        <w:lastRenderedPageBreak/>
        <w:t>（4）合约展期风险</w:t>
      </w:r>
    </w:p>
    <w:p w14:paraId="22267377" w14:textId="77777777" w:rsidR="00BF4A4E" w:rsidRPr="00C15251" w:rsidRDefault="00BF4A4E" w:rsidP="00C15251">
      <w:pPr>
        <w:pStyle w:val="20"/>
        <w:ind w:firstLine="480"/>
        <w:rPr>
          <w:sz w:val="24"/>
        </w:rPr>
      </w:pPr>
      <w:r w:rsidRPr="00C15251">
        <w:rPr>
          <w:rFonts w:hint="eastAsia"/>
          <w:sz w:val="24"/>
        </w:rPr>
        <w:t>组合持有的主力合约交割日临近，需要更换合约进行展期，如果合约的基差朝不利的方向变化或流动性不足，展期会面临风险。</w:t>
      </w:r>
    </w:p>
    <w:p w14:paraId="38286523" w14:textId="7828A77D" w:rsidR="00BF4A4E" w:rsidRPr="00C15251" w:rsidRDefault="00BF4A4E" w:rsidP="00C15251">
      <w:pPr>
        <w:pStyle w:val="20"/>
        <w:ind w:firstLine="480"/>
        <w:rPr>
          <w:sz w:val="24"/>
        </w:rPr>
      </w:pPr>
      <w:r w:rsidRPr="00C15251">
        <w:rPr>
          <w:sz w:val="24"/>
        </w:rPr>
        <w:t>10</w:t>
      </w:r>
      <w:r w:rsidRPr="00C15251">
        <w:rPr>
          <w:rFonts w:hint="eastAsia"/>
          <w:sz w:val="24"/>
        </w:rPr>
        <w:t>、投资股票期权</w:t>
      </w:r>
      <w:r w:rsidR="004B2CC6" w:rsidRPr="00C15251">
        <w:rPr>
          <w:rFonts w:hint="eastAsia"/>
          <w:sz w:val="24"/>
        </w:rPr>
        <w:t>的</w:t>
      </w:r>
      <w:r w:rsidRPr="00C15251">
        <w:rPr>
          <w:rFonts w:hint="eastAsia"/>
          <w:sz w:val="24"/>
        </w:rPr>
        <w:t>风险</w:t>
      </w:r>
    </w:p>
    <w:p w14:paraId="00BCBF71" w14:textId="77777777" w:rsidR="00BF4A4E" w:rsidRPr="00C15251" w:rsidRDefault="00BF4A4E">
      <w:pPr>
        <w:pStyle w:val="20"/>
        <w:ind w:firstLine="480"/>
        <w:rPr>
          <w:sz w:val="24"/>
        </w:rPr>
      </w:pPr>
      <w:r w:rsidRPr="00C15251">
        <w:rPr>
          <w:rFonts w:hint="eastAsia"/>
          <w:sz w:val="24"/>
        </w:rPr>
        <w:t>本基金投资范围包括股票期权，若投资可能给本基金带来的风险包括：</w:t>
      </w:r>
    </w:p>
    <w:p w14:paraId="64090FB7" w14:textId="77777777" w:rsidR="00BF4A4E" w:rsidRPr="00C15251" w:rsidRDefault="00BF4A4E" w:rsidP="00C15251">
      <w:pPr>
        <w:pStyle w:val="20"/>
        <w:ind w:firstLine="480"/>
        <w:rPr>
          <w:sz w:val="24"/>
        </w:rPr>
      </w:pPr>
      <w:r w:rsidRPr="00C15251">
        <w:rPr>
          <w:rFonts w:hint="eastAsia"/>
          <w:sz w:val="24"/>
        </w:rPr>
        <w:t>（1）流动性风险</w:t>
      </w:r>
    </w:p>
    <w:p w14:paraId="4AACCC21" w14:textId="77777777" w:rsidR="00BF4A4E" w:rsidRPr="00C15251" w:rsidRDefault="00BF4A4E" w:rsidP="00C15251">
      <w:pPr>
        <w:pStyle w:val="20"/>
        <w:ind w:firstLine="480"/>
        <w:rPr>
          <w:sz w:val="24"/>
        </w:rPr>
      </w:pPr>
      <w:r w:rsidRPr="00C15251">
        <w:rPr>
          <w:rFonts w:hint="eastAsia"/>
          <w:sz w:val="24"/>
        </w:rPr>
        <w:t>由于股票期权合约众多，交易较为分散，股票期权市场的流动性一般较期货市场要低，尤其是深度实值和虚值的股票期权，成交量稀少，持有这些股票期权的投资者容易遇到无法成交、平仓出局的局面。</w:t>
      </w:r>
    </w:p>
    <w:p w14:paraId="621FDB76" w14:textId="77777777" w:rsidR="00BF4A4E" w:rsidRPr="00C15251" w:rsidRDefault="00BF4A4E" w:rsidP="00C15251">
      <w:pPr>
        <w:pStyle w:val="20"/>
        <w:ind w:firstLine="480"/>
        <w:rPr>
          <w:sz w:val="24"/>
        </w:rPr>
      </w:pPr>
      <w:r w:rsidRPr="00C15251">
        <w:rPr>
          <w:rFonts w:hint="eastAsia"/>
          <w:sz w:val="24"/>
        </w:rPr>
        <w:t>（2）价格风险</w:t>
      </w:r>
    </w:p>
    <w:p w14:paraId="7B333706" w14:textId="77777777" w:rsidR="00BF4A4E" w:rsidRPr="00C15251" w:rsidRDefault="00BF4A4E" w:rsidP="00C15251">
      <w:pPr>
        <w:pStyle w:val="20"/>
        <w:ind w:firstLine="480"/>
        <w:rPr>
          <w:sz w:val="24"/>
        </w:rPr>
      </w:pPr>
      <w:r w:rsidRPr="00C15251">
        <w:rPr>
          <w:rFonts w:hint="eastAsia"/>
          <w:sz w:val="24"/>
        </w:rPr>
        <w:t>股票期权买方的价格风险即为他所付出的权利金，风险具有确定性。股票期权卖方的价格风险不定，不过其所收取的权利金可以提供相应保护，当发生亏损时，可以抵消部分损失。</w:t>
      </w:r>
    </w:p>
    <w:p w14:paraId="76D2D65D" w14:textId="77777777" w:rsidR="00BF4A4E" w:rsidRPr="00C15251" w:rsidRDefault="00BF4A4E" w:rsidP="00C15251">
      <w:pPr>
        <w:pStyle w:val="20"/>
        <w:ind w:firstLine="480"/>
        <w:rPr>
          <w:sz w:val="24"/>
        </w:rPr>
      </w:pPr>
      <w:r w:rsidRPr="00C15251">
        <w:rPr>
          <w:rFonts w:hint="eastAsia"/>
          <w:sz w:val="24"/>
        </w:rPr>
        <w:t>（3）操作风险</w:t>
      </w:r>
    </w:p>
    <w:p w14:paraId="1176B14A" w14:textId="77777777" w:rsidR="00BF4A4E" w:rsidRPr="00C15251" w:rsidRDefault="00BF4A4E" w:rsidP="00C15251">
      <w:pPr>
        <w:pStyle w:val="20"/>
        <w:ind w:firstLine="480"/>
        <w:rPr>
          <w:sz w:val="24"/>
        </w:rPr>
      </w:pPr>
      <w:r w:rsidRPr="00C15251">
        <w:rPr>
          <w:rFonts w:hint="eastAsia"/>
          <w:sz w:val="24"/>
        </w:rPr>
        <w:t>操作风险是指由于管理不善或者制度执行出现问题等原因所导致的风险。股票期权作为一种衍生品，虽然可以用来管理风险，但若使用不当，也会产生巨额损失。</w:t>
      </w:r>
    </w:p>
    <w:p w14:paraId="7B7FA0EC" w14:textId="77777777" w:rsidR="000F235C" w:rsidRPr="000F235C" w:rsidRDefault="00BF4A4E" w:rsidP="000F235C">
      <w:pPr>
        <w:pStyle w:val="20"/>
        <w:ind w:firstLine="480"/>
        <w:rPr>
          <w:sz w:val="24"/>
        </w:rPr>
      </w:pPr>
      <w:r w:rsidRPr="00C15251">
        <w:rPr>
          <w:sz w:val="24"/>
        </w:rPr>
        <w:t>11</w:t>
      </w:r>
      <w:r w:rsidRPr="00C15251">
        <w:rPr>
          <w:rFonts w:hint="eastAsia"/>
          <w:sz w:val="24"/>
        </w:rPr>
        <w:t>、</w:t>
      </w:r>
      <w:r w:rsidR="000F235C" w:rsidRPr="000F235C">
        <w:rPr>
          <w:rFonts w:hint="eastAsia"/>
          <w:sz w:val="24"/>
        </w:rPr>
        <w:t>投资国债期货的风险</w:t>
      </w:r>
    </w:p>
    <w:p w14:paraId="2A558C6A" w14:textId="6A4D71A5" w:rsidR="000F235C" w:rsidRDefault="000F235C" w:rsidP="000F235C">
      <w:pPr>
        <w:pStyle w:val="20"/>
        <w:ind w:firstLine="480"/>
        <w:rPr>
          <w:sz w:val="24"/>
        </w:rPr>
      </w:pPr>
      <w:r w:rsidRPr="000F235C">
        <w:rPr>
          <w:rFonts w:hint="eastAsia"/>
          <w:sz w:val="24"/>
        </w:rPr>
        <w:t>本基金投资范围包括国债期货，若投资可能给本基金带来额外风险，包括杠杆风险、期货价格与基金投资品种价格的相关度降低带来的风险等，由此可能增加本基金净值的波动性。</w:t>
      </w:r>
    </w:p>
    <w:p w14:paraId="117C0EF8" w14:textId="258B643C" w:rsidR="00BF4A4E" w:rsidRPr="00C15251" w:rsidRDefault="000F235C" w:rsidP="00C15251">
      <w:pPr>
        <w:pStyle w:val="20"/>
        <w:ind w:firstLine="480"/>
        <w:rPr>
          <w:sz w:val="24"/>
        </w:rPr>
      </w:pPr>
      <w:r>
        <w:rPr>
          <w:rFonts w:hint="eastAsia"/>
          <w:sz w:val="24"/>
        </w:rPr>
        <w:t>1</w:t>
      </w:r>
      <w:r>
        <w:rPr>
          <w:sz w:val="24"/>
        </w:rPr>
        <w:t>2、</w:t>
      </w:r>
      <w:r w:rsidR="00BF4A4E" w:rsidRPr="00C15251">
        <w:rPr>
          <w:rFonts w:hint="eastAsia"/>
          <w:sz w:val="24"/>
        </w:rPr>
        <w:t>投资资产支持证券的风险</w:t>
      </w:r>
    </w:p>
    <w:p w14:paraId="5F570494" w14:textId="77777777" w:rsidR="00BF4A4E" w:rsidRPr="00C15251" w:rsidRDefault="00BF4A4E" w:rsidP="00C15251">
      <w:pPr>
        <w:pStyle w:val="20"/>
        <w:ind w:firstLine="480"/>
        <w:rPr>
          <w:sz w:val="24"/>
        </w:rPr>
      </w:pPr>
      <w:r w:rsidRPr="00C15251">
        <w:rPr>
          <w:rFonts w:hint="eastAsia"/>
          <w:sz w:val="24"/>
        </w:rPr>
        <w:t>本基金可投资资产支持证券，资产支持证券具有一定的价格波动风险、流动性风险、信用风险等风险。价格波动风险指的是市场利率波动会导致资产支持证券的收益率和价格波动。流动性风险指的是受资产支持证券市场规模及交易活跃程度的影响，资产支持证券可能无法在同一价格水平上进行较大数量的买入或卖出，存在一定的流动性风险。信用风险指的基金所投资的资产支持证券之债务人出现违约，或在交易过程中发生交收违约，或由于资产支持证券信用质量降低导致证券价格下降，造成基金财产损失。</w:t>
      </w:r>
    </w:p>
    <w:p w14:paraId="28577C5B" w14:textId="47100889" w:rsidR="00BF4A4E" w:rsidRPr="00C15251" w:rsidRDefault="000F235C" w:rsidP="00C15251">
      <w:pPr>
        <w:pStyle w:val="20"/>
        <w:ind w:firstLine="480"/>
        <w:rPr>
          <w:sz w:val="24"/>
        </w:rPr>
      </w:pPr>
      <w:r w:rsidRPr="00C15251">
        <w:rPr>
          <w:sz w:val="24"/>
        </w:rPr>
        <w:lastRenderedPageBreak/>
        <w:t>1</w:t>
      </w:r>
      <w:r>
        <w:rPr>
          <w:sz w:val="24"/>
        </w:rPr>
        <w:t>3</w:t>
      </w:r>
      <w:r w:rsidR="00BF4A4E" w:rsidRPr="00C15251">
        <w:rPr>
          <w:rFonts w:hint="eastAsia"/>
          <w:sz w:val="24"/>
        </w:rPr>
        <w:t>、参与融资交易的风险</w:t>
      </w:r>
    </w:p>
    <w:p w14:paraId="3F4A79B0" w14:textId="77777777" w:rsidR="00BF4A4E" w:rsidRPr="00C15251" w:rsidRDefault="00BF4A4E" w:rsidP="00C15251">
      <w:pPr>
        <w:pStyle w:val="20"/>
        <w:ind w:firstLine="480"/>
        <w:rPr>
          <w:sz w:val="24"/>
        </w:rPr>
      </w:pPr>
      <w:r w:rsidRPr="00C15251">
        <w:rPr>
          <w:rFonts w:hint="eastAsia"/>
          <w:sz w:val="24"/>
        </w:rPr>
        <w:t>本基金可参与融资交易，面临的风险包括但不限于：</w:t>
      </w:r>
    </w:p>
    <w:p w14:paraId="272B2B7B" w14:textId="77777777" w:rsidR="00BF4A4E" w:rsidRPr="00C15251" w:rsidRDefault="00BF4A4E" w:rsidP="00C15251">
      <w:pPr>
        <w:pStyle w:val="20"/>
        <w:ind w:firstLine="480"/>
        <w:rPr>
          <w:sz w:val="24"/>
        </w:rPr>
      </w:pPr>
      <w:r w:rsidRPr="00C15251">
        <w:rPr>
          <w:rFonts w:hint="eastAsia"/>
          <w:sz w:val="24"/>
        </w:rPr>
        <w:t>（1）杠杆效应放大风险</w:t>
      </w:r>
    </w:p>
    <w:p w14:paraId="3E2FDFA8" w14:textId="77777777" w:rsidR="00BF4A4E" w:rsidRPr="00C15251" w:rsidRDefault="00BF4A4E" w:rsidP="00C15251">
      <w:pPr>
        <w:pStyle w:val="20"/>
        <w:ind w:firstLine="480"/>
        <w:rPr>
          <w:sz w:val="24"/>
        </w:rPr>
      </w:pPr>
      <w:r w:rsidRPr="00C15251">
        <w:rPr>
          <w:rFonts w:hint="eastAsia"/>
          <w:sz w:val="24"/>
        </w:rPr>
        <w:t>投资者通过融资可以扩大交易额度，利用较少资本来获取较大利润，这必然也放大了风险。投资者将股票作为担保品进行融资时，既需要承担原有的股票价格变化带来的风险，又得承担新投资股票带来的风险，还得支付相应的利息或费用，如判断失误或操作不当，会加大亏损。</w:t>
      </w:r>
    </w:p>
    <w:p w14:paraId="4DA3FEEE" w14:textId="77777777" w:rsidR="00BF4A4E" w:rsidRPr="00C15251" w:rsidRDefault="00BF4A4E" w:rsidP="00C15251">
      <w:pPr>
        <w:pStyle w:val="20"/>
        <w:ind w:firstLine="480"/>
        <w:rPr>
          <w:sz w:val="24"/>
        </w:rPr>
      </w:pPr>
      <w:r w:rsidRPr="00C15251">
        <w:rPr>
          <w:rFonts w:hint="eastAsia"/>
          <w:sz w:val="24"/>
        </w:rPr>
        <w:t>（2）担保能力及限制交易风险</w:t>
      </w:r>
    </w:p>
    <w:p w14:paraId="2777D491" w14:textId="77777777" w:rsidR="00BF4A4E" w:rsidRPr="00C15251" w:rsidRDefault="00BF4A4E" w:rsidP="00C15251">
      <w:pPr>
        <w:pStyle w:val="20"/>
        <w:ind w:firstLine="480"/>
        <w:rPr>
          <w:sz w:val="24"/>
        </w:rPr>
      </w:pPr>
      <w:r w:rsidRPr="00C15251">
        <w:rPr>
          <w:rFonts w:hint="eastAsia"/>
          <w:sz w:val="24"/>
        </w:rPr>
        <w:t>单只或全部证券被暂停融资、投资者账户被暂停或取消融资资格等，这些影响可能给投资者造成经济损失。此外，投资者也可能面临由于自身维持担保比例低于融资合同约定的担保要求，且未能及时补充担保物，导致信用账户交易受到限制，从而造成经济损失。</w:t>
      </w:r>
    </w:p>
    <w:p w14:paraId="3B228BED" w14:textId="77777777" w:rsidR="00BF4A4E" w:rsidRPr="00C15251" w:rsidRDefault="00BF4A4E" w:rsidP="00C15251">
      <w:pPr>
        <w:pStyle w:val="20"/>
        <w:ind w:firstLine="480"/>
        <w:rPr>
          <w:sz w:val="24"/>
        </w:rPr>
      </w:pPr>
      <w:r w:rsidRPr="00C15251">
        <w:rPr>
          <w:rFonts w:hint="eastAsia"/>
          <w:sz w:val="24"/>
        </w:rPr>
        <w:t>（3）强制平仓风险</w:t>
      </w:r>
    </w:p>
    <w:p w14:paraId="375EE75A" w14:textId="77777777" w:rsidR="00BF4A4E" w:rsidRDefault="00BF4A4E">
      <w:pPr>
        <w:pStyle w:val="20"/>
        <w:adjustRightInd w:val="0"/>
        <w:snapToGrid w:val="0"/>
        <w:ind w:firstLine="480"/>
        <w:rPr>
          <w:rFonts w:cs="宋体"/>
          <w:sz w:val="24"/>
        </w:rPr>
      </w:pPr>
      <w:r>
        <w:rPr>
          <w:rFonts w:cs="宋体" w:hint="eastAsia"/>
          <w:sz w:val="24"/>
        </w:rPr>
        <w:t>投资者在从事融资交易期间，如果不能按照约定的期限清偿债务，或上市证券价格波动，导致日终清算后维持担保比例低于警戒线，且不能按照约定追加担保物时，将面临担保物被证券公司强制平仓的风险，由此可能给投资者造成经济损失。</w:t>
      </w:r>
    </w:p>
    <w:p w14:paraId="4EDE42E2" w14:textId="06AC9A61" w:rsidR="00BF4A4E" w:rsidRDefault="000F235C">
      <w:pPr>
        <w:pStyle w:val="20"/>
        <w:adjustRightInd w:val="0"/>
        <w:snapToGrid w:val="0"/>
        <w:ind w:firstLine="480"/>
        <w:rPr>
          <w:rFonts w:cs="宋体"/>
          <w:sz w:val="24"/>
        </w:rPr>
      </w:pPr>
      <w:r>
        <w:rPr>
          <w:rFonts w:cs="宋体" w:hint="eastAsia"/>
          <w:sz w:val="24"/>
        </w:rPr>
        <w:t>1</w:t>
      </w:r>
      <w:r>
        <w:rPr>
          <w:rFonts w:cs="宋体"/>
          <w:sz w:val="24"/>
        </w:rPr>
        <w:t>4</w:t>
      </w:r>
      <w:r w:rsidR="00BF4A4E">
        <w:rPr>
          <w:rFonts w:cs="宋体" w:hint="eastAsia"/>
          <w:sz w:val="24"/>
        </w:rPr>
        <w:t>、参与转融通证券出借业务的风险</w:t>
      </w:r>
    </w:p>
    <w:p w14:paraId="3FB8B41D" w14:textId="77777777" w:rsidR="00BF4A4E" w:rsidRDefault="00BF4A4E">
      <w:pPr>
        <w:pStyle w:val="20"/>
        <w:adjustRightInd w:val="0"/>
        <w:snapToGrid w:val="0"/>
        <w:ind w:firstLine="480"/>
        <w:rPr>
          <w:rFonts w:cs="宋体"/>
          <w:sz w:val="24"/>
        </w:rPr>
      </w:pPr>
      <w:r>
        <w:rPr>
          <w:rFonts w:cs="宋体" w:hint="eastAsia"/>
          <w:sz w:val="24"/>
        </w:rPr>
        <w:t>本基金可参与转融通证券出借业务，面临的风险包括但不限于：</w:t>
      </w:r>
    </w:p>
    <w:p w14:paraId="2BE29879" w14:textId="77777777" w:rsidR="00BF4A4E" w:rsidRDefault="00BF4A4E">
      <w:pPr>
        <w:pStyle w:val="20"/>
        <w:adjustRightInd w:val="0"/>
        <w:snapToGrid w:val="0"/>
        <w:ind w:firstLine="480"/>
        <w:rPr>
          <w:rFonts w:cs="宋体"/>
          <w:sz w:val="24"/>
        </w:rPr>
      </w:pPr>
      <w:r>
        <w:rPr>
          <w:rFonts w:cs="宋体" w:hint="eastAsia"/>
          <w:sz w:val="24"/>
        </w:rPr>
        <w:t>（1）流动性风险，面临大额赎回时可能因证券出借原因发生无法及时变现，支付赎回款项的风险。</w:t>
      </w:r>
    </w:p>
    <w:p w14:paraId="2F002EED" w14:textId="77777777" w:rsidR="00BF4A4E" w:rsidRDefault="00BF4A4E">
      <w:pPr>
        <w:pStyle w:val="20"/>
        <w:adjustRightInd w:val="0"/>
        <w:snapToGrid w:val="0"/>
        <w:ind w:firstLine="480"/>
        <w:rPr>
          <w:rFonts w:cs="宋体"/>
          <w:sz w:val="24"/>
        </w:rPr>
      </w:pPr>
      <w:r>
        <w:rPr>
          <w:rFonts w:cs="宋体" w:hint="eastAsia"/>
          <w:sz w:val="24"/>
        </w:rPr>
        <w:t>（2）信用风险，证券出借对手方可能无法及时归还证券，无法支付相应权益补偿及借券费用的风险。</w:t>
      </w:r>
    </w:p>
    <w:p w14:paraId="35151330" w14:textId="77777777" w:rsidR="00BF4A4E" w:rsidRDefault="00BF4A4E">
      <w:pPr>
        <w:pStyle w:val="20"/>
        <w:adjustRightInd w:val="0"/>
        <w:snapToGrid w:val="0"/>
        <w:ind w:firstLine="480"/>
        <w:rPr>
          <w:rFonts w:cs="宋体"/>
          <w:sz w:val="24"/>
        </w:rPr>
      </w:pPr>
      <w:r>
        <w:rPr>
          <w:rFonts w:cs="宋体" w:hint="eastAsia"/>
          <w:sz w:val="24"/>
        </w:rPr>
        <w:t>（3）市场风险，证券出借后可能面临出借期间无法及时处置证券的市场风险。</w:t>
      </w:r>
    </w:p>
    <w:p w14:paraId="048DF128" w14:textId="0FBEB912" w:rsidR="00BF4A4E" w:rsidRDefault="000F235C">
      <w:pPr>
        <w:pStyle w:val="20"/>
        <w:adjustRightInd w:val="0"/>
        <w:snapToGrid w:val="0"/>
        <w:ind w:firstLine="480"/>
        <w:rPr>
          <w:rFonts w:cs="宋体"/>
          <w:sz w:val="24"/>
        </w:rPr>
      </w:pPr>
      <w:r>
        <w:rPr>
          <w:rFonts w:cs="宋体" w:hint="eastAsia"/>
          <w:sz w:val="24"/>
        </w:rPr>
        <w:t>1</w:t>
      </w:r>
      <w:r>
        <w:rPr>
          <w:rFonts w:cs="宋体"/>
          <w:sz w:val="24"/>
        </w:rPr>
        <w:t>5</w:t>
      </w:r>
      <w:r w:rsidR="00BF4A4E">
        <w:rPr>
          <w:rFonts w:cs="宋体" w:hint="eastAsia"/>
          <w:sz w:val="24"/>
        </w:rPr>
        <w:t>、参与债券回购的风险</w:t>
      </w:r>
    </w:p>
    <w:p w14:paraId="54694167" w14:textId="77777777" w:rsidR="00D4739B" w:rsidRDefault="00D4739B">
      <w:pPr>
        <w:pStyle w:val="20"/>
        <w:adjustRightInd w:val="0"/>
        <w:snapToGrid w:val="0"/>
        <w:ind w:firstLine="480"/>
        <w:rPr>
          <w:rFonts w:cs="宋体"/>
          <w:sz w:val="24"/>
        </w:rPr>
      </w:pPr>
      <w:r w:rsidRPr="00D4739B">
        <w:rPr>
          <w:rFonts w:cs="宋体" w:hint="eastAsia"/>
          <w:sz w:val="24"/>
        </w:rPr>
        <w:t>本基金的投资范围包括债券回购，债券回购为提升基金组合收益提供了可能，但也存在一定的风险。若本基金参与债券回购，如发生债券回购交收违约，质押券可能面临被处置的风险，因处置价格、数量、时间等的不确定，可能会给基金资产造成损失</w:t>
      </w:r>
      <w:r>
        <w:rPr>
          <w:rFonts w:cs="宋体" w:hint="eastAsia"/>
          <w:sz w:val="24"/>
        </w:rPr>
        <w:t>。</w:t>
      </w:r>
    </w:p>
    <w:p w14:paraId="64FEFD42" w14:textId="22CE9DB7" w:rsidR="00BF4A4E" w:rsidRDefault="000F235C">
      <w:pPr>
        <w:pStyle w:val="20"/>
        <w:adjustRightInd w:val="0"/>
        <w:snapToGrid w:val="0"/>
        <w:ind w:firstLine="480"/>
        <w:rPr>
          <w:rFonts w:cs="宋体"/>
          <w:sz w:val="24"/>
        </w:rPr>
      </w:pPr>
      <w:r>
        <w:rPr>
          <w:rFonts w:cs="宋体"/>
          <w:sz w:val="24"/>
        </w:rPr>
        <w:lastRenderedPageBreak/>
        <w:t>16</w:t>
      </w:r>
      <w:r w:rsidR="00BF4A4E">
        <w:rPr>
          <w:rFonts w:cs="宋体" w:hint="eastAsia"/>
          <w:sz w:val="24"/>
        </w:rPr>
        <w:t>、基金合同终止的风险</w:t>
      </w:r>
    </w:p>
    <w:p w14:paraId="18F3920F" w14:textId="77777777" w:rsidR="001731CB" w:rsidRPr="00E666D8" w:rsidRDefault="001731CB" w:rsidP="00E666D8">
      <w:pPr>
        <w:pStyle w:val="20"/>
        <w:adjustRightInd w:val="0"/>
        <w:snapToGrid w:val="0"/>
        <w:ind w:firstLine="480"/>
        <w:rPr>
          <w:rFonts w:cs="宋体"/>
          <w:sz w:val="24"/>
        </w:rPr>
      </w:pPr>
      <w:r w:rsidRPr="00E666D8">
        <w:rPr>
          <w:rFonts w:cs="宋体" w:hint="eastAsia"/>
          <w:sz w:val="24"/>
        </w:rPr>
        <w:t>基金合同生效之日起3年后的对应自然日，若基金资产净值低于2亿元，本基金应当按照基金合同约定的程序进行清算并终止，且不得通过召开基金份额持有人大会的方式延续。</w:t>
      </w:r>
    </w:p>
    <w:p w14:paraId="25A50D21" w14:textId="77777777" w:rsidR="00B85CF7" w:rsidRPr="00E666D8" w:rsidRDefault="00B85CF7" w:rsidP="00B85CF7">
      <w:pPr>
        <w:pStyle w:val="20"/>
        <w:adjustRightInd w:val="0"/>
        <w:snapToGrid w:val="0"/>
        <w:ind w:firstLine="480"/>
        <w:rPr>
          <w:rFonts w:cs="宋体"/>
          <w:sz w:val="24"/>
        </w:rPr>
      </w:pPr>
      <w:r w:rsidRPr="00E666D8">
        <w:rPr>
          <w:rFonts w:cs="宋体" w:hint="eastAsia"/>
          <w:sz w:val="24"/>
        </w:rPr>
        <w:t>若出现标的指数不符合要求（因成份股价格波动等指数编制方法变动之外的因素致使标的指数不符合要求的情形除外）、指数编制机构退出等情形，基金管理人召集基金份额持有人大会对解决方案进行表决，基金份额持有人大会未成功召开或就上述事项表决未通过的，则本基金将终止基金合同，并按照基金合同约定程序进行清算。</w:t>
      </w:r>
    </w:p>
    <w:p w14:paraId="47F57923" w14:textId="77777777" w:rsidR="00B85CF7" w:rsidRPr="00E666D8" w:rsidRDefault="00B85CF7">
      <w:pPr>
        <w:pStyle w:val="20"/>
        <w:adjustRightInd w:val="0"/>
        <w:snapToGrid w:val="0"/>
        <w:ind w:firstLine="480"/>
        <w:rPr>
          <w:rFonts w:cs="宋体"/>
          <w:sz w:val="24"/>
        </w:rPr>
      </w:pPr>
      <w:r w:rsidRPr="00E666D8">
        <w:rPr>
          <w:rFonts w:cs="宋体" w:hint="eastAsia"/>
          <w:sz w:val="24"/>
        </w:rPr>
        <w:t>故基金份额持有人可能面临基金合同终止无法继续投资本基金的风险。</w:t>
      </w:r>
    </w:p>
    <w:p w14:paraId="3E249B9A" w14:textId="6B853578" w:rsidR="007D7AB1" w:rsidRPr="007D7AB1" w:rsidRDefault="000F235C" w:rsidP="007D7AB1">
      <w:pPr>
        <w:pStyle w:val="20"/>
        <w:adjustRightInd w:val="0"/>
        <w:snapToGrid w:val="0"/>
        <w:ind w:firstLine="480"/>
        <w:rPr>
          <w:rFonts w:cs="宋体"/>
          <w:sz w:val="24"/>
        </w:rPr>
      </w:pPr>
      <w:r w:rsidRPr="007D7AB1">
        <w:rPr>
          <w:rFonts w:cs="宋体" w:hint="eastAsia"/>
          <w:sz w:val="24"/>
        </w:rPr>
        <w:t>1</w:t>
      </w:r>
      <w:r>
        <w:rPr>
          <w:rFonts w:cs="宋体"/>
          <w:sz w:val="24"/>
        </w:rPr>
        <w:t>7</w:t>
      </w:r>
      <w:r w:rsidR="007D7AB1" w:rsidRPr="007D7AB1">
        <w:rPr>
          <w:rFonts w:cs="宋体" w:hint="eastAsia"/>
          <w:sz w:val="24"/>
        </w:rPr>
        <w:t>、发起资金提供方持有期限届满后赎回的风险</w:t>
      </w:r>
    </w:p>
    <w:p w14:paraId="2AC878AE" w14:textId="1D724361" w:rsidR="007D7AB1" w:rsidRDefault="007D7AB1" w:rsidP="007D7AB1">
      <w:pPr>
        <w:pStyle w:val="20"/>
        <w:adjustRightInd w:val="0"/>
        <w:snapToGrid w:val="0"/>
        <w:ind w:firstLine="480"/>
        <w:rPr>
          <w:rFonts w:cs="宋体"/>
          <w:sz w:val="24"/>
        </w:rPr>
      </w:pPr>
      <w:r w:rsidRPr="007D7AB1">
        <w:rPr>
          <w:rFonts w:cs="宋体" w:hint="eastAsia"/>
          <w:sz w:val="24"/>
        </w:rPr>
        <w:t>本基金为发起式基金，在基金募集时，基金管理人将运用公司固有资金认购本基金基金份额金额不低于1000万元，认购的基金份额持有期限不低于三年。但基金管理人对本基金的发起认购，并不代表对本基金的风险或收益的任何判断、预测、推荐和保证，发起资金也并不用于对投资人投资亏损的补偿，投资人及发起资金提供方均自行承担投资风险。本基金管理人认购的本基金基金份额持有期限满三年后，本基金管理人将根据自身情况决定是否继续持有，届时本基金管理人有可能赎回所持有的本基金基金份额。</w:t>
      </w:r>
    </w:p>
    <w:p w14:paraId="2F351EDD" w14:textId="70611B13" w:rsidR="00BF4A4E" w:rsidRDefault="000F235C">
      <w:pPr>
        <w:pStyle w:val="20"/>
        <w:adjustRightInd w:val="0"/>
        <w:snapToGrid w:val="0"/>
        <w:ind w:firstLine="480"/>
        <w:rPr>
          <w:rFonts w:cs="宋体"/>
          <w:sz w:val="24"/>
        </w:rPr>
      </w:pPr>
      <w:r>
        <w:rPr>
          <w:rFonts w:cs="宋体"/>
          <w:sz w:val="24"/>
        </w:rPr>
        <w:t>18</w:t>
      </w:r>
      <w:r w:rsidR="00BF4A4E">
        <w:rPr>
          <w:rFonts w:cs="宋体" w:hint="eastAsia"/>
          <w:sz w:val="24"/>
        </w:rPr>
        <w:t>、投资存托凭证的风险</w:t>
      </w:r>
    </w:p>
    <w:p w14:paraId="23EDD463" w14:textId="77777777" w:rsidR="00BF4A4E" w:rsidRDefault="00BF4A4E">
      <w:pPr>
        <w:pStyle w:val="20"/>
        <w:adjustRightInd w:val="0"/>
        <w:snapToGrid w:val="0"/>
        <w:ind w:firstLine="480"/>
        <w:rPr>
          <w:rFonts w:cs="宋体"/>
          <w:sz w:val="24"/>
        </w:rPr>
      </w:pPr>
      <w:r>
        <w:rPr>
          <w:rFonts w:cs="宋体" w:hint="eastAsia"/>
          <w:sz w:val="24"/>
        </w:rPr>
        <w:t>本基金可投资存托凭证，基金净值可能受到存托凭证的境外基础证券价格波动影响，存托凭证的境外基础证券的相关风险可能直接或间接成为本基金的风险。</w:t>
      </w:r>
    </w:p>
    <w:p w14:paraId="75F9941B" w14:textId="5C80A231" w:rsidR="00BF4A4E" w:rsidRDefault="000F235C">
      <w:pPr>
        <w:pStyle w:val="20"/>
        <w:adjustRightInd w:val="0"/>
        <w:snapToGrid w:val="0"/>
        <w:ind w:firstLine="480"/>
        <w:rPr>
          <w:rFonts w:cs="宋体"/>
          <w:sz w:val="24"/>
        </w:rPr>
      </w:pPr>
      <w:r>
        <w:rPr>
          <w:rFonts w:cs="宋体" w:hint="eastAsia"/>
          <w:sz w:val="24"/>
        </w:rPr>
        <w:t>1</w:t>
      </w:r>
      <w:r>
        <w:rPr>
          <w:rFonts w:cs="宋体"/>
          <w:sz w:val="24"/>
        </w:rPr>
        <w:t>9</w:t>
      </w:r>
      <w:r w:rsidR="00BF4A4E">
        <w:rPr>
          <w:rFonts w:cs="宋体" w:hint="eastAsia"/>
          <w:sz w:val="24"/>
        </w:rPr>
        <w:t>、侧袋机制的相关风险</w:t>
      </w:r>
    </w:p>
    <w:p w14:paraId="02B3CE37" w14:textId="77777777" w:rsidR="00BF4A4E" w:rsidRDefault="00BF4A4E">
      <w:pPr>
        <w:pStyle w:val="20"/>
        <w:adjustRightInd w:val="0"/>
        <w:snapToGrid w:val="0"/>
        <w:ind w:firstLine="480"/>
        <w:rPr>
          <w:rFonts w:cs="宋体"/>
          <w:sz w:val="24"/>
        </w:rPr>
      </w:pPr>
      <w:r>
        <w:rPr>
          <w:rFonts w:cs="宋体" w:hint="eastAsia"/>
          <w:sz w:val="24"/>
        </w:rPr>
        <w:t>侧袋机制是一种流动性风险管理工具，是将特定资产分离至专门的侧袋账户进行处置清算，并以处置变现后的款项向基金份额持有人进行支付，目的在于有效隔离并化解风险。但基金启用侧袋机制后，侧袋账户份额将停止披露基金净值信息，并不得办理申购、赎回和转换，仅主袋账户份额正常开放赎回，因此启用侧袋机制时持有基金份额的持有人将在启用侧袋机制后同时持有主袋账户份额和侧袋账户份额，侧袋账户份额不能赎回，其对应特定资产的变现时间具有不确定性，最终变现价格也具有不确定性并且有可能大幅低于启用侧袋机制时的特定资产的估值，基金份额持有人可能因此面临损失。</w:t>
      </w:r>
    </w:p>
    <w:p w14:paraId="46FAD7F1" w14:textId="77777777" w:rsidR="00BF4A4E" w:rsidRDefault="00BF4A4E">
      <w:pPr>
        <w:pStyle w:val="20"/>
        <w:adjustRightInd w:val="0"/>
        <w:snapToGrid w:val="0"/>
        <w:ind w:firstLine="480"/>
        <w:rPr>
          <w:rFonts w:cs="宋体"/>
          <w:sz w:val="24"/>
        </w:rPr>
      </w:pPr>
      <w:r>
        <w:rPr>
          <w:rFonts w:cs="宋体" w:hint="eastAsia"/>
          <w:sz w:val="24"/>
        </w:rPr>
        <w:lastRenderedPageBreak/>
        <w:t>实施侧袋机制期间，因本基金不披露侧袋账户份额的净值，即便基金管理人在基金定期报告中披露报告期末特定资产可变现净值或净值区间的，也不作为特定资产最终变现价格的承诺，因此对于特定资产的公允价值和最终变现价格，基金管理人不承担任何保证和承诺的责任。</w:t>
      </w:r>
    </w:p>
    <w:p w14:paraId="203B08BB" w14:textId="77777777" w:rsidR="00BF4A4E" w:rsidRDefault="00BF4A4E">
      <w:pPr>
        <w:pStyle w:val="20"/>
        <w:adjustRightInd w:val="0"/>
        <w:snapToGrid w:val="0"/>
        <w:ind w:firstLine="480"/>
        <w:rPr>
          <w:rFonts w:cs="宋体"/>
          <w:sz w:val="24"/>
        </w:rPr>
      </w:pPr>
      <w:r>
        <w:rPr>
          <w:rFonts w:cs="宋体" w:hint="eastAsia"/>
          <w:sz w:val="24"/>
        </w:rPr>
        <w:t>基金管理人将根据主袋账户运作情况合理确定申购政策，因此实施侧袋机制后主袋账户份额存在暂停申购的可能。</w:t>
      </w:r>
    </w:p>
    <w:p w14:paraId="13CA9FB0" w14:textId="77777777" w:rsidR="00BF4A4E" w:rsidRDefault="00BF4A4E">
      <w:pPr>
        <w:pStyle w:val="20"/>
        <w:adjustRightInd w:val="0"/>
        <w:snapToGrid w:val="0"/>
        <w:ind w:firstLine="480"/>
        <w:rPr>
          <w:rFonts w:cs="宋体"/>
          <w:sz w:val="24"/>
        </w:rPr>
      </w:pPr>
      <w:r>
        <w:rPr>
          <w:rFonts w:cs="宋体" w:hint="eastAsia"/>
          <w:sz w:val="24"/>
        </w:rPr>
        <w:t>启用侧袋机制后，基金管理人计算各项投资运作指标和基金业绩指标时仅需考虑主袋账户资产，基金业绩指标应当以主袋账户资产为基准，因此本基金披露的业绩指标不能反映特定资产的真实价值及变化情况。</w:t>
      </w:r>
    </w:p>
    <w:p w14:paraId="5F5CEDCA" w14:textId="69852B4A" w:rsidR="007921C0" w:rsidRDefault="000F235C">
      <w:pPr>
        <w:pStyle w:val="20"/>
        <w:adjustRightInd w:val="0"/>
        <w:snapToGrid w:val="0"/>
        <w:ind w:firstLine="480"/>
        <w:rPr>
          <w:sz w:val="24"/>
        </w:rPr>
      </w:pPr>
      <w:r>
        <w:rPr>
          <w:sz w:val="24"/>
        </w:rPr>
        <w:t>20</w:t>
      </w:r>
      <w:r w:rsidR="007921C0">
        <w:rPr>
          <w:rFonts w:hint="eastAsia"/>
          <w:sz w:val="24"/>
        </w:rPr>
        <w:t>、</w:t>
      </w:r>
      <w:r w:rsidR="007921C0">
        <w:rPr>
          <w:sz w:val="24"/>
        </w:rPr>
        <w:t>投资科创板股票的风险</w:t>
      </w:r>
    </w:p>
    <w:p w14:paraId="0B1B49D5" w14:textId="526E971F" w:rsidR="004E0FBB" w:rsidRDefault="004E0FBB" w:rsidP="004E0FBB">
      <w:pPr>
        <w:autoSpaceDE w:val="0"/>
        <w:autoSpaceDN w:val="0"/>
        <w:adjustRightInd w:val="0"/>
        <w:snapToGrid w:val="0"/>
        <w:spacing w:line="360" w:lineRule="auto"/>
        <w:ind w:firstLineChars="200" w:firstLine="480"/>
        <w:jc w:val="left"/>
        <w:rPr>
          <w:rFonts w:ascii="宋体" w:hAnsi="宋体"/>
        </w:rPr>
      </w:pPr>
      <w:r>
        <w:rPr>
          <w:rFonts w:ascii="宋体" w:hAnsi="宋体"/>
          <w:sz w:val="24"/>
        </w:rPr>
        <w:t>（1）市场风险</w:t>
      </w:r>
    </w:p>
    <w:p w14:paraId="30EC35FD" w14:textId="113661E1" w:rsidR="004E0FBB" w:rsidRDefault="004E0FBB" w:rsidP="004E0FBB">
      <w:pPr>
        <w:autoSpaceDE w:val="0"/>
        <w:autoSpaceDN w:val="0"/>
        <w:adjustRightInd w:val="0"/>
        <w:snapToGrid w:val="0"/>
        <w:spacing w:line="360" w:lineRule="auto"/>
        <w:ind w:firstLineChars="200" w:firstLine="480"/>
        <w:jc w:val="left"/>
        <w:rPr>
          <w:rFonts w:ascii="宋体" w:hAnsi="宋体"/>
        </w:rPr>
      </w:pPr>
      <w:r>
        <w:rPr>
          <w:rFonts w:ascii="宋体" w:hAnsi="宋体"/>
          <w:sz w:val="24"/>
        </w:rPr>
        <w:t>科创板个股集中来自新一代信息技术、高端装备、新材料、新能源、节能环保及生物医药等高新技术和战略新兴产业领域。大多数企业为初创型公司，企业未来盈利、现金流、估值均存在不确定性，与传统二级市场投资存在差异，整体投资难度加大，个股市场风险加大。</w:t>
      </w:r>
    </w:p>
    <w:p w14:paraId="70DFFAEE" w14:textId="02537FF5" w:rsidR="004E0FBB" w:rsidRDefault="004E0FBB" w:rsidP="004E0FBB">
      <w:pPr>
        <w:autoSpaceDE w:val="0"/>
        <w:autoSpaceDN w:val="0"/>
        <w:adjustRightInd w:val="0"/>
        <w:snapToGrid w:val="0"/>
        <w:spacing w:line="360" w:lineRule="auto"/>
        <w:ind w:firstLineChars="200" w:firstLine="480"/>
        <w:jc w:val="left"/>
        <w:rPr>
          <w:rFonts w:ascii="宋体" w:hAnsi="宋体"/>
        </w:rPr>
      </w:pPr>
      <w:r>
        <w:rPr>
          <w:rFonts w:ascii="宋体" w:hAnsi="宋体"/>
          <w:sz w:val="24"/>
        </w:rPr>
        <w:t>科创板个股上市前五日无涨跌停限制，其后涨跌幅限制在正负20%以内，个股波动幅度较其他股票加大，市场风险随之上升。</w:t>
      </w:r>
    </w:p>
    <w:p w14:paraId="5BAA7C5D" w14:textId="14847A40" w:rsidR="004E0FBB" w:rsidRDefault="004E0FBB" w:rsidP="004E0FBB">
      <w:pPr>
        <w:autoSpaceDE w:val="0"/>
        <w:autoSpaceDN w:val="0"/>
        <w:adjustRightInd w:val="0"/>
        <w:snapToGrid w:val="0"/>
        <w:spacing w:line="360" w:lineRule="auto"/>
        <w:ind w:firstLineChars="200" w:firstLine="480"/>
        <w:jc w:val="left"/>
        <w:rPr>
          <w:rFonts w:ascii="宋体" w:hAnsi="宋体"/>
        </w:rPr>
      </w:pPr>
      <w:r>
        <w:rPr>
          <w:rFonts w:ascii="宋体" w:hAnsi="宋体"/>
          <w:sz w:val="24"/>
        </w:rPr>
        <w:t>（2）流动性风险</w:t>
      </w:r>
    </w:p>
    <w:p w14:paraId="3671D806" w14:textId="7DF5739E" w:rsidR="004E0FBB" w:rsidRDefault="004E0FBB" w:rsidP="004E0FBB">
      <w:pPr>
        <w:autoSpaceDE w:val="0"/>
        <w:autoSpaceDN w:val="0"/>
        <w:adjustRightInd w:val="0"/>
        <w:snapToGrid w:val="0"/>
        <w:spacing w:line="360" w:lineRule="auto"/>
        <w:ind w:firstLineChars="200" w:firstLine="480"/>
        <w:jc w:val="left"/>
        <w:rPr>
          <w:rFonts w:ascii="宋体" w:hAnsi="宋体"/>
        </w:rPr>
      </w:pPr>
      <w:r>
        <w:rPr>
          <w:rFonts w:ascii="宋体" w:hAnsi="宋体"/>
          <w:sz w:val="24"/>
        </w:rPr>
        <w:t>科创板整体投资门槛较高，个人投资者必须满足交易满两年并且资金在50万以上才可参与，二级市场上个人投资者参与度相对较低。机构投资者在投资决策上具有一定的趋同性，将会造成市场的流动性风险。</w:t>
      </w:r>
    </w:p>
    <w:p w14:paraId="487928A9" w14:textId="5FF09436" w:rsidR="004E0FBB" w:rsidRDefault="004E0FBB" w:rsidP="004E0FBB">
      <w:pPr>
        <w:autoSpaceDE w:val="0"/>
        <w:autoSpaceDN w:val="0"/>
        <w:adjustRightInd w:val="0"/>
        <w:snapToGrid w:val="0"/>
        <w:spacing w:line="360" w:lineRule="auto"/>
        <w:ind w:firstLineChars="200" w:firstLine="480"/>
        <w:jc w:val="left"/>
        <w:rPr>
          <w:rFonts w:ascii="宋体" w:hAnsi="宋体"/>
        </w:rPr>
      </w:pPr>
      <w:r>
        <w:rPr>
          <w:rFonts w:ascii="宋体" w:hAnsi="宋体"/>
          <w:sz w:val="24"/>
        </w:rPr>
        <w:t>（3）信用风险</w:t>
      </w:r>
    </w:p>
    <w:p w14:paraId="6B19A3FF" w14:textId="6B857137" w:rsidR="004E0FBB" w:rsidRDefault="004E0FBB" w:rsidP="004E0FBB">
      <w:pPr>
        <w:autoSpaceDE w:val="0"/>
        <w:autoSpaceDN w:val="0"/>
        <w:adjustRightInd w:val="0"/>
        <w:snapToGrid w:val="0"/>
        <w:spacing w:line="360" w:lineRule="auto"/>
        <w:ind w:firstLineChars="200" w:firstLine="480"/>
        <w:jc w:val="left"/>
        <w:rPr>
          <w:rFonts w:ascii="宋体" w:hAnsi="宋体"/>
        </w:rPr>
      </w:pPr>
      <w:r>
        <w:rPr>
          <w:rFonts w:ascii="宋体" w:hAnsi="宋体"/>
          <w:sz w:val="24"/>
        </w:rPr>
        <w:t>科创板试点注册制，对经营状况不佳或财务数据造假的企业实行严格的退市制度，科创板个股存在退市风险。</w:t>
      </w:r>
    </w:p>
    <w:p w14:paraId="51B56E37" w14:textId="01A7B1C6" w:rsidR="004E0FBB" w:rsidRDefault="004E0FBB" w:rsidP="004E0FBB">
      <w:pPr>
        <w:autoSpaceDE w:val="0"/>
        <w:autoSpaceDN w:val="0"/>
        <w:adjustRightInd w:val="0"/>
        <w:snapToGrid w:val="0"/>
        <w:spacing w:line="360" w:lineRule="auto"/>
        <w:ind w:firstLineChars="200" w:firstLine="480"/>
        <w:jc w:val="left"/>
        <w:rPr>
          <w:rFonts w:ascii="宋体" w:hAnsi="宋体"/>
        </w:rPr>
      </w:pPr>
      <w:r>
        <w:rPr>
          <w:rFonts w:ascii="宋体" w:hAnsi="宋体"/>
          <w:sz w:val="24"/>
        </w:rPr>
        <w:t>（4）集中度风险</w:t>
      </w:r>
    </w:p>
    <w:p w14:paraId="38520222" w14:textId="36552220" w:rsidR="004E0FBB" w:rsidRDefault="004E0FBB" w:rsidP="004E0FBB">
      <w:pPr>
        <w:autoSpaceDE w:val="0"/>
        <w:autoSpaceDN w:val="0"/>
        <w:adjustRightInd w:val="0"/>
        <w:snapToGrid w:val="0"/>
        <w:spacing w:line="360" w:lineRule="auto"/>
        <w:ind w:firstLineChars="200" w:firstLine="480"/>
        <w:jc w:val="left"/>
        <w:rPr>
          <w:rFonts w:ascii="宋体" w:hAnsi="宋体"/>
        </w:rPr>
      </w:pPr>
      <w:r>
        <w:rPr>
          <w:rFonts w:ascii="宋体" w:hAnsi="宋体"/>
          <w:sz w:val="24"/>
        </w:rPr>
        <w:t>科创板为新设板块，初期可投标的较少，投资者容易集中投资于少量个股，市场可能存在高集中度状况，整体存在集中度风险。</w:t>
      </w:r>
    </w:p>
    <w:p w14:paraId="3D289723" w14:textId="3E4D2E3C" w:rsidR="004E0FBB" w:rsidRDefault="004E0FBB" w:rsidP="004E0FBB">
      <w:pPr>
        <w:autoSpaceDE w:val="0"/>
        <w:autoSpaceDN w:val="0"/>
        <w:adjustRightInd w:val="0"/>
        <w:snapToGrid w:val="0"/>
        <w:spacing w:line="360" w:lineRule="auto"/>
        <w:ind w:firstLineChars="200" w:firstLine="480"/>
        <w:jc w:val="left"/>
        <w:rPr>
          <w:rFonts w:ascii="宋体" w:hAnsi="宋体"/>
        </w:rPr>
      </w:pPr>
      <w:r>
        <w:rPr>
          <w:rFonts w:ascii="宋体" w:hAnsi="宋体"/>
          <w:sz w:val="24"/>
        </w:rPr>
        <w:t>（5）系统性风险</w:t>
      </w:r>
    </w:p>
    <w:p w14:paraId="593AE9D0" w14:textId="65E12B27" w:rsidR="004E0FBB" w:rsidRDefault="004E0FBB" w:rsidP="004E0FBB">
      <w:pPr>
        <w:autoSpaceDE w:val="0"/>
        <w:autoSpaceDN w:val="0"/>
        <w:adjustRightInd w:val="0"/>
        <w:snapToGrid w:val="0"/>
        <w:spacing w:line="360" w:lineRule="auto"/>
        <w:ind w:firstLineChars="200" w:firstLine="480"/>
        <w:jc w:val="left"/>
        <w:rPr>
          <w:rFonts w:ascii="宋体" w:hAnsi="宋体"/>
        </w:rPr>
      </w:pPr>
      <w:r>
        <w:rPr>
          <w:rFonts w:ascii="宋体" w:hAnsi="宋体"/>
          <w:sz w:val="24"/>
        </w:rPr>
        <w:t>科创板企业均为市场认可度较高的科技创新企业，在企业经营及盈利模式上存在趋同，所以科创板个股相关性较高，市场表现不佳时，系统性风险将更</w:t>
      </w:r>
      <w:r>
        <w:rPr>
          <w:rFonts w:ascii="宋体" w:hAnsi="宋体"/>
          <w:sz w:val="24"/>
        </w:rPr>
        <w:lastRenderedPageBreak/>
        <w:t>为显著。</w:t>
      </w:r>
    </w:p>
    <w:p w14:paraId="4428B112" w14:textId="7C1ED7D8" w:rsidR="004E0FBB" w:rsidRDefault="004E0FBB" w:rsidP="004E0FBB">
      <w:pPr>
        <w:autoSpaceDE w:val="0"/>
        <w:autoSpaceDN w:val="0"/>
        <w:adjustRightInd w:val="0"/>
        <w:snapToGrid w:val="0"/>
        <w:spacing w:line="360" w:lineRule="auto"/>
        <w:ind w:firstLineChars="200" w:firstLine="480"/>
        <w:jc w:val="left"/>
        <w:rPr>
          <w:rFonts w:ascii="宋体" w:hAnsi="宋体"/>
        </w:rPr>
      </w:pPr>
      <w:r>
        <w:rPr>
          <w:rFonts w:ascii="宋体" w:hAnsi="宋体"/>
          <w:sz w:val="24"/>
        </w:rPr>
        <w:t>（6）政策风险</w:t>
      </w:r>
    </w:p>
    <w:p w14:paraId="681DD794" w14:textId="2451A010" w:rsidR="00114EDD" w:rsidRDefault="004E0FBB" w:rsidP="004E0FBB">
      <w:pPr>
        <w:pStyle w:val="20"/>
        <w:adjustRightInd w:val="0"/>
        <w:snapToGrid w:val="0"/>
        <w:ind w:firstLine="480"/>
        <w:rPr>
          <w:sz w:val="24"/>
        </w:rPr>
      </w:pPr>
      <w:r>
        <w:rPr>
          <w:sz w:val="24"/>
        </w:rPr>
        <w:t>国家对高新技术产业扶持力度及重视程度的变化会对科创板企业带来较大影响，国际经济形势变化对战略新兴产业及科创板个股也会带来政策影响</w:t>
      </w:r>
      <w:r>
        <w:rPr>
          <w:rFonts w:hint="eastAsia"/>
          <w:sz w:val="24"/>
        </w:rPr>
        <w:t>。</w:t>
      </w:r>
    </w:p>
    <w:p w14:paraId="5BE43303" w14:textId="77777777" w:rsidR="00BF4A4E" w:rsidRDefault="00BF4A4E">
      <w:pPr>
        <w:pStyle w:val="20"/>
        <w:adjustRightInd w:val="0"/>
        <w:snapToGrid w:val="0"/>
        <w:ind w:firstLine="480"/>
        <w:rPr>
          <w:rFonts w:cs="宋体"/>
          <w:sz w:val="24"/>
        </w:rPr>
      </w:pPr>
      <w:r>
        <w:rPr>
          <w:rFonts w:cs="宋体" w:hint="eastAsia"/>
          <w:sz w:val="24"/>
        </w:rPr>
        <w:t>四、流动性风险</w:t>
      </w:r>
    </w:p>
    <w:p w14:paraId="5C85E9A8" w14:textId="77777777" w:rsidR="00BF4A4E" w:rsidRDefault="00BF4A4E">
      <w:pPr>
        <w:pStyle w:val="20"/>
        <w:adjustRightInd w:val="0"/>
        <w:snapToGrid w:val="0"/>
        <w:ind w:firstLine="480"/>
        <w:rPr>
          <w:rFonts w:cs="宋体"/>
          <w:sz w:val="24"/>
        </w:rPr>
      </w:pPr>
      <w:r>
        <w:rPr>
          <w:rFonts w:cs="宋体" w:hint="eastAsia"/>
          <w:sz w:val="24"/>
        </w:rPr>
        <w:t>1、基金申购、赎回安排</w:t>
      </w:r>
    </w:p>
    <w:p w14:paraId="1861BDA2" w14:textId="77777777" w:rsidR="00BF4A4E" w:rsidRDefault="00BF4A4E">
      <w:pPr>
        <w:pStyle w:val="20"/>
        <w:adjustRightInd w:val="0"/>
        <w:snapToGrid w:val="0"/>
        <w:ind w:firstLine="480"/>
        <w:rPr>
          <w:rFonts w:cs="宋体"/>
          <w:sz w:val="24"/>
        </w:rPr>
      </w:pPr>
      <w:r>
        <w:rPr>
          <w:rFonts w:cs="宋体" w:hint="eastAsia"/>
          <w:sz w:val="24"/>
        </w:rPr>
        <w:t>投资人具体请参见基金合同“第六部分  基金份额的申购与赎回”和本招募说明书“第八部分  基金份额的申购与赎回”，详细了解本基金的申购以及赎回安排。</w:t>
      </w:r>
    </w:p>
    <w:p w14:paraId="78B49D08" w14:textId="7CFCB382" w:rsidR="00BF4A4E" w:rsidRDefault="0038350F">
      <w:pPr>
        <w:pStyle w:val="20"/>
        <w:adjustRightInd w:val="0"/>
        <w:snapToGrid w:val="0"/>
        <w:ind w:firstLine="480"/>
        <w:rPr>
          <w:rFonts w:cs="宋体"/>
          <w:sz w:val="24"/>
        </w:rPr>
      </w:pPr>
      <w:r w:rsidRPr="0038350F">
        <w:rPr>
          <w:rFonts w:cs="宋体" w:hint="eastAsia"/>
          <w:sz w:val="24"/>
        </w:rPr>
        <w:t>当</w:t>
      </w:r>
      <w:r w:rsidR="0024049E" w:rsidRPr="0024049E">
        <w:rPr>
          <w:rFonts w:cs="宋体" w:hint="eastAsia"/>
          <w:sz w:val="24"/>
        </w:rPr>
        <w:t>特定资产占前一估值日基金资产净值</w:t>
      </w:r>
      <w:r w:rsidR="00E905EE">
        <w:rPr>
          <w:rFonts w:cs="宋体"/>
          <w:sz w:val="24"/>
        </w:rPr>
        <w:t>50</w:t>
      </w:r>
      <w:r w:rsidR="00E905EE">
        <w:rPr>
          <w:rFonts w:cs="宋体" w:hint="eastAsia"/>
          <w:sz w:val="24"/>
        </w:rPr>
        <w:t>%</w:t>
      </w:r>
      <w:r w:rsidR="0024049E" w:rsidRPr="0024049E">
        <w:rPr>
          <w:rFonts w:cs="宋体" w:hint="eastAsia"/>
          <w:sz w:val="24"/>
        </w:rPr>
        <w:t>以上</w:t>
      </w:r>
      <w:r w:rsidRPr="0038350F">
        <w:rPr>
          <w:rFonts w:cs="宋体" w:hint="eastAsia"/>
          <w:sz w:val="24"/>
        </w:rPr>
        <w:t>时</w:t>
      </w:r>
      <w:r w:rsidR="00BF4A4E">
        <w:rPr>
          <w:rFonts w:cs="宋体" w:hint="eastAsia"/>
          <w:sz w:val="24"/>
        </w:rPr>
        <w:t>，经与基金托管人协商确认后，基金管理人会暂停针对本基金进行估值，并根据实际情况审慎选择延缓支付赎回款项或暂停接受基金申购赎回申请的措施，以充分保证投资人的利益免于受损。若本基金暂停基金估值，一方面投资人将无法知晓本基金的基金份额净值，另一方面基金可能将暂停接受申购赎回申请，导致投资人无法申购或赎回本基金。</w:t>
      </w:r>
    </w:p>
    <w:p w14:paraId="43F92A0D" w14:textId="77777777" w:rsidR="00BF4A4E" w:rsidRDefault="00BF4A4E">
      <w:pPr>
        <w:pStyle w:val="20"/>
        <w:adjustRightInd w:val="0"/>
        <w:snapToGrid w:val="0"/>
        <w:ind w:firstLine="480"/>
        <w:rPr>
          <w:rFonts w:cs="宋体"/>
          <w:sz w:val="24"/>
        </w:rPr>
      </w:pPr>
      <w:r>
        <w:rPr>
          <w:rFonts w:cs="宋体" w:hint="eastAsia"/>
          <w:sz w:val="24"/>
        </w:rPr>
        <w:t>2、拟投资市场、行业及资产的流动性风险评估</w:t>
      </w:r>
    </w:p>
    <w:p w14:paraId="48CF0F29" w14:textId="77777777" w:rsidR="00BF4A4E" w:rsidRDefault="00BF4A4E">
      <w:pPr>
        <w:pStyle w:val="20"/>
        <w:adjustRightInd w:val="0"/>
        <w:snapToGrid w:val="0"/>
        <w:ind w:firstLine="480"/>
        <w:rPr>
          <w:rFonts w:cs="宋体"/>
          <w:sz w:val="24"/>
        </w:rPr>
      </w:pPr>
      <w:r>
        <w:rPr>
          <w:rFonts w:cs="宋体" w:hint="eastAsia"/>
          <w:sz w:val="24"/>
        </w:rPr>
        <w:t>本基金以目标ETF基金份额、标的指数成份股及备选成份股为主要投资对象，且本基金并非主要投资于非流动性受限资产的股票、债券及不存在活跃市场需要采用估值技术确定公允价值的投资品种，因此本基金投资组合资产变现能力较强。但是</w:t>
      </w:r>
      <w:r>
        <w:rPr>
          <w:rFonts w:hint="eastAsia"/>
          <w:sz w:val="24"/>
        </w:rPr>
        <w:t>本基金投资于上述资产时，仍存在以下流动性风险：一是基金管理人建仓或进行组合调整时，可能由于特定投资标的的流动性相对不足而无法按预期的价格将目标ETF、股票或债券买进或卖出；二是为应对投资者的赎回，基金被迫以不适当的价格卖出目标ETF</w:t>
      </w:r>
      <w:r w:rsidR="009E5FCB">
        <w:rPr>
          <w:rFonts w:hint="eastAsia"/>
          <w:sz w:val="24"/>
        </w:rPr>
        <w:t>基金份额</w:t>
      </w:r>
      <w:r>
        <w:rPr>
          <w:rFonts w:hint="eastAsia"/>
          <w:sz w:val="24"/>
        </w:rPr>
        <w:t>、股票或债券；三是</w:t>
      </w:r>
      <w:r>
        <w:rPr>
          <w:rFonts w:cs="宋体" w:hint="eastAsia"/>
          <w:sz w:val="24"/>
        </w:rPr>
        <w:t>在目标ETF暂停基金资产估值，导致基金管理人无法计算当日基金资产净值；或者目标ETF暂停赎回</w:t>
      </w:r>
      <w:r w:rsidR="009B25B1">
        <w:rPr>
          <w:rFonts w:cs="宋体" w:hint="eastAsia"/>
          <w:sz w:val="24"/>
        </w:rPr>
        <w:t>、暂停上市</w:t>
      </w:r>
      <w:r>
        <w:rPr>
          <w:rFonts w:cs="宋体" w:hint="eastAsia"/>
          <w:sz w:val="24"/>
        </w:rPr>
        <w:t>或二级市场交易停牌或延缓支付赎回对价，基金管理人认为有必要暂停本基金赎回的情形下，基金管理人可暂停接受投资人的赎回申请或延缓支付赎回款项，投资人可能面临资产的流动性风险。</w:t>
      </w:r>
    </w:p>
    <w:p w14:paraId="4A857AF3" w14:textId="77777777" w:rsidR="00BF4A4E" w:rsidRDefault="00BF4A4E">
      <w:pPr>
        <w:pStyle w:val="20"/>
        <w:adjustRightInd w:val="0"/>
        <w:snapToGrid w:val="0"/>
        <w:ind w:firstLine="480"/>
        <w:rPr>
          <w:rFonts w:cs="宋体"/>
          <w:sz w:val="24"/>
        </w:rPr>
      </w:pPr>
      <w:r>
        <w:rPr>
          <w:rFonts w:cs="宋体" w:hint="eastAsia"/>
          <w:sz w:val="24"/>
        </w:rPr>
        <w:t>3、巨额赎回情形下的流动性风险管理措施</w:t>
      </w:r>
    </w:p>
    <w:p w14:paraId="7DCA9B0F" w14:textId="77777777" w:rsidR="00BF4A4E" w:rsidRDefault="00BF4A4E">
      <w:pPr>
        <w:pStyle w:val="20"/>
        <w:adjustRightInd w:val="0"/>
        <w:snapToGrid w:val="0"/>
        <w:ind w:firstLine="480"/>
        <w:rPr>
          <w:rFonts w:cs="宋体"/>
          <w:sz w:val="24"/>
        </w:rPr>
      </w:pPr>
      <w:r>
        <w:rPr>
          <w:rFonts w:cs="宋体" w:hint="eastAsia"/>
          <w:sz w:val="24"/>
        </w:rPr>
        <w:t>基金出现巨额赎回情形下，基金管理人可以根据基金当时的资产组合状况或巨额赎回份额占比情况决定全额赎回或部分延期赎回。同时，如本基金单个基金份额持有人在单个开放日申请赎回基金份额超过基金总份额一定比例以上的，基</w:t>
      </w:r>
      <w:r>
        <w:rPr>
          <w:rFonts w:cs="宋体" w:hint="eastAsia"/>
          <w:sz w:val="24"/>
        </w:rPr>
        <w:lastRenderedPageBreak/>
        <w:t>金管理人可以对其采取延期办理赎回申请的措施。详见《招募说明书》“第八部分  基金份额的申购与赎回”中“十二、巨额赎回的情形及处理方式”部分内容。</w:t>
      </w:r>
    </w:p>
    <w:p w14:paraId="60AB8608" w14:textId="77777777" w:rsidR="00BF4A4E" w:rsidRDefault="00BF4A4E">
      <w:pPr>
        <w:pStyle w:val="20"/>
        <w:adjustRightInd w:val="0"/>
        <w:snapToGrid w:val="0"/>
        <w:ind w:firstLine="480"/>
        <w:rPr>
          <w:rFonts w:cs="宋体"/>
          <w:bCs/>
          <w:sz w:val="24"/>
        </w:rPr>
      </w:pPr>
      <w:r>
        <w:rPr>
          <w:rFonts w:cs="宋体" w:hint="eastAsia"/>
          <w:sz w:val="24"/>
        </w:rPr>
        <w:t>4、</w:t>
      </w:r>
      <w:r>
        <w:rPr>
          <w:rFonts w:cs="宋体" w:hint="eastAsia"/>
          <w:bCs/>
          <w:sz w:val="24"/>
        </w:rPr>
        <w:t>实施备用的流动性风险管理工具的情形、程序及对投资者的潜在影响</w:t>
      </w:r>
    </w:p>
    <w:p w14:paraId="2F41DD37" w14:textId="77777777" w:rsidR="00BF4A4E" w:rsidRDefault="00BF4A4E">
      <w:pPr>
        <w:pStyle w:val="20"/>
        <w:adjustRightInd w:val="0"/>
        <w:snapToGrid w:val="0"/>
        <w:ind w:firstLine="480"/>
        <w:rPr>
          <w:rFonts w:cs="宋体"/>
          <w:bCs/>
          <w:sz w:val="24"/>
        </w:rPr>
      </w:pPr>
      <w:r>
        <w:rPr>
          <w:rFonts w:cs="宋体" w:hint="eastAsia"/>
          <w:bCs/>
          <w:sz w:val="24"/>
        </w:rPr>
        <w:t>（1）延期办理赎回申请</w:t>
      </w:r>
    </w:p>
    <w:p w14:paraId="0CD04792" w14:textId="77777777" w:rsidR="00BF4A4E" w:rsidRDefault="00BF4A4E">
      <w:pPr>
        <w:pStyle w:val="20"/>
        <w:adjustRightInd w:val="0"/>
        <w:snapToGrid w:val="0"/>
        <w:ind w:firstLine="480"/>
        <w:rPr>
          <w:rFonts w:cs="宋体"/>
          <w:bCs/>
          <w:sz w:val="24"/>
        </w:rPr>
      </w:pPr>
      <w:r>
        <w:rPr>
          <w:rFonts w:cs="宋体" w:hint="eastAsia"/>
          <w:bCs/>
          <w:sz w:val="24"/>
        </w:rPr>
        <w:t>具体请参见基金合同“第六部分  基金份额的申购与赎回”中的“九、巨额赎回的情形及处理方式”，详细了解本基金延期办理巨额赎回申请的情形及程序。在此情形下，投资人的部分或全部赎回申请可能被拒绝，基金投资人可能面临赎回效率降低的风险，同时投资人完成基金赎回时的基金份额净值可能与其提交赎回申请时的基金份额净值不同。</w:t>
      </w:r>
    </w:p>
    <w:p w14:paraId="2D56758C" w14:textId="77777777" w:rsidR="00BF4A4E" w:rsidRDefault="00BF4A4E">
      <w:pPr>
        <w:pStyle w:val="20"/>
        <w:adjustRightInd w:val="0"/>
        <w:snapToGrid w:val="0"/>
        <w:ind w:firstLine="480"/>
        <w:rPr>
          <w:rFonts w:cs="宋体"/>
          <w:bCs/>
          <w:sz w:val="24"/>
        </w:rPr>
      </w:pPr>
      <w:r>
        <w:rPr>
          <w:rFonts w:cs="宋体" w:hint="eastAsia"/>
          <w:bCs/>
          <w:sz w:val="24"/>
        </w:rPr>
        <w:t>（2）暂停接受赎回申请</w:t>
      </w:r>
    </w:p>
    <w:p w14:paraId="68E8369A" w14:textId="77777777" w:rsidR="00BF4A4E" w:rsidRDefault="00BF4A4E">
      <w:pPr>
        <w:pStyle w:val="20"/>
        <w:adjustRightInd w:val="0"/>
        <w:snapToGrid w:val="0"/>
        <w:ind w:firstLine="480"/>
        <w:rPr>
          <w:rFonts w:cs="宋体"/>
          <w:bCs/>
          <w:sz w:val="24"/>
        </w:rPr>
      </w:pPr>
      <w:r>
        <w:rPr>
          <w:rFonts w:cs="宋体" w:hint="eastAsia"/>
          <w:bCs/>
          <w:sz w:val="24"/>
        </w:rPr>
        <w:t>具体请参见基金合同“第六部分  基金份额的申购与赎回”中的“八、暂停赎回或延缓支付赎回款项的情形及处理方式”，详细了解本基金暂停接受赎回申请的情形及程序。在此情形下，基金投资人可能会面临赎回效率降低的风险。</w:t>
      </w:r>
    </w:p>
    <w:p w14:paraId="2F839B5F" w14:textId="77777777" w:rsidR="00BF4A4E" w:rsidRDefault="00BF4A4E">
      <w:pPr>
        <w:pStyle w:val="20"/>
        <w:adjustRightInd w:val="0"/>
        <w:snapToGrid w:val="0"/>
        <w:ind w:firstLine="480"/>
        <w:rPr>
          <w:rFonts w:cs="宋体"/>
          <w:bCs/>
          <w:sz w:val="24"/>
        </w:rPr>
      </w:pPr>
      <w:r>
        <w:rPr>
          <w:rFonts w:cs="宋体" w:hint="eastAsia"/>
          <w:bCs/>
          <w:sz w:val="24"/>
        </w:rPr>
        <w:t>（3）延缓支付赎回款项</w:t>
      </w:r>
    </w:p>
    <w:p w14:paraId="66EC54CA" w14:textId="77777777" w:rsidR="00BF4A4E" w:rsidRDefault="00BF4A4E">
      <w:pPr>
        <w:pStyle w:val="20"/>
        <w:adjustRightInd w:val="0"/>
        <w:snapToGrid w:val="0"/>
        <w:ind w:firstLine="480"/>
        <w:rPr>
          <w:rFonts w:cs="宋体"/>
          <w:bCs/>
          <w:sz w:val="24"/>
        </w:rPr>
      </w:pPr>
      <w:r>
        <w:rPr>
          <w:rFonts w:cs="宋体" w:hint="eastAsia"/>
          <w:bCs/>
          <w:sz w:val="24"/>
        </w:rPr>
        <w:t>具体请参见基金合同“第六部分  基金份额的申购与赎回”中的“八、暂停赎回或延缓支付赎回款项的情形及处理方式”和“九、巨额赎回的情形及处理方式”，详细了解本基金延缓支付赎回款项的情形及程序。在此情形下，投资人接收赎回款项的时间将可能比一般正常情形下有所延迟，申请赎回的基金份额持有人不能如期获得全额赎回款，除了对自身流动性产生影响外，也可能将损失延迟款项部分的再投资收益。</w:t>
      </w:r>
    </w:p>
    <w:p w14:paraId="137DBBF4" w14:textId="77777777" w:rsidR="00BF4A4E" w:rsidRDefault="00BF4A4E">
      <w:pPr>
        <w:pStyle w:val="20"/>
        <w:adjustRightInd w:val="0"/>
        <w:snapToGrid w:val="0"/>
        <w:ind w:firstLine="480"/>
        <w:rPr>
          <w:rFonts w:cs="宋体"/>
          <w:bCs/>
          <w:sz w:val="24"/>
        </w:rPr>
      </w:pPr>
      <w:r>
        <w:rPr>
          <w:rFonts w:cs="宋体" w:hint="eastAsia"/>
          <w:bCs/>
          <w:sz w:val="24"/>
        </w:rPr>
        <w:t>（4）收取短期赎回费</w:t>
      </w:r>
    </w:p>
    <w:p w14:paraId="59A028B3" w14:textId="77777777" w:rsidR="00BF4A4E" w:rsidRDefault="00BF4A4E">
      <w:pPr>
        <w:pStyle w:val="20"/>
        <w:adjustRightInd w:val="0"/>
        <w:snapToGrid w:val="0"/>
        <w:ind w:firstLine="480"/>
        <w:rPr>
          <w:rFonts w:cs="宋体"/>
          <w:bCs/>
          <w:sz w:val="24"/>
        </w:rPr>
      </w:pPr>
      <w:r>
        <w:rPr>
          <w:rFonts w:cs="宋体" w:hint="eastAsia"/>
          <w:bCs/>
          <w:sz w:val="24"/>
        </w:rPr>
        <w:t>本基金对持续持有期少于7日的投资者收取不低于1.5%的赎回费，并将上述赎回费全额计入基金财产。持续持有期小于7日的投资者相比于其他持有期限的投资者将支付更高的赎回费。</w:t>
      </w:r>
    </w:p>
    <w:p w14:paraId="7046498B" w14:textId="77777777" w:rsidR="00BF4A4E" w:rsidRDefault="00BF4A4E">
      <w:pPr>
        <w:pStyle w:val="20"/>
        <w:adjustRightInd w:val="0"/>
        <w:snapToGrid w:val="0"/>
        <w:ind w:firstLine="480"/>
        <w:rPr>
          <w:rFonts w:cs="宋体"/>
          <w:bCs/>
          <w:sz w:val="24"/>
        </w:rPr>
      </w:pPr>
      <w:r>
        <w:rPr>
          <w:rFonts w:cs="宋体" w:hint="eastAsia"/>
          <w:bCs/>
          <w:sz w:val="24"/>
        </w:rPr>
        <w:t>（5）暂停基金估值</w:t>
      </w:r>
    </w:p>
    <w:p w14:paraId="538056A0" w14:textId="77777777" w:rsidR="00BF4A4E" w:rsidRDefault="00BF4A4E">
      <w:pPr>
        <w:pStyle w:val="20"/>
        <w:adjustRightInd w:val="0"/>
        <w:snapToGrid w:val="0"/>
        <w:ind w:firstLine="480"/>
        <w:rPr>
          <w:rFonts w:cs="宋体"/>
          <w:bCs/>
          <w:sz w:val="24"/>
        </w:rPr>
      </w:pPr>
      <w:r>
        <w:rPr>
          <w:rFonts w:cs="宋体" w:hint="eastAsia"/>
          <w:bCs/>
          <w:sz w:val="24"/>
        </w:rPr>
        <w:t>具体请参见基金合同“第十四部分  基金资产估值”中的“七、暂停估值的情形”，详细了解本基金暂停估值的情形及程序。在此情形下，投资人面临暂时无法获取基金净值信息的风险，没有可供参考的基金净值信息，同时赎回申请可能被延期办理或被暂停接受，或被延缓支付赎回款项。</w:t>
      </w:r>
    </w:p>
    <w:p w14:paraId="7D881F26" w14:textId="52F3B956" w:rsidR="00BF4A4E" w:rsidRDefault="00BF4A4E">
      <w:pPr>
        <w:pStyle w:val="20"/>
        <w:adjustRightInd w:val="0"/>
        <w:snapToGrid w:val="0"/>
        <w:ind w:firstLine="480"/>
        <w:rPr>
          <w:rFonts w:cs="宋体"/>
          <w:bCs/>
          <w:sz w:val="24"/>
        </w:rPr>
      </w:pPr>
      <w:r>
        <w:rPr>
          <w:rFonts w:cs="宋体" w:hint="eastAsia"/>
          <w:bCs/>
          <w:sz w:val="24"/>
        </w:rPr>
        <w:t>（6）</w:t>
      </w:r>
      <w:r w:rsidR="00707FA7">
        <w:rPr>
          <w:rFonts w:cs="宋体" w:hint="eastAsia"/>
          <w:bCs/>
          <w:sz w:val="24"/>
        </w:rPr>
        <w:t>采用</w:t>
      </w:r>
      <w:r>
        <w:rPr>
          <w:rFonts w:cs="宋体" w:hint="eastAsia"/>
          <w:bCs/>
          <w:sz w:val="24"/>
        </w:rPr>
        <w:t>摆动定价</w:t>
      </w:r>
      <w:r w:rsidR="00FB4E37">
        <w:rPr>
          <w:rFonts w:cs="宋体" w:hint="eastAsia"/>
          <w:bCs/>
          <w:sz w:val="24"/>
        </w:rPr>
        <w:t>机制</w:t>
      </w:r>
    </w:p>
    <w:p w14:paraId="6A1FEBA4" w14:textId="77777777" w:rsidR="00BF4A4E" w:rsidRDefault="00BF4A4E">
      <w:pPr>
        <w:pStyle w:val="20"/>
        <w:adjustRightInd w:val="0"/>
        <w:snapToGrid w:val="0"/>
        <w:ind w:firstLine="480"/>
        <w:rPr>
          <w:rFonts w:cs="宋体"/>
          <w:sz w:val="24"/>
        </w:rPr>
      </w:pPr>
      <w:r>
        <w:rPr>
          <w:rFonts w:cs="宋体" w:hint="eastAsia"/>
          <w:bCs/>
          <w:sz w:val="24"/>
        </w:rPr>
        <w:lastRenderedPageBreak/>
        <w:t>当本基金发生大额申购或大额赎回情形时，基金管理人可以采用摆动定价机制，即将本基金因为大额申购或赎回而需要大幅增减仓位所带来的冲击成本通过调整基金的估值和基金份额净值的方式传导给大额申购和赎回的投资者，以确保基金估值的公平性。当日参与申购和赎回交易的投资者存在承担申购或者赎回产生的交易成本及其他成本的风险</w:t>
      </w:r>
      <w:r>
        <w:rPr>
          <w:rFonts w:cs="宋体" w:hint="eastAsia"/>
          <w:sz w:val="24"/>
        </w:rPr>
        <w:t>。</w:t>
      </w:r>
    </w:p>
    <w:p w14:paraId="659FCFB6" w14:textId="77777777" w:rsidR="00BF4A4E" w:rsidRDefault="00BF4A4E">
      <w:pPr>
        <w:pStyle w:val="20"/>
        <w:adjustRightInd w:val="0"/>
        <w:snapToGrid w:val="0"/>
        <w:ind w:firstLine="480"/>
        <w:rPr>
          <w:bCs/>
          <w:sz w:val="24"/>
        </w:rPr>
      </w:pPr>
      <w:r>
        <w:rPr>
          <w:rFonts w:hint="eastAsia"/>
          <w:bCs/>
          <w:sz w:val="24"/>
        </w:rPr>
        <w:t>（7）实施侧袋机制</w:t>
      </w:r>
    </w:p>
    <w:p w14:paraId="3EF070DA" w14:textId="77777777" w:rsidR="00BF4A4E" w:rsidRDefault="00BF4A4E">
      <w:pPr>
        <w:pStyle w:val="20"/>
        <w:adjustRightInd w:val="0"/>
        <w:snapToGrid w:val="0"/>
        <w:ind w:firstLine="480"/>
        <w:rPr>
          <w:bCs/>
          <w:sz w:val="24"/>
        </w:rPr>
      </w:pPr>
      <w:r>
        <w:rPr>
          <w:rFonts w:hint="eastAsia"/>
          <w:bCs/>
          <w:sz w:val="24"/>
        </w:rPr>
        <w:t>投资人具体请参见本招募说明书“第十六部分  侧袋机制”，详细了解本基金侧袋机制的情形及程序。</w:t>
      </w:r>
    </w:p>
    <w:p w14:paraId="29263F14" w14:textId="77777777" w:rsidR="00BF4A4E" w:rsidRDefault="00BF4A4E">
      <w:pPr>
        <w:pStyle w:val="20"/>
        <w:adjustRightInd w:val="0"/>
        <w:snapToGrid w:val="0"/>
        <w:ind w:firstLine="480"/>
        <w:rPr>
          <w:bCs/>
          <w:sz w:val="24"/>
        </w:rPr>
      </w:pPr>
      <w:r>
        <w:rPr>
          <w:rFonts w:hint="eastAsia"/>
          <w:bCs/>
          <w:sz w:val="24"/>
        </w:rPr>
        <w:t>五、其他风险</w:t>
      </w:r>
    </w:p>
    <w:p w14:paraId="3B4E9A9D" w14:textId="77777777" w:rsidR="00BF4A4E" w:rsidRDefault="00BF4A4E">
      <w:pPr>
        <w:pStyle w:val="20"/>
        <w:adjustRightInd w:val="0"/>
        <w:snapToGrid w:val="0"/>
        <w:ind w:firstLine="480"/>
        <w:rPr>
          <w:bCs/>
          <w:sz w:val="24"/>
        </w:rPr>
      </w:pPr>
      <w:r>
        <w:rPr>
          <w:rFonts w:hint="eastAsia"/>
          <w:bCs/>
          <w:sz w:val="24"/>
        </w:rPr>
        <w:t>1、技术风险</w:t>
      </w:r>
    </w:p>
    <w:p w14:paraId="518E434A" w14:textId="77777777" w:rsidR="00BF4A4E" w:rsidRDefault="00BF4A4E">
      <w:pPr>
        <w:pStyle w:val="20"/>
        <w:adjustRightInd w:val="0"/>
        <w:snapToGrid w:val="0"/>
        <w:ind w:firstLine="480"/>
        <w:rPr>
          <w:bCs/>
          <w:sz w:val="24"/>
        </w:rPr>
      </w:pPr>
      <w:r>
        <w:rPr>
          <w:rFonts w:hint="eastAsia"/>
          <w:bCs/>
          <w:sz w:val="24"/>
        </w:rPr>
        <w:t>计算机、通讯系统、交易网络等技术保障系统或信息网络支持出现异常情况，可能导致基金的认购、申购和赎回无法按正常时限完成、登记系统瘫痪、核算系统无法按正常时限显示产生净值、基金的投资交易指令无法及时传输等风险；</w:t>
      </w:r>
    </w:p>
    <w:p w14:paraId="59B847F2" w14:textId="77777777" w:rsidR="00BF4A4E" w:rsidRDefault="00BF4A4E">
      <w:pPr>
        <w:pStyle w:val="20"/>
        <w:adjustRightInd w:val="0"/>
        <w:snapToGrid w:val="0"/>
        <w:ind w:firstLine="480"/>
        <w:rPr>
          <w:bCs/>
          <w:sz w:val="24"/>
        </w:rPr>
      </w:pPr>
      <w:r>
        <w:rPr>
          <w:rFonts w:hint="eastAsia"/>
          <w:bCs/>
          <w:sz w:val="24"/>
        </w:rPr>
        <w:t>2、金融市场危机、行业竞争、代理机构违约、基金托管人违约等超出本基金管理人自身直接控制能力之外的风险，可能导致本基金或者基金份额持有人的利益受损；</w:t>
      </w:r>
    </w:p>
    <w:p w14:paraId="0DACF57F" w14:textId="77777777" w:rsidR="00BF4A4E" w:rsidRDefault="00BF4A4E">
      <w:pPr>
        <w:pStyle w:val="20"/>
        <w:adjustRightInd w:val="0"/>
        <w:snapToGrid w:val="0"/>
        <w:ind w:firstLine="480"/>
        <w:rPr>
          <w:bCs/>
          <w:sz w:val="24"/>
        </w:rPr>
      </w:pPr>
      <w:r>
        <w:rPr>
          <w:rFonts w:hint="eastAsia"/>
          <w:bCs/>
          <w:sz w:val="24"/>
        </w:rPr>
        <w:t>3、战争、自然灾害等不可抗力因素的出现，将会严重影响证券市场的运行，可能导致基金资产的损失；</w:t>
      </w:r>
    </w:p>
    <w:p w14:paraId="3F52AFCD" w14:textId="77777777" w:rsidR="00BF4A4E" w:rsidRDefault="00BF4A4E">
      <w:pPr>
        <w:pStyle w:val="20"/>
        <w:adjustRightInd w:val="0"/>
        <w:snapToGrid w:val="0"/>
        <w:ind w:firstLine="480"/>
        <w:rPr>
          <w:bCs/>
          <w:sz w:val="24"/>
        </w:rPr>
      </w:pPr>
      <w:r>
        <w:rPr>
          <w:rFonts w:hint="eastAsia"/>
          <w:bCs/>
          <w:sz w:val="24"/>
        </w:rPr>
        <w:t>4、因人为因素而产生的风险、如内幕交易、欺诈行为等产生的风险；</w:t>
      </w:r>
    </w:p>
    <w:p w14:paraId="622F1AD2" w14:textId="77777777" w:rsidR="00BF4A4E" w:rsidRDefault="00BF4A4E">
      <w:pPr>
        <w:pStyle w:val="20"/>
        <w:adjustRightInd w:val="0"/>
        <w:snapToGrid w:val="0"/>
        <w:ind w:firstLine="480"/>
        <w:rPr>
          <w:bCs/>
          <w:sz w:val="24"/>
        </w:rPr>
      </w:pPr>
      <w:r>
        <w:rPr>
          <w:rFonts w:hint="eastAsia"/>
          <w:bCs/>
          <w:sz w:val="24"/>
        </w:rPr>
        <w:t>5、对主要业务人员如基金经理的依赖而可能产生的风险；</w:t>
      </w:r>
    </w:p>
    <w:p w14:paraId="4424D1D7" w14:textId="77777777" w:rsidR="00BF4A4E" w:rsidRDefault="00BF4A4E">
      <w:pPr>
        <w:pStyle w:val="20"/>
        <w:adjustRightInd w:val="0"/>
        <w:snapToGrid w:val="0"/>
        <w:ind w:firstLine="480"/>
        <w:rPr>
          <w:bCs/>
          <w:sz w:val="24"/>
        </w:rPr>
      </w:pPr>
      <w:r>
        <w:rPr>
          <w:rFonts w:hint="eastAsia"/>
          <w:bCs/>
          <w:sz w:val="24"/>
        </w:rPr>
        <w:t>6、本基金由基金管理人作为交易参与人通过交易单元在证券交易所进行证券交易。根据《证券交易资金前端风险控制业务规则》等有关规定，证券交易所、证券登记机构对交易参与人相关交易单元的全天净买入申报金额总量实施额度管理，并通过交易所对交易参与人实施前端控制。本基金可能因上述业务规则而无法完成某笔或某些交易，由此造成的损益由基金财产承担。</w:t>
      </w:r>
    </w:p>
    <w:p w14:paraId="5392FFFE" w14:textId="77777777" w:rsidR="00044785" w:rsidRPr="00044785" w:rsidRDefault="00044785" w:rsidP="00044785">
      <w:pPr>
        <w:pStyle w:val="20"/>
        <w:adjustRightInd w:val="0"/>
        <w:snapToGrid w:val="0"/>
        <w:ind w:firstLine="480"/>
        <w:rPr>
          <w:bCs/>
          <w:sz w:val="24"/>
        </w:rPr>
      </w:pPr>
      <w:r w:rsidRPr="00044785">
        <w:rPr>
          <w:rFonts w:hint="eastAsia"/>
          <w:bCs/>
          <w:sz w:val="24"/>
        </w:rPr>
        <w:t>7、本基金法律文件风险收益特征表述与销售机构基金风险评价可能不一致的风险</w:t>
      </w:r>
    </w:p>
    <w:p w14:paraId="497399C6" w14:textId="77777777" w:rsidR="00044785" w:rsidRDefault="00044785" w:rsidP="00044785">
      <w:pPr>
        <w:pStyle w:val="20"/>
        <w:adjustRightInd w:val="0"/>
        <w:snapToGrid w:val="0"/>
        <w:ind w:firstLine="480"/>
        <w:rPr>
          <w:bCs/>
          <w:sz w:val="24"/>
        </w:rPr>
      </w:pPr>
      <w:r w:rsidRPr="00044785">
        <w:rPr>
          <w:rFonts w:hint="eastAsia"/>
          <w:bCs/>
          <w:sz w:val="24"/>
        </w:rPr>
        <w:t>本基金法律文件投资章节有关风险收益特征的表述是基于投资范围、投资比例、证券市场普遍规律等做出的概述性描述，代表了一般市场情况下本基金的长期风险收益特征。销售机构（包括基金管理人直销机构和其他销售机构）根据相</w:t>
      </w:r>
      <w:r w:rsidRPr="00044785">
        <w:rPr>
          <w:rFonts w:hint="eastAsia"/>
          <w:bCs/>
          <w:sz w:val="24"/>
        </w:rPr>
        <w:lastRenderedPageBreak/>
        <w:t>关法律法规对本基金进行风险评价，不同的销售机构采用的评价方法也不同，因此销售机构的风险等级评价与基金法律文件中风险收益特征的表述可能存在不同，投资人在购买本基金时需按照销售机构的要求完成风险承受能力与产品风险之间的匹配检验。</w:t>
      </w:r>
    </w:p>
    <w:p w14:paraId="72DF2D59" w14:textId="77777777" w:rsidR="00BF4A4E" w:rsidRDefault="00044785">
      <w:pPr>
        <w:pStyle w:val="20"/>
        <w:adjustRightInd w:val="0"/>
        <w:snapToGrid w:val="0"/>
        <w:ind w:firstLine="480"/>
        <w:rPr>
          <w:bCs/>
          <w:sz w:val="24"/>
        </w:rPr>
      </w:pPr>
      <w:r>
        <w:rPr>
          <w:bCs/>
          <w:sz w:val="24"/>
        </w:rPr>
        <w:t>8</w:t>
      </w:r>
      <w:r w:rsidR="00BF4A4E">
        <w:rPr>
          <w:rFonts w:hint="eastAsia"/>
          <w:bCs/>
          <w:sz w:val="24"/>
        </w:rPr>
        <w:t>、其他意外导致的风险。</w:t>
      </w:r>
    </w:p>
    <w:p w14:paraId="76DBA92A" w14:textId="77777777" w:rsidR="00BF4A4E" w:rsidRDefault="00BF4A4E">
      <w:pPr>
        <w:pStyle w:val="1"/>
        <w:adjustRightInd w:val="0"/>
        <w:snapToGrid w:val="0"/>
        <w:spacing w:before="0" w:after="0" w:line="360" w:lineRule="auto"/>
        <w:jc w:val="center"/>
        <w:rPr>
          <w:rFonts w:ascii="宋体" w:hAnsi="宋体"/>
        </w:rPr>
      </w:pPr>
      <w:r>
        <w:rPr>
          <w:rFonts w:ascii="宋体" w:hAnsi="宋体"/>
        </w:rPr>
        <w:br w:type="page"/>
      </w:r>
      <w:bookmarkStart w:id="67" w:name="_Toc103003360"/>
      <w:bookmarkEnd w:id="66"/>
      <w:r>
        <w:rPr>
          <w:rFonts w:ascii="宋体" w:hAnsi="宋体"/>
        </w:rPr>
        <w:lastRenderedPageBreak/>
        <w:t>第</w:t>
      </w:r>
      <w:r>
        <w:rPr>
          <w:rFonts w:ascii="宋体" w:hAnsi="宋体" w:hint="eastAsia"/>
        </w:rPr>
        <w:t>十八</w:t>
      </w:r>
      <w:r>
        <w:rPr>
          <w:rFonts w:ascii="宋体" w:hAnsi="宋体"/>
        </w:rPr>
        <w:t>部分</w:t>
      </w:r>
      <w:r>
        <w:rPr>
          <w:rFonts w:ascii="宋体" w:hAnsi="宋体" w:hint="eastAsia"/>
        </w:rPr>
        <w:t xml:space="preserve">  基金合同的变更、终止与基金财产的清算</w:t>
      </w:r>
      <w:bookmarkEnd w:id="67"/>
    </w:p>
    <w:p w14:paraId="63F59795" w14:textId="77777777" w:rsidR="00BF4A4E" w:rsidRDefault="00BF4A4E">
      <w:pPr>
        <w:pStyle w:val="20"/>
        <w:ind w:firstLineChars="0" w:firstLine="715"/>
        <w:rPr>
          <w:sz w:val="24"/>
        </w:rPr>
      </w:pPr>
      <w:bookmarkStart w:id="68" w:name="_Toc79392639"/>
    </w:p>
    <w:p w14:paraId="7AB2C41B" w14:textId="77777777" w:rsidR="008E3DE9" w:rsidRDefault="008E3DE9" w:rsidP="008E3DE9">
      <w:pPr>
        <w:adjustRightInd w:val="0"/>
        <w:snapToGrid w:val="0"/>
        <w:spacing w:line="360" w:lineRule="auto"/>
        <w:ind w:firstLineChars="200" w:firstLine="480"/>
        <w:rPr>
          <w:rFonts w:ascii="黑体" w:hAnsi="黑体"/>
          <w:bCs/>
          <w:sz w:val="24"/>
        </w:rPr>
      </w:pPr>
      <w:bookmarkStart w:id="69" w:name="_Hlk130212830"/>
      <w:r>
        <w:rPr>
          <w:rFonts w:ascii="黑体" w:hAnsi="黑体"/>
          <w:bCs/>
          <w:sz w:val="24"/>
        </w:rPr>
        <w:t>一、基金合同的变更</w:t>
      </w:r>
    </w:p>
    <w:p w14:paraId="371A3D50" w14:textId="1EA815EB" w:rsidR="008E3DE9" w:rsidRDefault="008E3DE9" w:rsidP="008E3DE9">
      <w:pPr>
        <w:adjustRightInd w:val="0"/>
        <w:snapToGrid w:val="0"/>
        <w:spacing w:line="360" w:lineRule="auto"/>
        <w:ind w:firstLineChars="200" w:firstLine="480"/>
        <w:rPr>
          <w:rFonts w:ascii="黑体" w:hAnsi="黑体"/>
          <w:bCs/>
          <w:sz w:val="24"/>
        </w:rPr>
      </w:pPr>
      <w:r>
        <w:rPr>
          <w:rFonts w:ascii="黑体" w:hAnsi="黑体" w:hint="eastAsia"/>
          <w:bCs/>
          <w:sz w:val="24"/>
        </w:rPr>
        <w:t>1</w:t>
      </w:r>
      <w:r>
        <w:rPr>
          <w:rFonts w:ascii="黑体" w:hAnsi="黑体" w:hint="eastAsia"/>
          <w:bCs/>
          <w:sz w:val="24"/>
        </w:rPr>
        <w:t>、变更基金合同涉及法律法规规定或基金合同约定应经基金份额持有人大会决议通过的事项的，应召开基金份额持有人大会决议通过。对于法律法规规定和基金合同约定可不经基金份额持有人大会决议通过的事项，由基金管理人和基金托管人同意后变更并公告。</w:t>
      </w:r>
    </w:p>
    <w:p w14:paraId="04AF097F" w14:textId="77777777" w:rsidR="008E3DE9" w:rsidRDefault="008E3DE9" w:rsidP="008E3DE9">
      <w:pPr>
        <w:adjustRightInd w:val="0"/>
        <w:snapToGrid w:val="0"/>
        <w:spacing w:line="360" w:lineRule="auto"/>
        <w:ind w:firstLineChars="200" w:firstLine="480"/>
        <w:rPr>
          <w:rFonts w:ascii="黑体" w:hAnsi="黑体"/>
          <w:bCs/>
          <w:sz w:val="24"/>
        </w:rPr>
      </w:pPr>
      <w:r>
        <w:rPr>
          <w:rFonts w:ascii="黑体" w:hAnsi="黑体" w:hint="eastAsia"/>
          <w:bCs/>
          <w:sz w:val="24"/>
        </w:rPr>
        <w:t>2</w:t>
      </w:r>
      <w:r>
        <w:rPr>
          <w:rFonts w:ascii="黑体" w:hAnsi="黑体" w:hint="eastAsia"/>
          <w:bCs/>
          <w:sz w:val="24"/>
        </w:rPr>
        <w:t>、关于基金合同变更的基金份额持有人大会决议自生效后方可执行，自决议生效后依照《信息披露办法》的有关规定在规定媒介公告。若法律法规发生变化，则以变化后的规定为准。</w:t>
      </w:r>
    </w:p>
    <w:p w14:paraId="4A0C0209" w14:textId="77777777" w:rsidR="008E3DE9" w:rsidRDefault="008E3DE9" w:rsidP="008E3DE9">
      <w:pPr>
        <w:adjustRightInd w:val="0"/>
        <w:snapToGrid w:val="0"/>
        <w:spacing w:line="360" w:lineRule="auto"/>
        <w:ind w:firstLineChars="200" w:firstLine="480"/>
        <w:rPr>
          <w:rFonts w:ascii="黑体" w:hAnsi="黑体"/>
          <w:bCs/>
          <w:sz w:val="24"/>
        </w:rPr>
      </w:pPr>
      <w:r>
        <w:rPr>
          <w:rFonts w:ascii="黑体" w:hAnsi="黑体"/>
          <w:bCs/>
          <w:sz w:val="24"/>
        </w:rPr>
        <w:t>二、基金合同的终止事由</w:t>
      </w:r>
    </w:p>
    <w:p w14:paraId="49B6F640" w14:textId="77777777" w:rsidR="008E3DE9" w:rsidRDefault="008E3DE9" w:rsidP="008E3DE9">
      <w:pPr>
        <w:adjustRightInd w:val="0"/>
        <w:snapToGrid w:val="0"/>
        <w:spacing w:line="360" w:lineRule="auto"/>
        <w:ind w:firstLineChars="200" w:firstLine="480"/>
        <w:rPr>
          <w:rFonts w:ascii="黑体" w:hAnsi="黑体"/>
          <w:bCs/>
          <w:sz w:val="24"/>
        </w:rPr>
      </w:pPr>
      <w:r>
        <w:rPr>
          <w:rFonts w:ascii="黑体" w:hAnsi="黑体"/>
          <w:bCs/>
          <w:sz w:val="24"/>
        </w:rPr>
        <w:t>有下列情形之一的，</w:t>
      </w:r>
      <w:r>
        <w:rPr>
          <w:rFonts w:ascii="黑体" w:hAnsi="黑体" w:hint="eastAsia"/>
          <w:bCs/>
          <w:sz w:val="24"/>
        </w:rPr>
        <w:t>经履行相关程序后，基金合同应当终止</w:t>
      </w:r>
      <w:r>
        <w:rPr>
          <w:rFonts w:ascii="黑体" w:hAnsi="黑体"/>
          <w:bCs/>
          <w:sz w:val="24"/>
        </w:rPr>
        <w:t>：</w:t>
      </w:r>
    </w:p>
    <w:p w14:paraId="0B11CD12" w14:textId="77777777" w:rsidR="008E3DE9" w:rsidRPr="008A096F" w:rsidRDefault="008E3DE9" w:rsidP="008E3DE9">
      <w:pPr>
        <w:adjustRightInd w:val="0"/>
        <w:snapToGrid w:val="0"/>
        <w:spacing w:line="360" w:lineRule="auto"/>
        <w:ind w:firstLineChars="200" w:firstLine="480"/>
        <w:rPr>
          <w:rFonts w:asciiTheme="minorEastAsia" w:eastAsiaTheme="minorEastAsia" w:hAnsiTheme="minorEastAsia"/>
          <w:bCs/>
          <w:sz w:val="24"/>
        </w:rPr>
      </w:pPr>
      <w:r w:rsidRPr="008A096F">
        <w:rPr>
          <w:rFonts w:asciiTheme="minorEastAsia" w:eastAsiaTheme="minorEastAsia" w:hAnsiTheme="minorEastAsia"/>
          <w:bCs/>
          <w:sz w:val="24"/>
        </w:rPr>
        <w:t>1、基金份额持有人大会决定终止的；</w:t>
      </w:r>
    </w:p>
    <w:p w14:paraId="44F4DA85" w14:textId="77777777" w:rsidR="008E3DE9" w:rsidRPr="008A096F" w:rsidRDefault="008E3DE9" w:rsidP="008E3DE9">
      <w:pPr>
        <w:adjustRightInd w:val="0"/>
        <w:snapToGrid w:val="0"/>
        <w:spacing w:line="360" w:lineRule="auto"/>
        <w:ind w:firstLineChars="200" w:firstLine="480"/>
        <w:rPr>
          <w:rFonts w:asciiTheme="minorEastAsia" w:eastAsiaTheme="minorEastAsia" w:hAnsiTheme="minorEastAsia"/>
          <w:bCs/>
          <w:sz w:val="24"/>
        </w:rPr>
      </w:pPr>
      <w:r w:rsidRPr="008A096F">
        <w:rPr>
          <w:rFonts w:asciiTheme="minorEastAsia" w:eastAsiaTheme="minorEastAsia" w:hAnsiTheme="minorEastAsia"/>
          <w:bCs/>
          <w:sz w:val="24"/>
        </w:rPr>
        <w:t>2、基金管理人、基金托管人职责终止，在6个月内没有新基金管理人、新基金托管人承接的；</w:t>
      </w:r>
    </w:p>
    <w:p w14:paraId="3799EA84" w14:textId="3307078A" w:rsidR="008E3DE9" w:rsidRPr="008A096F" w:rsidRDefault="008E3DE9" w:rsidP="006C10BA">
      <w:pPr>
        <w:adjustRightInd w:val="0"/>
        <w:snapToGrid w:val="0"/>
        <w:spacing w:line="360" w:lineRule="auto"/>
        <w:ind w:firstLineChars="200" w:firstLine="480"/>
        <w:rPr>
          <w:rFonts w:asciiTheme="minorEastAsia" w:eastAsiaTheme="minorEastAsia" w:hAnsiTheme="minorEastAsia"/>
          <w:bCs/>
          <w:sz w:val="24"/>
        </w:rPr>
      </w:pPr>
      <w:r w:rsidRPr="008A096F">
        <w:rPr>
          <w:rFonts w:asciiTheme="minorEastAsia" w:eastAsiaTheme="minorEastAsia" w:hAnsiTheme="minorEastAsia" w:hint="eastAsia"/>
          <w:bCs/>
          <w:sz w:val="24"/>
        </w:rPr>
        <w:t>3、</w:t>
      </w:r>
      <w:r w:rsidRPr="008A096F">
        <w:rPr>
          <w:rFonts w:asciiTheme="minorEastAsia" w:eastAsiaTheme="minorEastAsia" w:hAnsiTheme="minorEastAsia"/>
          <w:bCs/>
          <w:sz w:val="24"/>
        </w:rPr>
        <w:t>基金合同约定的其他情形；</w:t>
      </w:r>
    </w:p>
    <w:p w14:paraId="26C68E4A" w14:textId="2FB917D8" w:rsidR="008E3DE9" w:rsidRPr="008A096F" w:rsidRDefault="00344756" w:rsidP="008E3DE9">
      <w:pPr>
        <w:adjustRightInd w:val="0"/>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bCs/>
          <w:sz w:val="24"/>
        </w:rPr>
        <w:t>4</w:t>
      </w:r>
      <w:r w:rsidR="008E3DE9" w:rsidRPr="008A096F">
        <w:rPr>
          <w:rFonts w:asciiTheme="minorEastAsia" w:eastAsiaTheme="minorEastAsia" w:hAnsiTheme="minorEastAsia"/>
          <w:bCs/>
          <w:sz w:val="24"/>
        </w:rPr>
        <w:t>、相关法律法规和中国证监会规定的其他情况。</w:t>
      </w:r>
    </w:p>
    <w:p w14:paraId="2A4D7989" w14:textId="77777777" w:rsidR="008E3DE9" w:rsidRPr="00344756" w:rsidRDefault="008E3DE9" w:rsidP="008E3DE9">
      <w:pPr>
        <w:adjustRightInd w:val="0"/>
        <w:snapToGrid w:val="0"/>
        <w:spacing w:line="360" w:lineRule="auto"/>
        <w:ind w:firstLineChars="200" w:firstLine="480"/>
        <w:rPr>
          <w:rFonts w:asciiTheme="minorEastAsia" w:eastAsiaTheme="minorEastAsia" w:hAnsiTheme="minorEastAsia"/>
          <w:bCs/>
          <w:sz w:val="24"/>
        </w:rPr>
      </w:pPr>
      <w:r w:rsidRPr="00344756">
        <w:rPr>
          <w:rFonts w:asciiTheme="minorEastAsia" w:eastAsiaTheme="minorEastAsia" w:hAnsiTheme="minorEastAsia"/>
          <w:bCs/>
          <w:sz w:val="24"/>
        </w:rPr>
        <w:t>三、基金财产的清算</w:t>
      </w:r>
    </w:p>
    <w:p w14:paraId="793C4FA3" w14:textId="77777777" w:rsidR="008E3DE9" w:rsidRPr="00344756" w:rsidRDefault="008E3DE9" w:rsidP="008E3DE9">
      <w:pPr>
        <w:adjustRightInd w:val="0"/>
        <w:snapToGrid w:val="0"/>
        <w:spacing w:line="360" w:lineRule="auto"/>
        <w:ind w:firstLineChars="200" w:firstLine="480"/>
        <w:rPr>
          <w:rFonts w:asciiTheme="minorEastAsia" w:eastAsiaTheme="minorEastAsia" w:hAnsiTheme="minorEastAsia"/>
          <w:bCs/>
          <w:sz w:val="24"/>
        </w:rPr>
      </w:pPr>
      <w:r w:rsidRPr="00344756">
        <w:rPr>
          <w:rFonts w:asciiTheme="minorEastAsia" w:eastAsiaTheme="minorEastAsia" w:hAnsiTheme="minorEastAsia"/>
          <w:bCs/>
          <w:sz w:val="24"/>
        </w:rPr>
        <w:t>1、基金财产清算小组：</w:t>
      </w:r>
      <w:r w:rsidRPr="00344756">
        <w:rPr>
          <w:rFonts w:asciiTheme="minorEastAsia" w:eastAsiaTheme="minorEastAsia" w:hAnsiTheme="minorEastAsia" w:hint="eastAsia"/>
          <w:bCs/>
          <w:sz w:val="24"/>
        </w:rPr>
        <w:t>基金合同终止事由出现后</w:t>
      </w:r>
      <w:r w:rsidRPr="00344756">
        <w:rPr>
          <w:rFonts w:asciiTheme="minorEastAsia" w:eastAsiaTheme="minorEastAsia" w:hAnsiTheme="minorEastAsia"/>
          <w:bCs/>
          <w:sz w:val="24"/>
        </w:rPr>
        <w:t>，基金管理人组织基金财产清算小组并在中国证监会的监督下进行基金清算。</w:t>
      </w:r>
    </w:p>
    <w:p w14:paraId="19C81C60" w14:textId="77777777" w:rsidR="008E3DE9" w:rsidRPr="00344756" w:rsidRDefault="008E3DE9" w:rsidP="008E3DE9">
      <w:pPr>
        <w:adjustRightInd w:val="0"/>
        <w:snapToGrid w:val="0"/>
        <w:spacing w:line="360" w:lineRule="auto"/>
        <w:ind w:firstLineChars="200" w:firstLine="480"/>
        <w:rPr>
          <w:rFonts w:asciiTheme="minorEastAsia" w:eastAsiaTheme="minorEastAsia" w:hAnsiTheme="minorEastAsia"/>
          <w:bCs/>
          <w:sz w:val="24"/>
        </w:rPr>
      </w:pPr>
      <w:r w:rsidRPr="00344756">
        <w:rPr>
          <w:rFonts w:asciiTheme="minorEastAsia" w:eastAsiaTheme="minorEastAsia" w:hAnsiTheme="minorEastAsia"/>
          <w:bCs/>
          <w:sz w:val="24"/>
        </w:rPr>
        <w:t>2、基金财产清算小组组成：基金财产清算小组成员由基金管理人、基金托管人、</w:t>
      </w:r>
      <w:r w:rsidRPr="00344756">
        <w:rPr>
          <w:rFonts w:asciiTheme="minorEastAsia" w:eastAsiaTheme="minorEastAsia" w:hAnsiTheme="minorEastAsia" w:hint="eastAsia"/>
          <w:bCs/>
          <w:sz w:val="24"/>
        </w:rPr>
        <w:t>符合《中华人民共和国证券法》规定</w:t>
      </w:r>
      <w:r w:rsidRPr="00344756">
        <w:rPr>
          <w:rFonts w:asciiTheme="minorEastAsia" w:eastAsiaTheme="minorEastAsia" w:hAnsiTheme="minorEastAsia"/>
          <w:bCs/>
          <w:sz w:val="24"/>
        </w:rPr>
        <w:t>的注册会计师、律师以及中国证监会指定的人员组成。基金财产清算小组可以聘用必要的工作人员。</w:t>
      </w:r>
    </w:p>
    <w:p w14:paraId="2CF5419A" w14:textId="77777777" w:rsidR="008E3DE9" w:rsidRPr="00344756" w:rsidRDefault="008E3DE9" w:rsidP="008E3DE9">
      <w:pPr>
        <w:adjustRightInd w:val="0"/>
        <w:snapToGrid w:val="0"/>
        <w:spacing w:line="360" w:lineRule="auto"/>
        <w:ind w:firstLineChars="200" w:firstLine="480"/>
        <w:rPr>
          <w:rFonts w:asciiTheme="minorEastAsia" w:eastAsiaTheme="minorEastAsia" w:hAnsiTheme="minorEastAsia"/>
          <w:bCs/>
          <w:sz w:val="24"/>
        </w:rPr>
      </w:pPr>
      <w:r w:rsidRPr="00344756">
        <w:rPr>
          <w:rFonts w:asciiTheme="minorEastAsia" w:eastAsiaTheme="minorEastAsia" w:hAnsiTheme="minorEastAsia"/>
          <w:bCs/>
          <w:sz w:val="24"/>
        </w:rPr>
        <w:t>3、基金财产清算小组职责：基金财产清算小组负责基金财产的保管、清理、估价、变现和分配。基金财产清算小组可以依法进行必要的民事活动。</w:t>
      </w:r>
    </w:p>
    <w:p w14:paraId="57E289A9" w14:textId="77777777" w:rsidR="008E3DE9" w:rsidRPr="00344756" w:rsidRDefault="008E3DE9" w:rsidP="008E3DE9">
      <w:pPr>
        <w:adjustRightInd w:val="0"/>
        <w:snapToGrid w:val="0"/>
        <w:spacing w:line="360" w:lineRule="auto"/>
        <w:ind w:firstLineChars="200" w:firstLine="480"/>
        <w:rPr>
          <w:rFonts w:asciiTheme="minorEastAsia" w:eastAsiaTheme="minorEastAsia" w:hAnsiTheme="minorEastAsia"/>
          <w:bCs/>
          <w:sz w:val="24"/>
        </w:rPr>
      </w:pPr>
      <w:r w:rsidRPr="00344756">
        <w:rPr>
          <w:rFonts w:asciiTheme="minorEastAsia" w:eastAsiaTheme="minorEastAsia" w:hAnsiTheme="minorEastAsia" w:hint="eastAsia"/>
          <w:bCs/>
          <w:sz w:val="24"/>
        </w:rPr>
        <w:t>4</w:t>
      </w:r>
      <w:r w:rsidRPr="00344756">
        <w:rPr>
          <w:rFonts w:asciiTheme="minorEastAsia" w:eastAsiaTheme="minorEastAsia" w:hAnsiTheme="minorEastAsia"/>
          <w:bCs/>
          <w:sz w:val="24"/>
        </w:rPr>
        <w:t>、基金财产清算程序：</w:t>
      </w:r>
    </w:p>
    <w:p w14:paraId="28C7F4A2" w14:textId="77777777" w:rsidR="008E3DE9" w:rsidRPr="00344756" w:rsidRDefault="008E3DE9" w:rsidP="008E3DE9">
      <w:pPr>
        <w:adjustRightInd w:val="0"/>
        <w:snapToGrid w:val="0"/>
        <w:spacing w:line="360" w:lineRule="auto"/>
        <w:ind w:firstLineChars="200" w:firstLine="480"/>
        <w:rPr>
          <w:rFonts w:asciiTheme="minorEastAsia" w:eastAsiaTheme="minorEastAsia" w:hAnsiTheme="minorEastAsia"/>
          <w:bCs/>
          <w:sz w:val="24"/>
        </w:rPr>
      </w:pPr>
      <w:r w:rsidRPr="00344756">
        <w:rPr>
          <w:rFonts w:asciiTheme="minorEastAsia" w:eastAsiaTheme="minorEastAsia" w:hAnsiTheme="minorEastAsia"/>
          <w:bCs/>
          <w:sz w:val="24"/>
        </w:rPr>
        <w:t>（1）基金合同终止情形出现时，由基金财产清算小组统一接管基金</w:t>
      </w:r>
      <w:r w:rsidRPr="00344756">
        <w:rPr>
          <w:rFonts w:asciiTheme="minorEastAsia" w:eastAsiaTheme="minorEastAsia" w:hAnsiTheme="minorEastAsia" w:hint="eastAsia"/>
          <w:bCs/>
          <w:sz w:val="24"/>
        </w:rPr>
        <w:t>财产</w:t>
      </w:r>
      <w:r w:rsidRPr="00344756">
        <w:rPr>
          <w:rFonts w:asciiTheme="minorEastAsia" w:eastAsiaTheme="minorEastAsia" w:hAnsiTheme="minorEastAsia"/>
          <w:bCs/>
          <w:sz w:val="24"/>
        </w:rPr>
        <w:t>；</w:t>
      </w:r>
    </w:p>
    <w:p w14:paraId="1A00B555" w14:textId="77777777" w:rsidR="008E3DE9" w:rsidRPr="00344756" w:rsidRDefault="008E3DE9" w:rsidP="008E3DE9">
      <w:pPr>
        <w:adjustRightInd w:val="0"/>
        <w:snapToGrid w:val="0"/>
        <w:spacing w:line="360" w:lineRule="auto"/>
        <w:ind w:firstLineChars="200" w:firstLine="480"/>
        <w:rPr>
          <w:rFonts w:asciiTheme="minorEastAsia" w:eastAsiaTheme="minorEastAsia" w:hAnsiTheme="minorEastAsia"/>
          <w:bCs/>
          <w:sz w:val="24"/>
        </w:rPr>
      </w:pPr>
      <w:r w:rsidRPr="00344756">
        <w:rPr>
          <w:rFonts w:asciiTheme="minorEastAsia" w:eastAsiaTheme="minorEastAsia" w:hAnsiTheme="minorEastAsia"/>
          <w:bCs/>
          <w:sz w:val="24"/>
        </w:rPr>
        <w:t>（2）对基金财产和债权债务进行清理和确认；</w:t>
      </w:r>
    </w:p>
    <w:p w14:paraId="2839467C" w14:textId="77777777" w:rsidR="008E3DE9" w:rsidRPr="00344756" w:rsidRDefault="008E3DE9" w:rsidP="008E3DE9">
      <w:pPr>
        <w:adjustRightInd w:val="0"/>
        <w:snapToGrid w:val="0"/>
        <w:spacing w:line="360" w:lineRule="auto"/>
        <w:ind w:firstLineChars="200" w:firstLine="480"/>
        <w:rPr>
          <w:rFonts w:asciiTheme="minorEastAsia" w:eastAsiaTheme="minorEastAsia" w:hAnsiTheme="minorEastAsia"/>
          <w:bCs/>
          <w:sz w:val="24"/>
        </w:rPr>
      </w:pPr>
      <w:r w:rsidRPr="00344756">
        <w:rPr>
          <w:rFonts w:asciiTheme="minorEastAsia" w:eastAsiaTheme="minorEastAsia" w:hAnsiTheme="minorEastAsia"/>
          <w:bCs/>
          <w:sz w:val="24"/>
        </w:rPr>
        <w:t>（3）对基金财产进行估值和变现；</w:t>
      </w:r>
    </w:p>
    <w:p w14:paraId="3851DD43" w14:textId="77777777" w:rsidR="008E3DE9" w:rsidRPr="00344756" w:rsidRDefault="008E3DE9" w:rsidP="008E3DE9">
      <w:pPr>
        <w:adjustRightInd w:val="0"/>
        <w:snapToGrid w:val="0"/>
        <w:spacing w:line="360" w:lineRule="auto"/>
        <w:ind w:firstLineChars="200" w:firstLine="480"/>
        <w:rPr>
          <w:rFonts w:asciiTheme="minorEastAsia" w:eastAsiaTheme="minorEastAsia" w:hAnsiTheme="minorEastAsia"/>
          <w:bCs/>
          <w:sz w:val="24"/>
        </w:rPr>
      </w:pPr>
      <w:r w:rsidRPr="00344756">
        <w:rPr>
          <w:rFonts w:asciiTheme="minorEastAsia" w:eastAsiaTheme="minorEastAsia" w:hAnsiTheme="minorEastAsia"/>
          <w:bCs/>
          <w:sz w:val="24"/>
        </w:rPr>
        <w:lastRenderedPageBreak/>
        <w:t>（4）制作清算报告；</w:t>
      </w:r>
    </w:p>
    <w:p w14:paraId="37A2217E" w14:textId="77777777" w:rsidR="008E3DE9" w:rsidRPr="00344756" w:rsidRDefault="008E3DE9" w:rsidP="008E3DE9">
      <w:pPr>
        <w:adjustRightInd w:val="0"/>
        <w:snapToGrid w:val="0"/>
        <w:spacing w:line="360" w:lineRule="auto"/>
        <w:ind w:firstLineChars="200" w:firstLine="480"/>
        <w:rPr>
          <w:rFonts w:asciiTheme="minorEastAsia" w:eastAsiaTheme="minorEastAsia" w:hAnsiTheme="minorEastAsia"/>
          <w:bCs/>
          <w:sz w:val="24"/>
        </w:rPr>
      </w:pPr>
      <w:r w:rsidRPr="00344756">
        <w:rPr>
          <w:rFonts w:asciiTheme="minorEastAsia" w:eastAsiaTheme="minorEastAsia" w:hAnsiTheme="minorEastAsia"/>
          <w:bCs/>
          <w:sz w:val="24"/>
        </w:rPr>
        <w:t>（5）聘请会计师事务所对清算报告进行外部审计，聘请律师事务所对清算报告出具法律意见书；</w:t>
      </w:r>
    </w:p>
    <w:p w14:paraId="61EBA38E" w14:textId="77777777" w:rsidR="008E3DE9" w:rsidRPr="00344756" w:rsidRDefault="008E3DE9" w:rsidP="008E3DE9">
      <w:pPr>
        <w:adjustRightInd w:val="0"/>
        <w:snapToGrid w:val="0"/>
        <w:spacing w:line="360" w:lineRule="auto"/>
        <w:ind w:firstLineChars="200" w:firstLine="480"/>
        <w:rPr>
          <w:rFonts w:asciiTheme="minorEastAsia" w:eastAsiaTheme="minorEastAsia" w:hAnsiTheme="minorEastAsia"/>
          <w:bCs/>
          <w:sz w:val="24"/>
        </w:rPr>
      </w:pPr>
      <w:r w:rsidRPr="00344756">
        <w:rPr>
          <w:rFonts w:asciiTheme="minorEastAsia" w:eastAsiaTheme="minorEastAsia" w:hAnsiTheme="minorEastAsia"/>
          <w:bCs/>
          <w:sz w:val="24"/>
        </w:rPr>
        <w:t>（6）将清算报告报中国证监会备案并公告</w:t>
      </w:r>
      <w:r w:rsidRPr="00344756">
        <w:rPr>
          <w:rFonts w:asciiTheme="minorEastAsia" w:eastAsiaTheme="minorEastAsia" w:hAnsiTheme="minorEastAsia" w:hint="eastAsia"/>
          <w:bCs/>
          <w:sz w:val="24"/>
        </w:rPr>
        <w:t>；</w:t>
      </w:r>
    </w:p>
    <w:p w14:paraId="27EE750D" w14:textId="77777777" w:rsidR="008E3DE9" w:rsidRPr="00344756" w:rsidRDefault="008E3DE9" w:rsidP="008E3DE9">
      <w:pPr>
        <w:adjustRightInd w:val="0"/>
        <w:snapToGrid w:val="0"/>
        <w:spacing w:line="360" w:lineRule="auto"/>
        <w:ind w:firstLineChars="200" w:firstLine="480"/>
        <w:rPr>
          <w:rFonts w:asciiTheme="minorEastAsia" w:eastAsiaTheme="minorEastAsia" w:hAnsiTheme="minorEastAsia"/>
          <w:bCs/>
          <w:sz w:val="24"/>
        </w:rPr>
      </w:pPr>
      <w:r w:rsidRPr="00344756">
        <w:rPr>
          <w:rFonts w:asciiTheme="minorEastAsia" w:eastAsiaTheme="minorEastAsia" w:hAnsiTheme="minorEastAsia"/>
          <w:bCs/>
          <w:sz w:val="24"/>
        </w:rPr>
        <w:t>（7）对基金</w:t>
      </w:r>
      <w:r w:rsidRPr="00344756">
        <w:rPr>
          <w:rFonts w:asciiTheme="minorEastAsia" w:eastAsiaTheme="minorEastAsia" w:hAnsiTheme="minorEastAsia" w:hint="eastAsia"/>
          <w:bCs/>
          <w:sz w:val="24"/>
        </w:rPr>
        <w:t>剩余</w:t>
      </w:r>
      <w:r w:rsidRPr="00344756">
        <w:rPr>
          <w:rFonts w:asciiTheme="minorEastAsia" w:eastAsiaTheme="minorEastAsia" w:hAnsiTheme="minorEastAsia"/>
          <w:bCs/>
          <w:sz w:val="24"/>
        </w:rPr>
        <w:t>财产进行分配</w:t>
      </w:r>
      <w:r w:rsidRPr="00344756">
        <w:rPr>
          <w:rFonts w:asciiTheme="minorEastAsia" w:eastAsiaTheme="minorEastAsia" w:hAnsiTheme="minorEastAsia" w:hint="eastAsia"/>
          <w:bCs/>
          <w:sz w:val="24"/>
        </w:rPr>
        <w:t>。</w:t>
      </w:r>
    </w:p>
    <w:p w14:paraId="020D2DDF" w14:textId="77777777" w:rsidR="008E3DE9" w:rsidRPr="00344756" w:rsidRDefault="008E3DE9" w:rsidP="008E3DE9">
      <w:pPr>
        <w:adjustRightInd w:val="0"/>
        <w:snapToGrid w:val="0"/>
        <w:spacing w:line="360" w:lineRule="auto"/>
        <w:ind w:firstLineChars="200" w:firstLine="480"/>
        <w:rPr>
          <w:rFonts w:asciiTheme="minorEastAsia" w:eastAsiaTheme="minorEastAsia" w:hAnsiTheme="minorEastAsia"/>
          <w:bCs/>
          <w:sz w:val="24"/>
        </w:rPr>
      </w:pPr>
      <w:r w:rsidRPr="00344756">
        <w:rPr>
          <w:rFonts w:asciiTheme="minorEastAsia" w:eastAsiaTheme="minorEastAsia" w:hAnsiTheme="minorEastAsia" w:hint="eastAsia"/>
          <w:bCs/>
          <w:sz w:val="24"/>
        </w:rPr>
        <w:t>5</w:t>
      </w:r>
      <w:r w:rsidRPr="00344756">
        <w:rPr>
          <w:rFonts w:asciiTheme="minorEastAsia" w:eastAsiaTheme="minorEastAsia" w:hAnsiTheme="minorEastAsia"/>
          <w:bCs/>
          <w:sz w:val="24"/>
        </w:rPr>
        <w:t>、基金财产清算的期限为</w:t>
      </w:r>
      <w:r w:rsidRPr="00344756">
        <w:rPr>
          <w:rFonts w:asciiTheme="minorEastAsia" w:eastAsiaTheme="minorEastAsia" w:hAnsiTheme="minorEastAsia" w:hint="eastAsia"/>
          <w:bCs/>
          <w:sz w:val="24"/>
        </w:rPr>
        <w:t>6</w:t>
      </w:r>
      <w:r w:rsidRPr="00344756">
        <w:rPr>
          <w:rFonts w:asciiTheme="minorEastAsia" w:eastAsiaTheme="minorEastAsia" w:hAnsiTheme="minorEastAsia"/>
          <w:bCs/>
          <w:sz w:val="24"/>
        </w:rPr>
        <w:t>个月</w:t>
      </w:r>
      <w:r w:rsidRPr="00344756">
        <w:rPr>
          <w:rFonts w:asciiTheme="minorEastAsia" w:eastAsiaTheme="minorEastAsia" w:hAnsiTheme="minorEastAsia" w:hint="eastAsia"/>
          <w:bCs/>
          <w:sz w:val="24"/>
        </w:rPr>
        <w:t>，但因本基金所持证券的流动性受到限制而不能及时变现的，清算期限相应顺延。</w:t>
      </w:r>
    </w:p>
    <w:p w14:paraId="4EA575B0" w14:textId="77777777" w:rsidR="008E3DE9" w:rsidRDefault="008E3DE9" w:rsidP="008E3DE9">
      <w:pPr>
        <w:adjustRightInd w:val="0"/>
        <w:snapToGrid w:val="0"/>
        <w:spacing w:line="360" w:lineRule="auto"/>
        <w:ind w:firstLineChars="200" w:firstLine="480"/>
        <w:rPr>
          <w:rFonts w:ascii="黑体" w:hAnsi="黑体"/>
          <w:bCs/>
          <w:sz w:val="24"/>
        </w:rPr>
      </w:pPr>
      <w:r>
        <w:rPr>
          <w:rFonts w:ascii="黑体" w:hAnsi="黑体"/>
          <w:bCs/>
          <w:sz w:val="24"/>
        </w:rPr>
        <w:t>四、清算费用</w:t>
      </w:r>
    </w:p>
    <w:p w14:paraId="3CA0CB30" w14:textId="77777777" w:rsidR="008E3DE9" w:rsidRDefault="008E3DE9" w:rsidP="008E3DE9">
      <w:pPr>
        <w:adjustRightInd w:val="0"/>
        <w:snapToGrid w:val="0"/>
        <w:spacing w:line="360" w:lineRule="auto"/>
        <w:ind w:firstLineChars="200" w:firstLine="480"/>
        <w:rPr>
          <w:rFonts w:ascii="黑体" w:hAnsi="黑体"/>
          <w:bCs/>
          <w:sz w:val="24"/>
        </w:rPr>
      </w:pPr>
      <w:r>
        <w:rPr>
          <w:rFonts w:ascii="黑体" w:hAnsi="黑体"/>
          <w:bCs/>
          <w:sz w:val="24"/>
        </w:rPr>
        <w:t>清算费用是指基金财产清算小组在进行基金清算过程中发生的所有合理费用，清算费用由基金财产清算小组优先从基金</w:t>
      </w:r>
      <w:r>
        <w:rPr>
          <w:rFonts w:ascii="黑体" w:hAnsi="黑体" w:hint="eastAsia"/>
          <w:bCs/>
          <w:sz w:val="24"/>
        </w:rPr>
        <w:t>剩余</w:t>
      </w:r>
      <w:r>
        <w:rPr>
          <w:rFonts w:ascii="黑体" w:hAnsi="黑体"/>
          <w:bCs/>
          <w:sz w:val="24"/>
        </w:rPr>
        <w:t>财产中支付。</w:t>
      </w:r>
    </w:p>
    <w:p w14:paraId="7F9FD0A4" w14:textId="77777777" w:rsidR="008E3DE9" w:rsidRDefault="008E3DE9" w:rsidP="008E3DE9">
      <w:pPr>
        <w:adjustRightInd w:val="0"/>
        <w:snapToGrid w:val="0"/>
        <w:spacing w:line="360" w:lineRule="auto"/>
        <w:ind w:firstLineChars="200" w:firstLine="480"/>
        <w:rPr>
          <w:rFonts w:ascii="黑体" w:hAnsi="黑体"/>
          <w:bCs/>
          <w:sz w:val="24"/>
        </w:rPr>
      </w:pPr>
      <w:r>
        <w:rPr>
          <w:rFonts w:ascii="黑体" w:hAnsi="黑体"/>
          <w:bCs/>
          <w:sz w:val="24"/>
        </w:rPr>
        <w:t>五、基金财产清算剩余资产的分配</w:t>
      </w:r>
    </w:p>
    <w:p w14:paraId="31142C79" w14:textId="70A3200E" w:rsidR="008E3DE9" w:rsidRDefault="008E3DE9" w:rsidP="008E3DE9">
      <w:pPr>
        <w:adjustRightInd w:val="0"/>
        <w:snapToGrid w:val="0"/>
        <w:spacing w:line="360" w:lineRule="auto"/>
        <w:ind w:firstLineChars="200" w:firstLine="480"/>
        <w:rPr>
          <w:rFonts w:ascii="黑体" w:hAnsi="黑体"/>
          <w:bCs/>
          <w:sz w:val="24"/>
        </w:rPr>
      </w:pPr>
      <w:r>
        <w:rPr>
          <w:rFonts w:ascii="黑体" w:hAnsi="黑体"/>
          <w:bCs/>
          <w:sz w:val="24"/>
        </w:rPr>
        <w:t>依据基金财产清算的分配方案，将基金财产清算后的全部剩余资产扣除基金财产清算费用、交纳所欠税款并清偿基金债务后，按基金份额持有人持有的</w:t>
      </w:r>
      <w:r w:rsidR="0049695C">
        <w:rPr>
          <w:rFonts w:ascii="黑体" w:hAnsi="黑体" w:hint="eastAsia"/>
          <w:bCs/>
          <w:sz w:val="24"/>
        </w:rPr>
        <w:t>各类</w:t>
      </w:r>
      <w:r>
        <w:rPr>
          <w:rFonts w:ascii="黑体" w:hAnsi="黑体"/>
          <w:bCs/>
          <w:sz w:val="24"/>
        </w:rPr>
        <w:t>基金份额比例进行分配。</w:t>
      </w:r>
    </w:p>
    <w:p w14:paraId="6DFAF266" w14:textId="77777777" w:rsidR="008E3DE9" w:rsidRDefault="008E3DE9" w:rsidP="008E3DE9">
      <w:pPr>
        <w:adjustRightInd w:val="0"/>
        <w:snapToGrid w:val="0"/>
        <w:spacing w:line="360" w:lineRule="auto"/>
        <w:ind w:firstLineChars="200" w:firstLine="480"/>
        <w:rPr>
          <w:rFonts w:ascii="黑体" w:hAnsi="黑体"/>
          <w:bCs/>
          <w:sz w:val="24"/>
        </w:rPr>
      </w:pPr>
      <w:r>
        <w:rPr>
          <w:rFonts w:ascii="黑体" w:hAnsi="黑体"/>
          <w:bCs/>
          <w:sz w:val="24"/>
        </w:rPr>
        <w:t>六、基金财产清算的公告</w:t>
      </w:r>
    </w:p>
    <w:p w14:paraId="4F322818" w14:textId="77777777" w:rsidR="008E3DE9" w:rsidRDefault="008E3DE9" w:rsidP="008E3DE9">
      <w:pPr>
        <w:adjustRightInd w:val="0"/>
        <w:snapToGrid w:val="0"/>
        <w:spacing w:line="360" w:lineRule="auto"/>
        <w:ind w:firstLineChars="200" w:firstLine="480"/>
        <w:rPr>
          <w:rFonts w:ascii="黑体" w:hAnsi="黑体"/>
          <w:bCs/>
          <w:sz w:val="24"/>
        </w:rPr>
      </w:pPr>
      <w:r>
        <w:rPr>
          <w:rFonts w:ascii="黑体" w:hAnsi="黑体"/>
          <w:bCs/>
          <w:sz w:val="24"/>
        </w:rPr>
        <w:t>清算过程中的有关重大事项须及时公告；基金财产清算报告经</w:t>
      </w:r>
      <w:r>
        <w:rPr>
          <w:rFonts w:ascii="黑体" w:hAnsi="黑体" w:hint="eastAsia"/>
          <w:bCs/>
          <w:sz w:val="24"/>
        </w:rPr>
        <w:t>符合《中华人民共和国证券法》规定的</w:t>
      </w:r>
      <w:r>
        <w:rPr>
          <w:rFonts w:ascii="黑体" w:hAnsi="黑体"/>
          <w:bCs/>
          <w:sz w:val="24"/>
        </w:rPr>
        <w:t>会计师事务所审计</w:t>
      </w:r>
      <w:r>
        <w:rPr>
          <w:rFonts w:ascii="黑体" w:hAnsi="黑体" w:hint="eastAsia"/>
          <w:bCs/>
          <w:sz w:val="24"/>
        </w:rPr>
        <w:t>，律师事务所出具法律意见书后，由基金财产清算小组报中国证监会备案并公告，基金财产清算小组应当将清算报告登载在规定网站上，并将清算报告提示性公告登载在规定报刊上。</w:t>
      </w:r>
    </w:p>
    <w:p w14:paraId="5238F011" w14:textId="77777777" w:rsidR="008E3DE9" w:rsidRDefault="008E3DE9" w:rsidP="008E3DE9">
      <w:pPr>
        <w:adjustRightInd w:val="0"/>
        <w:snapToGrid w:val="0"/>
        <w:spacing w:line="360" w:lineRule="auto"/>
        <w:ind w:firstLineChars="200" w:firstLine="480"/>
        <w:rPr>
          <w:rFonts w:ascii="黑体" w:hAnsi="黑体"/>
          <w:bCs/>
          <w:sz w:val="24"/>
        </w:rPr>
      </w:pPr>
      <w:r>
        <w:rPr>
          <w:rFonts w:ascii="黑体" w:hAnsi="黑体"/>
          <w:bCs/>
          <w:sz w:val="24"/>
        </w:rPr>
        <w:t>七、基金财产清算账册及文件的保存</w:t>
      </w:r>
    </w:p>
    <w:p w14:paraId="757E9EC4" w14:textId="51CE4875" w:rsidR="00BF4A4E" w:rsidRDefault="008E3DE9" w:rsidP="00770B2C">
      <w:pPr>
        <w:pStyle w:val="20"/>
        <w:ind w:firstLine="480"/>
        <w:rPr>
          <w:bCs/>
          <w:sz w:val="24"/>
        </w:rPr>
      </w:pPr>
      <w:r>
        <w:rPr>
          <w:rFonts w:ascii="黑体" w:hAnsi="黑体"/>
          <w:bCs/>
          <w:sz w:val="24"/>
        </w:rPr>
        <w:t>基金财产清算账册及有关文件由基金托管人保存</w:t>
      </w:r>
      <w:r>
        <w:rPr>
          <w:rFonts w:ascii="黑体" w:hAnsi="黑体" w:hint="eastAsia"/>
          <w:bCs/>
          <w:sz w:val="24"/>
        </w:rPr>
        <w:t>，保存期限不少于法律法规的规定</w:t>
      </w:r>
      <w:r w:rsidR="00BF4A4E">
        <w:rPr>
          <w:rFonts w:hint="eastAsia"/>
          <w:bCs/>
          <w:sz w:val="24"/>
        </w:rPr>
        <w:t>。</w:t>
      </w:r>
    </w:p>
    <w:bookmarkEnd w:id="68"/>
    <w:p w14:paraId="159DC5A2" w14:textId="77777777" w:rsidR="00BF4A4E" w:rsidRDefault="00BF4A4E">
      <w:pPr>
        <w:pStyle w:val="1"/>
        <w:adjustRightInd w:val="0"/>
        <w:snapToGrid w:val="0"/>
        <w:spacing w:before="0" w:after="0" w:line="360" w:lineRule="auto"/>
        <w:jc w:val="center"/>
        <w:rPr>
          <w:rFonts w:ascii="宋体" w:hAnsi="宋体"/>
        </w:rPr>
      </w:pPr>
      <w:r>
        <w:rPr>
          <w:rFonts w:ascii="宋体" w:hAnsi="宋体"/>
        </w:rPr>
        <w:br w:type="page"/>
      </w:r>
      <w:bookmarkStart w:id="70" w:name="_Toc103003361"/>
      <w:bookmarkEnd w:id="69"/>
      <w:r>
        <w:rPr>
          <w:rFonts w:ascii="宋体" w:hAnsi="宋体"/>
        </w:rPr>
        <w:lastRenderedPageBreak/>
        <w:t>第</w:t>
      </w:r>
      <w:r>
        <w:rPr>
          <w:rFonts w:ascii="宋体" w:hAnsi="宋体" w:hint="eastAsia"/>
        </w:rPr>
        <w:t>十九</w:t>
      </w:r>
      <w:r>
        <w:rPr>
          <w:rFonts w:ascii="宋体" w:hAnsi="宋体"/>
        </w:rPr>
        <w:t>部分</w:t>
      </w:r>
      <w:r>
        <w:rPr>
          <w:rFonts w:ascii="宋体" w:hAnsi="宋体" w:hint="eastAsia"/>
        </w:rPr>
        <w:t xml:space="preserve">  基金合同的内容摘要</w:t>
      </w:r>
      <w:bookmarkEnd w:id="70"/>
    </w:p>
    <w:p w14:paraId="60B39837" w14:textId="77777777" w:rsidR="00BF4A4E" w:rsidRDefault="00BF4A4E">
      <w:pPr>
        <w:pStyle w:val="20"/>
        <w:ind w:firstLineChars="0" w:firstLine="480"/>
        <w:rPr>
          <w:sz w:val="24"/>
        </w:rPr>
      </w:pPr>
    </w:p>
    <w:p w14:paraId="64E350F1" w14:textId="77777777" w:rsidR="00BF4A4E" w:rsidRDefault="00BF4A4E">
      <w:pPr>
        <w:pStyle w:val="20"/>
        <w:adjustRightInd w:val="0"/>
        <w:snapToGrid w:val="0"/>
        <w:ind w:firstLine="480"/>
        <w:rPr>
          <w:rFonts w:cs="宋体"/>
          <w:bCs/>
          <w:sz w:val="24"/>
        </w:rPr>
      </w:pPr>
      <w:r>
        <w:rPr>
          <w:rFonts w:cs="宋体" w:hint="eastAsia"/>
          <w:bCs/>
          <w:sz w:val="24"/>
        </w:rPr>
        <w:t>一、基金份额持有人、基金管理人和基金托管人的权利、义务</w:t>
      </w:r>
    </w:p>
    <w:p w14:paraId="7FA51B04" w14:textId="77777777" w:rsidR="00BF4A4E" w:rsidRDefault="00BF4A4E">
      <w:pPr>
        <w:pStyle w:val="20"/>
        <w:adjustRightInd w:val="0"/>
        <w:snapToGrid w:val="0"/>
        <w:ind w:firstLine="480"/>
        <w:rPr>
          <w:rFonts w:cs="宋体"/>
          <w:bCs/>
          <w:sz w:val="24"/>
        </w:rPr>
      </w:pPr>
      <w:r>
        <w:rPr>
          <w:rFonts w:cs="宋体" w:hint="eastAsia"/>
          <w:bCs/>
          <w:sz w:val="24"/>
        </w:rPr>
        <w:t>（一）基金管理人的权利与义务</w:t>
      </w:r>
    </w:p>
    <w:p w14:paraId="7C0A771D" w14:textId="77777777" w:rsidR="003D7AF6" w:rsidRPr="003D7AF6" w:rsidRDefault="003D7AF6" w:rsidP="003D7AF6">
      <w:pPr>
        <w:pStyle w:val="20"/>
        <w:adjustRightInd w:val="0"/>
        <w:snapToGrid w:val="0"/>
        <w:ind w:firstLine="480"/>
        <w:rPr>
          <w:rFonts w:cs="宋体"/>
          <w:bCs/>
          <w:sz w:val="24"/>
        </w:rPr>
      </w:pPr>
      <w:r w:rsidRPr="003D7AF6">
        <w:rPr>
          <w:rFonts w:cs="宋体" w:hint="eastAsia"/>
          <w:bCs/>
          <w:sz w:val="24"/>
        </w:rPr>
        <w:t>1、根据《基金法》、《运作办法》及其他有关规定，基金管理人的权利包括但不限于：</w:t>
      </w:r>
    </w:p>
    <w:p w14:paraId="38888DBE" w14:textId="77777777" w:rsidR="003D7AF6" w:rsidRPr="003D7AF6" w:rsidRDefault="003D7AF6" w:rsidP="003D7AF6">
      <w:pPr>
        <w:pStyle w:val="20"/>
        <w:adjustRightInd w:val="0"/>
        <w:snapToGrid w:val="0"/>
        <w:ind w:firstLine="480"/>
        <w:rPr>
          <w:rFonts w:cs="宋体"/>
          <w:bCs/>
          <w:sz w:val="24"/>
        </w:rPr>
      </w:pPr>
      <w:r w:rsidRPr="003D7AF6">
        <w:rPr>
          <w:rFonts w:cs="宋体" w:hint="eastAsia"/>
          <w:bCs/>
          <w:sz w:val="24"/>
        </w:rPr>
        <w:t>（1）依法募集资金；</w:t>
      </w:r>
    </w:p>
    <w:p w14:paraId="69B295C0" w14:textId="77777777" w:rsidR="003D7AF6" w:rsidRPr="003D7AF6" w:rsidRDefault="003D7AF6" w:rsidP="003D7AF6">
      <w:pPr>
        <w:pStyle w:val="20"/>
        <w:adjustRightInd w:val="0"/>
        <w:snapToGrid w:val="0"/>
        <w:ind w:firstLine="480"/>
        <w:rPr>
          <w:rFonts w:cs="宋体"/>
          <w:bCs/>
          <w:sz w:val="24"/>
        </w:rPr>
      </w:pPr>
      <w:r w:rsidRPr="003D7AF6">
        <w:rPr>
          <w:rFonts w:cs="宋体" w:hint="eastAsia"/>
          <w:bCs/>
          <w:sz w:val="24"/>
        </w:rPr>
        <w:t>（2）自基金合同生效之日起，根据法律法规和基金合同独立运用并管理基金财产；</w:t>
      </w:r>
    </w:p>
    <w:p w14:paraId="0327DDE4" w14:textId="77777777" w:rsidR="003D7AF6" w:rsidRPr="003D7AF6" w:rsidRDefault="003D7AF6" w:rsidP="003D7AF6">
      <w:pPr>
        <w:pStyle w:val="20"/>
        <w:adjustRightInd w:val="0"/>
        <w:snapToGrid w:val="0"/>
        <w:ind w:firstLine="480"/>
        <w:rPr>
          <w:rFonts w:cs="宋体"/>
          <w:bCs/>
          <w:sz w:val="24"/>
        </w:rPr>
      </w:pPr>
      <w:r w:rsidRPr="003D7AF6">
        <w:rPr>
          <w:rFonts w:cs="宋体" w:hint="eastAsia"/>
          <w:bCs/>
          <w:sz w:val="24"/>
        </w:rPr>
        <w:t>（3）依照基金合同收取基金管理费以及法律法规规定或中国证监会批准的其他费用；</w:t>
      </w:r>
    </w:p>
    <w:p w14:paraId="2B781FF6" w14:textId="77777777" w:rsidR="003D7AF6" w:rsidRPr="003D7AF6" w:rsidRDefault="003D7AF6" w:rsidP="003D7AF6">
      <w:pPr>
        <w:pStyle w:val="20"/>
        <w:adjustRightInd w:val="0"/>
        <w:snapToGrid w:val="0"/>
        <w:ind w:firstLine="480"/>
        <w:rPr>
          <w:rFonts w:cs="宋体"/>
          <w:bCs/>
          <w:sz w:val="24"/>
        </w:rPr>
      </w:pPr>
      <w:r w:rsidRPr="003D7AF6">
        <w:rPr>
          <w:rFonts w:cs="宋体" w:hint="eastAsia"/>
          <w:bCs/>
          <w:sz w:val="24"/>
        </w:rPr>
        <w:t>（4）销售基金份额；</w:t>
      </w:r>
    </w:p>
    <w:p w14:paraId="3A6EF9AF" w14:textId="77777777" w:rsidR="003D7AF6" w:rsidRPr="003D7AF6" w:rsidRDefault="003D7AF6" w:rsidP="003D7AF6">
      <w:pPr>
        <w:pStyle w:val="20"/>
        <w:adjustRightInd w:val="0"/>
        <w:snapToGrid w:val="0"/>
        <w:ind w:firstLine="480"/>
        <w:rPr>
          <w:rFonts w:cs="宋体"/>
          <w:bCs/>
          <w:sz w:val="24"/>
        </w:rPr>
      </w:pPr>
      <w:r w:rsidRPr="003D7AF6">
        <w:rPr>
          <w:rFonts w:cs="宋体" w:hint="eastAsia"/>
          <w:bCs/>
          <w:sz w:val="24"/>
        </w:rPr>
        <w:t>（5）按照规定召集基金份额持有人大会；</w:t>
      </w:r>
    </w:p>
    <w:p w14:paraId="4E6D8CD5" w14:textId="77777777" w:rsidR="003D7AF6" w:rsidRPr="003D7AF6" w:rsidRDefault="003D7AF6" w:rsidP="003D7AF6">
      <w:pPr>
        <w:pStyle w:val="20"/>
        <w:adjustRightInd w:val="0"/>
        <w:snapToGrid w:val="0"/>
        <w:ind w:firstLine="480"/>
        <w:rPr>
          <w:rFonts w:cs="宋体"/>
          <w:bCs/>
          <w:sz w:val="24"/>
        </w:rPr>
      </w:pPr>
      <w:r w:rsidRPr="003D7AF6">
        <w:rPr>
          <w:rFonts w:cs="宋体" w:hint="eastAsia"/>
          <w:bCs/>
          <w:sz w:val="24"/>
        </w:rPr>
        <w:t>（6）依据基金合同及有关法律规定监督基金托管人，如认为基金托管人违反了基金合同及国家有关法律规定，应呈报中国证监会和其他监管部门，并采取必要措施保护基金投资人的利益；</w:t>
      </w:r>
    </w:p>
    <w:p w14:paraId="5BC0B48C" w14:textId="77777777" w:rsidR="003D7AF6" w:rsidRPr="003D7AF6" w:rsidRDefault="003D7AF6" w:rsidP="003D7AF6">
      <w:pPr>
        <w:pStyle w:val="20"/>
        <w:adjustRightInd w:val="0"/>
        <w:snapToGrid w:val="0"/>
        <w:ind w:firstLine="480"/>
        <w:rPr>
          <w:rFonts w:cs="宋体"/>
          <w:bCs/>
          <w:sz w:val="24"/>
        </w:rPr>
      </w:pPr>
      <w:r w:rsidRPr="003D7AF6">
        <w:rPr>
          <w:rFonts w:cs="宋体" w:hint="eastAsia"/>
          <w:bCs/>
          <w:sz w:val="24"/>
        </w:rPr>
        <w:t>（7）在基金托管人更换时，提名新的基金托管人；</w:t>
      </w:r>
    </w:p>
    <w:p w14:paraId="0ADB51A7" w14:textId="2C10947B" w:rsidR="003D7AF6" w:rsidRPr="003D7AF6" w:rsidRDefault="003D7AF6" w:rsidP="003D7AF6">
      <w:pPr>
        <w:pStyle w:val="20"/>
        <w:adjustRightInd w:val="0"/>
        <w:snapToGrid w:val="0"/>
        <w:ind w:firstLine="480"/>
        <w:rPr>
          <w:rFonts w:cs="宋体"/>
          <w:bCs/>
          <w:sz w:val="24"/>
        </w:rPr>
      </w:pPr>
      <w:r w:rsidRPr="003D7AF6">
        <w:rPr>
          <w:rFonts w:cs="宋体" w:hint="eastAsia"/>
          <w:bCs/>
          <w:sz w:val="24"/>
        </w:rPr>
        <w:t>（8）选择、更换销售机构，对销售机构的相关行为进行监督和处理；</w:t>
      </w:r>
    </w:p>
    <w:p w14:paraId="1AD831A3" w14:textId="77777777" w:rsidR="003D7AF6" w:rsidRPr="003D7AF6" w:rsidRDefault="003D7AF6" w:rsidP="003D7AF6">
      <w:pPr>
        <w:pStyle w:val="20"/>
        <w:adjustRightInd w:val="0"/>
        <w:snapToGrid w:val="0"/>
        <w:ind w:firstLine="480"/>
        <w:rPr>
          <w:rFonts w:cs="宋体"/>
          <w:bCs/>
          <w:sz w:val="24"/>
        </w:rPr>
      </w:pPr>
      <w:r w:rsidRPr="003D7AF6">
        <w:rPr>
          <w:rFonts w:cs="宋体" w:hint="eastAsia"/>
          <w:bCs/>
          <w:sz w:val="24"/>
        </w:rPr>
        <w:t>（9）担任或委托其他符合条件的机构担任基金登记机构办理基金登记业务并获得基金合同规定的费用；</w:t>
      </w:r>
    </w:p>
    <w:p w14:paraId="72F4F601" w14:textId="77777777" w:rsidR="003D7AF6" w:rsidRPr="003D7AF6" w:rsidRDefault="003D7AF6" w:rsidP="003D7AF6">
      <w:pPr>
        <w:pStyle w:val="20"/>
        <w:adjustRightInd w:val="0"/>
        <w:snapToGrid w:val="0"/>
        <w:ind w:firstLine="480"/>
        <w:rPr>
          <w:rFonts w:cs="宋体"/>
          <w:bCs/>
          <w:sz w:val="24"/>
        </w:rPr>
      </w:pPr>
      <w:r w:rsidRPr="003D7AF6">
        <w:rPr>
          <w:rFonts w:cs="宋体" w:hint="eastAsia"/>
          <w:bCs/>
          <w:sz w:val="24"/>
        </w:rPr>
        <w:t>（10）依据基金合同及有关法律规定决定基金收益的分配方案；</w:t>
      </w:r>
    </w:p>
    <w:p w14:paraId="3A8E829E" w14:textId="77777777" w:rsidR="003D7AF6" w:rsidRPr="003D7AF6" w:rsidRDefault="003D7AF6" w:rsidP="003D7AF6">
      <w:pPr>
        <w:pStyle w:val="20"/>
        <w:adjustRightInd w:val="0"/>
        <w:snapToGrid w:val="0"/>
        <w:ind w:firstLine="480"/>
        <w:rPr>
          <w:rFonts w:cs="宋体"/>
          <w:bCs/>
          <w:sz w:val="24"/>
        </w:rPr>
      </w:pPr>
      <w:r w:rsidRPr="003D7AF6">
        <w:rPr>
          <w:rFonts w:cs="宋体" w:hint="eastAsia"/>
          <w:bCs/>
          <w:sz w:val="24"/>
        </w:rPr>
        <w:t>（11）在基金合同约定的范围内，拒绝或暂停受理申购、赎回和转换申请；</w:t>
      </w:r>
    </w:p>
    <w:p w14:paraId="0835C3CA" w14:textId="77777777" w:rsidR="003D7AF6" w:rsidRPr="003D7AF6" w:rsidRDefault="003D7AF6" w:rsidP="003D7AF6">
      <w:pPr>
        <w:pStyle w:val="20"/>
        <w:adjustRightInd w:val="0"/>
        <w:snapToGrid w:val="0"/>
        <w:ind w:firstLine="480"/>
        <w:rPr>
          <w:rFonts w:cs="宋体"/>
          <w:bCs/>
          <w:sz w:val="24"/>
        </w:rPr>
      </w:pPr>
      <w:r w:rsidRPr="003D7AF6">
        <w:rPr>
          <w:rFonts w:cs="宋体" w:hint="eastAsia"/>
          <w:bCs/>
          <w:sz w:val="24"/>
        </w:rPr>
        <w:t>（12）依照法律法规为基金的利益对被投资公司行使股东权利，为基金的利益行使因基金财产投资于证券/期货所产生的权利；</w:t>
      </w:r>
    </w:p>
    <w:p w14:paraId="11A4CE70" w14:textId="77777777" w:rsidR="003D7AF6" w:rsidRPr="003D7AF6" w:rsidRDefault="003D7AF6" w:rsidP="003D7AF6">
      <w:pPr>
        <w:pStyle w:val="20"/>
        <w:adjustRightInd w:val="0"/>
        <w:snapToGrid w:val="0"/>
        <w:ind w:firstLine="480"/>
        <w:rPr>
          <w:rFonts w:cs="宋体"/>
          <w:bCs/>
          <w:sz w:val="24"/>
        </w:rPr>
      </w:pPr>
      <w:r w:rsidRPr="003D7AF6">
        <w:rPr>
          <w:rFonts w:cs="宋体" w:hint="eastAsia"/>
          <w:bCs/>
          <w:sz w:val="24"/>
        </w:rPr>
        <w:t>（13）在法律法规允许的前提下，为基金的利益依法为基金进行融资及转融通证券出借业务；</w:t>
      </w:r>
    </w:p>
    <w:p w14:paraId="7A905F0C" w14:textId="77777777" w:rsidR="003D7AF6" w:rsidRPr="003D7AF6" w:rsidRDefault="003D7AF6" w:rsidP="003D7AF6">
      <w:pPr>
        <w:pStyle w:val="20"/>
        <w:adjustRightInd w:val="0"/>
        <w:snapToGrid w:val="0"/>
        <w:ind w:firstLine="480"/>
        <w:rPr>
          <w:rFonts w:cs="宋体"/>
          <w:bCs/>
          <w:sz w:val="24"/>
        </w:rPr>
      </w:pPr>
      <w:r w:rsidRPr="003D7AF6">
        <w:rPr>
          <w:rFonts w:cs="宋体" w:hint="eastAsia"/>
          <w:bCs/>
          <w:sz w:val="24"/>
        </w:rPr>
        <w:t>（14）以基金管理人的名义，代表基金份额持有人的利益行使诉讼权利或者实施其他法律行为；</w:t>
      </w:r>
    </w:p>
    <w:p w14:paraId="0F9B50B0" w14:textId="2AD762A0" w:rsidR="003D7AF6" w:rsidRPr="003D7AF6" w:rsidRDefault="003D7AF6" w:rsidP="003D7AF6">
      <w:pPr>
        <w:pStyle w:val="20"/>
        <w:adjustRightInd w:val="0"/>
        <w:snapToGrid w:val="0"/>
        <w:ind w:firstLine="480"/>
        <w:rPr>
          <w:rFonts w:cs="宋体"/>
          <w:bCs/>
          <w:sz w:val="24"/>
        </w:rPr>
      </w:pPr>
      <w:r w:rsidRPr="003D7AF6">
        <w:rPr>
          <w:rFonts w:cs="宋体" w:hint="eastAsia"/>
          <w:bCs/>
          <w:sz w:val="24"/>
        </w:rPr>
        <w:t>（15）选择、更换律师事务所、会计师事务所、证券、期货经纪商或其他为</w:t>
      </w:r>
      <w:r w:rsidRPr="003D7AF6">
        <w:rPr>
          <w:rFonts w:cs="宋体" w:hint="eastAsia"/>
          <w:bCs/>
          <w:sz w:val="24"/>
        </w:rPr>
        <w:lastRenderedPageBreak/>
        <w:t>基金提供服务的外部机构；</w:t>
      </w:r>
      <w:r w:rsidR="00392731">
        <w:rPr>
          <w:rFonts w:hint="eastAsia"/>
          <w:bCs/>
          <w:sz w:val="24"/>
          <w:szCs w:val="24"/>
        </w:rPr>
        <w:t>若本基金采用证券经纪机构交易结算模式，基金管理人有权选择代表本基金进行场内交易、作为结算参与人代理本基金进行结算的证券经纪机构，并签订证券经纪服务协议；</w:t>
      </w:r>
    </w:p>
    <w:p w14:paraId="54733732" w14:textId="26CBC667" w:rsidR="003D7AF6" w:rsidRPr="003D7AF6" w:rsidRDefault="003D7AF6" w:rsidP="003D7AF6">
      <w:pPr>
        <w:pStyle w:val="20"/>
        <w:adjustRightInd w:val="0"/>
        <w:snapToGrid w:val="0"/>
        <w:ind w:firstLine="480"/>
        <w:rPr>
          <w:rFonts w:cs="宋体"/>
          <w:bCs/>
          <w:sz w:val="24"/>
        </w:rPr>
      </w:pPr>
      <w:r w:rsidRPr="003D7AF6">
        <w:rPr>
          <w:rFonts w:cs="宋体" w:hint="eastAsia"/>
          <w:bCs/>
          <w:sz w:val="24"/>
        </w:rPr>
        <w:t>（16）在符合有关法律、法规的前提下，制订和调整有关基金认购、申购、赎回、转换、非交易过户、转托管</w:t>
      </w:r>
      <w:r w:rsidR="005907EE" w:rsidRPr="00A505A7">
        <w:rPr>
          <w:rFonts w:hint="eastAsia"/>
          <w:sz w:val="24"/>
          <w:szCs w:val="24"/>
        </w:rPr>
        <w:t>及定期定额投资</w:t>
      </w:r>
      <w:r w:rsidRPr="003D7AF6">
        <w:rPr>
          <w:rFonts w:cs="宋体" w:hint="eastAsia"/>
          <w:bCs/>
          <w:sz w:val="24"/>
        </w:rPr>
        <w:t>等业务规则；</w:t>
      </w:r>
    </w:p>
    <w:p w14:paraId="63194909" w14:textId="77777777" w:rsidR="003D7AF6" w:rsidRPr="003D7AF6" w:rsidRDefault="003D7AF6" w:rsidP="003D7AF6">
      <w:pPr>
        <w:pStyle w:val="20"/>
        <w:adjustRightInd w:val="0"/>
        <w:snapToGrid w:val="0"/>
        <w:ind w:firstLine="480"/>
        <w:rPr>
          <w:rFonts w:cs="宋体"/>
          <w:bCs/>
          <w:sz w:val="24"/>
        </w:rPr>
      </w:pPr>
      <w:r w:rsidRPr="003D7AF6">
        <w:rPr>
          <w:rFonts w:cs="宋体" w:hint="eastAsia"/>
          <w:bCs/>
          <w:sz w:val="24"/>
        </w:rPr>
        <w:t>（17）基金管理人有权根据反洗钱法律法规的相关规定，结合基金份额持有人洗钱风险状况，采取相应合理的控制措施；</w:t>
      </w:r>
    </w:p>
    <w:p w14:paraId="5C13D03C" w14:textId="77777777" w:rsidR="003D7AF6" w:rsidRPr="003D7AF6" w:rsidRDefault="003D7AF6" w:rsidP="003D7AF6">
      <w:pPr>
        <w:pStyle w:val="20"/>
        <w:adjustRightInd w:val="0"/>
        <w:snapToGrid w:val="0"/>
        <w:ind w:firstLine="480"/>
        <w:rPr>
          <w:rFonts w:cs="宋体"/>
          <w:bCs/>
          <w:sz w:val="24"/>
        </w:rPr>
      </w:pPr>
      <w:r w:rsidRPr="003D7AF6">
        <w:rPr>
          <w:rFonts w:cs="宋体" w:hint="eastAsia"/>
          <w:bCs/>
          <w:sz w:val="24"/>
        </w:rPr>
        <w:t>（18）在法律法规和基金合同规定的范围内决定调整基金费率结构和收费方式；</w:t>
      </w:r>
    </w:p>
    <w:p w14:paraId="7F287232" w14:textId="77777777" w:rsidR="003D7AF6" w:rsidRPr="003D7AF6" w:rsidRDefault="003D7AF6" w:rsidP="003D7AF6">
      <w:pPr>
        <w:pStyle w:val="20"/>
        <w:adjustRightInd w:val="0"/>
        <w:snapToGrid w:val="0"/>
        <w:ind w:firstLine="480"/>
        <w:rPr>
          <w:rFonts w:cs="宋体"/>
          <w:bCs/>
          <w:sz w:val="24"/>
        </w:rPr>
      </w:pPr>
      <w:r w:rsidRPr="003D7AF6">
        <w:rPr>
          <w:rFonts w:cs="宋体" w:hint="eastAsia"/>
          <w:bCs/>
          <w:sz w:val="24"/>
        </w:rPr>
        <w:t>（19）代表基金份额持有人的利益行使因基金财产投资于目标ETF所产生的权利，基金合同另有约定的除外；</w:t>
      </w:r>
    </w:p>
    <w:p w14:paraId="4DB1F7A7" w14:textId="77777777" w:rsidR="003D7AF6" w:rsidRPr="003D7AF6" w:rsidRDefault="003D7AF6" w:rsidP="003D7AF6">
      <w:pPr>
        <w:pStyle w:val="20"/>
        <w:adjustRightInd w:val="0"/>
        <w:snapToGrid w:val="0"/>
        <w:ind w:firstLine="480"/>
        <w:rPr>
          <w:rFonts w:cs="宋体"/>
          <w:bCs/>
          <w:sz w:val="24"/>
        </w:rPr>
      </w:pPr>
      <w:r w:rsidRPr="003D7AF6">
        <w:rPr>
          <w:rFonts w:cs="宋体" w:hint="eastAsia"/>
          <w:bCs/>
          <w:sz w:val="24"/>
        </w:rPr>
        <w:t>（20）法律法规及中国证监会规定的和基金合同约定的其他权利。</w:t>
      </w:r>
    </w:p>
    <w:p w14:paraId="3F769583" w14:textId="77777777" w:rsidR="003D7AF6" w:rsidRPr="003D7AF6" w:rsidRDefault="003D7AF6" w:rsidP="003D7AF6">
      <w:pPr>
        <w:pStyle w:val="20"/>
        <w:adjustRightInd w:val="0"/>
        <w:snapToGrid w:val="0"/>
        <w:ind w:firstLine="480"/>
        <w:rPr>
          <w:rFonts w:cs="宋体"/>
          <w:bCs/>
          <w:sz w:val="24"/>
        </w:rPr>
      </w:pPr>
      <w:r w:rsidRPr="003D7AF6">
        <w:rPr>
          <w:rFonts w:cs="宋体" w:hint="eastAsia"/>
          <w:bCs/>
          <w:sz w:val="24"/>
        </w:rPr>
        <w:t>2、根据《基金法》、《运作办法》及其他有关规定，基金管理人的义务包括但不限于：</w:t>
      </w:r>
    </w:p>
    <w:p w14:paraId="4352A63F" w14:textId="77777777" w:rsidR="003D7AF6" w:rsidRPr="003D7AF6" w:rsidRDefault="003D7AF6" w:rsidP="003D7AF6">
      <w:pPr>
        <w:pStyle w:val="20"/>
        <w:adjustRightInd w:val="0"/>
        <w:snapToGrid w:val="0"/>
        <w:ind w:firstLine="480"/>
        <w:rPr>
          <w:rFonts w:cs="宋体"/>
          <w:bCs/>
          <w:sz w:val="24"/>
        </w:rPr>
      </w:pPr>
      <w:r w:rsidRPr="003D7AF6">
        <w:rPr>
          <w:rFonts w:cs="宋体" w:hint="eastAsia"/>
          <w:bCs/>
          <w:sz w:val="24"/>
        </w:rPr>
        <w:t>（1）依法募集资金，办理或者委托经中国证监会认定的其他机构代为办理基金份额的发售、申购、赎回和登记事宜；</w:t>
      </w:r>
    </w:p>
    <w:p w14:paraId="54C088B1" w14:textId="77777777" w:rsidR="003D7AF6" w:rsidRPr="003D7AF6" w:rsidRDefault="003D7AF6" w:rsidP="003D7AF6">
      <w:pPr>
        <w:pStyle w:val="20"/>
        <w:adjustRightInd w:val="0"/>
        <w:snapToGrid w:val="0"/>
        <w:ind w:firstLine="480"/>
        <w:rPr>
          <w:rFonts w:cs="宋体"/>
          <w:bCs/>
          <w:sz w:val="24"/>
        </w:rPr>
      </w:pPr>
      <w:r w:rsidRPr="003D7AF6">
        <w:rPr>
          <w:rFonts w:cs="宋体" w:hint="eastAsia"/>
          <w:bCs/>
          <w:sz w:val="24"/>
        </w:rPr>
        <w:t>（2）办理基金备案手续；</w:t>
      </w:r>
    </w:p>
    <w:p w14:paraId="7948C4EA" w14:textId="77777777" w:rsidR="003D7AF6" w:rsidRPr="003D7AF6" w:rsidRDefault="003D7AF6" w:rsidP="003D7AF6">
      <w:pPr>
        <w:pStyle w:val="20"/>
        <w:adjustRightInd w:val="0"/>
        <w:snapToGrid w:val="0"/>
        <w:ind w:firstLine="480"/>
        <w:rPr>
          <w:rFonts w:cs="宋体"/>
          <w:bCs/>
          <w:sz w:val="24"/>
        </w:rPr>
      </w:pPr>
      <w:r w:rsidRPr="003D7AF6">
        <w:rPr>
          <w:rFonts w:cs="宋体" w:hint="eastAsia"/>
          <w:bCs/>
          <w:sz w:val="24"/>
        </w:rPr>
        <w:t>（3）自基金合同生效之日起，以诚实信用、谨慎勤勉的原则管理和运用基金财产；</w:t>
      </w:r>
    </w:p>
    <w:p w14:paraId="77B7444F" w14:textId="77777777" w:rsidR="003D7AF6" w:rsidRPr="003D7AF6" w:rsidRDefault="003D7AF6" w:rsidP="003D7AF6">
      <w:pPr>
        <w:pStyle w:val="20"/>
        <w:adjustRightInd w:val="0"/>
        <w:snapToGrid w:val="0"/>
        <w:ind w:firstLine="480"/>
        <w:rPr>
          <w:rFonts w:cs="宋体"/>
          <w:bCs/>
          <w:sz w:val="24"/>
        </w:rPr>
      </w:pPr>
      <w:r w:rsidRPr="003D7AF6">
        <w:rPr>
          <w:rFonts w:cs="宋体" w:hint="eastAsia"/>
          <w:bCs/>
          <w:sz w:val="24"/>
        </w:rPr>
        <w:t>（4）配备足够的具有专业资格的人员进行基金投资分析、决策，以专业化的经营方式管理和运作基金财产；</w:t>
      </w:r>
    </w:p>
    <w:p w14:paraId="4CC47BEA" w14:textId="77777777" w:rsidR="003D7AF6" w:rsidRPr="003D7AF6" w:rsidRDefault="003D7AF6" w:rsidP="003D7AF6">
      <w:pPr>
        <w:pStyle w:val="20"/>
        <w:adjustRightInd w:val="0"/>
        <w:snapToGrid w:val="0"/>
        <w:ind w:firstLine="480"/>
        <w:rPr>
          <w:rFonts w:cs="宋体"/>
          <w:bCs/>
          <w:sz w:val="24"/>
        </w:rPr>
      </w:pPr>
      <w:r w:rsidRPr="003D7AF6">
        <w:rPr>
          <w:rFonts w:cs="宋体" w:hint="eastAsia"/>
          <w:bCs/>
          <w:sz w:val="24"/>
        </w:rPr>
        <w:t>（5）建立健全内部风险控制、监察与稽核、财务管理及人事管理等制度，保证所管理的基金财产和基金管理人的财产相互独立，对所管理的不同基金分别管理，分别记账，进行证券/期货投资；</w:t>
      </w:r>
    </w:p>
    <w:p w14:paraId="28D2AB88" w14:textId="77777777" w:rsidR="003D7AF6" w:rsidRPr="003D7AF6" w:rsidRDefault="003D7AF6" w:rsidP="003D7AF6">
      <w:pPr>
        <w:pStyle w:val="20"/>
        <w:adjustRightInd w:val="0"/>
        <w:snapToGrid w:val="0"/>
        <w:ind w:firstLine="480"/>
        <w:rPr>
          <w:rFonts w:cs="宋体"/>
          <w:bCs/>
          <w:sz w:val="24"/>
        </w:rPr>
      </w:pPr>
      <w:r w:rsidRPr="003D7AF6">
        <w:rPr>
          <w:rFonts w:cs="宋体" w:hint="eastAsia"/>
          <w:bCs/>
          <w:sz w:val="24"/>
        </w:rPr>
        <w:t>（6）除依据《基金法》、基金合同及其他有关规定外，不得利用基金财产为自己及任何第三人谋取利益，不得委托第三人运作基金财产；</w:t>
      </w:r>
    </w:p>
    <w:p w14:paraId="350B4CFC" w14:textId="77777777" w:rsidR="003D7AF6" w:rsidRPr="003D7AF6" w:rsidRDefault="003D7AF6" w:rsidP="003D7AF6">
      <w:pPr>
        <w:pStyle w:val="20"/>
        <w:adjustRightInd w:val="0"/>
        <w:snapToGrid w:val="0"/>
        <w:ind w:firstLine="480"/>
        <w:rPr>
          <w:rFonts w:cs="宋体"/>
          <w:bCs/>
          <w:sz w:val="24"/>
        </w:rPr>
      </w:pPr>
      <w:r w:rsidRPr="003D7AF6">
        <w:rPr>
          <w:rFonts w:cs="宋体" w:hint="eastAsia"/>
          <w:bCs/>
          <w:sz w:val="24"/>
        </w:rPr>
        <w:t>（7）依法接受基金托管人的监督；</w:t>
      </w:r>
    </w:p>
    <w:p w14:paraId="0D952B74" w14:textId="04781864" w:rsidR="003D7AF6" w:rsidRPr="003D7AF6" w:rsidRDefault="003D7AF6" w:rsidP="003D7AF6">
      <w:pPr>
        <w:pStyle w:val="20"/>
        <w:adjustRightInd w:val="0"/>
        <w:snapToGrid w:val="0"/>
        <w:ind w:firstLine="480"/>
        <w:rPr>
          <w:rFonts w:cs="宋体"/>
          <w:bCs/>
          <w:sz w:val="24"/>
        </w:rPr>
      </w:pPr>
      <w:r w:rsidRPr="003D7AF6">
        <w:rPr>
          <w:rFonts w:cs="宋体" w:hint="eastAsia"/>
          <w:bCs/>
          <w:sz w:val="24"/>
        </w:rPr>
        <w:t>（8）采取适当合理的措施使计算基金份额认购、申购、赎回</w:t>
      </w:r>
      <w:r w:rsidR="001A6CB5">
        <w:rPr>
          <w:rFonts w:cs="宋体" w:hint="eastAsia"/>
          <w:bCs/>
          <w:sz w:val="24"/>
        </w:rPr>
        <w:t>和注销</w:t>
      </w:r>
      <w:r w:rsidRPr="003D7AF6">
        <w:rPr>
          <w:rFonts w:cs="宋体" w:hint="eastAsia"/>
          <w:bCs/>
          <w:sz w:val="24"/>
        </w:rPr>
        <w:t>价格的方法符合《基金合同》等法律文件的规定，按有关规定计算并公告基金净值信息，确定各类基金份额申购、赎回的价格；</w:t>
      </w:r>
    </w:p>
    <w:p w14:paraId="2EB0B4B1" w14:textId="77777777" w:rsidR="003D7AF6" w:rsidRPr="003D7AF6" w:rsidRDefault="003D7AF6" w:rsidP="003D7AF6">
      <w:pPr>
        <w:pStyle w:val="20"/>
        <w:adjustRightInd w:val="0"/>
        <w:snapToGrid w:val="0"/>
        <w:ind w:firstLine="480"/>
        <w:rPr>
          <w:rFonts w:cs="宋体"/>
          <w:bCs/>
          <w:sz w:val="24"/>
        </w:rPr>
      </w:pPr>
      <w:r w:rsidRPr="003D7AF6">
        <w:rPr>
          <w:rFonts w:cs="宋体" w:hint="eastAsia"/>
          <w:bCs/>
          <w:sz w:val="24"/>
        </w:rPr>
        <w:lastRenderedPageBreak/>
        <w:t>（9）进行基金会计核算并编制基金财务会计报告；</w:t>
      </w:r>
    </w:p>
    <w:p w14:paraId="4C10C2F1" w14:textId="77777777" w:rsidR="003D7AF6" w:rsidRPr="003D7AF6" w:rsidRDefault="003D7AF6" w:rsidP="003D7AF6">
      <w:pPr>
        <w:pStyle w:val="20"/>
        <w:adjustRightInd w:val="0"/>
        <w:snapToGrid w:val="0"/>
        <w:ind w:firstLine="480"/>
        <w:rPr>
          <w:rFonts w:cs="宋体"/>
          <w:bCs/>
          <w:sz w:val="24"/>
        </w:rPr>
      </w:pPr>
      <w:r w:rsidRPr="003D7AF6">
        <w:rPr>
          <w:rFonts w:cs="宋体" w:hint="eastAsia"/>
          <w:bCs/>
          <w:sz w:val="24"/>
        </w:rPr>
        <w:t>（10）编制季度报告、中期报告和年度报告；</w:t>
      </w:r>
    </w:p>
    <w:p w14:paraId="3A136CD2" w14:textId="77777777" w:rsidR="003D7AF6" w:rsidRPr="003D7AF6" w:rsidRDefault="003D7AF6" w:rsidP="003D7AF6">
      <w:pPr>
        <w:pStyle w:val="20"/>
        <w:adjustRightInd w:val="0"/>
        <w:snapToGrid w:val="0"/>
        <w:ind w:firstLine="480"/>
        <w:rPr>
          <w:rFonts w:cs="宋体"/>
          <w:bCs/>
          <w:sz w:val="24"/>
        </w:rPr>
      </w:pPr>
      <w:r w:rsidRPr="003D7AF6">
        <w:rPr>
          <w:rFonts w:cs="宋体" w:hint="eastAsia"/>
          <w:bCs/>
          <w:sz w:val="24"/>
        </w:rPr>
        <w:t>（11）严格按照《基金法》、基金合同及其他有关规定，履行信息披露及报告义务；</w:t>
      </w:r>
    </w:p>
    <w:p w14:paraId="164282E4" w14:textId="77777777" w:rsidR="003D7AF6" w:rsidRPr="003D7AF6" w:rsidRDefault="003D7AF6" w:rsidP="003D7AF6">
      <w:pPr>
        <w:pStyle w:val="20"/>
        <w:adjustRightInd w:val="0"/>
        <w:snapToGrid w:val="0"/>
        <w:ind w:firstLine="480"/>
        <w:rPr>
          <w:rFonts w:cs="宋体"/>
          <w:bCs/>
          <w:sz w:val="24"/>
        </w:rPr>
      </w:pPr>
      <w:r w:rsidRPr="003D7AF6">
        <w:rPr>
          <w:rFonts w:cs="宋体" w:hint="eastAsia"/>
          <w:bCs/>
          <w:sz w:val="24"/>
        </w:rPr>
        <w:t>（12）保守基金商业秘密，不泄露基金投资计划、投资意向等。除《基金法》、基金合同及其他有关法律法规或监管机构另有规定或要求外，在基金信息公开披露前应予保密，不向他人泄露，但向监管机构、司法机关提供或因审计、法律等外部专业顾问提供服务而向其提供的情况除外；</w:t>
      </w:r>
    </w:p>
    <w:p w14:paraId="10A42D10" w14:textId="77777777" w:rsidR="003D7AF6" w:rsidRPr="003D7AF6" w:rsidRDefault="003D7AF6" w:rsidP="003D7AF6">
      <w:pPr>
        <w:pStyle w:val="20"/>
        <w:adjustRightInd w:val="0"/>
        <w:snapToGrid w:val="0"/>
        <w:ind w:firstLine="480"/>
        <w:rPr>
          <w:rFonts w:cs="宋体"/>
          <w:bCs/>
          <w:sz w:val="24"/>
        </w:rPr>
      </w:pPr>
      <w:r w:rsidRPr="003D7AF6">
        <w:rPr>
          <w:rFonts w:cs="宋体" w:hint="eastAsia"/>
          <w:bCs/>
          <w:sz w:val="24"/>
        </w:rPr>
        <w:t>（13）按基金合同的约定确定基金收益分配方案，及时向基金份额持有人分配基金收益；</w:t>
      </w:r>
    </w:p>
    <w:p w14:paraId="05617630" w14:textId="77777777" w:rsidR="003D7AF6" w:rsidRPr="003D7AF6" w:rsidRDefault="003D7AF6" w:rsidP="003D7AF6">
      <w:pPr>
        <w:pStyle w:val="20"/>
        <w:adjustRightInd w:val="0"/>
        <w:snapToGrid w:val="0"/>
        <w:ind w:firstLine="480"/>
        <w:rPr>
          <w:rFonts w:cs="宋体"/>
          <w:bCs/>
          <w:sz w:val="24"/>
        </w:rPr>
      </w:pPr>
      <w:r w:rsidRPr="003D7AF6">
        <w:rPr>
          <w:rFonts w:cs="宋体" w:hint="eastAsia"/>
          <w:bCs/>
          <w:sz w:val="24"/>
        </w:rPr>
        <w:t>（14）按规定受理申购与赎回申请，及时、足额支付赎回款项；</w:t>
      </w:r>
    </w:p>
    <w:p w14:paraId="06FFCBD5" w14:textId="77777777" w:rsidR="003D7AF6" w:rsidRPr="003D7AF6" w:rsidRDefault="003D7AF6" w:rsidP="003D7AF6">
      <w:pPr>
        <w:pStyle w:val="20"/>
        <w:adjustRightInd w:val="0"/>
        <w:snapToGrid w:val="0"/>
        <w:ind w:firstLine="480"/>
        <w:rPr>
          <w:rFonts w:cs="宋体"/>
          <w:bCs/>
          <w:sz w:val="24"/>
        </w:rPr>
      </w:pPr>
      <w:r w:rsidRPr="003D7AF6">
        <w:rPr>
          <w:rFonts w:cs="宋体" w:hint="eastAsia"/>
          <w:bCs/>
          <w:sz w:val="24"/>
        </w:rPr>
        <w:t>（15）依据《基金法》、基金合同及其他有关规定召集基金份额持有人大会或配合基金托管人、基金份额持有人依法召集基金份额持有人大会；</w:t>
      </w:r>
    </w:p>
    <w:p w14:paraId="1E3B6D4B" w14:textId="77777777" w:rsidR="003D7AF6" w:rsidRPr="003D7AF6" w:rsidRDefault="003D7AF6" w:rsidP="003D7AF6">
      <w:pPr>
        <w:pStyle w:val="20"/>
        <w:adjustRightInd w:val="0"/>
        <w:snapToGrid w:val="0"/>
        <w:ind w:firstLine="480"/>
        <w:rPr>
          <w:rFonts w:cs="宋体"/>
          <w:bCs/>
          <w:sz w:val="24"/>
        </w:rPr>
      </w:pPr>
      <w:r w:rsidRPr="003D7AF6">
        <w:rPr>
          <w:rFonts w:cs="宋体" w:hint="eastAsia"/>
          <w:bCs/>
          <w:sz w:val="24"/>
        </w:rPr>
        <w:t>（16）按规定保存基金财产管理业务活动的会计账册、报表、记录和其他相关资料，保存期限不低于法律法规的规定；</w:t>
      </w:r>
    </w:p>
    <w:p w14:paraId="68DC9196" w14:textId="77777777" w:rsidR="003D7AF6" w:rsidRPr="003D7AF6" w:rsidRDefault="003D7AF6" w:rsidP="003D7AF6">
      <w:pPr>
        <w:pStyle w:val="20"/>
        <w:adjustRightInd w:val="0"/>
        <w:snapToGrid w:val="0"/>
        <w:ind w:firstLine="480"/>
        <w:rPr>
          <w:rFonts w:cs="宋体"/>
          <w:bCs/>
          <w:sz w:val="24"/>
        </w:rPr>
      </w:pPr>
      <w:r w:rsidRPr="003D7AF6">
        <w:rPr>
          <w:rFonts w:cs="宋体" w:hint="eastAsia"/>
          <w:bCs/>
          <w:sz w:val="24"/>
        </w:rPr>
        <w:t>（17）确保需要向基金投资人提供的各项文件或资料在规定时间发出，并且保证投资人能够按照基金合同规定的时间和方式，随时查阅到与基金有关的公开资料，并在支付合理成本的条件下得到有关资料的复印件；</w:t>
      </w:r>
    </w:p>
    <w:p w14:paraId="70CA224C" w14:textId="77777777" w:rsidR="003D7AF6" w:rsidRPr="003D7AF6" w:rsidRDefault="003D7AF6" w:rsidP="003D7AF6">
      <w:pPr>
        <w:pStyle w:val="20"/>
        <w:adjustRightInd w:val="0"/>
        <w:snapToGrid w:val="0"/>
        <w:ind w:firstLine="480"/>
        <w:rPr>
          <w:rFonts w:cs="宋体"/>
          <w:bCs/>
          <w:sz w:val="24"/>
        </w:rPr>
      </w:pPr>
      <w:r w:rsidRPr="003D7AF6">
        <w:rPr>
          <w:rFonts w:cs="宋体" w:hint="eastAsia"/>
          <w:bCs/>
          <w:sz w:val="24"/>
        </w:rPr>
        <w:t>（18）组织并参加基金财产清算小组，参与基金财产的保管、清理、估价、变现和分配；</w:t>
      </w:r>
    </w:p>
    <w:p w14:paraId="1592B2A6" w14:textId="77777777" w:rsidR="003D7AF6" w:rsidRPr="003D7AF6" w:rsidRDefault="003D7AF6" w:rsidP="003D7AF6">
      <w:pPr>
        <w:pStyle w:val="20"/>
        <w:adjustRightInd w:val="0"/>
        <w:snapToGrid w:val="0"/>
        <w:ind w:firstLine="480"/>
        <w:rPr>
          <w:rFonts w:cs="宋体"/>
          <w:bCs/>
          <w:sz w:val="24"/>
        </w:rPr>
      </w:pPr>
      <w:r w:rsidRPr="003D7AF6">
        <w:rPr>
          <w:rFonts w:cs="宋体" w:hint="eastAsia"/>
          <w:bCs/>
          <w:sz w:val="24"/>
        </w:rPr>
        <w:t>（19）面临解散、依法被撤销或者被依法宣告破产时，及时报告中国证监会并通知基金托管人；</w:t>
      </w:r>
    </w:p>
    <w:p w14:paraId="37DC59A8" w14:textId="77777777" w:rsidR="003D7AF6" w:rsidRPr="003D7AF6" w:rsidRDefault="003D7AF6" w:rsidP="003D7AF6">
      <w:pPr>
        <w:pStyle w:val="20"/>
        <w:adjustRightInd w:val="0"/>
        <w:snapToGrid w:val="0"/>
        <w:ind w:firstLine="480"/>
        <w:rPr>
          <w:rFonts w:cs="宋体"/>
          <w:bCs/>
          <w:sz w:val="24"/>
        </w:rPr>
      </w:pPr>
      <w:r w:rsidRPr="003D7AF6">
        <w:rPr>
          <w:rFonts w:cs="宋体" w:hint="eastAsia"/>
          <w:bCs/>
          <w:sz w:val="24"/>
        </w:rPr>
        <w:t>（20）因违反基金合同导致基金财产的损失或损害基金份额持有人合法权益时，应当承担赔偿责任，其赔偿责任不因其退任而免除；</w:t>
      </w:r>
    </w:p>
    <w:p w14:paraId="1B684339" w14:textId="77777777" w:rsidR="003D7AF6" w:rsidRPr="003D7AF6" w:rsidRDefault="003D7AF6" w:rsidP="003D7AF6">
      <w:pPr>
        <w:pStyle w:val="20"/>
        <w:adjustRightInd w:val="0"/>
        <w:snapToGrid w:val="0"/>
        <w:ind w:firstLine="480"/>
        <w:rPr>
          <w:rFonts w:cs="宋体"/>
          <w:bCs/>
          <w:sz w:val="24"/>
        </w:rPr>
      </w:pPr>
      <w:r w:rsidRPr="003D7AF6">
        <w:rPr>
          <w:rFonts w:cs="宋体" w:hint="eastAsia"/>
          <w:bCs/>
          <w:sz w:val="24"/>
        </w:rPr>
        <w:t>（21）监督基金托管人按法律法规和基金合同规定履行自己的义务，基金托管人违反基金合同造成基金财产损失时，基金管理人应为基金份额持有人利益向基金托管人追偿；</w:t>
      </w:r>
    </w:p>
    <w:p w14:paraId="09E7963C" w14:textId="77777777" w:rsidR="003D7AF6" w:rsidRPr="003D7AF6" w:rsidRDefault="003D7AF6" w:rsidP="003D7AF6">
      <w:pPr>
        <w:pStyle w:val="20"/>
        <w:adjustRightInd w:val="0"/>
        <w:snapToGrid w:val="0"/>
        <w:ind w:firstLine="480"/>
        <w:rPr>
          <w:rFonts w:cs="宋体"/>
          <w:bCs/>
          <w:sz w:val="24"/>
        </w:rPr>
      </w:pPr>
      <w:r w:rsidRPr="003D7AF6">
        <w:rPr>
          <w:rFonts w:cs="宋体" w:hint="eastAsia"/>
          <w:bCs/>
          <w:sz w:val="24"/>
        </w:rPr>
        <w:t>（22）当基金管理人将其义务委托第三方处理时，应当对第三方处理有关基金事务的行为承担责任；</w:t>
      </w:r>
    </w:p>
    <w:p w14:paraId="147B3BF0" w14:textId="77777777" w:rsidR="003D7AF6" w:rsidRPr="003D7AF6" w:rsidRDefault="003D7AF6" w:rsidP="003D7AF6">
      <w:pPr>
        <w:pStyle w:val="20"/>
        <w:adjustRightInd w:val="0"/>
        <w:snapToGrid w:val="0"/>
        <w:ind w:firstLine="480"/>
        <w:rPr>
          <w:rFonts w:cs="宋体"/>
          <w:bCs/>
          <w:sz w:val="24"/>
        </w:rPr>
      </w:pPr>
      <w:r w:rsidRPr="003D7AF6">
        <w:rPr>
          <w:rFonts w:cs="宋体" w:hint="eastAsia"/>
          <w:bCs/>
          <w:sz w:val="24"/>
        </w:rPr>
        <w:t>（23）以基金管理人名义，代表基金份额持有人利益行使诉讼权利或实施其</w:t>
      </w:r>
      <w:r w:rsidRPr="003D7AF6">
        <w:rPr>
          <w:rFonts w:cs="宋体" w:hint="eastAsia"/>
          <w:bCs/>
          <w:sz w:val="24"/>
        </w:rPr>
        <w:lastRenderedPageBreak/>
        <w:t>他法律行为；</w:t>
      </w:r>
    </w:p>
    <w:p w14:paraId="56B72C3F" w14:textId="77777777" w:rsidR="003D7AF6" w:rsidRPr="003D7AF6" w:rsidRDefault="003D7AF6" w:rsidP="003D7AF6">
      <w:pPr>
        <w:pStyle w:val="20"/>
        <w:adjustRightInd w:val="0"/>
        <w:snapToGrid w:val="0"/>
        <w:ind w:firstLine="480"/>
        <w:rPr>
          <w:rFonts w:cs="宋体"/>
          <w:bCs/>
          <w:sz w:val="24"/>
        </w:rPr>
      </w:pPr>
      <w:r w:rsidRPr="003D7AF6">
        <w:rPr>
          <w:rFonts w:cs="宋体" w:hint="eastAsia"/>
          <w:bCs/>
          <w:sz w:val="24"/>
        </w:rPr>
        <w:t>（24）基金管理人在募集期间未能达到基金的备案条件，基金合同不能生效，基金管理人承担全部募集费用，将已募集资金并加计银行同期活期存款利息（税后）在基金募集期结束后30日内退还基金认购人；</w:t>
      </w:r>
    </w:p>
    <w:p w14:paraId="4C29405B" w14:textId="77777777" w:rsidR="003D7AF6" w:rsidRPr="003D7AF6" w:rsidRDefault="003D7AF6" w:rsidP="003D7AF6">
      <w:pPr>
        <w:pStyle w:val="20"/>
        <w:adjustRightInd w:val="0"/>
        <w:snapToGrid w:val="0"/>
        <w:ind w:firstLine="480"/>
        <w:rPr>
          <w:rFonts w:cs="宋体"/>
          <w:bCs/>
          <w:sz w:val="24"/>
        </w:rPr>
      </w:pPr>
      <w:r w:rsidRPr="003D7AF6">
        <w:rPr>
          <w:rFonts w:cs="宋体" w:hint="eastAsia"/>
          <w:bCs/>
          <w:sz w:val="24"/>
        </w:rPr>
        <w:t>（25）执行生效的基金份额持有人大会的决议；</w:t>
      </w:r>
    </w:p>
    <w:p w14:paraId="6596CA3C" w14:textId="77777777" w:rsidR="003D7AF6" w:rsidRPr="003D7AF6" w:rsidRDefault="003D7AF6" w:rsidP="003D7AF6">
      <w:pPr>
        <w:pStyle w:val="20"/>
        <w:adjustRightInd w:val="0"/>
        <w:snapToGrid w:val="0"/>
        <w:ind w:firstLine="480"/>
        <w:rPr>
          <w:rFonts w:cs="宋体"/>
          <w:bCs/>
          <w:sz w:val="24"/>
        </w:rPr>
      </w:pPr>
      <w:r w:rsidRPr="003D7AF6">
        <w:rPr>
          <w:rFonts w:cs="宋体" w:hint="eastAsia"/>
          <w:bCs/>
          <w:sz w:val="24"/>
        </w:rPr>
        <w:t>（26）建立并保存基金份额持有人名册；</w:t>
      </w:r>
    </w:p>
    <w:p w14:paraId="64D93E34" w14:textId="77777777" w:rsidR="003D7AF6" w:rsidRDefault="003D7AF6">
      <w:pPr>
        <w:pStyle w:val="20"/>
        <w:adjustRightInd w:val="0"/>
        <w:snapToGrid w:val="0"/>
        <w:ind w:firstLine="480"/>
        <w:rPr>
          <w:rFonts w:cs="宋体"/>
          <w:bCs/>
          <w:sz w:val="24"/>
        </w:rPr>
      </w:pPr>
      <w:r w:rsidRPr="003D7AF6">
        <w:rPr>
          <w:rFonts w:cs="宋体" w:hint="eastAsia"/>
          <w:bCs/>
          <w:sz w:val="24"/>
        </w:rPr>
        <w:t>（27）法律法规及中国证监会规定的和《基金合同》约定的其他义务。</w:t>
      </w:r>
    </w:p>
    <w:p w14:paraId="7D344BFF" w14:textId="77777777" w:rsidR="00BF4A4E" w:rsidRDefault="00BF4A4E">
      <w:pPr>
        <w:pStyle w:val="20"/>
        <w:adjustRightInd w:val="0"/>
        <w:snapToGrid w:val="0"/>
        <w:ind w:firstLine="480"/>
        <w:rPr>
          <w:rFonts w:cs="宋体"/>
          <w:bCs/>
          <w:sz w:val="24"/>
        </w:rPr>
      </w:pPr>
      <w:r>
        <w:rPr>
          <w:rFonts w:cs="宋体" w:hint="eastAsia"/>
          <w:bCs/>
          <w:sz w:val="24"/>
        </w:rPr>
        <w:t>（二）基金托管人的权利与义务</w:t>
      </w:r>
    </w:p>
    <w:p w14:paraId="5A54602F" w14:textId="77777777" w:rsidR="004E7208" w:rsidRPr="004E7208" w:rsidRDefault="004E7208" w:rsidP="004E7208">
      <w:pPr>
        <w:pStyle w:val="20"/>
        <w:adjustRightInd w:val="0"/>
        <w:snapToGrid w:val="0"/>
        <w:ind w:firstLine="480"/>
        <w:rPr>
          <w:rFonts w:cs="宋体"/>
          <w:bCs/>
          <w:sz w:val="24"/>
        </w:rPr>
      </w:pPr>
      <w:r w:rsidRPr="004E7208">
        <w:rPr>
          <w:rFonts w:cs="宋体" w:hint="eastAsia"/>
          <w:bCs/>
          <w:sz w:val="24"/>
        </w:rPr>
        <w:t>1、根据《基金法》、《运作办法》及其他有关规定，基金托管人的权利包括但不限于：</w:t>
      </w:r>
    </w:p>
    <w:p w14:paraId="71FAD04D" w14:textId="77777777" w:rsidR="004E7208" w:rsidRPr="004E7208" w:rsidRDefault="004E7208" w:rsidP="004E7208">
      <w:pPr>
        <w:pStyle w:val="20"/>
        <w:adjustRightInd w:val="0"/>
        <w:snapToGrid w:val="0"/>
        <w:ind w:firstLine="480"/>
        <w:rPr>
          <w:rFonts w:cs="宋体"/>
          <w:bCs/>
          <w:sz w:val="24"/>
        </w:rPr>
      </w:pPr>
      <w:r w:rsidRPr="004E7208">
        <w:rPr>
          <w:rFonts w:cs="宋体" w:hint="eastAsia"/>
          <w:bCs/>
          <w:sz w:val="24"/>
        </w:rPr>
        <w:t>（1）自《基金合同》生效之日起，依法律法规和《基金合同》的规定安全保管基金财产；</w:t>
      </w:r>
    </w:p>
    <w:p w14:paraId="3E160306" w14:textId="77777777" w:rsidR="004E7208" w:rsidRPr="004E7208" w:rsidRDefault="004E7208" w:rsidP="004E7208">
      <w:pPr>
        <w:pStyle w:val="20"/>
        <w:adjustRightInd w:val="0"/>
        <w:snapToGrid w:val="0"/>
        <w:ind w:firstLine="480"/>
        <w:rPr>
          <w:rFonts w:cs="宋体"/>
          <w:bCs/>
          <w:sz w:val="24"/>
        </w:rPr>
      </w:pPr>
      <w:r w:rsidRPr="004E7208">
        <w:rPr>
          <w:rFonts w:cs="宋体" w:hint="eastAsia"/>
          <w:bCs/>
          <w:sz w:val="24"/>
        </w:rPr>
        <w:t>（2）依《基金合同》约定获得基金托管费以及法律法规规定或监管部门批准的其他费用；</w:t>
      </w:r>
    </w:p>
    <w:p w14:paraId="6D7ECA21" w14:textId="77777777" w:rsidR="004E7208" w:rsidRPr="004E7208" w:rsidRDefault="004E7208" w:rsidP="004E7208">
      <w:pPr>
        <w:pStyle w:val="20"/>
        <w:adjustRightInd w:val="0"/>
        <w:snapToGrid w:val="0"/>
        <w:ind w:firstLine="480"/>
        <w:rPr>
          <w:rFonts w:cs="宋体"/>
          <w:bCs/>
          <w:sz w:val="24"/>
        </w:rPr>
      </w:pPr>
      <w:r w:rsidRPr="004E7208">
        <w:rPr>
          <w:rFonts w:cs="宋体" w:hint="eastAsia"/>
          <w:bCs/>
          <w:sz w:val="24"/>
        </w:rPr>
        <w:t>（3）监督基金管理人对本基金的投资运作，如发现基金管理人有违反《基金合同》及国家法律法规行为，对基金财产、其他当事人的利益造成重大损失的情形，应呈报中国证监会，并采取必要措施保护基金投资人的利益；</w:t>
      </w:r>
    </w:p>
    <w:p w14:paraId="341D42BC" w14:textId="7ADB748F" w:rsidR="004E7208" w:rsidRPr="004E7208" w:rsidRDefault="004E7208" w:rsidP="004E7208">
      <w:pPr>
        <w:pStyle w:val="20"/>
        <w:adjustRightInd w:val="0"/>
        <w:snapToGrid w:val="0"/>
        <w:ind w:firstLine="480"/>
        <w:rPr>
          <w:rFonts w:cs="宋体"/>
          <w:bCs/>
          <w:sz w:val="24"/>
        </w:rPr>
      </w:pPr>
      <w:r w:rsidRPr="004E7208">
        <w:rPr>
          <w:rFonts w:cs="宋体" w:hint="eastAsia"/>
          <w:bCs/>
          <w:sz w:val="24"/>
        </w:rPr>
        <w:t>（4）根据相关市场规则，为基金开设资金账户、证券账户等投资所需账户，为基金办理证券交易资金清算；</w:t>
      </w:r>
    </w:p>
    <w:p w14:paraId="6195EBC1" w14:textId="77777777" w:rsidR="004E7208" w:rsidRPr="004E7208" w:rsidRDefault="004E7208" w:rsidP="004E7208">
      <w:pPr>
        <w:pStyle w:val="20"/>
        <w:adjustRightInd w:val="0"/>
        <w:snapToGrid w:val="0"/>
        <w:ind w:firstLine="480"/>
        <w:rPr>
          <w:rFonts w:cs="宋体"/>
          <w:bCs/>
          <w:sz w:val="24"/>
        </w:rPr>
      </w:pPr>
      <w:r w:rsidRPr="004E7208">
        <w:rPr>
          <w:rFonts w:cs="宋体" w:hint="eastAsia"/>
          <w:bCs/>
          <w:sz w:val="24"/>
        </w:rPr>
        <w:t>（5）提议召开或召集基金份额持有人大会；</w:t>
      </w:r>
    </w:p>
    <w:p w14:paraId="4F823390" w14:textId="77777777" w:rsidR="004E7208" w:rsidRPr="004E7208" w:rsidRDefault="004E7208" w:rsidP="004E7208">
      <w:pPr>
        <w:pStyle w:val="20"/>
        <w:adjustRightInd w:val="0"/>
        <w:snapToGrid w:val="0"/>
        <w:ind w:firstLine="480"/>
        <w:rPr>
          <w:rFonts w:cs="宋体"/>
          <w:bCs/>
          <w:sz w:val="24"/>
        </w:rPr>
      </w:pPr>
      <w:r w:rsidRPr="004E7208">
        <w:rPr>
          <w:rFonts w:cs="宋体" w:hint="eastAsia"/>
          <w:bCs/>
          <w:sz w:val="24"/>
        </w:rPr>
        <w:t>（6）在基金管理人更换时，提名新的基金管理人；</w:t>
      </w:r>
    </w:p>
    <w:p w14:paraId="5100FD18" w14:textId="77777777" w:rsidR="004E7208" w:rsidRPr="004E7208" w:rsidRDefault="004E7208" w:rsidP="004E7208">
      <w:pPr>
        <w:pStyle w:val="20"/>
        <w:adjustRightInd w:val="0"/>
        <w:snapToGrid w:val="0"/>
        <w:ind w:firstLine="480"/>
        <w:rPr>
          <w:rFonts w:cs="宋体"/>
          <w:bCs/>
          <w:sz w:val="24"/>
        </w:rPr>
      </w:pPr>
      <w:r w:rsidRPr="004E7208">
        <w:rPr>
          <w:rFonts w:cs="宋体" w:hint="eastAsia"/>
          <w:bCs/>
          <w:sz w:val="24"/>
        </w:rPr>
        <w:t>（7）法律法规及中国证监会规定的和《基金合同》约定的其他权利。</w:t>
      </w:r>
    </w:p>
    <w:p w14:paraId="2DFA5D22" w14:textId="77777777" w:rsidR="004E7208" w:rsidRPr="004E7208" w:rsidRDefault="004E7208" w:rsidP="004E7208">
      <w:pPr>
        <w:pStyle w:val="20"/>
        <w:adjustRightInd w:val="0"/>
        <w:snapToGrid w:val="0"/>
        <w:ind w:firstLine="480"/>
        <w:rPr>
          <w:rFonts w:cs="宋体"/>
          <w:bCs/>
          <w:sz w:val="24"/>
        </w:rPr>
      </w:pPr>
      <w:r w:rsidRPr="004E7208">
        <w:rPr>
          <w:rFonts w:cs="宋体" w:hint="eastAsia"/>
          <w:bCs/>
          <w:sz w:val="24"/>
        </w:rPr>
        <w:t>2、根据《基金法》、《运作办法》及其他有关规定，基金托管人的义务包括但不限于：</w:t>
      </w:r>
    </w:p>
    <w:p w14:paraId="78D3ABE7" w14:textId="77777777" w:rsidR="004E7208" w:rsidRPr="004E7208" w:rsidRDefault="004E7208" w:rsidP="004E7208">
      <w:pPr>
        <w:pStyle w:val="20"/>
        <w:adjustRightInd w:val="0"/>
        <w:snapToGrid w:val="0"/>
        <w:ind w:firstLine="480"/>
        <w:rPr>
          <w:rFonts w:cs="宋体"/>
          <w:bCs/>
          <w:sz w:val="24"/>
        </w:rPr>
      </w:pPr>
      <w:r w:rsidRPr="004E7208">
        <w:rPr>
          <w:rFonts w:cs="宋体" w:hint="eastAsia"/>
          <w:bCs/>
          <w:sz w:val="24"/>
        </w:rPr>
        <w:t>（1）以诚实信用、勤勉尽责的原则持有并安全保管基金财产；</w:t>
      </w:r>
    </w:p>
    <w:p w14:paraId="6B76B2DA" w14:textId="77777777" w:rsidR="004E7208" w:rsidRPr="004E7208" w:rsidRDefault="004E7208" w:rsidP="004E7208">
      <w:pPr>
        <w:pStyle w:val="20"/>
        <w:adjustRightInd w:val="0"/>
        <w:snapToGrid w:val="0"/>
        <w:ind w:firstLine="480"/>
        <w:rPr>
          <w:rFonts w:cs="宋体"/>
          <w:bCs/>
          <w:sz w:val="24"/>
        </w:rPr>
      </w:pPr>
      <w:r w:rsidRPr="004E7208">
        <w:rPr>
          <w:rFonts w:cs="宋体" w:hint="eastAsia"/>
          <w:bCs/>
          <w:sz w:val="24"/>
        </w:rPr>
        <w:t>（2）设立专门的基金托管部门，具有符合要求的营业场所，配备足够的、合格的熟悉基金托管业务的专职人员，负责基金财产托管事宜；</w:t>
      </w:r>
    </w:p>
    <w:p w14:paraId="43B851CD" w14:textId="77777777" w:rsidR="004E7208" w:rsidRPr="004E7208" w:rsidRDefault="004E7208" w:rsidP="004E7208">
      <w:pPr>
        <w:pStyle w:val="20"/>
        <w:adjustRightInd w:val="0"/>
        <w:snapToGrid w:val="0"/>
        <w:ind w:firstLine="480"/>
        <w:rPr>
          <w:rFonts w:cs="宋体"/>
          <w:bCs/>
          <w:sz w:val="24"/>
        </w:rPr>
      </w:pPr>
      <w:r w:rsidRPr="004E7208">
        <w:rPr>
          <w:rFonts w:cs="宋体" w:hint="eastAsia"/>
          <w:bCs/>
          <w:sz w:val="24"/>
        </w:rPr>
        <w:t>（3）建立健全内部风险控制、监察与稽核、财务管理及人事管理等制度，确保基金财产的安全，保证其托管的基金财产与基金托管人自有财产以及不同的基金财产相互独立；对所托管的不同的基金分别设置账户，独立核算，分账管理，</w:t>
      </w:r>
      <w:r w:rsidRPr="004E7208">
        <w:rPr>
          <w:rFonts w:cs="宋体" w:hint="eastAsia"/>
          <w:bCs/>
          <w:sz w:val="24"/>
        </w:rPr>
        <w:lastRenderedPageBreak/>
        <w:t>保证不同基金之间在账户设置、资金划拨、账册记录等方面相互独立；</w:t>
      </w:r>
    </w:p>
    <w:p w14:paraId="11270203" w14:textId="77777777" w:rsidR="004E7208" w:rsidRPr="004E7208" w:rsidRDefault="004E7208" w:rsidP="004E7208">
      <w:pPr>
        <w:pStyle w:val="20"/>
        <w:adjustRightInd w:val="0"/>
        <w:snapToGrid w:val="0"/>
        <w:ind w:firstLine="480"/>
        <w:rPr>
          <w:rFonts w:cs="宋体"/>
          <w:bCs/>
          <w:sz w:val="24"/>
        </w:rPr>
      </w:pPr>
      <w:r w:rsidRPr="004E7208">
        <w:rPr>
          <w:rFonts w:cs="宋体" w:hint="eastAsia"/>
          <w:bCs/>
          <w:sz w:val="24"/>
        </w:rPr>
        <w:t>（4）除依据《基金法》、基金合同及其他有关规定外，不得利用基金财产为自己及任何第三人谋取利益，不得委托第三人托管基金财产；</w:t>
      </w:r>
    </w:p>
    <w:p w14:paraId="2084ED15" w14:textId="77777777" w:rsidR="004E7208" w:rsidRPr="004E7208" w:rsidRDefault="004E7208" w:rsidP="004E7208">
      <w:pPr>
        <w:pStyle w:val="20"/>
        <w:adjustRightInd w:val="0"/>
        <w:snapToGrid w:val="0"/>
        <w:ind w:firstLine="480"/>
        <w:rPr>
          <w:rFonts w:cs="宋体"/>
          <w:bCs/>
          <w:sz w:val="24"/>
        </w:rPr>
      </w:pPr>
      <w:r w:rsidRPr="004E7208">
        <w:rPr>
          <w:rFonts w:cs="宋体" w:hint="eastAsia"/>
          <w:bCs/>
          <w:sz w:val="24"/>
        </w:rPr>
        <w:t>（5）保管由基金管理人代表基金签订的与基金有关的重大合同及有关凭证；</w:t>
      </w:r>
    </w:p>
    <w:p w14:paraId="2687F6C1" w14:textId="0024A2FE" w:rsidR="004E7208" w:rsidRPr="004E7208" w:rsidRDefault="004E7208" w:rsidP="004E7208">
      <w:pPr>
        <w:pStyle w:val="20"/>
        <w:adjustRightInd w:val="0"/>
        <w:snapToGrid w:val="0"/>
        <w:ind w:firstLine="480"/>
        <w:rPr>
          <w:rFonts w:cs="宋体"/>
          <w:bCs/>
          <w:sz w:val="24"/>
        </w:rPr>
      </w:pPr>
      <w:r w:rsidRPr="004E7208">
        <w:rPr>
          <w:rFonts w:cs="宋体" w:hint="eastAsia"/>
          <w:bCs/>
          <w:sz w:val="24"/>
        </w:rPr>
        <w:t>（6）按规定开设基金财产的资金账户和证券账户等投资所需账户，按照《基金合同》的约定，根据基金管理人的投资指令，及时办理清算、交割事宜；</w:t>
      </w:r>
    </w:p>
    <w:p w14:paraId="4911FF76" w14:textId="57CDF50F" w:rsidR="004E7208" w:rsidRPr="004E7208" w:rsidRDefault="004E7208" w:rsidP="004E7208">
      <w:pPr>
        <w:pStyle w:val="20"/>
        <w:adjustRightInd w:val="0"/>
        <w:snapToGrid w:val="0"/>
        <w:ind w:firstLine="480"/>
        <w:rPr>
          <w:rFonts w:cs="宋体"/>
          <w:bCs/>
          <w:sz w:val="24"/>
        </w:rPr>
      </w:pPr>
      <w:r w:rsidRPr="004E7208">
        <w:rPr>
          <w:rFonts w:cs="宋体" w:hint="eastAsia"/>
          <w:bCs/>
          <w:sz w:val="24"/>
        </w:rPr>
        <w:t>（7）保守基金商业秘密，除《基金法》、基金合同及其他有关法律法规或监管机构另有规定或要求外，在基金信息公开披露前予以保密，不得向他人泄露，</w:t>
      </w:r>
      <w:r w:rsidR="00DD1950" w:rsidRPr="00DD1950">
        <w:rPr>
          <w:rFonts w:cs="宋体" w:hint="eastAsia"/>
          <w:bCs/>
          <w:sz w:val="24"/>
        </w:rPr>
        <w:t>但</w:t>
      </w:r>
      <w:r w:rsidR="00392731">
        <w:rPr>
          <w:rFonts w:cs="宋体" w:hint="eastAsia"/>
          <w:bCs/>
          <w:sz w:val="24"/>
        </w:rPr>
        <w:t>向</w:t>
      </w:r>
      <w:r w:rsidR="00DD1950" w:rsidRPr="00DD1950">
        <w:rPr>
          <w:rFonts w:cs="宋体" w:hint="eastAsia"/>
          <w:bCs/>
          <w:sz w:val="24"/>
        </w:rPr>
        <w:t>监管机构、司法机关</w:t>
      </w:r>
      <w:r w:rsidR="00392731">
        <w:rPr>
          <w:rFonts w:cs="宋体" w:hint="eastAsia"/>
          <w:bCs/>
          <w:sz w:val="24"/>
        </w:rPr>
        <w:t>提供</w:t>
      </w:r>
      <w:r w:rsidR="00DD1950" w:rsidRPr="00DD1950">
        <w:rPr>
          <w:rFonts w:cs="宋体" w:hint="eastAsia"/>
          <w:bCs/>
          <w:sz w:val="24"/>
        </w:rPr>
        <w:t>或因审计、法律等外部专业顾问提供服务而向其提供的情况除外</w:t>
      </w:r>
      <w:r w:rsidRPr="004E7208">
        <w:rPr>
          <w:rFonts w:cs="宋体" w:hint="eastAsia"/>
          <w:bCs/>
          <w:sz w:val="24"/>
        </w:rPr>
        <w:t>；</w:t>
      </w:r>
    </w:p>
    <w:p w14:paraId="5282384B" w14:textId="53DA2194" w:rsidR="004E7208" w:rsidRPr="004E7208" w:rsidRDefault="004E7208" w:rsidP="004E7208">
      <w:pPr>
        <w:pStyle w:val="20"/>
        <w:adjustRightInd w:val="0"/>
        <w:snapToGrid w:val="0"/>
        <w:ind w:firstLine="480"/>
        <w:rPr>
          <w:rFonts w:cs="宋体"/>
          <w:bCs/>
          <w:sz w:val="24"/>
        </w:rPr>
      </w:pPr>
      <w:r w:rsidRPr="004E7208">
        <w:rPr>
          <w:rFonts w:cs="宋体" w:hint="eastAsia"/>
          <w:bCs/>
          <w:sz w:val="24"/>
        </w:rPr>
        <w:t>（8）复核、审查基金管理人计算的基金资产净值、各类基金份额净值、基金份额申购、赎回价格；</w:t>
      </w:r>
    </w:p>
    <w:p w14:paraId="68B67AB2" w14:textId="77777777" w:rsidR="004E7208" w:rsidRPr="004E7208" w:rsidRDefault="004E7208" w:rsidP="004E7208">
      <w:pPr>
        <w:pStyle w:val="20"/>
        <w:adjustRightInd w:val="0"/>
        <w:snapToGrid w:val="0"/>
        <w:ind w:firstLine="480"/>
        <w:rPr>
          <w:rFonts w:cs="宋体"/>
          <w:bCs/>
          <w:sz w:val="24"/>
        </w:rPr>
      </w:pPr>
      <w:r w:rsidRPr="004E7208">
        <w:rPr>
          <w:rFonts w:cs="宋体" w:hint="eastAsia"/>
          <w:bCs/>
          <w:sz w:val="24"/>
        </w:rPr>
        <w:t>（9）办理与基金托管业务活动有关的信息披露事项；</w:t>
      </w:r>
    </w:p>
    <w:p w14:paraId="3B8DFC9E" w14:textId="77777777" w:rsidR="004E7208" w:rsidRPr="004E7208" w:rsidRDefault="004E7208" w:rsidP="004E7208">
      <w:pPr>
        <w:pStyle w:val="20"/>
        <w:adjustRightInd w:val="0"/>
        <w:snapToGrid w:val="0"/>
        <w:ind w:firstLine="480"/>
        <w:rPr>
          <w:rFonts w:cs="宋体"/>
          <w:bCs/>
          <w:sz w:val="24"/>
        </w:rPr>
      </w:pPr>
      <w:r w:rsidRPr="004E7208">
        <w:rPr>
          <w:rFonts w:cs="宋体" w:hint="eastAsia"/>
          <w:bCs/>
          <w:sz w:val="24"/>
        </w:rPr>
        <w:t>（10）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14:paraId="51212033" w14:textId="77777777" w:rsidR="004E7208" w:rsidRPr="004E7208" w:rsidRDefault="004E7208" w:rsidP="004E7208">
      <w:pPr>
        <w:pStyle w:val="20"/>
        <w:adjustRightInd w:val="0"/>
        <w:snapToGrid w:val="0"/>
        <w:ind w:firstLine="480"/>
        <w:rPr>
          <w:rFonts w:cs="宋体"/>
          <w:bCs/>
          <w:sz w:val="24"/>
        </w:rPr>
      </w:pPr>
      <w:r w:rsidRPr="004E7208">
        <w:rPr>
          <w:rFonts w:cs="宋体" w:hint="eastAsia"/>
          <w:bCs/>
          <w:sz w:val="24"/>
        </w:rPr>
        <w:t>（11）保存基金托管业务活动的记录、账册、报表和其他相关资料，保存期限不低于法律法规的规定；</w:t>
      </w:r>
    </w:p>
    <w:p w14:paraId="7EDD2675" w14:textId="22D80B16" w:rsidR="004E7208" w:rsidRPr="004E7208" w:rsidRDefault="004E7208" w:rsidP="004E7208">
      <w:pPr>
        <w:pStyle w:val="20"/>
        <w:adjustRightInd w:val="0"/>
        <w:snapToGrid w:val="0"/>
        <w:ind w:firstLine="480"/>
        <w:rPr>
          <w:rFonts w:cs="宋体"/>
          <w:bCs/>
          <w:sz w:val="24"/>
        </w:rPr>
      </w:pPr>
      <w:r w:rsidRPr="004E7208">
        <w:rPr>
          <w:rFonts w:cs="宋体" w:hint="eastAsia"/>
          <w:bCs/>
          <w:sz w:val="24"/>
        </w:rPr>
        <w:t>（12）</w:t>
      </w:r>
      <w:r w:rsidR="00392731">
        <w:rPr>
          <w:rFonts w:hint="eastAsia"/>
          <w:bCs/>
          <w:sz w:val="24"/>
          <w:szCs w:val="24"/>
        </w:rPr>
        <w:t>从基金管理人或其委托的登记机构处接收并</w:t>
      </w:r>
      <w:r w:rsidR="00DD1950">
        <w:rPr>
          <w:rFonts w:hint="eastAsia"/>
          <w:sz w:val="24"/>
          <w:szCs w:val="24"/>
        </w:rPr>
        <w:t>保存基金份额持有人名册</w:t>
      </w:r>
      <w:r w:rsidRPr="004E7208">
        <w:rPr>
          <w:rFonts w:cs="宋体" w:hint="eastAsia"/>
          <w:bCs/>
          <w:sz w:val="24"/>
        </w:rPr>
        <w:t>，保存期限不低于法律法规的规定；</w:t>
      </w:r>
    </w:p>
    <w:p w14:paraId="05193FDB" w14:textId="77777777" w:rsidR="004E7208" w:rsidRPr="004E7208" w:rsidRDefault="004E7208" w:rsidP="004E7208">
      <w:pPr>
        <w:pStyle w:val="20"/>
        <w:adjustRightInd w:val="0"/>
        <w:snapToGrid w:val="0"/>
        <w:ind w:firstLine="480"/>
        <w:rPr>
          <w:rFonts w:cs="宋体"/>
          <w:bCs/>
          <w:sz w:val="24"/>
        </w:rPr>
      </w:pPr>
      <w:r w:rsidRPr="004E7208">
        <w:rPr>
          <w:rFonts w:cs="宋体" w:hint="eastAsia"/>
          <w:bCs/>
          <w:sz w:val="24"/>
        </w:rPr>
        <w:t>（13）按规定制作相关账册并与基金管理人核对；</w:t>
      </w:r>
    </w:p>
    <w:p w14:paraId="34B37705" w14:textId="77777777" w:rsidR="004E7208" w:rsidRPr="004E7208" w:rsidRDefault="004E7208" w:rsidP="004E7208">
      <w:pPr>
        <w:pStyle w:val="20"/>
        <w:adjustRightInd w:val="0"/>
        <w:snapToGrid w:val="0"/>
        <w:ind w:firstLine="480"/>
        <w:rPr>
          <w:rFonts w:cs="宋体"/>
          <w:bCs/>
          <w:sz w:val="24"/>
        </w:rPr>
      </w:pPr>
      <w:r w:rsidRPr="004E7208">
        <w:rPr>
          <w:rFonts w:cs="宋体" w:hint="eastAsia"/>
          <w:bCs/>
          <w:sz w:val="24"/>
        </w:rPr>
        <w:t>（14）依据基金管理人的指令或有关规定向基金份额持有人支付基金收益和赎回款项；</w:t>
      </w:r>
    </w:p>
    <w:p w14:paraId="63E9D913" w14:textId="77777777" w:rsidR="004E7208" w:rsidRPr="004E7208" w:rsidRDefault="004E7208" w:rsidP="004E7208">
      <w:pPr>
        <w:pStyle w:val="20"/>
        <w:adjustRightInd w:val="0"/>
        <w:snapToGrid w:val="0"/>
        <w:ind w:firstLine="480"/>
        <w:rPr>
          <w:rFonts w:cs="宋体"/>
          <w:bCs/>
          <w:sz w:val="24"/>
        </w:rPr>
      </w:pPr>
      <w:r w:rsidRPr="004E7208">
        <w:rPr>
          <w:rFonts w:cs="宋体" w:hint="eastAsia"/>
          <w:bCs/>
          <w:sz w:val="24"/>
        </w:rPr>
        <w:t>（15）依据《基金法》、基金合同及其他有关规定，召集基金份额持有人大会或配合基金管理人、基金份额持有人依法召集基金份额持有人大会；</w:t>
      </w:r>
    </w:p>
    <w:p w14:paraId="1D399B13" w14:textId="77777777" w:rsidR="004E7208" w:rsidRPr="004E7208" w:rsidRDefault="004E7208" w:rsidP="004E7208">
      <w:pPr>
        <w:pStyle w:val="20"/>
        <w:adjustRightInd w:val="0"/>
        <w:snapToGrid w:val="0"/>
        <w:ind w:firstLine="480"/>
        <w:rPr>
          <w:rFonts w:cs="宋体"/>
          <w:bCs/>
          <w:sz w:val="24"/>
        </w:rPr>
      </w:pPr>
      <w:r w:rsidRPr="004E7208">
        <w:rPr>
          <w:rFonts w:cs="宋体" w:hint="eastAsia"/>
          <w:bCs/>
          <w:sz w:val="24"/>
        </w:rPr>
        <w:t>（16）按照法律法规和基金合同的规定监督基金管理人的投资运作；</w:t>
      </w:r>
    </w:p>
    <w:p w14:paraId="45FEF454" w14:textId="77777777" w:rsidR="004E7208" w:rsidRPr="004E7208" w:rsidRDefault="004E7208" w:rsidP="004E7208">
      <w:pPr>
        <w:pStyle w:val="20"/>
        <w:adjustRightInd w:val="0"/>
        <w:snapToGrid w:val="0"/>
        <w:ind w:firstLine="480"/>
        <w:rPr>
          <w:rFonts w:cs="宋体"/>
          <w:bCs/>
          <w:sz w:val="24"/>
        </w:rPr>
      </w:pPr>
      <w:r w:rsidRPr="004E7208">
        <w:rPr>
          <w:rFonts w:cs="宋体" w:hint="eastAsia"/>
          <w:bCs/>
          <w:sz w:val="24"/>
        </w:rPr>
        <w:t>（17）参加基金财产清算小组，参与基金财产的保管、清理、估价、变现和分配；</w:t>
      </w:r>
    </w:p>
    <w:p w14:paraId="60F01ED8" w14:textId="4E31FC77" w:rsidR="004E7208" w:rsidRPr="004E7208" w:rsidRDefault="004E7208" w:rsidP="004E7208">
      <w:pPr>
        <w:pStyle w:val="20"/>
        <w:adjustRightInd w:val="0"/>
        <w:snapToGrid w:val="0"/>
        <w:ind w:firstLine="480"/>
        <w:rPr>
          <w:rFonts w:cs="宋体"/>
          <w:bCs/>
          <w:sz w:val="24"/>
        </w:rPr>
      </w:pPr>
      <w:r w:rsidRPr="004E7208">
        <w:rPr>
          <w:rFonts w:cs="宋体" w:hint="eastAsia"/>
          <w:bCs/>
          <w:sz w:val="24"/>
        </w:rPr>
        <w:t>（18）面临解散、依法被撤销或者被依法宣告破产时，及时报告中国证监会</w:t>
      </w:r>
      <w:r w:rsidR="005D3801" w:rsidRPr="00C15399">
        <w:rPr>
          <w:rFonts w:hint="eastAsia"/>
          <w:bCs/>
          <w:sz w:val="24"/>
          <w:szCs w:val="24"/>
        </w:rPr>
        <w:lastRenderedPageBreak/>
        <w:t>和银行业监督管理机构</w:t>
      </w:r>
      <w:r w:rsidRPr="004E7208">
        <w:rPr>
          <w:rFonts w:cs="宋体" w:hint="eastAsia"/>
          <w:bCs/>
          <w:sz w:val="24"/>
        </w:rPr>
        <w:t>，并通知基金管理人；</w:t>
      </w:r>
    </w:p>
    <w:p w14:paraId="76DC269F" w14:textId="77777777" w:rsidR="004E7208" w:rsidRPr="004E7208" w:rsidRDefault="004E7208" w:rsidP="004E7208">
      <w:pPr>
        <w:pStyle w:val="20"/>
        <w:adjustRightInd w:val="0"/>
        <w:snapToGrid w:val="0"/>
        <w:ind w:firstLine="480"/>
        <w:rPr>
          <w:rFonts w:cs="宋体"/>
          <w:bCs/>
          <w:sz w:val="24"/>
        </w:rPr>
      </w:pPr>
      <w:r w:rsidRPr="004E7208">
        <w:rPr>
          <w:rFonts w:cs="宋体" w:hint="eastAsia"/>
          <w:bCs/>
          <w:sz w:val="24"/>
        </w:rPr>
        <w:t>（19）因违反基金合同导致基金财产损失时，应承担赔偿责任，其赔偿责任不因其退任而免除；</w:t>
      </w:r>
    </w:p>
    <w:p w14:paraId="76C2A003" w14:textId="77777777" w:rsidR="004E7208" w:rsidRPr="004E7208" w:rsidRDefault="004E7208" w:rsidP="004E7208">
      <w:pPr>
        <w:pStyle w:val="20"/>
        <w:adjustRightInd w:val="0"/>
        <w:snapToGrid w:val="0"/>
        <w:ind w:firstLine="480"/>
        <w:rPr>
          <w:rFonts w:cs="宋体"/>
          <w:bCs/>
          <w:sz w:val="24"/>
        </w:rPr>
      </w:pPr>
      <w:r w:rsidRPr="004E7208">
        <w:rPr>
          <w:rFonts w:cs="宋体" w:hint="eastAsia"/>
          <w:bCs/>
          <w:sz w:val="24"/>
        </w:rPr>
        <w:t>（20）按规定监督基金管理人按法律法规和基金合同规定履行自己的义务，基金管理人因违反基金合同造成基金财产损失时，应为基金份额持有人利益向基金管理人追偿；</w:t>
      </w:r>
    </w:p>
    <w:p w14:paraId="238195D7" w14:textId="77777777" w:rsidR="004E7208" w:rsidRPr="004E7208" w:rsidRDefault="004E7208" w:rsidP="004E7208">
      <w:pPr>
        <w:pStyle w:val="20"/>
        <w:adjustRightInd w:val="0"/>
        <w:snapToGrid w:val="0"/>
        <w:ind w:firstLine="480"/>
        <w:rPr>
          <w:rFonts w:cs="宋体"/>
          <w:bCs/>
          <w:sz w:val="24"/>
        </w:rPr>
      </w:pPr>
      <w:r w:rsidRPr="004E7208">
        <w:rPr>
          <w:rFonts w:cs="宋体" w:hint="eastAsia"/>
          <w:bCs/>
          <w:sz w:val="24"/>
        </w:rPr>
        <w:t>（21）执行生效的基金份额持有人大会的决议；</w:t>
      </w:r>
    </w:p>
    <w:p w14:paraId="3D5E3199" w14:textId="77777777" w:rsidR="004E7208" w:rsidRDefault="004E7208">
      <w:pPr>
        <w:pStyle w:val="20"/>
        <w:adjustRightInd w:val="0"/>
        <w:snapToGrid w:val="0"/>
        <w:ind w:firstLine="480"/>
        <w:rPr>
          <w:rFonts w:cs="宋体"/>
          <w:bCs/>
          <w:sz w:val="24"/>
        </w:rPr>
      </w:pPr>
      <w:r w:rsidRPr="004E7208">
        <w:rPr>
          <w:rFonts w:cs="宋体" w:hint="eastAsia"/>
          <w:bCs/>
          <w:sz w:val="24"/>
        </w:rPr>
        <w:t>（22）法律法规及中国证监会规定的和基金合同约定的其他义务。</w:t>
      </w:r>
    </w:p>
    <w:p w14:paraId="61A181E9" w14:textId="77777777" w:rsidR="00BF4A4E" w:rsidRDefault="00BF4A4E">
      <w:pPr>
        <w:pStyle w:val="20"/>
        <w:adjustRightInd w:val="0"/>
        <w:snapToGrid w:val="0"/>
        <w:ind w:firstLine="480"/>
        <w:rPr>
          <w:rFonts w:cs="宋体"/>
          <w:bCs/>
          <w:sz w:val="24"/>
        </w:rPr>
      </w:pPr>
      <w:r>
        <w:rPr>
          <w:rFonts w:cs="宋体" w:hint="eastAsia"/>
          <w:bCs/>
          <w:sz w:val="24"/>
        </w:rPr>
        <w:t>（三）基金份额持有人的权利和义务</w:t>
      </w:r>
    </w:p>
    <w:p w14:paraId="0C01C4DA" w14:textId="77777777" w:rsidR="004E7208" w:rsidRPr="004E7208" w:rsidRDefault="004E7208" w:rsidP="004E7208">
      <w:pPr>
        <w:pStyle w:val="20"/>
        <w:adjustRightInd w:val="0"/>
        <w:snapToGrid w:val="0"/>
        <w:ind w:firstLine="480"/>
        <w:rPr>
          <w:rFonts w:cs="宋体"/>
          <w:bCs/>
          <w:sz w:val="24"/>
        </w:rPr>
      </w:pPr>
      <w:r w:rsidRPr="004E7208">
        <w:rPr>
          <w:rFonts w:cs="宋体" w:hint="eastAsia"/>
          <w:bCs/>
          <w:sz w:val="24"/>
        </w:rPr>
        <w:t>基金投资人持有本基金基金份额的行为即视为对《基金合同》的承认和接受，基金投资人自依据《基金合同》取得基金份额，即成为本基金基金份额持有人和《基金合同》的当事人，直至其不再持有本基金基金份额。基金份额持有人作为《基金合同》当事人并不以在《基金合同》上书面签章或签字为必要条件。</w:t>
      </w:r>
    </w:p>
    <w:p w14:paraId="3AE9A6AD" w14:textId="133F1B91" w:rsidR="004E7208" w:rsidRPr="004E7208" w:rsidRDefault="004E7208" w:rsidP="004E7208">
      <w:pPr>
        <w:pStyle w:val="20"/>
        <w:adjustRightInd w:val="0"/>
        <w:snapToGrid w:val="0"/>
        <w:ind w:firstLine="480"/>
        <w:rPr>
          <w:rFonts w:cs="宋体"/>
          <w:bCs/>
          <w:sz w:val="24"/>
        </w:rPr>
      </w:pPr>
      <w:r w:rsidRPr="004E7208">
        <w:rPr>
          <w:rFonts w:cs="宋体" w:hint="eastAsia"/>
          <w:bCs/>
          <w:sz w:val="24"/>
        </w:rPr>
        <w:t>除法律法规另有规定或基金合同另有约定外，本基金同一类别每份基金份额具有同等的合法权益。本基金A类基金份额</w:t>
      </w:r>
      <w:r w:rsidR="00392731">
        <w:rPr>
          <w:rFonts w:cs="宋体" w:hint="eastAsia"/>
          <w:bCs/>
          <w:sz w:val="24"/>
        </w:rPr>
        <w:t>与</w:t>
      </w:r>
      <w:r w:rsidRPr="004E7208">
        <w:rPr>
          <w:rFonts w:cs="宋体" w:hint="eastAsia"/>
          <w:bCs/>
          <w:sz w:val="24"/>
        </w:rPr>
        <w:t>C类基金份额由于基金份额净值的不同，基金收益分配的金额以及参与清算后的剩余基金财产分配的</w:t>
      </w:r>
      <w:r w:rsidR="00C22320">
        <w:rPr>
          <w:rFonts w:cs="宋体" w:hint="eastAsia"/>
          <w:bCs/>
          <w:sz w:val="24"/>
        </w:rPr>
        <w:t>数量</w:t>
      </w:r>
      <w:r w:rsidRPr="004E7208">
        <w:rPr>
          <w:rFonts w:cs="宋体" w:hint="eastAsia"/>
          <w:bCs/>
          <w:sz w:val="24"/>
        </w:rPr>
        <w:t>将可能有所不同。</w:t>
      </w:r>
    </w:p>
    <w:p w14:paraId="30AC1FA1" w14:textId="77777777" w:rsidR="004E7208" w:rsidRPr="004E7208" w:rsidRDefault="004E7208" w:rsidP="004E7208">
      <w:pPr>
        <w:pStyle w:val="20"/>
        <w:adjustRightInd w:val="0"/>
        <w:snapToGrid w:val="0"/>
        <w:ind w:firstLine="480"/>
        <w:rPr>
          <w:rFonts w:cs="宋体"/>
          <w:bCs/>
          <w:sz w:val="24"/>
        </w:rPr>
      </w:pPr>
      <w:r w:rsidRPr="004E7208">
        <w:rPr>
          <w:rFonts w:cs="宋体" w:hint="eastAsia"/>
          <w:bCs/>
          <w:sz w:val="24"/>
        </w:rPr>
        <w:t>1、根据《基金法》、《运作办法》及其他有关规定，基金份额持有人的权利包括但不限于：</w:t>
      </w:r>
    </w:p>
    <w:p w14:paraId="564622BA" w14:textId="77777777" w:rsidR="004E7208" w:rsidRPr="004E7208" w:rsidRDefault="004E7208" w:rsidP="004E7208">
      <w:pPr>
        <w:pStyle w:val="20"/>
        <w:adjustRightInd w:val="0"/>
        <w:snapToGrid w:val="0"/>
        <w:ind w:firstLine="480"/>
        <w:rPr>
          <w:rFonts w:cs="宋体"/>
          <w:bCs/>
          <w:sz w:val="24"/>
        </w:rPr>
      </w:pPr>
      <w:r w:rsidRPr="004E7208">
        <w:rPr>
          <w:rFonts w:cs="宋体" w:hint="eastAsia"/>
          <w:bCs/>
          <w:sz w:val="24"/>
        </w:rPr>
        <w:t>（1）分享基金财产收益；</w:t>
      </w:r>
    </w:p>
    <w:p w14:paraId="5BAF1F19" w14:textId="77777777" w:rsidR="004E7208" w:rsidRPr="004E7208" w:rsidRDefault="004E7208" w:rsidP="004E7208">
      <w:pPr>
        <w:pStyle w:val="20"/>
        <w:adjustRightInd w:val="0"/>
        <w:snapToGrid w:val="0"/>
        <w:ind w:firstLine="480"/>
        <w:rPr>
          <w:rFonts w:cs="宋体"/>
          <w:bCs/>
          <w:sz w:val="24"/>
        </w:rPr>
      </w:pPr>
      <w:r w:rsidRPr="004E7208">
        <w:rPr>
          <w:rFonts w:cs="宋体" w:hint="eastAsia"/>
          <w:bCs/>
          <w:sz w:val="24"/>
        </w:rPr>
        <w:t>（2）参与分配清算后的剩余基金财产；</w:t>
      </w:r>
    </w:p>
    <w:p w14:paraId="6848E0A4" w14:textId="77777777" w:rsidR="004E7208" w:rsidRPr="004E7208" w:rsidRDefault="004E7208" w:rsidP="004E7208">
      <w:pPr>
        <w:pStyle w:val="20"/>
        <w:adjustRightInd w:val="0"/>
        <w:snapToGrid w:val="0"/>
        <w:ind w:firstLine="480"/>
        <w:rPr>
          <w:rFonts w:cs="宋体"/>
          <w:bCs/>
          <w:sz w:val="24"/>
        </w:rPr>
      </w:pPr>
      <w:r w:rsidRPr="004E7208">
        <w:rPr>
          <w:rFonts w:cs="宋体" w:hint="eastAsia"/>
          <w:bCs/>
          <w:sz w:val="24"/>
        </w:rPr>
        <w:t>（3）依法转让或者申请赎回其持有的基金份额；</w:t>
      </w:r>
    </w:p>
    <w:p w14:paraId="4EDED642" w14:textId="77777777" w:rsidR="004E7208" w:rsidRPr="004E7208" w:rsidRDefault="004E7208" w:rsidP="004E7208">
      <w:pPr>
        <w:pStyle w:val="20"/>
        <w:adjustRightInd w:val="0"/>
        <w:snapToGrid w:val="0"/>
        <w:ind w:firstLine="480"/>
        <w:rPr>
          <w:rFonts w:cs="宋体"/>
          <w:bCs/>
          <w:sz w:val="24"/>
        </w:rPr>
      </w:pPr>
      <w:r w:rsidRPr="004E7208">
        <w:rPr>
          <w:rFonts w:cs="宋体" w:hint="eastAsia"/>
          <w:bCs/>
          <w:sz w:val="24"/>
        </w:rPr>
        <w:t>（4）按照规定要求召开基金份额持有人大会或者召集基金份额持有人大会；</w:t>
      </w:r>
    </w:p>
    <w:p w14:paraId="55CE8448" w14:textId="53B36540" w:rsidR="004E7208" w:rsidRPr="004E7208" w:rsidRDefault="004E7208" w:rsidP="004E7208">
      <w:pPr>
        <w:pStyle w:val="20"/>
        <w:adjustRightInd w:val="0"/>
        <w:snapToGrid w:val="0"/>
        <w:ind w:firstLine="480"/>
        <w:rPr>
          <w:rFonts w:cs="宋体"/>
          <w:bCs/>
          <w:sz w:val="24"/>
        </w:rPr>
      </w:pPr>
      <w:r w:rsidRPr="004E7208">
        <w:rPr>
          <w:rFonts w:cs="宋体" w:hint="eastAsia"/>
          <w:bCs/>
          <w:sz w:val="24"/>
        </w:rPr>
        <w:t>（5）出席或者委派代表出席基金份额持有人大会，对基金份额持有人大会审议事项行使表决权；出席或者委派代表出席目标ETF基金份额持有人大会，对目标ETF基金份额持有人大会审议事项行使表决权</w:t>
      </w:r>
      <w:r w:rsidR="00FE7CB4">
        <w:rPr>
          <w:rFonts w:cs="宋体" w:hint="eastAsia"/>
          <w:bCs/>
          <w:sz w:val="24"/>
        </w:rPr>
        <w:t>；</w:t>
      </w:r>
    </w:p>
    <w:p w14:paraId="6EB5A3FB" w14:textId="77777777" w:rsidR="004E7208" w:rsidRPr="004E7208" w:rsidRDefault="004E7208" w:rsidP="004E7208">
      <w:pPr>
        <w:pStyle w:val="20"/>
        <w:adjustRightInd w:val="0"/>
        <w:snapToGrid w:val="0"/>
        <w:ind w:firstLine="480"/>
        <w:rPr>
          <w:rFonts w:cs="宋体"/>
          <w:bCs/>
          <w:sz w:val="24"/>
        </w:rPr>
      </w:pPr>
      <w:r w:rsidRPr="004E7208">
        <w:rPr>
          <w:rFonts w:cs="宋体" w:hint="eastAsia"/>
          <w:bCs/>
          <w:sz w:val="24"/>
        </w:rPr>
        <w:t>（6）查阅或者复制公开披露的基金信息资料；</w:t>
      </w:r>
    </w:p>
    <w:p w14:paraId="4960CE9E" w14:textId="77777777" w:rsidR="004E7208" w:rsidRPr="004E7208" w:rsidRDefault="004E7208" w:rsidP="004E7208">
      <w:pPr>
        <w:pStyle w:val="20"/>
        <w:adjustRightInd w:val="0"/>
        <w:snapToGrid w:val="0"/>
        <w:ind w:firstLine="480"/>
        <w:rPr>
          <w:rFonts w:cs="宋体"/>
          <w:bCs/>
          <w:sz w:val="24"/>
        </w:rPr>
      </w:pPr>
      <w:r w:rsidRPr="004E7208">
        <w:rPr>
          <w:rFonts w:cs="宋体" w:hint="eastAsia"/>
          <w:bCs/>
          <w:sz w:val="24"/>
        </w:rPr>
        <w:t>（7）监督基金管理人的投资运作；</w:t>
      </w:r>
    </w:p>
    <w:p w14:paraId="21E355BF" w14:textId="77777777" w:rsidR="004E7208" w:rsidRPr="004E7208" w:rsidRDefault="004E7208" w:rsidP="004E7208">
      <w:pPr>
        <w:pStyle w:val="20"/>
        <w:adjustRightInd w:val="0"/>
        <w:snapToGrid w:val="0"/>
        <w:ind w:firstLine="480"/>
        <w:rPr>
          <w:rFonts w:cs="宋体"/>
          <w:bCs/>
          <w:sz w:val="24"/>
        </w:rPr>
      </w:pPr>
      <w:r w:rsidRPr="004E7208">
        <w:rPr>
          <w:rFonts w:cs="宋体" w:hint="eastAsia"/>
          <w:bCs/>
          <w:sz w:val="24"/>
        </w:rPr>
        <w:t>（8）对基金管理人、基金托管人、基金服务机构损害其合法权益的行为依法提起诉讼或仲裁；</w:t>
      </w:r>
    </w:p>
    <w:p w14:paraId="295D4BC4" w14:textId="77777777" w:rsidR="004E7208" w:rsidRPr="004E7208" w:rsidRDefault="004E7208" w:rsidP="004E7208">
      <w:pPr>
        <w:pStyle w:val="20"/>
        <w:adjustRightInd w:val="0"/>
        <w:snapToGrid w:val="0"/>
        <w:ind w:firstLine="480"/>
        <w:rPr>
          <w:rFonts w:cs="宋体"/>
          <w:bCs/>
          <w:sz w:val="24"/>
        </w:rPr>
      </w:pPr>
      <w:r w:rsidRPr="004E7208">
        <w:rPr>
          <w:rFonts w:cs="宋体" w:hint="eastAsia"/>
          <w:bCs/>
          <w:sz w:val="24"/>
        </w:rPr>
        <w:lastRenderedPageBreak/>
        <w:t>（9）法律法规及中国证监会规定的和《基金合同》约定的其他权利。</w:t>
      </w:r>
    </w:p>
    <w:p w14:paraId="7B306DB3" w14:textId="77777777" w:rsidR="004E7208" w:rsidRPr="004E7208" w:rsidRDefault="004E7208" w:rsidP="004E7208">
      <w:pPr>
        <w:pStyle w:val="20"/>
        <w:adjustRightInd w:val="0"/>
        <w:snapToGrid w:val="0"/>
        <w:ind w:firstLine="480"/>
        <w:rPr>
          <w:rFonts w:cs="宋体"/>
          <w:bCs/>
          <w:sz w:val="24"/>
        </w:rPr>
      </w:pPr>
      <w:r w:rsidRPr="004E7208">
        <w:rPr>
          <w:rFonts w:cs="宋体" w:hint="eastAsia"/>
          <w:bCs/>
          <w:sz w:val="24"/>
        </w:rPr>
        <w:t>2、根据《基金法》、《运作办法》及其他有关规定，基金份额持有人的义务包括但不限于：</w:t>
      </w:r>
    </w:p>
    <w:p w14:paraId="0BED6185" w14:textId="57B354E6" w:rsidR="004E7208" w:rsidRPr="004E7208" w:rsidRDefault="004E7208" w:rsidP="004E7208">
      <w:pPr>
        <w:pStyle w:val="20"/>
        <w:adjustRightInd w:val="0"/>
        <w:snapToGrid w:val="0"/>
        <w:ind w:firstLine="480"/>
        <w:rPr>
          <w:rFonts w:cs="宋体"/>
          <w:bCs/>
          <w:sz w:val="24"/>
        </w:rPr>
      </w:pPr>
      <w:r w:rsidRPr="004E7208">
        <w:rPr>
          <w:rFonts w:cs="宋体" w:hint="eastAsia"/>
          <w:bCs/>
          <w:sz w:val="24"/>
        </w:rPr>
        <w:t>（1）认真阅读并遵守基金合同、招募说明书</w:t>
      </w:r>
      <w:r w:rsidR="00AD60FE" w:rsidRPr="00AD60FE">
        <w:rPr>
          <w:rFonts w:cs="宋体" w:hint="eastAsia"/>
          <w:bCs/>
          <w:sz w:val="24"/>
        </w:rPr>
        <w:t>、基金产品资料概要</w:t>
      </w:r>
      <w:r w:rsidRPr="004E7208">
        <w:rPr>
          <w:rFonts w:cs="宋体" w:hint="eastAsia"/>
          <w:bCs/>
          <w:sz w:val="24"/>
        </w:rPr>
        <w:t>等信息披露文件；</w:t>
      </w:r>
    </w:p>
    <w:p w14:paraId="2CC2D79A" w14:textId="77777777" w:rsidR="004E7208" w:rsidRPr="004E7208" w:rsidRDefault="004E7208" w:rsidP="004E7208">
      <w:pPr>
        <w:pStyle w:val="20"/>
        <w:adjustRightInd w:val="0"/>
        <w:snapToGrid w:val="0"/>
        <w:ind w:firstLine="480"/>
        <w:rPr>
          <w:rFonts w:cs="宋体"/>
          <w:bCs/>
          <w:sz w:val="24"/>
        </w:rPr>
      </w:pPr>
      <w:r w:rsidRPr="004E7208">
        <w:rPr>
          <w:rFonts w:cs="宋体" w:hint="eastAsia"/>
          <w:bCs/>
          <w:sz w:val="24"/>
        </w:rPr>
        <w:t>（2）了解所投资基金产品，了解自身风险承受能力，自主判断基金的投资价值，自主做出投资决策，自行承担投资风险；</w:t>
      </w:r>
    </w:p>
    <w:p w14:paraId="49D5EFD5" w14:textId="77777777" w:rsidR="004E7208" w:rsidRPr="004E7208" w:rsidRDefault="004E7208" w:rsidP="004E7208">
      <w:pPr>
        <w:pStyle w:val="20"/>
        <w:adjustRightInd w:val="0"/>
        <w:snapToGrid w:val="0"/>
        <w:ind w:firstLine="480"/>
        <w:rPr>
          <w:rFonts w:cs="宋体"/>
          <w:bCs/>
          <w:sz w:val="24"/>
        </w:rPr>
      </w:pPr>
      <w:r w:rsidRPr="004E7208">
        <w:rPr>
          <w:rFonts w:cs="宋体" w:hint="eastAsia"/>
          <w:bCs/>
          <w:sz w:val="24"/>
        </w:rPr>
        <w:t>（3）关注基金信息披露，及时行使权利和履行义务；</w:t>
      </w:r>
    </w:p>
    <w:p w14:paraId="2F5EA3C2" w14:textId="77777777" w:rsidR="004E7208" w:rsidRPr="004E7208" w:rsidRDefault="004E7208" w:rsidP="004E7208">
      <w:pPr>
        <w:pStyle w:val="20"/>
        <w:adjustRightInd w:val="0"/>
        <w:snapToGrid w:val="0"/>
        <w:ind w:firstLine="480"/>
        <w:rPr>
          <w:rFonts w:cs="宋体"/>
          <w:bCs/>
          <w:sz w:val="24"/>
        </w:rPr>
      </w:pPr>
      <w:r w:rsidRPr="004E7208">
        <w:rPr>
          <w:rFonts w:cs="宋体" w:hint="eastAsia"/>
          <w:bCs/>
          <w:sz w:val="24"/>
        </w:rPr>
        <w:t>（4）交纳基金认购、申购款项及法律法规和基金合同所规定的费用；</w:t>
      </w:r>
    </w:p>
    <w:p w14:paraId="5CBD1A19" w14:textId="77777777" w:rsidR="004E7208" w:rsidRPr="004E7208" w:rsidRDefault="004E7208" w:rsidP="004E7208">
      <w:pPr>
        <w:pStyle w:val="20"/>
        <w:adjustRightInd w:val="0"/>
        <w:snapToGrid w:val="0"/>
        <w:ind w:firstLine="480"/>
        <w:rPr>
          <w:rFonts w:cs="宋体"/>
          <w:bCs/>
          <w:sz w:val="24"/>
        </w:rPr>
      </w:pPr>
      <w:r w:rsidRPr="004E7208">
        <w:rPr>
          <w:rFonts w:cs="宋体" w:hint="eastAsia"/>
          <w:bCs/>
          <w:sz w:val="24"/>
        </w:rPr>
        <w:t>（5）在其持有的基金份额范围内，承担基金亏损或者基金合同终止的有限责任；</w:t>
      </w:r>
    </w:p>
    <w:p w14:paraId="5D9F1C01" w14:textId="77777777" w:rsidR="004E7208" w:rsidRPr="004E7208" w:rsidRDefault="004E7208" w:rsidP="004E7208">
      <w:pPr>
        <w:pStyle w:val="20"/>
        <w:adjustRightInd w:val="0"/>
        <w:snapToGrid w:val="0"/>
        <w:ind w:firstLine="480"/>
        <w:rPr>
          <w:rFonts w:cs="宋体"/>
          <w:bCs/>
          <w:sz w:val="24"/>
        </w:rPr>
      </w:pPr>
      <w:r w:rsidRPr="004E7208">
        <w:rPr>
          <w:rFonts w:cs="宋体" w:hint="eastAsia"/>
          <w:bCs/>
          <w:sz w:val="24"/>
        </w:rPr>
        <w:t>（6）不从事任何有损基金及其他《基金合同》当事人合法权益的活动；</w:t>
      </w:r>
    </w:p>
    <w:p w14:paraId="3C0233EC" w14:textId="77777777" w:rsidR="004E7208" w:rsidRPr="004E7208" w:rsidRDefault="004E7208" w:rsidP="004E7208">
      <w:pPr>
        <w:pStyle w:val="20"/>
        <w:adjustRightInd w:val="0"/>
        <w:snapToGrid w:val="0"/>
        <w:ind w:firstLine="480"/>
        <w:rPr>
          <w:rFonts w:cs="宋体"/>
          <w:bCs/>
          <w:sz w:val="24"/>
        </w:rPr>
      </w:pPr>
      <w:r w:rsidRPr="004E7208">
        <w:rPr>
          <w:rFonts w:cs="宋体" w:hint="eastAsia"/>
          <w:bCs/>
          <w:sz w:val="24"/>
        </w:rPr>
        <w:t>（7）执行生效的基金份额持有人大会的决议；</w:t>
      </w:r>
    </w:p>
    <w:p w14:paraId="3B8EAB3E" w14:textId="77777777" w:rsidR="004E7208" w:rsidRPr="004E7208" w:rsidRDefault="004E7208" w:rsidP="004E7208">
      <w:pPr>
        <w:pStyle w:val="20"/>
        <w:adjustRightInd w:val="0"/>
        <w:snapToGrid w:val="0"/>
        <w:ind w:firstLine="480"/>
        <w:rPr>
          <w:rFonts w:cs="宋体"/>
          <w:bCs/>
          <w:sz w:val="24"/>
        </w:rPr>
      </w:pPr>
      <w:r w:rsidRPr="004E7208">
        <w:rPr>
          <w:rFonts w:cs="宋体" w:hint="eastAsia"/>
          <w:bCs/>
          <w:sz w:val="24"/>
        </w:rPr>
        <w:t>（8）返还在基金交易过程中因任何原因获得的不当得利；</w:t>
      </w:r>
    </w:p>
    <w:p w14:paraId="6B4C4070" w14:textId="77777777" w:rsidR="004E7208" w:rsidRPr="004E7208" w:rsidRDefault="004E7208" w:rsidP="004E7208">
      <w:pPr>
        <w:pStyle w:val="20"/>
        <w:adjustRightInd w:val="0"/>
        <w:snapToGrid w:val="0"/>
        <w:ind w:firstLine="480"/>
        <w:rPr>
          <w:rFonts w:cs="宋体"/>
          <w:bCs/>
          <w:sz w:val="24"/>
        </w:rPr>
      </w:pPr>
      <w:r w:rsidRPr="004E7208">
        <w:rPr>
          <w:rFonts w:cs="宋体" w:hint="eastAsia"/>
          <w:bCs/>
          <w:sz w:val="24"/>
        </w:rPr>
        <w:t>（9）向基金管理人和监管机构提供依法要求提供的信息，以及不时的更新和补充，并保证其真实性；</w:t>
      </w:r>
    </w:p>
    <w:p w14:paraId="6750FD80" w14:textId="77777777" w:rsidR="004E7208" w:rsidRPr="004E7208" w:rsidRDefault="004E7208" w:rsidP="004E7208">
      <w:pPr>
        <w:pStyle w:val="20"/>
        <w:adjustRightInd w:val="0"/>
        <w:snapToGrid w:val="0"/>
        <w:ind w:firstLine="480"/>
        <w:rPr>
          <w:rFonts w:cs="宋体"/>
          <w:bCs/>
          <w:sz w:val="24"/>
        </w:rPr>
      </w:pPr>
      <w:r w:rsidRPr="004E7208">
        <w:rPr>
          <w:rFonts w:cs="宋体" w:hint="eastAsia"/>
          <w:bCs/>
          <w:sz w:val="24"/>
        </w:rPr>
        <w:t>（10）遵守基金管理人、基金托管人、销售机构和登记机构的相关交易及业务规则；</w:t>
      </w:r>
    </w:p>
    <w:p w14:paraId="2919F83C" w14:textId="77777777" w:rsidR="00A37F12" w:rsidRPr="00A37F12" w:rsidRDefault="004E7208" w:rsidP="00A37F12">
      <w:pPr>
        <w:pStyle w:val="20"/>
        <w:adjustRightInd w:val="0"/>
        <w:snapToGrid w:val="0"/>
        <w:ind w:firstLine="480"/>
        <w:rPr>
          <w:rFonts w:cs="宋体"/>
          <w:bCs/>
          <w:sz w:val="24"/>
        </w:rPr>
      </w:pPr>
      <w:r w:rsidRPr="004E7208">
        <w:rPr>
          <w:rFonts w:cs="宋体" w:hint="eastAsia"/>
          <w:bCs/>
          <w:sz w:val="24"/>
        </w:rPr>
        <w:t>（11）</w:t>
      </w:r>
      <w:r w:rsidR="00A37F12" w:rsidRPr="00A37F12">
        <w:rPr>
          <w:rFonts w:cs="宋体" w:hint="eastAsia"/>
          <w:bCs/>
          <w:sz w:val="24"/>
        </w:rPr>
        <w:t>遵守中华人民共和国反洗钱法律法规，配合基金管理人、基金托管人履行反洗钱职责；</w:t>
      </w:r>
    </w:p>
    <w:p w14:paraId="576E449F" w14:textId="77777777" w:rsidR="00B73EEB" w:rsidRDefault="00A37F12" w:rsidP="00A30C3C">
      <w:pPr>
        <w:pStyle w:val="20"/>
        <w:adjustRightInd w:val="0"/>
        <w:snapToGrid w:val="0"/>
        <w:ind w:firstLine="480"/>
        <w:rPr>
          <w:bCs/>
          <w:sz w:val="24"/>
          <w:szCs w:val="24"/>
        </w:rPr>
      </w:pPr>
      <w:r w:rsidRPr="00A37F12">
        <w:rPr>
          <w:rFonts w:cs="宋体" w:hint="eastAsia"/>
          <w:bCs/>
          <w:sz w:val="24"/>
        </w:rPr>
        <w:t>（12）</w:t>
      </w:r>
      <w:r w:rsidR="00B73EEB">
        <w:rPr>
          <w:rFonts w:hint="eastAsia"/>
          <w:bCs/>
          <w:sz w:val="24"/>
          <w:szCs w:val="24"/>
        </w:rPr>
        <w:t>基金份额持有人同意基金管理人配合基金托管人履行反洗钱义务向基金托管人提供投资者身份信息；</w:t>
      </w:r>
    </w:p>
    <w:p w14:paraId="46F83E0A" w14:textId="6E02009F" w:rsidR="006A4F12" w:rsidRDefault="00B73EEB" w:rsidP="00A30C3C">
      <w:pPr>
        <w:pStyle w:val="20"/>
        <w:adjustRightInd w:val="0"/>
        <w:snapToGrid w:val="0"/>
        <w:ind w:firstLine="480"/>
        <w:rPr>
          <w:bCs/>
          <w:sz w:val="24"/>
          <w:szCs w:val="24"/>
        </w:rPr>
      </w:pPr>
      <w:r>
        <w:rPr>
          <w:rFonts w:hint="eastAsia"/>
          <w:bCs/>
          <w:sz w:val="24"/>
          <w:szCs w:val="24"/>
        </w:rPr>
        <w:t>（1</w:t>
      </w:r>
      <w:r>
        <w:rPr>
          <w:bCs/>
          <w:sz w:val="24"/>
          <w:szCs w:val="24"/>
        </w:rPr>
        <w:t>3</w:t>
      </w:r>
      <w:r>
        <w:rPr>
          <w:rFonts w:hint="eastAsia"/>
          <w:bCs/>
          <w:sz w:val="24"/>
          <w:szCs w:val="24"/>
        </w:rPr>
        <w:t>）</w:t>
      </w:r>
      <w:r w:rsidR="006A4F12">
        <w:rPr>
          <w:rFonts w:hint="eastAsia"/>
          <w:bCs/>
          <w:sz w:val="24"/>
          <w:szCs w:val="24"/>
        </w:rPr>
        <w:t>发起资金提供方持有认购的基金份额自基金合同生效之日起不少于3年；</w:t>
      </w:r>
    </w:p>
    <w:p w14:paraId="6454DC61" w14:textId="7711385A" w:rsidR="004E7208" w:rsidRDefault="006A4F12" w:rsidP="00A37F12">
      <w:pPr>
        <w:pStyle w:val="20"/>
        <w:adjustRightInd w:val="0"/>
        <w:snapToGrid w:val="0"/>
        <w:ind w:firstLine="480"/>
        <w:rPr>
          <w:rFonts w:cs="宋体"/>
          <w:bCs/>
          <w:sz w:val="24"/>
        </w:rPr>
      </w:pPr>
      <w:r>
        <w:rPr>
          <w:bCs/>
          <w:sz w:val="24"/>
          <w:szCs w:val="24"/>
        </w:rPr>
        <w:t>（</w:t>
      </w:r>
      <w:r w:rsidR="006570FA">
        <w:rPr>
          <w:rFonts w:hint="eastAsia"/>
          <w:bCs/>
          <w:sz w:val="24"/>
          <w:szCs w:val="24"/>
        </w:rPr>
        <w:t>1</w:t>
      </w:r>
      <w:r w:rsidR="00B73EEB">
        <w:rPr>
          <w:bCs/>
          <w:sz w:val="24"/>
          <w:szCs w:val="24"/>
        </w:rPr>
        <w:t>4</w:t>
      </w:r>
      <w:r>
        <w:rPr>
          <w:bCs/>
          <w:sz w:val="24"/>
          <w:szCs w:val="24"/>
        </w:rPr>
        <w:t>）</w:t>
      </w:r>
      <w:r w:rsidR="004E7208" w:rsidRPr="004E7208">
        <w:rPr>
          <w:rFonts w:cs="宋体" w:hint="eastAsia"/>
          <w:bCs/>
          <w:sz w:val="24"/>
        </w:rPr>
        <w:t>法律法规及中国证监会规定的和基金合同约定的其他义务。</w:t>
      </w:r>
    </w:p>
    <w:p w14:paraId="6C341D4F" w14:textId="1E35DB26" w:rsidR="00F16070" w:rsidRDefault="00F16070" w:rsidP="00A37F12">
      <w:pPr>
        <w:pStyle w:val="20"/>
        <w:adjustRightInd w:val="0"/>
        <w:snapToGrid w:val="0"/>
        <w:ind w:firstLine="480"/>
        <w:rPr>
          <w:rFonts w:cs="宋体"/>
          <w:bCs/>
          <w:sz w:val="24"/>
        </w:rPr>
      </w:pPr>
      <w:r>
        <w:rPr>
          <w:rFonts w:cs="宋体" w:hint="eastAsia"/>
          <w:bCs/>
          <w:sz w:val="24"/>
        </w:rPr>
        <w:t>（</w:t>
      </w:r>
      <w:r w:rsidRPr="00F16070">
        <w:rPr>
          <w:rFonts w:cs="宋体" w:hint="eastAsia"/>
          <w:bCs/>
          <w:sz w:val="24"/>
        </w:rPr>
        <w:t>四</w:t>
      </w:r>
      <w:r>
        <w:rPr>
          <w:rFonts w:cs="宋体" w:hint="eastAsia"/>
          <w:bCs/>
          <w:sz w:val="24"/>
        </w:rPr>
        <w:t>）</w:t>
      </w:r>
      <w:r w:rsidRPr="00F16070">
        <w:rPr>
          <w:rFonts w:cs="宋体" w:hint="eastAsia"/>
          <w:bCs/>
          <w:sz w:val="24"/>
        </w:rPr>
        <w:t>基金管理人、基金托管人简况涉及基本信息更新的，将在招募说明书更新中公告，基金管理人、基金托管人简况以招募说明书更新中披露的信息为准。</w:t>
      </w:r>
    </w:p>
    <w:p w14:paraId="26975320" w14:textId="77777777" w:rsidR="00BF4A4E" w:rsidRDefault="00BF4A4E">
      <w:pPr>
        <w:pStyle w:val="20"/>
        <w:adjustRightInd w:val="0"/>
        <w:snapToGrid w:val="0"/>
        <w:ind w:firstLine="480"/>
        <w:rPr>
          <w:rFonts w:cs="宋体"/>
          <w:bCs/>
          <w:sz w:val="24"/>
        </w:rPr>
      </w:pPr>
      <w:r>
        <w:rPr>
          <w:rFonts w:cs="宋体" w:hint="eastAsia"/>
          <w:bCs/>
          <w:sz w:val="24"/>
        </w:rPr>
        <w:t>二、基金份额持有人大会召集、议事及表决的程序和规则</w:t>
      </w:r>
    </w:p>
    <w:p w14:paraId="165CBCF5" w14:textId="77777777" w:rsidR="00735085" w:rsidRPr="00735085" w:rsidRDefault="00735085" w:rsidP="00735085">
      <w:pPr>
        <w:pStyle w:val="20"/>
        <w:adjustRightInd w:val="0"/>
        <w:snapToGrid w:val="0"/>
        <w:ind w:firstLine="480"/>
        <w:rPr>
          <w:rFonts w:cs="宋体"/>
          <w:bCs/>
          <w:sz w:val="24"/>
        </w:rPr>
      </w:pPr>
      <w:r w:rsidRPr="00735085">
        <w:rPr>
          <w:rFonts w:cs="宋体" w:hint="eastAsia"/>
          <w:bCs/>
          <w:sz w:val="24"/>
        </w:rPr>
        <w:t>基金份额持有人大会由基金份额持有人组成，基金份额持有人的合法授权代表有权代表基金份额持有人出席会议并表决。除法律法规另有规定或基金合同另</w:t>
      </w:r>
      <w:r w:rsidRPr="00735085">
        <w:rPr>
          <w:rFonts w:cs="宋体" w:hint="eastAsia"/>
          <w:bCs/>
          <w:sz w:val="24"/>
        </w:rPr>
        <w:lastRenderedPageBreak/>
        <w:t>有约定外，基金份额持有人持有的每一基金份额拥有平等的投票权。</w:t>
      </w:r>
    </w:p>
    <w:p w14:paraId="7EC9BDAB" w14:textId="2D6549F2" w:rsidR="00735085" w:rsidRPr="00735085" w:rsidRDefault="00735085" w:rsidP="00735085">
      <w:pPr>
        <w:pStyle w:val="20"/>
        <w:adjustRightInd w:val="0"/>
        <w:snapToGrid w:val="0"/>
        <w:ind w:firstLine="480"/>
        <w:rPr>
          <w:rFonts w:cs="宋体"/>
          <w:bCs/>
          <w:sz w:val="24"/>
        </w:rPr>
      </w:pPr>
      <w:r w:rsidRPr="00735085">
        <w:rPr>
          <w:rFonts w:cs="宋体" w:hint="eastAsia"/>
          <w:bCs/>
          <w:sz w:val="24"/>
        </w:rPr>
        <w:t>鉴于本基金是目标ETF的联接基金，本基金的基金份额持有人可以凭所持有的本基金基金份额直接出席或者委派代表出席目标ETF基金份额持有人大会并参与表决。在计算参会份额和票数时，本基金的基金份额持有人持有的享有表决权的参会份额数和表决票数为：在目标ETF基金份额持有人大会的权益登记日，本基金持有目标ETF基金份额的总数乘以该基金份额持有人所持有的本基金基金份额占本基金总份额的比例，计算结果按照四舍五入的方法，保留到整数位。</w:t>
      </w:r>
      <w:r w:rsidR="0021326C" w:rsidRPr="0021326C">
        <w:rPr>
          <w:rFonts w:cs="宋体" w:hint="eastAsia"/>
          <w:bCs/>
          <w:sz w:val="24"/>
        </w:rPr>
        <w:t>本基金基金份额折算为目标ETF后的每一参会份额和目标ETF的每一参会份额拥有平等的投票权。</w:t>
      </w:r>
    </w:p>
    <w:p w14:paraId="1C7E51F1" w14:textId="77777777" w:rsidR="00735085" w:rsidRPr="00735085" w:rsidRDefault="00735085" w:rsidP="00735085">
      <w:pPr>
        <w:pStyle w:val="20"/>
        <w:adjustRightInd w:val="0"/>
        <w:snapToGrid w:val="0"/>
        <w:ind w:firstLine="480"/>
        <w:rPr>
          <w:rFonts w:cs="宋体"/>
          <w:bCs/>
          <w:sz w:val="24"/>
        </w:rPr>
      </w:pPr>
      <w:r w:rsidRPr="00735085">
        <w:rPr>
          <w:rFonts w:cs="宋体" w:hint="eastAsia"/>
          <w:bCs/>
          <w:sz w:val="24"/>
        </w:rPr>
        <w:t>本基金的基金管理人不应以本基金的名义代表本基金的全体基金份额持有人以目标ETF的基金份额持有人的身份行使表决权，但可接受本基金的特定基金份额持有人的委托以本基金的基金份额持有人代理人的身份出席目标ETF的基金份额持有人大会并参与表决。</w:t>
      </w:r>
    </w:p>
    <w:p w14:paraId="351A581A" w14:textId="77777777" w:rsidR="00735085" w:rsidRPr="00735085" w:rsidRDefault="00735085" w:rsidP="00735085">
      <w:pPr>
        <w:pStyle w:val="20"/>
        <w:adjustRightInd w:val="0"/>
        <w:snapToGrid w:val="0"/>
        <w:ind w:firstLine="480"/>
        <w:rPr>
          <w:rFonts w:cs="宋体"/>
          <w:bCs/>
          <w:sz w:val="24"/>
        </w:rPr>
      </w:pPr>
      <w:r w:rsidRPr="00735085">
        <w:rPr>
          <w:rFonts w:cs="宋体" w:hint="eastAsia"/>
          <w:bCs/>
          <w:sz w:val="24"/>
        </w:rPr>
        <w:t>本基金的基金管理人代表本基金的基金份额持有人提议召开或召集目标ETF基金份额持有人大会的，须先遵照本基金《基金合同》的约定召开本基金的基金份额持有人大会，本基金的基金份额持有人大会决定提议召开或召集目标ETF基金份额持有人大会的，由本基金基金管理人代表本基金的基金份额持有人提议召开或召集目标ETF基金份额持有人大会。</w:t>
      </w:r>
    </w:p>
    <w:p w14:paraId="4EB2B735" w14:textId="77777777" w:rsidR="00735085" w:rsidRPr="00735085" w:rsidRDefault="00735085" w:rsidP="00735085">
      <w:pPr>
        <w:pStyle w:val="20"/>
        <w:adjustRightInd w:val="0"/>
        <w:snapToGrid w:val="0"/>
        <w:ind w:firstLine="480"/>
        <w:rPr>
          <w:rFonts w:cs="宋体"/>
          <w:bCs/>
          <w:sz w:val="24"/>
        </w:rPr>
      </w:pPr>
      <w:r w:rsidRPr="00735085">
        <w:rPr>
          <w:rFonts w:cs="宋体" w:hint="eastAsia"/>
          <w:bCs/>
          <w:sz w:val="24"/>
        </w:rPr>
        <w:t>本基金基金份额持有人大会不设日常机构。</w:t>
      </w:r>
    </w:p>
    <w:p w14:paraId="392B5D52" w14:textId="77777777" w:rsidR="00735085" w:rsidRDefault="00735085">
      <w:pPr>
        <w:pStyle w:val="20"/>
        <w:adjustRightInd w:val="0"/>
        <w:snapToGrid w:val="0"/>
        <w:ind w:firstLine="480"/>
        <w:rPr>
          <w:rFonts w:cs="宋体"/>
          <w:bCs/>
          <w:sz w:val="24"/>
        </w:rPr>
      </w:pPr>
      <w:r w:rsidRPr="00735085">
        <w:rPr>
          <w:rFonts w:cs="宋体" w:hint="eastAsia"/>
          <w:bCs/>
          <w:sz w:val="24"/>
        </w:rPr>
        <w:t>若将来法律法规对基金份额持有人大会另有规定的，以届时有效的法律法规为准。</w:t>
      </w:r>
    </w:p>
    <w:p w14:paraId="4FA7F04D" w14:textId="77777777" w:rsidR="00BF4A4E" w:rsidRDefault="00BF4A4E">
      <w:pPr>
        <w:pStyle w:val="20"/>
        <w:adjustRightInd w:val="0"/>
        <w:snapToGrid w:val="0"/>
        <w:ind w:firstLine="480"/>
        <w:rPr>
          <w:rFonts w:cs="宋体"/>
          <w:bCs/>
          <w:sz w:val="24"/>
        </w:rPr>
      </w:pPr>
      <w:r>
        <w:rPr>
          <w:rFonts w:cs="宋体" w:hint="eastAsia"/>
          <w:bCs/>
          <w:sz w:val="24"/>
        </w:rPr>
        <w:t>（一）召开事由</w:t>
      </w:r>
    </w:p>
    <w:p w14:paraId="78BA87D2" w14:textId="77777777" w:rsidR="002D51C3" w:rsidRPr="002D51C3" w:rsidRDefault="002D51C3" w:rsidP="002D51C3">
      <w:pPr>
        <w:pStyle w:val="20"/>
        <w:adjustRightInd w:val="0"/>
        <w:snapToGrid w:val="0"/>
        <w:ind w:firstLine="480"/>
        <w:rPr>
          <w:rFonts w:cs="宋体"/>
          <w:bCs/>
          <w:sz w:val="24"/>
        </w:rPr>
      </w:pPr>
      <w:r w:rsidRPr="002D51C3">
        <w:rPr>
          <w:rFonts w:cs="宋体" w:hint="eastAsia"/>
          <w:bCs/>
          <w:sz w:val="24"/>
        </w:rPr>
        <w:t>1、除法律法规、中国证监会另有规定或基金合同另有约定外，当出现或需要决定下列事由之一的，应当召开基金份额持有人大会：</w:t>
      </w:r>
    </w:p>
    <w:p w14:paraId="26F978EE" w14:textId="77777777" w:rsidR="002D51C3" w:rsidRPr="002D51C3" w:rsidRDefault="002D51C3" w:rsidP="002D51C3">
      <w:pPr>
        <w:pStyle w:val="20"/>
        <w:adjustRightInd w:val="0"/>
        <w:snapToGrid w:val="0"/>
        <w:ind w:firstLine="480"/>
        <w:rPr>
          <w:rFonts w:cs="宋体"/>
          <w:bCs/>
          <w:sz w:val="24"/>
        </w:rPr>
      </w:pPr>
      <w:r w:rsidRPr="002D51C3">
        <w:rPr>
          <w:rFonts w:cs="宋体" w:hint="eastAsia"/>
          <w:bCs/>
          <w:sz w:val="24"/>
        </w:rPr>
        <w:t>（1）终止基金合同；</w:t>
      </w:r>
    </w:p>
    <w:p w14:paraId="4BA0FCD4" w14:textId="77777777" w:rsidR="002D51C3" w:rsidRPr="002D51C3" w:rsidRDefault="002D51C3" w:rsidP="002D51C3">
      <w:pPr>
        <w:pStyle w:val="20"/>
        <w:adjustRightInd w:val="0"/>
        <w:snapToGrid w:val="0"/>
        <w:ind w:firstLine="480"/>
        <w:rPr>
          <w:rFonts w:cs="宋体"/>
          <w:bCs/>
          <w:sz w:val="24"/>
        </w:rPr>
      </w:pPr>
      <w:r w:rsidRPr="002D51C3">
        <w:rPr>
          <w:rFonts w:cs="宋体" w:hint="eastAsia"/>
          <w:bCs/>
          <w:sz w:val="24"/>
        </w:rPr>
        <w:t>（2）更换基金管理人；</w:t>
      </w:r>
    </w:p>
    <w:p w14:paraId="7A103DF5" w14:textId="77777777" w:rsidR="002D51C3" w:rsidRPr="002D51C3" w:rsidRDefault="002D51C3" w:rsidP="002D51C3">
      <w:pPr>
        <w:pStyle w:val="20"/>
        <w:adjustRightInd w:val="0"/>
        <w:snapToGrid w:val="0"/>
        <w:ind w:firstLine="480"/>
        <w:rPr>
          <w:rFonts w:cs="宋体"/>
          <w:bCs/>
          <w:sz w:val="24"/>
        </w:rPr>
      </w:pPr>
      <w:r w:rsidRPr="002D51C3">
        <w:rPr>
          <w:rFonts w:cs="宋体" w:hint="eastAsia"/>
          <w:bCs/>
          <w:sz w:val="24"/>
        </w:rPr>
        <w:t>（3）更换基金托管人；</w:t>
      </w:r>
    </w:p>
    <w:p w14:paraId="5C25E440" w14:textId="77777777" w:rsidR="002D51C3" w:rsidRPr="002D51C3" w:rsidRDefault="002D51C3" w:rsidP="002D51C3">
      <w:pPr>
        <w:pStyle w:val="20"/>
        <w:adjustRightInd w:val="0"/>
        <w:snapToGrid w:val="0"/>
        <w:ind w:firstLine="480"/>
        <w:rPr>
          <w:rFonts w:cs="宋体"/>
          <w:bCs/>
          <w:sz w:val="24"/>
        </w:rPr>
      </w:pPr>
      <w:r w:rsidRPr="002D51C3">
        <w:rPr>
          <w:rFonts w:cs="宋体" w:hint="eastAsia"/>
          <w:bCs/>
          <w:sz w:val="24"/>
        </w:rPr>
        <w:t>（4）转换基金运作方式；</w:t>
      </w:r>
    </w:p>
    <w:p w14:paraId="34B25C05" w14:textId="77777777" w:rsidR="002D51C3" w:rsidRPr="002D51C3" w:rsidRDefault="002D51C3" w:rsidP="002D51C3">
      <w:pPr>
        <w:pStyle w:val="20"/>
        <w:adjustRightInd w:val="0"/>
        <w:snapToGrid w:val="0"/>
        <w:ind w:firstLine="480"/>
        <w:rPr>
          <w:rFonts w:cs="宋体"/>
          <w:bCs/>
          <w:sz w:val="24"/>
        </w:rPr>
      </w:pPr>
      <w:r w:rsidRPr="002D51C3">
        <w:rPr>
          <w:rFonts w:cs="宋体" w:hint="eastAsia"/>
          <w:bCs/>
          <w:sz w:val="24"/>
        </w:rPr>
        <w:t>（5）调整基金管理人、基金托管人的报酬标准或调高销售服务费率；</w:t>
      </w:r>
    </w:p>
    <w:p w14:paraId="3980ED74" w14:textId="77777777" w:rsidR="002D51C3" w:rsidRPr="002D51C3" w:rsidRDefault="002D51C3" w:rsidP="002D51C3">
      <w:pPr>
        <w:pStyle w:val="20"/>
        <w:adjustRightInd w:val="0"/>
        <w:snapToGrid w:val="0"/>
        <w:ind w:firstLine="480"/>
        <w:rPr>
          <w:rFonts w:cs="宋体"/>
          <w:bCs/>
          <w:sz w:val="24"/>
        </w:rPr>
      </w:pPr>
      <w:r w:rsidRPr="002D51C3">
        <w:rPr>
          <w:rFonts w:cs="宋体" w:hint="eastAsia"/>
          <w:bCs/>
          <w:sz w:val="24"/>
        </w:rPr>
        <w:t>（6）变更基金类别；</w:t>
      </w:r>
    </w:p>
    <w:p w14:paraId="2222597A" w14:textId="77777777" w:rsidR="002D51C3" w:rsidRPr="002D51C3" w:rsidRDefault="002D51C3" w:rsidP="002D51C3">
      <w:pPr>
        <w:pStyle w:val="20"/>
        <w:adjustRightInd w:val="0"/>
        <w:snapToGrid w:val="0"/>
        <w:ind w:firstLine="480"/>
        <w:rPr>
          <w:rFonts w:cs="宋体"/>
          <w:bCs/>
          <w:sz w:val="24"/>
        </w:rPr>
      </w:pPr>
      <w:r w:rsidRPr="002D51C3">
        <w:rPr>
          <w:rFonts w:cs="宋体" w:hint="eastAsia"/>
          <w:bCs/>
          <w:sz w:val="24"/>
        </w:rPr>
        <w:lastRenderedPageBreak/>
        <w:t>（7）本基金与其他基金的合并；</w:t>
      </w:r>
    </w:p>
    <w:p w14:paraId="1ACF6B19" w14:textId="58FAB6B4" w:rsidR="002D51C3" w:rsidRPr="002D51C3" w:rsidRDefault="002D51C3" w:rsidP="002D51C3">
      <w:pPr>
        <w:pStyle w:val="20"/>
        <w:adjustRightInd w:val="0"/>
        <w:snapToGrid w:val="0"/>
        <w:ind w:firstLine="480"/>
        <w:rPr>
          <w:rFonts w:cs="宋体"/>
          <w:bCs/>
          <w:sz w:val="24"/>
        </w:rPr>
      </w:pPr>
      <w:r w:rsidRPr="002D51C3">
        <w:rPr>
          <w:rFonts w:cs="宋体" w:hint="eastAsia"/>
          <w:bCs/>
          <w:sz w:val="24"/>
        </w:rPr>
        <w:t>（8）变更基金投资目标、范围或策略</w:t>
      </w:r>
      <w:r w:rsidR="00763316">
        <w:rPr>
          <w:rFonts w:hint="eastAsia"/>
          <w:bCs/>
          <w:sz w:val="24"/>
          <w:szCs w:val="24"/>
        </w:rPr>
        <w:t>，但由于目标ETF变更标的指数、交易方式变更、终止上市或目标ETF基金合同终止而变更本基金投资目标、范围或策略的情况除外</w:t>
      </w:r>
      <w:r w:rsidRPr="002D51C3">
        <w:rPr>
          <w:rFonts w:cs="宋体" w:hint="eastAsia"/>
          <w:bCs/>
          <w:sz w:val="24"/>
        </w:rPr>
        <w:t>；</w:t>
      </w:r>
    </w:p>
    <w:p w14:paraId="224C6664" w14:textId="77777777" w:rsidR="002D51C3" w:rsidRPr="002D51C3" w:rsidRDefault="002D51C3" w:rsidP="002D51C3">
      <w:pPr>
        <w:pStyle w:val="20"/>
        <w:adjustRightInd w:val="0"/>
        <w:snapToGrid w:val="0"/>
        <w:ind w:firstLine="480"/>
        <w:rPr>
          <w:rFonts w:cs="宋体"/>
          <w:bCs/>
          <w:sz w:val="24"/>
        </w:rPr>
      </w:pPr>
      <w:r w:rsidRPr="002D51C3">
        <w:rPr>
          <w:rFonts w:cs="宋体" w:hint="eastAsia"/>
          <w:bCs/>
          <w:sz w:val="24"/>
        </w:rPr>
        <w:t>（9）变更基金份额持有人大会程序；</w:t>
      </w:r>
    </w:p>
    <w:p w14:paraId="6800C8AB" w14:textId="77777777" w:rsidR="002D51C3" w:rsidRPr="002D51C3" w:rsidRDefault="002D51C3" w:rsidP="002D51C3">
      <w:pPr>
        <w:pStyle w:val="20"/>
        <w:adjustRightInd w:val="0"/>
        <w:snapToGrid w:val="0"/>
        <w:ind w:firstLine="480"/>
        <w:rPr>
          <w:rFonts w:cs="宋体"/>
          <w:bCs/>
          <w:sz w:val="24"/>
        </w:rPr>
      </w:pPr>
      <w:r w:rsidRPr="002D51C3">
        <w:rPr>
          <w:rFonts w:cs="宋体" w:hint="eastAsia"/>
          <w:bCs/>
          <w:sz w:val="24"/>
        </w:rPr>
        <w:t>（10）基金管理人或基金托管人要求召开基金份额持有人大会；</w:t>
      </w:r>
    </w:p>
    <w:p w14:paraId="011F26C2" w14:textId="77777777" w:rsidR="002D51C3" w:rsidRPr="002D51C3" w:rsidRDefault="002D51C3" w:rsidP="002D51C3">
      <w:pPr>
        <w:pStyle w:val="20"/>
        <w:adjustRightInd w:val="0"/>
        <w:snapToGrid w:val="0"/>
        <w:ind w:firstLine="480"/>
        <w:rPr>
          <w:rFonts w:cs="宋体"/>
          <w:bCs/>
          <w:sz w:val="24"/>
        </w:rPr>
      </w:pPr>
      <w:r w:rsidRPr="002D51C3">
        <w:rPr>
          <w:rFonts w:cs="宋体" w:hint="eastAsia"/>
          <w:bCs/>
          <w:sz w:val="24"/>
        </w:rPr>
        <w:t>（11）单独或合计持有本基金总份额10%以上（含10%）基金份额的基金份额持有人（以基金管理人收到提议当日的基金份额计算，下同）就同一事项书面要求召开基金份额持有人大会；</w:t>
      </w:r>
    </w:p>
    <w:p w14:paraId="231EA3C4" w14:textId="77777777" w:rsidR="002D51C3" w:rsidRPr="002D51C3" w:rsidRDefault="002D51C3" w:rsidP="002D51C3">
      <w:pPr>
        <w:pStyle w:val="20"/>
        <w:adjustRightInd w:val="0"/>
        <w:snapToGrid w:val="0"/>
        <w:ind w:firstLine="480"/>
        <w:rPr>
          <w:rFonts w:cs="宋体"/>
          <w:bCs/>
          <w:sz w:val="24"/>
        </w:rPr>
      </w:pPr>
      <w:r w:rsidRPr="002D51C3">
        <w:rPr>
          <w:rFonts w:cs="宋体" w:hint="eastAsia"/>
          <w:bCs/>
          <w:sz w:val="24"/>
        </w:rPr>
        <w:t>（12）对基金合同当事人权利和义务产生重大影响的其他事项；</w:t>
      </w:r>
    </w:p>
    <w:p w14:paraId="697D4E06" w14:textId="77777777" w:rsidR="002D51C3" w:rsidRPr="002D51C3" w:rsidRDefault="002D51C3" w:rsidP="002D51C3">
      <w:pPr>
        <w:pStyle w:val="20"/>
        <w:adjustRightInd w:val="0"/>
        <w:snapToGrid w:val="0"/>
        <w:ind w:firstLine="480"/>
        <w:rPr>
          <w:rFonts w:cs="宋体"/>
          <w:bCs/>
          <w:sz w:val="24"/>
        </w:rPr>
      </w:pPr>
      <w:r w:rsidRPr="002D51C3">
        <w:rPr>
          <w:rFonts w:cs="宋体" w:hint="eastAsia"/>
          <w:bCs/>
          <w:sz w:val="24"/>
        </w:rPr>
        <w:t>（13）基金管理人代表本基金的基金份额持有人提议召开或召集目标ETF基金份额持有人大会；</w:t>
      </w:r>
    </w:p>
    <w:p w14:paraId="07272DE3" w14:textId="77777777" w:rsidR="002D51C3" w:rsidRPr="002D51C3" w:rsidRDefault="002D51C3" w:rsidP="002D51C3">
      <w:pPr>
        <w:pStyle w:val="20"/>
        <w:adjustRightInd w:val="0"/>
        <w:snapToGrid w:val="0"/>
        <w:ind w:firstLine="480"/>
        <w:rPr>
          <w:rFonts w:cs="宋体"/>
          <w:bCs/>
          <w:sz w:val="24"/>
        </w:rPr>
      </w:pPr>
      <w:r w:rsidRPr="002D51C3">
        <w:rPr>
          <w:rFonts w:cs="宋体" w:hint="eastAsia"/>
          <w:bCs/>
          <w:sz w:val="24"/>
        </w:rPr>
        <w:t>（14）法律法规、基金合同或中国证监会规定的其他应当召开基金份额持有人大会的事项。</w:t>
      </w:r>
    </w:p>
    <w:p w14:paraId="05181644" w14:textId="77777777" w:rsidR="002D51C3" w:rsidRPr="002D51C3" w:rsidRDefault="002D51C3" w:rsidP="002D51C3">
      <w:pPr>
        <w:pStyle w:val="20"/>
        <w:adjustRightInd w:val="0"/>
        <w:snapToGrid w:val="0"/>
        <w:ind w:firstLine="480"/>
        <w:rPr>
          <w:rFonts w:cs="宋体"/>
          <w:bCs/>
          <w:sz w:val="24"/>
        </w:rPr>
      </w:pPr>
      <w:r w:rsidRPr="002D51C3">
        <w:rPr>
          <w:rFonts w:cs="宋体" w:hint="eastAsia"/>
          <w:bCs/>
          <w:sz w:val="24"/>
        </w:rPr>
        <w:t>2、在法律法规规定和基金合同约定的范围内且对基金份额持有人利益无实质性不利影响的前提下，以下情况可由基金管理人和基金托管人协商后修改，不需召开基金份额持有人大会：</w:t>
      </w:r>
    </w:p>
    <w:p w14:paraId="081AD60B" w14:textId="77777777" w:rsidR="002D51C3" w:rsidRPr="002D51C3" w:rsidRDefault="002D51C3" w:rsidP="002D51C3">
      <w:pPr>
        <w:pStyle w:val="20"/>
        <w:adjustRightInd w:val="0"/>
        <w:snapToGrid w:val="0"/>
        <w:ind w:firstLine="480"/>
        <w:rPr>
          <w:rFonts w:cs="宋体"/>
          <w:bCs/>
          <w:sz w:val="24"/>
        </w:rPr>
      </w:pPr>
      <w:r w:rsidRPr="002D51C3">
        <w:rPr>
          <w:rFonts w:cs="宋体" w:hint="eastAsia"/>
          <w:bCs/>
          <w:sz w:val="24"/>
        </w:rPr>
        <w:t>（1）法律法规要求增加的基金费用的收取；</w:t>
      </w:r>
    </w:p>
    <w:p w14:paraId="08922556" w14:textId="5189F8A0" w:rsidR="002D51C3" w:rsidRPr="002D51C3" w:rsidRDefault="002D51C3" w:rsidP="002D51C3">
      <w:pPr>
        <w:pStyle w:val="20"/>
        <w:adjustRightInd w:val="0"/>
        <w:snapToGrid w:val="0"/>
        <w:ind w:firstLine="480"/>
        <w:rPr>
          <w:rFonts w:cs="宋体"/>
          <w:bCs/>
          <w:sz w:val="24"/>
        </w:rPr>
      </w:pPr>
      <w:r w:rsidRPr="002D51C3">
        <w:rPr>
          <w:rFonts w:cs="宋体" w:hint="eastAsia"/>
          <w:bCs/>
          <w:sz w:val="24"/>
        </w:rPr>
        <w:t>（2）调整本基金的申购费率，</w:t>
      </w:r>
      <w:r w:rsidR="00250E91">
        <w:rPr>
          <w:bCs/>
          <w:sz w:val="24"/>
          <w:szCs w:val="24"/>
        </w:rPr>
        <w:t>调低赎回费率</w:t>
      </w:r>
      <w:r w:rsidR="00250E91">
        <w:rPr>
          <w:rFonts w:hint="eastAsia"/>
          <w:bCs/>
          <w:sz w:val="24"/>
          <w:szCs w:val="24"/>
        </w:rPr>
        <w:t>、</w:t>
      </w:r>
      <w:r w:rsidRPr="002D51C3">
        <w:rPr>
          <w:rFonts w:cs="宋体" w:hint="eastAsia"/>
          <w:bCs/>
          <w:sz w:val="24"/>
        </w:rPr>
        <w:t>调低销售服务费率，或变更收费方式、调整基金份额类别设置；</w:t>
      </w:r>
    </w:p>
    <w:p w14:paraId="69AF16B4" w14:textId="77777777" w:rsidR="002D51C3" w:rsidRPr="002D51C3" w:rsidRDefault="002D51C3" w:rsidP="002D51C3">
      <w:pPr>
        <w:pStyle w:val="20"/>
        <w:adjustRightInd w:val="0"/>
        <w:snapToGrid w:val="0"/>
        <w:ind w:firstLine="480"/>
        <w:rPr>
          <w:rFonts w:cs="宋体"/>
          <w:bCs/>
          <w:sz w:val="24"/>
        </w:rPr>
      </w:pPr>
      <w:r w:rsidRPr="002D51C3">
        <w:rPr>
          <w:rFonts w:cs="宋体" w:hint="eastAsia"/>
          <w:bCs/>
          <w:sz w:val="24"/>
        </w:rPr>
        <w:t>（3）因相应的法律法规发生变动而应当对基金合同进行修改；</w:t>
      </w:r>
    </w:p>
    <w:p w14:paraId="7D06D5A6" w14:textId="77777777" w:rsidR="002D51C3" w:rsidRPr="002D51C3" w:rsidRDefault="002D51C3" w:rsidP="002D51C3">
      <w:pPr>
        <w:pStyle w:val="20"/>
        <w:adjustRightInd w:val="0"/>
        <w:snapToGrid w:val="0"/>
        <w:ind w:firstLine="480"/>
        <w:rPr>
          <w:rFonts w:cs="宋体"/>
          <w:bCs/>
          <w:sz w:val="24"/>
        </w:rPr>
      </w:pPr>
      <w:r w:rsidRPr="002D51C3">
        <w:rPr>
          <w:rFonts w:cs="宋体" w:hint="eastAsia"/>
          <w:bCs/>
          <w:sz w:val="24"/>
        </w:rPr>
        <w:t>（4）对基金合同的修改对基金份额持有人利益无实质性不利影响或修改不涉及基金合同当事人权利义务关系发生重大变化；</w:t>
      </w:r>
    </w:p>
    <w:p w14:paraId="0A3F2E7B" w14:textId="77777777" w:rsidR="002D51C3" w:rsidRPr="002D51C3" w:rsidRDefault="002D51C3" w:rsidP="002D51C3">
      <w:pPr>
        <w:pStyle w:val="20"/>
        <w:adjustRightInd w:val="0"/>
        <w:snapToGrid w:val="0"/>
        <w:ind w:firstLine="480"/>
        <w:rPr>
          <w:rFonts w:cs="宋体"/>
          <w:bCs/>
          <w:sz w:val="24"/>
        </w:rPr>
      </w:pPr>
      <w:r w:rsidRPr="002D51C3">
        <w:rPr>
          <w:rFonts w:cs="宋体" w:hint="eastAsia"/>
          <w:bCs/>
          <w:sz w:val="24"/>
        </w:rPr>
        <w:t>（5）基金推出新业务或服务；</w:t>
      </w:r>
    </w:p>
    <w:p w14:paraId="34E6CAD3" w14:textId="60CC5F18" w:rsidR="002D51C3" w:rsidRPr="002D51C3" w:rsidRDefault="002D51C3" w:rsidP="002D51C3">
      <w:pPr>
        <w:pStyle w:val="20"/>
        <w:adjustRightInd w:val="0"/>
        <w:snapToGrid w:val="0"/>
        <w:ind w:firstLine="480"/>
        <w:rPr>
          <w:rFonts w:cs="宋体"/>
          <w:bCs/>
          <w:sz w:val="24"/>
        </w:rPr>
      </w:pPr>
      <w:r w:rsidRPr="002D51C3">
        <w:rPr>
          <w:rFonts w:cs="宋体" w:hint="eastAsia"/>
          <w:bCs/>
          <w:sz w:val="24"/>
        </w:rPr>
        <w:t>（6）基金管理人、登记机构、销售机构调整有关基金认购、申购、赎回、转换、非交易过户、转托管</w:t>
      </w:r>
      <w:r w:rsidR="00A6233B" w:rsidRPr="00A6233B">
        <w:rPr>
          <w:rFonts w:cs="宋体" w:hint="eastAsia"/>
          <w:bCs/>
          <w:sz w:val="24"/>
        </w:rPr>
        <w:t>及定期定额投资</w:t>
      </w:r>
      <w:r w:rsidRPr="002D51C3">
        <w:rPr>
          <w:rFonts w:cs="宋体" w:hint="eastAsia"/>
          <w:bCs/>
          <w:sz w:val="24"/>
        </w:rPr>
        <w:t>等业务的规则；</w:t>
      </w:r>
    </w:p>
    <w:p w14:paraId="7DDF31E6" w14:textId="77777777" w:rsidR="006570FA" w:rsidRPr="006570FA" w:rsidRDefault="002D51C3" w:rsidP="006570FA">
      <w:pPr>
        <w:pStyle w:val="20"/>
        <w:adjustRightInd w:val="0"/>
        <w:snapToGrid w:val="0"/>
        <w:ind w:firstLine="480"/>
        <w:rPr>
          <w:rFonts w:cs="宋体"/>
          <w:bCs/>
          <w:sz w:val="24"/>
        </w:rPr>
      </w:pPr>
      <w:r w:rsidRPr="002D51C3">
        <w:rPr>
          <w:rFonts w:cs="宋体" w:hint="eastAsia"/>
          <w:bCs/>
          <w:sz w:val="24"/>
        </w:rPr>
        <w:t>（7）</w:t>
      </w:r>
      <w:r w:rsidR="006570FA" w:rsidRPr="006570FA">
        <w:rPr>
          <w:rFonts w:cs="宋体" w:hint="eastAsia"/>
          <w:bCs/>
          <w:sz w:val="24"/>
        </w:rPr>
        <w:t>调整基金收益的分配原则和支付方式；</w:t>
      </w:r>
    </w:p>
    <w:p w14:paraId="1C099F1E" w14:textId="77777777" w:rsidR="00250E91" w:rsidRDefault="006570FA" w:rsidP="00A8332B">
      <w:pPr>
        <w:pStyle w:val="20"/>
        <w:adjustRightInd w:val="0"/>
        <w:snapToGrid w:val="0"/>
        <w:ind w:firstLine="480"/>
        <w:rPr>
          <w:bCs/>
          <w:sz w:val="24"/>
          <w:szCs w:val="24"/>
        </w:rPr>
      </w:pPr>
      <w:r w:rsidRPr="006570FA">
        <w:rPr>
          <w:rFonts w:cs="宋体" w:hint="eastAsia"/>
          <w:bCs/>
          <w:sz w:val="24"/>
        </w:rPr>
        <w:t>（8）</w:t>
      </w:r>
      <w:r w:rsidR="00250E91">
        <w:rPr>
          <w:rFonts w:hint="eastAsia"/>
          <w:bCs/>
          <w:sz w:val="24"/>
          <w:szCs w:val="24"/>
        </w:rPr>
        <w:t>本基金采取特殊申购的方式参与目标ETF的申购赎回；</w:t>
      </w:r>
    </w:p>
    <w:p w14:paraId="024AB850" w14:textId="768BE576" w:rsidR="002D51C3" w:rsidRDefault="00250E91" w:rsidP="00A8332B">
      <w:pPr>
        <w:pStyle w:val="20"/>
        <w:adjustRightInd w:val="0"/>
        <w:snapToGrid w:val="0"/>
        <w:ind w:firstLine="480"/>
        <w:rPr>
          <w:rFonts w:cs="宋体"/>
          <w:bCs/>
          <w:sz w:val="24"/>
        </w:rPr>
      </w:pPr>
      <w:r>
        <w:rPr>
          <w:rFonts w:cs="宋体" w:hint="eastAsia"/>
          <w:bCs/>
          <w:sz w:val="24"/>
        </w:rPr>
        <w:t>（9）</w:t>
      </w:r>
      <w:r w:rsidR="002D51C3" w:rsidRPr="002D51C3">
        <w:rPr>
          <w:rFonts w:cs="宋体" w:hint="eastAsia"/>
          <w:bCs/>
          <w:sz w:val="24"/>
        </w:rPr>
        <w:t>按照法律法规和基金合同规定不需召开基金份额持有人大会的其他情形。</w:t>
      </w:r>
    </w:p>
    <w:p w14:paraId="078D877E" w14:textId="77777777" w:rsidR="00BF4A4E" w:rsidRDefault="00BF4A4E">
      <w:pPr>
        <w:pStyle w:val="20"/>
        <w:adjustRightInd w:val="0"/>
        <w:snapToGrid w:val="0"/>
        <w:ind w:firstLine="480"/>
        <w:rPr>
          <w:rFonts w:cs="宋体"/>
          <w:bCs/>
          <w:sz w:val="24"/>
        </w:rPr>
      </w:pPr>
      <w:r>
        <w:rPr>
          <w:rFonts w:cs="宋体" w:hint="eastAsia"/>
          <w:bCs/>
          <w:sz w:val="24"/>
        </w:rPr>
        <w:lastRenderedPageBreak/>
        <w:t>（二）会议召集人及召集方式</w:t>
      </w:r>
    </w:p>
    <w:p w14:paraId="5B93A99E" w14:textId="77777777" w:rsidR="002D51C3" w:rsidRPr="002D51C3" w:rsidRDefault="002D51C3" w:rsidP="002D51C3">
      <w:pPr>
        <w:pStyle w:val="20"/>
        <w:adjustRightInd w:val="0"/>
        <w:snapToGrid w:val="0"/>
        <w:ind w:firstLine="480"/>
        <w:rPr>
          <w:rFonts w:cs="宋体"/>
          <w:bCs/>
          <w:sz w:val="24"/>
        </w:rPr>
      </w:pPr>
      <w:r w:rsidRPr="002D51C3">
        <w:rPr>
          <w:rFonts w:cs="宋体" w:hint="eastAsia"/>
          <w:bCs/>
          <w:sz w:val="24"/>
        </w:rPr>
        <w:t>1、除法律法规规定或基金合同另有约定外，基金份额持有人大会由基金管理人召集。</w:t>
      </w:r>
    </w:p>
    <w:p w14:paraId="4ADEEFC0" w14:textId="3EB7A8D0" w:rsidR="002D51C3" w:rsidRPr="002D51C3" w:rsidRDefault="002D51C3" w:rsidP="002D51C3">
      <w:pPr>
        <w:pStyle w:val="20"/>
        <w:adjustRightInd w:val="0"/>
        <w:snapToGrid w:val="0"/>
        <w:ind w:firstLine="480"/>
        <w:rPr>
          <w:rFonts w:cs="宋体"/>
          <w:bCs/>
          <w:sz w:val="24"/>
        </w:rPr>
      </w:pPr>
      <w:r w:rsidRPr="002D51C3">
        <w:rPr>
          <w:rFonts w:cs="宋体" w:hint="eastAsia"/>
          <w:bCs/>
          <w:sz w:val="24"/>
        </w:rPr>
        <w:t>2、基金管理人未按规定召集或不能召</w:t>
      </w:r>
      <w:r w:rsidR="007D2F81">
        <w:rPr>
          <w:rFonts w:cs="宋体" w:hint="eastAsia"/>
          <w:bCs/>
          <w:sz w:val="24"/>
        </w:rPr>
        <w:t>集</w:t>
      </w:r>
      <w:r w:rsidRPr="002D51C3">
        <w:rPr>
          <w:rFonts w:cs="宋体" w:hint="eastAsia"/>
          <w:bCs/>
          <w:sz w:val="24"/>
        </w:rPr>
        <w:t>时，由基金托管人召集。</w:t>
      </w:r>
    </w:p>
    <w:p w14:paraId="65A06FBD" w14:textId="644BD2AC" w:rsidR="002D51C3" w:rsidRPr="002D51C3" w:rsidRDefault="002D51C3" w:rsidP="002D51C3">
      <w:pPr>
        <w:pStyle w:val="20"/>
        <w:adjustRightInd w:val="0"/>
        <w:snapToGrid w:val="0"/>
        <w:ind w:firstLine="480"/>
        <w:rPr>
          <w:rFonts w:cs="宋体"/>
          <w:bCs/>
          <w:sz w:val="24"/>
        </w:rPr>
      </w:pPr>
      <w:r w:rsidRPr="002D51C3">
        <w:rPr>
          <w:rFonts w:cs="宋体" w:hint="eastAsia"/>
          <w:bCs/>
          <w:sz w:val="24"/>
        </w:rPr>
        <w:t>3、</w:t>
      </w:r>
      <w:r w:rsidR="0021326C" w:rsidRPr="0021326C">
        <w:rPr>
          <w:rFonts w:cs="宋体" w:hint="eastAsia"/>
          <w:bCs/>
          <w:sz w:val="24"/>
        </w:rPr>
        <w:t>基金托管人认为有必要召开基金份额持有人大会的，应当向基金管理人提出书面提议。基金管理人应当自收到书面提议之日起10日内决定是否召集，并书面告知基金托管人。基金管理人决定召集的，应当自出具书面决定之日起60日内召开；基金管理人决定不召集，基金托管人仍认为有必要召开的，应当由基金托管人自行召集，并自出具书面决定之日起60日内召开，并告知基金管理人，基金管理人应当配合。</w:t>
      </w:r>
    </w:p>
    <w:p w14:paraId="56EBA171" w14:textId="75940CD1" w:rsidR="002D51C3" w:rsidRPr="002D51C3" w:rsidRDefault="002D51C3" w:rsidP="002D51C3">
      <w:pPr>
        <w:pStyle w:val="20"/>
        <w:adjustRightInd w:val="0"/>
        <w:snapToGrid w:val="0"/>
        <w:ind w:firstLine="480"/>
        <w:rPr>
          <w:rFonts w:cs="宋体"/>
          <w:bCs/>
          <w:sz w:val="24"/>
        </w:rPr>
      </w:pPr>
      <w:r w:rsidRPr="002D51C3">
        <w:rPr>
          <w:rFonts w:cs="宋体" w:hint="eastAsia"/>
          <w:bCs/>
          <w:sz w:val="24"/>
        </w:rPr>
        <w:t>4、</w:t>
      </w:r>
      <w:r w:rsidR="0021326C" w:rsidRPr="0021326C">
        <w:rPr>
          <w:rFonts w:cs="宋体" w:hint="eastAsia"/>
          <w:bCs/>
          <w:sz w:val="24"/>
        </w:rPr>
        <w:t>代表基金份额10%以上（含10%）的基金份额持有人就同一事项书面要求召开基金份额持有人大会，应当向基金管理人提出书面提议。基金管理人应当自收到书面提议之日起10日内决定是否召集，并书面告知提出提议的基金份额持有人代表和基金托管人。基金管理人决定召集的，应当自出具书面决定之日起60日内召开；基金管理人决定不召集，代表基金份额10%以上（含10%）的基金份额持有人仍认为有必要召开的，应当向基金托管人提出书面提议。基金托管人应当自收到书面提议之日起10日内决定是否召集，并书面告知提出提议的基金份额持有人代表和基金管理人；基金托管人决定召集的，应当自出具书面决定之日起60日内召开并告知基金管理人，基金管理人应当配合。</w:t>
      </w:r>
    </w:p>
    <w:p w14:paraId="289D4897" w14:textId="5E5E9DE5" w:rsidR="002D51C3" w:rsidRPr="002D51C3" w:rsidRDefault="002D51C3" w:rsidP="002D51C3">
      <w:pPr>
        <w:pStyle w:val="20"/>
        <w:adjustRightInd w:val="0"/>
        <w:snapToGrid w:val="0"/>
        <w:ind w:firstLine="480"/>
        <w:rPr>
          <w:rFonts w:cs="宋体"/>
          <w:bCs/>
          <w:sz w:val="24"/>
        </w:rPr>
      </w:pPr>
      <w:r w:rsidRPr="002D51C3">
        <w:rPr>
          <w:rFonts w:cs="宋体" w:hint="eastAsia"/>
          <w:bCs/>
          <w:sz w:val="24"/>
        </w:rPr>
        <w:t>5、</w:t>
      </w:r>
      <w:r w:rsidR="0021326C" w:rsidRPr="0021326C">
        <w:rPr>
          <w:rFonts w:cs="宋体" w:hint="eastAsia"/>
          <w:bCs/>
          <w:sz w:val="24"/>
        </w:rPr>
        <w:t>代表基金份额10%以上（含10%）的基金份额持有人就同一事项要求召开基金份额持有人大会，而基金管理人、基金托管人都不召集的，单独或合计代表基金份额10%以上（含10%）的基金份额持有人有权自行召集，并至少提前30日报中国证监会备案。基金份额持有人依法自行召集基金份额持有人大会的，基金管理人、基金托管人应当配合，不得阻碍、干扰。</w:t>
      </w:r>
    </w:p>
    <w:p w14:paraId="34F688D8" w14:textId="77777777" w:rsidR="002D51C3" w:rsidRDefault="002D51C3">
      <w:pPr>
        <w:pStyle w:val="20"/>
        <w:adjustRightInd w:val="0"/>
        <w:snapToGrid w:val="0"/>
        <w:ind w:firstLine="480"/>
        <w:rPr>
          <w:rFonts w:cs="宋体"/>
          <w:bCs/>
          <w:sz w:val="24"/>
        </w:rPr>
      </w:pPr>
      <w:r w:rsidRPr="002D51C3">
        <w:rPr>
          <w:rFonts w:cs="宋体" w:hint="eastAsia"/>
          <w:bCs/>
          <w:sz w:val="24"/>
        </w:rPr>
        <w:t>6、基金份额持有人会议的召集人负责选择确定开会时间、地点、方式和权益登记日。</w:t>
      </w:r>
    </w:p>
    <w:p w14:paraId="70ECA4F3" w14:textId="77777777" w:rsidR="00BF4A4E" w:rsidRDefault="00BF4A4E">
      <w:pPr>
        <w:pStyle w:val="20"/>
        <w:adjustRightInd w:val="0"/>
        <w:snapToGrid w:val="0"/>
        <w:ind w:firstLine="480"/>
        <w:rPr>
          <w:rFonts w:cs="宋体"/>
          <w:bCs/>
          <w:sz w:val="24"/>
        </w:rPr>
      </w:pPr>
      <w:r>
        <w:rPr>
          <w:rFonts w:cs="宋体" w:hint="eastAsia"/>
          <w:bCs/>
          <w:sz w:val="24"/>
        </w:rPr>
        <w:t>（三）召开基金份额持有人大会的通知时间、通知内容、通知方式</w:t>
      </w:r>
    </w:p>
    <w:p w14:paraId="4181005A" w14:textId="77777777" w:rsidR="002D51C3" w:rsidRPr="002D51C3" w:rsidRDefault="002D51C3" w:rsidP="002D51C3">
      <w:pPr>
        <w:pStyle w:val="20"/>
        <w:adjustRightInd w:val="0"/>
        <w:snapToGrid w:val="0"/>
        <w:ind w:firstLine="480"/>
        <w:rPr>
          <w:rFonts w:cs="宋体"/>
          <w:bCs/>
          <w:sz w:val="24"/>
        </w:rPr>
      </w:pPr>
      <w:r w:rsidRPr="002D51C3">
        <w:rPr>
          <w:rFonts w:cs="宋体" w:hint="eastAsia"/>
          <w:bCs/>
          <w:sz w:val="24"/>
        </w:rPr>
        <w:t>1、召开基金份额持有人大会，召集人应于会议召开前30日，在规定媒介公告。基金份额持有人大会通知应至少载明以下内容：</w:t>
      </w:r>
    </w:p>
    <w:p w14:paraId="0CF76320" w14:textId="77777777" w:rsidR="002D51C3" w:rsidRPr="002D51C3" w:rsidRDefault="002D51C3" w:rsidP="002D51C3">
      <w:pPr>
        <w:pStyle w:val="20"/>
        <w:adjustRightInd w:val="0"/>
        <w:snapToGrid w:val="0"/>
        <w:ind w:firstLine="480"/>
        <w:rPr>
          <w:rFonts w:cs="宋体"/>
          <w:bCs/>
          <w:sz w:val="24"/>
        </w:rPr>
      </w:pPr>
      <w:r w:rsidRPr="002D51C3">
        <w:rPr>
          <w:rFonts w:cs="宋体" w:hint="eastAsia"/>
          <w:bCs/>
          <w:sz w:val="24"/>
        </w:rPr>
        <w:t>（1）会议召开的时间、地点和会议形式；</w:t>
      </w:r>
    </w:p>
    <w:p w14:paraId="09A281B8" w14:textId="77777777" w:rsidR="002D51C3" w:rsidRPr="002D51C3" w:rsidRDefault="002D51C3" w:rsidP="002D51C3">
      <w:pPr>
        <w:pStyle w:val="20"/>
        <w:adjustRightInd w:val="0"/>
        <w:snapToGrid w:val="0"/>
        <w:ind w:firstLine="480"/>
        <w:rPr>
          <w:rFonts w:cs="宋体"/>
          <w:bCs/>
          <w:sz w:val="24"/>
        </w:rPr>
      </w:pPr>
      <w:r w:rsidRPr="002D51C3">
        <w:rPr>
          <w:rFonts w:cs="宋体" w:hint="eastAsia"/>
          <w:bCs/>
          <w:sz w:val="24"/>
        </w:rPr>
        <w:lastRenderedPageBreak/>
        <w:t>（2）会议拟审议的事项、议事程序和表决方式；</w:t>
      </w:r>
    </w:p>
    <w:p w14:paraId="3A572113" w14:textId="77777777" w:rsidR="002D51C3" w:rsidRPr="002D51C3" w:rsidRDefault="002D51C3" w:rsidP="002D51C3">
      <w:pPr>
        <w:pStyle w:val="20"/>
        <w:adjustRightInd w:val="0"/>
        <w:snapToGrid w:val="0"/>
        <w:ind w:firstLine="480"/>
        <w:rPr>
          <w:rFonts w:cs="宋体"/>
          <w:bCs/>
          <w:sz w:val="24"/>
        </w:rPr>
      </w:pPr>
      <w:r w:rsidRPr="002D51C3">
        <w:rPr>
          <w:rFonts w:cs="宋体" w:hint="eastAsia"/>
          <w:bCs/>
          <w:sz w:val="24"/>
        </w:rPr>
        <w:t>（3）有权出席基金份额持有人大会的基金份额持有人的权益登记日；</w:t>
      </w:r>
    </w:p>
    <w:p w14:paraId="3B9C9657" w14:textId="77777777" w:rsidR="002D51C3" w:rsidRPr="002D51C3" w:rsidRDefault="002D51C3" w:rsidP="002D51C3">
      <w:pPr>
        <w:pStyle w:val="20"/>
        <w:adjustRightInd w:val="0"/>
        <w:snapToGrid w:val="0"/>
        <w:ind w:firstLine="480"/>
        <w:rPr>
          <w:rFonts w:cs="宋体"/>
          <w:bCs/>
          <w:sz w:val="24"/>
        </w:rPr>
      </w:pPr>
      <w:r w:rsidRPr="002D51C3">
        <w:rPr>
          <w:rFonts w:cs="宋体" w:hint="eastAsia"/>
          <w:bCs/>
          <w:sz w:val="24"/>
        </w:rPr>
        <w:t>（4）授权委托证明的内容要求（包括但不限于代理人身份，代理权限和代理有效期限等）、送达时间和地点；</w:t>
      </w:r>
    </w:p>
    <w:p w14:paraId="0140698A" w14:textId="77777777" w:rsidR="002D51C3" w:rsidRPr="002D51C3" w:rsidRDefault="002D51C3" w:rsidP="002D51C3">
      <w:pPr>
        <w:pStyle w:val="20"/>
        <w:adjustRightInd w:val="0"/>
        <w:snapToGrid w:val="0"/>
        <w:ind w:firstLine="480"/>
        <w:rPr>
          <w:rFonts w:cs="宋体"/>
          <w:bCs/>
          <w:sz w:val="24"/>
        </w:rPr>
      </w:pPr>
      <w:r w:rsidRPr="002D51C3">
        <w:rPr>
          <w:rFonts w:cs="宋体" w:hint="eastAsia"/>
          <w:bCs/>
          <w:sz w:val="24"/>
        </w:rPr>
        <w:t>（5）会务常设联系人姓名及联系电话；</w:t>
      </w:r>
    </w:p>
    <w:p w14:paraId="1F1D961F" w14:textId="77777777" w:rsidR="002D51C3" w:rsidRPr="002D51C3" w:rsidRDefault="002D51C3" w:rsidP="002D51C3">
      <w:pPr>
        <w:pStyle w:val="20"/>
        <w:adjustRightInd w:val="0"/>
        <w:snapToGrid w:val="0"/>
        <w:ind w:firstLine="480"/>
        <w:rPr>
          <w:rFonts w:cs="宋体"/>
          <w:bCs/>
          <w:sz w:val="24"/>
        </w:rPr>
      </w:pPr>
      <w:r w:rsidRPr="002D51C3">
        <w:rPr>
          <w:rFonts w:cs="宋体" w:hint="eastAsia"/>
          <w:bCs/>
          <w:sz w:val="24"/>
        </w:rPr>
        <w:t>（6）出席会议者必须准备的文件和必须履行的手续；</w:t>
      </w:r>
    </w:p>
    <w:p w14:paraId="4D14E593" w14:textId="77777777" w:rsidR="002D51C3" w:rsidRPr="002D51C3" w:rsidRDefault="002D51C3" w:rsidP="002D51C3">
      <w:pPr>
        <w:pStyle w:val="20"/>
        <w:adjustRightInd w:val="0"/>
        <w:snapToGrid w:val="0"/>
        <w:ind w:firstLine="480"/>
        <w:rPr>
          <w:rFonts w:cs="宋体"/>
          <w:bCs/>
          <w:sz w:val="24"/>
        </w:rPr>
      </w:pPr>
      <w:r w:rsidRPr="002D51C3">
        <w:rPr>
          <w:rFonts w:cs="宋体" w:hint="eastAsia"/>
          <w:bCs/>
          <w:sz w:val="24"/>
        </w:rPr>
        <w:t>（7）召集人需要通知的其他事项。</w:t>
      </w:r>
    </w:p>
    <w:p w14:paraId="35B8143A" w14:textId="77777777" w:rsidR="002D51C3" w:rsidRPr="002D51C3" w:rsidRDefault="002D51C3" w:rsidP="002D51C3">
      <w:pPr>
        <w:pStyle w:val="20"/>
        <w:adjustRightInd w:val="0"/>
        <w:snapToGrid w:val="0"/>
        <w:ind w:firstLine="480"/>
        <w:rPr>
          <w:rFonts w:cs="宋体"/>
          <w:bCs/>
          <w:sz w:val="24"/>
        </w:rPr>
      </w:pPr>
      <w:r w:rsidRPr="002D51C3">
        <w:rPr>
          <w:rFonts w:cs="宋体" w:hint="eastAsia"/>
          <w:bCs/>
          <w:sz w:val="24"/>
        </w:rPr>
        <w:t>2、采取通讯开会方式并进行表决的情况下，由会议召集人决定在会议通知中说明本次基金份额持有人大会所采取的具体通讯方式、委托的公证机关及其联系方式和联系人、表决意见提交的截止时间和收取方式。</w:t>
      </w:r>
    </w:p>
    <w:p w14:paraId="71ECD2BA" w14:textId="77777777" w:rsidR="004A217D" w:rsidRDefault="002D51C3">
      <w:pPr>
        <w:pStyle w:val="20"/>
        <w:adjustRightInd w:val="0"/>
        <w:snapToGrid w:val="0"/>
        <w:ind w:firstLine="480"/>
        <w:rPr>
          <w:rFonts w:cs="宋体"/>
          <w:bCs/>
          <w:sz w:val="24"/>
        </w:rPr>
      </w:pPr>
      <w:r w:rsidRPr="002D51C3">
        <w:rPr>
          <w:rFonts w:cs="宋体" w:hint="eastAsia"/>
          <w:bCs/>
          <w:sz w:val="24"/>
        </w:rPr>
        <w:t>3、如召集人为基金管理人，还应另行通知基金托管人到指定地点对表决意见的计票进行监督；如召集人为基金托管人，则应另行通知基金管理人到指定地点对表决意见的计票进行监督；如召集人为基金份额持有人，则应另行通知基金管理人和基金托管人到指定地点对表决意见的计票进行监督。基金管理人或基金托管人拒不派代表对表决意见的计票进行监督的，不影响表决意见的计票效力。</w:t>
      </w:r>
    </w:p>
    <w:p w14:paraId="255D2BB9" w14:textId="77777777" w:rsidR="00BF4A4E" w:rsidRDefault="00BF4A4E">
      <w:pPr>
        <w:pStyle w:val="20"/>
        <w:adjustRightInd w:val="0"/>
        <w:snapToGrid w:val="0"/>
        <w:ind w:firstLine="480"/>
        <w:rPr>
          <w:rFonts w:cs="宋体"/>
          <w:bCs/>
          <w:sz w:val="24"/>
        </w:rPr>
      </w:pPr>
      <w:r>
        <w:rPr>
          <w:rFonts w:cs="宋体" w:hint="eastAsia"/>
          <w:bCs/>
          <w:sz w:val="24"/>
        </w:rPr>
        <w:t>（四）基金份额持有人出席会议的方式</w:t>
      </w:r>
    </w:p>
    <w:p w14:paraId="02631F51" w14:textId="77777777" w:rsidR="002D51C3" w:rsidRPr="002D51C3" w:rsidRDefault="002D51C3" w:rsidP="002D51C3">
      <w:pPr>
        <w:pStyle w:val="20"/>
        <w:adjustRightInd w:val="0"/>
        <w:snapToGrid w:val="0"/>
        <w:ind w:firstLine="480"/>
        <w:rPr>
          <w:rFonts w:cs="宋体"/>
          <w:bCs/>
          <w:sz w:val="24"/>
        </w:rPr>
      </w:pPr>
      <w:r w:rsidRPr="002D51C3">
        <w:rPr>
          <w:rFonts w:cs="宋体" w:hint="eastAsia"/>
          <w:bCs/>
          <w:sz w:val="24"/>
        </w:rPr>
        <w:t>基金份额持有人大会可通过现场开会方式、通讯开会方式或法律法规、监管机构允许的其他方式召开，会议的召开方式由会议召集人确定。</w:t>
      </w:r>
    </w:p>
    <w:p w14:paraId="2FB5285D" w14:textId="77777777" w:rsidR="002D51C3" w:rsidRPr="002D51C3" w:rsidRDefault="002D51C3" w:rsidP="002D51C3">
      <w:pPr>
        <w:pStyle w:val="20"/>
        <w:adjustRightInd w:val="0"/>
        <w:snapToGrid w:val="0"/>
        <w:ind w:firstLine="480"/>
        <w:rPr>
          <w:rFonts w:cs="宋体"/>
          <w:bCs/>
          <w:sz w:val="24"/>
        </w:rPr>
      </w:pPr>
      <w:r w:rsidRPr="002D51C3">
        <w:rPr>
          <w:rFonts w:cs="宋体" w:hint="eastAsia"/>
          <w:bCs/>
          <w:sz w:val="24"/>
        </w:rPr>
        <w:t>1、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53DA4BA2" w14:textId="77777777" w:rsidR="002D51C3" w:rsidRPr="002D51C3" w:rsidRDefault="002D51C3" w:rsidP="002D51C3">
      <w:pPr>
        <w:pStyle w:val="20"/>
        <w:adjustRightInd w:val="0"/>
        <w:snapToGrid w:val="0"/>
        <w:ind w:firstLine="480"/>
        <w:rPr>
          <w:rFonts w:cs="宋体"/>
          <w:bCs/>
          <w:sz w:val="24"/>
        </w:rPr>
      </w:pPr>
      <w:r w:rsidRPr="002D51C3">
        <w:rPr>
          <w:rFonts w:cs="宋体" w:hint="eastAsia"/>
          <w:bCs/>
          <w:sz w:val="24"/>
        </w:rPr>
        <w:t>（1）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78945A25" w14:textId="77777777" w:rsidR="002D51C3" w:rsidRPr="002D51C3" w:rsidRDefault="002D51C3" w:rsidP="002D51C3">
      <w:pPr>
        <w:pStyle w:val="20"/>
        <w:adjustRightInd w:val="0"/>
        <w:snapToGrid w:val="0"/>
        <w:ind w:firstLine="480"/>
        <w:rPr>
          <w:rFonts w:cs="宋体"/>
          <w:bCs/>
          <w:sz w:val="24"/>
        </w:rPr>
      </w:pPr>
      <w:r w:rsidRPr="002D51C3">
        <w:rPr>
          <w:rFonts w:cs="宋体" w:hint="eastAsia"/>
          <w:bCs/>
          <w:sz w:val="24"/>
        </w:rPr>
        <w:t>（2）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3</w:t>
      </w:r>
      <w:r w:rsidRPr="002D51C3">
        <w:rPr>
          <w:rFonts w:cs="宋体" w:hint="eastAsia"/>
          <w:bCs/>
          <w:sz w:val="24"/>
        </w:rPr>
        <w:lastRenderedPageBreak/>
        <w:t>个月以后、6个月以内，就原定审议事项重新召集基金份额持有人大会。重新召集的基金份额持有人大会到会者在权益登记日代表的有效的基金份额应不少于本基金在权益登记日基金总份额的三分之一（含三分之一）。</w:t>
      </w:r>
    </w:p>
    <w:p w14:paraId="6E53248A" w14:textId="6AABDB1D" w:rsidR="002D51C3" w:rsidRPr="002D51C3" w:rsidRDefault="002D51C3" w:rsidP="002D51C3">
      <w:pPr>
        <w:pStyle w:val="20"/>
        <w:adjustRightInd w:val="0"/>
        <w:snapToGrid w:val="0"/>
        <w:ind w:firstLine="480"/>
        <w:rPr>
          <w:rFonts w:cs="宋体"/>
          <w:bCs/>
          <w:sz w:val="24"/>
        </w:rPr>
      </w:pPr>
      <w:r w:rsidRPr="002D51C3">
        <w:rPr>
          <w:rFonts w:cs="宋体" w:hint="eastAsia"/>
          <w:bCs/>
          <w:sz w:val="24"/>
        </w:rPr>
        <w:t>2、通讯开会。通讯开会系指按照本基金合同的相关规定以召集人通知的非现场方式（包括</w:t>
      </w:r>
      <w:r w:rsidR="006F6E10">
        <w:rPr>
          <w:rFonts w:cs="宋体" w:hint="eastAsia"/>
          <w:bCs/>
          <w:sz w:val="24"/>
        </w:rPr>
        <w:t>纸质</w:t>
      </w:r>
      <w:r w:rsidRPr="002D51C3">
        <w:rPr>
          <w:rFonts w:cs="宋体" w:hint="eastAsia"/>
          <w:bCs/>
          <w:sz w:val="24"/>
        </w:rPr>
        <w:t>、网络、电话、短信或其他方式）进行表决，基金份额持有人将其对表决事项的投票以召集人通知载明的非现场方式在表决截止日以前送达至召集人指定的地址或系统。</w:t>
      </w:r>
    </w:p>
    <w:p w14:paraId="06ADBFF1" w14:textId="77777777" w:rsidR="002D51C3" w:rsidRPr="002D51C3" w:rsidRDefault="002D51C3" w:rsidP="002D51C3">
      <w:pPr>
        <w:pStyle w:val="20"/>
        <w:adjustRightInd w:val="0"/>
        <w:snapToGrid w:val="0"/>
        <w:ind w:firstLine="480"/>
        <w:rPr>
          <w:rFonts w:cs="宋体"/>
          <w:bCs/>
          <w:sz w:val="24"/>
        </w:rPr>
      </w:pPr>
      <w:r w:rsidRPr="002D51C3">
        <w:rPr>
          <w:rFonts w:cs="宋体" w:hint="eastAsia"/>
          <w:bCs/>
          <w:sz w:val="24"/>
        </w:rPr>
        <w:t>在同时符合以下条件时，通讯开会的方式视为有效：</w:t>
      </w:r>
    </w:p>
    <w:p w14:paraId="52A93320" w14:textId="77777777" w:rsidR="002D51C3" w:rsidRPr="002D51C3" w:rsidRDefault="002D51C3" w:rsidP="002D51C3">
      <w:pPr>
        <w:pStyle w:val="20"/>
        <w:adjustRightInd w:val="0"/>
        <w:snapToGrid w:val="0"/>
        <w:ind w:firstLine="480"/>
        <w:rPr>
          <w:rFonts w:cs="宋体"/>
          <w:bCs/>
          <w:sz w:val="24"/>
        </w:rPr>
      </w:pPr>
      <w:r w:rsidRPr="002D51C3">
        <w:rPr>
          <w:rFonts w:cs="宋体" w:hint="eastAsia"/>
          <w:bCs/>
          <w:sz w:val="24"/>
        </w:rPr>
        <w:t>（1）会议召集人按基金合同约定公布会议通知后，在2个工作日内连续公布相关提示性公告；</w:t>
      </w:r>
    </w:p>
    <w:p w14:paraId="401B43C4" w14:textId="77777777" w:rsidR="002D51C3" w:rsidRPr="002D51C3" w:rsidRDefault="002D51C3" w:rsidP="002D51C3">
      <w:pPr>
        <w:pStyle w:val="20"/>
        <w:adjustRightInd w:val="0"/>
        <w:snapToGrid w:val="0"/>
        <w:ind w:firstLine="480"/>
        <w:rPr>
          <w:rFonts w:cs="宋体"/>
          <w:bCs/>
          <w:sz w:val="24"/>
        </w:rPr>
      </w:pPr>
      <w:r w:rsidRPr="002D51C3">
        <w:rPr>
          <w:rFonts w:cs="宋体" w:hint="eastAsia"/>
          <w:bCs/>
          <w:sz w:val="24"/>
        </w:rPr>
        <w:t>（2）召集人按基金合同约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71039AAE" w14:textId="77777777" w:rsidR="002D51C3" w:rsidRPr="002D51C3" w:rsidRDefault="002D51C3" w:rsidP="002D51C3">
      <w:pPr>
        <w:pStyle w:val="20"/>
        <w:adjustRightInd w:val="0"/>
        <w:snapToGrid w:val="0"/>
        <w:ind w:firstLine="480"/>
        <w:rPr>
          <w:rFonts w:cs="宋体"/>
          <w:bCs/>
          <w:sz w:val="24"/>
        </w:rPr>
      </w:pPr>
      <w:r w:rsidRPr="002D51C3">
        <w:rPr>
          <w:rFonts w:cs="宋体" w:hint="eastAsia"/>
          <w:bCs/>
          <w:sz w:val="24"/>
        </w:rPr>
        <w:t>（3）本人直接出具表决意见或授权他人代表出具表决意见的，基金份额持有人所持有的基金份额不小于在权益登记日基金总份额的二分之一（含二分之一）；若本人直接出具表决意见或授权他人代表出具表决意见的基金份额持有人所持有的基金份额小于在权益登记日基金总份额的二分之一，召集人可以在原公告的基金份额持有人大会召开时间的3个月以后、6个月以内，就原定审议事项重新召集基金份额持有人大会。重新召集的基金份额持有人大会应当有代表三分之一以上（含三分之一）基金份额的基金份额持有人直接出具表决意见或授权他人代表出具表决意见；</w:t>
      </w:r>
    </w:p>
    <w:p w14:paraId="3251F54E" w14:textId="77777777" w:rsidR="002D51C3" w:rsidRPr="002D51C3" w:rsidRDefault="002D51C3" w:rsidP="002D51C3">
      <w:pPr>
        <w:pStyle w:val="20"/>
        <w:adjustRightInd w:val="0"/>
        <w:snapToGrid w:val="0"/>
        <w:ind w:firstLine="480"/>
        <w:rPr>
          <w:rFonts w:cs="宋体"/>
          <w:bCs/>
          <w:sz w:val="24"/>
        </w:rPr>
      </w:pPr>
      <w:r w:rsidRPr="002D51C3">
        <w:rPr>
          <w:rFonts w:cs="宋体" w:hint="eastAsia"/>
          <w:bCs/>
          <w:sz w:val="24"/>
        </w:rPr>
        <w:t>（4）上述第（3）项中直接出具表决意见的基金份额持有人或受托代表他人出具表决意见的代理人，同时提交的持有基金份额的凭证、受托出具表决意见的代理人出具的委托人持有基金份额的凭证及委托人的代理投票授权委托证明符合法律法规、基金合同和会议通知的规定，并与基金登记机构记录相符。</w:t>
      </w:r>
    </w:p>
    <w:p w14:paraId="0D3C80FD" w14:textId="5E01E2A4" w:rsidR="002D51C3" w:rsidRPr="002D51C3" w:rsidRDefault="002D51C3" w:rsidP="002D51C3">
      <w:pPr>
        <w:pStyle w:val="20"/>
        <w:adjustRightInd w:val="0"/>
        <w:snapToGrid w:val="0"/>
        <w:ind w:firstLine="480"/>
        <w:rPr>
          <w:rFonts w:cs="宋体"/>
          <w:bCs/>
          <w:sz w:val="24"/>
        </w:rPr>
      </w:pPr>
      <w:r w:rsidRPr="002D51C3">
        <w:rPr>
          <w:rFonts w:cs="宋体" w:hint="eastAsia"/>
          <w:bCs/>
          <w:sz w:val="24"/>
        </w:rPr>
        <w:t>3、在不违反法律法规或监管机构规定的情况下，经会议通知载明，本基金亦可采用其他非现场方式或者以现场方式与非现场方式相结合的方式召开基金份额持有人大会，会议程序比照现场开会和通讯方式开会的程序进行。基金份额</w:t>
      </w:r>
      <w:r w:rsidRPr="002D51C3">
        <w:rPr>
          <w:rFonts w:cs="宋体" w:hint="eastAsia"/>
          <w:bCs/>
          <w:sz w:val="24"/>
        </w:rPr>
        <w:lastRenderedPageBreak/>
        <w:t>持有人可以采用</w:t>
      </w:r>
      <w:r w:rsidR="00F171FF">
        <w:rPr>
          <w:rFonts w:cs="宋体" w:hint="eastAsia"/>
          <w:bCs/>
          <w:sz w:val="24"/>
        </w:rPr>
        <w:t>纸质</w:t>
      </w:r>
      <w:r w:rsidRPr="002D51C3">
        <w:rPr>
          <w:rFonts w:cs="宋体" w:hint="eastAsia"/>
          <w:bCs/>
          <w:sz w:val="24"/>
        </w:rPr>
        <w:t>、网络、电话、短信或其他方式进行表决，具体方式由会议召集人确定并在会议通知中列明。</w:t>
      </w:r>
    </w:p>
    <w:p w14:paraId="652D209B" w14:textId="09609821" w:rsidR="002D51C3" w:rsidRDefault="002D51C3">
      <w:pPr>
        <w:pStyle w:val="20"/>
        <w:adjustRightInd w:val="0"/>
        <w:snapToGrid w:val="0"/>
        <w:ind w:firstLine="480"/>
        <w:rPr>
          <w:rFonts w:cs="宋体"/>
          <w:bCs/>
          <w:sz w:val="24"/>
        </w:rPr>
      </w:pPr>
      <w:r w:rsidRPr="002D51C3">
        <w:rPr>
          <w:rFonts w:cs="宋体" w:hint="eastAsia"/>
          <w:bCs/>
          <w:sz w:val="24"/>
        </w:rPr>
        <w:t>4、基金份额持有人授权他人代为出席会议并表决的，在不违反法律法规或监管机构规定的情况下，授权方式可以采用</w:t>
      </w:r>
      <w:r w:rsidR="002622F1">
        <w:rPr>
          <w:rFonts w:cs="宋体" w:hint="eastAsia"/>
          <w:bCs/>
          <w:sz w:val="24"/>
        </w:rPr>
        <w:t>纸质</w:t>
      </w:r>
      <w:r w:rsidRPr="002D51C3">
        <w:rPr>
          <w:rFonts w:cs="宋体" w:hint="eastAsia"/>
          <w:bCs/>
          <w:sz w:val="24"/>
        </w:rPr>
        <w:t>、网络、电话、短信或其他方式，召集人接受的具体授权方式在会议通知中列明。</w:t>
      </w:r>
    </w:p>
    <w:p w14:paraId="0F48CB14" w14:textId="77777777" w:rsidR="00BF4A4E" w:rsidRDefault="00BF4A4E">
      <w:pPr>
        <w:pStyle w:val="20"/>
        <w:adjustRightInd w:val="0"/>
        <w:snapToGrid w:val="0"/>
        <w:ind w:firstLine="480"/>
        <w:rPr>
          <w:rFonts w:cs="宋体"/>
          <w:bCs/>
          <w:sz w:val="24"/>
        </w:rPr>
      </w:pPr>
      <w:r>
        <w:rPr>
          <w:rFonts w:cs="宋体" w:hint="eastAsia"/>
          <w:bCs/>
          <w:sz w:val="24"/>
        </w:rPr>
        <w:t>（五）议事内容与程序</w:t>
      </w:r>
    </w:p>
    <w:p w14:paraId="76A37FE6" w14:textId="77777777" w:rsidR="004B7719" w:rsidRPr="004B7719" w:rsidRDefault="004B7719" w:rsidP="004B7719">
      <w:pPr>
        <w:pStyle w:val="20"/>
        <w:adjustRightInd w:val="0"/>
        <w:snapToGrid w:val="0"/>
        <w:ind w:firstLine="480"/>
        <w:rPr>
          <w:rFonts w:cs="宋体"/>
          <w:bCs/>
          <w:sz w:val="24"/>
        </w:rPr>
      </w:pPr>
      <w:r w:rsidRPr="004B7719">
        <w:rPr>
          <w:rFonts w:cs="宋体" w:hint="eastAsia"/>
          <w:bCs/>
          <w:sz w:val="24"/>
        </w:rPr>
        <w:t>1、议事内容及提案权</w:t>
      </w:r>
    </w:p>
    <w:p w14:paraId="796E9F40" w14:textId="77777777" w:rsidR="004B7719" w:rsidRPr="004B7719" w:rsidRDefault="004B7719" w:rsidP="004B7719">
      <w:pPr>
        <w:pStyle w:val="20"/>
        <w:adjustRightInd w:val="0"/>
        <w:snapToGrid w:val="0"/>
        <w:ind w:firstLine="480"/>
        <w:rPr>
          <w:rFonts w:cs="宋体"/>
          <w:bCs/>
          <w:sz w:val="24"/>
        </w:rPr>
      </w:pPr>
      <w:r w:rsidRPr="004B7719">
        <w:rPr>
          <w:rFonts w:cs="宋体" w:hint="eastAsia"/>
          <w:bCs/>
          <w:sz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但本基金合同另有约定的除外）。</w:t>
      </w:r>
    </w:p>
    <w:p w14:paraId="23E04E77" w14:textId="77777777" w:rsidR="004B7719" w:rsidRPr="004B7719" w:rsidRDefault="004B7719" w:rsidP="004B7719">
      <w:pPr>
        <w:pStyle w:val="20"/>
        <w:adjustRightInd w:val="0"/>
        <w:snapToGrid w:val="0"/>
        <w:ind w:firstLine="480"/>
        <w:rPr>
          <w:rFonts w:cs="宋体"/>
          <w:bCs/>
          <w:sz w:val="24"/>
        </w:rPr>
      </w:pPr>
      <w:r w:rsidRPr="004B7719">
        <w:rPr>
          <w:rFonts w:cs="宋体" w:hint="eastAsia"/>
          <w:bCs/>
          <w:sz w:val="24"/>
        </w:rPr>
        <w:t>基金管理人、基金托管人、单独或合并持有权益登记日基金总份额10%（含10%）以上的基金份额持有人可以在基金份额持有人大会召集人发出会议通知前向大会召集人提交需由基金份额持有人大会审议表决的提案；也可以在会议通知发出后向大会召集人提交临时提案。</w:t>
      </w:r>
    </w:p>
    <w:p w14:paraId="6F2EFA94" w14:textId="77777777" w:rsidR="004B7719" w:rsidRPr="004B7719" w:rsidRDefault="004B7719" w:rsidP="004B7719">
      <w:pPr>
        <w:pStyle w:val="20"/>
        <w:adjustRightInd w:val="0"/>
        <w:snapToGrid w:val="0"/>
        <w:ind w:firstLine="480"/>
        <w:rPr>
          <w:rFonts w:cs="宋体"/>
          <w:bCs/>
          <w:sz w:val="24"/>
        </w:rPr>
      </w:pPr>
      <w:r w:rsidRPr="004B7719">
        <w:rPr>
          <w:rFonts w:cs="宋体" w:hint="eastAsia"/>
          <w:bCs/>
          <w:sz w:val="24"/>
        </w:rPr>
        <w:t>基金份额持有人大会的召集人发出召集会议的通知后，对原有提案的修改应当在基金份额持有人大会召开前及时公告。</w:t>
      </w:r>
    </w:p>
    <w:p w14:paraId="784FE750" w14:textId="77777777" w:rsidR="004B7719" w:rsidRPr="004B7719" w:rsidRDefault="004B7719" w:rsidP="004B7719">
      <w:pPr>
        <w:pStyle w:val="20"/>
        <w:adjustRightInd w:val="0"/>
        <w:snapToGrid w:val="0"/>
        <w:ind w:firstLine="480"/>
        <w:rPr>
          <w:rFonts w:cs="宋体"/>
          <w:bCs/>
          <w:sz w:val="24"/>
        </w:rPr>
      </w:pPr>
      <w:r w:rsidRPr="004B7719">
        <w:rPr>
          <w:rFonts w:cs="宋体" w:hint="eastAsia"/>
          <w:bCs/>
          <w:sz w:val="24"/>
        </w:rPr>
        <w:t>基金份额持有人大会不得对未事先公告的议事内容进行表决。</w:t>
      </w:r>
    </w:p>
    <w:p w14:paraId="2C69E977" w14:textId="77777777" w:rsidR="004B7719" w:rsidRPr="004B7719" w:rsidRDefault="004B7719" w:rsidP="004B7719">
      <w:pPr>
        <w:pStyle w:val="20"/>
        <w:adjustRightInd w:val="0"/>
        <w:snapToGrid w:val="0"/>
        <w:ind w:firstLine="480"/>
        <w:rPr>
          <w:rFonts w:cs="宋体"/>
          <w:bCs/>
          <w:sz w:val="24"/>
        </w:rPr>
      </w:pPr>
      <w:r w:rsidRPr="004B7719">
        <w:rPr>
          <w:rFonts w:cs="宋体" w:hint="eastAsia"/>
          <w:bCs/>
          <w:sz w:val="24"/>
        </w:rPr>
        <w:t>召集人对于基金管理人、基金托管人和基金份额持有人提交的临时提案进行审核，符合条件的应当在大会召开日30天前公告。大会召集人应当按照以下原则对提案进行审核：</w:t>
      </w:r>
    </w:p>
    <w:p w14:paraId="762E4861" w14:textId="1DBA8F8D" w:rsidR="004B7719" w:rsidRPr="004B7719" w:rsidRDefault="004B7719" w:rsidP="004B7719">
      <w:pPr>
        <w:pStyle w:val="20"/>
        <w:adjustRightInd w:val="0"/>
        <w:snapToGrid w:val="0"/>
        <w:ind w:firstLine="480"/>
        <w:rPr>
          <w:rFonts w:cs="宋体"/>
          <w:bCs/>
          <w:sz w:val="24"/>
        </w:rPr>
      </w:pPr>
      <w:r w:rsidRPr="004B7719">
        <w:rPr>
          <w:rFonts w:cs="宋体" w:hint="eastAsia"/>
          <w:bCs/>
          <w:sz w:val="24"/>
        </w:rPr>
        <w:t>（1）关联性。</w:t>
      </w:r>
      <w:r w:rsidR="0021326C" w:rsidRPr="0021326C">
        <w:rPr>
          <w:rFonts w:cs="宋体" w:hint="eastAsia"/>
          <w:bCs/>
          <w:sz w:val="24"/>
        </w:rPr>
        <w:t>大会召集人对于提案涉及事项与基金有直接关系，并且不超出法律法规和基金合同规定的基金份额持有人大会职权范围的，应提交大会审议；对于不符合上述要求的，不提交基金份额持有人大会审议。如果召集人决定不将基金份额持有人提案提交大会表决，应当在该次基金份额持有人大会上进行解释和说明。</w:t>
      </w:r>
    </w:p>
    <w:p w14:paraId="689B9C62" w14:textId="77777777" w:rsidR="004B7719" w:rsidRPr="004B7719" w:rsidRDefault="004B7719" w:rsidP="004B7719">
      <w:pPr>
        <w:pStyle w:val="20"/>
        <w:adjustRightInd w:val="0"/>
        <w:snapToGrid w:val="0"/>
        <w:ind w:firstLine="480"/>
        <w:rPr>
          <w:rFonts w:cs="宋体"/>
          <w:bCs/>
          <w:sz w:val="24"/>
        </w:rPr>
      </w:pPr>
      <w:r w:rsidRPr="004B7719">
        <w:rPr>
          <w:rFonts w:cs="宋体" w:hint="eastAsia"/>
          <w:bCs/>
          <w:sz w:val="24"/>
        </w:rPr>
        <w:t>（2）程序性。大会召集人可以对提案涉及的程序性问题做出决定。如将提案进行分拆或合并表决，需征得原提案人同意；原提案人不同意变更的，大会主持人可以就程序性问题提请基金份额持有人大会做出决定，并按照基金份额持有人大会决定的程序进行审议。</w:t>
      </w:r>
    </w:p>
    <w:p w14:paraId="34CB5237" w14:textId="77777777" w:rsidR="004B7719" w:rsidRPr="004B7719" w:rsidRDefault="004B7719" w:rsidP="004B7719">
      <w:pPr>
        <w:pStyle w:val="20"/>
        <w:adjustRightInd w:val="0"/>
        <w:snapToGrid w:val="0"/>
        <w:ind w:firstLine="480"/>
        <w:rPr>
          <w:rFonts w:cs="宋体"/>
          <w:bCs/>
          <w:sz w:val="24"/>
        </w:rPr>
      </w:pPr>
      <w:r w:rsidRPr="004B7719">
        <w:rPr>
          <w:rFonts w:cs="宋体" w:hint="eastAsia"/>
          <w:bCs/>
          <w:sz w:val="24"/>
        </w:rPr>
        <w:lastRenderedPageBreak/>
        <w:t>2、议事程序</w:t>
      </w:r>
    </w:p>
    <w:p w14:paraId="771DD00F" w14:textId="77777777" w:rsidR="004B7719" w:rsidRPr="004B7719" w:rsidRDefault="004B7719" w:rsidP="004B7719">
      <w:pPr>
        <w:pStyle w:val="20"/>
        <w:adjustRightInd w:val="0"/>
        <w:snapToGrid w:val="0"/>
        <w:ind w:firstLine="480"/>
        <w:rPr>
          <w:rFonts w:cs="宋体"/>
          <w:bCs/>
          <w:sz w:val="24"/>
        </w:rPr>
      </w:pPr>
      <w:r w:rsidRPr="004B7719">
        <w:rPr>
          <w:rFonts w:cs="宋体" w:hint="eastAsia"/>
          <w:bCs/>
          <w:sz w:val="24"/>
        </w:rPr>
        <w:t>（1）现场开会</w:t>
      </w:r>
    </w:p>
    <w:p w14:paraId="4DC3C59C" w14:textId="77777777" w:rsidR="004B7719" w:rsidRPr="004B7719" w:rsidRDefault="004B7719" w:rsidP="004B7719">
      <w:pPr>
        <w:pStyle w:val="20"/>
        <w:adjustRightInd w:val="0"/>
        <w:snapToGrid w:val="0"/>
        <w:ind w:firstLine="480"/>
        <w:rPr>
          <w:rFonts w:cs="宋体"/>
          <w:bCs/>
          <w:sz w:val="24"/>
        </w:rPr>
      </w:pPr>
      <w:r w:rsidRPr="004B7719">
        <w:rPr>
          <w:rFonts w:cs="宋体" w:hint="eastAsia"/>
          <w:bCs/>
          <w:sz w:val="24"/>
        </w:rPr>
        <w:t>在现场开会的方式下，首先由大会主持人按照规定程序宣布会议议事程序及注意事项，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50%以上（含50%）选举产生一名基金份额持有人作为该次基金份额持有人大会的主持人。基金管理人和基金托管人拒不出席或主持基金份额持有人大会，不影响基金份额持有人大会作出的决议的效力。</w:t>
      </w:r>
    </w:p>
    <w:p w14:paraId="6A80DCBE" w14:textId="77777777" w:rsidR="004B7719" w:rsidRPr="004B7719" w:rsidRDefault="004B7719" w:rsidP="004B7719">
      <w:pPr>
        <w:pStyle w:val="20"/>
        <w:adjustRightInd w:val="0"/>
        <w:snapToGrid w:val="0"/>
        <w:ind w:firstLine="480"/>
        <w:rPr>
          <w:rFonts w:cs="宋体"/>
          <w:bCs/>
          <w:sz w:val="24"/>
        </w:rPr>
      </w:pPr>
      <w:r w:rsidRPr="004B7719">
        <w:rPr>
          <w:rFonts w:cs="宋体" w:hint="eastAsia"/>
          <w:bCs/>
          <w:sz w:val="24"/>
        </w:rPr>
        <w:t>会议召集人应当制作出席会议人员的签名册。签名册载明参加会议人员姓名（或单位名称）、身份证明文件号码、持有或代表有表决权的基金份额、委托人姓名（或单位名称）和联系方式等事项。</w:t>
      </w:r>
    </w:p>
    <w:p w14:paraId="6CA15484" w14:textId="77777777" w:rsidR="004B7719" w:rsidRPr="004B7719" w:rsidRDefault="004B7719" w:rsidP="004B7719">
      <w:pPr>
        <w:pStyle w:val="20"/>
        <w:adjustRightInd w:val="0"/>
        <w:snapToGrid w:val="0"/>
        <w:ind w:firstLine="480"/>
        <w:rPr>
          <w:rFonts w:cs="宋体"/>
          <w:bCs/>
          <w:sz w:val="24"/>
        </w:rPr>
      </w:pPr>
      <w:r w:rsidRPr="004B7719">
        <w:rPr>
          <w:rFonts w:cs="宋体" w:hint="eastAsia"/>
          <w:bCs/>
          <w:sz w:val="24"/>
        </w:rPr>
        <w:t>（2）通讯开会</w:t>
      </w:r>
    </w:p>
    <w:p w14:paraId="04343096" w14:textId="77777777" w:rsidR="004B7719" w:rsidRDefault="004B7719">
      <w:pPr>
        <w:pStyle w:val="20"/>
        <w:adjustRightInd w:val="0"/>
        <w:snapToGrid w:val="0"/>
        <w:ind w:firstLine="480"/>
        <w:rPr>
          <w:rFonts w:cs="宋体"/>
          <w:bCs/>
          <w:sz w:val="24"/>
        </w:rPr>
      </w:pPr>
      <w:r w:rsidRPr="004B7719">
        <w:rPr>
          <w:rFonts w:cs="宋体" w:hint="eastAsia"/>
          <w:bCs/>
          <w:sz w:val="24"/>
        </w:rPr>
        <w:t>在通讯开会的情况下，首先由召集人提前30日公布提案，在所通知的表决截止日期后2个工作日内在公证机关监督下由召集人统计全部有效表决，在公证机关监督下形成决议。</w:t>
      </w:r>
    </w:p>
    <w:p w14:paraId="61389BDE" w14:textId="77777777" w:rsidR="00BF4A4E" w:rsidRDefault="00BF4A4E">
      <w:pPr>
        <w:pStyle w:val="20"/>
        <w:adjustRightInd w:val="0"/>
        <w:snapToGrid w:val="0"/>
        <w:ind w:firstLine="480"/>
        <w:rPr>
          <w:rFonts w:cs="宋体"/>
          <w:bCs/>
          <w:sz w:val="24"/>
        </w:rPr>
      </w:pPr>
      <w:r>
        <w:rPr>
          <w:rFonts w:cs="宋体" w:hint="eastAsia"/>
          <w:bCs/>
          <w:sz w:val="24"/>
        </w:rPr>
        <w:t>（六）表决</w:t>
      </w:r>
    </w:p>
    <w:p w14:paraId="53C08863" w14:textId="77777777" w:rsidR="00506F76" w:rsidRPr="00506F76" w:rsidRDefault="00506F76" w:rsidP="00506F76">
      <w:pPr>
        <w:pStyle w:val="20"/>
        <w:adjustRightInd w:val="0"/>
        <w:snapToGrid w:val="0"/>
        <w:ind w:firstLine="480"/>
        <w:rPr>
          <w:rFonts w:cs="宋体"/>
          <w:bCs/>
          <w:sz w:val="24"/>
        </w:rPr>
      </w:pPr>
      <w:r w:rsidRPr="00506F76">
        <w:rPr>
          <w:rFonts w:cs="宋体" w:hint="eastAsia"/>
          <w:bCs/>
          <w:sz w:val="24"/>
        </w:rPr>
        <w:t>基金份额持有人所持每份基金份额有一票表决权。</w:t>
      </w:r>
    </w:p>
    <w:p w14:paraId="1C3D17A8" w14:textId="77777777" w:rsidR="00506F76" w:rsidRPr="00506F76" w:rsidRDefault="00506F76" w:rsidP="00506F76">
      <w:pPr>
        <w:pStyle w:val="20"/>
        <w:adjustRightInd w:val="0"/>
        <w:snapToGrid w:val="0"/>
        <w:ind w:firstLine="480"/>
        <w:rPr>
          <w:rFonts w:cs="宋体"/>
          <w:bCs/>
          <w:sz w:val="24"/>
        </w:rPr>
      </w:pPr>
      <w:r w:rsidRPr="00506F76">
        <w:rPr>
          <w:rFonts w:cs="宋体" w:hint="eastAsia"/>
          <w:bCs/>
          <w:sz w:val="24"/>
        </w:rPr>
        <w:t>基金份额持有人大会决议分为一般决议和特别决议：</w:t>
      </w:r>
    </w:p>
    <w:p w14:paraId="6EC14BC4" w14:textId="77777777" w:rsidR="00506F76" w:rsidRPr="00506F76" w:rsidRDefault="00506F76" w:rsidP="00506F76">
      <w:pPr>
        <w:pStyle w:val="20"/>
        <w:adjustRightInd w:val="0"/>
        <w:snapToGrid w:val="0"/>
        <w:ind w:firstLine="480"/>
        <w:rPr>
          <w:rFonts w:cs="宋体"/>
          <w:bCs/>
          <w:sz w:val="24"/>
        </w:rPr>
      </w:pPr>
      <w:r w:rsidRPr="00506F76">
        <w:rPr>
          <w:rFonts w:cs="宋体" w:hint="eastAsia"/>
          <w:bCs/>
          <w:sz w:val="24"/>
        </w:rPr>
        <w:t>1、一般决议，一般决议须经参加大会的基金份额持有人或其代理人所持表决权的二分之一以上（含二分之一）通过方为有效；除下列第2项所规定的须以特别决议通过事项以外的其他事项均以一般决议的方式通过。</w:t>
      </w:r>
    </w:p>
    <w:p w14:paraId="08847FD7" w14:textId="77777777" w:rsidR="00506F76" w:rsidRPr="00506F76" w:rsidRDefault="00506F76" w:rsidP="00506F76">
      <w:pPr>
        <w:pStyle w:val="20"/>
        <w:adjustRightInd w:val="0"/>
        <w:snapToGrid w:val="0"/>
        <w:ind w:firstLine="480"/>
        <w:rPr>
          <w:rFonts w:cs="宋体"/>
          <w:bCs/>
          <w:sz w:val="24"/>
        </w:rPr>
      </w:pPr>
      <w:r w:rsidRPr="00506F76">
        <w:rPr>
          <w:rFonts w:cs="宋体" w:hint="eastAsia"/>
          <w:bCs/>
          <w:sz w:val="24"/>
        </w:rPr>
        <w:t>2、特别决议，特别决议应当经参加大会的基金份额持有人或其代理人所持表决权的三分之二以上（含三分之二）通过方可做出。除法律法规、监管机构另有规定或本基金合同另有约定外，转换基金运作方式、更换基金管理人或者基金托管人、终止基金合同、本基金与其他基金合并以特别决议通过方为有效。</w:t>
      </w:r>
    </w:p>
    <w:p w14:paraId="5E29024B" w14:textId="77777777" w:rsidR="00506F76" w:rsidRPr="00506F76" w:rsidRDefault="00506F76" w:rsidP="00506F76">
      <w:pPr>
        <w:pStyle w:val="20"/>
        <w:adjustRightInd w:val="0"/>
        <w:snapToGrid w:val="0"/>
        <w:ind w:firstLine="480"/>
        <w:rPr>
          <w:rFonts w:cs="宋体"/>
          <w:bCs/>
          <w:sz w:val="24"/>
        </w:rPr>
      </w:pPr>
      <w:r w:rsidRPr="00506F76">
        <w:rPr>
          <w:rFonts w:cs="宋体" w:hint="eastAsia"/>
          <w:bCs/>
          <w:sz w:val="24"/>
        </w:rPr>
        <w:t>基金份额持有人大会采取记名方式进行投票表决。</w:t>
      </w:r>
    </w:p>
    <w:p w14:paraId="6649D102" w14:textId="77777777" w:rsidR="00506F76" w:rsidRPr="00506F76" w:rsidRDefault="00506F76" w:rsidP="00506F76">
      <w:pPr>
        <w:pStyle w:val="20"/>
        <w:adjustRightInd w:val="0"/>
        <w:snapToGrid w:val="0"/>
        <w:ind w:firstLine="480"/>
        <w:rPr>
          <w:rFonts w:cs="宋体"/>
          <w:bCs/>
          <w:sz w:val="24"/>
        </w:rPr>
      </w:pPr>
      <w:r w:rsidRPr="00506F76">
        <w:rPr>
          <w:rFonts w:cs="宋体" w:hint="eastAsia"/>
          <w:bCs/>
          <w:sz w:val="24"/>
        </w:rPr>
        <w:t>采取通讯方式进行表决时，除非在计票时监督员及公证机关均认为有充分的相反证据证明，否则提交符合会议通知中规定的确认投资人身份文件的表决视为</w:t>
      </w:r>
      <w:r w:rsidRPr="00506F76">
        <w:rPr>
          <w:rFonts w:cs="宋体" w:hint="eastAsia"/>
          <w:bCs/>
          <w:sz w:val="24"/>
        </w:rPr>
        <w:lastRenderedPageBreak/>
        <w:t>有效出席的投资人，表面符合会议通知规定的表决意见视为有效表决，表决意见模糊不清或相互矛盾的视为弃权表决，但应当计入出具表决意见的基金份额持有人所代表的基金份额总数。</w:t>
      </w:r>
    </w:p>
    <w:p w14:paraId="38E42ACB" w14:textId="77777777" w:rsidR="00506F76" w:rsidRPr="00506F76" w:rsidRDefault="00506F76" w:rsidP="00506F76">
      <w:pPr>
        <w:pStyle w:val="20"/>
        <w:adjustRightInd w:val="0"/>
        <w:snapToGrid w:val="0"/>
        <w:ind w:firstLine="480"/>
        <w:rPr>
          <w:rFonts w:cs="宋体"/>
          <w:bCs/>
          <w:sz w:val="24"/>
        </w:rPr>
      </w:pPr>
      <w:r w:rsidRPr="00506F76">
        <w:rPr>
          <w:rFonts w:cs="宋体" w:hint="eastAsia"/>
          <w:bCs/>
          <w:sz w:val="24"/>
        </w:rPr>
        <w:t>基金份额持有人大会的各项提案或同一项提案内并列的各项议题应当分开审议、逐项表决。</w:t>
      </w:r>
    </w:p>
    <w:p w14:paraId="244A8B42" w14:textId="77777777" w:rsidR="00506F76" w:rsidRDefault="00506F76">
      <w:pPr>
        <w:pStyle w:val="20"/>
        <w:adjustRightInd w:val="0"/>
        <w:snapToGrid w:val="0"/>
        <w:ind w:firstLine="480"/>
        <w:rPr>
          <w:rFonts w:cs="宋体"/>
          <w:bCs/>
          <w:sz w:val="24"/>
        </w:rPr>
      </w:pPr>
      <w:r w:rsidRPr="00506F76">
        <w:rPr>
          <w:rFonts w:cs="宋体" w:hint="eastAsia"/>
          <w:bCs/>
          <w:sz w:val="24"/>
        </w:rPr>
        <w:t>在上述规则的前提下，具体规则以召集人发布的基金份额持有人大会通知为准。</w:t>
      </w:r>
    </w:p>
    <w:p w14:paraId="5ACD30D3" w14:textId="77777777" w:rsidR="00BF4A4E" w:rsidRDefault="00BF4A4E">
      <w:pPr>
        <w:pStyle w:val="20"/>
        <w:adjustRightInd w:val="0"/>
        <w:snapToGrid w:val="0"/>
        <w:ind w:firstLine="480"/>
        <w:rPr>
          <w:rFonts w:cs="宋体"/>
          <w:bCs/>
          <w:sz w:val="24"/>
        </w:rPr>
      </w:pPr>
      <w:r>
        <w:rPr>
          <w:rFonts w:cs="宋体" w:hint="eastAsia"/>
          <w:bCs/>
          <w:sz w:val="24"/>
        </w:rPr>
        <w:t>（七）计票</w:t>
      </w:r>
    </w:p>
    <w:p w14:paraId="0CD7044B" w14:textId="77777777" w:rsidR="0065036C" w:rsidRPr="0065036C" w:rsidRDefault="0065036C" w:rsidP="0065036C">
      <w:pPr>
        <w:pStyle w:val="20"/>
        <w:adjustRightInd w:val="0"/>
        <w:snapToGrid w:val="0"/>
        <w:ind w:firstLine="480"/>
        <w:rPr>
          <w:rFonts w:cs="宋体"/>
          <w:bCs/>
          <w:sz w:val="24"/>
        </w:rPr>
      </w:pPr>
      <w:r w:rsidRPr="0065036C">
        <w:rPr>
          <w:rFonts w:cs="宋体" w:hint="eastAsia"/>
          <w:bCs/>
          <w:sz w:val="24"/>
        </w:rPr>
        <w:t>1、现场开会</w:t>
      </w:r>
    </w:p>
    <w:p w14:paraId="2FCC6B77" w14:textId="77777777" w:rsidR="0065036C" w:rsidRPr="0065036C" w:rsidRDefault="0065036C" w:rsidP="0065036C">
      <w:pPr>
        <w:pStyle w:val="20"/>
        <w:adjustRightInd w:val="0"/>
        <w:snapToGrid w:val="0"/>
        <w:ind w:firstLine="480"/>
        <w:rPr>
          <w:rFonts w:cs="宋体"/>
          <w:bCs/>
          <w:sz w:val="24"/>
        </w:rPr>
      </w:pPr>
      <w:r w:rsidRPr="0065036C">
        <w:rPr>
          <w:rFonts w:cs="宋体" w:hint="eastAsia"/>
          <w:bCs/>
          <w:sz w:val="24"/>
        </w:rPr>
        <w:t>（1）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和代理人中选举三名基金份额持有人代表担任监票人。基金管理人或基金托管人不出席大会的，不影响计票的效力。</w:t>
      </w:r>
    </w:p>
    <w:p w14:paraId="5043933D" w14:textId="77777777" w:rsidR="0065036C" w:rsidRPr="0065036C" w:rsidRDefault="0065036C" w:rsidP="0065036C">
      <w:pPr>
        <w:pStyle w:val="20"/>
        <w:adjustRightInd w:val="0"/>
        <w:snapToGrid w:val="0"/>
        <w:ind w:firstLine="480"/>
        <w:rPr>
          <w:rFonts w:cs="宋体"/>
          <w:bCs/>
          <w:sz w:val="24"/>
        </w:rPr>
      </w:pPr>
      <w:r w:rsidRPr="0065036C">
        <w:rPr>
          <w:rFonts w:cs="宋体" w:hint="eastAsia"/>
          <w:bCs/>
          <w:sz w:val="24"/>
        </w:rPr>
        <w:t>（2）监票人应当在基金份额持有人表决后立即进行清点并由大会主持人当场公布计票结果。</w:t>
      </w:r>
    </w:p>
    <w:p w14:paraId="4B747149" w14:textId="77777777" w:rsidR="0065036C" w:rsidRPr="0065036C" w:rsidRDefault="0065036C" w:rsidP="0065036C">
      <w:pPr>
        <w:pStyle w:val="20"/>
        <w:adjustRightInd w:val="0"/>
        <w:snapToGrid w:val="0"/>
        <w:ind w:firstLine="480"/>
        <w:rPr>
          <w:rFonts w:cs="宋体"/>
          <w:bCs/>
          <w:sz w:val="24"/>
        </w:rPr>
      </w:pPr>
      <w:r w:rsidRPr="0065036C">
        <w:rPr>
          <w:rFonts w:cs="宋体" w:hint="eastAsia"/>
          <w:bCs/>
          <w:sz w:val="24"/>
        </w:rPr>
        <w:t>（3）如果会议主持人或基金份额持有人或代理人对于提交的表决结果有异议，可以在宣布表决结果后立即对所投票数要求进行重新清点。监票人应当进行重新清点，重新清点以一次为限。重新清点后，大会主持人应当当场公布重新清点结果。</w:t>
      </w:r>
    </w:p>
    <w:p w14:paraId="4D2AED76" w14:textId="77777777" w:rsidR="0065036C" w:rsidRPr="0065036C" w:rsidRDefault="0065036C" w:rsidP="0065036C">
      <w:pPr>
        <w:pStyle w:val="20"/>
        <w:adjustRightInd w:val="0"/>
        <w:snapToGrid w:val="0"/>
        <w:ind w:firstLine="480"/>
        <w:rPr>
          <w:rFonts w:cs="宋体"/>
          <w:bCs/>
          <w:sz w:val="24"/>
        </w:rPr>
      </w:pPr>
      <w:r w:rsidRPr="0065036C">
        <w:rPr>
          <w:rFonts w:cs="宋体" w:hint="eastAsia"/>
          <w:bCs/>
          <w:sz w:val="24"/>
        </w:rPr>
        <w:t>（4）计票过程应由公证机关予以公证，基金管理人或基金托管人拒不出席大会的，不影响计票的效力。</w:t>
      </w:r>
    </w:p>
    <w:p w14:paraId="02E4AFF2" w14:textId="77777777" w:rsidR="0065036C" w:rsidRPr="0065036C" w:rsidRDefault="0065036C" w:rsidP="0065036C">
      <w:pPr>
        <w:pStyle w:val="20"/>
        <w:adjustRightInd w:val="0"/>
        <w:snapToGrid w:val="0"/>
        <w:ind w:firstLine="480"/>
        <w:rPr>
          <w:rFonts w:cs="宋体"/>
          <w:bCs/>
          <w:sz w:val="24"/>
        </w:rPr>
      </w:pPr>
      <w:r w:rsidRPr="0065036C">
        <w:rPr>
          <w:rFonts w:cs="宋体" w:hint="eastAsia"/>
          <w:bCs/>
          <w:sz w:val="24"/>
        </w:rPr>
        <w:t>2、通讯开会</w:t>
      </w:r>
    </w:p>
    <w:p w14:paraId="1A3E95DB" w14:textId="77777777" w:rsidR="0065036C" w:rsidRDefault="0065036C">
      <w:pPr>
        <w:pStyle w:val="20"/>
        <w:adjustRightInd w:val="0"/>
        <w:snapToGrid w:val="0"/>
        <w:ind w:firstLine="480"/>
        <w:rPr>
          <w:rFonts w:cs="宋体"/>
          <w:bCs/>
          <w:sz w:val="24"/>
        </w:rPr>
      </w:pPr>
      <w:r w:rsidRPr="0065036C">
        <w:rPr>
          <w:rFonts w:cs="宋体" w:hint="eastAsia"/>
          <w:bCs/>
          <w:sz w:val="24"/>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人拒派代表对表决意见的计票进行监督的，不影响计票和表决结果。</w:t>
      </w:r>
    </w:p>
    <w:p w14:paraId="6E07BC37" w14:textId="77777777" w:rsidR="00BF4A4E" w:rsidRDefault="00BF4A4E">
      <w:pPr>
        <w:pStyle w:val="20"/>
        <w:adjustRightInd w:val="0"/>
        <w:snapToGrid w:val="0"/>
        <w:ind w:firstLine="480"/>
        <w:rPr>
          <w:rFonts w:cs="宋体"/>
          <w:bCs/>
          <w:sz w:val="24"/>
        </w:rPr>
      </w:pPr>
      <w:r>
        <w:rPr>
          <w:rFonts w:cs="宋体" w:hint="eastAsia"/>
          <w:bCs/>
          <w:sz w:val="24"/>
        </w:rPr>
        <w:t>（八）生效与公告</w:t>
      </w:r>
    </w:p>
    <w:p w14:paraId="39CC69AA" w14:textId="77777777" w:rsidR="0065036C" w:rsidRPr="0065036C" w:rsidRDefault="0065036C" w:rsidP="0065036C">
      <w:pPr>
        <w:pStyle w:val="20"/>
        <w:adjustRightInd w:val="0"/>
        <w:snapToGrid w:val="0"/>
        <w:ind w:firstLine="480"/>
        <w:rPr>
          <w:rFonts w:cs="宋体"/>
          <w:bCs/>
          <w:sz w:val="24"/>
        </w:rPr>
      </w:pPr>
      <w:r w:rsidRPr="0065036C">
        <w:rPr>
          <w:rFonts w:cs="宋体" w:hint="eastAsia"/>
          <w:bCs/>
          <w:sz w:val="24"/>
        </w:rPr>
        <w:lastRenderedPageBreak/>
        <w:t>基金份额持有人大会的决议，召集人应当自通过之日起5日内报中国证监会备案。</w:t>
      </w:r>
    </w:p>
    <w:p w14:paraId="71FE76F2" w14:textId="77777777" w:rsidR="0065036C" w:rsidRPr="0065036C" w:rsidRDefault="0065036C" w:rsidP="0065036C">
      <w:pPr>
        <w:pStyle w:val="20"/>
        <w:adjustRightInd w:val="0"/>
        <w:snapToGrid w:val="0"/>
        <w:ind w:firstLine="480"/>
        <w:rPr>
          <w:rFonts w:cs="宋体"/>
          <w:bCs/>
          <w:sz w:val="24"/>
        </w:rPr>
      </w:pPr>
      <w:r w:rsidRPr="0065036C">
        <w:rPr>
          <w:rFonts w:cs="宋体" w:hint="eastAsia"/>
          <w:bCs/>
          <w:sz w:val="24"/>
        </w:rPr>
        <w:t>基金份额持有人大会的决议自表决通过之日起生效。</w:t>
      </w:r>
    </w:p>
    <w:p w14:paraId="4A261A19" w14:textId="0E5E1470" w:rsidR="0065036C" w:rsidRPr="0065036C" w:rsidRDefault="0065036C" w:rsidP="0065036C">
      <w:pPr>
        <w:pStyle w:val="20"/>
        <w:adjustRightInd w:val="0"/>
        <w:snapToGrid w:val="0"/>
        <w:ind w:firstLine="480"/>
        <w:rPr>
          <w:rFonts w:cs="宋体"/>
          <w:bCs/>
          <w:sz w:val="24"/>
        </w:rPr>
      </w:pPr>
      <w:r w:rsidRPr="0065036C">
        <w:rPr>
          <w:rFonts w:cs="宋体" w:hint="eastAsia"/>
          <w:bCs/>
          <w:sz w:val="24"/>
        </w:rPr>
        <w:t>基金份额持有人大会决议自生效之日起依照《信息披露办法》的有关规定在规定媒介上公告。</w:t>
      </w:r>
    </w:p>
    <w:p w14:paraId="32C41869" w14:textId="77777777" w:rsidR="0065036C" w:rsidRDefault="0065036C">
      <w:pPr>
        <w:pStyle w:val="20"/>
        <w:adjustRightInd w:val="0"/>
        <w:snapToGrid w:val="0"/>
        <w:ind w:firstLine="480"/>
        <w:rPr>
          <w:rFonts w:cs="宋体"/>
          <w:bCs/>
          <w:sz w:val="24"/>
        </w:rPr>
      </w:pPr>
      <w:r w:rsidRPr="0065036C">
        <w:rPr>
          <w:rFonts w:cs="宋体" w:hint="eastAsia"/>
          <w:bCs/>
          <w:sz w:val="24"/>
        </w:rPr>
        <w:t>基金管理人、基金托管人和基金份额持有人应当执行生效的基金份额持有人大会的决议。生效的基金份额持有人大会决议对全体基金份额持有人、基金管理人、基金托管人均有约束力。</w:t>
      </w:r>
    </w:p>
    <w:p w14:paraId="27E93A21" w14:textId="77777777" w:rsidR="00BF4A4E" w:rsidRDefault="00BF4A4E">
      <w:pPr>
        <w:pStyle w:val="20"/>
        <w:adjustRightInd w:val="0"/>
        <w:snapToGrid w:val="0"/>
        <w:ind w:firstLine="480"/>
        <w:rPr>
          <w:rFonts w:cs="宋体"/>
          <w:bCs/>
          <w:sz w:val="24"/>
        </w:rPr>
      </w:pPr>
      <w:r>
        <w:rPr>
          <w:rFonts w:cs="宋体" w:hint="eastAsia"/>
          <w:bCs/>
          <w:sz w:val="24"/>
        </w:rPr>
        <w:t>（九）实施侧袋机制期间基金份额持有人大会的特殊约定</w:t>
      </w:r>
    </w:p>
    <w:p w14:paraId="3967D07E" w14:textId="77777777" w:rsidR="0065036C" w:rsidRPr="0065036C" w:rsidRDefault="0065036C" w:rsidP="0065036C">
      <w:pPr>
        <w:pStyle w:val="20"/>
        <w:adjustRightInd w:val="0"/>
        <w:snapToGrid w:val="0"/>
        <w:ind w:firstLine="480"/>
        <w:rPr>
          <w:rFonts w:cs="宋体"/>
          <w:bCs/>
          <w:sz w:val="24"/>
        </w:rPr>
      </w:pPr>
      <w:r w:rsidRPr="0065036C">
        <w:rPr>
          <w:rFonts w:cs="宋体" w:hint="eastAsia"/>
          <w:bCs/>
          <w:sz w:val="24"/>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5EB636B5" w14:textId="77777777" w:rsidR="0065036C" w:rsidRPr="0065036C" w:rsidRDefault="0065036C" w:rsidP="0065036C">
      <w:pPr>
        <w:pStyle w:val="20"/>
        <w:adjustRightInd w:val="0"/>
        <w:snapToGrid w:val="0"/>
        <w:ind w:firstLine="480"/>
        <w:rPr>
          <w:rFonts w:cs="宋体"/>
          <w:bCs/>
          <w:sz w:val="24"/>
        </w:rPr>
      </w:pPr>
      <w:r w:rsidRPr="0065036C">
        <w:rPr>
          <w:rFonts w:cs="宋体" w:hint="eastAsia"/>
          <w:bCs/>
          <w:sz w:val="24"/>
        </w:rPr>
        <w:t>1、基金份额持有人行使提议权、召集权、提名权所需单独或合计代表相关基金份额10%以上（含10%）；</w:t>
      </w:r>
    </w:p>
    <w:p w14:paraId="0F5D9BCB" w14:textId="77777777" w:rsidR="0065036C" w:rsidRPr="0065036C" w:rsidRDefault="0065036C" w:rsidP="0065036C">
      <w:pPr>
        <w:pStyle w:val="20"/>
        <w:adjustRightInd w:val="0"/>
        <w:snapToGrid w:val="0"/>
        <w:ind w:firstLine="480"/>
        <w:rPr>
          <w:rFonts w:cs="宋体"/>
          <w:bCs/>
          <w:sz w:val="24"/>
        </w:rPr>
      </w:pPr>
      <w:r w:rsidRPr="0065036C">
        <w:rPr>
          <w:rFonts w:cs="宋体" w:hint="eastAsia"/>
          <w:bCs/>
          <w:sz w:val="24"/>
        </w:rPr>
        <w:t>2、现场开会的到会者在权益登记日代表的基金份额不少于本基金在权益登记日相关基金份额的二分之一（含二分之一）；</w:t>
      </w:r>
    </w:p>
    <w:p w14:paraId="152E6CA7" w14:textId="77777777" w:rsidR="0065036C" w:rsidRPr="0065036C" w:rsidRDefault="0065036C" w:rsidP="0065036C">
      <w:pPr>
        <w:pStyle w:val="20"/>
        <w:adjustRightInd w:val="0"/>
        <w:snapToGrid w:val="0"/>
        <w:ind w:firstLine="480"/>
        <w:rPr>
          <w:rFonts w:cs="宋体"/>
          <w:bCs/>
          <w:sz w:val="24"/>
        </w:rPr>
      </w:pPr>
      <w:r w:rsidRPr="0065036C">
        <w:rPr>
          <w:rFonts w:cs="宋体" w:hint="eastAsia"/>
          <w:bCs/>
          <w:sz w:val="24"/>
        </w:rPr>
        <w:t>3、通讯开会的直接出具表决意见或授权他人代表出具表决意见的基金份额持有人所持有的基金份额不小于在权益登记日相关基金份额的二分之一（含二分之一）；</w:t>
      </w:r>
    </w:p>
    <w:p w14:paraId="310AF519" w14:textId="77777777" w:rsidR="0065036C" w:rsidRPr="0065036C" w:rsidRDefault="0065036C" w:rsidP="0065036C">
      <w:pPr>
        <w:pStyle w:val="20"/>
        <w:adjustRightInd w:val="0"/>
        <w:snapToGrid w:val="0"/>
        <w:ind w:firstLine="480"/>
        <w:rPr>
          <w:rFonts w:cs="宋体"/>
          <w:bCs/>
          <w:sz w:val="24"/>
        </w:rPr>
      </w:pPr>
      <w:r w:rsidRPr="0065036C">
        <w:rPr>
          <w:rFonts w:cs="宋体" w:hint="eastAsia"/>
          <w:bCs/>
          <w:sz w:val="24"/>
        </w:rPr>
        <w:t>4、当参与基金份额持有人大会投票的基金份额持有人所持有的基金份额小于在权益登记日相关基金份额的二分之一，召集人在原公告的基金份额持有人大会召开时间的3个月以后、6个月以内就原定审议事项重新召集的基金份额持有人大会应当有代表三分之一以上（含三分之一）相关基金份额的持有人参与或授权他人参与基金份额持有人大会投票；</w:t>
      </w:r>
    </w:p>
    <w:p w14:paraId="0C697CED" w14:textId="77777777" w:rsidR="0065036C" w:rsidRPr="0065036C" w:rsidRDefault="0065036C" w:rsidP="0065036C">
      <w:pPr>
        <w:pStyle w:val="20"/>
        <w:adjustRightInd w:val="0"/>
        <w:snapToGrid w:val="0"/>
        <w:ind w:firstLine="480"/>
        <w:rPr>
          <w:rFonts w:cs="宋体"/>
          <w:bCs/>
          <w:sz w:val="24"/>
        </w:rPr>
      </w:pPr>
      <w:r w:rsidRPr="0065036C">
        <w:rPr>
          <w:rFonts w:cs="宋体" w:hint="eastAsia"/>
          <w:bCs/>
          <w:sz w:val="24"/>
        </w:rPr>
        <w:t>5、现场开会由出席大会的基金份额持有人和代理人所持表决权的50%以上（含50%）选举产生一名基金份额持有人作为该次基金份额持有人大会的主持人；</w:t>
      </w:r>
    </w:p>
    <w:p w14:paraId="45EA5675" w14:textId="77777777" w:rsidR="0065036C" w:rsidRPr="0065036C" w:rsidRDefault="0065036C" w:rsidP="0065036C">
      <w:pPr>
        <w:pStyle w:val="20"/>
        <w:adjustRightInd w:val="0"/>
        <w:snapToGrid w:val="0"/>
        <w:ind w:firstLine="480"/>
        <w:rPr>
          <w:rFonts w:cs="宋体"/>
          <w:bCs/>
          <w:sz w:val="24"/>
        </w:rPr>
      </w:pPr>
      <w:r w:rsidRPr="0065036C">
        <w:rPr>
          <w:rFonts w:cs="宋体" w:hint="eastAsia"/>
          <w:bCs/>
          <w:sz w:val="24"/>
        </w:rPr>
        <w:t>6、一般决议须经参加大会的基金份额持有人或其代理人所持表决权的二分之一以上（含二分之一）通过；</w:t>
      </w:r>
    </w:p>
    <w:p w14:paraId="4A038F7C" w14:textId="77777777" w:rsidR="0065036C" w:rsidRPr="0065036C" w:rsidRDefault="0065036C" w:rsidP="0065036C">
      <w:pPr>
        <w:pStyle w:val="20"/>
        <w:adjustRightInd w:val="0"/>
        <w:snapToGrid w:val="0"/>
        <w:ind w:firstLine="480"/>
        <w:rPr>
          <w:rFonts w:cs="宋体"/>
          <w:bCs/>
          <w:sz w:val="24"/>
        </w:rPr>
      </w:pPr>
      <w:r w:rsidRPr="0065036C">
        <w:rPr>
          <w:rFonts w:cs="宋体" w:hint="eastAsia"/>
          <w:bCs/>
          <w:sz w:val="24"/>
        </w:rPr>
        <w:t>7、特别决议应当经参加大会的基金份额持有人或其代理人所持表决权的三</w:t>
      </w:r>
      <w:r w:rsidRPr="0065036C">
        <w:rPr>
          <w:rFonts w:cs="宋体" w:hint="eastAsia"/>
          <w:bCs/>
          <w:sz w:val="24"/>
        </w:rPr>
        <w:lastRenderedPageBreak/>
        <w:t>分之二以上（含三分之二）通过。</w:t>
      </w:r>
    </w:p>
    <w:p w14:paraId="05A45EBE" w14:textId="77777777" w:rsidR="00BF4A4E" w:rsidRDefault="0065036C">
      <w:pPr>
        <w:pStyle w:val="20"/>
        <w:adjustRightInd w:val="0"/>
        <w:snapToGrid w:val="0"/>
        <w:ind w:firstLine="480"/>
        <w:rPr>
          <w:rFonts w:cs="宋体"/>
          <w:bCs/>
          <w:sz w:val="24"/>
        </w:rPr>
      </w:pPr>
      <w:r w:rsidRPr="0065036C">
        <w:rPr>
          <w:rFonts w:cs="宋体" w:hint="eastAsia"/>
          <w:bCs/>
          <w:sz w:val="24"/>
        </w:rPr>
        <w:t>同一主侧袋账户内的每份基金份额具有平等的表决权</w:t>
      </w:r>
      <w:r w:rsidR="00BF4A4E">
        <w:rPr>
          <w:rFonts w:cs="宋体" w:hint="eastAsia"/>
          <w:bCs/>
          <w:sz w:val="24"/>
        </w:rPr>
        <w:t>。</w:t>
      </w:r>
    </w:p>
    <w:p w14:paraId="5394F0D8" w14:textId="13E87E91" w:rsidR="00E533B1" w:rsidRDefault="00E533B1">
      <w:pPr>
        <w:pStyle w:val="20"/>
        <w:adjustRightInd w:val="0"/>
        <w:snapToGrid w:val="0"/>
        <w:ind w:firstLine="480"/>
        <w:rPr>
          <w:rFonts w:cs="宋体"/>
          <w:bCs/>
          <w:sz w:val="24"/>
        </w:rPr>
      </w:pPr>
      <w:r>
        <w:rPr>
          <w:rFonts w:hint="eastAsia"/>
          <w:bCs/>
          <w:sz w:val="24"/>
          <w:szCs w:val="24"/>
        </w:rPr>
        <w:t>（十）本部分关于基金份额持有人大会召开事由、召开条件、议事程序、表决条件等规定，凡是直接引用法律法规或监管规则的部分，如将来法律法规或监管规则修改导致相关内容被取消或变更的，基金管理人履行适当程序后，可直接对本部分内容进行修改和调整，无需召开基金份额持有人大会审议。</w:t>
      </w:r>
    </w:p>
    <w:p w14:paraId="0DD35892" w14:textId="77777777" w:rsidR="00BF4A4E" w:rsidRDefault="00BF4A4E">
      <w:pPr>
        <w:pStyle w:val="20"/>
        <w:adjustRightInd w:val="0"/>
        <w:snapToGrid w:val="0"/>
        <w:ind w:firstLine="480"/>
        <w:rPr>
          <w:rFonts w:cs="宋体"/>
          <w:bCs/>
          <w:sz w:val="24"/>
        </w:rPr>
      </w:pPr>
      <w:r>
        <w:rPr>
          <w:rFonts w:cs="宋体" w:hint="eastAsia"/>
          <w:bCs/>
          <w:sz w:val="24"/>
        </w:rPr>
        <w:t>三、基金合同解除和终止的事由、程序</w:t>
      </w:r>
    </w:p>
    <w:p w14:paraId="7FF99FB1" w14:textId="77777777" w:rsidR="00BF5BA6" w:rsidRPr="00BF5BA6" w:rsidRDefault="009511E5" w:rsidP="00BF5BA6">
      <w:pPr>
        <w:pStyle w:val="20"/>
        <w:adjustRightInd w:val="0"/>
        <w:snapToGrid w:val="0"/>
        <w:ind w:firstLine="480"/>
        <w:rPr>
          <w:rFonts w:cs="宋体"/>
          <w:bCs/>
          <w:sz w:val="24"/>
        </w:rPr>
      </w:pPr>
      <w:r>
        <w:rPr>
          <w:rFonts w:cs="宋体" w:hint="eastAsia"/>
          <w:bCs/>
          <w:sz w:val="24"/>
        </w:rPr>
        <w:t>（一）</w:t>
      </w:r>
      <w:r w:rsidR="00BF5BA6" w:rsidRPr="00BF5BA6">
        <w:rPr>
          <w:rFonts w:cs="宋体" w:hint="eastAsia"/>
          <w:bCs/>
          <w:sz w:val="24"/>
        </w:rPr>
        <w:t>基金合同的变更</w:t>
      </w:r>
    </w:p>
    <w:p w14:paraId="26705485" w14:textId="77777777" w:rsidR="00BF5BA6" w:rsidRPr="00BF5BA6" w:rsidRDefault="00BF5BA6" w:rsidP="00BF5BA6">
      <w:pPr>
        <w:pStyle w:val="20"/>
        <w:adjustRightInd w:val="0"/>
        <w:snapToGrid w:val="0"/>
        <w:ind w:firstLine="480"/>
        <w:rPr>
          <w:rFonts w:cs="宋体"/>
          <w:bCs/>
          <w:sz w:val="24"/>
        </w:rPr>
      </w:pPr>
      <w:r w:rsidRPr="00BF5BA6">
        <w:rPr>
          <w:rFonts w:cs="宋体" w:hint="eastAsia"/>
          <w:bCs/>
          <w:sz w:val="24"/>
        </w:rPr>
        <w:t>1、变更基金合同涉及法律法规规定或本基金合同约定应经基金份额持有人大会决议通过的事项的，应召开基金份额持有人大会决议通过。对于法律法规规定和基金合同约定可不经基金份额持有人大会决议通过的事项，由基金管理人和基金托管人同意后变更并公告。</w:t>
      </w:r>
    </w:p>
    <w:p w14:paraId="3E6738AD" w14:textId="77777777" w:rsidR="00BF5BA6" w:rsidRPr="00BF5BA6" w:rsidRDefault="00BF5BA6" w:rsidP="00BF5BA6">
      <w:pPr>
        <w:pStyle w:val="20"/>
        <w:adjustRightInd w:val="0"/>
        <w:snapToGrid w:val="0"/>
        <w:ind w:firstLine="480"/>
        <w:rPr>
          <w:rFonts w:cs="宋体"/>
          <w:bCs/>
          <w:sz w:val="24"/>
        </w:rPr>
      </w:pPr>
      <w:r w:rsidRPr="00BF5BA6">
        <w:rPr>
          <w:rFonts w:cs="宋体" w:hint="eastAsia"/>
          <w:bCs/>
          <w:sz w:val="24"/>
        </w:rPr>
        <w:t>2、关于基金合同变更的基金份额持有人大会决议自生效后方可执行，自决议生效后依照《信息披露办法》的有关规定在规定媒介公告。若法律法规发生变化，则以变化后的规定为准。</w:t>
      </w:r>
    </w:p>
    <w:p w14:paraId="18F60DD5" w14:textId="77777777" w:rsidR="00BF5BA6" w:rsidRPr="00BF5BA6" w:rsidRDefault="009511E5" w:rsidP="00BF5BA6">
      <w:pPr>
        <w:pStyle w:val="20"/>
        <w:adjustRightInd w:val="0"/>
        <w:snapToGrid w:val="0"/>
        <w:ind w:firstLine="480"/>
        <w:rPr>
          <w:rFonts w:cs="宋体"/>
          <w:bCs/>
          <w:sz w:val="24"/>
        </w:rPr>
      </w:pPr>
      <w:r>
        <w:rPr>
          <w:rFonts w:cs="宋体" w:hint="eastAsia"/>
          <w:bCs/>
          <w:sz w:val="24"/>
        </w:rPr>
        <w:t>（二）</w:t>
      </w:r>
      <w:r w:rsidR="00BF5BA6" w:rsidRPr="00BF5BA6">
        <w:rPr>
          <w:rFonts w:cs="宋体" w:hint="eastAsia"/>
          <w:bCs/>
          <w:sz w:val="24"/>
        </w:rPr>
        <w:t>基金合同的终止事由</w:t>
      </w:r>
    </w:p>
    <w:p w14:paraId="327D54B5" w14:textId="77777777" w:rsidR="00BF5BA6" w:rsidRPr="00BF5BA6" w:rsidRDefault="00BF5BA6" w:rsidP="00BF5BA6">
      <w:pPr>
        <w:pStyle w:val="20"/>
        <w:adjustRightInd w:val="0"/>
        <w:snapToGrid w:val="0"/>
        <w:ind w:firstLine="480"/>
        <w:rPr>
          <w:rFonts w:cs="宋体"/>
          <w:bCs/>
          <w:sz w:val="24"/>
        </w:rPr>
      </w:pPr>
      <w:r w:rsidRPr="00BF5BA6">
        <w:rPr>
          <w:rFonts w:cs="宋体" w:hint="eastAsia"/>
          <w:bCs/>
          <w:sz w:val="24"/>
        </w:rPr>
        <w:t>有下列情形之一的，经履行相关程序后，基金合同应当终止：</w:t>
      </w:r>
    </w:p>
    <w:p w14:paraId="0D2783AA" w14:textId="77777777" w:rsidR="00BF5BA6" w:rsidRPr="00BF5BA6" w:rsidRDefault="00BF5BA6" w:rsidP="00BF5BA6">
      <w:pPr>
        <w:pStyle w:val="20"/>
        <w:adjustRightInd w:val="0"/>
        <w:snapToGrid w:val="0"/>
        <w:ind w:firstLine="480"/>
        <w:rPr>
          <w:rFonts w:cs="宋体"/>
          <w:bCs/>
          <w:sz w:val="24"/>
        </w:rPr>
      </w:pPr>
      <w:r w:rsidRPr="00BF5BA6">
        <w:rPr>
          <w:rFonts w:cs="宋体" w:hint="eastAsia"/>
          <w:bCs/>
          <w:sz w:val="24"/>
        </w:rPr>
        <w:t>1、基金份额持有人大会决定终止的；</w:t>
      </w:r>
    </w:p>
    <w:p w14:paraId="3FF2D76A" w14:textId="77777777" w:rsidR="00BF5BA6" w:rsidRPr="00BF5BA6" w:rsidRDefault="00BF5BA6" w:rsidP="00BF5BA6">
      <w:pPr>
        <w:pStyle w:val="20"/>
        <w:adjustRightInd w:val="0"/>
        <w:snapToGrid w:val="0"/>
        <w:ind w:firstLine="480"/>
        <w:rPr>
          <w:rFonts w:cs="宋体"/>
          <w:bCs/>
          <w:sz w:val="24"/>
        </w:rPr>
      </w:pPr>
      <w:r w:rsidRPr="00BF5BA6">
        <w:rPr>
          <w:rFonts w:cs="宋体" w:hint="eastAsia"/>
          <w:bCs/>
          <w:sz w:val="24"/>
        </w:rPr>
        <w:t>2、基金管理人、基金托管人职责终止，在6个月内没有新基金管理人、新基金托管人承接的；</w:t>
      </w:r>
    </w:p>
    <w:p w14:paraId="68D20625" w14:textId="3C265BDE" w:rsidR="00BF5BA6" w:rsidRPr="00BF5BA6" w:rsidRDefault="00B8634E" w:rsidP="00506099">
      <w:pPr>
        <w:adjustRightInd w:val="0"/>
        <w:snapToGrid w:val="0"/>
        <w:spacing w:line="360" w:lineRule="auto"/>
        <w:ind w:firstLineChars="200" w:firstLine="480"/>
        <w:rPr>
          <w:rFonts w:cs="宋体"/>
          <w:bCs/>
          <w:sz w:val="24"/>
        </w:rPr>
      </w:pPr>
      <w:r>
        <w:rPr>
          <w:rFonts w:ascii="宋体" w:hAnsi="宋体" w:hint="eastAsia"/>
          <w:bCs/>
          <w:sz w:val="24"/>
        </w:rPr>
        <w:t>3、</w:t>
      </w:r>
      <w:r w:rsidR="00BF5BA6" w:rsidRPr="00BF5BA6">
        <w:rPr>
          <w:rFonts w:cs="宋体" w:hint="eastAsia"/>
          <w:bCs/>
          <w:sz w:val="24"/>
        </w:rPr>
        <w:t>基金合同约定的其他情形；</w:t>
      </w:r>
    </w:p>
    <w:p w14:paraId="5C429899" w14:textId="269F197C" w:rsidR="00BF5BA6" w:rsidRPr="00BF5BA6" w:rsidRDefault="00506099" w:rsidP="00BF5BA6">
      <w:pPr>
        <w:pStyle w:val="20"/>
        <w:adjustRightInd w:val="0"/>
        <w:snapToGrid w:val="0"/>
        <w:ind w:firstLine="480"/>
        <w:rPr>
          <w:rFonts w:cs="宋体"/>
          <w:bCs/>
          <w:sz w:val="24"/>
        </w:rPr>
      </w:pPr>
      <w:r>
        <w:rPr>
          <w:rFonts w:cs="宋体"/>
          <w:bCs/>
          <w:sz w:val="24"/>
        </w:rPr>
        <w:t>4</w:t>
      </w:r>
      <w:r w:rsidR="00BF5BA6" w:rsidRPr="00BF5BA6">
        <w:rPr>
          <w:rFonts w:cs="宋体" w:hint="eastAsia"/>
          <w:bCs/>
          <w:sz w:val="24"/>
        </w:rPr>
        <w:t>、相关法律法规和中国证监会规定的其他情况。</w:t>
      </w:r>
    </w:p>
    <w:p w14:paraId="01E519A6" w14:textId="77777777" w:rsidR="00BF5BA6" w:rsidRPr="00BF5BA6" w:rsidRDefault="009511E5" w:rsidP="00BF5BA6">
      <w:pPr>
        <w:pStyle w:val="20"/>
        <w:adjustRightInd w:val="0"/>
        <w:snapToGrid w:val="0"/>
        <w:ind w:firstLine="480"/>
        <w:rPr>
          <w:rFonts w:cs="宋体"/>
          <w:bCs/>
          <w:sz w:val="24"/>
        </w:rPr>
      </w:pPr>
      <w:r>
        <w:rPr>
          <w:rFonts w:cs="宋体" w:hint="eastAsia"/>
          <w:bCs/>
          <w:sz w:val="24"/>
        </w:rPr>
        <w:t>（三）</w:t>
      </w:r>
      <w:r w:rsidR="00BF5BA6" w:rsidRPr="00BF5BA6">
        <w:rPr>
          <w:rFonts w:cs="宋体" w:hint="eastAsia"/>
          <w:bCs/>
          <w:sz w:val="24"/>
        </w:rPr>
        <w:t>基金财产的清算</w:t>
      </w:r>
    </w:p>
    <w:p w14:paraId="4D15B6A4" w14:textId="77777777" w:rsidR="00BF5BA6" w:rsidRPr="00BF5BA6" w:rsidRDefault="00BF5BA6" w:rsidP="00BF5BA6">
      <w:pPr>
        <w:pStyle w:val="20"/>
        <w:adjustRightInd w:val="0"/>
        <w:snapToGrid w:val="0"/>
        <w:ind w:firstLine="480"/>
        <w:rPr>
          <w:rFonts w:cs="宋体"/>
          <w:bCs/>
          <w:sz w:val="24"/>
        </w:rPr>
      </w:pPr>
      <w:r w:rsidRPr="00BF5BA6">
        <w:rPr>
          <w:rFonts w:cs="宋体" w:hint="eastAsia"/>
          <w:bCs/>
          <w:sz w:val="24"/>
        </w:rPr>
        <w:t>1、基金财产清算小组：基金合同终止事由出现后，基金管理人组织基金财产清算小组并在中国证监会的监督下进行基金清算。</w:t>
      </w:r>
    </w:p>
    <w:p w14:paraId="550C9A67" w14:textId="77777777" w:rsidR="00BF5BA6" w:rsidRPr="00BF5BA6" w:rsidRDefault="00BF5BA6" w:rsidP="00BF5BA6">
      <w:pPr>
        <w:pStyle w:val="20"/>
        <w:adjustRightInd w:val="0"/>
        <w:snapToGrid w:val="0"/>
        <w:ind w:firstLine="480"/>
        <w:rPr>
          <w:rFonts w:cs="宋体"/>
          <w:bCs/>
          <w:sz w:val="24"/>
        </w:rPr>
      </w:pPr>
      <w:r w:rsidRPr="00BF5BA6">
        <w:rPr>
          <w:rFonts w:cs="宋体" w:hint="eastAsia"/>
          <w:bCs/>
          <w:sz w:val="24"/>
        </w:rPr>
        <w:t>2、基金财产清算小组组成：基金财产清算小组成员由基金管理人、基金托管人、符合《中华人民共和国证券法》规定的注册会计师、律师以及中国证监会指定的人员组成。基金财产清算小组可以聘用必要的工作人员。</w:t>
      </w:r>
    </w:p>
    <w:p w14:paraId="5F8C56AE" w14:textId="77777777" w:rsidR="00BF5BA6" w:rsidRPr="00BF5BA6" w:rsidRDefault="00BF5BA6" w:rsidP="00BF5BA6">
      <w:pPr>
        <w:pStyle w:val="20"/>
        <w:adjustRightInd w:val="0"/>
        <w:snapToGrid w:val="0"/>
        <w:ind w:firstLine="480"/>
        <w:rPr>
          <w:rFonts w:cs="宋体"/>
          <w:bCs/>
          <w:sz w:val="24"/>
        </w:rPr>
      </w:pPr>
      <w:r w:rsidRPr="00BF5BA6">
        <w:rPr>
          <w:rFonts w:cs="宋体" w:hint="eastAsia"/>
          <w:bCs/>
          <w:sz w:val="24"/>
        </w:rPr>
        <w:t>3、基金财产清算小组职责：基金财产清算小组负责基金财产的保管、清理、估价、变现和分配。基金财产清算小组可以依法进行必要的民事活动。</w:t>
      </w:r>
    </w:p>
    <w:p w14:paraId="25E63551" w14:textId="77777777" w:rsidR="00BF5BA6" w:rsidRPr="00BF5BA6" w:rsidRDefault="00BF5BA6" w:rsidP="00BF5BA6">
      <w:pPr>
        <w:pStyle w:val="20"/>
        <w:adjustRightInd w:val="0"/>
        <w:snapToGrid w:val="0"/>
        <w:ind w:firstLine="480"/>
        <w:rPr>
          <w:rFonts w:cs="宋体"/>
          <w:bCs/>
          <w:sz w:val="24"/>
        </w:rPr>
      </w:pPr>
      <w:r w:rsidRPr="00BF5BA6">
        <w:rPr>
          <w:rFonts w:cs="宋体" w:hint="eastAsia"/>
          <w:bCs/>
          <w:sz w:val="24"/>
        </w:rPr>
        <w:lastRenderedPageBreak/>
        <w:t>4、基金财产清算程序：</w:t>
      </w:r>
    </w:p>
    <w:p w14:paraId="0B9831AE" w14:textId="42EC5E70" w:rsidR="00BF5BA6" w:rsidRPr="00BF5BA6" w:rsidRDefault="00BF5BA6" w:rsidP="00BF5BA6">
      <w:pPr>
        <w:pStyle w:val="20"/>
        <w:adjustRightInd w:val="0"/>
        <w:snapToGrid w:val="0"/>
        <w:ind w:firstLine="480"/>
        <w:rPr>
          <w:rFonts w:cs="宋体"/>
          <w:bCs/>
          <w:sz w:val="24"/>
        </w:rPr>
      </w:pPr>
      <w:r w:rsidRPr="00BF5BA6">
        <w:rPr>
          <w:rFonts w:cs="宋体" w:hint="eastAsia"/>
          <w:bCs/>
          <w:sz w:val="24"/>
        </w:rPr>
        <w:t>（1）基金合同终止情形出现时，由基金财产清算小组统一接管基金</w:t>
      </w:r>
      <w:r w:rsidR="00717A56">
        <w:rPr>
          <w:rFonts w:cs="宋体" w:hint="eastAsia"/>
          <w:bCs/>
          <w:sz w:val="24"/>
        </w:rPr>
        <w:t>财产</w:t>
      </w:r>
      <w:r w:rsidRPr="00BF5BA6">
        <w:rPr>
          <w:rFonts w:cs="宋体" w:hint="eastAsia"/>
          <w:bCs/>
          <w:sz w:val="24"/>
        </w:rPr>
        <w:t>；</w:t>
      </w:r>
    </w:p>
    <w:p w14:paraId="68B69E19" w14:textId="77777777" w:rsidR="00BF5BA6" w:rsidRPr="00BF5BA6" w:rsidRDefault="00BF5BA6" w:rsidP="00BF5BA6">
      <w:pPr>
        <w:pStyle w:val="20"/>
        <w:adjustRightInd w:val="0"/>
        <w:snapToGrid w:val="0"/>
        <w:ind w:firstLine="480"/>
        <w:rPr>
          <w:rFonts w:cs="宋体"/>
          <w:bCs/>
          <w:sz w:val="24"/>
        </w:rPr>
      </w:pPr>
      <w:r w:rsidRPr="00BF5BA6">
        <w:rPr>
          <w:rFonts w:cs="宋体" w:hint="eastAsia"/>
          <w:bCs/>
          <w:sz w:val="24"/>
        </w:rPr>
        <w:t>（2）对基金财产和债权债务进行清理和确认；</w:t>
      </w:r>
    </w:p>
    <w:p w14:paraId="40DC26A2" w14:textId="77777777" w:rsidR="00BF5BA6" w:rsidRPr="00BF5BA6" w:rsidRDefault="00BF5BA6" w:rsidP="00BF5BA6">
      <w:pPr>
        <w:pStyle w:val="20"/>
        <w:adjustRightInd w:val="0"/>
        <w:snapToGrid w:val="0"/>
        <w:ind w:firstLine="480"/>
        <w:rPr>
          <w:rFonts w:cs="宋体"/>
          <w:bCs/>
          <w:sz w:val="24"/>
        </w:rPr>
      </w:pPr>
      <w:r w:rsidRPr="00BF5BA6">
        <w:rPr>
          <w:rFonts w:cs="宋体" w:hint="eastAsia"/>
          <w:bCs/>
          <w:sz w:val="24"/>
        </w:rPr>
        <w:t>（3）对基金财产进行估值和变现；</w:t>
      </w:r>
    </w:p>
    <w:p w14:paraId="58C2F0DD" w14:textId="77777777" w:rsidR="00BF5BA6" w:rsidRPr="00BF5BA6" w:rsidRDefault="00BF5BA6" w:rsidP="00BF5BA6">
      <w:pPr>
        <w:pStyle w:val="20"/>
        <w:adjustRightInd w:val="0"/>
        <w:snapToGrid w:val="0"/>
        <w:ind w:firstLine="480"/>
        <w:rPr>
          <w:rFonts w:cs="宋体"/>
          <w:bCs/>
          <w:sz w:val="24"/>
        </w:rPr>
      </w:pPr>
      <w:r w:rsidRPr="00BF5BA6">
        <w:rPr>
          <w:rFonts w:cs="宋体" w:hint="eastAsia"/>
          <w:bCs/>
          <w:sz w:val="24"/>
        </w:rPr>
        <w:t>（4）制作清算报告；</w:t>
      </w:r>
    </w:p>
    <w:p w14:paraId="499F2A39" w14:textId="77777777" w:rsidR="00BF5BA6" w:rsidRPr="00BF5BA6" w:rsidRDefault="00BF5BA6" w:rsidP="00BF5BA6">
      <w:pPr>
        <w:pStyle w:val="20"/>
        <w:adjustRightInd w:val="0"/>
        <w:snapToGrid w:val="0"/>
        <w:ind w:firstLine="480"/>
        <w:rPr>
          <w:rFonts w:cs="宋体"/>
          <w:bCs/>
          <w:sz w:val="24"/>
        </w:rPr>
      </w:pPr>
      <w:r w:rsidRPr="00BF5BA6">
        <w:rPr>
          <w:rFonts w:cs="宋体" w:hint="eastAsia"/>
          <w:bCs/>
          <w:sz w:val="24"/>
        </w:rPr>
        <w:t>（5）聘请会计师事务所对清算报告进行外部审计，聘请律师事务所对清算报告出具法律意见书；</w:t>
      </w:r>
    </w:p>
    <w:p w14:paraId="7A23A1AC" w14:textId="77777777" w:rsidR="00BF5BA6" w:rsidRPr="00BF5BA6" w:rsidRDefault="00BF5BA6" w:rsidP="00BF5BA6">
      <w:pPr>
        <w:pStyle w:val="20"/>
        <w:adjustRightInd w:val="0"/>
        <w:snapToGrid w:val="0"/>
        <w:ind w:firstLine="480"/>
        <w:rPr>
          <w:rFonts w:cs="宋体"/>
          <w:bCs/>
          <w:sz w:val="24"/>
        </w:rPr>
      </w:pPr>
      <w:r w:rsidRPr="00BF5BA6">
        <w:rPr>
          <w:rFonts w:cs="宋体" w:hint="eastAsia"/>
          <w:bCs/>
          <w:sz w:val="24"/>
        </w:rPr>
        <w:t>（6）将清算报告报中国证监会备案并公告；</w:t>
      </w:r>
    </w:p>
    <w:p w14:paraId="43FE42F0" w14:textId="77777777" w:rsidR="00BF5BA6" w:rsidRPr="00BF5BA6" w:rsidRDefault="00BF5BA6" w:rsidP="00BF5BA6">
      <w:pPr>
        <w:pStyle w:val="20"/>
        <w:adjustRightInd w:val="0"/>
        <w:snapToGrid w:val="0"/>
        <w:ind w:firstLine="480"/>
        <w:rPr>
          <w:rFonts w:cs="宋体"/>
          <w:bCs/>
          <w:sz w:val="24"/>
        </w:rPr>
      </w:pPr>
      <w:r w:rsidRPr="00BF5BA6">
        <w:rPr>
          <w:rFonts w:cs="宋体" w:hint="eastAsia"/>
          <w:bCs/>
          <w:sz w:val="24"/>
        </w:rPr>
        <w:t>（7）对基金剩余财产进行分配。</w:t>
      </w:r>
    </w:p>
    <w:p w14:paraId="0C5AC9FB" w14:textId="77777777" w:rsidR="00BF5BA6" w:rsidRPr="00BF5BA6" w:rsidRDefault="00BF5BA6" w:rsidP="00BF5BA6">
      <w:pPr>
        <w:pStyle w:val="20"/>
        <w:adjustRightInd w:val="0"/>
        <w:snapToGrid w:val="0"/>
        <w:ind w:firstLine="480"/>
        <w:rPr>
          <w:rFonts w:cs="宋体"/>
          <w:bCs/>
          <w:sz w:val="24"/>
        </w:rPr>
      </w:pPr>
      <w:r w:rsidRPr="00BF5BA6">
        <w:rPr>
          <w:rFonts w:cs="宋体" w:hint="eastAsia"/>
          <w:bCs/>
          <w:sz w:val="24"/>
        </w:rPr>
        <w:t>5、基金财产清算的期限为6个月，但因本基金所持证券的流动性受到限制而不能及时变现的，清算期限相应顺延。</w:t>
      </w:r>
    </w:p>
    <w:p w14:paraId="12035F07" w14:textId="77777777" w:rsidR="00BF5BA6" w:rsidRPr="00BF5BA6" w:rsidRDefault="009511E5" w:rsidP="00BF5BA6">
      <w:pPr>
        <w:pStyle w:val="20"/>
        <w:adjustRightInd w:val="0"/>
        <w:snapToGrid w:val="0"/>
        <w:ind w:firstLine="480"/>
        <w:rPr>
          <w:rFonts w:cs="宋体"/>
          <w:bCs/>
          <w:sz w:val="24"/>
        </w:rPr>
      </w:pPr>
      <w:r>
        <w:rPr>
          <w:rFonts w:cs="宋体" w:hint="eastAsia"/>
          <w:bCs/>
          <w:sz w:val="24"/>
        </w:rPr>
        <w:t>（四）</w:t>
      </w:r>
      <w:r w:rsidR="00BF5BA6" w:rsidRPr="00BF5BA6">
        <w:rPr>
          <w:rFonts w:cs="宋体" w:hint="eastAsia"/>
          <w:bCs/>
          <w:sz w:val="24"/>
        </w:rPr>
        <w:t>清算费用</w:t>
      </w:r>
    </w:p>
    <w:p w14:paraId="266155E7" w14:textId="77777777" w:rsidR="00BF5BA6" w:rsidRPr="00BF5BA6" w:rsidRDefault="00BF5BA6" w:rsidP="00BF5BA6">
      <w:pPr>
        <w:pStyle w:val="20"/>
        <w:adjustRightInd w:val="0"/>
        <w:snapToGrid w:val="0"/>
        <w:ind w:firstLine="480"/>
        <w:rPr>
          <w:rFonts w:cs="宋体"/>
          <w:bCs/>
          <w:sz w:val="24"/>
        </w:rPr>
      </w:pPr>
      <w:r w:rsidRPr="00BF5BA6">
        <w:rPr>
          <w:rFonts w:cs="宋体" w:hint="eastAsia"/>
          <w:bCs/>
          <w:sz w:val="24"/>
        </w:rPr>
        <w:t>清算费用是指基金财产清算小组在进行基金清算过程中发生的所有合理费用，清算费用由基金财产清算小组优先从基金剩余财产中支付。</w:t>
      </w:r>
    </w:p>
    <w:p w14:paraId="7F2947E5" w14:textId="77777777" w:rsidR="00BF5BA6" w:rsidRPr="00BF5BA6" w:rsidRDefault="009511E5" w:rsidP="00BF5BA6">
      <w:pPr>
        <w:pStyle w:val="20"/>
        <w:adjustRightInd w:val="0"/>
        <w:snapToGrid w:val="0"/>
        <w:ind w:firstLine="480"/>
        <w:rPr>
          <w:rFonts w:cs="宋体"/>
          <w:bCs/>
          <w:sz w:val="24"/>
        </w:rPr>
      </w:pPr>
      <w:r>
        <w:rPr>
          <w:rFonts w:cs="宋体" w:hint="eastAsia"/>
          <w:bCs/>
          <w:sz w:val="24"/>
        </w:rPr>
        <w:t>（五）</w:t>
      </w:r>
      <w:r w:rsidR="00BF5BA6" w:rsidRPr="00BF5BA6">
        <w:rPr>
          <w:rFonts w:cs="宋体" w:hint="eastAsia"/>
          <w:bCs/>
          <w:sz w:val="24"/>
        </w:rPr>
        <w:t>基金财产清算剩余资产的分配</w:t>
      </w:r>
    </w:p>
    <w:p w14:paraId="6DB8193F" w14:textId="62F96906" w:rsidR="00BF5BA6" w:rsidRPr="00BF5BA6" w:rsidRDefault="00BF5BA6" w:rsidP="00BF5BA6">
      <w:pPr>
        <w:pStyle w:val="20"/>
        <w:adjustRightInd w:val="0"/>
        <w:snapToGrid w:val="0"/>
        <w:ind w:firstLine="480"/>
        <w:rPr>
          <w:rFonts w:cs="宋体"/>
          <w:bCs/>
          <w:sz w:val="24"/>
        </w:rPr>
      </w:pPr>
      <w:r w:rsidRPr="00BF5BA6">
        <w:rPr>
          <w:rFonts w:cs="宋体" w:hint="eastAsia"/>
          <w:bCs/>
          <w:sz w:val="24"/>
        </w:rPr>
        <w:t>依据基金财产清算的分配方案，将基金财产清算后的全部剩余资产扣除基金财产清算费用、交纳所欠税款并清偿基金债务后，按基金份额持有人持有的</w:t>
      </w:r>
      <w:r w:rsidR="00506099">
        <w:rPr>
          <w:rFonts w:cs="宋体" w:hint="eastAsia"/>
          <w:bCs/>
          <w:sz w:val="24"/>
        </w:rPr>
        <w:t>各类</w:t>
      </w:r>
      <w:r w:rsidRPr="00BF5BA6">
        <w:rPr>
          <w:rFonts w:cs="宋体" w:hint="eastAsia"/>
          <w:bCs/>
          <w:sz w:val="24"/>
        </w:rPr>
        <w:t>基金份额比例进行分配。</w:t>
      </w:r>
    </w:p>
    <w:p w14:paraId="4AAD65DF" w14:textId="77777777" w:rsidR="00BF5BA6" w:rsidRPr="00BF5BA6" w:rsidRDefault="009511E5" w:rsidP="00BF5BA6">
      <w:pPr>
        <w:pStyle w:val="20"/>
        <w:adjustRightInd w:val="0"/>
        <w:snapToGrid w:val="0"/>
        <w:ind w:firstLine="480"/>
        <w:rPr>
          <w:rFonts w:cs="宋体"/>
          <w:bCs/>
          <w:sz w:val="24"/>
        </w:rPr>
      </w:pPr>
      <w:r>
        <w:rPr>
          <w:rFonts w:cs="宋体" w:hint="eastAsia"/>
          <w:bCs/>
          <w:sz w:val="24"/>
        </w:rPr>
        <w:t>（六）</w:t>
      </w:r>
      <w:r w:rsidR="00BF5BA6" w:rsidRPr="00BF5BA6">
        <w:rPr>
          <w:rFonts w:cs="宋体" w:hint="eastAsia"/>
          <w:bCs/>
          <w:sz w:val="24"/>
        </w:rPr>
        <w:t>基金财产清算的公告</w:t>
      </w:r>
    </w:p>
    <w:p w14:paraId="7929E9B6" w14:textId="77777777" w:rsidR="00BF5BA6" w:rsidRPr="00BF5BA6" w:rsidRDefault="00BF5BA6" w:rsidP="00BF5BA6">
      <w:pPr>
        <w:pStyle w:val="20"/>
        <w:adjustRightInd w:val="0"/>
        <w:snapToGrid w:val="0"/>
        <w:ind w:firstLine="480"/>
        <w:rPr>
          <w:rFonts w:cs="宋体"/>
          <w:bCs/>
          <w:sz w:val="24"/>
        </w:rPr>
      </w:pPr>
      <w:r w:rsidRPr="00BF5BA6">
        <w:rPr>
          <w:rFonts w:cs="宋体" w:hint="eastAsia"/>
          <w:bCs/>
          <w:sz w:val="24"/>
        </w:rPr>
        <w:t>清算过程中的有关重大事项须及时公告；基金财产清算报告经符合《中华人民共和国证券法》规定的会计师事务所审计，律师事务所出具法律意见书后，由基金财产清算小组报中国证监会备案并公告，基金财产清算小组应当将清算报告登载在规定网站上，并将清算报告提示性公告登载在规定报刊上。</w:t>
      </w:r>
    </w:p>
    <w:p w14:paraId="57F7D2D1" w14:textId="77777777" w:rsidR="00BF5BA6" w:rsidRPr="00BF5BA6" w:rsidRDefault="009511E5" w:rsidP="00BF5BA6">
      <w:pPr>
        <w:pStyle w:val="20"/>
        <w:adjustRightInd w:val="0"/>
        <w:snapToGrid w:val="0"/>
        <w:ind w:firstLine="480"/>
        <w:rPr>
          <w:rFonts w:cs="宋体"/>
          <w:bCs/>
          <w:sz w:val="24"/>
        </w:rPr>
      </w:pPr>
      <w:r>
        <w:rPr>
          <w:rFonts w:cs="宋体" w:hint="eastAsia"/>
          <w:bCs/>
          <w:sz w:val="24"/>
        </w:rPr>
        <w:t>（七）</w:t>
      </w:r>
      <w:r w:rsidR="00BF5BA6" w:rsidRPr="00BF5BA6">
        <w:rPr>
          <w:rFonts w:cs="宋体" w:hint="eastAsia"/>
          <w:bCs/>
          <w:sz w:val="24"/>
        </w:rPr>
        <w:t>基金财产清算账册及文件的保存</w:t>
      </w:r>
    </w:p>
    <w:p w14:paraId="595F84C0" w14:textId="77777777" w:rsidR="00BF5BA6" w:rsidRDefault="00BF5BA6">
      <w:pPr>
        <w:pStyle w:val="20"/>
        <w:adjustRightInd w:val="0"/>
        <w:snapToGrid w:val="0"/>
        <w:ind w:firstLine="480"/>
        <w:rPr>
          <w:rFonts w:cs="宋体"/>
          <w:bCs/>
          <w:sz w:val="24"/>
        </w:rPr>
      </w:pPr>
      <w:r w:rsidRPr="00BF5BA6">
        <w:rPr>
          <w:rFonts w:cs="宋体" w:hint="eastAsia"/>
          <w:bCs/>
          <w:sz w:val="24"/>
        </w:rPr>
        <w:t>基金财产清算账册及有关文件由基金托管人保存，保存期限不少于法律法规的规定。</w:t>
      </w:r>
    </w:p>
    <w:p w14:paraId="40749803" w14:textId="77777777" w:rsidR="00BF4A4E" w:rsidRDefault="00BF4A4E">
      <w:pPr>
        <w:pStyle w:val="20"/>
        <w:adjustRightInd w:val="0"/>
        <w:snapToGrid w:val="0"/>
        <w:ind w:firstLine="480"/>
        <w:rPr>
          <w:rFonts w:cs="宋体"/>
          <w:bCs/>
          <w:sz w:val="24"/>
        </w:rPr>
      </w:pPr>
      <w:r>
        <w:rPr>
          <w:rFonts w:cs="宋体" w:hint="eastAsia"/>
          <w:bCs/>
          <w:sz w:val="24"/>
        </w:rPr>
        <w:t>四、争议解决方式</w:t>
      </w:r>
    </w:p>
    <w:p w14:paraId="53F871E5" w14:textId="59F753E1" w:rsidR="00741CD0" w:rsidRPr="00506099" w:rsidRDefault="009D7FCD" w:rsidP="00741CD0">
      <w:pPr>
        <w:pStyle w:val="20"/>
        <w:adjustRightInd w:val="0"/>
        <w:snapToGrid w:val="0"/>
        <w:ind w:firstLine="482"/>
        <w:rPr>
          <w:rFonts w:cs="宋体"/>
          <w:bCs/>
          <w:sz w:val="24"/>
        </w:rPr>
      </w:pPr>
      <w:r w:rsidRPr="008F78D4">
        <w:rPr>
          <w:b/>
          <w:bCs/>
          <w:sz w:val="24"/>
        </w:rPr>
        <w:t>各方当事人同意，因《基金合同》而产生的或与《基金合同》有关的一切争议，如经友好协商未能解决的，</w:t>
      </w:r>
      <w:r>
        <w:rPr>
          <w:b/>
          <w:bCs/>
          <w:sz w:val="24"/>
        </w:rPr>
        <w:t>任何一方均应将争议提交中国国际经济贸易仲裁委员会，仲裁地点为北京市，按照中国国际经济贸易仲裁委员会届时有效的仲裁</w:t>
      </w:r>
      <w:r>
        <w:rPr>
          <w:b/>
          <w:bCs/>
          <w:sz w:val="24"/>
        </w:rPr>
        <w:lastRenderedPageBreak/>
        <w:t>规则进行仲裁。仲裁裁决是终局的，对各方当事人均有约束力，仲裁费由败诉方承担，除非仲裁裁决另有决定。</w:t>
      </w:r>
    </w:p>
    <w:p w14:paraId="7D3650FA" w14:textId="1E320110" w:rsidR="00741CD0" w:rsidRPr="00741CD0" w:rsidRDefault="00741CD0" w:rsidP="00741CD0">
      <w:pPr>
        <w:pStyle w:val="20"/>
        <w:adjustRightInd w:val="0"/>
        <w:snapToGrid w:val="0"/>
        <w:ind w:firstLine="480"/>
        <w:rPr>
          <w:rFonts w:cs="宋体"/>
          <w:bCs/>
          <w:sz w:val="24"/>
        </w:rPr>
      </w:pPr>
      <w:r w:rsidRPr="00741CD0">
        <w:rPr>
          <w:rFonts w:cs="宋体" w:hint="eastAsia"/>
          <w:bCs/>
          <w:sz w:val="24"/>
        </w:rPr>
        <w:t>争议处理期间，基金管理人</w:t>
      </w:r>
      <w:r w:rsidR="00506099">
        <w:rPr>
          <w:rFonts w:cs="宋体" w:hint="eastAsia"/>
          <w:bCs/>
          <w:sz w:val="24"/>
        </w:rPr>
        <w:t>及</w:t>
      </w:r>
      <w:r w:rsidRPr="00741CD0">
        <w:rPr>
          <w:rFonts w:cs="宋体" w:hint="eastAsia"/>
          <w:bCs/>
          <w:sz w:val="24"/>
        </w:rPr>
        <w:t>基金托管人应恪守各自的职责，继续忠实、勤勉、尽责地履行基金合同约定的义务，维护基金份额持有人的合法权益。</w:t>
      </w:r>
    </w:p>
    <w:p w14:paraId="27CD9184" w14:textId="77777777" w:rsidR="00741CD0" w:rsidRDefault="00741CD0">
      <w:pPr>
        <w:pStyle w:val="20"/>
        <w:adjustRightInd w:val="0"/>
        <w:snapToGrid w:val="0"/>
        <w:ind w:firstLine="480"/>
        <w:rPr>
          <w:rFonts w:cs="宋体"/>
          <w:bCs/>
          <w:sz w:val="24"/>
        </w:rPr>
      </w:pPr>
      <w:r w:rsidRPr="00741CD0">
        <w:rPr>
          <w:rFonts w:cs="宋体" w:hint="eastAsia"/>
          <w:bCs/>
          <w:sz w:val="24"/>
        </w:rPr>
        <w:t>本基金合同受中国法律（为本基金合同之目的，不包括香港特别行政区、澳门特别行政区和台湾地区法律）管辖，并按其解释。</w:t>
      </w:r>
    </w:p>
    <w:p w14:paraId="145430D3" w14:textId="77777777" w:rsidR="00BF4A4E" w:rsidRDefault="00BF4A4E">
      <w:pPr>
        <w:pStyle w:val="20"/>
        <w:adjustRightInd w:val="0"/>
        <w:snapToGrid w:val="0"/>
        <w:ind w:firstLine="480"/>
        <w:rPr>
          <w:rFonts w:cs="宋体"/>
          <w:bCs/>
          <w:sz w:val="24"/>
        </w:rPr>
      </w:pPr>
      <w:r>
        <w:rPr>
          <w:rFonts w:cs="宋体" w:hint="eastAsia"/>
          <w:bCs/>
          <w:sz w:val="24"/>
        </w:rPr>
        <w:t>五、基金合同存放地和投资人取得基金合同的方式</w:t>
      </w:r>
    </w:p>
    <w:p w14:paraId="7CE1C725" w14:textId="1B62BC93" w:rsidR="00BF4A4E" w:rsidRDefault="009D7FCD">
      <w:pPr>
        <w:pStyle w:val="20"/>
        <w:adjustRightInd w:val="0"/>
        <w:snapToGrid w:val="0"/>
        <w:ind w:firstLine="480"/>
        <w:jc w:val="left"/>
        <w:rPr>
          <w:rFonts w:cs="Arial"/>
          <w:b/>
          <w:bCs/>
          <w:kern w:val="32"/>
          <w:sz w:val="32"/>
          <w:szCs w:val="32"/>
        </w:rPr>
      </w:pPr>
      <w:r>
        <w:rPr>
          <w:rFonts w:cs="宋体" w:hint="eastAsia"/>
          <w:bCs/>
          <w:sz w:val="24"/>
        </w:rPr>
        <w:t>《</w:t>
      </w:r>
      <w:r w:rsidR="00BF4A4E">
        <w:rPr>
          <w:rFonts w:cs="宋体" w:hint="eastAsia"/>
          <w:bCs/>
          <w:sz w:val="24"/>
        </w:rPr>
        <w:t>基金合同</w:t>
      </w:r>
      <w:r>
        <w:rPr>
          <w:rFonts w:cs="宋体" w:hint="eastAsia"/>
          <w:bCs/>
          <w:sz w:val="24"/>
        </w:rPr>
        <w:t>》</w:t>
      </w:r>
      <w:r w:rsidR="00BF4A4E">
        <w:rPr>
          <w:rFonts w:cs="宋体" w:hint="eastAsia"/>
          <w:bCs/>
          <w:sz w:val="24"/>
        </w:rPr>
        <w:t>可印制成册，供投资人在基金管理人、基金托管人、销售机构的办公场所和营业场所查阅。</w:t>
      </w:r>
      <w:bookmarkStart w:id="71" w:name="_Hlt88897298"/>
      <w:bookmarkStart w:id="72" w:name="_Hlt88825574"/>
      <w:bookmarkStart w:id="73" w:name="_Hlt88820702"/>
      <w:bookmarkEnd w:id="71"/>
      <w:bookmarkEnd w:id="72"/>
      <w:bookmarkEnd w:id="73"/>
    </w:p>
    <w:p w14:paraId="7CA1D4FE" w14:textId="77777777" w:rsidR="00BF4A4E" w:rsidRDefault="00BF4A4E" w:rsidP="00770B2C">
      <w:pPr>
        <w:pStyle w:val="20"/>
        <w:adjustRightInd w:val="0"/>
        <w:snapToGrid w:val="0"/>
        <w:ind w:firstLineChars="0" w:firstLine="0"/>
        <w:jc w:val="left"/>
        <w:rPr>
          <w:rFonts w:cs="Arial"/>
          <w:b/>
          <w:bCs/>
          <w:kern w:val="32"/>
          <w:sz w:val="32"/>
          <w:szCs w:val="32"/>
        </w:rPr>
      </w:pPr>
    </w:p>
    <w:p w14:paraId="67750C88" w14:textId="77777777" w:rsidR="00BF4A4E" w:rsidRDefault="00266731">
      <w:pPr>
        <w:pStyle w:val="20"/>
        <w:adjustRightInd w:val="0"/>
        <w:snapToGrid w:val="0"/>
        <w:ind w:firstLine="643"/>
        <w:jc w:val="center"/>
        <w:outlineLvl w:val="0"/>
        <w:rPr>
          <w:rFonts w:cs="Arial"/>
          <w:b/>
          <w:bCs/>
          <w:kern w:val="32"/>
          <w:sz w:val="32"/>
          <w:szCs w:val="32"/>
        </w:rPr>
      </w:pPr>
      <w:bookmarkStart w:id="74" w:name="_Toc103003362"/>
      <w:r>
        <w:rPr>
          <w:rFonts w:cs="Arial"/>
          <w:b/>
          <w:bCs/>
          <w:kern w:val="32"/>
          <w:sz w:val="32"/>
          <w:szCs w:val="32"/>
        </w:rPr>
        <w:br w:type="page"/>
      </w:r>
      <w:r w:rsidR="00BF4A4E">
        <w:rPr>
          <w:rFonts w:cs="Arial"/>
          <w:b/>
          <w:bCs/>
          <w:kern w:val="32"/>
          <w:sz w:val="32"/>
          <w:szCs w:val="32"/>
        </w:rPr>
        <w:lastRenderedPageBreak/>
        <w:t>第</w:t>
      </w:r>
      <w:r w:rsidR="00BF4A4E">
        <w:rPr>
          <w:rFonts w:cs="Arial" w:hint="eastAsia"/>
          <w:b/>
          <w:bCs/>
          <w:kern w:val="32"/>
          <w:sz w:val="32"/>
          <w:szCs w:val="32"/>
        </w:rPr>
        <w:t>二十</w:t>
      </w:r>
      <w:r w:rsidR="00BF4A4E">
        <w:rPr>
          <w:rFonts w:cs="Arial"/>
          <w:b/>
          <w:bCs/>
          <w:kern w:val="32"/>
          <w:sz w:val="32"/>
          <w:szCs w:val="32"/>
        </w:rPr>
        <w:t>部分</w:t>
      </w:r>
      <w:r w:rsidR="00BF4A4E">
        <w:rPr>
          <w:rFonts w:cs="Arial" w:hint="eastAsia"/>
          <w:b/>
          <w:bCs/>
          <w:kern w:val="32"/>
          <w:sz w:val="32"/>
          <w:szCs w:val="32"/>
        </w:rPr>
        <w:t xml:space="preserve">  基金托管协议的内容摘要</w:t>
      </w:r>
      <w:bookmarkEnd w:id="74"/>
    </w:p>
    <w:p w14:paraId="106EABC7" w14:textId="77777777" w:rsidR="00BF4A4E" w:rsidRDefault="00BF4A4E">
      <w:pPr>
        <w:pStyle w:val="af6"/>
        <w:ind w:firstLineChars="0" w:firstLine="0"/>
        <w:jc w:val="left"/>
        <w:rPr>
          <w:rFonts w:hAnsi="宋体"/>
          <w:b w:val="0"/>
          <w:color w:val="000000"/>
          <w:sz w:val="24"/>
          <w:szCs w:val="24"/>
          <w:lang w:val="en-US"/>
        </w:rPr>
      </w:pPr>
      <w:bookmarkStart w:id="75" w:name="_Hlk139309305"/>
    </w:p>
    <w:p w14:paraId="00C0BA21" w14:textId="6817E00C" w:rsidR="00BF4A4E" w:rsidRDefault="00446B87">
      <w:pPr>
        <w:pStyle w:val="20"/>
        <w:adjustRightInd w:val="0"/>
        <w:snapToGrid w:val="0"/>
        <w:ind w:firstLine="480"/>
        <w:rPr>
          <w:rFonts w:cs="宋体"/>
          <w:sz w:val="24"/>
          <w:szCs w:val="24"/>
        </w:rPr>
      </w:pPr>
      <w:bookmarkStart w:id="76" w:name="_Hlk192774262"/>
      <w:bookmarkStart w:id="77" w:name="_Hlk130205332"/>
      <w:r>
        <w:rPr>
          <w:rFonts w:cs="宋体" w:hint="eastAsia"/>
          <w:sz w:val="24"/>
          <w:szCs w:val="24"/>
        </w:rPr>
        <w:t>一、</w:t>
      </w:r>
      <w:r w:rsidR="00846F64">
        <w:rPr>
          <w:rFonts w:cs="宋体" w:hint="eastAsia"/>
          <w:sz w:val="24"/>
          <w:szCs w:val="24"/>
        </w:rPr>
        <w:t>基金</w:t>
      </w:r>
      <w:r w:rsidR="00BF4A4E">
        <w:rPr>
          <w:rFonts w:cs="宋体" w:hint="eastAsia"/>
          <w:sz w:val="24"/>
          <w:szCs w:val="24"/>
        </w:rPr>
        <w:t>托管协议当事人</w:t>
      </w:r>
    </w:p>
    <w:p w14:paraId="7CB12661" w14:textId="139A2C61" w:rsidR="00BF4A4E" w:rsidRPr="00541650" w:rsidRDefault="00446B87" w:rsidP="00541650">
      <w:pPr>
        <w:spacing w:line="360" w:lineRule="auto"/>
        <w:ind w:firstLineChars="200" w:firstLine="480"/>
        <w:rPr>
          <w:rFonts w:asciiTheme="minorEastAsia" w:eastAsiaTheme="minorEastAsia" w:hAnsiTheme="minorEastAsia"/>
          <w:color w:val="000000" w:themeColor="text1"/>
          <w:sz w:val="24"/>
        </w:rPr>
      </w:pPr>
      <w:bookmarkStart w:id="78" w:name="_Hlk130208284"/>
      <w:r w:rsidRPr="00541650">
        <w:rPr>
          <w:rFonts w:asciiTheme="minorEastAsia" w:eastAsiaTheme="minorEastAsia" w:hAnsiTheme="minorEastAsia" w:hint="eastAsia"/>
          <w:color w:val="000000" w:themeColor="text1"/>
          <w:sz w:val="24"/>
        </w:rPr>
        <w:t>（一）</w:t>
      </w:r>
      <w:r w:rsidR="00BF4A4E" w:rsidRPr="00541650">
        <w:rPr>
          <w:rFonts w:asciiTheme="minorEastAsia" w:eastAsiaTheme="minorEastAsia" w:hAnsiTheme="minorEastAsia" w:hint="eastAsia"/>
          <w:color w:val="000000" w:themeColor="text1"/>
          <w:sz w:val="24"/>
        </w:rPr>
        <w:t>基金管理人</w:t>
      </w:r>
      <w:r w:rsidRPr="00541650">
        <w:rPr>
          <w:rFonts w:asciiTheme="minorEastAsia" w:eastAsiaTheme="minorEastAsia" w:hAnsiTheme="minorEastAsia" w:hint="eastAsia"/>
          <w:color w:val="000000" w:themeColor="text1"/>
          <w:sz w:val="24"/>
        </w:rPr>
        <w:t>（</w:t>
      </w:r>
      <w:r w:rsidR="00316AFA" w:rsidRPr="00316AFA">
        <w:rPr>
          <w:rFonts w:asciiTheme="minorEastAsia" w:eastAsiaTheme="minorEastAsia" w:hAnsiTheme="minorEastAsia" w:hint="eastAsia"/>
          <w:color w:val="000000" w:themeColor="text1"/>
          <w:sz w:val="24"/>
        </w:rPr>
        <w:t>也可称资产管理人</w:t>
      </w:r>
      <w:r w:rsidRPr="00541650">
        <w:rPr>
          <w:rFonts w:asciiTheme="minorEastAsia" w:eastAsiaTheme="minorEastAsia" w:hAnsiTheme="minorEastAsia" w:hint="eastAsia"/>
          <w:color w:val="000000" w:themeColor="text1"/>
          <w:sz w:val="24"/>
        </w:rPr>
        <w:t>）</w:t>
      </w:r>
    </w:p>
    <w:p w14:paraId="06D8C91A"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名称：银华基金管理股份有限公司</w:t>
      </w:r>
    </w:p>
    <w:p w14:paraId="45A7A2F1"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住所：深圳市福田区深南大道6008号特区报业大厦19层</w:t>
      </w:r>
    </w:p>
    <w:p w14:paraId="4B22CFBE"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办公地址：北京市东城区东长安街1号东方广场东方经贸城C2办公楼15层</w:t>
      </w:r>
    </w:p>
    <w:p w14:paraId="11887DD9"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邮政编码：100738</w:t>
      </w:r>
    </w:p>
    <w:p w14:paraId="3C50AECC"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法定代表人：王珠林</w:t>
      </w:r>
    </w:p>
    <w:p w14:paraId="7E4E8E17"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成立时间：2001年5月28日</w:t>
      </w:r>
    </w:p>
    <w:p w14:paraId="26ADFB39"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批准设立机关：中国证券监督管理委员会</w:t>
      </w:r>
    </w:p>
    <w:p w14:paraId="7B8B7EB6"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批准设立文号：中国证监会证监基金字[2001]7号</w:t>
      </w:r>
    </w:p>
    <w:p w14:paraId="3189177C"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组织形式：股份有限公司</w:t>
      </w:r>
    </w:p>
    <w:p w14:paraId="7356C430"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注册资本：贰亿贰仟贰佰贰拾万元人民币</w:t>
      </w:r>
    </w:p>
    <w:p w14:paraId="62B164F7"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存续期间：持续经营</w:t>
      </w:r>
    </w:p>
    <w:p w14:paraId="270D811E" w14:textId="3009E3D6" w:rsidR="00B3574B" w:rsidRDefault="00112EBC" w:rsidP="00B3574B">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经营范围：基金募集、基金销售、资产管理、中国证监会许可的其他业务。</w:t>
      </w:r>
    </w:p>
    <w:p w14:paraId="43049CCF" w14:textId="31D71274" w:rsidR="00BF4A4E" w:rsidRPr="00541650" w:rsidRDefault="00446B87" w:rsidP="00541650">
      <w:pPr>
        <w:spacing w:line="360" w:lineRule="auto"/>
        <w:ind w:firstLineChars="200" w:firstLine="480"/>
        <w:rPr>
          <w:rFonts w:asciiTheme="minorEastAsia" w:eastAsiaTheme="minorEastAsia" w:hAnsiTheme="minorEastAsia"/>
          <w:color w:val="000000" w:themeColor="text1"/>
          <w:sz w:val="24"/>
        </w:rPr>
      </w:pPr>
      <w:r w:rsidRPr="00541650">
        <w:rPr>
          <w:rFonts w:asciiTheme="minorEastAsia" w:eastAsiaTheme="minorEastAsia" w:hAnsiTheme="minorEastAsia" w:hint="eastAsia"/>
          <w:color w:val="000000" w:themeColor="text1"/>
          <w:sz w:val="24"/>
        </w:rPr>
        <w:t>（二）</w:t>
      </w:r>
      <w:r w:rsidR="00BF4A4E" w:rsidRPr="00541650">
        <w:rPr>
          <w:rFonts w:asciiTheme="minorEastAsia" w:eastAsiaTheme="minorEastAsia" w:hAnsiTheme="minorEastAsia" w:hint="eastAsia"/>
          <w:color w:val="000000" w:themeColor="text1"/>
          <w:sz w:val="24"/>
        </w:rPr>
        <w:t>基金托管人</w:t>
      </w:r>
      <w:r w:rsidRPr="00541650">
        <w:rPr>
          <w:rFonts w:asciiTheme="minorEastAsia" w:eastAsiaTheme="minorEastAsia" w:hAnsiTheme="minorEastAsia" w:hint="eastAsia"/>
          <w:color w:val="000000" w:themeColor="text1"/>
          <w:sz w:val="24"/>
        </w:rPr>
        <w:t>（</w:t>
      </w:r>
      <w:r w:rsidR="00316AFA" w:rsidRPr="00316AFA">
        <w:rPr>
          <w:rFonts w:asciiTheme="minorEastAsia" w:eastAsiaTheme="minorEastAsia" w:hAnsiTheme="minorEastAsia" w:hint="eastAsia"/>
          <w:color w:val="000000" w:themeColor="text1"/>
          <w:sz w:val="24"/>
        </w:rPr>
        <w:t>也可称资产托管人</w:t>
      </w:r>
      <w:r w:rsidRPr="00541650">
        <w:rPr>
          <w:rFonts w:asciiTheme="minorEastAsia" w:eastAsiaTheme="minorEastAsia" w:hAnsiTheme="minorEastAsia" w:hint="eastAsia"/>
          <w:color w:val="000000" w:themeColor="text1"/>
          <w:sz w:val="24"/>
        </w:rPr>
        <w:t>）</w:t>
      </w:r>
    </w:p>
    <w:p w14:paraId="5BDAE3AD"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名称：招商银行股份有限公司（简称：招商银行）</w:t>
      </w:r>
    </w:p>
    <w:p w14:paraId="775D4A32"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住所：深圳市深南大道7088号招商银行大厦</w:t>
      </w:r>
    </w:p>
    <w:p w14:paraId="50F46503"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办公地址：深圳市深南大道7088号招商银行大厦</w:t>
      </w:r>
    </w:p>
    <w:p w14:paraId="4AD3FFE0"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邮政编码：518040</w:t>
      </w:r>
    </w:p>
    <w:p w14:paraId="420C21C5"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法定代表人：缪建民</w:t>
      </w:r>
    </w:p>
    <w:p w14:paraId="667863E5"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成立时间：1987年4月8日</w:t>
      </w:r>
    </w:p>
    <w:p w14:paraId="339D4686"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批准设立机关和批准设立文号：中国人民银行银复字（1986）175号文、银复（1987）86号文</w:t>
      </w:r>
    </w:p>
    <w:p w14:paraId="33A73F99"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基金托管业务批准文号：中国证监会证监基金字[2002]83号</w:t>
      </w:r>
    </w:p>
    <w:p w14:paraId="323F9DE9"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组织形式：股份有限公司</w:t>
      </w:r>
    </w:p>
    <w:p w14:paraId="4D99B881"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注册资本：人民币252.20亿元</w:t>
      </w:r>
    </w:p>
    <w:p w14:paraId="4C8FA855" w14:textId="0A62601F" w:rsidR="00D817A2" w:rsidRPr="00541650" w:rsidRDefault="00112EBC" w:rsidP="00541650">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存续期间：持续经营</w:t>
      </w:r>
      <w:bookmarkStart w:id="79" w:name="OLE_LINK3"/>
      <w:bookmarkEnd w:id="79"/>
    </w:p>
    <w:p w14:paraId="3E39B4F9" w14:textId="6C72E927" w:rsidR="00BF4A4E" w:rsidRPr="00541650" w:rsidRDefault="00446B87" w:rsidP="00541650">
      <w:pPr>
        <w:spacing w:line="360" w:lineRule="auto"/>
        <w:ind w:firstLineChars="200" w:firstLine="480"/>
        <w:rPr>
          <w:rFonts w:asciiTheme="minorEastAsia" w:eastAsiaTheme="minorEastAsia" w:hAnsiTheme="minorEastAsia"/>
          <w:color w:val="000000" w:themeColor="text1"/>
          <w:sz w:val="24"/>
        </w:rPr>
      </w:pPr>
      <w:r w:rsidRPr="00541650">
        <w:rPr>
          <w:rFonts w:asciiTheme="minorEastAsia" w:eastAsiaTheme="minorEastAsia" w:hAnsiTheme="minorEastAsia" w:hint="eastAsia"/>
          <w:color w:val="000000" w:themeColor="text1"/>
          <w:sz w:val="24"/>
        </w:rPr>
        <w:lastRenderedPageBreak/>
        <w:t>二、</w:t>
      </w:r>
      <w:r w:rsidR="00BF4A4E" w:rsidRPr="00541650">
        <w:rPr>
          <w:rFonts w:asciiTheme="minorEastAsia" w:eastAsiaTheme="minorEastAsia" w:hAnsiTheme="minorEastAsia" w:hint="eastAsia"/>
          <w:color w:val="000000" w:themeColor="text1"/>
          <w:sz w:val="24"/>
        </w:rPr>
        <w:t>基金托管人对基金管理人的业务监督和核查</w:t>
      </w:r>
    </w:p>
    <w:p w14:paraId="7C120F35"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（一）基金托管人根据有关法律法规的规定以及《基金合同》的约定，对基金投资范围、投资比例、投资限制、关联方交易等进行监督。</w:t>
      </w:r>
    </w:p>
    <w:p w14:paraId="5BDE5CD0"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1.本基金的投资范围为：</w:t>
      </w:r>
    </w:p>
    <w:p w14:paraId="140DB7E1" w14:textId="1139C8AE" w:rsidR="00095532" w:rsidRPr="00095532" w:rsidRDefault="00095532" w:rsidP="00095532">
      <w:pPr>
        <w:spacing w:line="360" w:lineRule="auto"/>
        <w:ind w:firstLineChars="200" w:firstLine="480"/>
        <w:rPr>
          <w:rFonts w:asciiTheme="minorEastAsia" w:eastAsiaTheme="minorEastAsia" w:hAnsiTheme="minorEastAsia"/>
          <w:color w:val="000000" w:themeColor="text1"/>
          <w:sz w:val="24"/>
        </w:rPr>
      </w:pPr>
      <w:r w:rsidRPr="00095532">
        <w:rPr>
          <w:rFonts w:asciiTheme="minorEastAsia" w:eastAsiaTheme="minorEastAsia" w:hAnsiTheme="minorEastAsia" w:hint="eastAsia"/>
          <w:color w:val="000000" w:themeColor="text1"/>
          <w:sz w:val="24"/>
        </w:rPr>
        <w:t>本基金以目标ETF基金份额、标的指数成份股及备选成份股（均含存托凭证，下同）为主要投资对象。此外，为更好地实现投资目标，本基金可少量投资于部分非成份股（包括主板股票、科创板股票、创业板股票、存托凭证及其他经中国证监会核准或注册上市的股票）、债券资产（包括国债、金融债券、企业债券、公司债券、公开发行的次级债券、可转换公司债券</w:t>
      </w:r>
      <w:r w:rsidR="0035733C">
        <w:rPr>
          <w:rFonts w:asciiTheme="minorEastAsia" w:eastAsiaTheme="minorEastAsia" w:hAnsiTheme="minorEastAsia" w:hint="eastAsia"/>
          <w:color w:val="000000" w:themeColor="text1"/>
          <w:sz w:val="24"/>
        </w:rPr>
        <w:t>、</w:t>
      </w:r>
      <w:r w:rsidRPr="00095532">
        <w:rPr>
          <w:rFonts w:asciiTheme="minorEastAsia" w:eastAsiaTheme="minorEastAsia" w:hAnsiTheme="minorEastAsia" w:hint="eastAsia"/>
          <w:color w:val="000000" w:themeColor="text1"/>
          <w:sz w:val="24"/>
        </w:rPr>
        <w:t>分离交易可转换公司债券、央行票据、短期融资券、超短期融资券、地方政府债券、政府支持机构债券、中期票据、可交换债券以及其他中国证监会允许投资的债券）、银行存款（包括银行定期存款、协议存款及其他银行存款）、资产支持证券、债券回购、同业存单、现金、衍生工具（股指期货、股票期权、国债期货）以及法律法规或中国证监会允许基金投资的其他金融工具，但须符合中国证监会相关规定。</w:t>
      </w:r>
    </w:p>
    <w:p w14:paraId="6D53F785" w14:textId="77777777" w:rsidR="00095532" w:rsidRPr="00095532" w:rsidRDefault="00095532" w:rsidP="00095532">
      <w:pPr>
        <w:spacing w:line="360" w:lineRule="auto"/>
        <w:ind w:firstLineChars="200" w:firstLine="480"/>
        <w:rPr>
          <w:rFonts w:asciiTheme="minorEastAsia" w:eastAsiaTheme="minorEastAsia" w:hAnsiTheme="minorEastAsia"/>
          <w:color w:val="000000" w:themeColor="text1"/>
          <w:sz w:val="24"/>
        </w:rPr>
      </w:pPr>
      <w:r w:rsidRPr="00095532">
        <w:rPr>
          <w:rFonts w:asciiTheme="minorEastAsia" w:eastAsiaTheme="minorEastAsia" w:hAnsiTheme="minorEastAsia" w:hint="eastAsia"/>
          <w:color w:val="000000" w:themeColor="text1"/>
          <w:sz w:val="24"/>
        </w:rPr>
        <w:t>本基金可以根据相关法律法规，参与融资及转融通证券出借业务，以提高投资效率及进行风险管理。</w:t>
      </w:r>
    </w:p>
    <w:p w14:paraId="494B9FC7" w14:textId="77777777" w:rsidR="00095532" w:rsidRPr="00095532" w:rsidRDefault="00095532" w:rsidP="00095532">
      <w:pPr>
        <w:spacing w:line="360" w:lineRule="auto"/>
        <w:ind w:firstLineChars="200" w:firstLine="480"/>
        <w:rPr>
          <w:rFonts w:asciiTheme="minorEastAsia" w:eastAsiaTheme="minorEastAsia" w:hAnsiTheme="minorEastAsia"/>
          <w:color w:val="000000" w:themeColor="text1"/>
          <w:sz w:val="24"/>
        </w:rPr>
      </w:pPr>
      <w:r w:rsidRPr="00095532">
        <w:rPr>
          <w:rFonts w:asciiTheme="minorEastAsia" w:eastAsiaTheme="minorEastAsia" w:hAnsiTheme="minorEastAsia" w:hint="eastAsia"/>
          <w:color w:val="000000" w:themeColor="text1"/>
          <w:sz w:val="24"/>
        </w:rPr>
        <w:t>如法律法规或监管机构以后允许基金投资其他品种，基金管理人在履行适当程序后，可以将其纳入投资范围，其投资原则及投资比例限制按法律法规或监管机构的相关规定执行。</w:t>
      </w:r>
    </w:p>
    <w:p w14:paraId="753D75DF" w14:textId="77777777" w:rsidR="00095532" w:rsidRPr="00095532" w:rsidRDefault="00095532" w:rsidP="00095532">
      <w:pPr>
        <w:spacing w:line="360" w:lineRule="auto"/>
        <w:ind w:firstLineChars="200" w:firstLine="480"/>
        <w:rPr>
          <w:rFonts w:asciiTheme="minorEastAsia" w:eastAsiaTheme="minorEastAsia" w:hAnsiTheme="minorEastAsia"/>
          <w:color w:val="000000" w:themeColor="text1"/>
          <w:sz w:val="24"/>
        </w:rPr>
      </w:pPr>
      <w:r w:rsidRPr="00095532">
        <w:rPr>
          <w:rFonts w:asciiTheme="minorEastAsia" w:eastAsiaTheme="minorEastAsia" w:hAnsiTheme="minorEastAsia" w:hint="eastAsia"/>
          <w:color w:val="000000" w:themeColor="text1"/>
          <w:sz w:val="24"/>
        </w:rPr>
        <w:t>基金的投资组合比例为：本基金投资于目标ETF的比例不低于基金资产净值的90%，每个交易日日终在扣除股指期货合约、股票期权合约和国债期货合约需缴纳的交易保证金后，保持不低于基金资产净值5%的现金或者到期日在一年以内的政府债券。其中，现金不包括结算备付金、存出保证金和应收申购款等。</w:t>
      </w:r>
    </w:p>
    <w:p w14:paraId="666FF01A" w14:textId="790D2983" w:rsidR="00112EBC" w:rsidRPr="00112EBC" w:rsidRDefault="00095532" w:rsidP="00095532">
      <w:pPr>
        <w:spacing w:line="360" w:lineRule="auto"/>
        <w:ind w:firstLineChars="200" w:firstLine="480"/>
        <w:rPr>
          <w:rFonts w:asciiTheme="minorEastAsia" w:eastAsiaTheme="minorEastAsia" w:hAnsiTheme="minorEastAsia"/>
          <w:color w:val="000000" w:themeColor="text1"/>
          <w:sz w:val="24"/>
        </w:rPr>
      </w:pPr>
      <w:r w:rsidRPr="00095532">
        <w:rPr>
          <w:rFonts w:asciiTheme="minorEastAsia" w:eastAsiaTheme="minorEastAsia" w:hAnsiTheme="minorEastAsia" w:hint="eastAsia"/>
          <w:color w:val="000000" w:themeColor="text1"/>
          <w:sz w:val="24"/>
        </w:rPr>
        <w:t>如法律法规或监管机构变更相关投资品种的投资比例限制，基金管理人在履行适当程序后，可以调整上述投资品种的投资比例或按变更后的规定执行。</w:t>
      </w:r>
    </w:p>
    <w:p w14:paraId="6F5B04B6"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2.本基金各类品种的投资比例、投资限制为：</w:t>
      </w:r>
    </w:p>
    <w:p w14:paraId="387BA783" w14:textId="77777777" w:rsidR="00095532" w:rsidRPr="00095532" w:rsidRDefault="00095532" w:rsidP="00095532">
      <w:pPr>
        <w:spacing w:line="360" w:lineRule="auto"/>
        <w:ind w:firstLineChars="200" w:firstLine="480"/>
        <w:rPr>
          <w:rFonts w:asciiTheme="minorEastAsia" w:eastAsiaTheme="minorEastAsia" w:hAnsiTheme="minorEastAsia"/>
          <w:color w:val="000000" w:themeColor="text1"/>
          <w:sz w:val="24"/>
        </w:rPr>
      </w:pPr>
      <w:r w:rsidRPr="00095532">
        <w:rPr>
          <w:rFonts w:asciiTheme="minorEastAsia" w:eastAsiaTheme="minorEastAsia" w:hAnsiTheme="minorEastAsia" w:hint="eastAsia"/>
          <w:color w:val="000000" w:themeColor="text1"/>
          <w:sz w:val="24"/>
        </w:rPr>
        <w:t>（1）本基金持有的目标ETF的比例不得低于基金资产净值的90%；</w:t>
      </w:r>
    </w:p>
    <w:p w14:paraId="7AD61F29" w14:textId="77777777" w:rsidR="00095532" w:rsidRPr="00095532" w:rsidRDefault="00095532" w:rsidP="00095532">
      <w:pPr>
        <w:spacing w:line="360" w:lineRule="auto"/>
        <w:ind w:firstLineChars="200" w:firstLine="480"/>
        <w:rPr>
          <w:rFonts w:asciiTheme="minorEastAsia" w:eastAsiaTheme="minorEastAsia" w:hAnsiTheme="minorEastAsia"/>
          <w:color w:val="000000" w:themeColor="text1"/>
          <w:sz w:val="24"/>
        </w:rPr>
      </w:pPr>
      <w:r w:rsidRPr="00095532">
        <w:rPr>
          <w:rFonts w:asciiTheme="minorEastAsia" w:eastAsiaTheme="minorEastAsia" w:hAnsiTheme="minorEastAsia" w:hint="eastAsia"/>
          <w:color w:val="000000" w:themeColor="text1"/>
          <w:sz w:val="24"/>
        </w:rPr>
        <w:t>（2）每个交易日日终在扣除股指期货合约、股票期权合约和国债期货合约需缴纳的交易保证金后，保持不低于基金资产净值5%的现金或者到期日在一年</w:t>
      </w:r>
      <w:r w:rsidRPr="00095532">
        <w:rPr>
          <w:rFonts w:asciiTheme="minorEastAsia" w:eastAsiaTheme="minorEastAsia" w:hAnsiTheme="minorEastAsia" w:hint="eastAsia"/>
          <w:color w:val="000000" w:themeColor="text1"/>
          <w:sz w:val="24"/>
        </w:rPr>
        <w:lastRenderedPageBreak/>
        <w:t>以内的政府债券，其中现金不包括结算备付金、存出保证金和应收申购款等；</w:t>
      </w:r>
    </w:p>
    <w:p w14:paraId="037653A5" w14:textId="77777777" w:rsidR="00095532" w:rsidRPr="00095532" w:rsidRDefault="00095532" w:rsidP="00095532">
      <w:pPr>
        <w:spacing w:line="360" w:lineRule="auto"/>
        <w:ind w:firstLineChars="200" w:firstLine="480"/>
        <w:rPr>
          <w:rFonts w:asciiTheme="minorEastAsia" w:eastAsiaTheme="minorEastAsia" w:hAnsiTheme="minorEastAsia"/>
          <w:color w:val="000000" w:themeColor="text1"/>
          <w:sz w:val="24"/>
        </w:rPr>
      </w:pPr>
      <w:r w:rsidRPr="00095532">
        <w:rPr>
          <w:rFonts w:asciiTheme="minorEastAsia" w:eastAsiaTheme="minorEastAsia" w:hAnsiTheme="minorEastAsia" w:hint="eastAsia"/>
          <w:color w:val="000000" w:themeColor="text1"/>
          <w:sz w:val="24"/>
        </w:rPr>
        <w:t>（3）本基金投资于股指期货，需遵循以下投资比例限制：</w:t>
      </w:r>
    </w:p>
    <w:p w14:paraId="6D739C35" w14:textId="70D48345" w:rsidR="00095532" w:rsidRPr="00095532" w:rsidRDefault="00095532" w:rsidP="00095532">
      <w:pPr>
        <w:spacing w:line="360" w:lineRule="auto"/>
        <w:ind w:firstLineChars="200" w:firstLine="480"/>
        <w:rPr>
          <w:rFonts w:asciiTheme="minorEastAsia" w:eastAsiaTheme="minorEastAsia" w:hAnsiTheme="minorEastAsia"/>
          <w:color w:val="000000" w:themeColor="text1"/>
          <w:sz w:val="24"/>
        </w:rPr>
      </w:pPr>
      <w:r w:rsidRPr="00095532">
        <w:rPr>
          <w:rFonts w:asciiTheme="minorEastAsia" w:eastAsiaTheme="minorEastAsia" w:hAnsiTheme="minorEastAsia" w:hint="eastAsia"/>
          <w:color w:val="000000" w:themeColor="text1"/>
          <w:sz w:val="24"/>
        </w:rPr>
        <w:t>在任何交易日日终，持有的买入股指期货合约价值，不得超过基金资产净值的10%；基金在任何交易日日终，持有的卖出期货合约价值不得超过基金持有的股票和目标ETF总市值的20%；本基金所持有的股票市值和买入、卖出股指期货合约价值，合计（轧差计算）应当符合基金合同关于股票投资比例的有关约定；在任何交易日内交易（不包括平仓）的股指期货合约的成交金额不得超过上一交易日基金资产净值的20%；</w:t>
      </w:r>
    </w:p>
    <w:p w14:paraId="073C9119" w14:textId="77777777" w:rsidR="00095532" w:rsidRPr="00095532" w:rsidRDefault="00095532" w:rsidP="00095532">
      <w:pPr>
        <w:spacing w:line="360" w:lineRule="auto"/>
        <w:ind w:firstLineChars="200" w:firstLine="480"/>
        <w:rPr>
          <w:rFonts w:asciiTheme="minorEastAsia" w:eastAsiaTheme="minorEastAsia" w:hAnsiTheme="minorEastAsia"/>
          <w:color w:val="000000" w:themeColor="text1"/>
          <w:sz w:val="24"/>
        </w:rPr>
      </w:pPr>
      <w:r w:rsidRPr="00095532">
        <w:rPr>
          <w:rFonts w:asciiTheme="minorEastAsia" w:eastAsiaTheme="minorEastAsia" w:hAnsiTheme="minorEastAsia" w:hint="eastAsia"/>
          <w:color w:val="000000" w:themeColor="text1"/>
          <w:sz w:val="24"/>
        </w:rPr>
        <w:t>（4）本基金参与股票期权交易，需遵守下列投资比例限制：</w:t>
      </w:r>
    </w:p>
    <w:p w14:paraId="399718AA" w14:textId="23BCEC14" w:rsidR="00095532" w:rsidRPr="00095532" w:rsidRDefault="00095532" w:rsidP="00095532">
      <w:pPr>
        <w:spacing w:line="360" w:lineRule="auto"/>
        <w:ind w:firstLineChars="200" w:firstLine="480"/>
        <w:rPr>
          <w:rFonts w:asciiTheme="minorEastAsia" w:eastAsiaTheme="minorEastAsia" w:hAnsiTheme="minorEastAsia"/>
          <w:color w:val="000000" w:themeColor="text1"/>
          <w:sz w:val="24"/>
        </w:rPr>
      </w:pPr>
      <w:r w:rsidRPr="00095532">
        <w:rPr>
          <w:rFonts w:asciiTheme="minorEastAsia" w:eastAsiaTheme="minorEastAsia" w:hAnsiTheme="minorEastAsia" w:hint="eastAsia"/>
          <w:color w:val="000000" w:themeColor="text1"/>
          <w:sz w:val="24"/>
        </w:rPr>
        <w:t>因未平仓的期权合约支付和收取的权利金总额不得超过基金资产净值的10%；开仓卖出认购期权的，应持有足额标的证券；开仓卖出认沽期权的，应持有合约行权所需的全额现金或交易所规则认可的可冲抵期权保证金的现金等价物；未平仓的期权合约面值不得超过基金资产净值的20%。其中，合约面值按照行权价乘以合约乘数计算；</w:t>
      </w:r>
    </w:p>
    <w:p w14:paraId="749A0E84" w14:textId="77777777" w:rsidR="00095532" w:rsidRPr="00095532" w:rsidRDefault="00095532" w:rsidP="00095532">
      <w:pPr>
        <w:spacing w:line="360" w:lineRule="auto"/>
        <w:ind w:firstLineChars="200" w:firstLine="480"/>
        <w:rPr>
          <w:rFonts w:asciiTheme="minorEastAsia" w:eastAsiaTheme="minorEastAsia" w:hAnsiTheme="minorEastAsia"/>
          <w:color w:val="000000" w:themeColor="text1"/>
          <w:sz w:val="24"/>
        </w:rPr>
      </w:pPr>
      <w:r w:rsidRPr="00095532">
        <w:rPr>
          <w:rFonts w:asciiTheme="minorEastAsia" w:eastAsiaTheme="minorEastAsia" w:hAnsiTheme="minorEastAsia" w:hint="eastAsia"/>
          <w:color w:val="000000" w:themeColor="text1"/>
          <w:sz w:val="24"/>
        </w:rPr>
        <w:t>（5）本基金参与国债期货交易的，需遵守下列投资比例限制：</w:t>
      </w:r>
    </w:p>
    <w:p w14:paraId="552BD936" w14:textId="77777777" w:rsidR="00095532" w:rsidRPr="00095532" w:rsidRDefault="00095532" w:rsidP="00095532">
      <w:pPr>
        <w:spacing w:line="360" w:lineRule="auto"/>
        <w:ind w:firstLineChars="200" w:firstLine="480"/>
        <w:rPr>
          <w:rFonts w:asciiTheme="minorEastAsia" w:eastAsiaTheme="minorEastAsia" w:hAnsiTheme="minorEastAsia"/>
          <w:color w:val="000000" w:themeColor="text1"/>
          <w:sz w:val="24"/>
        </w:rPr>
      </w:pPr>
      <w:r w:rsidRPr="00095532">
        <w:rPr>
          <w:rFonts w:asciiTheme="minorEastAsia" w:eastAsiaTheme="minorEastAsia" w:hAnsiTheme="minorEastAsia" w:hint="eastAsia"/>
          <w:color w:val="000000" w:themeColor="text1"/>
          <w:sz w:val="24"/>
        </w:rPr>
        <w:t>本基金在任何交易日日终，持有的买入国债期货合约价值，不得超过基金资产净值的15%；本基金在任何交易日日终，持有的卖出国债期货合约价值不得超过基金持有的债券总市值的30%；本基金在任何交易日内交易（不包括平仓）的国债期货合约的成交金额不得超过上一交易日基金资产净值的30%；本基金所持有的债券（不含到期日在一年以内的政府债券）市值和买入、卖出国债期货合约价值，合计（轧差计算）应当符合基金合同关于债券投资比例的有关约定；</w:t>
      </w:r>
    </w:p>
    <w:p w14:paraId="0E38BED1" w14:textId="2592DA4B" w:rsidR="00095532" w:rsidRPr="00095532" w:rsidRDefault="00095532" w:rsidP="00095532">
      <w:pPr>
        <w:spacing w:line="360" w:lineRule="auto"/>
        <w:ind w:firstLineChars="200" w:firstLine="480"/>
        <w:rPr>
          <w:rFonts w:asciiTheme="minorEastAsia" w:eastAsiaTheme="minorEastAsia" w:hAnsiTheme="minorEastAsia"/>
          <w:color w:val="000000" w:themeColor="text1"/>
          <w:sz w:val="24"/>
        </w:rPr>
      </w:pPr>
      <w:r w:rsidRPr="00095532">
        <w:rPr>
          <w:rFonts w:asciiTheme="minorEastAsia" w:eastAsiaTheme="minorEastAsia" w:hAnsiTheme="minorEastAsia" w:hint="eastAsia"/>
          <w:color w:val="000000" w:themeColor="text1"/>
          <w:sz w:val="24"/>
        </w:rPr>
        <w:t>（6）本基金参与股指期货或国债期货交易后，在任何交易日日终，持有的买入国债期货和股</w:t>
      </w:r>
      <w:r w:rsidR="00E94C5B">
        <w:rPr>
          <w:rFonts w:asciiTheme="minorEastAsia" w:eastAsiaTheme="minorEastAsia" w:hAnsiTheme="minorEastAsia" w:hint="eastAsia"/>
          <w:color w:val="000000" w:themeColor="text1"/>
          <w:sz w:val="24"/>
        </w:rPr>
        <w:t>指</w:t>
      </w:r>
      <w:r w:rsidRPr="00095532">
        <w:rPr>
          <w:rFonts w:asciiTheme="minorEastAsia" w:eastAsiaTheme="minorEastAsia" w:hAnsiTheme="minorEastAsia" w:hint="eastAsia"/>
          <w:color w:val="000000" w:themeColor="text1"/>
          <w:sz w:val="24"/>
        </w:rPr>
        <w:t>期货合约价值与有价证券市值之和，不得超过基金资产净值的100%，其中，有价证券指股票、目标ETF、债券（不含到期日在一年以内的政府债券）、资产支持证券、买入返售金融资产（不含质押式回购）等；</w:t>
      </w:r>
    </w:p>
    <w:p w14:paraId="31FD155E" w14:textId="77777777" w:rsidR="00095532" w:rsidRPr="00095532" w:rsidRDefault="00095532" w:rsidP="00095532">
      <w:pPr>
        <w:spacing w:line="360" w:lineRule="auto"/>
        <w:ind w:firstLineChars="200" w:firstLine="480"/>
        <w:rPr>
          <w:rFonts w:asciiTheme="minorEastAsia" w:eastAsiaTheme="minorEastAsia" w:hAnsiTheme="minorEastAsia"/>
          <w:color w:val="000000" w:themeColor="text1"/>
          <w:sz w:val="24"/>
        </w:rPr>
      </w:pPr>
      <w:r w:rsidRPr="00095532">
        <w:rPr>
          <w:rFonts w:asciiTheme="minorEastAsia" w:eastAsiaTheme="minorEastAsia" w:hAnsiTheme="minorEastAsia" w:hint="eastAsia"/>
          <w:color w:val="000000" w:themeColor="text1"/>
          <w:sz w:val="24"/>
        </w:rPr>
        <w:t>（7）基金财产参与股票发行申购，本基金所申报的金额不超过本基金的总资产，本基金所申报的股票数量不超过拟发行股票公司本次发行股票的总量；</w:t>
      </w:r>
    </w:p>
    <w:p w14:paraId="55298EE3" w14:textId="77777777" w:rsidR="00095532" w:rsidRPr="00095532" w:rsidRDefault="00095532" w:rsidP="00095532">
      <w:pPr>
        <w:spacing w:line="360" w:lineRule="auto"/>
        <w:ind w:firstLineChars="200" w:firstLine="480"/>
        <w:rPr>
          <w:rFonts w:asciiTheme="minorEastAsia" w:eastAsiaTheme="minorEastAsia" w:hAnsiTheme="minorEastAsia"/>
          <w:color w:val="000000" w:themeColor="text1"/>
          <w:sz w:val="24"/>
        </w:rPr>
      </w:pPr>
      <w:r w:rsidRPr="00095532">
        <w:rPr>
          <w:rFonts w:asciiTheme="minorEastAsia" w:eastAsiaTheme="minorEastAsia" w:hAnsiTheme="minorEastAsia" w:hint="eastAsia"/>
          <w:color w:val="000000" w:themeColor="text1"/>
          <w:sz w:val="24"/>
        </w:rPr>
        <w:t>（8）本基金资产总值不超过基金资产净值的140%；</w:t>
      </w:r>
    </w:p>
    <w:p w14:paraId="365B8F34" w14:textId="77777777" w:rsidR="00095532" w:rsidRPr="00095532" w:rsidRDefault="00095532" w:rsidP="00095532">
      <w:pPr>
        <w:spacing w:line="360" w:lineRule="auto"/>
        <w:ind w:firstLineChars="200" w:firstLine="480"/>
        <w:rPr>
          <w:rFonts w:asciiTheme="minorEastAsia" w:eastAsiaTheme="minorEastAsia" w:hAnsiTheme="minorEastAsia"/>
          <w:color w:val="000000" w:themeColor="text1"/>
          <w:sz w:val="24"/>
        </w:rPr>
      </w:pPr>
      <w:r w:rsidRPr="00095532">
        <w:rPr>
          <w:rFonts w:asciiTheme="minorEastAsia" w:eastAsiaTheme="minorEastAsia" w:hAnsiTheme="minorEastAsia" w:hint="eastAsia"/>
          <w:color w:val="000000" w:themeColor="text1"/>
          <w:sz w:val="24"/>
        </w:rPr>
        <w:t>（9）本基金主动投资于流动性受限资产的市值合计不得超过基金资产净值</w:t>
      </w:r>
      <w:r w:rsidRPr="00095532">
        <w:rPr>
          <w:rFonts w:asciiTheme="minorEastAsia" w:eastAsiaTheme="minorEastAsia" w:hAnsiTheme="minorEastAsia" w:hint="eastAsia"/>
          <w:color w:val="000000" w:themeColor="text1"/>
          <w:sz w:val="24"/>
        </w:rPr>
        <w:lastRenderedPageBreak/>
        <w:t>的15%；因证券市场波动、上市公司股票停牌、基金规模变动等基金管理人之外的因素致使基金不符合该比例限制的，基金管理人不得主动新增流动性受限资产的投资；</w:t>
      </w:r>
    </w:p>
    <w:p w14:paraId="71919794" w14:textId="77777777" w:rsidR="00095532" w:rsidRPr="00095532" w:rsidRDefault="00095532" w:rsidP="00095532">
      <w:pPr>
        <w:spacing w:line="360" w:lineRule="auto"/>
        <w:ind w:firstLineChars="200" w:firstLine="480"/>
        <w:rPr>
          <w:rFonts w:asciiTheme="minorEastAsia" w:eastAsiaTheme="minorEastAsia" w:hAnsiTheme="minorEastAsia"/>
          <w:color w:val="000000" w:themeColor="text1"/>
          <w:sz w:val="24"/>
        </w:rPr>
      </w:pPr>
      <w:r w:rsidRPr="00095532">
        <w:rPr>
          <w:rFonts w:asciiTheme="minorEastAsia" w:eastAsiaTheme="minorEastAsia" w:hAnsiTheme="minorEastAsia" w:hint="eastAsia"/>
          <w:color w:val="000000" w:themeColor="text1"/>
          <w:sz w:val="24"/>
        </w:rPr>
        <w:t>（10）本基金与私募类证券资管产品及中国证监会认定的其他主体为交易对手开展逆回购交易的，可接受质押品的资质要求应当与基金合同约定的投资范围保持一致；</w:t>
      </w:r>
    </w:p>
    <w:p w14:paraId="7970F2DC" w14:textId="77777777" w:rsidR="00095532" w:rsidRPr="00095532" w:rsidRDefault="00095532" w:rsidP="00095532">
      <w:pPr>
        <w:spacing w:line="360" w:lineRule="auto"/>
        <w:ind w:firstLineChars="200" w:firstLine="480"/>
        <w:rPr>
          <w:rFonts w:asciiTheme="minorEastAsia" w:eastAsiaTheme="minorEastAsia" w:hAnsiTheme="minorEastAsia"/>
          <w:color w:val="000000" w:themeColor="text1"/>
          <w:sz w:val="24"/>
        </w:rPr>
      </w:pPr>
      <w:r w:rsidRPr="00095532">
        <w:rPr>
          <w:rFonts w:asciiTheme="minorEastAsia" w:eastAsiaTheme="minorEastAsia" w:hAnsiTheme="minorEastAsia" w:hint="eastAsia"/>
          <w:color w:val="000000" w:themeColor="text1"/>
          <w:sz w:val="24"/>
        </w:rPr>
        <w:t>（11）本基金参与融资的，每个交易日日终，本基金持有的融资买入股票与其他有价证券市值之和，不得超过基金资产净值的95%；</w:t>
      </w:r>
    </w:p>
    <w:p w14:paraId="7D21E9EA" w14:textId="77777777" w:rsidR="00095532" w:rsidRPr="00095532" w:rsidRDefault="00095532" w:rsidP="00095532">
      <w:pPr>
        <w:spacing w:line="360" w:lineRule="auto"/>
        <w:ind w:firstLineChars="200" w:firstLine="480"/>
        <w:rPr>
          <w:rFonts w:asciiTheme="minorEastAsia" w:eastAsiaTheme="minorEastAsia" w:hAnsiTheme="minorEastAsia"/>
          <w:color w:val="000000" w:themeColor="text1"/>
          <w:sz w:val="24"/>
        </w:rPr>
      </w:pPr>
      <w:r w:rsidRPr="00095532">
        <w:rPr>
          <w:rFonts w:asciiTheme="minorEastAsia" w:eastAsiaTheme="minorEastAsia" w:hAnsiTheme="minorEastAsia" w:hint="eastAsia"/>
          <w:color w:val="000000" w:themeColor="text1"/>
          <w:sz w:val="24"/>
        </w:rPr>
        <w:t>（12）本基金参与转融通证券出借业务的，应当符合下列要求：</w:t>
      </w:r>
    </w:p>
    <w:p w14:paraId="1917A9ED" w14:textId="77777777" w:rsidR="00095532" w:rsidRPr="00095532" w:rsidRDefault="00095532" w:rsidP="00095532">
      <w:pPr>
        <w:spacing w:line="360" w:lineRule="auto"/>
        <w:ind w:firstLineChars="200" w:firstLine="480"/>
        <w:rPr>
          <w:rFonts w:asciiTheme="minorEastAsia" w:eastAsiaTheme="minorEastAsia" w:hAnsiTheme="minorEastAsia"/>
          <w:color w:val="000000" w:themeColor="text1"/>
          <w:sz w:val="24"/>
        </w:rPr>
      </w:pPr>
      <w:r w:rsidRPr="00095532">
        <w:rPr>
          <w:rFonts w:asciiTheme="minorEastAsia" w:eastAsiaTheme="minorEastAsia" w:hAnsiTheme="minorEastAsia" w:hint="eastAsia"/>
          <w:color w:val="000000" w:themeColor="text1"/>
          <w:sz w:val="24"/>
        </w:rPr>
        <w:t>1）参与转融通证券出借业务的资产，不得超过基金资产净值的30%，其中，出借期限在10个交易日以上的出借证券，纳入《流动性风险管理规定》所述流动性受限证券的范围；</w:t>
      </w:r>
    </w:p>
    <w:p w14:paraId="3BDE9C93" w14:textId="77777777" w:rsidR="00095532" w:rsidRPr="00095532" w:rsidRDefault="00095532" w:rsidP="00095532">
      <w:pPr>
        <w:spacing w:line="360" w:lineRule="auto"/>
        <w:ind w:firstLineChars="200" w:firstLine="480"/>
        <w:rPr>
          <w:rFonts w:asciiTheme="minorEastAsia" w:eastAsiaTheme="minorEastAsia" w:hAnsiTheme="minorEastAsia"/>
          <w:color w:val="000000" w:themeColor="text1"/>
          <w:sz w:val="24"/>
        </w:rPr>
      </w:pPr>
      <w:r w:rsidRPr="00095532">
        <w:rPr>
          <w:rFonts w:asciiTheme="minorEastAsia" w:eastAsiaTheme="minorEastAsia" w:hAnsiTheme="minorEastAsia" w:hint="eastAsia"/>
          <w:color w:val="000000" w:themeColor="text1"/>
          <w:sz w:val="24"/>
        </w:rPr>
        <w:t>2）参与转融通证券出借业务的单只证券不得超过基金持有该证券总量的50%；</w:t>
      </w:r>
    </w:p>
    <w:p w14:paraId="66298512" w14:textId="77777777" w:rsidR="00095532" w:rsidRPr="00095532" w:rsidRDefault="00095532" w:rsidP="00095532">
      <w:pPr>
        <w:spacing w:line="360" w:lineRule="auto"/>
        <w:ind w:firstLineChars="200" w:firstLine="480"/>
        <w:rPr>
          <w:rFonts w:asciiTheme="minorEastAsia" w:eastAsiaTheme="minorEastAsia" w:hAnsiTheme="minorEastAsia"/>
          <w:color w:val="000000" w:themeColor="text1"/>
          <w:sz w:val="24"/>
        </w:rPr>
      </w:pPr>
      <w:r w:rsidRPr="00095532">
        <w:rPr>
          <w:rFonts w:asciiTheme="minorEastAsia" w:eastAsiaTheme="minorEastAsia" w:hAnsiTheme="minorEastAsia" w:hint="eastAsia"/>
          <w:color w:val="000000" w:themeColor="text1"/>
          <w:sz w:val="24"/>
        </w:rPr>
        <w:t>3）最近6个月内日均基金资产净值不得低于2亿元；</w:t>
      </w:r>
    </w:p>
    <w:p w14:paraId="61E3034A" w14:textId="77777777" w:rsidR="00095532" w:rsidRPr="00095532" w:rsidRDefault="00095532" w:rsidP="00095532">
      <w:pPr>
        <w:spacing w:line="360" w:lineRule="auto"/>
        <w:ind w:firstLineChars="200" w:firstLine="480"/>
        <w:rPr>
          <w:rFonts w:asciiTheme="minorEastAsia" w:eastAsiaTheme="minorEastAsia" w:hAnsiTheme="minorEastAsia"/>
          <w:color w:val="000000" w:themeColor="text1"/>
          <w:sz w:val="24"/>
        </w:rPr>
      </w:pPr>
      <w:r w:rsidRPr="00095532">
        <w:rPr>
          <w:rFonts w:asciiTheme="minorEastAsia" w:eastAsiaTheme="minorEastAsia" w:hAnsiTheme="minorEastAsia" w:hint="eastAsia"/>
          <w:color w:val="000000" w:themeColor="text1"/>
          <w:sz w:val="24"/>
        </w:rPr>
        <w:t>4）证券出借的平均剩余期限不得超过30天，平均剩余期限按照市值加权平均计算；</w:t>
      </w:r>
    </w:p>
    <w:p w14:paraId="5D022278" w14:textId="77777777" w:rsidR="00095532" w:rsidRPr="00095532" w:rsidRDefault="00095532" w:rsidP="00095532">
      <w:pPr>
        <w:spacing w:line="360" w:lineRule="auto"/>
        <w:ind w:firstLineChars="200" w:firstLine="480"/>
        <w:rPr>
          <w:rFonts w:asciiTheme="minorEastAsia" w:eastAsiaTheme="minorEastAsia" w:hAnsiTheme="minorEastAsia"/>
          <w:color w:val="000000" w:themeColor="text1"/>
          <w:sz w:val="24"/>
        </w:rPr>
      </w:pPr>
      <w:r w:rsidRPr="00095532">
        <w:rPr>
          <w:rFonts w:asciiTheme="minorEastAsia" w:eastAsiaTheme="minorEastAsia" w:hAnsiTheme="minorEastAsia" w:hint="eastAsia"/>
          <w:color w:val="000000" w:themeColor="text1"/>
          <w:sz w:val="24"/>
        </w:rPr>
        <w:t>（13）本基金投资于同一原始权益人的各类资产支持证券的比例，不得超过基金资产净值的10%；本基金持有的全部资产支持证券，其市值不得超过基金资产净值的20%，中国证监会规定的特殊品种除外；</w:t>
      </w:r>
    </w:p>
    <w:p w14:paraId="35F147B6" w14:textId="77777777" w:rsidR="00095532" w:rsidRPr="00095532" w:rsidRDefault="00095532" w:rsidP="00095532">
      <w:pPr>
        <w:spacing w:line="360" w:lineRule="auto"/>
        <w:ind w:firstLineChars="200" w:firstLine="480"/>
        <w:rPr>
          <w:rFonts w:asciiTheme="minorEastAsia" w:eastAsiaTheme="minorEastAsia" w:hAnsiTheme="minorEastAsia"/>
          <w:color w:val="000000" w:themeColor="text1"/>
          <w:sz w:val="24"/>
        </w:rPr>
      </w:pPr>
      <w:r w:rsidRPr="00095532">
        <w:rPr>
          <w:rFonts w:asciiTheme="minorEastAsia" w:eastAsiaTheme="minorEastAsia" w:hAnsiTheme="minorEastAsia" w:hint="eastAsia"/>
          <w:color w:val="000000" w:themeColor="text1"/>
          <w:sz w:val="24"/>
        </w:rPr>
        <w:t>（14）本基金持有的同一（指同一信用级别）资产支持证券的比例，不得超过该资产支持证券规模的10%；本基金管理人管理的全部基金投资于同一原始权益人的各类资产支持证券，不得超过其各类资产支持证券合计规模的10%；</w:t>
      </w:r>
    </w:p>
    <w:p w14:paraId="0458DD19" w14:textId="77777777" w:rsidR="00095532" w:rsidRPr="00095532" w:rsidRDefault="00095532" w:rsidP="00095532">
      <w:pPr>
        <w:spacing w:line="360" w:lineRule="auto"/>
        <w:ind w:firstLineChars="200" w:firstLine="480"/>
        <w:rPr>
          <w:rFonts w:asciiTheme="minorEastAsia" w:eastAsiaTheme="minorEastAsia" w:hAnsiTheme="minorEastAsia"/>
          <w:color w:val="000000" w:themeColor="text1"/>
          <w:sz w:val="24"/>
        </w:rPr>
      </w:pPr>
      <w:r w:rsidRPr="00095532">
        <w:rPr>
          <w:rFonts w:asciiTheme="minorEastAsia" w:eastAsiaTheme="minorEastAsia" w:hAnsiTheme="minorEastAsia" w:hint="eastAsia"/>
          <w:color w:val="000000" w:themeColor="text1"/>
          <w:sz w:val="24"/>
        </w:rPr>
        <w:t>（15）本基金应投资于信用级别评级为BBB以上（含BBB）的资产支持证券。基金持有资产支持证券期间，如果其信用等级下降、不再符合投资标准，应在评级报告发布之日起3个月内予以全部卖出；</w:t>
      </w:r>
    </w:p>
    <w:p w14:paraId="6026C299" w14:textId="77777777" w:rsidR="00095532" w:rsidRPr="00095532" w:rsidRDefault="00095532" w:rsidP="00095532">
      <w:pPr>
        <w:spacing w:line="360" w:lineRule="auto"/>
        <w:ind w:firstLineChars="200" w:firstLine="480"/>
        <w:rPr>
          <w:rFonts w:asciiTheme="minorEastAsia" w:eastAsiaTheme="minorEastAsia" w:hAnsiTheme="minorEastAsia"/>
          <w:color w:val="000000" w:themeColor="text1"/>
          <w:sz w:val="24"/>
        </w:rPr>
      </w:pPr>
      <w:r w:rsidRPr="00095532">
        <w:rPr>
          <w:rFonts w:asciiTheme="minorEastAsia" w:eastAsiaTheme="minorEastAsia" w:hAnsiTheme="minorEastAsia" w:hint="eastAsia"/>
          <w:color w:val="000000" w:themeColor="text1"/>
          <w:sz w:val="24"/>
        </w:rPr>
        <w:t>（16）本基金投资存托凭证的比例限制依照境内上市交易的股票执行，与境内上市交易的股票合并计算；</w:t>
      </w:r>
    </w:p>
    <w:p w14:paraId="4A046277" w14:textId="77777777" w:rsidR="00095532" w:rsidRPr="00095532" w:rsidRDefault="00095532" w:rsidP="00095532">
      <w:pPr>
        <w:spacing w:line="360" w:lineRule="auto"/>
        <w:ind w:firstLineChars="200" w:firstLine="480"/>
        <w:rPr>
          <w:rFonts w:asciiTheme="minorEastAsia" w:eastAsiaTheme="minorEastAsia" w:hAnsiTheme="minorEastAsia"/>
          <w:color w:val="000000" w:themeColor="text1"/>
          <w:sz w:val="24"/>
        </w:rPr>
      </w:pPr>
      <w:r w:rsidRPr="00095532">
        <w:rPr>
          <w:rFonts w:asciiTheme="minorEastAsia" w:eastAsiaTheme="minorEastAsia" w:hAnsiTheme="minorEastAsia" w:hint="eastAsia"/>
          <w:color w:val="000000" w:themeColor="text1"/>
          <w:sz w:val="24"/>
        </w:rPr>
        <w:t>（17）法律法规及中国证监会规定的和《基金合同》约定的其他投资限制。</w:t>
      </w:r>
    </w:p>
    <w:p w14:paraId="254244E0" w14:textId="77777777" w:rsidR="00095532" w:rsidRPr="00095532" w:rsidRDefault="00095532" w:rsidP="00095532">
      <w:pPr>
        <w:spacing w:line="360" w:lineRule="auto"/>
        <w:ind w:firstLineChars="200" w:firstLine="480"/>
        <w:rPr>
          <w:rFonts w:asciiTheme="minorEastAsia" w:eastAsiaTheme="minorEastAsia" w:hAnsiTheme="minorEastAsia"/>
          <w:color w:val="000000" w:themeColor="text1"/>
          <w:sz w:val="24"/>
        </w:rPr>
      </w:pPr>
      <w:r w:rsidRPr="00095532">
        <w:rPr>
          <w:rFonts w:asciiTheme="minorEastAsia" w:eastAsiaTheme="minorEastAsia" w:hAnsiTheme="minorEastAsia" w:hint="eastAsia"/>
          <w:color w:val="000000" w:themeColor="text1"/>
          <w:sz w:val="24"/>
        </w:rPr>
        <w:lastRenderedPageBreak/>
        <w:t>除上述（1）、（2）、（9）、（10）、（12）、（15）项情形之外，因证券市场及期货市场波动、证券发行人合并、基金规模变动、标的指数成份股调整、标的指数成份股流动性限制、目标ETF暂停申购、赎回或二级市场交易停牌等基金管理人之外的因素致使基金投资比例不符合上述规定投资比例的，基金管理人应当在10个交易日内进行调整，但中国证监会规定的特殊情形除外。因证券市场及期货市场波动、证券发行人合并、基金规模变动、标的指数成份股调整、标的指数成份股流动性限制、目标ETF暂停申购、赎回或二级市场交易停牌等基金管理人之外的因素致使基金持有的目标ETF的比例低于基金资产净值的90%的，基金管理人应当在20个交易日内进行调整，但中国证监会规定的特殊情形除外。法律法规另有规定的，从其规定。</w:t>
      </w:r>
    </w:p>
    <w:p w14:paraId="7A591073" w14:textId="77777777" w:rsidR="00095532" w:rsidRPr="00095532" w:rsidRDefault="00095532" w:rsidP="00095532">
      <w:pPr>
        <w:spacing w:line="360" w:lineRule="auto"/>
        <w:ind w:firstLineChars="200" w:firstLine="480"/>
        <w:rPr>
          <w:rFonts w:asciiTheme="minorEastAsia" w:eastAsiaTheme="minorEastAsia" w:hAnsiTheme="minorEastAsia"/>
          <w:color w:val="000000" w:themeColor="text1"/>
          <w:sz w:val="24"/>
        </w:rPr>
      </w:pPr>
      <w:r w:rsidRPr="00095532">
        <w:rPr>
          <w:rFonts w:asciiTheme="minorEastAsia" w:eastAsiaTheme="minorEastAsia" w:hAnsiTheme="minorEastAsia" w:hint="eastAsia"/>
          <w:color w:val="000000" w:themeColor="text1"/>
          <w:sz w:val="24"/>
        </w:rPr>
        <w:t>因证券市场波动、上市公司合并、基金规模变动等基金管理人之外的因素致使基金投资不符合上述第（12）项的，基金管理人不得新增出借业务。</w:t>
      </w:r>
    </w:p>
    <w:p w14:paraId="45D90C21" w14:textId="77777777" w:rsidR="00095532" w:rsidRPr="00095532" w:rsidRDefault="00095532" w:rsidP="00095532">
      <w:pPr>
        <w:spacing w:line="360" w:lineRule="auto"/>
        <w:ind w:firstLineChars="200" w:firstLine="480"/>
        <w:rPr>
          <w:rFonts w:asciiTheme="minorEastAsia" w:eastAsiaTheme="minorEastAsia" w:hAnsiTheme="minorEastAsia"/>
          <w:color w:val="000000" w:themeColor="text1"/>
          <w:sz w:val="24"/>
        </w:rPr>
      </w:pPr>
      <w:r w:rsidRPr="00095532">
        <w:rPr>
          <w:rFonts w:asciiTheme="minorEastAsia" w:eastAsiaTheme="minorEastAsia" w:hAnsiTheme="minorEastAsia" w:hint="eastAsia"/>
          <w:color w:val="000000" w:themeColor="text1"/>
          <w:sz w:val="24"/>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14:paraId="5F4522BA" w14:textId="32B32DAC" w:rsidR="00112EBC" w:rsidRPr="00112EBC" w:rsidRDefault="00095532" w:rsidP="00095532">
      <w:pPr>
        <w:spacing w:line="360" w:lineRule="auto"/>
        <w:ind w:firstLineChars="200" w:firstLine="480"/>
        <w:rPr>
          <w:rFonts w:asciiTheme="minorEastAsia" w:eastAsiaTheme="minorEastAsia" w:hAnsiTheme="minorEastAsia"/>
          <w:color w:val="000000" w:themeColor="text1"/>
          <w:sz w:val="24"/>
        </w:rPr>
      </w:pPr>
      <w:r w:rsidRPr="00095532">
        <w:rPr>
          <w:rFonts w:asciiTheme="minorEastAsia" w:eastAsiaTheme="minorEastAsia" w:hAnsiTheme="minorEastAsia" w:hint="eastAsia"/>
          <w:color w:val="000000" w:themeColor="text1"/>
          <w:sz w:val="24"/>
        </w:rPr>
        <w:t>如果法律法规对上述投资组合比例限制进行变更的，基金管理人在履行适当程序后，可相应调整投资比例限制规定或按变更后的规定执行，不需经基金份额持有人大会审议。法律法规或监管部门取消上述限制，如适用于本基金，基金管理人在履行适当程序后，则本基金投资不再受相关限制。</w:t>
      </w:r>
    </w:p>
    <w:p w14:paraId="7A5226E3"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3.本基金财产不得用于以下投资或者活动：</w:t>
      </w:r>
    </w:p>
    <w:p w14:paraId="3CAAD331"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（1）承销证券；</w:t>
      </w:r>
    </w:p>
    <w:p w14:paraId="0074DB0B"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（2）违反规定向他人贷款或者提供担保；</w:t>
      </w:r>
    </w:p>
    <w:p w14:paraId="1E03D91D"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（3）从事承担无限责任的投资；</w:t>
      </w:r>
    </w:p>
    <w:p w14:paraId="14ACF625" w14:textId="617C5BD4"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（4）买卖</w:t>
      </w:r>
      <w:r w:rsidR="004D30D2" w:rsidRPr="004D30D2">
        <w:rPr>
          <w:rFonts w:asciiTheme="minorEastAsia" w:eastAsiaTheme="minorEastAsia" w:hAnsiTheme="minorEastAsia" w:hint="eastAsia"/>
          <w:color w:val="000000" w:themeColor="text1"/>
          <w:sz w:val="24"/>
        </w:rPr>
        <w:t>除目标ETF以外的</w:t>
      </w:r>
      <w:r w:rsidRPr="00112EBC">
        <w:rPr>
          <w:rFonts w:asciiTheme="minorEastAsia" w:eastAsiaTheme="minorEastAsia" w:hAnsiTheme="minorEastAsia" w:hint="eastAsia"/>
          <w:color w:val="000000" w:themeColor="text1"/>
          <w:sz w:val="24"/>
        </w:rPr>
        <w:t>其他基金份额，但是中国证监会另有规定的除外；</w:t>
      </w:r>
    </w:p>
    <w:p w14:paraId="4A6BA8CB"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（5）向其基金管理人、基金托管人出资；</w:t>
      </w:r>
    </w:p>
    <w:p w14:paraId="1F37508C"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（6）从事内幕交易、操纵证券交易价格及其他不正当的证券交易活动；</w:t>
      </w:r>
    </w:p>
    <w:p w14:paraId="2819D018"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（7）法律、行政法规和中国证监会规定禁止的其他活动。</w:t>
      </w:r>
    </w:p>
    <w:p w14:paraId="0150FC45"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lastRenderedPageBreak/>
        <w:t>4.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1AEA847D"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5.法律、行政法规或监管部门取消或变更上述限制，如适用于本基金，基金管理人在履行适当程序后，则本基金投资不再受相关限制或按变更后的规定执行。</w:t>
      </w:r>
    </w:p>
    <w:p w14:paraId="31E96356"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二）基金托管人根据有关法律法规的规定及《基金合同》的约定，对基金管理人选择存款银行进行监督。基金投资银行定期存款的，基金管理人应根据法律法规的规定及《基金合同》的约定，确定符合条件的所有存款银行的名单，并及时提供给基金托管人，基金托管人应据此对基金投资银行存款的交易对手是否符合有关规定进行监督。对于不符合规定的银行存款，基金托管人可以拒绝执行，并通知基金管理人。</w:t>
      </w:r>
    </w:p>
    <w:p w14:paraId="6194BADC"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本基金投资银行存款应符合如下规定：</w:t>
      </w:r>
    </w:p>
    <w:p w14:paraId="21D17F99"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1.本基金投资于有固定期限银行存款的比例不得超过基金资产净值的30%，但投资于有存款期限，根据协议可提前支取的银行存款，不受上述比例限制；投资于具有基金托管人资格的同一商业银行的银行存款、同业存单占基金资产净值的比例合计不得超过20%；投资于不具有基金托管人资格的同一商业银行的银行存款、同业存单占基金资产净值的比例合计不得超过5%。</w:t>
      </w:r>
    </w:p>
    <w:p w14:paraId="7D18E180"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有关法律法规或监管部门制定或修改新的定期存款投资政策，基金管理人履行适当程序后，可相应调整投资组合限制的规定。</w:t>
      </w:r>
    </w:p>
    <w:p w14:paraId="3E8FF24C"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2.基金管理人负责对本基金存款银行的评估与研究，建立健全银行存款的业务流程、岗位职责、风险控制措施和监察稽核制度，切实防范有关风险。基金托管人负责对本基金银行定期存款业务的监督与核查，审查、复核相关协议、账户资料、投资指令、存款证实书等有关文件，切实履行托管职责。</w:t>
      </w:r>
    </w:p>
    <w:p w14:paraId="334F1EC2"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（1）基金管理人负责控制信用风险。信用风险主要包括存款银行的信用等级、存款银行的支付能力等涉及到存款银行选择方面的风险。因选择存款银行不</w:t>
      </w:r>
      <w:r w:rsidRPr="00112EBC">
        <w:rPr>
          <w:rFonts w:asciiTheme="minorEastAsia" w:eastAsiaTheme="minorEastAsia" w:hAnsiTheme="minorEastAsia" w:hint="eastAsia"/>
          <w:color w:val="000000" w:themeColor="text1"/>
          <w:sz w:val="24"/>
        </w:rPr>
        <w:lastRenderedPageBreak/>
        <w:t>当造成基金财产损失的，由基金管理人承担相应责任。</w:t>
      </w:r>
    </w:p>
    <w:p w14:paraId="7D5BC773"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2）基金管理人负责控制流动性风险，并承担因控制不力而造成的损失。流动性风险主要包括基金管理人要求全部提前支取、部分提前支取或到期支取而存款银行未能及时兑付的风险、基金投资银行存款不能满足基金正常结算业务的风险、因全部提前支取或部分提前支取而涉及的利息损失影响估值等涉及到基金流动性方面的风险。</w:t>
      </w:r>
    </w:p>
    <w:p w14:paraId="44FF71DA"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（3）基金管理人须加强内部风险控制制度的建设。如因基金管理人员工职务行为导致基金财产受到损失的，需由基金管理人承担由此造成的损失。</w:t>
      </w:r>
    </w:p>
    <w:p w14:paraId="16BF8167"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（4）基金管理人与基金托管人在开展基金存款业务时，应严格遵守《基金法》、《运作办法》等有关法律法规，以及国家有关账户管理、利率管理、支付结算等的各项规定。</w:t>
      </w:r>
    </w:p>
    <w:p w14:paraId="4BD411A7"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（三）基金投资银行存款协议的签订、账户开设与管理、投资指令与资金划付、账目核对、到期兑付、提前支取</w:t>
      </w:r>
    </w:p>
    <w:p w14:paraId="21B60737"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1.基金投资银行存款协议的签订</w:t>
      </w:r>
    </w:p>
    <w:p w14:paraId="5F3F90C3"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1）基金管理人应与符合资格的存款银行总行或其授权分行签订《基金存款业务总体合作协议》（以下简称“《总体合作协议》”），确定《存款协议书》的格式范本。《总体合作协议》和《存款协议书》的格式范本由基金托管人与基金管理人共同商定。</w:t>
      </w:r>
    </w:p>
    <w:p w14:paraId="24A16321"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（2）基金托管人依据相关法规对《总体合作协议》和《存款协议书》的内容进行复核，审查存款银行资格等。</w:t>
      </w:r>
    </w:p>
    <w:p w14:paraId="5E64BE1B"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（3）基金管理人应在《存款协议书》中明确存款证实书或其他有效存款凭证的办理方式、邮寄地址、联系人和联系电话，以及存款证实书或其他有效凭证在邮寄过程中遗失后，存款余额的确认及兑付办法等。</w:t>
      </w:r>
    </w:p>
    <w:p w14:paraId="59DDF8D5"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4）由存款银行指定的存放存款的分支机构（以下简称“存款分支机构”）寄送或上门交付存款证实书或其他有效存款凭证的，基金托管人可向存款分支机构的上级行发出存款余额询证函，存款分支机构及其上级行应予配合。</w:t>
      </w:r>
    </w:p>
    <w:p w14:paraId="339FFA37"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（5）基金管理人应在《存款协议书》中规定，基金存放到期或提前兑付的资金应全部划转到指定的基金托管账户，并在《存款协议书》写明账户名称和账号，未划入指定账户的，由存款银行承担一切责任。</w:t>
      </w:r>
    </w:p>
    <w:p w14:paraId="1B4EECF8"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lastRenderedPageBreak/>
        <w:t>（6）基金管理人应在《存款协议书》中规定，在存期内，如本基金银行账户、预留印鉴发生变更，基金管理人应及时书面通知存款行，书面通知应加盖基金托管人预留印鉴。存款分支机构应及时就变更事项向基金管理人、基金托管人出具正式书面确认书。变更通知的送达方式同开户手续。在存期内，存款分支机构和基金托管人的指定联系人变更，应及时以加盖公章的书面通知形式通知对方。</w:t>
      </w:r>
    </w:p>
    <w:p w14:paraId="3DE5A988"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（7）基金管理人应在《存款协议书》中规定，因定期存款产生的存单不得被质押或以任何方式被抵押，不得用于转让和背书。</w:t>
      </w:r>
    </w:p>
    <w:p w14:paraId="2EA58C2A"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2.基金投资银行存款时的账户开设与管理</w:t>
      </w:r>
    </w:p>
    <w:p w14:paraId="1FFF0538"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（1）基金投资于银行存款时，基金管理人应当依据基金管理人与存款银行签订的《总体合作协议》、《存款协议书》等，以基金的名义在存款银行总行或授权分行指定的分支机构开立银行账户。</w:t>
      </w:r>
    </w:p>
    <w:p w14:paraId="157806A5"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（2）基金投资于银行存款时的预留印鉴由基金托管人保管和使用。</w:t>
      </w:r>
    </w:p>
    <w:p w14:paraId="38A39E7D"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3.存款凭证传递、账目核对及到期兑付</w:t>
      </w:r>
    </w:p>
    <w:p w14:paraId="7804043D"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（1）存款证实书等存款凭证传递</w:t>
      </w:r>
    </w:p>
    <w:p w14:paraId="4D238867"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存款资金只能存放于存款银行总行或者其授权分行指定的分支机构。基金管理人应在《存款协议书》中规定，存款银行分支机构应为基金开具存款证实书或其他有效存款凭证（下称“存款凭证”），该存款凭证为基金存款确认或到期提款的有效凭证，且对应每笔存款仅能开具唯一存款凭证。资金到账当日，由存款银行分支机构指定的会计主管传真一份存款凭证复印件并与基金托管人电话确认收妥后，将存款凭证原件通过快递寄送或上门交付至基金托管人指定联系人；若存款银行分支机构代为保管存款凭证的，由存款银行分支机构指定会计主管传真一份存款凭证复印件并与基金托管人电话确认收妥。</w:t>
      </w:r>
    </w:p>
    <w:p w14:paraId="6734B527"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（2）存款凭证的遗失补办</w:t>
      </w:r>
    </w:p>
    <w:p w14:paraId="6C167BEC"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存款凭证在邮寄过程中遗失的，由基金管理人向存款银行提出补办申请，基金管理人应督促存款银行尽快补办存款凭证，并按以上（1）的方式快递或上门交付至基金托管人，原存款凭证自动作废。</w:t>
      </w:r>
    </w:p>
    <w:p w14:paraId="359CF602"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（3）账目核对</w:t>
      </w:r>
    </w:p>
    <w:p w14:paraId="61968C82"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每个工作日，基金管理人应与基金托管人核对各项银行存款投资余额及应计利息。</w:t>
      </w:r>
    </w:p>
    <w:p w14:paraId="679932A3"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lastRenderedPageBreak/>
        <w:t>基金管理人应在《存款协议书》中规定，对于存期超过3个月的定期存款，基金托管人于每季度向存款银行发起查询查复，存款银行应按照中国人民银行查询查复的有关时限要求及时回复。基金管理人有责任督促存款银行及时回复查询查复。因存款银行未及时回复造成的资金被挪用、盗取的责任由存款银行承担。</w:t>
      </w:r>
    </w:p>
    <w:p w14:paraId="7B388821"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存款银行应配合基金托管人对存款凭证的询证，并在询证函上加盖存款银行公章寄送至基金托管人指定联系人。</w:t>
      </w:r>
    </w:p>
    <w:p w14:paraId="42CB4FED"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（4）到期兑付</w:t>
      </w:r>
    </w:p>
    <w:p w14:paraId="0CC60D58"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基金管理人提前通知基金托管人通过快递将存款凭证原件寄给存款银行分支机构指定的会计主管。存款银行未收到存款凭证原件的，应与基金托管人电话询问。存款到期前基金管理人与存款银行确认存款凭证收到并于到期日兑付存款本息事宜。</w:t>
      </w:r>
    </w:p>
    <w:p w14:paraId="24FA9F12"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基金托管人在存款到期日未收到存款本息或存款本息金额不符时，通知基金管理人与存款银行接洽存款到账时间及利息补付事宜。基金管理人应将接洽结果告知基金托管人，基金托管人收妥存款本息的当日通知基金管理人。</w:t>
      </w:r>
    </w:p>
    <w:p w14:paraId="3DB52E8F"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基金管理人应在《存款协议书》中规定，存款凭证在邮寄过程中遗失的，存款银行应立即通知基金托管人，基金托管人在原存款凭证复印件上加盖公章并出具相关证明文件后，与存款银行指定会计主管电话确认后，存款银行应在到期日将存款本息划至指定的基金资金账户。如果存款到期日为法定节假日，存款银行顺延至到期后第一个工作日支付，存款银行需按原协议约定利率和实际延期天数支付延期利息。</w:t>
      </w:r>
    </w:p>
    <w:p w14:paraId="6AC8068D"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4.提前支取</w:t>
      </w:r>
    </w:p>
    <w:p w14:paraId="16B050ED"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如果在存款期限内，由于基金规模发生缩减的原因或者出于流动性管理的需要等原因，基金管理人可以提前支取全部或部分资金。</w:t>
      </w:r>
    </w:p>
    <w:p w14:paraId="051D57C3"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提前支取的具体事项按照基金管理人与存款银行签订的《存款协议书》执行。</w:t>
      </w:r>
    </w:p>
    <w:p w14:paraId="51BC8824"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5.基金投资银行存款的监督</w:t>
      </w:r>
    </w:p>
    <w:p w14:paraId="48BF9EAD"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基金托管人发现基金管理人在进行存款投资时有违反有关法律法规的规定及《基金合同》的约定的行为，应及时以书面形式通知基金管理人在10个工作日内纠正。基金管理人对基金托管人通知的违规事项未能在10个工作日内纠正的，基金托管人应报告中国证监会。基金托管人发现基金管理人有重大违规行为，</w:t>
      </w:r>
      <w:r w:rsidRPr="00112EBC">
        <w:rPr>
          <w:rFonts w:asciiTheme="minorEastAsia" w:eastAsiaTheme="minorEastAsia" w:hAnsiTheme="minorEastAsia" w:hint="eastAsia"/>
          <w:color w:val="000000" w:themeColor="text1"/>
          <w:sz w:val="24"/>
        </w:rPr>
        <w:lastRenderedPageBreak/>
        <w:t>应立即报告中国证监会，同时通知基金管理人在10个工作日内纠正或拒绝结算，若因基金管理人拒不执行造成基金财产损失的，相关损失由基金管理人承担，基金托管人不承担任何责任。</w:t>
      </w:r>
    </w:p>
    <w:p w14:paraId="7A372544"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四）基金托管人根据有关法律法规的规定及《基金合同》的约定，对基金管理人参与银行间债券市场进行监督。基金管理人应在基金投资运作之前向基金托管人提供符合法律法规及行业标准的、经慎重选择的、本基金适用的银行间债券市场交易对手名单并约定各交易对手所适用的交易结算方式。基金管理人有责任确保及时将更新后的交易对手名单发送给基金托管人，否则由此造成的损失应由基金管理人承担。如基金管理人在基金投资运作之前未向基金托管人提供银行间债券市场交易对手名单的，视为基金管理人认可全市场交易对手。基金管理人应严格按照交易对手名单的范围在银行间债券市场选择交易对手。基金托管人监督基金管理人是否按事前提供的银行间债券市场交易对手名单进行交易。在基金存续期间基金管理人可以调整交易对手名单，但应将调整结果至少提前一个工作日书面通知基金托管人。新名单确定时已与本次剔除的交易对手所进行但尚未结算的交易，仍应按照协议进行结算，但不得再发生新的交易。如基金管理人根据市场需要临时调整银行间债券交易对手名单及结算方式的，应向基金托管人说明理由，并在与交易对手发生交易前3个交易日内与基金托管人协商解决。</w:t>
      </w:r>
    </w:p>
    <w:p w14:paraId="309D9A6A"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基金管理人负责对交易对手的资信控制，按银行间债券市场的交易规则进行交易，并负责解决因交易对手不履行合同而造成的纠纷。若未履约的交易对手在基金管理人确定的时间内仍未承担违约责任及其他相关法律责任的，基金管理人负责向相关交易对手追偿，基金托管人应提供必要的协助。基金托管人则根据银行间债券市场成交单对合同履行情况进行监督。如基金托管人事后发现基金管理人没有按照事先约定的交易对手进行交易时，基金托管人应及时提醒基金管理人，基金托管人不承担由此造成的任何损失和责任。</w:t>
      </w:r>
    </w:p>
    <w:p w14:paraId="29399FF6"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（五）本基金投资流通受限证券，应遵守《关于基金投资非公开发行股票等流通受限证券有关问题的通知》等有关监管规定。</w:t>
      </w:r>
    </w:p>
    <w:p w14:paraId="22BA76D6"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1.此处的流通受限证券与上文的流动性受限资产的定义并不完全一致，包括由《上市公司证券发行注册管理办法》规范的非公开发行股票、公开发行股票网下配售部分等在发行时明确一定期限锁定期的可交易证券，不包括由于发布重大</w:t>
      </w:r>
      <w:r w:rsidRPr="00112EBC">
        <w:rPr>
          <w:rFonts w:asciiTheme="minorEastAsia" w:eastAsiaTheme="minorEastAsia" w:hAnsiTheme="minorEastAsia" w:hint="eastAsia"/>
          <w:color w:val="000000" w:themeColor="text1"/>
          <w:sz w:val="24"/>
        </w:rPr>
        <w:lastRenderedPageBreak/>
        <w:t>消息或其他原因而临时停牌的证券、已发行未上市证券、回购交易中的质押券等流通受限证券。</w:t>
      </w:r>
    </w:p>
    <w:p w14:paraId="666DBABE"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本基金可以投资经中国证监会批准的非公开发行证券，且限于由中国证券登记结算有限责任公司、中央国债登记结算有限责任公司或银行间市场清算所股份有限公司负责登记和存管的，并可在证券交易所或全国银行间债券市场交易的证券。</w:t>
      </w:r>
    </w:p>
    <w:p w14:paraId="1AA20469"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本基金不得投资未经中国证监会批准的非公开发行证券。</w:t>
      </w:r>
    </w:p>
    <w:p w14:paraId="548FED83"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本基金不得投资有锁定期但锁定期不明确的证券。</w:t>
      </w:r>
    </w:p>
    <w:p w14:paraId="30978B5D"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2.基金管理人应在基金首次投资流通受限证券前，向基金托管人提供经基金管理人董事会批准的有关基金投资流通受限证券的投资决策流程、风险控制制度。基金投资非公开发行股票，基金管理人还应提供基金管理人董事会批准的流动性风险处置预案。上述资料应包括但不限于基金投资流通受限证券的投资额度和投资比例控制情况。</w:t>
      </w:r>
    </w:p>
    <w:p w14:paraId="40CA4148"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基金管理人应至少于首次执行投资指令之前两个工作日将上述资料书面发至基金托管人，保证基金托管人有足够的时间进行审核。基金托管人应在收到上述资料后两个工作日内，以书面或其他双方认可的方式确认收到上述资料。</w:t>
      </w:r>
    </w:p>
    <w:p w14:paraId="2A374079"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基金管理人对本基金投资流通受限证券的流动性风险负责，确保对相关风险采取积极有效的措施，在合理的时间内有效解决基金运作的流动性问题。如因市场发生剧烈变动等原因而导致基金现金周转困难时，基金管理人应保证提供足额现金确保基金的支付结算。对本基金因投资流通受限证券导致的流动性风险，基金托管人不承担相应责任。</w:t>
      </w:r>
    </w:p>
    <w:p w14:paraId="24B12937"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3.基金投资流通受限证券前，基金管理人应向基金托管人提供符合法律法规要求的有关书面信息，包括但不限于拟发行证券主体的中国证监会批准文件、发行证券数量、发行价格、锁定期，基金拟认购的数量、价格、总成本、应划付的认购款、资金划付时间等。基金管理人应保证上述信息的真实、完整，并应至少于拟执行投资指令前两个工作日将上述信息书面发至基金托管人，保证基金托管人有足够的时间进行审核。</w:t>
      </w:r>
    </w:p>
    <w:p w14:paraId="3B86F2DB"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由于基金管理人未及时提供有关证券的具体的必要的信息，致使基金托管人无法审核认购指令而影响认购款项划拨的，基金托管人免于承担责任。</w:t>
      </w:r>
    </w:p>
    <w:p w14:paraId="431F8729"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lastRenderedPageBreak/>
        <w:t>4.基金托管人依照法律法规、《基金合同》、《托管协议》审核基金管理人投资流通受限证券的行为。如发现基金管理人违反了《基金合同》、《托管协议》以及其他相关法律法规的有关规定，应及时通知基金管理人，并呈报中国证监会，同时采取合理措施保护基金投资人的利益。基金托管人有权对基金管理人的违法、违规以及违反《基金合同》、《托管协议》的投资指令不予执行，并立即通知基金管理人纠正，基金管理人不予纠正或已代表基金签署合同不得不执行时，基金托管人应向中国证监会报告。</w:t>
      </w:r>
    </w:p>
    <w:p w14:paraId="2B91144D"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5.基金管理人应在基金投资非公开发行股票后两个交易日内，在中国证监会规定媒介披露所投资非公开发行股票的名称、数量、总成本、账面价值，以及总成本和账面价值占基金资产净值的比例、锁定期等信息。</w:t>
      </w:r>
    </w:p>
    <w:p w14:paraId="77C490BB"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（六）基金管理人应当对投资中期票据业务进行研究，认真评估中期票据投资业务的风险，本着审慎、勤勉尽责的原则进行中期票据的投资业务，并应符合法律法规及监管机构的相关规定。</w:t>
      </w:r>
    </w:p>
    <w:p w14:paraId="4AF15011"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七）基金托管人根据有关法律法规的规定及《基金合同》的约定，对基金资产净值计算、各类基金份额净值信息计算、基金费用开支及收入确定、基金收益分配、相关信息披露、基金宣传推介材料中登载基金业绩表现数据等进行监督和核查。</w:t>
      </w:r>
    </w:p>
    <w:p w14:paraId="26997904" w14:textId="22EBAC5B"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（八）基金参与</w:t>
      </w:r>
      <w:r w:rsidR="002B01A6" w:rsidRPr="002B01A6">
        <w:rPr>
          <w:rFonts w:asciiTheme="minorEastAsia" w:eastAsiaTheme="minorEastAsia" w:hAnsiTheme="minorEastAsia" w:hint="eastAsia"/>
          <w:color w:val="000000" w:themeColor="text1"/>
          <w:sz w:val="24"/>
        </w:rPr>
        <w:t>融资及</w:t>
      </w:r>
      <w:r w:rsidRPr="00112EBC">
        <w:rPr>
          <w:rFonts w:asciiTheme="minorEastAsia" w:eastAsiaTheme="minorEastAsia" w:hAnsiTheme="minorEastAsia" w:hint="eastAsia"/>
          <w:color w:val="000000" w:themeColor="text1"/>
          <w:sz w:val="24"/>
        </w:rPr>
        <w:t>转融通证券出借业务，基金管理人应当遵守审慎经营的原则，配备技术系统和专业人员，制定科学合理的投资策略和风险管理制度，完善业务流程，有效防范和控制风险。</w:t>
      </w:r>
    </w:p>
    <w:p w14:paraId="68C443F3"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九）基金托管人发现基金管理人的上述事项及投资指令或实际投资运作违反法律法规、《基金合同》和本托管协议的规定，应及时以电话、邮件或书面提示等方式通知基金管理人限期纠正。基金管理人应积极配合和协助基金托管人的监督和核查。基金管理人收到通知后应及时核对并回复基金托管人，对于收到的书面通知，基金管理人应以书面形式给基金托管人发出回函，就基金托管人的合理疑义进行解释或举证，说明违规原因及纠正期限。在上述规定期限内，基金托管人有权随时对通知事项进行复查，督促基金管理人改正。基金管理人对基金托管人通知的违规事项未能在限期内纠正的，基金托管人应报告中国证监会。</w:t>
      </w:r>
    </w:p>
    <w:p w14:paraId="4C6FB5A4"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（十）基金管理人有义务配合和协助基金托管人依照法律法规、《基金合同》</w:t>
      </w:r>
      <w:r w:rsidRPr="00112EBC">
        <w:rPr>
          <w:rFonts w:asciiTheme="minorEastAsia" w:eastAsiaTheme="minorEastAsia" w:hAnsiTheme="minorEastAsia" w:hint="eastAsia"/>
          <w:color w:val="000000" w:themeColor="text1"/>
          <w:sz w:val="24"/>
        </w:rPr>
        <w:lastRenderedPageBreak/>
        <w:t>和本托管协议对基金业务执行核查。包括但不限于：对基金托管人发出的提示，基金管理人应在规定时间内答复并改正，或就基金托管人的合理疑义进行解释或举证；对基金托管人按照法律法规、基金合同和本托管协议的要求需向中国证监会报送基金监督报告的事项，基金管理人应积极配合提供相关数据资料和制度等。</w:t>
      </w:r>
    </w:p>
    <w:p w14:paraId="749831C9"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十一）若基金托管人发现基金管理人依据交易程序已经生效的指令违反法律、行政法规和其他有关规定，或者违反基金合同约定的，应当立即通知基金管理人及时纠正，由此造成的损失由基金管理人承担，基金托管人在履行其通知义务后，予以免责。</w:t>
      </w:r>
    </w:p>
    <w:p w14:paraId="050B49E3" w14:textId="34ECCA2C" w:rsidR="00606930" w:rsidRPr="00A30C3C" w:rsidRDefault="00112EBC" w:rsidP="00A30C3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（十二）基金托管人发现基金管理人有重大违规行为，应及时报告中国证监会，同时通知基金管理人限期纠正。</w:t>
      </w:r>
    </w:p>
    <w:p w14:paraId="234E2354" w14:textId="4E5DBA37" w:rsidR="00BF4A4E" w:rsidRPr="00A30C3C" w:rsidRDefault="00446B87" w:rsidP="00A30C3C">
      <w:pPr>
        <w:spacing w:line="360" w:lineRule="auto"/>
        <w:ind w:firstLineChars="200" w:firstLine="480"/>
        <w:rPr>
          <w:rFonts w:asciiTheme="minorEastAsia" w:eastAsiaTheme="minorEastAsia" w:hAnsiTheme="minorEastAsia"/>
          <w:color w:val="000000" w:themeColor="text1"/>
          <w:sz w:val="24"/>
        </w:rPr>
      </w:pPr>
      <w:r w:rsidRPr="00A30C3C">
        <w:rPr>
          <w:rFonts w:asciiTheme="minorEastAsia" w:eastAsiaTheme="minorEastAsia" w:hAnsiTheme="minorEastAsia" w:hint="eastAsia"/>
          <w:color w:val="000000" w:themeColor="text1"/>
          <w:sz w:val="24"/>
        </w:rPr>
        <w:t>三、</w:t>
      </w:r>
      <w:r w:rsidR="00BF4A4E" w:rsidRPr="00A30C3C">
        <w:rPr>
          <w:rFonts w:asciiTheme="minorEastAsia" w:eastAsiaTheme="minorEastAsia" w:hAnsiTheme="minorEastAsia" w:hint="eastAsia"/>
          <w:color w:val="000000" w:themeColor="text1"/>
          <w:sz w:val="24"/>
        </w:rPr>
        <w:t>基金管理人对基金托管人的业务核查</w:t>
      </w:r>
    </w:p>
    <w:p w14:paraId="27A8A8E3"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一）基金管理人对基金托管人履行托管职责情况进行核查，核查事项包括基金托管人安全保管基金财产、开设基金财产的资金账户、证券账户等投资所需账户、复核基金管理人计算的基金资产净值和各类基金份额净值、各类基金份额累计净值、根据基金管理人指令办理清算交收、相关信息披露和监督基金投资运作等行为。</w:t>
      </w:r>
    </w:p>
    <w:p w14:paraId="0C63E52F"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二）基金管理人发现基金托管人擅自挪用基金财产、未对基金财产实行分账管理、未执行或无故延迟执行基金管理人资金划拨指令、泄露基金投资信息等违反《基金法》、基金合同、托管协议及其他有关规定时，应及时以书面形式通知基金托管人限期纠正。基金托管人收到书面通知后应在下一工作日前及时核对并以书面形式给基金管理人发出回函，说明违规原因及纠正期限，并保证在规定期限内及时改正。在上述规定期限内，基金管理人有权随时对通知事项进行复查，督促基金托管人改正。</w:t>
      </w:r>
    </w:p>
    <w:p w14:paraId="6F5BF1F2"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三）基金托管人有义务配合和协助基金管理人依照法律法规、基金合同和本托管协议对基金业务执行核查，包括但不限于：对基金管理人发出的书面提示，基金托管人应在规定时间内答复并改正，或就基金管理人的疑义进行解释或举证；基金托管人应积极配合提供相关资料以供基金管理人核查托管财产的完整性和真实性。</w:t>
      </w:r>
    </w:p>
    <w:p w14:paraId="17272998" w14:textId="772E347F" w:rsidR="00B53CE6" w:rsidRPr="00A30C3C" w:rsidRDefault="00112EBC" w:rsidP="00A30C3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（四）基金管理人发现基金托管人有重大违规行为，应及时报告中国证监会，</w:t>
      </w:r>
      <w:r w:rsidRPr="00112EBC">
        <w:rPr>
          <w:rFonts w:asciiTheme="minorEastAsia" w:eastAsiaTheme="minorEastAsia" w:hAnsiTheme="minorEastAsia" w:hint="eastAsia"/>
          <w:color w:val="000000" w:themeColor="text1"/>
          <w:sz w:val="24"/>
        </w:rPr>
        <w:lastRenderedPageBreak/>
        <w:t>同时通知基金托管人限期纠正，并将纠正结果报告中国证监会。</w:t>
      </w:r>
    </w:p>
    <w:p w14:paraId="56D0B6AF" w14:textId="42FA77FE" w:rsidR="00BF4A4E" w:rsidRPr="00A30C3C" w:rsidRDefault="00446B87" w:rsidP="00A30C3C">
      <w:pPr>
        <w:autoSpaceDE w:val="0"/>
        <w:autoSpaceDN w:val="0"/>
        <w:adjustRightInd w:val="0"/>
        <w:spacing w:line="360" w:lineRule="auto"/>
        <w:ind w:firstLineChars="200" w:firstLine="480"/>
        <w:rPr>
          <w:rFonts w:asciiTheme="minorEastAsia" w:eastAsiaTheme="minorEastAsia" w:hAnsiTheme="minorEastAsia"/>
          <w:color w:val="000000" w:themeColor="text1"/>
          <w:sz w:val="24"/>
        </w:rPr>
      </w:pPr>
      <w:r w:rsidRPr="00A30C3C">
        <w:rPr>
          <w:rFonts w:asciiTheme="minorEastAsia" w:eastAsiaTheme="minorEastAsia" w:hAnsiTheme="minorEastAsia" w:hint="eastAsia"/>
          <w:color w:val="000000" w:themeColor="text1"/>
          <w:sz w:val="24"/>
        </w:rPr>
        <w:t>四、</w:t>
      </w:r>
      <w:r w:rsidR="00BF4A4E" w:rsidRPr="00A30C3C">
        <w:rPr>
          <w:rFonts w:asciiTheme="minorEastAsia" w:eastAsiaTheme="minorEastAsia" w:hAnsiTheme="minorEastAsia" w:hint="eastAsia"/>
          <w:color w:val="000000" w:themeColor="text1"/>
          <w:sz w:val="24"/>
        </w:rPr>
        <w:t>基金财产保管</w:t>
      </w:r>
    </w:p>
    <w:p w14:paraId="53944E98" w14:textId="77777777" w:rsidR="00112EBC" w:rsidRPr="00112EBC" w:rsidRDefault="00112EBC" w:rsidP="00112EBC">
      <w:pPr>
        <w:autoSpaceDE w:val="0"/>
        <w:autoSpaceDN w:val="0"/>
        <w:adjustRightInd w:val="0"/>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（一）基金财产保管的原则</w:t>
      </w:r>
    </w:p>
    <w:p w14:paraId="7B980391" w14:textId="463FEC16" w:rsidR="00112EBC" w:rsidRPr="00112EBC" w:rsidRDefault="00112EBC" w:rsidP="00112EBC">
      <w:pPr>
        <w:autoSpaceDE w:val="0"/>
        <w:autoSpaceDN w:val="0"/>
        <w:adjustRightInd w:val="0"/>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1.</w:t>
      </w:r>
      <w:r w:rsidR="000D5B3F" w:rsidRPr="000D5B3F">
        <w:rPr>
          <w:rFonts w:asciiTheme="minorEastAsia" w:eastAsiaTheme="minorEastAsia" w:hAnsiTheme="minorEastAsia" w:hint="eastAsia"/>
          <w:color w:val="000000" w:themeColor="text1"/>
          <w:sz w:val="24"/>
        </w:rPr>
        <w:t>基金财产应独立于基金管理人、基金托管人、证券经纪机构的固有财产。</w:t>
      </w:r>
    </w:p>
    <w:p w14:paraId="11CDD687" w14:textId="77777777" w:rsidR="00112EBC" w:rsidRPr="00112EBC" w:rsidRDefault="00112EBC" w:rsidP="00112EBC">
      <w:pPr>
        <w:autoSpaceDE w:val="0"/>
        <w:autoSpaceDN w:val="0"/>
        <w:adjustRightInd w:val="0"/>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2.基金托管人应安全保管基金财产。</w:t>
      </w:r>
    </w:p>
    <w:p w14:paraId="20ABAE78" w14:textId="77777777" w:rsidR="00112EBC" w:rsidRPr="00112EBC" w:rsidRDefault="00112EBC" w:rsidP="00112EBC">
      <w:pPr>
        <w:autoSpaceDE w:val="0"/>
        <w:autoSpaceDN w:val="0"/>
        <w:adjustRightInd w:val="0"/>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3.基金托管人按照规定开设基金财产投资所需的相关账户。</w:t>
      </w:r>
    </w:p>
    <w:p w14:paraId="7550F89F" w14:textId="77777777" w:rsidR="00112EBC" w:rsidRPr="00112EBC" w:rsidRDefault="00112EBC" w:rsidP="00112EBC">
      <w:pPr>
        <w:autoSpaceDE w:val="0"/>
        <w:autoSpaceDN w:val="0"/>
        <w:adjustRightInd w:val="0"/>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4.基金托管人对所托管的不同基金财产分别设置账户，独立核算，分账管理，确保基金财产的完整与独立。</w:t>
      </w:r>
    </w:p>
    <w:p w14:paraId="3E5EF375" w14:textId="77777777" w:rsidR="00112EBC" w:rsidRPr="00112EBC" w:rsidRDefault="00112EBC" w:rsidP="00112EBC">
      <w:pPr>
        <w:autoSpaceDE w:val="0"/>
        <w:autoSpaceDN w:val="0"/>
        <w:adjustRightInd w:val="0"/>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5.基金托管人根据基金管理人的指令，按照基金合同和本协议的约定保管基金财产。未经基金管理人的正当指令，不得自行运用、处分、分配基金的任何资产。不属于基金托管人实际有效控制下的资产及实物证券等在基金托管人保管期间的损坏、灭失，基金托管人不承担由此产生的责任。</w:t>
      </w:r>
    </w:p>
    <w:p w14:paraId="5BAEA78B" w14:textId="77777777" w:rsidR="00112EBC" w:rsidRPr="00112EBC" w:rsidRDefault="00112EBC" w:rsidP="00112EBC">
      <w:pPr>
        <w:autoSpaceDE w:val="0"/>
        <w:autoSpaceDN w:val="0"/>
        <w:adjustRightInd w:val="0"/>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6.对于因为基金投资产生的应收资产，应由基金管理人负责与有关当事人确定到账日期并通知基金托管人，到账日基金财产没有到达基金资金账户的，基金托管人应及时通知基金管理人采取措施进行催收，基金管理人应负责向有关当事人追偿基金财产的损失，基金托管人应给予必要的协助。</w:t>
      </w:r>
    </w:p>
    <w:p w14:paraId="565E69BE" w14:textId="48DCE6AF" w:rsidR="00112EBC" w:rsidRPr="00112EBC" w:rsidRDefault="00112EBC" w:rsidP="00112EBC">
      <w:pPr>
        <w:autoSpaceDE w:val="0"/>
        <w:autoSpaceDN w:val="0"/>
        <w:adjustRightInd w:val="0"/>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7.基金托管人对因为基金管理人投资产生的存放或存管在基金托管人以外机构的基金资产，或交由期货公司或证券公司负责清算交收的基金资产（包括但不限于</w:t>
      </w:r>
      <w:r w:rsidR="009E6544" w:rsidRPr="009E6544">
        <w:rPr>
          <w:rFonts w:asciiTheme="minorEastAsia" w:eastAsiaTheme="minorEastAsia" w:hAnsiTheme="minorEastAsia" w:hint="eastAsia"/>
          <w:color w:val="000000" w:themeColor="text1"/>
          <w:sz w:val="24"/>
        </w:rPr>
        <w:t>证券交易资金账户内的资金、证券类基金资产、</w:t>
      </w:r>
      <w:r w:rsidRPr="00112EBC">
        <w:rPr>
          <w:rFonts w:asciiTheme="minorEastAsia" w:eastAsiaTheme="minorEastAsia" w:hAnsiTheme="minorEastAsia" w:hint="eastAsia"/>
          <w:color w:val="000000" w:themeColor="text1"/>
          <w:sz w:val="24"/>
        </w:rPr>
        <w:t>期货保证金账户内的资金、期货合约等）及其收益，由于该等机构或该机构会员单位等本协议当事人外第三方的欺诈、疏忽、过失或破产等原因给基金资产造成的损失等不承担责任。</w:t>
      </w:r>
    </w:p>
    <w:p w14:paraId="7F0B8D97" w14:textId="77777777" w:rsidR="00112EBC" w:rsidRPr="00112EBC" w:rsidRDefault="00112EBC" w:rsidP="00112EBC">
      <w:pPr>
        <w:autoSpaceDE w:val="0"/>
        <w:autoSpaceDN w:val="0"/>
        <w:adjustRightInd w:val="0"/>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8.除依据法律法规和基金合同的规定外，基金托管人不得委托第三人托管基金财产。</w:t>
      </w:r>
    </w:p>
    <w:p w14:paraId="7943C573" w14:textId="77777777" w:rsidR="00112EBC" w:rsidRPr="00112EBC" w:rsidRDefault="00112EBC" w:rsidP="00112EBC">
      <w:pPr>
        <w:autoSpaceDE w:val="0"/>
        <w:autoSpaceDN w:val="0"/>
        <w:adjustRightInd w:val="0"/>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（二）基金募集期间募集资金的验资</w:t>
      </w:r>
    </w:p>
    <w:p w14:paraId="37FAC6B0" w14:textId="77777777" w:rsidR="00112EBC" w:rsidRPr="00112EBC" w:rsidRDefault="00112EBC" w:rsidP="00112EBC">
      <w:pPr>
        <w:autoSpaceDE w:val="0"/>
        <w:autoSpaceDN w:val="0"/>
        <w:adjustRightInd w:val="0"/>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1.基金募集期间募集的资金应开立“基金募集专户”。该账户由基金管理人开立并管理。</w:t>
      </w:r>
    </w:p>
    <w:p w14:paraId="2AA515CC" w14:textId="1D50D758" w:rsidR="00112EBC" w:rsidRPr="00112EBC" w:rsidRDefault="00112EBC" w:rsidP="00112EBC">
      <w:pPr>
        <w:autoSpaceDE w:val="0"/>
        <w:autoSpaceDN w:val="0"/>
        <w:adjustRightInd w:val="0"/>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2.基金募集期满或基金停止募集时，</w:t>
      </w:r>
      <w:r w:rsidR="00592C77" w:rsidRPr="00592C77">
        <w:rPr>
          <w:rFonts w:asciiTheme="minorEastAsia" w:eastAsiaTheme="minorEastAsia" w:hAnsiTheme="minorEastAsia" w:hint="eastAsia"/>
          <w:color w:val="000000" w:themeColor="text1"/>
          <w:sz w:val="24"/>
        </w:rPr>
        <w:t>发起资金提供方的认购金额、发起资金提供方及其承诺的持有期限</w:t>
      </w:r>
      <w:r w:rsidRPr="00112EBC">
        <w:rPr>
          <w:rFonts w:asciiTheme="minorEastAsia" w:eastAsiaTheme="minorEastAsia" w:hAnsiTheme="minorEastAsia" w:hint="eastAsia"/>
          <w:color w:val="000000" w:themeColor="text1"/>
          <w:sz w:val="24"/>
        </w:rPr>
        <w:t>符合《基金法》、《运作办法》等有关规定后，基金管理人应将属于基金财产的全部资金划入基金托管人为基金开立的基金资金账户，</w:t>
      </w:r>
      <w:r w:rsidRPr="00112EBC">
        <w:rPr>
          <w:rFonts w:asciiTheme="minorEastAsia" w:eastAsiaTheme="minorEastAsia" w:hAnsiTheme="minorEastAsia" w:hint="eastAsia"/>
          <w:color w:val="000000" w:themeColor="text1"/>
          <w:sz w:val="24"/>
        </w:rPr>
        <w:lastRenderedPageBreak/>
        <w:t>同时在规定时间内，基金管理人应聘请符合《中华人民共和国证券法》规定的会计师事务所进行验资，出具验资报告</w:t>
      </w:r>
      <w:r w:rsidR="00112F36" w:rsidRPr="00112F36">
        <w:rPr>
          <w:rFonts w:asciiTheme="minorEastAsia" w:eastAsiaTheme="minorEastAsia" w:hAnsiTheme="minorEastAsia" w:hint="eastAsia"/>
          <w:color w:val="000000" w:themeColor="text1"/>
          <w:sz w:val="24"/>
        </w:rPr>
        <w:t>，验资报告需对发起资金提供方及其持有份额进行专门说明</w:t>
      </w:r>
      <w:r w:rsidRPr="00112EBC">
        <w:rPr>
          <w:rFonts w:asciiTheme="minorEastAsia" w:eastAsiaTheme="minorEastAsia" w:hAnsiTheme="minorEastAsia" w:hint="eastAsia"/>
          <w:color w:val="000000" w:themeColor="text1"/>
          <w:sz w:val="24"/>
        </w:rPr>
        <w:t>。出具的验资报告由参加验资的2名或2名以上中国注册会计师签字方为有效。</w:t>
      </w:r>
    </w:p>
    <w:p w14:paraId="1A41EE01" w14:textId="77777777" w:rsidR="00112EBC" w:rsidRPr="00112EBC" w:rsidRDefault="00112EBC" w:rsidP="00112EBC">
      <w:pPr>
        <w:autoSpaceDE w:val="0"/>
        <w:autoSpaceDN w:val="0"/>
        <w:adjustRightInd w:val="0"/>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3.若基金募集期限届满，未能达到基金合同生效的条件，由基金管理人按规定办理退款等事宜，基金托管人应提供充分协助。</w:t>
      </w:r>
    </w:p>
    <w:p w14:paraId="6E546D5C" w14:textId="77777777" w:rsidR="00112EBC" w:rsidRPr="00112EBC" w:rsidRDefault="00112EBC" w:rsidP="00112EBC">
      <w:pPr>
        <w:autoSpaceDE w:val="0"/>
        <w:autoSpaceDN w:val="0"/>
        <w:adjustRightInd w:val="0"/>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（三）基金资金账户的开立和管理</w:t>
      </w:r>
    </w:p>
    <w:p w14:paraId="37F449D3" w14:textId="21B98A9E" w:rsidR="00112EBC" w:rsidRPr="00112EBC" w:rsidRDefault="00112EBC" w:rsidP="00112EBC">
      <w:pPr>
        <w:autoSpaceDE w:val="0"/>
        <w:autoSpaceDN w:val="0"/>
        <w:adjustRightInd w:val="0"/>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1.基金托管人以本基金的名义在其营业机构开立基金的资金账户（也可称为“托管账户”），保管基金的银行存款，并根据基金管理人的指令办理资金收付。托管账户名称应为“银华</w:t>
      </w:r>
      <w:r w:rsidR="00FD0AB2">
        <w:rPr>
          <w:rFonts w:asciiTheme="minorEastAsia" w:eastAsiaTheme="minorEastAsia" w:hAnsiTheme="minorEastAsia" w:hint="eastAsia"/>
          <w:color w:val="000000" w:themeColor="text1"/>
          <w:sz w:val="24"/>
        </w:rPr>
        <w:t>中证全指证券公司</w:t>
      </w:r>
      <w:r w:rsidRPr="00112EBC">
        <w:rPr>
          <w:rFonts w:asciiTheme="minorEastAsia" w:eastAsiaTheme="minorEastAsia" w:hAnsiTheme="minorEastAsia" w:hint="eastAsia"/>
          <w:color w:val="000000" w:themeColor="text1"/>
          <w:sz w:val="24"/>
        </w:rPr>
        <w:t>交易型开放式指数证券投资基金发起式联接基金”（</w:t>
      </w:r>
      <w:r w:rsidR="006E3235">
        <w:rPr>
          <w:rFonts w:asciiTheme="minorEastAsia" w:eastAsiaTheme="minorEastAsia" w:hAnsiTheme="minorEastAsia" w:hint="eastAsia"/>
          <w:color w:val="000000" w:themeColor="text1"/>
          <w:sz w:val="24"/>
        </w:rPr>
        <w:t>基金</w:t>
      </w:r>
      <w:r w:rsidRPr="00112EBC">
        <w:rPr>
          <w:rFonts w:asciiTheme="minorEastAsia" w:eastAsiaTheme="minorEastAsia" w:hAnsiTheme="minorEastAsia" w:hint="eastAsia"/>
          <w:color w:val="000000" w:themeColor="text1"/>
          <w:sz w:val="24"/>
        </w:rPr>
        <w:t>名称以中国证监会最后申请注册为准），预留印鉴为基金托管人印章。</w:t>
      </w:r>
    </w:p>
    <w:p w14:paraId="31C0F09B" w14:textId="77777777" w:rsidR="00112EBC" w:rsidRPr="00112EBC" w:rsidRDefault="00112EBC" w:rsidP="00112EBC">
      <w:pPr>
        <w:autoSpaceDE w:val="0"/>
        <w:autoSpaceDN w:val="0"/>
        <w:adjustRightInd w:val="0"/>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2.基金资金账户的开立和使用，限于满足开展本基金业务的需要。基金托管人和基金管理人不得假借本基金的名义开立任何其他银行账户；亦不得使用基金的任何账户进行本基金业务以外的活动。</w:t>
      </w:r>
    </w:p>
    <w:p w14:paraId="51DB32B0" w14:textId="77777777" w:rsidR="00112EBC" w:rsidRPr="00112EBC" w:rsidRDefault="00112EBC" w:rsidP="00112EBC">
      <w:pPr>
        <w:autoSpaceDE w:val="0"/>
        <w:autoSpaceDN w:val="0"/>
        <w:adjustRightInd w:val="0"/>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3.基金资金账户的开立和管理应符合法律法规及银行业监督管理机构的有关规定。</w:t>
      </w:r>
    </w:p>
    <w:p w14:paraId="6134759C" w14:textId="41620C28" w:rsidR="00112EBC" w:rsidRPr="00112EBC" w:rsidRDefault="00112EBC" w:rsidP="00112EBC">
      <w:pPr>
        <w:autoSpaceDE w:val="0"/>
        <w:autoSpaceDN w:val="0"/>
        <w:adjustRightInd w:val="0"/>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（四）</w:t>
      </w:r>
      <w:r w:rsidR="000D5B3F" w:rsidRPr="000D5B3F">
        <w:rPr>
          <w:rFonts w:asciiTheme="minorEastAsia" w:eastAsiaTheme="minorEastAsia" w:hAnsiTheme="minorEastAsia" w:hint="eastAsia"/>
          <w:color w:val="000000" w:themeColor="text1"/>
          <w:sz w:val="24"/>
        </w:rPr>
        <w:t>基金证券账户和证券交易资金账户的开立和管理</w:t>
      </w:r>
    </w:p>
    <w:p w14:paraId="3490BC30" w14:textId="55AE90D2" w:rsidR="00112EBC" w:rsidRPr="00112EBC" w:rsidRDefault="00112EBC" w:rsidP="00112EBC">
      <w:pPr>
        <w:autoSpaceDE w:val="0"/>
        <w:autoSpaceDN w:val="0"/>
        <w:adjustRightInd w:val="0"/>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1.基金托管人在中国证券登记结算有限责任公司</w:t>
      </w:r>
      <w:r w:rsidR="006E3235" w:rsidRPr="006E3235">
        <w:rPr>
          <w:rFonts w:asciiTheme="minorEastAsia" w:eastAsiaTheme="minorEastAsia" w:hAnsiTheme="minorEastAsia" w:hint="eastAsia"/>
          <w:color w:val="000000" w:themeColor="text1"/>
          <w:sz w:val="24"/>
        </w:rPr>
        <w:t>上海分公司、深圳分公司</w:t>
      </w:r>
      <w:r w:rsidRPr="00112EBC">
        <w:rPr>
          <w:rFonts w:asciiTheme="minorEastAsia" w:eastAsiaTheme="minorEastAsia" w:hAnsiTheme="minorEastAsia" w:hint="eastAsia"/>
          <w:color w:val="000000" w:themeColor="text1"/>
          <w:sz w:val="24"/>
        </w:rPr>
        <w:t>为基金开立基金托管人与基金联名的证券账户。</w:t>
      </w:r>
    </w:p>
    <w:p w14:paraId="3CB5D646" w14:textId="7C8DA009" w:rsidR="004A7316" w:rsidRDefault="000D5B3F" w:rsidP="000D5B3F">
      <w:pPr>
        <w:autoSpaceDE w:val="0"/>
        <w:autoSpaceDN w:val="0"/>
        <w:adjustRightInd w:val="0"/>
        <w:spacing w:line="360" w:lineRule="auto"/>
        <w:ind w:firstLineChars="200" w:firstLine="480"/>
        <w:rPr>
          <w:rFonts w:asciiTheme="minorEastAsia" w:eastAsiaTheme="minorEastAsia" w:hAnsiTheme="minorEastAsia"/>
          <w:color w:val="000000" w:themeColor="text1"/>
          <w:sz w:val="24"/>
        </w:rPr>
      </w:pPr>
      <w:r w:rsidRPr="000D5B3F">
        <w:rPr>
          <w:rFonts w:asciiTheme="minorEastAsia" w:eastAsiaTheme="minorEastAsia" w:hAnsiTheme="minorEastAsia" w:hint="eastAsia"/>
          <w:color w:val="000000" w:themeColor="text1"/>
          <w:sz w:val="24"/>
        </w:rPr>
        <w:t>2.</w:t>
      </w:r>
      <w:r w:rsidR="004A7316" w:rsidRPr="004A7316">
        <w:rPr>
          <w:rFonts w:hint="eastAsia"/>
        </w:rPr>
        <w:t xml:space="preserve"> </w:t>
      </w:r>
      <w:r w:rsidR="004A7316" w:rsidRPr="004A7316">
        <w:rPr>
          <w:rFonts w:asciiTheme="minorEastAsia" w:eastAsiaTheme="minorEastAsia" w:hAnsiTheme="minorEastAsia" w:hint="eastAsia"/>
          <w:color w:val="000000" w:themeColor="text1"/>
          <w:sz w:val="24"/>
        </w:rPr>
        <w:t>基金证券账户的开立和使用，仅限于满足开展本基金业务的需要。基金托管人和基金管理人不得出借或未经对方同意擅自转让基金的任何证券账户，亦不得使用基金的任何账户进行本基金业务以外的活动。</w:t>
      </w:r>
    </w:p>
    <w:p w14:paraId="7DB620FA" w14:textId="7B58FF97" w:rsidR="000D5B3F" w:rsidRPr="000D5B3F" w:rsidRDefault="004A7316" w:rsidP="000D5B3F">
      <w:pPr>
        <w:autoSpaceDE w:val="0"/>
        <w:autoSpaceDN w:val="0"/>
        <w:adjustRightInd w:val="0"/>
        <w:spacing w:line="360" w:lineRule="auto"/>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color w:val="000000" w:themeColor="text1"/>
          <w:sz w:val="24"/>
        </w:rPr>
        <w:t>3.</w:t>
      </w:r>
      <w:r w:rsidR="000D5B3F" w:rsidRPr="000D5B3F">
        <w:rPr>
          <w:rFonts w:asciiTheme="minorEastAsia" w:eastAsiaTheme="minorEastAsia" w:hAnsiTheme="minorEastAsia" w:hint="eastAsia"/>
          <w:color w:val="000000" w:themeColor="text1"/>
          <w:sz w:val="24"/>
        </w:rPr>
        <w:t>基金证券账户的开立和证券账户卡的保管由基金托管人负责，账户资产的管理和运用由基金管理人负责。</w:t>
      </w:r>
    </w:p>
    <w:p w14:paraId="4F1C08EF" w14:textId="66079096" w:rsidR="000D5B3F" w:rsidRPr="000D5B3F" w:rsidRDefault="004A7316" w:rsidP="000D5B3F">
      <w:pPr>
        <w:autoSpaceDE w:val="0"/>
        <w:autoSpaceDN w:val="0"/>
        <w:adjustRightInd w:val="0"/>
        <w:spacing w:line="360" w:lineRule="auto"/>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color w:val="000000" w:themeColor="text1"/>
          <w:sz w:val="24"/>
        </w:rPr>
        <w:t>4</w:t>
      </w:r>
      <w:r w:rsidR="000D5B3F" w:rsidRPr="000D5B3F">
        <w:rPr>
          <w:rFonts w:asciiTheme="minorEastAsia" w:eastAsiaTheme="minorEastAsia" w:hAnsiTheme="minorEastAsia" w:hint="eastAsia"/>
          <w:color w:val="000000" w:themeColor="text1"/>
          <w:sz w:val="24"/>
        </w:rPr>
        <w:t>.基金管理人为基金财产在证券经纪机构开立证券交易资金账户，用于基金财产证券交易结算资金的存管、记载交易结算资金的变动明细以及场内证券交易清算，并与基金托管人开立的托管账户建立第三方存管关系。</w:t>
      </w:r>
    </w:p>
    <w:p w14:paraId="018FAB3E" w14:textId="3540D9DA" w:rsidR="000D5B3F" w:rsidRPr="000D5B3F" w:rsidRDefault="006A5BB5" w:rsidP="000D5B3F">
      <w:pPr>
        <w:autoSpaceDE w:val="0"/>
        <w:autoSpaceDN w:val="0"/>
        <w:adjustRightInd w:val="0"/>
        <w:spacing w:line="360" w:lineRule="auto"/>
        <w:ind w:firstLineChars="200" w:firstLine="480"/>
        <w:rPr>
          <w:rFonts w:asciiTheme="minorEastAsia" w:eastAsiaTheme="minorEastAsia" w:hAnsiTheme="minorEastAsia"/>
          <w:color w:val="000000" w:themeColor="text1"/>
          <w:sz w:val="24"/>
        </w:rPr>
      </w:pPr>
      <w:r w:rsidRPr="006A5BB5">
        <w:rPr>
          <w:rFonts w:asciiTheme="minorEastAsia" w:eastAsiaTheme="minorEastAsia" w:hAnsiTheme="minorEastAsia" w:hint="eastAsia"/>
          <w:color w:val="000000" w:themeColor="text1"/>
          <w:sz w:val="24"/>
        </w:rPr>
        <w:t>基金托管人和基金管理人不得出借或转让证券账户、证券交易资金账户，亦</w:t>
      </w:r>
      <w:r w:rsidRPr="006A5BB5">
        <w:rPr>
          <w:rFonts w:asciiTheme="minorEastAsia" w:eastAsiaTheme="minorEastAsia" w:hAnsiTheme="minorEastAsia" w:hint="eastAsia"/>
          <w:color w:val="000000" w:themeColor="text1"/>
          <w:sz w:val="24"/>
        </w:rPr>
        <w:lastRenderedPageBreak/>
        <w:t>不得使用证券账户或证券交易资金账户进行本基金业务以外的活动。</w:t>
      </w:r>
      <w:r w:rsidR="000D5B3F" w:rsidRPr="000D5B3F">
        <w:rPr>
          <w:rFonts w:asciiTheme="minorEastAsia" w:eastAsiaTheme="minorEastAsia" w:hAnsiTheme="minorEastAsia" w:hint="eastAsia"/>
          <w:color w:val="000000" w:themeColor="text1"/>
          <w:sz w:val="24"/>
        </w:rPr>
        <w:t>本基金通过证券经纪机构进行的交易由证券经纪机构作为结算参与人代理本基金进行结算。</w:t>
      </w:r>
    </w:p>
    <w:p w14:paraId="7FA92B02" w14:textId="4B42A561" w:rsidR="000D5B3F" w:rsidRPr="000D5B3F" w:rsidRDefault="006A5BB5" w:rsidP="000D5B3F">
      <w:pPr>
        <w:autoSpaceDE w:val="0"/>
        <w:autoSpaceDN w:val="0"/>
        <w:adjustRightInd w:val="0"/>
        <w:spacing w:line="360" w:lineRule="auto"/>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color w:val="000000" w:themeColor="text1"/>
          <w:sz w:val="24"/>
        </w:rPr>
        <w:t>5</w:t>
      </w:r>
      <w:r w:rsidR="000D5B3F" w:rsidRPr="000D5B3F">
        <w:rPr>
          <w:rFonts w:asciiTheme="minorEastAsia" w:eastAsiaTheme="minorEastAsia" w:hAnsiTheme="minorEastAsia" w:hint="eastAsia"/>
          <w:color w:val="000000" w:themeColor="text1"/>
          <w:sz w:val="24"/>
        </w:rPr>
        <w:t>.基金管理人承诺证券交易资金账户为主资金账户，不开立任何辅助资金账户；不为证券交易资金账户另行开立银行托管账户以外的其他银行账户。</w:t>
      </w:r>
    </w:p>
    <w:p w14:paraId="3E270EFC" w14:textId="6CBF1F14" w:rsidR="00112EBC" w:rsidRPr="00112EBC" w:rsidRDefault="00112EBC" w:rsidP="00112EBC">
      <w:pPr>
        <w:autoSpaceDE w:val="0"/>
        <w:autoSpaceDN w:val="0"/>
        <w:adjustRightInd w:val="0"/>
        <w:spacing w:line="360" w:lineRule="auto"/>
        <w:ind w:firstLineChars="200" w:firstLine="480"/>
        <w:rPr>
          <w:rFonts w:asciiTheme="minorEastAsia" w:eastAsiaTheme="minorEastAsia" w:hAnsiTheme="minorEastAsia"/>
          <w:color w:val="000000" w:themeColor="text1"/>
          <w:sz w:val="24"/>
        </w:rPr>
      </w:pPr>
    </w:p>
    <w:p w14:paraId="7B76ABF7" w14:textId="7B183C19" w:rsidR="00112EBC" w:rsidRPr="00112EBC" w:rsidRDefault="006A5BB5" w:rsidP="00112EBC">
      <w:pPr>
        <w:autoSpaceDE w:val="0"/>
        <w:autoSpaceDN w:val="0"/>
        <w:adjustRightInd w:val="0"/>
        <w:spacing w:line="360" w:lineRule="auto"/>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color w:val="000000" w:themeColor="text1"/>
          <w:sz w:val="24"/>
        </w:rPr>
        <w:t>6</w:t>
      </w:r>
      <w:r w:rsidR="00112EBC" w:rsidRPr="00112EBC">
        <w:rPr>
          <w:rFonts w:asciiTheme="minorEastAsia" w:eastAsiaTheme="minorEastAsia" w:hAnsiTheme="minorEastAsia" w:hint="eastAsia"/>
          <w:color w:val="000000" w:themeColor="text1"/>
          <w:sz w:val="24"/>
        </w:rPr>
        <w:t>.若中国证监会或其他监管机构在本托管协议订立日之后允许基金从事其他投资品种的投资业务，涉及相关账户的开立、使用的，按有关规定开立、使用并管理；若无相关规定，则基金托管人比照上述关于账户开立、使用的规定执行。</w:t>
      </w:r>
    </w:p>
    <w:p w14:paraId="12B01B71" w14:textId="77777777" w:rsidR="00112EBC" w:rsidRPr="00112EBC" w:rsidRDefault="00112EBC" w:rsidP="00112EBC">
      <w:pPr>
        <w:autoSpaceDE w:val="0"/>
        <w:autoSpaceDN w:val="0"/>
        <w:adjustRightInd w:val="0"/>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（五）债券托管账户的开设和管理</w:t>
      </w:r>
    </w:p>
    <w:p w14:paraId="09198982" w14:textId="77777777" w:rsidR="00112EBC" w:rsidRPr="00112EBC" w:rsidRDefault="00112EBC" w:rsidP="00112EBC">
      <w:pPr>
        <w:autoSpaceDE w:val="0"/>
        <w:autoSpaceDN w:val="0"/>
        <w:adjustRightInd w:val="0"/>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基金合同生效后，基金托管人根据中国人民银行、中央国债登记结算有限责任公司和银行间市场清算所股份有限公司的有关规定，以基金的名义在银行间市场登记结算机构开立债券托管账户，并代表基金进行银行间市场债券的结算。</w:t>
      </w:r>
    </w:p>
    <w:p w14:paraId="33BCF055" w14:textId="77777777" w:rsidR="00112EBC" w:rsidRPr="00112EBC" w:rsidRDefault="00112EBC" w:rsidP="00112EBC">
      <w:pPr>
        <w:autoSpaceDE w:val="0"/>
        <w:autoSpaceDN w:val="0"/>
        <w:adjustRightInd w:val="0"/>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（六）其他账户的开立和管理</w:t>
      </w:r>
    </w:p>
    <w:p w14:paraId="725CB7E1" w14:textId="68F7FBF8" w:rsidR="00112EBC" w:rsidRPr="00112EBC" w:rsidRDefault="00112EBC" w:rsidP="00112EBC">
      <w:pPr>
        <w:autoSpaceDE w:val="0"/>
        <w:autoSpaceDN w:val="0"/>
        <w:adjustRightInd w:val="0"/>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1.基金管理人根据投资需要按照规定开立期货保证金账户及期货交易编码等。完成上述账户开立后，基金管理人应以书面形式将期货公司提供的期货保证金账户的初始资金密码和期货市场监控中心的登录用户名及密码告知基金托管人。资金密码和期货市场监控中心登录密码重置由基金管理人进行，重置后务必及时通知基金托管人。</w:t>
      </w:r>
    </w:p>
    <w:p w14:paraId="6A072C1F" w14:textId="77777777" w:rsidR="00112EBC" w:rsidRPr="00112EBC" w:rsidRDefault="00112EBC" w:rsidP="00112EBC">
      <w:pPr>
        <w:autoSpaceDE w:val="0"/>
        <w:autoSpaceDN w:val="0"/>
        <w:adjustRightInd w:val="0"/>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基金托管人和基金管理人应当在开户过程中相互配合，并提供所需资料。基金管理人保证所提供的账户开户材料的真实性和有效性，且在相关资料变更后及时将变更的资料提供给基金托管人。</w:t>
      </w:r>
    </w:p>
    <w:p w14:paraId="303484FE" w14:textId="77777777" w:rsidR="00112EBC" w:rsidRPr="00112EBC" w:rsidRDefault="00112EBC" w:rsidP="00112EBC">
      <w:pPr>
        <w:autoSpaceDE w:val="0"/>
        <w:autoSpaceDN w:val="0"/>
        <w:adjustRightInd w:val="0"/>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2.因业务发展需要而开立的其他账户，可以根据法律法规和基金合同的规定，由基金管理人协助基金托管人按照有关法律法规和本协议的约定协商后开立。新账户按有关规定使用并管理。</w:t>
      </w:r>
    </w:p>
    <w:p w14:paraId="69DED50B" w14:textId="77777777" w:rsidR="00112EBC" w:rsidRPr="00112EBC" w:rsidRDefault="00112EBC" w:rsidP="00112EBC">
      <w:pPr>
        <w:autoSpaceDE w:val="0"/>
        <w:autoSpaceDN w:val="0"/>
        <w:adjustRightInd w:val="0"/>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3.法律法规等有关规定对相关账户的开立和管理另有规定的，从其规定办理。</w:t>
      </w:r>
    </w:p>
    <w:p w14:paraId="249FFFDC" w14:textId="77777777" w:rsidR="00112EBC" w:rsidRPr="00112EBC" w:rsidRDefault="00112EBC" w:rsidP="00112EBC">
      <w:pPr>
        <w:autoSpaceDE w:val="0"/>
        <w:autoSpaceDN w:val="0"/>
        <w:adjustRightInd w:val="0"/>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（七）基金财产投资的有关有价凭证等的保管</w:t>
      </w:r>
    </w:p>
    <w:p w14:paraId="29274DE0" w14:textId="77777777" w:rsidR="00112EBC" w:rsidRPr="00112EBC" w:rsidRDefault="00112EBC" w:rsidP="00112EBC">
      <w:pPr>
        <w:autoSpaceDE w:val="0"/>
        <w:autoSpaceDN w:val="0"/>
        <w:adjustRightInd w:val="0"/>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基金财产投资的有关实物证券等有价凭证按约定由基金托管人存放于基金托管人的保管库，或存入中央国债登记结算有限责任公司、银行间市场清算所股份有限公司、中国证券登记结算有限责任公司或票据营业中心的代保管库，实物</w:t>
      </w:r>
      <w:r w:rsidRPr="00112EBC">
        <w:rPr>
          <w:rFonts w:asciiTheme="minorEastAsia" w:eastAsiaTheme="minorEastAsia" w:hAnsiTheme="minorEastAsia" w:hint="eastAsia"/>
          <w:color w:val="000000" w:themeColor="text1"/>
          <w:sz w:val="24"/>
        </w:rPr>
        <w:lastRenderedPageBreak/>
        <w:t>保管凭证由基金托管人持有。实物证券等有价凭证的购买和转让，由基金托管人根据基金管理人的指令办理。基金托管人对由上述存放机构及基金托管人以外机构实际有效控制的有价凭证不承担保管责任。</w:t>
      </w:r>
    </w:p>
    <w:p w14:paraId="22BF83BA" w14:textId="77777777" w:rsidR="00112EBC" w:rsidRPr="00112EBC" w:rsidRDefault="00112EBC" w:rsidP="00112EBC">
      <w:pPr>
        <w:autoSpaceDE w:val="0"/>
        <w:autoSpaceDN w:val="0"/>
        <w:adjustRightInd w:val="0"/>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（八）与基金财产有关的重大合同的保管</w:t>
      </w:r>
    </w:p>
    <w:p w14:paraId="282D422D" w14:textId="77777777" w:rsidR="00112EBC" w:rsidRPr="00112EBC" w:rsidRDefault="00112EBC" w:rsidP="00112EBC">
      <w:pPr>
        <w:autoSpaceDE w:val="0"/>
        <w:autoSpaceDN w:val="0"/>
        <w:adjustRightInd w:val="0"/>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由基金管理人代表基金签署的、与基金财产有关的重大合同的原件分别由基金管理人、基金托管人保管。除本协议另有规定外，基金管理人代表基金签署的与基金财产有关的重大合同应保证基金管理人和基金托管人至少各持有一份正本的原件。基金管理人应在重大合同签署后及时将重大合同传真给基金托管人，并在三十个工作日内将正本送达基金托管人处。因基金管理人发送的合同传真件与事后送达的合同原件不一致所造成的后果，由基金管理人负责。重大合同的保管期限不少于法律法规的规定。</w:t>
      </w:r>
    </w:p>
    <w:p w14:paraId="3187B893" w14:textId="2AFD8746" w:rsidR="007C3144" w:rsidRPr="00A30C3C" w:rsidRDefault="00112EBC" w:rsidP="00A30C3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对于无法取得二份以上的正本的，基金管理人应向基金托管人提供加盖公章的合同传真件，未经双方协商一致，合同原件不得转移。基金管理人向基金托管人提供的合同传真件与基金管理人留存原件不一致的，以传真件为准。</w:t>
      </w:r>
      <w:bookmarkStart w:id="80" w:name="_Hlt88821719"/>
      <w:bookmarkStart w:id="81" w:name="_Hlt88900318"/>
      <w:bookmarkStart w:id="82" w:name="_Hlt112616834"/>
      <w:bookmarkEnd w:id="80"/>
      <w:bookmarkEnd w:id="81"/>
      <w:bookmarkEnd w:id="82"/>
    </w:p>
    <w:p w14:paraId="5B337993" w14:textId="4F2F9A8B" w:rsidR="007B046F" w:rsidRPr="002A273F" w:rsidRDefault="00446B87" w:rsidP="002A273F">
      <w:pPr>
        <w:spacing w:line="360" w:lineRule="auto"/>
        <w:ind w:firstLineChars="150" w:firstLine="360"/>
        <w:rPr>
          <w:rFonts w:asciiTheme="minorEastAsia" w:eastAsiaTheme="minorEastAsia" w:hAnsiTheme="minorEastAsia"/>
          <w:color w:val="000000" w:themeColor="text1"/>
          <w:sz w:val="24"/>
        </w:rPr>
      </w:pPr>
      <w:r w:rsidRPr="002A273F">
        <w:rPr>
          <w:rFonts w:asciiTheme="minorEastAsia" w:eastAsiaTheme="minorEastAsia" w:hAnsiTheme="minorEastAsia" w:hint="eastAsia"/>
          <w:color w:val="000000" w:themeColor="text1"/>
          <w:sz w:val="24"/>
        </w:rPr>
        <w:t>五、</w:t>
      </w:r>
      <w:r w:rsidR="007B046F" w:rsidRPr="002A273F">
        <w:rPr>
          <w:rFonts w:asciiTheme="minorEastAsia" w:eastAsiaTheme="minorEastAsia" w:hAnsiTheme="minorEastAsia" w:hint="eastAsia"/>
          <w:color w:val="000000" w:themeColor="text1"/>
          <w:sz w:val="24"/>
        </w:rPr>
        <w:t>基金资产净值的计算</w:t>
      </w:r>
      <w:r w:rsidR="0090589F" w:rsidRPr="002A273F">
        <w:rPr>
          <w:rFonts w:asciiTheme="minorEastAsia" w:eastAsiaTheme="minorEastAsia" w:hAnsiTheme="minorEastAsia" w:hint="eastAsia"/>
          <w:color w:val="000000" w:themeColor="text1"/>
          <w:sz w:val="24"/>
        </w:rPr>
        <w:t>和</w:t>
      </w:r>
      <w:r w:rsidR="007B046F" w:rsidRPr="002A273F">
        <w:rPr>
          <w:rFonts w:asciiTheme="minorEastAsia" w:eastAsiaTheme="minorEastAsia" w:hAnsiTheme="minorEastAsia" w:hint="eastAsia"/>
          <w:color w:val="000000" w:themeColor="text1"/>
          <w:sz w:val="24"/>
        </w:rPr>
        <w:t>复核</w:t>
      </w:r>
    </w:p>
    <w:p w14:paraId="69689370" w14:textId="4F8EE765" w:rsidR="00662F3B" w:rsidRPr="00010900" w:rsidRDefault="00446B87" w:rsidP="00A30C3C">
      <w:pPr>
        <w:spacing w:line="360" w:lineRule="auto"/>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（一）</w:t>
      </w:r>
      <w:r w:rsidR="00662F3B" w:rsidRPr="00010900">
        <w:rPr>
          <w:rFonts w:asciiTheme="minorEastAsia" w:eastAsiaTheme="minorEastAsia" w:hAnsiTheme="minorEastAsia" w:hint="eastAsia"/>
          <w:color w:val="000000" w:themeColor="text1"/>
          <w:sz w:val="24"/>
        </w:rPr>
        <w:t>基金资产净值</w:t>
      </w:r>
      <w:r w:rsidR="00921A51">
        <w:rPr>
          <w:rFonts w:asciiTheme="minorEastAsia" w:eastAsiaTheme="minorEastAsia" w:hAnsiTheme="minorEastAsia" w:hint="eastAsia"/>
          <w:color w:val="000000" w:themeColor="text1"/>
          <w:sz w:val="24"/>
        </w:rPr>
        <w:t>的计算</w:t>
      </w:r>
      <w:r w:rsidR="007C3144">
        <w:rPr>
          <w:rFonts w:asciiTheme="minorEastAsia" w:eastAsiaTheme="minorEastAsia" w:hAnsiTheme="minorEastAsia" w:hint="eastAsia"/>
          <w:color w:val="000000" w:themeColor="text1"/>
          <w:sz w:val="24"/>
        </w:rPr>
        <w:t>和</w:t>
      </w:r>
      <w:r w:rsidR="00921A51">
        <w:rPr>
          <w:rFonts w:asciiTheme="minorEastAsia" w:eastAsiaTheme="minorEastAsia" w:hAnsiTheme="minorEastAsia" w:hint="eastAsia"/>
          <w:color w:val="000000" w:themeColor="text1"/>
          <w:sz w:val="24"/>
        </w:rPr>
        <w:t>复核</w:t>
      </w:r>
    </w:p>
    <w:p w14:paraId="56D12A4A" w14:textId="77777777" w:rsidR="007C3144" w:rsidRPr="00A30C3C" w:rsidRDefault="007C3144" w:rsidP="00A30C3C">
      <w:pPr>
        <w:spacing w:line="360" w:lineRule="auto"/>
        <w:ind w:firstLineChars="200" w:firstLine="480"/>
        <w:rPr>
          <w:rFonts w:asciiTheme="minorEastAsia" w:eastAsiaTheme="minorEastAsia" w:hAnsiTheme="minorEastAsia"/>
          <w:color w:val="000000" w:themeColor="text1"/>
          <w:sz w:val="24"/>
        </w:rPr>
      </w:pPr>
      <w:r w:rsidRPr="00A30C3C">
        <w:rPr>
          <w:rFonts w:asciiTheme="minorEastAsia" w:eastAsiaTheme="minorEastAsia" w:hAnsiTheme="minorEastAsia"/>
          <w:color w:val="000000" w:themeColor="text1"/>
          <w:sz w:val="24"/>
        </w:rPr>
        <w:t>1</w:t>
      </w:r>
      <w:r w:rsidRPr="00A30C3C">
        <w:rPr>
          <w:rFonts w:asciiTheme="minorEastAsia" w:eastAsiaTheme="minorEastAsia" w:hAnsiTheme="minorEastAsia" w:hint="eastAsia"/>
          <w:color w:val="000000" w:themeColor="text1"/>
          <w:sz w:val="24"/>
        </w:rPr>
        <w:t>、基金资产净值</w:t>
      </w:r>
    </w:p>
    <w:p w14:paraId="0488278E"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基金资产净值是指基金资产总值减去基金负债后的价值。</w:t>
      </w:r>
    </w:p>
    <w:p w14:paraId="76623139"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各类基金份额净值是按照每个估值日闭市后，各类基金份额的基金资产净值分别除以当日该类基金份额的余额数量计算，均精确到0.0001元，小数点后第5位四舍五入。基金管理人可以设立大额赎回情形下的净值精度应急调整机制。国家另有规定的，从其规定。</w:t>
      </w:r>
    </w:p>
    <w:p w14:paraId="4A1EA858" w14:textId="34BB1D96" w:rsidR="007C3144" w:rsidRPr="00A30C3C" w:rsidRDefault="00112EBC" w:rsidP="00A30C3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基金管理人于每个估值日计算基金资产净值及各类基金份额净值，经基金托管人复核，并按规定公告。如遇特殊情况，经履行适当程序，可以适当延迟计算或公告。</w:t>
      </w:r>
    </w:p>
    <w:p w14:paraId="152D13E9" w14:textId="77777777" w:rsidR="007C3144" w:rsidRPr="00A30C3C" w:rsidRDefault="007C3144" w:rsidP="00A30C3C">
      <w:pPr>
        <w:spacing w:line="360" w:lineRule="auto"/>
        <w:ind w:firstLineChars="200" w:firstLine="480"/>
        <w:rPr>
          <w:rFonts w:asciiTheme="minorEastAsia" w:eastAsiaTheme="minorEastAsia" w:hAnsiTheme="minorEastAsia"/>
          <w:color w:val="000000" w:themeColor="text1"/>
          <w:sz w:val="24"/>
        </w:rPr>
      </w:pPr>
      <w:r w:rsidRPr="00A30C3C">
        <w:rPr>
          <w:rFonts w:asciiTheme="minorEastAsia" w:eastAsiaTheme="minorEastAsia" w:hAnsiTheme="minorEastAsia"/>
          <w:color w:val="000000" w:themeColor="text1"/>
          <w:sz w:val="24"/>
        </w:rPr>
        <w:t>2</w:t>
      </w:r>
      <w:r w:rsidRPr="00A30C3C">
        <w:rPr>
          <w:rFonts w:asciiTheme="minorEastAsia" w:eastAsiaTheme="minorEastAsia" w:hAnsiTheme="minorEastAsia" w:hint="eastAsia"/>
          <w:color w:val="000000" w:themeColor="text1"/>
          <w:sz w:val="24"/>
        </w:rPr>
        <w:t>、复核程序</w:t>
      </w:r>
    </w:p>
    <w:p w14:paraId="221C40E2" w14:textId="00FE6EC8" w:rsidR="0082442A" w:rsidRPr="00A30C3C" w:rsidRDefault="00112EBC" w:rsidP="00425BF1">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基金管理人每个估值日对基金资产估值后，将拟公告的各类基金份额净值结果发送基金托管人，经基金托管人复核无误后，由基金管理人按约定对外公布。</w:t>
      </w:r>
    </w:p>
    <w:p w14:paraId="57886082" w14:textId="32E8555D" w:rsidR="00A363E0" w:rsidRPr="00A30C3C" w:rsidRDefault="00446B87" w:rsidP="00E72199">
      <w:pPr>
        <w:spacing w:line="360" w:lineRule="auto"/>
        <w:ind w:firstLineChars="200" w:firstLine="480"/>
        <w:rPr>
          <w:rFonts w:asciiTheme="minorEastAsia" w:eastAsiaTheme="minorEastAsia" w:hAnsiTheme="minorEastAsia"/>
          <w:color w:val="000000" w:themeColor="text1"/>
          <w:sz w:val="24"/>
        </w:rPr>
      </w:pPr>
      <w:r w:rsidRPr="00A30C3C">
        <w:rPr>
          <w:rFonts w:asciiTheme="minorEastAsia" w:eastAsiaTheme="minorEastAsia" w:hAnsiTheme="minorEastAsia" w:hint="eastAsia"/>
          <w:color w:val="000000" w:themeColor="text1"/>
          <w:sz w:val="24"/>
        </w:rPr>
        <w:t>六、</w:t>
      </w:r>
      <w:r w:rsidR="00A363E0" w:rsidRPr="00A30C3C">
        <w:rPr>
          <w:rFonts w:asciiTheme="minorEastAsia" w:eastAsiaTheme="minorEastAsia" w:hAnsiTheme="minorEastAsia" w:hint="eastAsia"/>
          <w:color w:val="000000" w:themeColor="text1"/>
          <w:sz w:val="24"/>
        </w:rPr>
        <w:t>基金份额持有人名册的保管</w:t>
      </w:r>
    </w:p>
    <w:p w14:paraId="0E041895" w14:textId="77777777" w:rsidR="00CB79C4" w:rsidRPr="00CB79C4" w:rsidRDefault="00CB79C4" w:rsidP="00CB79C4">
      <w:pPr>
        <w:spacing w:line="360" w:lineRule="auto"/>
        <w:ind w:firstLineChars="200" w:firstLine="480"/>
        <w:rPr>
          <w:rFonts w:asciiTheme="minorEastAsia" w:eastAsiaTheme="minorEastAsia" w:hAnsiTheme="minorEastAsia"/>
          <w:color w:val="000000" w:themeColor="text1"/>
          <w:sz w:val="24"/>
        </w:rPr>
      </w:pPr>
      <w:r w:rsidRPr="00CB79C4">
        <w:rPr>
          <w:rFonts w:asciiTheme="minorEastAsia" w:eastAsiaTheme="minorEastAsia" w:hAnsiTheme="minorEastAsia" w:hint="eastAsia"/>
          <w:color w:val="000000" w:themeColor="text1"/>
          <w:sz w:val="24"/>
        </w:rPr>
        <w:lastRenderedPageBreak/>
        <w:t>基金份额持有人名册至少应包括基金份额持有人的名称、证件号码和持有的基金份额。基金份额持有人名册由基金登记机构根据基金管理人的指令编制和保管，基金管理人和基金托管人应分别保管基金份额持有人名册，保存期限不少于法律法规的规定。如不能妥善保管，则按相关法律法规承担责任。</w:t>
      </w:r>
    </w:p>
    <w:p w14:paraId="625FFBC2" w14:textId="4CD9DE9F" w:rsidR="00345AEB" w:rsidRPr="00A30C3C" w:rsidRDefault="00CB79C4" w:rsidP="00A30C3C">
      <w:pPr>
        <w:spacing w:line="360" w:lineRule="auto"/>
        <w:ind w:firstLineChars="200" w:firstLine="480"/>
        <w:rPr>
          <w:rFonts w:asciiTheme="minorEastAsia" w:eastAsiaTheme="minorEastAsia" w:hAnsiTheme="minorEastAsia"/>
          <w:color w:val="000000" w:themeColor="text1"/>
          <w:sz w:val="24"/>
        </w:rPr>
      </w:pPr>
      <w:r w:rsidRPr="00CB79C4">
        <w:rPr>
          <w:rFonts w:asciiTheme="minorEastAsia" w:eastAsiaTheme="minorEastAsia" w:hAnsiTheme="minorEastAsia" w:hint="eastAsia"/>
          <w:color w:val="000000" w:themeColor="text1"/>
          <w:sz w:val="24"/>
        </w:rPr>
        <w:t>在基金托管人要求或编制中期报告和年度报告前，基金管理人应将有关资料送交基金托管人，不得无故拒绝或延误提供，并保证其的真实性、准确性和完整性。基金管理人和</w:t>
      </w:r>
      <w:r w:rsidR="00E27204">
        <w:rPr>
          <w:rFonts w:asciiTheme="minorEastAsia" w:eastAsiaTheme="minorEastAsia" w:hAnsiTheme="minorEastAsia" w:hint="eastAsia"/>
          <w:color w:val="000000" w:themeColor="text1"/>
          <w:sz w:val="24"/>
        </w:rPr>
        <w:t>基金</w:t>
      </w:r>
      <w:r w:rsidRPr="00CB79C4">
        <w:rPr>
          <w:rFonts w:asciiTheme="minorEastAsia" w:eastAsiaTheme="minorEastAsia" w:hAnsiTheme="minorEastAsia" w:hint="eastAsia"/>
          <w:color w:val="000000" w:themeColor="text1"/>
          <w:sz w:val="24"/>
        </w:rPr>
        <w:t>托管人不得将所保管的基金份额持有人名册用于基金托管业务以外的其他用途，并应遵守保密义务。</w:t>
      </w:r>
    </w:p>
    <w:p w14:paraId="6F497AB9" w14:textId="174A2057" w:rsidR="007B046F" w:rsidRPr="00A30C3C" w:rsidRDefault="00446B87" w:rsidP="00A30C3C">
      <w:pPr>
        <w:spacing w:line="360" w:lineRule="auto"/>
        <w:ind w:firstLineChars="200" w:firstLine="480"/>
        <w:rPr>
          <w:rFonts w:asciiTheme="minorEastAsia" w:eastAsiaTheme="minorEastAsia" w:hAnsiTheme="minorEastAsia"/>
          <w:color w:val="000000" w:themeColor="text1"/>
          <w:sz w:val="24"/>
        </w:rPr>
      </w:pPr>
      <w:r w:rsidRPr="00A30C3C">
        <w:rPr>
          <w:rFonts w:asciiTheme="minorEastAsia" w:eastAsiaTheme="minorEastAsia" w:hAnsiTheme="minorEastAsia" w:hint="eastAsia"/>
          <w:color w:val="000000" w:themeColor="text1"/>
          <w:sz w:val="24"/>
        </w:rPr>
        <w:t>七、适用法律与</w:t>
      </w:r>
      <w:r w:rsidR="00A363E0" w:rsidRPr="00A30C3C">
        <w:rPr>
          <w:rFonts w:asciiTheme="minorEastAsia" w:eastAsiaTheme="minorEastAsia" w:hAnsiTheme="minorEastAsia" w:hint="eastAsia"/>
          <w:color w:val="000000" w:themeColor="text1"/>
          <w:sz w:val="24"/>
        </w:rPr>
        <w:t>争议解决方式</w:t>
      </w:r>
    </w:p>
    <w:p w14:paraId="6AD7D079"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双方当事人同意，因本协议而产生的或与本协议有关的一切争议，如经友好协商、调解未能解决的，任何一方均应将争议提交中国国际经济贸易仲裁委员会，仲裁地点为北京市，按照中国国际经济贸易仲裁委员会届时有效的仲裁规则进行仲裁。仲裁裁决是终局的，对双方当事人均有约束力，除非仲裁裁决另有决定，仲裁费由败诉方承担。</w:t>
      </w:r>
    </w:p>
    <w:p w14:paraId="7465A139" w14:textId="77777777" w:rsidR="00112EBC" w:rsidRPr="00112EBC" w:rsidRDefault="00112EBC" w:rsidP="00112EB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争议处理期间，双方当事人应恪守基金管理人和基金托管人职责，各自继续忠实、勤勉、尽责地履行基金合同和本托管协议规定的义务，维护基金份额持有人的合法权益。</w:t>
      </w:r>
    </w:p>
    <w:p w14:paraId="7760033F" w14:textId="333A703B" w:rsidR="007B046F" w:rsidRPr="00A30C3C" w:rsidRDefault="00112EBC" w:rsidP="00A30C3C">
      <w:pPr>
        <w:spacing w:line="360" w:lineRule="auto"/>
        <w:ind w:firstLineChars="200" w:firstLine="480"/>
        <w:rPr>
          <w:rFonts w:asciiTheme="minorEastAsia" w:eastAsiaTheme="minorEastAsia" w:hAnsiTheme="minorEastAsia"/>
          <w:color w:val="000000" w:themeColor="text1"/>
          <w:sz w:val="24"/>
        </w:rPr>
      </w:pPr>
      <w:r w:rsidRPr="00112EBC">
        <w:rPr>
          <w:rFonts w:asciiTheme="minorEastAsia" w:eastAsiaTheme="minorEastAsia" w:hAnsiTheme="minorEastAsia" w:hint="eastAsia"/>
          <w:color w:val="000000" w:themeColor="text1"/>
          <w:sz w:val="24"/>
        </w:rPr>
        <w:t>本协议受中华人民共和国法律（为本协议之目的，不包括香港特别行政区、澳门特别行政区和台湾地区法律）管辖，并按其解释。</w:t>
      </w:r>
    </w:p>
    <w:p w14:paraId="39699281" w14:textId="52997D19" w:rsidR="00A363E0" w:rsidRPr="00A30C3C" w:rsidRDefault="00446B87" w:rsidP="00A30C3C">
      <w:pPr>
        <w:spacing w:line="360" w:lineRule="auto"/>
        <w:ind w:firstLineChars="200" w:firstLine="480"/>
        <w:rPr>
          <w:rFonts w:asciiTheme="minorEastAsia" w:eastAsiaTheme="minorEastAsia" w:hAnsiTheme="minorEastAsia"/>
          <w:color w:val="000000" w:themeColor="text1"/>
          <w:sz w:val="24"/>
        </w:rPr>
      </w:pPr>
      <w:r w:rsidRPr="00A30C3C">
        <w:rPr>
          <w:rFonts w:asciiTheme="minorEastAsia" w:eastAsiaTheme="minorEastAsia" w:hAnsiTheme="minorEastAsia" w:hint="eastAsia"/>
          <w:color w:val="000000" w:themeColor="text1"/>
          <w:sz w:val="24"/>
        </w:rPr>
        <w:t>八、</w:t>
      </w:r>
      <w:r w:rsidR="00A363E0" w:rsidRPr="00A30C3C">
        <w:rPr>
          <w:rFonts w:asciiTheme="minorEastAsia" w:eastAsiaTheme="minorEastAsia" w:hAnsiTheme="minorEastAsia" w:hint="eastAsia"/>
          <w:color w:val="000000" w:themeColor="text1"/>
          <w:sz w:val="24"/>
        </w:rPr>
        <w:t>托管协议的变更、终止</w:t>
      </w:r>
      <w:r w:rsidR="00DF20AA" w:rsidRPr="00A30C3C">
        <w:rPr>
          <w:rFonts w:asciiTheme="minorEastAsia" w:eastAsiaTheme="minorEastAsia" w:hAnsiTheme="minorEastAsia" w:hint="eastAsia"/>
          <w:color w:val="000000" w:themeColor="text1"/>
          <w:sz w:val="24"/>
        </w:rPr>
        <w:t>与基金财产的清算</w:t>
      </w:r>
    </w:p>
    <w:p w14:paraId="608F553A" w14:textId="77777777" w:rsidR="00060D5B" w:rsidRPr="00060D5B" w:rsidRDefault="00060D5B" w:rsidP="00060D5B">
      <w:pPr>
        <w:spacing w:line="360" w:lineRule="auto"/>
        <w:ind w:firstLineChars="200" w:firstLine="480"/>
        <w:rPr>
          <w:rFonts w:asciiTheme="minorEastAsia" w:eastAsiaTheme="minorEastAsia" w:hAnsiTheme="minorEastAsia"/>
          <w:color w:val="000000" w:themeColor="text1"/>
          <w:sz w:val="24"/>
        </w:rPr>
      </w:pPr>
      <w:r w:rsidRPr="00060D5B">
        <w:rPr>
          <w:rFonts w:asciiTheme="minorEastAsia" w:eastAsiaTheme="minorEastAsia" w:hAnsiTheme="minorEastAsia" w:hint="eastAsia"/>
          <w:color w:val="000000" w:themeColor="text1"/>
          <w:sz w:val="24"/>
        </w:rPr>
        <w:t>（一）托管协议的变更程序</w:t>
      </w:r>
    </w:p>
    <w:p w14:paraId="75C57C3E" w14:textId="77777777" w:rsidR="00060D5B" w:rsidRPr="00060D5B" w:rsidRDefault="00060D5B" w:rsidP="00060D5B">
      <w:pPr>
        <w:spacing w:line="360" w:lineRule="auto"/>
        <w:ind w:firstLineChars="200" w:firstLine="480"/>
        <w:rPr>
          <w:rFonts w:asciiTheme="minorEastAsia" w:eastAsiaTheme="minorEastAsia" w:hAnsiTheme="minorEastAsia"/>
          <w:color w:val="000000" w:themeColor="text1"/>
          <w:sz w:val="24"/>
        </w:rPr>
      </w:pPr>
      <w:r w:rsidRPr="00060D5B">
        <w:rPr>
          <w:rFonts w:asciiTheme="minorEastAsia" w:eastAsiaTheme="minorEastAsia" w:hAnsiTheme="minorEastAsia" w:hint="eastAsia"/>
          <w:color w:val="000000" w:themeColor="text1"/>
          <w:sz w:val="24"/>
        </w:rPr>
        <w:t>本协议双方当事人经协商一致，可以对协议进行修改。修改后的新协议，其内容不得与基金合同的规定有任何冲突。</w:t>
      </w:r>
    </w:p>
    <w:p w14:paraId="343C3F20" w14:textId="77777777" w:rsidR="00060D5B" w:rsidRPr="00060D5B" w:rsidRDefault="00060D5B" w:rsidP="00060D5B">
      <w:pPr>
        <w:spacing w:line="360" w:lineRule="auto"/>
        <w:ind w:firstLineChars="200" w:firstLine="480"/>
        <w:rPr>
          <w:rFonts w:asciiTheme="minorEastAsia" w:eastAsiaTheme="minorEastAsia" w:hAnsiTheme="minorEastAsia"/>
          <w:color w:val="000000" w:themeColor="text1"/>
          <w:sz w:val="24"/>
        </w:rPr>
      </w:pPr>
      <w:r w:rsidRPr="00060D5B">
        <w:rPr>
          <w:rFonts w:asciiTheme="minorEastAsia" w:eastAsiaTheme="minorEastAsia" w:hAnsiTheme="minorEastAsia" w:hint="eastAsia"/>
          <w:color w:val="000000" w:themeColor="text1"/>
          <w:sz w:val="24"/>
        </w:rPr>
        <w:t>（二）基金托管协议终止的情形</w:t>
      </w:r>
    </w:p>
    <w:p w14:paraId="064E77FC" w14:textId="77777777" w:rsidR="00060D5B" w:rsidRPr="00060D5B" w:rsidRDefault="00060D5B" w:rsidP="00060D5B">
      <w:pPr>
        <w:spacing w:line="360" w:lineRule="auto"/>
        <w:ind w:firstLineChars="200" w:firstLine="480"/>
        <w:rPr>
          <w:rFonts w:asciiTheme="minorEastAsia" w:eastAsiaTheme="minorEastAsia" w:hAnsiTheme="minorEastAsia"/>
          <w:color w:val="000000" w:themeColor="text1"/>
          <w:sz w:val="24"/>
        </w:rPr>
      </w:pPr>
      <w:r w:rsidRPr="00060D5B">
        <w:rPr>
          <w:rFonts w:asciiTheme="minorEastAsia" w:eastAsiaTheme="minorEastAsia" w:hAnsiTheme="minorEastAsia" w:hint="eastAsia"/>
          <w:color w:val="000000" w:themeColor="text1"/>
          <w:sz w:val="24"/>
        </w:rPr>
        <w:t>1．《基金合同》终止；</w:t>
      </w:r>
    </w:p>
    <w:p w14:paraId="0B5DAB5C" w14:textId="77777777" w:rsidR="00060D5B" w:rsidRPr="00060D5B" w:rsidRDefault="00060D5B" w:rsidP="00060D5B">
      <w:pPr>
        <w:spacing w:line="360" w:lineRule="auto"/>
        <w:ind w:firstLineChars="200" w:firstLine="480"/>
        <w:rPr>
          <w:rFonts w:asciiTheme="minorEastAsia" w:eastAsiaTheme="minorEastAsia" w:hAnsiTheme="minorEastAsia"/>
          <w:color w:val="000000" w:themeColor="text1"/>
          <w:sz w:val="24"/>
        </w:rPr>
      </w:pPr>
      <w:r w:rsidRPr="00060D5B">
        <w:rPr>
          <w:rFonts w:asciiTheme="minorEastAsia" w:eastAsiaTheme="minorEastAsia" w:hAnsiTheme="minorEastAsia" w:hint="eastAsia"/>
          <w:color w:val="000000" w:themeColor="text1"/>
          <w:sz w:val="24"/>
        </w:rPr>
        <w:t>2．基金托管人因解散、破产、撤销等事由，不能继续担任基金托管人的职务，而在6个月内无其他适当的托管机构承接其原有权利义务；</w:t>
      </w:r>
    </w:p>
    <w:p w14:paraId="23838D5D" w14:textId="77777777" w:rsidR="00060D5B" w:rsidRPr="00060D5B" w:rsidRDefault="00060D5B" w:rsidP="00060D5B">
      <w:pPr>
        <w:spacing w:line="360" w:lineRule="auto"/>
        <w:ind w:firstLineChars="200" w:firstLine="480"/>
        <w:rPr>
          <w:rFonts w:asciiTheme="minorEastAsia" w:eastAsiaTheme="minorEastAsia" w:hAnsiTheme="minorEastAsia"/>
          <w:color w:val="000000" w:themeColor="text1"/>
          <w:sz w:val="24"/>
        </w:rPr>
      </w:pPr>
      <w:r w:rsidRPr="00060D5B">
        <w:rPr>
          <w:rFonts w:asciiTheme="minorEastAsia" w:eastAsiaTheme="minorEastAsia" w:hAnsiTheme="minorEastAsia" w:hint="eastAsia"/>
          <w:color w:val="000000" w:themeColor="text1"/>
          <w:sz w:val="24"/>
        </w:rPr>
        <w:t>3．基金管理人因解散、破产、撤销等事由，不能继续担任基金管理人的职务，而在6个月内无其他适当的基金管理公司承接其原有权利义务；</w:t>
      </w:r>
    </w:p>
    <w:p w14:paraId="08D2F152" w14:textId="77777777" w:rsidR="00060D5B" w:rsidRPr="00060D5B" w:rsidRDefault="00060D5B" w:rsidP="00060D5B">
      <w:pPr>
        <w:spacing w:line="360" w:lineRule="auto"/>
        <w:ind w:firstLineChars="200" w:firstLine="480"/>
        <w:rPr>
          <w:rFonts w:asciiTheme="minorEastAsia" w:eastAsiaTheme="minorEastAsia" w:hAnsiTheme="minorEastAsia"/>
          <w:color w:val="000000" w:themeColor="text1"/>
          <w:sz w:val="24"/>
        </w:rPr>
      </w:pPr>
      <w:r w:rsidRPr="00060D5B">
        <w:rPr>
          <w:rFonts w:asciiTheme="minorEastAsia" w:eastAsiaTheme="minorEastAsia" w:hAnsiTheme="minorEastAsia" w:hint="eastAsia"/>
          <w:color w:val="000000" w:themeColor="text1"/>
          <w:sz w:val="24"/>
        </w:rPr>
        <w:lastRenderedPageBreak/>
        <w:t>4．发生法律法规或《基金合同》规定的其他终止事项。</w:t>
      </w:r>
    </w:p>
    <w:p w14:paraId="1F8083AC" w14:textId="77777777" w:rsidR="00060D5B" w:rsidRPr="00060D5B" w:rsidRDefault="00060D5B" w:rsidP="00060D5B">
      <w:pPr>
        <w:spacing w:line="360" w:lineRule="auto"/>
        <w:ind w:firstLineChars="200" w:firstLine="480"/>
        <w:rPr>
          <w:rFonts w:asciiTheme="minorEastAsia" w:eastAsiaTheme="minorEastAsia" w:hAnsiTheme="minorEastAsia"/>
          <w:color w:val="000000" w:themeColor="text1"/>
          <w:sz w:val="24"/>
        </w:rPr>
      </w:pPr>
      <w:r w:rsidRPr="00060D5B">
        <w:rPr>
          <w:rFonts w:asciiTheme="minorEastAsia" w:eastAsiaTheme="minorEastAsia" w:hAnsiTheme="minorEastAsia" w:hint="eastAsia"/>
          <w:color w:val="000000" w:themeColor="text1"/>
          <w:sz w:val="24"/>
        </w:rPr>
        <w:t>（三）基金财产的清算</w:t>
      </w:r>
    </w:p>
    <w:p w14:paraId="02AB2D9D" w14:textId="4BA2D4A1" w:rsidR="0008125E" w:rsidRDefault="00060D5B" w:rsidP="00A30C3C">
      <w:pPr>
        <w:spacing w:line="360" w:lineRule="auto"/>
        <w:ind w:firstLineChars="200" w:firstLine="480"/>
        <w:rPr>
          <w:rFonts w:asciiTheme="minorEastAsia" w:eastAsiaTheme="minorEastAsia" w:hAnsiTheme="minorEastAsia"/>
          <w:color w:val="000000" w:themeColor="text1"/>
          <w:sz w:val="24"/>
        </w:rPr>
      </w:pPr>
      <w:r w:rsidRPr="00060D5B">
        <w:rPr>
          <w:rFonts w:asciiTheme="minorEastAsia" w:eastAsiaTheme="minorEastAsia" w:hAnsiTheme="minorEastAsia" w:hint="eastAsia"/>
          <w:color w:val="000000" w:themeColor="text1"/>
          <w:sz w:val="24"/>
        </w:rPr>
        <w:t>基金管理人与基金托管人按照《基金合同》的约定处理基金财产的清算。</w:t>
      </w:r>
    </w:p>
    <w:bookmarkEnd w:id="75"/>
    <w:bookmarkEnd w:id="76"/>
    <w:bookmarkEnd w:id="78"/>
    <w:p w14:paraId="7C018FE9" w14:textId="77777777" w:rsidR="00BF4A4E" w:rsidRDefault="00BF4A4E" w:rsidP="00636FEA">
      <w:pPr>
        <w:pStyle w:val="1"/>
        <w:adjustRightInd w:val="0"/>
        <w:snapToGrid w:val="0"/>
        <w:spacing w:before="0" w:after="0" w:line="360" w:lineRule="auto"/>
        <w:jc w:val="center"/>
        <w:rPr>
          <w:rFonts w:ascii="宋体" w:hAnsi="宋体"/>
        </w:rPr>
      </w:pPr>
      <w:r>
        <w:rPr>
          <w:rFonts w:ascii="宋体" w:hAnsi="宋体"/>
        </w:rPr>
        <w:br w:type="page"/>
      </w:r>
      <w:bookmarkStart w:id="83" w:name="_Toc103003363"/>
      <w:bookmarkEnd w:id="77"/>
      <w:r>
        <w:rPr>
          <w:rFonts w:ascii="宋体" w:hAnsi="宋体"/>
        </w:rPr>
        <w:lastRenderedPageBreak/>
        <w:t>第</w:t>
      </w:r>
      <w:r>
        <w:rPr>
          <w:rFonts w:ascii="宋体" w:hAnsi="宋体" w:hint="eastAsia"/>
        </w:rPr>
        <w:t>二十一</w:t>
      </w:r>
      <w:r>
        <w:rPr>
          <w:rFonts w:ascii="宋体" w:hAnsi="宋体"/>
        </w:rPr>
        <w:t>部分</w:t>
      </w:r>
      <w:r>
        <w:rPr>
          <w:rFonts w:ascii="宋体" w:hAnsi="宋体" w:hint="eastAsia"/>
        </w:rPr>
        <w:t xml:space="preserve">  对基金份额持有人的服务</w:t>
      </w:r>
      <w:bookmarkEnd w:id="83"/>
    </w:p>
    <w:p w14:paraId="62FAE078" w14:textId="77777777" w:rsidR="00BF4A4E" w:rsidRDefault="00BF4A4E">
      <w:pPr>
        <w:pStyle w:val="20"/>
        <w:ind w:firstLineChars="0" w:firstLine="480"/>
        <w:rPr>
          <w:sz w:val="24"/>
        </w:rPr>
      </w:pPr>
    </w:p>
    <w:p w14:paraId="4D82520E" w14:textId="77777777" w:rsidR="00BF4A4E" w:rsidRDefault="00BF4A4E">
      <w:pPr>
        <w:pStyle w:val="af6"/>
        <w:ind w:firstLine="480"/>
        <w:rPr>
          <w:rFonts w:hAnsi="宋体" w:cs="Times New Roman"/>
          <w:b w:val="0"/>
          <w:bCs w:val="0"/>
          <w:sz w:val="24"/>
          <w:lang w:val="en-US"/>
        </w:rPr>
      </w:pPr>
      <w:r>
        <w:rPr>
          <w:rFonts w:hAnsi="宋体" w:cs="Times New Roman" w:hint="eastAsia"/>
          <w:b w:val="0"/>
          <w:bCs w:val="0"/>
          <w:sz w:val="24"/>
          <w:lang w:val="en-US"/>
        </w:rPr>
        <w:t>基金管理人承诺为基金份额持有人提供一系列的服务，并将根据基金份额持有人的需要和市场的变化增加、修订这些服务项目。</w:t>
      </w:r>
    </w:p>
    <w:p w14:paraId="1B92C399" w14:textId="77777777" w:rsidR="00BF4A4E" w:rsidRDefault="00BF4A4E">
      <w:pPr>
        <w:pStyle w:val="af6"/>
        <w:ind w:firstLine="480"/>
        <w:rPr>
          <w:rFonts w:hAnsi="宋体" w:cs="Times New Roman"/>
          <w:b w:val="0"/>
          <w:bCs w:val="0"/>
          <w:sz w:val="24"/>
          <w:lang w:val="en-US"/>
        </w:rPr>
      </w:pPr>
      <w:r>
        <w:rPr>
          <w:rFonts w:hAnsi="宋体" w:cs="Times New Roman" w:hint="eastAsia"/>
          <w:b w:val="0"/>
          <w:bCs w:val="0"/>
          <w:sz w:val="24"/>
          <w:lang w:val="en-US"/>
        </w:rPr>
        <w:t>主要服务内容如下：</w:t>
      </w:r>
    </w:p>
    <w:p w14:paraId="68667642" w14:textId="77777777" w:rsidR="00BF4A4E" w:rsidRDefault="00BF4A4E">
      <w:pPr>
        <w:pStyle w:val="af6"/>
        <w:ind w:firstLine="480"/>
        <w:rPr>
          <w:rFonts w:hAnsi="宋体" w:cs="Times New Roman"/>
          <w:b w:val="0"/>
          <w:bCs w:val="0"/>
          <w:sz w:val="24"/>
          <w:lang w:val="en-US"/>
        </w:rPr>
      </w:pPr>
      <w:r>
        <w:rPr>
          <w:rFonts w:hAnsi="宋体" w:cs="Times New Roman" w:hint="eastAsia"/>
          <w:b w:val="0"/>
          <w:bCs w:val="0"/>
          <w:sz w:val="24"/>
          <w:lang w:val="en-US"/>
        </w:rPr>
        <w:t>一、资料寄送</w:t>
      </w:r>
    </w:p>
    <w:p w14:paraId="3DD3AC3A" w14:textId="77777777" w:rsidR="00BF4A4E" w:rsidRDefault="00BF4A4E">
      <w:pPr>
        <w:pStyle w:val="af6"/>
        <w:ind w:firstLine="480"/>
        <w:rPr>
          <w:rFonts w:hAnsi="宋体" w:cs="Times New Roman"/>
          <w:b w:val="0"/>
          <w:bCs w:val="0"/>
          <w:sz w:val="24"/>
          <w:lang w:val="en-US"/>
        </w:rPr>
      </w:pPr>
      <w:r>
        <w:rPr>
          <w:rFonts w:hAnsi="宋体" w:cs="Times New Roman" w:hint="eastAsia"/>
          <w:b w:val="0"/>
          <w:bCs w:val="0"/>
          <w:sz w:val="24"/>
          <w:lang w:val="en-US"/>
        </w:rPr>
        <w:t>1.基金投资人对账单</w:t>
      </w:r>
    </w:p>
    <w:p w14:paraId="7C82F646" w14:textId="77777777" w:rsidR="006F6B72" w:rsidRPr="00266960" w:rsidRDefault="006F6B72" w:rsidP="006F6B72">
      <w:pPr>
        <w:pStyle w:val="20"/>
        <w:adjustRightInd w:val="0"/>
        <w:snapToGrid w:val="0"/>
        <w:ind w:firstLine="480"/>
        <w:rPr>
          <w:sz w:val="24"/>
        </w:rPr>
      </w:pPr>
      <w:r w:rsidRPr="00266960">
        <w:rPr>
          <w:rFonts w:hint="eastAsia"/>
          <w:sz w:val="24"/>
        </w:rPr>
        <w:t>（1）电子对账单服务采取定制方式，未定制此服务的投资人可通过公司官网、客服热线、官方微信公众号等途径自助查询账户情况。电子对账单按月度、季度和年度提供，包括微信、电子邮件等电子方式，基金份额持有人可根据需要自行选择。电子对账单会在当期结束后，5个工作日内发送。微信未绑定账户、取消关注、电子邮件地址不详的除外。</w:t>
      </w:r>
    </w:p>
    <w:p w14:paraId="472EC707" w14:textId="77777777" w:rsidR="006F6B72" w:rsidRPr="00266960" w:rsidRDefault="006F6B72" w:rsidP="006F6B72">
      <w:pPr>
        <w:pStyle w:val="20"/>
        <w:adjustRightInd w:val="0"/>
        <w:snapToGrid w:val="0"/>
        <w:ind w:firstLine="480"/>
        <w:rPr>
          <w:sz w:val="24"/>
        </w:rPr>
      </w:pPr>
      <w:r w:rsidRPr="00266960">
        <w:rPr>
          <w:rFonts w:hint="eastAsia"/>
          <w:sz w:val="24"/>
        </w:rPr>
        <w:t>（2）由于投资者提供的电子邮箱不详、错误、未及时变更或通讯故障、延误、微信未绑定账户、取消关注等原因有可能造成对账单无法按时或准确送达。因上述原因无法正常收取对账单的投资者，敬请及时通过本基金管理人网站，或拨打客服热线查询、核对、变更您的预留联系方式。</w:t>
      </w:r>
    </w:p>
    <w:p w14:paraId="68962B16" w14:textId="77777777" w:rsidR="006F6B72" w:rsidRDefault="006F6B72" w:rsidP="006F6B72">
      <w:pPr>
        <w:pStyle w:val="20"/>
        <w:adjustRightInd w:val="0"/>
        <w:snapToGrid w:val="0"/>
        <w:ind w:firstLine="480"/>
        <w:rPr>
          <w:sz w:val="24"/>
        </w:rPr>
      </w:pPr>
      <w:r w:rsidRPr="00266960">
        <w:rPr>
          <w:rFonts w:hint="eastAsia"/>
          <w:sz w:val="24"/>
        </w:rPr>
        <w:t>（3）如需纸质对账单，敬请拨打客服热线获取。</w:t>
      </w:r>
    </w:p>
    <w:p w14:paraId="63FFD923" w14:textId="77777777" w:rsidR="00BF4A4E" w:rsidRDefault="00BF4A4E">
      <w:pPr>
        <w:pStyle w:val="af6"/>
        <w:ind w:firstLine="480"/>
        <w:rPr>
          <w:rFonts w:hAnsi="宋体" w:cs="Times New Roman"/>
          <w:b w:val="0"/>
          <w:bCs w:val="0"/>
          <w:sz w:val="24"/>
          <w:lang w:val="en-US"/>
        </w:rPr>
      </w:pPr>
      <w:r>
        <w:rPr>
          <w:rFonts w:hAnsi="宋体" w:cs="Times New Roman" w:hint="eastAsia"/>
          <w:b w:val="0"/>
          <w:bCs w:val="0"/>
          <w:sz w:val="24"/>
          <w:lang w:val="en-US"/>
        </w:rPr>
        <w:t>2.其他相关的信息资料</w:t>
      </w:r>
    </w:p>
    <w:p w14:paraId="6939EE00" w14:textId="77777777" w:rsidR="00BF4A4E" w:rsidRDefault="00BF4A4E">
      <w:pPr>
        <w:pStyle w:val="af6"/>
        <w:ind w:firstLine="480"/>
        <w:rPr>
          <w:rFonts w:hAnsi="宋体" w:cs="Times New Roman"/>
          <w:b w:val="0"/>
          <w:bCs w:val="0"/>
          <w:sz w:val="24"/>
          <w:lang w:val="en-US"/>
        </w:rPr>
      </w:pPr>
      <w:r>
        <w:rPr>
          <w:rFonts w:hAnsi="宋体" w:cs="Times New Roman" w:hint="eastAsia"/>
          <w:b w:val="0"/>
          <w:bCs w:val="0"/>
          <w:sz w:val="24"/>
          <w:lang w:val="en-US"/>
        </w:rPr>
        <w:t>二、咨询、查询服务</w:t>
      </w:r>
    </w:p>
    <w:p w14:paraId="6E6C717B" w14:textId="77777777" w:rsidR="00BF4A4E" w:rsidRDefault="00BF4A4E">
      <w:pPr>
        <w:pStyle w:val="af6"/>
        <w:ind w:firstLine="480"/>
        <w:rPr>
          <w:rFonts w:hAnsi="宋体" w:cs="Times New Roman"/>
          <w:b w:val="0"/>
          <w:bCs w:val="0"/>
          <w:sz w:val="24"/>
          <w:lang w:val="en-US"/>
        </w:rPr>
      </w:pPr>
      <w:r>
        <w:rPr>
          <w:rFonts w:hAnsi="宋体" w:cs="Times New Roman" w:hint="eastAsia"/>
          <w:b w:val="0"/>
          <w:bCs w:val="0"/>
          <w:sz w:val="24"/>
          <w:lang w:val="en-US"/>
        </w:rPr>
        <w:t>1.信息查询密码</w:t>
      </w:r>
    </w:p>
    <w:p w14:paraId="514A62B6" w14:textId="77777777" w:rsidR="00BF4A4E" w:rsidRDefault="00BF4A4E">
      <w:pPr>
        <w:pStyle w:val="af6"/>
        <w:ind w:firstLine="480"/>
        <w:rPr>
          <w:rFonts w:hAnsi="宋体" w:cs="Times New Roman"/>
          <w:b w:val="0"/>
          <w:bCs w:val="0"/>
          <w:sz w:val="24"/>
          <w:lang w:val="en-US"/>
        </w:rPr>
      </w:pPr>
      <w:r>
        <w:rPr>
          <w:rFonts w:hAnsi="宋体" w:cs="Times New Roman" w:hint="eastAsia"/>
          <w:b w:val="0"/>
          <w:bCs w:val="0"/>
          <w:sz w:val="24"/>
          <w:lang w:val="en-US"/>
        </w:rPr>
        <w:t>基金查询密码用于投资人查询基金账户下的账户和交易信息。投资人请在知晓基金账号后，及时登录公司网站www.yhfund.com.cn修改基金查询密码，为充分保障投资人信息安全，新密码应为6-18位数字加字母组合。</w:t>
      </w:r>
    </w:p>
    <w:p w14:paraId="2DB9B0AB" w14:textId="77777777" w:rsidR="00BF4A4E" w:rsidRDefault="00BF4A4E">
      <w:pPr>
        <w:pStyle w:val="af6"/>
        <w:ind w:firstLine="480"/>
        <w:rPr>
          <w:rFonts w:hAnsi="宋体" w:cs="Times New Roman"/>
          <w:b w:val="0"/>
          <w:bCs w:val="0"/>
          <w:sz w:val="24"/>
          <w:lang w:val="en-US"/>
        </w:rPr>
      </w:pPr>
      <w:r>
        <w:rPr>
          <w:rFonts w:hAnsi="宋体" w:cs="Times New Roman" w:hint="eastAsia"/>
          <w:b w:val="0"/>
          <w:bCs w:val="0"/>
          <w:sz w:val="24"/>
          <w:lang w:val="en-US"/>
        </w:rPr>
        <w:t>2.信息咨询、查询</w:t>
      </w:r>
    </w:p>
    <w:p w14:paraId="47BB4DB6" w14:textId="77777777" w:rsidR="00BF4A4E" w:rsidRDefault="00BF4A4E">
      <w:pPr>
        <w:pStyle w:val="af6"/>
        <w:ind w:firstLine="480"/>
        <w:rPr>
          <w:rFonts w:hAnsi="宋体" w:cs="Times New Roman"/>
          <w:b w:val="0"/>
          <w:bCs w:val="0"/>
          <w:sz w:val="24"/>
          <w:lang w:val="en-US"/>
        </w:rPr>
      </w:pPr>
      <w:r>
        <w:rPr>
          <w:rFonts w:hAnsi="宋体" w:cs="Times New Roman" w:hint="eastAsia"/>
          <w:b w:val="0"/>
          <w:bCs w:val="0"/>
          <w:sz w:val="24"/>
          <w:lang w:val="en-US"/>
        </w:rPr>
        <w:t>投资人如果想了解认购、申购和赎回等交易情况、基金账户余额、基金产品与服务等信息，请拨打基金管理人客户服务中心电话或登录公司网站进行咨询、查询。</w:t>
      </w:r>
    </w:p>
    <w:p w14:paraId="77A124CB" w14:textId="77777777" w:rsidR="00BF4A4E" w:rsidRDefault="00BF4A4E">
      <w:pPr>
        <w:pStyle w:val="af6"/>
        <w:ind w:firstLine="480"/>
        <w:rPr>
          <w:rFonts w:hAnsi="宋体" w:cs="Times New Roman"/>
          <w:b w:val="0"/>
          <w:bCs w:val="0"/>
          <w:sz w:val="24"/>
          <w:lang w:val="en-US"/>
        </w:rPr>
      </w:pPr>
      <w:r>
        <w:rPr>
          <w:rFonts w:hAnsi="宋体" w:cs="Times New Roman" w:hint="eastAsia"/>
          <w:b w:val="0"/>
          <w:bCs w:val="0"/>
          <w:sz w:val="24"/>
          <w:lang w:val="en-US"/>
        </w:rPr>
        <w:t>客户服务中心：400-678-3333、010-85186558</w:t>
      </w:r>
    </w:p>
    <w:p w14:paraId="7C0D6C3D" w14:textId="77777777" w:rsidR="00BF4A4E" w:rsidRDefault="00BF4A4E">
      <w:pPr>
        <w:pStyle w:val="af6"/>
        <w:ind w:firstLine="480"/>
        <w:rPr>
          <w:rFonts w:hAnsi="宋体" w:cs="Times New Roman"/>
          <w:b w:val="0"/>
          <w:bCs w:val="0"/>
          <w:sz w:val="24"/>
          <w:lang w:val="en-US"/>
        </w:rPr>
      </w:pPr>
      <w:r>
        <w:rPr>
          <w:rFonts w:hAnsi="宋体" w:cs="Times New Roman" w:hint="eastAsia"/>
          <w:b w:val="0"/>
          <w:bCs w:val="0"/>
          <w:sz w:val="24"/>
          <w:lang w:val="en-US"/>
        </w:rPr>
        <w:t>公司网址：www.yhfund.com.cn</w:t>
      </w:r>
    </w:p>
    <w:p w14:paraId="29FE60F7" w14:textId="77777777" w:rsidR="00BF4A4E" w:rsidRDefault="00BF4A4E">
      <w:pPr>
        <w:pStyle w:val="af6"/>
        <w:ind w:firstLine="480"/>
        <w:rPr>
          <w:rFonts w:hAnsi="宋体" w:cs="Times New Roman"/>
          <w:b w:val="0"/>
          <w:bCs w:val="0"/>
          <w:sz w:val="24"/>
          <w:lang w:val="en-US"/>
        </w:rPr>
      </w:pPr>
      <w:r>
        <w:rPr>
          <w:rFonts w:hAnsi="宋体" w:cs="Times New Roman" w:hint="eastAsia"/>
          <w:b w:val="0"/>
          <w:bCs w:val="0"/>
          <w:sz w:val="24"/>
          <w:lang w:val="en-US"/>
        </w:rPr>
        <w:lastRenderedPageBreak/>
        <w:t>三、在线服务</w:t>
      </w:r>
    </w:p>
    <w:p w14:paraId="1EDAA080" w14:textId="77777777" w:rsidR="00BF4A4E" w:rsidRDefault="00BF4A4E">
      <w:pPr>
        <w:pStyle w:val="af6"/>
        <w:ind w:firstLine="480"/>
        <w:rPr>
          <w:rFonts w:hAnsi="宋体" w:cs="Times New Roman"/>
          <w:b w:val="0"/>
          <w:bCs w:val="0"/>
          <w:sz w:val="24"/>
          <w:lang w:val="en-US"/>
        </w:rPr>
      </w:pPr>
      <w:r>
        <w:rPr>
          <w:rFonts w:hAnsi="宋体" w:cs="Times New Roman" w:hint="eastAsia"/>
          <w:b w:val="0"/>
          <w:bCs w:val="0"/>
          <w:sz w:val="24"/>
          <w:lang w:val="en-US"/>
        </w:rPr>
        <w:t>基金管理人利用自己的线上平台定期或不定期为基金投资人提供投资资讯及基金经理（或投资顾问）交流服务。</w:t>
      </w:r>
    </w:p>
    <w:p w14:paraId="444C0DE4" w14:textId="77777777" w:rsidR="00BF4A4E" w:rsidRDefault="00BF4A4E">
      <w:pPr>
        <w:pStyle w:val="af6"/>
        <w:ind w:firstLine="480"/>
        <w:rPr>
          <w:rFonts w:hAnsi="宋体" w:cs="Times New Roman"/>
          <w:b w:val="0"/>
          <w:bCs w:val="0"/>
          <w:sz w:val="24"/>
          <w:lang w:val="en-US"/>
        </w:rPr>
      </w:pPr>
      <w:r>
        <w:rPr>
          <w:rFonts w:hAnsi="宋体" w:cs="Times New Roman" w:hint="eastAsia"/>
          <w:b w:val="0"/>
          <w:bCs w:val="0"/>
          <w:sz w:val="24"/>
          <w:lang w:val="en-US"/>
        </w:rPr>
        <w:t>四、电子交易与服务</w:t>
      </w:r>
    </w:p>
    <w:p w14:paraId="34BDB0EE" w14:textId="77777777" w:rsidR="00BF4A4E" w:rsidRDefault="00BF4A4E">
      <w:pPr>
        <w:pStyle w:val="af6"/>
        <w:ind w:firstLine="480"/>
        <w:rPr>
          <w:rFonts w:hAnsi="宋体" w:cs="Times New Roman"/>
          <w:b w:val="0"/>
          <w:bCs w:val="0"/>
          <w:sz w:val="24"/>
          <w:lang w:val="en-US"/>
        </w:rPr>
      </w:pPr>
      <w:r>
        <w:rPr>
          <w:rFonts w:hAnsi="宋体" w:cs="Times New Roman" w:hint="eastAsia"/>
          <w:b w:val="0"/>
          <w:bCs w:val="0"/>
          <w:sz w:val="24"/>
          <w:lang w:val="en-US"/>
        </w:rPr>
        <w:t>投资人可通过基金管理人的线上交易系统进行基金交易，详情请查看公司网站或相关公告。</w:t>
      </w:r>
    </w:p>
    <w:p w14:paraId="6C3970C7" w14:textId="77777777" w:rsidR="00BF4A4E" w:rsidRDefault="00BF4A4E">
      <w:pPr>
        <w:pStyle w:val="af6"/>
        <w:ind w:firstLine="480"/>
        <w:rPr>
          <w:rFonts w:hAnsi="宋体" w:cs="Times New Roman"/>
          <w:b w:val="0"/>
          <w:bCs w:val="0"/>
          <w:sz w:val="24"/>
          <w:lang w:val="en-US"/>
        </w:rPr>
      </w:pPr>
      <w:r>
        <w:rPr>
          <w:rFonts w:hAnsi="宋体" w:cs="Times New Roman" w:hint="eastAsia"/>
          <w:b w:val="0"/>
          <w:bCs w:val="0"/>
          <w:sz w:val="24"/>
          <w:lang w:val="en-US"/>
        </w:rPr>
        <w:t>五、如本招募说明书存在任何您</w:t>
      </w:r>
      <w:r>
        <w:rPr>
          <w:rFonts w:hAnsi="宋体" w:cs="Times New Roman"/>
          <w:b w:val="0"/>
          <w:bCs w:val="0"/>
          <w:sz w:val="24"/>
          <w:lang w:val="en-US"/>
        </w:rPr>
        <w:t>/</w:t>
      </w:r>
      <w:r>
        <w:rPr>
          <w:rFonts w:hAnsi="宋体" w:cs="Times New Roman" w:hint="eastAsia"/>
          <w:b w:val="0"/>
          <w:bCs w:val="0"/>
          <w:sz w:val="24"/>
          <w:lang w:val="en-US"/>
        </w:rPr>
        <w:t>贵机构无法理解的内容，请通过上述方式联系基金管理人。请确保投资前，您</w:t>
      </w:r>
      <w:r>
        <w:rPr>
          <w:rFonts w:hAnsi="宋体" w:cs="Times New Roman"/>
          <w:b w:val="0"/>
          <w:bCs w:val="0"/>
          <w:sz w:val="24"/>
          <w:lang w:val="en-US"/>
        </w:rPr>
        <w:t>/</w:t>
      </w:r>
      <w:r>
        <w:rPr>
          <w:rFonts w:hAnsi="宋体" w:cs="Times New Roman" w:hint="eastAsia"/>
          <w:b w:val="0"/>
          <w:bCs w:val="0"/>
          <w:sz w:val="24"/>
          <w:lang w:val="en-US"/>
        </w:rPr>
        <w:t>贵机构已经全面理解了本招募说明书。</w:t>
      </w:r>
    </w:p>
    <w:p w14:paraId="72A865B8" w14:textId="77777777" w:rsidR="00BF4A4E" w:rsidRDefault="00BF4A4E">
      <w:pPr>
        <w:pStyle w:val="1"/>
        <w:adjustRightInd w:val="0"/>
        <w:snapToGrid w:val="0"/>
        <w:spacing w:before="0" w:after="0" w:line="360" w:lineRule="auto"/>
        <w:jc w:val="center"/>
        <w:rPr>
          <w:rFonts w:ascii="宋体" w:hAnsi="宋体"/>
        </w:rPr>
      </w:pPr>
      <w:r>
        <w:rPr>
          <w:rFonts w:ascii="宋体" w:hAnsi="宋体"/>
        </w:rPr>
        <w:br w:type="page"/>
      </w:r>
      <w:bookmarkStart w:id="84" w:name="_Toc103003364"/>
      <w:r>
        <w:rPr>
          <w:rFonts w:ascii="宋体" w:hAnsi="宋体"/>
        </w:rPr>
        <w:lastRenderedPageBreak/>
        <w:t>第</w:t>
      </w:r>
      <w:r>
        <w:rPr>
          <w:rFonts w:ascii="宋体" w:hAnsi="宋体" w:hint="eastAsia"/>
        </w:rPr>
        <w:t>二十二</w:t>
      </w:r>
      <w:r>
        <w:rPr>
          <w:rFonts w:ascii="宋体" w:hAnsi="宋体"/>
        </w:rPr>
        <w:t>部分</w:t>
      </w:r>
      <w:r>
        <w:rPr>
          <w:rFonts w:ascii="宋体" w:hAnsi="宋体" w:hint="eastAsia"/>
        </w:rPr>
        <w:t xml:space="preserve">  其他应披露事项</w:t>
      </w:r>
      <w:bookmarkEnd w:id="84"/>
    </w:p>
    <w:p w14:paraId="4153458B" w14:textId="77777777" w:rsidR="00BF4A4E" w:rsidRDefault="00BF4A4E">
      <w:pPr>
        <w:pStyle w:val="20"/>
        <w:ind w:firstLineChars="0" w:firstLine="480"/>
        <w:rPr>
          <w:sz w:val="24"/>
        </w:rPr>
      </w:pPr>
    </w:p>
    <w:p w14:paraId="329FCF85" w14:textId="77777777" w:rsidR="00BF4A4E" w:rsidRDefault="00BF4A4E">
      <w:pPr>
        <w:pStyle w:val="20"/>
        <w:ind w:firstLineChars="0" w:firstLine="480"/>
        <w:rPr>
          <w:sz w:val="24"/>
        </w:rPr>
      </w:pPr>
      <w:r>
        <w:rPr>
          <w:rFonts w:hint="eastAsia"/>
          <w:sz w:val="24"/>
        </w:rPr>
        <w:t>无。</w:t>
      </w:r>
    </w:p>
    <w:p w14:paraId="37E8FBFB" w14:textId="77777777" w:rsidR="00BF4A4E" w:rsidRDefault="00BF4A4E">
      <w:pPr>
        <w:pStyle w:val="1"/>
        <w:adjustRightInd w:val="0"/>
        <w:snapToGrid w:val="0"/>
        <w:spacing w:before="0" w:after="0" w:line="360" w:lineRule="auto"/>
        <w:jc w:val="center"/>
        <w:rPr>
          <w:rFonts w:ascii="宋体" w:hAnsi="宋体"/>
        </w:rPr>
      </w:pPr>
      <w:r>
        <w:rPr>
          <w:rFonts w:ascii="宋体" w:hAnsi="宋体"/>
        </w:rPr>
        <w:br w:type="page"/>
      </w:r>
      <w:bookmarkStart w:id="85" w:name="_Toc103003365"/>
      <w:r>
        <w:rPr>
          <w:rFonts w:ascii="宋体" w:hAnsi="宋体"/>
        </w:rPr>
        <w:lastRenderedPageBreak/>
        <w:t>第</w:t>
      </w:r>
      <w:r>
        <w:rPr>
          <w:rFonts w:ascii="宋体" w:hAnsi="宋体" w:hint="eastAsia"/>
        </w:rPr>
        <w:t>二十三</w:t>
      </w:r>
      <w:r>
        <w:rPr>
          <w:rFonts w:ascii="宋体" w:hAnsi="宋体"/>
        </w:rPr>
        <w:t>部分</w:t>
      </w:r>
      <w:r>
        <w:rPr>
          <w:rFonts w:ascii="宋体" w:hAnsi="宋体" w:hint="eastAsia"/>
        </w:rPr>
        <w:t xml:space="preserve">  招募说明书的存放及查阅方式</w:t>
      </w:r>
      <w:bookmarkEnd w:id="85"/>
    </w:p>
    <w:p w14:paraId="00179DC9" w14:textId="77777777" w:rsidR="00BF4A4E" w:rsidRDefault="00BF4A4E">
      <w:pPr>
        <w:pStyle w:val="20"/>
        <w:ind w:firstLineChars="0" w:firstLine="480"/>
        <w:rPr>
          <w:sz w:val="24"/>
        </w:rPr>
      </w:pPr>
    </w:p>
    <w:p w14:paraId="250CD414" w14:textId="77777777" w:rsidR="00BF4A4E" w:rsidRDefault="00BF4A4E">
      <w:pPr>
        <w:pStyle w:val="20"/>
        <w:adjustRightInd w:val="0"/>
        <w:snapToGrid w:val="0"/>
        <w:ind w:firstLine="480"/>
        <w:rPr>
          <w:sz w:val="24"/>
        </w:rPr>
      </w:pPr>
      <w:r>
        <w:rPr>
          <w:rFonts w:hint="eastAsia"/>
          <w:sz w:val="24"/>
        </w:rPr>
        <w:t>本基金招募说明书公布后，应当分别存放在</w:t>
      </w:r>
      <w:r>
        <w:rPr>
          <w:sz w:val="24"/>
        </w:rPr>
        <w:t>基金管理人、基金托管人和基金销售机构的住所</w:t>
      </w:r>
      <w:r>
        <w:rPr>
          <w:rFonts w:hint="eastAsia"/>
          <w:sz w:val="24"/>
        </w:rPr>
        <w:t>，投资人可在办公时间免费查阅。在支付工本费后，可在合理时间内取得上述文件的复制件或复印件，但应以本基金招募说明书的正本为准。</w:t>
      </w:r>
    </w:p>
    <w:p w14:paraId="7830D59C" w14:textId="77777777" w:rsidR="00BF4A4E" w:rsidRDefault="00BF4A4E">
      <w:pPr>
        <w:pStyle w:val="20"/>
        <w:adjustRightInd w:val="0"/>
        <w:snapToGrid w:val="0"/>
        <w:ind w:firstLine="480"/>
        <w:rPr>
          <w:sz w:val="24"/>
        </w:rPr>
      </w:pPr>
      <w:r>
        <w:rPr>
          <w:rFonts w:hint="eastAsia"/>
          <w:sz w:val="24"/>
        </w:rPr>
        <w:t>投资人还可以直接登录基金管理人的网站（www.yhfund.com.cn）查阅和下载招募说明书。</w:t>
      </w:r>
    </w:p>
    <w:p w14:paraId="047FC10E" w14:textId="77777777" w:rsidR="00BF4A4E" w:rsidRDefault="00BF4A4E">
      <w:pPr>
        <w:pStyle w:val="1"/>
        <w:adjustRightInd w:val="0"/>
        <w:snapToGrid w:val="0"/>
        <w:spacing w:before="0" w:after="0" w:line="360" w:lineRule="auto"/>
        <w:jc w:val="center"/>
        <w:rPr>
          <w:rFonts w:ascii="宋体" w:hAnsi="宋体"/>
        </w:rPr>
      </w:pPr>
      <w:r>
        <w:rPr>
          <w:rFonts w:ascii="宋体" w:hAnsi="宋体"/>
        </w:rPr>
        <w:br w:type="page"/>
      </w:r>
      <w:bookmarkStart w:id="86" w:name="_Toc103003366"/>
      <w:r>
        <w:rPr>
          <w:rFonts w:ascii="宋体" w:hAnsi="宋体"/>
        </w:rPr>
        <w:lastRenderedPageBreak/>
        <w:t>第</w:t>
      </w:r>
      <w:r>
        <w:rPr>
          <w:rFonts w:ascii="宋体" w:hAnsi="宋体" w:hint="eastAsia"/>
        </w:rPr>
        <w:t>二十四</w:t>
      </w:r>
      <w:r>
        <w:rPr>
          <w:rFonts w:ascii="宋体" w:hAnsi="宋体"/>
        </w:rPr>
        <w:t>部分</w:t>
      </w:r>
      <w:r>
        <w:rPr>
          <w:rFonts w:ascii="宋体" w:hAnsi="宋体" w:hint="eastAsia"/>
        </w:rPr>
        <w:t xml:space="preserve">  备查文件</w:t>
      </w:r>
      <w:bookmarkEnd w:id="86"/>
    </w:p>
    <w:p w14:paraId="341DE178" w14:textId="77777777" w:rsidR="00BF4A4E" w:rsidRDefault="00BF4A4E">
      <w:pPr>
        <w:pStyle w:val="20"/>
        <w:adjustRightInd w:val="0"/>
        <w:snapToGrid w:val="0"/>
        <w:ind w:firstLine="480"/>
        <w:rPr>
          <w:sz w:val="24"/>
        </w:rPr>
      </w:pPr>
    </w:p>
    <w:p w14:paraId="795F98F3" w14:textId="1AE9FDE4" w:rsidR="00BF4A4E" w:rsidRDefault="00BF4A4E">
      <w:pPr>
        <w:pStyle w:val="20"/>
        <w:adjustRightInd w:val="0"/>
        <w:snapToGrid w:val="0"/>
        <w:ind w:firstLine="480"/>
        <w:rPr>
          <w:sz w:val="24"/>
        </w:rPr>
      </w:pPr>
      <w:r>
        <w:rPr>
          <w:sz w:val="24"/>
        </w:rPr>
        <w:t>1</w:t>
      </w:r>
      <w:r>
        <w:rPr>
          <w:rFonts w:hint="eastAsia"/>
          <w:sz w:val="24"/>
        </w:rPr>
        <w:t>、中国证监会准予</w:t>
      </w:r>
      <w:r w:rsidR="00BE63A4">
        <w:rPr>
          <w:rFonts w:hint="eastAsia"/>
          <w:sz w:val="24"/>
        </w:rPr>
        <w:t>银华</w:t>
      </w:r>
      <w:r w:rsidR="00FD0AB2">
        <w:rPr>
          <w:rFonts w:hint="eastAsia"/>
          <w:sz w:val="24"/>
        </w:rPr>
        <w:t>中证全指证券公司</w:t>
      </w:r>
      <w:r w:rsidR="00BE63A4">
        <w:rPr>
          <w:rFonts w:hint="eastAsia"/>
          <w:sz w:val="24"/>
        </w:rPr>
        <w:t>交易型开放式指数证券投资基金发起式联接基金</w:t>
      </w:r>
      <w:r>
        <w:rPr>
          <w:rFonts w:hint="eastAsia"/>
          <w:sz w:val="24"/>
        </w:rPr>
        <w:t>募集注册的文件；</w:t>
      </w:r>
    </w:p>
    <w:p w14:paraId="637B92BE" w14:textId="1DBDCC1A" w:rsidR="00BF4A4E" w:rsidRDefault="00BF4A4E">
      <w:pPr>
        <w:pStyle w:val="20"/>
        <w:adjustRightInd w:val="0"/>
        <w:snapToGrid w:val="0"/>
        <w:ind w:firstLine="480"/>
        <w:rPr>
          <w:sz w:val="24"/>
        </w:rPr>
      </w:pPr>
      <w:r>
        <w:rPr>
          <w:sz w:val="24"/>
        </w:rPr>
        <w:t>2</w:t>
      </w:r>
      <w:r>
        <w:rPr>
          <w:rFonts w:hint="eastAsia"/>
          <w:sz w:val="24"/>
        </w:rPr>
        <w:t>、《</w:t>
      </w:r>
      <w:r w:rsidR="00BE63A4">
        <w:rPr>
          <w:rFonts w:hint="eastAsia"/>
          <w:sz w:val="24"/>
        </w:rPr>
        <w:t>银华</w:t>
      </w:r>
      <w:r w:rsidR="00FD0AB2">
        <w:rPr>
          <w:rFonts w:hint="eastAsia"/>
          <w:sz w:val="24"/>
        </w:rPr>
        <w:t>中证全指证券公司</w:t>
      </w:r>
      <w:r w:rsidR="00BE63A4">
        <w:rPr>
          <w:rFonts w:hint="eastAsia"/>
          <w:sz w:val="24"/>
        </w:rPr>
        <w:t>交易型开放式指数证券投资基金发起式联接基金</w:t>
      </w:r>
      <w:r>
        <w:rPr>
          <w:rFonts w:hint="eastAsia"/>
          <w:sz w:val="24"/>
        </w:rPr>
        <w:t>基金合同》；</w:t>
      </w:r>
    </w:p>
    <w:p w14:paraId="16B97597" w14:textId="154BC4BC" w:rsidR="00BF4A4E" w:rsidRDefault="00BF4A4E">
      <w:pPr>
        <w:pStyle w:val="20"/>
        <w:adjustRightInd w:val="0"/>
        <w:snapToGrid w:val="0"/>
        <w:ind w:firstLine="480"/>
        <w:rPr>
          <w:sz w:val="24"/>
        </w:rPr>
      </w:pPr>
      <w:r>
        <w:rPr>
          <w:sz w:val="24"/>
        </w:rPr>
        <w:t>3</w:t>
      </w:r>
      <w:r>
        <w:rPr>
          <w:rFonts w:hint="eastAsia"/>
          <w:sz w:val="24"/>
        </w:rPr>
        <w:t>、《</w:t>
      </w:r>
      <w:r w:rsidR="00BE63A4">
        <w:rPr>
          <w:rFonts w:hint="eastAsia"/>
          <w:sz w:val="24"/>
        </w:rPr>
        <w:t>银华</w:t>
      </w:r>
      <w:r w:rsidR="00FD0AB2">
        <w:rPr>
          <w:rFonts w:hint="eastAsia"/>
          <w:sz w:val="24"/>
        </w:rPr>
        <w:t>中证全指证券公司</w:t>
      </w:r>
      <w:r w:rsidR="00BE63A4">
        <w:rPr>
          <w:rFonts w:hint="eastAsia"/>
          <w:sz w:val="24"/>
        </w:rPr>
        <w:t>交易型开放式指数证券投资基金发起式联接基金</w:t>
      </w:r>
      <w:r>
        <w:rPr>
          <w:rFonts w:hint="eastAsia"/>
          <w:sz w:val="24"/>
        </w:rPr>
        <w:t>托管协议》；</w:t>
      </w:r>
    </w:p>
    <w:p w14:paraId="63E0F147" w14:textId="16C7181F" w:rsidR="00BF4A4E" w:rsidRDefault="00BF4A4E">
      <w:pPr>
        <w:pStyle w:val="20"/>
        <w:adjustRightInd w:val="0"/>
        <w:snapToGrid w:val="0"/>
        <w:ind w:firstLine="480"/>
        <w:rPr>
          <w:sz w:val="24"/>
        </w:rPr>
      </w:pPr>
      <w:r>
        <w:rPr>
          <w:sz w:val="24"/>
        </w:rPr>
        <w:t>4</w:t>
      </w:r>
      <w:r>
        <w:rPr>
          <w:rFonts w:hint="eastAsia"/>
          <w:sz w:val="24"/>
        </w:rPr>
        <w:t>、</w:t>
      </w:r>
      <w:r w:rsidR="008554B4" w:rsidRPr="008554B4">
        <w:rPr>
          <w:rFonts w:hint="eastAsia"/>
          <w:sz w:val="24"/>
        </w:rPr>
        <w:t>关于募集注册</w:t>
      </w:r>
      <w:r w:rsidR="00BE63A4">
        <w:rPr>
          <w:rFonts w:hint="eastAsia"/>
          <w:sz w:val="24"/>
        </w:rPr>
        <w:t>银华</w:t>
      </w:r>
      <w:r w:rsidR="00FD0AB2">
        <w:rPr>
          <w:rFonts w:hint="eastAsia"/>
          <w:sz w:val="24"/>
        </w:rPr>
        <w:t>中证全指证券公司</w:t>
      </w:r>
      <w:r w:rsidR="00BE63A4">
        <w:rPr>
          <w:rFonts w:hint="eastAsia"/>
          <w:sz w:val="24"/>
        </w:rPr>
        <w:t>交易型开放式指数证券投资基金发起式联接基金</w:t>
      </w:r>
      <w:r w:rsidR="008554B4" w:rsidRPr="008554B4">
        <w:rPr>
          <w:rFonts w:hint="eastAsia"/>
          <w:sz w:val="24"/>
        </w:rPr>
        <w:t>的法律意见</w:t>
      </w:r>
      <w:r>
        <w:rPr>
          <w:rFonts w:hint="eastAsia"/>
          <w:sz w:val="24"/>
        </w:rPr>
        <w:t>；</w:t>
      </w:r>
    </w:p>
    <w:p w14:paraId="47951F50" w14:textId="77777777" w:rsidR="00BF4A4E" w:rsidRDefault="00BF4A4E">
      <w:pPr>
        <w:pStyle w:val="20"/>
        <w:adjustRightInd w:val="0"/>
        <w:snapToGrid w:val="0"/>
        <w:ind w:firstLine="480"/>
        <w:rPr>
          <w:sz w:val="24"/>
        </w:rPr>
      </w:pPr>
      <w:r>
        <w:rPr>
          <w:sz w:val="24"/>
        </w:rPr>
        <w:t>5</w:t>
      </w:r>
      <w:r>
        <w:rPr>
          <w:rFonts w:hint="eastAsia"/>
          <w:sz w:val="24"/>
        </w:rPr>
        <w:t>、基金管理人业务资格批件和营业执照；</w:t>
      </w:r>
    </w:p>
    <w:p w14:paraId="3EDF16D4" w14:textId="77777777" w:rsidR="00BF4A4E" w:rsidRDefault="00BF4A4E">
      <w:pPr>
        <w:pStyle w:val="20"/>
        <w:adjustRightInd w:val="0"/>
        <w:snapToGrid w:val="0"/>
        <w:ind w:firstLine="480"/>
        <w:rPr>
          <w:sz w:val="24"/>
        </w:rPr>
      </w:pPr>
      <w:r>
        <w:rPr>
          <w:sz w:val="24"/>
        </w:rPr>
        <w:t>6</w:t>
      </w:r>
      <w:r>
        <w:rPr>
          <w:rFonts w:hint="eastAsia"/>
          <w:sz w:val="24"/>
        </w:rPr>
        <w:t>、基金托管人业务资格批件和营业执照；</w:t>
      </w:r>
    </w:p>
    <w:p w14:paraId="0F7BA9E5" w14:textId="77777777" w:rsidR="00BF4A4E" w:rsidRDefault="00BF4A4E">
      <w:pPr>
        <w:pStyle w:val="20"/>
        <w:adjustRightInd w:val="0"/>
        <w:snapToGrid w:val="0"/>
        <w:ind w:firstLine="480"/>
        <w:rPr>
          <w:sz w:val="24"/>
        </w:rPr>
      </w:pPr>
      <w:r>
        <w:rPr>
          <w:sz w:val="24"/>
        </w:rPr>
        <w:t>7</w:t>
      </w:r>
      <w:r>
        <w:rPr>
          <w:rFonts w:hint="eastAsia"/>
          <w:sz w:val="24"/>
        </w:rPr>
        <w:t>、中国证监会要求的其他文件。</w:t>
      </w:r>
    </w:p>
    <w:p w14:paraId="163178BB" w14:textId="77777777" w:rsidR="00BF4A4E" w:rsidRDefault="00BF4A4E" w:rsidP="0043210F">
      <w:pPr>
        <w:pStyle w:val="20"/>
        <w:ind w:firstLineChars="0"/>
        <w:jc w:val="left"/>
        <w:rPr>
          <w:sz w:val="24"/>
        </w:rPr>
      </w:pPr>
      <w:r>
        <w:rPr>
          <w:rFonts w:hint="eastAsia"/>
          <w:sz w:val="24"/>
        </w:rPr>
        <w:t>基金托管人业务资格批件和营业执照存放在基金托管人处；基金合同、托管协议及其余备查文件存放在基金管理人处。投资人可在营业时间免费到存放地点查阅，也可按工本费购买复印件。</w:t>
      </w:r>
    </w:p>
    <w:p w14:paraId="5960B174" w14:textId="77777777" w:rsidR="00B0698A" w:rsidRDefault="00B0698A" w:rsidP="0043210F">
      <w:pPr>
        <w:pStyle w:val="20"/>
        <w:ind w:firstLineChars="0"/>
        <w:jc w:val="left"/>
        <w:rPr>
          <w:sz w:val="24"/>
        </w:rPr>
      </w:pPr>
    </w:p>
    <w:sectPr w:rsidR="00B0698A">
      <w:headerReference w:type="default" r:id="rId15"/>
      <w:pgSz w:w="11906" w:h="16838"/>
      <w:pgMar w:top="1440" w:right="1800" w:bottom="1440" w:left="1800" w:header="851" w:footer="992" w:gutter="0"/>
      <w:pgNumType w:start="1"/>
      <w:cols w:space="720"/>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A8B7DAF" w16cid:durableId="2C0E98DE"/>
  <w16cid:commentId w16cid:paraId="2E476225" w16cid:durableId="2C0E9A05"/>
  <w16cid:commentId w16cid:paraId="6FFC800E" w16cid:durableId="2C0FB242"/>
  <w16cid:commentId w16cid:paraId="68ADD01D" w16cid:durableId="2C0ECFEC"/>
  <w16cid:commentId w16cid:paraId="33D46547" w16cid:durableId="2C0ED5C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379C02" w14:textId="77777777" w:rsidR="00FD69F0" w:rsidRDefault="00FD69F0">
      <w:r>
        <w:separator/>
      </w:r>
    </w:p>
  </w:endnote>
  <w:endnote w:type="continuationSeparator" w:id="0">
    <w:p w14:paraId="627CB52F" w14:textId="77777777" w:rsidR="00FD69F0" w:rsidRDefault="00FD6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3" w:usb1="080E0000" w:usb2="00000010" w:usb3="00000000" w:csb0="00040001"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SimSun-Identity-H">
    <w:altName w:val="黑体"/>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C92BB" w14:textId="4E4A5C22" w:rsidR="00FE279F" w:rsidRDefault="00FE279F">
    <w:pPr>
      <w:pStyle w:val="af2"/>
      <w:jc w:val="center"/>
      <w:rPr>
        <w:rFonts w:ascii="宋体" w:hAnsi="宋体"/>
        <w:sz w:val="21"/>
      </w:rPr>
    </w:pPr>
    <w:r>
      <w:rPr>
        <w:rFonts w:ascii="宋体" w:hAnsi="宋体"/>
        <w:sz w:val="21"/>
      </w:rPr>
      <w:fldChar w:fldCharType="begin"/>
    </w:r>
    <w:r>
      <w:rPr>
        <w:rFonts w:ascii="宋体" w:hAnsi="宋体"/>
        <w:sz w:val="21"/>
      </w:rPr>
      <w:instrText xml:space="preserve"> PAGE   \* MERGEFORMAT </w:instrText>
    </w:r>
    <w:r>
      <w:rPr>
        <w:rFonts w:ascii="宋体" w:hAnsi="宋体"/>
        <w:sz w:val="21"/>
      </w:rPr>
      <w:fldChar w:fldCharType="separate"/>
    </w:r>
    <w:r w:rsidR="00CF3897" w:rsidRPr="00CF3897">
      <w:rPr>
        <w:rFonts w:ascii="宋体" w:hAnsi="宋体"/>
        <w:noProof/>
        <w:sz w:val="21"/>
        <w:lang w:val="zh-CN"/>
      </w:rPr>
      <w:t>6</w:t>
    </w:r>
    <w:r>
      <w:rPr>
        <w:rFonts w:ascii="宋体" w:hAnsi="宋体"/>
        <w:sz w:val="2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89CCD" w14:textId="77777777" w:rsidR="00FE279F" w:rsidRDefault="00FE279F">
    <w:pPr>
      <w:pStyle w:val="af2"/>
      <w:jc w:val="center"/>
    </w:pPr>
  </w:p>
  <w:p w14:paraId="6BC42489" w14:textId="77777777" w:rsidR="00FE279F" w:rsidRDefault="00FE279F">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470CE2" w14:textId="77777777" w:rsidR="00FD69F0" w:rsidRDefault="00FD69F0">
      <w:r>
        <w:separator/>
      </w:r>
    </w:p>
  </w:footnote>
  <w:footnote w:type="continuationSeparator" w:id="0">
    <w:p w14:paraId="34001ED1" w14:textId="77777777" w:rsidR="00FD69F0" w:rsidRDefault="00FD69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46A544" w14:textId="7F6C809A" w:rsidR="00FE279F" w:rsidRDefault="00FE279F">
    <w:pPr>
      <w:pStyle w:val="ad"/>
      <w:tabs>
        <w:tab w:val="clear" w:pos="8306"/>
        <w:tab w:val="right" w:pos="8222"/>
      </w:tabs>
      <w:ind w:right="84"/>
      <w:jc w:val="left"/>
    </w:pPr>
    <w:r>
      <w:rPr>
        <w:rFonts w:hint="eastAsia"/>
        <w:color w:val="000000"/>
      </w:rPr>
      <w:t>银华中证全指证券公司交易型开放式指数证券投资基金发起式联接基金</w:t>
    </w:r>
    <w:r>
      <w:rPr>
        <w:rFonts w:hint="eastAsia"/>
      </w:rPr>
      <w:t xml:space="preserve"> </w:t>
    </w:r>
    <w:r>
      <w:t xml:space="preserve">            </w:t>
    </w:r>
    <w:r>
      <w:rPr>
        <w:rFonts w:hint="eastAsia"/>
      </w:rPr>
      <w:t>招募说明书</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DBA65" w14:textId="0CEBE6C5" w:rsidR="00FE279F" w:rsidRDefault="00FE279F">
    <w:pPr>
      <w:pStyle w:val="ad"/>
      <w:tabs>
        <w:tab w:val="clear" w:pos="8306"/>
        <w:tab w:val="right" w:pos="8222"/>
      </w:tabs>
      <w:ind w:right="84"/>
      <w:jc w:val="left"/>
    </w:pPr>
    <w:r>
      <w:rPr>
        <w:rFonts w:hint="eastAsia"/>
        <w:color w:val="000000"/>
      </w:rPr>
      <w:t>银华中证全指证券公司交易型开放式指数证券投资基金发起式联接基金</w:t>
    </w:r>
    <w:r>
      <w:rPr>
        <w:rFonts w:hint="eastAsia"/>
      </w:rPr>
      <w:t xml:space="preserve"> </w:t>
    </w:r>
    <w:r>
      <w:t xml:space="preserve">              </w:t>
    </w:r>
    <w:r>
      <w:rPr>
        <w:rFonts w:hint="eastAsia"/>
      </w:rPr>
      <w:t>招募说明书</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23B22"/>
    <w:multiLevelType w:val="multilevel"/>
    <w:tmpl w:val="03323B22"/>
    <w:lvl w:ilvl="0">
      <w:start w:val="1"/>
      <w:numFmt w:val="decimal"/>
      <w:lvlText w:val="%1)"/>
      <w:lvlJc w:val="left"/>
      <w:pPr>
        <w:ind w:left="420" w:hanging="420"/>
      </w:pPr>
      <w:rPr>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D5348E7"/>
    <w:multiLevelType w:val="hybridMultilevel"/>
    <w:tmpl w:val="D75467F2"/>
    <w:lvl w:ilvl="0" w:tplc="FFFFFFFF">
      <w:start w:val="1"/>
      <w:numFmt w:val="decimal"/>
      <w:lvlText w:val="（%1）"/>
      <w:lvlJc w:val="left"/>
      <w:pPr>
        <w:ind w:left="420" w:hanging="420"/>
      </w:pPr>
      <w:rPr>
        <w:rFonts w:hint="eastAsia"/>
        <w:b w:val="0"/>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2" w15:restartNumberingAfterBreak="0">
    <w:nsid w:val="25474B81"/>
    <w:multiLevelType w:val="multilevel"/>
    <w:tmpl w:val="C150D4A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275808EC"/>
    <w:multiLevelType w:val="multilevel"/>
    <w:tmpl w:val="C150D4A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 w15:restartNumberingAfterBreak="0">
    <w:nsid w:val="34A5631E"/>
    <w:multiLevelType w:val="multilevel"/>
    <w:tmpl w:val="34A5631E"/>
    <w:lvl w:ilvl="0">
      <w:start w:val="1"/>
      <w:numFmt w:val="decimal"/>
      <w:pStyle w:val="XBRLTitle1"/>
      <w:lvlText w:val="(%1)"/>
      <w:lvlJc w:val="left"/>
      <w:pPr>
        <w:tabs>
          <w:tab w:val="num" w:pos="1941"/>
        </w:tabs>
        <w:ind w:left="1941" w:hanging="681"/>
      </w:pPr>
      <w:rPr>
        <w:rFonts w:ascii="Arial" w:hAnsi="Arial" w:cs="Times New Roman" w:hint="default"/>
        <w:b w:val="0"/>
        <w:i w:val="0"/>
        <w:sz w:val="20"/>
      </w:rPr>
    </w:lvl>
    <w:lvl w:ilvl="1">
      <w:start w:val="1"/>
      <w:numFmt w:val="lowerLetter"/>
      <w:lvlText w:val="%2."/>
      <w:lvlJc w:val="left"/>
      <w:pPr>
        <w:tabs>
          <w:tab w:val="num" w:pos="1620"/>
        </w:tabs>
        <w:ind w:left="1620" w:hanging="360"/>
      </w:pPr>
      <w:rPr>
        <w:rFonts w:cs="Times New Roman" w:hint="default"/>
      </w:rPr>
    </w:lvl>
    <w:lvl w:ilvl="2">
      <w:start w:val="1"/>
      <w:numFmt w:val="lowerRoman"/>
      <w:lvlText w:val="%3."/>
      <w:lvlJc w:val="right"/>
      <w:pPr>
        <w:tabs>
          <w:tab w:val="num" w:pos="2340"/>
        </w:tabs>
        <w:ind w:left="2340" w:hanging="180"/>
      </w:pPr>
      <w:rPr>
        <w:rFonts w:cs="Times New Roman" w:hint="default"/>
      </w:rPr>
    </w:lvl>
    <w:lvl w:ilvl="3">
      <w:start w:val="1"/>
      <w:numFmt w:val="decimal"/>
      <w:lvlText w:val="%4."/>
      <w:lvlJc w:val="left"/>
      <w:pPr>
        <w:tabs>
          <w:tab w:val="num" w:pos="3060"/>
        </w:tabs>
        <w:ind w:left="3060" w:hanging="360"/>
      </w:pPr>
      <w:rPr>
        <w:rFonts w:cs="Times New Roman" w:hint="default"/>
      </w:rPr>
    </w:lvl>
    <w:lvl w:ilvl="4">
      <w:start w:val="1"/>
      <w:numFmt w:val="lowerLetter"/>
      <w:lvlText w:val="%5."/>
      <w:lvlJc w:val="left"/>
      <w:pPr>
        <w:tabs>
          <w:tab w:val="num" w:pos="3780"/>
        </w:tabs>
        <w:ind w:left="3780" w:hanging="360"/>
      </w:pPr>
      <w:rPr>
        <w:rFonts w:cs="Times New Roman" w:hint="default"/>
      </w:rPr>
    </w:lvl>
    <w:lvl w:ilvl="5">
      <w:start w:val="1"/>
      <w:numFmt w:val="lowerRoman"/>
      <w:lvlText w:val="%6."/>
      <w:lvlJc w:val="right"/>
      <w:pPr>
        <w:tabs>
          <w:tab w:val="num" w:pos="4500"/>
        </w:tabs>
        <w:ind w:left="4500" w:hanging="180"/>
      </w:pPr>
      <w:rPr>
        <w:rFonts w:cs="Times New Roman" w:hint="default"/>
      </w:rPr>
    </w:lvl>
    <w:lvl w:ilvl="6">
      <w:start w:val="1"/>
      <w:numFmt w:val="decimal"/>
      <w:lvlText w:val="%7."/>
      <w:lvlJc w:val="left"/>
      <w:pPr>
        <w:tabs>
          <w:tab w:val="num" w:pos="5220"/>
        </w:tabs>
        <w:ind w:left="5220" w:hanging="360"/>
      </w:pPr>
      <w:rPr>
        <w:rFonts w:cs="Times New Roman" w:hint="default"/>
      </w:rPr>
    </w:lvl>
    <w:lvl w:ilvl="7">
      <w:start w:val="1"/>
      <w:numFmt w:val="lowerLetter"/>
      <w:lvlText w:val="%8."/>
      <w:lvlJc w:val="left"/>
      <w:pPr>
        <w:tabs>
          <w:tab w:val="num" w:pos="5940"/>
        </w:tabs>
        <w:ind w:left="5940" w:hanging="360"/>
      </w:pPr>
      <w:rPr>
        <w:rFonts w:cs="Times New Roman" w:hint="default"/>
      </w:rPr>
    </w:lvl>
    <w:lvl w:ilvl="8">
      <w:start w:val="1"/>
      <w:numFmt w:val="lowerRoman"/>
      <w:lvlText w:val="%9."/>
      <w:lvlJc w:val="right"/>
      <w:pPr>
        <w:tabs>
          <w:tab w:val="num" w:pos="6660"/>
        </w:tabs>
        <w:ind w:left="6660" w:hanging="180"/>
      </w:pPr>
      <w:rPr>
        <w:rFonts w:cs="Times New Roman" w:hint="default"/>
      </w:rPr>
    </w:lvl>
  </w:abstractNum>
  <w:abstractNum w:abstractNumId="5" w15:restartNumberingAfterBreak="0">
    <w:nsid w:val="41104347"/>
    <w:multiLevelType w:val="multilevel"/>
    <w:tmpl w:val="41104347"/>
    <w:lvl w:ilvl="0">
      <w:start w:val="1"/>
      <w:numFmt w:val="bullet"/>
      <w:lvlText w:val=""/>
      <w:lvlJc w:val="left"/>
      <w:pPr>
        <w:ind w:left="1260" w:hanging="420"/>
      </w:pPr>
      <w:rPr>
        <w:rFonts w:ascii="Calibri Light" w:hAnsi="Calibri Light" w:hint="default"/>
      </w:rPr>
    </w:lvl>
    <w:lvl w:ilvl="1">
      <w:start w:val="1"/>
      <w:numFmt w:val="bullet"/>
      <w:lvlText w:val=""/>
      <w:lvlJc w:val="left"/>
      <w:pPr>
        <w:ind w:left="1680" w:hanging="420"/>
      </w:pPr>
      <w:rPr>
        <w:rFonts w:ascii="Calibri Light" w:hAnsi="Calibri Light" w:hint="default"/>
      </w:rPr>
    </w:lvl>
    <w:lvl w:ilvl="2">
      <w:start w:val="1"/>
      <w:numFmt w:val="bullet"/>
      <w:lvlText w:val=""/>
      <w:lvlJc w:val="left"/>
      <w:pPr>
        <w:ind w:left="2100" w:hanging="420"/>
      </w:pPr>
      <w:rPr>
        <w:rFonts w:ascii="Calibri Light" w:hAnsi="Calibri Light" w:hint="default"/>
      </w:rPr>
    </w:lvl>
    <w:lvl w:ilvl="3">
      <w:start w:val="1"/>
      <w:numFmt w:val="bullet"/>
      <w:lvlText w:val=""/>
      <w:lvlJc w:val="left"/>
      <w:pPr>
        <w:ind w:left="2520" w:hanging="420"/>
      </w:pPr>
      <w:rPr>
        <w:rFonts w:ascii="Calibri Light" w:hAnsi="Calibri Light" w:hint="default"/>
      </w:rPr>
    </w:lvl>
    <w:lvl w:ilvl="4">
      <w:start w:val="1"/>
      <w:numFmt w:val="bullet"/>
      <w:lvlText w:val=""/>
      <w:lvlJc w:val="left"/>
      <w:pPr>
        <w:ind w:left="2940" w:hanging="420"/>
      </w:pPr>
      <w:rPr>
        <w:rFonts w:ascii="Calibri Light" w:hAnsi="Calibri Light" w:hint="default"/>
      </w:rPr>
    </w:lvl>
    <w:lvl w:ilvl="5">
      <w:start w:val="1"/>
      <w:numFmt w:val="bullet"/>
      <w:lvlText w:val=""/>
      <w:lvlJc w:val="left"/>
      <w:pPr>
        <w:ind w:left="3360" w:hanging="420"/>
      </w:pPr>
      <w:rPr>
        <w:rFonts w:ascii="Calibri Light" w:hAnsi="Calibri Light" w:hint="default"/>
      </w:rPr>
    </w:lvl>
    <w:lvl w:ilvl="6">
      <w:start w:val="1"/>
      <w:numFmt w:val="bullet"/>
      <w:lvlText w:val=""/>
      <w:lvlJc w:val="left"/>
      <w:pPr>
        <w:ind w:left="3780" w:hanging="420"/>
      </w:pPr>
      <w:rPr>
        <w:rFonts w:ascii="Calibri Light" w:hAnsi="Calibri Light" w:hint="default"/>
      </w:rPr>
    </w:lvl>
    <w:lvl w:ilvl="7">
      <w:start w:val="1"/>
      <w:numFmt w:val="bullet"/>
      <w:lvlText w:val=""/>
      <w:lvlJc w:val="left"/>
      <w:pPr>
        <w:ind w:left="4200" w:hanging="420"/>
      </w:pPr>
      <w:rPr>
        <w:rFonts w:ascii="Calibri Light" w:hAnsi="Calibri Light" w:hint="default"/>
      </w:rPr>
    </w:lvl>
    <w:lvl w:ilvl="8">
      <w:start w:val="1"/>
      <w:numFmt w:val="bullet"/>
      <w:lvlText w:val=""/>
      <w:lvlJc w:val="left"/>
      <w:pPr>
        <w:ind w:left="4620" w:hanging="420"/>
      </w:pPr>
      <w:rPr>
        <w:rFonts w:ascii="Calibri Light" w:hAnsi="Calibri Light" w:hint="default"/>
      </w:rPr>
    </w:lvl>
  </w:abstractNum>
  <w:abstractNum w:abstractNumId="6" w15:restartNumberingAfterBreak="0">
    <w:nsid w:val="43787FD6"/>
    <w:multiLevelType w:val="singleLevel"/>
    <w:tmpl w:val="43787FD6"/>
    <w:lvl w:ilvl="0">
      <w:start w:val="1"/>
      <w:numFmt w:val="decimal"/>
      <w:lvlText w:val="%1)"/>
      <w:lvlJc w:val="left"/>
      <w:pPr>
        <w:ind w:left="425" w:hanging="425"/>
      </w:pPr>
      <w:rPr>
        <w:rFonts w:hint="default"/>
      </w:rPr>
    </w:lvl>
  </w:abstractNum>
  <w:abstractNum w:abstractNumId="7" w15:restartNumberingAfterBreak="0">
    <w:nsid w:val="53FB7C05"/>
    <w:multiLevelType w:val="hybridMultilevel"/>
    <w:tmpl w:val="4BA0B5F6"/>
    <w:lvl w:ilvl="0" w:tplc="0CE88EAC">
      <w:start w:val="1"/>
      <w:numFmt w:val="decimal"/>
      <w:lvlText w:val="（%1）"/>
      <w:lvlJc w:val="left"/>
      <w:pPr>
        <w:ind w:left="284" w:firstLine="0"/>
      </w:pPr>
      <w:rPr>
        <w:rFonts w:hint="eastAsia"/>
      </w:rPr>
    </w:lvl>
    <w:lvl w:ilvl="1" w:tplc="FFFFFFFF" w:tentative="1">
      <w:start w:val="1"/>
      <w:numFmt w:val="lowerLetter"/>
      <w:lvlText w:val="%2."/>
      <w:lvlJc w:val="left"/>
      <w:pPr>
        <w:ind w:left="1860" w:hanging="360"/>
      </w:pPr>
    </w:lvl>
    <w:lvl w:ilvl="2" w:tplc="FFFFFFFF" w:tentative="1">
      <w:start w:val="1"/>
      <w:numFmt w:val="lowerRoman"/>
      <w:lvlText w:val="%3."/>
      <w:lvlJc w:val="right"/>
      <w:pPr>
        <w:ind w:left="2580" w:hanging="180"/>
      </w:pPr>
    </w:lvl>
    <w:lvl w:ilvl="3" w:tplc="FFFFFFFF" w:tentative="1">
      <w:start w:val="1"/>
      <w:numFmt w:val="decimal"/>
      <w:lvlText w:val="%4."/>
      <w:lvlJc w:val="left"/>
      <w:pPr>
        <w:ind w:left="3300" w:hanging="360"/>
      </w:pPr>
    </w:lvl>
    <w:lvl w:ilvl="4" w:tplc="FFFFFFFF" w:tentative="1">
      <w:start w:val="1"/>
      <w:numFmt w:val="lowerLetter"/>
      <w:lvlText w:val="%5."/>
      <w:lvlJc w:val="left"/>
      <w:pPr>
        <w:ind w:left="4020" w:hanging="360"/>
      </w:pPr>
    </w:lvl>
    <w:lvl w:ilvl="5" w:tplc="FFFFFFFF" w:tentative="1">
      <w:start w:val="1"/>
      <w:numFmt w:val="lowerRoman"/>
      <w:lvlText w:val="%6."/>
      <w:lvlJc w:val="right"/>
      <w:pPr>
        <w:ind w:left="4740" w:hanging="180"/>
      </w:pPr>
    </w:lvl>
    <w:lvl w:ilvl="6" w:tplc="FFFFFFFF" w:tentative="1">
      <w:start w:val="1"/>
      <w:numFmt w:val="decimal"/>
      <w:lvlText w:val="%7."/>
      <w:lvlJc w:val="left"/>
      <w:pPr>
        <w:ind w:left="5460" w:hanging="360"/>
      </w:pPr>
    </w:lvl>
    <w:lvl w:ilvl="7" w:tplc="FFFFFFFF" w:tentative="1">
      <w:start w:val="1"/>
      <w:numFmt w:val="lowerLetter"/>
      <w:lvlText w:val="%8."/>
      <w:lvlJc w:val="left"/>
      <w:pPr>
        <w:ind w:left="6180" w:hanging="360"/>
      </w:pPr>
    </w:lvl>
    <w:lvl w:ilvl="8" w:tplc="FFFFFFFF" w:tentative="1">
      <w:start w:val="1"/>
      <w:numFmt w:val="lowerRoman"/>
      <w:lvlText w:val="%9."/>
      <w:lvlJc w:val="right"/>
      <w:pPr>
        <w:ind w:left="6900" w:hanging="180"/>
      </w:pPr>
    </w:lvl>
  </w:abstractNum>
  <w:abstractNum w:abstractNumId="8" w15:restartNumberingAfterBreak="0">
    <w:nsid w:val="547D73EE"/>
    <w:multiLevelType w:val="multilevel"/>
    <w:tmpl w:val="606430B2"/>
    <w:lvl w:ilvl="0">
      <w:start w:val="1"/>
      <w:numFmt w:val="chineseCountingThousand"/>
      <w:lvlText w:val="%1、"/>
      <w:lvlJc w:val="left"/>
      <w:pPr>
        <w:ind w:left="425" w:hanging="425"/>
      </w:pPr>
      <w:rPr>
        <w:sz w:val="21"/>
        <w:szCs w:val="21"/>
      </w:rPr>
    </w:lvl>
    <w:lvl w:ilvl="1">
      <w:start w:val="1"/>
      <w:numFmt w:val="chineseCountingThousand"/>
      <w:lvlText w:val="(%2)"/>
      <w:lvlJc w:val="left"/>
      <w:pPr>
        <w:ind w:left="454" w:hanging="454"/>
      </w:pPr>
      <w:rPr>
        <w:sz w:val="21"/>
      </w:rPr>
    </w:lvl>
    <w:lvl w:ilvl="2">
      <w:start w:val="1"/>
      <w:numFmt w:val="decimal"/>
      <w:suff w:val="space"/>
      <w:lvlText w:val="%1.%2.%3"/>
      <w:lvlJc w:val="left"/>
      <w:pPr>
        <w:ind w:left="1050" w:hanging="624"/>
      </w:pPr>
      <w:rPr>
        <w:sz w:val="24"/>
        <w:szCs w:val="24"/>
      </w:rPr>
    </w:lvl>
    <w:lvl w:ilvl="3">
      <w:start w:val="1"/>
      <w:numFmt w:val="decimal"/>
      <w:suff w:val="space"/>
      <w:lvlText w:val="%1.%2.%3.%4"/>
      <w:lvlJc w:val="left"/>
      <w:pPr>
        <w:ind w:left="794" w:hanging="794"/>
      </w:pPr>
    </w:lvl>
    <w:lvl w:ilvl="4">
      <w:start w:val="1"/>
      <w:numFmt w:val="decimal"/>
      <w:suff w:val="space"/>
      <w:lvlText w:val="%1.%2.%3.%4.%5"/>
      <w:lvlJc w:val="left"/>
      <w:pPr>
        <w:ind w:left="1021" w:hanging="1021"/>
      </w:pPr>
    </w:lvl>
    <w:lvl w:ilvl="5">
      <w:start w:val="1"/>
      <w:numFmt w:val="decimal"/>
      <w:suff w:val="space"/>
      <w:lvlText w:val="%1.%2.%3.%4.%5.%6"/>
      <w:lvlJc w:val="left"/>
      <w:pPr>
        <w:ind w:left="1021" w:hanging="1021"/>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9" w15:restartNumberingAfterBreak="0">
    <w:nsid w:val="664C4809"/>
    <w:multiLevelType w:val="hybridMultilevel"/>
    <w:tmpl w:val="B2CA9524"/>
    <w:lvl w:ilvl="0" w:tplc="C3A087A4">
      <w:start w:val="1"/>
      <w:numFmt w:val="decimal"/>
      <w:lvlText w:val="（%1）"/>
      <w:lvlJc w:val="left"/>
      <w:pPr>
        <w:ind w:left="1140" w:hanging="360"/>
      </w:pPr>
      <w:rPr>
        <w:rFonts w:hint="eastAsia"/>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0" w15:restartNumberingAfterBreak="0">
    <w:nsid w:val="6B9E5721"/>
    <w:multiLevelType w:val="hybridMultilevel"/>
    <w:tmpl w:val="C1F8C44E"/>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1" w15:restartNumberingAfterBreak="0">
    <w:nsid w:val="765F5B9A"/>
    <w:multiLevelType w:val="hybridMultilevel"/>
    <w:tmpl w:val="D75467F2"/>
    <w:lvl w:ilvl="0" w:tplc="C3A087A4">
      <w:start w:val="1"/>
      <w:numFmt w:val="decimal"/>
      <w:lvlText w:val="（%1）"/>
      <w:lvlJc w:val="left"/>
      <w:pPr>
        <w:ind w:left="420" w:hanging="420"/>
      </w:pPr>
      <w:rPr>
        <w:rFonts w:hint="eastAsia"/>
        <w:b w:val="0"/>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num w:numId="1">
    <w:abstractNumId w:val="4"/>
  </w:num>
  <w:num w:numId="2">
    <w:abstractNumId w:val="11"/>
  </w:num>
  <w:num w:numId="3">
    <w:abstractNumId w:val="9"/>
  </w:num>
  <w:num w:numId="4">
    <w:abstractNumId w:val="7"/>
  </w:num>
  <w:num w:numId="5">
    <w:abstractNumId w:val="1"/>
  </w:num>
  <w:num w:numId="6">
    <w:abstractNumId w:val="2"/>
    <w:lvlOverride w:ilvl="0">
      <w:startOverride w:val="45"/>
    </w:lvlOverride>
  </w:num>
  <w:num w:numId="7">
    <w:abstractNumId w:val="3"/>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D34"/>
    <w:rsid w:val="0000062C"/>
    <w:rsid w:val="000006DE"/>
    <w:rsid w:val="00000A16"/>
    <w:rsid w:val="00001321"/>
    <w:rsid w:val="0000183A"/>
    <w:rsid w:val="0000216D"/>
    <w:rsid w:val="00002710"/>
    <w:rsid w:val="00002C55"/>
    <w:rsid w:val="00002FAF"/>
    <w:rsid w:val="0000300F"/>
    <w:rsid w:val="000035B0"/>
    <w:rsid w:val="00003A17"/>
    <w:rsid w:val="00003D91"/>
    <w:rsid w:val="00003F66"/>
    <w:rsid w:val="000044F9"/>
    <w:rsid w:val="000045D9"/>
    <w:rsid w:val="0000478F"/>
    <w:rsid w:val="00004848"/>
    <w:rsid w:val="0000487C"/>
    <w:rsid w:val="00004D60"/>
    <w:rsid w:val="000058DC"/>
    <w:rsid w:val="00005EFA"/>
    <w:rsid w:val="0000682B"/>
    <w:rsid w:val="000069C7"/>
    <w:rsid w:val="00006A50"/>
    <w:rsid w:val="00006BFA"/>
    <w:rsid w:val="00007B1B"/>
    <w:rsid w:val="00010646"/>
    <w:rsid w:val="000107C5"/>
    <w:rsid w:val="000110B2"/>
    <w:rsid w:val="0001117C"/>
    <w:rsid w:val="000111E2"/>
    <w:rsid w:val="000113F3"/>
    <w:rsid w:val="0001143C"/>
    <w:rsid w:val="00011509"/>
    <w:rsid w:val="00011867"/>
    <w:rsid w:val="000118D8"/>
    <w:rsid w:val="000119BB"/>
    <w:rsid w:val="00011AEE"/>
    <w:rsid w:val="00011F8E"/>
    <w:rsid w:val="000124B3"/>
    <w:rsid w:val="000125FC"/>
    <w:rsid w:val="000128F7"/>
    <w:rsid w:val="00013072"/>
    <w:rsid w:val="0001309E"/>
    <w:rsid w:val="0001324D"/>
    <w:rsid w:val="000132DC"/>
    <w:rsid w:val="0001346F"/>
    <w:rsid w:val="00013779"/>
    <w:rsid w:val="00013C40"/>
    <w:rsid w:val="00013C4F"/>
    <w:rsid w:val="00013E7E"/>
    <w:rsid w:val="0001541B"/>
    <w:rsid w:val="00015B62"/>
    <w:rsid w:val="00015B7D"/>
    <w:rsid w:val="00016259"/>
    <w:rsid w:val="0001656C"/>
    <w:rsid w:val="000166DF"/>
    <w:rsid w:val="00016E7C"/>
    <w:rsid w:val="0001718C"/>
    <w:rsid w:val="000175EC"/>
    <w:rsid w:val="00017957"/>
    <w:rsid w:val="000179B5"/>
    <w:rsid w:val="00017F0B"/>
    <w:rsid w:val="00017F51"/>
    <w:rsid w:val="00020122"/>
    <w:rsid w:val="0002018C"/>
    <w:rsid w:val="0002024C"/>
    <w:rsid w:val="0002086B"/>
    <w:rsid w:val="00020914"/>
    <w:rsid w:val="00020C50"/>
    <w:rsid w:val="000214D8"/>
    <w:rsid w:val="00021503"/>
    <w:rsid w:val="00021B5B"/>
    <w:rsid w:val="00021D3F"/>
    <w:rsid w:val="00021FF8"/>
    <w:rsid w:val="00022274"/>
    <w:rsid w:val="000223FB"/>
    <w:rsid w:val="000228D1"/>
    <w:rsid w:val="000230DF"/>
    <w:rsid w:val="000232FC"/>
    <w:rsid w:val="0002337F"/>
    <w:rsid w:val="0002350A"/>
    <w:rsid w:val="00023589"/>
    <w:rsid w:val="00024190"/>
    <w:rsid w:val="0002483A"/>
    <w:rsid w:val="00024C1B"/>
    <w:rsid w:val="00024CD2"/>
    <w:rsid w:val="00024CFE"/>
    <w:rsid w:val="00025235"/>
    <w:rsid w:val="00025298"/>
    <w:rsid w:val="00025308"/>
    <w:rsid w:val="000257FA"/>
    <w:rsid w:val="00025A22"/>
    <w:rsid w:val="00025AA5"/>
    <w:rsid w:val="000263D5"/>
    <w:rsid w:val="000264C3"/>
    <w:rsid w:val="00026543"/>
    <w:rsid w:val="0002677A"/>
    <w:rsid w:val="00026A5D"/>
    <w:rsid w:val="00026DA2"/>
    <w:rsid w:val="00027218"/>
    <w:rsid w:val="00027362"/>
    <w:rsid w:val="0002746E"/>
    <w:rsid w:val="0002771A"/>
    <w:rsid w:val="00027BBD"/>
    <w:rsid w:val="00030207"/>
    <w:rsid w:val="00030A09"/>
    <w:rsid w:val="00030BB1"/>
    <w:rsid w:val="00030DB8"/>
    <w:rsid w:val="00030E70"/>
    <w:rsid w:val="00030F71"/>
    <w:rsid w:val="000310B3"/>
    <w:rsid w:val="00031611"/>
    <w:rsid w:val="00031757"/>
    <w:rsid w:val="00031868"/>
    <w:rsid w:val="0003193D"/>
    <w:rsid w:val="000319F9"/>
    <w:rsid w:val="00032139"/>
    <w:rsid w:val="00032E80"/>
    <w:rsid w:val="00032E8B"/>
    <w:rsid w:val="00033B44"/>
    <w:rsid w:val="00033DFD"/>
    <w:rsid w:val="000340C5"/>
    <w:rsid w:val="0003449F"/>
    <w:rsid w:val="0003458D"/>
    <w:rsid w:val="00034816"/>
    <w:rsid w:val="00034A01"/>
    <w:rsid w:val="00034B8A"/>
    <w:rsid w:val="00034C74"/>
    <w:rsid w:val="00034EBA"/>
    <w:rsid w:val="00034FFA"/>
    <w:rsid w:val="000353EF"/>
    <w:rsid w:val="000356B0"/>
    <w:rsid w:val="0003577D"/>
    <w:rsid w:val="0003624B"/>
    <w:rsid w:val="00036853"/>
    <w:rsid w:val="00036AC0"/>
    <w:rsid w:val="00037136"/>
    <w:rsid w:val="00037359"/>
    <w:rsid w:val="000375F5"/>
    <w:rsid w:val="00037807"/>
    <w:rsid w:val="00037924"/>
    <w:rsid w:val="00037C02"/>
    <w:rsid w:val="00037D73"/>
    <w:rsid w:val="00037DDD"/>
    <w:rsid w:val="00037E76"/>
    <w:rsid w:val="00040229"/>
    <w:rsid w:val="0004030C"/>
    <w:rsid w:val="000403E1"/>
    <w:rsid w:val="000409A6"/>
    <w:rsid w:val="00040ACE"/>
    <w:rsid w:val="00040ADA"/>
    <w:rsid w:val="00041250"/>
    <w:rsid w:val="000414F3"/>
    <w:rsid w:val="00041635"/>
    <w:rsid w:val="00041936"/>
    <w:rsid w:val="00041DC4"/>
    <w:rsid w:val="0004227E"/>
    <w:rsid w:val="00042627"/>
    <w:rsid w:val="00042666"/>
    <w:rsid w:val="00042A1D"/>
    <w:rsid w:val="00042A95"/>
    <w:rsid w:val="00042AAC"/>
    <w:rsid w:val="00042B8E"/>
    <w:rsid w:val="00042E60"/>
    <w:rsid w:val="00042ED9"/>
    <w:rsid w:val="00042F70"/>
    <w:rsid w:val="000438C5"/>
    <w:rsid w:val="000444E4"/>
    <w:rsid w:val="00044785"/>
    <w:rsid w:val="000455F8"/>
    <w:rsid w:val="00045AB6"/>
    <w:rsid w:val="000462DB"/>
    <w:rsid w:val="0004664D"/>
    <w:rsid w:val="00046868"/>
    <w:rsid w:val="00046E86"/>
    <w:rsid w:val="00046F69"/>
    <w:rsid w:val="000471F8"/>
    <w:rsid w:val="00047410"/>
    <w:rsid w:val="0004762C"/>
    <w:rsid w:val="0004781E"/>
    <w:rsid w:val="000500F5"/>
    <w:rsid w:val="00050295"/>
    <w:rsid w:val="0005042C"/>
    <w:rsid w:val="00050888"/>
    <w:rsid w:val="00050D1D"/>
    <w:rsid w:val="000515C5"/>
    <w:rsid w:val="000516D6"/>
    <w:rsid w:val="00051746"/>
    <w:rsid w:val="00051830"/>
    <w:rsid w:val="00051E77"/>
    <w:rsid w:val="00052294"/>
    <w:rsid w:val="000522E4"/>
    <w:rsid w:val="00052570"/>
    <w:rsid w:val="00052C99"/>
    <w:rsid w:val="00053094"/>
    <w:rsid w:val="00054129"/>
    <w:rsid w:val="00054149"/>
    <w:rsid w:val="000541BF"/>
    <w:rsid w:val="000543BD"/>
    <w:rsid w:val="00054469"/>
    <w:rsid w:val="000544E3"/>
    <w:rsid w:val="00054C2E"/>
    <w:rsid w:val="00054CC3"/>
    <w:rsid w:val="000552D3"/>
    <w:rsid w:val="0005531C"/>
    <w:rsid w:val="000555C7"/>
    <w:rsid w:val="00055688"/>
    <w:rsid w:val="000557EC"/>
    <w:rsid w:val="000557EF"/>
    <w:rsid w:val="00055A68"/>
    <w:rsid w:val="00055C4E"/>
    <w:rsid w:val="00055D9C"/>
    <w:rsid w:val="00055F39"/>
    <w:rsid w:val="00055FA8"/>
    <w:rsid w:val="000561B0"/>
    <w:rsid w:val="000568AF"/>
    <w:rsid w:val="00057321"/>
    <w:rsid w:val="00057A6C"/>
    <w:rsid w:val="00057ECD"/>
    <w:rsid w:val="0006044A"/>
    <w:rsid w:val="00060495"/>
    <w:rsid w:val="00060CD7"/>
    <w:rsid w:val="00060D5B"/>
    <w:rsid w:val="00060E01"/>
    <w:rsid w:val="000610C6"/>
    <w:rsid w:val="0006112B"/>
    <w:rsid w:val="00061938"/>
    <w:rsid w:val="00061C3E"/>
    <w:rsid w:val="00062729"/>
    <w:rsid w:val="00062AF4"/>
    <w:rsid w:val="00062F96"/>
    <w:rsid w:val="000636B1"/>
    <w:rsid w:val="00063F4C"/>
    <w:rsid w:val="00063F56"/>
    <w:rsid w:val="00063F9E"/>
    <w:rsid w:val="00063FC1"/>
    <w:rsid w:val="0006484C"/>
    <w:rsid w:val="00064A70"/>
    <w:rsid w:val="00064B75"/>
    <w:rsid w:val="00065349"/>
    <w:rsid w:val="0006537A"/>
    <w:rsid w:val="0006544F"/>
    <w:rsid w:val="000666FD"/>
    <w:rsid w:val="00066F10"/>
    <w:rsid w:val="00067737"/>
    <w:rsid w:val="00067AFE"/>
    <w:rsid w:val="00067C50"/>
    <w:rsid w:val="00067C5F"/>
    <w:rsid w:val="00070304"/>
    <w:rsid w:val="00070469"/>
    <w:rsid w:val="0007076F"/>
    <w:rsid w:val="000707B5"/>
    <w:rsid w:val="000707C6"/>
    <w:rsid w:val="00070CC9"/>
    <w:rsid w:val="0007102E"/>
    <w:rsid w:val="000714BC"/>
    <w:rsid w:val="00071560"/>
    <w:rsid w:val="00071597"/>
    <w:rsid w:val="0007175C"/>
    <w:rsid w:val="000718D4"/>
    <w:rsid w:val="00071D99"/>
    <w:rsid w:val="0007218C"/>
    <w:rsid w:val="00072427"/>
    <w:rsid w:val="000726B5"/>
    <w:rsid w:val="000728C9"/>
    <w:rsid w:val="000728D8"/>
    <w:rsid w:val="00072C32"/>
    <w:rsid w:val="00072E5D"/>
    <w:rsid w:val="00072EB3"/>
    <w:rsid w:val="00072EE7"/>
    <w:rsid w:val="00072FCC"/>
    <w:rsid w:val="0007344C"/>
    <w:rsid w:val="0007382A"/>
    <w:rsid w:val="00073A1A"/>
    <w:rsid w:val="00074147"/>
    <w:rsid w:val="0007431A"/>
    <w:rsid w:val="0007453D"/>
    <w:rsid w:val="0007460D"/>
    <w:rsid w:val="00074898"/>
    <w:rsid w:val="00074BAC"/>
    <w:rsid w:val="000750C7"/>
    <w:rsid w:val="000754D7"/>
    <w:rsid w:val="0007563D"/>
    <w:rsid w:val="00075650"/>
    <w:rsid w:val="000758EC"/>
    <w:rsid w:val="00075B03"/>
    <w:rsid w:val="0007631D"/>
    <w:rsid w:val="00076B21"/>
    <w:rsid w:val="00076B78"/>
    <w:rsid w:val="00076C72"/>
    <w:rsid w:val="00077266"/>
    <w:rsid w:val="000775C2"/>
    <w:rsid w:val="0007793D"/>
    <w:rsid w:val="000779E0"/>
    <w:rsid w:val="00077A8C"/>
    <w:rsid w:val="00077B66"/>
    <w:rsid w:val="000800E2"/>
    <w:rsid w:val="00080178"/>
    <w:rsid w:val="000802BC"/>
    <w:rsid w:val="000803AD"/>
    <w:rsid w:val="000805E1"/>
    <w:rsid w:val="00080654"/>
    <w:rsid w:val="00080774"/>
    <w:rsid w:val="000807E1"/>
    <w:rsid w:val="00080D14"/>
    <w:rsid w:val="000810BB"/>
    <w:rsid w:val="000810EC"/>
    <w:rsid w:val="00081111"/>
    <w:rsid w:val="0008111D"/>
    <w:rsid w:val="0008125E"/>
    <w:rsid w:val="00081392"/>
    <w:rsid w:val="000816C9"/>
    <w:rsid w:val="0008190F"/>
    <w:rsid w:val="0008191F"/>
    <w:rsid w:val="00081A4F"/>
    <w:rsid w:val="00081AB3"/>
    <w:rsid w:val="00082202"/>
    <w:rsid w:val="000835C3"/>
    <w:rsid w:val="00083833"/>
    <w:rsid w:val="00083FD7"/>
    <w:rsid w:val="0008423F"/>
    <w:rsid w:val="0008435C"/>
    <w:rsid w:val="000844DC"/>
    <w:rsid w:val="00084BCA"/>
    <w:rsid w:val="00084C41"/>
    <w:rsid w:val="000851F5"/>
    <w:rsid w:val="000858A7"/>
    <w:rsid w:val="00085D7A"/>
    <w:rsid w:val="00085DA5"/>
    <w:rsid w:val="00085DEC"/>
    <w:rsid w:val="000860C1"/>
    <w:rsid w:val="00086292"/>
    <w:rsid w:val="000862CE"/>
    <w:rsid w:val="0008687A"/>
    <w:rsid w:val="00086AD4"/>
    <w:rsid w:val="00086ED8"/>
    <w:rsid w:val="0008739F"/>
    <w:rsid w:val="0008747D"/>
    <w:rsid w:val="000902B1"/>
    <w:rsid w:val="00090B31"/>
    <w:rsid w:val="00090F85"/>
    <w:rsid w:val="00091354"/>
    <w:rsid w:val="00091571"/>
    <w:rsid w:val="00091976"/>
    <w:rsid w:val="00092299"/>
    <w:rsid w:val="0009288E"/>
    <w:rsid w:val="00092E1D"/>
    <w:rsid w:val="00093077"/>
    <w:rsid w:val="000933FF"/>
    <w:rsid w:val="00093549"/>
    <w:rsid w:val="0009366B"/>
    <w:rsid w:val="00093904"/>
    <w:rsid w:val="00093AC1"/>
    <w:rsid w:val="00093EC3"/>
    <w:rsid w:val="000943BB"/>
    <w:rsid w:val="00094B5D"/>
    <w:rsid w:val="00094D4A"/>
    <w:rsid w:val="000953E0"/>
    <w:rsid w:val="00095532"/>
    <w:rsid w:val="0009581B"/>
    <w:rsid w:val="00095907"/>
    <w:rsid w:val="000959AC"/>
    <w:rsid w:val="00095E38"/>
    <w:rsid w:val="00096224"/>
    <w:rsid w:val="00096517"/>
    <w:rsid w:val="00096940"/>
    <w:rsid w:val="00096CBE"/>
    <w:rsid w:val="00096E16"/>
    <w:rsid w:val="00097274"/>
    <w:rsid w:val="00097690"/>
    <w:rsid w:val="00097719"/>
    <w:rsid w:val="0009779D"/>
    <w:rsid w:val="000A07DA"/>
    <w:rsid w:val="000A0A56"/>
    <w:rsid w:val="000A0FA7"/>
    <w:rsid w:val="000A11A6"/>
    <w:rsid w:val="000A1333"/>
    <w:rsid w:val="000A16EB"/>
    <w:rsid w:val="000A182F"/>
    <w:rsid w:val="000A2254"/>
    <w:rsid w:val="000A27E3"/>
    <w:rsid w:val="000A2A2B"/>
    <w:rsid w:val="000A2FD2"/>
    <w:rsid w:val="000A329E"/>
    <w:rsid w:val="000A3643"/>
    <w:rsid w:val="000A3A54"/>
    <w:rsid w:val="000A3B6C"/>
    <w:rsid w:val="000A3C1A"/>
    <w:rsid w:val="000A408D"/>
    <w:rsid w:val="000A4207"/>
    <w:rsid w:val="000A437A"/>
    <w:rsid w:val="000A4626"/>
    <w:rsid w:val="000A468B"/>
    <w:rsid w:val="000A4741"/>
    <w:rsid w:val="000A4900"/>
    <w:rsid w:val="000A4D59"/>
    <w:rsid w:val="000A4E1A"/>
    <w:rsid w:val="000A52DB"/>
    <w:rsid w:val="000A558A"/>
    <w:rsid w:val="000A5884"/>
    <w:rsid w:val="000A589B"/>
    <w:rsid w:val="000A58E3"/>
    <w:rsid w:val="000A620B"/>
    <w:rsid w:val="000A627D"/>
    <w:rsid w:val="000A64AC"/>
    <w:rsid w:val="000A657C"/>
    <w:rsid w:val="000A6963"/>
    <w:rsid w:val="000A6AE8"/>
    <w:rsid w:val="000A6EB6"/>
    <w:rsid w:val="000A722A"/>
    <w:rsid w:val="000A72A4"/>
    <w:rsid w:val="000A7867"/>
    <w:rsid w:val="000A7D82"/>
    <w:rsid w:val="000B004A"/>
    <w:rsid w:val="000B0177"/>
    <w:rsid w:val="000B0873"/>
    <w:rsid w:val="000B09B6"/>
    <w:rsid w:val="000B0B9D"/>
    <w:rsid w:val="000B0C2F"/>
    <w:rsid w:val="000B0CEF"/>
    <w:rsid w:val="000B1645"/>
    <w:rsid w:val="000B1AB7"/>
    <w:rsid w:val="000B1C14"/>
    <w:rsid w:val="000B1F26"/>
    <w:rsid w:val="000B1F2F"/>
    <w:rsid w:val="000B21D6"/>
    <w:rsid w:val="000B26EB"/>
    <w:rsid w:val="000B2B44"/>
    <w:rsid w:val="000B2C02"/>
    <w:rsid w:val="000B2DD5"/>
    <w:rsid w:val="000B3042"/>
    <w:rsid w:val="000B368A"/>
    <w:rsid w:val="000B375E"/>
    <w:rsid w:val="000B37A6"/>
    <w:rsid w:val="000B3B7C"/>
    <w:rsid w:val="000B3C6B"/>
    <w:rsid w:val="000B3D67"/>
    <w:rsid w:val="000B3ED5"/>
    <w:rsid w:val="000B4370"/>
    <w:rsid w:val="000B4416"/>
    <w:rsid w:val="000B4624"/>
    <w:rsid w:val="000B4643"/>
    <w:rsid w:val="000B4701"/>
    <w:rsid w:val="000B47F3"/>
    <w:rsid w:val="000B4A9D"/>
    <w:rsid w:val="000B53FD"/>
    <w:rsid w:val="000B58C6"/>
    <w:rsid w:val="000B59CA"/>
    <w:rsid w:val="000B5BFC"/>
    <w:rsid w:val="000B5C27"/>
    <w:rsid w:val="000B5C86"/>
    <w:rsid w:val="000B5D94"/>
    <w:rsid w:val="000B5FFC"/>
    <w:rsid w:val="000B6336"/>
    <w:rsid w:val="000B6741"/>
    <w:rsid w:val="000B74B4"/>
    <w:rsid w:val="000B7741"/>
    <w:rsid w:val="000B7AC8"/>
    <w:rsid w:val="000B7C67"/>
    <w:rsid w:val="000B7D13"/>
    <w:rsid w:val="000C006F"/>
    <w:rsid w:val="000C0127"/>
    <w:rsid w:val="000C0523"/>
    <w:rsid w:val="000C061F"/>
    <w:rsid w:val="000C0E8A"/>
    <w:rsid w:val="000C0F1E"/>
    <w:rsid w:val="000C112B"/>
    <w:rsid w:val="000C13CB"/>
    <w:rsid w:val="000C14AB"/>
    <w:rsid w:val="000C14F7"/>
    <w:rsid w:val="000C1700"/>
    <w:rsid w:val="000C1831"/>
    <w:rsid w:val="000C1C5D"/>
    <w:rsid w:val="000C1C98"/>
    <w:rsid w:val="000C1DE1"/>
    <w:rsid w:val="000C1F1A"/>
    <w:rsid w:val="000C2206"/>
    <w:rsid w:val="000C2297"/>
    <w:rsid w:val="000C232E"/>
    <w:rsid w:val="000C29C1"/>
    <w:rsid w:val="000C2ACB"/>
    <w:rsid w:val="000C3041"/>
    <w:rsid w:val="000C306A"/>
    <w:rsid w:val="000C3180"/>
    <w:rsid w:val="000C329B"/>
    <w:rsid w:val="000C36A9"/>
    <w:rsid w:val="000C3C71"/>
    <w:rsid w:val="000C3CD8"/>
    <w:rsid w:val="000C3CFD"/>
    <w:rsid w:val="000C3DD6"/>
    <w:rsid w:val="000C41BA"/>
    <w:rsid w:val="000C45C0"/>
    <w:rsid w:val="000C46E3"/>
    <w:rsid w:val="000C47E6"/>
    <w:rsid w:val="000C4AB2"/>
    <w:rsid w:val="000C5047"/>
    <w:rsid w:val="000C507B"/>
    <w:rsid w:val="000C5264"/>
    <w:rsid w:val="000C5815"/>
    <w:rsid w:val="000C5C84"/>
    <w:rsid w:val="000C5E1A"/>
    <w:rsid w:val="000C6336"/>
    <w:rsid w:val="000C654D"/>
    <w:rsid w:val="000C65D6"/>
    <w:rsid w:val="000C6B8C"/>
    <w:rsid w:val="000C6C49"/>
    <w:rsid w:val="000C6D73"/>
    <w:rsid w:val="000C6EF6"/>
    <w:rsid w:val="000C6F19"/>
    <w:rsid w:val="000C7327"/>
    <w:rsid w:val="000C7365"/>
    <w:rsid w:val="000C73AF"/>
    <w:rsid w:val="000C7645"/>
    <w:rsid w:val="000D03B1"/>
    <w:rsid w:val="000D0492"/>
    <w:rsid w:val="000D0583"/>
    <w:rsid w:val="000D13DC"/>
    <w:rsid w:val="000D1CE1"/>
    <w:rsid w:val="000D1F36"/>
    <w:rsid w:val="000D2059"/>
    <w:rsid w:val="000D22B2"/>
    <w:rsid w:val="000D27AE"/>
    <w:rsid w:val="000D2846"/>
    <w:rsid w:val="000D287A"/>
    <w:rsid w:val="000D29F5"/>
    <w:rsid w:val="000D2B2A"/>
    <w:rsid w:val="000D2BE3"/>
    <w:rsid w:val="000D2F2D"/>
    <w:rsid w:val="000D3413"/>
    <w:rsid w:val="000D3FF0"/>
    <w:rsid w:val="000D42D4"/>
    <w:rsid w:val="000D46E5"/>
    <w:rsid w:val="000D4C0C"/>
    <w:rsid w:val="000D51F7"/>
    <w:rsid w:val="000D5337"/>
    <w:rsid w:val="000D549D"/>
    <w:rsid w:val="000D54BC"/>
    <w:rsid w:val="000D5816"/>
    <w:rsid w:val="000D59F8"/>
    <w:rsid w:val="000D5B3F"/>
    <w:rsid w:val="000D5B52"/>
    <w:rsid w:val="000D6023"/>
    <w:rsid w:val="000D6085"/>
    <w:rsid w:val="000D6407"/>
    <w:rsid w:val="000D6848"/>
    <w:rsid w:val="000D6CB7"/>
    <w:rsid w:val="000D6DF6"/>
    <w:rsid w:val="000D7890"/>
    <w:rsid w:val="000D7B32"/>
    <w:rsid w:val="000E05E0"/>
    <w:rsid w:val="000E0984"/>
    <w:rsid w:val="000E0BE6"/>
    <w:rsid w:val="000E0C76"/>
    <w:rsid w:val="000E0E30"/>
    <w:rsid w:val="000E132D"/>
    <w:rsid w:val="000E148E"/>
    <w:rsid w:val="000E150E"/>
    <w:rsid w:val="000E1A6F"/>
    <w:rsid w:val="000E1BFF"/>
    <w:rsid w:val="000E1C5F"/>
    <w:rsid w:val="000E1DC3"/>
    <w:rsid w:val="000E21C9"/>
    <w:rsid w:val="000E251A"/>
    <w:rsid w:val="000E3367"/>
    <w:rsid w:val="000E350F"/>
    <w:rsid w:val="000E4968"/>
    <w:rsid w:val="000E4E8F"/>
    <w:rsid w:val="000E5106"/>
    <w:rsid w:val="000E5631"/>
    <w:rsid w:val="000E5672"/>
    <w:rsid w:val="000E5889"/>
    <w:rsid w:val="000E58BE"/>
    <w:rsid w:val="000E5EC2"/>
    <w:rsid w:val="000E61B7"/>
    <w:rsid w:val="000E61F8"/>
    <w:rsid w:val="000E6227"/>
    <w:rsid w:val="000E67C9"/>
    <w:rsid w:val="000E7234"/>
    <w:rsid w:val="000E7814"/>
    <w:rsid w:val="000E78FC"/>
    <w:rsid w:val="000E7F0E"/>
    <w:rsid w:val="000F0461"/>
    <w:rsid w:val="000F0707"/>
    <w:rsid w:val="000F07C6"/>
    <w:rsid w:val="000F1033"/>
    <w:rsid w:val="000F10F0"/>
    <w:rsid w:val="000F12DA"/>
    <w:rsid w:val="000F1518"/>
    <w:rsid w:val="000F1DBA"/>
    <w:rsid w:val="000F1E4B"/>
    <w:rsid w:val="000F21F5"/>
    <w:rsid w:val="000F2220"/>
    <w:rsid w:val="000F226A"/>
    <w:rsid w:val="000F235C"/>
    <w:rsid w:val="000F29B4"/>
    <w:rsid w:val="000F2A02"/>
    <w:rsid w:val="000F2B93"/>
    <w:rsid w:val="000F2CB5"/>
    <w:rsid w:val="000F32E6"/>
    <w:rsid w:val="000F3682"/>
    <w:rsid w:val="000F3CBF"/>
    <w:rsid w:val="000F3CC1"/>
    <w:rsid w:val="000F3D33"/>
    <w:rsid w:val="000F425A"/>
    <w:rsid w:val="000F488F"/>
    <w:rsid w:val="000F4959"/>
    <w:rsid w:val="000F4FD5"/>
    <w:rsid w:val="000F56F0"/>
    <w:rsid w:val="000F5BE9"/>
    <w:rsid w:val="000F5C43"/>
    <w:rsid w:val="000F6086"/>
    <w:rsid w:val="000F62A0"/>
    <w:rsid w:val="000F6427"/>
    <w:rsid w:val="000F678D"/>
    <w:rsid w:val="000F67A5"/>
    <w:rsid w:val="000F67D2"/>
    <w:rsid w:val="000F692F"/>
    <w:rsid w:val="000F69F9"/>
    <w:rsid w:val="000F6A22"/>
    <w:rsid w:val="000F6AC6"/>
    <w:rsid w:val="000F71D4"/>
    <w:rsid w:val="000F7DAA"/>
    <w:rsid w:val="000F7DE9"/>
    <w:rsid w:val="000F7E37"/>
    <w:rsid w:val="00100267"/>
    <w:rsid w:val="0010100F"/>
    <w:rsid w:val="001013C1"/>
    <w:rsid w:val="001015D4"/>
    <w:rsid w:val="00101826"/>
    <w:rsid w:val="00101DCD"/>
    <w:rsid w:val="00102333"/>
    <w:rsid w:val="00102AFE"/>
    <w:rsid w:val="00102BDF"/>
    <w:rsid w:val="001032FC"/>
    <w:rsid w:val="00103348"/>
    <w:rsid w:val="00103405"/>
    <w:rsid w:val="00103645"/>
    <w:rsid w:val="001037BD"/>
    <w:rsid w:val="00103C36"/>
    <w:rsid w:val="00103D74"/>
    <w:rsid w:val="0010435E"/>
    <w:rsid w:val="001046D0"/>
    <w:rsid w:val="00104A5A"/>
    <w:rsid w:val="00105238"/>
    <w:rsid w:val="001053A3"/>
    <w:rsid w:val="001057C7"/>
    <w:rsid w:val="00105855"/>
    <w:rsid w:val="00105B17"/>
    <w:rsid w:val="00105BD3"/>
    <w:rsid w:val="00105D7C"/>
    <w:rsid w:val="00105F5D"/>
    <w:rsid w:val="001066AD"/>
    <w:rsid w:val="00106AC5"/>
    <w:rsid w:val="001071EA"/>
    <w:rsid w:val="001073F4"/>
    <w:rsid w:val="001078B6"/>
    <w:rsid w:val="00107948"/>
    <w:rsid w:val="00107967"/>
    <w:rsid w:val="00107C0A"/>
    <w:rsid w:val="001100E6"/>
    <w:rsid w:val="00110E88"/>
    <w:rsid w:val="00111728"/>
    <w:rsid w:val="00111AB1"/>
    <w:rsid w:val="00111ED3"/>
    <w:rsid w:val="001120AE"/>
    <w:rsid w:val="0011229B"/>
    <w:rsid w:val="001122F9"/>
    <w:rsid w:val="00112751"/>
    <w:rsid w:val="0011289C"/>
    <w:rsid w:val="001129CC"/>
    <w:rsid w:val="00112ACE"/>
    <w:rsid w:val="00112EBC"/>
    <w:rsid w:val="00112F36"/>
    <w:rsid w:val="00113015"/>
    <w:rsid w:val="001130F1"/>
    <w:rsid w:val="00113496"/>
    <w:rsid w:val="00113B02"/>
    <w:rsid w:val="001142F4"/>
    <w:rsid w:val="00114490"/>
    <w:rsid w:val="00114668"/>
    <w:rsid w:val="0011487D"/>
    <w:rsid w:val="00114EDD"/>
    <w:rsid w:val="0011552D"/>
    <w:rsid w:val="0011622A"/>
    <w:rsid w:val="0011665E"/>
    <w:rsid w:val="00116750"/>
    <w:rsid w:val="0011687D"/>
    <w:rsid w:val="00116C4D"/>
    <w:rsid w:val="00116FF4"/>
    <w:rsid w:val="001170A7"/>
    <w:rsid w:val="00117197"/>
    <w:rsid w:val="0011787A"/>
    <w:rsid w:val="00117C43"/>
    <w:rsid w:val="00117E41"/>
    <w:rsid w:val="0012010D"/>
    <w:rsid w:val="0012026F"/>
    <w:rsid w:val="00120428"/>
    <w:rsid w:val="00120913"/>
    <w:rsid w:val="00121050"/>
    <w:rsid w:val="00121334"/>
    <w:rsid w:val="0012168D"/>
    <w:rsid w:val="001217C5"/>
    <w:rsid w:val="00121A29"/>
    <w:rsid w:val="00121C5F"/>
    <w:rsid w:val="001221A3"/>
    <w:rsid w:val="0012262C"/>
    <w:rsid w:val="00122A5F"/>
    <w:rsid w:val="00122A70"/>
    <w:rsid w:val="00122A8E"/>
    <w:rsid w:val="00122CF9"/>
    <w:rsid w:val="00122FC2"/>
    <w:rsid w:val="001231EA"/>
    <w:rsid w:val="001232D6"/>
    <w:rsid w:val="00123A34"/>
    <w:rsid w:val="001248F5"/>
    <w:rsid w:val="00124E53"/>
    <w:rsid w:val="00125291"/>
    <w:rsid w:val="001254E9"/>
    <w:rsid w:val="00125F17"/>
    <w:rsid w:val="00126324"/>
    <w:rsid w:val="001272A5"/>
    <w:rsid w:val="0012771E"/>
    <w:rsid w:val="00127C32"/>
    <w:rsid w:val="00127FBA"/>
    <w:rsid w:val="00130188"/>
    <w:rsid w:val="0013092D"/>
    <w:rsid w:val="00130C80"/>
    <w:rsid w:val="00130EE8"/>
    <w:rsid w:val="00131006"/>
    <w:rsid w:val="001311EA"/>
    <w:rsid w:val="0013126E"/>
    <w:rsid w:val="001312DC"/>
    <w:rsid w:val="00131959"/>
    <w:rsid w:val="00131AC2"/>
    <w:rsid w:val="00131F72"/>
    <w:rsid w:val="00132CDA"/>
    <w:rsid w:val="00132FBA"/>
    <w:rsid w:val="001332D4"/>
    <w:rsid w:val="00133509"/>
    <w:rsid w:val="00133BA1"/>
    <w:rsid w:val="00133C15"/>
    <w:rsid w:val="00133EB2"/>
    <w:rsid w:val="00134317"/>
    <w:rsid w:val="001348F6"/>
    <w:rsid w:val="00134C9E"/>
    <w:rsid w:val="001350DE"/>
    <w:rsid w:val="001351AE"/>
    <w:rsid w:val="001357F8"/>
    <w:rsid w:val="00135A6B"/>
    <w:rsid w:val="00135F30"/>
    <w:rsid w:val="00136469"/>
    <w:rsid w:val="0013697F"/>
    <w:rsid w:val="00137005"/>
    <w:rsid w:val="00137064"/>
    <w:rsid w:val="00137EF3"/>
    <w:rsid w:val="001400D0"/>
    <w:rsid w:val="0014022D"/>
    <w:rsid w:val="00140354"/>
    <w:rsid w:val="001406F0"/>
    <w:rsid w:val="00140864"/>
    <w:rsid w:val="00140EB9"/>
    <w:rsid w:val="00140F7F"/>
    <w:rsid w:val="00140F89"/>
    <w:rsid w:val="00140FDA"/>
    <w:rsid w:val="001411A1"/>
    <w:rsid w:val="001413FF"/>
    <w:rsid w:val="00141697"/>
    <w:rsid w:val="0014198F"/>
    <w:rsid w:val="00141E37"/>
    <w:rsid w:val="00141E9F"/>
    <w:rsid w:val="0014253D"/>
    <w:rsid w:val="00142597"/>
    <w:rsid w:val="001429C2"/>
    <w:rsid w:val="00143365"/>
    <w:rsid w:val="00143F80"/>
    <w:rsid w:val="001440DE"/>
    <w:rsid w:val="001448BE"/>
    <w:rsid w:val="00144D30"/>
    <w:rsid w:val="00144E30"/>
    <w:rsid w:val="00144F31"/>
    <w:rsid w:val="00145008"/>
    <w:rsid w:val="001452DE"/>
    <w:rsid w:val="0014572E"/>
    <w:rsid w:val="001457BB"/>
    <w:rsid w:val="001461A5"/>
    <w:rsid w:val="001461C7"/>
    <w:rsid w:val="00146E74"/>
    <w:rsid w:val="00146EBE"/>
    <w:rsid w:val="0014702D"/>
    <w:rsid w:val="001473FF"/>
    <w:rsid w:val="00147785"/>
    <w:rsid w:val="00147A93"/>
    <w:rsid w:val="00147DAB"/>
    <w:rsid w:val="001500EC"/>
    <w:rsid w:val="001505D0"/>
    <w:rsid w:val="001507B1"/>
    <w:rsid w:val="001507E1"/>
    <w:rsid w:val="0015108B"/>
    <w:rsid w:val="001511CE"/>
    <w:rsid w:val="0015122B"/>
    <w:rsid w:val="001516A0"/>
    <w:rsid w:val="00151738"/>
    <w:rsid w:val="0015192C"/>
    <w:rsid w:val="00151D43"/>
    <w:rsid w:val="00151D62"/>
    <w:rsid w:val="00151DBF"/>
    <w:rsid w:val="00152121"/>
    <w:rsid w:val="00152192"/>
    <w:rsid w:val="0015249C"/>
    <w:rsid w:val="00152630"/>
    <w:rsid w:val="0015280D"/>
    <w:rsid w:val="00152A1A"/>
    <w:rsid w:val="00153149"/>
    <w:rsid w:val="0015348E"/>
    <w:rsid w:val="00153608"/>
    <w:rsid w:val="00153AD6"/>
    <w:rsid w:val="00153F68"/>
    <w:rsid w:val="001541B2"/>
    <w:rsid w:val="001544F1"/>
    <w:rsid w:val="001550CF"/>
    <w:rsid w:val="001553A0"/>
    <w:rsid w:val="001554BD"/>
    <w:rsid w:val="00155D7B"/>
    <w:rsid w:val="00156242"/>
    <w:rsid w:val="00156537"/>
    <w:rsid w:val="00156550"/>
    <w:rsid w:val="00156626"/>
    <w:rsid w:val="001567F3"/>
    <w:rsid w:val="00156F83"/>
    <w:rsid w:val="001570CF"/>
    <w:rsid w:val="001573FE"/>
    <w:rsid w:val="001574B5"/>
    <w:rsid w:val="0015753F"/>
    <w:rsid w:val="0015771A"/>
    <w:rsid w:val="001579C3"/>
    <w:rsid w:val="00160417"/>
    <w:rsid w:val="001607ED"/>
    <w:rsid w:val="00160F5B"/>
    <w:rsid w:val="00161160"/>
    <w:rsid w:val="00161430"/>
    <w:rsid w:val="001614FB"/>
    <w:rsid w:val="00161666"/>
    <w:rsid w:val="00161790"/>
    <w:rsid w:val="00161C8A"/>
    <w:rsid w:val="00161FC2"/>
    <w:rsid w:val="001621F1"/>
    <w:rsid w:val="0016246F"/>
    <w:rsid w:val="0016264B"/>
    <w:rsid w:val="0016275C"/>
    <w:rsid w:val="00162BE5"/>
    <w:rsid w:val="0016357C"/>
    <w:rsid w:val="00163B4E"/>
    <w:rsid w:val="00164124"/>
    <w:rsid w:val="00164444"/>
    <w:rsid w:val="00164C57"/>
    <w:rsid w:val="00164F25"/>
    <w:rsid w:val="001657B8"/>
    <w:rsid w:val="00165E08"/>
    <w:rsid w:val="00165FA2"/>
    <w:rsid w:val="0016606C"/>
    <w:rsid w:val="0016634E"/>
    <w:rsid w:val="0016676A"/>
    <w:rsid w:val="00166E32"/>
    <w:rsid w:val="001673A6"/>
    <w:rsid w:val="001674EF"/>
    <w:rsid w:val="00167895"/>
    <w:rsid w:val="0016798F"/>
    <w:rsid w:val="00167A2E"/>
    <w:rsid w:val="00167D68"/>
    <w:rsid w:val="00167DC3"/>
    <w:rsid w:val="00167E14"/>
    <w:rsid w:val="001704EE"/>
    <w:rsid w:val="001706D0"/>
    <w:rsid w:val="00170745"/>
    <w:rsid w:val="00170E1D"/>
    <w:rsid w:val="00170E1F"/>
    <w:rsid w:val="00170E5D"/>
    <w:rsid w:val="001713B5"/>
    <w:rsid w:val="001715A2"/>
    <w:rsid w:val="001717D3"/>
    <w:rsid w:val="00171922"/>
    <w:rsid w:val="00172463"/>
    <w:rsid w:val="00172543"/>
    <w:rsid w:val="00172AEE"/>
    <w:rsid w:val="001731CB"/>
    <w:rsid w:val="00174225"/>
    <w:rsid w:val="00174376"/>
    <w:rsid w:val="00174873"/>
    <w:rsid w:val="00174E67"/>
    <w:rsid w:val="001751B0"/>
    <w:rsid w:val="001751D3"/>
    <w:rsid w:val="001752D0"/>
    <w:rsid w:val="00175308"/>
    <w:rsid w:val="00175499"/>
    <w:rsid w:val="0017588B"/>
    <w:rsid w:val="00175916"/>
    <w:rsid w:val="00175D02"/>
    <w:rsid w:val="00175D86"/>
    <w:rsid w:val="0017644D"/>
    <w:rsid w:val="00176742"/>
    <w:rsid w:val="00176B72"/>
    <w:rsid w:val="00176D97"/>
    <w:rsid w:val="00177306"/>
    <w:rsid w:val="0017733D"/>
    <w:rsid w:val="001774F8"/>
    <w:rsid w:val="001778DB"/>
    <w:rsid w:val="00177C30"/>
    <w:rsid w:val="00177FD9"/>
    <w:rsid w:val="00180392"/>
    <w:rsid w:val="001803F4"/>
    <w:rsid w:val="0018071B"/>
    <w:rsid w:val="00180D22"/>
    <w:rsid w:val="0018140F"/>
    <w:rsid w:val="001816A4"/>
    <w:rsid w:val="00181D36"/>
    <w:rsid w:val="0018214D"/>
    <w:rsid w:val="0018237D"/>
    <w:rsid w:val="00182C09"/>
    <w:rsid w:val="00182C45"/>
    <w:rsid w:val="00182D8A"/>
    <w:rsid w:val="00182EE0"/>
    <w:rsid w:val="00182FA4"/>
    <w:rsid w:val="00183202"/>
    <w:rsid w:val="00183327"/>
    <w:rsid w:val="001833B2"/>
    <w:rsid w:val="001836CE"/>
    <w:rsid w:val="00183A0F"/>
    <w:rsid w:val="00183A74"/>
    <w:rsid w:val="00183C9E"/>
    <w:rsid w:val="00183DD9"/>
    <w:rsid w:val="00184415"/>
    <w:rsid w:val="001847EB"/>
    <w:rsid w:val="00184C41"/>
    <w:rsid w:val="00185184"/>
    <w:rsid w:val="00185992"/>
    <w:rsid w:val="00185BCF"/>
    <w:rsid w:val="001870E9"/>
    <w:rsid w:val="001878B2"/>
    <w:rsid w:val="0018795B"/>
    <w:rsid w:val="00187E38"/>
    <w:rsid w:val="00190176"/>
    <w:rsid w:val="001902B0"/>
    <w:rsid w:val="001903BA"/>
    <w:rsid w:val="0019048D"/>
    <w:rsid w:val="00190639"/>
    <w:rsid w:val="001906A9"/>
    <w:rsid w:val="00190805"/>
    <w:rsid w:val="00190824"/>
    <w:rsid w:val="001912DE"/>
    <w:rsid w:val="001914FB"/>
    <w:rsid w:val="001915CA"/>
    <w:rsid w:val="001919E9"/>
    <w:rsid w:val="00191D54"/>
    <w:rsid w:val="00191DC7"/>
    <w:rsid w:val="00191F42"/>
    <w:rsid w:val="0019222E"/>
    <w:rsid w:val="00192612"/>
    <w:rsid w:val="00192D69"/>
    <w:rsid w:val="00192F67"/>
    <w:rsid w:val="00193142"/>
    <w:rsid w:val="00193173"/>
    <w:rsid w:val="0019322E"/>
    <w:rsid w:val="00193715"/>
    <w:rsid w:val="00193B26"/>
    <w:rsid w:val="00193BDC"/>
    <w:rsid w:val="00193F54"/>
    <w:rsid w:val="00194105"/>
    <w:rsid w:val="00194D6A"/>
    <w:rsid w:val="00194E5D"/>
    <w:rsid w:val="00195719"/>
    <w:rsid w:val="00196398"/>
    <w:rsid w:val="00196728"/>
    <w:rsid w:val="00197240"/>
    <w:rsid w:val="00197877"/>
    <w:rsid w:val="001A03BC"/>
    <w:rsid w:val="001A05E0"/>
    <w:rsid w:val="001A0727"/>
    <w:rsid w:val="001A1344"/>
    <w:rsid w:val="001A17AF"/>
    <w:rsid w:val="001A19D1"/>
    <w:rsid w:val="001A19D2"/>
    <w:rsid w:val="001A1B8B"/>
    <w:rsid w:val="001A1C07"/>
    <w:rsid w:val="001A1C21"/>
    <w:rsid w:val="001A1C3E"/>
    <w:rsid w:val="001A1D2C"/>
    <w:rsid w:val="001A211C"/>
    <w:rsid w:val="001A2586"/>
    <w:rsid w:val="001A2A3E"/>
    <w:rsid w:val="001A2A56"/>
    <w:rsid w:val="001A2B4F"/>
    <w:rsid w:val="001A2C4E"/>
    <w:rsid w:val="001A3457"/>
    <w:rsid w:val="001A35DF"/>
    <w:rsid w:val="001A39AF"/>
    <w:rsid w:val="001A3B54"/>
    <w:rsid w:val="001A3E84"/>
    <w:rsid w:val="001A3F3A"/>
    <w:rsid w:val="001A45A0"/>
    <w:rsid w:val="001A4816"/>
    <w:rsid w:val="001A4E32"/>
    <w:rsid w:val="001A544A"/>
    <w:rsid w:val="001A5526"/>
    <w:rsid w:val="001A65FE"/>
    <w:rsid w:val="001A6893"/>
    <w:rsid w:val="001A6A45"/>
    <w:rsid w:val="001A6AE7"/>
    <w:rsid w:val="001A6CB5"/>
    <w:rsid w:val="001A6D55"/>
    <w:rsid w:val="001A70BC"/>
    <w:rsid w:val="001A7186"/>
    <w:rsid w:val="001A7306"/>
    <w:rsid w:val="001A75D6"/>
    <w:rsid w:val="001A7800"/>
    <w:rsid w:val="001A7971"/>
    <w:rsid w:val="001A7C4B"/>
    <w:rsid w:val="001A7F52"/>
    <w:rsid w:val="001A7FB2"/>
    <w:rsid w:val="001A7FBA"/>
    <w:rsid w:val="001B0153"/>
    <w:rsid w:val="001B02B6"/>
    <w:rsid w:val="001B0CC7"/>
    <w:rsid w:val="001B1001"/>
    <w:rsid w:val="001B11A6"/>
    <w:rsid w:val="001B1224"/>
    <w:rsid w:val="001B19A4"/>
    <w:rsid w:val="001B1B39"/>
    <w:rsid w:val="001B1E9C"/>
    <w:rsid w:val="001B2314"/>
    <w:rsid w:val="001B23CE"/>
    <w:rsid w:val="001B269A"/>
    <w:rsid w:val="001B288C"/>
    <w:rsid w:val="001B2896"/>
    <w:rsid w:val="001B2AD5"/>
    <w:rsid w:val="001B2BAF"/>
    <w:rsid w:val="001B2D5D"/>
    <w:rsid w:val="001B3386"/>
    <w:rsid w:val="001B359C"/>
    <w:rsid w:val="001B39D2"/>
    <w:rsid w:val="001B42D3"/>
    <w:rsid w:val="001B45C6"/>
    <w:rsid w:val="001B4687"/>
    <w:rsid w:val="001B4760"/>
    <w:rsid w:val="001B476B"/>
    <w:rsid w:val="001B4A28"/>
    <w:rsid w:val="001B5213"/>
    <w:rsid w:val="001B5602"/>
    <w:rsid w:val="001B5650"/>
    <w:rsid w:val="001B5974"/>
    <w:rsid w:val="001B5A9B"/>
    <w:rsid w:val="001B5BA8"/>
    <w:rsid w:val="001B622D"/>
    <w:rsid w:val="001B6D3E"/>
    <w:rsid w:val="001B73E3"/>
    <w:rsid w:val="001B771E"/>
    <w:rsid w:val="001B7F59"/>
    <w:rsid w:val="001C074F"/>
    <w:rsid w:val="001C0892"/>
    <w:rsid w:val="001C1339"/>
    <w:rsid w:val="001C19DC"/>
    <w:rsid w:val="001C1C7C"/>
    <w:rsid w:val="001C1DE6"/>
    <w:rsid w:val="001C239C"/>
    <w:rsid w:val="001C2631"/>
    <w:rsid w:val="001C27C3"/>
    <w:rsid w:val="001C2CAB"/>
    <w:rsid w:val="001C2E15"/>
    <w:rsid w:val="001C2F39"/>
    <w:rsid w:val="001C2FD1"/>
    <w:rsid w:val="001C36E7"/>
    <w:rsid w:val="001C4A0B"/>
    <w:rsid w:val="001C4B8B"/>
    <w:rsid w:val="001C4C0E"/>
    <w:rsid w:val="001C4C62"/>
    <w:rsid w:val="001C4F4C"/>
    <w:rsid w:val="001C5026"/>
    <w:rsid w:val="001C52F7"/>
    <w:rsid w:val="001C533F"/>
    <w:rsid w:val="001C576F"/>
    <w:rsid w:val="001C5A42"/>
    <w:rsid w:val="001C5B13"/>
    <w:rsid w:val="001C5CB5"/>
    <w:rsid w:val="001C5D13"/>
    <w:rsid w:val="001C6397"/>
    <w:rsid w:val="001C660C"/>
    <w:rsid w:val="001C6710"/>
    <w:rsid w:val="001C68EF"/>
    <w:rsid w:val="001C6970"/>
    <w:rsid w:val="001C697E"/>
    <w:rsid w:val="001C6EED"/>
    <w:rsid w:val="001C712E"/>
    <w:rsid w:val="001C7867"/>
    <w:rsid w:val="001C7EB6"/>
    <w:rsid w:val="001D0156"/>
    <w:rsid w:val="001D055A"/>
    <w:rsid w:val="001D0620"/>
    <w:rsid w:val="001D088B"/>
    <w:rsid w:val="001D0CBF"/>
    <w:rsid w:val="001D0DA2"/>
    <w:rsid w:val="001D0E43"/>
    <w:rsid w:val="001D1934"/>
    <w:rsid w:val="001D2ED1"/>
    <w:rsid w:val="001D338E"/>
    <w:rsid w:val="001D352F"/>
    <w:rsid w:val="001D36E5"/>
    <w:rsid w:val="001D3781"/>
    <w:rsid w:val="001D382E"/>
    <w:rsid w:val="001D3877"/>
    <w:rsid w:val="001D3A5E"/>
    <w:rsid w:val="001D3BCB"/>
    <w:rsid w:val="001D459E"/>
    <w:rsid w:val="001D4707"/>
    <w:rsid w:val="001D4BD0"/>
    <w:rsid w:val="001D4CAB"/>
    <w:rsid w:val="001D5058"/>
    <w:rsid w:val="001D5067"/>
    <w:rsid w:val="001D5670"/>
    <w:rsid w:val="001D571D"/>
    <w:rsid w:val="001D5857"/>
    <w:rsid w:val="001D5A6F"/>
    <w:rsid w:val="001D5AC7"/>
    <w:rsid w:val="001D5D8D"/>
    <w:rsid w:val="001D63A5"/>
    <w:rsid w:val="001D6753"/>
    <w:rsid w:val="001D680D"/>
    <w:rsid w:val="001D6CA8"/>
    <w:rsid w:val="001D6FD9"/>
    <w:rsid w:val="001D70C7"/>
    <w:rsid w:val="001D72AD"/>
    <w:rsid w:val="001D7340"/>
    <w:rsid w:val="001D7357"/>
    <w:rsid w:val="001D7593"/>
    <w:rsid w:val="001D788E"/>
    <w:rsid w:val="001D7A03"/>
    <w:rsid w:val="001D7B7E"/>
    <w:rsid w:val="001D7BCA"/>
    <w:rsid w:val="001D7D22"/>
    <w:rsid w:val="001E0308"/>
    <w:rsid w:val="001E0534"/>
    <w:rsid w:val="001E0685"/>
    <w:rsid w:val="001E06C9"/>
    <w:rsid w:val="001E08A2"/>
    <w:rsid w:val="001E1258"/>
    <w:rsid w:val="001E12F6"/>
    <w:rsid w:val="001E15AF"/>
    <w:rsid w:val="001E1C52"/>
    <w:rsid w:val="001E2107"/>
    <w:rsid w:val="001E223B"/>
    <w:rsid w:val="001E277B"/>
    <w:rsid w:val="001E28C4"/>
    <w:rsid w:val="001E2A46"/>
    <w:rsid w:val="001E2BB5"/>
    <w:rsid w:val="001E2C43"/>
    <w:rsid w:val="001E36DA"/>
    <w:rsid w:val="001E388E"/>
    <w:rsid w:val="001E3931"/>
    <w:rsid w:val="001E4178"/>
    <w:rsid w:val="001E41D8"/>
    <w:rsid w:val="001E41E4"/>
    <w:rsid w:val="001E42FD"/>
    <w:rsid w:val="001E4301"/>
    <w:rsid w:val="001E4AAB"/>
    <w:rsid w:val="001E4ED5"/>
    <w:rsid w:val="001E5566"/>
    <w:rsid w:val="001E5670"/>
    <w:rsid w:val="001E5950"/>
    <w:rsid w:val="001E5966"/>
    <w:rsid w:val="001E6283"/>
    <w:rsid w:val="001E6731"/>
    <w:rsid w:val="001E67D6"/>
    <w:rsid w:val="001E6A28"/>
    <w:rsid w:val="001E6C3A"/>
    <w:rsid w:val="001E6C88"/>
    <w:rsid w:val="001E7162"/>
    <w:rsid w:val="001E79AC"/>
    <w:rsid w:val="001F0125"/>
    <w:rsid w:val="001F0135"/>
    <w:rsid w:val="001F074F"/>
    <w:rsid w:val="001F0F05"/>
    <w:rsid w:val="001F1053"/>
    <w:rsid w:val="001F15D1"/>
    <w:rsid w:val="001F1C44"/>
    <w:rsid w:val="001F1CB8"/>
    <w:rsid w:val="001F259C"/>
    <w:rsid w:val="001F2A25"/>
    <w:rsid w:val="001F2F55"/>
    <w:rsid w:val="001F3067"/>
    <w:rsid w:val="001F316F"/>
    <w:rsid w:val="001F3272"/>
    <w:rsid w:val="001F34E4"/>
    <w:rsid w:val="001F3B37"/>
    <w:rsid w:val="001F3B8C"/>
    <w:rsid w:val="001F3E97"/>
    <w:rsid w:val="001F3F0C"/>
    <w:rsid w:val="001F3F78"/>
    <w:rsid w:val="001F4658"/>
    <w:rsid w:val="001F494C"/>
    <w:rsid w:val="001F4B56"/>
    <w:rsid w:val="001F53F4"/>
    <w:rsid w:val="001F5502"/>
    <w:rsid w:val="001F562C"/>
    <w:rsid w:val="001F5A7E"/>
    <w:rsid w:val="001F5C22"/>
    <w:rsid w:val="001F5DFC"/>
    <w:rsid w:val="001F5EE0"/>
    <w:rsid w:val="001F5EE5"/>
    <w:rsid w:val="001F5F48"/>
    <w:rsid w:val="001F6397"/>
    <w:rsid w:val="001F65DE"/>
    <w:rsid w:val="001F673C"/>
    <w:rsid w:val="001F6D4E"/>
    <w:rsid w:val="001F6E4C"/>
    <w:rsid w:val="001F6FE4"/>
    <w:rsid w:val="001F72BC"/>
    <w:rsid w:val="001F7457"/>
    <w:rsid w:val="001F7A3B"/>
    <w:rsid w:val="001F7C3D"/>
    <w:rsid w:val="0020013F"/>
    <w:rsid w:val="00200319"/>
    <w:rsid w:val="00200656"/>
    <w:rsid w:val="0020077B"/>
    <w:rsid w:val="002008C2"/>
    <w:rsid w:val="00200B19"/>
    <w:rsid w:val="00200B6C"/>
    <w:rsid w:val="00200B7C"/>
    <w:rsid w:val="00200EAF"/>
    <w:rsid w:val="00200F42"/>
    <w:rsid w:val="0020112C"/>
    <w:rsid w:val="00201334"/>
    <w:rsid w:val="0020264F"/>
    <w:rsid w:val="002028DD"/>
    <w:rsid w:val="00202911"/>
    <w:rsid w:val="0020322E"/>
    <w:rsid w:val="002035B5"/>
    <w:rsid w:val="002037B3"/>
    <w:rsid w:val="0020391B"/>
    <w:rsid w:val="00203B4A"/>
    <w:rsid w:val="00203BA5"/>
    <w:rsid w:val="00203D7F"/>
    <w:rsid w:val="002041BF"/>
    <w:rsid w:val="00204ED4"/>
    <w:rsid w:val="0020505E"/>
    <w:rsid w:val="0020521C"/>
    <w:rsid w:val="0020532B"/>
    <w:rsid w:val="002054E4"/>
    <w:rsid w:val="00205BCD"/>
    <w:rsid w:val="00205C57"/>
    <w:rsid w:val="00206705"/>
    <w:rsid w:val="0020670E"/>
    <w:rsid w:val="0020686E"/>
    <w:rsid w:val="00206A8C"/>
    <w:rsid w:val="00206B67"/>
    <w:rsid w:val="00206C3B"/>
    <w:rsid w:val="00206CE6"/>
    <w:rsid w:val="00206DF5"/>
    <w:rsid w:val="002076C9"/>
    <w:rsid w:val="00207828"/>
    <w:rsid w:val="00207A34"/>
    <w:rsid w:val="00207C86"/>
    <w:rsid w:val="00207F67"/>
    <w:rsid w:val="00210449"/>
    <w:rsid w:val="002117DE"/>
    <w:rsid w:val="00211AF8"/>
    <w:rsid w:val="00211D90"/>
    <w:rsid w:val="00211F5D"/>
    <w:rsid w:val="00211FAA"/>
    <w:rsid w:val="00211FD0"/>
    <w:rsid w:val="0021200D"/>
    <w:rsid w:val="0021268E"/>
    <w:rsid w:val="00212CE1"/>
    <w:rsid w:val="0021326C"/>
    <w:rsid w:val="002132B3"/>
    <w:rsid w:val="002133FD"/>
    <w:rsid w:val="002134AF"/>
    <w:rsid w:val="002135F8"/>
    <w:rsid w:val="0021362C"/>
    <w:rsid w:val="00213694"/>
    <w:rsid w:val="00213A69"/>
    <w:rsid w:val="00213B3F"/>
    <w:rsid w:val="00213F4E"/>
    <w:rsid w:val="0021421E"/>
    <w:rsid w:val="00214402"/>
    <w:rsid w:val="002145FA"/>
    <w:rsid w:val="00214647"/>
    <w:rsid w:val="00214928"/>
    <w:rsid w:val="00214D89"/>
    <w:rsid w:val="002151FC"/>
    <w:rsid w:val="00215288"/>
    <w:rsid w:val="002155FB"/>
    <w:rsid w:val="002156B4"/>
    <w:rsid w:val="00215F01"/>
    <w:rsid w:val="00215F54"/>
    <w:rsid w:val="0021653D"/>
    <w:rsid w:val="002165A4"/>
    <w:rsid w:val="00216D8F"/>
    <w:rsid w:val="00217056"/>
    <w:rsid w:val="002170D0"/>
    <w:rsid w:val="002171E7"/>
    <w:rsid w:val="00220195"/>
    <w:rsid w:val="00220309"/>
    <w:rsid w:val="0022048D"/>
    <w:rsid w:val="00220867"/>
    <w:rsid w:val="00220DF2"/>
    <w:rsid w:val="00220E76"/>
    <w:rsid w:val="002213F5"/>
    <w:rsid w:val="002218EC"/>
    <w:rsid w:val="002224F0"/>
    <w:rsid w:val="00222581"/>
    <w:rsid w:val="002226B2"/>
    <w:rsid w:val="0022279A"/>
    <w:rsid w:val="00222A21"/>
    <w:rsid w:val="00222D13"/>
    <w:rsid w:val="00222E02"/>
    <w:rsid w:val="00223A59"/>
    <w:rsid w:val="00223A76"/>
    <w:rsid w:val="00223BCB"/>
    <w:rsid w:val="00224080"/>
    <w:rsid w:val="002241F3"/>
    <w:rsid w:val="00224B4D"/>
    <w:rsid w:val="00224CA5"/>
    <w:rsid w:val="00224DAA"/>
    <w:rsid w:val="00224F79"/>
    <w:rsid w:val="00225069"/>
    <w:rsid w:val="002252EE"/>
    <w:rsid w:val="002254AB"/>
    <w:rsid w:val="0022552A"/>
    <w:rsid w:val="0022571F"/>
    <w:rsid w:val="00225C09"/>
    <w:rsid w:val="00225C14"/>
    <w:rsid w:val="00225D81"/>
    <w:rsid w:val="00226014"/>
    <w:rsid w:val="002261E7"/>
    <w:rsid w:val="00226238"/>
    <w:rsid w:val="00226963"/>
    <w:rsid w:val="00226D0C"/>
    <w:rsid w:val="00226D56"/>
    <w:rsid w:val="00226E7A"/>
    <w:rsid w:val="00227383"/>
    <w:rsid w:val="002273B8"/>
    <w:rsid w:val="00227DB3"/>
    <w:rsid w:val="00227F9E"/>
    <w:rsid w:val="00230CAB"/>
    <w:rsid w:val="00230D2A"/>
    <w:rsid w:val="00231094"/>
    <w:rsid w:val="0023119B"/>
    <w:rsid w:val="002312E5"/>
    <w:rsid w:val="00231376"/>
    <w:rsid w:val="00231520"/>
    <w:rsid w:val="002315BD"/>
    <w:rsid w:val="0023179C"/>
    <w:rsid w:val="00231A55"/>
    <w:rsid w:val="00231A5F"/>
    <w:rsid w:val="00231AA3"/>
    <w:rsid w:val="00231F1A"/>
    <w:rsid w:val="0023214C"/>
    <w:rsid w:val="002323B9"/>
    <w:rsid w:val="00232430"/>
    <w:rsid w:val="00232535"/>
    <w:rsid w:val="0023277A"/>
    <w:rsid w:val="00232B7D"/>
    <w:rsid w:val="002333D7"/>
    <w:rsid w:val="00233717"/>
    <w:rsid w:val="00233A62"/>
    <w:rsid w:val="00233B21"/>
    <w:rsid w:val="00233E1E"/>
    <w:rsid w:val="00233EAB"/>
    <w:rsid w:val="00233EF0"/>
    <w:rsid w:val="00234098"/>
    <w:rsid w:val="00234493"/>
    <w:rsid w:val="0023467D"/>
    <w:rsid w:val="002346FE"/>
    <w:rsid w:val="002354E4"/>
    <w:rsid w:val="00235671"/>
    <w:rsid w:val="00235757"/>
    <w:rsid w:val="0023597C"/>
    <w:rsid w:val="002359AA"/>
    <w:rsid w:val="00235A7A"/>
    <w:rsid w:val="00235A8D"/>
    <w:rsid w:val="00235EC7"/>
    <w:rsid w:val="00235F4E"/>
    <w:rsid w:val="002361F9"/>
    <w:rsid w:val="00236289"/>
    <w:rsid w:val="00236B62"/>
    <w:rsid w:val="002371E3"/>
    <w:rsid w:val="0023750C"/>
    <w:rsid w:val="00237F42"/>
    <w:rsid w:val="0024037E"/>
    <w:rsid w:val="002403AC"/>
    <w:rsid w:val="0024049E"/>
    <w:rsid w:val="00240861"/>
    <w:rsid w:val="00240D71"/>
    <w:rsid w:val="002410B7"/>
    <w:rsid w:val="00241296"/>
    <w:rsid w:val="0024196C"/>
    <w:rsid w:val="00241A74"/>
    <w:rsid w:val="00242013"/>
    <w:rsid w:val="0024212E"/>
    <w:rsid w:val="00242277"/>
    <w:rsid w:val="002423E1"/>
    <w:rsid w:val="002431BF"/>
    <w:rsid w:val="00243652"/>
    <w:rsid w:val="002437B3"/>
    <w:rsid w:val="002437C9"/>
    <w:rsid w:val="002437F2"/>
    <w:rsid w:val="00244011"/>
    <w:rsid w:val="00244453"/>
    <w:rsid w:val="00244566"/>
    <w:rsid w:val="00244B8E"/>
    <w:rsid w:val="00244CE0"/>
    <w:rsid w:val="00245382"/>
    <w:rsid w:val="00245E76"/>
    <w:rsid w:val="00245EDE"/>
    <w:rsid w:val="0024603E"/>
    <w:rsid w:val="002460BE"/>
    <w:rsid w:val="0024613B"/>
    <w:rsid w:val="00246494"/>
    <w:rsid w:val="0024666B"/>
    <w:rsid w:val="00246ADE"/>
    <w:rsid w:val="00246BA4"/>
    <w:rsid w:val="002474ED"/>
    <w:rsid w:val="00247551"/>
    <w:rsid w:val="00247808"/>
    <w:rsid w:val="00247A4B"/>
    <w:rsid w:val="00247C6F"/>
    <w:rsid w:val="00250150"/>
    <w:rsid w:val="00250791"/>
    <w:rsid w:val="00250E91"/>
    <w:rsid w:val="00250FBF"/>
    <w:rsid w:val="0025143E"/>
    <w:rsid w:val="002518FE"/>
    <w:rsid w:val="002519A2"/>
    <w:rsid w:val="00251F69"/>
    <w:rsid w:val="00252301"/>
    <w:rsid w:val="002523A9"/>
    <w:rsid w:val="00252515"/>
    <w:rsid w:val="00252B89"/>
    <w:rsid w:val="0025319F"/>
    <w:rsid w:val="0025368D"/>
    <w:rsid w:val="00253CBF"/>
    <w:rsid w:val="00253CCE"/>
    <w:rsid w:val="00253D3F"/>
    <w:rsid w:val="002541A5"/>
    <w:rsid w:val="002543C4"/>
    <w:rsid w:val="00254931"/>
    <w:rsid w:val="00254A11"/>
    <w:rsid w:val="00254D5F"/>
    <w:rsid w:val="002551F5"/>
    <w:rsid w:val="00255435"/>
    <w:rsid w:val="0025565A"/>
    <w:rsid w:val="00255866"/>
    <w:rsid w:val="00256979"/>
    <w:rsid w:val="00256D16"/>
    <w:rsid w:val="002570BE"/>
    <w:rsid w:val="002571C7"/>
    <w:rsid w:val="0025767D"/>
    <w:rsid w:val="0025778B"/>
    <w:rsid w:val="0025788C"/>
    <w:rsid w:val="00257D51"/>
    <w:rsid w:val="00260010"/>
    <w:rsid w:val="002605C7"/>
    <w:rsid w:val="002610A9"/>
    <w:rsid w:val="002610E2"/>
    <w:rsid w:val="0026110E"/>
    <w:rsid w:val="00261E24"/>
    <w:rsid w:val="00261F5F"/>
    <w:rsid w:val="00262284"/>
    <w:rsid w:val="002622F1"/>
    <w:rsid w:val="00262306"/>
    <w:rsid w:val="002629BA"/>
    <w:rsid w:val="00262B3A"/>
    <w:rsid w:val="002631A8"/>
    <w:rsid w:val="002634B1"/>
    <w:rsid w:val="00263799"/>
    <w:rsid w:val="00263FDA"/>
    <w:rsid w:val="002643B7"/>
    <w:rsid w:val="002643F5"/>
    <w:rsid w:val="0026468F"/>
    <w:rsid w:val="0026479C"/>
    <w:rsid w:val="00264A3F"/>
    <w:rsid w:val="00264CDF"/>
    <w:rsid w:val="0026500E"/>
    <w:rsid w:val="0026503F"/>
    <w:rsid w:val="002652B5"/>
    <w:rsid w:val="00265541"/>
    <w:rsid w:val="0026569B"/>
    <w:rsid w:val="002658BB"/>
    <w:rsid w:val="00265A24"/>
    <w:rsid w:val="00266031"/>
    <w:rsid w:val="00266048"/>
    <w:rsid w:val="0026626E"/>
    <w:rsid w:val="00266477"/>
    <w:rsid w:val="0026651C"/>
    <w:rsid w:val="00266731"/>
    <w:rsid w:val="00266E6D"/>
    <w:rsid w:val="00267190"/>
    <w:rsid w:val="00267303"/>
    <w:rsid w:val="002676A7"/>
    <w:rsid w:val="002678D6"/>
    <w:rsid w:val="00267B0C"/>
    <w:rsid w:val="00267DF8"/>
    <w:rsid w:val="002702B0"/>
    <w:rsid w:val="002702E3"/>
    <w:rsid w:val="002705FF"/>
    <w:rsid w:val="00270ACF"/>
    <w:rsid w:val="00270DE4"/>
    <w:rsid w:val="00270FD2"/>
    <w:rsid w:val="002710D7"/>
    <w:rsid w:val="00271271"/>
    <w:rsid w:val="002713EF"/>
    <w:rsid w:val="00271821"/>
    <w:rsid w:val="00271D4C"/>
    <w:rsid w:val="00271D6C"/>
    <w:rsid w:val="00271DC7"/>
    <w:rsid w:val="0027269C"/>
    <w:rsid w:val="00272728"/>
    <w:rsid w:val="00272ACF"/>
    <w:rsid w:val="00272CD3"/>
    <w:rsid w:val="00272CD4"/>
    <w:rsid w:val="00272FBB"/>
    <w:rsid w:val="00273012"/>
    <w:rsid w:val="00273560"/>
    <w:rsid w:val="00273698"/>
    <w:rsid w:val="00273E45"/>
    <w:rsid w:val="0027425E"/>
    <w:rsid w:val="002748C9"/>
    <w:rsid w:val="00274B8D"/>
    <w:rsid w:val="0027526E"/>
    <w:rsid w:val="00275291"/>
    <w:rsid w:val="00275507"/>
    <w:rsid w:val="00275587"/>
    <w:rsid w:val="002756B8"/>
    <w:rsid w:val="002758BB"/>
    <w:rsid w:val="00275D24"/>
    <w:rsid w:val="00276195"/>
    <w:rsid w:val="0027636B"/>
    <w:rsid w:val="00276447"/>
    <w:rsid w:val="0027674C"/>
    <w:rsid w:val="00276968"/>
    <w:rsid w:val="00276C6B"/>
    <w:rsid w:val="0027735A"/>
    <w:rsid w:val="0027760F"/>
    <w:rsid w:val="002776A8"/>
    <w:rsid w:val="00277721"/>
    <w:rsid w:val="002801C2"/>
    <w:rsid w:val="00280A28"/>
    <w:rsid w:val="00280EAB"/>
    <w:rsid w:val="00281351"/>
    <w:rsid w:val="0028221F"/>
    <w:rsid w:val="00282463"/>
    <w:rsid w:val="002824D1"/>
    <w:rsid w:val="00282737"/>
    <w:rsid w:val="0028280B"/>
    <w:rsid w:val="002828D4"/>
    <w:rsid w:val="0028295A"/>
    <w:rsid w:val="00282AE0"/>
    <w:rsid w:val="002834C1"/>
    <w:rsid w:val="00283646"/>
    <w:rsid w:val="00283914"/>
    <w:rsid w:val="00283AFB"/>
    <w:rsid w:val="00283C8D"/>
    <w:rsid w:val="00283DD2"/>
    <w:rsid w:val="0028499F"/>
    <w:rsid w:val="00284A5D"/>
    <w:rsid w:val="00284AD4"/>
    <w:rsid w:val="00284F0B"/>
    <w:rsid w:val="00284F71"/>
    <w:rsid w:val="00284FED"/>
    <w:rsid w:val="00285316"/>
    <w:rsid w:val="002855E2"/>
    <w:rsid w:val="00285662"/>
    <w:rsid w:val="00285998"/>
    <w:rsid w:val="00285A81"/>
    <w:rsid w:val="00285D4E"/>
    <w:rsid w:val="00285EAF"/>
    <w:rsid w:val="00285FF8"/>
    <w:rsid w:val="00286148"/>
    <w:rsid w:val="002861C7"/>
    <w:rsid w:val="002863A1"/>
    <w:rsid w:val="00286512"/>
    <w:rsid w:val="0028669F"/>
    <w:rsid w:val="002868FF"/>
    <w:rsid w:val="00286925"/>
    <w:rsid w:val="0028708B"/>
    <w:rsid w:val="00287294"/>
    <w:rsid w:val="002876F6"/>
    <w:rsid w:val="00287821"/>
    <w:rsid w:val="002879D9"/>
    <w:rsid w:val="00287E4A"/>
    <w:rsid w:val="002902A6"/>
    <w:rsid w:val="002906B8"/>
    <w:rsid w:val="002906FA"/>
    <w:rsid w:val="00290812"/>
    <w:rsid w:val="00290E0F"/>
    <w:rsid w:val="002910D1"/>
    <w:rsid w:val="00291911"/>
    <w:rsid w:val="002919E3"/>
    <w:rsid w:val="00291EF2"/>
    <w:rsid w:val="002921CC"/>
    <w:rsid w:val="00292277"/>
    <w:rsid w:val="00292583"/>
    <w:rsid w:val="00292E19"/>
    <w:rsid w:val="00293161"/>
    <w:rsid w:val="0029326B"/>
    <w:rsid w:val="00293669"/>
    <w:rsid w:val="00293742"/>
    <w:rsid w:val="00293A87"/>
    <w:rsid w:val="002943FD"/>
    <w:rsid w:val="00294530"/>
    <w:rsid w:val="0029466E"/>
    <w:rsid w:val="00294844"/>
    <w:rsid w:val="00294B3E"/>
    <w:rsid w:val="00294C7F"/>
    <w:rsid w:val="002950D2"/>
    <w:rsid w:val="0029527C"/>
    <w:rsid w:val="00295496"/>
    <w:rsid w:val="00295511"/>
    <w:rsid w:val="00295875"/>
    <w:rsid w:val="00295DBA"/>
    <w:rsid w:val="00296172"/>
    <w:rsid w:val="002969BE"/>
    <w:rsid w:val="00296C11"/>
    <w:rsid w:val="00296DDB"/>
    <w:rsid w:val="00296FA7"/>
    <w:rsid w:val="002971FB"/>
    <w:rsid w:val="00297491"/>
    <w:rsid w:val="002974E1"/>
    <w:rsid w:val="0029782E"/>
    <w:rsid w:val="0029788B"/>
    <w:rsid w:val="00297B12"/>
    <w:rsid w:val="00297CD6"/>
    <w:rsid w:val="002A0078"/>
    <w:rsid w:val="002A0336"/>
    <w:rsid w:val="002A09D6"/>
    <w:rsid w:val="002A0C8D"/>
    <w:rsid w:val="002A0D0F"/>
    <w:rsid w:val="002A0D1B"/>
    <w:rsid w:val="002A0D70"/>
    <w:rsid w:val="002A0E33"/>
    <w:rsid w:val="002A0F48"/>
    <w:rsid w:val="002A128A"/>
    <w:rsid w:val="002A13E2"/>
    <w:rsid w:val="002A14D8"/>
    <w:rsid w:val="002A15B3"/>
    <w:rsid w:val="002A1604"/>
    <w:rsid w:val="002A1C76"/>
    <w:rsid w:val="002A2189"/>
    <w:rsid w:val="002A22F1"/>
    <w:rsid w:val="002A273F"/>
    <w:rsid w:val="002A277A"/>
    <w:rsid w:val="002A27E0"/>
    <w:rsid w:val="002A2B2D"/>
    <w:rsid w:val="002A2D55"/>
    <w:rsid w:val="002A2DFF"/>
    <w:rsid w:val="002A32D9"/>
    <w:rsid w:val="002A355B"/>
    <w:rsid w:val="002A3E5A"/>
    <w:rsid w:val="002A3FAE"/>
    <w:rsid w:val="002A426E"/>
    <w:rsid w:val="002A43DB"/>
    <w:rsid w:val="002A5079"/>
    <w:rsid w:val="002A5193"/>
    <w:rsid w:val="002A5C63"/>
    <w:rsid w:val="002A5E3D"/>
    <w:rsid w:val="002A6377"/>
    <w:rsid w:val="002A638B"/>
    <w:rsid w:val="002A65C3"/>
    <w:rsid w:val="002A6706"/>
    <w:rsid w:val="002A6BCA"/>
    <w:rsid w:val="002A6BE1"/>
    <w:rsid w:val="002A6DFC"/>
    <w:rsid w:val="002A6E88"/>
    <w:rsid w:val="002A7024"/>
    <w:rsid w:val="002A731E"/>
    <w:rsid w:val="002A762D"/>
    <w:rsid w:val="002A7A3C"/>
    <w:rsid w:val="002A7BAE"/>
    <w:rsid w:val="002B0196"/>
    <w:rsid w:val="002B01A6"/>
    <w:rsid w:val="002B08FF"/>
    <w:rsid w:val="002B0EE8"/>
    <w:rsid w:val="002B10D0"/>
    <w:rsid w:val="002B1125"/>
    <w:rsid w:val="002B14BB"/>
    <w:rsid w:val="002B15AB"/>
    <w:rsid w:val="002B16A7"/>
    <w:rsid w:val="002B1EE1"/>
    <w:rsid w:val="002B2721"/>
    <w:rsid w:val="002B29FC"/>
    <w:rsid w:val="002B35D5"/>
    <w:rsid w:val="002B38A5"/>
    <w:rsid w:val="002B3A20"/>
    <w:rsid w:val="002B3E85"/>
    <w:rsid w:val="002B3FEA"/>
    <w:rsid w:val="002B400D"/>
    <w:rsid w:val="002B40D8"/>
    <w:rsid w:val="002B417E"/>
    <w:rsid w:val="002B4326"/>
    <w:rsid w:val="002B49BD"/>
    <w:rsid w:val="002B4AE4"/>
    <w:rsid w:val="002B4E14"/>
    <w:rsid w:val="002B529E"/>
    <w:rsid w:val="002B5422"/>
    <w:rsid w:val="002B55EE"/>
    <w:rsid w:val="002B67F9"/>
    <w:rsid w:val="002B6838"/>
    <w:rsid w:val="002B6A1F"/>
    <w:rsid w:val="002B6ADD"/>
    <w:rsid w:val="002B7297"/>
    <w:rsid w:val="002B7577"/>
    <w:rsid w:val="002B7648"/>
    <w:rsid w:val="002B781C"/>
    <w:rsid w:val="002B7D62"/>
    <w:rsid w:val="002C00BA"/>
    <w:rsid w:val="002C05D4"/>
    <w:rsid w:val="002C05E7"/>
    <w:rsid w:val="002C07B6"/>
    <w:rsid w:val="002C0AD9"/>
    <w:rsid w:val="002C10D7"/>
    <w:rsid w:val="002C156B"/>
    <w:rsid w:val="002C1593"/>
    <w:rsid w:val="002C1CFB"/>
    <w:rsid w:val="002C1DD3"/>
    <w:rsid w:val="002C28E2"/>
    <w:rsid w:val="002C2BCC"/>
    <w:rsid w:val="002C2DD9"/>
    <w:rsid w:val="002C2E4D"/>
    <w:rsid w:val="002C2E68"/>
    <w:rsid w:val="002C30FA"/>
    <w:rsid w:val="002C3338"/>
    <w:rsid w:val="002C33FC"/>
    <w:rsid w:val="002C3456"/>
    <w:rsid w:val="002C37CC"/>
    <w:rsid w:val="002C38CD"/>
    <w:rsid w:val="002C3BC3"/>
    <w:rsid w:val="002C3C3A"/>
    <w:rsid w:val="002C3CDC"/>
    <w:rsid w:val="002C3DBA"/>
    <w:rsid w:val="002C3F7E"/>
    <w:rsid w:val="002C42B4"/>
    <w:rsid w:val="002C4363"/>
    <w:rsid w:val="002C48DD"/>
    <w:rsid w:val="002C504A"/>
    <w:rsid w:val="002C5B32"/>
    <w:rsid w:val="002C5E0C"/>
    <w:rsid w:val="002C5F50"/>
    <w:rsid w:val="002C6537"/>
    <w:rsid w:val="002C6601"/>
    <w:rsid w:val="002C69A7"/>
    <w:rsid w:val="002C6A87"/>
    <w:rsid w:val="002C6E3B"/>
    <w:rsid w:val="002C6EBB"/>
    <w:rsid w:val="002C71CC"/>
    <w:rsid w:val="002C73E6"/>
    <w:rsid w:val="002C7950"/>
    <w:rsid w:val="002C79F4"/>
    <w:rsid w:val="002C7A7C"/>
    <w:rsid w:val="002C7B98"/>
    <w:rsid w:val="002C7C9A"/>
    <w:rsid w:val="002C7E8F"/>
    <w:rsid w:val="002C7F36"/>
    <w:rsid w:val="002D01A9"/>
    <w:rsid w:val="002D0222"/>
    <w:rsid w:val="002D02A1"/>
    <w:rsid w:val="002D05AA"/>
    <w:rsid w:val="002D07F3"/>
    <w:rsid w:val="002D0A14"/>
    <w:rsid w:val="002D1B76"/>
    <w:rsid w:val="002D21D4"/>
    <w:rsid w:val="002D234F"/>
    <w:rsid w:val="002D2434"/>
    <w:rsid w:val="002D24ED"/>
    <w:rsid w:val="002D27E0"/>
    <w:rsid w:val="002D2887"/>
    <w:rsid w:val="002D2FC1"/>
    <w:rsid w:val="002D315E"/>
    <w:rsid w:val="002D3477"/>
    <w:rsid w:val="002D3C3B"/>
    <w:rsid w:val="002D3CE1"/>
    <w:rsid w:val="002D3D09"/>
    <w:rsid w:val="002D43CE"/>
    <w:rsid w:val="002D44A4"/>
    <w:rsid w:val="002D4859"/>
    <w:rsid w:val="002D497D"/>
    <w:rsid w:val="002D51C3"/>
    <w:rsid w:val="002D5300"/>
    <w:rsid w:val="002D5333"/>
    <w:rsid w:val="002D57A1"/>
    <w:rsid w:val="002D5886"/>
    <w:rsid w:val="002D5B1D"/>
    <w:rsid w:val="002D5BAF"/>
    <w:rsid w:val="002D5FDC"/>
    <w:rsid w:val="002D6352"/>
    <w:rsid w:val="002D6B6A"/>
    <w:rsid w:val="002D6C2E"/>
    <w:rsid w:val="002D7240"/>
    <w:rsid w:val="002D7556"/>
    <w:rsid w:val="002D764A"/>
    <w:rsid w:val="002D779E"/>
    <w:rsid w:val="002E0403"/>
    <w:rsid w:val="002E04EA"/>
    <w:rsid w:val="002E0532"/>
    <w:rsid w:val="002E0D1C"/>
    <w:rsid w:val="002E0F0E"/>
    <w:rsid w:val="002E0F85"/>
    <w:rsid w:val="002E1217"/>
    <w:rsid w:val="002E13C5"/>
    <w:rsid w:val="002E1B38"/>
    <w:rsid w:val="002E1C03"/>
    <w:rsid w:val="002E1E65"/>
    <w:rsid w:val="002E1F58"/>
    <w:rsid w:val="002E23AA"/>
    <w:rsid w:val="002E245C"/>
    <w:rsid w:val="002E280A"/>
    <w:rsid w:val="002E2AC3"/>
    <w:rsid w:val="002E2B0F"/>
    <w:rsid w:val="002E3383"/>
    <w:rsid w:val="002E38FD"/>
    <w:rsid w:val="002E3AD8"/>
    <w:rsid w:val="002E3AE7"/>
    <w:rsid w:val="002E417C"/>
    <w:rsid w:val="002E4241"/>
    <w:rsid w:val="002E4BAF"/>
    <w:rsid w:val="002E4BDF"/>
    <w:rsid w:val="002E4D69"/>
    <w:rsid w:val="002E4D97"/>
    <w:rsid w:val="002E4DAF"/>
    <w:rsid w:val="002E5262"/>
    <w:rsid w:val="002E54C9"/>
    <w:rsid w:val="002E59B0"/>
    <w:rsid w:val="002E5AB4"/>
    <w:rsid w:val="002E5E30"/>
    <w:rsid w:val="002E6055"/>
    <w:rsid w:val="002E63E1"/>
    <w:rsid w:val="002E651E"/>
    <w:rsid w:val="002E6673"/>
    <w:rsid w:val="002E6733"/>
    <w:rsid w:val="002E67D1"/>
    <w:rsid w:val="002E7154"/>
    <w:rsid w:val="002E73F8"/>
    <w:rsid w:val="002E7451"/>
    <w:rsid w:val="002E7467"/>
    <w:rsid w:val="002E787C"/>
    <w:rsid w:val="002E7A86"/>
    <w:rsid w:val="002E7B0C"/>
    <w:rsid w:val="002E7D9B"/>
    <w:rsid w:val="002F000C"/>
    <w:rsid w:val="002F0200"/>
    <w:rsid w:val="002F03C0"/>
    <w:rsid w:val="002F0447"/>
    <w:rsid w:val="002F050D"/>
    <w:rsid w:val="002F0918"/>
    <w:rsid w:val="002F0BA7"/>
    <w:rsid w:val="002F0D58"/>
    <w:rsid w:val="002F0F80"/>
    <w:rsid w:val="002F1004"/>
    <w:rsid w:val="002F107E"/>
    <w:rsid w:val="002F1373"/>
    <w:rsid w:val="002F13DB"/>
    <w:rsid w:val="002F178F"/>
    <w:rsid w:val="002F1BC5"/>
    <w:rsid w:val="002F320E"/>
    <w:rsid w:val="002F338A"/>
    <w:rsid w:val="002F3556"/>
    <w:rsid w:val="002F397C"/>
    <w:rsid w:val="002F39F5"/>
    <w:rsid w:val="002F3DA0"/>
    <w:rsid w:val="002F3DCE"/>
    <w:rsid w:val="002F3F5E"/>
    <w:rsid w:val="002F4253"/>
    <w:rsid w:val="002F4279"/>
    <w:rsid w:val="002F4637"/>
    <w:rsid w:val="002F465F"/>
    <w:rsid w:val="002F4C1C"/>
    <w:rsid w:val="002F4FA0"/>
    <w:rsid w:val="002F4FD4"/>
    <w:rsid w:val="002F5000"/>
    <w:rsid w:val="002F52F0"/>
    <w:rsid w:val="002F5AB8"/>
    <w:rsid w:val="002F5FB9"/>
    <w:rsid w:val="002F60DC"/>
    <w:rsid w:val="002F639A"/>
    <w:rsid w:val="002F64E0"/>
    <w:rsid w:val="002F6D87"/>
    <w:rsid w:val="002F6EEB"/>
    <w:rsid w:val="002F7428"/>
    <w:rsid w:val="002F76A6"/>
    <w:rsid w:val="002F77DA"/>
    <w:rsid w:val="002F785F"/>
    <w:rsid w:val="002F7941"/>
    <w:rsid w:val="003000D7"/>
    <w:rsid w:val="00300191"/>
    <w:rsid w:val="003004F2"/>
    <w:rsid w:val="00300990"/>
    <w:rsid w:val="003010C1"/>
    <w:rsid w:val="0030111C"/>
    <w:rsid w:val="00301324"/>
    <w:rsid w:val="0030137A"/>
    <w:rsid w:val="0030190A"/>
    <w:rsid w:val="00301DE8"/>
    <w:rsid w:val="0030218D"/>
    <w:rsid w:val="003024FD"/>
    <w:rsid w:val="003025B8"/>
    <w:rsid w:val="00302603"/>
    <w:rsid w:val="003028B5"/>
    <w:rsid w:val="003029C5"/>
    <w:rsid w:val="00302CE6"/>
    <w:rsid w:val="00302E08"/>
    <w:rsid w:val="0030311B"/>
    <w:rsid w:val="0030332F"/>
    <w:rsid w:val="00303401"/>
    <w:rsid w:val="003035AC"/>
    <w:rsid w:val="003035AD"/>
    <w:rsid w:val="00303A4E"/>
    <w:rsid w:val="00303AC7"/>
    <w:rsid w:val="00303D25"/>
    <w:rsid w:val="00303DCD"/>
    <w:rsid w:val="00303F5E"/>
    <w:rsid w:val="00303F7E"/>
    <w:rsid w:val="00303F9A"/>
    <w:rsid w:val="0030450D"/>
    <w:rsid w:val="00304521"/>
    <w:rsid w:val="0030454C"/>
    <w:rsid w:val="00304754"/>
    <w:rsid w:val="00304FB7"/>
    <w:rsid w:val="00305408"/>
    <w:rsid w:val="00305430"/>
    <w:rsid w:val="00305488"/>
    <w:rsid w:val="003056CE"/>
    <w:rsid w:val="0030585B"/>
    <w:rsid w:val="00305904"/>
    <w:rsid w:val="00305A34"/>
    <w:rsid w:val="00305C1C"/>
    <w:rsid w:val="00305D02"/>
    <w:rsid w:val="00305EC2"/>
    <w:rsid w:val="003062AF"/>
    <w:rsid w:val="003067B1"/>
    <w:rsid w:val="0030686C"/>
    <w:rsid w:val="00306968"/>
    <w:rsid w:val="0030705D"/>
    <w:rsid w:val="00307251"/>
    <w:rsid w:val="0030741A"/>
    <w:rsid w:val="00307C97"/>
    <w:rsid w:val="00307E0A"/>
    <w:rsid w:val="0031000C"/>
    <w:rsid w:val="003107A9"/>
    <w:rsid w:val="0031080E"/>
    <w:rsid w:val="0031177D"/>
    <w:rsid w:val="00311B43"/>
    <w:rsid w:val="00312586"/>
    <w:rsid w:val="00312AA6"/>
    <w:rsid w:val="00312AB3"/>
    <w:rsid w:val="00312F83"/>
    <w:rsid w:val="0031306B"/>
    <w:rsid w:val="00314272"/>
    <w:rsid w:val="003144A8"/>
    <w:rsid w:val="003148F2"/>
    <w:rsid w:val="00314B37"/>
    <w:rsid w:val="00314CAC"/>
    <w:rsid w:val="00314CFE"/>
    <w:rsid w:val="003150A0"/>
    <w:rsid w:val="00315124"/>
    <w:rsid w:val="00315891"/>
    <w:rsid w:val="00315C68"/>
    <w:rsid w:val="00315F23"/>
    <w:rsid w:val="00315FF7"/>
    <w:rsid w:val="003164B8"/>
    <w:rsid w:val="003168B3"/>
    <w:rsid w:val="00316A2A"/>
    <w:rsid w:val="00316AFA"/>
    <w:rsid w:val="00316B36"/>
    <w:rsid w:val="00316D1A"/>
    <w:rsid w:val="00316F81"/>
    <w:rsid w:val="00317345"/>
    <w:rsid w:val="00317575"/>
    <w:rsid w:val="00317689"/>
    <w:rsid w:val="003178F1"/>
    <w:rsid w:val="003179E6"/>
    <w:rsid w:val="00317E83"/>
    <w:rsid w:val="003204A9"/>
    <w:rsid w:val="0032050E"/>
    <w:rsid w:val="003206CB"/>
    <w:rsid w:val="003209CE"/>
    <w:rsid w:val="00321183"/>
    <w:rsid w:val="003212A6"/>
    <w:rsid w:val="003212BC"/>
    <w:rsid w:val="00321545"/>
    <w:rsid w:val="00321865"/>
    <w:rsid w:val="00321A7A"/>
    <w:rsid w:val="00321B56"/>
    <w:rsid w:val="00321E9A"/>
    <w:rsid w:val="00322274"/>
    <w:rsid w:val="00322733"/>
    <w:rsid w:val="003228DC"/>
    <w:rsid w:val="00322FD6"/>
    <w:rsid w:val="00323277"/>
    <w:rsid w:val="0032350F"/>
    <w:rsid w:val="00323DC0"/>
    <w:rsid w:val="00323E91"/>
    <w:rsid w:val="00325B02"/>
    <w:rsid w:val="00325B97"/>
    <w:rsid w:val="00326C98"/>
    <w:rsid w:val="00326F86"/>
    <w:rsid w:val="0032746B"/>
    <w:rsid w:val="00327780"/>
    <w:rsid w:val="00327CFF"/>
    <w:rsid w:val="00327EC5"/>
    <w:rsid w:val="0033008D"/>
    <w:rsid w:val="003303DA"/>
    <w:rsid w:val="0033052F"/>
    <w:rsid w:val="00330717"/>
    <w:rsid w:val="00330A2C"/>
    <w:rsid w:val="00330AA0"/>
    <w:rsid w:val="00330CC7"/>
    <w:rsid w:val="00331121"/>
    <w:rsid w:val="00331264"/>
    <w:rsid w:val="003312D4"/>
    <w:rsid w:val="003313C6"/>
    <w:rsid w:val="00331479"/>
    <w:rsid w:val="003315EF"/>
    <w:rsid w:val="00331B34"/>
    <w:rsid w:val="00331E3E"/>
    <w:rsid w:val="00332381"/>
    <w:rsid w:val="00332C4D"/>
    <w:rsid w:val="00332D02"/>
    <w:rsid w:val="00332E34"/>
    <w:rsid w:val="00332EC0"/>
    <w:rsid w:val="00333891"/>
    <w:rsid w:val="00333F4F"/>
    <w:rsid w:val="0033431D"/>
    <w:rsid w:val="003344D6"/>
    <w:rsid w:val="00334562"/>
    <w:rsid w:val="0033528F"/>
    <w:rsid w:val="00335769"/>
    <w:rsid w:val="00336206"/>
    <w:rsid w:val="003363B4"/>
    <w:rsid w:val="003363DB"/>
    <w:rsid w:val="00336C8C"/>
    <w:rsid w:val="00336E27"/>
    <w:rsid w:val="0033708B"/>
    <w:rsid w:val="003370F1"/>
    <w:rsid w:val="00337170"/>
    <w:rsid w:val="00337324"/>
    <w:rsid w:val="0033757B"/>
    <w:rsid w:val="00337E24"/>
    <w:rsid w:val="0034084E"/>
    <w:rsid w:val="00340890"/>
    <w:rsid w:val="00340F2E"/>
    <w:rsid w:val="00341595"/>
    <w:rsid w:val="00341614"/>
    <w:rsid w:val="003418E9"/>
    <w:rsid w:val="0034193C"/>
    <w:rsid w:val="00341C13"/>
    <w:rsid w:val="003421BF"/>
    <w:rsid w:val="00342332"/>
    <w:rsid w:val="00342A5A"/>
    <w:rsid w:val="00343093"/>
    <w:rsid w:val="003433A9"/>
    <w:rsid w:val="003437A0"/>
    <w:rsid w:val="003438BF"/>
    <w:rsid w:val="00343B13"/>
    <w:rsid w:val="00343D5C"/>
    <w:rsid w:val="00343F15"/>
    <w:rsid w:val="0034445A"/>
    <w:rsid w:val="0034466F"/>
    <w:rsid w:val="00344756"/>
    <w:rsid w:val="00344C21"/>
    <w:rsid w:val="00344C25"/>
    <w:rsid w:val="00344FDA"/>
    <w:rsid w:val="00345176"/>
    <w:rsid w:val="00345411"/>
    <w:rsid w:val="00345851"/>
    <w:rsid w:val="00345AEB"/>
    <w:rsid w:val="00345D8A"/>
    <w:rsid w:val="0034615F"/>
    <w:rsid w:val="0034624A"/>
    <w:rsid w:val="003469D5"/>
    <w:rsid w:val="00347385"/>
    <w:rsid w:val="00347C5C"/>
    <w:rsid w:val="003500BF"/>
    <w:rsid w:val="0035019E"/>
    <w:rsid w:val="003502D1"/>
    <w:rsid w:val="0035061F"/>
    <w:rsid w:val="00350D30"/>
    <w:rsid w:val="00350DEA"/>
    <w:rsid w:val="0035131F"/>
    <w:rsid w:val="00351A74"/>
    <w:rsid w:val="00351D7C"/>
    <w:rsid w:val="00351D8B"/>
    <w:rsid w:val="003523F6"/>
    <w:rsid w:val="003525EE"/>
    <w:rsid w:val="003526B0"/>
    <w:rsid w:val="00352AB7"/>
    <w:rsid w:val="00352E48"/>
    <w:rsid w:val="0035309D"/>
    <w:rsid w:val="00353150"/>
    <w:rsid w:val="003532BE"/>
    <w:rsid w:val="00353386"/>
    <w:rsid w:val="00353AB9"/>
    <w:rsid w:val="00353F14"/>
    <w:rsid w:val="00354241"/>
    <w:rsid w:val="0035435F"/>
    <w:rsid w:val="003547FB"/>
    <w:rsid w:val="00355017"/>
    <w:rsid w:val="0035557E"/>
    <w:rsid w:val="00355AC8"/>
    <w:rsid w:val="00355F5E"/>
    <w:rsid w:val="003565C0"/>
    <w:rsid w:val="003566D8"/>
    <w:rsid w:val="00356C2B"/>
    <w:rsid w:val="00356DDF"/>
    <w:rsid w:val="00356F9D"/>
    <w:rsid w:val="003570DC"/>
    <w:rsid w:val="003572EA"/>
    <w:rsid w:val="0035733C"/>
    <w:rsid w:val="003576B5"/>
    <w:rsid w:val="00357706"/>
    <w:rsid w:val="00357A19"/>
    <w:rsid w:val="003600AC"/>
    <w:rsid w:val="003602F9"/>
    <w:rsid w:val="00360657"/>
    <w:rsid w:val="00360BEA"/>
    <w:rsid w:val="00360C9D"/>
    <w:rsid w:val="00360D61"/>
    <w:rsid w:val="00360D67"/>
    <w:rsid w:val="0036102B"/>
    <w:rsid w:val="003610B4"/>
    <w:rsid w:val="0036113E"/>
    <w:rsid w:val="003613D4"/>
    <w:rsid w:val="00361A6D"/>
    <w:rsid w:val="00361AE7"/>
    <w:rsid w:val="00361B5F"/>
    <w:rsid w:val="00361F90"/>
    <w:rsid w:val="00362271"/>
    <w:rsid w:val="003622B9"/>
    <w:rsid w:val="003625B0"/>
    <w:rsid w:val="00362AB5"/>
    <w:rsid w:val="00362B42"/>
    <w:rsid w:val="00362E9F"/>
    <w:rsid w:val="00363213"/>
    <w:rsid w:val="0036327D"/>
    <w:rsid w:val="00363400"/>
    <w:rsid w:val="003636AD"/>
    <w:rsid w:val="00363727"/>
    <w:rsid w:val="00363924"/>
    <w:rsid w:val="00363BA7"/>
    <w:rsid w:val="00363FC9"/>
    <w:rsid w:val="003643C5"/>
    <w:rsid w:val="003647D8"/>
    <w:rsid w:val="003647E5"/>
    <w:rsid w:val="00364CBE"/>
    <w:rsid w:val="00364E81"/>
    <w:rsid w:val="00365256"/>
    <w:rsid w:val="00365561"/>
    <w:rsid w:val="003659CA"/>
    <w:rsid w:val="003659F9"/>
    <w:rsid w:val="00365A8A"/>
    <w:rsid w:val="00366316"/>
    <w:rsid w:val="003664DE"/>
    <w:rsid w:val="003665BB"/>
    <w:rsid w:val="0036697B"/>
    <w:rsid w:val="00367330"/>
    <w:rsid w:val="00367616"/>
    <w:rsid w:val="00367898"/>
    <w:rsid w:val="00367D09"/>
    <w:rsid w:val="00367E9D"/>
    <w:rsid w:val="00367F42"/>
    <w:rsid w:val="0037030F"/>
    <w:rsid w:val="00370496"/>
    <w:rsid w:val="00370C20"/>
    <w:rsid w:val="00370F2A"/>
    <w:rsid w:val="00371125"/>
    <w:rsid w:val="00371497"/>
    <w:rsid w:val="003716B3"/>
    <w:rsid w:val="003716DA"/>
    <w:rsid w:val="00371A69"/>
    <w:rsid w:val="00371AE7"/>
    <w:rsid w:val="00371C4B"/>
    <w:rsid w:val="00371DBE"/>
    <w:rsid w:val="0037200B"/>
    <w:rsid w:val="003721E2"/>
    <w:rsid w:val="0037249E"/>
    <w:rsid w:val="00372523"/>
    <w:rsid w:val="00372A19"/>
    <w:rsid w:val="00372A62"/>
    <w:rsid w:val="00372ED7"/>
    <w:rsid w:val="0037355E"/>
    <w:rsid w:val="00373740"/>
    <w:rsid w:val="003737D0"/>
    <w:rsid w:val="0037394A"/>
    <w:rsid w:val="003743CB"/>
    <w:rsid w:val="00374B8D"/>
    <w:rsid w:val="00374C28"/>
    <w:rsid w:val="00374F3F"/>
    <w:rsid w:val="00375123"/>
    <w:rsid w:val="00375EFB"/>
    <w:rsid w:val="0037623C"/>
    <w:rsid w:val="0037641A"/>
    <w:rsid w:val="003767EA"/>
    <w:rsid w:val="003768F5"/>
    <w:rsid w:val="00376D61"/>
    <w:rsid w:val="00376F1E"/>
    <w:rsid w:val="003773ED"/>
    <w:rsid w:val="0038021B"/>
    <w:rsid w:val="003802C3"/>
    <w:rsid w:val="00380C72"/>
    <w:rsid w:val="00380E18"/>
    <w:rsid w:val="003813E2"/>
    <w:rsid w:val="00381436"/>
    <w:rsid w:val="003815E8"/>
    <w:rsid w:val="0038215C"/>
    <w:rsid w:val="00382405"/>
    <w:rsid w:val="0038268F"/>
    <w:rsid w:val="00382B46"/>
    <w:rsid w:val="00382BB4"/>
    <w:rsid w:val="00382F49"/>
    <w:rsid w:val="0038336B"/>
    <w:rsid w:val="0038350F"/>
    <w:rsid w:val="0038369C"/>
    <w:rsid w:val="00383DA4"/>
    <w:rsid w:val="00383E4A"/>
    <w:rsid w:val="0038401C"/>
    <w:rsid w:val="00384085"/>
    <w:rsid w:val="003845A3"/>
    <w:rsid w:val="00384867"/>
    <w:rsid w:val="00384EC7"/>
    <w:rsid w:val="00385693"/>
    <w:rsid w:val="0038592A"/>
    <w:rsid w:val="00385A0F"/>
    <w:rsid w:val="00385F74"/>
    <w:rsid w:val="00386208"/>
    <w:rsid w:val="00386267"/>
    <w:rsid w:val="003865E0"/>
    <w:rsid w:val="003866E2"/>
    <w:rsid w:val="00386D92"/>
    <w:rsid w:val="0038732B"/>
    <w:rsid w:val="0038746C"/>
    <w:rsid w:val="003874B3"/>
    <w:rsid w:val="00387543"/>
    <w:rsid w:val="003875BC"/>
    <w:rsid w:val="00387753"/>
    <w:rsid w:val="0038787A"/>
    <w:rsid w:val="003878CF"/>
    <w:rsid w:val="00387B0A"/>
    <w:rsid w:val="00387C4E"/>
    <w:rsid w:val="0039044B"/>
    <w:rsid w:val="00390D04"/>
    <w:rsid w:val="00390E8C"/>
    <w:rsid w:val="00391497"/>
    <w:rsid w:val="0039150A"/>
    <w:rsid w:val="0039153C"/>
    <w:rsid w:val="003917ED"/>
    <w:rsid w:val="00391984"/>
    <w:rsid w:val="00391C6A"/>
    <w:rsid w:val="00392114"/>
    <w:rsid w:val="00392524"/>
    <w:rsid w:val="00392658"/>
    <w:rsid w:val="00392731"/>
    <w:rsid w:val="003928DD"/>
    <w:rsid w:val="00392921"/>
    <w:rsid w:val="0039294D"/>
    <w:rsid w:val="00392CCF"/>
    <w:rsid w:val="003930FB"/>
    <w:rsid w:val="00393131"/>
    <w:rsid w:val="00394A72"/>
    <w:rsid w:val="00394A89"/>
    <w:rsid w:val="00394DD0"/>
    <w:rsid w:val="00394F43"/>
    <w:rsid w:val="0039521D"/>
    <w:rsid w:val="003957C4"/>
    <w:rsid w:val="00395CC2"/>
    <w:rsid w:val="00395F1D"/>
    <w:rsid w:val="00396907"/>
    <w:rsid w:val="00396975"/>
    <w:rsid w:val="0039699E"/>
    <w:rsid w:val="00396C45"/>
    <w:rsid w:val="00396E54"/>
    <w:rsid w:val="00396E58"/>
    <w:rsid w:val="0039790E"/>
    <w:rsid w:val="00397E67"/>
    <w:rsid w:val="00397EE5"/>
    <w:rsid w:val="003A01BA"/>
    <w:rsid w:val="003A0428"/>
    <w:rsid w:val="003A066B"/>
    <w:rsid w:val="003A09AF"/>
    <w:rsid w:val="003A0E45"/>
    <w:rsid w:val="003A147A"/>
    <w:rsid w:val="003A1855"/>
    <w:rsid w:val="003A1BCF"/>
    <w:rsid w:val="003A22D7"/>
    <w:rsid w:val="003A2C40"/>
    <w:rsid w:val="003A2E2A"/>
    <w:rsid w:val="003A2F58"/>
    <w:rsid w:val="003A3B19"/>
    <w:rsid w:val="003A3DB6"/>
    <w:rsid w:val="003A4341"/>
    <w:rsid w:val="003A4870"/>
    <w:rsid w:val="003A4974"/>
    <w:rsid w:val="003A4ADC"/>
    <w:rsid w:val="003A4E81"/>
    <w:rsid w:val="003A4EFB"/>
    <w:rsid w:val="003A5005"/>
    <w:rsid w:val="003A52B9"/>
    <w:rsid w:val="003A5355"/>
    <w:rsid w:val="003A53D9"/>
    <w:rsid w:val="003A5718"/>
    <w:rsid w:val="003A57AE"/>
    <w:rsid w:val="003A5CAB"/>
    <w:rsid w:val="003A5E07"/>
    <w:rsid w:val="003A5F0D"/>
    <w:rsid w:val="003A64AC"/>
    <w:rsid w:val="003A69CF"/>
    <w:rsid w:val="003A6A9B"/>
    <w:rsid w:val="003A6F72"/>
    <w:rsid w:val="003A71B7"/>
    <w:rsid w:val="003A79D2"/>
    <w:rsid w:val="003A7B09"/>
    <w:rsid w:val="003B03AF"/>
    <w:rsid w:val="003B081F"/>
    <w:rsid w:val="003B08B5"/>
    <w:rsid w:val="003B0A09"/>
    <w:rsid w:val="003B0D1F"/>
    <w:rsid w:val="003B0D2F"/>
    <w:rsid w:val="003B0FEC"/>
    <w:rsid w:val="003B10A2"/>
    <w:rsid w:val="003B120C"/>
    <w:rsid w:val="003B1229"/>
    <w:rsid w:val="003B1410"/>
    <w:rsid w:val="003B23D3"/>
    <w:rsid w:val="003B2822"/>
    <w:rsid w:val="003B2E2A"/>
    <w:rsid w:val="003B3036"/>
    <w:rsid w:val="003B34CF"/>
    <w:rsid w:val="003B38FA"/>
    <w:rsid w:val="003B457C"/>
    <w:rsid w:val="003B46E1"/>
    <w:rsid w:val="003B4A8C"/>
    <w:rsid w:val="003B4B25"/>
    <w:rsid w:val="003B4B51"/>
    <w:rsid w:val="003B4C1C"/>
    <w:rsid w:val="003B4FA9"/>
    <w:rsid w:val="003B557F"/>
    <w:rsid w:val="003B5866"/>
    <w:rsid w:val="003B5953"/>
    <w:rsid w:val="003B5FB5"/>
    <w:rsid w:val="003B5FFD"/>
    <w:rsid w:val="003B649F"/>
    <w:rsid w:val="003B6761"/>
    <w:rsid w:val="003B6C6E"/>
    <w:rsid w:val="003B6D59"/>
    <w:rsid w:val="003B6E5E"/>
    <w:rsid w:val="003B6FC4"/>
    <w:rsid w:val="003B79D0"/>
    <w:rsid w:val="003B7BB8"/>
    <w:rsid w:val="003C05D5"/>
    <w:rsid w:val="003C078D"/>
    <w:rsid w:val="003C0F10"/>
    <w:rsid w:val="003C107B"/>
    <w:rsid w:val="003C1329"/>
    <w:rsid w:val="003C1CFC"/>
    <w:rsid w:val="003C1F34"/>
    <w:rsid w:val="003C2207"/>
    <w:rsid w:val="003C2265"/>
    <w:rsid w:val="003C2AE3"/>
    <w:rsid w:val="003C2E00"/>
    <w:rsid w:val="003C2F6F"/>
    <w:rsid w:val="003C2F79"/>
    <w:rsid w:val="003C31CE"/>
    <w:rsid w:val="003C31FB"/>
    <w:rsid w:val="003C3209"/>
    <w:rsid w:val="003C333D"/>
    <w:rsid w:val="003C37E5"/>
    <w:rsid w:val="003C3B20"/>
    <w:rsid w:val="003C3D92"/>
    <w:rsid w:val="003C4148"/>
    <w:rsid w:val="003C4343"/>
    <w:rsid w:val="003C43B5"/>
    <w:rsid w:val="003C44EF"/>
    <w:rsid w:val="003C452E"/>
    <w:rsid w:val="003C48D6"/>
    <w:rsid w:val="003C4B70"/>
    <w:rsid w:val="003C4CD0"/>
    <w:rsid w:val="003C5D18"/>
    <w:rsid w:val="003C5DB5"/>
    <w:rsid w:val="003C62A4"/>
    <w:rsid w:val="003C6553"/>
    <w:rsid w:val="003C66AE"/>
    <w:rsid w:val="003C6C40"/>
    <w:rsid w:val="003C6E30"/>
    <w:rsid w:val="003C70C9"/>
    <w:rsid w:val="003C7398"/>
    <w:rsid w:val="003D00B6"/>
    <w:rsid w:val="003D0F7A"/>
    <w:rsid w:val="003D103C"/>
    <w:rsid w:val="003D1203"/>
    <w:rsid w:val="003D1382"/>
    <w:rsid w:val="003D155F"/>
    <w:rsid w:val="003D1858"/>
    <w:rsid w:val="003D19A1"/>
    <w:rsid w:val="003D21E0"/>
    <w:rsid w:val="003D30C5"/>
    <w:rsid w:val="003D39C1"/>
    <w:rsid w:val="003D3BA4"/>
    <w:rsid w:val="003D3CBA"/>
    <w:rsid w:val="003D43F6"/>
    <w:rsid w:val="003D4553"/>
    <w:rsid w:val="003D45EA"/>
    <w:rsid w:val="003D4B4A"/>
    <w:rsid w:val="003D5151"/>
    <w:rsid w:val="003D53D5"/>
    <w:rsid w:val="003D5B1C"/>
    <w:rsid w:val="003D627A"/>
    <w:rsid w:val="003D6359"/>
    <w:rsid w:val="003D64D6"/>
    <w:rsid w:val="003D6594"/>
    <w:rsid w:val="003D6781"/>
    <w:rsid w:val="003D6E75"/>
    <w:rsid w:val="003D6EA8"/>
    <w:rsid w:val="003D7353"/>
    <w:rsid w:val="003D7AF6"/>
    <w:rsid w:val="003D7CFD"/>
    <w:rsid w:val="003D7DEC"/>
    <w:rsid w:val="003E0342"/>
    <w:rsid w:val="003E0547"/>
    <w:rsid w:val="003E0857"/>
    <w:rsid w:val="003E0871"/>
    <w:rsid w:val="003E0BDC"/>
    <w:rsid w:val="003E0D6A"/>
    <w:rsid w:val="003E0D86"/>
    <w:rsid w:val="003E0FCC"/>
    <w:rsid w:val="003E1544"/>
    <w:rsid w:val="003E1DB5"/>
    <w:rsid w:val="003E23A0"/>
    <w:rsid w:val="003E24A5"/>
    <w:rsid w:val="003E257B"/>
    <w:rsid w:val="003E26D5"/>
    <w:rsid w:val="003E29D2"/>
    <w:rsid w:val="003E2A7D"/>
    <w:rsid w:val="003E2BDC"/>
    <w:rsid w:val="003E2F0A"/>
    <w:rsid w:val="003E310A"/>
    <w:rsid w:val="003E3580"/>
    <w:rsid w:val="003E3779"/>
    <w:rsid w:val="003E3B9F"/>
    <w:rsid w:val="003E3E90"/>
    <w:rsid w:val="003E4306"/>
    <w:rsid w:val="003E4903"/>
    <w:rsid w:val="003E4A1E"/>
    <w:rsid w:val="003E4D62"/>
    <w:rsid w:val="003E4DB5"/>
    <w:rsid w:val="003E4F09"/>
    <w:rsid w:val="003E5463"/>
    <w:rsid w:val="003E58A0"/>
    <w:rsid w:val="003E5C55"/>
    <w:rsid w:val="003E5D44"/>
    <w:rsid w:val="003E5FA3"/>
    <w:rsid w:val="003E6208"/>
    <w:rsid w:val="003E686A"/>
    <w:rsid w:val="003E6A41"/>
    <w:rsid w:val="003E6B2A"/>
    <w:rsid w:val="003E6BB4"/>
    <w:rsid w:val="003E6D30"/>
    <w:rsid w:val="003E6F74"/>
    <w:rsid w:val="003E736E"/>
    <w:rsid w:val="003E78C3"/>
    <w:rsid w:val="003E7B12"/>
    <w:rsid w:val="003E7DFA"/>
    <w:rsid w:val="003F0102"/>
    <w:rsid w:val="003F1041"/>
    <w:rsid w:val="003F11A4"/>
    <w:rsid w:val="003F1392"/>
    <w:rsid w:val="003F1406"/>
    <w:rsid w:val="003F148F"/>
    <w:rsid w:val="003F1860"/>
    <w:rsid w:val="003F1FB7"/>
    <w:rsid w:val="003F228D"/>
    <w:rsid w:val="003F2568"/>
    <w:rsid w:val="003F276B"/>
    <w:rsid w:val="003F2850"/>
    <w:rsid w:val="003F2AC2"/>
    <w:rsid w:val="003F3B62"/>
    <w:rsid w:val="003F3F68"/>
    <w:rsid w:val="003F3FD7"/>
    <w:rsid w:val="003F401E"/>
    <w:rsid w:val="003F432F"/>
    <w:rsid w:val="003F43BF"/>
    <w:rsid w:val="003F4D62"/>
    <w:rsid w:val="003F4DCE"/>
    <w:rsid w:val="003F50CC"/>
    <w:rsid w:val="003F5335"/>
    <w:rsid w:val="003F53FB"/>
    <w:rsid w:val="003F58FC"/>
    <w:rsid w:val="003F5A9D"/>
    <w:rsid w:val="003F5AA2"/>
    <w:rsid w:val="003F5CC7"/>
    <w:rsid w:val="003F5D40"/>
    <w:rsid w:val="003F6053"/>
    <w:rsid w:val="003F618F"/>
    <w:rsid w:val="003F65B2"/>
    <w:rsid w:val="003F6E16"/>
    <w:rsid w:val="003F6E38"/>
    <w:rsid w:val="003F726D"/>
    <w:rsid w:val="003F76FA"/>
    <w:rsid w:val="003F7901"/>
    <w:rsid w:val="003F7A97"/>
    <w:rsid w:val="003F7D10"/>
    <w:rsid w:val="0040002F"/>
    <w:rsid w:val="00400F79"/>
    <w:rsid w:val="00401255"/>
    <w:rsid w:val="004012D1"/>
    <w:rsid w:val="00401AC0"/>
    <w:rsid w:val="00401CF8"/>
    <w:rsid w:val="00401D31"/>
    <w:rsid w:val="00401FE1"/>
    <w:rsid w:val="00402252"/>
    <w:rsid w:val="00402420"/>
    <w:rsid w:val="00402457"/>
    <w:rsid w:val="00402549"/>
    <w:rsid w:val="004027F4"/>
    <w:rsid w:val="00403291"/>
    <w:rsid w:val="00403447"/>
    <w:rsid w:val="004036D4"/>
    <w:rsid w:val="004038E4"/>
    <w:rsid w:val="00403B76"/>
    <w:rsid w:val="0040456E"/>
    <w:rsid w:val="004045F9"/>
    <w:rsid w:val="004046C3"/>
    <w:rsid w:val="00404E43"/>
    <w:rsid w:val="0040588B"/>
    <w:rsid w:val="00405E81"/>
    <w:rsid w:val="00406290"/>
    <w:rsid w:val="0040629D"/>
    <w:rsid w:val="00406564"/>
    <w:rsid w:val="00406B8A"/>
    <w:rsid w:val="00406C87"/>
    <w:rsid w:val="00406E7B"/>
    <w:rsid w:val="00406FE0"/>
    <w:rsid w:val="00407033"/>
    <w:rsid w:val="004072A6"/>
    <w:rsid w:val="004076B5"/>
    <w:rsid w:val="00407811"/>
    <w:rsid w:val="00407D54"/>
    <w:rsid w:val="004102F0"/>
    <w:rsid w:val="00410A4B"/>
    <w:rsid w:val="00411127"/>
    <w:rsid w:val="0041147C"/>
    <w:rsid w:val="00411ABD"/>
    <w:rsid w:val="00411C06"/>
    <w:rsid w:val="00411C6D"/>
    <w:rsid w:val="00411E3D"/>
    <w:rsid w:val="00412052"/>
    <w:rsid w:val="00412161"/>
    <w:rsid w:val="00412508"/>
    <w:rsid w:val="00412877"/>
    <w:rsid w:val="004130CF"/>
    <w:rsid w:val="00413543"/>
    <w:rsid w:val="0041370C"/>
    <w:rsid w:val="00413DAB"/>
    <w:rsid w:val="00413E37"/>
    <w:rsid w:val="00413F42"/>
    <w:rsid w:val="0041439A"/>
    <w:rsid w:val="00414822"/>
    <w:rsid w:val="00414B6B"/>
    <w:rsid w:val="00414B96"/>
    <w:rsid w:val="00414E2D"/>
    <w:rsid w:val="00415332"/>
    <w:rsid w:val="00415356"/>
    <w:rsid w:val="004154FC"/>
    <w:rsid w:val="0041553E"/>
    <w:rsid w:val="004159B1"/>
    <w:rsid w:val="00415C3C"/>
    <w:rsid w:val="00416217"/>
    <w:rsid w:val="00416C9D"/>
    <w:rsid w:val="004170A4"/>
    <w:rsid w:val="00417175"/>
    <w:rsid w:val="0041742C"/>
    <w:rsid w:val="00417489"/>
    <w:rsid w:val="00417D7D"/>
    <w:rsid w:val="00420309"/>
    <w:rsid w:val="004204C0"/>
    <w:rsid w:val="0042075F"/>
    <w:rsid w:val="00420991"/>
    <w:rsid w:val="004215B0"/>
    <w:rsid w:val="004216DD"/>
    <w:rsid w:val="004217CB"/>
    <w:rsid w:val="0042185D"/>
    <w:rsid w:val="00421D32"/>
    <w:rsid w:val="00421F18"/>
    <w:rsid w:val="0042205D"/>
    <w:rsid w:val="004224DA"/>
    <w:rsid w:val="00422D83"/>
    <w:rsid w:val="00422E47"/>
    <w:rsid w:val="00423180"/>
    <w:rsid w:val="004231CA"/>
    <w:rsid w:val="004232DE"/>
    <w:rsid w:val="0042337A"/>
    <w:rsid w:val="004235EB"/>
    <w:rsid w:val="00423BE0"/>
    <w:rsid w:val="0042422A"/>
    <w:rsid w:val="004243A7"/>
    <w:rsid w:val="00424C23"/>
    <w:rsid w:val="00425BF1"/>
    <w:rsid w:val="00425D0F"/>
    <w:rsid w:val="0042617C"/>
    <w:rsid w:val="00426239"/>
    <w:rsid w:val="00426334"/>
    <w:rsid w:val="00426446"/>
    <w:rsid w:val="004265DC"/>
    <w:rsid w:val="004266F2"/>
    <w:rsid w:val="00426AC2"/>
    <w:rsid w:val="00426CBA"/>
    <w:rsid w:val="00427061"/>
    <w:rsid w:val="0042710D"/>
    <w:rsid w:val="0042715E"/>
    <w:rsid w:val="0042750F"/>
    <w:rsid w:val="004275CB"/>
    <w:rsid w:val="00430844"/>
    <w:rsid w:val="00430CB7"/>
    <w:rsid w:val="0043125D"/>
    <w:rsid w:val="004313B9"/>
    <w:rsid w:val="0043143A"/>
    <w:rsid w:val="004314AE"/>
    <w:rsid w:val="00431A7B"/>
    <w:rsid w:val="00431ACF"/>
    <w:rsid w:val="0043210F"/>
    <w:rsid w:val="004321DC"/>
    <w:rsid w:val="00432244"/>
    <w:rsid w:val="00432302"/>
    <w:rsid w:val="00432498"/>
    <w:rsid w:val="00432684"/>
    <w:rsid w:val="004326DD"/>
    <w:rsid w:val="00432ABC"/>
    <w:rsid w:val="00432AD6"/>
    <w:rsid w:val="00432B7F"/>
    <w:rsid w:val="0043302E"/>
    <w:rsid w:val="00433189"/>
    <w:rsid w:val="00434678"/>
    <w:rsid w:val="004348CC"/>
    <w:rsid w:val="00434B34"/>
    <w:rsid w:val="00434DFA"/>
    <w:rsid w:val="0043521F"/>
    <w:rsid w:val="004352CC"/>
    <w:rsid w:val="00435874"/>
    <w:rsid w:val="00435E17"/>
    <w:rsid w:val="00436026"/>
    <w:rsid w:val="0043682F"/>
    <w:rsid w:val="00436D70"/>
    <w:rsid w:val="0043707F"/>
    <w:rsid w:val="004375AF"/>
    <w:rsid w:val="00437611"/>
    <w:rsid w:val="00437950"/>
    <w:rsid w:val="00437DC7"/>
    <w:rsid w:val="0044071E"/>
    <w:rsid w:val="004407F4"/>
    <w:rsid w:val="0044090D"/>
    <w:rsid w:val="00440A61"/>
    <w:rsid w:val="00440B58"/>
    <w:rsid w:val="00440F3D"/>
    <w:rsid w:val="00440F54"/>
    <w:rsid w:val="004410E2"/>
    <w:rsid w:val="004411C7"/>
    <w:rsid w:val="0044170C"/>
    <w:rsid w:val="0044172C"/>
    <w:rsid w:val="00441734"/>
    <w:rsid w:val="00441828"/>
    <w:rsid w:val="00441921"/>
    <w:rsid w:val="00441CF0"/>
    <w:rsid w:val="00441E77"/>
    <w:rsid w:val="004420C1"/>
    <w:rsid w:val="00442EA3"/>
    <w:rsid w:val="004439EF"/>
    <w:rsid w:val="00443A27"/>
    <w:rsid w:val="00443AAB"/>
    <w:rsid w:val="00444122"/>
    <w:rsid w:val="0044422C"/>
    <w:rsid w:val="004442FE"/>
    <w:rsid w:val="0044447A"/>
    <w:rsid w:val="004446C3"/>
    <w:rsid w:val="004449DC"/>
    <w:rsid w:val="00444D8F"/>
    <w:rsid w:val="00444ED9"/>
    <w:rsid w:val="00445126"/>
    <w:rsid w:val="004453A8"/>
    <w:rsid w:val="00445C00"/>
    <w:rsid w:val="00446422"/>
    <w:rsid w:val="00446446"/>
    <w:rsid w:val="00446B87"/>
    <w:rsid w:val="00446F11"/>
    <w:rsid w:val="00446F1A"/>
    <w:rsid w:val="00447880"/>
    <w:rsid w:val="004478C7"/>
    <w:rsid w:val="00447C4F"/>
    <w:rsid w:val="00447DA9"/>
    <w:rsid w:val="00447EF8"/>
    <w:rsid w:val="00450C3D"/>
    <w:rsid w:val="00450F11"/>
    <w:rsid w:val="00451176"/>
    <w:rsid w:val="00451410"/>
    <w:rsid w:val="00451637"/>
    <w:rsid w:val="00451789"/>
    <w:rsid w:val="00451847"/>
    <w:rsid w:val="00452594"/>
    <w:rsid w:val="004528AF"/>
    <w:rsid w:val="004534C2"/>
    <w:rsid w:val="004545B6"/>
    <w:rsid w:val="00454605"/>
    <w:rsid w:val="00454797"/>
    <w:rsid w:val="00454B42"/>
    <w:rsid w:val="00454ED8"/>
    <w:rsid w:val="004556A3"/>
    <w:rsid w:val="004560EE"/>
    <w:rsid w:val="00456472"/>
    <w:rsid w:val="00456B06"/>
    <w:rsid w:val="00456C1E"/>
    <w:rsid w:val="0045724A"/>
    <w:rsid w:val="0045797B"/>
    <w:rsid w:val="00457ABB"/>
    <w:rsid w:val="00457F7D"/>
    <w:rsid w:val="004608D2"/>
    <w:rsid w:val="00460916"/>
    <w:rsid w:val="00460CEF"/>
    <w:rsid w:val="00461400"/>
    <w:rsid w:val="00461596"/>
    <w:rsid w:val="00461E04"/>
    <w:rsid w:val="00461F18"/>
    <w:rsid w:val="00462395"/>
    <w:rsid w:val="00462502"/>
    <w:rsid w:val="004625EF"/>
    <w:rsid w:val="00462816"/>
    <w:rsid w:val="00463988"/>
    <w:rsid w:val="004639E5"/>
    <w:rsid w:val="00463BDF"/>
    <w:rsid w:val="00463C86"/>
    <w:rsid w:val="00463F1D"/>
    <w:rsid w:val="00464941"/>
    <w:rsid w:val="00464D7B"/>
    <w:rsid w:val="00465048"/>
    <w:rsid w:val="004653AF"/>
    <w:rsid w:val="004655F1"/>
    <w:rsid w:val="00465792"/>
    <w:rsid w:val="00465A79"/>
    <w:rsid w:val="00465BE2"/>
    <w:rsid w:val="00465ED4"/>
    <w:rsid w:val="0046605B"/>
    <w:rsid w:val="00466AB3"/>
    <w:rsid w:val="00466D24"/>
    <w:rsid w:val="00467196"/>
    <w:rsid w:val="00467523"/>
    <w:rsid w:val="00467847"/>
    <w:rsid w:val="00467BFD"/>
    <w:rsid w:val="00470306"/>
    <w:rsid w:val="00470FDA"/>
    <w:rsid w:val="004710B7"/>
    <w:rsid w:val="004710D3"/>
    <w:rsid w:val="0047127F"/>
    <w:rsid w:val="0047185F"/>
    <w:rsid w:val="00471AA1"/>
    <w:rsid w:val="00471F87"/>
    <w:rsid w:val="00472A03"/>
    <w:rsid w:val="00472A20"/>
    <w:rsid w:val="00472B1E"/>
    <w:rsid w:val="004734A6"/>
    <w:rsid w:val="004735D7"/>
    <w:rsid w:val="00473876"/>
    <w:rsid w:val="004739C8"/>
    <w:rsid w:val="00473D85"/>
    <w:rsid w:val="00474813"/>
    <w:rsid w:val="00474A08"/>
    <w:rsid w:val="00474AB8"/>
    <w:rsid w:val="00475276"/>
    <w:rsid w:val="00475804"/>
    <w:rsid w:val="00475E1D"/>
    <w:rsid w:val="00475E78"/>
    <w:rsid w:val="0047617D"/>
    <w:rsid w:val="004764C3"/>
    <w:rsid w:val="00476668"/>
    <w:rsid w:val="00476AD4"/>
    <w:rsid w:val="00476B78"/>
    <w:rsid w:val="00476C37"/>
    <w:rsid w:val="00477047"/>
    <w:rsid w:val="004770EB"/>
    <w:rsid w:val="00477689"/>
    <w:rsid w:val="00477914"/>
    <w:rsid w:val="004779D0"/>
    <w:rsid w:val="00477F0B"/>
    <w:rsid w:val="00477F3F"/>
    <w:rsid w:val="00480657"/>
    <w:rsid w:val="00480D31"/>
    <w:rsid w:val="00480F7B"/>
    <w:rsid w:val="0048120F"/>
    <w:rsid w:val="004812BA"/>
    <w:rsid w:val="00481372"/>
    <w:rsid w:val="00481454"/>
    <w:rsid w:val="00481703"/>
    <w:rsid w:val="00481D84"/>
    <w:rsid w:val="00481F48"/>
    <w:rsid w:val="00482454"/>
    <w:rsid w:val="00482A4F"/>
    <w:rsid w:val="00482B78"/>
    <w:rsid w:val="00482BF7"/>
    <w:rsid w:val="00482C5D"/>
    <w:rsid w:val="00482E55"/>
    <w:rsid w:val="00483BDD"/>
    <w:rsid w:val="0048429C"/>
    <w:rsid w:val="0048452D"/>
    <w:rsid w:val="00484599"/>
    <w:rsid w:val="0048467A"/>
    <w:rsid w:val="00484683"/>
    <w:rsid w:val="0048468A"/>
    <w:rsid w:val="004847E4"/>
    <w:rsid w:val="00484FD0"/>
    <w:rsid w:val="0048559D"/>
    <w:rsid w:val="0048566E"/>
    <w:rsid w:val="00485706"/>
    <w:rsid w:val="00485D41"/>
    <w:rsid w:val="00486273"/>
    <w:rsid w:val="004862D0"/>
    <w:rsid w:val="00486310"/>
    <w:rsid w:val="0048673A"/>
    <w:rsid w:val="0048682B"/>
    <w:rsid w:val="00486B8D"/>
    <w:rsid w:val="00486C56"/>
    <w:rsid w:val="004876FF"/>
    <w:rsid w:val="00487834"/>
    <w:rsid w:val="004879D1"/>
    <w:rsid w:val="00487AF1"/>
    <w:rsid w:val="00487BB6"/>
    <w:rsid w:val="00487E31"/>
    <w:rsid w:val="00487EFF"/>
    <w:rsid w:val="004905EE"/>
    <w:rsid w:val="0049091E"/>
    <w:rsid w:val="00490E23"/>
    <w:rsid w:val="00491328"/>
    <w:rsid w:val="00491CEE"/>
    <w:rsid w:val="00491DD6"/>
    <w:rsid w:val="0049273C"/>
    <w:rsid w:val="00492AAB"/>
    <w:rsid w:val="00492F66"/>
    <w:rsid w:val="00493697"/>
    <w:rsid w:val="004936CC"/>
    <w:rsid w:val="00493742"/>
    <w:rsid w:val="00493EA1"/>
    <w:rsid w:val="00493EE1"/>
    <w:rsid w:val="00494F60"/>
    <w:rsid w:val="0049518B"/>
    <w:rsid w:val="0049532D"/>
    <w:rsid w:val="004955B7"/>
    <w:rsid w:val="0049586A"/>
    <w:rsid w:val="00495A68"/>
    <w:rsid w:val="00495CC1"/>
    <w:rsid w:val="00495E37"/>
    <w:rsid w:val="00495F17"/>
    <w:rsid w:val="0049692F"/>
    <w:rsid w:val="0049695C"/>
    <w:rsid w:val="00496A58"/>
    <w:rsid w:val="00497594"/>
    <w:rsid w:val="00497CA8"/>
    <w:rsid w:val="00497D51"/>
    <w:rsid w:val="00497F86"/>
    <w:rsid w:val="004A00FD"/>
    <w:rsid w:val="004A0155"/>
    <w:rsid w:val="004A03BB"/>
    <w:rsid w:val="004A04F3"/>
    <w:rsid w:val="004A057E"/>
    <w:rsid w:val="004A0CAF"/>
    <w:rsid w:val="004A13CA"/>
    <w:rsid w:val="004A19D2"/>
    <w:rsid w:val="004A2033"/>
    <w:rsid w:val="004A217D"/>
    <w:rsid w:val="004A2240"/>
    <w:rsid w:val="004A22F4"/>
    <w:rsid w:val="004A26A9"/>
    <w:rsid w:val="004A29D0"/>
    <w:rsid w:val="004A2C3B"/>
    <w:rsid w:val="004A2CB2"/>
    <w:rsid w:val="004A3076"/>
    <w:rsid w:val="004A3445"/>
    <w:rsid w:val="004A352A"/>
    <w:rsid w:val="004A3574"/>
    <w:rsid w:val="004A383C"/>
    <w:rsid w:val="004A40C5"/>
    <w:rsid w:val="004A4253"/>
    <w:rsid w:val="004A44C7"/>
    <w:rsid w:val="004A53CB"/>
    <w:rsid w:val="004A5C62"/>
    <w:rsid w:val="004A5CCB"/>
    <w:rsid w:val="004A5D4B"/>
    <w:rsid w:val="004A5D64"/>
    <w:rsid w:val="004A5EB4"/>
    <w:rsid w:val="004A5F98"/>
    <w:rsid w:val="004A6A86"/>
    <w:rsid w:val="004A6DBB"/>
    <w:rsid w:val="004A6E7C"/>
    <w:rsid w:val="004A6F7A"/>
    <w:rsid w:val="004A7316"/>
    <w:rsid w:val="004A7439"/>
    <w:rsid w:val="004A788E"/>
    <w:rsid w:val="004A7C2A"/>
    <w:rsid w:val="004A7D13"/>
    <w:rsid w:val="004A7E61"/>
    <w:rsid w:val="004A7FAE"/>
    <w:rsid w:val="004B03C0"/>
    <w:rsid w:val="004B0551"/>
    <w:rsid w:val="004B0846"/>
    <w:rsid w:val="004B0A15"/>
    <w:rsid w:val="004B0BE2"/>
    <w:rsid w:val="004B1265"/>
    <w:rsid w:val="004B13C9"/>
    <w:rsid w:val="004B1BF3"/>
    <w:rsid w:val="004B1C09"/>
    <w:rsid w:val="004B1E7F"/>
    <w:rsid w:val="004B2009"/>
    <w:rsid w:val="004B20C3"/>
    <w:rsid w:val="004B2176"/>
    <w:rsid w:val="004B257F"/>
    <w:rsid w:val="004B25D3"/>
    <w:rsid w:val="004B2871"/>
    <w:rsid w:val="004B2CC6"/>
    <w:rsid w:val="004B2CE8"/>
    <w:rsid w:val="004B2D0E"/>
    <w:rsid w:val="004B2F94"/>
    <w:rsid w:val="004B35AA"/>
    <w:rsid w:val="004B37D7"/>
    <w:rsid w:val="004B3D16"/>
    <w:rsid w:val="004B3EF8"/>
    <w:rsid w:val="004B469A"/>
    <w:rsid w:val="004B4780"/>
    <w:rsid w:val="004B490F"/>
    <w:rsid w:val="004B5113"/>
    <w:rsid w:val="004B536B"/>
    <w:rsid w:val="004B586E"/>
    <w:rsid w:val="004B5AC7"/>
    <w:rsid w:val="004B5E06"/>
    <w:rsid w:val="004B5FB6"/>
    <w:rsid w:val="004B6438"/>
    <w:rsid w:val="004B68FF"/>
    <w:rsid w:val="004B6CCB"/>
    <w:rsid w:val="004B736C"/>
    <w:rsid w:val="004B760E"/>
    <w:rsid w:val="004B767F"/>
    <w:rsid w:val="004B7719"/>
    <w:rsid w:val="004B78C5"/>
    <w:rsid w:val="004B79CF"/>
    <w:rsid w:val="004C0669"/>
    <w:rsid w:val="004C0D38"/>
    <w:rsid w:val="004C0E2B"/>
    <w:rsid w:val="004C0E33"/>
    <w:rsid w:val="004C121A"/>
    <w:rsid w:val="004C13FF"/>
    <w:rsid w:val="004C16C9"/>
    <w:rsid w:val="004C16D3"/>
    <w:rsid w:val="004C17DA"/>
    <w:rsid w:val="004C1B77"/>
    <w:rsid w:val="004C204F"/>
    <w:rsid w:val="004C2355"/>
    <w:rsid w:val="004C2515"/>
    <w:rsid w:val="004C363C"/>
    <w:rsid w:val="004C3E79"/>
    <w:rsid w:val="004C4180"/>
    <w:rsid w:val="004C4640"/>
    <w:rsid w:val="004C4921"/>
    <w:rsid w:val="004C4A48"/>
    <w:rsid w:val="004C59E1"/>
    <w:rsid w:val="004C5BE4"/>
    <w:rsid w:val="004C6591"/>
    <w:rsid w:val="004C6943"/>
    <w:rsid w:val="004C6F9C"/>
    <w:rsid w:val="004C7829"/>
    <w:rsid w:val="004C79EF"/>
    <w:rsid w:val="004D003D"/>
    <w:rsid w:val="004D00BC"/>
    <w:rsid w:val="004D0437"/>
    <w:rsid w:val="004D0B9B"/>
    <w:rsid w:val="004D1053"/>
    <w:rsid w:val="004D13CD"/>
    <w:rsid w:val="004D1524"/>
    <w:rsid w:val="004D155C"/>
    <w:rsid w:val="004D1A87"/>
    <w:rsid w:val="004D1F55"/>
    <w:rsid w:val="004D21D9"/>
    <w:rsid w:val="004D24FF"/>
    <w:rsid w:val="004D25D6"/>
    <w:rsid w:val="004D2AC8"/>
    <w:rsid w:val="004D30D2"/>
    <w:rsid w:val="004D32E3"/>
    <w:rsid w:val="004D3312"/>
    <w:rsid w:val="004D3537"/>
    <w:rsid w:val="004D3901"/>
    <w:rsid w:val="004D3A03"/>
    <w:rsid w:val="004D3C11"/>
    <w:rsid w:val="004D40AF"/>
    <w:rsid w:val="004D456E"/>
    <w:rsid w:val="004D4AEB"/>
    <w:rsid w:val="004D4B45"/>
    <w:rsid w:val="004D4DD1"/>
    <w:rsid w:val="004D5087"/>
    <w:rsid w:val="004D5297"/>
    <w:rsid w:val="004D537A"/>
    <w:rsid w:val="004D5D2A"/>
    <w:rsid w:val="004D690E"/>
    <w:rsid w:val="004D7142"/>
    <w:rsid w:val="004D764C"/>
    <w:rsid w:val="004E0156"/>
    <w:rsid w:val="004E0260"/>
    <w:rsid w:val="004E04C0"/>
    <w:rsid w:val="004E076C"/>
    <w:rsid w:val="004E09CC"/>
    <w:rsid w:val="004E0AD5"/>
    <w:rsid w:val="004E0FAF"/>
    <w:rsid w:val="004E0FBB"/>
    <w:rsid w:val="004E12DF"/>
    <w:rsid w:val="004E21B4"/>
    <w:rsid w:val="004E28CD"/>
    <w:rsid w:val="004E29ED"/>
    <w:rsid w:val="004E30D2"/>
    <w:rsid w:val="004E3155"/>
    <w:rsid w:val="004E345C"/>
    <w:rsid w:val="004E3764"/>
    <w:rsid w:val="004E3CE6"/>
    <w:rsid w:val="004E43C0"/>
    <w:rsid w:val="004E4761"/>
    <w:rsid w:val="004E4A40"/>
    <w:rsid w:val="004E5389"/>
    <w:rsid w:val="004E6BF8"/>
    <w:rsid w:val="004E6CC0"/>
    <w:rsid w:val="004E6DC0"/>
    <w:rsid w:val="004E6E24"/>
    <w:rsid w:val="004E6E4B"/>
    <w:rsid w:val="004E7202"/>
    <w:rsid w:val="004E7208"/>
    <w:rsid w:val="004E766B"/>
    <w:rsid w:val="004E7BAB"/>
    <w:rsid w:val="004E7F53"/>
    <w:rsid w:val="004F02EB"/>
    <w:rsid w:val="004F0BE7"/>
    <w:rsid w:val="004F0C89"/>
    <w:rsid w:val="004F1EA0"/>
    <w:rsid w:val="004F2342"/>
    <w:rsid w:val="004F25AC"/>
    <w:rsid w:val="004F26A6"/>
    <w:rsid w:val="004F28A4"/>
    <w:rsid w:val="004F2E6A"/>
    <w:rsid w:val="004F3119"/>
    <w:rsid w:val="004F3148"/>
    <w:rsid w:val="004F31B2"/>
    <w:rsid w:val="004F34E6"/>
    <w:rsid w:val="004F37F1"/>
    <w:rsid w:val="004F37F5"/>
    <w:rsid w:val="004F3980"/>
    <w:rsid w:val="004F41BF"/>
    <w:rsid w:val="004F42A7"/>
    <w:rsid w:val="004F465C"/>
    <w:rsid w:val="004F4EFE"/>
    <w:rsid w:val="004F536D"/>
    <w:rsid w:val="004F5602"/>
    <w:rsid w:val="004F5A09"/>
    <w:rsid w:val="004F5AAF"/>
    <w:rsid w:val="004F5EC8"/>
    <w:rsid w:val="004F6433"/>
    <w:rsid w:val="004F66C0"/>
    <w:rsid w:val="004F68B9"/>
    <w:rsid w:val="004F68FF"/>
    <w:rsid w:val="004F6A3E"/>
    <w:rsid w:val="004F6A6C"/>
    <w:rsid w:val="004F6F30"/>
    <w:rsid w:val="004F7199"/>
    <w:rsid w:val="004F731D"/>
    <w:rsid w:val="004F780D"/>
    <w:rsid w:val="004F7A53"/>
    <w:rsid w:val="004F7BFC"/>
    <w:rsid w:val="004F7F48"/>
    <w:rsid w:val="005001B2"/>
    <w:rsid w:val="00500A8B"/>
    <w:rsid w:val="00500B6F"/>
    <w:rsid w:val="00500D10"/>
    <w:rsid w:val="00500E32"/>
    <w:rsid w:val="0050154E"/>
    <w:rsid w:val="00501BD6"/>
    <w:rsid w:val="00501C2D"/>
    <w:rsid w:val="00502670"/>
    <w:rsid w:val="00502A0E"/>
    <w:rsid w:val="00503242"/>
    <w:rsid w:val="00503249"/>
    <w:rsid w:val="005035A8"/>
    <w:rsid w:val="00503700"/>
    <w:rsid w:val="0050370D"/>
    <w:rsid w:val="00503A3B"/>
    <w:rsid w:val="00503DFA"/>
    <w:rsid w:val="005042E7"/>
    <w:rsid w:val="00504580"/>
    <w:rsid w:val="005046E6"/>
    <w:rsid w:val="00504B11"/>
    <w:rsid w:val="00504C0A"/>
    <w:rsid w:val="00504E23"/>
    <w:rsid w:val="00504ECA"/>
    <w:rsid w:val="005051A3"/>
    <w:rsid w:val="0050534B"/>
    <w:rsid w:val="005054A2"/>
    <w:rsid w:val="00505510"/>
    <w:rsid w:val="0050583E"/>
    <w:rsid w:val="00505941"/>
    <w:rsid w:val="00505E4E"/>
    <w:rsid w:val="00506099"/>
    <w:rsid w:val="0050633E"/>
    <w:rsid w:val="0050638F"/>
    <w:rsid w:val="00506569"/>
    <w:rsid w:val="0050673B"/>
    <w:rsid w:val="0050691A"/>
    <w:rsid w:val="00506A26"/>
    <w:rsid w:val="00506DC0"/>
    <w:rsid w:val="00506F76"/>
    <w:rsid w:val="00506F80"/>
    <w:rsid w:val="00507280"/>
    <w:rsid w:val="0050781D"/>
    <w:rsid w:val="0050787A"/>
    <w:rsid w:val="00507928"/>
    <w:rsid w:val="00507FE9"/>
    <w:rsid w:val="00507FF1"/>
    <w:rsid w:val="0051010A"/>
    <w:rsid w:val="00510135"/>
    <w:rsid w:val="0051019C"/>
    <w:rsid w:val="005103B2"/>
    <w:rsid w:val="005107D7"/>
    <w:rsid w:val="00510974"/>
    <w:rsid w:val="005109DB"/>
    <w:rsid w:val="00510AA9"/>
    <w:rsid w:val="00510C4F"/>
    <w:rsid w:val="00510CE6"/>
    <w:rsid w:val="00510CEB"/>
    <w:rsid w:val="005114E4"/>
    <w:rsid w:val="00511BF9"/>
    <w:rsid w:val="00511D6A"/>
    <w:rsid w:val="00512C6F"/>
    <w:rsid w:val="00512D19"/>
    <w:rsid w:val="00512EF5"/>
    <w:rsid w:val="00513365"/>
    <w:rsid w:val="00513C3B"/>
    <w:rsid w:val="00513CD4"/>
    <w:rsid w:val="00513D45"/>
    <w:rsid w:val="00514492"/>
    <w:rsid w:val="0051456C"/>
    <w:rsid w:val="00514652"/>
    <w:rsid w:val="00514721"/>
    <w:rsid w:val="00514C27"/>
    <w:rsid w:val="00514DE4"/>
    <w:rsid w:val="00515688"/>
    <w:rsid w:val="00515868"/>
    <w:rsid w:val="00515D78"/>
    <w:rsid w:val="0051620F"/>
    <w:rsid w:val="0051642E"/>
    <w:rsid w:val="00516666"/>
    <w:rsid w:val="005167D6"/>
    <w:rsid w:val="00516879"/>
    <w:rsid w:val="00516B35"/>
    <w:rsid w:val="0051710A"/>
    <w:rsid w:val="00517339"/>
    <w:rsid w:val="005178AD"/>
    <w:rsid w:val="005179E4"/>
    <w:rsid w:val="00517B88"/>
    <w:rsid w:val="00517FE7"/>
    <w:rsid w:val="0052001A"/>
    <w:rsid w:val="00520B2B"/>
    <w:rsid w:val="00520D70"/>
    <w:rsid w:val="00520FBF"/>
    <w:rsid w:val="0052176F"/>
    <w:rsid w:val="00521B37"/>
    <w:rsid w:val="00521C56"/>
    <w:rsid w:val="00521E2F"/>
    <w:rsid w:val="005224B1"/>
    <w:rsid w:val="00522B14"/>
    <w:rsid w:val="00523019"/>
    <w:rsid w:val="005231E9"/>
    <w:rsid w:val="00523347"/>
    <w:rsid w:val="005238E3"/>
    <w:rsid w:val="00523B42"/>
    <w:rsid w:val="00523E9B"/>
    <w:rsid w:val="00523F53"/>
    <w:rsid w:val="00524016"/>
    <w:rsid w:val="005241CE"/>
    <w:rsid w:val="0052488D"/>
    <w:rsid w:val="00524D51"/>
    <w:rsid w:val="0052503A"/>
    <w:rsid w:val="00525050"/>
    <w:rsid w:val="005250A0"/>
    <w:rsid w:val="005252D2"/>
    <w:rsid w:val="00525667"/>
    <w:rsid w:val="0052593C"/>
    <w:rsid w:val="00525BC4"/>
    <w:rsid w:val="0052687B"/>
    <w:rsid w:val="00526A46"/>
    <w:rsid w:val="00526C5F"/>
    <w:rsid w:val="005270F9"/>
    <w:rsid w:val="00527122"/>
    <w:rsid w:val="0052729E"/>
    <w:rsid w:val="0052740F"/>
    <w:rsid w:val="00527956"/>
    <w:rsid w:val="00527AD0"/>
    <w:rsid w:val="00527E47"/>
    <w:rsid w:val="005303D5"/>
    <w:rsid w:val="00530437"/>
    <w:rsid w:val="005305E7"/>
    <w:rsid w:val="00530B8F"/>
    <w:rsid w:val="00530D01"/>
    <w:rsid w:val="0053111F"/>
    <w:rsid w:val="005313BD"/>
    <w:rsid w:val="00531654"/>
    <w:rsid w:val="00531899"/>
    <w:rsid w:val="005319CA"/>
    <w:rsid w:val="00531DAF"/>
    <w:rsid w:val="0053202A"/>
    <w:rsid w:val="00532113"/>
    <w:rsid w:val="00532273"/>
    <w:rsid w:val="005322DB"/>
    <w:rsid w:val="00532653"/>
    <w:rsid w:val="0053275D"/>
    <w:rsid w:val="0053287F"/>
    <w:rsid w:val="00532ABC"/>
    <w:rsid w:val="00533220"/>
    <w:rsid w:val="00533F23"/>
    <w:rsid w:val="0053427B"/>
    <w:rsid w:val="00534795"/>
    <w:rsid w:val="0053490A"/>
    <w:rsid w:val="005350B2"/>
    <w:rsid w:val="005353B0"/>
    <w:rsid w:val="00535773"/>
    <w:rsid w:val="00535806"/>
    <w:rsid w:val="005359C3"/>
    <w:rsid w:val="005359D3"/>
    <w:rsid w:val="00535B28"/>
    <w:rsid w:val="00535C40"/>
    <w:rsid w:val="00535DF6"/>
    <w:rsid w:val="00535F32"/>
    <w:rsid w:val="00536000"/>
    <w:rsid w:val="005363EE"/>
    <w:rsid w:val="0053712B"/>
    <w:rsid w:val="005378D1"/>
    <w:rsid w:val="0053790C"/>
    <w:rsid w:val="005379DB"/>
    <w:rsid w:val="00540010"/>
    <w:rsid w:val="00540B5D"/>
    <w:rsid w:val="00540D30"/>
    <w:rsid w:val="00540E99"/>
    <w:rsid w:val="0054107E"/>
    <w:rsid w:val="005414F7"/>
    <w:rsid w:val="00541650"/>
    <w:rsid w:val="00541865"/>
    <w:rsid w:val="00541CC8"/>
    <w:rsid w:val="00541DEA"/>
    <w:rsid w:val="00541FA9"/>
    <w:rsid w:val="005423CB"/>
    <w:rsid w:val="00542660"/>
    <w:rsid w:val="005427A0"/>
    <w:rsid w:val="00542977"/>
    <w:rsid w:val="0054298B"/>
    <w:rsid w:val="005429CD"/>
    <w:rsid w:val="00542A29"/>
    <w:rsid w:val="00542A88"/>
    <w:rsid w:val="00542D00"/>
    <w:rsid w:val="005433A9"/>
    <w:rsid w:val="005433D3"/>
    <w:rsid w:val="005435A6"/>
    <w:rsid w:val="005440ED"/>
    <w:rsid w:val="00544514"/>
    <w:rsid w:val="00544D10"/>
    <w:rsid w:val="00544E46"/>
    <w:rsid w:val="00545181"/>
    <w:rsid w:val="005452B3"/>
    <w:rsid w:val="0054570A"/>
    <w:rsid w:val="0054574D"/>
    <w:rsid w:val="00545C83"/>
    <w:rsid w:val="00545C92"/>
    <w:rsid w:val="00545DA9"/>
    <w:rsid w:val="00545FDE"/>
    <w:rsid w:val="005460E7"/>
    <w:rsid w:val="00546465"/>
    <w:rsid w:val="005465F6"/>
    <w:rsid w:val="00546785"/>
    <w:rsid w:val="005467C5"/>
    <w:rsid w:val="00546AFD"/>
    <w:rsid w:val="00546C8B"/>
    <w:rsid w:val="00546D5A"/>
    <w:rsid w:val="0054718B"/>
    <w:rsid w:val="00547C5A"/>
    <w:rsid w:val="00547E31"/>
    <w:rsid w:val="00547EB6"/>
    <w:rsid w:val="0055005F"/>
    <w:rsid w:val="0055050F"/>
    <w:rsid w:val="0055090A"/>
    <w:rsid w:val="0055124A"/>
    <w:rsid w:val="00551724"/>
    <w:rsid w:val="00551A33"/>
    <w:rsid w:val="00551A36"/>
    <w:rsid w:val="00551BE7"/>
    <w:rsid w:val="0055229F"/>
    <w:rsid w:val="0055247A"/>
    <w:rsid w:val="0055263C"/>
    <w:rsid w:val="00552BBC"/>
    <w:rsid w:val="00552CF2"/>
    <w:rsid w:val="00553665"/>
    <w:rsid w:val="00553725"/>
    <w:rsid w:val="005538E7"/>
    <w:rsid w:val="00553BBF"/>
    <w:rsid w:val="00554436"/>
    <w:rsid w:val="005548CB"/>
    <w:rsid w:val="00554D0A"/>
    <w:rsid w:val="0055515A"/>
    <w:rsid w:val="005553C6"/>
    <w:rsid w:val="005554A6"/>
    <w:rsid w:val="00555A83"/>
    <w:rsid w:val="005565FC"/>
    <w:rsid w:val="00557710"/>
    <w:rsid w:val="005578A5"/>
    <w:rsid w:val="005578CC"/>
    <w:rsid w:val="005601FC"/>
    <w:rsid w:val="005603E9"/>
    <w:rsid w:val="0056045B"/>
    <w:rsid w:val="005605B9"/>
    <w:rsid w:val="00560CDA"/>
    <w:rsid w:val="00560F13"/>
    <w:rsid w:val="005613F5"/>
    <w:rsid w:val="00561AAE"/>
    <w:rsid w:val="00561E40"/>
    <w:rsid w:val="005626E5"/>
    <w:rsid w:val="00562827"/>
    <w:rsid w:val="005628F0"/>
    <w:rsid w:val="00562993"/>
    <w:rsid w:val="00562A88"/>
    <w:rsid w:val="00562D2F"/>
    <w:rsid w:val="005633E7"/>
    <w:rsid w:val="0056360D"/>
    <w:rsid w:val="005636DC"/>
    <w:rsid w:val="0056377C"/>
    <w:rsid w:val="00563CBF"/>
    <w:rsid w:val="0056443B"/>
    <w:rsid w:val="005646EE"/>
    <w:rsid w:val="00564BC6"/>
    <w:rsid w:val="0056577B"/>
    <w:rsid w:val="005658BF"/>
    <w:rsid w:val="005659DF"/>
    <w:rsid w:val="00565E71"/>
    <w:rsid w:val="00566AA1"/>
    <w:rsid w:val="00566AA9"/>
    <w:rsid w:val="00566AFD"/>
    <w:rsid w:val="00567426"/>
    <w:rsid w:val="00567461"/>
    <w:rsid w:val="0057068F"/>
    <w:rsid w:val="005707EC"/>
    <w:rsid w:val="0057096A"/>
    <w:rsid w:val="00570C6F"/>
    <w:rsid w:val="00570F52"/>
    <w:rsid w:val="0057176D"/>
    <w:rsid w:val="00571918"/>
    <w:rsid w:val="0057250C"/>
    <w:rsid w:val="005726A2"/>
    <w:rsid w:val="005728C1"/>
    <w:rsid w:val="00572C80"/>
    <w:rsid w:val="00573185"/>
    <w:rsid w:val="005731A9"/>
    <w:rsid w:val="00573437"/>
    <w:rsid w:val="00573602"/>
    <w:rsid w:val="005738DB"/>
    <w:rsid w:val="00573A6B"/>
    <w:rsid w:val="00573F4D"/>
    <w:rsid w:val="005740F9"/>
    <w:rsid w:val="00574188"/>
    <w:rsid w:val="0057437B"/>
    <w:rsid w:val="005748CC"/>
    <w:rsid w:val="00574B53"/>
    <w:rsid w:val="00574C12"/>
    <w:rsid w:val="00575565"/>
    <w:rsid w:val="00575816"/>
    <w:rsid w:val="0057595D"/>
    <w:rsid w:val="00575994"/>
    <w:rsid w:val="00575EFE"/>
    <w:rsid w:val="00576513"/>
    <w:rsid w:val="0057662F"/>
    <w:rsid w:val="005766FA"/>
    <w:rsid w:val="005768A5"/>
    <w:rsid w:val="00576A3E"/>
    <w:rsid w:val="00576A6B"/>
    <w:rsid w:val="0057773A"/>
    <w:rsid w:val="0058091D"/>
    <w:rsid w:val="00580A3C"/>
    <w:rsid w:val="00580C5D"/>
    <w:rsid w:val="005810A8"/>
    <w:rsid w:val="005812CC"/>
    <w:rsid w:val="005815AF"/>
    <w:rsid w:val="00581A67"/>
    <w:rsid w:val="00581C70"/>
    <w:rsid w:val="0058212B"/>
    <w:rsid w:val="00582198"/>
    <w:rsid w:val="005821A5"/>
    <w:rsid w:val="00582605"/>
    <w:rsid w:val="00582858"/>
    <w:rsid w:val="005828FC"/>
    <w:rsid w:val="0058294F"/>
    <w:rsid w:val="00582A7F"/>
    <w:rsid w:val="0058340F"/>
    <w:rsid w:val="0058375B"/>
    <w:rsid w:val="005839A2"/>
    <w:rsid w:val="00584217"/>
    <w:rsid w:val="0058485E"/>
    <w:rsid w:val="0058510C"/>
    <w:rsid w:val="005851FE"/>
    <w:rsid w:val="0058570C"/>
    <w:rsid w:val="00585872"/>
    <w:rsid w:val="00585993"/>
    <w:rsid w:val="00585A73"/>
    <w:rsid w:val="00585C82"/>
    <w:rsid w:val="00586133"/>
    <w:rsid w:val="00586638"/>
    <w:rsid w:val="00586674"/>
    <w:rsid w:val="00586900"/>
    <w:rsid w:val="00586ADB"/>
    <w:rsid w:val="00586BD2"/>
    <w:rsid w:val="00586C18"/>
    <w:rsid w:val="00586DBF"/>
    <w:rsid w:val="00586F82"/>
    <w:rsid w:val="0058712A"/>
    <w:rsid w:val="005873A7"/>
    <w:rsid w:val="00587CA1"/>
    <w:rsid w:val="00590583"/>
    <w:rsid w:val="005907EE"/>
    <w:rsid w:val="00590962"/>
    <w:rsid w:val="005910E4"/>
    <w:rsid w:val="005912C6"/>
    <w:rsid w:val="00591698"/>
    <w:rsid w:val="00591F84"/>
    <w:rsid w:val="005922E0"/>
    <w:rsid w:val="005923BA"/>
    <w:rsid w:val="005925C7"/>
    <w:rsid w:val="00592661"/>
    <w:rsid w:val="00592B82"/>
    <w:rsid w:val="00592C77"/>
    <w:rsid w:val="00593374"/>
    <w:rsid w:val="00593409"/>
    <w:rsid w:val="00593494"/>
    <w:rsid w:val="0059366C"/>
    <w:rsid w:val="00593B29"/>
    <w:rsid w:val="00593E23"/>
    <w:rsid w:val="00593EA7"/>
    <w:rsid w:val="0059433B"/>
    <w:rsid w:val="005949BC"/>
    <w:rsid w:val="00594E82"/>
    <w:rsid w:val="005953E1"/>
    <w:rsid w:val="00595403"/>
    <w:rsid w:val="005957CC"/>
    <w:rsid w:val="00595AFA"/>
    <w:rsid w:val="00595BF1"/>
    <w:rsid w:val="00595FCC"/>
    <w:rsid w:val="005964DD"/>
    <w:rsid w:val="005967A4"/>
    <w:rsid w:val="00596C1E"/>
    <w:rsid w:val="00597231"/>
    <w:rsid w:val="0059766A"/>
    <w:rsid w:val="005976AB"/>
    <w:rsid w:val="005A03CF"/>
    <w:rsid w:val="005A0640"/>
    <w:rsid w:val="005A06F2"/>
    <w:rsid w:val="005A0A25"/>
    <w:rsid w:val="005A1296"/>
    <w:rsid w:val="005A1359"/>
    <w:rsid w:val="005A17DA"/>
    <w:rsid w:val="005A1B01"/>
    <w:rsid w:val="005A2249"/>
    <w:rsid w:val="005A2257"/>
    <w:rsid w:val="005A22AA"/>
    <w:rsid w:val="005A277F"/>
    <w:rsid w:val="005A2C23"/>
    <w:rsid w:val="005A39E9"/>
    <w:rsid w:val="005A3B4D"/>
    <w:rsid w:val="005A3B5B"/>
    <w:rsid w:val="005A410C"/>
    <w:rsid w:val="005A4348"/>
    <w:rsid w:val="005A46CE"/>
    <w:rsid w:val="005A4894"/>
    <w:rsid w:val="005A49F5"/>
    <w:rsid w:val="005A4C51"/>
    <w:rsid w:val="005A4CF2"/>
    <w:rsid w:val="005A4D2E"/>
    <w:rsid w:val="005A4F3D"/>
    <w:rsid w:val="005A5193"/>
    <w:rsid w:val="005A51B4"/>
    <w:rsid w:val="005A5E9C"/>
    <w:rsid w:val="005A6103"/>
    <w:rsid w:val="005A637D"/>
    <w:rsid w:val="005A651F"/>
    <w:rsid w:val="005A6D19"/>
    <w:rsid w:val="005A6F66"/>
    <w:rsid w:val="005A6FD9"/>
    <w:rsid w:val="005A7F2F"/>
    <w:rsid w:val="005B06DE"/>
    <w:rsid w:val="005B0A8A"/>
    <w:rsid w:val="005B0F59"/>
    <w:rsid w:val="005B0FE6"/>
    <w:rsid w:val="005B13FE"/>
    <w:rsid w:val="005B1D19"/>
    <w:rsid w:val="005B1EF1"/>
    <w:rsid w:val="005B1F8E"/>
    <w:rsid w:val="005B203E"/>
    <w:rsid w:val="005B260D"/>
    <w:rsid w:val="005B29B4"/>
    <w:rsid w:val="005B2BF7"/>
    <w:rsid w:val="005B2C89"/>
    <w:rsid w:val="005B2CAD"/>
    <w:rsid w:val="005B372F"/>
    <w:rsid w:val="005B393F"/>
    <w:rsid w:val="005B3FD3"/>
    <w:rsid w:val="005B437D"/>
    <w:rsid w:val="005B4432"/>
    <w:rsid w:val="005B4467"/>
    <w:rsid w:val="005B4C29"/>
    <w:rsid w:val="005B50B2"/>
    <w:rsid w:val="005B5156"/>
    <w:rsid w:val="005B5983"/>
    <w:rsid w:val="005B61C7"/>
    <w:rsid w:val="005B635D"/>
    <w:rsid w:val="005B676C"/>
    <w:rsid w:val="005B684D"/>
    <w:rsid w:val="005B6A80"/>
    <w:rsid w:val="005B6B6B"/>
    <w:rsid w:val="005B6D5B"/>
    <w:rsid w:val="005B6FC7"/>
    <w:rsid w:val="005B7207"/>
    <w:rsid w:val="005B722C"/>
    <w:rsid w:val="005B7253"/>
    <w:rsid w:val="005B7322"/>
    <w:rsid w:val="005B757D"/>
    <w:rsid w:val="005B7850"/>
    <w:rsid w:val="005B7905"/>
    <w:rsid w:val="005B7B8C"/>
    <w:rsid w:val="005B7BA5"/>
    <w:rsid w:val="005B7D4D"/>
    <w:rsid w:val="005C0177"/>
    <w:rsid w:val="005C017E"/>
    <w:rsid w:val="005C01A6"/>
    <w:rsid w:val="005C01E8"/>
    <w:rsid w:val="005C0358"/>
    <w:rsid w:val="005C040F"/>
    <w:rsid w:val="005C06C9"/>
    <w:rsid w:val="005C07E5"/>
    <w:rsid w:val="005C09AA"/>
    <w:rsid w:val="005C0AFD"/>
    <w:rsid w:val="005C0B60"/>
    <w:rsid w:val="005C1184"/>
    <w:rsid w:val="005C1923"/>
    <w:rsid w:val="005C1930"/>
    <w:rsid w:val="005C1E34"/>
    <w:rsid w:val="005C20E4"/>
    <w:rsid w:val="005C24D0"/>
    <w:rsid w:val="005C24DF"/>
    <w:rsid w:val="005C2580"/>
    <w:rsid w:val="005C2B21"/>
    <w:rsid w:val="005C2B70"/>
    <w:rsid w:val="005C30EB"/>
    <w:rsid w:val="005C311E"/>
    <w:rsid w:val="005C3122"/>
    <w:rsid w:val="005C343E"/>
    <w:rsid w:val="005C3443"/>
    <w:rsid w:val="005C3D0C"/>
    <w:rsid w:val="005C3D18"/>
    <w:rsid w:val="005C41EE"/>
    <w:rsid w:val="005C4479"/>
    <w:rsid w:val="005C46DE"/>
    <w:rsid w:val="005C4913"/>
    <w:rsid w:val="005C4BC5"/>
    <w:rsid w:val="005C502C"/>
    <w:rsid w:val="005C5371"/>
    <w:rsid w:val="005C53EB"/>
    <w:rsid w:val="005C5517"/>
    <w:rsid w:val="005C5963"/>
    <w:rsid w:val="005C59E9"/>
    <w:rsid w:val="005C5A78"/>
    <w:rsid w:val="005C5AF0"/>
    <w:rsid w:val="005C5B5D"/>
    <w:rsid w:val="005C62FE"/>
    <w:rsid w:val="005C68ED"/>
    <w:rsid w:val="005C6C0C"/>
    <w:rsid w:val="005C6DA1"/>
    <w:rsid w:val="005C6ED2"/>
    <w:rsid w:val="005C6FF7"/>
    <w:rsid w:val="005C7066"/>
    <w:rsid w:val="005C73B7"/>
    <w:rsid w:val="005C760C"/>
    <w:rsid w:val="005C7E01"/>
    <w:rsid w:val="005C7FA2"/>
    <w:rsid w:val="005C7FCB"/>
    <w:rsid w:val="005D0334"/>
    <w:rsid w:val="005D0D13"/>
    <w:rsid w:val="005D0D29"/>
    <w:rsid w:val="005D142A"/>
    <w:rsid w:val="005D14A2"/>
    <w:rsid w:val="005D14FE"/>
    <w:rsid w:val="005D1563"/>
    <w:rsid w:val="005D1A2C"/>
    <w:rsid w:val="005D1B3F"/>
    <w:rsid w:val="005D1B9A"/>
    <w:rsid w:val="005D1F9C"/>
    <w:rsid w:val="005D23C5"/>
    <w:rsid w:val="005D29E0"/>
    <w:rsid w:val="005D2B88"/>
    <w:rsid w:val="005D2C73"/>
    <w:rsid w:val="005D34EE"/>
    <w:rsid w:val="005D372D"/>
    <w:rsid w:val="005D374C"/>
    <w:rsid w:val="005D3801"/>
    <w:rsid w:val="005D381E"/>
    <w:rsid w:val="005D3896"/>
    <w:rsid w:val="005D3C17"/>
    <w:rsid w:val="005D3D8B"/>
    <w:rsid w:val="005D428B"/>
    <w:rsid w:val="005D4505"/>
    <w:rsid w:val="005D4D50"/>
    <w:rsid w:val="005D4F22"/>
    <w:rsid w:val="005D4F3B"/>
    <w:rsid w:val="005D5504"/>
    <w:rsid w:val="005D59A8"/>
    <w:rsid w:val="005D5B8F"/>
    <w:rsid w:val="005D5CFC"/>
    <w:rsid w:val="005D6115"/>
    <w:rsid w:val="005D659B"/>
    <w:rsid w:val="005D6644"/>
    <w:rsid w:val="005D6CDE"/>
    <w:rsid w:val="005D7355"/>
    <w:rsid w:val="005D7BE8"/>
    <w:rsid w:val="005E0074"/>
    <w:rsid w:val="005E00E9"/>
    <w:rsid w:val="005E04B1"/>
    <w:rsid w:val="005E051C"/>
    <w:rsid w:val="005E0DEF"/>
    <w:rsid w:val="005E144A"/>
    <w:rsid w:val="005E14F8"/>
    <w:rsid w:val="005E15D4"/>
    <w:rsid w:val="005E1B0D"/>
    <w:rsid w:val="005E1DE8"/>
    <w:rsid w:val="005E211F"/>
    <w:rsid w:val="005E21CD"/>
    <w:rsid w:val="005E236B"/>
    <w:rsid w:val="005E2B10"/>
    <w:rsid w:val="005E30E4"/>
    <w:rsid w:val="005E31FB"/>
    <w:rsid w:val="005E3659"/>
    <w:rsid w:val="005E3A22"/>
    <w:rsid w:val="005E3E83"/>
    <w:rsid w:val="005E3F7C"/>
    <w:rsid w:val="005E405E"/>
    <w:rsid w:val="005E4624"/>
    <w:rsid w:val="005E47F1"/>
    <w:rsid w:val="005E49C9"/>
    <w:rsid w:val="005E49F2"/>
    <w:rsid w:val="005E4A76"/>
    <w:rsid w:val="005E4BCB"/>
    <w:rsid w:val="005E4DE5"/>
    <w:rsid w:val="005E5015"/>
    <w:rsid w:val="005E5049"/>
    <w:rsid w:val="005E5493"/>
    <w:rsid w:val="005E54E5"/>
    <w:rsid w:val="005E5645"/>
    <w:rsid w:val="005E6169"/>
    <w:rsid w:val="005E682F"/>
    <w:rsid w:val="005E6943"/>
    <w:rsid w:val="005E6AE5"/>
    <w:rsid w:val="005E6E35"/>
    <w:rsid w:val="005E74F7"/>
    <w:rsid w:val="005E75AE"/>
    <w:rsid w:val="005E776F"/>
    <w:rsid w:val="005E7E32"/>
    <w:rsid w:val="005E7EC7"/>
    <w:rsid w:val="005F00E1"/>
    <w:rsid w:val="005F0281"/>
    <w:rsid w:val="005F0518"/>
    <w:rsid w:val="005F05B3"/>
    <w:rsid w:val="005F0A71"/>
    <w:rsid w:val="005F0FA6"/>
    <w:rsid w:val="005F0FBD"/>
    <w:rsid w:val="005F1439"/>
    <w:rsid w:val="005F14D9"/>
    <w:rsid w:val="005F1D76"/>
    <w:rsid w:val="005F2083"/>
    <w:rsid w:val="005F21D7"/>
    <w:rsid w:val="005F2274"/>
    <w:rsid w:val="005F24B1"/>
    <w:rsid w:val="005F2658"/>
    <w:rsid w:val="005F2A77"/>
    <w:rsid w:val="005F2D2F"/>
    <w:rsid w:val="005F2EB4"/>
    <w:rsid w:val="005F3116"/>
    <w:rsid w:val="005F32EA"/>
    <w:rsid w:val="005F3A8B"/>
    <w:rsid w:val="005F3EC5"/>
    <w:rsid w:val="005F409C"/>
    <w:rsid w:val="005F4266"/>
    <w:rsid w:val="005F44FB"/>
    <w:rsid w:val="005F45A1"/>
    <w:rsid w:val="005F45B6"/>
    <w:rsid w:val="005F47DC"/>
    <w:rsid w:val="005F48FB"/>
    <w:rsid w:val="005F4BD8"/>
    <w:rsid w:val="005F4C9F"/>
    <w:rsid w:val="005F5083"/>
    <w:rsid w:val="005F5114"/>
    <w:rsid w:val="005F5B30"/>
    <w:rsid w:val="005F5B75"/>
    <w:rsid w:val="005F5E5C"/>
    <w:rsid w:val="005F5ED6"/>
    <w:rsid w:val="005F6074"/>
    <w:rsid w:val="005F60FE"/>
    <w:rsid w:val="005F65D1"/>
    <w:rsid w:val="005F6BF3"/>
    <w:rsid w:val="005F6FAE"/>
    <w:rsid w:val="00600135"/>
    <w:rsid w:val="00600334"/>
    <w:rsid w:val="00600909"/>
    <w:rsid w:val="00600925"/>
    <w:rsid w:val="00600A89"/>
    <w:rsid w:val="00600FA1"/>
    <w:rsid w:val="006014D0"/>
    <w:rsid w:val="006017C8"/>
    <w:rsid w:val="00601D10"/>
    <w:rsid w:val="00601DDC"/>
    <w:rsid w:val="00601F06"/>
    <w:rsid w:val="00601FEB"/>
    <w:rsid w:val="00602000"/>
    <w:rsid w:val="006023AA"/>
    <w:rsid w:val="006023B5"/>
    <w:rsid w:val="006027DB"/>
    <w:rsid w:val="00602838"/>
    <w:rsid w:val="00602A6E"/>
    <w:rsid w:val="00602F20"/>
    <w:rsid w:val="00603859"/>
    <w:rsid w:val="00604125"/>
    <w:rsid w:val="006045E2"/>
    <w:rsid w:val="00604CF1"/>
    <w:rsid w:val="00604FA2"/>
    <w:rsid w:val="006053AA"/>
    <w:rsid w:val="00605E57"/>
    <w:rsid w:val="00605F4F"/>
    <w:rsid w:val="006065AE"/>
    <w:rsid w:val="00606930"/>
    <w:rsid w:val="006069B5"/>
    <w:rsid w:val="00606C67"/>
    <w:rsid w:val="006075E0"/>
    <w:rsid w:val="00607AD2"/>
    <w:rsid w:val="00607C9D"/>
    <w:rsid w:val="00607CB5"/>
    <w:rsid w:val="00607F13"/>
    <w:rsid w:val="00607FBA"/>
    <w:rsid w:val="00610162"/>
    <w:rsid w:val="006105DB"/>
    <w:rsid w:val="0061095B"/>
    <w:rsid w:val="00610A57"/>
    <w:rsid w:val="00611572"/>
    <w:rsid w:val="0061178C"/>
    <w:rsid w:val="00611A60"/>
    <w:rsid w:val="00611F4A"/>
    <w:rsid w:val="006120A6"/>
    <w:rsid w:val="006123C2"/>
    <w:rsid w:val="00612D55"/>
    <w:rsid w:val="00612DBD"/>
    <w:rsid w:val="00612F93"/>
    <w:rsid w:val="006130F3"/>
    <w:rsid w:val="00613B40"/>
    <w:rsid w:val="00614629"/>
    <w:rsid w:val="006146A2"/>
    <w:rsid w:val="00614EEC"/>
    <w:rsid w:val="006150D1"/>
    <w:rsid w:val="006153CC"/>
    <w:rsid w:val="00615FBF"/>
    <w:rsid w:val="00616421"/>
    <w:rsid w:val="00616653"/>
    <w:rsid w:val="00616B89"/>
    <w:rsid w:val="00617035"/>
    <w:rsid w:val="0061717E"/>
    <w:rsid w:val="006171B6"/>
    <w:rsid w:val="00621052"/>
    <w:rsid w:val="0062121F"/>
    <w:rsid w:val="006213E8"/>
    <w:rsid w:val="00621F06"/>
    <w:rsid w:val="00622425"/>
    <w:rsid w:val="006225CE"/>
    <w:rsid w:val="00622669"/>
    <w:rsid w:val="00622D47"/>
    <w:rsid w:val="00622EE2"/>
    <w:rsid w:val="006231A0"/>
    <w:rsid w:val="00623390"/>
    <w:rsid w:val="006235B3"/>
    <w:rsid w:val="00623721"/>
    <w:rsid w:val="0062376C"/>
    <w:rsid w:val="00623896"/>
    <w:rsid w:val="00623AD1"/>
    <w:rsid w:val="00623E38"/>
    <w:rsid w:val="00623EA7"/>
    <w:rsid w:val="00623F58"/>
    <w:rsid w:val="006240AC"/>
    <w:rsid w:val="00624226"/>
    <w:rsid w:val="00624428"/>
    <w:rsid w:val="00624441"/>
    <w:rsid w:val="00624505"/>
    <w:rsid w:val="0062468A"/>
    <w:rsid w:val="0062493C"/>
    <w:rsid w:val="0062525A"/>
    <w:rsid w:val="006257B0"/>
    <w:rsid w:val="00625ABB"/>
    <w:rsid w:val="00626530"/>
    <w:rsid w:val="00626534"/>
    <w:rsid w:val="0062661D"/>
    <w:rsid w:val="00626B8B"/>
    <w:rsid w:val="006274BC"/>
    <w:rsid w:val="00627587"/>
    <w:rsid w:val="006279E7"/>
    <w:rsid w:val="00627ADE"/>
    <w:rsid w:val="00630163"/>
    <w:rsid w:val="00630364"/>
    <w:rsid w:val="00630598"/>
    <w:rsid w:val="006306CB"/>
    <w:rsid w:val="00630E43"/>
    <w:rsid w:val="00631267"/>
    <w:rsid w:val="006312DA"/>
    <w:rsid w:val="00631629"/>
    <w:rsid w:val="00631857"/>
    <w:rsid w:val="00631BFF"/>
    <w:rsid w:val="00631D47"/>
    <w:rsid w:val="00631E55"/>
    <w:rsid w:val="006322EC"/>
    <w:rsid w:val="0063262D"/>
    <w:rsid w:val="00632884"/>
    <w:rsid w:val="00632915"/>
    <w:rsid w:val="00632CB8"/>
    <w:rsid w:val="00632DAF"/>
    <w:rsid w:val="0063327D"/>
    <w:rsid w:val="006336DF"/>
    <w:rsid w:val="00633A7B"/>
    <w:rsid w:val="00633B37"/>
    <w:rsid w:val="00633CD3"/>
    <w:rsid w:val="00633DBE"/>
    <w:rsid w:val="00633F39"/>
    <w:rsid w:val="00634027"/>
    <w:rsid w:val="0063454C"/>
    <w:rsid w:val="00634659"/>
    <w:rsid w:val="00634717"/>
    <w:rsid w:val="006348AC"/>
    <w:rsid w:val="00634B82"/>
    <w:rsid w:val="006354AB"/>
    <w:rsid w:val="0063550C"/>
    <w:rsid w:val="006355A7"/>
    <w:rsid w:val="0063592A"/>
    <w:rsid w:val="00635B95"/>
    <w:rsid w:val="00635D62"/>
    <w:rsid w:val="00636199"/>
    <w:rsid w:val="006362AB"/>
    <w:rsid w:val="006366BA"/>
    <w:rsid w:val="0063686D"/>
    <w:rsid w:val="00636AC6"/>
    <w:rsid w:val="00636CC5"/>
    <w:rsid w:val="00636E67"/>
    <w:rsid w:val="00636F8A"/>
    <w:rsid w:val="00636FEA"/>
    <w:rsid w:val="006373A6"/>
    <w:rsid w:val="006376BB"/>
    <w:rsid w:val="0063780F"/>
    <w:rsid w:val="00637EF9"/>
    <w:rsid w:val="00640642"/>
    <w:rsid w:val="006409FB"/>
    <w:rsid w:val="00640AAE"/>
    <w:rsid w:val="00640C22"/>
    <w:rsid w:val="00640DDF"/>
    <w:rsid w:val="00640DE7"/>
    <w:rsid w:val="0064106E"/>
    <w:rsid w:val="006412B2"/>
    <w:rsid w:val="00641541"/>
    <w:rsid w:val="006416F0"/>
    <w:rsid w:val="00641B2A"/>
    <w:rsid w:val="00641E05"/>
    <w:rsid w:val="00641E3B"/>
    <w:rsid w:val="006420C5"/>
    <w:rsid w:val="00642533"/>
    <w:rsid w:val="00642D57"/>
    <w:rsid w:val="00642E93"/>
    <w:rsid w:val="00642F20"/>
    <w:rsid w:val="00643536"/>
    <w:rsid w:val="00643583"/>
    <w:rsid w:val="00643706"/>
    <w:rsid w:val="006437DB"/>
    <w:rsid w:val="00643834"/>
    <w:rsid w:val="00643E5B"/>
    <w:rsid w:val="0064425A"/>
    <w:rsid w:val="00644409"/>
    <w:rsid w:val="006446ED"/>
    <w:rsid w:val="00644C9D"/>
    <w:rsid w:val="006453AA"/>
    <w:rsid w:val="00645808"/>
    <w:rsid w:val="00645E22"/>
    <w:rsid w:val="0064603C"/>
    <w:rsid w:val="0064629E"/>
    <w:rsid w:val="006465D0"/>
    <w:rsid w:val="006466CA"/>
    <w:rsid w:val="006468EC"/>
    <w:rsid w:val="0064706A"/>
    <w:rsid w:val="00647070"/>
    <w:rsid w:val="0064719E"/>
    <w:rsid w:val="0064750C"/>
    <w:rsid w:val="0064753C"/>
    <w:rsid w:val="006478F9"/>
    <w:rsid w:val="00647C3A"/>
    <w:rsid w:val="00647EA8"/>
    <w:rsid w:val="00650105"/>
    <w:rsid w:val="0065036C"/>
    <w:rsid w:val="0065036D"/>
    <w:rsid w:val="00650649"/>
    <w:rsid w:val="006506D2"/>
    <w:rsid w:val="006507AA"/>
    <w:rsid w:val="00650830"/>
    <w:rsid w:val="00650B4A"/>
    <w:rsid w:val="00650D8A"/>
    <w:rsid w:val="00651110"/>
    <w:rsid w:val="00651369"/>
    <w:rsid w:val="00651585"/>
    <w:rsid w:val="00651683"/>
    <w:rsid w:val="006521B6"/>
    <w:rsid w:val="006521F2"/>
    <w:rsid w:val="00652646"/>
    <w:rsid w:val="00652685"/>
    <w:rsid w:val="006528DB"/>
    <w:rsid w:val="00652C5A"/>
    <w:rsid w:val="006530AA"/>
    <w:rsid w:val="006532DB"/>
    <w:rsid w:val="006533BD"/>
    <w:rsid w:val="006534E8"/>
    <w:rsid w:val="0065371C"/>
    <w:rsid w:val="006537DC"/>
    <w:rsid w:val="006539E2"/>
    <w:rsid w:val="00653B0C"/>
    <w:rsid w:val="00653DF0"/>
    <w:rsid w:val="00654029"/>
    <w:rsid w:val="006541CE"/>
    <w:rsid w:val="00654411"/>
    <w:rsid w:val="00654665"/>
    <w:rsid w:val="00654A7A"/>
    <w:rsid w:val="00654A92"/>
    <w:rsid w:val="00654DAC"/>
    <w:rsid w:val="006554DA"/>
    <w:rsid w:val="0065591D"/>
    <w:rsid w:val="00655C13"/>
    <w:rsid w:val="00655EED"/>
    <w:rsid w:val="0065608E"/>
    <w:rsid w:val="00656419"/>
    <w:rsid w:val="006565DB"/>
    <w:rsid w:val="006566EC"/>
    <w:rsid w:val="0065670C"/>
    <w:rsid w:val="00656B27"/>
    <w:rsid w:val="00656B5D"/>
    <w:rsid w:val="00656B7C"/>
    <w:rsid w:val="00656DFF"/>
    <w:rsid w:val="006570FA"/>
    <w:rsid w:val="006572F1"/>
    <w:rsid w:val="0065756C"/>
    <w:rsid w:val="0065767F"/>
    <w:rsid w:val="00657FE1"/>
    <w:rsid w:val="00660050"/>
    <w:rsid w:val="006601CF"/>
    <w:rsid w:val="006601E9"/>
    <w:rsid w:val="00660397"/>
    <w:rsid w:val="00660DCD"/>
    <w:rsid w:val="0066130A"/>
    <w:rsid w:val="00661373"/>
    <w:rsid w:val="0066158B"/>
    <w:rsid w:val="00661B12"/>
    <w:rsid w:val="00661D43"/>
    <w:rsid w:val="00661E42"/>
    <w:rsid w:val="00661F48"/>
    <w:rsid w:val="006621C9"/>
    <w:rsid w:val="0066234E"/>
    <w:rsid w:val="006624BB"/>
    <w:rsid w:val="00662578"/>
    <w:rsid w:val="0066294F"/>
    <w:rsid w:val="00662975"/>
    <w:rsid w:val="00662B68"/>
    <w:rsid w:val="00662F3B"/>
    <w:rsid w:val="006633D3"/>
    <w:rsid w:val="006639E5"/>
    <w:rsid w:val="00663AAE"/>
    <w:rsid w:val="00663C6E"/>
    <w:rsid w:val="00663E43"/>
    <w:rsid w:val="006640DE"/>
    <w:rsid w:val="00664104"/>
    <w:rsid w:val="006645E0"/>
    <w:rsid w:val="006647BE"/>
    <w:rsid w:val="0066485F"/>
    <w:rsid w:val="00664C71"/>
    <w:rsid w:val="00664CCE"/>
    <w:rsid w:val="00664FE7"/>
    <w:rsid w:val="00665093"/>
    <w:rsid w:val="00665112"/>
    <w:rsid w:val="006651C7"/>
    <w:rsid w:val="0066520B"/>
    <w:rsid w:val="006654F9"/>
    <w:rsid w:val="0066574C"/>
    <w:rsid w:val="00665D41"/>
    <w:rsid w:val="00665D51"/>
    <w:rsid w:val="00665FDF"/>
    <w:rsid w:val="006664F1"/>
    <w:rsid w:val="00666820"/>
    <w:rsid w:val="00666944"/>
    <w:rsid w:val="0066696E"/>
    <w:rsid w:val="00666CE2"/>
    <w:rsid w:val="0066778B"/>
    <w:rsid w:val="00667ABC"/>
    <w:rsid w:val="00667ED4"/>
    <w:rsid w:val="00667EFC"/>
    <w:rsid w:val="00670023"/>
    <w:rsid w:val="00670114"/>
    <w:rsid w:val="00670358"/>
    <w:rsid w:val="006707B4"/>
    <w:rsid w:val="00670DD0"/>
    <w:rsid w:val="00670E18"/>
    <w:rsid w:val="00670F47"/>
    <w:rsid w:val="0067127A"/>
    <w:rsid w:val="006716D2"/>
    <w:rsid w:val="0067182A"/>
    <w:rsid w:val="00672371"/>
    <w:rsid w:val="00672418"/>
    <w:rsid w:val="0067265B"/>
    <w:rsid w:val="00672A4C"/>
    <w:rsid w:val="006731C0"/>
    <w:rsid w:val="00673361"/>
    <w:rsid w:val="006735EA"/>
    <w:rsid w:val="006736D8"/>
    <w:rsid w:val="006737CD"/>
    <w:rsid w:val="006737D0"/>
    <w:rsid w:val="006737EA"/>
    <w:rsid w:val="00673E58"/>
    <w:rsid w:val="0067410E"/>
    <w:rsid w:val="006741D5"/>
    <w:rsid w:val="006744D5"/>
    <w:rsid w:val="00674511"/>
    <w:rsid w:val="0067458B"/>
    <w:rsid w:val="00674673"/>
    <w:rsid w:val="00674704"/>
    <w:rsid w:val="00674895"/>
    <w:rsid w:val="00674C60"/>
    <w:rsid w:val="00674FBE"/>
    <w:rsid w:val="006751C4"/>
    <w:rsid w:val="00675574"/>
    <w:rsid w:val="00675CF1"/>
    <w:rsid w:val="00675D2E"/>
    <w:rsid w:val="00675F07"/>
    <w:rsid w:val="00676045"/>
    <w:rsid w:val="006761AB"/>
    <w:rsid w:val="00676551"/>
    <w:rsid w:val="00676623"/>
    <w:rsid w:val="006768EC"/>
    <w:rsid w:val="0067693A"/>
    <w:rsid w:val="00676E5F"/>
    <w:rsid w:val="00677537"/>
    <w:rsid w:val="0067777B"/>
    <w:rsid w:val="00677786"/>
    <w:rsid w:val="006777B1"/>
    <w:rsid w:val="006779B7"/>
    <w:rsid w:val="00677B5E"/>
    <w:rsid w:val="00677C67"/>
    <w:rsid w:val="00677FDC"/>
    <w:rsid w:val="00680094"/>
    <w:rsid w:val="006801E2"/>
    <w:rsid w:val="0068059B"/>
    <w:rsid w:val="00680BFD"/>
    <w:rsid w:val="00680C3D"/>
    <w:rsid w:val="00680C5C"/>
    <w:rsid w:val="00681420"/>
    <w:rsid w:val="00681545"/>
    <w:rsid w:val="00681A4D"/>
    <w:rsid w:val="00681D2E"/>
    <w:rsid w:val="00682445"/>
    <w:rsid w:val="00682581"/>
    <w:rsid w:val="006826AE"/>
    <w:rsid w:val="006826B9"/>
    <w:rsid w:val="0068280B"/>
    <w:rsid w:val="00682BC4"/>
    <w:rsid w:val="00682C98"/>
    <w:rsid w:val="00682F73"/>
    <w:rsid w:val="00683475"/>
    <w:rsid w:val="006834FA"/>
    <w:rsid w:val="00684236"/>
    <w:rsid w:val="00684360"/>
    <w:rsid w:val="0068438B"/>
    <w:rsid w:val="00684ADD"/>
    <w:rsid w:val="00684B68"/>
    <w:rsid w:val="00684C4E"/>
    <w:rsid w:val="006858EA"/>
    <w:rsid w:val="00685C2F"/>
    <w:rsid w:val="00686608"/>
    <w:rsid w:val="0068660C"/>
    <w:rsid w:val="0068669D"/>
    <w:rsid w:val="006866A0"/>
    <w:rsid w:val="00686D66"/>
    <w:rsid w:val="00686EF1"/>
    <w:rsid w:val="006870EF"/>
    <w:rsid w:val="006871E1"/>
    <w:rsid w:val="00687642"/>
    <w:rsid w:val="0068783C"/>
    <w:rsid w:val="00687C3A"/>
    <w:rsid w:val="00690092"/>
    <w:rsid w:val="00690153"/>
    <w:rsid w:val="00690DA9"/>
    <w:rsid w:val="00691647"/>
    <w:rsid w:val="00691A32"/>
    <w:rsid w:val="006923AA"/>
    <w:rsid w:val="00692691"/>
    <w:rsid w:val="006926A9"/>
    <w:rsid w:val="00692B85"/>
    <w:rsid w:val="00692F73"/>
    <w:rsid w:val="0069366F"/>
    <w:rsid w:val="00693C02"/>
    <w:rsid w:val="00693C8A"/>
    <w:rsid w:val="00693FE7"/>
    <w:rsid w:val="0069429B"/>
    <w:rsid w:val="00694395"/>
    <w:rsid w:val="00694DFD"/>
    <w:rsid w:val="00694E50"/>
    <w:rsid w:val="00694FEA"/>
    <w:rsid w:val="00695111"/>
    <w:rsid w:val="006957E2"/>
    <w:rsid w:val="00695A51"/>
    <w:rsid w:val="00695BBF"/>
    <w:rsid w:val="006965BB"/>
    <w:rsid w:val="006965BD"/>
    <w:rsid w:val="006965D7"/>
    <w:rsid w:val="00697303"/>
    <w:rsid w:val="006974AA"/>
    <w:rsid w:val="006975A4"/>
    <w:rsid w:val="00697954"/>
    <w:rsid w:val="00697A0E"/>
    <w:rsid w:val="00697AD0"/>
    <w:rsid w:val="006A0615"/>
    <w:rsid w:val="006A062C"/>
    <w:rsid w:val="006A0775"/>
    <w:rsid w:val="006A0B3B"/>
    <w:rsid w:val="006A0BCF"/>
    <w:rsid w:val="006A0D4F"/>
    <w:rsid w:val="006A112B"/>
    <w:rsid w:val="006A1B14"/>
    <w:rsid w:val="006A252E"/>
    <w:rsid w:val="006A2AF7"/>
    <w:rsid w:val="006A359F"/>
    <w:rsid w:val="006A3817"/>
    <w:rsid w:val="006A3835"/>
    <w:rsid w:val="006A386F"/>
    <w:rsid w:val="006A38A9"/>
    <w:rsid w:val="006A3C16"/>
    <w:rsid w:val="006A3FC7"/>
    <w:rsid w:val="006A43BD"/>
    <w:rsid w:val="006A45F0"/>
    <w:rsid w:val="006A48C1"/>
    <w:rsid w:val="006A4B28"/>
    <w:rsid w:val="006A4C2B"/>
    <w:rsid w:val="006A4F12"/>
    <w:rsid w:val="006A5183"/>
    <w:rsid w:val="006A53FA"/>
    <w:rsid w:val="006A5434"/>
    <w:rsid w:val="006A550F"/>
    <w:rsid w:val="006A554A"/>
    <w:rsid w:val="006A58D6"/>
    <w:rsid w:val="006A5BB5"/>
    <w:rsid w:val="006A5D81"/>
    <w:rsid w:val="006A62A9"/>
    <w:rsid w:val="006A66C8"/>
    <w:rsid w:val="006A69A6"/>
    <w:rsid w:val="006A6D14"/>
    <w:rsid w:val="006A6EE8"/>
    <w:rsid w:val="006A6F0F"/>
    <w:rsid w:val="006A6F45"/>
    <w:rsid w:val="006A6FE2"/>
    <w:rsid w:val="006A7456"/>
    <w:rsid w:val="006A77F2"/>
    <w:rsid w:val="006A7D42"/>
    <w:rsid w:val="006A7F65"/>
    <w:rsid w:val="006B00D0"/>
    <w:rsid w:val="006B0C89"/>
    <w:rsid w:val="006B0DB7"/>
    <w:rsid w:val="006B0F6A"/>
    <w:rsid w:val="006B105E"/>
    <w:rsid w:val="006B13BD"/>
    <w:rsid w:val="006B1E80"/>
    <w:rsid w:val="006B1FB4"/>
    <w:rsid w:val="006B23B4"/>
    <w:rsid w:val="006B2682"/>
    <w:rsid w:val="006B277D"/>
    <w:rsid w:val="006B29ED"/>
    <w:rsid w:val="006B2EEE"/>
    <w:rsid w:val="006B3B66"/>
    <w:rsid w:val="006B3CFC"/>
    <w:rsid w:val="006B3E21"/>
    <w:rsid w:val="006B3E84"/>
    <w:rsid w:val="006B4052"/>
    <w:rsid w:val="006B455F"/>
    <w:rsid w:val="006B4656"/>
    <w:rsid w:val="006B4701"/>
    <w:rsid w:val="006B521A"/>
    <w:rsid w:val="006B522F"/>
    <w:rsid w:val="006B5ACB"/>
    <w:rsid w:val="006B5CF7"/>
    <w:rsid w:val="006B5D60"/>
    <w:rsid w:val="006B5D7F"/>
    <w:rsid w:val="006B5F1C"/>
    <w:rsid w:val="006B5FEB"/>
    <w:rsid w:val="006B658F"/>
    <w:rsid w:val="006B6865"/>
    <w:rsid w:val="006B73E6"/>
    <w:rsid w:val="006B7616"/>
    <w:rsid w:val="006B77F1"/>
    <w:rsid w:val="006B78C5"/>
    <w:rsid w:val="006B79AC"/>
    <w:rsid w:val="006B7D0E"/>
    <w:rsid w:val="006B7E0F"/>
    <w:rsid w:val="006C0F83"/>
    <w:rsid w:val="006C10BA"/>
    <w:rsid w:val="006C1596"/>
    <w:rsid w:val="006C1649"/>
    <w:rsid w:val="006C1855"/>
    <w:rsid w:val="006C1A46"/>
    <w:rsid w:val="006C222D"/>
    <w:rsid w:val="006C262A"/>
    <w:rsid w:val="006C2A62"/>
    <w:rsid w:val="006C3159"/>
    <w:rsid w:val="006C44A1"/>
    <w:rsid w:val="006C49D3"/>
    <w:rsid w:val="006C4E4B"/>
    <w:rsid w:val="006C539C"/>
    <w:rsid w:val="006C53B9"/>
    <w:rsid w:val="006C541E"/>
    <w:rsid w:val="006C6025"/>
    <w:rsid w:val="006C610A"/>
    <w:rsid w:val="006C62D4"/>
    <w:rsid w:val="006C66F4"/>
    <w:rsid w:val="006C6C08"/>
    <w:rsid w:val="006C6D22"/>
    <w:rsid w:val="006C6DDE"/>
    <w:rsid w:val="006C6FC6"/>
    <w:rsid w:val="006C6FD1"/>
    <w:rsid w:val="006C7083"/>
    <w:rsid w:val="006C7379"/>
    <w:rsid w:val="006C7607"/>
    <w:rsid w:val="006C76DC"/>
    <w:rsid w:val="006C7BA3"/>
    <w:rsid w:val="006C7E25"/>
    <w:rsid w:val="006D0318"/>
    <w:rsid w:val="006D0587"/>
    <w:rsid w:val="006D0BFB"/>
    <w:rsid w:val="006D14D7"/>
    <w:rsid w:val="006D1962"/>
    <w:rsid w:val="006D1A1E"/>
    <w:rsid w:val="006D1E1B"/>
    <w:rsid w:val="006D2076"/>
    <w:rsid w:val="006D21C8"/>
    <w:rsid w:val="006D2D8A"/>
    <w:rsid w:val="006D2D98"/>
    <w:rsid w:val="006D2E0B"/>
    <w:rsid w:val="006D2FE4"/>
    <w:rsid w:val="006D34E3"/>
    <w:rsid w:val="006D35B1"/>
    <w:rsid w:val="006D39CE"/>
    <w:rsid w:val="006D3AD7"/>
    <w:rsid w:val="006D3BFE"/>
    <w:rsid w:val="006D3F99"/>
    <w:rsid w:val="006D3FAE"/>
    <w:rsid w:val="006D4140"/>
    <w:rsid w:val="006D416F"/>
    <w:rsid w:val="006D4374"/>
    <w:rsid w:val="006D4436"/>
    <w:rsid w:val="006D44FB"/>
    <w:rsid w:val="006D45AC"/>
    <w:rsid w:val="006D4B9F"/>
    <w:rsid w:val="006D4C48"/>
    <w:rsid w:val="006D4F02"/>
    <w:rsid w:val="006D52F0"/>
    <w:rsid w:val="006D5320"/>
    <w:rsid w:val="006D5617"/>
    <w:rsid w:val="006D599F"/>
    <w:rsid w:val="006D5B30"/>
    <w:rsid w:val="006D624C"/>
    <w:rsid w:val="006D63B6"/>
    <w:rsid w:val="006D6543"/>
    <w:rsid w:val="006D6C75"/>
    <w:rsid w:val="006D6EE1"/>
    <w:rsid w:val="006D72F2"/>
    <w:rsid w:val="006D7363"/>
    <w:rsid w:val="006D785E"/>
    <w:rsid w:val="006D7A9E"/>
    <w:rsid w:val="006E03A6"/>
    <w:rsid w:val="006E0494"/>
    <w:rsid w:val="006E0632"/>
    <w:rsid w:val="006E0977"/>
    <w:rsid w:val="006E098D"/>
    <w:rsid w:val="006E11DD"/>
    <w:rsid w:val="006E13A4"/>
    <w:rsid w:val="006E17DF"/>
    <w:rsid w:val="006E186E"/>
    <w:rsid w:val="006E1927"/>
    <w:rsid w:val="006E1A1C"/>
    <w:rsid w:val="006E1D72"/>
    <w:rsid w:val="006E20A8"/>
    <w:rsid w:val="006E24F0"/>
    <w:rsid w:val="006E2FDA"/>
    <w:rsid w:val="006E3235"/>
    <w:rsid w:val="006E36D5"/>
    <w:rsid w:val="006E406B"/>
    <w:rsid w:val="006E44F7"/>
    <w:rsid w:val="006E4638"/>
    <w:rsid w:val="006E49C8"/>
    <w:rsid w:val="006E4B07"/>
    <w:rsid w:val="006E4B97"/>
    <w:rsid w:val="006E4E65"/>
    <w:rsid w:val="006E4FAE"/>
    <w:rsid w:val="006E5431"/>
    <w:rsid w:val="006E5445"/>
    <w:rsid w:val="006E5846"/>
    <w:rsid w:val="006E5F93"/>
    <w:rsid w:val="006E6E96"/>
    <w:rsid w:val="006E74E1"/>
    <w:rsid w:val="006E7568"/>
    <w:rsid w:val="006E7C8D"/>
    <w:rsid w:val="006E7E1B"/>
    <w:rsid w:val="006E7E2D"/>
    <w:rsid w:val="006E7F8D"/>
    <w:rsid w:val="006F04E7"/>
    <w:rsid w:val="006F0705"/>
    <w:rsid w:val="006F0FA6"/>
    <w:rsid w:val="006F0FF5"/>
    <w:rsid w:val="006F15BC"/>
    <w:rsid w:val="006F1A28"/>
    <w:rsid w:val="006F1B02"/>
    <w:rsid w:val="006F1BF4"/>
    <w:rsid w:val="006F2009"/>
    <w:rsid w:val="006F2DA2"/>
    <w:rsid w:val="006F2DF2"/>
    <w:rsid w:val="006F3060"/>
    <w:rsid w:val="006F3272"/>
    <w:rsid w:val="006F32DD"/>
    <w:rsid w:val="006F337E"/>
    <w:rsid w:val="006F345D"/>
    <w:rsid w:val="006F367E"/>
    <w:rsid w:val="006F3B75"/>
    <w:rsid w:val="006F3CFD"/>
    <w:rsid w:val="006F45B2"/>
    <w:rsid w:val="006F473D"/>
    <w:rsid w:val="006F4849"/>
    <w:rsid w:val="006F4B5A"/>
    <w:rsid w:val="006F4BE3"/>
    <w:rsid w:val="006F4E0F"/>
    <w:rsid w:val="006F4F9C"/>
    <w:rsid w:val="006F506E"/>
    <w:rsid w:val="006F5242"/>
    <w:rsid w:val="006F5257"/>
    <w:rsid w:val="006F5362"/>
    <w:rsid w:val="006F56BC"/>
    <w:rsid w:val="006F58A6"/>
    <w:rsid w:val="006F5C33"/>
    <w:rsid w:val="006F5D32"/>
    <w:rsid w:val="006F64C9"/>
    <w:rsid w:val="006F665A"/>
    <w:rsid w:val="006F6B72"/>
    <w:rsid w:val="006F6E10"/>
    <w:rsid w:val="006F744C"/>
    <w:rsid w:val="006F74DC"/>
    <w:rsid w:val="006F7C61"/>
    <w:rsid w:val="0070001A"/>
    <w:rsid w:val="0070036C"/>
    <w:rsid w:val="00700374"/>
    <w:rsid w:val="007003B9"/>
    <w:rsid w:val="007009D8"/>
    <w:rsid w:val="007009F9"/>
    <w:rsid w:val="007011CF"/>
    <w:rsid w:val="00701371"/>
    <w:rsid w:val="007013E3"/>
    <w:rsid w:val="007018DB"/>
    <w:rsid w:val="007027BA"/>
    <w:rsid w:val="00702881"/>
    <w:rsid w:val="00702D6A"/>
    <w:rsid w:val="00702F64"/>
    <w:rsid w:val="00703AAA"/>
    <w:rsid w:val="007048BE"/>
    <w:rsid w:val="0070499A"/>
    <w:rsid w:val="00704E21"/>
    <w:rsid w:val="00704FCC"/>
    <w:rsid w:val="00705123"/>
    <w:rsid w:val="0070516A"/>
    <w:rsid w:val="00705257"/>
    <w:rsid w:val="00705478"/>
    <w:rsid w:val="00705C47"/>
    <w:rsid w:val="0070628B"/>
    <w:rsid w:val="00706B1B"/>
    <w:rsid w:val="00706D9F"/>
    <w:rsid w:val="00707198"/>
    <w:rsid w:val="007076DD"/>
    <w:rsid w:val="00707854"/>
    <w:rsid w:val="00707C91"/>
    <w:rsid w:val="00707EE4"/>
    <w:rsid w:val="00707FA7"/>
    <w:rsid w:val="0071088A"/>
    <w:rsid w:val="007109D3"/>
    <w:rsid w:val="00710AA5"/>
    <w:rsid w:val="00710B5A"/>
    <w:rsid w:val="00710EA3"/>
    <w:rsid w:val="007116F5"/>
    <w:rsid w:val="007119AD"/>
    <w:rsid w:val="00711AD9"/>
    <w:rsid w:val="00712014"/>
    <w:rsid w:val="007120A2"/>
    <w:rsid w:val="00712294"/>
    <w:rsid w:val="00712561"/>
    <w:rsid w:val="007126DA"/>
    <w:rsid w:val="00712886"/>
    <w:rsid w:val="00712965"/>
    <w:rsid w:val="00712E75"/>
    <w:rsid w:val="00713254"/>
    <w:rsid w:val="007138B7"/>
    <w:rsid w:val="00713948"/>
    <w:rsid w:val="00713955"/>
    <w:rsid w:val="007139B1"/>
    <w:rsid w:val="0071410B"/>
    <w:rsid w:val="007143DC"/>
    <w:rsid w:val="00714890"/>
    <w:rsid w:val="00714945"/>
    <w:rsid w:val="00714B1B"/>
    <w:rsid w:val="00714D2D"/>
    <w:rsid w:val="00715076"/>
    <w:rsid w:val="0071591E"/>
    <w:rsid w:val="007159E0"/>
    <w:rsid w:val="00715C82"/>
    <w:rsid w:val="00715FA0"/>
    <w:rsid w:val="00716026"/>
    <w:rsid w:val="007160D5"/>
    <w:rsid w:val="007168B2"/>
    <w:rsid w:val="00716DC3"/>
    <w:rsid w:val="00716DD2"/>
    <w:rsid w:val="00717A56"/>
    <w:rsid w:val="00717C0C"/>
    <w:rsid w:val="00717DA6"/>
    <w:rsid w:val="0072011C"/>
    <w:rsid w:val="00720286"/>
    <w:rsid w:val="00720515"/>
    <w:rsid w:val="0072052E"/>
    <w:rsid w:val="00721357"/>
    <w:rsid w:val="0072156E"/>
    <w:rsid w:val="00721853"/>
    <w:rsid w:val="00721B81"/>
    <w:rsid w:val="00721E28"/>
    <w:rsid w:val="00721FB0"/>
    <w:rsid w:val="00722616"/>
    <w:rsid w:val="00722B3E"/>
    <w:rsid w:val="00723057"/>
    <w:rsid w:val="0072331C"/>
    <w:rsid w:val="0072442C"/>
    <w:rsid w:val="00724445"/>
    <w:rsid w:val="0072520E"/>
    <w:rsid w:val="00725824"/>
    <w:rsid w:val="00725AB2"/>
    <w:rsid w:val="00725DA8"/>
    <w:rsid w:val="00725DC3"/>
    <w:rsid w:val="007266A0"/>
    <w:rsid w:val="007267C6"/>
    <w:rsid w:val="007269BA"/>
    <w:rsid w:val="00726EF7"/>
    <w:rsid w:val="007272D3"/>
    <w:rsid w:val="007273AC"/>
    <w:rsid w:val="007275CB"/>
    <w:rsid w:val="00727A3D"/>
    <w:rsid w:val="00727B08"/>
    <w:rsid w:val="00727EE4"/>
    <w:rsid w:val="0073070F"/>
    <w:rsid w:val="00730D04"/>
    <w:rsid w:val="0073189E"/>
    <w:rsid w:val="00731D51"/>
    <w:rsid w:val="007320CA"/>
    <w:rsid w:val="00732336"/>
    <w:rsid w:val="0073240B"/>
    <w:rsid w:val="00732B49"/>
    <w:rsid w:val="00732FF5"/>
    <w:rsid w:val="0073302E"/>
    <w:rsid w:val="00733459"/>
    <w:rsid w:val="007338BB"/>
    <w:rsid w:val="00733914"/>
    <w:rsid w:val="00733CCC"/>
    <w:rsid w:val="00733D29"/>
    <w:rsid w:val="00733EA2"/>
    <w:rsid w:val="007342F9"/>
    <w:rsid w:val="007346E0"/>
    <w:rsid w:val="007347D9"/>
    <w:rsid w:val="00734E28"/>
    <w:rsid w:val="00735085"/>
    <w:rsid w:val="0073508F"/>
    <w:rsid w:val="00735208"/>
    <w:rsid w:val="00735785"/>
    <w:rsid w:val="00735C99"/>
    <w:rsid w:val="00735FCA"/>
    <w:rsid w:val="00736491"/>
    <w:rsid w:val="007365E2"/>
    <w:rsid w:val="00736663"/>
    <w:rsid w:val="00736CE9"/>
    <w:rsid w:val="007373B2"/>
    <w:rsid w:val="0073784B"/>
    <w:rsid w:val="0073792E"/>
    <w:rsid w:val="00737DF4"/>
    <w:rsid w:val="00740282"/>
    <w:rsid w:val="007402FF"/>
    <w:rsid w:val="007404FB"/>
    <w:rsid w:val="00740557"/>
    <w:rsid w:val="00740B3C"/>
    <w:rsid w:val="00740C62"/>
    <w:rsid w:val="00740E34"/>
    <w:rsid w:val="00740EE3"/>
    <w:rsid w:val="007417FE"/>
    <w:rsid w:val="00741815"/>
    <w:rsid w:val="00741CD0"/>
    <w:rsid w:val="00741D8E"/>
    <w:rsid w:val="007420F5"/>
    <w:rsid w:val="00742263"/>
    <w:rsid w:val="007423B5"/>
    <w:rsid w:val="00742733"/>
    <w:rsid w:val="007427AA"/>
    <w:rsid w:val="007428B1"/>
    <w:rsid w:val="00742EA7"/>
    <w:rsid w:val="00743969"/>
    <w:rsid w:val="00743995"/>
    <w:rsid w:val="00743BB4"/>
    <w:rsid w:val="00743D4B"/>
    <w:rsid w:val="007440E5"/>
    <w:rsid w:val="00744452"/>
    <w:rsid w:val="00744A41"/>
    <w:rsid w:val="00744AB5"/>
    <w:rsid w:val="00744AF1"/>
    <w:rsid w:val="00745129"/>
    <w:rsid w:val="007451FD"/>
    <w:rsid w:val="00745526"/>
    <w:rsid w:val="0074578D"/>
    <w:rsid w:val="00745E46"/>
    <w:rsid w:val="00745E8A"/>
    <w:rsid w:val="00745EA3"/>
    <w:rsid w:val="007467CB"/>
    <w:rsid w:val="007468C2"/>
    <w:rsid w:val="007468E3"/>
    <w:rsid w:val="00746913"/>
    <w:rsid w:val="00746A72"/>
    <w:rsid w:val="00746AB1"/>
    <w:rsid w:val="00746CA1"/>
    <w:rsid w:val="0074710C"/>
    <w:rsid w:val="007472B2"/>
    <w:rsid w:val="00747392"/>
    <w:rsid w:val="007473D0"/>
    <w:rsid w:val="007473D5"/>
    <w:rsid w:val="0074741B"/>
    <w:rsid w:val="00747C49"/>
    <w:rsid w:val="00747DF7"/>
    <w:rsid w:val="007503F3"/>
    <w:rsid w:val="00750451"/>
    <w:rsid w:val="007505B1"/>
    <w:rsid w:val="00750894"/>
    <w:rsid w:val="007509EE"/>
    <w:rsid w:val="00750E7D"/>
    <w:rsid w:val="0075124E"/>
    <w:rsid w:val="00751A21"/>
    <w:rsid w:val="00751ECB"/>
    <w:rsid w:val="00751F02"/>
    <w:rsid w:val="007520F0"/>
    <w:rsid w:val="0075230E"/>
    <w:rsid w:val="00752557"/>
    <w:rsid w:val="007528F3"/>
    <w:rsid w:val="0075292A"/>
    <w:rsid w:val="007533EC"/>
    <w:rsid w:val="00753476"/>
    <w:rsid w:val="0075418D"/>
    <w:rsid w:val="00754491"/>
    <w:rsid w:val="007549BF"/>
    <w:rsid w:val="00755207"/>
    <w:rsid w:val="00755296"/>
    <w:rsid w:val="00755A75"/>
    <w:rsid w:val="00755ADF"/>
    <w:rsid w:val="00755B45"/>
    <w:rsid w:val="00755D58"/>
    <w:rsid w:val="007561B4"/>
    <w:rsid w:val="00756320"/>
    <w:rsid w:val="007563D2"/>
    <w:rsid w:val="0075664E"/>
    <w:rsid w:val="00756720"/>
    <w:rsid w:val="00756D67"/>
    <w:rsid w:val="00756DE8"/>
    <w:rsid w:val="00757732"/>
    <w:rsid w:val="007579F7"/>
    <w:rsid w:val="00760410"/>
    <w:rsid w:val="00760437"/>
    <w:rsid w:val="007604BE"/>
    <w:rsid w:val="007609BB"/>
    <w:rsid w:val="00760BDA"/>
    <w:rsid w:val="00760D22"/>
    <w:rsid w:val="00760DCB"/>
    <w:rsid w:val="0076115D"/>
    <w:rsid w:val="00761B04"/>
    <w:rsid w:val="00761C3A"/>
    <w:rsid w:val="00761CC7"/>
    <w:rsid w:val="00761E5D"/>
    <w:rsid w:val="007620CA"/>
    <w:rsid w:val="0076223C"/>
    <w:rsid w:val="007622B6"/>
    <w:rsid w:val="007626F9"/>
    <w:rsid w:val="00762804"/>
    <w:rsid w:val="0076304A"/>
    <w:rsid w:val="007631F0"/>
    <w:rsid w:val="00763316"/>
    <w:rsid w:val="00763471"/>
    <w:rsid w:val="00763919"/>
    <w:rsid w:val="00763CA6"/>
    <w:rsid w:val="00763D65"/>
    <w:rsid w:val="00764745"/>
    <w:rsid w:val="00764EA8"/>
    <w:rsid w:val="00764F4A"/>
    <w:rsid w:val="00764F87"/>
    <w:rsid w:val="0076520E"/>
    <w:rsid w:val="007652B3"/>
    <w:rsid w:val="0076594C"/>
    <w:rsid w:val="00765CC1"/>
    <w:rsid w:val="00765D15"/>
    <w:rsid w:val="00765F5C"/>
    <w:rsid w:val="00765FBB"/>
    <w:rsid w:val="007667B9"/>
    <w:rsid w:val="00766858"/>
    <w:rsid w:val="00767180"/>
    <w:rsid w:val="00767BA6"/>
    <w:rsid w:val="00767BCA"/>
    <w:rsid w:val="007700ED"/>
    <w:rsid w:val="007705BA"/>
    <w:rsid w:val="00770B2C"/>
    <w:rsid w:val="00770B78"/>
    <w:rsid w:val="00770CA8"/>
    <w:rsid w:val="00770F5F"/>
    <w:rsid w:val="007711F2"/>
    <w:rsid w:val="007711FB"/>
    <w:rsid w:val="00771477"/>
    <w:rsid w:val="0077147D"/>
    <w:rsid w:val="00771774"/>
    <w:rsid w:val="0077180E"/>
    <w:rsid w:val="0077191C"/>
    <w:rsid w:val="00771A22"/>
    <w:rsid w:val="00771EF7"/>
    <w:rsid w:val="00771FE8"/>
    <w:rsid w:val="007721AA"/>
    <w:rsid w:val="00772230"/>
    <w:rsid w:val="0077238F"/>
    <w:rsid w:val="00772654"/>
    <w:rsid w:val="00772773"/>
    <w:rsid w:val="00772827"/>
    <w:rsid w:val="00773153"/>
    <w:rsid w:val="0077319A"/>
    <w:rsid w:val="0077355B"/>
    <w:rsid w:val="007737DD"/>
    <w:rsid w:val="007737DF"/>
    <w:rsid w:val="00773949"/>
    <w:rsid w:val="0077420F"/>
    <w:rsid w:val="007748EA"/>
    <w:rsid w:val="00774970"/>
    <w:rsid w:val="007749D5"/>
    <w:rsid w:val="00774CD4"/>
    <w:rsid w:val="007750AF"/>
    <w:rsid w:val="007750EF"/>
    <w:rsid w:val="0077540F"/>
    <w:rsid w:val="007763EA"/>
    <w:rsid w:val="0077648C"/>
    <w:rsid w:val="007769F2"/>
    <w:rsid w:val="00776B95"/>
    <w:rsid w:val="00776C3E"/>
    <w:rsid w:val="00776D2F"/>
    <w:rsid w:val="00776E01"/>
    <w:rsid w:val="00777028"/>
    <w:rsid w:val="0077708D"/>
    <w:rsid w:val="00777533"/>
    <w:rsid w:val="00777938"/>
    <w:rsid w:val="00777A07"/>
    <w:rsid w:val="00780136"/>
    <w:rsid w:val="00780703"/>
    <w:rsid w:val="00780AFD"/>
    <w:rsid w:val="00780B1A"/>
    <w:rsid w:val="00780B3A"/>
    <w:rsid w:val="00780FD2"/>
    <w:rsid w:val="007813E8"/>
    <w:rsid w:val="00781E3D"/>
    <w:rsid w:val="00782038"/>
    <w:rsid w:val="007822B8"/>
    <w:rsid w:val="00782962"/>
    <w:rsid w:val="00782C2F"/>
    <w:rsid w:val="007830B4"/>
    <w:rsid w:val="0078320C"/>
    <w:rsid w:val="007832AD"/>
    <w:rsid w:val="00783B0B"/>
    <w:rsid w:val="00783BDD"/>
    <w:rsid w:val="00783C54"/>
    <w:rsid w:val="00783DDA"/>
    <w:rsid w:val="00783F78"/>
    <w:rsid w:val="0078405E"/>
    <w:rsid w:val="00784336"/>
    <w:rsid w:val="00784545"/>
    <w:rsid w:val="0078473A"/>
    <w:rsid w:val="00784B6F"/>
    <w:rsid w:val="00784D3B"/>
    <w:rsid w:val="00784DE7"/>
    <w:rsid w:val="00785171"/>
    <w:rsid w:val="00785233"/>
    <w:rsid w:val="007853B3"/>
    <w:rsid w:val="00785B0B"/>
    <w:rsid w:val="00785F39"/>
    <w:rsid w:val="00786562"/>
    <w:rsid w:val="00786571"/>
    <w:rsid w:val="00786C66"/>
    <w:rsid w:val="00786F00"/>
    <w:rsid w:val="00786F45"/>
    <w:rsid w:val="00786FF5"/>
    <w:rsid w:val="0078721D"/>
    <w:rsid w:val="007878BF"/>
    <w:rsid w:val="007878D4"/>
    <w:rsid w:val="00787A5A"/>
    <w:rsid w:val="00787CE7"/>
    <w:rsid w:val="0079011E"/>
    <w:rsid w:val="00790309"/>
    <w:rsid w:val="007905E7"/>
    <w:rsid w:val="00790B9F"/>
    <w:rsid w:val="00790EDD"/>
    <w:rsid w:val="00790F20"/>
    <w:rsid w:val="0079194F"/>
    <w:rsid w:val="00791972"/>
    <w:rsid w:val="00791DCA"/>
    <w:rsid w:val="007921C0"/>
    <w:rsid w:val="00792208"/>
    <w:rsid w:val="0079236B"/>
    <w:rsid w:val="007924A5"/>
    <w:rsid w:val="007927A7"/>
    <w:rsid w:val="0079291C"/>
    <w:rsid w:val="00792ABB"/>
    <w:rsid w:val="00792B25"/>
    <w:rsid w:val="0079338B"/>
    <w:rsid w:val="0079362A"/>
    <w:rsid w:val="00793CDD"/>
    <w:rsid w:val="00794A5D"/>
    <w:rsid w:val="00794B4B"/>
    <w:rsid w:val="00794B5C"/>
    <w:rsid w:val="00794EB5"/>
    <w:rsid w:val="0079500E"/>
    <w:rsid w:val="00795236"/>
    <w:rsid w:val="007957FD"/>
    <w:rsid w:val="00795B5A"/>
    <w:rsid w:val="00795F10"/>
    <w:rsid w:val="00795FAF"/>
    <w:rsid w:val="0079617A"/>
    <w:rsid w:val="00796277"/>
    <w:rsid w:val="00796703"/>
    <w:rsid w:val="00796772"/>
    <w:rsid w:val="00796F86"/>
    <w:rsid w:val="00797218"/>
    <w:rsid w:val="007979CA"/>
    <w:rsid w:val="00797B44"/>
    <w:rsid w:val="00797C1B"/>
    <w:rsid w:val="00797F04"/>
    <w:rsid w:val="007A0D5A"/>
    <w:rsid w:val="007A0EA8"/>
    <w:rsid w:val="007A1637"/>
    <w:rsid w:val="007A16CB"/>
    <w:rsid w:val="007A19CE"/>
    <w:rsid w:val="007A1A90"/>
    <w:rsid w:val="007A1AB5"/>
    <w:rsid w:val="007A1BA9"/>
    <w:rsid w:val="007A1C2E"/>
    <w:rsid w:val="007A1CE0"/>
    <w:rsid w:val="007A207C"/>
    <w:rsid w:val="007A21E8"/>
    <w:rsid w:val="007A22B5"/>
    <w:rsid w:val="007A26E1"/>
    <w:rsid w:val="007A2947"/>
    <w:rsid w:val="007A2F23"/>
    <w:rsid w:val="007A3478"/>
    <w:rsid w:val="007A347E"/>
    <w:rsid w:val="007A40A9"/>
    <w:rsid w:val="007A427E"/>
    <w:rsid w:val="007A43CD"/>
    <w:rsid w:val="007A488D"/>
    <w:rsid w:val="007A506D"/>
    <w:rsid w:val="007A50A0"/>
    <w:rsid w:val="007A50CA"/>
    <w:rsid w:val="007A5233"/>
    <w:rsid w:val="007A549A"/>
    <w:rsid w:val="007A5703"/>
    <w:rsid w:val="007A5ABF"/>
    <w:rsid w:val="007A5C87"/>
    <w:rsid w:val="007A5CEA"/>
    <w:rsid w:val="007A5F40"/>
    <w:rsid w:val="007A5F57"/>
    <w:rsid w:val="007A638B"/>
    <w:rsid w:val="007A65DF"/>
    <w:rsid w:val="007A67C4"/>
    <w:rsid w:val="007A72C8"/>
    <w:rsid w:val="007A7309"/>
    <w:rsid w:val="007A73E9"/>
    <w:rsid w:val="007A7435"/>
    <w:rsid w:val="007A78AF"/>
    <w:rsid w:val="007A794F"/>
    <w:rsid w:val="007A795F"/>
    <w:rsid w:val="007B00FE"/>
    <w:rsid w:val="007B011B"/>
    <w:rsid w:val="007B046F"/>
    <w:rsid w:val="007B068A"/>
    <w:rsid w:val="007B0742"/>
    <w:rsid w:val="007B0C7F"/>
    <w:rsid w:val="007B1218"/>
    <w:rsid w:val="007B1252"/>
    <w:rsid w:val="007B183F"/>
    <w:rsid w:val="007B214F"/>
    <w:rsid w:val="007B28F0"/>
    <w:rsid w:val="007B2FD0"/>
    <w:rsid w:val="007B3474"/>
    <w:rsid w:val="007B3A3B"/>
    <w:rsid w:val="007B3A9D"/>
    <w:rsid w:val="007B3B39"/>
    <w:rsid w:val="007B3DB7"/>
    <w:rsid w:val="007B3E52"/>
    <w:rsid w:val="007B4784"/>
    <w:rsid w:val="007B50A1"/>
    <w:rsid w:val="007B5C1E"/>
    <w:rsid w:val="007B5E2F"/>
    <w:rsid w:val="007B601C"/>
    <w:rsid w:val="007B651D"/>
    <w:rsid w:val="007B6808"/>
    <w:rsid w:val="007B6D75"/>
    <w:rsid w:val="007B72A7"/>
    <w:rsid w:val="007B73FC"/>
    <w:rsid w:val="007B76EB"/>
    <w:rsid w:val="007B77D3"/>
    <w:rsid w:val="007B7BD3"/>
    <w:rsid w:val="007C0163"/>
    <w:rsid w:val="007C07E2"/>
    <w:rsid w:val="007C08ED"/>
    <w:rsid w:val="007C0AFA"/>
    <w:rsid w:val="007C0E1B"/>
    <w:rsid w:val="007C0FEE"/>
    <w:rsid w:val="007C1567"/>
    <w:rsid w:val="007C19C5"/>
    <w:rsid w:val="007C1BBA"/>
    <w:rsid w:val="007C21AC"/>
    <w:rsid w:val="007C22C4"/>
    <w:rsid w:val="007C3144"/>
    <w:rsid w:val="007C3417"/>
    <w:rsid w:val="007C3D1C"/>
    <w:rsid w:val="007C3F13"/>
    <w:rsid w:val="007C4097"/>
    <w:rsid w:val="007C440D"/>
    <w:rsid w:val="007C46B7"/>
    <w:rsid w:val="007C46DD"/>
    <w:rsid w:val="007C4E31"/>
    <w:rsid w:val="007C4EBD"/>
    <w:rsid w:val="007C529E"/>
    <w:rsid w:val="007C53F7"/>
    <w:rsid w:val="007C54BB"/>
    <w:rsid w:val="007C5B37"/>
    <w:rsid w:val="007C5DDA"/>
    <w:rsid w:val="007C6260"/>
    <w:rsid w:val="007C629A"/>
    <w:rsid w:val="007C64DF"/>
    <w:rsid w:val="007C6681"/>
    <w:rsid w:val="007C67A3"/>
    <w:rsid w:val="007C6879"/>
    <w:rsid w:val="007C71AB"/>
    <w:rsid w:val="007C7FF4"/>
    <w:rsid w:val="007D01A6"/>
    <w:rsid w:val="007D0592"/>
    <w:rsid w:val="007D09B8"/>
    <w:rsid w:val="007D0C9D"/>
    <w:rsid w:val="007D0DD9"/>
    <w:rsid w:val="007D10AC"/>
    <w:rsid w:val="007D13BC"/>
    <w:rsid w:val="007D164C"/>
    <w:rsid w:val="007D1E77"/>
    <w:rsid w:val="007D2046"/>
    <w:rsid w:val="007D2402"/>
    <w:rsid w:val="007D2A40"/>
    <w:rsid w:val="007D2F81"/>
    <w:rsid w:val="007D35E4"/>
    <w:rsid w:val="007D364E"/>
    <w:rsid w:val="007D37C3"/>
    <w:rsid w:val="007D3D7E"/>
    <w:rsid w:val="007D4367"/>
    <w:rsid w:val="007D4947"/>
    <w:rsid w:val="007D4ADF"/>
    <w:rsid w:val="007D4CAE"/>
    <w:rsid w:val="007D52C2"/>
    <w:rsid w:val="007D540B"/>
    <w:rsid w:val="007D55E8"/>
    <w:rsid w:val="007D5B12"/>
    <w:rsid w:val="007D5E8C"/>
    <w:rsid w:val="007D620A"/>
    <w:rsid w:val="007D6475"/>
    <w:rsid w:val="007D68C3"/>
    <w:rsid w:val="007D77D8"/>
    <w:rsid w:val="007D7AB1"/>
    <w:rsid w:val="007E0179"/>
    <w:rsid w:val="007E0270"/>
    <w:rsid w:val="007E0697"/>
    <w:rsid w:val="007E0AF3"/>
    <w:rsid w:val="007E0D1E"/>
    <w:rsid w:val="007E10CA"/>
    <w:rsid w:val="007E15AC"/>
    <w:rsid w:val="007E16CE"/>
    <w:rsid w:val="007E17CA"/>
    <w:rsid w:val="007E1804"/>
    <w:rsid w:val="007E1860"/>
    <w:rsid w:val="007E1D66"/>
    <w:rsid w:val="007E21B4"/>
    <w:rsid w:val="007E2283"/>
    <w:rsid w:val="007E25B3"/>
    <w:rsid w:val="007E2C41"/>
    <w:rsid w:val="007E2F5D"/>
    <w:rsid w:val="007E3124"/>
    <w:rsid w:val="007E3474"/>
    <w:rsid w:val="007E36C9"/>
    <w:rsid w:val="007E36E6"/>
    <w:rsid w:val="007E383D"/>
    <w:rsid w:val="007E4A91"/>
    <w:rsid w:val="007E4B4E"/>
    <w:rsid w:val="007E4D27"/>
    <w:rsid w:val="007E4D80"/>
    <w:rsid w:val="007E502E"/>
    <w:rsid w:val="007E53B0"/>
    <w:rsid w:val="007E5545"/>
    <w:rsid w:val="007E5A33"/>
    <w:rsid w:val="007E5A69"/>
    <w:rsid w:val="007E5BBF"/>
    <w:rsid w:val="007E628B"/>
    <w:rsid w:val="007E680F"/>
    <w:rsid w:val="007E6D46"/>
    <w:rsid w:val="007E6DBC"/>
    <w:rsid w:val="007E7342"/>
    <w:rsid w:val="007E7358"/>
    <w:rsid w:val="007E76A1"/>
    <w:rsid w:val="007E78A5"/>
    <w:rsid w:val="007E7D3D"/>
    <w:rsid w:val="007E7F52"/>
    <w:rsid w:val="007F02E2"/>
    <w:rsid w:val="007F03B6"/>
    <w:rsid w:val="007F09DB"/>
    <w:rsid w:val="007F0D8D"/>
    <w:rsid w:val="007F0F4B"/>
    <w:rsid w:val="007F1232"/>
    <w:rsid w:val="007F1254"/>
    <w:rsid w:val="007F15E2"/>
    <w:rsid w:val="007F19C3"/>
    <w:rsid w:val="007F1C0E"/>
    <w:rsid w:val="007F1CB5"/>
    <w:rsid w:val="007F20DE"/>
    <w:rsid w:val="007F21D6"/>
    <w:rsid w:val="007F22EC"/>
    <w:rsid w:val="007F2494"/>
    <w:rsid w:val="007F26F8"/>
    <w:rsid w:val="007F28B1"/>
    <w:rsid w:val="007F291B"/>
    <w:rsid w:val="007F3A0E"/>
    <w:rsid w:val="007F3C2A"/>
    <w:rsid w:val="007F3E0E"/>
    <w:rsid w:val="007F3E4A"/>
    <w:rsid w:val="007F3E9C"/>
    <w:rsid w:val="007F3F74"/>
    <w:rsid w:val="007F4127"/>
    <w:rsid w:val="007F42B3"/>
    <w:rsid w:val="007F4579"/>
    <w:rsid w:val="007F4A67"/>
    <w:rsid w:val="007F4DBF"/>
    <w:rsid w:val="007F4E61"/>
    <w:rsid w:val="007F51BE"/>
    <w:rsid w:val="007F51E8"/>
    <w:rsid w:val="007F52A2"/>
    <w:rsid w:val="007F5370"/>
    <w:rsid w:val="007F58DB"/>
    <w:rsid w:val="007F5A35"/>
    <w:rsid w:val="007F5F42"/>
    <w:rsid w:val="007F60F1"/>
    <w:rsid w:val="007F64B8"/>
    <w:rsid w:val="007F6EEE"/>
    <w:rsid w:val="007F6F65"/>
    <w:rsid w:val="007F72DC"/>
    <w:rsid w:val="007F748F"/>
    <w:rsid w:val="007F7551"/>
    <w:rsid w:val="007F77F3"/>
    <w:rsid w:val="007F7F44"/>
    <w:rsid w:val="007F7FFE"/>
    <w:rsid w:val="00800A45"/>
    <w:rsid w:val="00800D09"/>
    <w:rsid w:val="00800E9B"/>
    <w:rsid w:val="0080118A"/>
    <w:rsid w:val="008014EE"/>
    <w:rsid w:val="00801553"/>
    <w:rsid w:val="008019F2"/>
    <w:rsid w:val="00801C31"/>
    <w:rsid w:val="00801C33"/>
    <w:rsid w:val="00801E3D"/>
    <w:rsid w:val="00801E97"/>
    <w:rsid w:val="00801F38"/>
    <w:rsid w:val="00802066"/>
    <w:rsid w:val="00802141"/>
    <w:rsid w:val="008023E0"/>
    <w:rsid w:val="008025B1"/>
    <w:rsid w:val="008025C8"/>
    <w:rsid w:val="008029FF"/>
    <w:rsid w:val="00802AD6"/>
    <w:rsid w:val="00803562"/>
    <w:rsid w:val="00803899"/>
    <w:rsid w:val="00803C7D"/>
    <w:rsid w:val="00803F28"/>
    <w:rsid w:val="00804231"/>
    <w:rsid w:val="00805223"/>
    <w:rsid w:val="0080579C"/>
    <w:rsid w:val="008057DD"/>
    <w:rsid w:val="00805BE2"/>
    <w:rsid w:val="0080634E"/>
    <w:rsid w:val="00806716"/>
    <w:rsid w:val="00806E63"/>
    <w:rsid w:val="00806F71"/>
    <w:rsid w:val="00807410"/>
    <w:rsid w:val="008079AB"/>
    <w:rsid w:val="00807A48"/>
    <w:rsid w:val="00807CDA"/>
    <w:rsid w:val="00810087"/>
    <w:rsid w:val="0081014E"/>
    <w:rsid w:val="008102C3"/>
    <w:rsid w:val="0081034A"/>
    <w:rsid w:val="00810A37"/>
    <w:rsid w:val="00810A7A"/>
    <w:rsid w:val="0081128A"/>
    <w:rsid w:val="00811356"/>
    <w:rsid w:val="0081160A"/>
    <w:rsid w:val="0081177F"/>
    <w:rsid w:val="00811DEA"/>
    <w:rsid w:val="00811E8B"/>
    <w:rsid w:val="008121D0"/>
    <w:rsid w:val="00812400"/>
    <w:rsid w:val="00812BE8"/>
    <w:rsid w:val="0081307D"/>
    <w:rsid w:val="0081316C"/>
    <w:rsid w:val="0081352D"/>
    <w:rsid w:val="0081357F"/>
    <w:rsid w:val="00813C32"/>
    <w:rsid w:val="00813CE0"/>
    <w:rsid w:val="008142DF"/>
    <w:rsid w:val="00814732"/>
    <w:rsid w:val="00814C93"/>
    <w:rsid w:val="00814D0A"/>
    <w:rsid w:val="00814D44"/>
    <w:rsid w:val="00814E11"/>
    <w:rsid w:val="00814EC9"/>
    <w:rsid w:val="00814FC4"/>
    <w:rsid w:val="0081503C"/>
    <w:rsid w:val="0081523F"/>
    <w:rsid w:val="0081528C"/>
    <w:rsid w:val="00815638"/>
    <w:rsid w:val="00815815"/>
    <w:rsid w:val="00815ADB"/>
    <w:rsid w:val="00815E0A"/>
    <w:rsid w:val="0081605F"/>
    <w:rsid w:val="008162D6"/>
    <w:rsid w:val="00816309"/>
    <w:rsid w:val="0081696B"/>
    <w:rsid w:val="00816E61"/>
    <w:rsid w:val="0081710C"/>
    <w:rsid w:val="008173F0"/>
    <w:rsid w:val="00817989"/>
    <w:rsid w:val="00817AE4"/>
    <w:rsid w:val="00817DB3"/>
    <w:rsid w:val="00817E56"/>
    <w:rsid w:val="00817EE7"/>
    <w:rsid w:val="00820110"/>
    <w:rsid w:val="008201E5"/>
    <w:rsid w:val="0082025D"/>
    <w:rsid w:val="0082054D"/>
    <w:rsid w:val="008209DC"/>
    <w:rsid w:val="00820C92"/>
    <w:rsid w:val="00820CB2"/>
    <w:rsid w:val="00820F78"/>
    <w:rsid w:val="008210D1"/>
    <w:rsid w:val="00821299"/>
    <w:rsid w:val="00821575"/>
    <w:rsid w:val="0082161E"/>
    <w:rsid w:val="0082175D"/>
    <w:rsid w:val="008218FE"/>
    <w:rsid w:val="00822007"/>
    <w:rsid w:val="0082253F"/>
    <w:rsid w:val="0082286F"/>
    <w:rsid w:val="0082288D"/>
    <w:rsid w:val="00822927"/>
    <w:rsid w:val="00822940"/>
    <w:rsid w:val="008229E4"/>
    <w:rsid w:val="00822FC1"/>
    <w:rsid w:val="008230CB"/>
    <w:rsid w:val="008233E3"/>
    <w:rsid w:val="00823625"/>
    <w:rsid w:val="0082386A"/>
    <w:rsid w:val="00823BE4"/>
    <w:rsid w:val="00823FBB"/>
    <w:rsid w:val="0082442A"/>
    <w:rsid w:val="00824E0F"/>
    <w:rsid w:val="008259C2"/>
    <w:rsid w:val="00825E22"/>
    <w:rsid w:val="00825FDD"/>
    <w:rsid w:val="008262F4"/>
    <w:rsid w:val="008265EF"/>
    <w:rsid w:val="008265F1"/>
    <w:rsid w:val="008269DF"/>
    <w:rsid w:val="00826B7D"/>
    <w:rsid w:val="00826D3A"/>
    <w:rsid w:val="00827391"/>
    <w:rsid w:val="0082747E"/>
    <w:rsid w:val="00827A04"/>
    <w:rsid w:val="00827F21"/>
    <w:rsid w:val="00827F30"/>
    <w:rsid w:val="008300A1"/>
    <w:rsid w:val="00830685"/>
    <w:rsid w:val="008309BE"/>
    <w:rsid w:val="00830EB5"/>
    <w:rsid w:val="00830F10"/>
    <w:rsid w:val="00831083"/>
    <w:rsid w:val="0083169D"/>
    <w:rsid w:val="00831817"/>
    <w:rsid w:val="00831A55"/>
    <w:rsid w:val="00831E0F"/>
    <w:rsid w:val="00832157"/>
    <w:rsid w:val="0083292A"/>
    <w:rsid w:val="00832C89"/>
    <w:rsid w:val="00832D62"/>
    <w:rsid w:val="00832F78"/>
    <w:rsid w:val="008334A4"/>
    <w:rsid w:val="00833721"/>
    <w:rsid w:val="008339A2"/>
    <w:rsid w:val="00833D31"/>
    <w:rsid w:val="00834219"/>
    <w:rsid w:val="00834823"/>
    <w:rsid w:val="00834E24"/>
    <w:rsid w:val="00834E82"/>
    <w:rsid w:val="00834ED5"/>
    <w:rsid w:val="008350B3"/>
    <w:rsid w:val="0083511C"/>
    <w:rsid w:val="00835513"/>
    <w:rsid w:val="00835A44"/>
    <w:rsid w:val="0083627C"/>
    <w:rsid w:val="008366A2"/>
    <w:rsid w:val="0083748B"/>
    <w:rsid w:val="0083779B"/>
    <w:rsid w:val="00837CC4"/>
    <w:rsid w:val="00837D5D"/>
    <w:rsid w:val="00837DA9"/>
    <w:rsid w:val="00840F5F"/>
    <w:rsid w:val="008416C6"/>
    <w:rsid w:val="00841B06"/>
    <w:rsid w:val="00841BEE"/>
    <w:rsid w:val="00841E81"/>
    <w:rsid w:val="0084251E"/>
    <w:rsid w:val="00842619"/>
    <w:rsid w:val="00842B88"/>
    <w:rsid w:val="00843123"/>
    <w:rsid w:val="00843390"/>
    <w:rsid w:val="00843501"/>
    <w:rsid w:val="00843505"/>
    <w:rsid w:val="00843A2F"/>
    <w:rsid w:val="00843ECB"/>
    <w:rsid w:val="00843F36"/>
    <w:rsid w:val="00843F69"/>
    <w:rsid w:val="00844233"/>
    <w:rsid w:val="008448BD"/>
    <w:rsid w:val="008455D1"/>
    <w:rsid w:val="00845A12"/>
    <w:rsid w:val="00845E88"/>
    <w:rsid w:val="00846049"/>
    <w:rsid w:val="00846337"/>
    <w:rsid w:val="00846CBE"/>
    <w:rsid w:val="00846E44"/>
    <w:rsid w:val="00846F64"/>
    <w:rsid w:val="0084711B"/>
    <w:rsid w:val="008471E5"/>
    <w:rsid w:val="008472DD"/>
    <w:rsid w:val="008473A8"/>
    <w:rsid w:val="008473FB"/>
    <w:rsid w:val="0084749C"/>
    <w:rsid w:val="00847652"/>
    <w:rsid w:val="0085053C"/>
    <w:rsid w:val="0085054E"/>
    <w:rsid w:val="008507D9"/>
    <w:rsid w:val="008509D2"/>
    <w:rsid w:val="00850A9E"/>
    <w:rsid w:val="00850B7E"/>
    <w:rsid w:val="008512B7"/>
    <w:rsid w:val="0085180A"/>
    <w:rsid w:val="00851975"/>
    <w:rsid w:val="00851A4C"/>
    <w:rsid w:val="00851AD0"/>
    <w:rsid w:val="00851D30"/>
    <w:rsid w:val="00851D83"/>
    <w:rsid w:val="008522BE"/>
    <w:rsid w:val="0085384A"/>
    <w:rsid w:val="008538BB"/>
    <w:rsid w:val="0085393F"/>
    <w:rsid w:val="00853C02"/>
    <w:rsid w:val="00853C2A"/>
    <w:rsid w:val="00853CC6"/>
    <w:rsid w:val="00853EAE"/>
    <w:rsid w:val="0085420A"/>
    <w:rsid w:val="00854520"/>
    <w:rsid w:val="0085455F"/>
    <w:rsid w:val="008546BE"/>
    <w:rsid w:val="00854847"/>
    <w:rsid w:val="0085499A"/>
    <w:rsid w:val="00854AE7"/>
    <w:rsid w:val="00854FAB"/>
    <w:rsid w:val="0085502E"/>
    <w:rsid w:val="00855232"/>
    <w:rsid w:val="0085527E"/>
    <w:rsid w:val="008552A9"/>
    <w:rsid w:val="008554B4"/>
    <w:rsid w:val="008554E0"/>
    <w:rsid w:val="00855754"/>
    <w:rsid w:val="00856486"/>
    <w:rsid w:val="008567B4"/>
    <w:rsid w:val="008568DC"/>
    <w:rsid w:val="00856C87"/>
    <w:rsid w:val="00856D47"/>
    <w:rsid w:val="00856DE6"/>
    <w:rsid w:val="00857283"/>
    <w:rsid w:val="008574E7"/>
    <w:rsid w:val="0085768A"/>
    <w:rsid w:val="00857899"/>
    <w:rsid w:val="00857F9B"/>
    <w:rsid w:val="0086025E"/>
    <w:rsid w:val="00860D88"/>
    <w:rsid w:val="00861672"/>
    <w:rsid w:val="008625E7"/>
    <w:rsid w:val="008627C6"/>
    <w:rsid w:val="00862C59"/>
    <w:rsid w:val="00862D5B"/>
    <w:rsid w:val="008633A7"/>
    <w:rsid w:val="0086357D"/>
    <w:rsid w:val="008636B6"/>
    <w:rsid w:val="00863A2A"/>
    <w:rsid w:val="00863DBB"/>
    <w:rsid w:val="00863EC3"/>
    <w:rsid w:val="0086432C"/>
    <w:rsid w:val="00864E3B"/>
    <w:rsid w:val="00864EB8"/>
    <w:rsid w:val="008650CD"/>
    <w:rsid w:val="00865110"/>
    <w:rsid w:val="008651B7"/>
    <w:rsid w:val="00865598"/>
    <w:rsid w:val="008658B8"/>
    <w:rsid w:val="00865B8F"/>
    <w:rsid w:val="0086629A"/>
    <w:rsid w:val="00866B27"/>
    <w:rsid w:val="00866C52"/>
    <w:rsid w:val="008678D1"/>
    <w:rsid w:val="008679CB"/>
    <w:rsid w:val="00867A20"/>
    <w:rsid w:val="00867D1A"/>
    <w:rsid w:val="00867DCF"/>
    <w:rsid w:val="00867E57"/>
    <w:rsid w:val="00870A66"/>
    <w:rsid w:val="00870B2C"/>
    <w:rsid w:val="00870F17"/>
    <w:rsid w:val="00870FCF"/>
    <w:rsid w:val="0087102F"/>
    <w:rsid w:val="008711B2"/>
    <w:rsid w:val="00871306"/>
    <w:rsid w:val="00871324"/>
    <w:rsid w:val="00871379"/>
    <w:rsid w:val="00871F24"/>
    <w:rsid w:val="00872238"/>
    <w:rsid w:val="00872563"/>
    <w:rsid w:val="00872695"/>
    <w:rsid w:val="008726E6"/>
    <w:rsid w:val="008726FB"/>
    <w:rsid w:val="00872E2A"/>
    <w:rsid w:val="008738C8"/>
    <w:rsid w:val="0087393C"/>
    <w:rsid w:val="00873953"/>
    <w:rsid w:val="00873AB0"/>
    <w:rsid w:val="00874310"/>
    <w:rsid w:val="008744AD"/>
    <w:rsid w:val="00874709"/>
    <w:rsid w:val="00874B68"/>
    <w:rsid w:val="00874FC9"/>
    <w:rsid w:val="008755D0"/>
    <w:rsid w:val="008755D5"/>
    <w:rsid w:val="00875BD9"/>
    <w:rsid w:val="00875D0D"/>
    <w:rsid w:val="00876130"/>
    <w:rsid w:val="008763E6"/>
    <w:rsid w:val="0087641D"/>
    <w:rsid w:val="008765A7"/>
    <w:rsid w:val="00876728"/>
    <w:rsid w:val="0087679F"/>
    <w:rsid w:val="00876CCE"/>
    <w:rsid w:val="0087707F"/>
    <w:rsid w:val="008773A1"/>
    <w:rsid w:val="00877F1D"/>
    <w:rsid w:val="00880B7A"/>
    <w:rsid w:val="00880B7F"/>
    <w:rsid w:val="00880BF2"/>
    <w:rsid w:val="00880C63"/>
    <w:rsid w:val="00880DCB"/>
    <w:rsid w:val="00880E05"/>
    <w:rsid w:val="00881E8A"/>
    <w:rsid w:val="00881F73"/>
    <w:rsid w:val="008822D4"/>
    <w:rsid w:val="008823C5"/>
    <w:rsid w:val="00882AFD"/>
    <w:rsid w:val="00882B7C"/>
    <w:rsid w:val="00882DC9"/>
    <w:rsid w:val="00882FFF"/>
    <w:rsid w:val="00884411"/>
    <w:rsid w:val="00884599"/>
    <w:rsid w:val="00884A30"/>
    <w:rsid w:val="00884B73"/>
    <w:rsid w:val="00884D78"/>
    <w:rsid w:val="008850AD"/>
    <w:rsid w:val="0088569F"/>
    <w:rsid w:val="0088570C"/>
    <w:rsid w:val="00885AD1"/>
    <w:rsid w:val="00885CBC"/>
    <w:rsid w:val="008860F6"/>
    <w:rsid w:val="008865A3"/>
    <w:rsid w:val="0088661F"/>
    <w:rsid w:val="00886689"/>
    <w:rsid w:val="00886B59"/>
    <w:rsid w:val="00886C44"/>
    <w:rsid w:val="00886D22"/>
    <w:rsid w:val="00886E1F"/>
    <w:rsid w:val="00887A80"/>
    <w:rsid w:val="00887F43"/>
    <w:rsid w:val="00890089"/>
    <w:rsid w:val="0089047E"/>
    <w:rsid w:val="0089060F"/>
    <w:rsid w:val="00890760"/>
    <w:rsid w:val="008908FC"/>
    <w:rsid w:val="00890CAA"/>
    <w:rsid w:val="00890CE5"/>
    <w:rsid w:val="00890D92"/>
    <w:rsid w:val="00891019"/>
    <w:rsid w:val="00891023"/>
    <w:rsid w:val="00891195"/>
    <w:rsid w:val="008913F8"/>
    <w:rsid w:val="00891A4E"/>
    <w:rsid w:val="00892265"/>
    <w:rsid w:val="008925DE"/>
    <w:rsid w:val="008928F7"/>
    <w:rsid w:val="0089299F"/>
    <w:rsid w:val="00893357"/>
    <w:rsid w:val="008935A7"/>
    <w:rsid w:val="00894210"/>
    <w:rsid w:val="00894291"/>
    <w:rsid w:val="008946F7"/>
    <w:rsid w:val="00894CF8"/>
    <w:rsid w:val="00894F9D"/>
    <w:rsid w:val="008950C8"/>
    <w:rsid w:val="008952DB"/>
    <w:rsid w:val="008952FB"/>
    <w:rsid w:val="008954A5"/>
    <w:rsid w:val="008956CE"/>
    <w:rsid w:val="008960A6"/>
    <w:rsid w:val="00897381"/>
    <w:rsid w:val="00897574"/>
    <w:rsid w:val="0089770D"/>
    <w:rsid w:val="00897F3C"/>
    <w:rsid w:val="008A096F"/>
    <w:rsid w:val="008A0E08"/>
    <w:rsid w:val="008A0FDA"/>
    <w:rsid w:val="008A127E"/>
    <w:rsid w:val="008A18C5"/>
    <w:rsid w:val="008A22E6"/>
    <w:rsid w:val="008A235F"/>
    <w:rsid w:val="008A273E"/>
    <w:rsid w:val="008A295D"/>
    <w:rsid w:val="008A29A7"/>
    <w:rsid w:val="008A29D0"/>
    <w:rsid w:val="008A371D"/>
    <w:rsid w:val="008A3C12"/>
    <w:rsid w:val="008A3D09"/>
    <w:rsid w:val="008A3D49"/>
    <w:rsid w:val="008A3DAF"/>
    <w:rsid w:val="008A3DF4"/>
    <w:rsid w:val="008A3F5D"/>
    <w:rsid w:val="008A402A"/>
    <w:rsid w:val="008A427A"/>
    <w:rsid w:val="008A42DA"/>
    <w:rsid w:val="008A4541"/>
    <w:rsid w:val="008A467A"/>
    <w:rsid w:val="008A47D0"/>
    <w:rsid w:val="008A4BC3"/>
    <w:rsid w:val="008A4D8E"/>
    <w:rsid w:val="008A4E33"/>
    <w:rsid w:val="008A4F9E"/>
    <w:rsid w:val="008A50C1"/>
    <w:rsid w:val="008A5243"/>
    <w:rsid w:val="008A550B"/>
    <w:rsid w:val="008A5A40"/>
    <w:rsid w:val="008A5A59"/>
    <w:rsid w:val="008A5BCB"/>
    <w:rsid w:val="008A5BF0"/>
    <w:rsid w:val="008A671A"/>
    <w:rsid w:val="008A6EB5"/>
    <w:rsid w:val="008A70C7"/>
    <w:rsid w:val="008A7206"/>
    <w:rsid w:val="008A742D"/>
    <w:rsid w:val="008A7574"/>
    <w:rsid w:val="008A77A6"/>
    <w:rsid w:val="008A7FE6"/>
    <w:rsid w:val="008B0103"/>
    <w:rsid w:val="008B0459"/>
    <w:rsid w:val="008B06C5"/>
    <w:rsid w:val="008B0839"/>
    <w:rsid w:val="008B1008"/>
    <w:rsid w:val="008B1178"/>
    <w:rsid w:val="008B121D"/>
    <w:rsid w:val="008B12C4"/>
    <w:rsid w:val="008B14B7"/>
    <w:rsid w:val="008B18E8"/>
    <w:rsid w:val="008B215E"/>
    <w:rsid w:val="008B21EC"/>
    <w:rsid w:val="008B242B"/>
    <w:rsid w:val="008B250D"/>
    <w:rsid w:val="008B26FB"/>
    <w:rsid w:val="008B3150"/>
    <w:rsid w:val="008B3233"/>
    <w:rsid w:val="008B350F"/>
    <w:rsid w:val="008B3C33"/>
    <w:rsid w:val="008B3EB7"/>
    <w:rsid w:val="008B4174"/>
    <w:rsid w:val="008B4494"/>
    <w:rsid w:val="008B4C1A"/>
    <w:rsid w:val="008B56AD"/>
    <w:rsid w:val="008B5933"/>
    <w:rsid w:val="008B5B5F"/>
    <w:rsid w:val="008B5B95"/>
    <w:rsid w:val="008B5C31"/>
    <w:rsid w:val="008B5C90"/>
    <w:rsid w:val="008B6090"/>
    <w:rsid w:val="008B6194"/>
    <w:rsid w:val="008B6717"/>
    <w:rsid w:val="008B6F3C"/>
    <w:rsid w:val="008B71EF"/>
    <w:rsid w:val="008B7526"/>
    <w:rsid w:val="008B7B7E"/>
    <w:rsid w:val="008B7DF2"/>
    <w:rsid w:val="008C00B2"/>
    <w:rsid w:val="008C0377"/>
    <w:rsid w:val="008C0597"/>
    <w:rsid w:val="008C06C0"/>
    <w:rsid w:val="008C06C1"/>
    <w:rsid w:val="008C081C"/>
    <w:rsid w:val="008C0B6A"/>
    <w:rsid w:val="008C0FD7"/>
    <w:rsid w:val="008C1387"/>
    <w:rsid w:val="008C16B8"/>
    <w:rsid w:val="008C1E04"/>
    <w:rsid w:val="008C1F48"/>
    <w:rsid w:val="008C255A"/>
    <w:rsid w:val="008C2596"/>
    <w:rsid w:val="008C2772"/>
    <w:rsid w:val="008C3060"/>
    <w:rsid w:val="008C32FA"/>
    <w:rsid w:val="008C3503"/>
    <w:rsid w:val="008C3775"/>
    <w:rsid w:val="008C39EA"/>
    <w:rsid w:val="008C3D8F"/>
    <w:rsid w:val="008C42AE"/>
    <w:rsid w:val="008C4452"/>
    <w:rsid w:val="008C44C7"/>
    <w:rsid w:val="008C453B"/>
    <w:rsid w:val="008C4700"/>
    <w:rsid w:val="008C4C6A"/>
    <w:rsid w:val="008C4FEC"/>
    <w:rsid w:val="008C527F"/>
    <w:rsid w:val="008C5A57"/>
    <w:rsid w:val="008C5D7C"/>
    <w:rsid w:val="008C6015"/>
    <w:rsid w:val="008C63C4"/>
    <w:rsid w:val="008C6547"/>
    <w:rsid w:val="008C69AB"/>
    <w:rsid w:val="008C6A47"/>
    <w:rsid w:val="008C75A5"/>
    <w:rsid w:val="008C76B9"/>
    <w:rsid w:val="008C78DD"/>
    <w:rsid w:val="008C7BC2"/>
    <w:rsid w:val="008C7BD4"/>
    <w:rsid w:val="008C7F0B"/>
    <w:rsid w:val="008D01DE"/>
    <w:rsid w:val="008D02C3"/>
    <w:rsid w:val="008D0708"/>
    <w:rsid w:val="008D0769"/>
    <w:rsid w:val="008D08B6"/>
    <w:rsid w:val="008D0E18"/>
    <w:rsid w:val="008D1600"/>
    <w:rsid w:val="008D1C9B"/>
    <w:rsid w:val="008D2079"/>
    <w:rsid w:val="008D2571"/>
    <w:rsid w:val="008D25FD"/>
    <w:rsid w:val="008D2BF4"/>
    <w:rsid w:val="008D2CBF"/>
    <w:rsid w:val="008D3842"/>
    <w:rsid w:val="008D394F"/>
    <w:rsid w:val="008D39B9"/>
    <w:rsid w:val="008D3C9B"/>
    <w:rsid w:val="008D3F90"/>
    <w:rsid w:val="008D46E0"/>
    <w:rsid w:val="008D47E7"/>
    <w:rsid w:val="008D4C8B"/>
    <w:rsid w:val="008D518C"/>
    <w:rsid w:val="008D5213"/>
    <w:rsid w:val="008D52F3"/>
    <w:rsid w:val="008D551D"/>
    <w:rsid w:val="008D554F"/>
    <w:rsid w:val="008D589E"/>
    <w:rsid w:val="008D5F53"/>
    <w:rsid w:val="008D609B"/>
    <w:rsid w:val="008D6266"/>
    <w:rsid w:val="008D6378"/>
    <w:rsid w:val="008D639A"/>
    <w:rsid w:val="008D681B"/>
    <w:rsid w:val="008D6973"/>
    <w:rsid w:val="008D69A6"/>
    <w:rsid w:val="008D6EAD"/>
    <w:rsid w:val="008D6F60"/>
    <w:rsid w:val="008D7437"/>
    <w:rsid w:val="008D7499"/>
    <w:rsid w:val="008E0000"/>
    <w:rsid w:val="008E0256"/>
    <w:rsid w:val="008E057D"/>
    <w:rsid w:val="008E0834"/>
    <w:rsid w:val="008E08C2"/>
    <w:rsid w:val="008E0AA9"/>
    <w:rsid w:val="008E0AF2"/>
    <w:rsid w:val="008E0C61"/>
    <w:rsid w:val="008E1E4D"/>
    <w:rsid w:val="008E2147"/>
    <w:rsid w:val="008E250B"/>
    <w:rsid w:val="008E295D"/>
    <w:rsid w:val="008E2BB2"/>
    <w:rsid w:val="008E2E26"/>
    <w:rsid w:val="008E2EB4"/>
    <w:rsid w:val="008E2F7D"/>
    <w:rsid w:val="008E32FA"/>
    <w:rsid w:val="008E37DB"/>
    <w:rsid w:val="008E37F8"/>
    <w:rsid w:val="008E3B0C"/>
    <w:rsid w:val="008E3DD3"/>
    <w:rsid w:val="008E3DE9"/>
    <w:rsid w:val="008E3F31"/>
    <w:rsid w:val="008E3F6B"/>
    <w:rsid w:val="008E4033"/>
    <w:rsid w:val="008E4F3D"/>
    <w:rsid w:val="008E5601"/>
    <w:rsid w:val="008E5F08"/>
    <w:rsid w:val="008E618D"/>
    <w:rsid w:val="008E640B"/>
    <w:rsid w:val="008E64B0"/>
    <w:rsid w:val="008E6509"/>
    <w:rsid w:val="008E68B9"/>
    <w:rsid w:val="008E6942"/>
    <w:rsid w:val="008E6CD9"/>
    <w:rsid w:val="008E6D49"/>
    <w:rsid w:val="008E7083"/>
    <w:rsid w:val="008E7490"/>
    <w:rsid w:val="008E757D"/>
    <w:rsid w:val="008E7ED2"/>
    <w:rsid w:val="008E7F94"/>
    <w:rsid w:val="008F07A7"/>
    <w:rsid w:val="008F0C7D"/>
    <w:rsid w:val="008F0D2B"/>
    <w:rsid w:val="008F105C"/>
    <w:rsid w:val="008F1373"/>
    <w:rsid w:val="008F1D71"/>
    <w:rsid w:val="008F2342"/>
    <w:rsid w:val="008F2A52"/>
    <w:rsid w:val="008F2AA9"/>
    <w:rsid w:val="008F3455"/>
    <w:rsid w:val="008F3A03"/>
    <w:rsid w:val="008F3A16"/>
    <w:rsid w:val="008F3A42"/>
    <w:rsid w:val="008F3B43"/>
    <w:rsid w:val="008F3B54"/>
    <w:rsid w:val="008F3E82"/>
    <w:rsid w:val="008F4057"/>
    <w:rsid w:val="008F4420"/>
    <w:rsid w:val="008F4718"/>
    <w:rsid w:val="008F4E3A"/>
    <w:rsid w:val="008F5434"/>
    <w:rsid w:val="008F54D4"/>
    <w:rsid w:val="008F5A85"/>
    <w:rsid w:val="008F6086"/>
    <w:rsid w:val="008F6129"/>
    <w:rsid w:val="008F6153"/>
    <w:rsid w:val="008F623E"/>
    <w:rsid w:val="008F70AE"/>
    <w:rsid w:val="008F7360"/>
    <w:rsid w:val="008F78D4"/>
    <w:rsid w:val="008F78E5"/>
    <w:rsid w:val="008F7A4A"/>
    <w:rsid w:val="008F7B17"/>
    <w:rsid w:val="008F7D27"/>
    <w:rsid w:val="008F7FC8"/>
    <w:rsid w:val="009001DF"/>
    <w:rsid w:val="00900676"/>
    <w:rsid w:val="00900D10"/>
    <w:rsid w:val="009014B5"/>
    <w:rsid w:val="00901586"/>
    <w:rsid w:val="009017DB"/>
    <w:rsid w:val="009025B5"/>
    <w:rsid w:val="0090261B"/>
    <w:rsid w:val="00902D2D"/>
    <w:rsid w:val="00903F90"/>
    <w:rsid w:val="00904085"/>
    <w:rsid w:val="0090480E"/>
    <w:rsid w:val="00904BC1"/>
    <w:rsid w:val="00904D34"/>
    <w:rsid w:val="009050C5"/>
    <w:rsid w:val="009055C0"/>
    <w:rsid w:val="0090589F"/>
    <w:rsid w:val="00905BA9"/>
    <w:rsid w:val="00905E3B"/>
    <w:rsid w:val="00906109"/>
    <w:rsid w:val="00906798"/>
    <w:rsid w:val="009067A1"/>
    <w:rsid w:val="00906A40"/>
    <w:rsid w:val="00906C97"/>
    <w:rsid w:val="00907695"/>
    <w:rsid w:val="0090779C"/>
    <w:rsid w:val="00907840"/>
    <w:rsid w:val="00907A5B"/>
    <w:rsid w:val="00907BFD"/>
    <w:rsid w:val="00907C74"/>
    <w:rsid w:val="00907E45"/>
    <w:rsid w:val="00907F82"/>
    <w:rsid w:val="00910734"/>
    <w:rsid w:val="00910FE1"/>
    <w:rsid w:val="00911019"/>
    <w:rsid w:val="009113C3"/>
    <w:rsid w:val="00911BBD"/>
    <w:rsid w:val="00911BC8"/>
    <w:rsid w:val="009120C3"/>
    <w:rsid w:val="0091301B"/>
    <w:rsid w:val="009130C7"/>
    <w:rsid w:val="0091369B"/>
    <w:rsid w:val="009139C8"/>
    <w:rsid w:val="00914246"/>
    <w:rsid w:val="009144B5"/>
    <w:rsid w:val="00914816"/>
    <w:rsid w:val="00914AA0"/>
    <w:rsid w:val="00914AD3"/>
    <w:rsid w:val="009154FB"/>
    <w:rsid w:val="009156C2"/>
    <w:rsid w:val="0091570A"/>
    <w:rsid w:val="00915732"/>
    <w:rsid w:val="009159B4"/>
    <w:rsid w:val="00916236"/>
    <w:rsid w:val="0091627A"/>
    <w:rsid w:val="009166C4"/>
    <w:rsid w:val="00916A76"/>
    <w:rsid w:val="00916BDE"/>
    <w:rsid w:val="00916C0F"/>
    <w:rsid w:val="009174F4"/>
    <w:rsid w:val="00917518"/>
    <w:rsid w:val="009176EE"/>
    <w:rsid w:val="00917DC6"/>
    <w:rsid w:val="00917FED"/>
    <w:rsid w:val="00920111"/>
    <w:rsid w:val="009204EC"/>
    <w:rsid w:val="0092089E"/>
    <w:rsid w:val="00920F82"/>
    <w:rsid w:val="009211A0"/>
    <w:rsid w:val="0092166C"/>
    <w:rsid w:val="00921771"/>
    <w:rsid w:val="0092186A"/>
    <w:rsid w:val="00921A51"/>
    <w:rsid w:val="00921B6E"/>
    <w:rsid w:val="00921BB9"/>
    <w:rsid w:val="00921D1E"/>
    <w:rsid w:val="00921D8A"/>
    <w:rsid w:val="00921FEA"/>
    <w:rsid w:val="00921FFD"/>
    <w:rsid w:val="0092208B"/>
    <w:rsid w:val="0092227A"/>
    <w:rsid w:val="009223D8"/>
    <w:rsid w:val="00922C62"/>
    <w:rsid w:val="00922DF0"/>
    <w:rsid w:val="00923121"/>
    <w:rsid w:val="00923157"/>
    <w:rsid w:val="00923751"/>
    <w:rsid w:val="009237B0"/>
    <w:rsid w:val="00923BFA"/>
    <w:rsid w:val="00924089"/>
    <w:rsid w:val="00924398"/>
    <w:rsid w:val="0092448C"/>
    <w:rsid w:val="00924633"/>
    <w:rsid w:val="00924D64"/>
    <w:rsid w:val="00924D8E"/>
    <w:rsid w:val="0092532F"/>
    <w:rsid w:val="009253F4"/>
    <w:rsid w:val="009256E8"/>
    <w:rsid w:val="009259A3"/>
    <w:rsid w:val="00925CAF"/>
    <w:rsid w:val="00925E7B"/>
    <w:rsid w:val="00926249"/>
    <w:rsid w:val="0092663C"/>
    <w:rsid w:val="009269C1"/>
    <w:rsid w:val="00926D60"/>
    <w:rsid w:val="00926DC6"/>
    <w:rsid w:val="00926F4B"/>
    <w:rsid w:val="009272C2"/>
    <w:rsid w:val="00930283"/>
    <w:rsid w:val="00930920"/>
    <w:rsid w:val="00930E0D"/>
    <w:rsid w:val="00930E51"/>
    <w:rsid w:val="009316CC"/>
    <w:rsid w:val="00932049"/>
    <w:rsid w:val="0093219A"/>
    <w:rsid w:val="00932233"/>
    <w:rsid w:val="009323CD"/>
    <w:rsid w:val="00932987"/>
    <w:rsid w:val="00932B41"/>
    <w:rsid w:val="00932F5C"/>
    <w:rsid w:val="0093334A"/>
    <w:rsid w:val="00933707"/>
    <w:rsid w:val="009338A6"/>
    <w:rsid w:val="00933A66"/>
    <w:rsid w:val="00933C22"/>
    <w:rsid w:val="00933D28"/>
    <w:rsid w:val="00933EAF"/>
    <w:rsid w:val="009340E3"/>
    <w:rsid w:val="0093413A"/>
    <w:rsid w:val="00934569"/>
    <w:rsid w:val="00934D28"/>
    <w:rsid w:val="0093501E"/>
    <w:rsid w:val="009353E9"/>
    <w:rsid w:val="00935511"/>
    <w:rsid w:val="00935DE6"/>
    <w:rsid w:val="009360EA"/>
    <w:rsid w:val="009360FD"/>
    <w:rsid w:val="00936A59"/>
    <w:rsid w:val="00937589"/>
    <w:rsid w:val="009375C6"/>
    <w:rsid w:val="00937645"/>
    <w:rsid w:val="00937C81"/>
    <w:rsid w:val="00937E11"/>
    <w:rsid w:val="00937EE0"/>
    <w:rsid w:val="00937FD7"/>
    <w:rsid w:val="00940D78"/>
    <w:rsid w:val="00941165"/>
    <w:rsid w:val="00941345"/>
    <w:rsid w:val="00941411"/>
    <w:rsid w:val="0094155A"/>
    <w:rsid w:val="00941802"/>
    <w:rsid w:val="009418FB"/>
    <w:rsid w:val="00941A4F"/>
    <w:rsid w:val="00941C82"/>
    <w:rsid w:val="00941E97"/>
    <w:rsid w:val="00942276"/>
    <w:rsid w:val="00942593"/>
    <w:rsid w:val="0094275C"/>
    <w:rsid w:val="00942AAA"/>
    <w:rsid w:val="009434C9"/>
    <w:rsid w:val="009436C7"/>
    <w:rsid w:val="0094375F"/>
    <w:rsid w:val="00943B1F"/>
    <w:rsid w:val="00943B67"/>
    <w:rsid w:val="009449E4"/>
    <w:rsid w:val="00944BC3"/>
    <w:rsid w:val="00944DB6"/>
    <w:rsid w:val="00944E31"/>
    <w:rsid w:val="009450F4"/>
    <w:rsid w:val="00945238"/>
    <w:rsid w:val="009453F0"/>
    <w:rsid w:val="009459A5"/>
    <w:rsid w:val="00946199"/>
    <w:rsid w:val="0094661B"/>
    <w:rsid w:val="0094693B"/>
    <w:rsid w:val="00946EA7"/>
    <w:rsid w:val="00947146"/>
    <w:rsid w:val="00947301"/>
    <w:rsid w:val="009479ED"/>
    <w:rsid w:val="00947D46"/>
    <w:rsid w:val="00947E94"/>
    <w:rsid w:val="00950004"/>
    <w:rsid w:val="00950C04"/>
    <w:rsid w:val="009511E5"/>
    <w:rsid w:val="009515B4"/>
    <w:rsid w:val="00951A77"/>
    <w:rsid w:val="00951D9F"/>
    <w:rsid w:val="009524E9"/>
    <w:rsid w:val="00952738"/>
    <w:rsid w:val="00952A91"/>
    <w:rsid w:val="00952B4D"/>
    <w:rsid w:val="009530D7"/>
    <w:rsid w:val="00953248"/>
    <w:rsid w:val="009532E0"/>
    <w:rsid w:val="0095333C"/>
    <w:rsid w:val="00953544"/>
    <w:rsid w:val="009539CF"/>
    <w:rsid w:val="00953E66"/>
    <w:rsid w:val="00953FFD"/>
    <w:rsid w:val="009540C0"/>
    <w:rsid w:val="00954857"/>
    <w:rsid w:val="009548A0"/>
    <w:rsid w:val="009548F2"/>
    <w:rsid w:val="00954C0B"/>
    <w:rsid w:val="00955080"/>
    <w:rsid w:val="009551B0"/>
    <w:rsid w:val="009554F3"/>
    <w:rsid w:val="009558B5"/>
    <w:rsid w:val="00955BE2"/>
    <w:rsid w:val="00955F68"/>
    <w:rsid w:val="00956505"/>
    <w:rsid w:val="009565F4"/>
    <w:rsid w:val="009567B6"/>
    <w:rsid w:val="0095689D"/>
    <w:rsid w:val="009569A2"/>
    <w:rsid w:val="009569C0"/>
    <w:rsid w:val="00956B31"/>
    <w:rsid w:val="00956ECD"/>
    <w:rsid w:val="00956FC0"/>
    <w:rsid w:val="00957231"/>
    <w:rsid w:val="0095736A"/>
    <w:rsid w:val="009573A7"/>
    <w:rsid w:val="009575F1"/>
    <w:rsid w:val="0095771C"/>
    <w:rsid w:val="009579DD"/>
    <w:rsid w:val="00957B18"/>
    <w:rsid w:val="00960105"/>
    <w:rsid w:val="00960335"/>
    <w:rsid w:val="009604EC"/>
    <w:rsid w:val="00960D1C"/>
    <w:rsid w:val="00960F6A"/>
    <w:rsid w:val="00961323"/>
    <w:rsid w:val="009616FD"/>
    <w:rsid w:val="009623EE"/>
    <w:rsid w:val="009626A7"/>
    <w:rsid w:val="00962E7A"/>
    <w:rsid w:val="00963782"/>
    <w:rsid w:val="00963CC9"/>
    <w:rsid w:val="00964693"/>
    <w:rsid w:val="00964B8A"/>
    <w:rsid w:val="00964BA3"/>
    <w:rsid w:val="00964DFE"/>
    <w:rsid w:val="00965502"/>
    <w:rsid w:val="0096581F"/>
    <w:rsid w:val="00965E21"/>
    <w:rsid w:val="00966079"/>
    <w:rsid w:val="009660C3"/>
    <w:rsid w:val="0096699E"/>
    <w:rsid w:val="00966A15"/>
    <w:rsid w:val="00966A8B"/>
    <w:rsid w:val="00966E65"/>
    <w:rsid w:val="00967485"/>
    <w:rsid w:val="009676EA"/>
    <w:rsid w:val="00970001"/>
    <w:rsid w:val="00970010"/>
    <w:rsid w:val="0097029E"/>
    <w:rsid w:val="00970327"/>
    <w:rsid w:val="009708E9"/>
    <w:rsid w:val="00970F20"/>
    <w:rsid w:val="00970FB3"/>
    <w:rsid w:val="00971071"/>
    <w:rsid w:val="009710DA"/>
    <w:rsid w:val="00971696"/>
    <w:rsid w:val="00971A31"/>
    <w:rsid w:val="00971A3E"/>
    <w:rsid w:val="00971B45"/>
    <w:rsid w:val="00971C63"/>
    <w:rsid w:val="009720D4"/>
    <w:rsid w:val="0097221E"/>
    <w:rsid w:val="0097289E"/>
    <w:rsid w:val="009728D6"/>
    <w:rsid w:val="00972C2D"/>
    <w:rsid w:val="00972DFF"/>
    <w:rsid w:val="00972F65"/>
    <w:rsid w:val="009733A9"/>
    <w:rsid w:val="00973721"/>
    <w:rsid w:val="00973EB0"/>
    <w:rsid w:val="00974D9C"/>
    <w:rsid w:val="00974FB6"/>
    <w:rsid w:val="009750C5"/>
    <w:rsid w:val="009754C4"/>
    <w:rsid w:val="009757EF"/>
    <w:rsid w:val="009759E5"/>
    <w:rsid w:val="00975A3D"/>
    <w:rsid w:val="00975AC3"/>
    <w:rsid w:val="00975D77"/>
    <w:rsid w:val="00975E17"/>
    <w:rsid w:val="00975E41"/>
    <w:rsid w:val="00975E68"/>
    <w:rsid w:val="009763F6"/>
    <w:rsid w:val="009765DE"/>
    <w:rsid w:val="00976A7A"/>
    <w:rsid w:val="00976AD4"/>
    <w:rsid w:val="00976AFF"/>
    <w:rsid w:val="00976B26"/>
    <w:rsid w:val="00976FAE"/>
    <w:rsid w:val="0097791E"/>
    <w:rsid w:val="00977B5A"/>
    <w:rsid w:val="00977C09"/>
    <w:rsid w:val="00980026"/>
    <w:rsid w:val="00980D28"/>
    <w:rsid w:val="00981131"/>
    <w:rsid w:val="00982010"/>
    <w:rsid w:val="00982133"/>
    <w:rsid w:val="009822F9"/>
    <w:rsid w:val="00982606"/>
    <w:rsid w:val="00982D60"/>
    <w:rsid w:val="00982DE1"/>
    <w:rsid w:val="009831F8"/>
    <w:rsid w:val="009832EA"/>
    <w:rsid w:val="0098339B"/>
    <w:rsid w:val="009835E4"/>
    <w:rsid w:val="0098361C"/>
    <w:rsid w:val="00984581"/>
    <w:rsid w:val="00984BB6"/>
    <w:rsid w:val="00984BDE"/>
    <w:rsid w:val="009856FC"/>
    <w:rsid w:val="00985F2A"/>
    <w:rsid w:val="009866D8"/>
    <w:rsid w:val="009867CC"/>
    <w:rsid w:val="009867D2"/>
    <w:rsid w:val="0098684E"/>
    <w:rsid w:val="00986A98"/>
    <w:rsid w:val="009871D7"/>
    <w:rsid w:val="00987304"/>
    <w:rsid w:val="009876FC"/>
    <w:rsid w:val="00987F78"/>
    <w:rsid w:val="00990405"/>
    <w:rsid w:val="009906A2"/>
    <w:rsid w:val="00990ADB"/>
    <w:rsid w:val="0099107F"/>
    <w:rsid w:val="009915B7"/>
    <w:rsid w:val="009919F3"/>
    <w:rsid w:val="00991CF1"/>
    <w:rsid w:val="00991EC4"/>
    <w:rsid w:val="00992012"/>
    <w:rsid w:val="00992213"/>
    <w:rsid w:val="00992769"/>
    <w:rsid w:val="009927CF"/>
    <w:rsid w:val="009928F1"/>
    <w:rsid w:val="00992EA5"/>
    <w:rsid w:val="00992F26"/>
    <w:rsid w:val="00993542"/>
    <w:rsid w:val="009935C6"/>
    <w:rsid w:val="009938A3"/>
    <w:rsid w:val="00993CB1"/>
    <w:rsid w:val="00993ECA"/>
    <w:rsid w:val="00993F12"/>
    <w:rsid w:val="00993F71"/>
    <w:rsid w:val="00994DC7"/>
    <w:rsid w:val="00994F05"/>
    <w:rsid w:val="0099522F"/>
    <w:rsid w:val="009954F9"/>
    <w:rsid w:val="00995832"/>
    <w:rsid w:val="009958E9"/>
    <w:rsid w:val="009959AD"/>
    <w:rsid w:val="00995B1B"/>
    <w:rsid w:val="00995CFE"/>
    <w:rsid w:val="00995D42"/>
    <w:rsid w:val="009960AF"/>
    <w:rsid w:val="0099643B"/>
    <w:rsid w:val="00996751"/>
    <w:rsid w:val="009969F4"/>
    <w:rsid w:val="00996B0A"/>
    <w:rsid w:val="0099722D"/>
    <w:rsid w:val="0099736A"/>
    <w:rsid w:val="00997546"/>
    <w:rsid w:val="00997BF6"/>
    <w:rsid w:val="00997FD9"/>
    <w:rsid w:val="009A00F4"/>
    <w:rsid w:val="009A049E"/>
    <w:rsid w:val="009A074E"/>
    <w:rsid w:val="009A0C94"/>
    <w:rsid w:val="009A1045"/>
    <w:rsid w:val="009A11C1"/>
    <w:rsid w:val="009A14A1"/>
    <w:rsid w:val="009A173B"/>
    <w:rsid w:val="009A1860"/>
    <w:rsid w:val="009A18E3"/>
    <w:rsid w:val="009A19EF"/>
    <w:rsid w:val="009A1B63"/>
    <w:rsid w:val="009A1B70"/>
    <w:rsid w:val="009A1EA9"/>
    <w:rsid w:val="009A1ED4"/>
    <w:rsid w:val="009A22B0"/>
    <w:rsid w:val="009A2C0F"/>
    <w:rsid w:val="009A2E00"/>
    <w:rsid w:val="009A3993"/>
    <w:rsid w:val="009A39E3"/>
    <w:rsid w:val="009A3B8D"/>
    <w:rsid w:val="009A3E70"/>
    <w:rsid w:val="009A3F19"/>
    <w:rsid w:val="009A3FCB"/>
    <w:rsid w:val="009A43C3"/>
    <w:rsid w:val="009A4469"/>
    <w:rsid w:val="009A45CB"/>
    <w:rsid w:val="009A4810"/>
    <w:rsid w:val="009A5025"/>
    <w:rsid w:val="009A5EDC"/>
    <w:rsid w:val="009A5FC9"/>
    <w:rsid w:val="009A6647"/>
    <w:rsid w:val="009A6D4C"/>
    <w:rsid w:val="009A6FB5"/>
    <w:rsid w:val="009A72C6"/>
    <w:rsid w:val="009A7915"/>
    <w:rsid w:val="009A7C0C"/>
    <w:rsid w:val="009A7C9B"/>
    <w:rsid w:val="009A7D7A"/>
    <w:rsid w:val="009B0148"/>
    <w:rsid w:val="009B0231"/>
    <w:rsid w:val="009B07C3"/>
    <w:rsid w:val="009B0E72"/>
    <w:rsid w:val="009B11CB"/>
    <w:rsid w:val="009B163B"/>
    <w:rsid w:val="009B1F11"/>
    <w:rsid w:val="009B240E"/>
    <w:rsid w:val="009B25B1"/>
    <w:rsid w:val="009B3645"/>
    <w:rsid w:val="009B478D"/>
    <w:rsid w:val="009B47A8"/>
    <w:rsid w:val="009B4F69"/>
    <w:rsid w:val="009B5144"/>
    <w:rsid w:val="009B59BA"/>
    <w:rsid w:val="009B5A68"/>
    <w:rsid w:val="009B5A71"/>
    <w:rsid w:val="009B61C1"/>
    <w:rsid w:val="009B63CB"/>
    <w:rsid w:val="009B68D9"/>
    <w:rsid w:val="009B69B8"/>
    <w:rsid w:val="009B6C29"/>
    <w:rsid w:val="009B6EB0"/>
    <w:rsid w:val="009B75A6"/>
    <w:rsid w:val="009B785B"/>
    <w:rsid w:val="009B797D"/>
    <w:rsid w:val="009B7B2D"/>
    <w:rsid w:val="009B7BA2"/>
    <w:rsid w:val="009B7BB6"/>
    <w:rsid w:val="009C0007"/>
    <w:rsid w:val="009C043C"/>
    <w:rsid w:val="009C047F"/>
    <w:rsid w:val="009C06CF"/>
    <w:rsid w:val="009C073B"/>
    <w:rsid w:val="009C0801"/>
    <w:rsid w:val="009C0C65"/>
    <w:rsid w:val="009C123F"/>
    <w:rsid w:val="009C19F1"/>
    <w:rsid w:val="009C1DC0"/>
    <w:rsid w:val="009C271E"/>
    <w:rsid w:val="009C286B"/>
    <w:rsid w:val="009C28F5"/>
    <w:rsid w:val="009C3337"/>
    <w:rsid w:val="009C376F"/>
    <w:rsid w:val="009C39D4"/>
    <w:rsid w:val="009C3B23"/>
    <w:rsid w:val="009C3EA1"/>
    <w:rsid w:val="009C4360"/>
    <w:rsid w:val="009C4891"/>
    <w:rsid w:val="009C4DE5"/>
    <w:rsid w:val="009C5035"/>
    <w:rsid w:val="009C5B7E"/>
    <w:rsid w:val="009C5B9D"/>
    <w:rsid w:val="009C5CB0"/>
    <w:rsid w:val="009C60DD"/>
    <w:rsid w:val="009C6356"/>
    <w:rsid w:val="009C690D"/>
    <w:rsid w:val="009C6923"/>
    <w:rsid w:val="009C6BD2"/>
    <w:rsid w:val="009C6C9E"/>
    <w:rsid w:val="009C7755"/>
    <w:rsid w:val="009C7765"/>
    <w:rsid w:val="009C7769"/>
    <w:rsid w:val="009C781F"/>
    <w:rsid w:val="009C7D79"/>
    <w:rsid w:val="009C7E60"/>
    <w:rsid w:val="009D002F"/>
    <w:rsid w:val="009D00AF"/>
    <w:rsid w:val="009D08E9"/>
    <w:rsid w:val="009D0C67"/>
    <w:rsid w:val="009D0CFB"/>
    <w:rsid w:val="009D0E5E"/>
    <w:rsid w:val="009D0F0E"/>
    <w:rsid w:val="009D134F"/>
    <w:rsid w:val="009D143D"/>
    <w:rsid w:val="009D14B9"/>
    <w:rsid w:val="009D1857"/>
    <w:rsid w:val="009D1CFB"/>
    <w:rsid w:val="009D1EC7"/>
    <w:rsid w:val="009D216F"/>
    <w:rsid w:val="009D227B"/>
    <w:rsid w:val="009D24D0"/>
    <w:rsid w:val="009D2EAA"/>
    <w:rsid w:val="009D2F8D"/>
    <w:rsid w:val="009D30FC"/>
    <w:rsid w:val="009D3388"/>
    <w:rsid w:val="009D35B9"/>
    <w:rsid w:val="009D384B"/>
    <w:rsid w:val="009D3AEB"/>
    <w:rsid w:val="009D4A77"/>
    <w:rsid w:val="009D4C77"/>
    <w:rsid w:val="009D4F0B"/>
    <w:rsid w:val="009D553D"/>
    <w:rsid w:val="009D5654"/>
    <w:rsid w:val="009D588F"/>
    <w:rsid w:val="009D5BB0"/>
    <w:rsid w:val="009D62D4"/>
    <w:rsid w:val="009D6381"/>
    <w:rsid w:val="009D771B"/>
    <w:rsid w:val="009D7A2E"/>
    <w:rsid w:val="009D7CA8"/>
    <w:rsid w:val="009D7FCD"/>
    <w:rsid w:val="009E055B"/>
    <w:rsid w:val="009E0A14"/>
    <w:rsid w:val="009E0DF0"/>
    <w:rsid w:val="009E0F1D"/>
    <w:rsid w:val="009E0F7D"/>
    <w:rsid w:val="009E121B"/>
    <w:rsid w:val="009E184E"/>
    <w:rsid w:val="009E1983"/>
    <w:rsid w:val="009E19B0"/>
    <w:rsid w:val="009E1BFE"/>
    <w:rsid w:val="009E22F3"/>
    <w:rsid w:val="009E2347"/>
    <w:rsid w:val="009E2607"/>
    <w:rsid w:val="009E2675"/>
    <w:rsid w:val="009E29C4"/>
    <w:rsid w:val="009E30C9"/>
    <w:rsid w:val="009E31DB"/>
    <w:rsid w:val="009E3B91"/>
    <w:rsid w:val="009E3D87"/>
    <w:rsid w:val="009E3DF5"/>
    <w:rsid w:val="009E3FE0"/>
    <w:rsid w:val="009E48FA"/>
    <w:rsid w:val="009E586E"/>
    <w:rsid w:val="009E58E0"/>
    <w:rsid w:val="009E5FCB"/>
    <w:rsid w:val="009E60CB"/>
    <w:rsid w:val="009E6213"/>
    <w:rsid w:val="009E64AB"/>
    <w:rsid w:val="009E6544"/>
    <w:rsid w:val="009E6601"/>
    <w:rsid w:val="009E6767"/>
    <w:rsid w:val="009E6899"/>
    <w:rsid w:val="009E700F"/>
    <w:rsid w:val="009E7524"/>
    <w:rsid w:val="009E791F"/>
    <w:rsid w:val="009E7B9B"/>
    <w:rsid w:val="009E7E71"/>
    <w:rsid w:val="009F0506"/>
    <w:rsid w:val="009F0931"/>
    <w:rsid w:val="009F148E"/>
    <w:rsid w:val="009F17B4"/>
    <w:rsid w:val="009F20C8"/>
    <w:rsid w:val="009F21F7"/>
    <w:rsid w:val="009F246A"/>
    <w:rsid w:val="009F2C53"/>
    <w:rsid w:val="009F309B"/>
    <w:rsid w:val="009F333D"/>
    <w:rsid w:val="009F3A2D"/>
    <w:rsid w:val="009F3B03"/>
    <w:rsid w:val="009F3CC1"/>
    <w:rsid w:val="009F3F26"/>
    <w:rsid w:val="009F488F"/>
    <w:rsid w:val="009F4A7D"/>
    <w:rsid w:val="009F4B62"/>
    <w:rsid w:val="009F51AD"/>
    <w:rsid w:val="009F5420"/>
    <w:rsid w:val="009F56A9"/>
    <w:rsid w:val="009F5932"/>
    <w:rsid w:val="009F5BB4"/>
    <w:rsid w:val="009F5CE2"/>
    <w:rsid w:val="009F611D"/>
    <w:rsid w:val="009F61D7"/>
    <w:rsid w:val="009F654C"/>
    <w:rsid w:val="009F68F8"/>
    <w:rsid w:val="009F69D3"/>
    <w:rsid w:val="009F6E2A"/>
    <w:rsid w:val="009F7007"/>
    <w:rsid w:val="009F7310"/>
    <w:rsid w:val="009F7510"/>
    <w:rsid w:val="009F75B7"/>
    <w:rsid w:val="009F77E4"/>
    <w:rsid w:val="009F7EE8"/>
    <w:rsid w:val="00A0011E"/>
    <w:rsid w:val="00A005B9"/>
    <w:rsid w:val="00A005BD"/>
    <w:rsid w:val="00A009A4"/>
    <w:rsid w:val="00A00D5B"/>
    <w:rsid w:val="00A00DB2"/>
    <w:rsid w:val="00A013AC"/>
    <w:rsid w:val="00A016DE"/>
    <w:rsid w:val="00A0174E"/>
    <w:rsid w:val="00A01792"/>
    <w:rsid w:val="00A0190C"/>
    <w:rsid w:val="00A01AFB"/>
    <w:rsid w:val="00A01F2B"/>
    <w:rsid w:val="00A024A2"/>
    <w:rsid w:val="00A0268C"/>
    <w:rsid w:val="00A02A29"/>
    <w:rsid w:val="00A02D95"/>
    <w:rsid w:val="00A02F18"/>
    <w:rsid w:val="00A0398D"/>
    <w:rsid w:val="00A03CFC"/>
    <w:rsid w:val="00A03F20"/>
    <w:rsid w:val="00A04AD8"/>
    <w:rsid w:val="00A04B87"/>
    <w:rsid w:val="00A04D52"/>
    <w:rsid w:val="00A05216"/>
    <w:rsid w:val="00A0597C"/>
    <w:rsid w:val="00A05B84"/>
    <w:rsid w:val="00A05C38"/>
    <w:rsid w:val="00A05C69"/>
    <w:rsid w:val="00A06072"/>
    <w:rsid w:val="00A061C4"/>
    <w:rsid w:val="00A06277"/>
    <w:rsid w:val="00A06609"/>
    <w:rsid w:val="00A06706"/>
    <w:rsid w:val="00A067A0"/>
    <w:rsid w:val="00A06A0E"/>
    <w:rsid w:val="00A06D5B"/>
    <w:rsid w:val="00A073AE"/>
    <w:rsid w:val="00A07A08"/>
    <w:rsid w:val="00A07D19"/>
    <w:rsid w:val="00A07F30"/>
    <w:rsid w:val="00A10093"/>
    <w:rsid w:val="00A10345"/>
    <w:rsid w:val="00A107DC"/>
    <w:rsid w:val="00A10961"/>
    <w:rsid w:val="00A11475"/>
    <w:rsid w:val="00A117BC"/>
    <w:rsid w:val="00A11BE9"/>
    <w:rsid w:val="00A11C16"/>
    <w:rsid w:val="00A11E61"/>
    <w:rsid w:val="00A128B2"/>
    <w:rsid w:val="00A12961"/>
    <w:rsid w:val="00A12F0F"/>
    <w:rsid w:val="00A13348"/>
    <w:rsid w:val="00A135EC"/>
    <w:rsid w:val="00A13911"/>
    <w:rsid w:val="00A139FB"/>
    <w:rsid w:val="00A13AE0"/>
    <w:rsid w:val="00A13B7C"/>
    <w:rsid w:val="00A1434C"/>
    <w:rsid w:val="00A1440A"/>
    <w:rsid w:val="00A147ED"/>
    <w:rsid w:val="00A1491F"/>
    <w:rsid w:val="00A14AF5"/>
    <w:rsid w:val="00A14B87"/>
    <w:rsid w:val="00A15128"/>
    <w:rsid w:val="00A15903"/>
    <w:rsid w:val="00A15B78"/>
    <w:rsid w:val="00A15D4C"/>
    <w:rsid w:val="00A15DD9"/>
    <w:rsid w:val="00A16124"/>
    <w:rsid w:val="00A163C6"/>
    <w:rsid w:val="00A163F6"/>
    <w:rsid w:val="00A1664F"/>
    <w:rsid w:val="00A16A90"/>
    <w:rsid w:val="00A16B15"/>
    <w:rsid w:val="00A16CE1"/>
    <w:rsid w:val="00A172E4"/>
    <w:rsid w:val="00A17638"/>
    <w:rsid w:val="00A176E0"/>
    <w:rsid w:val="00A17BB7"/>
    <w:rsid w:val="00A20234"/>
    <w:rsid w:val="00A20B88"/>
    <w:rsid w:val="00A21414"/>
    <w:rsid w:val="00A215CC"/>
    <w:rsid w:val="00A2202F"/>
    <w:rsid w:val="00A2205D"/>
    <w:rsid w:val="00A22065"/>
    <w:rsid w:val="00A22484"/>
    <w:rsid w:val="00A22A29"/>
    <w:rsid w:val="00A22A76"/>
    <w:rsid w:val="00A2309B"/>
    <w:rsid w:val="00A23305"/>
    <w:rsid w:val="00A2357B"/>
    <w:rsid w:val="00A23C0A"/>
    <w:rsid w:val="00A23D81"/>
    <w:rsid w:val="00A23DB3"/>
    <w:rsid w:val="00A24660"/>
    <w:rsid w:val="00A248FA"/>
    <w:rsid w:val="00A24A90"/>
    <w:rsid w:val="00A24D2E"/>
    <w:rsid w:val="00A24D97"/>
    <w:rsid w:val="00A24D9E"/>
    <w:rsid w:val="00A24E6F"/>
    <w:rsid w:val="00A25317"/>
    <w:rsid w:val="00A254FB"/>
    <w:rsid w:val="00A25B01"/>
    <w:rsid w:val="00A25C2D"/>
    <w:rsid w:val="00A2673F"/>
    <w:rsid w:val="00A267DE"/>
    <w:rsid w:val="00A26A9D"/>
    <w:rsid w:val="00A26CE8"/>
    <w:rsid w:val="00A26D8C"/>
    <w:rsid w:val="00A26F93"/>
    <w:rsid w:val="00A26FD8"/>
    <w:rsid w:val="00A2710E"/>
    <w:rsid w:val="00A274CA"/>
    <w:rsid w:val="00A27848"/>
    <w:rsid w:val="00A2785E"/>
    <w:rsid w:val="00A27C0A"/>
    <w:rsid w:val="00A27CE7"/>
    <w:rsid w:val="00A27D3E"/>
    <w:rsid w:val="00A30704"/>
    <w:rsid w:val="00A3086C"/>
    <w:rsid w:val="00A30C3C"/>
    <w:rsid w:val="00A30CD5"/>
    <w:rsid w:val="00A31475"/>
    <w:rsid w:val="00A3163F"/>
    <w:rsid w:val="00A31909"/>
    <w:rsid w:val="00A33287"/>
    <w:rsid w:val="00A333CD"/>
    <w:rsid w:val="00A33500"/>
    <w:rsid w:val="00A3353C"/>
    <w:rsid w:val="00A33581"/>
    <w:rsid w:val="00A33668"/>
    <w:rsid w:val="00A33E14"/>
    <w:rsid w:val="00A3400B"/>
    <w:rsid w:val="00A3457B"/>
    <w:rsid w:val="00A34650"/>
    <w:rsid w:val="00A3475A"/>
    <w:rsid w:val="00A34A18"/>
    <w:rsid w:val="00A3501D"/>
    <w:rsid w:val="00A353A0"/>
    <w:rsid w:val="00A353D6"/>
    <w:rsid w:val="00A3542E"/>
    <w:rsid w:val="00A3553D"/>
    <w:rsid w:val="00A3555D"/>
    <w:rsid w:val="00A3575E"/>
    <w:rsid w:val="00A358C1"/>
    <w:rsid w:val="00A35E04"/>
    <w:rsid w:val="00A35E22"/>
    <w:rsid w:val="00A35FD8"/>
    <w:rsid w:val="00A360D3"/>
    <w:rsid w:val="00A3630B"/>
    <w:rsid w:val="00A363E0"/>
    <w:rsid w:val="00A3641B"/>
    <w:rsid w:val="00A364CA"/>
    <w:rsid w:val="00A3691B"/>
    <w:rsid w:val="00A36A21"/>
    <w:rsid w:val="00A36CE6"/>
    <w:rsid w:val="00A374C5"/>
    <w:rsid w:val="00A37E9F"/>
    <w:rsid w:val="00A37F12"/>
    <w:rsid w:val="00A41206"/>
    <w:rsid w:val="00A41223"/>
    <w:rsid w:val="00A4129D"/>
    <w:rsid w:val="00A41471"/>
    <w:rsid w:val="00A417EF"/>
    <w:rsid w:val="00A41E47"/>
    <w:rsid w:val="00A42016"/>
    <w:rsid w:val="00A42167"/>
    <w:rsid w:val="00A42343"/>
    <w:rsid w:val="00A42416"/>
    <w:rsid w:val="00A42441"/>
    <w:rsid w:val="00A42C58"/>
    <w:rsid w:val="00A43023"/>
    <w:rsid w:val="00A430E2"/>
    <w:rsid w:val="00A431A1"/>
    <w:rsid w:val="00A43243"/>
    <w:rsid w:val="00A4350B"/>
    <w:rsid w:val="00A43DD5"/>
    <w:rsid w:val="00A43ECC"/>
    <w:rsid w:val="00A43F1C"/>
    <w:rsid w:val="00A44878"/>
    <w:rsid w:val="00A44AFF"/>
    <w:rsid w:val="00A44B39"/>
    <w:rsid w:val="00A44EAD"/>
    <w:rsid w:val="00A45103"/>
    <w:rsid w:val="00A45297"/>
    <w:rsid w:val="00A452E1"/>
    <w:rsid w:val="00A454BB"/>
    <w:rsid w:val="00A456BB"/>
    <w:rsid w:val="00A457B9"/>
    <w:rsid w:val="00A45BF4"/>
    <w:rsid w:val="00A45D28"/>
    <w:rsid w:val="00A45FAF"/>
    <w:rsid w:val="00A460AD"/>
    <w:rsid w:val="00A46445"/>
    <w:rsid w:val="00A4662A"/>
    <w:rsid w:val="00A47245"/>
    <w:rsid w:val="00A47651"/>
    <w:rsid w:val="00A4785C"/>
    <w:rsid w:val="00A505BE"/>
    <w:rsid w:val="00A50CC7"/>
    <w:rsid w:val="00A50DA4"/>
    <w:rsid w:val="00A5140A"/>
    <w:rsid w:val="00A5159F"/>
    <w:rsid w:val="00A517D1"/>
    <w:rsid w:val="00A51C61"/>
    <w:rsid w:val="00A51DA1"/>
    <w:rsid w:val="00A51EB8"/>
    <w:rsid w:val="00A51EF6"/>
    <w:rsid w:val="00A51F18"/>
    <w:rsid w:val="00A5220A"/>
    <w:rsid w:val="00A528C7"/>
    <w:rsid w:val="00A52CC0"/>
    <w:rsid w:val="00A533C3"/>
    <w:rsid w:val="00A53520"/>
    <w:rsid w:val="00A5384F"/>
    <w:rsid w:val="00A53ADF"/>
    <w:rsid w:val="00A53D58"/>
    <w:rsid w:val="00A542EB"/>
    <w:rsid w:val="00A54468"/>
    <w:rsid w:val="00A544CC"/>
    <w:rsid w:val="00A5458A"/>
    <w:rsid w:val="00A545F1"/>
    <w:rsid w:val="00A54846"/>
    <w:rsid w:val="00A54ADD"/>
    <w:rsid w:val="00A55249"/>
    <w:rsid w:val="00A55282"/>
    <w:rsid w:val="00A55796"/>
    <w:rsid w:val="00A55AB2"/>
    <w:rsid w:val="00A5605D"/>
    <w:rsid w:val="00A567B3"/>
    <w:rsid w:val="00A569B2"/>
    <w:rsid w:val="00A56DE9"/>
    <w:rsid w:val="00A56E26"/>
    <w:rsid w:val="00A56EF6"/>
    <w:rsid w:val="00A5709A"/>
    <w:rsid w:val="00A571F9"/>
    <w:rsid w:val="00A5743B"/>
    <w:rsid w:val="00A575B5"/>
    <w:rsid w:val="00A57970"/>
    <w:rsid w:val="00A60E68"/>
    <w:rsid w:val="00A61447"/>
    <w:rsid w:val="00A61BBA"/>
    <w:rsid w:val="00A6233B"/>
    <w:rsid w:val="00A625C6"/>
    <w:rsid w:val="00A6279F"/>
    <w:rsid w:val="00A627C4"/>
    <w:rsid w:val="00A62CD6"/>
    <w:rsid w:val="00A6356F"/>
    <w:rsid w:val="00A635A2"/>
    <w:rsid w:val="00A63BED"/>
    <w:rsid w:val="00A64022"/>
    <w:rsid w:val="00A64215"/>
    <w:rsid w:val="00A649DF"/>
    <w:rsid w:val="00A64D55"/>
    <w:rsid w:val="00A653D2"/>
    <w:rsid w:val="00A6549A"/>
    <w:rsid w:val="00A65651"/>
    <w:rsid w:val="00A656A1"/>
    <w:rsid w:val="00A657C2"/>
    <w:rsid w:val="00A65807"/>
    <w:rsid w:val="00A66052"/>
    <w:rsid w:val="00A660FD"/>
    <w:rsid w:val="00A6610A"/>
    <w:rsid w:val="00A6630D"/>
    <w:rsid w:val="00A668CC"/>
    <w:rsid w:val="00A66B68"/>
    <w:rsid w:val="00A66CA1"/>
    <w:rsid w:val="00A66D4E"/>
    <w:rsid w:val="00A6734D"/>
    <w:rsid w:val="00A673F7"/>
    <w:rsid w:val="00A67776"/>
    <w:rsid w:val="00A67E73"/>
    <w:rsid w:val="00A70251"/>
    <w:rsid w:val="00A70466"/>
    <w:rsid w:val="00A705F7"/>
    <w:rsid w:val="00A70888"/>
    <w:rsid w:val="00A7094C"/>
    <w:rsid w:val="00A70C97"/>
    <w:rsid w:val="00A70D52"/>
    <w:rsid w:val="00A70FBC"/>
    <w:rsid w:val="00A71104"/>
    <w:rsid w:val="00A71361"/>
    <w:rsid w:val="00A71571"/>
    <w:rsid w:val="00A71785"/>
    <w:rsid w:val="00A71846"/>
    <w:rsid w:val="00A720F2"/>
    <w:rsid w:val="00A7236C"/>
    <w:rsid w:val="00A723C8"/>
    <w:rsid w:val="00A72409"/>
    <w:rsid w:val="00A725CA"/>
    <w:rsid w:val="00A72BBD"/>
    <w:rsid w:val="00A72DEF"/>
    <w:rsid w:val="00A72E0B"/>
    <w:rsid w:val="00A72FE5"/>
    <w:rsid w:val="00A732F2"/>
    <w:rsid w:val="00A73596"/>
    <w:rsid w:val="00A73854"/>
    <w:rsid w:val="00A73B96"/>
    <w:rsid w:val="00A73BF4"/>
    <w:rsid w:val="00A7401C"/>
    <w:rsid w:val="00A741BA"/>
    <w:rsid w:val="00A74DF9"/>
    <w:rsid w:val="00A74FD2"/>
    <w:rsid w:val="00A75172"/>
    <w:rsid w:val="00A7542E"/>
    <w:rsid w:val="00A756A1"/>
    <w:rsid w:val="00A7570C"/>
    <w:rsid w:val="00A75F4A"/>
    <w:rsid w:val="00A76B57"/>
    <w:rsid w:val="00A76C0D"/>
    <w:rsid w:val="00A76E3E"/>
    <w:rsid w:val="00A77A99"/>
    <w:rsid w:val="00A802BE"/>
    <w:rsid w:val="00A803B6"/>
    <w:rsid w:val="00A8088A"/>
    <w:rsid w:val="00A80E49"/>
    <w:rsid w:val="00A810C9"/>
    <w:rsid w:val="00A814AA"/>
    <w:rsid w:val="00A819FE"/>
    <w:rsid w:val="00A81C86"/>
    <w:rsid w:val="00A8200F"/>
    <w:rsid w:val="00A82561"/>
    <w:rsid w:val="00A82907"/>
    <w:rsid w:val="00A82970"/>
    <w:rsid w:val="00A82A9F"/>
    <w:rsid w:val="00A82E91"/>
    <w:rsid w:val="00A8332B"/>
    <w:rsid w:val="00A834AD"/>
    <w:rsid w:val="00A83FEF"/>
    <w:rsid w:val="00A841FD"/>
    <w:rsid w:val="00A84267"/>
    <w:rsid w:val="00A842AE"/>
    <w:rsid w:val="00A8493F"/>
    <w:rsid w:val="00A854CC"/>
    <w:rsid w:val="00A856E4"/>
    <w:rsid w:val="00A858B8"/>
    <w:rsid w:val="00A859D6"/>
    <w:rsid w:val="00A85C5B"/>
    <w:rsid w:val="00A86140"/>
    <w:rsid w:val="00A86A47"/>
    <w:rsid w:val="00A86B34"/>
    <w:rsid w:val="00A86DD4"/>
    <w:rsid w:val="00A86E1E"/>
    <w:rsid w:val="00A86FBD"/>
    <w:rsid w:val="00A8755C"/>
    <w:rsid w:val="00A87F91"/>
    <w:rsid w:val="00A902C5"/>
    <w:rsid w:val="00A90331"/>
    <w:rsid w:val="00A906C6"/>
    <w:rsid w:val="00A907C8"/>
    <w:rsid w:val="00A90A5C"/>
    <w:rsid w:val="00A90D58"/>
    <w:rsid w:val="00A910DB"/>
    <w:rsid w:val="00A91523"/>
    <w:rsid w:val="00A91726"/>
    <w:rsid w:val="00A91823"/>
    <w:rsid w:val="00A91D16"/>
    <w:rsid w:val="00A92212"/>
    <w:rsid w:val="00A924FF"/>
    <w:rsid w:val="00A9267A"/>
    <w:rsid w:val="00A92AF9"/>
    <w:rsid w:val="00A92D72"/>
    <w:rsid w:val="00A92EF6"/>
    <w:rsid w:val="00A93554"/>
    <w:rsid w:val="00A937A3"/>
    <w:rsid w:val="00A93901"/>
    <w:rsid w:val="00A93E5C"/>
    <w:rsid w:val="00A9465B"/>
    <w:rsid w:val="00A94CAC"/>
    <w:rsid w:val="00A9507B"/>
    <w:rsid w:val="00A9524D"/>
    <w:rsid w:val="00A958BD"/>
    <w:rsid w:val="00A95E14"/>
    <w:rsid w:val="00A95EFA"/>
    <w:rsid w:val="00A96194"/>
    <w:rsid w:val="00A9625E"/>
    <w:rsid w:val="00A9638B"/>
    <w:rsid w:val="00A967DC"/>
    <w:rsid w:val="00A96C3D"/>
    <w:rsid w:val="00A96C46"/>
    <w:rsid w:val="00A97393"/>
    <w:rsid w:val="00A97675"/>
    <w:rsid w:val="00A978D0"/>
    <w:rsid w:val="00A97C46"/>
    <w:rsid w:val="00A97FB4"/>
    <w:rsid w:val="00AA0480"/>
    <w:rsid w:val="00AA08F1"/>
    <w:rsid w:val="00AA0A0C"/>
    <w:rsid w:val="00AA0F56"/>
    <w:rsid w:val="00AA119E"/>
    <w:rsid w:val="00AA12C0"/>
    <w:rsid w:val="00AA15DF"/>
    <w:rsid w:val="00AA188C"/>
    <w:rsid w:val="00AA1B5F"/>
    <w:rsid w:val="00AA1B69"/>
    <w:rsid w:val="00AA1D77"/>
    <w:rsid w:val="00AA1F92"/>
    <w:rsid w:val="00AA1FE0"/>
    <w:rsid w:val="00AA2028"/>
    <w:rsid w:val="00AA2593"/>
    <w:rsid w:val="00AA2783"/>
    <w:rsid w:val="00AA2B32"/>
    <w:rsid w:val="00AA36C5"/>
    <w:rsid w:val="00AA37C0"/>
    <w:rsid w:val="00AA3C54"/>
    <w:rsid w:val="00AA3DC9"/>
    <w:rsid w:val="00AA3F6A"/>
    <w:rsid w:val="00AA409C"/>
    <w:rsid w:val="00AA46FC"/>
    <w:rsid w:val="00AA483E"/>
    <w:rsid w:val="00AA4C3A"/>
    <w:rsid w:val="00AA528B"/>
    <w:rsid w:val="00AA59DE"/>
    <w:rsid w:val="00AA5BAB"/>
    <w:rsid w:val="00AA6067"/>
    <w:rsid w:val="00AA621B"/>
    <w:rsid w:val="00AA64C0"/>
    <w:rsid w:val="00AA6752"/>
    <w:rsid w:val="00AA68D5"/>
    <w:rsid w:val="00AA6E5B"/>
    <w:rsid w:val="00AA6F98"/>
    <w:rsid w:val="00AA7348"/>
    <w:rsid w:val="00AA73F5"/>
    <w:rsid w:val="00AA743B"/>
    <w:rsid w:val="00AA7594"/>
    <w:rsid w:val="00AA7609"/>
    <w:rsid w:val="00AA7BF8"/>
    <w:rsid w:val="00AA7C7C"/>
    <w:rsid w:val="00AA7DCF"/>
    <w:rsid w:val="00AB04E3"/>
    <w:rsid w:val="00AB0588"/>
    <w:rsid w:val="00AB0699"/>
    <w:rsid w:val="00AB107F"/>
    <w:rsid w:val="00AB14B0"/>
    <w:rsid w:val="00AB1EC9"/>
    <w:rsid w:val="00AB1ECE"/>
    <w:rsid w:val="00AB1EF1"/>
    <w:rsid w:val="00AB2501"/>
    <w:rsid w:val="00AB2B63"/>
    <w:rsid w:val="00AB33D2"/>
    <w:rsid w:val="00AB3702"/>
    <w:rsid w:val="00AB3857"/>
    <w:rsid w:val="00AB3B3D"/>
    <w:rsid w:val="00AB3EB8"/>
    <w:rsid w:val="00AB43D9"/>
    <w:rsid w:val="00AB442D"/>
    <w:rsid w:val="00AB44B5"/>
    <w:rsid w:val="00AB490B"/>
    <w:rsid w:val="00AB4FF1"/>
    <w:rsid w:val="00AB5185"/>
    <w:rsid w:val="00AB5299"/>
    <w:rsid w:val="00AB5C3E"/>
    <w:rsid w:val="00AB6541"/>
    <w:rsid w:val="00AB6BF4"/>
    <w:rsid w:val="00AB71DA"/>
    <w:rsid w:val="00AB7228"/>
    <w:rsid w:val="00AB7272"/>
    <w:rsid w:val="00AB728D"/>
    <w:rsid w:val="00AB7633"/>
    <w:rsid w:val="00AB78AD"/>
    <w:rsid w:val="00AB7B6D"/>
    <w:rsid w:val="00AB7C06"/>
    <w:rsid w:val="00AC030A"/>
    <w:rsid w:val="00AC0867"/>
    <w:rsid w:val="00AC0900"/>
    <w:rsid w:val="00AC09A0"/>
    <w:rsid w:val="00AC0D83"/>
    <w:rsid w:val="00AC12D0"/>
    <w:rsid w:val="00AC160A"/>
    <w:rsid w:val="00AC1ABE"/>
    <w:rsid w:val="00AC1BFA"/>
    <w:rsid w:val="00AC2663"/>
    <w:rsid w:val="00AC39DF"/>
    <w:rsid w:val="00AC3B19"/>
    <w:rsid w:val="00AC3B87"/>
    <w:rsid w:val="00AC41F8"/>
    <w:rsid w:val="00AC4678"/>
    <w:rsid w:val="00AC46EE"/>
    <w:rsid w:val="00AC5411"/>
    <w:rsid w:val="00AC54C3"/>
    <w:rsid w:val="00AC579C"/>
    <w:rsid w:val="00AC5CE3"/>
    <w:rsid w:val="00AC5ECB"/>
    <w:rsid w:val="00AC61D9"/>
    <w:rsid w:val="00AC621E"/>
    <w:rsid w:val="00AC646B"/>
    <w:rsid w:val="00AC6CA1"/>
    <w:rsid w:val="00AC746D"/>
    <w:rsid w:val="00AC7471"/>
    <w:rsid w:val="00AC7802"/>
    <w:rsid w:val="00AD0125"/>
    <w:rsid w:val="00AD0318"/>
    <w:rsid w:val="00AD032B"/>
    <w:rsid w:val="00AD0450"/>
    <w:rsid w:val="00AD0688"/>
    <w:rsid w:val="00AD092E"/>
    <w:rsid w:val="00AD0D81"/>
    <w:rsid w:val="00AD0FCB"/>
    <w:rsid w:val="00AD0FCE"/>
    <w:rsid w:val="00AD17BE"/>
    <w:rsid w:val="00AD192C"/>
    <w:rsid w:val="00AD1AE0"/>
    <w:rsid w:val="00AD1AE8"/>
    <w:rsid w:val="00AD1D1B"/>
    <w:rsid w:val="00AD2192"/>
    <w:rsid w:val="00AD27AD"/>
    <w:rsid w:val="00AD2B3F"/>
    <w:rsid w:val="00AD334B"/>
    <w:rsid w:val="00AD345E"/>
    <w:rsid w:val="00AD3DC9"/>
    <w:rsid w:val="00AD3E56"/>
    <w:rsid w:val="00AD4056"/>
    <w:rsid w:val="00AD45FF"/>
    <w:rsid w:val="00AD49E4"/>
    <w:rsid w:val="00AD4A49"/>
    <w:rsid w:val="00AD4B6E"/>
    <w:rsid w:val="00AD4EE7"/>
    <w:rsid w:val="00AD52F6"/>
    <w:rsid w:val="00AD59D9"/>
    <w:rsid w:val="00AD5A0A"/>
    <w:rsid w:val="00AD60FE"/>
    <w:rsid w:val="00AD6679"/>
    <w:rsid w:val="00AD67E3"/>
    <w:rsid w:val="00AD685F"/>
    <w:rsid w:val="00AD70ED"/>
    <w:rsid w:val="00AD7106"/>
    <w:rsid w:val="00AD74F7"/>
    <w:rsid w:val="00AD78A6"/>
    <w:rsid w:val="00AD78DD"/>
    <w:rsid w:val="00AD7936"/>
    <w:rsid w:val="00AD7DBE"/>
    <w:rsid w:val="00AE02E0"/>
    <w:rsid w:val="00AE05AE"/>
    <w:rsid w:val="00AE0CEC"/>
    <w:rsid w:val="00AE124C"/>
    <w:rsid w:val="00AE1707"/>
    <w:rsid w:val="00AE1D97"/>
    <w:rsid w:val="00AE1DE4"/>
    <w:rsid w:val="00AE23E6"/>
    <w:rsid w:val="00AE2563"/>
    <w:rsid w:val="00AE2DE4"/>
    <w:rsid w:val="00AE2E79"/>
    <w:rsid w:val="00AE2EBC"/>
    <w:rsid w:val="00AE36B2"/>
    <w:rsid w:val="00AE3762"/>
    <w:rsid w:val="00AE3A77"/>
    <w:rsid w:val="00AE3B0D"/>
    <w:rsid w:val="00AE3BB2"/>
    <w:rsid w:val="00AE3BEB"/>
    <w:rsid w:val="00AE4032"/>
    <w:rsid w:val="00AE4695"/>
    <w:rsid w:val="00AE48A9"/>
    <w:rsid w:val="00AE4930"/>
    <w:rsid w:val="00AE49B2"/>
    <w:rsid w:val="00AE4F29"/>
    <w:rsid w:val="00AE4F56"/>
    <w:rsid w:val="00AE54C3"/>
    <w:rsid w:val="00AE5519"/>
    <w:rsid w:val="00AE571D"/>
    <w:rsid w:val="00AE595D"/>
    <w:rsid w:val="00AE5F65"/>
    <w:rsid w:val="00AE5F75"/>
    <w:rsid w:val="00AE61C6"/>
    <w:rsid w:val="00AE6211"/>
    <w:rsid w:val="00AE6554"/>
    <w:rsid w:val="00AE66C9"/>
    <w:rsid w:val="00AE6703"/>
    <w:rsid w:val="00AE6811"/>
    <w:rsid w:val="00AE6986"/>
    <w:rsid w:val="00AE69D6"/>
    <w:rsid w:val="00AE6A45"/>
    <w:rsid w:val="00AE6A64"/>
    <w:rsid w:val="00AE6B3E"/>
    <w:rsid w:val="00AE6D5D"/>
    <w:rsid w:val="00AE6FFF"/>
    <w:rsid w:val="00AE746D"/>
    <w:rsid w:val="00AE760A"/>
    <w:rsid w:val="00AE7700"/>
    <w:rsid w:val="00AE790E"/>
    <w:rsid w:val="00AE796C"/>
    <w:rsid w:val="00AE7C4E"/>
    <w:rsid w:val="00AE7C8E"/>
    <w:rsid w:val="00AF026A"/>
    <w:rsid w:val="00AF02F2"/>
    <w:rsid w:val="00AF03A8"/>
    <w:rsid w:val="00AF0406"/>
    <w:rsid w:val="00AF04F8"/>
    <w:rsid w:val="00AF0550"/>
    <w:rsid w:val="00AF0AF1"/>
    <w:rsid w:val="00AF0BA2"/>
    <w:rsid w:val="00AF0EC6"/>
    <w:rsid w:val="00AF1971"/>
    <w:rsid w:val="00AF20B4"/>
    <w:rsid w:val="00AF2138"/>
    <w:rsid w:val="00AF2821"/>
    <w:rsid w:val="00AF2DD4"/>
    <w:rsid w:val="00AF32AA"/>
    <w:rsid w:val="00AF335C"/>
    <w:rsid w:val="00AF35D1"/>
    <w:rsid w:val="00AF3B82"/>
    <w:rsid w:val="00AF3C70"/>
    <w:rsid w:val="00AF3F05"/>
    <w:rsid w:val="00AF4167"/>
    <w:rsid w:val="00AF4A59"/>
    <w:rsid w:val="00AF4C44"/>
    <w:rsid w:val="00AF4EE5"/>
    <w:rsid w:val="00AF557E"/>
    <w:rsid w:val="00AF5686"/>
    <w:rsid w:val="00AF576E"/>
    <w:rsid w:val="00AF5A7E"/>
    <w:rsid w:val="00AF5F47"/>
    <w:rsid w:val="00AF658A"/>
    <w:rsid w:val="00AF66A4"/>
    <w:rsid w:val="00AF6B7B"/>
    <w:rsid w:val="00AF6D6E"/>
    <w:rsid w:val="00AF6FC3"/>
    <w:rsid w:val="00AF7263"/>
    <w:rsid w:val="00AF7406"/>
    <w:rsid w:val="00AF7534"/>
    <w:rsid w:val="00AF7802"/>
    <w:rsid w:val="00AF78C7"/>
    <w:rsid w:val="00AF7924"/>
    <w:rsid w:val="00AF7C5B"/>
    <w:rsid w:val="00AF7F91"/>
    <w:rsid w:val="00B002AC"/>
    <w:rsid w:val="00B00629"/>
    <w:rsid w:val="00B00BAA"/>
    <w:rsid w:val="00B00C3B"/>
    <w:rsid w:val="00B00CDA"/>
    <w:rsid w:val="00B00E78"/>
    <w:rsid w:val="00B00F00"/>
    <w:rsid w:val="00B00FE2"/>
    <w:rsid w:val="00B0187D"/>
    <w:rsid w:val="00B01BB8"/>
    <w:rsid w:val="00B02119"/>
    <w:rsid w:val="00B0239B"/>
    <w:rsid w:val="00B0270C"/>
    <w:rsid w:val="00B02E03"/>
    <w:rsid w:val="00B02EFD"/>
    <w:rsid w:val="00B02FC2"/>
    <w:rsid w:val="00B033C1"/>
    <w:rsid w:val="00B03425"/>
    <w:rsid w:val="00B039D2"/>
    <w:rsid w:val="00B03AC9"/>
    <w:rsid w:val="00B0406C"/>
    <w:rsid w:val="00B0454F"/>
    <w:rsid w:val="00B04751"/>
    <w:rsid w:val="00B04972"/>
    <w:rsid w:val="00B04B69"/>
    <w:rsid w:val="00B04C19"/>
    <w:rsid w:val="00B04CA0"/>
    <w:rsid w:val="00B04DEC"/>
    <w:rsid w:val="00B04E21"/>
    <w:rsid w:val="00B04EEB"/>
    <w:rsid w:val="00B0523E"/>
    <w:rsid w:val="00B05298"/>
    <w:rsid w:val="00B0547F"/>
    <w:rsid w:val="00B057FD"/>
    <w:rsid w:val="00B0597C"/>
    <w:rsid w:val="00B05BB1"/>
    <w:rsid w:val="00B06740"/>
    <w:rsid w:val="00B0683B"/>
    <w:rsid w:val="00B0698A"/>
    <w:rsid w:val="00B06995"/>
    <w:rsid w:val="00B06F5A"/>
    <w:rsid w:val="00B0704A"/>
    <w:rsid w:val="00B070E5"/>
    <w:rsid w:val="00B0742F"/>
    <w:rsid w:val="00B07795"/>
    <w:rsid w:val="00B07DAD"/>
    <w:rsid w:val="00B07E88"/>
    <w:rsid w:val="00B1035C"/>
    <w:rsid w:val="00B1044A"/>
    <w:rsid w:val="00B10617"/>
    <w:rsid w:val="00B10769"/>
    <w:rsid w:val="00B10847"/>
    <w:rsid w:val="00B109E3"/>
    <w:rsid w:val="00B10A21"/>
    <w:rsid w:val="00B10CC9"/>
    <w:rsid w:val="00B10EC7"/>
    <w:rsid w:val="00B117EC"/>
    <w:rsid w:val="00B11905"/>
    <w:rsid w:val="00B11ADE"/>
    <w:rsid w:val="00B12011"/>
    <w:rsid w:val="00B125F9"/>
    <w:rsid w:val="00B12625"/>
    <w:rsid w:val="00B126AA"/>
    <w:rsid w:val="00B128E3"/>
    <w:rsid w:val="00B12C50"/>
    <w:rsid w:val="00B134F2"/>
    <w:rsid w:val="00B13548"/>
    <w:rsid w:val="00B1459E"/>
    <w:rsid w:val="00B146F9"/>
    <w:rsid w:val="00B1508B"/>
    <w:rsid w:val="00B15541"/>
    <w:rsid w:val="00B157D5"/>
    <w:rsid w:val="00B15B01"/>
    <w:rsid w:val="00B15B63"/>
    <w:rsid w:val="00B167CE"/>
    <w:rsid w:val="00B16CA3"/>
    <w:rsid w:val="00B16D41"/>
    <w:rsid w:val="00B16E25"/>
    <w:rsid w:val="00B16F8F"/>
    <w:rsid w:val="00B16FBA"/>
    <w:rsid w:val="00B170A3"/>
    <w:rsid w:val="00B172B4"/>
    <w:rsid w:val="00B17517"/>
    <w:rsid w:val="00B1775D"/>
    <w:rsid w:val="00B17784"/>
    <w:rsid w:val="00B17AA8"/>
    <w:rsid w:val="00B17E2F"/>
    <w:rsid w:val="00B20041"/>
    <w:rsid w:val="00B20A6D"/>
    <w:rsid w:val="00B20FE4"/>
    <w:rsid w:val="00B20FF7"/>
    <w:rsid w:val="00B214DA"/>
    <w:rsid w:val="00B21534"/>
    <w:rsid w:val="00B2163C"/>
    <w:rsid w:val="00B21EC7"/>
    <w:rsid w:val="00B21F21"/>
    <w:rsid w:val="00B22040"/>
    <w:rsid w:val="00B227EB"/>
    <w:rsid w:val="00B22AED"/>
    <w:rsid w:val="00B22C46"/>
    <w:rsid w:val="00B232F2"/>
    <w:rsid w:val="00B23300"/>
    <w:rsid w:val="00B23667"/>
    <w:rsid w:val="00B23726"/>
    <w:rsid w:val="00B23735"/>
    <w:rsid w:val="00B23BCD"/>
    <w:rsid w:val="00B23D30"/>
    <w:rsid w:val="00B243D4"/>
    <w:rsid w:val="00B24783"/>
    <w:rsid w:val="00B24CED"/>
    <w:rsid w:val="00B25575"/>
    <w:rsid w:val="00B2562F"/>
    <w:rsid w:val="00B259A7"/>
    <w:rsid w:val="00B25D1D"/>
    <w:rsid w:val="00B25F5C"/>
    <w:rsid w:val="00B26252"/>
    <w:rsid w:val="00B2666D"/>
    <w:rsid w:val="00B2695B"/>
    <w:rsid w:val="00B26AD6"/>
    <w:rsid w:val="00B275DB"/>
    <w:rsid w:val="00B27B13"/>
    <w:rsid w:val="00B27D25"/>
    <w:rsid w:val="00B27DAB"/>
    <w:rsid w:val="00B27DDF"/>
    <w:rsid w:val="00B3009C"/>
    <w:rsid w:val="00B301D4"/>
    <w:rsid w:val="00B30CE5"/>
    <w:rsid w:val="00B31800"/>
    <w:rsid w:val="00B31942"/>
    <w:rsid w:val="00B31CA3"/>
    <w:rsid w:val="00B32389"/>
    <w:rsid w:val="00B32491"/>
    <w:rsid w:val="00B32496"/>
    <w:rsid w:val="00B32875"/>
    <w:rsid w:val="00B32B47"/>
    <w:rsid w:val="00B32BE4"/>
    <w:rsid w:val="00B32D63"/>
    <w:rsid w:val="00B3304B"/>
    <w:rsid w:val="00B330A7"/>
    <w:rsid w:val="00B33405"/>
    <w:rsid w:val="00B33408"/>
    <w:rsid w:val="00B338BF"/>
    <w:rsid w:val="00B33BE8"/>
    <w:rsid w:val="00B33C43"/>
    <w:rsid w:val="00B33D6C"/>
    <w:rsid w:val="00B33ECB"/>
    <w:rsid w:val="00B341B1"/>
    <w:rsid w:val="00B342C6"/>
    <w:rsid w:val="00B343E8"/>
    <w:rsid w:val="00B348C2"/>
    <w:rsid w:val="00B34E9E"/>
    <w:rsid w:val="00B34EDE"/>
    <w:rsid w:val="00B351B5"/>
    <w:rsid w:val="00B352C8"/>
    <w:rsid w:val="00B353CC"/>
    <w:rsid w:val="00B3574B"/>
    <w:rsid w:val="00B35BCA"/>
    <w:rsid w:val="00B364E7"/>
    <w:rsid w:val="00B367A6"/>
    <w:rsid w:val="00B36BBA"/>
    <w:rsid w:val="00B36E40"/>
    <w:rsid w:val="00B36E9C"/>
    <w:rsid w:val="00B3721B"/>
    <w:rsid w:val="00B376E6"/>
    <w:rsid w:val="00B3791C"/>
    <w:rsid w:val="00B3799C"/>
    <w:rsid w:val="00B379BE"/>
    <w:rsid w:val="00B379E8"/>
    <w:rsid w:val="00B37AC9"/>
    <w:rsid w:val="00B40039"/>
    <w:rsid w:val="00B40449"/>
    <w:rsid w:val="00B40642"/>
    <w:rsid w:val="00B4071D"/>
    <w:rsid w:val="00B40862"/>
    <w:rsid w:val="00B40BAC"/>
    <w:rsid w:val="00B40C3A"/>
    <w:rsid w:val="00B40C48"/>
    <w:rsid w:val="00B40D24"/>
    <w:rsid w:val="00B40EAB"/>
    <w:rsid w:val="00B40F27"/>
    <w:rsid w:val="00B410E7"/>
    <w:rsid w:val="00B41188"/>
    <w:rsid w:val="00B4133A"/>
    <w:rsid w:val="00B414C7"/>
    <w:rsid w:val="00B4157A"/>
    <w:rsid w:val="00B416B9"/>
    <w:rsid w:val="00B41AE6"/>
    <w:rsid w:val="00B41D67"/>
    <w:rsid w:val="00B41F88"/>
    <w:rsid w:val="00B4259B"/>
    <w:rsid w:val="00B426B7"/>
    <w:rsid w:val="00B427D3"/>
    <w:rsid w:val="00B42831"/>
    <w:rsid w:val="00B42A4F"/>
    <w:rsid w:val="00B42E66"/>
    <w:rsid w:val="00B43619"/>
    <w:rsid w:val="00B43988"/>
    <w:rsid w:val="00B43DCA"/>
    <w:rsid w:val="00B43F37"/>
    <w:rsid w:val="00B440D5"/>
    <w:rsid w:val="00B448A9"/>
    <w:rsid w:val="00B44E8B"/>
    <w:rsid w:val="00B44F67"/>
    <w:rsid w:val="00B44F90"/>
    <w:rsid w:val="00B45B14"/>
    <w:rsid w:val="00B46468"/>
    <w:rsid w:val="00B465B5"/>
    <w:rsid w:val="00B46774"/>
    <w:rsid w:val="00B46AD4"/>
    <w:rsid w:val="00B46D91"/>
    <w:rsid w:val="00B4731D"/>
    <w:rsid w:val="00B4757E"/>
    <w:rsid w:val="00B4760A"/>
    <w:rsid w:val="00B47647"/>
    <w:rsid w:val="00B476EC"/>
    <w:rsid w:val="00B47972"/>
    <w:rsid w:val="00B47DF6"/>
    <w:rsid w:val="00B50053"/>
    <w:rsid w:val="00B5019D"/>
    <w:rsid w:val="00B502F3"/>
    <w:rsid w:val="00B505D7"/>
    <w:rsid w:val="00B50822"/>
    <w:rsid w:val="00B508C0"/>
    <w:rsid w:val="00B50B91"/>
    <w:rsid w:val="00B513C6"/>
    <w:rsid w:val="00B51D2D"/>
    <w:rsid w:val="00B51F17"/>
    <w:rsid w:val="00B51F27"/>
    <w:rsid w:val="00B525E5"/>
    <w:rsid w:val="00B52809"/>
    <w:rsid w:val="00B52A32"/>
    <w:rsid w:val="00B52CA2"/>
    <w:rsid w:val="00B52F83"/>
    <w:rsid w:val="00B5307D"/>
    <w:rsid w:val="00B532B3"/>
    <w:rsid w:val="00B534E3"/>
    <w:rsid w:val="00B53CE6"/>
    <w:rsid w:val="00B5461D"/>
    <w:rsid w:val="00B5496E"/>
    <w:rsid w:val="00B54A9B"/>
    <w:rsid w:val="00B54E07"/>
    <w:rsid w:val="00B54E82"/>
    <w:rsid w:val="00B555DD"/>
    <w:rsid w:val="00B55A3D"/>
    <w:rsid w:val="00B55CC3"/>
    <w:rsid w:val="00B55D45"/>
    <w:rsid w:val="00B55F32"/>
    <w:rsid w:val="00B560B4"/>
    <w:rsid w:val="00B5613A"/>
    <w:rsid w:val="00B56170"/>
    <w:rsid w:val="00B561BB"/>
    <w:rsid w:val="00B56E34"/>
    <w:rsid w:val="00B56F35"/>
    <w:rsid w:val="00B571C6"/>
    <w:rsid w:val="00B57427"/>
    <w:rsid w:val="00B57447"/>
    <w:rsid w:val="00B57A75"/>
    <w:rsid w:val="00B57BC2"/>
    <w:rsid w:val="00B57D37"/>
    <w:rsid w:val="00B57D9D"/>
    <w:rsid w:val="00B57F66"/>
    <w:rsid w:val="00B600B4"/>
    <w:rsid w:val="00B602D1"/>
    <w:rsid w:val="00B604A1"/>
    <w:rsid w:val="00B6073B"/>
    <w:rsid w:val="00B609AA"/>
    <w:rsid w:val="00B60C86"/>
    <w:rsid w:val="00B61042"/>
    <w:rsid w:val="00B61315"/>
    <w:rsid w:val="00B61BE2"/>
    <w:rsid w:val="00B62123"/>
    <w:rsid w:val="00B623D2"/>
    <w:rsid w:val="00B625BD"/>
    <w:rsid w:val="00B62671"/>
    <w:rsid w:val="00B62B75"/>
    <w:rsid w:val="00B62C26"/>
    <w:rsid w:val="00B6330D"/>
    <w:rsid w:val="00B6331C"/>
    <w:rsid w:val="00B63440"/>
    <w:rsid w:val="00B6349E"/>
    <w:rsid w:val="00B63642"/>
    <w:rsid w:val="00B64491"/>
    <w:rsid w:val="00B6450A"/>
    <w:rsid w:val="00B645EE"/>
    <w:rsid w:val="00B647E6"/>
    <w:rsid w:val="00B65272"/>
    <w:rsid w:val="00B65516"/>
    <w:rsid w:val="00B655C2"/>
    <w:rsid w:val="00B65CB8"/>
    <w:rsid w:val="00B65F15"/>
    <w:rsid w:val="00B65F60"/>
    <w:rsid w:val="00B667B0"/>
    <w:rsid w:val="00B66B60"/>
    <w:rsid w:val="00B66CCE"/>
    <w:rsid w:val="00B66E11"/>
    <w:rsid w:val="00B66F64"/>
    <w:rsid w:val="00B67516"/>
    <w:rsid w:val="00B67791"/>
    <w:rsid w:val="00B677F2"/>
    <w:rsid w:val="00B70055"/>
    <w:rsid w:val="00B70476"/>
    <w:rsid w:val="00B70CFC"/>
    <w:rsid w:val="00B70E4B"/>
    <w:rsid w:val="00B70F2F"/>
    <w:rsid w:val="00B70F48"/>
    <w:rsid w:val="00B70F77"/>
    <w:rsid w:val="00B71161"/>
    <w:rsid w:val="00B71A4F"/>
    <w:rsid w:val="00B71D43"/>
    <w:rsid w:val="00B71FE9"/>
    <w:rsid w:val="00B723D1"/>
    <w:rsid w:val="00B72657"/>
    <w:rsid w:val="00B72FE4"/>
    <w:rsid w:val="00B73784"/>
    <w:rsid w:val="00B737A2"/>
    <w:rsid w:val="00B73CA4"/>
    <w:rsid w:val="00B73EE9"/>
    <w:rsid w:val="00B73EEB"/>
    <w:rsid w:val="00B74736"/>
    <w:rsid w:val="00B74ACB"/>
    <w:rsid w:val="00B74D78"/>
    <w:rsid w:val="00B74F9B"/>
    <w:rsid w:val="00B74FBE"/>
    <w:rsid w:val="00B75044"/>
    <w:rsid w:val="00B7520B"/>
    <w:rsid w:val="00B7574F"/>
    <w:rsid w:val="00B75B92"/>
    <w:rsid w:val="00B76555"/>
    <w:rsid w:val="00B76CF2"/>
    <w:rsid w:val="00B76D04"/>
    <w:rsid w:val="00B771A2"/>
    <w:rsid w:val="00B773BB"/>
    <w:rsid w:val="00B77824"/>
    <w:rsid w:val="00B77A43"/>
    <w:rsid w:val="00B77CE6"/>
    <w:rsid w:val="00B77D3E"/>
    <w:rsid w:val="00B80F14"/>
    <w:rsid w:val="00B81177"/>
    <w:rsid w:val="00B812B1"/>
    <w:rsid w:val="00B8175B"/>
    <w:rsid w:val="00B81F58"/>
    <w:rsid w:val="00B8227F"/>
    <w:rsid w:val="00B82344"/>
    <w:rsid w:val="00B82535"/>
    <w:rsid w:val="00B8270D"/>
    <w:rsid w:val="00B829FA"/>
    <w:rsid w:val="00B82AE2"/>
    <w:rsid w:val="00B82B1E"/>
    <w:rsid w:val="00B83303"/>
    <w:rsid w:val="00B833E6"/>
    <w:rsid w:val="00B83A78"/>
    <w:rsid w:val="00B83FFD"/>
    <w:rsid w:val="00B840AC"/>
    <w:rsid w:val="00B842DE"/>
    <w:rsid w:val="00B846AA"/>
    <w:rsid w:val="00B84B08"/>
    <w:rsid w:val="00B84E06"/>
    <w:rsid w:val="00B84F61"/>
    <w:rsid w:val="00B84F7D"/>
    <w:rsid w:val="00B85164"/>
    <w:rsid w:val="00B854FD"/>
    <w:rsid w:val="00B85A31"/>
    <w:rsid w:val="00B85CF7"/>
    <w:rsid w:val="00B8634E"/>
    <w:rsid w:val="00B86734"/>
    <w:rsid w:val="00B86CB2"/>
    <w:rsid w:val="00B86FED"/>
    <w:rsid w:val="00B8712B"/>
    <w:rsid w:val="00B873FA"/>
    <w:rsid w:val="00B875FB"/>
    <w:rsid w:val="00B87629"/>
    <w:rsid w:val="00B8792E"/>
    <w:rsid w:val="00B87957"/>
    <w:rsid w:val="00B87AE0"/>
    <w:rsid w:val="00B87DCA"/>
    <w:rsid w:val="00B87E41"/>
    <w:rsid w:val="00B87EBE"/>
    <w:rsid w:val="00B87FC5"/>
    <w:rsid w:val="00B901C8"/>
    <w:rsid w:val="00B906C8"/>
    <w:rsid w:val="00B90CEE"/>
    <w:rsid w:val="00B90FCA"/>
    <w:rsid w:val="00B90FE6"/>
    <w:rsid w:val="00B91156"/>
    <w:rsid w:val="00B912CF"/>
    <w:rsid w:val="00B91CFB"/>
    <w:rsid w:val="00B91F57"/>
    <w:rsid w:val="00B922BF"/>
    <w:rsid w:val="00B9292E"/>
    <w:rsid w:val="00B92D0E"/>
    <w:rsid w:val="00B92FD3"/>
    <w:rsid w:val="00B9347B"/>
    <w:rsid w:val="00B93547"/>
    <w:rsid w:val="00B93952"/>
    <w:rsid w:val="00B93AA1"/>
    <w:rsid w:val="00B9417B"/>
    <w:rsid w:val="00B943BB"/>
    <w:rsid w:val="00B94BF6"/>
    <w:rsid w:val="00B951C7"/>
    <w:rsid w:val="00B95551"/>
    <w:rsid w:val="00B95666"/>
    <w:rsid w:val="00B95895"/>
    <w:rsid w:val="00B958BE"/>
    <w:rsid w:val="00B959BF"/>
    <w:rsid w:val="00B95A9B"/>
    <w:rsid w:val="00B95B1E"/>
    <w:rsid w:val="00B96025"/>
    <w:rsid w:val="00B9623B"/>
    <w:rsid w:val="00B96473"/>
    <w:rsid w:val="00B9647B"/>
    <w:rsid w:val="00B9695C"/>
    <w:rsid w:val="00B96A21"/>
    <w:rsid w:val="00B96E7B"/>
    <w:rsid w:val="00B97285"/>
    <w:rsid w:val="00B97425"/>
    <w:rsid w:val="00B977ED"/>
    <w:rsid w:val="00B97909"/>
    <w:rsid w:val="00B97986"/>
    <w:rsid w:val="00B97B52"/>
    <w:rsid w:val="00B97E7B"/>
    <w:rsid w:val="00B97F3E"/>
    <w:rsid w:val="00B97F6E"/>
    <w:rsid w:val="00BA00A2"/>
    <w:rsid w:val="00BA056C"/>
    <w:rsid w:val="00BA0578"/>
    <w:rsid w:val="00BA05B1"/>
    <w:rsid w:val="00BA0BFD"/>
    <w:rsid w:val="00BA1031"/>
    <w:rsid w:val="00BA147A"/>
    <w:rsid w:val="00BA1912"/>
    <w:rsid w:val="00BA1DD4"/>
    <w:rsid w:val="00BA20F9"/>
    <w:rsid w:val="00BA2377"/>
    <w:rsid w:val="00BA28C0"/>
    <w:rsid w:val="00BA293E"/>
    <w:rsid w:val="00BA2B4D"/>
    <w:rsid w:val="00BA3166"/>
    <w:rsid w:val="00BA3385"/>
    <w:rsid w:val="00BA35C4"/>
    <w:rsid w:val="00BA3F7D"/>
    <w:rsid w:val="00BA4140"/>
    <w:rsid w:val="00BA4C38"/>
    <w:rsid w:val="00BA4F49"/>
    <w:rsid w:val="00BA51B4"/>
    <w:rsid w:val="00BA5502"/>
    <w:rsid w:val="00BA55D3"/>
    <w:rsid w:val="00BA56E3"/>
    <w:rsid w:val="00BA58B2"/>
    <w:rsid w:val="00BA5AAF"/>
    <w:rsid w:val="00BA5C19"/>
    <w:rsid w:val="00BA651A"/>
    <w:rsid w:val="00BA659A"/>
    <w:rsid w:val="00BA684C"/>
    <w:rsid w:val="00BA6F83"/>
    <w:rsid w:val="00BA7341"/>
    <w:rsid w:val="00BA7651"/>
    <w:rsid w:val="00BA7A87"/>
    <w:rsid w:val="00BA7B12"/>
    <w:rsid w:val="00BA7F89"/>
    <w:rsid w:val="00BB017A"/>
    <w:rsid w:val="00BB03EB"/>
    <w:rsid w:val="00BB07F6"/>
    <w:rsid w:val="00BB0B1A"/>
    <w:rsid w:val="00BB0D91"/>
    <w:rsid w:val="00BB0FBB"/>
    <w:rsid w:val="00BB12A6"/>
    <w:rsid w:val="00BB12AE"/>
    <w:rsid w:val="00BB1396"/>
    <w:rsid w:val="00BB15EF"/>
    <w:rsid w:val="00BB16B3"/>
    <w:rsid w:val="00BB1823"/>
    <w:rsid w:val="00BB1E87"/>
    <w:rsid w:val="00BB1FF4"/>
    <w:rsid w:val="00BB24D4"/>
    <w:rsid w:val="00BB2CE4"/>
    <w:rsid w:val="00BB31FF"/>
    <w:rsid w:val="00BB3520"/>
    <w:rsid w:val="00BB3690"/>
    <w:rsid w:val="00BB3C13"/>
    <w:rsid w:val="00BB3C89"/>
    <w:rsid w:val="00BB420C"/>
    <w:rsid w:val="00BB4293"/>
    <w:rsid w:val="00BB434F"/>
    <w:rsid w:val="00BB44DC"/>
    <w:rsid w:val="00BB4EB5"/>
    <w:rsid w:val="00BB5183"/>
    <w:rsid w:val="00BB51FC"/>
    <w:rsid w:val="00BB5251"/>
    <w:rsid w:val="00BB5722"/>
    <w:rsid w:val="00BB5D83"/>
    <w:rsid w:val="00BB5E26"/>
    <w:rsid w:val="00BB5FB0"/>
    <w:rsid w:val="00BB6785"/>
    <w:rsid w:val="00BB6902"/>
    <w:rsid w:val="00BB729E"/>
    <w:rsid w:val="00BB7315"/>
    <w:rsid w:val="00BB747F"/>
    <w:rsid w:val="00BB74A1"/>
    <w:rsid w:val="00BB74B9"/>
    <w:rsid w:val="00BB75AA"/>
    <w:rsid w:val="00BB775C"/>
    <w:rsid w:val="00BB7A12"/>
    <w:rsid w:val="00BB7AB6"/>
    <w:rsid w:val="00BB7C28"/>
    <w:rsid w:val="00BB7CC7"/>
    <w:rsid w:val="00BB7EB0"/>
    <w:rsid w:val="00BC00F7"/>
    <w:rsid w:val="00BC0332"/>
    <w:rsid w:val="00BC0751"/>
    <w:rsid w:val="00BC0983"/>
    <w:rsid w:val="00BC09D5"/>
    <w:rsid w:val="00BC0E9C"/>
    <w:rsid w:val="00BC0F73"/>
    <w:rsid w:val="00BC13D7"/>
    <w:rsid w:val="00BC19B4"/>
    <w:rsid w:val="00BC19DF"/>
    <w:rsid w:val="00BC1A63"/>
    <w:rsid w:val="00BC1B20"/>
    <w:rsid w:val="00BC1CCC"/>
    <w:rsid w:val="00BC1EA8"/>
    <w:rsid w:val="00BC2026"/>
    <w:rsid w:val="00BC2256"/>
    <w:rsid w:val="00BC23A3"/>
    <w:rsid w:val="00BC2ADA"/>
    <w:rsid w:val="00BC2B14"/>
    <w:rsid w:val="00BC34BC"/>
    <w:rsid w:val="00BC3787"/>
    <w:rsid w:val="00BC3A28"/>
    <w:rsid w:val="00BC4130"/>
    <w:rsid w:val="00BC45DA"/>
    <w:rsid w:val="00BC491F"/>
    <w:rsid w:val="00BC49DB"/>
    <w:rsid w:val="00BC4BDD"/>
    <w:rsid w:val="00BC4C3F"/>
    <w:rsid w:val="00BC4D51"/>
    <w:rsid w:val="00BC50DC"/>
    <w:rsid w:val="00BC51EE"/>
    <w:rsid w:val="00BC533A"/>
    <w:rsid w:val="00BC5862"/>
    <w:rsid w:val="00BC5910"/>
    <w:rsid w:val="00BC5B02"/>
    <w:rsid w:val="00BC6123"/>
    <w:rsid w:val="00BC622C"/>
    <w:rsid w:val="00BC6CF5"/>
    <w:rsid w:val="00BC6FDE"/>
    <w:rsid w:val="00BC6FE0"/>
    <w:rsid w:val="00BC7423"/>
    <w:rsid w:val="00BC74B5"/>
    <w:rsid w:val="00BC7780"/>
    <w:rsid w:val="00BC79BF"/>
    <w:rsid w:val="00BC7B58"/>
    <w:rsid w:val="00BC7B96"/>
    <w:rsid w:val="00BC7D88"/>
    <w:rsid w:val="00BC7FAB"/>
    <w:rsid w:val="00BD07CD"/>
    <w:rsid w:val="00BD0990"/>
    <w:rsid w:val="00BD09B2"/>
    <w:rsid w:val="00BD0D34"/>
    <w:rsid w:val="00BD0D96"/>
    <w:rsid w:val="00BD121B"/>
    <w:rsid w:val="00BD1391"/>
    <w:rsid w:val="00BD25C2"/>
    <w:rsid w:val="00BD261F"/>
    <w:rsid w:val="00BD26EF"/>
    <w:rsid w:val="00BD271D"/>
    <w:rsid w:val="00BD2AF6"/>
    <w:rsid w:val="00BD2E36"/>
    <w:rsid w:val="00BD31AA"/>
    <w:rsid w:val="00BD322E"/>
    <w:rsid w:val="00BD35A3"/>
    <w:rsid w:val="00BD35B0"/>
    <w:rsid w:val="00BD3611"/>
    <w:rsid w:val="00BD36F1"/>
    <w:rsid w:val="00BD3D48"/>
    <w:rsid w:val="00BD3DB9"/>
    <w:rsid w:val="00BD3ECF"/>
    <w:rsid w:val="00BD44EA"/>
    <w:rsid w:val="00BD47A9"/>
    <w:rsid w:val="00BD47DB"/>
    <w:rsid w:val="00BD49F6"/>
    <w:rsid w:val="00BD4B03"/>
    <w:rsid w:val="00BD511A"/>
    <w:rsid w:val="00BD570F"/>
    <w:rsid w:val="00BD5C11"/>
    <w:rsid w:val="00BD611E"/>
    <w:rsid w:val="00BD62BD"/>
    <w:rsid w:val="00BD6849"/>
    <w:rsid w:val="00BD6A4C"/>
    <w:rsid w:val="00BD6CB5"/>
    <w:rsid w:val="00BD730C"/>
    <w:rsid w:val="00BD7793"/>
    <w:rsid w:val="00BD7867"/>
    <w:rsid w:val="00BD7BF9"/>
    <w:rsid w:val="00BD7ED0"/>
    <w:rsid w:val="00BE0060"/>
    <w:rsid w:val="00BE030C"/>
    <w:rsid w:val="00BE031A"/>
    <w:rsid w:val="00BE05F5"/>
    <w:rsid w:val="00BE09C5"/>
    <w:rsid w:val="00BE09F7"/>
    <w:rsid w:val="00BE0E47"/>
    <w:rsid w:val="00BE1020"/>
    <w:rsid w:val="00BE176F"/>
    <w:rsid w:val="00BE18A2"/>
    <w:rsid w:val="00BE21C9"/>
    <w:rsid w:val="00BE2318"/>
    <w:rsid w:val="00BE24CD"/>
    <w:rsid w:val="00BE2FC8"/>
    <w:rsid w:val="00BE30D5"/>
    <w:rsid w:val="00BE329C"/>
    <w:rsid w:val="00BE33AC"/>
    <w:rsid w:val="00BE37EE"/>
    <w:rsid w:val="00BE39E5"/>
    <w:rsid w:val="00BE3CDF"/>
    <w:rsid w:val="00BE4077"/>
    <w:rsid w:val="00BE41D6"/>
    <w:rsid w:val="00BE4534"/>
    <w:rsid w:val="00BE465F"/>
    <w:rsid w:val="00BE46CD"/>
    <w:rsid w:val="00BE47D0"/>
    <w:rsid w:val="00BE5288"/>
    <w:rsid w:val="00BE54EC"/>
    <w:rsid w:val="00BE5A1F"/>
    <w:rsid w:val="00BE5D75"/>
    <w:rsid w:val="00BE5E04"/>
    <w:rsid w:val="00BE5F85"/>
    <w:rsid w:val="00BE6069"/>
    <w:rsid w:val="00BE6140"/>
    <w:rsid w:val="00BE63A4"/>
    <w:rsid w:val="00BE6788"/>
    <w:rsid w:val="00BE6AD0"/>
    <w:rsid w:val="00BE6B6C"/>
    <w:rsid w:val="00BE70FE"/>
    <w:rsid w:val="00BE7339"/>
    <w:rsid w:val="00BE75B4"/>
    <w:rsid w:val="00BE75D7"/>
    <w:rsid w:val="00BE771E"/>
    <w:rsid w:val="00BE7905"/>
    <w:rsid w:val="00BE7991"/>
    <w:rsid w:val="00BF0B1C"/>
    <w:rsid w:val="00BF0B8B"/>
    <w:rsid w:val="00BF0DEC"/>
    <w:rsid w:val="00BF118D"/>
    <w:rsid w:val="00BF141E"/>
    <w:rsid w:val="00BF1471"/>
    <w:rsid w:val="00BF1F1D"/>
    <w:rsid w:val="00BF2439"/>
    <w:rsid w:val="00BF2708"/>
    <w:rsid w:val="00BF2A33"/>
    <w:rsid w:val="00BF2A36"/>
    <w:rsid w:val="00BF2A68"/>
    <w:rsid w:val="00BF2B55"/>
    <w:rsid w:val="00BF2BA7"/>
    <w:rsid w:val="00BF3106"/>
    <w:rsid w:val="00BF3680"/>
    <w:rsid w:val="00BF36C9"/>
    <w:rsid w:val="00BF3812"/>
    <w:rsid w:val="00BF3A38"/>
    <w:rsid w:val="00BF3AE6"/>
    <w:rsid w:val="00BF3BDF"/>
    <w:rsid w:val="00BF3D9B"/>
    <w:rsid w:val="00BF3DCA"/>
    <w:rsid w:val="00BF3FC5"/>
    <w:rsid w:val="00BF41B7"/>
    <w:rsid w:val="00BF426D"/>
    <w:rsid w:val="00BF44D2"/>
    <w:rsid w:val="00BF46E5"/>
    <w:rsid w:val="00BF4A4E"/>
    <w:rsid w:val="00BF4D04"/>
    <w:rsid w:val="00BF5351"/>
    <w:rsid w:val="00BF53F7"/>
    <w:rsid w:val="00BF56D1"/>
    <w:rsid w:val="00BF587E"/>
    <w:rsid w:val="00BF59F5"/>
    <w:rsid w:val="00BF5BA6"/>
    <w:rsid w:val="00BF6225"/>
    <w:rsid w:val="00BF651A"/>
    <w:rsid w:val="00BF6601"/>
    <w:rsid w:val="00BF698D"/>
    <w:rsid w:val="00BF69D1"/>
    <w:rsid w:val="00BF6A67"/>
    <w:rsid w:val="00BF6AE0"/>
    <w:rsid w:val="00BF6B91"/>
    <w:rsid w:val="00BF6B95"/>
    <w:rsid w:val="00BF704A"/>
    <w:rsid w:val="00BF7676"/>
    <w:rsid w:val="00BF793A"/>
    <w:rsid w:val="00BF7A5A"/>
    <w:rsid w:val="00BF7F85"/>
    <w:rsid w:val="00BF7FBD"/>
    <w:rsid w:val="00C00858"/>
    <w:rsid w:val="00C00983"/>
    <w:rsid w:val="00C00AAC"/>
    <w:rsid w:val="00C00AF4"/>
    <w:rsid w:val="00C00FC6"/>
    <w:rsid w:val="00C011C8"/>
    <w:rsid w:val="00C0120B"/>
    <w:rsid w:val="00C0192D"/>
    <w:rsid w:val="00C02776"/>
    <w:rsid w:val="00C028B4"/>
    <w:rsid w:val="00C02A42"/>
    <w:rsid w:val="00C02B2A"/>
    <w:rsid w:val="00C03739"/>
    <w:rsid w:val="00C03963"/>
    <w:rsid w:val="00C0398C"/>
    <w:rsid w:val="00C03D4A"/>
    <w:rsid w:val="00C04342"/>
    <w:rsid w:val="00C045A4"/>
    <w:rsid w:val="00C04A32"/>
    <w:rsid w:val="00C04CC8"/>
    <w:rsid w:val="00C04FAF"/>
    <w:rsid w:val="00C04FC1"/>
    <w:rsid w:val="00C05138"/>
    <w:rsid w:val="00C05215"/>
    <w:rsid w:val="00C05AA1"/>
    <w:rsid w:val="00C0643B"/>
    <w:rsid w:val="00C068CB"/>
    <w:rsid w:val="00C06A6E"/>
    <w:rsid w:val="00C06BA0"/>
    <w:rsid w:val="00C071F7"/>
    <w:rsid w:val="00C0757A"/>
    <w:rsid w:val="00C1022F"/>
    <w:rsid w:val="00C10611"/>
    <w:rsid w:val="00C109E7"/>
    <w:rsid w:val="00C10AE5"/>
    <w:rsid w:val="00C10C3F"/>
    <w:rsid w:val="00C10F9A"/>
    <w:rsid w:val="00C11237"/>
    <w:rsid w:val="00C11423"/>
    <w:rsid w:val="00C11CF3"/>
    <w:rsid w:val="00C120C5"/>
    <w:rsid w:val="00C12AB3"/>
    <w:rsid w:val="00C12BFC"/>
    <w:rsid w:val="00C133F9"/>
    <w:rsid w:val="00C1356E"/>
    <w:rsid w:val="00C1367C"/>
    <w:rsid w:val="00C138C3"/>
    <w:rsid w:val="00C138FF"/>
    <w:rsid w:val="00C13B03"/>
    <w:rsid w:val="00C1421D"/>
    <w:rsid w:val="00C14466"/>
    <w:rsid w:val="00C144E4"/>
    <w:rsid w:val="00C14B84"/>
    <w:rsid w:val="00C14DB6"/>
    <w:rsid w:val="00C14FF7"/>
    <w:rsid w:val="00C15203"/>
    <w:rsid w:val="00C15251"/>
    <w:rsid w:val="00C15A38"/>
    <w:rsid w:val="00C15ADB"/>
    <w:rsid w:val="00C1614B"/>
    <w:rsid w:val="00C163BE"/>
    <w:rsid w:val="00C16576"/>
    <w:rsid w:val="00C168F7"/>
    <w:rsid w:val="00C16C5D"/>
    <w:rsid w:val="00C1744B"/>
    <w:rsid w:val="00C17AC7"/>
    <w:rsid w:val="00C17CD9"/>
    <w:rsid w:val="00C17D3A"/>
    <w:rsid w:val="00C206F7"/>
    <w:rsid w:val="00C208E5"/>
    <w:rsid w:val="00C21053"/>
    <w:rsid w:val="00C21518"/>
    <w:rsid w:val="00C216C9"/>
    <w:rsid w:val="00C21730"/>
    <w:rsid w:val="00C217D0"/>
    <w:rsid w:val="00C21826"/>
    <w:rsid w:val="00C21DA9"/>
    <w:rsid w:val="00C22320"/>
    <w:rsid w:val="00C2272B"/>
    <w:rsid w:val="00C2284A"/>
    <w:rsid w:val="00C22F40"/>
    <w:rsid w:val="00C23127"/>
    <w:rsid w:val="00C234F0"/>
    <w:rsid w:val="00C23BF6"/>
    <w:rsid w:val="00C23D69"/>
    <w:rsid w:val="00C23E89"/>
    <w:rsid w:val="00C23ED3"/>
    <w:rsid w:val="00C24217"/>
    <w:rsid w:val="00C2460D"/>
    <w:rsid w:val="00C24646"/>
    <w:rsid w:val="00C24832"/>
    <w:rsid w:val="00C248E0"/>
    <w:rsid w:val="00C24A2D"/>
    <w:rsid w:val="00C2525C"/>
    <w:rsid w:val="00C25499"/>
    <w:rsid w:val="00C25782"/>
    <w:rsid w:val="00C2589E"/>
    <w:rsid w:val="00C2591F"/>
    <w:rsid w:val="00C25988"/>
    <w:rsid w:val="00C25ADA"/>
    <w:rsid w:val="00C25DEC"/>
    <w:rsid w:val="00C25FBE"/>
    <w:rsid w:val="00C26455"/>
    <w:rsid w:val="00C26A0C"/>
    <w:rsid w:val="00C26CB0"/>
    <w:rsid w:val="00C277D0"/>
    <w:rsid w:val="00C3041E"/>
    <w:rsid w:val="00C30503"/>
    <w:rsid w:val="00C30887"/>
    <w:rsid w:val="00C30927"/>
    <w:rsid w:val="00C30A70"/>
    <w:rsid w:val="00C3133B"/>
    <w:rsid w:val="00C31536"/>
    <w:rsid w:val="00C31A97"/>
    <w:rsid w:val="00C322E4"/>
    <w:rsid w:val="00C32628"/>
    <w:rsid w:val="00C3268F"/>
    <w:rsid w:val="00C32A97"/>
    <w:rsid w:val="00C32B76"/>
    <w:rsid w:val="00C32CE7"/>
    <w:rsid w:val="00C33854"/>
    <w:rsid w:val="00C33915"/>
    <w:rsid w:val="00C34176"/>
    <w:rsid w:val="00C34421"/>
    <w:rsid w:val="00C34EFA"/>
    <w:rsid w:val="00C3572F"/>
    <w:rsid w:val="00C3653B"/>
    <w:rsid w:val="00C36635"/>
    <w:rsid w:val="00C36777"/>
    <w:rsid w:val="00C367AF"/>
    <w:rsid w:val="00C3713E"/>
    <w:rsid w:val="00C3782C"/>
    <w:rsid w:val="00C37D05"/>
    <w:rsid w:val="00C37D69"/>
    <w:rsid w:val="00C37F76"/>
    <w:rsid w:val="00C40797"/>
    <w:rsid w:val="00C408B2"/>
    <w:rsid w:val="00C40969"/>
    <w:rsid w:val="00C41216"/>
    <w:rsid w:val="00C4125A"/>
    <w:rsid w:val="00C41353"/>
    <w:rsid w:val="00C415B0"/>
    <w:rsid w:val="00C417D3"/>
    <w:rsid w:val="00C41873"/>
    <w:rsid w:val="00C4198F"/>
    <w:rsid w:val="00C422A5"/>
    <w:rsid w:val="00C425A0"/>
    <w:rsid w:val="00C42A13"/>
    <w:rsid w:val="00C42CB4"/>
    <w:rsid w:val="00C42FF1"/>
    <w:rsid w:val="00C4339E"/>
    <w:rsid w:val="00C433D5"/>
    <w:rsid w:val="00C43AD2"/>
    <w:rsid w:val="00C43E2D"/>
    <w:rsid w:val="00C43FD4"/>
    <w:rsid w:val="00C441E5"/>
    <w:rsid w:val="00C449D7"/>
    <w:rsid w:val="00C44B1E"/>
    <w:rsid w:val="00C44F5A"/>
    <w:rsid w:val="00C45048"/>
    <w:rsid w:val="00C450BC"/>
    <w:rsid w:val="00C452A4"/>
    <w:rsid w:val="00C45E3E"/>
    <w:rsid w:val="00C46290"/>
    <w:rsid w:val="00C46341"/>
    <w:rsid w:val="00C46D31"/>
    <w:rsid w:val="00C46D8A"/>
    <w:rsid w:val="00C47437"/>
    <w:rsid w:val="00C47440"/>
    <w:rsid w:val="00C475FA"/>
    <w:rsid w:val="00C47641"/>
    <w:rsid w:val="00C4764F"/>
    <w:rsid w:val="00C47AF7"/>
    <w:rsid w:val="00C47C13"/>
    <w:rsid w:val="00C47EC4"/>
    <w:rsid w:val="00C503F6"/>
    <w:rsid w:val="00C50474"/>
    <w:rsid w:val="00C50E83"/>
    <w:rsid w:val="00C50F6C"/>
    <w:rsid w:val="00C5142A"/>
    <w:rsid w:val="00C51990"/>
    <w:rsid w:val="00C51A5F"/>
    <w:rsid w:val="00C52038"/>
    <w:rsid w:val="00C52567"/>
    <w:rsid w:val="00C526D1"/>
    <w:rsid w:val="00C5274B"/>
    <w:rsid w:val="00C52C23"/>
    <w:rsid w:val="00C52FA6"/>
    <w:rsid w:val="00C52FD2"/>
    <w:rsid w:val="00C534D6"/>
    <w:rsid w:val="00C53979"/>
    <w:rsid w:val="00C539C0"/>
    <w:rsid w:val="00C53A1A"/>
    <w:rsid w:val="00C53AF5"/>
    <w:rsid w:val="00C5472F"/>
    <w:rsid w:val="00C548E4"/>
    <w:rsid w:val="00C54A62"/>
    <w:rsid w:val="00C54F5A"/>
    <w:rsid w:val="00C5526F"/>
    <w:rsid w:val="00C55C51"/>
    <w:rsid w:val="00C55D31"/>
    <w:rsid w:val="00C55E54"/>
    <w:rsid w:val="00C55E83"/>
    <w:rsid w:val="00C55EF3"/>
    <w:rsid w:val="00C56386"/>
    <w:rsid w:val="00C563FA"/>
    <w:rsid w:val="00C56F06"/>
    <w:rsid w:val="00C575AA"/>
    <w:rsid w:val="00C575EA"/>
    <w:rsid w:val="00C57A51"/>
    <w:rsid w:val="00C57DEA"/>
    <w:rsid w:val="00C60051"/>
    <w:rsid w:val="00C603E5"/>
    <w:rsid w:val="00C6062A"/>
    <w:rsid w:val="00C6079B"/>
    <w:rsid w:val="00C607E4"/>
    <w:rsid w:val="00C60956"/>
    <w:rsid w:val="00C60CA5"/>
    <w:rsid w:val="00C61215"/>
    <w:rsid w:val="00C61D12"/>
    <w:rsid w:val="00C61E6F"/>
    <w:rsid w:val="00C621E8"/>
    <w:rsid w:val="00C62590"/>
    <w:rsid w:val="00C6291E"/>
    <w:rsid w:val="00C62A34"/>
    <w:rsid w:val="00C63000"/>
    <w:rsid w:val="00C63537"/>
    <w:rsid w:val="00C63C64"/>
    <w:rsid w:val="00C64924"/>
    <w:rsid w:val="00C64A0C"/>
    <w:rsid w:val="00C64B71"/>
    <w:rsid w:val="00C64E27"/>
    <w:rsid w:val="00C64E8A"/>
    <w:rsid w:val="00C64FCC"/>
    <w:rsid w:val="00C651E3"/>
    <w:rsid w:val="00C654F5"/>
    <w:rsid w:val="00C6551F"/>
    <w:rsid w:val="00C658BE"/>
    <w:rsid w:val="00C65A4A"/>
    <w:rsid w:val="00C65E9A"/>
    <w:rsid w:val="00C662C2"/>
    <w:rsid w:val="00C67174"/>
    <w:rsid w:val="00C6742E"/>
    <w:rsid w:val="00C67720"/>
    <w:rsid w:val="00C67B8F"/>
    <w:rsid w:val="00C67D6F"/>
    <w:rsid w:val="00C67EF2"/>
    <w:rsid w:val="00C70052"/>
    <w:rsid w:val="00C70175"/>
    <w:rsid w:val="00C70571"/>
    <w:rsid w:val="00C70858"/>
    <w:rsid w:val="00C7096B"/>
    <w:rsid w:val="00C70A15"/>
    <w:rsid w:val="00C71096"/>
    <w:rsid w:val="00C7137A"/>
    <w:rsid w:val="00C71748"/>
    <w:rsid w:val="00C717FE"/>
    <w:rsid w:val="00C719EE"/>
    <w:rsid w:val="00C7220D"/>
    <w:rsid w:val="00C723F7"/>
    <w:rsid w:val="00C72421"/>
    <w:rsid w:val="00C724BE"/>
    <w:rsid w:val="00C72831"/>
    <w:rsid w:val="00C7298C"/>
    <w:rsid w:val="00C72B20"/>
    <w:rsid w:val="00C72C4C"/>
    <w:rsid w:val="00C72F2E"/>
    <w:rsid w:val="00C730BB"/>
    <w:rsid w:val="00C73796"/>
    <w:rsid w:val="00C73C53"/>
    <w:rsid w:val="00C74291"/>
    <w:rsid w:val="00C747D2"/>
    <w:rsid w:val="00C74990"/>
    <w:rsid w:val="00C749A7"/>
    <w:rsid w:val="00C74A9D"/>
    <w:rsid w:val="00C74B05"/>
    <w:rsid w:val="00C74CDC"/>
    <w:rsid w:val="00C75294"/>
    <w:rsid w:val="00C7563D"/>
    <w:rsid w:val="00C75E61"/>
    <w:rsid w:val="00C7600D"/>
    <w:rsid w:val="00C762BE"/>
    <w:rsid w:val="00C76549"/>
    <w:rsid w:val="00C768CC"/>
    <w:rsid w:val="00C7690F"/>
    <w:rsid w:val="00C76926"/>
    <w:rsid w:val="00C76EF0"/>
    <w:rsid w:val="00C76EF5"/>
    <w:rsid w:val="00C77077"/>
    <w:rsid w:val="00C77B44"/>
    <w:rsid w:val="00C77CD9"/>
    <w:rsid w:val="00C77D65"/>
    <w:rsid w:val="00C80424"/>
    <w:rsid w:val="00C8042F"/>
    <w:rsid w:val="00C8085B"/>
    <w:rsid w:val="00C80CE0"/>
    <w:rsid w:val="00C80E64"/>
    <w:rsid w:val="00C81179"/>
    <w:rsid w:val="00C81943"/>
    <w:rsid w:val="00C81D28"/>
    <w:rsid w:val="00C81EF5"/>
    <w:rsid w:val="00C81FC2"/>
    <w:rsid w:val="00C82178"/>
    <w:rsid w:val="00C82246"/>
    <w:rsid w:val="00C82987"/>
    <w:rsid w:val="00C82F0C"/>
    <w:rsid w:val="00C838F7"/>
    <w:rsid w:val="00C83B8A"/>
    <w:rsid w:val="00C83F3A"/>
    <w:rsid w:val="00C840AA"/>
    <w:rsid w:val="00C8453E"/>
    <w:rsid w:val="00C84588"/>
    <w:rsid w:val="00C84780"/>
    <w:rsid w:val="00C84B7D"/>
    <w:rsid w:val="00C84C02"/>
    <w:rsid w:val="00C84E07"/>
    <w:rsid w:val="00C85146"/>
    <w:rsid w:val="00C854FC"/>
    <w:rsid w:val="00C856BF"/>
    <w:rsid w:val="00C85836"/>
    <w:rsid w:val="00C85FFA"/>
    <w:rsid w:val="00C8624F"/>
    <w:rsid w:val="00C863D3"/>
    <w:rsid w:val="00C866D3"/>
    <w:rsid w:val="00C86765"/>
    <w:rsid w:val="00C86799"/>
    <w:rsid w:val="00C868DA"/>
    <w:rsid w:val="00C86BF5"/>
    <w:rsid w:val="00C86CD4"/>
    <w:rsid w:val="00C86D11"/>
    <w:rsid w:val="00C8768A"/>
    <w:rsid w:val="00C87716"/>
    <w:rsid w:val="00C87737"/>
    <w:rsid w:val="00C87980"/>
    <w:rsid w:val="00C9025D"/>
    <w:rsid w:val="00C906CD"/>
    <w:rsid w:val="00C90748"/>
    <w:rsid w:val="00C90982"/>
    <w:rsid w:val="00C90B35"/>
    <w:rsid w:val="00C90CDE"/>
    <w:rsid w:val="00C914CF"/>
    <w:rsid w:val="00C919F2"/>
    <w:rsid w:val="00C91B2D"/>
    <w:rsid w:val="00C91FB2"/>
    <w:rsid w:val="00C922BC"/>
    <w:rsid w:val="00C92771"/>
    <w:rsid w:val="00C9278C"/>
    <w:rsid w:val="00C92A16"/>
    <w:rsid w:val="00C92A44"/>
    <w:rsid w:val="00C92E0F"/>
    <w:rsid w:val="00C92F6F"/>
    <w:rsid w:val="00C9307C"/>
    <w:rsid w:val="00C933E3"/>
    <w:rsid w:val="00C934E7"/>
    <w:rsid w:val="00C938D6"/>
    <w:rsid w:val="00C93954"/>
    <w:rsid w:val="00C93EF6"/>
    <w:rsid w:val="00C93F1E"/>
    <w:rsid w:val="00C94307"/>
    <w:rsid w:val="00C94ABC"/>
    <w:rsid w:val="00C94AD1"/>
    <w:rsid w:val="00C95272"/>
    <w:rsid w:val="00C95409"/>
    <w:rsid w:val="00C959B3"/>
    <w:rsid w:val="00C95A23"/>
    <w:rsid w:val="00C95DDD"/>
    <w:rsid w:val="00C96329"/>
    <w:rsid w:val="00C96584"/>
    <w:rsid w:val="00C96688"/>
    <w:rsid w:val="00C96830"/>
    <w:rsid w:val="00C96D72"/>
    <w:rsid w:val="00C971B2"/>
    <w:rsid w:val="00C97389"/>
    <w:rsid w:val="00C97565"/>
    <w:rsid w:val="00C9762F"/>
    <w:rsid w:val="00C97CFB"/>
    <w:rsid w:val="00C97D3F"/>
    <w:rsid w:val="00C97DFF"/>
    <w:rsid w:val="00CA0213"/>
    <w:rsid w:val="00CA14AA"/>
    <w:rsid w:val="00CA179E"/>
    <w:rsid w:val="00CA1D00"/>
    <w:rsid w:val="00CA1DAB"/>
    <w:rsid w:val="00CA1EE2"/>
    <w:rsid w:val="00CA20D3"/>
    <w:rsid w:val="00CA25E0"/>
    <w:rsid w:val="00CA2C64"/>
    <w:rsid w:val="00CA2C8E"/>
    <w:rsid w:val="00CA328E"/>
    <w:rsid w:val="00CA3787"/>
    <w:rsid w:val="00CA3A79"/>
    <w:rsid w:val="00CA3B08"/>
    <w:rsid w:val="00CA3BEC"/>
    <w:rsid w:val="00CA47D9"/>
    <w:rsid w:val="00CA48A4"/>
    <w:rsid w:val="00CA4990"/>
    <w:rsid w:val="00CA4C91"/>
    <w:rsid w:val="00CA4FF7"/>
    <w:rsid w:val="00CA539D"/>
    <w:rsid w:val="00CA546F"/>
    <w:rsid w:val="00CA54EB"/>
    <w:rsid w:val="00CA6178"/>
    <w:rsid w:val="00CA620C"/>
    <w:rsid w:val="00CA697B"/>
    <w:rsid w:val="00CA6A49"/>
    <w:rsid w:val="00CA6C41"/>
    <w:rsid w:val="00CA6D52"/>
    <w:rsid w:val="00CA7083"/>
    <w:rsid w:val="00CA710B"/>
    <w:rsid w:val="00CA738F"/>
    <w:rsid w:val="00CA7878"/>
    <w:rsid w:val="00CB028C"/>
    <w:rsid w:val="00CB063F"/>
    <w:rsid w:val="00CB0969"/>
    <w:rsid w:val="00CB0B23"/>
    <w:rsid w:val="00CB0C08"/>
    <w:rsid w:val="00CB0E54"/>
    <w:rsid w:val="00CB10E7"/>
    <w:rsid w:val="00CB13F9"/>
    <w:rsid w:val="00CB167F"/>
    <w:rsid w:val="00CB1A33"/>
    <w:rsid w:val="00CB1F64"/>
    <w:rsid w:val="00CB2579"/>
    <w:rsid w:val="00CB2711"/>
    <w:rsid w:val="00CB2776"/>
    <w:rsid w:val="00CB293F"/>
    <w:rsid w:val="00CB2A7D"/>
    <w:rsid w:val="00CB2C74"/>
    <w:rsid w:val="00CB2CFC"/>
    <w:rsid w:val="00CB322E"/>
    <w:rsid w:val="00CB3396"/>
    <w:rsid w:val="00CB3D87"/>
    <w:rsid w:val="00CB3E9A"/>
    <w:rsid w:val="00CB4368"/>
    <w:rsid w:val="00CB4616"/>
    <w:rsid w:val="00CB4C75"/>
    <w:rsid w:val="00CB501B"/>
    <w:rsid w:val="00CB52D0"/>
    <w:rsid w:val="00CB544C"/>
    <w:rsid w:val="00CB5510"/>
    <w:rsid w:val="00CB553F"/>
    <w:rsid w:val="00CB60AE"/>
    <w:rsid w:val="00CB6126"/>
    <w:rsid w:val="00CB621E"/>
    <w:rsid w:val="00CB6838"/>
    <w:rsid w:val="00CB6A53"/>
    <w:rsid w:val="00CB6D5E"/>
    <w:rsid w:val="00CB73B6"/>
    <w:rsid w:val="00CB79BD"/>
    <w:rsid w:val="00CB79C4"/>
    <w:rsid w:val="00CB7A18"/>
    <w:rsid w:val="00CB7E6E"/>
    <w:rsid w:val="00CB7F3B"/>
    <w:rsid w:val="00CB7F3E"/>
    <w:rsid w:val="00CC0170"/>
    <w:rsid w:val="00CC07BF"/>
    <w:rsid w:val="00CC0954"/>
    <w:rsid w:val="00CC0CFD"/>
    <w:rsid w:val="00CC158E"/>
    <w:rsid w:val="00CC16BF"/>
    <w:rsid w:val="00CC18B7"/>
    <w:rsid w:val="00CC1A0E"/>
    <w:rsid w:val="00CC1B52"/>
    <w:rsid w:val="00CC22A1"/>
    <w:rsid w:val="00CC25F4"/>
    <w:rsid w:val="00CC2957"/>
    <w:rsid w:val="00CC2ACD"/>
    <w:rsid w:val="00CC37CF"/>
    <w:rsid w:val="00CC39E5"/>
    <w:rsid w:val="00CC3C25"/>
    <w:rsid w:val="00CC3E07"/>
    <w:rsid w:val="00CC3E48"/>
    <w:rsid w:val="00CC41B9"/>
    <w:rsid w:val="00CC473C"/>
    <w:rsid w:val="00CC493C"/>
    <w:rsid w:val="00CC5004"/>
    <w:rsid w:val="00CC52B9"/>
    <w:rsid w:val="00CC5354"/>
    <w:rsid w:val="00CC538E"/>
    <w:rsid w:val="00CC5D51"/>
    <w:rsid w:val="00CC5DB0"/>
    <w:rsid w:val="00CC61F4"/>
    <w:rsid w:val="00CC644D"/>
    <w:rsid w:val="00CC6A5C"/>
    <w:rsid w:val="00CC6D1A"/>
    <w:rsid w:val="00CC7439"/>
    <w:rsid w:val="00CC767B"/>
    <w:rsid w:val="00CC78AB"/>
    <w:rsid w:val="00CC7F29"/>
    <w:rsid w:val="00CD002B"/>
    <w:rsid w:val="00CD02CF"/>
    <w:rsid w:val="00CD11EA"/>
    <w:rsid w:val="00CD1466"/>
    <w:rsid w:val="00CD1668"/>
    <w:rsid w:val="00CD16B0"/>
    <w:rsid w:val="00CD1F18"/>
    <w:rsid w:val="00CD1F95"/>
    <w:rsid w:val="00CD2007"/>
    <w:rsid w:val="00CD203C"/>
    <w:rsid w:val="00CD34BD"/>
    <w:rsid w:val="00CD356C"/>
    <w:rsid w:val="00CD4082"/>
    <w:rsid w:val="00CD4493"/>
    <w:rsid w:val="00CD4F4B"/>
    <w:rsid w:val="00CD523D"/>
    <w:rsid w:val="00CD54AD"/>
    <w:rsid w:val="00CD5682"/>
    <w:rsid w:val="00CD56CF"/>
    <w:rsid w:val="00CD616E"/>
    <w:rsid w:val="00CD67BA"/>
    <w:rsid w:val="00CD6FDE"/>
    <w:rsid w:val="00CD7041"/>
    <w:rsid w:val="00CD7312"/>
    <w:rsid w:val="00CD76E9"/>
    <w:rsid w:val="00CD7AEC"/>
    <w:rsid w:val="00CD7BFA"/>
    <w:rsid w:val="00CE00B9"/>
    <w:rsid w:val="00CE028A"/>
    <w:rsid w:val="00CE0437"/>
    <w:rsid w:val="00CE08F8"/>
    <w:rsid w:val="00CE0AEC"/>
    <w:rsid w:val="00CE0F84"/>
    <w:rsid w:val="00CE17A9"/>
    <w:rsid w:val="00CE18F2"/>
    <w:rsid w:val="00CE1E64"/>
    <w:rsid w:val="00CE2702"/>
    <w:rsid w:val="00CE2E8F"/>
    <w:rsid w:val="00CE302A"/>
    <w:rsid w:val="00CE31BA"/>
    <w:rsid w:val="00CE3470"/>
    <w:rsid w:val="00CE38A8"/>
    <w:rsid w:val="00CE3D0D"/>
    <w:rsid w:val="00CE3DFF"/>
    <w:rsid w:val="00CE3FB5"/>
    <w:rsid w:val="00CE44D1"/>
    <w:rsid w:val="00CE452C"/>
    <w:rsid w:val="00CE492C"/>
    <w:rsid w:val="00CE4D99"/>
    <w:rsid w:val="00CE4F00"/>
    <w:rsid w:val="00CE50CE"/>
    <w:rsid w:val="00CE57A0"/>
    <w:rsid w:val="00CE5919"/>
    <w:rsid w:val="00CE59D6"/>
    <w:rsid w:val="00CE6082"/>
    <w:rsid w:val="00CE64A9"/>
    <w:rsid w:val="00CE6580"/>
    <w:rsid w:val="00CE682C"/>
    <w:rsid w:val="00CE68B0"/>
    <w:rsid w:val="00CE693C"/>
    <w:rsid w:val="00CE6B84"/>
    <w:rsid w:val="00CE6D5D"/>
    <w:rsid w:val="00CE6E0B"/>
    <w:rsid w:val="00CE70AC"/>
    <w:rsid w:val="00CE7603"/>
    <w:rsid w:val="00CE7DAD"/>
    <w:rsid w:val="00CE7EFD"/>
    <w:rsid w:val="00CE7F9D"/>
    <w:rsid w:val="00CF006C"/>
    <w:rsid w:val="00CF03DE"/>
    <w:rsid w:val="00CF03EC"/>
    <w:rsid w:val="00CF3897"/>
    <w:rsid w:val="00CF39D9"/>
    <w:rsid w:val="00CF3ACE"/>
    <w:rsid w:val="00CF3BAF"/>
    <w:rsid w:val="00CF40C3"/>
    <w:rsid w:val="00CF42C8"/>
    <w:rsid w:val="00CF43F4"/>
    <w:rsid w:val="00CF4718"/>
    <w:rsid w:val="00CF47ED"/>
    <w:rsid w:val="00CF4834"/>
    <w:rsid w:val="00CF4847"/>
    <w:rsid w:val="00CF4AB2"/>
    <w:rsid w:val="00CF4B57"/>
    <w:rsid w:val="00CF5201"/>
    <w:rsid w:val="00CF52E4"/>
    <w:rsid w:val="00CF5314"/>
    <w:rsid w:val="00CF5520"/>
    <w:rsid w:val="00CF5557"/>
    <w:rsid w:val="00CF5D69"/>
    <w:rsid w:val="00CF5FF7"/>
    <w:rsid w:val="00CF683A"/>
    <w:rsid w:val="00CF696A"/>
    <w:rsid w:val="00CF6C5F"/>
    <w:rsid w:val="00CF7202"/>
    <w:rsid w:val="00CF7538"/>
    <w:rsid w:val="00CF790B"/>
    <w:rsid w:val="00CF7ADB"/>
    <w:rsid w:val="00CF7B20"/>
    <w:rsid w:val="00CF7D10"/>
    <w:rsid w:val="00D005B1"/>
    <w:rsid w:val="00D013A2"/>
    <w:rsid w:val="00D0172A"/>
    <w:rsid w:val="00D01F09"/>
    <w:rsid w:val="00D01F81"/>
    <w:rsid w:val="00D02059"/>
    <w:rsid w:val="00D0220B"/>
    <w:rsid w:val="00D02328"/>
    <w:rsid w:val="00D028EE"/>
    <w:rsid w:val="00D0312C"/>
    <w:rsid w:val="00D038C1"/>
    <w:rsid w:val="00D04195"/>
    <w:rsid w:val="00D041AB"/>
    <w:rsid w:val="00D04A7A"/>
    <w:rsid w:val="00D05C2B"/>
    <w:rsid w:val="00D05E0E"/>
    <w:rsid w:val="00D05F01"/>
    <w:rsid w:val="00D06023"/>
    <w:rsid w:val="00D06043"/>
    <w:rsid w:val="00D064DC"/>
    <w:rsid w:val="00D068CA"/>
    <w:rsid w:val="00D06B15"/>
    <w:rsid w:val="00D06BE1"/>
    <w:rsid w:val="00D0707E"/>
    <w:rsid w:val="00D078BB"/>
    <w:rsid w:val="00D07BA3"/>
    <w:rsid w:val="00D1040E"/>
    <w:rsid w:val="00D1091C"/>
    <w:rsid w:val="00D10B00"/>
    <w:rsid w:val="00D10E98"/>
    <w:rsid w:val="00D10F3E"/>
    <w:rsid w:val="00D11244"/>
    <w:rsid w:val="00D112B6"/>
    <w:rsid w:val="00D118CF"/>
    <w:rsid w:val="00D11965"/>
    <w:rsid w:val="00D11A04"/>
    <w:rsid w:val="00D12199"/>
    <w:rsid w:val="00D125AE"/>
    <w:rsid w:val="00D125B4"/>
    <w:rsid w:val="00D13175"/>
    <w:rsid w:val="00D13C62"/>
    <w:rsid w:val="00D14272"/>
    <w:rsid w:val="00D14536"/>
    <w:rsid w:val="00D14DBD"/>
    <w:rsid w:val="00D15103"/>
    <w:rsid w:val="00D15297"/>
    <w:rsid w:val="00D15A1E"/>
    <w:rsid w:val="00D16A3A"/>
    <w:rsid w:val="00D16A86"/>
    <w:rsid w:val="00D16F47"/>
    <w:rsid w:val="00D17350"/>
    <w:rsid w:val="00D17671"/>
    <w:rsid w:val="00D17C86"/>
    <w:rsid w:val="00D17CE4"/>
    <w:rsid w:val="00D17E93"/>
    <w:rsid w:val="00D200B0"/>
    <w:rsid w:val="00D2016B"/>
    <w:rsid w:val="00D20241"/>
    <w:rsid w:val="00D20574"/>
    <w:rsid w:val="00D20A45"/>
    <w:rsid w:val="00D20C0F"/>
    <w:rsid w:val="00D21131"/>
    <w:rsid w:val="00D21249"/>
    <w:rsid w:val="00D21252"/>
    <w:rsid w:val="00D214BE"/>
    <w:rsid w:val="00D21BE7"/>
    <w:rsid w:val="00D220F8"/>
    <w:rsid w:val="00D2230D"/>
    <w:rsid w:val="00D22351"/>
    <w:rsid w:val="00D223DA"/>
    <w:rsid w:val="00D22682"/>
    <w:rsid w:val="00D22862"/>
    <w:rsid w:val="00D2286B"/>
    <w:rsid w:val="00D230E6"/>
    <w:rsid w:val="00D23648"/>
    <w:rsid w:val="00D23766"/>
    <w:rsid w:val="00D237AF"/>
    <w:rsid w:val="00D237CA"/>
    <w:rsid w:val="00D23CFA"/>
    <w:rsid w:val="00D23D9F"/>
    <w:rsid w:val="00D23E2F"/>
    <w:rsid w:val="00D23E66"/>
    <w:rsid w:val="00D23FF1"/>
    <w:rsid w:val="00D2423D"/>
    <w:rsid w:val="00D246A6"/>
    <w:rsid w:val="00D24ED8"/>
    <w:rsid w:val="00D252F2"/>
    <w:rsid w:val="00D255E2"/>
    <w:rsid w:val="00D260FD"/>
    <w:rsid w:val="00D26162"/>
    <w:rsid w:val="00D262F3"/>
    <w:rsid w:val="00D26317"/>
    <w:rsid w:val="00D266EC"/>
    <w:rsid w:val="00D26852"/>
    <w:rsid w:val="00D26D81"/>
    <w:rsid w:val="00D2701A"/>
    <w:rsid w:val="00D2706A"/>
    <w:rsid w:val="00D27335"/>
    <w:rsid w:val="00D2747D"/>
    <w:rsid w:val="00D274C6"/>
    <w:rsid w:val="00D306A1"/>
    <w:rsid w:val="00D3080B"/>
    <w:rsid w:val="00D30CFA"/>
    <w:rsid w:val="00D30D21"/>
    <w:rsid w:val="00D30D2C"/>
    <w:rsid w:val="00D310DF"/>
    <w:rsid w:val="00D3132C"/>
    <w:rsid w:val="00D31EC0"/>
    <w:rsid w:val="00D32101"/>
    <w:rsid w:val="00D321B4"/>
    <w:rsid w:val="00D32767"/>
    <w:rsid w:val="00D329C7"/>
    <w:rsid w:val="00D32B27"/>
    <w:rsid w:val="00D32B74"/>
    <w:rsid w:val="00D32F5A"/>
    <w:rsid w:val="00D3319E"/>
    <w:rsid w:val="00D33410"/>
    <w:rsid w:val="00D33717"/>
    <w:rsid w:val="00D33CF5"/>
    <w:rsid w:val="00D340D7"/>
    <w:rsid w:val="00D341A0"/>
    <w:rsid w:val="00D34AA9"/>
    <w:rsid w:val="00D354D3"/>
    <w:rsid w:val="00D35E18"/>
    <w:rsid w:val="00D36373"/>
    <w:rsid w:val="00D36518"/>
    <w:rsid w:val="00D36C7A"/>
    <w:rsid w:val="00D36CB3"/>
    <w:rsid w:val="00D36D8A"/>
    <w:rsid w:val="00D37201"/>
    <w:rsid w:val="00D37621"/>
    <w:rsid w:val="00D37936"/>
    <w:rsid w:val="00D37CE9"/>
    <w:rsid w:val="00D37EE0"/>
    <w:rsid w:val="00D37FAE"/>
    <w:rsid w:val="00D40324"/>
    <w:rsid w:val="00D40520"/>
    <w:rsid w:val="00D40F50"/>
    <w:rsid w:val="00D41350"/>
    <w:rsid w:val="00D41536"/>
    <w:rsid w:val="00D4160C"/>
    <w:rsid w:val="00D416DA"/>
    <w:rsid w:val="00D41D99"/>
    <w:rsid w:val="00D42110"/>
    <w:rsid w:val="00D42767"/>
    <w:rsid w:val="00D429C1"/>
    <w:rsid w:val="00D4342E"/>
    <w:rsid w:val="00D43598"/>
    <w:rsid w:val="00D436B6"/>
    <w:rsid w:val="00D4417A"/>
    <w:rsid w:val="00D444F4"/>
    <w:rsid w:val="00D44918"/>
    <w:rsid w:val="00D44C8D"/>
    <w:rsid w:val="00D44F6F"/>
    <w:rsid w:val="00D4521B"/>
    <w:rsid w:val="00D45323"/>
    <w:rsid w:val="00D45368"/>
    <w:rsid w:val="00D45889"/>
    <w:rsid w:val="00D45ADB"/>
    <w:rsid w:val="00D4604A"/>
    <w:rsid w:val="00D4637F"/>
    <w:rsid w:val="00D463B1"/>
    <w:rsid w:val="00D466F7"/>
    <w:rsid w:val="00D467F2"/>
    <w:rsid w:val="00D46992"/>
    <w:rsid w:val="00D46EEE"/>
    <w:rsid w:val="00D46F4C"/>
    <w:rsid w:val="00D47233"/>
    <w:rsid w:val="00D4728F"/>
    <w:rsid w:val="00D4739B"/>
    <w:rsid w:val="00D47473"/>
    <w:rsid w:val="00D47C7E"/>
    <w:rsid w:val="00D5005B"/>
    <w:rsid w:val="00D505B0"/>
    <w:rsid w:val="00D50672"/>
    <w:rsid w:val="00D51011"/>
    <w:rsid w:val="00D510F2"/>
    <w:rsid w:val="00D51601"/>
    <w:rsid w:val="00D51A66"/>
    <w:rsid w:val="00D51F1A"/>
    <w:rsid w:val="00D52012"/>
    <w:rsid w:val="00D5231C"/>
    <w:rsid w:val="00D52400"/>
    <w:rsid w:val="00D528CE"/>
    <w:rsid w:val="00D528E0"/>
    <w:rsid w:val="00D529F5"/>
    <w:rsid w:val="00D52B2D"/>
    <w:rsid w:val="00D52C7E"/>
    <w:rsid w:val="00D53185"/>
    <w:rsid w:val="00D53657"/>
    <w:rsid w:val="00D5374A"/>
    <w:rsid w:val="00D5384C"/>
    <w:rsid w:val="00D53D63"/>
    <w:rsid w:val="00D53FE1"/>
    <w:rsid w:val="00D54066"/>
    <w:rsid w:val="00D5443B"/>
    <w:rsid w:val="00D548AC"/>
    <w:rsid w:val="00D5491A"/>
    <w:rsid w:val="00D555DD"/>
    <w:rsid w:val="00D55917"/>
    <w:rsid w:val="00D559F1"/>
    <w:rsid w:val="00D55B46"/>
    <w:rsid w:val="00D55B6E"/>
    <w:rsid w:val="00D56241"/>
    <w:rsid w:val="00D56480"/>
    <w:rsid w:val="00D56915"/>
    <w:rsid w:val="00D572E9"/>
    <w:rsid w:val="00D57490"/>
    <w:rsid w:val="00D57818"/>
    <w:rsid w:val="00D57820"/>
    <w:rsid w:val="00D57BD9"/>
    <w:rsid w:val="00D57F3D"/>
    <w:rsid w:val="00D60496"/>
    <w:rsid w:val="00D60537"/>
    <w:rsid w:val="00D60575"/>
    <w:rsid w:val="00D6087A"/>
    <w:rsid w:val="00D609D3"/>
    <w:rsid w:val="00D60DDA"/>
    <w:rsid w:val="00D60E4D"/>
    <w:rsid w:val="00D611F9"/>
    <w:rsid w:val="00D614A0"/>
    <w:rsid w:val="00D61682"/>
    <w:rsid w:val="00D618E1"/>
    <w:rsid w:val="00D61DAA"/>
    <w:rsid w:val="00D62398"/>
    <w:rsid w:val="00D625F6"/>
    <w:rsid w:val="00D62753"/>
    <w:rsid w:val="00D62A8A"/>
    <w:rsid w:val="00D62C20"/>
    <w:rsid w:val="00D63048"/>
    <w:rsid w:val="00D63302"/>
    <w:rsid w:val="00D63C19"/>
    <w:rsid w:val="00D641B3"/>
    <w:rsid w:val="00D643CD"/>
    <w:rsid w:val="00D64A1C"/>
    <w:rsid w:val="00D651AB"/>
    <w:rsid w:val="00D652B3"/>
    <w:rsid w:val="00D65462"/>
    <w:rsid w:val="00D658D7"/>
    <w:rsid w:val="00D65CAA"/>
    <w:rsid w:val="00D65E23"/>
    <w:rsid w:val="00D6617A"/>
    <w:rsid w:val="00D665CF"/>
    <w:rsid w:val="00D66752"/>
    <w:rsid w:val="00D66D3F"/>
    <w:rsid w:val="00D66DF3"/>
    <w:rsid w:val="00D66E25"/>
    <w:rsid w:val="00D671C8"/>
    <w:rsid w:val="00D676C3"/>
    <w:rsid w:val="00D676E8"/>
    <w:rsid w:val="00D706C8"/>
    <w:rsid w:val="00D70789"/>
    <w:rsid w:val="00D70C84"/>
    <w:rsid w:val="00D70F00"/>
    <w:rsid w:val="00D71255"/>
    <w:rsid w:val="00D7163C"/>
    <w:rsid w:val="00D71C96"/>
    <w:rsid w:val="00D72134"/>
    <w:rsid w:val="00D72555"/>
    <w:rsid w:val="00D72745"/>
    <w:rsid w:val="00D72A1F"/>
    <w:rsid w:val="00D72F45"/>
    <w:rsid w:val="00D73379"/>
    <w:rsid w:val="00D73387"/>
    <w:rsid w:val="00D73983"/>
    <w:rsid w:val="00D73D1A"/>
    <w:rsid w:val="00D73E55"/>
    <w:rsid w:val="00D7416E"/>
    <w:rsid w:val="00D748C4"/>
    <w:rsid w:val="00D74908"/>
    <w:rsid w:val="00D74F38"/>
    <w:rsid w:val="00D750BF"/>
    <w:rsid w:val="00D753CF"/>
    <w:rsid w:val="00D75804"/>
    <w:rsid w:val="00D75835"/>
    <w:rsid w:val="00D75A1B"/>
    <w:rsid w:val="00D75B71"/>
    <w:rsid w:val="00D7608B"/>
    <w:rsid w:val="00D764DF"/>
    <w:rsid w:val="00D7666E"/>
    <w:rsid w:val="00D76AF1"/>
    <w:rsid w:val="00D77608"/>
    <w:rsid w:val="00D7770A"/>
    <w:rsid w:val="00D77A1E"/>
    <w:rsid w:val="00D77C9E"/>
    <w:rsid w:val="00D77D3B"/>
    <w:rsid w:val="00D801CE"/>
    <w:rsid w:val="00D80219"/>
    <w:rsid w:val="00D804A7"/>
    <w:rsid w:val="00D80578"/>
    <w:rsid w:val="00D807E4"/>
    <w:rsid w:val="00D80A3A"/>
    <w:rsid w:val="00D80ADB"/>
    <w:rsid w:val="00D80BC7"/>
    <w:rsid w:val="00D8118D"/>
    <w:rsid w:val="00D817A2"/>
    <w:rsid w:val="00D81850"/>
    <w:rsid w:val="00D81C39"/>
    <w:rsid w:val="00D81C6E"/>
    <w:rsid w:val="00D821D9"/>
    <w:rsid w:val="00D82493"/>
    <w:rsid w:val="00D826CD"/>
    <w:rsid w:val="00D829CA"/>
    <w:rsid w:val="00D830BE"/>
    <w:rsid w:val="00D83454"/>
    <w:rsid w:val="00D8352C"/>
    <w:rsid w:val="00D839A5"/>
    <w:rsid w:val="00D83A55"/>
    <w:rsid w:val="00D83B4A"/>
    <w:rsid w:val="00D84071"/>
    <w:rsid w:val="00D84153"/>
    <w:rsid w:val="00D8497F"/>
    <w:rsid w:val="00D84F3A"/>
    <w:rsid w:val="00D8530F"/>
    <w:rsid w:val="00D854B5"/>
    <w:rsid w:val="00D8559D"/>
    <w:rsid w:val="00D857E2"/>
    <w:rsid w:val="00D85805"/>
    <w:rsid w:val="00D85A53"/>
    <w:rsid w:val="00D85B60"/>
    <w:rsid w:val="00D85D8D"/>
    <w:rsid w:val="00D85F4D"/>
    <w:rsid w:val="00D86336"/>
    <w:rsid w:val="00D867BC"/>
    <w:rsid w:val="00D8681F"/>
    <w:rsid w:val="00D86AEE"/>
    <w:rsid w:val="00D871E0"/>
    <w:rsid w:val="00D873EA"/>
    <w:rsid w:val="00D87B01"/>
    <w:rsid w:val="00D87D0C"/>
    <w:rsid w:val="00D90154"/>
    <w:rsid w:val="00D903AA"/>
    <w:rsid w:val="00D904B7"/>
    <w:rsid w:val="00D90A69"/>
    <w:rsid w:val="00D91448"/>
    <w:rsid w:val="00D917A3"/>
    <w:rsid w:val="00D91830"/>
    <w:rsid w:val="00D91DC2"/>
    <w:rsid w:val="00D92365"/>
    <w:rsid w:val="00D923AC"/>
    <w:rsid w:val="00D925FE"/>
    <w:rsid w:val="00D92904"/>
    <w:rsid w:val="00D92BC8"/>
    <w:rsid w:val="00D93F15"/>
    <w:rsid w:val="00D944C2"/>
    <w:rsid w:val="00D9457D"/>
    <w:rsid w:val="00D945B7"/>
    <w:rsid w:val="00D94602"/>
    <w:rsid w:val="00D947B7"/>
    <w:rsid w:val="00D94C3D"/>
    <w:rsid w:val="00D94C4B"/>
    <w:rsid w:val="00D950F1"/>
    <w:rsid w:val="00D9540D"/>
    <w:rsid w:val="00D95570"/>
    <w:rsid w:val="00D95B12"/>
    <w:rsid w:val="00D95B4F"/>
    <w:rsid w:val="00D95CB1"/>
    <w:rsid w:val="00D9605D"/>
    <w:rsid w:val="00D96199"/>
    <w:rsid w:val="00D963B2"/>
    <w:rsid w:val="00D96694"/>
    <w:rsid w:val="00D96AAB"/>
    <w:rsid w:val="00D96ACE"/>
    <w:rsid w:val="00D96C0A"/>
    <w:rsid w:val="00D96D72"/>
    <w:rsid w:val="00D96DC4"/>
    <w:rsid w:val="00D97142"/>
    <w:rsid w:val="00D97676"/>
    <w:rsid w:val="00D978BA"/>
    <w:rsid w:val="00D97D97"/>
    <w:rsid w:val="00D97F22"/>
    <w:rsid w:val="00DA0211"/>
    <w:rsid w:val="00DA055A"/>
    <w:rsid w:val="00DA05FD"/>
    <w:rsid w:val="00DA0974"/>
    <w:rsid w:val="00DA0B7D"/>
    <w:rsid w:val="00DA0D2D"/>
    <w:rsid w:val="00DA10CB"/>
    <w:rsid w:val="00DA14A7"/>
    <w:rsid w:val="00DA15A6"/>
    <w:rsid w:val="00DA1867"/>
    <w:rsid w:val="00DA1C09"/>
    <w:rsid w:val="00DA2137"/>
    <w:rsid w:val="00DA22BD"/>
    <w:rsid w:val="00DA24AB"/>
    <w:rsid w:val="00DA30C4"/>
    <w:rsid w:val="00DA34BF"/>
    <w:rsid w:val="00DA34F5"/>
    <w:rsid w:val="00DA36F2"/>
    <w:rsid w:val="00DA37A2"/>
    <w:rsid w:val="00DA381F"/>
    <w:rsid w:val="00DA3D36"/>
    <w:rsid w:val="00DA40E4"/>
    <w:rsid w:val="00DA41FD"/>
    <w:rsid w:val="00DA49A7"/>
    <w:rsid w:val="00DA4F92"/>
    <w:rsid w:val="00DA5071"/>
    <w:rsid w:val="00DA51B9"/>
    <w:rsid w:val="00DA59A6"/>
    <w:rsid w:val="00DA5A49"/>
    <w:rsid w:val="00DA5BAA"/>
    <w:rsid w:val="00DA5CF4"/>
    <w:rsid w:val="00DA61C9"/>
    <w:rsid w:val="00DA6425"/>
    <w:rsid w:val="00DA6E31"/>
    <w:rsid w:val="00DA6F96"/>
    <w:rsid w:val="00DA73A5"/>
    <w:rsid w:val="00DA78CA"/>
    <w:rsid w:val="00DA7B0A"/>
    <w:rsid w:val="00DB0989"/>
    <w:rsid w:val="00DB0A32"/>
    <w:rsid w:val="00DB0B27"/>
    <w:rsid w:val="00DB0BE3"/>
    <w:rsid w:val="00DB1060"/>
    <w:rsid w:val="00DB10FB"/>
    <w:rsid w:val="00DB1390"/>
    <w:rsid w:val="00DB1494"/>
    <w:rsid w:val="00DB1EAD"/>
    <w:rsid w:val="00DB2084"/>
    <w:rsid w:val="00DB264E"/>
    <w:rsid w:val="00DB2E8A"/>
    <w:rsid w:val="00DB2F8D"/>
    <w:rsid w:val="00DB35A4"/>
    <w:rsid w:val="00DB3A01"/>
    <w:rsid w:val="00DB4017"/>
    <w:rsid w:val="00DB4A82"/>
    <w:rsid w:val="00DB4C46"/>
    <w:rsid w:val="00DB4DAC"/>
    <w:rsid w:val="00DB4DD8"/>
    <w:rsid w:val="00DB4F26"/>
    <w:rsid w:val="00DB4F38"/>
    <w:rsid w:val="00DB4F70"/>
    <w:rsid w:val="00DB524D"/>
    <w:rsid w:val="00DB56B8"/>
    <w:rsid w:val="00DB58EA"/>
    <w:rsid w:val="00DB5934"/>
    <w:rsid w:val="00DB59A8"/>
    <w:rsid w:val="00DB60CC"/>
    <w:rsid w:val="00DB6188"/>
    <w:rsid w:val="00DB6393"/>
    <w:rsid w:val="00DB66C1"/>
    <w:rsid w:val="00DB6C4E"/>
    <w:rsid w:val="00DB7107"/>
    <w:rsid w:val="00DB716F"/>
    <w:rsid w:val="00DB720C"/>
    <w:rsid w:val="00DC01C4"/>
    <w:rsid w:val="00DC0243"/>
    <w:rsid w:val="00DC0684"/>
    <w:rsid w:val="00DC069C"/>
    <w:rsid w:val="00DC06BA"/>
    <w:rsid w:val="00DC0968"/>
    <w:rsid w:val="00DC09CD"/>
    <w:rsid w:val="00DC09ED"/>
    <w:rsid w:val="00DC0B6A"/>
    <w:rsid w:val="00DC0CBA"/>
    <w:rsid w:val="00DC0DCB"/>
    <w:rsid w:val="00DC1060"/>
    <w:rsid w:val="00DC1ABD"/>
    <w:rsid w:val="00DC1C7E"/>
    <w:rsid w:val="00DC21FD"/>
    <w:rsid w:val="00DC2A8B"/>
    <w:rsid w:val="00DC2D66"/>
    <w:rsid w:val="00DC38A8"/>
    <w:rsid w:val="00DC3D7C"/>
    <w:rsid w:val="00DC405E"/>
    <w:rsid w:val="00DC4253"/>
    <w:rsid w:val="00DC4415"/>
    <w:rsid w:val="00DC44D6"/>
    <w:rsid w:val="00DC45CA"/>
    <w:rsid w:val="00DC463B"/>
    <w:rsid w:val="00DC4719"/>
    <w:rsid w:val="00DC4792"/>
    <w:rsid w:val="00DC47DB"/>
    <w:rsid w:val="00DC49B6"/>
    <w:rsid w:val="00DC4CF1"/>
    <w:rsid w:val="00DC52A5"/>
    <w:rsid w:val="00DC5310"/>
    <w:rsid w:val="00DC5726"/>
    <w:rsid w:val="00DC58E5"/>
    <w:rsid w:val="00DC5BE3"/>
    <w:rsid w:val="00DC5DCE"/>
    <w:rsid w:val="00DC608F"/>
    <w:rsid w:val="00DC632C"/>
    <w:rsid w:val="00DC64EB"/>
    <w:rsid w:val="00DC68B7"/>
    <w:rsid w:val="00DC7055"/>
    <w:rsid w:val="00DC7235"/>
    <w:rsid w:val="00DC7423"/>
    <w:rsid w:val="00DC77C0"/>
    <w:rsid w:val="00DC7D54"/>
    <w:rsid w:val="00DD0479"/>
    <w:rsid w:val="00DD057C"/>
    <w:rsid w:val="00DD0619"/>
    <w:rsid w:val="00DD0857"/>
    <w:rsid w:val="00DD10B4"/>
    <w:rsid w:val="00DD10F1"/>
    <w:rsid w:val="00DD1337"/>
    <w:rsid w:val="00DD1467"/>
    <w:rsid w:val="00DD1950"/>
    <w:rsid w:val="00DD1D2D"/>
    <w:rsid w:val="00DD1EE4"/>
    <w:rsid w:val="00DD22C4"/>
    <w:rsid w:val="00DD2B62"/>
    <w:rsid w:val="00DD2DD0"/>
    <w:rsid w:val="00DD2E75"/>
    <w:rsid w:val="00DD2F5F"/>
    <w:rsid w:val="00DD2FFF"/>
    <w:rsid w:val="00DD37E8"/>
    <w:rsid w:val="00DD3E85"/>
    <w:rsid w:val="00DD405B"/>
    <w:rsid w:val="00DD4E35"/>
    <w:rsid w:val="00DD506B"/>
    <w:rsid w:val="00DD5304"/>
    <w:rsid w:val="00DD5A67"/>
    <w:rsid w:val="00DD5D5F"/>
    <w:rsid w:val="00DD6014"/>
    <w:rsid w:val="00DD645D"/>
    <w:rsid w:val="00DD65B8"/>
    <w:rsid w:val="00DD65E9"/>
    <w:rsid w:val="00DD66A7"/>
    <w:rsid w:val="00DD6702"/>
    <w:rsid w:val="00DD6B36"/>
    <w:rsid w:val="00DD6D23"/>
    <w:rsid w:val="00DD7474"/>
    <w:rsid w:val="00DD7492"/>
    <w:rsid w:val="00DD76FD"/>
    <w:rsid w:val="00DD7983"/>
    <w:rsid w:val="00DD7B9C"/>
    <w:rsid w:val="00DE055B"/>
    <w:rsid w:val="00DE08AA"/>
    <w:rsid w:val="00DE1264"/>
    <w:rsid w:val="00DE12EF"/>
    <w:rsid w:val="00DE17C9"/>
    <w:rsid w:val="00DE1905"/>
    <w:rsid w:val="00DE1F77"/>
    <w:rsid w:val="00DE24F1"/>
    <w:rsid w:val="00DE2961"/>
    <w:rsid w:val="00DE298C"/>
    <w:rsid w:val="00DE29B5"/>
    <w:rsid w:val="00DE2A8B"/>
    <w:rsid w:val="00DE2B1E"/>
    <w:rsid w:val="00DE2B78"/>
    <w:rsid w:val="00DE2FA9"/>
    <w:rsid w:val="00DE2FE3"/>
    <w:rsid w:val="00DE31AC"/>
    <w:rsid w:val="00DE32EF"/>
    <w:rsid w:val="00DE3C84"/>
    <w:rsid w:val="00DE4140"/>
    <w:rsid w:val="00DE448D"/>
    <w:rsid w:val="00DE4956"/>
    <w:rsid w:val="00DE4998"/>
    <w:rsid w:val="00DE4DC6"/>
    <w:rsid w:val="00DE509E"/>
    <w:rsid w:val="00DE5391"/>
    <w:rsid w:val="00DE5567"/>
    <w:rsid w:val="00DE566D"/>
    <w:rsid w:val="00DE59D2"/>
    <w:rsid w:val="00DE5A5B"/>
    <w:rsid w:val="00DE5B08"/>
    <w:rsid w:val="00DE5BD9"/>
    <w:rsid w:val="00DE5E60"/>
    <w:rsid w:val="00DE6235"/>
    <w:rsid w:val="00DE6619"/>
    <w:rsid w:val="00DE6CBF"/>
    <w:rsid w:val="00DE6E36"/>
    <w:rsid w:val="00DE6E82"/>
    <w:rsid w:val="00DE6FED"/>
    <w:rsid w:val="00DE7032"/>
    <w:rsid w:val="00DE7273"/>
    <w:rsid w:val="00DE72BD"/>
    <w:rsid w:val="00DE7336"/>
    <w:rsid w:val="00DE7EBA"/>
    <w:rsid w:val="00DE7F02"/>
    <w:rsid w:val="00DF009B"/>
    <w:rsid w:val="00DF02ED"/>
    <w:rsid w:val="00DF056A"/>
    <w:rsid w:val="00DF071F"/>
    <w:rsid w:val="00DF094D"/>
    <w:rsid w:val="00DF0C29"/>
    <w:rsid w:val="00DF11A9"/>
    <w:rsid w:val="00DF1398"/>
    <w:rsid w:val="00DF13DD"/>
    <w:rsid w:val="00DF1AD1"/>
    <w:rsid w:val="00DF2065"/>
    <w:rsid w:val="00DF20AA"/>
    <w:rsid w:val="00DF23F9"/>
    <w:rsid w:val="00DF240F"/>
    <w:rsid w:val="00DF25A6"/>
    <w:rsid w:val="00DF2D10"/>
    <w:rsid w:val="00DF3143"/>
    <w:rsid w:val="00DF3D56"/>
    <w:rsid w:val="00DF3DC7"/>
    <w:rsid w:val="00DF4B3B"/>
    <w:rsid w:val="00DF56F0"/>
    <w:rsid w:val="00DF5BAA"/>
    <w:rsid w:val="00DF5D16"/>
    <w:rsid w:val="00DF65F0"/>
    <w:rsid w:val="00DF674F"/>
    <w:rsid w:val="00DF68AB"/>
    <w:rsid w:val="00DF6990"/>
    <w:rsid w:val="00DF6DE9"/>
    <w:rsid w:val="00DF6EFC"/>
    <w:rsid w:val="00DF6FF1"/>
    <w:rsid w:val="00DF7215"/>
    <w:rsid w:val="00DF759B"/>
    <w:rsid w:val="00DF78C0"/>
    <w:rsid w:val="00E00490"/>
    <w:rsid w:val="00E006C5"/>
    <w:rsid w:val="00E006CA"/>
    <w:rsid w:val="00E007DC"/>
    <w:rsid w:val="00E00B5E"/>
    <w:rsid w:val="00E01105"/>
    <w:rsid w:val="00E01269"/>
    <w:rsid w:val="00E012DB"/>
    <w:rsid w:val="00E0175E"/>
    <w:rsid w:val="00E01BCD"/>
    <w:rsid w:val="00E0301D"/>
    <w:rsid w:val="00E0355C"/>
    <w:rsid w:val="00E03A77"/>
    <w:rsid w:val="00E03B76"/>
    <w:rsid w:val="00E03C1B"/>
    <w:rsid w:val="00E03F9A"/>
    <w:rsid w:val="00E0417A"/>
    <w:rsid w:val="00E04454"/>
    <w:rsid w:val="00E0473D"/>
    <w:rsid w:val="00E04818"/>
    <w:rsid w:val="00E04A6D"/>
    <w:rsid w:val="00E04E1C"/>
    <w:rsid w:val="00E04F19"/>
    <w:rsid w:val="00E05287"/>
    <w:rsid w:val="00E0542D"/>
    <w:rsid w:val="00E05A51"/>
    <w:rsid w:val="00E05CE1"/>
    <w:rsid w:val="00E05DBF"/>
    <w:rsid w:val="00E0604C"/>
    <w:rsid w:val="00E060A3"/>
    <w:rsid w:val="00E060A4"/>
    <w:rsid w:val="00E0645D"/>
    <w:rsid w:val="00E06C0D"/>
    <w:rsid w:val="00E06ECE"/>
    <w:rsid w:val="00E07835"/>
    <w:rsid w:val="00E07968"/>
    <w:rsid w:val="00E07A72"/>
    <w:rsid w:val="00E07B75"/>
    <w:rsid w:val="00E07C32"/>
    <w:rsid w:val="00E1000F"/>
    <w:rsid w:val="00E10150"/>
    <w:rsid w:val="00E101C8"/>
    <w:rsid w:val="00E10570"/>
    <w:rsid w:val="00E109F7"/>
    <w:rsid w:val="00E10A52"/>
    <w:rsid w:val="00E10B63"/>
    <w:rsid w:val="00E10BD5"/>
    <w:rsid w:val="00E10D28"/>
    <w:rsid w:val="00E10E60"/>
    <w:rsid w:val="00E1101E"/>
    <w:rsid w:val="00E110DD"/>
    <w:rsid w:val="00E111E5"/>
    <w:rsid w:val="00E1122A"/>
    <w:rsid w:val="00E1123C"/>
    <w:rsid w:val="00E1146D"/>
    <w:rsid w:val="00E11850"/>
    <w:rsid w:val="00E119E0"/>
    <w:rsid w:val="00E12B2B"/>
    <w:rsid w:val="00E12BAE"/>
    <w:rsid w:val="00E13011"/>
    <w:rsid w:val="00E133CB"/>
    <w:rsid w:val="00E13460"/>
    <w:rsid w:val="00E13A60"/>
    <w:rsid w:val="00E13E31"/>
    <w:rsid w:val="00E1419F"/>
    <w:rsid w:val="00E14492"/>
    <w:rsid w:val="00E14D6A"/>
    <w:rsid w:val="00E15033"/>
    <w:rsid w:val="00E151B0"/>
    <w:rsid w:val="00E15270"/>
    <w:rsid w:val="00E157B6"/>
    <w:rsid w:val="00E15990"/>
    <w:rsid w:val="00E15DEC"/>
    <w:rsid w:val="00E15EB6"/>
    <w:rsid w:val="00E15FF3"/>
    <w:rsid w:val="00E1638A"/>
    <w:rsid w:val="00E17019"/>
    <w:rsid w:val="00E1754D"/>
    <w:rsid w:val="00E1769F"/>
    <w:rsid w:val="00E17A5E"/>
    <w:rsid w:val="00E17E5F"/>
    <w:rsid w:val="00E202A8"/>
    <w:rsid w:val="00E20552"/>
    <w:rsid w:val="00E20653"/>
    <w:rsid w:val="00E20842"/>
    <w:rsid w:val="00E219A7"/>
    <w:rsid w:val="00E21A80"/>
    <w:rsid w:val="00E21BF1"/>
    <w:rsid w:val="00E21CF3"/>
    <w:rsid w:val="00E22045"/>
    <w:rsid w:val="00E220EC"/>
    <w:rsid w:val="00E22C2F"/>
    <w:rsid w:val="00E23369"/>
    <w:rsid w:val="00E23413"/>
    <w:rsid w:val="00E239FA"/>
    <w:rsid w:val="00E23B56"/>
    <w:rsid w:val="00E23C32"/>
    <w:rsid w:val="00E23D4B"/>
    <w:rsid w:val="00E24027"/>
    <w:rsid w:val="00E244E1"/>
    <w:rsid w:val="00E2450F"/>
    <w:rsid w:val="00E24A42"/>
    <w:rsid w:val="00E250A6"/>
    <w:rsid w:val="00E25227"/>
    <w:rsid w:val="00E2559C"/>
    <w:rsid w:val="00E25B07"/>
    <w:rsid w:val="00E26138"/>
    <w:rsid w:val="00E265EC"/>
    <w:rsid w:val="00E2664C"/>
    <w:rsid w:val="00E2665E"/>
    <w:rsid w:val="00E268CD"/>
    <w:rsid w:val="00E26912"/>
    <w:rsid w:val="00E26AC7"/>
    <w:rsid w:val="00E26B6A"/>
    <w:rsid w:val="00E26DC7"/>
    <w:rsid w:val="00E26E19"/>
    <w:rsid w:val="00E27204"/>
    <w:rsid w:val="00E272D2"/>
    <w:rsid w:val="00E27890"/>
    <w:rsid w:val="00E27A4A"/>
    <w:rsid w:val="00E27A53"/>
    <w:rsid w:val="00E27AEC"/>
    <w:rsid w:val="00E27CC1"/>
    <w:rsid w:val="00E27E48"/>
    <w:rsid w:val="00E304B1"/>
    <w:rsid w:val="00E304FD"/>
    <w:rsid w:val="00E305B5"/>
    <w:rsid w:val="00E305D1"/>
    <w:rsid w:val="00E306BF"/>
    <w:rsid w:val="00E30990"/>
    <w:rsid w:val="00E314CB"/>
    <w:rsid w:val="00E31664"/>
    <w:rsid w:val="00E31828"/>
    <w:rsid w:val="00E318E1"/>
    <w:rsid w:val="00E32557"/>
    <w:rsid w:val="00E32CDB"/>
    <w:rsid w:val="00E334DB"/>
    <w:rsid w:val="00E3364F"/>
    <w:rsid w:val="00E336E9"/>
    <w:rsid w:val="00E342F7"/>
    <w:rsid w:val="00E344A9"/>
    <w:rsid w:val="00E34500"/>
    <w:rsid w:val="00E34727"/>
    <w:rsid w:val="00E34F2B"/>
    <w:rsid w:val="00E35069"/>
    <w:rsid w:val="00E35302"/>
    <w:rsid w:val="00E360C6"/>
    <w:rsid w:val="00E360FA"/>
    <w:rsid w:val="00E36D43"/>
    <w:rsid w:val="00E37269"/>
    <w:rsid w:val="00E3731B"/>
    <w:rsid w:val="00E40036"/>
    <w:rsid w:val="00E406DD"/>
    <w:rsid w:val="00E408CA"/>
    <w:rsid w:val="00E40AE3"/>
    <w:rsid w:val="00E40DCC"/>
    <w:rsid w:val="00E41221"/>
    <w:rsid w:val="00E41308"/>
    <w:rsid w:val="00E41D03"/>
    <w:rsid w:val="00E41E7F"/>
    <w:rsid w:val="00E421FD"/>
    <w:rsid w:val="00E42898"/>
    <w:rsid w:val="00E432A7"/>
    <w:rsid w:val="00E43482"/>
    <w:rsid w:val="00E4393D"/>
    <w:rsid w:val="00E43D72"/>
    <w:rsid w:val="00E43DAC"/>
    <w:rsid w:val="00E4456E"/>
    <w:rsid w:val="00E44C20"/>
    <w:rsid w:val="00E44E43"/>
    <w:rsid w:val="00E44F14"/>
    <w:rsid w:val="00E4504E"/>
    <w:rsid w:val="00E451BC"/>
    <w:rsid w:val="00E452CA"/>
    <w:rsid w:val="00E45381"/>
    <w:rsid w:val="00E45518"/>
    <w:rsid w:val="00E455B6"/>
    <w:rsid w:val="00E455B8"/>
    <w:rsid w:val="00E458B8"/>
    <w:rsid w:val="00E4601C"/>
    <w:rsid w:val="00E46940"/>
    <w:rsid w:val="00E46985"/>
    <w:rsid w:val="00E4787C"/>
    <w:rsid w:val="00E50961"/>
    <w:rsid w:val="00E515AD"/>
    <w:rsid w:val="00E5170B"/>
    <w:rsid w:val="00E51745"/>
    <w:rsid w:val="00E51B3F"/>
    <w:rsid w:val="00E51E55"/>
    <w:rsid w:val="00E520E0"/>
    <w:rsid w:val="00E52336"/>
    <w:rsid w:val="00E523BB"/>
    <w:rsid w:val="00E52813"/>
    <w:rsid w:val="00E52973"/>
    <w:rsid w:val="00E52B7D"/>
    <w:rsid w:val="00E52E9A"/>
    <w:rsid w:val="00E52F36"/>
    <w:rsid w:val="00E532B7"/>
    <w:rsid w:val="00E533B1"/>
    <w:rsid w:val="00E53A5A"/>
    <w:rsid w:val="00E53B11"/>
    <w:rsid w:val="00E53CD0"/>
    <w:rsid w:val="00E542BE"/>
    <w:rsid w:val="00E5445B"/>
    <w:rsid w:val="00E546BA"/>
    <w:rsid w:val="00E54875"/>
    <w:rsid w:val="00E5521C"/>
    <w:rsid w:val="00E558EF"/>
    <w:rsid w:val="00E55A7F"/>
    <w:rsid w:val="00E55AAE"/>
    <w:rsid w:val="00E55BEA"/>
    <w:rsid w:val="00E55EB3"/>
    <w:rsid w:val="00E55F6F"/>
    <w:rsid w:val="00E56087"/>
    <w:rsid w:val="00E565CA"/>
    <w:rsid w:val="00E56888"/>
    <w:rsid w:val="00E56C92"/>
    <w:rsid w:val="00E5733A"/>
    <w:rsid w:val="00E57B10"/>
    <w:rsid w:val="00E57E4A"/>
    <w:rsid w:val="00E600EE"/>
    <w:rsid w:val="00E601DF"/>
    <w:rsid w:val="00E6046F"/>
    <w:rsid w:val="00E605FF"/>
    <w:rsid w:val="00E609ED"/>
    <w:rsid w:val="00E60A9B"/>
    <w:rsid w:val="00E60BCD"/>
    <w:rsid w:val="00E60FE4"/>
    <w:rsid w:val="00E6123D"/>
    <w:rsid w:val="00E61469"/>
    <w:rsid w:val="00E6184F"/>
    <w:rsid w:val="00E61EFF"/>
    <w:rsid w:val="00E6224B"/>
    <w:rsid w:val="00E62360"/>
    <w:rsid w:val="00E62595"/>
    <w:rsid w:val="00E62B65"/>
    <w:rsid w:val="00E6311F"/>
    <w:rsid w:val="00E63820"/>
    <w:rsid w:val="00E639E8"/>
    <w:rsid w:val="00E63AD7"/>
    <w:rsid w:val="00E63B16"/>
    <w:rsid w:val="00E63EDA"/>
    <w:rsid w:val="00E6511E"/>
    <w:rsid w:val="00E65284"/>
    <w:rsid w:val="00E6534E"/>
    <w:rsid w:val="00E6584C"/>
    <w:rsid w:val="00E65BC6"/>
    <w:rsid w:val="00E65E30"/>
    <w:rsid w:val="00E660A8"/>
    <w:rsid w:val="00E66385"/>
    <w:rsid w:val="00E66400"/>
    <w:rsid w:val="00E66435"/>
    <w:rsid w:val="00E666D8"/>
    <w:rsid w:val="00E66957"/>
    <w:rsid w:val="00E66E33"/>
    <w:rsid w:val="00E6702E"/>
    <w:rsid w:val="00E6722A"/>
    <w:rsid w:val="00E67501"/>
    <w:rsid w:val="00E700E2"/>
    <w:rsid w:val="00E70368"/>
    <w:rsid w:val="00E7036D"/>
    <w:rsid w:val="00E7083E"/>
    <w:rsid w:val="00E70C5D"/>
    <w:rsid w:val="00E70CA9"/>
    <w:rsid w:val="00E715B4"/>
    <w:rsid w:val="00E7183B"/>
    <w:rsid w:val="00E71895"/>
    <w:rsid w:val="00E71D11"/>
    <w:rsid w:val="00E72066"/>
    <w:rsid w:val="00E72199"/>
    <w:rsid w:val="00E72283"/>
    <w:rsid w:val="00E72D3C"/>
    <w:rsid w:val="00E73B70"/>
    <w:rsid w:val="00E73B90"/>
    <w:rsid w:val="00E74254"/>
    <w:rsid w:val="00E7451B"/>
    <w:rsid w:val="00E74D7C"/>
    <w:rsid w:val="00E74D84"/>
    <w:rsid w:val="00E74F81"/>
    <w:rsid w:val="00E75618"/>
    <w:rsid w:val="00E757CA"/>
    <w:rsid w:val="00E75BDD"/>
    <w:rsid w:val="00E763EF"/>
    <w:rsid w:val="00E76665"/>
    <w:rsid w:val="00E766C9"/>
    <w:rsid w:val="00E76FEF"/>
    <w:rsid w:val="00E771DC"/>
    <w:rsid w:val="00E77622"/>
    <w:rsid w:val="00E77819"/>
    <w:rsid w:val="00E7798B"/>
    <w:rsid w:val="00E77D82"/>
    <w:rsid w:val="00E80525"/>
    <w:rsid w:val="00E8077C"/>
    <w:rsid w:val="00E808C2"/>
    <w:rsid w:val="00E80920"/>
    <w:rsid w:val="00E8093F"/>
    <w:rsid w:val="00E80955"/>
    <w:rsid w:val="00E80D11"/>
    <w:rsid w:val="00E81082"/>
    <w:rsid w:val="00E81273"/>
    <w:rsid w:val="00E813C1"/>
    <w:rsid w:val="00E8144B"/>
    <w:rsid w:val="00E814F9"/>
    <w:rsid w:val="00E81612"/>
    <w:rsid w:val="00E81A8B"/>
    <w:rsid w:val="00E81AFA"/>
    <w:rsid w:val="00E81C0D"/>
    <w:rsid w:val="00E821D6"/>
    <w:rsid w:val="00E82473"/>
    <w:rsid w:val="00E82B34"/>
    <w:rsid w:val="00E82E27"/>
    <w:rsid w:val="00E831C5"/>
    <w:rsid w:val="00E83439"/>
    <w:rsid w:val="00E837A7"/>
    <w:rsid w:val="00E839E8"/>
    <w:rsid w:val="00E83BFA"/>
    <w:rsid w:val="00E83DCE"/>
    <w:rsid w:val="00E84027"/>
    <w:rsid w:val="00E842FF"/>
    <w:rsid w:val="00E84830"/>
    <w:rsid w:val="00E84A31"/>
    <w:rsid w:val="00E84C25"/>
    <w:rsid w:val="00E852E1"/>
    <w:rsid w:val="00E8530F"/>
    <w:rsid w:val="00E85466"/>
    <w:rsid w:val="00E8559E"/>
    <w:rsid w:val="00E85660"/>
    <w:rsid w:val="00E85DD5"/>
    <w:rsid w:val="00E85E40"/>
    <w:rsid w:val="00E862C3"/>
    <w:rsid w:val="00E86954"/>
    <w:rsid w:val="00E86B56"/>
    <w:rsid w:val="00E86D29"/>
    <w:rsid w:val="00E87B8C"/>
    <w:rsid w:val="00E87F40"/>
    <w:rsid w:val="00E87F63"/>
    <w:rsid w:val="00E87FCF"/>
    <w:rsid w:val="00E87FD5"/>
    <w:rsid w:val="00E9046D"/>
    <w:rsid w:val="00E905EE"/>
    <w:rsid w:val="00E9069A"/>
    <w:rsid w:val="00E90790"/>
    <w:rsid w:val="00E9079C"/>
    <w:rsid w:val="00E90B1B"/>
    <w:rsid w:val="00E90F44"/>
    <w:rsid w:val="00E9106F"/>
    <w:rsid w:val="00E914EA"/>
    <w:rsid w:val="00E91529"/>
    <w:rsid w:val="00E91690"/>
    <w:rsid w:val="00E917C2"/>
    <w:rsid w:val="00E91AC7"/>
    <w:rsid w:val="00E91C8C"/>
    <w:rsid w:val="00E91D8E"/>
    <w:rsid w:val="00E922A1"/>
    <w:rsid w:val="00E92362"/>
    <w:rsid w:val="00E9259C"/>
    <w:rsid w:val="00E92FC7"/>
    <w:rsid w:val="00E9305F"/>
    <w:rsid w:val="00E9387B"/>
    <w:rsid w:val="00E93BC0"/>
    <w:rsid w:val="00E94188"/>
    <w:rsid w:val="00E9452D"/>
    <w:rsid w:val="00E947CE"/>
    <w:rsid w:val="00E94C5B"/>
    <w:rsid w:val="00E94E36"/>
    <w:rsid w:val="00E94E7D"/>
    <w:rsid w:val="00E953FA"/>
    <w:rsid w:val="00E95400"/>
    <w:rsid w:val="00E96581"/>
    <w:rsid w:val="00E965B6"/>
    <w:rsid w:val="00E96B4C"/>
    <w:rsid w:val="00E96F8B"/>
    <w:rsid w:val="00E974BD"/>
    <w:rsid w:val="00E977AE"/>
    <w:rsid w:val="00E97C98"/>
    <w:rsid w:val="00E97F42"/>
    <w:rsid w:val="00EA0325"/>
    <w:rsid w:val="00EA06C0"/>
    <w:rsid w:val="00EA08C6"/>
    <w:rsid w:val="00EA10E6"/>
    <w:rsid w:val="00EA15FE"/>
    <w:rsid w:val="00EA1FEC"/>
    <w:rsid w:val="00EA22C2"/>
    <w:rsid w:val="00EA26FD"/>
    <w:rsid w:val="00EA276D"/>
    <w:rsid w:val="00EA288E"/>
    <w:rsid w:val="00EA2906"/>
    <w:rsid w:val="00EA2C49"/>
    <w:rsid w:val="00EA36EF"/>
    <w:rsid w:val="00EA388B"/>
    <w:rsid w:val="00EA38C7"/>
    <w:rsid w:val="00EA39A8"/>
    <w:rsid w:val="00EA3B13"/>
    <w:rsid w:val="00EA3D2E"/>
    <w:rsid w:val="00EA3FB2"/>
    <w:rsid w:val="00EA4A84"/>
    <w:rsid w:val="00EA5010"/>
    <w:rsid w:val="00EA526D"/>
    <w:rsid w:val="00EA5D48"/>
    <w:rsid w:val="00EA5D94"/>
    <w:rsid w:val="00EA61AC"/>
    <w:rsid w:val="00EA622D"/>
    <w:rsid w:val="00EA644F"/>
    <w:rsid w:val="00EA66A7"/>
    <w:rsid w:val="00EA6886"/>
    <w:rsid w:val="00EA6D84"/>
    <w:rsid w:val="00EA70A8"/>
    <w:rsid w:val="00EA70AC"/>
    <w:rsid w:val="00EA714F"/>
    <w:rsid w:val="00EA7368"/>
    <w:rsid w:val="00EA767D"/>
    <w:rsid w:val="00EA7895"/>
    <w:rsid w:val="00EA7AFF"/>
    <w:rsid w:val="00EA7C07"/>
    <w:rsid w:val="00EA7C4E"/>
    <w:rsid w:val="00EA7CD0"/>
    <w:rsid w:val="00EA7CD3"/>
    <w:rsid w:val="00EA7D3F"/>
    <w:rsid w:val="00EB0439"/>
    <w:rsid w:val="00EB04F9"/>
    <w:rsid w:val="00EB084B"/>
    <w:rsid w:val="00EB0C0E"/>
    <w:rsid w:val="00EB0F52"/>
    <w:rsid w:val="00EB1190"/>
    <w:rsid w:val="00EB146E"/>
    <w:rsid w:val="00EB1716"/>
    <w:rsid w:val="00EB1AA2"/>
    <w:rsid w:val="00EB1C94"/>
    <w:rsid w:val="00EB1E45"/>
    <w:rsid w:val="00EB1ECE"/>
    <w:rsid w:val="00EB281B"/>
    <w:rsid w:val="00EB2DD6"/>
    <w:rsid w:val="00EB2F35"/>
    <w:rsid w:val="00EB3193"/>
    <w:rsid w:val="00EB33AE"/>
    <w:rsid w:val="00EB3BFA"/>
    <w:rsid w:val="00EB3D20"/>
    <w:rsid w:val="00EB3D3E"/>
    <w:rsid w:val="00EB41D4"/>
    <w:rsid w:val="00EB4210"/>
    <w:rsid w:val="00EB4B6B"/>
    <w:rsid w:val="00EB4E14"/>
    <w:rsid w:val="00EB4E54"/>
    <w:rsid w:val="00EB51CD"/>
    <w:rsid w:val="00EB562C"/>
    <w:rsid w:val="00EB568D"/>
    <w:rsid w:val="00EB583F"/>
    <w:rsid w:val="00EB5A73"/>
    <w:rsid w:val="00EB5F5B"/>
    <w:rsid w:val="00EB5FDF"/>
    <w:rsid w:val="00EB61BF"/>
    <w:rsid w:val="00EB67F0"/>
    <w:rsid w:val="00EB6996"/>
    <w:rsid w:val="00EB6A15"/>
    <w:rsid w:val="00EB6F8E"/>
    <w:rsid w:val="00EB70C3"/>
    <w:rsid w:val="00EB73CC"/>
    <w:rsid w:val="00EB74CE"/>
    <w:rsid w:val="00EC02C5"/>
    <w:rsid w:val="00EC0592"/>
    <w:rsid w:val="00EC0E55"/>
    <w:rsid w:val="00EC0E58"/>
    <w:rsid w:val="00EC15FF"/>
    <w:rsid w:val="00EC1787"/>
    <w:rsid w:val="00EC179E"/>
    <w:rsid w:val="00EC18C6"/>
    <w:rsid w:val="00EC1F51"/>
    <w:rsid w:val="00EC24F1"/>
    <w:rsid w:val="00EC276D"/>
    <w:rsid w:val="00EC2B8C"/>
    <w:rsid w:val="00EC2D85"/>
    <w:rsid w:val="00EC37B1"/>
    <w:rsid w:val="00EC3843"/>
    <w:rsid w:val="00EC3CAA"/>
    <w:rsid w:val="00EC3CF0"/>
    <w:rsid w:val="00EC3D11"/>
    <w:rsid w:val="00EC4169"/>
    <w:rsid w:val="00EC4202"/>
    <w:rsid w:val="00EC422A"/>
    <w:rsid w:val="00EC4653"/>
    <w:rsid w:val="00EC47AF"/>
    <w:rsid w:val="00EC4F4C"/>
    <w:rsid w:val="00EC509F"/>
    <w:rsid w:val="00EC59C5"/>
    <w:rsid w:val="00EC5AD2"/>
    <w:rsid w:val="00EC5AF2"/>
    <w:rsid w:val="00EC703E"/>
    <w:rsid w:val="00EC70A9"/>
    <w:rsid w:val="00EC7424"/>
    <w:rsid w:val="00EC7425"/>
    <w:rsid w:val="00EC751F"/>
    <w:rsid w:val="00EC772E"/>
    <w:rsid w:val="00EC7BDF"/>
    <w:rsid w:val="00ED00AA"/>
    <w:rsid w:val="00ED00F4"/>
    <w:rsid w:val="00ED046E"/>
    <w:rsid w:val="00ED04A4"/>
    <w:rsid w:val="00ED0514"/>
    <w:rsid w:val="00ED060B"/>
    <w:rsid w:val="00ED0684"/>
    <w:rsid w:val="00ED0B09"/>
    <w:rsid w:val="00ED0C29"/>
    <w:rsid w:val="00ED0CD6"/>
    <w:rsid w:val="00ED103A"/>
    <w:rsid w:val="00ED12E8"/>
    <w:rsid w:val="00ED1948"/>
    <w:rsid w:val="00ED1B35"/>
    <w:rsid w:val="00ED1B5C"/>
    <w:rsid w:val="00ED1B6E"/>
    <w:rsid w:val="00ED1C2A"/>
    <w:rsid w:val="00ED1DF2"/>
    <w:rsid w:val="00ED1EE4"/>
    <w:rsid w:val="00ED1EFA"/>
    <w:rsid w:val="00ED2184"/>
    <w:rsid w:val="00ED2229"/>
    <w:rsid w:val="00ED27B0"/>
    <w:rsid w:val="00ED2ED5"/>
    <w:rsid w:val="00ED3535"/>
    <w:rsid w:val="00ED5047"/>
    <w:rsid w:val="00ED5A81"/>
    <w:rsid w:val="00ED5B19"/>
    <w:rsid w:val="00ED6E93"/>
    <w:rsid w:val="00ED6FF9"/>
    <w:rsid w:val="00ED7096"/>
    <w:rsid w:val="00ED7DCA"/>
    <w:rsid w:val="00EE008B"/>
    <w:rsid w:val="00EE03A0"/>
    <w:rsid w:val="00EE069B"/>
    <w:rsid w:val="00EE06D5"/>
    <w:rsid w:val="00EE0F9F"/>
    <w:rsid w:val="00EE0FCC"/>
    <w:rsid w:val="00EE1502"/>
    <w:rsid w:val="00EE1593"/>
    <w:rsid w:val="00EE1F40"/>
    <w:rsid w:val="00EE1FB7"/>
    <w:rsid w:val="00EE2831"/>
    <w:rsid w:val="00EE28B7"/>
    <w:rsid w:val="00EE28E8"/>
    <w:rsid w:val="00EE2997"/>
    <w:rsid w:val="00EE2BB0"/>
    <w:rsid w:val="00EE32DD"/>
    <w:rsid w:val="00EE3ACD"/>
    <w:rsid w:val="00EE3C77"/>
    <w:rsid w:val="00EE40CE"/>
    <w:rsid w:val="00EE417A"/>
    <w:rsid w:val="00EE497B"/>
    <w:rsid w:val="00EE4BFB"/>
    <w:rsid w:val="00EE50FC"/>
    <w:rsid w:val="00EE51ED"/>
    <w:rsid w:val="00EE5869"/>
    <w:rsid w:val="00EE58EA"/>
    <w:rsid w:val="00EE59A9"/>
    <w:rsid w:val="00EE5BD4"/>
    <w:rsid w:val="00EE5C25"/>
    <w:rsid w:val="00EE5EA8"/>
    <w:rsid w:val="00EE60E0"/>
    <w:rsid w:val="00EE613F"/>
    <w:rsid w:val="00EE64D5"/>
    <w:rsid w:val="00EE6527"/>
    <w:rsid w:val="00EE6694"/>
    <w:rsid w:val="00EE6780"/>
    <w:rsid w:val="00EE6F72"/>
    <w:rsid w:val="00EE6F7E"/>
    <w:rsid w:val="00EE740A"/>
    <w:rsid w:val="00EE7A9E"/>
    <w:rsid w:val="00EE7E46"/>
    <w:rsid w:val="00EF0681"/>
    <w:rsid w:val="00EF0757"/>
    <w:rsid w:val="00EF08C6"/>
    <w:rsid w:val="00EF11A6"/>
    <w:rsid w:val="00EF1259"/>
    <w:rsid w:val="00EF1605"/>
    <w:rsid w:val="00EF17DC"/>
    <w:rsid w:val="00EF1E9D"/>
    <w:rsid w:val="00EF2402"/>
    <w:rsid w:val="00EF2DA8"/>
    <w:rsid w:val="00EF3012"/>
    <w:rsid w:val="00EF3059"/>
    <w:rsid w:val="00EF3234"/>
    <w:rsid w:val="00EF355B"/>
    <w:rsid w:val="00EF3EE4"/>
    <w:rsid w:val="00EF406D"/>
    <w:rsid w:val="00EF415A"/>
    <w:rsid w:val="00EF41F0"/>
    <w:rsid w:val="00EF4317"/>
    <w:rsid w:val="00EF4FF7"/>
    <w:rsid w:val="00EF5938"/>
    <w:rsid w:val="00EF5BC4"/>
    <w:rsid w:val="00EF5C3B"/>
    <w:rsid w:val="00EF5C6B"/>
    <w:rsid w:val="00EF64B0"/>
    <w:rsid w:val="00EF650C"/>
    <w:rsid w:val="00EF66C2"/>
    <w:rsid w:val="00EF6956"/>
    <w:rsid w:val="00EF6A5E"/>
    <w:rsid w:val="00EF6BFA"/>
    <w:rsid w:val="00EF6DD0"/>
    <w:rsid w:val="00EF6E1C"/>
    <w:rsid w:val="00EF6E21"/>
    <w:rsid w:val="00EF6E88"/>
    <w:rsid w:val="00EF6F61"/>
    <w:rsid w:val="00EF703C"/>
    <w:rsid w:val="00EF7339"/>
    <w:rsid w:val="00EF7B83"/>
    <w:rsid w:val="00EF7CB8"/>
    <w:rsid w:val="00EF7D1F"/>
    <w:rsid w:val="00F0043C"/>
    <w:rsid w:val="00F0080B"/>
    <w:rsid w:val="00F00901"/>
    <w:rsid w:val="00F00BA8"/>
    <w:rsid w:val="00F00C04"/>
    <w:rsid w:val="00F0102E"/>
    <w:rsid w:val="00F01644"/>
    <w:rsid w:val="00F020EF"/>
    <w:rsid w:val="00F02140"/>
    <w:rsid w:val="00F02540"/>
    <w:rsid w:val="00F0327E"/>
    <w:rsid w:val="00F03336"/>
    <w:rsid w:val="00F03509"/>
    <w:rsid w:val="00F03967"/>
    <w:rsid w:val="00F03A91"/>
    <w:rsid w:val="00F03BCE"/>
    <w:rsid w:val="00F03D2C"/>
    <w:rsid w:val="00F0413A"/>
    <w:rsid w:val="00F042D9"/>
    <w:rsid w:val="00F04423"/>
    <w:rsid w:val="00F0448A"/>
    <w:rsid w:val="00F05063"/>
    <w:rsid w:val="00F050DB"/>
    <w:rsid w:val="00F0520B"/>
    <w:rsid w:val="00F05330"/>
    <w:rsid w:val="00F0536B"/>
    <w:rsid w:val="00F0546C"/>
    <w:rsid w:val="00F05BAE"/>
    <w:rsid w:val="00F06031"/>
    <w:rsid w:val="00F06101"/>
    <w:rsid w:val="00F064E7"/>
    <w:rsid w:val="00F06529"/>
    <w:rsid w:val="00F06C5B"/>
    <w:rsid w:val="00F06D16"/>
    <w:rsid w:val="00F06DA4"/>
    <w:rsid w:val="00F074E9"/>
    <w:rsid w:val="00F07756"/>
    <w:rsid w:val="00F07DF8"/>
    <w:rsid w:val="00F07F4E"/>
    <w:rsid w:val="00F104A3"/>
    <w:rsid w:val="00F10A40"/>
    <w:rsid w:val="00F10AC5"/>
    <w:rsid w:val="00F10B7C"/>
    <w:rsid w:val="00F10DDA"/>
    <w:rsid w:val="00F110F7"/>
    <w:rsid w:val="00F113E1"/>
    <w:rsid w:val="00F11A40"/>
    <w:rsid w:val="00F11C3A"/>
    <w:rsid w:val="00F11CFC"/>
    <w:rsid w:val="00F11D2B"/>
    <w:rsid w:val="00F122CA"/>
    <w:rsid w:val="00F125EC"/>
    <w:rsid w:val="00F12715"/>
    <w:rsid w:val="00F127CD"/>
    <w:rsid w:val="00F12EC4"/>
    <w:rsid w:val="00F12FB7"/>
    <w:rsid w:val="00F13286"/>
    <w:rsid w:val="00F13497"/>
    <w:rsid w:val="00F1465F"/>
    <w:rsid w:val="00F14A81"/>
    <w:rsid w:val="00F14C14"/>
    <w:rsid w:val="00F14CE8"/>
    <w:rsid w:val="00F14D7A"/>
    <w:rsid w:val="00F1505B"/>
    <w:rsid w:val="00F152BE"/>
    <w:rsid w:val="00F156CE"/>
    <w:rsid w:val="00F15DF4"/>
    <w:rsid w:val="00F16070"/>
    <w:rsid w:val="00F16689"/>
    <w:rsid w:val="00F166D5"/>
    <w:rsid w:val="00F16749"/>
    <w:rsid w:val="00F16945"/>
    <w:rsid w:val="00F16E26"/>
    <w:rsid w:val="00F171FF"/>
    <w:rsid w:val="00F17629"/>
    <w:rsid w:val="00F17D28"/>
    <w:rsid w:val="00F17F7F"/>
    <w:rsid w:val="00F20998"/>
    <w:rsid w:val="00F20AB2"/>
    <w:rsid w:val="00F20F29"/>
    <w:rsid w:val="00F2106A"/>
    <w:rsid w:val="00F2113A"/>
    <w:rsid w:val="00F2165B"/>
    <w:rsid w:val="00F21A9B"/>
    <w:rsid w:val="00F21C41"/>
    <w:rsid w:val="00F21C6D"/>
    <w:rsid w:val="00F222FA"/>
    <w:rsid w:val="00F22445"/>
    <w:rsid w:val="00F224ED"/>
    <w:rsid w:val="00F226A7"/>
    <w:rsid w:val="00F229DE"/>
    <w:rsid w:val="00F23E10"/>
    <w:rsid w:val="00F24025"/>
    <w:rsid w:val="00F24038"/>
    <w:rsid w:val="00F2432F"/>
    <w:rsid w:val="00F243D9"/>
    <w:rsid w:val="00F2466F"/>
    <w:rsid w:val="00F249B8"/>
    <w:rsid w:val="00F24BFC"/>
    <w:rsid w:val="00F24D30"/>
    <w:rsid w:val="00F250DD"/>
    <w:rsid w:val="00F2539E"/>
    <w:rsid w:val="00F253F9"/>
    <w:rsid w:val="00F25478"/>
    <w:rsid w:val="00F25995"/>
    <w:rsid w:val="00F25B68"/>
    <w:rsid w:val="00F260FE"/>
    <w:rsid w:val="00F2639F"/>
    <w:rsid w:val="00F26714"/>
    <w:rsid w:val="00F26838"/>
    <w:rsid w:val="00F26EAA"/>
    <w:rsid w:val="00F27364"/>
    <w:rsid w:val="00F2772A"/>
    <w:rsid w:val="00F30362"/>
    <w:rsid w:val="00F3059F"/>
    <w:rsid w:val="00F30CDC"/>
    <w:rsid w:val="00F316EE"/>
    <w:rsid w:val="00F317D0"/>
    <w:rsid w:val="00F318C5"/>
    <w:rsid w:val="00F31BED"/>
    <w:rsid w:val="00F322ED"/>
    <w:rsid w:val="00F32739"/>
    <w:rsid w:val="00F32823"/>
    <w:rsid w:val="00F33052"/>
    <w:rsid w:val="00F332F5"/>
    <w:rsid w:val="00F334A1"/>
    <w:rsid w:val="00F34286"/>
    <w:rsid w:val="00F343EC"/>
    <w:rsid w:val="00F344FA"/>
    <w:rsid w:val="00F34CB9"/>
    <w:rsid w:val="00F35B78"/>
    <w:rsid w:val="00F35C25"/>
    <w:rsid w:val="00F35F8D"/>
    <w:rsid w:val="00F3671F"/>
    <w:rsid w:val="00F3683A"/>
    <w:rsid w:val="00F369D4"/>
    <w:rsid w:val="00F36ACE"/>
    <w:rsid w:val="00F36AEF"/>
    <w:rsid w:val="00F36F1E"/>
    <w:rsid w:val="00F37031"/>
    <w:rsid w:val="00F37115"/>
    <w:rsid w:val="00F3782D"/>
    <w:rsid w:val="00F3786E"/>
    <w:rsid w:val="00F37CFE"/>
    <w:rsid w:val="00F37DA0"/>
    <w:rsid w:val="00F37E71"/>
    <w:rsid w:val="00F4002B"/>
    <w:rsid w:val="00F405A3"/>
    <w:rsid w:val="00F40677"/>
    <w:rsid w:val="00F413AD"/>
    <w:rsid w:val="00F41557"/>
    <w:rsid w:val="00F415E8"/>
    <w:rsid w:val="00F417E6"/>
    <w:rsid w:val="00F4190D"/>
    <w:rsid w:val="00F41968"/>
    <w:rsid w:val="00F41974"/>
    <w:rsid w:val="00F422DA"/>
    <w:rsid w:val="00F42435"/>
    <w:rsid w:val="00F4254A"/>
    <w:rsid w:val="00F4272B"/>
    <w:rsid w:val="00F4285B"/>
    <w:rsid w:val="00F42CCD"/>
    <w:rsid w:val="00F42D02"/>
    <w:rsid w:val="00F4305D"/>
    <w:rsid w:val="00F43F76"/>
    <w:rsid w:val="00F43FF5"/>
    <w:rsid w:val="00F44BD9"/>
    <w:rsid w:val="00F450F7"/>
    <w:rsid w:val="00F4559D"/>
    <w:rsid w:val="00F45957"/>
    <w:rsid w:val="00F45B82"/>
    <w:rsid w:val="00F45C04"/>
    <w:rsid w:val="00F45E89"/>
    <w:rsid w:val="00F461B5"/>
    <w:rsid w:val="00F464FE"/>
    <w:rsid w:val="00F4674D"/>
    <w:rsid w:val="00F46950"/>
    <w:rsid w:val="00F469B2"/>
    <w:rsid w:val="00F46FF2"/>
    <w:rsid w:val="00F475C5"/>
    <w:rsid w:val="00F47DE5"/>
    <w:rsid w:val="00F47FCD"/>
    <w:rsid w:val="00F47FED"/>
    <w:rsid w:val="00F50518"/>
    <w:rsid w:val="00F506A4"/>
    <w:rsid w:val="00F50B66"/>
    <w:rsid w:val="00F50CD0"/>
    <w:rsid w:val="00F50FCF"/>
    <w:rsid w:val="00F510D0"/>
    <w:rsid w:val="00F51105"/>
    <w:rsid w:val="00F51206"/>
    <w:rsid w:val="00F513F7"/>
    <w:rsid w:val="00F514EF"/>
    <w:rsid w:val="00F51664"/>
    <w:rsid w:val="00F517FC"/>
    <w:rsid w:val="00F51AD5"/>
    <w:rsid w:val="00F51B77"/>
    <w:rsid w:val="00F51BFE"/>
    <w:rsid w:val="00F51E21"/>
    <w:rsid w:val="00F51F72"/>
    <w:rsid w:val="00F520C5"/>
    <w:rsid w:val="00F526D6"/>
    <w:rsid w:val="00F527F9"/>
    <w:rsid w:val="00F52834"/>
    <w:rsid w:val="00F52B0F"/>
    <w:rsid w:val="00F52C19"/>
    <w:rsid w:val="00F52FB6"/>
    <w:rsid w:val="00F53FFD"/>
    <w:rsid w:val="00F5409A"/>
    <w:rsid w:val="00F54291"/>
    <w:rsid w:val="00F55280"/>
    <w:rsid w:val="00F55FDF"/>
    <w:rsid w:val="00F56A0C"/>
    <w:rsid w:val="00F56A0D"/>
    <w:rsid w:val="00F56A56"/>
    <w:rsid w:val="00F56DCF"/>
    <w:rsid w:val="00F56F84"/>
    <w:rsid w:val="00F5707D"/>
    <w:rsid w:val="00F570C2"/>
    <w:rsid w:val="00F572D0"/>
    <w:rsid w:val="00F5743F"/>
    <w:rsid w:val="00F57709"/>
    <w:rsid w:val="00F57724"/>
    <w:rsid w:val="00F57DC3"/>
    <w:rsid w:val="00F57DEA"/>
    <w:rsid w:val="00F57F45"/>
    <w:rsid w:val="00F60029"/>
    <w:rsid w:val="00F60228"/>
    <w:rsid w:val="00F602D7"/>
    <w:rsid w:val="00F6043B"/>
    <w:rsid w:val="00F60A7E"/>
    <w:rsid w:val="00F60CC8"/>
    <w:rsid w:val="00F60F8B"/>
    <w:rsid w:val="00F60FAB"/>
    <w:rsid w:val="00F61139"/>
    <w:rsid w:val="00F61631"/>
    <w:rsid w:val="00F61774"/>
    <w:rsid w:val="00F61D6B"/>
    <w:rsid w:val="00F61E77"/>
    <w:rsid w:val="00F62846"/>
    <w:rsid w:val="00F6289E"/>
    <w:rsid w:val="00F62D90"/>
    <w:rsid w:val="00F62EA3"/>
    <w:rsid w:val="00F6319B"/>
    <w:rsid w:val="00F63336"/>
    <w:rsid w:val="00F633AB"/>
    <w:rsid w:val="00F6345B"/>
    <w:rsid w:val="00F637B3"/>
    <w:rsid w:val="00F6418B"/>
    <w:rsid w:val="00F642D5"/>
    <w:rsid w:val="00F644CD"/>
    <w:rsid w:val="00F645E2"/>
    <w:rsid w:val="00F6483C"/>
    <w:rsid w:val="00F6587F"/>
    <w:rsid w:val="00F65B9E"/>
    <w:rsid w:val="00F65E65"/>
    <w:rsid w:val="00F664D3"/>
    <w:rsid w:val="00F66D96"/>
    <w:rsid w:val="00F670EB"/>
    <w:rsid w:val="00F67586"/>
    <w:rsid w:val="00F6770F"/>
    <w:rsid w:val="00F67850"/>
    <w:rsid w:val="00F67964"/>
    <w:rsid w:val="00F67BDC"/>
    <w:rsid w:val="00F67D61"/>
    <w:rsid w:val="00F67ED7"/>
    <w:rsid w:val="00F70BC5"/>
    <w:rsid w:val="00F70C29"/>
    <w:rsid w:val="00F70C66"/>
    <w:rsid w:val="00F70F34"/>
    <w:rsid w:val="00F713ED"/>
    <w:rsid w:val="00F72135"/>
    <w:rsid w:val="00F7292D"/>
    <w:rsid w:val="00F72946"/>
    <w:rsid w:val="00F72CB9"/>
    <w:rsid w:val="00F72E31"/>
    <w:rsid w:val="00F7309E"/>
    <w:rsid w:val="00F73311"/>
    <w:rsid w:val="00F73407"/>
    <w:rsid w:val="00F73431"/>
    <w:rsid w:val="00F736F7"/>
    <w:rsid w:val="00F73735"/>
    <w:rsid w:val="00F73EAA"/>
    <w:rsid w:val="00F742FF"/>
    <w:rsid w:val="00F7457D"/>
    <w:rsid w:val="00F7465F"/>
    <w:rsid w:val="00F746EA"/>
    <w:rsid w:val="00F74799"/>
    <w:rsid w:val="00F748CB"/>
    <w:rsid w:val="00F74DC2"/>
    <w:rsid w:val="00F74F31"/>
    <w:rsid w:val="00F7525D"/>
    <w:rsid w:val="00F753BC"/>
    <w:rsid w:val="00F7561E"/>
    <w:rsid w:val="00F75628"/>
    <w:rsid w:val="00F75B5C"/>
    <w:rsid w:val="00F75BB4"/>
    <w:rsid w:val="00F75E6E"/>
    <w:rsid w:val="00F760F8"/>
    <w:rsid w:val="00F76310"/>
    <w:rsid w:val="00F764AB"/>
    <w:rsid w:val="00F76615"/>
    <w:rsid w:val="00F76768"/>
    <w:rsid w:val="00F7685B"/>
    <w:rsid w:val="00F76AF0"/>
    <w:rsid w:val="00F76DFA"/>
    <w:rsid w:val="00F771C2"/>
    <w:rsid w:val="00F777CF"/>
    <w:rsid w:val="00F77BCE"/>
    <w:rsid w:val="00F77C52"/>
    <w:rsid w:val="00F805FD"/>
    <w:rsid w:val="00F80679"/>
    <w:rsid w:val="00F80C2A"/>
    <w:rsid w:val="00F810FC"/>
    <w:rsid w:val="00F816CA"/>
    <w:rsid w:val="00F81791"/>
    <w:rsid w:val="00F81BCC"/>
    <w:rsid w:val="00F81D4F"/>
    <w:rsid w:val="00F81E67"/>
    <w:rsid w:val="00F8243E"/>
    <w:rsid w:val="00F8282C"/>
    <w:rsid w:val="00F82B0A"/>
    <w:rsid w:val="00F82E4F"/>
    <w:rsid w:val="00F835F4"/>
    <w:rsid w:val="00F83BC0"/>
    <w:rsid w:val="00F84970"/>
    <w:rsid w:val="00F84A68"/>
    <w:rsid w:val="00F84D3E"/>
    <w:rsid w:val="00F85397"/>
    <w:rsid w:val="00F854E2"/>
    <w:rsid w:val="00F85A29"/>
    <w:rsid w:val="00F85D78"/>
    <w:rsid w:val="00F860F1"/>
    <w:rsid w:val="00F86581"/>
    <w:rsid w:val="00F8661D"/>
    <w:rsid w:val="00F86BBE"/>
    <w:rsid w:val="00F87074"/>
    <w:rsid w:val="00F873BE"/>
    <w:rsid w:val="00F87493"/>
    <w:rsid w:val="00F8791A"/>
    <w:rsid w:val="00F87951"/>
    <w:rsid w:val="00F87A65"/>
    <w:rsid w:val="00F87E18"/>
    <w:rsid w:val="00F90C31"/>
    <w:rsid w:val="00F90C56"/>
    <w:rsid w:val="00F90EC1"/>
    <w:rsid w:val="00F915A3"/>
    <w:rsid w:val="00F91BC7"/>
    <w:rsid w:val="00F91D29"/>
    <w:rsid w:val="00F921B2"/>
    <w:rsid w:val="00F92220"/>
    <w:rsid w:val="00F928DA"/>
    <w:rsid w:val="00F92CC5"/>
    <w:rsid w:val="00F92D63"/>
    <w:rsid w:val="00F92E57"/>
    <w:rsid w:val="00F93DE7"/>
    <w:rsid w:val="00F94270"/>
    <w:rsid w:val="00F944C9"/>
    <w:rsid w:val="00F945C3"/>
    <w:rsid w:val="00F946D6"/>
    <w:rsid w:val="00F94B1A"/>
    <w:rsid w:val="00F94FD2"/>
    <w:rsid w:val="00F95655"/>
    <w:rsid w:val="00F95A00"/>
    <w:rsid w:val="00F95E42"/>
    <w:rsid w:val="00F95F08"/>
    <w:rsid w:val="00F9657B"/>
    <w:rsid w:val="00F969B2"/>
    <w:rsid w:val="00F96A48"/>
    <w:rsid w:val="00F96B29"/>
    <w:rsid w:val="00F97009"/>
    <w:rsid w:val="00F9705D"/>
    <w:rsid w:val="00F9714C"/>
    <w:rsid w:val="00F97206"/>
    <w:rsid w:val="00F976FF"/>
    <w:rsid w:val="00F97BD7"/>
    <w:rsid w:val="00F97DFC"/>
    <w:rsid w:val="00F97EAE"/>
    <w:rsid w:val="00FA0112"/>
    <w:rsid w:val="00FA0275"/>
    <w:rsid w:val="00FA0509"/>
    <w:rsid w:val="00FA0595"/>
    <w:rsid w:val="00FA0DC5"/>
    <w:rsid w:val="00FA0EBC"/>
    <w:rsid w:val="00FA0FBB"/>
    <w:rsid w:val="00FA1390"/>
    <w:rsid w:val="00FA1533"/>
    <w:rsid w:val="00FA16AA"/>
    <w:rsid w:val="00FA1826"/>
    <w:rsid w:val="00FA1A05"/>
    <w:rsid w:val="00FA1ECA"/>
    <w:rsid w:val="00FA23F2"/>
    <w:rsid w:val="00FA26BD"/>
    <w:rsid w:val="00FA2ABF"/>
    <w:rsid w:val="00FA2BB4"/>
    <w:rsid w:val="00FA2C39"/>
    <w:rsid w:val="00FA2D2E"/>
    <w:rsid w:val="00FA2DCA"/>
    <w:rsid w:val="00FA3405"/>
    <w:rsid w:val="00FA42CE"/>
    <w:rsid w:val="00FA4337"/>
    <w:rsid w:val="00FA442E"/>
    <w:rsid w:val="00FA450C"/>
    <w:rsid w:val="00FA476A"/>
    <w:rsid w:val="00FA48A8"/>
    <w:rsid w:val="00FA4F51"/>
    <w:rsid w:val="00FA529F"/>
    <w:rsid w:val="00FA55E6"/>
    <w:rsid w:val="00FA56C2"/>
    <w:rsid w:val="00FA5DD5"/>
    <w:rsid w:val="00FA652D"/>
    <w:rsid w:val="00FA68B8"/>
    <w:rsid w:val="00FA6BED"/>
    <w:rsid w:val="00FA6C15"/>
    <w:rsid w:val="00FA6DBF"/>
    <w:rsid w:val="00FA7131"/>
    <w:rsid w:val="00FA7333"/>
    <w:rsid w:val="00FA74C8"/>
    <w:rsid w:val="00FA7DA3"/>
    <w:rsid w:val="00FB002B"/>
    <w:rsid w:val="00FB03DF"/>
    <w:rsid w:val="00FB047A"/>
    <w:rsid w:val="00FB0BC9"/>
    <w:rsid w:val="00FB0D10"/>
    <w:rsid w:val="00FB1217"/>
    <w:rsid w:val="00FB184C"/>
    <w:rsid w:val="00FB1E9C"/>
    <w:rsid w:val="00FB2125"/>
    <w:rsid w:val="00FB2315"/>
    <w:rsid w:val="00FB23B7"/>
    <w:rsid w:val="00FB2A7C"/>
    <w:rsid w:val="00FB2AC7"/>
    <w:rsid w:val="00FB3021"/>
    <w:rsid w:val="00FB37C8"/>
    <w:rsid w:val="00FB39F5"/>
    <w:rsid w:val="00FB3C24"/>
    <w:rsid w:val="00FB4224"/>
    <w:rsid w:val="00FB4382"/>
    <w:rsid w:val="00FB43B8"/>
    <w:rsid w:val="00FB43FD"/>
    <w:rsid w:val="00FB4610"/>
    <w:rsid w:val="00FB4990"/>
    <w:rsid w:val="00FB4BC7"/>
    <w:rsid w:val="00FB4E03"/>
    <w:rsid w:val="00FB4E37"/>
    <w:rsid w:val="00FB5040"/>
    <w:rsid w:val="00FB5614"/>
    <w:rsid w:val="00FB597F"/>
    <w:rsid w:val="00FB618F"/>
    <w:rsid w:val="00FB619C"/>
    <w:rsid w:val="00FB63F7"/>
    <w:rsid w:val="00FB651F"/>
    <w:rsid w:val="00FB7220"/>
    <w:rsid w:val="00FB7280"/>
    <w:rsid w:val="00FB742E"/>
    <w:rsid w:val="00FB7D8F"/>
    <w:rsid w:val="00FB7F3A"/>
    <w:rsid w:val="00FC0137"/>
    <w:rsid w:val="00FC01E0"/>
    <w:rsid w:val="00FC0507"/>
    <w:rsid w:val="00FC058F"/>
    <w:rsid w:val="00FC0C9A"/>
    <w:rsid w:val="00FC12C4"/>
    <w:rsid w:val="00FC1454"/>
    <w:rsid w:val="00FC1549"/>
    <w:rsid w:val="00FC1A31"/>
    <w:rsid w:val="00FC1D95"/>
    <w:rsid w:val="00FC1F0F"/>
    <w:rsid w:val="00FC254F"/>
    <w:rsid w:val="00FC2A93"/>
    <w:rsid w:val="00FC2E16"/>
    <w:rsid w:val="00FC3C05"/>
    <w:rsid w:val="00FC40F8"/>
    <w:rsid w:val="00FC48FF"/>
    <w:rsid w:val="00FC4E56"/>
    <w:rsid w:val="00FC519D"/>
    <w:rsid w:val="00FC559B"/>
    <w:rsid w:val="00FC56F2"/>
    <w:rsid w:val="00FC5AA0"/>
    <w:rsid w:val="00FC6097"/>
    <w:rsid w:val="00FC60BE"/>
    <w:rsid w:val="00FC6182"/>
    <w:rsid w:val="00FC65BF"/>
    <w:rsid w:val="00FC6F2B"/>
    <w:rsid w:val="00FC7CC2"/>
    <w:rsid w:val="00FD0197"/>
    <w:rsid w:val="00FD0239"/>
    <w:rsid w:val="00FD0288"/>
    <w:rsid w:val="00FD0394"/>
    <w:rsid w:val="00FD04C8"/>
    <w:rsid w:val="00FD0659"/>
    <w:rsid w:val="00FD0AB2"/>
    <w:rsid w:val="00FD0E30"/>
    <w:rsid w:val="00FD140B"/>
    <w:rsid w:val="00FD1450"/>
    <w:rsid w:val="00FD188C"/>
    <w:rsid w:val="00FD1E6A"/>
    <w:rsid w:val="00FD235C"/>
    <w:rsid w:val="00FD2541"/>
    <w:rsid w:val="00FD2743"/>
    <w:rsid w:val="00FD2A76"/>
    <w:rsid w:val="00FD2B4F"/>
    <w:rsid w:val="00FD3414"/>
    <w:rsid w:val="00FD36BC"/>
    <w:rsid w:val="00FD4040"/>
    <w:rsid w:val="00FD414C"/>
    <w:rsid w:val="00FD423B"/>
    <w:rsid w:val="00FD4395"/>
    <w:rsid w:val="00FD441E"/>
    <w:rsid w:val="00FD44D4"/>
    <w:rsid w:val="00FD4A4B"/>
    <w:rsid w:val="00FD4C57"/>
    <w:rsid w:val="00FD4E3F"/>
    <w:rsid w:val="00FD4F72"/>
    <w:rsid w:val="00FD5264"/>
    <w:rsid w:val="00FD54EF"/>
    <w:rsid w:val="00FD56D4"/>
    <w:rsid w:val="00FD5CFF"/>
    <w:rsid w:val="00FD616E"/>
    <w:rsid w:val="00FD663E"/>
    <w:rsid w:val="00FD66F0"/>
    <w:rsid w:val="00FD69F0"/>
    <w:rsid w:val="00FD6BB4"/>
    <w:rsid w:val="00FD6C51"/>
    <w:rsid w:val="00FD6E26"/>
    <w:rsid w:val="00FD73D7"/>
    <w:rsid w:val="00FD76DD"/>
    <w:rsid w:val="00FD77F7"/>
    <w:rsid w:val="00FD798C"/>
    <w:rsid w:val="00FD7B72"/>
    <w:rsid w:val="00FE0A23"/>
    <w:rsid w:val="00FE0B47"/>
    <w:rsid w:val="00FE0E41"/>
    <w:rsid w:val="00FE0E53"/>
    <w:rsid w:val="00FE1456"/>
    <w:rsid w:val="00FE1473"/>
    <w:rsid w:val="00FE16F8"/>
    <w:rsid w:val="00FE1B59"/>
    <w:rsid w:val="00FE1FB0"/>
    <w:rsid w:val="00FE20C1"/>
    <w:rsid w:val="00FE22BB"/>
    <w:rsid w:val="00FE279F"/>
    <w:rsid w:val="00FE2961"/>
    <w:rsid w:val="00FE3389"/>
    <w:rsid w:val="00FE384E"/>
    <w:rsid w:val="00FE3A2E"/>
    <w:rsid w:val="00FE3A97"/>
    <w:rsid w:val="00FE41BB"/>
    <w:rsid w:val="00FE46F6"/>
    <w:rsid w:val="00FE48F6"/>
    <w:rsid w:val="00FE4EB7"/>
    <w:rsid w:val="00FE59E7"/>
    <w:rsid w:val="00FE5A00"/>
    <w:rsid w:val="00FE5B72"/>
    <w:rsid w:val="00FE5E3E"/>
    <w:rsid w:val="00FE60AB"/>
    <w:rsid w:val="00FE6C2A"/>
    <w:rsid w:val="00FE6D65"/>
    <w:rsid w:val="00FE6E40"/>
    <w:rsid w:val="00FE7CB4"/>
    <w:rsid w:val="00FF01A8"/>
    <w:rsid w:val="00FF02B6"/>
    <w:rsid w:val="00FF0388"/>
    <w:rsid w:val="00FF04D3"/>
    <w:rsid w:val="00FF056F"/>
    <w:rsid w:val="00FF06F4"/>
    <w:rsid w:val="00FF0A62"/>
    <w:rsid w:val="00FF0BFF"/>
    <w:rsid w:val="00FF1110"/>
    <w:rsid w:val="00FF11A9"/>
    <w:rsid w:val="00FF11C1"/>
    <w:rsid w:val="00FF1A7F"/>
    <w:rsid w:val="00FF1AB2"/>
    <w:rsid w:val="00FF1E41"/>
    <w:rsid w:val="00FF25EE"/>
    <w:rsid w:val="00FF2C88"/>
    <w:rsid w:val="00FF2F81"/>
    <w:rsid w:val="00FF2FF9"/>
    <w:rsid w:val="00FF3222"/>
    <w:rsid w:val="00FF362B"/>
    <w:rsid w:val="00FF37ED"/>
    <w:rsid w:val="00FF380F"/>
    <w:rsid w:val="00FF39C1"/>
    <w:rsid w:val="00FF3B06"/>
    <w:rsid w:val="00FF3CAE"/>
    <w:rsid w:val="00FF40EE"/>
    <w:rsid w:val="00FF417A"/>
    <w:rsid w:val="00FF4534"/>
    <w:rsid w:val="00FF4666"/>
    <w:rsid w:val="00FF4699"/>
    <w:rsid w:val="00FF53CF"/>
    <w:rsid w:val="00FF57DC"/>
    <w:rsid w:val="00FF5889"/>
    <w:rsid w:val="00FF5FD1"/>
    <w:rsid w:val="00FF67E2"/>
    <w:rsid w:val="00FF69D6"/>
    <w:rsid w:val="00FF6AC8"/>
    <w:rsid w:val="00FF6F3F"/>
    <w:rsid w:val="00FF785A"/>
    <w:rsid w:val="00FF788E"/>
    <w:rsid w:val="00FF789A"/>
    <w:rsid w:val="00FF7D31"/>
    <w:rsid w:val="00FF7EA7"/>
    <w:rsid w:val="01C744FB"/>
    <w:rsid w:val="01D729BC"/>
    <w:rsid w:val="03047A3D"/>
    <w:rsid w:val="043A02F1"/>
    <w:rsid w:val="046B2645"/>
    <w:rsid w:val="04834BDB"/>
    <w:rsid w:val="04BB57D2"/>
    <w:rsid w:val="05A32534"/>
    <w:rsid w:val="05F23168"/>
    <w:rsid w:val="05F422CE"/>
    <w:rsid w:val="064707DC"/>
    <w:rsid w:val="06CF1E14"/>
    <w:rsid w:val="0792330B"/>
    <w:rsid w:val="07B43F9D"/>
    <w:rsid w:val="08DE02B0"/>
    <w:rsid w:val="0934011A"/>
    <w:rsid w:val="0967065C"/>
    <w:rsid w:val="09A34B25"/>
    <w:rsid w:val="09A94910"/>
    <w:rsid w:val="0C071F6A"/>
    <w:rsid w:val="0C2B399A"/>
    <w:rsid w:val="0C327D88"/>
    <w:rsid w:val="0C7532D8"/>
    <w:rsid w:val="0C9D57BC"/>
    <w:rsid w:val="0D3E4D30"/>
    <w:rsid w:val="0D673377"/>
    <w:rsid w:val="0DB55885"/>
    <w:rsid w:val="0F2620B9"/>
    <w:rsid w:val="0F782BBE"/>
    <w:rsid w:val="1093654A"/>
    <w:rsid w:val="122F73E9"/>
    <w:rsid w:val="1291349B"/>
    <w:rsid w:val="12DF400C"/>
    <w:rsid w:val="13CB16BA"/>
    <w:rsid w:val="13D66C2F"/>
    <w:rsid w:val="13E6764F"/>
    <w:rsid w:val="140245BA"/>
    <w:rsid w:val="14262E9B"/>
    <w:rsid w:val="14567C3B"/>
    <w:rsid w:val="14884DE5"/>
    <w:rsid w:val="15500779"/>
    <w:rsid w:val="15B337F0"/>
    <w:rsid w:val="162A19EE"/>
    <w:rsid w:val="16575450"/>
    <w:rsid w:val="17D34B0F"/>
    <w:rsid w:val="183876B2"/>
    <w:rsid w:val="18543472"/>
    <w:rsid w:val="188411C6"/>
    <w:rsid w:val="189C1DD2"/>
    <w:rsid w:val="190A5713"/>
    <w:rsid w:val="19D20427"/>
    <w:rsid w:val="1A6E2D5A"/>
    <w:rsid w:val="1A7C483B"/>
    <w:rsid w:val="1A7F0EDB"/>
    <w:rsid w:val="1B151E3B"/>
    <w:rsid w:val="1B6426B6"/>
    <w:rsid w:val="1B735206"/>
    <w:rsid w:val="1BB96B0B"/>
    <w:rsid w:val="1C26410A"/>
    <w:rsid w:val="1D5F4744"/>
    <w:rsid w:val="1D6A546A"/>
    <w:rsid w:val="1D903ED1"/>
    <w:rsid w:val="1DA158BF"/>
    <w:rsid w:val="1DAF4382"/>
    <w:rsid w:val="1DC110DE"/>
    <w:rsid w:val="1E0E0281"/>
    <w:rsid w:val="1E517101"/>
    <w:rsid w:val="1E844661"/>
    <w:rsid w:val="1F0D583C"/>
    <w:rsid w:val="1F3C3042"/>
    <w:rsid w:val="1F8406B2"/>
    <w:rsid w:val="1FE13F2A"/>
    <w:rsid w:val="20041E1F"/>
    <w:rsid w:val="20177E05"/>
    <w:rsid w:val="202408C8"/>
    <w:rsid w:val="20543C29"/>
    <w:rsid w:val="20731E4B"/>
    <w:rsid w:val="20E25803"/>
    <w:rsid w:val="21290529"/>
    <w:rsid w:val="21627CA0"/>
    <w:rsid w:val="21931A8D"/>
    <w:rsid w:val="24482303"/>
    <w:rsid w:val="24B01FB8"/>
    <w:rsid w:val="254F474C"/>
    <w:rsid w:val="259E3E4E"/>
    <w:rsid w:val="26032A37"/>
    <w:rsid w:val="27544493"/>
    <w:rsid w:val="27837F3C"/>
    <w:rsid w:val="27D520BB"/>
    <w:rsid w:val="28850690"/>
    <w:rsid w:val="288F2237"/>
    <w:rsid w:val="29342737"/>
    <w:rsid w:val="29B73C7D"/>
    <w:rsid w:val="29CB5955"/>
    <w:rsid w:val="2ACD6DE1"/>
    <w:rsid w:val="2AD82E5B"/>
    <w:rsid w:val="2B11316A"/>
    <w:rsid w:val="2B3227F6"/>
    <w:rsid w:val="2B8F662E"/>
    <w:rsid w:val="2C0F2687"/>
    <w:rsid w:val="2C666A32"/>
    <w:rsid w:val="2C9B143C"/>
    <w:rsid w:val="2CE470CE"/>
    <w:rsid w:val="2CE809F6"/>
    <w:rsid w:val="2CFD0D44"/>
    <w:rsid w:val="2CFE553E"/>
    <w:rsid w:val="2D013765"/>
    <w:rsid w:val="2D4A40D0"/>
    <w:rsid w:val="2D944A0E"/>
    <w:rsid w:val="2DBE3B18"/>
    <w:rsid w:val="2E0332DC"/>
    <w:rsid w:val="2E195826"/>
    <w:rsid w:val="2ECB1FD9"/>
    <w:rsid w:val="2F037766"/>
    <w:rsid w:val="2F582810"/>
    <w:rsid w:val="2F685DDF"/>
    <w:rsid w:val="30FB582D"/>
    <w:rsid w:val="31076247"/>
    <w:rsid w:val="318C16A1"/>
    <w:rsid w:val="31F85EE4"/>
    <w:rsid w:val="32542AEE"/>
    <w:rsid w:val="330841C6"/>
    <w:rsid w:val="33853A31"/>
    <w:rsid w:val="34103577"/>
    <w:rsid w:val="3473581A"/>
    <w:rsid w:val="34846D36"/>
    <w:rsid w:val="357D5D02"/>
    <w:rsid w:val="35C3090F"/>
    <w:rsid w:val="35D54EBF"/>
    <w:rsid w:val="360040A7"/>
    <w:rsid w:val="364812B2"/>
    <w:rsid w:val="36AF4FC1"/>
    <w:rsid w:val="37AB7213"/>
    <w:rsid w:val="37CA386F"/>
    <w:rsid w:val="387F6235"/>
    <w:rsid w:val="389C00F5"/>
    <w:rsid w:val="38B82F9B"/>
    <w:rsid w:val="38FB4BE4"/>
    <w:rsid w:val="39104BFE"/>
    <w:rsid w:val="396F3CF7"/>
    <w:rsid w:val="3ABD0407"/>
    <w:rsid w:val="3AD5422E"/>
    <w:rsid w:val="3B214BA5"/>
    <w:rsid w:val="3B2A482B"/>
    <w:rsid w:val="3B4029C5"/>
    <w:rsid w:val="3D1E6BC1"/>
    <w:rsid w:val="3D7A4A98"/>
    <w:rsid w:val="3DAA2374"/>
    <w:rsid w:val="3DFB59FA"/>
    <w:rsid w:val="3E6068E3"/>
    <w:rsid w:val="3E9139F5"/>
    <w:rsid w:val="3EA220B7"/>
    <w:rsid w:val="3ED15DE8"/>
    <w:rsid w:val="3ED65B06"/>
    <w:rsid w:val="3EF63EA7"/>
    <w:rsid w:val="3FB82CF1"/>
    <w:rsid w:val="3FFF70FD"/>
    <w:rsid w:val="40D47A68"/>
    <w:rsid w:val="414C3D8F"/>
    <w:rsid w:val="41E54E2D"/>
    <w:rsid w:val="4204145F"/>
    <w:rsid w:val="424A6CBB"/>
    <w:rsid w:val="425E7A41"/>
    <w:rsid w:val="42997C83"/>
    <w:rsid w:val="42D4312C"/>
    <w:rsid w:val="42FC58F3"/>
    <w:rsid w:val="433B59DD"/>
    <w:rsid w:val="4368360B"/>
    <w:rsid w:val="436F6500"/>
    <w:rsid w:val="439632AB"/>
    <w:rsid w:val="43AB6F92"/>
    <w:rsid w:val="44D35D7A"/>
    <w:rsid w:val="45685A40"/>
    <w:rsid w:val="45DD77E0"/>
    <w:rsid w:val="46ED2D97"/>
    <w:rsid w:val="47561424"/>
    <w:rsid w:val="475C2739"/>
    <w:rsid w:val="477A01E7"/>
    <w:rsid w:val="48082EDE"/>
    <w:rsid w:val="486243BD"/>
    <w:rsid w:val="49645EA4"/>
    <w:rsid w:val="49BD07AB"/>
    <w:rsid w:val="49C3027E"/>
    <w:rsid w:val="49F31058"/>
    <w:rsid w:val="4A0D4587"/>
    <w:rsid w:val="4A4E157F"/>
    <w:rsid w:val="4AFB7766"/>
    <w:rsid w:val="4B803FF2"/>
    <w:rsid w:val="4B88324B"/>
    <w:rsid w:val="4B9F3E1E"/>
    <w:rsid w:val="4C0717FA"/>
    <w:rsid w:val="4C373750"/>
    <w:rsid w:val="4C4A4F89"/>
    <w:rsid w:val="4C997D33"/>
    <w:rsid w:val="4D933ABC"/>
    <w:rsid w:val="4E53712E"/>
    <w:rsid w:val="4EB35B1E"/>
    <w:rsid w:val="4EEC5633"/>
    <w:rsid w:val="50614EFA"/>
    <w:rsid w:val="507E0D7E"/>
    <w:rsid w:val="50B44CB7"/>
    <w:rsid w:val="512305E9"/>
    <w:rsid w:val="514679CE"/>
    <w:rsid w:val="516E3AF7"/>
    <w:rsid w:val="519A79F1"/>
    <w:rsid w:val="52930B4C"/>
    <w:rsid w:val="52C051D0"/>
    <w:rsid w:val="52DB441E"/>
    <w:rsid w:val="53F10DC5"/>
    <w:rsid w:val="545B61E1"/>
    <w:rsid w:val="551D6DF3"/>
    <w:rsid w:val="556A5E94"/>
    <w:rsid w:val="55C03A36"/>
    <w:rsid w:val="56D36288"/>
    <w:rsid w:val="5732471A"/>
    <w:rsid w:val="57935F52"/>
    <w:rsid w:val="58090EFA"/>
    <w:rsid w:val="59940BF4"/>
    <w:rsid w:val="5A7A4BA2"/>
    <w:rsid w:val="5AB42F95"/>
    <w:rsid w:val="5AD969C9"/>
    <w:rsid w:val="5B38308B"/>
    <w:rsid w:val="5B5248A7"/>
    <w:rsid w:val="5B626577"/>
    <w:rsid w:val="5BD27DC0"/>
    <w:rsid w:val="5C512F00"/>
    <w:rsid w:val="5C5D6D31"/>
    <w:rsid w:val="5DC57BAA"/>
    <w:rsid w:val="5DFF134F"/>
    <w:rsid w:val="5E6C1828"/>
    <w:rsid w:val="5F2130CD"/>
    <w:rsid w:val="5F3F14EC"/>
    <w:rsid w:val="5F404798"/>
    <w:rsid w:val="6077218F"/>
    <w:rsid w:val="617C7E1F"/>
    <w:rsid w:val="618F6342"/>
    <w:rsid w:val="6212205B"/>
    <w:rsid w:val="62314C4A"/>
    <w:rsid w:val="628D4A6B"/>
    <w:rsid w:val="62AF0536"/>
    <w:rsid w:val="62B5601A"/>
    <w:rsid w:val="62D3210C"/>
    <w:rsid w:val="632B3E3B"/>
    <w:rsid w:val="64483A8D"/>
    <w:rsid w:val="64496497"/>
    <w:rsid w:val="64572FB3"/>
    <w:rsid w:val="656E53B8"/>
    <w:rsid w:val="65F968B3"/>
    <w:rsid w:val="66A24510"/>
    <w:rsid w:val="66A56139"/>
    <w:rsid w:val="670138D6"/>
    <w:rsid w:val="676A6D8E"/>
    <w:rsid w:val="68E513C7"/>
    <w:rsid w:val="698605AD"/>
    <w:rsid w:val="69CE55F1"/>
    <w:rsid w:val="6A5035FF"/>
    <w:rsid w:val="6B1C39A5"/>
    <w:rsid w:val="6B1F73A6"/>
    <w:rsid w:val="6B5E1DC2"/>
    <w:rsid w:val="6BDC6647"/>
    <w:rsid w:val="6BE50A7F"/>
    <w:rsid w:val="6BF45641"/>
    <w:rsid w:val="6C0744E5"/>
    <w:rsid w:val="6CA22154"/>
    <w:rsid w:val="6CC243FB"/>
    <w:rsid w:val="6D2B2741"/>
    <w:rsid w:val="6DC70AEA"/>
    <w:rsid w:val="6E09067B"/>
    <w:rsid w:val="6E46330A"/>
    <w:rsid w:val="6E9F158A"/>
    <w:rsid w:val="6FD91A93"/>
    <w:rsid w:val="70215920"/>
    <w:rsid w:val="70696FE2"/>
    <w:rsid w:val="70BD76D8"/>
    <w:rsid w:val="71432F65"/>
    <w:rsid w:val="715158E7"/>
    <w:rsid w:val="71A710AE"/>
    <w:rsid w:val="720C59BF"/>
    <w:rsid w:val="724F1E75"/>
    <w:rsid w:val="728551CE"/>
    <w:rsid w:val="72AF6454"/>
    <w:rsid w:val="7338362D"/>
    <w:rsid w:val="73674D66"/>
    <w:rsid w:val="74696ABF"/>
    <w:rsid w:val="74F360F8"/>
    <w:rsid w:val="75753CAB"/>
    <w:rsid w:val="75E256E2"/>
    <w:rsid w:val="76312623"/>
    <w:rsid w:val="770F128B"/>
    <w:rsid w:val="776677F4"/>
    <w:rsid w:val="778D675C"/>
    <w:rsid w:val="77F57277"/>
    <w:rsid w:val="789833E9"/>
    <w:rsid w:val="78E64141"/>
    <w:rsid w:val="79560443"/>
    <w:rsid w:val="796340B4"/>
    <w:rsid w:val="79A45728"/>
    <w:rsid w:val="79B0711C"/>
    <w:rsid w:val="7AB83CCD"/>
    <w:rsid w:val="7ABA3EDB"/>
    <w:rsid w:val="7C221F5E"/>
    <w:rsid w:val="7C662638"/>
    <w:rsid w:val="7D427CBF"/>
    <w:rsid w:val="7D912F38"/>
    <w:rsid w:val="7DCD2E99"/>
    <w:rsid w:val="7DE03016"/>
    <w:rsid w:val="7DF324DD"/>
    <w:rsid w:val="7DF4538C"/>
    <w:rsid w:val="7E6B1533"/>
    <w:rsid w:val="7EC84E35"/>
    <w:rsid w:val="7F163E16"/>
    <w:rsid w:val="7FA02F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03FC51E"/>
  <w15:chartTrackingRefBased/>
  <w15:docId w15:val="{49B00510-96E8-4B56-94AA-05457F6B6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semiHidden="1"/>
    <w:lsdException w:name="toc 4" w:semiHidden="1"/>
    <w:lsdException w:name="toc 5" w:semiHidden="1"/>
    <w:lsdException w:name="toc 6" w:semiHidden="1"/>
    <w:lsdException w:name="toc 8" w:semiHidden="1"/>
    <w:lsdException w:name="Normal Indent" w:uiPriority="99"/>
    <w:lsdException w:name="annotation text" w:qFormat="1"/>
    <w:lsdException w:name="header" w:uiPriority="99"/>
    <w:lsdException w:name="footer" w:uiPriority="99"/>
    <w:lsdException w:name="caption" w:semiHidden="1" w:unhideWhenUsed="1" w:qFormat="1"/>
    <w:lsdException w:name="annotation reference" w:uiPriority="99" w:qFormat="1"/>
    <w:lsdException w:name="page number" w:qFormat="1"/>
    <w:lsdException w:name="Title" w:qFormat="1"/>
    <w:lsdException w:name="Default Paragraph Font" w:uiPriority="1" w:unhideWhenUsed="1"/>
    <w:lsdException w:name="Subtitle" w:qFormat="1"/>
    <w:lsdException w:name="Body Text Indent 2" w:qFormat="1"/>
    <w:lsdException w:name="Hyperlink" w:uiPriority="99"/>
    <w:lsdException w:name="Strong" w:qFormat="1"/>
    <w:lsdException w:name="Emphasis" w:qFormat="1"/>
    <w:lsdException w:name="Document Map" w:qFormat="1"/>
    <w:lsdException w:name="HTML Top of Form" w:semiHidden="1" w:uiPriority="99" w:unhideWhenUsed="1"/>
    <w:lsdException w:name="HTML Bottom of Form" w:semiHidden="1" w:uiPriority="99" w:unhideWhenUsed="1"/>
    <w:lsdException w:name="Normal (Web)" w:uiPriority="99" w:qFormat="1"/>
    <w:lsdException w:name="HTML Preformatted" w:semiHidden="1" w:uiPriority="99" w:unhideWhenUsed="1"/>
    <w:lsdException w:name="Normal Table" w:semiHidden="1" w:uiPriority="99" w:unhideWhenUsed="1" w:qFormat="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qFormat/>
    <w:pPr>
      <w:keepNext/>
      <w:keepLines/>
      <w:spacing w:before="260" w:after="260" w:line="416" w:lineRule="auto"/>
      <w:outlineLvl w:val="2"/>
    </w:pPr>
    <w:rPr>
      <w:b/>
      <w:bCs/>
      <w:sz w:val="32"/>
      <w:szCs w:val="32"/>
    </w:rPr>
  </w:style>
  <w:style w:type="paragraph" w:styleId="4">
    <w:name w:val="heading 4"/>
    <w:basedOn w:val="a"/>
    <w:next w:val="a0"/>
    <w:qFormat/>
    <w:pPr>
      <w:adjustRightInd w:val="0"/>
      <w:spacing w:before="60" w:after="40" w:line="288" w:lineRule="auto"/>
      <w:textAlignment w:val="baseline"/>
      <w:outlineLvl w:val="3"/>
    </w:pPr>
    <w:rPr>
      <w:kern w:val="0"/>
      <w:sz w:val="28"/>
      <w:szCs w:val="28"/>
    </w:rPr>
  </w:style>
  <w:style w:type="paragraph" w:styleId="5">
    <w:name w:val="heading 5"/>
    <w:basedOn w:val="a"/>
    <w:next w:val="a0"/>
    <w:qFormat/>
    <w:pPr>
      <w:adjustRightInd w:val="0"/>
      <w:spacing w:before="40" w:after="20" w:line="288" w:lineRule="auto"/>
      <w:textAlignment w:val="baseline"/>
      <w:outlineLvl w:val="4"/>
    </w:pPr>
    <w:rPr>
      <w:kern w:val="0"/>
      <w:sz w:val="28"/>
      <w:szCs w:val="28"/>
    </w:rPr>
  </w:style>
  <w:style w:type="paragraph" w:styleId="6">
    <w:name w:val="heading 6"/>
    <w:basedOn w:val="a"/>
    <w:next w:val="a0"/>
    <w:qFormat/>
    <w:pPr>
      <w:keepNext/>
      <w:keepLines/>
      <w:adjustRightInd w:val="0"/>
      <w:spacing w:before="240" w:after="64" w:line="320" w:lineRule="auto"/>
      <w:textAlignment w:val="baseline"/>
      <w:outlineLvl w:val="5"/>
    </w:pPr>
    <w:rPr>
      <w:rFonts w:ascii="Arial" w:eastAsia="黑体" w:hAnsi="Arial"/>
      <w:b/>
      <w:bCs/>
      <w:kern w:val="0"/>
      <w:sz w:val="24"/>
    </w:rPr>
  </w:style>
  <w:style w:type="paragraph" w:styleId="7">
    <w:name w:val="heading 7"/>
    <w:basedOn w:val="a"/>
    <w:next w:val="a0"/>
    <w:qFormat/>
    <w:pPr>
      <w:keepNext/>
      <w:keepLines/>
      <w:adjustRightInd w:val="0"/>
      <w:spacing w:before="240" w:after="64" w:line="320" w:lineRule="auto"/>
      <w:textAlignment w:val="baseline"/>
      <w:outlineLvl w:val="6"/>
    </w:pPr>
    <w:rPr>
      <w:rFonts w:ascii="宋体"/>
      <w:b/>
      <w:bCs/>
      <w:kern w:val="0"/>
      <w:sz w:val="24"/>
    </w:rPr>
  </w:style>
  <w:style w:type="paragraph" w:styleId="8">
    <w:name w:val="heading 8"/>
    <w:basedOn w:val="a"/>
    <w:next w:val="a0"/>
    <w:qFormat/>
    <w:pPr>
      <w:keepNext/>
      <w:keepLines/>
      <w:adjustRightInd w:val="0"/>
      <w:spacing w:before="240" w:after="64" w:line="320" w:lineRule="auto"/>
      <w:textAlignment w:val="baseline"/>
      <w:outlineLvl w:val="7"/>
    </w:pPr>
    <w:rPr>
      <w:rFonts w:ascii="Arial" w:eastAsia="黑体" w:hAnsi="Arial"/>
      <w:kern w:val="0"/>
      <w:sz w:val="24"/>
    </w:rPr>
  </w:style>
  <w:style w:type="paragraph" w:styleId="9">
    <w:name w:val="heading 9"/>
    <w:basedOn w:val="a"/>
    <w:next w:val="a0"/>
    <w:qFormat/>
    <w:pPr>
      <w:keepNext/>
      <w:keepLines/>
      <w:adjustRightInd w:val="0"/>
      <w:spacing w:before="240" w:after="64" w:line="320" w:lineRule="auto"/>
      <w:textAlignment w:val="baseline"/>
      <w:outlineLvl w:val="8"/>
    </w:pPr>
    <w:rPr>
      <w:rFonts w:ascii="Arial" w:eastAsia="黑体" w:hAnsi="Arial"/>
      <w:kern w:val="0"/>
      <w:szCs w:val="21"/>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Pr>
      <w:color w:val="0000FF"/>
      <w:u w:val="single"/>
    </w:rPr>
  </w:style>
  <w:style w:type="character" w:customStyle="1" w:styleId="read">
    <w:name w:val="read"/>
    <w:basedOn w:val="a1"/>
  </w:style>
  <w:style w:type="character" w:styleId="a5">
    <w:name w:val="Strong"/>
    <w:qFormat/>
    <w:rPr>
      <w:b/>
      <w:bCs/>
    </w:rPr>
  </w:style>
  <w:style w:type="character" w:customStyle="1" w:styleId="a6">
    <w:name w:val="纯文本 字符"/>
    <w:link w:val="a7"/>
    <w:rPr>
      <w:rFonts w:ascii="宋体" w:eastAsia="宋体" w:hAnsi="Courier New"/>
      <w:kern w:val="2"/>
      <w:sz w:val="21"/>
      <w:szCs w:val="21"/>
      <w:lang w:val="en-US" w:eastAsia="zh-CN" w:bidi="ar-SA"/>
    </w:rPr>
  </w:style>
  <w:style w:type="character" w:styleId="a8">
    <w:name w:val="page number"/>
    <w:basedOn w:val="a1"/>
    <w:qFormat/>
  </w:style>
  <w:style w:type="character" w:customStyle="1" w:styleId="txtcontent11">
    <w:name w:val="txtcontent11"/>
    <w:rPr>
      <w:rFonts w:hint="default"/>
      <w:b w:val="0"/>
      <w:bCs w:val="0"/>
      <w:color w:val="000000"/>
      <w:spacing w:val="326"/>
      <w:sz w:val="19"/>
      <w:szCs w:val="19"/>
    </w:rPr>
  </w:style>
  <w:style w:type="character" w:styleId="a9">
    <w:name w:val="FollowedHyperlink"/>
    <w:rPr>
      <w:color w:val="800080"/>
      <w:u w:val="single"/>
    </w:rPr>
  </w:style>
  <w:style w:type="character" w:customStyle="1" w:styleId="aa">
    <w:name w:val="批注文字 字符"/>
    <w:link w:val="ab"/>
    <w:qFormat/>
    <w:rPr>
      <w:kern w:val="2"/>
      <w:sz w:val="21"/>
      <w:szCs w:val="24"/>
    </w:rPr>
  </w:style>
  <w:style w:type="character" w:customStyle="1" w:styleId="apple-style-span">
    <w:name w:val="apple-style-span"/>
    <w:basedOn w:val="a1"/>
  </w:style>
  <w:style w:type="character" w:customStyle="1" w:styleId="21">
    <w:name w:val="正文文本缩进 2 字符1"/>
    <w:link w:val="20"/>
    <w:qFormat/>
    <w:rPr>
      <w:rFonts w:ascii="宋体" w:hAnsi="宋体"/>
      <w:kern w:val="2"/>
      <w:sz w:val="21"/>
    </w:rPr>
  </w:style>
  <w:style w:type="character" w:styleId="HTML">
    <w:name w:val="HTML Typewriter"/>
    <w:rPr>
      <w:rFonts w:ascii="Arial Unicode MS" w:eastAsia="Courier New" w:hAnsi="Arial Unicode MS" w:cs="Courier New"/>
      <w:sz w:val="20"/>
      <w:szCs w:val="20"/>
    </w:rPr>
  </w:style>
  <w:style w:type="character" w:customStyle="1" w:styleId="unnamed11">
    <w:name w:val="unnamed11"/>
    <w:rPr>
      <w:rFonts w:ascii="宋体" w:eastAsia="宋体" w:hAnsi="宋体" w:hint="eastAsia"/>
      <w:sz w:val="18"/>
      <w:szCs w:val="18"/>
    </w:rPr>
  </w:style>
  <w:style w:type="character" w:customStyle="1" w:styleId="Char1">
    <w:name w:val="页脚 Char1"/>
    <w:rPr>
      <w:rFonts w:ascii="Calibri" w:hAnsi="Calibri" w:cs="Calibri" w:hint="default"/>
      <w:kern w:val="2"/>
      <w:sz w:val="18"/>
      <w:szCs w:val="18"/>
    </w:rPr>
  </w:style>
  <w:style w:type="character" w:customStyle="1" w:styleId="tt11">
    <w:name w:val="tt11"/>
    <w:rPr>
      <w:rFonts w:ascii="宋体" w:eastAsia="宋体"/>
      <w:color w:val="000000"/>
    </w:rPr>
  </w:style>
  <w:style w:type="character" w:customStyle="1" w:styleId="ac">
    <w:name w:val="页眉 字符"/>
    <w:link w:val="ad"/>
    <w:uiPriority w:val="99"/>
    <w:rPr>
      <w:kern w:val="2"/>
      <w:sz w:val="18"/>
      <w:szCs w:val="18"/>
    </w:rPr>
  </w:style>
  <w:style w:type="character" w:customStyle="1" w:styleId="style2">
    <w:name w:val="style2"/>
    <w:basedOn w:val="a1"/>
  </w:style>
  <w:style w:type="character" w:styleId="ae">
    <w:name w:val="annotation reference"/>
    <w:uiPriority w:val="99"/>
    <w:qFormat/>
    <w:rPr>
      <w:sz w:val="21"/>
      <w:szCs w:val="21"/>
    </w:rPr>
  </w:style>
  <w:style w:type="character" w:customStyle="1" w:styleId="Char">
    <w:name w:val="合同标题一一 Char"/>
    <w:rPr>
      <w:rFonts w:ascii="宋体" w:eastAsia="宋体" w:hAnsi="宋体"/>
      <w:b/>
      <w:kern w:val="44"/>
      <w:sz w:val="24"/>
      <w:szCs w:val="24"/>
      <w:lang w:val="en-US" w:eastAsia="zh-CN" w:bidi="ar-SA"/>
    </w:rPr>
  </w:style>
  <w:style w:type="character" w:customStyle="1" w:styleId="HTML1">
    <w:name w:val="HTML 预设格式 字符1"/>
    <w:link w:val="HTML0"/>
    <w:uiPriority w:val="99"/>
    <w:rPr>
      <w:rFonts w:ascii="宋体" w:hAnsi="宋体"/>
      <w:color w:val="000000"/>
      <w:sz w:val="24"/>
    </w:rPr>
  </w:style>
  <w:style w:type="character" w:customStyle="1" w:styleId="p3">
    <w:name w:val="p3"/>
    <w:basedOn w:val="a1"/>
    <w:qFormat/>
  </w:style>
  <w:style w:type="character" w:customStyle="1" w:styleId="af">
    <w:name w:val="批注框文本 字符"/>
    <w:link w:val="af0"/>
    <w:uiPriority w:val="99"/>
    <w:semiHidden/>
    <w:rPr>
      <w:kern w:val="2"/>
      <w:sz w:val="18"/>
      <w:szCs w:val="18"/>
    </w:rPr>
  </w:style>
  <w:style w:type="character" w:customStyle="1" w:styleId="af1">
    <w:name w:val="页脚 字符"/>
    <w:link w:val="af2"/>
    <w:uiPriority w:val="99"/>
    <w:rPr>
      <w:kern w:val="2"/>
      <w:sz w:val="18"/>
      <w:szCs w:val="18"/>
    </w:rPr>
  </w:style>
  <w:style w:type="paragraph" w:customStyle="1" w:styleId="080318">
    <w:name w:val="产品方案正文080318"/>
    <w:basedOn w:val="222"/>
    <w:qFormat/>
    <w:pPr>
      <w:ind w:firstLine="200"/>
    </w:pPr>
    <w:rPr>
      <w:rFonts w:ascii="宋体" w:eastAsia="宋体"/>
      <w:sz w:val="21"/>
    </w:rPr>
  </w:style>
  <w:style w:type="paragraph" w:customStyle="1" w:styleId="xl33">
    <w:name w:val="xl33"/>
    <w:basedOn w:val="a"/>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CM2">
    <w:name w:val="CM2"/>
    <w:basedOn w:val="a"/>
    <w:next w:val="a"/>
    <w:pPr>
      <w:autoSpaceDE w:val="0"/>
      <w:autoSpaceDN w:val="0"/>
      <w:adjustRightInd w:val="0"/>
      <w:spacing w:line="471" w:lineRule="atLeast"/>
      <w:jc w:val="left"/>
    </w:pPr>
    <w:rPr>
      <w:rFonts w:ascii="黑体" w:eastAsia="黑体" w:cs="黑体"/>
      <w:kern w:val="0"/>
      <w:sz w:val="24"/>
    </w:rPr>
  </w:style>
  <w:style w:type="paragraph" w:styleId="af3">
    <w:name w:val="Body Text Indent"/>
    <w:basedOn w:val="a"/>
    <w:pPr>
      <w:spacing w:line="400" w:lineRule="exact"/>
      <w:ind w:firstLineChars="192" w:firstLine="538"/>
    </w:pPr>
    <w:rPr>
      <w:rFonts w:ascii="仿宋_GB2312" w:eastAsia="仿宋_GB2312" w:hAnsi="宋体"/>
      <w:color w:val="000000"/>
      <w:sz w:val="28"/>
    </w:rPr>
  </w:style>
  <w:style w:type="paragraph" w:styleId="af4">
    <w:name w:val="Document Map"/>
    <w:basedOn w:val="a"/>
    <w:qFormat/>
    <w:pPr>
      <w:shd w:val="clear" w:color="auto" w:fill="000080"/>
    </w:pPr>
  </w:style>
  <w:style w:type="paragraph" w:customStyle="1" w:styleId="XBRLTitle1">
    <w:name w:val="XBRLTitle1"/>
    <w:basedOn w:val="1"/>
    <w:next w:val="2"/>
    <w:qFormat/>
    <w:pPr>
      <w:keepNext w:val="0"/>
      <w:numPr>
        <w:numId w:val="1"/>
      </w:numPr>
      <w:tabs>
        <w:tab w:val="left" w:pos="1941"/>
      </w:tabs>
      <w:spacing w:beforeLines="50" w:before="0" w:after="0"/>
      <w:jc w:val="left"/>
    </w:pPr>
    <w:rPr>
      <w:rFonts w:ascii="宋体" w:hAnsi="Cambria" w:cs="宋体"/>
      <w:kern w:val="44"/>
      <w:sz w:val="21"/>
    </w:rPr>
  </w:style>
  <w:style w:type="paragraph" w:customStyle="1" w:styleId="af5">
    <w:name w:val="正文所"/>
    <w:basedOn w:val="a"/>
    <w:pPr>
      <w:spacing w:line="360" w:lineRule="auto"/>
      <w:ind w:firstLineChars="200" w:firstLine="420"/>
    </w:pPr>
  </w:style>
  <w:style w:type="paragraph" w:customStyle="1" w:styleId="af6">
    <w:name w:val="产品二级小标题"/>
    <w:basedOn w:val="080318"/>
    <w:pPr>
      <w:ind w:firstLine="422"/>
    </w:pPr>
    <w:rPr>
      <w:b/>
      <w:bCs/>
    </w:rPr>
  </w:style>
  <w:style w:type="paragraph" w:styleId="af7">
    <w:name w:val="List Paragraph"/>
    <w:basedOn w:val="a"/>
    <w:uiPriority w:val="34"/>
    <w:qFormat/>
    <w:pPr>
      <w:ind w:firstLineChars="200" w:firstLine="420"/>
    </w:pPr>
  </w:style>
  <w:style w:type="paragraph" w:styleId="a7">
    <w:name w:val="Plain Text"/>
    <w:basedOn w:val="a"/>
    <w:link w:val="a6"/>
    <w:rPr>
      <w:rFonts w:ascii="宋体" w:hAnsi="Courier New"/>
      <w:szCs w:val="21"/>
    </w:rPr>
  </w:style>
  <w:style w:type="paragraph" w:customStyle="1" w:styleId="30">
    <w:name w:val="3"/>
    <w:basedOn w:val="a"/>
  </w:style>
  <w:style w:type="paragraph" w:styleId="50">
    <w:name w:val="toc 5"/>
    <w:basedOn w:val="a"/>
    <w:next w:val="a"/>
    <w:semiHidden/>
    <w:pPr>
      <w:ind w:leftChars="800" w:left="1680"/>
    </w:pPr>
  </w:style>
  <w:style w:type="paragraph" w:customStyle="1" w:styleId="CM17">
    <w:name w:val="CM17"/>
    <w:basedOn w:val="a"/>
    <w:next w:val="a"/>
    <w:qFormat/>
    <w:pPr>
      <w:autoSpaceDE w:val="0"/>
      <w:autoSpaceDN w:val="0"/>
      <w:adjustRightInd w:val="0"/>
      <w:spacing w:line="468" w:lineRule="atLeast"/>
      <w:jc w:val="left"/>
    </w:pPr>
    <w:rPr>
      <w:rFonts w:ascii="黑体" w:eastAsia="黑体" w:cs="黑体"/>
      <w:kern w:val="0"/>
      <w:sz w:val="24"/>
    </w:rPr>
  </w:style>
  <w:style w:type="paragraph" w:customStyle="1" w:styleId="CM13">
    <w:name w:val="CM13"/>
    <w:basedOn w:val="a"/>
    <w:next w:val="a"/>
    <w:pPr>
      <w:autoSpaceDE w:val="0"/>
      <w:autoSpaceDN w:val="0"/>
      <w:adjustRightInd w:val="0"/>
      <w:spacing w:line="468" w:lineRule="atLeast"/>
      <w:jc w:val="left"/>
    </w:pPr>
    <w:rPr>
      <w:rFonts w:ascii="黑体" w:eastAsia="黑体" w:cs="黑体"/>
      <w:kern w:val="0"/>
      <w:sz w:val="24"/>
    </w:rPr>
  </w:style>
  <w:style w:type="paragraph" w:customStyle="1" w:styleId="CharCharCharCharCharChar1CharCharChar">
    <w:name w:val="Char Char Char Char Char Char1 Char Char Char"/>
    <w:basedOn w:val="a"/>
    <w:pPr>
      <w:autoSpaceDE w:val="0"/>
      <w:autoSpaceDN w:val="0"/>
      <w:adjustRightInd w:val="0"/>
      <w:jc w:val="left"/>
      <w:textAlignment w:val="baseline"/>
    </w:pPr>
    <w:rPr>
      <w:rFonts w:ascii="宋体"/>
      <w:kern w:val="0"/>
      <w:sz w:val="34"/>
      <w:szCs w:val="20"/>
    </w:rPr>
  </w:style>
  <w:style w:type="paragraph" w:styleId="a0">
    <w:name w:val="Normal Indent"/>
    <w:basedOn w:val="a"/>
    <w:uiPriority w:val="99"/>
    <w:pPr>
      <w:snapToGrid w:val="0"/>
      <w:spacing w:line="360" w:lineRule="auto"/>
      <w:ind w:firstLine="420"/>
    </w:pPr>
    <w:rPr>
      <w:sz w:val="28"/>
      <w:szCs w:val="20"/>
    </w:rPr>
  </w:style>
  <w:style w:type="paragraph" w:styleId="22">
    <w:name w:val="Body Text 2"/>
    <w:basedOn w:val="a"/>
    <w:pPr>
      <w:jc w:val="center"/>
    </w:pPr>
    <w:rPr>
      <w:sz w:val="24"/>
    </w:rPr>
  </w:style>
  <w:style w:type="paragraph" w:customStyle="1" w:styleId="0803180">
    <w:name w:val="产品正文080318"/>
    <w:basedOn w:val="222"/>
    <w:pPr>
      <w:ind w:firstLine="200"/>
    </w:pPr>
    <w:rPr>
      <w:rFonts w:ascii="宋体" w:eastAsia="宋体"/>
      <w:sz w:val="21"/>
    </w:rPr>
  </w:style>
  <w:style w:type="paragraph" w:customStyle="1" w:styleId="Char0">
    <w:name w:val="Char"/>
    <w:basedOn w:val="a"/>
  </w:style>
  <w:style w:type="paragraph" w:styleId="20">
    <w:name w:val="Body Text Indent 2"/>
    <w:basedOn w:val="a"/>
    <w:link w:val="21"/>
    <w:qFormat/>
    <w:pPr>
      <w:spacing w:line="360" w:lineRule="auto"/>
      <w:ind w:firstLineChars="200" w:firstLine="420"/>
    </w:pPr>
    <w:rPr>
      <w:rFonts w:ascii="宋体" w:hAnsi="宋体"/>
      <w:szCs w:val="20"/>
    </w:rPr>
  </w:style>
  <w:style w:type="paragraph" w:customStyle="1" w:styleId="ParaCharCharCharCharCharChar">
    <w:name w:val="默认段落字体 Para Char Char Char Char Char Char"/>
    <w:basedOn w:val="a"/>
    <w:pPr>
      <w:tabs>
        <w:tab w:val="left" w:pos="840"/>
      </w:tabs>
      <w:ind w:left="840" w:hanging="360"/>
    </w:pPr>
    <w:rPr>
      <w:sz w:val="24"/>
    </w:rPr>
  </w:style>
  <w:style w:type="paragraph" w:styleId="af8">
    <w:name w:val="Normal (Web)"/>
    <w:basedOn w:val="a"/>
    <w:uiPriority w:val="99"/>
    <w:qFormat/>
    <w:pPr>
      <w:widowControl/>
      <w:spacing w:before="100" w:beforeAutospacing="1" w:after="100" w:afterAutospacing="1"/>
      <w:ind w:firstLine="400"/>
      <w:jc w:val="left"/>
    </w:pPr>
    <w:rPr>
      <w:kern w:val="0"/>
      <w:sz w:val="18"/>
      <w:szCs w:val="18"/>
    </w:rPr>
  </w:style>
  <w:style w:type="paragraph" w:styleId="31">
    <w:name w:val="Body Text Indent 3"/>
    <w:basedOn w:val="a"/>
    <w:pPr>
      <w:spacing w:after="120"/>
      <w:ind w:leftChars="200" w:left="420"/>
    </w:pPr>
    <w:rPr>
      <w:sz w:val="16"/>
      <w:szCs w:val="16"/>
    </w:rPr>
  </w:style>
  <w:style w:type="paragraph" w:styleId="af9">
    <w:name w:val="Date"/>
    <w:basedOn w:val="a"/>
    <w:next w:val="a"/>
    <w:pPr>
      <w:ind w:leftChars="2500" w:left="100"/>
    </w:pPr>
  </w:style>
  <w:style w:type="paragraph" w:customStyle="1" w:styleId="0803181">
    <w:name w:val="080318"/>
    <w:basedOn w:val="a"/>
    <w:pPr>
      <w:widowControl/>
      <w:spacing w:before="100" w:beforeAutospacing="1" w:after="100" w:afterAutospacing="1"/>
      <w:jc w:val="left"/>
    </w:pPr>
    <w:rPr>
      <w:rFonts w:ascii="宋体" w:hAnsi="宋体" w:cs="宋体"/>
      <w:kern w:val="0"/>
      <w:sz w:val="24"/>
    </w:rPr>
  </w:style>
  <w:style w:type="paragraph" w:styleId="60">
    <w:name w:val="toc 6"/>
    <w:basedOn w:val="a"/>
    <w:next w:val="a"/>
    <w:semiHidden/>
    <w:pPr>
      <w:ind w:leftChars="1000" w:left="2100"/>
    </w:pPr>
  </w:style>
  <w:style w:type="paragraph" w:customStyle="1" w:styleId="Default">
    <w:name w:val="Default"/>
    <w:pPr>
      <w:widowControl w:val="0"/>
      <w:autoSpaceDE w:val="0"/>
      <w:autoSpaceDN w:val="0"/>
      <w:adjustRightInd w:val="0"/>
    </w:pPr>
    <w:rPr>
      <w:rFonts w:ascii="宋体" w:cs="宋体"/>
      <w:color w:val="000000"/>
      <w:sz w:val="24"/>
      <w:szCs w:val="24"/>
    </w:rPr>
  </w:style>
  <w:style w:type="paragraph" w:customStyle="1" w:styleId="CharCharCharChar1">
    <w:name w:val="Char Char Char Char1"/>
    <w:basedOn w:val="a"/>
    <w:pPr>
      <w:tabs>
        <w:tab w:val="left" w:pos="360"/>
      </w:tabs>
      <w:spacing w:before="312" w:after="312" w:line="360" w:lineRule="auto"/>
    </w:pPr>
    <w:rPr>
      <w:sz w:val="24"/>
    </w:rPr>
  </w:style>
  <w:style w:type="paragraph" w:customStyle="1" w:styleId="15">
    <w:name w:val="样式 (西文) 宋体 (中文) 华文楷体 加粗 行距: 1.5 倍行距"/>
    <w:basedOn w:val="a"/>
    <w:pPr>
      <w:spacing w:line="360" w:lineRule="auto"/>
      <w:ind w:firstLineChars="200" w:firstLine="420"/>
    </w:pPr>
    <w:rPr>
      <w:rFonts w:ascii="宋体" w:hAnsi="宋体" w:cs="宋体"/>
      <w:b/>
      <w:bCs/>
      <w:szCs w:val="21"/>
    </w:rPr>
  </w:style>
  <w:style w:type="paragraph" w:customStyle="1" w:styleId="afa">
    <w:name w:val="压缩版正文"/>
    <w:basedOn w:val="a"/>
    <w:rPr>
      <w:rFonts w:ascii="仿宋_GB2312" w:eastAsia="仿宋_GB2312"/>
    </w:rPr>
  </w:style>
  <w:style w:type="paragraph" w:customStyle="1" w:styleId="Char10">
    <w:name w:val="Char1"/>
    <w:basedOn w:val="a"/>
    <w:rPr>
      <w:szCs w:val="20"/>
    </w:rPr>
  </w:style>
  <w:style w:type="paragraph" w:customStyle="1" w:styleId="23">
    <w:name w:val="产品小标题2"/>
    <w:basedOn w:val="a"/>
    <w:next w:val="a"/>
    <w:pPr>
      <w:spacing w:before="120" w:line="415" w:lineRule="auto"/>
      <w:ind w:firstLineChars="200" w:firstLine="562"/>
      <w:jc w:val="left"/>
      <w:outlineLvl w:val="0"/>
    </w:pPr>
    <w:rPr>
      <w:rFonts w:ascii="仿宋_GB2312" w:eastAsia="仿宋_GB2312"/>
      <w:b/>
      <w:kern w:val="0"/>
      <w:sz w:val="28"/>
    </w:rPr>
  </w:style>
  <w:style w:type="paragraph" w:styleId="af0">
    <w:name w:val="Balloon Text"/>
    <w:basedOn w:val="a"/>
    <w:link w:val="af"/>
    <w:uiPriority w:val="99"/>
    <w:semiHidden/>
    <w:rPr>
      <w:sz w:val="18"/>
      <w:szCs w:val="18"/>
    </w:rPr>
  </w:style>
  <w:style w:type="paragraph" w:customStyle="1" w:styleId="CM3">
    <w:name w:val="CM3"/>
    <w:basedOn w:val="Default"/>
    <w:next w:val="Default"/>
    <w:pPr>
      <w:spacing w:line="468" w:lineRule="atLeast"/>
    </w:pPr>
    <w:rPr>
      <w:rFonts w:ascii="黑体" w:eastAsia="黑体" w:cs="黑体"/>
      <w:color w:val="auto"/>
    </w:rPr>
  </w:style>
  <w:style w:type="paragraph" w:customStyle="1" w:styleId="CharCharCharChar">
    <w:name w:val="Char Char Char Char"/>
    <w:basedOn w:val="a"/>
    <w:pPr>
      <w:tabs>
        <w:tab w:val="left" w:pos="360"/>
      </w:tabs>
    </w:pPr>
    <w:rPr>
      <w:sz w:val="24"/>
    </w:rPr>
  </w:style>
  <w:style w:type="paragraph" w:styleId="24">
    <w:name w:val="toc 2"/>
    <w:basedOn w:val="a"/>
    <w:next w:val="a"/>
    <w:semiHidden/>
    <w:pPr>
      <w:ind w:leftChars="200" w:left="420"/>
    </w:pPr>
  </w:style>
  <w:style w:type="paragraph" w:customStyle="1" w:styleId="222">
    <w:name w:val="样式 样式 产品正文2 + 首行缩进:  2 字符 + 首行缩进:  2 字符"/>
    <w:basedOn w:val="a"/>
    <w:pPr>
      <w:autoSpaceDE w:val="0"/>
      <w:autoSpaceDN w:val="0"/>
      <w:adjustRightInd w:val="0"/>
      <w:snapToGrid w:val="0"/>
      <w:spacing w:line="360" w:lineRule="auto"/>
      <w:ind w:firstLineChars="200" w:firstLine="480"/>
    </w:pPr>
    <w:rPr>
      <w:rFonts w:ascii="仿宋_GB2312" w:eastAsia="仿宋_GB2312" w:cs="宋体"/>
      <w:sz w:val="24"/>
      <w:szCs w:val="20"/>
      <w:lang w:val="zh-CN"/>
    </w:rPr>
  </w:style>
  <w:style w:type="paragraph" w:styleId="af2">
    <w:name w:val="footer"/>
    <w:basedOn w:val="a"/>
    <w:link w:val="af1"/>
    <w:uiPriority w:val="99"/>
    <w:pPr>
      <w:tabs>
        <w:tab w:val="center" w:pos="4153"/>
        <w:tab w:val="right" w:pos="8306"/>
      </w:tabs>
      <w:snapToGrid w:val="0"/>
      <w:jc w:val="left"/>
    </w:pPr>
    <w:rPr>
      <w:sz w:val="18"/>
      <w:szCs w:val="18"/>
    </w:rPr>
  </w:style>
  <w:style w:type="paragraph" w:styleId="80">
    <w:name w:val="toc 8"/>
    <w:basedOn w:val="a"/>
    <w:next w:val="a"/>
    <w:semiHidden/>
    <w:pPr>
      <w:ind w:leftChars="1400" w:left="2940"/>
    </w:pPr>
  </w:style>
  <w:style w:type="paragraph" w:customStyle="1" w:styleId="UCAlpha2">
    <w:name w:val="UCAlpha 2"/>
    <w:basedOn w:val="a"/>
    <w:uiPriority w:val="99"/>
    <w:qFormat/>
    <w:pPr>
      <w:widowControl/>
      <w:tabs>
        <w:tab w:val="left" w:pos="1941"/>
      </w:tabs>
      <w:spacing w:after="140" w:line="290" w:lineRule="auto"/>
      <w:ind w:left="1941" w:hanging="681"/>
    </w:pPr>
    <w:rPr>
      <w:rFonts w:ascii="Arial" w:hAnsi="Arial"/>
      <w:kern w:val="20"/>
      <w:sz w:val="20"/>
      <w:lang w:val="en-GB" w:eastAsia="en-US"/>
    </w:rPr>
  </w:style>
  <w:style w:type="paragraph" w:styleId="afb">
    <w:name w:val="Body Text"/>
    <w:basedOn w:val="a"/>
    <w:rPr>
      <w:sz w:val="24"/>
    </w:rPr>
  </w:style>
  <w:style w:type="paragraph" w:customStyle="1" w:styleId="xl32">
    <w:name w:val="xl32"/>
    <w:basedOn w:val="a"/>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Unicode MS" w:hAnsi="Arial Unicode MS"/>
      <w:kern w:val="0"/>
      <w:szCs w:val="21"/>
    </w:rPr>
  </w:style>
  <w:style w:type="paragraph" w:styleId="afc">
    <w:name w:val="annotation subject"/>
    <w:basedOn w:val="ab"/>
    <w:next w:val="ab"/>
    <w:semiHidden/>
    <w:rPr>
      <w:b/>
      <w:bCs/>
    </w:rPr>
  </w:style>
  <w:style w:type="paragraph" w:customStyle="1" w:styleId="ParaCharCharCharCharCharCharCharCharChar">
    <w:name w:val="默认段落字体 Para Char Char Char Char Char Char Char Char Char"/>
    <w:basedOn w:val="a"/>
    <w:pPr>
      <w:tabs>
        <w:tab w:val="left" w:pos="840"/>
      </w:tabs>
      <w:ind w:left="840" w:hanging="360"/>
    </w:pPr>
    <w:rPr>
      <w:sz w:val="24"/>
    </w:rPr>
  </w:style>
  <w:style w:type="paragraph" w:styleId="afd">
    <w:name w:val="Revision"/>
    <w:uiPriority w:val="99"/>
    <w:semiHidden/>
    <w:rPr>
      <w:kern w:val="2"/>
      <w:sz w:val="21"/>
      <w:szCs w:val="24"/>
    </w:rPr>
  </w:style>
  <w:style w:type="paragraph" w:customStyle="1" w:styleId="afe">
    <w:name w:val="产品正文"/>
    <w:basedOn w:val="222"/>
    <w:pPr>
      <w:ind w:firstLine="200"/>
    </w:pPr>
    <w:rPr>
      <w:rFonts w:ascii="宋体" w:eastAsia="宋体"/>
      <w:sz w:val="21"/>
    </w:rPr>
  </w:style>
  <w:style w:type="paragraph" w:customStyle="1" w:styleId="HD">
    <w:name w:val="HD正文"/>
    <w:basedOn w:val="a"/>
    <w:qFormat/>
    <w:pPr>
      <w:snapToGrid w:val="0"/>
      <w:spacing w:line="360" w:lineRule="auto"/>
      <w:ind w:firstLineChars="200" w:firstLine="420"/>
    </w:pPr>
    <w:rPr>
      <w:szCs w:val="21"/>
    </w:rPr>
  </w:style>
  <w:style w:type="paragraph" w:customStyle="1" w:styleId="Listbullet">
    <w:name w:val="List_bullet"/>
    <w:basedOn w:val="a"/>
    <w:qFormat/>
    <w:pPr>
      <w:widowControl/>
      <w:tabs>
        <w:tab w:val="left" w:pos="360"/>
      </w:tabs>
      <w:ind w:left="360" w:hanging="360"/>
      <w:jc w:val="left"/>
    </w:pPr>
    <w:rPr>
      <w:kern w:val="0"/>
      <w:sz w:val="24"/>
      <w:szCs w:val="20"/>
    </w:rPr>
  </w:style>
  <w:style w:type="paragraph" w:customStyle="1" w:styleId="msonormal1">
    <w:name w:val="msonormal1"/>
    <w:qFormat/>
    <w:pPr>
      <w:widowControl w:val="0"/>
      <w:jc w:val="both"/>
    </w:pPr>
    <w:rPr>
      <w:kern w:val="2"/>
      <w:sz w:val="21"/>
    </w:rPr>
  </w:style>
  <w:style w:type="paragraph" w:styleId="HTML0">
    <w:name w:val="HTML Preformatted"/>
    <w:basedOn w:val="a"/>
    <w:link w:val="HTML1"/>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olor w:val="000000"/>
      <w:kern w:val="0"/>
      <w:sz w:val="24"/>
      <w:szCs w:val="20"/>
    </w:rPr>
  </w:style>
  <w:style w:type="paragraph" w:customStyle="1" w:styleId="10">
    <w:name w:val="1"/>
    <w:basedOn w:val="a"/>
  </w:style>
  <w:style w:type="paragraph" w:styleId="11">
    <w:name w:val="toc 1"/>
    <w:basedOn w:val="a"/>
    <w:next w:val="a"/>
    <w:uiPriority w:val="39"/>
    <w:pPr>
      <w:tabs>
        <w:tab w:val="right" w:leader="dot" w:pos="8296"/>
      </w:tabs>
      <w:spacing w:line="360" w:lineRule="auto"/>
    </w:pPr>
    <w:rPr>
      <w:rFonts w:hAnsi="宋体" w:cs="Arial"/>
      <w:b/>
      <w:kern w:val="0"/>
    </w:rPr>
  </w:style>
  <w:style w:type="paragraph" w:styleId="70">
    <w:name w:val="toc 7"/>
    <w:basedOn w:val="a"/>
    <w:next w:val="a"/>
    <w:pPr>
      <w:ind w:leftChars="1200" w:left="2520"/>
    </w:pPr>
  </w:style>
  <w:style w:type="paragraph" w:styleId="ad">
    <w:name w:val="header"/>
    <w:basedOn w:val="a"/>
    <w:link w:val="ac"/>
    <w:uiPriority w:val="99"/>
    <w:pPr>
      <w:pBdr>
        <w:bottom w:val="single" w:sz="6" w:space="1" w:color="auto"/>
      </w:pBdr>
      <w:tabs>
        <w:tab w:val="center" w:pos="4153"/>
        <w:tab w:val="right" w:pos="8306"/>
      </w:tabs>
      <w:snapToGrid w:val="0"/>
      <w:jc w:val="center"/>
    </w:pPr>
    <w:rPr>
      <w:sz w:val="18"/>
      <w:szCs w:val="18"/>
    </w:rPr>
  </w:style>
  <w:style w:type="paragraph" w:styleId="40">
    <w:name w:val="toc 4"/>
    <w:basedOn w:val="a"/>
    <w:next w:val="a"/>
    <w:semiHidden/>
    <w:pPr>
      <w:ind w:leftChars="600" w:left="1260"/>
    </w:pPr>
  </w:style>
  <w:style w:type="paragraph" w:customStyle="1" w:styleId="CharCharChar">
    <w:name w:val="Char Char Char"/>
    <w:basedOn w:val="a"/>
  </w:style>
  <w:style w:type="paragraph" w:customStyle="1" w:styleId="aff">
    <w:name w:val="二级标题"/>
    <w:pPr>
      <w:spacing w:before="100" w:after="100" w:line="360" w:lineRule="auto"/>
      <w:ind w:firstLineChars="200" w:firstLine="200"/>
    </w:pPr>
    <w:rPr>
      <w:rFonts w:ascii="宋体" w:hAnsi="宋体"/>
      <w:b/>
      <w:color w:val="000000"/>
      <w:kern w:val="2"/>
      <w:sz w:val="21"/>
      <w:szCs w:val="21"/>
    </w:rPr>
  </w:style>
  <w:style w:type="paragraph" w:styleId="ab">
    <w:name w:val="annotation text"/>
    <w:basedOn w:val="a"/>
    <w:link w:val="aa"/>
    <w:qFormat/>
    <w:pPr>
      <w:jc w:val="left"/>
    </w:pPr>
  </w:style>
  <w:style w:type="paragraph" w:customStyle="1" w:styleId="080402">
    <w:name w:val="募集方案正文080402"/>
    <w:basedOn w:val="20"/>
    <w:rPr>
      <w:color w:val="000000"/>
    </w:rPr>
  </w:style>
  <w:style w:type="paragraph" w:customStyle="1" w:styleId="font7">
    <w:name w:val="font7"/>
    <w:basedOn w:val="a"/>
    <w:pPr>
      <w:widowControl/>
      <w:spacing w:before="100" w:beforeAutospacing="1" w:after="100" w:afterAutospacing="1"/>
      <w:jc w:val="left"/>
    </w:pPr>
    <w:rPr>
      <w:rFonts w:ascii="Arial" w:hAnsi="Arial" w:cs="Arial"/>
      <w:kern w:val="0"/>
      <w:szCs w:val="21"/>
    </w:rPr>
  </w:style>
  <w:style w:type="paragraph" w:customStyle="1" w:styleId="080325">
    <w:name w:val="产品标题080325"/>
    <w:basedOn w:val="1"/>
    <w:pPr>
      <w:spacing w:before="60" w:line="480" w:lineRule="auto"/>
      <w:jc w:val="left"/>
    </w:pPr>
    <w:rPr>
      <w:rFonts w:ascii="黑体" w:eastAsia="黑体" w:hAnsi="宋体"/>
      <w:b w:val="0"/>
      <w:kern w:val="0"/>
      <w:sz w:val="24"/>
      <w:szCs w:val="21"/>
    </w:rPr>
  </w:style>
  <w:style w:type="paragraph" w:customStyle="1" w:styleId="080320">
    <w:name w:val="申请报告正文080320"/>
    <w:basedOn w:val="20"/>
    <w:pPr>
      <w:spacing w:beforeLines="50" w:afterLines="50"/>
    </w:pPr>
    <w:rPr>
      <w:szCs w:val="21"/>
    </w:rPr>
  </w:style>
  <w:style w:type="paragraph" w:customStyle="1" w:styleId="32">
    <w:name w:val="产品小标题3"/>
    <w:basedOn w:val="a"/>
    <w:pPr>
      <w:adjustRightInd w:val="0"/>
      <w:snapToGrid w:val="0"/>
      <w:spacing w:line="360" w:lineRule="auto"/>
      <w:ind w:firstLineChars="200" w:firstLine="562"/>
      <w:outlineLvl w:val="1"/>
    </w:pPr>
    <w:rPr>
      <w:rFonts w:ascii="仿宋_GB2312" w:eastAsia="仿宋_GB2312"/>
      <w:b/>
      <w:kern w:val="0"/>
      <w:sz w:val="28"/>
    </w:rPr>
  </w:style>
  <w:style w:type="paragraph" w:customStyle="1" w:styleId="figuresubinparens">
    <w:name w:val="figuresubinparens"/>
    <w:basedOn w:val="a"/>
    <w:pPr>
      <w:widowControl/>
      <w:spacing w:line="280" w:lineRule="atLeast"/>
      <w:jc w:val="left"/>
    </w:pPr>
    <w:rPr>
      <w:rFonts w:ascii="Arial" w:hAnsi="Arial" w:cs="Arial"/>
      <w:i/>
      <w:iCs/>
      <w:color w:val="333333"/>
      <w:kern w:val="0"/>
      <w:sz w:val="18"/>
      <w:szCs w:val="18"/>
    </w:rPr>
  </w:style>
  <w:style w:type="paragraph" w:customStyle="1" w:styleId="0804020">
    <w:name w:val="080402"/>
    <w:basedOn w:val="a"/>
    <w:pPr>
      <w:widowControl/>
      <w:spacing w:before="100" w:beforeAutospacing="1" w:after="100" w:afterAutospacing="1"/>
      <w:jc w:val="left"/>
    </w:pPr>
    <w:rPr>
      <w:rFonts w:ascii="宋体" w:hAnsi="宋体"/>
      <w:kern w:val="0"/>
      <w:sz w:val="24"/>
      <w:szCs w:val="20"/>
    </w:rPr>
  </w:style>
  <w:style w:type="table" w:styleId="aff0">
    <w:name w:val="Table Grid"/>
    <w:basedOn w:val="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2">
    <w:name w:val="HTML 预设格式 字符"/>
    <w:uiPriority w:val="99"/>
    <w:rsid w:val="00ED0CD6"/>
    <w:rPr>
      <w:rFonts w:ascii="宋体" w:hAnsi="宋体"/>
      <w:color w:val="000000"/>
      <w:sz w:val="24"/>
    </w:rPr>
  </w:style>
  <w:style w:type="character" w:customStyle="1" w:styleId="25">
    <w:name w:val="正文文本缩进 2 字符"/>
    <w:qFormat/>
    <w:rsid w:val="006B0C89"/>
    <w:rPr>
      <w:rFonts w:ascii="宋体" w:hAnsi="宋体"/>
      <w:kern w:val="2"/>
      <w:sz w:val="21"/>
    </w:rPr>
  </w:style>
  <w:style w:type="paragraph" w:customStyle="1" w:styleId="XBRLTitle2">
    <w:name w:val="XBRLTitle2"/>
    <w:basedOn w:val="aff1"/>
    <w:next w:val="4"/>
    <w:qFormat/>
    <w:rsid w:val="00C86765"/>
    <w:pPr>
      <w:spacing w:beforeLines="50" w:before="0" w:after="0" w:line="240" w:lineRule="auto"/>
      <w:ind w:left="840" w:hanging="420"/>
      <w:jc w:val="left"/>
    </w:pPr>
    <w:rPr>
      <w:rFonts w:ascii="宋体" w:hAnsi="Cambria" w:cs="宋体"/>
      <w:kern w:val="24"/>
      <w:sz w:val="24"/>
      <w:lang w:val="x-none" w:eastAsia="x-none"/>
    </w:rPr>
  </w:style>
  <w:style w:type="paragraph" w:customStyle="1" w:styleId="XBRLTitle3">
    <w:name w:val="XBRLTitle3"/>
    <w:basedOn w:val="aff1"/>
    <w:next w:val="4"/>
    <w:autoRedefine/>
    <w:qFormat/>
    <w:rsid w:val="00C86765"/>
    <w:pPr>
      <w:spacing w:beforeLines="50" w:before="0" w:after="0" w:line="360" w:lineRule="auto"/>
      <w:jc w:val="left"/>
      <w:outlineLvl w:val="9"/>
    </w:pPr>
    <w:rPr>
      <w:rFonts w:ascii="宋体" w:hAnsi="Cambria" w:cs="宋体"/>
      <w:kern w:val="24"/>
      <w:sz w:val="24"/>
      <w:lang w:val="x-none" w:eastAsia="x-none"/>
    </w:rPr>
  </w:style>
  <w:style w:type="paragraph" w:styleId="aff1">
    <w:name w:val="Subtitle"/>
    <w:basedOn w:val="a"/>
    <w:next w:val="a"/>
    <w:link w:val="aff2"/>
    <w:qFormat/>
    <w:rsid w:val="00C86765"/>
    <w:pPr>
      <w:spacing w:before="240" w:after="60" w:line="312" w:lineRule="auto"/>
      <w:jc w:val="center"/>
      <w:outlineLvl w:val="1"/>
    </w:pPr>
    <w:rPr>
      <w:rFonts w:ascii="Calibri Light" w:hAnsi="Calibri Light"/>
      <w:b/>
      <w:bCs/>
      <w:kern w:val="28"/>
      <w:sz w:val="32"/>
      <w:szCs w:val="32"/>
    </w:rPr>
  </w:style>
  <w:style w:type="character" w:customStyle="1" w:styleId="aff2">
    <w:name w:val="副标题 字符"/>
    <w:link w:val="aff1"/>
    <w:rsid w:val="00C86765"/>
    <w:rPr>
      <w:rFonts w:ascii="Calibri Light" w:hAnsi="Calibri Light" w:cs="Times New Roman"/>
      <w:b/>
      <w:bCs/>
      <w:kern w:val="28"/>
      <w:sz w:val="32"/>
      <w:szCs w:val="32"/>
    </w:rPr>
  </w:style>
  <w:style w:type="paragraph" w:customStyle="1" w:styleId="12">
    <w:name w:val="修订1"/>
    <w:uiPriority w:val="99"/>
    <w:unhideWhenUsed/>
    <w:qFormat/>
    <w:rsid w:val="00192F67"/>
    <w:rPr>
      <w:rFonts w:ascii="Symbol" w:hAnsi="Symbol" w:cs="Symbol"/>
      <w:kern w:val="2"/>
      <w:sz w:val="21"/>
    </w:rPr>
  </w:style>
  <w:style w:type="character" w:customStyle="1" w:styleId="2Char1">
    <w:name w:val="正文文本缩进 2 Char1"/>
    <w:qFormat/>
    <w:rsid w:val="00716026"/>
    <w:rPr>
      <w:rFonts w:ascii="宋体" w:hAnsi="宋体"/>
      <w:kern w:val="2"/>
      <w:sz w:val="21"/>
    </w:rPr>
  </w:style>
  <w:style w:type="paragraph" w:customStyle="1" w:styleId="26">
    <w:name w:val="修订2"/>
    <w:uiPriority w:val="99"/>
    <w:unhideWhenUsed/>
    <w:qFormat/>
    <w:rsid w:val="005D2B88"/>
    <w:rPr>
      <w:rFonts w:ascii="Symbol" w:hAnsi="Symbol" w:cs="Symbol"/>
      <w:kern w:val="2"/>
      <w:sz w:val="21"/>
    </w:rPr>
  </w:style>
  <w:style w:type="paragraph" w:customStyle="1" w:styleId="aff3">
    <w:name w:val="a"/>
    <w:basedOn w:val="a"/>
    <w:rsid w:val="003C2AE3"/>
    <w:pPr>
      <w:widowControl/>
      <w:autoSpaceDE w:val="0"/>
      <w:autoSpaceDN w:val="0"/>
      <w:snapToGrid w:val="0"/>
      <w:spacing w:line="360" w:lineRule="auto"/>
      <w:ind w:firstLine="422"/>
    </w:pPr>
    <w:rPr>
      <w:rFonts w:ascii="宋体" w:hAnsi="宋体" w:cs="宋体"/>
      <w:b/>
      <w:bCs/>
      <w:kern w:val="0"/>
      <w:szCs w:val="21"/>
    </w:rPr>
  </w:style>
  <w:style w:type="paragraph" w:customStyle="1" w:styleId="XBRLTitle6">
    <w:name w:val="XBRLTitle6"/>
    <w:basedOn w:val="aff1"/>
    <w:next w:val="4"/>
    <w:qFormat/>
    <w:rsid w:val="00B0698A"/>
    <w:pPr>
      <w:keepNext/>
      <w:keepLines/>
      <w:spacing w:beforeLines="50" w:before="0" w:after="0" w:line="240" w:lineRule="auto"/>
      <w:ind w:left="1021" w:hanging="1021"/>
      <w:jc w:val="left"/>
      <w:outlineLvl w:val="9"/>
    </w:pPr>
    <w:rPr>
      <w:rFonts w:ascii="Cambria" w:hAnsi="Cambria" w:cs="宋体"/>
      <w:kern w:val="24"/>
      <w:sz w:val="24"/>
      <w:lang w:val="x-none" w:eastAsia="x-none"/>
    </w:rPr>
  </w:style>
  <w:style w:type="paragraph" w:customStyle="1" w:styleId="XBRLTitle5">
    <w:name w:val="XBRLTitle5"/>
    <w:basedOn w:val="aff1"/>
    <w:next w:val="4"/>
    <w:qFormat/>
    <w:rsid w:val="00B0698A"/>
    <w:pPr>
      <w:keepNext/>
      <w:keepLines/>
      <w:spacing w:beforeLines="50" w:before="0" w:after="0" w:line="240" w:lineRule="auto"/>
      <w:ind w:left="1021" w:hanging="1021"/>
      <w:jc w:val="left"/>
      <w:outlineLvl w:val="9"/>
    </w:pPr>
    <w:rPr>
      <w:rFonts w:ascii="Cambria" w:hAnsi="Cambria" w:cs="宋体"/>
      <w:kern w:val="24"/>
      <w:sz w:val="24"/>
      <w:lang w:val="x-none" w:eastAsia="x-none"/>
    </w:rPr>
  </w:style>
  <w:style w:type="paragraph" w:customStyle="1" w:styleId="XBRLTitle4">
    <w:name w:val="XBRLTitle4"/>
    <w:basedOn w:val="aff1"/>
    <w:next w:val="4"/>
    <w:qFormat/>
    <w:rsid w:val="00B0698A"/>
    <w:pPr>
      <w:keepNext/>
      <w:keepLines/>
      <w:spacing w:beforeLines="50" w:before="0" w:after="0" w:line="240" w:lineRule="auto"/>
      <w:ind w:left="794" w:hanging="794"/>
      <w:jc w:val="left"/>
      <w:outlineLvl w:val="9"/>
    </w:pPr>
    <w:rPr>
      <w:rFonts w:ascii="Cambria" w:hAnsi="Cambria" w:cs="宋体"/>
      <w:kern w:val="24"/>
      <w:sz w:val="24"/>
      <w:lang w:val="x-none" w:eastAsia="x-none"/>
    </w:rPr>
  </w:style>
  <w:style w:type="character" w:customStyle="1" w:styleId="Char11">
    <w:name w:val="批注文字 Char1"/>
    <w:qFormat/>
    <w:rsid w:val="007D7AB1"/>
    <w:rPr>
      <w:kern w:val="2"/>
      <w:sz w:val="21"/>
      <w:szCs w:val="24"/>
    </w:rPr>
  </w:style>
  <w:style w:type="character" w:styleId="aff4">
    <w:name w:val="Placeholder Text"/>
    <w:basedOn w:val="a1"/>
    <w:uiPriority w:val="99"/>
    <w:unhideWhenUsed/>
    <w:rsid w:val="00F75BB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715719">
      <w:bodyDiv w:val="1"/>
      <w:marLeft w:val="0"/>
      <w:marRight w:val="0"/>
      <w:marTop w:val="0"/>
      <w:marBottom w:val="0"/>
      <w:divBdr>
        <w:top w:val="none" w:sz="0" w:space="0" w:color="auto"/>
        <w:left w:val="none" w:sz="0" w:space="0" w:color="auto"/>
        <w:bottom w:val="none" w:sz="0" w:space="0" w:color="auto"/>
        <w:right w:val="none" w:sz="0" w:space="0" w:color="auto"/>
      </w:divBdr>
      <w:divsChild>
        <w:div w:id="816336808">
          <w:marLeft w:val="0"/>
          <w:marRight w:val="0"/>
          <w:marTop w:val="0"/>
          <w:marBottom w:val="0"/>
          <w:divBdr>
            <w:top w:val="none" w:sz="0" w:space="0" w:color="auto"/>
            <w:left w:val="none" w:sz="0" w:space="0" w:color="auto"/>
            <w:bottom w:val="none" w:sz="0" w:space="0" w:color="auto"/>
            <w:right w:val="none" w:sz="0" w:space="0" w:color="auto"/>
          </w:divBdr>
        </w:div>
      </w:divsChild>
    </w:div>
    <w:div w:id="586622329">
      <w:bodyDiv w:val="1"/>
      <w:marLeft w:val="0"/>
      <w:marRight w:val="0"/>
      <w:marTop w:val="0"/>
      <w:marBottom w:val="0"/>
      <w:divBdr>
        <w:top w:val="none" w:sz="0" w:space="0" w:color="auto"/>
        <w:left w:val="none" w:sz="0" w:space="0" w:color="auto"/>
        <w:bottom w:val="none" w:sz="0" w:space="0" w:color="auto"/>
        <w:right w:val="none" w:sz="0" w:space="0" w:color="auto"/>
      </w:divBdr>
      <w:divsChild>
        <w:div w:id="1724913036">
          <w:marLeft w:val="0"/>
          <w:marRight w:val="0"/>
          <w:marTop w:val="0"/>
          <w:marBottom w:val="0"/>
          <w:divBdr>
            <w:top w:val="none" w:sz="0" w:space="0" w:color="auto"/>
            <w:left w:val="none" w:sz="0" w:space="0" w:color="auto"/>
            <w:bottom w:val="none" w:sz="0" w:space="0" w:color="auto"/>
            <w:right w:val="none" w:sz="0" w:space="0" w:color="auto"/>
          </w:divBdr>
        </w:div>
      </w:divsChild>
    </w:div>
    <w:div w:id="639111539">
      <w:bodyDiv w:val="1"/>
      <w:marLeft w:val="0"/>
      <w:marRight w:val="0"/>
      <w:marTop w:val="0"/>
      <w:marBottom w:val="0"/>
      <w:divBdr>
        <w:top w:val="none" w:sz="0" w:space="0" w:color="auto"/>
        <w:left w:val="none" w:sz="0" w:space="0" w:color="auto"/>
        <w:bottom w:val="none" w:sz="0" w:space="0" w:color="auto"/>
        <w:right w:val="none" w:sz="0" w:space="0" w:color="auto"/>
      </w:divBdr>
      <w:divsChild>
        <w:div w:id="1015038261">
          <w:marLeft w:val="0"/>
          <w:marRight w:val="0"/>
          <w:marTop w:val="0"/>
          <w:marBottom w:val="0"/>
          <w:divBdr>
            <w:top w:val="none" w:sz="0" w:space="0" w:color="auto"/>
            <w:left w:val="none" w:sz="0" w:space="0" w:color="auto"/>
            <w:bottom w:val="none" w:sz="0" w:space="0" w:color="auto"/>
            <w:right w:val="none" w:sz="0" w:space="0" w:color="auto"/>
          </w:divBdr>
        </w:div>
      </w:divsChild>
    </w:div>
    <w:div w:id="902641270">
      <w:bodyDiv w:val="1"/>
      <w:marLeft w:val="0"/>
      <w:marRight w:val="0"/>
      <w:marTop w:val="0"/>
      <w:marBottom w:val="0"/>
      <w:divBdr>
        <w:top w:val="none" w:sz="0" w:space="0" w:color="auto"/>
        <w:left w:val="none" w:sz="0" w:space="0" w:color="auto"/>
        <w:bottom w:val="none" w:sz="0" w:space="0" w:color="auto"/>
        <w:right w:val="none" w:sz="0" w:space="0" w:color="auto"/>
      </w:divBdr>
    </w:div>
    <w:div w:id="932787392">
      <w:bodyDiv w:val="1"/>
      <w:marLeft w:val="0"/>
      <w:marRight w:val="0"/>
      <w:marTop w:val="0"/>
      <w:marBottom w:val="0"/>
      <w:divBdr>
        <w:top w:val="none" w:sz="0" w:space="0" w:color="auto"/>
        <w:left w:val="none" w:sz="0" w:space="0" w:color="auto"/>
        <w:bottom w:val="none" w:sz="0" w:space="0" w:color="auto"/>
        <w:right w:val="none" w:sz="0" w:space="0" w:color="auto"/>
      </w:divBdr>
      <w:divsChild>
        <w:div w:id="1197277953">
          <w:marLeft w:val="0"/>
          <w:marRight w:val="0"/>
          <w:marTop w:val="0"/>
          <w:marBottom w:val="0"/>
          <w:divBdr>
            <w:top w:val="none" w:sz="0" w:space="0" w:color="auto"/>
            <w:left w:val="none" w:sz="0" w:space="0" w:color="auto"/>
            <w:bottom w:val="none" w:sz="0" w:space="0" w:color="auto"/>
            <w:right w:val="none" w:sz="0" w:space="0" w:color="auto"/>
          </w:divBdr>
        </w:div>
      </w:divsChild>
    </w:div>
    <w:div w:id="987437545">
      <w:bodyDiv w:val="1"/>
      <w:marLeft w:val="0"/>
      <w:marRight w:val="0"/>
      <w:marTop w:val="0"/>
      <w:marBottom w:val="0"/>
      <w:divBdr>
        <w:top w:val="none" w:sz="0" w:space="0" w:color="auto"/>
        <w:left w:val="none" w:sz="0" w:space="0" w:color="auto"/>
        <w:bottom w:val="none" w:sz="0" w:space="0" w:color="auto"/>
        <w:right w:val="none" w:sz="0" w:space="0" w:color="auto"/>
      </w:divBdr>
      <w:divsChild>
        <w:div w:id="727266149">
          <w:marLeft w:val="0"/>
          <w:marRight w:val="0"/>
          <w:marTop w:val="0"/>
          <w:marBottom w:val="0"/>
          <w:divBdr>
            <w:top w:val="none" w:sz="0" w:space="0" w:color="auto"/>
            <w:left w:val="none" w:sz="0" w:space="0" w:color="auto"/>
            <w:bottom w:val="none" w:sz="0" w:space="0" w:color="auto"/>
            <w:right w:val="none" w:sz="0" w:space="0" w:color="auto"/>
          </w:divBdr>
        </w:div>
      </w:divsChild>
    </w:div>
    <w:div w:id="1116370472">
      <w:bodyDiv w:val="1"/>
      <w:marLeft w:val="0"/>
      <w:marRight w:val="0"/>
      <w:marTop w:val="0"/>
      <w:marBottom w:val="0"/>
      <w:divBdr>
        <w:top w:val="none" w:sz="0" w:space="0" w:color="auto"/>
        <w:left w:val="none" w:sz="0" w:space="0" w:color="auto"/>
        <w:bottom w:val="none" w:sz="0" w:space="0" w:color="auto"/>
        <w:right w:val="none" w:sz="0" w:space="0" w:color="auto"/>
      </w:divBdr>
      <w:divsChild>
        <w:div w:id="406805118">
          <w:marLeft w:val="0"/>
          <w:marRight w:val="0"/>
          <w:marTop w:val="0"/>
          <w:marBottom w:val="0"/>
          <w:divBdr>
            <w:top w:val="none" w:sz="0" w:space="0" w:color="auto"/>
            <w:left w:val="none" w:sz="0" w:space="0" w:color="auto"/>
            <w:bottom w:val="none" w:sz="0" w:space="0" w:color="auto"/>
            <w:right w:val="none" w:sz="0" w:space="0" w:color="auto"/>
          </w:divBdr>
        </w:div>
      </w:divsChild>
    </w:div>
    <w:div w:id="1178426585">
      <w:bodyDiv w:val="1"/>
      <w:marLeft w:val="0"/>
      <w:marRight w:val="0"/>
      <w:marTop w:val="0"/>
      <w:marBottom w:val="0"/>
      <w:divBdr>
        <w:top w:val="none" w:sz="0" w:space="0" w:color="auto"/>
        <w:left w:val="none" w:sz="0" w:space="0" w:color="auto"/>
        <w:bottom w:val="none" w:sz="0" w:space="0" w:color="auto"/>
        <w:right w:val="none" w:sz="0" w:space="0" w:color="auto"/>
      </w:divBdr>
    </w:div>
    <w:div w:id="1338844508">
      <w:bodyDiv w:val="1"/>
      <w:marLeft w:val="0"/>
      <w:marRight w:val="0"/>
      <w:marTop w:val="0"/>
      <w:marBottom w:val="0"/>
      <w:divBdr>
        <w:top w:val="none" w:sz="0" w:space="0" w:color="auto"/>
        <w:left w:val="none" w:sz="0" w:space="0" w:color="auto"/>
        <w:bottom w:val="none" w:sz="0" w:space="0" w:color="auto"/>
        <w:right w:val="none" w:sz="0" w:space="0" w:color="auto"/>
      </w:divBdr>
    </w:div>
    <w:div w:id="1457217879">
      <w:bodyDiv w:val="1"/>
      <w:marLeft w:val="0"/>
      <w:marRight w:val="0"/>
      <w:marTop w:val="0"/>
      <w:marBottom w:val="0"/>
      <w:divBdr>
        <w:top w:val="none" w:sz="0" w:space="0" w:color="auto"/>
        <w:left w:val="none" w:sz="0" w:space="0" w:color="auto"/>
        <w:bottom w:val="none" w:sz="0" w:space="0" w:color="auto"/>
        <w:right w:val="none" w:sz="0" w:space="0" w:color="auto"/>
      </w:divBdr>
    </w:div>
    <w:div w:id="1599364658">
      <w:bodyDiv w:val="1"/>
      <w:marLeft w:val="0"/>
      <w:marRight w:val="0"/>
      <w:marTop w:val="0"/>
      <w:marBottom w:val="0"/>
      <w:divBdr>
        <w:top w:val="none" w:sz="0" w:space="0" w:color="auto"/>
        <w:left w:val="none" w:sz="0" w:space="0" w:color="auto"/>
        <w:bottom w:val="none" w:sz="0" w:space="0" w:color="auto"/>
        <w:right w:val="none" w:sz="0" w:space="0" w:color="auto"/>
      </w:divBdr>
    </w:div>
    <w:div w:id="1973975157">
      <w:bodyDiv w:val="1"/>
      <w:marLeft w:val="0"/>
      <w:marRight w:val="0"/>
      <w:marTop w:val="0"/>
      <w:marBottom w:val="0"/>
      <w:divBdr>
        <w:top w:val="none" w:sz="0" w:space="0" w:color="auto"/>
        <w:left w:val="none" w:sz="0" w:space="0" w:color="auto"/>
        <w:bottom w:val="none" w:sz="0" w:space="0" w:color="auto"/>
        <w:right w:val="none" w:sz="0" w:space="0" w:color="auto"/>
      </w:divBdr>
      <w:divsChild>
        <w:div w:id="189877887">
          <w:marLeft w:val="0"/>
          <w:marRight w:val="0"/>
          <w:marTop w:val="0"/>
          <w:marBottom w:val="0"/>
          <w:divBdr>
            <w:top w:val="none" w:sz="0" w:space="0" w:color="auto"/>
            <w:left w:val="none" w:sz="0" w:space="0" w:color="auto"/>
            <w:bottom w:val="none" w:sz="0" w:space="0" w:color="auto"/>
            <w:right w:val="none" w:sz="0" w:space="0" w:color="auto"/>
          </w:divBdr>
        </w:div>
      </w:divsChild>
    </w:div>
    <w:div w:id="2032294762">
      <w:bodyDiv w:val="1"/>
      <w:marLeft w:val="0"/>
      <w:marRight w:val="0"/>
      <w:marTop w:val="0"/>
      <w:marBottom w:val="0"/>
      <w:divBdr>
        <w:top w:val="none" w:sz="0" w:space="0" w:color="auto"/>
        <w:left w:val="none" w:sz="0" w:space="0" w:color="auto"/>
        <w:bottom w:val="none" w:sz="0" w:space="0" w:color="auto"/>
        <w:right w:val="none" w:sz="0" w:space="0" w:color="auto"/>
      </w:divBdr>
    </w:div>
    <w:div w:id="208314122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tenganxinxi.com" TargetMode="Externa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uxiaoman.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uyifund.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xincai.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1D4AE6-AEAC-47C7-8DA8-457C6F3FA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157</Pages>
  <Words>17492</Words>
  <Characters>99710</Characters>
  <Application>Microsoft Office Word</Application>
  <DocSecurity>0</DocSecurity>
  <PresentationFormat/>
  <Lines>830</Lines>
  <Paragraphs>233</Paragraphs>
  <Slides>0</Slides>
  <Notes>0</Notes>
  <HiddenSlides>0</HiddenSlides>
  <MMClips>0</MMClips>
  <ScaleCrop>false</ScaleCrop>
  <Manager/>
  <Company>Lenovo</Company>
  <LinksUpToDate>false</LinksUpToDate>
  <CharactersWithSpaces>116969</CharactersWithSpaces>
  <SharedDoc>false</SharedDoc>
  <HLinks>
    <vt:vector size="156" baseType="variant">
      <vt:variant>
        <vt:i4>3276861</vt:i4>
      </vt:variant>
      <vt:variant>
        <vt:i4>150</vt:i4>
      </vt:variant>
      <vt:variant>
        <vt:i4>0</vt:i4>
      </vt:variant>
      <vt:variant>
        <vt:i4>5</vt:i4>
      </vt:variant>
      <vt:variant>
        <vt:lpwstr>http://www.xincai.com/</vt:lpwstr>
      </vt:variant>
      <vt:variant>
        <vt:lpwstr/>
      </vt:variant>
      <vt:variant>
        <vt:i4>2162796</vt:i4>
      </vt:variant>
      <vt:variant>
        <vt:i4>147</vt:i4>
      </vt:variant>
      <vt:variant>
        <vt:i4>0</vt:i4>
      </vt:variant>
      <vt:variant>
        <vt:i4>5</vt:i4>
      </vt:variant>
      <vt:variant>
        <vt:lpwstr>http://www.tenganxinxi.com/</vt:lpwstr>
      </vt:variant>
      <vt:variant>
        <vt:lpwstr/>
      </vt:variant>
      <vt:variant>
        <vt:i4>1179697</vt:i4>
      </vt:variant>
      <vt:variant>
        <vt:i4>140</vt:i4>
      </vt:variant>
      <vt:variant>
        <vt:i4>0</vt:i4>
      </vt:variant>
      <vt:variant>
        <vt:i4>5</vt:i4>
      </vt:variant>
      <vt:variant>
        <vt:lpwstr/>
      </vt:variant>
      <vt:variant>
        <vt:lpwstr>_Toc103003366</vt:lpwstr>
      </vt:variant>
      <vt:variant>
        <vt:i4>1179697</vt:i4>
      </vt:variant>
      <vt:variant>
        <vt:i4>134</vt:i4>
      </vt:variant>
      <vt:variant>
        <vt:i4>0</vt:i4>
      </vt:variant>
      <vt:variant>
        <vt:i4>5</vt:i4>
      </vt:variant>
      <vt:variant>
        <vt:lpwstr/>
      </vt:variant>
      <vt:variant>
        <vt:lpwstr>_Toc103003365</vt:lpwstr>
      </vt:variant>
      <vt:variant>
        <vt:i4>1179697</vt:i4>
      </vt:variant>
      <vt:variant>
        <vt:i4>128</vt:i4>
      </vt:variant>
      <vt:variant>
        <vt:i4>0</vt:i4>
      </vt:variant>
      <vt:variant>
        <vt:i4>5</vt:i4>
      </vt:variant>
      <vt:variant>
        <vt:lpwstr/>
      </vt:variant>
      <vt:variant>
        <vt:lpwstr>_Toc103003364</vt:lpwstr>
      </vt:variant>
      <vt:variant>
        <vt:i4>1179697</vt:i4>
      </vt:variant>
      <vt:variant>
        <vt:i4>122</vt:i4>
      </vt:variant>
      <vt:variant>
        <vt:i4>0</vt:i4>
      </vt:variant>
      <vt:variant>
        <vt:i4>5</vt:i4>
      </vt:variant>
      <vt:variant>
        <vt:lpwstr/>
      </vt:variant>
      <vt:variant>
        <vt:lpwstr>_Toc103003363</vt:lpwstr>
      </vt:variant>
      <vt:variant>
        <vt:i4>1179697</vt:i4>
      </vt:variant>
      <vt:variant>
        <vt:i4>116</vt:i4>
      </vt:variant>
      <vt:variant>
        <vt:i4>0</vt:i4>
      </vt:variant>
      <vt:variant>
        <vt:i4>5</vt:i4>
      </vt:variant>
      <vt:variant>
        <vt:lpwstr/>
      </vt:variant>
      <vt:variant>
        <vt:lpwstr>_Toc103003362</vt:lpwstr>
      </vt:variant>
      <vt:variant>
        <vt:i4>1179697</vt:i4>
      </vt:variant>
      <vt:variant>
        <vt:i4>110</vt:i4>
      </vt:variant>
      <vt:variant>
        <vt:i4>0</vt:i4>
      </vt:variant>
      <vt:variant>
        <vt:i4>5</vt:i4>
      </vt:variant>
      <vt:variant>
        <vt:lpwstr/>
      </vt:variant>
      <vt:variant>
        <vt:lpwstr>_Toc103003361</vt:lpwstr>
      </vt:variant>
      <vt:variant>
        <vt:i4>1179697</vt:i4>
      </vt:variant>
      <vt:variant>
        <vt:i4>104</vt:i4>
      </vt:variant>
      <vt:variant>
        <vt:i4>0</vt:i4>
      </vt:variant>
      <vt:variant>
        <vt:i4>5</vt:i4>
      </vt:variant>
      <vt:variant>
        <vt:lpwstr/>
      </vt:variant>
      <vt:variant>
        <vt:lpwstr>_Toc103003360</vt:lpwstr>
      </vt:variant>
      <vt:variant>
        <vt:i4>1114161</vt:i4>
      </vt:variant>
      <vt:variant>
        <vt:i4>98</vt:i4>
      </vt:variant>
      <vt:variant>
        <vt:i4>0</vt:i4>
      </vt:variant>
      <vt:variant>
        <vt:i4>5</vt:i4>
      </vt:variant>
      <vt:variant>
        <vt:lpwstr/>
      </vt:variant>
      <vt:variant>
        <vt:lpwstr>_Toc103003359</vt:lpwstr>
      </vt:variant>
      <vt:variant>
        <vt:i4>1114161</vt:i4>
      </vt:variant>
      <vt:variant>
        <vt:i4>92</vt:i4>
      </vt:variant>
      <vt:variant>
        <vt:i4>0</vt:i4>
      </vt:variant>
      <vt:variant>
        <vt:i4>5</vt:i4>
      </vt:variant>
      <vt:variant>
        <vt:lpwstr/>
      </vt:variant>
      <vt:variant>
        <vt:lpwstr>_Toc103003358</vt:lpwstr>
      </vt:variant>
      <vt:variant>
        <vt:i4>1114161</vt:i4>
      </vt:variant>
      <vt:variant>
        <vt:i4>86</vt:i4>
      </vt:variant>
      <vt:variant>
        <vt:i4>0</vt:i4>
      </vt:variant>
      <vt:variant>
        <vt:i4>5</vt:i4>
      </vt:variant>
      <vt:variant>
        <vt:lpwstr/>
      </vt:variant>
      <vt:variant>
        <vt:lpwstr>_Toc103003357</vt:lpwstr>
      </vt:variant>
      <vt:variant>
        <vt:i4>1114161</vt:i4>
      </vt:variant>
      <vt:variant>
        <vt:i4>80</vt:i4>
      </vt:variant>
      <vt:variant>
        <vt:i4>0</vt:i4>
      </vt:variant>
      <vt:variant>
        <vt:i4>5</vt:i4>
      </vt:variant>
      <vt:variant>
        <vt:lpwstr/>
      </vt:variant>
      <vt:variant>
        <vt:lpwstr>_Toc103003356</vt:lpwstr>
      </vt:variant>
      <vt:variant>
        <vt:i4>1114161</vt:i4>
      </vt:variant>
      <vt:variant>
        <vt:i4>74</vt:i4>
      </vt:variant>
      <vt:variant>
        <vt:i4>0</vt:i4>
      </vt:variant>
      <vt:variant>
        <vt:i4>5</vt:i4>
      </vt:variant>
      <vt:variant>
        <vt:lpwstr/>
      </vt:variant>
      <vt:variant>
        <vt:lpwstr>_Toc103003355</vt:lpwstr>
      </vt:variant>
      <vt:variant>
        <vt:i4>1114161</vt:i4>
      </vt:variant>
      <vt:variant>
        <vt:i4>68</vt:i4>
      </vt:variant>
      <vt:variant>
        <vt:i4>0</vt:i4>
      </vt:variant>
      <vt:variant>
        <vt:i4>5</vt:i4>
      </vt:variant>
      <vt:variant>
        <vt:lpwstr/>
      </vt:variant>
      <vt:variant>
        <vt:lpwstr>_Toc103003354</vt:lpwstr>
      </vt:variant>
      <vt:variant>
        <vt:i4>1114161</vt:i4>
      </vt:variant>
      <vt:variant>
        <vt:i4>62</vt:i4>
      </vt:variant>
      <vt:variant>
        <vt:i4>0</vt:i4>
      </vt:variant>
      <vt:variant>
        <vt:i4>5</vt:i4>
      </vt:variant>
      <vt:variant>
        <vt:lpwstr/>
      </vt:variant>
      <vt:variant>
        <vt:lpwstr>_Toc103003353</vt:lpwstr>
      </vt:variant>
      <vt:variant>
        <vt:i4>1114161</vt:i4>
      </vt:variant>
      <vt:variant>
        <vt:i4>56</vt:i4>
      </vt:variant>
      <vt:variant>
        <vt:i4>0</vt:i4>
      </vt:variant>
      <vt:variant>
        <vt:i4>5</vt:i4>
      </vt:variant>
      <vt:variant>
        <vt:lpwstr/>
      </vt:variant>
      <vt:variant>
        <vt:lpwstr>_Toc103003352</vt:lpwstr>
      </vt:variant>
      <vt:variant>
        <vt:i4>1114161</vt:i4>
      </vt:variant>
      <vt:variant>
        <vt:i4>50</vt:i4>
      </vt:variant>
      <vt:variant>
        <vt:i4>0</vt:i4>
      </vt:variant>
      <vt:variant>
        <vt:i4>5</vt:i4>
      </vt:variant>
      <vt:variant>
        <vt:lpwstr/>
      </vt:variant>
      <vt:variant>
        <vt:lpwstr>_Toc103003351</vt:lpwstr>
      </vt:variant>
      <vt:variant>
        <vt:i4>1114161</vt:i4>
      </vt:variant>
      <vt:variant>
        <vt:i4>44</vt:i4>
      </vt:variant>
      <vt:variant>
        <vt:i4>0</vt:i4>
      </vt:variant>
      <vt:variant>
        <vt:i4>5</vt:i4>
      </vt:variant>
      <vt:variant>
        <vt:lpwstr/>
      </vt:variant>
      <vt:variant>
        <vt:lpwstr>_Toc103003350</vt:lpwstr>
      </vt:variant>
      <vt:variant>
        <vt:i4>1048625</vt:i4>
      </vt:variant>
      <vt:variant>
        <vt:i4>38</vt:i4>
      </vt:variant>
      <vt:variant>
        <vt:i4>0</vt:i4>
      </vt:variant>
      <vt:variant>
        <vt:i4>5</vt:i4>
      </vt:variant>
      <vt:variant>
        <vt:lpwstr/>
      </vt:variant>
      <vt:variant>
        <vt:lpwstr>_Toc103003349</vt:lpwstr>
      </vt:variant>
      <vt:variant>
        <vt:i4>1048625</vt:i4>
      </vt:variant>
      <vt:variant>
        <vt:i4>32</vt:i4>
      </vt:variant>
      <vt:variant>
        <vt:i4>0</vt:i4>
      </vt:variant>
      <vt:variant>
        <vt:i4>5</vt:i4>
      </vt:variant>
      <vt:variant>
        <vt:lpwstr/>
      </vt:variant>
      <vt:variant>
        <vt:lpwstr>_Toc103003348</vt:lpwstr>
      </vt:variant>
      <vt:variant>
        <vt:i4>1048625</vt:i4>
      </vt:variant>
      <vt:variant>
        <vt:i4>26</vt:i4>
      </vt:variant>
      <vt:variant>
        <vt:i4>0</vt:i4>
      </vt:variant>
      <vt:variant>
        <vt:i4>5</vt:i4>
      </vt:variant>
      <vt:variant>
        <vt:lpwstr/>
      </vt:variant>
      <vt:variant>
        <vt:lpwstr>_Toc103003347</vt:lpwstr>
      </vt:variant>
      <vt:variant>
        <vt:i4>1048625</vt:i4>
      </vt:variant>
      <vt:variant>
        <vt:i4>20</vt:i4>
      </vt:variant>
      <vt:variant>
        <vt:i4>0</vt:i4>
      </vt:variant>
      <vt:variant>
        <vt:i4>5</vt:i4>
      </vt:variant>
      <vt:variant>
        <vt:lpwstr/>
      </vt:variant>
      <vt:variant>
        <vt:lpwstr>_Toc103003346</vt:lpwstr>
      </vt:variant>
      <vt:variant>
        <vt:i4>1048625</vt:i4>
      </vt:variant>
      <vt:variant>
        <vt:i4>14</vt:i4>
      </vt:variant>
      <vt:variant>
        <vt:i4>0</vt:i4>
      </vt:variant>
      <vt:variant>
        <vt:i4>5</vt:i4>
      </vt:variant>
      <vt:variant>
        <vt:lpwstr/>
      </vt:variant>
      <vt:variant>
        <vt:lpwstr>_Toc103003345</vt:lpwstr>
      </vt:variant>
      <vt:variant>
        <vt:i4>1048625</vt:i4>
      </vt:variant>
      <vt:variant>
        <vt:i4>8</vt:i4>
      </vt:variant>
      <vt:variant>
        <vt:i4>0</vt:i4>
      </vt:variant>
      <vt:variant>
        <vt:i4>5</vt:i4>
      </vt:variant>
      <vt:variant>
        <vt:lpwstr/>
      </vt:variant>
      <vt:variant>
        <vt:lpwstr>_Toc103003344</vt:lpwstr>
      </vt:variant>
      <vt:variant>
        <vt:i4>1048625</vt:i4>
      </vt:variant>
      <vt:variant>
        <vt:i4>2</vt:i4>
      </vt:variant>
      <vt:variant>
        <vt:i4>0</vt:i4>
      </vt:variant>
      <vt:variant>
        <vt:i4>5</vt:i4>
      </vt:variant>
      <vt:variant>
        <vt:lpwstr/>
      </vt:variant>
      <vt:variant>
        <vt:lpwstr>_Toc103003343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招募说明书</dc:title>
  <dc:subject/>
  <dc:creator>李欣轩</dc:creator>
  <cp:keywords/>
  <dc:description/>
  <cp:lastModifiedBy>邱莉</cp:lastModifiedBy>
  <cp:revision>12</cp:revision>
  <cp:lastPrinted>2025-07-08T08:32:00Z</cp:lastPrinted>
  <dcterms:created xsi:type="dcterms:W3CDTF">2025-08-05T10:27:00Z</dcterms:created>
  <dcterms:modified xsi:type="dcterms:W3CDTF">2025-08-20T07:41:00Z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