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333A9" w:rsidRDefault="008333A9">
      <w:pPr>
        <w:tabs>
          <w:tab w:val="left" w:pos="4471"/>
        </w:tabs>
        <w:spacing w:line="360" w:lineRule="auto"/>
        <w:jc w:val="center"/>
        <w:rPr>
          <w:bCs/>
          <w:sz w:val="44"/>
        </w:rPr>
      </w:pPr>
    </w:p>
    <w:p w:rsidR="008333A9" w:rsidRDefault="008333A9">
      <w:pPr>
        <w:jc w:val="center"/>
        <w:rPr>
          <w:rFonts w:eastAsia="仿宋_GB2312"/>
          <w:sz w:val="28"/>
          <w:szCs w:val="28"/>
        </w:rPr>
      </w:pPr>
    </w:p>
    <w:p w:rsidR="008333A9" w:rsidRDefault="008333A9">
      <w:pPr>
        <w:jc w:val="center"/>
        <w:rPr>
          <w:b/>
          <w:sz w:val="52"/>
        </w:rPr>
      </w:pPr>
    </w:p>
    <w:p w:rsidR="008333A9" w:rsidRDefault="008333A9">
      <w:pPr>
        <w:jc w:val="center"/>
        <w:rPr>
          <w:b/>
          <w:sz w:val="52"/>
        </w:rPr>
      </w:pPr>
    </w:p>
    <w:p w:rsidR="008333A9" w:rsidRDefault="008333A9">
      <w:pPr>
        <w:jc w:val="center"/>
        <w:rPr>
          <w:b/>
          <w:sz w:val="52"/>
        </w:rPr>
      </w:pPr>
    </w:p>
    <w:p w:rsidR="008333A9" w:rsidRDefault="008333A9">
      <w:pPr>
        <w:jc w:val="center"/>
        <w:rPr>
          <w:b/>
          <w:sz w:val="52"/>
        </w:rPr>
      </w:pPr>
    </w:p>
    <w:p w:rsidR="008333A9" w:rsidRDefault="0002249C">
      <w:pPr>
        <w:spacing w:line="600" w:lineRule="auto"/>
        <w:jc w:val="center"/>
        <w:rPr>
          <w:b/>
          <w:sz w:val="52"/>
        </w:rPr>
      </w:pPr>
      <w:proofErr w:type="gramStart"/>
      <w:r>
        <w:rPr>
          <w:rFonts w:hint="eastAsia"/>
          <w:b/>
          <w:sz w:val="36"/>
          <w:szCs w:val="36"/>
        </w:rPr>
        <w:t>汇添富</w:t>
      </w:r>
      <w:proofErr w:type="gramEnd"/>
      <w:r>
        <w:rPr>
          <w:rFonts w:hint="eastAsia"/>
          <w:b/>
          <w:sz w:val="36"/>
          <w:szCs w:val="36"/>
        </w:rPr>
        <w:t>港股通科技精选混合型发起式证券投资基金</w:t>
      </w:r>
      <w:r>
        <w:rPr>
          <w:b/>
          <w:sz w:val="36"/>
          <w:szCs w:val="36"/>
        </w:rPr>
        <w:t>招募说明书</w:t>
      </w:r>
    </w:p>
    <w:p w:rsidR="008333A9" w:rsidRDefault="008333A9">
      <w:pPr>
        <w:jc w:val="center"/>
        <w:rPr>
          <w:b/>
        </w:rPr>
      </w:pPr>
    </w:p>
    <w:p w:rsidR="008333A9" w:rsidRDefault="008333A9">
      <w:pPr>
        <w:jc w:val="center"/>
        <w:rPr>
          <w:b/>
          <w:sz w:val="52"/>
        </w:rPr>
      </w:pPr>
    </w:p>
    <w:p w:rsidR="008333A9" w:rsidRDefault="008333A9">
      <w:pPr>
        <w:jc w:val="center"/>
        <w:rPr>
          <w:sz w:val="24"/>
          <w:szCs w:val="24"/>
        </w:rPr>
      </w:pPr>
      <w:bookmarkStart w:id="0" w:name="_Toc123112222"/>
      <w:bookmarkStart w:id="1" w:name="_Toc139992299"/>
      <w:bookmarkStart w:id="2" w:name="_Toc123701381"/>
      <w:bookmarkStart w:id="3" w:name="_Toc139991724"/>
      <w:bookmarkStart w:id="4" w:name="_Toc123112261"/>
    </w:p>
    <w:p w:rsidR="008333A9" w:rsidRDefault="008333A9">
      <w:pPr>
        <w:jc w:val="center"/>
        <w:rPr>
          <w:sz w:val="24"/>
          <w:szCs w:val="24"/>
        </w:rPr>
      </w:pPr>
    </w:p>
    <w:bookmarkEnd w:id="0"/>
    <w:bookmarkEnd w:id="1"/>
    <w:bookmarkEnd w:id="2"/>
    <w:bookmarkEnd w:id="3"/>
    <w:bookmarkEnd w:id="4"/>
    <w:p w:rsidR="008333A9" w:rsidRDefault="008333A9">
      <w:pPr>
        <w:jc w:val="center"/>
        <w:rPr>
          <w:bCs/>
          <w:sz w:val="32"/>
          <w:szCs w:val="36"/>
        </w:rPr>
      </w:pPr>
    </w:p>
    <w:p w:rsidR="008333A9" w:rsidRDefault="008333A9">
      <w:pPr>
        <w:jc w:val="center"/>
        <w:rPr>
          <w:b/>
          <w:sz w:val="52"/>
        </w:rPr>
      </w:pPr>
    </w:p>
    <w:p w:rsidR="008333A9" w:rsidRDefault="008333A9">
      <w:pPr>
        <w:jc w:val="center"/>
        <w:rPr>
          <w:b/>
          <w:sz w:val="52"/>
        </w:rPr>
      </w:pPr>
    </w:p>
    <w:p w:rsidR="008333A9" w:rsidRDefault="008333A9">
      <w:pPr>
        <w:jc w:val="center"/>
        <w:rPr>
          <w:b/>
          <w:sz w:val="52"/>
        </w:rPr>
      </w:pPr>
    </w:p>
    <w:p w:rsidR="008333A9" w:rsidRDefault="008333A9">
      <w:pPr>
        <w:jc w:val="center"/>
        <w:rPr>
          <w:b/>
          <w:sz w:val="52"/>
        </w:rPr>
      </w:pPr>
    </w:p>
    <w:p w:rsidR="008333A9" w:rsidRDefault="008333A9">
      <w:pPr>
        <w:rPr>
          <w:b/>
        </w:rPr>
      </w:pPr>
    </w:p>
    <w:p w:rsidR="008333A9" w:rsidRDefault="0002249C">
      <w:pPr>
        <w:jc w:val="center"/>
        <w:rPr>
          <w:b/>
          <w:sz w:val="36"/>
        </w:rPr>
      </w:pPr>
      <w:r>
        <w:rPr>
          <w:b/>
          <w:sz w:val="36"/>
        </w:rPr>
        <w:t>基金管理人：</w:t>
      </w:r>
      <w:proofErr w:type="gramStart"/>
      <w:r>
        <w:rPr>
          <w:b/>
          <w:sz w:val="36"/>
        </w:rPr>
        <w:t>汇添富基金</w:t>
      </w:r>
      <w:proofErr w:type="gramEnd"/>
      <w:r>
        <w:rPr>
          <w:b/>
          <w:sz w:val="36"/>
        </w:rPr>
        <w:t>管理股份有限公司</w:t>
      </w:r>
    </w:p>
    <w:p w:rsidR="008333A9" w:rsidRDefault="0002249C">
      <w:pPr>
        <w:jc w:val="center"/>
        <w:rPr>
          <w:b/>
          <w:sz w:val="36"/>
        </w:rPr>
      </w:pPr>
      <w:r>
        <w:rPr>
          <w:b/>
          <w:sz w:val="36"/>
        </w:rPr>
        <w:t>基金托管人：</w:t>
      </w:r>
      <w:r>
        <w:rPr>
          <w:b/>
          <w:sz w:val="32"/>
        </w:rPr>
        <w:t>中国农业银行股份有限公司</w:t>
      </w:r>
    </w:p>
    <w:p w:rsidR="008333A9" w:rsidRDefault="008333A9">
      <w:pPr>
        <w:jc w:val="center"/>
        <w:rPr>
          <w:bCs/>
          <w:sz w:val="32"/>
        </w:rPr>
      </w:pPr>
    </w:p>
    <w:p w:rsidR="008333A9" w:rsidRDefault="008333A9">
      <w:pPr>
        <w:jc w:val="center"/>
        <w:rPr>
          <w:bCs/>
          <w:sz w:val="32"/>
        </w:rPr>
      </w:pPr>
    </w:p>
    <w:p w:rsidR="008333A9" w:rsidRDefault="008333A9">
      <w:pPr>
        <w:rPr>
          <w:rFonts w:ascii="宋体"/>
          <w:b/>
          <w:bCs/>
          <w:sz w:val="30"/>
        </w:rPr>
        <w:sectPr w:rsidR="008333A9">
          <w:footerReference w:type="default" r:id="rId7"/>
          <w:pgSz w:w="11906" w:h="16838"/>
          <w:pgMar w:top="1440" w:right="1800" w:bottom="1440" w:left="1800" w:header="851" w:footer="992" w:gutter="0"/>
          <w:cols w:space="720"/>
          <w:docGrid w:type="lines" w:linePitch="312"/>
        </w:sectPr>
      </w:pPr>
      <w:bookmarkStart w:id="5" w:name="_Toc123701386"/>
      <w:bookmarkStart w:id="6" w:name="_Toc123112227"/>
      <w:bookmarkStart w:id="7" w:name="_Toc139991729"/>
      <w:bookmarkStart w:id="8" w:name="_Toc123112266"/>
      <w:bookmarkStart w:id="9" w:name="_Toc4867"/>
      <w:bookmarkStart w:id="10" w:name="_Toc123701389"/>
      <w:bookmarkStart w:id="11" w:name="_Toc123112229"/>
      <w:bookmarkStart w:id="12" w:name="_Toc8727"/>
      <w:bookmarkStart w:id="13" w:name="_Toc4966"/>
      <w:bookmarkStart w:id="14" w:name="_Toc30935"/>
      <w:bookmarkStart w:id="15" w:name="_Toc141703880"/>
      <w:bookmarkStart w:id="16" w:name="_Toc23386"/>
      <w:bookmarkStart w:id="17" w:name="_Toc123112268"/>
      <w:bookmarkStart w:id="18" w:name="_Toc32639"/>
      <w:bookmarkStart w:id="19" w:name="_Toc26897"/>
      <w:bookmarkStart w:id="20" w:name="_Toc6306"/>
      <w:bookmarkStart w:id="21" w:name="_Toc15517"/>
      <w:bookmarkStart w:id="22" w:name="_Toc233456271"/>
      <w:bookmarkStart w:id="23" w:name="_Toc29629"/>
      <w:bookmarkStart w:id="24" w:name="_Toc139991730"/>
      <w:bookmarkEnd w:id="5"/>
      <w:bookmarkEnd w:id="6"/>
      <w:bookmarkEnd w:id="7"/>
      <w:bookmarkEnd w:id="8"/>
    </w:p>
    <w:p w:rsidR="008333A9" w:rsidRDefault="0002249C">
      <w:pPr>
        <w:autoSpaceDE w:val="0"/>
        <w:autoSpaceDN w:val="0"/>
        <w:adjustRightInd w:val="0"/>
        <w:spacing w:line="360" w:lineRule="auto"/>
        <w:ind w:firstLineChars="200" w:firstLine="482"/>
        <w:jc w:val="center"/>
        <w:rPr>
          <w:rFonts w:ascii="宋体" w:hAnsi="宋体" w:cs="宋体"/>
          <w:b/>
          <w:sz w:val="24"/>
        </w:rPr>
      </w:pPr>
      <w:r>
        <w:rPr>
          <w:rStyle w:val="read"/>
          <w:rFonts w:ascii="宋体" w:hAnsi="宋体" w:cs="宋体"/>
          <w:b/>
          <w:sz w:val="24"/>
        </w:rPr>
        <w:lastRenderedPageBreak/>
        <w:t>目录</w:t>
      </w:r>
    </w:p>
    <w:p w:rsidR="008333A9" w:rsidRDefault="0002249C">
      <w:pPr>
        <w:pStyle w:val="10"/>
        <w:rPr>
          <w:rFonts w:asciiTheme="minorHAnsi" w:hAnsiTheme="minorHAnsi"/>
          <w:noProof/>
        </w:rPr>
      </w:pPr>
      <w:r>
        <w:rPr>
          <w:rStyle w:val="read"/>
          <w:rFonts w:ascii="宋体" w:hAnsi="宋体" w:cs="宋体"/>
          <w:b/>
          <w:sz w:val="24"/>
        </w:rPr>
        <w:fldChar w:fldCharType="begin"/>
      </w:r>
      <w:r>
        <w:rPr>
          <w:rStyle w:val="read"/>
          <w:rFonts w:ascii="宋体" w:hAnsi="宋体" w:cs="宋体"/>
          <w:b/>
          <w:sz w:val="24"/>
        </w:rPr>
        <w:instrText>TOC \o "1-1" \h \z \u</w:instrText>
      </w:r>
      <w:r>
        <w:rPr>
          <w:rStyle w:val="read"/>
          <w:rFonts w:ascii="宋体" w:hAnsi="宋体" w:cs="宋体"/>
          <w:b/>
          <w:sz w:val="24"/>
        </w:rPr>
        <w:fldChar w:fldCharType="separate"/>
      </w:r>
      <w:hyperlink w:anchor="_Toc256000000" w:history="1">
        <w:r>
          <w:rPr>
            <w:rStyle w:val="af0"/>
            <w:noProof/>
          </w:rPr>
          <w:t>第一部分</w:t>
        </w:r>
        <w:r>
          <w:rPr>
            <w:rStyle w:val="af0"/>
            <w:noProof/>
          </w:rPr>
          <w:t xml:space="preserve">  </w:t>
        </w:r>
        <w:r>
          <w:rPr>
            <w:rStyle w:val="af0"/>
            <w:noProof/>
          </w:rPr>
          <w:t>绪言</w:t>
        </w:r>
        <w:r>
          <w:rPr>
            <w:noProof/>
          </w:rPr>
          <w:tab/>
        </w:r>
        <w:r>
          <w:rPr>
            <w:noProof/>
          </w:rPr>
          <w:fldChar w:fldCharType="begin"/>
        </w:r>
        <w:r>
          <w:rPr>
            <w:noProof/>
          </w:rPr>
          <w:instrText xml:space="preserve"> PAGEREF _Toc256000000 \h </w:instrText>
        </w:r>
        <w:r>
          <w:rPr>
            <w:noProof/>
          </w:rPr>
        </w:r>
        <w:r>
          <w:rPr>
            <w:noProof/>
          </w:rPr>
          <w:fldChar w:fldCharType="separate"/>
        </w:r>
        <w:r w:rsidR="00BF0D1C">
          <w:rPr>
            <w:noProof/>
          </w:rPr>
          <w:t>4</w:t>
        </w:r>
        <w:r>
          <w:rPr>
            <w:noProof/>
          </w:rPr>
          <w:fldChar w:fldCharType="end"/>
        </w:r>
      </w:hyperlink>
    </w:p>
    <w:p w:rsidR="008333A9" w:rsidRDefault="00661B38">
      <w:pPr>
        <w:pStyle w:val="10"/>
        <w:rPr>
          <w:rFonts w:asciiTheme="minorHAnsi" w:hAnsiTheme="minorHAnsi"/>
          <w:noProof/>
        </w:rPr>
      </w:pPr>
      <w:hyperlink w:anchor="_Toc256000001" w:history="1">
        <w:r w:rsidR="0002249C">
          <w:rPr>
            <w:rStyle w:val="af0"/>
            <w:noProof/>
          </w:rPr>
          <w:t>第二部分</w:t>
        </w:r>
        <w:r w:rsidR="0002249C">
          <w:rPr>
            <w:rStyle w:val="af0"/>
            <w:noProof/>
          </w:rPr>
          <w:t xml:space="preserve">  </w:t>
        </w:r>
        <w:r w:rsidR="0002249C">
          <w:rPr>
            <w:rStyle w:val="af0"/>
            <w:noProof/>
          </w:rPr>
          <w:t>释义</w:t>
        </w:r>
        <w:r w:rsidR="0002249C">
          <w:rPr>
            <w:noProof/>
          </w:rPr>
          <w:tab/>
        </w:r>
        <w:r w:rsidR="0002249C">
          <w:rPr>
            <w:noProof/>
          </w:rPr>
          <w:fldChar w:fldCharType="begin"/>
        </w:r>
        <w:r w:rsidR="0002249C">
          <w:rPr>
            <w:noProof/>
          </w:rPr>
          <w:instrText xml:space="preserve"> PAGEREF _Toc256000001 \h </w:instrText>
        </w:r>
        <w:r w:rsidR="0002249C">
          <w:rPr>
            <w:noProof/>
          </w:rPr>
        </w:r>
        <w:r w:rsidR="0002249C">
          <w:rPr>
            <w:noProof/>
          </w:rPr>
          <w:fldChar w:fldCharType="separate"/>
        </w:r>
        <w:r w:rsidR="00BF0D1C">
          <w:rPr>
            <w:noProof/>
          </w:rPr>
          <w:t>5</w:t>
        </w:r>
        <w:r w:rsidR="0002249C">
          <w:rPr>
            <w:noProof/>
          </w:rPr>
          <w:fldChar w:fldCharType="end"/>
        </w:r>
      </w:hyperlink>
    </w:p>
    <w:p w:rsidR="008333A9" w:rsidRDefault="00661B38">
      <w:pPr>
        <w:pStyle w:val="10"/>
        <w:rPr>
          <w:rFonts w:asciiTheme="minorHAnsi" w:hAnsiTheme="minorHAnsi"/>
          <w:noProof/>
        </w:rPr>
      </w:pPr>
      <w:hyperlink w:anchor="_Toc256000002" w:history="1">
        <w:r w:rsidR="0002249C">
          <w:rPr>
            <w:rStyle w:val="af0"/>
            <w:noProof/>
          </w:rPr>
          <w:t>第三部分</w:t>
        </w:r>
        <w:r w:rsidR="0002249C">
          <w:rPr>
            <w:rStyle w:val="af0"/>
            <w:noProof/>
          </w:rPr>
          <w:t xml:space="preserve">  </w:t>
        </w:r>
        <w:r w:rsidR="0002249C">
          <w:rPr>
            <w:rStyle w:val="af0"/>
            <w:noProof/>
          </w:rPr>
          <w:t>基金管理人</w:t>
        </w:r>
        <w:r w:rsidR="0002249C">
          <w:rPr>
            <w:noProof/>
          </w:rPr>
          <w:tab/>
        </w:r>
        <w:r w:rsidR="0002249C">
          <w:rPr>
            <w:noProof/>
          </w:rPr>
          <w:fldChar w:fldCharType="begin"/>
        </w:r>
        <w:r w:rsidR="0002249C">
          <w:rPr>
            <w:noProof/>
          </w:rPr>
          <w:instrText xml:space="preserve"> PAGEREF _Toc256000002 \h </w:instrText>
        </w:r>
        <w:r w:rsidR="0002249C">
          <w:rPr>
            <w:noProof/>
          </w:rPr>
        </w:r>
        <w:r w:rsidR="0002249C">
          <w:rPr>
            <w:noProof/>
          </w:rPr>
          <w:fldChar w:fldCharType="separate"/>
        </w:r>
        <w:r w:rsidR="00BF0D1C">
          <w:rPr>
            <w:noProof/>
          </w:rPr>
          <w:t>11</w:t>
        </w:r>
        <w:r w:rsidR="0002249C">
          <w:rPr>
            <w:noProof/>
          </w:rPr>
          <w:fldChar w:fldCharType="end"/>
        </w:r>
      </w:hyperlink>
    </w:p>
    <w:p w:rsidR="008333A9" w:rsidRDefault="00661B38">
      <w:pPr>
        <w:pStyle w:val="10"/>
        <w:rPr>
          <w:rFonts w:asciiTheme="minorHAnsi" w:hAnsiTheme="minorHAnsi"/>
          <w:noProof/>
        </w:rPr>
      </w:pPr>
      <w:hyperlink w:anchor="_Toc256000003" w:history="1">
        <w:r w:rsidR="0002249C">
          <w:rPr>
            <w:rStyle w:val="af0"/>
            <w:noProof/>
          </w:rPr>
          <w:t>第四部分</w:t>
        </w:r>
        <w:r w:rsidR="0002249C">
          <w:rPr>
            <w:rStyle w:val="af0"/>
            <w:noProof/>
          </w:rPr>
          <w:t xml:space="preserve">  </w:t>
        </w:r>
        <w:r w:rsidR="0002249C">
          <w:rPr>
            <w:rStyle w:val="af0"/>
            <w:noProof/>
          </w:rPr>
          <w:t>基金托管人</w:t>
        </w:r>
        <w:r w:rsidR="0002249C">
          <w:rPr>
            <w:noProof/>
          </w:rPr>
          <w:tab/>
        </w:r>
        <w:r w:rsidR="0002249C">
          <w:rPr>
            <w:noProof/>
          </w:rPr>
          <w:fldChar w:fldCharType="begin"/>
        </w:r>
        <w:r w:rsidR="0002249C">
          <w:rPr>
            <w:noProof/>
          </w:rPr>
          <w:instrText xml:space="preserve"> PAGEREF _Toc256000003 \h </w:instrText>
        </w:r>
        <w:r w:rsidR="0002249C">
          <w:rPr>
            <w:noProof/>
          </w:rPr>
        </w:r>
        <w:r w:rsidR="0002249C">
          <w:rPr>
            <w:noProof/>
          </w:rPr>
          <w:fldChar w:fldCharType="separate"/>
        </w:r>
        <w:r w:rsidR="00BF0D1C">
          <w:rPr>
            <w:noProof/>
          </w:rPr>
          <w:t>24</w:t>
        </w:r>
        <w:r w:rsidR="0002249C">
          <w:rPr>
            <w:noProof/>
          </w:rPr>
          <w:fldChar w:fldCharType="end"/>
        </w:r>
      </w:hyperlink>
    </w:p>
    <w:p w:rsidR="008333A9" w:rsidRDefault="00661B38">
      <w:pPr>
        <w:pStyle w:val="10"/>
        <w:rPr>
          <w:rFonts w:asciiTheme="minorHAnsi" w:hAnsiTheme="minorHAnsi"/>
          <w:noProof/>
        </w:rPr>
      </w:pPr>
      <w:hyperlink w:anchor="_Toc256000004" w:history="1">
        <w:r w:rsidR="0002249C">
          <w:rPr>
            <w:rStyle w:val="af0"/>
            <w:noProof/>
          </w:rPr>
          <w:t>第五部分</w:t>
        </w:r>
        <w:r w:rsidR="0002249C">
          <w:rPr>
            <w:rStyle w:val="af0"/>
            <w:noProof/>
          </w:rPr>
          <w:t xml:space="preserve">  </w:t>
        </w:r>
        <w:r w:rsidR="0002249C">
          <w:rPr>
            <w:rStyle w:val="af0"/>
            <w:noProof/>
          </w:rPr>
          <w:t>相关服务机构</w:t>
        </w:r>
        <w:r w:rsidR="0002249C">
          <w:rPr>
            <w:noProof/>
          </w:rPr>
          <w:tab/>
        </w:r>
        <w:bookmarkStart w:id="25" w:name="_GoBack"/>
        <w:bookmarkEnd w:id="25"/>
        <w:r w:rsidR="0002249C">
          <w:rPr>
            <w:noProof/>
          </w:rPr>
          <w:fldChar w:fldCharType="begin"/>
        </w:r>
        <w:r w:rsidR="0002249C">
          <w:rPr>
            <w:noProof/>
          </w:rPr>
          <w:instrText xml:space="preserve"> PAGEREF _Toc256000004 \h </w:instrText>
        </w:r>
        <w:r w:rsidR="0002249C">
          <w:rPr>
            <w:noProof/>
          </w:rPr>
        </w:r>
        <w:r w:rsidR="0002249C">
          <w:rPr>
            <w:noProof/>
          </w:rPr>
          <w:fldChar w:fldCharType="separate"/>
        </w:r>
        <w:r w:rsidR="00BF0D1C">
          <w:rPr>
            <w:noProof/>
          </w:rPr>
          <w:t>27</w:t>
        </w:r>
        <w:r w:rsidR="0002249C">
          <w:rPr>
            <w:noProof/>
          </w:rPr>
          <w:fldChar w:fldCharType="end"/>
        </w:r>
      </w:hyperlink>
    </w:p>
    <w:p w:rsidR="008333A9" w:rsidRDefault="00661B38">
      <w:pPr>
        <w:pStyle w:val="10"/>
        <w:rPr>
          <w:rFonts w:asciiTheme="minorHAnsi" w:hAnsiTheme="minorHAnsi"/>
          <w:noProof/>
        </w:rPr>
      </w:pPr>
      <w:hyperlink w:anchor="_Toc256000005" w:history="1">
        <w:r w:rsidR="0002249C">
          <w:rPr>
            <w:rStyle w:val="af0"/>
            <w:noProof/>
          </w:rPr>
          <w:t>第六部分</w:t>
        </w:r>
        <w:r w:rsidR="0002249C">
          <w:rPr>
            <w:rStyle w:val="af0"/>
            <w:noProof/>
          </w:rPr>
          <w:t xml:space="preserve">  </w:t>
        </w:r>
        <w:r w:rsidR="0002249C">
          <w:rPr>
            <w:rStyle w:val="af0"/>
            <w:noProof/>
          </w:rPr>
          <w:t>基金的募集</w:t>
        </w:r>
        <w:r w:rsidR="0002249C">
          <w:rPr>
            <w:noProof/>
          </w:rPr>
          <w:tab/>
        </w:r>
        <w:r w:rsidR="0002249C">
          <w:rPr>
            <w:noProof/>
          </w:rPr>
          <w:fldChar w:fldCharType="begin"/>
        </w:r>
        <w:r w:rsidR="0002249C">
          <w:rPr>
            <w:noProof/>
          </w:rPr>
          <w:instrText xml:space="preserve"> PAGEREF _Toc256000005 \h </w:instrText>
        </w:r>
        <w:r w:rsidR="0002249C">
          <w:rPr>
            <w:noProof/>
          </w:rPr>
        </w:r>
        <w:r w:rsidR="0002249C">
          <w:rPr>
            <w:noProof/>
          </w:rPr>
          <w:fldChar w:fldCharType="separate"/>
        </w:r>
        <w:r w:rsidR="00BF0D1C">
          <w:rPr>
            <w:noProof/>
          </w:rPr>
          <w:t>29</w:t>
        </w:r>
        <w:r w:rsidR="0002249C">
          <w:rPr>
            <w:noProof/>
          </w:rPr>
          <w:fldChar w:fldCharType="end"/>
        </w:r>
      </w:hyperlink>
    </w:p>
    <w:p w:rsidR="008333A9" w:rsidRDefault="00661B38">
      <w:pPr>
        <w:pStyle w:val="10"/>
        <w:rPr>
          <w:rFonts w:asciiTheme="minorHAnsi" w:hAnsiTheme="minorHAnsi"/>
          <w:noProof/>
        </w:rPr>
      </w:pPr>
      <w:hyperlink w:anchor="_Toc256000006" w:history="1">
        <w:r w:rsidR="0002249C">
          <w:rPr>
            <w:rStyle w:val="af0"/>
            <w:noProof/>
          </w:rPr>
          <w:t>第七部分</w:t>
        </w:r>
        <w:r w:rsidR="0002249C">
          <w:rPr>
            <w:rStyle w:val="af0"/>
            <w:noProof/>
          </w:rPr>
          <w:t xml:space="preserve">  </w:t>
        </w:r>
        <w:r w:rsidR="0002249C">
          <w:rPr>
            <w:rStyle w:val="af0"/>
            <w:noProof/>
          </w:rPr>
          <w:t>基金合同的生效</w:t>
        </w:r>
        <w:r w:rsidR="0002249C">
          <w:rPr>
            <w:noProof/>
          </w:rPr>
          <w:tab/>
        </w:r>
        <w:r w:rsidR="0002249C">
          <w:rPr>
            <w:noProof/>
          </w:rPr>
          <w:fldChar w:fldCharType="begin"/>
        </w:r>
        <w:r w:rsidR="0002249C">
          <w:rPr>
            <w:noProof/>
          </w:rPr>
          <w:instrText xml:space="preserve"> PAGEREF _Toc256000006 \h </w:instrText>
        </w:r>
        <w:r w:rsidR="0002249C">
          <w:rPr>
            <w:noProof/>
          </w:rPr>
        </w:r>
        <w:r w:rsidR="0002249C">
          <w:rPr>
            <w:noProof/>
          </w:rPr>
          <w:fldChar w:fldCharType="separate"/>
        </w:r>
        <w:r w:rsidR="00BF0D1C">
          <w:rPr>
            <w:noProof/>
          </w:rPr>
          <w:t>35</w:t>
        </w:r>
        <w:r w:rsidR="0002249C">
          <w:rPr>
            <w:noProof/>
          </w:rPr>
          <w:fldChar w:fldCharType="end"/>
        </w:r>
      </w:hyperlink>
    </w:p>
    <w:p w:rsidR="008333A9" w:rsidRDefault="00661B38">
      <w:pPr>
        <w:pStyle w:val="10"/>
        <w:rPr>
          <w:rFonts w:asciiTheme="minorHAnsi" w:hAnsiTheme="minorHAnsi"/>
          <w:noProof/>
        </w:rPr>
      </w:pPr>
      <w:hyperlink w:anchor="_Toc256000007" w:history="1">
        <w:r w:rsidR="0002249C">
          <w:rPr>
            <w:rStyle w:val="af0"/>
            <w:noProof/>
          </w:rPr>
          <w:t>第八部分</w:t>
        </w:r>
        <w:r w:rsidR="0002249C">
          <w:rPr>
            <w:rStyle w:val="af0"/>
            <w:noProof/>
          </w:rPr>
          <w:t xml:space="preserve">  </w:t>
        </w:r>
        <w:r w:rsidR="0002249C">
          <w:rPr>
            <w:rStyle w:val="af0"/>
            <w:noProof/>
          </w:rPr>
          <w:t>基金份额的申购与赎回</w:t>
        </w:r>
        <w:r w:rsidR="0002249C">
          <w:rPr>
            <w:noProof/>
          </w:rPr>
          <w:tab/>
        </w:r>
        <w:r w:rsidR="0002249C">
          <w:rPr>
            <w:noProof/>
          </w:rPr>
          <w:fldChar w:fldCharType="begin"/>
        </w:r>
        <w:r w:rsidR="0002249C">
          <w:rPr>
            <w:noProof/>
          </w:rPr>
          <w:instrText xml:space="preserve"> PAGEREF _Toc256000007 \h </w:instrText>
        </w:r>
        <w:r w:rsidR="0002249C">
          <w:rPr>
            <w:noProof/>
          </w:rPr>
        </w:r>
        <w:r w:rsidR="0002249C">
          <w:rPr>
            <w:noProof/>
          </w:rPr>
          <w:fldChar w:fldCharType="separate"/>
        </w:r>
        <w:r w:rsidR="00BF0D1C">
          <w:rPr>
            <w:noProof/>
          </w:rPr>
          <w:t>37</w:t>
        </w:r>
        <w:r w:rsidR="0002249C">
          <w:rPr>
            <w:noProof/>
          </w:rPr>
          <w:fldChar w:fldCharType="end"/>
        </w:r>
      </w:hyperlink>
    </w:p>
    <w:p w:rsidR="008333A9" w:rsidRDefault="00661B38">
      <w:pPr>
        <w:pStyle w:val="10"/>
        <w:rPr>
          <w:rFonts w:asciiTheme="minorHAnsi" w:hAnsiTheme="minorHAnsi"/>
          <w:noProof/>
        </w:rPr>
      </w:pPr>
      <w:hyperlink w:anchor="_Toc256000008" w:history="1">
        <w:r w:rsidR="0002249C">
          <w:rPr>
            <w:rStyle w:val="af0"/>
            <w:noProof/>
          </w:rPr>
          <w:t>第九部分</w:t>
        </w:r>
        <w:r w:rsidR="0002249C">
          <w:rPr>
            <w:rStyle w:val="af0"/>
            <w:noProof/>
          </w:rPr>
          <w:t xml:space="preserve">  </w:t>
        </w:r>
        <w:r w:rsidR="0002249C">
          <w:rPr>
            <w:rStyle w:val="af0"/>
            <w:noProof/>
          </w:rPr>
          <w:t>基金的投资</w:t>
        </w:r>
        <w:r w:rsidR="0002249C">
          <w:rPr>
            <w:noProof/>
          </w:rPr>
          <w:tab/>
        </w:r>
        <w:r w:rsidR="0002249C">
          <w:rPr>
            <w:noProof/>
          </w:rPr>
          <w:fldChar w:fldCharType="begin"/>
        </w:r>
        <w:r w:rsidR="0002249C">
          <w:rPr>
            <w:noProof/>
          </w:rPr>
          <w:instrText xml:space="preserve"> PAGEREF _Toc256000008 \h </w:instrText>
        </w:r>
        <w:r w:rsidR="0002249C">
          <w:rPr>
            <w:noProof/>
          </w:rPr>
        </w:r>
        <w:r w:rsidR="0002249C">
          <w:rPr>
            <w:noProof/>
          </w:rPr>
          <w:fldChar w:fldCharType="separate"/>
        </w:r>
        <w:r w:rsidR="00BF0D1C">
          <w:rPr>
            <w:noProof/>
          </w:rPr>
          <w:t>50</w:t>
        </w:r>
        <w:r w:rsidR="0002249C">
          <w:rPr>
            <w:noProof/>
          </w:rPr>
          <w:fldChar w:fldCharType="end"/>
        </w:r>
      </w:hyperlink>
    </w:p>
    <w:p w:rsidR="008333A9" w:rsidRDefault="00661B38">
      <w:pPr>
        <w:pStyle w:val="10"/>
        <w:rPr>
          <w:rFonts w:asciiTheme="minorHAnsi" w:hAnsiTheme="minorHAnsi"/>
          <w:noProof/>
        </w:rPr>
      </w:pPr>
      <w:hyperlink w:anchor="_Toc256000009" w:history="1">
        <w:r w:rsidR="0002249C">
          <w:rPr>
            <w:rStyle w:val="af0"/>
            <w:noProof/>
          </w:rPr>
          <w:t>第十部分</w:t>
        </w:r>
        <w:r w:rsidR="0002249C">
          <w:rPr>
            <w:rStyle w:val="af0"/>
            <w:noProof/>
          </w:rPr>
          <w:t xml:space="preserve">  </w:t>
        </w:r>
        <w:r w:rsidR="0002249C">
          <w:rPr>
            <w:rStyle w:val="af0"/>
            <w:noProof/>
          </w:rPr>
          <w:t>基金的财产</w:t>
        </w:r>
        <w:r w:rsidR="0002249C">
          <w:rPr>
            <w:noProof/>
          </w:rPr>
          <w:tab/>
        </w:r>
        <w:r w:rsidR="0002249C">
          <w:rPr>
            <w:noProof/>
          </w:rPr>
          <w:fldChar w:fldCharType="begin"/>
        </w:r>
        <w:r w:rsidR="0002249C">
          <w:rPr>
            <w:noProof/>
          </w:rPr>
          <w:instrText xml:space="preserve"> PAGEREF _Toc256000009 \h </w:instrText>
        </w:r>
        <w:r w:rsidR="0002249C">
          <w:rPr>
            <w:noProof/>
          </w:rPr>
        </w:r>
        <w:r w:rsidR="0002249C">
          <w:rPr>
            <w:noProof/>
          </w:rPr>
          <w:fldChar w:fldCharType="separate"/>
        </w:r>
        <w:r w:rsidR="00BF0D1C">
          <w:rPr>
            <w:noProof/>
          </w:rPr>
          <w:t>61</w:t>
        </w:r>
        <w:r w:rsidR="0002249C">
          <w:rPr>
            <w:noProof/>
          </w:rPr>
          <w:fldChar w:fldCharType="end"/>
        </w:r>
      </w:hyperlink>
    </w:p>
    <w:p w:rsidR="008333A9" w:rsidRDefault="00661B38">
      <w:pPr>
        <w:pStyle w:val="10"/>
        <w:rPr>
          <w:rFonts w:asciiTheme="minorHAnsi" w:hAnsiTheme="minorHAnsi"/>
          <w:noProof/>
        </w:rPr>
      </w:pPr>
      <w:hyperlink w:anchor="_Toc256000010" w:history="1">
        <w:r w:rsidR="0002249C">
          <w:rPr>
            <w:rStyle w:val="af0"/>
            <w:noProof/>
          </w:rPr>
          <w:t>第十一部分</w:t>
        </w:r>
        <w:r w:rsidR="0002249C">
          <w:rPr>
            <w:rStyle w:val="af0"/>
            <w:noProof/>
          </w:rPr>
          <w:t xml:space="preserve">  </w:t>
        </w:r>
        <w:r w:rsidR="0002249C">
          <w:rPr>
            <w:rStyle w:val="af0"/>
            <w:noProof/>
          </w:rPr>
          <w:t>基金资产估值</w:t>
        </w:r>
        <w:r w:rsidR="0002249C">
          <w:rPr>
            <w:noProof/>
          </w:rPr>
          <w:tab/>
        </w:r>
        <w:r w:rsidR="0002249C">
          <w:rPr>
            <w:noProof/>
          </w:rPr>
          <w:fldChar w:fldCharType="begin"/>
        </w:r>
        <w:r w:rsidR="0002249C">
          <w:rPr>
            <w:noProof/>
          </w:rPr>
          <w:instrText xml:space="preserve"> PAGEREF _Toc256000010 \h </w:instrText>
        </w:r>
        <w:r w:rsidR="0002249C">
          <w:rPr>
            <w:noProof/>
          </w:rPr>
        </w:r>
        <w:r w:rsidR="0002249C">
          <w:rPr>
            <w:noProof/>
          </w:rPr>
          <w:fldChar w:fldCharType="separate"/>
        </w:r>
        <w:r w:rsidR="00BF0D1C">
          <w:rPr>
            <w:noProof/>
          </w:rPr>
          <w:t>62</w:t>
        </w:r>
        <w:r w:rsidR="0002249C">
          <w:rPr>
            <w:noProof/>
          </w:rPr>
          <w:fldChar w:fldCharType="end"/>
        </w:r>
      </w:hyperlink>
    </w:p>
    <w:p w:rsidR="008333A9" w:rsidRDefault="00661B38">
      <w:pPr>
        <w:pStyle w:val="10"/>
        <w:rPr>
          <w:rFonts w:asciiTheme="minorHAnsi" w:hAnsiTheme="minorHAnsi"/>
          <w:noProof/>
        </w:rPr>
      </w:pPr>
      <w:hyperlink w:anchor="_Toc256000011" w:history="1">
        <w:r w:rsidR="0002249C">
          <w:rPr>
            <w:rStyle w:val="af0"/>
            <w:noProof/>
          </w:rPr>
          <w:t>第十二部分</w:t>
        </w:r>
        <w:r w:rsidR="0002249C">
          <w:rPr>
            <w:rStyle w:val="af0"/>
            <w:noProof/>
          </w:rPr>
          <w:t xml:space="preserve">  </w:t>
        </w:r>
        <w:r w:rsidR="0002249C">
          <w:rPr>
            <w:rStyle w:val="af0"/>
            <w:noProof/>
          </w:rPr>
          <w:t>基金的收益与分配</w:t>
        </w:r>
        <w:r w:rsidR="0002249C">
          <w:rPr>
            <w:noProof/>
          </w:rPr>
          <w:tab/>
        </w:r>
        <w:r w:rsidR="0002249C">
          <w:rPr>
            <w:noProof/>
          </w:rPr>
          <w:fldChar w:fldCharType="begin"/>
        </w:r>
        <w:r w:rsidR="0002249C">
          <w:rPr>
            <w:noProof/>
          </w:rPr>
          <w:instrText xml:space="preserve"> PAGEREF _Toc256000011 \h </w:instrText>
        </w:r>
        <w:r w:rsidR="0002249C">
          <w:rPr>
            <w:noProof/>
          </w:rPr>
        </w:r>
        <w:r w:rsidR="0002249C">
          <w:rPr>
            <w:noProof/>
          </w:rPr>
          <w:fldChar w:fldCharType="separate"/>
        </w:r>
        <w:r w:rsidR="00BF0D1C">
          <w:rPr>
            <w:noProof/>
          </w:rPr>
          <w:t>69</w:t>
        </w:r>
        <w:r w:rsidR="0002249C">
          <w:rPr>
            <w:noProof/>
          </w:rPr>
          <w:fldChar w:fldCharType="end"/>
        </w:r>
      </w:hyperlink>
    </w:p>
    <w:p w:rsidR="008333A9" w:rsidRDefault="00661B38">
      <w:pPr>
        <w:pStyle w:val="10"/>
        <w:rPr>
          <w:rFonts w:asciiTheme="minorHAnsi" w:hAnsiTheme="minorHAnsi"/>
          <w:noProof/>
        </w:rPr>
      </w:pPr>
      <w:hyperlink w:anchor="_Toc256000012" w:history="1">
        <w:r w:rsidR="0002249C">
          <w:rPr>
            <w:rStyle w:val="af0"/>
            <w:noProof/>
          </w:rPr>
          <w:t>第十三部分</w:t>
        </w:r>
        <w:r w:rsidR="0002249C">
          <w:rPr>
            <w:rStyle w:val="af0"/>
            <w:noProof/>
          </w:rPr>
          <w:t xml:space="preserve">  </w:t>
        </w:r>
        <w:r w:rsidR="0002249C">
          <w:rPr>
            <w:rStyle w:val="af0"/>
            <w:noProof/>
          </w:rPr>
          <w:t>基金费用与税收</w:t>
        </w:r>
        <w:r w:rsidR="0002249C">
          <w:rPr>
            <w:noProof/>
          </w:rPr>
          <w:tab/>
        </w:r>
        <w:r w:rsidR="0002249C">
          <w:rPr>
            <w:noProof/>
          </w:rPr>
          <w:fldChar w:fldCharType="begin"/>
        </w:r>
        <w:r w:rsidR="0002249C">
          <w:rPr>
            <w:noProof/>
          </w:rPr>
          <w:instrText xml:space="preserve"> PAGEREF _Toc256000012 \h </w:instrText>
        </w:r>
        <w:r w:rsidR="0002249C">
          <w:rPr>
            <w:noProof/>
          </w:rPr>
        </w:r>
        <w:r w:rsidR="0002249C">
          <w:rPr>
            <w:noProof/>
          </w:rPr>
          <w:fldChar w:fldCharType="separate"/>
        </w:r>
        <w:r w:rsidR="00BF0D1C">
          <w:rPr>
            <w:noProof/>
          </w:rPr>
          <w:t>71</w:t>
        </w:r>
        <w:r w:rsidR="0002249C">
          <w:rPr>
            <w:noProof/>
          </w:rPr>
          <w:fldChar w:fldCharType="end"/>
        </w:r>
      </w:hyperlink>
    </w:p>
    <w:p w:rsidR="008333A9" w:rsidRDefault="00661B38">
      <w:pPr>
        <w:pStyle w:val="10"/>
        <w:rPr>
          <w:rFonts w:asciiTheme="minorHAnsi" w:hAnsiTheme="minorHAnsi"/>
          <w:noProof/>
        </w:rPr>
      </w:pPr>
      <w:hyperlink w:anchor="_Toc256000013" w:history="1">
        <w:r w:rsidR="0002249C">
          <w:rPr>
            <w:rStyle w:val="af0"/>
            <w:noProof/>
          </w:rPr>
          <w:t>第十四部分</w:t>
        </w:r>
        <w:r w:rsidR="0002249C">
          <w:rPr>
            <w:rStyle w:val="af0"/>
            <w:noProof/>
          </w:rPr>
          <w:t xml:space="preserve">  </w:t>
        </w:r>
        <w:r w:rsidR="0002249C">
          <w:rPr>
            <w:rStyle w:val="af0"/>
            <w:noProof/>
          </w:rPr>
          <w:t>基金的会计与审计</w:t>
        </w:r>
        <w:r w:rsidR="0002249C">
          <w:rPr>
            <w:noProof/>
          </w:rPr>
          <w:tab/>
        </w:r>
        <w:r w:rsidR="0002249C">
          <w:rPr>
            <w:noProof/>
          </w:rPr>
          <w:fldChar w:fldCharType="begin"/>
        </w:r>
        <w:r w:rsidR="0002249C">
          <w:rPr>
            <w:noProof/>
          </w:rPr>
          <w:instrText xml:space="preserve"> PAGEREF _Toc256000013 \h </w:instrText>
        </w:r>
        <w:r w:rsidR="0002249C">
          <w:rPr>
            <w:noProof/>
          </w:rPr>
        </w:r>
        <w:r w:rsidR="0002249C">
          <w:rPr>
            <w:noProof/>
          </w:rPr>
          <w:fldChar w:fldCharType="separate"/>
        </w:r>
        <w:r w:rsidR="00BF0D1C">
          <w:rPr>
            <w:noProof/>
          </w:rPr>
          <w:t>74</w:t>
        </w:r>
        <w:r w:rsidR="0002249C">
          <w:rPr>
            <w:noProof/>
          </w:rPr>
          <w:fldChar w:fldCharType="end"/>
        </w:r>
      </w:hyperlink>
    </w:p>
    <w:p w:rsidR="008333A9" w:rsidRDefault="00661B38">
      <w:pPr>
        <w:pStyle w:val="10"/>
        <w:rPr>
          <w:rFonts w:asciiTheme="minorHAnsi" w:hAnsiTheme="minorHAnsi"/>
          <w:noProof/>
        </w:rPr>
      </w:pPr>
      <w:hyperlink w:anchor="_Toc256000014" w:history="1">
        <w:r w:rsidR="0002249C">
          <w:rPr>
            <w:rStyle w:val="af0"/>
            <w:noProof/>
          </w:rPr>
          <w:t>第十五部分</w:t>
        </w:r>
        <w:r w:rsidR="0002249C">
          <w:rPr>
            <w:rStyle w:val="af0"/>
            <w:noProof/>
          </w:rPr>
          <w:t xml:space="preserve">  </w:t>
        </w:r>
        <w:r w:rsidR="0002249C">
          <w:rPr>
            <w:rStyle w:val="af0"/>
            <w:noProof/>
          </w:rPr>
          <w:t>基金的信息披露</w:t>
        </w:r>
        <w:r w:rsidR="0002249C">
          <w:rPr>
            <w:noProof/>
          </w:rPr>
          <w:tab/>
        </w:r>
        <w:r w:rsidR="0002249C">
          <w:rPr>
            <w:noProof/>
          </w:rPr>
          <w:fldChar w:fldCharType="begin"/>
        </w:r>
        <w:r w:rsidR="0002249C">
          <w:rPr>
            <w:noProof/>
          </w:rPr>
          <w:instrText xml:space="preserve"> PAGEREF _Toc256000014 \h </w:instrText>
        </w:r>
        <w:r w:rsidR="0002249C">
          <w:rPr>
            <w:noProof/>
          </w:rPr>
        </w:r>
        <w:r w:rsidR="0002249C">
          <w:rPr>
            <w:noProof/>
          </w:rPr>
          <w:fldChar w:fldCharType="separate"/>
        </w:r>
        <w:r w:rsidR="00BF0D1C">
          <w:rPr>
            <w:noProof/>
          </w:rPr>
          <w:t>75</w:t>
        </w:r>
        <w:r w:rsidR="0002249C">
          <w:rPr>
            <w:noProof/>
          </w:rPr>
          <w:fldChar w:fldCharType="end"/>
        </w:r>
      </w:hyperlink>
    </w:p>
    <w:p w:rsidR="008333A9" w:rsidRDefault="00661B38">
      <w:pPr>
        <w:pStyle w:val="10"/>
        <w:rPr>
          <w:rFonts w:asciiTheme="minorHAnsi" w:hAnsiTheme="minorHAnsi"/>
          <w:noProof/>
        </w:rPr>
      </w:pPr>
      <w:hyperlink w:anchor="_Toc256000015" w:history="1">
        <w:r w:rsidR="0002249C">
          <w:rPr>
            <w:rStyle w:val="af0"/>
            <w:noProof/>
          </w:rPr>
          <w:t>第十六部分</w:t>
        </w:r>
        <w:r w:rsidR="0002249C">
          <w:rPr>
            <w:rStyle w:val="af0"/>
            <w:noProof/>
          </w:rPr>
          <w:t xml:space="preserve">  </w:t>
        </w:r>
        <w:r w:rsidR="0002249C">
          <w:rPr>
            <w:rStyle w:val="af0"/>
            <w:noProof/>
          </w:rPr>
          <w:t>风险揭示</w:t>
        </w:r>
        <w:r w:rsidR="0002249C">
          <w:rPr>
            <w:noProof/>
          </w:rPr>
          <w:tab/>
        </w:r>
        <w:r w:rsidR="0002249C">
          <w:rPr>
            <w:noProof/>
          </w:rPr>
          <w:fldChar w:fldCharType="begin"/>
        </w:r>
        <w:r w:rsidR="0002249C">
          <w:rPr>
            <w:noProof/>
          </w:rPr>
          <w:instrText xml:space="preserve"> PAGEREF _Toc256000015 \h </w:instrText>
        </w:r>
        <w:r w:rsidR="0002249C">
          <w:rPr>
            <w:noProof/>
          </w:rPr>
        </w:r>
        <w:r w:rsidR="0002249C">
          <w:rPr>
            <w:noProof/>
          </w:rPr>
          <w:fldChar w:fldCharType="separate"/>
        </w:r>
        <w:r w:rsidR="00BF0D1C">
          <w:rPr>
            <w:noProof/>
          </w:rPr>
          <w:t>83</w:t>
        </w:r>
        <w:r w:rsidR="0002249C">
          <w:rPr>
            <w:noProof/>
          </w:rPr>
          <w:fldChar w:fldCharType="end"/>
        </w:r>
      </w:hyperlink>
    </w:p>
    <w:p w:rsidR="008333A9" w:rsidRDefault="00661B38">
      <w:pPr>
        <w:pStyle w:val="10"/>
        <w:rPr>
          <w:rFonts w:asciiTheme="minorHAnsi" w:hAnsiTheme="minorHAnsi"/>
          <w:noProof/>
        </w:rPr>
      </w:pPr>
      <w:hyperlink w:anchor="_Toc256000016" w:history="1">
        <w:r w:rsidR="0002249C">
          <w:rPr>
            <w:rStyle w:val="af0"/>
            <w:noProof/>
          </w:rPr>
          <w:t>第十七部分</w:t>
        </w:r>
        <w:r w:rsidR="0002249C">
          <w:rPr>
            <w:rStyle w:val="af0"/>
            <w:noProof/>
          </w:rPr>
          <w:t xml:space="preserve">  </w:t>
        </w:r>
        <w:r w:rsidR="0002249C">
          <w:rPr>
            <w:rStyle w:val="af0"/>
            <w:noProof/>
          </w:rPr>
          <w:t>侧袋机制</w:t>
        </w:r>
        <w:r w:rsidR="0002249C">
          <w:rPr>
            <w:noProof/>
          </w:rPr>
          <w:tab/>
        </w:r>
        <w:r w:rsidR="0002249C">
          <w:rPr>
            <w:noProof/>
          </w:rPr>
          <w:fldChar w:fldCharType="begin"/>
        </w:r>
        <w:r w:rsidR="0002249C">
          <w:rPr>
            <w:noProof/>
          </w:rPr>
          <w:instrText xml:space="preserve"> PAGEREF _Toc256000016 \h </w:instrText>
        </w:r>
        <w:r w:rsidR="0002249C">
          <w:rPr>
            <w:noProof/>
          </w:rPr>
        </w:r>
        <w:r w:rsidR="0002249C">
          <w:rPr>
            <w:noProof/>
          </w:rPr>
          <w:fldChar w:fldCharType="separate"/>
        </w:r>
        <w:r w:rsidR="00BF0D1C">
          <w:rPr>
            <w:noProof/>
          </w:rPr>
          <w:t>95</w:t>
        </w:r>
        <w:r w:rsidR="0002249C">
          <w:rPr>
            <w:noProof/>
          </w:rPr>
          <w:fldChar w:fldCharType="end"/>
        </w:r>
      </w:hyperlink>
    </w:p>
    <w:p w:rsidR="008333A9" w:rsidRDefault="00661B38">
      <w:pPr>
        <w:pStyle w:val="10"/>
        <w:rPr>
          <w:rFonts w:asciiTheme="minorHAnsi" w:hAnsiTheme="minorHAnsi"/>
          <w:noProof/>
        </w:rPr>
      </w:pPr>
      <w:hyperlink w:anchor="_Toc256000017" w:history="1">
        <w:r w:rsidR="0002249C">
          <w:rPr>
            <w:rStyle w:val="af0"/>
            <w:noProof/>
          </w:rPr>
          <w:t>第十八部分</w:t>
        </w:r>
        <w:r w:rsidR="0002249C">
          <w:rPr>
            <w:rStyle w:val="af0"/>
            <w:noProof/>
          </w:rPr>
          <w:t xml:space="preserve">  </w:t>
        </w:r>
        <w:r w:rsidR="0002249C">
          <w:rPr>
            <w:rStyle w:val="af0"/>
            <w:noProof/>
          </w:rPr>
          <w:t>基金合同的变更、终止与基金财产的清算</w:t>
        </w:r>
        <w:r w:rsidR="0002249C">
          <w:rPr>
            <w:noProof/>
          </w:rPr>
          <w:tab/>
        </w:r>
        <w:r w:rsidR="0002249C">
          <w:rPr>
            <w:noProof/>
          </w:rPr>
          <w:fldChar w:fldCharType="begin"/>
        </w:r>
        <w:r w:rsidR="0002249C">
          <w:rPr>
            <w:noProof/>
          </w:rPr>
          <w:instrText xml:space="preserve"> PAGEREF _Toc256000017 \h </w:instrText>
        </w:r>
        <w:r w:rsidR="0002249C">
          <w:rPr>
            <w:noProof/>
          </w:rPr>
        </w:r>
        <w:r w:rsidR="0002249C">
          <w:rPr>
            <w:noProof/>
          </w:rPr>
          <w:fldChar w:fldCharType="separate"/>
        </w:r>
        <w:r w:rsidR="00BF0D1C">
          <w:rPr>
            <w:noProof/>
          </w:rPr>
          <w:t>98</w:t>
        </w:r>
        <w:r w:rsidR="0002249C">
          <w:rPr>
            <w:noProof/>
          </w:rPr>
          <w:fldChar w:fldCharType="end"/>
        </w:r>
      </w:hyperlink>
    </w:p>
    <w:p w:rsidR="008333A9" w:rsidRDefault="00661B38">
      <w:pPr>
        <w:pStyle w:val="10"/>
        <w:rPr>
          <w:rFonts w:asciiTheme="minorHAnsi" w:hAnsiTheme="minorHAnsi"/>
          <w:noProof/>
        </w:rPr>
      </w:pPr>
      <w:hyperlink w:anchor="_Toc256000018" w:history="1">
        <w:r w:rsidR="0002249C">
          <w:rPr>
            <w:rStyle w:val="af0"/>
            <w:noProof/>
          </w:rPr>
          <w:t>第十九部分</w:t>
        </w:r>
        <w:r w:rsidR="0002249C">
          <w:rPr>
            <w:rStyle w:val="af0"/>
            <w:noProof/>
          </w:rPr>
          <w:t xml:space="preserve">  </w:t>
        </w:r>
        <w:r w:rsidR="0002249C">
          <w:rPr>
            <w:rStyle w:val="af0"/>
            <w:noProof/>
          </w:rPr>
          <w:t>基金合同的内容摘要</w:t>
        </w:r>
        <w:r w:rsidR="0002249C">
          <w:rPr>
            <w:noProof/>
          </w:rPr>
          <w:tab/>
        </w:r>
        <w:r w:rsidR="0002249C">
          <w:rPr>
            <w:noProof/>
          </w:rPr>
          <w:fldChar w:fldCharType="begin"/>
        </w:r>
        <w:r w:rsidR="0002249C">
          <w:rPr>
            <w:noProof/>
          </w:rPr>
          <w:instrText xml:space="preserve"> PAGEREF _Toc256000018 \h </w:instrText>
        </w:r>
        <w:r w:rsidR="0002249C">
          <w:rPr>
            <w:noProof/>
          </w:rPr>
        </w:r>
        <w:r w:rsidR="0002249C">
          <w:rPr>
            <w:noProof/>
          </w:rPr>
          <w:fldChar w:fldCharType="separate"/>
        </w:r>
        <w:r w:rsidR="00BF0D1C">
          <w:rPr>
            <w:noProof/>
          </w:rPr>
          <w:t>100</w:t>
        </w:r>
        <w:r w:rsidR="0002249C">
          <w:rPr>
            <w:noProof/>
          </w:rPr>
          <w:fldChar w:fldCharType="end"/>
        </w:r>
      </w:hyperlink>
    </w:p>
    <w:p w:rsidR="008333A9" w:rsidRDefault="00661B38">
      <w:pPr>
        <w:pStyle w:val="10"/>
        <w:rPr>
          <w:rFonts w:asciiTheme="minorHAnsi" w:hAnsiTheme="minorHAnsi"/>
          <w:noProof/>
        </w:rPr>
      </w:pPr>
      <w:hyperlink w:anchor="_Toc256000019" w:history="1">
        <w:r w:rsidR="0002249C">
          <w:rPr>
            <w:rStyle w:val="af0"/>
            <w:noProof/>
          </w:rPr>
          <w:t>第二十部分</w:t>
        </w:r>
        <w:r w:rsidR="0002249C">
          <w:rPr>
            <w:rStyle w:val="af0"/>
            <w:noProof/>
          </w:rPr>
          <w:t xml:space="preserve">  </w:t>
        </w:r>
        <w:r w:rsidR="0002249C">
          <w:rPr>
            <w:rStyle w:val="af0"/>
            <w:noProof/>
          </w:rPr>
          <w:t>托管协议的内容摘要</w:t>
        </w:r>
        <w:r w:rsidR="0002249C">
          <w:rPr>
            <w:noProof/>
          </w:rPr>
          <w:tab/>
        </w:r>
        <w:r w:rsidR="0002249C">
          <w:rPr>
            <w:noProof/>
          </w:rPr>
          <w:fldChar w:fldCharType="begin"/>
        </w:r>
        <w:r w:rsidR="0002249C">
          <w:rPr>
            <w:noProof/>
          </w:rPr>
          <w:instrText xml:space="preserve"> PAGEREF _Toc256000019 \h </w:instrText>
        </w:r>
        <w:r w:rsidR="0002249C">
          <w:rPr>
            <w:noProof/>
          </w:rPr>
        </w:r>
        <w:r w:rsidR="0002249C">
          <w:rPr>
            <w:noProof/>
          </w:rPr>
          <w:fldChar w:fldCharType="separate"/>
        </w:r>
        <w:r w:rsidR="00BF0D1C">
          <w:rPr>
            <w:noProof/>
          </w:rPr>
          <w:t>117</w:t>
        </w:r>
        <w:r w:rsidR="0002249C">
          <w:rPr>
            <w:noProof/>
          </w:rPr>
          <w:fldChar w:fldCharType="end"/>
        </w:r>
      </w:hyperlink>
    </w:p>
    <w:p w:rsidR="008333A9" w:rsidRDefault="00661B38">
      <w:pPr>
        <w:pStyle w:val="10"/>
        <w:rPr>
          <w:rFonts w:asciiTheme="minorHAnsi" w:hAnsiTheme="minorHAnsi"/>
          <w:noProof/>
        </w:rPr>
      </w:pPr>
      <w:hyperlink w:anchor="_Toc256000020" w:history="1">
        <w:r w:rsidR="0002249C">
          <w:rPr>
            <w:rStyle w:val="af0"/>
            <w:noProof/>
          </w:rPr>
          <w:t>第二十一部分</w:t>
        </w:r>
        <w:r w:rsidR="0002249C">
          <w:rPr>
            <w:rStyle w:val="af0"/>
            <w:noProof/>
          </w:rPr>
          <w:t xml:space="preserve">  </w:t>
        </w:r>
        <w:r w:rsidR="0002249C">
          <w:rPr>
            <w:rStyle w:val="af0"/>
            <w:noProof/>
          </w:rPr>
          <w:t>对基金份额持有人的服务</w:t>
        </w:r>
        <w:r w:rsidR="0002249C">
          <w:rPr>
            <w:noProof/>
          </w:rPr>
          <w:tab/>
        </w:r>
        <w:r w:rsidR="0002249C">
          <w:rPr>
            <w:noProof/>
          </w:rPr>
          <w:fldChar w:fldCharType="begin"/>
        </w:r>
        <w:r w:rsidR="0002249C">
          <w:rPr>
            <w:noProof/>
          </w:rPr>
          <w:instrText xml:space="preserve"> PAGEREF _Toc256000020 \h </w:instrText>
        </w:r>
        <w:r w:rsidR="0002249C">
          <w:rPr>
            <w:noProof/>
          </w:rPr>
        </w:r>
        <w:r w:rsidR="0002249C">
          <w:rPr>
            <w:noProof/>
          </w:rPr>
          <w:fldChar w:fldCharType="separate"/>
        </w:r>
        <w:r w:rsidR="00BF0D1C">
          <w:rPr>
            <w:noProof/>
          </w:rPr>
          <w:t>140</w:t>
        </w:r>
        <w:r w:rsidR="0002249C">
          <w:rPr>
            <w:noProof/>
          </w:rPr>
          <w:fldChar w:fldCharType="end"/>
        </w:r>
      </w:hyperlink>
    </w:p>
    <w:p w:rsidR="008333A9" w:rsidRDefault="00661B38">
      <w:pPr>
        <w:pStyle w:val="10"/>
        <w:rPr>
          <w:rFonts w:asciiTheme="minorHAnsi" w:hAnsiTheme="minorHAnsi"/>
          <w:noProof/>
        </w:rPr>
      </w:pPr>
      <w:hyperlink w:anchor="_Toc256000021" w:history="1">
        <w:r w:rsidR="0002249C">
          <w:rPr>
            <w:rStyle w:val="af0"/>
            <w:noProof/>
          </w:rPr>
          <w:t>第二十二部分</w:t>
        </w:r>
        <w:r w:rsidR="0002249C">
          <w:rPr>
            <w:rStyle w:val="af0"/>
            <w:noProof/>
          </w:rPr>
          <w:t xml:space="preserve">  </w:t>
        </w:r>
        <w:r w:rsidR="0002249C">
          <w:rPr>
            <w:rStyle w:val="af0"/>
            <w:noProof/>
          </w:rPr>
          <w:t>其他应披露事项</w:t>
        </w:r>
        <w:r w:rsidR="0002249C">
          <w:rPr>
            <w:noProof/>
          </w:rPr>
          <w:tab/>
        </w:r>
        <w:r w:rsidR="0002249C">
          <w:rPr>
            <w:noProof/>
          </w:rPr>
          <w:fldChar w:fldCharType="begin"/>
        </w:r>
        <w:r w:rsidR="0002249C">
          <w:rPr>
            <w:noProof/>
          </w:rPr>
          <w:instrText xml:space="preserve"> PAGEREF _Toc256000021 \h </w:instrText>
        </w:r>
        <w:r w:rsidR="0002249C">
          <w:rPr>
            <w:noProof/>
          </w:rPr>
        </w:r>
        <w:r w:rsidR="0002249C">
          <w:rPr>
            <w:noProof/>
          </w:rPr>
          <w:fldChar w:fldCharType="separate"/>
        </w:r>
        <w:r w:rsidR="00BF0D1C">
          <w:rPr>
            <w:noProof/>
          </w:rPr>
          <w:t>142</w:t>
        </w:r>
        <w:r w:rsidR="0002249C">
          <w:rPr>
            <w:noProof/>
          </w:rPr>
          <w:fldChar w:fldCharType="end"/>
        </w:r>
      </w:hyperlink>
    </w:p>
    <w:p w:rsidR="008333A9" w:rsidRDefault="00661B38">
      <w:pPr>
        <w:pStyle w:val="10"/>
        <w:rPr>
          <w:rFonts w:asciiTheme="minorHAnsi" w:hAnsiTheme="minorHAnsi"/>
          <w:noProof/>
        </w:rPr>
      </w:pPr>
      <w:hyperlink w:anchor="_Toc256000022" w:history="1">
        <w:r w:rsidR="0002249C">
          <w:rPr>
            <w:rStyle w:val="af0"/>
            <w:noProof/>
          </w:rPr>
          <w:t>第二十三部分</w:t>
        </w:r>
        <w:r w:rsidR="0002249C">
          <w:rPr>
            <w:rStyle w:val="af0"/>
            <w:noProof/>
          </w:rPr>
          <w:t xml:space="preserve">  </w:t>
        </w:r>
        <w:r w:rsidR="0002249C">
          <w:rPr>
            <w:rStyle w:val="af0"/>
            <w:noProof/>
          </w:rPr>
          <w:t>招募说明书的存放和查阅方式</w:t>
        </w:r>
        <w:r w:rsidR="0002249C">
          <w:rPr>
            <w:noProof/>
          </w:rPr>
          <w:tab/>
        </w:r>
        <w:r w:rsidR="0002249C">
          <w:rPr>
            <w:noProof/>
          </w:rPr>
          <w:fldChar w:fldCharType="begin"/>
        </w:r>
        <w:r w:rsidR="0002249C">
          <w:rPr>
            <w:noProof/>
          </w:rPr>
          <w:instrText xml:space="preserve"> PAGEREF _Toc256000022 \h </w:instrText>
        </w:r>
        <w:r w:rsidR="0002249C">
          <w:rPr>
            <w:noProof/>
          </w:rPr>
        </w:r>
        <w:r w:rsidR="0002249C">
          <w:rPr>
            <w:noProof/>
          </w:rPr>
          <w:fldChar w:fldCharType="separate"/>
        </w:r>
        <w:r w:rsidR="00BF0D1C">
          <w:rPr>
            <w:noProof/>
          </w:rPr>
          <w:t>143</w:t>
        </w:r>
        <w:r w:rsidR="0002249C">
          <w:rPr>
            <w:noProof/>
          </w:rPr>
          <w:fldChar w:fldCharType="end"/>
        </w:r>
      </w:hyperlink>
    </w:p>
    <w:p w:rsidR="008333A9" w:rsidRDefault="00661B38">
      <w:pPr>
        <w:pStyle w:val="10"/>
        <w:rPr>
          <w:rFonts w:asciiTheme="minorHAnsi" w:hAnsiTheme="minorHAnsi"/>
          <w:noProof/>
        </w:rPr>
      </w:pPr>
      <w:hyperlink w:anchor="_Toc256000023" w:history="1">
        <w:r w:rsidR="0002249C">
          <w:rPr>
            <w:rStyle w:val="af0"/>
            <w:noProof/>
          </w:rPr>
          <w:t>第二十四部分</w:t>
        </w:r>
        <w:r w:rsidR="0002249C">
          <w:rPr>
            <w:rStyle w:val="af0"/>
            <w:noProof/>
          </w:rPr>
          <w:t xml:space="preserve">  </w:t>
        </w:r>
        <w:r w:rsidR="0002249C">
          <w:rPr>
            <w:rStyle w:val="af0"/>
            <w:noProof/>
          </w:rPr>
          <w:t>备查文件</w:t>
        </w:r>
        <w:r w:rsidR="0002249C">
          <w:rPr>
            <w:noProof/>
          </w:rPr>
          <w:tab/>
        </w:r>
        <w:r w:rsidR="0002249C">
          <w:rPr>
            <w:noProof/>
          </w:rPr>
          <w:fldChar w:fldCharType="begin"/>
        </w:r>
        <w:r w:rsidR="0002249C">
          <w:rPr>
            <w:noProof/>
          </w:rPr>
          <w:instrText xml:space="preserve"> PAGEREF _Toc256000023 \h </w:instrText>
        </w:r>
        <w:r w:rsidR="0002249C">
          <w:rPr>
            <w:noProof/>
          </w:rPr>
        </w:r>
        <w:r w:rsidR="0002249C">
          <w:rPr>
            <w:noProof/>
          </w:rPr>
          <w:fldChar w:fldCharType="separate"/>
        </w:r>
        <w:r w:rsidR="00BF0D1C">
          <w:rPr>
            <w:noProof/>
          </w:rPr>
          <w:t>144</w:t>
        </w:r>
        <w:r w:rsidR="0002249C">
          <w:rPr>
            <w:noProof/>
          </w:rPr>
          <w:fldChar w:fldCharType="end"/>
        </w:r>
      </w:hyperlink>
    </w:p>
    <w:p w:rsidR="008333A9" w:rsidRDefault="0002249C">
      <w:pPr>
        <w:jc w:val="left"/>
        <w:rPr>
          <w:rStyle w:val="read"/>
          <w:rFonts w:ascii="宋体" w:hAnsi="宋体" w:cs="宋体"/>
          <w:b/>
          <w:sz w:val="24"/>
        </w:rPr>
        <w:sectPr w:rsidR="008333A9">
          <w:headerReference w:type="default" r:id="rId8"/>
          <w:footerReference w:type="default" r:id="rId9"/>
          <w:pgSz w:w="11906" w:h="16838"/>
          <w:pgMar w:top="1440" w:right="1800" w:bottom="1440" w:left="1800" w:header="851" w:footer="992" w:gutter="0"/>
          <w:pgNumType w:start="1"/>
          <w:cols w:space="720"/>
          <w:docGrid w:type="lines" w:linePitch="312"/>
        </w:sectPr>
      </w:pPr>
      <w:r>
        <w:rPr>
          <w:rStyle w:val="read"/>
          <w:rFonts w:ascii="宋体" w:hAnsi="宋体" w:cs="宋体"/>
          <w:b/>
          <w:sz w:val="24"/>
        </w:rPr>
        <w:fldChar w:fldCharType="end"/>
      </w:r>
      <w:bookmarkStart w:id="26" w:name="_Toc2163435"/>
      <w:bookmarkStart w:id="27" w:name="_Toc11660"/>
      <w:bookmarkStart w:id="28" w:name="_Toc452127896"/>
    </w:p>
    <w:p w:rsidR="008333A9" w:rsidRDefault="0002249C">
      <w:pPr>
        <w:widowControl/>
        <w:jc w:val="center"/>
        <w:rPr>
          <w:b/>
          <w:bCs/>
          <w:sz w:val="30"/>
        </w:rPr>
      </w:pPr>
      <w:r>
        <w:rPr>
          <w:b/>
          <w:bCs/>
          <w:sz w:val="30"/>
        </w:rPr>
        <w:lastRenderedPageBreak/>
        <w:t>重要提示</w:t>
      </w:r>
    </w:p>
    <w:p w:rsidR="008333A9" w:rsidRDefault="008333A9">
      <w:pPr>
        <w:widowControl/>
        <w:jc w:val="center"/>
        <w:rPr>
          <w:sz w:val="30"/>
        </w:rPr>
      </w:pPr>
    </w:p>
    <w:p w:rsidR="008333A9" w:rsidRDefault="0002249C">
      <w:pPr>
        <w:pStyle w:val="div"/>
        <w:spacing w:line="360" w:lineRule="auto"/>
        <w:ind w:firstLine="420"/>
        <w:rPr>
          <w:rFonts w:ascii="宋体" w:hAnsi="宋体" w:cs="宋体"/>
          <w:kern w:val="0"/>
          <w:sz w:val="24"/>
          <w:szCs w:val="24"/>
        </w:rPr>
      </w:pPr>
      <w:proofErr w:type="gramStart"/>
      <w:r>
        <w:rPr>
          <w:rStyle w:val="custom"/>
          <w:rFonts w:ascii="宋体" w:hAnsi="宋体" w:cs="宋体" w:hint="eastAsia"/>
          <w:kern w:val="0"/>
          <w:sz w:val="24"/>
          <w:szCs w:val="24"/>
        </w:rPr>
        <w:t>汇添富</w:t>
      </w:r>
      <w:proofErr w:type="gramEnd"/>
      <w:r>
        <w:rPr>
          <w:rStyle w:val="custom"/>
          <w:rFonts w:ascii="宋体" w:hAnsi="宋体" w:cs="宋体" w:hint="eastAsia"/>
          <w:kern w:val="0"/>
          <w:sz w:val="24"/>
          <w:szCs w:val="24"/>
        </w:rPr>
        <w:t>港股通科技精选混合型发起式证券投资基金</w:t>
      </w:r>
      <w:r>
        <w:rPr>
          <w:rFonts w:ascii="宋体" w:hAnsi="宋体" w:cs="宋体"/>
          <w:kern w:val="0"/>
          <w:sz w:val="24"/>
          <w:szCs w:val="24"/>
        </w:rPr>
        <w:t>（以下简称“本基金”）经中国证券监督管理委员会20</w:t>
      </w:r>
      <w:r>
        <w:rPr>
          <w:rFonts w:ascii="宋体" w:hAnsi="宋体" w:cs="宋体" w:hint="eastAsia"/>
          <w:kern w:val="0"/>
          <w:sz w:val="24"/>
          <w:szCs w:val="24"/>
        </w:rPr>
        <w:t>25</w:t>
      </w:r>
      <w:r>
        <w:rPr>
          <w:rFonts w:ascii="宋体" w:hAnsi="宋体" w:cs="宋体"/>
          <w:kern w:val="0"/>
          <w:sz w:val="24"/>
          <w:szCs w:val="24"/>
        </w:rPr>
        <w:t>年</w:t>
      </w:r>
      <w:r>
        <w:rPr>
          <w:rFonts w:ascii="宋体" w:hAnsi="宋体" w:cs="宋体" w:hint="eastAsia"/>
          <w:kern w:val="0"/>
          <w:sz w:val="24"/>
          <w:szCs w:val="24"/>
        </w:rPr>
        <w:t>8</w:t>
      </w:r>
      <w:r>
        <w:rPr>
          <w:rFonts w:ascii="宋体" w:hAnsi="宋体" w:cs="宋体"/>
          <w:kern w:val="0"/>
          <w:sz w:val="24"/>
          <w:szCs w:val="24"/>
        </w:rPr>
        <w:t>月</w:t>
      </w:r>
      <w:r>
        <w:rPr>
          <w:rFonts w:ascii="宋体" w:hAnsi="宋体" w:cs="宋体" w:hint="eastAsia"/>
          <w:kern w:val="0"/>
          <w:sz w:val="24"/>
          <w:szCs w:val="24"/>
        </w:rPr>
        <w:t>22</w:t>
      </w:r>
      <w:r>
        <w:rPr>
          <w:rFonts w:ascii="宋体" w:hAnsi="宋体" w:cs="宋体"/>
          <w:kern w:val="0"/>
          <w:sz w:val="24"/>
          <w:szCs w:val="24"/>
        </w:rPr>
        <w:t>日证监许可【20</w:t>
      </w:r>
      <w:r>
        <w:rPr>
          <w:rFonts w:ascii="宋体" w:hAnsi="宋体" w:cs="宋体" w:hint="eastAsia"/>
          <w:kern w:val="0"/>
          <w:sz w:val="24"/>
          <w:szCs w:val="24"/>
        </w:rPr>
        <w:t>25</w:t>
      </w:r>
      <w:r>
        <w:rPr>
          <w:rFonts w:ascii="宋体" w:hAnsi="宋体" w:cs="宋体"/>
          <w:kern w:val="0"/>
          <w:sz w:val="24"/>
          <w:szCs w:val="24"/>
        </w:rPr>
        <w:t>】</w:t>
      </w:r>
      <w:r>
        <w:rPr>
          <w:rFonts w:ascii="宋体" w:hAnsi="宋体" w:cs="宋体" w:hint="eastAsia"/>
          <w:kern w:val="0"/>
          <w:sz w:val="24"/>
          <w:szCs w:val="24"/>
        </w:rPr>
        <w:t>1834</w:t>
      </w:r>
      <w:r>
        <w:rPr>
          <w:rFonts w:ascii="宋体" w:hAnsi="宋体" w:cs="宋体"/>
          <w:kern w:val="0"/>
          <w:sz w:val="24"/>
          <w:szCs w:val="24"/>
        </w:rPr>
        <w:t>号</w:t>
      </w:r>
      <w:proofErr w:type="gramStart"/>
      <w:r>
        <w:rPr>
          <w:rFonts w:ascii="宋体" w:hAnsi="宋体" w:cs="宋体"/>
          <w:kern w:val="0"/>
          <w:sz w:val="24"/>
          <w:szCs w:val="24"/>
        </w:rPr>
        <w:t>文注册</w:t>
      </w:r>
      <w:proofErr w:type="gramEnd"/>
      <w:r>
        <w:rPr>
          <w:rFonts w:ascii="宋体" w:hAnsi="宋体" w:cs="宋体"/>
          <w:kern w:val="0"/>
          <w:sz w:val="24"/>
          <w:szCs w:val="24"/>
        </w:rPr>
        <w:t>募集。</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基金管理人保证《</w:t>
      </w:r>
      <w:r>
        <w:rPr>
          <w:rStyle w:val="custom"/>
          <w:rFonts w:ascii="宋体" w:hAnsi="宋体" w:cs="宋体" w:hint="eastAsia"/>
          <w:kern w:val="0"/>
          <w:sz w:val="24"/>
          <w:szCs w:val="24"/>
        </w:rPr>
        <w:t>汇添富港股通科技精选混合型发起式证券投资基金</w:t>
      </w:r>
      <w:r>
        <w:rPr>
          <w:rFonts w:ascii="宋体" w:hAnsi="宋体" w:cs="宋体"/>
          <w:kern w:val="0"/>
          <w:sz w:val="24"/>
          <w:szCs w:val="24"/>
        </w:rPr>
        <w:t>招募说明书》(以下简称“招募说明书”或“本招募说明书”)的内容真实、准确、完整。本招募说明书经中国证监会注册，但中国证监会对本基金募集的注册，并不表明其对本基金的投资价值和市场前景</w:t>
      </w:r>
      <w:proofErr w:type="gramStart"/>
      <w:r>
        <w:rPr>
          <w:rFonts w:ascii="宋体" w:hAnsi="宋体" w:cs="宋体"/>
          <w:kern w:val="0"/>
          <w:sz w:val="24"/>
          <w:szCs w:val="24"/>
        </w:rPr>
        <w:t>作出</w:t>
      </w:r>
      <w:proofErr w:type="gramEnd"/>
      <w:r>
        <w:rPr>
          <w:rFonts w:ascii="宋体" w:hAnsi="宋体" w:cs="宋体"/>
          <w:kern w:val="0"/>
          <w:sz w:val="24"/>
          <w:szCs w:val="24"/>
        </w:rPr>
        <w:t>实质性判断或保证，也不表明投资于本基金没有风险。</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投资有风险，投资者根据所持有份额享受基金的收益，但同时也要承担相应的投资风险。投资者拟认购（或申购）基金时应认真阅读本招募说明书、基金合同、基金产品资料概要等信息披露文件，</w:t>
      </w:r>
      <w:r>
        <w:rPr>
          <w:rFonts w:ascii="宋体" w:hAnsi="宋体" w:cs="宋体"/>
          <w:color w:val="000000"/>
          <w:kern w:val="0"/>
          <w:sz w:val="24"/>
          <w:szCs w:val="24"/>
        </w:rPr>
        <w:t>根据自身的投资目的、投资期限、投资经验、资产状况</w:t>
      </w:r>
      <w:proofErr w:type="gramStart"/>
      <w:r>
        <w:rPr>
          <w:rFonts w:ascii="宋体" w:hAnsi="宋体" w:cs="宋体"/>
          <w:color w:val="000000"/>
          <w:kern w:val="0"/>
          <w:sz w:val="24"/>
          <w:szCs w:val="24"/>
        </w:rPr>
        <w:t>等判断</w:t>
      </w:r>
      <w:proofErr w:type="gramEnd"/>
      <w:r>
        <w:rPr>
          <w:rFonts w:ascii="宋体" w:hAnsi="宋体" w:cs="宋体"/>
          <w:color w:val="000000"/>
          <w:kern w:val="0"/>
          <w:sz w:val="24"/>
          <w:szCs w:val="24"/>
        </w:rPr>
        <w:t>基金是否和投资者的风险承受能力相适应，</w:t>
      </w:r>
      <w:r>
        <w:rPr>
          <w:rFonts w:ascii="宋体" w:hAnsi="宋体" w:cs="宋体"/>
          <w:kern w:val="0"/>
          <w:sz w:val="24"/>
          <w:szCs w:val="24"/>
        </w:rPr>
        <w:t>自主判断基金的投资价值，自主做出投资决策，全面认识本基金产品的风险收益特征，并承担基金投资中出现的各类风险，包括：因整体政治、经济、社会等环境因素对证券价格产生影响而形成的系统性风险，个别证券特有的非系统性风险，由于基金投资者连续大量赎回基金产生的流动性风险，基金管理人在基金管理实施过程中产生的基金管理风险，本基金的特定风险等等。</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本基金为混合型基金，其预期风险及预期收益水平低于股票型基金，高于债券型基金、货币市场基金。</w:t>
      </w:r>
    </w:p>
    <w:p w:rsidR="008333A9" w:rsidRDefault="0002249C">
      <w:pPr>
        <w:pStyle w:val="div"/>
        <w:spacing w:line="360" w:lineRule="auto"/>
        <w:ind w:firstLine="420"/>
        <w:rPr>
          <w:rFonts w:eastAsia="Times New Roman"/>
          <w:kern w:val="0"/>
          <w:sz w:val="24"/>
          <w:szCs w:val="24"/>
        </w:rPr>
      </w:pPr>
      <w:r>
        <w:rPr>
          <w:rFonts w:ascii="宋体" w:hAnsi="宋体" w:cs="宋体" w:hint="eastAsia"/>
          <w:color w:val="000000"/>
          <w:kern w:val="0"/>
          <w:sz w:val="24"/>
          <w:szCs w:val="24"/>
        </w:rPr>
        <w:t>本基金招募说明书“基金的投资”章节中有关“风险收益特征”的表述是基于投资范围、投资比例、证券市场普遍规律等做出的概述性描述，代表了一般市场情况下本基金的长期风险收益特征。销售机构（包括基金管理人直销机构和其他销售机构）根据相关法律法规对本基金进行“销售适当性风险评价”，不同的销售机构采用的评价方法也不尽相同，因此销售机构的基金产品“风险等级评价”与“基金的投资”章节中“风险收益特征”的表述可能存在不同，投资人在购买本基金时需按照销售机构的要求完成风险承受能力与产品风险之间的匹配检验。</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基金的过往业绩并不预示其未来表现，基金管理人管理的其他基金的业绩也</w:t>
      </w:r>
      <w:r>
        <w:rPr>
          <w:rFonts w:ascii="宋体" w:hAnsi="宋体" w:cs="宋体"/>
          <w:kern w:val="0"/>
          <w:sz w:val="24"/>
          <w:szCs w:val="24"/>
        </w:rPr>
        <w:lastRenderedPageBreak/>
        <w:t>不构成对本基金业绩表现的保证。</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基金管理人依照恪尽职守、诚实信用、谨慎勤勉的原则管理和运用基金财产，但不保证投资于本基金一定盈利，也不保证最低收益。</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投资者应充分考虑自身的风险承受能力，并对于认购（或申购）基金的意愿、时机、数量等投资行为</w:t>
      </w:r>
      <w:proofErr w:type="gramStart"/>
      <w:r>
        <w:rPr>
          <w:rFonts w:ascii="宋体" w:hAnsi="宋体" w:cs="宋体"/>
          <w:kern w:val="0"/>
          <w:sz w:val="24"/>
          <w:szCs w:val="24"/>
        </w:rPr>
        <w:t>作出</w:t>
      </w:r>
      <w:proofErr w:type="gramEnd"/>
      <w:r>
        <w:rPr>
          <w:rFonts w:ascii="宋体" w:hAnsi="宋体" w:cs="宋体"/>
          <w:kern w:val="0"/>
          <w:sz w:val="24"/>
          <w:szCs w:val="24"/>
        </w:rPr>
        <w:t>独立决策。基金管理人提醒投资者基金投资的“买者自负”原则，在投资者</w:t>
      </w:r>
      <w:proofErr w:type="gramStart"/>
      <w:r>
        <w:rPr>
          <w:rFonts w:ascii="宋体" w:hAnsi="宋体" w:cs="宋体"/>
          <w:kern w:val="0"/>
          <w:sz w:val="24"/>
          <w:szCs w:val="24"/>
        </w:rPr>
        <w:t>作出</w:t>
      </w:r>
      <w:proofErr w:type="gramEnd"/>
      <w:r>
        <w:rPr>
          <w:rFonts w:ascii="宋体" w:hAnsi="宋体" w:cs="宋体"/>
          <w:kern w:val="0"/>
          <w:sz w:val="24"/>
          <w:szCs w:val="24"/>
        </w:rPr>
        <w:t>投资决策后，基金运营状况与基金净值变化导致的投资风险，由投资者自行负担。</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当本基金持有特定资产且存在或潜在大额赎回申请时，基金管理人履行相应程序后，可以</w:t>
      </w:r>
      <w:proofErr w:type="gramStart"/>
      <w:r>
        <w:rPr>
          <w:rFonts w:ascii="宋体" w:hAnsi="宋体" w:cs="宋体"/>
          <w:kern w:val="0"/>
          <w:sz w:val="24"/>
          <w:szCs w:val="24"/>
        </w:rPr>
        <w:t>启用侧袋机制</w:t>
      </w:r>
      <w:proofErr w:type="gramEnd"/>
      <w:r>
        <w:rPr>
          <w:rFonts w:ascii="宋体" w:hAnsi="宋体" w:cs="宋体"/>
          <w:kern w:val="0"/>
          <w:sz w:val="24"/>
          <w:szCs w:val="24"/>
        </w:rPr>
        <w:t>，具体详见基金合同和本招募说明书“侧袋机制”等有关章节。</w:t>
      </w:r>
      <w:proofErr w:type="gramStart"/>
      <w:r>
        <w:rPr>
          <w:rFonts w:ascii="宋体" w:hAnsi="宋体" w:cs="宋体"/>
          <w:kern w:val="0"/>
          <w:sz w:val="24"/>
          <w:szCs w:val="24"/>
        </w:rPr>
        <w:t>侧袋机制</w:t>
      </w:r>
      <w:proofErr w:type="gramEnd"/>
      <w:r>
        <w:rPr>
          <w:rFonts w:ascii="宋体" w:hAnsi="宋体" w:cs="宋体"/>
          <w:kern w:val="0"/>
          <w:sz w:val="24"/>
          <w:szCs w:val="24"/>
        </w:rPr>
        <w:t>实施期间，基金管理人将对基金简称进行特殊标识，并不</w:t>
      </w:r>
      <w:proofErr w:type="gramStart"/>
      <w:r>
        <w:rPr>
          <w:rFonts w:ascii="宋体" w:hAnsi="宋体" w:cs="宋体"/>
          <w:kern w:val="0"/>
          <w:sz w:val="24"/>
          <w:szCs w:val="24"/>
        </w:rPr>
        <w:t>办理侧袋账户</w:t>
      </w:r>
      <w:proofErr w:type="gramEnd"/>
      <w:r>
        <w:rPr>
          <w:rFonts w:ascii="宋体" w:hAnsi="宋体" w:cs="宋体"/>
          <w:kern w:val="0"/>
          <w:sz w:val="24"/>
          <w:szCs w:val="24"/>
        </w:rPr>
        <w:t>的申购赎回。</w:t>
      </w:r>
      <w:proofErr w:type="gramStart"/>
      <w:r>
        <w:rPr>
          <w:rFonts w:ascii="宋体" w:hAnsi="宋体" w:cs="宋体"/>
          <w:kern w:val="0"/>
          <w:sz w:val="24"/>
          <w:szCs w:val="24"/>
        </w:rPr>
        <w:t>请基金</w:t>
      </w:r>
      <w:proofErr w:type="gramEnd"/>
      <w:r>
        <w:rPr>
          <w:rFonts w:ascii="宋体" w:hAnsi="宋体" w:cs="宋体"/>
          <w:kern w:val="0"/>
          <w:sz w:val="24"/>
          <w:szCs w:val="24"/>
        </w:rPr>
        <w:t>份额持有人仔细阅读相关内容并关注本基金启用</w:t>
      </w:r>
      <w:proofErr w:type="gramStart"/>
      <w:r>
        <w:rPr>
          <w:rFonts w:ascii="宋体" w:hAnsi="宋体" w:cs="宋体"/>
          <w:kern w:val="0"/>
          <w:sz w:val="24"/>
          <w:szCs w:val="24"/>
        </w:rPr>
        <w:t>侧袋机制</w:t>
      </w:r>
      <w:proofErr w:type="gramEnd"/>
      <w:r>
        <w:rPr>
          <w:rFonts w:ascii="宋体" w:hAnsi="宋体" w:cs="宋体"/>
          <w:kern w:val="0"/>
          <w:sz w:val="24"/>
          <w:szCs w:val="24"/>
        </w:rPr>
        <w:t>时的特定风险。</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本基金投资相关股票市场交易互联互通机制试点（以下简称“港股通机制”）允许买卖的规定范围内的香港联合交易所上市的股票（以下简称“港股通标的股票”）的，会面临港股</w:t>
      </w:r>
      <w:proofErr w:type="gramStart"/>
      <w:r>
        <w:rPr>
          <w:rStyle w:val="custom"/>
          <w:rFonts w:ascii="宋体" w:hAnsi="宋体" w:cs="宋体"/>
          <w:kern w:val="0"/>
          <w:sz w:val="24"/>
          <w:szCs w:val="24"/>
        </w:rPr>
        <w:t>通机制</w:t>
      </w:r>
      <w:proofErr w:type="gramEnd"/>
      <w:r>
        <w:rPr>
          <w:rStyle w:val="custom"/>
          <w:rFonts w:ascii="宋体" w:hAnsi="宋体" w:cs="宋体"/>
          <w:kern w:val="0"/>
          <w:sz w:val="24"/>
          <w:szCs w:val="24"/>
        </w:rPr>
        <w:t>下因投资环境、投资标的、市场制度以及交易规则等差异带来的特有风险，包括港股市场股价波动较大的风险（港股市</w:t>
      </w:r>
      <w:proofErr w:type="gramStart"/>
      <w:r>
        <w:rPr>
          <w:rStyle w:val="custom"/>
          <w:rFonts w:ascii="宋体" w:hAnsi="宋体" w:cs="宋体"/>
          <w:kern w:val="0"/>
          <w:sz w:val="24"/>
          <w:szCs w:val="24"/>
        </w:rPr>
        <w:t>场实行</w:t>
      </w:r>
      <w:proofErr w:type="gramEnd"/>
      <w:r>
        <w:rPr>
          <w:rStyle w:val="custom"/>
          <w:rFonts w:ascii="宋体" w:hAnsi="宋体" w:cs="宋体"/>
          <w:kern w:val="0"/>
          <w:sz w:val="24"/>
          <w:szCs w:val="24"/>
        </w:rPr>
        <w:t>T+0回转交易，且对个股不设涨跌幅限制，港股股价可能表现出比A股更为剧烈的股价波动）、汇率风险（汇率波动可能对基金的投资收益造成损失）、港股</w:t>
      </w:r>
      <w:proofErr w:type="gramStart"/>
      <w:r>
        <w:rPr>
          <w:rStyle w:val="custom"/>
          <w:rFonts w:ascii="宋体" w:hAnsi="宋体" w:cs="宋体"/>
          <w:kern w:val="0"/>
          <w:sz w:val="24"/>
          <w:szCs w:val="24"/>
        </w:rPr>
        <w:t>通机制</w:t>
      </w:r>
      <w:proofErr w:type="gramEnd"/>
      <w:r>
        <w:rPr>
          <w:rStyle w:val="custom"/>
          <w:rFonts w:ascii="宋体" w:hAnsi="宋体" w:cs="宋体"/>
          <w:kern w:val="0"/>
          <w:sz w:val="24"/>
          <w:szCs w:val="24"/>
        </w:rPr>
        <w:t>下交易日不连贯可能带来的风险（在内地开市香港休市的情形下，港股</w:t>
      </w:r>
      <w:proofErr w:type="gramStart"/>
      <w:r>
        <w:rPr>
          <w:rStyle w:val="custom"/>
          <w:rFonts w:ascii="宋体" w:hAnsi="宋体" w:cs="宋体"/>
          <w:kern w:val="0"/>
          <w:sz w:val="24"/>
          <w:szCs w:val="24"/>
        </w:rPr>
        <w:t>通不能</w:t>
      </w:r>
      <w:proofErr w:type="gramEnd"/>
      <w:r>
        <w:rPr>
          <w:rStyle w:val="custom"/>
          <w:rFonts w:ascii="宋体" w:hAnsi="宋体" w:cs="宋体"/>
          <w:kern w:val="0"/>
          <w:sz w:val="24"/>
          <w:szCs w:val="24"/>
        </w:rPr>
        <w:t>正常交易，港股不能及时卖出，可能带来一定的流动性风险）等。</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本基金可投资存托凭证，除普通股票投资可能面临的宏观经济风险、政策风险、市场风险、流动性风险外，还将面临存托凭证持有人与持有基础股票的股东在法律地位享有权利等方面存在差异可能引发的风险、发行人采用协议控制架构的风险、增发基础证券可能导致的存托凭证持有人权益被摊薄的风险、交易机制相关风险、存托凭证退</w:t>
      </w:r>
      <w:proofErr w:type="gramStart"/>
      <w:r>
        <w:rPr>
          <w:rStyle w:val="custom"/>
          <w:rFonts w:ascii="宋体" w:hAnsi="宋体" w:cs="宋体"/>
          <w:kern w:val="0"/>
          <w:sz w:val="24"/>
          <w:szCs w:val="24"/>
        </w:rPr>
        <w:t>市风险</w:t>
      </w:r>
      <w:proofErr w:type="gramEnd"/>
      <w:r>
        <w:rPr>
          <w:rStyle w:val="custom"/>
          <w:rFonts w:ascii="宋体" w:hAnsi="宋体" w:cs="宋体"/>
          <w:kern w:val="0"/>
          <w:sz w:val="24"/>
          <w:szCs w:val="24"/>
        </w:rPr>
        <w:t>等其他风险。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为对冲信用风险,本基金可能投资于信用衍生品,信用衍生品的投资可能面临流动性风险、偿付风险以及价格波动风险等。</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本基金单一投资者（基金管理人、基金管理人高级管理人员或基金经理等人员作为发起资金提供方除外）持有基金份额数不得达到或超过基金份额总数的</w:t>
      </w:r>
      <w:r>
        <w:rPr>
          <w:rStyle w:val="custom"/>
          <w:rFonts w:ascii="宋体" w:hAnsi="宋体" w:cs="宋体"/>
          <w:kern w:val="0"/>
          <w:sz w:val="24"/>
          <w:szCs w:val="24"/>
        </w:rPr>
        <w:lastRenderedPageBreak/>
        <w:t>50%，但在基金运作过程中因基金份额赎回等基金管理人无法予以控制的情形导致被动达到或超过50%的除外。法律法规或监管机构另有规定的，从其规定。</w:t>
      </w:r>
      <w:r>
        <w:rPr>
          <w:rStyle w:val="custom"/>
          <w:rFonts w:ascii="宋体" w:hAnsi="宋体" w:cs="宋体"/>
          <w:kern w:val="0"/>
          <w:sz w:val="24"/>
          <w:szCs w:val="24"/>
        </w:rPr>
        <w:br w:type="page"/>
      </w:r>
    </w:p>
    <w:p w:rsidR="008333A9" w:rsidRDefault="0002249C">
      <w:pPr>
        <w:pStyle w:val="1"/>
        <w:spacing w:before="0" w:after="0"/>
        <w:jc w:val="center"/>
        <w:rPr>
          <w:rFonts w:ascii="Times New Roman"/>
          <w:color w:val="auto"/>
          <w:sz w:val="30"/>
        </w:rPr>
      </w:pPr>
      <w:bookmarkStart w:id="29" w:name="_Toc139991731"/>
      <w:bookmarkStart w:id="30" w:name="_Toc2560000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6"/>
      <w:bookmarkEnd w:id="27"/>
      <w:bookmarkEnd w:id="28"/>
      <w:bookmarkEnd w:id="29"/>
      <w:r>
        <w:rPr>
          <w:rFonts w:ascii="Times New Roman"/>
          <w:color w:val="auto"/>
          <w:sz w:val="30"/>
        </w:rPr>
        <w:lastRenderedPageBreak/>
        <w:t>第一部分</w:t>
      </w:r>
      <w:r>
        <w:rPr>
          <w:rFonts w:ascii="Times New Roman"/>
          <w:color w:val="auto"/>
          <w:sz w:val="30"/>
        </w:rPr>
        <w:t xml:space="preserve">  </w:t>
      </w:r>
      <w:r>
        <w:rPr>
          <w:rFonts w:ascii="Times New Roman"/>
          <w:color w:val="auto"/>
          <w:sz w:val="30"/>
        </w:rPr>
        <w:t>绪言</w:t>
      </w:r>
      <w:bookmarkEnd w:id="30"/>
    </w:p>
    <w:p w:rsidR="008333A9" w:rsidRDefault="008333A9"/>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本招募说明书依据《中华人民共和国证券投资基金法》(以下简称“《基金法》”)、《公开募集证券投资基金运作管理办法》、《公开募集证券投资基金销售机构监督管理办法》、《公开募集证券投资基金信息披露管理办法》、《公开募集开放式证券投资基金流动性风险管理规定》及其他有关法律法规以及《</w:t>
      </w:r>
      <w:r>
        <w:rPr>
          <w:rFonts w:ascii="宋体" w:hAnsi="宋体" w:cs="宋体" w:hint="eastAsia"/>
          <w:kern w:val="0"/>
          <w:sz w:val="24"/>
          <w:szCs w:val="24"/>
        </w:rPr>
        <w:t>汇添富港股通科技精选混合型发起式证券投资基金</w:t>
      </w:r>
      <w:r>
        <w:rPr>
          <w:rFonts w:ascii="宋体" w:hAnsi="宋体" w:cs="宋体"/>
          <w:kern w:val="0"/>
          <w:sz w:val="24"/>
          <w:szCs w:val="24"/>
        </w:rPr>
        <w:t>基金合同》编写。</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本基金管理人承诺本招募说明书不存在任何虚假记载、误导性陈述或重大遗漏，并对其真实性、准确性、完整性承担法律责任。</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本基金根据本招募说明书所载明的资料申请募集。本基金管理人没有委托或授权任何其他人提供未在本招募说明书中载明的信息，或对本招募说明书作任何解释或者说明。</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本招募说明书根据本基金的基金合同编写，并经中国证监会注册。基金合同是约定基金合同当事人之间权利、义务的法律文件。本基金</w:t>
      </w:r>
      <w:proofErr w:type="gramStart"/>
      <w:r>
        <w:rPr>
          <w:rFonts w:ascii="宋体" w:hAnsi="宋体" w:cs="宋体"/>
          <w:kern w:val="0"/>
          <w:sz w:val="24"/>
          <w:szCs w:val="24"/>
        </w:rPr>
        <w:t>投资者自依基金</w:t>
      </w:r>
      <w:proofErr w:type="gramEnd"/>
      <w:r>
        <w:rPr>
          <w:rFonts w:ascii="宋体" w:hAnsi="宋体" w:cs="宋体"/>
          <w:kern w:val="0"/>
          <w:sz w:val="24"/>
          <w:szCs w:val="24"/>
        </w:rPr>
        <w:t>合同取得基金份额，即成为本</w:t>
      </w:r>
      <w:proofErr w:type="gramStart"/>
      <w:r>
        <w:rPr>
          <w:rFonts w:ascii="宋体" w:hAnsi="宋体" w:cs="宋体"/>
          <w:kern w:val="0"/>
          <w:sz w:val="24"/>
          <w:szCs w:val="24"/>
        </w:rPr>
        <w:t>基金基金</w:t>
      </w:r>
      <w:proofErr w:type="gramEnd"/>
      <w:r>
        <w:rPr>
          <w:rFonts w:ascii="宋体" w:hAnsi="宋体" w:cs="宋体"/>
          <w:kern w:val="0"/>
          <w:sz w:val="24"/>
          <w:szCs w:val="24"/>
        </w:rPr>
        <w:t>份额持有人和基金合同当事人，其持有本</w:t>
      </w:r>
      <w:proofErr w:type="gramStart"/>
      <w:r>
        <w:rPr>
          <w:rFonts w:ascii="宋体" w:hAnsi="宋体" w:cs="宋体"/>
          <w:kern w:val="0"/>
          <w:sz w:val="24"/>
          <w:szCs w:val="24"/>
        </w:rPr>
        <w:t>基金基金</w:t>
      </w:r>
      <w:proofErr w:type="gramEnd"/>
      <w:r>
        <w:rPr>
          <w:rFonts w:ascii="宋体" w:hAnsi="宋体" w:cs="宋体"/>
          <w:kern w:val="0"/>
          <w:sz w:val="24"/>
          <w:szCs w:val="24"/>
        </w:rPr>
        <w:t>份额的行为本身即表明其对基金合同的承认和接受，并按照《基金法》、基金合同及其他有关规定享有权利、承担义务。基金投资者欲了解本基金份额持有人的权利和义务，应详细查阅基金合同。</w:t>
      </w:r>
      <w:r>
        <w:rPr>
          <w:rFonts w:ascii="宋体" w:hAnsi="宋体" w:cs="宋体"/>
          <w:kern w:val="0"/>
          <w:sz w:val="24"/>
          <w:szCs w:val="24"/>
        </w:rPr>
        <w:br w:type="page"/>
      </w:r>
    </w:p>
    <w:p w:rsidR="008333A9" w:rsidRDefault="0002249C">
      <w:pPr>
        <w:pStyle w:val="1"/>
        <w:spacing w:before="0" w:after="0"/>
        <w:jc w:val="center"/>
        <w:rPr>
          <w:rFonts w:ascii="Times New Roman"/>
          <w:color w:val="auto"/>
          <w:sz w:val="30"/>
        </w:rPr>
      </w:pPr>
      <w:bookmarkStart w:id="31" w:name="_Toc256000001"/>
      <w:r>
        <w:rPr>
          <w:rFonts w:ascii="Times New Roman"/>
          <w:color w:val="auto"/>
          <w:sz w:val="30"/>
        </w:rPr>
        <w:lastRenderedPageBreak/>
        <w:t>第二部分</w:t>
      </w:r>
      <w:r>
        <w:rPr>
          <w:rFonts w:ascii="Times New Roman"/>
          <w:color w:val="auto"/>
          <w:sz w:val="30"/>
        </w:rPr>
        <w:t xml:space="preserve">  </w:t>
      </w:r>
      <w:r>
        <w:rPr>
          <w:rFonts w:ascii="Times New Roman"/>
          <w:color w:val="auto"/>
          <w:sz w:val="30"/>
        </w:rPr>
        <w:t>释义</w:t>
      </w:r>
      <w:bookmarkEnd w:id="31"/>
    </w:p>
    <w:p w:rsidR="008333A9" w:rsidRDefault="008333A9"/>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在本招募说明书中，除非文意另有所指，下列词语或简称具有如下含义：</w:t>
      </w:r>
    </w:p>
    <w:p w:rsidR="008333A9" w:rsidRDefault="0002249C">
      <w:pPr>
        <w:pStyle w:val="div"/>
        <w:spacing w:line="360" w:lineRule="auto"/>
        <w:ind w:firstLine="420"/>
        <w:jc w:val="left"/>
        <w:rPr>
          <w:kern w:val="0"/>
          <w:sz w:val="24"/>
          <w:szCs w:val="24"/>
        </w:rPr>
      </w:pPr>
      <w:r>
        <w:rPr>
          <w:rFonts w:ascii="宋体" w:hAnsi="宋体" w:cs="宋体"/>
          <w:kern w:val="0"/>
          <w:sz w:val="24"/>
          <w:szCs w:val="24"/>
        </w:rPr>
        <w:t>1、基金或本基金：</w:t>
      </w:r>
      <w:proofErr w:type="gramStart"/>
      <w:r>
        <w:rPr>
          <w:rFonts w:ascii="宋体" w:hAnsi="宋体" w:cs="宋体"/>
          <w:kern w:val="0"/>
          <w:sz w:val="24"/>
          <w:szCs w:val="24"/>
        </w:rPr>
        <w:t>指</w:t>
      </w:r>
      <w:r>
        <w:rPr>
          <w:rFonts w:ascii="宋体" w:hAnsi="宋体" w:cs="宋体" w:hint="eastAsia"/>
          <w:kern w:val="0"/>
          <w:sz w:val="24"/>
          <w:szCs w:val="24"/>
        </w:rPr>
        <w:t>汇添富</w:t>
      </w:r>
      <w:proofErr w:type="gramEnd"/>
      <w:r>
        <w:rPr>
          <w:rFonts w:ascii="宋体" w:hAnsi="宋体" w:cs="宋体" w:hint="eastAsia"/>
          <w:kern w:val="0"/>
          <w:sz w:val="24"/>
          <w:szCs w:val="24"/>
        </w:rPr>
        <w:t>港股通科技精选混合型发起式证券投资基金</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2、基金管理人：</w:t>
      </w:r>
      <w:proofErr w:type="gramStart"/>
      <w:r>
        <w:rPr>
          <w:rFonts w:ascii="宋体" w:hAnsi="宋体" w:cs="宋体"/>
          <w:kern w:val="0"/>
          <w:sz w:val="24"/>
          <w:szCs w:val="24"/>
        </w:rPr>
        <w:t>指汇添富基金</w:t>
      </w:r>
      <w:proofErr w:type="gramEnd"/>
      <w:r>
        <w:rPr>
          <w:rFonts w:ascii="宋体" w:hAnsi="宋体" w:cs="宋体"/>
          <w:kern w:val="0"/>
          <w:sz w:val="24"/>
          <w:szCs w:val="24"/>
        </w:rPr>
        <w:t>管理股份有限公司</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3、基金托管人：指中国农业银行股份有限公司</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4、基金合同：指《</w:t>
      </w:r>
      <w:r>
        <w:rPr>
          <w:rFonts w:ascii="宋体" w:hAnsi="宋体" w:cs="宋体" w:hint="eastAsia"/>
          <w:kern w:val="0"/>
          <w:sz w:val="24"/>
          <w:szCs w:val="24"/>
        </w:rPr>
        <w:t>汇添富港股通科技精选混合型发起式证券投资基金</w:t>
      </w:r>
      <w:r>
        <w:rPr>
          <w:rFonts w:ascii="宋体" w:hAnsi="宋体" w:cs="宋体"/>
          <w:kern w:val="0"/>
          <w:sz w:val="24"/>
          <w:szCs w:val="24"/>
        </w:rPr>
        <w:t>基金合同》及对基金合同的任何有效修订和补充</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5、托管协议：指基金管理人与基金托管人就本基金签订之《</w:t>
      </w:r>
      <w:r>
        <w:rPr>
          <w:rFonts w:ascii="宋体" w:hAnsi="宋体" w:cs="宋体" w:hint="eastAsia"/>
          <w:kern w:val="0"/>
          <w:sz w:val="24"/>
          <w:szCs w:val="24"/>
        </w:rPr>
        <w:t>汇添富港股通科技精选混合型发起式证券投资基金</w:t>
      </w:r>
      <w:r>
        <w:rPr>
          <w:rFonts w:ascii="宋体" w:hAnsi="宋体" w:cs="宋体"/>
          <w:kern w:val="0"/>
          <w:sz w:val="24"/>
          <w:szCs w:val="24"/>
        </w:rPr>
        <w:t>托管协议》及对该托管协议的任何有效修订和补充</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6、招募说明书或本招募说明书：指《</w:t>
      </w:r>
      <w:r>
        <w:rPr>
          <w:rFonts w:ascii="宋体" w:hAnsi="宋体" w:cs="宋体" w:hint="eastAsia"/>
          <w:kern w:val="0"/>
          <w:sz w:val="24"/>
          <w:szCs w:val="24"/>
        </w:rPr>
        <w:t>汇添富港股通科技精选混合型发起式证券投资基金</w:t>
      </w:r>
      <w:r>
        <w:rPr>
          <w:rFonts w:ascii="宋体" w:hAnsi="宋体" w:cs="宋体"/>
          <w:kern w:val="0"/>
          <w:sz w:val="24"/>
          <w:szCs w:val="24"/>
        </w:rPr>
        <w:t>招募说明书》及其更新</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7、基金产品资料概要：指《</w:t>
      </w:r>
      <w:r>
        <w:rPr>
          <w:rFonts w:ascii="宋体" w:hAnsi="宋体" w:cs="宋体" w:hint="eastAsia"/>
          <w:kern w:val="0"/>
          <w:sz w:val="24"/>
          <w:szCs w:val="24"/>
        </w:rPr>
        <w:t>汇添富港股通科技精选混合型发起式证券投资基金</w:t>
      </w:r>
      <w:r>
        <w:rPr>
          <w:rFonts w:ascii="宋体" w:hAnsi="宋体" w:cs="宋体"/>
          <w:kern w:val="0"/>
          <w:sz w:val="24"/>
          <w:szCs w:val="24"/>
        </w:rPr>
        <w:t>基金产品资料概要》及其更新</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8、基金份额发售公告：指《</w:t>
      </w:r>
      <w:r>
        <w:rPr>
          <w:rFonts w:ascii="宋体" w:hAnsi="宋体" w:cs="宋体" w:hint="eastAsia"/>
          <w:kern w:val="0"/>
          <w:sz w:val="24"/>
          <w:szCs w:val="24"/>
        </w:rPr>
        <w:t>汇添富港股通科技精选混合型发起式证券投资基金</w:t>
      </w:r>
      <w:r>
        <w:rPr>
          <w:rFonts w:ascii="宋体" w:hAnsi="宋体" w:cs="宋体"/>
          <w:kern w:val="0"/>
          <w:sz w:val="24"/>
          <w:szCs w:val="24"/>
        </w:rPr>
        <w:t>基金份额发售公告》</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9、法律法规：指中国现行有效并公布实施的法律、行政法规、规范性文件、司法解释、行政规章以及其他对基金合同当事人有约束力的决定、决议、通知等</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10、《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11、《销售办法》：指中国证监会2020年8月28日颁布、同年10月1日实施的《公开募集证券投资基金销售机构监督管理办法》及颁布机关对其不时做出的修订</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12、《信息披露办法》：指中国证监会2019年7月26日颁布、同年9月1</w:t>
      </w:r>
      <w:r>
        <w:rPr>
          <w:rFonts w:ascii="宋体" w:hAnsi="宋体" w:cs="宋体"/>
          <w:kern w:val="0"/>
          <w:sz w:val="24"/>
          <w:szCs w:val="24"/>
        </w:rPr>
        <w:lastRenderedPageBreak/>
        <w:t>日实施的，并经2020年3月20日中国证监会《关于修改部分证券期货规章的决定》修正的《公开募集证券投资基金信息披露管理办法》及颁布机关对其不时做出的修订</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13、《运作办法》：指中国证监会2014年7月7日颁布、同年8月8日实施的《公开募集证券投资基金运作管理办法》及颁布机关对其不时做出的修订</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14、《流动性风险管理规定》：指中国证监会2017年8月31日颁布、同年10月1日实施的《公开募集开放式证券投资基金流动性风险管理规定》及颁布机关对其不时做出的修订</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15、中国证监会：指中国证券监督管理委员会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16、银行业监督管理机构：指中国人民银行和/或国家金融监督管理总局</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17、基金合同当事人：指受基金合同约束，根据基金合同享有权利并承担义务的法律主体，包括基金管理人、基金托管人和基金份额持有人</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18、个人投资者：指依据有关法律法规规定可投资于证券投资基金的自然人</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19、机构投资者：指依法可以投资证券投资基金的、在中华人民共和国境内合法登记并存续或经有关政府部门批准设立并存续的企业法人、事业法人、社会团体或其他组织</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20、合格境外投资者：指符合《合格境外机构投资者和人民币合格境外机构投资者境内证券期货投资管理办法》（包括其不时修订）及相关法律法规规定使用来自境外的资金进行境内证券期货投资的境外机构投资者，包括合格境外机构投资者和人民币合格境外机构投资者</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21、投资人、投资者：指个人投资者、机构投资者、合格境外投资者、发起资金提供方以及法律法规或中国证监会允许购买证券投资基金的其他投资人的合称</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22、基金份额持有人：指依基金合同和招募说明书合法取得基金份额的投资人</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23、基金销售业务：指基金管理人或销售机构宣传推介基金，发售基金份额，办理基金份额的申购、赎回、转换、转托管及定期定额投资等业务</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24、销售机构：</w:t>
      </w:r>
      <w:proofErr w:type="gramStart"/>
      <w:r>
        <w:rPr>
          <w:rFonts w:ascii="宋体" w:hAnsi="宋体" w:cs="宋体"/>
          <w:kern w:val="0"/>
          <w:sz w:val="24"/>
          <w:szCs w:val="24"/>
        </w:rPr>
        <w:t>指汇添富基金</w:t>
      </w:r>
      <w:proofErr w:type="gramEnd"/>
      <w:r>
        <w:rPr>
          <w:rFonts w:ascii="宋体" w:hAnsi="宋体" w:cs="宋体"/>
          <w:kern w:val="0"/>
          <w:sz w:val="24"/>
          <w:szCs w:val="24"/>
        </w:rPr>
        <w:t>管理股份有限公司以及符合《销售办法》和中国证监会规定的其他条件，取得基金销售业务资格并与基金管理人签订了基金销</w:t>
      </w:r>
      <w:r>
        <w:rPr>
          <w:rFonts w:ascii="宋体" w:hAnsi="宋体" w:cs="宋体"/>
          <w:kern w:val="0"/>
          <w:sz w:val="24"/>
          <w:szCs w:val="24"/>
        </w:rPr>
        <w:lastRenderedPageBreak/>
        <w:t>售服务协议，办理基金销售业务的机构</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25、登记业务：指基金登记、存管、过户、清算和结算业务，具体内容包括投资人基金账户的建立和管理、基金份额登记、基金销售业务的确认、清算和结算、代理发放红利、建立并保管基金份额持有人名册和办理</w:t>
      </w:r>
      <w:proofErr w:type="gramStart"/>
      <w:r>
        <w:rPr>
          <w:rFonts w:ascii="宋体" w:hAnsi="宋体" w:cs="宋体"/>
          <w:kern w:val="0"/>
          <w:sz w:val="24"/>
          <w:szCs w:val="24"/>
        </w:rPr>
        <w:t>非交易</w:t>
      </w:r>
      <w:proofErr w:type="gramEnd"/>
      <w:r>
        <w:rPr>
          <w:rFonts w:ascii="宋体" w:hAnsi="宋体" w:cs="宋体"/>
          <w:kern w:val="0"/>
          <w:sz w:val="24"/>
          <w:szCs w:val="24"/>
        </w:rPr>
        <w:t>过户等</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26、登记机构：</w:t>
      </w:r>
      <w:proofErr w:type="gramStart"/>
      <w:r>
        <w:rPr>
          <w:rFonts w:ascii="宋体" w:hAnsi="宋体" w:cs="宋体"/>
          <w:kern w:val="0"/>
          <w:sz w:val="24"/>
          <w:szCs w:val="24"/>
        </w:rPr>
        <w:t>指办理</w:t>
      </w:r>
      <w:proofErr w:type="gramEnd"/>
      <w:r>
        <w:rPr>
          <w:rFonts w:ascii="宋体" w:hAnsi="宋体" w:cs="宋体"/>
          <w:kern w:val="0"/>
          <w:sz w:val="24"/>
          <w:szCs w:val="24"/>
        </w:rPr>
        <w:t>登记业务的机构。基金的登记机构为</w:t>
      </w:r>
      <w:proofErr w:type="gramStart"/>
      <w:r>
        <w:rPr>
          <w:rFonts w:ascii="宋体" w:hAnsi="宋体" w:cs="宋体"/>
          <w:kern w:val="0"/>
          <w:sz w:val="24"/>
          <w:szCs w:val="24"/>
        </w:rPr>
        <w:t>汇添富基金</w:t>
      </w:r>
      <w:proofErr w:type="gramEnd"/>
      <w:r>
        <w:rPr>
          <w:rFonts w:ascii="宋体" w:hAnsi="宋体" w:cs="宋体"/>
          <w:kern w:val="0"/>
          <w:sz w:val="24"/>
          <w:szCs w:val="24"/>
        </w:rPr>
        <w:t>管理股份有限公司或接受</w:t>
      </w:r>
      <w:proofErr w:type="gramStart"/>
      <w:r>
        <w:rPr>
          <w:rFonts w:ascii="宋体" w:hAnsi="宋体" w:cs="宋体"/>
          <w:kern w:val="0"/>
          <w:sz w:val="24"/>
          <w:szCs w:val="24"/>
        </w:rPr>
        <w:t>汇添富基金</w:t>
      </w:r>
      <w:proofErr w:type="gramEnd"/>
      <w:r>
        <w:rPr>
          <w:rFonts w:ascii="宋体" w:hAnsi="宋体" w:cs="宋体"/>
          <w:kern w:val="0"/>
          <w:sz w:val="24"/>
          <w:szCs w:val="24"/>
        </w:rPr>
        <w:t>管理股份有限公司委托代为办理登记业务的机构</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27、基金账户：指登记机构为投资人开立的、记录其持有的、基金管理人所管理的基金份额余额及其变动情况的账户</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28、基金交易账户：指销售机构为投资人开立的、记录投资人通过该销售机构办理认购、申购、赎回、转换、转托管及定期定额投资等业务而引起的基金份额变动及结余情况的账户</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29、基金合同生效日：指基金募集达到法律法规规定及基金合同规定的条件，基金管理人向中国证监会办理基金备案手续完毕，并获得中国证监会书面确认的日期</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30、基金合同终止日：指基金合同规定的基金合同终止事由出现后，基金财产清算完毕，清算结果报中国证监会备案并予以公告的日期</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31、基金募集期：指自基金份额发售之日起至发售结束之日止的期间，最长不得超过3个月</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32、存续期：指基金合同生效至终止之间的不定期期限</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33、工作日：指上海证券交易所、深圳证券交易所的正常交易日</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34、T日：指销售机构在规定时间受理投资人申购、赎回或其他业务申请的开放日</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35、T+n日：指自T日起第n</w:t>
      </w:r>
      <w:proofErr w:type="gramStart"/>
      <w:r>
        <w:rPr>
          <w:rFonts w:ascii="宋体" w:hAnsi="宋体" w:cs="宋体"/>
          <w:kern w:val="0"/>
          <w:sz w:val="24"/>
          <w:szCs w:val="24"/>
        </w:rPr>
        <w:t>个</w:t>
      </w:r>
      <w:proofErr w:type="gramEnd"/>
      <w:r>
        <w:rPr>
          <w:rFonts w:ascii="宋体" w:hAnsi="宋体" w:cs="宋体"/>
          <w:kern w:val="0"/>
          <w:sz w:val="24"/>
          <w:szCs w:val="24"/>
        </w:rPr>
        <w:t>工作日(不包含T日)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36、开放日：指为投资人办理基金份额申购、赎回或其他业务的工作日（如遇香港联合交易所法定节假日或因其他原因暂停营业或港股通暂停交易的情形，基金管理人有权暂停办理基金份额的申购和赎回业务）</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37、开放时间：指开放日基金接受申购、赎回或其他交易的时间段</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38、《业务规则》：指《汇添富基金管理股份有限公司开放式基金业务规则》，</w:t>
      </w:r>
      <w:r>
        <w:rPr>
          <w:rFonts w:ascii="宋体" w:hAnsi="宋体" w:cs="宋体"/>
          <w:kern w:val="0"/>
          <w:sz w:val="24"/>
          <w:szCs w:val="24"/>
        </w:rPr>
        <w:lastRenderedPageBreak/>
        <w:t>是规范基金管理人所管理的开放式证券投资基金登记方面的业务规则，由基金管理人和投资人共同遵守</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39、认购：指在基金募集期内，投资人根据基金合同和招募说明书的规定申请购买基金份额的行为</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40、申购：指基金合同生效后，投资人根据基金合同和招募说明书的规定申请购买基金份额的行为</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41、赎回：指基金合同生效后，基金份额持有人按基金合同和招募说明书规定的条件要求将基金份额兑换为现金的行为</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42、基金转换：指基金份额持有人按照基金合同和基金管理人届时有效公告规定的条件，申请将其持有基金管理人管理的、某一基金的基金份额转换为基金管理人管理的其他</w:t>
      </w:r>
      <w:proofErr w:type="gramStart"/>
      <w:r>
        <w:rPr>
          <w:rFonts w:ascii="宋体" w:hAnsi="宋体" w:cs="宋体"/>
          <w:kern w:val="0"/>
          <w:sz w:val="24"/>
          <w:szCs w:val="24"/>
        </w:rPr>
        <w:t>基金基金</w:t>
      </w:r>
      <w:proofErr w:type="gramEnd"/>
      <w:r>
        <w:rPr>
          <w:rFonts w:ascii="宋体" w:hAnsi="宋体" w:cs="宋体"/>
          <w:kern w:val="0"/>
          <w:sz w:val="24"/>
          <w:szCs w:val="24"/>
        </w:rPr>
        <w:t>份额的行为</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43、转托管：指基金份额持有人在本基金的不同销售机构之间实施的变更所持基金份额销售机构的操作</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44、定期定额投资计划：指投资人通过有关销售机构提出申请，约定每期申购日、扣款金额及扣款方式，由销售机构于每期约定扣款日在投资人指定银行账户内自动完成扣款及受理基金申购申请的一种投资方式</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45、巨额赎回：指本基金单个开放日，基金净赎回申请（赎回申请份额总数加上基金转换中转出申请份额总数后扣除申购申请份额总数及基金转换中转入申请份额总数后的余额，不同类别份额合并计算）超过上一开放日基金总份额的10%</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46、元：指人民币元</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47、基金收益：指基金投资所得红利、股息、债券利息、买卖证券价差、银行存款利息、已实现的其他合法收入及因运用基金财产带来的成本和费用的节约</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48、基金资产总值：指基金拥有的各类有价证券及票据价值、银行存款本息、基金应收申购款及其他资产的价值总和</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49、基金资产净值：指基金资产总值减去基金负债后的价值</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50、基金份额净值：指计算日基金资产净值除以计算日基金份额总数</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51、基金资产估值：指计算评估基金资产和负债的价值，以确定基金资产净值和基金份额净值的过程</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52、规定媒介：指符合中国证监会规定条件的用以进行信息披露的全国性报刊及《信息披露办法》规定的互联网网站（包括基金管理人网站、基金托管人网站、中国证监会基金电子披露网站）等媒介</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53、基金份额类别：根据认购/申购费用、销售服务费收取方式等事项的不同，将基金份额分为不同的类别，各基金份额类别分别设置代码、计算公告基金份额净值和基金份额累计净值</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54、A类基金份额：指在投资者认购、申购时收取认购、申购费用，在赎回时根据持有期限收取赎回费用，但不从本类别基金财产中计</w:t>
      </w:r>
      <w:proofErr w:type="gramStart"/>
      <w:r>
        <w:rPr>
          <w:rFonts w:ascii="宋体" w:hAnsi="宋体" w:cs="宋体"/>
          <w:kern w:val="0"/>
          <w:sz w:val="24"/>
          <w:szCs w:val="24"/>
        </w:rPr>
        <w:t>提销售</w:t>
      </w:r>
      <w:proofErr w:type="gramEnd"/>
      <w:r>
        <w:rPr>
          <w:rFonts w:ascii="宋体" w:hAnsi="宋体" w:cs="宋体"/>
          <w:kern w:val="0"/>
          <w:sz w:val="24"/>
          <w:szCs w:val="24"/>
        </w:rPr>
        <w:t>服务费的基金份额</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55、C类基金份额：指从本类别基金财产中计</w:t>
      </w:r>
      <w:proofErr w:type="gramStart"/>
      <w:r>
        <w:rPr>
          <w:rFonts w:ascii="宋体" w:hAnsi="宋体" w:cs="宋体"/>
          <w:kern w:val="0"/>
          <w:sz w:val="24"/>
          <w:szCs w:val="24"/>
        </w:rPr>
        <w:t>提销售</w:t>
      </w:r>
      <w:proofErr w:type="gramEnd"/>
      <w:r>
        <w:rPr>
          <w:rFonts w:ascii="宋体" w:hAnsi="宋体" w:cs="宋体"/>
          <w:kern w:val="0"/>
          <w:sz w:val="24"/>
          <w:szCs w:val="24"/>
        </w:rPr>
        <w:t>服务费而不收取认购、申购费用，在赎回时根据持有期限收取赎回费用的基金份额</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56、销售服务费：指从基金财产中计提的，用于本基金市场推广、销售以及基金份额持有人服务的费用</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57、流动性受限资产：指由于法律法规、监管、合同或操作障碍等原因无法以合理价格予以变现的资产，包括但不限于到期日在10个交易日以上的逆回购与银行定期存款（</w:t>
      </w:r>
      <w:proofErr w:type="gramStart"/>
      <w:r>
        <w:rPr>
          <w:rFonts w:ascii="宋体" w:hAnsi="宋体" w:cs="宋体"/>
          <w:kern w:val="0"/>
          <w:sz w:val="24"/>
          <w:szCs w:val="24"/>
        </w:rPr>
        <w:t>含协议</w:t>
      </w:r>
      <w:proofErr w:type="gramEnd"/>
      <w:r>
        <w:rPr>
          <w:rFonts w:ascii="宋体" w:hAnsi="宋体" w:cs="宋体"/>
          <w:kern w:val="0"/>
          <w:sz w:val="24"/>
          <w:szCs w:val="24"/>
        </w:rPr>
        <w:t>约定有条件提前支取的银行存款）、停牌股票、流通受限的新股及非公开发行股票、资产支持证券、因发行人债务违约无法进行转让或交易的债券以及法律法规或中国证监会规定的其他流动性受限资产，如未来法律法规变动，基金管理人在履行适当程序后，可对上述流动性受限资产范围进行调整</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58、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如未来法律法规变动，基金管理人在履行适当程序后，可对前述摆动定价机制的定义进行调整</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59、</w:t>
      </w:r>
      <w:proofErr w:type="gramStart"/>
      <w:r>
        <w:rPr>
          <w:rFonts w:ascii="宋体" w:hAnsi="宋体" w:cs="宋体"/>
          <w:kern w:val="0"/>
          <w:sz w:val="24"/>
          <w:szCs w:val="24"/>
        </w:rPr>
        <w:t>侧袋机制</w:t>
      </w:r>
      <w:proofErr w:type="gramEnd"/>
      <w:r>
        <w:rPr>
          <w:rFonts w:ascii="宋体" w:hAnsi="宋体" w:cs="宋体"/>
          <w:kern w:val="0"/>
          <w:sz w:val="24"/>
          <w:szCs w:val="24"/>
        </w:rPr>
        <w:t>：指将基金投资组合中的特定资产从原有账户分离至一个专门账户进行处置清算，目的在于有效隔离并化解风险，确保投资者得到公平对待，属于流动性风险管理工具。</w:t>
      </w:r>
      <w:proofErr w:type="gramStart"/>
      <w:r>
        <w:rPr>
          <w:rFonts w:ascii="宋体" w:hAnsi="宋体" w:cs="宋体"/>
          <w:kern w:val="0"/>
          <w:sz w:val="24"/>
          <w:szCs w:val="24"/>
        </w:rPr>
        <w:t>侧袋机制</w:t>
      </w:r>
      <w:proofErr w:type="gramEnd"/>
      <w:r>
        <w:rPr>
          <w:rFonts w:ascii="宋体" w:hAnsi="宋体" w:cs="宋体"/>
          <w:kern w:val="0"/>
          <w:sz w:val="24"/>
          <w:szCs w:val="24"/>
        </w:rPr>
        <w:t>实施期间，原有账户称为主袋账户，专门账户</w:t>
      </w:r>
      <w:proofErr w:type="gramStart"/>
      <w:r>
        <w:rPr>
          <w:rFonts w:ascii="宋体" w:hAnsi="宋体" w:cs="宋体"/>
          <w:kern w:val="0"/>
          <w:sz w:val="24"/>
          <w:szCs w:val="24"/>
        </w:rPr>
        <w:t>称为侧袋账户</w:t>
      </w:r>
      <w:proofErr w:type="gramEnd"/>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60、特定资产：包括：（一）无可参考的活跃市场价格且采用估值技术</w:t>
      </w:r>
      <w:proofErr w:type="gramStart"/>
      <w:r>
        <w:rPr>
          <w:rFonts w:ascii="宋体" w:hAnsi="宋体" w:cs="宋体"/>
          <w:kern w:val="0"/>
          <w:sz w:val="24"/>
          <w:szCs w:val="24"/>
        </w:rPr>
        <w:t>仍导致</w:t>
      </w:r>
      <w:proofErr w:type="gramEnd"/>
      <w:r>
        <w:rPr>
          <w:rFonts w:ascii="宋体" w:hAnsi="宋体" w:cs="宋体"/>
          <w:kern w:val="0"/>
          <w:sz w:val="24"/>
          <w:szCs w:val="24"/>
        </w:rPr>
        <w:t>公允价值存在重大不确定性的资产；（二）</w:t>
      </w:r>
      <w:proofErr w:type="gramStart"/>
      <w:r>
        <w:rPr>
          <w:rFonts w:ascii="宋体" w:hAnsi="宋体" w:cs="宋体"/>
          <w:kern w:val="0"/>
          <w:sz w:val="24"/>
          <w:szCs w:val="24"/>
        </w:rPr>
        <w:t>按摊余成本</w:t>
      </w:r>
      <w:proofErr w:type="gramEnd"/>
      <w:r>
        <w:rPr>
          <w:rFonts w:ascii="宋体" w:hAnsi="宋体" w:cs="宋体"/>
          <w:kern w:val="0"/>
          <w:sz w:val="24"/>
          <w:szCs w:val="24"/>
        </w:rPr>
        <w:t>计量且计提资产减值</w:t>
      </w:r>
      <w:proofErr w:type="gramStart"/>
      <w:r>
        <w:rPr>
          <w:rFonts w:ascii="宋体" w:hAnsi="宋体" w:cs="宋体"/>
          <w:kern w:val="0"/>
          <w:sz w:val="24"/>
          <w:szCs w:val="24"/>
        </w:rPr>
        <w:t>准备仍导致</w:t>
      </w:r>
      <w:proofErr w:type="gramEnd"/>
      <w:r>
        <w:rPr>
          <w:rFonts w:ascii="宋体" w:hAnsi="宋体" w:cs="宋体"/>
          <w:kern w:val="0"/>
          <w:sz w:val="24"/>
          <w:szCs w:val="24"/>
        </w:rPr>
        <w:t>资产价值存在重大不确定性的资产；（三）其他资产价值存在重大不确定性的资产</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61、港股通标的股票：指内地投资者委托内地证券公司，经由内地证券交易所设立的证券交易服务公司，向香港联合交易所进行申报，买卖规定范围内的香港联合交易所上市的股票</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62、信用衍生品：指符合证券交易所或银行间市场相关业务规则，专门用于管理信用风险的信用衍生工具</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63、信用保护买方：亦称信用保护购买方，指接受信用风险保护的一方</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64、信用保护卖方：亦称信用保护提供方，指提供信用风险保护的一方</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65、名义本金：亦称交易名义本金，指为一笔信用衍生品交易提供信用保护的金额，各项支付和结算以此金额为计算基准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66、发起式基金：指符合中国证监会有关规定，由基金管理人、基金管理人股东、基金管理人高级管理人员或基金经理（指基金管理人员工中依法具有基金经理资格者，包括但可能不限于本基金的基金经理，同时也可以包括基金经理之外公司投</w:t>
      </w:r>
      <w:proofErr w:type="gramStart"/>
      <w:r>
        <w:rPr>
          <w:rFonts w:ascii="宋体" w:hAnsi="宋体" w:cs="宋体"/>
          <w:kern w:val="0"/>
          <w:sz w:val="24"/>
          <w:szCs w:val="24"/>
        </w:rPr>
        <w:t>研</w:t>
      </w:r>
      <w:proofErr w:type="gramEnd"/>
      <w:r>
        <w:rPr>
          <w:rFonts w:ascii="宋体" w:hAnsi="宋体" w:cs="宋体"/>
          <w:kern w:val="0"/>
          <w:sz w:val="24"/>
          <w:szCs w:val="24"/>
        </w:rPr>
        <w:t>人员，下同）等人员承诺认购一定金额并持有一定期限的证券投资基金</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67、发起资金：指用于认购发起</w:t>
      </w:r>
      <w:proofErr w:type="gramStart"/>
      <w:r>
        <w:rPr>
          <w:rFonts w:ascii="宋体" w:hAnsi="宋体" w:cs="宋体"/>
          <w:kern w:val="0"/>
          <w:sz w:val="24"/>
          <w:szCs w:val="24"/>
        </w:rPr>
        <w:t>式基金</w:t>
      </w:r>
      <w:proofErr w:type="gramEnd"/>
      <w:r>
        <w:rPr>
          <w:rFonts w:ascii="宋体" w:hAnsi="宋体" w:cs="宋体"/>
          <w:kern w:val="0"/>
          <w:sz w:val="24"/>
          <w:szCs w:val="24"/>
        </w:rPr>
        <w:t>且来源于基金管理人的股东资金、基金管理人固有资金、基金管理人高级管理人员或基金经理等人员的资金</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68、发起资金提供方：指以发起资金认购本基金且承诺以发起资金认购的基金份额持有期限不少于三年的基金管理人的股东、基金管理人、基金管理人高级管理人员或基金经理等人员</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69、不可抗力：指基金合同当事人不能预见、不能避免且不能克服的客观事件</w:t>
      </w:r>
      <w:r>
        <w:rPr>
          <w:rFonts w:ascii="宋体" w:hAnsi="宋体" w:cs="宋体"/>
          <w:kern w:val="0"/>
          <w:sz w:val="24"/>
          <w:szCs w:val="24"/>
        </w:rPr>
        <w:br w:type="page"/>
      </w:r>
    </w:p>
    <w:p w:rsidR="008333A9" w:rsidRDefault="0002249C">
      <w:pPr>
        <w:pStyle w:val="1"/>
        <w:spacing w:before="0" w:after="0"/>
        <w:jc w:val="center"/>
        <w:rPr>
          <w:rFonts w:ascii="Times New Roman"/>
          <w:color w:val="auto"/>
          <w:sz w:val="30"/>
        </w:rPr>
      </w:pPr>
      <w:bookmarkStart w:id="32" w:name="_Toc256000002"/>
      <w:r>
        <w:rPr>
          <w:rFonts w:ascii="Times New Roman"/>
          <w:color w:val="auto"/>
          <w:sz w:val="30"/>
        </w:rPr>
        <w:lastRenderedPageBreak/>
        <w:t>第三部分</w:t>
      </w:r>
      <w:r>
        <w:rPr>
          <w:rFonts w:ascii="Times New Roman"/>
          <w:color w:val="auto"/>
          <w:sz w:val="30"/>
        </w:rPr>
        <w:t xml:space="preserve">  </w:t>
      </w:r>
      <w:r>
        <w:rPr>
          <w:rFonts w:ascii="Times New Roman"/>
          <w:color w:val="auto"/>
          <w:sz w:val="30"/>
        </w:rPr>
        <w:t>基金管理人</w:t>
      </w:r>
      <w:bookmarkEnd w:id="32"/>
    </w:p>
    <w:p w:rsidR="008333A9" w:rsidRDefault="008333A9"/>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一、基金管理人简况</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名称：</w:t>
      </w:r>
      <w:proofErr w:type="gramStart"/>
      <w:r>
        <w:rPr>
          <w:rFonts w:ascii="宋体" w:hAnsi="宋体" w:cs="宋体"/>
          <w:kern w:val="0"/>
          <w:sz w:val="24"/>
          <w:szCs w:val="24"/>
        </w:rPr>
        <w:t>汇添富基金</w:t>
      </w:r>
      <w:proofErr w:type="gramEnd"/>
      <w:r>
        <w:rPr>
          <w:rFonts w:ascii="宋体" w:hAnsi="宋体" w:cs="宋体"/>
          <w:kern w:val="0"/>
          <w:sz w:val="24"/>
          <w:szCs w:val="24"/>
        </w:rPr>
        <w:t>管理股份有限公司</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住所：</w:t>
      </w:r>
      <w:r>
        <w:rPr>
          <w:rFonts w:ascii="宋体" w:hAnsi="宋体" w:cs="宋体" w:hint="eastAsia"/>
          <w:kern w:val="0"/>
          <w:sz w:val="24"/>
          <w:szCs w:val="24"/>
        </w:rPr>
        <w:t>上海市黄浦区外马路728号9楼</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办公地址：上海市黄浦区外马路728号</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法定代表人：</w:t>
      </w:r>
      <w:proofErr w:type="gramStart"/>
      <w:r>
        <w:rPr>
          <w:rFonts w:ascii="宋体" w:hAnsi="宋体" w:cs="宋体" w:hint="eastAsia"/>
          <w:kern w:val="0"/>
          <w:sz w:val="24"/>
          <w:szCs w:val="24"/>
        </w:rPr>
        <w:t>鲁伟铭</w:t>
      </w:r>
      <w:proofErr w:type="gramEnd"/>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成立时间：2005年2月3日</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批准设立机关：中国证监会</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批准设立文号：证</w:t>
      </w:r>
      <w:proofErr w:type="gramStart"/>
      <w:r>
        <w:rPr>
          <w:rFonts w:ascii="宋体" w:hAnsi="宋体" w:cs="宋体"/>
          <w:kern w:val="0"/>
          <w:sz w:val="24"/>
          <w:szCs w:val="24"/>
        </w:rPr>
        <w:t>监基金字</w:t>
      </w:r>
      <w:proofErr w:type="gramEnd"/>
      <w:r>
        <w:rPr>
          <w:rFonts w:ascii="宋体" w:hAnsi="宋体" w:cs="宋体"/>
          <w:kern w:val="0"/>
          <w:sz w:val="24"/>
          <w:szCs w:val="24"/>
        </w:rPr>
        <w:t>[2005]5号</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注册资本：人民币</w:t>
      </w:r>
      <w:r>
        <w:rPr>
          <w:rStyle w:val="custom"/>
          <w:rFonts w:ascii="宋体" w:hAnsi="宋体" w:cs="宋体"/>
          <w:kern w:val="0"/>
          <w:sz w:val="24"/>
          <w:szCs w:val="24"/>
        </w:rPr>
        <w:t>132,724,224</w:t>
      </w:r>
      <w:r>
        <w:rPr>
          <w:rFonts w:ascii="宋体" w:hAnsi="宋体" w:cs="宋体"/>
          <w:kern w:val="0"/>
          <w:sz w:val="24"/>
          <w:szCs w:val="24"/>
        </w:rPr>
        <w:t>元</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联系人：李鹏</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联系电话：（021）28932888</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股东名称及其出资比例：</w:t>
      </w:r>
    </w:p>
    <w:tbl>
      <w:tblPr>
        <w:tblStyle w:val="tableTable"/>
        <w:tblW w:w="5000" w:type="pct"/>
        <w:jc w:val="center"/>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5785"/>
        <w:gridCol w:w="2743"/>
      </w:tblGrid>
      <w:tr w:rsidR="008333A9">
        <w:trPr>
          <w:jc w:val="center"/>
        </w:trPr>
        <w:tc>
          <w:tcPr>
            <w:tcW w:w="5389" w:type="dxa"/>
            <w:tcBorders>
              <w:bottom w:val="single" w:sz="6" w:space="0" w:color="000000"/>
              <w:right w:val="single" w:sz="6" w:space="0" w:color="000000"/>
            </w:tcBorders>
            <w:tcMar>
              <w:top w:w="0" w:type="dxa"/>
              <w:left w:w="111" w:type="dxa"/>
              <w:bottom w:w="0" w:type="dxa"/>
              <w:right w:w="108" w:type="dxa"/>
            </w:tcMar>
          </w:tcPr>
          <w:p w:rsidR="008333A9" w:rsidRDefault="0002249C">
            <w:pPr>
              <w:pStyle w:val="div"/>
              <w:widowControl/>
              <w:spacing w:line="360" w:lineRule="auto"/>
              <w:jc w:val="center"/>
              <w:rPr>
                <w:rFonts w:eastAsia="Times New Roman"/>
                <w:color w:val="000000"/>
                <w:kern w:val="0"/>
                <w:sz w:val="24"/>
                <w:szCs w:val="24"/>
              </w:rPr>
            </w:pPr>
            <w:r>
              <w:rPr>
                <w:rFonts w:ascii="宋体" w:hAnsi="宋体" w:cs="宋体"/>
                <w:color w:val="000000"/>
                <w:kern w:val="0"/>
                <w:sz w:val="24"/>
                <w:szCs w:val="24"/>
              </w:rPr>
              <w:t>股东名称</w:t>
            </w:r>
          </w:p>
        </w:tc>
        <w:tc>
          <w:tcPr>
            <w:tcW w:w="2555" w:type="dxa"/>
            <w:tcBorders>
              <w:left w:val="single" w:sz="6" w:space="0" w:color="000000"/>
              <w:bottom w:val="single" w:sz="6" w:space="0" w:color="000000"/>
            </w:tcBorders>
            <w:tcMar>
              <w:top w:w="0" w:type="dxa"/>
              <w:left w:w="108" w:type="dxa"/>
              <w:bottom w:w="0" w:type="dxa"/>
              <w:right w:w="111" w:type="dxa"/>
            </w:tcMar>
          </w:tcPr>
          <w:p w:rsidR="008333A9" w:rsidRDefault="0002249C">
            <w:pPr>
              <w:pStyle w:val="div"/>
              <w:widowControl/>
              <w:spacing w:line="360" w:lineRule="auto"/>
              <w:jc w:val="center"/>
              <w:rPr>
                <w:rFonts w:eastAsia="Times New Roman"/>
                <w:color w:val="000000"/>
                <w:kern w:val="0"/>
                <w:sz w:val="24"/>
                <w:szCs w:val="24"/>
              </w:rPr>
            </w:pPr>
            <w:r>
              <w:rPr>
                <w:rFonts w:ascii="宋体" w:hAnsi="宋体" w:cs="宋体"/>
                <w:color w:val="000000"/>
                <w:kern w:val="0"/>
                <w:sz w:val="24"/>
                <w:szCs w:val="24"/>
              </w:rPr>
              <w:t>股权比例</w:t>
            </w:r>
          </w:p>
        </w:tc>
      </w:tr>
      <w:tr w:rsidR="008333A9">
        <w:trPr>
          <w:jc w:val="center"/>
        </w:trPr>
        <w:tc>
          <w:tcPr>
            <w:tcW w:w="5389" w:type="dxa"/>
            <w:tcBorders>
              <w:top w:val="single" w:sz="6" w:space="0" w:color="000000"/>
              <w:bottom w:val="single" w:sz="6" w:space="0" w:color="000000"/>
              <w:right w:val="single" w:sz="6" w:space="0" w:color="000000"/>
            </w:tcBorders>
            <w:tcMar>
              <w:top w:w="0" w:type="dxa"/>
              <w:left w:w="111" w:type="dxa"/>
              <w:bottom w:w="0" w:type="dxa"/>
              <w:right w:w="108" w:type="dxa"/>
            </w:tcMar>
            <w:vAlign w:val="center"/>
          </w:tcPr>
          <w:p w:rsidR="008333A9" w:rsidRDefault="0002249C">
            <w:pPr>
              <w:pStyle w:val="div"/>
              <w:widowControl/>
              <w:spacing w:line="360" w:lineRule="auto"/>
              <w:jc w:val="center"/>
              <w:rPr>
                <w:rFonts w:eastAsia="Times New Roman"/>
                <w:color w:val="000000"/>
                <w:kern w:val="0"/>
                <w:sz w:val="24"/>
                <w:szCs w:val="24"/>
              </w:rPr>
            </w:pPr>
            <w:r>
              <w:rPr>
                <w:rFonts w:ascii="宋体" w:hAnsi="宋体" w:cs="宋体"/>
                <w:color w:val="000000"/>
                <w:kern w:val="0"/>
                <w:sz w:val="24"/>
                <w:szCs w:val="24"/>
              </w:rPr>
              <w:t>东方证券股份有限公司</w:t>
            </w:r>
          </w:p>
        </w:tc>
        <w:tc>
          <w:tcPr>
            <w:tcW w:w="2555" w:type="dxa"/>
            <w:tcBorders>
              <w:top w:val="single" w:sz="6" w:space="0" w:color="000000"/>
              <w:left w:val="single" w:sz="6" w:space="0" w:color="000000"/>
              <w:bottom w:val="single" w:sz="6" w:space="0" w:color="000000"/>
            </w:tcBorders>
            <w:tcMar>
              <w:top w:w="0" w:type="dxa"/>
              <w:left w:w="108" w:type="dxa"/>
              <w:bottom w:w="0" w:type="dxa"/>
              <w:right w:w="111" w:type="dxa"/>
            </w:tcMar>
            <w:vAlign w:val="center"/>
          </w:tcPr>
          <w:p w:rsidR="008333A9" w:rsidRDefault="0002249C">
            <w:pPr>
              <w:pStyle w:val="div"/>
              <w:widowControl/>
              <w:spacing w:line="360" w:lineRule="auto"/>
              <w:jc w:val="center"/>
              <w:rPr>
                <w:rFonts w:eastAsia="Times New Roman"/>
                <w:color w:val="000000"/>
                <w:kern w:val="0"/>
                <w:sz w:val="24"/>
                <w:szCs w:val="24"/>
              </w:rPr>
            </w:pPr>
            <w:r>
              <w:rPr>
                <w:rFonts w:eastAsia="Times New Roman"/>
                <w:color w:val="000000"/>
                <w:kern w:val="0"/>
                <w:sz w:val="24"/>
                <w:szCs w:val="24"/>
              </w:rPr>
              <w:t>35.412%</w:t>
            </w:r>
          </w:p>
        </w:tc>
      </w:tr>
      <w:tr w:rsidR="008333A9">
        <w:trPr>
          <w:jc w:val="center"/>
        </w:trPr>
        <w:tc>
          <w:tcPr>
            <w:tcW w:w="5389" w:type="dxa"/>
            <w:tcBorders>
              <w:top w:val="single" w:sz="6" w:space="0" w:color="000000"/>
              <w:bottom w:val="single" w:sz="6" w:space="0" w:color="000000"/>
              <w:right w:val="single" w:sz="6" w:space="0" w:color="000000"/>
            </w:tcBorders>
            <w:tcMar>
              <w:top w:w="0" w:type="dxa"/>
              <w:left w:w="111" w:type="dxa"/>
              <w:bottom w:w="0" w:type="dxa"/>
              <w:right w:w="108" w:type="dxa"/>
            </w:tcMar>
            <w:vAlign w:val="center"/>
          </w:tcPr>
          <w:p w:rsidR="008333A9" w:rsidRDefault="0002249C">
            <w:pPr>
              <w:pStyle w:val="div"/>
              <w:widowControl/>
              <w:spacing w:line="360" w:lineRule="auto"/>
              <w:jc w:val="center"/>
              <w:rPr>
                <w:rFonts w:eastAsia="Times New Roman"/>
                <w:color w:val="000000"/>
                <w:kern w:val="0"/>
                <w:sz w:val="24"/>
                <w:szCs w:val="24"/>
              </w:rPr>
            </w:pPr>
            <w:r>
              <w:rPr>
                <w:rFonts w:ascii="宋体" w:hAnsi="宋体" w:cs="宋体"/>
                <w:color w:val="000000"/>
                <w:kern w:val="0"/>
                <w:sz w:val="24"/>
                <w:szCs w:val="24"/>
              </w:rPr>
              <w:t>上海</w:t>
            </w:r>
            <w:proofErr w:type="gramStart"/>
            <w:r>
              <w:rPr>
                <w:rFonts w:ascii="宋体" w:hAnsi="宋体" w:cs="宋体"/>
                <w:color w:val="000000"/>
                <w:kern w:val="0"/>
                <w:sz w:val="24"/>
                <w:szCs w:val="24"/>
              </w:rPr>
              <w:t>菁聚金</w:t>
            </w:r>
            <w:proofErr w:type="gramEnd"/>
            <w:r>
              <w:rPr>
                <w:rFonts w:ascii="宋体" w:hAnsi="宋体" w:cs="宋体"/>
                <w:color w:val="000000"/>
                <w:kern w:val="0"/>
                <w:sz w:val="24"/>
                <w:szCs w:val="24"/>
              </w:rPr>
              <w:t>投资管理合伙企业（有限合伙）</w:t>
            </w:r>
          </w:p>
        </w:tc>
        <w:tc>
          <w:tcPr>
            <w:tcW w:w="2555" w:type="dxa"/>
            <w:tcBorders>
              <w:top w:val="single" w:sz="6" w:space="0" w:color="000000"/>
              <w:left w:val="single" w:sz="6" w:space="0" w:color="000000"/>
              <w:bottom w:val="single" w:sz="6" w:space="0" w:color="000000"/>
            </w:tcBorders>
            <w:tcMar>
              <w:top w:w="0" w:type="dxa"/>
              <w:left w:w="108" w:type="dxa"/>
              <w:bottom w:w="0" w:type="dxa"/>
              <w:right w:w="111" w:type="dxa"/>
            </w:tcMar>
            <w:vAlign w:val="center"/>
          </w:tcPr>
          <w:p w:rsidR="008333A9" w:rsidRDefault="0002249C">
            <w:pPr>
              <w:pStyle w:val="div"/>
              <w:widowControl/>
              <w:spacing w:line="360" w:lineRule="auto"/>
              <w:jc w:val="center"/>
              <w:rPr>
                <w:rFonts w:eastAsia="Times New Roman"/>
                <w:color w:val="000000"/>
                <w:kern w:val="0"/>
                <w:sz w:val="24"/>
                <w:szCs w:val="24"/>
              </w:rPr>
            </w:pPr>
            <w:r>
              <w:rPr>
                <w:rFonts w:eastAsia="Times New Roman"/>
                <w:color w:val="000000"/>
                <w:kern w:val="0"/>
                <w:sz w:val="24"/>
                <w:szCs w:val="24"/>
              </w:rPr>
              <w:t>24.656%</w:t>
            </w:r>
          </w:p>
        </w:tc>
      </w:tr>
      <w:tr w:rsidR="008333A9">
        <w:trPr>
          <w:trHeight w:val="429"/>
          <w:jc w:val="center"/>
        </w:trPr>
        <w:tc>
          <w:tcPr>
            <w:tcW w:w="5389" w:type="dxa"/>
            <w:tcBorders>
              <w:top w:val="single" w:sz="6" w:space="0" w:color="000000"/>
              <w:bottom w:val="single" w:sz="6" w:space="0" w:color="000000"/>
              <w:right w:val="single" w:sz="6" w:space="0" w:color="000000"/>
            </w:tcBorders>
            <w:tcMar>
              <w:top w:w="0" w:type="dxa"/>
              <w:left w:w="111" w:type="dxa"/>
              <w:bottom w:w="0" w:type="dxa"/>
              <w:right w:w="108" w:type="dxa"/>
            </w:tcMar>
            <w:vAlign w:val="center"/>
          </w:tcPr>
          <w:p w:rsidR="008333A9" w:rsidRDefault="0002249C">
            <w:pPr>
              <w:pStyle w:val="div"/>
              <w:widowControl/>
              <w:spacing w:line="360" w:lineRule="auto"/>
              <w:jc w:val="center"/>
              <w:rPr>
                <w:rFonts w:eastAsia="Times New Roman"/>
                <w:color w:val="000000"/>
                <w:kern w:val="0"/>
                <w:sz w:val="24"/>
                <w:szCs w:val="24"/>
              </w:rPr>
            </w:pPr>
            <w:r>
              <w:rPr>
                <w:rFonts w:ascii="宋体" w:hAnsi="宋体" w:cs="宋体"/>
                <w:color w:val="000000"/>
                <w:kern w:val="0"/>
                <w:sz w:val="24"/>
                <w:szCs w:val="24"/>
              </w:rPr>
              <w:t>上海上报资产管理有限公司</w:t>
            </w:r>
          </w:p>
        </w:tc>
        <w:tc>
          <w:tcPr>
            <w:tcW w:w="2555" w:type="dxa"/>
            <w:tcBorders>
              <w:top w:val="single" w:sz="6" w:space="0" w:color="000000"/>
              <w:left w:val="single" w:sz="6" w:space="0" w:color="000000"/>
              <w:bottom w:val="single" w:sz="6" w:space="0" w:color="000000"/>
            </w:tcBorders>
            <w:tcMar>
              <w:top w:w="0" w:type="dxa"/>
              <w:left w:w="108" w:type="dxa"/>
              <w:bottom w:w="0" w:type="dxa"/>
              <w:right w:w="111" w:type="dxa"/>
            </w:tcMar>
            <w:vAlign w:val="center"/>
          </w:tcPr>
          <w:p w:rsidR="008333A9" w:rsidRDefault="0002249C">
            <w:pPr>
              <w:pStyle w:val="div"/>
              <w:widowControl/>
              <w:spacing w:line="360" w:lineRule="auto"/>
              <w:jc w:val="center"/>
              <w:rPr>
                <w:rFonts w:eastAsia="Times New Roman"/>
                <w:color w:val="000000"/>
                <w:kern w:val="0"/>
                <w:sz w:val="24"/>
                <w:szCs w:val="24"/>
              </w:rPr>
            </w:pPr>
            <w:r>
              <w:rPr>
                <w:rFonts w:eastAsia="Times New Roman"/>
                <w:color w:val="000000"/>
                <w:kern w:val="0"/>
                <w:sz w:val="24"/>
                <w:szCs w:val="24"/>
              </w:rPr>
              <w:t>19.966%</w:t>
            </w:r>
          </w:p>
        </w:tc>
      </w:tr>
      <w:tr w:rsidR="008333A9">
        <w:trPr>
          <w:jc w:val="center"/>
        </w:trPr>
        <w:tc>
          <w:tcPr>
            <w:tcW w:w="5389" w:type="dxa"/>
            <w:tcBorders>
              <w:top w:val="single" w:sz="6" w:space="0" w:color="000000"/>
              <w:bottom w:val="single" w:sz="6" w:space="0" w:color="000000"/>
              <w:right w:val="single" w:sz="6" w:space="0" w:color="000000"/>
            </w:tcBorders>
            <w:tcMar>
              <w:top w:w="0" w:type="dxa"/>
              <w:left w:w="111" w:type="dxa"/>
              <w:bottom w:w="0" w:type="dxa"/>
              <w:right w:w="108" w:type="dxa"/>
            </w:tcMar>
            <w:vAlign w:val="center"/>
          </w:tcPr>
          <w:p w:rsidR="008333A9" w:rsidRDefault="0002249C">
            <w:pPr>
              <w:pStyle w:val="div"/>
              <w:widowControl/>
              <w:spacing w:line="360" w:lineRule="auto"/>
              <w:jc w:val="center"/>
              <w:rPr>
                <w:rFonts w:eastAsia="Times New Roman"/>
                <w:color w:val="000000"/>
                <w:kern w:val="0"/>
                <w:sz w:val="24"/>
                <w:szCs w:val="24"/>
              </w:rPr>
            </w:pPr>
            <w:proofErr w:type="gramStart"/>
            <w:r>
              <w:rPr>
                <w:rFonts w:ascii="宋体" w:hAnsi="宋体" w:cs="宋体"/>
                <w:color w:val="000000"/>
                <w:kern w:val="0"/>
                <w:sz w:val="24"/>
                <w:szCs w:val="24"/>
              </w:rPr>
              <w:t>东航金控</w:t>
            </w:r>
            <w:proofErr w:type="gramEnd"/>
            <w:r>
              <w:rPr>
                <w:rFonts w:ascii="宋体" w:hAnsi="宋体" w:cs="宋体"/>
                <w:color w:val="000000"/>
                <w:kern w:val="0"/>
                <w:sz w:val="24"/>
                <w:szCs w:val="24"/>
              </w:rPr>
              <w:t>有限责任公司</w:t>
            </w:r>
          </w:p>
        </w:tc>
        <w:tc>
          <w:tcPr>
            <w:tcW w:w="2555" w:type="dxa"/>
            <w:tcBorders>
              <w:top w:val="single" w:sz="6" w:space="0" w:color="000000"/>
              <w:left w:val="single" w:sz="6" w:space="0" w:color="000000"/>
              <w:bottom w:val="single" w:sz="6" w:space="0" w:color="000000"/>
            </w:tcBorders>
            <w:tcMar>
              <w:top w:w="0" w:type="dxa"/>
              <w:left w:w="108" w:type="dxa"/>
              <w:bottom w:w="0" w:type="dxa"/>
              <w:right w:w="111" w:type="dxa"/>
            </w:tcMar>
            <w:vAlign w:val="center"/>
          </w:tcPr>
          <w:p w:rsidR="008333A9" w:rsidRDefault="0002249C">
            <w:pPr>
              <w:pStyle w:val="div"/>
              <w:widowControl/>
              <w:spacing w:line="360" w:lineRule="auto"/>
              <w:jc w:val="center"/>
              <w:rPr>
                <w:rFonts w:eastAsia="Times New Roman"/>
                <w:color w:val="000000"/>
                <w:kern w:val="0"/>
                <w:sz w:val="24"/>
                <w:szCs w:val="24"/>
              </w:rPr>
            </w:pPr>
            <w:r>
              <w:rPr>
                <w:rFonts w:eastAsia="Times New Roman"/>
                <w:color w:val="000000"/>
                <w:kern w:val="0"/>
                <w:sz w:val="24"/>
                <w:szCs w:val="24"/>
              </w:rPr>
              <w:t>19.966%</w:t>
            </w:r>
          </w:p>
        </w:tc>
      </w:tr>
      <w:tr w:rsidR="008333A9">
        <w:trPr>
          <w:jc w:val="center"/>
        </w:trPr>
        <w:tc>
          <w:tcPr>
            <w:tcW w:w="5389" w:type="dxa"/>
            <w:tcBorders>
              <w:top w:val="single" w:sz="6" w:space="0" w:color="000000"/>
              <w:right w:val="single" w:sz="6" w:space="0" w:color="000000"/>
            </w:tcBorders>
            <w:tcMar>
              <w:top w:w="0" w:type="dxa"/>
              <w:left w:w="111" w:type="dxa"/>
              <w:bottom w:w="0" w:type="dxa"/>
              <w:right w:w="108" w:type="dxa"/>
            </w:tcMar>
            <w:vAlign w:val="center"/>
          </w:tcPr>
          <w:p w:rsidR="008333A9" w:rsidRDefault="0002249C">
            <w:pPr>
              <w:pStyle w:val="div"/>
              <w:widowControl/>
              <w:spacing w:line="360" w:lineRule="auto"/>
              <w:jc w:val="center"/>
              <w:rPr>
                <w:rFonts w:eastAsia="Times New Roman"/>
                <w:color w:val="000000"/>
                <w:kern w:val="0"/>
                <w:sz w:val="24"/>
                <w:szCs w:val="24"/>
              </w:rPr>
            </w:pPr>
            <w:r>
              <w:rPr>
                <w:rFonts w:ascii="宋体" w:hAnsi="宋体" w:cs="宋体"/>
                <w:color w:val="000000"/>
                <w:kern w:val="0"/>
                <w:sz w:val="24"/>
                <w:szCs w:val="24"/>
              </w:rPr>
              <w:t>合计</w:t>
            </w:r>
          </w:p>
        </w:tc>
        <w:tc>
          <w:tcPr>
            <w:tcW w:w="2555" w:type="dxa"/>
            <w:tcBorders>
              <w:top w:val="single" w:sz="6" w:space="0" w:color="000000"/>
              <w:left w:val="single" w:sz="6" w:space="0" w:color="000000"/>
            </w:tcBorders>
            <w:tcMar>
              <w:top w:w="0" w:type="dxa"/>
              <w:left w:w="108" w:type="dxa"/>
              <w:bottom w:w="0" w:type="dxa"/>
              <w:right w:w="111" w:type="dxa"/>
            </w:tcMar>
            <w:vAlign w:val="center"/>
          </w:tcPr>
          <w:p w:rsidR="008333A9" w:rsidRDefault="0002249C">
            <w:pPr>
              <w:pStyle w:val="div"/>
              <w:widowControl/>
              <w:spacing w:line="360" w:lineRule="auto"/>
              <w:jc w:val="center"/>
              <w:rPr>
                <w:rFonts w:eastAsia="Times New Roman"/>
                <w:color w:val="000000"/>
                <w:kern w:val="0"/>
                <w:sz w:val="24"/>
                <w:szCs w:val="24"/>
              </w:rPr>
            </w:pPr>
            <w:r>
              <w:rPr>
                <w:rFonts w:eastAsia="Times New Roman"/>
                <w:color w:val="000000"/>
                <w:kern w:val="0"/>
                <w:sz w:val="24"/>
                <w:szCs w:val="24"/>
              </w:rPr>
              <w:t>100%</w:t>
            </w:r>
          </w:p>
        </w:tc>
      </w:tr>
    </w:tbl>
    <w:p w:rsidR="008333A9" w:rsidRDefault="0002249C">
      <w:pPr>
        <w:pStyle w:val="div"/>
        <w:spacing w:line="360" w:lineRule="auto"/>
        <w:ind w:firstLine="480"/>
        <w:jc w:val="left"/>
        <w:rPr>
          <w:rFonts w:eastAsia="Times New Roman"/>
          <w:kern w:val="0"/>
          <w:sz w:val="24"/>
          <w:szCs w:val="24"/>
        </w:rPr>
      </w:pPr>
      <w:r>
        <w:rPr>
          <w:rFonts w:ascii="宋体" w:hAnsi="宋体" w:cs="宋体"/>
          <w:kern w:val="0"/>
          <w:sz w:val="24"/>
          <w:szCs w:val="24"/>
        </w:rPr>
        <w:t>二、主要人员情况</w:t>
      </w:r>
    </w:p>
    <w:p w:rsidR="008333A9" w:rsidRDefault="0002249C">
      <w:pPr>
        <w:pStyle w:val="div"/>
        <w:spacing w:line="360" w:lineRule="auto"/>
        <w:ind w:firstLine="480"/>
        <w:jc w:val="left"/>
        <w:rPr>
          <w:rFonts w:eastAsia="Times New Roman"/>
          <w:kern w:val="0"/>
          <w:sz w:val="24"/>
          <w:szCs w:val="24"/>
        </w:rPr>
      </w:pPr>
      <w:r>
        <w:rPr>
          <w:rFonts w:ascii="宋体" w:hAnsi="宋体" w:cs="宋体"/>
          <w:kern w:val="0"/>
          <w:sz w:val="24"/>
          <w:szCs w:val="24"/>
        </w:rPr>
        <w:t>1、董事会成员</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hint="eastAsia"/>
          <w:kern w:val="0"/>
          <w:sz w:val="24"/>
          <w:szCs w:val="24"/>
        </w:rPr>
        <w:t>鲁伟铭先生，国籍：中国，经济学硕士。现任东方证券股份有限公司副董事长、执行董事，</w:t>
      </w:r>
      <w:proofErr w:type="gramStart"/>
      <w:r>
        <w:rPr>
          <w:rFonts w:ascii="宋体" w:hAnsi="宋体" w:cs="宋体" w:hint="eastAsia"/>
          <w:kern w:val="0"/>
          <w:sz w:val="24"/>
          <w:szCs w:val="24"/>
        </w:rPr>
        <w:t>汇添富基金</w:t>
      </w:r>
      <w:proofErr w:type="gramEnd"/>
      <w:r>
        <w:rPr>
          <w:rFonts w:ascii="宋体" w:hAnsi="宋体" w:cs="宋体" w:hint="eastAsia"/>
          <w:kern w:val="0"/>
          <w:sz w:val="24"/>
          <w:szCs w:val="24"/>
        </w:rPr>
        <w:t>管理股份有限公司党委书记、董事长。历任中国</w:t>
      </w:r>
      <w:proofErr w:type="gramStart"/>
      <w:r>
        <w:rPr>
          <w:rFonts w:ascii="宋体" w:hAnsi="宋体" w:cs="宋体" w:hint="eastAsia"/>
          <w:kern w:val="0"/>
          <w:sz w:val="24"/>
          <w:szCs w:val="24"/>
        </w:rPr>
        <w:t>国</w:t>
      </w:r>
      <w:proofErr w:type="gramEnd"/>
      <w:r>
        <w:rPr>
          <w:rFonts w:ascii="宋体" w:hAnsi="宋体" w:cs="宋体" w:hint="eastAsia"/>
          <w:kern w:val="0"/>
          <w:sz w:val="24"/>
          <w:szCs w:val="24"/>
        </w:rPr>
        <w:t>泰证券有限公司交易部业务员、交易部经营</w:t>
      </w:r>
      <w:proofErr w:type="gramStart"/>
      <w:r>
        <w:rPr>
          <w:rFonts w:ascii="宋体" w:hAnsi="宋体" w:cs="宋体" w:hint="eastAsia"/>
          <w:kern w:val="0"/>
          <w:sz w:val="24"/>
          <w:szCs w:val="24"/>
        </w:rPr>
        <w:t>处项目</w:t>
      </w:r>
      <w:proofErr w:type="gramEnd"/>
      <w:r>
        <w:rPr>
          <w:rFonts w:ascii="宋体" w:hAnsi="宋体" w:cs="宋体" w:hint="eastAsia"/>
          <w:kern w:val="0"/>
          <w:sz w:val="24"/>
          <w:szCs w:val="24"/>
        </w:rPr>
        <w:t>经理；东方证券股份有限公司交易总部证券投资部职员、副总经理，证券投资业务总部高级投资经理，固定收益业务总部总经理助理、副总经理、副总经理（主持工作）、总经理，金融衍生品业务总部总经理，总裁助理、副总裁、党委副书记、总裁等职务。</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hint="eastAsia"/>
          <w:kern w:val="0"/>
          <w:sz w:val="24"/>
          <w:szCs w:val="24"/>
        </w:rPr>
        <w:t>李芸女士，国籍：中国，经济学硕士，高级编辑。现任上海报业集团党委书</w:t>
      </w:r>
      <w:r>
        <w:rPr>
          <w:rFonts w:ascii="宋体" w:hAnsi="宋体" w:cs="宋体" w:hint="eastAsia"/>
          <w:kern w:val="0"/>
          <w:sz w:val="24"/>
          <w:szCs w:val="24"/>
        </w:rPr>
        <w:lastRenderedPageBreak/>
        <w:t>记、社长。历任上海第四师范学校团委书记、教师；共青团卢湾区委学校部副部长、部长、副书记，卢湾区妇女联合会副主任，卢湾区委办公室副主任，卢湾区五里桥街道党工委书记，卢湾区委常委、宣传部部长；闵行区委常委、宣传部部长；解放日报报业集团党委副书记、纪委书记，解放日报党委书记；上海报业集团党委副书记，解放日报社党委书记、社长。其他兼任职务包括上海众源资本管理有限公司董事长，东方证券股份有限公司董事。</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hint="eastAsia"/>
          <w:kern w:val="0"/>
          <w:sz w:val="24"/>
          <w:szCs w:val="24"/>
        </w:rPr>
        <w:t>毛海东先生，国籍：中国，经济学硕士。现任东航私募基金管理有限公司董事长、党支部书记、总经理，东航国际控股（香港）有限公司董事，东航国际金融（香港）有限公司董事。历任东航期货有限责任公司总经理、董事长、党总支书记，</w:t>
      </w:r>
      <w:proofErr w:type="gramStart"/>
      <w:r>
        <w:rPr>
          <w:rFonts w:ascii="宋体" w:hAnsi="宋体" w:cs="宋体" w:hint="eastAsia"/>
          <w:kern w:val="0"/>
          <w:sz w:val="24"/>
          <w:szCs w:val="24"/>
        </w:rPr>
        <w:t>东航金控</w:t>
      </w:r>
      <w:proofErr w:type="gramEnd"/>
      <w:r>
        <w:rPr>
          <w:rFonts w:ascii="宋体" w:hAnsi="宋体" w:cs="宋体" w:hint="eastAsia"/>
          <w:kern w:val="0"/>
          <w:sz w:val="24"/>
          <w:szCs w:val="24"/>
        </w:rPr>
        <w:t>有限责任公司财富管理中心总经理、总经理助理，</w:t>
      </w:r>
      <w:proofErr w:type="gramStart"/>
      <w:r>
        <w:rPr>
          <w:rFonts w:ascii="宋体" w:hAnsi="宋体" w:cs="宋体" w:hint="eastAsia"/>
          <w:kern w:val="0"/>
          <w:sz w:val="24"/>
          <w:szCs w:val="24"/>
        </w:rPr>
        <w:t>汇添富基金</w:t>
      </w:r>
      <w:proofErr w:type="gramEnd"/>
      <w:r>
        <w:rPr>
          <w:rFonts w:ascii="宋体" w:hAnsi="宋体" w:cs="宋体" w:hint="eastAsia"/>
          <w:kern w:val="0"/>
          <w:sz w:val="24"/>
          <w:szCs w:val="24"/>
        </w:rPr>
        <w:t>管理股份有限公司监事、监事会主席，曾任职于东航集团财务有限责任公司等。</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hint="eastAsia"/>
          <w:kern w:val="0"/>
          <w:sz w:val="24"/>
          <w:szCs w:val="24"/>
        </w:rPr>
        <w:t>张晖先生，国籍：中国，经济学硕士。现任</w:t>
      </w:r>
      <w:proofErr w:type="gramStart"/>
      <w:r>
        <w:rPr>
          <w:rFonts w:ascii="宋体" w:hAnsi="宋体" w:cs="宋体" w:hint="eastAsia"/>
          <w:kern w:val="0"/>
          <w:sz w:val="24"/>
          <w:szCs w:val="24"/>
        </w:rPr>
        <w:t>汇添富基金</w:t>
      </w:r>
      <w:proofErr w:type="gramEnd"/>
      <w:r>
        <w:rPr>
          <w:rFonts w:ascii="宋体" w:hAnsi="宋体" w:cs="宋体" w:hint="eastAsia"/>
          <w:kern w:val="0"/>
          <w:sz w:val="24"/>
          <w:szCs w:val="24"/>
        </w:rPr>
        <w:t>管理股份有限公司总经理，</w:t>
      </w:r>
      <w:proofErr w:type="gramStart"/>
      <w:r>
        <w:rPr>
          <w:rFonts w:ascii="宋体" w:hAnsi="宋体" w:cs="宋体" w:hint="eastAsia"/>
          <w:kern w:val="0"/>
          <w:sz w:val="24"/>
          <w:szCs w:val="24"/>
        </w:rPr>
        <w:t>汇添富资本</w:t>
      </w:r>
      <w:proofErr w:type="gramEnd"/>
      <w:r>
        <w:rPr>
          <w:rFonts w:ascii="宋体" w:hAnsi="宋体" w:cs="宋体" w:hint="eastAsia"/>
          <w:kern w:val="0"/>
          <w:sz w:val="24"/>
          <w:szCs w:val="24"/>
        </w:rPr>
        <w:t>管理有限公司董事长。历任申银万国证券研究所高级分析师，富国基金管理有限公司高级分析师、研究主管和基金经理，</w:t>
      </w:r>
      <w:proofErr w:type="gramStart"/>
      <w:r>
        <w:rPr>
          <w:rFonts w:ascii="宋体" w:hAnsi="宋体" w:cs="宋体" w:hint="eastAsia"/>
          <w:kern w:val="0"/>
          <w:sz w:val="24"/>
          <w:szCs w:val="24"/>
        </w:rPr>
        <w:t>汇添富基金</w:t>
      </w:r>
      <w:proofErr w:type="gramEnd"/>
      <w:r>
        <w:rPr>
          <w:rFonts w:ascii="宋体" w:hAnsi="宋体" w:cs="宋体" w:hint="eastAsia"/>
          <w:kern w:val="0"/>
          <w:sz w:val="24"/>
          <w:szCs w:val="24"/>
        </w:rPr>
        <w:t>管理股份有限公司副总经理、投资总监，曾担任中国证券监督管理委员会第十届和第十一届发行审核委员会委员。</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hint="eastAsia"/>
          <w:kern w:val="0"/>
          <w:sz w:val="24"/>
          <w:szCs w:val="24"/>
        </w:rPr>
        <w:t>魏尚进先生，国籍：美国，经济学博士。现任哥伦比亚大学商学院金融学与经济学系终身讲席教授、复旦国际金融学院学术访问教授、美国国民经济研究局国际金融与宏观经济项目研究员及中国经济研究组主任、深圳高等金融研究院国际顾问委员会委员、清华大学五道口金融学院国际顾问委员会委员、对外经贸大学全球价值链研究院顾问、香港金融管理局金融研究院国际顾问委员会委员。曾任亚洲开发银行首位华人首席经济学家、哈佛大学肯尼迪政府学院副教授、美国布鲁金斯学会高级研究员、国际货币基金组织贸易与投资研究主管、世界银行顾问等。</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hint="eastAsia"/>
          <w:kern w:val="0"/>
          <w:sz w:val="24"/>
          <w:szCs w:val="24"/>
        </w:rPr>
        <w:t>连平先生，国籍：中国，金融专业博士，教授，博士生导师。现任中国首席经济学家论坛理事长、复旦大学管理学院特聘教授、上海首席经济学家金融发展中心理事长、上海市经济学会副会长、上海交通大学上海高级金融学院兼聘教授、江苏联合水务科技股份有限公司独立董事。曾任交通银行首席经济学家，中国金融40人</w:t>
      </w:r>
      <w:proofErr w:type="gramStart"/>
      <w:r>
        <w:rPr>
          <w:rFonts w:ascii="宋体" w:hAnsi="宋体" w:cs="宋体" w:hint="eastAsia"/>
          <w:kern w:val="0"/>
          <w:sz w:val="24"/>
          <w:szCs w:val="24"/>
        </w:rPr>
        <w:t>论坛常务</w:t>
      </w:r>
      <w:proofErr w:type="gramEnd"/>
      <w:r>
        <w:rPr>
          <w:rFonts w:ascii="宋体" w:hAnsi="宋体" w:cs="宋体" w:hint="eastAsia"/>
          <w:kern w:val="0"/>
          <w:sz w:val="24"/>
          <w:szCs w:val="24"/>
        </w:rPr>
        <w:t>理事和特邀成员、中国银行业协会行业发展研究委员会主任等，</w:t>
      </w:r>
      <w:r>
        <w:rPr>
          <w:rFonts w:ascii="宋体" w:hAnsi="宋体" w:cs="宋体" w:hint="eastAsia"/>
          <w:kern w:val="0"/>
          <w:sz w:val="24"/>
          <w:szCs w:val="24"/>
        </w:rPr>
        <w:lastRenderedPageBreak/>
        <w:t>多次出席党和国家领导人主持的专家会议，多次担任上海市人民政府决策咨询特聘专家，享受国务院政府特殊津贴。</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hint="eastAsia"/>
          <w:kern w:val="0"/>
          <w:sz w:val="24"/>
          <w:szCs w:val="24"/>
        </w:rPr>
        <w:t>吕毅先生，国籍：中国，法学硕士，执业律师。现任北京观</w:t>
      </w:r>
      <w:proofErr w:type="gramStart"/>
      <w:r>
        <w:rPr>
          <w:rFonts w:ascii="宋体" w:hAnsi="宋体" w:cs="宋体" w:hint="eastAsia"/>
          <w:kern w:val="0"/>
          <w:sz w:val="24"/>
          <w:szCs w:val="24"/>
        </w:rPr>
        <w:t>韬</w:t>
      </w:r>
      <w:proofErr w:type="gramEnd"/>
      <w:r>
        <w:rPr>
          <w:rFonts w:ascii="宋体" w:hAnsi="宋体" w:cs="宋体" w:hint="eastAsia"/>
          <w:kern w:val="0"/>
          <w:sz w:val="24"/>
          <w:szCs w:val="24"/>
        </w:rPr>
        <w:t>（上海）律师事务所权益合伙人，曾任上海市第一（沪一）律师事务所合伙人，上海市君</w:t>
      </w:r>
      <w:proofErr w:type="gramStart"/>
      <w:r>
        <w:rPr>
          <w:rFonts w:ascii="宋体" w:hAnsi="宋体" w:cs="宋体" w:hint="eastAsia"/>
          <w:kern w:val="0"/>
          <w:sz w:val="24"/>
          <w:szCs w:val="24"/>
        </w:rPr>
        <w:t>悦律师</w:t>
      </w:r>
      <w:proofErr w:type="gramEnd"/>
      <w:r>
        <w:rPr>
          <w:rFonts w:ascii="宋体" w:hAnsi="宋体" w:cs="宋体" w:hint="eastAsia"/>
          <w:kern w:val="0"/>
          <w:sz w:val="24"/>
          <w:szCs w:val="24"/>
        </w:rPr>
        <w:t>事务所高级合伙人、副主任，中国人民政治协商会议上海市虹口区委员会第十四届常委。其他兼任职务包括中国人民政治协商会议上海市虹口区委员会第十五届常委，上海国际经济贸易仲裁委员会仲裁员，上海市经济和信息化委员会兼职法律顾问，同济大学经管学院MPA研究生客座教授及华东政法大学硕士生指导教师。</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hint="eastAsia"/>
          <w:kern w:val="0"/>
          <w:sz w:val="24"/>
          <w:szCs w:val="24"/>
        </w:rPr>
        <w:t>2、监事会成员</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hint="eastAsia"/>
          <w:kern w:val="0"/>
          <w:sz w:val="24"/>
          <w:szCs w:val="24"/>
        </w:rPr>
        <w:t>韩家明先生，国籍：中国，法学硕士，中级经济师。现任上海上报资产管理有限公司副总经理。曾担任中共上海市委宣传部文化改革发展办公室主任科员、支部委员，东方明珠新媒体股份有限公司战略与投资中心运营管理总监。其他兼任职务包括上海市广播影视制作业行业协会监事长，上海市闵行区文化创意产业协会副秘书长，上海颐歌资产管理有限公司董事，上海杏花楼（集团）股份有限公司董事，上海民族乐器一厂有限公司董事。</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hint="eastAsia"/>
          <w:kern w:val="0"/>
          <w:sz w:val="24"/>
          <w:szCs w:val="24"/>
        </w:rPr>
        <w:t>丁艳女士，国籍：中国，法学硕士，理学硕士。现任东方证券股份有限公司审计中心总经理、职工监事，上海东方证券资本投资有限公司董事。曾担任中国人民银行上海分行银行管理处科员，中国人民银行上海分行办公室副主任科员，中国人民银行上海总部综合管理部秘书处副主任科员，中国人民银行上海总部金融服务二部反洗钱处主任科员、科长，东方证券股份有限公司稽核总部拟任总经理助理、总经理助理、副总经理、副总经理（主持工作）、总经理。</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hint="eastAsia"/>
          <w:kern w:val="0"/>
          <w:sz w:val="24"/>
          <w:szCs w:val="24"/>
        </w:rPr>
        <w:t>信春霞女士，国籍：中国，经济学博士。现任</w:t>
      </w:r>
      <w:proofErr w:type="gramStart"/>
      <w:r>
        <w:rPr>
          <w:rFonts w:ascii="宋体" w:hAnsi="宋体" w:cs="宋体" w:hint="eastAsia"/>
          <w:kern w:val="0"/>
          <w:sz w:val="24"/>
          <w:szCs w:val="24"/>
        </w:rPr>
        <w:t>东航金控</w:t>
      </w:r>
      <w:proofErr w:type="gramEnd"/>
      <w:r>
        <w:rPr>
          <w:rFonts w:ascii="宋体" w:hAnsi="宋体" w:cs="宋体" w:hint="eastAsia"/>
          <w:kern w:val="0"/>
          <w:sz w:val="24"/>
          <w:szCs w:val="24"/>
        </w:rPr>
        <w:t>有限责任公司董事会秘书、东航期货有限责任公司董事。曾担任上海市国有资产监督管理委员会预算财务处主任科员，上海市金融办金融机构服务处副调研员，上海市金融服务办公室市属金融国资监管服务处副调研员、副处长，上海市国有资产监督管理委员会金融企业评价处副处长。</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hint="eastAsia"/>
          <w:kern w:val="0"/>
          <w:sz w:val="24"/>
          <w:szCs w:val="24"/>
        </w:rPr>
        <w:t>王静女士，国籍：中国，工商管理硕士。现任</w:t>
      </w:r>
      <w:proofErr w:type="gramStart"/>
      <w:r>
        <w:rPr>
          <w:rFonts w:ascii="宋体" w:hAnsi="宋体" w:cs="宋体" w:hint="eastAsia"/>
          <w:kern w:val="0"/>
          <w:sz w:val="24"/>
          <w:szCs w:val="24"/>
        </w:rPr>
        <w:t>汇添富基金</w:t>
      </w:r>
      <w:proofErr w:type="gramEnd"/>
      <w:r>
        <w:rPr>
          <w:rFonts w:ascii="宋体" w:hAnsi="宋体" w:cs="宋体" w:hint="eastAsia"/>
          <w:kern w:val="0"/>
          <w:sz w:val="24"/>
          <w:szCs w:val="24"/>
        </w:rPr>
        <w:t>管理股份有限公司私人财富管理中心总监。曾任职于中国东方航空集团公司宣传部，</w:t>
      </w:r>
      <w:proofErr w:type="gramStart"/>
      <w:r>
        <w:rPr>
          <w:rFonts w:ascii="宋体" w:hAnsi="宋体" w:cs="宋体" w:hint="eastAsia"/>
          <w:kern w:val="0"/>
          <w:sz w:val="24"/>
          <w:szCs w:val="24"/>
        </w:rPr>
        <w:t>东航金控</w:t>
      </w:r>
      <w:proofErr w:type="gramEnd"/>
      <w:r>
        <w:rPr>
          <w:rFonts w:ascii="宋体" w:hAnsi="宋体" w:cs="宋体" w:hint="eastAsia"/>
          <w:kern w:val="0"/>
          <w:sz w:val="24"/>
          <w:szCs w:val="24"/>
        </w:rPr>
        <w:t>有限</w:t>
      </w:r>
      <w:r>
        <w:rPr>
          <w:rFonts w:ascii="宋体" w:hAnsi="宋体" w:cs="宋体" w:hint="eastAsia"/>
          <w:kern w:val="0"/>
          <w:sz w:val="24"/>
          <w:szCs w:val="24"/>
        </w:rPr>
        <w:lastRenderedPageBreak/>
        <w:t>责任公司研究发展部。</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hint="eastAsia"/>
          <w:kern w:val="0"/>
          <w:sz w:val="24"/>
          <w:szCs w:val="24"/>
        </w:rPr>
        <w:t>陈杰先生，国籍：中国，理学博士。现任</w:t>
      </w:r>
      <w:proofErr w:type="gramStart"/>
      <w:r>
        <w:rPr>
          <w:rFonts w:ascii="宋体" w:hAnsi="宋体" w:cs="宋体" w:hint="eastAsia"/>
          <w:kern w:val="0"/>
          <w:sz w:val="24"/>
          <w:szCs w:val="24"/>
        </w:rPr>
        <w:t>汇添富基金</w:t>
      </w:r>
      <w:proofErr w:type="gramEnd"/>
      <w:r>
        <w:rPr>
          <w:rFonts w:ascii="宋体" w:hAnsi="宋体" w:cs="宋体" w:hint="eastAsia"/>
          <w:kern w:val="0"/>
          <w:sz w:val="24"/>
          <w:szCs w:val="24"/>
        </w:rPr>
        <w:t>管理股份有限公司综合办公室总监。曾任职于罗兰贝格管理咨询有限公司，泰科电子（上海）有限公司。</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hint="eastAsia"/>
          <w:kern w:val="0"/>
          <w:sz w:val="24"/>
          <w:szCs w:val="24"/>
        </w:rPr>
        <w:t>曹翊君女士，国籍：中国，经济学硕士。现任</w:t>
      </w:r>
      <w:proofErr w:type="gramStart"/>
      <w:r>
        <w:rPr>
          <w:rFonts w:ascii="宋体" w:hAnsi="宋体" w:cs="宋体" w:hint="eastAsia"/>
          <w:kern w:val="0"/>
          <w:sz w:val="24"/>
          <w:szCs w:val="24"/>
        </w:rPr>
        <w:t>汇添富基金</w:t>
      </w:r>
      <w:proofErr w:type="gramEnd"/>
      <w:r>
        <w:rPr>
          <w:rFonts w:ascii="宋体" w:hAnsi="宋体" w:cs="宋体" w:hint="eastAsia"/>
          <w:kern w:val="0"/>
          <w:sz w:val="24"/>
          <w:szCs w:val="24"/>
        </w:rPr>
        <w:t>管理股份有限公司合</w:t>
      </w:r>
      <w:proofErr w:type="gramStart"/>
      <w:r>
        <w:rPr>
          <w:rFonts w:ascii="宋体" w:hAnsi="宋体" w:cs="宋体" w:hint="eastAsia"/>
          <w:kern w:val="0"/>
          <w:sz w:val="24"/>
          <w:szCs w:val="24"/>
        </w:rPr>
        <w:t>规</w:t>
      </w:r>
      <w:proofErr w:type="gramEnd"/>
      <w:r>
        <w:rPr>
          <w:rFonts w:ascii="宋体" w:hAnsi="宋体" w:cs="宋体" w:hint="eastAsia"/>
          <w:kern w:val="0"/>
          <w:sz w:val="24"/>
          <w:szCs w:val="24"/>
        </w:rPr>
        <w:t>稽核部总监，</w:t>
      </w:r>
      <w:proofErr w:type="gramStart"/>
      <w:r>
        <w:rPr>
          <w:rFonts w:ascii="宋体" w:hAnsi="宋体" w:cs="宋体" w:hint="eastAsia"/>
          <w:kern w:val="0"/>
          <w:sz w:val="24"/>
          <w:szCs w:val="24"/>
        </w:rPr>
        <w:t>汇添富资本</w:t>
      </w:r>
      <w:proofErr w:type="gramEnd"/>
      <w:r>
        <w:rPr>
          <w:rFonts w:ascii="宋体" w:hAnsi="宋体" w:cs="宋体" w:hint="eastAsia"/>
          <w:kern w:val="0"/>
          <w:sz w:val="24"/>
          <w:szCs w:val="24"/>
        </w:rPr>
        <w:t>管理有限公司监事。曾任职于上海证券报社新闻中心。</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hint="eastAsia"/>
          <w:kern w:val="0"/>
          <w:sz w:val="24"/>
          <w:szCs w:val="24"/>
        </w:rPr>
        <w:t>3、高管人员</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hint="eastAsia"/>
          <w:kern w:val="0"/>
          <w:sz w:val="24"/>
          <w:szCs w:val="24"/>
        </w:rPr>
        <w:t>张晖先生，2015年6月25日起担任总经理。（简历请参见上述董事会成员介绍）</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hint="eastAsia"/>
          <w:kern w:val="0"/>
          <w:sz w:val="24"/>
          <w:szCs w:val="24"/>
        </w:rPr>
        <w:t>雷继明先生，2012年3月7日起担任副总经理。中国籍，1971年出生，工商管理硕士。2011年12月加入</w:t>
      </w:r>
      <w:proofErr w:type="gramStart"/>
      <w:r>
        <w:rPr>
          <w:rFonts w:ascii="宋体" w:hAnsi="宋体" w:cs="宋体" w:hint="eastAsia"/>
          <w:kern w:val="0"/>
          <w:sz w:val="24"/>
          <w:szCs w:val="24"/>
        </w:rPr>
        <w:t>汇添富基金</w:t>
      </w:r>
      <w:proofErr w:type="gramEnd"/>
      <w:r>
        <w:rPr>
          <w:rFonts w:ascii="宋体" w:hAnsi="宋体" w:cs="宋体" w:hint="eastAsia"/>
          <w:kern w:val="0"/>
          <w:sz w:val="24"/>
          <w:szCs w:val="24"/>
        </w:rPr>
        <w:t>管理股份有限公司，现任公司副总经理、市场总监。历任中国民族国际信托投资公司网上交易部副总经理，中国民族证券有限责任公司营业部总经理、经纪业务总监、总裁助理。</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hint="eastAsia"/>
          <w:kern w:val="0"/>
          <w:sz w:val="24"/>
          <w:szCs w:val="24"/>
        </w:rPr>
        <w:t>娄焱女士，2013年1月7日起担任副总经理。中国籍，1971年出生，金融经济学硕士。2011年4月加入</w:t>
      </w:r>
      <w:proofErr w:type="gramStart"/>
      <w:r>
        <w:rPr>
          <w:rFonts w:ascii="宋体" w:hAnsi="宋体" w:cs="宋体" w:hint="eastAsia"/>
          <w:kern w:val="0"/>
          <w:sz w:val="24"/>
          <w:szCs w:val="24"/>
        </w:rPr>
        <w:t>汇添富基金</w:t>
      </w:r>
      <w:proofErr w:type="gramEnd"/>
      <w:r>
        <w:rPr>
          <w:rFonts w:ascii="宋体" w:hAnsi="宋体" w:cs="宋体" w:hint="eastAsia"/>
          <w:kern w:val="0"/>
          <w:sz w:val="24"/>
          <w:szCs w:val="24"/>
        </w:rPr>
        <w:t>管理股份有限公司，现任公司副总经理。曾在赛格国际信托投资股份有限公司、华夏证券股份有限公司、嘉</w:t>
      </w:r>
      <w:proofErr w:type="gramStart"/>
      <w:r>
        <w:rPr>
          <w:rFonts w:ascii="宋体" w:hAnsi="宋体" w:cs="宋体" w:hint="eastAsia"/>
          <w:kern w:val="0"/>
          <w:sz w:val="24"/>
          <w:szCs w:val="24"/>
        </w:rPr>
        <w:t>实基金</w:t>
      </w:r>
      <w:proofErr w:type="gramEnd"/>
      <w:r>
        <w:rPr>
          <w:rFonts w:ascii="宋体" w:hAnsi="宋体" w:cs="宋体" w:hint="eastAsia"/>
          <w:kern w:val="0"/>
          <w:sz w:val="24"/>
          <w:szCs w:val="24"/>
        </w:rPr>
        <w:t>管理有限公司、招商基金管理有限公司、华夏基金管理有限公司以及富达基金北京与上海代表处工作，负责投资银行、证券投资研究，以及基金产品策划、机构理财等管理工作。</w:t>
      </w:r>
    </w:p>
    <w:p w:rsidR="008333A9" w:rsidRDefault="0002249C">
      <w:pPr>
        <w:pStyle w:val="div"/>
        <w:spacing w:line="360" w:lineRule="auto"/>
        <w:ind w:firstLine="480"/>
        <w:jc w:val="left"/>
        <w:rPr>
          <w:rFonts w:ascii="宋体" w:hAnsi="宋体" w:cs="宋体"/>
          <w:kern w:val="0"/>
          <w:sz w:val="24"/>
          <w:szCs w:val="24"/>
        </w:rPr>
      </w:pPr>
      <w:proofErr w:type="gramStart"/>
      <w:r>
        <w:rPr>
          <w:rFonts w:ascii="宋体" w:hAnsi="宋体" w:cs="宋体" w:hint="eastAsia"/>
          <w:kern w:val="0"/>
          <w:sz w:val="24"/>
          <w:szCs w:val="24"/>
        </w:rPr>
        <w:t>袁</w:t>
      </w:r>
      <w:proofErr w:type="gramEnd"/>
      <w:r>
        <w:rPr>
          <w:rFonts w:ascii="宋体" w:hAnsi="宋体" w:cs="宋体" w:hint="eastAsia"/>
          <w:kern w:val="0"/>
          <w:sz w:val="24"/>
          <w:szCs w:val="24"/>
        </w:rPr>
        <w:t>建军先生，2015年8月5日起担任副总经理。中国籍，1972年出生，金融学硕士。2005年4月加入</w:t>
      </w:r>
      <w:proofErr w:type="gramStart"/>
      <w:r>
        <w:rPr>
          <w:rFonts w:ascii="宋体" w:hAnsi="宋体" w:cs="宋体" w:hint="eastAsia"/>
          <w:kern w:val="0"/>
          <w:sz w:val="24"/>
          <w:szCs w:val="24"/>
        </w:rPr>
        <w:t>汇添富基金</w:t>
      </w:r>
      <w:proofErr w:type="gramEnd"/>
      <w:r>
        <w:rPr>
          <w:rFonts w:ascii="宋体" w:hAnsi="宋体" w:cs="宋体" w:hint="eastAsia"/>
          <w:kern w:val="0"/>
          <w:sz w:val="24"/>
          <w:szCs w:val="24"/>
        </w:rPr>
        <w:t>管理股份有限公司，现任公司副总经理、投资决策委员会主席。历任华夏证券股份有限公司研究所行业二部副经理，</w:t>
      </w:r>
      <w:proofErr w:type="gramStart"/>
      <w:r>
        <w:rPr>
          <w:rFonts w:ascii="宋体" w:hAnsi="宋体" w:cs="宋体" w:hint="eastAsia"/>
          <w:kern w:val="0"/>
          <w:sz w:val="24"/>
          <w:szCs w:val="24"/>
        </w:rPr>
        <w:t>汇添富基金</w:t>
      </w:r>
      <w:proofErr w:type="gramEnd"/>
      <w:r>
        <w:rPr>
          <w:rFonts w:ascii="宋体" w:hAnsi="宋体" w:cs="宋体" w:hint="eastAsia"/>
          <w:kern w:val="0"/>
          <w:sz w:val="24"/>
          <w:szCs w:val="24"/>
        </w:rPr>
        <w:t>管理股份有限公司基金经理、专户投资总监、总经理助理，并于2014年至2015年期间担任中国证券监督管理委员会第十六届主板发行审核委员会专职委员。</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hint="eastAsia"/>
          <w:kern w:val="0"/>
          <w:sz w:val="24"/>
          <w:szCs w:val="24"/>
        </w:rPr>
        <w:t>李骁先生，2017年3月3日起担任副总经理。中国籍，1969年出生，武汉大学金融学硕士。2016年9月加入</w:t>
      </w:r>
      <w:proofErr w:type="gramStart"/>
      <w:r>
        <w:rPr>
          <w:rFonts w:ascii="宋体" w:hAnsi="宋体" w:cs="宋体" w:hint="eastAsia"/>
          <w:kern w:val="0"/>
          <w:sz w:val="24"/>
          <w:szCs w:val="24"/>
        </w:rPr>
        <w:t>汇添富基金</w:t>
      </w:r>
      <w:proofErr w:type="gramEnd"/>
      <w:r>
        <w:rPr>
          <w:rFonts w:ascii="宋体" w:hAnsi="宋体" w:cs="宋体" w:hint="eastAsia"/>
          <w:kern w:val="0"/>
          <w:sz w:val="24"/>
          <w:szCs w:val="24"/>
        </w:rPr>
        <w:t>管理股份有限公司，现任公司副总经理、首席信息官。历任厦门建行计算机处副处长，厦门建行信用卡部副处长、处长，厦门建行信息技术部处长，建总行北京开发中心负责人，建总行信息技术</w:t>
      </w:r>
      <w:r>
        <w:rPr>
          <w:rFonts w:ascii="宋体" w:hAnsi="宋体" w:cs="宋体" w:hint="eastAsia"/>
          <w:kern w:val="0"/>
          <w:sz w:val="24"/>
          <w:szCs w:val="24"/>
        </w:rPr>
        <w:lastRenderedPageBreak/>
        <w:t>管理部副总经理，建总行信息技术管理部副总经理兼北京研发中心主任，建总行信息技术管理部资深专员（副总经理级）。</w:t>
      </w:r>
    </w:p>
    <w:p w:rsidR="008333A9" w:rsidRDefault="0002249C">
      <w:pPr>
        <w:pStyle w:val="div"/>
        <w:widowControl/>
        <w:spacing w:line="360" w:lineRule="auto"/>
        <w:ind w:firstLine="420"/>
        <w:jc w:val="left"/>
        <w:rPr>
          <w:rFonts w:eastAsia="Times New Roman"/>
          <w:kern w:val="0"/>
          <w:sz w:val="24"/>
          <w:szCs w:val="24"/>
        </w:rPr>
      </w:pPr>
      <w:r>
        <w:rPr>
          <w:rFonts w:ascii="宋体" w:hAnsi="宋体" w:cs="宋体" w:hint="eastAsia"/>
          <w:kern w:val="0"/>
          <w:sz w:val="24"/>
          <w:szCs w:val="24"/>
        </w:rPr>
        <w:t>李鹏先生，2015年6月25日起担任督察长。中国籍，1978年出生，上海财经大学经济学博士。2015年3月加入</w:t>
      </w:r>
      <w:proofErr w:type="gramStart"/>
      <w:r>
        <w:rPr>
          <w:rFonts w:ascii="宋体" w:hAnsi="宋体" w:cs="宋体" w:hint="eastAsia"/>
          <w:kern w:val="0"/>
          <w:sz w:val="24"/>
          <w:szCs w:val="24"/>
        </w:rPr>
        <w:t>汇添富基金</w:t>
      </w:r>
      <w:proofErr w:type="gramEnd"/>
      <w:r>
        <w:rPr>
          <w:rFonts w:ascii="宋体" w:hAnsi="宋体" w:cs="宋体" w:hint="eastAsia"/>
          <w:kern w:val="0"/>
          <w:sz w:val="24"/>
          <w:szCs w:val="24"/>
        </w:rPr>
        <w:t>管理股份有限公司，现任公司督察长。历任上海证监局主任科员、副处长，上海农商银行同业金融部副总经理，</w:t>
      </w:r>
      <w:proofErr w:type="gramStart"/>
      <w:r>
        <w:rPr>
          <w:rFonts w:ascii="宋体" w:hAnsi="宋体" w:cs="宋体" w:hint="eastAsia"/>
          <w:kern w:val="0"/>
          <w:sz w:val="24"/>
          <w:szCs w:val="24"/>
        </w:rPr>
        <w:t>汇添富基金</w:t>
      </w:r>
      <w:proofErr w:type="gramEnd"/>
      <w:r>
        <w:rPr>
          <w:rFonts w:ascii="宋体" w:hAnsi="宋体" w:cs="宋体" w:hint="eastAsia"/>
          <w:kern w:val="0"/>
          <w:sz w:val="24"/>
          <w:szCs w:val="24"/>
        </w:rPr>
        <w:t>管理股份有限公司稽核监察部总监。</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4、基金经理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马翔，</w:t>
      </w:r>
      <w:r>
        <w:rPr>
          <w:rFonts w:ascii="宋体" w:hAnsi="宋体" w:cs="宋体" w:hint="eastAsia"/>
          <w:kern w:val="0"/>
          <w:sz w:val="24"/>
          <w:szCs w:val="24"/>
        </w:rPr>
        <w:t>国籍：中国。学历：清华大学工学硕士。从业资格：证券投资基金从业资格。从业经历：2011年加入</w:t>
      </w:r>
      <w:proofErr w:type="gramStart"/>
      <w:r>
        <w:rPr>
          <w:rFonts w:ascii="宋体" w:hAnsi="宋体" w:cs="宋体" w:hint="eastAsia"/>
          <w:kern w:val="0"/>
          <w:sz w:val="24"/>
          <w:szCs w:val="24"/>
        </w:rPr>
        <w:t>汇添富基金</w:t>
      </w:r>
      <w:proofErr w:type="gramEnd"/>
      <w:r>
        <w:rPr>
          <w:rFonts w:ascii="宋体" w:hAnsi="宋体" w:cs="宋体" w:hint="eastAsia"/>
          <w:kern w:val="0"/>
          <w:sz w:val="24"/>
          <w:szCs w:val="24"/>
        </w:rPr>
        <w:t>管理股份有限公司，历任行业分析师。2016年3月11日至今任</w:t>
      </w:r>
      <w:proofErr w:type="gramStart"/>
      <w:r>
        <w:rPr>
          <w:rFonts w:ascii="宋体" w:hAnsi="宋体" w:cs="宋体" w:hint="eastAsia"/>
          <w:kern w:val="0"/>
          <w:sz w:val="24"/>
          <w:szCs w:val="24"/>
        </w:rPr>
        <w:t>汇添富民营活力</w:t>
      </w:r>
      <w:proofErr w:type="gramEnd"/>
      <w:r>
        <w:rPr>
          <w:rFonts w:ascii="宋体" w:hAnsi="宋体" w:cs="宋体" w:hint="eastAsia"/>
          <w:kern w:val="0"/>
          <w:sz w:val="24"/>
          <w:szCs w:val="24"/>
        </w:rPr>
        <w:t>混合型证券投资基金的基金经理。2019年5月6日至今任</w:t>
      </w:r>
      <w:proofErr w:type="gramStart"/>
      <w:r>
        <w:rPr>
          <w:rFonts w:ascii="宋体" w:hAnsi="宋体" w:cs="宋体" w:hint="eastAsia"/>
          <w:kern w:val="0"/>
          <w:sz w:val="24"/>
          <w:szCs w:val="24"/>
        </w:rPr>
        <w:t>汇添富科技</w:t>
      </w:r>
      <w:proofErr w:type="gramEnd"/>
      <w:r>
        <w:rPr>
          <w:rFonts w:ascii="宋体" w:hAnsi="宋体" w:cs="宋体" w:hint="eastAsia"/>
          <w:kern w:val="0"/>
          <w:sz w:val="24"/>
          <w:szCs w:val="24"/>
        </w:rPr>
        <w:t>创新灵活配置混合型证券投资基金的基金经理。2020年3月19日至2021年9月22日任</w:t>
      </w:r>
      <w:proofErr w:type="gramStart"/>
      <w:r>
        <w:rPr>
          <w:rFonts w:ascii="宋体" w:hAnsi="宋体" w:cs="宋体" w:hint="eastAsia"/>
          <w:kern w:val="0"/>
          <w:sz w:val="24"/>
          <w:szCs w:val="24"/>
        </w:rPr>
        <w:t>汇添富盈安</w:t>
      </w:r>
      <w:proofErr w:type="gramEnd"/>
      <w:r>
        <w:rPr>
          <w:rFonts w:ascii="宋体" w:hAnsi="宋体" w:cs="宋体" w:hint="eastAsia"/>
          <w:kern w:val="0"/>
          <w:sz w:val="24"/>
          <w:szCs w:val="24"/>
        </w:rPr>
        <w:t>灵活配置混合型证券投资基金的基金经理。2020年6月22日至2025年4月3日任</w:t>
      </w:r>
      <w:proofErr w:type="gramStart"/>
      <w:r>
        <w:rPr>
          <w:rFonts w:ascii="宋体" w:hAnsi="宋体" w:cs="宋体" w:hint="eastAsia"/>
          <w:kern w:val="0"/>
          <w:sz w:val="24"/>
          <w:szCs w:val="24"/>
        </w:rPr>
        <w:t>汇添富</w:t>
      </w:r>
      <w:proofErr w:type="gramEnd"/>
      <w:r>
        <w:rPr>
          <w:rFonts w:ascii="宋体" w:hAnsi="宋体" w:cs="宋体" w:hint="eastAsia"/>
          <w:kern w:val="0"/>
          <w:sz w:val="24"/>
          <w:szCs w:val="24"/>
        </w:rPr>
        <w:t>创新增长一年定期开放混合型证券投资基金的基金经理。2020年7月24日至2025年9月19日任</w:t>
      </w:r>
      <w:proofErr w:type="gramStart"/>
      <w:r>
        <w:rPr>
          <w:rFonts w:ascii="宋体" w:hAnsi="宋体" w:cs="宋体" w:hint="eastAsia"/>
          <w:kern w:val="0"/>
          <w:sz w:val="24"/>
          <w:szCs w:val="24"/>
        </w:rPr>
        <w:t>汇添富</w:t>
      </w:r>
      <w:proofErr w:type="gramEnd"/>
      <w:r>
        <w:rPr>
          <w:rFonts w:ascii="宋体" w:hAnsi="宋体" w:cs="宋体" w:hint="eastAsia"/>
          <w:kern w:val="0"/>
          <w:sz w:val="24"/>
          <w:szCs w:val="24"/>
        </w:rPr>
        <w:t>策略增长灵活配置混合型证券投资基金的基金经理。2020年7月28日至2025年4月11日任</w:t>
      </w:r>
      <w:proofErr w:type="gramStart"/>
      <w:r>
        <w:rPr>
          <w:rFonts w:ascii="宋体" w:hAnsi="宋体" w:cs="宋体" w:hint="eastAsia"/>
          <w:kern w:val="0"/>
          <w:sz w:val="24"/>
          <w:szCs w:val="24"/>
        </w:rPr>
        <w:t>汇添富科创板</w:t>
      </w:r>
      <w:proofErr w:type="gramEnd"/>
      <w:r>
        <w:rPr>
          <w:rFonts w:ascii="宋体" w:hAnsi="宋体" w:cs="宋体" w:hint="eastAsia"/>
          <w:kern w:val="0"/>
          <w:sz w:val="24"/>
          <w:szCs w:val="24"/>
        </w:rPr>
        <w:t>2年定期开放混合型证券投资基金的基金经理。2021年2月9日至今任</w:t>
      </w:r>
      <w:proofErr w:type="gramStart"/>
      <w:r>
        <w:rPr>
          <w:rFonts w:ascii="宋体" w:hAnsi="宋体" w:cs="宋体" w:hint="eastAsia"/>
          <w:kern w:val="0"/>
          <w:sz w:val="24"/>
          <w:szCs w:val="24"/>
        </w:rPr>
        <w:t>汇添富成长</w:t>
      </w:r>
      <w:proofErr w:type="gramEnd"/>
      <w:r>
        <w:rPr>
          <w:rFonts w:ascii="宋体" w:hAnsi="宋体" w:cs="宋体" w:hint="eastAsia"/>
          <w:kern w:val="0"/>
          <w:sz w:val="24"/>
          <w:szCs w:val="24"/>
        </w:rPr>
        <w:t>精选混合型证券投资基金的基金经理。2021年11月23日至今任</w:t>
      </w:r>
      <w:proofErr w:type="gramStart"/>
      <w:r>
        <w:rPr>
          <w:rFonts w:ascii="宋体" w:hAnsi="宋体" w:cs="宋体" w:hint="eastAsia"/>
          <w:kern w:val="0"/>
          <w:sz w:val="24"/>
          <w:szCs w:val="24"/>
        </w:rPr>
        <w:t>汇添富</w:t>
      </w:r>
      <w:proofErr w:type="gramEnd"/>
      <w:r>
        <w:rPr>
          <w:rFonts w:ascii="宋体" w:hAnsi="宋体" w:cs="宋体" w:hint="eastAsia"/>
          <w:kern w:val="0"/>
          <w:sz w:val="24"/>
          <w:szCs w:val="24"/>
        </w:rPr>
        <w:t>北交所创新精选两年定期开放混合型证券投资基金的基金经理。2022年9月2日至2024年6月5日任</w:t>
      </w:r>
      <w:proofErr w:type="gramStart"/>
      <w:r>
        <w:rPr>
          <w:rFonts w:ascii="宋体" w:hAnsi="宋体" w:cs="宋体" w:hint="eastAsia"/>
          <w:kern w:val="0"/>
          <w:sz w:val="24"/>
          <w:szCs w:val="24"/>
        </w:rPr>
        <w:t>汇添富全球</w:t>
      </w:r>
      <w:proofErr w:type="gramEnd"/>
      <w:r>
        <w:rPr>
          <w:rFonts w:ascii="宋体" w:hAnsi="宋体" w:cs="宋体" w:hint="eastAsia"/>
          <w:kern w:val="0"/>
          <w:sz w:val="24"/>
          <w:szCs w:val="24"/>
        </w:rPr>
        <w:t>汽车产业升级混合型证券投资基金（QDII）的基金经理。2022年10月31日至2024年11月29日任</w:t>
      </w:r>
      <w:proofErr w:type="gramStart"/>
      <w:r>
        <w:rPr>
          <w:rFonts w:ascii="宋体" w:hAnsi="宋体" w:cs="宋体" w:hint="eastAsia"/>
          <w:kern w:val="0"/>
          <w:sz w:val="24"/>
          <w:szCs w:val="24"/>
        </w:rPr>
        <w:t>汇添富数字</w:t>
      </w:r>
      <w:proofErr w:type="gramEnd"/>
      <w:r>
        <w:rPr>
          <w:rFonts w:ascii="宋体" w:hAnsi="宋体" w:cs="宋体" w:hint="eastAsia"/>
          <w:kern w:val="0"/>
          <w:sz w:val="24"/>
          <w:szCs w:val="24"/>
        </w:rPr>
        <w:t>经济核心产业一年持有期混合型证券投资基金的基金经理。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马磊，</w:t>
      </w:r>
      <w:r>
        <w:rPr>
          <w:rFonts w:ascii="宋体" w:hAnsi="宋体" w:cs="宋体" w:hint="eastAsia"/>
          <w:kern w:val="0"/>
          <w:sz w:val="24"/>
          <w:szCs w:val="24"/>
        </w:rPr>
        <w:t>国籍：中国。学历：复旦大学理学博士。从业资格：证券投资基金从业资格。从业经历：2018年7月起任</w:t>
      </w:r>
      <w:proofErr w:type="gramStart"/>
      <w:r>
        <w:rPr>
          <w:rFonts w:ascii="宋体" w:hAnsi="宋体" w:cs="宋体" w:hint="eastAsia"/>
          <w:kern w:val="0"/>
          <w:sz w:val="24"/>
          <w:szCs w:val="24"/>
        </w:rPr>
        <w:t>汇添富基金</w:t>
      </w:r>
      <w:proofErr w:type="gramEnd"/>
      <w:r>
        <w:rPr>
          <w:rFonts w:ascii="宋体" w:hAnsi="宋体" w:cs="宋体" w:hint="eastAsia"/>
          <w:kern w:val="0"/>
          <w:sz w:val="24"/>
          <w:szCs w:val="24"/>
        </w:rPr>
        <w:t>管理股份有限公司电子和通信行业研究员。2022年3月21日至2023年8月7日任</w:t>
      </w:r>
      <w:proofErr w:type="gramStart"/>
      <w:r>
        <w:rPr>
          <w:rFonts w:ascii="宋体" w:hAnsi="宋体" w:cs="宋体" w:hint="eastAsia"/>
          <w:kern w:val="0"/>
          <w:sz w:val="24"/>
          <w:szCs w:val="24"/>
        </w:rPr>
        <w:t>汇添富</w:t>
      </w:r>
      <w:proofErr w:type="gramEnd"/>
      <w:r>
        <w:rPr>
          <w:rFonts w:ascii="宋体" w:hAnsi="宋体" w:cs="宋体" w:hint="eastAsia"/>
          <w:kern w:val="0"/>
          <w:sz w:val="24"/>
          <w:szCs w:val="24"/>
        </w:rPr>
        <w:t>中证芯片产业指数增强型发起式证券投资基金的基金经理助理。2022年8月25日至2024年2月1日任</w:t>
      </w:r>
      <w:proofErr w:type="gramStart"/>
      <w:r>
        <w:rPr>
          <w:rFonts w:ascii="宋体" w:hAnsi="宋体" w:cs="宋体" w:hint="eastAsia"/>
          <w:kern w:val="0"/>
          <w:sz w:val="24"/>
          <w:szCs w:val="24"/>
        </w:rPr>
        <w:t>汇添富</w:t>
      </w:r>
      <w:proofErr w:type="gramEnd"/>
      <w:r>
        <w:rPr>
          <w:rFonts w:ascii="宋体" w:hAnsi="宋体" w:cs="宋体" w:hint="eastAsia"/>
          <w:kern w:val="0"/>
          <w:sz w:val="24"/>
          <w:szCs w:val="24"/>
        </w:rPr>
        <w:t>策略增长灵活配置混合型证券投资基金的基金经理助理。2024年1月30日至2024年12月5日任</w:t>
      </w:r>
      <w:proofErr w:type="gramStart"/>
      <w:r>
        <w:rPr>
          <w:rFonts w:ascii="宋体" w:hAnsi="宋体" w:cs="宋体" w:hint="eastAsia"/>
          <w:kern w:val="0"/>
          <w:sz w:val="24"/>
          <w:szCs w:val="24"/>
        </w:rPr>
        <w:t>汇添富</w:t>
      </w:r>
      <w:proofErr w:type="gramEnd"/>
      <w:r>
        <w:rPr>
          <w:rFonts w:ascii="宋体" w:hAnsi="宋体" w:cs="宋体" w:hint="eastAsia"/>
          <w:kern w:val="0"/>
          <w:sz w:val="24"/>
          <w:szCs w:val="24"/>
        </w:rPr>
        <w:t>北交所创新精选两年定期开放混合型证券投资基金的基金经理助理。2023年8月7日至今任</w:t>
      </w:r>
      <w:proofErr w:type="gramStart"/>
      <w:r>
        <w:rPr>
          <w:rFonts w:ascii="宋体" w:hAnsi="宋体" w:cs="宋体" w:hint="eastAsia"/>
          <w:kern w:val="0"/>
          <w:sz w:val="24"/>
          <w:szCs w:val="24"/>
        </w:rPr>
        <w:t>汇添富</w:t>
      </w:r>
      <w:proofErr w:type="gramEnd"/>
      <w:r>
        <w:rPr>
          <w:rFonts w:ascii="宋体" w:hAnsi="宋体" w:cs="宋体" w:hint="eastAsia"/>
          <w:kern w:val="0"/>
          <w:sz w:val="24"/>
          <w:szCs w:val="24"/>
        </w:rPr>
        <w:t>中证芯片产业指数增</w:t>
      </w:r>
      <w:r>
        <w:rPr>
          <w:rFonts w:ascii="宋体" w:hAnsi="宋体" w:cs="宋体" w:hint="eastAsia"/>
          <w:kern w:val="0"/>
          <w:sz w:val="24"/>
          <w:szCs w:val="24"/>
        </w:rPr>
        <w:lastRenderedPageBreak/>
        <w:t>强型发起式证券投资基金的基金经理。2024年4月30日至今任</w:t>
      </w:r>
      <w:proofErr w:type="gramStart"/>
      <w:r>
        <w:rPr>
          <w:rFonts w:ascii="宋体" w:hAnsi="宋体" w:cs="宋体" w:hint="eastAsia"/>
          <w:kern w:val="0"/>
          <w:sz w:val="24"/>
          <w:szCs w:val="24"/>
        </w:rPr>
        <w:t>汇添富</w:t>
      </w:r>
      <w:proofErr w:type="gramEnd"/>
      <w:r>
        <w:rPr>
          <w:rFonts w:ascii="宋体" w:hAnsi="宋体" w:cs="宋体" w:hint="eastAsia"/>
          <w:kern w:val="0"/>
          <w:sz w:val="24"/>
          <w:szCs w:val="24"/>
        </w:rPr>
        <w:t>自主核心科技一年持有期混合型证券投资基金的基金经理。2024年11月8日至今任</w:t>
      </w:r>
      <w:proofErr w:type="gramStart"/>
      <w:r>
        <w:rPr>
          <w:rFonts w:ascii="宋体" w:hAnsi="宋体" w:cs="宋体" w:hint="eastAsia"/>
          <w:kern w:val="0"/>
          <w:sz w:val="24"/>
          <w:szCs w:val="24"/>
        </w:rPr>
        <w:t>汇添富数字</w:t>
      </w:r>
      <w:proofErr w:type="gramEnd"/>
      <w:r>
        <w:rPr>
          <w:rFonts w:ascii="宋体" w:hAnsi="宋体" w:cs="宋体" w:hint="eastAsia"/>
          <w:kern w:val="0"/>
          <w:sz w:val="24"/>
          <w:szCs w:val="24"/>
        </w:rPr>
        <w:t>未来混合型证券投资基金的基金经理。2024年12月10日至今任</w:t>
      </w:r>
      <w:proofErr w:type="gramStart"/>
      <w:r>
        <w:rPr>
          <w:rFonts w:ascii="宋体" w:hAnsi="宋体" w:cs="宋体" w:hint="eastAsia"/>
          <w:kern w:val="0"/>
          <w:sz w:val="24"/>
          <w:szCs w:val="24"/>
        </w:rPr>
        <w:t>汇添富</w:t>
      </w:r>
      <w:proofErr w:type="gramEnd"/>
      <w:r>
        <w:rPr>
          <w:rFonts w:ascii="宋体" w:hAnsi="宋体" w:cs="宋体" w:hint="eastAsia"/>
          <w:kern w:val="0"/>
          <w:sz w:val="24"/>
          <w:szCs w:val="24"/>
        </w:rPr>
        <w:t>北交所创新精选两年定期开放混合型证券投资基金的基金经理。</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5、投资决策委员会</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主席：</w:t>
      </w:r>
      <w:proofErr w:type="gramStart"/>
      <w:r>
        <w:rPr>
          <w:rFonts w:ascii="宋体" w:hAnsi="宋体" w:cs="宋体"/>
          <w:kern w:val="0"/>
          <w:sz w:val="24"/>
          <w:szCs w:val="24"/>
        </w:rPr>
        <w:t>袁</w:t>
      </w:r>
      <w:proofErr w:type="gramEnd"/>
      <w:r>
        <w:rPr>
          <w:rFonts w:ascii="宋体" w:hAnsi="宋体" w:cs="宋体"/>
          <w:kern w:val="0"/>
          <w:sz w:val="24"/>
          <w:szCs w:val="24"/>
        </w:rPr>
        <w:t>建军（副总经理）</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成员：</w:t>
      </w:r>
      <w:r>
        <w:rPr>
          <w:rFonts w:ascii="宋体" w:hAnsi="宋体" w:cs="宋体" w:hint="eastAsia"/>
          <w:kern w:val="0"/>
          <w:sz w:val="24"/>
          <w:szCs w:val="24"/>
        </w:rPr>
        <w:t>邵佳民（</w:t>
      </w:r>
      <w:proofErr w:type="gramStart"/>
      <w:r>
        <w:rPr>
          <w:rFonts w:ascii="宋体" w:hAnsi="宋体" w:cs="宋体" w:hint="eastAsia"/>
          <w:kern w:val="0"/>
          <w:sz w:val="24"/>
          <w:szCs w:val="24"/>
        </w:rPr>
        <w:t>首席固收投资</w:t>
      </w:r>
      <w:proofErr w:type="gramEnd"/>
      <w:r>
        <w:rPr>
          <w:rFonts w:ascii="宋体" w:hAnsi="宋体" w:cs="宋体" w:hint="eastAsia"/>
          <w:kern w:val="0"/>
          <w:sz w:val="24"/>
          <w:szCs w:val="24"/>
        </w:rPr>
        <w:t>官）、王栩（总经理助理，权益投资总监）、刘伟林（研究总监，基金经理）、韩贤旺（总经理助理，兼任首席经济学家、国际业务部总监、新加坡子公司总经理）、宋鹏（养老金投资部总监）</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6、上述人员之间不存在近亲属关系。</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三、基金管理人的职责</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根据《基金法》、《运作办法》及其他法律、法规的规定，基金管理人应履行以下职责：</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1、依法募集资金，办理或者委托经中国证监会认定的其他机构代为办理基金份额的发售、申购、赎回和登记事宜；</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2、办理基金备案手续；</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3、对所管理的不同基金财产分别管理、分别记账，进行证券投资；</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4、按照基金合同的约定确定基金收益分配方案，及时足额向基金份额持有人分配收益；</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5、进行基金会计核算并编制基金财务会计报告；</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6、编制基金季度报告、中期报告和年度报告；</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7、计算并公告基金净值信息，确定基金份额申购、赎回价格；</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8、办理与基金财产管理业务活动有关的信息披露事项；</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9、按照规定召集基金份额持有人大会；</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10、保存基金财产管理业务活动的记录、账册、报表和其他相关资料；</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11、以基金管理人名义，代表基金份额持有人利益行使诉讼权利或者实施其他法律行为；</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12、法律、行政法规、中国证监会和基金合同规定的其他职责。</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四、基金管理人和基金经理的承诺</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lastRenderedPageBreak/>
        <w:t>1、本基金管理人承诺严格遵守现行有效的相关法律、行政法规、规章、基金合同和中国证监会的有关规定，建立健全内部控制制度，采取有效措施，防止违反现行有效的有关法律、行政法规、规章、基金合同和中国证监会有关规定的行为发生。</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2、本基金管理人承诺严格遵守《中华人民共和国证券法》、《基金法》及有关法律法规，建立健全的内部控制制度，采取有效措施，防止下列行为发生：</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（1）将其固有财产或者他人财产混同于基金财产从事证券投资；</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（2）不公平地对待其管理的不同基金财产；</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（3）利用基金财产或职务之便为基金份额持有人以外的第三人牟取利益；</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（4）向基金份额持有人违规承诺收益或者承担损失；</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（5）侵占、挪用基金财产；</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（6）泄露因职务便利获取的未公开信息、利用该信息从事或者明示、暗示他人从事相关的交易活动；</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（7）玩忽职守，不按照规定履行职责；</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（8）法律、行政法规和中国证监会规定禁止的其他行为。</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3、本基金管理人承诺加强人员管理，强化职业操守，督促和约束员工遵守国家有关法律、法规及行业规范，诚实信用、勤勉尽责，不从事以下活动：</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（1）越权或违规经营；</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（2）违反基金合同或托管协议；</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（3）故意损害基金份额持有人或其他基金相关机构的合法利益；</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（4）在向中国证监会报送的资料中弄虚作假；</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（5）拒绝、干扰、阻挠或严重影响中国证监会依法监管；</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（6）玩忽职守、滥用职权，不按照规定履行职责；</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7）违反现行有效的有关法律、法规、规章、基金合同和中国证监会的有关规定，泄露在任职期间知悉的有关证券、基金的商业秘密，尚未依法公开的基金投资内容、基金投资计划等信息，或利用该信息从事或者明示、暗示他人从事相关的交易活动；</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（8）违反证券交易场所业务规则，利用对敲、倒仓等手段操纵市场价格，扰乱市场秩序；</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lastRenderedPageBreak/>
        <w:t>（9）贬损同行，以抬高自己；</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（10）以不正当手段谋求业务发展；</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（11）有悖社会公德，损害证券投资基金人员形象；</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（12）在公开信息披露和广告中故意含有虚假、误导、欺诈成分；</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（13）法律、行政法规以及中国证监会规定禁止的行为。</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4、基金经理承诺</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（1）依照有关法律、行政法规和基金合同的规定，本着谨慎勤勉的原则为基金份额持有人谋取最大利益；</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（2）不利用职务之便为自己及其代理人、受雇人或任何第三人谋取利益；</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3）不违反现行有效的有关法律法规、基金合同和中国证监会的有关规定，泄露在任职期间知悉的有关证券、基金的商业秘密、尚未依法公开的基金投资内容、基金投资计划等信息，或利用该信息从事或者明示、暗示他人从事相关的交易活动；</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（4）不从事损害基金财产和基金份额持有人利益的证券交易及其他活动。</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五、基金管理人的风险管理体系</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本基金管理人将经营管理中的主要风险划分为投资风险、合</w:t>
      </w:r>
      <w:proofErr w:type="gramStart"/>
      <w:r>
        <w:rPr>
          <w:rFonts w:ascii="宋体" w:hAnsi="宋体" w:cs="宋体"/>
          <w:kern w:val="0"/>
          <w:sz w:val="24"/>
          <w:szCs w:val="24"/>
        </w:rPr>
        <w:t>规</w:t>
      </w:r>
      <w:proofErr w:type="gramEnd"/>
      <w:r>
        <w:rPr>
          <w:rFonts w:ascii="宋体" w:hAnsi="宋体" w:cs="宋体"/>
          <w:kern w:val="0"/>
          <w:sz w:val="24"/>
          <w:szCs w:val="24"/>
        </w:rPr>
        <w:t>风险、营运风险和道德风险四大类，其中，投资风险主要包括市场风险、信用风险、流动性风险等。针对上述各类风险，基金管理人建立了一套完整的风险管理体系。</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1、风险管理原则</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基金管理人风险管理体系的构建遵循以下六项基本原则：</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（1）营造良好的风险管理文化和内部控制环境，使风险意识贯穿到每位员工、各个岗位和经营管理的各个环节。</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（2）建立完善的风险管理组织体系，切实保证风险管理部门的独立性和权威性，使其有效地发挥职能作用。</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（3）确保风险管理制度的严肃性，保证风险管理制度在投资管理和经营活动过程中得到切实有效的执行。</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（4）运用合理有效的风险指标和模型，实现风险事前配置和预警、事中实时监控、事后评估和反馈的全程嵌入式投资风险管理模式。</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（5）建立和推进员工职业守则教育和专业培训体系，确保员工具备良好的</w:t>
      </w:r>
      <w:r>
        <w:rPr>
          <w:rFonts w:ascii="宋体" w:hAnsi="宋体" w:cs="宋体"/>
          <w:kern w:val="0"/>
          <w:sz w:val="24"/>
          <w:szCs w:val="24"/>
        </w:rPr>
        <w:lastRenderedPageBreak/>
        <w:t>职业操守和充分的职责胜任能力。</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（6）建立风险事件学习机制，认真剖析各类风险事件，汲取经验和教训，不断完善风险管理体系。</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2、风险管理组织架构</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本基金管理人建立了董事会、经营管理层、风险管理部门、各职能部门四级风险管理组织架构，并明确了相应的风险管理职能。</w:t>
      </w:r>
    </w:p>
    <w:p w:rsidR="008333A9" w:rsidRDefault="0002249C">
      <w:pPr>
        <w:pStyle w:val="div"/>
        <w:spacing w:line="360" w:lineRule="auto"/>
        <w:ind w:firstLine="420"/>
        <w:jc w:val="center"/>
        <w:rPr>
          <w:rFonts w:eastAsia="Times New Roman"/>
          <w:kern w:val="0"/>
          <w:sz w:val="24"/>
          <w:szCs w:val="24"/>
        </w:rPr>
      </w:pPr>
      <w:proofErr w:type="gramStart"/>
      <w:r>
        <w:rPr>
          <w:rFonts w:ascii="宋体" w:hAnsi="宋体" w:cs="宋体"/>
          <w:b/>
          <w:bCs/>
          <w:kern w:val="0"/>
          <w:sz w:val="24"/>
          <w:szCs w:val="24"/>
        </w:rPr>
        <w:t>汇添富风险</w:t>
      </w:r>
      <w:proofErr w:type="gramEnd"/>
      <w:r>
        <w:rPr>
          <w:rFonts w:ascii="宋体" w:hAnsi="宋体" w:cs="宋体"/>
          <w:b/>
          <w:bCs/>
          <w:kern w:val="0"/>
          <w:sz w:val="24"/>
          <w:szCs w:val="24"/>
        </w:rPr>
        <w:t>管理组织结构图</w:t>
      </w:r>
    </w:p>
    <w:p w:rsidR="008333A9" w:rsidRDefault="0002249C">
      <w:pPr>
        <w:widowControl/>
        <w:spacing w:after="216"/>
        <w:jc w:val="center"/>
        <w:rPr>
          <w:rFonts w:eastAsia="Times New Roman"/>
          <w:kern w:val="0"/>
          <w:sz w:val="24"/>
          <w:szCs w:val="24"/>
        </w:rPr>
      </w:pPr>
      <w:r>
        <w:rPr>
          <w:rFonts w:eastAsia="Times New Roman"/>
          <w:noProof/>
          <w:kern w:val="0"/>
          <w:sz w:val="24"/>
          <w:szCs w:val="24"/>
        </w:rPr>
        <w:drawing>
          <wp:inline distT="0" distB="0" distL="114300" distR="114300" wp14:anchorId="7479D6EA" wp14:editId="0136BF68">
            <wp:extent cx="3795395" cy="247269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0"/>
                    <a:stretch>
                      <a:fillRect/>
                    </a:stretch>
                  </pic:blipFill>
                  <pic:spPr>
                    <a:xfrm>
                      <a:off x="0" y="0"/>
                      <a:ext cx="3795556" cy="2473262"/>
                    </a:xfrm>
                    <a:prstGeom prst="rect">
                      <a:avLst/>
                    </a:prstGeom>
                  </pic:spPr>
                </pic:pic>
              </a:graphicData>
            </a:graphic>
          </wp:inline>
        </w:drawing>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董事会对公司风险管理负有最终责任，董事会下设审计与风险管理委员会与督察长。审计与风险管理委员会主要负责审核和指导公司的风险管理政策，对公司的整体风险水平、风险控制措施的实施情况进行评价。督察长负责组织指导公司合</w:t>
      </w:r>
      <w:proofErr w:type="gramStart"/>
      <w:r>
        <w:rPr>
          <w:rFonts w:ascii="宋体" w:hAnsi="宋体" w:cs="宋体"/>
          <w:kern w:val="0"/>
          <w:sz w:val="24"/>
          <w:szCs w:val="24"/>
        </w:rPr>
        <w:t>规</w:t>
      </w:r>
      <w:proofErr w:type="gramEnd"/>
      <w:r>
        <w:rPr>
          <w:rFonts w:ascii="宋体" w:hAnsi="宋体" w:cs="宋体"/>
          <w:kern w:val="0"/>
          <w:sz w:val="24"/>
          <w:szCs w:val="24"/>
        </w:rPr>
        <w:t>稽核和风险管理工作，监督检查受托资产和公司运作的合法合</w:t>
      </w:r>
      <w:proofErr w:type="gramStart"/>
      <w:r>
        <w:rPr>
          <w:rFonts w:ascii="宋体" w:hAnsi="宋体" w:cs="宋体"/>
          <w:kern w:val="0"/>
          <w:sz w:val="24"/>
          <w:szCs w:val="24"/>
        </w:rPr>
        <w:t>规</w:t>
      </w:r>
      <w:proofErr w:type="gramEnd"/>
      <w:r>
        <w:rPr>
          <w:rFonts w:ascii="宋体" w:hAnsi="宋体" w:cs="宋体"/>
          <w:kern w:val="0"/>
          <w:sz w:val="24"/>
          <w:szCs w:val="24"/>
        </w:rPr>
        <w:t>情况及公司内部风险控制情况。</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（2）经营管理</w:t>
      </w:r>
      <w:proofErr w:type="gramStart"/>
      <w:r>
        <w:rPr>
          <w:rFonts w:ascii="宋体" w:hAnsi="宋体" w:cs="宋体"/>
          <w:kern w:val="0"/>
          <w:sz w:val="24"/>
          <w:szCs w:val="24"/>
        </w:rPr>
        <w:t>层负责</w:t>
      </w:r>
      <w:proofErr w:type="gramEnd"/>
      <w:r>
        <w:rPr>
          <w:rFonts w:ascii="宋体" w:hAnsi="宋体" w:cs="宋体"/>
          <w:kern w:val="0"/>
          <w:sz w:val="24"/>
          <w:szCs w:val="24"/>
        </w:rPr>
        <w:t>风险管理政策、风险控制措施的制定和落实，经营管理层下设风险控制委员会。风险控制委员会主要负责审议风险管理制度和流程，处置重大风险事件，促进风险管理文化的形成。</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（3）合</w:t>
      </w:r>
      <w:proofErr w:type="gramStart"/>
      <w:r>
        <w:rPr>
          <w:rFonts w:ascii="宋体" w:hAnsi="宋体" w:cs="宋体"/>
          <w:kern w:val="0"/>
          <w:sz w:val="24"/>
          <w:szCs w:val="24"/>
        </w:rPr>
        <w:t>规</w:t>
      </w:r>
      <w:proofErr w:type="gramEnd"/>
      <w:r>
        <w:rPr>
          <w:rFonts w:ascii="宋体" w:hAnsi="宋体" w:cs="宋体"/>
          <w:kern w:val="0"/>
          <w:sz w:val="24"/>
          <w:szCs w:val="24"/>
        </w:rPr>
        <w:t>稽核部和风险管理部是合</w:t>
      </w:r>
      <w:proofErr w:type="gramStart"/>
      <w:r>
        <w:rPr>
          <w:rFonts w:ascii="宋体" w:hAnsi="宋体" w:cs="宋体"/>
          <w:kern w:val="0"/>
          <w:sz w:val="24"/>
          <w:szCs w:val="24"/>
        </w:rPr>
        <w:t>规</w:t>
      </w:r>
      <w:proofErr w:type="gramEnd"/>
      <w:r>
        <w:rPr>
          <w:rFonts w:ascii="宋体" w:hAnsi="宋体" w:cs="宋体"/>
          <w:kern w:val="0"/>
          <w:sz w:val="24"/>
          <w:szCs w:val="24"/>
        </w:rPr>
        <w:t>管理和风险管理的职能部门，负责合</w:t>
      </w:r>
      <w:proofErr w:type="gramStart"/>
      <w:r>
        <w:rPr>
          <w:rFonts w:ascii="宋体" w:hAnsi="宋体" w:cs="宋体"/>
          <w:kern w:val="0"/>
          <w:sz w:val="24"/>
          <w:szCs w:val="24"/>
        </w:rPr>
        <w:t>规</w:t>
      </w:r>
      <w:proofErr w:type="gramEnd"/>
      <w:r>
        <w:rPr>
          <w:rFonts w:ascii="宋体" w:hAnsi="宋体" w:cs="宋体"/>
          <w:kern w:val="0"/>
          <w:sz w:val="24"/>
          <w:szCs w:val="24"/>
        </w:rPr>
        <w:t>风险、投资组合市场风险、信用风险、流动性风险、营运风险、道德风险等的管理。</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（4）各职能部门负责从经营管理的各业务环节上贯彻落实风险管理措施，执行风险识别、风险测量、风险控制、风险评价和风险报告等风险管理程序，并</w:t>
      </w:r>
      <w:r>
        <w:rPr>
          <w:rFonts w:ascii="宋体" w:hAnsi="宋体" w:cs="宋体"/>
          <w:kern w:val="0"/>
          <w:sz w:val="24"/>
          <w:szCs w:val="24"/>
        </w:rPr>
        <w:lastRenderedPageBreak/>
        <w:t>持续完善相应的内部控制制度和流程。</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3、风险管理内容</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本基金管理人的风险管理包括风险识别、风险测量、风险控制、风险评价、风险报告等内容。</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（1）风险识别是指对现实以及潜在的各种风险加以判断、归类和鉴定风险性质的过程。</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（2）风险测量是</w:t>
      </w:r>
      <w:proofErr w:type="gramStart"/>
      <w:r>
        <w:rPr>
          <w:rFonts w:ascii="宋体" w:hAnsi="宋体" w:cs="宋体"/>
          <w:kern w:val="0"/>
          <w:sz w:val="24"/>
          <w:szCs w:val="24"/>
        </w:rPr>
        <w:t>指估计</w:t>
      </w:r>
      <w:proofErr w:type="gramEnd"/>
      <w:r>
        <w:rPr>
          <w:rFonts w:ascii="宋体" w:hAnsi="宋体" w:cs="宋体"/>
          <w:kern w:val="0"/>
          <w:sz w:val="24"/>
          <w:szCs w:val="24"/>
        </w:rPr>
        <w:t>和预测风险发生的概率和可能造成的损失，并根据这两个因素的结合来衡量风险大小的程度。</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（3）风险控制是指采取相应的措施，监控和防止各种风险的发生，实现以合理的成本在最大限度内防范风险和减轻损失。</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（4）风险评价是指分析风险识别、风险测量和风险控制的执行情况和运行效果的过程。</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（5）风险报告是指将风险事件及处置、风险评价情况以一定程序进行报告的过程。</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六、基金管理人的内部控制制度</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内部控制是指基金管理人为防范和化解风险，保证经营运作符合基金管理人发展规划，在充分考虑内外部环境的基础上，通过建立组织机制、运用管理方法、实施控制程序与控制措施而形成的系统。</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基金管理人结合自身具体情况，建立了科学合理、控制严密、运行高效的内部控制体系，并制定了科学完善的内部控制制度。</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1、内部控制目标</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（1）保证基金管理人经营运作遵守国家法律法规和行业监管规则，自觉形成守法经营、规范运作的经营思想和经营理念。</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（2）防范和化解经营风险，提高经营管理效益，确保经营业务的稳健运行和受托资产的安全完整，实现持续、稳定、健康发展。</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（3）确保基金管理人和基金财务及其他信息的真实、准确、及时、完整。</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2、内部控制原则</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（1）健全性原则。内部控制机制覆盖基金管理人的各项业务、各个部门和各级人员，并渗透到决策、执行、监督、反馈等各个环节。</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lastRenderedPageBreak/>
        <w:t>（2）有效性原则。通过科学的内部控制手段和方法，建立合理的内部控制程序，维护内部控制的有效执行。</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（3）独立性原则。基金管理人各机构、部门和岗位职责保持相对独立，基金资产、固有财产、其他资产的运作相互分离。</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（4）相互制约原则。基金管理人内部部门和岗位的设置权责分明、相互制衡。</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（5）成本效益原则。基金管理人运用科学化的经营管理方法降低运作成本，提高经济效益，以合理的控制成本达到最佳的内部控制效果。</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3、内部控制内容</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基金管理人的内部控制要求建立：不相容职务相分离的机制、完善的岗位责任制、规范的岗位管理措施、完整的信息资料保全系统、严格的授权控制、有效的风险防范系统和快速反应机制等。</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基金管理人遵守国家有关法律法规，遵循合法合</w:t>
      </w:r>
      <w:proofErr w:type="gramStart"/>
      <w:r>
        <w:rPr>
          <w:rFonts w:ascii="宋体" w:hAnsi="宋体" w:cs="宋体"/>
          <w:kern w:val="0"/>
          <w:sz w:val="24"/>
          <w:szCs w:val="24"/>
        </w:rPr>
        <w:t>规</w:t>
      </w:r>
      <w:proofErr w:type="gramEnd"/>
      <w:r>
        <w:rPr>
          <w:rFonts w:ascii="宋体" w:hAnsi="宋体" w:cs="宋体"/>
          <w:kern w:val="0"/>
          <w:sz w:val="24"/>
          <w:szCs w:val="24"/>
        </w:rPr>
        <w:t>性原则、全面性原则、审慎性原则和适时性原则，制订了系统完善的内部控制制度。内部控制的内容包括投资管理业务控制、信息披露控制、信息技术系统控制、会计系统控制以及内部稽核控制等。</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（1）投资管理业务控制</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管理人通过规范投资业务流程，分层次强化投资风险控制。公司根据投资管理业务不同阶段的性质和特点，制定了完善的管理规章、操作流程和岗位手册，明确揭示不同业务可能存在的风险，分别采取不同措施进行控制。</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针对投资研究业务，基金管理</w:t>
      </w:r>
      <w:proofErr w:type="gramStart"/>
      <w:r>
        <w:rPr>
          <w:rFonts w:ascii="宋体" w:hAnsi="宋体" w:cs="宋体"/>
          <w:kern w:val="0"/>
          <w:sz w:val="24"/>
          <w:szCs w:val="24"/>
        </w:rPr>
        <w:t>人制</w:t>
      </w:r>
      <w:proofErr w:type="gramEnd"/>
      <w:r>
        <w:rPr>
          <w:rFonts w:ascii="宋体" w:hAnsi="宋体" w:cs="宋体"/>
          <w:kern w:val="0"/>
          <w:sz w:val="24"/>
          <w:szCs w:val="24"/>
        </w:rPr>
        <w:t>定了《汇添富基金管理股份有限公司投资研究部制度》，对研究工作的业务流程、研究报告质量评价，研究与投资的交流渠道等都做了明确的规定；对于投资决策业务，基金管理</w:t>
      </w:r>
      <w:proofErr w:type="gramStart"/>
      <w:r>
        <w:rPr>
          <w:rFonts w:ascii="宋体" w:hAnsi="宋体" w:cs="宋体"/>
          <w:kern w:val="0"/>
          <w:sz w:val="24"/>
          <w:szCs w:val="24"/>
        </w:rPr>
        <w:t>人制</w:t>
      </w:r>
      <w:proofErr w:type="gramEnd"/>
      <w:r>
        <w:rPr>
          <w:rFonts w:ascii="宋体" w:hAnsi="宋体" w:cs="宋体"/>
          <w:kern w:val="0"/>
          <w:sz w:val="24"/>
          <w:szCs w:val="24"/>
        </w:rPr>
        <w:t>定了《汇添富基金管理股份有限公司投资管理制度》，保证投资决策严格遵守法律法规的有关规定，符合基金合同所规定的要求，同时设立了</w:t>
      </w:r>
      <w:proofErr w:type="gramStart"/>
      <w:r>
        <w:rPr>
          <w:rFonts w:ascii="宋体" w:hAnsi="宋体" w:cs="宋体"/>
          <w:kern w:val="0"/>
          <w:sz w:val="24"/>
          <w:szCs w:val="24"/>
        </w:rPr>
        <w:t>汇添富</w:t>
      </w:r>
      <w:proofErr w:type="gramEnd"/>
      <w:r>
        <w:rPr>
          <w:rFonts w:ascii="宋体" w:hAnsi="宋体" w:cs="宋体"/>
          <w:kern w:val="0"/>
          <w:sz w:val="24"/>
          <w:szCs w:val="24"/>
        </w:rPr>
        <w:t>投资风险评估与管理制度以及投资管理业绩评价体系；对于基金交易业务，基金管理人将实行集中交易与防火墙制度，建立交易监测系统、预警系统和交易反馈系统，完善相关的安全设施，交易流程将严格按照“审核—执行—反馈—复核—存档”的程序进行，防止不正当关联交易损害基金份额持有人利益。</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lastRenderedPageBreak/>
        <w:t>（2）信息披露控制</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管理人通过完善信息披露制度，确保基金份额持有人及时完整地了解基金信息。基金管理人按照法律、法规和中国证监会有关规定，建立了《汇添富基金管理股份有限公司公开募集证券投资基金信息披露管理制度》，指定了信息披露责任人负责信息披露工作，进行信息的组织、审核和发布，并将定期对信息披露进行检查和评价，保证公开披露的信息真实、准确、完整。</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（3）信息技术系统控制</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基金管理人建立了先进的信息技术系统和完善的信息技术管理制度。基金管理人的信息技术系统由先进的计算机系统构成，通过了国家、金融行业软件工程标准的认证，并有完整的技术资料。基金管理</w:t>
      </w:r>
      <w:proofErr w:type="gramStart"/>
      <w:r>
        <w:rPr>
          <w:rFonts w:ascii="宋体" w:hAnsi="宋体" w:cs="宋体"/>
          <w:kern w:val="0"/>
          <w:sz w:val="24"/>
          <w:szCs w:val="24"/>
        </w:rPr>
        <w:t>人制</w:t>
      </w:r>
      <w:proofErr w:type="gramEnd"/>
      <w:r>
        <w:rPr>
          <w:rFonts w:ascii="宋体" w:hAnsi="宋体" w:cs="宋体"/>
          <w:kern w:val="0"/>
          <w:sz w:val="24"/>
          <w:szCs w:val="24"/>
        </w:rPr>
        <w:t>定了严格的信息技术岗位责任制度、门禁制度、内外网分离制度等管理措施，对电子信息数据进行即时保存和备份，重要数据实行异地备份并且长期保存，确保了系统可靠、稳定、安全地运行。在人员控制方面，对信息技术人员进行有关信息系统安全的统一培训和考核；信息技术人员之间定期轮换岗位。</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（4）会计系统控制</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管理人通过建立严格的会计系统控制措施，确保会计核算正常运转。基金管理人根据《中华人民共和国会计法》、《证券投资基金会计核算业务指引》、《企业财务通则》等国家有关法律、法规制订了基金会计制度、公司财务制度、会计工作操作流程和会计岗位工作手册。通过事前防范、事中检查、事后监督的方式发现、堵截、杜绝基金会计核算中存在的各种风险。具体措施包括：采用了目前最先进的基金核算软件；基金会计严格执行复核制度；基金会计核算采用基金管理人与基金托管人双人同步独立核算、相互核对的方式；每日制作基金会计核算估值系统电子数据的备份，同时打印保存书面的记账凭证、各类会计报表、统计报表，并由专人保存原始记账凭证等。</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（5）内部稽核控制</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管理人通过制定稽核监察制度，开展独立监督，确保内部控制的有效性。基金管理人设立督察长，督察长可以列席基金管理人召开的任何会议，调阅相关档案，就内部控制制度的执行情况独立地履行检查、评价、报告、建议职能。督察长定期和不定期向董事会报告公司内部控制执行情况。公司为合</w:t>
      </w:r>
      <w:proofErr w:type="gramStart"/>
      <w:r>
        <w:rPr>
          <w:rFonts w:ascii="宋体" w:hAnsi="宋体" w:cs="宋体"/>
          <w:kern w:val="0"/>
          <w:sz w:val="24"/>
          <w:szCs w:val="24"/>
        </w:rPr>
        <w:t>规</w:t>
      </w:r>
      <w:proofErr w:type="gramEnd"/>
      <w:r>
        <w:rPr>
          <w:rFonts w:ascii="宋体" w:hAnsi="宋体" w:cs="宋体"/>
          <w:kern w:val="0"/>
          <w:sz w:val="24"/>
          <w:szCs w:val="24"/>
        </w:rPr>
        <w:t>稽核部配备</w:t>
      </w:r>
      <w:r>
        <w:rPr>
          <w:rFonts w:ascii="宋体" w:hAnsi="宋体" w:cs="宋体"/>
          <w:kern w:val="0"/>
          <w:sz w:val="24"/>
          <w:szCs w:val="24"/>
        </w:rPr>
        <w:lastRenderedPageBreak/>
        <w:t>充足合格的稽核监察人员，监督各业务部门和人员遵守法律、法规和规章的有关情况；检查各业务部门和人员执行内部控制制度、各项管理制度和业务规章的情况。</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4、基金管理人关于内部控制制度声明书</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（1）基金管理人承诺以上关于内部控制制度的披露真实、准确；</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（2）基金管理人承诺根据市场变化和基金管理人业务发展不断完善内部风险控制制度。</w:t>
      </w:r>
    </w:p>
    <w:p w:rsidR="008333A9" w:rsidRDefault="008333A9">
      <w:pPr>
        <w:pStyle w:val="div"/>
        <w:spacing w:line="360" w:lineRule="auto"/>
        <w:ind w:firstLine="420"/>
        <w:rPr>
          <w:rFonts w:ascii="宋体" w:hAnsi="宋体" w:cs="宋体"/>
          <w:kern w:val="0"/>
          <w:sz w:val="24"/>
          <w:szCs w:val="24"/>
        </w:rPr>
      </w:pPr>
    </w:p>
    <w:p w:rsidR="008333A9" w:rsidRDefault="008333A9">
      <w:pPr>
        <w:pStyle w:val="div"/>
        <w:spacing w:line="360" w:lineRule="auto"/>
        <w:ind w:firstLine="420"/>
        <w:rPr>
          <w:rFonts w:ascii="宋体" w:hAnsi="宋体" w:cs="宋体"/>
          <w:kern w:val="0"/>
          <w:sz w:val="24"/>
          <w:szCs w:val="24"/>
        </w:rPr>
      </w:pP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br w:type="page"/>
      </w:r>
    </w:p>
    <w:p w:rsidR="008333A9" w:rsidRPr="00610F4E" w:rsidRDefault="0002249C" w:rsidP="00610F4E">
      <w:pPr>
        <w:pStyle w:val="1"/>
        <w:spacing w:before="0" w:after="0"/>
        <w:jc w:val="center"/>
        <w:rPr>
          <w:sz w:val="30"/>
        </w:rPr>
      </w:pPr>
      <w:bookmarkStart w:id="33" w:name="_Toc256000003"/>
      <w:r>
        <w:rPr>
          <w:rFonts w:ascii="Times New Roman"/>
          <w:color w:val="auto"/>
          <w:sz w:val="30"/>
        </w:rPr>
        <w:lastRenderedPageBreak/>
        <w:t>第四部分</w:t>
      </w:r>
      <w:r>
        <w:rPr>
          <w:rFonts w:ascii="Times New Roman"/>
          <w:color w:val="auto"/>
          <w:sz w:val="30"/>
        </w:rPr>
        <w:t xml:space="preserve">  </w:t>
      </w:r>
      <w:r>
        <w:rPr>
          <w:rFonts w:ascii="Times New Roman"/>
          <w:color w:val="auto"/>
          <w:sz w:val="30"/>
        </w:rPr>
        <w:t>基金托管人</w:t>
      </w:r>
      <w:bookmarkEnd w:id="33"/>
    </w:p>
    <w:p w:rsidR="008333A9" w:rsidRDefault="008333A9">
      <w:pPr>
        <w:spacing w:line="360" w:lineRule="auto"/>
        <w:ind w:firstLine="420"/>
        <w:rPr>
          <w:sz w:val="24"/>
          <w:szCs w:val="24"/>
        </w:rPr>
      </w:pPr>
    </w:p>
    <w:p w:rsidR="008333A9" w:rsidRDefault="0002249C">
      <w:pPr>
        <w:spacing w:line="360" w:lineRule="auto"/>
        <w:ind w:firstLine="420"/>
        <w:rPr>
          <w:sz w:val="24"/>
          <w:szCs w:val="24"/>
        </w:rPr>
      </w:pPr>
      <w:r>
        <w:rPr>
          <w:rFonts w:hint="eastAsia"/>
          <w:sz w:val="24"/>
          <w:szCs w:val="24"/>
        </w:rPr>
        <w:t>（一）基金托管人情况</w:t>
      </w:r>
    </w:p>
    <w:p w:rsidR="008333A9" w:rsidRDefault="0002249C">
      <w:pPr>
        <w:spacing w:line="360" w:lineRule="auto"/>
        <w:ind w:firstLine="420"/>
        <w:rPr>
          <w:sz w:val="24"/>
          <w:szCs w:val="24"/>
        </w:rPr>
      </w:pPr>
      <w:r>
        <w:rPr>
          <w:rFonts w:hint="eastAsia"/>
          <w:sz w:val="24"/>
          <w:szCs w:val="24"/>
        </w:rPr>
        <w:t>1</w:t>
      </w:r>
      <w:r>
        <w:rPr>
          <w:rFonts w:hint="eastAsia"/>
          <w:sz w:val="24"/>
          <w:szCs w:val="24"/>
        </w:rPr>
        <w:t>、基本情况</w:t>
      </w:r>
    </w:p>
    <w:p w:rsidR="008333A9" w:rsidRDefault="0002249C">
      <w:pPr>
        <w:spacing w:line="360" w:lineRule="auto"/>
        <w:ind w:firstLine="420"/>
        <w:rPr>
          <w:sz w:val="24"/>
          <w:szCs w:val="24"/>
        </w:rPr>
      </w:pPr>
      <w:r>
        <w:rPr>
          <w:rFonts w:hint="eastAsia"/>
          <w:sz w:val="24"/>
          <w:szCs w:val="24"/>
        </w:rPr>
        <w:t>名称：中国农业银行股份有限公司（简称中国农业银行）</w:t>
      </w:r>
    </w:p>
    <w:p w:rsidR="008333A9" w:rsidRDefault="0002249C">
      <w:pPr>
        <w:spacing w:line="360" w:lineRule="auto"/>
        <w:ind w:firstLine="420"/>
        <w:rPr>
          <w:sz w:val="24"/>
          <w:szCs w:val="24"/>
        </w:rPr>
      </w:pPr>
      <w:r>
        <w:rPr>
          <w:rFonts w:hint="eastAsia"/>
          <w:sz w:val="24"/>
          <w:szCs w:val="24"/>
        </w:rPr>
        <w:t>住所：北京市东城区建国门内大街</w:t>
      </w:r>
      <w:r>
        <w:rPr>
          <w:rFonts w:hint="eastAsia"/>
          <w:sz w:val="24"/>
          <w:szCs w:val="24"/>
        </w:rPr>
        <w:t>69</w:t>
      </w:r>
      <w:r>
        <w:rPr>
          <w:rFonts w:hint="eastAsia"/>
          <w:sz w:val="24"/>
          <w:szCs w:val="24"/>
        </w:rPr>
        <w:t>号</w:t>
      </w:r>
    </w:p>
    <w:p w:rsidR="008333A9" w:rsidRDefault="0002249C">
      <w:pPr>
        <w:spacing w:line="360" w:lineRule="auto"/>
        <w:ind w:firstLine="420"/>
        <w:rPr>
          <w:sz w:val="24"/>
          <w:szCs w:val="24"/>
        </w:rPr>
      </w:pPr>
      <w:r>
        <w:rPr>
          <w:rFonts w:hint="eastAsia"/>
          <w:sz w:val="24"/>
          <w:szCs w:val="24"/>
        </w:rPr>
        <w:t>办公地址：北京市西城区复兴门内大街</w:t>
      </w:r>
      <w:r>
        <w:rPr>
          <w:rFonts w:hint="eastAsia"/>
          <w:sz w:val="24"/>
          <w:szCs w:val="24"/>
        </w:rPr>
        <w:t>28</w:t>
      </w:r>
      <w:r>
        <w:rPr>
          <w:rFonts w:hint="eastAsia"/>
          <w:sz w:val="24"/>
          <w:szCs w:val="24"/>
        </w:rPr>
        <w:t>号</w:t>
      </w:r>
      <w:proofErr w:type="gramStart"/>
      <w:r>
        <w:rPr>
          <w:rFonts w:hint="eastAsia"/>
          <w:sz w:val="24"/>
          <w:szCs w:val="24"/>
        </w:rPr>
        <w:t>凯</w:t>
      </w:r>
      <w:proofErr w:type="gramEnd"/>
      <w:r>
        <w:rPr>
          <w:rFonts w:hint="eastAsia"/>
          <w:sz w:val="24"/>
          <w:szCs w:val="24"/>
        </w:rPr>
        <w:t>晨世贸中心东座</w:t>
      </w:r>
    </w:p>
    <w:p w:rsidR="008333A9" w:rsidRDefault="0002249C">
      <w:pPr>
        <w:spacing w:line="360" w:lineRule="auto"/>
        <w:ind w:firstLine="420"/>
        <w:rPr>
          <w:sz w:val="24"/>
          <w:szCs w:val="24"/>
        </w:rPr>
      </w:pPr>
      <w:r>
        <w:rPr>
          <w:rFonts w:hint="eastAsia"/>
          <w:sz w:val="24"/>
          <w:szCs w:val="24"/>
        </w:rPr>
        <w:t>法定代表人：谷澍</w:t>
      </w:r>
    </w:p>
    <w:p w:rsidR="008333A9" w:rsidRDefault="0002249C">
      <w:pPr>
        <w:spacing w:line="360" w:lineRule="auto"/>
        <w:ind w:firstLine="420"/>
        <w:rPr>
          <w:sz w:val="24"/>
          <w:szCs w:val="24"/>
        </w:rPr>
      </w:pPr>
      <w:r>
        <w:rPr>
          <w:rFonts w:hint="eastAsia"/>
          <w:sz w:val="24"/>
          <w:szCs w:val="24"/>
        </w:rPr>
        <w:t>成立日期：</w:t>
      </w:r>
      <w:r>
        <w:rPr>
          <w:rFonts w:hint="eastAsia"/>
          <w:sz w:val="24"/>
          <w:szCs w:val="24"/>
        </w:rPr>
        <w:t>2009</w:t>
      </w:r>
      <w:r>
        <w:rPr>
          <w:rFonts w:hint="eastAsia"/>
          <w:sz w:val="24"/>
          <w:szCs w:val="24"/>
        </w:rPr>
        <w:t>年</w:t>
      </w:r>
      <w:r>
        <w:rPr>
          <w:rFonts w:hint="eastAsia"/>
          <w:sz w:val="24"/>
          <w:szCs w:val="24"/>
        </w:rPr>
        <w:t>1</w:t>
      </w:r>
      <w:r>
        <w:rPr>
          <w:rFonts w:hint="eastAsia"/>
          <w:sz w:val="24"/>
          <w:szCs w:val="24"/>
        </w:rPr>
        <w:t>月</w:t>
      </w:r>
      <w:r>
        <w:rPr>
          <w:rFonts w:hint="eastAsia"/>
          <w:sz w:val="24"/>
          <w:szCs w:val="24"/>
        </w:rPr>
        <w:t>15</w:t>
      </w:r>
      <w:r>
        <w:rPr>
          <w:rFonts w:hint="eastAsia"/>
          <w:sz w:val="24"/>
          <w:szCs w:val="24"/>
        </w:rPr>
        <w:t>日</w:t>
      </w:r>
    </w:p>
    <w:p w:rsidR="008333A9" w:rsidRDefault="0002249C">
      <w:pPr>
        <w:spacing w:line="360" w:lineRule="auto"/>
        <w:ind w:firstLine="420"/>
        <w:rPr>
          <w:sz w:val="24"/>
          <w:szCs w:val="24"/>
        </w:rPr>
      </w:pPr>
      <w:r>
        <w:rPr>
          <w:rFonts w:hint="eastAsia"/>
          <w:sz w:val="24"/>
          <w:szCs w:val="24"/>
        </w:rPr>
        <w:t>批准设立机关和批准设立文号：中国银监</w:t>
      </w:r>
      <w:proofErr w:type="gramStart"/>
      <w:r>
        <w:rPr>
          <w:rFonts w:hint="eastAsia"/>
          <w:sz w:val="24"/>
          <w:szCs w:val="24"/>
        </w:rPr>
        <w:t>会银监复</w:t>
      </w:r>
      <w:proofErr w:type="gramEnd"/>
      <w:r>
        <w:rPr>
          <w:rFonts w:hint="eastAsia"/>
          <w:sz w:val="24"/>
          <w:szCs w:val="24"/>
        </w:rPr>
        <w:t>[2009]13</w:t>
      </w:r>
      <w:r>
        <w:rPr>
          <w:rFonts w:hint="eastAsia"/>
          <w:sz w:val="24"/>
          <w:szCs w:val="24"/>
        </w:rPr>
        <w:t>号</w:t>
      </w:r>
    </w:p>
    <w:p w:rsidR="008333A9" w:rsidRDefault="0002249C">
      <w:pPr>
        <w:spacing w:line="360" w:lineRule="auto"/>
        <w:ind w:firstLine="420"/>
        <w:rPr>
          <w:sz w:val="24"/>
          <w:szCs w:val="24"/>
        </w:rPr>
      </w:pPr>
      <w:r>
        <w:rPr>
          <w:rFonts w:hint="eastAsia"/>
          <w:sz w:val="24"/>
          <w:szCs w:val="24"/>
        </w:rPr>
        <w:t>基金托管资格批文及文号：中国证监会</w:t>
      </w:r>
      <w:proofErr w:type="gramStart"/>
      <w:r>
        <w:rPr>
          <w:rFonts w:hint="eastAsia"/>
          <w:sz w:val="24"/>
          <w:szCs w:val="24"/>
        </w:rPr>
        <w:t>证监基字</w:t>
      </w:r>
      <w:proofErr w:type="gramEnd"/>
      <w:r>
        <w:rPr>
          <w:rFonts w:hint="eastAsia"/>
          <w:sz w:val="24"/>
          <w:szCs w:val="24"/>
        </w:rPr>
        <w:t>[1998]23</w:t>
      </w:r>
      <w:r>
        <w:rPr>
          <w:rFonts w:hint="eastAsia"/>
          <w:sz w:val="24"/>
          <w:szCs w:val="24"/>
        </w:rPr>
        <w:t>号</w:t>
      </w:r>
    </w:p>
    <w:p w:rsidR="008333A9" w:rsidRDefault="0002249C">
      <w:pPr>
        <w:spacing w:line="360" w:lineRule="auto"/>
        <w:ind w:firstLine="420"/>
        <w:rPr>
          <w:sz w:val="24"/>
          <w:szCs w:val="24"/>
        </w:rPr>
      </w:pPr>
      <w:r>
        <w:rPr>
          <w:rFonts w:hint="eastAsia"/>
          <w:sz w:val="24"/>
          <w:szCs w:val="24"/>
        </w:rPr>
        <w:t>注册资本：</w:t>
      </w:r>
      <w:r>
        <w:rPr>
          <w:rFonts w:hint="eastAsia"/>
          <w:sz w:val="24"/>
          <w:szCs w:val="24"/>
        </w:rPr>
        <w:t>34,998,303.4</w:t>
      </w:r>
      <w:r>
        <w:rPr>
          <w:rFonts w:hint="eastAsia"/>
          <w:sz w:val="24"/>
          <w:szCs w:val="24"/>
        </w:rPr>
        <w:t>万元人民币</w:t>
      </w:r>
    </w:p>
    <w:p w:rsidR="008333A9" w:rsidRDefault="0002249C">
      <w:pPr>
        <w:spacing w:line="360" w:lineRule="auto"/>
        <w:ind w:firstLine="420"/>
        <w:rPr>
          <w:sz w:val="24"/>
          <w:szCs w:val="24"/>
        </w:rPr>
      </w:pPr>
      <w:r>
        <w:rPr>
          <w:rFonts w:hint="eastAsia"/>
          <w:sz w:val="24"/>
          <w:szCs w:val="24"/>
        </w:rPr>
        <w:t>存续期间：持续经营</w:t>
      </w:r>
    </w:p>
    <w:p w:rsidR="008333A9" w:rsidRDefault="0002249C">
      <w:pPr>
        <w:spacing w:line="360" w:lineRule="auto"/>
        <w:ind w:firstLine="420"/>
        <w:rPr>
          <w:sz w:val="24"/>
          <w:szCs w:val="24"/>
        </w:rPr>
      </w:pPr>
      <w:r>
        <w:rPr>
          <w:rFonts w:hint="eastAsia"/>
          <w:sz w:val="24"/>
          <w:szCs w:val="24"/>
        </w:rPr>
        <w:t>联系电话：</w:t>
      </w:r>
      <w:r>
        <w:rPr>
          <w:rFonts w:hint="eastAsia"/>
          <w:sz w:val="24"/>
          <w:szCs w:val="24"/>
        </w:rPr>
        <w:t>010-66060069</w:t>
      </w:r>
    </w:p>
    <w:p w:rsidR="008333A9" w:rsidRDefault="0002249C">
      <w:pPr>
        <w:spacing w:line="360" w:lineRule="auto"/>
        <w:ind w:firstLine="420"/>
        <w:rPr>
          <w:sz w:val="24"/>
          <w:szCs w:val="24"/>
        </w:rPr>
      </w:pPr>
      <w:r>
        <w:rPr>
          <w:rFonts w:hint="eastAsia"/>
          <w:sz w:val="24"/>
          <w:szCs w:val="24"/>
        </w:rPr>
        <w:t>传真：</w:t>
      </w:r>
      <w:r>
        <w:rPr>
          <w:rFonts w:hint="eastAsia"/>
          <w:sz w:val="24"/>
          <w:szCs w:val="24"/>
        </w:rPr>
        <w:t>010-68121816</w:t>
      </w:r>
    </w:p>
    <w:p w:rsidR="008333A9" w:rsidRDefault="0002249C">
      <w:pPr>
        <w:spacing w:line="360" w:lineRule="auto"/>
        <w:ind w:firstLine="420"/>
        <w:rPr>
          <w:sz w:val="24"/>
          <w:szCs w:val="24"/>
        </w:rPr>
      </w:pPr>
      <w:r>
        <w:rPr>
          <w:rFonts w:hint="eastAsia"/>
          <w:sz w:val="24"/>
          <w:szCs w:val="24"/>
        </w:rPr>
        <w:t>联系人：任航</w:t>
      </w:r>
    </w:p>
    <w:p w:rsidR="008333A9" w:rsidRDefault="0002249C">
      <w:pPr>
        <w:spacing w:line="360" w:lineRule="auto"/>
        <w:ind w:firstLine="420"/>
        <w:rPr>
          <w:sz w:val="24"/>
          <w:szCs w:val="24"/>
        </w:rPr>
      </w:pPr>
      <w:r>
        <w:rPr>
          <w:rFonts w:hint="eastAsia"/>
          <w:sz w:val="24"/>
          <w:szCs w:val="24"/>
        </w:rPr>
        <w:t>中国农业银行股份有限公司是中国金融体系的重要组成部分</w:t>
      </w:r>
      <w:r>
        <w:rPr>
          <w:rFonts w:hint="eastAsia"/>
          <w:sz w:val="24"/>
          <w:szCs w:val="24"/>
        </w:rPr>
        <w:t>,</w:t>
      </w:r>
      <w:r>
        <w:rPr>
          <w:rFonts w:hint="eastAsia"/>
          <w:sz w:val="24"/>
          <w:szCs w:val="24"/>
        </w:rPr>
        <w:t>总行设在北京。经国务院批准，中国农业银行整体改制为中国农业银行股份有限公司并于</w:t>
      </w:r>
      <w:r>
        <w:rPr>
          <w:rFonts w:hint="eastAsia"/>
          <w:sz w:val="24"/>
          <w:szCs w:val="24"/>
        </w:rPr>
        <w:t>2009</w:t>
      </w:r>
      <w:r>
        <w:rPr>
          <w:rFonts w:hint="eastAsia"/>
          <w:sz w:val="24"/>
          <w:szCs w:val="24"/>
        </w:rPr>
        <w:t>年</w:t>
      </w:r>
      <w:r>
        <w:rPr>
          <w:rFonts w:hint="eastAsia"/>
          <w:sz w:val="24"/>
          <w:szCs w:val="24"/>
        </w:rPr>
        <w:t>1</w:t>
      </w:r>
      <w:r>
        <w:rPr>
          <w:rFonts w:hint="eastAsia"/>
          <w:sz w:val="24"/>
          <w:szCs w:val="24"/>
        </w:rPr>
        <w:t>月</w:t>
      </w:r>
      <w:r>
        <w:rPr>
          <w:rFonts w:hint="eastAsia"/>
          <w:sz w:val="24"/>
          <w:szCs w:val="24"/>
        </w:rPr>
        <w:t>15</w:t>
      </w:r>
      <w:r>
        <w:rPr>
          <w:rFonts w:hint="eastAsia"/>
          <w:sz w:val="24"/>
          <w:szCs w:val="24"/>
        </w:rPr>
        <w:t>日依法成立。中国农业银行股份有限公司承继原中国农业银行全部资产、负债、业务、机构网点和员工。中国农业银行网点遍布中国城乡，成为国内网点最多、业务辐射范围最广，服务领域最广，服务对象最多，业务功能齐全的大型国有商业银行之一。在海外，中国农业银行同样通过自己的努力赢得了良好的信誉，每年位居《财富》世界</w:t>
      </w:r>
      <w:r>
        <w:rPr>
          <w:rFonts w:hint="eastAsia"/>
          <w:sz w:val="24"/>
          <w:szCs w:val="24"/>
        </w:rPr>
        <w:t>500</w:t>
      </w:r>
      <w:r>
        <w:rPr>
          <w:rFonts w:hint="eastAsia"/>
          <w:sz w:val="24"/>
          <w:szCs w:val="24"/>
        </w:rPr>
        <w:t>强企业之列。作为一家城乡并举、联通国际、功能齐备的大型国有商业银行，中国农业银行一贯秉承以客户为中心的经营理念，坚持审慎稳健经营、可持续发展，立足县域和城市两大市场，实施差异化竞争策略，着力打造“伴你成长”服务品牌，依托覆盖全国的分支机构、庞大的电子化网络和多元化的金融产品，致力为广大客户提供优质的金融服务，与广大客户共创价值、共同成长。</w:t>
      </w:r>
    </w:p>
    <w:p w:rsidR="008333A9" w:rsidRDefault="0002249C">
      <w:pPr>
        <w:spacing w:line="360" w:lineRule="auto"/>
        <w:ind w:firstLine="420"/>
        <w:rPr>
          <w:sz w:val="24"/>
          <w:szCs w:val="24"/>
        </w:rPr>
      </w:pPr>
      <w:r>
        <w:rPr>
          <w:rFonts w:hint="eastAsia"/>
          <w:sz w:val="24"/>
          <w:szCs w:val="24"/>
        </w:rPr>
        <w:t>中国农业银行是中国第一批开展托管业务的国内商业银行，经验丰富，服务</w:t>
      </w:r>
      <w:r>
        <w:rPr>
          <w:rFonts w:hint="eastAsia"/>
          <w:sz w:val="24"/>
          <w:szCs w:val="24"/>
        </w:rPr>
        <w:lastRenderedPageBreak/>
        <w:t>优质，业绩突出，</w:t>
      </w:r>
      <w:r>
        <w:rPr>
          <w:rFonts w:hint="eastAsia"/>
          <w:sz w:val="24"/>
          <w:szCs w:val="24"/>
        </w:rPr>
        <w:t>2004</w:t>
      </w:r>
      <w:r>
        <w:rPr>
          <w:rFonts w:hint="eastAsia"/>
          <w:sz w:val="24"/>
          <w:szCs w:val="24"/>
        </w:rPr>
        <w:t>年被英国《全球托管人》评为中国“最佳托管银行”。</w:t>
      </w:r>
      <w:r>
        <w:rPr>
          <w:rFonts w:hint="eastAsia"/>
          <w:sz w:val="24"/>
          <w:szCs w:val="24"/>
        </w:rPr>
        <w:t>2007</w:t>
      </w:r>
      <w:r>
        <w:rPr>
          <w:rFonts w:hint="eastAsia"/>
          <w:sz w:val="24"/>
          <w:szCs w:val="24"/>
        </w:rPr>
        <w:t>年中国农业银行通过了美国</w:t>
      </w:r>
      <w:r>
        <w:rPr>
          <w:rFonts w:hint="eastAsia"/>
          <w:sz w:val="24"/>
          <w:szCs w:val="24"/>
        </w:rPr>
        <w:t>SAS70</w:t>
      </w:r>
      <w:r>
        <w:rPr>
          <w:rFonts w:hint="eastAsia"/>
          <w:sz w:val="24"/>
          <w:szCs w:val="24"/>
        </w:rPr>
        <w:t>内部控制审计，并获得无保留意见的</w:t>
      </w:r>
      <w:r>
        <w:rPr>
          <w:rFonts w:hint="eastAsia"/>
          <w:sz w:val="24"/>
          <w:szCs w:val="24"/>
        </w:rPr>
        <w:t>SAS70</w:t>
      </w:r>
      <w:r>
        <w:rPr>
          <w:rFonts w:hint="eastAsia"/>
          <w:sz w:val="24"/>
          <w:szCs w:val="24"/>
        </w:rPr>
        <w:t>审计报告。自</w:t>
      </w:r>
      <w:r>
        <w:rPr>
          <w:rFonts w:hint="eastAsia"/>
          <w:sz w:val="24"/>
          <w:szCs w:val="24"/>
        </w:rPr>
        <w:t>2010</w:t>
      </w:r>
      <w:r>
        <w:rPr>
          <w:rFonts w:hint="eastAsia"/>
          <w:sz w:val="24"/>
          <w:szCs w:val="24"/>
        </w:rPr>
        <w:t>年起中国农业银行连续通过托管业务国际内控标准（</w:t>
      </w:r>
      <w:r>
        <w:rPr>
          <w:rFonts w:hint="eastAsia"/>
          <w:sz w:val="24"/>
          <w:szCs w:val="24"/>
        </w:rPr>
        <w:t>ISAE3402</w:t>
      </w:r>
      <w:r>
        <w:rPr>
          <w:rFonts w:hint="eastAsia"/>
          <w:sz w:val="24"/>
          <w:szCs w:val="24"/>
        </w:rPr>
        <w:t>）认证，表明了独立</w:t>
      </w:r>
      <w:proofErr w:type="gramStart"/>
      <w:r>
        <w:rPr>
          <w:rFonts w:hint="eastAsia"/>
          <w:sz w:val="24"/>
          <w:szCs w:val="24"/>
        </w:rPr>
        <w:t>公正第三</w:t>
      </w:r>
      <w:proofErr w:type="gramEnd"/>
      <w:r>
        <w:rPr>
          <w:rFonts w:hint="eastAsia"/>
          <w:sz w:val="24"/>
          <w:szCs w:val="24"/>
        </w:rPr>
        <w:t>方对中国农业银行托管服务运作流程的风险管理、内部控制的健全有效性的全面认可。中国农业银行着力加强能力建设，品牌声誉进一步提升，在</w:t>
      </w:r>
      <w:r>
        <w:rPr>
          <w:rFonts w:hint="eastAsia"/>
          <w:sz w:val="24"/>
          <w:szCs w:val="24"/>
        </w:rPr>
        <w:t>2010</w:t>
      </w:r>
      <w:r>
        <w:rPr>
          <w:rFonts w:hint="eastAsia"/>
          <w:sz w:val="24"/>
          <w:szCs w:val="24"/>
        </w:rPr>
        <w:t>年首届“‘金牌理财’</w:t>
      </w:r>
      <w:r>
        <w:rPr>
          <w:rFonts w:hint="eastAsia"/>
          <w:sz w:val="24"/>
          <w:szCs w:val="24"/>
        </w:rPr>
        <w:t>TOP10</w:t>
      </w:r>
      <w:r>
        <w:rPr>
          <w:rFonts w:hint="eastAsia"/>
          <w:sz w:val="24"/>
          <w:szCs w:val="24"/>
        </w:rPr>
        <w:t>颁奖盛典”中成绩突出，获“最佳托管银行”奖。</w:t>
      </w:r>
      <w:r>
        <w:rPr>
          <w:rFonts w:hint="eastAsia"/>
          <w:sz w:val="24"/>
          <w:szCs w:val="24"/>
        </w:rPr>
        <w:t>2010</w:t>
      </w:r>
      <w:r>
        <w:rPr>
          <w:rFonts w:hint="eastAsia"/>
          <w:sz w:val="24"/>
          <w:szCs w:val="24"/>
        </w:rPr>
        <w:t>年再次荣获《首席财务官》杂志颁发的“最佳资产托管奖”。</w:t>
      </w:r>
      <w:r>
        <w:rPr>
          <w:rFonts w:hint="eastAsia"/>
          <w:sz w:val="24"/>
          <w:szCs w:val="24"/>
        </w:rPr>
        <w:t>2012</w:t>
      </w:r>
      <w:r>
        <w:rPr>
          <w:rFonts w:hint="eastAsia"/>
          <w:sz w:val="24"/>
          <w:szCs w:val="24"/>
        </w:rPr>
        <w:t>年荣获第十届中国财经风云榜“最佳资产托管银行”称号；</w:t>
      </w:r>
      <w:r>
        <w:rPr>
          <w:rFonts w:hint="eastAsia"/>
          <w:sz w:val="24"/>
          <w:szCs w:val="24"/>
        </w:rPr>
        <w:t>2013</w:t>
      </w:r>
      <w:r>
        <w:rPr>
          <w:rFonts w:hint="eastAsia"/>
          <w:sz w:val="24"/>
          <w:szCs w:val="24"/>
        </w:rPr>
        <w:t>年至</w:t>
      </w:r>
      <w:r>
        <w:rPr>
          <w:rFonts w:hint="eastAsia"/>
          <w:sz w:val="24"/>
          <w:szCs w:val="24"/>
        </w:rPr>
        <w:t>2017</w:t>
      </w:r>
      <w:r>
        <w:rPr>
          <w:rFonts w:hint="eastAsia"/>
          <w:sz w:val="24"/>
          <w:szCs w:val="24"/>
        </w:rPr>
        <w:t>年连续荣获上海清算所授予的“托管银行优秀奖”和中央国债登记结算有限责任公司授予的“优秀托管机构奖”称号；</w:t>
      </w:r>
      <w:r>
        <w:rPr>
          <w:rFonts w:hint="eastAsia"/>
          <w:sz w:val="24"/>
          <w:szCs w:val="24"/>
        </w:rPr>
        <w:t>2015</w:t>
      </w:r>
      <w:r>
        <w:rPr>
          <w:rFonts w:hint="eastAsia"/>
          <w:sz w:val="24"/>
          <w:szCs w:val="24"/>
        </w:rPr>
        <w:t>年、</w:t>
      </w:r>
      <w:r>
        <w:rPr>
          <w:rFonts w:hint="eastAsia"/>
          <w:sz w:val="24"/>
          <w:szCs w:val="24"/>
        </w:rPr>
        <w:t>2016</w:t>
      </w:r>
      <w:r>
        <w:rPr>
          <w:rFonts w:hint="eastAsia"/>
          <w:sz w:val="24"/>
          <w:szCs w:val="24"/>
        </w:rPr>
        <w:t>年荣获中国银行业协会授予的“养老金业务最佳发展奖”称号；</w:t>
      </w:r>
      <w:r>
        <w:rPr>
          <w:rFonts w:hint="eastAsia"/>
          <w:sz w:val="24"/>
          <w:szCs w:val="24"/>
        </w:rPr>
        <w:t>2018</w:t>
      </w:r>
      <w:r>
        <w:rPr>
          <w:rFonts w:hint="eastAsia"/>
          <w:sz w:val="24"/>
          <w:szCs w:val="24"/>
        </w:rPr>
        <w:t>年荣获中国基金报授予的公</w:t>
      </w:r>
      <w:proofErr w:type="gramStart"/>
      <w:r>
        <w:rPr>
          <w:rFonts w:hint="eastAsia"/>
          <w:sz w:val="24"/>
          <w:szCs w:val="24"/>
        </w:rPr>
        <w:t>募基金</w:t>
      </w:r>
      <w:proofErr w:type="gramEnd"/>
      <w:r>
        <w:rPr>
          <w:rFonts w:hint="eastAsia"/>
          <w:sz w:val="24"/>
          <w:szCs w:val="24"/>
        </w:rPr>
        <w:t>20</w:t>
      </w:r>
      <w:r>
        <w:rPr>
          <w:rFonts w:hint="eastAsia"/>
          <w:sz w:val="24"/>
          <w:szCs w:val="24"/>
        </w:rPr>
        <w:t>年“最佳基金托管银行”奖；</w:t>
      </w:r>
      <w:r>
        <w:rPr>
          <w:rFonts w:hint="eastAsia"/>
          <w:sz w:val="24"/>
          <w:szCs w:val="24"/>
        </w:rPr>
        <w:t>2019</w:t>
      </w:r>
      <w:r>
        <w:rPr>
          <w:rFonts w:hint="eastAsia"/>
          <w:sz w:val="24"/>
          <w:szCs w:val="24"/>
        </w:rPr>
        <w:t>年荣获证券时报授予的“</w:t>
      </w:r>
      <w:r>
        <w:rPr>
          <w:rFonts w:hint="eastAsia"/>
          <w:sz w:val="24"/>
          <w:szCs w:val="24"/>
        </w:rPr>
        <w:t>2019</w:t>
      </w:r>
      <w:r>
        <w:rPr>
          <w:rFonts w:hint="eastAsia"/>
          <w:sz w:val="24"/>
          <w:szCs w:val="24"/>
        </w:rPr>
        <w:t>年度资产托管银行天玑奖”称号；</w:t>
      </w:r>
      <w:r>
        <w:rPr>
          <w:rFonts w:hint="eastAsia"/>
          <w:sz w:val="24"/>
          <w:szCs w:val="24"/>
        </w:rPr>
        <w:t>2020</w:t>
      </w:r>
      <w:r>
        <w:rPr>
          <w:rFonts w:hint="eastAsia"/>
          <w:sz w:val="24"/>
          <w:szCs w:val="24"/>
        </w:rPr>
        <w:t>年被美国《环球金融》评为中国“最佳托管银行”；</w:t>
      </w:r>
      <w:r>
        <w:rPr>
          <w:rFonts w:hint="eastAsia"/>
          <w:sz w:val="24"/>
          <w:szCs w:val="24"/>
        </w:rPr>
        <w:t>2021</w:t>
      </w:r>
      <w:r>
        <w:rPr>
          <w:rFonts w:hint="eastAsia"/>
          <w:sz w:val="24"/>
          <w:szCs w:val="24"/>
        </w:rPr>
        <w:t>年荣获全国银行间同业拆借中心首次设立的“银行间本币市场优秀托管行”奖；</w:t>
      </w:r>
      <w:r>
        <w:rPr>
          <w:rFonts w:hint="eastAsia"/>
          <w:sz w:val="24"/>
          <w:szCs w:val="24"/>
        </w:rPr>
        <w:t>2022</w:t>
      </w:r>
      <w:r>
        <w:rPr>
          <w:rFonts w:hint="eastAsia"/>
          <w:sz w:val="24"/>
          <w:szCs w:val="24"/>
        </w:rPr>
        <w:t>年在权威杂志《财资》年度评选中首次荣获“中国最佳保险托管银行”。</w:t>
      </w:r>
    </w:p>
    <w:p w:rsidR="008333A9" w:rsidRDefault="0002249C">
      <w:pPr>
        <w:spacing w:line="360" w:lineRule="auto"/>
        <w:ind w:firstLine="420"/>
        <w:rPr>
          <w:sz w:val="24"/>
          <w:szCs w:val="24"/>
        </w:rPr>
      </w:pPr>
      <w:r>
        <w:rPr>
          <w:rFonts w:hint="eastAsia"/>
          <w:sz w:val="24"/>
          <w:szCs w:val="24"/>
        </w:rPr>
        <w:t>中国农业银行证券投资基金托管部于</w:t>
      </w:r>
      <w:r>
        <w:rPr>
          <w:rFonts w:hint="eastAsia"/>
          <w:sz w:val="24"/>
          <w:szCs w:val="24"/>
        </w:rPr>
        <w:t>1998</w:t>
      </w:r>
      <w:r>
        <w:rPr>
          <w:rFonts w:hint="eastAsia"/>
          <w:sz w:val="24"/>
          <w:szCs w:val="24"/>
        </w:rPr>
        <w:t>年</w:t>
      </w:r>
      <w:r>
        <w:rPr>
          <w:rFonts w:hint="eastAsia"/>
          <w:sz w:val="24"/>
          <w:szCs w:val="24"/>
        </w:rPr>
        <w:t>5</w:t>
      </w:r>
      <w:r>
        <w:rPr>
          <w:rFonts w:hint="eastAsia"/>
          <w:sz w:val="24"/>
          <w:szCs w:val="24"/>
        </w:rPr>
        <w:t>月经中国证监会和中国人民银行批准成立，</w:t>
      </w:r>
      <w:r>
        <w:rPr>
          <w:rFonts w:hint="eastAsia"/>
          <w:sz w:val="24"/>
          <w:szCs w:val="24"/>
        </w:rPr>
        <w:t>2004</w:t>
      </w:r>
      <w:r>
        <w:rPr>
          <w:rFonts w:hint="eastAsia"/>
          <w:sz w:val="24"/>
          <w:szCs w:val="24"/>
        </w:rPr>
        <w:t>年更名为中国农业银行托管业务部。目前内设风险合</w:t>
      </w:r>
      <w:proofErr w:type="gramStart"/>
      <w:r>
        <w:rPr>
          <w:rFonts w:hint="eastAsia"/>
          <w:sz w:val="24"/>
          <w:szCs w:val="24"/>
        </w:rPr>
        <w:t>规</w:t>
      </w:r>
      <w:proofErr w:type="gramEnd"/>
      <w:r>
        <w:rPr>
          <w:rFonts w:hint="eastAsia"/>
          <w:sz w:val="24"/>
          <w:szCs w:val="24"/>
        </w:rPr>
        <w:t>部</w:t>
      </w:r>
      <w:r>
        <w:rPr>
          <w:rFonts w:hint="eastAsia"/>
          <w:sz w:val="24"/>
          <w:szCs w:val="24"/>
        </w:rPr>
        <w:t>/</w:t>
      </w:r>
      <w:r>
        <w:rPr>
          <w:rFonts w:hint="eastAsia"/>
          <w:sz w:val="24"/>
          <w:szCs w:val="24"/>
        </w:rPr>
        <w:t>综合管理部、业务管理部、客户一部、客户二部、客户三部、客户四部、系统与信息管理部、营运管理部、营运一部、营运二部，拥有先进的安全防范设施和基金托管业务系统。</w:t>
      </w:r>
    </w:p>
    <w:p w:rsidR="008333A9" w:rsidRDefault="0002249C">
      <w:pPr>
        <w:spacing w:line="360" w:lineRule="auto"/>
        <w:ind w:firstLine="420"/>
        <w:rPr>
          <w:sz w:val="24"/>
          <w:szCs w:val="24"/>
        </w:rPr>
      </w:pPr>
      <w:r>
        <w:rPr>
          <w:rFonts w:hint="eastAsia"/>
          <w:sz w:val="24"/>
          <w:szCs w:val="24"/>
        </w:rPr>
        <w:t>2</w:t>
      </w:r>
      <w:r>
        <w:rPr>
          <w:rFonts w:hint="eastAsia"/>
          <w:sz w:val="24"/>
          <w:szCs w:val="24"/>
        </w:rPr>
        <w:t>、主要人员情况</w:t>
      </w:r>
    </w:p>
    <w:p w:rsidR="008333A9" w:rsidRDefault="0002249C">
      <w:pPr>
        <w:spacing w:line="360" w:lineRule="auto"/>
        <w:ind w:firstLine="420"/>
        <w:rPr>
          <w:sz w:val="24"/>
          <w:szCs w:val="24"/>
        </w:rPr>
      </w:pPr>
      <w:r>
        <w:rPr>
          <w:rFonts w:hint="eastAsia"/>
          <w:sz w:val="24"/>
          <w:szCs w:val="24"/>
        </w:rPr>
        <w:t>中国农业银行托管业务部现有员工</w:t>
      </w:r>
      <w:r>
        <w:rPr>
          <w:rFonts w:hint="eastAsia"/>
          <w:sz w:val="24"/>
          <w:szCs w:val="24"/>
        </w:rPr>
        <w:t>302</w:t>
      </w:r>
      <w:r>
        <w:rPr>
          <w:rFonts w:hint="eastAsia"/>
          <w:sz w:val="24"/>
          <w:szCs w:val="24"/>
        </w:rPr>
        <w:t>名，其中具有高级职称的专家</w:t>
      </w:r>
      <w:r>
        <w:rPr>
          <w:rFonts w:hint="eastAsia"/>
          <w:sz w:val="24"/>
          <w:szCs w:val="24"/>
        </w:rPr>
        <w:t>60</w:t>
      </w:r>
      <w:r>
        <w:rPr>
          <w:rFonts w:hint="eastAsia"/>
          <w:sz w:val="24"/>
          <w:szCs w:val="24"/>
        </w:rPr>
        <w:t>名，服务团队成员专业水平高、业务素质好、服务能力强，高级管理层均有</w:t>
      </w:r>
      <w:r>
        <w:rPr>
          <w:rFonts w:hint="eastAsia"/>
          <w:sz w:val="24"/>
          <w:szCs w:val="24"/>
        </w:rPr>
        <w:t>20</w:t>
      </w:r>
      <w:r>
        <w:rPr>
          <w:rFonts w:hint="eastAsia"/>
          <w:sz w:val="24"/>
          <w:szCs w:val="24"/>
        </w:rPr>
        <w:t>年以上金融从业经验和高级技术职称，精通国内外证券市场的运作。</w:t>
      </w:r>
    </w:p>
    <w:p w:rsidR="008333A9" w:rsidRDefault="0002249C">
      <w:pPr>
        <w:spacing w:line="360" w:lineRule="auto"/>
        <w:ind w:firstLine="420"/>
        <w:rPr>
          <w:sz w:val="24"/>
          <w:szCs w:val="24"/>
        </w:rPr>
      </w:pPr>
      <w:r>
        <w:rPr>
          <w:rFonts w:hint="eastAsia"/>
          <w:sz w:val="24"/>
          <w:szCs w:val="24"/>
        </w:rPr>
        <w:t>3</w:t>
      </w:r>
      <w:r>
        <w:rPr>
          <w:rFonts w:hint="eastAsia"/>
          <w:sz w:val="24"/>
          <w:szCs w:val="24"/>
        </w:rPr>
        <w:t>、基金托管业务经营情况</w:t>
      </w:r>
    </w:p>
    <w:p w:rsidR="008333A9" w:rsidRDefault="0002249C">
      <w:pPr>
        <w:spacing w:line="360" w:lineRule="auto"/>
        <w:ind w:firstLine="420"/>
        <w:rPr>
          <w:sz w:val="24"/>
          <w:szCs w:val="24"/>
        </w:rPr>
      </w:pPr>
      <w:r>
        <w:rPr>
          <w:rFonts w:hint="eastAsia"/>
          <w:sz w:val="24"/>
          <w:szCs w:val="24"/>
        </w:rPr>
        <w:t>截止到</w:t>
      </w:r>
      <w:r>
        <w:rPr>
          <w:rFonts w:hint="eastAsia"/>
          <w:sz w:val="24"/>
          <w:szCs w:val="24"/>
        </w:rPr>
        <w:t>2025</w:t>
      </w:r>
      <w:r>
        <w:rPr>
          <w:rFonts w:hint="eastAsia"/>
          <w:sz w:val="24"/>
          <w:szCs w:val="24"/>
        </w:rPr>
        <w:t>年</w:t>
      </w:r>
      <w:r>
        <w:rPr>
          <w:rFonts w:hint="eastAsia"/>
          <w:sz w:val="24"/>
          <w:szCs w:val="24"/>
        </w:rPr>
        <w:t>6</w:t>
      </w:r>
      <w:r>
        <w:rPr>
          <w:rFonts w:hint="eastAsia"/>
          <w:sz w:val="24"/>
          <w:szCs w:val="24"/>
        </w:rPr>
        <w:t>月</w:t>
      </w:r>
      <w:r>
        <w:rPr>
          <w:rFonts w:hint="eastAsia"/>
          <w:sz w:val="24"/>
          <w:szCs w:val="24"/>
        </w:rPr>
        <w:t>30</w:t>
      </w:r>
      <w:r>
        <w:rPr>
          <w:rFonts w:hint="eastAsia"/>
          <w:sz w:val="24"/>
          <w:szCs w:val="24"/>
        </w:rPr>
        <w:t>日，中国农业银行托管的封闭式证券投资基金和开放式证券投资基金共</w:t>
      </w:r>
      <w:r>
        <w:rPr>
          <w:rFonts w:hint="eastAsia"/>
          <w:sz w:val="24"/>
          <w:szCs w:val="24"/>
        </w:rPr>
        <w:t>957</w:t>
      </w:r>
      <w:r>
        <w:rPr>
          <w:rFonts w:hint="eastAsia"/>
          <w:sz w:val="24"/>
          <w:szCs w:val="24"/>
        </w:rPr>
        <w:t>只。</w:t>
      </w:r>
    </w:p>
    <w:p w:rsidR="008333A9" w:rsidRDefault="0002249C">
      <w:pPr>
        <w:spacing w:line="360" w:lineRule="auto"/>
        <w:ind w:firstLine="420"/>
        <w:rPr>
          <w:sz w:val="24"/>
          <w:szCs w:val="24"/>
        </w:rPr>
      </w:pPr>
      <w:r>
        <w:rPr>
          <w:rFonts w:hint="eastAsia"/>
          <w:sz w:val="24"/>
          <w:szCs w:val="24"/>
        </w:rPr>
        <w:t>（二）、基金托管人的内部风险控制制度说明</w:t>
      </w:r>
    </w:p>
    <w:p w:rsidR="008333A9" w:rsidRDefault="0002249C">
      <w:pPr>
        <w:spacing w:line="360" w:lineRule="auto"/>
        <w:ind w:firstLine="420"/>
        <w:rPr>
          <w:sz w:val="24"/>
          <w:szCs w:val="24"/>
        </w:rPr>
      </w:pPr>
      <w:r>
        <w:rPr>
          <w:rFonts w:hint="eastAsia"/>
          <w:sz w:val="24"/>
          <w:szCs w:val="24"/>
        </w:rPr>
        <w:lastRenderedPageBreak/>
        <w:t>1</w:t>
      </w:r>
      <w:r>
        <w:rPr>
          <w:rFonts w:hint="eastAsia"/>
          <w:sz w:val="24"/>
          <w:szCs w:val="24"/>
        </w:rPr>
        <w:t>、内部控制目标</w:t>
      </w:r>
    </w:p>
    <w:p w:rsidR="008333A9" w:rsidRDefault="0002249C">
      <w:pPr>
        <w:spacing w:line="360" w:lineRule="auto"/>
        <w:ind w:firstLine="420"/>
        <w:rPr>
          <w:sz w:val="24"/>
          <w:szCs w:val="24"/>
        </w:rPr>
      </w:pPr>
      <w:r>
        <w:rPr>
          <w:rFonts w:hint="eastAsia"/>
          <w:sz w:val="24"/>
          <w:szCs w:val="24"/>
        </w:rPr>
        <w:t>严格遵守国家有关托管业务的法律法规、行业监管规章和行内有关管理规定，守法经营、规范运作、严格监察，确保业务的稳健运行，保证基金财产的安全完整，确保有关信息的真实、准确、完整、及时，保护基金份额持有人的合法权益。</w:t>
      </w:r>
    </w:p>
    <w:p w:rsidR="008333A9" w:rsidRDefault="0002249C">
      <w:pPr>
        <w:spacing w:line="360" w:lineRule="auto"/>
        <w:ind w:firstLine="420"/>
        <w:rPr>
          <w:sz w:val="24"/>
          <w:szCs w:val="24"/>
        </w:rPr>
      </w:pPr>
      <w:r>
        <w:rPr>
          <w:rFonts w:hint="eastAsia"/>
          <w:sz w:val="24"/>
          <w:szCs w:val="24"/>
        </w:rPr>
        <w:t>2</w:t>
      </w:r>
      <w:r>
        <w:rPr>
          <w:rFonts w:hint="eastAsia"/>
          <w:sz w:val="24"/>
          <w:szCs w:val="24"/>
        </w:rPr>
        <w:t>、内部控制组织结构</w:t>
      </w:r>
    </w:p>
    <w:p w:rsidR="008333A9" w:rsidRDefault="0002249C">
      <w:pPr>
        <w:spacing w:line="360" w:lineRule="auto"/>
        <w:ind w:firstLine="420"/>
        <w:rPr>
          <w:sz w:val="24"/>
          <w:szCs w:val="24"/>
        </w:rPr>
      </w:pPr>
      <w:r>
        <w:rPr>
          <w:rFonts w:hint="eastAsia"/>
          <w:sz w:val="24"/>
          <w:szCs w:val="24"/>
        </w:rPr>
        <w:t>风险管理委员会总体负责中国农业银行的风险管理与内部控制工作，对托管业务风险管理和内部控制工作进行监督和评价。托管业务部专门设置了风险管理处，配备了专职内控监督人员负责托管业务的内控监督工作，独立行使监督稽核职权。</w:t>
      </w:r>
    </w:p>
    <w:p w:rsidR="008333A9" w:rsidRDefault="0002249C">
      <w:pPr>
        <w:spacing w:line="360" w:lineRule="auto"/>
        <w:ind w:firstLine="420"/>
        <w:rPr>
          <w:sz w:val="24"/>
          <w:szCs w:val="24"/>
        </w:rPr>
      </w:pPr>
      <w:r>
        <w:rPr>
          <w:rFonts w:hint="eastAsia"/>
          <w:sz w:val="24"/>
          <w:szCs w:val="24"/>
        </w:rPr>
        <w:t>3</w:t>
      </w:r>
      <w:r>
        <w:rPr>
          <w:rFonts w:hint="eastAsia"/>
          <w:sz w:val="24"/>
          <w:szCs w:val="24"/>
        </w:rPr>
        <w:t>、内部控制制度及措施</w:t>
      </w:r>
    </w:p>
    <w:p w:rsidR="008333A9" w:rsidRDefault="0002249C">
      <w:pPr>
        <w:spacing w:line="360" w:lineRule="auto"/>
        <w:ind w:firstLine="420"/>
        <w:rPr>
          <w:sz w:val="24"/>
          <w:szCs w:val="24"/>
        </w:rPr>
      </w:pPr>
      <w:r>
        <w:rPr>
          <w:rFonts w:hint="eastAsia"/>
          <w:sz w:val="24"/>
          <w:szCs w:val="24"/>
        </w:rPr>
        <w:t>具备系统、完善的制度控制体系，建立了管理制度、控制制度、岗位职责、业务操作流程，可以保证托管业务的规范操作和顺利进行；业务人员具备从业资格；业务管理实行严格的复核、审核、检查制度，授权工作实行集中控制，业务印章按规程保管、存放、使用，账户资料严格保管，制约机制严格有效；业务</w:t>
      </w:r>
      <w:proofErr w:type="gramStart"/>
      <w:r>
        <w:rPr>
          <w:rFonts w:hint="eastAsia"/>
          <w:sz w:val="24"/>
          <w:szCs w:val="24"/>
        </w:rPr>
        <w:t>操作区</w:t>
      </w:r>
      <w:proofErr w:type="gramEnd"/>
      <w:r>
        <w:rPr>
          <w:rFonts w:hint="eastAsia"/>
          <w:sz w:val="24"/>
          <w:szCs w:val="24"/>
        </w:rPr>
        <w:t>专门设置，封闭管理，实施音像监控；业务信息由专职信息披露人负责，防止泄密；业务实现自动化操作，防止人为事故的发生，技术系统完整、独立。</w:t>
      </w:r>
    </w:p>
    <w:p w:rsidR="008333A9" w:rsidRDefault="0002249C">
      <w:pPr>
        <w:spacing w:line="360" w:lineRule="auto"/>
        <w:ind w:firstLine="420"/>
        <w:rPr>
          <w:sz w:val="24"/>
          <w:szCs w:val="24"/>
        </w:rPr>
      </w:pPr>
      <w:r>
        <w:rPr>
          <w:rFonts w:hint="eastAsia"/>
          <w:sz w:val="24"/>
          <w:szCs w:val="24"/>
        </w:rPr>
        <w:t>（三）、基金托管人对基金管理人运作基金进行监督的方法和程序</w:t>
      </w:r>
    </w:p>
    <w:p w:rsidR="008333A9" w:rsidRDefault="0002249C">
      <w:pPr>
        <w:spacing w:line="360" w:lineRule="auto"/>
        <w:ind w:firstLine="420"/>
        <w:rPr>
          <w:sz w:val="24"/>
          <w:szCs w:val="24"/>
        </w:rPr>
      </w:pPr>
      <w:r>
        <w:rPr>
          <w:rFonts w:hint="eastAsia"/>
          <w:sz w:val="24"/>
          <w:szCs w:val="24"/>
        </w:rPr>
        <w:t>基金托管人通过参数设置将《基金法》、《运作办法》、基金合同、托管协议规定的投资比例和禁止投资品种输入监控系统，每日登录监控系统监督基金管理人的投资运作，并通过基金资金账户、基金管理人的投资指令等监督基金管理人的其他行为。</w:t>
      </w:r>
    </w:p>
    <w:p w:rsidR="008333A9" w:rsidRDefault="0002249C">
      <w:pPr>
        <w:spacing w:line="360" w:lineRule="auto"/>
        <w:ind w:firstLine="420"/>
        <w:rPr>
          <w:sz w:val="24"/>
          <w:szCs w:val="24"/>
        </w:rPr>
      </w:pPr>
      <w:r>
        <w:rPr>
          <w:rFonts w:hint="eastAsia"/>
          <w:sz w:val="24"/>
          <w:szCs w:val="24"/>
        </w:rPr>
        <w:t>当基金出现异常交易行为时，基金托管人应当针对不同情况进行以下方式的处理：</w:t>
      </w:r>
    </w:p>
    <w:p w:rsidR="008333A9" w:rsidRDefault="0002249C">
      <w:pPr>
        <w:spacing w:line="360" w:lineRule="auto"/>
        <w:ind w:firstLine="420"/>
        <w:rPr>
          <w:sz w:val="24"/>
          <w:szCs w:val="24"/>
        </w:rPr>
      </w:pPr>
      <w:r>
        <w:rPr>
          <w:rFonts w:hint="eastAsia"/>
          <w:sz w:val="24"/>
          <w:szCs w:val="24"/>
        </w:rPr>
        <w:t>1</w:t>
      </w:r>
      <w:r>
        <w:rPr>
          <w:rFonts w:hint="eastAsia"/>
          <w:sz w:val="24"/>
          <w:szCs w:val="24"/>
        </w:rPr>
        <w:t>、电话提示。对媒体和舆论反映集中的问题，电话提示基金管理人；</w:t>
      </w:r>
    </w:p>
    <w:p w:rsidR="008333A9" w:rsidRDefault="0002249C">
      <w:pPr>
        <w:spacing w:line="360" w:lineRule="auto"/>
        <w:ind w:firstLine="420"/>
        <w:rPr>
          <w:sz w:val="24"/>
          <w:szCs w:val="24"/>
        </w:rPr>
      </w:pPr>
      <w:r>
        <w:rPr>
          <w:rFonts w:hint="eastAsia"/>
          <w:sz w:val="24"/>
          <w:szCs w:val="24"/>
        </w:rPr>
        <w:t>2</w:t>
      </w:r>
      <w:r>
        <w:rPr>
          <w:rFonts w:hint="eastAsia"/>
          <w:sz w:val="24"/>
          <w:szCs w:val="24"/>
        </w:rPr>
        <w:t>、书面警示。对本基金投资比例接近超标、资金头寸不足等问题，以书面方式对基金管理人进行提示；</w:t>
      </w:r>
    </w:p>
    <w:p w:rsidR="008333A9" w:rsidRDefault="0002249C">
      <w:pPr>
        <w:pStyle w:val="div"/>
        <w:spacing w:line="360" w:lineRule="auto"/>
        <w:ind w:firstLine="420"/>
        <w:rPr>
          <w:rFonts w:ascii="宋体" w:hAnsi="宋体" w:cs="宋体"/>
          <w:kern w:val="0"/>
          <w:sz w:val="24"/>
          <w:szCs w:val="24"/>
        </w:rPr>
      </w:pPr>
      <w:r>
        <w:rPr>
          <w:rFonts w:hint="eastAsia"/>
          <w:sz w:val="24"/>
          <w:szCs w:val="24"/>
        </w:rPr>
        <w:t>3</w:t>
      </w:r>
      <w:r>
        <w:rPr>
          <w:rFonts w:hint="eastAsia"/>
          <w:sz w:val="24"/>
          <w:szCs w:val="24"/>
        </w:rPr>
        <w:t>、书面报告。对投资比例超标、清算资金透支以及其他涉嫌违规交易等行为，书面提示有关基金管理人并报中国证监会。</w:t>
      </w:r>
    </w:p>
    <w:p w:rsidR="008333A9" w:rsidRDefault="0002249C">
      <w:pPr>
        <w:pStyle w:val="div"/>
        <w:spacing w:line="360" w:lineRule="auto"/>
        <w:ind w:firstLine="420"/>
        <w:rPr>
          <w:rFonts w:ascii="宋体"/>
          <w:color w:val="000000"/>
          <w:kern w:val="0"/>
          <w:sz w:val="24"/>
          <w:szCs w:val="24"/>
        </w:rPr>
      </w:pPr>
      <w:r>
        <w:rPr>
          <w:rFonts w:ascii="宋体" w:hAnsi="宋体" w:cs="宋体"/>
          <w:kern w:val="0"/>
          <w:sz w:val="24"/>
          <w:szCs w:val="24"/>
        </w:rPr>
        <w:br w:type="page"/>
      </w:r>
    </w:p>
    <w:p w:rsidR="008333A9" w:rsidRDefault="0002249C">
      <w:pPr>
        <w:pStyle w:val="1"/>
        <w:spacing w:before="0" w:after="0"/>
        <w:jc w:val="center"/>
        <w:rPr>
          <w:rFonts w:ascii="Times New Roman"/>
          <w:color w:val="auto"/>
          <w:sz w:val="30"/>
        </w:rPr>
      </w:pPr>
      <w:bookmarkStart w:id="34" w:name="_Toc256000004"/>
      <w:r>
        <w:rPr>
          <w:rFonts w:ascii="Times New Roman"/>
          <w:color w:val="auto"/>
          <w:sz w:val="30"/>
        </w:rPr>
        <w:lastRenderedPageBreak/>
        <w:t>第五部分</w:t>
      </w:r>
      <w:r>
        <w:rPr>
          <w:rFonts w:ascii="Times New Roman"/>
          <w:color w:val="auto"/>
          <w:sz w:val="30"/>
        </w:rPr>
        <w:t xml:space="preserve">  </w:t>
      </w:r>
      <w:r>
        <w:rPr>
          <w:rFonts w:ascii="Times New Roman"/>
          <w:color w:val="auto"/>
          <w:sz w:val="30"/>
        </w:rPr>
        <w:t>相关服务机构</w:t>
      </w:r>
      <w:bookmarkEnd w:id="34"/>
    </w:p>
    <w:p w:rsidR="008333A9" w:rsidRDefault="008333A9"/>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一、基金份额销售机构</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1、直销机构</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（1）直销中心</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住所：</w:t>
      </w:r>
      <w:r>
        <w:rPr>
          <w:rFonts w:ascii="宋体" w:hAnsi="宋体" w:cs="宋体" w:hint="eastAsia"/>
          <w:kern w:val="0"/>
          <w:sz w:val="24"/>
          <w:szCs w:val="24"/>
        </w:rPr>
        <w:t>上海市黄浦区外马路728号9楼</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办公地址：上海市浦东新区樱花路868号建工大</w:t>
      </w:r>
      <w:proofErr w:type="gramStart"/>
      <w:r>
        <w:rPr>
          <w:rFonts w:ascii="宋体" w:hAnsi="宋体" w:cs="宋体"/>
          <w:kern w:val="0"/>
          <w:sz w:val="24"/>
          <w:szCs w:val="24"/>
        </w:rPr>
        <w:t>唐国际</w:t>
      </w:r>
      <w:proofErr w:type="gramEnd"/>
      <w:r>
        <w:rPr>
          <w:rFonts w:ascii="宋体" w:hAnsi="宋体" w:cs="宋体"/>
          <w:kern w:val="0"/>
          <w:sz w:val="24"/>
          <w:szCs w:val="24"/>
        </w:rPr>
        <w:t>广场A座7楼</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法定代表人：</w:t>
      </w:r>
      <w:r>
        <w:rPr>
          <w:rFonts w:ascii="宋体" w:hAnsi="宋体" w:cs="宋体" w:hint="eastAsia"/>
          <w:kern w:val="0"/>
          <w:sz w:val="24"/>
          <w:szCs w:val="24"/>
        </w:rPr>
        <w:t>鲁伟铭</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电话：（021）28932893</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传真：（021）50199035或（021）50199036</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联系人：陈卓</w:t>
      </w:r>
      <w:proofErr w:type="gramStart"/>
      <w:r>
        <w:rPr>
          <w:rFonts w:ascii="宋体" w:hAnsi="宋体" w:cs="宋体"/>
          <w:kern w:val="0"/>
          <w:sz w:val="24"/>
          <w:szCs w:val="24"/>
        </w:rPr>
        <w:t>膺</w:t>
      </w:r>
      <w:proofErr w:type="gramEnd"/>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客户服务电话：400-888-9918（免长途话费）</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网址：www.99fund.com</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邮箱：guitai@htffund.com</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（2）</w:t>
      </w:r>
      <w:proofErr w:type="gramStart"/>
      <w:r>
        <w:rPr>
          <w:rFonts w:ascii="宋体" w:hAnsi="宋体" w:cs="宋体"/>
          <w:kern w:val="0"/>
          <w:sz w:val="24"/>
          <w:szCs w:val="24"/>
        </w:rPr>
        <w:t>汇添富基金</w:t>
      </w:r>
      <w:proofErr w:type="gramEnd"/>
      <w:r>
        <w:rPr>
          <w:rFonts w:ascii="宋体" w:hAnsi="宋体" w:cs="宋体"/>
          <w:kern w:val="0"/>
          <w:sz w:val="24"/>
          <w:szCs w:val="24"/>
        </w:rPr>
        <w:t>管理股份有限公司线上直销系统</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2、其他销售机构</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本基金的其他销售机构请详见基金管理</w:t>
      </w:r>
      <w:proofErr w:type="gramStart"/>
      <w:r>
        <w:rPr>
          <w:rFonts w:ascii="宋体" w:hAnsi="宋体" w:cs="宋体"/>
          <w:kern w:val="0"/>
          <w:sz w:val="24"/>
          <w:szCs w:val="24"/>
        </w:rPr>
        <w:t>人官网公示</w:t>
      </w:r>
      <w:proofErr w:type="gramEnd"/>
      <w:r>
        <w:rPr>
          <w:rFonts w:ascii="宋体" w:hAnsi="宋体" w:cs="宋体"/>
          <w:kern w:val="0"/>
          <w:sz w:val="24"/>
          <w:szCs w:val="24"/>
        </w:rPr>
        <w:t>的销售机构信息表。基金管理人可根据有关法律法规的要求，选择其他符合要求的机构销售基金，并在基金管理人网站公示。</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二、登记机构</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名称：</w:t>
      </w:r>
      <w:proofErr w:type="gramStart"/>
      <w:r>
        <w:rPr>
          <w:rStyle w:val="custom"/>
          <w:rFonts w:ascii="宋体" w:hAnsi="宋体" w:cs="宋体"/>
          <w:kern w:val="0"/>
          <w:sz w:val="24"/>
          <w:szCs w:val="24"/>
        </w:rPr>
        <w:t>汇添富基金</w:t>
      </w:r>
      <w:proofErr w:type="gramEnd"/>
      <w:r>
        <w:rPr>
          <w:rStyle w:val="custom"/>
          <w:rFonts w:ascii="宋体" w:hAnsi="宋体" w:cs="宋体"/>
          <w:kern w:val="0"/>
          <w:sz w:val="24"/>
          <w:szCs w:val="24"/>
        </w:rPr>
        <w:t>管理股份有限公司</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住所：</w:t>
      </w:r>
      <w:r>
        <w:rPr>
          <w:rStyle w:val="custom"/>
          <w:rFonts w:ascii="宋体" w:hAnsi="宋体" w:cs="宋体" w:hint="eastAsia"/>
          <w:kern w:val="0"/>
          <w:sz w:val="24"/>
          <w:szCs w:val="24"/>
        </w:rPr>
        <w:t>上海市黄浦区外马路728号9楼</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办公地址：上海市浦东新区樱花路868号建工大</w:t>
      </w:r>
      <w:proofErr w:type="gramStart"/>
      <w:r>
        <w:rPr>
          <w:rStyle w:val="custom"/>
          <w:rFonts w:ascii="宋体" w:hAnsi="宋体" w:cs="宋体"/>
          <w:kern w:val="0"/>
          <w:sz w:val="24"/>
          <w:szCs w:val="24"/>
        </w:rPr>
        <w:t>唐国际</w:t>
      </w:r>
      <w:proofErr w:type="gramEnd"/>
      <w:r>
        <w:rPr>
          <w:rStyle w:val="custom"/>
          <w:rFonts w:ascii="宋体" w:hAnsi="宋体" w:cs="宋体"/>
          <w:kern w:val="0"/>
          <w:sz w:val="24"/>
          <w:szCs w:val="24"/>
        </w:rPr>
        <w:t>广场A座7楼</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法定代表人：</w:t>
      </w:r>
      <w:r>
        <w:rPr>
          <w:rFonts w:ascii="宋体" w:hAnsi="宋体" w:cs="宋体" w:hint="eastAsia"/>
          <w:kern w:val="0"/>
          <w:sz w:val="24"/>
          <w:szCs w:val="24"/>
        </w:rPr>
        <w:t>鲁伟铭</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电话：（021）28932888</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传真：（021）28932876</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联系人：马树超</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三、出具法律意见书的律师事务所</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名称：上海市通力律师事务所</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lastRenderedPageBreak/>
        <w:t>住所：上海市银城中路68号时代金融中心19楼</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办公地址：上海市银城中路68号时代金融中心19楼</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负责人：韩炯</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电话：（021）31358666</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传真：（021）31358600</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经办律师：黎明、陈颖华</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联系人：陈颖华</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四、审计基金财产的会计师事务所</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名称：安永华明会计师事务所（特殊普通合伙）</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住所：北京市东城区东长安街1号东方广场安永大楼17层</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办公地址：北京市东城区东长安街1号东方广场安永大楼17层</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执行事务合伙人：</w:t>
      </w:r>
      <w:proofErr w:type="gramStart"/>
      <w:r>
        <w:rPr>
          <w:rFonts w:ascii="宋体" w:hAnsi="宋体" w:cs="宋体"/>
          <w:kern w:val="0"/>
          <w:sz w:val="24"/>
          <w:szCs w:val="24"/>
        </w:rPr>
        <w:t>毛鞍宁</w:t>
      </w:r>
      <w:proofErr w:type="gramEnd"/>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电话：010-58153000</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传真：010-85188298</w:t>
      </w:r>
    </w:p>
    <w:p w:rsidR="008333A9" w:rsidRDefault="0002249C">
      <w:pPr>
        <w:pStyle w:val="div"/>
        <w:spacing w:line="360" w:lineRule="auto"/>
        <w:ind w:firstLine="420"/>
        <w:rPr>
          <w:rFonts w:ascii="宋体" w:hAnsi="宋体" w:cs="宋体"/>
          <w:kern w:val="0"/>
          <w:sz w:val="24"/>
          <w:szCs w:val="24"/>
        </w:rPr>
      </w:pPr>
      <w:r>
        <w:rPr>
          <w:rFonts w:ascii="宋体" w:hAnsi="宋体" w:cs="宋体" w:hint="eastAsia"/>
          <w:kern w:val="0"/>
          <w:sz w:val="24"/>
          <w:szCs w:val="24"/>
        </w:rPr>
        <w:t>业务联系人：陈露</w:t>
      </w:r>
    </w:p>
    <w:p w:rsidR="008333A9" w:rsidRDefault="0002249C">
      <w:pPr>
        <w:pStyle w:val="div"/>
        <w:spacing w:line="360" w:lineRule="auto"/>
        <w:ind w:firstLine="420"/>
        <w:rPr>
          <w:rFonts w:eastAsia="Times New Roman"/>
          <w:kern w:val="0"/>
          <w:sz w:val="24"/>
          <w:szCs w:val="24"/>
        </w:rPr>
      </w:pPr>
      <w:r>
        <w:rPr>
          <w:rFonts w:ascii="宋体" w:hAnsi="宋体" w:cs="宋体" w:hint="eastAsia"/>
          <w:kern w:val="0"/>
          <w:sz w:val="24"/>
          <w:szCs w:val="24"/>
        </w:rPr>
        <w:t>经办会计师：陈露、戴唯</w:t>
      </w:r>
      <w:r>
        <w:rPr>
          <w:rFonts w:ascii="宋体" w:hAnsi="宋体" w:cs="宋体"/>
          <w:kern w:val="0"/>
          <w:sz w:val="24"/>
          <w:szCs w:val="24"/>
        </w:rPr>
        <w:br w:type="page"/>
      </w:r>
    </w:p>
    <w:p w:rsidR="008333A9" w:rsidRDefault="0002249C">
      <w:pPr>
        <w:pStyle w:val="1"/>
        <w:spacing w:before="0" w:after="0"/>
        <w:jc w:val="center"/>
        <w:rPr>
          <w:rFonts w:ascii="Times New Roman"/>
          <w:color w:val="auto"/>
          <w:sz w:val="30"/>
        </w:rPr>
      </w:pPr>
      <w:bookmarkStart w:id="35" w:name="_Toc256000005"/>
      <w:r>
        <w:rPr>
          <w:rFonts w:ascii="Times New Roman"/>
          <w:color w:val="auto"/>
          <w:sz w:val="30"/>
        </w:rPr>
        <w:lastRenderedPageBreak/>
        <w:t>第六部分</w:t>
      </w:r>
      <w:r>
        <w:rPr>
          <w:rFonts w:ascii="Times New Roman"/>
          <w:color w:val="auto"/>
          <w:sz w:val="30"/>
        </w:rPr>
        <w:t xml:space="preserve">  </w:t>
      </w:r>
      <w:r>
        <w:rPr>
          <w:rFonts w:ascii="Times New Roman"/>
          <w:color w:val="auto"/>
          <w:sz w:val="30"/>
        </w:rPr>
        <w:t>基金的募集</w:t>
      </w:r>
      <w:bookmarkEnd w:id="35"/>
    </w:p>
    <w:p w:rsidR="008333A9" w:rsidRDefault="008333A9"/>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本基金由基金管理人依照《基金法》、《运作办法》、《销售办法》、《信息披露办法》等有关法律法规以及基金合同的规定，经中国证监会证监许可【20</w:t>
      </w:r>
      <w:r>
        <w:rPr>
          <w:rFonts w:ascii="宋体" w:hAnsi="宋体" w:cs="宋体" w:hint="eastAsia"/>
          <w:kern w:val="0"/>
          <w:sz w:val="24"/>
          <w:szCs w:val="24"/>
        </w:rPr>
        <w:t>25</w:t>
      </w:r>
      <w:r>
        <w:rPr>
          <w:rFonts w:ascii="宋体" w:hAnsi="宋体" w:cs="宋体"/>
          <w:kern w:val="0"/>
          <w:sz w:val="24"/>
          <w:szCs w:val="24"/>
        </w:rPr>
        <w:t>】</w:t>
      </w:r>
      <w:r>
        <w:rPr>
          <w:rFonts w:ascii="宋体" w:hAnsi="宋体" w:cs="宋体" w:hint="eastAsia"/>
          <w:kern w:val="0"/>
          <w:sz w:val="24"/>
          <w:szCs w:val="24"/>
        </w:rPr>
        <w:t>1834</w:t>
      </w:r>
      <w:r>
        <w:rPr>
          <w:rFonts w:ascii="宋体" w:hAnsi="宋体" w:cs="宋体"/>
          <w:kern w:val="0"/>
          <w:sz w:val="24"/>
          <w:szCs w:val="24"/>
        </w:rPr>
        <w:t>号文件准予注册募集。</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一、基金的类型、运作方式及存续期限</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1、基金类型：</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混合型证券投资基金</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2、基金运作方式：</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契约型开放式</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3、存续期限：不定期</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二、基金份额的募集期限、募集对象、募集方式、募集场所</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1、募集期限</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自基金份额发售之日起最长不得超过3个月，具体发售时间</w:t>
      </w:r>
      <w:proofErr w:type="gramStart"/>
      <w:r>
        <w:rPr>
          <w:rFonts w:ascii="宋体" w:hAnsi="宋体" w:cs="宋体"/>
          <w:kern w:val="0"/>
          <w:sz w:val="24"/>
          <w:szCs w:val="24"/>
        </w:rPr>
        <w:t>见基金</w:t>
      </w:r>
      <w:proofErr w:type="gramEnd"/>
      <w:r>
        <w:rPr>
          <w:rFonts w:ascii="宋体" w:hAnsi="宋体" w:cs="宋体"/>
          <w:kern w:val="0"/>
          <w:sz w:val="24"/>
          <w:szCs w:val="24"/>
        </w:rPr>
        <w:t>份额发售公告。</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2、募集对象</w:t>
      </w:r>
    </w:p>
    <w:p w:rsidR="008333A9" w:rsidRDefault="0002249C">
      <w:pPr>
        <w:pStyle w:val="div"/>
        <w:widowControl/>
        <w:spacing w:line="360" w:lineRule="auto"/>
        <w:ind w:firstLine="480"/>
        <w:jc w:val="left"/>
        <w:rPr>
          <w:rFonts w:eastAsia="Times New Roman"/>
          <w:kern w:val="0"/>
          <w:sz w:val="24"/>
          <w:szCs w:val="24"/>
        </w:rPr>
      </w:pPr>
      <w:r>
        <w:rPr>
          <w:rFonts w:ascii="宋体" w:hAnsi="宋体" w:cs="宋体"/>
          <w:kern w:val="0"/>
          <w:sz w:val="24"/>
          <w:szCs w:val="24"/>
        </w:rPr>
        <w:t>符合法律法规规定的可投资于证券投资基金的个人投资者、机构投资者、合格境外投资者、发起资金提供方以及法律法规或中国证监会允许购买证券投资基金的其他投资人。</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销售机构对认购申请的受理并不代表该申请一定成功，而仅代表销售机构确实接收到认购申请。认购申请的确认以登记机构的确认结果为准。对于认购申请及认购份额的确认情况，投资人应及时查询并妥善行使合法权利，否则，由此产生的任何损失由投资者自行承担。</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3、募集方式</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通过各销售机构的基金销售网</w:t>
      </w:r>
      <w:proofErr w:type="gramStart"/>
      <w:r>
        <w:rPr>
          <w:rFonts w:ascii="宋体" w:hAnsi="宋体" w:cs="宋体"/>
          <w:kern w:val="0"/>
          <w:sz w:val="24"/>
          <w:szCs w:val="24"/>
        </w:rPr>
        <w:t>点公开</w:t>
      </w:r>
      <w:proofErr w:type="gramEnd"/>
      <w:r>
        <w:rPr>
          <w:rFonts w:ascii="宋体" w:hAnsi="宋体" w:cs="宋体"/>
          <w:kern w:val="0"/>
          <w:sz w:val="24"/>
          <w:szCs w:val="24"/>
        </w:rPr>
        <w:t>发售，各销售机构的具体名单</w:t>
      </w:r>
      <w:proofErr w:type="gramStart"/>
      <w:r>
        <w:rPr>
          <w:rFonts w:ascii="宋体" w:hAnsi="宋体" w:cs="宋体"/>
          <w:kern w:val="0"/>
          <w:sz w:val="24"/>
          <w:szCs w:val="24"/>
        </w:rPr>
        <w:t>见基金</w:t>
      </w:r>
      <w:proofErr w:type="gramEnd"/>
      <w:r>
        <w:rPr>
          <w:rFonts w:ascii="宋体" w:hAnsi="宋体" w:cs="宋体"/>
          <w:kern w:val="0"/>
          <w:sz w:val="24"/>
          <w:szCs w:val="24"/>
        </w:rPr>
        <w:t>管理人网站届时公示的基金销售机构名录。</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4、募集场所</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本基金将通过基金管理人的直销机构及其他基金销售机构的销售网</w:t>
      </w:r>
      <w:proofErr w:type="gramStart"/>
      <w:r>
        <w:rPr>
          <w:rFonts w:ascii="宋体" w:hAnsi="宋体" w:cs="宋体"/>
          <w:kern w:val="0"/>
          <w:sz w:val="24"/>
          <w:szCs w:val="24"/>
        </w:rPr>
        <w:t>点公开</w:t>
      </w:r>
      <w:proofErr w:type="gramEnd"/>
      <w:r>
        <w:rPr>
          <w:rFonts w:ascii="宋体" w:hAnsi="宋体" w:cs="宋体"/>
          <w:kern w:val="0"/>
          <w:sz w:val="24"/>
          <w:szCs w:val="24"/>
        </w:rPr>
        <w:t>发售。</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lastRenderedPageBreak/>
        <w:t>投资者还可以登录基金管理人网站（www.99fund.com）办理开户、认购等业务，网上交易开通流程、业务规则请登录基金管理人网站查询。</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募集期间，基金管理人可根据情况变更或增减基金销售机构，并在基金管理人网站公示。具体销售城市（或网点）名单和联系方式，请参见基金管理人网站届时公示的基金销售机构名录以及当地基金销售机构以各种形式发布的公告。</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三、基金份额类别设置</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本基金根据认购/申购费用、销售服务费收取方式等事项的不同，将基金份额分为不同的类别。</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A类基金份额在投资者认购、申购时收取认购、申购费用，在赎回时根据持有期限收取赎回费用，但不从本类别基金财产中计</w:t>
      </w:r>
      <w:proofErr w:type="gramStart"/>
      <w:r>
        <w:rPr>
          <w:rFonts w:ascii="宋体" w:hAnsi="宋体" w:cs="宋体"/>
          <w:kern w:val="0"/>
          <w:sz w:val="24"/>
          <w:szCs w:val="24"/>
        </w:rPr>
        <w:t>提销售</w:t>
      </w:r>
      <w:proofErr w:type="gramEnd"/>
      <w:r>
        <w:rPr>
          <w:rFonts w:ascii="宋体" w:hAnsi="宋体" w:cs="宋体"/>
          <w:kern w:val="0"/>
          <w:sz w:val="24"/>
          <w:szCs w:val="24"/>
        </w:rPr>
        <w:t>服务费；C类基金份额从本类别基金财产中计</w:t>
      </w:r>
      <w:proofErr w:type="gramStart"/>
      <w:r>
        <w:rPr>
          <w:rFonts w:ascii="宋体" w:hAnsi="宋体" w:cs="宋体"/>
          <w:kern w:val="0"/>
          <w:sz w:val="24"/>
          <w:szCs w:val="24"/>
        </w:rPr>
        <w:t>提销售</w:t>
      </w:r>
      <w:proofErr w:type="gramEnd"/>
      <w:r>
        <w:rPr>
          <w:rFonts w:ascii="宋体" w:hAnsi="宋体" w:cs="宋体"/>
          <w:kern w:val="0"/>
          <w:sz w:val="24"/>
          <w:szCs w:val="24"/>
        </w:rPr>
        <w:t>服务费而不收取认购、申购费用，在赎回时根据持有期限收取赎回费用。</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本基金A类、C类基金份额分别设置代码。由于基金费用的不同，本基金A类、C类基金份额将分别计算基金份额净值，计算公式为计算日各类别基金资产净值除以计算日发售在外的该类别基金份额总数。</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投资者可自行选择认购、申购的基金份额类别。在不违反法律法规、基金合同的约定以及对基金份额持有人利益无实质性不利影响的情况下，经与基金托管人协商一致，在履行适当程序后基金管理人可增加、减少或调整基金份额类别设置、对基金份额分类办法及规则进行调整并在调整实施之日前依照《信息披露办法》的有关规定在规定媒介上公告，不需要召开基金份额持有人大会。</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四、基金份额的认购</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除法律法规或中国证监会有关规定另有规定外，任何与基金份额发售有关的当事人不得预留和提前发售基金份额。</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1、基金份额的发售面值</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本</w:t>
      </w:r>
      <w:proofErr w:type="gramStart"/>
      <w:r>
        <w:rPr>
          <w:rFonts w:ascii="宋体" w:hAnsi="宋体" w:cs="宋体"/>
          <w:kern w:val="0"/>
          <w:sz w:val="24"/>
          <w:szCs w:val="24"/>
        </w:rPr>
        <w:t>基金基金</w:t>
      </w:r>
      <w:proofErr w:type="gramEnd"/>
      <w:r>
        <w:rPr>
          <w:rFonts w:ascii="宋体" w:hAnsi="宋体" w:cs="宋体"/>
          <w:kern w:val="0"/>
          <w:sz w:val="24"/>
          <w:szCs w:val="24"/>
        </w:rPr>
        <w:t>份额发售面值为人民币1.00元。</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2、认购费用</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本基金对通过本公司直销中心认购本基金A类基金份额的特定投资群体与除此之外的其他投资者实施差别化的认购费率。</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特定投资群体</w:t>
      </w:r>
      <w:proofErr w:type="gramStart"/>
      <w:r>
        <w:rPr>
          <w:rFonts w:ascii="宋体" w:hAnsi="宋体" w:cs="宋体"/>
          <w:kern w:val="0"/>
          <w:sz w:val="24"/>
          <w:szCs w:val="24"/>
        </w:rPr>
        <w:t>指全国</w:t>
      </w:r>
      <w:proofErr w:type="gramEnd"/>
      <w:r>
        <w:rPr>
          <w:rFonts w:ascii="宋体" w:hAnsi="宋体" w:cs="宋体"/>
          <w:kern w:val="0"/>
          <w:sz w:val="24"/>
          <w:szCs w:val="24"/>
        </w:rPr>
        <w:t>社会保障基金、基本养老保险基金、可以投资基金的地</w:t>
      </w:r>
      <w:r>
        <w:rPr>
          <w:rFonts w:ascii="宋体" w:hAnsi="宋体" w:cs="宋体"/>
          <w:kern w:val="0"/>
          <w:sz w:val="24"/>
          <w:szCs w:val="24"/>
        </w:rPr>
        <w:lastRenderedPageBreak/>
        <w:t>方社会保障基金、企业年金基金、职业年金基金，以及个人税收</w:t>
      </w:r>
      <w:proofErr w:type="gramStart"/>
      <w:r>
        <w:rPr>
          <w:rFonts w:ascii="宋体" w:hAnsi="宋体" w:cs="宋体"/>
          <w:kern w:val="0"/>
          <w:sz w:val="24"/>
          <w:szCs w:val="24"/>
        </w:rPr>
        <w:t>递延型商业</w:t>
      </w:r>
      <w:proofErr w:type="gramEnd"/>
      <w:r>
        <w:rPr>
          <w:rFonts w:ascii="宋体" w:hAnsi="宋体" w:cs="宋体"/>
          <w:kern w:val="0"/>
          <w:sz w:val="24"/>
          <w:szCs w:val="24"/>
        </w:rPr>
        <w:t>养老保险、养老目标证券投资基金等。如将来出现经养老基金监管部门认可的新的养老基金类型，基金管理人可将其纳入特定投资群体范围。</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特定投资群体可通过本公司直销中心认购本基金A类基金份额。基金管理人可根据情况变更或增减特定投资群体认购本基金A类基金份额的销售机构。</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1）特定投资群体认购A类基金份额的认购费用</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通过本公司直销中心认购本基金A类基金份额的特定投资群体认购费用为每笔500元。未通过本公司直销中心认购本基金</w:t>
      </w:r>
      <w:r>
        <w:rPr>
          <w:rFonts w:eastAsia="Times New Roman"/>
          <w:kern w:val="0"/>
          <w:sz w:val="24"/>
          <w:szCs w:val="24"/>
        </w:rPr>
        <w:t>A</w:t>
      </w:r>
      <w:r>
        <w:rPr>
          <w:rFonts w:ascii="宋体" w:hAnsi="宋体" w:cs="宋体"/>
          <w:kern w:val="0"/>
          <w:sz w:val="24"/>
          <w:szCs w:val="24"/>
        </w:rPr>
        <w:t>类基金份额的特定投资群体，认购费率参照其他投资者适用的A类基金份额认购费率执行。</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2）其他投资者认购A类基金份额的认购费率</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其他投资者认购本基金A类基金份额的认购费率随认购金额增加而递减。在募集期内如果有多笔认购，适用费率按单笔认购申请单独计算。其他投资者认购A类基金份额的具体认购费率如下表所示：</w:t>
      </w:r>
    </w:p>
    <w:tbl>
      <w:tblPr>
        <w:tblStyle w:val="tableTable"/>
        <w:tblW w:w="7940" w:type="dxa"/>
        <w:jc w:val="center"/>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5002"/>
        <w:gridCol w:w="2938"/>
      </w:tblGrid>
      <w:tr w:rsidR="008333A9">
        <w:trPr>
          <w:trHeight w:val="460"/>
          <w:jc w:val="center"/>
        </w:trPr>
        <w:tc>
          <w:tcPr>
            <w:tcW w:w="0" w:type="auto"/>
            <w:tcBorders>
              <w:bottom w:val="single" w:sz="6" w:space="0" w:color="000000"/>
              <w:right w:val="single" w:sz="6" w:space="0" w:color="000000"/>
            </w:tcBorders>
            <w:tcMar>
              <w:top w:w="0" w:type="dxa"/>
              <w:left w:w="110" w:type="dxa"/>
              <w:bottom w:w="0" w:type="dxa"/>
              <w:right w:w="108" w:type="dxa"/>
            </w:tcMar>
            <w:vAlign w:val="center"/>
          </w:tcPr>
          <w:p w:rsidR="008333A9" w:rsidRDefault="0002249C">
            <w:pPr>
              <w:pStyle w:val="div"/>
              <w:jc w:val="center"/>
              <w:rPr>
                <w:rFonts w:ascii="宋体" w:hAnsi="宋体" w:cs="宋体"/>
                <w:color w:val="000000"/>
                <w:kern w:val="0"/>
                <w:sz w:val="24"/>
                <w:szCs w:val="24"/>
              </w:rPr>
            </w:pPr>
            <w:r>
              <w:rPr>
                <w:rFonts w:ascii="宋体" w:hAnsi="宋体" w:cs="宋体"/>
                <w:color w:val="000000"/>
                <w:kern w:val="0"/>
                <w:sz w:val="24"/>
                <w:szCs w:val="24"/>
              </w:rPr>
              <w:t>认购金额（M）</w:t>
            </w:r>
          </w:p>
        </w:tc>
        <w:tc>
          <w:tcPr>
            <w:tcW w:w="0" w:type="auto"/>
            <w:tcBorders>
              <w:left w:val="single" w:sz="6" w:space="0" w:color="000000"/>
              <w:bottom w:val="single" w:sz="6" w:space="0" w:color="000000"/>
            </w:tcBorders>
            <w:tcMar>
              <w:top w:w="0" w:type="dxa"/>
              <w:left w:w="108" w:type="dxa"/>
              <w:bottom w:w="0" w:type="dxa"/>
              <w:right w:w="110" w:type="dxa"/>
            </w:tcMar>
            <w:vAlign w:val="center"/>
          </w:tcPr>
          <w:p w:rsidR="008333A9" w:rsidRDefault="0002249C">
            <w:pPr>
              <w:pStyle w:val="div"/>
              <w:jc w:val="center"/>
              <w:rPr>
                <w:rFonts w:ascii="宋体" w:hAnsi="宋体" w:cs="宋体"/>
                <w:color w:val="000000"/>
                <w:kern w:val="0"/>
                <w:sz w:val="24"/>
                <w:szCs w:val="24"/>
              </w:rPr>
            </w:pPr>
            <w:r>
              <w:rPr>
                <w:rFonts w:ascii="宋体" w:hAnsi="宋体" w:cs="宋体"/>
                <w:color w:val="000000"/>
                <w:kern w:val="0"/>
                <w:sz w:val="24"/>
                <w:szCs w:val="24"/>
              </w:rPr>
              <w:t>认购费率</w:t>
            </w:r>
          </w:p>
        </w:tc>
      </w:tr>
      <w:tr w:rsidR="008333A9">
        <w:trPr>
          <w:trHeight w:val="460"/>
          <w:jc w:val="center"/>
        </w:trPr>
        <w:tc>
          <w:tcPr>
            <w:tcW w:w="0" w:type="auto"/>
            <w:tcBorders>
              <w:top w:val="single" w:sz="6" w:space="0" w:color="000000"/>
              <w:bottom w:val="single" w:sz="6" w:space="0" w:color="000000"/>
              <w:right w:val="single" w:sz="6" w:space="0" w:color="000000"/>
            </w:tcBorders>
            <w:tcMar>
              <w:top w:w="0" w:type="dxa"/>
              <w:left w:w="110" w:type="dxa"/>
              <w:bottom w:w="0" w:type="dxa"/>
              <w:right w:w="108" w:type="dxa"/>
            </w:tcMar>
            <w:vAlign w:val="center"/>
          </w:tcPr>
          <w:p w:rsidR="008333A9" w:rsidRDefault="0002249C">
            <w:pPr>
              <w:pStyle w:val="div"/>
              <w:jc w:val="center"/>
              <w:rPr>
                <w:rFonts w:ascii="宋体" w:hAnsi="宋体" w:cs="宋体"/>
                <w:color w:val="000000"/>
                <w:kern w:val="0"/>
                <w:sz w:val="24"/>
                <w:szCs w:val="24"/>
              </w:rPr>
            </w:pPr>
            <w:r>
              <w:rPr>
                <w:rFonts w:ascii="宋体" w:hAnsi="宋体" w:cs="宋体"/>
                <w:color w:val="000000"/>
                <w:kern w:val="0"/>
                <w:sz w:val="24"/>
                <w:szCs w:val="24"/>
              </w:rPr>
              <w:t>M＜100万元</w:t>
            </w:r>
          </w:p>
        </w:tc>
        <w:tc>
          <w:tcPr>
            <w:tcW w:w="0" w:type="auto"/>
            <w:tcBorders>
              <w:top w:val="single" w:sz="6" w:space="0" w:color="000000"/>
              <w:left w:val="single" w:sz="6" w:space="0" w:color="000000"/>
              <w:bottom w:val="single" w:sz="6" w:space="0" w:color="000000"/>
            </w:tcBorders>
            <w:tcMar>
              <w:top w:w="0" w:type="dxa"/>
              <w:left w:w="108" w:type="dxa"/>
              <w:bottom w:w="0" w:type="dxa"/>
              <w:right w:w="110" w:type="dxa"/>
            </w:tcMar>
            <w:vAlign w:val="center"/>
          </w:tcPr>
          <w:p w:rsidR="008333A9" w:rsidRDefault="0002249C">
            <w:pPr>
              <w:pStyle w:val="div"/>
              <w:jc w:val="center"/>
              <w:rPr>
                <w:rFonts w:ascii="宋体" w:hAnsi="宋体" w:cs="宋体"/>
                <w:color w:val="000000"/>
                <w:kern w:val="0"/>
                <w:sz w:val="24"/>
                <w:szCs w:val="24"/>
              </w:rPr>
            </w:pPr>
            <w:r>
              <w:rPr>
                <w:rFonts w:ascii="宋体" w:hAnsi="宋体" w:cs="宋体"/>
                <w:color w:val="000000"/>
                <w:kern w:val="0"/>
                <w:sz w:val="24"/>
                <w:szCs w:val="24"/>
              </w:rPr>
              <w:t>1.20%</w:t>
            </w:r>
          </w:p>
        </w:tc>
      </w:tr>
      <w:tr w:rsidR="008333A9">
        <w:trPr>
          <w:trHeight w:val="460"/>
          <w:jc w:val="center"/>
        </w:trPr>
        <w:tc>
          <w:tcPr>
            <w:tcW w:w="0" w:type="auto"/>
            <w:tcBorders>
              <w:top w:val="single" w:sz="6" w:space="0" w:color="000000"/>
              <w:bottom w:val="single" w:sz="6" w:space="0" w:color="000000"/>
              <w:right w:val="single" w:sz="6" w:space="0" w:color="000000"/>
            </w:tcBorders>
            <w:tcMar>
              <w:top w:w="0" w:type="dxa"/>
              <w:left w:w="110" w:type="dxa"/>
              <w:bottom w:w="0" w:type="dxa"/>
              <w:right w:w="108" w:type="dxa"/>
            </w:tcMar>
            <w:vAlign w:val="center"/>
          </w:tcPr>
          <w:p w:rsidR="008333A9" w:rsidRDefault="0002249C">
            <w:pPr>
              <w:pStyle w:val="div"/>
              <w:jc w:val="center"/>
              <w:rPr>
                <w:rFonts w:ascii="宋体" w:hAnsi="宋体" w:cs="宋体"/>
                <w:color w:val="000000"/>
                <w:kern w:val="0"/>
                <w:sz w:val="24"/>
                <w:szCs w:val="24"/>
              </w:rPr>
            </w:pPr>
            <w:r>
              <w:rPr>
                <w:rFonts w:ascii="宋体" w:hAnsi="宋体" w:cs="宋体"/>
                <w:color w:val="000000"/>
                <w:kern w:val="0"/>
                <w:sz w:val="24"/>
                <w:szCs w:val="24"/>
              </w:rPr>
              <w:t>100万元≤M＜500万元</w:t>
            </w:r>
          </w:p>
        </w:tc>
        <w:tc>
          <w:tcPr>
            <w:tcW w:w="0" w:type="auto"/>
            <w:tcBorders>
              <w:top w:val="single" w:sz="6" w:space="0" w:color="000000"/>
              <w:left w:val="single" w:sz="6" w:space="0" w:color="000000"/>
              <w:bottom w:val="single" w:sz="6" w:space="0" w:color="000000"/>
            </w:tcBorders>
            <w:tcMar>
              <w:top w:w="0" w:type="dxa"/>
              <w:left w:w="108" w:type="dxa"/>
              <w:bottom w:w="0" w:type="dxa"/>
              <w:right w:w="110" w:type="dxa"/>
            </w:tcMar>
            <w:vAlign w:val="center"/>
          </w:tcPr>
          <w:p w:rsidR="008333A9" w:rsidRDefault="0002249C">
            <w:pPr>
              <w:pStyle w:val="div"/>
              <w:jc w:val="center"/>
              <w:rPr>
                <w:rFonts w:ascii="宋体" w:hAnsi="宋体" w:cs="宋体"/>
                <w:color w:val="000000"/>
                <w:kern w:val="0"/>
                <w:sz w:val="24"/>
                <w:szCs w:val="24"/>
              </w:rPr>
            </w:pPr>
            <w:r>
              <w:rPr>
                <w:rFonts w:ascii="宋体" w:hAnsi="宋体" w:cs="宋体"/>
                <w:color w:val="000000"/>
                <w:kern w:val="0"/>
                <w:sz w:val="24"/>
                <w:szCs w:val="24"/>
              </w:rPr>
              <w:t>0.80%</w:t>
            </w:r>
          </w:p>
        </w:tc>
      </w:tr>
      <w:tr w:rsidR="008333A9">
        <w:trPr>
          <w:trHeight w:val="460"/>
          <w:jc w:val="center"/>
        </w:trPr>
        <w:tc>
          <w:tcPr>
            <w:tcW w:w="0" w:type="auto"/>
            <w:tcBorders>
              <w:top w:val="single" w:sz="6" w:space="0" w:color="000000"/>
              <w:right w:val="single" w:sz="6" w:space="0" w:color="000000"/>
            </w:tcBorders>
            <w:tcMar>
              <w:top w:w="0" w:type="dxa"/>
              <w:left w:w="110" w:type="dxa"/>
              <w:bottom w:w="0" w:type="dxa"/>
              <w:right w:w="108" w:type="dxa"/>
            </w:tcMar>
            <w:vAlign w:val="center"/>
          </w:tcPr>
          <w:p w:rsidR="008333A9" w:rsidRDefault="0002249C">
            <w:pPr>
              <w:pStyle w:val="div"/>
              <w:jc w:val="center"/>
              <w:rPr>
                <w:rFonts w:ascii="宋体" w:hAnsi="宋体" w:cs="宋体"/>
                <w:color w:val="000000"/>
                <w:kern w:val="0"/>
                <w:sz w:val="24"/>
                <w:szCs w:val="24"/>
              </w:rPr>
            </w:pPr>
            <w:r>
              <w:rPr>
                <w:rFonts w:ascii="宋体" w:hAnsi="宋体" w:cs="宋体"/>
                <w:color w:val="000000"/>
                <w:kern w:val="0"/>
                <w:sz w:val="24"/>
                <w:szCs w:val="24"/>
              </w:rPr>
              <w:t>M≥500万元</w:t>
            </w:r>
          </w:p>
        </w:tc>
        <w:tc>
          <w:tcPr>
            <w:tcW w:w="0" w:type="auto"/>
            <w:tcBorders>
              <w:top w:val="single" w:sz="6" w:space="0" w:color="000000"/>
              <w:left w:val="single" w:sz="6" w:space="0" w:color="000000"/>
            </w:tcBorders>
            <w:tcMar>
              <w:top w:w="0" w:type="dxa"/>
              <w:left w:w="108" w:type="dxa"/>
              <w:bottom w:w="0" w:type="dxa"/>
              <w:right w:w="110" w:type="dxa"/>
            </w:tcMar>
            <w:vAlign w:val="center"/>
          </w:tcPr>
          <w:p w:rsidR="008333A9" w:rsidRDefault="0002249C">
            <w:pPr>
              <w:pStyle w:val="div"/>
              <w:jc w:val="center"/>
              <w:rPr>
                <w:rFonts w:ascii="宋体" w:hAnsi="宋体" w:cs="宋体"/>
                <w:color w:val="000000"/>
                <w:kern w:val="0"/>
                <w:sz w:val="24"/>
                <w:szCs w:val="24"/>
              </w:rPr>
            </w:pPr>
            <w:r>
              <w:rPr>
                <w:rFonts w:ascii="宋体" w:hAnsi="宋体" w:cs="宋体"/>
                <w:color w:val="000000"/>
                <w:kern w:val="0"/>
                <w:sz w:val="24"/>
                <w:szCs w:val="24"/>
              </w:rPr>
              <w:t>每笔1000元</w:t>
            </w:r>
          </w:p>
        </w:tc>
      </w:tr>
    </w:tbl>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本基金C类基金份额不收取认购费用。</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A类基金份额的认购费用由认购A类基金份额的投资者承担，不列入基金财产，主要用于基金的市场推广、销售、登记等基金募集期间发生的各项费用。</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基金管理人可以在不违反法律法规规定及基金合同约定的情况下根据市场情况制定基金促销计划，定期和不定期地开展基金促销活动。在基金促销活动期间，基金管理人可以按相关监管部门要求履行必要手续后，对基金投资者适当调低基金认购费率。</w:t>
      </w:r>
    </w:p>
    <w:p w:rsidR="008333A9" w:rsidRDefault="0002249C">
      <w:pPr>
        <w:pStyle w:val="div"/>
        <w:spacing w:line="360" w:lineRule="auto"/>
        <w:ind w:firstLine="420"/>
        <w:rPr>
          <w:rFonts w:ascii="宋体" w:hAnsi="宋体" w:cs="宋体"/>
          <w:kern w:val="0"/>
          <w:sz w:val="24"/>
          <w:szCs w:val="24"/>
        </w:rPr>
      </w:pPr>
      <w:r>
        <w:rPr>
          <w:rStyle w:val="custom"/>
          <w:rFonts w:ascii="宋体" w:hAnsi="宋体" w:cs="宋体"/>
          <w:kern w:val="0"/>
          <w:sz w:val="24"/>
          <w:szCs w:val="24"/>
        </w:rPr>
        <w:t>3、</w:t>
      </w:r>
      <w:r>
        <w:rPr>
          <w:rFonts w:ascii="宋体" w:hAnsi="宋体" w:cs="宋体"/>
          <w:kern w:val="0"/>
          <w:sz w:val="24"/>
          <w:szCs w:val="24"/>
        </w:rPr>
        <w:t>认购份额的计算</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基金认购采用金额认购的方式。</w:t>
      </w:r>
    </w:p>
    <w:p w:rsidR="008333A9" w:rsidRDefault="0002249C">
      <w:pPr>
        <w:pStyle w:val="div"/>
        <w:spacing w:line="360" w:lineRule="auto"/>
        <w:ind w:firstLine="420"/>
        <w:rPr>
          <w:rFonts w:ascii="宋体" w:hAnsi="宋体" w:cs="宋体"/>
          <w:kern w:val="0"/>
          <w:sz w:val="24"/>
          <w:szCs w:val="24"/>
        </w:rPr>
      </w:pPr>
      <w:r>
        <w:rPr>
          <w:rStyle w:val="custom"/>
          <w:rFonts w:ascii="宋体" w:hAnsi="宋体" w:cs="宋体"/>
          <w:kern w:val="0"/>
          <w:sz w:val="24"/>
          <w:szCs w:val="24"/>
        </w:rPr>
        <w:t>（1）</w:t>
      </w:r>
      <w:r>
        <w:rPr>
          <w:rFonts w:ascii="宋体" w:hAnsi="宋体" w:cs="宋体"/>
          <w:kern w:val="0"/>
          <w:sz w:val="24"/>
          <w:szCs w:val="24"/>
        </w:rPr>
        <w:t>A类基金份额</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A类基金份额的认购金额包括认购费用和净认购金额。计算公式为：</w:t>
      </w:r>
    </w:p>
    <w:p w:rsidR="008333A9" w:rsidRDefault="0002249C">
      <w:pPr>
        <w:pStyle w:val="div"/>
        <w:spacing w:line="360" w:lineRule="auto"/>
        <w:ind w:firstLine="420"/>
        <w:rPr>
          <w:rFonts w:ascii="宋体" w:hAnsi="宋体" w:cs="宋体"/>
          <w:kern w:val="0"/>
          <w:sz w:val="24"/>
          <w:szCs w:val="24"/>
        </w:rPr>
      </w:pPr>
      <w:r>
        <w:rPr>
          <w:rStyle w:val="custom"/>
          <w:rFonts w:ascii="宋体" w:hAnsi="宋体" w:cs="宋体"/>
          <w:kern w:val="0"/>
          <w:sz w:val="24"/>
          <w:szCs w:val="24"/>
        </w:rPr>
        <w:t>1）</w:t>
      </w:r>
      <w:r>
        <w:rPr>
          <w:rFonts w:ascii="宋体" w:hAnsi="宋体" w:cs="宋体"/>
          <w:kern w:val="0"/>
          <w:sz w:val="24"/>
          <w:szCs w:val="24"/>
        </w:rPr>
        <w:t>认购费用适用比例费率：</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lastRenderedPageBreak/>
        <w:t>净认购金额=认购金额/（1＋认购费率）</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认购费用=认购金额-净认购金额</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认购份额=（净认购金额＋认购利息）/基金份额发售面值</w:t>
      </w:r>
    </w:p>
    <w:p w:rsidR="008333A9" w:rsidRDefault="0002249C">
      <w:pPr>
        <w:pStyle w:val="div"/>
        <w:spacing w:line="360" w:lineRule="auto"/>
        <w:ind w:firstLine="420"/>
        <w:rPr>
          <w:rFonts w:ascii="宋体" w:hAnsi="宋体" w:cs="宋体"/>
          <w:kern w:val="0"/>
          <w:sz w:val="24"/>
          <w:szCs w:val="24"/>
        </w:rPr>
      </w:pPr>
      <w:r>
        <w:rPr>
          <w:rStyle w:val="custom"/>
          <w:rFonts w:ascii="宋体" w:hAnsi="宋体" w:cs="宋体"/>
          <w:kern w:val="0"/>
          <w:sz w:val="24"/>
          <w:szCs w:val="24"/>
        </w:rPr>
        <w:t>2）</w:t>
      </w:r>
      <w:r>
        <w:rPr>
          <w:rFonts w:ascii="宋体" w:hAnsi="宋体" w:cs="宋体"/>
          <w:kern w:val="0"/>
          <w:sz w:val="24"/>
          <w:szCs w:val="24"/>
        </w:rPr>
        <w:t>认购费用适用固定金额：</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认购费用=固定金额</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净认购金额=认购金额-认购费用</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认购份额=（净认购金额＋认购利息）/基金份额发售面值</w:t>
      </w:r>
    </w:p>
    <w:p w:rsidR="008333A9" w:rsidRDefault="0002249C">
      <w:pPr>
        <w:pStyle w:val="div"/>
        <w:spacing w:line="360" w:lineRule="auto"/>
        <w:ind w:firstLine="420"/>
        <w:rPr>
          <w:rFonts w:ascii="宋体" w:hAnsi="宋体" w:cs="宋体"/>
          <w:kern w:val="0"/>
          <w:sz w:val="24"/>
          <w:szCs w:val="24"/>
        </w:rPr>
      </w:pPr>
      <w:r>
        <w:rPr>
          <w:rStyle w:val="custom"/>
          <w:rFonts w:ascii="宋体" w:hAnsi="宋体" w:cs="宋体"/>
          <w:kern w:val="0"/>
          <w:sz w:val="24"/>
          <w:szCs w:val="24"/>
        </w:rPr>
        <w:t>（2）C类</w:t>
      </w:r>
      <w:r>
        <w:rPr>
          <w:rFonts w:ascii="宋体" w:hAnsi="宋体" w:cs="宋体"/>
          <w:kern w:val="0"/>
          <w:sz w:val="24"/>
          <w:szCs w:val="24"/>
        </w:rPr>
        <w:t>基金份额</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认购份额=（认购金额＋认购利息）/基金份额发售面值</w:t>
      </w:r>
    </w:p>
    <w:p w:rsidR="008333A9" w:rsidRDefault="0002249C">
      <w:pPr>
        <w:pStyle w:val="div"/>
        <w:spacing w:line="360" w:lineRule="auto"/>
        <w:ind w:firstLine="420"/>
        <w:rPr>
          <w:rFonts w:ascii="宋体" w:hAnsi="宋体" w:cs="宋体"/>
          <w:kern w:val="0"/>
          <w:sz w:val="24"/>
          <w:szCs w:val="24"/>
        </w:rPr>
      </w:pPr>
      <w:r>
        <w:rPr>
          <w:rStyle w:val="custom"/>
          <w:rFonts w:ascii="宋体" w:hAnsi="宋体" w:cs="宋体"/>
          <w:kern w:val="0"/>
          <w:sz w:val="24"/>
          <w:szCs w:val="24"/>
        </w:rPr>
        <w:t>（3）</w:t>
      </w:r>
      <w:r>
        <w:rPr>
          <w:rFonts w:ascii="宋体" w:hAnsi="宋体" w:cs="宋体"/>
          <w:kern w:val="0"/>
          <w:sz w:val="24"/>
          <w:szCs w:val="24"/>
        </w:rPr>
        <w:t>上述认购份额（含利息折算的份额）计算结果保留到小数点后2位，小数点2位以后的部分四舍五入，由此误差产生的收益或损失由基金财产承担。</w:t>
      </w:r>
    </w:p>
    <w:p w:rsidR="008333A9" w:rsidRDefault="0002249C">
      <w:pPr>
        <w:pStyle w:val="div"/>
        <w:spacing w:line="360" w:lineRule="auto"/>
        <w:ind w:firstLine="420"/>
        <w:rPr>
          <w:rFonts w:ascii="宋体" w:hAnsi="宋体" w:cs="宋体"/>
          <w:kern w:val="0"/>
          <w:sz w:val="24"/>
          <w:szCs w:val="24"/>
        </w:rPr>
      </w:pPr>
      <w:r>
        <w:rPr>
          <w:rStyle w:val="custom"/>
          <w:rFonts w:ascii="宋体" w:hAnsi="宋体" w:cs="宋体"/>
          <w:kern w:val="0"/>
          <w:sz w:val="24"/>
          <w:szCs w:val="24"/>
        </w:rPr>
        <w:t>例1.</w:t>
      </w:r>
      <w:r>
        <w:rPr>
          <w:rFonts w:ascii="宋体" w:hAnsi="宋体" w:cs="宋体"/>
          <w:kern w:val="0"/>
          <w:sz w:val="24"/>
          <w:szCs w:val="24"/>
        </w:rPr>
        <w:t>某投资者（非特定投资群体）投资10,000元认购本基金A类基金份额，假设其认购资金在认购期间产生的利息为3.00元，其对应的认购费率为</w:t>
      </w:r>
      <w:r>
        <w:rPr>
          <w:rStyle w:val="custom"/>
          <w:rFonts w:ascii="宋体" w:hAnsi="宋体" w:cs="宋体"/>
          <w:kern w:val="0"/>
          <w:sz w:val="24"/>
          <w:szCs w:val="24"/>
        </w:rPr>
        <w:t>1.20%</w:t>
      </w:r>
      <w:r>
        <w:rPr>
          <w:rFonts w:ascii="宋体" w:hAnsi="宋体" w:cs="宋体"/>
          <w:kern w:val="0"/>
          <w:sz w:val="24"/>
          <w:szCs w:val="24"/>
        </w:rPr>
        <w:t>，则其可得到的认购份额为：</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净认购金额=10,000/（1+1.20%）=9,881.42元</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认购费用=10,000-9,881.42=118.58元</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认购份额=（9,881.42+3.00）/1.00=9,884.42份</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即：投资者（非特定投资群体）投资10,000元认购本基金A类基金份额，假设其认购资金在认购期间产生的利息为3.00元，则其可得到9,884.42份本基金A类基金份额。</w:t>
      </w:r>
    </w:p>
    <w:p w:rsidR="008333A9" w:rsidRDefault="0002249C">
      <w:pPr>
        <w:pStyle w:val="div"/>
        <w:spacing w:line="360" w:lineRule="auto"/>
        <w:ind w:firstLine="420"/>
        <w:rPr>
          <w:rFonts w:ascii="宋体" w:hAnsi="宋体" w:cs="宋体"/>
          <w:kern w:val="0"/>
          <w:sz w:val="24"/>
          <w:szCs w:val="24"/>
        </w:rPr>
      </w:pPr>
      <w:r>
        <w:rPr>
          <w:rStyle w:val="custom"/>
          <w:rFonts w:ascii="宋体" w:hAnsi="宋体" w:cs="宋体"/>
          <w:kern w:val="0"/>
          <w:sz w:val="24"/>
          <w:szCs w:val="24"/>
        </w:rPr>
        <w:t>例2.</w:t>
      </w:r>
      <w:r>
        <w:rPr>
          <w:rFonts w:ascii="宋体" w:hAnsi="宋体" w:cs="宋体"/>
          <w:kern w:val="0"/>
          <w:sz w:val="24"/>
          <w:szCs w:val="24"/>
        </w:rPr>
        <w:t>某特定投资群体客户通过本公司直销中心投资100,000元认购本基金A类基金份额，其认购费金额为500元，假设其认购资金在认购期间产生的利息为50.00元，则其可得到的认购份额为：</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净认购金额=100,000-500=99,500.00元</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认购份额=（99,500.00+50.00）/1.00=99,550.00份</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即：特定投资群体客户通过本公司直销中心投资100,000元认购本基金A类基金份额，假设募集期间其认购资金所得利息为50.00元，则其可得到99,550.00份本基金A类基金份额。</w:t>
      </w:r>
    </w:p>
    <w:p w:rsidR="008333A9" w:rsidRDefault="0002249C">
      <w:pPr>
        <w:pStyle w:val="div"/>
        <w:spacing w:line="360" w:lineRule="auto"/>
        <w:ind w:firstLine="420"/>
        <w:rPr>
          <w:rFonts w:ascii="宋体" w:hAnsi="宋体" w:cs="宋体"/>
          <w:kern w:val="0"/>
          <w:sz w:val="24"/>
          <w:szCs w:val="24"/>
        </w:rPr>
      </w:pPr>
      <w:r>
        <w:rPr>
          <w:rStyle w:val="custom"/>
          <w:rFonts w:ascii="宋体" w:hAnsi="宋体" w:cs="宋体"/>
          <w:kern w:val="0"/>
          <w:sz w:val="24"/>
          <w:szCs w:val="24"/>
        </w:rPr>
        <w:t>例3.</w:t>
      </w:r>
      <w:r>
        <w:rPr>
          <w:rFonts w:ascii="宋体" w:hAnsi="宋体" w:cs="宋体"/>
          <w:kern w:val="0"/>
          <w:sz w:val="24"/>
          <w:szCs w:val="24"/>
        </w:rPr>
        <w:t>某投资者投资10,000元认购本基金</w:t>
      </w:r>
      <w:r>
        <w:rPr>
          <w:rStyle w:val="custom"/>
          <w:rFonts w:ascii="宋体" w:hAnsi="宋体" w:cs="宋体"/>
          <w:kern w:val="0"/>
          <w:sz w:val="24"/>
          <w:szCs w:val="24"/>
        </w:rPr>
        <w:t>C类</w:t>
      </w:r>
      <w:r>
        <w:rPr>
          <w:rFonts w:ascii="宋体" w:hAnsi="宋体" w:cs="宋体"/>
          <w:kern w:val="0"/>
          <w:sz w:val="24"/>
          <w:szCs w:val="24"/>
        </w:rPr>
        <w:t>基金份额，由于募集期间基金</w:t>
      </w:r>
      <w:r>
        <w:rPr>
          <w:rFonts w:ascii="宋体" w:hAnsi="宋体" w:cs="宋体"/>
          <w:kern w:val="0"/>
          <w:sz w:val="24"/>
          <w:szCs w:val="24"/>
        </w:rPr>
        <w:lastRenderedPageBreak/>
        <w:t>份额发售面值为人民币1.00元，假设其认购资金在认购期间产生的利息为3.00元，则其可得到的认购份额为：</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认购份额=（10,000+3.00）/1.00=10,003.00份</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即：投资者投资10,000元认购本基金</w:t>
      </w:r>
      <w:r>
        <w:rPr>
          <w:rStyle w:val="custom"/>
          <w:rFonts w:ascii="宋体" w:hAnsi="宋体" w:cs="宋体"/>
          <w:kern w:val="0"/>
          <w:sz w:val="24"/>
          <w:szCs w:val="24"/>
        </w:rPr>
        <w:t>C类</w:t>
      </w:r>
      <w:r>
        <w:rPr>
          <w:rFonts w:ascii="宋体" w:hAnsi="宋体" w:cs="宋体"/>
          <w:kern w:val="0"/>
          <w:sz w:val="24"/>
          <w:szCs w:val="24"/>
        </w:rPr>
        <w:t>基金份额，假设其认购资金在认购期间产生的利息为3.00元，则其可得到10,003.00份</w:t>
      </w:r>
      <w:r>
        <w:rPr>
          <w:rStyle w:val="custom"/>
          <w:rFonts w:ascii="宋体" w:hAnsi="宋体" w:cs="宋体"/>
          <w:kern w:val="0"/>
          <w:sz w:val="24"/>
          <w:szCs w:val="24"/>
        </w:rPr>
        <w:t>C类</w:t>
      </w:r>
      <w:r>
        <w:rPr>
          <w:rFonts w:ascii="宋体" w:hAnsi="宋体" w:cs="宋体"/>
          <w:kern w:val="0"/>
          <w:sz w:val="24"/>
          <w:szCs w:val="24"/>
        </w:rPr>
        <w:t>基金份额。</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4、基金份额的认购程序</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（1）认购时间安排</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投资者认购本基金的具体业务办理时间由基金管理人和基金销售机构确定，请参见本基金的基金份额发售公告。</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（2）投资者认购本基金份额应提交的文件和办理的手续</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投资者认购本基金份额应提交的文件和办理的手续详见本基金的基金份额发售公告。</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（3）基金份额的认购采用金额认购方式</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投资者认购本基金采取全额缴款认购的方式。投资者在募集期内可多次认购，认购期间单个投资者的累计认购金额没有限制，但本招募说明书、基金份额发售公告、其他相关公告另有规定的除外。投资者的认购申请一经受理不得撤销。</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（4）认购申请的确认</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当日（T日）在规定时间内提交的申请，投资者通常应在T+2日到销售机构查询认购申请的受理结果，并可在募集截止日后4个工作日内到销售机构打印交易确认书。</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销售机构对认购申请的受理并不代表该申请一定成功，而仅代表销售机构确实接收到认购申请。认购申请的确认以登记机构的确认结果为准。对于认购申请及认购份额的确认情况，投资人应及时查询并妥善行使合法权利，否则，由此产生的任何损失由投资者自行承担。</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（5）认购金额的限制</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1）在基金募集期内，投资者可多次认购基金份额。投资者通过基金管理人直销中心首次认购本基金的最低金额为人民币50,000元（含认购费）；通过基金管理人线上直销系统认购本基金单笔最低金额为人民币1元（含认购费）；通过其他销售机构的销售网点认购本基金单笔最低金额为人民币1元（含认购费）。</w:t>
      </w:r>
      <w:r>
        <w:rPr>
          <w:rFonts w:ascii="宋体" w:hAnsi="宋体" w:cs="宋体"/>
          <w:kern w:val="0"/>
          <w:sz w:val="24"/>
          <w:szCs w:val="24"/>
        </w:rPr>
        <w:lastRenderedPageBreak/>
        <w:t>超过最低认购金额的部分不设金额级差。各销售机构对本基金最低认购金额及交易级差有其他规定的，以各销售机构的业务规定为准。募集期间不设置投资者单个账户最高认购金额限制，但本招募说明书、基金份额发售公告、其他相关公告另有规定的除外。</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2）基金管理人可以对募集期间的本基金募集规模设置上限。募集期内超过募集规模上限时，基金管理人可以采用比例确认或其他方式进行确认，具体办法参见基金份额发售公告或相关公告。</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3）如本基金单个投资人（基金管理人、基金管理人高级管理人员或基金经理等人员作为发起资金提供方除外）累计认购的基金份额数达到或者超过基金总份额的50%，基金管理人可以采取比例确认等方式对该投资人的认购申请进行限制。基金管理人接受某笔或者某些认购申请有可能导致投资者变相规避前述50%比例要求的，基金管理人有权拒绝该等全部或者部分认购申请。投资人认购的基金份额数以基金合同生效后登记机构的确认为准。</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5、募集期利息的处理方式</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有效认购款项在募集期间产生的利息将折算为基金份额</w:t>
      </w:r>
      <w:proofErr w:type="gramStart"/>
      <w:r>
        <w:rPr>
          <w:rFonts w:ascii="宋体" w:hAnsi="宋体" w:cs="宋体"/>
          <w:kern w:val="0"/>
          <w:sz w:val="24"/>
          <w:szCs w:val="24"/>
        </w:rPr>
        <w:t>归基金</w:t>
      </w:r>
      <w:proofErr w:type="gramEnd"/>
      <w:r>
        <w:rPr>
          <w:rFonts w:ascii="宋体" w:hAnsi="宋体" w:cs="宋体"/>
          <w:kern w:val="0"/>
          <w:sz w:val="24"/>
          <w:szCs w:val="24"/>
        </w:rPr>
        <w:t>份额持有人所有，其中利息转份额以登记机构的记录为准。</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五、募集资金的管理</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基金管理人应将基金募集期间募集的资金存入专门账户，在基金募集行为结束前，任何人不得动用。</w:t>
      </w:r>
    </w:p>
    <w:p w:rsidR="008333A9" w:rsidRDefault="0002249C">
      <w:pPr>
        <w:pStyle w:val="div"/>
        <w:spacing w:line="360" w:lineRule="auto"/>
        <w:ind w:firstLine="420"/>
        <w:rPr>
          <w:rFonts w:ascii="宋体" w:hAnsi="宋体" w:cs="宋体"/>
          <w:kern w:val="0"/>
          <w:sz w:val="24"/>
          <w:szCs w:val="24"/>
        </w:rPr>
      </w:pPr>
      <w:r>
        <w:rPr>
          <w:rFonts w:ascii="宋体" w:hAnsi="宋体" w:cs="宋体"/>
          <w:kern w:val="0"/>
          <w:sz w:val="24"/>
          <w:szCs w:val="24"/>
        </w:rPr>
        <w:t>六、发起资金的认购</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w:t>
      </w:r>
      <w:proofErr w:type="gramStart"/>
      <w:r>
        <w:rPr>
          <w:rFonts w:ascii="宋体" w:hAnsi="宋体" w:cs="宋体"/>
          <w:kern w:val="0"/>
          <w:sz w:val="24"/>
          <w:szCs w:val="24"/>
        </w:rPr>
        <w:t>人股东</w:t>
      </w:r>
      <w:proofErr w:type="gramEnd"/>
      <w:r>
        <w:rPr>
          <w:rFonts w:ascii="宋体" w:hAnsi="宋体" w:cs="宋体"/>
          <w:kern w:val="0"/>
          <w:sz w:val="24"/>
          <w:szCs w:val="24"/>
        </w:rPr>
        <w:t>资金、基金管理人固有资金、基金管理人高级管理人员、基金经理等人员认购本基金的发起资金金额不少于1000万元人民币，且发起资金认购的基金份额持有期限不少于3年（基金合同生效不满3年提前终止的情况除外），法律法规或中国证监会另有规定的除外。</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本基金发起资金的认购情况</w:t>
      </w:r>
      <w:proofErr w:type="gramStart"/>
      <w:r>
        <w:rPr>
          <w:rFonts w:ascii="宋体" w:hAnsi="宋体" w:cs="宋体"/>
          <w:kern w:val="0"/>
          <w:sz w:val="24"/>
          <w:szCs w:val="24"/>
        </w:rPr>
        <w:t>见基金</w:t>
      </w:r>
      <w:proofErr w:type="gramEnd"/>
      <w:r>
        <w:rPr>
          <w:rFonts w:ascii="宋体" w:hAnsi="宋体" w:cs="宋体"/>
          <w:kern w:val="0"/>
          <w:sz w:val="24"/>
          <w:szCs w:val="24"/>
        </w:rPr>
        <w:t>管理人届时发布的公告。</w:t>
      </w:r>
      <w:r>
        <w:rPr>
          <w:rFonts w:ascii="宋体" w:hAnsi="宋体" w:cs="宋体"/>
          <w:kern w:val="0"/>
          <w:sz w:val="24"/>
          <w:szCs w:val="24"/>
        </w:rPr>
        <w:br w:type="page"/>
      </w:r>
    </w:p>
    <w:p w:rsidR="008333A9" w:rsidRDefault="0002249C">
      <w:pPr>
        <w:pStyle w:val="1"/>
        <w:spacing w:before="0" w:after="0"/>
        <w:jc w:val="center"/>
        <w:rPr>
          <w:rFonts w:ascii="Times New Roman"/>
          <w:color w:val="auto"/>
          <w:sz w:val="30"/>
        </w:rPr>
      </w:pPr>
      <w:bookmarkStart w:id="36" w:name="_Toc256000006"/>
      <w:r>
        <w:rPr>
          <w:rFonts w:ascii="Times New Roman"/>
          <w:color w:val="auto"/>
          <w:sz w:val="30"/>
        </w:rPr>
        <w:lastRenderedPageBreak/>
        <w:t>第七部分</w:t>
      </w:r>
      <w:r>
        <w:rPr>
          <w:rFonts w:ascii="Times New Roman"/>
          <w:color w:val="auto"/>
          <w:sz w:val="30"/>
        </w:rPr>
        <w:t xml:space="preserve">  </w:t>
      </w:r>
      <w:r>
        <w:rPr>
          <w:rFonts w:ascii="Times New Roman"/>
          <w:color w:val="auto"/>
          <w:sz w:val="30"/>
        </w:rPr>
        <w:t>基金合同的生效</w:t>
      </w:r>
      <w:bookmarkEnd w:id="36"/>
    </w:p>
    <w:p w:rsidR="008333A9" w:rsidRDefault="008333A9"/>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一、基金备案的条件</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本基金自基金份额发售之日起3个月内，在发起资金提供方认购本基金的金额不少于1000万元人民币且发起资金提供方承诺持有期限不少于3年的条件下，基金募集期届满或基金管理人依据法律法规及招募说明书可以决定停止基金发售，并在10日内聘请法定验资机构验资，会计师事务所提交的验资报告需对发起资金提供方及其持有份额进行专门说明。自收到验资报告之日起10日内，向中国证监会办理基金备案手续。</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二、基金合同不能生效时募集资金的处理方式</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如果募集期限届满，未满足基金备案条件，基金管理人应当承担下列责任：</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1、以其固有财产承担因募集行为而产生的债务和费用；</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2、在基金募集期限届满后30日内返还投资者已缴纳的款项，并加计银行同期活期存款利息；</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3、如基金募集失败，基金管理人、基金托管人及销售机构不得请求报酬。基金管理人、基金托管人和销售机构为基金募集支付之一切费用应由各方各自承担。</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三、基金存续期内的基金份额持有人数量和资产规模</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合同》生效满三年后继续存续的，连续20个工作日出现基金份额持有人数量不满200人或者基金资产净值低于5000万元情形的，基金管理人应当在定期报告中予以披露；连续60个工作日出现前述情形的，基金管理人应当在10个工作日内向中国证监会报告并提出解决方案，如持续运作、转换运作方式、与其他基金合并或者终止基金合同等，并在6个月内召集基金份额持有人大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法律法规或中国证监会另有规定时，从其规定。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lastRenderedPageBreak/>
        <w:t>四、基金的自动终止</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基金合同生效满三年之日（指自然日），</w:t>
      </w:r>
      <w:proofErr w:type="gramStart"/>
      <w:r>
        <w:rPr>
          <w:rFonts w:ascii="宋体" w:hAnsi="宋体" w:cs="宋体"/>
          <w:kern w:val="0"/>
          <w:sz w:val="24"/>
          <w:szCs w:val="24"/>
        </w:rPr>
        <w:t>若基金</w:t>
      </w:r>
      <w:proofErr w:type="gramEnd"/>
      <w:r>
        <w:rPr>
          <w:rFonts w:ascii="宋体" w:hAnsi="宋体" w:cs="宋体"/>
          <w:kern w:val="0"/>
          <w:sz w:val="24"/>
          <w:szCs w:val="24"/>
        </w:rPr>
        <w:t>资产净值低于2亿元人民币的，基金合同自动终止，且不得通过召开基金份额持有人大会延续基金合同期限。若届时的法律法规或中国证监会规定发生变化，上述终止规定被取消、更改或补充时，则本基金可以参照届时有效的法律法规或中国证监会规定执行。</w:t>
      </w:r>
      <w:r>
        <w:rPr>
          <w:rFonts w:ascii="宋体" w:hAnsi="宋体" w:cs="宋体"/>
          <w:kern w:val="0"/>
          <w:sz w:val="24"/>
          <w:szCs w:val="24"/>
        </w:rPr>
        <w:br w:type="page"/>
      </w:r>
    </w:p>
    <w:p w:rsidR="008333A9" w:rsidRDefault="0002249C">
      <w:pPr>
        <w:pStyle w:val="1"/>
        <w:spacing w:before="0" w:after="0"/>
        <w:jc w:val="center"/>
        <w:rPr>
          <w:rFonts w:ascii="Times New Roman"/>
          <w:color w:val="auto"/>
          <w:sz w:val="30"/>
        </w:rPr>
      </w:pPr>
      <w:bookmarkStart w:id="37" w:name="_Toc256000007"/>
      <w:r>
        <w:rPr>
          <w:rFonts w:ascii="Times New Roman"/>
          <w:color w:val="auto"/>
          <w:sz w:val="30"/>
        </w:rPr>
        <w:lastRenderedPageBreak/>
        <w:t>第八部分</w:t>
      </w:r>
      <w:r>
        <w:rPr>
          <w:rFonts w:ascii="Times New Roman"/>
          <w:color w:val="auto"/>
          <w:sz w:val="30"/>
        </w:rPr>
        <w:t xml:space="preserve">  </w:t>
      </w:r>
      <w:r>
        <w:rPr>
          <w:rFonts w:ascii="Times New Roman"/>
          <w:color w:val="auto"/>
          <w:sz w:val="30"/>
        </w:rPr>
        <w:t>基金份额的申购与赎回</w:t>
      </w:r>
      <w:bookmarkEnd w:id="37"/>
    </w:p>
    <w:p w:rsidR="008333A9" w:rsidRDefault="008333A9"/>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一、</w:t>
      </w:r>
      <w:r>
        <w:rPr>
          <w:rFonts w:ascii="宋体" w:hAnsi="宋体" w:cs="宋体"/>
          <w:kern w:val="0"/>
          <w:sz w:val="24"/>
          <w:szCs w:val="24"/>
        </w:rPr>
        <w:t>申购和赎回场所</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本基金的申购与赎回将通过销售机构进行。具体的销售机构将由基金管理人在招募说明书或其他相</w:t>
      </w:r>
      <w:proofErr w:type="gramStart"/>
      <w:r>
        <w:rPr>
          <w:rFonts w:ascii="宋体" w:hAnsi="宋体" w:cs="宋体"/>
          <w:kern w:val="0"/>
          <w:sz w:val="24"/>
          <w:szCs w:val="24"/>
        </w:rPr>
        <w:t>关公示中列明</w:t>
      </w:r>
      <w:proofErr w:type="gramEnd"/>
      <w:r>
        <w:rPr>
          <w:rFonts w:ascii="宋体" w:hAnsi="宋体" w:cs="宋体"/>
          <w:kern w:val="0"/>
          <w:sz w:val="24"/>
          <w:szCs w:val="24"/>
        </w:rPr>
        <w:t>。基金管理人可根据情况变更或增减销售机构，并在基金管理人网站公示。基金投资者应当在销售机构办理基金销售业务的营业场所或按销售机构提供的其他方式办理基金份额的申购与赎回。</w:t>
      </w:r>
      <w:proofErr w:type="gramStart"/>
      <w:r>
        <w:rPr>
          <w:rFonts w:ascii="宋体" w:hAnsi="宋体" w:cs="宋体"/>
          <w:kern w:val="0"/>
          <w:sz w:val="24"/>
          <w:szCs w:val="24"/>
        </w:rPr>
        <w:t>若基金</w:t>
      </w:r>
      <w:proofErr w:type="gramEnd"/>
      <w:r>
        <w:rPr>
          <w:rFonts w:ascii="宋体" w:hAnsi="宋体" w:cs="宋体"/>
          <w:kern w:val="0"/>
          <w:sz w:val="24"/>
          <w:szCs w:val="24"/>
        </w:rPr>
        <w:t>管理人或其指定的销售机构开通电话、传真或网上等交易方式，投资人可以通过上述方式进行申购与赎回。</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二、</w:t>
      </w:r>
      <w:r>
        <w:rPr>
          <w:rFonts w:ascii="宋体" w:hAnsi="宋体" w:cs="宋体"/>
          <w:kern w:val="0"/>
          <w:sz w:val="24"/>
          <w:szCs w:val="24"/>
        </w:rPr>
        <w:t>申购和赎回的开放日及时间</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1、开放日及开放时间</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投资人在开放日办理基金份额的申购和赎回，具体办理时间为上海证券交易所、深圳证券交易所的正常交易日的交易时间（如遇香港联合交易所法定节假日或因其他原因暂停营业或港股通暂停交易的情形，基金管理人有权暂停办理基金份额的申购和赎回业务），但基金管理人根据法律法规、中国证监会的要求或基金合同的规定公告暂停申购、赎回时除外。开放日的具体业务办理时间在招募说明书或基金管理人届时发布的相关公告中载明。</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基金合同生效后，若出现新的证券/期货交易市场、证券/期货交易所交易时间变更、其他特殊情况或根据业务需要，基金管理人将视情况对前述开放日及开放时间进行相应的调整，但应在实施日前依照《信息披露办法》的有关规定在规定媒介上公告。</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2、申购、赎回开始日及业务办理时间</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基金管理人可根据实际情况依法决定本基金开始办理申购的具体日期，具体业务办理时间在开放申购业务的公告中规定。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基金管理人自基金合同生效之日起不超过3个月开始办理赎回，具体业务办理时间在开放赎回业务的公告中规定。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在确定申购开始与赎回开始时间后，基金管理人应在申购、赎回开放日前依照《信息披露办法》的有关规定在规定媒介上公告申购与赎回的开始时间。</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基金管理人不得在基金合同约定之外的日期或者时间办理基金份额的申购、</w:t>
      </w:r>
      <w:r>
        <w:rPr>
          <w:rFonts w:ascii="宋体" w:hAnsi="宋体" w:cs="宋体"/>
          <w:kern w:val="0"/>
          <w:sz w:val="24"/>
          <w:szCs w:val="24"/>
        </w:rPr>
        <w:lastRenderedPageBreak/>
        <w:t>赎回或者转换。投资人在基金合同约定之外的日期和时间提出申购、赎回或转换申请</w:t>
      </w:r>
      <w:proofErr w:type="gramStart"/>
      <w:r>
        <w:rPr>
          <w:rFonts w:ascii="宋体" w:hAnsi="宋体" w:cs="宋体"/>
          <w:kern w:val="0"/>
          <w:sz w:val="24"/>
          <w:szCs w:val="24"/>
        </w:rPr>
        <w:t>且登记</w:t>
      </w:r>
      <w:proofErr w:type="gramEnd"/>
      <w:r>
        <w:rPr>
          <w:rFonts w:ascii="宋体" w:hAnsi="宋体" w:cs="宋体"/>
          <w:kern w:val="0"/>
          <w:sz w:val="24"/>
          <w:szCs w:val="24"/>
        </w:rPr>
        <w:t>机构确认接受的，其基金份额申购、赎回价格为下一开放</w:t>
      </w:r>
      <w:proofErr w:type="gramStart"/>
      <w:r>
        <w:rPr>
          <w:rFonts w:ascii="宋体" w:hAnsi="宋体" w:cs="宋体"/>
          <w:kern w:val="0"/>
          <w:sz w:val="24"/>
          <w:szCs w:val="24"/>
        </w:rPr>
        <w:t>日相应</w:t>
      </w:r>
      <w:proofErr w:type="gramEnd"/>
      <w:r>
        <w:rPr>
          <w:rFonts w:ascii="宋体" w:hAnsi="宋体" w:cs="宋体"/>
          <w:kern w:val="0"/>
          <w:sz w:val="24"/>
          <w:szCs w:val="24"/>
        </w:rPr>
        <w:t>类别的基金份额申购、赎回的价格。</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三、</w:t>
      </w:r>
      <w:r>
        <w:rPr>
          <w:rFonts w:ascii="宋体" w:hAnsi="宋体" w:cs="宋体"/>
          <w:kern w:val="0"/>
          <w:sz w:val="24"/>
          <w:szCs w:val="24"/>
        </w:rPr>
        <w:t>申购与赎回的原则</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1、“未知价”原则，即申购、赎回价格以申请当日收市后计算的相应类别的基金份额净值为基准进行计算；</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2、“金额申购、份额赎回”原则，即申购以金额申请，赎回以份额申请；</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3、当日的申购与赎回申请可以在基金管理人规定的时间以内撤销；</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4、赎回遵循“先进先出”原则，即按照投资人认购、申购的先后次序进行顺序赎回；</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5、办理申购、赎回业务时，应当遵循基金份额持有人利益优先原则，确保投资者的合法权益不受损害并得到公平对待。</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基金管理人可在法律法规允许的情况下，对上述原则进行调整。基金管理人必须在新规则开始实施前依照《信息披露办法》的有关规定在规定媒介上公告。</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四、</w:t>
      </w:r>
      <w:r>
        <w:rPr>
          <w:rFonts w:ascii="宋体" w:hAnsi="宋体" w:cs="宋体"/>
          <w:kern w:val="0"/>
          <w:sz w:val="24"/>
          <w:szCs w:val="24"/>
        </w:rPr>
        <w:t>申购与赎回的程序</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1、申购和赎回的申请方式</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投资人必须根据销售机构规定的程序，在开放日的具体业务办理时间内提出申购或赎回的申请。投资者在提交申购申请时，须按销售机构规定的方式备足申购资金，投资者在提交赎回申请时，应确保账户内有足够的基金份额余额，否则申购、赎回申请不成立。</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2、申购和赎回的款项支付</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投资人申购基金份额时，必须在规定时间前全额交付申购款项，否则所提交的申购申请不成立。投资人在规定时间前全额交付申购款项，申购成立；基金份额登记机构确认基金份额时，申购生效。</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在提交赎回申请时，必须有足够的基金份额余额，否则所提交的赎回申请不成立。基金份额持有人递交赎回申请，赎回成立；基金份额登记机构确认赎回时，赎回生效。投资者赎回申请生效后，基金管理人将在T+7日（包括该日）内支付赎回款项。在发生巨额赎回时，款项的支付办法参照基金合同有关条款处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lastRenderedPageBreak/>
        <w:t>遇交易所或交易市场数据传输延迟、通讯系统故障、银行数据交换系统故障、港股</w:t>
      </w:r>
      <w:proofErr w:type="gramStart"/>
      <w:r>
        <w:rPr>
          <w:rFonts w:ascii="宋体" w:hAnsi="宋体" w:cs="宋体"/>
          <w:kern w:val="0"/>
          <w:sz w:val="24"/>
          <w:szCs w:val="24"/>
        </w:rPr>
        <w:t>通交易</w:t>
      </w:r>
      <w:proofErr w:type="gramEnd"/>
      <w:r>
        <w:rPr>
          <w:rFonts w:ascii="宋体" w:hAnsi="宋体" w:cs="宋体"/>
          <w:kern w:val="0"/>
          <w:sz w:val="24"/>
          <w:szCs w:val="24"/>
        </w:rPr>
        <w:t>系统或港股</w:t>
      </w:r>
      <w:proofErr w:type="gramStart"/>
      <w:r>
        <w:rPr>
          <w:rFonts w:ascii="宋体" w:hAnsi="宋体" w:cs="宋体"/>
          <w:kern w:val="0"/>
          <w:sz w:val="24"/>
          <w:szCs w:val="24"/>
        </w:rPr>
        <w:t>通资金</w:t>
      </w:r>
      <w:proofErr w:type="gramEnd"/>
      <w:r>
        <w:rPr>
          <w:rFonts w:ascii="宋体" w:hAnsi="宋体" w:cs="宋体"/>
          <w:kern w:val="0"/>
          <w:sz w:val="24"/>
          <w:szCs w:val="24"/>
        </w:rPr>
        <w:t>交收规则限制或其他</w:t>
      </w:r>
      <w:proofErr w:type="gramStart"/>
      <w:r>
        <w:rPr>
          <w:rFonts w:ascii="宋体" w:hAnsi="宋体" w:cs="宋体"/>
          <w:kern w:val="0"/>
          <w:sz w:val="24"/>
          <w:szCs w:val="24"/>
        </w:rPr>
        <w:t>非基金</w:t>
      </w:r>
      <w:proofErr w:type="gramEnd"/>
      <w:r>
        <w:rPr>
          <w:rFonts w:ascii="宋体" w:hAnsi="宋体" w:cs="宋体"/>
          <w:kern w:val="0"/>
          <w:sz w:val="24"/>
          <w:szCs w:val="24"/>
        </w:rPr>
        <w:t>管理人及基金托管人所能控制的因素影响业务处理流程，则赎回款项顺延至上述情形消除后的下一个工作日划出。</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基金管理人可以在法律法规和基金合同允许的范围内，对上述业务办理时间进行调整，基金管理人必须在调整实施前依照《信息披露办法》的有关规定在规定媒介上公告。</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3、申购和赎回申请的确认</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以交易时间结束前受理有效申购和赎回申请的当天作为申购或赎回申请日(T日)，在正常情况下，本基金登记机构在T+1日内对该交易的有效性进行确认。T日提交的有效申请，投资人应在T+2日后(包括该日)及时到销售网点柜台或以销售机构规定的其他方式查询申请的确认情况。若申购不成立或无效，则申购款项退还给投资人。</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销售机构对申购、赎回申请的受理并不代表申请一定成功，而仅代表销售机构确实接收到申请。申购、赎回的确认以登记机构的确认结果为准。对于申请的确认情况，投资者应及时查询并妥善行使合法权利，否则，由此产生的任何损失由投资人自行承担。</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在法律法规允许的范围内，本基金管理人或登记机构可根据业务规则，对上述业务办理时间进行调整，基金管理人必须在调整实施前依照《信息披露办法》的有关规定在规定媒介上公告。</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五、</w:t>
      </w:r>
      <w:r>
        <w:rPr>
          <w:rFonts w:ascii="宋体" w:hAnsi="宋体" w:cs="宋体"/>
          <w:kern w:val="0"/>
          <w:sz w:val="24"/>
          <w:szCs w:val="24"/>
        </w:rPr>
        <w:t>申购和赎回的数量限制</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1、投资者通过基金管理人直销中心首次申购本</w:t>
      </w:r>
      <w:proofErr w:type="gramStart"/>
      <w:r>
        <w:rPr>
          <w:rStyle w:val="custom"/>
          <w:rFonts w:ascii="宋体" w:hAnsi="宋体" w:cs="宋体"/>
          <w:kern w:val="0"/>
          <w:sz w:val="24"/>
          <w:szCs w:val="24"/>
        </w:rPr>
        <w:t>基金基金</w:t>
      </w:r>
      <w:proofErr w:type="gramEnd"/>
      <w:r>
        <w:rPr>
          <w:rStyle w:val="custom"/>
          <w:rFonts w:ascii="宋体" w:hAnsi="宋体" w:cs="宋体"/>
          <w:kern w:val="0"/>
          <w:sz w:val="24"/>
          <w:szCs w:val="24"/>
        </w:rPr>
        <w:t>份额的最低金额为人民币50,000元（含申购费）；通过基金管理人线上直销系统申购本</w:t>
      </w:r>
      <w:proofErr w:type="gramStart"/>
      <w:r>
        <w:rPr>
          <w:rStyle w:val="custom"/>
          <w:rFonts w:ascii="宋体" w:hAnsi="宋体" w:cs="宋体"/>
          <w:kern w:val="0"/>
          <w:sz w:val="24"/>
          <w:szCs w:val="24"/>
        </w:rPr>
        <w:t>基金基金</w:t>
      </w:r>
      <w:proofErr w:type="gramEnd"/>
      <w:r>
        <w:rPr>
          <w:rStyle w:val="custom"/>
          <w:rFonts w:ascii="宋体" w:hAnsi="宋体" w:cs="宋体"/>
          <w:kern w:val="0"/>
          <w:sz w:val="24"/>
          <w:szCs w:val="24"/>
        </w:rPr>
        <w:t>份额单笔最低金额为人民币1元（含申购费）；通过其他销售机构的销售网点申购本</w:t>
      </w:r>
      <w:proofErr w:type="gramStart"/>
      <w:r>
        <w:rPr>
          <w:rStyle w:val="custom"/>
          <w:rFonts w:ascii="宋体" w:hAnsi="宋体" w:cs="宋体"/>
          <w:kern w:val="0"/>
          <w:sz w:val="24"/>
          <w:szCs w:val="24"/>
        </w:rPr>
        <w:t>基金基金</w:t>
      </w:r>
      <w:proofErr w:type="gramEnd"/>
      <w:r>
        <w:rPr>
          <w:rStyle w:val="custom"/>
          <w:rFonts w:ascii="宋体" w:hAnsi="宋体" w:cs="宋体"/>
          <w:kern w:val="0"/>
          <w:sz w:val="24"/>
          <w:szCs w:val="24"/>
        </w:rPr>
        <w:t>份额单笔最低金额为人民币1元（含申购费）。超过最低申购金额的部分不设金额级差。各销售机构对本基金最低申购金额及交易级差有其他规定的，以各销售机构的业务规定为准。</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2、投资者将当期分配的基金收益转为相应类别的基金份额时，不受最低申购金额的限制。</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lastRenderedPageBreak/>
        <w:t>3、基金份额持有人可将其全部或部分基金份额赎回，赎回最低份额0.1份，基金份额持有人在销售机构保留的基金份额不足0.1份的，登记系统有权将全部剩余份额自动赎回。</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投资者可多次申购，对单个投资者累计持有基金份额的比例或数量不设上限限制，对单个投资者申购金额上限、基金规模上限或基金单日净申购比例不设上限，但单一投资者（基金管理人、基金管理人高级管理人员或基金经理等人员作为发起资金提供方除外）持有基金份额数不得达到或超过基金份额总数的50%（在基金运作过程中因基金份额赎回等基金管理人无法予以控制的情形导致被动达到或超过50%的除外）。法律法规或监管机构另有规定的，从其规定。</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基金管理人可在法律法规允许的情况下，调整上述规定申购金额和赎回份额的数量限制或新增基金规模控制措施。当接受申购申请对存量基金份额持有人利益构成潜在重大不利影响时，基金管理人应当采取设定单一投资者申购金额上限、基金规模上限或基金单日净申购比例上限、拒绝大额申购、暂停基金申购等措施，切实保护存量基金份额持有人的合法权益。基金管理人基于投资运作与风险控制的需要，可采取上述措施对基金规模予以控制。基金管理人必须在调整实施前依照《信息披露办法》的有关规定在规定媒介上公告。</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六、</w:t>
      </w:r>
      <w:r>
        <w:rPr>
          <w:rFonts w:ascii="宋体" w:hAnsi="宋体" w:cs="宋体"/>
          <w:kern w:val="0"/>
          <w:sz w:val="24"/>
          <w:szCs w:val="24"/>
        </w:rPr>
        <w:t>申购费用和赎回费用</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申购费用</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本基金对通过本公司直销中心申购本基金A类基金份额的特定投资群体与除此之外的其他投资者实施差别化的申购费率。</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特定投资群体可通过本公司直销中心申购本基金A类基金份额。基金管理人可根据情况变更或增减特定投资群体申购本基金A类基金份额的销售机构。</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1）特定投资群体申购A类基金份额的申购费用</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通过本公司直销中心申购本基金A类基金份额的特定投资群体申购费用为每笔500元。未通过本公司直销中心申购本基金</w:t>
      </w:r>
      <w:r>
        <w:rPr>
          <w:rStyle w:val="custom"/>
          <w:rFonts w:eastAsia="Times New Roman"/>
          <w:kern w:val="0"/>
          <w:sz w:val="24"/>
          <w:szCs w:val="24"/>
        </w:rPr>
        <w:t>A</w:t>
      </w:r>
      <w:r>
        <w:rPr>
          <w:rStyle w:val="custom"/>
          <w:rFonts w:ascii="宋体" w:hAnsi="宋体" w:cs="宋体"/>
          <w:kern w:val="0"/>
          <w:sz w:val="24"/>
          <w:szCs w:val="24"/>
        </w:rPr>
        <w:t>类基金份额的特定投资群体，申购费率参照其他投资者适用的A类基金份额申购费率执行。</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2）其他投资者申购A类基金份额的申购费率</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其他投资者申购本基金A类基金份额的申购费率随申购金额增加而递减。投资者在一天之内如果有多笔申购，适用费率按单笔申购申请单独计算。其他投资</w:t>
      </w:r>
      <w:r>
        <w:rPr>
          <w:rStyle w:val="custom"/>
          <w:rFonts w:ascii="宋体" w:hAnsi="宋体" w:cs="宋体"/>
          <w:kern w:val="0"/>
          <w:sz w:val="24"/>
          <w:szCs w:val="24"/>
        </w:rPr>
        <w:lastRenderedPageBreak/>
        <w:t>者申购A类基金份额的具体申购费率如下表所示：</w:t>
      </w:r>
    </w:p>
    <w:tbl>
      <w:tblPr>
        <w:tblStyle w:val="tableTable"/>
        <w:tblW w:w="7940" w:type="dxa"/>
        <w:jc w:val="center"/>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5002"/>
        <w:gridCol w:w="2938"/>
      </w:tblGrid>
      <w:tr w:rsidR="008333A9">
        <w:trPr>
          <w:trHeight w:val="460"/>
          <w:jc w:val="center"/>
        </w:trPr>
        <w:tc>
          <w:tcPr>
            <w:tcW w:w="0" w:type="auto"/>
            <w:tcBorders>
              <w:bottom w:val="single" w:sz="6" w:space="0" w:color="000000"/>
              <w:right w:val="single" w:sz="6" w:space="0" w:color="000000"/>
            </w:tcBorders>
            <w:tcMar>
              <w:top w:w="0" w:type="dxa"/>
              <w:left w:w="110"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申购金额（M）</w:t>
            </w:r>
          </w:p>
        </w:tc>
        <w:tc>
          <w:tcPr>
            <w:tcW w:w="0" w:type="auto"/>
            <w:tcBorders>
              <w:left w:val="single" w:sz="6" w:space="0" w:color="000000"/>
              <w:bottom w:val="single" w:sz="6" w:space="0" w:color="000000"/>
            </w:tcBorders>
            <w:tcMar>
              <w:top w:w="0" w:type="dxa"/>
              <w:left w:w="108" w:type="dxa"/>
              <w:bottom w:w="0" w:type="dxa"/>
              <w:right w:w="110"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申购费率</w:t>
            </w:r>
          </w:p>
        </w:tc>
      </w:tr>
      <w:tr w:rsidR="008333A9">
        <w:trPr>
          <w:trHeight w:val="460"/>
          <w:jc w:val="center"/>
        </w:trPr>
        <w:tc>
          <w:tcPr>
            <w:tcW w:w="0" w:type="auto"/>
            <w:tcBorders>
              <w:top w:val="single" w:sz="6" w:space="0" w:color="000000"/>
              <w:bottom w:val="single" w:sz="6" w:space="0" w:color="000000"/>
              <w:right w:val="single" w:sz="6" w:space="0" w:color="000000"/>
            </w:tcBorders>
            <w:tcMar>
              <w:top w:w="0" w:type="dxa"/>
              <w:left w:w="110"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M＜100万元</w:t>
            </w:r>
          </w:p>
        </w:tc>
        <w:tc>
          <w:tcPr>
            <w:tcW w:w="0" w:type="auto"/>
            <w:tcBorders>
              <w:top w:val="single" w:sz="6" w:space="0" w:color="000000"/>
              <w:left w:val="single" w:sz="6" w:space="0" w:color="000000"/>
              <w:bottom w:val="single" w:sz="6" w:space="0" w:color="000000"/>
            </w:tcBorders>
            <w:tcMar>
              <w:top w:w="0" w:type="dxa"/>
              <w:left w:w="108" w:type="dxa"/>
              <w:bottom w:w="0" w:type="dxa"/>
              <w:right w:w="110"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1.50%</w:t>
            </w:r>
          </w:p>
        </w:tc>
      </w:tr>
      <w:tr w:rsidR="008333A9">
        <w:trPr>
          <w:trHeight w:val="460"/>
          <w:jc w:val="center"/>
        </w:trPr>
        <w:tc>
          <w:tcPr>
            <w:tcW w:w="0" w:type="auto"/>
            <w:tcBorders>
              <w:top w:val="single" w:sz="6" w:space="0" w:color="000000"/>
              <w:bottom w:val="single" w:sz="6" w:space="0" w:color="000000"/>
              <w:right w:val="single" w:sz="6" w:space="0" w:color="000000"/>
            </w:tcBorders>
            <w:tcMar>
              <w:top w:w="0" w:type="dxa"/>
              <w:left w:w="110"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100万元≤M＜500万元</w:t>
            </w:r>
          </w:p>
        </w:tc>
        <w:tc>
          <w:tcPr>
            <w:tcW w:w="0" w:type="auto"/>
            <w:tcBorders>
              <w:top w:val="single" w:sz="6" w:space="0" w:color="000000"/>
              <w:left w:val="single" w:sz="6" w:space="0" w:color="000000"/>
              <w:bottom w:val="single" w:sz="6" w:space="0" w:color="000000"/>
            </w:tcBorders>
            <w:tcMar>
              <w:top w:w="0" w:type="dxa"/>
              <w:left w:w="108" w:type="dxa"/>
              <w:bottom w:w="0" w:type="dxa"/>
              <w:right w:w="110"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1.00%</w:t>
            </w:r>
          </w:p>
        </w:tc>
      </w:tr>
      <w:tr w:rsidR="008333A9">
        <w:trPr>
          <w:trHeight w:val="460"/>
          <w:jc w:val="center"/>
        </w:trPr>
        <w:tc>
          <w:tcPr>
            <w:tcW w:w="0" w:type="auto"/>
            <w:tcBorders>
              <w:top w:val="single" w:sz="6" w:space="0" w:color="000000"/>
              <w:right w:val="single" w:sz="6" w:space="0" w:color="000000"/>
            </w:tcBorders>
            <w:tcMar>
              <w:top w:w="0" w:type="dxa"/>
              <w:left w:w="110"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M≥500万元</w:t>
            </w:r>
          </w:p>
        </w:tc>
        <w:tc>
          <w:tcPr>
            <w:tcW w:w="0" w:type="auto"/>
            <w:tcBorders>
              <w:top w:val="single" w:sz="6" w:space="0" w:color="000000"/>
              <w:left w:val="single" w:sz="6" w:space="0" w:color="000000"/>
            </w:tcBorders>
            <w:tcMar>
              <w:top w:w="0" w:type="dxa"/>
              <w:left w:w="108" w:type="dxa"/>
              <w:bottom w:w="0" w:type="dxa"/>
              <w:right w:w="110"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每笔1000元</w:t>
            </w:r>
          </w:p>
        </w:tc>
      </w:tr>
    </w:tbl>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本基金C类基金份额不收取申购费用。</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A类基金份额的申购费用由申购A类基金份额的投资者承担，不列入基金财产，主要用于本基金的市场推广、销售、登记等各项费用。</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赎回费用</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基金赎回费率按基金份额持有人持有该部分基金份额的时间分段设定。</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本基金A类基金份额的赎回费率具体如下：</w:t>
      </w:r>
    </w:p>
    <w:tbl>
      <w:tblPr>
        <w:tblStyle w:val="tableTable"/>
        <w:tblW w:w="7940" w:type="dxa"/>
        <w:jc w:val="center"/>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3113"/>
        <w:gridCol w:w="1713"/>
        <w:gridCol w:w="3114"/>
      </w:tblGrid>
      <w:tr w:rsidR="008333A9">
        <w:trPr>
          <w:trHeight w:val="460"/>
          <w:jc w:val="center"/>
        </w:trPr>
        <w:tc>
          <w:tcPr>
            <w:tcW w:w="0" w:type="auto"/>
            <w:tcBorders>
              <w:bottom w:val="single" w:sz="6" w:space="0" w:color="000000"/>
              <w:right w:val="single" w:sz="6" w:space="0" w:color="000000"/>
            </w:tcBorders>
            <w:tcMar>
              <w:top w:w="0" w:type="dxa"/>
              <w:left w:w="110"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持有期限（N）</w:t>
            </w:r>
          </w:p>
        </w:tc>
        <w:tc>
          <w:tcPr>
            <w:tcW w:w="0" w:type="auto"/>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赎回费率</w:t>
            </w:r>
          </w:p>
        </w:tc>
        <w:tc>
          <w:tcPr>
            <w:tcW w:w="0" w:type="auto"/>
            <w:tcBorders>
              <w:left w:val="single" w:sz="6" w:space="0" w:color="000000"/>
              <w:bottom w:val="single" w:sz="6" w:space="0" w:color="000000"/>
            </w:tcBorders>
            <w:tcMar>
              <w:top w:w="0" w:type="dxa"/>
              <w:left w:w="108" w:type="dxa"/>
              <w:bottom w:w="0" w:type="dxa"/>
              <w:right w:w="110"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归入基金资产比例</w:t>
            </w:r>
          </w:p>
        </w:tc>
      </w:tr>
      <w:tr w:rsidR="008333A9">
        <w:trPr>
          <w:trHeight w:val="460"/>
          <w:jc w:val="center"/>
        </w:trPr>
        <w:tc>
          <w:tcPr>
            <w:tcW w:w="0" w:type="auto"/>
            <w:tcBorders>
              <w:top w:val="single" w:sz="6" w:space="0" w:color="000000"/>
              <w:bottom w:val="single" w:sz="6" w:space="0" w:color="000000"/>
              <w:right w:val="single" w:sz="6" w:space="0" w:color="000000"/>
            </w:tcBorders>
            <w:tcMar>
              <w:top w:w="0" w:type="dxa"/>
              <w:left w:w="110"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N＜7天</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1.50%</w:t>
            </w:r>
          </w:p>
        </w:tc>
        <w:tc>
          <w:tcPr>
            <w:tcW w:w="0" w:type="auto"/>
            <w:tcBorders>
              <w:top w:val="single" w:sz="6" w:space="0" w:color="000000"/>
              <w:left w:val="single" w:sz="6" w:space="0" w:color="000000"/>
              <w:bottom w:val="single" w:sz="6" w:space="0" w:color="000000"/>
            </w:tcBorders>
            <w:tcMar>
              <w:top w:w="0" w:type="dxa"/>
              <w:left w:w="108" w:type="dxa"/>
              <w:bottom w:w="0" w:type="dxa"/>
              <w:right w:w="110"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100%</w:t>
            </w:r>
          </w:p>
        </w:tc>
      </w:tr>
      <w:tr w:rsidR="008333A9">
        <w:trPr>
          <w:trHeight w:val="460"/>
          <w:jc w:val="center"/>
        </w:trPr>
        <w:tc>
          <w:tcPr>
            <w:tcW w:w="0" w:type="auto"/>
            <w:tcBorders>
              <w:top w:val="single" w:sz="6" w:space="0" w:color="000000"/>
              <w:bottom w:val="single" w:sz="6" w:space="0" w:color="000000"/>
              <w:right w:val="single" w:sz="6" w:space="0" w:color="000000"/>
            </w:tcBorders>
            <w:tcMar>
              <w:top w:w="0" w:type="dxa"/>
              <w:left w:w="110"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7天≤N＜1个月</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0.75%</w:t>
            </w:r>
          </w:p>
        </w:tc>
        <w:tc>
          <w:tcPr>
            <w:tcW w:w="0" w:type="auto"/>
            <w:tcBorders>
              <w:top w:val="single" w:sz="6" w:space="0" w:color="000000"/>
              <w:left w:val="single" w:sz="6" w:space="0" w:color="000000"/>
              <w:bottom w:val="single" w:sz="6" w:space="0" w:color="000000"/>
            </w:tcBorders>
            <w:tcMar>
              <w:top w:w="0" w:type="dxa"/>
              <w:left w:w="108" w:type="dxa"/>
              <w:bottom w:w="0" w:type="dxa"/>
              <w:right w:w="110"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100%</w:t>
            </w:r>
          </w:p>
        </w:tc>
      </w:tr>
      <w:tr w:rsidR="008333A9">
        <w:trPr>
          <w:trHeight w:val="460"/>
          <w:jc w:val="center"/>
        </w:trPr>
        <w:tc>
          <w:tcPr>
            <w:tcW w:w="0" w:type="auto"/>
            <w:tcBorders>
              <w:top w:val="single" w:sz="6" w:space="0" w:color="000000"/>
              <w:bottom w:val="single" w:sz="6" w:space="0" w:color="000000"/>
              <w:right w:val="single" w:sz="6" w:space="0" w:color="000000"/>
            </w:tcBorders>
            <w:tcMar>
              <w:top w:w="0" w:type="dxa"/>
              <w:left w:w="110"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1个月≤N＜3个月</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0.50%</w:t>
            </w:r>
          </w:p>
        </w:tc>
        <w:tc>
          <w:tcPr>
            <w:tcW w:w="0" w:type="auto"/>
            <w:tcBorders>
              <w:top w:val="single" w:sz="6" w:space="0" w:color="000000"/>
              <w:left w:val="single" w:sz="6" w:space="0" w:color="000000"/>
              <w:bottom w:val="single" w:sz="6" w:space="0" w:color="000000"/>
            </w:tcBorders>
            <w:tcMar>
              <w:top w:w="0" w:type="dxa"/>
              <w:left w:w="108" w:type="dxa"/>
              <w:bottom w:w="0" w:type="dxa"/>
              <w:right w:w="110"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75%</w:t>
            </w:r>
          </w:p>
        </w:tc>
      </w:tr>
      <w:tr w:rsidR="008333A9">
        <w:trPr>
          <w:trHeight w:val="460"/>
          <w:jc w:val="center"/>
        </w:trPr>
        <w:tc>
          <w:tcPr>
            <w:tcW w:w="0" w:type="auto"/>
            <w:tcBorders>
              <w:top w:val="single" w:sz="6" w:space="0" w:color="000000"/>
              <w:bottom w:val="single" w:sz="6" w:space="0" w:color="000000"/>
              <w:right w:val="single" w:sz="6" w:space="0" w:color="000000"/>
            </w:tcBorders>
            <w:tcMar>
              <w:top w:w="0" w:type="dxa"/>
              <w:left w:w="110"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3个月≤N＜6个月</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0.50%</w:t>
            </w:r>
          </w:p>
        </w:tc>
        <w:tc>
          <w:tcPr>
            <w:tcW w:w="0" w:type="auto"/>
            <w:tcBorders>
              <w:top w:val="single" w:sz="6" w:space="0" w:color="000000"/>
              <w:left w:val="single" w:sz="6" w:space="0" w:color="000000"/>
              <w:bottom w:val="single" w:sz="6" w:space="0" w:color="000000"/>
            </w:tcBorders>
            <w:tcMar>
              <w:top w:w="0" w:type="dxa"/>
              <w:left w:w="108" w:type="dxa"/>
              <w:bottom w:w="0" w:type="dxa"/>
              <w:right w:w="110"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50%</w:t>
            </w:r>
          </w:p>
        </w:tc>
      </w:tr>
      <w:tr w:rsidR="008333A9">
        <w:trPr>
          <w:trHeight w:val="460"/>
          <w:jc w:val="center"/>
        </w:trPr>
        <w:tc>
          <w:tcPr>
            <w:tcW w:w="0" w:type="auto"/>
            <w:tcBorders>
              <w:top w:val="single" w:sz="6" w:space="0" w:color="000000"/>
              <w:right w:val="single" w:sz="6" w:space="0" w:color="000000"/>
            </w:tcBorders>
            <w:tcMar>
              <w:top w:w="0" w:type="dxa"/>
              <w:left w:w="110"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N≥6个月</w:t>
            </w:r>
          </w:p>
        </w:tc>
        <w:tc>
          <w:tcPr>
            <w:tcW w:w="0" w:type="auto"/>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0</w:t>
            </w:r>
          </w:p>
        </w:tc>
        <w:tc>
          <w:tcPr>
            <w:tcW w:w="0" w:type="auto"/>
            <w:tcBorders>
              <w:top w:val="single" w:sz="6" w:space="0" w:color="000000"/>
              <w:left w:val="single" w:sz="6" w:space="0" w:color="000000"/>
            </w:tcBorders>
            <w:tcMar>
              <w:top w:w="0" w:type="dxa"/>
              <w:left w:w="108" w:type="dxa"/>
              <w:bottom w:w="0" w:type="dxa"/>
              <w:right w:w="110"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w:t>
            </w:r>
          </w:p>
        </w:tc>
      </w:tr>
    </w:tbl>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注：1个月按30天计算</w:t>
      </w:r>
    </w:p>
    <w:p w:rsidR="008333A9" w:rsidRDefault="0002249C">
      <w:pPr>
        <w:pStyle w:val="div"/>
        <w:spacing w:after="216"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本基金C类基金份额的赎回费率具体如下：</w:t>
      </w:r>
    </w:p>
    <w:tbl>
      <w:tblPr>
        <w:tblStyle w:val="tableTable"/>
        <w:tblW w:w="7940" w:type="dxa"/>
        <w:jc w:val="center"/>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2772"/>
        <w:gridCol w:w="1834"/>
        <w:gridCol w:w="3334"/>
      </w:tblGrid>
      <w:tr w:rsidR="008333A9">
        <w:trPr>
          <w:trHeight w:val="460"/>
          <w:jc w:val="center"/>
        </w:trPr>
        <w:tc>
          <w:tcPr>
            <w:tcW w:w="0" w:type="auto"/>
            <w:tcBorders>
              <w:bottom w:val="single" w:sz="6" w:space="0" w:color="000000"/>
              <w:right w:val="single" w:sz="6" w:space="0" w:color="000000"/>
            </w:tcBorders>
            <w:tcMar>
              <w:top w:w="0" w:type="dxa"/>
              <w:left w:w="110"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持有期限（N）</w:t>
            </w:r>
          </w:p>
        </w:tc>
        <w:tc>
          <w:tcPr>
            <w:tcW w:w="0" w:type="auto"/>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赎回费率</w:t>
            </w:r>
          </w:p>
        </w:tc>
        <w:tc>
          <w:tcPr>
            <w:tcW w:w="0" w:type="auto"/>
            <w:tcBorders>
              <w:left w:val="single" w:sz="6" w:space="0" w:color="000000"/>
              <w:bottom w:val="single" w:sz="6" w:space="0" w:color="000000"/>
            </w:tcBorders>
            <w:tcMar>
              <w:top w:w="0" w:type="dxa"/>
              <w:left w:w="108" w:type="dxa"/>
              <w:bottom w:w="0" w:type="dxa"/>
              <w:right w:w="110"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归入基金资产比例</w:t>
            </w:r>
          </w:p>
        </w:tc>
      </w:tr>
      <w:tr w:rsidR="008333A9">
        <w:trPr>
          <w:trHeight w:val="460"/>
          <w:jc w:val="center"/>
        </w:trPr>
        <w:tc>
          <w:tcPr>
            <w:tcW w:w="0" w:type="auto"/>
            <w:tcBorders>
              <w:top w:val="single" w:sz="6" w:space="0" w:color="000000"/>
              <w:bottom w:val="single" w:sz="6" w:space="0" w:color="000000"/>
              <w:right w:val="single" w:sz="6" w:space="0" w:color="000000"/>
            </w:tcBorders>
            <w:tcMar>
              <w:top w:w="0" w:type="dxa"/>
              <w:left w:w="110"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N＜7天</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1.50%</w:t>
            </w:r>
          </w:p>
        </w:tc>
        <w:tc>
          <w:tcPr>
            <w:tcW w:w="0" w:type="auto"/>
            <w:tcBorders>
              <w:top w:val="single" w:sz="6" w:space="0" w:color="000000"/>
              <w:left w:val="single" w:sz="6" w:space="0" w:color="000000"/>
              <w:bottom w:val="single" w:sz="6" w:space="0" w:color="000000"/>
            </w:tcBorders>
            <w:tcMar>
              <w:top w:w="0" w:type="dxa"/>
              <w:left w:w="108" w:type="dxa"/>
              <w:bottom w:w="0" w:type="dxa"/>
              <w:right w:w="110"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100%</w:t>
            </w:r>
          </w:p>
        </w:tc>
      </w:tr>
      <w:tr w:rsidR="008333A9">
        <w:trPr>
          <w:trHeight w:val="460"/>
          <w:jc w:val="center"/>
        </w:trPr>
        <w:tc>
          <w:tcPr>
            <w:tcW w:w="0" w:type="auto"/>
            <w:tcBorders>
              <w:top w:val="single" w:sz="6" w:space="0" w:color="000000"/>
              <w:bottom w:val="single" w:sz="6" w:space="0" w:color="000000"/>
              <w:right w:val="single" w:sz="6" w:space="0" w:color="000000"/>
            </w:tcBorders>
            <w:tcMar>
              <w:top w:w="0" w:type="dxa"/>
              <w:left w:w="110"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7天≤N＜30天</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0.50%</w:t>
            </w:r>
          </w:p>
        </w:tc>
        <w:tc>
          <w:tcPr>
            <w:tcW w:w="0" w:type="auto"/>
            <w:tcBorders>
              <w:top w:val="single" w:sz="6" w:space="0" w:color="000000"/>
              <w:left w:val="single" w:sz="6" w:space="0" w:color="000000"/>
              <w:bottom w:val="single" w:sz="6" w:space="0" w:color="000000"/>
            </w:tcBorders>
            <w:tcMar>
              <w:top w:w="0" w:type="dxa"/>
              <w:left w:w="108" w:type="dxa"/>
              <w:bottom w:w="0" w:type="dxa"/>
              <w:right w:w="110"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100%</w:t>
            </w:r>
          </w:p>
        </w:tc>
      </w:tr>
      <w:tr w:rsidR="008333A9">
        <w:trPr>
          <w:trHeight w:val="460"/>
          <w:jc w:val="center"/>
        </w:trPr>
        <w:tc>
          <w:tcPr>
            <w:tcW w:w="0" w:type="auto"/>
            <w:tcBorders>
              <w:top w:val="single" w:sz="6" w:space="0" w:color="000000"/>
              <w:right w:val="single" w:sz="6" w:space="0" w:color="000000"/>
            </w:tcBorders>
            <w:tcMar>
              <w:top w:w="0" w:type="dxa"/>
              <w:left w:w="110"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N≥30天</w:t>
            </w:r>
          </w:p>
        </w:tc>
        <w:tc>
          <w:tcPr>
            <w:tcW w:w="0" w:type="auto"/>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0</w:t>
            </w:r>
          </w:p>
        </w:tc>
        <w:tc>
          <w:tcPr>
            <w:tcW w:w="0" w:type="auto"/>
            <w:tcBorders>
              <w:top w:val="single" w:sz="6" w:space="0" w:color="000000"/>
              <w:left w:val="single" w:sz="6" w:space="0" w:color="000000"/>
            </w:tcBorders>
            <w:tcMar>
              <w:top w:w="0" w:type="dxa"/>
              <w:left w:w="108" w:type="dxa"/>
              <w:bottom w:w="0" w:type="dxa"/>
              <w:right w:w="110" w:type="dxa"/>
            </w:tcMar>
            <w:vAlign w:val="center"/>
          </w:tcPr>
          <w:p w:rsidR="008333A9" w:rsidRDefault="0002249C">
            <w:pPr>
              <w:pStyle w:val="div"/>
              <w:jc w:val="center"/>
              <w:rPr>
                <w:rStyle w:val="custom"/>
                <w:rFonts w:ascii="宋体" w:hAnsi="宋体" w:cs="宋体"/>
                <w:color w:val="000000"/>
                <w:kern w:val="0"/>
                <w:sz w:val="24"/>
                <w:szCs w:val="24"/>
              </w:rPr>
            </w:pPr>
            <w:r>
              <w:rPr>
                <w:rStyle w:val="custom"/>
                <w:rFonts w:ascii="宋体" w:hAnsi="宋体" w:cs="宋体"/>
                <w:color w:val="000000"/>
                <w:kern w:val="0"/>
                <w:sz w:val="24"/>
                <w:szCs w:val="24"/>
              </w:rPr>
              <w:t>--</w:t>
            </w:r>
          </w:p>
        </w:tc>
      </w:tr>
    </w:tbl>
    <w:p w:rsidR="008333A9" w:rsidRDefault="0002249C">
      <w:pPr>
        <w:pStyle w:val="div"/>
        <w:spacing w:line="360" w:lineRule="auto"/>
        <w:ind w:firstLine="420"/>
        <w:jc w:val="left"/>
        <w:rPr>
          <w:rStyle w:val="custom"/>
          <w:rFonts w:ascii="宋体" w:hAnsi="宋体" w:cs="宋体"/>
          <w:kern w:val="0"/>
          <w:sz w:val="24"/>
          <w:szCs w:val="24"/>
        </w:rPr>
      </w:pPr>
      <w:r>
        <w:rPr>
          <w:rStyle w:val="custom"/>
          <w:rFonts w:ascii="宋体" w:hAnsi="宋体" w:cs="宋体"/>
          <w:kern w:val="0"/>
          <w:sz w:val="24"/>
          <w:szCs w:val="24"/>
        </w:rPr>
        <w:t>赎回费用由赎回基金份额的基金份额持有人承担，在基金份额持有人赎回基金份额时收取。赎回费中扣除应</w:t>
      </w:r>
      <w:proofErr w:type="gramStart"/>
      <w:r>
        <w:rPr>
          <w:rStyle w:val="custom"/>
          <w:rFonts w:ascii="宋体" w:hAnsi="宋体" w:cs="宋体"/>
          <w:kern w:val="0"/>
          <w:sz w:val="24"/>
          <w:szCs w:val="24"/>
        </w:rPr>
        <w:t>归基金</w:t>
      </w:r>
      <w:proofErr w:type="gramEnd"/>
      <w:r>
        <w:rPr>
          <w:rStyle w:val="custom"/>
          <w:rFonts w:ascii="宋体" w:hAnsi="宋体" w:cs="宋体"/>
          <w:kern w:val="0"/>
          <w:sz w:val="24"/>
          <w:szCs w:val="24"/>
        </w:rPr>
        <w:t>财产的部分后，其余用于支付登记费和其他必要的手续费。</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基金管理人可以在基金合同约定的范围内调整费率或收费方式，并最迟应于新的费率或收费方式实施日前依照《信息披露办法》的有关规定在规定媒介上公告。</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lastRenderedPageBreak/>
        <w:t>4、</w:t>
      </w:r>
      <w:r>
        <w:rPr>
          <w:rFonts w:ascii="宋体" w:hAnsi="宋体" w:cs="宋体"/>
          <w:kern w:val="0"/>
          <w:sz w:val="24"/>
          <w:szCs w:val="24"/>
        </w:rPr>
        <w:t>当本基金发生大额申购或赎回情形时，基金管理人可以采用摆动定价机制，以确保基金估值的公平性。具体处理原则与操作规范遵循相关法律法规以及监管部门、自律规则的规定。基金管理人依照《信息披露办法》的有关规定，将摆动定价机制的具体操作规则在规定媒介上公告。</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基金管理人可以在不违反法律法规规定及基金合同约定的情形下根据市场情况制定基金促销计划，定期或不定期地开展基金促销活动。在基金促销活动期间，在对存量基金份额持有人利益无实质性不利影响的前提下，按相关监管部门要求履行必要手续后，基金管理人可以适当调低基金销售费率。</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七、</w:t>
      </w:r>
      <w:r>
        <w:rPr>
          <w:rFonts w:ascii="宋体" w:hAnsi="宋体" w:cs="宋体"/>
          <w:kern w:val="0"/>
          <w:sz w:val="24"/>
          <w:szCs w:val="24"/>
        </w:rPr>
        <w:t>申购份额与赎回金额的计算</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本基金申购份额的计算</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（1）申购A类基金份额</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A类基金份额的申购金额包括申购费用和净申购金额，其中：</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1）申购费用适用比例费率时：</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净申购金额=申购金额/（1＋申购费率）</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申购费用=申购金额-净申购金额</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申购份额=净申购金额/申购当日A类基金份额净值</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2）申购费用适用固定金额时：</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申购费用=固定金额</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净申购金额=申购金额-申购费用</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申购份额=净申购金额/申购当日A类基金份额净值</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（2）申购C类基金份额</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申购份额=申购金额/申购当日C类基金份额净值</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（3）上述申购份额计算结果保留到小数点后2位，小数点2位以后的部分四舍五入，由此误差产生的收益或损失由基金财产承担。</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例1.某投资者（非特定投资群体）投资50,000元申购本基金A类基金份额，其对应的申购费率为1.50%，假设申购当日A类基金份额净值为1.0520元，则可得到的申购份额为：</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净申购金额=50,000/（1+1.50%）=49,261.08元</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申购费用=50,000–49,261.08=738.92元</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lastRenderedPageBreak/>
        <w:t>申购份额=49,261.08/1.0520=46,826.12份</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即：投资者（非特定投资群体）投资50,000元申购本基金A类基金份额，其对应的申购费率为1.50%，假设申购当日A类基金份额净值为1.0520元，则其可得到46,826.12份A类基金份额。</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例2.某特定投资群体客户通过本公司直销中心投资10万元申购本基金A类基金份额，其申购费金额为500元，假设申购当日A类基金份额净值为1.0150元，则其可得到的申购份额</w:t>
      </w:r>
      <w:r>
        <w:rPr>
          <w:rStyle w:val="custom"/>
          <w:rFonts w:ascii="宋体" w:hAnsi="宋体" w:cs="宋体" w:hint="eastAsia"/>
          <w:kern w:val="0"/>
          <w:sz w:val="24"/>
          <w:szCs w:val="24"/>
        </w:rPr>
        <w:t>为</w:t>
      </w:r>
      <w:r>
        <w:rPr>
          <w:rStyle w:val="custom"/>
          <w:rFonts w:ascii="宋体" w:hAnsi="宋体" w:cs="宋体"/>
          <w:kern w:val="0"/>
          <w:sz w:val="24"/>
          <w:szCs w:val="24"/>
        </w:rPr>
        <w:t>：</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净申购金额=100,000-500=99,500.00元</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申购份额=99,500.00/1.0150=98,029.56份</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即：特定投资群体客户通过本公司直销中心投资10万元申购本基金A类基金份额，对应申购费为500元，假设申购当日的A类基金份额净值为1.0150元，则其可得到98,029.56份A类基金份额。</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例3.某投资者投资50,000元申购本基金C类基金份额，假设申购当日C类基金份额净值为1.0520元，则其可得到的C类基金份额为：</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申购份额=50,000.00/1.0520=47,528.52份</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即：投资者投资50,000元申购本基金C类基金份额，假设申购当日C类基金份额净值为1.0520元，则可得到47,528.52份C类基金份额。</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本基金赎回金额的计算</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本基金赎回采用“份额赎回”的方式，</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赎回金额以当日该类基金份额净值为基准进行计算，计算公式：</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赎回总金额=赎回份额×赎回当日该类基金份额净值</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赎回费用=赎回总金额×赎回费率</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净赎回金额=赎回总金额-赎回费用</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上述计算结果均按四舍五入方法，保留到小数点后2位，由此产生的收益或损失由基金财产承担。</w:t>
      </w:r>
    </w:p>
    <w:p w:rsidR="008333A9" w:rsidRDefault="0002249C">
      <w:pPr>
        <w:pStyle w:val="div"/>
        <w:spacing w:line="360" w:lineRule="auto"/>
        <w:ind w:firstLine="420"/>
        <w:jc w:val="left"/>
        <w:rPr>
          <w:rStyle w:val="custom"/>
          <w:rFonts w:ascii="宋体" w:hAnsi="宋体" w:cs="宋体"/>
          <w:kern w:val="0"/>
          <w:sz w:val="24"/>
          <w:szCs w:val="24"/>
        </w:rPr>
      </w:pPr>
      <w:r>
        <w:rPr>
          <w:rStyle w:val="custom"/>
          <w:rFonts w:ascii="宋体" w:hAnsi="宋体" w:cs="宋体"/>
          <w:kern w:val="0"/>
          <w:sz w:val="24"/>
          <w:szCs w:val="24"/>
        </w:rPr>
        <w:t>例4.某投资者在持有期限未满7日时赎回本基金10,000份A类基金份额，对应的赎回费率为1.50%，假设赎回当日A类基金份额的基金份额净值是1.0520元，则其可得到的净赎回金额为：</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赎回总金额=10,000×1.0520=10,520.00元</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lastRenderedPageBreak/>
        <w:t>赎回费用=10,520.00×1.50%=157.80元</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净赎回金额=10,520.00-157.80=10,362.20元</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即：投资者在持有期限未满7日时赎回本基金10,000份A类基金份额，对应的赎回费率为1.50%，假设赎回当日A类基金份额的基金份额净值是1.0520元，则其可得到的净赎回金额为10,362.20元。</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基金份额净值的计算</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各类基金份额净值的计算，均保留到小数点后4位，小数点后第5位四舍五入，由此产生的收益或损失由基金财产承担。T日的各类基金份额净值在当天收市后计算，并根据基金合同的约定公告。遇特殊情况，经履行适当程序，可以适当延迟计算或公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本基金A类、C类基金份额将分别计算基金份额净值。</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八、</w:t>
      </w:r>
      <w:r>
        <w:rPr>
          <w:rFonts w:ascii="宋体" w:hAnsi="宋体" w:cs="宋体"/>
          <w:kern w:val="0"/>
          <w:sz w:val="24"/>
          <w:szCs w:val="24"/>
        </w:rPr>
        <w:t>拒绝或暂停申购的情形</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发生下列情况时，基金管理人可拒绝或暂停接受投资人的申购申请：</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1、因不可抗力导致基金无法正常运作或者因不可抗力导致基金管理人无法接受投资人的申购申请。</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2、发生基金合同规定的暂停基金资产估值情况时，基金管理人可暂停接受投资人的申购申请。</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3、证券/期货交易所交易时间非正常停市，导致基金管理人无法计算当日基金资产净值。</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4、接受某笔或某些申购申请可能会影响或损害现有基金份额持有人利益时。</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5、基金资产规模过大，使基金管理人无法找到合适的投资品种，或其他可能对基金业绩产生负面影响，或发生其他损害现有基金份额持有人利益的情形。</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6、当前一估值日基金资产净值50%以上的资产出现无可参考的活跃市场价格且采用估值技术</w:t>
      </w:r>
      <w:proofErr w:type="gramStart"/>
      <w:r>
        <w:rPr>
          <w:rFonts w:ascii="宋体" w:hAnsi="宋体" w:cs="宋体"/>
          <w:kern w:val="0"/>
          <w:sz w:val="24"/>
          <w:szCs w:val="24"/>
        </w:rPr>
        <w:t>仍导致</w:t>
      </w:r>
      <w:proofErr w:type="gramEnd"/>
      <w:r>
        <w:rPr>
          <w:rFonts w:ascii="宋体" w:hAnsi="宋体" w:cs="宋体"/>
          <w:kern w:val="0"/>
          <w:sz w:val="24"/>
          <w:szCs w:val="24"/>
        </w:rPr>
        <w:t>公允价值存在重大不确定性时，经与基金托管人协商确认后，基金管理人应当暂停接受基金申购申请。</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7、申请超过基金管理人设定的基金总规模、单日申购金额上限、单日净申购比例上限、单个投资者累计持有份额上限、单个投资者单日或单笔申购金额上限的。</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8、基金管理人接受某笔或者某些申购申请有可能导致单一投资者（基金管</w:t>
      </w:r>
      <w:r>
        <w:rPr>
          <w:rFonts w:ascii="宋体" w:hAnsi="宋体" w:cs="宋体"/>
          <w:kern w:val="0"/>
          <w:sz w:val="24"/>
          <w:szCs w:val="24"/>
        </w:rPr>
        <w:lastRenderedPageBreak/>
        <w:t>理人、基金管理人高级管理人员或基金经理等人员作为发起资金提供方除外）持有基金份额的比例达到或者超过50%，或者变相规避50%集中度的情形。</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9、基金管理人、基金托管人、基金销售机构、登记机构、支付结算机构等因异常情况导致基金销售系统、基金销售支付结算系统、基金登记结算系统、基金会计系统无法正常运行。</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10、基金参与港股</w:t>
      </w:r>
      <w:proofErr w:type="gramStart"/>
      <w:r>
        <w:rPr>
          <w:rFonts w:ascii="宋体" w:hAnsi="宋体" w:cs="宋体"/>
          <w:kern w:val="0"/>
          <w:sz w:val="24"/>
          <w:szCs w:val="24"/>
        </w:rPr>
        <w:t>通交易且港股通交易</w:t>
      </w:r>
      <w:proofErr w:type="gramEnd"/>
      <w:r>
        <w:rPr>
          <w:rFonts w:ascii="宋体" w:hAnsi="宋体" w:cs="宋体"/>
          <w:kern w:val="0"/>
          <w:sz w:val="24"/>
          <w:szCs w:val="24"/>
        </w:rPr>
        <w:t>每日额度不足。</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11、法律法规规定或中国证监会认定的其他情形。</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发生除上述第4、7、8项暂停申购情形之一</w:t>
      </w:r>
      <w:proofErr w:type="gramStart"/>
      <w:r>
        <w:rPr>
          <w:rFonts w:ascii="宋体" w:hAnsi="宋体" w:cs="宋体"/>
          <w:kern w:val="0"/>
          <w:sz w:val="24"/>
          <w:szCs w:val="24"/>
        </w:rPr>
        <w:t>且基金</w:t>
      </w:r>
      <w:proofErr w:type="gramEnd"/>
      <w:r>
        <w:rPr>
          <w:rFonts w:ascii="宋体" w:hAnsi="宋体" w:cs="宋体"/>
          <w:kern w:val="0"/>
          <w:sz w:val="24"/>
          <w:szCs w:val="24"/>
        </w:rPr>
        <w:t>管理人决定暂停接受投资人申购申请时，基金管理人应当根据有关规定在规定媒介上刊登暂停申购公告。如果投资人的申购申请被全部或部分拒绝的，被拒绝的申购款项将退还给投资人。在暂停申购的情况消除时，基金管理人应及时恢复申购业务的办理。</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九、</w:t>
      </w:r>
      <w:r>
        <w:rPr>
          <w:rFonts w:ascii="宋体" w:hAnsi="宋体" w:cs="宋体"/>
          <w:kern w:val="0"/>
          <w:sz w:val="24"/>
          <w:szCs w:val="24"/>
        </w:rPr>
        <w:t>暂停赎回或延缓支付赎回款项的情形</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发生下列情形时，基金管理人可暂停接受投资人的赎回申请或延缓支付赎回款项：</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1、因不可抗力导致基金管理人不能支付赎回款项。</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2、发生基金合同规定的暂停基金资产估值情况时，基金管理人可暂停接受投资人的赎回申请或延缓支付赎回款项。</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3、证券/期货交易所交易时间非正常停市，导致基金管理人无法计算当日基金资产净值。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4、连续两个或两个以上开放日发生巨额赎回。</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5、发生继续接受赎回申请将损害现有基金份额持有人利益的情形时，基金管理人可暂停接受基金份额持有人的赎回申请。</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6、当前一估值日基金资产净值50%以上的资产出现无可参考的活跃市场价格且采用估值技术</w:t>
      </w:r>
      <w:proofErr w:type="gramStart"/>
      <w:r>
        <w:rPr>
          <w:rFonts w:ascii="宋体" w:hAnsi="宋体" w:cs="宋体"/>
          <w:kern w:val="0"/>
          <w:sz w:val="24"/>
          <w:szCs w:val="24"/>
        </w:rPr>
        <w:t>仍导致</w:t>
      </w:r>
      <w:proofErr w:type="gramEnd"/>
      <w:r>
        <w:rPr>
          <w:rFonts w:ascii="宋体" w:hAnsi="宋体" w:cs="宋体"/>
          <w:kern w:val="0"/>
          <w:sz w:val="24"/>
          <w:szCs w:val="24"/>
        </w:rPr>
        <w:t>公允价值存在重大不确定性时，经与基金托管人协商确认后，基金管理人应当延缓支付赎回款项或暂停接受基金赎回申请。</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7、法律法规规定或中国证监会认定的其他情形。</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发生上述情形之一</w:t>
      </w:r>
      <w:proofErr w:type="gramStart"/>
      <w:r>
        <w:rPr>
          <w:rFonts w:ascii="宋体" w:hAnsi="宋体" w:cs="宋体"/>
          <w:kern w:val="0"/>
          <w:sz w:val="24"/>
          <w:szCs w:val="24"/>
        </w:rPr>
        <w:t>且基金</w:t>
      </w:r>
      <w:proofErr w:type="gramEnd"/>
      <w:r>
        <w:rPr>
          <w:rFonts w:ascii="宋体" w:hAnsi="宋体" w:cs="宋体"/>
          <w:kern w:val="0"/>
          <w:sz w:val="24"/>
          <w:szCs w:val="24"/>
        </w:rPr>
        <w:t>管理人决定暂停赎回或延缓支付赎回款项时，基金管理人应在当日报中国证监会备案，已确认的赎回申请，基金管理人应足额支付；如暂时不能足额支付，应将可支付部分按单个账户申请量占申请总量的比例分配</w:t>
      </w:r>
      <w:r>
        <w:rPr>
          <w:rFonts w:ascii="宋体" w:hAnsi="宋体" w:cs="宋体"/>
          <w:kern w:val="0"/>
          <w:sz w:val="24"/>
          <w:szCs w:val="24"/>
        </w:rPr>
        <w:lastRenderedPageBreak/>
        <w:t>给赎回申请人，未支付部分可延期支付。若出现上述第4项所述情形，按基金合同的相关条款处理。基金份额持有人在申请赎回时可事先选择将当日可能未获受理部分予以撤销。在暂停赎回的情况消除时，基金管理人应及时恢复赎回业务的办理并公告。</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w:t>
      </w:r>
      <w:r>
        <w:rPr>
          <w:rFonts w:ascii="宋体" w:hAnsi="宋体" w:cs="宋体"/>
          <w:kern w:val="0"/>
          <w:sz w:val="24"/>
          <w:szCs w:val="24"/>
        </w:rPr>
        <w:t>巨额赎回的情形及处理方式</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1、巨额赎回的认定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若本基金单个开放日内的基金份额净赎回申请(赎回申请份额总数加上基金转换中转出申请份额总数后扣除申购申请份额总数及基金转换中转入申请份额总数后的余额，不同类别份额合并计算）超过前一开放日的基金总份额的10%，即认为是发生了巨额赎回。</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2、巨额赎回的处理方式</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当基金出现巨额赎回时，基金管理人可以根据基金当时的资产组合状况决定全额赎回或部分延期赎回。</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（1）全额赎回：当基金管理人认为有能力支付投资人的全部赎回申请时，按正常赎回程序执行。</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10%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延期的赎回申请与下一开放日赎回申请一并处理，无优先权</w:t>
      </w:r>
      <w:proofErr w:type="gramStart"/>
      <w:r>
        <w:rPr>
          <w:rFonts w:ascii="宋体" w:hAnsi="宋体" w:cs="宋体"/>
          <w:kern w:val="0"/>
          <w:sz w:val="24"/>
          <w:szCs w:val="24"/>
        </w:rPr>
        <w:t>并以下</w:t>
      </w:r>
      <w:proofErr w:type="gramEnd"/>
      <w:r>
        <w:rPr>
          <w:rFonts w:ascii="宋体" w:hAnsi="宋体" w:cs="宋体"/>
          <w:kern w:val="0"/>
          <w:sz w:val="24"/>
          <w:szCs w:val="24"/>
        </w:rPr>
        <w:t>一开放日的该类基金份额净值为基础计算赎回金额，以此类推，直到全部赎回为止。</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如投资人在提交赎回申请时未作明确选择，投资人未能赎回部分作自动延期赎回处理。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（3）如发生单个开放日内单个基金份额持有人申请赎回的基金份额超过前一开放日的基金总份额的30%时，本基金管理人可以对该单个基金份额持有人超</w:t>
      </w:r>
      <w:r>
        <w:rPr>
          <w:rFonts w:ascii="宋体" w:hAnsi="宋体" w:cs="宋体"/>
          <w:kern w:val="0"/>
          <w:sz w:val="24"/>
          <w:szCs w:val="24"/>
        </w:rPr>
        <w:lastRenderedPageBreak/>
        <w:t>过30%比例的赎回申请实施延期办理。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对该单个基金份额持有人不超过30%比例的赎回申请，与当日其他赎回申请一起，按上述（1）、（2）方式处理。如下一开放日，该</w:t>
      </w:r>
      <w:proofErr w:type="gramStart"/>
      <w:r>
        <w:rPr>
          <w:rFonts w:ascii="宋体" w:hAnsi="宋体" w:cs="宋体"/>
          <w:kern w:val="0"/>
          <w:sz w:val="24"/>
          <w:szCs w:val="24"/>
        </w:rPr>
        <w:t>单一基金</w:t>
      </w:r>
      <w:proofErr w:type="gramEnd"/>
      <w:r>
        <w:rPr>
          <w:rFonts w:ascii="宋体" w:hAnsi="宋体" w:cs="宋体"/>
          <w:kern w:val="0"/>
          <w:sz w:val="24"/>
          <w:szCs w:val="24"/>
        </w:rPr>
        <w:t>份额持有人剩余未赎回部分仍旧超出前一开放日基金总份额的30%时，继续按前述规则处理，直至该</w:t>
      </w:r>
      <w:proofErr w:type="gramStart"/>
      <w:r>
        <w:rPr>
          <w:rFonts w:ascii="宋体" w:hAnsi="宋体" w:cs="宋体"/>
          <w:kern w:val="0"/>
          <w:sz w:val="24"/>
          <w:szCs w:val="24"/>
        </w:rPr>
        <w:t>单一基金</w:t>
      </w:r>
      <w:proofErr w:type="gramEnd"/>
      <w:r>
        <w:rPr>
          <w:rFonts w:ascii="宋体" w:hAnsi="宋体" w:cs="宋体"/>
          <w:kern w:val="0"/>
          <w:sz w:val="24"/>
          <w:szCs w:val="24"/>
        </w:rPr>
        <w:t>份额持有人单个开放日内申请赎回的基金份额占前一开放日基金总份额的比例低于30%。</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基金管理人在履行适当程序后，有权根据当时市场环境调整前述比例及处理规则，并在规定媒介上进行公告。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暂停赎回：连续2个开放日以上(含本数)发生巨额赎回，如基金管理人认为有必要，可暂停接受基金的赎回申请；已经接受的赎回申请可以延缓支付赎回款项，但不得超过20个工作日，并应当在规定媒介上进行公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3、巨额赎回的公告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当发生上述巨额赎回并延期办理时，基金管理人应当通过邮寄、传真或者招募说明书规定的其他方式在3个交易日内通知基金份额持有人，说明有关处理方法，并在2日内在规定媒介上刊登公告。</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十一、</w:t>
      </w:r>
      <w:r>
        <w:rPr>
          <w:rFonts w:ascii="宋体" w:hAnsi="宋体" w:cs="宋体"/>
          <w:kern w:val="0"/>
          <w:sz w:val="24"/>
          <w:szCs w:val="24"/>
        </w:rPr>
        <w:t>暂停申购或赎回的公告和重新开放申购或赎回的公告</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1、发生上述暂停申购或赎回情况的，基金管理人应在规定期限内在规定媒介上刊登暂停公告。</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基金管理人可以根据暂停申购或赎回的时间，依照《信息披露办法》的有关规定，最迟于重新开放日在规定媒介刊登重新开放申购或赎回的公告；也可以根据实际情况在暂停公告中明确重新开放申购或赎回的时间，届时可不再另行发布重新开放的公告。</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十二、</w:t>
      </w:r>
      <w:r>
        <w:rPr>
          <w:rFonts w:ascii="宋体" w:hAnsi="宋体" w:cs="宋体"/>
          <w:kern w:val="0"/>
          <w:sz w:val="24"/>
          <w:szCs w:val="24"/>
        </w:rPr>
        <w:t>基金转换</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可以根据相关法律法规以及基金合同的规定决定开办本基金与基金管理人管理的其他基金之间的转换业务，基金转换可以收取一定的转换费，相关规则由基金管理人届时根据相关法律法规及基金合同的规定制定并公告，并提前告知基金托管人与相关机构。</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十三、</w:t>
      </w:r>
      <w:r>
        <w:rPr>
          <w:rFonts w:ascii="宋体" w:hAnsi="宋体" w:cs="宋体"/>
          <w:kern w:val="0"/>
          <w:sz w:val="24"/>
          <w:szCs w:val="24"/>
        </w:rPr>
        <w:t>基金份额的转让</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在法律法规允许且条件具备的情况下，且对基金份额持有人无实质性不利影</w:t>
      </w:r>
      <w:r>
        <w:rPr>
          <w:rFonts w:ascii="宋体" w:hAnsi="宋体" w:cs="宋体"/>
          <w:kern w:val="0"/>
          <w:sz w:val="24"/>
          <w:szCs w:val="24"/>
        </w:rPr>
        <w:lastRenderedPageBreak/>
        <w:t>响的前提下，履行相关程序后，基金管理人可受理基金份额持有人通过中国证监会认可的交易场所或者交易方式进行基金份额转让的申请并由登记机构办理基金份额的过户登记。基金管理人拟受理基金份额转让业务的，将提前公告，基金份额持有人应根据基金管理人公告的业务规则办理基金份额转让业务。</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十四、</w:t>
      </w:r>
      <w:r>
        <w:rPr>
          <w:rFonts w:ascii="宋体" w:hAnsi="宋体" w:cs="宋体"/>
          <w:kern w:val="0"/>
          <w:sz w:val="24"/>
          <w:szCs w:val="24"/>
        </w:rPr>
        <w:t>基金的</w:t>
      </w:r>
      <w:proofErr w:type="gramStart"/>
      <w:r>
        <w:rPr>
          <w:rFonts w:ascii="宋体" w:hAnsi="宋体" w:cs="宋体"/>
          <w:kern w:val="0"/>
          <w:sz w:val="24"/>
          <w:szCs w:val="24"/>
        </w:rPr>
        <w:t>非交易</w:t>
      </w:r>
      <w:proofErr w:type="gramEnd"/>
      <w:r>
        <w:rPr>
          <w:rFonts w:ascii="宋体" w:hAnsi="宋体" w:cs="宋体"/>
          <w:kern w:val="0"/>
          <w:sz w:val="24"/>
          <w:szCs w:val="24"/>
        </w:rPr>
        <w:t>过户</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基金的</w:t>
      </w:r>
      <w:proofErr w:type="gramStart"/>
      <w:r>
        <w:rPr>
          <w:rFonts w:ascii="宋体" w:hAnsi="宋体" w:cs="宋体"/>
          <w:kern w:val="0"/>
          <w:sz w:val="24"/>
          <w:szCs w:val="24"/>
        </w:rPr>
        <w:t>非交易</w:t>
      </w:r>
      <w:proofErr w:type="gramEnd"/>
      <w:r>
        <w:rPr>
          <w:rFonts w:ascii="宋体" w:hAnsi="宋体" w:cs="宋体"/>
          <w:kern w:val="0"/>
          <w:sz w:val="24"/>
          <w:szCs w:val="24"/>
        </w:rPr>
        <w:t>过户是指基金登记机构受理继承、捐赠和司法强制执行等情形而产生的</w:t>
      </w:r>
      <w:proofErr w:type="gramStart"/>
      <w:r>
        <w:rPr>
          <w:rFonts w:ascii="宋体" w:hAnsi="宋体" w:cs="宋体"/>
          <w:kern w:val="0"/>
          <w:sz w:val="24"/>
          <w:szCs w:val="24"/>
        </w:rPr>
        <w:t>非交易</w:t>
      </w:r>
      <w:proofErr w:type="gramEnd"/>
      <w:r>
        <w:rPr>
          <w:rFonts w:ascii="宋体" w:hAnsi="宋体" w:cs="宋体"/>
          <w:kern w:val="0"/>
          <w:sz w:val="24"/>
          <w:szCs w:val="24"/>
        </w:rPr>
        <w:t>过户以及登记机构认可、符合法律法规的其它</w:t>
      </w:r>
      <w:proofErr w:type="gramStart"/>
      <w:r>
        <w:rPr>
          <w:rFonts w:ascii="宋体" w:hAnsi="宋体" w:cs="宋体"/>
          <w:kern w:val="0"/>
          <w:sz w:val="24"/>
          <w:szCs w:val="24"/>
        </w:rPr>
        <w:t>非交易</w:t>
      </w:r>
      <w:proofErr w:type="gramEnd"/>
      <w:r>
        <w:rPr>
          <w:rFonts w:ascii="宋体" w:hAnsi="宋体" w:cs="宋体"/>
          <w:kern w:val="0"/>
          <w:sz w:val="24"/>
          <w:szCs w:val="24"/>
        </w:rPr>
        <w:t>过户或者按照相关法律法规或国家有权机关要求的方式进行处理的行为。无论在上述何种情况下，接受划转的主体必须是依法可以持有本</w:t>
      </w:r>
      <w:proofErr w:type="gramStart"/>
      <w:r>
        <w:rPr>
          <w:rFonts w:ascii="宋体" w:hAnsi="宋体" w:cs="宋体"/>
          <w:kern w:val="0"/>
          <w:sz w:val="24"/>
          <w:szCs w:val="24"/>
        </w:rPr>
        <w:t>基金基金</w:t>
      </w:r>
      <w:proofErr w:type="gramEnd"/>
      <w:r>
        <w:rPr>
          <w:rFonts w:ascii="宋体" w:hAnsi="宋体" w:cs="宋体"/>
          <w:kern w:val="0"/>
          <w:sz w:val="24"/>
          <w:szCs w:val="24"/>
        </w:rPr>
        <w:t>份额的投资人。</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继承是指基金份额持有人死亡，其持有的基金份额由其合法的继承人继承；捐赠是指基金份额持有人将其合法持有的基金份额捐赠给福利性质的基金会或社会团体；司法强制执行是指司法机构依据生效司法文书将基金份额持有人持有的基金份额强制划转给其他自然人、法人或其他组织。办理</w:t>
      </w:r>
      <w:proofErr w:type="gramStart"/>
      <w:r>
        <w:rPr>
          <w:rFonts w:ascii="宋体" w:hAnsi="宋体" w:cs="宋体"/>
          <w:kern w:val="0"/>
          <w:sz w:val="24"/>
          <w:szCs w:val="24"/>
        </w:rPr>
        <w:t>非交易</w:t>
      </w:r>
      <w:proofErr w:type="gramEnd"/>
      <w:r>
        <w:rPr>
          <w:rFonts w:ascii="宋体" w:hAnsi="宋体" w:cs="宋体"/>
          <w:kern w:val="0"/>
          <w:sz w:val="24"/>
          <w:szCs w:val="24"/>
        </w:rPr>
        <w:t>过户必须提供基金登记机构要求提供的相关资料，对于符合条件的</w:t>
      </w:r>
      <w:proofErr w:type="gramStart"/>
      <w:r>
        <w:rPr>
          <w:rFonts w:ascii="宋体" w:hAnsi="宋体" w:cs="宋体"/>
          <w:kern w:val="0"/>
          <w:sz w:val="24"/>
          <w:szCs w:val="24"/>
        </w:rPr>
        <w:t>非交易过户申请按</w:t>
      </w:r>
      <w:proofErr w:type="gramEnd"/>
      <w:r>
        <w:rPr>
          <w:rFonts w:ascii="宋体" w:hAnsi="宋体" w:cs="宋体"/>
          <w:kern w:val="0"/>
          <w:sz w:val="24"/>
          <w:szCs w:val="24"/>
        </w:rPr>
        <w:t>基金登记机构的规定办理，并按基金登记机构规定的标准收费。</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十五、</w:t>
      </w:r>
      <w:r>
        <w:rPr>
          <w:rFonts w:ascii="宋体" w:hAnsi="宋体" w:cs="宋体"/>
          <w:kern w:val="0"/>
          <w:sz w:val="24"/>
          <w:szCs w:val="24"/>
        </w:rPr>
        <w:t>基金的转托管</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基金份额持有人可办理已持有基金份额在不同销售机构之间的转托管，基金销售机构可以按照规定的标准收取转托管费。</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十六、</w:t>
      </w:r>
      <w:r>
        <w:rPr>
          <w:rFonts w:ascii="宋体" w:hAnsi="宋体" w:cs="宋体"/>
          <w:kern w:val="0"/>
          <w:sz w:val="24"/>
          <w:szCs w:val="24"/>
        </w:rPr>
        <w:t>定期定额投资计划</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可以为投资人办理定期定额投资计划，具体规则由基金管理人在届时发布的公告或更新的招募说明书中确定。投资人在办理定期定额投资计划时可自行约定每期扣款金额，每期扣款金额必须不低于基金管理人在相关公告或更新的招募说明书中所规定的定期定额投资计划最低申购金额。</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十七、</w:t>
      </w:r>
      <w:r>
        <w:rPr>
          <w:rFonts w:ascii="宋体" w:hAnsi="宋体" w:cs="宋体"/>
          <w:kern w:val="0"/>
          <w:sz w:val="24"/>
          <w:szCs w:val="24"/>
        </w:rPr>
        <w:t>基金份额的冻结和解冻</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基金登记机构只受理国家有权机关依法要求的基金份额的冻结与解冻，以及登记机构认可、符合法律法规的其他情况下的冻结与解冻。</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基金份额被冻结的，被冻结部分产生的权益一并冻结，被冻结部分份额仍然参与收益分配。法律法规或监管机构另有规定的除外。</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十八、</w:t>
      </w:r>
      <w:r>
        <w:rPr>
          <w:rFonts w:ascii="宋体" w:hAnsi="宋体" w:cs="宋体"/>
          <w:kern w:val="0"/>
          <w:sz w:val="24"/>
          <w:szCs w:val="24"/>
        </w:rPr>
        <w:t>实施</w:t>
      </w:r>
      <w:proofErr w:type="gramStart"/>
      <w:r>
        <w:rPr>
          <w:rFonts w:ascii="宋体" w:hAnsi="宋体" w:cs="宋体"/>
          <w:kern w:val="0"/>
          <w:sz w:val="24"/>
          <w:szCs w:val="24"/>
        </w:rPr>
        <w:t>侧袋机制</w:t>
      </w:r>
      <w:proofErr w:type="gramEnd"/>
      <w:r>
        <w:rPr>
          <w:rFonts w:ascii="宋体" w:hAnsi="宋体" w:cs="宋体"/>
          <w:kern w:val="0"/>
          <w:sz w:val="24"/>
          <w:szCs w:val="24"/>
        </w:rPr>
        <w:t>期间本基金的申购与赎回</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lastRenderedPageBreak/>
        <w:t>本基金实施</w:t>
      </w:r>
      <w:proofErr w:type="gramStart"/>
      <w:r>
        <w:rPr>
          <w:rFonts w:ascii="宋体" w:hAnsi="宋体" w:cs="宋体"/>
          <w:kern w:val="0"/>
          <w:sz w:val="24"/>
          <w:szCs w:val="24"/>
        </w:rPr>
        <w:t>侧袋机制</w:t>
      </w:r>
      <w:proofErr w:type="gramEnd"/>
      <w:r>
        <w:rPr>
          <w:rFonts w:ascii="宋体" w:hAnsi="宋体" w:cs="宋体"/>
          <w:kern w:val="0"/>
          <w:sz w:val="24"/>
          <w:szCs w:val="24"/>
        </w:rPr>
        <w:t>的，本基金的申购和赎回安排详见本招募说明书“侧袋机制”章节的规定或相关公告。</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十</w:t>
      </w:r>
      <w:r>
        <w:rPr>
          <w:rFonts w:ascii="宋体" w:hAnsi="宋体" w:cs="宋体" w:hint="eastAsia"/>
          <w:kern w:val="0"/>
          <w:sz w:val="24"/>
          <w:szCs w:val="24"/>
        </w:rPr>
        <w:t>九</w:t>
      </w:r>
      <w:r>
        <w:rPr>
          <w:rFonts w:ascii="宋体" w:hAnsi="宋体" w:cs="宋体"/>
          <w:kern w:val="0"/>
          <w:sz w:val="24"/>
          <w:szCs w:val="24"/>
        </w:rPr>
        <w:t>、如相关法律法规允许基金管理人办理基金份额的质押业务或其他基金业务，基金管理人将制定和实施相应的业务规则。</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hint="eastAsia"/>
          <w:kern w:val="0"/>
          <w:sz w:val="24"/>
          <w:szCs w:val="24"/>
        </w:rPr>
        <w:t>二十</w:t>
      </w:r>
      <w:r>
        <w:rPr>
          <w:rFonts w:ascii="宋体" w:hAnsi="宋体" w:cs="宋体"/>
          <w:kern w:val="0"/>
          <w:sz w:val="24"/>
          <w:szCs w:val="24"/>
        </w:rPr>
        <w:t>、基金管理人可在法律法规允许的范围内，在不影响基金份额持有人实质利益的前提下，根据市场情况对上述申购和赎回的安排进行补充和调整并提前公告。</w:t>
      </w:r>
      <w:r>
        <w:rPr>
          <w:rFonts w:ascii="宋体" w:hAnsi="宋体" w:cs="宋体"/>
          <w:kern w:val="0"/>
          <w:sz w:val="24"/>
          <w:szCs w:val="24"/>
        </w:rPr>
        <w:br w:type="page"/>
      </w:r>
    </w:p>
    <w:p w:rsidR="008333A9" w:rsidRDefault="0002249C">
      <w:pPr>
        <w:pStyle w:val="1"/>
        <w:spacing w:before="0" w:after="0"/>
        <w:jc w:val="center"/>
        <w:rPr>
          <w:rFonts w:ascii="Times New Roman"/>
          <w:color w:val="auto"/>
          <w:sz w:val="30"/>
        </w:rPr>
      </w:pPr>
      <w:bookmarkStart w:id="38" w:name="_Toc256000008"/>
      <w:r>
        <w:rPr>
          <w:rFonts w:ascii="Times New Roman"/>
          <w:color w:val="auto"/>
          <w:sz w:val="30"/>
        </w:rPr>
        <w:lastRenderedPageBreak/>
        <w:t>第九部分</w:t>
      </w:r>
      <w:r>
        <w:rPr>
          <w:rFonts w:ascii="Times New Roman"/>
          <w:color w:val="auto"/>
          <w:sz w:val="30"/>
        </w:rPr>
        <w:t xml:space="preserve">  </w:t>
      </w:r>
      <w:r>
        <w:rPr>
          <w:rFonts w:ascii="Times New Roman"/>
          <w:color w:val="auto"/>
          <w:sz w:val="30"/>
        </w:rPr>
        <w:t>基金的投资</w:t>
      </w:r>
      <w:bookmarkEnd w:id="38"/>
    </w:p>
    <w:p w:rsidR="008333A9" w:rsidRDefault="008333A9"/>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一、投资目标</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本基金在严格控制组合风险的前提下，以基本面分析为立足点，精选通过港股</w:t>
      </w:r>
      <w:proofErr w:type="gramStart"/>
      <w:r>
        <w:rPr>
          <w:rFonts w:ascii="宋体" w:hAnsi="宋体" w:cs="宋体"/>
          <w:kern w:val="0"/>
          <w:sz w:val="24"/>
          <w:szCs w:val="24"/>
        </w:rPr>
        <w:t>通机制</w:t>
      </w:r>
      <w:proofErr w:type="gramEnd"/>
      <w:r>
        <w:rPr>
          <w:rFonts w:ascii="宋体" w:hAnsi="宋体" w:cs="宋体"/>
          <w:kern w:val="0"/>
          <w:sz w:val="24"/>
          <w:szCs w:val="24"/>
        </w:rPr>
        <w:t>交易的优质科技公司，力争实现基金资产的长期稳健增值。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二、投资范围</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的投资范围为具有良好流动性的金融工具，包括国内依法发行上市的股票（含主板、创业板及其他经中国证监会允许上市的股票、存托凭证）、港股通标的股票、债券（包括国债、央行票据、金融债、企业债、公司债、中期票据、短期融资</w:t>
      </w:r>
      <w:proofErr w:type="gramStart"/>
      <w:r>
        <w:rPr>
          <w:rFonts w:ascii="宋体" w:hAnsi="宋体" w:cs="宋体"/>
          <w:kern w:val="0"/>
          <w:sz w:val="24"/>
          <w:szCs w:val="24"/>
        </w:rPr>
        <w:t>券</w:t>
      </w:r>
      <w:proofErr w:type="gramEnd"/>
      <w:r>
        <w:rPr>
          <w:rFonts w:ascii="宋体" w:hAnsi="宋体" w:cs="宋体"/>
          <w:kern w:val="0"/>
          <w:sz w:val="24"/>
          <w:szCs w:val="24"/>
        </w:rPr>
        <w:t>、超短期融资</w:t>
      </w:r>
      <w:proofErr w:type="gramStart"/>
      <w:r>
        <w:rPr>
          <w:rFonts w:ascii="宋体" w:hAnsi="宋体" w:cs="宋体"/>
          <w:kern w:val="0"/>
          <w:sz w:val="24"/>
          <w:szCs w:val="24"/>
        </w:rPr>
        <w:t>券</w:t>
      </w:r>
      <w:proofErr w:type="gramEnd"/>
      <w:r>
        <w:rPr>
          <w:rFonts w:ascii="宋体" w:hAnsi="宋体" w:cs="宋体"/>
          <w:kern w:val="0"/>
          <w:sz w:val="24"/>
          <w:szCs w:val="24"/>
        </w:rPr>
        <w:t>、次级债券、政府支持债券、政府支持机构债券、地方政府债券、可交换债券、可转换债券（含分离交易可转债）及其他经中国证监会允许投资的债券）、信用衍生品、股指期货、国债期货、股票期权、资产支持证券、债券回购、同业存单、银行存款（包含协议存款、定期存款及其他银行存款）、货币市场工具以及法律法规或中国证监会允许基金投资的其他金融工具(但须符合中国证监会相关规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本基金还可根据法律法规参与融资业务。</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如法律法规或监管机构以后允许基金投资其他品种，基金管理人在履行适当程序后，可以将其纳入投资范围。</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基金的投资组合比例为：本基金</w:t>
      </w:r>
      <w:bookmarkStart w:id="39" w:name="_Hlk196659695"/>
      <w:r>
        <w:rPr>
          <w:rFonts w:ascii="宋体" w:hAnsi="宋体" w:cs="宋体"/>
          <w:kern w:val="0"/>
          <w:sz w:val="24"/>
          <w:szCs w:val="24"/>
        </w:rPr>
        <w:t>股票资产占基金资产的比例不低于60%，其中，投资于港股通标的股票的比例不低于非现金资产的80%；本基金投资于本基金界定的科技主题股票的比例不低于非现金基金资产的80%</w:t>
      </w:r>
      <w:bookmarkEnd w:id="39"/>
      <w:r>
        <w:rPr>
          <w:rFonts w:ascii="宋体" w:hAnsi="宋体" w:cs="宋体"/>
          <w:kern w:val="0"/>
          <w:sz w:val="24"/>
          <w:szCs w:val="24"/>
        </w:rPr>
        <w:t>。</w:t>
      </w:r>
      <w:bookmarkStart w:id="40" w:name="_Hlk196660131"/>
      <w:r>
        <w:rPr>
          <w:rFonts w:ascii="宋体" w:hAnsi="宋体" w:cs="宋体"/>
          <w:kern w:val="0"/>
          <w:sz w:val="24"/>
          <w:szCs w:val="24"/>
        </w:rPr>
        <w:t>每个交易日日终在扣除国债期货、股指期货和股票期权合约需缴纳的交易保证金后，本基金保留的现金或投资于到期日在一年以内的政府债券的比例合计不低于基金资产净值的5%。其中现金不包括结算备付金、存出保证金、应收申购款等</w:t>
      </w:r>
      <w:bookmarkEnd w:id="40"/>
      <w:r>
        <w:rPr>
          <w:rFonts w:ascii="宋体" w:hAnsi="宋体" w:cs="宋体"/>
          <w:kern w:val="0"/>
          <w:sz w:val="24"/>
          <w:szCs w:val="24"/>
        </w:rPr>
        <w:t>。</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如法律法规或监管机构变更投资品种的投资比例限制，基金管理人在履行适当程序后，可以调整上述投资品种的投资比例。</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三、投资策略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本基金将在有效控制风险的前提下，采用科学的资产配置策略和精选个股策略，定量与定性分析相结合，力争实现基金资产的长期稳健增值。其中，资产配</w:t>
      </w:r>
      <w:r>
        <w:rPr>
          <w:rFonts w:ascii="宋体" w:hAnsi="宋体" w:cs="宋体"/>
          <w:kern w:val="0"/>
          <w:sz w:val="24"/>
          <w:szCs w:val="24"/>
        </w:rPr>
        <w:lastRenderedPageBreak/>
        <w:t>置策略用于确定大类资产配置比例以期有效规避系统性风险，精选个股策略主要用于发掘科技主题相关的优质上市公司。</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1、资产配置策略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本基金综合分析和持续跟踪基本面、政策面、市场面等多方面因素，结合全球宏观经济形势，</w:t>
      </w:r>
      <w:proofErr w:type="gramStart"/>
      <w:r>
        <w:rPr>
          <w:rFonts w:ascii="宋体" w:hAnsi="宋体" w:cs="宋体"/>
          <w:kern w:val="0"/>
          <w:sz w:val="24"/>
          <w:szCs w:val="24"/>
        </w:rPr>
        <w:t>研</w:t>
      </w:r>
      <w:proofErr w:type="gramEnd"/>
      <w:r>
        <w:rPr>
          <w:rFonts w:ascii="宋体" w:hAnsi="宋体" w:cs="宋体"/>
          <w:kern w:val="0"/>
          <w:sz w:val="24"/>
          <w:szCs w:val="24"/>
        </w:rPr>
        <w:t>判国内外经济的发展趋势，并在严格控制投资组合风险的前提下，对组合中股票、债券、货币市场工具、金融衍生品和法律法规或中国证监会允许基金投资的其他品种的投资比例进行战略配置和动态调整，以规避或分散市场风险，力争实现基金资产的长期稳健增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2、个股精选策略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w:t>
      </w:r>
      <w:r>
        <w:rPr>
          <w:rFonts w:ascii="宋体" w:hAnsi="宋体" w:cs="宋体" w:hint="eastAsia"/>
          <w:kern w:val="0"/>
          <w:sz w:val="24"/>
          <w:szCs w:val="24"/>
        </w:rPr>
        <w:t>科技主题的界定</w:t>
      </w:r>
    </w:p>
    <w:p w:rsidR="008333A9" w:rsidRDefault="0002249C">
      <w:pPr>
        <w:pStyle w:val="div"/>
        <w:spacing w:line="360" w:lineRule="auto"/>
        <w:ind w:firstLine="480"/>
        <w:rPr>
          <w:rFonts w:ascii="宋体" w:hAnsi="宋体" w:cs="宋体"/>
          <w:kern w:val="0"/>
          <w:sz w:val="24"/>
          <w:szCs w:val="24"/>
        </w:rPr>
      </w:pPr>
      <w:r>
        <w:rPr>
          <w:rFonts w:ascii="宋体" w:hAnsi="宋体" w:cs="宋体" w:hint="eastAsia"/>
          <w:kern w:val="0"/>
          <w:sz w:val="24"/>
          <w:szCs w:val="24"/>
        </w:rPr>
        <w:t>科技正以前所未有的速度</w:t>
      </w:r>
      <w:proofErr w:type="gramStart"/>
      <w:r>
        <w:rPr>
          <w:rFonts w:ascii="宋体" w:hAnsi="宋体" w:cs="宋体" w:hint="eastAsia"/>
          <w:kern w:val="0"/>
          <w:sz w:val="24"/>
          <w:szCs w:val="24"/>
        </w:rPr>
        <w:t>重塑着</w:t>
      </w:r>
      <w:proofErr w:type="gramEnd"/>
      <w:r>
        <w:rPr>
          <w:rFonts w:ascii="宋体" w:hAnsi="宋体" w:cs="宋体" w:hint="eastAsia"/>
          <w:kern w:val="0"/>
          <w:sz w:val="24"/>
          <w:szCs w:val="24"/>
        </w:rPr>
        <w:t>世界的每一个角落，重新</w:t>
      </w:r>
      <w:proofErr w:type="gramStart"/>
      <w:r>
        <w:rPr>
          <w:rFonts w:ascii="宋体" w:hAnsi="宋体" w:cs="宋体" w:hint="eastAsia"/>
          <w:kern w:val="0"/>
          <w:sz w:val="24"/>
          <w:szCs w:val="24"/>
        </w:rPr>
        <w:t>定义着</w:t>
      </w:r>
      <w:proofErr w:type="gramEnd"/>
      <w:r>
        <w:rPr>
          <w:rFonts w:ascii="宋体" w:hAnsi="宋体" w:cs="宋体" w:hint="eastAsia"/>
          <w:kern w:val="0"/>
          <w:sz w:val="24"/>
          <w:szCs w:val="24"/>
        </w:rPr>
        <w:t>人类的生活方式。未来，预计我国经济将继续以高质量发展为首要任务，突出科技创新引领产业升级。本基金所关注的科技公司，主要是指那些面向世界科技前沿、面向经济主战场、国家重大需求，主要服务于符合国家战略、拥有关键核心技术、科技创新能力突出、市场认可度高的科技公司，并且该</w:t>
      </w:r>
      <w:proofErr w:type="gramStart"/>
      <w:r>
        <w:rPr>
          <w:rFonts w:ascii="宋体" w:hAnsi="宋体" w:cs="宋体" w:hint="eastAsia"/>
          <w:kern w:val="0"/>
          <w:sz w:val="24"/>
          <w:szCs w:val="24"/>
        </w:rPr>
        <w:t>些科技</w:t>
      </w:r>
      <w:proofErr w:type="gramEnd"/>
      <w:r>
        <w:rPr>
          <w:rFonts w:ascii="宋体" w:hAnsi="宋体" w:cs="宋体" w:hint="eastAsia"/>
          <w:kern w:val="0"/>
          <w:sz w:val="24"/>
          <w:szCs w:val="24"/>
        </w:rPr>
        <w:t>公司研发支出金额占营业收入比例或研发支出金额处于所属行业前三分之一。</w:t>
      </w:r>
    </w:p>
    <w:p w:rsidR="008333A9" w:rsidRDefault="0002249C">
      <w:pPr>
        <w:pStyle w:val="div"/>
        <w:spacing w:line="360" w:lineRule="auto"/>
        <w:ind w:firstLine="480"/>
        <w:rPr>
          <w:rFonts w:ascii="宋体" w:hAnsi="宋体" w:cs="宋体"/>
          <w:kern w:val="0"/>
          <w:sz w:val="24"/>
          <w:szCs w:val="24"/>
        </w:rPr>
      </w:pPr>
      <w:r>
        <w:rPr>
          <w:rFonts w:ascii="宋体" w:hAnsi="宋体" w:cs="宋体" w:hint="eastAsia"/>
          <w:kern w:val="0"/>
          <w:sz w:val="24"/>
          <w:szCs w:val="24"/>
        </w:rPr>
        <w:t>科技主题包含以下两个层面的含义：一是基于科学研究和技术创新，具有高技术门槛、高附加值、难以被模仿和替代的技术领域。二是通过科技的投入与研发实现对传统行业的改造转型，从而重新定义人类的生活方式。</w:t>
      </w:r>
    </w:p>
    <w:p w:rsidR="008333A9" w:rsidRDefault="0002249C">
      <w:pPr>
        <w:pStyle w:val="div"/>
        <w:spacing w:line="360" w:lineRule="auto"/>
        <w:ind w:firstLine="480"/>
        <w:rPr>
          <w:rFonts w:ascii="宋体" w:hAnsi="宋体" w:cs="宋体"/>
          <w:kern w:val="0"/>
          <w:sz w:val="24"/>
          <w:szCs w:val="24"/>
        </w:rPr>
      </w:pPr>
      <w:r>
        <w:rPr>
          <w:rFonts w:ascii="宋体" w:hAnsi="宋体" w:cs="宋体" w:hint="eastAsia"/>
          <w:kern w:val="0"/>
          <w:sz w:val="24"/>
          <w:szCs w:val="24"/>
        </w:rPr>
        <w:t>同时，本基金将对科技的发展进行密切跟踪，随着科学技术的不断发展，相关上市公司的范围也会相应改变。在履行适当必要的程序后，本基金将根据实际情况调整科技主题的界定标准。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（2）股票库的构建</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将结合定量评估、定性分析和估值分析来综合评估备选公司的投资价值，精选行业背景良好、商业模式清晰、公司治理优良、竞争优势突出且估值相对合理的上市公司。具体而言，主要考虑以下几方面因素：</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1）治理结构、公司管理层和财务状况评价</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本基金主要从股东结构和激励约束机制两方面对公司治理进行分析。股东结构主要从股东背景、股权变更情况、关联交易、独立性等方面予以考察，激励约</w:t>
      </w:r>
      <w:r>
        <w:rPr>
          <w:rFonts w:ascii="宋体" w:hAnsi="宋体" w:cs="宋体"/>
          <w:kern w:val="0"/>
          <w:sz w:val="24"/>
          <w:szCs w:val="24"/>
        </w:rPr>
        <w:lastRenderedPageBreak/>
        <w:t>束机制则从股权激励、管理层与股东利益的一致性等方面考察。</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本基金将致力于寻找中国优秀的企业家以及其管理的企业。优秀的企业家具备出色的经营才能，而且怀着清晰、长期的愿景，充满激情，不懈努力，执行力强。</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本基金投资标的</w:t>
      </w:r>
      <w:proofErr w:type="gramStart"/>
      <w:r>
        <w:rPr>
          <w:rFonts w:ascii="宋体" w:hAnsi="宋体" w:cs="宋体"/>
          <w:kern w:val="0"/>
          <w:sz w:val="24"/>
          <w:szCs w:val="24"/>
        </w:rPr>
        <w:t>的</w:t>
      </w:r>
      <w:proofErr w:type="gramEnd"/>
      <w:r>
        <w:rPr>
          <w:rFonts w:ascii="宋体" w:hAnsi="宋体" w:cs="宋体"/>
          <w:kern w:val="0"/>
          <w:sz w:val="24"/>
          <w:szCs w:val="24"/>
        </w:rPr>
        <w:t>财务状况应当健康和稳健。通过对目标企业的资产负债、损益、现金流量的分析，评估企业盈利能力、营运能力、偿债能力及增长能力等财务状况。</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2）企业竞争优势评估</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企业竞争优势评估主要从生产、市场、技术和政策环境等四方面进行分析。生产优势集中体现在能以相对更低的成本为顾客提供更好的产品或服务。市场优势主要表现在产品线、营销渠道及品牌竞争力三方面。技术优势从专利权及知识产权保护、研究开发两方面考察。政策环境主要关注所在行业是否符合国家产业政策的方向。</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3）行业背景和商业模式分析</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主要从行业集中度和行业地位两方面对行业背景进行分析，优选具有较好的行业集中度及行业地位，并具备独特核心竞争优势的企业。企业所在行业有一定的集中度，其主导产品的市场份额高于市场平均水准，而且在经营许可、规模、资源、技术、品牌、创新能力等一个或数个方面具有竞争对手在中长期时间内难以模仿的优势。</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优秀的商业模式通常有以下两种：第一，较强的定价能力，在行业地位领先且稳固，对上下游具有较强的议价能力，能够通过不断提升产品价格或降低成本以提高盈利能力，即使在宏观经济向下的阶段，能够通过控制产量等方式延缓甚至避免价格的下跌；第二，扩张成本低，即利润增长对资本的需求和依赖较低，表现在财务数据上就是净资产收益率高，很少或者几乎不需要股权融资就可以实现较高增长，最好商业模式能够较快复制，能够以较快的速度形成规模效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4）ESG评价优选</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将根据环境（E）、社会（S）和公司治理（G）三个方面的指标对上市公司进行综合评价，在传统财务指标以外评估企业经营的可持续性，对社会的影响，以及公司治理层面的道德水平。以期从ESG的投资理念中找寻真正能够对</w:t>
      </w:r>
      <w:r>
        <w:rPr>
          <w:rFonts w:ascii="宋体" w:hAnsi="宋体" w:cs="宋体"/>
          <w:kern w:val="0"/>
          <w:sz w:val="24"/>
          <w:szCs w:val="24"/>
        </w:rPr>
        <w:lastRenderedPageBreak/>
        <w:t>企业绩效、对企业可持续发展带来贡献的因素。</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具体而言本基金将结合公开披露的信息和主动调研的情况，分为E、S、G三个大类进行评分。E评分指标包括但不限于产业环境风险、资源使用效率、清洁环保投入、环境信息披露水平、监管处罚等方面评估上市公司的环境责任情况；S评分指标包括但不限于对员工的责任、客户和消费者责任、供应链责任、产品质量、纳税贡献、慈善事业发展状况等多个方面评估公司的社会责任情况；G评分指标包括但不限于商业道德、董事会及管理层、股东及股权结构、高管薪酬及激励、分红、财务治理、信息披露透明度等多个方面评估上市公司的治理水平。对以上各细分指标进行定期（一般为中期报告或年度报告时点）或不定期（突发事件）综合评定，再根据公司内部研究体系设定的不同行业加权计算综合得分，并且参考外部第三方ESG评价体系，作为投资评价依据，选择各行业中ESG评价结果优秀的公司进入本基金的核心股票库。</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5）估值精选</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本基金将根据企业所在行业所适用的估值指标进行价值评估，选择股价没有充分反映其长期投资价值的标的，权衡风险收益特征后，构建投资组合。</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3、港股通标的股票的投资策略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考虑到香港股票市场与A股股票市场的差异，对于港股通标的股票，本基金除按照上述“自下而上”的个股精选策略，还将结合公司基本面、国内经济和相关行业发展前景、香港市场资金面和投资者行为，以及世界主要经济体经济发展前景和货币政策、主流资本市场对投资者的相对吸引力等因素，精选符合本基金投资目标的港股通标的股票。</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4、存托凭证的投资策略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本基金投资存托凭证的策略依照上述境内上市交易的股票投资策略执行。</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5、债券投资策略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本基金管理人将基于对国内外宏观经济形势的深入分析、国内外财政政策与货币市场政策等因素对债券市场的影响，进行合理的利率预期，判断债券市场的基本走势，</w:t>
      </w:r>
      <w:proofErr w:type="gramStart"/>
      <w:r>
        <w:rPr>
          <w:rFonts w:ascii="宋体" w:hAnsi="宋体" w:cs="宋体"/>
          <w:kern w:val="0"/>
          <w:sz w:val="24"/>
          <w:szCs w:val="24"/>
        </w:rPr>
        <w:t>制定久期控制</w:t>
      </w:r>
      <w:proofErr w:type="gramEnd"/>
      <w:r>
        <w:rPr>
          <w:rFonts w:ascii="宋体" w:hAnsi="宋体" w:cs="宋体"/>
          <w:kern w:val="0"/>
          <w:sz w:val="24"/>
          <w:szCs w:val="24"/>
        </w:rPr>
        <w:t>下的资产类属配置策略。在债券投资组合构建和管理过程中，本基金管理人将具体采用期限结构配置、市场转换、信用利差和相对价值判断、信用风险评估、现金管理等管理手段进行个</w:t>
      </w:r>
      <w:proofErr w:type="gramStart"/>
      <w:r>
        <w:rPr>
          <w:rFonts w:ascii="宋体" w:hAnsi="宋体" w:cs="宋体"/>
          <w:kern w:val="0"/>
          <w:sz w:val="24"/>
          <w:szCs w:val="24"/>
        </w:rPr>
        <w:t>券</w:t>
      </w:r>
      <w:proofErr w:type="gramEnd"/>
      <w:r>
        <w:rPr>
          <w:rFonts w:ascii="宋体" w:hAnsi="宋体" w:cs="宋体"/>
          <w:kern w:val="0"/>
          <w:sz w:val="24"/>
          <w:szCs w:val="24"/>
        </w:rPr>
        <w:t>选择。</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lastRenderedPageBreak/>
        <w:t>6、可转债及可交换债投资策略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对于本基金中可转债的投资，本基金主要采用可转</w:t>
      </w:r>
      <w:proofErr w:type="gramStart"/>
      <w:r>
        <w:rPr>
          <w:rFonts w:ascii="宋体" w:hAnsi="宋体" w:cs="宋体"/>
          <w:kern w:val="0"/>
          <w:sz w:val="24"/>
          <w:szCs w:val="24"/>
        </w:rPr>
        <w:t>债相对</w:t>
      </w:r>
      <w:proofErr w:type="gramEnd"/>
      <w:r>
        <w:rPr>
          <w:rFonts w:ascii="宋体" w:hAnsi="宋体" w:cs="宋体"/>
          <w:kern w:val="0"/>
          <w:sz w:val="24"/>
          <w:szCs w:val="24"/>
        </w:rPr>
        <w:t>价值分析策略。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由于可转债</w:t>
      </w:r>
      <w:proofErr w:type="gramStart"/>
      <w:r>
        <w:rPr>
          <w:rFonts w:ascii="宋体" w:hAnsi="宋体" w:cs="宋体"/>
          <w:kern w:val="0"/>
          <w:sz w:val="24"/>
          <w:szCs w:val="24"/>
        </w:rPr>
        <w:t>兼具债性和</w:t>
      </w:r>
      <w:proofErr w:type="gramEnd"/>
      <w:r>
        <w:rPr>
          <w:rFonts w:ascii="宋体" w:hAnsi="宋体" w:cs="宋体"/>
          <w:kern w:val="0"/>
          <w:sz w:val="24"/>
          <w:szCs w:val="24"/>
        </w:rPr>
        <w:t>股性，其投资风险和收益介于股票和债券之间，可转</w:t>
      </w:r>
      <w:proofErr w:type="gramStart"/>
      <w:r>
        <w:rPr>
          <w:rFonts w:ascii="宋体" w:hAnsi="宋体" w:cs="宋体"/>
          <w:kern w:val="0"/>
          <w:sz w:val="24"/>
          <w:szCs w:val="24"/>
        </w:rPr>
        <w:t>债相对</w:t>
      </w:r>
      <w:proofErr w:type="gramEnd"/>
      <w:r>
        <w:rPr>
          <w:rFonts w:ascii="宋体" w:hAnsi="宋体" w:cs="宋体"/>
          <w:kern w:val="0"/>
          <w:sz w:val="24"/>
          <w:szCs w:val="24"/>
        </w:rPr>
        <w:t>价值分析策略通过分析不同市场环境下其股性</w:t>
      </w:r>
      <w:proofErr w:type="gramStart"/>
      <w:r>
        <w:rPr>
          <w:rFonts w:ascii="宋体" w:hAnsi="宋体" w:cs="宋体"/>
          <w:kern w:val="0"/>
          <w:sz w:val="24"/>
          <w:szCs w:val="24"/>
        </w:rPr>
        <w:t>和债性</w:t>
      </w:r>
      <w:proofErr w:type="gramEnd"/>
      <w:r>
        <w:rPr>
          <w:rFonts w:ascii="宋体" w:hAnsi="宋体" w:cs="宋体"/>
          <w:kern w:val="0"/>
          <w:sz w:val="24"/>
          <w:szCs w:val="24"/>
        </w:rPr>
        <w:t>的相对价值，把握可转债的价值走向，选择相应券种，力争获取较高投资收益。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其次，在进行可转债筛选时，本基金还对可转债自身的基本面要素进行综合分析，这些基本面要素</w:t>
      </w:r>
      <w:proofErr w:type="gramStart"/>
      <w:r>
        <w:rPr>
          <w:rFonts w:ascii="宋体" w:hAnsi="宋体" w:cs="宋体"/>
          <w:kern w:val="0"/>
          <w:sz w:val="24"/>
          <w:szCs w:val="24"/>
        </w:rPr>
        <w:t>包括股</w:t>
      </w:r>
      <w:proofErr w:type="gramEnd"/>
      <w:r>
        <w:rPr>
          <w:rFonts w:ascii="宋体" w:hAnsi="宋体" w:cs="宋体"/>
          <w:kern w:val="0"/>
          <w:sz w:val="24"/>
          <w:szCs w:val="24"/>
        </w:rPr>
        <w:t>性特征、</w:t>
      </w:r>
      <w:proofErr w:type="gramStart"/>
      <w:r>
        <w:rPr>
          <w:rFonts w:ascii="宋体" w:hAnsi="宋体" w:cs="宋体"/>
          <w:kern w:val="0"/>
          <w:sz w:val="24"/>
          <w:szCs w:val="24"/>
        </w:rPr>
        <w:t>债性特征</w:t>
      </w:r>
      <w:proofErr w:type="gramEnd"/>
      <w:r>
        <w:rPr>
          <w:rFonts w:ascii="宋体" w:hAnsi="宋体" w:cs="宋体"/>
          <w:kern w:val="0"/>
          <w:sz w:val="24"/>
          <w:szCs w:val="24"/>
        </w:rPr>
        <w:t>、摊薄率、流动性等，形成对基础股票的价值评估。本基金将可转债自身的基本面分析和其基础股票的基本面分析结合在一起，最终确定投资的品种。</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可交换债券与可转换债券的区别在于换股期间用于交换的股票并非自身新发的股票，而是发行人持有的其他上市公司的股票。可交换债券同样具有债券属性和权益属性，其中债券属性与可转换债券相同，即选择持有可交换债券至到期以获取票面价值和票面利息；而对于权益属性的分析则需关注目标公司的股票价值以及发行人作为股东的换股意愿等。本基金将通过对目标公司股票的投资价值、可交换债券的债券价值、以及条款带来的期权价值等综合分析，进行投资决策。</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7、资产支持证券投资策略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本基金将在宏观经济和基本面分析的基础上，对资产支持证券标的资产的质量和构成、利率风险、信用风险、流动性风险和提前偿付风险等进行分析，评估其相对投资价值并</w:t>
      </w:r>
      <w:proofErr w:type="gramStart"/>
      <w:r>
        <w:rPr>
          <w:rFonts w:ascii="宋体" w:hAnsi="宋体" w:cs="宋体"/>
          <w:kern w:val="0"/>
          <w:sz w:val="24"/>
          <w:szCs w:val="24"/>
        </w:rPr>
        <w:t>作出</w:t>
      </w:r>
      <w:proofErr w:type="gramEnd"/>
      <w:r>
        <w:rPr>
          <w:rFonts w:ascii="宋体" w:hAnsi="宋体" w:cs="宋体"/>
          <w:kern w:val="0"/>
          <w:sz w:val="24"/>
          <w:szCs w:val="24"/>
        </w:rPr>
        <w:t>相应的投资决策，以在控制风险的前提下尽可能的提高本基金的收益。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在资产支持证券的选择上，本基金将采取“自上而下”和“自下而上”相结合的策略。“自上而下”投资策略指在</w:t>
      </w:r>
      <w:proofErr w:type="gramStart"/>
      <w:r>
        <w:rPr>
          <w:rFonts w:ascii="宋体" w:hAnsi="宋体" w:cs="宋体"/>
          <w:kern w:val="0"/>
          <w:sz w:val="24"/>
          <w:szCs w:val="24"/>
        </w:rPr>
        <w:t>平均久期配置</w:t>
      </w:r>
      <w:proofErr w:type="gramEnd"/>
      <w:r>
        <w:rPr>
          <w:rFonts w:ascii="宋体" w:hAnsi="宋体" w:cs="宋体"/>
          <w:kern w:val="0"/>
          <w:sz w:val="24"/>
          <w:szCs w:val="24"/>
        </w:rPr>
        <w:t>策略与期限结构配置策略基础上，本基金运用数量化或定性分析方法对资产支持证券的利率风险、提前偿付风险、流动性风险溢价、税收溢价等因素进行分析，对收益率走势及其收益和风险进行判断。“自下而上”投资策略指运用数量化或定性分析方法对资产池信用风险进行分析和度量，选择风险与收益相匹配的更优品种进行配置。</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8、股指期货投资策略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本基金投资股指期货将根据风险管理的原则，以套期保值为目的，充分考虑股指期货的收益性、流动性及风险性特征，运用股指期货对冲系统性风险、对冲</w:t>
      </w:r>
      <w:r>
        <w:rPr>
          <w:rFonts w:ascii="宋体" w:hAnsi="宋体" w:cs="宋体"/>
          <w:kern w:val="0"/>
          <w:sz w:val="24"/>
          <w:szCs w:val="24"/>
        </w:rPr>
        <w:lastRenderedPageBreak/>
        <w:t>特殊情况下的流动性风险，如大额申购赎回等，以降低交易成本和组合风险，提高投资效率。</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9、国债期货投资策略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投资国债期货将根据风险管理的原则，以套期保值为目的，结合对宏观经济形势和政策趋势的判断、对债券市场进行定性和定量分析，对国债期货和现货基差、国债期货的流动性、波动水平等指标进行跟踪监控。</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10、股票期权投资策略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本基金投资股票期权将按照风险管理的原则，以套期保值为主要目的，结合投资目标、比例限制、风险收益特征以及法律法规的相关限定和要求，确定参与股票期权交易的投资时机和投资比例。</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未来如法律法规或监管机构允许基金投资股指期权或其他期权品种，本基金将在履行适当程序后，纳入投资范围并制定相应投资策略，并在招募说明书中更新公告。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11、</w:t>
      </w:r>
      <w:bookmarkStart w:id="41" w:name="_Hlk196659903"/>
      <w:r>
        <w:rPr>
          <w:rFonts w:ascii="宋体" w:hAnsi="宋体" w:cs="宋体"/>
          <w:kern w:val="0"/>
          <w:sz w:val="24"/>
          <w:szCs w:val="24"/>
        </w:rPr>
        <w:t>信用衍生</w:t>
      </w:r>
      <w:proofErr w:type="gramStart"/>
      <w:r>
        <w:rPr>
          <w:rFonts w:ascii="宋体" w:hAnsi="宋体" w:cs="宋体"/>
          <w:kern w:val="0"/>
          <w:sz w:val="24"/>
          <w:szCs w:val="24"/>
        </w:rPr>
        <w:t>品投资</w:t>
      </w:r>
      <w:proofErr w:type="gramEnd"/>
      <w:r>
        <w:rPr>
          <w:rFonts w:ascii="宋体" w:hAnsi="宋体" w:cs="宋体"/>
          <w:kern w:val="0"/>
          <w:sz w:val="24"/>
          <w:szCs w:val="24"/>
        </w:rPr>
        <w:t>策略</w:t>
      </w:r>
      <w:bookmarkEnd w:id="41"/>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按照风险管理原则，以风险对冲为目的，参与信用衍生品交易。本基金将根据所持标的债券等固定收益品种的投资策略，审慎开展信用衍生品投资，合理确定信用衍生品的投资金额、期限等。同时，本基金将加强基金投资信用衍生品的交易对手方、创设机构的风险管理，合理分散交易对手方、创设机构的集中度，对交易对手方、创设机构的财务状况、偿付能力及杠杆水平等进行必要的尽职调查与严格的准入管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12、</w:t>
      </w:r>
      <w:bookmarkStart w:id="42" w:name="_Hlk196659911"/>
      <w:r>
        <w:rPr>
          <w:rFonts w:ascii="宋体" w:hAnsi="宋体" w:cs="宋体"/>
          <w:kern w:val="0"/>
          <w:sz w:val="24"/>
          <w:szCs w:val="24"/>
        </w:rPr>
        <w:t>融资投资策略</w:t>
      </w:r>
      <w:bookmarkEnd w:id="42"/>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本基金将在充分考虑风险和收益特征的基础上，审慎参与融资交易。本基金将基于对市场行情和组合风险收益特征的分析，确定投资时机、标的证券以及投资比例。</w:t>
      </w:r>
      <w:proofErr w:type="gramStart"/>
      <w:r>
        <w:rPr>
          <w:rFonts w:ascii="宋体" w:hAnsi="宋体" w:cs="宋体"/>
          <w:kern w:val="0"/>
          <w:sz w:val="24"/>
          <w:szCs w:val="24"/>
        </w:rPr>
        <w:t>若相关</w:t>
      </w:r>
      <w:proofErr w:type="gramEnd"/>
      <w:r>
        <w:rPr>
          <w:rFonts w:ascii="宋体" w:hAnsi="宋体" w:cs="宋体"/>
          <w:kern w:val="0"/>
          <w:sz w:val="24"/>
          <w:szCs w:val="24"/>
        </w:rPr>
        <w:t>融资业务法律法规和监管要求发生变化，本基金将从其最新规定，在符合本基金投资目标的前提下，依照相关法律法规和监管要求制定融资策略。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未来，随着投资工具的发展和丰富，本基金可在不改变投资目标和风险收益特征的前提下，</w:t>
      </w:r>
      <w:r>
        <w:rPr>
          <w:rStyle w:val="custom"/>
          <w:rFonts w:ascii="宋体" w:hAnsi="宋体" w:cs="宋体"/>
          <w:kern w:val="0"/>
          <w:sz w:val="24"/>
          <w:szCs w:val="24"/>
        </w:rPr>
        <w:t>在履行适当程序后，</w:t>
      </w:r>
      <w:r>
        <w:rPr>
          <w:rFonts w:ascii="宋体" w:hAnsi="宋体" w:cs="宋体"/>
          <w:kern w:val="0"/>
          <w:sz w:val="24"/>
          <w:szCs w:val="24"/>
        </w:rPr>
        <w:t>相应调整和更新相关投资策略，并在招募说明书更新中公告。</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四、投资限制</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1、组合限制</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基金的投资组合应遵循以下限制：</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（1）本基金股票资产占基金资产的比例不低于60%，其中，投资于港股通标的股票的比例不低于非现金资产的80%；本基金投资于本基金界定的科技主题股票的比例不低于非现金基金资产的80%。</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每个交易日日终在扣除国债期货、股指期货和股票期权合约需缴纳的交易保证金后，本基金保留的现金或投资于到期日在一年以内的政府债券的比例合计不低于基金资产净值的5%。其中现金不包括结算备付金、存出保证金和应收申购款等；</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（3）本基金持有一家公司发行的证券（同一家公司在内地和香港同时上市的A+H股合并计算），其市值不超过基金资产净值的10％；</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本基金管理人管理的全部基金持有一家公司发行的证券（同一家公司在内地和香港同时上市的A+H股合并计算），不超过该证券的10％，完全按照有关指数的构成比例进行证券投资的基金品种可以不受此条款规定的比例限制；</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（5）本基金投资于同一原始权益人的各类资产支持证券的比例，不得超过基金资产净值的10%；</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（6）本基金持有的全部资产支持证券，其市值不得超过基金资产净值的20%；</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（7）本基金持有的同一(指同一信用级别)资产支持证券的比例，不得超过该资产支持证券规模的10%；</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（8）本基金管理人管理的全部基金投资于同一原始权益人的各类资产支持证券，不得超过其各类资产支持证券合计规模的10%；</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（9）本基金应投资于信用级别评级为BBB以上(含BBB)的资产支持证券。基金持有资产支持证券期间，如果其信用等级下降、不再符合投资标准，应在评级报告发布之日起3个月内予以全部卖出；</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（10）基金财产参与股票发行申购，本基金所申报的金额不超过本基金的总资产，本基金所申报的股票数量不超过拟发行股票公司本次发行股票的总量；</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11）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w:t>
      </w:r>
      <w:r>
        <w:rPr>
          <w:rFonts w:ascii="宋体" w:hAnsi="宋体" w:cs="宋体"/>
          <w:kern w:val="0"/>
          <w:sz w:val="24"/>
          <w:szCs w:val="24"/>
        </w:rPr>
        <w:lastRenderedPageBreak/>
        <w:t>完全按照有关指数的构成比例进行证券投资的开放式基金以及中国证监会认定的特殊投资组合可不受前述比例限制；</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12）本基金主动投资于流动性受限资产的市值合计不得超过本基金资产净值的15%；因证券市场波动、上市公司股票停牌、基金规模变动等基金管理人之外的因素致使基金不符合该比例限制的，基金管理人不得主动新增流动性受限资产的投资；</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（13）本基金与私募类</w:t>
      </w:r>
      <w:proofErr w:type="gramStart"/>
      <w:r>
        <w:rPr>
          <w:rFonts w:ascii="宋体" w:hAnsi="宋体" w:cs="宋体"/>
          <w:kern w:val="0"/>
          <w:sz w:val="24"/>
          <w:szCs w:val="24"/>
        </w:rPr>
        <w:t>证券资管产品</w:t>
      </w:r>
      <w:proofErr w:type="gramEnd"/>
      <w:r>
        <w:rPr>
          <w:rFonts w:ascii="宋体" w:hAnsi="宋体" w:cs="宋体"/>
          <w:kern w:val="0"/>
          <w:sz w:val="24"/>
          <w:szCs w:val="24"/>
        </w:rPr>
        <w:t>及中国证监会认定的其他主体为交易对手开展逆回购交易的，可接受质押品的资质要求应当与基金合同约定的投资范围保持一致；</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（14）本基金资产总值不超过基金资产净值的140%；</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（15）本基金参与股指期货和国债期货交易的，应当遵守下列要求：</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在任何交易日日终，持有的买入国债期货和股指期货合约价值与有价证券市值之和，不得超过基金资产净值的95%；其中，有价证券指股票、债券（不含到期日在一年以内的政府债券）、资产支持证券、买入返售金融资产（不含质押式回购）等；</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本基金在任何交易日日终，持有的买入股指期货合约价值，不得超过基金资产净值的10%；在任何交易日日终，持有的卖出股指期货合约价值不得超过基金持有的股票总市值的20%；本基金在任何交易日内交易（不包括平仓）的股指期货合约的成交金额不得超过上一交易日基金资产净值的20%；本基金所持有的股票市值和买入、卖出股指期货合约价值，合计（轧差计算）应当符合《基金合同》关于股票投资比例的有关约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本基金在任何交易日日终，持有的买入国债期货合约价值，不得超过基金资产净值的15%；在任何交易日日终，持有的卖出国债期货合约价值不得超过基金持有的债券总市值的30%；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（16）因未平仓的期权合约支付和收取的权利金总额不得超过基金资产净值的10%；开仓卖出认购期权的，应持有足额标的证券；开仓卖出认沽期权的，应</w:t>
      </w:r>
      <w:r>
        <w:rPr>
          <w:rFonts w:ascii="宋体" w:hAnsi="宋体" w:cs="宋体"/>
          <w:kern w:val="0"/>
          <w:sz w:val="24"/>
          <w:szCs w:val="24"/>
        </w:rPr>
        <w:lastRenderedPageBreak/>
        <w:t>持有合约行权所需的全额现金或交易所规则认可的可冲抵期权保证金的现金等价物；未平仓的期权合约面值不得超过基金资产净值的20%。其中，合约面值按照行权价乘以合约乘数计算；</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（17）本基金不得持有信用保护卖方属性的信用衍生品，持有的信用衍生品的名义本金不得超过本基金对应受保护债券面值的100%，本基金不得投资于合约类信用衍生品；</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（18）本基金投资于同一信用保护卖方的各类信用衍生品的名义本金合计不得超过基金资产净值的10%；</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因证券、期货市场波动、证券发行人合并、基金规模变动等基金管理人之外的因素致使基金不符合前述（17）、（18）所规定比例限制的，基金管理人应在3个月之内进行调整；</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（19）本基金参与融资的，每个交易日日终，本基金持有的融资买入股票与其他有价证券市值之和，不得超过基金资产净值的95%；</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（20）本基金投资存托凭证的比例限制依照境内上市交易的股票执行；</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（21）法律法规及中国证监会规定的和《基金合同》约定的其他投资限制。</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除上述第（2）、（9）、（12）、（13）、（17）、（18）项情形之外，因证券/期货市场波动、证券发行人合并、基金规模变动等基金管理人之外的因素致使基金投资比例不符合上述规定投资比例的，基金管理人应当在10个交易日内进行调整，但中国证监会规定的特殊情形除外。</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法律法规或监管部门取消或调整上述限制，如适用于本基金，基金管理人在履行适当程序后，则本基金投资不再受相关限制或以调整以后的规定为准。</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2、禁止行为</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为维护基金份额持有人的合法权益，基金财产不得用于下列投资或者活动：</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（1）承销证券；</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（2）违反规定向他人贷款或者提供担保；</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（3）从事承担无限责任的投资；</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（4）买卖其他基金份额，但是法律法规或中国证监会另有规定的除外；</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（5）向其基金管理人、基金托管人出资；</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（6）从事内幕交易、操纵证券交易价格及其他不正当的证券交易活动；</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（7）法律、行政法规和中国证监会规定禁止的其他活动。</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法律法规或监管部门取消或调整上述限制，如适用于本基金，基金管理人在履行适当程序后，则本基金投资不再受相关限制或以调整以后的规定为准。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五、业绩比较基准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本基金的业绩比较基准为：恒生港股通中国科技指数收益率(经汇率调整后)*</w:t>
      </w:r>
      <w:r>
        <w:rPr>
          <w:rFonts w:ascii="宋体" w:hAnsi="宋体" w:cs="宋体" w:hint="eastAsia"/>
          <w:kern w:val="0"/>
          <w:sz w:val="24"/>
          <w:szCs w:val="24"/>
        </w:rPr>
        <w:t>6</w:t>
      </w:r>
      <w:r>
        <w:rPr>
          <w:rFonts w:ascii="宋体" w:hAnsi="宋体" w:cs="宋体"/>
          <w:kern w:val="0"/>
          <w:sz w:val="24"/>
          <w:szCs w:val="24"/>
        </w:rPr>
        <w:t>0%+恒生港股</w:t>
      </w:r>
      <w:proofErr w:type="gramStart"/>
      <w:r>
        <w:rPr>
          <w:rFonts w:ascii="宋体" w:hAnsi="宋体" w:cs="宋体"/>
          <w:kern w:val="0"/>
          <w:sz w:val="24"/>
          <w:szCs w:val="24"/>
        </w:rPr>
        <w:t>通指数</w:t>
      </w:r>
      <w:proofErr w:type="gramEnd"/>
      <w:r>
        <w:rPr>
          <w:rFonts w:ascii="宋体" w:hAnsi="宋体" w:cs="宋体"/>
          <w:kern w:val="0"/>
          <w:sz w:val="24"/>
          <w:szCs w:val="24"/>
        </w:rPr>
        <w:t>收益率(经汇率调整后)*</w:t>
      </w:r>
      <w:r>
        <w:rPr>
          <w:rFonts w:ascii="宋体" w:hAnsi="宋体" w:cs="宋体" w:hint="eastAsia"/>
          <w:kern w:val="0"/>
          <w:sz w:val="24"/>
          <w:szCs w:val="24"/>
        </w:rPr>
        <w:t>2</w:t>
      </w:r>
      <w:r>
        <w:rPr>
          <w:rFonts w:ascii="宋体" w:hAnsi="宋体" w:cs="宋体"/>
          <w:kern w:val="0"/>
          <w:sz w:val="24"/>
          <w:szCs w:val="24"/>
        </w:rPr>
        <w:t>0%+</w:t>
      </w:r>
      <w:r>
        <w:rPr>
          <w:rFonts w:ascii="宋体" w:hAnsi="宋体" w:cs="宋体" w:hint="eastAsia"/>
          <w:kern w:val="0"/>
          <w:sz w:val="24"/>
          <w:szCs w:val="24"/>
        </w:rPr>
        <w:t>中</w:t>
      </w:r>
      <w:proofErr w:type="gramStart"/>
      <w:r>
        <w:rPr>
          <w:rFonts w:ascii="宋体" w:hAnsi="宋体" w:cs="宋体" w:hint="eastAsia"/>
          <w:kern w:val="0"/>
          <w:sz w:val="24"/>
          <w:szCs w:val="24"/>
        </w:rPr>
        <w:t>债综合</w:t>
      </w:r>
      <w:proofErr w:type="gramEnd"/>
      <w:r>
        <w:rPr>
          <w:rFonts w:ascii="宋体" w:hAnsi="宋体" w:cs="宋体" w:hint="eastAsia"/>
          <w:kern w:val="0"/>
          <w:sz w:val="24"/>
          <w:szCs w:val="24"/>
        </w:rPr>
        <w:t>指数收益率*15%+人民币银行活期存款利率(税后)*5%</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恒生港股通中国科技指数主要反映可经港股通买卖，从事科技业务并于香港上市的中国公司的表现；恒生港股</w:t>
      </w:r>
      <w:proofErr w:type="gramStart"/>
      <w:r>
        <w:rPr>
          <w:rFonts w:ascii="宋体" w:hAnsi="宋体" w:cs="宋体"/>
          <w:kern w:val="0"/>
          <w:sz w:val="24"/>
          <w:szCs w:val="24"/>
        </w:rPr>
        <w:t>通指数</w:t>
      </w:r>
      <w:proofErr w:type="gramEnd"/>
      <w:r>
        <w:rPr>
          <w:rFonts w:ascii="宋体" w:hAnsi="宋体" w:cs="宋体"/>
          <w:kern w:val="0"/>
          <w:sz w:val="24"/>
          <w:szCs w:val="24"/>
        </w:rPr>
        <w:t>旨在反映通过港股通渠道可以投资的香港主板上市证券的整体表现。</w:t>
      </w:r>
      <w:r>
        <w:rPr>
          <w:rStyle w:val="custom"/>
          <w:rFonts w:ascii="宋体" w:hAnsi="宋体" w:cs="宋体" w:hint="eastAsia"/>
          <w:kern w:val="0"/>
          <w:sz w:val="24"/>
          <w:szCs w:val="24"/>
        </w:rPr>
        <w:t>中</w:t>
      </w:r>
      <w:proofErr w:type="gramStart"/>
      <w:r>
        <w:rPr>
          <w:rStyle w:val="custom"/>
          <w:rFonts w:ascii="宋体" w:hAnsi="宋体" w:cs="宋体" w:hint="eastAsia"/>
          <w:kern w:val="0"/>
          <w:sz w:val="24"/>
          <w:szCs w:val="24"/>
        </w:rPr>
        <w:t>债综合</w:t>
      </w:r>
      <w:proofErr w:type="gramEnd"/>
      <w:r>
        <w:rPr>
          <w:rStyle w:val="custom"/>
          <w:rFonts w:ascii="宋体" w:hAnsi="宋体" w:cs="宋体" w:hint="eastAsia"/>
          <w:kern w:val="0"/>
          <w:sz w:val="24"/>
          <w:szCs w:val="24"/>
        </w:rPr>
        <w:t>指数由中央国债登记结算有限责任公司编制，为中国全市场债券指数，该指数的样本具有广泛的市场代表性。</w:t>
      </w:r>
      <w:r>
        <w:rPr>
          <w:rFonts w:ascii="宋体" w:hAnsi="宋体" w:cs="宋体"/>
          <w:kern w:val="0"/>
          <w:sz w:val="24"/>
          <w:szCs w:val="24"/>
        </w:rPr>
        <w:t>基于本基金的特征，</w:t>
      </w:r>
      <w:proofErr w:type="gramStart"/>
      <w:r>
        <w:rPr>
          <w:rFonts w:ascii="宋体" w:hAnsi="宋体" w:cs="宋体"/>
          <w:kern w:val="0"/>
          <w:sz w:val="24"/>
          <w:szCs w:val="24"/>
        </w:rPr>
        <w:t>该业绩</w:t>
      </w:r>
      <w:proofErr w:type="gramEnd"/>
      <w:r>
        <w:rPr>
          <w:rFonts w:ascii="宋体" w:hAnsi="宋体" w:cs="宋体"/>
          <w:kern w:val="0"/>
          <w:sz w:val="24"/>
          <w:szCs w:val="24"/>
        </w:rPr>
        <w:t>比较基准的构成可以忠实反映本基金的风险收益特征。</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如果今后法律法规发生变化，或者指数编制机构停止计算编制上述指数或更改指数名称、或者有更权威的、更能为市场普遍接受的业绩比较基准推出，或者市场上出现更加适合用于本基金业绩比较基准的指数时，经与基金托管人协商一致，本基金可以变更业绩比较基准并及时公告，而无需召开基金份额持有人大会。</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六、风险收益特征</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本基金属于混合型基金，其预期的风险与收益低于股票型基金，高于债券型</w:t>
      </w:r>
      <w:r>
        <w:rPr>
          <w:rFonts w:ascii="宋体" w:hAnsi="宋体" w:cs="宋体"/>
          <w:kern w:val="0"/>
          <w:sz w:val="24"/>
          <w:szCs w:val="24"/>
        </w:rPr>
        <w:lastRenderedPageBreak/>
        <w:t>基金与货币市场基金。</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本基金将投资港股通标的股票，将面临港股</w:t>
      </w:r>
      <w:proofErr w:type="gramStart"/>
      <w:r>
        <w:rPr>
          <w:rFonts w:ascii="宋体" w:hAnsi="宋体" w:cs="宋体"/>
          <w:kern w:val="0"/>
          <w:sz w:val="24"/>
          <w:szCs w:val="24"/>
        </w:rPr>
        <w:t>通机制</w:t>
      </w:r>
      <w:proofErr w:type="gramEnd"/>
      <w:r>
        <w:rPr>
          <w:rFonts w:ascii="宋体" w:hAnsi="宋体" w:cs="宋体"/>
          <w:kern w:val="0"/>
          <w:sz w:val="24"/>
          <w:szCs w:val="24"/>
        </w:rPr>
        <w:t>下因投资环境、投资标的、市场制度以及交易规则等差异带来的特有风险。</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七、基金管理人代表基金行使股东或债权人权利的处理原则及方法</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1、基金管理人按照国家有关规定代表基金独立行使股东或债权人权利，保护基金份额持有人的利益；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2、不谋求对上市公司的控股；</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3、有利于基金财产的安全与增值；</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4、不通过关联交易为自身、雇员、授权代理人或任何存在利害关系的第三人牟取任何不当利益。</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八、</w:t>
      </w:r>
      <w:proofErr w:type="gramStart"/>
      <w:r>
        <w:rPr>
          <w:rFonts w:ascii="宋体" w:hAnsi="宋体" w:cs="宋体"/>
          <w:kern w:val="0"/>
          <w:sz w:val="24"/>
          <w:szCs w:val="24"/>
        </w:rPr>
        <w:t>侧袋机制</w:t>
      </w:r>
      <w:proofErr w:type="gramEnd"/>
      <w:r>
        <w:rPr>
          <w:rFonts w:ascii="宋体" w:hAnsi="宋体" w:cs="宋体"/>
          <w:kern w:val="0"/>
          <w:sz w:val="24"/>
          <w:szCs w:val="24"/>
        </w:rPr>
        <w:t>的实施和投资运作安排</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ascii="宋体" w:hAnsi="宋体" w:cs="宋体"/>
          <w:kern w:val="0"/>
          <w:sz w:val="24"/>
          <w:szCs w:val="24"/>
        </w:rPr>
        <w:t>启用侧袋机制</w:t>
      </w:r>
      <w:proofErr w:type="gramEnd"/>
      <w:r>
        <w:rPr>
          <w:rFonts w:ascii="宋体" w:hAnsi="宋体" w:cs="宋体"/>
          <w:kern w:val="0"/>
          <w:sz w:val="24"/>
          <w:szCs w:val="24"/>
        </w:rPr>
        <w:t>。</w:t>
      </w:r>
    </w:p>
    <w:p w:rsidR="008333A9" w:rsidRDefault="0002249C">
      <w:pPr>
        <w:pStyle w:val="div"/>
        <w:spacing w:line="360" w:lineRule="auto"/>
        <w:ind w:firstLine="420"/>
        <w:rPr>
          <w:rFonts w:eastAsia="Times New Roman"/>
          <w:kern w:val="0"/>
          <w:sz w:val="24"/>
          <w:szCs w:val="24"/>
        </w:rPr>
      </w:pPr>
      <w:proofErr w:type="gramStart"/>
      <w:r>
        <w:rPr>
          <w:rFonts w:ascii="宋体" w:hAnsi="宋体" w:cs="宋体"/>
          <w:kern w:val="0"/>
          <w:sz w:val="24"/>
          <w:szCs w:val="24"/>
        </w:rPr>
        <w:t>侧袋机制</w:t>
      </w:r>
      <w:proofErr w:type="gramEnd"/>
      <w:r>
        <w:rPr>
          <w:rFonts w:ascii="宋体" w:hAnsi="宋体" w:cs="宋体"/>
          <w:kern w:val="0"/>
          <w:sz w:val="24"/>
          <w:szCs w:val="24"/>
        </w:rPr>
        <w:t>实施期间，本部分约定的投资组合比例、投资策略、组合限制、业绩比较基准、风险收益特征等约定仅</w:t>
      </w:r>
      <w:proofErr w:type="gramStart"/>
      <w:r>
        <w:rPr>
          <w:rFonts w:ascii="宋体" w:hAnsi="宋体" w:cs="宋体"/>
          <w:kern w:val="0"/>
          <w:sz w:val="24"/>
          <w:szCs w:val="24"/>
        </w:rPr>
        <w:t>适用于主袋账户</w:t>
      </w:r>
      <w:proofErr w:type="gramEnd"/>
      <w:r>
        <w:rPr>
          <w:rFonts w:ascii="宋体" w:hAnsi="宋体" w:cs="宋体"/>
          <w:kern w:val="0"/>
          <w:sz w:val="24"/>
          <w:szCs w:val="24"/>
        </w:rPr>
        <w:t>。</w:t>
      </w:r>
    </w:p>
    <w:p w:rsidR="008333A9" w:rsidRDefault="0002249C">
      <w:pPr>
        <w:pStyle w:val="div"/>
        <w:spacing w:line="360" w:lineRule="auto"/>
        <w:ind w:firstLine="420"/>
        <w:rPr>
          <w:rFonts w:eastAsia="Times New Roman"/>
          <w:kern w:val="0"/>
          <w:sz w:val="24"/>
          <w:szCs w:val="24"/>
        </w:rPr>
      </w:pPr>
      <w:proofErr w:type="gramStart"/>
      <w:r>
        <w:rPr>
          <w:rFonts w:ascii="宋体" w:hAnsi="宋体" w:cs="宋体"/>
          <w:kern w:val="0"/>
          <w:sz w:val="24"/>
          <w:szCs w:val="24"/>
        </w:rPr>
        <w:t>侧袋账户</w:t>
      </w:r>
      <w:proofErr w:type="gramEnd"/>
      <w:r>
        <w:rPr>
          <w:rFonts w:ascii="宋体" w:hAnsi="宋体" w:cs="宋体"/>
          <w:kern w:val="0"/>
          <w:sz w:val="24"/>
          <w:szCs w:val="24"/>
        </w:rPr>
        <w:t>的实施条件、实施程序、运作安排、投资安排、特定资产的处置变现和支付等对投资者权益有重大影响的事项详见本招募说明书“侧袋机制”章节的规定。</w:t>
      </w:r>
      <w:r>
        <w:rPr>
          <w:rFonts w:ascii="宋体" w:hAnsi="宋体" w:cs="宋体"/>
          <w:kern w:val="0"/>
          <w:sz w:val="24"/>
          <w:szCs w:val="24"/>
        </w:rPr>
        <w:br w:type="page"/>
      </w:r>
    </w:p>
    <w:p w:rsidR="008333A9" w:rsidRDefault="0002249C">
      <w:pPr>
        <w:pStyle w:val="1"/>
        <w:spacing w:before="0" w:after="0"/>
        <w:jc w:val="center"/>
        <w:rPr>
          <w:rFonts w:ascii="Times New Roman"/>
          <w:color w:val="auto"/>
          <w:sz w:val="30"/>
        </w:rPr>
      </w:pPr>
      <w:bookmarkStart w:id="43" w:name="_Toc256000009"/>
      <w:r>
        <w:rPr>
          <w:rFonts w:ascii="Times New Roman"/>
          <w:color w:val="auto"/>
          <w:sz w:val="30"/>
        </w:rPr>
        <w:lastRenderedPageBreak/>
        <w:t>第十部分</w:t>
      </w:r>
      <w:r>
        <w:rPr>
          <w:rFonts w:ascii="Times New Roman"/>
          <w:color w:val="auto"/>
          <w:sz w:val="30"/>
        </w:rPr>
        <w:t xml:space="preserve">  </w:t>
      </w:r>
      <w:r>
        <w:rPr>
          <w:rFonts w:ascii="Times New Roman"/>
          <w:color w:val="auto"/>
          <w:sz w:val="30"/>
        </w:rPr>
        <w:t>基金的财产</w:t>
      </w:r>
      <w:bookmarkEnd w:id="43"/>
    </w:p>
    <w:p w:rsidR="008333A9" w:rsidRDefault="008333A9"/>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一、基金资产总值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基金资产总值是指购买的各类有价证券及票据价值、银行存款本息和基金应收的申购基金款以及其他投资所形成的价值总和。</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二、基金资产净值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基金资产净值是指基金资产总值减去基金负债后的价值。</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三、基金财产的账户</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四、基金财产的保管和处分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w:t>
      </w:r>
      <w:proofErr w:type="gramStart"/>
      <w:r>
        <w:rPr>
          <w:rFonts w:ascii="宋体" w:hAnsi="宋体" w:cs="宋体"/>
          <w:kern w:val="0"/>
          <w:sz w:val="24"/>
          <w:szCs w:val="24"/>
        </w:rPr>
        <w:t>律法规</w:t>
      </w:r>
      <w:proofErr w:type="gramEnd"/>
      <w:r>
        <w:rPr>
          <w:rFonts w:ascii="宋体" w:hAnsi="宋体" w:cs="宋体"/>
          <w:kern w:val="0"/>
          <w:sz w:val="24"/>
          <w:szCs w:val="24"/>
        </w:rPr>
        <w:t>和《基金合同》的规定处分外，基金财产不得被处分。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基金管理人、基金托管人因依法解散、被依法撤销或者被依法宣告破产等原因进行清算的，基金财产不属于其清算财产。基金管理人管理运作基金财产所产生的债权，不得与其固有资产产生的债务相互</w:t>
      </w:r>
      <w:proofErr w:type="gramStart"/>
      <w:r>
        <w:rPr>
          <w:rFonts w:ascii="宋体" w:hAnsi="宋体" w:cs="宋体"/>
          <w:kern w:val="0"/>
          <w:sz w:val="24"/>
          <w:szCs w:val="24"/>
        </w:rPr>
        <w:t>抵销</w:t>
      </w:r>
      <w:proofErr w:type="gramEnd"/>
      <w:r>
        <w:rPr>
          <w:rFonts w:ascii="宋体" w:hAnsi="宋体" w:cs="宋体"/>
          <w:kern w:val="0"/>
          <w:sz w:val="24"/>
          <w:szCs w:val="24"/>
        </w:rPr>
        <w:t>；基金管理人管理运作不同基金的基金财产所产生的债权债务不得相互</w:t>
      </w:r>
      <w:proofErr w:type="gramStart"/>
      <w:r>
        <w:rPr>
          <w:rFonts w:ascii="宋体" w:hAnsi="宋体" w:cs="宋体"/>
          <w:kern w:val="0"/>
          <w:sz w:val="24"/>
          <w:szCs w:val="24"/>
        </w:rPr>
        <w:t>抵销</w:t>
      </w:r>
      <w:proofErr w:type="gramEnd"/>
      <w:r>
        <w:rPr>
          <w:rFonts w:ascii="宋体" w:hAnsi="宋体" w:cs="宋体"/>
          <w:kern w:val="0"/>
          <w:sz w:val="24"/>
          <w:szCs w:val="24"/>
        </w:rPr>
        <w:t>。非因基金财产本身承担的债务，不得对基金财产强制执行。</w:t>
      </w:r>
      <w:r>
        <w:rPr>
          <w:rFonts w:ascii="宋体" w:hAnsi="宋体" w:cs="宋体"/>
          <w:kern w:val="0"/>
          <w:sz w:val="24"/>
          <w:szCs w:val="24"/>
        </w:rPr>
        <w:br w:type="page"/>
      </w:r>
    </w:p>
    <w:p w:rsidR="008333A9" w:rsidRDefault="0002249C">
      <w:pPr>
        <w:pStyle w:val="1"/>
        <w:spacing w:before="0" w:after="0"/>
        <w:jc w:val="center"/>
        <w:rPr>
          <w:rFonts w:ascii="Times New Roman"/>
          <w:color w:val="auto"/>
          <w:sz w:val="30"/>
        </w:rPr>
      </w:pPr>
      <w:bookmarkStart w:id="44" w:name="_Toc256000010"/>
      <w:r>
        <w:rPr>
          <w:rFonts w:ascii="Times New Roman"/>
          <w:color w:val="auto"/>
          <w:sz w:val="30"/>
        </w:rPr>
        <w:lastRenderedPageBreak/>
        <w:t>第十一部分</w:t>
      </w:r>
      <w:r>
        <w:rPr>
          <w:rFonts w:ascii="Times New Roman"/>
          <w:color w:val="auto"/>
          <w:sz w:val="30"/>
        </w:rPr>
        <w:t xml:space="preserve">  </w:t>
      </w:r>
      <w:r>
        <w:rPr>
          <w:rFonts w:ascii="Times New Roman"/>
          <w:color w:val="auto"/>
          <w:sz w:val="30"/>
        </w:rPr>
        <w:t>基金资产估值</w:t>
      </w:r>
      <w:bookmarkEnd w:id="44"/>
    </w:p>
    <w:p w:rsidR="008333A9" w:rsidRDefault="008333A9"/>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一、估值日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本基金的估值日为本基金相关的证券交易场所的交易日以及国家法律法规规定需要对外披露基金净值的</w:t>
      </w:r>
      <w:proofErr w:type="gramStart"/>
      <w:r>
        <w:rPr>
          <w:rFonts w:ascii="宋体" w:hAnsi="宋体" w:cs="宋体"/>
          <w:kern w:val="0"/>
          <w:sz w:val="24"/>
          <w:szCs w:val="24"/>
        </w:rPr>
        <w:t>非交易</w:t>
      </w:r>
      <w:proofErr w:type="gramEnd"/>
      <w:r>
        <w:rPr>
          <w:rFonts w:ascii="宋体" w:hAnsi="宋体" w:cs="宋体"/>
          <w:kern w:val="0"/>
          <w:sz w:val="24"/>
          <w:szCs w:val="24"/>
        </w:rPr>
        <w:t>日。</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二、估值对象</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基金所拥有的股票、债券、资产支持证券、股指期货合约、国债期货合约、股票期权合约、信用衍生品和银行存款本息、应收款项、其它投资等资产及负债。</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三、估值原则</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基金管理人在确定相关金融资产和金融负债的公允价值时，应符合《企业会计准则》、监管部门有关规定。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（三）如经济环境发生重大变化或证券发行人发生影响证券价格的重大事件，使潜在估值调整对前一估值日的基金资产净值的影响在0.25%以上的，应对估值进行调整并确定公允价值。</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四、估值方法</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1、证券交易所上市的有价证券的估值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（2）交易所上市不存在活跃市场的有价证券，采用估值技术确定公允价值。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2、处于未上市期间的有价证券应区分如下情况处理：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（1）送股、转增股、配股和公开增发的新股，按估值日在证券交易所挂牌的同一股票的估值方法估值；该日无交易的，以最近一日的市价（收盘价）估值；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（2）首次公开发行未上市的股票，采用估值技术确定公允价值，在估值技术难以可靠计量公允价值的情况下，按成本估值；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Pr>
          <w:rFonts w:ascii="宋体" w:hAnsi="宋体" w:cs="宋体"/>
          <w:kern w:val="0"/>
          <w:sz w:val="24"/>
          <w:szCs w:val="24"/>
        </w:rPr>
        <w:t>券</w:t>
      </w:r>
      <w:proofErr w:type="gramEnd"/>
      <w:r>
        <w:rPr>
          <w:rFonts w:ascii="宋体" w:hAnsi="宋体" w:cs="宋体"/>
          <w:kern w:val="0"/>
          <w:sz w:val="24"/>
          <w:szCs w:val="24"/>
        </w:rPr>
        <w:t>等流通受限股票，按监管机构或行业协会有关规定确定公允价值。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3、以公允价值计量的固定收益品种</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（1）对于已上市或已挂牌转让的不含</w:t>
      </w:r>
      <w:proofErr w:type="gramStart"/>
      <w:r>
        <w:rPr>
          <w:rFonts w:ascii="宋体" w:hAnsi="宋体" w:cs="宋体"/>
          <w:kern w:val="0"/>
          <w:sz w:val="24"/>
          <w:szCs w:val="24"/>
        </w:rPr>
        <w:t>权固定</w:t>
      </w:r>
      <w:proofErr w:type="gramEnd"/>
      <w:r>
        <w:rPr>
          <w:rFonts w:ascii="宋体" w:hAnsi="宋体" w:cs="宋体"/>
          <w:kern w:val="0"/>
          <w:sz w:val="24"/>
          <w:szCs w:val="24"/>
        </w:rPr>
        <w:t>收益品种，选取第三方估值基准服务机构提供的相应品种当日的估值全价；</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（2）对于已上市或已挂牌转让的含</w:t>
      </w:r>
      <w:proofErr w:type="gramStart"/>
      <w:r>
        <w:rPr>
          <w:rFonts w:ascii="宋体" w:hAnsi="宋体" w:cs="宋体"/>
          <w:kern w:val="0"/>
          <w:sz w:val="24"/>
          <w:szCs w:val="24"/>
        </w:rPr>
        <w:t>权固定</w:t>
      </w:r>
      <w:proofErr w:type="gramEnd"/>
      <w:r>
        <w:rPr>
          <w:rFonts w:ascii="宋体" w:hAnsi="宋体" w:cs="宋体"/>
          <w:kern w:val="0"/>
          <w:sz w:val="24"/>
          <w:szCs w:val="24"/>
        </w:rPr>
        <w:t>收益品种，选取第三方估值基准服务机构提供的相应品种当日的唯一估值全价或推荐估值全价；</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对于含投资者回售权的固定收益品种，行使回售权的，在回售登记日至实际收款日期间选取第三方估值基准服务机构提供的相应品种的唯一估值全价或推荐估值全价，同时应充分考虑发行人的信用风险变化对公允价值的影响。回售登记期截止日（含当日）后未行使回售权的按照长待偿期所对应的价格进行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（4）对于在交易所市场上市交易的公开发行的可转换债券等有活跃市场的</w:t>
      </w:r>
      <w:r>
        <w:rPr>
          <w:rFonts w:ascii="宋体" w:hAnsi="宋体" w:cs="宋体"/>
          <w:kern w:val="0"/>
          <w:sz w:val="24"/>
          <w:szCs w:val="24"/>
        </w:rPr>
        <w:lastRenderedPageBreak/>
        <w:t>含转股权的债券，实行全价交易的债券选取估值日收盘价作为估值全价；实行净价交易的债券选取估值日收盘价并加计每百元税前应计利息作为估值全价；</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（5）对于未上市或未挂牌转让且不存在活跃市场的固定收益品种，应采用在当前情况下适用并且有足够可利用数据和其他信息支持的估值技术确定其公允价值。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5、同一证券同时在两个或两个以上市场交易的，按证券所处的市场分别估值。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6、本基金投资股指期货合约，一般以股指期货估值日的结算价进行估值，估值当日无结算价的，且最近交易日后经济环境未发生重大变化的，采用最近交易日结算价估值。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7、本基金投资股票期权合约，一般以股票期权估值日的结算价进行估值，估值当日无结算价的，且最近交易日后经济环境未发生重大变化的，采用最近交易日结算价估值。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8、本基金投资国债期货合约，一般以国债期货估值日的结算价进行估值，估值当日无结算价的，且最近交易日后经济环境未发生重大变化的，采用最近交易日结算价估值。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9、估值计算中涉及港币或其他外币币种对人民币汇率的，将依据下列信息提供机构所提供的汇率为基准：当日中国人民银行或其授权机构公布的人民币汇率的中间价，或其他可以反映公允价值的汇率进行估值。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税收：对于按照中国法律法规和基金投资境内外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lastRenderedPageBreak/>
        <w:t>10、信用衍生品按第三方估值机构提供的当日的估值价格进行估值，但基金管理人依法应当承担的估值责任不因委托而免除；选定的第三方估值机构未提供估值价格的，依照有关法律法规及《企业会计准则》要求采用合理估值技术确定公允价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11、本基金投资存托凭证的估值核算，依照境内上市交易的股票进行。</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12、如有确凿证据表明按上述方法进行估值不能客观反映其公允价值的，基金管理人可根据具体情况与基金托管人商定后，按最能反映公允价值的价格估值。</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13、当发生大额申购或赎回情形时，基金管理人可以采用摆动定价机制，以确保基金估值的公平性。</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14、相关法律法规以及监管部门有强制规定的，从其规定。如有新增事项，按国家最新规定估值。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如基金管理人或基金托管人发现基金估值违反基金合同订明的估值方法、程序及相关法律法规的规定或者未能充分维护基金份额持有人利益时，应立即通知对方，共同查明原因，双方协商解决。</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五、估值程序</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各类基金份额净值是按照每个估值日闭市后，各类基金资产净值除以当日该类基金份额的余额数量计算，均精确到0.0001元，小数点后第5位四舍五入，由此产生的误差计入基金财产。基金管理人可以设立大额赎回情形下的净值精度应急调整机制。国家另有规定的，从其规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基金管理人每个估值日计算基金资产净值及各类基金份额净值，并按规定公告。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2、基金管理人</w:t>
      </w:r>
      <w:proofErr w:type="gramStart"/>
      <w:r>
        <w:rPr>
          <w:rFonts w:ascii="宋体" w:hAnsi="宋体" w:cs="宋体"/>
          <w:kern w:val="0"/>
          <w:sz w:val="24"/>
          <w:szCs w:val="24"/>
        </w:rPr>
        <w:t>应每个</w:t>
      </w:r>
      <w:bookmarkStart w:id="45" w:name="_Hlk196660665"/>
      <w:proofErr w:type="gramEnd"/>
      <w:r>
        <w:rPr>
          <w:rFonts w:ascii="宋体" w:hAnsi="宋体" w:cs="宋体"/>
          <w:kern w:val="0"/>
          <w:sz w:val="24"/>
          <w:szCs w:val="24"/>
        </w:rPr>
        <w:t>估值</w:t>
      </w:r>
      <w:bookmarkEnd w:id="45"/>
      <w:r>
        <w:rPr>
          <w:rFonts w:ascii="宋体" w:hAnsi="宋体" w:cs="宋体"/>
          <w:kern w:val="0"/>
          <w:sz w:val="24"/>
          <w:szCs w:val="24"/>
        </w:rPr>
        <w:t>日对基金资产估值。但基金管理人根据法律法规或基金合同的规定暂停估值时除外。基金管理人每个估值日对基金资产估值后，将各类基金份额净值结果发送基金托管人，经基金托管人复核无误后，由基金管理人按约定对外公布。</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六、估值错误的处理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基金管理人和基金托管人将采取必要、适当、合理的措施确保基金资产估值的准确性、及时性。当某类基金份额净值小数点后4位以内(含第4位)发生估值错误时，视为该类基金份额净值错误。</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基金合同的当事人应按照以下约定处理：</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1、估值错误类型</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上述估值错误的主要类型包括但不限于：资料申报差错、数据传输差错、数据计算差错、系统故障差错、下达指令差错等。</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2、估值错误处理原则</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（2）估值错误的责任方对有关当事人的直接损失负责，不对间接损失负责，并且仅对估值错误的有关直接当事人负责，不对第三方负责。</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（3）因估值错误而获得不当得利的当事人负有及时返还不当得利的义务。但估值错误责任方仍应对估值错误负责。如果由于获得不当得利的当事人</w:t>
      </w:r>
      <w:proofErr w:type="gramStart"/>
      <w:r>
        <w:rPr>
          <w:rFonts w:ascii="宋体" w:hAnsi="宋体" w:cs="宋体"/>
          <w:kern w:val="0"/>
          <w:sz w:val="24"/>
          <w:szCs w:val="24"/>
        </w:rPr>
        <w:t>不</w:t>
      </w:r>
      <w:proofErr w:type="gramEnd"/>
      <w:r>
        <w:rPr>
          <w:rFonts w:ascii="宋体" w:hAnsi="宋体" w:cs="宋体"/>
          <w:kern w:val="0"/>
          <w:sz w:val="24"/>
          <w:szCs w:val="24"/>
        </w:rPr>
        <w:t>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（4）估值错误调整采用尽量恢复至假设未发生估值错误的正确情形的方式。</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3、估值错误处理程序</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估值错误被发现后，有关的当事人应当及时进行处理，处理的程序如下：</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（1）查明估值错误发生的原因，列明所有的当事人，并根据估值错误发生的原因确定估值错误的责任方；</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（2）根据估值错误处理原则或当事人协商的方法对因估值错误造成的损失进行评估；</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（3）根据估值错误处理原则或当事人协商的方法由估值错误的责任方进行更正和赔偿损失；</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（4）根据估值错误处理的方法，需要修改基金登记机构交易数据的，由基金登记机构进行更正，并就估值错误的更正向有关当事人进行确认。</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4、基金份额净值估值错误处理的方法如下：</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（1）某类基金份额净值计算出现错误时，基金管理人应当立即予以纠正，通报基金托管人，并采取合理的措施防止损失进一步扩大。</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（2）错误偏差达到该类基金份额净值的0.25%时，基金管理人应当通报基金托管人并报中国证监会备案；错误偏差达到该类基金份额净值的0.5%时，基金管理人应当公告，并报中国证监会备案。</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（3）前述内容如法律法规或监管机构另有规定的，从其规定处理。如果行业另有通行做法，基金管理人和基金托管人应本着平等和保护基金份额持有人利益的原则进行协商。</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七、暂停估值的情形</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1、基金投资所涉及的证券/期货交易市场遇法定节假日或因其他原因暂停营业时；</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2、因不可抗力或其他情形致使基金管理人、基金托管人无法准确评估基金资产价值时；</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3、当特定资产占前一估值日基金资产净值50%以上的，经与基金托管人协商确认后，基金管理人应当暂停估值；</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4、法律法规规定、中国证监会和基金合同认定的其它情形。</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八、基金净值的确认</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lastRenderedPageBreak/>
        <w:t>用于基金信息披露的基金资产净值和各类基金份额净值由基金管理人负责计算，基金托管人负责进行复核。基金管理人应于每个估值日交易结束后计算当日的基金资产净值和各类基金份额净值并发送给基金托管人。基金托管人对净值计算结果复核确认后发送给基金管理人，由基金管理人对基金净值按约定予以公布。</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九、实施</w:t>
      </w:r>
      <w:proofErr w:type="gramStart"/>
      <w:r>
        <w:rPr>
          <w:rFonts w:ascii="宋体" w:hAnsi="宋体" w:cs="宋体"/>
          <w:kern w:val="0"/>
          <w:sz w:val="24"/>
          <w:szCs w:val="24"/>
        </w:rPr>
        <w:t>侧袋机制</w:t>
      </w:r>
      <w:proofErr w:type="gramEnd"/>
      <w:r>
        <w:rPr>
          <w:rFonts w:ascii="宋体" w:hAnsi="宋体" w:cs="宋体"/>
          <w:kern w:val="0"/>
          <w:sz w:val="24"/>
          <w:szCs w:val="24"/>
        </w:rPr>
        <w:t>期间的基金资产估值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本基金实施</w:t>
      </w:r>
      <w:proofErr w:type="gramStart"/>
      <w:r>
        <w:rPr>
          <w:rFonts w:ascii="宋体" w:hAnsi="宋体" w:cs="宋体"/>
          <w:kern w:val="0"/>
          <w:sz w:val="24"/>
          <w:szCs w:val="24"/>
        </w:rPr>
        <w:t>侧袋机制</w:t>
      </w:r>
      <w:proofErr w:type="gramEnd"/>
      <w:r>
        <w:rPr>
          <w:rFonts w:ascii="宋体" w:hAnsi="宋体" w:cs="宋体"/>
          <w:kern w:val="0"/>
          <w:sz w:val="24"/>
          <w:szCs w:val="24"/>
        </w:rPr>
        <w:t>的，应根据本部分的约定</w:t>
      </w:r>
      <w:proofErr w:type="gramStart"/>
      <w:r>
        <w:rPr>
          <w:rFonts w:ascii="宋体" w:hAnsi="宋体" w:cs="宋体"/>
          <w:kern w:val="0"/>
          <w:sz w:val="24"/>
          <w:szCs w:val="24"/>
        </w:rPr>
        <w:t>对主袋账户</w:t>
      </w:r>
      <w:proofErr w:type="gramEnd"/>
      <w:r>
        <w:rPr>
          <w:rFonts w:ascii="宋体" w:hAnsi="宋体" w:cs="宋体"/>
          <w:kern w:val="0"/>
          <w:sz w:val="24"/>
          <w:szCs w:val="24"/>
        </w:rPr>
        <w:t>资产进行估值并</w:t>
      </w:r>
      <w:proofErr w:type="gramStart"/>
      <w:r>
        <w:rPr>
          <w:rFonts w:ascii="宋体" w:hAnsi="宋体" w:cs="宋体"/>
          <w:kern w:val="0"/>
          <w:sz w:val="24"/>
          <w:szCs w:val="24"/>
        </w:rPr>
        <w:t>披露主袋账户</w:t>
      </w:r>
      <w:proofErr w:type="gramEnd"/>
      <w:r>
        <w:rPr>
          <w:rFonts w:ascii="宋体" w:hAnsi="宋体" w:cs="宋体"/>
          <w:kern w:val="0"/>
          <w:sz w:val="24"/>
          <w:szCs w:val="24"/>
        </w:rPr>
        <w:t>的基金净值信息，暂停</w:t>
      </w:r>
      <w:proofErr w:type="gramStart"/>
      <w:r>
        <w:rPr>
          <w:rFonts w:ascii="宋体" w:hAnsi="宋体" w:cs="宋体"/>
          <w:kern w:val="0"/>
          <w:sz w:val="24"/>
          <w:szCs w:val="24"/>
        </w:rPr>
        <w:t>披露侧袋账户</w:t>
      </w:r>
      <w:proofErr w:type="gramEnd"/>
      <w:r>
        <w:rPr>
          <w:rFonts w:ascii="宋体" w:hAnsi="宋体" w:cs="宋体"/>
          <w:kern w:val="0"/>
          <w:sz w:val="24"/>
          <w:szCs w:val="24"/>
        </w:rPr>
        <w:t>份额净值。</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十、特殊情形的处理</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1、基金管理人、基金托管人按本部分有关估值方法约定的第12项进行估值时，所造成的误差不作为基金资产估值错误处理。</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由于证券/期货交易所、登记结算公司等第三方机构发送的数据错误，或由于其他不可抗力等原因，基金管理人和基金托管人虽然已经采取必要、适当、合理的措施进行检查，但未能发现错误的，由此造成的基金资产估值错误，基金管理人和基金托管人免除赔偿责任。但基金管理人和基金托管人应当积极采取必要的措施减轻或消除由此造成的影响。</w:t>
      </w:r>
      <w:r>
        <w:rPr>
          <w:rFonts w:ascii="宋体" w:hAnsi="宋体" w:cs="宋体"/>
          <w:kern w:val="0"/>
          <w:sz w:val="24"/>
          <w:szCs w:val="24"/>
        </w:rPr>
        <w:br w:type="page"/>
      </w:r>
    </w:p>
    <w:p w:rsidR="008333A9" w:rsidRDefault="0002249C">
      <w:pPr>
        <w:pStyle w:val="1"/>
        <w:spacing w:before="0" w:after="0"/>
        <w:jc w:val="center"/>
        <w:rPr>
          <w:rFonts w:ascii="Times New Roman"/>
          <w:color w:val="auto"/>
          <w:sz w:val="30"/>
        </w:rPr>
      </w:pPr>
      <w:bookmarkStart w:id="46" w:name="_Toc256000011"/>
      <w:r>
        <w:rPr>
          <w:rFonts w:ascii="Times New Roman"/>
          <w:color w:val="auto"/>
          <w:sz w:val="30"/>
        </w:rPr>
        <w:lastRenderedPageBreak/>
        <w:t>第十二部分</w:t>
      </w:r>
      <w:r>
        <w:rPr>
          <w:rFonts w:ascii="Times New Roman"/>
          <w:color w:val="auto"/>
          <w:sz w:val="30"/>
        </w:rPr>
        <w:t xml:space="preserve">  </w:t>
      </w:r>
      <w:r>
        <w:rPr>
          <w:rFonts w:ascii="Times New Roman"/>
          <w:color w:val="auto"/>
          <w:sz w:val="30"/>
        </w:rPr>
        <w:t>基金的收益与分配</w:t>
      </w:r>
      <w:bookmarkEnd w:id="46"/>
    </w:p>
    <w:p w:rsidR="008333A9" w:rsidRDefault="008333A9"/>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一、基金利润的构成</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基金利润指基金利息收入、投资收益、公允价值变动收益和其他收入扣除相关费用后的余额，基金已实现收益指基金利润减去公允价值变动收益后的余额。</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二、基金可供分配利润</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基金可供分配利润指截至收益分配基准日基金未分配利润与未分配利润中已实现收益的孰低数。</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三、基金收益分配原则</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1、在符合有关基金分红条件的前提下，本基金可进行基金收益分配，若《基金合同》生效不满3个月可不进行收益分配；</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本基金收益分配方式分两种：现金分红与红利再投资，投资者可选择现金红利或将现金红利自动转为相应类别的基金份额进行再投资，基金份额持有人可对A类、C类基金份额分别选择不同的分红方式；若投资者不选择，本基金默认的收益分配方式是现金分红；</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3、基金收益分配后各类基金份额净值不能低于面值，即基金收益分配基准日的各类基金份额净值减去每单位该类基金份额收益分配金额后不能低于面值；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4、同一类别内每一基金份额享有同等分配权；</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5、法律法规或监管机构另有规定的，从其规定。</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在不违反法律法规且对基金份额持有人利益无实质性不利影响的前提下，基金管理人可对基金收益分配原则进行调整，无需召开基金份额持有人大会。</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四、收益分配方案</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基金收益分配方案中应载明截至收益分配基准日的可供分配利润、基金收益分配对象、分配时间、分配数额及比例、分配方式等内容。</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五、收益分配方案的确定、公告与实施</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本基金收益分配方案由基金管理人拟定，并由基金托管人复核，在2日内在规定媒介公告。</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六、基金收益分配中发生的费用</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基金收益分配时所发生的银行转账或其他手续费用由投资者自行承担。当投</w:t>
      </w:r>
      <w:r>
        <w:rPr>
          <w:rFonts w:ascii="宋体" w:hAnsi="宋体" w:cs="宋体"/>
          <w:kern w:val="0"/>
          <w:sz w:val="24"/>
          <w:szCs w:val="24"/>
        </w:rPr>
        <w:lastRenderedPageBreak/>
        <w:t>资者的现金红利小于一定金额，不足以支付银行转账或其他手续费用时，基金登记机构可将基金份额持有人的现金红利自动转为相应类别的基金份额。红利再投资的计算方法，依照《业务规则》执行。</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七、实施</w:t>
      </w:r>
      <w:proofErr w:type="gramStart"/>
      <w:r>
        <w:rPr>
          <w:rFonts w:ascii="宋体" w:hAnsi="宋体" w:cs="宋体"/>
          <w:kern w:val="0"/>
          <w:sz w:val="24"/>
          <w:szCs w:val="24"/>
        </w:rPr>
        <w:t>侧袋机制</w:t>
      </w:r>
      <w:proofErr w:type="gramEnd"/>
      <w:r>
        <w:rPr>
          <w:rFonts w:ascii="宋体" w:hAnsi="宋体" w:cs="宋体"/>
          <w:kern w:val="0"/>
          <w:sz w:val="24"/>
          <w:szCs w:val="24"/>
        </w:rPr>
        <w:t>期间的收益分配</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本基金实施</w:t>
      </w:r>
      <w:proofErr w:type="gramStart"/>
      <w:r>
        <w:rPr>
          <w:rFonts w:ascii="宋体" w:hAnsi="宋体" w:cs="宋体"/>
          <w:kern w:val="0"/>
          <w:sz w:val="24"/>
          <w:szCs w:val="24"/>
        </w:rPr>
        <w:t>侧袋机制</w:t>
      </w:r>
      <w:proofErr w:type="gramEnd"/>
      <w:r>
        <w:rPr>
          <w:rFonts w:ascii="宋体" w:hAnsi="宋体" w:cs="宋体"/>
          <w:kern w:val="0"/>
          <w:sz w:val="24"/>
          <w:szCs w:val="24"/>
        </w:rPr>
        <w:t>的，</w:t>
      </w:r>
      <w:proofErr w:type="gramStart"/>
      <w:r>
        <w:rPr>
          <w:rFonts w:ascii="宋体" w:hAnsi="宋体" w:cs="宋体"/>
          <w:kern w:val="0"/>
          <w:sz w:val="24"/>
          <w:szCs w:val="24"/>
        </w:rPr>
        <w:t>侧袋账户</w:t>
      </w:r>
      <w:proofErr w:type="gramEnd"/>
      <w:r>
        <w:rPr>
          <w:rFonts w:ascii="宋体" w:hAnsi="宋体" w:cs="宋体"/>
          <w:kern w:val="0"/>
          <w:sz w:val="24"/>
          <w:szCs w:val="24"/>
        </w:rPr>
        <w:t>不进行收益分配，详见本招募说明书“侧袋机制”章节的规定。</w:t>
      </w:r>
      <w:r>
        <w:rPr>
          <w:rFonts w:ascii="宋体" w:hAnsi="宋体" w:cs="宋体"/>
          <w:kern w:val="0"/>
          <w:sz w:val="24"/>
          <w:szCs w:val="24"/>
        </w:rPr>
        <w:br w:type="page"/>
      </w:r>
    </w:p>
    <w:p w:rsidR="008333A9" w:rsidRDefault="0002249C">
      <w:pPr>
        <w:pStyle w:val="1"/>
        <w:spacing w:before="0" w:after="0"/>
        <w:jc w:val="center"/>
        <w:rPr>
          <w:rFonts w:ascii="Times New Roman"/>
          <w:color w:val="auto"/>
          <w:sz w:val="30"/>
        </w:rPr>
      </w:pPr>
      <w:bookmarkStart w:id="47" w:name="_Toc256000012"/>
      <w:r>
        <w:rPr>
          <w:rFonts w:ascii="Times New Roman"/>
          <w:color w:val="auto"/>
          <w:sz w:val="30"/>
        </w:rPr>
        <w:lastRenderedPageBreak/>
        <w:t>第十三部分</w:t>
      </w:r>
      <w:r>
        <w:rPr>
          <w:rFonts w:ascii="Times New Roman"/>
          <w:color w:val="auto"/>
          <w:sz w:val="30"/>
        </w:rPr>
        <w:t xml:space="preserve">  </w:t>
      </w:r>
      <w:r>
        <w:rPr>
          <w:rFonts w:ascii="Times New Roman"/>
          <w:color w:val="auto"/>
          <w:sz w:val="30"/>
        </w:rPr>
        <w:t>基金费用与税收</w:t>
      </w:r>
      <w:bookmarkEnd w:id="47"/>
    </w:p>
    <w:p w:rsidR="008333A9" w:rsidRDefault="008333A9"/>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一、基金费用的种类</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1、基金管理人的管理费；</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2、基金托管人的托管费；</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3、销售服务费；</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4、《基金合同》生效后与基金相关的信息披露费用（但法律法规、中国证监会另有规定的除外）；</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5、《基金合同》生效后与基金相关的会计师费、律师费、仲裁费和诉讼费；</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6、基金份额持有人大会费用；</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7、基金的证券、期货等交易结算费用；</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8、基金的银行汇划费用；</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9、基金的账户开户费用、账户维护费用；</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10、因投资港股通标的股票而产生的各项合理费用；</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11、按照国家有关规定和《基金合同》约定，可以在基金财产中列支的其他费用。</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二、基金费用计提方法、计提标准和支付方式</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1、基金管理人的管理费</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本基金的管理费按前一日基金资产净值的1.20%年费率计提。管理费的计算方法如下：</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H＝E×1.20%÷当年天数</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H为每日应计提的基金管理费</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E为前一日的基金资产净值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基金管理费每日计提，逐日累计至每月月末，按月支付，经基金管理人与基金托管人双方核对无误后，自动在次月初五</w:t>
      </w:r>
      <w:proofErr w:type="gramStart"/>
      <w:r>
        <w:rPr>
          <w:rFonts w:ascii="宋体" w:hAnsi="宋体" w:cs="宋体"/>
          <w:kern w:val="0"/>
          <w:sz w:val="24"/>
          <w:szCs w:val="24"/>
        </w:rPr>
        <w:t>个</w:t>
      </w:r>
      <w:proofErr w:type="gramEnd"/>
      <w:r>
        <w:rPr>
          <w:rFonts w:ascii="宋体" w:hAnsi="宋体" w:cs="宋体"/>
          <w:kern w:val="0"/>
          <w:sz w:val="24"/>
          <w:szCs w:val="24"/>
        </w:rPr>
        <w:t>工作日内、按照指定的账户路径进行资金支付，基金管理人无需再出具资金划拨指令。基金管理人应确保支付当日账户余额充足，如因资金余额不足造成自动支付无法进行，基金管理人应另行出具划款指令。若遇法定节假日、休息日或不可抗力致使无法按时支付的，顺延至法定节假日、休息日结束之日起5个工作日内或不可抗力情形消除之日起5个工</w:t>
      </w:r>
      <w:r>
        <w:rPr>
          <w:rFonts w:ascii="宋体" w:hAnsi="宋体" w:cs="宋体"/>
          <w:kern w:val="0"/>
          <w:sz w:val="24"/>
          <w:szCs w:val="24"/>
        </w:rPr>
        <w:lastRenderedPageBreak/>
        <w:t>作日内支付。</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2、基金托管人的托管费</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本基金的托管费按前一日基金资产净值的0.20%的年费率计提。托管费的计算方法如下：</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H＝E×0.20%÷当年天数</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H为每日应计提的基金托管费</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E为前一日的基金资产净值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基金托管费每日计提，逐日累计至每月月末，按月支付，经基金管理人与基金托管人双方核对无误后，自动在次月初五</w:t>
      </w:r>
      <w:proofErr w:type="gramStart"/>
      <w:r>
        <w:rPr>
          <w:rFonts w:ascii="宋体" w:hAnsi="宋体" w:cs="宋体"/>
          <w:kern w:val="0"/>
          <w:sz w:val="24"/>
          <w:szCs w:val="24"/>
        </w:rPr>
        <w:t>个</w:t>
      </w:r>
      <w:proofErr w:type="gramEnd"/>
      <w:r>
        <w:rPr>
          <w:rFonts w:ascii="宋体" w:hAnsi="宋体" w:cs="宋体"/>
          <w:kern w:val="0"/>
          <w:sz w:val="24"/>
          <w:szCs w:val="24"/>
        </w:rPr>
        <w:t>工作日内、按照指定的账户路径进行资金支付，基金管理人无需再出具资金划拨指令。基金管理人应确保支付当日账户余额充足，如因资金余额不足造成自动支付无法进行，基金管理人应另行出具划款指令。若遇法定节假日、休息日或不可抗力致使无法按时支付的，顺延至法定节假日、休息日结束之日起5个工作日内或不可抗力情形消除之日起5个工作日内支付。</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3、销售服务费</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本基金A类基金份额不收取销售服务费，C类基金份额的销售服务费年费率为0.60%。</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计算方法如下：</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H＝E×0.60%÷当年天数</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H为C类基金份额每日应计提的销售服务费</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E为C类基金份额前一日基金资产净值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销售服务费每日计提，逐日累计至每月月末，按月支付，经基金管理人与基金托管人双方核对无误后，自动在次月初五</w:t>
      </w:r>
      <w:proofErr w:type="gramStart"/>
      <w:r>
        <w:rPr>
          <w:rFonts w:ascii="宋体" w:hAnsi="宋体" w:cs="宋体"/>
          <w:kern w:val="0"/>
          <w:sz w:val="24"/>
          <w:szCs w:val="24"/>
        </w:rPr>
        <w:t>个</w:t>
      </w:r>
      <w:proofErr w:type="gramEnd"/>
      <w:r>
        <w:rPr>
          <w:rFonts w:ascii="宋体" w:hAnsi="宋体" w:cs="宋体"/>
          <w:kern w:val="0"/>
          <w:sz w:val="24"/>
          <w:szCs w:val="24"/>
        </w:rPr>
        <w:t>工作日内、按照指定的账户路径进行资金支付，基金管理人无需再出具资金划拨指令。基金管理人应确保支付当日账户余额充足，如因资金余额不足造成自动支付无法进行，基金管理人应另行出具划款指令。若遇法定节假日、休息日或不可抗力致使无法按时支付的，顺延至法定节假日、休息日结束之日起5个工作日内或不可抗力情形消除之日起5个工作日内支付。</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上述“一、基金费用的种类”中第4－11项费用，根据有关法规及相应协议</w:t>
      </w:r>
      <w:r>
        <w:rPr>
          <w:rFonts w:ascii="宋体" w:hAnsi="宋体" w:cs="宋体"/>
          <w:kern w:val="0"/>
          <w:sz w:val="24"/>
          <w:szCs w:val="24"/>
        </w:rPr>
        <w:lastRenderedPageBreak/>
        <w:t>规定，按费用实际支出金额列入当期费用，由基金托管人从基金财产中支付。</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三、不列入基金费用的项目</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下列费用不列入基金费用：</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1、基金管理人和基金托管人因未履行或未完全履行义务导致的费用支出或基金财产的损失；</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2、基金管理人和基金托管人处理与基金运作无关的事项发生的费用；</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3、《基金合同》生效前的相关费用；</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4、其他根据相关法律法规及中国证监会的有关规定不得列入基金费用的项目。</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四、实施</w:t>
      </w:r>
      <w:proofErr w:type="gramStart"/>
      <w:r>
        <w:rPr>
          <w:rFonts w:ascii="宋体" w:hAnsi="宋体" w:cs="宋体"/>
          <w:kern w:val="0"/>
          <w:sz w:val="24"/>
          <w:szCs w:val="24"/>
        </w:rPr>
        <w:t>侧袋机制</w:t>
      </w:r>
      <w:proofErr w:type="gramEnd"/>
      <w:r>
        <w:rPr>
          <w:rFonts w:ascii="宋体" w:hAnsi="宋体" w:cs="宋体"/>
          <w:kern w:val="0"/>
          <w:sz w:val="24"/>
          <w:szCs w:val="24"/>
        </w:rPr>
        <w:t>期间的基金费用</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本基金实施</w:t>
      </w:r>
      <w:proofErr w:type="gramStart"/>
      <w:r>
        <w:rPr>
          <w:rFonts w:ascii="宋体" w:hAnsi="宋体" w:cs="宋体"/>
          <w:kern w:val="0"/>
          <w:sz w:val="24"/>
          <w:szCs w:val="24"/>
        </w:rPr>
        <w:t>侧袋机制</w:t>
      </w:r>
      <w:proofErr w:type="gramEnd"/>
      <w:r>
        <w:rPr>
          <w:rFonts w:ascii="宋体" w:hAnsi="宋体" w:cs="宋体"/>
          <w:kern w:val="0"/>
          <w:sz w:val="24"/>
          <w:szCs w:val="24"/>
        </w:rPr>
        <w:t>的，</w:t>
      </w:r>
      <w:proofErr w:type="gramStart"/>
      <w:r>
        <w:rPr>
          <w:rFonts w:ascii="宋体" w:hAnsi="宋体" w:cs="宋体"/>
          <w:kern w:val="0"/>
          <w:sz w:val="24"/>
          <w:szCs w:val="24"/>
        </w:rPr>
        <w:t>与侧袋账户</w:t>
      </w:r>
      <w:proofErr w:type="gramEnd"/>
      <w:r>
        <w:rPr>
          <w:rFonts w:ascii="宋体" w:hAnsi="宋体" w:cs="宋体"/>
          <w:kern w:val="0"/>
          <w:sz w:val="24"/>
          <w:szCs w:val="24"/>
        </w:rPr>
        <w:t>有关的费用可以</w:t>
      </w:r>
      <w:proofErr w:type="gramStart"/>
      <w:r>
        <w:rPr>
          <w:rFonts w:ascii="宋体" w:hAnsi="宋体" w:cs="宋体"/>
          <w:kern w:val="0"/>
          <w:sz w:val="24"/>
          <w:szCs w:val="24"/>
        </w:rPr>
        <w:t>从侧袋账户</w:t>
      </w:r>
      <w:proofErr w:type="gramEnd"/>
      <w:r>
        <w:rPr>
          <w:rFonts w:ascii="宋体" w:hAnsi="宋体" w:cs="宋体"/>
          <w:kern w:val="0"/>
          <w:sz w:val="24"/>
          <w:szCs w:val="24"/>
        </w:rPr>
        <w:t>中列支，但应</w:t>
      </w:r>
      <w:proofErr w:type="gramStart"/>
      <w:r>
        <w:rPr>
          <w:rFonts w:ascii="宋体" w:hAnsi="宋体" w:cs="宋体"/>
          <w:kern w:val="0"/>
          <w:sz w:val="24"/>
          <w:szCs w:val="24"/>
        </w:rPr>
        <w:t>待侧袋</w:t>
      </w:r>
      <w:proofErr w:type="gramEnd"/>
      <w:r>
        <w:rPr>
          <w:rFonts w:ascii="宋体" w:hAnsi="宋体" w:cs="宋体"/>
          <w:kern w:val="0"/>
          <w:sz w:val="24"/>
          <w:szCs w:val="24"/>
        </w:rPr>
        <w:t>账户资产变现后方可列支，有关费用可酌情收取或减免，但不得收取管理费，详见本招募说明书“侧袋机制”章节的规定。</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五、基金税收</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本基金运作过程中涉及的各纳税主体，其纳税义务按国家税收法律、法规执行。基金财产投资的相关税收，由基金份额持有人承担，基金管理人或者其他扣缴义务人按照国家有关税收征收的规定代扣代缴。</w:t>
      </w:r>
      <w:r>
        <w:rPr>
          <w:rFonts w:ascii="宋体" w:hAnsi="宋体" w:cs="宋体"/>
          <w:kern w:val="0"/>
          <w:sz w:val="24"/>
          <w:szCs w:val="24"/>
        </w:rPr>
        <w:br w:type="page"/>
      </w:r>
    </w:p>
    <w:p w:rsidR="008333A9" w:rsidRDefault="0002249C">
      <w:pPr>
        <w:pStyle w:val="1"/>
        <w:spacing w:before="0" w:after="0"/>
        <w:jc w:val="center"/>
        <w:rPr>
          <w:rFonts w:ascii="Times New Roman"/>
          <w:color w:val="auto"/>
          <w:sz w:val="30"/>
        </w:rPr>
      </w:pPr>
      <w:bookmarkStart w:id="48" w:name="_Toc256000013"/>
      <w:r>
        <w:rPr>
          <w:rFonts w:ascii="Times New Roman"/>
          <w:color w:val="auto"/>
          <w:sz w:val="30"/>
        </w:rPr>
        <w:lastRenderedPageBreak/>
        <w:t>第十四部分</w:t>
      </w:r>
      <w:r>
        <w:rPr>
          <w:rFonts w:ascii="Times New Roman"/>
          <w:color w:val="auto"/>
          <w:sz w:val="30"/>
        </w:rPr>
        <w:t xml:space="preserve">  </w:t>
      </w:r>
      <w:r>
        <w:rPr>
          <w:rFonts w:ascii="Times New Roman"/>
          <w:color w:val="auto"/>
          <w:sz w:val="30"/>
        </w:rPr>
        <w:t>基金的会计与审计</w:t>
      </w:r>
      <w:bookmarkEnd w:id="48"/>
    </w:p>
    <w:p w:rsidR="008333A9" w:rsidRDefault="008333A9"/>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一、基金会计政策</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1、基金管理人为本基金的基金会计责任方；</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2、基金的会计年度为公历年度的1月1日至12月31日；基金首次募集的会计年度按如下原则：如果《基金合同》生效少于2个月，可以并入下一个会计年度披露；</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3、基金核算以人民币为记账本位币，以人民币元为记账单位；</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4、会计制度执行国家有关会计制度；</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5、本基金独立建账、独立核算；</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6、基金管理人及基金托管人各自保留完整的会计账目、凭证并进行日常的会计核算，按照有关规定编制基金会计报表；</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7、基金托管人每月与基金管理人就基金的会计核算、报表编制等进行核对并以书面方式确认。</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二、基金的年度审计</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1、基金管理人聘请与基金管理人、基金托管人相互独立的符合《中华人民共和国证券法》规定的会计师事务所及其注册会计师对本基金的年度财务报表进行审计。</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2、会计师事务所更换经办注册会计师，应事先征得基金管理人同意。</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3、基金管理人认为有充足理由更换会计师事务所，须通报基金托管人。更换会计师事务所需在2日内在规定媒介公告。</w:t>
      </w:r>
      <w:r>
        <w:rPr>
          <w:rFonts w:ascii="宋体" w:hAnsi="宋体" w:cs="宋体"/>
          <w:kern w:val="0"/>
          <w:sz w:val="24"/>
          <w:szCs w:val="24"/>
        </w:rPr>
        <w:br w:type="page"/>
      </w:r>
    </w:p>
    <w:p w:rsidR="008333A9" w:rsidRDefault="0002249C">
      <w:pPr>
        <w:pStyle w:val="1"/>
        <w:spacing w:before="0" w:after="0"/>
        <w:jc w:val="center"/>
        <w:rPr>
          <w:rFonts w:ascii="Times New Roman"/>
          <w:color w:val="auto"/>
          <w:sz w:val="30"/>
        </w:rPr>
      </w:pPr>
      <w:bookmarkStart w:id="49" w:name="_Toc256000014"/>
      <w:r>
        <w:rPr>
          <w:rFonts w:ascii="Times New Roman"/>
          <w:color w:val="auto"/>
          <w:sz w:val="30"/>
        </w:rPr>
        <w:lastRenderedPageBreak/>
        <w:t>第十五部分</w:t>
      </w:r>
      <w:r>
        <w:rPr>
          <w:rFonts w:ascii="Times New Roman"/>
          <w:color w:val="auto"/>
          <w:sz w:val="30"/>
        </w:rPr>
        <w:t xml:space="preserve">  </w:t>
      </w:r>
      <w:r>
        <w:rPr>
          <w:rFonts w:ascii="Times New Roman"/>
          <w:color w:val="auto"/>
          <w:sz w:val="30"/>
        </w:rPr>
        <w:t>基金的信息披露</w:t>
      </w:r>
      <w:bookmarkEnd w:id="49"/>
    </w:p>
    <w:p w:rsidR="008333A9" w:rsidRDefault="008333A9"/>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一、本基金的信息披露应符合《基金法》、《运作办法》、《信息披露办法》、《流动性风险管理规定》、《基金合同》及其他有关规定。相关法律法规关于信息披露的规定发生变化时，本基金从其最新规定。</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二、信息披露义务人</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本基金信息披露义务人包括基金管理人、基金托管人、召集基金份额持有人大会的基金份额持有人等法律法规和中国证监会规定的自然人、法人和非法人组织。</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本基金信息披露义务人以保护基金份额持有人利益为根本出发点，按照法律法规和中国证监会的规定披露基金信息，并保证所披露信息的真实性、准确性、完整性、及时性、简明性和易得性。</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信息披露义务人应当在中国证监会规定时间内，将应予披露的基金信息通过符合中国证监会规定条件的全国性报刊（以下简称“规定报刊”）和《信息披露办法》规定的互联网网站（以下简称“规定网站”）等规定媒介披露，并保证基金投资者能够按照《基金合同》约定的时间和方式查阅或者复制公开披露的信息资料。</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三、本基金信息披露义务人承诺公开披露的基金信息，不得有下列行为：</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1、虚假记载、误导性陈述或者重大遗漏；</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2、对证券投资业绩进行预测；</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3、违规承诺收益或者承担损失；</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4、诋毁其他基金管理人、基金托管人或者基金销售机构；</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5、登载任何自然人、法人和非法人组织的祝贺性、恭维性或推荐性的文字；</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6、中国证监会禁止的其他行为。</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四、本基金公开披露的信息应采用中文文本。如同时采用外文文本的，基金信息披露义务人应保证不同文本的内容一致。不同文本之间发生歧义的，以中文文本为准。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本基金公开披露的信息采用阿拉伯数字；除特别说明外，货币单位为人民币元。</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五、公开披露的基金信息</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公开披露的基金信息包括：</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（一）基金招募说明书、《基金合同》、基金托管协议、基金产品资料概要</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1、《基金合同》是界定《基金合同》当事人的各项权利、义务关系，明确基金份额持有人大会召开的规则及具体程序，说明基金产品的特性等涉及基金投资者重大利益的事项的法律文件。</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3、基金托管协议是界定基金托管人和基金管理人在基金财产保管及基金运作监督等活动中的权利、义务关系的法律文件。</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募集申请经中国证监会注册后，基金管理人在基金份额发售的3日前，将基金份额发售公告、基金招募说明书提示性公告、《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规定网站上。</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（二）基金份额发售公告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基金管理人应当就基金份额发售的具体事宜编制基金份额发售公告，并在披露招募说明书的当日登载于规定媒介上。</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（三）《基金合同》生效公告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基金管理人应当在收到中国证监会确认文件的次日在规定媒介上登载《基金合同》生效公告。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《基金合同》生效公告中应当说明基金募集情况及基金管理人、基金管理人高级管理人员、基金经理等人员以及基金管理</w:t>
      </w:r>
      <w:proofErr w:type="gramStart"/>
      <w:r>
        <w:rPr>
          <w:rFonts w:ascii="宋体" w:hAnsi="宋体" w:cs="宋体"/>
          <w:kern w:val="0"/>
          <w:sz w:val="24"/>
          <w:szCs w:val="24"/>
        </w:rPr>
        <w:t>人股东</w:t>
      </w:r>
      <w:proofErr w:type="gramEnd"/>
      <w:r>
        <w:rPr>
          <w:rFonts w:ascii="宋体" w:hAnsi="宋体" w:cs="宋体"/>
          <w:kern w:val="0"/>
          <w:sz w:val="24"/>
          <w:szCs w:val="24"/>
        </w:rPr>
        <w:t>持有的基金份额、承诺持有的期限等情况。</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（四）基金净值信息</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合同》生效后，在开始办理基金份额申购或者赎回前，基金管理人应当至少每周在规定网站披露一次各类基金份额净值和基金份额累计净值。在开始办理基金份额申购或者赎回后，基金管理人应当在不晚于每个开放日的次日，通过规定网站、基金销售机构网站或者营业网点，披露开放日的各类基金份额净值和基金份额累计净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基金管理人应当在不晚于半年度和年度最后一日的次日，在规定网站披露半年度和年度最后一日的各类基金份额净值和基金份额累计净值。</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（五）基金份额申购、赎回价格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基金管理人应当在《基金合同》、招募说明书等信息披露文件上载</w:t>
      </w:r>
      <w:proofErr w:type="gramStart"/>
      <w:r>
        <w:rPr>
          <w:rFonts w:ascii="宋体" w:hAnsi="宋体" w:cs="宋体"/>
          <w:kern w:val="0"/>
          <w:sz w:val="24"/>
          <w:szCs w:val="24"/>
        </w:rPr>
        <w:t>明基金</w:t>
      </w:r>
      <w:proofErr w:type="gramEnd"/>
      <w:r>
        <w:rPr>
          <w:rFonts w:ascii="宋体" w:hAnsi="宋体" w:cs="宋体"/>
          <w:kern w:val="0"/>
          <w:sz w:val="24"/>
          <w:szCs w:val="24"/>
        </w:rPr>
        <w:t>份额申购、赎回价格的计算方式及有关申购、赎回费率，并保证投资者能够在基金销售机构网站或营业网点查阅或者复制前述信息资料。</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（六）基金定期报告，包括基金年度报告、基金中期报告和基金季度报告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当在每年结束之日起三个月内，编制完成基金年度报告，将年度报告登载在规定网站上，并将年度报告提示性公告登载在规定报刊上。基金年度报告中的财务会计报告应当经过符合《中华人民共和国证券法》规定的会计师事务所审计。</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基金管理人应当在上半年结束之日起两个月内，编制完成基金中期报告，将中期报告登载在规定网站上，并将中期报告提示性公告登载在规定报刊上。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基金管理人应当在季度结束之日起15个工作日内，编制完成基金季度报告，将季度报告登载在规定网站上，并将季度报告提示性公告登载在规定报刊上。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《基金合同》生效不足2个月的，基金管理人可以不编制当期季度报告、中期报告或者年度报告。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lastRenderedPageBreak/>
        <w:t>如报告期内出现单一投资者持有基金份额达到或超过基金总份额20%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基金管理人应当在基金年度报告和中期报告中披露基金组合资产情况及其流动性风险分析等。</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基金管理人应在年度报告、中期报告、季度报告中分别披露基金管理人、基金管理人高级管理人员、基金经理等人员以及基金管理</w:t>
      </w:r>
      <w:proofErr w:type="gramStart"/>
      <w:r>
        <w:rPr>
          <w:rFonts w:ascii="宋体" w:hAnsi="宋体" w:cs="宋体"/>
          <w:kern w:val="0"/>
          <w:sz w:val="24"/>
          <w:szCs w:val="24"/>
        </w:rPr>
        <w:t>人股东</w:t>
      </w:r>
      <w:proofErr w:type="gramEnd"/>
      <w:r>
        <w:rPr>
          <w:rFonts w:ascii="宋体" w:hAnsi="宋体" w:cs="宋体"/>
          <w:kern w:val="0"/>
          <w:sz w:val="24"/>
          <w:szCs w:val="24"/>
        </w:rPr>
        <w:t>持有基金的份额、期限</w:t>
      </w:r>
      <w:proofErr w:type="gramStart"/>
      <w:r>
        <w:rPr>
          <w:rFonts w:ascii="宋体" w:hAnsi="宋体" w:cs="宋体"/>
          <w:kern w:val="0"/>
          <w:sz w:val="24"/>
          <w:szCs w:val="24"/>
        </w:rPr>
        <w:t>及期间</w:t>
      </w:r>
      <w:proofErr w:type="gramEnd"/>
      <w:r>
        <w:rPr>
          <w:rFonts w:ascii="宋体" w:hAnsi="宋体" w:cs="宋体"/>
          <w:kern w:val="0"/>
          <w:sz w:val="24"/>
          <w:szCs w:val="24"/>
        </w:rPr>
        <w:t>的变动情况。</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（七）临时报告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本基金发生重大事件，有关信息披露义务人应当在2日内编制临时报告书，并登载在规定报刊和规定网站上。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前款所称重大事件，是指可能对基金份额持有人权益或者基金份额的价格产生重大影响的下列事件：</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1、基金份额持有人大会的召开及决定的事项；</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2、《基金合同》终止、基金清算；</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3、转换基金运作方式、基金合并；</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4、更换基金管理人、基金托管人、基金份额登记机构，基金改聘会计师事务所；</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5、基金管理人委托基金服务机构代为办理基金的份额登记、核算、估值等事项，基金托管人委托基金服务机构代为办理基金的核算、估值、复核等事项；</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6、基金管理人、基金托管人的法定名称、住所发生变更；</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7、基金管理人变更持有百分之五以上股权的股东、基金管理人的实际控制人变更；</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8、基金募集期延长或提前结束募集；</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9、基金管理人的高级管理人员、基金经理和基金托管人专门基金托管部门负责人发生变动；</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10、基金管理人的董事在最近12个月内变更超过百分之五十，基金管理人、基金托管人专门基金托管部门的主要业务人员在最近12个月内变动超过百分之</w:t>
      </w:r>
      <w:r>
        <w:rPr>
          <w:rFonts w:ascii="宋体" w:hAnsi="宋体" w:cs="宋体"/>
          <w:kern w:val="0"/>
          <w:sz w:val="24"/>
          <w:szCs w:val="24"/>
        </w:rPr>
        <w:lastRenderedPageBreak/>
        <w:t>三十；</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11、涉及基金财产、基金管理业务、基金托管业务的诉讼或仲裁；</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12、基金管理人或其高级管理人员、基金经理因基金管理业务相关行为受到重大行政处罚、刑事处罚，基金托管人或其专门基金托管部门负责人因基金托管业务相关行为受到重大行政处罚、刑事处罚；</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13、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14、基金收益分配事项；</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15、管理费、托管费、销售服务费、申购费和赎回费等费用计提标准、计提方式和费率发生变更；</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16、某类基金份额净值估值错误达该类基金份额净值百分之零点五；</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17、本基金开始办理申购、赎回；</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18、本基金发生巨额赎回并延期办理；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19、本基金连续发生巨额赎回并暂停接受赎回申请或延缓支付赎回款项；</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20、本基金暂停接受申购、赎回申请或者重新接受申购、赎回申请；</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21、调整基金份额类别的设置；</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22、本基金推出新业务或服务；</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23、发生涉及基金申购、赎回事项调整或潜在影响投资者赎回等重大事项时；</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24、基金管理人采用摆动定价机制进行估值；</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25、基金信息披露义务人认为可能对基金份额持有人权益或者基金份额的价格产生重大影响的其他事项或中国证监会规定的其他事项。</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（八）澄清公告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（九）清算报告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基金合同终止情形发生时，基金管理人应当依法组织基金财产清算小组对基金财产进行清算并</w:t>
      </w:r>
      <w:proofErr w:type="gramStart"/>
      <w:r>
        <w:rPr>
          <w:rFonts w:ascii="宋体" w:hAnsi="宋体" w:cs="宋体"/>
          <w:kern w:val="0"/>
          <w:sz w:val="24"/>
          <w:szCs w:val="24"/>
        </w:rPr>
        <w:t>作出</w:t>
      </w:r>
      <w:proofErr w:type="gramEnd"/>
      <w:r>
        <w:rPr>
          <w:rFonts w:ascii="宋体" w:hAnsi="宋体" w:cs="宋体"/>
          <w:kern w:val="0"/>
          <w:sz w:val="24"/>
          <w:szCs w:val="24"/>
        </w:rPr>
        <w:t>清算报告。基金财产清算小组应当将清算报告登载在规定</w:t>
      </w:r>
      <w:r>
        <w:rPr>
          <w:rFonts w:ascii="宋体" w:hAnsi="宋体" w:cs="宋体"/>
          <w:kern w:val="0"/>
          <w:sz w:val="24"/>
          <w:szCs w:val="24"/>
        </w:rPr>
        <w:lastRenderedPageBreak/>
        <w:t>网站上，并将清算报告提示性公告登载在规定报刊上。</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（十）基金份额持有人大会决议</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基金份额持有人大会决定的事项，应当依法报中国证监会备案，并予以公告。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（十一）投资股指期货的信息披露</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在季度报告、中期报告、年度报告等定期报告和招募说明书(更新)等文件中披露股指期货交易情况，包括交易政策、持仓情况、损益情况、风险指标等，并充分揭示股指期货交易对基金总体风险的影响以及是否符合既定的交易政策和交易目标等。</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（十二）投资国债期货的信息披露</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在季度报告、中期报告、年度报告等定期报告和招募说明书（更新）等文件中披露国债期货交易情况，包括交易政策、持仓情况、损益情况、风险指标等，并充分揭示国债期货交易对基金总体风险的影响以及是否符合既定的交易政策和交易目标等。</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（十三）投资股票期权的信息披露</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在定期信息披露文件中披露参与股票期权交易的有关情况，包括投资政策、持仓情况、损益情况、风险指标、估值方法等，并充分揭示股票期权交易对基金总体风险的影响以及是否符合既定的投资政策和投资目标。</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（十四）投资资产支持证券的信息披露</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投资资产支持证券，基金管理人应在基金年度报告及中期报告中披露其持有的资产支持证券总额、资产支持证券市值占基金净资产的比例和报告期内所有的资产支持证券明细。基金管理人应在基金季度报告中披露其持有的资产支持证券总额、资产支持证券市值占基金净资产的比例和报告期末按市值占基金净资产比例大小排序的前10名资产支持证券明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（十五）参与融资业务的信息披露</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基金管理人应在季度报告、中期报告、年度报告等定期报告和招募说明书（更新）等文件中披露参与融资交易的情况，包括投资策略、业务开展情况、损益情况、风险及管理情况。</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（十六）投资港股通标的股票的信息披露</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基金管理人应在季度报告、中期报告、年度报告等定期报告和招募说明书（更</w:t>
      </w:r>
      <w:r>
        <w:rPr>
          <w:rFonts w:ascii="宋体" w:hAnsi="宋体" w:cs="宋体"/>
          <w:kern w:val="0"/>
          <w:sz w:val="24"/>
          <w:szCs w:val="24"/>
        </w:rPr>
        <w:lastRenderedPageBreak/>
        <w:t>新）等文件中披露港股</w:t>
      </w:r>
      <w:proofErr w:type="gramStart"/>
      <w:r>
        <w:rPr>
          <w:rFonts w:ascii="宋体" w:hAnsi="宋体" w:cs="宋体"/>
          <w:kern w:val="0"/>
          <w:sz w:val="24"/>
          <w:szCs w:val="24"/>
        </w:rPr>
        <w:t>通交易</w:t>
      </w:r>
      <w:proofErr w:type="gramEnd"/>
      <w:r>
        <w:rPr>
          <w:rFonts w:ascii="宋体" w:hAnsi="宋体" w:cs="宋体"/>
          <w:kern w:val="0"/>
          <w:sz w:val="24"/>
          <w:szCs w:val="24"/>
        </w:rPr>
        <w:t>的相关情况。</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（十七）投资信用衍生品的信息披露</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当在季度报告、中期报告、年度报告等定期报告和招募说明书（更新）等文件中详细披露信用衍生品的投资情况，包括投资策略、持仓情况等，并充分揭示投资信用衍生品对基金总体风险的影响，以及是否符合既定的投资目标及策略。</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（十</w:t>
      </w:r>
      <w:r>
        <w:rPr>
          <w:rFonts w:ascii="宋体" w:hAnsi="宋体" w:cs="宋体" w:hint="eastAsia"/>
          <w:kern w:val="0"/>
          <w:sz w:val="24"/>
          <w:szCs w:val="24"/>
        </w:rPr>
        <w:t>八</w:t>
      </w:r>
      <w:r>
        <w:rPr>
          <w:rFonts w:ascii="宋体" w:hAnsi="宋体" w:cs="宋体"/>
          <w:kern w:val="0"/>
          <w:sz w:val="24"/>
          <w:szCs w:val="24"/>
        </w:rPr>
        <w:t>）实施</w:t>
      </w:r>
      <w:proofErr w:type="gramStart"/>
      <w:r>
        <w:rPr>
          <w:rFonts w:ascii="宋体" w:hAnsi="宋体" w:cs="宋体"/>
          <w:kern w:val="0"/>
          <w:sz w:val="24"/>
          <w:szCs w:val="24"/>
        </w:rPr>
        <w:t>侧袋机制</w:t>
      </w:r>
      <w:proofErr w:type="gramEnd"/>
      <w:r>
        <w:rPr>
          <w:rFonts w:ascii="宋体" w:hAnsi="宋体" w:cs="宋体"/>
          <w:kern w:val="0"/>
          <w:sz w:val="24"/>
          <w:szCs w:val="24"/>
        </w:rPr>
        <w:t>期间的信息披露</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本基金实施</w:t>
      </w:r>
      <w:proofErr w:type="gramStart"/>
      <w:r>
        <w:rPr>
          <w:rFonts w:ascii="宋体" w:hAnsi="宋体" w:cs="宋体"/>
          <w:kern w:val="0"/>
          <w:sz w:val="24"/>
          <w:szCs w:val="24"/>
        </w:rPr>
        <w:t>侧袋机制</w:t>
      </w:r>
      <w:proofErr w:type="gramEnd"/>
      <w:r>
        <w:rPr>
          <w:rFonts w:ascii="宋体" w:hAnsi="宋体" w:cs="宋体"/>
          <w:kern w:val="0"/>
          <w:sz w:val="24"/>
          <w:szCs w:val="24"/>
        </w:rPr>
        <w:t>的，相关信息披露义务人应当根据法律法规、基金合同和招募说明书的规定进行信息披露，详见本招募说明书“侧袋机制”章节的规定。</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（十</w:t>
      </w:r>
      <w:r>
        <w:rPr>
          <w:rFonts w:ascii="宋体" w:hAnsi="宋体" w:cs="宋体" w:hint="eastAsia"/>
          <w:kern w:val="0"/>
          <w:sz w:val="24"/>
          <w:szCs w:val="24"/>
        </w:rPr>
        <w:t>九</w:t>
      </w:r>
      <w:r>
        <w:rPr>
          <w:rFonts w:ascii="宋体" w:hAnsi="宋体" w:cs="宋体"/>
          <w:kern w:val="0"/>
          <w:sz w:val="24"/>
          <w:szCs w:val="24"/>
        </w:rPr>
        <w:t>）中国证监会规定的其他信息。</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六、暂停或延迟信息披露的情形</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1、基金投资所涉及的证券/期货交易所遇法定节假日或因其他原因暂停营业时；</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2、因不可抗力或其他情形致使基金管理人、基金托管人无法准确评估基金资产价值时；</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3、法律法规规定、中国证监会或《基金合同》认定的其他情形。</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七、信息披露事务管理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基金管理人、基金托管人应当建立健全信息披露管理制度，指定专门部门及高级管理人员负责管理信息披露事务。</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基金信息披露义务人公开披露基金信息，应当符合中国证监会相关基金信息披露内容与格式准则等法规的规定。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托管人应当按照相关法律法规、中国证监会的规定和《基金合同》的约定，对基金管理人编制的基金资产净值、各类基金份额净值、基金份额申购赎回价格、基金定期报告、更新的招募说明书、更新的基金产品资料概要、基金清算报告等公开披露的相关基金信息进行复核、审查，并向基金管理人进行书面或电子确认。</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基金管理人、基金托管人应当在规定报刊中选择一家报刊披露本基金信息。基金管理人、基金托管人应当向中国证监会基金电子披露网站报送拟披露的基金信息，并保证相关报送信息的真实、准确、完整、及时。</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lastRenderedPageBreak/>
        <w:t>基金管理人、基金托管人除依法在规定媒介上披露信息外，还可以根据需要在其他公共媒介披露信息，但是其他公共媒介不得早于规定媒介披露信息，并且在不同媒介上披露同一信息的内容应当一致。</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基金管理人、基金托管人除按法律法规要求披露信息外，也可着眼于为投资者决策提供有用信息的角度，在保证公平对待投资者、</w:t>
      </w:r>
      <w:proofErr w:type="gramStart"/>
      <w:r>
        <w:rPr>
          <w:rFonts w:ascii="宋体" w:hAnsi="宋体" w:cs="宋体"/>
          <w:kern w:val="0"/>
          <w:sz w:val="24"/>
          <w:szCs w:val="24"/>
        </w:rPr>
        <w:t>不</w:t>
      </w:r>
      <w:proofErr w:type="gramEnd"/>
      <w:r>
        <w:rPr>
          <w:rFonts w:ascii="宋体" w:hAnsi="宋体" w:cs="宋体"/>
          <w:kern w:val="0"/>
          <w:sz w:val="24"/>
          <w:szCs w:val="24"/>
        </w:rPr>
        <w:t>误导投资者、不影响基金正常投资操作的前提下，自主提升信息披露服务的质量。具体要求应当符合中国证监会及自律规则的相关规定。前述自主披露如产生信息披露费用，该费用不得从基金财产中列支。</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为基金信息披露义务人公开披露的基金信息出具审计报告、法律意见书的专业机构，应当制作工作底稿，并将相关档案至少保存到《基金合同》终止后10年。</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八、信息披露文件的存放与查阅</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依法必须披露的信息发布后，基金管理人、基金托管人应当按照相关法律法规规定将信息置备于各自住所，供社会公众查阅、复制。</w:t>
      </w:r>
      <w:r>
        <w:rPr>
          <w:rFonts w:ascii="宋体" w:hAnsi="宋体" w:cs="宋体"/>
          <w:kern w:val="0"/>
          <w:sz w:val="24"/>
          <w:szCs w:val="24"/>
        </w:rPr>
        <w:br w:type="page"/>
      </w:r>
    </w:p>
    <w:p w:rsidR="008333A9" w:rsidRDefault="0002249C">
      <w:pPr>
        <w:pStyle w:val="1"/>
        <w:spacing w:before="0" w:after="0"/>
        <w:jc w:val="center"/>
        <w:rPr>
          <w:rFonts w:ascii="Times New Roman"/>
          <w:color w:val="auto"/>
          <w:sz w:val="30"/>
        </w:rPr>
      </w:pPr>
      <w:bookmarkStart w:id="50" w:name="_Toc256000015"/>
      <w:r>
        <w:rPr>
          <w:rFonts w:ascii="Times New Roman"/>
          <w:color w:val="auto"/>
          <w:sz w:val="30"/>
        </w:rPr>
        <w:lastRenderedPageBreak/>
        <w:t>第十六部分</w:t>
      </w:r>
      <w:r>
        <w:rPr>
          <w:rFonts w:ascii="Times New Roman"/>
          <w:color w:val="auto"/>
          <w:sz w:val="30"/>
        </w:rPr>
        <w:t xml:space="preserve">  </w:t>
      </w:r>
      <w:r>
        <w:rPr>
          <w:rFonts w:ascii="Times New Roman"/>
          <w:color w:val="auto"/>
          <w:sz w:val="30"/>
        </w:rPr>
        <w:t>风险揭示</w:t>
      </w:r>
      <w:bookmarkEnd w:id="50"/>
    </w:p>
    <w:p w:rsidR="008333A9" w:rsidRDefault="008333A9"/>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一、</w:t>
      </w:r>
      <w:r>
        <w:rPr>
          <w:rFonts w:ascii="宋体" w:hAnsi="宋体" w:cs="宋体"/>
          <w:kern w:val="0"/>
          <w:sz w:val="24"/>
          <w:szCs w:val="24"/>
        </w:rPr>
        <w:t>市场风险</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市场风险是指证券市场价格受到经济因素、政治因素、投资心理和交易制度等各种因素的影响而变化，导致收益水平存在的不确定性。市场风险主要包括：</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政策风险</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因国家宏观政策（如货币政策、财政政策、行业政策、地区发展政策等）发生变化，导致市场价格波动而产生风险。</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经济周期风险</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随经济运行的周期性变化，证券市场的收益水平也呈周期性变化。基金投资于证券，收益水平也会随之变化，从而产生风险。</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利率风险</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金融市场利率的波动会导致证券市场价格和收益率的变动。利率直接影响着证券的价格和收益率，影响着企业的融资成本和利润。基金投资于证券，其收益水平会受到利率变化的影响。</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上市公司经营风险</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上市公司的经营好坏受多种因素影响，如管理能力、财务状况、市场前景、行业竞争、人员素质等，这些都会导致企业的盈利发生变化。</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如果基金所投资的上市公司经营不善，其股票价格可能下跌，或者能够用于分配的利润减少，使基金投资收益下降。</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虽然基金可以通过投资多样化来分散这种非系统风险，但不能完全规避。</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信用风险</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主要是指债务人的违约风险，若债务人经营不善，资不抵债，债权人可能会损失掉大部分的投资，这主要体现在企业债中。</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购买力风险</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基金的利润将主要通过现金形式来分配，而现金可能因为通货膨胀的影响而导致购买力下降，从而使基金的实际收益下降。</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r>
        <w:rPr>
          <w:rFonts w:ascii="宋体" w:hAnsi="宋体" w:cs="宋体"/>
          <w:kern w:val="0"/>
          <w:sz w:val="24"/>
          <w:szCs w:val="24"/>
        </w:rPr>
        <w:t>债券收益率曲线风险</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债券收益率曲线风险是指与收益率曲线非平行移动有关的风险，单一的</w:t>
      </w:r>
      <w:proofErr w:type="gramStart"/>
      <w:r>
        <w:rPr>
          <w:rFonts w:ascii="宋体" w:hAnsi="宋体" w:cs="宋体"/>
          <w:kern w:val="0"/>
          <w:sz w:val="24"/>
          <w:szCs w:val="24"/>
        </w:rPr>
        <w:t>久期</w:t>
      </w:r>
      <w:r>
        <w:rPr>
          <w:rFonts w:ascii="宋体" w:hAnsi="宋体" w:cs="宋体"/>
          <w:kern w:val="0"/>
          <w:sz w:val="24"/>
          <w:szCs w:val="24"/>
        </w:rPr>
        <w:lastRenderedPageBreak/>
        <w:t>指标</w:t>
      </w:r>
      <w:proofErr w:type="gramEnd"/>
      <w:r>
        <w:rPr>
          <w:rFonts w:ascii="宋体" w:hAnsi="宋体" w:cs="宋体"/>
          <w:kern w:val="0"/>
          <w:sz w:val="24"/>
          <w:szCs w:val="24"/>
        </w:rPr>
        <w:t>并不能充分反映这一风险的存在。</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8、</w:t>
      </w:r>
      <w:r>
        <w:rPr>
          <w:rFonts w:ascii="宋体" w:hAnsi="宋体" w:cs="宋体"/>
          <w:kern w:val="0"/>
          <w:sz w:val="24"/>
          <w:szCs w:val="24"/>
        </w:rPr>
        <w:t>再投资风险</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再投资风险反映了利率下降对固定收益证券利息收入再投资收益的影响，这与利率上升所带来的价格风险（即前面所提到的利率风险）互为消长。具体为当利率下降时，基金从投资的固定收益证券所得的利息收入进行再投资时，将获得比之前较少的收益率。</w:t>
      </w:r>
    </w:p>
    <w:p w:rsidR="008333A9" w:rsidRDefault="0002249C">
      <w:pPr>
        <w:pStyle w:val="div"/>
        <w:spacing w:line="360" w:lineRule="auto"/>
        <w:ind w:firstLine="420"/>
        <w:jc w:val="left"/>
        <w:rPr>
          <w:rStyle w:val="custom"/>
          <w:rFonts w:ascii="宋体" w:hAnsi="宋体" w:cs="宋体"/>
          <w:kern w:val="0"/>
          <w:sz w:val="24"/>
          <w:szCs w:val="24"/>
        </w:rPr>
      </w:pPr>
      <w:r>
        <w:rPr>
          <w:rStyle w:val="custom"/>
          <w:rFonts w:ascii="宋体" w:hAnsi="宋体" w:cs="宋体"/>
          <w:kern w:val="0"/>
          <w:sz w:val="24"/>
          <w:szCs w:val="24"/>
        </w:rPr>
        <w:t>9、波动性风险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波动性风险主要存在于可转换债券的投资中，具体表现为可转换债券的价格受到其相对应股票价格波动的影响，同时可转换债券还有信用风险与转股风险。转股风险指相对应股票价格跌破转股价，不能获得转股收益，从而无法弥补当初付出的转股期权价值。</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二、</w:t>
      </w:r>
      <w:r>
        <w:rPr>
          <w:rFonts w:ascii="宋体" w:hAnsi="宋体" w:cs="宋体"/>
          <w:kern w:val="0"/>
          <w:sz w:val="24"/>
          <w:szCs w:val="24"/>
        </w:rPr>
        <w:t>管理风险</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在基金管理运作过程中，基金管理人的知识、技能、经验、判断等主观因素会影响其对相关信息和经济形势、证券价格走势的判断，从而影响基金收益水平。</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三、</w:t>
      </w:r>
      <w:r>
        <w:rPr>
          <w:rFonts w:ascii="宋体" w:hAnsi="宋体" w:cs="宋体"/>
          <w:kern w:val="0"/>
          <w:sz w:val="24"/>
          <w:szCs w:val="24"/>
        </w:rPr>
        <w:t>流动性风险</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流动性风险可视为一种综合性风险，它是其他风险在基金管理和公司整体经营方面的综合体现。中国的证券市场还处在初期发展阶段，在某些情况下某些投资品种的流动性不佳，由此可能影响到基金投资收益的实现。</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本基金要随时应对投资者的赎回，如果基金资产不能迅速转变成现金，或者变现为现金时对基金资产净值产生不利的影响，都会影响基金运作和收益水平。尤其是在发生巨额赎回时，如果基金资产变现能力差，可能会产生基金</w:t>
      </w:r>
      <w:proofErr w:type="gramStart"/>
      <w:r>
        <w:rPr>
          <w:rStyle w:val="custom"/>
          <w:rFonts w:ascii="宋体" w:hAnsi="宋体" w:cs="宋体"/>
          <w:kern w:val="0"/>
          <w:sz w:val="24"/>
          <w:szCs w:val="24"/>
        </w:rPr>
        <w:t>仓位</w:t>
      </w:r>
      <w:proofErr w:type="gramEnd"/>
      <w:r>
        <w:rPr>
          <w:rStyle w:val="custom"/>
          <w:rFonts w:ascii="宋体" w:hAnsi="宋体" w:cs="宋体"/>
          <w:kern w:val="0"/>
          <w:sz w:val="24"/>
          <w:szCs w:val="24"/>
        </w:rPr>
        <w:t>调整的困难，导致流动性风险，可能影响基金份额净值。</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1、投资市场、行业及资产的流动性风险评估</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（1）投资市场的流动性风险</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本基金主要投资于国内依法发行上市的股票、债券、港股通标的股票</w:t>
      </w:r>
      <w:r>
        <w:rPr>
          <w:rFonts w:ascii="宋体" w:hAnsi="宋体" w:cs="宋体"/>
          <w:kern w:val="0"/>
          <w:sz w:val="24"/>
          <w:szCs w:val="24"/>
        </w:rPr>
        <w:t>、信用衍生品、股指期货、国债期货、股票期权</w:t>
      </w:r>
      <w:r>
        <w:rPr>
          <w:rStyle w:val="custom"/>
          <w:rFonts w:ascii="宋体" w:hAnsi="宋体" w:cs="宋体"/>
          <w:kern w:val="0"/>
          <w:sz w:val="24"/>
          <w:szCs w:val="24"/>
        </w:rPr>
        <w:t>、资产支持证券、债券回购、同业存单、银行存款、货币市场工具等投资品种。上述资产均在规范的交易场所、运作时间长，市场透明度较高，运作方式规范，历史流动性状况良好，正常情况下能够及时满足基金变现需求，保证基金按时应对赎回要求。极端市场情况下，上述资产</w:t>
      </w:r>
      <w:r>
        <w:rPr>
          <w:rStyle w:val="custom"/>
          <w:rFonts w:ascii="宋体" w:hAnsi="宋体" w:cs="宋体"/>
          <w:kern w:val="0"/>
          <w:sz w:val="24"/>
          <w:szCs w:val="24"/>
        </w:rPr>
        <w:lastRenderedPageBreak/>
        <w:t>可能出现流动性不足，导致基金资产无法变现，从而影响投资者按时收到赎回款项。根据过往经验统计，绝大部分时间上述资产流动性充裕，流动性风险可控，当遇到极端市场情况时，基金管理人会按照基金合同及相关法律法规要求，及时启动流动性风险应对措施，保护基金投资者的合法权益。</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（2）投资行业的流动性风险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股票投资方面，本基金将在考虑行业生命周期、景气程度、估值水平以及股票市场行业轮动规律的基础上决定行业的配置，同时本基金将根据宏观经济和证券市场环境的变化，及时对行业配置进行动态调整。</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债券投资方面，本基金通过深入分析宏观经济数据、货币政策和利率变化趋势以及</w:t>
      </w:r>
      <w:proofErr w:type="gramStart"/>
      <w:r>
        <w:rPr>
          <w:rStyle w:val="custom"/>
          <w:rFonts w:ascii="宋体" w:hAnsi="宋体" w:cs="宋体"/>
          <w:kern w:val="0"/>
          <w:sz w:val="24"/>
          <w:szCs w:val="24"/>
        </w:rPr>
        <w:t>不</w:t>
      </w:r>
      <w:proofErr w:type="gramEnd"/>
      <w:r>
        <w:rPr>
          <w:rStyle w:val="custom"/>
          <w:rFonts w:ascii="宋体" w:hAnsi="宋体" w:cs="宋体"/>
          <w:kern w:val="0"/>
          <w:sz w:val="24"/>
          <w:szCs w:val="24"/>
        </w:rPr>
        <w:t>同类属的收益率水平、流动性和信用风险等因素，</w:t>
      </w:r>
      <w:proofErr w:type="gramStart"/>
      <w:r>
        <w:rPr>
          <w:rStyle w:val="custom"/>
          <w:rFonts w:ascii="宋体" w:hAnsi="宋体" w:cs="宋体"/>
          <w:kern w:val="0"/>
          <w:sz w:val="24"/>
          <w:szCs w:val="24"/>
        </w:rPr>
        <w:t>以久期控制</w:t>
      </w:r>
      <w:proofErr w:type="gramEnd"/>
      <w:r>
        <w:rPr>
          <w:rStyle w:val="custom"/>
          <w:rFonts w:ascii="宋体" w:hAnsi="宋体" w:cs="宋体"/>
          <w:kern w:val="0"/>
          <w:sz w:val="24"/>
          <w:szCs w:val="24"/>
        </w:rPr>
        <w:t>和结构分布策略为主，以收益率曲线策略、利差策略等为辅，构造能够提供稳定收益的债券和货币市场工具组合。</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因此本基金在投资运作过程中的行业配置较为灵活，在综合考虑宏观因素及行业基本面的前提下进行配置，不以投资于某单一行业为投资目标，行业分散度较高，受到单一行业流动性风险的影响较小。</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（3）投资资产的流动性风险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本基金针对流动性较低资产的投资进行了严格的限制，以降低基金的流动性风险：</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本基金为开放式基金，主动投资于流动性受限资产的市值合计不得超过基金资产净值的15%。本基金为保持较高的组合流动性，方便投资人安排投资，在遵守本基金有关投资限制与投资比例的前提下，将主要投资于高流动性的投资品种，防范流动性风险。同时，结合市场流动性特点，本基金将提前合理安排组合流动性，统筹考虑投资者申购赎回特征和客户大额资金流向特征，以确定本基金在不同投资品种的配置比例，确保流动性充裕。</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本基金申购、赎回安排</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投资人可在本基金的开放日办理基金份额的申购和赎回业务。</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为切实保护存量基金份额持有人的合法权益，遵循基金份额持有人利益优先原则，本基金管理人将合理控制基金份额持有人集中度，审慎确认申购赎回业务申请，包括但不限于：</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lastRenderedPageBreak/>
        <w:t>（1）</w:t>
      </w:r>
      <w:r>
        <w:rPr>
          <w:rFonts w:ascii="宋体" w:hAnsi="宋体" w:cs="宋体"/>
          <w:kern w:val="0"/>
          <w:sz w:val="24"/>
          <w:szCs w:val="24"/>
        </w:rPr>
        <w:t>当接受申购申请对存量基金份额持有人利益构成潜在重大不利影响时，基金管理人应当采取设定单一投资者申购金额上限、基金规模上限或基金单日净申购比例上限、拒绝大额申购、暂停基金申购等措施，切实保护存量基金份额持有人的合法权益。</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（2）本基金管理人对持续持有期少于7日的投资者收取不低于1.5%的赎回费，并将上述赎回费全额计入基金财产。</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当发生大额申购或赎回情形时，基金管理人可以采用摆动定价机制，以确保基金估值的公平性。</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当前一估值日基金资产净值50%以上的资产出现无可参考的活跃市场价格且采用估值技术</w:t>
      </w:r>
      <w:proofErr w:type="gramStart"/>
      <w:r>
        <w:rPr>
          <w:rFonts w:ascii="宋体" w:hAnsi="宋体" w:cs="宋体"/>
          <w:kern w:val="0"/>
          <w:sz w:val="24"/>
          <w:szCs w:val="24"/>
        </w:rPr>
        <w:t>仍导致</w:t>
      </w:r>
      <w:proofErr w:type="gramEnd"/>
      <w:r>
        <w:rPr>
          <w:rFonts w:ascii="宋体" w:hAnsi="宋体" w:cs="宋体"/>
          <w:kern w:val="0"/>
          <w:sz w:val="24"/>
          <w:szCs w:val="24"/>
        </w:rPr>
        <w:t>公允价值存在重大不确定性时，经与基金托管人协商确认后，基金管理人应当暂停接受基金申购申请、赎回申请或延缓支付赎回款项。</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具体措施详见本招募说明书“基金份额的申购与赎回”部分的规定。</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巨额赎回情形下流动性风险管理措施</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当本基金出现巨额赎回情形时，本基金管理人经内部决策，并与基金托管人协商一致后，将运用多种流动性风险管理工具对赎回申请进行适度调整，以应对流动性风险，保护基金份额持有人的利益，包括但不限于：</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延期办理巨额赎回申请；</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（2）暂停接受赎回申请；</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延缓支付赎回款项；</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中国证监会认可的其他措施。</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具体措施详见本招募说明书“基金份额的申购与赎回”部分的规定。</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实施备用的流动性风险管理工具的情形、程序及对投资者的潜在影响</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管理人经与基金托管人协商一致，在确保投资者得到公平对待的前提下，可依照法律法规及基金合同的约定，综合运用各类流动性风险管理工具，对赎回申请进行适度调整，作为特定情形下基金管理人流动性风险管理的辅助措施。</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当基金管理人认为支付投资人的赎回申请有困难或认为因支付投资人的赎回申请而进行的财产变现可能会对基金资产净值造成较大波动时，可综合运用包括延期办理巨额赎回申请</w:t>
      </w:r>
      <w:r>
        <w:rPr>
          <w:rStyle w:val="custom"/>
          <w:rFonts w:ascii="宋体" w:hAnsi="宋体" w:cs="宋体"/>
          <w:kern w:val="0"/>
          <w:sz w:val="24"/>
          <w:szCs w:val="24"/>
        </w:rPr>
        <w:t>、暂停接受赎回申请</w:t>
      </w:r>
      <w:r>
        <w:rPr>
          <w:rFonts w:ascii="宋体" w:hAnsi="宋体" w:cs="宋体"/>
          <w:kern w:val="0"/>
          <w:sz w:val="24"/>
          <w:szCs w:val="24"/>
        </w:rPr>
        <w:t>、延缓支付赎回款项</w:t>
      </w:r>
      <w:r>
        <w:rPr>
          <w:rStyle w:val="custom"/>
          <w:rFonts w:ascii="宋体" w:hAnsi="宋体" w:cs="宋体"/>
          <w:kern w:val="0"/>
          <w:sz w:val="24"/>
          <w:szCs w:val="24"/>
        </w:rPr>
        <w:t>、收取短期赎回费</w:t>
      </w:r>
      <w:r>
        <w:rPr>
          <w:rFonts w:ascii="宋体" w:hAnsi="宋体" w:cs="宋体"/>
          <w:kern w:val="0"/>
          <w:sz w:val="24"/>
          <w:szCs w:val="24"/>
        </w:rPr>
        <w:t>、暂停基金估值、摆动定价、实施</w:t>
      </w:r>
      <w:proofErr w:type="gramStart"/>
      <w:r>
        <w:rPr>
          <w:rFonts w:ascii="宋体" w:hAnsi="宋体" w:cs="宋体"/>
          <w:kern w:val="0"/>
          <w:sz w:val="24"/>
          <w:szCs w:val="24"/>
        </w:rPr>
        <w:t>侧袋机制</w:t>
      </w:r>
      <w:proofErr w:type="gramEnd"/>
      <w:r>
        <w:rPr>
          <w:rFonts w:ascii="宋体" w:hAnsi="宋体" w:cs="宋体"/>
          <w:kern w:val="0"/>
          <w:sz w:val="24"/>
          <w:szCs w:val="24"/>
        </w:rPr>
        <w:t>等流动性风险管理工具，投资者</w:t>
      </w:r>
      <w:r>
        <w:rPr>
          <w:rFonts w:ascii="宋体" w:hAnsi="宋体" w:cs="宋体"/>
          <w:kern w:val="0"/>
          <w:sz w:val="24"/>
          <w:szCs w:val="24"/>
        </w:rPr>
        <w:lastRenderedPageBreak/>
        <w:t>将面临无法办理申购、其赎回申请被拒绝或延期办理、赎回款项延缓支付，或面临赎回成本或申购成本较高等的风险。</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本基金实施备用的流动性风险管理工具包括但不限于：</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延期办理巨额赎回申请；</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（2）暂停接受赎回申请；</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延缓支付赎回款项；</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（4）收取短期赎回费；</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暂停基金估值；</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摆动定价；</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proofErr w:type="gramStart"/>
      <w:r>
        <w:rPr>
          <w:rFonts w:ascii="宋体" w:hAnsi="宋体" w:cs="宋体"/>
          <w:kern w:val="0"/>
          <w:sz w:val="24"/>
          <w:szCs w:val="24"/>
        </w:rPr>
        <w:t>实施侧袋机制</w:t>
      </w:r>
      <w:proofErr w:type="gramEnd"/>
      <w:r>
        <w:rPr>
          <w:rFonts w:ascii="宋体" w:hAnsi="宋体" w:cs="宋体"/>
          <w:kern w:val="0"/>
          <w:sz w:val="24"/>
          <w:szCs w:val="24"/>
        </w:rPr>
        <w:t>；</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（8）</w:t>
      </w:r>
      <w:r>
        <w:rPr>
          <w:rFonts w:ascii="宋体" w:hAnsi="宋体" w:cs="宋体"/>
          <w:kern w:val="0"/>
          <w:sz w:val="24"/>
          <w:szCs w:val="24"/>
        </w:rPr>
        <w:t>中国证监会认定的其他措施。</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四、</w:t>
      </w:r>
      <w:r>
        <w:rPr>
          <w:rFonts w:ascii="宋体" w:hAnsi="宋体" w:cs="宋体"/>
          <w:kern w:val="0"/>
          <w:sz w:val="24"/>
          <w:szCs w:val="24"/>
        </w:rPr>
        <w:t>特有风险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1、本基金可以投资港股通标的股票，投资风险包括：</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本基金将通过“港股通”投资于香港市场，在市场环境、市场进入、投资额度、可投资对象、税务政策、市场制度等方面都有一定的限制，而且此类限制可能会不断调整，这些限制因素的变化可能对本基金进入或退出当地市场造成障碍，从而对投资收益以及正常的申购赎回产生直接或间接的影响。</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（2）香港市场交易规则有别于内地A股市场规则，此外，在港股通下参与香港股票投资还将面临包括但不限于如下特殊风险：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①香港市场实行T+0回转交易，且证券交易价格并无涨跌幅上下限的规定，因此每日涨跌</w:t>
      </w:r>
      <w:proofErr w:type="gramStart"/>
      <w:r>
        <w:rPr>
          <w:rStyle w:val="custom"/>
          <w:rFonts w:ascii="宋体" w:hAnsi="宋体" w:cs="宋体"/>
          <w:kern w:val="0"/>
          <w:sz w:val="24"/>
          <w:szCs w:val="24"/>
        </w:rPr>
        <w:t>幅空间</w:t>
      </w:r>
      <w:proofErr w:type="gramEnd"/>
      <w:r>
        <w:rPr>
          <w:rStyle w:val="custom"/>
          <w:rFonts w:ascii="宋体" w:hAnsi="宋体" w:cs="宋体"/>
          <w:kern w:val="0"/>
          <w:sz w:val="24"/>
          <w:szCs w:val="24"/>
        </w:rPr>
        <w:t>相对较大，港股股价可能表现出比A股更为剧烈的股价波动；</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②根据现行的港股通规则，只有内地和香港两地均为交易日方可进行港股通交易，因此存在港股</w:t>
      </w:r>
      <w:proofErr w:type="gramStart"/>
      <w:r>
        <w:rPr>
          <w:rStyle w:val="custom"/>
          <w:rFonts w:ascii="宋体" w:hAnsi="宋体" w:cs="宋体"/>
          <w:kern w:val="0"/>
          <w:sz w:val="24"/>
          <w:szCs w:val="24"/>
        </w:rPr>
        <w:t>通交易</w:t>
      </w:r>
      <w:proofErr w:type="gramEnd"/>
      <w:r>
        <w:rPr>
          <w:rStyle w:val="custom"/>
          <w:rFonts w:ascii="宋体" w:hAnsi="宋体" w:cs="宋体"/>
          <w:kern w:val="0"/>
          <w:sz w:val="24"/>
          <w:szCs w:val="24"/>
        </w:rPr>
        <w:t>日不连贯的风险（如在内地开市香港休市的情形下，港股</w:t>
      </w:r>
      <w:proofErr w:type="gramStart"/>
      <w:r>
        <w:rPr>
          <w:rStyle w:val="custom"/>
          <w:rFonts w:ascii="宋体" w:hAnsi="宋体" w:cs="宋体"/>
          <w:kern w:val="0"/>
          <w:sz w:val="24"/>
          <w:szCs w:val="24"/>
        </w:rPr>
        <w:t>通不能</w:t>
      </w:r>
      <w:proofErr w:type="gramEnd"/>
      <w:r>
        <w:rPr>
          <w:rStyle w:val="custom"/>
          <w:rFonts w:ascii="宋体" w:hAnsi="宋体" w:cs="宋体"/>
          <w:kern w:val="0"/>
          <w:sz w:val="24"/>
          <w:szCs w:val="24"/>
        </w:rPr>
        <w:t>正常交易，港股不能及时卖出），可能带来一定的流动性风险；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③香港出现台风、黑色暴雨或者联交所规定的其他情形时，联交所将可能停市，投资者将面临在停市期间无法进行港股</w:t>
      </w:r>
      <w:proofErr w:type="gramStart"/>
      <w:r>
        <w:rPr>
          <w:rStyle w:val="custom"/>
          <w:rFonts w:ascii="宋体" w:hAnsi="宋体" w:cs="宋体"/>
          <w:kern w:val="0"/>
          <w:sz w:val="24"/>
          <w:szCs w:val="24"/>
        </w:rPr>
        <w:t>通交易</w:t>
      </w:r>
      <w:proofErr w:type="gramEnd"/>
      <w:r>
        <w:rPr>
          <w:rStyle w:val="custom"/>
          <w:rFonts w:ascii="宋体" w:hAnsi="宋体" w:cs="宋体"/>
          <w:kern w:val="0"/>
          <w:sz w:val="24"/>
          <w:szCs w:val="24"/>
        </w:rPr>
        <w:t>的风险；出现境内证券交易服务公司认定的交易异常情况时，境内证券交易服务公司将可能暂停提供部分或者全部港股通服务，投资者将面临在暂停服务期间无法进行港股</w:t>
      </w:r>
      <w:proofErr w:type="gramStart"/>
      <w:r>
        <w:rPr>
          <w:rStyle w:val="custom"/>
          <w:rFonts w:ascii="宋体" w:hAnsi="宋体" w:cs="宋体"/>
          <w:kern w:val="0"/>
          <w:sz w:val="24"/>
          <w:szCs w:val="24"/>
        </w:rPr>
        <w:t>通交易</w:t>
      </w:r>
      <w:proofErr w:type="gramEnd"/>
      <w:r>
        <w:rPr>
          <w:rStyle w:val="custom"/>
          <w:rFonts w:ascii="宋体" w:hAnsi="宋体" w:cs="宋体"/>
          <w:kern w:val="0"/>
          <w:sz w:val="24"/>
          <w:szCs w:val="24"/>
        </w:rPr>
        <w:t>的风险；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④投资者因港股</w:t>
      </w:r>
      <w:proofErr w:type="gramStart"/>
      <w:r>
        <w:rPr>
          <w:rStyle w:val="custom"/>
          <w:rFonts w:ascii="宋体" w:hAnsi="宋体" w:cs="宋体"/>
          <w:kern w:val="0"/>
          <w:sz w:val="24"/>
          <w:szCs w:val="24"/>
        </w:rPr>
        <w:t>通股票</w:t>
      </w:r>
      <w:proofErr w:type="gramEnd"/>
      <w:r>
        <w:rPr>
          <w:rStyle w:val="custom"/>
          <w:rFonts w:ascii="宋体" w:hAnsi="宋体" w:cs="宋体"/>
          <w:kern w:val="0"/>
          <w:sz w:val="24"/>
          <w:szCs w:val="24"/>
        </w:rPr>
        <w:t>权益分派、转换、上市公司被收购等情形或者异常情</w:t>
      </w:r>
      <w:r>
        <w:rPr>
          <w:rStyle w:val="custom"/>
          <w:rFonts w:ascii="宋体" w:hAnsi="宋体" w:cs="宋体"/>
          <w:kern w:val="0"/>
          <w:sz w:val="24"/>
          <w:szCs w:val="24"/>
        </w:rPr>
        <w:lastRenderedPageBreak/>
        <w:t>况，所取得的港股</w:t>
      </w:r>
      <w:proofErr w:type="gramStart"/>
      <w:r>
        <w:rPr>
          <w:rStyle w:val="custom"/>
          <w:rFonts w:ascii="宋体" w:hAnsi="宋体" w:cs="宋体"/>
          <w:kern w:val="0"/>
          <w:sz w:val="24"/>
          <w:szCs w:val="24"/>
        </w:rPr>
        <w:t>通股票</w:t>
      </w:r>
      <w:proofErr w:type="gramEnd"/>
      <w:r>
        <w:rPr>
          <w:rStyle w:val="custom"/>
          <w:rFonts w:ascii="宋体" w:hAnsi="宋体" w:cs="宋体"/>
          <w:kern w:val="0"/>
          <w:sz w:val="24"/>
          <w:szCs w:val="24"/>
        </w:rPr>
        <w:t>以外的联交所上市证券，只能通过港股通卖出，但不得买入，证券交易所另有规定的除外；因港股</w:t>
      </w:r>
      <w:proofErr w:type="gramStart"/>
      <w:r>
        <w:rPr>
          <w:rStyle w:val="custom"/>
          <w:rFonts w:ascii="宋体" w:hAnsi="宋体" w:cs="宋体"/>
          <w:kern w:val="0"/>
          <w:sz w:val="24"/>
          <w:szCs w:val="24"/>
        </w:rPr>
        <w:t>通股票</w:t>
      </w:r>
      <w:proofErr w:type="gramEnd"/>
      <w:r>
        <w:rPr>
          <w:rStyle w:val="custom"/>
          <w:rFonts w:ascii="宋体" w:hAnsi="宋体" w:cs="宋体"/>
          <w:kern w:val="0"/>
          <w:sz w:val="24"/>
          <w:szCs w:val="24"/>
        </w:rPr>
        <w:t>权益分派或者转换等情形取得的联交所上市股票的认购权利在联交所上市的，可以通过港股通卖出，但不得行权；因港股</w:t>
      </w:r>
      <w:proofErr w:type="gramStart"/>
      <w:r>
        <w:rPr>
          <w:rStyle w:val="custom"/>
          <w:rFonts w:ascii="宋体" w:hAnsi="宋体" w:cs="宋体"/>
          <w:kern w:val="0"/>
          <w:sz w:val="24"/>
          <w:szCs w:val="24"/>
        </w:rPr>
        <w:t>通股票</w:t>
      </w:r>
      <w:proofErr w:type="gramEnd"/>
      <w:r>
        <w:rPr>
          <w:rStyle w:val="custom"/>
          <w:rFonts w:ascii="宋体" w:hAnsi="宋体" w:cs="宋体"/>
          <w:kern w:val="0"/>
          <w:sz w:val="24"/>
          <w:szCs w:val="24"/>
        </w:rPr>
        <w:t>权益分派、转换或者上市公司被收购等所取得的非联交所上市证券，可以享有相关权益，但不得通过港股通买入或卖出；</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⑤代理投票。由于中国结算是在汇总投资者意愿后再向香港结算提交投票意愿，中国结算对投资者设定的意愿征集期比香港结算的征集期稍早结束；投票没有权益登记日的，以投票截止日的持有作为计算基准；投票数量超出持有数量的，按照比例分配持有基数；</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⑥汇率风险。投资港股通标的股票还面临汇率风险，汇率波动可能对基金的投资收益造成影响；</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（3）港股通额度限制。现行的港股通规则，对港股通设有每日额度上限的限制；本基金可能因为港股通市场每日额度不足，而不能买入看好的投资标的进而错失投资机会的风险。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2、国债期货投资风险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本基金可投资国债期货，国债期货的投资可能面临市场风险、</w:t>
      </w:r>
      <w:proofErr w:type="gramStart"/>
      <w:r>
        <w:rPr>
          <w:rStyle w:val="custom"/>
          <w:rFonts w:ascii="宋体" w:hAnsi="宋体" w:cs="宋体"/>
          <w:kern w:val="0"/>
          <w:sz w:val="24"/>
          <w:szCs w:val="24"/>
        </w:rPr>
        <w:t>基差风险</w:t>
      </w:r>
      <w:proofErr w:type="gramEnd"/>
      <w:r>
        <w:rPr>
          <w:rStyle w:val="custom"/>
          <w:rFonts w:ascii="宋体" w:hAnsi="宋体" w:cs="宋体"/>
          <w:kern w:val="0"/>
          <w:sz w:val="24"/>
          <w:szCs w:val="24"/>
        </w:rPr>
        <w:t>、流动性风险。市场风险是因期货市场价格波动使所持有的期货合约价值发生变化的风险。</w:t>
      </w:r>
      <w:proofErr w:type="gramStart"/>
      <w:r>
        <w:rPr>
          <w:rStyle w:val="custom"/>
          <w:rFonts w:ascii="宋体" w:hAnsi="宋体" w:cs="宋体"/>
          <w:kern w:val="0"/>
          <w:sz w:val="24"/>
          <w:szCs w:val="24"/>
        </w:rPr>
        <w:t>基差风险</w:t>
      </w:r>
      <w:proofErr w:type="gramEnd"/>
      <w:r>
        <w:rPr>
          <w:rStyle w:val="custom"/>
          <w:rFonts w:ascii="宋体" w:hAnsi="宋体" w:cs="宋体"/>
          <w:kern w:val="0"/>
          <w:sz w:val="24"/>
          <w:szCs w:val="24"/>
        </w:rPr>
        <w:t>是期货市场的特有风险之一，是指由于期货与现货间的价差的波动，影响套期保值或套利效果，使之发生意外损益的风险。流动性风险可分为两类：一类为流通量风险，是指期货合约无法及时以所希望的价格建立或了结头寸的风险，此类风险往往是由市场缺乏广度或深度导致的；另一类为资金量风险，是指资金量无法满足保证金要求，使得所持有的头寸面临被强制平仓的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3、股指期货投资风险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可投资股指期货，股指期货采用保证金交易制度，由于保证金交易具有杠杆性，当出现不利行情时，股价指数微小的变动就可能会使投资人权益遭受较大损失。股指期货采用每日无负债结算制度，如果没有在规定的时间内补足保证金，按规定将被强制平仓，可能给投资带来重大损失。</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4、股票期权投资风险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本基金的投资范围包括股票期权，股票期权的风险主要包括：</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lastRenderedPageBreak/>
        <w:t>（1）市场风险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期权定价模型较为复杂，其市值将会受到期权合约价格、标的物价格、标的物波动率等多因素影响。若期权标的价格波动导致期权不具行权价值，期权买方将损失付出的所有权利金；期权卖方由于需承担行权履约义务，因合约标的价格波动导致的损失可能远大于其收取的权利金；</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（2）行权风险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对于期权交易的买方，在合约到期时选择行权的，</w:t>
      </w:r>
      <w:proofErr w:type="gramStart"/>
      <w:r>
        <w:rPr>
          <w:rStyle w:val="custom"/>
          <w:rFonts w:ascii="宋体" w:hAnsi="宋体" w:cs="宋体"/>
          <w:kern w:val="0"/>
          <w:sz w:val="24"/>
          <w:szCs w:val="24"/>
        </w:rPr>
        <w:t>若行</w:t>
      </w:r>
      <w:proofErr w:type="gramEnd"/>
      <w:r>
        <w:rPr>
          <w:rStyle w:val="custom"/>
          <w:rFonts w:ascii="宋体" w:hAnsi="宋体" w:cs="宋体"/>
          <w:kern w:val="0"/>
          <w:sz w:val="24"/>
          <w:szCs w:val="24"/>
        </w:rPr>
        <w:t>权资金（认购期权）或合约标的不足（认沽期权）将可能导致不足部分对应的行权申报失败的风险。对于期权交易的卖方，如果未能在规定期限内准备好足额的资金（认沽期权）或者证券（认购期权），就会构成行权资金交收违约或者行权证券交割违约，需按照交易所规定支付违约金。此外，由于行权日和证券交割后的可交易日的差异而导致行权后持有现货证券等，还将面临证券价格涨跌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（3）流动性风险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期权业务的流动性风险主要包括流通量风险和无法缴足保证金（现金或现货）的流动性风险；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（4）时间价值风险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期权交易的买方拥有期权的时间价值，时间价值随着期权到期日的临近而不断损耗。上述风险可能增加本基金净值的波动性。</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5、资产支持证券投资风险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可投资资产支持证券，资产支持证券在国内市场尚处发展初期，具有低流动性、高收益的特征，并存在一定的投资风险。资产支持证券的投资与基金资产密切相关，因此会受到特定原始权益人破产风险及现金</w:t>
      </w:r>
      <w:proofErr w:type="gramStart"/>
      <w:r>
        <w:rPr>
          <w:rStyle w:val="custom"/>
          <w:rFonts w:ascii="宋体" w:hAnsi="宋体" w:cs="宋体"/>
          <w:kern w:val="0"/>
          <w:sz w:val="24"/>
          <w:szCs w:val="24"/>
        </w:rPr>
        <w:t>流预测</w:t>
      </w:r>
      <w:proofErr w:type="gramEnd"/>
      <w:r>
        <w:rPr>
          <w:rStyle w:val="custom"/>
          <w:rFonts w:ascii="宋体" w:hAnsi="宋体" w:cs="宋体"/>
          <w:kern w:val="0"/>
          <w:sz w:val="24"/>
          <w:szCs w:val="24"/>
        </w:rPr>
        <w:t>风险等的影响；当本基金投资的资产支持证券信用评级发生变化时，本基金将需要面对临时调整持仓的风险；此外当资产支持证券相关的发行人、管理人、托管人等出现违规违约时，本基金将面临无法收取投资收益甚至损失本金的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6、参与融资交易风险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可参与融资交易，融资交易的风险主要包括流动性风险、信用风险等，这些风险可能会给基金净值带来一定的负面影响和损失。为了更好的防范融资交易所面临的各类风险，基金管理人将遵守审慎经营原则，制定科学合理的投资策</w:t>
      </w:r>
      <w:r>
        <w:rPr>
          <w:rStyle w:val="custom"/>
          <w:rFonts w:ascii="宋体" w:hAnsi="宋体" w:cs="宋体"/>
          <w:kern w:val="0"/>
          <w:sz w:val="24"/>
          <w:szCs w:val="24"/>
        </w:rPr>
        <w:lastRenderedPageBreak/>
        <w:t>略和风险管理制度，有效防范和控制风险，切实维护基金财产的安全和基金份额持有人利益。</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7、流通受限证券投资风险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可投资流通受限证券，按监管机构或行业协会有关规定确定公允价值，本基金的基金净值可能由于估值方法的原因偏离所持有证券的收盘价所对应的净值，因此，投资者在申购赎回时，需考虑估值方法对基金净值的影响。另外，本基金可能由于投资流通受限证券而面临流动性风险以及</w:t>
      </w:r>
      <w:proofErr w:type="gramStart"/>
      <w:r>
        <w:rPr>
          <w:rStyle w:val="custom"/>
          <w:rFonts w:ascii="宋体" w:hAnsi="宋体" w:cs="宋体"/>
          <w:kern w:val="0"/>
          <w:sz w:val="24"/>
          <w:szCs w:val="24"/>
        </w:rPr>
        <w:t>流通受</w:t>
      </w:r>
      <w:proofErr w:type="gramEnd"/>
      <w:r>
        <w:rPr>
          <w:rStyle w:val="custom"/>
          <w:rFonts w:ascii="宋体" w:hAnsi="宋体" w:cs="宋体"/>
          <w:kern w:val="0"/>
          <w:sz w:val="24"/>
          <w:szCs w:val="24"/>
        </w:rPr>
        <w:t>限期间内证券价格大幅下跌的风险。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8、存托凭证投资风险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本基金可投资存托凭证，除普通股票投资可能面临的宏观经济风险、政策风险、市场风险、流动性风险外，投资存托凭证可能还会面临以下风险：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（1）存托凭证持有人与持有基础股票的股东在法律地位享有权利等方面存在差异可能引发的风险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存托凭证系由存托人以境外发行的证券为基础，在中国境内发行的代表境外基础证券权益的证券。存托凭证持有人实际享有的权益与境外基础证券持有人的权益虽然基本相当，但并不能等同于直接持有境外基础证券。存托凭证持有人与境外基础证券发行人股东之间在法律地位、享有权利等方面存在一定的差异。境外基础证券发行人股东为公司的直接股东，可以直接享有股东权利（包括但不限于投票权、分红等收益权等）；存托凭证持有人为间接拥有公司相关权益的证券持有人，其投票权、收益权等仅能根据存</w:t>
      </w:r>
      <w:proofErr w:type="gramStart"/>
      <w:r>
        <w:rPr>
          <w:rStyle w:val="custom"/>
          <w:rFonts w:ascii="宋体" w:hAnsi="宋体" w:cs="宋体"/>
          <w:kern w:val="0"/>
          <w:sz w:val="24"/>
          <w:szCs w:val="24"/>
        </w:rPr>
        <w:t>托协议</w:t>
      </w:r>
      <w:proofErr w:type="gramEnd"/>
      <w:r>
        <w:rPr>
          <w:rStyle w:val="custom"/>
          <w:rFonts w:ascii="宋体" w:hAnsi="宋体" w:cs="宋体"/>
          <w:kern w:val="0"/>
          <w:sz w:val="24"/>
          <w:szCs w:val="24"/>
        </w:rPr>
        <w:t>的约定，通过存托人享有并间接行使分红、投票等权利。若未来发行人或存托人未能履行存</w:t>
      </w:r>
      <w:proofErr w:type="gramStart"/>
      <w:r>
        <w:rPr>
          <w:rStyle w:val="custom"/>
          <w:rFonts w:ascii="宋体" w:hAnsi="宋体" w:cs="宋体"/>
          <w:kern w:val="0"/>
          <w:sz w:val="24"/>
          <w:szCs w:val="24"/>
        </w:rPr>
        <w:t>托协议</w:t>
      </w:r>
      <w:proofErr w:type="gramEnd"/>
      <w:r>
        <w:rPr>
          <w:rStyle w:val="custom"/>
          <w:rFonts w:ascii="宋体" w:hAnsi="宋体" w:cs="宋体"/>
          <w:kern w:val="0"/>
          <w:sz w:val="24"/>
          <w:szCs w:val="24"/>
        </w:rPr>
        <w:t>的约定，不对存托凭证持有人进行分红派息或者分红派息金额少于应得金额，或者存托人行使股东表决权时未充分代表存托凭证持有人的共同意见，则存托凭证持有人的利益将受到损害，本基金作为存托凭证持有人可能会面临一定的投资损失。</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（2）发行人采用协议控制架构的风险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境外基础证券发行人如采用协议控制架构，可能由于法律、政策变化带来合</w:t>
      </w:r>
      <w:proofErr w:type="gramStart"/>
      <w:r>
        <w:rPr>
          <w:rStyle w:val="custom"/>
          <w:rFonts w:ascii="宋体" w:hAnsi="宋体" w:cs="宋体"/>
          <w:kern w:val="0"/>
          <w:sz w:val="24"/>
          <w:szCs w:val="24"/>
        </w:rPr>
        <w:t>规</w:t>
      </w:r>
      <w:proofErr w:type="gramEnd"/>
      <w:r>
        <w:rPr>
          <w:rStyle w:val="custom"/>
          <w:rFonts w:ascii="宋体" w:hAnsi="宋体" w:cs="宋体"/>
          <w:kern w:val="0"/>
          <w:sz w:val="24"/>
          <w:szCs w:val="24"/>
        </w:rPr>
        <w:t>、经营等风险，可能面临对境内实体运营企业重大依赖、协议控制架构下相关主体违约等风险。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（3）增发基础证券可能导致的存托凭证持有人权益被摊薄的风险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lastRenderedPageBreak/>
        <w:t>存托凭证发行时，其对应的净资产已经固定，但未来若发行人增发基础证券，将会导致存托凭证持有人权益被摊薄。</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（4）交易机制相关风险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境外基础证券与境内存托凭证由于时差、交易时间、交易制度、停复牌规则、异常交易情形、做空机制等差异，境内存托凭证的交易价格可能受到境外市场影响，从而出现大幅波动。此外，在境内法律及监管政策允许的情况下，发行人现在及将来境外发行的股票或存托凭证可能转移至境内市场上市交易，从而增加境内市场的存托凭证供给数量，可能引起交易价格大幅波动。</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（5）存托凭证退市风险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如果发行人不再符合上市条件或者发生其他重大违法行为，可能导致存托凭证面临退市。基金作为存托凭证持有人可能面临存托人无法根据存</w:t>
      </w:r>
      <w:proofErr w:type="gramStart"/>
      <w:r>
        <w:rPr>
          <w:rStyle w:val="custom"/>
          <w:rFonts w:ascii="宋体" w:hAnsi="宋体" w:cs="宋体"/>
          <w:kern w:val="0"/>
          <w:sz w:val="24"/>
          <w:szCs w:val="24"/>
        </w:rPr>
        <w:t>托协议</w:t>
      </w:r>
      <w:proofErr w:type="gramEnd"/>
      <w:r>
        <w:rPr>
          <w:rStyle w:val="custom"/>
          <w:rFonts w:ascii="宋体" w:hAnsi="宋体" w:cs="宋体"/>
          <w:kern w:val="0"/>
          <w:sz w:val="24"/>
          <w:szCs w:val="24"/>
        </w:rPr>
        <w:t>的约定卖出基础证券、持有的存托凭证无法转到境内其他市场进行公开交易或者转让、存托人无法继续按照存</w:t>
      </w:r>
      <w:proofErr w:type="gramStart"/>
      <w:r>
        <w:rPr>
          <w:rStyle w:val="custom"/>
          <w:rFonts w:ascii="宋体" w:hAnsi="宋体" w:cs="宋体"/>
          <w:kern w:val="0"/>
          <w:sz w:val="24"/>
          <w:szCs w:val="24"/>
        </w:rPr>
        <w:t>托协议</w:t>
      </w:r>
      <w:proofErr w:type="gramEnd"/>
      <w:r>
        <w:rPr>
          <w:rStyle w:val="custom"/>
          <w:rFonts w:ascii="宋体" w:hAnsi="宋体" w:cs="宋体"/>
          <w:kern w:val="0"/>
          <w:sz w:val="24"/>
          <w:szCs w:val="24"/>
        </w:rPr>
        <w:t>的约定为基金提供相应服务等风险。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（6）其它风险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存托凭证存续期间，存托凭证项目内容可能发生重大、实质变化，包括但不限于存托凭证与基础证券转换比例发生调整、红筹公司和存托人可能对存托协议</w:t>
      </w:r>
      <w:proofErr w:type="gramStart"/>
      <w:r>
        <w:rPr>
          <w:rStyle w:val="custom"/>
          <w:rFonts w:ascii="宋体" w:hAnsi="宋体" w:cs="宋体"/>
          <w:kern w:val="0"/>
          <w:sz w:val="24"/>
          <w:szCs w:val="24"/>
        </w:rPr>
        <w:t>作出</w:t>
      </w:r>
      <w:proofErr w:type="gramEnd"/>
      <w:r>
        <w:rPr>
          <w:rStyle w:val="custom"/>
          <w:rFonts w:ascii="宋体" w:hAnsi="宋体" w:cs="宋体"/>
          <w:kern w:val="0"/>
          <w:sz w:val="24"/>
          <w:szCs w:val="24"/>
        </w:rPr>
        <w:t>修改、更换存托人、更换托管人、存托凭证主动退市等。部分变化可能仅以事先通知的方式，即对投资者生效。本基金作为存托凭证投资者可能无法对此行使表决权。</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存托凭证存续期间，对应的基础证券等财产可能出现被质押、挪用、司法冻结、强制执行等情形，本基金作为存托凭证投资者可能面临失去应有权利的风险。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存托人可能向存托凭证持有人收取存托凭证相关费用。</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9、信用衍生品的投资风险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可能投资信用衍生品，信用衍生品的投资可能面临流动性风险、偿付风险以及价格波动风险。流动性风险是指信用衍生品在交易转让过程中因无法找到交易对手或交易对手较少，导致难以将信用衍生品以合理价格变现的风险。偿付风险是指在信用衍生品存续期间，由于不可控制的市场及环境变化，创设机构可能出现经营状况不佳或创设机构的现金流与预期发生一定偏差，从而影响信用衍生品结算的风险。价格波动风险是指由于创设机构或所受保护的债券主体经营</w:t>
      </w:r>
      <w:r>
        <w:rPr>
          <w:rStyle w:val="custom"/>
          <w:rFonts w:ascii="宋体" w:hAnsi="宋体" w:cs="宋体"/>
          <w:kern w:val="0"/>
          <w:sz w:val="24"/>
          <w:szCs w:val="24"/>
        </w:rPr>
        <w:lastRenderedPageBreak/>
        <w:t>状况或利率环境发生变化，引起信用衍生品价格出现波动的风险。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10、基金自动终止的风险</w:t>
      </w:r>
    </w:p>
    <w:p w:rsidR="008333A9" w:rsidRDefault="0002249C">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本基金为发起式基金，基金合同生效满三年之日（指自然日），</w:t>
      </w:r>
      <w:proofErr w:type="gramStart"/>
      <w:r>
        <w:rPr>
          <w:rStyle w:val="custom"/>
          <w:rFonts w:ascii="宋体" w:hAnsi="宋体" w:cs="宋体"/>
          <w:kern w:val="0"/>
          <w:sz w:val="24"/>
          <w:szCs w:val="24"/>
        </w:rPr>
        <w:t>若基金</w:t>
      </w:r>
      <w:proofErr w:type="gramEnd"/>
      <w:r>
        <w:rPr>
          <w:rStyle w:val="custom"/>
          <w:rFonts w:ascii="宋体" w:hAnsi="宋体" w:cs="宋体"/>
          <w:kern w:val="0"/>
          <w:sz w:val="24"/>
          <w:szCs w:val="24"/>
        </w:rPr>
        <w:t>资产净值低于2亿元人民币的，基金合同自动终止，且不得通过召开基金份额持有人大会延续基金合同期限。若届时的法律法规或中国证监会规定发生变化，上述终止规定被取消、更改或补充时，则本基金可以参照届时有效的法律法规或中国证监会规定执行。</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因此，本基金的投资者面临本基金自动终止的风险。</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11、</w:t>
      </w:r>
      <w:r>
        <w:rPr>
          <w:rFonts w:ascii="宋体" w:hAnsi="宋体" w:cs="宋体"/>
          <w:kern w:val="0"/>
          <w:sz w:val="24"/>
          <w:szCs w:val="24"/>
        </w:rPr>
        <w:t>启用</w:t>
      </w:r>
      <w:proofErr w:type="gramStart"/>
      <w:r>
        <w:rPr>
          <w:rFonts w:ascii="宋体" w:hAnsi="宋体" w:cs="宋体"/>
          <w:kern w:val="0"/>
          <w:sz w:val="24"/>
          <w:szCs w:val="24"/>
        </w:rPr>
        <w:t>侧袋机制</w:t>
      </w:r>
      <w:proofErr w:type="gramEnd"/>
      <w:r>
        <w:rPr>
          <w:rFonts w:ascii="宋体" w:hAnsi="宋体" w:cs="宋体"/>
          <w:kern w:val="0"/>
          <w:sz w:val="24"/>
          <w:szCs w:val="24"/>
        </w:rPr>
        <w:t>的风险</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当本基金启用</w:t>
      </w:r>
      <w:proofErr w:type="gramStart"/>
      <w:r>
        <w:rPr>
          <w:rFonts w:ascii="宋体" w:hAnsi="宋体" w:cs="宋体"/>
          <w:kern w:val="0"/>
          <w:sz w:val="24"/>
          <w:szCs w:val="24"/>
        </w:rPr>
        <w:t>侧袋机制</w:t>
      </w:r>
      <w:proofErr w:type="gramEnd"/>
      <w:r>
        <w:rPr>
          <w:rFonts w:ascii="宋体" w:hAnsi="宋体" w:cs="宋体"/>
          <w:kern w:val="0"/>
          <w:sz w:val="24"/>
          <w:szCs w:val="24"/>
        </w:rPr>
        <w:t>时，实施</w:t>
      </w:r>
      <w:proofErr w:type="gramStart"/>
      <w:r>
        <w:rPr>
          <w:rFonts w:ascii="宋体" w:hAnsi="宋体" w:cs="宋体"/>
          <w:kern w:val="0"/>
          <w:sz w:val="24"/>
          <w:szCs w:val="24"/>
        </w:rPr>
        <w:t>侧袋机制</w:t>
      </w:r>
      <w:proofErr w:type="gramEnd"/>
      <w:r>
        <w:rPr>
          <w:rFonts w:ascii="宋体" w:hAnsi="宋体" w:cs="宋体"/>
          <w:kern w:val="0"/>
          <w:sz w:val="24"/>
          <w:szCs w:val="24"/>
        </w:rPr>
        <w:t>期间，</w:t>
      </w:r>
      <w:proofErr w:type="gramStart"/>
      <w:r>
        <w:rPr>
          <w:rFonts w:ascii="宋体" w:hAnsi="宋体" w:cs="宋体"/>
          <w:kern w:val="0"/>
          <w:sz w:val="24"/>
          <w:szCs w:val="24"/>
        </w:rPr>
        <w:t>侧袋账户</w:t>
      </w:r>
      <w:proofErr w:type="gramEnd"/>
      <w:r>
        <w:rPr>
          <w:rFonts w:ascii="宋体" w:hAnsi="宋体" w:cs="宋体"/>
          <w:kern w:val="0"/>
          <w:sz w:val="24"/>
          <w:szCs w:val="24"/>
        </w:rPr>
        <w:t>份额将停止披露基金净值信息，并不得办理申购、赎回和转换，</w:t>
      </w:r>
      <w:proofErr w:type="gramStart"/>
      <w:r>
        <w:rPr>
          <w:rFonts w:ascii="宋体" w:hAnsi="宋体" w:cs="宋体"/>
          <w:kern w:val="0"/>
          <w:sz w:val="24"/>
          <w:szCs w:val="24"/>
        </w:rPr>
        <w:t>仅主袋</w:t>
      </w:r>
      <w:proofErr w:type="gramEnd"/>
      <w:r>
        <w:rPr>
          <w:rFonts w:ascii="宋体" w:hAnsi="宋体" w:cs="宋体"/>
          <w:kern w:val="0"/>
          <w:sz w:val="24"/>
          <w:szCs w:val="24"/>
        </w:rPr>
        <w:t>账户份额正常开放赎回，因此启用</w:t>
      </w:r>
      <w:proofErr w:type="gramStart"/>
      <w:r>
        <w:rPr>
          <w:rFonts w:ascii="宋体" w:hAnsi="宋体" w:cs="宋体"/>
          <w:kern w:val="0"/>
          <w:sz w:val="24"/>
          <w:szCs w:val="24"/>
        </w:rPr>
        <w:t>侧袋机制</w:t>
      </w:r>
      <w:proofErr w:type="gramEnd"/>
      <w:r>
        <w:rPr>
          <w:rFonts w:ascii="宋体" w:hAnsi="宋体" w:cs="宋体"/>
          <w:kern w:val="0"/>
          <w:sz w:val="24"/>
          <w:szCs w:val="24"/>
        </w:rPr>
        <w:t>时持有基金份额的持有人将在启用</w:t>
      </w:r>
      <w:proofErr w:type="gramStart"/>
      <w:r>
        <w:rPr>
          <w:rFonts w:ascii="宋体" w:hAnsi="宋体" w:cs="宋体"/>
          <w:kern w:val="0"/>
          <w:sz w:val="24"/>
          <w:szCs w:val="24"/>
        </w:rPr>
        <w:t>侧袋机制</w:t>
      </w:r>
      <w:proofErr w:type="gramEnd"/>
      <w:r>
        <w:rPr>
          <w:rFonts w:ascii="宋体" w:hAnsi="宋体" w:cs="宋体"/>
          <w:kern w:val="0"/>
          <w:sz w:val="24"/>
          <w:szCs w:val="24"/>
        </w:rPr>
        <w:t>后同时</w:t>
      </w:r>
      <w:proofErr w:type="gramStart"/>
      <w:r>
        <w:rPr>
          <w:rFonts w:ascii="宋体" w:hAnsi="宋体" w:cs="宋体"/>
          <w:kern w:val="0"/>
          <w:sz w:val="24"/>
          <w:szCs w:val="24"/>
        </w:rPr>
        <w:t>持有主袋账户</w:t>
      </w:r>
      <w:proofErr w:type="gramEnd"/>
      <w:r>
        <w:rPr>
          <w:rFonts w:ascii="宋体" w:hAnsi="宋体" w:cs="宋体"/>
          <w:kern w:val="0"/>
          <w:sz w:val="24"/>
          <w:szCs w:val="24"/>
        </w:rPr>
        <w:t>份额和</w:t>
      </w:r>
      <w:proofErr w:type="gramStart"/>
      <w:r>
        <w:rPr>
          <w:rFonts w:ascii="宋体" w:hAnsi="宋体" w:cs="宋体"/>
          <w:kern w:val="0"/>
          <w:sz w:val="24"/>
          <w:szCs w:val="24"/>
        </w:rPr>
        <w:t>侧袋</w:t>
      </w:r>
      <w:proofErr w:type="gramEnd"/>
      <w:r>
        <w:rPr>
          <w:rFonts w:ascii="宋体" w:hAnsi="宋体" w:cs="宋体"/>
          <w:kern w:val="0"/>
          <w:sz w:val="24"/>
          <w:szCs w:val="24"/>
        </w:rPr>
        <w:t>账户份额。因特定资产的变现时间具有不确定性，最终变现价格也具有不确定性并且有可能大幅低于启用</w:t>
      </w:r>
      <w:proofErr w:type="gramStart"/>
      <w:r>
        <w:rPr>
          <w:rFonts w:ascii="宋体" w:hAnsi="宋体" w:cs="宋体"/>
          <w:kern w:val="0"/>
          <w:sz w:val="24"/>
          <w:szCs w:val="24"/>
        </w:rPr>
        <w:t>侧袋机制</w:t>
      </w:r>
      <w:proofErr w:type="gramEnd"/>
      <w:r>
        <w:rPr>
          <w:rFonts w:ascii="宋体" w:hAnsi="宋体" w:cs="宋体"/>
          <w:kern w:val="0"/>
          <w:sz w:val="24"/>
          <w:szCs w:val="24"/>
        </w:rPr>
        <w:t>时的特定资产的估值，基金份额持有人可能因此面临损失。</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实施</w:t>
      </w:r>
      <w:proofErr w:type="gramStart"/>
      <w:r>
        <w:rPr>
          <w:rFonts w:ascii="宋体" w:hAnsi="宋体" w:cs="宋体"/>
          <w:kern w:val="0"/>
          <w:sz w:val="24"/>
          <w:szCs w:val="24"/>
        </w:rPr>
        <w:t>侧袋机制</w:t>
      </w:r>
      <w:proofErr w:type="gramEnd"/>
      <w:r>
        <w:rPr>
          <w:rFonts w:ascii="宋体" w:hAnsi="宋体" w:cs="宋体"/>
          <w:kern w:val="0"/>
          <w:sz w:val="24"/>
          <w:szCs w:val="24"/>
        </w:rPr>
        <w:t>期间，因本基金不</w:t>
      </w:r>
      <w:proofErr w:type="gramStart"/>
      <w:r>
        <w:rPr>
          <w:rFonts w:ascii="宋体" w:hAnsi="宋体" w:cs="宋体"/>
          <w:kern w:val="0"/>
          <w:sz w:val="24"/>
          <w:szCs w:val="24"/>
        </w:rPr>
        <w:t>披露侧袋账户</w:t>
      </w:r>
      <w:proofErr w:type="gramEnd"/>
      <w:r>
        <w:rPr>
          <w:rFonts w:ascii="宋体" w:hAnsi="宋体" w:cs="宋体"/>
          <w:kern w:val="0"/>
          <w:sz w:val="24"/>
          <w:szCs w:val="24"/>
        </w:rPr>
        <w:t>的基金净值信息，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基金管理人将</w:t>
      </w:r>
      <w:proofErr w:type="gramStart"/>
      <w:r>
        <w:rPr>
          <w:rFonts w:ascii="宋体" w:hAnsi="宋体" w:cs="宋体"/>
          <w:kern w:val="0"/>
          <w:sz w:val="24"/>
          <w:szCs w:val="24"/>
        </w:rPr>
        <w:t>根据主袋账户</w:t>
      </w:r>
      <w:proofErr w:type="gramEnd"/>
      <w:r>
        <w:rPr>
          <w:rFonts w:ascii="宋体" w:hAnsi="宋体" w:cs="宋体"/>
          <w:kern w:val="0"/>
          <w:sz w:val="24"/>
          <w:szCs w:val="24"/>
        </w:rPr>
        <w:t>运作情况合理确定申购政策，因此实施</w:t>
      </w:r>
      <w:proofErr w:type="gramStart"/>
      <w:r>
        <w:rPr>
          <w:rFonts w:ascii="宋体" w:hAnsi="宋体" w:cs="宋体"/>
          <w:kern w:val="0"/>
          <w:sz w:val="24"/>
          <w:szCs w:val="24"/>
        </w:rPr>
        <w:t>侧袋机制</w:t>
      </w:r>
      <w:proofErr w:type="gramEnd"/>
      <w:r>
        <w:rPr>
          <w:rFonts w:ascii="宋体" w:hAnsi="宋体" w:cs="宋体"/>
          <w:kern w:val="0"/>
          <w:sz w:val="24"/>
          <w:szCs w:val="24"/>
        </w:rPr>
        <w:t>后主袋账户份额存在暂停申购的可能。</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启用</w:t>
      </w:r>
      <w:proofErr w:type="gramStart"/>
      <w:r>
        <w:rPr>
          <w:rFonts w:ascii="宋体" w:hAnsi="宋体" w:cs="宋体"/>
          <w:kern w:val="0"/>
          <w:sz w:val="24"/>
          <w:szCs w:val="24"/>
        </w:rPr>
        <w:t>侧袋机制</w:t>
      </w:r>
      <w:proofErr w:type="gramEnd"/>
      <w:r>
        <w:rPr>
          <w:rFonts w:ascii="宋体" w:hAnsi="宋体" w:cs="宋体"/>
          <w:kern w:val="0"/>
          <w:sz w:val="24"/>
          <w:szCs w:val="24"/>
        </w:rPr>
        <w:t>后，基金管理人计算各项投资运作指标和基金业绩指标时仅需</w:t>
      </w:r>
      <w:proofErr w:type="gramStart"/>
      <w:r>
        <w:rPr>
          <w:rFonts w:ascii="宋体" w:hAnsi="宋体" w:cs="宋体"/>
          <w:kern w:val="0"/>
          <w:sz w:val="24"/>
          <w:szCs w:val="24"/>
        </w:rPr>
        <w:t>考虑主袋账户</w:t>
      </w:r>
      <w:proofErr w:type="gramEnd"/>
      <w:r>
        <w:rPr>
          <w:rFonts w:ascii="宋体" w:hAnsi="宋体" w:cs="宋体"/>
          <w:kern w:val="0"/>
          <w:sz w:val="24"/>
          <w:szCs w:val="24"/>
        </w:rPr>
        <w:t>资产，并根据相关规定对</w:t>
      </w:r>
      <w:proofErr w:type="gramStart"/>
      <w:r>
        <w:rPr>
          <w:rFonts w:ascii="宋体" w:hAnsi="宋体" w:cs="宋体"/>
          <w:kern w:val="0"/>
          <w:sz w:val="24"/>
          <w:szCs w:val="24"/>
        </w:rPr>
        <w:t>分割侧袋账户</w:t>
      </w:r>
      <w:proofErr w:type="gramEnd"/>
      <w:r>
        <w:rPr>
          <w:rFonts w:ascii="宋体" w:hAnsi="宋体" w:cs="宋体"/>
          <w:kern w:val="0"/>
          <w:sz w:val="24"/>
          <w:szCs w:val="24"/>
        </w:rPr>
        <w:t>资产导致的基金净资产减少进行按投资损失处理，因此本基金披露的业绩指标不能反映特定资产的真实价值及变化情况。</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以上所述因素可能会给本基金投资带来特殊交易风险。</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五、</w:t>
      </w:r>
      <w:r>
        <w:rPr>
          <w:rFonts w:ascii="宋体" w:hAnsi="宋体" w:cs="宋体"/>
          <w:kern w:val="0"/>
          <w:sz w:val="24"/>
          <w:szCs w:val="24"/>
        </w:rPr>
        <w:t>税负增加风险</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财政部、国家税务总局财政[2016]140号《关于明确金融、房地产开发、教育辅助服务等增值税政策的通知》第四条规定：“资管产品运营过程中发生的增</w:t>
      </w:r>
      <w:r>
        <w:rPr>
          <w:rFonts w:ascii="宋体" w:hAnsi="宋体" w:cs="宋体"/>
          <w:kern w:val="0"/>
          <w:sz w:val="24"/>
          <w:szCs w:val="24"/>
        </w:rPr>
        <w:lastRenderedPageBreak/>
        <w:t>值税应税行为，以资管产品管理人为增值税纳税人。”鉴于基金合同中基金管理人的管理费中不包括产品运营过程中发生的税款，本基金运营过程中需要缴纳增值税应税的，将由基金份额持有人承担并从基金资产中支付，按照税务机关的规定以基金管理人为增值税纳税人履行纳税义务，因此可能增加基金份额持有人的投资税费成本。</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六、</w:t>
      </w:r>
      <w:r>
        <w:rPr>
          <w:rFonts w:ascii="宋体" w:hAnsi="宋体" w:cs="宋体"/>
          <w:kern w:val="0"/>
          <w:sz w:val="24"/>
          <w:szCs w:val="24"/>
        </w:rPr>
        <w:t>操作或技术风险</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相关当事人在业务各环节操作过程中，因内部控制存在缺陷或者人为因素造成操作失误或违反操作规程等引致的风险，例如，越权违规交易、会计部门欺诈、交易错误、IT系统故障等风险。</w:t>
      </w:r>
    </w:p>
    <w:p w:rsidR="008333A9" w:rsidRDefault="0002249C">
      <w:pPr>
        <w:pStyle w:val="div"/>
        <w:spacing w:line="360" w:lineRule="auto"/>
        <w:ind w:firstLine="420"/>
        <w:rPr>
          <w:rFonts w:eastAsia="Times New Roman"/>
          <w:kern w:val="0"/>
          <w:sz w:val="24"/>
          <w:szCs w:val="24"/>
        </w:rPr>
      </w:pPr>
      <w:r>
        <w:rPr>
          <w:rStyle w:val="custom"/>
          <w:rFonts w:ascii="宋体" w:hAnsi="宋体" w:cs="宋体"/>
          <w:kern w:val="0"/>
          <w:sz w:val="24"/>
          <w:szCs w:val="24"/>
        </w:rPr>
        <w:t>在开放式基金的各种交易行为或者后台运作中，可能因为技术系统的故障或者差错而影响交易的正常进行或者导致基金份额持有人的利益受到影响。这种技术风险可能来自基金管理人、登记机构、销售机构、证券、期货交易所、证券登记结算机构等等。</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七、</w:t>
      </w:r>
      <w:r>
        <w:rPr>
          <w:rFonts w:ascii="宋体" w:hAnsi="宋体" w:cs="宋体"/>
          <w:kern w:val="0"/>
          <w:sz w:val="24"/>
          <w:szCs w:val="24"/>
        </w:rPr>
        <w:t>合</w:t>
      </w:r>
      <w:proofErr w:type="gramStart"/>
      <w:r>
        <w:rPr>
          <w:rFonts w:ascii="宋体" w:hAnsi="宋体" w:cs="宋体"/>
          <w:kern w:val="0"/>
          <w:sz w:val="24"/>
          <w:szCs w:val="24"/>
        </w:rPr>
        <w:t>规</w:t>
      </w:r>
      <w:proofErr w:type="gramEnd"/>
      <w:r>
        <w:rPr>
          <w:rFonts w:ascii="宋体" w:hAnsi="宋体" w:cs="宋体"/>
          <w:kern w:val="0"/>
          <w:sz w:val="24"/>
          <w:szCs w:val="24"/>
        </w:rPr>
        <w:t>性风险</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指基金管理或运作过程中，违反国家法律法规的规定，或者基金投资违反法规及基金合同有关规定的风险。</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八、</w:t>
      </w:r>
      <w:r>
        <w:rPr>
          <w:rFonts w:ascii="宋体" w:hAnsi="宋体" w:cs="宋体"/>
          <w:kern w:val="0"/>
          <w:sz w:val="24"/>
          <w:szCs w:val="24"/>
        </w:rPr>
        <w:t>本基金法律文件风险收益特征表述与销售机构基金风险评价可能不一致的风险</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本基金法律文件投资章节有关风险收益特征的表述是基于投资范围、投资比例、证券市场普遍规律等做出的概述性描述，代表了一般市场情况下本基金的长期风险收益特征。销售机构(包括基金管理人直销机构和其他销售机构)根据相关法律法规对本基金进行风险评价，不同的销售机构采用的评价方法也不同，因此销售机构的风险等级评价与基金法律文件中风险收益特征的表述可能存在不同，投资人在购买本基金时需按照销售机构的要求完成风险承受能力与产品风险之间的匹配检验。</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九、</w:t>
      </w:r>
      <w:r>
        <w:rPr>
          <w:rFonts w:ascii="宋体" w:hAnsi="宋体" w:cs="宋体"/>
          <w:kern w:val="0"/>
          <w:sz w:val="24"/>
          <w:szCs w:val="24"/>
        </w:rPr>
        <w:t>其他风险</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战争、自然灾害等不可抗力因素的出现，将会严重影响证券市场的运行，可能导致基金资产的损失。</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金融市场危机、行业竞争、代理商违约、基金托管人违约等超出基金管</w:t>
      </w:r>
      <w:r>
        <w:rPr>
          <w:rFonts w:ascii="宋体" w:hAnsi="宋体" w:cs="宋体"/>
          <w:kern w:val="0"/>
          <w:sz w:val="24"/>
          <w:szCs w:val="24"/>
        </w:rPr>
        <w:lastRenderedPageBreak/>
        <w:t>理人自身直接控制能力之外的风险，也可能导致基金或者基金份额持有人利益受损。</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w:t>
      </w:r>
      <w:r>
        <w:rPr>
          <w:rFonts w:ascii="宋体" w:hAnsi="宋体" w:cs="宋体"/>
          <w:kern w:val="0"/>
          <w:sz w:val="24"/>
          <w:szCs w:val="24"/>
        </w:rPr>
        <w:t>声明</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本基金未经任何一级政府、机构及部门担保。投资者自愿投资于本基金，须自行承担投资风险。</w:t>
      </w:r>
    </w:p>
    <w:p w:rsidR="008333A9" w:rsidRDefault="0002249C">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除基金管理人直接办理本基金的销售外，本基金还可通过其他销售机构销售，但是，基金并不是销售机构的存款或负债，也没有经销售机构担保或者背书，销售机构并不能保证其收益或本金安全。</w:t>
      </w:r>
      <w:r>
        <w:rPr>
          <w:rFonts w:ascii="宋体" w:hAnsi="宋体" w:cs="宋体"/>
          <w:kern w:val="0"/>
          <w:sz w:val="24"/>
          <w:szCs w:val="24"/>
        </w:rPr>
        <w:br w:type="page"/>
      </w:r>
    </w:p>
    <w:p w:rsidR="008333A9" w:rsidRDefault="0002249C">
      <w:pPr>
        <w:pStyle w:val="1"/>
        <w:spacing w:before="0" w:after="0"/>
        <w:jc w:val="center"/>
        <w:rPr>
          <w:rFonts w:ascii="Times New Roman"/>
          <w:color w:val="auto"/>
          <w:sz w:val="30"/>
        </w:rPr>
      </w:pPr>
      <w:bookmarkStart w:id="51" w:name="_Toc256000016"/>
      <w:r>
        <w:rPr>
          <w:rFonts w:ascii="Times New Roman"/>
          <w:color w:val="auto"/>
          <w:sz w:val="30"/>
        </w:rPr>
        <w:lastRenderedPageBreak/>
        <w:t>第十七部分</w:t>
      </w:r>
      <w:r>
        <w:rPr>
          <w:rFonts w:ascii="Times New Roman"/>
          <w:color w:val="auto"/>
          <w:sz w:val="30"/>
        </w:rPr>
        <w:t xml:space="preserve">  </w:t>
      </w:r>
      <w:proofErr w:type="gramStart"/>
      <w:r>
        <w:rPr>
          <w:rFonts w:ascii="Times New Roman"/>
          <w:color w:val="auto"/>
          <w:sz w:val="30"/>
        </w:rPr>
        <w:t>侧袋机制</w:t>
      </w:r>
      <w:bookmarkEnd w:id="51"/>
      <w:proofErr w:type="gramEnd"/>
    </w:p>
    <w:p w:rsidR="008333A9" w:rsidRDefault="008333A9"/>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一、</w:t>
      </w:r>
      <w:proofErr w:type="gramStart"/>
      <w:r>
        <w:rPr>
          <w:rFonts w:ascii="宋体" w:hAnsi="宋体" w:cs="宋体"/>
          <w:kern w:val="0"/>
          <w:sz w:val="24"/>
          <w:szCs w:val="24"/>
        </w:rPr>
        <w:t>侧袋机制</w:t>
      </w:r>
      <w:proofErr w:type="gramEnd"/>
      <w:r>
        <w:rPr>
          <w:rFonts w:ascii="宋体" w:hAnsi="宋体" w:cs="宋体"/>
          <w:kern w:val="0"/>
          <w:sz w:val="24"/>
          <w:szCs w:val="24"/>
        </w:rPr>
        <w:t>的实施条件、实施程序</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ascii="宋体" w:hAnsi="宋体" w:cs="宋体"/>
          <w:kern w:val="0"/>
          <w:sz w:val="24"/>
          <w:szCs w:val="24"/>
        </w:rPr>
        <w:t>启用侧袋机制</w:t>
      </w:r>
      <w:proofErr w:type="gramEnd"/>
      <w:r>
        <w:rPr>
          <w:rFonts w:ascii="宋体" w:hAnsi="宋体" w:cs="宋体"/>
          <w:kern w:val="0"/>
          <w:sz w:val="24"/>
          <w:szCs w:val="24"/>
        </w:rPr>
        <w:t>，无需召开基金份额持有人大会。基金管理人应当在启用</w:t>
      </w:r>
      <w:proofErr w:type="gramStart"/>
      <w:r>
        <w:rPr>
          <w:rFonts w:ascii="宋体" w:hAnsi="宋体" w:cs="宋体"/>
          <w:kern w:val="0"/>
          <w:sz w:val="24"/>
          <w:szCs w:val="24"/>
        </w:rPr>
        <w:t>侧袋机制当</w:t>
      </w:r>
      <w:proofErr w:type="gramEnd"/>
      <w:r>
        <w:rPr>
          <w:rFonts w:ascii="宋体" w:hAnsi="宋体" w:cs="宋体"/>
          <w:kern w:val="0"/>
          <w:sz w:val="24"/>
          <w:szCs w:val="24"/>
        </w:rPr>
        <w:t>日报中国证监会及公司所在地中国证监会派出机构备案。</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启用</w:t>
      </w:r>
      <w:proofErr w:type="gramStart"/>
      <w:r>
        <w:rPr>
          <w:rFonts w:ascii="宋体" w:hAnsi="宋体" w:cs="宋体"/>
          <w:kern w:val="0"/>
          <w:sz w:val="24"/>
          <w:szCs w:val="24"/>
        </w:rPr>
        <w:t>侧袋机制</w:t>
      </w:r>
      <w:proofErr w:type="gramEnd"/>
      <w:r>
        <w:rPr>
          <w:rFonts w:ascii="宋体" w:hAnsi="宋体" w:cs="宋体"/>
          <w:kern w:val="0"/>
          <w:sz w:val="24"/>
          <w:szCs w:val="24"/>
        </w:rPr>
        <w:t>当日，基金管理人应以基金份额持有人的原有账户份额为基础，确认</w:t>
      </w:r>
      <w:proofErr w:type="gramStart"/>
      <w:r>
        <w:rPr>
          <w:rFonts w:ascii="宋体" w:hAnsi="宋体" w:cs="宋体"/>
          <w:kern w:val="0"/>
          <w:sz w:val="24"/>
          <w:szCs w:val="24"/>
        </w:rPr>
        <w:t>相应侧袋账户</w:t>
      </w:r>
      <w:proofErr w:type="gramEnd"/>
      <w:r>
        <w:rPr>
          <w:rFonts w:ascii="宋体" w:hAnsi="宋体" w:cs="宋体"/>
          <w:kern w:val="0"/>
          <w:sz w:val="24"/>
          <w:szCs w:val="24"/>
        </w:rPr>
        <w:t>基金份额持有人名册和份额。当日收到的申购申请，按照启用</w:t>
      </w:r>
      <w:proofErr w:type="gramStart"/>
      <w:r>
        <w:rPr>
          <w:rFonts w:ascii="宋体" w:hAnsi="宋体" w:cs="宋体"/>
          <w:kern w:val="0"/>
          <w:sz w:val="24"/>
          <w:szCs w:val="24"/>
        </w:rPr>
        <w:t>侧袋机制</w:t>
      </w:r>
      <w:proofErr w:type="gramEnd"/>
      <w:r>
        <w:rPr>
          <w:rFonts w:ascii="宋体" w:hAnsi="宋体" w:cs="宋体"/>
          <w:kern w:val="0"/>
          <w:sz w:val="24"/>
          <w:szCs w:val="24"/>
        </w:rPr>
        <w:t>后</w:t>
      </w:r>
      <w:proofErr w:type="gramStart"/>
      <w:r>
        <w:rPr>
          <w:rFonts w:ascii="宋体" w:hAnsi="宋体" w:cs="宋体"/>
          <w:kern w:val="0"/>
          <w:sz w:val="24"/>
          <w:szCs w:val="24"/>
        </w:rPr>
        <w:t>的主袋账户</w:t>
      </w:r>
      <w:proofErr w:type="gramEnd"/>
      <w:r>
        <w:rPr>
          <w:rFonts w:ascii="宋体" w:hAnsi="宋体" w:cs="宋体"/>
          <w:kern w:val="0"/>
          <w:sz w:val="24"/>
          <w:szCs w:val="24"/>
        </w:rPr>
        <w:t>份额办理；当日收到的赎回申请，仅</w:t>
      </w:r>
      <w:proofErr w:type="gramStart"/>
      <w:r>
        <w:rPr>
          <w:rFonts w:ascii="宋体" w:hAnsi="宋体" w:cs="宋体"/>
          <w:kern w:val="0"/>
          <w:sz w:val="24"/>
          <w:szCs w:val="24"/>
        </w:rPr>
        <w:t>办理主袋账户</w:t>
      </w:r>
      <w:proofErr w:type="gramEnd"/>
      <w:r>
        <w:rPr>
          <w:rFonts w:ascii="宋体" w:hAnsi="宋体" w:cs="宋体"/>
          <w:kern w:val="0"/>
          <w:sz w:val="24"/>
          <w:szCs w:val="24"/>
        </w:rPr>
        <w:t>的赎回申请并支付赎回款项。</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二、</w:t>
      </w:r>
      <w:proofErr w:type="gramStart"/>
      <w:r>
        <w:rPr>
          <w:rFonts w:ascii="宋体" w:hAnsi="宋体" w:cs="宋体"/>
          <w:kern w:val="0"/>
          <w:sz w:val="24"/>
          <w:szCs w:val="24"/>
        </w:rPr>
        <w:t>侧袋机制</w:t>
      </w:r>
      <w:proofErr w:type="gramEnd"/>
      <w:r>
        <w:rPr>
          <w:rFonts w:ascii="宋体" w:hAnsi="宋体" w:cs="宋体"/>
          <w:kern w:val="0"/>
          <w:sz w:val="24"/>
          <w:szCs w:val="24"/>
        </w:rPr>
        <w:t>实施期间的基金运作安排</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（一）基金份额的申购与赎回</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w:t>
      </w:r>
      <w:proofErr w:type="gramStart"/>
      <w:r>
        <w:rPr>
          <w:rFonts w:ascii="宋体" w:hAnsi="宋体" w:cs="宋体"/>
          <w:kern w:val="0"/>
          <w:sz w:val="24"/>
          <w:szCs w:val="24"/>
        </w:rPr>
        <w:t>侧袋账户</w:t>
      </w:r>
      <w:proofErr w:type="gramEnd"/>
    </w:p>
    <w:p w:rsidR="008333A9" w:rsidRDefault="0002249C">
      <w:pPr>
        <w:pStyle w:val="div"/>
        <w:spacing w:line="360" w:lineRule="auto"/>
        <w:ind w:firstLine="420"/>
        <w:rPr>
          <w:rFonts w:eastAsia="Times New Roman"/>
          <w:kern w:val="0"/>
          <w:sz w:val="24"/>
          <w:szCs w:val="24"/>
        </w:rPr>
      </w:pPr>
      <w:proofErr w:type="gramStart"/>
      <w:r>
        <w:rPr>
          <w:rFonts w:ascii="宋体" w:hAnsi="宋体" w:cs="宋体"/>
          <w:kern w:val="0"/>
          <w:sz w:val="24"/>
          <w:szCs w:val="24"/>
        </w:rPr>
        <w:t>侧袋机制</w:t>
      </w:r>
      <w:proofErr w:type="gramEnd"/>
      <w:r>
        <w:rPr>
          <w:rFonts w:ascii="宋体" w:hAnsi="宋体" w:cs="宋体"/>
          <w:kern w:val="0"/>
          <w:sz w:val="24"/>
          <w:szCs w:val="24"/>
        </w:rPr>
        <w:t>实施期间，基金管理人不</w:t>
      </w:r>
      <w:proofErr w:type="gramStart"/>
      <w:r>
        <w:rPr>
          <w:rFonts w:ascii="宋体" w:hAnsi="宋体" w:cs="宋体"/>
          <w:kern w:val="0"/>
          <w:sz w:val="24"/>
          <w:szCs w:val="24"/>
        </w:rPr>
        <w:t>办理侧袋账户</w:t>
      </w:r>
      <w:proofErr w:type="gramEnd"/>
      <w:r>
        <w:rPr>
          <w:rFonts w:ascii="宋体" w:hAnsi="宋体" w:cs="宋体"/>
          <w:kern w:val="0"/>
          <w:sz w:val="24"/>
          <w:szCs w:val="24"/>
        </w:rPr>
        <w:t>的申购、赎回和转换。基金份额持有人申请申购、赎回或转换侧袋账户基金份额的，该申购、赎回或转换申请将被拒绝。</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2、</w:t>
      </w:r>
      <w:proofErr w:type="gramStart"/>
      <w:r>
        <w:rPr>
          <w:rFonts w:ascii="宋体" w:hAnsi="宋体" w:cs="宋体"/>
          <w:kern w:val="0"/>
          <w:sz w:val="24"/>
          <w:szCs w:val="24"/>
        </w:rPr>
        <w:t>主袋账户</w:t>
      </w:r>
      <w:proofErr w:type="gramEnd"/>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基金管理人将依法</w:t>
      </w:r>
      <w:proofErr w:type="gramStart"/>
      <w:r>
        <w:rPr>
          <w:rFonts w:ascii="宋体" w:hAnsi="宋体" w:cs="宋体"/>
          <w:kern w:val="0"/>
          <w:sz w:val="24"/>
          <w:szCs w:val="24"/>
        </w:rPr>
        <w:t>保障主袋账户</w:t>
      </w:r>
      <w:proofErr w:type="gramEnd"/>
      <w:r>
        <w:rPr>
          <w:rFonts w:ascii="宋体" w:hAnsi="宋体" w:cs="宋体"/>
          <w:kern w:val="0"/>
          <w:sz w:val="24"/>
          <w:szCs w:val="24"/>
        </w:rPr>
        <w:t>份额持有人享有基金合同约定的赎回权利，并</w:t>
      </w:r>
      <w:proofErr w:type="gramStart"/>
      <w:r>
        <w:rPr>
          <w:rFonts w:ascii="宋体" w:hAnsi="宋体" w:cs="宋体"/>
          <w:kern w:val="0"/>
          <w:sz w:val="24"/>
          <w:szCs w:val="24"/>
        </w:rPr>
        <w:t>根据主袋账户</w:t>
      </w:r>
      <w:proofErr w:type="gramEnd"/>
      <w:r>
        <w:rPr>
          <w:rFonts w:ascii="宋体" w:hAnsi="宋体" w:cs="宋体"/>
          <w:kern w:val="0"/>
          <w:sz w:val="24"/>
          <w:szCs w:val="24"/>
        </w:rPr>
        <w:t>运作情况合理确定申购事项，具体事项届时将由基金管理人在相关公告中规定。</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本招募说明书“基金份额的申购与赎回”部分的申购、赎回规定</w:t>
      </w:r>
      <w:proofErr w:type="gramStart"/>
      <w:r>
        <w:rPr>
          <w:rFonts w:ascii="宋体" w:hAnsi="宋体" w:cs="宋体"/>
          <w:kern w:val="0"/>
          <w:sz w:val="24"/>
          <w:szCs w:val="24"/>
        </w:rPr>
        <w:t>适用于主袋账户</w:t>
      </w:r>
      <w:proofErr w:type="gramEnd"/>
      <w:r>
        <w:rPr>
          <w:rFonts w:ascii="宋体" w:hAnsi="宋体" w:cs="宋体"/>
          <w:kern w:val="0"/>
          <w:sz w:val="24"/>
          <w:szCs w:val="24"/>
        </w:rPr>
        <w:t>份额。巨额赎回按照单个开放</w:t>
      </w:r>
      <w:proofErr w:type="gramStart"/>
      <w:r>
        <w:rPr>
          <w:rFonts w:ascii="宋体" w:hAnsi="宋体" w:cs="宋体"/>
          <w:kern w:val="0"/>
          <w:sz w:val="24"/>
          <w:szCs w:val="24"/>
        </w:rPr>
        <w:t>日内主袋账户</w:t>
      </w:r>
      <w:proofErr w:type="gramEnd"/>
      <w:r>
        <w:rPr>
          <w:rFonts w:ascii="宋体" w:hAnsi="宋体" w:cs="宋体"/>
          <w:kern w:val="0"/>
          <w:sz w:val="24"/>
          <w:szCs w:val="24"/>
        </w:rPr>
        <w:t>份额净赎回申请超过前一开放</w:t>
      </w:r>
      <w:proofErr w:type="gramStart"/>
      <w:r>
        <w:rPr>
          <w:rFonts w:ascii="宋体" w:hAnsi="宋体" w:cs="宋体"/>
          <w:kern w:val="0"/>
          <w:sz w:val="24"/>
          <w:szCs w:val="24"/>
        </w:rPr>
        <w:t>日主袋账户</w:t>
      </w:r>
      <w:proofErr w:type="gramEnd"/>
      <w:r>
        <w:rPr>
          <w:rFonts w:ascii="宋体" w:hAnsi="宋体" w:cs="宋体"/>
          <w:kern w:val="0"/>
          <w:sz w:val="24"/>
          <w:szCs w:val="24"/>
        </w:rPr>
        <w:t>总份额的10%认定。</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（二）基金的投资</w:t>
      </w:r>
    </w:p>
    <w:p w:rsidR="008333A9" w:rsidRDefault="0002249C">
      <w:pPr>
        <w:pStyle w:val="div"/>
        <w:spacing w:line="360" w:lineRule="auto"/>
        <w:ind w:firstLine="420"/>
        <w:rPr>
          <w:rFonts w:eastAsia="Times New Roman"/>
          <w:kern w:val="0"/>
          <w:sz w:val="24"/>
          <w:szCs w:val="24"/>
        </w:rPr>
      </w:pPr>
      <w:proofErr w:type="gramStart"/>
      <w:r>
        <w:rPr>
          <w:rFonts w:ascii="宋体" w:hAnsi="宋体" w:cs="宋体"/>
          <w:kern w:val="0"/>
          <w:sz w:val="24"/>
          <w:szCs w:val="24"/>
        </w:rPr>
        <w:t>侧袋机制</w:t>
      </w:r>
      <w:proofErr w:type="gramEnd"/>
      <w:r>
        <w:rPr>
          <w:rFonts w:ascii="宋体" w:hAnsi="宋体" w:cs="宋体"/>
          <w:kern w:val="0"/>
          <w:sz w:val="24"/>
          <w:szCs w:val="24"/>
        </w:rPr>
        <w:t>实施期间，招募说明书“基金的投资”部分约定的投资组合比例、投资策略、组合限制、业绩比较基准、风险收益特征等约定仅</w:t>
      </w:r>
      <w:proofErr w:type="gramStart"/>
      <w:r>
        <w:rPr>
          <w:rFonts w:ascii="宋体" w:hAnsi="宋体" w:cs="宋体"/>
          <w:kern w:val="0"/>
          <w:sz w:val="24"/>
          <w:szCs w:val="24"/>
        </w:rPr>
        <w:t>适用于主袋账户</w:t>
      </w:r>
      <w:proofErr w:type="gramEnd"/>
      <w:r>
        <w:rPr>
          <w:rFonts w:ascii="宋体" w:hAnsi="宋体" w:cs="宋体"/>
          <w:kern w:val="0"/>
          <w:sz w:val="24"/>
          <w:szCs w:val="24"/>
        </w:rPr>
        <w:t>；且本基金的各项投资运作指标和基金业绩指标应当</w:t>
      </w:r>
      <w:proofErr w:type="gramStart"/>
      <w:r>
        <w:rPr>
          <w:rFonts w:ascii="宋体" w:hAnsi="宋体" w:cs="宋体"/>
          <w:kern w:val="0"/>
          <w:sz w:val="24"/>
          <w:szCs w:val="24"/>
        </w:rPr>
        <w:t>以主袋账户</w:t>
      </w:r>
      <w:proofErr w:type="gramEnd"/>
      <w:r>
        <w:rPr>
          <w:rFonts w:ascii="宋体" w:hAnsi="宋体" w:cs="宋体"/>
          <w:kern w:val="0"/>
          <w:sz w:val="24"/>
          <w:szCs w:val="24"/>
        </w:rPr>
        <w:t>资产为基准。</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lastRenderedPageBreak/>
        <w:t>基金管理人原则上应当在</w:t>
      </w:r>
      <w:proofErr w:type="gramStart"/>
      <w:r>
        <w:rPr>
          <w:rFonts w:ascii="宋体" w:hAnsi="宋体" w:cs="宋体"/>
          <w:kern w:val="0"/>
          <w:sz w:val="24"/>
          <w:szCs w:val="24"/>
        </w:rPr>
        <w:t>侧袋机制</w:t>
      </w:r>
      <w:proofErr w:type="gramEnd"/>
      <w:r>
        <w:rPr>
          <w:rFonts w:ascii="宋体" w:hAnsi="宋体" w:cs="宋体"/>
          <w:kern w:val="0"/>
          <w:sz w:val="24"/>
          <w:szCs w:val="24"/>
        </w:rPr>
        <w:t>启用后20个交易日内完成</w:t>
      </w:r>
      <w:proofErr w:type="gramStart"/>
      <w:r>
        <w:rPr>
          <w:rFonts w:ascii="宋体" w:hAnsi="宋体" w:cs="宋体"/>
          <w:kern w:val="0"/>
          <w:sz w:val="24"/>
          <w:szCs w:val="24"/>
        </w:rPr>
        <w:t>对主袋账户</w:t>
      </w:r>
      <w:proofErr w:type="gramEnd"/>
      <w:r>
        <w:rPr>
          <w:rFonts w:ascii="宋体" w:hAnsi="宋体" w:cs="宋体"/>
          <w:kern w:val="0"/>
          <w:sz w:val="24"/>
          <w:szCs w:val="24"/>
        </w:rPr>
        <w:t>投资组合的调整，但因资产流动性受限等中国证监会规定的情形除外。</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基金管理人不得</w:t>
      </w:r>
      <w:proofErr w:type="gramStart"/>
      <w:r>
        <w:rPr>
          <w:rFonts w:ascii="宋体" w:hAnsi="宋体" w:cs="宋体"/>
          <w:kern w:val="0"/>
          <w:sz w:val="24"/>
          <w:szCs w:val="24"/>
        </w:rPr>
        <w:t>在侧袋账户</w:t>
      </w:r>
      <w:proofErr w:type="gramEnd"/>
      <w:r>
        <w:rPr>
          <w:rFonts w:ascii="宋体" w:hAnsi="宋体" w:cs="宋体"/>
          <w:kern w:val="0"/>
          <w:sz w:val="24"/>
          <w:szCs w:val="24"/>
        </w:rPr>
        <w:t>中进行除特定资产处置变现以外的其他投资操作。</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（三）基金的费用</w:t>
      </w:r>
    </w:p>
    <w:p w:rsidR="008333A9" w:rsidRDefault="0002249C">
      <w:pPr>
        <w:pStyle w:val="div"/>
        <w:spacing w:line="360" w:lineRule="auto"/>
        <w:ind w:firstLine="420"/>
        <w:rPr>
          <w:rFonts w:eastAsia="Times New Roman"/>
          <w:kern w:val="0"/>
          <w:sz w:val="24"/>
          <w:szCs w:val="24"/>
        </w:rPr>
      </w:pPr>
      <w:proofErr w:type="gramStart"/>
      <w:r>
        <w:rPr>
          <w:rFonts w:ascii="宋体" w:hAnsi="宋体" w:cs="宋体"/>
          <w:kern w:val="0"/>
          <w:sz w:val="24"/>
          <w:szCs w:val="24"/>
        </w:rPr>
        <w:t>侧袋机制</w:t>
      </w:r>
      <w:proofErr w:type="gramEnd"/>
      <w:r>
        <w:rPr>
          <w:rFonts w:ascii="宋体" w:hAnsi="宋体" w:cs="宋体"/>
          <w:kern w:val="0"/>
          <w:sz w:val="24"/>
          <w:szCs w:val="24"/>
        </w:rPr>
        <w:t>实施期间，</w:t>
      </w:r>
      <w:proofErr w:type="gramStart"/>
      <w:r>
        <w:rPr>
          <w:rFonts w:ascii="宋体" w:hAnsi="宋体" w:cs="宋体"/>
          <w:kern w:val="0"/>
          <w:sz w:val="24"/>
          <w:szCs w:val="24"/>
        </w:rPr>
        <w:t>侧袋账户</w:t>
      </w:r>
      <w:proofErr w:type="gramEnd"/>
      <w:r>
        <w:rPr>
          <w:rFonts w:ascii="宋体" w:hAnsi="宋体" w:cs="宋体"/>
          <w:kern w:val="0"/>
          <w:sz w:val="24"/>
          <w:szCs w:val="24"/>
        </w:rPr>
        <w:t>资产不收取管理费。</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基金管理人可以将</w:t>
      </w:r>
      <w:proofErr w:type="gramStart"/>
      <w:r>
        <w:rPr>
          <w:rFonts w:ascii="宋体" w:hAnsi="宋体" w:cs="宋体"/>
          <w:kern w:val="0"/>
          <w:sz w:val="24"/>
          <w:szCs w:val="24"/>
        </w:rPr>
        <w:t>与侧袋账户</w:t>
      </w:r>
      <w:proofErr w:type="gramEnd"/>
      <w:r>
        <w:rPr>
          <w:rFonts w:ascii="宋体" w:hAnsi="宋体" w:cs="宋体"/>
          <w:kern w:val="0"/>
          <w:sz w:val="24"/>
          <w:szCs w:val="24"/>
        </w:rPr>
        <w:t>有关的费用</w:t>
      </w:r>
      <w:proofErr w:type="gramStart"/>
      <w:r>
        <w:rPr>
          <w:rFonts w:ascii="宋体" w:hAnsi="宋体" w:cs="宋体"/>
          <w:kern w:val="0"/>
          <w:sz w:val="24"/>
          <w:szCs w:val="24"/>
        </w:rPr>
        <w:t>从侧袋账户</w:t>
      </w:r>
      <w:proofErr w:type="gramEnd"/>
      <w:r>
        <w:rPr>
          <w:rFonts w:ascii="宋体" w:hAnsi="宋体" w:cs="宋体"/>
          <w:kern w:val="0"/>
          <w:sz w:val="24"/>
          <w:szCs w:val="24"/>
        </w:rPr>
        <w:t>资产中列支，但应待特定资产变现后方可列支。</w:t>
      </w:r>
    </w:p>
    <w:p w:rsidR="008333A9" w:rsidRDefault="0002249C">
      <w:pPr>
        <w:pStyle w:val="div"/>
        <w:spacing w:line="360" w:lineRule="auto"/>
        <w:ind w:firstLine="420"/>
        <w:rPr>
          <w:rFonts w:eastAsia="Times New Roman"/>
          <w:kern w:val="0"/>
          <w:sz w:val="24"/>
          <w:szCs w:val="24"/>
        </w:rPr>
      </w:pPr>
      <w:proofErr w:type="gramStart"/>
      <w:r>
        <w:rPr>
          <w:rFonts w:ascii="宋体" w:hAnsi="宋体" w:cs="宋体"/>
          <w:kern w:val="0"/>
          <w:sz w:val="24"/>
          <w:szCs w:val="24"/>
        </w:rPr>
        <w:t>主袋账户</w:t>
      </w:r>
      <w:proofErr w:type="gramEnd"/>
      <w:r>
        <w:rPr>
          <w:rFonts w:ascii="宋体" w:hAnsi="宋体" w:cs="宋体"/>
          <w:kern w:val="0"/>
          <w:sz w:val="24"/>
          <w:szCs w:val="24"/>
        </w:rPr>
        <w:t>的管理费和托管费等费用仍</w:t>
      </w:r>
      <w:proofErr w:type="gramStart"/>
      <w:r>
        <w:rPr>
          <w:rFonts w:ascii="宋体" w:hAnsi="宋体" w:cs="宋体"/>
          <w:kern w:val="0"/>
          <w:sz w:val="24"/>
          <w:szCs w:val="24"/>
        </w:rPr>
        <w:t>按主袋账户</w:t>
      </w:r>
      <w:proofErr w:type="gramEnd"/>
      <w:r>
        <w:rPr>
          <w:rFonts w:ascii="宋体" w:hAnsi="宋体" w:cs="宋体"/>
          <w:kern w:val="0"/>
          <w:sz w:val="24"/>
          <w:szCs w:val="24"/>
        </w:rPr>
        <w:t>基金资产净值作为基数计提。</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（四）基金的收益分配</w:t>
      </w:r>
    </w:p>
    <w:p w:rsidR="008333A9" w:rsidRDefault="0002249C">
      <w:pPr>
        <w:pStyle w:val="div"/>
        <w:spacing w:line="360" w:lineRule="auto"/>
        <w:ind w:firstLine="420"/>
        <w:rPr>
          <w:rFonts w:eastAsia="Times New Roman"/>
          <w:kern w:val="0"/>
          <w:sz w:val="24"/>
          <w:szCs w:val="24"/>
        </w:rPr>
      </w:pPr>
      <w:proofErr w:type="gramStart"/>
      <w:r>
        <w:rPr>
          <w:rFonts w:ascii="宋体" w:hAnsi="宋体" w:cs="宋体"/>
          <w:kern w:val="0"/>
          <w:sz w:val="24"/>
          <w:szCs w:val="24"/>
        </w:rPr>
        <w:t>侧袋机制</w:t>
      </w:r>
      <w:proofErr w:type="gramEnd"/>
      <w:r>
        <w:rPr>
          <w:rFonts w:ascii="宋体" w:hAnsi="宋体" w:cs="宋体"/>
          <w:kern w:val="0"/>
          <w:sz w:val="24"/>
          <w:szCs w:val="24"/>
        </w:rPr>
        <w:t>实施期间，</w:t>
      </w:r>
      <w:proofErr w:type="gramStart"/>
      <w:r>
        <w:rPr>
          <w:rFonts w:ascii="宋体" w:hAnsi="宋体" w:cs="宋体"/>
          <w:kern w:val="0"/>
          <w:sz w:val="24"/>
          <w:szCs w:val="24"/>
        </w:rPr>
        <w:t>在主袋账户</w:t>
      </w:r>
      <w:proofErr w:type="gramEnd"/>
      <w:r>
        <w:rPr>
          <w:rFonts w:ascii="宋体" w:hAnsi="宋体" w:cs="宋体"/>
          <w:kern w:val="0"/>
          <w:sz w:val="24"/>
          <w:szCs w:val="24"/>
        </w:rPr>
        <w:t>份额满足基金合同收益分配条件的情形下，基金管理人可</w:t>
      </w:r>
      <w:proofErr w:type="gramStart"/>
      <w:r>
        <w:rPr>
          <w:rFonts w:ascii="宋体" w:hAnsi="宋体" w:cs="宋体"/>
          <w:kern w:val="0"/>
          <w:sz w:val="24"/>
          <w:szCs w:val="24"/>
        </w:rPr>
        <w:t>对主袋账户</w:t>
      </w:r>
      <w:proofErr w:type="gramEnd"/>
      <w:r>
        <w:rPr>
          <w:rFonts w:ascii="宋体" w:hAnsi="宋体" w:cs="宋体"/>
          <w:kern w:val="0"/>
          <w:sz w:val="24"/>
          <w:szCs w:val="24"/>
        </w:rPr>
        <w:t>份额进行收益分配。</w:t>
      </w:r>
      <w:proofErr w:type="gramStart"/>
      <w:r>
        <w:rPr>
          <w:rFonts w:ascii="宋体" w:hAnsi="宋体" w:cs="宋体"/>
          <w:kern w:val="0"/>
          <w:sz w:val="24"/>
          <w:szCs w:val="24"/>
        </w:rPr>
        <w:t>侧袋账户</w:t>
      </w:r>
      <w:proofErr w:type="gramEnd"/>
      <w:r>
        <w:rPr>
          <w:rFonts w:ascii="宋体" w:hAnsi="宋体" w:cs="宋体"/>
          <w:kern w:val="0"/>
          <w:sz w:val="24"/>
          <w:szCs w:val="24"/>
        </w:rPr>
        <w:t>不进行收益分配。</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（五）基金的信息披露</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1、基金净值信息</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基金管理人应按照招募说明书“基金的信息披露”部分规定的基金净值信息披露方式和频率</w:t>
      </w:r>
      <w:proofErr w:type="gramStart"/>
      <w:r>
        <w:rPr>
          <w:rFonts w:ascii="宋体" w:hAnsi="宋体" w:cs="宋体"/>
          <w:kern w:val="0"/>
          <w:sz w:val="24"/>
          <w:szCs w:val="24"/>
        </w:rPr>
        <w:t>披露主袋账户</w:t>
      </w:r>
      <w:proofErr w:type="gramEnd"/>
      <w:r>
        <w:rPr>
          <w:rFonts w:ascii="宋体" w:hAnsi="宋体" w:cs="宋体"/>
          <w:kern w:val="0"/>
          <w:sz w:val="24"/>
          <w:szCs w:val="24"/>
        </w:rPr>
        <w:t>份额的基金净值信息。</w:t>
      </w:r>
      <w:proofErr w:type="gramStart"/>
      <w:r>
        <w:rPr>
          <w:rFonts w:ascii="宋体" w:hAnsi="宋体" w:cs="宋体"/>
          <w:kern w:val="0"/>
          <w:sz w:val="24"/>
          <w:szCs w:val="24"/>
        </w:rPr>
        <w:t>侧袋机制</w:t>
      </w:r>
      <w:proofErr w:type="gramEnd"/>
      <w:r>
        <w:rPr>
          <w:rFonts w:ascii="宋体" w:hAnsi="宋体" w:cs="宋体"/>
          <w:kern w:val="0"/>
          <w:sz w:val="24"/>
          <w:szCs w:val="24"/>
        </w:rPr>
        <w:t>实施期间，基金管理人应当暂停</w:t>
      </w:r>
      <w:proofErr w:type="gramStart"/>
      <w:r>
        <w:rPr>
          <w:rFonts w:ascii="宋体" w:hAnsi="宋体" w:cs="宋体"/>
          <w:kern w:val="0"/>
          <w:sz w:val="24"/>
          <w:szCs w:val="24"/>
        </w:rPr>
        <w:t>披露侧袋账户</w:t>
      </w:r>
      <w:proofErr w:type="gramEnd"/>
      <w:r>
        <w:rPr>
          <w:rFonts w:ascii="宋体" w:hAnsi="宋体" w:cs="宋体"/>
          <w:kern w:val="0"/>
          <w:sz w:val="24"/>
          <w:szCs w:val="24"/>
        </w:rPr>
        <w:t>的基金份额净值和基金份额累计净值。</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2、定期报告</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管理人应当在基金定期报告中披露报告期内特定资产处置进展情况，披露报告期末特定资产可变现净值或净值区间的，该净值或净值区间并不代表特定资产最终的变现价格，不作为基金管理人对特定资产最终变现价格的承诺。</w:t>
      </w:r>
    </w:p>
    <w:p w:rsidR="008333A9" w:rsidRDefault="0002249C">
      <w:pPr>
        <w:pStyle w:val="div"/>
        <w:spacing w:line="360" w:lineRule="auto"/>
        <w:ind w:firstLine="420"/>
        <w:rPr>
          <w:rFonts w:eastAsia="Times New Roman"/>
          <w:kern w:val="0"/>
          <w:sz w:val="24"/>
          <w:szCs w:val="24"/>
        </w:rPr>
      </w:pPr>
      <w:proofErr w:type="gramStart"/>
      <w:r>
        <w:rPr>
          <w:rFonts w:ascii="宋体" w:hAnsi="宋体" w:cs="宋体"/>
          <w:kern w:val="0"/>
          <w:sz w:val="24"/>
          <w:szCs w:val="24"/>
        </w:rPr>
        <w:t>侧袋机制</w:t>
      </w:r>
      <w:proofErr w:type="gramEnd"/>
      <w:r>
        <w:rPr>
          <w:rFonts w:ascii="宋体" w:hAnsi="宋体" w:cs="宋体"/>
          <w:kern w:val="0"/>
          <w:sz w:val="24"/>
          <w:szCs w:val="24"/>
        </w:rPr>
        <w:t>实施期间，基金定期报告中的基金会计报表仅需</w:t>
      </w:r>
      <w:proofErr w:type="gramStart"/>
      <w:r>
        <w:rPr>
          <w:rFonts w:ascii="宋体" w:hAnsi="宋体" w:cs="宋体"/>
          <w:kern w:val="0"/>
          <w:sz w:val="24"/>
          <w:szCs w:val="24"/>
        </w:rPr>
        <w:t>针对主袋账户</w:t>
      </w:r>
      <w:proofErr w:type="gramEnd"/>
      <w:r>
        <w:rPr>
          <w:rFonts w:ascii="宋体" w:hAnsi="宋体" w:cs="宋体"/>
          <w:kern w:val="0"/>
          <w:sz w:val="24"/>
          <w:szCs w:val="24"/>
        </w:rPr>
        <w:t>进行编制。会计师事务所对基金年度报告进行审计时，应对报告期内基金</w:t>
      </w:r>
      <w:proofErr w:type="gramStart"/>
      <w:r>
        <w:rPr>
          <w:rFonts w:ascii="宋体" w:hAnsi="宋体" w:cs="宋体"/>
          <w:kern w:val="0"/>
          <w:sz w:val="24"/>
          <w:szCs w:val="24"/>
        </w:rPr>
        <w:t>侧袋机制</w:t>
      </w:r>
      <w:proofErr w:type="gramEnd"/>
      <w:r>
        <w:rPr>
          <w:rFonts w:ascii="宋体" w:hAnsi="宋体" w:cs="宋体"/>
          <w:kern w:val="0"/>
          <w:sz w:val="24"/>
          <w:szCs w:val="24"/>
        </w:rPr>
        <w:t>运行相关的会计核算和年度报告披露等发表审计意见。</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3、临时报告</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基金管理人在</w:t>
      </w:r>
      <w:proofErr w:type="gramStart"/>
      <w:r>
        <w:rPr>
          <w:rFonts w:ascii="宋体" w:hAnsi="宋体" w:cs="宋体"/>
          <w:kern w:val="0"/>
          <w:sz w:val="24"/>
          <w:szCs w:val="24"/>
        </w:rPr>
        <w:t>启用侧袋机制</w:t>
      </w:r>
      <w:proofErr w:type="gramEnd"/>
      <w:r>
        <w:rPr>
          <w:rFonts w:ascii="宋体" w:hAnsi="宋体" w:cs="宋体"/>
          <w:kern w:val="0"/>
          <w:sz w:val="24"/>
          <w:szCs w:val="24"/>
        </w:rPr>
        <w:t>、处置特定资产、终止</w:t>
      </w:r>
      <w:proofErr w:type="gramStart"/>
      <w:r>
        <w:rPr>
          <w:rFonts w:ascii="宋体" w:hAnsi="宋体" w:cs="宋体"/>
          <w:kern w:val="0"/>
          <w:sz w:val="24"/>
          <w:szCs w:val="24"/>
        </w:rPr>
        <w:t>侧袋机制</w:t>
      </w:r>
      <w:proofErr w:type="gramEnd"/>
      <w:r>
        <w:rPr>
          <w:rFonts w:ascii="宋体" w:hAnsi="宋体" w:cs="宋体"/>
          <w:kern w:val="0"/>
          <w:sz w:val="24"/>
          <w:szCs w:val="24"/>
        </w:rPr>
        <w:t>以及发生其他可能对投资者利益产生重大影响的事项后应及时发布临时公告。</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启用</w:t>
      </w:r>
      <w:proofErr w:type="gramStart"/>
      <w:r>
        <w:rPr>
          <w:rFonts w:ascii="宋体" w:hAnsi="宋体" w:cs="宋体"/>
          <w:kern w:val="0"/>
          <w:sz w:val="24"/>
          <w:szCs w:val="24"/>
        </w:rPr>
        <w:t>侧袋机制</w:t>
      </w:r>
      <w:proofErr w:type="gramEnd"/>
      <w:r>
        <w:rPr>
          <w:rFonts w:ascii="宋体" w:hAnsi="宋体" w:cs="宋体"/>
          <w:kern w:val="0"/>
          <w:sz w:val="24"/>
          <w:szCs w:val="24"/>
        </w:rPr>
        <w:t>的临时公告内容应当包括启用原因及程序、特定资产流动性和</w:t>
      </w:r>
      <w:r>
        <w:rPr>
          <w:rFonts w:ascii="宋体" w:hAnsi="宋体" w:cs="宋体"/>
          <w:kern w:val="0"/>
          <w:sz w:val="24"/>
          <w:szCs w:val="24"/>
        </w:rPr>
        <w:lastRenderedPageBreak/>
        <w:t>估值情况、对投资者申购赎回的影响、风险提示等重要信息。</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处置特定资产的临时公告内容应当包括特定资产处置价格和时间、</w:t>
      </w:r>
      <w:proofErr w:type="gramStart"/>
      <w:r>
        <w:rPr>
          <w:rFonts w:ascii="宋体" w:hAnsi="宋体" w:cs="宋体"/>
          <w:kern w:val="0"/>
          <w:sz w:val="24"/>
          <w:szCs w:val="24"/>
        </w:rPr>
        <w:t>向侧袋账户</w:t>
      </w:r>
      <w:proofErr w:type="gramEnd"/>
      <w:r>
        <w:rPr>
          <w:rFonts w:ascii="宋体" w:hAnsi="宋体" w:cs="宋体"/>
          <w:kern w:val="0"/>
          <w:sz w:val="24"/>
          <w:szCs w:val="24"/>
        </w:rPr>
        <w:t>份额持有人支付的款项、相关费用发生情况等重要信息。</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（六）特定资产处置清算</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特定资产以可出售、可转让、恢复交易等方式恢复流动性后，基金管理人将按照基金份额持有人利益最大化原则，采取将特定资产予以处置变现等方式，及时</w:t>
      </w:r>
      <w:proofErr w:type="gramStart"/>
      <w:r>
        <w:rPr>
          <w:rFonts w:ascii="宋体" w:hAnsi="宋体" w:cs="宋体"/>
          <w:kern w:val="0"/>
          <w:sz w:val="24"/>
          <w:szCs w:val="24"/>
        </w:rPr>
        <w:t>向侧袋账户</w:t>
      </w:r>
      <w:proofErr w:type="gramEnd"/>
      <w:r>
        <w:rPr>
          <w:rFonts w:ascii="宋体" w:hAnsi="宋体" w:cs="宋体"/>
          <w:kern w:val="0"/>
          <w:sz w:val="24"/>
          <w:szCs w:val="24"/>
        </w:rPr>
        <w:t>份额持有人支付的款项。</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（七）</w:t>
      </w:r>
      <w:proofErr w:type="gramStart"/>
      <w:r>
        <w:rPr>
          <w:rFonts w:ascii="宋体" w:hAnsi="宋体" w:cs="宋体"/>
          <w:kern w:val="0"/>
          <w:sz w:val="24"/>
          <w:szCs w:val="24"/>
        </w:rPr>
        <w:t>侧袋的</w:t>
      </w:r>
      <w:proofErr w:type="gramEnd"/>
      <w:r>
        <w:rPr>
          <w:rFonts w:ascii="宋体" w:hAnsi="宋体" w:cs="宋体"/>
          <w:kern w:val="0"/>
          <w:sz w:val="24"/>
          <w:szCs w:val="24"/>
        </w:rPr>
        <w:t>审计</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基金管理人应当在启用</w:t>
      </w:r>
      <w:proofErr w:type="gramStart"/>
      <w:r>
        <w:rPr>
          <w:rFonts w:ascii="宋体" w:hAnsi="宋体" w:cs="宋体"/>
          <w:kern w:val="0"/>
          <w:sz w:val="24"/>
          <w:szCs w:val="24"/>
        </w:rPr>
        <w:t>侧袋机制</w:t>
      </w:r>
      <w:proofErr w:type="gramEnd"/>
      <w:r>
        <w:rPr>
          <w:rFonts w:ascii="宋体" w:hAnsi="宋体" w:cs="宋体"/>
          <w:kern w:val="0"/>
          <w:sz w:val="24"/>
          <w:szCs w:val="24"/>
        </w:rPr>
        <w:t>和终止</w:t>
      </w:r>
      <w:proofErr w:type="gramStart"/>
      <w:r>
        <w:rPr>
          <w:rFonts w:ascii="宋体" w:hAnsi="宋体" w:cs="宋体"/>
          <w:kern w:val="0"/>
          <w:sz w:val="24"/>
          <w:szCs w:val="24"/>
        </w:rPr>
        <w:t>侧袋机制</w:t>
      </w:r>
      <w:proofErr w:type="gramEnd"/>
      <w:r>
        <w:rPr>
          <w:rFonts w:ascii="宋体" w:hAnsi="宋体" w:cs="宋体"/>
          <w:kern w:val="0"/>
          <w:sz w:val="24"/>
          <w:szCs w:val="24"/>
        </w:rPr>
        <w:t>后，及时聘请符合《中华人民共和国证券法》规定的会计师事务所进行审计并披露专项审计意见。</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三、本部</w:t>
      </w:r>
      <w:proofErr w:type="gramStart"/>
      <w:r>
        <w:rPr>
          <w:rFonts w:ascii="宋体" w:hAnsi="宋体" w:cs="宋体"/>
          <w:kern w:val="0"/>
          <w:sz w:val="24"/>
          <w:szCs w:val="24"/>
        </w:rPr>
        <w:t>分关于侧袋机制</w:t>
      </w:r>
      <w:proofErr w:type="gramEnd"/>
      <w:r>
        <w:rPr>
          <w:rFonts w:ascii="宋体" w:hAnsi="宋体" w:cs="宋体"/>
          <w:kern w:val="0"/>
          <w:sz w:val="24"/>
          <w:szCs w:val="24"/>
        </w:rPr>
        <w:t>的相关规定，凡是直接引用法律法规或监管规则的部分，如将来法律法规或监管规则修改导致相关内容被取消或变更的，或将来法律法规或监管规则针对</w:t>
      </w:r>
      <w:proofErr w:type="gramStart"/>
      <w:r>
        <w:rPr>
          <w:rFonts w:ascii="宋体" w:hAnsi="宋体" w:cs="宋体"/>
          <w:kern w:val="0"/>
          <w:sz w:val="24"/>
          <w:szCs w:val="24"/>
        </w:rPr>
        <w:t>侧袋机制</w:t>
      </w:r>
      <w:proofErr w:type="gramEnd"/>
      <w:r>
        <w:rPr>
          <w:rFonts w:ascii="宋体" w:hAnsi="宋体" w:cs="宋体"/>
          <w:kern w:val="0"/>
          <w:sz w:val="24"/>
          <w:szCs w:val="24"/>
        </w:rPr>
        <w:t>的内容有进一步规定的，基金管理人经与基金托管人协商一致并履行适当程序后，可直接对本部分内容进行修改和调整，无需召开基金份额持有人大会审议。</w:t>
      </w:r>
      <w:r>
        <w:rPr>
          <w:rFonts w:ascii="宋体" w:hAnsi="宋体" w:cs="宋体"/>
          <w:kern w:val="0"/>
          <w:sz w:val="24"/>
          <w:szCs w:val="24"/>
        </w:rPr>
        <w:br w:type="page"/>
      </w:r>
    </w:p>
    <w:p w:rsidR="008333A9" w:rsidRDefault="0002249C">
      <w:pPr>
        <w:pStyle w:val="1"/>
        <w:spacing w:before="0" w:after="0"/>
        <w:jc w:val="center"/>
        <w:rPr>
          <w:rFonts w:ascii="Times New Roman"/>
          <w:color w:val="auto"/>
          <w:sz w:val="30"/>
        </w:rPr>
      </w:pPr>
      <w:bookmarkStart w:id="52" w:name="_Toc256000017"/>
      <w:r>
        <w:rPr>
          <w:rFonts w:ascii="Times New Roman"/>
          <w:color w:val="auto"/>
          <w:sz w:val="30"/>
        </w:rPr>
        <w:lastRenderedPageBreak/>
        <w:t>第十八部分</w:t>
      </w:r>
      <w:r>
        <w:rPr>
          <w:rFonts w:ascii="Times New Roman"/>
          <w:color w:val="auto"/>
          <w:sz w:val="30"/>
        </w:rPr>
        <w:t xml:space="preserve">  </w:t>
      </w:r>
      <w:r>
        <w:rPr>
          <w:rFonts w:ascii="Times New Roman"/>
          <w:color w:val="auto"/>
          <w:sz w:val="30"/>
        </w:rPr>
        <w:t>基金合同的变更、终止与基金财产的清算</w:t>
      </w:r>
      <w:bookmarkEnd w:id="52"/>
    </w:p>
    <w:p w:rsidR="008333A9" w:rsidRDefault="008333A9"/>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一、《基金合同》的变更</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1、变更基金合同涉及法律法规规定或基金合同约定应经基金份额持有人大会决议通过的事项的，应召</w:t>
      </w:r>
      <w:proofErr w:type="gramStart"/>
      <w:r>
        <w:rPr>
          <w:rFonts w:ascii="宋体" w:hAnsi="宋体" w:cs="宋体"/>
          <w:kern w:val="0"/>
          <w:sz w:val="24"/>
          <w:szCs w:val="24"/>
        </w:rPr>
        <w:t>开基金</w:t>
      </w:r>
      <w:proofErr w:type="gramEnd"/>
      <w:r>
        <w:rPr>
          <w:rFonts w:ascii="宋体" w:hAnsi="宋体" w:cs="宋体"/>
          <w:kern w:val="0"/>
          <w:sz w:val="24"/>
          <w:szCs w:val="24"/>
        </w:rPr>
        <w:t>份额持有人大会决议通过。对于法律法规规定和基金合同约定可不经基金份额持有人大会决议通过的事项，由基金管理人和基金托管人同意后变更并公告。</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2、关于《基金合同》变更的基金份额持有人大会决议自生效后方可执行，</w:t>
      </w:r>
      <w:proofErr w:type="gramStart"/>
      <w:r>
        <w:rPr>
          <w:rFonts w:ascii="宋体" w:hAnsi="宋体" w:cs="宋体"/>
          <w:kern w:val="0"/>
          <w:sz w:val="24"/>
          <w:szCs w:val="24"/>
        </w:rPr>
        <w:t>自决议</w:t>
      </w:r>
      <w:proofErr w:type="gramEnd"/>
      <w:r>
        <w:rPr>
          <w:rFonts w:ascii="宋体" w:hAnsi="宋体" w:cs="宋体"/>
          <w:kern w:val="0"/>
          <w:sz w:val="24"/>
          <w:szCs w:val="24"/>
        </w:rPr>
        <w:t>生效后两日内在规定媒介公告。</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二、《基金合同》的终止事由</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有下列情形之一的，经履行相关程序后，《基金合同》应当终止：</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1、基金份额持有人大会决定终止的；</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2、基金管理人、基金托管人职责终止，在6个月内没有新基金管理人、新基金托管人承接的；</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3、基金合同生效满三年之日（指自然日），</w:t>
      </w:r>
      <w:proofErr w:type="gramStart"/>
      <w:r>
        <w:rPr>
          <w:rFonts w:ascii="宋体" w:hAnsi="宋体" w:cs="宋体"/>
          <w:kern w:val="0"/>
          <w:sz w:val="24"/>
          <w:szCs w:val="24"/>
        </w:rPr>
        <w:t>若基金</w:t>
      </w:r>
      <w:proofErr w:type="gramEnd"/>
      <w:r>
        <w:rPr>
          <w:rFonts w:ascii="宋体" w:hAnsi="宋体" w:cs="宋体"/>
          <w:kern w:val="0"/>
          <w:sz w:val="24"/>
          <w:szCs w:val="24"/>
        </w:rPr>
        <w:t>资产净值低于2亿元人民币的；</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4、《基金合同》约定的其他情形；</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5、相关法律法规和中国证监会规定的其他情况。</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三、基金财产的清算</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1、基金财产清算小组：自出现《基金合同》终止事由之日起30个工作日内成立清算小组，基金管理人组织基金财产清算小组并在中国证监会的监督下进行基金清算。</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基金财产清算小组组成：基金财产清算小组成员由基金管理人、基金托管人、符合《中华人民共和国证券法》规定的注册会计师、律师以及中国证监会指定的人员组成。基金财产清算小组可以聘用必要的工作人员。</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3、基金财产清算小组职责：基金财产清算小组负责基金财产的保管、清理、估价、变现和分配。基金财产清算小组可以依法进行必要的民事活动。</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4、基金财产清算程序：</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（1）《基金合同》终止情形出现时，由基金财产清算小组统一接管基金；</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（2）对基金财产和债权债务进行清理和确认；</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（3）对基金财产进行估值和变现；</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（4）制作清算报告；</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（5）聘请符合《中华人民共和国证券法》规定的会计师事务所对清算报告进行外部审计，聘请律师事务所对清算报告出具法律意见书；</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（6）将清算报告报中国证监会备案并公告；</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（7）对基金剩余财产进行分配。</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5、基金财产清算的期限为6个月，但因本基金所持证券的流动性受到限制而不能及时变现的，清算期限相应顺延。</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四、清算费用</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清算费用是指基金财产清算小组在进行基金财产清算过程中发生的所有合理费用，清算费用由基金财产清算小组优先从基金剩余财产中支付。</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五、基金财产清算剩余资产的分配</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依据基金财产清算的分配方案，将基金财产清算后的全部剩余资产扣除基金财产清算费用、交纳所欠税款并清偿基金债务后，按基金份额持有人持有的基金份额比例进行分配。</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六、基金财产清算的公告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清算过程中的有关重大事项须及时公告；基金财产清算报告</w:t>
      </w:r>
      <w:proofErr w:type="gramStart"/>
      <w:r>
        <w:rPr>
          <w:rFonts w:ascii="宋体" w:hAnsi="宋体" w:cs="宋体"/>
          <w:kern w:val="0"/>
          <w:sz w:val="24"/>
          <w:szCs w:val="24"/>
        </w:rPr>
        <w:t>经符合</w:t>
      </w:r>
      <w:proofErr w:type="gramEnd"/>
      <w:r>
        <w:rPr>
          <w:rFonts w:ascii="宋体" w:hAnsi="宋体" w:cs="宋体"/>
          <w:kern w:val="0"/>
          <w:sz w:val="24"/>
          <w:szCs w:val="24"/>
        </w:rPr>
        <w:t>《中华人民共和国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七、基金财产清算账册及文件的保存</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基金财产清算账册及有关文件由基金托管人保存，保存期限不少于法定最低期限。</w:t>
      </w:r>
      <w:r>
        <w:rPr>
          <w:rFonts w:ascii="宋体" w:hAnsi="宋体" w:cs="宋体"/>
          <w:kern w:val="0"/>
          <w:sz w:val="24"/>
          <w:szCs w:val="24"/>
        </w:rPr>
        <w:br w:type="page"/>
      </w:r>
    </w:p>
    <w:p w:rsidR="008333A9" w:rsidRDefault="0002249C">
      <w:pPr>
        <w:pStyle w:val="1"/>
        <w:spacing w:before="0" w:after="0"/>
        <w:jc w:val="center"/>
        <w:rPr>
          <w:rFonts w:ascii="Times New Roman"/>
          <w:color w:val="auto"/>
          <w:sz w:val="30"/>
        </w:rPr>
      </w:pPr>
      <w:bookmarkStart w:id="53" w:name="_Toc256000018"/>
      <w:r>
        <w:rPr>
          <w:rFonts w:ascii="Times New Roman"/>
          <w:color w:val="auto"/>
          <w:sz w:val="30"/>
        </w:rPr>
        <w:lastRenderedPageBreak/>
        <w:t>第十九部分</w:t>
      </w:r>
      <w:r>
        <w:rPr>
          <w:rFonts w:ascii="Times New Roman"/>
          <w:color w:val="auto"/>
          <w:sz w:val="30"/>
        </w:rPr>
        <w:t xml:space="preserve">  </w:t>
      </w:r>
      <w:r>
        <w:rPr>
          <w:rFonts w:ascii="Times New Roman"/>
          <w:color w:val="auto"/>
          <w:sz w:val="30"/>
        </w:rPr>
        <w:t>基金合同的内容摘要</w:t>
      </w:r>
      <w:bookmarkEnd w:id="53"/>
    </w:p>
    <w:p w:rsidR="008333A9" w:rsidRDefault="008333A9"/>
    <w:p w:rsidR="008333A9" w:rsidRDefault="0002249C">
      <w:pPr>
        <w:pStyle w:val="2"/>
        <w:keepNext w:val="0"/>
        <w:keepLines w:val="0"/>
        <w:spacing w:before="0" w:after="0" w:line="360" w:lineRule="auto"/>
        <w:ind w:firstLine="420"/>
        <w:jc w:val="left"/>
        <w:rPr>
          <w:rFonts w:ascii="Times New Roman" w:eastAsia="Times New Roman" w:hAnsi="Times New Roman"/>
          <w:bCs/>
          <w:kern w:val="0"/>
          <w:sz w:val="24"/>
          <w:szCs w:val="24"/>
        </w:rPr>
      </w:pPr>
      <w:r>
        <w:rPr>
          <w:rFonts w:ascii="宋体" w:eastAsia="宋体" w:hAnsi="宋体" w:cs="宋体"/>
          <w:bCs/>
          <w:kern w:val="0"/>
          <w:sz w:val="24"/>
          <w:szCs w:val="24"/>
        </w:rPr>
        <w:t>一、基金合同当事人的权利、义务</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（一）基金管理人的权利与义务</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1、根据《基金法》、《运作办法》及其他有关规定，基金管理人的权利包括但不限于：</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（1）依法募集资金；</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（2）自《基金合同》生效之日起，根据法律法规和《基金合同》独立运用并管理基金财产；</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（3）依照《基金合同》收取基金管理费以及法律法规规定或中国证监会批准的其他费用；</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（4）销售基金份额；</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（5）按照规定召集基金份额持有人大会；</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（6）依据《基金合同》及有关法律规定监督基金托管人，如认为基金托管人违反了《基金合同》及国家有关法律规定，应呈报中国证监会和其他监管部门，并采取必要措施保护基金投资者的利益；</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（7）在基金托管人更换时，提名新的基金托管人；</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（8）选择、更换基金销售机构，对基金销售机构的相关行为进行监督和处理；</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（9）担任或委托其他符合条件的机构担任基金登记机构办理基金登记业务并获得《基金合同》规定的费用；</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（10）依据《基金合同》及有关法律规定决定基金收益的分配方案；</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（11）在《基金合同》约定的范围内，拒绝或暂停受理申购与赎回申请；</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（12）依照法律法规为基金的利益对被投资公司行使股东权利，为基金的利益行使因基金财产投资于证券所产生的权利；</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（13）在法律法规允许的前提下，为基金的利益依法为基金进行融资；</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（14）以基金管理人的名义，代表基金份额持有人的利益行使诉讼权利或者实施其他法律行为；</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（15）选择、更换律师事务所、会计师事务所、证券经纪商、期货经纪机构</w:t>
      </w:r>
      <w:r>
        <w:rPr>
          <w:rFonts w:ascii="宋体" w:hAnsi="宋体" w:cs="宋体"/>
          <w:kern w:val="0"/>
          <w:sz w:val="24"/>
          <w:szCs w:val="24"/>
        </w:rPr>
        <w:lastRenderedPageBreak/>
        <w:t>或其他为基金提供服务的外部机构；</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（16）在符合有关法律、法规的前提下，制订和调整有关基金认购、申购、赎回、转换、定期定额投资、转托管和</w:t>
      </w:r>
      <w:proofErr w:type="gramStart"/>
      <w:r>
        <w:rPr>
          <w:rFonts w:ascii="宋体" w:hAnsi="宋体" w:cs="宋体"/>
          <w:kern w:val="0"/>
          <w:sz w:val="24"/>
          <w:szCs w:val="24"/>
        </w:rPr>
        <w:t>非交易</w:t>
      </w:r>
      <w:proofErr w:type="gramEnd"/>
      <w:r>
        <w:rPr>
          <w:rFonts w:ascii="宋体" w:hAnsi="宋体" w:cs="宋体"/>
          <w:kern w:val="0"/>
          <w:sz w:val="24"/>
          <w:szCs w:val="24"/>
        </w:rPr>
        <w:t>过户等业务规则；</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（17）在法律法规和基金合同规定的范围内决定调整基金费率结构和收费方式；</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（18）法律法规及中国证监会规定的和《基金合同》约定的其他权利。</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2、根据《基金法》、《运作办法》及其他有关规定，基金管理人的义务包括但不限于：</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（1）依法募集资金，办理或者委托经中国证监会认定的其他机构代为办理基金份额的发售、申购、赎回和登记事宜；</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（2）办理基金备案手续；</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（3）自《基金合同》生效之日起，以诚实信用、谨慎勤勉的原则管理和运用基金财产；</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（4）配备足够的具有专业资格的人员进行基金投资分析、决策，以专业化的经营方式管理和运作基金财产；</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（5）建立健全内部风险控制、监察与稽核、财务管理及人事管理等制度，保证所管理的基金财产和基金管理人的财产相互独立，对所管理的不同基金分别管理，分别记账，进行证券投资；</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（6）除依据《基金法》、《基金合同》及其他有关规定外，不得利用基金财产为自己及任何第三人谋取利益，不得委托第三人运作基金财产；</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（7）依法接受基金托管人的监督；</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（8）采取适当合理的措施使计算基金份额认购、申购、赎回和注销价格的方法符合《基金合同》等法律文件的规定，按有关规定计算并公告基金净值信息，确定基金份额申购、赎回的价格；</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（9）进行基金会计核算并编制基金财务会计报告；</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（10）编制季度报告、中期报告和年度报告；</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（11）严格按照《基金法》、《基金合同》及其他有关规定，履行信息披露及报告义务；</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（12）保守基金商业秘密，不泄露基金投资计划、投资意向等。除《基金法》、</w:t>
      </w:r>
      <w:r>
        <w:rPr>
          <w:rFonts w:ascii="宋体" w:hAnsi="宋体" w:cs="宋体"/>
          <w:kern w:val="0"/>
          <w:sz w:val="24"/>
          <w:szCs w:val="24"/>
        </w:rPr>
        <w:lastRenderedPageBreak/>
        <w:t>《基金合同》及其他有关规定另有规定外，在基金信息公开披露前应予保密，不向他人泄露，但应监管机构、司法机关等有权机关的要求，或因审计、法律等外部专业顾问提供服务需要提供的情况除外；</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（13）按《基金合同》的约定确定基金收益分配方案，及时向基金份额持有人分配基金收益；</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（14）按规定受理申购与赎回申请，及时、足额支付赎回款项；</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（15）依据《基金法》、《基金合同》及其他有关规定召集基金份额持有人大会或配合基金托管人、基金份额持有人依法召集基金份额持有人大会；</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（16）按规定保存基金财产管理业务活动的会计账册、报表、记录和其他相关资料不少于法定最低期限；</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（18）组织并参加基金财产清算小组，参与基金财产的保管、清理、估价、变现和分配；</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（19）面临解散、依法被撤销或者被依法宣告破产时，及时报告中国证监会并通知基金托管人；</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（20）因违反《基金合同》导致基金财产的损失或损害基金份额持有人合法权益时，应当承担赔偿责任，其赔偿责任不因其退任而免除；</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（21）监督基金托管人按法律法规和《基金合同》规定履行自己的义务，基金托管人违反《基金合同》造成基金财产损失时，基金管理人应为基金份额持有人利益向基金托管人追偿；</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（22）当基金管理人将其义务委托第三方处理时，应当对第三方处理有关基金事务的行为承担责任；</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（23）以基金管理人名义，代表基金份额持有人利益行使诉讼权利或实施其他法律行为；</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（24）基金管理人在募集期间未能达到基金的备案条件，《基金合同》不能生效，基金管理人承担全部募集费用，将已募集资金并加计银行同期活期存款利息在基金募集期结束后30日内退还基金认购人；</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（25）执行生效的基金份额持有人大会的决议；</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（26）建立并保存基金份额持有人名册；</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（27）法律法规及中国证监会规定的和《基金合同》约定的其他义务。</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（二）基金托管人的权利与义务</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1、根据《基金法》、《运作办法》及其他有关规定，基金托管人的权利包括但不限于：</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（1）自《基金合同》生效之日起，依法</w:t>
      </w:r>
      <w:proofErr w:type="gramStart"/>
      <w:r>
        <w:rPr>
          <w:rFonts w:ascii="宋体" w:hAnsi="宋体" w:cs="宋体"/>
          <w:kern w:val="0"/>
          <w:sz w:val="24"/>
          <w:szCs w:val="24"/>
        </w:rPr>
        <w:t>律法规</w:t>
      </w:r>
      <w:proofErr w:type="gramEnd"/>
      <w:r>
        <w:rPr>
          <w:rFonts w:ascii="宋体" w:hAnsi="宋体" w:cs="宋体"/>
          <w:kern w:val="0"/>
          <w:sz w:val="24"/>
          <w:szCs w:val="24"/>
        </w:rPr>
        <w:t>和《基金合同》的规定安全保管基金财产；</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（2）依《基金合同》约定获得基金托管费以及法律法规规定或监管部门批准的其他费用；</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（4）根据相关市场规则，为基金开设资金账户和证券账户等投资所需账户，为基金办理证券、期货交易资金清算；</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（5）提议召开或召集基金份额持有人大会；</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（6）在基金管理人更换时，提名新的基金管理人；</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（7）法律法规及中国证监会规定的和《基金合同》约定的其他权利。</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2、根据《基金法》、《运作办法》及其他有关规定，基金托管人的义务包括但不限于：</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（1）以诚实信用、勤勉尽责的原则持有并安全保管基金财产；</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（2）设立专门的基金托管部门，具有符合要求的营业场所，配备足够的、合格的熟悉基金托管业务的专职人员，负责基金财产托管事宜；</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（4）除依据《基金法》、《基金合同》及其他有关规定外，不得利用基金财产为自己及任何第三人谋取利益，不得委托第三人托管基金财产；</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（5）保管由基金管理人代表基金签订的与基金有关的重大合同及有关凭证；</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（6）按规定开设基金财产的资金账户和证券账户等投资所需账户，按照《基金合同》的约定，根据基金管理人的投资指令，及时办理清算、交割事宜；</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7）保守基金商业秘密，除《基金法》、《基金合同》及其他有关规定另有规定外，在基金信息公开披露前予以保密，不得向他人泄露，但应监管机构、司法机关等有权机关的要求，或因审计、法律等外部专业顾问提供服务需要提供的情况除外；</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（8）复核、审查基金管理人计算的基金资产净值、各类基金份额净值、基金份额申购、赎回价格；</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（9）办理与基金托管业务活动有关的信息披露事项；</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（11）保存基金托管业务活动的记录、账册、报表和其他相关资料不少于法定最低期限；</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（12）建立并保存基金份额持有人名册；</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（13）按规定制作相关账册并与基金管理人核对；</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（14）依据基金管理人的指令或有关规定向基金份额持有人支付基金收益和赎回款项；</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（15）依据《基金法》、《基金合同》及其他有关规定，召集基金份额持有人大会或配合基金管理人、基金份额持有人依法召集基金份额持有人大会；</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（16）按照法律法规和《基金合同》的规定监督基金管理人的投资运作；</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（17）参加基金财产清算小组，参与基金财产的保管、清理、估价、变现和分配；</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（18）面临解散、依法被撤销或者被依法宣告破产时，及时报告中国证监会和银行业监督管理机构，并通知基金管理人；</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（19）因违反《基金合同》导致基金财产损失时，应承担赔偿责任，其赔偿责任不因其退任而免除；</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（20）按规定监督基金管理人按法律法规和《基金合同》规定履行自己的义务，基金管理人因违反《基金合同》造成基金财产损失时，应为基金份额持有人利益向基金管理人追偿；</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（21）执行生效的基金份额持有人大会的决议；</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（22）法律法规及中国证监会规定的和《基金合同》约定的其他义务。</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（三）基金份额持有人的权利和义务</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基金投资者持有本</w:t>
      </w:r>
      <w:proofErr w:type="gramStart"/>
      <w:r>
        <w:rPr>
          <w:rFonts w:ascii="宋体" w:hAnsi="宋体" w:cs="宋体"/>
          <w:kern w:val="0"/>
          <w:sz w:val="24"/>
          <w:szCs w:val="24"/>
        </w:rPr>
        <w:t>基金基金</w:t>
      </w:r>
      <w:proofErr w:type="gramEnd"/>
      <w:r>
        <w:rPr>
          <w:rFonts w:ascii="宋体" w:hAnsi="宋体" w:cs="宋体"/>
          <w:kern w:val="0"/>
          <w:sz w:val="24"/>
          <w:szCs w:val="24"/>
        </w:rPr>
        <w:t>份额的行为即视为对《基金合同》的承认和接受，基金投资者</w:t>
      </w:r>
      <w:proofErr w:type="gramStart"/>
      <w:r>
        <w:rPr>
          <w:rFonts w:ascii="宋体" w:hAnsi="宋体" w:cs="宋体"/>
          <w:kern w:val="0"/>
          <w:sz w:val="24"/>
          <w:szCs w:val="24"/>
        </w:rPr>
        <w:t>自依据</w:t>
      </w:r>
      <w:proofErr w:type="gramEnd"/>
      <w:r>
        <w:rPr>
          <w:rFonts w:ascii="宋体" w:hAnsi="宋体" w:cs="宋体"/>
          <w:kern w:val="0"/>
          <w:sz w:val="24"/>
          <w:szCs w:val="24"/>
        </w:rPr>
        <w:t>《基金合同》取得基金份额，即成为本基金份额持有人和《基金合同》的当事人，直至其不再持有本基金的基金份额。基金份额持有人作为《基金合同》当事人并不以在《基金合同》上书面签章或签字为必要条件。</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同一类别内每份基金份额具有同等的合法权益。</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1、根据《基金法》、《运作办法》及其他有关规定，基金份额持有人的权利包括但不限于：</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（1）分享基金财产收益；</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（2）参与分配清算后的剩余基金财产；</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（3）依法转让或者申请赎回其持有的基金份额；</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（4）按照规定要求召开基金份额持有人大会或者召集基金份额持有人大会；</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（5）出席或者委派代表出席基金份额持有人大会，对基金份额持有人大会审议事项行使表决权；</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（6）查阅或者复制公开披露的基金信息资料；</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（7）监督基金管理人的投资运作；</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（8）对基金管理人、基金托管人、基金服务机构损害其合法权益的行为依法提起诉讼或仲裁；</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（9）法律法规及中国证监会规定的和《基金合同》约定的其他权利。</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2、根据《基金法》、《运作办法》及其他有关规定，基金份额持有人的义务包括但不限于：</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（1）认真阅读并遵守《基金合同》、《招募说明书》等信息披露文件；</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（2）了解所投资基金产品，了解自身风险承受能力，自主判断基金的投资价值，自主做出投资决策，自行承担投资风险；</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（3）关注基金信息披露，及时行使权利和履行义务；</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（4）交纳基金认购、申购款项及法律法规和《基金合同》所规定的费用；</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（5）在其持有的基金份额范围内，承担基金亏损或者《基金合同》终止的有限责任；</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（6）不从事任何有损基金及其他《基金合同》当事人合法权益的活动；</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（7）执行生效的基金份额持有人大会的决议；</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（8）返还在基金交易过程中因任何原因获得的不当得利；</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（9）发起资金提供方持有认购的基金份额不少于3年；</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（10）提供基金管理人和监管机构依法要求提供的信息，以及不时的更新和补充，并保证其真实性；</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（11）遵守基金管理人、基金托管人、销售机构和登记机构的相关交易及业务规则；</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（12）法律法规及中国证监会规定的和《基金合同》约定的其他义务。</w:t>
      </w:r>
    </w:p>
    <w:p w:rsidR="008333A9" w:rsidRDefault="0002249C">
      <w:pPr>
        <w:pStyle w:val="2"/>
        <w:keepNext w:val="0"/>
        <w:keepLines w:val="0"/>
        <w:spacing w:before="0" w:after="0" w:line="360" w:lineRule="auto"/>
        <w:ind w:firstLine="420"/>
        <w:jc w:val="left"/>
        <w:rPr>
          <w:rFonts w:ascii="Times New Roman" w:eastAsia="Times New Roman" w:hAnsi="Times New Roman"/>
          <w:bCs/>
          <w:kern w:val="0"/>
          <w:sz w:val="24"/>
          <w:szCs w:val="24"/>
        </w:rPr>
      </w:pPr>
      <w:r>
        <w:rPr>
          <w:rFonts w:ascii="宋体" w:eastAsia="宋体" w:hAnsi="宋体" w:cs="宋体"/>
          <w:bCs/>
          <w:kern w:val="0"/>
          <w:sz w:val="24"/>
          <w:szCs w:val="24"/>
        </w:rPr>
        <w:t>二、基金份额持有人大会召集、议事及表决的程序和规则</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基金份额持有人大会由基金份额持有人组成，基金份额持有人的合法授权代表有权代表基金份额持有人出席会议并表决。基金份额持有人持有的每一基金份额拥有平等的投票权。</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本基金份额持有人大会不设日常机构。</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（一）召开事由</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1、当出现或需要决定下列事由之一的，应当召开基金份额持有人大会，法律法规、中国证监会另有规定</w:t>
      </w:r>
      <w:r>
        <w:rPr>
          <w:rFonts w:ascii="宋体" w:hAnsi="宋体" w:cs="宋体" w:hint="eastAsia"/>
          <w:kern w:val="0"/>
          <w:sz w:val="24"/>
          <w:szCs w:val="24"/>
        </w:rPr>
        <w:t>的除外</w:t>
      </w:r>
      <w:r>
        <w:rPr>
          <w:rFonts w:ascii="宋体" w:hAnsi="宋体" w:cs="宋体"/>
          <w:kern w:val="0"/>
          <w:sz w:val="24"/>
          <w:szCs w:val="24"/>
        </w:rPr>
        <w:t>：</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（1）终止《基金合同》，《基金合同》另有约定的除外；</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（2）更换基金管理人；</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（3）更换基金托管人；</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（4）转换基金运作方式；</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（5）调整基金管理人、基金托管人的报酬标准或提高销售服务费率；</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（6）变更基金类别；</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（7）本基金与其他基金的合并；</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（8）变更基金投资目标、范围或策略；</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（9）变更基金份额持有人大会程序；</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（10）基金管理人或基金托管人要求召开基金份额持有人大会；</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（11）单独或合计持有本基金总份额10%以上（含10%）基金份额的基金份额持有人（以基金管理人收到提议当日的基金份额计算，下同）就同一事项书面要求召开基金份额持有人大会；</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（12）对基金合同当事人权利和义务产生重大影响的其他事项；</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（13）法律法规、《基金合同》或中国证监会规定的其他应当召开基金份额持有人大会的事项。</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2、在法律法规规定和《基金合同》约定的范围内且对基金份额持有人利益无实质性不利影响的前提下，以下情况可由基金管理人和基金托管人协商后修改，不需召开基金份额持有人大会：</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（1）法律法规要求增加的基金费用的收取；</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（2）调整本基金的申购费率、调低销售服务费率或变更收费方式；</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（3）增加、减少或调整基金份额类别设置或者调整基金份额分类办法及规则等；</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w:t>
      </w:r>
      <w:proofErr w:type="gramStart"/>
      <w:r>
        <w:rPr>
          <w:rFonts w:ascii="宋体" w:hAnsi="宋体" w:cs="宋体"/>
          <w:kern w:val="0"/>
          <w:sz w:val="24"/>
          <w:szCs w:val="24"/>
        </w:rPr>
        <w:t>因相应</w:t>
      </w:r>
      <w:proofErr w:type="gramEnd"/>
      <w:r>
        <w:rPr>
          <w:rFonts w:ascii="宋体" w:hAnsi="宋体" w:cs="宋体"/>
          <w:kern w:val="0"/>
          <w:sz w:val="24"/>
          <w:szCs w:val="24"/>
        </w:rPr>
        <w:t>的法律法规发生变动而应当对《基金合同》进行修改；</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（5）基金管理人和基金登记机构等调整或修改《业务规则》，包括但不限于有关基金认购、申购、赎回、转换、</w:t>
      </w:r>
      <w:proofErr w:type="gramStart"/>
      <w:r>
        <w:rPr>
          <w:rFonts w:ascii="宋体" w:hAnsi="宋体" w:cs="宋体"/>
          <w:kern w:val="0"/>
          <w:sz w:val="24"/>
          <w:szCs w:val="24"/>
        </w:rPr>
        <w:t>非交易</w:t>
      </w:r>
      <w:proofErr w:type="gramEnd"/>
      <w:r>
        <w:rPr>
          <w:rFonts w:ascii="宋体" w:hAnsi="宋体" w:cs="宋体"/>
          <w:kern w:val="0"/>
          <w:sz w:val="24"/>
          <w:szCs w:val="24"/>
        </w:rPr>
        <w:t>过户、转托管等内容；</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（6）对《基金合同》的修改对基金份额持有人利益无实质性不利影响或修改不涉及《基金合同》当事人权利义务关系发生重大变化；</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（7）在履行适当程序后，基金推出新业务或服务；</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（8）基金管理人调整基金收益分配原则；</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（9）按照法律法规和《基金合同》规定不需召开基金份额持有人大会的其他情形。</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（二）会议召集人及召集方式</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1、除法律法规规定或《基金合同》另有约定外，基金份额持有人大会由基金管理人召集。</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2、基金管理人未按规定召集或不能召集时，由基金托管人召集。</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3、基金托管人认为有必要召开基金份额持有人大会的，应当向基金管理人</w:t>
      </w:r>
      <w:r>
        <w:rPr>
          <w:rFonts w:ascii="宋体" w:hAnsi="宋体" w:cs="宋体"/>
          <w:kern w:val="0"/>
          <w:sz w:val="24"/>
          <w:szCs w:val="24"/>
        </w:rPr>
        <w:lastRenderedPageBreak/>
        <w:t>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6、基金份额持有人会议的召集人负责选择确定开会时间、地点、方式和权益登记日。</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（三）召开基金份额持有人大会的通知时间、通知内容、通知方式</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1、召开基金份额持有人大会，召集人应于会议召开前30日，在规定媒介公告。基金份额持有人大会通知应至少载明以下内容：</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（1）会议召开的时间、地点和会议形式；</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（2）会议</w:t>
      </w:r>
      <w:proofErr w:type="gramStart"/>
      <w:r>
        <w:rPr>
          <w:rFonts w:ascii="宋体" w:hAnsi="宋体" w:cs="宋体"/>
          <w:kern w:val="0"/>
          <w:sz w:val="24"/>
          <w:szCs w:val="24"/>
        </w:rPr>
        <w:t>拟审议</w:t>
      </w:r>
      <w:proofErr w:type="gramEnd"/>
      <w:r>
        <w:rPr>
          <w:rFonts w:ascii="宋体" w:hAnsi="宋体" w:cs="宋体"/>
          <w:kern w:val="0"/>
          <w:sz w:val="24"/>
          <w:szCs w:val="24"/>
        </w:rPr>
        <w:t>的事项、议事程序和表决方式；</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（3）有权出席基金份额持有人大会的基金份额持有人的权益登记日；</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（4）授权委托证明的内容要求（包括但不限于代理人身份，代理权限和代理有效期限等）、送达时间和地点；</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（5）会务常设联系人姓名及联系电话；</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（6）出席会议者必须准备的文件和必须履行的手续；</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（7）召集人需要通知的其他事项。</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Pr>
          <w:rFonts w:ascii="宋体" w:hAnsi="宋体" w:cs="宋体"/>
          <w:kern w:val="0"/>
          <w:sz w:val="24"/>
          <w:szCs w:val="24"/>
        </w:rPr>
        <w:t>拒不派</w:t>
      </w:r>
      <w:proofErr w:type="gramEnd"/>
      <w:r>
        <w:rPr>
          <w:rFonts w:ascii="宋体" w:hAnsi="宋体" w:cs="宋体"/>
          <w:kern w:val="0"/>
          <w:sz w:val="24"/>
          <w:szCs w:val="24"/>
        </w:rPr>
        <w:t>代表对表决意见的计票进行监督的，不影响表决意见的计票效力。</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（四）基金份额持有人出席会议的方式</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基金份额持有人大会可通过现场开会方式、通讯开会方式或法律法规、监管机构允许的其他方式召开，会议的召开方式由会议召集人确定。</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w:t>
      </w:r>
      <w:r>
        <w:rPr>
          <w:rFonts w:ascii="宋体" w:hAnsi="宋体" w:cs="宋体"/>
          <w:kern w:val="0"/>
          <w:sz w:val="24"/>
          <w:szCs w:val="24"/>
        </w:rPr>
        <w:lastRenderedPageBreak/>
        <w:t>本基金在权益登记日基金总份额的三分之一（含三分之一）。</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2、通讯开会。通讯开会系指基金份额持有人将其对表决事项的投票以书面形式</w:t>
      </w:r>
      <w:proofErr w:type="gramStart"/>
      <w:r>
        <w:rPr>
          <w:rFonts w:ascii="宋体" w:hAnsi="宋体" w:cs="宋体"/>
          <w:kern w:val="0"/>
          <w:sz w:val="24"/>
          <w:szCs w:val="24"/>
        </w:rPr>
        <w:t>或大会</w:t>
      </w:r>
      <w:proofErr w:type="gramEnd"/>
      <w:r>
        <w:rPr>
          <w:rFonts w:ascii="宋体" w:hAnsi="宋体" w:cs="宋体"/>
          <w:kern w:val="0"/>
          <w:sz w:val="24"/>
          <w:szCs w:val="24"/>
        </w:rPr>
        <w:t>公告载明的其他方式在表决截止日以前送达至召集人指定的地址或系统。通讯开会应以书面方式</w:t>
      </w:r>
      <w:proofErr w:type="gramStart"/>
      <w:r>
        <w:rPr>
          <w:rFonts w:ascii="宋体" w:hAnsi="宋体" w:cs="宋体"/>
          <w:kern w:val="0"/>
          <w:sz w:val="24"/>
          <w:szCs w:val="24"/>
        </w:rPr>
        <w:t>或大会</w:t>
      </w:r>
      <w:proofErr w:type="gramEnd"/>
      <w:r>
        <w:rPr>
          <w:rFonts w:ascii="宋体" w:hAnsi="宋体" w:cs="宋体"/>
          <w:kern w:val="0"/>
          <w:sz w:val="24"/>
          <w:szCs w:val="24"/>
        </w:rPr>
        <w:t>公告载明的其他方式进行表决。</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在同时符合以下条件时，通讯开会的方式视为有效：</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（1）会议召集人按《基金合同》约定公布会议通知后，在2个工作日内连续公布相关提示性公告；</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人代表出具书面意见；</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4）上述第（3）项中直接出具书面意见的基金份额持有人或受托代表他人出具书面意见的代理人，同时提交的持有基金份额的凭证、受托出具书面意见的代理人出具的委托人持有基金份额的凭证及委托人的代理投票授权委托证明符合法律法规、《基金合同》和会议通知的规定，并与基金登记机构记录相符。</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在法律法规和监管机构允许的情况下，本基金亦可采用网络、电话、短信等其他非现场方式或者以非现场方式与现场方式结合的方式召开基金份额持有人大会，或者采用网络、电话、短信或其他方式授权他人代为出席会议并表决，会议程序比照现场开会和通讯方式开会的程序进行。</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（五）议事内容与程序</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1、议事内容及提案权</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基金份额持有人大会的召集人发出召集会议的通知后，对原有提案的修改应当在基金份额持有人大会召开前及时公告。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基金份额持有人大会不得对未事先公告的议事内容进行表决。</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2、议事程序</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（1）现场开会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在现场开会的方式下，首先由大会主持人按照下列第</w:t>
      </w:r>
      <w:r>
        <w:rPr>
          <w:rFonts w:ascii="宋体" w:hAnsi="宋体" w:cs="宋体" w:hint="eastAsia"/>
          <w:kern w:val="0"/>
          <w:sz w:val="24"/>
          <w:szCs w:val="24"/>
        </w:rPr>
        <w:t>（</w:t>
      </w:r>
      <w:r>
        <w:rPr>
          <w:rFonts w:ascii="宋体" w:hAnsi="宋体" w:cs="宋体"/>
          <w:kern w:val="0"/>
          <w:sz w:val="24"/>
          <w:szCs w:val="24"/>
        </w:rPr>
        <w:t>七</w:t>
      </w:r>
      <w:r>
        <w:rPr>
          <w:rFonts w:ascii="宋体" w:hAnsi="宋体" w:cs="宋体" w:hint="eastAsia"/>
          <w:kern w:val="0"/>
          <w:sz w:val="24"/>
          <w:szCs w:val="24"/>
        </w:rPr>
        <w:t>）</w:t>
      </w:r>
      <w:r>
        <w:rPr>
          <w:rFonts w:ascii="宋体" w:hAnsi="宋体" w:cs="宋体"/>
          <w:kern w:val="0"/>
          <w:sz w:val="24"/>
          <w:szCs w:val="24"/>
        </w:rPr>
        <w:t>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w:t>
      </w:r>
      <w:proofErr w:type="gramStart"/>
      <w:r>
        <w:rPr>
          <w:rFonts w:ascii="宋体" w:hAnsi="宋体" w:cs="宋体"/>
          <w:kern w:val="0"/>
          <w:sz w:val="24"/>
          <w:szCs w:val="24"/>
        </w:rPr>
        <w:t>作出</w:t>
      </w:r>
      <w:proofErr w:type="gramEnd"/>
      <w:r>
        <w:rPr>
          <w:rFonts w:ascii="宋体" w:hAnsi="宋体" w:cs="宋体"/>
          <w:kern w:val="0"/>
          <w:sz w:val="24"/>
          <w:szCs w:val="24"/>
        </w:rPr>
        <w:t>的决议的效力。</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会议召集人应当制作出席会议人员的签名册。签名</w:t>
      </w:r>
      <w:proofErr w:type="gramStart"/>
      <w:r>
        <w:rPr>
          <w:rFonts w:ascii="宋体" w:hAnsi="宋体" w:cs="宋体"/>
          <w:kern w:val="0"/>
          <w:sz w:val="24"/>
          <w:szCs w:val="24"/>
        </w:rPr>
        <w:t>册</w:t>
      </w:r>
      <w:proofErr w:type="gramEnd"/>
      <w:r>
        <w:rPr>
          <w:rFonts w:ascii="宋体" w:hAnsi="宋体" w:cs="宋体"/>
          <w:kern w:val="0"/>
          <w:sz w:val="24"/>
          <w:szCs w:val="24"/>
        </w:rPr>
        <w:t>载明参加会议人员姓名（或单位名称）、身份证明文件号码、持有或代表有表决权的基金份额、委托人姓名（或单位名称）和联系方式等事项。</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（2）通讯开会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在通讯开会的情况下，首先由召集人提前30日公布提案，在所通知的表决截止日期后2个工作日内在公证机关监督下由召集人统计全部有效表决，在公证机关监督下形成决议。</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（六）表决</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基金份额持有人所持每份基金份额有一票表决权。</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基金份额持有人大会决议分为一般决议和特别决议：</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1、一般决议，一般决议须经参加大会的基金份额持有人或其代理人所持表</w:t>
      </w:r>
      <w:r>
        <w:rPr>
          <w:rFonts w:ascii="宋体" w:hAnsi="宋体" w:cs="宋体"/>
          <w:kern w:val="0"/>
          <w:sz w:val="24"/>
          <w:szCs w:val="24"/>
        </w:rPr>
        <w:lastRenderedPageBreak/>
        <w:t>决权的二分之一以上（含二分之一）通过方为有效；除下列第2项所规定的须以特别决议通过事项以外的其他事项均以一般决议的方式通过。</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2、特别决议，特别决议应当经参加大会的基金份额持有人或其代理人所持表决权的三分之二以上（含三分之二）通过方可做出。</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除《基金合同》另有约定外，转换基金运作方式、更换基金管理人或者基金托管人、终止《基金合同》、本基金与其他基金合并以特别决议通过方为有效。</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基金份额持有人大会采取记名方式进行投票表决。</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基金份额持有人大会的各项提案或同一项提案内并列的各项议题应当分开审议、逐项表决。</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（七）计票</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1、现场开会</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如大会由基金管理人或基金托管人召集，基金份额持有人大会的主持人应当在会议开始后宣布在出席会议的基金份额持有人和代理人中选举一名基金份额持有人代表与大会召集人授权的一名监督员共同担任监票人；如大会由基金份额持有人自行召集</w:t>
      </w:r>
      <w:proofErr w:type="gramStart"/>
      <w:r>
        <w:rPr>
          <w:rFonts w:ascii="宋体" w:hAnsi="宋体" w:cs="宋体"/>
          <w:kern w:val="0"/>
          <w:sz w:val="24"/>
          <w:szCs w:val="24"/>
        </w:rPr>
        <w:t>或大会</w:t>
      </w:r>
      <w:proofErr w:type="gramEnd"/>
      <w:r>
        <w:rPr>
          <w:rFonts w:ascii="宋体" w:hAnsi="宋体" w:cs="宋体"/>
          <w:kern w:val="0"/>
          <w:sz w:val="24"/>
          <w:szCs w:val="24"/>
        </w:rPr>
        <w:t>虽然由基金管理人或基金托管人召集，但是基金管理人或基金托管人未出席大会的，基金份额持有人大会的主持人应当在会议开始后宣布在出席会议的基金份额持有人中选举两名基金份额持有人代表担任监票人。基金管理人或基金托管人不出席大会的，不影响计票的效力。</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（2）监票人应当在基金份额持有人表决后立即进行清点并由大会主持人当场公布计票结果。</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（3）如果会议主持人或基金份额持有人或代理人对于提交的表决结果有异议，可以在宣布表决结果后立即对所投票</w:t>
      </w:r>
      <w:proofErr w:type="gramStart"/>
      <w:r>
        <w:rPr>
          <w:rFonts w:ascii="宋体" w:hAnsi="宋体" w:cs="宋体"/>
          <w:kern w:val="0"/>
          <w:sz w:val="24"/>
          <w:szCs w:val="24"/>
        </w:rPr>
        <w:t>数要求</w:t>
      </w:r>
      <w:proofErr w:type="gramEnd"/>
      <w:r>
        <w:rPr>
          <w:rFonts w:ascii="宋体" w:hAnsi="宋体" w:cs="宋体"/>
          <w:kern w:val="0"/>
          <w:sz w:val="24"/>
          <w:szCs w:val="24"/>
        </w:rPr>
        <w:t>进行重新清点。监票人应当进行重新清点，重新清点以一次为限。重新清点后，大会主持人应当当场公布重新清点结果。</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（4）计票过程应由公证机关予以公证，基金管理人或基金托管人拒不出席大会的，不影响计票的效力。</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2、通讯开会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proofErr w:type="gramStart"/>
      <w:r>
        <w:rPr>
          <w:rFonts w:ascii="宋体" w:hAnsi="宋体" w:cs="宋体"/>
          <w:kern w:val="0"/>
          <w:sz w:val="24"/>
          <w:szCs w:val="24"/>
        </w:rPr>
        <w:t>人拒派</w:t>
      </w:r>
      <w:proofErr w:type="gramEnd"/>
      <w:r>
        <w:rPr>
          <w:rFonts w:ascii="宋体" w:hAnsi="宋体" w:cs="宋体"/>
          <w:kern w:val="0"/>
          <w:sz w:val="24"/>
          <w:szCs w:val="24"/>
        </w:rPr>
        <w:t>代表对书面表决意见的计票进行监督的，不影响计票和表决结果。</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（八）生效与公告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基金份额持有人大会的决议，召集人应当自通过之日起5日内报中国证监会备案。</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基金份额持有人大会的决议自表决通过之日起生效。</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基金份额持有人大会决议自生效之日起2日内在规定媒介上公告。如果采用通讯方式进行表决，在公告基金份额持有人大会决议时，必须将公证书全文、公证机构、公证员姓名等一同公告。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基金管理人、基金托管人和基金份额持有人应当执行生效的基金份额持有人大会的决议。生效的基金份额持有人大会决议对全体基金份额持有人、基金管理人、基金托管人均有约束力。</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（九）实施</w:t>
      </w:r>
      <w:proofErr w:type="gramStart"/>
      <w:r>
        <w:rPr>
          <w:rFonts w:ascii="宋体" w:hAnsi="宋体" w:cs="宋体"/>
          <w:kern w:val="0"/>
          <w:sz w:val="24"/>
          <w:szCs w:val="24"/>
        </w:rPr>
        <w:t>侧袋机制</w:t>
      </w:r>
      <w:proofErr w:type="gramEnd"/>
      <w:r>
        <w:rPr>
          <w:rFonts w:ascii="宋体" w:hAnsi="宋体" w:cs="宋体"/>
          <w:kern w:val="0"/>
          <w:sz w:val="24"/>
          <w:szCs w:val="24"/>
        </w:rPr>
        <w:t>期间基金份额持有人大会的特殊约定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若本基金</w:t>
      </w:r>
      <w:proofErr w:type="gramStart"/>
      <w:r>
        <w:rPr>
          <w:rFonts w:ascii="宋体" w:hAnsi="宋体" w:cs="宋体"/>
          <w:kern w:val="0"/>
          <w:sz w:val="24"/>
          <w:szCs w:val="24"/>
        </w:rPr>
        <w:t>实施侧袋机制</w:t>
      </w:r>
      <w:proofErr w:type="gramEnd"/>
      <w:r>
        <w:rPr>
          <w:rFonts w:ascii="宋体" w:hAnsi="宋体" w:cs="宋体"/>
          <w:kern w:val="0"/>
          <w:sz w:val="24"/>
          <w:szCs w:val="24"/>
        </w:rPr>
        <w:t>，</w:t>
      </w:r>
      <w:proofErr w:type="gramStart"/>
      <w:r>
        <w:rPr>
          <w:rFonts w:ascii="宋体" w:hAnsi="宋体" w:cs="宋体"/>
          <w:kern w:val="0"/>
          <w:sz w:val="24"/>
          <w:szCs w:val="24"/>
        </w:rPr>
        <w:t>则相关</w:t>
      </w:r>
      <w:proofErr w:type="gramEnd"/>
      <w:r>
        <w:rPr>
          <w:rFonts w:ascii="宋体" w:hAnsi="宋体" w:cs="宋体"/>
          <w:kern w:val="0"/>
          <w:sz w:val="24"/>
          <w:szCs w:val="24"/>
        </w:rPr>
        <w:t>基金份额或表决权的比例</w:t>
      </w:r>
      <w:proofErr w:type="gramStart"/>
      <w:r>
        <w:rPr>
          <w:rFonts w:ascii="宋体" w:hAnsi="宋体" w:cs="宋体"/>
          <w:kern w:val="0"/>
          <w:sz w:val="24"/>
          <w:szCs w:val="24"/>
        </w:rPr>
        <w:t>指主袋份额</w:t>
      </w:r>
      <w:proofErr w:type="gramEnd"/>
      <w:r>
        <w:rPr>
          <w:rFonts w:ascii="宋体" w:hAnsi="宋体" w:cs="宋体"/>
          <w:kern w:val="0"/>
          <w:sz w:val="24"/>
          <w:szCs w:val="24"/>
        </w:rPr>
        <w:t>持有</w:t>
      </w:r>
      <w:proofErr w:type="gramStart"/>
      <w:r>
        <w:rPr>
          <w:rFonts w:ascii="宋体" w:hAnsi="宋体" w:cs="宋体"/>
          <w:kern w:val="0"/>
          <w:sz w:val="24"/>
          <w:szCs w:val="24"/>
        </w:rPr>
        <w:t>人和侧袋份额</w:t>
      </w:r>
      <w:proofErr w:type="gramEnd"/>
      <w:r>
        <w:rPr>
          <w:rFonts w:ascii="宋体" w:hAnsi="宋体" w:cs="宋体"/>
          <w:kern w:val="0"/>
          <w:sz w:val="24"/>
          <w:szCs w:val="24"/>
        </w:rPr>
        <w:t>持有人分别持有或代表的基金份额或表决权符合该等比例，但</w:t>
      </w:r>
      <w:proofErr w:type="gramStart"/>
      <w:r>
        <w:rPr>
          <w:rFonts w:ascii="宋体" w:hAnsi="宋体" w:cs="宋体"/>
          <w:kern w:val="0"/>
          <w:sz w:val="24"/>
          <w:szCs w:val="24"/>
        </w:rPr>
        <w:t>若相关</w:t>
      </w:r>
      <w:proofErr w:type="gramEnd"/>
      <w:r>
        <w:rPr>
          <w:rFonts w:ascii="宋体" w:hAnsi="宋体" w:cs="宋体"/>
          <w:kern w:val="0"/>
          <w:sz w:val="24"/>
          <w:szCs w:val="24"/>
        </w:rPr>
        <w:t>基金份额持有人大会召集和审议事项不</w:t>
      </w:r>
      <w:proofErr w:type="gramStart"/>
      <w:r>
        <w:rPr>
          <w:rFonts w:ascii="宋体" w:hAnsi="宋体" w:cs="宋体"/>
          <w:kern w:val="0"/>
          <w:sz w:val="24"/>
          <w:szCs w:val="24"/>
        </w:rPr>
        <w:t>涉及侧袋账户</w:t>
      </w:r>
      <w:proofErr w:type="gramEnd"/>
      <w:r>
        <w:rPr>
          <w:rFonts w:ascii="宋体" w:hAnsi="宋体" w:cs="宋体"/>
          <w:kern w:val="0"/>
          <w:sz w:val="24"/>
          <w:szCs w:val="24"/>
        </w:rPr>
        <w:t>的，则仅</w:t>
      </w:r>
      <w:proofErr w:type="gramStart"/>
      <w:r>
        <w:rPr>
          <w:rFonts w:ascii="宋体" w:hAnsi="宋体" w:cs="宋体"/>
          <w:kern w:val="0"/>
          <w:sz w:val="24"/>
          <w:szCs w:val="24"/>
        </w:rPr>
        <w:t>指主袋份额</w:t>
      </w:r>
      <w:proofErr w:type="gramEnd"/>
      <w:r>
        <w:rPr>
          <w:rFonts w:ascii="宋体" w:hAnsi="宋体" w:cs="宋体"/>
          <w:kern w:val="0"/>
          <w:sz w:val="24"/>
          <w:szCs w:val="24"/>
        </w:rPr>
        <w:t>持有人持有或代表的基金份额或表决权符合该等比例：</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1、基金份额持有人行使提议权、召集权、提名权所需单独或合计代表相关基金份额10%以上（含10%）；</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2、现场开会的到会者在权益登记日代表的基金份额不少于本基金在权益登记</w:t>
      </w:r>
      <w:proofErr w:type="gramStart"/>
      <w:r>
        <w:rPr>
          <w:rFonts w:ascii="宋体" w:hAnsi="宋体" w:cs="宋体"/>
          <w:kern w:val="0"/>
          <w:sz w:val="24"/>
          <w:szCs w:val="24"/>
        </w:rPr>
        <w:t>日相关</w:t>
      </w:r>
      <w:proofErr w:type="gramEnd"/>
      <w:r>
        <w:rPr>
          <w:rFonts w:ascii="宋体" w:hAnsi="宋体" w:cs="宋体"/>
          <w:kern w:val="0"/>
          <w:sz w:val="24"/>
          <w:szCs w:val="24"/>
        </w:rPr>
        <w:t>基金份额的二分之一（含二分之一）；</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3、通讯开会的直接出具书面意见或授权他人代表出具书面意见的基金份额持有人所持有的基金份额不小于在权益登记</w:t>
      </w:r>
      <w:proofErr w:type="gramStart"/>
      <w:r>
        <w:rPr>
          <w:rFonts w:ascii="宋体" w:hAnsi="宋体" w:cs="宋体"/>
          <w:kern w:val="0"/>
          <w:sz w:val="24"/>
          <w:szCs w:val="24"/>
        </w:rPr>
        <w:t>日相关</w:t>
      </w:r>
      <w:proofErr w:type="gramEnd"/>
      <w:r>
        <w:rPr>
          <w:rFonts w:ascii="宋体" w:hAnsi="宋体" w:cs="宋体"/>
          <w:kern w:val="0"/>
          <w:sz w:val="24"/>
          <w:szCs w:val="24"/>
        </w:rPr>
        <w:t>基金份额的二分之一（含二分之一）；</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lastRenderedPageBreak/>
        <w:t>4、在参与基金份额持有人大会投票的基金份额持有人所持有的基金份额小于在权益登记</w:t>
      </w:r>
      <w:proofErr w:type="gramStart"/>
      <w:r>
        <w:rPr>
          <w:rFonts w:ascii="宋体" w:hAnsi="宋体" w:cs="宋体"/>
          <w:kern w:val="0"/>
          <w:sz w:val="24"/>
          <w:szCs w:val="24"/>
        </w:rPr>
        <w:t>日相关</w:t>
      </w:r>
      <w:proofErr w:type="gramEnd"/>
      <w:r>
        <w:rPr>
          <w:rFonts w:ascii="宋体" w:hAnsi="宋体" w:cs="宋体"/>
          <w:kern w:val="0"/>
          <w:sz w:val="24"/>
          <w:szCs w:val="24"/>
        </w:rPr>
        <w:t>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5、现场开会由出席大会的基金份额持有人和代理人所持表决权的50%以上（含50%）选举产生一名基金份额持有人作为该次基金份额持有人大会的主持人；</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6、一般决议须经参加大会的基金份额持有人或其代理人所持表决权的二分之一以上（含二分之一）通过；</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7、特别决议应当经参加大会的基金份额持有人或其代理人所持表决权的三分之二以上（含三分之二）通过。</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同</w:t>
      </w:r>
      <w:proofErr w:type="gramStart"/>
      <w:r>
        <w:rPr>
          <w:rFonts w:ascii="宋体" w:hAnsi="宋体" w:cs="宋体"/>
          <w:kern w:val="0"/>
          <w:sz w:val="24"/>
          <w:szCs w:val="24"/>
        </w:rPr>
        <w:t>一主侧袋账户</w:t>
      </w:r>
      <w:proofErr w:type="gramEnd"/>
      <w:r>
        <w:rPr>
          <w:rFonts w:ascii="宋体" w:hAnsi="宋体" w:cs="宋体"/>
          <w:kern w:val="0"/>
          <w:sz w:val="24"/>
          <w:szCs w:val="24"/>
        </w:rPr>
        <w:t>内的每份基金份额具有平等的表决权。</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（十）本部</w:t>
      </w:r>
      <w:proofErr w:type="gramStart"/>
      <w:r>
        <w:rPr>
          <w:rFonts w:ascii="宋体" w:hAnsi="宋体" w:cs="宋体"/>
          <w:kern w:val="0"/>
          <w:sz w:val="24"/>
          <w:szCs w:val="24"/>
        </w:rPr>
        <w:t>分关于</w:t>
      </w:r>
      <w:proofErr w:type="gramEnd"/>
      <w:r>
        <w:rPr>
          <w:rFonts w:ascii="宋体" w:hAnsi="宋体" w:cs="宋体"/>
          <w:kern w:val="0"/>
          <w:sz w:val="24"/>
          <w:szCs w:val="24"/>
        </w:rPr>
        <w:t>基金份额持有人大会召开事由、召开条件、议事程序、表决条件等规定，凡是直接引用法律法规或监管规则的部分，如将来法律法规或监管规则修改导致相关内容被取消或变更的，基金管理人经与基金托管人协商一致并提前公告后，可直接对本部分内容进行修改和调整，无需召开基金份额持有人大会审议。</w:t>
      </w:r>
    </w:p>
    <w:p w:rsidR="008333A9" w:rsidRDefault="0002249C">
      <w:pPr>
        <w:pStyle w:val="2"/>
        <w:keepNext w:val="0"/>
        <w:keepLines w:val="0"/>
        <w:spacing w:before="0" w:after="0" w:line="360" w:lineRule="auto"/>
        <w:ind w:firstLine="420"/>
        <w:jc w:val="left"/>
        <w:rPr>
          <w:rFonts w:ascii="Times New Roman" w:eastAsia="Times New Roman" w:hAnsi="Times New Roman"/>
          <w:bCs/>
          <w:kern w:val="0"/>
          <w:sz w:val="24"/>
          <w:szCs w:val="24"/>
        </w:rPr>
      </w:pPr>
      <w:r>
        <w:rPr>
          <w:rFonts w:ascii="宋体" w:eastAsia="宋体" w:hAnsi="宋体" w:cs="宋体"/>
          <w:bCs/>
          <w:kern w:val="0"/>
          <w:sz w:val="24"/>
          <w:szCs w:val="24"/>
        </w:rPr>
        <w:t>三、基金合同解除和终止的事由、程序以及基金财产清算方式</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（一）《基金合同》的变更</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1、变更基金合同涉及法律法规规定或本基金合同约定应经基金份额持有人大会决议通过的事项的，应召</w:t>
      </w:r>
      <w:proofErr w:type="gramStart"/>
      <w:r>
        <w:rPr>
          <w:rFonts w:ascii="宋体" w:hAnsi="宋体" w:cs="宋体"/>
          <w:color w:val="272C36"/>
          <w:kern w:val="0"/>
          <w:sz w:val="24"/>
          <w:szCs w:val="24"/>
        </w:rPr>
        <w:t>开基金</w:t>
      </w:r>
      <w:proofErr w:type="gramEnd"/>
      <w:r>
        <w:rPr>
          <w:rFonts w:ascii="宋体" w:hAnsi="宋体" w:cs="宋体"/>
          <w:color w:val="272C36"/>
          <w:kern w:val="0"/>
          <w:sz w:val="24"/>
          <w:szCs w:val="24"/>
        </w:rPr>
        <w:t>份额持有人大会决议通过。对于法律法规规定和基金合同约定可不经基金份额持有人大会决议通过的事项，由基金管理人和基金托管人同意后变更并公告。</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2、关于《基金合同》变更的基金份额持有人大会决议自生效后方可执行，</w:t>
      </w:r>
      <w:proofErr w:type="gramStart"/>
      <w:r>
        <w:rPr>
          <w:rFonts w:ascii="宋体" w:hAnsi="宋体" w:cs="宋体"/>
          <w:color w:val="272C36"/>
          <w:kern w:val="0"/>
          <w:sz w:val="24"/>
          <w:szCs w:val="24"/>
        </w:rPr>
        <w:t>自决议</w:t>
      </w:r>
      <w:proofErr w:type="gramEnd"/>
      <w:r>
        <w:rPr>
          <w:rFonts w:ascii="宋体" w:hAnsi="宋体" w:cs="宋体"/>
          <w:color w:val="272C36"/>
          <w:kern w:val="0"/>
          <w:sz w:val="24"/>
          <w:szCs w:val="24"/>
        </w:rPr>
        <w:t>生效后两日内在规定媒介公告。</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（二）《基金合同》的终止事由</w:t>
      </w:r>
    </w:p>
    <w:p w:rsidR="008333A9" w:rsidRDefault="0002249C">
      <w:pPr>
        <w:pStyle w:val="div"/>
        <w:shd w:val="clear" w:color="auto" w:fill="FFFFFF"/>
        <w:spacing w:line="360" w:lineRule="auto"/>
        <w:ind w:firstLine="480"/>
        <w:rPr>
          <w:rFonts w:ascii="宋体" w:hAnsi="宋体" w:cs="宋体"/>
          <w:color w:val="272C36"/>
          <w:kern w:val="0"/>
          <w:sz w:val="24"/>
          <w:szCs w:val="24"/>
        </w:rPr>
      </w:pPr>
      <w:r>
        <w:rPr>
          <w:rFonts w:ascii="宋体" w:hAnsi="宋体" w:cs="宋体"/>
          <w:color w:val="272C36"/>
          <w:kern w:val="0"/>
          <w:sz w:val="24"/>
          <w:szCs w:val="24"/>
        </w:rPr>
        <w:t>有下列情形之一的，经履行相关程序后，《基金合同》应当终止：</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1、基金份额持有人大会决定终止的；</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2、基金管理人、基金托管人职责终止，在6个月内没有新基金管理人、新</w:t>
      </w:r>
      <w:r>
        <w:rPr>
          <w:rFonts w:ascii="宋体" w:hAnsi="宋体" w:cs="宋体"/>
          <w:color w:val="272C36"/>
          <w:kern w:val="0"/>
          <w:sz w:val="24"/>
          <w:szCs w:val="24"/>
        </w:rPr>
        <w:lastRenderedPageBreak/>
        <w:t>基金托管人承接的；</w:t>
      </w:r>
    </w:p>
    <w:p w:rsidR="008333A9" w:rsidRDefault="0002249C">
      <w:pPr>
        <w:pStyle w:val="div"/>
        <w:shd w:val="clear" w:color="auto" w:fill="FFFFFF"/>
        <w:spacing w:line="360" w:lineRule="auto"/>
        <w:ind w:firstLine="480"/>
        <w:rPr>
          <w:rFonts w:ascii="宋体" w:hAnsi="宋体" w:cs="宋体"/>
          <w:color w:val="272C36"/>
          <w:kern w:val="0"/>
          <w:sz w:val="24"/>
          <w:szCs w:val="24"/>
        </w:rPr>
      </w:pPr>
      <w:r>
        <w:rPr>
          <w:rFonts w:ascii="宋体" w:hAnsi="宋体" w:cs="宋体"/>
          <w:color w:val="272C36"/>
          <w:kern w:val="0"/>
          <w:sz w:val="24"/>
          <w:szCs w:val="24"/>
        </w:rPr>
        <w:t>3、基金合同生效满三年之日（指自然日），</w:t>
      </w:r>
      <w:proofErr w:type="gramStart"/>
      <w:r>
        <w:rPr>
          <w:rFonts w:ascii="宋体" w:hAnsi="宋体" w:cs="宋体"/>
          <w:color w:val="272C36"/>
          <w:kern w:val="0"/>
          <w:sz w:val="24"/>
          <w:szCs w:val="24"/>
        </w:rPr>
        <w:t>若基金</w:t>
      </w:r>
      <w:proofErr w:type="gramEnd"/>
      <w:r>
        <w:rPr>
          <w:rFonts w:ascii="宋体" w:hAnsi="宋体" w:cs="宋体"/>
          <w:color w:val="272C36"/>
          <w:kern w:val="0"/>
          <w:sz w:val="24"/>
          <w:szCs w:val="24"/>
        </w:rPr>
        <w:t>资产净值低于2亿元人民币的；</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4、《基金合同》约定的其他情形；</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5、相关法律法规和中国证监会规定的其他情况。</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（三）基金财产的清算</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1、基金财产清算小组：自出现《基金合同》终止事由之日起30个工作日内成立清算小组，基金管理人组织基金财产清算小组并在中国证监会的监督下进行基金清算。</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2、基金财产清算小组组成：基金财产清算小组成员由基金管理人、基金托管人、符合《中华人民共和国证券法》规定的注册会计师、律师以及中国证监会指定的人员组成。基金财产清算小组可以聘用必要的工作人员。</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3、基金财产清算小组职责：基金财产清算小组负责基金财产的保管、清理、估价、变现和分配。基金财产清算小组可以依法进行必要的民事活动。</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4、基金财产清算程序：</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（1）《基金合同》终止情形出现时，由基金财产清算小组统一接管基金；</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（2）对基金财产和债权债务进行清理和确认；</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（3）对基金财产进行估值和变现；</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（4）制作清算报告；</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（5）聘请符合《中华人民共和国证券法》规定的会计师事务所对清算报告进行外部审计，聘请律师事务所对清算报告出具法律意见书；</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（6）将清算报告报中国证监会备案并公告；</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（7）对基金剩余财产进行分配。</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5、基金财产清算的期限为6个月，但因本基金所持证券的流动性受到限制而不能及时变现的，清算期限相应顺延。</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（四）清算费用</w:t>
      </w:r>
    </w:p>
    <w:p w:rsidR="008333A9" w:rsidRDefault="0002249C">
      <w:pPr>
        <w:pStyle w:val="div"/>
        <w:shd w:val="clear" w:color="auto" w:fill="FFFFFF"/>
        <w:spacing w:line="360" w:lineRule="auto"/>
        <w:ind w:firstLine="480"/>
        <w:rPr>
          <w:rFonts w:ascii="宋体" w:hAnsi="宋体" w:cs="宋体"/>
          <w:color w:val="272C36"/>
          <w:kern w:val="0"/>
          <w:sz w:val="24"/>
          <w:szCs w:val="24"/>
        </w:rPr>
      </w:pPr>
      <w:r>
        <w:rPr>
          <w:rFonts w:ascii="宋体" w:hAnsi="宋体" w:cs="宋体"/>
          <w:color w:val="272C36"/>
          <w:kern w:val="0"/>
          <w:sz w:val="24"/>
          <w:szCs w:val="24"/>
        </w:rPr>
        <w:t>清算费用是指基金财产清算小组在进行基金财产清算过程中发生的所有合理费用，清算费用由基金财产清算小组优先从基金剩余财产中支付。</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（五）基金财产清算剩余资产的分配</w:t>
      </w:r>
    </w:p>
    <w:p w:rsidR="008333A9" w:rsidRDefault="0002249C">
      <w:pPr>
        <w:pStyle w:val="div"/>
        <w:shd w:val="clear" w:color="auto" w:fill="FFFFFF"/>
        <w:spacing w:line="360" w:lineRule="auto"/>
        <w:ind w:firstLine="480"/>
        <w:rPr>
          <w:rFonts w:ascii="宋体" w:hAnsi="宋体" w:cs="宋体"/>
          <w:color w:val="272C36"/>
          <w:kern w:val="0"/>
          <w:sz w:val="24"/>
          <w:szCs w:val="24"/>
        </w:rPr>
      </w:pPr>
      <w:r>
        <w:rPr>
          <w:rFonts w:ascii="宋体" w:hAnsi="宋体" w:cs="宋体"/>
          <w:color w:val="272C36"/>
          <w:kern w:val="0"/>
          <w:sz w:val="24"/>
          <w:szCs w:val="24"/>
        </w:rPr>
        <w:lastRenderedPageBreak/>
        <w:t>依据基金财产清算的分配方案，将基金财产清算后的全部剩余资产扣除基金财产清算费用、交纳所欠税款并清偿基金债务后，按基金份额持有人持有的基金份额比例进行分配。</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（六）基金财产清算的公告</w:t>
      </w:r>
    </w:p>
    <w:p w:rsidR="008333A9" w:rsidRDefault="0002249C">
      <w:pPr>
        <w:pStyle w:val="div"/>
        <w:shd w:val="clear" w:color="auto" w:fill="FFFFFF"/>
        <w:spacing w:line="360" w:lineRule="auto"/>
        <w:ind w:firstLine="480"/>
        <w:rPr>
          <w:rFonts w:ascii="宋体" w:hAnsi="宋体" w:cs="宋体"/>
          <w:color w:val="272C36"/>
          <w:kern w:val="0"/>
          <w:sz w:val="24"/>
          <w:szCs w:val="24"/>
        </w:rPr>
      </w:pPr>
      <w:r>
        <w:rPr>
          <w:rFonts w:ascii="宋体" w:hAnsi="宋体" w:cs="宋体"/>
          <w:color w:val="272C36"/>
          <w:kern w:val="0"/>
          <w:sz w:val="24"/>
          <w:szCs w:val="24"/>
        </w:rPr>
        <w:t>清算过程中的有关重大事项须及时公告；基金财产清算报告</w:t>
      </w:r>
      <w:proofErr w:type="gramStart"/>
      <w:r>
        <w:rPr>
          <w:rFonts w:ascii="宋体" w:hAnsi="宋体" w:cs="宋体"/>
          <w:color w:val="272C36"/>
          <w:kern w:val="0"/>
          <w:sz w:val="24"/>
          <w:szCs w:val="24"/>
        </w:rPr>
        <w:t>经符合</w:t>
      </w:r>
      <w:proofErr w:type="gramEnd"/>
      <w:r>
        <w:rPr>
          <w:rFonts w:ascii="宋体" w:hAnsi="宋体" w:cs="宋体"/>
          <w:color w:val="272C36"/>
          <w:kern w:val="0"/>
          <w:sz w:val="24"/>
          <w:szCs w:val="24"/>
        </w:rPr>
        <w:t>《中华人民共和国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rsidR="008333A9" w:rsidRDefault="0002249C">
      <w:pPr>
        <w:pStyle w:val="div"/>
        <w:shd w:val="clear" w:color="auto" w:fill="FFFFFF"/>
        <w:spacing w:line="360" w:lineRule="auto"/>
        <w:ind w:firstLine="480"/>
        <w:jc w:val="left"/>
        <w:rPr>
          <w:rFonts w:ascii="宋体" w:hAnsi="宋体" w:cs="宋体"/>
          <w:color w:val="272C36"/>
          <w:kern w:val="0"/>
          <w:sz w:val="24"/>
          <w:szCs w:val="24"/>
        </w:rPr>
      </w:pPr>
      <w:r>
        <w:rPr>
          <w:rFonts w:ascii="宋体" w:hAnsi="宋体" w:cs="宋体"/>
          <w:color w:val="272C36"/>
          <w:kern w:val="0"/>
          <w:sz w:val="24"/>
          <w:szCs w:val="24"/>
        </w:rPr>
        <w:t>（七）基金财产清算账册及文件的保存</w:t>
      </w:r>
    </w:p>
    <w:p w:rsidR="008333A9" w:rsidRDefault="0002249C">
      <w:pPr>
        <w:pStyle w:val="div"/>
        <w:shd w:val="clear" w:color="auto" w:fill="FFFFFF"/>
        <w:spacing w:line="360" w:lineRule="auto"/>
        <w:ind w:firstLine="480"/>
        <w:rPr>
          <w:rFonts w:ascii="宋体" w:hAnsi="宋体" w:cs="宋体"/>
          <w:color w:val="272C36"/>
          <w:kern w:val="0"/>
          <w:sz w:val="24"/>
          <w:szCs w:val="24"/>
        </w:rPr>
      </w:pPr>
      <w:r>
        <w:rPr>
          <w:rFonts w:ascii="宋体" w:hAnsi="宋体" w:cs="宋体"/>
          <w:color w:val="272C36"/>
          <w:kern w:val="0"/>
          <w:sz w:val="24"/>
          <w:szCs w:val="24"/>
        </w:rPr>
        <w:t>基金财产清算账册及有关文件由基金托管人保存，保存期限不少于法定最低期限。</w:t>
      </w:r>
    </w:p>
    <w:p w:rsidR="008333A9" w:rsidRDefault="0002249C">
      <w:pPr>
        <w:pStyle w:val="2"/>
        <w:keepNext w:val="0"/>
        <w:keepLines w:val="0"/>
        <w:spacing w:before="0" w:after="0" w:line="360" w:lineRule="auto"/>
        <w:ind w:firstLine="420"/>
        <w:jc w:val="left"/>
        <w:rPr>
          <w:rFonts w:ascii="Times New Roman" w:eastAsia="Times New Roman" w:hAnsi="Times New Roman"/>
          <w:bCs/>
          <w:kern w:val="0"/>
          <w:sz w:val="24"/>
          <w:szCs w:val="24"/>
        </w:rPr>
      </w:pPr>
      <w:r>
        <w:rPr>
          <w:rFonts w:ascii="宋体" w:eastAsia="宋体" w:hAnsi="宋体" w:cs="宋体"/>
          <w:bCs/>
          <w:kern w:val="0"/>
          <w:sz w:val="24"/>
          <w:szCs w:val="24"/>
        </w:rPr>
        <w:t>四、争议解决方式</w:t>
      </w:r>
    </w:p>
    <w:p w:rsidR="008333A9" w:rsidRDefault="0002249C">
      <w:pPr>
        <w:pStyle w:val="div"/>
        <w:shd w:val="clear" w:color="auto" w:fill="FFFFFF"/>
        <w:spacing w:line="360" w:lineRule="auto"/>
        <w:ind w:firstLine="480"/>
        <w:rPr>
          <w:rFonts w:ascii="宋体" w:hAnsi="宋体" w:cs="宋体"/>
          <w:color w:val="272C36"/>
          <w:kern w:val="0"/>
          <w:sz w:val="24"/>
          <w:szCs w:val="24"/>
        </w:rPr>
      </w:pPr>
      <w:r>
        <w:rPr>
          <w:rFonts w:ascii="宋体" w:hAnsi="宋体" w:cs="宋体"/>
          <w:color w:val="272C36"/>
          <w:kern w:val="0"/>
          <w:sz w:val="24"/>
          <w:szCs w:val="24"/>
        </w:rPr>
        <w:t>各方当事人同意，因《基金合同》产生或与之相关的争议，双方当事人应通过协商、调解解决，协商、调解不能解决的，任何一方均有权将争议提交中国国际经济贸易仲裁委员会，按照中国国际经济贸易仲裁委员会届时有效的仲裁规则进行仲裁，仲裁地点为北京市。仲裁裁决是终局的，对当事人均有约束力。除非仲裁裁决另有规定，仲裁费由败诉方承担。</w:t>
      </w:r>
    </w:p>
    <w:p w:rsidR="008333A9" w:rsidRDefault="0002249C">
      <w:pPr>
        <w:pStyle w:val="div"/>
        <w:shd w:val="clear" w:color="auto" w:fill="FFFFFF"/>
        <w:spacing w:line="360" w:lineRule="auto"/>
        <w:ind w:firstLine="480"/>
        <w:rPr>
          <w:rFonts w:ascii="宋体" w:hAnsi="宋体" w:cs="宋体"/>
          <w:color w:val="272C36"/>
          <w:kern w:val="0"/>
          <w:sz w:val="24"/>
          <w:szCs w:val="24"/>
        </w:rPr>
      </w:pPr>
      <w:r>
        <w:rPr>
          <w:rFonts w:ascii="宋体" w:hAnsi="宋体" w:cs="宋体"/>
          <w:color w:val="272C36"/>
          <w:kern w:val="0"/>
          <w:sz w:val="24"/>
          <w:szCs w:val="24"/>
        </w:rPr>
        <w:t>争议处理期间，双方当事人应恪守基金管理人和基金托管人职责，各自继续忠实、勤勉、尽责地履行基金合同和本托管协议规定的义务，维护基金份额持有人的合法权益。</w:t>
      </w:r>
    </w:p>
    <w:p w:rsidR="008333A9" w:rsidRDefault="0002249C">
      <w:pPr>
        <w:pStyle w:val="div"/>
        <w:shd w:val="clear" w:color="auto" w:fill="FFFFFF"/>
        <w:spacing w:line="360" w:lineRule="auto"/>
        <w:ind w:firstLine="480"/>
        <w:rPr>
          <w:rFonts w:ascii="宋体" w:hAnsi="宋体" w:cs="宋体"/>
          <w:color w:val="272C36"/>
          <w:kern w:val="0"/>
          <w:sz w:val="24"/>
          <w:szCs w:val="24"/>
        </w:rPr>
      </w:pPr>
      <w:r>
        <w:rPr>
          <w:rFonts w:ascii="宋体" w:hAnsi="宋体" w:cs="宋体"/>
          <w:color w:val="272C36"/>
          <w:kern w:val="0"/>
          <w:sz w:val="24"/>
          <w:szCs w:val="24"/>
        </w:rPr>
        <w:t>《基金合同》适用中华人民共和国法律（为本基金合同之目的，不包括香港特别行政区、澳门特别行政区和台湾地区法律）并从其解释。</w:t>
      </w:r>
    </w:p>
    <w:p w:rsidR="008333A9" w:rsidRDefault="0002249C">
      <w:pPr>
        <w:pStyle w:val="2"/>
        <w:keepNext w:val="0"/>
        <w:keepLines w:val="0"/>
        <w:spacing w:before="0" w:after="0" w:line="360" w:lineRule="auto"/>
        <w:ind w:firstLine="420"/>
        <w:jc w:val="left"/>
        <w:rPr>
          <w:rFonts w:ascii="Times New Roman" w:eastAsia="Times New Roman" w:hAnsi="Times New Roman"/>
          <w:bCs/>
          <w:kern w:val="0"/>
          <w:sz w:val="24"/>
          <w:szCs w:val="24"/>
        </w:rPr>
      </w:pPr>
      <w:r>
        <w:rPr>
          <w:rFonts w:ascii="宋体" w:eastAsia="宋体" w:hAnsi="宋体" w:cs="宋体"/>
          <w:bCs/>
          <w:kern w:val="0"/>
          <w:sz w:val="24"/>
          <w:szCs w:val="24"/>
        </w:rPr>
        <w:t>五、基金合同存放地和投资者取得基金合同的方式</w:t>
      </w:r>
    </w:p>
    <w:p w:rsidR="008333A9" w:rsidRDefault="0002249C">
      <w:pPr>
        <w:pStyle w:val="div"/>
        <w:spacing w:line="360" w:lineRule="auto"/>
        <w:ind w:firstLine="480"/>
        <w:jc w:val="left"/>
        <w:rPr>
          <w:rFonts w:ascii="宋体" w:hAnsi="宋体" w:cs="宋体"/>
          <w:kern w:val="0"/>
          <w:sz w:val="24"/>
          <w:szCs w:val="24"/>
        </w:rPr>
      </w:pPr>
      <w:r>
        <w:rPr>
          <w:rFonts w:ascii="宋体" w:hAnsi="宋体" w:cs="宋体"/>
          <w:kern w:val="0"/>
          <w:sz w:val="24"/>
          <w:szCs w:val="24"/>
        </w:rPr>
        <w:t>《基金合同》可印制成册，供投资者在基金管理人、基金托管人、销售机构的办公场所和营业场所查阅。</w:t>
      </w:r>
      <w:r>
        <w:rPr>
          <w:rFonts w:ascii="宋体" w:hAnsi="宋体" w:cs="宋体"/>
          <w:kern w:val="0"/>
          <w:sz w:val="24"/>
          <w:szCs w:val="24"/>
        </w:rPr>
        <w:br w:type="page"/>
      </w:r>
    </w:p>
    <w:p w:rsidR="008333A9" w:rsidRDefault="0002249C">
      <w:pPr>
        <w:pStyle w:val="1"/>
        <w:spacing w:before="0" w:after="0"/>
        <w:jc w:val="center"/>
        <w:rPr>
          <w:rFonts w:ascii="Times New Roman"/>
          <w:color w:val="auto"/>
          <w:sz w:val="30"/>
        </w:rPr>
      </w:pPr>
      <w:bookmarkStart w:id="54" w:name="_Toc256000019"/>
      <w:bookmarkStart w:id="55" w:name="_Hlk196661194"/>
      <w:r>
        <w:rPr>
          <w:rFonts w:ascii="Times New Roman"/>
          <w:color w:val="auto"/>
          <w:sz w:val="30"/>
        </w:rPr>
        <w:lastRenderedPageBreak/>
        <w:t>第二十部分</w:t>
      </w:r>
      <w:r>
        <w:rPr>
          <w:rFonts w:ascii="Times New Roman"/>
          <w:color w:val="auto"/>
          <w:sz w:val="30"/>
        </w:rPr>
        <w:t xml:space="preserve">  </w:t>
      </w:r>
      <w:r>
        <w:rPr>
          <w:rFonts w:ascii="Times New Roman"/>
          <w:color w:val="auto"/>
          <w:sz w:val="30"/>
        </w:rPr>
        <w:t>托管协议的内容摘要</w:t>
      </w:r>
      <w:bookmarkEnd w:id="54"/>
    </w:p>
    <w:p w:rsidR="008333A9" w:rsidRDefault="008333A9"/>
    <w:p w:rsidR="008333A9" w:rsidRDefault="0002249C">
      <w:pPr>
        <w:pStyle w:val="2"/>
        <w:keepNext w:val="0"/>
        <w:keepLines w:val="0"/>
        <w:spacing w:before="0" w:after="0" w:line="240" w:lineRule="auto"/>
        <w:ind w:firstLine="480"/>
        <w:rPr>
          <w:rFonts w:ascii="宋体" w:eastAsia="宋体" w:hAnsi="宋体" w:cs="宋体"/>
          <w:bCs/>
          <w:kern w:val="0"/>
          <w:sz w:val="24"/>
          <w:szCs w:val="24"/>
        </w:rPr>
      </w:pPr>
      <w:r>
        <w:rPr>
          <w:rFonts w:ascii="宋体" w:eastAsia="宋体" w:hAnsi="宋体" w:cs="宋体"/>
          <w:bCs/>
          <w:kern w:val="0"/>
          <w:sz w:val="24"/>
          <w:szCs w:val="24"/>
        </w:rPr>
        <w:t>一、基金托管协议当事人</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（一）基金管理人</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名称：</w:t>
      </w:r>
      <w:proofErr w:type="gramStart"/>
      <w:r>
        <w:rPr>
          <w:rFonts w:ascii="宋体" w:hAnsi="宋体" w:cs="宋体"/>
          <w:kern w:val="0"/>
          <w:sz w:val="24"/>
          <w:szCs w:val="24"/>
        </w:rPr>
        <w:t>汇添富基金</w:t>
      </w:r>
      <w:proofErr w:type="gramEnd"/>
      <w:r>
        <w:rPr>
          <w:rFonts w:ascii="宋体" w:hAnsi="宋体" w:cs="宋体"/>
          <w:kern w:val="0"/>
          <w:sz w:val="24"/>
          <w:szCs w:val="24"/>
        </w:rPr>
        <w:t>管理股份有限公司</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注册地址：</w:t>
      </w:r>
      <w:r>
        <w:rPr>
          <w:rFonts w:ascii="宋体" w:hAnsi="宋体" w:cs="宋体" w:hint="eastAsia"/>
          <w:kern w:val="0"/>
          <w:sz w:val="24"/>
          <w:szCs w:val="24"/>
        </w:rPr>
        <w:t>上海市黄浦区外马路728号9楼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办公地址：上海市黄浦区外马路728号</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邮政编码：200010</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法定代表人：</w:t>
      </w:r>
      <w:r>
        <w:rPr>
          <w:rFonts w:ascii="宋体" w:hAnsi="宋体" w:cs="宋体" w:hint="eastAsia"/>
          <w:kern w:val="0"/>
          <w:sz w:val="24"/>
          <w:szCs w:val="24"/>
        </w:rPr>
        <w:t>鲁伟铭</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成立日期：2005年2月3日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批准设立机关及批准设立文号：中国证监会证</w:t>
      </w:r>
      <w:proofErr w:type="gramStart"/>
      <w:r>
        <w:rPr>
          <w:rFonts w:ascii="宋体" w:hAnsi="宋体" w:cs="宋体"/>
          <w:kern w:val="0"/>
          <w:sz w:val="24"/>
          <w:szCs w:val="24"/>
        </w:rPr>
        <w:t>监基金字</w:t>
      </w:r>
      <w:proofErr w:type="gramEnd"/>
      <w:r>
        <w:rPr>
          <w:rFonts w:ascii="宋体" w:hAnsi="宋体" w:cs="宋体"/>
          <w:kern w:val="0"/>
          <w:sz w:val="24"/>
          <w:szCs w:val="24"/>
        </w:rPr>
        <w:t>【2005】5号</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组织形式：股份有限公司</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注册资本：人民币132,724,224元</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存续期间：持续经营</w:t>
      </w:r>
    </w:p>
    <w:p w:rsidR="008333A9" w:rsidRDefault="008333A9">
      <w:pPr>
        <w:pStyle w:val="p"/>
        <w:spacing w:line="360" w:lineRule="auto"/>
        <w:ind w:firstLine="480"/>
        <w:rPr>
          <w:rFonts w:ascii="宋体" w:hAnsi="宋体" w:cs="宋体"/>
          <w:kern w:val="0"/>
          <w:sz w:val="24"/>
          <w:szCs w:val="24"/>
        </w:rPr>
      </w:pP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（二）基金托管人</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名称：中国农业银行股份有限公司</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注册地址：北京市东城区建国门内大街69号</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办公地址：北京市西城区复兴门内大街28号</w:t>
      </w:r>
      <w:proofErr w:type="gramStart"/>
      <w:r>
        <w:rPr>
          <w:rFonts w:ascii="宋体" w:hAnsi="宋体" w:cs="宋体"/>
          <w:kern w:val="0"/>
          <w:sz w:val="24"/>
          <w:szCs w:val="24"/>
        </w:rPr>
        <w:t>凯</w:t>
      </w:r>
      <w:proofErr w:type="gramEnd"/>
      <w:r>
        <w:rPr>
          <w:rFonts w:ascii="宋体" w:hAnsi="宋体" w:cs="宋体"/>
          <w:kern w:val="0"/>
          <w:sz w:val="24"/>
          <w:szCs w:val="24"/>
        </w:rPr>
        <w:t>晨世贸中心东座九层</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邮政编码：100031</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法定代表人：谷澍</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成立时间：2009年1月15日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基金托管资格批文及文号：中国证监会</w:t>
      </w:r>
      <w:proofErr w:type="gramStart"/>
      <w:r>
        <w:rPr>
          <w:rFonts w:ascii="宋体" w:hAnsi="宋体" w:cs="宋体"/>
          <w:kern w:val="0"/>
          <w:sz w:val="24"/>
          <w:szCs w:val="24"/>
        </w:rPr>
        <w:t>证监基字</w:t>
      </w:r>
      <w:proofErr w:type="gramEnd"/>
      <w:r>
        <w:rPr>
          <w:rFonts w:ascii="宋体" w:hAnsi="宋体" w:cs="宋体"/>
          <w:kern w:val="0"/>
          <w:sz w:val="24"/>
          <w:szCs w:val="24"/>
        </w:rPr>
        <w:t>[1998]23号</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批准设立机关和批准设立文号：中国银监</w:t>
      </w:r>
      <w:proofErr w:type="gramStart"/>
      <w:r>
        <w:rPr>
          <w:rFonts w:ascii="宋体" w:hAnsi="宋体" w:cs="宋体"/>
          <w:kern w:val="0"/>
          <w:sz w:val="24"/>
          <w:szCs w:val="24"/>
        </w:rPr>
        <w:t>会银监复</w:t>
      </w:r>
      <w:proofErr w:type="gramEnd"/>
      <w:r>
        <w:rPr>
          <w:rFonts w:ascii="宋体" w:hAnsi="宋体" w:cs="宋体"/>
          <w:kern w:val="0"/>
          <w:sz w:val="24"/>
          <w:szCs w:val="24"/>
        </w:rPr>
        <w:t>[2009]13号</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注册资本：34,998,303.4万元人民币</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存续期间：持续经营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经营范围：吸收公众存款；发放短期、中期、长期贷款；办理国内外结算；办理票据承兑与贴现；发行金融债券；代理发行、代理兑付、承销政府债券；买卖政府债券、金融债券；从事同业拆借；买卖、代理买卖外汇；结汇、售汇；从事银行卡业务；提供信用证服务及担保；代理收付款项；提供保管箱服务；代理</w:t>
      </w:r>
      <w:r>
        <w:rPr>
          <w:rFonts w:ascii="宋体" w:hAnsi="宋体" w:cs="宋体"/>
          <w:kern w:val="0"/>
          <w:sz w:val="24"/>
          <w:szCs w:val="24"/>
        </w:rPr>
        <w:lastRenderedPageBreak/>
        <w:t>资金清算；各类汇兑业务；代理政策性银行、外国政府和国际金融机构贷款业务；贷款承诺；组织或参加银团贷款；外汇存款；外汇贷款；外汇汇款；外汇借款；发行、代理发行、买卖或代理买卖股票以外的外币有价证券；外汇票据承兑和贴现；自营、代客外汇买卖；外币兑换；外汇担保；资信调查、咨询、见证业务；企业、个人财务顾问服务；证券公司客户交易结算资金存管业务；证券投资基金托管业务；企业年金托管业务；产业投资基金托管业务；合格境外机构投资者境内证券投资托管业务；代理开放式基金业务；电话银行、手机银行、网上银行业务；金融衍生产品交易业务；经国务院银行业监督管理机构等监管部门批准的其他业务；保险兼业代理业务。</w:t>
      </w:r>
    </w:p>
    <w:p w:rsidR="008333A9" w:rsidRDefault="0002249C">
      <w:pPr>
        <w:pStyle w:val="2"/>
        <w:keepNext w:val="0"/>
        <w:keepLines w:val="0"/>
        <w:spacing w:before="0" w:after="0" w:line="240" w:lineRule="auto"/>
        <w:ind w:firstLine="480"/>
        <w:rPr>
          <w:rFonts w:ascii="宋体" w:eastAsia="宋体" w:hAnsi="宋体" w:cs="宋体"/>
          <w:bCs/>
          <w:kern w:val="0"/>
          <w:sz w:val="24"/>
          <w:szCs w:val="24"/>
        </w:rPr>
      </w:pPr>
      <w:r>
        <w:rPr>
          <w:rFonts w:ascii="宋体" w:eastAsia="宋体" w:hAnsi="宋体" w:cs="宋体"/>
          <w:bCs/>
          <w:kern w:val="0"/>
          <w:sz w:val="24"/>
          <w:szCs w:val="24"/>
        </w:rPr>
        <w:t>二、基金托管人对基金管理人的业务监督和核查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一）基金托管人根据有关法律法规的规定及基金合同的约定，对基金投资范围、投资对象进行监督。基金合同明确约定基金投资风格或证券选择标准的，基金管理人应按照基金托管人要求的格式提供投资品种池和交易对手库，以便基金托管人运用相关技术系统，对基金实际投资是否符合基金合同关于证券选择标准的约定进行监督，对存在合理疑义的事项进行核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的投资范围为具有良好流动性的金融工具，包括国内依法发行上市的股票（含主板、创业板及其他经中国证监会允许上市的股票、存托凭证）、港股通标的股票、债券（包括国债、央行票据、金融债、企业债、公司债、中期票据、短期融资</w:t>
      </w:r>
      <w:proofErr w:type="gramStart"/>
      <w:r>
        <w:rPr>
          <w:rFonts w:ascii="宋体" w:hAnsi="宋体" w:cs="宋体"/>
          <w:kern w:val="0"/>
          <w:sz w:val="24"/>
          <w:szCs w:val="24"/>
        </w:rPr>
        <w:t>券</w:t>
      </w:r>
      <w:proofErr w:type="gramEnd"/>
      <w:r>
        <w:rPr>
          <w:rFonts w:ascii="宋体" w:hAnsi="宋体" w:cs="宋体"/>
          <w:kern w:val="0"/>
          <w:sz w:val="24"/>
          <w:szCs w:val="24"/>
        </w:rPr>
        <w:t>、超短期融资</w:t>
      </w:r>
      <w:proofErr w:type="gramStart"/>
      <w:r>
        <w:rPr>
          <w:rFonts w:ascii="宋体" w:hAnsi="宋体" w:cs="宋体"/>
          <w:kern w:val="0"/>
          <w:sz w:val="24"/>
          <w:szCs w:val="24"/>
        </w:rPr>
        <w:t>券</w:t>
      </w:r>
      <w:proofErr w:type="gramEnd"/>
      <w:r>
        <w:rPr>
          <w:rFonts w:ascii="宋体" w:hAnsi="宋体" w:cs="宋体"/>
          <w:kern w:val="0"/>
          <w:sz w:val="24"/>
          <w:szCs w:val="24"/>
        </w:rPr>
        <w:t>、次级债券、政府支持债券、政府支持机构债券、地方政府债券、可交换债券、可转换债券（含分离交易可转债）及其他经中国证监会允许投资的债券）、信用衍生品、股指期货、国债期货、股票期权、资产支持证券、债券回购、同业存单、银行存款（包含协议存款、定期存款及其他银行存款）、货币市场工具以及法律法规或中国证监会允许基金投资的其他金融工具(但须符合中国证监会相关规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本基金还可根据法律法规参与融资业务。</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如法律法规或监管机构以后允许基金投资其他品种，基金管理人在履行适当程序后，可以将其纳入投资范围。</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的投资组合比例为：本基金股票资产占基金资产的比例不低于60%，其中，投资于港股通标的股票的比例不低于非现金资产的80%；本基金投资于本基金界定的科技主题股票的比例不低于非现金基金资产的80%。每个交易日日终在</w:t>
      </w:r>
      <w:r>
        <w:rPr>
          <w:rFonts w:ascii="宋体" w:hAnsi="宋体" w:cs="宋体"/>
          <w:kern w:val="0"/>
          <w:sz w:val="24"/>
          <w:szCs w:val="24"/>
        </w:rPr>
        <w:lastRenderedPageBreak/>
        <w:t>扣除国债期货、股指期货和股票期权合约需缴纳的交易保证金后，本基金保留的现金或投资于到期日在一年以内的政府债券的比例合计不低于基金资产净值的5%。其中现金不包括结算备付金、存出保证金、应收申购款等。</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如法律法规或监管机构变更投资品种的投资比例限制，基金管理人在履行适当程序后，可以调整上述投资品种的投资比例。</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（二）基金托管人根据有关法律法规的规定及基金合同的约定，对基金投资比例进行监督。基金托管人按下述比例和调整期限进行监督：</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（1）本基金股票资产占基金资产的比例不低于60%，其中，投资于港股通标的股票的比例不低于非现金资产的80%；本基金投资于本基金界定的科技主题股票的比例不低于非现金基金资产的80%。</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每个交易日日终在扣除国债期货、股指期货和股票期权合约需缴纳的交易保证金后，本基金保留的现金或投资于到期日在一年以内的政府债券的比例合计不低于基金资产净值的5%。其中现金不包括结算备付金、存出保证金和应收申购款等；</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（3）本基金持有一家公司发行的证券（同一家公司在内地和香港同时上市的A+H股合并计算），其市值不超过基金资产净值的10％；</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本基金管理人管理的、且由本基金托管人托管的全部基金持有一家公司发行的证券（同一家公司在内地和香港同时上市的A+H股合并计算），不超过该证券的10％，完全按照有关指数的构成比例进行证券投资的基金品种可以不受此条款规定的比例限制；</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（5）本基金投资于同一原始权益人的各类资产支持证券的比例，不得超过基金资产净值的10%；</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（6）本基金持有的全部资产支持证券，其市值不得超过基金资产净值的20%；</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（7）本基金持有的同一(指同一信用级别)资产支持证券的比例，不得超过该资产支持证券规模的10%；</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（8）本基金管理人管理的、且由本基金托管人托管的全部基金投资于同一原始权益人的各类资产支持证券，不得超过其各类资产支持证券合计规模的10%；</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（9）本基金应投资于信用级别评级为BBB以上(含BBB)的资产支持证券。基金持有资产支持证券期间，如果其信用等级下降、不再符合投资标准，应在评</w:t>
      </w:r>
      <w:r>
        <w:rPr>
          <w:rFonts w:ascii="宋体" w:hAnsi="宋体" w:cs="宋体"/>
          <w:kern w:val="0"/>
          <w:sz w:val="24"/>
          <w:szCs w:val="24"/>
        </w:rPr>
        <w:lastRenderedPageBreak/>
        <w:t>级报告发布之日起3个月内予以全部卖出；</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（10）基金财产参与股票发行申购，本基金所申报的金额不超过本基金的总资产，本基金所申报的股票数量不超过拟发行股票公司本次发行股票的总量；</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11）本基金管理人管理的、且由本基金托管人托管的全部开放式基金持有一家上市公司发行的可流通股票，不得超过该上市公司可流通股票的15%；本基金管理人管理的、且由本基金托管人托管的全部投资组合持有一家上市公司发行的可流通股票，不得超过该上市公司可流通股票的30%；完全按照有关指数的构成比例进行证券投资的开放式基金以及中国证监会认定的特殊投资组合可不受前述比例限制；</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12）本基金主动投资于流动性受限资产的市值合计不得超过本基金资产净值的15%；因证券市场波动、上市公司股票停牌、基金规模变动等基金管理人之外的因素致使基金不符合该比例限制的，基金管理人不得主动新增流动性受限资产的投资；</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（13）本基金与私募类</w:t>
      </w:r>
      <w:proofErr w:type="gramStart"/>
      <w:r>
        <w:rPr>
          <w:rFonts w:ascii="宋体" w:hAnsi="宋体" w:cs="宋体"/>
          <w:kern w:val="0"/>
          <w:sz w:val="24"/>
          <w:szCs w:val="24"/>
        </w:rPr>
        <w:t>证券资管产品</w:t>
      </w:r>
      <w:proofErr w:type="gramEnd"/>
      <w:r>
        <w:rPr>
          <w:rFonts w:ascii="宋体" w:hAnsi="宋体" w:cs="宋体"/>
          <w:kern w:val="0"/>
          <w:sz w:val="24"/>
          <w:szCs w:val="24"/>
        </w:rPr>
        <w:t>及中国证监会认定的其他主体为交易对手开展逆回购交易的，可接受质押品的资质要求应当与基金合同约定的投资范围保持一致；</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（14）本基金资产总值不超过基金资产净值的140%；</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（15）本基金参与股指期货和国债期货交易的，应当遵守下列要求：</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在任何交易日日终，持有的买入国债期货和股指期货合约价值与有价证券市值之和，不得超过基金资产净值的95%；其中，有价证券指股票、债券（不含到期日在一年以内的政府债券）、资产支持证券、买入返售金融资产（不含质押式回购）等；</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本基金在任何交易日日终，持有的买入股指期货合约价值，不得超过基金资产净值的10%；在任何交易日日终，持有的卖出股指期货合约价值不得超过基金持有的股票总市值的20%；本基金在任何交易日内交易（不包括平仓）的股指期货合约的成交金额不得超过上一交易日基金资产净值的20%；本基金所持有的股票市值和买入、卖出股指期货合约价值，合计（轧差计算）应当符合《基金合同》关于股票投资比例的有关约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3）本基金在任何交易日日终，持有的买入国债期货合约价值，不得超过基</w:t>
      </w:r>
      <w:r>
        <w:rPr>
          <w:rFonts w:ascii="宋体" w:hAnsi="宋体" w:cs="宋体"/>
          <w:kern w:val="0"/>
          <w:sz w:val="24"/>
          <w:szCs w:val="24"/>
        </w:rPr>
        <w:lastRenderedPageBreak/>
        <w:t>金资产净值的15%；在任何交易日日终，持有的卖出国债期货合约价值不得超过基金持有的债券总市值的30%；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16）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（17）本基金不得持有信用保护卖方属性的信用衍生品，持有的信用衍生品的名义本金不得超过本基金对应受保护债券面值的100%，本基金不得投资于合约类信用衍生品；</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（18）本基金投资于同一信用保护卖方的各类信用衍生品的名义本金合计不得超过基金资产净值的10%；</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因证券、期货市场波动、证券发行人合并、基金规模变动等基金管理人之外的因素致使基金不符合前述（17）、（18）所规定比例限制的，基金管理人应在3个月之内进行调整；</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（19）本基金参与融资的，每个交易日日终，本基金持有的融资买入股票与其他有价证券市值之和，不得超过基金资产净值的95%；</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（20）本基金投资存托凭证的比例限制依照境内上市交易的股票执行；</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（21）法律法规及中国证监会规定的和《基金合同》约定的其他投资限制。</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除上述第（2）、（9）、（12）、（13）、（17）、（18）项情形之外，因证券/期货市场波动、证券发行人合并、基金规模变动等基金管理人之外的因素致使基金投资比例不符合上述规定投资比例的，基金管理人应当在10个交易日内进行调整，但中国证监会规定的特殊情形除外。</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w:t>
      </w:r>
      <w:r>
        <w:rPr>
          <w:rFonts w:ascii="宋体" w:hAnsi="宋体" w:cs="宋体"/>
          <w:kern w:val="0"/>
          <w:sz w:val="24"/>
          <w:szCs w:val="24"/>
        </w:rPr>
        <w:lastRenderedPageBreak/>
        <w:t>开始。</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法律法规或监管部门取消或调整上述限制，如适用于本基金，基金管理人在履行适当程序后，则本基金投资不再受相关限制或以调整以后的规定为准。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（三）基金托管人根据有关法律法规的规定及基金合同的约定，对本协议第十五条第（十一）项基金投资禁止行为进行监督。</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根据法律法规有关基金从事关联交易的规定，基金管理人和基金托管人应事先相互提供与本机构有控股关系的股东或与本机构有其他重大利害关系的公司名单及其更新，并以双方约定的方式提交，确保所提供的关联交易名单的真实性、完整性、全面性。基金管理人有责任保管真实、完整、全面的关联交易名单，并负责及时更新该名单。名单变更后基金管理人应及时发送基金托管人，基金托管人应及时确认已知名单的变更。如果基金托管人在运作中严格遵循了监督流程，基金管理人仍违规进行关联交易，并造成基金资产损失的，由基金管理人承担责任，基金托管人有权向中国证监会报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如法律法规或监管部门取消或调整上述限制，如适用于本基金，基金管理人在履行适当程序后，则本基金投资不再受相关限制或以调整以后的规定为准。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（四）基金托管人根据有关法律法规的规定及基金合同的约定，对基金管理人参与银行间债券市场进行监督。</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在基金投资运作之前向基金托管人提供经慎重选择的、本基金适用的银行间债券市场交易对手名单，并约定各交易对手所适用的交易结算方式。基金托管人监督基金管理人是否按事前提供的银行间债券市场交易对手名单进行交易。基金管理人可以每半年对银行间债券市场交易对手名单进行更新，如基金管理人根据市场情况需要临时调整银行间债券市场交易对手名单，应向基金托</w:t>
      </w:r>
      <w:r>
        <w:rPr>
          <w:rFonts w:ascii="宋体" w:hAnsi="宋体" w:cs="宋体"/>
          <w:kern w:val="0"/>
          <w:sz w:val="24"/>
          <w:szCs w:val="24"/>
        </w:rPr>
        <w:lastRenderedPageBreak/>
        <w:t>管人说明理由，在与交易对手发生交易前与基金托管人协商解决。基金管理人收到基金托管人书面确认后，被确认调整的名单开始生效，新名单生效前已与本次剔除的交易对手所进行但尚未结算的交易，仍应按照协议进行结算。基金管理人负责对交易对手的资信进行控制，按银行间债券市场的交易规则进行交易，基金托管人则根据银行间债券市场成交单对合同履行情况进行监督，但不承担交易对手不履行合同造成的损失。如基金托管人事后发现基金管理人没有按照事先约定的交易对手或交易方式进行交易时，基金托管人应及时提醒基金管理人，基金托管人不承担由此造成的相应损失和责任。如基金管理人在基金投资运作之前未向基金托管人提供银行间债券市场交易对手名单的，视为基金管理人认可全市场交易对手。</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（五）基金托管人根据有关法律法规的规定及基金合同的约定，对基金管理人投资银行存款进行监督。</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基金投资银行存款的，基金管理人应根据法律法规的规定及基金合同的约定，建立投资制度、审慎选择存款银行，做好风险控制；并按照基金托管人的要求配合基金托管人完成相关业务办理。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六）基金托管人根据有关法律法规的规定及基金合同的约定，对基金资产净值计算、各类别基金份额的基金份额净值计算、应收资金到账、基金费用开支及收入确定、基金收益分配、相关信息披露、基金宣传推介材料中登载基金业绩表现数据等进行监督和核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如果基金管理人未经基金托管人的审核擅自将不实的业绩表现数据印制在宣传推介材料上，</w:t>
      </w:r>
      <w:proofErr w:type="gramStart"/>
      <w:r>
        <w:rPr>
          <w:rFonts w:ascii="宋体" w:hAnsi="宋体" w:cs="宋体"/>
          <w:kern w:val="0"/>
          <w:sz w:val="24"/>
          <w:szCs w:val="24"/>
        </w:rPr>
        <w:t>则基金</w:t>
      </w:r>
      <w:proofErr w:type="gramEnd"/>
      <w:r>
        <w:rPr>
          <w:rFonts w:ascii="宋体" w:hAnsi="宋体" w:cs="宋体"/>
          <w:kern w:val="0"/>
          <w:sz w:val="24"/>
          <w:szCs w:val="24"/>
        </w:rPr>
        <w:t>托管人对此不承担相应责任，并将在发现后立即报告中国证监会。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（七）基金托管人根据有关法律法规的规定及基金合同的约定，对基金投资流通受限证券进行监督。</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1、基金投资流通受限证券，应遵守《关于基金投资非公开发行股票等流通受限证券有关问题的通知》等有关法律法规规定。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流通受限证券与上文所述的流动性受限资产范围并不完全一致，包括非公开发行股票、公开发行股票网下配售部分等在发行时明确一定期限锁定期的可交易证券，不包括由于发布重大消息或其他原因而临时停牌的证券、已发行未上</w:t>
      </w:r>
      <w:r>
        <w:rPr>
          <w:rFonts w:ascii="宋体" w:hAnsi="宋体" w:cs="宋体"/>
          <w:kern w:val="0"/>
          <w:sz w:val="24"/>
          <w:szCs w:val="24"/>
        </w:rPr>
        <w:lastRenderedPageBreak/>
        <w:t>市证券、回购交易中的质押</w:t>
      </w:r>
      <w:proofErr w:type="gramStart"/>
      <w:r>
        <w:rPr>
          <w:rFonts w:ascii="宋体" w:hAnsi="宋体" w:cs="宋体"/>
          <w:kern w:val="0"/>
          <w:sz w:val="24"/>
          <w:szCs w:val="24"/>
        </w:rPr>
        <w:t>券</w:t>
      </w:r>
      <w:proofErr w:type="gramEnd"/>
      <w:r>
        <w:rPr>
          <w:rFonts w:ascii="宋体" w:hAnsi="宋体" w:cs="宋体"/>
          <w:kern w:val="0"/>
          <w:sz w:val="24"/>
          <w:szCs w:val="24"/>
        </w:rPr>
        <w:t>等流通受限证券。</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在首次投资流通受限证券之前，基金管理人应当制定相关投资决策流程、风险控制制度、流动性风险控制预案等规章制度。基金管理人应当根据基金流动性的需要合理安排流通受限证券的投资比例，并在风险控制制度中明确具体比例，避免基金出现流动性风险。</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上述规章制度须经基金管理人董事会批准。上述规章制度经董事会通过之后，基金管理人应当将上述规章制度以及董事会批准上述规章制度的决议提交给基金托管人。</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4、在投资流通受限证券之前，基金管理人应至少提前一个交易日向基金托管人提供有关流通受限证券的相关信息，具体应当包括但不限于如下文件（如有）：</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拟发行数量、定价依据、监管机构的批准证明文件复印件、基金管理人与承销商签订的销售协议复印件、缴款通知书、基金拟认购的数量、价格、总成本、划款账号、划款金额、划款时间文件等。基金管理人应保证上述信息的真实、完整。</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5、基金托管人在监督基金管理人投资流通受限证券的过程中，如认为因市场出现剧烈变化导致基金管理人的具体投资行为可能对基金财产造成较大风险，基金托管人有权要求基金管理人对该风险的消除或防范措施进行补充和整改，并做出书面说明。</w:t>
      </w:r>
      <w:proofErr w:type="gramStart"/>
      <w:r>
        <w:rPr>
          <w:rFonts w:ascii="宋体" w:hAnsi="宋体" w:cs="宋体"/>
          <w:kern w:val="0"/>
          <w:sz w:val="24"/>
          <w:szCs w:val="24"/>
        </w:rPr>
        <w:t>若基金</w:t>
      </w:r>
      <w:proofErr w:type="gramEnd"/>
      <w:r>
        <w:rPr>
          <w:rFonts w:ascii="宋体" w:hAnsi="宋体" w:cs="宋体"/>
          <w:kern w:val="0"/>
          <w:sz w:val="24"/>
          <w:szCs w:val="24"/>
        </w:rPr>
        <w:t>管理人未在规定期限内补充、整改以及说明的，基金托管人经事先书面告知基金管理人，有权拒绝执行其有关指令。因拒绝执行该指令造成基金财产损失的，基金托管人不承担相应责任，并有权报告中国证监会。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6、基金管理人应保证基金投资的流通受限证券登记存管在本基金名下，并确保基金托管人能够正常查询。因基金管理</w:t>
      </w:r>
      <w:proofErr w:type="gramStart"/>
      <w:r>
        <w:rPr>
          <w:rFonts w:ascii="宋体" w:hAnsi="宋体" w:cs="宋体"/>
          <w:kern w:val="0"/>
          <w:sz w:val="24"/>
          <w:szCs w:val="24"/>
        </w:rPr>
        <w:t>人原因</w:t>
      </w:r>
      <w:proofErr w:type="gramEnd"/>
      <w:r>
        <w:rPr>
          <w:rFonts w:ascii="宋体" w:hAnsi="宋体" w:cs="宋体"/>
          <w:kern w:val="0"/>
          <w:sz w:val="24"/>
          <w:szCs w:val="24"/>
        </w:rPr>
        <w:t>产生的流通受限证券登记存管问题，造成基金财产的损失或基金托管人无法安全保管基金财产的责任与损失，由基金管理人承担。</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7、如果基金管理人未按照本协议的约定向基金托管人报送相关数据或者报送了虚假的数据，导致基金托管人不能履行基金托管人职责的，基金管理人应依法承担相应法律后果。除基金托管人未能依据基金合同及本协议履行职责外，因投资流通受限证券产生的损失，基金托管人按照本协议履行监督职责后不承担上述损失。</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lastRenderedPageBreak/>
        <w:t>（八）基金托管人发现基金管理人的上述事项及投资指令或实际投资运作中违反法律法规和基金合同的规定，应及时以书面形式通知基金管理人限期纠正。基金管理人应积极配合和协助基金托管人的监督和核查。基金管理人收到通知后应在下一工作日前及时核对并以书面形式给基金托管人发出回函，就基金托管人的合理疑义进行解释或举证，说明违规原因及纠正期限，并保证在规定期限内及时改正。在上述规定期限内，基金托管人有权随时对通知事项进行复查，督促基金管理人改正。基金管理人对基金托管人通知的违规事项未能在限期内纠正的，基金托管人应报告中国证监会。基金托管人发现基金管理人依据交易程序已经生效的投资指令违反法律、行政法规和其他有关规定，或者违反基金合同约定的，应当立即通知基金管理人，并报告中国证监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九）基金管理人有义务配合和协助基金托管人依照法律法规、基金合同和本托管协议对基金业务执行核查。对基金托管人发出的书面提示，基金管理人应在规定时间内答复并改正，或就基金托管人的合理疑义进行解释或举证；对基金托管人按照法规要求需向中国证监会报送基金监督报告的事项，基金管理人应积极配合提供相关数据资料和制度等。</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十）基金托管人发现基金管理人有重大违规行为，应及时报告中国证监会，同时通知基金管理人限期纠正，并将纠正结果报告中国证监会。基金管理人无正当理由，拒绝、阻挠基金托管人根据本协议规定行使监督权，或采取拖延、欺诈等手段妨碍基金托管人进行有效监督，情节严重或经基金托管人提出警告仍不改正的，基金托管人应报告中国证监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十一）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ascii="宋体" w:hAnsi="宋体" w:cs="宋体"/>
          <w:kern w:val="0"/>
          <w:sz w:val="24"/>
          <w:szCs w:val="24"/>
        </w:rPr>
        <w:t>启用侧袋机制</w:t>
      </w:r>
      <w:proofErr w:type="gramEnd"/>
      <w:r>
        <w:rPr>
          <w:rFonts w:ascii="宋体" w:hAnsi="宋体" w:cs="宋体"/>
          <w:kern w:val="0"/>
          <w:sz w:val="24"/>
          <w:szCs w:val="24"/>
        </w:rPr>
        <w:t>，无需召开基金份额持有人大会审议。</w:t>
      </w:r>
    </w:p>
    <w:p w:rsidR="008333A9" w:rsidRDefault="0002249C">
      <w:pPr>
        <w:pStyle w:val="div"/>
        <w:spacing w:line="360" w:lineRule="auto"/>
        <w:ind w:firstLine="480"/>
        <w:rPr>
          <w:rFonts w:ascii="宋体" w:hAnsi="宋体" w:cs="宋体"/>
          <w:kern w:val="0"/>
          <w:sz w:val="24"/>
          <w:szCs w:val="24"/>
        </w:rPr>
      </w:pPr>
      <w:proofErr w:type="gramStart"/>
      <w:r>
        <w:rPr>
          <w:rFonts w:ascii="宋体" w:hAnsi="宋体" w:cs="宋体"/>
          <w:kern w:val="0"/>
          <w:sz w:val="24"/>
          <w:szCs w:val="24"/>
        </w:rPr>
        <w:t>侧袋机制</w:t>
      </w:r>
      <w:proofErr w:type="gramEnd"/>
      <w:r>
        <w:rPr>
          <w:rFonts w:ascii="宋体" w:hAnsi="宋体" w:cs="宋体"/>
          <w:kern w:val="0"/>
          <w:sz w:val="24"/>
          <w:szCs w:val="24"/>
        </w:rPr>
        <w:t>实施期间，本基金的投资组合比例、投资策略、组合限制、业绩比较基准、风险收益特征等约定仅</w:t>
      </w:r>
      <w:proofErr w:type="gramStart"/>
      <w:r>
        <w:rPr>
          <w:rFonts w:ascii="宋体" w:hAnsi="宋体" w:cs="宋体"/>
          <w:kern w:val="0"/>
          <w:sz w:val="24"/>
          <w:szCs w:val="24"/>
        </w:rPr>
        <w:t>适用于主袋账户</w:t>
      </w:r>
      <w:proofErr w:type="gramEnd"/>
      <w:r>
        <w:rPr>
          <w:rFonts w:ascii="宋体" w:hAnsi="宋体" w:cs="宋体"/>
          <w:kern w:val="0"/>
          <w:sz w:val="24"/>
          <w:szCs w:val="24"/>
        </w:rPr>
        <w:t>。</w:t>
      </w:r>
    </w:p>
    <w:p w:rsidR="008333A9" w:rsidRDefault="0002249C">
      <w:pPr>
        <w:pStyle w:val="div"/>
        <w:spacing w:line="360" w:lineRule="auto"/>
        <w:ind w:firstLine="480"/>
        <w:rPr>
          <w:rFonts w:ascii="宋体" w:hAnsi="宋体" w:cs="宋体"/>
          <w:kern w:val="0"/>
          <w:sz w:val="24"/>
          <w:szCs w:val="24"/>
        </w:rPr>
      </w:pPr>
      <w:proofErr w:type="gramStart"/>
      <w:r>
        <w:rPr>
          <w:rFonts w:ascii="宋体" w:hAnsi="宋体" w:cs="宋体"/>
          <w:kern w:val="0"/>
          <w:sz w:val="24"/>
          <w:szCs w:val="24"/>
        </w:rPr>
        <w:t>侧袋账户</w:t>
      </w:r>
      <w:proofErr w:type="gramEnd"/>
      <w:r>
        <w:rPr>
          <w:rFonts w:ascii="宋体" w:hAnsi="宋体" w:cs="宋体"/>
          <w:kern w:val="0"/>
          <w:sz w:val="24"/>
          <w:szCs w:val="24"/>
        </w:rPr>
        <w:t>的实施条件、实施程序、运作安排（包括但不限于对基金赎回的影响、信息披露、费用列支等）、投资安排、特定资产的处置变现和支付等对投资者权益有重大影响的事项详见基金合同和招募说明书的规定。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lastRenderedPageBreak/>
        <w:t>基金托管人依照相关法律法规的规定以及基金合同和招募说明书的约定，对侧</w:t>
      </w:r>
      <w:proofErr w:type="gramStart"/>
      <w:r>
        <w:rPr>
          <w:rFonts w:ascii="宋体" w:hAnsi="宋体" w:cs="宋体"/>
          <w:kern w:val="0"/>
          <w:sz w:val="24"/>
          <w:szCs w:val="24"/>
        </w:rPr>
        <w:t>袋机制</w:t>
      </w:r>
      <w:proofErr w:type="gramEnd"/>
      <w:r>
        <w:rPr>
          <w:rFonts w:ascii="宋体" w:hAnsi="宋体" w:cs="宋体"/>
          <w:kern w:val="0"/>
          <w:sz w:val="24"/>
          <w:szCs w:val="24"/>
        </w:rPr>
        <w:t>启用、特定资产处置和信息披露等方面进行复核和监督。</w:t>
      </w:r>
    </w:p>
    <w:p w:rsidR="008333A9" w:rsidRDefault="0002249C">
      <w:pPr>
        <w:pStyle w:val="2"/>
        <w:keepNext w:val="0"/>
        <w:keepLines w:val="0"/>
        <w:spacing w:before="0" w:after="0" w:line="240" w:lineRule="auto"/>
        <w:ind w:firstLine="480"/>
        <w:rPr>
          <w:rFonts w:ascii="宋体" w:eastAsia="宋体" w:hAnsi="宋体" w:cs="宋体"/>
          <w:bCs/>
          <w:kern w:val="0"/>
          <w:sz w:val="24"/>
          <w:szCs w:val="24"/>
        </w:rPr>
      </w:pPr>
      <w:r>
        <w:rPr>
          <w:rFonts w:ascii="宋体" w:eastAsia="宋体" w:hAnsi="宋体" w:cs="宋体"/>
          <w:bCs/>
          <w:kern w:val="0"/>
          <w:sz w:val="24"/>
          <w:szCs w:val="24"/>
        </w:rPr>
        <w:t>三、基金管理人对基金托管人的业务核查</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一）基金管理人对基金托管人履行托管职责情况进行核查，核查事项包括基金托管人安全保管基金财产、开设基金财产的资金账户和证券账户等投资所需账户、复核基金管理人计算的基金资产净值和各类别基金份额的基金份额净值、根据基金管理人指令办理清算交收、相关信息披露和监督基金投资运作等行为。</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二）基金管理人发现基金托管人擅自挪用基金财产、未对基金财产实行分账管理、未执行或无故延迟执行基金管理人资金划拨指令、泄露基金投资信息等违反《基金法》、基金合同、本协议及其他有关规定时，应及时以书面形式通知基金托管人限期纠正。基金托管人收到通知后应在下一工作日前及时核对并以书面形式给基金管理人发出回函，说明违规原因及纠正期限，并保证在规定期限内及时改正。在上述规定期限内，基金管理人有权随时对通知事项进行复查，督促基金托管人改正。基金托管人应积极配合基金管理人的核查行为，包括但不限于：提交相关资料以</w:t>
      </w:r>
      <w:proofErr w:type="gramStart"/>
      <w:r>
        <w:rPr>
          <w:rFonts w:ascii="宋体" w:hAnsi="宋体" w:cs="宋体"/>
          <w:kern w:val="0"/>
          <w:sz w:val="24"/>
          <w:szCs w:val="24"/>
        </w:rPr>
        <w:t>供基金</w:t>
      </w:r>
      <w:proofErr w:type="gramEnd"/>
      <w:r>
        <w:rPr>
          <w:rFonts w:ascii="宋体" w:hAnsi="宋体" w:cs="宋体"/>
          <w:kern w:val="0"/>
          <w:sz w:val="24"/>
          <w:szCs w:val="24"/>
        </w:rPr>
        <w:t>管理人核查托管财产的完整性和真实性，在规定时间内答复基金管理人并改正。</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三）基金管理人发现基金托管人有重大违规行为，应及时报告中国证监会，同时通知基金托管人限期纠正，并将纠正结果报告中国证监会。基金托管人无正当理由，拒绝、阻挠基金管理人根据本协议规定行使监督权，或采取拖延、欺诈等手段妨碍基金管理人进行有效监督，情节严重或经基金管理人提出警告仍不改正的，基金管理人应报告中国证监会。</w:t>
      </w:r>
    </w:p>
    <w:p w:rsidR="008333A9" w:rsidRDefault="0002249C">
      <w:pPr>
        <w:pStyle w:val="2"/>
        <w:keepNext w:val="0"/>
        <w:keepLines w:val="0"/>
        <w:spacing w:before="0" w:after="0" w:line="240" w:lineRule="auto"/>
        <w:ind w:firstLine="480"/>
        <w:rPr>
          <w:rFonts w:ascii="宋体" w:eastAsia="宋体" w:hAnsi="宋体" w:cs="宋体"/>
          <w:bCs/>
          <w:kern w:val="0"/>
          <w:sz w:val="24"/>
          <w:szCs w:val="24"/>
        </w:rPr>
      </w:pPr>
      <w:r>
        <w:rPr>
          <w:rFonts w:ascii="宋体" w:eastAsia="宋体" w:hAnsi="宋体" w:cs="宋体"/>
          <w:bCs/>
          <w:kern w:val="0"/>
          <w:sz w:val="24"/>
          <w:szCs w:val="24"/>
        </w:rPr>
        <w:t>四、基金财产的保管</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（一）基金财产保管的原则</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1、基金财产应独立于基金管理人、基金托管人和证券经纪机构的固有财产。</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2、基金托管人应安全保管基金财产。未经基金管理人依据合法程序</w:t>
      </w:r>
      <w:proofErr w:type="gramStart"/>
      <w:r>
        <w:rPr>
          <w:rFonts w:ascii="宋体" w:hAnsi="宋体" w:cs="宋体"/>
          <w:kern w:val="0"/>
          <w:sz w:val="24"/>
          <w:szCs w:val="24"/>
        </w:rPr>
        <w:t>作出</w:t>
      </w:r>
      <w:proofErr w:type="gramEnd"/>
      <w:r>
        <w:rPr>
          <w:rFonts w:ascii="宋体" w:hAnsi="宋体" w:cs="宋体"/>
          <w:kern w:val="0"/>
          <w:sz w:val="24"/>
          <w:szCs w:val="24"/>
        </w:rPr>
        <w:t>的合法合</w:t>
      </w:r>
      <w:proofErr w:type="gramStart"/>
      <w:r>
        <w:rPr>
          <w:rFonts w:ascii="宋体" w:hAnsi="宋体" w:cs="宋体"/>
          <w:kern w:val="0"/>
          <w:sz w:val="24"/>
          <w:szCs w:val="24"/>
        </w:rPr>
        <w:t>规</w:t>
      </w:r>
      <w:proofErr w:type="gramEnd"/>
      <w:r>
        <w:rPr>
          <w:rFonts w:ascii="宋体" w:hAnsi="宋体" w:cs="宋体"/>
          <w:kern w:val="0"/>
          <w:sz w:val="24"/>
          <w:szCs w:val="24"/>
        </w:rPr>
        <w:t>指令，基金托管人不得自行运用、处分、分配基金的任何财产。</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3、基金托管人按照规定开设基金财产的资金账户和证券账户等投资所需账户。</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4、基金托管人对所托管的不同基金财产分别设置账户，独立核算，分账管理，确保基金财产的完整与独立。</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lastRenderedPageBreak/>
        <w:t>5、基金托管人根据基金管理人的指令，按照基金合同和本协议的约定保管基金财产，如有特殊情况双方可另行协商解决。</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6、对于因为基金投资产生的应收资产，应由基金管理人负责与有关当事人确定到账日期并通知基金托管人，到账日基金财产没有到达基金资金账户的，基金托管人应及时通知基金管理人采取措施进行催收。由此给基金财产造成损失的，基金托管人应予以必要的协助和配合，但对此不承担相应责任。</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7、除依据法律法规和基金合同的规定外，基金托管人不得委托第三人托管基金财产。</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（二）基金募集期间及募集资金的验资</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1、基金募集期间的资金应存于基金管理人在具有托管资格的商业银行开设的基金认购专户。该账户由基金管理人或接受基金管理人委托代为办理登记业务的机构开立并管理。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基金募集期满或基金停止募集时，在发起资金提供方认购本基金的金额不少于1000万元人民币且发起资金提供方承诺持有期限不少于3年的条件下，基金管理人应将属于基金财产的全部资金划入基金托管人开立的基金托管资金账户，同时在规定时间内，聘请符合《中华人民共和国证券法》规定的会计师事务所进行验资，出具验资报告。会计师事务所提交的验资报告需对发起资金提供方及其持有份额进行专门说明，出具的验资报告由参加验资的2名或2名以上中国注册会计师签字方为有效。</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w:t>
      </w:r>
      <w:proofErr w:type="gramStart"/>
      <w:r>
        <w:rPr>
          <w:rFonts w:ascii="宋体" w:hAnsi="宋体" w:cs="宋体"/>
          <w:kern w:val="0"/>
          <w:sz w:val="24"/>
          <w:szCs w:val="24"/>
        </w:rPr>
        <w:t>若基金</w:t>
      </w:r>
      <w:proofErr w:type="gramEnd"/>
      <w:r>
        <w:rPr>
          <w:rFonts w:ascii="宋体" w:hAnsi="宋体" w:cs="宋体"/>
          <w:kern w:val="0"/>
          <w:sz w:val="24"/>
          <w:szCs w:val="24"/>
        </w:rPr>
        <w:t>募集期限届满，未能达到基金合同生效的条件，由基金管理人在相关机构的协助下按规定办理退款等事宜，基金托管人应提供充分协助。</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（三）基金资金账户的开立和管理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1、基金托管人应负责本基金的资金账户的开设和管理。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2、基金托管人可以本基金的名义在其营业机构开设本基金的资金账户，并根据基金管理人合法合</w:t>
      </w:r>
      <w:proofErr w:type="gramStart"/>
      <w:r>
        <w:rPr>
          <w:rFonts w:ascii="宋体" w:hAnsi="宋体" w:cs="宋体"/>
          <w:kern w:val="0"/>
          <w:sz w:val="24"/>
          <w:szCs w:val="24"/>
        </w:rPr>
        <w:t>规</w:t>
      </w:r>
      <w:proofErr w:type="gramEnd"/>
      <w:r>
        <w:rPr>
          <w:rFonts w:ascii="宋体" w:hAnsi="宋体" w:cs="宋体"/>
          <w:kern w:val="0"/>
          <w:sz w:val="24"/>
          <w:szCs w:val="24"/>
        </w:rPr>
        <w:t>的指令办理资金收付。本基金的银行预留印鉴由基金托管人保管和使用。本基金的一切货币收支活动，包括但不限于投资、支付赎回金额、支付基金收益、收取申购款，均需通过本基金的资金账户进行。</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3、基金托管资金账户的开立和使用，限于满足开展本基金业务的需要。基金托管人和基金管理人不得假借本基金的名义开立任何其他银行账户；亦不得使</w:t>
      </w:r>
      <w:r>
        <w:rPr>
          <w:rFonts w:ascii="宋体" w:hAnsi="宋体" w:cs="宋体"/>
          <w:kern w:val="0"/>
          <w:sz w:val="24"/>
          <w:szCs w:val="24"/>
        </w:rPr>
        <w:lastRenderedPageBreak/>
        <w:t>用基金的任何账户进行本基金业务以外的活动。</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4、基金托管资金账户的开立和管理应符合相关法律法规的有关规定。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5、在符合法律法规规定的条件下，基金托管人可以通过基金托管人专用账户办理基金资产的支付。</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（四）证券资金账户的开立和管理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以基金名义在基金管理人选择的证券经营机构营业网点开立证券资金账户。证券经营机构根据相关法律法规、规范性文件为本基金开立证券资金账户，并按照该证券经营机构开户的流程和要求与基金管理人签订相关协议。交易所证券交易资金采用第三方存管模式，即用于证券交易的结算资金全额存放在基金管理人为基金开立的证券资金账户中，场内的证券交易资金清算由基金管理人所选择的证券经营机构负责。证券资金账户内的资金，只能通过证银转账方式将资金划转至基金托管资金账户，不得将资金划转至任何其他银行账户。基金托管人不负责办理场内的证券交易资金清算，也不负责保管证券资金账户内存放的资金。</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（五）基金证券账户的开立和管理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1、基金托管人在中国证券登记结算有限责任公司为基金开立基金托管人与基金联名的证券账户。</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2、基金证券账户的开立和使用，限于满足开展本基金业务的需要。基金托管人和基金管理人不得出借或未经对方同意擅自转让基金的任何证券账户，亦不得使用基金的任何账户进行本基金业务以外的活动。</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3、基金证券账户的开立由基金托管人负责，账户资产的管理和运用由基金管理人负责。</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5、在本托管协议生效日之后，本基金被允许从事其他投资品种的投资业务，涉及相关账户的开设、使用的，按有关规定开设、使用并管理；若无相关规定，</w:t>
      </w:r>
      <w:proofErr w:type="gramStart"/>
      <w:r>
        <w:rPr>
          <w:rFonts w:ascii="宋体" w:hAnsi="宋体" w:cs="宋体"/>
          <w:kern w:val="0"/>
          <w:sz w:val="24"/>
          <w:szCs w:val="24"/>
        </w:rPr>
        <w:t>则基金</w:t>
      </w:r>
      <w:proofErr w:type="gramEnd"/>
      <w:r>
        <w:rPr>
          <w:rFonts w:ascii="宋体" w:hAnsi="宋体" w:cs="宋体"/>
          <w:kern w:val="0"/>
          <w:sz w:val="24"/>
          <w:szCs w:val="24"/>
        </w:rPr>
        <w:t>托管人应当协助基金管理人办理账户的开立手续。</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（六）债券托管与结算账户的开设和管理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合同生效后，基金托管人根据中国人民银行、中央国债登记结算有限责任公司、银行间市场清算所股份有限公司的有关规定，以基金的名义在中央国债登记结算有限责任公司、银行间市场清算所股份有限公司开立债券托管与结算账</w:t>
      </w:r>
      <w:r>
        <w:rPr>
          <w:rFonts w:ascii="宋体" w:hAnsi="宋体" w:cs="宋体"/>
          <w:kern w:val="0"/>
          <w:sz w:val="24"/>
          <w:szCs w:val="24"/>
        </w:rPr>
        <w:lastRenderedPageBreak/>
        <w:t>户，并代表基金进行银行间市场债券的结算。基金管理人代表基金签订全国银行间债券市场债券回购主协议。</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（七）期货的相关账户的开立和管理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基金管理人应当按照相关规定开立期货结算账户、期货资金账户，在中国金融期货交易所获取交易编码。期货结算账户名称、期货资金账户名称及交易编码对应名称应按照有关规定设立。</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基金托管人已取得期货保证金存管银行资格，基金管理人授权基金托管人办理</w:t>
      </w:r>
      <w:proofErr w:type="gramStart"/>
      <w:r>
        <w:rPr>
          <w:rFonts w:ascii="宋体" w:hAnsi="宋体" w:cs="宋体"/>
          <w:kern w:val="0"/>
          <w:sz w:val="24"/>
          <w:szCs w:val="24"/>
        </w:rPr>
        <w:t>相关银期转账</w:t>
      </w:r>
      <w:proofErr w:type="gramEnd"/>
      <w:r>
        <w:rPr>
          <w:rFonts w:ascii="宋体" w:hAnsi="宋体" w:cs="宋体"/>
          <w:kern w:val="0"/>
          <w:sz w:val="24"/>
          <w:szCs w:val="24"/>
        </w:rPr>
        <w:t>业务。</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（八）其他账户的开立和管理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1、因业务发展需要而开立的其他账户，可以根据法律法规和基金合同的规定，在基金管理人和基金托管人商议后开立。新账户按有关规则使用并管理。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2、法律法规等有关规定对相关账户的开立和管理另有规定的，从其规定办理。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（九）基金财产投资的有关有价凭证等的保管</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财产投资的有关实物证券、银行定期存款存单等有价凭证由基金托管人负责妥善保管，保管凭证由基金托管人持有。基金托管人只负责对有价凭证进行保管，不负责对有价凭证真伪的辨别，不承担有价凭证对应存款的本金及收益的安全。实物证券的购买和转让，由基金托管人根据基金管理人的指令办理。属于基金托管人实际有效控制下的实物证券在基金托管人保管期间的损坏、灭失，由此产生的责任应由基金托管人承担。基金托管人对基金托管人以外机构实际有效控制的证券不承担保管责任。</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（十）与基金财产有关的重大合同的保管</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由基金管理人代表基金签署的、与基金有关的重大合同的原件分别由基金管理人、基金托管人保管。基金管理人在代表基金签署与基金有关的重大合同时应保证基金一方持有两份以上的正本，以便基金管理人和基金托管人至少各持有一份正本的原件。重大合同的保管期限不低于法律法规规定的最低期限。</w:t>
      </w:r>
    </w:p>
    <w:p w:rsidR="008333A9" w:rsidRDefault="0002249C">
      <w:pPr>
        <w:pStyle w:val="2"/>
        <w:keepNext w:val="0"/>
        <w:keepLines w:val="0"/>
        <w:spacing w:before="0" w:after="0" w:line="240" w:lineRule="auto"/>
        <w:ind w:firstLine="480"/>
        <w:rPr>
          <w:rFonts w:ascii="宋体" w:eastAsia="宋体" w:hAnsi="宋体" w:cs="宋体"/>
          <w:bCs/>
          <w:kern w:val="0"/>
          <w:sz w:val="24"/>
          <w:szCs w:val="24"/>
        </w:rPr>
      </w:pPr>
      <w:r>
        <w:rPr>
          <w:rFonts w:ascii="宋体" w:eastAsia="宋体" w:hAnsi="宋体" w:cs="宋体"/>
          <w:bCs/>
          <w:kern w:val="0"/>
          <w:sz w:val="24"/>
          <w:szCs w:val="24"/>
        </w:rPr>
        <w:t>五、基金资产净值计算和会计核算</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（一）基金资产净值的计算及复核程序</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1、基金资产净值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基金资产净值是指基金资产总值减去基金负债后的价值。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lastRenderedPageBreak/>
        <w:t>各类基金份额净值是按照每个估值日闭市后，各类基金资产净值除以当日该类基金份额的余额数量计算，均精确到0.0001元，小数点后第5位四舍五入，由此产生的误差计入基金财产。基金管理人可以设立大额赎回情形下的净值精度应急调整机制。国家另有规定的，从其规定。</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基金管理人每个估值日计算基金资产净值及各类基金份额净值，并按规定公告。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2、复核程序</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基金管理人每个估值日对基金资产进行估值后，将各类基金份额净值结果发送基金托管人，经基金托管人复核无误后，由基金管理人按约定对外公布。</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（二）基金资产估值方法和特殊情形的处理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1、估值对象</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基金所拥有的股票、债券、资产支持证券、股指期货合约、国债期货合约、股票期权合约、信用衍生品和银行存款本息、应收款项、其它投资等资产及负债。</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2、估值方法</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（1）证券交易所上市的有价证券的估值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2）交易所上市不存在活跃市场的有价证券，采用估值技术确定公允价值。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（2）处于未上市期间的有价证券应区分如下情况处理：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1）送股、转增股、配股和公开增发的新股，按估值日在证券交易所挂牌的同一股票的估值方法估值；该日无交易的，以最近一日的市价（收盘价）估值；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2）首次公开发行未上市的股票，采用估值技术确定公允价值，在估值技术难以可靠计量公允价值的情况下，按成本估值；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3）在发行时明确一定期限限售期的股票，包括但不限于非公开发行股票、首次公开发行股票时公司股东公开发售股份、通过大宗交易取得的带限售期的股</w:t>
      </w:r>
      <w:r>
        <w:rPr>
          <w:rFonts w:ascii="宋体" w:hAnsi="宋体" w:cs="宋体"/>
          <w:kern w:val="0"/>
          <w:sz w:val="24"/>
          <w:szCs w:val="24"/>
        </w:rPr>
        <w:lastRenderedPageBreak/>
        <w:t>票等，不包括停牌、新发行未上市、回购交易中的质押</w:t>
      </w:r>
      <w:proofErr w:type="gramStart"/>
      <w:r>
        <w:rPr>
          <w:rFonts w:ascii="宋体" w:hAnsi="宋体" w:cs="宋体"/>
          <w:kern w:val="0"/>
          <w:sz w:val="24"/>
          <w:szCs w:val="24"/>
        </w:rPr>
        <w:t>券</w:t>
      </w:r>
      <w:proofErr w:type="gramEnd"/>
      <w:r>
        <w:rPr>
          <w:rFonts w:ascii="宋体" w:hAnsi="宋体" w:cs="宋体"/>
          <w:kern w:val="0"/>
          <w:sz w:val="24"/>
          <w:szCs w:val="24"/>
        </w:rPr>
        <w:t>等流通受限股票，按监管机构或行业协会有关规定确定公允价值。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（3）以公允价值计量的固定收益品种</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1）对于已上市或已挂牌转让的不含</w:t>
      </w:r>
      <w:proofErr w:type="gramStart"/>
      <w:r>
        <w:rPr>
          <w:rFonts w:ascii="宋体" w:hAnsi="宋体" w:cs="宋体"/>
          <w:kern w:val="0"/>
          <w:sz w:val="24"/>
          <w:szCs w:val="24"/>
        </w:rPr>
        <w:t>权固定</w:t>
      </w:r>
      <w:proofErr w:type="gramEnd"/>
      <w:r>
        <w:rPr>
          <w:rFonts w:ascii="宋体" w:hAnsi="宋体" w:cs="宋体"/>
          <w:kern w:val="0"/>
          <w:sz w:val="24"/>
          <w:szCs w:val="24"/>
        </w:rPr>
        <w:t>收益品种，选取第三方估值基准服务机构提供的相应品种当日的估值全价；</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2）对于已上市或已挂牌转让的含</w:t>
      </w:r>
      <w:proofErr w:type="gramStart"/>
      <w:r>
        <w:rPr>
          <w:rFonts w:ascii="宋体" w:hAnsi="宋体" w:cs="宋体"/>
          <w:kern w:val="0"/>
          <w:sz w:val="24"/>
          <w:szCs w:val="24"/>
        </w:rPr>
        <w:t>权固定</w:t>
      </w:r>
      <w:proofErr w:type="gramEnd"/>
      <w:r>
        <w:rPr>
          <w:rFonts w:ascii="宋体" w:hAnsi="宋体" w:cs="宋体"/>
          <w:kern w:val="0"/>
          <w:sz w:val="24"/>
          <w:szCs w:val="24"/>
        </w:rPr>
        <w:t>收益品种，选取第三方估值基准服务机构提供的相应品种当日的唯一估值全价或推荐估值全价；</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对于含投资者回售权的固定收益品种，行使回售权的，在回售登记日至实际收款日期间选取第三方估值基准服务机构提供的相应品种的唯一估值全价或推荐估值全价，同时应充分考虑发行人的信用风险变化对公允价值的影响。回售登记期截止日（含当日）后未行使回售权的按照长待偿期所对应的价格进行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5）对于未上市或未挂牌转让且不存在活跃市场的固定收益品种，应采用在当前情况下适用并且有足够可利用数据和其他信息支持的估值技术确定其公允价值。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（5）同一证券同时在两个或两个以上市场交易的，按证券所处的市场分别估值。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（6）本基金投资股指期货合约，一般以股指期货估值日的结算价进行估值，估值当日无结算价的，且最近交易日后经济环境未发生重大变化的，采用最近交易日结算价估值。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（7）本基金投资股票期权合约，一般以股票期权估值日的结算价进行估值，</w:t>
      </w:r>
      <w:r>
        <w:rPr>
          <w:rFonts w:ascii="宋体" w:hAnsi="宋体" w:cs="宋体"/>
          <w:kern w:val="0"/>
          <w:sz w:val="24"/>
          <w:szCs w:val="24"/>
        </w:rPr>
        <w:lastRenderedPageBreak/>
        <w:t>估值当日无结算价的，且最近交易日后经济环境未发生重大变化的，采用最近交易日结算价估值。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（8）本基金投资国债期货合约，一般以国债期货估值日的结算价进行估值，估值当日无结算价的，且最近交易日后经济环境未发生重大变化的，采用最近交易日结算价估值。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9）估值计算中涉及港币或其他外币币种对人民币汇率的，将依据下列信息提供机构所提供的汇率为基准：当日中国人民银行或其授权机构公布的人民币汇率的中间价，或其他可以反映公允价值的汇率进行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税收：对于按照中国法律法规和基金投资境内外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10）信用衍生品按第三方估值机构提供的当日的估值价格进行估值，但基金管理人依法应当承担的估值责任不因委托而免除；选定的第三方估值机构未提供估值价格的，依照有关法律法规及《企业会计准则》要求采用合理估值技术确定公允价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（11）本基金投资存托凭证的估值核算，依照境内上市交易的股票进行。</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（12）如有确凿证据表明按上述方法进行估值不能客观反映其公允价值的，基金管理人可根据具体情况与基金托管人商定后，按最能反映公允价值的价格估值。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（13）当发生大额申购或赎回情形时，基金管理人可以采用摆动定价机制，以确保基金估值的公平性。</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（14）相关法律法规以及监管部门有强制规定的，从其规定。如有新增事项，按国家最新规定估值。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如基金管理人或基金托管人发现基金估值违反基金合同订明的估值方法、程序及相关法律法规的规定或者未能充分维护基金份额持有人利益时，应立即通知对方，共同查明原因，双方协商解决。</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根据有关法律法规，基金资产净值计算和基金会计核算的义务由基金管理人</w:t>
      </w:r>
      <w:r>
        <w:rPr>
          <w:rFonts w:ascii="宋体" w:hAnsi="宋体" w:cs="宋体"/>
          <w:kern w:val="0"/>
          <w:sz w:val="24"/>
          <w:szCs w:val="24"/>
        </w:rPr>
        <w:lastRenderedPageBreak/>
        <w:t>承担。本基金的基金会计责任方由基金管理人担任，因此，就与本基金有关的会计问题，如经相关各方在平等基础上充分讨论后，仍无法达成一致的意见，按照基金管理人对基金净值信息的计算结果对外予以公布，由此给基金份额持有人和基金造成的损失以及因该交易日基金资产净值计算顺延错误而引起的损失，由基金管理人负责赔付，基金托管人不负责赔付。</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3、特殊情形的处理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（1）基金管理人、基金托管人按估值方法的第（12）项进行估值时，所造成的误差不作为基金资产估值错误处理。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由于证券/期货交易所、登记结算公司等第三方机构发送的数据错误，或由于其他不可抗力等原因，基金管理人和基金托管人虽然已经采取必要、适当、合理的措施进行检查，但未能发现错误的，由此造成的基金资产估值错误，基金管理人和基金托管人免除赔偿责任。但基金管理人和基金托管人应当积极采取必要的措施减轻或消除由此造成的影响。</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（三）基金份额净值错误的处理方式</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基金管理人和基金托管人将采取必要、适当、合理的措施确保基金资产估值的准确性、及时性。当某类基金份额净值小数点后4位以内（含第4位）发生估值错误时，视为该类基金份额净值错误。</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基金合同的当事人应按照以下约定处理：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1、估值错误类型</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上述估值错误的主要类型包括但不限于：资料申报差错、数据传输差错、数据计算差错、系统故障差错、下达指令差错等。</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2、估值错误处理原则</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w:t>
      </w:r>
      <w:r>
        <w:rPr>
          <w:rFonts w:ascii="宋体" w:hAnsi="宋体" w:cs="宋体"/>
          <w:kern w:val="0"/>
          <w:sz w:val="24"/>
          <w:szCs w:val="24"/>
        </w:rPr>
        <w:lastRenderedPageBreak/>
        <w:t>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（2）估值错误的责任方对有关当事人的直接损失负责，不对间接损失负责，并且仅对估值错误的有关直接当事人负责，不对第三方负责。</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（3）因估值错误而获得不当得利的当事人负有及时返还不当得利的义务。但估值错误责任方仍应对估值错误负责。如果由于获得不当得利的当事人</w:t>
      </w:r>
      <w:proofErr w:type="gramStart"/>
      <w:r>
        <w:rPr>
          <w:rFonts w:ascii="宋体" w:hAnsi="宋体" w:cs="宋体"/>
          <w:kern w:val="0"/>
          <w:sz w:val="24"/>
          <w:szCs w:val="24"/>
        </w:rPr>
        <w:t>不</w:t>
      </w:r>
      <w:proofErr w:type="gramEnd"/>
      <w:r>
        <w:rPr>
          <w:rFonts w:ascii="宋体" w:hAnsi="宋体" w:cs="宋体"/>
          <w:kern w:val="0"/>
          <w:sz w:val="24"/>
          <w:szCs w:val="24"/>
        </w:rPr>
        <w:t>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（4）估值错误调整采用尽量恢复至假设未发生估值错误的正确情形的方式。</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3、估值错误处理程序</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估值错误被发现后，有关的当事人应当及时进行处理，处理的程序如下：</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（1）查明估值错误发生的原因，列明所有的当事人，并根据估值错误发生的原因确定估值错误的责任方；</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（2）根据估值错误处理原则或当事人协商的方法对因估值错误造成的损失进行评估；</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（3）根据估值错误处理原则或当事人协商的方法由估值错误的责任方进行更正和赔偿损失；</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（4）根据估值错误处理的方法，需要修改基金登记机构交易数据的，由基金登记机构进行更正，并就估值错误的更正向有关当事人进行确认。</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4、基金份额净值估值错误处理的方法如下：</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（1）某类基金份额净值计算出现错误时，基金管理人应当立即予以纠正，通报基金托管人，并采取合理的措施防止损失进一步扩大。</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（2）错误偏差达到某类基金份额净值的0.25%时，基金管理人应当通报基金托管人并报中国证监会备案；错误偏差达到某类基金份额净值的0.5%时，基</w:t>
      </w:r>
      <w:r>
        <w:rPr>
          <w:rFonts w:ascii="宋体" w:hAnsi="宋体" w:cs="宋体"/>
          <w:kern w:val="0"/>
          <w:sz w:val="24"/>
          <w:szCs w:val="24"/>
        </w:rPr>
        <w:lastRenderedPageBreak/>
        <w:t>金管理人应当公告，并报中国证监会备案。</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（3）当基金份额净值计算差错给基金和基金份额持有人造成损失需要进行赔偿时，基金管理人和基金托管人应根据实际情况界定双方承担的责任，经确认后按以下条款进行赔偿：</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①本基金的基金会计责任方由基金管理人担任，与本基金有关的会计问题，如经双方在平等基础上充分讨论后，尚不能达成一致时，按基金管理人的建议执行，由此给基金份额持有人和基金财产造成的损失，由基金管理人负责赔付。</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②</w:t>
      </w:r>
      <w:proofErr w:type="gramStart"/>
      <w:r>
        <w:rPr>
          <w:rFonts w:ascii="宋体" w:hAnsi="宋体" w:cs="宋体"/>
          <w:kern w:val="0"/>
          <w:sz w:val="24"/>
          <w:szCs w:val="24"/>
        </w:rPr>
        <w:t>若基金</w:t>
      </w:r>
      <w:proofErr w:type="gramEnd"/>
      <w:r>
        <w:rPr>
          <w:rFonts w:ascii="宋体" w:hAnsi="宋体" w:cs="宋体"/>
          <w:kern w:val="0"/>
          <w:sz w:val="24"/>
          <w:szCs w:val="24"/>
        </w:rPr>
        <w:t>管理人计算的基金份额净值已由基金托管人复核确认后公告，由此给基金份额持有人造成损失的，应根据法律法规的规定对投资者或基金支付赔偿金，就实际向投资者或基金支付的赔偿金额，基金管理人与基金托管人按照过错程度各自承担相应的责任。</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③如基金管理人和基金托管人对基金份额净值的计算结果，虽然多次重新计算和核对，尚不能达成一致时，为避免不能按时公布基金份额净值的情形，以基金管理人的计算结果对外公布，由此给基金份额持有人和基金造成的损失，由基金管理人负责赔付。</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④由于基金管理人提供的信息错误（包括但不限于基金申购或赎回金额等），进而导致基金份额净值计算错误而引起的基金份额持有人和基金财产的损失，由基金管理人负责赔付。</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（4）前述内容如法律法规或者监管机构另有规定的，从其规定处理。如果行业另有通行做法，基金管理人和基金托管人应本着平等和保护基金份额持有人利益的原则进行协商。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（四）暂停估值的情形</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1、基金投资所涉及的证券/期货交易市场遇法定节假日或因其他原因暂停营业时；</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2、因不可抗力或其他情形致使基金管理人、基金托管人无法准确评估基金资产价值时；</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3、当特定资产占前一估值日基金资产净值50%以上的，经与基金托管人协商确认后，基金管理人应当暂停估值；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4、法律法规规定、中国证监会和基金合同认定的其他情形。</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lastRenderedPageBreak/>
        <w:t>（五）基金会计制度</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按国家有关部门规定的会计制度执行。</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（六）基金账册的建立</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基金管理人进行基金会计核算并编制基金财务会计报告。基金管理人独立地设置、记录和保管本基金的全套账册。</w:t>
      </w:r>
      <w:proofErr w:type="gramStart"/>
      <w:r>
        <w:rPr>
          <w:rFonts w:ascii="宋体" w:hAnsi="宋体" w:cs="宋体"/>
          <w:kern w:val="0"/>
          <w:sz w:val="24"/>
          <w:szCs w:val="24"/>
        </w:rPr>
        <w:t>若基金</w:t>
      </w:r>
      <w:proofErr w:type="gramEnd"/>
      <w:r>
        <w:rPr>
          <w:rFonts w:ascii="宋体" w:hAnsi="宋体" w:cs="宋体"/>
          <w:kern w:val="0"/>
          <w:sz w:val="24"/>
          <w:szCs w:val="24"/>
        </w:rPr>
        <w:t>管理人和基金托管人对会计处理方法存在分歧，应以基金管理人的处理方法为准。若当日核对不符，暂时无法查找到错账的原因而影响到基金净值信息的计算和公告的，以基金管理人的账册为准。</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（七）基金财务报表与报告的编制和复核</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1、财务报表的编制</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当及时编制并对外提供真实、完整的基金财务会计报告。月度报表的编制，基金管理人应于每月终了后5个工作日内完成；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季度报告应在季度结束之日起15个工作日内编制完毕并予以公告；中期报告在上半年结束之日起两个月内编制完毕并予以公告；年度报告在每年结束之日起三个月内编制完毕并予以公告。基金合同生效不足2个月的，基金管理人可以不编制当期季度报告、中期报告或者年度报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2、报表复核</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在月度报表完成当日，将报表盖章后提供给基金托管人复核；基金托管人在收到后应在3日内进行复核，并将复核结果书面通知基金管理人。基金管理人在季度报告完成当日，将有关报告提供给基金托管人复核，基金托管人应在收到后7个工作日内完成复核，并将复核结果书面通知基金管理人。基金管理人在中期报告完成当日，将有关报告提供给基金托管人复核，基金托管人应在收到后30日内完成复核，并将复核结果书面通知基金管理人。基金管理人在年度报告完成当日，将有关报告提供基金托管人复核，基金托管人应在收到后45日内完成复核，并将复核结果书面通知基金管理人。基金管理人和基金托管人之间的上述文件往来均以传真的方式或双方商定的其他方式进行。</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基金托管人在复核过程中，发现双方的报表存在不符时，基金管理人和基金</w:t>
      </w:r>
      <w:r>
        <w:rPr>
          <w:rFonts w:ascii="宋体" w:hAnsi="宋体" w:cs="宋体"/>
          <w:kern w:val="0"/>
          <w:sz w:val="24"/>
          <w:szCs w:val="24"/>
        </w:rPr>
        <w:lastRenderedPageBreak/>
        <w:t>托管人应共同查明原因，进行调整，调整以双方认可的账务处理方式为准；若双方无法达成一致，以基金管理人的账务处理为准。核对无误后，基金托管人在基金管理人提供的报告上加盖托管业务专用章或者出具加盖托管业务专用章的复核意见书或进行电子确认，双方各自留存一份。如果基金管理人与基金托管人不能</w:t>
      </w:r>
      <w:proofErr w:type="gramStart"/>
      <w:r>
        <w:rPr>
          <w:rFonts w:ascii="宋体" w:hAnsi="宋体" w:cs="宋体"/>
          <w:kern w:val="0"/>
          <w:sz w:val="24"/>
          <w:szCs w:val="24"/>
        </w:rPr>
        <w:t>于应当</w:t>
      </w:r>
      <w:proofErr w:type="gramEnd"/>
      <w:r>
        <w:rPr>
          <w:rFonts w:ascii="宋体" w:hAnsi="宋体" w:cs="宋体"/>
          <w:kern w:val="0"/>
          <w:sz w:val="24"/>
          <w:szCs w:val="24"/>
        </w:rPr>
        <w:t>发布公告之日之前就相关报表达成一致，基金管理人有权按照其编制的报表对外发布公告，基金托管人有权就相关情况报中国证监会备案。</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（八）基金管理人应每季向基金托管人提供基金业绩比较基准的基础数据和编制结果。</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（九）实施</w:t>
      </w:r>
      <w:proofErr w:type="gramStart"/>
      <w:r>
        <w:rPr>
          <w:rFonts w:ascii="宋体" w:hAnsi="宋体" w:cs="宋体"/>
          <w:kern w:val="0"/>
          <w:sz w:val="24"/>
          <w:szCs w:val="24"/>
        </w:rPr>
        <w:t>侧袋机制</w:t>
      </w:r>
      <w:proofErr w:type="gramEnd"/>
      <w:r>
        <w:rPr>
          <w:rFonts w:ascii="宋体" w:hAnsi="宋体" w:cs="宋体"/>
          <w:kern w:val="0"/>
          <w:sz w:val="24"/>
          <w:szCs w:val="24"/>
        </w:rPr>
        <w:t>期间的基金资产估值</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本基金实施</w:t>
      </w:r>
      <w:proofErr w:type="gramStart"/>
      <w:r>
        <w:rPr>
          <w:rFonts w:ascii="宋体" w:hAnsi="宋体" w:cs="宋体"/>
          <w:kern w:val="0"/>
          <w:sz w:val="24"/>
          <w:szCs w:val="24"/>
        </w:rPr>
        <w:t>侧袋机制</w:t>
      </w:r>
      <w:proofErr w:type="gramEnd"/>
      <w:r>
        <w:rPr>
          <w:rFonts w:ascii="宋体" w:hAnsi="宋体" w:cs="宋体"/>
          <w:kern w:val="0"/>
          <w:sz w:val="24"/>
          <w:szCs w:val="24"/>
        </w:rPr>
        <w:t>的，应根据本部分的约定</w:t>
      </w:r>
      <w:proofErr w:type="gramStart"/>
      <w:r>
        <w:rPr>
          <w:rFonts w:ascii="宋体" w:hAnsi="宋体" w:cs="宋体"/>
          <w:kern w:val="0"/>
          <w:sz w:val="24"/>
          <w:szCs w:val="24"/>
        </w:rPr>
        <w:t>对主袋账户</w:t>
      </w:r>
      <w:proofErr w:type="gramEnd"/>
      <w:r>
        <w:rPr>
          <w:rFonts w:ascii="宋体" w:hAnsi="宋体" w:cs="宋体"/>
          <w:kern w:val="0"/>
          <w:sz w:val="24"/>
          <w:szCs w:val="24"/>
        </w:rPr>
        <w:t>资产进行估值并</w:t>
      </w:r>
      <w:proofErr w:type="gramStart"/>
      <w:r>
        <w:rPr>
          <w:rFonts w:ascii="宋体" w:hAnsi="宋体" w:cs="宋体"/>
          <w:kern w:val="0"/>
          <w:sz w:val="24"/>
          <w:szCs w:val="24"/>
        </w:rPr>
        <w:t>披露主袋账户</w:t>
      </w:r>
      <w:proofErr w:type="gramEnd"/>
      <w:r>
        <w:rPr>
          <w:rFonts w:ascii="宋体" w:hAnsi="宋体" w:cs="宋体"/>
          <w:kern w:val="0"/>
          <w:sz w:val="24"/>
          <w:szCs w:val="24"/>
        </w:rPr>
        <w:t>的基金净值信息，暂停</w:t>
      </w:r>
      <w:proofErr w:type="gramStart"/>
      <w:r>
        <w:rPr>
          <w:rFonts w:ascii="宋体" w:hAnsi="宋体" w:cs="宋体"/>
          <w:kern w:val="0"/>
          <w:sz w:val="24"/>
          <w:szCs w:val="24"/>
        </w:rPr>
        <w:t>披露侧袋账户</w:t>
      </w:r>
      <w:proofErr w:type="gramEnd"/>
      <w:r>
        <w:rPr>
          <w:rFonts w:ascii="宋体" w:hAnsi="宋体" w:cs="宋体"/>
          <w:kern w:val="0"/>
          <w:sz w:val="24"/>
          <w:szCs w:val="24"/>
        </w:rPr>
        <w:t>份额净值。</w:t>
      </w:r>
    </w:p>
    <w:p w:rsidR="008333A9" w:rsidRDefault="0002249C">
      <w:pPr>
        <w:pStyle w:val="2"/>
        <w:keepNext w:val="0"/>
        <w:keepLines w:val="0"/>
        <w:spacing w:before="0" w:after="0" w:line="240" w:lineRule="auto"/>
        <w:ind w:firstLine="480"/>
        <w:rPr>
          <w:rFonts w:ascii="宋体" w:eastAsia="宋体" w:hAnsi="宋体" w:cs="宋体"/>
          <w:bCs/>
          <w:kern w:val="0"/>
          <w:sz w:val="24"/>
          <w:szCs w:val="24"/>
        </w:rPr>
      </w:pPr>
      <w:r>
        <w:rPr>
          <w:rFonts w:ascii="宋体" w:eastAsia="宋体" w:hAnsi="宋体" w:cs="宋体"/>
          <w:bCs/>
          <w:kern w:val="0"/>
          <w:sz w:val="24"/>
          <w:szCs w:val="24"/>
        </w:rPr>
        <w:t>六、基金份额持有人名册的保管</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基金的基金管理人和基金托管人须分别妥善保管的基金份额持有人名册，包括基金合同生效日、基金合同终止日、基金权益登记日、基金份额持有人大会权益登记日、每年6月30日、12月31日的基金份额持有人名册。基金份额持有人名册的内容至少应包括持有人的名称和持有的基金份额。</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份额持有人名册由登记机构编制，由基金管理人审核并提交基金托管人保管。基金托管人有权要求基金管理人提供任意一个交易日或全部交易日的基金份额持有人名册，基金管理人应及时提供，不得拖延或拒绝提供。</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应及时向基金托管人提交基金份额持有人名册。每年6月30日和12月31日的基金份额持有人名册应于下月前十个工作日内提交；基金合同生效日、基金合同终止日等涉及到基金重要事项日期的基金份额持有人名册应于发生日后十个工作日内提交。</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基金管理人和基金托管人应妥善保管基金份额持有人名册，保存期限不低于法律法规规定的最低期限。基金托管人不得将所保管的基金份额持有人名册用于基金托管业务以外的其他用途，并应遵守保密义务。</w:t>
      </w:r>
      <w:proofErr w:type="gramStart"/>
      <w:r>
        <w:rPr>
          <w:rFonts w:ascii="宋体" w:hAnsi="宋体" w:cs="宋体"/>
          <w:kern w:val="0"/>
          <w:sz w:val="24"/>
          <w:szCs w:val="24"/>
        </w:rPr>
        <w:t>若基金</w:t>
      </w:r>
      <w:proofErr w:type="gramEnd"/>
      <w:r>
        <w:rPr>
          <w:rFonts w:ascii="宋体" w:hAnsi="宋体" w:cs="宋体"/>
          <w:kern w:val="0"/>
          <w:sz w:val="24"/>
          <w:szCs w:val="24"/>
        </w:rPr>
        <w:t>管理人或基金托管人由于自身原因无法妥善保管基金份额持有人名册，应按有关法规规定各自承担相应的责任。</w:t>
      </w:r>
    </w:p>
    <w:p w:rsidR="008333A9" w:rsidRDefault="0002249C">
      <w:pPr>
        <w:pStyle w:val="2"/>
        <w:keepNext w:val="0"/>
        <w:keepLines w:val="0"/>
        <w:spacing w:before="0" w:after="0" w:line="240" w:lineRule="auto"/>
        <w:ind w:firstLine="480"/>
        <w:rPr>
          <w:rFonts w:ascii="宋体" w:eastAsia="宋体" w:hAnsi="宋体" w:cs="宋体"/>
          <w:bCs/>
          <w:kern w:val="0"/>
          <w:sz w:val="24"/>
          <w:szCs w:val="24"/>
        </w:rPr>
      </w:pPr>
      <w:r>
        <w:rPr>
          <w:rFonts w:ascii="宋体" w:eastAsia="宋体" w:hAnsi="宋体" w:cs="宋体"/>
          <w:bCs/>
          <w:kern w:val="0"/>
          <w:sz w:val="24"/>
          <w:szCs w:val="24"/>
        </w:rPr>
        <w:t>七、争议解决方式</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因本协议产生或与之相关的争议，双方当事人应通过协商、调解解决，协商、</w:t>
      </w:r>
      <w:r>
        <w:rPr>
          <w:rFonts w:ascii="宋体" w:hAnsi="宋体" w:cs="宋体"/>
          <w:kern w:val="0"/>
          <w:sz w:val="24"/>
          <w:szCs w:val="24"/>
        </w:rPr>
        <w:lastRenderedPageBreak/>
        <w:t>调解不能解决的，任何一方均有权将争议提交中国国际经济贸易仲裁委员会，按照中国国际经济贸易仲裁委员会届时有效的仲裁规则进行仲裁，仲裁地点为北京市。仲裁裁决是终局的，对当事人均有约束力。除非仲裁裁决另有规定，仲裁费由败诉方承担。</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争议处理期间，双方当事人应恪守基金管理人和基金托管人职责，各自继续忠实、勤勉、尽责地履行基金合同和本托管协议规定的义务，维护基金份额持有人的合法权益。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本协议适用中华人民共和国法律（为本协议之目的，不包括香港特别行政区、澳门特别行政区和台湾地区法律）并从其解释。</w:t>
      </w:r>
    </w:p>
    <w:p w:rsidR="008333A9" w:rsidRDefault="0002249C">
      <w:pPr>
        <w:pStyle w:val="2"/>
        <w:keepNext w:val="0"/>
        <w:keepLines w:val="0"/>
        <w:spacing w:before="0" w:after="0" w:line="240" w:lineRule="auto"/>
        <w:ind w:firstLine="480"/>
        <w:rPr>
          <w:rFonts w:ascii="宋体" w:eastAsia="宋体" w:hAnsi="宋体" w:cs="宋体"/>
          <w:bCs/>
          <w:kern w:val="0"/>
          <w:sz w:val="24"/>
          <w:szCs w:val="24"/>
        </w:rPr>
      </w:pPr>
      <w:r>
        <w:rPr>
          <w:rFonts w:ascii="宋体" w:eastAsia="宋体" w:hAnsi="宋体" w:cs="宋体"/>
          <w:bCs/>
          <w:kern w:val="0"/>
          <w:sz w:val="24"/>
          <w:szCs w:val="24"/>
        </w:rPr>
        <w:t>八、基金托管协议的变更、终止与基金财产的清算</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（一）托管协议的变更程序</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本协议双方当事人经协商一致，可以对协议进行修改。修改后的新协议，其内容不得与基金合同的规定有任何冲突。</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（二）基金托管协议终止的情形</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1、基金合同终止；</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2、基金托管人解散、依法被撤销、破产或由其他基金托管人接管基金资产；</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3、基金管理人解散、依法被撤销、破产或由其他基金管理人接管基金管理权；</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4、发生法律法规、中国证监会或基金合同规定的终止事项。</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（三）基金财产的清算</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1、基金财产清算小组：自出现《基金合同》终止事由之日起30个工作日内成立清算小组，基金管理人组织基金财产清算小组并在中国证监会的监督下进行基金清算。</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2、基金财产清算小组组成：基金财产清算小组成员由基金管理人、基金托管人、符合《中华人民共和国证券法》规定的注册会计师、律师以及中国证监会指定的人员组成。基金财产清算小组可以聘用必要的工作人员。</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3、基金财产清算小组职责：基金财产清算小组负责基金财产的保管、清理、估价、变现和分配。基金财产清算小组可以依法进行必要的民事活动。</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4、基金财产清算程序：</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（1）《基金合同》终止情形出现时，由基金财产清算小组统一接管基金；</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lastRenderedPageBreak/>
        <w:t>（2）对基金财产和债权债务进行清理和确认；</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（3）对基金财产进行估值和变现；</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（4）制作清算报告；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（5）聘请符合《中华人民共和国证券法》规定的会计师事务所对清算报告进行外部审计，聘请律师事务所对清算报告出具法律意见书；</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（6）将清算报告报中国证监会备案并公告；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（7）对基金剩余财产进行分配。</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5、基金财产清算的期限为6个月，但因本基金所持证券的流动性受到限制而不能及时变现的，清算期限相应顺延。</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（四）清算费用</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清算费用是指基金财产清算小组在进行基金财产清算过程中发生的所有合理费用，清算费用由基金财产清算小组优先从基金剩余财产中支付。</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（五）基金财产清算剩余资产的分配</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依据基金财产清算的分配方案，将基金财产清算后的全部剩余资产扣除基金财产清算费用、交纳所欠税款并清偿基金债务后，按基金份额持有人持有的基金份额比例进行分配。</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（六）基金财产清算的公告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清算过程中的有关重大事项须及时公告；基金财产清算报告</w:t>
      </w:r>
      <w:proofErr w:type="gramStart"/>
      <w:r>
        <w:rPr>
          <w:rFonts w:ascii="宋体" w:hAnsi="宋体" w:cs="宋体"/>
          <w:kern w:val="0"/>
          <w:sz w:val="24"/>
          <w:szCs w:val="24"/>
        </w:rPr>
        <w:t>经符合</w:t>
      </w:r>
      <w:proofErr w:type="gramEnd"/>
      <w:r>
        <w:rPr>
          <w:rFonts w:ascii="宋体" w:hAnsi="宋体" w:cs="宋体"/>
          <w:kern w:val="0"/>
          <w:sz w:val="24"/>
          <w:szCs w:val="24"/>
        </w:rPr>
        <w:t>《中华人民共和国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（七）基金财产清算账册及文件的保存</w:t>
      </w:r>
    </w:p>
    <w:p w:rsidR="008333A9" w:rsidRDefault="0002249C">
      <w:pPr>
        <w:pStyle w:val="div"/>
        <w:spacing w:line="360" w:lineRule="auto"/>
        <w:ind w:firstLine="480"/>
        <w:rPr>
          <w:rFonts w:ascii="宋体" w:hAnsi="宋体" w:cs="宋体"/>
          <w:kern w:val="0"/>
          <w:sz w:val="24"/>
          <w:szCs w:val="24"/>
        </w:rPr>
      </w:pPr>
      <w:r>
        <w:rPr>
          <w:rFonts w:ascii="宋体" w:hAnsi="宋体" w:cs="宋体"/>
          <w:kern w:val="0"/>
          <w:sz w:val="24"/>
          <w:szCs w:val="24"/>
        </w:rPr>
        <w:t>基金财产清算账册及有关文件由基金托管人保存，保存期限不少于法定最低期限。</w:t>
      </w:r>
      <w:r>
        <w:rPr>
          <w:rFonts w:ascii="宋体" w:hAnsi="宋体" w:cs="宋体"/>
          <w:kern w:val="0"/>
          <w:sz w:val="24"/>
          <w:szCs w:val="24"/>
        </w:rPr>
        <w:br w:type="page"/>
      </w:r>
    </w:p>
    <w:p w:rsidR="008333A9" w:rsidRDefault="0002249C">
      <w:pPr>
        <w:pStyle w:val="1"/>
        <w:spacing w:before="0" w:after="0"/>
        <w:jc w:val="center"/>
        <w:rPr>
          <w:rFonts w:ascii="Times New Roman"/>
          <w:color w:val="auto"/>
          <w:sz w:val="30"/>
        </w:rPr>
      </w:pPr>
      <w:bookmarkStart w:id="56" w:name="_Toc256000020"/>
      <w:bookmarkEnd w:id="55"/>
      <w:r>
        <w:rPr>
          <w:rFonts w:ascii="Times New Roman"/>
          <w:color w:val="auto"/>
          <w:sz w:val="30"/>
        </w:rPr>
        <w:lastRenderedPageBreak/>
        <w:t>第二十一部分</w:t>
      </w:r>
      <w:r>
        <w:rPr>
          <w:rFonts w:ascii="Times New Roman"/>
          <w:color w:val="auto"/>
          <w:sz w:val="30"/>
        </w:rPr>
        <w:t xml:space="preserve">  </w:t>
      </w:r>
      <w:r>
        <w:rPr>
          <w:rFonts w:ascii="Times New Roman"/>
          <w:color w:val="auto"/>
          <w:sz w:val="30"/>
        </w:rPr>
        <w:t>对基金份额持有人的服务</w:t>
      </w:r>
      <w:bookmarkEnd w:id="56"/>
    </w:p>
    <w:p w:rsidR="008333A9" w:rsidRDefault="008333A9"/>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对于基金份额持有人，基金管理人将根据具体情况提供一系列的服务，并将根据基金份额持有人的需要和市场的变化，增加或变更服务项目。主要服务内容如下：</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一、基金份额持有人登记服务</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基金管理人为基金份额持有人提供登记服务。基金管理人将配备安全、完善的电脑系统及通讯系统，准确、及时地为基金投资者办理基金账户、基金份额的登记、管理、托管与转托管；基金转换和</w:t>
      </w:r>
      <w:proofErr w:type="gramStart"/>
      <w:r>
        <w:rPr>
          <w:rFonts w:ascii="宋体" w:hAnsi="宋体" w:cs="宋体"/>
          <w:kern w:val="0"/>
          <w:sz w:val="24"/>
          <w:szCs w:val="24"/>
        </w:rPr>
        <w:t>非交易</w:t>
      </w:r>
      <w:proofErr w:type="gramEnd"/>
      <w:r>
        <w:rPr>
          <w:rFonts w:ascii="宋体" w:hAnsi="宋体" w:cs="宋体"/>
          <w:kern w:val="0"/>
          <w:sz w:val="24"/>
          <w:szCs w:val="24"/>
        </w:rPr>
        <w:t>过户；基金份额持有人名册的管理；权益分配时红利的登记派发；基金交易份额的清算过户和基金交易资金的交收等服务。</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二、基金份额持有人交易信息查询及信息定制服务</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1、基金交易确认查询服务：基金投资者在交易申请被受理的2个工作日后，可以到销售网点查询和打印该项交易的确认信息，或者通过基金管理人客</w:t>
      </w:r>
      <w:proofErr w:type="gramStart"/>
      <w:r>
        <w:rPr>
          <w:rFonts w:ascii="宋体" w:hAnsi="宋体" w:cs="宋体"/>
          <w:kern w:val="0"/>
          <w:sz w:val="24"/>
          <w:szCs w:val="24"/>
        </w:rPr>
        <w:t>服电话</w:t>
      </w:r>
      <w:proofErr w:type="gramEnd"/>
      <w:r>
        <w:rPr>
          <w:rFonts w:ascii="宋体" w:hAnsi="宋体" w:cs="宋体"/>
          <w:kern w:val="0"/>
          <w:sz w:val="24"/>
          <w:szCs w:val="24"/>
        </w:rPr>
        <w:t>及网站进行查询。</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2、基金对账单服务：基金管理人向基金份额持有人提供对账单服务，基金份额持有人可自主选择对账单的发送方式，如纸制对账单、电子邮件对账单或短信对账单，或者通过基金管理人网站进行在线对账单的查询与打印。</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3、信息定制服务：基金份额持有人可以通过基金管理人网站、客服热线电话、手机短信等通道提交信息定制申请。可定制的信息主要有：基金份额净值、交易确认、对账单服务等。基金管理人可根据实际业务需要，调整定制信息的条件、方式和内容。</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三、客户服务中心电话服务</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基金管理</w:t>
      </w:r>
      <w:proofErr w:type="gramStart"/>
      <w:r>
        <w:rPr>
          <w:rFonts w:ascii="宋体" w:hAnsi="宋体" w:cs="宋体"/>
          <w:kern w:val="0"/>
          <w:sz w:val="24"/>
          <w:szCs w:val="24"/>
        </w:rPr>
        <w:t>人客户</w:t>
      </w:r>
      <w:proofErr w:type="gramEnd"/>
      <w:r>
        <w:rPr>
          <w:rFonts w:ascii="宋体" w:hAnsi="宋体" w:cs="宋体"/>
          <w:kern w:val="0"/>
          <w:sz w:val="24"/>
          <w:szCs w:val="24"/>
        </w:rPr>
        <w:t>服务中心提供24小时自动语音查询服务，基金份额持有人可查询基金余额、交易情况、基金产品与服务等相关信息。</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客户服务中心在每一工作日提供不少于12小时的人工咨询服务。基金份额持有人可通过基金管理人全国统一客服热线：400-888-9918（免长途话费）享受业务咨询、信息查询、信息定制、通讯资料修改、投诉建议等多项服务。</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四、网站服务</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lastRenderedPageBreak/>
        <w:t>基金份额持有人可以通过基金管理人网站（www.99fund.com）享受理财资讯、信息披露、账户信息、交易信息、在线咨询等多项服务。</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基金份额持有人可以通过基金管理人网站“网上交易”办理开户、交易及查询等业务。有关基金网上交易的协议文本请参见基金管理人网站。</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五、投诉受理服务</w:t>
      </w:r>
    </w:p>
    <w:p w:rsidR="008333A9" w:rsidRDefault="0002249C">
      <w:pPr>
        <w:pStyle w:val="div"/>
        <w:widowControl/>
        <w:spacing w:line="360" w:lineRule="auto"/>
        <w:ind w:firstLine="480"/>
        <w:jc w:val="left"/>
        <w:rPr>
          <w:rFonts w:eastAsia="Times New Roman"/>
          <w:kern w:val="0"/>
          <w:sz w:val="24"/>
          <w:szCs w:val="24"/>
        </w:rPr>
      </w:pPr>
      <w:r>
        <w:rPr>
          <w:rFonts w:ascii="宋体" w:hAnsi="宋体" w:cs="宋体"/>
          <w:kern w:val="0"/>
          <w:sz w:val="24"/>
          <w:szCs w:val="24"/>
        </w:rPr>
        <w:t>基金份额持有人可以通过基金管理人客服电话、网站、信函、电子邮件（客户服务邮箱：</w:t>
      </w:r>
      <w:hyperlink r:id="rId11" w:history="1">
        <w:r>
          <w:rPr>
            <w:rFonts w:ascii="宋体" w:hAnsi="宋体" w:cs="宋体"/>
            <w:color w:val="000000"/>
            <w:kern w:val="0"/>
            <w:sz w:val="24"/>
            <w:szCs w:val="24"/>
            <w:u w:val="single" w:color="0000EE"/>
            <w:lang w:eastAsia="en-US"/>
          </w:rPr>
          <w:t>service@99fund.com</w:t>
        </w:r>
      </w:hyperlink>
      <w:r>
        <w:rPr>
          <w:rFonts w:ascii="宋体" w:hAnsi="宋体" w:cs="宋体"/>
          <w:kern w:val="0"/>
          <w:sz w:val="24"/>
          <w:szCs w:val="24"/>
        </w:rPr>
        <w:t>）、传真（</w:t>
      </w:r>
      <w:r>
        <w:rPr>
          <w:rFonts w:ascii="宋体" w:hAnsi="宋体" w:cs="宋体"/>
          <w:kern w:val="0"/>
          <w:sz w:val="24"/>
          <w:szCs w:val="24"/>
          <w:lang w:eastAsia="en-US"/>
        </w:rPr>
        <w:t>021-28932998</w:t>
      </w:r>
      <w:r>
        <w:rPr>
          <w:rFonts w:ascii="宋体" w:hAnsi="宋体" w:cs="宋体"/>
          <w:kern w:val="0"/>
          <w:sz w:val="24"/>
          <w:szCs w:val="24"/>
        </w:rPr>
        <w:t>）等方式对基金管理人、销售机构所提供的服务进行投诉。现场投诉和意见簿投诉是补充投诉渠道，由基金管理人和各销售机构分别管理。</w:t>
      </w:r>
    </w:p>
    <w:p w:rsidR="008333A9" w:rsidRDefault="0002249C">
      <w:pPr>
        <w:pStyle w:val="div"/>
        <w:widowControl/>
        <w:spacing w:line="360" w:lineRule="auto"/>
        <w:ind w:firstLine="480"/>
        <w:jc w:val="left"/>
        <w:rPr>
          <w:rFonts w:eastAsia="Times New Roman"/>
          <w:kern w:val="0"/>
          <w:sz w:val="24"/>
          <w:szCs w:val="24"/>
        </w:rPr>
      </w:pPr>
      <w:r>
        <w:rPr>
          <w:rFonts w:ascii="宋体" w:hAnsi="宋体" w:cs="宋体"/>
          <w:kern w:val="0"/>
          <w:sz w:val="24"/>
          <w:szCs w:val="24"/>
        </w:rPr>
        <w:t>基金管理</w:t>
      </w:r>
      <w:proofErr w:type="gramStart"/>
      <w:r>
        <w:rPr>
          <w:rFonts w:ascii="宋体" w:hAnsi="宋体" w:cs="宋体"/>
          <w:kern w:val="0"/>
          <w:sz w:val="24"/>
          <w:szCs w:val="24"/>
        </w:rPr>
        <w:t>人客户</w:t>
      </w:r>
      <w:proofErr w:type="gramEnd"/>
      <w:r>
        <w:rPr>
          <w:rFonts w:ascii="宋体" w:hAnsi="宋体" w:cs="宋体"/>
          <w:kern w:val="0"/>
          <w:sz w:val="24"/>
          <w:szCs w:val="24"/>
        </w:rPr>
        <w:t>服务中心负责受理投诉，并承诺在收到投诉后24 小时（工作日）之内做出回应。</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六、如本招募说明书存在任何您/</w:t>
      </w:r>
      <w:proofErr w:type="gramStart"/>
      <w:r>
        <w:rPr>
          <w:rFonts w:ascii="宋体" w:hAnsi="宋体" w:cs="宋体"/>
          <w:kern w:val="0"/>
          <w:sz w:val="24"/>
          <w:szCs w:val="24"/>
        </w:rPr>
        <w:t>贵机构</w:t>
      </w:r>
      <w:proofErr w:type="gramEnd"/>
      <w:r>
        <w:rPr>
          <w:rFonts w:ascii="宋体" w:hAnsi="宋体" w:cs="宋体"/>
          <w:kern w:val="0"/>
          <w:sz w:val="24"/>
          <w:szCs w:val="24"/>
        </w:rPr>
        <w:t>无法理解的内容，可通过上述方式联系基金管理人。</w:t>
      </w:r>
      <w:proofErr w:type="gramStart"/>
      <w:r>
        <w:rPr>
          <w:rFonts w:ascii="宋体" w:hAnsi="宋体" w:cs="宋体"/>
          <w:kern w:val="0"/>
          <w:sz w:val="24"/>
          <w:szCs w:val="24"/>
        </w:rPr>
        <w:t>请确保</w:t>
      </w:r>
      <w:proofErr w:type="gramEnd"/>
      <w:r>
        <w:rPr>
          <w:rFonts w:ascii="宋体" w:hAnsi="宋体" w:cs="宋体"/>
          <w:kern w:val="0"/>
          <w:sz w:val="24"/>
          <w:szCs w:val="24"/>
        </w:rPr>
        <w:t>投资前，您/</w:t>
      </w:r>
      <w:proofErr w:type="gramStart"/>
      <w:r>
        <w:rPr>
          <w:rFonts w:ascii="宋体" w:hAnsi="宋体" w:cs="宋体"/>
          <w:kern w:val="0"/>
          <w:sz w:val="24"/>
          <w:szCs w:val="24"/>
        </w:rPr>
        <w:t>贵机构</w:t>
      </w:r>
      <w:proofErr w:type="gramEnd"/>
      <w:r>
        <w:rPr>
          <w:rFonts w:ascii="宋体" w:hAnsi="宋体" w:cs="宋体"/>
          <w:kern w:val="0"/>
          <w:sz w:val="24"/>
          <w:szCs w:val="24"/>
        </w:rPr>
        <w:t>已经全面理解了本招募说明书。</w:t>
      </w:r>
      <w:r>
        <w:rPr>
          <w:rFonts w:ascii="宋体" w:hAnsi="宋体" w:cs="宋体"/>
          <w:kern w:val="0"/>
          <w:sz w:val="24"/>
          <w:szCs w:val="24"/>
        </w:rPr>
        <w:br w:type="page"/>
      </w:r>
    </w:p>
    <w:p w:rsidR="008333A9" w:rsidRDefault="0002249C">
      <w:pPr>
        <w:pStyle w:val="1"/>
        <w:spacing w:before="0" w:after="0"/>
        <w:jc w:val="center"/>
        <w:rPr>
          <w:rFonts w:ascii="Times New Roman"/>
          <w:color w:val="auto"/>
          <w:sz w:val="30"/>
        </w:rPr>
      </w:pPr>
      <w:bookmarkStart w:id="57" w:name="_Toc256000021"/>
      <w:r>
        <w:rPr>
          <w:rFonts w:ascii="Times New Roman"/>
          <w:color w:val="auto"/>
          <w:sz w:val="30"/>
        </w:rPr>
        <w:lastRenderedPageBreak/>
        <w:t>第二十二部分</w:t>
      </w:r>
      <w:r>
        <w:rPr>
          <w:rFonts w:ascii="Times New Roman"/>
          <w:color w:val="auto"/>
          <w:sz w:val="30"/>
        </w:rPr>
        <w:t xml:space="preserve">  </w:t>
      </w:r>
      <w:r>
        <w:rPr>
          <w:rFonts w:ascii="Times New Roman"/>
          <w:color w:val="auto"/>
          <w:sz w:val="30"/>
        </w:rPr>
        <w:t>其他应披露事项</w:t>
      </w:r>
      <w:bookmarkEnd w:id="57"/>
    </w:p>
    <w:p w:rsidR="008333A9" w:rsidRDefault="008333A9"/>
    <w:p w:rsidR="008333A9" w:rsidRDefault="0002249C">
      <w:pPr>
        <w:pStyle w:val="div"/>
        <w:widowControl/>
        <w:spacing w:line="360" w:lineRule="auto"/>
        <w:jc w:val="left"/>
        <w:rPr>
          <w:rFonts w:eastAsia="Times New Roman"/>
          <w:kern w:val="0"/>
          <w:sz w:val="24"/>
          <w:szCs w:val="24"/>
        </w:rPr>
      </w:pPr>
      <w:r>
        <w:rPr>
          <w:rFonts w:ascii="宋体" w:hAnsi="宋体" w:cs="宋体"/>
          <w:kern w:val="0"/>
          <w:sz w:val="24"/>
          <w:szCs w:val="24"/>
        </w:rPr>
        <w:t>    本基金的其他应披露事项将严格按照《基金法》、《运作办法》、《销售办法》、《信息披露办法》等相关法律法规规定的内容与格式进行披露，并在规定媒介上公告。</w:t>
      </w:r>
      <w:r>
        <w:rPr>
          <w:rFonts w:ascii="宋体" w:hAnsi="宋体" w:cs="宋体"/>
          <w:kern w:val="0"/>
          <w:sz w:val="24"/>
          <w:szCs w:val="24"/>
        </w:rPr>
        <w:br w:type="page"/>
      </w:r>
    </w:p>
    <w:p w:rsidR="008333A9" w:rsidRDefault="0002249C">
      <w:pPr>
        <w:pStyle w:val="1"/>
        <w:spacing w:before="0" w:after="0"/>
        <w:jc w:val="center"/>
        <w:rPr>
          <w:rFonts w:ascii="Times New Roman"/>
          <w:color w:val="auto"/>
          <w:sz w:val="30"/>
        </w:rPr>
      </w:pPr>
      <w:bookmarkStart w:id="58" w:name="_Toc256000022"/>
      <w:r>
        <w:rPr>
          <w:rFonts w:ascii="Times New Roman"/>
          <w:color w:val="auto"/>
          <w:sz w:val="30"/>
        </w:rPr>
        <w:lastRenderedPageBreak/>
        <w:t>第二十三部分</w:t>
      </w:r>
      <w:r>
        <w:rPr>
          <w:rFonts w:ascii="Times New Roman"/>
          <w:color w:val="auto"/>
          <w:sz w:val="30"/>
        </w:rPr>
        <w:t xml:space="preserve">  </w:t>
      </w:r>
      <w:r>
        <w:rPr>
          <w:rFonts w:ascii="Times New Roman"/>
          <w:color w:val="auto"/>
          <w:sz w:val="30"/>
        </w:rPr>
        <w:t>招募说明书的存放和查阅方式</w:t>
      </w:r>
      <w:bookmarkEnd w:id="58"/>
    </w:p>
    <w:p w:rsidR="008333A9" w:rsidRDefault="008333A9"/>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本基金招募说明书存放于基金管理人、基金托管人和基金销售机构的住所，供公众查阅、复制。基金投资者在支付工本费后，可在合理时间内取得招募说明书的复印件。对投资者按上述方式所获得的文件及其复印件，基金管理人和基金托管人保证与所公告文本的内容完全一致。</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投资者还可以直接登录基金管理人的网站(www.99fund.com)查阅和下载招募说明书。</w:t>
      </w:r>
      <w:r>
        <w:rPr>
          <w:rFonts w:ascii="宋体" w:hAnsi="宋体" w:cs="宋体"/>
          <w:kern w:val="0"/>
          <w:sz w:val="24"/>
          <w:szCs w:val="24"/>
        </w:rPr>
        <w:br w:type="page"/>
      </w:r>
    </w:p>
    <w:p w:rsidR="008333A9" w:rsidRDefault="0002249C">
      <w:pPr>
        <w:pStyle w:val="1"/>
        <w:spacing w:before="0" w:after="0"/>
        <w:jc w:val="center"/>
        <w:rPr>
          <w:rFonts w:ascii="Times New Roman"/>
          <w:color w:val="auto"/>
          <w:sz w:val="30"/>
        </w:rPr>
      </w:pPr>
      <w:bookmarkStart w:id="59" w:name="_Toc256000023"/>
      <w:r>
        <w:rPr>
          <w:rFonts w:ascii="Times New Roman"/>
          <w:color w:val="auto"/>
          <w:sz w:val="30"/>
        </w:rPr>
        <w:lastRenderedPageBreak/>
        <w:t>第二十四部分</w:t>
      </w:r>
      <w:r>
        <w:rPr>
          <w:rFonts w:ascii="Times New Roman"/>
          <w:color w:val="auto"/>
          <w:sz w:val="30"/>
        </w:rPr>
        <w:t xml:space="preserve">  </w:t>
      </w:r>
      <w:r>
        <w:rPr>
          <w:rFonts w:ascii="Times New Roman"/>
          <w:color w:val="auto"/>
          <w:sz w:val="30"/>
        </w:rPr>
        <w:t>备查文件</w:t>
      </w:r>
      <w:bookmarkEnd w:id="59"/>
    </w:p>
    <w:p w:rsidR="008333A9" w:rsidRDefault="008333A9"/>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一、本基金备查文件包括下列文件：</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1、中国证监会准予</w:t>
      </w:r>
      <w:proofErr w:type="gramStart"/>
      <w:r>
        <w:rPr>
          <w:rFonts w:ascii="宋体" w:hAnsi="宋体" w:cs="宋体" w:hint="eastAsia"/>
          <w:kern w:val="0"/>
          <w:sz w:val="24"/>
          <w:szCs w:val="24"/>
        </w:rPr>
        <w:t>汇添富</w:t>
      </w:r>
      <w:proofErr w:type="gramEnd"/>
      <w:r>
        <w:rPr>
          <w:rFonts w:ascii="宋体" w:hAnsi="宋体" w:cs="宋体" w:hint="eastAsia"/>
          <w:kern w:val="0"/>
          <w:sz w:val="24"/>
          <w:szCs w:val="24"/>
        </w:rPr>
        <w:t>港股通科技精选混合型发起式证券投资基金</w:t>
      </w:r>
      <w:r>
        <w:rPr>
          <w:rFonts w:ascii="宋体" w:hAnsi="宋体" w:cs="宋体"/>
          <w:kern w:val="0"/>
          <w:sz w:val="24"/>
          <w:szCs w:val="24"/>
        </w:rPr>
        <w:t>注册的文件；</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2、《</w:t>
      </w:r>
      <w:r>
        <w:rPr>
          <w:rFonts w:ascii="宋体" w:hAnsi="宋体" w:cs="宋体" w:hint="eastAsia"/>
          <w:kern w:val="0"/>
          <w:sz w:val="24"/>
          <w:szCs w:val="24"/>
        </w:rPr>
        <w:t>汇添富港股通科技精选混合型发起式证券投资基金</w:t>
      </w:r>
      <w:r>
        <w:rPr>
          <w:rFonts w:ascii="宋体" w:hAnsi="宋体" w:cs="宋体"/>
          <w:kern w:val="0"/>
          <w:sz w:val="24"/>
          <w:szCs w:val="24"/>
        </w:rPr>
        <w:t>基金合同》；</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3、《</w:t>
      </w:r>
      <w:r>
        <w:rPr>
          <w:rFonts w:ascii="宋体" w:hAnsi="宋体" w:cs="宋体" w:hint="eastAsia"/>
          <w:kern w:val="0"/>
          <w:sz w:val="24"/>
          <w:szCs w:val="24"/>
        </w:rPr>
        <w:t>汇添富港股通科技精选混合型发起式证券投资基金</w:t>
      </w:r>
      <w:r>
        <w:rPr>
          <w:rFonts w:ascii="宋体" w:hAnsi="宋体" w:cs="宋体"/>
          <w:kern w:val="0"/>
          <w:sz w:val="24"/>
          <w:szCs w:val="24"/>
        </w:rPr>
        <w:t>托管协议》；</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4、法律意见书；</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5、基金管理人业务资格批件、营业执照；</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6、基金托管人业务资格批件、营业执照；</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7、中国证监会要求的其他文件。</w:t>
      </w:r>
    </w:p>
    <w:p w:rsidR="008333A9" w:rsidRDefault="0002249C">
      <w:pPr>
        <w:pStyle w:val="div"/>
        <w:spacing w:line="360" w:lineRule="auto"/>
        <w:ind w:firstLine="420"/>
        <w:jc w:val="left"/>
        <w:rPr>
          <w:rFonts w:eastAsia="Times New Roman"/>
          <w:kern w:val="0"/>
          <w:sz w:val="24"/>
          <w:szCs w:val="24"/>
        </w:rPr>
      </w:pPr>
      <w:r>
        <w:rPr>
          <w:rFonts w:ascii="宋体" w:hAnsi="宋体" w:cs="宋体"/>
          <w:kern w:val="0"/>
          <w:sz w:val="24"/>
          <w:szCs w:val="24"/>
        </w:rPr>
        <w:t>二、备查文件的存放地点和投资者查阅方式：</w:t>
      </w:r>
    </w:p>
    <w:p w:rsidR="008333A9" w:rsidRDefault="0002249C">
      <w:pPr>
        <w:pStyle w:val="div"/>
        <w:spacing w:line="360" w:lineRule="auto"/>
        <w:ind w:firstLine="420"/>
        <w:rPr>
          <w:rFonts w:eastAsia="Times New Roman"/>
          <w:kern w:val="0"/>
          <w:sz w:val="24"/>
          <w:szCs w:val="24"/>
        </w:rPr>
      </w:pPr>
      <w:r>
        <w:rPr>
          <w:rFonts w:ascii="宋体" w:hAnsi="宋体" w:cs="宋体"/>
          <w:kern w:val="0"/>
          <w:sz w:val="24"/>
          <w:szCs w:val="24"/>
        </w:rPr>
        <w:t>以上备查文件存放在基金管理人和基金托管人的办公场所，在办公时间可供免费查阅。</w:t>
      </w:r>
    </w:p>
    <w:p w:rsidR="008333A9" w:rsidRDefault="0002249C">
      <w:pPr>
        <w:pStyle w:val="div"/>
        <w:spacing w:line="360" w:lineRule="auto"/>
        <w:ind w:firstLine="420"/>
        <w:jc w:val="right"/>
        <w:rPr>
          <w:rFonts w:eastAsia="Times New Roman"/>
          <w:kern w:val="0"/>
          <w:sz w:val="24"/>
          <w:szCs w:val="24"/>
        </w:rPr>
      </w:pPr>
      <w:proofErr w:type="gramStart"/>
      <w:r>
        <w:rPr>
          <w:rFonts w:ascii="宋体" w:hAnsi="宋体" w:cs="宋体"/>
          <w:kern w:val="0"/>
          <w:sz w:val="24"/>
          <w:szCs w:val="24"/>
        </w:rPr>
        <w:t>汇添富基金</w:t>
      </w:r>
      <w:proofErr w:type="gramEnd"/>
      <w:r>
        <w:rPr>
          <w:rFonts w:ascii="宋体" w:hAnsi="宋体" w:cs="宋体"/>
          <w:kern w:val="0"/>
          <w:sz w:val="24"/>
          <w:szCs w:val="24"/>
        </w:rPr>
        <w:t>管理股份有限公司</w:t>
      </w:r>
    </w:p>
    <w:p w:rsidR="008333A9" w:rsidRDefault="0002249C">
      <w:pPr>
        <w:pStyle w:val="div"/>
        <w:spacing w:line="360" w:lineRule="auto"/>
        <w:ind w:firstLine="420"/>
        <w:jc w:val="right"/>
        <w:rPr>
          <w:rFonts w:ascii="宋体" w:hAnsi="宋体" w:cs="宋体"/>
          <w:kern w:val="0"/>
          <w:sz w:val="24"/>
          <w:szCs w:val="24"/>
        </w:rPr>
        <w:sectPr w:rsidR="008333A9">
          <w:footerReference w:type="default" r:id="rId12"/>
          <w:pgSz w:w="11906" w:h="16838"/>
          <w:pgMar w:top="1440" w:right="1800" w:bottom="1440" w:left="1800" w:header="851" w:footer="992" w:gutter="0"/>
          <w:pgNumType w:start="1"/>
          <w:cols w:space="720"/>
          <w:docGrid w:type="lines" w:linePitch="312"/>
        </w:sectPr>
      </w:pPr>
      <w:r>
        <w:rPr>
          <w:rFonts w:ascii="宋体" w:hAnsi="宋体" w:cs="宋体"/>
          <w:kern w:val="0"/>
          <w:sz w:val="24"/>
          <w:szCs w:val="24"/>
        </w:rPr>
        <w:t>2025年9月24日</w:t>
      </w:r>
    </w:p>
    <w:p w:rsidR="008333A9" w:rsidRDefault="008333A9">
      <w:pPr>
        <w:pStyle w:val="div"/>
        <w:spacing w:line="360" w:lineRule="auto"/>
        <w:jc w:val="left"/>
        <w:rPr>
          <w:rFonts w:ascii="宋体" w:hAnsi="宋体" w:cs="宋体"/>
          <w:kern w:val="0"/>
          <w:sz w:val="24"/>
          <w:szCs w:val="24"/>
        </w:rPr>
      </w:pPr>
    </w:p>
    <w:sectPr w:rsidR="008333A9">
      <w:headerReference w:type="default" r:id="rId13"/>
      <w:footerReference w:type="default" r:id="rId1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2C5" w:rsidRDefault="005222C5">
      <w:r>
        <w:separator/>
      </w:r>
    </w:p>
  </w:endnote>
  <w:endnote w:type="continuationSeparator" w:id="0">
    <w:p w:rsidR="005222C5" w:rsidRDefault="00522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B38" w:rsidRDefault="00661B38">
    <w:pPr>
      <w:pStyle w:val="a9"/>
      <w:jc w:val="center"/>
      <w:rPr>
        <w:color w:val="000000" w:themeColor="text1"/>
        <w14:shadow w14:blurRad="38100" w14:dist="19050" w14:dir="2700000" w14:sx="100000" w14:sy="100000" w14:kx="0" w14:ky="0" w14:algn="tl">
          <w14:schemeClr w14:val="dk1">
            <w14:alpha w14:val="60000"/>
          </w14:schemeClr>
        </w14:shadow>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0787900"/>
      <w:showingPlcHdr/>
    </w:sdtPr>
    <w:sdtContent>
      <w:p w:rsidR="00661B38" w:rsidRDefault="00661B38">
        <w:pPr>
          <w:pStyle w:val="a9"/>
          <w:jc w:val="center"/>
        </w:pPr>
        <w:r>
          <w:t xml:space="preserve">     </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9503181"/>
    </w:sdtPr>
    <w:sdtContent>
      <w:p w:rsidR="00661B38" w:rsidRDefault="00661B38">
        <w:pPr>
          <w:pStyle w:val="a9"/>
          <w:jc w:val="center"/>
        </w:pPr>
        <w:r>
          <w:fldChar w:fldCharType="begin"/>
        </w:r>
        <w:r>
          <w:instrText>PAGE   \* MERGEFORMAT</w:instrText>
        </w:r>
        <w:r>
          <w:fldChar w:fldCharType="separate"/>
        </w:r>
        <w:r w:rsidR="00BF0D1C" w:rsidRPr="00BF0D1C">
          <w:rPr>
            <w:noProof/>
            <w:lang w:val="zh-CN"/>
          </w:rPr>
          <w:t>18</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B38" w:rsidRDefault="00661B3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2C5" w:rsidRDefault="005222C5">
      <w:r>
        <w:separator/>
      </w:r>
    </w:p>
  </w:footnote>
  <w:footnote w:type="continuationSeparator" w:id="0">
    <w:p w:rsidR="005222C5" w:rsidRDefault="005222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B38" w:rsidRDefault="00661B38">
    <w:pPr>
      <w:pStyle w:val="aa"/>
      <w:tabs>
        <w:tab w:val="clear" w:pos="4153"/>
      </w:tabs>
      <w:jc w:val="left"/>
    </w:pPr>
    <w:proofErr w:type="gramStart"/>
    <w:r>
      <w:rPr>
        <w:rFonts w:hint="eastAsia"/>
      </w:rPr>
      <w:t>汇添富</w:t>
    </w:r>
    <w:proofErr w:type="gramEnd"/>
    <w:r>
      <w:rPr>
        <w:rFonts w:hint="eastAsia"/>
      </w:rPr>
      <w:t>港股通科技精选混合型发起式证券投资基金</w:t>
    </w:r>
    <w:r>
      <w:tab/>
    </w:r>
    <w:r>
      <w:rPr>
        <w:rFonts w:hint="eastAsia"/>
      </w:rPr>
      <w:t>招募说明书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B38" w:rsidRDefault="00661B38">
    <w:pPr>
      <w:pStyle w:val="aa"/>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C"/>
    <w:multiLevelType w:val="singleLevel"/>
    <w:tmpl w:val="0000000C"/>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8B7"/>
    <w:rsid w:val="0002249C"/>
    <w:rsid w:val="0019296F"/>
    <w:rsid w:val="0020022B"/>
    <w:rsid w:val="00473A69"/>
    <w:rsid w:val="005222C5"/>
    <w:rsid w:val="005A38AA"/>
    <w:rsid w:val="00610F4E"/>
    <w:rsid w:val="00643C2E"/>
    <w:rsid w:val="00661B38"/>
    <w:rsid w:val="008333A9"/>
    <w:rsid w:val="00842DBC"/>
    <w:rsid w:val="00BF0D1C"/>
    <w:rsid w:val="00DF1515"/>
    <w:rsid w:val="00E578B7"/>
    <w:rsid w:val="00F41DC7"/>
    <w:rsid w:val="00F553AF"/>
    <w:rsid w:val="00F65D94"/>
    <w:rsid w:val="128F0AA6"/>
    <w:rsid w:val="271E1088"/>
    <w:rsid w:val="2F813D93"/>
    <w:rsid w:val="35983077"/>
    <w:rsid w:val="422B164E"/>
    <w:rsid w:val="55A633C5"/>
    <w:rsid w:val="59C2449E"/>
    <w:rsid w:val="626237BE"/>
    <w:rsid w:val="66962E8F"/>
    <w:rsid w:val="67827081"/>
    <w:rsid w:val="7E9C3C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BAD5C15-C267-40A2-B295-4B08691E6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
    <w:qFormat/>
    <w:pPr>
      <w:jc w:val="left"/>
    </w:pPr>
  </w:style>
  <w:style w:type="paragraph" w:styleId="a6">
    <w:name w:val="Body Text"/>
    <w:basedOn w:val="a"/>
    <w:link w:val="Char0"/>
    <w:qFormat/>
    <w:pPr>
      <w:autoSpaceDE w:val="0"/>
      <w:autoSpaceDN w:val="0"/>
      <w:adjustRightInd w:val="0"/>
      <w:spacing w:line="360" w:lineRule="auto"/>
      <w:jc w:val="left"/>
    </w:pPr>
    <w:rPr>
      <w:rFonts w:ascii="宋体"/>
      <w:kern w:val="0"/>
      <w:sz w:val="20"/>
      <w:lang w:val="zh-CN"/>
    </w:rPr>
  </w:style>
  <w:style w:type="paragraph" w:styleId="30">
    <w:name w:val="toc 3"/>
    <w:basedOn w:val="a"/>
    <w:next w:val="a"/>
    <w:qFormat/>
    <w:pPr>
      <w:ind w:leftChars="400" w:left="840"/>
    </w:pPr>
  </w:style>
  <w:style w:type="paragraph" w:styleId="a7">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8">
    <w:name w:val="Balloon Text"/>
    <w:basedOn w:val="a"/>
    <w:qFormat/>
    <w:rPr>
      <w:sz w:val="18"/>
    </w:rPr>
  </w:style>
  <w:style w:type="paragraph" w:styleId="a9">
    <w:name w:val="footer"/>
    <w:basedOn w:val="a"/>
    <w:link w:val="Char1"/>
    <w:uiPriority w:val="99"/>
    <w:qFormat/>
    <w:pPr>
      <w:tabs>
        <w:tab w:val="center" w:pos="4153"/>
        <w:tab w:val="right" w:pos="8306"/>
      </w:tabs>
      <w:snapToGrid w:val="0"/>
      <w:jc w:val="left"/>
    </w:pPr>
    <w:rPr>
      <w:sz w:val="18"/>
    </w:rPr>
  </w:style>
  <w:style w:type="paragraph" w:styleId="aa">
    <w:name w:val="header"/>
    <w:basedOn w:val="a"/>
    <w:link w:val="Char2"/>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qFormat/>
    <w:pPr>
      <w:tabs>
        <w:tab w:val="right" w:leader="dot" w:pos="8296"/>
      </w:tabs>
    </w:pPr>
    <w:rPr>
      <w:sz w:val="22"/>
    </w:rPr>
  </w:style>
  <w:style w:type="paragraph" w:styleId="ab">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21">
    <w:name w:val="toc 2"/>
    <w:basedOn w:val="a"/>
    <w:next w:val="a"/>
    <w:autoRedefine/>
    <w:qFormat/>
    <w:pPr>
      <w:ind w:left="240"/>
    </w:pPr>
    <w:rPr>
      <w:sz w:val="22"/>
    </w:rPr>
  </w:style>
  <w:style w:type="paragraph" w:styleId="ac">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paragraph" w:styleId="ad">
    <w:name w:val="Title"/>
    <w:basedOn w:val="a"/>
    <w:next w:val="a"/>
    <w:link w:val="Char3"/>
    <w:qFormat/>
    <w:pPr>
      <w:spacing w:before="240" w:after="60"/>
      <w:jc w:val="center"/>
      <w:outlineLvl w:val="0"/>
    </w:pPr>
    <w:rPr>
      <w:rFonts w:ascii="Cambria" w:hAnsi="Cambria"/>
      <w:b/>
      <w:sz w:val="32"/>
      <w:lang w:val="zh-CN"/>
    </w:rPr>
  </w:style>
  <w:style w:type="paragraph" w:styleId="ae">
    <w:name w:val="annotation subject"/>
    <w:basedOn w:val="a5"/>
    <w:next w:val="a5"/>
    <w:qFormat/>
    <w:rPr>
      <w:b/>
    </w:rPr>
  </w:style>
  <w:style w:type="character" w:styleId="af">
    <w:name w:val="page number"/>
    <w:basedOn w:val="a0"/>
    <w:qFormat/>
  </w:style>
  <w:style w:type="character" w:styleId="af0">
    <w:name w:val="Hyperlink"/>
    <w:qFormat/>
    <w:rPr>
      <w:color w:val="0000FF"/>
      <w:u w:val="single"/>
    </w:rPr>
  </w:style>
  <w:style w:type="character" w:styleId="af1">
    <w:name w:val="annotation reference"/>
    <w:qFormat/>
    <w:rPr>
      <w:sz w:val="21"/>
    </w:rPr>
  </w:style>
  <w:style w:type="character" w:styleId="af2">
    <w:name w:val="footnote reference"/>
    <w:qFormat/>
    <w:rPr>
      <w:vertAlign w:val="superscript"/>
    </w:rPr>
  </w:style>
  <w:style w:type="character" w:customStyle="1" w:styleId="Char0">
    <w:name w:val="正文文本 Char"/>
    <w:link w:val="a6"/>
    <w:qFormat/>
    <w:rPr>
      <w:rFonts w:ascii="宋体"/>
      <w:lang w:val="zh-CN" w:eastAsia="zh-CN"/>
    </w:rPr>
  </w:style>
  <w:style w:type="character" w:customStyle="1" w:styleId="unnamed11">
    <w:name w:val="unnamed11"/>
    <w:qFormat/>
    <w:rPr>
      <w:rFonts w:ascii="宋体" w:eastAsia="宋体" w:hAnsi="宋体" w:hint="eastAsia"/>
      <w:sz w:val="18"/>
    </w:rPr>
  </w:style>
  <w:style w:type="character" w:customStyle="1" w:styleId="Char3">
    <w:name w:val="标题 Char"/>
    <w:link w:val="ad"/>
    <w:qFormat/>
    <w:rPr>
      <w:rFonts w:ascii="Cambria" w:hAnsi="Cambria"/>
      <w:b/>
      <w:kern w:val="2"/>
      <w:sz w:val="32"/>
      <w:lang w:val="zh-CN" w:eastAsia="zh-CN"/>
    </w:rPr>
  </w:style>
  <w:style w:type="character" w:customStyle="1" w:styleId="Char2">
    <w:name w:val="页眉 Char"/>
    <w:link w:val="aa"/>
    <w:uiPriority w:val="99"/>
    <w:qFormat/>
    <w:rPr>
      <w:kern w:val="2"/>
      <w:sz w:val="18"/>
    </w:rPr>
  </w:style>
  <w:style w:type="character" w:customStyle="1" w:styleId="read">
    <w:name w:val="read"/>
    <w:basedOn w:val="a0"/>
    <w:qFormat/>
  </w:style>
  <w:style w:type="paragraph" w:customStyle="1" w:styleId="CharChar">
    <w:name w:val="Char Char"/>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Listbullet">
    <w:name w:val="List_bullet"/>
    <w:basedOn w:val="a"/>
    <w:qFormat/>
    <w:pPr>
      <w:widowControl/>
      <w:numPr>
        <w:numId w:val="1"/>
      </w:numPr>
      <w:jc w:val="left"/>
    </w:pPr>
    <w:rPr>
      <w:kern w:val="0"/>
      <w:sz w:val="24"/>
    </w:rPr>
  </w:style>
  <w:style w:type="paragraph" w:customStyle="1" w:styleId="msonormal1">
    <w:name w:val="msonormal1"/>
    <w:qFormat/>
    <w:pPr>
      <w:widowControl w:val="0"/>
      <w:jc w:val="both"/>
    </w:pPr>
    <w:rPr>
      <w:kern w:val="2"/>
      <w:sz w:val="21"/>
    </w:rPr>
  </w:style>
  <w:style w:type="paragraph" w:customStyle="1" w:styleId="af3">
    <w:name w:val="正文正文"/>
    <w:basedOn w:val="a"/>
    <w:qFormat/>
    <w:pPr>
      <w:spacing w:afterLines="25" w:after="78" w:line="360" w:lineRule="auto"/>
      <w:ind w:firstLineChars="200" w:firstLine="200"/>
    </w:pPr>
    <w:rPr>
      <w:sz w:val="24"/>
    </w:rPr>
  </w:style>
  <w:style w:type="paragraph" w:customStyle="1" w:styleId="Char4">
    <w:name w:val="Char"/>
    <w:basedOn w:val="a"/>
    <w:qFormat/>
  </w:style>
  <w:style w:type="paragraph" w:customStyle="1" w:styleId="Char00">
    <w:name w:val="Char_0"/>
    <w:basedOn w:val="a"/>
    <w:qFormat/>
  </w:style>
  <w:style w:type="paragraph" w:customStyle="1" w:styleId="CharCharChar">
    <w:name w:val="Char Char Char"/>
    <w:basedOn w:val="a"/>
    <w:qFormat/>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af4">
    <w:name w:val="正文所"/>
    <w:basedOn w:val="a"/>
    <w:qFormat/>
    <w:pPr>
      <w:spacing w:line="360" w:lineRule="auto"/>
      <w:ind w:firstLineChars="200" w:firstLine="420"/>
    </w:pPr>
    <w:rPr>
      <w:rFonts w:ascii="宋体"/>
    </w:rPr>
  </w:style>
  <w:style w:type="paragraph" w:customStyle="1" w:styleId="11">
    <w:name w:val="修订1"/>
    <w:hidden/>
    <w:uiPriority w:val="99"/>
    <w:semiHidden/>
    <w:qFormat/>
    <w:rPr>
      <w:kern w:val="2"/>
      <w:sz w:val="21"/>
    </w:rPr>
  </w:style>
  <w:style w:type="character" w:customStyle="1" w:styleId="1Char">
    <w:name w:val="标题 1 Char"/>
    <w:link w:val="1"/>
    <w:qFormat/>
    <w:rPr>
      <w:rFonts w:ascii="宋体"/>
      <w:b/>
      <w:color w:val="000000"/>
      <w:sz w:val="24"/>
    </w:rPr>
  </w:style>
  <w:style w:type="character" w:customStyle="1" w:styleId="Char">
    <w:name w:val="批注文字 Char"/>
    <w:link w:val="a5"/>
    <w:qFormat/>
    <w:rPr>
      <w:kern w:val="2"/>
      <w:sz w:val="21"/>
    </w:rPr>
  </w:style>
  <w:style w:type="paragraph" w:customStyle="1" w:styleId="CharChar0">
    <w:name w:val="Char Char_0"/>
    <w:basedOn w:val="a"/>
    <w:qFormat/>
  </w:style>
  <w:style w:type="paragraph" w:customStyle="1" w:styleId="CharChar10">
    <w:name w:val="Char Char_1"/>
    <w:basedOn w:val="a"/>
    <w:qFormat/>
  </w:style>
  <w:style w:type="paragraph" w:customStyle="1" w:styleId="Char10">
    <w:name w:val="Char_1"/>
    <w:basedOn w:val="a"/>
    <w:qFormat/>
  </w:style>
  <w:style w:type="paragraph" w:customStyle="1" w:styleId="CharCharChar0">
    <w:name w:val="Char Char Char_0"/>
    <w:basedOn w:val="a"/>
    <w:qFormat/>
  </w:style>
  <w:style w:type="paragraph" w:customStyle="1" w:styleId="CharCharCharChar0">
    <w:name w:val="Char Char Char Char_0"/>
    <w:basedOn w:val="a"/>
    <w:qFormat/>
    <w:pPr>
      <w:tabs>
        <w:tab w:val="left" w:pos="360"/>
      </w:tabs>
    </w:pPr>
  </w:style>
  <w:style w:type="paragraph" w:customStyle="1" w:styleId="CharChar100">
    <w:name w:val="Char Char1_0"/>
    <w:basedOn w:val="a"/>
    <w:qFormat/>
  </w:style>
  <w:style w:type="paragraph" w:customStyle="1" w:styleId="CharChar2">
    <w:name w:val="Char Char_2"/>
    <w:basedOn w:val="a"/>
    <w:qFormat/>
  </w:style>
  <w:style w:type="paragraph" w:styleId="af5">
    <w:name w:val="List Paragraph"/>
    <w:basedOn w:val="a"/>
    <w:uiPriority w:val="34"/>
    <w:qFormat/>
    <w:pPr>
      <w:ind w:firstLineChars="200" w:firstLine="420"/>
    </w:pPr>
  </w:style>
  <w:style w:type="paragraph" w:customStyle="1" w:styleId="CharChar11">
    <w:name w:val="Char Char1_1"/>
    <w:basedOn w:val="a"/>
    <w:qFormat/>
  </w:style>
  <w:style w:type="paragraph" w:customStyle="1" w:styleId="Char20">
    <w:name w:val="Char_2"/>
    <w:basedOn w:val="a"/>
    <w:qFormat/>
  </w:style>
  <w:style w:type="paragraph" w:customStyle="1" w:styleId="CharChar12">
    <w:name w:val="Char Char1_2"/>
    <w:basedOn w:val="a"/>
    <w:qFormat/>
  </w:style>
  <w:style w:type="paragraph" w:customStyle="1" w:styleId="Char30">
    <w:name w:val="Char_3"/>
    <w:basedOn w:val="a"/>
    <w:qFormat/>
  </w:style>
  <w:style w:type="paragraph" w:customStyle="1" w:styleId="CharChar13">
    <w:name w:val="Char Char1_3"/>
    <w:basedOn w:val="a"/>
    <w:qFormat/>
  </w:style>
  <w:style w:type="paragraph" w:customStyle="1" w:styleId="Char40">
    <w:name w:val="Char_4"/>
    <w:basedOn w:val="a"/>
    <w:qFormat/>
  </w:style>
  <w:style w:type="paragraph" w:customStyle="1" w:styleId="CharChar3">
    <w:name w:val="Char Char_3"/>
    <w:basedOn w:val="a"/>
    <w:qFormat/>
  </w:style>
  <w:style w:type="character" w:customStyle="1" w:styleId="Char1">
    <w:name w:val="页脚 Char"/>
    <w:basedOn w:val="a0"/>
    <w:link w:val="a9"/>
    <w:uiPriority w:val="99"/>
    <w:qFormat/>
    <w:rPr>
      <w:kern w:val="2"/>
      <w:sz w:val="18"/>
    </w:rPr>
  </w:style>
  <w:style w:type="paragraph" w:customStyle="1" w:styleId="div">
    <w:name w:val="div"/>
    <w:basedOn w:val="a"/>
    <w:qFormat/>
  </w:style>
  <w:style w:type="character" w:customStyle="1" w:styleId="custom">
    <w:name w:val="custom"/>
    <w:basedOn w:val="a0"/>
    <w:qFormat/>
  </w:style>
  <w:style w:type="paragraph" w:customStyle="1" w:styleId="table">
    <w:name w:val="table"/>
    <w:basedOn w:val="a"/>
    <w:qFormat/>
  </w:style>
  <w:style w:type="table" w:customStyle="1" w:styleId="tableTable">
    <w:name w:val="table Table"/>
    <w:basedOn w:val="a1"/>
    <w:qFormat/>
    <w:tblPr>
      <w:tblInd w:w="0" w:type="dxa"/>
      <w:tblCellMar>
        <w:top w:w="0" w:type="dxa"/>
        <w:left w:w="108" w:type="dxa"/>
        <w:bottom w:w="0" w:type="dxa"/>
        <w:right w:w="108" w:type="dxa"/>
      </w:tblCellMar>
    </w:tblPr>
  </w:style>
  <w:style w:type="paragraph" w:customStyle="1" w:styleId="imageimageresized">
    <w:name w:val="image_image_resized"/>
    <w:basedOn w:val="a"/>
    <w:qFormat/>
  </w:style>
  <w:style w:type="paragraph" w:customStyle="1" w:styleId="p">
    <w:name w:val="p"/>
    <w:basedOn w:val="a"/>
    <w:qFormat/>
  </w:style>
  <w:style w:type="character" w:customStyle="1" w:styleId="serial-tag">
    <w:name w:val="serial-tag"/>
    <w:basedOn w:val="a0"/>
    <w:qFormat/>
  </w:style>
  <w:style w:type="character" w:customStyle="1" w:styleId="divCharacter">
    <w:name w:val="div Characte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rvice@99fun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147</Pages>
  <Words>15668</Words>
  <Characters>89309</Characters>
  <Application>Microsoft Office Word</Application>
  <DocSecurity>0</DocSecurity>
  <Lines>744</Lines>
  <Paragraphs>209</Paragraphs>
  <ScaleCrop>false</ScaleCrop>
  <Company/>
  <LinksUpToDate>false</LinksUpToDate>
  <CharactersWithSpaces>104768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xuzhen</dc:creator>
  <cp:lastModifiedBy>张璋</cp:lastModifiedBy>
  <cp:revision>19</cp:revision>
  <cp:lastPrinted>2020-07-16T11:58:00Z</cp:lastPrinted>
  <dcterms:created xsi:type="dcterms:W3CDTF">2020-07-09T02:06:00Z</dcterms:created>
  <dcterms:modified xsi:type="dcterms:W3CDTF">2025-09-23T07:05:00Z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E3C7677BA20044A5A6F28A37F6A0F966_13</vt:lpwstr>
  </property>
</Properties>
</file>