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D340A1">
      <w:pPr>
        <w:jc w:val="center"/>
        <w:rPr>
          <w:rFonts w:ascii="宋体" w:hAnsi="宋体" w:cs="宋体"/>
          <w:sz w:val="36"/>
          <w:szCs w:val="36"/>
        </w:rPr>
      </w:pPr>
    </w:p>
    <w:p w:rsidR="00D340A1">
      <w:pPr>
        <w:jc w:val="center"/>
        <w:rPr>
          <w:rFonts w:ascii="宋体" w:hAnsi="宋体" w:cs="宋体"/>
          <w:sz w:val="36"/>
          <w:szCs w:val="36"/>
          <w:lang w:eastAsia="zh-CN"/>
        </w:rPr>
      </w:pPr>
      <w:r>
        <w:rPr>
          <w:rFonts w:ascii="宋体" w:hAnsi="宋体" w:cs="宋体" w:hint="eastAsia"/>
          <w:sz w:val="36"/>
          <w:szCs w:val="36"/>
          <w:lang w:eastAsia="zh-CN"/>
        </w:rPr>
        <w:t>易方达港股通科技混合型证券投资基金</w:t>
      </w:r>
      <w:r>
        <w:rPr>
          <w:rFonts w:ascii="宋体" w:hAnsi="宋体" w:cs="宋体" w:hint="eastAsia"/>
          <w:sz w:val="36"/>
          <w:szCs w:val="36"/>
          <w:highlight w:val="white"/>
          <w:lang w:eastAsia="zh-CN"/>
        </w:rPr>
        <w:t>（</w:t>
      </w:r>
      <w:r>
        <w:rPr>
          <w:rFonts w:ascii="宋体" w:hAnsi="宋体" w:cs="宋体"/>
          <w:sz w:val="36"/>
          <w:szCs w:val="36"/>
          <w:lang w:eastAsia="zh-CN"/>
        </w:rPr>
        <w:t>易方达港股通科技混合</w:t>
      </w:r>
      <w:r>
        <w:rPr>
          <w:rFonts w:ascii="宋体" w:hAnsi="宋体" w:cs="宋体" w:hint="eastAsia"/>
          <w:sz w:val="36"/>
          <w:szCs w:val="36"/>
          <w:highlight w:val="white"/>
          <w:lang w:eastAsia="zh-CN"/>
        </w:rPr>
        <w:t>C）基金产品资料概要</w:t>
      </w:r>
    </w:p>
    <w:p w:rsidR="00D340A1">
      <w:pPr>
        <w:jc w:val="center"/>
        <w:rPr>
          <w:rFonts w:ascii="宋体" w:hAnsi="宋体" w:cs="宋体"/>
          <w:iCs/>
          <w:sz w:val="24"/>
          <w:szCs w:val="24"/>
          <w:lang w:eastAsia="zh-CN"/>
        </w:rPr>
      </w:pPr>
      <w:r>
        <w:rPr>
          <w:rFonts w:ascii="宋体" w:hAnsi="宋体" w:cs="宋体" w:hint="eastAsia"/>
          <w:iCs/>
          <w:sz w:val="24"/>
          <w:szCs w:val="24"/>
          <w:highlight w:val="white"/>
          <w:lang w:eastAsia="zh-CN"/>
        </w:rPr>
        <w:t>编制日期：</w:t>
      </w:r>
      <w:r w:rsidRPr="008606DB" w:rsidR="00657BEB">
        <w:rPr>
          <w:rFonts w:ascii="宋体" w:hAnsi="宋体" w:cs="方正仿宋简体"/>
          <w:iCs/>
          <w:sz w:val="24"/>
          <w:szCs w:val="24"/>
          <w:lang w:eastAsia="zh-CN"/>
        </w:rPr>
        <w:t>2025年9月22日</w:t>
      </w:r>
    </w:p>
    <w:p w:rsidR="00D340A1">
      <w:pPr>
        <w:jc w:val="center"/>
        <w:rPr>
          <w:rFonts w:ascii="宋体" w:hAnsi="宋体" w:cs="宋体"/>
          <w:iCs/>
          <w:sz w:val="24"/>
          <w:szCs w:val="24"/>
          <w:lang w:eastAsia="zh-CN"/>
        </w:rPr>
      </w:pPr>
      <w:r>
        <w:rPr>
          <w:rFonts w:ascii="宋体" w:hAnsi="宋体" w:cs="宋体" w:hint="eastAsia"/>
          <w:iCs/>
          <w:sz w:val="24"/>
          <w:szCs w:val="24"/>
          <w:highlight w:val="white"/>
          <w:lang w:eastAsia="zh-CN"/>
        </w:rPr>
        <w:t>送出日期：</w:t>
      </w:r>
      <w:r w:rsidRPr="008606DB" w:rsidR="00657BEB">
        <w:rPr>
          <w:rFonts w:ascii="宋体" w:hAnsi="宋体" w:cs="方正仿宋简体"/>
          <w:iCs/>
          <w:sz w:val="24"/>
          <w:szCs w:val="24"/>
          <w:lang w:eastAsia="zh-CN"/>
        </w:rPr>
        <w:t>2025年9月23日</w:t>
      </w:r>
    </w:p>
    <w:p w:rsidR="00D340A1">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本概要提供本基金的重要信息，是招募说明书的一部分。</w:t>
      </w:r>
    </w:p>
    <w:p w:rsidR="00D340A1">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作出投资决定前，请阅读完整的招募说明书等销售文件。</w:t>
      </w:r>
    </w:p>
    <w:p w:rsidR="00D340A1">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产品概况</w:t>
      </w:r>
    </w:p>
    <w:tbl>
      <w:tblPr>
        <w:tblStyle w:val="TableGrid"/>
        <w:tblOverlap w:val="never"/>
        <w:tblW w:w="5000" w:type="pct"/>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1703"/>
        <w:gridCol w:w="2459"/>
      </w:tblGrid>
      <w:tr>
        <w:tblPrEx>
          <w:tblW w:w="5000" w:type="pct"/>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基金简称</w:t>
            </w:r>
          </w:p>
        </w:tc>
        <w:tc>
          <w:tcPr>
            <w:tcW w:w="1413" w:type="pct"/>
            <w:vAlign w:val="center"/>
          </w:tcPr>
          <w:p w:rsidR="00D340A1">
            <w:pPr>
              <w:spacing w:line="280" w:lineRule="exact"/>
              <w:rPr>
                <w:rFonts w:ascii="宋体" w:hAnsi="宋体" w:cs="宋体"/>
                <w:iCs/>
                <w:lang w:eastAsia="zh-CN"/>
              </w:rPr>
            </w:pPr>
            <w:r>
              <w:rPr>
                <w:rFonts w:ascii="宋体" w:hAnsi="宋体" w:cs="宋体"/>
                <w:iCs/>
                <w:lang w:eastAsia="zh-CN"/>
              </w:rPr>
              <w:t>易方达港股通科技混合</w:t>
            </w: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基金代码</w:t>
            </w:r>
          </w:p>
        </w:tc>
        <w:tc>
          <w:tcPr>
            <w:tcW w:w="1443" w:type="pct"/>
            <w:tcBorders>
              <w:bottom w:val="single" w:sz="4" w:space="0" w:color="A6A6A6" w:themeColor="background1" w:themeShade="A6"/>
            </w:tcBorders>
            <w:vAlign w:val="center"/>
          </w:tcPr>
          <w:p w:rsidR="00D340A1" w:rsidP="00E16088">
            <w:pPr>
              <w:spacing w:line="280" w:lineRule="exact"/>
              <w:rPr>
                <w:rFonts w:ascii="宋体" w:hAnsi="宋体" w:cs="宋体"/>
              </w:rPr>
            </w:pPr>
            <w:r w:rsidRPr="00D03C21">
              <w:rPr>
                <w:rFonts w:ascii="宋体" w:hAnsi="宋体" w:cs="宋体"/>
                <w:iCs/>
                <w:lang w:eastAsia="zh-CN"/>
              </w:rPr>
              <w:t>025648</w:t>
            </w:r>
          </w:p>
        </w:tc>
      </w:tr>
      <w:tr>
        <w:tblPrEx>
          <w:tblW w:w="5000" w:type="pct"/>
          <w:tblLayout w:type="fixed"/>
          <w:tblLook w:val="04A0"/>
        </w:tblPrEx>
        <w:trPr>
          <w:trHeight w:val="360"/>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下属基金简称</w:t>
            </w:r>
          </w:p>
        </w:tc>
        <w:tc>
          <w:tcPr>
            <w:tcW w:w="1413" w:type="pct"/>
            <w:tcBorders>
              <w:top w:val="nil"/>
            </w:tcBorders>
            <w:vAlign w:val="center"/>
          </w:tcPr>
          <w:p w:rsidR="00D340A1">
            <w:pPr>
              <w:spacing w:line="280" w:lineRule="exact"/>
              <w:rPr>
                <w:rFonts w:ascii="宋体" w:hAnsi="宋体" w:cs="宋体"/>
                <w:iCs/>
                <w:lang w:eastAsia="zh-CN"/>
              </w:rPr>
            </w:pPr>
            <w:r>
              <w:rPr>
                <w:rFonts w:ascii="宋体" w:hAnsi="宋体" w:cs="宋体" w:hint="eastAsia"/>
                <w:iCs/>
                <w:lang w:eastAsia="zh-CN"/>
              </w:rPr>
              <w:t>易方达港股通科技混合</w:t>
            </w:r>
            <w:r>
              <w:rPr>
                <w:rFonts w:ascii="宋体" w:hAnsi="宋体" w:cs="宋体" w:hint="eastAsia"/>
                <w:iCs/>
                <w:highlight w:val="white"/>
                <w:lang w:eastAsia="zh-CN"/>
              </w:rPr>
              <w:t>C</w:t>
            </w: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下属基金代码</w:t>
            </w:r>
          </w:p>
        </w:tc>
        <w:tc>
          <w:tcPr>
            <w:tcW w:w="1443" w:type="pct"/>
            <w:tcBorders>
              <w:top w:val="nil"/>
              <w:bottom w:val="nil"/>
            </w:tcBorders>
            <w:vAlign w:val="center"/>
          </w:tcPr>
          <w:p w:rsidR="00D340A1" w:rsidRPr="00E16088" w:rsidP="00E16088">
            <w:pPr>
              <w:spacing w:line="280" w:lineRule="exact"/>
              <w:rPr>
                <w:rFonts w:ascii="宋体" w:hAnsi="宋体" w:cs="宋体"/>
                <w:sz w:val="24"/>
                <w:szCs w:val="24"/>
                <w:lang w:eastAsia="zh-CN"/>
              </w:rPr>
            </w:pPr>
            <w:r w:rsidRPr="00D03C21">
              <w:rPr>
                <w:rFonts w:ascii="宋体" w:hAnsi="宋体" w:cs="宋体"/>
                <w:iCs/>
                <w:lang w:eastAsia="zh-CN"/>
              </w:rPr>
              <w:t>025649</w:t>
            </w:r>
            <w:bookmarkStart w:id="0" w:name="_GoBack"/>
            <w:bookmarkEnd w:id="0"/>
          </w:p>
        </w:tc>
      </w:tr>
      <w:tr>
        <w:tblPrEx>
          <w:tblW w:w="5000" w:type="pct"/>
          <w:tblLayout w:type="fixed"/>
          <w:tblLook w:val="04A0"/>
        </w:tblPrEx>
        <w:trPr>
          <w:trHeight w:val="360"/>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基金管理人</w:t>
            </w:r>
          </w:p>
        </w:tc>
        <w:tc>
          <w:tcPr>
            <w:tcW w:w="1413" w:type="pct"/>
            <w:tcBorders>
              <w:top w:val="single" w:sz="4" w:space="0" w:color="A6A6A6" w:themeColor="background1" w:themeShade="A6"/>
            </w:tcBorders>
            <w:vAlign w:val="center"/>
          </w:tcPr>
          <w:p w:rsidR="00D340A1">
            <w:pPr>
              <w:spacing w:line="280" w:lineRule="exact"/>
              <w:rPr>
                <w:rFonts w:ascii="宋体" w:hAnsi="宋体" w:cs="宋体"/>
                <w:iCs/>
                <w:lang w:eastAsia="zh-CN"/>
              </w:rPr>
            </w:pPr>
            <w:r>
              <w:rPr>
                <w:rFonts w:ascii="宋体" w:hAnsi="宋体" w:cs="宋体" w:hint="eastAsia"/>
                <w:iCs/>
                <w:lang w:eastAsia="zh-CN"/>
              </w:rPr>
              <w:t>易方达基金管理有限公司</w:t>
            </w: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基金托管人</w:t>
            </w:r>
          </w:p>
        </w:tc>
        <w:tc>
          <w:tcPr>
            <w:tcW w:w="1443" w:type="pct"/>
            <w:tcBorders>
              <w:top w:val="single" w:sz="4" w:space="0" w:color="A6A6A6" w:themeColor="background1" w:themeShade="A6"/>
            </w:tcBorders>
            <w:vAlign w:val="center"/>
          </w:tcPr>
          <w:p w:rsidR="00D340A1">
            <w:pPr>
              <w:spacing w:line="280" w:lineRule="exact"/>
              <w:rPr>
                <w:rFonts w:ascii="宋体" w:hAnsi="宋体" w:cs="宋体"/>
                <w:iCs/>
                <w:lang w:eastAsia="zh-CN"/>
              </w:rPr>
            </w:pPr>
            <w:r>
              <w:rPr>
                <w:rFonts w:ascii="宋体" w:hAnsi="宋体" w:cs="宋体" w:hint="eastAsia"/>
                <w:iCs/>
                <w:lang w:eastAsia="zh-CN"/>
              </w:rPr>
              <w:t>上海浦东发展银行股份有限公司</w:t>
            </w:r>
          </w:p>
        </w:tc>
      </w:tr>
      <w:tr>
        <w:tblPrEx>
          <w:tblW w:w="5000" w:type="pct"/>
          <w:tblLayout w:type="fixed"/>
          <w:tblLook w:val="04A0"/>
        </w:tblPrEx>
        <w:trPr>
          <w:trHeight w:val="454"/>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基金合同生效日</w:t>
            </w:r>
          </w:p>
        </w:tc>
        <w:tc>
          <w:tcPr>
            <w:tcW w:w="1413" w:type="pct"/>
            <w:vAlign w:val="center"/>
          </w:tcPr>
          <w:p w:rsidR="00D340A1">
            <w:pPr>
              <w:spacing w:line="280" w:lineRule="exact"/>
              <w:rPr>
                <w:rFonts w:ascii="宋体" w:hAnsi="宋体" w:cs="宋体"/>
                <w:iCs/>
              </w:rPr>
            </w:pPr>
            <w:r>
              <w:rPr>
                <w:rFonts w:ascii="宋体" w:hAnsi="宋体" w:cs="宋体" w:hint="eastAsia"/>
                <w:iCs/>
                <w:highlight w:val="white"/>
              </w:rPr>
              <w:t>-</w:t>
            </w:r>
          </w:p>
        </w:tc>
        <w:tc>
          <w:tcPr>
            <w:tcW w:w="999" w:type="pct"/>
            <w:vAlign w:val="center"/>
          </w:tcPr>
          <w:p w:rsidR="00D340A1">
            <w:pPr>
              <w:spacing w:line="280" w:lineRule="exact"/>
              <w:rPr>
                <w:rFonts w:ascii="宋体" w:hAnsi="宋体" w:cs="宋体"/>
                <w:b/>
                <w:iCs/>
              </w:rPr>
            </w:pPr>
          </w:p>
        </w:tc>
        <w:tc>
          <w:tcPr>
            <w:tcW w:w="1443" w:type="pct"/>
            <w:tcBorders>
              <w:top w:val="single" w:sz="4" w:space="0" w:color="A6A6A6" w:themeColor="background1" w:themeShade="A6"/>
              <w:bottom w:val="nil"/>
            </w:tcBorders>
            <w:vAlign w:val="center"/>
          </w:tcPr>
          <w:p w:rsidR="00D340A1">
            <w:pPr>
              <w:spacing w:line="280" w:lineRule="exact"/>
              <w:rPr>
                <w:rFonts w:ascii="宋体" w:hAnsi="宋体" w:cs="宋体"/>
                <w:iCs/>
              </w:rPr>
            </w:pPr>
            <w:r>
              <w:rPr>
                <w:rFonts w:ascii="宋体" w:hAnsi="宋体" w:cs="宋体" w:hint="eastAsia"/>
                <w:iCs/>
                <w:highlight w:val="white"/>
              </w:rPr>
              <w:t xml:space="preserve"> </w:t>
            </w:r>
          </w:p>
        </w:tc>
      </w:tr>
      <w:tr>
        <w:tblPrEx>
          <w:tblW w:w="5000" w:type="pct"/>
          <w:tblLayout w:type="fixed"/>
          <w:tblLook w:val="04A0"/>
        </w:tblPrEx>
        <w:trPr>
          <w:trHeight w:val="360"/>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基金类型</w:t>
            </w:r>
          </w:p>
        </w:tc>
        <w:tc>
          <w:tcPr>
            <w:tcW w:w="1413" w:type="pct"/>
            <w:vAlign w:val="center"/>
          </w:tcPr>
          <w:p w:rsidR="00D340A1">
            <w:pPr>
              <w:spacing w:line="280" w:lineRule="exact"/>
              <w:rPr>
                <w:rFonts w:ascii="宋体" w:hAnsi="宋体" w:cs="宋体"/>
                <w:iCs/>
              </w:rPr>
            </w:pPr>
            <w:r>
              <w:rPr>
                <w:rFonts w:ascii="宋体" w:hAnsi="宋体" w:cs="宋体" w:hint="eastAsia"/>
                <w:iCs/>
              </w:rPr>
              <w:t>混合型</w:t>
            </w: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交易币种</w:t>
            </w:r>
          </w:p>
        </w:tc>
        <w:tc>
          <w:tcPr>
            <w:tcW w:w="1443" w:type="pct"/>
            <w:tcBorders>
              <w:top w:val="single" w:sz="4" w:space="0" w:color="A6A6A6" w:themeColor="background1" w:themeShade="A6"/>
            </w:tcBorders>
            <w:vAlign w:val="center"/>
          </w:tcPr>
          <w:p w:rsidR="00D340A1">
            <w:pPr>
              <w:spacing w:line="280" w:lineRule="exact"/>
              <w:rPr>
                <w:rFonts w:ascii="宋体" w:hAnsi="宋体" w:cs="宋体"/>
                <w:iCs/>
              </w:rPr>
            </w:pPr>
            <w:r>
              <w:rPr>
                <w:rFonts w:ascii="宋体" w:hAnsi="宋体" w:cs="宋体" w:hint="eastAsia"/>
                <w:iCs/>
              </w:rPr>
              <w:t>人民币</w:t>
            </w:r>
          </w:p>
        </w:tc>
      </w:tr>
      <w:tr>
        <w:tblPrEx>
          <w:tblW w:w="5000" w:type="pct"/>
          <w:tblLayout w:type="fixed"/>
          <w:tblLook w:val="04A0"/>
        </w:tblPrEx>
        <w:trPr>
          <w:trHeight w:val="360"/>
        </w:trPr>
        <w:tc>
          <w:tcPr>
            <w:tcW w:w="1145" w:type="pct"/>
            <w:vAlign w:val="center"/>
          </w:tcPr>
          <w:p w:rsidR="00D340A1">
            <w:pPr>
              <w:spacing w:line="280" w:lineRule="exact"/>
              <w:rPr>
                <w:rFonts w:ascii="宋体" w:hAnsi="宋体" w:cs="宋体"/>
                <w:b/>
                <w:iCs/>
              </w:rPr>
            </w:pPr>
            <w:r>
              <w:rPr>
                <w:rFonts w:ascii="宋体" w:hAnsi="宋体" w:cs="宋体" w:hint="eastAsia"/>
                <w:b/>
                <w:iCs/>
                <w:highlight w:val="white"/>
              </w:rPr>
              <w:t>运作方式</w:t>
            </w:r>
          </w:p>
        </w:tc>
        <w:tc>
          <w:tcPr>
            <w:tcW w:w="1413" w:type="pct"/>
            <w:vAlign w:val="center"/>
          </w:tcPr>
          <w:p w:rsidR="00D340A1">
            <w:pPr>
              <w:spacing w:line="280" w:lineRule="exact"/>
              <w:rPr>
                <w:rFonts w:ascii="宋体" w:hAnsi="宋体" w:cs="宋体"/>
                <w:iCs/>
              </w:rPr>
            </w:pPr>
            <w:r>
              <w:rPr>
                <w:rFonts w:ascii="宋体" w:hAnsi="宋体" w:cs="宋体" w:hint="eastAsia"/>
                <w:iCs/>
              </w:rPr>
              <w:t>普通开放式</w:t>
            </w: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开放频率</w:t>
            </w:r>
          </w:p>
        </w:tc>
        <w:tc>
          <w:tcPr>
            <w:tcW w:w="1443" w:type="pct"/>
            <w:vAlign w:val="center"/>
          </w:tcPr>
          <w:p w:rsidR="00D340A1">
            <w:pPr>
              <w:spacing w:line="280" w:lineRule="exact"/>
              <w:rPr>
                <w:rFonts w:ascii="宋体" w:hAnsi="宋体" w:cs="宋体"/>
                <w:iCs/>
              </w:rPr>
            </w:pPr>
            <w:r>
              <w:rPr>
                <w:rFonts w:ascii="宋体" w:hAnsi="宋体" w:cs="宋体" w:hint="eastAsia"/>
                <w:iCs/>
              </w:rPr>
              <w:t>每个开放日</w:t>
            </w:r>
          </w:p>
        </w:tc>
      </w:tr>
      <w:tr>
        <w:tblPrEx>
          <w:tblW w:w="5000" w:type="pct"/>
          <w:tblLayout w:type="fixed"/>
          <w:tblLook w:val="04A0"/>
        </w:tblPrEx>
        <w:trPr>
          <w:trHeight w:val="360"/>
        </w:trPr>
        <w:tc>
          <w:tcPr>
            <w:tcW w:w="1145" w:type="pct"/>
            <w:vMerge w:val="restart"/>
            <w:vAlign w:val="center"/>
          </w:tcPr>
          <w:p w:rsidR="00D340A1">
            <w:pPr>
              <w:spacing w:line="280" w:lineRule="exact"/>
              <w:rPr>
                <w:rFonts w:ascii="宋体" w:hAnsi="宋体" w:cs="宋体"/>
                <w:b/>
                <w:iCs/>
              </w:rPr>
            </w:pPr>
            <w:r>
              <w:rPr>
                <w:rFonts w:ascii="宋体" w:hAnsi="宋体" w:cs="宋体" w:hint="eastAsia"/>
                <w:b/>
                <w:iCs/>
                <w:highlight w:val="white"/>
              </w:rPr>
              <w:t>基金经理</w:t>
            </w:r>
          </w:p>
        </w:tc>
        <w:tc>
          <w:tcPr>
            <w:tcW w:w="1413" w:type="pct"/>
            <w:vMerge w:val="restart"/>
            <w:vAlign w:val="center"/>
          </w:tcPr>
          <w:p w:rsidR="00D340A1">
            <w:pPr>
              <w:spacing w:line="280" w:lineRule="exact"/>
              <w:rPr>
                <w:rFonts w:ascii="宋体" w:hAnsi="宋体" w:cs="宋体"/>
                <w:iCs/>
              </w:rPr>
            </w:pPr>
            <w:r>
              <w:rPr>
                <w:rFonts w:ascii="宋体" w:hAnsi="宋体" w:cs="宋体" w:hint="eastAsia"/>
                <w:iCs/>
              </w:rPr>
              <w:t>李剑锋</w:t>
            </w:r>
          </w:p>
        </w:tc>
        <w:tc>
          <w:tcPr>
            <w:tcW w:w="999" w:type="pct"/>
            <w:vAlign w:val="center"/>
          </w:tcPr>
          <w:p w:rsidR="00D340A1">
            <w:pPr>
              <w:spacing w:line="280" w:lineRule="exact"/>
              <w:rPr>
                <w:rFonts w:ascii="宋体" w:hAnsi="宋体" w:cs="宋体"/>
                <w:b/>
                <w:iCs/>
                <w:lang w:eastAsia="zh-CN"/>
              </w:rPr>
            </w:pPr>
            <w:r>
              <w:rPr>
                <w:rFonts w:ascii="宋体" w:hAnsi="宋体" w:cs="宋体" w:hint="eastAsia"/>
                <w:b/>
                <w:iCs/>
                <w:highlight w:val="white"/>
                <w:lang w:eastAsia="zh-CN"/>
              </w:rPr>
              <w:t>开始担任本基金基金经理的日期</w:t>
            </w:r>
          </w:p>
        </w:tc>
        <w:tc>
          <w:tcPr>
            <w:tcW w:w="1443" w:type="pct"/>
            <w:vAlign w:val="center"/>
          </w:tcPr>
          <w:p w:rsidR="00D340A1">
            <w:pPr>
              <w:spacing w:line="280" w:lineRule="exact"/>
              <w:rPr>
                <w:rFonts w:ascii="宋体" w:hAnsi="宋体" w:cs="宋体"/>
                <w:iCs/>
              </w:rPr>
            </w:pPr>
            <w:r>
              <w:rPr>
                <w:rFonts w:ascii="宋体" w:hAnsi="宋体" w:cs="宋体"/>
                <w:iCs/>
                <w:highlight w:val="white"/>
              </w:rPr>
              <w:t>-</w:t>
            </w:r>
          </w:p>
        </w:tc>
      </w:tr>
      <w:tr>
        <w:tblPrEx>
          <w:tblW w:w="5000" w:type="pct"/>
          <w:tblLayout w:type="fixed"/>
          <w:tblLook w:val="04A0"/>
        </w:tblPrEx>
        <w:trPr>
          <w:trHeight w:val="360"/>
        </w:trPr>
        <w:tc>
          <w:tcPr>
            <w:tcW w:w="1145" w:type="pct"/>
            <w:vMerge/>
            <w:vAlign w:val="center"/>
          </w:tcPr>
          <w:p w:rsidR="00D340A1">
            <w:pPr>
              <w:spacing w:line="280" w:lineRule="exact"/>
              <w:rPr>
                <w:rFonts w:ascii="方正仿宋简体" w:eastAsia="方正仿宋简体" w:cs="方正仿宋简体"/>
                <w:b/>
                <w:iCs/>
              </w:rPr>
            </w:pPr>
          </w:p>
        </w:tc>
        <w:tc>
          <w:tcPr>
            <w:tcW w:w="1413" w:type="pct"/>
            <w:vMerge/>
            <w:vAlign w:val="center"/>
          </w:tcPr>
          <w:p w:rsidR="00D340A1">
            <w:pPr>
              <w:spacing w:line="280" w:lineRule="exact"/>
              <w:rPr>
                <w:rFonts w:ascii="方正仿宋简体" w:eastAsia="方正仿宋简体" w:cs="方正仿宋简体"/>
                <w:b/>
                <w:iCs/>
              </w:rPr>
            </w:pPr>
          </w:p>
        </w:tc>
        <w:tc>
          <w:tcPr>
            <w:tcW w:w="999" w:type="pct"/>
            <w:vAlign w:val="center"/>
          </w:tcPr>
          <w:p w:rsidR="00D340A1">
            <w:pPr>
              <w:spacing w:line="280" w:lineRule="exact"/>
              <w:rPr>
                <w:rFonts w:ascii="宋体" w:hAnsi="宋体" w:cs="宋体"/>
                <w:b/>
                <w:iCs/>
              </w:rPr>
            </w:pPr>
            <w:r>
              <w:rPr>
                <w:rFonts w:ascii="宋体" w:hAnsi="宋体" w:cs="宋体" w:hint="eastAsia"/>
                <w:b/>
                <w:iCs/>
                <w:highlight w:val="white"/>
              </w:rPr>
              <w:t>证券从业日期</w:t>
            </w:r>
          </w:p>
        </w:tc>
        <w:tc>
          <w:tcPr>
            <w:tcW w:w="1443" w:type="pct"/>
            <w:vAlign w:val="center"/>
          </w:tcPr>
          <w:p w:rsidR="00D340A1">
            <w:pPr>
              <w:spacing w:line="280" w:lineRule="exact"/>
              <w:rPr>
                <w:rFonts w:ascii="宋体" w:hAnsi="宋体" w:cs="宋体"/>
                <w:iCs/>
              </w:rPr>
            </w:pPr>
            <w:r>
              <w:rPr>
                <w:rFonts w:ascii="宋体" w:hAnsi="宋体" w:cs="宋体"/>
              </w:rPr>
              <w:t>2005-07-04</w:t>
            </w:r>
          </w:p>
        </w:tc>
      </w:tr>
      <w:tr>
        <w:tblPrEx>
          <w:tblW w:w="5000" w:type="pct"/>
          <w:tblLayout w:type="fixed"/>
          <w:tblLook w:val="04A0"/>
        </w:tblPrEx>
        <w:trPr>
          <w:trHeight w:val="454"/>
        </w:trPr>
        <w:tc>
          <w:tcPr>
            <w:tcW w:w="1145" w:type="pct"/>
            <w:vAlign w:val="center"/>
          </w:tcPr>
          <w:p w:rsidR="00D340A1">
            <w:pPr>
              <w:spacing w:line="280" w:lineRule="exact"/>
              <w:rPr>
                <w:rFonts w:ascii="宋体" w:hAnsi="宋体" w:cs="宋体"/>
                <w:iCs/>
              </w:rPr>
            </w:pPr>
            <w:r>
              <w:rPr>
                <w:rFonts w:ascii="宋体" w:hAnsi="宋体" w:cs="宋体"/>
                <w:iCs/>
                <w:highlight w:val="white"/>
              </w:rPr>
              <w:t>其他</w:t>
            </w:r>
          </w:p>
        </w:tc>
        <w:tc>
          <w:tcPr>
            <w:tcW w:w="6570" w:type="dxa"/>
            <w:gridSpan w:val="3"/>
            <w:vAlign w:val="center"/>
          </w:tcPr>
          <w:p w:rsidR="00D340A1">
            <w:pPr>
              <w:spacing w:line="280" w:lineRule="exact"/>
              <w:rPr>
                <w:iCs/>
                <w:lang w:eastAsia="zh-CN"/>
              </w:rPr>
            </w:pPr>
            <w:r>
              <w:rPr>
                <w:highlight w:val="white"/>
                <w:lang w:eastAsia="zh-CN"/>
              </w:rPr>
              <w:t>本基金场内投资采用证券公司交易和结算模式。</w:t>
            </w:r>
          </w:p>
        </w:tc>
      </w:tr>
    </w:tbl>
    <w:p w:rsidR="00D340A1">
      <w:pPr>
        <w:spacing w:line="280" w:lineRule="exact"/>
        <w:outlineLvl w:val="0"/>
        <w:rPr>
          <w:rFonts w:ascii="宋体" w:hAnsi="宋体" w:cs="宋体"/>
          <w:iCs/>
          <w:sz w:val="24"/>
          <w:szCs w:val="24"/>
          <w:lang w:eastAsia="zh-CN"/>
        </w:rPr>
      </w:pPr>
    </w:p>
    <w:p w:rsidR="00D340A1">
      <w:pPr>
        <w:numPr>
          <w:ilvl w:val="0"/>
          <w:numId w:val="1"/>
        </w:numPr>
        <w:spacing w:line="280" w:lineRule="exact"/>
        <w:outlineLvl w:val="0"/>
        <w:rPr>
          <w:rFonts w:ascii="宋体" w:hAnsi="宋体" w:cs="宋体"/>
          <w:sz w:val="24"/>
          <w:szCs w:val="24"/>
        </w:rPr>
      </w:pPr>
      <w:r>
        <w:rPr>
          <w:rFonts w:ascii="宋体" w:hAnsi="宋体" w:cs="宋体" w:hint="eastAsia"/>
          <w:b/>
          <w:iCs/>
          <w:sz w:val="24"/>
          <w:szCs w:val="24"/>
          <w:highlight w:val="white"/>
        </w:rPr>
        <w:t>基金投资与净值表现</w:t>
      </w:r>
    </w:p>
    <w:p w:rsidR="00D340A1">
      <w:pPr>
        <w:spacing w:line="280" w:lineRule="exact"/>
        <w:outlineLvl w:val="0"/>
        <w:rPr>
          <w:rFonts w:ascii="宋体" w:hAnsi="宋体" w:cs="宋体"/>
          <w:b/>
          <w:sz w:val="24"/>
          <w:szCs w:val="24"/>
          <w:lang w:eastAsia="zh-CN"/>
        </w:rPr>
      </w:pPr>
      <w:r>
        <w:rPr>
          <w:rFonts w:ascii="宋体" w:hAnsi="宋体" w:cs="宋体" w:hint="eastAsia"/>
          <w:b/>
          <w:iCs/>
          <w:sz w:val="24"/>
          <w:szCs w:val="24"/>
          <w:highlight w:val="white"/>
          <w:lang w:eastAsia="zh-CN"/>
        </w:rPr>
        <w:t>（一）投资目标与投资策略</w:t>
      </w:r>
    </w:p>
    <w:tbl>
      <w:tblPr>
        <w:tblStyle w:val="TableGrid"/>
        <w:tblOverlap w:val="never"/>
        <w:tblW w:w="5000" w:type="pct"/>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5000" w:type="pct"/>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1228" w:type="pct"/>
            <w:vAlign w:val="center"/>
          </w:tcPr>
          <w:p w:rsidR="00D340A1">
            <w:pPr>
              <w:spacing w:line="280" w:lineRule="exact"/>
              <w:rPr>
                <w:rFonts w:ascii="宋体" w:hAnsi="宋体" w:cs="宋体"/>
                <w:szCs w:val="24"/>
              </w:rPr>
            </w:pPr>
            <w:r>
              <w:rPr>
                <w:rFonts w:ascii="宋体" w:hAnsi="宋体" w:cs="宋体" w:hint="eastAsia"/>
                <w:b/>
                <w:bCs/>
                <w:iCs/>
                <w:szCs w:val="24"/>
                <w:highlight w:val="white"/>
              </w:rPr>
              <w:t>投资目标</w:t>
            </w:r>
          </w:p>
        </w:tc>
        <w:tc>
          <w:tcPr>
            <w:tcW w:w="3772" w:type="pct"/>
            <w:vAlign w:val="center"/>
          </w:tcPr>
          <w:p w:rsidR="00D340A1">
            <w:pPr>
              <w:spacing w:line="280" w:lineRule="exact"/>
              <w:rPr>
                <w:rFonts w:ascii="宋体" w:hAnsi="宋体" w:cs="宋体"/>
                <w:iCs/>
                <w:lang w:eastAsia="zh-CN"/>
              </w:rPr>
            </w:pPr>
            <w:r>
              <w:rPr>
                <w:rFonts w:ascii="宋体" w:hAnsi="宋体" w:cs="宋体" w:hint="eastAsia"/>
                <w:iCs/>
                <w:lang w:eastAsia="zh-CN"/>
              </w:rPr>
              <w:t>本基金在控制风险的前提下，追求超越业绩比较基准的投资回报。</w:t>
            </w:r>
          </w:p>
        </w:tc>
      </w:tr>
      <w:tr>
        <w:tblPrEx>
          <w:tblW w:w="5000" w:type="pct"/>
          <w:tblLayout w:type="fixed"/>
          <w:tblLook w:val="04A0"/>
        </w:tblPrEx>
        <w:trPr>
          <w:trHeight w:val="360"/>
        </w:trPr>
        <w:tc>
          <w:tcPr>
            <w:tcW w:w="1228" w:type="pct"/>
            <w:vAlign w:val="center"/>
          </w:tcPr>
          <w:p w:rsidR="00D340A1">
            <w:pPr>
              <w:spacing w:line="280" w:lineRule="exact"/>
              <w:rPr>
                <w:rFonts w:ascii="宋体" w:hAnsi="宋体" w:cs="宋体"/>
                <w:szCs w:val="24"/>
              </w:rPr>
            </w:pPr>
            <w:r>
              <w:rPr>
                <w:rFonts w:ascii="宋体" w:hAnsi="宋体" w:cs="宋体" w:hint="eastAsia"/>
                <w:b/>
                <w:bCs/>
                <w:iCs/>
                <w:szCs w:val="24"/>
                <w:highlight w:val="white"/>
              </w:rPr>
              <w:t>投资范围</w:t>
            </w:r>
          </w:p>
        </w:tc>
        <w:tc>
          <w:tcPr>
            <w:tcW w:w="3772" w:type="pct"/>
            <w:vAlign w:val="center"/>
          </w:tcPr>
          <w:p w:rsidR="00D340A1">
            <w:pPr>
              <w:spacing w:line="280" w:lineRule="exact"/>
              <w:ind w:firstLine="0"/>
              <w:rPr>
                <w:rFonts w:ascii="宋体" w:hAnsi="宋体" w:cs="宋体"/>
                <w:iCs/>
                <w:lang w:eastAsia="zh-CN"/>
              </w:rPr>
            </w:pPr>
            <w:r>
              <w:rPr>
                <w:rFonts w:ascii="宋体" w:hAnsi="宋体" w:cs="宋体" w:hint="eastAsia"/>
                <w:iCs/>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D340A1">
            <w:pPr>
              <w:spacing w:line="280" w:lineRule="exact"/>
              <w:ind w:firstLine="0"/>
              <w:rPr>
                <w:rFonts w:ascii="宋体" w:hAnsi="宋体" w:cs="宋体"/>
                <w:iCs/>
                <w:lang w:eastAsia="zh-CN"/>
              </w:rPr>
            </w:pPr>
            <w:r>
              <w:rPr>
                <w:rFonts w:ascii="宋体" w:hAnsi="宋体" w:cs="宋体" w:hint="eastAsia"/>
                <w:iCs/>
                <w:lang w:eastAsia="zh-CN"/>
              </w:rPr>
              <w:t>如法律法规或监管机构以后允许基金投资其他品种，基金管理人在履行适当程序后，本基金可以将其纳入投资范围。</w:t>
            </w:r>
          </w:p>
          <w:p w:rsidR="00D340A1">
            <w:pPr>
              <w:spacing w:line="280" w:lineRule="exact"/>
              <w:ind w:firstLine="0"/>
              <w:rPr>
                <w:rFonts w:ascii="宋体" w:hAnsi="宋体" w:cs="宋体"/>
                <w:color w:val="000000"/>
                <w:lang w:eastAsia="zh-CN"/>
              </w:rPr>
            </w:pPr>
            <w:r>
              <w:rPr>
                <w:rFonts w:ascii="宋体" w:hAnsi="宋体" w:cs="宋体"/>
                <w:color w:val="000000"/>
                <w:highlight w:val="white"/>
                <w:lang w:eastAsia="zh-CN"/>
              </w:rPr>
              <w:t>基金的投资组合比例为：</w:t>
            </w:r>
            <w:r>
              <w:rPr>
                <w:rFonts w:ascii="宋体" w:hAnsi="宋体" w:cs="宋体"/>
                <w:color w:val="000000"/>
                <w:lang w:eastAsia="zh-CN"/>
              </w:rPr>
              <w:t>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tc>
      </w:tr>
      <w:tr>
        <w:tblPrEx>
          <w:tblW w:w="5000" w:type="pct"/>
          <w:tblLayout w:type="fixed"/>
          <w:tblLook w:val="04A0"/>
        </w:tblPrEx>
        <w:trPr>
          <w:trHeight w:val="454"/>
        </w:trPr>
        <w:tc>
          <w:tcPr>
            <w:tcW w:w="1228" w:type="pct"/>
            <w:vAlign w:val="center"/>
          </w:tcPr>
          <w:p w:rsidR="00D340A1">
            <w:pPr>
              <w:spacing w:line="280" w:lineRule="exact"/>
              <w:rPr>
                <w:rFonts w:ascii="宋体" w:hAnsi="宋体" w:cs="宋体"/>
                <w:szCs w:val="24"/>
              </w:rPr>
            </w:pPr>
            <w:r>
              <w:rPr>
                <w:rFonts w:ascii="宋体" w:hAnsi="宋体" w:cs="宋体" w:hint="eastAsia"/>
                <w:b/>
                <w:bCs/>
                <w:iCs/>
                <w:szCs w:val="24"/>
                <w:highlight w:val="white"/>
              </w:rPr>
              <w:t>主要投资策略</w:t>
            </w:r>
          </w:p>
        </w:tc>
        <w:tc>
          <w:tcPr>
            <w:tcW w:w="3772" w:type="pct"/>
            <w:vAlign w:val="center"/>
          </w:tcPr>
          <w:p w:rsidR="00D340A1" w:rsidP="00DB488E">
            <w:pPr>
              <w:spacing w:line="280" w:lineRule="exact"/>
              <w:rPr>
                <w:rFonts w:ascii="宋体" w:hAnsi="宋体" w:cs="宋体"/>
                <w:iCs/>
                <w:lang w:eastAsia="zh-CN"/>
              </w:rPr>
            </w:pPr>
            <w:r w:rsidRPr="00491EB0">
              <w:rPr>
                <w:rFonts w:ascii="宋体" w:hAnsi="宋体" w:cs="宋体"/>
                <w:iCs/>
                <w:color w:val="auto"/>
                <w:highlight w:val="none"/>
                <w:lang w:eastAsia="zh-CN"/>
              </w:rPr>
              <w:t>资产配置方面，本基金将综合考虑宏观与微观经济、市场与政策等因素，确定组合中股票、债券、货币市场工具及其他金融工具的比例。股票投资方面，本基金主要投资科技主题相关股票。</w:t>
            </w:r>
            <w:r w:rsidRPr="00AF2B6F" w:rsidR="00DB488E">
              <w:rPr>
                <w:rFonts w:ascii="宋体" w:hAnsi="宋体" w:cs="宋体" w:hint="eastAsia"/>
                <w:iCs/>
                <w:lang w:eastAsia="zh-CN"/>
              </w:rPr>
              <w:t>科技主题相关公司的研发支出金额占营业收入比例或研发支出金额处于所属行业前三分之一。</w:t>
            </w:r>
            <w:r w:rsidRPr="00491EB0">
              <w:rPr>
                <w:rFonts w:ascii="宋体" w:hAnsi="宋体" w:cs="宋体"/>
                <w:iCs/>
                <w:color w:val="auto"/>
                <w:highlight w:val="none"/>
                <w:lang w:eastAsia="zh-CN"/>
              </w:rPr>
              <w:t>本基金将通过定量与定性分析相结合的方法分析和精选个股，在港股通股票中重点</w:t>
            </w:r>
            <w:r w:rsidRPr="00491EB0">
              <w:rPr>
                <w:rFonts w:ascii="宋体" w:hAnsi="宋体" w:cs="宋体"/>
                <w:iCs/>
                <w:color w:val="auto"/>
                <w:highlight w:val="none"/>
                <w:lang w:eastAsia="zh-CN"/>
              </w:rPr>
              <w:t>选</w:t>
            </w:r>
            <w:r w:rsidRPr="00491EB0" w:rsidR="00F83CF7">
              <w:rPr>
                <w:rFonts w:ascii="宋体" w:hAnsi="宋体" w:cs="宋体"/>
                <w:iCs/>
                <w:color w:val="auto"/>
                <w:highlight w:val="none"/>
                <w:lang w:eastAsia="zh-CN"/>
              </w:rPr>
              <w:t>择</w:t>
            </w:r>
            <w:r w:rsidRPr="00491EB0">
              <w:rPr>
                <w:rFonts w:ascii="宋体" w:hAnsi="宋体" w:cs="宋体"/>
                <w:iCs/>
                <w:color w:val="auto"/>
                <w:highlight w:val="none"/>
                <w:lang w:eastAsia="zh-CN"/>
              </w:rPr>
              <w:t>科技主题相关优质公司进行投资。</w:t>
            </w:r>
            <w:r>
              <w:rPr>
                <w:rFonts w:ascii="宋体" w:hAnsi="宋体" w:cs="宋体"/>
                <w:color w:val="000000"/>
                <w:highlight w:val="white"/>
                <w:lang w:eastAsia="zh-CN"/>
              </w:rPr>
              <w:t>本基金可在对内地股票市场投资价值进行综合评估的基础上，通过对内地证券市场上市公司经营情况、财务状况等因素的研究和分析，进行内地市场股票的选择。在债券投资方面，本基金将主要通过类属配置与券种选择两个层次进行投资管理。</w:t>
            </w:r>
          </w:p>
        </w:tc>
      </w:tr>
      <w:tr>
        <w:tblPrEx>
          <w:tblW w:w="5000" w:type="pct"/>
          <w:tblLayout w:type="fixed"/>
          <w:tblLook w:val="04A0"/>
        </w:tblPrEx>
        <w:trPr>
          <w:trHeight w:val="360"/>
        </w:trPr>
        <w:tc>
          <w:tcPr>
            <w:tcW w:w="1228" w:type="pct"/>
            <w:vAlign w:val="center"/>
          </w:tcPr>
          <w:p w:rsidR="00D340A1">
            <w:pPr>
              <w:spacing w:line="280" w:lineRule="exact"/>
              <w:rPr>
                <w:rFonts w:ascii="宋体" w:hAnsi="宋体" w:cs="宋体"/>
                <w:szCs w:val="24"/>
              </w:rPr>
            </w:pPr>
            <w:r>
              <w:rPr>
                <w:rFonts w:ascii="宋体" w:hAnsi="宋体" w:cs="宋体" w:hint="eastAsia"/>
                <w:b/>
                <w:bCs/>
                <w:iCs/>
                <w:szCs w:val="24"/>
                <w:highlight w:val="white"/>
              </w:rPr>
              <w:t>业绩比较基准</w:t>
            </w:r>
          </w:p>
        </w:tc>
        <w:tc>
          <w:tcPr>
            <w:tcW w:w="3772" w:type="pct"/>
            <w:vAlign w:val="center"/>
          </w:tcPr>
          <w:p w:rsidR="00D340A1">
            <w:pPr>
              <w:spacing w:line="280" w:lineRule="exact"/>
              <w:ind w:firstLine="0"/>
              <w:rPr>
                <w:rFonts w:ascii="宋体" w:hAnsi="宋体" w:cs="宋体"/>
                <w:iCs/>
                <w:lang w:eastAsia="zh-CN"/>
              </w:rPr>
            </w:pPr>
            <w:r>
              <w:rPr>
                <w:rFonts w:ascii="宋体" w:hAnsi="宋体" w:cs="宋体" w:hint="eastAsia"/>
                <w:iCs/>
                <w:lang w:eastAsia="zh-CN"/>
              </w:rPr>
              <w:t>中证港股通科技指数收益率×80%+</w:t>
            </w:r>
            <w:r w:rsidRPr="00D12815">
              <w:rPr>
                <w:rFonts w:ascii="宋体" w:hAnsi="宋体" w:cs="宋体" w:hint="eastAsia"/>
                <w:iCs/>
                <w:lang w:eastAsia="zh-CN"/>
              </w:rPr>
              <w:t>中债总指数收益率</w:t>
            </w:r>
            <w:r>
              <w:rPr>
                <w:rFonts w:ascii="宋体" w:hAnsi="宋体" w:cs="宋体" w:hint="eastAsia"/>
                <w:iCs/>
                <w:lang w:eastAsia="zh-CN"/>
              </w:rPr>
              <w:t>×20%</w:t>
            </w:r>
          </w:p>
        </w:tc>
      </w:tr>
      <w:tr>
        <w:tblPrEx>
          <w:tblW w:w="5000" w:type="pct"/>
          <w:tblLayout w:type="fixed"/>
          <w:tblLook w:val="04A0"/>
        </w:tblPrEx>
        <w:trPr>
          <w:trHeight w:val="360"/>
        </w:trPr>
        <w:tc>
          <w:tcPr>
            <w:tcW w:w="1228" w:type="pct"/>
            <w:vAlign w:val="center"/>
          </w:tcPr>
          <w:p w:rsidR="00D340A1">
            <w:pPr>
              <w:spacing w:line="280" w:lineRule="exact"/>
              <w:rPr>
                <w:rFonts w:ascii="宋体" w:hAnsi="宋体" w:cs="宋体"/>
                <w:szCs w:val="24"/>
              </w:rPr>
            </w:pPr>
            <w:r>
              <w:rPr>
                <w:rFonts w:ascii="宋体" w:hAnsi="宋体" w:cs="宋体" w:hint="eastAsia"/>
                <w:b/>
                <w:bCs/>
                <w:iCs/>
                <w:szCs w:val="24"/>
                <w:highlight w:val="white"/>
              </w:rPr>
              <w:t>风险收益特征</w:t>
            </w:r>
          </w:p>
        </w:tc>
        <w:tc>
          <w:tcPr>
            <w:tcW w:w="3772" w:type="pct"/>
            <w:vAlign w:val="center"/>
          </w:tcPr>
          <w:p w:rsidR="00D340A1">
            <w:pPr>
              <w:spacing w:line="280" w:lineRule="exact"/>
              <w:ind w:firstLine="0"/>
              <w:rPr>
                <w:rFonts w:ascii="宋体" w:hAnsi="宋体" w:cs="宋体"/>
                <w:iCs/>
                <w:lang w:eastAsia="zh-CN"/>
              </w:rPr>
            </w:pPr>
            <w:r>
              <w:rPr>
                <w:rFonts w:ascii="宋体" w:hAnsi="宋体" w:cs="宋体" w:hint="eastAsia"/>
                <w:iCs/>
                <w:lang w:eastAsia="zh-CN"/>
              </w:rPr>
              <w:t>本基金为混合型基金，理论上其预期风险与预期收益水平低于股票型基金，高于债券型基金和货币市场基金。</w:t>
            </w:r>
          </w:p>
          <w:p w:rsidR="00D340A1">
            <w:pPr>
              <w:spacing w:line="280" w:lineRule="exact"/>
              <w:ind w:firstLine="0"/>
              <w:rPr>
                <w:rFonts w:ascii="宋体" w:hAnsi="宋体" w:cs="宋体"/>
                <w:iCs/>
                <w:lang w:eastAsia="zh-CN"/>
              </w:rPr>
            </w:pPr>
            <w:r>
              <w:rPr>
                <w:rFonts w:ascii="宋体" w:hAnsi="宋体" w:cs="宋体" w:hint="eastAsia"/>
                <w:iCs/>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tc>
      </w:tr>
    </w:tbl>
    <w:p w:rsidR="00D340A1">
      <w:pPr>
        <w:spacing w:line="280" w:lineRule="exact"/>
        <w:rPr>
          <w:rFonts w:ascii="宋体" w:hAnsi="宋体" w:cs="宋体"/>
          <w:iCs/>
          <w:sz w:val="24"/>
          <w:szCs w:val="24"/>
          <w:lang w:eastAsia="zh-CN"/>
        </w:rPr>
      </w:pPr>
      <w:r>
        <w:rPr>
          <w:rFonts w:ascii="宋体" w:hAnsi="宋体" w:cs="宋体" w:hint="eastAsia"/>
          <w:iCs/>
          <w:szCs w:val="24"/>
          <w:highlight w:val="white"/>
          <w:lang w:eastAsia="zh-CN"/>
        </w:rPr>
        <w:t>注：投资者可阅读《招募说明书》基金的投资章节了解详细情况</w:t>
      </w:r>
      <w:r>
        <w:rPr>
          <w:rFonts w:ascii="宋体" w:hAnsi="宋体" w:cs="宋体"/>
          <w:iCs/>
          <w:sz w:val="24"/>
          <w:szCs w:val="24"/>
          <w:highlight w:val="white"/>
          <w:lang w:eastAsia="zh-CN"/>
        </w:rPr>
        <w:t>。</w:t>
      </w:r>
    </w:p>
    <w:p w:rsidR="00D340A1">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（二）投资组合资产配置图表/区域配置图表</w:t>
      </w:r>
    </w:p>
    <w:p w:rsidR="00D340A1">
      <w:pPr>
        <w:rPr>
          <w:rFonts w:ascii="宋体" w:hAnsi="宋体" w:cs="宋体"/>
          <w:b/>
          <w:iCs/>
          <w:sz w:val="24"/>
          <w:szCs w:val="24"/>
          <w:lang w:eastAsia="zh-CN"/>
        </w:rPr>
      </w:pPr>
      <w:r>
        <w:rPr>
          <w:rFonts w:ascii="宋体" w:hAnsi="宋体" w:cs="宋体" w:hint="eastAsia"/>
          <w:b/>
          <w:iCs/>
          <w:sz w:val="24"/>
          <w:szCs w:val="24"/>
          <w:highlight w:val="white"/>
          <w:lang w:eastAsia="zh-CN"/>
        </w:rPr>
        <w:t>投资组合资产配置图表</w:t>
      </w:r>
    </w:p>
    <w:p w:rsidR="00D340A1">
      <w:pPr>
        <w:jc w:val="left"/>
        <w:rPr>
          <w:rFonts w:ascii="宋体" w:hAnsi="宋体" w:cs="宋体"/>
          <w:b/>
          <w:iCs/>
          <w:sz w:val="24"/>
          <w:szCs w:val="24"/>
          <w:lang w:eastAsia="zh-CN"/>
        </w:rPr>
      </w:pPr>
      <w:r>
        <w:rPr>
          <w:rFonts w:ascii="宋体" w:hAnsi="宋体" w:cs="宋体"/>
          <w:color w:val="000000" w:themeColor="text1"/>
          <w:highlight w:val="white"/>
          <w:lang w:eastAsia="zh-CN"/>
        </w:rPr>
        <w:t>无</w:t>
      </w:r>
    </w:p>
    <w:p w:rsidR="00D340A1">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（三）自基金合同生效以来基金每年的净值增长率及与同期业绩比较基准的比较图</w:t>
      </w:r>
    </w:p>
    <w:p w:rsidR="00D340A1">
      <w:pPr>
        <w:spacing w:line="280" w:lineRule="exact"/>
        <w:jc w:val="left"/>
        <w:rPr>
          <w:rFonts w:ascii="宋体" w:hAnsi="宋体" w:cs="宋体"/>
          <w:color w:val="000000"/>
        </w:rPr>
      </w:pPr>
      <w:r>
        <w:rPr>
          <w:rFonts w:ascii="宋体" w:hAnsi="宋体" w:cs="宋体" w:hint="eastAsia"/>
          <w:color w:val="000000" w:themeColor="text1"/>
          <w:highlight w:val="white"/>
        </w:rPr>
        <w:t>无</w:t>
      </w:r>
    </w:p>
    <w:p w:rsidR="00D340A1">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投资本基金涉及的费用</w:t>
      </w:r>
    </w:p>
    <w:p w:rsidR="00D340A1">
      <w:pPr>
        <w:pStyle w:val="ListParagraph"/>
        <w:numPr>
          <w:ilvl w:val="0"/>
          <w:numId w:val="2"/>
        </w:numPr>
        <w:spacing w:line="340" w:lineRule="exact"/>
        <w:outlineLvl w:val="1"/>
        <w:rPr>
          <w:rFonts w:ascii="宋体" w:hAnsi="宋体" w:cs="宋体"/>
          <w:b/>
          <w:iCs/>
          <w:sz w:val="24"/>
          <w:szCs w:val="24"/>
        </w:rPr>
      </w:pPr>
      <w:r>
        <w:rPr>
          <w:rFonts w:ascii="宋体" w:hAnsi="宋体" w:cs="宋体" w:hint="eastAsia"/>
          <w:b/>
          <w:iCs/>
          <w:sz w:val="24"/>
          <w:szCs w:val="24"/>
          <w:highlight w:val="white"/>
        </w:rPr>
        <w:t>基金销售相关费用</w:t>
      </w:r>
    </w:p>
    <w:p w:rsidR="00D340A1">
      <w:pPr>
        <w:spacing w:line="280" w:lineRule="exact"/>
        <w:jc w:val="left"/>
        <w:rPr>
          <w:rFonts w:ascii="宋体" w:hAnsi="宋体" w:cs="宋体"/>
          <w:iCs/>
          <w:lang w:eastAsia="zh-CN"/>
        </w:rPr>
      </w:pPr>
      <w:r>
        <w:rPr>
          <w:rFonts w:ascii="宋体" w:hAnsi="宋体" w:cs="宋体" w:hint="eastAsia"/>
          <w:iCs/>
          <w:highlight w:val="white"/>
          <w:lang w:eastAsia="zh-CN"/>
        </w:rPr>
        <w:t>以下费用在认购/申购/赎回基金过程中收取：</w:t>
      </w:r>
    </w:p>
    <w:tbl>
      <w:tblPr>
        <w:tblStyle w:val="TableGrid"/>
        <w:tblOverlap w:val="never"/>
        <w:tblW w:w="9247" w:type="dxa"/>
        <w:tblBorders>
          <w:top w:val="nil"/>
          <w:left w:val="nil"/>
          <w:bottom w:val="nil"/>
          <w:right w:val="nil"/>
          <w:insideH w:val="nil"/>
          <w:insideV w:val="nil"/>
        </w:tblBorders>
        <w:tblLayout w:type="fixed"/>
        <w:tblLook w:val="04A0"/>
      </w:tblPr>
      <w:tblGrid>
        <w:gridCol w:w="1247"/>
        <w:gridCol w:w="3722"/>
        <w:gridCol w:w="1888"/>
        <w:gridCol w:w="2390"/>
      </w:tblGrid>
      <w:tr>
        <w:tblPrEx>
          <w:tblW w:w="9247" w:type="dxa"/>
          <w:tblBorders>
            <w:top w:val="nil"/>
            <w:left w:val="nil"/>
            <w:bottom w:val="nil"/>
            <w:right w:val="nil"/>
            <w:insideH w:val="nil"/>
            <w:insideV w:val="nil"/>
          </w:tblBorders>
          <w:tblLayout w:type="fixed"/>
          <w:tblLook w:val="04A0"/>
        </w:tblPrEx>
        <w:trPr>
          <w:trHeight w:val="646"/>
        </w:trPr>
        <w:tc>
          <w:tcPr>
            <w:tcW w:w="1247" w:type="dxa"/>
            <w:tcBorders>
              <w:top w:val="single" w:sz="8" w:space="0" w:color="000000"/>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r>
              <w:rPr>
                <w:rFonts w:ascii="宋体" w:hAnsi="宋体" w:cs="宋体"/>
                <w:b/>
                <w:highlight w:val="white"/>
              </w:rPr>
              <w:t>费用类型</w:t>
            </w:r>
          </w:p>
        </w:tc>
        <w:tc>
          <w:tcPr>
            <w:tcW w:w="3722" w:type="dxa"/>
            <w:tcBorders>
              <w:top w:val="single" w:sz="8" w:space="0" w:color="000000"/>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lang w:eastAsia="zh-CN"/>
              </w:rPr>
            </w:pPr>
            <w:r>
              <w:rPr>
                <w:rFonts w:ascii="宋体" w:hAnsi="宋体" w:cs="宋体"/>
                <w:b/>
                <w:highlight w:val="white"/>
                <w:lang w:eastAsia="zh-CN"/>
              </w:rPr>
              <w:t>份额（S）或金额（M）</w:t>
            </w:r>
          </w:p>
          <w:p w:rsidR="00D340A1">
            <w:pPr>
              <w:spacing w:line="279" w:lineRule="exact"/>
              <w:jc w:val="center"/>
              <w:rPr>
                <w:rFonts w:ascii="宋体" w:hAnsi="宋体" w:cs="宋体"/>
                <w:b/>
              </w:rPr>
            </w:pPr>
            <w:r>
              <w:rPr>
                <w:rFonts w:ascii="宋体" w:hAnsi="宋体" w:cs="宋体"/>
                <w:b/>
                <w:highlight w:val="white"/>
              </w:rPr>
              <w:t>/持有期限（N）</w:t>
            </w:r>
          </w:p>
        </w:tc>
        <w:tc>
          <w:tcPr>
            <w:tcW w:w="1888" w:type="dxa"/>
            <w:tcBorders>
              <w:top w:val="single" w:sz="8" w:space="0" w:color="000000"/>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r>
              <w:rPr>
                <w:rFonts w:ascii="宋体" w:hAnsi="宋体" w:cs="宋体"/>
                <w:b/>
                <w:highlight w:val="white"/>
              </w:rPr>
              <w:t>收费方式/费率</w:t>
            </w:r>
          </w:p>
        </w:tc>
        <w:tc>
          <w:tcPr>
            <w:tcW w:w="2390" w:type="dxa"/>
            <w:tcBorders>
              <w:top w:val="single" w:sz="8" w:space="0" w:color="000000"/>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r>
              <w:rPr>
                <w:rFonts w:ascii="宋体" w:hAnsi="宋体" w:cs="宋体"/>
                <w:b/>
                <w:highlight w:val="white"/>
              </w:rPr>
              <w:t>备注</w:t>
            </w:r>
          </w:p>
        </w:tc>
      </w:tr>
      <w:tr>
        <w:tblPrEx>
          <w:tblW w:w="9247" w:type="dxa"/>
          <w:tblLayout w:type="fixed"/>
          <w:tblLook w:val="04A0"/>
        </w:tblPrEx>
        <w:trPr>
          <w:trHeight w:hRule="exact" w:val="20"/>
        </w:trPr>
        <w:tc>
          <w:tcPr>
            <w:tcW w:w="1247" w:type="dxa"/>
            <w:vMerge w:val="restart"/>
            <w:tcBorders>
              <w:top w:val="single" w:sz="4" w:space="0" w:color="auto"/>
              <w:left w:val="nil"/>
              <w:right w:val="nil"/>
            </w:tcBorders>
            <w:tcMar>
              <w:top w:w="0" w:type="dxa"/>
              <w:left w:w="108" w:type="dxa"/>
              <w:bottom w:w="0" w:type="dxa"/>
              <w:right w:w="108" w:type="dxa"/>
            </w:tcMar>
            <w:vAlign w:val="center"/>
          </w:tcPr>
          <w:p w:rsidR="00D340A1">
            <w:pPr>
              <w:spacing w:line="14" w:lineRule="exact"/>
              <w:jc w:val="center"/>
              <w:rPr>
                <w:rFonts w:ascii="宋体" w:hAnsi="宋体" w:cs="宋体"/>
                <w:b/>
              </w:rPr>
            </w:pPr>
          </w:p>
          <w:p w:rsidR="00D340A1">
            <w:pPr>
              <w:spacing w:line="279" w:lineRule="exact"/>
              <w:jc w:val="center"/>
              <w:rPr>
                <w:rFonts w:ascii="宋体" w:hAnsi="宋体" w:cs="宋体"/>
                <w:b/>
              </w:rPr>
            </w:pPr>
            <w:r>
              <w:rPr>
                <w:rFonts w:ascii="宋体" w:hAnsi="宋体" w:cs="宋体"/>
                <w:b/>
                <w:highlight w:val="white"/>
              </w:rPr>
              <w:t>赎回费</w:t>
            </w:r>
          </w:p>
        </w:tc>
        <w:tc>
          <w:tcPr>
            <w:tcW w:w="3722" w:type="dxa"/>
            <w:tcBorders>
              <w:top w:val="single" w:sz="4" w:space="0" w:color="auto"/>
              <w:left w:val="nil"/>
              <w:bottom w:val="single" w:sz="4" w:space="0" w:color="FFFFFF"/>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c>
          <w:tcPr>
            <w:tcW w:w="1888" w:type="dxa"/>
            <w:tcBorders>
              <w:top w:val="single" w:sz="4" w:space="0" w:color="auto"/>
              <w:left w:val="nil"/>
              <w:bottom w:val="single" w:sz="4" w:space="0" w:color="FFFFFF"/>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c>
          <w:tcPr>
            <w:tcW w:w="2390" w:type="dxa"/>
            <w:tcBorders>
              <w:top w:val="single" w:sz="4" w:space="0" w:color="auto"/>
              <w:left w:val="nil"/>
              <w:bottom w:val="single" w:sz="4" w:space="0" w:color="FFFFFF"/>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0天＜N≤6天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1.50%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7天≤N≤29天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0.50%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N≥30天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rPr>
            </w:pPr>
            <w:r>
              <w:rPr>
                <w:rFonts w:ascii="宋体" w:hAnsi="宋体" w:cs="宋体" w:hint="eastAsia"/>
              </w:rPr>
              <w:t>0.00%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D340A1">
            <w:pPr>
              <w:spacing w:line="279" w:lineRule="exact"/>
              <w:jc w:val="center"/>
              <w:rPr>
                <w:rFonts w:ascii="宋体" w:hAnsi="宋体" w:cs="宋体"/>
                <w:b/>
              </w:rPr>
            </w:pPr>
          </w:p>
        </w:tc>
      </w:tr>
    </w:tbl>
    <w:p w:rsidR="00D340A1">
      <w:pPr>
        <w:spacing w:line="279" w:lineRule="exact"/>
        <w:jc w:val="left"/>
        <w:rPr>
          <w:rFonts w:ascii="宋体" w:hAnsi="宋体" w:cs="宋体"/>
          <w:lang w:eastAsia="zh-CN"/>
        </w:rPr>
      </w:pPr>
      <w:r>
        <w:rPr>
          <w:rFonts w:ascii="宋体" w:hAnsi="宋体" w:cs="宋体"/>
          <w:highlight w:val="white"/>
          <w:lang w:eastAsia="zh-CN"/>
        </w:rPr>
        <w:t>注：本基金C类基金份额在投资者认购/申购时不收取认购/申购费用，在持有期间收取销售服务费。</w:t>
      </w:r>
    </w:p>
    <w:p w:rsidR="00D340A1">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（二）基金运作相关费用</w:t>
      </w:r>
    </w:p>
    <w:p w:rsidR="00D340A1">
      <w:pPr>
        <w:spacing w:line="280" w:lineRule="exact"/>
        <w:jc w:val="left"/>
        <w:rPr>
          <w:rFonts w:ascii="宋体" w:hAnsi="宋体" w:cs="宋体"/>
          <w:iCs/>
          <w:lang w:eastAsia="zh-CN"/>
        </w:rPr>
      </w:pPr>
      <w:r>
        <w:rPr>
          <w:rFonts w:ascii="宋体" w:hAnsi="宋体" w:cs="宋体" w:hint="eastAsia"/>
          <w:highlight w:val="white"/>
          <w:lang w:eastAsia="zh-CN"/>
        </w:rPr>
        <w:t>以下</w:t>
      </w:r>
      <w:r>
        <w:rPr>
          <w:rFonts w:ascii="宋体" w:hAnsi="宋体" w:cs="宋体" w:hint="eastAsia"/>
          <w:iCs/>
          <w:highlight w:val="white"/>
          <w:lang w:eastAsia="zh-CN"/>
        </w:rPr>
        <w:t>费用将从基金资产中扣除：</w:t>
      </w:r>
    </w:p>
    <w:tbl>
      <w:tblPr>
        <w:tblOverlap w:val="never"/>
        <w:tblW w:w="5000" w:type="pct"/>
        <w:tblBorders>
          <w:top w:val="single" w:sz="4" w:space="0" w:color="000000"/>
          <w:bottom w:val="single" w:sz="4" w:space="0" w:color="000000"/>
          <w:insideH w:val="single" w:sz="4" w:space="0" w:color="808080" w:themeColor="background1" w:themeShade="80"/>
        </w:tblBorders>
        <w:tblLayout w:type="fixed"/>
        <w:tblLook w:val="0000"/>
      </w:tblPr>
      <w:tblGrid>
        <w:gridCol w:w="1526"/>
        <w:gridCol w:w="3498"/>
        <w:gridCol w:w="3498"/>
      </w:tblGrid>
      <w:tr>
        <w:tblPrEx>
          <w:tblW w:w="5000" w:type="pct"/>
          <w:tblBorders>
            <w:top w:val="single" w:sz="4" w:space="0" w:color="000000"/>
            <w:bottom w:val="single" w:sz="4" w:space="0" w:color="000000"/>
            <w:insideH w:val="single" w:sz="4" w:space="0" w:color="808080" w:themeColor="background1" w:themeShade="80"/>
          </w:tblBorders>
          <w:tblLayout w:type="fixed"/>
          <w:tblLook w:val="0000"/>
        </w:tblPrEx>
        <w:trPr>
          <w:trHeight w:val="454"/>
        </w:trPr>
        <w:tc>
          <w:tcPr>
            <w:tcW w:w="2517" w:type="dxa"/>
            <w:tcBorders>
              <w:top w:val="single" w:sz="4" w:space="0" w:color="000000"/>
              <w:bottom w:val="single" w:sz="4" w:space="0" w:color="000000"/>
            </w:tcBorders>
            <w:vAlign w:val="center"/>
          </w:tcPr>
          <w:p w:rsidR="00D340A1">
            <w:pPr>
              <w:spacing w:line="280" w:lineRule="exact"/>
              <w:rPr>
                <w:rFonts w:ascii="宋体" w:hAnsi="宋体" w:cs="宋体"/>
                <w:b/>
                <w:bCs/>
              </w:rPr>
            </w:pPr>
            <w:r>
              <w:rPr>
                <w:rFonts w:ascii="宋体" w:hAnsi="宋体" w:cs="宋体" w:hint="eastAsia"/>
                <w:b/>
                <w:bCs/>
                <w:iCs/>
                <w:highlight w:val="white"/>
              </w:rPr>
              <w:t>费用类别</w:t>
            </w:r>
          </w:p>
        </w:tc>
        <w:tc>
          <w:tcPr>
            <w:tcW w:w="6005" w:type="dxa"/>
            <w:tcBorders>
              <w:top w:val="single" w:sz="4" w:space="0" w:color="000000"/>
              <w:bottom w:val="single" w:sz="4" w:space="0" w:color="000000"/>
            </w:tcBorders>
            <w:vAlign w:val="center"/>
          </w:tcPr>
          <w:p w:rsidR="00D340A1">
            <w:pPr>
              <w:spacing w:line="280" w:lineRule="exact"/>
              <w:jc w:val="center"/>
              <w:rPr>
                <w:rFonts w:ascii="宋体" w:hAnsi="宋体" w:cs="宋体"/>
                <w:b/>
                <w:bCs/>
                <w:iCs/>
                <w:lang w:eastAsia="zh-CN"/>
              </w:rPr>
            </w:pPr>
            <w:r>
              <w:rPr>
                <w:rFonts w:ascii="宋体" w:hAnsi="宋体" w:cs="宋体" w:hint="eastAsia"/>
                <w:b/>
                <w:bCs/>
                <w:iCs/>
                <w:highlight w:val="white"/>
                <w:lang w:eastAsia="zh-CN"/>
              </w:rPr>
              <w:t>收费方式/年费率</w:t>
            </w:r>
            <w:r>
              <w:rPr>
                <w:rFonts w:ascii="宋体" w:hAnsi="宋体" w:cs="宋体"/>
                <w:b/>
                <w:color w:val="000000"/>
                <w:highlight w:val="white"/>
                <w:lang w:eastAsia="zh-CN"/>
              </w:rPr>
              <w:t>或金额</w:t>
            </w:r>
          </w:p>
        </w:tc>
        <w:tc>
          <w:tcPr>
            <w:tcW w:w="6005" w:type="dxa"/>
            <w:tcBorders>
              <w:top w:val="single" w:sz="4" w:space="0" w:color="000000"/>
              <w:bottom w:val="single" w:sz="4" w:space="0" w:color="000000"/>
            </w:tcBorders>
            <w:vAlign w:val="center"/>
          </w:tcPr>
          <w:p w:rsidR="00D340A1">
            <w:pPr>
              <w:jc w:val="center"/>
              <w:rPr>
                <w:rFonts w:ascii="宋体" w:hAnsi="宋体" w:cs="宋体"/>
                <w:b/>
              </w:rPr>
            </w:pPr>
            <w:r>
              <w:rPr>
                <w:rFonts w:ascii="宋体" w:hAnsi="宋体" w:cs="宋体"/>
                <w:b/>
                <w:color w:val="000000"/>
                <w:highlight w:val="white"/>
              </w:rPr>
              <w:t>收取方</w:t>
            </w:r>
          </w:p>
        </w:tc>
      </w:tr>
      <w:tr>
        <w:tblPrEx>
          <w:tblW w:w="5000" w:type="pct"/>
          <w:tblLayout w:type="fixed"/>
          <w:tblLook w:val="0000"/>
        </w:tblPrEx>
        <w:trPr>
          <w:trHeight w:val="360"/>
        </w:trPr>
        <w:tc>
          <w:tcPr>
            <w:tcW w:w="2517" w:type="dxa"/>
            <w:vAlign w:val="center"/>
          </w:tcPr>
          <w:p w:rsidR="00D340A1">
            <w:pPr>
              <w:spacing w:line="280" w:lineRule="exact"/>
              <w:rPr>
                <w:rFonts w:ascii="宋体" w:hAnsi="宋体" w:cs="宋体"/>
                <w:bCs/>
                <w:iCs/>
              </w:rPr>
            </w:pPr>
            <w:r>
              <w:rPr>
                <w:rFonts w:ascii="宋体" w:hAnsi="宋体" w:cs="宋体" w:hint="eastAsia"/>
                <w:bCs/>
                <w:iCs/>
                <w:highlight w:val="white"/>
              </w:rPr>
              <w:t>管理费</w:t>
            </w:r>
          </w:p>
        </w:tc>
        <w:tc>
          <w:tcPr>
            <w:tcW w:w="6005" w:type="dxa"/>
            <w:vAlign w:val="center"/>
          </w:tcPr>
          <w:p w:rsidR="00D340A1">
            <w:pPr>
              <w:spacing w:line="279" w:lineRule="exact"/>
              <w:jc w:val="center"/>
              <w:rPr>
                <w:rFonts w:ascii="宋体" w:hAnsi="宋体" w:cs="宋体"/>
              </w:rPr>
            </w:pPr>
            <w:r>
              <w:rPr>
                <w:rFonts w:ascii="宋体" w:hAnsi="宋体" w:cs="宋体"/>
                <w:highlight w:val="white"/>
              </w:rPr>
              <w:t xml:space="preserve"> 年费率</w:t>
            </w:r>
            <w:r>
              <w:rPr>
                <w:rFonts w:ascii="宋体" w:hAnsi="宋体" w:cs="宋体"/>
              </w:rPr>
              <w:t>1.20%</w:t>
            </w:r>
          </w:p>
        </w:tc>
        <w:tc>
          <w:tcPr>
            <w:tcW w:w="6005" w:type="dxa"/>
            <w:vAlign w:val="center"/>
          </w:tcPr>
          <w:p w:rsidR="00D340A1">
            <w:pPr>
              <w:jc w:val="center"/>
              <w:rPr>
                <w:rFonts w:ascii="宋体" w:hAnsi="宋体" w:cs="宋体"/>
                <w:lang w:eastAsia="zh-CN"/>
              </w:rPr>
            </w:pPr>
            <w:r>
              <w:rPr>
                <w:rFonts w:ascii="宋体" w:hAnsi="宋体" w:cs="宋体"/>
                <w:color w:val="000000"/>
                <w:highlight w:val="white"/>
                <w:lang w:eastAsia="zh-CN"/>
              </w:rPr>
              <w:t>基金管理人</w:t>
            </w:r>
            <w:r w:rsidR="005F0EFF">
              <w:rPr>
                <w:rFonts w:ascii="宋体" w:hAnsi="宋体" w:cs="宋体"/>
                <w:color w:val="000000"/>
                <w:highlight w:val="white"/>
                <w:lang w:eastAsia="zh-CN"/>
              </w:rPr>
              <w:t>、销售机构</w:t>
            </w:r>
          </w:p>
        </w:tc>
      </w:tr>
      <w:tr>
        <w:tblPrEx>
          <w:tblW w:w="5000" w:type="pct"/>
          <w:tblLayout w:type="fixed"/>
          <w:tblLook w:val="0000"/>
        </w:tblPrEx>
        <w:trPr>
          <w:trHeight w:val="360"/>
        </w:trPr>
        <w:tc>
          <w:tcPr>
            <w:tcW w:w="2517" w:type="dxa"/>
            <w:vAlign w:val="center"/>
          </w:tcPr>
          <w:p w:rsidR="00D340A1">
            <w:pPr>
              <w:spacing w:line="280" w:lineRule="exact"/>
              <w:rPr>
                <w:rFonts w:ascii="宋体" w:hAnsi="宋体" w:cs="宋体"/>
                <w:bCs/>
                <w:iCs/>
              </w:rPr>
            </w:pPr>
            <w:r>
              <w:rPr>
                <w:rFonts w:ascii="宋体" w:hAnsi="宋体" w:cs="宋体" w:hint="eastAsia"/>
                <w:bCs/>
                <w:iCs/>
                <w:highlight w:val="white"/>
              </w:rPr>
              <w:t>托管费</w:t>
            </w:r>
          </w:p>
        </w:tc>
        <w:tc>
          <w:tcPr>
            <w:tcW w:w="6005" w:type="dxa"/>
            <w:vAlign w:val="center"/>
          </w:tcPr>
          <w:p w:rsidR="00D340A1">
            <w:pPr>
              <w:spacing w:line="279" w:lineRule="exact"/>
              <w:jc w:val="center"/>
              <w:rPr>
                <w:rFonts w:ascii="宋体" w:hAnsi="宋体" w:cs="宋体"/>
              </w:rPr>
            </w:pPr>
            <w:r>
              <w:rPr>
                <w:rFonts w:ascii="宋体" w:hAnsi="宋体" w:cs="宋体"/>
                <w:highlight w:val="white"/>
              </w:rPr>
              <w:t xml:space="preserve"> 年费率</w:t>
            </w:r>
            <w:r>
              <w:rPr>
                <w:rFonts w:ascii="宋体" w:hAnsi="宋体" w:cs="宋体"/>
              </w:rPr>
              <w:t>0.20%</w:t>
            </w:r>
          </w:p>
        </w:tc>
        <w:tc>
          <w:tcPr>
            <w:tcW w:w="6005" w:type="dxa"/>
            <w:vAlign w:val="center"/>
          </w:tcPr>
          <w:p w:rsidR="00D340A1">
            <w:pPr>
              <w:jc w:val="center"/>
              <w:rPr>
                <w:rFonts w:ascii="宋体" w:hAnsi="宋体" w:cs="宋体"/>
              </w:rPr>
            </w:pPr>
            <w:r>
              <w:rPr>
                <w:rFonts w:ascii="宋体" w:hAnsi="宋体" w:cs="宋体"/>
                <w:color w:val="000000"/>
                <w:highlight w:val="white"/>
              </w:rPr>
              <w:t>基金托管人</w:t>
            </w:r>
          </w:p>
        </w:tc>
      </w:tr>
      <w:tr>
        <w:tblPrEx>
          <w:tblW w:w="5000" w:type="pct"/>
          <w:tblLayout w:type="fixed"/>
          <w:tblLook w:val="0000"/>
        </w:tblPrEx>
        <w:trPr>
          <w:trHeight w:val="360"/>
        </w:trPr>
        <w:tc>
          <w:tcPr>
            <w:tcW w:w="2517" w:type="dxa"/>
            <w:vAlign w:val="center"/>
          </w:tcPr>
          <w:p w:rsidR="00D340A1">
            <w:pPr>
              <w:spacing w:line="280" w:lineRule="exact"/>
              <w:rPr>
                <w:rFonts w:ascii="宋体" w:hAnsi="宋体" w:cs="宋体"/>
                <w:iCs/>
              </w:rPr>
            </w:pPr>
            <w:r>
              <w:rPr>
                <w:rFonts w:ascii="宋体" w:hAnsi="宋体" w:cs="宋体" w:hint="eastAsia"/>
                <w:iCs/>
                <w:highlight w:val="white"/>
              </w:rPr>
              <w:t>销售服务费</w:t>
            </w:r>
          </w:p>
        </w:tc>
        <w:tc>
          <w:tcPr>
            <w:tcW w:w="6005" w:type="dxa"/>
            <w:vAlign w:val="center"/>
          </w:tcPr>
          <w:p w:rsidR="00D340A1">
            <w:pPr>
              <w:spacing w:line="279" w:lineRule="exact"/>
              <w:jc w:val="center"/>
              <w:rPr>
                <w:rFonts w:ascii="宋体" w:hAnsi="宋体" w:cs="宋体"/>
              </w:rPr>
            </w:pPr>
            <w:r>
              <w:rPr>
                <w:rFonts w:ascii="宋体" w:hAnsi="宋体" w:cs="宋体"/>
                <w:highlight w:val="white"/>
              </w:rPr>
              <w:t xml:space="preserve"> 年费率</w:t>
            </w:r>
            <w:r>
              <w:rPr>
                <w:rFonts w:ascii="宋体" w:hAnsi="宋体" w:cs="宋体"/>
              </w:rPr>
              <w:t>0.50%</w:t>
            </w:r>
          </w:p>
        </w:tc>
        <w:tc>
          <w:tcPr>
            <w:tcW w:w="6005" w:type="dxa"/>
            <w:vAlign w:val="center"/>
          </w:tcPr>
          <w:p w:rsidR="00D340A1">
            <w:pPr>
              <w:pBdr>
                <w:top w:val="nil"/>
                <w:left w:val="nil"/>
                <w:bottom w:val="nil"/>
                <w:right w:val="nil"/>
              </w:pBdr>
              <w:jc w:val="center"/>
            </w:pPr>
            <w:r>
              <w:rPr>
                <w:rFonts w:ascii="宋体" w:hAnsi="宋体" w:cs="宋体"/>
                <w:color w:val="000000"/>
                <w:highlight w:val="white"/>
              </w:rPr>
              <w:t>销售机构</w:t>
            </w:r>
          </w:p>
        </w:tc>
      </w:tr>
      <w:tr>
        <w:tblPrEx>
          <w:tblW w:w="5000" w:type="pct"/>
          <w:tblLayout w:type="fixed"/>
          <w:tblLook w:val="0000"/>
        </w:tblPrEx>
        <w:trPr>
          <w:trHeight w:val="454"/>
        </w:trPr>
        <w:tc>
          <w:tcPr>
            <w:tcW w:w="2517" w:type="dxa"/>
            <w:vAlign w:val="center"/>
          </w:tcPr>
          <w:p w:rsidR="00D340A1">
            <w:pPr>
              <w:spacing w:line="280" w:lineRule="exact"/>
              <w:rPr>
                <w:rFonts w:ascii="宋体" w:hAnsi="宋体" w:cs="宋体"/>
                <w:iCs/>
              </w:rPr>
            </w:pPr>
            <w:r>
              <w:rPr>
                <w:rFonts w:ascii="宋体" w:hAnsi="宋体" w:cs="宋体" w:hint="eastAsia"/>
                <w:iCs/>
                <w:highlight w:val="white"/>
              </w:rPr>
              <w:t>其他费用</w:t>
            </w:r>
          </w:p>
        </w:tc>
        <w:tc>
          <w:tcPr>
            <w:tcW w:w="6005" w:type="dxa"/>
            <w:vAlign w:val="center"/>
          </w:tcPr>
          <w:p w:rsidR="00D340A1">
            <w:pPr>
              <w:pBdr>
                <w:top w:val="nil"/>
                <w:left w:val="nil"/>
                <w:bottom w:val="nil"/>
                <w:right w:val="nil"/>
              </w:pBdr>
              <w:rPr>
                <w:lang w:eastAsia="zh-CN"/>
              </w:rPr>
            </w:pPr>
            <w:r>
              <w:rPr>
                <w:rFonts w:ascii="宋体" w:hAnsi="宋体" w:cs="宋体"/>
                <w:color w:val="000000"/>
                <w:highlight w:val="white"/>
                <w:lang w:eastAsia="zh-CN"/>
              </w:rPr>
              <w:t>详见招募说明书的基金费用与税收章节。</w:t>
            </w:r>
            <w:r>
              <w:rPr>
                <w:rFonts w:ascii="宋体" w:hAnsi="宋体" w:cs="宋体" w:hint="eastAsia"/>
                <w:bCs/>
                <w:iCs/>
                <w:highlight w:val="white"/>
                <w:lang w:eastAsia="zh-CN"/>
              </w:rPr>
              <w:t xml:space="preserve"> </w:t>
            </w:r>
          </w:p>
        </w:tc>
        <w:tc>
          <w:tcPr>
            <w:tcW w:w="6005" w:type="dxa"/>
            <w:vAlign w:val="center"/>
          </w:tcPr>
          <w:p w:rsidR="00D340A1">
            <w:pPr>
              <w:rPr>
                <w:rFonts w:ascii="宋体" w:hAnsi="宋体" w:cs="宋体"/>
                <w:lang w:eastAsia="zh-CN"/>
              </w:rPr>
            </w:pPr>
          </w:p>
        </w:tc>
      </w:tr>
    </w:tbl>
    <w:p w:rsidR="00D340A1">
      <w:pPr>
        <w:spacing w:line="280" w:lineRule="exact"/>
        <w:jc w:val="left"/>
        <w:rPr>
          <w:rFonts w:ascii="宋体" w:hAnsi="宋体" w:cs="宋体"/>
          <w:bCs/>
          <w:iCs/>
          <w:lang w:eastAsia="zh-CN"/>
        </w:rPr>
      </w:pPr>
      <w:r>
        <w:rPr>
          <w:rFonts w:ascii="宋体" w:hAnsi="宋体" w:cs="宋体" w:hint="eastAsia"/>
          <w:bCs/>
          <w:iCs/>
          <w:highlight w:val="white"/>
          <w:lang w:eastAsia="zh-CN"/>
        </w:rPr>
        <w:t>注：本基金交易证券、基金等产生的费用和税负，按实际发生额从基金资产扣除。</w:t>
      </w:r>
    </w:p>
    <w:p w:rsidR="00D340A1">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风险揭示与重要提示</w:t>
      </w:r>
    </w:p>
    <w:p w:rsidR="00D340A1">
      <w:pPr>
        <w:spacing w:line="280" w:lineRule="exact"/>
        <w:outlineLvl w:val="1"/>
        <w:rPr>
          <w:rFonts w:ascii="宋体" w:hAnsi="宋体" w:cs="宋体"/>
          <w:color w:val="0000FF"/>
          <w:sz w:val="18"/>
        </w:rPr>
      </w:pPr>
      <w:r>
        <w:rPr>
          <w:rFonts w:ascii="宋体" w:hAnsi="宋体" w:cs="宋体" w:hint="eastAsia"/>
          <w:b/>
          <w:bCs/>
          <w:iCs/>
          <w:sz w:val="24"/>
          <w:szCs w:val="24"/>
          <w:highlight w:val="white"/>
        </w:rPr>
        <w:t>（一）风险揭示</w:t>
      </w:r>
    </w:p>
    <w:p w:rsidR="00D340A1" w:rsidRPr="007C29F1">
      <w:pPr>
        <w:spacing w:line="280" w:lineRule="exact"/>
        <w:ind w:firstLine="420"/>
        <w:rPr>
          <w:rFonts w:ascii="宋体" w:hAnsi="宋体" w:cs="宋体"/>
          <w:b/>
          <w:iCs/>
          <w:lang w:eastAsia="zh-CN"/>
        </w:rPr>
      </w:pPr>
      <w:r w:rsidRPr="007C29F1">
        <w:rPr>
          <w:rFonts w:ascii="宋体" w:hAnsi="宋体" w:cs="宋体" w:hint="eastAsia"/>
          <w:b/>
          <w:iCs/>
          <w:highlight w:val="white"/>
          <w:lang w:eastAsia="zh-CN"/>
        </w:rPr>
        <w:t>本基金不提供任何保证。投资者可能损失投资本金。</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投资有风险，投资者购买基金时应认真阅读本基金的《招募说明书》等销售文件。</w:t>
      </w:r>
    </w:p>
    <w:p w:rsidR="00D340A1">
      <w:pPr>
        <w:spacing w:line="280" w:lineRule="exact"/>
        <w:ind w:firstLine="420"/>
        <w:rPr>
          <w:rFonts w:ascii="宋体" w:hAnsi="宋体" w:cs="宋体"/>
          <w:iCs/>
          <w:lang w:eastAsia="zh-CN"/>
        </w:rPr>
      </w:pPr>
      <w:r>
        <w:rPr>
          <w:rFonts w:ascii="宋体" w:hAnsi="宋体" w:cs="宋体"/>
          <w:iCs/>
          <w:highlight w:val="white"/>
          <w:lang w:eastAsia="zh-CN"/>
        </w:rPr>
        <w:t>投资本基金可能遇到的特有风险包括但不限于：（1）本基金股票资产仓位偏高而面临的资产配置风险；（2）科技主题相关股票集中度较高的风险；（3）本基金投资范围包括内地与香港股票市场交易互联互通机制允许买卖的香港证券市场股票而面临的香港股票市场及港股通机制带来的风险；（4）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本基金的特有风险及一般风险详见招募说明书的“风险揭示”部分。</w:t>
      </w:r>
    </w:p>
    <w:p w:rsidR="00D340A1">
      <w:pPr>
        <w:pBdr>
          <w:top w:val="nil"/>
          <w:left w:val="nil"/>
          <w:bottom w:val="nil"/>
          <w:right w:val="nil"/>
        </w:pBdr>
        <w:spacing w:line="279" w:lineRule="atLeast"/>
        <w:ind w:firstLine="420"/>
        <w:rPr>
          <w:lang w:eastAsia="zh-CN"/>
        </w:rPr>
      </w:pPr>
      <w:r>
        <w:rPr>
          <w:rFonts w:ascii="宋体" w:hAnsi="宋体" w:cs="宋体"/>
          <w:color w:val="000000"/>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D340A1">
      <w:pPr>
        <w:spacing w:line="280" w:lineRule="exact"/>
        <w:outlineLvl w:val="1"/>
        <w:rPr>
          <w:rFonts w:ascii="宋体" w:hAnsi="宋体" w:cs="宋体"/>
          <w:b/>
          <w:iCs/>
          <w:sz w:val="22"/>
          <w:szCs w:val="24"/>
          <w:lang w:eastAsia="zh-CN"/>
        </w:rPr>
      </w:pPr>
      <w:r>
        <w:rPr>
          <w:rFonts w:ascii="宋体" w:hAnsi="宋体" w:cs="宋体" w:hint="eastAsia"/>
          <w:b/>
          <w:iCs/>
          <w:sz w:val="24"/>
          <w:szCs w:val="24"/>
          <w:highlight w:val="white"/>
          <w:lang w:eastAsia="zh-CN"/>
        </w:rPr>
        <w:t>（二）重要提示</w:t>
      </w:r>
    </w:p>
    <w:p w:rsidR="00D340A1">
      <w:pPr>
        <w:spacing w:line="280" w:lineRule="exact"/>
        <w:ind w:firstLine="420"/>
        <w:rPr>
          <w:rFonts w:ascii="宋体" w:hAnsi="宋体" w:cs="宋体"/>
          <w:b/>
          <w:iCs/>
          <w:lang w:eastAsia="zh-CN"/>
        </w:rPr>
      </w:pPr>
      <w:r>
        <w:rPr>
          <w:rFonts w:ascii="宋体" w:hAns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hAns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D340A1">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其他资料查询方式</w:t>
      </w:r>
    </w:p>
    <w:p w:rsidR="00D340A1">
      <w:pPr>
        <w:spacing w:line="280" w:lineRule="exact"/>
        <w:ind w:firstLine="420"/>
        <w:rPr>
          <w:rFonts w:ascii="宋体" w:hAnsi="宋体" w:cs="宋体"/>
          <w:iCs/>
        </w:rPr>
      </w:pPr>
      <w:r>
        <w:rPr>
          <w:rFonts w:ascii="宋体" w:hAnsi="宋体" w:cs="宋体" w:hint="eastAsia"/>
          <w:iCs/>
          <w:highlight w:val="white"/>
        </w:rPr>
        <w:t>以下资料详见基金管理人网站[www.efunds.com.cn][客服电话:4008818088]</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1、基金合同、托管协议、招募说明书</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2、定期报告，包括基金季度报告、中期报告和年度报告</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3、基金份额净值</w:t>
      </w:r>
    </w:p>
    <w:p w:rsidR="00D340A1">
      <w:pPr>
        <w:spacing w:line="280" w:lineRule="exact"/>
        <w:ind w:firstLine="420"/>
        <w:rPr>
          <w:rFonts w:ascii="宋体" w:hAnsi="宋体" w:cs="宋体"/>
          <w:iCs/>
          <w:lang w:eastAsia="zh-CN"/>
        </w:rPr>
      </w:pPr>
      <w:r>
        <w:rPr>
          <w:rFonts w:ascii="宋体" w:hAnsi="宋体" w:cs="宋体" w:hint="eastAsia"/>
          <w:iCs/>
          <w:highlight w:val="white"/>
          <w:lang w:eastAsia="zh-CN"/>
        </w:rPr>
        <w:t>4、基金销售机构及联系方式</w:t>
      </w:r>
    </w:p>
    <w:p w:rsidR="00D340A1">
      <w:pPr>
        <w:spacing w:line="280" w:lineRule="exact"/>
        <w:ind w:firstLine="420"/>
        <w:rPr>
          <w:rFonts w:ascii="宋体" w:hAnsi="宋体" w:cs="宋体"/>
          <w:iCs/>
        </w:rPr>
      </w:pPr>
      <w:r>
        <w:rPr>
          <w:rFonts w:ascii="宋体" w:hAnsi="宋体" w:cs="宋体" w:hint="eastAsia"/>
          <w:iCs/>
          <w:highlight w:val="white"/>
        </w:rPr>
        <w:t>5、其他重要资料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6398fff3e5ba4ff7a915ad799033bfb3"/>
      </w:placeholder>
      <w:docPartObj>
        <w:docPartGallery w:val="Page Numbers (Bottom of Page)"/>
        <w:docPartUnique/>
      </w:docPartObj>
    </w:sdtPr>
    <w:sdtContent>
      <w:sdt>
        <w:sdtPr>
          <w:id w:val="98381352"/>
          <w:placeholder>
            <w:docPart w:val="a0c44fcb024641e1996012467db209a8"/>
          </w:placeholder>
          <w:docPartObj>
            <w:docPartGallery w:val="Page Numbers (Top of Page)"/>
            <w:docPartUnique/>
          </w:docPartObj>
        </w:sdtPr>
        <w:sdtContent>
          <w:p w:rsidR="00D340A1">
            <w:pPr>
              <w:pStyle w:val="1"/>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3</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3</w:t>
            </w:r>
            <w:r>
              <w:rPr>
                <w:b/>
                <w:bCs/>
                <w:sz w:val="24"/>
                <w:szCs w:val="24"/>
              </w:rPr>
              <w:fldChar w:fldCharType="end"/>
            </w:r>
          </w:p>
        </w:sdtContent>
      </w:sdt>
    </w:sdtContent>
  </w:sdt>
  <w:p w:rsidR="00D340A1">
    <w:pPr>
      <w:pStyle w:val="1"/>
      <w:snapToGrid/>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164879B"/>
    <w:multiLevelType w:val="hybridMultilevel"/>
    <w:tmpl w:val="00000000"/>
    <w:lvl w:ilvl="0">
      <w:start w:val="1"/>
      <w:numFmt w:val="chineseCounting"/>
      <w:lvlText w:val="（%1）"/>
      <w:lvlJc w:val="left"/>
      <w:pPr>
        <w:snapToGrid/>
        <w:ind w:left="765" w:hanging="765"/>
      </w:pPr>
      <w:rPr>
        <w:rFonts w:hint="default"/>
      </w:rPr>
    </w:lvl>
    <w:lvl w:ilvl="1">
      <w:start w:val="1"/>
      <w:numFmt w:val="lowerLetter"/>
      <w:lvlText w:val="%2)"/>
      <w:lvlJc w:val="left"/>
      <w:pPr>
        <w:snapToGrid/>
        <w:ind w:left="840" w:hanging="420"/>
      </w:pPr>
    </w:lvl>
    <w:lvl w:ilvl="2">
      <w:start w:val="1"/>
      <w:numFmt w:val="lowerRoman"/>
      <w:lvlText w:val="%3."/>
      <w:lvlJc w:val="right"/>
      <w:pPr>
        <w:snapToGrid/>
        <w:ind w:left="1260" w:hanging="420"/>
      </w:pPr>
    </w:lvl>
    <w:lvl w:ilvl="3">
      <w:start w:val="1"/>
      <w:numFmt w:val="decimal"/>
      <w:lvlText w:val="%4."/>
      <w:lvlJc w:val="left"/>
      <w:pPr>
        <w:snapToGrid/>
        <w:ind w:left="1680" w:hanging="420"/>
      </w:pPr>
    </w:lvl>
    <w:lvl w:ilvl="4">
      <w:start w:val="1"/>
      <w:numFmt w:val="lowerLetter"/>
      <w:lvlText w:val="%5)"/>
      <w:lvlJc w:val="left"/>
      <w:pPr>
        <w:snapToGrid/>
        <w:ind w:left="2100" w:hanging="420"/>
      </w:pPr>
    </w:lvl>
    <w:lvl w:ilvl="5">
      <w:start w:val="1"/>
      <w:numFmt w:val="lowerRoman"/>
      <w:lvlText w:val="%6."/>
      <w:lvlJc w:val="right"/>
      <w:pPr>
        <w:snapToGrid/>
        <w:ind w:left="2520" w:hanging="420"/>
      </w:pPr>
    </w:lvl>
    <w:lvl w:ilvl="6">
      <w:start w:val="1"/>
      <w:numFmt w:val="decimal"/>
      <w:lvlText w:val="%7."/>
      <w:lvlJc w:val="left"/>
      <w:pPr>
        <w:snapToGrid/>
        <w:ind w:left="2940" w:hanging="420"/>
      </w:pPr>
    </w:lvl>
    <w:lvl w:ilvl="7">
      <w:start w:val="1"/>
      <w:numFmt w:val="lowerLetter"/>
      <w:lvlText w:val="%8)"/>
      <w:lvlJc w:val="left"/>
      <w:pPr>
        <w:snapToGrid/>
        <w:ind w:left="3360" w:hanging="420"/>
      </w:pPr>
    </w:lvl>
    <w:lvl w:ilvl="8">
      <w:start w:val="1"/>
      <w:numFmt w:val="lowerRoman"/>
      <w:lvlText w:val="%9."/>
      <w:lvlJc w:val="right"/>
      <w:pPr>
        <w:snapToGrid/>
        <w:ind w:left="3780" w:hanging="420"/>
      </w:pPr>
    </w:lvl>
  </w:abstractNum>
  <w:abstractNum w:abstractNumId="1">
    <w:nsid w:val="55AF5D8A"/>
    <w:multiLevelType w:val="hybridMultilevel"/>
    <w:tmpl w:val="00000000"/>
    <w:lvl w:ilvl="0">
      <w:start w:val="1"/>
      <w:numFmt w:val="chineseCounting"/>
      <w:suff w:val="nothing"/>
      <w:lvlText w:val="%1、"/>
      <w:lvlJc w:val="left"/>
      <w:pPr>
        <w:snapToGrid/>
      </w:pPr>
      <w:rPr>
        <w:rFonts w:ascii="Calibri" w:eastAsia="宋体" w:hAnsi="Calibri"/>
      </w:rPr>
    </w:lvl>
    <w:lvl w:ilvl="1">
      <w:start w:val="1"/>
      <w:numFmt w:val="bullet"/>
      <w:lvlText w:val="o"/>
      <w:lvlJc w:val="left"/>
      <w:pPr>
        <w:snapToGrid/>
        <w:ind w:left="1440" w:hanging="360"/>
      </w:pPr>
      <w:rPr>
        <w:rFonts w:ascii="Courier New" w:hAnsi="Courier New" w:cs="Courier New" w:hint="default"/>
      </w:rPr>
    </w:lvl>
    <w:lvl w:ilvl="2">
      <w:start w:val="1"/>
      <w:numFmt w:val="bullet"/>
      <w:lvlText w:val="§"/>
      <w:lvlJc w:val="left"/>
      <w:pPr>
        <w:snapToGrid/>
        <w:ind w:left="2160" w:hanging="360"/>
      </w:pPr>
      <w:rPr>
        <w:rFonts w:ascii="Wingdings" w:hAnsi="Wingdings" w:cs="Wingdings" w:hint="default"/>
      </w:rPr>
    </w:lvl>
    <w:lvl w:ilvl="3">
      <w:start w:val="1"/>
      <w:numFmt w:val="bullet"/>
      <w:lvlText w:val="·"/>
      <w:lvlJc w:val="left"/>
      <w:pPr>
        <w:snapToGrid/>
        <w:ind w:left="2880" w:hanging="360"/>
      </w:pPr>
      <w:rPr>
        <w:rFonts w:ascii="Symbol" w:hAnsi="Symbol" w:cs="Symbol" w:hint="default"/>
      </w:rPr>
    </w:lvl>
    <w:lvl w:ilvl="4">
      <w:start w:val="1"/>
      <w:numFmt w:val="bullet"/>
      <w:lvlText w:val="o"/>
      <w:lvlJc w:val="left"/>
      <w:pPr>
        <w:snapToGrid/>
        <w:ind w:left="3600" w:hanging="360"/>
      </w:pPr>
      <w:rPr>
        <w:rFonts w:ascii="Courier New" w:hAnsi="Courier New" w:cs="Courier New" w:hint="default"/>
      </w:rPr>
    </w:lvl>
    <w:lvl w:ilvl="5">
      <w:start w:val="1"/>
      <w:numFmt w:val="bullet"/>
      <w:lvlText w:val="§"/>
      <w:lvlJc w:val="left"/>
      <w:pPr>
        <w:snapToGrid/>
        <w:ind w:left="4320" w:hanging="360"/>
      </w:pPr>
      <w:rPr>
        <w:rFonts w:ascii="Wingdings" w:hAnsi="Wingdings" w:cs="Wingdings" w:hint="default"/>
      </w:rPr>
    </w:lvl>
    <w:lvl w:ilvl="6">
      <w:start w:val="1"/>
      <w:numFmt w:val="bullet"/>
      <w:lvlText w:val="·"/>
      <w:lvlJc w:val="left"/>
      <w:pPr>
        <w:snapToGrid/>
        <w:ind w:left="5040" w:hanging="360"/>
      </w:pPr>
      <w:rPr>
        <w:rFonts w:ascii="Symbol" w:hAnsi="Symbol" w:cs="Symbol" w:hint="default"/>
      </w:rPr>
    </w:lvl>
    <w:lvl w:ilvl="7">
      <w:start w:val="1"/>
      <w:numFmt w:val="bullet"/>
      <w:lvlText w:val="o"/>
      <w:lvlJc w:val="left"/>
      <w:pPr>
        <w:snapToGrid/>
        <w:ind w:left="5760" w:hanging="360"/>
      </w:pPr>
      <w:rPr>
        <w:rFonts w:ascii="Courier New" w:hAnsi="Courier New" w:cs="Courier New" w:hint="default"/>
      </w:rPr>
    </w:lvl>
    <w:lvl w:ilvl="8">
      <w:start w:val="1"/>
      <w:numFmt w:val="bullet"/>
      <w:lvlText w:val="§"/>
      <w:lvlJc w:val="left"/>
      <w:pPr>
        <w:snapToGrid/>
        <w:ind w:left="6480" w:hanging="360"/>
      </w:pPr>
      <w:rPr>
        <w:rFonts w:ascii="Wingdings" w:hAnsi="Wingdings" w:cs="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0A1"/>
    <w:rsid w:val="00054A1C"/>
    <w:rsid w:val="003D5DC5"/>
    <w:rsid w:val="00491EB0"/>
    <w:rsid w:val="005F0EFF"/>
    <w:rsid w:val="00657BEB"/>
    <w:rsid w:val="00671FA1"/>
    <w:rsid w:val="00696AA8"/>
    <w:rsid w:val="007C29F1"/>
    <w:rsid w:val="008606DB"/>
    <w:rsid w:val="00AF2B6F"/>
    <w:rsid w:val="00B23734"/>
    <w:rsid w:val="00B929D5"/>
    <w:rsid w:val="00D03C21"/>
    <w:rsid w:val="00D12815"/>
    <w:rsid w:val="00D340A1"/>
    <w:rsid w:val="00DB488E"/>
    <w:rsid w:val="00E16088"/>
    <w:rsid w:val="00E95709"/>
    <w:rsid w:val="00ED1B30"/>
    <w:rsid w:val="00F83CF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5048BE9-AAF3-4B1E-882A-55403D1C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sz w:val="21"/>
        <w:szCs w:val="21"/>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Char"/>
    <w:uiPriority w:val="99"/>
    <w:semiHidden/>
    <w:unhideWhenUsed/>
    <w:rPr>
      <w:sz w:val="20"/>
    </w:rPr>
  </w:style>
  <w:style w:type="character" w:customStyle="1" w:styleId="Char">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NoSpacing">
    <w:name w:val="No Spacing"/>
    <w:uiPriority w:val="1"/>
    <w:qFormat/>
  </w:style>
  <w:style w:type="paragraph" w:styleId="Title">
    <w:name w:val="Title"/>
    <w:basedOn w:val="Normal"/>
    <w:next w:val="Normal"/>
    <w:link w:val="Char0"/>
    <w:uiPriority w:val="10"/>
    <w:qFormat/>
    <w:pPr>
      <w:spacing w:before="300" w:after="200"/>
      <w:contextualSpacing/>
    </w:pPr>
    <w:rPr>
      <w:sz w:val="48"/>
      <w:szCs w:val="48"/>
    </w:rPr>
  </w:style>
  <w:style w:type="character" w:customStyle="1" w:styleId="Char0">
    <w:name w:val="标题 Char"/>
    <w:basedOn w:val="DefaultParagraphFont"/>
    <w:link w:val="Title"/>
    <w:uiPriority w:val="10"/>
    <w:rPr>
      <w:sz w:val="48"/>
      <w:szCs w:val="48"/>
    </w:rPr>
  </w:style>
  <w:style w:type="paragraph" w:styleId="Subtitle">
    <w:name w:val="Subtitle"/>
    <w:basedOn w:val="Normal"/>
    <w:next w:val="Normal"/>
    <w:link w:val="Char1"/>
    <w:uiPriority w:val="11"/>
    <w:qFormat/>
    <w:pPr>
      <w:spacing w:before="200" w:after="200"/>
    </w:pPr>
    <w:rPr>
      <w:sz w:val="24"/>
      <w:szCs w:val="24"/>
    </w:rPr>
  </w:style>
  <w:style w:type="character" w:customStyle="1" w:styleId="Char1">
    <w:name w:val="副标题 Char"/>
    <w:basedOn w:val="DefaultParagraphFont"/>
    <w:link w:val="Subtitle"/>
    <w:uiPriority w:val="11"/>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rPr>
      <w:i/>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000FF" w:themeColor="hyperlink"/>
      <w:u w:val="single"/>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ListParagraph">
    <w:name w:val="List Paragraph"/>
    <w:basedOn w:val="Normal"/>
    <w:uiPriority w:val="34"/>
    <w:qFormat/>
    <w:pPr>
      <w:ind w:firstLine="420"/>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customStyle="1" w:styleId="1">
    <w:name w:val="页脚1"/>
    <w:basedOn w:val="Normal"/>
    <w:link w:val="Char4"/>
    <w:uiPriority w:val="99"/>
    <w:unhideWhenUsed/>
    <w:pPr>
      <w:tabs>
        <w:tab w:val="center" w:pos="4153"/>
        <w:tab w:val="right" w:pos="8306"/>
      </w:tabs>
      <w:snapToGrid w:val="0"/>
      <w:jc w:val="left"/>
    </w:pPr>
    <w:rPr>
      <w:sz w:val="18"/>
      <w:szCs w:val="18"/>
    </w:rPr>
  </w:style>
  <w:style w:type="character" w:customStyle="1" w:styleId="Char4">
    <w:name w:val="页脚 Char"/>
    <w:basedOn w:val="DefaultParagraphFont"/>
    <w:link w:val="1"/>
    <w:uiPriority w:val="99"/>
    <w:rPr>
      <w:sz w:val="18"/>
      <w:szCs w:val="18"/>
    </w:rPr>
  </w:style>
  <w:style w:type="paragraph" w:styleId="BalloonText">
    <w:name w:val="Balloon Text"/>
    <w:basedOn w:val="Normal"/>
    <w:link w:val="Char5"/>
    <w:uiPriority w:val="99"/>
    <w:semiHidden/>
    <w:unhideWhenUsed/>
    <w:rPr>
      <w:sz w:val="18"/>
      <w:szCs w:val="18"/>
    </w:rPr>
  </w:style>
  <w:style w:type="character" w:customStyle="1" w:styleId="Char5">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styleId="FootnoteReference">
    <w:name w:val="footnote reference"/>
    <w:unhideWhenUsed/>
    <w:qFormat/>
    <w:rPr>
      <w:rFonts w:ascii="Times New Roman" w:eastAsia="宋体" w:hAnsi="Times New Roman" w:cs="Times New Roman"/>
      <w:vertAlign w:val="superscript"/>
    </w:rPr>
  </w:style>
  <w:style w:type="paragraph" w:styleId="FootnoteText">
    <w:name w:val="footnote text"/>
    <w:basedOn w:val="Normal"/>
    <w:link w:val="Char6"/>
    <w:unhideWhenUsed/>
    <w:qFormat/>
    <w:pPr>
      <w:snapToGrid w:val="0"/>
      <w:jc w:val="left"/>
    </w:pPr>
    <w:rPr>
      <w:rFonts w:cs="Times New Roman"/>
      <w:sz w:val="18"/>
      <w:szCs w:val="24"/>
    </w:rPr>
  </w:style>
  <w:style w:type="character" w:customStyle="1" w:styleId="Char6">
    <w:name w:val="脚注文本 Char"/>
    <w:basedOn w:val="DefaultParagraphFont"/>
    <w:link w:val="FootnoteText"/>
    <w:qFormat/>
    <w:rPr>
      <w:rFonts w:ascii="Calibri" w:eastAsia="宋体" w:hAnsi="Calibri" w:cs="Times New Roman"/>
      <w:sz w:val="18"/>
      <w:szCs w:val="24"/>
    </w:rPr>
  </w:style>
  <w:style w:type="paragraph" w:styleId="Revision">
    <w:name w:val="Revision"/>
    <w:hidden/>
    <w:uiPriority w:val="99"/>
    <w:semiHidden/>
  </w:style>
  <w:style w:type="character" w:styleId="CommentReference">
    <w:name w:val="annotation reference"/>
    <w:basedOn w:val="DefaultParagraphFont"/>
    <w:uiPriority w:val="99"/>
    <w:semiHidden/>
    <w:unhideWhenUsed/>
    <w:rPr>
      <w:sz w:val="21"/>
      <w:szCs w:val="21"/>
    </w:rPr>
  </w:style>
  <w:style w:type="paragraph" w:styleId="CommentText">
    <w:name w:val="annotation text"/>
    <w:basedOn w:val="Normal"/>
    <w:link w:val="Char7"/>
    <w:uiPriority w:val="99"/>
    <w:semiHidden/>
    <w:unhideWhenUsed/>
    <w:pPr>
      <w:jc w:val="left"/>
    </w:pPr>
  </w:style>
  <w:style w:type="character" w:customStyle="1" w:styleId="Char7">
    <w:name w:val="批注文字 Char"/>
    <w:basedOn w:val="DefaultParagraphFont"/>
    <w:link w:val="CommentText"/>
    <w:uiPriority w:val="99"/>
    <w:semiHidden/>
  </w:style>
  <w:style w:type="paragraph" w:styleId="CommentSubject">
    <w:name w:val="annotation subject"/>
    <w:basedOn w:val="CommentText"/>
    <w:next w:val="CommentText"/>
    <w:link w:val="Char8"/>
    <w:uiPriority w:val="99"/>
    <w:semiHidden/>
    <w:unhideWhenUsed/>
    <w:rPr>
      <w:b/>
      <w:bCs/>
    </w:rPr>
  </w:style>
  <w:style w:type="character" w:customStyle="1" w:styleId="Char8">
    <w:name w:val="批注主题 Char"/>
    <w:basedOn w:val="Char7"/>
    <w:link w:val="CommentSubject"/>
    <w:uiPriority w:val="99"/>
    <w:semiHidden/>
    <w:rPr>
      <w:b/>
      <w:bCs/>
    </w:rPr>
  </w:style>
  <w:style w:type="paragraph" w:styleId="Header">
    <w:name w:val="header"/>
    <w:basedOn w:val="Normal"/>
    <w:link w:val="Char9"/>
    <w:uiPriority w:val="99"/>
    <w:unhideWhenUsed/>
    <w:rsid w:val="00B929D5"/>
    <w:pPr>
      <w:pBdr>
        <w:bottom w:val="single" w:sz="6" w:space="1" w:color="auto"/>
      </w:pBdr>
      <w:tabs>
        <w:tab w:val="center" w:pos="4153"/>
        <w:tab w:val="right" w:pos="8306"/>
      </w:tabs>
      <w:snapToGrid w:val="0"/>
      <w:jc w:val="center"/>
    </w:pPr>
    <w:rPr>
      <w:sz w:val="18"/>
      <w:szCs w:val="18"/>
    </w:rPr>
  </w:style>
  <w:style w:type="character" w:customStyle="1" w:styleId="Char9">
    <w:name w:val="页眉 Char"/>
    <w:basedOn w:val="DefaultParagraphFont"/>
    <w:link w:val="Header"/>
    <w:uiPriority w:val="99"/>
    <w:rsid w:val="00B929D5"/>
    <w:rPr>
      <w:sz w:val="18"/>
      <w:szCs w:val="18"/>
    </w:rPr>
  </w:style>
  <w:style w:type="paragraph" w:styleId="Footer">
    <w:name w:val="footer"/>
    <w:basedOn w:val="Normal"/>
    <w:link w:val="Char10"/>
    <w:uiPriority w:val="99"/>
    <w:unhideWhenUsed/>
    <w:rsid w:val="00B929D5"/>
    <w:pPr>
      <w:tabs>
        <w:tab w:val="center" w:pos="4153"/>
        <w:tab w:val="right" w:pos="8306"/>
      </w:tabs>
      <w:snapToGrid w:val="0"/>
      <w:jc w:val="left"/>
    </w:pPr>
    <w:rPr>
      <w:sz w:val="18"/>
      <w:szCs w:val="18"/>
    </w:rPr>
  </w:style>
  <w:style w:type="character" w:customStyle="1" w:styleId="Char10">
    <w:name w:val="页脚 Char1"/>
    <w:basedOn w:val="DefaultParagraphFont"/>
    <w:link w:val="Footer"/>
    <w:uiPriority w:val="99"/>
    <w:rsid w:val="00B929D5"/>
    <w:rPr>
      <w:sz w:val="18"/>
      <w:szCs w:val="18"/>
    </w:rPr>
  </w:style>
  <w:style w:type="character" w:customStyle="1" w:styleId="text-only">
    <w:name w:val="text-only"/>
    <w:basedOn w:val="DefaultParagraphFont"/>
    <w:rsid w:val="00E1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6398fff3e5ba4ff7a915ad799033bfb3"/>
        <w:category>
          <w:name w:val="(Empty Category)"/>
          <w:gallery w:val="any"/>
        </w:category>
        <w:behaviors>
          <w:behavior w:val="content"/>
        </w:behaviors>
        <w:guid w:val="{1BE07D78-F716-4EE0-BDC6-2A6897AC64C4}"/>
      </w:docPartPr>
      <w:docPartBody>
        <w:p w:rsidR="00671FA1">
          <w:r>
            <w:t>请在此放置您的文字</w:t>
          </w:r>
        </w:p>
      </w:docPartBody>
    </w:docPart>
    <w:docPart>
      <w:docPartPr>
        <w:name w:val="a0c44fcb024641e1996012467db209a8"/>
        <w:category>
          <w:name w:val="(Empty Category)"/>
          <w:gallery w:val="any"/>
        </w:category>
        <w:behaviors>
          <w:behavior w:val="content"/>
        </w:behaviors>
        <w:guid w:val="{14B30808-27E2-431B-AE94-5B9AF71C8B10}"/>
      </w:docPartPr>
      <w:docPartBody>
        <w:p w:rsidR="00671FA1">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A1"/>
    <w:rsid w:val="004F4ED0"/>
    <w:rsid w:val="00671FA1"/>
    <w:rsid w:val="009300D0"/>
    <w:rsid w:val="009E1B8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Times New Roman"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1Char"/>
    <w:uiPriority w:val="9"/>
    <w:qFormat/>
    <w:pPr>
      <w:keepNext/>
      <w:keepLines/>
      <w:spacing w:before="480" w:after="200"/>
      <w:outlineLvl w:val="0"/>
    </w:pPr>
    <w:rPr>
      <w:rFonts w:hAnsi="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hAnsi="Arial"/>
      <w:sz w:val="34"/>
    </w:rPr>
  </w:style>
  <w:style w:type="paragraph" w:styleId="Heading3">
    <w:name w:val="heading 3"/>
    <w:basedOn w:val="Normal"/>
    <w:next w:val="Normal"/>
    <w:link w:val="3Char"/>
    <w:uiPriority w:val="9"/>
    <w:unhideWhenUsed/>
    <w:qFormat/>
    <w:pPr>
      <w:keepNext/>
      <w:keepLines/>
      <w:spacing w:before="320" w:after="200"/>
      <w:outlineLvl w:val="2"/>
    </w:pPr>
    <w:rPr>
      <w:rFonts w:hAnsi="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hAnsi="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hAnsi="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hAnsi="Arial"/>
      <w:b/>
      <w:bCs/>
    </w:rPr>
  </w:style>
  <w:style w:type="paragraph" w:styleId="Heading7">
    <w:name w:val="heading 7"/>
    <w:basedOn w:val="Normal"/>
    <w:next w:val="Normal"/>
    <w:link w:val="7Char"/>
    <w:uiPriority w:val="9"/>
    <w:unhideWhenUsed/>
    <w:qFormat/>
    <w:pPr>
      <w:keepNext/>
      <w:keepLines/>
      <w:spacing w:before="320" w:after="200"/>
      <w:outlineLvl w:val="6"/>
    </w:pPr>
    <w:rPr>
      <w:rFonts w:hAnsi="Arial"/>
      <w:b/>
      <w:bCs/>
      <w:i/>
      <w:iCs/>
    </w:rPr>
  </w:style>
  <w:style w:type="paragraph" w:styleId="Heading8">
    <w:name w:val="heading 8"/>
    <w:basedOn w:val="Normal"/>
    <w:next w:val="Normal"/>
    <w:link w:val="8Char"/>
    <w:uiPriority w:val="9"/>
    <w:unhideWhenUsed/>
    <w:qFormat/>
    <w:pPr>
      <w:keepNext/>
      <w:keepLines/>
      <w:spacing w:before="320" w:after="200"/>
      <w:outlineLvl w:val="7"/>
    </w:pPr>
    <w:rPr>
      <w:rFonts w:hAnsi="Arial"/>
      <w:i/>
      <w:iCs/>
    </w:rPr>
  </w:style>
  <w:style w:type="paragraph" w:styleId="Heading9">
    <w:name w:val="heading 9"/>
    <w:basedOn w:val="Normal"/>
    <w:next w:val="Normal"/>
    <w:link w:val="9Char"/>
    <w:uiPriority w:val="9"/>
    <w:unhideWhenUsed/>
    <w:qFormat/>
    <w:pPr>
      <w:keepNext/>
      <w:keepLines/>
      <w:spacing w:before="320" w:after="200"/>
      <w:outlineLvl w:val="8"/>
    </w:pPr>
    <w:rPr>
      <w:rFonts w:hAnsi="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Pr>
      <w:rFonts w:ascii="Arial" w:hAnsi="Arial" w:cs="Arial"/>
      <w:sz w:val="40"/>
      <w:szCs w:val="4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