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519D4" w14:textId="77777777" w:rsidR="00E5713C" w:rsidRDefault="00E5713C">
      <w:bookmarkStart w:id="0" w:name="_GoBack"/>
      <w:bookmarkEnd w:id="0"/>
    </w:p>
    <w:p w14:paraId="480CBB59" w14:textId="77777777" w:rsidR="00E5713C" w:rsidRDefault="00E5713C"/>
    <w:p w14:paraId="2B7C1D4D" w14:textId="77777777" w:rsidR="00E5713C" w:rsidRDefault="00E5713C"/>
    <w:p w14:paraId="537CCFE3" w14:textId="77777777" w:rsidR="00E5713C" w:rsidRDefault="00E5713C"/>
    <w:p w14:paraId="76402B27" w14:textId="77777777" w:rsidR="00E5713C" w:rsidRDefault="00E5713C"/>
    <w:p w14:paraId="16C46265" w14:textId="77777777" w:rsidR="00E5713C" w:rsidRDefault="00E5713C"/>
    <w:p w14:paraId="06FF6D79" w14:textId="77777777" w:rsidR="00E5713C" w:rsidRDefault="00E5713C"/>
    <w:p w14:paraId="101777F4" w14:textId="77777777" w:rsidR="00E5713C" w:rsidRDefault="00E5713C"/>
    <w:p w14:paraId="6F617992" w14:textId="77777777" w:rsidR="00E5713C" w:rsidRDefault="00E5713C"/>
    <w:p w14:paraId="0981BD25" w14:textId="77777777" w:rsidR="00E5713C" w:rsidRDefault="00E5713C"/>
    <w:p w14:paraId="5141E585" w14:textId="77777777" w:rsidR="00E5713C" w:rsidRDefault="00E5713C"/>
    <w:p w14:paraId="680EF82E" w14:textId="44090465" w:rsidR="00E5713C" w:rsidRDefault="00441401">
      <w:pPr>
        <w:jc w:val="center"/>
        <w:rPr>
          <w:rFonts w:ascii="彩虹粗仿宋" w:eastAsia="彩虹粗仿宋" w:hAnsi="宋体" w:cs="Arial"/>
          <w:b/>
          <w:sz w:val="44"/>
        </w:rPr>
      </w:pPr>
      <w:r>
        <w:rPr>
          <w:rFonts w:ascii="彩虹粗仿宋" w:eastAsia="彩虹粗仿宋" w:hAnsi="宋体" w:cs="Arial" w:hint="eastAsia"/>
          <w:b/>
          <w:sz w:val="44"/>
        </w:rPr>
        <w:t>南方创业板人工智能交易型开放式指数证券投资基金联接基金托管协议</w:t>
      </w:r>
    </w:p>
    <w:p w14:paraId="2153E6E3" w14:textId="77777777" w:rsidR="00E5713C" w:rsidRDefault="00E5713C"/>
    <w:p w14:paraId="2ACD54B4" w14:textId="77777777" w:rsidR="00E5713C" w:rsidRDefault="00E5713C"/>
    <w:p w14:paraId="223746BF" w14:textId="77777777" w:rsidR="00E5713C" w:rsidRDefault="00E5713C"/>
    <w:p w14:paraId="3DA1E08F" w14:textId="77777777" w:rsidR="00E5713C" w:rsidRDefault="00E5713C"/>
    <w:p w14:paraId="06309942" w14:textId="77777777" w:rsidR="00E5713C" w:rsidRDefault="00E5713C"/>
    <w:p w14:paraId="11741B26" w14:textId="77777777" w:rsidR="00E5713C" w:rsidRDefault="00E5713C"/>
    <w:p w14:paraId="2E422DB0" w14:textId="77777777" w:rsidR="00E5713C" w:rsidRDefault="00E5713C"/>
    <w:p w14:paraId="3BDF8B36" w14:textId="77777777" w:rsidR="00E5713C" w:rsidRDefault="00E5713C"/>
    <w:p w14:paraId="09EC5B08" w14:textId="77777777" w:rsidR="00E5713C" w:rsidRDefault="00E5713C"/>
    <w:p w14:paraId="4B6CEF2A" w14:textId="77777777" w:rsidR="00E5713C" w:rsidRDefault="00441401">
      <w:pPr>
        <w:rPr>
          <w:rFonts w:ascii="彩虹粗仿宋" w:eastAsia="彩虹粗仿宋" w:hAnsi="宋体" w:cs="Arial"/>
          <w:b/>
          <w:bCs/>
          <w:sz w:val="28"/>
        </w:rPr>
      </w:pPr>
      <w:r>
        <w:rPr>
          <w:rFonts w:ascii="彩虹粗仿宋" w:eastAsia="彩虹粗仿宋" w:hAnsi="宋体" w:cs="Arial" w:hint="eastAsia"/>
          <w:sz w:val="24"/>
        </w:rPr>
        <w:t xml:space="preserve">                 </w:t>
      </w:r>
      <w:r>
        <w:rPr>
          <w:rFonts w:ascii="彩虹粗仿宋" w:eastAsia="彩虹粗仿宋" w:hAnsi="宋体" w:cs="Arial" w:hint="eastAsia"/>
          <w:b/>
          <w:bCs/>
          <w:sz w:val="28"/>
        </w:rPr>
        <w:t>基金管理人：南方基金管理股份有限公司</w:t>
      </w:r>
    </w:p>
    <w:p w14:paraId="2D1FED02" w14:textId="2B85A402" w:rsidR="00E5713C" w:rsidRDefault="00441401">
      <w:pPr>
        <w:rPr>
          <w:rFonts w:ascii="彩虹粗仿宋" w:eastAsia="彩虹粗仿宋" w:hAnsi="宋体" w:cs="Arial"/>
          <w:b/>
          <w:bCs/>
          <w:sz w:val="28"/>
        </w:rPr>
      </w:pPr>
      <w:r>
        <w:rPr>
          <w:rFonts w:ascii="彩虹粗仿宋" w:eastAsia="彩虹粗仿宋" w:hAnsi="宋体" w:cs="Arial" w:hint="eastAsia"/>
          <w:sz w:val="24"/>
        </w:rPr>
        <w:t xml:space="preserve">                 </w:t>
      </w:r>
      <w:r>
        <w:rPr>
          <w:rFonts w:ascii="彩虹粗仿宋" w:eastAsia="彩虹粗仿宋" w:hAnsi="宋体" w:cs="Arial" w:hint="eastAsia"/>
          <w:b/>
          <w:bCs/>
          <w:sz w:val="28"/>
        </w:rPr>
        <w:t>基金托管人：中国建设银行股份有限公司</w:t>
      </w:r>
    </w:p>
    <w:p w14:paraId="40F1A00B" w14:textId="26CCAE41" w:rsidR="00782963" w:rsidRDefault="00782963">
      <w:pPr>
        <w:rPr>
          <w:rFonts w:ascii="彩虹粗仿宋" w:eastAsia="彩虹粗仿宋" w:hAnsi="宋体" w:cs="Arial"/>
          <w:b/>
          <w:bCs/>
          <w:sz w:val="28"/>
        </w:rPr>
      </w:pPr>
    </w:p>
    <w:p w14:paraId="1545AAFD" w14:textId="5D0CC1FC" w:rsidR="00782963" w:rsidRDefault="00782963" w:rsidP="00782963">
      <w:pPr>
        <w:jc w:val="center"/>
        <w:rPr>
          <w:rFonts w:ascii="彩虹粗仿宋" w:eastAsia="彩虹粗仿宋" w:hAnsi="宋体" w:cs="Arial"/>
          <w:b/>
          <w:bCs/>
          <w:sz w:val="28"/>
        </w:rPr>
      </w:pPr>
      <w:r>
        <w:rPr>
          <w:rFonts w:ascii="彩虹粗仿宋" w:eastAsia="彩虹粗仿宋" w:hAnsi="宋体" w:cs="Arial" w:hint="eastAsia"/>
          <w:b/>
          <w:bCs/>
          <w:sz w:val="28"/>
        </w:rPr>
        <w:t>2025年</w:t>
      </w:r>
      <w:r w:rsidR="00EE3B45">
        <w:rPr>
          <w:rFonts w:ascii="彩虹粗仿宋" w:eastAsia="彩虹粗仿宋" w:hAnsi="宋体" w:cs="Arial"/>
          <w:b/>
          <w:bCs/>
          <w:sz w:val="28"/>
        </w:rPr>
        <w:t>9</w:t>
      </w:r>
      <w:r>
        <w:rPr>
          <w:rFonts w:ascii="彩虹粗仿宋" w:eastAsia="彩虹粗仿宋" w:hAnsi="宋体" w:cs="Arial" w:hint="eastAsia"/>
          <w:b/>
          <w:bCs/>
          <w:sz w:val="28"/>
        </w:rPr>
        <w:t>月</w:t>
      </w:r>
    </w:p>
    <w:p w14:paraId="3CD43BE5" w14:textId="77777777" w:rsidR="00E5713C" w:rsidRDefault="00E5713C">
      <w:pPr>
        <w:rPr>
          <w:rFonts w:ascii="彩虹粗仿宋" w:eastAsia="彩虹粗仿宋" w:hAnsi="宋体" w:cs="Arial"/>
          <w:b/>
          <w:bCs/>
          <w:sz w:val="28"/>
        </w:rPr>
      </w:pPr>
    </w:p>
    <w:p w14:paraId="350A95B0" w14:textId="77777777" w:rsidR="00E5713C" w:rsidRDefault="00E5713C">
      <w:pPr>
        <w:rPr>
          <w:rFonts w:ascii="彩虹粗仿宋" w:eastAsia="彩虹粗仿宋" w:hAnsi="宋体" w:cs="Arial"/>
          <w:b/>
          <w:bCs/>
          <w:sz w:val="28"/>
        </w:rPr>
      </w:pPr>
    </w:p>
    <w:p w14:paraId="721D3E14" w14:textId="77777777" w:rsidR="00E5713C" w:rsidRDefault="00E5713C">
      <w:pPr>
        <w:rPr>
          <w:rFonts w:ascii="彩虹粗仿宋" w:eastAsia="彩虹粗仿宋" w:hAnsi="宋体" w:cs="Arial"/>
          <w:sz w:val="24"/>
        </w:rPr>
      </w:pPr>
    </w:p>
    <w:p w14:paraId="3D065212" w14:textId="15DFD794" w:rsidR="00E5713C" w:rsidRDefault="00E5713C">
      <w:pPr>
        <w:rPr>
          <w:rFonts w:ascii="彩虹粗仿宋" w:eastAsia="彩虹粗仿宋" w:hAnsi="宋体" w:cs="Arial"/>
          <w:sz w:val="24"/>
        </w:rPr>
      </w:pPr>
    </w:p>
    <w:p w14:paraId="36875BB3" w14:textId="77777777" w:rsidR="00E5713C" w:rsidRDefault="00E5713C">
      <w:pPr>
        <w:rPr>
          <w:rFonts w:ascii="彩虹粗仿宋" w:eastAsia="彩虹粗仿宋" w:hAnsi="宋体" w:cs="Arial"/>
          <w:sz w:val="24"/>
        </w:rPr>
      </w:pPr>
    </w:p>
    <w:p w14:paraId="65471B45" w14:textId="77777777" w:rsidR="00E5713C" w:rsidRDefault="00E5713C">
      <w:pPr>
        <w:adjustRightInd w:val="0"/>
        <w:snapToGrid w:val="0"/>
        <w:jc w:val="center"/>
        <w:rPr>
          <w:rFonts w:ascii="彩虹粗仿宋" w:eastAsia="彩虹粗仿宋" w:hAnsi="宋体" w:cs="Arial"/>
          <w:bCs/>
          <w:sz w:val="24"/>
        </w:rPr>
        <w:sectPr w:rsidR="00E5713C">
          <w:footerReference w:type="even" r:id="rId7"/>
          <w:footerReference w:type="default" r:id="rId8"/>
          <w:pgSz w:w="11906" w:h="16838"/>
          <w:pgMar w:top="1418" w:right="1701" w:bottom="1418" w:left="1701" w:header="851" w:footer="992" w:gutter="0"/>
          <w:cols w:space="425"/>
          <w:docGrid w:type="lines" w:linePitch="312"/>
        </w:sectPr>
      </w:pPr>
    </w:p>
    <w:p w14:paraId="73EE0D64" w14:textId="77777777" w:rsidR="00E5713C" w:rsidRDefault="00441401">
      <w:pPr>
        <w:jc w:val="center"/>
        <w:rPr>
          <w:rFonts w:ascii="彩虹粗仿宋" w:eastAsia="彩虹粗仿宋"/>
          <w:b/>
          <w:bCs/>
          <w:sz w:val="30"/>
        </w:rPr>
      </w:pPr>
      <w:r>
        <w:rPr>
          <w:rFonts w:ascii="彩虹粗仿宋" w:eastAsia="彩虹粗仿宋" w:hint="eastAsia"/>
          <w:b/>
          <w:bCs/>
          <w:sz w:val="30"/>
        </w:rPr>
        <w:lastRenderedPageBreak/>
        <w:t>目    录</w:t>
      </w:r>
    </w:p>
    <w:p w14:paraId="27A69F5F" w14:textId="43A59A09" w:rsidR="00E5713C" w:rsidRDefault="00441401">
      <w:pPr>
        <w:pStyle w:val="21"/>
        <w:tabs>
          <w:tab w:val="right" w:leader="dot" w:pos="8494"/>
        </w:tabs>
        <w:spacing w:line="180" w:lineRule="auto"/>
        <w:rPr>
          <w:rFonts w:ascii="彩虹粗仿宋" w:eastAsia="彩虹粗仿宋" w:hAnsi="宋体"/>
          <w:noProof/>
          <w:sz w:val="28"/>
        </w:rPr>
      </w:pPr>
      <w:r>
        <w:rPr>
          <w:rFonts w:ascii="彩虹粗仿宋" w:eastAsia="彩虹粗仿宋" w:hAnsi="宋体" w:hint="eastAsia"/>
          <w:sz w:val="28"/>
        </w:rPr>
        <w:fldChar w:fldCharType="begin"/>
      </w:r>
      <w:r>
        <w:rPr>
          <w:rFonts w:ascii="彩虹粗仿宋" w:eastAsia="彩虹粗仿宋" w:hAnsi="宋体" w:hint="eastAsia"/>
          <w:sz w:val="28"/>
        </w:rPr>
        <w:instrText xml:space="preserve"> TOC \o "1-2" \h \z </w:instrText>
      </w:r>
      <w:r>
        <w:rPr>
          <w:rFonts w:ascii="彩虹粗仿宋" w:eastAsia="彩虹粗仿宋" w:hAnsi="宋体" w:hint="eastAsia"/>
          <w:sz w:val="28"/>
        </w:rPr>
        <w:fldChar w:fldCharType="separate"/>
      </w:r>
      <w:hyperlink w:anchor="_Toc124325885" w:history="1">
        <w:r>
          <w:rPr>
            <w:rStyle w:val="af2"/>
            <w:rFonts w:ascii="彩虹粗仿宋" w:eastAsia="彩虹粗仿宋" w:hAnsi="宋体" w:hint="eastAsia"/>
            <w:noProof/>
            <w:color w:val="auto"/>
            <w:sz w:val="28"/>
            <w:szCs w:val="32"/>
            <w:u w:val="none"/>
          </w:rPr>
          <w:t>一、基金托管协议当事人</w:t>
        </w:r>
        <w:r>
          <w:rPr>
            <w:rFonts w:ascii="彩虹粗仿宋" w:eastAsia="彩虹粗仿宋" w:hAnsi="宋体" w:hint="eastAsia"/>
            <w:noProof/>
            <w:sz w:val="28"/>
          </w:rPr>
          <w:tab/>
        </w:r>
        <w:r>
          <w:rPr>
            <w:rFonts w:ascii="彩虹粗仿宋" w:eastAsia="彩虹粗仿宋" w:hAnsi="宋体" w:hint="eastAsia"/>
            <w:noProof/>
            <w:sz w:val="28"/>
          </w:rPr>
          <w:fldChar w:fldCharType="begin"/>
        </w:r>
        <w:r>
          <w:rPr>
            <w:rFonts w:ascii="彩虹粗仿宋" w:eastAsia="彩虹粗仿宋" w:hAnsi="宋体" w:hint="eastAsia"/>
            <w:noProof/>
            <w:sz w:val="28"/>
          </w:rPr>
          <w:instrText xml:space="preserve"> PAGEREF _Toc124325885 \h </w:instrText>
        </w:r>
        <w:r>
          <w:rPr>
            <w:rFonts w:ascii="彩虹粗仿宋" w:eastAsia="彩虹粗仿宋" w:hAnsi="宋体" w:hint="eastAsia"/>
            <w:noProof/>
            <w:sz w:val="28"/>
          </w:rPr>
        </w:r>
        <w:r>
          <w:rPr>
            <w:rFonts w:ascii="彩虹粗仿宋" w:eastAsia="彩虹粗仿宋" w:hAnsi="宋体" w:hint="eastAsia"/>
            <w:noProof/>
            <w:sz w:val="28"/>
          </w:rPr>
          <w:fldChar w:fldCharType="separate"/>
        </w:r>
        <w:r w:rsidR="00AF6970">
          <w:rPr>
            <w:rFonts w:ascii="彩虹粗仿宋" w:eastAsia="彩虹粗仿宋" w:hAnsi="宋体"/>
            <w:noProof/>
            <w:sz w:val="28"/>
          </w:rPr>
          <w:t>3</w:t>
        </w:r>
        <w:r>
          <w:rPr>
            <w:rFonts w:ascii="彩虹粗仿宋" w:eastAsia="彩虹粗仿宋" w:hAnsi="宋体" w:hint="eastAsia"/>
            <w:noProof/>
            <w:sz w:val="28"/>
          </w:rPr>
          <w:fldChar w:fldCharType="end"/>
        </w:r>
      </w:hyperlink>
    </w:p>
    <w:p w14:paraId="3E3CD54E" w14:textId="77F7F6A6" w:rsidR="00E5713C" w:rsidRDefault="008D07A2">
      <w:pPr>
        <w:pStyle w:val="21"/>
        <w:tabs>
          <w:tab w:val="right" w:leader="dot" w:pos="8494"/>
        </w:tabs>
        <w:spacing w:line="180" w:lineRule="auto"/>
        <w:rPr>
          <w:rFonts w:ascii="彩虹粗仿宋" w:eastAsia="彩虹粗仿宋" w:hAnsi="宋体"/>
          <w:noProof/>
          <w:sz w:val="28"/>
        </w:rPr>
      </w:pPr>
      <w:hyperlink w:anchor="_Toc124325886" w:history="1">
        <w:r w:rsidR="00441401">
          <w:rPr>
            <w:rStyle w:val="af2"/>
            <w:rFonts w:ascii="彩虹粗仿宋" w:eastAsia="彩虹粗仿宋" w:hAnsi="宋体" w:hint="eastAsia"/>
            <w:noProof/>
            <w:color w:val="auto"/>
            <w:sz w:val="28"/>
            <w:szCs w:val="32"/>
            <w:u w:val="none"/>
          </w:rPr>
          <w:t>二、基金托管协议的依据、目的和原则</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_Toc124325886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4</w:t>
        </w:r>
        <w:r w:rsidR="00441401">
          <w:rPr>
            <w:rFonts w:ascii="彩虹粗仿宋" w:eastAsia="彩虹粗仿宋" w:hAnsi="宋体" w:hint="eastAsia"/>
            <w:noProof/>
            <w:sz w:val="28"/>
          </w:rPr>
          <w:fldChar w:fldCharType="end"/>
        </w:r>
      </w:hyperlink>
    </w:p>
    <w:p w14:paraId="3ECFEA5A" w14:textId="43A42BD2" w:rsidR="00E5713C" w:rsidRDefault="008D07A2">
      <w:pPr>
        <w:pStyle w:val="21"/>
        <w:tabs>
          <w:tab w:val="right" w:leader="dot" w:pos="8494"/>
        </w:tabs>
        <w:spacing w:line="180" w:lineRule="auto"/>
        <w:rPr>
          <w:rFonts w:ascii="彩虹粗仿宋" w:eastAsia="彩虹粗仿宋" w:hAnsi="宋体"/>
          <w:noProof/>
          <w:sz w:val="28"/>
        </w:rPr>
      </w:pPr>
      <w:hyperlink w:anchor="_Toc124325887" w:history="1">
        <w:r w:rsidR="00441401">
          <w:rPr>
            <w:rStyle w:val="af2"/>
            <w:rFonts w:ascii="彩虹粗仿宋" w:eastAsia="彩虹粗仿宋" w:hAnsi="宋体" w:hint="eastAsia"/>
            <w:noProof/>
            <w:color w:val="auto"/>
            <w:sz w:val="28"/>
            <w:szCs w:val="32"/>
            <w:u w:val="none"/>
          </w:rPr>
          <w:t>三、基金托管人对基金管理人的业务监督和核查</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_Toc124325887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5</w:t>
        </w:r>
        <w:r w:rsidR="00441401">
          <w:rPr>
            <w:rFonts w:ascii="彩虹粗仿宋" w:eastAsia="彩虹粗仿宋" w:hAnsi="宋体" w:hint="eastAsia"/>
            <w:noProof/>
            <w:sz w:val="28"/>
          </w:rPr>
          <w:fldChar w:fldCharType="end"/>
        </w:r>
      </w:hyperlink>
    </w:p>
    <w:p w14:paraId="495E5071" w14:textId="7698DC42" w:rsidR="00E5713C" w:rsidRDefault="008D07A2">
      <w:pPr>
        <w:pStyle w:val="21"/>
        <w:tabs>
          <w:tab w:val="right" w:leader="dot" w:pos="8494"/>
        </w:tabs>
        <w:spacing w:line="180" w:lineRule="auto"/>
        <w:rPr>
          <w:rFonts w:ascii="彩虹粗仿宋" w:eastAsia="彩虹粗仿宋" w:hAnsi="宋体"/>
          <w:noProof/>
          <w:sz w:val="28"/>
        </w:rPr>
      </w:pPr>
      <w:hyperlink w:anchor="_Toc124325888" w:history="1">
        <w:r w:rsidR="00441401">
          <w:rPr>
            <w:rStyle w:val="af2"/>
            <w:rFonts w:ascii="彩虹粗仿宋" w:eastAsia="彩虹粗仿宋" w:hAnsi="宋体" w:hint="eastAsia"/>
            <w:noProof/>
            <w:color w:val="auto"/>
            <w:sz w:val="28"/>
            <w:szCs w:val="32"/>
            <w:u w:val="none"/>
          </w:rPr>
          <w:t>四、基金管理人对基金托管人的业务核查</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_Toc124325888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10</w:t>
        </w:r>
        <w:r w:rsidR="00441401">
          <w:rPr>
            <w:rFonts w:ascii="彩虹粗仿宋" w:eastAsia="彩虹粗仿宋" w:hAnsi="宋体" w:hint="eastAsia"/>
            <w:noProof/>
            <w:sz w:val="28"/>
          </w:rPr>
          <w:fldChar w:fldCharType="end"/>
        </w:r>
      </w:hyperlink>
    </w:p>
    <w:p w14:paraId="4240DF69" w14:textId="350A673A" w:rsidR="00E5713C" w:rsidRDefault="008D07A2">
      <w:pPr>
        <w:pStyle w:val="21"/>
        <w:tabs>
          <w:tab w:val="right" w:leader="dot" w:pos="8494"/>
        </w:tabs>
        <w:spacing w:line="180" w:lineRule="auto"/>
        <w:rPr>
          <w:rFonts w:ascii="彩虹粗仿宋" w:eastAsia="彩虹粗仿宋" w:hAnsi="宋体"/>
          <w:noProof/>
          <w:sz w:val="28"/>
        </w:rPr>
      </w:pPr>
      <w:hyperlink w:anchor="_Toc124325889" w:history="1">
        <w:r w:rsidR="00441401">
          <w:rPr>
            <w:rStyle w:val="af2"/>
            <w:rFonts w:ascii="彩虹粗仿宋" w:eastAsia="彩虹粗仿宋" w:hAnsi="宋体" w:hint="eastAsia"/>
            <w:noProof/>
            <w:color w:val="auto"/>
            <w:sz w:val="28"/>
            <w:szCs w:val="32"/>
            <w:u w:val="none"/>
          </w:rPr>
          <w:t>五、基金财产的保管</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_Toc124325889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11</w:t>
        </w:r>
        <w:r w:rsidR="00441401">
          <w:rPr>
            <w:rFonts w:ascii="彩虹粗仿宋" w:eastAsia="彩虹粗仿宋" w:hAnsi="宋体" w:hint="eastAsia"/>
            <w:noProof/>
            <w:sz w:val="28"/>
          </w:rPr>
          <w:fldChar w:fldCharType="end"/>
        </w:r>
      </w:hyperlink>
    </w:p>
    <w:p w14:paraId="4DC78940" w14:textId="4700C696" w:rsidR="00E5713C" w:rsidRDefault="008D07A2">
      <w:pPr>
        <w:pStyle w:val="21"/>
        <w:tabs>
          <w:tab w:val="right" w:leader="dot" w:pos="8494"/>
        </w:tabs>
        <w:spacing w:line="180" w:lineRule="auto"/>
        <w:rPr>
          <w:rFonts w:ascii="彩虹粗仿宋" w:eastAsia="彩虹粗仿宋" w:hAnsi="宋体"/>
          <w:noProof/>
          <w:sz w:val="28"/>
        </w:rPr>
      </w:pPr>
      <w:hyperlink w:anchor="_Toc124325890" w:history="1">
        <w:r w:rsidR="00441401">
          <w:rPr>
            <w:rStyle w:val="af2"/>
            <w:rFonts w:ascii="彩虹粗仿宋" w:eastAsia="彩虹粗仿宋" w:hAnsi="宋体" w:hint="eastAsia"/>
            <w:noProof/>
            <w:color w:val="auto"/>
            <w:sz w:val="28"/>
            <w:szCs w:val="32"/>
            <w:u w:val="none"/>
          </w:rPr>
          <w:t>六、指令的发送、确认及执行</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_Toc124325890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14</w:t>
        </w:r>
        <w:r w:rsidR="00441401">
          <w:rPr>
            <w:rFonts w:ascii="彩虹粗仿宋" w:eastAsia="彩虹粗仿宋" w:hAnsi="宋体" w:hint="eastAsia"/>
            <w:noProof/>
            <w:sz w:val="28"/>
          </w:rPr>
          <w:fldChar w:fldCharType="end"/>
        </w:r>
      </w:hyperlink>
    </w:p>
    <w:p w14:paraId="7AE92860" w14:textId="0443A058" w:rsidR="00E5713C" w:rsidRDefault="008D07A2">
      <w:pPr>
        <w:pStyle w:val="21"/>
        <w:tabs>
          <w:tab w:val="right" w:leader="dot" w:pos="8494"/>
        </w:tabs>
        <w:spacing w:line="180" w:lineRule="auto"/>
        <w:rPr>
          <w:rFonts w:ascii="彩虹粗仿宋" w:eastAsia="彩虹粗仿宋" w:hAnsi="宋体"/>
          <w:noProof/>
          <w:sz w:val="28"/>
        </w:rPr>
      </w:pPr>
      <w:hyperlink w:anchor="_Toc124325891" w:history="1">
        <w:r w:rsidR="00441401">
          <w:rPr>
            <w:rStyle w:val="af2"/>
            <w:rFonts w:ascii="彩虹粗仿宋" w:eastAsia="彩虹粗仿宋" w:hAnsi="宋体" w:hint="eastAsia"/>
            <w:noProof/>
            <w:color w:val="auto"/>
            <w:sz w:val="28"/>
            <w:szCs w:val="32"/>
            <w:u w:val="none"/>
          </w:rPr>
          <w:t>七、交易及清算交收安排</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_Toc124325891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16</w:t>
        </w:r>
        <w:r w:rsidR="00441401">
          <w:rPr>
            <w:rFonts w:ascii="彩虹粗仿宋" w:eastAsia="彩虹粗仿宋" w:hAnsi="宋体" w:hint="eastAsia"/>
            <w:noProof/>
            <w:sz w:val="28"/>
          </w:rPr>
          <w:fldChar w:fldCharType="end"/>
        </w:r>
      </w:hyperlink>
    </w:p>
    <w:p w14:paraId="5DBED9B1" w14:textId="650A12FF" w:rsidR="00E5713C" w:rsidRDefault="008D07A2">
      <w:pPr>
        <w:pStyle w:val="21"/>
        <w:tabs>
          <w:tab w:val="right" w:leader="dot" w:pos="8494"/>
        </w:tabs>
        <w:spacing w:line="180" w:lineRule="auto"/>
        <w:rPr>
          <w:rFonts w:ascii="彩虹粗仿宋" w:eastAsia="彩虹粗仿宋" w:hAnsi="宋体"/>
          <w:noProof/>
          <w:sz w:val="28"/>
        </w:rPr>
      </w:pPr>
      <w:hyperlink w:anchor="_Toc124325892" w:history="1">
        <w:r w:rsidR="00441401">
          <w:rPr>
            <w:rStyle w:val="af2"/>
            <w:rFonts w:ascii="彩虹粗仿宋" w:eastAsia="彩虹粗仿宋" w:hAnsi="宋体" w:hint="eastAsia"/>
            <w:noProof/>
            <w:color w:val="auto"/>
            <w:sz w:val="28"/>
            <w:szCs w:val="32"/>
            <w:u w:val="none"/>
          </w:rPr>
          <w:t>八、基金资产净值计算和会计核算</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_Toc124325892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20</w:t>
        </w:r>
        <w:r w:rsidR="00441401">
          <w:rPr>
            <w:rFonts w:ascii="彩虹粗仿宋" w:eastAsia="彩虹粗仿宋" w:hAnsi="宋体" w:hint="eastAsia"/>
            <w:noProof/>
            <w:sz w:val="28"/>
          </w:rPr>
          <w:fldChar w:fldCharType="end"/>
        </w:r>
      </w:hyperlink>
    </w:p>
    <w:p w14:paraId="7DB24E03" w14:textId="556FD3A4" w:rsidR="00E5713C" w:rsidRDefault="008D07A2">
      <w:pPr>
        <w:pStyle w:val="21"/>
        <w:tabs>
          <w:tab w:val="right" w:leader="dot" w:pos="8494"/>
        </w:tabs>
        <w:spacing w:line="180" w:lineRule="auto"/>
        <w:rPr>
          <w:rFonts w:ascii="彩虹粗仿宋" w:eastAsia="彩虹粗仿宋" w:hAnsi="宋体"/>
          <w:noProof/>
          <w:sz w:val="28"/>
        </w:rPr>
      </w:pPr>
      <w:hyperlink w:anchor="_Toc124325893" w:history="1">
        <w:r w:rsidR="00441401">
          <w:rPr>
            <w:rStyle w:val="af2"/>
            <w:rFonts w:ascii="彩虹粗仿宋" w:eastAsia="彩虹粗仿宋" w:hAnsi="宋体" w:hint="eastAsia"/>
            <w:noProof/>
            <w:color w:val="auto"/>
            <w:sz w:val="28"/>
            <w:szCs w:val="32"/>
            <w:u w:val="none"/>
          </w:rPr>
          <w:t>九、基金收益分配</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_Toc124325893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25</w:t>
        </w:r>
        <w:r w:rsidR="00441401">
          <w:rPr>
            <w:rFonts w:ascii="彩虹粗仿宋" w:eastAsia="彩虹粗仿宋" w:hAnsi="宋体" w:hint="eastAsia"/>
            <w:noProof/>
            <w:sz w:val="28"/>
          </w:rPr>
          <w:fldChar w:fldCharType="end"/>
        </w:r>
      </w:hyperlink>
    </w:p>
    <w:p w14:paraId="3C67CCD0" w14:textId="07E67DB3" w:rsidR="00E5713C" w:rsidRDefault="008D07A2">
      <w:pPr>
        <w:pStyle w:val="21"/>
        <w:tabs>
          <w:tab w:val="right" w:leader="dot" w:pos="8494"/>
        </w:tabs>
        <w:spacing w:line="180" w:lineRule="auto"/>
        <w:rPr>
          <w:rFonts w:ascii="彩虹粗仿宋" w:eastAsia="彩虹粗仿宋" w:hAnsi="宋体"/>
          <w:noProof/>
          <w:sz w:val="28"/>
        </w:rPr>
      </w:pPr>
      <w:hyperlink w:anchor="_Toc124325894" w:history="1">
        <w:r w:rsidR="00441401">
          <w:rPr>
            <w:rStyle w:val="af2"/>
            <w:rFonts w:ascii="彩虹粗仿宋" w:eastAsia="彩虹粗仿宋" w:hAnsi="宋体" w:hint="eastAsia"/>
            <w:noProof/>
            <w:color w:val="auto"/>
            <w:sz w:val="28"/>
            <w:szCs w:val="32"/>
            <w:u w:val="none"/>
          </w:rPr>
          <w:t>十、基金信息披露</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_Toc124325894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26</w:t>
        </w:r>
        <w:r w:rsidR="00441401">
          <w:rPr>
            <w:rFonts w:ascii="彩虹粗仿宋" w:eastAsia="彩虹粗仿宋" w:hAnsi="宋体" w:hint="eastAsia"/>
            <w:noProof/>
            <w:sz w:val="28"/>
          </w:rPr>
          <w:fldChar w:fldCharType="end"/>
        </w:r>
      </w:hyperlink>
    </w:p>
    <w:p w14:paraId="75292DFD" w14:textId="73AAF218" w:rsidR="00E5713C" w:rsidRDefault="008D07A2">
      <w:pPr>
        <w:pStyle w:val="21"/>
        <w:tabs>
          <w:tab w:val="right" w:leader="dot" w:pos="8494"/>
        </w:tabs>
        <w:spacing w:line="180" w:lineRule="auto"/>
        <w:rPr>
          <w:rFonts w:ascii="彩虹粗仿宋" w:eastAsia="彩虹粗仿宋" w:hAnsi="宋体"/>
          <w:noProof/>
          <w:sz w:val="28"/>
        </w:rPr>
      </w:pPr>
      <w:hyperlink w:anchor="_Toc124325895" w:history="1">
        <w:r w:rsidR="00441401">
          <w:rPr>
            <w:rStyle w:val="af2"/>
            <w:rFonts w:ascii="彩虹粗仿宋" w:eastAsia="彩虹粗仿宋" w:hAnsi="宋体" w:hint="eastAsia"/>
            <w:noProof/>
            <w:color w:val="auto"/>
            <w:sz w:val="28"/>
            <w:szCs w:val="32"/>
            <w:u w:val="none"/>
          </w:rPr>
          <w:t>十一、基金费用</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_Toc124325895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28</w:t>
        </w:r>
        <w:r w:rsidR="00441401">
          <w:rPr>
            <w:rFonts w:ascii="彩虹粗仿宋" w:eastAsia="彩虹粗仿宋" w:hAnsi="宋体" w:hint="eastAsia"/>
            <w:noProof/>
            <w:sz w:val="28"/>
          </w:rPr>
          <w:fldChar w:fldCharType="end"/>
        </w:r>
      </w:hyperlink>
    </w:p>
    <w:p w14:paraId="47D6285D" w14:textId="70624C8F" w:rsidR="00E5713C" w:rsidRDefault="008D07A2">
      <w:pPr>
        <w:pStyle w:val="21"/>
        <w:tabs>
          <w:tab w:val="right" w:leader="dot" w:pos="8494"/>
        </w:tabs>
        <w:spacing w:line="180" w:lineRule="auto"/>
        <w:rPr>
          <w:rFonts w:ascii="彩虹粗仿宋" w:eastAsia="彩虹粗仿宋" w:hAnsi="宋体"/>
          <w:noProof/>
          <w:sz w:val="28"/>
        </w:rPr>
      </w:pPr>
      <w:hyperlink w:anchor="_Toc124325896" w:history="1">
        <w:r w:rsidR="00441401">
          <w:rPr>
            <w:rStyle w:val="af2"/>
            <w:rFonts w:ascii="彩虹粗仿宋" w:eastAsia="彩虹粗仿宋" w:hAnsi="宋体" w:hint="eastAsia"/>
            <w:noProof/>
            <w:color w:val="auto"/>
            <w:sz w:val="28"/>
            <w:szCs w:val="32"/>
            <w:u w:val="none"/>
          </w:rPr>
          <w:t>十二、基金份额持有人名册的保管</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_Toc124325896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30</w:t>
        </w:r>
        <w:r w:rsidR="00441401">
          <w:rPr>
            <w:rFonts w:ascii="彩虹粗仿宋" w:eastAsia="彩虹粗仿宋" w:hAnsi="宋体" w:hint="eastAsia"/>
            <w:noProof/>
            <w:sz w:val="28"/>
          </w:rPr>
          <w:fldChar w:fldCharType="end"/>
        </w:r>
      </w:hyperlink>
    </w:p>
    <w:p w14:paraId="7DD74F86" w14:textId="369501DC" w:rsidR="00E5713C" w:rsidRDefault="008D07A2">
      <w:pPr>
        <w:pStyle w:val="21"/>
        <w:tabs>
          <w:tab w:val="right" w:leader="dot" w:pos="8494"/>
        </w:tabs>
        <w:spacing w:line="180" w:lineRule="auto"/>
        <w:rPr>
          <w:rFonts w:ascii="彩虹粗仿宋" w:eastAsia="彩虹粗仿宋" w:hAnsi="宋体"/>
          <w:noProof/>
          <w:sz w:val="28"/>
        </w:rPr>
      </w:pPr>
      <w:hyperlink w:anchor="_Toc124325897" w:history="1">
        <w:r w:rsidR="00441401">
          <w:rPr>
            <w:rStyle w:val="af2"/>
            <w:rFonts w:ascii="彩虹粗仿宋" w:eastAsia="彩虹粗仿宋" w:hAnsi="宋体" w:hint="eastAsia"/>
            <w:noProof/>
            <w:color w:val="auto"/>
            <w:sz w:val="28"/>
            <w:szCs w:val="32"/>
            <w:u w:val="none"/>
          </w:rPr>
          <w:t>十三、基金有关文件档案的保存</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_Toc124325897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30</w:t>
        </w:r>
        <w:r w:rsidR="00441401">
          <w:rPr>
            <w:rFonts w:ascii="彩虹粗仿宋" w:eastAsia="彩虹粗仿宋" w:hAnsi="宋体" w:hint="eastAsia"/>
            <w:noProof/>
            <w:sz w:val="28"/>
          </w:rPr>
          <w:fldChar w:fldCharType="end"/>
        </w:r>
      </w:hyperlink>
    </w:p>
    <w:p w14:paraId="4812BC6B" w14:textId="24B30573" w:rsidR="00E5713C" w:rsidRDefault="008D07A2">
      <w:pPr>
        <w:pStyle w:val="21"/>
        <w:tabs>
          <w:tab w:val="right" w:leader="dot" w:pos="8494"/>
        </w:tabs>
        <w:spacing w:line="180" w:lineRule="auto"/>
        <w:rPr>
          <w:rFonts w:ascii="彩虹粗仿宋" w:eastAsia="彩虹粗仿宋" w:hAnsi="宋体"/>
          <w:noProof/>
          <w:sz w:val="28"/>
        </w:rPr>
      </w:pPr>
      <w:hyperlink w:anchor="_Toc124325898" w:history="1">
        <w:r w:rsidR="00441401">
          <w:rPr>
            <w:rStyle w:val="af2"/>
            <w:rFonts w:ascii="彩虹粗仿宋" w:eastAsia="彩虹粗仿宋" w:hAnsi="宋体" w:hint="eastAsia"/>
            <w:noProof/>
            <w:color w:val="auto"/>
            <w:sz w:val="28"/>
            <w:szCs w:val="32"/>
            <w:u w:val="none"/>
          </w:rPr>
          <w:t>十四、基金管理人和基金托管人的更换</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_Toc124325898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31</w:t>
        </w:r>
        <w:r w:rsidR="00441401">
          <w:rPr>
            <w:rFonts w:ascii="彩虹粗仿宋" w:eastAsia="彩虹粗仿宋" w:hAnsi="宋体" w:hint="eastAsia"/>
            <w:noProof/>
            <w:sz w:val="28"/>
          </w:rPr>
          <w:fldChar w:fldCharType="end"/>
        </w:r>
      </w:hyperlink>
    </w:p>
    <w:p w14:paraId="11D32EB7" w14:textId="22511C3A" w:rsidR="00E5713C" w:rsidRDefault="008D07A2">
      <w:pPr>
        <w:pStyle w:val="21"/>
        <w:tabs>
          <w:tab w:val="right" w:leader="dot" w:pos="8494"/>
        </w:tabs>
        <w:spacing w:line="180" w:lineRule="auto"/>
        <w:rPr>
          <w:rFonts w:ascii="彩虹粗仿宋" w:eastAsia="彩虹粗仿宋" w:hAnsi="宋体"/>
          <w:noProof/>
          <w:sz w:val="28"/>
        </w:rPr>
      </w:pPr>
      <w:hyperlink w:anchor="_Toc124325899" w:history="1">
        <w:r w:rsidR="00441401">
          <w:rPr>
            <w:rStyle w:val="af2"/>
            <w:rFonts w:ascii="彩虹粗仿宋" w:eastAsia="彩虹粗仿宋" w:hAnsi="宋体" w:hint="eastAsia"/>
            <w:noProof/>
            <w:color w:val="auto"/>
            <w:sz w:val="28"/>
            <w:szCs w:val="32"/>
            <w:u w:val="none"/>
          </w:rPr>
          <w:t>十五、禁止行为</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_Toc124325899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33</w:t>
        </w:r>
        <w:r w:rsidR="00441401">
          <w:rPr>
            <w:rFonts w:ascii="彩虹粗仿宋" w:eastAsia="彩虹粗仿宋" w:hAnsi="宋体" w:hint="eastAsia"/>
            <w:noProof/>
            <w:sz w:val="28"/>
          </w:rPr>
          <w:fldChar w:fldCharType="end"/>
        </w:r>
      </w:hyperlink>
    </w:p>
    <w:p w14:paraId="6DB3CDC9" w14:textId="368242AA" w:rsidR="00E5713C" w:rsidRDefault="008D07A2">
      <w:pPr>
        <w:pStyle w:val="21"/>
        <w:tabs>
          <w:tab w:val="right" w:leader="dot" w:pos="8494"/>
        </w:tabs>
        <w:spacing w:line="180" w:lineRule="auto"/>
        <w:rPr>
          <w:rFonts w:ascii="彩虹粗仿宋" w:eastAsia="彩虹粗仿宋" w:hAnsi="宋体"/>
          <w:noProof/>
          <w:sz w:val="28"/>
        </w:rPr>
      </w:pPr>
      <w:hyperlink w:anchor="_Toc124325900" w:history="1">
        <w:r w:rsidR="00441401">
          <w:rPr>
            <w:rStyle w:val="af2"/>
            <w:rFonts w:ascii="彩虹粗仿宋" w:eastAsia="彩虹粗仿宋" w:hAnsi="宋体" w:hint="eastAsia"/>
            <w:noProof/>
            <w:color w:val="auto"/>
            <w:sz w:val="28"/>
            <w:szCs w:val="32"/>
            <w:u w:val="none"/>
          </w:rPr>
          <w:t>十六、托管协议的变更、终止与基金财产的清算</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_Toc124325900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34</w:t>
        </w:r>
        <w:r w:rsidR="00441401">
          <w:rPr>
            <w:rFonts w:ascii="彩虹粗仿宋" w:eastAsia="彩虹粗仿宋" w:hAnsi="宋体" w:hint="eastAsia"/>
            <w:noProof/>
            <w:sz w:val="28"/>
          </w:rPr>
          <w:fldChar w:fldCharType="end"/>
        </w:r>
      </w:hyperlink>
    </w:p>
    <w:p w14:paraId="25EA97C6" w14:textId="6D4D0D40" w:rsidR="00E5713C" w:rsidRDefault="008D07A2">
      <w:pPr>
        <w:pStyle w:val="21"/>
        <w:tabs>
          <w:tab w:val="right" w:leader="dot" w:pos="8494"/>
        </w:tabs>
        <w:spacing w:line="180" w:lineRule="auto"/>
        <w:rPr>
          <w:rFonts w:ascii="彩虹粗仿宋" w:eastAsia="彩虹粗仿宋" w:hAnsi="宋体"/>
          <w:noProof/>
          <w:sz w:val="28"/>
        </w:rPr>
      </w:pPr>
      <w:hyperlink w:anchor="_Toc124325901" w:history="1">
        <w:r w:rsidR="00441401">
          <w:rPr>
            <w:rStyle w:val="af2"/>
            <w:rFonts w:ascii="彩虹粗仿宋" w:eastAsia="彩虹粗仿宋" w:hAnsi="宋体" w:hint="eastAsia"/>
            <w:noProof/>
            <w:color w:val="auto"/>
            <w:sz w:val="28"/>
            <w:szCs w:val="32"/>
            <w:u w:val="none"/>
          </w:rPr>
          <w:t>十七、违约责任</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_Toc124325901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35</w:t>
        </w:r>
        <w:r w:rsidR="00441401">
          <w:rPr>
            <w:rFonts w:ascii="彩虹粗仿宋" w:eastAsia="彩虹粗仿宋" w:hAnsi="宋体" w:hint="eastAsia"/>
            <w:noProof/>
            <w:sz w:val="28"/>
          </w:rPr>
          <w:fldChar w:fldCharType="end"/>
        </w:r>
      </w:hyperlink>
    </w:p>
    <w:p w14:paraId="33CD553B" w14:textId="48F65627" w:rsidR="00E5713C" w:rsidRDefault="008D07A2">
      <w:pPr>
        <w:pStyle w:val="21"/>
        <w:tabs>
          <w:tab w:val="right" w:leader="dot" w:pos="8494"/>
        </w:tabs>
        <w:spacing w:line="180" w:lineRule="auto"/>
        <w:rPr>
          <w:rFonts w:ascii="彩虹粗仿宋" w:eastAsia="彩虹粗仿宋" w:hAnsi="宋体"/>
          <w:noProof/>
          <w:sz w:val="28"/>
        </w:rPr>
      </w:pPr>
      <w:hyperlink w:anchor="_Toc124325902" w:history="1">
        <w:r w:rsidR="00441401">
          <w:rPr>
            <w:rStyle w:val="af2"/>
            <w:rFonts w:ascii="彩虹粗仿宋" w:eastAsia="彩虹粗仿宋" w:hAnsi="宋体" w:hint="eastAsia"/>
            <w:noProof/>
            <w:color w:val="auto"/>
            <w:sz w:val="28"/>
            <w:szCs w:val="32"/>
            <w:u w:val="none"/>
          </w:rPr>
          <w:t>十八、争议解决方式</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_Toc124325902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36</w:t>
        </w:r>
        <w:r w:rsidR="00441401">
          <w:rPr>
            <w:rFonts w:ascii="彩虹粗仿宋" w:eastAsia="彩虹粗仿宋" w:hAnsi="宋体" w:hint="eastAsia"/>
            <w:noProof/>
            <w:sz w:val="28"/>
          </w:rPr>
          <w:fldChar w:fldCharType="end"/>
        </w:r>
      </w:hyperlink>
    </w:p>
    <w:p w14:paraId="674B8B27" w14:textId="3F78066A" w:rsidR="00E5713C" w:rsidRDefault="008D07A2">
      <w:pPr>
        <w:pStyle w:val="21"/>
        <w:tabs>
          <w:tab w:val="right" w:leader="dot" w:pos="8494"/>
        </w:tabs>
        <w:spacing w:line="180" w:lineRule="auto"/>
        <w:rPr>
          <w:rFonts w:ascii="彩虹粗仿宋" w:eastAsia="彩虹粗仿宋" w:hAnsi="宋体"/>
          <w:noProof/>
          <w:sz w:val="28"/>
        </w:rPr>
      </w:pPr>
      <w:hyperlink w:anchor="_Toc124325903" w:history="1">
        <w:r w:rsidR="00441401">
          <w:rPr>
            <w:rStyle w:val="af2"/>
            <w:rFonts w:ascii="彩虹粗仿宋" w:eastAsia="彩虹粗仿宋" w:hAnsi="宋体" w:hint="eastAsia"/>
            <w:noProof/>
            <w:color w:val="auto"/>
            <w:sz w:val="28"/>
            <w:szCs w:val="32"/>
            <w:u w:val="none"/>
          </w:rPr>
          <w:t>十九、托管协议的效力</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_Toc124325903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37</w:t>
        </w:r>
        <w:r w:rsidR="00441401">
          <w:rPr>
            <w:rFonts w:ascii="彩虹粗仿宋" w:eastAsia="彩虹粗仿宋" w:hAnsi="宋体" w:hint="eastAsia"/>
            <w:noProof/>
            <w:sz w:val="28"/>
          </w:rPr>
          <w:fldChar w:fldCharType="end"/>
        </w:r>
      </w:hyperlink>
    </w:p>
    <w:p w14:paraId="58264563" w14:textId="047DEA9F" w:rsidR="00E5713C" w:rsidRDefault="008D07A2">
      <w:pPr>
        <w:pStyle w:val="21"/>
        <w:tabs>
          <w:tab w:val="right" w:leader="dot" w:pos="8494"/>
        </w:tabs>
        <w:spacing w:line="180" w:lineRule="auto"/>
        <w:rPr>
          <w:rFonts w:ascii="彩虹粗仿宋" w:eastAsia="彩虹粗仿宋" w:hAnsi="宋体"/>
          <w:noProof/>
          <w:sz w:val="28"/>
        </w:rPr>
      </w:pPr>
      <w:hyperlink w:anchor="_Toc124325904" w:history="1">
        <w:r w:rsidR="00441401">
          <w:rPr>
            <w:rStyle w:val="af2"/>
            <w:rFonts w:ascii="彩虹粗仿宋" w:eastAsia="彩虹粗仿宋" w:hAnsi="宋体" w:hint="eastAsia"/>
            <w:noProof/>
            <w:color w:val="auto"/>
            <w:sz w:val="28"/>
            <w:szCs w:val="32"/>
            <w:u w:val="none"/>
          </w:rPr>
          <w:t>二十、其他事项</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_Toc124325904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37</w:t>
        </w:r>
        <w:r w:rsidR="00441401">
          <w:rPr>
            <w:rFonts w:ascii="彩虹粗仿宋" w:eastAsia="彩虹粗仿宋" w:hAnsi="宋体" w:hint="eastAsia"/>
            <w:noProof/>
            <w:sz w:val="28"/>
          </w:rPr>
          <w:fldChar w:fldCharType="end"/>
        </w:r>
      </w:hyperlink>
    </w:p>
    <w:p w14:paraId="4F40C839" w14:textId="3DCC8D99" w:rsidR="00E5713C" w:rsidRDefault="008D07A2">
      <w:pPr>
        <w:pStyle w:val="21"/>
        <w:tabs>
          <w:tab w:val="right" w:leader="dot" w:pos="8494"/>
        </w:tabs>
        <w:spacing w:line="180" w:lineRule="auto"/>
        <w:rPr>
          <w:rFonts w:ascii="彩虹粗仿宋" w:eastAsia="彩虹粗仿宋" w:hAnsi="宋体"/>
          <w:noProof/>
          <w:sz w:val="28"/>
        </w:rPr>
      </w:pPr>
      <w:hyperlink w:anchor="_Toc124325905" w:history="1">
        <w:r w:rsidR="00441401">
          <w:rPr>
            <w:rStyle w:val="af2"/>
            <w:rFonts w:ascii="彩虹粗仿宋" w:eastAsia="彩虹粗仿宋" w:hAnsi="宋体" w:hint="eastAsia"/>
            <w:noProof/>
            <w:color w:val="auto"/>
            <w:sz w:val="28"/>
            <w:szCs w:val="32"/>
            <w:u w:val="none"/>
          </w:rPr>
          <w:t>二十一、托管协议的签订</w:t>
        </w:r>
        <w:r w:rsidR="00441401">
          <w:rPr>
            <w:rFonts w:ascii="彩虹粗仿宋" w:eastAsia="彩虹粗仿宋" w:hAnsi="宋体" w:hint="eastAsia"/>
            <w:noProof/>
            <w:sz w:val="28"/>
          </w:rPr>
          <w:tab/>
        </w:r>
        <w:r w:rsidR="00441401">
          <w:rPr>
            <w:rFonts w:ascii="彩虹粗仿宋" w:eastAsia="彩虹粗仿宋" w:hAnsi="宋体" w:hint="eastAsia"/>
            <w:noProof/>
            <w:sz w:val="28"/>
          </w:rPr>
          <w:fldChar w:fldCharType="begin"/>
        </w:r>
        <w:r w:rsidR="00441401">
          <w:rPr>
            <w:rFonts w:ascii="彩虹粗仿宋" w:eastAsia="彩虹粗仿宋" w:hAnsi="宋体" w:hint="eastAsia"/>
            <w:noProof/>
            <w:sz w:val="28"/>
          </w:rPr>
          <w:instrText xml:space="preserve"> PAGEREF _Toc124325905 \h </w:instrText>
        </w:r>
        <w:r w:rsidR="00441401">
          <w:rPr>
            <w:rFonts w:ascii="彩虹粗仿宋" w:eastAsia="彩虹粗仿宋" w:hAnsi="宋体" w:hint="eastAsia"/>
            <w:noProof/>
            <w:sz w:val="28"/>
          </w:rPr>
        </w:r>
        <w:r w:rsidR="00441401">
          <w:rPr>
            <w:rFonts w:ascii="彩虹粗仿宋" w:eastAsia="彩虹粗仿宋" w:hAnsi="宋体" w:hint="eastAsia"/>
            <w:noProof/>
            <w:sz w:val="28"/>
          </w:rPr>
          <w:fldChar w:fldCharType="separate"/>
        </w:r>
        <w:r w:rsidR="00AF6970">
          <w:rPr>
            <w:rFonts w:ascii="彩虹粗仿宋" w:eastAsia="彩虹粗仿宋" w:hAnsi="宋体"/>
            <w:noProof/>
            <w:sz w:val="28"/>
          </w:rPr>
          <w:t>37</w:t>
        </w:r>
        <w:r w:rsidR="00441401">
          <w:rPr>
            <w:rFonts w:ascii="彩虹粗仿宋" w:eastAsia="彩虹粗仿宋" w:hAnsi="宋体" w:hint="eastAsia"/>
            <w:noProof/>
            <w:sz w:val="28"/>
          </w:rPr>
          <w:fldChar w:fldCharType="end"/>
        </w:r>
      </w:hyperlink>
    </w:p>
    <w:p w14:paraId="034E03B5" w14:textId="77777777" w:rsidR="00E5713C" w:rsidRDefault="00441401">
      <w:pPr>
        <w:rPr>
          <w:rFonts w:ascii="彩虹粗仿宋" w:eastAsia="彩虹粗仿宋"/>
          <w:sz w:val="24"/>
        </w:rPr>
      </w:pPr>
      <w:r>
        <w:rPr>
          <w:rFonts w:ascii="彩虹粗仿宋" w:eastAsia="彩虹粗仿宋" w:hAnsi="宋体" w:hint="eastAsia"/>
          <w:sz w:val="28"/>
        </w:rPr>
        <w:fldChar w:fldCharType="end"/>
      </w:r>
    </w:p>
    <w:p w14:paraId="62F0F7CA" w14:textId="316DFA69" w:rsidR="00E5713C" w:rsidRDefault="00441401">
      <w:pPr>
        <w:widowControl/>
        <w:adjustRightInd w:val="0"/>
        <w:snapToGrid w:val="0"/>
        <w:ind w:firstLineChars="200" w:firstLine="480"/>
        <w:rPr>
          <w:rFonts w:ascii="彩虹粗仿宋" w:eastAsia="彩虹粗仿宋" w:hAnsi="宋体" w:cs="Arial"/>
          <w:kern w:val="0"/>
          <w:sz w:val="24"/>
        </w:rPr>
      </w:pPr>
      <w:r>
        <w:rPr>
          <w:rFonts w:ascii="彩虹粗仿宋" w:eastAsia="彩虹粗仿宋" w:hAnsi="宋体" w:cs="Arial" w:hint="eastAsia"/>
          <w:kern w:val="0"/>
          <w:sz w:val="24"/>
        </w:rPr>
        <w:t>鉴于</w:t>
      </w:r>
      <w:r>
        <w:rPr>
          <w:rFonts w:ascii="彩虹粗仿宋" w:eastAsia="彩虹粗仿宋" w:hAnsi="宋体" w:cs="Arial" w:hint="eastAsia"/>
          <w:sz w:val="24"/>
        </w:rPr>
        <w:t>南方基金管理股份有限公司</w:t>
      </w:r>
      <w:r>
        <w:rPr>
          <w:rFonts w:ascii="彩虹粗仿宋" w:eastAsia="彩虹粗仿宋" w:hAnsi="宋体" w:cs="Arial" w:hint="eastAsia"/>
          <w:kern w:val="0"/>
          <w:sz w:val="24"/>
        </w:rPr>
        <w:t>系一家依照中国法律合法成立并有效存续的股份有限公司，按照相关法律法规的规定具备担任基金管理人的资格和能力，拟募集发行</w:t>
      </w:r>
      <w:r>
        <w:rPr>
          <w:rFonts w:ascii="彩虹粗仿宋" w:eastAsia="彩虹粗仿宋" w:hAnsi="宋体" w:cs="Arial" w:hint="eastAsia"/>
          <w:sz w:val="24"/>
        </w:rPr>
        <w:t>南方创业板人工智能交易型开放式指数证券投资基金联接基金</w:t>
      </w:r>
      <w:r>
        <w:rPr>
          <w:rFonts w:ascii="彩虹粗仿宋" w:eastAsia="彩虹粗仿宋" w:hAnsi="宋体" w:cs="Arial" w:hint="eastAsia"/>
          <w:kern w:val="0"/>
          <w:sz w:val="24"/>
        </w:rPr>
        <w:t>；</w:t>
      </w:r>
    </w:p>
    <w:p w14:paraId="515EF3B3" w14:textId="77777777" w:rsidR="00E5713C" w:rsidRDefault="00441401">
      <w:pPr>
        <w:widowControl/>
        <w:adjustRightInd w:val="0"/>
        <w:snapToGrid w:val="0"/>
        <w:ind w:firstLineChars="200" w:firstLine="480"/>
        <w:rPr>
          <w:rFonts w:ascii="彩虹粗仿宋" w:eastAsia="彩虹粗仿宋" w:hAnsi="宋体" w:cs="Arial"/>
          <w:kern w:val="0"/>
          <w:sz w:val="24"/>
        </w:rPr>
      </w:pPr>
      <w:r>
        <w:rPr>
          <w:rFonts w:ascii="彩虹粗仿宋" w:eastAsia="彩虹粗仿宋" w:hAnsi="宋体" w:cs="Arial" w:hint="eastAsia"/>
          <w:kern w:val="0"/>
          <w:sz w:val="24"/>
        </w:rPr>
        <w:t>鉴于中国建设银行股份有限公司系一家依照中国法律合法成立并有效存续的银行，按照相关法律法规的规定具备担任基金托管人的资格和能力；</w:t>
      </w:r>
    </w:p>
    <w:p w14:paraId="42B7F969" w14:textId="37D214E9" w:rsidR="00E5713C" w:rsidRDefault="00441401">
      <w:pPr>
        <w:widowControl/>
        <w:adjustRightInd w:val="0"/>
        <w:snapToGrid w:val="0"/>
        <w:ind w:firstLineChars="200" w:firstLine="480"/>
        <w:rPr>
          <w:rFonts w:ascii="彩虹粗仿宋" w:eastAsia="彩虹粗仿宋" w:hAnsi="宋体" w:cs="Arial"/>
          <w:kern w:val="0"/>
          <w:sz w:val="24"/>
        </w:rPr>
      </w:pPr>
      <w:r>
        <w:rPr>
          <w:rFonts w:ascii="彩虹粗仿宋" w:eastAsia="彩虹粗仿宋" w:hAnsi="宋体" w:cs="Arial" w:hint="eastAsia"/>
          <w:kern w:val="0"/>
          <w:sz w:val="24"/>
        </w:rPr>
        <w:t>鉴于</w:t>
      </w:r>
      <w:r>
        <w:rPr>
          <w:rFonts w:ascii="彩虹粗仿宋" w:eastAsia="彩虹粗仿宋" w:hAnsi="宋体" w:cs="Arial" w:hint="eastAsia"/>
          <w:sz w:val="24"/>
        </w:rPr>
        <w:t>南方基金管理股份有限公司</w:t>
      </w:r>
      <w:r>
        <w:rPr>
          <w:rFonts w:ascii="彩虹粗仿宋" w:eastAsia="彩虹粗仿宋" w:hAnsi="宋体" w:cs="Arial" w:hint="eastAsia"/>
          <w:kern w:val="0"/>
          <w:sz w:val="24"/>
        </w:rPr>
        <w:t>拟担任</w:t>
      </w:r>
      <w:r>
        <w:rPr>
          <w:rFonts w:ascii="彩虹粗仿宋" w:eastAsia="彩虹粗仿宋" w:hAnsi="宋体" w:cs="Arial" w:hint="eastAsia"/>
          <w:sz w:val="24"/>
        </w:rPr>
        <w:t>南方创业板人工智能交易型开放式指数证券投资基金联接基金</w:t>
      </w:r>
      <w:r>
        <w:rPr>
          <w:rFonts w:ascii="彩虹粗仿宋" w:eastAsia="彩虹粗仿宋" w:hAnsi="宋体" w:cs="Arial" w:hint="eastAsia"/>
          <w:kern w:val="0"/>
          <w:sz w:val="24"/>
        </w:rPr>
        <w:t>的基金管理人，中国建设银行股份有限公司拟担任</w:t>
      </w:r>
      <w:r>
        <w:rPr>
          <w:rFonts w:ascii="彩虹粗仿宋" w:eastAsia="彩虹粗仿宋" w:hAnsi="宋体" w:cs="Arial" w:hint="eastAsia"/>
          <w:sz w:val="24"/>
        </w:rPr>
        <w:t>南方创业板人工智能交易型开放式指数证券投资基金联接基金</w:t>
      </w:r>
      <w:r>
        <w:rPr>
          <w:rFonts w:ascii="彩虹粗仿宋" w:eastAsia="彩虹粗仿宋" w:hAnsi="宋体" w:cs="Arial" w:hint="eastAsia"/>
          <w:kern w:val="0"/>
          <w:sz w:val="24"/>
        </w:rPr>
        <w:t>的基金托管人；</w:t>
      </w:r>
    </w:p>
    <w:p w14:paraId="26E813C1" w14:textId="11790F3B" w:rsidR="00E5713C" w:rsidRDefault="00441401">
      <w:pPr>
        <w:widowControl/>
        <w:adjustRightInd w:val="0"/>
        <w:snapToGrid w:val="0"/>
        <w:ind w:firstLineChars="200" w:firstLine="480"/>
        <w:rPr>
          <w:rFonts w:ascii="彩虹粗仿宋" w:eastAsia="彩虹粗仿宋" w:hAnsi="宋体" w:cs="Arial"/>
          <w:kern w:val="0"/>
          <w:sz w:val="24"/>
        </w:rPr>
      </w:pPr>
      <w:r>
        <w:rPr>
          <w:rFonts w:ascii="彩虹粗仿宋" w:eastAsia="彩虹粗仿宋" w:hAnsi="宋体" w:cs="Arial" w:hint="eastAsia"/>
          <w:kern w:val="0"/>
          <w:sz w:val="24"/>
        </w:rPr>
        <w:t>为明确</w:t>
      </w:r>
      <w:r>
        <w:rPr>
          <w:rFonts w:ascii="彩虹粗仿宋" w:eastAsia="彩虹粗仿宋" w:hAnsi="宋体" w:cs="Arial" w:hint="eastAsia"/>
          <w:sz w:val="24"/>
        </w:rPr>
        <w:t>南方创业板人工智能交易型开放式指数证券投资基金联接基金</w:t>
      </w:r>
      <w:r>
        <w:rPr>
          <w:rFonts w:ascii="彩虹粗仿宋" w:eastAsia="彩虹粗仿宋" w:hAnsi="宋体" w:cs="Arial" w:hint="eastAsia"/>
          <w:kern w:val="0"/>
          <w:sz w:val="24"/>
        </w:rPr>
        <w:t>的基金管理人和基金托管人之间的权利义务关系，特制订本托管协议；</w:t>
      </w:r>
    </w:p>
    <w:p w14:paraId="304A8817" w14:textId="6C4A0314" w:rsidR="00E5713C" w:rsidRDefault="00441401">
      <w:pPr>
        <w:widowControl/>
        <w:adjustRightInd w:val="0"/>
        <w:snapToGrid w:val="0"/>
        <w:ind w:firstLineChars="200" w:firstLine="480"/>
        <w:rPr>
          <w:rFonts w:ascii="彩虹粗仿宋" w:eastAsia="彩虹粗仿宋" w:hAnsi="宋体" w:cs="Arial"/>
          <w:kern w:val="0"/>
          <w:sz w:val="24"/>
          <w:lang w:val="en-GB"/>
        </w:rPr>
      </w:pPr>
      <w:r>
        <w:rPr>
          <w:rFonts w:ascii="彩虹粗仿宋" w:eastAsia="彩虹粗仿宋" w:hAnsi="宋体" w:cs="Arial" w:hint="eastAsia"/>
          <w:kern w:val="0"/>
          <w:sz w:val="24"/>
          <w:lang w:val="en-GB"/>
        </w:rPr>
        <w:t>除非另有约定，《</w:t>
      </w:r>
      <w:r>
        <w:rPr>
          <w:rFonts w:ascii="彩虹粗仿宋" w:eastAsia="彩虹粗仿宋" w:hAnsi="宋体" w:cs="Arial" w:hint="eastAsia"/>
          <w:sz w:val="24"/>
        </w:rPr>
        <w:t>南方创业板人工智能交易型开放式指数证券投资基金联接基金</w:t>
      </w:r>
      <w:r>
        <w:rPr>
          <w:rFonts w:ascii="彩虹粗仿宋" w:eastAsia="彩虹粗仿宋" w:hAnsi="宋体" w:cs="Arial" w:hint="eastAsia"/>
          <w:kern w:val="0"/>
          <w:sz w:val="24"/>
          <w:lang w:val="en-GB"/>
        </w:rPr>
        <w:t>基金合同》(以下简称“基金合同”或“《基金合同》”)中定义的术语在用于本托管协议时应具有相同的含义；若有抵触应以《基金合同》为准，并依其</w:t>
      </w:r>
      <w:r>
        <w:rPr>
          <w:rFonts w:ascii="彩虹粗仿宋" w:eastAsia="彩虹粗仿宋" w:hAnsi="宋体" w:cs="Arial" w:hint="eastAsia"/>
          <w:kern w:val="0"/>
          <w:sz w:val="24"/>
        </w:rPr>
        <w:t>条款</w:t>
      </w:r>
      <w:r>
        <w:rPr>
          <w:rFonts w:ascii="彩虹粗仿宋" w:eastAsia="彩虹粗仿宋" w:hAnsi="宋体" w:cs="Arial" w:hint="eastAsia"/>
          <w:kern w:val="0"/>
          <w:sz w:val="24"/>
          <w:lang w:val="en-GB"/>
        </w:rPr>
        <w:t>解释。</w:t>
      </w:r>
    </w:p>
    <w:p w14:paraId="36539DF1" w14:textId="77777777" w:rsidR="00E5713C" w:rsidRDefault="00441401">
      <w:pPr>
        <w:widowControl/>
        <w:adjustRightInd w:val="0"/>
        <w:snapToGrid w:val="0"/>
        <w:ind w:firstLineChars="200" w:firstLine="480"/>
        <w:rPr>
          <w:rFonts w:ascii="彩虹粗仿宋" w:eastAsia="彩虹粗仿宋" w:hAnsi="宋体" w:cs="Arial"/>
          <w:kern w:val="0"/>
          <w:sz w:val="24"/>
          <w:lang w:val="en-GB"/>
        </w:rPr>
      </w:pPr>
      <w:r>
        <w:rPr>
          <w:rFonts w:ascii="彩虹粗仿宋" w:eastAsia="彩虹粗仿宋" w:hAnsi="宋体" w:cs="Arial" w:hint="eastAsia"/>
          <w:kern w:val="0"/>
          <w:sz w:val="24"/>
          <w:lang w:val="en-GB"/>
        </w:rPr>
        <w:t>若本基金实施侧袋机制的，侧袋机制实施期间的相关安排见基金合同和招募说明书的规定。</w:t>
      </w:r>
    </w:p>
    <w:p w14:paraId="40DEFA3F" w14:textId="77777777" w:rsidR="00E5713C" w:rsidRDefault="00E5713C">
      <w:pPr>
        <w:rPr>
          <w:rFonts w:ascii="彩虹粗仿宋" w:eastAsia="彩虹粗仿宋"/>
          <w:sz w:val="24"/>
          <w:lang w:val="en-GB"/>
        </w:rPr>
      </w:pPr>
    </w:p>
    <w:p w14:paraId="4533189B" w14:textId="77777777" w:rsidR="00E5713C" w:rsidRDefault="00441401">
      <w:pPr>
        <w:pStyle w:val="2"/>
        <w:jc w:val="center"/>
        <w:rPr>
          <w:rFonts w:ascii="彩虹粗仿宋" w:eastAsia="彩虹粗仿宋"/>
        </w:rPr>
      </w:pPr>
      <w:bookmarkStart w:id="1" w:name="_Toc124325885"/>
      <w:r>
        <w:rPr>
          <w:rFonts w:ascii="彩虹粗仿宋" w:eastAsia="彩虹粗仿宋" w:hint="eastAsia"/>
        </w:rPr>
        <w:t>一、基金托管协议当事人</w:t>
      </w:r>
      <w:bookmarkEnd w:id="1"/>
    </w:p>
    <w:p w14:paraId="5443C45B" w14:textId="77777777" w:rsidR="00E5713C" w:rsidRDefault="00441401">
      <w:pPr>
        <w:ind w:firstLineChars="200" w:firstLine="480"/>
        <w:rPr>
          <w:rFonts w:ascii="彩虹粗仿宋" w:eastAsia="彩虹粗仿宋" w:hAnsi="宋体" w:cs="Arial"/>
          <w:sz w:val="24"/>
        </w:rPr>
      </w:pPr>
      <w:r>
        <w:rPr>
          <w:rFonts w:ascii="彩虹粗仿宋" w:eastAsia="彩虹粗仿宋" w:hAnsi="宋体" w:cs="Arial" w:hint="eastAsia"/>
          <w:sz w:val="24"/>
        </w:rPr>
        <w:t>（一）基金管理人</w:t>
      </w:r>
    </w:p>
    <w:p w14:paraId="46D0ACED"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名称：南方基金管理股份有限公司</w:t>
      </w:r>
    </w:p>
    <w:p w14:paraId="4E86E015"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注册地址：深圳市福田区莲花街道益田路5999号基金大厦32-42楼</w:t>
      </w:r>
    </w:p>
    <w:p w14:paraId="274F5342"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办公地址：深圳市福田区莲花街道益田路5999号基金大厦32-42楼</w:t>
      </w:r>
    </w:p>
    <w:p w14:paraId="2939C559"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邮政编码：518048</w:t>
      </w:r>
    </w:p>
    <w:p w14:paraId="2854ADEB"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法定代表人：周易</w:t>
      </w:r>
    </w:p>
    <w:p w14:paraId="53A0C7E4"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成立日期：1998年3月6日</w:t>
      </w:r>
    </w:p>
    <w:p w14:paraId="5A216685"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批准设立机关及批准设立文号：中国证券监督管理委员会证监基字[1998]4号</w:t>
      </w:r>
    </w:p>
    <w:p w14:paraId="4E66DD59"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组织形式：股份有限公司</w:t>
      </w:r>
    </w:p>
    <w:p w14:paraId="5B4681C9"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注册资本：人民币3.6172亿元</w:t>
      </w:r>
    </w:p>
    <w:p w14:paraId="3AEDEFC9"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存续期间：持续经营</w:t>
      </w:r>
    </w:p>
    <w:p w14:paraId="5514BDD9"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经营范围：基金募集、基金销售、资产管理、中国证监会许可的其他业务</w:t>
      </w:r>
    </w:p>
    <w:p w14:paraId="17C400C8"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（二）基金托管人</w:t>
      </w:r>
    </w:p>
    <w:p w14:paraId="555EAF0E"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名称：中国建设银行股份有限公司</w:t>
      </w:r>
    </w:p>
    <w:p w14:paraId="2C6E80FB"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住所：北京市西城区金融大街25号</w:t>
      </w:r>
    </w:p>
    <w:p w14:paraId="2656EF4F"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办公地址：北京市西城区闹市口大街1号院1号楼</w:t>
      </w:r>
    </w:p>
    <w:p w14:paraId="7027602B"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邮政编码：100033</w:t>
      </w:r>
    </w:p>
    <w:p w14:paraId="31A153D9"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 xml:space="preserve">法定代表人：张金良 </w:t>
      </w:r>
    </w:p>
    <w:p w14:paraId="151A79FC"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成立日期：2004年09月17日</w:t>
      </w:r>
    </w:p>
    <w:p w14:paraId="33C67D55"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批准设立机关和批准设立文号：中国银行业监督管理委员会银监复[2004]143号</w:t>
      </w:r>
    </w:p>
    <w:p w14:paraId="60C2F5FA"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基金托管业务批准文号：中国证监会证监基字[1998</w:t>
      </w:r>
      <w:bookmarkStart w:id="2" w:name="OLE_LINK3"/>
      <w:r>
        <w:rPr>
          <w:rFonts w:ascii="彩虹粗仿宋" w:eastAsia="彩虹粗仿宋" w:hAnsi="宋体" w:cs="Arial" w:hint="eastAsia"/>
          <w:sz w:val="24"/>
        </w:rPr>
        <w:t>]</w:t>
      </w:r>
      <w:bookmarkEnd w:id="2"/>
      <w:r>
        <w:rPr>
          <w:rFonts w:ascii="彩虹粗仿宋" w:eastAsia="彩虹粗仿宋" w:hAnsi="宋体" w:cs="Arial" w:hint="eastAsia"/>
          <w:sz w:val="24"/>
        </w:rPr>
        <w:t>12号</w:t>
      </w:r>
    </w:p>
    <w:p w14:paraId="32635854"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组织形式：股份有限公司</w:t>
      </w:r>
    </w:p>
    <w:p w14:paraId="2840668F"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注册资本：</w:t>
      </w:r>
      <w:r>
        <w:rPr>
          <w:rFonts w:ascii="彩虹粗仿宋" w:eastAsia="彩虹粗仿宋" w:hint="eastAsia"/>
          <w:sz w:val="24"/>
        </w:rPr>
        <w:t>贰仟伍佰亿壹仟零玖拾柒万柒仟肆佰捌拾陆元整</w:t>
      </w:r>
    </w:p>
    <w:p w14:paraId="49AB3FD6"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存续期间：持续经营</w:t>
      </w:r>
    </w:p>
    <w:p w14:paraId="49BCBDF2" w14:textId="77777777" w:rsidR="00E5713C" w:rsidRDefault="00441401">
      <w:pPr>
        <w:tabs>
          <w:tab w:val="left" w:pos="540"/>
        </w:tabs>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经营范围：吸收公众存款；发放短期、中期、长期贷款；办理国内外结算；办理票据承兑与贴现；发行金融债券；代理发行、代理兑付、承销政府债券；买卖政府债券、金融债券；从事同业拆借；买卖、代理买卖外汇；从事银行卡业务；提供信用证服务及担保；代理收付款项及代理保险业务；提供保管箱服务；经中国银行业监督管理机构等监管部门批准的其他业务。</w:t>
      </w:r>
    </w:p>
    <w:p w14:paraId="68CFD882" w14:textId="77777777" w:rsidR="00E5713C" w:rsidRDefault="00E5713C">
      <w:pPr>
        <w:rPr>
          <w:rFonts w:ascii="彩虹粗仿宋" w:eastAsia="彩虹粗仿宋"/>
          <w:sz w:val="24"/>
        </w:rPr>
      </w:pPr>
    </w:p>
    <w:p w14:paraId="08B1ED23" w14:textId="77777777" w:rsidR="00E5713C" w:rsidRDefault="00441401">
      <w:pPr>
        <w:pStyle w:val="2"/>
        <w:jc w:val="center"/>
        <w:rPr>
          <w:rFonts w:ascii="彩虹粗仿宋" w:eastAsia="彩虹粗仿宋"/>
          <w:sz w:val="30"/>
        </w:rPr>
      </w:pPr>
      <w:bookmarkStart w:id="3" w:name="_Toc124325886"/>
      <w:r>
        <w:rPr>
          <w:rFonts w:ascii="彩虹粗仿宋" w:eastAsia="彩虹粗仿宋" w:hint="eastAsia"/>
          <w:sz w:val="30"/>
        </w:rPr>
        <w:t>二、基金托管协议的依据、目的和原则</w:t>
      </w:r>
      <w:bookmarkEnd w:id="3"/>
    </w:p>
    <w:p w14:paraId="2CE31F7F" w14:textId="77777777" w:rsidR="00E5713C" w:rsidRDefault="00441401">
      <w:pPr>
        <w:adjustRightInd w:val="0"/>
        <w:snapToGrid w:val="0"/>
        <w:ind w:firstLineChars="200" w:firstLine="480"/>
        <w:rPr>
          <w:rFonts w:ascii="彩虹粗仿宋" w:eastAsia="彩虹粗仿宋"/>
          <w:sz w:val="24"/>
          <w:szCs w:val="30"/>
        </w:rPr>
      </w:pPr>
      <w:r>
        <w:rPr>
          <w:rFonts w:ascii="彩虹粗仿宋" w:eastAsia="彩虹粗仿宋" w:hAnsi="宋体" w:cs="Arial" w:hint="eastAsia"/>
          <w:sz w:val="24"/>
        </w:rPr>
        <w:t>（一）订立托管协议的依据</w:t>
      </w:r>
    </w:p>
    <w:p w14:paraId="203C256D"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本协议依据《中华人民共和国民法典》、《中华人民共和国证券法》（以下简称“《证券法》”）、《中华人民共和国证券投资基金法》(以下简称“《基金法》”)、《公开募集证券投资基金运作管理办法》（以下简称“《运作办法》”）、《公开募集证券投资基金信息披露管理办法》（以下简称“《信息披露办法》”）、</w:t>
      </w:r>
      <w:r>
        <w:rPr>
          <w:rFonts w:ascii="彩虹粗仿宋" w:eastAsia="彩虹粗仿宋" w:hAnsi="宋体" w:cs="Arial"/>
          <w:sz w:val="24"/>
        </w:rPr>
        <w:t>《公开募集开放式证券投资基金流动性风险管理规定》（以下简称</w:t>
      </w:r>
      <w:r>
        <w:rPr>
          <w:rFonts w:ascii="彩虹粗仿宋" w:eastAsia="彩虹粗仿宋" w:hAnsi="宋体" w:cs="Arial" w:hint="eastAsia"/>
          <w:sz w:val="24"/>
        </w:rPr>
        <w:t>“</w:t>
      </w:r>
      <w:r>
        <w:rPr>
          <w:rFonts w:ascii="彩虹粗仿宋" w:eastAsia="彩虹粗仿宋" w:hAnsi="宋体" w:cs="Arial"/>
          <w:sz w:val="24"/>
        </w:rPr>
        <w:t>《流动性风险</w:t>
      </w:r>
      <w:r>
        <w:rPr>
          <w:rFonts w:ascii="彩虹粗仿宋" w:eastAsia="彩虹粗仿宋" w:hAnsi="宋体" w:cs="Arial" w:hint="eastAsia"/>
          <w:sz w:val="24"/>
        </w:rPr>
        <w:t>管理</w:t>
      </w:r>
      <w:r>
        <w:rPr>
          <w:rFonts w:ascii="彩虹粗仿宋" w:eastAsia="彩虹粗仿宋" w:hAnsi="宋体" w:cs="Arial"/>
          <w:sz w:val="24"/>
        </w:rPr>
        <w:t>规定》</w:t>
      </w:r>
      <w:r>
        <w:rPr>
          <w:rFonts w:ascii="彩虹粗仿宋" w:eastAsia="彩虹粗仿宋" w:hAnsi="宋体" w:cs="Arial" w:hint="eastAsia"/>
          <w:sz w:val="24"/>
        </w:rPr>
        <w:t>”</w:t>
      </w:r>
      <w:r>
        <w:rPr>
          <w:rFonts w:ascii="彩虹粗仿宋" w:eastAsia="彩虹粗仿宋" w:hAnsi="宋体" w:cs="Arial"/>
          <w:sz w:val="24"/>
        </w:rPr>
        <w:t>）</w:t>
      </w:r>
      <w:r>
        <w:rPr>
          <w:rFonts w:ascii="彩虹粗仿宋" w:eastAsia="彩虹粗仿宋" w:hAnsi="宋体" w:cs="Arial" w:hint="eastAsia"/>
          <w:sz w:val="24"/>
        </w:rPr>
        <w:t>等有关法律法规、《基金合同》及其他有关规定制订。</w:t>
      </w:r>
    </w:p>
    <w:p w14:paraId="3E749BB7"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（二）订立托管协议的目的</w:t>
      </w:r>
    </w:p>
    <w:p w14:paraId="1A86A282" w14:textId="77777777" w:rsidR="00E5713C" w:rsidRDefault="00441401">
      <w:pPr>
        <w:adjustRightInd w:val="0"/>
        <w:snapToGrid w:val="0"/>
        <w:ind w:firstLineChars="200" w:firstLine="480"/>
        <w:rPr>
          <w:rFonts w:ascii="彩虹粗仿宋" w:eastAsia="彩虹粗仿宋"/>
          <w:sz w:val="24"/>
          <w:szCs w:val="30"/>
        </w:rPr>
      </w:pPr>
      <w:r>
        <w:rPr>
          <w:rFonts w:ascii="彩虹粗仿宋" w:eastAsia="彩虹粗仿宋" w:hAnsi="宋体" w:cs="Arial" w:hint="eastAsia"/>
          <w:sz w:val="24"/>
        </w:rPr>
        <w:t>订立本协议的目的是明确基金管理人与基金托管人之间在基金财产的保管、投资运作、净值计算、收益分配、信息披露及相互监督等相关事宜中的权利义务及职责，确保基金财产的安全，保护基金份额持有人的合法权益。</w:t>
      </w:r>
    </w:p>
    <w:p w14:paraId="3A1525B3"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（三）订立托管协议的原则</w:t>
      </w:r>
    </w:p>
    <w:p w14:paraId="58542103"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基金管理人和基金托管人本着平等自愿、诚实信用、充分保护基金份额持有人合法权益的原则，经协商一致，签订本协议。</w:t>
      </w:r>
    </w:p>
    <w:p w14:paraId="2E8359E4" w14:textId="77777777" w:rsidR="00E5713C" w:rsidRDefault="00E5713C">
      <w:pPr>
        <w:rPr>
          <w:rFonts w:ascii="彩虹粗仿宋" w:eastAsia="彩虹粗仿宋"/>
          <w:sz w:val="24"/>
        </w:rPr>
      </w:pPr>
    </w:p>
    <w:p w14:paraId="001C4597" w14:textId="77777777" w:rsidR="00E5713C" w:rsidRDefault="00441401">
      <w:pPr>
        <w:pStyle w:val="2"/>
        <w:jc w:val="center"/>
        <w:rPr>
          <w:rFonts w:ascii="彩虹粗仿宋" w:eastAsia="彩虹粗仿宋"/>
          <w:sz w:val="30"/>
          <w:szCs w:val="24"/>
        </w:rPr>
      </w:pPr>
      <w:bookmarkStart w:id="4" w:name="_Toc124325887"/>
      <w:r>
        <w:rPr>
          <w:rFonts w:ascii="彩虹粗仿宋" w:eastAsia="彩虹粗仿宋" w:hint="eastAsia"/>
          <w:sz w:val="30"/>
        </w:rPr>
        <w:t>三、基金托管人对基金管理人的业务监督和核查</w:t>
      </w:r>
      <w:bookmarkEnd w:id="4"/>
    </w:p>
    <w:p w14:paraId="57A66973" w14:textId="33337859"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（一）基金托管人根据有关法律法规的规定及《基金合同》的约定，对基金投资范围、投资对象进行监督。《基金合同》明确约定基金投资风格或证券选择标准的，基金管理人应按照基金托管人要求的格式，</w:t>
      </w:r>
      <w:r w:rsidRPr="00583A60">
        <w:rPr>
          <w:rFonts w:ascii="彩虹粗仿宋" w:eastAsia="彩虹粗仿宋" w:hAnsi="宋体" w:cs="Arial" w:hint="eastAsia"/>
          <w:sz w:val="24"/>
        </w:rPr>
        <w:t>将拟投资的标的证券库提供给基金托管人</w:t>
      </w:r>
      <w:r>
        <w:rPr>
          <w:rFonts w:ascii="彩虹粗仿宋" w:eastAsia="彩虹粗仿宋" w:hAnsi="宋体" w:cs="Arial" w:hint="eastAsia"/>
          <w:sz w:val="24"/>
        </w:rPr>
        <w:t>，基金管理人可以根据实际情况的变化，对</w:t>
      </w:r>
      <w:r w:rsidRPr="00583A60">
        <w:rPr>
          <w:rFonts w:ascii="彩虹粗仿宋" w:eastAsia="彩虹粗仿宋" w:hAnsi="宋体" w:cs="Arial" w:hint="eastAsia"/>
          <w:sz w:val="24"/>
        </w:rPr>
        <w:t>标的证券库</w:t>
      </w:r>
      <w:r>
        <w:rPr>
          <w:rFonts w:ascii="彩虹粗仿宋" w:eastAsia="彩虹粗仿宋" w:hAnsi="宋体" w:cs="Arial" w:hint="eastAsia"/>
          <w:sz w:val="24"/>
        </w:rPr>
        <w:t>予以更新和调整并及时书面通知基金托管人。基金托管人根据上述投资范围对基金实际投资是否符合《基金合同》关于证券选择标准的约定进行监督。</w:t>
      </w:r>
    </w:p>
    <w:p w14:paraId="26285871"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本基金主要投资于目标ETF基金份额、标的指数成份股、备选成份股（含存托凭证）。为更好地实现投资目标，本基金可少量投资于非成份股（包含主板、创业板及其他经中国证监会核准或注册发行的股票、存托凭证）、金融衍生品（股指期货、股票期权等）、债券（包括国债、金融债、企业债、公司债、政府机构债券、地方政府债券、次级债、可转换债券、可交换债券、央行票据、中期票据、短期融资券、超短期融资券等）、资产支持证券、债券回购、银行存款（包括协议存款、定期存款及其他银行存款）、同业存单、货币市场工具以及法律法规或中国证监会允许基金投资的其他金融工具（但须符合中国证监会的相关规定）。</w:t>
      </w:r>
    </w:p>
    <w:p w14:paraId="74D5ABFB"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本基金根据相关规定可参与融资、转融通证券出借业务。</w:t>
      </w:r>
    </w:p>
    <w:p w14:paraId="4433C095"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如法律法规或监管机构以后允许基金投资其他品种，基金管理人在履行适当程序后，可以将其纳入投资范围。</w:t>
      </w:r>
    </w:p>
    <w:p w14:paraId="1BB85D64" w14:textId="25A5FCBC"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基金的投资组合比例为：本基金投资于目标ETF的比例不低于基金资产净值的90%。每个交易日日终在扣除金融衍生品合约需缴纳的交易保证金后，现金或到期日在一年以内的政府债券的投资比例不低于基金资产净值的5%，其中现金不包括结算备付金、存出保证金、应收申购款等。</w:t>
      </w:r>
    </w:p>
    <w:p w14:paraId="0AE38ACA"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如法律法规或监管机构变更投资品种的投资比例限制，基金管理人在履行适当程序后，可以调整上述投资品种的投资比例。</w:t>
      </w:r>
    </w:p>
    <w:p w14:paraId="56502978"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（二）基金托管人根据有关法律法规的规定及《基金合同》的约定，对基金投资、融资比例进行监督。基金托管人按下述比例和调整期限进行监督：</w:t>
      </w:r>
    </w:p>
    <w:p w14:paraId="5C53C260"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（1）本基金投资于目标ETF的比例不低于基金资产净值的90%；</w:t>
      </w:r>
    </w:p>
    <w:p w14:paraId="1454B84A"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（2）每个交易日日终在扣除金融衍生品合约需缴纳的交易保证金后，现金或到期日在一年以内的政府债券的投资比例不低于基金资产净值的5％，其中现金不包括结算备付金、存出保证金、应收申购款等；</w:t>
      </w:r>
    </w:p>
    <w:p w14:paraId="112EB971"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（3）本基金投资于同一原始权益人的各类资产支持证券的比例，不得超过基金资产净值的10％；</w:t>
      </w:r>
    </w:p>
    <w:p w14:paraId="488CCD43"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（4）本基金持有的全部资产支持证券，其市值不得超过基金资产净值的20％；</w:t>
      </w:r>
    </w:p>
    <w:p w14:paraId="5CAB596E"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（5）本基金持有的同一(指同一信用级别)资产支持证券的比例，不得超过该资产支持证券规模的10％；</w:t>
      </w:r>
    </w:p>
    <w:p w14:paraId="3492C5DA"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（6）本基金管理人管理的</w:t>
      </w:r>
      <w:r w:rsidRPr="00583A60">
        <w:rPr>
          <w:rFonts w:ascii="彩虹粗仿宋" w:eastAsia="彩虹粗仿宋" w:hint="eastAsia"/>
          <w:bCs/>
          <w:sz w:val="24"/>
        </w:rPr>
        <w:t>且在本基金托管人处托管的</w:t>
      </w:r>
      <w:r>
        <w:rPr>
          <w:rFonts w:ascii="彩虹粗仿宋" w:eastAsia="彩虹粗仿宋" w:hint="eastAsia"/>
          <w:bCs/>
          <w:sz w:val="24"/>
        </w:rPr>
        <w:t>全部基金投资于同一原始权益人的各类资产支持证券，不得超过其各类资产支持证券合计规模的10％；</w:t>
      </w:r>
    </w:p>
    <w:p w14:paraId="7DBCFD74"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（7）本基金应投资于信用级别评级为BBB以上(含BBB)的资产支持证券。基金持有资产支持证券期间，如果其信用等级下降、不再符合投资标准，应在评级报告发布之日起3个月内予以全部卖出；</w:t>
      </w:r>
    </w:p>
    <w:p w14:paraId="5654535C"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（8）基金财产参与股票发行申购，本基金所申报的金额不超过本基金的总资产，本基金所申报的股票数量不超过拟发行股票公司本次发行股票的总量；</w:t>
      </w:r>
    </w:p>
    <w:p w14:paraId="7C0ED2F3"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9）本基金主动投资于流动性受限资产的市值合计不得超过基金资产净值的15%；因证券市场波动、上市公司股票停牌、基金规模变动等基金管理人之外的因素致使基金不符合前款所规定比例限制的，基金管理人不得主动新增流动性受限资产的投资；</w:t>
      </w:r>
    </w:p>
    <w:p w14:paraId="57A9CDF2" w14:textId="2862E053"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（1</w:t>
      </w:r>
      <w:r w:rsidR="00B935E5">
        <w:rPr>
          <w:rFonts w:ascii="彩虹粗仿宋" w:eastAsia="彩虹粗仿宋"/>
          <w:bCs/>
          <w:sz w:val="24"/>
        </w:rPr>
        <w:t>0</w:t>
      </w:r>
      <w:r>
        <w:rPr>
          <w:rFonts w:ascii="彩虹粗仿宋" w:eastAsia="彩虹粗仿宋" w:hint="eastAsia"/>
          <w:bCs/>
          <w:sz w:val="24"/>
        </w:rPr>
        <w:t>）本基金资产总值不超过基金资产净值的140%；</w:t>
      </w:r>
    </w:p>
    <w:p w14:paraId="284E9E2C" w14:textId="096E049F"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（1</w:t>
      </w:r>
      <w:r w:rsidR="00B935E5">
        <w:rPr>
          <w:rFonts w:ascii="彩虹粗仿宋" w:eastAsia="彩虹粗仿宋"/>
          <w:bCs/>
          <w:sz w:val="24"/>
        </w:rPr>
        <w:t>1</w:t>
      </w:r>
      <w:r>
        <w:rPr>
          <w:rFonts w:ascii="彩虹粗仿宋" w:eastAsia="彩虹粗仿宋" w:hint="eastAsia"/>
          <w:bCs/>
          <w:sz w:val="24"/>
        </w:rPr>
        <w:t>）本基金参与股指期货交易，应当符合下列投资限制：</w:t>
      </w:r>
    </w:p>
    <w:p w14:paraId="6B16CEFB"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1）本基金在任何交易日日终，持有的买入股指期货合约价值，不得超过基金资产净值的10%；</w:t>
      </w:r>
    </w:p>
    <w:p w14:paraId="650F5A95"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2）本基金在任何交易日日终，持有的买入股指期货合约价值与有价证券市值之和，不得超过基金资产净值的100%，其中，有价证券指股票、债券（不含到期日在一年以内的政府债券）、资产支持证券、买入返售金融资产（不含质押式回购）等；</w:t>
      </w:r>
    </w:p>
    <w:p w14:paraId="1912F972"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3）本基金在任何交易日日终，持有的卖出股指期货合约价值不得超过基金持有的股票总市值的20%；</w:t>
      </w:r>
    </w:p>
    <w:p w14:paraId="07F852CC"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4）本基金所持有的股票市值和买入、卖出股指期货合约价值，合计（轧差计算）应当符合基金合同关于股票投资比例的有关约定；</w:t>
      </w:r>
    </w:p>
    <w:p w14:paraId="5C8D216B"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5）本基金在任何交易日内交易（不包括平仓）的股指期货合约的成交金额不得超过上一交易日基金资产净值的20%；</w:t>
      </w:r>
    </w:p>
    <w:p w14:paraId="2D47E063" w14:textId="000AA13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（1</w:t>
      </w:r>
      <w:r w:rsidR="00B935E5">
        <w:rPr>
          <w:rFonts w:ascii="彩虹粗仿宋" w:eastAsia="彩虹粗仿宋"/>
          <w:bCs/>
          <w:sz w:val="24"/>
        </w:rPr>
        <w:t>2</w:t>
      </w:r>
      <w:r>
        <w:rPr>
          <w:rFonts w:ascii="彩虹粗仿宋" w:eastAsia="彩虹粗仿宋" w:hint="eastAsia"/>
          <w:bCs/>
          <w:sz w:val="24"/>
        </w:rPr>
        <w:t>）本基金参与股票期权交易，应当符合下列投资限制：</w:t>
      </w:r>
    </w:p>
    <w:p w14:paraId="3977F9A0"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1）基金因未平仓的期权合约支付和收取的权利金总额不得超过基金资产净值的10%；</w:t>
      </w:r>
    </w:p>
    <w:p w14:paraId="680B9BFA" w14:textId="341C9813" w:rsidR="00E5713C" w:rsidRDefault="00583A60">
      <w:pPr>
        <w:adjustRightInd w:val="0"/>
        <w:snapToGrid w:val="0"/>
        <w:ind w:firstLineChars="200" w:firstLine="480"/>
        <w:rPr>
          <w:rFonts w:ascii="彩虹粗仿宋" w:eastAsia="彩虹粗仿宋"/>
          <w:bCs/>
          <w:sz w:val="24"/>
        </w:rPr>
      </w:pPr>
      <w:r>
        <w:rPr>
          <w:rFonts w:ascii="彩虹粗仿宋" w:eastAsia="彩虹粗仿宋"/>
          <w:bCs/>
          <w:sz w:val="24"/>
        </w:rPr>
        <w:t>2</w:t>
      </w:r>
      <w:r w:rsidR="00441401">
        <w:rPr>
          <w:rFonts w:ascii="彩虹粗仿宋" w:eastAsia="彩虹粗仿宋" w:hint="eastAsia"/>
          <w:bCs/>
          <w:sz w:val="24"/>
        </w:rPr>
        <w:t>）未平仓的期权合约面值不得超过基金资产净值的20%。其中，合约面值按照行权价乘以合约乘数计算；</w:t>
      </w:r>
    </w:p>
    <w:p w14:paraId="206BBE9B" w14:textId="0D989179"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（1</w:t>
      </w:r>
      <w:r w:rsidR="00B935E5">
        <w:rPr>
          <w:rFonts w:ascii="彩虹粗仿宋" w:eastAsia="彩虹粗仿宋"/>
          <w:bCs/>
          <w:sz w:val="24"/>
        </w:rPr>
        <w:t>3</w:t>
      </w:r>
      <w:r>
        <w:rPr>
          <w:rFonts w:ascii="彩虹粗仿宋" w:eastAsia="彩虹粗仿宋" w:hint="eastAsia"/>
          <w:bCs/>
          <w:sz w:val="24"/>
        </w:rPr>
        <w:t>）本基金参与转融通证券出借业务的，应当符合下列要求：</w:t>
      </w:r>
    </w:p>
    <w:p w14:paraId="607C12A7"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1）本基金在任何交易日日终，参与转融通证券出借业务的资产不得超过基金资产净值的30%，其中出借期限在10个交易日以上的出借证券应纳入《流动性风险管理规定》所述流动性受限证券的范围；</w:t>
      </w:r>
    </w:p>
    <w:p w14:paraId="12E4826A"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2）本基金在任何交易日日终，参与出借业务的单只证券不得超过基金持有该证券总量的50%；</w:t>
      </w:r>
    </w:p>
    <w:p w14:paraId="636BC5A4"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3）证券出借的平均剩余期限不得超过30天，平均剩余期限按市值加权平均计算；</w:t>
      </w:r>
    </w:p>
    <w:p w14:paraId="388A1A11"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4）最近6个月内日均基金资产净值不得低于2亿元；</w:t>
      </w:r>
    </w:p>
    <w:p w14:paraId="2516D0D3" w14:textId="0A2CD253"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（1</w:t>
      </w:r>
      <w:r w:rsidR="00B935E5">
        <w:rPr>
          <w:rFonts w:ascii="彩虹粗仿宋" w:eastAsia="彩虹粗仿宋"/>
          <w:bCs/>
          <w:sz w:val="24"/>
        </w:rPr>
        <w:t>4</w:t>
      </w:r>
      <w:r>
        <w:rPr>
          <w:rFonts w:ascii="彩虹粗仿宋" w:eastAsia="彩虹粗仿宋" w:hint="eastAsia"/>
          <w:bCs/>
          <w:sz w:val="24"/>
        </w:rPr>
        <w:t>）本基金投资存托凭证的比例限制依照境内上市交易的股票执行，与境内上市交易的股票合并计算，法律法规或监管部门另有要求的除外；</w:t>
      </w:r>
    </w:p>
    <w:p w14:paraId="7755EF8A" w14:textId="70B38B28"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（1</w:t>
      </w:r>
      <w:r w:rsidR="00B935E5">
        <w:rPr>
          <w:rFonts w:ascii="彩虹粗仿宋" w:eastAsia="彩虹粗仿宋"/>
          <w:bCs/>
          <w:sz w:val="24"/>
        </w:rPr>
        <w:t>5</w:t>
      </w:r>
      <w:r>
        <w:rPr>
          <w:rFonts w:ascii="彩虹粗仿宋" w:eastAsia="彩虹粗仿宋" w:hint="eastAsia"/>
          <w:bCs/>
          <w:sz w:val="24"/>
        </w:rPr>
        <w:t>）法律法规及中国证监会规定的和《基金合同》约定的其他投资限制。</w:t>
      </w:r>
    </w:p>
    <w:p w14:paraId="0BD81528" w14:textId="517371B4"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因证券/期货市场波动、证券发行人合并、基金规模变动、标的指数成份股调整、标的指数成份股流动性限制、目标ETF暂停申购、赎回或二级市场交易停牌等基金管理人之外的因素致使基金投资比例不符合上述第（1）项规定投资比例的，基金管理人应当在20个交易日内进行调整，但中国证监会规定的特殊情形除外；除上述第（1）、（2）、（7）、（9）、（</w:t>
      </w:r>
      <w:r w:rsidR="00DB4E72">
        <w:rPr>
          <w:rFonts w:ascii="彩虹粗仿宋" w:eastAsia="彩虹粗仿宋" w:hint="eastAsia"/>
          <w:bCs/>
          <w:sz w:val="24"/>
        </w:rPr>
        <w:t>1</w:t>
      </w:r>
      <w:r w:rsidR="00DB4E72">
        <w:rPr>
          <w:rFonts w:ascii="彩虹粗仿宋" w:eastAsia="彩虹粗仿宋"/>
          <w:bCs/>
          <w:sz w:val="24"/>
        </w:rPr>
        <w:t>3</w:t>
      </w:r>
      <w:r>
        <w:rPr>
          <w:rFonts w:ascii="彩虹粗仿宋" w:eastAsia="彩虹粗仿宋" w:hint="eastAsia"/>
          <w:bCs/>
          <w:sz w:val="24"/>
        </w:rPr>
        <w:t>）项另有约定外，因证券/期货市场波动、证券发行人合并、基金规模变动、标的指数成份股调整、标的指数成份股流动性限制、目标 ETF 暂停申购、赎回或二级市场交易停牌等基金管理人之外的因素致使基金投资比例不符合上述规定投资比例的，基金管理人应当在10个交易日内进行调整，但中国证监会规定的特殊情形除外。法律法规另有规定的，从其规定。</w:t>
      </w:r>
    </w:p>
    <w:p w14:paraId="7BB056AD" w14:textId="5FA520F5"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本基金参与转融通证券出借业务，因证券/期货市场波动、证券发行人合并、基金规模变动等基金管理人之外的因素致使基金投资不符合上述第（</w:t>
      </w:r>
      <w:r w:rsidR="00DB4E72">
        <w:rPr>
          <w:rFonts w:ascii="彩虹粗仿宋" w:eastAsia="彩虹粗仿宋" w:hint="eastAsia"/>
          <w:bCs/>
          <w:sz w:val="24"/>
        </w:rPr>
        <w:t>1</w:t>
      </w:r>
      <w:r w:rsidR="00DB4E72">
        <w:rPr>
          <w:rFonts w:ascii="彩虹粗仿宋" w:eastAsia="彩虹粗仿宋"/>
          <w:bCs/>
          <w:sz w:val="24"/>
        </w:rPr>
        <w:t>3</w:t>
      </w:r>
      <w:r>
        <w:rPr>
          <w:rFonts w:ascii="彩虹粗仿宋" w:eastAsia="彩虹粗仿宋" w:hint="eastAsia"/>
          <w:bCs/>
          <w:sz w:val="24"/>
        </w:rPr>
        <w:t>）项规定的，基金管理人不得新增出借业务。</w:t>
      </w:r>
    </w:p>
    <w:p w14:paraId="36FA1F10" w14:textId="77777777"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50FD844D" w14:textId="6E51AD3F" w:rsidR="00E5713C" w:rsidRDefault="00441401">
      <w:pPr>
        <w:adjustRightInd w:val="0"/>
        <w:snapToGrid w:val="0"/>
        <w:ind w:firstLineChars="200" w:firstLine="480"/>
        <w:rPr>
          <w:rFonts w:ascii="彩虹粗仿宋" w:eastAsia="彩虹粗仿宋"/>
          <w:bCs/>
          <w:sz w:val="24"/>
        </w:rPr>
      </w:pPr>
      <w:r>
        <w:rPr>
          <w:rFonts w:ascii="彩虹粗仿宋" w:eastAsia="彩虹粗仿宋" w:hint="eastAsia"/>
          <w:bCs/>
          <w:sz w:val="24"/>
        </w:rPr>
        <w:t>法律法规或监管部门取消或变更上述限制，如适用于本基金，基金管理人在履行适当程序后，则本基金投资不再受相关限制或按变更后的规定执行。</w:t>
      </w:r>
    </w:p>
    <w:p w14:paraId="28C9647A"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（三）基金托管人</w:t>
      </w:r>
      <w:bookmarkStart w:id="5" w:name="OLE_LINK1"/>
      <w:r>
        <w:rPr>
          <w:rFonts w:ascii="彩虹粗仿宋" w:eastAsia="彩虹粗仿宋" w:hAnsi="宋体" w:cs="Arial" w:hint="eastAsia"/>
          <w:sz w:val="24"/>
        </w:rPr>
        <w:t>根据有关法律法规的规定及《基金合同》的约定，</w:t>
      </w:r>
      <w:bookmarkEnd w:id="5"/>
      <w:r>
        <w:rPr>
          <w:rFonts w:ascii="彩虹粗仿宋" w:eastAsia="彩虹粗仿宋" w:hAnsi="宋体" w:cs="Arial" w:hint="eastAsia"/>
          <w:sz w:val="24"/>
        </w:rPr>
        <w:t>对本托管协议第十五条第（九）款基金投资禁止行为通过事后监督方式进行监督。</w:t>
      </w:r>
    </w:p>
    <w:p w14:paraId="626AF6B5" w14:textId="0F53BE45"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w:t>
      </w:r>
      <w:r w:rsidR="009B21A9">
        <w:rPr>
          <w:rFonts w:ascii="彩虹粗仿宋" w:eastAsia="彩虹粗仿宋" w:hAnsi="宋体" w:cs="Arial" w:hint="eastAsia"/>
          <w:sz w:val="24"/>
        </w:rPr>
        <w:t>，</w:t>
      </w:r>
      <w:r w:rsidRPr="00583A60">
        <w:rPr>
          <w:rFonts w:ascii="彩虹粗仿宋" w:eastAsia="彩虹粗仿宋" w:hAnsi="宋体" w:cs="Arial" w:hint="eastAsia"/>
          <w:sz w:val="24"/>
        </w:rPr>
        <w:t>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r>
        <w:rPr>
          <w:rFonts w:ascii="彩虹粗仿宋" w:eastAsia="彩虹粗仿宋" w:hAnsi="宋体" w:cs="Arial" w:hint="eastAsia"/>
          <w:sz w:val="24"/>
        </w:rPr>
        <w:t>法律、行政法规或监管部门取消或变更上述限制，如适用于本基金，基金管理人在履行适当程序后，则本基金投资不再受相关限制或按变更后的规定执行。</w:t>
      </w:r>
    </w:p>
    <w:p w14:paraId="3C8764EE"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（四）基金托管人根据有关法律法规的规定及《基金合同》的约定，对基金管理人投资流通受限证券进行监督。</w:t>
      </w:r>
    </w:p>
    <w:p w14:paraId="3137DCDF"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int="eastAsia"/>
          <w:sz w:val="24"/>
        </w:rPr>
        <w:t>基金管理人投资流通受限证券，应事先根据中国证监会相关规定，明确基金投资流通受限证券的比例，</w:t>
      </w:r>
      <w:r>
        <w:rPr>
          <w:rFonts w:ascii="彩虹粗仿宋" w:eastAsia="彩虹粗仿宋" w:hAnsi="宋体" w:cs="Arial" w:hint="eastAsia"/>
          <w:sz w:val="24"/>
        </w:rPr>
        <w:t>制订严格的投资决策流程和风险控制制度，防范流动性风险、法律风险和操作风险等各种风险。</w:t>
      </w:r>
    </w:p>
    <w:p w14:paraId="47212BC1"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Ansi="宋体" w:cs="Arial" w:hint="eastAsia"/>
          <w:sz w:val="24"/>
        </w:rPr>
        <w:t>1.本基金</w:t>
      </w:r>
      <w:r>
        <w:rPr>
          <w:rFonts w:ascii="彩虹粗仿宋" w:eastAsia="彩虹粗仿宋" w:hint="eastAsia"/>
          <w:sz w:val="24"/>
        </w:rPr>
        <w:t>投资的流通受限证券须为经中国证监会批准的非公开发行股票、公开发行股票网下配售部分等在发行时明确一定期限锁定期的可交易证券，不包括由于发布重大消息或其他原因而临时停牌的证券、已发行未上市证券、回购交易中的质押券等流通受限证券。本基金不投资有锁定期但锁定期不明确的证券。</w:t>
      </w:r>
    </w:p>
    <w:p w14:paraId="5E9875A9"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Ansi="宋体" w:cs="Arial" w:hint="eastAsia"/>
          <w:sz w:val="24"/>
        </w:rPr>
        <w:t>本基金</w:t>
      </w:r>
      <w:r>
        <w:rPr>
          <w:rFonts w:ascii="彩虹粗仿宋" w:eastAsia="彩虹粗仿宋" w:hint="eastAsia"/>
          <w:sz w:val="24"/>
        </w:rPr>
        <w:t>投资的流通受限证券限于可由中国证券登记结算有限责任公司或中央国债登记结算有限责任公司负责登记和存管，并可在证券交易所或全国银行间债券市场交易的证券。</w:t>
      </w:r>
    </w:p>
    <w:p w14:paraId="19E6B97A"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Ansi="宋体" w:cs="Arial" w:hint="eastAsia"/>
          <w:sz w:val="24"/>
        </w:rPr>
        <w:t>本基金</w:t>
      </w:r>
      <w:r>
        <w:rPr>
          <w:rFonts w:ascii="彩虹粗仿宋" w:eastAsia="彩虹粗仿宋" w:hint="eastAsia"/>
          <w:sz w:val="24"/>
        </w:rPr>
        <w:t>投资的流通受限证券应保证登记存管在本基金名下，基金管理人负责相关工作的落实和协调，并确保基金托管人能够正常查询。因基金管理人原因产生的流通受限证券登记存管问题，造成基金托管人无法安全保管本基金资产的责任与损失，及因流通受限证券存管直接影响本基金安全的责任及损失，由基金管理人承担。</w:t>
      </w:r>
    </w:p>
    <w:p w14:paraId="43663212"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Ansi="宋体" w:cs="Arial" w:hint="eastAsia"/>
          <w:sz w:val="24"/>
        </w:rPr>
        <w:t>本基金</w:t>
      </w:r>
      <w:r>
        <w:rPr>
          <w:rFonts w:ascii="彩虹粗仿宋" w:eastAsia="彩虹粗仿宋" w:hint="eastAsia"/>
          <w:sz w:val="24"/>
        </w:rPr>
        <w:t>投资流通受限证券，不得预付任何形式的保证金，若有最新监管政策根据最新政策进行。</w:t>
      </w:r>
    </w:p>
    <w:p w14:paraId="429BB195"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Ansi="宋体" w:cs="Arial" w:hint="eastAsia"/>
          <w:sz w:val="24"/>
        </w:rPr>
        <w:t>2.</w:t>
      </w:r>
      <w:r>
        <w:rPr>
          <w:rFonts w:ascii="彩虹粗仿宋" w:eastAsia="彩虹粗仿宋" w:hint="eastAsia"/>
          <w:sz w:val="24"/>
        </w:rPr>
        <w:t>基金管理人投资非公开发行股票，应制订流动性风险处置预案并经其董事会批准。风险处置预案应包括但不限于因投资流通受限证券需要解决的基金投资比例限制失调、基金流动性困难以及相关损失的应对解决措施，以及有关异常情况的处置。</w:t>
      </w:r>
    </w:p>
    <w:p w14:paraId="69F8812F" w14:textId="4195E988"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基金管理人对本基金投资流通受限证券的流动性风险负责，确保对相关风险采取积极有效的措施，在合理的时间内有效解决基金运作的流动性问题。如因基金巨额赎回或市场发生剧烈变动等原因而导致基金现金周转困难时，基金管理人应保证提供足额现金确保基金的支付结算，并承担所有损失。对本基金因投资流通受限证券导致的流动性风险，基金托管人不承担任何责任。如因基金管理人原因导致本基金出现损失致使基金托管人承担连带赔偿责任的，基金管理人应赔偿基金托管人由此遭受的损失。</w:t>
      </w:r>
    </w:p>
    <w:p w14:paraId="7D80E307"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Ansi="宋体" w:cs="Arial" w:hint="eastAsia"/>
          <w:sz w:val="24"/>
        </w:rPr>
        <w:t>3.</w:t>
      </w:r>
      <w:r>
        <w:rPr>
          <w:rFonts w:ascii="彩虹粗仿宋" w:eastAsia="彩虹粗仿宋" w:hint="eastAsia"/>
          <w:sz w:val="24"/>
        </w:rPr>
        <w:t>本基金投资非公开发行股票，基金管理人应至少于投资前三个工作日向基金托管人提交有关书面资料，并保证向基金托管人提供的有关资料真实、准确、完整。有关资料如有调整，基金管理人应及时提供调整后的资料。上述书面资料包括但不限于：</w:t>
      </w:r>
    </w:p>
    <w:p w14:paraId="54928684"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（1）中国证监会批准发行非公开发行股票的批准文件。</w:t>
      </w:r>
    </w:p>
    <w:p w14:paraId="143F6347"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（2）非公开发行股票有关发行数量、发行价格、锁定期等发行资料。</w:t>
      </w:r>
    </w:p>
    <w:p w14:paraId="5ED04ECB"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int="eastAsia"/>
          <w:sz w:val="24"/>
        </w:rPr>
        <w:t>（</w:t>
      </w:r>
      <w:r>
        <w:rPr>
          <w:rFonts w:ascii="彩虹粗仿宋" w:eastAsia="彩虹粗仿宋"/>
          <w:sz w:val="24"/>
        </w:rPr>
        <w:t>3</w:t>
      </w:r>
      <w:r>
        <w:rPr>
          <w:rFonts w:ascii="彩虹粗仿宋" w:eastAsia="彩虹粗仿宋" w:hint="eastAsia"/>
          <w:sz w:val="24"/>
        </w:rPr>
        <w:t>）基金拟认购的数量、价格、总成本、账面价值。</w:t>
      </w:r>
    </w:p>
    <w:p w14:paraId="786B9DD4"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Ansi="宋体" w:cs="Arial" w:hint="eastAsia"/>
          <w:sz w:val="24"/>
        </w:rPr>
        <w:t>4.</w:t>
      </w:r>
      <w:r>
        <w:rPr>
          <w:rFonts w:ascii="彩虹粗仿宋" w:eastAsia="彩虹粗仿宋" w:hint="eastAsia"/>
          <w:sz w:val="24"/>
        </w:rPr>
        <w:t>基金管理人应在本基金投资非公开发行股票后两个交易日内，在中国证监会规定媒介披露所投资非公开发行股票的名称、数量、总成本、账面价值，以及总成本和账面价值占基金资产净值的比例、锁定期等信息。</w:t>
      </w:r>
    </w:p>
    <w:p w14:paraId="5392D749"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本基金有关投资流通受限证券比例如违反有关限制规定，在合理期限内未能进行及时调整，基金管理人应在两日内编制临时报告书，并登载在规定报刊和规定网站上。</w:t>
      </w:r>
    </w:p>
    <w:p w14:paraId="4359DC5E"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Ansi="宋体" w:cs="Arial"/>
          <w:sz w:val="24"/>
        </w:rPr>
        <w:t>5</w:t>
      </w:r>
      <w:r>
        <w:rPr>
          <w:rFonts w:ascii="彩虹粗仿宋" w:eastAsia="彩虹粗仿宋" w:hAnsi="宋体" w:cs="Arial" w:hint="eastAsia"/>
          <w:sz w:val="24"/>
        </w:rPr>
        <w:t>.</w:t>
      </w:r>
      <w:r>
        <w:rPr>
          <w:rFonts w:ascii="彩虹粗仿宋" w:eastAsia="彩虹粗仿宋" w:hint="eastAsia"/>
          <w:sz w:val="24"/>
        </w:rPr>
        <w:t>相关法律法规对基金投资流通受限证券有新规定的，从其规定。</w:t>
      </w:r>
    </w:p>
    <w:p w14:paraId="6967DB9C"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五）基金托管人根据有关法律法规的规定及《基金合同》的约定，对基金资产净值计算、各类基金份额净值计算、应收资金到账、基金费用开支及收入确定、基金收益分配、相关信息披露、基金宣传推介材料中登载基金业绩表现数据等进行监督和核查。</w:t>
      </w:r>
    </w:p>
    <w:p w14:paraId="5060EB3A"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六）基金参与转融通证券出借业务，基金管理人应当遵守审慎经营原则，配备技术系统和专业人员，制定科学合理的投资策略和风险管理制度，完善业务流程，有效防范和控制风险。基金托管人将对基金参与出借业务进行监督。</w:t>
      </w:r>
    </w:p>
    <w:p w14:paraId="312CFE11" w14:textId="64F78156"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七）基金托管人发现基金管理人的上述事项及投资指令或实际投资运作违反法律法规、《基金合同》和本托管协议的规定，应及时以电话提醒或书面提示等方式通知基金管理人限期纠正。基金管理人应积极配合和协助基金托管人的监督和核查。基金管理人收到书面通知后应在下一工作日前及时核对并以书面形式给基金托管人发出回函，就基金托管人的疑义进行解释或举证，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w:t>
      </w:r>
    </w:p>
    <w:p w14:paraId="261B9E88" w14:textId="0629AF5D"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八）基金管理人有义务配合和协助基金托管人依照法律法规、《基金合同》和本托管协议对基金业务执行核查。对基金托管人发出的书面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14:paraId="0C9D7E68"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（九）若基金托管人发现基金管理人依据交易程序已经生效的指令违反法律、行政法规和其他有关规定，或者违反《基金合同》约定的，应当及时通知基金管理人，由此造成的损失由基金管理人承担。</w:t>
      </w:r>
    </w:p>
    <w:p w14:paraId="11071BB3"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十）基金托管人发现基金管理人有重大违规行为，应及时报告中国证监会，同时通知基金管理人限期纠正，并将纠正结果报告中国证监会。基金管理人无正当理由，拒绝、阻挠对方根据本托管协议规定行使监督权，或采取拖延、欺诈等手段妨碍对方进行有效监督，情节严重或经基金托管人提出警告仍不改正的，基金托管人应报告中国证监会。</w:t>
      </w:r>
    </w:p>
    <w:p w14:paraId="58BE532E" w14:textId="77777777" w:rsidR="00E5713C" w:rsidRDefault="00E5713C">
      <w:pPr>
        <w:rPr>
          <w:rFonts w:ascii="彩虹粗仿宋" w:eastAsia="彩虹粗仿宋"/>
          <w:sz w:val="24"/>
        </w:rPr>
      </w:pPr>
    </w:p>
    <w:p w14:paraId="1889EB8C" w14:textId="77777777" w:rsidR="00E5713C" w:rsidRDefault="00441401">
      <w:pPr>
        <w:pStyle w:val="2"/>
        <w:jc w:val="center"/>
        <w:rPr>
          <w:rFonts w:ascii="彩虹粗仿宋" w:eastAsia="彩虹粗仿宋"/>
          <w:sz w:val="30"/>
        </w:rPr>
      </w:pPr>
      <w:bookmarkStart w:id="6" w:name="_Toc89163368"/>
      <w:bookmarkStart w:id="7" w:name="_Toc119402710"/>
      <w:bookmarkStart w:id="8" w:name="_Toc86726439"/>
      <w:bookmarkStart w:id="9" w:name="_Toc86223242"/>
      <w:bookmarkStart w:id="10" w:name="_Toc118774803"/>
      <w:bookmarkStart w:id="11" w:name="_Toc86737929"/>
      <w:bookmarkStart w:id="12" w:name="_Toc110830492"/>
      <w:bookmarkStart w:id="13" w:name="_Toc108512358"/>
      <w:bookmarkStart w:id="14" w:name="_Toc110761796"/>
      <w:bookmarkStart w:id="15" w:name="_Toc118972648"/>
      <w:bookmarkStart w:id="16" w:name="_Toc118212950"/>
      <w:bookmarkStart w:id="17" w:name="_Toc110765660"/>
      <w:bookmarkStart w:id="18" w:name="_Toc124325888"/>
      <w:bookmarkStart w:id="19" w:name="_Toc86649722"/>
      <w:bookmarkStart w:id="20" w:name="_Toc120435783"/>
      <w:bookmarkStart w:id="21" w:name="_Toc86225291"/>
      <w:bookmarkStart w:id="22" w:name="_Toc86727355"/>
      <w:r>
        <w:rPr>
          <w:rFonts w:ascii="彩虹粗仿宋" w:eastAsia="彩虹粗仿宋" w:hint="eastAsia"/>
          <w:sz w:val="30"/>
        </w:rPr>
        <w:t>四、基金管理人对基金托管人的业务核查</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7E1E198C"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一）基金管理人对基金托管人履行托管职责情况进行核查，核查事项包括基金托管人安全保管基金财产、开设基金财产的资金账户和证券账户等投资所需账户、复核基金管理人计算的基金资产净值和各类基金份额净值、根据基金管理人指令办理清算交收、相关信息披露和监督基金投资运作等行为。</w:t>
      </w:r>
    </w:p>
    <w:p w14:paraId="63C6F8D5"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供基金管理人核查托管财产的完整性和真实性，在规定时间内答复基金管理人并改正。</w:t>
      </w:r>
    </w:p>
    <w:p w14:paraId="6344EFA6"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三）基金管理人发现基金托管人有重大违规行为，应及时报告中国证监会，同时通知基金托管人限期纠正，并将纠正结果报告中国证监会。基金托管人无正当理由，拒绝、阻挠对方根据本协议规定行使监督权，或采取拖延、欺诈等手段妨碍对方进行有效监督，情节严重或经基金管理人提出警告仍不改正的，基金管理人应报告中国证监会。</w:t>
      </w:r>
    </w:p>
    <w:p w14:paraId="66AA9F33" w14:textId="77777777" w:rsidR="00E5713C" w:rsidRDefault="00E5713C">
      <w:pPr>
        <w:rPr>
          <w:rFonts w:ascii="彩虹粗仿宋" w:eastAsia="彩虹粗仿宋"/>
          <w:sz w:val="24"/>
        </w:rPr>
      </w:pPr>
    </w:p>
    <w:p w14:paraId="3AAA56F2" w14:textId="77777777" w:rsidR="00E5713C" w:rsidRDefault="00441401">
      <w:pPr>
        <w:pStyle w:val="2"/>
        <w:jc w:val="center"/>
        <w:rPr>
          <w:rFonts w:ascii="彩虹粗仿宋" w:eastAsia="彩虹粗仿宋"/>
          <w:sz w:val="30"/>
        </w:rPr>
      </w:pPr>
      <w:bookmarkStart w:id="23" w:name="_Toc86649723"/>
      <w:bookmarkStart w:id="24" w:name="_Toc84234388"/>
      <w:bookmarkStart w:id="25" w:name="_Toc110761797"/>
      <w:bookmarkStart w:id="26" w:name="_Toc86225292"/>
      <w:bookmarkStart w:id="27" w:name="_Toc89163369"/>
      <w:bookmarkStart w:id="28" w:name="_Toc84133786"/>
      <w:bookmarkStart w:id="29" w:name="_Toc119402711"/>
      <w:bookmarkStart w:id="30" w:name="_Toc86223243"/>
      <w:bookmarkStart w:id="31" w:name="_Toc124325889"/>
      <w:bookmarkStart w:id="32" w:name="_Toc84234435"/>
      <w:bookmarkStart w:id="33" w:name="_Toc86726440"/>
      <w:bookmarkStart w:id="34" w:name="_Toc110830493"/>
      <w:bookmarkStart w:id="35" w:name="_Toc110765661"/>
      <w:bookmarkStart w:id="36" w:name="_Toc86737930"/>
      <w:bookmarkStart w:id="37" w:name="_Toc120435784"/>
      <w:bookmarkStart w:id="38" w:name="_Toc108512359"/>
      <w:bookmarkStart w:id="39" w:name="_Toc118972649"/>
      <w:bookmarkStart w:id="40" w:name="_Toc118774804"/>
      <w:bookmarkStart w:id="41" w:name="_Toc86204789"/>
      <w:bookmarkStart w:id="42" w:name="_Toc118212951"/>
      <w:bookmarkStart w:id="43" w:name="_Toc86727356"/>
      <w:r>
        <w:rPr>
          <w:rFonts w:ascii="彩虹粗仿宋" w:eastAsia="彩虹粗仿宋" w:hint="eastAsia"/>
          <w:sz w:val="30"/>
        </w:rPr>
        <w:t>五、基金财产的保管</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33D65F93"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（一）基金财产保管的原则</w:t>
      </w:r>
    </w:p>
    <w:p w14:paraId="421D6631"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1.基金财产应独立于基金管理人、基金托管人和证券经纪机构的固有财产。</w:t>
      </w:r>
    </w:p>
    <w:p w14:paraId="7CE62CD4"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2.基金托管人应安全保管基金财产。</w:t>
      </w:r>
    </w:p>
    <w:p w14:paraId="2552C8B6"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3.基金托管人按照规定开设基金财产的资金账户和证券账户等投资所需账户。</w:t>
      </w:r>
    </w:p>
    <w:p w14:paraId="73EAC628"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4.基金托管人对所托管的不同基金财产分别设置账户，独立核算，确保基金财产的完整与独立。</w:t>
      </w:r>
    </w:p>
    <w:p w14:paraId="10C0D6C8"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5.基金托管人按照《基金合同》和本协议的约定保管基金财产，如有特殊情况双方可另行协商解决。基金</w:t>
      </w:r>
      <w:r>
        <w:rPr>
          <w:rFonts w:ascii="彩虹粗仿宋" w:eastAsia="彩虹粗仿宋" w:hint="eastAsia"/>
          <w:sz w:val="24"/>
        </w:rPr>
        <w:t>托管人未经基金管理人的指令，不得自行运用、处分、分配本基金的任何资产（不包含托管人开户银行或交易/登记结算机构扣收交易费、结算费和账户维护费等费用）。</w:t>
      </w:r>
    </w:p>
    <w:p w14:paraId="01C7C644" w14:textId="18088150"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6.对于因为基金投资产生的应收资产，应由基金管理人负责与有关当事人确定到账日期并通知基金托管人，到账日基金财产没有到达基金账户的，基金托管人应及时通知基金管理人采取措施进行催收。由此给基金财产造成损失的，基金管理人应负责向有关当事人追偿基金财产的损失，基金托管人应予以必要的协助和配合，但对此不承担任何责任。</w:t>
      </w:r>
    </w:p>
    <w:p w14:paraId="73175979"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7.除依据法律法规和《基金合同》的规定外，基金托管人不得委托第三人托管基金财产。</w:t>
      </w:r>
    </w:p>
    <w:p w14:paraId="61D06134"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（二）基金募集期间及募集资金的验资</w:t>
      </w:r>
    </w:p>
    <w:p w14:paraId="122DF79D" w14:textId="19559F99"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1.基金募集期间募集的资金应存于基金管理人在基金托管人处开立的基金募集专户中。该账户由基金管理人开立并管理。</w:t>
      </w:r>
    </w:p>
    <w:p w14:paraId="0880EED9" w14:textId="7FBF3FDF"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2.基金募集期满或基金停止募集时，募集的基金份额总额、基金募集金额、基金份额持有人人数符合《基金法》、《运作办法》等有关规定后，基金管理人应将属于基金财产的全部资金划入基金托管人开立的基金托管资金账户，同时在规定时间内，聘请符合《证券法》规定的会计师事务所进行验资，出具验资报告。出具的验资报告由参加验资的2名或2名以上中国注册会计师签字方为有效。</w:t>
      </w:r>
    </w:p>
    <w:p w14:paraId="55579FC5" w14:textId="67025029"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3.若基金募集期限届满，未能达到《基金合同》生效的条件，由基金管理人按规定办理退款等事宜，基金托管人应予以必要的协助与配合。</w:t>
      </w:r>
    </w:p>
    <w:p w14:paraId="1D993776"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（三）基金托管资金账户的开立和管理</w:t>
      </w:r>
    </w:p>
    <w:p w14:paraId="19F17D1D"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1.基金托管人应以基金的名义在其营业机构开立基金的托管资金账户，并根据基金管理人合法合规的指令办理资金收付。本基金的银行预留印鉴由基金托管人保管和使用。</w:t>
      </w:r>
    </w:p>
    <w:p w14:paraId="605993CE"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2.基金托管资金账户的开立和使用，限于满足开展本基金业务的需要。基金托管人和基金管理人不得假借本基金的名义开立任何其他银行账户；亦不得使用基金的任何账户进行本基金业务以外的活动。</w:t>
      </w:r>
    </w:p>
    <w:p w14:paraId="6788309B"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3.基金托管资金账户的开立和管理应符合法律法规和银行业监督管理机构的有关规定。</w:t>
      </w:r>
    </w:p>
    <w:p w14:paraId="6EBDA44A"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4.在符合法律法规规定的条件下，基金托管人可以通过基金托管人专用账户办理基金资产的支付。</w:t>
      </w:r>
    </w:p>
    <w:p w14:paraId="7C549FFE"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5.基金管理人应于基金终止运作后及时完成收益兑付、费用结清及其他应收应付款项资金划转，在确保后续不再发生款项进出后的10个工作日内向基金托管人发出销户申请。</w:t>
      </w:r>
    </w:p>
    <w:p w14:paraId="558ACFE1" w14:textId="0B95321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（四）基金证券账户和证券资金账户的开立和管理</w:t>
      </w:r>
    </w:p>
    <w:p w14:paraId="7ACAAEC7"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1.基金托管人在中国证券登记结算有限责任公司为基金开立基金托管人与基金联名的证券账户。</w:t>
      </w:r>
    </w:p>
    <w:p w14:paraId="4CA00D24"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2.基金证券账户的开立和使用，仅限于满足开展本基金业务的需要。基金托管人和基金管理人不得出借或未经对方同意擅自转让基金的任何证券账户，亦不得使用基金的任何账户进行本基金业务以外的活动。</w:t>
      </w:r>
    </w:p>
    <w:p w14:paraId="3324F9DE"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3.基金证券账户的开立和证券账户卡的保管由基金托管人负责，账户资产的管理和运用由基金管理人负责。</w:t>
      </w:r>
    </w:p>
    <w:p w14:paraId="2C9280AF"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证券账户开户费由基金管理人先行垫付,待本基金启始运营后,基金管理人可向基金托管人发送划款指令,将代垫开户费从本基金托管资金账户中扣还基金管理人。</w:t>
      </w:r>
    </w:p>
    <w:p w14:paraId="0B5F748C"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4.基金管理人为基金财产在证券经纪机构开立证券资金账户，用于基金财产证券交易结算资金的存管、记载交易结算资金的变动明细以及场内证券交易清算，并与基金托管人开立的基金托管资金账户建立第三方存管关系。</w:t>
      </w:r>
    </w:p>
    <w:p w14:paraId="6806D076"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交易所证券交易资金采用第三方存管模式，即用于证券交易结算资金全额存放在基金管理人为基金开立的证券资金账户中，场内的证券交易资金清算由基金管理人所选择的证券经纪机构负责，证券资金账户内的资金，只能通过证银转账方式将资金划转至基金托管资金账户，不得将资金划转至任何其他银行账户。第三方存管对应关系一经确定，不得更改，如果必须更改，应由基金管理人发起，经过基金托管人书面确认后，重新建立第三方存管对应关系。基金托管人和基金管理人不得出借或转让证券账户、证券资金账户，亦不得使用证券账户或证券资金账户进行本基金业务以外的活动。基金管理人承诺证券资金账户为主资金账户，不开立任何辅助资金账户；不为证券资金账户另行开立托管资金账户以外的其他银行账户。基金托管人不负责办理场内的证券交易资金清算，也不负责保管证券资金账户内存放的资金。</w:t>
      </w:r>
    </w:p>
    <w:p w14:paraId="68782225"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5.账户注销时，在遵守中国证券登记结算有限责任公司的相关规定下，由基金管理人和基金托管人协商确认主要办理人。账户注销期间，主要办理人如需另一方提供配合的，另一方应予以配合。</w:t>
      </w:r>
    </w:p>
    <w:p w14:paraId="6EACC083" w14:textId="506BCAAC"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6.若中国证监会或其他监管机构在本托管协议订立日之后允许基金从事其他投资品种的投资业务，涉及相关账户的开立、使用的，若无相关规定，则基金托管人比照上述关于账户开立、使用的规定执行。</w:t>
      </w:r>
    </w:p>
    <w:p w14:paraId="746260C7"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（五）银行间账户的开设和管理</w:t>
      </w:r>
    </w:p>
    <w:p w14:paraId="7D27AC33"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合同》生效后，基金管理人负责以基金的名义申请并取得进入全国银行间同业拆借市场的交易资格，并代表基金进行交易；基金托管人根据中国人民银行、银行间债券市场登记结算机构的有关规定，在银行间债券市场登记结算机构开立债券托管账户和资金结算专户，并代表基金进行银行间市场债券的结算。</w:t>
      </w:r>
    </w:p>
    <w:p w14:paraId="76060EBE"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（六）其他账户的开立和管理</w:t>
      </w:r>
    </w:p>
    <w:p w14:paraId="617096B8"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在本托管协议订立日之后，本基金被允许从事符合法律法规规定和《基金合同》约定的其他投资品种的投资业务时，如果涉及相关账户的开设和使用，由基金管理人协助基金托管人根据有关法律法规的规定、《基金合同》及本协议的约定，开立有关账户。该账户按有关规则使用并管理。</w:t>
      </w:r>
    </w:p>
    <w:p w14:paraId="3752E8E3" w14:textId="77777777" w:rsidR="00E5713C" w:rsidRDefault="00441401">
      <w:pPr>
        <w:adjustRightInd w:val="0"/>
        <w:snapToGrid w:val="0"/>
        <w:ind w:firstLineChars="200" w:firstLine="480"/>
        <w:rPr>
          <w:rFonts w:ascii="彩虹粗仿宋" w:eastAsia="彩虹粗仿宋"/>
          <w:i/>
          <w:sz w:val="24"/>
        </w:rPr>
      </w:pPr>
      <w:r>
        <w:rPr>
          <w:rFonts w:ascii="彩虹粗仿宋" w:eastAsia="彩虹粗仿宋" w:hAnsi="宋体" w:cs="Arial" w:hint="eastAsia"/>
          <w:sz w:val="24"/>
        </w:rPr>
        <w:t>2.</w:t>
      </w:r>
      <w:r>
        <w:rPr>
          <w:rFonts w:ascii="彩虹粗仿宋" w:eastAsia="彩虹粗仿宋" w:hint="eastAsia"/>
          <w:sz w:val="24"/>
        </w:rPr>
        <w:t>本基金在开始进行期货投资之前，应与基金托管人、期货公司三方一同就期货开户、清算、估值、交收等事宜另行签署《期货投资托管操作三方备忘录》</w:t>
      </w:r>
      <w:r>
        <w:rPr>
          <w:rFonts w:ascii="彩虹粗仿宋" w:eastAsia="彩虹粗仿宋" w:hint="eastAsia"/>
          <w:i/>
          <w:sz w:val="24"/>
        </w:rPr>
        <w:t>。</w:t>
      </w:r>
    </w:p>
    <w:p w14:paraId="02BD105B"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int="eastAsia"/>
          <w:sz w:val="24"/>
        </w:rPr>
        <w:t>本</w:t>
      </w:r>
      <w:r>
        <w:rPr>
          <w:rFonts w:ascii="彩虹粗仿宋" w:eastAsia="彩虹粗仿宋" w:hAnsi="宋体" w:cs="Arial" w:hint="eastAsia"/>
          <w:sz w:val="24"/>
        </w:rPr>
        <w:t>基金</w:t>
      </w:r>
      <w:r>
        <w:rPr>
          <w:rFonts w:ascii="彩虹粗仿宋" w:eastAsia="彩虹粗仿宋" w:hint="eastAsia"/>
          <w:sz w:val="24"/>
        </w:rPr>
        <w:t>如需参加期权交易，应当按照现有证券账户开立方式向中国证券登记结算有限责任公司申请新开立一个普通证券账户，基金管理人负责将该证券账户指定交易在证券公司或期货公司，由相应证券公司（或期货公司）为本</w:t>
      </w:r>
      <w:r>
        <w:rPr>
          <w:rFonts w:ascii="彩虹粗仿宋" w:eastAsia="彩虹粗仿宋" w:hAnsi="宋体" w:cs="Arial" w:hint="eastAsia"/>
          <w:sz w:val="24"/>
        </w:rPr>
        <w:t>基金</w:t>
      </w:r>
      <w:r>
        <w:rPr>
          <w:rFonts w:ascii="彩虹粗仿宋" w:eastAsia="彩虹粗仿宋" w:hint="eastAsia"/>
          <w:sz w:val="24"/>
        </w:rPr>
        <w:t>开立衍生品合约账户后，再通过该证券公司（或期货公司）参与期权交易。</w:t>
      </w:r>
    </w:p>
    <w:p w14:paraId="2A2915E7"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sz w:val="24"/>
        </w:rPr>
        <w:t>3.</w:t>
      </w:r>
      <w:r>
        <w:rPr>
          <w:rFonts w:ascii="彩虹粗仿宋" w:eastAsia="彩虹粗仿宋" w:hAnsi="宋体" w:cs="Arial" w:hint="eastAsia"/>
          <w:sz w:val="24"/>
        </w:rPr>
        <w:t>法律法规等有关规定对相关账户的开立和管理另有规定的，从其规定办理。</w:t>
      </w:r>
    </w:p>
    <w:p w14:paraId="053A0428"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（七）基金财产投资的有关有价凭证等的保管</w:t>
      </w:r>
    </w:p>
    <w:p w14:paraId="1DBE36B8" w14:textId="23D5AE1E" w:rsidR="00E5713C" w:rsidRDefault="00441401">
      <w:pPr>
        <w:adjustRightInd w:val="0"/>
        <w:snapToGrid w:val="0"/>
        <w:ind w:firstLineChars="200" w:firstLine="480"/>
        <w:rPr>
          <w:rFonts w:ascii="彩虹粗仿宋" w:eastAsia="彩虹粗仿宋" w:hAnsi="宋体" w:cs="Arial"/>
        </w:rPr>
      </w:pPr>
      <w:r>
        <w:rPr>
          <w:rFonts w:ascii="彩虹粗仿宋" w:eastAsia="彩虹粗仿宋" w:hAnsi="宋体" w:cs="Arial" w:hint="eastAsia"/>
          <w:sz w:val="24"/>
        </w:rPr>
        <w:t>基金财产投资的有关实物证券、银行</w:t>
      </w:r>
      <w:r>
        <w:rPr>
          <w:rFonts w:ascii="彩虹粗仿宋" w:eastAsia="彩虹粗仿宋" w:hint="eastAsia"/>
          <w:sz w:val="24"/>
        </w:rPr>
        <w:t>存款开户证实书</w:t>
      </w:r>
      <w:r>
        <w:rPr>
          <w:rFonts w:ascii="彩虹粗仿宋" w:eastAsia="彩虹粗仿宋" w:hAnsi="宋体" w:cs="Arial" w:hint="eastAsia"/>
          <w:sz w:val="24"/>
        </w:rPr>
        <w:t>等有价凭证由基金托管人存放于基金托管人的保管库，也可存入法律法规有关规定允许的各类代保管库，保管凭证由基金托管人持有。实物证券、银行定期存款证实书等有价凭证的购买和转让，按基金管理人和基金托管人双方约定办理。基金托管人对由基金托管人以外机构实际有效控制或保管的资产不承担</w:t>
      </w:r>
      <w:r>
        <w:rPr>
          <w:rFonts w:ascii="彩虹粗仿宋" w:eastAsia="彩虹粗仿宋" w:hint="eastAsia"/>
          <w:sz w:val="24"/>
        </w:rPr>
        <w:t>任何</w:t>
      </w:r>
      <w:r>
        <w:rPr>
          <w:rFonts w:ascii="彩虹粗仿宋" w:eastAsia="彩虹粗仿宋" w:hAnsi="宋体" w:cs="Arial" w:hint="eastAsia"/>
          <w:sz w:val="24"/>
        </w:rPr>
        <w:t>责任。</w:t>
      </w:r>
    </w:p>
    <w:p w14:paraId="07041C11"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（八）与基金财产有关的重大合同的保管</w:t>
      </w:r>
    </w:p>
    <w:p w14:paraId="43B566DB" w14:textId="77777777" w:rsidR="00E5713C" w:rsidRDefault="00441401">
      <w:pPr>
        <w:adjustRightInd w:val="0"/>
        <w:snapToGrid w:val="0"/>
        <w:ind w:firstLineChars="200" w:firstLine="480"/>
        <w:rPr>
          <w:rFonts w:ascii="彩虹粗仿宋" w:eastAsia="彩虹粗仿宋"/>
          <w:sz w:val="30"/>
          <w:szCs w:val="30"/>
        </w:rPr>
      </w:pPr>
      <w:r>
        <w:rPr>
          <w:rFonts w:ascii="彩虹粗仿宋" w:eastAsia="彩虹粗仿宋" w:hAnsi="宋体" w:cs="Arial" w:hint="eastAsia"/>
          <w:sz w:val="24"/>
        </w:rPr>
        <w:t>由基金管理人代表基金签署的、与基金有关的重大合同的原件分别由基金管理人、基金托管人保管。除本协议另有规定外，基金管理人在代表基金签署与基金有关的重大合同时应保证基金一方持有两份以上的正本，以保证基金管理人和基金托管人至少各持有一份正本的原件。基金管理人应在重大合同签署后及时将重大合同传真给基金托管人，并在三十个工作日内将正本送达基金托管人处。重大合同的保管期限不低于法律法规规定的最低期限。</w:t>
      </w:r>
    </w:p>
    <w:p w14:paraId="2137BF9E" w14:textId="77777777" w:rsidR="00E5713C" w:rsidRDefault="00E5713C">
      <w:pPr>
        <w:rPr>
          <w:rFonts w:ascii="彩虹粗仿宋" w:eastAsia="彩虹粗仿宋"/>
          <w:sz w:val="24"/>
        </w:rPr>
      </w:pPr>
    </w:p>
    <w:p w14:paraId="72BEE4FD" w14:textId="77777777" w:rsidR="00E5713C" w:rsidRDefault="00E5713C">
      <w:pPr>
        <w:rPr>
          <w:rFonts w:ascii="彩虹粗仿宋" w:eastAsia="彩虹粗仿宋"/>
          <w:sz w:val="24"/>
        </w:rPr>
      </w:pPr>
    </w:p>
    <w:p w14:paraId="2063C0E3" w14:textId="77777777" w:rsidR="00E5713C" w:rsidRDefault="00441401">
      <w:pPr>
        <w:pStyle w:val="2"/>
        <w:jc w:val="center"/>
        <w:rPr>
          <w:rFonts w:ascii="彩虹粗仿宋" w:eastAsia="彩虹粗仿宋"/>
          <w:sz w:val="30"/>
        </w:rPr>
      </w:pPr>
      <w:bookmarkStart w:id="44" w:name="_Toc86649724"/>
      <w:bookmarkStart w:id="45" w:name="_Toc110765662"/>
      <w:bookmarkStart w:id="46" w:name="_Toc86727357"/>
      <w:bookmarkStart w:id="47" w:name="_Toc120435785"/>
      <w:bookmarkStart w:id="48" w:name="_Toc86726441"/>
      <w:bookmarkStart w:id="49" w:name="_Toc119402712"/>
      <w:bookmarkStart w:id="50" w:name="_Toc110830494"/>
      <w:bookmarkStart w:id="51" w:name="_Toc118774805"/>
      <w:bookmarkStart w:id="52" w:name="_Toc89163370"/>
      <w:bookmarkStart w:id="53" w:name="_Toc118972650"/>
      <w:bookmarkStart w:id="54" w:name="_Toc84133787"/>
      <w:bookmarkStart w:id="55" w:name="_Toc124325890"/>
      <w:bookmarkStart w:id="56" w:name="_Toc86223244"/>
      <w:bookmarkStart w:id="57" w:name="_Toc118212952"/>
      <w:bookmarkStart w:id="58" w:name="_Toc84234389"/>
      <w:bookmarkStart w:id="59" w:name="_Toc108512360"/>
      <w:bookmarkStart w:id="60" w:name="_Toc84234436"/>
      <w:bookmarkStart w:id="61" w:name="_Toc86225293"/>
      <w:bookmarkStart w:id="62" w:name="_Toc110761798"/>
      <w:bookmarkStart w:id="63" w:name="_Toc86737931"/>
      <w:bookmarkStart w:id="64" w:name="_Toc86204790"/>
      <w:r>
        <w:rPr>
          <w:rFonts w:ascii="彩虹粗仿宋" w:eastAsia="彩虹粗仿宋" w:hint="eastAsia"/>
          <w:sz w:val="30"/>
        </w:rPr>
        <w:t>六、指令的发送、确认及执行</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2DEB8B6C"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基金管理人在运用基金财产开展场内证券交易时，应通过基金托管资金账户与证券资金账户已建立的第三方存管系统实现基金托管资金账户与证券资金账户之间的资金划转，即银证互转。</w:t>
      </w:r>
    </w:p>
    <w:p w14:paraId="40508899"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基金管理人在运用基金财产开展场外交易时，应向基金托管人发送资金划拨及其他款项付款指令，基金托管人执行基金管理人的指令、办理基金名下的资金往来等有关事项。</w:t>
      </w:r>
    </w:p>
    <w:p w14:paraId="6C9531AB"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（一）基金管理人对发送指令人员的书面授权</w:t>
      </w:r>
    </w:p>
    <w:p w14:paraId="329F5007"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1.基金管理人应指定专人向基金托管人发送指令。</w:t>
      </w:r>
    </w:p>
    <w:p w14:paraId="24CDED65"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2.基金管理人应向基金托管人提供书面授权文件原件，内容包括被授权人名单、预留印鉴及被授权人签字样本，授权文件应注明被授权人相应的权限, 并加盖单位公章。</w:t>
      </w:r>
    </w:p>
    <w:p w14:paraId="0B18EECC"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3.基金托管人在收到授权文件原件并经电话确认后，授权文件即生效。如果授权文件中载明具体生效时间的，该生效时间不得早于基金托管人收到授权文件并经电话确认的时点。如早于，则以基金托管人收到授权文件并经电话确认的时点为授权文件的生效时间。</w:t>
      </w:r>
    </w:p>
    <w:p w14:paraId="568DB6F0"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4.基金管理人和基金托管人对授权文件负有保密义务，其内容不得向被授权人及相关操作人员以外的任何人泄露。但法律法规规定或有权机关要求的除外。</w:t>
      </w:r>
    </w:p>
    <w:p w14:paraId="15B0032F"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（二）指令的内容</w:t>
      </w:r>
    </w:p>
    <w:p w14:paraId="1C76EE6E"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1.指令包括付款指令以及其他资金划拨指令等。</w:t>
      </w:r>
    </w:p>
    <w:p w14:paraId="19A5A8F6"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2.基金管理人发给基金托管人的指令应写明款项事由、支付时间、到账时间、金额、收付款账户等，加盖预留印鉴并由被授权人签字。</w:t>
      </w:r>
    </w:p>
    <w:p w14:paraId="034FA549"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（三）指令的发送、确认及执行的时间和程序</w:t>
      </w:r>
    </w:p>
    <w:p w14:paraId="218492AD"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1.指令的发送</w:t>
      </w:r>
    </w:p>
    <w:p w14:paraId="75FBB051"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基金管理人发送指令应采用传真方式或双方协商一致的其他方式。</w:t>
      </w:r>
    </w:p>
    <w:p w14:paraId="53A8107B" w14:textId="77777777" w:rsidR="00E5713C" w:rsidRDefault="00441401">
      <w:pPr>
        <w:adjustRightInd w:val="0"/>
        <w:snapToGrid w:val="0"/>
        <w:ind w:firstLine="482"/>
        <w:rPr>
          <w:rFonts w:ascii="彩虹粗仿宋" w:eastAsia="彩虹粗仿宋" w:hAnsi="宋体" w:cs="Arial"/>
          <w:sz w:val="24"/>
        </w:rPr>
      </w:pPr>
      <w:r>
        <w:rPr>
          <w:rFonts w:ascii="彩虹粗仿宋" w:eastAsia="彩虹粗仿宋" w:hAnsi="宋体" w:cs="Arial" w:hint="eastAsia"/>
          <w:sz w:val="24"/>
        </w:rPr>
        <w:t>基金管理人应按照法律法规和《基金合同》的规定，在其合法的经营权限和交易权限内发送指令；被授权人应严格按照其授权权限发送指令。对于被授权人依约定程序发出的指令，基金管理人不得否认其效力。但如果基金管理人已经撤销或更改对被授权人的授权，并且基金托管人根据本协议确认后，则对于此后该被授权人无权发送的指令，或超权限发送的指令，基金管理人不承担责任，授权已更改但未经基金托管人确认的情况除外。</w:t>
      </w:r>
    </w:p>
    <w:p w14:paraId="718D1EAA" w14:textId="77777777" w:rsidR="00E5713C" w:rsidRDefault="00441401">
      <w:pPr>
        <w:adjustRightInd w:val="0"/>
        <w:snapToGrid w:val="0"/>
        <w:ind w:firstLine="482"/>
        <w:rPr>
          <w:rFonts w:ascii="彩虹粗仿宋" w:eastAsia="彩虹粗仿宋" w:hAnsi="宋体" w:cs="Arial"/>
          <w:sz w:val="24"/>
        </w:rPr>
      </w:pPr>
      <w:r>
        <w:rPr>
          <w:rFonts w:ascii="彩虹粗仿宋" w:eastAsia="彩虹粗仿宋" w:hAnsi="宋体" w:cs="Arial" w:hint="eastAsia"/>
          <w:sz w:val="24"/>
        </w:rPr>
        <w:t>指令发出后，基金管理人应及时以电话方式向基金托管人确认。</w:t>
      </w:r>
    </w:p>
    <w:p w14:paraId="4DDE53BF" w14:textId="57857F73" w:rsidR="00E5713C" w:rsidRDefault="00441401">
      <w:pPr>
        <w:adjustRightInd w:val="0"/>
        <w:snapToGrid w:val="0"/>
        <w:ind w:firstLine="482"/>
        <w:rPr>
          <w:rFonts w:ascii="彩虹粗仿宋" w:eastAsia="彩虹粗仿宋" w:hAnsi="宋体" w:cs="Arial"/>
          <w:sz w:val="24"/>
        </w:rPr>
      </w:pPr>
      <w:r>
        <w:rPr>
          <w:rFonts w:ascii="彩虹粗仿宋" w:eastAsia="彩虹粗仿宋" w:hAnsi="宋体" w:hint="eastAsia"/>
          <w:sz w:val="24"/>
        </w:rPr>
        <w:t>基金管理人应在银行间交易成交后，及时</w:t>
      </w:r>
      <w:r>
        <w:rPr>
          <w:rFonts w:asciiTheme="minorHAnsi" w:eastAsia="彩虹粗仿宋" w:hAnsiTheme="minorHAnsi" w:hint="eastAsia"/>
          <w:sz w:val="24"/>
        </w:rPr>
        <w:t>将</w:t>
      </w:r>
      <w:r>
        <w:rPr>
          <w:rFonts w:ascii="彩虹粗仿宋" w:eastAsia="彩虹粗仿宋" w:hAnsi="宋体" w:hint="eastAsia"/>
          <w:sz w:val="24"/>
        </w:rPr>
        <w:t>通知单、相关文件及划款指令加盖印章后发至基金托管人并电话确认，由基金托管人完成后台交易匹配及资金交收事宜。如果银行间结算系统已经生成的交易需要取消或终止，基金管理人应书面通知基金托管人。</w:t>
      </w:r>
    </w:p>
    <w:p w14:paraId="653FA71E" w14:textId="77777777" w:rsidR="00E5713C" w:rsidRDefault="00441401">
      <w:pPr>
        <w:adjustRightInd w:val="0"/>
        <w:snapToGrid w:val="0"/>
        <w:ind w:firstLine="482"/>
        <w:rPr>
          <w:rFonts w:ascii="彩虹粗仿宋" w:eastAsia="彩虹粗仿宋" w:hAnsi="宋体" w:cs="Arial"/>
          <w:sz w:val="24"/>
        </w:rPr>
      </w:pPr>
      <w:r>
        <w:rPr>
          <w:rFonts w:ascii="彩虹粗仿宋" w:eastAsia="彩虹粗仿宋" w:hAnsi="宋体" w:cs="Arial" w:hint="eastAsia"/>
          <w:sz w:val="24"/>
        </w:rPr>
        <w:t>2.指令的确认</w:t>
      </w:r>
    </w:p>
    <w:p w14:paraId="55FB16D8" w14:textId="77777777" w:rsidR="00E5713C" w:rsidRDefault="00441401">
      <w:pPr>
        <w:pStyle w:val="HTML"/>
        <w:adjustRightInd w:val="0"/>
        <w:snapToGrid w:val="0"/>
        <w:ind w:firstLine="482"/>
        <w:rPr>
          <w:sz w:val="21"/>
          <w:szCs w:val="21"/>
        </w:rPr>
      </w:pPr>
      <w:r>
        <w:rPr>
          <w:rFonts w:ascii="彩虹粗仿宋" w:eastAsia="彩虹粗仿宋" w:cs="Arial" w:hint="eastAsia"/>
        </w:rPr>
        <w:t>基金托管人应指定专人接收基金管理人的指令，预先通知基金管理人其名单，并与基金管理人商定指令发送和接收方式。指令到达基金托管人后，基金托管人应指定专人立即审慎验证指令的要素是否齐全，并将指令所载签字和印鉴与授权文件进行表面真实性及权限范围核对，复核无误后应在规定期限内执行，不得延误。如有疑问必须及时通知基金管理人。</w:t>
      </w:r>
    </w:p>
    <w:p w14:paraId="1CA83A5B" w14:textId="77777777" w:rsidR="00E5713C" w:rsidRDefault="00441401">
      <w:pPr>
        <w:adjustRightInd w:val="0"/>
        <w:snapToGrid w:val="0"/>
        <w:ind w:firstLine="482"/>
        <w:rPr>
          <w:rFonts w:ascii="彩虹粗仿宋" w:eastAsia="彩虹粗仿宋" w:hAnsi="宋体" w:cs="Arial"/>
          <w:sz w:val="24"/>
        </w:rPr>
      </w:pPr>
      <w:r>
        <w:rPr>
          <w:rFonts w:ascii="彩虹粗仿宋" w:eastAsia="彩虹粗仿宋" w:hAnsi="宋体" w:cs="Arial" w:hint="eastAsia"/>
          <w:sz w:val="24"/>
        </w:rPr>
        <w:t>3.指令的时间和执行</w:t>
      </w:r>
    </w:p>
    <w:p w14:paraId="7CD37F62" w14:textId="377754B7" w:rsidR="00E5713C" w:rsidRDefault="00441401">
      <w:pPr>
        <w:pStyle w:val="a7"/>
        <w:spacing w:line="240" w:lineRule="auto"/>
        <w:ind w:firstLineChars="0" w:firstLine="482"/>
        <w:rPr>
          <w:rFonts w:ascii="彩虹粗仿宋" w:eastAsia="彩虹粗仿宋" w:hAnsi="宋体" w:cs="Arial"/>
          <w:szCs w:val="24"/>
          <w:shd w:val="pct10" w:color="auto" w:fill="FFFFFF"/>
        </w:rPr>
      </w:pPr>
      <w:r>
        <w:rPr>
          <w:rFonts w:ascii="彩虹粗仿宋" w:eastAsia="彩虹粗仿宋" w:hAnsi="宋体" w:cs="Arial" w:hint="eastAsia"/>
        </w:rPr>
        <w:t>基金管理人尽量于划款前1个工作日向基金托管人发送指令并确认。对于要求当天到账的指令，必须在当天15:30前向基金托管人发送，15:30之后发送的，基金托管人尽力执行，但不能保证划账成功。如果要求当天某一时点到账的指令，则指令需要提前2个工作小时发送，且相关付款条件已经具备。基金托管人将视付款条件具备时为指令送达时间。对新股申购网下发行业务，基金管理人应在网下申购缴款日(T日)的前一工作日下班前将指令发送给基金托管人，指令发送时间最迟不应晚于T日上午10:00。</w:t>
      </w:r>
      <w:r>
        <w:rPr>
          <w:rFonts w:ascii="彩虹粗仿宋" w:eastAsia="彩虹粗仿宋" w:hAnsi="宋体" w:cs="Arial" w:hint="eastAsia"/>
          <w:szCs w:val="24"/>
        </w:rPr>
        <w:t>基金管理人应确保基金托管人在执行指令时，基金托管资金账户有足够的资金余额，</w:t>
      </w:r>
      <w:r>
        <w:rPr>
          <w:rFonts w:ascii="彩虹粗仿宋" w:eastAsia="彩虹粗仿宋" w:hAnsi="宋体" w:cs="Arial" w:hint="eastAsia"/>
        </w:rPr>
        <w:t>在基金资金头寸充足的情况下，基金托管人对基金管理人符合法律法规、《基金合同》、本协议的指令不得拖延或拒绝执行。</w:t>
      </w:r>
    </w:p>
    <w:p w14:paraId="58CAD9FF" w14:textId="77777777" w:rsidR="00E5713C" w:rsidRDefault="00441401">
      <w:pPr>
        <w:pStyle w:val="a7"/>
        <w:spacing w:line="240" w:lineRule="auto"/>
        <w:ind w:firstLineChars="0"/>
        <w:rPr>
          <w:rFonts w:ascii="彩虹粗仿宋" w:eastAsia="彩虹粗仿宋" w:hAnsi="宋体" w:cs="Arial"/>
        </w:rPr>
      </w:pPr>
      <w:r>
        <w:rPr>
          <w:rFonts w:ascii="彩虹粗仿宋" w:eastAsia="彩虹粗仿宋" w:hAnsi="宋体" w:cs="Arial" w:hint="eastAsia"/>
        </w:rPr>
        <w:t>（四）基金管理人发送错误指令的情形和处理程序</w:t>
      </w:r>
    </w:p>
    <w:p w14:paraId="7919EE2A"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基金管理人发送错误指令的情形包括指令违反法律法规、监管规定、《基金合同》或本协议的约定，或指令发送人员无权或超越权限发送指令。</w:t>
      </w:r>
    </w:p>
    <w:p w14:paraId="72D2BBFD"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基金托管人发现基金管理人的指令错误时，有权拒绝执行，并及时通知基金管理人改正。如需基金托管人撤销尚未执行的指令，基金管理人应出具作废指令或作废说明，并电话通知基金托管人。</w:t>
      </w:r>
    </w:p>
    <w:p w14:paraId="5024A204" w14:textId="5CEE394F"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w:t>
      </w:r>
      <w:r w:rsidR="002470A9">
        <w:rPr>
          <w:rFonts w:ascii="彩虹粗仿宋" w:eastAsia="彩虹粗仿宋" w:hAnsi="宋体" w:cs="Arial" w:hint="eastAsia"/>
          <w:sz w:val="24"/>
        </w:rPr>
        <w:t>五</w:t>
      </w:r>
      <w:r>
        <w:rPr>
          <w:rFonts w:ascii="彩虹粗仿宋" w:eastAsia="彩虹粗仿宋" w:hAnsi="宋体" w:cs="Arial" w:hint="eastAsia"/>
          <w:sz w:val="24"/>
        </w:rPr>
        <w:t>）基金托管人未按照基金管理人指令执行的处理方法</w:t>
      </w:r>
    </w:p>
    <w:p w14:paraId="28685EAD"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基金托管人由于自身过错，未按照基金管理人发送的符合法律法规、监管规定、《基金合同》和本协议约定的指令执行并对基金财产或投资人造成的直接损失，由基金托管人</w:t>
      </w:r>
      <w:r>
        <w:rPr>
          <w:rFonts w:ascii="彩虹粗仿宋" w:eastAsia="彩虹粗仿宋" w:hint="eastAsia"/>
          <w:sz w:val="24"/>
        </w:rPr>
        <w:t>赔偿由此造成的直接损失。</w:t>
      </w:r>
    </w:p>
    <w:p w14:paraId="4704E9EA" w14:textId="3A19718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w:t>
      </w:r>
      <w:r w:rsidR="002470A9">
        <w:rPr>
          <w:rFonts w:ascii="彩虹粗仿宋" w:eastAsia="彩虹粗仿宋" w:hAnsi="宋体" w:cs="Arial" w:hint="eastAsia"/>
          <w:sz w:val="24"/>
        </w:rPr>
        <w:t>六</w:t>
      </w:r>
      <w:r>
        <w:rPr>
          <w:rFonts w:ascii="彩虹粗仿宋" w:eastAsia="彩虹粗仿宋" w:hAnsi="宋体" w:cs="Arial" w:hint="eastAsia"/>
          <w:sz w:val="24"/>
        </w:rPr>
        <w:t>）更换被授权人员的程序</w:t>
      </w:r>
    </w:p>
    <w:p w14:paraId="228E9266" w14:textId="77777777" w:rsidR="00E5713C" w:rsidRDefault="00441401">
      <w:pPr>
        <w:adjustRightInd w:val="0"/>
        <w:snapToGrid w:val="0"/>
        <w:ind w:firstLine="482"/>
        <w:rPr>
          <w:rFonts w:ascii="彩虹粗仿宋" w:eastAsia="彩虹粗仿宋" w:hAnsi="宋体" w:cs="Arial"/>
          <w:sz w:val="24"/>
        </w:rPr>
      </w:pPr>
      <w:r>
        <w:rPr>
          <w:rFonts w:ascii="彩虹粗仿宋" w:eastAsia="彩虹粗仿宋" w:hAnsi="宋体" w:cs="Arial" w:hint="eastAsia"/>
          <w:sz w:val="24"/>
        </w:rPr>
        <w:t>基金管理人更换被授权人、更改或终止对被授权人的授权，应立即将加盖公章的新的授权文件以邮件发送扫描件的方式通知基金托管人，并经电话确认后生效，原授权文件同时废止。新的授权文件应当在邮件发出后七个工作日内送达基金托管人文件正本。新的授权文件生效之后，正本送达之前，基金托管人按照新的授权文件扫描件内容执行有关业务，如果新的授权文件正本与扫描件内容不同，由此产生的责任由基金管理人承担</w:t>
      </w:r>
      <w:r>
        <w:rPr>
          <w:rFonts w:ascii="彩虹粗仿宋" w:eastAsia="彩虹粗仿宋" w:hint="eastAsia"/>
          <w:sz w:val="24"/>
        </w:rPr>
        <w:t>。</w:t>
      </w:r>
      <w:r>
        <w:rPr>
          <w:rFonts w:ascii="彩虹粗仿宋" w:eastAsia="彩虹粗仿宋" w:hAnsi="宋体" w:cs="Arial" w:hint="eastAsia"/>
          <w:sz w:val="24"/>
        </w:rPr>
        <w:t>基金托管人更换接收基金管理人指令的传真号或邮箱地址，应提前通知基金管理人。</w:t>
      </w:r>
    </w:p>
    <w:p w14:paraId="5293051B" w14:textId="7D251C1C"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w:t>
      </w:r>
      <w:r w:rsidR="002470A9">
        <w:rPr>
          <w:rFonts w:ascii="彩虹粗仿宋" w:eastAsia="彩虹粗仿宋" w:hAnsi="宋体" w:cs="Arial" w:hint="eastAsia"/>
          <w:sz w:val="24"/>
        </w:rPr>
        <w:t>七</w:t>
      </w:r>
      <w:r>
        <w:rPr>
          <w:rFonts w:ascii="彩虹粗仿宋" w:eastAsia="彩虹粗仿宋" w:hAnsi="宋体" w:cs="Arial" w:hint="eastAsia"/>
          <w:sz w:val="24"/>
        </w:rPr>
        <w:t>）其他事项</w:t>
      </w:r>
    </w:p>
    <w:p w14:paraId="6D37C388"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基金托管人在接收指令时，应对指令的要素是否齐全、印鉴与被授权人是否与预留的授权文件内容表面相符进行检查，如发现问题，应及时报告基金管理人，基金托管人对执行基金管理人的有效指令对基金财产造成的损失不承担赔偿责任。</w:t>
      </w:r>
    </w:p>
    <w:p w14:paraId="0F5539BC"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基金参与认购未上市债券时，基金管理人应代表本基金与对手方签署相关合同或协议，明确约定债券过户具体事宜。否则，基金管理人需对所认购债券的过户事宜承担相应责任。</w:t>
      </w:r>
    </w:p>
    <w:p w14:paraId="5394A88E" w14:textId="77777777" w:rsidR="00E5713C" w:rsidRDefault="00E5713C">
      <w:pPr>
        <w:adjustRightInd w:val="0"/>
        <w:snapToGrid w:val="0"/>
        <w:rPr>
          <w:rFonts w:ascii="彩虹粗仿宋" w:eastAsia="彩虹粗仿宋" w:hAnsi="宋体" w:cs="Arial"/>
          <w:sz w:val="24"/>
        </w:rPr>
      </w:pPr>
    </w:p>
    <w:p w14:paraId="09131F77" w14:textId="77777777" w:rsidR="00E5713C" w:rsidRDefault="00441401">
      <w:pPr>
        <w:pStyle w:val="2"/>
        <w:jc w:val="center"/>
        <w:rPr>
          <w:rFonts w:ascii="彩虹粗仿宋" w:eastAsia="彩虹粗仿宋"/>
          <w:sz w:val="30"/>
        </w:rPr>
      </w:pPr>
      <w:bookmarkStart w:id="65" w:name="_Toc86225294"/>
      <w:bookmarkStart w:id="66" w:name="_Toc86223245"/>
      <w:bookmarkStart w:id="67" w:name="_Toc89163371"/>
      <w:bookmarkStart w:id="68" w:name="_Toc110765663"/>
      <w:bookmarkStart w:id="69" w:name="_Toc118212953"/>
      <w:bookmarkStart w:id="70" w:name="_Toc86727358"/>
      <w:bookmarkStart w:id="71" w:name="_Toc84133788"/>
      <w:bookmarkStart w:id="72" w:name="_Toc86649725"/>
      <w:bookmarkStart w:id="73" w:name="_Toc120435786"/>
      <w:bookmarkStart w:id="74" w:name="_Toc86204791"/>
      <w:bookmarkStart w:id="75" w:name="_Toc118972651"/>
      <w:bookmarkStart w:id="76" w:name="_Toc118774806"/>
      <w:bookmarkStart w:id="77" w:name="_Toc119402713"/>
      <w:bookmarkStart w:id="78" w:name="_Toc86726442"/>
      <w:bookmarkStart w:id="79" w:name="_Toc110761799"/>
      <w:bookmarkStart w:id="80" w:name="_Toc110830495"/>
      <w:bookmarkStart w:id="81" w:name="_Toc108512361"/>
      <w:bookmarkStart w:id="82" w:name="_Toc124325891"/>
      <w:bookmarkStart w:id="83" w:name="_Toc84234437"/>
      <w:bookmarkStart w:id="84" w:name="_Toc84234390"/>
      <w:bookmarkStart w:id="85" w:name="_Toc86737932"/>
      <w:r>
        <w:rPr>
          <w:rFonts w:ascii="彩虹粗仿宋" w:eastAsia="彩虹粗仿宋" w:hint="eastAsia"/>
          <w:sz w:val="30"/>
        </w:rPr>
        <w:t>七、交易及清算交收安排</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3DAABD78"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（一）选择证券、期货买卖的证券、期货经纪机构</w:t>
      </w:r>
    </w:p>
    <w:p w14:paraId="5A3388FF"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管理人负责选择代理本基金财产证券买卖的证券经纪机构，并与其签订证券经纪相关协议。基金管理人、基金托管人和证券经纪机构就本基金参与证券交易的具体事项另行签订证券经纪服务协议，明确三方在本基金参与场内证券买卖中的各类证券交易、证券交收及相关资金交收过程中的职责和义务。</w:t>
      </w:r>
    </w:p>
    <w:p w14:paraId="061B87C4"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管理人应根据有关规定，在基金的中期报告和年度报告中将所选证券经纪机构的有关情况及交易信息予以披露，并将该等情况及基金交易单元号、佣金费率等基本信息以及变更情况及时以书面形式通知基金托管人。</w:t>
      </w:r>
    </w:p>
    <w:p w14:paraId="6934179C"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管理人负责选择代理本基金股指期货交易、股票期权的期货经纪机构，并与其签订期货经纪合同，其他事宜根据法律法规、基金合同的相关规定执行，若无明确规定的，可参照有关证券买卖、证券经纪机构选择的规则执行。</w:t>
      </w:r>
    </w:p>
    <w:p w14:paraId="0E7A985D"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（二）基金投资证券后的清算交收安排</w:t>
      </w:r>
    </w:p>
    <w:p w14:paraId="1033CF5A"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1.清算与交割</w:t>
      </w:r>
    </w:p>
    <w:p w14:paraId="2EA65F93"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基金通过证券经纪机构进行的交易由证券经纪机构作为结算参与人代理本基金进行结算，本基金通过期货经纪机构进行的交易由期货经纪机构作为结算参与人代理本基金进行结算。本基金其它证券交易由基金托管人或相关机构负责结算，场外资金汇划由基金托管人根据基金管理人的场外交易划款指令具体办理。</w:t>
      </w:r>
    </w:p>
    <w:p w14:paraId="3FAD66DD"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证券经纪机构代理本基金财产与中国证券登记结算有限责任公司完成证券交易及非交易涉及的证券资金结算业务，并承担由证券经纪机构原因造成的正常结算、交收业务无法完成的责任；若由于基金管理人原因造成的正常结算业务无法完成，责任由基金管理人承担。</w:t>
      </w:r>
    </w:p>
    <w:p w14:paraId="46A47711" w14:textId="502A6CDC"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对于任何原因发生的证券资金交收违约事件，相关各方应当及时协商解决。 由于相关方过错在清算上造成基金财产的直接损失，应由过错方承担相应责任。</w:t>
      </w:r>
    </w:p>
    <w:p w14:paraId="2E7896FA" w14:textId="77777777" w:rsidR="00E5713C" w:rsidRDefault="00441401">
      <w:pPr>
        <w:adjustRightInd w:val="0"/>
        <w:snapToGrid w:val="0"/>
        <w:ind w:firstLine="480"/>
        <w:rPr>
          <w:rFonts w:ascii="彩虹粗仿宋" w:eastAsia="彩虹粗仿宋" w:hAnsi="宋体" w:cs="宋体"/>
          <w:kern w:val="0"/>
          <w:sz w:val="24"/>
        </w:rPr>
      </w:pPr>
      <w:r>
        <w:rPr>
          <w:rFonts w:ascii="彩虹粗仿宋" w:eastAsia="彩虹粗仿宋" w:hAnsi="宋体" w:cs="宋体"/>
          <w:kern w:val="0"/>
          <w:sz w:val="24"/>
        </w:rPr>
        <w:t>2.交易记录、资金和证券</w:t>
      </w:r>
      <w:r>
        <w:rPr>
          <w:rFonts w:ascii="彩虹粗仿宋" w:eastAsia="彩虹粗仿宋" w:hAnsi="宋体" w:cs="宋体" w:hint="eastAsia"/>
          <w:kern w:val="0"/>
          <w:sz w:val="24"/>
        </w:rPr>
        <w:t>/期货</w:t>
      </w:r>
      <w:r>
        <w:rPr>
          <w:rFonts w:ascii="彩虹粗仿宋" w:eastAsia="彩虹粗仿宋" w:hAnsi="宋体" w:cs="宋体"/>
          <w:kern w:val="0"/>
          <w:sz w:val="24"/>
        </w:rPr>
        <w:t>账目核对的时间和方式</w:t>
      </w:r>
    </w:p>
    <w:p w14:paraId="6344B974" w14:textId="77777777" w:rsidR="00E5713C" w:rsidRDefault="00441401">
      <w:pPr>
        <w:adjustRightInd w:val="0"/>
        <w:snapToGrid w:val="0"/>
        <w:ind w:firstLine="480"/>
        <w:rPr>
          <w:rFonts w:ascii="彩虹粗仿宋" w:eastAsia="彩虹粗仿宋" w:hAnsi="宋体" w:cs="宋体"/>
          <w:kern w:val="0"/>
          <w:sz w:val="24"/>
        </w:rPr>
      </w:pPr>
      <w:r>
        <w:rPr>
          <w:rFonts w:ascii="彩虹粗仿宋" w:eastAsia="彩虹粗仿宋" w:hAnsi="宋体" w:cs="宋体" w:hint="eastAsia"/>
          <w:kern w:val="0"/>
          <w:sz w:val="24"/>
        </w:rPr>
        <w:t>（</w:t>
      </w:r>
      <w:r>
        <w:rPr>
          <w:rFonts w:ascii="彩虹粗仿宋" w:eastAsia="彩虹粗仿宋" w:hAnsi="宋体" w:cs="宋体"/>
          <w:kern w:val="0"/>
          <w:sz w:val="24"/>
        </w:rPr>
        <w:t>1）交易记录的核对</w:t>
      </w:r>
    </w:p>
    <w:p w14:paraId="5E8B7FAA" w14:textId="77777777" w:rsidR="00E5713C" w:rsidRDefault="00441401">
      <w:pPr>
        <w:adjustRightInd w:val="0"/>
        <w:snapToGrid w:val="0"/>
        <w:ind w:firstLine="480"/>
        <w:rPr>
          <w:rFonts w:ascii="彩虹粗仿宋" w:eastAsia="彩虹粗仿宋" w:hAnsi="宋体" w:cs="宋体"/>
          <w:kern w:val="0"/>
          <w:sz w:val="24"/>
        </w:rPr>
      </w:pPr>
      <w:r>
        <w:rPr>
          <w:rFonts w:ascii="彩虹粗仿宋" w:eastAsia="彩虹粗仿宋" w:hAnsi="宋体" w:cs="宋体" w:hint="eastAsia"/>
          <w:kern w:val="0"/>
          <w:sz w:val="24"/>
        </w:rPr>
        <w:t>基金管理人按日进行交易记录的核对。每日对外披露净值之前，必须保证当天所有实际交易记录与基金会计账簿上的交易记录完全一致。如果实际交易记录与会计账簿记录不一致，造成基金会计核算不完整或不真实，由此导致的损失由基金管理人承担。</w:t>
      </w:r>
    </w:p>
    <w:p w14:paraId="28AD8582" w14:textId="77777777" w:rsidR="00E5713C" w:rsidRDefault="00441401">
      <w:pPr>
        <w:adjustRightInd w:val="0"/>
        <w:snapToGrid w:val="0"/>
        <w:ind w:firstLine="480"/>
        <w:rPr>
          <w:rFonts w:ascii="彩虹粗仿宋" w:eastAsia="彩虹粗仿宋" w:hAnsi="宋体" w:cs="宋体"/>
          <w:kern w:val="0"/>
          <w:sz w:val="24"/>
        </w:rPr>
      </w:pPr>
      <w:r>
        <w:rPr>
          <w:rFonts w:ascii="彩虹粗仿宋" w:eastAsia="彩虹粗仿宋" w:hAnsi="宋体" w:cs="宋体" w:hint="eastAsia"/>
          <w:kern w:val="0"/>
          <w:sz w:val="24"/>
        </w:rPr>
        <w:t>（</w:t>
      </w:r>
      <w:r>
        <w:rPr>
          <w:rFonts w:ascii="彩虹粗仿宋" w:eastAsia="彩虹粗仿宋" w:hAnsi="宋体" w:cs="宋体"/>
          <w:kern w:val="0"/>
          <w:sz w:val="24"/>
        </w:rPr>
        <w:t>2）资金账目的核对</w:t>
      </w:r>
    </w:p>
    <w:p w14:paraId="23E7A385" w14:textId="77777777" w:rsidR="00E5713C" w:rsidRDefault="00441401">
      <w:pPr>
        <w:adjustRightInd w:val="0"/>
        <w:snapToGrid w:val="0"/>
        <w:ind w:firstLine="480"/>
        <w:rPr>
          <w:rFonts w:ascii="彩虹粗仿宋" w:eastAsia="彩虹粗仿宋" w:hAnsi="宋体" w:cs="宋体"/>
          <w:kern w:val="0"/>
          <w:sz w:val="24"/>
        </w:rPr>
      </w:pPr>
      <w:r>
        <w:rPr>
          <w:rFonts w:ascii="彩虹粗仿宋" w:eastAsia="彩虹粗仿宋" w:hAnsi="宋体" w:cs="宋体" w:hint="eastAsia"/>
          <w:kern w:val="0"/>
          <w:sz w:val="24"/>
        </w:rPr>
        <w:t>资金账目按日核实。</w:t>
      </w:r>
    </w:p>
    <w:p w14:paraId="0878F040"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（3）证券、</w:t>
      </w:r>
      <w:r>
        <w:rPr>
          <w:rFonts w:ascii="彩虹粗仿宋" w:eastAsia="彩虹粗仿宋" w:hAnsi="宋体" w:cs="Arial"/>
          <w:sz w:val="24"/>
        </w:rPr>
        <w:t>期货</w:t>
      </w:r>
      <w:r>
        <w:rPr>
          <w:rFonts w:ascii="彩虹粗仿宋" w:eastAsia="彩虹粗仿宋" w:hAnsi="宋体" w:cs="Arial" w:hint="eastAsia"/>
          <w:sz w:val="24"/>
        </w:rPr>
        <w:t>账目的核对</w:t>
      </w:r>
    </w:p>
    <w:p w14:paraId="22A56CF1"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基金管理人和基金托管人每交易日结束后核对基金证券、</w:t>
      </w:r>
      <w:r>
        <w:rPr>
          <w:rFonts w:ascii="彩虹粗仿宋" w:eastAsia="彩虹粗仿宋" w:hAnsi="宋体" w:cs="Arial"/>
          <w:sz w:val="24"/>
        </w:rPr>
        <w:t>期货</w:t>
      </w:r>
      <w:r>
        <w:rPr>
          <w:rFonts w:ascii="彩虹粗仿宋" w:eastAsia="彩虹粗仿宋" w:hAnsi="宋体" w:cs="Arial" w:hint="eastAsia"/>
          <w:sz w:val="24"/>
        </w:rPr>
        <w:t>账目，确保双方账目相符。</w:t>
      </w:r>
    </w:p>
    <w:p w14:paraId="3F511B0A" w14:textId="77777777" w:rsidR="00E5713C" w:rsidRDefault="00441401">
      <w:pPr>
        <w:ind w:firstLine="420"/>
        <w:rPr>
          <w:rFonts w:ascii="彩虹粗仿宋" w:eastAsia="彩虹粗仿宋" w:hAnsi="宋体" w:cs="Arial"/>
          <w:sz w:val="24"/>
        </w:rPr>
      </w:pPr>
      <w:r>
        <w:rPr>
          <w:rFonts w:ascii="彩虹粗仿宋" w:eastAsia="彩虹粗仿宋" w:hAnsi="宋体" w:cs="Arial" w:hint="eastAsia"/>
          <w:sz w:val="24"/>
        </w:rPr>
        <w:t>（三）基金申购和赎回业务处理的基本规定</w:t>
      </w:r>
    </w:p>
    <w:p w14:paraId="25871F08"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1.基金份额申购、赎回的确认、清算由基金管理人或其委托的登记机构负责。</w:t>
      </w:r>
    </w:p>
    <w:p w14:paraId="4BBE4BEC"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2.基金管理人应将每个开放日的申购、赎回、转换开放式基金的数据传送给基金托管人。基金管理人应对传递的申购、赎回、转换开放式基金的数据真实性负责。基金托管人应及时查收申购及转入资金的到账情况并根据基金管理人指令及时划付赎回及转出款项。</w:t>
      </w:r>
    </w:p>
    <w:p w14:paraId="5E738AA7"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3.基金管理人应保证本基金（或本基金管理人委托）的登记机构每个工作日15:00前向基金托管人发送前一开放日上述有关数据，并保证相关数据的准确、完整。</w:t>
      </w:r>
    </w:p>
    <w:p w14:paraId="119B146B"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4.登记机构应通过与基金托管人建立的加密系统发送有关数据，如因各种原因，该系统无法正常发送，双方可协商解决处理方式。基金管理人向基金托管人发送的数据，双方各自按有关规定保存。</w:t>
      </w:r>
    </w:p>
    <w:p w14:paraId="056B07FE"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5.如基金管理人委托其他机构办理本基金的注册登记业务，应保证上述相关事宜按时进行。否则，由基金管理人承担相应的责任。</w:t>
      </w:r>
    </w:p>
    <w:p w14:paraId="761E5ACF"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6.关于清算专用账户的设立和管理</w:t>
      </w:r>
    </w:p>
    <w:p w14:paraId="058EB89B"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为满足申购、赎回及分红资金汇划的需要，由基金管理人开立资金清算的专用账户，该账户由登记机构管理。</w:t>
      </w:r>
    </w:p>
    <w:p w14:paraId="4F4CBA18"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7.对于基金申购过程中产生的应收款，应由基金管理人负责与有关当事人确定到账日期并通知基金托管人，到账日应收款没有到达基金托管资金账户的，基金托管人应及时通知基金管理人采取措施进行催收，由此造成基金损失的，基金管理人应负责向有关当事人追偿基金的损失。</w:t>
      </w:r>
    </w:p>
    <w:p w14:paraId="4D8C15DE"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8.赎回和分红资金划拨规定</w:t>
      </w:r>
    </w:p>
    <w:p w14:paraId="122FB5C0" w14:textId="069F1675"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拨付赎回款或进行基金分红时，如基金托管资金账户有足够的资金，基金托管人应按时拨付；因基金托管资金账户没有足够的资金，导致基金托管人不能按时拨付，如系基金管理人的原因造成，责任由基金管理人承担，基金托管人不承担垫款义务。</w:t>
      </w:r>
    </w:p>
    <w:p w14:paraId="4B5C40E5"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9.资金指令</w:t>
      </w:r>
    </w:p>
    <w:p w14:paraId="2D32693C"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除申购款项到达基金托管资金账户需双方按约定方式对账外，回购到期付款和与投资有关的付款、赎回和分红资金划拨时，基金管理人需向基金托管人下达指令。</w:t>
      </w:r>
    </w:p>
    <w:p w14:paraId="01FBE6B0"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资金指令的格式、内容、发送、接收和确认方式等与投资指令相同。</w:t>
      </w:r>
    </w:p>
    <w:p w14:paraId="37CD90C8"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（四）申购、赎回的资金清算</w:t>
      </w:r>
    </w:p>
    <w:p w14:paraId="5579CE60" w14:textId="655A5072"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基金托管资金账户与“基金清算账户”间的资金结算遵循“全额清算、净额交收”的原则，每日按照托管资金账户应收资金与应付资金的差额来确定当日托管资金账户净应收额或净应付额，以此确定资金交收额。如存在托管资金账户净应收额时，基金管理人应在交收日15:00之前从基金清算账户划到基金托管资金账户；如存在托管资金账户净应付额时，基金管理人应在交收日10：00前将划款指令发送给基金托管人，基金托管人按基金管理人的划款指令将托管资金账户净应付额在交收15:00前划往基金清算账户。</w:t>
      </w:r>
    </w:p>
    <w:p w14:paraId="3CEF1DF4"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基金管理人和基金托管人也可经协商一致后，在法律法规规定和《基金合同》约定的范围内，采取其他可行的交收方式。</w:t>
      </w:r>
    </w:p>
    <w:p w14:paraId="3C5CF4C1"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（五）基金转换</w:t>
      </w:r>
    </w:p>
    <w:p w14:paraId="55266528"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1.在本基金与基金管理人管理的其它基金开展转换业务之前，基金管理人应函告基金托管人并就相关事宜进行协商。</w:t>
      </w:r>
    </w:p>
    <w:p w14:paraId="3D038F97"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2.基金托管人将根据基金管理人传送的基金转换数据进行账务处理，具体资金清算和数据传递的时间、程序及托管协议当事人承担的权责按基金管理人届时的公告执行。</w:t>
      </w:r>
    </w:p>
    <w:p w14:paraId="4CA86873"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3.本基金开展基金转换业务应按相关法律法规规定及《基金合同》的约定进行公告。</w:t>
      </w:r>
    </w:p>
    <w:p w14:paraId="73BBE063"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（六）基金现金分红</w:t>
      </w:r>
    </w:p>
    <w:p w14:paraId="099C234A"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1.基金管理人确定分红方案通知基金托管人，双方核定后</w:t>
      </w:r>
      <w:r>
        <w:rPr>
          <w:rFonts w:ascii="彩虹粗仿宋" w:eastAsia="彩虹粗仿宋" w:hint="eastAsia"/>
          <w:sz w:val="24"/>
          <w:szCs w:val="18"/>
        </w:rPr>
        <w:t>依照《信息披露办法》的有关规定在中国证监会规定媒介上公告</w:t>
      </w:r>
      <w:r>
        <w:rPr>
          <w:rFonts w:ascii="彩虹粗仿宋" w:eastAsia="彩虹粗仿宋" w:hAnsi="宋体" w:cs="Arial" w:hint="eastAsia"/>
          <w:sz w:val="24"/>
        </w:rPr>
        <w:t>。</w:t>
      </w:r>
    </w:p>
    <w:p w14:paraId="460281F5"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2.基金托管人和基金管理人对基金分红进行账务处理并核对后，基金管理人向基金托管人发送现金红利的划款指令，基金托管人应及时将资金划入专用账户。</w:t>
      </w:r>
    </w:p>
    <w:p w14:paraId="6940770F" w14:textId="77777777" w:rsidR="00E5713C" w:rsidRDefault="00441401">
      <w:pPr>
        <w:ind w:firstLine="480"/>
        <w:rPr>
          <w:rFonts w:ascii="彩虹粗仿宋" w:eastAsia="彩虹粗仿宋" w:hAnsi="宋体" w:cs="Arial"/>
          <w:sz w:val="24"/>
        </w:rPr>
      </w:pPr>
      <w:r>
        <w:rPr>
          <w:rFonts w:ascii="彩虹粗仿宋" w:eastAsia="彩虹粗仿宋" w:hAnsi="宋体" w:cs="Arial" w:hint="eastAsia"/>
          <w:sz w:val="24"/>
        </w:rPr>
        <w:t>3.基金管理人在下达指令时，应给基金托管人留出必需的划款时间。</w:t>
      </w:r>
    </w:p>
    <w:p w14:paraId="6924593B" w14:textId="54CD0625"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（七）投资银行存款的特别约定</w:t>
      </w:r>
    </w:p>
    <w:p w14:paraId="32802405"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1.本基金投资银行存款前，基金管理人应与存款银行签订具体存款协议，包括但不限于以下内容：</w:t>
      </w:r>
    </w:p>
    <w:p w14:paraId="78F2A9C2" w14:textId="77777777" w:rsidR="00E5713C" w:rsidRDefault="00441401">
      <w:pPr>
        <w:adjustRightInd w:val="0"/>
        <w:snapToGrid w:val="0"/>
        <w:ind w:firstLine="480"/>
        <w:rPr>
          <w:rFonts w:ascii="彩虹粗仿宋" w:eastAsia="彩虹粗仿宋" w:hAnsi="宋体"/>
          <w:bCs/>
          <w:sz w:val="24"/>
        </w:rPr>
      </w:pPr>
      <w:r>
        <w:rPr>
          <w:rFonts w:ascii="彩虹粗仿宋" w:eastAsia="彩虹粗仿宋" w:hAnsi="宋体" w:cs="Arial" w:hint="eastAsia"/>
          <w:sz w:val="24"/>
        </w:rPr>
        <w:t>（1）</w:t>
      </w:r>
      <w:r>
        <w:rPr>
          <w:rFonts w:ascii="彩虹粗仿宋" w:eastAsia="彩虹粗仿宋" w:hAnsi="宋体" w:hint="eastAsia"/>
          <w:bCs/>
          <w:sz w:val="24"/>
        </w:rPr>
        <w:t>存款账户必须以本基金名义开立,并将基金托管人为本</w:t>
      </w:r>
      <w:r>
        <w:rPr>
          <w:rFonts w:ascii="彩虹粗仿宋" w:eastAsia="彩虹粗仿宋" w:hAnsi="宋体" w:cs="Arial" w:hint="eastAsia"/>
          <w:sz w:val="24"/>
        </w:rPr>
        <w:t>基金开立的基金托管资金账户</w:t>
      </w:r>
      <w:r>
        <w:rPr>
          <w:rFonts w:ascii="彩虹粗仿宋" w:eastAsia="彩虹粗仿宋" w:hAnsi="宋体" w:hint="eastAsia"/>
          <w:bCs/>
          <w:sz w:val="24"/>
        </w:rPr>
        <w:t>指定为唯一回款账户，</w:t>
      </w:r>
      <w:r>
        <w:rPr>
          <w:rFonts w:ascii="彩虹粗仿宋" w:eastAsia="彩虹粗仿宋" w:hint="eastAsia"/>
          <w:sz w:val="24"/>
        </w:rPr>
        <w:t>任何情况下，存款银行都不得将存款投资本息划往任何其他账户。</w:t>
      </w:r>
    </w:p>
    <w:p w14:paraId="10675E6E" w14:textId="77777777" w:rsidR="00E5713C" w:rsidRDefault="00441401">
      <w:pPr>
        <w:adjustRightInd w:val="0"/>
        <w:snapToGrid w:val="0"/>
        <w:ind w:firstLine="480"/>
        <w:rPr>
          <w:rFonts w:ascii="彩虹粗仿宋" w:eastAsia="彩虹粗仿宋"/>
          <w:sz w:val="24"/>
        </w:rPr>
      </w:pPr>
      <w:r>
        <w:rPr>
          <w:rFonts w:ascii="彩虹粗仿宋" w:eastAsia="彩虹粗仿宋" w:hAnsi="宋体" w:hint="eastAsia"/>
          <w:bCs/>
          <w:sz w:val="24"/>
        </w:rPr>
        <w:t>（2）</w:t>
      </w:r>
      <w:r>
        <w:rPr>
          <w:rFonts w:ascii="彩虹粗仿宋" w:eastAsia="彩虹粗仿宋" w:hint="eastAsia"/>
          <w:sz w:val="24"/>
        </w:rPr>
        <w:t>存款银行不得接受基金管理人或基金托管人任何一方单方面提出的对存款进行更名、转让、挂失、质押、担保、撤销、变更印鉴及回款账户信息等可能导致财产转移的操作申请。</w:t>
      </w:r>
    </w:p>
    <w:p w14:paraId="689E6B9D" w14:textId="77777777" w:rsidR="00E5713C" w:rsidRDefault="00441401">
      <w:pPr>
        <w:adjustRightInd w:val="0"/>
        <w:snapToGrid w:val="0"/>
        <w:ind w:firstLine="480"/>
        <w:rPr>
          <w:rFonts w:ascii="彩虹粗仿宋" w:eastAsia="彩虹粗仿宋"/>
          <w:sz w:val="24"/>
        </w:rPr>
      </w:pPr>
      <w:r>
        <w:rPr>
          <w:rFonts w:ascii="彩虹粗仿宋" w:eastAsia="彩虹粗仿宋" w:hint="eastAsia"/>
          <w:sz w:val="24"/>
        </w:rPr>
        <w:t>（3）约定存款证实书的具体传递交接方式及交接期限。</w:t>
      </w:r>
    </w:p>
    <w:p w14:paraId="20935515" w14:textId="77777777" w:rsidR="00E5713C" w:rsidRDefault="00441401">
      <w:pPr>
        <w:adjustRightInd w:val="0"/>
        <w:snapToGrid w:val="0"/>
        <w:ind w:firstLine="480"/>
        <w:rPr>
          <w:rFonts w:ascii="彩虹粗仿宋" w:eastAsia="彩虹粗仿宋"/>
          <w:sz w:val="24"/>
        </w:rPr>
      </w:pPr>
      <w:r>
        <w:rPr>
          <w:rFonts w:ascii="彩虹粗仿宋" w:eastAsia="彩虹粗仿宋" w:hint="eastAsia"/>
          <w:sz w:val="24"/>
        </w:rPr>
        <w:t>（4）资金划转过程中需要使用存款银行过渡账户的，存款银行须保证资金在过渡账户中不出现滞留，不被挪用。</w:t>
      </w:r>
    </w:p>
    <w:p w14:paraId="4F33C172"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2.本基金投资银行存款，必须采用双方认可的方式办理。基金</w:t>
      </w:r>
      <w:r>
        <w:rPr>
          <w:rFonts w:ascii="彩虹粗仿宋" w:eastAsia="彩虹粗仿宋" w:hAnsi="宋体" w:hint="eastAsia"/>
          <w:bCs/>
          <w:sz w:val="24"/>
        </w:rPr>
        <w:t>托管人负责依据</w:t>
      </w:r>
      <w:r>
        <w:rPr>
          <w:rFonts w:ascii="彩虹粗仿宋" w:eastAsia="彩虹粗仿宋" w:hAnsi="宋体" w:cs="Arial" w:hint="eastAsia"/>
          <w:sz w:val="24"/>
        </w:rPr>
        <w:t>基金</w:t>
      </w:r>
      <w:r>
        <w:rPr>
          <w:rFonts w:ascii="彩虹粗仿宋" w:eastAsia="彩虹粗仿宋" w:hAnsi="宋体" w:hint="eastAsia"/>
          <w:bCs/>
          <w:sz w:val="24"/>
        </w:rPr>
        <w:t>管理人提供的银行存款投资合同/协议、投资指令、支取通知等有关文件办理资金的支付以及存款证实书的接收、保管与交付，切实履行托管职责。</w:t>
      </w:r>
      <w:r>
        <w:rPr>
          <w:rFonts w:ascii="彩虹粗仿宋" w:eastAsia="彩虹粗仿宋" w:hAnsi="宋体" w:cs="Arial" w:hint="eastAsia"/>
          <w:sz w:val="24"/>
        </w:rPr>
        <w:t>基金</w:t>
      </w:r>
      <w:r>
        <w:rPr>
          <w:rFonts w:ascii="彩虹粗仿宋" w:eastAsia="彩虹粗仿宋" w:hAnsi="宋体" w:hint="eastAsia"/>
          <w:bCs/>
          <w:sz w:val="24"/>
        </w:rPr>
        <w:t>托管人负责对存款开户证实书进行保管，</w:t>
      </w:r>
      <w:r>
        <w:rPr>
          <w:rFonts w:ascii="彩虹粗仿宋" w:eastAsia="彩虹粗仿宋" w:hint="eastAsia"/>
          <w:sz w:val="24"/>
        </w:rPr>
        <w:t>不负责对存款开户证实书真伪的辨别，不承担存款开户证实书对应存款的本金及收益的安全</w:t>
      </w:r>
      <w:r>
        <w:rPr>
          <w:rFonts w:ascii="彩虹粗仿宋" w:eastAsia="彩虹粗仿宋" w:hAnsi="宋体" w:hint="eastAsia"/>
          <w:bCs/>
          <w:sz w:val="24"/>
        </w:rPr>
        <w:t>。</w:t>
      </w:r>
      <w:r>
        <w:rPr>
          <w:rFonts w:ascii="彩虹粗仿宋" w:eastAsia="彩虹粗仿宋" w:hAnsi="宋体" w:cs="Arial" w:hint="eastAsia"/>
          <w:sz w:val="24"/>
        </w:rPr>
        <w:t xml:space="preserve">    </w:t>
      </w:r>
    </w:p>
    <w:p w14:paraId="0F9122CF"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基金管理人投资银行存款或办理存款支取时，应提前书面或其他双方认可的方式通知基金托管人，以便基金托管人有足够的时间履行相应的业务操作程序。因发生逾期支取、提前支取或部分提前支取，基金托管人不承担相应利息损失及逾期支取手续费。</w:t>
      </w:r>
    </w:p>
    <w:p w14:paraId="4DF1245C"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4.对于已移交基金托管人保管的存款开户证实书等实物凭证，基金托管人应确保安全保管；对未按约定将存款开户证实书等实物凭证移交基金托管人保管的，基金托管人应向基金管理人进行必要的催缴和风险提示；提示后仍不将相关实物凭证送达基金托管人保管的，出于托管履职和尽责，基金托管人可视情况采取必要的风险控制措施：（1）建立风险预警机制，对于实物凭证未送达集中度较高的存款银行，主动发函基金管理人尽量避免在此类银行进行存款投资；（2）在定期报告中，对未按约定送达基金托管人保管的实物凭证信息进行规定范围信息披露；（3）未送达实物凭证超过送单截止日后30个工作日，且累计超过3笔（含）以上的，部分或全部暂停配合基金管理人办理后续新增存款投资业务，直至实物凭证送达基金托管人保管后解除。实物凭证未送达但存款本息已安全划回托管资金账户的，以及因发生特殊情况由基金管理人提供相关书面说明并重新承诺送单截止时间的，可剔除不计。</w:t>
      </w:r>
    </w:p>
    <w:p w14:paraId="370CAA00" w14:textId="77777777" w:rsidR="00E5713C" w:rsidRDefault="00E5713C">
      <w:pPr>
        <w:adjustRightInd w:val="0"/>
        <w:snapToGrid w:val="0"/>
        <w:rPr>
          <w:rFonts w:ascii="彩虹粗仿宋" w:eastAsia="彩虹粗仿宋" w:hAnsi="宋体" w:cs="Arial"/>
          <w:sz w:val="24"/>
        </w:rPr>
      </w:pPr>
    </w:p>
    <w:p w14:paraId="7BE28DE6" w14:textId="77777777" w:rsidR="00E5713C" w:rsidRDefault="00441401">
      <w:pPr>
        <w:pStyle w:val="2"/>
        <w:jc w:val="center"/>
        <w:rPr>
          <w:rFonts w:ascii="彩虹粗仿宋" w:eastAsia="彩虹粗仿宋"/>
          <w:sz w:val="30"/>
        </w:rPr>
      </w:pPr>
      <w:bookmarkStart w:id="86" w:name="_Toc124325892"/>
      <w:r>
        <w:rPr>
          <w:rFonts w:ascii="彩虹粗仿宋" w:eastAsia="彩虹粗仿宋" w:hint="eastAsia"/>
          <w:sz w:val="30"/>
        </w:rPr>
        <w:t>八、基金资产净值计算和会计核算</w:t>
      </w:r>
      <w:bookmarkEnd w:id="86"/>
    </w:p>
    <w:p w14:paraId="3D6AB0D5"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（一）基金资产净值的计算、复核与完成的时间及程序</w:t>
      </w:r>
    </w:p>
    <w:p w14:paraId="410EB405" w14:textId="6E860B92"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基金资产净值是指基金资产总值减去基金负债后的价值。各类基金份额净值是按照每个估值日闭市后，各类基金份额的基金资产净值除以当日该类基金份额的余额数量计算，精确到0.0001元，小数点后第5位四舍五入。基金管理人可以设立大额赎回情形下的净值精度应急调整机制。国家另有规定的，从其规定。</w:t>
      </w:r>
    </w:p>
    <w:p w14:paraId="6C1CF915" w14:textId="14A851BE"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基金管理人应每个估值日计算基金资产净值及各类基金份额的基金份额净值，并按规定披露。</w:t>
      </w:r>
    </w:p>
    <w:p w14:paraId="2E8C8F98" w14:textId="0094750C"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基金管理人应每个估值日对基金资产估值，但基金管理人根据法律法规或基金合同的规定暂停估值时除外。基金管理人每个估值日对基金资产估值后，将各类基金份额的基金份额净值结果发送基金托管人，经基金托管人复核无误后，由基金管理人按规定对外公布。</w:t>
      </w:r>
    </w:p>
    <w:p w14:paraId="616D8286"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（二）基金资产估值方法和特殊情形的处理</w:t>
      </w:r>
    </w:p>
    <w:p w14:paraId="41353362" w14:textId="77777777" w:rsidR="00E5713C" w:rsidRDefault="00441401">
      <w:pPr>
        <w:adjustRightInd w:val="0"/>
        <w:snapToGrid w:val="0"/>
        <w:ind w:firstLineChars="200" w:firstLine="480"/>
        <w:rPr>
          <w:rFonts w:ascii="彩虹粗仿宋" w:eastAsia="彩虹粗仿宋" w:hAnsi="宋体" w:cs="Arial"/>
          <w:sz w:val="24"/>
        </w:rPr>
      </w:pPr>
      <w:bookmarkStart w:id="87" w:name="_Hlk195708039"/>
      <w:r>
        <w:rPr>
          <w:rFonts w:ascii="彩虹粗仿宋" w:eastAsia="彩虹粗仿宋" w:hAnsi="宋体" w:cs="Arial" w:hint="eastAsia"/>
          <w:sz w:val="24"/>
        </w:rPr>
        <w:t>1.估值对象</w:t>
      </w:r>
    </w:p>
    <w:p w14:paraId="3101153D" w14:textId="5A5AFC43"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基金所拥有的目标ETF基金份额、股票、债券、银行存款本息、应收款项、金融衍生品、资产支持证券和其他投资等资产及负债。</w:t>
      </w:r>
    </w:p>
    <w:p w14:paraId="11988873"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2.估值方法</w:t>
      </w:r>
    </w:p>
    <w:p w14:paraId="23B75B9A"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A、目标ETF的估值</w:t>
      </w:r>
    </w:p>
    <w:p w14:paraId="4C41E2C9"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本基金投资的目标ETF份额以其估值日基金份额净值估值，如该日目标ETF未公布净值，则按目标ETF最近公布的净值估值。</w:t>
      </w:r>
    </w:p>
    <w:p w14:paraId="16A60992"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B、以公允价值计量的权益品种的估值</w:t>
      </w:r>
    </w:p>
    <w:p w14:paraId="7AC9E3A0"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2E2E7D2B"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（2）交易所上市不存在活跃市场的有价证券，采用估值技术确定公允价值。</w:t>
      </w:r>
    </w:p>
    <w:p w14:paraId="4884A0D4"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（3）交易所处于未上市期间的有价权益证券应区分如下情况处理：</w:t>
      </w:r>
    </w:p>
    <w:p w14:paraId="231AC66D"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1）送股、转增股、配股和公开增发的新股，按估值日在证券交易所挂牌的同一股票的估值方法估值；该日无交易的，以最近一日的市价（收盘价）估值。</w:t>
      </w:r>
    </w:p>
    <w:p w14:paraId="553AFC2B"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2）首次公开发行未上市的股票，采用估值技术确定公允价值。</w:t>
      </w:r>
    </w:p>
    <w:p w14:paraId="52E8DCC7"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4A6AB25B"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C、以公允价值计量的固定收益品种的估值</w:t>
      </w:r>
    </w:p>
    <w:p w14:paraId="7A4934C2"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（1）对于已上市或已挂牌转让的不含权固定收益品种（另有规定的除外），选取第三方估值基准服务机构提供的相应品种当日的估值全价，基金管理人应根据相关法律、法规的规定进行涉税处理（下同）。</w:t>
      </w:r>
    </w:p>
    <w:p w14:paraId="6579DF4D"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（2）对于已上市或已挂牌转让的含权固定收益品种（另有规定的除外），选取第三方估值基准服务机构提供的相应品种当日的唯一估值全价或推荐估值全价。</w:t>
      </w:r>
    </w:p>
    <w:p w14:paraId="0F786B50"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19B9837A"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7CF5A79F"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（4）对于未上市或未挂牌转让且不存在活跃市场的固定收益品种，应采用在当前情况下适用并且有足够可利用数据和其他信息支持的估值技术确定其公允价值。</w:t>
      </w:r>
    </w:p>
    <w:p w14:paraId="772C89D3"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5）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02B068A7" w14:textId="6F8C8B4D"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6）当基金管理人认为第三方估值基准服务机构发布的估值或估值区间未能体现公允价值时，基金管理人应综合第三方估值基准服务机构估值结果以及内部评估结果，经与基金托管人协商，谨慎确定公允价值，并按相关法规的规定，发布相关公告，充分披露确定公允价值的方法、相关估值结果等信息</w:t>
      </w:r>
    </w:p>
    <w:p w14:paraId="44AB9207"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D、同一证券同时在两个或两个以上市场交易的，按证券所处的市场分别估值。</w:t>
      </w:r>
    </w:p>
    <w:p w14:paraId="050DFBB4"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E、本基金投资股指期货合约，一般以估值当日结算价进行估值，估值当日无结算价的，且最近交易日后经济环境未发生重大变化的，采用最近交易日结算价估值。如法律法规今后另有规定的，从其规定。</w:t>
      </w:r>
    </w:p>
    <w:p w14:paraId="047DD4C1"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本基金投资股票期权合约，根据相关法律法规以及监管部门的规定估值。</w:t>
      </w:r>
    </w:p>
    <w:p w14:paraId="6A57919B"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F、基金参与融资和转融通证券出借业务的，应参照相关法律法规和中国证券投资基金业协会发布的相关规定进行估值，确保估值的公允性。</w:t>
      </w:r>
    </w:p>
    <w:p w14:paraId="3C79C891"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G、当发生大额申购或赎回情形时，基金管理人可以采用摆动定价机制，以确保基金估值的公平性。具体处理原则与操作规范遵循相关法律法规以及监管部门、自律组织的规定。</w:t>
      </w:r>
    </w:p>
    <w:p w14:paraId="271033AD"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H、本基金投资存托凭证的估值核算依照境内上市交易的股票执行。</w:t>
      </w:r>
    </w:p>
    <w:p w14:paraId="339B34E3"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I、如有确凿证据表明按原有方法进行估值不能客观反映上述资产或负债公允价值的，基金管理人可根据具体情况与基金托管人商定后，按最能反映公允价值的方法估值。</w:t>
      </w:r>
    </w:p>
    <w:p w14:paraId="5F11ACC2" w14:textId="4ECA39A4"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J、相关法律法规以及监管部门、自律规则另有规定的，从其规定。如有新增事项，按国家最新规定估值。</w:t>
      </w:r>
    </w:p>
    <w:p w14:paraId="441D7474"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39096826" w14:textId="77777777" w:rsidR="00E5713C" w:rsidRDefault="00441401">
      <w:pPr>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基金管理人向基金托管人出具盖章的书面说明后，按照基金管理人对基金净值信息的计算结果对外予以公布。</w:t>
      </w:r>
    </w:p>
    <w:p w14:paraId="38ED43C2" w14:textId="77777777" w:rsidR="00E5713C" w:rsidRDefault="00441401">
      <w:pPr>
        <w:adjustRightInd w:val="0"/>
        <w:snapToGrid w:val="0"/>
        <w:ind w:firstLine="480"/>
        <w:rPr>
          <w:rStyle w:val="read"/>
          <w:rFonts w:ascii="彩虹粗仿宋" w:eastAsia="彩虹粗仿宋" w:hAnsi="宋体" w:cs="Arial"/>
          <w:sz w:val="24"/>
        </w:rPr>
      </w:pPr>
      <w:r>
        <w:rPr>
          <w:rStyle w:val="read"/>
          <w:rFonts w:ascii="彩虹粗仿宋" w:eastAsia="彩虹粗仿宋" w:hAnsi="宋体" w:cs="Arial" w:hint="eastAsia"/>
          <w:sz w:val="24"/>
        </w:rPr>
        <w:t>3.特殊情形的处理</w:t>
      </w:r>
    </w:p>
    <w:p w14:paraId="014D4E09" w14:textId="5E33BBD1" w:rsidR="00E5713C" w:rsidRDefault="00441401">
      <w:pPr>
        <w:adjustRightInd w:val="0"/>
        <w:snapToGrid w:val="0"/>
        <w:ind w:firstLine="480"/>
        <w:rPr>
          <w:rStyle w:val="read"/>
          <w:rFonts w:ascii="彩虹粗仿宋" w:eastAsia="彩虹粗仿宋" w:hAnsi="宋体" w:cs="Arial"/>
          <w:sz w:val="24"/>
        </w:rPr>
      </w:pPr>
      <w:r>
        <w:rPr>
          <w:rStyle w:val="read"/>
          <w:rFonts w:ascii="彩虹粗仿宋" w:eastAsia="彩虹粗仿宋" w:hAnsi="宋体" w:cs="Arial" w:hint="eastAsia"/>
          <w:sz w:val="24"/>
        </w:rPr>
        <w:t>（1）基金管理人或基金托管人按估值方法的第I项进行估值时，所造成的误差不作为基金资产估值错误处理。</w:t>
      </w:r>
    </w:p>
    <w:p w14:paraId="0DB7599B" w14:textId="01B91E71" w:rsidR="00E5713C" w:rsidRDefault="00441401">
      <w:pPr>
        <w:adjustRightInd w:val="0"/>
        <w:snapToGrid w:val="0"/>
        <w:ind w:firstLineChars="200" w:firstLine="480"/>
        <w:rPr>
          <w:rStyle w:val="read"/>
          <w:rFonts w:ascii="彩虹粗仿宋" w:eastAsia="彩虹粗仿宋" w:hAnsi="宋体" w:cs="Arial"/>
          <w:sz w:val="24"/>
        </w:rPr>
      </w:pPr>
      <w:r>
        <w:rPr>
          <w:rStyle w:val="read"/>
          <w:rFonts w:ascii="彩虹粗仿宋" w:eastAsia="彩虹粗仿宋" w:hAnsi="宋体" w:cs="Arial" w:hint="eastAsia"/>
          <w:sz w:val="24"/>
        </w:rPr>
        <w:t>（2）</w:t>
      </w:r>
      <w:bookmarkStart w:id="88" w:name="OLE_LINK15"/>
      <w:r>
        <w:rPr>
          <w:rStyle w:val="read"/>
          <w:rFonts w:ascii="彩虹粗仿宋" w:eastAsia="彩虹粗仿宋" w:hAnsi="宋体" w:cs="Arial" w:hint="eastAsia"/>
          <w:sz w:val="24"/>
        </w:rPr>
        <w:t>由于不可抗力，或由于证券/期货交易所、登记机构、指数编制机构、估值基准服务机构等第三方机构发送的数据错误，或国家会计政策变更、市场规则变更等非基金管理人与基金托管人原因，基金管理人和基金托管人虽然已经采取必要、适当、合理的措施进行检查，但未能发现错误或因上述原因未能及时更正，由此造成的基金资产估值错误，基金管理人和基金托管人免除赔偿责任。但基金管理人、基金托管人应当积极采取必要的措施减轻或消除由此造成的影响。</w:t>
      </w:r>
      <w:bookmarkEnd w:id="88"/>
    </w:p>
    <w:p w14:paraId="4DF55AD6" w14:textId="77777777" w:rsidR="00E5713C" w:rsidRDefault="00441401">
      <w:pPr>
        <w:adjustRightInd w:val="0"/>
        <w:snapToGrid w:val="0"/>
        <w:ind w:firstLineChars="200" w:firstLine="480"/>
        <w:rPr>
          <w:rStyle w:val="read"/>
          <w:rFonts w:ascii="彩虹粗仿宋" w:eastAsia="彩虹粗仿宋"/>
          <w:sz w:val="24"/>
        </w:rPr>
      </w:pPr>
      <w:r>
        <w:rPr>
          <w:rStyle w:val="read"/>
          <w:rFonts w:ascii="彩虹粗仿宋" w:eastAsia="彩虹粗仿宋" w:hint="eastAsia"/>
          <w:sz w:val="24"/>
        </w:rPr>
        <w:t>（三）基金份额净值错误的处理方式</w:t>
      </w:r>
    </w:p>
    <w:p w14:paraId="58AAACAE" w14:textId="77777777" w:rsidR="00E5713C" w:rsidRDefault="00441401">
      <w:pPr>
        <w:adjustRightInd w:val="0"/>
        <w:snapToGrid w:val="0"/>
        <w:ind w:firstLineChars="200" w:firstLine="480"/>
        <w:rPr>
          <w:rStyle w:val="read"/>
          <w:rFonts w:ascii="彩虹粗仿宋" w:eastAsia="彩虹粗仿宋"/>
          <w:sz w:val="24"/>
        </w:rPr>
      </w:pPr>
      <w:r>
        <w:rPr>
          <w:rStyle w:val="read"/>
          <w:rFonts w:ascii="彩虹粗仿宋" w:eastAsia="彩虹粗仿宋" w:hint="eastAsia"/>
          <w:sz w:val="24"/>
        </w:rPr>
        <w:t>1、任一类当基金份额净值小数点后4位以内(含第4位)发生差错时，视为该类基金份额净值错误；基金份额净值计算出现错误时，基金管理人应当立即予以纠正，通报基金托管人，并采取合理的措施防止损失进一步扩大。</w:t>
      </w:r>
    </w:p>
    <w:p w14:paraId="26AF64C8" w14:textId="77777777" w:rsidR="00E5713C" w:rsidRDefault="00441401">
      <w:pPr>
        <w:adjustRightInd w:val="0"/>
        <w:snapToGrid w:val="0"/>
        <w:ind w:firstLineChars="200" w:firstLine="480"/>
        <w:rPr>
          <w:rStyle w:val="read"/>
          <w:rFonts w:ascii="彩虹粗仿宋" w:eastAsia="彩虹粗仿宋"/>
          <w:sz w:val="24"/>
        </w:rPr>
      </w:pPr>
      <w:r>
        <w:rPr>
          <w:rStyle w:val="read"/>
          <w:rFonts w:ascii="彩虹粗仿宋" w:eastAsia="彩虹粗仿宋" w:hint="eastAsia"/>
          <w:sz w:val="24"/>
        </w:rPr>
        <w:t>2、错误偏差达到该类基金份额净值的0.25%时，基金管理人应当通报基金托管人并报中国证监会备案；错误偏差达到该类基金份额净值的0.5%时，基金管理人应当公告并报中国证监会备案，当发生净值计算错误时，由基金管理人负责处理，由此给基金份额持有人和基金造成损失的，应由基金管理人先行赔付，基金管理人按差错情形，有权向其他当事人追偿。</w:t>
      </w:r>
    </w:p>
    <w:p w14:paraId="31BA10C4" w14:textId="77777777" w:rsidR="00E5713C" w:rsidRDefault="00441401">
      <w:pPr>
        <w:adjustRightInd w:val="0"/>
        <w:snapToGrid w:val="0"/>
        <w:ind w:firstLineChars="200" w:firstLine="480"/>
        <w:rPr>
          <w:rStyle w:val="read"/>
          <w:rFonts w:ascii="彩虹粗仿宋" w:eastAsia="彩虹粗仿宋"/>
          <w:sz w:val="24"/>
        </w:rPr>
      </w:pPr>
      <w:r>
        <w:rPr>
          <w:rStyle w:val="read"/>
          <w:rFonts w:ascii="彩虹粗仿宋" w:eastAsia="彩虹粗仿宋" w:hint="eastAsia"/>
          <w:sz w:val="24"/>
        </w:rPr>
        <w:t>3、当基金份额净值计算差错给基金和基金份额持有人造成损失需要进行赔偿时，基金管理人和基金托管人应根据实际情况界定双方承担的责任，经确认后按以下条款进行赔偿：</w:t>
      </w:r>
    </w:p>
    <w:p w14:paraId="4A220D50" w14:textId="77777777" w:rsidR="00E5713C" w:rsidRDefault="00441401">
      <w:pPr>
        <w:adjustRightInd w:val="0"/>
        <w:snapToGrid w:val="0"/>
        <w:ind w:firstLineChars="200" w:firstLine="480"/>
        <w:rPr>
          <w:rStyle w:val="read"/>
          <w:rFonts w:ascii="彩虹粗仿宋" w:eastAsia="彩虹粗仿宋"/>
          <w:sz w:val="24"/>
        </w:rPr>
      </w:pPr>
      <w:r>
        <w:rPr>
          <w:rStyle w:val="read"/>
          <w:rFonts w:ascii="彩虹粗仿宋" w:eastAsia="彩虹粗仿宋" w:hint="eastAsia"/>
          <w:sz w:val="24"/>
        </w:rPr>
        <w:t>①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14:paraId="1765954D" w14:textId="77777777" w:rsidR="00E5713C" w:rsidRDefault="00441401">
      <w:pPr>
        <w:adjustRightInd w:val="0"/>
        <w:snapToGrid w:val="0"/>
        <w:ind w:firstLineChars="200" w:firstLine="480"/>
        <w:rPr>
          <w:rStyle w:val="read"/>
          <w:rFonts w:ascii="彩虹粗仿宋" w:eastAsia="彩虹粗仿宋"/>
          <w:sz w:val="24"/>
        </w:rPr>
      </w:pPr>
      <w:r>
        <w:rPr>
          <w:rStyle w:val="read"/>
          <w:rFonts w:ascii="彩虹粗仿宋" w:eastAsia="彩虹粗仿宋" w:hint="eastAsia"/>
          <w:sz w:val="24"/>
        </w:rPr>
        <w:t>②若基金管理人计算的各类基金份额净值已由基金托管人复核确认后公告，而且基金托管人未对计算过程提出疑义或要求基金管理人书面说明，基金份额净值出错且由此给基金份额持有人造成损失的，应根据法律法规的规定对投资者或基金支付赔偿金，就实际向投资者或基金支付的赔偿金额，基金管理人与基金托管人按照管理费和托管费的比例各自承担相应的责任。</w:t>
      </w:r>
    </w:p>
    <w:p w14:paraId="007111B7" w14:textId="77777777" w:rsidR="00E5713C" w:rsidRDefault="00441401">
      <w:pPr>
        <w:adjustRightInd w:val="0"/>
        <w:snapToGrid w:val="0"/>
        <w:ind w:firstLineChars="200" w:firstLine="480"/>
        <w:rPr>
          <w:rStyle w:val="read"/>
          <w:rFonts w:ascii="彩虹粗仿宋" w:eastAsia="彩虹粗仿宋"/>
          <w:sz w:val="24"/>
        </w:rPr>
      </w:pPr>
      <w:r>
        <w:rPr>
          <w:rStyle w:val="read"/>
          <w:rFonts w:ascii="彩虹粗仿宋" w:eastAsia="彩虹粗仿宋" w:hint="eastAsia"/>
          <w:sz w:val="24"/>
        </w:rPr>
        <w:t>③如基金管理人和基金托管人对各类基金份额净值的计算结果，虽然多次重新计算和核对，尚不能达成一致时，为避免不能按时公布各类基金份额净值的情形，以基金管理人的计算结果对外公布，由此给基金份额持有人和基金造成的损失，由基金管理人负责赔付。</w:t>
      </w:r>
    </w:p>
    <w:p w14:paraId="6E82DC6D" w14:textId="77777777" w:rsidR="00E5713C" w:rsidRDefault="00441401">
      <w:pPr>
        <w:adjustRightInd w:val="0"/>
        <w:snapToGrid w:val="0"/>
        <w:ind w:firstLineChars="200" w:firstLine="480"/>
        <w:rPr>
          <w:rStyle w:val="read"/>
          <w:rFonts w:ascii="彩虹粗仿宋" w:eastAsia="彩虹粗仿宋"/>
          <w:sz w:val="24"/>
        </w:rPr>
      </w:pPr>
      <w:r>
        <w:rPr>
          <w:rStyle w:val="read"/>
          <w:rFonts w:ascii="彩虹粗仿宋" w:eastAsia="彩虹粗仿宋" w:hint="eastAsia"/>
          <w:sz w:val="24"/>
        </w:rPr>
        <w:t xml:space="preserve">④由于基金管理人提供的信息错误（包括但不限于基金申购或赎回金额等），进而导致基金份额净值计算错误而引起的基金份额持有人和基金财产的损失，由基金管理人负责赔付。 </w:t>
      </w:r>
    </w:p>
    <w:p w14:paraId="2D4F2315" w14:textId="77777777" w:rsidR="00E5713C" w:rsidRDefault="00441401">
      <w:pPr>
        <w:adjustRightInd w:val="0"/>
        <w:snapToGrid w:val="0"/>
        <w:ind w:firstLineChars="200" w:firstLine="480"/>
        <w:rPr>
          <w:rStyle w:val="read"/>
          <w:rFonts w:ascii="彩虹粗仿宋" w:eastAsia="彩虹粗仿宋"/>
          <w:sz w:val="24"/>
        </w:rPr>
      </w:pPr>
      <w:r>
        <w:rPr>
          <w:rStyle w:val="read"/>
          <w:rFonts w:ascii="彩虹粗仿宋" w:eastAsia="彩虹粗仿宋" w:hint="eastAsia"/>
          <w:sz w:val="24"/>
        </w:rPr>
        <w:t>4、前述内容如法律法规或监管机关另有规定的，从其规定处理。如果行业另有通行做法，双方当事人应本着平等和保护基金份额持有人利益的原则进行协商。</w:t>
      </w:r>
    </w:p>
    <w:p w14:paraId="50019C3E"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（四）暂停估值的情形</w:t>
      </w:r>
    </w:p>
    <w:p w14:paraId="68D3D887"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1、基金投资所涉及的证券/期货交易市场遇法定节假日或因其他原因暂停营业时；</w:t>
      </w:r>
    </w:p>
    <w:p w14:paraId="2226A35D"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2、基金所投资的目标ETF发生暂停估值、暂停公告基金份额净值的情形；</w:t>
      </w:r>
    </w:p>
    <w:p w14:paraId="3F55E4FA"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3、因不可抗力致使基金管理人、基金托管人无法准确评估基金资产价值时；</w:t>
      </w:r>
    </w:p>
    <w:p w14:paraId="5D3E1B84" w14:textId="13B456BC"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4、</w:t>
      </w:r>
      <w:r w:rsidRPr="00583A60">
        <w:rPr>
          <w:rFonts w:ascii="彩虹粗仿宋" w:eastAsia="彩虹粗仿宋" w:hAnsi="宋体" w:cs="Arial" w:hint="eastAsia"/>
          <w:sz w:val="24"/>
        </w:rPr>
        <w:t>当前一估值日基金资产净值50%以上的资产出现无可参考的活跃市场价格且采用估值技术仍导致公允价值存在重大不确定性时，</w:t>
      </w:r>
      <w:r>
        <w:rPr>
          <w:rFonts w:ascii="彩虹粗仿宋" w:eastAsia="彩虹粗仿宋" w:hAnsi="宋体" w:cs="Arial" w:hint="eastAsia"/>
          <w:sz w:val="24"/>
        </w:rPr>
        <w:t>经与基金托管人协商确认后，基金管理人应当暂停估值；</w:t>
      </w:r>
    </w:p>
    <w:p w14:paraId="59C998A7" w14:textId="26111119"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5、中国证监会和基金合同认定的其他情形。</w:t>
      </w:r>
    </w:p>
    <w:bookmarkEnd w:id="87"/>
    <w:p w14:paraId="25F21EE1"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（五）基金会计制度</w:t>
      </w:r>
    </w:p>
    <w:p w14:paraId="549759E8"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按国家有关部门规定的会计制度执行。</w:t>
      </w:r>
    </w:p>
    <w:p w14:paraId="4D60EDA6"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（六）基金账册的建立</w:t>
      </w:r>
    </w:p>
    <w:p w14:paraId="1A89E761"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管理人进行基金会计核算并编制基金财务会计报告。基金管理人独立地设置、记录和保管本基金的全套账册。若基金管理人和基金托管人对会计处理方法存在分歧，应以基金管理人的处理方法为准。若当日核对不符，暂时无法查找到错账的原因而影响到基金净值信息的计算和披露的，以基金管理人的账册为准。</w:t>
      </w:r>
    </w:p>
    <w:p w14:paraId="377E2132"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（七）基金财务报表与报告的编制和复核</w:t>
      </w:r>
    </w:p>
    <w:p w14:paraId="7CCC5466"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1.财务报表的编制</w:t>
      </w:r>
    </w:p>
    <w:p w14:paraId="45CEDA12"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基金财务报表由基金管理人编制，基金托管人复核。</w:t>
      </w:r>
    </w:p>
    <w:p w14:paraId="2B90B8AF"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2.报表复核</w:t>
      </w:r>
    </w:p>
    <w:p w14:paraId="6A09EABD"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基金托管人在收到基金管理人编制的基金财务报表后，进行独立的复核。核对不符时，应及时通知基金管理人共同查出原因，进行调整，直至双方数据完全一致。</w:t>
      </w:r>
    </w:p>
    <w:p w14:paraId="197F3459"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3.财务报表的编制与复核时间安排</w:t>
      </w:r>
    </w:p>
    <w:p w14:paraId="4007EC16"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(1)报表的编制</w:t>
      </w:r>
    </w:p>
    <w:p w14:paraId="0AF8D2D9"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管理人应当在每月结束后5个工作日内完成月度报表的编制；在季度结束之日起15个工作日内完成基金季度报告的编制；在上半年结束之日起两个月内完成基金中期报告的编制；在每年结束之日起三个月内完成基金年度报告的编制。基金年度报告的财务会计报告应当经过符合《证券法》规定的会计师事务所审计。《基金合同》生效不足两个月的，基金管理人可以不编制当期季度报告、中期报告或者年度报告。</w:t>
      </w:r>
    </w:p>
    <w:p w14:paraId="06BD93EB" w14:textId="77777777" w:rsidR="00E5713C" w:rsidRDefault="00441401">
      <w:pPr>
        <w:pStyle w:val="a0"/>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(2)报表的复核</w:t>
      </w:r>
    </w:p>
    <w:p w14:paraId="31E063FB" w14:textId="77777777" w:rsidR="00E5713C" w:rsidRDefault="00441401">
      <w:pPr>
        <w:pStyle w:val="a0"/>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基金管理人应及时完成报表编制，将有关报表提供基金托管人复核；基金托管人在复核过程中，发现双方的报表存在不符时，基金管理人和基金托管人应共同查明原因，进行调整，调整以国家有关规定为准。</w:t>
      </w:r>
    </w:p>
    <w:p w14:paraId="08686436" w14:textId="77777777" w:rsidR="00E5713C" w:rsidRDefault="00441401">
      <w:pPr>
        <w:pStyle w:val="a0"/>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基金管理人应留足充分的时间，便于基金托管人复核相关报表及报告。如果基金管理人与基金托管人不能于应当发布公告之日之前就相关报表达成一致，基金管理人按照其编制的报表对外发布公告，基金托管人有权就相关情况报中国证监会备案。</w:t>
      </w:r>
    </w:p>
    <w:p w14:paraId="27D91ECC" w14:textId="77777777" w:rsidR="00E5713C" w:rsidRDefault="00441401">
      <w:pPr>
        <w:pStyle w:val="a0"/>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（八）基金管理人应在编制季度报告、中期报告或者年度报告之前及时向基金托管人提供基金业绩比较基准的基础数据和编制结果。</w:t>
      </w:r>
    </w:p>
    <w:p w14:paraId="4F7F2DE8"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（九）实施侧袋机制期间的基金资产估值</w:t>
      </w:r>
    </w:p>
    <w:p w14:paraId="5D110727" w14:textId="77777777" w:rsidR="00E5713C" w:rsidRDefault="00441401">
      <w:pPr>
        <w:pStyle w:val="a0"/>
        <w:adjustRightInd w:val="0"/>
        <w:snapToGrid w:val="0"/>
        <w:ind w:firstLine="480"/>
        <w:rPr>
          <w:rFonts w:ascii="彩虹粗仿宋" w:eastAsia="彩虹粗仿宋" w:hAnsi="宋体" w:cs="Arial"/>
          <w:sz w:val="24"/>
        </w:rPr>
      </w:pPr>
      <w:r>
        <w:rPr>
          <w:rFonts w:ascii="彩虹粗仿宋" w:eastAsia="彩虹粗仿宋" w:hAnsi="宋体" w:cs="Arial" w:hint="eastAsia"/>
          <w:sz w:val="24"/>
        </w:rPr>
        <w:t>本基金实施侧袋机制的，应根据本部分的约定对主袋账户资产进行估值并披露主袋账户的基金净值信息，暂停披露侧袋账户份额净值。</w:t>
      </w:r>
    </w:p>
    <w:p w14:paraId="1895FBD1" w14:textId="77777777" w:rsidR="00E5713C" w:rsidRDefault="00441401">
      <w:pPr>
        <w:pStyle w:val="2"/>
        <w:jc w:val="center"/>
        <w:rPr>
          <w:rFonts w:ascii="彩虹粗仿宋" w:eastAsia="彩虹粗仿宋"/>
          <w:sz w:val="30"/>
        </w:rPr>
      </w:pPr>
      <w:bookmarkStart w:id="89" w:name="_Toc124325893"/>
      <w:r>
        <w:rPr>
          <w:rFonts w:ascii="彩虹粗仿宋" w:eastAsia="彩虹粗仿宋" w:hint="eastAsia"/>
          <w:sz w:val="30"/>
        </w:rPr>
        <w:t>九、基金收益分配</w:t>
      </w:r>
      <w:bookmarkEnd w:id="89"/>
    </w:p>
    <w:p w14:paraId="4CEA52AC" w14:textId="77777777" w:rsidR="00E5713C" w:rsidRDefault="00441401">
      <w:pPr>
        <w:adjustRightInd w:val="0"/>
        <w:snapToGrid w:val="0"/>
        <w:ind w:firstLineChars="200" w:firstLine="480"/>
        <w:rPr>
          <w:rFonts w:ascii="彩虹粗仿宋" w:eastAsia="彩虹粗仿宋" w:hAnsi="宋体" w:cs="Arial"/>
          <w:sz w:val="24"/>
        </w:rPr>
      </w:pPr>
      <w:bookmarkStart w:id="90" w:name="_Hlk195708363"/>
      <w:r>
        <w:rPr>
          <w:rFonts w:ascii="彩虹粗仿宋" w:eastAsia="彩虹粗仿宋" w:hAnsi="宋体" w:cs="Arial" w:hint="eastAsia"/>
          <w:sz w:val="24"/>
        </w:rPr>
        <w:t>（一）基金收益分配的原则</w:t>
      </w:r>
    </w:p>
    <w:p w14:paraId="547270D7"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1、在符合有关基金分红条件的前提下，基金管理人可以根据实际情况进行收益分配，具体分配方案详见届时基金管理人发布的公告，若《基金合同》生效不满3个月可不进行收益分配；</w:t>
      </w:r>
    </w:p>
    <w:p w14:paraId="455FD893" w14:textId="3232802F"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基金管理人可每季度评估是否进行收益分配。基金管理人可每季度对基金相对业绩比较基准的超额收益率以及基金的可供分配利润进行评价，在符合基金收益分配条件下，可安排收益分配。收益分配条件、评估时间、分配时间、分配方案及每次基金收益分配数额等内容，基金管理人可以根据实际情况确定并按照有关规定公告；</w:t>
      </w:r>
    </w:p>
    <w:p w14:paraId="04D268DE"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3、本基金收益分配方式分两种：现金分红与红利再投资，投资者可选择现金红利或将现金红利自动转为相应类别的基金份额进行再投资；若投资者不选择，本基金默认的收益分配方式是现金分红；</w:t>
      </w:r>
    </w:p>
    <w:p w14:paraId="170DB291"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4、由于本基金A类基金份额不收取销售服务费，而C类基金份额收取销售服务费，各基金份额类别对应的可供分配利润将有所不同。本基金同一类别的每一基金份额享有同等分配权；</w:t>
      </w:r>
    </w:p>
    <w:p w14:paraId="038814B5"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5、法律法规或监管机关另有规定的，从其规定。</w:t>
      </w:r>
    </w:p>
    <w:p w14:paraId="1A5789ED" w14:textId="29D2AC48"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管理人、登记机构可在法律法规允许、对基金份额持有人利益无实质性不利影响的前提下，按照监管部门要求履行适当程序后，经与基金托管人协商一致酌情调整以上基金收益分配原则，但应于变更实施日前在规定媒介公告。</w:t>
      </w:r>
    </w:p>
    <w:p w14:paraId="2B53196C" w14:textId="77777777" w:rsidR="00E5713C" w:rsidRDefault="00441401">
      <w:pPr>
        <w:ind w:firstLineChars="200" w:firstLine="480"/>
        <w:rPr>
          <w:rFonts w:ascii="彩虹粗仿宋" w:eastAsia="彩虹粗仿宋" w:hAnsi="宋体" w:cs="Arial"/>
          <w:sz w:val="24"/>
        </w:rPr>
      </w:pPr>
      <w:r>
        <w:rPr>
          <w:rFonts w:ascii="彩虹粗仿宋" w:eastAsia="彩虹粗仿宋" w:hAnsi="宋体" w:cs="Arial" w:hint="eastAsia"/>
          <w:sz w:val="24"/>
        </w:rPr>
        <w:t>（二）基金收益分配的时间和程序</w:t>
      </w:r>
    </w:p>
    <w:p w14:paraId="2E031349"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本基金收益分配方案由基金管理人拟定，并由基金托管人复核，在2日内在规定媒介公告。</w:t>
      </w:r>
    </w:p>
    <w:p w14:paraId="4707A332"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收益分配时所发生的银行转账或其他手续费用由投资者自行承担。当投资者的现金红利小于一定金额，不足以支付银行转账或其他手续费用时，基金登记机构可将基金份额持有人的现金红利自动转为相应类别的基金份额。红利再投资的计算方法，依照登记机构相关业务规则执行。</w:t>
      </w:r>
    </w:p>
    <w:bookmarkEnd w:id="90"/>
    <w:p w14:paraId="0B0CA08A"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（三）实施侧袋机制期间的收益分配</w:t>
      </w:r>
    </w:p>
    <w:p w14:paraId="7E778CC5"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本基金实施侧袋机制的，侧袋账户不进行收益分配，详见招募说明书的规定。</w:t>
      </w:r>
    </w:p>
    <w:p w14:paraId="4AB91E24" w14:textId="77777777" w:rsidR="00E5713C" w:rsidRDefault="00441401">
      <w:pPr>
        <w:pStyle w:val="2"/>
        <w:jc w:val="center"/>
        <w:rPr>
          <w:rFonts w:ascii="彩虹粗仿宋" w:eastAsia="彩虹粗仿宋"/>
          <w:sz w:val="30"/>
        </w:rPr>
      </w:pPr>
      <w:bookmarkStart w:id="91" w:name="_Toc124325894"/>
      <w:r>
        <w:rPr>
          <w:rFonts w:ascii="彩虹粗仿宋" w:eastAsia="彩虹粗仿宋" w:hint="eastAsia"/>
          <w:sz w:val="30"/>
        </w:rPr>
        <w:t>十、基金信息披露</w:t>
      </w:r>
      <w:bookmarkEnd w:id="91"/>
    </w:p>
    <w:p w14:paraId="3AC631BB"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（一）保密义务</w:t>
      </w:r>
    </w:p>
    <w:p w14:paraId="606EA6ED"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托管人和基金管理人应按法律法规、《基金合同》的有关规定进行信息披露，拟公开披露的信息在公开披露之前应予保密。除按《基金法》、《基金合同》、《信息披露办法》及其他有关规定进行信息披露外，基金管理人和基金托管人对基金运作中产生的信息以及从对方获得的业务信息应予保密。但是，如下情况不应视为基金管理人或基金托管人违反保密义务：</w:t>
      </w:r>
    </w:p>
    <w:p w14:paraId="1006C3B1"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1.非因基金管理人和基金托管人的原因导致保密信息被披露、泄露或公开；</w:t>
      </w:r>
    </w:p>
    <w:p w14:paraId="6E8E1EDC"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2.基金管理人和基金托管人为遵守和服从法院判决或裁定、仲裁裁决或中国证监会等监管机构的命令、决定所做出的信息披露或公开。</w:t>
      </w:r>
    </w:p>
    <w:p w14:paraId="5D42DBA6"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3.因审计、法律等专业服务向外部专业顾问提供信息。</w:t>
      </w:r>
    </w:p>
    <w:p w14:paraId="68F167B6"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（二）信息披露的内容</w:t>
      </w:r>
    </w:p>
    <w:p w14:paraId="1024AD5A" w14:textId="0782434A"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基金的信息披露内容主要包括基金招募说明书、《基金合同》、托管协议、基金</w:t>
      </w:r>
      <w:r>
        <w:rPr>
          <w:rFonts w:ascii="彩虹粗仿宋" w:eastAsia="彩虹粗仿宋" w:hAnsi="宋体" w:cs="Arial"/>
          <w:sz w:val="24"/>
        </w:rPr>
        <w:t>产品资料概要、</w:t>
      </w:r>
      <w:r>
        <w:rPr>
          <w:rFonts w:ascii="彩虹粗仿宋" w:eastAsia="彩虹粗仿宋" w:hAnsi="宋体" w:cs="Arial" w:hint="eastAsia"/>
          <w:sz w:val="24"/>
        </w:rPr>
        <w:t>基金份额发售公告、《基金合同》生效公告、基金净值信息、</w:t>
      </w:r>
      <w:r>
        <w:rPr>
          <w:rFonts w:ascii="彩虹粗仿宋" w:eastAsia="彩虹粗仿宋" w:hAnsi="宋体" w:cs="Arial" w:hint="eastAsia"/>
          <w:bCs/>
          <w:sz w:val="24"/>
        </w:rPr>
        <w:t>基金份额申购赎回价格</w:t>
      </w:r>
      <w:r>
        <w:rPr>
          <w:rFonts w:ascii="彩虹粗仿宋" w:eastAsia="彩虹粗仿宋" w:hAnsi="宋体" w:cs="Arial" w:hint="eastAsia"/>
          <w:sz w:val="24"/>
        </w:rPr>
        <w:t>、基金定期报告（包括基金年度报告、基金中期报告和基金季度报告）、临时报告、清算报告、澄清公告、基金份额持有人大会决议、</w:t>
      </w:r>
      <w:r>
        <w:rPr>
          <w:rFonts w:ascii="彩虹粗仿宋" w:eastAsia="彩虹粗仿宋" w:hAnsi="宋体" w:cs="Arial" w:hint="eastAsia"/>
          <w:bCs/>
          <w:sz w:val="24"/>
        </w:rPr>
        <w:t>基金投资股指期货、股票期权、资产支持证券的信息披露、基金参与融资/转融通证券出借业务的信息披露、投资存托凭证的信息披露、投资目标ETF的信息披露、实施侧袋机制期间的信息披露以及</w:t>
      </w:r>
      <w:r>
        <w:rPr>
          <w:rFonts w:ascii="彩虹粗仿宋" w:eastAsia="彩虹粗仿宋" w:hAnsi="宋体" w:cs="Arial" w:hint="eastAsia"/>
          <w:sz w:val="24"/>
        </w:rPr>
        <w:t>中国证监会规定的其他信息。基金年度报告中的财务会计报告需经符合《证券法》规定的会计师事务所审计后，方可披露。</w:t>
      </w:r>
    </w:p>
    <w:p w14:paraId="6A1B0F50"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（三）基金托管人和基金管理人在信息披露中的职责和信息披露程序</w:t>
      </w:r>
    </w:p>
    <w:p w14:paraId="2B27640E"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1.职责</w:t>
      </w:r>
    </w:p>
    <w:p w14:paraId="21362775"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托管人和基金管理人在信息披露过程中应以保护基金份额持有人利益为宗旨，诚实信用，严守秘密。基金管理人负责办理与基金有关的信息披露事宜，基金托管人应当按照相关法律法规和《基金合同》的约定，对于本章第（二）条规定的应由基金托管人复核的事项进行复核，基金托管人复核无误后，由基金管理人予以公布。</w:t>
      </w:r>
    </w:p>
    <w:p w14:paraId="35947A16"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对于不需要基金托管人(或基金管理人)复核的信息，基金管理人(或基金托管人)在公告前应告知基金托管人(或基金管理人)。</w:t>
      </w:r>
    </w:p>
    <w:p w14:paraId="1C1C7BE1"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基金管理人和基金托管人应积极配合、互相监督，保证其履行按照法定方式和限时披露的义务。</w:t>
      </w:r>
    </w:p>
    <w:p w14:paraId="0BC93112" w14:textId="2B5C10A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基金管理人应当在中国证监会规定的时间内，将应予披露的基金信息通过规定媒介披露。根据法律法规应由基金托管人公开披露的信息，基金托管人将通过规定媒介公开披露。</w:t>
      </w:r>
    </w:p>
    <w:p w14:paraId="406C3A35"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当出现下述情况时，基金管理人和基金托管人可暂停或延迟披露基金相关信息：</w:t>
      </w:r>
    </w:p>
    <w:p w14:paraId="1301E5B6"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 xml:space="preserve">（1）不可抗力； </w:t>
      </w:r>
    </w:p>
    <w:p w14:paraId="4AD64485"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w:t>
      </w:r>
      <w:r>
        <w:rPr>
          <w:rFonts w:ascii="彩虹粗仿宋" w:eastAsia="彩虹粗仿宋" w:hAnsi="宋体" w:cs="Arial" w:hint="eastAsia"/>
          <w:bCs/>
          <w:sz w:val="24"/>
        </w:rPr>
        <w:t>基金投资所涉及的证券/期货交易市场遇法定节假日或因其他原因暂停营业时</w:t>
      </w:r>
      <w:r>
        <w:rPr>
          <w:rFonts w:ascii="彩虹粗仿宋" w:eastAsia="彩虹粗仿宋" w:hAnsi="宋体" w:cs="Arial" w:hint="eastAsia"/>
          <w:sz w:val="24"/>
        </w:rPr>
        <w:t xml:space="preserve">； </w:t>
      </w:r>
    </w:p>
    <w:p w14:paraId="190F6E26" w14:textId="23C47BA4"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w:t>
      </w:r>
      <w:r w:rsidRPr="00583A60">
        <w:rPr>
          <w:rFonts w:ascii="彩虹粗仿宋" w:eastAsia="彩虹粗仿宋" w:hAnsi="宋体" w:cs="Arial" w:hint="eastAsia"/>
          <w:sz w:val="24"/>
        </w:rPr>
        <w:t>当前一估值日基金资产净值50%以上的资产出现无可参考的活跃市场价格且采用估值技术仍导致公允价值存在重大不确定性时，</w:t>
      </w:r>
      <w:r>
        <w:rPr>
          <w:rFonts w:ascii="彩虹粗仿宋" w:eastAsia="彩虹粗仿宋" w:hAnsi="宋体" w:cs="Arial" w:hint="eastAsia"/>
          <w:sz w:val="24"/>
        </w:rPr>
        <w:t>经与基金托管人协商确认后暂停估值的；</w:t>
      </w:r>
    </w:p>
    <w:p w14:paraId="00015464"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w:t>
      </w:r>
      <w:r>
        <w:rPr>
          <w:rFonts w:ascii="彩虹粗仿宋" w:eastAsia="彩虹粗仿宋" w:hAnsi="宋体" w:cs="Arial"/>
          <w:sz w:val="24"/>
        </w:rPr>
        <w:t>4</w:t>
      </w:r>
      <w:r>
        <w:rPr>
          <w:rFonts w:ascii="彩虹粗仿宋" w:eastAsia="彩虹粗仿宋" w:hAnsi="宋体" w:cs="Arial" w:hint="eastAsia"/>
          <w:sz w:val="24"/>
        </w:rPr>
        <w:t>）法律法规、中国证监会规定或基金合同约定的其他情形。</w:t>
      </w:r>
    </w:p>
    <w:p w14:paraId="4E0F36BA"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2.程序</w:t>
      </w:r>
    </w:p>
    <w:p w14:paraId="38B35277"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按有关规定须经基金托管人复核的信息披露文件，由基金管理人起草、并经基金托管人复核后由基金管理人公告。发生《基金合同》中规定需要披露的事项时，按《基金合同》规定公布。</w:t>
      </w:r>
    </w:p>
    <w:p w14:paraId="526F7F36"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3.信息文本的存放</w:t>
      </w:r>
    </w:p>
    <w:p w14:paraId="1A702E9C" w14:textId="4B5BF385"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依法必须披露的信息发布后，基金管理人、基金托管人应当按照相关法律法规规定将信息置备于各自住所，供社会公众查阅、复制。投资者可以免费查阅。在支付工本费后可在合理时间获得上述文件的复制件或复印件。基金管理人和基金托管人应保证文本的内容与所公告的内容完全一致。</w:t>
      </w:r>
    </w:p>
    <w:p w14:paraId="5CB8D10A"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（四）法律法规或监管部门对适用于本基金的信息披露另有规定的，从其规定。如规定发生变化的，从其最新规定。</w:t>
      </w:r>
    </w:p>
    <w:p w14:paraId="39385994"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（五）实施侧袋机制期间的信息披露</w:t>
      </w:r>
    </w:p>
    <w:p w14:paraId="41D160A7"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若本基金实施侧袋机制的，相关信息披露义务人应当根据法律法规、基金合同和招募说明书的规定进行信息披露，详见招募说明书的规定。</w:t>
      </w:r>
    </w:p>
    <w:p w14:paraId="761407AA" w14:textId="77777777" w:rsidR="00E5713C" w:rsidRDefault="00E5713C">
      <w:pPr>
        <w:pStyle w:val="a0"/>
        <w:ind w:firstLineChars="0" w:firstLine="0"/>
        <w:rPr>
          <w:rFonts w:ascii="彩虹粗仿宋" w:eastAsia="彩虹粗仿宋" w:hAnsi="宋体" w:cs="Arial"/>
          <w:sz w:val="24"/>
        </w:rPr>
      </w:pPr>
    </w:p>
    <w:p w14:paraId="79770D93" w14:textId="77777777" w:rsidR="00E5713C" w:rsidRDefault="00441401">
      <w:pPr>
        <w:pStyle w:val="2"/>
        <w:jc w:val="center"/>
        <w:rPr>
          <w:rFonts w:ascii="彩虹粗仿宋" w:eastAsia="彩虹粗仿宋"/>
          <w:sz w:val="30"/>
        </w:rPr>
      </w:pPr>
      <w:bookmarkStart w:id="92" w:name="_Toc124325895"/>
      <w:r>
        <w:rPr>
          <w:rFonts w:ascii="彩虹粗仿宋" w:eastAsia="彩虹粗仿宋" w:hint="eastAsia"/>
          <w:sz w:val="30"/>
        </w:rPr>
        <w:t>十一、基金费用</w:t>
      </w:r>
      <w:bookmarkEnd w:id="92"/>
    </w:p>
    <w:p w14:paraId="6750B450"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（一）基金管理费的计提比例和计提方法</w:t>
      </w:r>
    </w:p>
    <w:p w14:paraId="1E226144" w14:textId="7331325D"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本基金基金财产中投资于目标ETF的部分不收取管理费。本基金的管理费按前一日基金资产净值扣除所持有目标ETF基金份额部分基金资产后的余额（若为负数，则取0）的0.50%年费率计提。管理费的计算方法如下：</w:t>
      </w:r>
    </w:p>
    <w:p w14:paraId="27FA3F60" w14:textId="41662095"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H＝E×0.50%÷当年天数</w:t>
      </w:r>
    </w:p>
    <w:p w14:paraId="465E1F44"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H为每日应计提的基金管理费</w:t>
      </w:r>
    </w:p>
    <w:p w14:paraId="23E241EE" w14:textId="4D2903C4"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E为前一日的基金资产净值扣除前一日所持有目标ETF基金份额部分基金资产后的余额（若为负数，则E取0）</w:t>
      </w:r>
    </w:p>
    <w:p w14:paraId="3A081337"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（二）基金托管费的计提比例和计提方法</w:t>
      </w:r>
    </w:p>
    <w:p w14:paraId="62D5F0F5" w14:textId="054D938D"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本基金基金财产中投资于目标ETF的部分不收取托管费。本基金的托管费按前一日基金资产净值扣除所持有目标ETF基金份额部分基金资产后的余额（若为负数，则取0）的0.10%的年费率计提。托管费的计算方法如下：</w:t>
      </w:r>
    </w:p>
    <w:p w14:paraId="4489C7E3" w14:textId="0C223FAC"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H＝E×0.10%÷当年天数</w:t>
      </w:r>
    </w:p>
    <w:p w14:paraId="74C623FB"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H为每日应计提的基金托管费</w:t>
      </w:r>
    </w:p>
    <w:p w14:paraId="705F5030" w14:textId="00E97FA0"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E为前一日的基金资产净值扣除前一日所持有目标ETF基金份额部分基金资产后的余额（若为负数，则E取0）</w:t>
      </w:r>
    </w:p>
    <w:p w14:paraId="139432F5"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（三）销售服务费的计提比例和计提方法</w:t>
      </w:r>
    </w:p>
    <w:p w14:paraId="37739BAC"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本基金A类基金份额不收取销售服务费，C类基金份额的销售服务费年费率为0.</w:t>
      </w:r>
      <w:r>
        <w:rPr>
          <w:rFonts w:ascii="彩虹粗仿宋" w:eastAsia="彩虹粗仿宋" w:hAnsi="宋体" w:cs="Arial"/>
          <w:sz w:val="24"/>
        </w:rPr>
        <w:t>30</w:t>
      </w:r>
      <w:r>
        <w:rPr>
          <w:rFonts w:ascii="彩虹粗仿宋" w:eastAsia="彩虹粗仿宋" w:hAnsi="宋体" w:cs="Arial" w:hint="eastAsia"/>
          <w:sz w:val="24"/>
        </w:rPr>
        <w:t>%。本基金销售服务费按前一日C类基金份额的基金资产净值的0.</w:t>
      </w:r>
      <w:r>
        <w:rPr>
          <w:rFonts w:ascii="彩虹粗仿宋" w:eastAsia="彩虹粗仿宋" w:hAnsi="宋体" w:cs="Arial"/>
          <w:sz w:val="24"/>
        </w:rPr>
        <w:t>30</w:t>
      </w:r>
      <w:r>
        <w:rPr>
          <w:rFonts w:ascii="彩虹粗仿宋" w:eastAsia="彩虹粗仿宋" w:hAnsi="宋体" w:cs="Arial" w:hint="eastAsia"/>
          <w:sz w:val="24"/>
        </w:rPr>
        <w:t>%年费率计提。销售服务费的计算方法如下：</w:t>
      </w:r>
    </w:p>
    <w:p w14:paraId="6927F7F0"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H＝E×0.</w:t>
      </w:r>
      <w:r>
        <w:rPr>
          <w:rFonts w:ascii="彩虹粗仿宋" w:eastAsia="彩虹粗仿宋" w:hAnsi="宋体" w:cs="Arial"/>
          <w:sz w:val="24"/>
        </w:rPr>
        <w:t>30</w:t>
      </w:r>
      <w:r>
        <w:rPr>
          <w:rFonts w:ascii="彩虹粗仿宋" w:eastAsia="彩虹粗仿宋" w:hAnsi="宋体" w:cs="Arial" w:hint="eastAsia"/>
          <w:sz w:val="24"/>
        </w:rPr>
        <w:t>%÷当年天数</w:t>
      </w:r>
    </w:p>
    <w:p w14:paraId="3D5FA5F4"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H为C类基金份额每日应计提的基金销售服务费</w:t>
      </w:r>
    </w:p>
    <w:p w14:paraId="196E4D79"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E为C类基金份额前一日基金资产净值</w:t>
      </w:r>
    </w:p>
    <w:p w14:paraId="4E6F8716" w14:textId="5CCD375A"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（四）基金相关账户的开户及维护费用、基金的银行汇划费用、《基金合同》生效后的信息披露费用、基金份额持有人大会费用、《基金合同》生效后与基金有关的会计师费、律师费</w:t>
      </w:r>
      <w:r>
        <w:rPr>
          <w:rFonts w:ascii="彩虹粗仿宋" w:eastAsia="彩虹粗仿宋" w:hAnsi="宋体" w:cs="Arial" w:hint="eastAsia"/>
          <w:bCs/>
          <w:sz w:val="24"/>
        </w:rPr>
        <w:t>、公证费、</w:t>
      </w:r>
      <w:r>
        <w:rPr>
          <w:rFonts w:ascii="彩虹粗仿宋" w:eastAsia="彩虹粗仿宋" w:hAnsi="宋体" w:cs="Arial"/>
          <w:bCs/>
          <w:sz w:val="24"/>
        </w:rPr>
        <w:t>诉讼费</w:t>
      </w:r>
      <w:r>
        <w:rPr>
          <w:rFonts w:ascii="彩虹粗仿宋" w:eastAsia="彩虹粗仿宋" w:hAnsi="宋体" w:cs="Arial" w:hint="eastAsia"/>
          <w:bCs/>
          <w:sz w:val="24"/>
        </w:rPr>
        <w:t>和仲裁费、</w:t>
      </w:r>
      <w:r>
        <w:rPr>
          <w:rFonts w:ascii="彩虹粗仿宋" w:eastAsia="彩虹粗仿宋" w:hAnsi="宋体" w:cs="Arial"/>
          <w:bCs/>
          <w:sz w:val="24"/>
        </w:rPr>
        <w:t>基金的证券</w:t>
      </w:r>
      <w:r>
        <w:rPr>
          <w:rFonts w:ascii="彩虹粗仿宋" w:eastAsia="彩虹粗仿宋" w:hAnsi="宋体" w:cs="Arial" w:hint="eastAsia"/>
          <w:bCs/>
          <w:sz w:val="24"/>
        </w:rPr>
        <w:t>/期货/期权</w:t>
      </w:r>
      <w:r>
        <w:rPr>
          <w:rFonts w:ascii="彩虹粗仿宋" w:eastAsia="彩虹粗仿宋" w:hAnsi="宋体" w:cs="Arial"/>
          <w:bCs/>
          <w:sz w:val="24"/>
        </w:rPr>
        <w:t>交易费用</w:t>
      </w:r>
      <w:r>
        <w:rPr>
          <w:rFonts w:ascii="彩虹粗仿宋" w:eastAsia="彩虹粗仿宋" w:hAnsi="宋体" w:cs="Arial" w:hint="eastAsia"/>
          <w:bCs/>
          <w:sz w:val="24"/>
        </w:rPr>
        <w:t>、因参与融资及转融通证券出借业务而产生的各项合理费用、基金投资目标ETF的相关费用（包括但不限于目标ETF的交易费用、申赎费用等）、</w:t>
      </w:r>
      <w:r>
        <w:rPr>
          <w:rFonts w:ascii="彩虹粗仿宋" w:eastAsia="彩虹粗仿宋" w:hAnsi="宋体" w:cs="Arial" w:hint="eastAsia"/>
          <w:sz w:val="24"/>
        </w:rPr>
        <w:t>按照国家有关规定和《基金合同》约定可以在基金财产中列支的其他费用等根据有关法律法规、《基金合同》及相应协议的规定，列入当期基金费用。</w:t>
      </w:r>
    </w:p>
    <w:p w14:paraId="279E291E"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（五）不列入基金费用的项目</w:t>
      </w:r>
    </w:p>
    <w:p w14:paraId="799C1A5E"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《基金合同》生效前的律师费、会计师费和信息披露费用不得从基金财产中列支；基金管理人和基金托管人因未履行或未完全履行义务导致的费用支出或基金财产的损失，处理与基金运作无关的事项发生的费用，</w:t>
      </w:r>
      <w:r>
        <w:rPr>
          <w:rFonts w:ascii="彩虹粗仿宋" w:eastAsia="彩虹粗仿宋" w:hAnsi="宋体" w:cs="Arial" w:hint="eastAsia"/>
          <w:bCs/>
          <w:sz w:val="24"/>
        </w:rPr>
        <w:t>标的指数许可使用费</w:t>
      </w:r>
      <w:r>
        <w:rPr>
          <w:rFonts w:ascii="彩虹粗仿宋" w:eastAsia="彩虹粗仿宋" w:hAnsi="宋体" w:cs="Arial" w:hint="eastAsia"/>
          <w:sz w:val="24"/>
        </w:rPr>
        <w:t>以及其他根据相关法律法规及中国证监会的有关规定不得列入基金费用的项目。</w:t>
      </w:r>
    </w:p>
    <w:p w14:paraId="74AC8A5F"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（六）基金管理费和基金托管费的调整</w:t>
      </w:r>
    </w:p>
    <w:p w14:paraId="1A455307"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基金管理人和基金托管人经履行适当程序后可协商酌情降低基金管理费和基金托管费。基金管理人必须最迟于新的费率实施日在规定媒介上刊登公告。</w:t>
      </w:r>
    </w:p>
    <w:p w14:paraId="708EF866"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（七）基金管理费、基金托管费和销售服务费的复核程序、支付方式和时间</w:t>
      </w:r>
    </w:p>
    <w:p w14:paraId="37DC5E7C"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1.复核程序</w:t>
      </w:r>
    </w:p>
    <w:p w14:paraId="1C219796" w14:textId="47D16384"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基金托管人对基金管理人计提的基金管理费、基金托管费和销售服务费等，根据本托管协议和《基金合同》的有关规定进行复核。</w:t>
      </w:r>
    </w:p>
    <w:p w14:paraId="4FC1157B"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2.支付方式和时间</w:t>
      </w:r>
    </w:p>
    <w:p w14:paraId="3D61EE2B"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基金管理费、基金托管费和销售服务费</w:t>
      </w:r>
      <w:bookmarkStart w:id="93" w:name="OLE_LINK16"/>
      <w:bookmarkStart w:id="94" w:name="OLE_LINK17"/>
      <w:r>
        <w:rPr>
          <w:rFonts w:ascii="彩虹粗仿宋" w:eastAsia="彩虹粗仿宋" w:hAnsi="宋体" w:cs="Arial" w:hint="eastAsia"/>
          <w:sz w:val="24"/>
        </w:rPr>
        <w:t>每日计提，逐日累计至每个月月末，按月支付。由基金托管人根据与基金管理人核对一致的财务数据，自动在次月初5个工作日内、按照指定的账户路径进行资金支付，基金管理人无需再出具资金划拨指令。若遇法定节假日、休息日或不可抗力致使无法按时支付等，支付日期顺延。费用自动扣划后，基金管理人应进行核对，如发现数据不符，及时联系基金托管人协商解决。</w:t>
      </w:r>
      <w:bookmarkEnd w:id="93"/>
      <w:bookmarkEnd w:id="94"/>
    </w:p>
    <w:p w14:paraId="70FAC355"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在首期支付基金管理费、销售服务费前，基金管理人应向基金托管人出具正式函件指定基金管理费、销售服务费的收款账户。基金管理人如需要变更此账户，应提前5个工作日向基金托管人出具书面的收款账户变更通知。</w:t>
      </w:r>
    </w:p>
    <w:p w14:paraId="5F247A4E"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（八）违规处理方式</w:t>
      </w:r>
    </w:p>
    <w:p w14:paraId="1574E7DE"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托管人发现基金管理人违反《基金法》、《基金合同》、《运作办法》及其他有关规定从基金财产中列支费用时，基金托管人可要求基金管理人予以说明解释，如基金管理人无正当理由，基金托管人可拒绝支付。</w:t>
      </w:r>
    </w:p>
    <w:p w14:paraId="40EFE7D8"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（九）实施侧袋机制期间的基金费用</w:t>
      </w:r>
    </w:p>
    <w:p w14:paraId="4E9E2C26"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本基金实施侧袋机制的，与侧袋账户有关的费用可以从侧袋账户中列支，但应待侧袋账户资产变现后方可列支，有关费用可酌情收取或减免，但不得收取管理费，详见招募说明书的规定。</w:t>
      </w:r>
    </w:p>
    <w:p w14:paraId="07756801" w14:textId="77777777" w:rsidR="00E5713C" w:rsidRDefault="00441401">
      <w:pPr>
        <w:pStyle w:val="2"/>
        <w:jc w:val="center"/>
        <w:rPr>
          <w:rFonts w:ascii="彩虹粗仿宋" w:eastAsia="彩虹粗仿宋"/>
          <w:sz w:val="30"/>
        </w:rPr>
      </w:pPr>
      <w:bookmarkStart w:id="95" w:name="_Toc124325896"/>
      <w:r>
        <w:rPr>
          <w:rFonts w:ascii="彩虹粗仿宋" w:eastAsia="彩虹粗仿宋" w:hint="eastAsia"/>
          <w:sz w:val="30"/>
        </w:rPr>
        <w:t>十二、基金份额持有人名册的保管</w:t>
      </w:r>
      <w:bookmarkEnd w:id="95"/>
    </w:p>
    <w:p w14:paraId="3E239C12"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份额持有人名册至少应包括基金份额持有人的名称和持有的基金份额。基金份额持有人名册由基金登记机构根据基金管理人的指令编制和保管，基金管理人和基金托管人应分别保管基金份额持有人名册，保存期不少于法律法规规定的最低年限。如不能妥善保管，则按相关法规承担责任。</w:t>
      </w:r>
    </w:p>
    <w:p w14:paraId="772730BB"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在基金托管人要求或编制中期报告和年度报告前，基金管理人应将有关资料送交基金托管人，不得无故拒绝或延误提供，并保证其真实性、准确性和完整性。</w:t>
      </w:r>
      <w:r>
        <w:rPr>
          <w:rFonts w:ascii="彩虹粗仿宋" w:eastAsia="彩虹粗仿宋" w:hAnsi="宋体" w:hint="eastAsia"/>
          <w:kern w:val="0"/>
          <w:sz w:val="24"/>
        </w:rPr>
        <w:t>基金托管人不得将所保管的基金份额持有人名册用于基金托管业务以外的其他用途，并应遵守保密义务。</w:t>
      </w:r>
    </w:p>
    <w:p w14:paraId="3585801A" w14:textId="77777777" w:rsidR="00E5713C" w:rsidRDefault="00E5713C">
      <w:pPr>
        <w:adjustRightInd w:val="0"/>
        <w:snapToGrid w:val="0"/>
        <w:rPr>
          <w:rFonts w:ascii="彩虹粗仿宋" w:eastAsia="彩虹粗仿宋" w:hAnsi="宋体" w:cs="Arial"/>
          <w:sz w:val="24"/>
        </w:rPr>
      </w:pPr>
    </w:p>
    <w:p w14:paraId="5D903D2F" w14:textId="77777777" w:rsidR="00E5713C" w:rsidRDefault="00441401">
      <w:pPr>
        <w:pStyle w:val="2"/>
        <w:jc w:val="center"/>
        <w:rPr>
          <w:rFonts w:ascii="彩虹粗仿宋" w:eastAsia="彩虹粗仿宋"/>
          <w:sz w:val="30"/>
        </w:rPr>
      </w:pPr>
      <w:bookmarkStart w:id="96" w:name="_Toc124325897"/>
      <w:r>
        <w:rPr>
          <w:rFonts w:ascii="彩虹粗仿宋" w:eastAsia="彩虹粗仿宋" w:hint="eastAsia"/>
          <w:sz w:val="30"/>
        </w:rPr>
        <w:t>十三、基金有关文件档案的保存</w:t>
      </w:r>
      <w:bookmarkEnd w:id="96"/>
    </w:p>
    <w:p w14:paraId="018828D1"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（一）档案保存</w:t>
      </w:r>
    </w:p>
    <w:p w14:paraId="5F928D40"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管理人应保存基金财产管理业务活动的记录、账册、报表和其他相关资料。基金托管人应保存基金托管业务活动的记录、账册、报表和其他相关资料。基金管理人和基金托管人都应当按规定的期限保管。保存期限不少于法律法规规定</w:t>
      </w:r>
      <w:r>
        <w:rPr>
          <w:rFonts w:ascii="彩虹粗仿宋" w:eastAsia="彩虹粗仿宋" w:hAnsi="宋体" w:cs="Arial"/>
          <w:sz w:val="24"/>
        </w:rPr>
        <w:t>的最低年限</w:t>
      </w:r>
      <w:r>
        <w:rPr>
          <w:rFonts w:ascii="彩虹粗仿宋" w:eastAsia="彩虹粗仿宋" w:hAnsi="宋体" w:cs="Arial" w:hint="eastAsia"/>
          <w:sz w:val="24"/>
        </w:rPr>
        <w:t>。</w:t>
      </w:r>
    </w:p>
    <w:p w14:paraId="1441BA5A"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（二）合同档案的建立</w:t>
      </w:r>
    </w:p>
    <w:p w14:paraId="3896D56E"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1.基金管理人签署重大合同文本后，应及时将合同文本正本送达基金托管人处。</w:t>
      </w:r>
    </w:p>
    <w:p w14:paraId="0D86A26C"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2.基金管理人应及时将与本基金账务处理、资金划拨等有关的合同、协议传真基金托管人。</w:t>
      </w:r>
    </w:p>
    <w:p w14:paraId="0111CB53"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（三）变更与协助</w:t>
      </w:r>
    </w:p>
    <w:p w14:paraId="22B1EA93" w14:textId="77777777" w:rsidR="00E5713C" w:rsidRDefault="00441401">
      <w:pPr>
        <w:adjustRightInd w:val="0"/>
        <w:snapToGrid w:val="0"/>
        <w:ind w:firstLineChars="200" w:firstLine="480"/>
        <w:rPr>
          <w:rFonts w:ascii="彩虹粗仿宋" w:eastAsia="彩虹粗仿宋"/>
          <w:b/>
          <w:bCs/>
          <w:sz w:val="30"/>
          <w:szCs w:val="30"/>
        </w:rPr>
      </w:pPr>
      <w:r>
        <w:rPr>
          <w:rFonts w:ascii="彩虹粗仿宋" w:eastAsia="彩虹粗仿宋" w:hAnsi="宋体" w:cs="Arial" w:hint="eastAsia"/>
          <w:sz w:val="24"/>
        </w:rPr>
        <w:t>若基金管理人/基金托管人发生变更，未变更的一方有义务协助变更后的接任人接收相应文件。</w:t>
      </w:r>
    </w:p>
    <w:p w14:paraId="1E80BE75"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（四）基金管理人和基金托管人应按各自职责完整保存原始凭证、记账凭证、基金账册、交易记录和重要合同等，承担保密义务，保存期限不少于法律法规规定</w:t>
      </w:r>
      <w:r>
        <w:rPr>
          <w:rFonts w:ascii="彩虹粗仿宋" w:eastAsia="彩虹粗仿宋" w:hAnsi="宋体" w:cs="Arial"/>
          <w:sz w:val="24"/>
        </w:rPr>
        <w:t>的最低年限</w:t>
      </w:r>
      <w:r>
        <w:rPr>
          <w:rFonts w:ascii="彩虹粗仿宋" w:eastAsia="彩虹粗仿宋" w:hAnsi="宋体" w:cs="Arial" w:hint="eastAsia"/>
          <w:sz w:val="24"/>
        </w:rPr>
        <w:t>。</w:t>
      </w:r>
    </w:p>
    <w:p w14:paraId="4C173E32" w14:textId="77777777" w:rsidR="00E5713C" w:rsidRDefault="00E5713C">
      <w:pPr>
        <w:adjustRightInd w:val="0"/>
        <w:snapToGrid w:val="0"/>
        <w:rPr>
          <w:rFonts w:ascii="彩虹粗仿宋" w:eastAsia="彩虹粗仿宋"/>
          <w:sz w:val="30"/>
          <w:szCs w:val="30"/>
        </w:rPr>
      </w:pPr>
    </w:p>
    <w:p w14:paraId="32B9E263" w14:textId="77777777" w:rsidR="00E5713C" w:rsidRDefault="00441401">
      <w:pPr>
        <w:pStyle w:val="2"/>
        <w:jc w:val="center"/>
        <w:rPr>
          <w:rFonts w:ascii="彩虹粗仿宋" w:eastAsia="彩虹粗仿宋"/>
          <w:sz w:val="30"/>
        </w:rPr>
      </w:pPr>
      <w:bookmarkStart w:id="97" w:name="_Toc124325898"/>
      <w:r>
        <w:rPr>
          <w:rFonts w:ascii="彩虹粗仿宋" w:eastAsia="彩虹粗仿宋" w:hint="eastAsia"/>
          <w:sz w:val="30"/>
        </w:rPr>
        <w:t>十四、基金管理人和基金托管人的更换</w:t>
      </w:r>
      <w:bookmarkEnd w:id="97"/>
    </w:p>
    <w:p w14:paraId="202EC66F" w14:textId="77777777" w:rsidR="00E5713C" w:rsidRDefault="00441401">
      <w:pPr>
        <w:adjustRightInd w:val="0"/>
        <w:snapToGrid w:val="0"/>
        <w:ind w:firstLineChars="200" w:firstLine="480"/>
        <w:rPr>
          <w:rFonts w:ascii="彩虹粗仿宋" w:eastAsia="彩虹粗仿宋" w:hAnsi="宋体" w:cs="Arial"/>
          <w:sz w:val="24"/>
        </w:rPr>
      </w:pPr>
      <w:bookmarkStart w:id="98" w:name="_Hlk195709709"/>
      <w:r>
        <w:rPr>
          <w:rFonts w:ascii="彩虹粗仿宋" w:eastAsia="彩虹粗仿宋" w:hAnsi="宋体" w:cs="Arial" w:hint="eastAsia"/>
          <w:sz w:val="24"/>
        </w:rPr>
        <w:t>（一）基金管理人职责终止的情形及更换程序</w:t>
      </w:r>
    </w:p>
    <w:p w14:paraId="3D7F5B54"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1.基金管理人职责终止的情形</w:t>
      </w:r>
    </w:p>
    <w:p w14:paraId="59DF7889"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有下列情形之一的，基金管理人职责终止：</w:t>
      </w:r>
    </w:p>
    <w:p w14:paraId="6D20037F"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（1）被依法取消基金管理资格；</w:t>
      </w:r>
    </w:p>
    <w:p w14:paraId="00331647"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（2）被基金份额持有人大会解任；</w:t>
      </w:r>
    </w:p>
    <w:p w14:paraId="42EA4E13"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（3）依法解散、被依法撤销或被依法宣告破产；</w:t>
      </w:r>
    </w:p>
    <w:p w14:paraId="31C21628"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（4）法律法规及中国证监会规定的和《基金合同》约定的其他情形。</w:t>
      </w:r>
    </w:p>
    <w:p w14:paraId="7DD8C9EE"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2.基金管理人的更换程序</w:t>
      </w:r>
    </w:p>
    <w:p w14:paraId="00C7A1A8"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更换基金管理人必须依照如下程序进行：</w:t>
      </w:r>
    </w:p>
    <w:p w14:paraId="0591569E"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（1）提名：新任基金管理人由基金托管人或由单独或合计持有10%以上（含10%）基金份额的基金份额持有人提名；</w:t>
      </w:r>
    </w:p>
    <w:p w14:paraId="33B4A1CC"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决议：基金份额持有人大会在基金管理人职责终止后6个月内对被提名的基金管理人形成决议，该决议需经参加大会的基金份额持有人所持表决权的三分之二以上（含三分之二）表决通过，决议自表决通过之日起生效；</w:t>
      </w:r>
    </w:p>
    <w:p w14:paraId="33AFEF80"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（3）临时基金管理人：新任基金管理人产生之前，由中国证监会指定临时基金管理人；</w:t>
      </w:r>
    </w:p>
    <w:p w14:paraId="7F83DAA0"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（4）备案：基金份额持有人大会更换基金管理人的决议须报中国证监会备案；</w:t>
      </w:r>
    </w:p>
    <w:p w14:paraId="00671B83"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（5）公告：基金管理人更换后，由基金托管人在更换基金管理人的基金份额持有人大会决议生效后2日内在规定媒介公告；</w:t>
      </w:r>
    </w:p>
    <w:p w14:paraId="0E971156"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6）交接：基金管理人职责终止的，基金管理人应妥善保管基金管理业务资料，及时向临时基金管理人或新任基金管理人办理基金管理业务的移交手续，临时基金管理人或新任基金管理人应及时接收。临时基金管理人或新任基金管理人应与基金托管人核对基金资产总值和基金资产净值；</w:t>
      </w:r>
    </w:p>
    <w:p w14:paraId="5480D22E"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（7）审计：基金管理人职责终止的，应当按照法律法规规定聘请符合《证券法》规定的会计师事务所对基金财产进行审计，并将审计结果予以公告，同时报中国证监会备案。审计费用在基金财产中列支；</w:t>
      </w:r>
    </w:p>
    <w:p w14:paraId="6D0C10EC"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（8）基金名称变更：基金管理人更换后，如果原任或新任基金管理人要求，应按其要求替换或删除基金名称中与原任基金管理人有关的名称字样。</w:t>
      </w:r>
    </w:p>
    <w:p w14:paraId="02F21477"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（二）基金托管人职责终止的情形及更换程序</w:t>
      </w:r>
    </w:p>
    <w:p w14:paraId="1C07CDE8"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1.基金托管人职责终止的情形</w:t>
      </w:r>
    </w:p>
    <w:p w14:paraId="72730B5B"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有下列情形之一的，基金托管人职责终止：</w:t>
      </w:r>
    </w:p>
    <w:p w14:paraId="42879D3E"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（1）被依法取消基金托管资格；</w:t>
      </w:r>
    </w:p>
    <w:p w14:paraId="67A81EAD"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（2）被基金份额持有人大会解任；</w:t>
      </w:r>
    </w:p>
    <w:p w14:paraId="37ADB3CE"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（3）依法解散、被依法撤销或被依法宣告破产；</w:t>
      </w:r>
    </w:p>
    <w:p w14:paraId="1DD7C153"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（4）法律法规及中国证监会规定的和《基金合同》约定的其他情形。</w:t>
      </w:r>
    </w:p>
    <w:p w14:paraId="79205EAC"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2.基金托管人的更换程序</w:t>
      </w:r>
    </w:p>
    <w:p w14:paraId="69DCDE4C"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（1）提名：新任基金托管人由基金管理人或由单独或合计持有10%以上（含10%）基金份额的基金份额持有人提名；</w:t>
      </w:r>
    </w:p>
    <w:p w14:paraId="59490683"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决议：基金份额持有人大会在基金托管人职责终止后6个月内对被提名的基金托管人形成决议，该决议需经参加大会的基金份额持有人所持表决权的三分之二以上（含三分之二）表决通过，决议自表决通过之日起生效；</w:t>
      </w:r>
    </w:p>
    <w:p w14:paraId="618BC7EC"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（3）临时基金托管人：新任基金托管人产生之前，由中国证监会指定临时基金托管人；</w:t>
      </w:r>
    </w:p>
    <w:p w14:paraId="4A819DFF"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（4）备案：基金份额持有人大会更换基金托管人的决议须报中国证监会备案；</w:t>
      </w:r>
    </w:p>
    <w:p w14:paraId="699723BD"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（5）公告：基金托管人更换后，由基金管理人在更换基金托管人的基金份额持有人大会决议生效后2日内在规定媒介公告；</w:t>
      </w:r>
    </w:p>
    <w:p w14:paraId="6642FD46"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（6）交接：基金托管人职责终止的，应当妥善保管基金财产和基金托管业务资料，及时办理基金财产和基金托管业务的移交手续，新任基金托管人或者临时基金托管人应当及时接收。</w:t>
      </w:r>
      <w:bookmarkStart w:id="99" w:name="_Hlk165385721"/>
      <w:r>
        <w:rPr>
          <w:rFonts w:ascii="彩虹粗仿宋" w:eastAsia="彩虹粗仿宋" w:hAnsi="宋体" w:cs="Arial" w:hint="eastAsia"/>
          <w:sz w:val="24"/>
        </w:rPr>
        <w:t>临时基金托管人或新任基金托管人应与基金管理人核对基金资产总值和基金资产净值</w:t>
      </w:r>
      <w:bookmarkEnd w:id="99"/>
      <w:r>
        <w:rPr>
          <w:rFonts w:ascii="彩虹粗仿宋" w:eastAsia="彩虹粗仿宋" w:hAnsi="宋体" w:cs="Arial" w:hint="eastAsia"/>
          <w:sz w:val="24"/>
        </w:rPr>
        <w:t xml:space="preserve">； </w:t>
      </w:r>
    </w:p>
    <w:p w14:paraId="32FB4AAF"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（7）审计：基金托管人职责终止的，应当按照法律法规规定聘请符合《证券法》规定的会计师事务所对基金财产进行审计，并将审计结果予以公告，同时报中国证监会备案。审计费用在基金财产中列支。</w:t>
      </w:r>
    </w:p>
    <w:p w14:paraId="6D6CF6C2"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（三）基金管理人与基金托管人同时更换的条件和程序</w:t>
      </w:r>
    </w:p>
    <w:p w14:paraId="084372DB"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1、提名：如果基金管理人和基金托管人同时更换，由单独或合计持有基金总份额10%以上（含10%）的基金份额持有人提名新的基金管理人和基金托管人；</w:t>
      </w:r>
    </w:p>
    <w:p w14:paraId="1E99F122"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2、基金管理人和基金托管人的更换分别按上述程序进行；</w:t>
      </w:r>
    </w:p>
    <w:p w14:paraId="12C47A53"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3、公告：新任</w:t>
      </w:r>
      <w:r>
        <w:rPr>
          <w:rFonts w:ascii="彩虹粗仿宋" w:eastAsia="彩虹粗仿宋" w:hAnsi="宋体" w:cs="Arial" w:hint="eastAsia"/>
          <w:bCs/>
          <w:sz w:val="24"/>
        </w:rPr>
        <w:t>或临时</w:t>
      </w:r>
      <w:r>
        <w:rPr>
          <w:rFonts w:ascii="彩虹粗仿宋" w:eastAsia="彩虹粗仿宋" w:hAnsi="宋体" w:cs="Arial" w:hint="eastAsia"/>
          <w:sz w:val="24"/>
        </w:rPr>
        <w:t>基金管理人和新任</w:t>
      </w:r>
      <w:r>
        <w:rPr>
          <w:rFonts w:ascii="彩虹粗仿宋" w:eastAsia="彩虹粗仿宋" w:hAnsi="宋体" w:cs="Arial" w:hint="eastAsia"/>
          <w:bCs/>
          <w:sz w:val="24"/>
        </w:rPr>
        <w:t>或临时</w:t>
      </w:r>
      <w:r>
        <w:rPr>
          <w:rFonts w:ascii="彩虹粗仿宋" w:eastAsia="彩虹粗仿宋" w:hAnsi="宋体" w:cs="Arial" w:hint="eastAsia"/>
          <w:sz w:val="24"/>
        </w:rPr>
        <w:t>基金托管人应在更换基金管理人和基金托管人的基金份额持有人大会决议生效后2日内在规定媒介上联合公告。</w:t>
      </w:r>
    </w:p>
    <w:p w14:paraId="169574E2" w14:textId="77777777" w:rsidR="00E5713C" w:rsidRDefault="00441401">
      <w:pPr>
        <w:adjustRightInd w:val="0"/>
        <w:snapToGrid w:val="0"/>
        <w:ind w:firstLineChars="200" w:firstLine="480"/>
        <w:rPr>
          <w:rFonts w:ascii="彩虹粗仿宋" w:eastAsia="彩虹粗仿宋" w:hAnsi="宋体" w:cs="Arial"/>
          <w:bCs/>
          <w:sz w:val="24"/>
        </w:rPr>
      </w:pPr>
      <w:r>
        <w:rPr>
          <w:rFonts w:ascii="彩虹粗仿宋" w:eastAsia="彩虹粗仿宋" w:hAnsi="宋体" w:cs="Arial" w:hint="eastAsia"/>
          <w:sz w:val="24"/>
        </w:rPr>
        <w:t>（四）新任或临时基金管理人接收基金管理业务或新任或临时基金托管人接收基金财产和基金托管业务前，原</w:t>
      </w:r>
      <w:r>
        <w:rPr>
          <w:rFonts w:ascii="彩虹粗仿宋" w:eastAsia="彩虹粗仿宋" w:hAnsi="宋体" w:cs="Arial" w:hint="eastAsia"/>
          <w:bCs/>
          <w:sz w:val="24"/>
        </w:rPr>
        <w:t>任</w:t>
      </w:r>
      <w:r>
        <w:rPr>
          <w:rFonts w:ascii="彩虹粗仿宋" w:eastAsia="彩虹粗仿宋" w:hAnsi="宋体" w:cs="Arial" w:hint="eastAsia"/>
          <w:sz w:val="24"/>
        </w:rPr>
        <w:t>基金管理人或基金托管人应依据法律法规和《基金合同》的规定继续履行相关职责，并保证不对基金份额持有人的利益造成损害。</w:t>
      </w:r>
      <w:r>
        <w:rPr>
          <w:rFonts w:ascii="彩虹粗仿宋" w:eastAsia="彩虹粗仿宋" w:hAnsi="宋体" w:cs="Arial" w:hint="eastAsia"/>
          <w:bCs/>
          <w:sz w:val="24"/>
        </w:rPr>
        <w:t>原任基金管理人或基金托管人在继续履行相关职责期间，仍有权按照基金合同的规定收取基金管理费或基金托管费。</w:t>
      </w:r>
    </w:p>
    <w:p w14:paraId="7EB1B473"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五）本部分关于基金管理人、基金托管人更换条件和程序的约定，凡是直接引用法律法规或监管规则的部分，如将来法律法规或监管规则修改导致相关内容被取消或变更的，基金管理人与基金托管人根据新颁布的法律法规或监管规则协商一致并提前公告后，可直接对相应内容进行修改和调整，无需召开基金份额持有人大会审议。</w:t>
      </w:r>
    </w:p>
    <w:p w14:paraId="0264A262" w14:textId="77777777" w:rsidR="00E5713C" w:rsidRDefault="00E5713C">
      <w:pPr>
        <w:adjustRightInd w:val="0"/>
        <w:snapToGrid w:val="0"/>
        <w:rPr>
          <w:rFonts w:ascii="彩虹粗仿宋" w:eastAsia="彩虹粗仿宋" w:hAnsi="宋体" w:cs="Arial"/>
          <w:sz w:val="24"/>
        </w:rPr>
      </w:pPr>
    </w:p>
    <w:p w14:paraId="69B62DCA" w14:textId="77777777" w:rsidR="00E5713C" w:rsidRDefault="00441401">
      <w:pPr>
        <w:pStyle w:val="2"/>
        <w:jc w:val="center"/>
        <w:rPr>
          <w:rFonts w:ascii="彩虹粗仿宋" w:eastAsia="彩虹粗仿宋"/>
          <w:sz w:val="30"/>
        </w:rPr>
      </w:pPr>
      <w:bookmarkStart w:id="100" w:name="_Toc124325899"/>
      <w:bookmarkEnd w:id="98"/>
      <w:r>
        <w:rPr>
          <w:rFonts w:ascii="彩虹粗仿宋" w:eastAsia="彩虹粗仿宋" w:hint="eastAsia"/>
          <w:sz w:val="30"/>
        </w:rPr>
        <w:t>十五、禁止行为</w:t>
      </w:r>
      <w:bookmarkEnd w:id="100"/>
    </w:p>
    <w:p w14:paraId="0D079453"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本协议当事人禁止从事的行为，包括但不限于：</w:t>
      </w:r>
    </w:p>
    <w:p w14:paraId="76D1FAE2"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（一）基金管理人、基金托管人将其固有财产或者他人财产混同于基金财产从事证券投资。</w:t>
      </w:r>
    </w:p>
    <w:p w14:paraId="70929BEC" w14:textId="77777777" w:rsidR="00E5713C" w:rsidRDefault="00441401">
      <w:pPr>
        <w:adjustRightInd w:val="0"/>
        <w:snapToGrid w:val="0"/>
        <w:ind w:firstLineChars="200" w:firstLine="480"/>
        <w:rPr>
          <w:rFonts w:ascii="彩虹粗仿宋" w:eastAsia="彩虹粗仿宋"/>
        </w:rPr>
      </w:pPr>
      <w:r>
        <w:rPr>
          <w:rFonts w:ascii="彩虹粗仿宋" w:eastAsia="彩虹粗仿宋" w:hint="eastAsia"/>
          <w:sz w:val="24"/>
        </w:rPr>
        <w:t>（二）基金管理人不公平地对待其管理的不同基金财产，基金托管人不公平地对待其托管的不同基金财产。</w:t>
      </w:r>
    </w:p>
    <w:p w14:paraId="43749542"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（三）基金管理人、基金托管人利用基金财产为基金份额持有人以外的第三人牟取利益。</w:t>
      </w:r>
    </w:p>
    <w:p w14:paraId="6A8EEDCD"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（四）基金管理人、基金托管人向基金份额持有人违规承诺收益或者承担损失。</w:t>
      </w:r>
    </w:p>
    <w:p w14:paraId="0845AFBC"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（五）基金管理人、基金托管人对他人泄露基金运作和管理过程中任何尚未按法律法规规定的方式公开披露的信息。</w:t>
      </w:r>
    </w:p>
    <w:p w14:paraId="7473861A"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（六）基金管理人在没有充足资金的情况下向基金托管人发出投资指令和赎回、分红资金的划拨指令，或违规向基金托管人发出指令。</w:t>
      </w:r>
    </w:p>
    <w:p w14:paraId="0EEC863D"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（七）基金管理人、基金托管人在行政上、财务上不独立, 其高级管理人员和其他从业人员相互兼职。</w:t>
      </w:r>
    </w:p>
    <w:p w14:paraId="22E69021"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（八）基金托管人私自动用或处分基金财产，根据基金管理人的合法指令、《基金合同》或托管协议的规定进行处分的除外。</w:t>
      </w:r>
    </w:p>
    <w:p w14:paraId="0233FDC9" w14:textId="585C563D"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（九）基金财产用于下列投资或者活动：1.承销证券；2.违反规定向他人贷款或者提供担保；3.从事承担无限责任的投资；4.</w:t>
      </w:r>
      <w:r>
        <w:rPr>
          <w:rFonts w:hint="eastAsia"/>
        </w:rPr>
        <w:t xml:space="preserve"> </w:t>
      </w:r>
      <w:r>
        <w:rPr>
          <w:rFonts w:ascii="彩虹粗仿宋" w:eastAsia="彩虹粗仿宋" w:hint="eastAsia"/>
          <w:sz w:val="24"/>
        </w:rPr>
        <w:t>买卖除目标ETF以外的其他基金份额，但是中国证监会另有规定的除外；5.向其基金管理人、基金托管人出资；6.从事内幕交易、操纵证券交易价格及其他不正当的证券交易活动；</w:t>
      </w:r>
      <w:r>
        <w:rPr>
          <w:rFonts w:ascii="彩虹粗仿宋" w:eastAsia="彩虹粗仿宋"/>
          <w:sz w:val="24"/>
        </w:rPr>
        <w:t>7</w:t>
      </w:r>
      <w:r>
        <w:rPr>
          <w:rFonts w:ascii="彩虹粗仿宋" w:eastAsia="彩虹粗仿宋" w:hint="eastAsia"/>
          <w:sz w:val="24"/>
        </w:rPr>
        <w:t>.依照法律、行政法规有关规定，由中国证监会规定禁止的其他活动。法律、行政法规或监管部门取消或变更上述限制，如适用于本基金，基金管理人在履行适当程序后，则本基金投资不再受相关限制或按变更后的规定执行。</w:t>
      </w:r>
    </w:p>
    <w:p w14:paraId="1F9BB98D" w14:textId="77777777" w:rsidR="00E5713C" w:rsidRDefault="00441401">
      <w:pPr>
        <w:adjustRightInd w:val="0"/>
        <w:snapToGrid w:val="0"/>
        <w:ind w:firstLineChars="200" w:firstLine="480"/>
        <w:rPr>
          <w:rFonts w:ascii="彩虹粗仿宋" w:eastAsia="彩虹粗仿宋"/>
          <w:sz w:val="24"/>
        </w:rPr>
      </w:pPr>
      <w:r>
        <w:rPr>
          <w:rFonts w:ascii="彩虹粗仿宋" w:eastAsia="彩虹粗仿宋" w:hint="eastAsia"/>
          <w:sz w:val="24"/>
        </w:rPr>
        <w:t>（十）法律法规和《基金合同》禁止的其他行为，以及依照法律、行政法规有关规定，由中国证监会规定禁止基金管理人、基金托管人从事的其他行为。</w:t>
      </w:r>
    </w:p>
    <w:p w14:paraId="342A0C2D" w14:textId="77777777" w:rsidR="00E5713C" w:rsidRDefault="00E5713C">
      <w:pPr>
        <w:adjustRightInd w:val="0"/>
        <w:snapToGrid w:val="0"/>
        <w:rPr>
          <w:rFonts w:ascii="彩虹粗仿宋" w:eastAsia="彩虹粗仿宋"/>
          <w:sz w:val="30"/>
          <w:szCs w:val="30"/>
        </w:rPr>
      </w:pPr>
    </w:p>
    <w:p w14:paraId="4C21DC6F" w14:textId="77777777" w:rsidR="00E5713C" w:rsidRDefault="00441401">
      <w:pPr>
        <w:pStyle w:val="2"/>
        <w:jc w:val="center"/>
        <w:rPr>
          <w:rFonts w:ascii="彩虹粗仿宋" w:eastAsia="彩虹粗仿宋"/>
          <w:sz w:val="30"/>
        </w:rPr>
      </w:pPr>
      <w:bookmarkStart w:id="101" w:name="_Toc124325900"/>
      <w:r>
        <w:rPr>
          <w:rFonts w:ascii="彩虹粗仿宋" w:eastAsia="彩虹粗仿宋" w:hint="eastAsia"/>
          <w:sz w:val="30"/>
        </w:rPr>
        <w:t>十六、托管协议的变更、终止与基金财产的清算</w:t>
      </w:r>
      <w:bookmarkEnd w:id="101"/>
    </w:p>
    <w:p w14:paraId="4A12701B"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（一）托管协议的变更程序</w:t>
      </w:r>
    </w:p>
    <w:p w14:paraId="40639739" w14:textId="77777777" w:rsidR="00E5713C" w:rsidRDefault="00441401">
      <w:pPr>
        <w:adjustRightInd w:val="0"/>
        <w:snapToGrid w:val="0"/>
        <w:ind w:firstLineChars="200" w:firstLine="480"/>
        <w:rPr>
          <w:rFonts w:ascii="彩虹粗仿宋" w:eastAsia="彩虹粗仿宋"/>
          <w:sz w:val="30"/>
          <w:szCs w:val="30"/>
        </w:rPr>
      </w:pPr>
      <w:r>
        <w:rPr>
          <w:rFonts w:ascii="彩虹粗仿宋" w:eastAsia="彩虹粗仿宋" w:hAnsi="宋体" w:cs="Arial" w:hint="eastAsia"/>
          <w:sz w:val="24"/>
        </w:rPr>
        <w:t>本协议双方当事人经协商一致，可以对协议进行修改。修改后的新协议，其内容不得与《基金合同》的规定有任何冲突。</w:t>
      </w:r>
    </w:p>
    <w:p w14:paraId="47AD3043"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（二）基金托管协议终止的情形</w:t>
      </w:r>
    </w:p>
    <w:p w14:paraId="5A2149EA"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1.《基金合同》终止；</w:t>
      </w:r>
    </w:p>
    <w:p w14:paraId="4A1D6C1A"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2.基金托管人解散、依法被撤销、破产或由其他基金托管人接管基金资产；</w:t>
      </w:r>
    </w:p>
    <w:p w14:paraId="65C8EFF8"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3.基金管理人解散、依法被撤销、破产或由其他基金管理人接管基金管理权；</w:t>
      </w:r>
    </w:p>
    <w:p w14:paraId="68AAE4B8"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4.发生法律法规、中国证监会或《基金合同》规定的终止事项。</w:t>
      </w:r>
    </w:p>
    <w:p w14:paraId="7F1548B2"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（三）基金财产的清算</w:t>
      </w:r>
    </w:p>
    <w:p w14:paraId="6E92DD68"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1、基金财产清算小组：自出现《基金合同》终止事由之日起30个工作日内成立清算小组，基金管理人组织基金财产清算小组并在中国证监会的监督下进行基金清算。</w:t>
      </w:r>
    </w:p>
    <w:p w14:paraId="1344CBA8"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2、基金财产清算小组组成：基金财产清算小组成员由基金管理人、基金托管人、符合《证券法》规定的注册会计师、律师以及中国证监会指定的人员组成。基金财产清算小组可以聘用必要的工作人员。</w:t>
      </w:r>
    </w:p>
    <w:p w14:paraId="51459CA9"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3、基金财产清算小组职责：基金财产清算小组负责基金财产的保管、清理、估价、变现和分配。基金财产清算小组可以依法进行必要的民事活动。</w:t>
      </w:r>
    </w:p>
    <w:p w14:paraId="7697D4CF"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4、基金财产清算程序：</w:t>
      </w:r>
    </w:p>
    <w:p w14:paraId="39CC0C1A"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（1）《基金合同》终止情形出现时，由基金财产清算小组统一接管基金；</w:t>
      </w:r>
    </w:p>
    <w:p w14:paraId="63F90182"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（2）对基金财产和债权债务进行清理和确认；</w:t>
      </w:r>
    </w:p>
    <w:p w14:paraId="62BBBDAD"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（3）对基金财产进行估值和变现；</w:t>
      </w:r>
    </w:p>
    <w:p w14:paraId="576893CD"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（4）制作清算报告；</w:t>
      </w:r>
    </w:p>
    <w:p w14:paraId="61FB0646"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（5）聘请符合《证券法》规定的会计师事务所对清算报告进行外部审计，聘请律师事务所对清算报告出具法律意见书；</w:t>
      </w:r>
    </w:p>
    <w:p w14:paraId="762C8D5C"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（6）将清算报告报中国证监会备案并公告；</w:t>
      </w:r>
    </w:p>
    <w:p w14:paraId="2637EBC6"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（7）对基金剩余财产进行分配。</w:t>
      </w:r>
    </w:p>
    <w:p w14:paraId="4A5CCD64"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5、基金财产清算的期限为6个月，但因本基金所持证券的流动性受到限制而不能及时变现的，清算期限相应顺延。</w:t>
      </w:r>
    </w:p>
    <w:p w14:paraId="65405396"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6、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6FD38EA9"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sz w:val="24"/>
        </w:rPr>
        <w:t>7</w:t>
      </w:r>
      <w:r>
        <w:rPr>
          <w:rFonts w:ascii="彩虹粗仿宋" w:eastAsia="彩虹粗仿宋" w:hAnsi="宋体" w:cs="Arial" w:hint="eastAsia"/>
          <w:sz w:val="24"/>
        </w:rPr>
        <w:t>、清算费用</w:t>
      </w:r>
    </w:p>
    <w:p w14:paraId="2214DC30"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清算费用是指基金财产清算小组在进行基金清算过程中发生的所有合理费用，清算费用由基金财产清算小组优先从基金财产中支付。</w:t>
      </w:r>
    </w:p>
    <w:p w14:paraId="154FDB68"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sz w:val="24"/>
        </w:rPr>
        <w:t>8</w:t>
      </w:r>
      <w:r>
        <w:rPr>
          <w:rFonts w:ascii="彩虹粗仿宋" w:eastAsia="彩虹粗仿宋" w:hAnsi="宋体" w:cs="Arial" w:hint="eastAsia"/>
          <w:sz w:val="24"/>
        </w:rPr>
        <w:t>、基金财产清算剩余资产的分配</w:t>
      </w:r>
    </w:p>
    <w:p w14:paraId="33A0E093"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3DD43F4B"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sz w:val="24"/>
        </w:rPr>
        <w:t>9</w:t>
      </w:r>
      <w:r>
        <w:rPr>
          <w:rFonts w:ascii="彩虹粗仿宋" w:eastAsia="彩虹粗仿宋" w:hAnsi="宋体" w:cs="Arial" w:hint="eastAsia"/>
          <w:sz w:val="24"/>
        </w:rPr>
        <w:t>、基金财产清算的公告</w:t>
      </w:r>
    </w:p>
    <w:p w14:paraId="128CFC90"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45C1CB65"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sz w:val="24"/>
        </w:rPr>
        <w:t>10</w:t>
      </w:r>
      <w:r>
        <w:rPr>
          <w:rFonts w:ascii="彩虹粗仿宋" w:eastAsia="彩虹粗仿宋" w:hAnsi="宋体" w:cs="Arial" w:hint="eastAsia"/>
          <w:sz w:val="24"/>
        </w:rPr>
        <w:t>、基金财产清算账册及文件的保存</w:t>
      </w:r>
    </w:p>
    <w:p w14:paraId="36A4CC8A"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基金财产清算账册及有关文件由基金托管人保存不少于法律法规规定的最低年限。</w:t>
      </w:r>
    </w:p>
    <w:p w14:paraId="6B47A4B8" w14:textId="77777777" w:rsidR="00E5713C" w:rsidRDefault="00E5713C">
      <w:pPr>
        <w:adjustRightInd w:val="0"/>
        <w:snapToGrid w:val="0"/>
        <w:rPr>
          <w:rFonts w:ascii="彩虹粗仿宋" w:eastAsia="彩虹粗仿宋" w:hAnsi="宋体" w:cs="Arial"/>
          <w:sz w:val="24"/>
        </w:rPr>
      </w:pPr>
    </w:p>
    <w:p w14:paraId="368717D6" w14:textId="77777777" w:rsidR="00E5713C" w:rsidRDefault="00441401">
      <w:pPr>
        <w:pStyle w:val="2"/>
        <w:jc w:val="center"/>
        <w:rPr>
          <w:rFonts w:ascii="彩虹粗仿宋" w:eastAsia="彩虹粗仿宋"/>
          <w:sz w:val="30"/>
        </w:rPr>
      </w:pPr>
      <w:bookmarkStart w:id="102" w:name="_Toc124325901"/>
      <w:r>
        <w:rPr>
          <w:rFonts w:ascii="彩虹粗仿宋" w:eastAsia="彩虹粗仿宋" w:hint="eastAsia"/>
          <w:sz w:val="30"/>
        </w:rPr>
        <w:t>十七、违约责任</w:t>
      </w:r>
      <w:bookmarkEnd w:id="102"/>
    </w:p>
    <w:p w14:paraId="77AA4348"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（一）基金管理人、基金托管人不履行本协议或履行本协议不符合约定的，应当承担违约责任。</w:t>
      </w:r>
    </w:p>
    <w:p w14:paraId="59E4197D"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二）基金管理人、基金托管人在履行各自职责的过程中，违反《基金法》等法律法规的规定或者《基金合同》和本托管协议约定，给基金财产或者基金份额持有人造成损害的，应当分别对各自的行为依法承担赔偿责任；因共同行为给基金财产或者基金份额持有人造成损害的，应当承担连带赔偿责任，对损失的赔偿，仅限于直接损失。</w:t>
      </w:r>
    </w:p>
    <w:p w14:paraId="1EB2C5D3"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三）一方当事人违约，给另一方当事人造成损失的，应就直接损失进行赔偿；给基金财产造成损失的，应就直接损失进行赔偿，另一方当事人有权利及义务代表基金向违约方追偿。但是如发生下列情况，当事人免责：</w:t>
      </w:r>
    </w:p>
    <w:p w14:paraId="4B5BFB54"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1.不可抗力；</w:t>
      </w:r>
    </w:p>
    <w:p w14:paraId="22C5B0E4"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2.基金管理人、基金托管人按照当时有效的法律法规或中国证监会的规定作为或不作为而造成的损失等；</w:t>
      </w:r>
    </w:p>
    <w:p w14:paraId="151FD979"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3.在没有过错的情况下，基金管理人由于按照《基金合同》规定的投资原则投资或不投资造成的直接损失等；</w:t>
      </w:r>
    </w:p>
    <w:p w14:paraId="01E6A4BE"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四）一方当事人违约，另一方当事人在职责范围内有义务及时采取必要的措施，尽力防止损失的扩大。没有采取适当措施致使损失进一步扩大的，不得就扩大的损失要求赔偿。非违约方因防止损失扩大而支出的合理费用由违约方承担。</w:t>
      </w:r>
    </w:p>
    <w:p w14:paraId="084ABFD4"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（五）违约行为虽已发生，但本托管协议能够继续履行的，在最大限度地保护基金份额持有人利益的前提下，基金管理人和基金托管人应当继续履行本协议。</w:t>
      </w:r>
    </w:p>
    <w:p w14:paraId="36ADE157" w14:textId="77777777" w:rsidR="00E5713C" w:rsidRDefault="00441401">
      <w:pPr>
        <w:adjustRightInd w:val="0"/>
        <w:snapToGrid w:val="0"/>
        <w:ind w:firstLineChars="200" w:firstLine="480"/>
        <w:outlineLvl w:val="0"/>
        <w:rPr>
          <w:rFonts w:ascii="彩虹粗仿宋" w:eastAsia="彩虹粗仿宋" w:hAnsi="宋体" w:cs="Arial"/>
          <w:sz w:val="24"/>
        </w:rPr>
      </w:pPr>
      <w:r>
        <w:rPr>
          <w:rFonts w:ascii="彩虹粗仿宋" w:eastAsia="彩虹粗仿宋" w:hAnsi="宋体" w:cs="Arial" w:hint="eastAsia"/>
          <w:sz w:val="24"/>
        </w:rPr>
        <w:t>（六）由于基金管理人、基金托管人不可控制的因素导致业务出现差错，基金管理人和基金托管人虽然已经采取必要、适当、合理的措施进行检查，但是未能发现错误</w:t>
      </w:r>
      <w:r>
        <w:rPr>
          <w:rFonts w:ascii="彩虹粗仿宋" w:eastAsia="彩虹粗仿宋" w:hAnsi="宋体" w:cs="Arial" w:hint="eastAsia"/>
          <w:bCs/>
          <w:sz w:val="24"/>
        </w:rPr>
        <w:t>或因前述原因未能避免或更正错误</w:t>
      </w:r>
      <w:r>
        <w:rPr>
          <w:rFonts w:ascii="彩虹粗仿宋" w:eastAsia="彩虹粗仿宋" w:hAnsi="宋体" w:cs="Arial" w:hint="eastAsia"/>
          <w:sz w:val="24"/>
        </w:rPr>
        <w:t>的，由此造成基金财产或投资人损失，基金管理人和基金托管人免除赔偿责任。但是基金管理人和基金托管人应积极采取必要的措施消除或减轻由此造成的影响。</w:t>
      </w:r>
    </w:p>
    <w:p w14:paraId="47AA8F5A" w14:textId="77777777" w:rsidR="00E5713C" w:rsidRDefault="00E5713C"/>
    <w:p w14:paraId="754A488F" w14:textId="77777777" w:rsidR="00E5713C" w:rsidRDefault="00441401">
      <w:pPr>
        <w:pStyle w:val="2"/>
        <w:jc w:val="center"/>
        <w:rPr>
          <w:rFonts w:ascii="彩虹粗仿宋" w:eastAsia="彩虹粗仿宋"/>
          <w:sz w:val="30"/>
        </w:rPr>
      </w:pPr>
      <w:bookmarkStart w:id="103" w:name="_Toc124325902"/>
      <w:r>
        <w:rPr>
          <w:rFonts w:ascii="彩虹粗仿宋" w:eastAsia="彩虹粗仿宋" w:hint="eastAsia"/>
          <w:sz w:val="30"/>
        </w:rPr>
        <w:t>十八、争议解决方式</w:t>
      </w:r>
      <w:bookmarkEnd w:id="103"/>
    </w:p>
    <w:p w14:paraId="3DCE8020" w14:textId="0B3A67A4"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因本协议产生或与之相关的争议，双方当事人应通过协商解决，如经友好协商未能解决的，任何一方均有权将争议提交中国国际经济贸易仲裁委员会，按照该会届时有效的仲裁规则进行仲裁。仲裁地点为北京市，仲裁裁决是终局的，对双方当事人均有约束力。除非仲裁裁决另有规定，仲裁费由败诉方承担。</w:t>
      </w:r>
    </w:p>
    <w:p w14:paraId="2B4BF0A4"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争议处理期间，双方当事人应恪守基金管理人和基金托管人职责，各种继续忠实、勤勉、尽责地履行基金合同和本托管协议规定的义务，维护基金份额持有人的合法权益。</w:t>
      </w:r>
    </w:p>
    <w:p w14:paraId="1B5B8F42"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本协议受中国法律（为本协议之目的，不含港澳台地区法律）管辖并从其解释。</w:t>
      </w:r>
    </w:p>
    <w:p w14:paraId="22939BFD" w14:textId="77777777" w:rsidR="00E5713C" w:rsidRDefault="00E5713C">
      <w:pPr>
        <w:adjustRightInd w:val="0"/>
        <w:snapToGrid w:val="0"/>
        <w:ind w:firstLineChars="200" w:firstLine="480"/>
        <w:rPr>
          <w:rFonts w:ascii="彩虹粗仿宋" w:eastAsia="彩虹粗仿宋" w:hAnsi="宋体" w:cs="Arial"/>
          <w:sz w:val="24"/>
        </w:rPr>
      </w:pPr>
    </w:p>
    <w:p w14:paraId="13D3F78E" w14:textId="77777777" w:rsidR="00E5713C" w:rsidRDefault="00E5713C">
      <w:pPr>
        <w:adjustRightInd w:val="0"/>
        <w:snapToGrid w:val="0"/>
        <w:rPr>
          <w:rFonts w:ascii="彩虹粗仿宋" w:eastAsia="彩虹粗仿宋" w:hAnsi="宋体" w:cs="Arial"/>
          <w:sz w:val="24"/>
        </w:rPr>
      </w:pPr>
    </w:p>
    <w:p w14:paraId="45CCB05E" w14:textId="77777777" w:rsidR="00E5713C" w:rsidRDefault="00E5713C">
      <w:pPr>
        <w:adjustRightInd w:val="0"/>
        <w:snapToGrid w:val="0"/>
        <w:rPr>
          <w:rFonts w:ascii="彩虹粗仿宋" w:eastAsia="彩虹粗仿宋" w:hAnsi="宋体" w:cs="Arial"/>
          <w:sz w:val="24"/>
        </w:rPr>
      </w:pPr>
    </w:p>
    <w:p w14:paraId="5896DF50" w14:textId="77777777" w:rsidR="00E5713C" w:rsidRDefault="00441401">
      <w:pPr>
        <w:pStyle w:val="2"/>
        <w:jc w:val="center"/>
        <w:rPr>
          <w:rFonts w:ascii="彩虹粗仿宋" w:eastAsia="彩虹粗仿宋"/>
          <w:sz w:val="30"/>
        </w:rPr>
      </w:pPr>
      <w:bookmarkStart w:id="104" w:name="_Toc124325903"/>
      <w:r>
        <w:rPr>
          <w:rFonts w:ascii="彩虹粗仿宋" w:eastAsia="彩虹粗仿宋" w:hint="eastAsia"/>
          <w:sz w:val="30"/>
        </w:rPr>
        <w:t>十九、托管协议的效力</w:t>
      </w:r>
      <w:bookmarkEnd w:id="104"/>
    </w:p>
    <w:p w14:paraId="2F01DFBF"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双方对托管协议的效力约定如下：</w:t>
      </w:r>
    </w:p>
    <w:p w14:paraId="75F17A80"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一）基金管理人在向中国证监会申请基金募集注册时提交的托管协议草案，应经托管协议当事人双方盖章以及双方法定代表人或授权代表签章，协议当事人双方根据中国证监会的意见修改托管协议草案。托管协议以中国证监会</w:t>
      </w:r>
      <w:r>
        <w:rPr>
          <w:rFonts w:ascii="彩虹粗仿宋" w:eastAsia="彩虹粗仿宋" w:hAnsi="宋体" w:cs="Arial"/>
          <w:sz w:val="24"/>
        </w:rPr>
        <w:t>注册</w:t>
      </w:r>
      <w:r>
        <w:rPr>
          <w:rFonts w:ascii="彩虹粗仿宋" w:eastAsia="彩虹粗仿宋" w:hAnsi="宋体" w:cs="Arial" w:hint="eastAsia"/>
          <w:sz w:val="24"/>
        </w:rPr>
        <w:t>的文本为正式文本。</w:t>
      </w:r>
    </w:p>
    <w:p w14:paraId="4BF571B7"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（二）托管协议自《基金合同》成立之日起成立，自《基金合同》生效之日起生效。托管协议的有效期自其生效之日起至基金财产清算结果报中国证监会备案并公告之日止。</w:t>
      </w:r>
    </w:p>
    <w:p w14:paraId="22186501"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（三）托管协议自生效之日起对托管协议当事人具有同等的法律约束力。</w:t>
      </w:r>
    </w:p>
    <w:p w14:paraId="1CE7A3F1" w14:textId="77777777" w:rsidR="00E5713C" w:rsidRDefault="00441401">
      <w:pPr>
        <w:adjustRightInd w:val="0"/>
        <w:snapToGrid w:val="0"/>
        <w:ind w:firstLineChars="200" w:firstLine="480"/>
        <w:rPr>
          <w:rFonts w:ascii="彩虹粗仿宋" w:eastAsia="彩虹粗仿宋"/>
          <w:sz w:val="30"/>
          <w:szCs w:val="30"/>
        </w:rPr>
      </w:pPr>
      <w:r>
        <w:rPr>
          <w:rFonts w:ascii="彩虹粗仿宋" w:eastAsia="彩虹粗仿宋" w:hAnsi="宋体" w:cs="Arial" w:hint="eastAsia"/>
          <w:sz w:val="24"/>
        </w:rPr>
        <w:t>（四）本协议一式六份，协议双方各持二份，上报监管机构二份，每份具有同等的法律效力。</w:t>
      </w:r>
    </w:p>
    <w:p w14:paraId="7D892073" w14:textId="77777777" w:rsidR="00E5713C" w:rsidRDefault="00E5713C">
      <w:pPr>
        <w:adjustRightInd w:val="0"/>
        <w:snapToGrid w:val="0"/>
        <w:rPr>
          <w:rFonts w:ascii="彩虹粗仿宋" w:eastAsia="彩虹粗仿宋" w:hAnsi="宋体" w:cs="Arial"/>
          <w:sz w:val="24"/>
        </w:rPr>
      </w:pPr>
    </w:p>
    <w:p w14:paraId="10AEDC0F" w14:textId="77777777" w:rsidR="00E5713C" w:rsidRDefault="00441401">
      <w:pPr>
        <w:pStyle w:val="2"/>
        <w:jc w:val="center"/>
        <w:rPr>
          <w:rFonts w:ascii="彩虹粗仿宋" w:eastAsia="彩虹粗仿宋"/>
          <w:sz w:val="30"/>
        </w:rPr>
      </w:pPr>
      <w:bookmarkStart w:id="105" w:name="_Toc124325904"/>
      <w:r>
        <w:rPr>
          <w:rFonts w:ascii="彩虹粗仿宋" w:eastAsia="彩虹粗仿宋" w:hint="eastAsia"/>
          <w:sz w:val="30"/>
        </w:rPr>
        <w:t>二十、其他事项</w:t>
      </w:r>
      <w:bookmarkEnd w:id="105"/>
    </w:p>
    <w:p w14:paraId="1F3CDDBA"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如发生有权司法机关依法冻结基金份额持有人的基金份额时，基金管理人应予以配合，承担司法协助义务。</w:t>
      </w:r>
    </w:p>
    <w:p w14:paraId="7D12FDD6"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除本协议有明确定义外，本协议的用语定义适用《基金合同》的约定。本协议未尽事宜，当事人依据《基金合同》、有关法律法规等规定协商办理。</w:t>
      </w:r>
    </w:p>
    <w:p w14:paraId="5CA0EFB4" w14:textId="77777777" w:rsidR="00E5713C" w:rsidRDefault="00E5713C">
      <w:pPr>
        <w:adjustRightInd w:val="0"/>
        <w:snapToGrid w:val="0"/>
        <w:rPr>
          <w:rFonts w:ascii="彩虹粗仿宋" w:eastAsia="彩虹粗仿宋"/>
          <w:b/>
          <w:bCs/>
        </w:rPr>
      </w:pPr>
    </w:p>
    <w:p w14:paraId="2518BB10" w14:textId="77777777" w:rsidR="00E5713C" w:rsidRDefault="00441401">
      <w:pPr>
        <w:pStyle w:val="2"/>
        <w:jc w:val="center"/>
        <w:rPr>
          <w:rFonts w:ascii="彩虹粗仿宋" w:eastAsia="彩虹粗仿宋"/>
          <w:sz w:val="30"/>
        </w:rPr>
      </w:pPr>
      <w:bookmarkStart w:id="106" w:name="_Toc124325905"/>
      <w:r>
        <w:rPr>
          <w:rFonts w:ascii="彩虹粗仿宋" w:eastAsia="彩虹粗仿宋" w:hint="eastAsia"/>
          <w:sz w:val="30"/>
        </w:rPr>
        <w:t>二十一、托管协议的签订</w:t>
      </w:r>
      <w:bookmarkEnd w:id="106"/>
    </w:p>
    <w:p w14:paraId="40CD1327" w14:textId="77777777" w:rsidR="00E5713C" w:rsidRDefault="00441401">
      <w:pPr>
        <w:adjustRightInd w:val="0"/>
        <w:snapToGrid w:val="0"/>
        <w:ind w:firstLineChars="200" w:firstLine="480"/>
        <w:rPr>
          <w:rFonts w:ascii="彩虹粗仿宋" w:eastAsia="彩虹粗仿宋" w:hAnsi="宋体" w:cs="Arial"/>
          <w:sz w:val="24"/>
        </w:rPr>
      </w:pPr>
      <w:r>
        <w:rPr>
          <w:rFonts w:ascii="彩虹粗仿宋" w:eastAsia="彩虹粗仿宋" w:hAnsi="宋体" w:cs="Arial" w:hint="eastAsia"/>
          <w:sz w:val="24"/>
        </w:rPr>
        <w:t>本协议双方法定代表人或授权代表签章、签订地、签订日。</w:t>
      </w:r>
    </w:p>
    <w:p w14:paraId="16649DCE" w14:textId="77777777" w:rsidR="00E5713C" w:rsidRDefault="00441401">
      <w:pPr>
        <w:widowControl/>
        <w:jc w:val="left"/>
        <w:rPr>
          <w:rFonts w:ascii="彩虹粗仿宋" w:eastAsia="彩虹粗仿宋" w:hAnsi="宋体" w:cs="Arial"/>
          <w:sz w:val="24"/>
        </w:rPr>
      </w:pPr>
      <w:r>
        <w:rPr>
          <w:rFonts w:ascii="彩虹粗仿宋" w:eastAsia="彩虹粗仿宋" w:hAnsi="宋体" w:cs="Arial"/>
          <w:sz w:val="24"/>
        </w:rPr>
        <w:br w:type="page"/>
      </w:r>
    </w:p>
    <w:p w14:paraId="2D06AB1F" w14:textId="77777777" w:rsidR="00E5713C" w:rsidRDefault="00E5713C">
      <w:pPr>
        <w:adjustRightInd w:val="0"/>
        <w:snapToGrid w:val="0"/>
        <w:ind w:firstLineChars="200" w:firstLine="480"/>
        <w:rPr>
          <w:rFonts w:ascii="彩虹粗仿宋" w:eastAsia="彩虹粗仿宋" w:hAnsi="宋体" w:cs="Arial"/>
          <w:bCs/>
          <w:sz w:val="24"/>
        </w:rPr>
      </w:pPr>
    </w:p>
    <w:p w14:paraId="73DFA272" w14:textId="2CF7E958" w:rsidR="00E5713C" w:rsidRDefault="00441401">
      <w:pPr>
        <w:adjustRightInd w:val="0"/>
        <w:snapToGrid w:val="0"/>
        <w:ind w:left="420" w:firstLineChars="25" w:firstLine="60"/>
        <w:rPr>
          <w:rFonts w:ascii="彩虹粗仿宋" w:eastAsia="彩虹粗仿宋" w:hAnsi="宋体" w:cs="Arial"/>
          <w:bCs/>
          <w:sz w:val="24"/>
        </w:rPr>
      </w:pPr>
      <w:r>
        <w:rPr>
          <w:rFonts w:ascii="彩虹粗仿宋" w:eastAsia="彩虹粗仿宋" w:hAnsi="宋体" w:cs="Arial" w:hint="eastAsia"/>
          <w:bCs/>
          <w:sz w:val="24"/>
        </w:rPr>
        <w:t>（</w:t>
      </w:r>
      <w:r>
        <w:rPr>
          <w:rFonts w:ascii="彩虹粗仿宋" w:eastAsia="彩虹粗仿宋" w:hAnsi="宋体" w:cs="Arial"/>
          <w:bCs/>
          <w:sz w:val="24"/>
        </w:rPr>
        <w:t>本页</w:t>
      </w:r>
      <w:r>
        <w:rPr>
          <w:rFonts w:ascii="彩虹粗仿宋" w:eastAsia="彩虹粗仿宋" w:hAnsi="宋体" w:cs="Arial" w:hint="eastAsia"/>
          <w:bCs/>
          <w:sz w:val="24"/>
        </w:rPr>
        <w:t>为《</w:t>
      </w:r>
      <w:bookmarkStart w:id="107" w:name="OLE_LINK19"/>
      <w:bookmarkStart w:id="108" w:name="OLE_LINK18"/>
      <w:r>
        <w:rPr>
          <w:rFonts w:ascii="彩虹粗仿宋" w:eastAsia="彩虹粗仿宋" w:hAnsi="宋体" w:cs="Arial" w:hint="eastAsia"/>
          <w:bCs/>
          <w:sz w:val="24"/>
        </w:rPr>
        <w:t>南方创业板人工智能交易型开放式指数证券投资基金联接基金托管协议</w:t>
      </w:r>
      <w:bookmarkEnd w:id="107"/>
      <w:bookmarkEnd w:id="108"/>
      <w:r>
        <w:rPr>
          <w:rFonts w:ascii="彩虹粗仿宋" w:eastAsia="彩虹粗仿宋" w:hAnsi="宋体" w:cs="Arial" w:hint="eastAsia"/>
          <w:bCs/>
          <w:sz w:val="24"/>
        </w:rPr>
        <w:t>》签署页，无正文）</w:t>
      </w:r>
    </w:p>
    <w:p w14:paraId="6567D59D" w14:textId="77777777" w:rsidR="00E5713C" w:rsidRDefault="00E5713C">
      <w:pPr>
        <w:adjustRightInd w:val="0"/>
        <w:snapToGrid w:val="0"/>
        <w:ind w:firstLineChars="200" w:firstLine="480"/>
        <w:rPr>
          <w:rFonts w:ascii="彩虹粗仿宋" w:eastAsia="彩虹粗仿宋" w:hAnsi="宋体" w:cs="Arial"/>
          <w:b/>
          <w:bCs/>
          <w:sz w:val="24"/>
        </w:rPr>
      </w:pPr>
    </w:p>
    <w:p w14:paraId="5B7ADEF2" w14:textId="77777777" w:rsidR="00E5713C" w:rsidRDefault="00E5713C">
      <w:pPr>
        <w:adjustRightInd w:val="0"/>
        <w:snapToGrid w:val="0"/>
        <w:ind w:firstLineChars="200" w:firstLine="480"/>
        <w:rPr>
          <w:rFonts w:ascii="彩虹粗仿宋" w:eastAsia="彩虹粗仿宋" w:hAnsi="宋体" w:cs="Arial"/>
          <w:b/>
          <w:bCs/>
          <w:sz w:val="24"/>
        </w:rPr>
      </w:pPr>
    </w:p>
    <w:p w14:paraId="13C7CDDF" w14:textId="77777777" w:rsidR="00E5713C" w:rsidRDefault="00E5713C">
      <w:pPr>
        <w:adjustRightInd w:val="0"/>
        <w:snapToGrid w:val="0"/>
        <w:ind w:firstLineChars="200" w:firstLine="480"/>
        <w:rPr>
          <w:rFonts w:ascii="彩虹粗仿宋" w:eastAsia="彩虹粗仿宋" w:hAnsi="宋体" w:cs="Arial"/>
          <w:bCs/>
          <w:sz w:val="24"/>
        </w:rPr>
      </w:pPr>
    </w:p>
    <w:p w14:paraId="7331A353" w14:textId="77777777" w:rsidR="00E5713C" w:rsidRDefault="00441401">
      <w:pPr>
        <w:adjustRightInd w:val="0"/>
        <w:snapToGrid w:val="0"/>
        <w:ind w:firstLineChars="200" w:firstLine="480"/>
        <w:rPr>
          <w:rFonts w:ascii="彩虹粗仿宋" w:eastAsia="彩虹粗仿宋" w:hAnsi="宋体" w:cs="Arial"/>
          <w:bCs/>
          <w:sz w:val="24"/>
        </w:rPr>
      </w:pPr>
      <w:r>
        <w:rPr>
          <w:rFonts w:ascii="彩虹粗仿宋" w:eastAsia="彩虹粗仿宋" w:hAnsi="宋体" w:cs="Arial"/>
          <w:bCs/>
          <w:sz w:val="24"/>
        </w:rPr>
        <w:t>基金管理人：</w:t>
      </w:r>
      <w:r>
        <w:rPr>
          <w:rFonts w:ascii="彩虹粗仿宋" w:eastAsia="彩虹粗仿宋" w:hAnsi="宋体" w:cs="Arial" w:hint="eastAsia"/>
          <w:bCs/>
          <w:sz w:val="24"/>
        </w:rPr>
        <w:t>南方基金管理股份有限公司（盖章）</w:t>
      </w:r>
    </w:p>
    <w:p w14:paraId="525393A6" w14:textId="77777777" w:rsidR="00E5713C" w:rsidRDefault="00E5713C">
      <w:pPr>
        <w:adjustRightInd w:val="0"/>
        <w:snapToGrid w:val="0"/>
        <w:ind w:firstLineChars="200" w:firstLine="480"/>
        <w:rPr>
          <w:rFonts w:ascii="彩虹粗仿宋" w:eastAsia="彩虹粗仿宋" w:hAnsi="宋体" w:cs="Arial"/>
          <w:bCs/>
          <w:sz w:val="24"/>
        </w:rPr>
      </w:pPr>
    </w:p>
    <w:p w14:paraId="6B5421BE" w14:textId="77777777" w:rsidR="00E5713C" w:rsidRDefault="00E5713C">
      <w:pPr>
        <w:adjustRightInd w:val="0"/>
        <w:snapToGrid w:val="0"/>
        <w:ind w:firstLineChars="200" w:firstLine="480"/>
        <w:rPr>
          <w:rFonts w:ascii="彩虹粗仿宋" w:eastAsia="彩虹粗仿宋" w:hAnsi="宋体" w:cs="Arial"/>
          <w:bCs/>
          <w:sz w:val="24"/>
        </w:rPr>
      </w:pPr>
    </w:p>
    <w:p w14:paraId="159F5915" w14:textId="77777777" w:rsidR="00E5713C" w:rsidRDefault="00E5713C">
      <w:pPr>
        <w:adjustRightInd w:val="0"/>
        <w:snapToGrid w:val="0"/>
        <w:ind w:firstLineChars="200" w:firstLine="480"/>
        <w:rPr>
          <w:rFonts w:ascii="彩虹粗仿宋" w:eastAsia="彩虹粗仿宋" w:hAnsi="宋体" w:cs="Arial"/>
          <w:bCs/>
          <w:sz w:val="24"/>
        </w:rPr>
      </w:pPr>
    </w:p>
    <w:p w14:paraId="1D293334" w14:textId="77777777" w:rsidR="00E5713C" w:rsidRDefault="00E5713C">
      <w:pPr>
        <w:adjustRightInd w:val="0"/>
        <w:snapToGrid w:val="0"/>
        <w:ind w:firstLineChars="200" w:firstLine="480"/>
        <w:rPr>
          <w:rFonts w:ascii="彩虹粗仿宋" w:eastAsia="彩虹粗仿宋" w:hAnsi="宋体" w:cs="Arial"/>
          <w:bCs/>
          <w:sz w:val="24"/>
        </w:rPr>
      </w:pPr>
    </w:p>
    <w:p w14:paraId="509E0AB0" w14:textId="77777777" w:rsidR="00E5713C" w:rsidRDefault="00441401">
      <w:pPr>
        <w:adjustRightInd w:val="0"/>
        <w:snapToGrid w:val="0"/>
        <w:ind w:firstLineChars="200" w:firstLine="480"/>
        <w:rPr>
          <w:rFonts w:ascii="彩虹粗仿宋" w:eastAsia="彩虹粗仿宋" w:hAnsi="宋体" w:cs="Arial"/>
          <w:bCs/>
          <w:sz w:val="24"/>
        </w:rPr>
      </w:pPr>
      <w:r>
        <w:rPr>
          <w:rFonts w:ascii="彩虹粗仿宋" w:eastAsia="彩虹粗仿宋" w:hAnsi="宋体" w:cs="Arial"/>
          <w:bCs/>
          <w:sz w:val="24"/>
        </w:rPr>
        <w:t>法定代表人</w:t>
      </w:r>
      <w:r>
        <w:rPr>
          <w:rFonts w:ascii="彩虹粗仿宋" w:eastAsia="彩虹粗仿宋" w:hAnsi="宋体" w:cs="Arial" w:hint="eastAsia"/>
          <w:bCs/>
          <w:sz w:val="24"/>
        </w:rPr>
        <w:t>或授权签字人（签字或盖章）：</w:t>
      </w:r>
    </w:p>
    <w:p w14:paraId="5A0CCFA3" w14:textId="77777777" w:rsidR="00E5713C" w:rsidRDefault="00E5713C">
      <w:pPr>
        <w:adjustRightInd w:val="0"/>
        <w:snapToGrid w:val="0"/>
        <w:ind w:firstLineChars="200" w:firstLine="480"/>
        <w:rPr>
          <w:rFonts w:ascii="彩虹粗仿宋" w:eastAsia="彩虹粗仿宋" w:hAnsi="宋体" w:cs="Arial"/>
          <w:bCs/>
          <w:sz w:val="24"/>
        </w:rPr>
      </w:pPr>
    </w:p>
    <w:p w14:paraId="388687EB" w14:textId="77777777" w:rsidR="00E5713C" w:rsidRDefault="00E5713C">
      <w:pPr>
        <w:adjustRightInd w:val="0"/>
        <w:snapToGrid w:val="0"/>
        <w:ind w:firstLineChars="200" w:firstLine="480"/>
        <w:rPr>
          <w:rFonts w:ascii="彩虹粗仿宋" w:eastAsia="彩虹粗仿宋" w:hAnsi="宋体" w:cs="Arial"/>
          <w:bCs/>
          <w:sz w:val="24"/>
        </w:rPr>
      </w:pPr>
    </w:p>
    <w:p w14:paraId="1C1904D6" w14:textId="77777777" w:rsidR="00E5713C" w:rsidRDefault="00E5713C">
      <w:pPr>
        <w:adjustRightInd w:val="0"/>
        <w:snapToGrid w:val="0"/>
        <w:ind w:firstLineChars="200" w:firstLine="480"/>
        <w:rPr>
          <w:rFonts w:ascii="彩虹粗仿宋" w:eastAsia="彩虹粗仿宋" w:hAnsi="宋体" w:cs="Arial"/>
          <w:bCs/>
          <w:sz w:val="24"/>
        </w:rPr>
      </w:pPr>
    </w:p>
    <w:p w14:paraId="06DB3DA4" w14:textId="77777777" w:rsidR="00E5713C" w:rsidRDefault="00E5713C">
      <w:pPr>
        <w:adjustRightInd w:val="0"/>
        <w:snapToGrid w:val="0"/>
        <w:ind w:firstLineChars="200" w:firstLine="480"/>
        <w:rPr>
          <w:rFonts w:ascii="彩虹粗仿宋" w:eastAsia="彩虹粗仿宋" w:hAnsi="宋体" w:cs="Arial"/>
          <w:bCs/>
          <w:sz w:val="24"/>
        </w:rPr>
      </w:pPr>
    </w:p>
    <w:p w14:paraId="23D88363" w14:textId="77777777" w:rsidR="00E5713C" w:rsidRDefault="00E5713C">
      <w:pPr>
        <w:adjustRightInd w:val="0"/>
        <w:snapToGrid w:val="0"/>
        <w:ind w:firstLineChars="200" w:firstLine="480"/>
        <w:rPr>
          <w:rFonts w:ascii="彩虹粗仿宋" w:eastAsia="彩虹粗仿宋" w:hAnsi="宋体" w:cs="Arial"/>
          <w:bCs/>
          <w:sz w:val="24"/>
        </w:rPr>
      </w:pPr>
    </w:p>
    <w:p w14:paraId="44353964" w14:textId="77777777" w:rsidR="00E5713C" w:rsidRDefault="00E5713C">
      <w:pPr>
        <w:adjustRightInd w:val="0"/>
        <w:snapToGrid w:val="0"/>
        <w:ind w:firstLineChars="200" w:firstLine="480"/>
        <w:rPr>
          <w:rFonts w:ascii="彩虹粗仿宋" w:eastAsia="彩虹粗仿宋" w:hAnsi="宋体" w:cs="Arial"/>
          <w:bCs/>
          <w:sz w:val="24"/>
        </w:rPr>
      </w:pPr>
    </w:p>
    <w:p w14:paraId="48E795A8" w14:textId="77777777" w:rsidR="00E5713C" w:rsidRDefault="00E5713C">
      <w:pPr>
        <w:adjustRightInd w:val="0"/>
        <w:snapToGrid w:val="0"/>
        <w:ind w:firstLineChars="200" w:firstLine="480"/>
        <w:rPr>
          <w:rFonts w:ascii="彩虹粗仿宋" w:eastAsia="彩虹粗仿宋" w:hAnsi="宋体" w:cs="Arial"/>
          <w:bCs/>
          <w:sz w:val="24"/>
        </w:rPr>
      </w:pPr>
    </w:p>
    <w:p w14:paraId="7765302F" w14:textId="77777777" w:rsidR="00E5713C" w:rsidRDefault="00E5713C">
      <w:pPr>
        <w:adjustRightInd w:val="0"/>
        <w:snapToGrid w:val="0"/>
        <w:ind w:firstLineChars="200" w:firstLine="480"/>
        <w:rPr>
          <w:rFonts w:ascii="彩虹粗仿宋" w:eastAsia="彩虹粗仿宋" w:hAnsi="宋体" w:cs="Arial"/>
          <w:bCs/>
          <w:sz w:val="24"/>
        </w:rPr>
      </w:pPr>
    </w:p>
    <w:p w14:paraId="7FF67953" w14:textId="77777777" w:rsidR="00E5713C" w:rsidRDefault="00441401">
      <w:pPr>
        <w:adjustRightInd w:val="0"/>
        <w:snapToGrid w:val="0"/>
        <w:ind w:firstLineChars="200" w:firstLine="480"/>
        <w:rPr>
          <w:rFonts w:ascii="彩虹粗仿宋" w:eastAsia="彩虹粗仿宋" w:hAnsi="宋体" w:cs="Arial"/>
          <w:bCs/>
          <w:sz w:val="24"/>
        </w:rPr>
      </w:pPr>
      <w:r>
        <w:rPr>
          <w:rFonts w:ascii="彩虹粗仿宋" w:eastAsia="彩虹粗仿宋" w:hAnsi="宋体" w:cs="Arial"/>
          <w:bCs/>
          <w:sz w:val="24"/>
        </w:rPr>
        <w:t>基金托管人</w:t>
      </w:r>
      <w:r>
        <w:rPr>
          <w:rFonts w:ascii="彩虹粗仿宋" w:eastAsia="彩虹粗仿宋" w:hAnsi="宋体" w:cs="Arial" w:hint="eastAsia"/>
          <w:bCs/>
          <w:sz w:val="24"/>
        </w:rPr>
        <w:t>：中国建设银行股份有限公司（盖章）</w:t>
      </w:r>
    </w:p>
    <w:p w14:paraId="2D9967E7" w14:textId="77777777" w:rsidR="00E5713C" w:rsidRDefault="00E5713C">
      <w:pPr>
        <w:adjustRightInd w:val="0"/>
        <w:snapToGrid w:val="0"/>
        <w:ind w:firstLineChars="200" w:firstLine="480"/>
        <w:rPr>
          <w:rFonts w:ascii="彩虹粗仿宋" w:eastAsia="彩虹粗仿宋" w:hAnsi="宋体" w:cs="Arial"/>
          <w:bCs/>
          <w:sz w:val="24"/>
        </w:rPr>
      </w:pPr>
    </w:p>
    <w:p w14:paraId="7133E168" w14:textId="77777777" w:rsidR="00E5713C" w:rsidRDefault="00E5713C">
      <w:pPr>
        <w:adjustRightInd w:val="0"/>
        <w:snapToGrid w:val="0"/>
        <w:ind w:firstLineChars="200" w:firstLine="480"/>
        <w:rPr>
          <w:rFonts w:ascii="彩虹粗仿宋" w:eastAsia="彩虹粗仿宋" w:hAnsi="宋体" w:cs="Arial"/>
          <w:bCs/>
          <w:sz w:val="24"/>
        </w:rPr>
      </w:pPr>
    </w:p>
    <w:p w14:paraId="6E5B4079" w14:textId="77777777" w:rsidR="00E5713C" w:rsidRDefault="00E5713C">
      <w:pPr>
        <w:adjustRightInd w:val="0"/>
        <w:snapToGrid w:val="0"/>
        <w:ind w:firstLineChars="200" w:firstLine="480"/>
        <w:rPr>
          <w:rFonts w:ascii="彩虹粗仿宋" w:eastAsia="彩虹粗仿宋" w:hAnsi="宋体" w:cs="Arial"/>
          <w:bCs/>
          <w:sz w:val="24"/>
        </w:rPr>
      </w:pPr>
    </w:p>
    <w:p w14:paraId="3DC55F2A" w14:textId="77777777" w:rsidR="00E5713C" w:rsidRDefault="00E5713C">
      <w:pPr>
        <w:adjustRightInd w:val="0"/>
        <w:snapToGrid w:val="0"/>
        <w:ind w:firstLineChars="200" w:firstLine="480"/>
        <w:rPr>
          <w:rFonts w:ascii="彩虹粗仿宋" w:eastAsia="彩虹粗仿宋" w:hAnsi="宋体" w:cs="Arial"/>
          <w:bCs/>
          <w:sz w:val="24"/>
        </w:rPr>
      </w:pPr>
    </w:p>
    <w:p w14:paraId="57E095D0" w14:textId="77777777" w:rsidR="00E5713C" w:rsidRDefault="00441401">
      <w:pPr>
        <w:adjustRightInd w:val="0"/>
        <w:snapToGrid w:val="0"/>
        <w:ind w:firstLineChars="200" w:firstLine="480"/>
        <w:rPr>
          <w:rFonts w:ascii="彩虹粗仿宋" w:eastAsia="彩虹粗仿宋" w:hAnsi="宋体" w:cs="Arial"/>
          <w:bCs/>
          <w:sz w:val="24"/>
        </w:rPr>
      </w:pPr>
      <w:r>
        <w:rPr>
          <w:rFonts w:ascii="彩虹粗仿宋" w:eastAsia="彩虹粗仿宋" w:hAnsi="宋体" w:cs="Arial"/>
          <w:bCs/>
          <w:sz w:val="24"/>
        </w:rPr>
        <w:t>法定代表人</w:t>
      </w:r>
      <w:r>
        <w:rPr>
          <w:rFonts w:ascii="彩虹粗仿宋" w:eastAsia="彩虹粗仿宋" w:hAnsi="宋体" w:cs="Arial" w:hint="eastAsia"/>
          <w:bCs/>
          <w:sz w:val="24"/>
        </w:rPr>
        <w:t>或授权签字人（签字或盖章）：</w:t>
      </w:r>
    </w:p>
    <w:p w14:paraId="5DE0384F" w14:textId="77777777" w:rsidR="00E5713C" w:rsidRDefault="00E5713C">
      <w:pPr>
        <w:adjustRightInd w:val="0"/>
        <w:snapToGrid w:val="0"/>
        <w:ind w:firstLineChars="200" w:firstLine="480"/>
        <w:rPr>
          <w:rFonts w:ascii="彩虹粗仿宋" w:eastAsia="彩虹粗仿宋" w:hAnsi="宋体" w:cs="Arial"/>
          <w:bCs/>
          <w:sz w:val="24"/>
        </w:rPr>
      </w:pPr>
    </w:p>
    <w:p w14:paraId="7DDD102D" w14:textId="77777777" w:rsidR="00E5713C" w:rsidRDefault="00E5713C">
      <w:pPr>
        <w:adjustRightInd w:val="0"/>
        <w:snapToGrid w:val="0"/>
        <w:ind w:firstLineChars="200" w:firstLine="480"/>
        <w:rPr>
          <w:rFonts w:ascii="彩虹粗仿宋" w:eastAsia="彩虹粗仿宋" w:hAnsi="宋体" w:cs="Arial"/>
          <w:bCs/>
          <w:sz w:val="24"/>
        </w:rPr>
      </w:pPr>
    </w:p>
    <w:p w14:paraId="24C29A9E" w14:textId="77777777" w:rsidR="00E5713C" w:rsidRDefault="00E5713C">
      <w:pPr>
        <w:adjustRightInd w:val="0"/>
        <w:snapToGrid w:val="0"/>
        <w:ind w:firstLineChars="200" w:firstLine="480"/>
        <w:rPr>
          <w:rFonts w:ascii="彩虹粗仿宋" w:eastAsia="彩虹粗仿宋" w:hAnsi="宋体" w:cs="Arial"/>
          <w:bCs/>
          <w:sz w:val="24"/>
        </w:rPr>
      </w:pPr>
    </w:p>
    <w:p w14:paraId="58B25412" w14:textId="77777777" w:rsidR="00E5713C" w:rsidRDefault="00E5713C">
      <w:pPr>
        <w:adjustRightInd w:val="0"/>
        <w:snapToGrid w:val="0"/>
        <w:ind w:firstLineChars="200" w:firstLine="480"/>
        <w:rPr>
          <w:rFonts w:ascii="彩虹粗仿宋" w:eastAsia="彩虹粗仿宋" w:hAnsi="宋体" w:cs="Arial"/>
          <w:sz w:val="24"/>
        </w:rPr>
      </w:pPr>
    </w:p>
    <w:p w14:paraId="4C502AFA" w14:textId="77777777" w:rsidR="00E5713C" w:rsidRDefault="00441401">
      <w:pPr>
        <w:adjustRightInd w:val="0"/>
        <w:snapToGrid w:val="0"/>
        <w:ind w:firstLineChars="200" w:firstLine="480"/>
        <w:rPr>
          <w:rFonts w:ascii="彩虹粗仿宋" w:eastAsia="彩虹粗仿宋" w:hAnsi="宋体" w:cs="Arial"/>
          <w:bCs/>
          <w:sz w:val="24"/>
        </w:rPr>
      </w:pPr>
      <w:r>
        <w:rPr>
          <w:rFonts w:ascii="彩虹粗仿宋" w:eastAsia="彩虹粗仿宋" w:hAnsi="宋体" w:cs="Arial" w:hint="eastAsia"/>
          <w:bCs/>
          <w:sz w:val="24"/>
        </w:rPr>
        <w:t>签订地点：</w:t>
      </w:r>
      <w:r>
        <w:rPr>
          <w:rFonts w:ascii="彩虹粗仿宋" w:eastAsia="彩虹粗仿宋" w:hAnsi="宋体" w:cs="Arial" w:hint="eastAsia"/>
          <w:sz w:val="24"/>
        </w:rPr>
        <w:t>中国</w:t>
      </w:r>
      <w:r>
        <w:rPr>
          <w:rFonts w:ascii="彩虹粗仿宋" w:eastAsia="彩虹粗仿宋" w:hAnsi="宋体" w:cs="Arial"/>
          <w:sz w:val="24"/>
        </w:rPr>
        <w:t>北京</w:t>
      </w:r>
      <w:r>
        <w:rPr>
          <w:rFonts w:ascii="彩虹粗仿宋" w:eastAsia="彩虹粗仿宋" w:hAnsi="宋体" w:cs="Arial"/>
          <w:bCs/>
          <w:sz w:val="24"/>
        </w:rPr>
        <w:t xml:space="preserve"> </w:t>
      </w:r>
    </w:p>
    <w:p w14:paraId="3A8D9D00" w14:textId="77777777" w:rsidR="00E5713C" w:rsidRDefault="00441401">
      <w:pPr>
        <w:adjustRightInd w:val="0"/>
        <w:snapToGrid w:val="0"/>
        <w:ind w:firstLineChars="200" w:firstLine="480"/>
        <w:rPr>
          <w:rFonts w:ascii="彩虹粗仿宋" w:eastAsia="彩虹粗仿宋" w:hAnsi="宋体" w:cs="Arial"/>
          <w:bCs/>
          <w:sz w:val="24"/>
        </w:rPr>
      </w:pPr>
      <w:r>
        <w:rPr>
          <w:rFonts w:ascii="彩虹粗仿宋" w:eastAsia="彩虹粗仿宋" w:hAnsi="宋体" w:cs="Arial" w:hint="eastAsia"/>
          <w:bCs/>
          <w:sz w:val="24"/>
        </w:rPr>
        <w:t>签订日期：      年    月    日</w:t>
      </w:r>
    </w:p>
    <w:p w14:paraId="65CCDD38" w14:textId="77777777" w:rsidR="00E5713C" w:rsidRDefault="00E5713C">
      <w:pPr>
        <w:adjustRightInd w:val="0"/>
        <w:snapToGrid w:val="0"/>
        <w:ind w:firstLineChars="200" w:firstLine="480"/>
        <w:rPr>
          <w:rFonts w:ascii="彩虹粗仿宋" w:eastAsia="彩虹粗仿宋" w:hAnsi="宋体" w:cs="Arial"/>
          <w:sz w:val="24"/>
        </w:rPr>
      </w:pPr>
    </w:p>
    <w:sectPr w:rsidR="00E5713C">
      <w:headerReference w:type="default" r:id="rId9"/>
      <w:footerReference w:type="default" r:id="rId10"/>
      <w:pgSz w:w="11906" w:h="16838"/>
      <w:pgMar w:top="1418" w:right="1701" w:bottom="1418" w:left="1701"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57F643" w16cid:durableId="2BC73AD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2EBDE" w14:textId="77777777" w:rsidR="008D07A2" w:rsidRDefault="008D07A2">
      <w:r>
        <w:separator/>
      </w:r>
    </w:p>
  </w:endnote>
  <w:endnote w:type="continuationSeparator" w:id="0">
    <w:p w14:paraId="079AE6C0" w14:textId="77777777" w:rsidR="008D07A2" w:rsidRDefault="008D0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仿宋简体">
    <w:altName w:val="宋体"/>
    <w:charset w:val="86"/>
    <w:family w:val="auto"/>
    <w:pitch w:val="default"/>
    <w:sig w:usb0="00000000" w:usb1="00000000" w:usb2="00000012" w:usb3="00000000" w:csb0="00040001" w:csb1="00000000"/>
  </w:font>
  <w:font w:name="Arial Unicode MS">
    <w:panose1 w:val="020B0604020202020204"/>
    <w:charset w:val="86"/>
    <w:family w:val="swiss"/>
    <w:pitch w:val="variable"/>
    <w:sig w:usb0="F7FFAFFF" w:usb1="E9DFFFFF" w:usb2="0000003F" w:usb3="00000000" w:csb0="001F00F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彩虹粗仿宋">
    <w:altName w:val="微软雅黑"/>
    <w:charset w:val="86"/>
    <w:family w:val="script"/>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B6C8A" w14:textId="77777777" w:rsidR="00E5713C" w:rsidRDefault="00441401">
    <w:pPr>
      <w:pStyle w:val="a9"/>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6BEFB030" w14:textId="77777777" w:rsidR="00E5713C" w:rsidRDefault="00E5713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32CFA" w14:textId="7E3FBAC4" w:rsidR="00E5713C" w:rsidRDefault="00441401">
    <w:pPr>
      <w:pStyle w:val="a9"/>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8D07A2">
      <w:rPr>
        <w:rStyle w:val="af0"/>
        <w:noProof/>
      </w:rPr>
      <w:t>1</w:t>
    </w:r>
    <w:r>
      <w:rPr>
        <w:rStyle w:val="af0"/>
      </w:rPr>
      <w:fldChar w:fldCharType="end"/>
    </w:r>
  </w:p>
  <w:p w14:paraId="57213402" w14:textId="77777777" w:rsidR="00E5713C" w:rsidRDefault="00E5713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4A84B" w14:textId="77777777" w:rsidR="00E5713C" w:rsidRDefault="00E5713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8E3455" w14:textId="77777777" w:rsidR="008D07A2" w:rsidRDefault="008D07A2">
      <w:r>
        <w:separator/>
      </w:r>
    </w:p>
  </w:footnote>
  <w:footnote w:type="continuationSeparator" w:id="0">
    <w:p w14:paraId="488DC846" w14:textId="77777777" w:rsidR="008D07A2" w:rsidRDefault="008D0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35CE2" w14:textId="77777777" w:rsidR="00E5713C" w:rsidRDefault="00E5713C">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E74"/>
    <w:rsid w:val="00001942"/>
    <w:rsid w:val="00001AB6"/>
    <w:rsid w:val="0000385E"/>
    <w:rsid w:val="00004CC0"/>
    <w:rsid w:val="000107CB"/>
    <w:rsid w:val="00010FA9"/>
    <w:rsid w:val="00011418"/>
    <w:rsid w:val="0001676E"/>
    <w:rsid w:val="0001755A"/>
    <w:rsid w:val="00022271"/>
    <w:rsid w:val="0003192F"/>
    <w:rsid w:val="000319D8"/>
    <w:rsid w:val="000328D4"/>
    <w:rsid w:val="00032EBE"/>
    <w:rsid w:val="00033B57"/>
    <w:rsid w:val="00034761"/>
    <w:rsid w:val="0003586B"/>
    <w:rsid w:val="00035C77"/>
    <w:rsid w:val="000376B5"/>
    <w:rsid w:val="000377CD"/>
    <w:rsid w:val="00037DC1"/>
    <w:rsid w:val="000403DC"/>
    <w:rsid w:val="00042A67"/>
    <w:rsid w:val="00043FE5"/>
    <w:rsid w:val="00045893"/>
    <w:rsid w:val="00047FC0"/>
    <w:rsid w:val="00051FCD"/>
    <w:rsid w:val="0005278E"/>
    <w:rsid w:val="00054C42"/>
    <w:rsid w:val="000634A2"/>
    <w:rsid w:val="00063F5D"/>
    <w:rsid w:val="00070457"/>
    <w:rsid w:val="0007382B"/>
    <w:rsid w:val="000747AE"/>
    <w:rsid w:val="00076DDC"/>
    <w:rsid w:val="000802A2"/>
    <w:rsid w:val="00085461"/>
    <w:rsid w:val="0008595C"/>
    <w:rsid w:val="000966D3"/>
    <w:rsid w:val="000A0416"/>
    <w:rsid w:val="000A07D9"/>
    <w:rsid w:val="000A0BF2"/>
    <w:rsid w:val="000A1E60"/>
    <w:rsid w:val="000B16BA"/>
    <w:rsid w:val="000B4124"/>
    <w:rsid w:val="000B507D"/>
    <w:rsid w:val="000B5E9D"/>
    <w:rsid w:val="000C100E"/>
    <w:rsid w:val="000C1A75"/>
    <w:rsid w:val="000C4736"/>
    <w:rsid w:val="000C4D78"/>
    <w:rsid w:val="000C54B7"/>
    <w:rsid w:val="000C66D3"/>
    <w:rsid w:val="000C7304"/>
    <w:rsid w:val="000D04FD"/>
    <w:rsid w:val="000D0580"/>
    <w:rsid w:val="000D12C3"/>
    <w:rsid w:val="000D136F"/>
    <w:rsid w:val="000D222A"/>
    <w:rsid w:val="000D4C04"/>
    <w:rsid w:val="000D6F04"/>
    <w:rsid w:val="000D7743"/>
    <w:rsid w:val="000E057F"/>
    <w:rsid w:val="000E191F"/>
    <w:rsid w:val="000E31BF"/>
    <w:rsid w:val="000E4092"/>
    <w:rsid w:val="000E5FBC"/>
    <w:rsid w:val="000E6BCF"/>
    <w:rsid w:val="000E6DEB"/>
    <w:rsid w:val="000E7B60"/>
    <w:rsid w:val="000F0393"/>
    <w:rsid w:val="000F12EA"/>
    <w:rsid w:val="000F3A96"/>
    <w:rsid w:val="000F6A7E"/>
    <w:rsid w:val="00101BCD"/>
    <w:rsid w:val="00103757"/>
    <w:rsid w:val="00106017"/>
    <w:rsid w:val="001071FD"/>
    <w:rsid w:val="001074B4"/>
    <w:rsid w:val="00111B05"/>
    <w:rsid w:val="00113847"/>
    <w:rsid w:val="001143D6"/>
    <w:rsid w:val="001148BB"/>
    <w:rsid w:val="00114D32"/>
    <w:rsid w:val="001158FC"/>
    <w:rsid w:val="00121A5E"/>
    <w:rsid w:val="00125A21"/>
    <w:rsid w:val="001305B0"/>
    <w:rsid w:val="00130A39"/>
    <w:rsid w:val="00133547"/>
    <w:rsid w:val="0013367F"/>
    <w:rsid w:val="0013507D"/>
    <w:rsid w:val="00137A76"/>
    <w:rsid w:val="00140669"/>
    <w:rsid w:val="001427FF"/>
    <w:rsid w:val="001452AE"/>
    <w:rsid w:val="0014766B"/>
    <w:rsid w:val="001514D7"/>
    <w:rsid w:val="001518EB"/>
    <w:rsid w:val="00152F80"/>
    <w:rsid w:val="00155B1F"/>
    <w:rsid w:val="001566C6"/>
    <w:rsid w:val="00156EA6"/>
    <w:rsid w:val="001610B6"/>
    <w:rsid w:val="0016154D"/>
    <w:rsid w:val="00161ECC"/>
    <w:rsid w:val="00164A32"/>
    <w:rsid w:val="00167228"/>
    <w:rsid w:val="0016732F"/>
    <w:rsid w:val="0016753E"/>
    <w:rsid w:val="00172D7F"/>
    <w:rsid w:val="00175369"/>
    <w:rsid w:val="0017684A"/>
    <w:rsid w:val="00176DB0"/>
    <w:rsid w:val="0018074E"/>
    <w:rsid w:val="001836BD"/>
    <w:rsid w:val="00186C0D"/>
    <w:rsid w:val="00187C58"/>
    <w:rsid w:val="0019043B"/>
    <w:rsid w:val="00192138"/>
    <w:rsid w:val="00192683"/>
    <w:rsid w:val="001930B0"/>
    <w:rsid w:val="00195EE5"/>
    <w:rsid w:val="001A07C9"/>
    <w:rsid w:val="001A12C5"/>
    <w:rsid w:val="001A315C"/>
    <w:rsid w:val="001A4225"/>
    <w:rsid w:val="001A4F20"/>
    <w:rsid w:val="001A5578"/>
    <w:rsid w:val="001A559B"/>
    <w:rsid w:val="001A5EB3"/>
    <w:rsid w:val="001B0021"/>
    <w:rsid w:val="001B01C3"/>
    <w:rsid w:val="001B07DD"/>
    <w:rsid w:val="001B3419"/>
    <w:rsid w:val="001B3B5D"/>
    <w:rsid w:val="001B5F17"/>
    <w:rsid w:val="001B71A0"/>
    <w:rsid w:val="001C0152"/>
    <w:rsid w:val="001C01C1"/>
    <w:rsid w:val="001C0EC2"/>
    <w:rsid w:val="001C18CD"/>
    <w:rsid w:val="001C230D"/>
    <w:rsid w:val="001C73FE"/>
    <w:rsid w:val="001D0553"/>
    <w:rsid w:val="001D4A1B"/>
    <w:rsid w:val="001E0091"/>
    <w:rsid w:val="001E0131"/>
    <w:rsid w:val="001E18D3"/>
    <w:rsid w:val="001E27CC"/>
    <w:rsid w:val="001E2CF8"/>
    <w:rsid w:val="001E611C"/>
    <w:rsid w:val="001E617B"/>
    <w:rsid w:val="001E6454"/>
    <w:rsid w:val="001E677F"/>
    <w:rsid w:val="001F048D"/>
    <w:rsid w:val="001F1B9A"/>
    <w:rsid w:val="001F259C"/>
    <w:rsid w:val="001F5164"/>
    <w:rsid w:val="001F60D8"/>
    <w:rsid w:val="002006FC"/>
    <w:rsid w:val="002023DD"/>
    <w:rsid w:val="00202706"/>
    <w:rsid w:val="00205234"/>
    <w:rsid w:val="00215762"/>
    <w:rsid w:val="00215803"/>
    <w:rsid w:val="00223860"/>
    <w:rsid w:val="00224E70"/>
    <w:rsid w:val="0022591B"/>
    <w:rsid w:val="00232F38"/>
    <w:rsid w:val="002358F5"/>
    <w:rsid w:val="00235FFF"/>
    <w:rsid w:val="00237B3A"/>
    <w:rsid w:val="00237DF2"/>
    <w:rsid w:val="00242169"/>
    <w:rsid w:val="0024245C"/>
    <w:rsid w:val="002431B4"/>
    <w:rsid w:val="00244CC3"/>
    <w:rsid w:val="002455BD"/>
    <w:rsid w:val="00246CBB"/>
    <w:rsid w:val="002470A9"/>
    <w:rsid w:val="0025107C"/>
    <w:rsid w:val="0025155C"/>
    <w:rsid w:val="00254004"/>
    <w:rsid w:val="002608F4"/>
    <w:rsid w:val="00262039"/>
    <w:rsid w:val="002627E9"/>
    <w:rsid w:val="00266523"/>
    <w:rsid w:val="002713A0"/>
    <w:rsid w:val="0027285F"/>
    <w:rsid w:val="002758C8"/>
    <w:rsid w:val="00277589"/>
    <w:rsid w:val="002813CE"/>
    <w:rsid w:val="00282216"/>
    <w:rsid w:val="0028442A"/>
    <w:rsid w:val="002845A8"/>
    <w:rsid w:val="00285E1A"/>
    <w:rsid w:val="0028655B"/>
    <w:rsid w:val="00287B07"/>
    <w:rsid w:val="002906CA"/>
    <w:rsid w:val="002907FE"/>
    <w:rsid w:val="00290EF3"/>
    <w:rsid w:val="00291AEB"/>
    <w:rsid w:val="00291CCE"/>
    <w:rsid w:val="00292027"/>
    <w:rsid w:val="00292B38"/>
    <w:rsid w:val="00292BEB"/>
    <w:rsid w:val="002972A1"/>
    <w:rsid w:val="002A1041"/>
    <w:rsid w:val="002A2970"/>
    <w:rsid w:val="002A4DF7"/>
    <w:rsid w:val="002A710F"/>
    <w:rsid w:val="002A7F1E"/>
    <w:rsid w:val="002B0CA0"/>
    <w:rsid w:val="002B0CC0"/>
    <w:rsid w:val="002B6898"/>
    <w:rsid w:val="002B788B"/>
    <w:rsid w:val="002C0C60"/>
    <w:rsid w:val="002C1551"/>
    <w:rsid w:val="002C1717"/>
    <w:rsid w:val="002C3645"/>
    <w:rsid w:val="002C463C"/>
    <w:rsid w:val="002C4F71"/>
    <w:rsid w:val="002C79A7"/>
    <w:rsid w:val="002C7B85"/>
    <w:rsid w:val="002D18C8"/>
    <w:rsid w:val="002D2441"/>
    <w:rsid w:val="002D50C3"/>
    <w:rsid w:val="002D52EB"/>
    <w:rsid w:val="002D74E0"/>
    <w:rsid w:val="002D7F50"/>
    <w:rsid w:val="002E0425"/>
    <w:rsid w:val="002E6C55"/>
    <w:rsid w:val="002F309D"/>
    <w:rsid w:val="002F40EB"/>
    <w:rsid w:val="002F4E6C"/>
    <w:rsid w:val="002F6019"/>
    <w:rsid w:val="002F6C97"/>
    <w:rsid w:val="00303AE9"/>
    <w:rsid w:val="00303F78"/>
    <w:rsid w:val="00305BBF"/>
    <w:rsid w:val="003063AC"/>
    <w:rsid w:val="00306682"/>
    <w:rsid w:val="00307BF9"/>
    <w:rsid w:val="00314127"/>
    <w:rsid w:val="003151FA"/>
    <w:rsid w:val="003154FF"/>
    <w:rsid w:val="00317638"/>
    <w:rsid w:val="00321B78"/>
    <w:rsid w:val="00323959"/>
    <w:rsid w:val="00326822"/>
    <w:rsid w:val="0033031D"/>
    <w:rsid w:val="003324D9"/>
    <w:rsid w:val="00332BF0"/>
    <w:rsid w:val="00332D12"/>
    <w:rsid w:val="0033465E"/>
    <w:rsid w:val="00334F1D"/>
    <w:rsid w:val="003375E6"/>
    <w:rsid w:val="0034349B"/>
    <w:rsid w:val="003461DD"/>
    <w:rsid w:val="003478DD"/>
    <w:rsid w:val="003502D5"/>
    <w:rsid w:val="00351201"/>
    <w:rsid w:val="00351A9F"/>
    <w:rsid w:val="003530F1"/>
    <w:rsid w:val="003532E6"/>
    <w:rsid w:val="0035391F"/>
    <w:rsid w:val="00354A2B"/>
    <w:rsid w:val="003556E0"/>
    <w:rsid w:val="0036215B"/>
    <w:rsid w:val="00362827"/>
    <w:rsid w:val="00363E85"/>
    <w:rsid w:val="0036425A"/>
    <w:rsid w:val="00364452"/>
    <w:rsid w:val="003654A9"/>
    <w:rsid w:val="00366795"/>
    <w:rsid w:val="00367FC0"/>
    <w:rsid w:val="003704F4"/>
    <w:rsid w:val="00372CAA"/>
    <w:rsid w:val="0037337E"/>
    <w:rsid w:val="00373E3D"/>
    <w:rsid w:val="003765C4"/>
    <w:rsid w:val="003767CF"/>
    <w:rsid w:val="00382CE5"/>
    <w:rsid w:val="003834DA"/>
    <w:rsid w:val="00385AA9"/>
    <w:rsid w:val="00390ECE"/>
    <w:rsid w:val="003959AA"/>
    <w:rsid w:val="00395A53"/>
    <w:rsid w:val="00397412"/>
    <w:rsid w:val="00397425"/>
    <w:rsid w:val="003A0F20"/>
    <w:rsid w:val="003A2DE3"/>
    <w:rsid w:val="003A4CEE"/>
    <w:rsid w:val="003A529D"/>
    <w:rsid w:val="003A66F8"/>
    <w:rsid w:val="003A674C"/>
    <w:rsid w:val="003A775F"/>
    <w:rsid w:val="003B3397"/>
    <w:rsid w:val="003B457D"/>
    <w:rsid w:val="003B5947"/>
    <w:rsid w:val="003B62DA"/>
    <w:rsid w:val="003C0317"/>
    <w:rsid w:val="003C0916"/>
    <w:rsid w:val="003C343B"/>
    <w:rsid w:val="003C780E"/>
    <w:rsid w:val="003D3EC0"/>
    <w:rsid w:val="003D4F85"/>
    <w:rsid w:val="003D5FF9"/>
    <w:rsid w:val="003D632F"/>
    <w:rsid w:val="003D7734"/>
    <w:rsid w:val="003E349E"/>
    <w:rsid w:val="003E6866"/>
    <w:rsid w:val="003F0C52"/>
    <w:rsid w:val="003F148A"/>
    <w:rsid w:val="003F4074"/>
    <w:rsid w:val="003F43E3"/>
    <w:rsid w:val="003F63E8"/>
    <w:rsid w:val="003F7108"/>
    <w:rsid w:val="00400D64"/>
    <w:rsid w:val="004013E8"/>
    <w:rsid w:val="0040640C"/>
    <w:rsid w:val="004073B6"/>
    <w:rsid w:val="00411923"/>
    <w:rsid w:val="004121C6"/>
    <w:rsid w:val="004137A6"/>
    <w:rsid w:val="0041488C"/>
    <w:rsid w:val="0041674A"/>
    <w:rsid w:val="0041693B"/>
    <w:rsid w:val="00417FE1"/>
    <w:rsid w:val="00424957"/>
    <w:rsid w:val="00431C35"/>
    <w:rsid w:val="004365D5"/>
    <w:rsid w:val="00440754"/>
    <w:rsid w:val="00441401"/>
    <w:rsid w:val="0044236D"/>
    <w:rsid w:val="00443343"/>
    <w:rsid w:val="00446655"/>
    <w:rsid w:val="004514C2"/>
    <w:rsid w:val="00451C09"/>
    <w:rsid w:val="00453DAB"/>
    <w:rsid w:val="00455CC9"/>
    <w:rsid w:val="004565B1"/>
    <w:rsid w:val="004601CB"/>
    <w:rsid w:val="0046101E"/>
    <w:rsid w:val="0046528F"/>
    <w:rsid w:val="0046729E"/>
    <w:rsid w:val="004714E9"/>
    <w:rsid w:val="00471D55"/>
    <w:rsid w:val="00475291"/>
    <w:rsid w:val="00476249"/>
    <w:rsid w:val="00477140"/>
    <w:rsid w:val="0047735D"/>
    <w:rsid w:val="0048009E"/>
    <w:rsid w:val="0048177B"/>
    <w:rsid w:val="00482BC2"/>
    <w:rsid w:val="00482E4A"/>
    <w:rsid w:val="0048324E"/>
    <w:rsid w:val="00483BFC"/>
    <w:rsid w:val="00486CD6"/>
    <w:rsid w:val="004875D2"/>
    <w:rsid w:val="00487F22"/>
    <w:rsid w:val="0049067F"/>
    <w:rsid w:val="0049294A"/>
    <w:rsid w:val="004939B8"/>
    <w:rsid w:val="00495730"/>
    <w:rsid w:val="00495BA8"/>
    <w:rsid w:val="004978E1"/>
    <w:rsid w:val="004979BC"/>
    <w:rsid w:val="004A00E0"/>
    <w:rsid w:val="004A209E"/>
    <w:rsid w:val="004A23AA"/>
    <w:rsid w:val="004A58E0"/>
    <w:rsid w:val="004B11CA"/>
    <w:rsid w:val="004B3706"/>
    <w:rsid w:val="004B502B"/>
    <w:rsid w:val="004B5D71"/>
    <w:rsid w:val="004B6942"/>
    <w:rsid w:val="004C1DD6"/>
    <w:rsid w:val="004C24B0"/>
    <w:rsid w:val="004C27F5"/>
    <w:rsid w:val="004D1CF2"/>
    <w:rsid w:val="004D3E22"/>
    <w:rsid w:val="004D5234"/>
    <w:rsid w:val="004D5709"/>
    <w:rsid w:val="004D6A5E"/>
    <w:rsid w:val="004E01C1"/>
    <w:rsid w:val="004E3E79"/>
    <w:rsid w:val="004E4B16"/>
    <w:rsid w:val="004E5BD3"/>
    <w:rsid w:val="004F0774"/>
    <w:rsid w:val="004F7218"/>
    <w:rsid w:val="004F7BE0"/>
    <w:rsid w:val="0050025F"/>
    <w:rsid w:val="005024BB"/>
    <w:rsid w:val="00505AC7"/>
    <w:rsid w:val="005061FF"/>
    <w:rsid w:val="005062EB"/>
    <w:rsid w:val="00511D84"/>
    <w:rsid w:val="00515C57"/>
    <w:rsid w:val="005202F9"/>
    <w:rsid w:val="00520B37"/>
    <w:rsid w:val="0052464E"/>
    <w:rsid w:val="00525FCF"/>
    <w:rsid w:val="00526EE0"/>
    <w:rsid w:val="00527143"/>
    <w:rsid w:val="00527418"/>
    <w:rsid w:val="005279E1"/>
    <w:rsid w:val="0053019C"/>
    <w:rsid w:val="00530396"/>
    <w:rsid w:val="00530D25"/>
    <w:rsid w:val="0053436B"/>
    <w:rsid w:val="00534D58"/>
    <w:rsid w:val="005352C9"/>
    <w:rsid w:val="00536243"/>
    <w:rsid w:val="00536928"/>
    <w:rsid w:val="00541111"/>
    <w:rsid w:val="005419DB"/>
    <w:rsid w:val="005507A8"/>
    <w:rsid w:val="005516DA"/>
    <w:rsid w:val="00552BB9"/>
    <w:rsid w:val="00553ECE"/>
    <w:rsid w:val="005541C1"/>
    <w:rsid w:val="00554E01"/>
    <w:rsid w:val="00555057"/>
    <w:rsid w:val="0055518A"/>
    <w:rsid w:val="005571E8"/>
    <w:rsid w:val="005578FF"/>
    <w:rsid w:val="00562401"/>
    <w:rsid w:val="00563340"/>
    <w:rsid w:val="00565C85"/>
    <w:rsid w:val="00566DF2"/>
    <w:rsid w:val="005670D2"/>
    <w:rsid w:val="00567764"/>
    <w:rsid w:val="00567AA7"/>
    <w:rsid w:val="005702A1"/>
    <w:rsid w:val="00571516"/>
    <w:rsid w:val="005715E3"/>
    <w:rsid w:val="00573E06"/>
    <w:rsid w:val="00577C3F"/>
    <w:rsid w:val="005803F2"/>
    <w:rsid w:val="00580400"/>
    <w:rsid w:val="00581E9F"/>
    <w:rsid w:val="00582595"/>
    <w:rsid w:val="005830E9"/>
    <w:rsid w:val="00583A60"/>
    <w:rsid w:val="00583C46"/>
    <w:rsid w:val="005844A9"/>
    <w:rsid w:val="00584C13"/>
    <w:rsid w:val="005917A1"/>
    <w:rsid w:val="005921A0"/>
    <w:rsid w:val="005928EC"/>
    <w:rsid w:val="0059295A"/>
    <w:rsid w:val="005937B4"/>
    <w:rsid w:val="00596B0F"/>
    <w:rsid w:val="005A2464"/>
    <w:rsid w:val="005A6EE1"/>
    <w:rsid w:val="005B12E4"/>
    <w:rsid w:val="005B3C77"/>
    <w:rsid w:val="005B6074"/>
    <w:rsid w:val="005B6AE2"/>
    <w:rsid w:val="005C4954"/>
    <w:rsid w:val="005D051A"/>
    <w:rsid w:val="005D17E5"/>
    <w:rsid w:val="005D4226"/>
    <w:rsid w:val="005D4FFC"/>
    <w:rsid w:val="005D5092"/>
    <w:rsid w:val="005D6F58"/>
    <w:rsid w:val="005D74B7"/>
    <w:rsid w:val="005D7840"/>
    <w:rsid w:val="005E3753"/>
    <w:rsid w:val="005E65D2"/>
    <w:rsid w:val="005E7D6C"/>
    <w:rsid w:val="005F16B4"/>
    <w:rsid w:val="005F2635"/>
    <w:rsid w:val="005F5059"/>
    <w:rsid w:val="005F73D6"/>
    <w:rsid w:val="00600855"/>
    <w:rsid w:val="00607CF7"/>
    <w:rsid w:val="00607FE0"/>
    <w:rsid w:val="00611F86"/>
    <w:rsid w:val="006127B7"/>
    <w:rsid w:val="00615DCE"/>
    <w:rsid w:val="0061637B"/>
    <w:rsid w:val="006173E0"/>
    <w:rsid w:val="00617DA1"/>
    <w:rsid w:val="00620BA7"/>
    <w:rsid w:val="0062295C"/>
    <w:rsid w:val="00623410"/>
    <w:rsid w:val="0062679B"/>
    <w:rsid w:val="006315B6"/>
    <w:rsid w:val="00633906"/>
    <w:rsid w:val="00634D9C"/>
    <w:rsid w:val="00634F14"/>
    <w:rsid w:val="006360F0"/>
    <w:rsid w:val="006375BE"/>
    <w:rsid w:val="00646E6E"/>
    <w:rsid w:val="00646F24"/>
    <w:rsid w:val="0065116C"/>
    <w:rsid w:val="00653B28"/>
    <w:rsid w:val="00655530"/>
    <w:rsid w:val="00655900"/>
    <w:rsid w:val="00656D48"/>
    <w:rsid w:val="0066145F"/>
    <w:rsid w:val="006620D4"/>
    <w:rsid w:val="006627B5"/>
    <w:rsid w:val="0066405E"/>
    <w:rsid w:val="00665EC4"/>
    <w:rsid w:val="00667E7A"/>
    <w:rsid w:val="00670081"/>
    <w:rsid w:val="00670DC1"/>
    <w:rsid w:val="00670F3C"/>
    <w:rsid w:val="0067469B"/>
    <w:rsid w:val="006768C9"/>
    <w:rsid w:val="00677878"/>
    <w:rsid w:val="00681481"/>
    <w:rsid w:val="00683047"/>
    <w:rsid w:val="00683492"/>
    <w:rsid w:val="00685406"/>
    <w:rsid w:val="006879C2"/>
    <w:rsid w:val="00687FD1"/>
    <w:rsid w:val="00694698"/>
    <w:rsid w:val="006952E6"/>
    <w:rsid w:val="00696760"/>
    <w:rsid w:val="00697924"/>
    <w:rsid w:val="006A2459"/>
    <w:rsid w:val="006A615E"/>
    <w:rsid w:val="006B38B4"/>
    <w:rsid w:val="006B52A4"/>
    <w:rsid w:val="006B5A59"/>
    <w:rsid w:val="006B5B91"/>
    <w:rsid w:val="006C082B"/>
    <w:rsid w:val="006C104F"/>
    <w:rsid w:val="006C5911"/>
    <w:rsid w:val="006C5C20"/>
    <w:rsid w:val="006D52E8"/>
    <w:rsid w:val="006D605F"/>
    <w:rsid w:val="006D65F5"/>
    <w:rsid w:val="006E2950"/>
    <w:rsid w:val="006E392F"/>
    <w:rsid w:val="006E5E4D"/>
    <w:rsid w:val="006E7F96"/>
    <w:rsid w:val="006F1ECA"/>
    <w:rsid w:val="006F4499"/>
    <w:rsid w:val="006F7060"/>
    <w:rsid w:val="006F7A3F"/>
    <w:rsid w:val="00704095"/>
    <w:rsid w:val="00705F6C"/>
    <w:rsid w:val="00707394"/>
    <w:rsid w:val="00707436"/>
    <w:rsid w:val="00707FA5"/>
    <w:rsid w:val="007133D4"/>
    <w:rsid w:val="007139F6"/>
    <w:rsid w:val="00713D3C"/>
    <w:rsid w:val="007151E7"/>
    <w:rsid w:val="00715E30"/>
    <w:rsid w:val="0071665D"/>
    <w:rsid w:val="00716B4B"/>
    <w:rsid w:val="00720497"/>
    <w:rsid w:val="0072089E"/>
    <w:rsid w:val="007211DE"/>
    <w:rsid w:val="007245A0"/>
    <w:rsid w:val="00725FBF"/>
    <w:rsid w:val="00730E44"/>
    <w:rsid w:val="0073374A"/>
    <w:rsid w:val="00735E8F"/>
    <w:rsid w:val="00736C3E"/>
    <w:rsid w:val="00743EC9"/>
    <w:rsid w:val="00745177"/>
    <w:rsid w:val="00746465"/>
    <w:rsid w:val="0074682C"/>
    <w:rsid w:val="00753824"/>
    <w:rsid w:val="00754467"/>
    <w:rsid w:val="007555AA"/>
    <w:rsid w:val="0075627A"/>
    <w:rsid w:val="007575F7"/>
    <w:rsid w:val="00757919"/>
    <w:rsid w:val="0076163F"/>
    <w:rsid w:val="007619BE"/>
    <w:rsid w:val="00763292"/>
    <w:rsid w:val="00763B7F"/>
    <w:rsid w:val="00763E85"/>
    <w:rsid w:val="00770F4C"/>
    <w:rsid w:val="007712A2"/>
    <w:rsid w:val="00775FBE"/>
    <w:rsid w:val="00776D82"/>
    <w:rsid w:val="00781D82"/>
    <w:rsid w:val="00782963"/>
    <w:rsid w:val="00784792"/>
    <w:rsid w:val="00786319"/>
    <w:rsid w:val="00787CE3"/>
    <w:rsid w:val="007915DB"/>
    <w:rsid w:val="00796969"/>
    <w:rsid w:val="00796D73"/>
    <w:rsid w:val="007A0C98"/>
    <w:rsid w:val="007A0F60"/>
    <w:rsid w:val="007A1E2C"/>
    <w:rsid w:val="007A20F6"/>
    <w:rsid w:val="007A351B"/>
    <w:rsid w:val="007A3DB2"/>
    <w:rsid w:val="007A6015"/>
    <w:rsid w:val="007A7F6F"/>
    <w:rsid w:val="007B058C"/>
    <w:rsid w:val="007B1523"/>
    <w:rsid w:val="007B1AD5"/>
    <w:rsid w:val="007B2435"/>
    <w:rsid w:val="007B2EB0"/>
    <w:rsid w:val="007B3EA6"/>
    <w:rsid w:val="007B5A8C"/>
    <w:rsid w:val="007B7F66"/>
    <w:rsid w:val="007C603C"/>
    <w:rsid w:val="007C713C"/>
    <w:rsid w:val="007C73B9"/>
    <w:rsid w:val="007D277E"/>
    <w:rsid w:val="007D42FB"/>
    <w:rsid w:val="007D7242"/>
    <w:rsid w:val="007D7343"/>
    <w:rsid w:val="007E5089"/>
    <w:rsid w:val="007E51FD"/>
    <w:rsid w:val="007E582A"/>
    <w:rsid w:val="007E6666"/>
    <w:rsid w:val="007F0492"/>
    <w:rsid w:val="007F0EFF"/>
    <w:rsid w:val="007F32E3"/>
    <w:rsid w:val="007F3379"/>
    <w:rsid w:val="007F66F4"/>
    <w:rsid w:val="007F7717"/>
    <w:rsid w:val="00800E57"/>
    <w:rsid w:val="00801DDE"/>
    <w:rsid w:val="00804D3E"/>
    <w:rsid w:val="008051FD"/>
    <w:rsid w:val="0080557C"/>
    <w:rsid w:val="00805EAA"/>
    <w:rsid w:val="00806BE9"/>
    <w:rsid w:val="008075C9"/>
    <w:rsid w:val="008129F8"/>
    <w:rsid w:val="00813871"/>
    <w:rsid w:val="00815CA6"/>
    <w:rsid w:val="00817AD0"/>
    <w:rsid w:val="00817F46"/>
    <w:rsid w:val="00821AA6"/>
    <w:rsid w:val="00822778"/>
    <w:rsid w:val="00823EAC"/>
    <w:rsid w:val="008240A2"/>
    <w:rsid w:val="00826179"/>
    <w:rsid w:val="0082675E"/>
    <w:rsid w:val="00830365"/>
    <w:rsid w:val="00833C79"/>
    <w:rsid w:val="00833EEF"/>
    <w:rsid w:val="00841F15"/>
    <w:rsid w:val="0084367A"/>
    <w:rsid w:val="00845D13"/>
    <w:rsid w:val="00850002"/>
    <w:rsid w:val="0085619F"/>
    <w:rsid w:val="0086049C"/>
    <w:rsid w:val="0086184A"/>
    <w:rsid w:val="00861A5B"/>
    <w:rsid w:val="00861D91"/>
    <w:rsid w:val="0086438C"/>
    <w:rsid w:val="00864AEF"/>
    <w:rsid w:val="0086665B"/>
    <w:rsid w:val="008706C5"/>
    <w:rsid w:val="00873C30"/>
    <w:rsid w:val="008742F7"/>
    <w:rsid w:val="00876A2B"/>
    <w:rsid w:val="00877397"/>
    <w:rsid w:val="008801D7"/>
    <w:rsid w:val="008803E5"/>
    <w:rsid w:val="008805B9"/>
    <w:rsid w:val="008825B7"/>
    <w:rsid w:val="008826A0"/>
    <w:rsid w:val="00882FB9"/>
    <w:rsid w:val="00883650"/>
    <w:rsid w:val="00883DF4"/>
    <w:rsid w:val="008853C0"/>
    <w:rsid w:val="00885D45"/>
    <w:rsid w:val="00886FAC"/>
    <w:rsid w:val="00887B43"/>
    <w:rsid w:val="008902A1"/>
    <w:rsid w:val="00895A6C"/>
    <w:rsid w:val="008A1556"/>
    <w:rsid w:val="008A2EB3"/>
    <w:rsid w:val="008A54F5"/>
    <w:rsid w:val="008A5B6B"/>
    <w:rsid w:val="008B1FEE"/>
    <w:rsid w:val="008B252B"/>
    <w:rsid w:val="008B272D"/>
    <w:rsid w:val="008B4DD7"/>
    <w:rsid w:val="008B5017"/>
    <w:rsid w:val="008B627B"/>
    <w:rsid w:val="008B76B1"/>
    <w:rsid w:val="008C0362"/>
    <w:rsid w:val="008C2D3F"/>
    <w:rsid w:val="008C7E81"/>
    <w:rsid w:val="008C7FB8"/>
    <w:rsid w:val="008D07A2"/>
    <w:rsid w:val="008D19D3"/>
    <w:rsid w:val="008D1C1C"/>
    <w:rsid w:val="008D3FD2"/>
    <w:rsid w:val="008D6166"/>
    <w:rsid w:val="008E252D"/>
    <w:rsid w:val="008E3AA2"/>
    <w:rsid w:val="008E3AB8"/>
    <w:rsid w:val="008E4527"/>
    <w:rsid w:val="008F5D09"/>
    <w:rsid w:val="008F6247"/>
    <w:rsid w:val="008F7E2C"/>
    <w:rsid w:val="00901466"/>
    <w:rsid w:val="00902353"/>
    <w:rsid w:val="00902987"/>
    <w:rsid w:val="00902B2E"/>
    <w:rsid w:val="009038C9"/>
    <w:rsid w:val="00904614"/>
    <w:rsid w:val="00906A5A"/>
    <w:rsid w:val="00907862"/>
    <w:rsid w:val="00910620"/>
    <w:rsid w:val="00912DAE"/>
    <w:rsid w:val="00913958"/>
    <w:rsid w:val="00915175"/>
    <w:rsid w:val="009202F1"/>
    <w:rsid w:val="0092093E"/>
    <w:rsid w:val="0092127B"/>
    <w:rsid w:val="00923C71"/>
    <w:rsid w:val="009243F8"/>
    <w:rsid w:val="009248E6"/>
    <w:rsid w:val="00924E57"/>
    <w:rsid w:val="00926138"/>
    <w:rsid w:val="00931405"/>
    <w:rsid w:val="009318B8"/>
    <w:rsid w:val="00932519"/>
    <w:rsid w:val="00932B3E"/>
    <w:rsid w:val="0093316F"/>
    <w:rsid w:val="00934857"/>
    <w:rsid w:val="00936595"/>
    <w:rsid w:val="00941610"/>
    <w:rsid w:val="00941712"/>
    <w:rsid w:val="00943960"/>
    <w:rsid w:val="0094450C"/>
    <w:rsid w:val="009466DB"/>
    <w:rsid w:val="00947213"/>
    <w:rsid w:val="00947362"/>
    <w:rsid w:val="0094778B"/>
    <w:rsid w:val="009507F3"/>
    <w:rsid w:val="00950B56"/>
    <w:rsid w:val="0095107E"/>
    <w:rsid w:val="009538D0"/>
    <w:rsid w:val="00953D84"/>
    <w:rsid w:val="00954A8C"/>
    <w:rsid w:val="00954EED"/>
    <w:rsid w:val="0095652A"/>
    <w:rsid w:val="00960A4C"/>
    <w:rsid w:val="00960A81"/>
    <w:rsid w:val="009615B3"/>
    <w:rsid w:val="00961AF3"/>
    <w:rsid w:val="0096370C"/>
    <w:rsid w:val="00963D5C"/>
    <w:rsid w:val="009712EE"/>
    <w:rsid w:val="00973B1A"/>
    <w:rsid w:val="009769BF"/>
    <w:rsid w:val="00980472"/>
    <w:rsid w:val="009903AF"/>
    <w:rsid w:val="0099216A"/>
    <w:rsid w:val="009928E1"/>
    <w:rsid w:val="00993FE2"/>
    <w:rsid w:val="009948C7"/>
    <w:rsid w:val="00994AAA"/>
    <w:rsid w:val="009A1D86"/>
    <w:rsid w:val="009A1EE5"/>
    <w:rsid w:val="009A5D99"/>
    <w:rsid w:val="009A7189"/>
    <w:rsid w:val="009B059F"/>
    <w:rsid w:val="009B2078"/>
    <w:rsid w:val="009B20D0"/>
    <w:rsid w:val="009B21A9"/>
    <w:rsid w:val="009B2E55"/>
    <w:rsid w:val="009B44A7"/>
    <w:rsid w:val="009C16BD"/>
    <w:rsid w:val="009C1F65"/>
    <w:rsid w:val="009C2F63"/>
    <w:rsid w:val="009C3CEC"/>
    <w:rsid w:val="009C425E"/>
    <w:rsid w:val="009C5488"/>
    <w:rsid w:val="009C55EB"/>
    <w:rsid w:val="009D08B0"/>
    <w:rsid w:val="009E040D"/>
    <w:rsid w:val="009E411C"/>
    <w:rsid w:val="009F0EFC"/>
    <w:rsid w:val="009F5962"/>
    <w:rsid w:val="00A0180A"/>
    <w:rsid w:val="00A05CF2"/>
    <w:rsid w:val="00A0614D"/>
    <w:rsid w:val="00A07EB5"/>
    <w:rsid w:val="00A1407B"/>
    <w:rsid w:val="00A14A6E"/>
    <w:rsid w:val="00A160FA"/>
    <w:rsid w:val="00A202AF"/>
    <w:rsid w:val="00A23472"/>
    <w:rsid w:val="00A24DE6"/>
    <w:rsid w:val="00A27229"/>
    <w:rsid w:val="00A310FE"/>
    <w:rsid w:val="00A34C7F"/>
    <w:rsid w:val="00A40E40"/>
    <w:rsid w:val="00A47A6A"/>
    <w:rsid w:val="00A53A66"/>
    <w:rsid w:val="00A541A6"/>
    <w:rsid w:val="00A542BD"/>
    <w:rsid w:val="00A54545"/>
    <w:rsid w:val="00A5462C"/>
    <w:rsid w:val="00A57D55"/>
    <w:rsid w:val="00A6124B"/>
    <w:rsid w:val="00A620DD"/>
    <w:rsid w:val="00A63C3A"/>
    <w:rsid w:val="00A64981"/>
    <w:rsid w:val="00A65E78"/>
    <w:rsid w:val="00A701EF"/>
    <w:rsid w:val="00A74104"/>
    <w:rsid w:val="00A76987"/>
    <w:rsid w:val="00A77E34"/>
    <w:rsid w:val="00A82E20"/>
    <w:rsid w:val="00A84790"/>
    <w:rsid w:val="00A87F6F"/>
    <w:rsid w:val="00A906D2"/>
    <w:rsid w:val="00A90882"/>
    <w:rsid w:val="00A93BF4"/>
    <w:rsid w:val="00A93E75"/>
    <w:rsid w:val="00A97515"/>
    <w:rsid w:val="00AA1815"/>
    <w:rsid w:val="00AA5059"/>
    <w:rsid w:val="00AA51B4"/>
    <w:rsid w:val="00AB1A75"/>
    <w:rsid w:val="00AB1DD2"/>
    <w:rsid w:val="00AB3343"/>
    <w:rsid w:val="00AB36A2"/>
    <w:rsid w:val="00AB3B5D"/>
    <w:rsid w:val="00AB65AE"/>
    <w:rsid w:val="00AB6C71"/>
    <w:rsid w:val="00AC1176"/>
    <w:rsid w:val="00AC50F3"/>
    <w:rsid w:val="00AC54D8"/>
    <w:rsid w:val="00AD1DAD"/>
    <w:rsid w:val="00AD7521"/>
    <w:rsid w:val="00AE2AB3"/>
    <w:rsid w:val="00AE3B76"/>
    <w:rsid w:val="00AF1B66"/>
    <w:rsid w:val="00AF4C3F"/>
    <w:rsid w:val="00AF5C0C"/>
    <w:rsid w:val="00AF5C20"/>
    <w:rsid w:val="00AF62EC"/>
    <w:rsid w:val="00AF6970"/>
    <w:rsid w:val="00AF6983"/>
    <w:rsid w:val="00AF7444"/>
    <w:rsid w:val="00B0517D"/>
    <w:rsid w:val="00B060DB"/>
    <w:rsid w:val="00B06A6D"/>
    <w:rsid w:val="00B10C2E"/>
    <w:rsid w:val="00B115AD"/>
    <w:rsid w:val="00B12BD3"/>
    <w:rsid w:val="00B155A8"/>
    <w:rsid w:val="00B17E6B"/>
    <w:rsid w:val="00B2209E"/>
    <w:rsid w:val="00B2326F"/>
    <w:rsid w:val="00B24304"/>
    <w:rsid w:val="00B2444B"/>
    <w:rsid w:val="00B26B69"/>
    <w:rsid w:val="00B3054E"/>
    <w:rsid w:val="00B31ED3"/>
    <w:rsid w:val="00B32F4A"/>
    <w:rsid w:val="00B36799"/>
    <w:rsid w:val="00B3682C"/>
    <w:rsid w:val="00B368D9"/>
    <w:rsid w:val="00B36A27"/>
    <w:rsid w:val="00B37300"/>
    <w:rsid w:val="00B374F7"/>
    <w:rsid w:val="00B376F4"/>
    <w:rsid w:val="00B402FB"/>
    <w:rsid w:val="00B424B1"/>
    <w:rsid w:val="00B42822"/>
    <w:rsid w:val="00B4576C"/>
    <w:rsid w:val="00B477C9"/>
    <w:rsid w:val="00B5437E"/>
    <w:rsid w:val="00B55207"/>
    <w:rsid w:val="00B55EA0"/>
    <w:rsid w:val="00B61D95"/>
    <w:rsid w:val="00B6306F"/>
    <w:rsid w:val="00B63654"/>
    <w:rsid w:val="00B767DE"/>
    <w:rsid w:val="00B7714A"/>
    <w:rsid w:val="00B8090D"/>
    <w:rsid w:val="00B827D5"/>
    <w:rsid w:val="00B8367A"/>
    <w:rsid w:val="00B8434C"/>
    <w:rsid w:val="00B854AA"/>
    <w:rsid w:val="00B85ECE"/>
    <w:rsid w:val="00B87A26"/>
    <w:rsid w:val="00B900ED"/>
    <w:rsid w:val="00B91291"/>
    <w:rsid w:val="00B927D7"/>
    <w:rsid w:val="00B935E5"/>
    <w:rsid w:val="00B94EF4"/>
    <w:rsid w:val="00B94FA9"/>
    <w:rsid w:val="00B9677E"/>
    <w:rsid w:val="00B967B5"/>
    <w:rsid w:val="00B96820"/>
    <w:rsid w:val="00B9713C"/>
    <w:rsid w:val="00BA0C05"/>
    <w:rsid w:val="00BA0DD3"/>
    <w:rsid w:val="00BA33FB"/>
    <w:rsid w:val="00BA44F7"/>
    <w:rsid w:val="00BA6B2D"/>
    <w:rsid w:val="00BB0623"/>
    <w:rsid w:val="00BB1393"/>
    <w:rsid w:val="00BB2F1C"/>
    <w:rsid w:val="00BB5D7C"/>
    <w:rsid w:val="00BB6303"/>
    <w:rsid w:val="00BB72C0"/>
    <w:rsid w:val="00BC005C"/>
    <w:rsid w:val="00BC1DE3"/>
    <w:rsid w:val="00BC7D72"/>
    <w:rsid w:val="00BD186B"/>
    <w:rsid w:val="00BD35F6"/>
    <w:rsid w:val="00BD42F4"/>
    <w:rsid w:val="00BD4BFC"/>
    <w:rsid w:val="00BD4E4C"/>
    <w:rsid w:val="00BD53F8"/>
    <w:rsid w:val="00BD6112"/>
    <w:rsid w:val="00BD6EF2"/>
    <w:rsid w:val="00BE0C41"/>
    <w:rsid w:val="00BE0F2B"/>
    <w:rsid w:val="00BE14C7"/>
    <w:rsid w:val="00BE1C8D"/>
    <w:rsid w:val="00BE2B70"/>
    <w:rsid w:val="00BE34A9"/>
    <w:rsid w:val="00BE4193"/>
    <w:rsid w:val="00BE431D"/>
    <w:rsid w:val="00BE7969"/>
    <w:rsid w:val="00BF0C17"/>
    <w:rsid w:val="00BF23BF"/>
    <w:rsid w:val="00BF284F"/>
    <w:rsid w:val="00BF5398"/>
    <w:rsid w:val="00BF6D76"/>
    <w:rsid w:val="00C0037C"/>
    <w:rsid w:val="00C03995"/>
    <w:rsid w:val="00C05EEF"/>
    <w:rsid w:val="00C06592"/>
    <w:rsid w:val="00C0699D"/>
    <w:rsid w:val="00C126CD"/>
    <w:rsid w:val="00C14292"/>
    <w:rsid w:val="00C16D27"/>
    <w:rsid w:val="00C17398"/>
    <w:rsid w:val="00C1798F"/>
    <w:rsid w:val="00C2141E"/>
    <w:rsid w:val="00C223C9"/>
    <w:rsid w:val="00C23730"/>
    <w:rsid w:val="00C23FAA"/>
    <w:rsid w:val="00C242E8"/>
    <w:rsid w:val="00C26FA0"/>
    <w:rsid w:val="00C30AD6"/>
    <w:rsid w:val="00C3497A"/>
    <w:rsid w:val="00C34E39"/>
    <w:rsid w:val="00C37E58"/>
    <w:rsid w:val="00C4066F"/>
    <w:rsid w:val="00C43F3E"/>
    <w:rsid w:val="00C46CDB"/>
    <w:rsid w:val="00C47CF6"/>
    <w:rsid w:val="00C51AC8"/>
    <w:rsid w:val="00C52C67"/>
    <w:rsid w:val="00C52E39"/>
    <w:rsid w:val="00C54C85"/>
    <w:rsid w:val="00C559C5"/>
    <w:rsid w:val="00C56021"/>
    <w:rsid w:val="00C57875"/>
    <w:rsid w:val="00C63504"/>
    <w:rsid w:val="00C63C08"/>
    <w:rsid w:val="00C67650"/>
    <w:rsid w:val="00C676D0"/>
    <w:rsid w:val="00C71A7E"/>
    <w:rsid w:val="00C76919"/>
    <w:rsid w:val="00C807C3"/>
    <w:rsid w:val="00C80EC0"/>
    <w:rsid w:val="00C8113C"/>
    <w:rsid w:val="00C84775"/>
    <w:rsid w:val="00C923F1"/>
    <w:rsid w:val="00C928E5"/>
    <w:rsid w:val="00C953B2"/>
    <w:rsid w:val="00C969B1"/>
    <w:rsid w:val="00C96A2A"/>
    <w:rsid w:val="00CA128F"/>
    <w:rsid w:val="00CA14AC"/>
    <w:rsid w:val="00CA2A7F"/>
    <w:rsid w:val="00CA3B19"/>
    <w:rsid w:val="00CA51E3"/>
    <w:rsid w:val="00CA66CA"/>
    <w:rsid w:val="00CA680E"/>
    <w:rsid w:val="00CA6E00"/>
    <w:rsid w:val="00CA7578"/>
    <w:rsid w:val="00CA7E32"/>
    <w:rsid w:val="00CB10B3"/>
    <w:rsid w:val="00CB2D89"/>
    <w:rsid w:val="00CB418A"/>
    <w:rsid w:val="00CB5DBA"/>
    <w:rsid w:val="00CC0EA7"/>
    <w:rsid w:val="00CC1E78"/>
    <w:rsid w:val="00CC2D33"/>
    <w:rsid w:val="00CC4007"/>
    <w:rsid w:val="00CC41D0"/>
    <w:rsid w:val="00CC646F"/>
    <w:rsid w:val="00CC6844"/>
    <w:rsid w:val="00CC6F65"/>
    <w:rsid w:val="00CD15BC"/>
    <w:rsid w:val="00CD3488"/>
    <w:rsid w:val="00CD4A7C"/>
    <w:rsid w:val="00CD582C"/>
    <w:rsid w:val="00CD5C18"/>
    <w:rsid w:val="00CD7779"/>
    <w:rsid w:val="00CE4A4F"/>
    <w:rsid w:val="00CE5150"/>
    <w:rsid w:val="00CE5191"/>
    <w:rsid w:val="00CE5D79"/>
    <w:rsid w:val="00CE6D88"/>
    <w:rsid w:val="00CE6E10"/>
    <w:rsid w:val="00CE7AF2"/>
    <w:rsid w:val="00CF1245"/>
    <w:rsid w:val="00CF22A4"/>
    <w:rsid w:val="00CF4875"/>
    <w:rsid w:val="00CF5B28"/>
    <w:rsid w:val="00D04F18"/>
    <w:rsid w:val="00D05E12"/>
    <w:rsid w:val="00D10447"/>
    <w:rsid w:val="00D11459"/>
    <w:rsid w:val="00D12DEF"/>
    <w:rsid w:val="00D1396A"/>
    <w:rsid w:val="00D14A9E"/>
    <w:rsid w:val="00D15781"/>
    <w:rsid w:val="00D1638B"/>
    <w:rsid w:val="00D2237D"/>
    <w:rsid w:val="00D22F7D"/>
    <w:rsid w:val="00D26F6F"/>
    <w:rsid w:val="00D2741B"/>
    <w:rsid w:val="00D30297"/>
    <w:rsid w:val="00D321D6"/>
    <w:rsid w:val="00D35107"/>
    <w:rsid w:val="00D375AF"/>
    <w:rsid w:val="00D37AB5"/>
    <w:rsid w:val="00D41CFF"/>
    <w:rsid w:val="00D47558"/>
    <w:rsid w:val="00D50288"/>
    <w:rsid w:val="00D54276"/>
    <w:rsid w:val="00D60D5E"/>
    <w:rsid w:val="00D6456F"/>
    <w:rsid w:val="00D64619"/>
    <w:rsid w:val="00D652CF"/>
    <w:rsid w:val="00D70E46"/>
    <w:rsid w:val="00D71D80"/>
    <w:rsid w:val="00D74E58"/>
    <w:rsid w:val="00D76BC6"/>
    <w:rsid w:val="00D82A4C"/>
    <w:rsid w:val="00D83861"/>
    <w:rsid w:val="00D84C4F"/>
    <w:rsid w:val="00D90EDF"/>
    <w:rsid w:val="00D912A8"/>
    <w:rsid w:val="00D92E84"/>
    <w:rsid w:val="00D94B5B"/>
    <w:rsid w:val="00D969E6"/>
    <w:rsid w:val="00D978FF"/>
    <w:rsid w:val="00DA1A2F"/>
    <w:rsid w:val="00DA2813"/>
    <w:rsid w:val="00DA35C4"/>
    <w:rsid w:val="00DA3A14"/>
    <w:rsid w:val="00DA41EB"/>
    <w:rsid w:val="00DA5109"/>
    <w:rsid w:val="00DB03EA"/>
    <w:rsid w:val="00DB202F"/>
    <w:rsid w:val="00DB4E72"/>
    <w:rsid w:val="00DC2E25"/>
    <w:rsid w:val="00DC3965"/>
    <w:rsid w:val="00DC450A"/>
    <w:rsid w:val="00DC5BBB"/>
    <w:rsid w:val="00DC5E92"/>
    <w:rsid w:val="00DC6EC1"/>
    <w:rsid w:val="00DC7E74"/>
    <w:rsid w:val="00DD34FC"/>
    <w:rsid w:val="00DD4047"/>
    <w:rsid w:val="00DD568D"/>
    <w:rsid w:val="00DD77D5"/>
    <w:rsid w:val="00DE21D9"/>
    <w:rsid w:val="00DE5959"/>
    <w:rsid w:val="00DE796E"/>
    <w:rsid w:val="00DF439B"/>
    <w:rsid w:val="00DF4A4B"/>
    <w:rsid w:val="00DF55CE"/>
    <w:rsid w:val="00DF75E5"/>
    <w:rsid w:val="00DF7851"/>
    <w:rsid w:val="00E01CCD"/>
    <w:rsid w:val="00E03553"/>
    <w:rsid w:val="00E04474"/>
    <w:rsid w:val="00E05925"/>
    <w:rsid w:val="00E1062A"/>
    <w:rsid w:val="00E128FF"/>
    <w:rsid w:val="00E134BD"/>
    <w:rsid w:val="00E14B52"/>
    <w:rsid w:val="00E16F1D"/>
    <w:rsid w:val="00E17E9D"/>
    <w:rsid w:val="00E2000D"/>
    <w:rsid w:val="00E20A63"/>
    <w:rsid w:val="00E2456B"/>
    <w:rsid w:val="00E24879"/>
    <w:rsid w:val="00E265CE"/>
    <w:rsid w:val="00E26884"/>
    <w:rsid w:val="00E30A2A"/>
    <w:rsid w:val="00E312AB"/>
    <w:rsid w:val="00E31703"/>
    <w:rsid w:val="00E31D34"/>
    <w:rsid w:val="00E33B4F"/>
    <w:rsid w:val="00E34439"/>
    <w:rsid w:val="00E35E65"/>
    <w:rsid w:val="00E36587"/>
    <w:rsid w:val="00E37284"/>
    <w:rsid w:val="00E40694"/>
    <w:rsid w:val="00E413CA"/>
    <w:rsid w:val="00E420A1"/>
    <w:rsid w:val="00E42ED9"/>
    <w:rsid w:val="00E4305F"/>
    <w:rsid w:val="00E44455"/>
    <w:rsid w:val="00E508BC"/>
    <w:rsid w:val="00E50D7E"/>
    <w:rsid w:val="00E54A5C"/>
    <w:rsid w:val="00E5713C"/>
    <w:rsid w:val="00E611E8"/>
    <w:rsid w:val="00E6141F"/>
    <w:rsid w:val="00E61EFB"/>
    <w:rsid w:val="00E64A1D"/>
    <w:rsid w:val="00E64F2B"/>
    <w:rsid w:val="00E64FEA"/>
    <w:rsid w:val="00E66817"/>
    <w:rsid w:val="00E66A87"/>
    <w:rsid w:val="00E66FEB"/>
    <w:rsid w:val="00E67DD3"/>
    <w:rsid w:val="00E720A2"/>
    <w:rsid w:val="00E73609"/>
    <w:rsid w:val="00E75124"/>
    <w:rsid w:val="00E76FF1"/>
    <w:rsid w:val="00E80104"/>
    <w:rsid w:val="00E8206C"/>
    <w:rsid w:val="00E86786"/>
    <w:rsid w:val="00E86C77"/>
    <w:rsid w:val="00E86C82"/>
    <w:rsid w:val="00E91BC5"/>
    <w:rsid w:val="00E92FF9"/>
    <w:rsid w:val="00E93EAF"/>
    <w:rsid w:val="00EA0546"/>
    <w:rsid w:val="00EA0CF8"/>
    <w:rsid w:val="00EA17B0"/>
    <w:rsid w:val="00EA6867"/>
    <w:rsid w:val="00EA6ADF"/>
    <w:rsid w:val="00EA6AEE"/>
    <w:rsid w:val="00EB04BB"/>
    <w:rsid w:val="00EB05AE"/>
    <w:rsid w:val="00EB1F70"/>
    <w:rsid w:val="00EB412B"/>
    <w:rsid w:val="00EB61EE"/>
    <w:rsid w:val="00EB664A"/>
    <w:rsid w:val="00EB7D18"/>
    <w:rsid w:val="00EC3D97"/>
    <w:rsid w:val="00EC48E7"/>
    <w:rsid w:val="00EC56B8"/>
    <w:rsid w:val="00EC604B"/>
    <w:rsid w:val="00EC6E75"/>
    <w:rsid w:val="00ED05B3"/>
    <w:rsid w:val="00ED16DC"/>
    <w:rsid w:val="00ED1A24"/>
    <w:rsid w:val="00ED2692"/>
    <w:rsid w:val="00ED3B44"/>
    <w:rsid w:val="00ED636C"/>
    <w:rsid w:val="00EE0F73"/>
    <w:rsid w:val="00EE3B45"/>
    <w:rsid w:val="00EE7808"/>
    <w:rsid w:val="00EF0B09"/>
    <w:rsid w:val="00EF25F3"/>
    <w:rsid w:val="00EF2C86"/>
    <w:rsid w:val="00EF3ED1"/>
    <w:rsid w:val="00EF6AA7"/>
    <w:rsid w:val="00EF7AA9"/>
    <w:rsid w:val="00F00348"/>
    <w:rsid w:val="00F044DF"/>
    <w:rsid w:val="00F05A3B"/>
    <w:rsid w:val="00F06131"/>
    <w:rsid w:val="00F12438"/>
    <w:rsid w:val="00F203D0"/>
    <w:rsid w:val="00F20DCE"/>
    <w:rsid w:val="00F243EF"/>
    <w:rsid w:val="00F25A7F"/>
    <w:rsid w:val="00F316D8"/>
    <w:rsid w:val="00F33E8B"/>
    <w:rsid w:val="00F352E9"/>
    <w:rsid w:val="00F35507"/>
    <w:rsid w:val="00F42AB6"/>
    <w:rsid w:val="00F4371B"/>
    <w:rsid w:val="00F450CE"/>
    <w:rsid w:val="00F458BF"/>
    <w:rsid w:val="00F45EC4"/>
    <w:rsid w:val="00F47609"/>
    <w:rsid w:val="00F50FBF"/>
    <w:rsid w:val="00F51152"/>
    <w:rsid w:val="00F536D6"/>
    <w:rsid w:val="00F53FC4"/>
    <w:rsid w:val="00F56BDA"/>
    <w:rsid w:val="00F57033"/>
    <w:rsid w:val="00F57414"/>
    <w:rsid w:val="00F57C09"/>
    <w:rsid w:val="00F609AD"/>
    <w:rsid w:val="00F611C1"/>
    <w:rsid w:val="00F62511"/>
    <w:rsid w:val="00F64DF3"/>
    <w:rsid w:val="00F65371"/>
    <w:rsid w:val="00F70A1F"/>
    <w:rsid w:val="00F7251E"/>
    <w:rsid w:val="00F77388"/>
    <w:rsid w:val="00F77CE1"/>
    <w:rsid w:val="00F80E28"/>
    <w:rsid w:val="00F83C22"/>
    <w:rsid w:val="00F83EA0"/>
    <w:rsid w:val="00F844EA"/>
    <w:rsid w:val="00F8679D"/>
    <w:rsid w:val="00F871FF"/>
    <w:rsid w:val="00F90FF3"/>
    <w:rsid w:val="00F92A0C"/>
    <w:rsid w:val="00F95A33"/>
    <w:rsid w:val="00F95E96"/>
    <w:rsid w:val="00F97180"/>
    <w:rsid w:val="00FA03C2"/>
    <w:rsid w:val="00FA15AC"/>
    <w:rsid w:val="00FA483A"/>
    <w:rsid w:val="00FA7884"/>
    <w:rsid w:val="00FB0BA1"/>
    <w:rsid w:val="00FB175A"/>
    <w:rsid w:val="00FB2142"/>
    <w:rsid w:val="00FB49BD"/>
    <w:rsid w:val="00FB7B8A"/>
    <w:rsid w:val="00FC0506"/>
    <w:rsid w:val="00FC1F16"/>
    <w:rsid w:val="00FD27E6"/>
    <w:rsid w:val="00FD2A52"/>
    <w:rsid w:val="00FD412C"/>
    <w:rsid w:val="00FD57CE"/>
    <w:rsid w:val="00FD6771"/>
    <w:rsid w:val="00FD6B0D"/>
    <w:rsid w:val="00FD7C42"/>
    <w:rsid w:val="00FE14EE"/>
    <w:rsid w:val="00FE271E"/>
    <w:rsid w:val="00FE5C95"/>
    <w:rsid w:val="00FE6960"/>
    <w:rsid w:val="00FE7A9F"/>
    <w:rsid w:val="00FF1CB1"/>
    <w:rsid w:val="00FF1F5D"/>
    <w:rsid w:val="00FF679D"/>
    <w:rsid w:val="00FF682D"/>
    <w:rsid w:val="00FF6C37"/>
    <w:rsid w:val="1C367F9A"/>
    <w:rsid w:val="4DEA4CC8"/>
    <w:rsid w:val="6C913A57"/>
    <w:rsid w:val="762901C2"/>
    <w:rsid w:val="7D2D78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6F671E"/>
  <w15:docId w15:val="{C00F1FDA-00B4-445E-B191-AE1C1BFE6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lsdException w:name="toc 8" w:semiHidden="1" w:qFormat="1"/>
    <w:lsdException w:name="toc 9" w:semiHidden="1" w:qFormat="1"/>
    <w:lsdException w:name="Normal Indent" w:qFormat="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2">
    <w:name w:val="heading 2"/>
    <w:basedOn w:val="a"/>
    <w:next w:val="a0"/>
    <w:qFormat/>
    <w:pPr>
      <w:keepNext/>
      <w:keepLines/>
      <w:spacing w:before="260" w:after="260" w:line="416" w:lineRule="auto"/>
      <w:outlineLvl w:val="1"/>
    </w:pPr>
    <w:rPr>
      <w:rFonts w:ascii="Arial" w:eastAsia="黑体" w:hAnsi="Arial"/>
      <w:b/>
      <w:sz w:val="32"/>
      <w:szCs w:val="20"/>
    </w:rPr>
  </w:style>
  <w:style w:type="paragraph" w:styleId="3">
    <w:name w:val="heading 3"/>
    <w:basedOn w:val="a"/>
    <w:next w:val="a"/>
    <w:link w:val="30"/>
    <w:semiHidden/>
    <w:unhideWhenUsed/>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7">
    <w:name w:val="toc 7"/>
    <w:basedOn w:val="a"/>
    <w:next w:val="a"/>
    <w:semiHidden/>
    <w:pPr>
      <w:ind w:leftChars="1200" w:left="2520"/>
    </w:pPr>
  </w:style>
  <w:style w:type="paragraph" w:styleId="a4">
    <w:name w:val="annotation text"/>
    <w:basedOn w:val="a"/>
    <w:link w:val="a5"/>
    <w:qFormat/>
    <w:pPr>
      <w:jc w:val="left"/>
    </w:pPr>
  </w:style>
  <w:style w:type="paragraph" w:styleId="a6">
    <w:name w:val="Body Text"/>
    <w:basedOn w:val="a"/>
    <w:qFormat/>
    <w:pPr>
      <w:spacing w:line="360" w:lineRule="auto"/>
    </w:pPr>
    <w:rPr>
      <w:rFonts w:ascii="仿宋_GB2312" w:eastAsia="仿宋_GB2312"/>
      <w:color w:val="000000"/>
      <w:kern w:val="0"/>
      <w:sz w:val="24"/>
      <w:szCs w:val="28"/>
    </w:rPr>
  </w:style>
  <w:style w:type="paragraph" w:styleId="a7">
    <w:name w:val="Body Text Indent"/>
    <w:basedOn w:val="a"/>
    <w:qFormat/>
    <w:pPr>
      <w:adjustRightInd w:val="0"/>
      <w:snapToGrid w:val="0"/>
      <w:spacing w:line="560" w:lineRule="exact"/>
      <w:ind w:firstLineChars="200" w:firstLine="480"/>
    </w:pPr>
    <w:rPr>
      <w:rFonts w:eastAsia="方正仿宋简体"/>
      <w:sz w:val="24"/>
      <w:szCs w:val="30"/>
    </w:rPr>
  </w:style>
  <w:style w:type="paragraph" w:styleId="5">
    <w:name w:val="toc 5"/>
    <w:basedOn w:val="a"/>
    <w:next w:val="a"/>
    <w:semiHidden/>
    <w:qFormat/>
    <w:pPr>
      <w:ind w:leftChars="800" w:left="1680"/>
    </w:pPr>
  </w:style>
  <w:style w:type="paragraph" w:styleId="31">
    <w:name w:val="toc 3"/>
    <w:basedOn w:val="a"/>
    <w:next w:val="a"/>
    <w:semiHidden/>
    <w:qFormat/>
    <w:pPr>
      <w:ind w:leftChars="400" w:left="840"/>
    </w:pPr>
  </w:style>
  <w:style w:type="paragraph" w:styleId="8">
    <w:name w:val="toc 8"/>
    <w:basedOn w:val="a"/>
    <w:next w:val="a"/>
    <w:semiHidden/>
    <w:qFormat/>
    <w:pPr>
      <w:ind w:leftChars="1400" w:left="2940"/>
    </w:pPr>
  </w:style>
  <w:style w:type="paragraph" w:styleId="20">
    <w:name w:val="Body Text Indent 2"/>
    <w:basedOn w:val="a"/>
    <w:qFormat/>
    <w:pPr>
      <w:spacing w:line="360" w:lineRule="auto"/>
      <w:ind w:firstLine="525"/>
    </w:pPr>
    <w:rPr>
      <w:rFonts w:ascii="宋体" w:hAnsi="宋体"/>
      <w:sz w:val="28"/>
      <w:szCs w:val="20"/>
    </w:r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semiHidden/>
    <w:qFormat/>
  </w:style>
  <w:style w:type="paragraph" w:styleId="4">
    <w:name w:val="toc 4"/>
    <w:basedOn w:val="a"/>
    <w:next w:val="a"/>
    <w:semiHidden/>
    <w:qFormat/>
    <w:pPr>
      <w:ind w:leftChars="600" w:left="1260"/>
    </w:pPr>
  </w:style>
  <w:style w:type="paragraph" w:styleId="6">
    <w:name w:val="toc 6"/>
    <w:basedOn w:val="a"/>
    <w:next w:val="a"/>
    <w:semiHidden/>
    <w:qFormat/>
    <w:pPr>
      <w:ind w:leftChars="1000" w:left="2100"/>
    </w:pPr>
  </w:style>
  <w:style w:type="paragraph" w:styleId="32">
    <w:name w:val="Body Text Indent 3"/>
    <w:basedOn w:val="a"/>
    <w:qFormat/>
    <w:pPr>
      <w:adjustRightInd w:val="0"/>
      <w:snapToGrid w:val="0"/>
      <w:ind w:firstLineChars="200" w:firstLine="480"/>
    </w:pPr>
    <w:rPr>
      <w:rFonts w:ascii="仿宋_GB2312" w:eastAsia="仿宋_GB2312" w:hAnsi="宋体" w:cs="Arial"/>
      <w:color w:val="000000"/>
      <w:sz w:val="24"/>
    </w:rPr>
  </w:style>
  <w:style w:type="paragraph" w:styleId="21">
    <w:name w:val="toc 2"/>
    <w:basedOn w:val="a"/>
    <w:next w:val="a"/>
    <w:semiHidden/>
    <w:qFormat/>
    <w:pPr>
      <w:ind w:leftChars="200" w:left="420"/>
    </w:pPr>
  </w:style>
  <w:style w:type="paragraph" w:styleId="9">
    <w:name w:val="toc 9"/>
    <w:basedOn w:val="a"/>
    <w:next w:val="a"/>
    <w:semiHidden/>
    <w:qFormat/>
    <w:pPr>
      <w:ind w:leftChars="1600" w:left="3360"/>
    </w:p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c">
    <w:name w:val="Normal (Web)"/>
    <w:basedOn w:val="a"/>
    <w:qFormat/>
    <w:pPr>
      <w:widowControl/>
      <w:spacing w:before="100" w:beforeAutospacing="1" w:after="100" w:afterAutospacing="1"/>
      <w:jc w:val="left"/>
    </w:pPr>
    <w:rPr>
      <w:rFonts w:ascii="Arial Unicode MS" w:eastAsia="Arial Unicode MS" w:hAnsi="Arial Unicode MS" w:cs="Arial Unicode MS"/>
      <w:kern w:val="0"/>
      <w:sz w:val="24"/>
    </w:rPr>
  </w:style>
  <w:style w:type="paragraph" w:styleId="ad">
    <w:name w:val="annotation subject"/>
    <w:basedOn w:val="a4"/>
    <w:next w:val="a4"/>
    <w:link w:val="ae"/>
    <w:qFormat/>
    <w:rPr>
      <w:b/>
      <w:bCs/>
    </w:rPr>
  </w:style>
  <w:style w:type="character" w:styleId="af">
    <w:name w:val="Strong"/>
    <w:basedOn w:val="a1"/>
    <w:qFormat/>
    <w:rPr>
      <w:b/>
      <w:bCs/>
    </w:rPr>
  </w:style>
  <w:style w:type="character" w:styleId="af0">
    <w:name w:val="page number"/>
    <w:basedOn w:val="a1"/>
    <w:qFormat/>
  </w:style>
  <w:style w:type="character" w:styleId="af1">
    <w:name w:val="FollowedHyperlink"/>
    <w:basedOn w:val="a1"/>
    <w:qFormat/>
    <w:rPr>
      <w:color w:val="800080"/>
      <w:u w:val="single"/>
    </w:rPr>
  </w:style>
  <w:style w:type="character" w:styleId="af2">
    <w:name w:val="Hyperlink"/>
    <w:basedOn w:val="a1"/>
    <w:qFormat/>
    <w:rPr>
      <w:color w:val="0000FF"/>
      <w:u w:val="single"/>
    </w:rPr>
  </w:style>
  <w:style w:type="character" w:styleId="af3">
    <w:name w:val="annotation reference"/>
    <w:basedOn w:val="a1"/>
    <w:qFormat/>
    <w:rPr>
      <w:sz w:val="21"/>
      <w:szCs w:val="21"/>
    </w:rPr>
  </w:style>
  <w:style w:type="paragraph" w:customStyle="1" w:styleId="wz1">
    <w:name w:val="wz1"/>
    <w:basedOn w:val="a"/>
    <w:qFormat/>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szCs w:val="22"/>
    </w:rPr>
  </w:style>
  <w:style w:type="character" w:customStyle="1" w:styleId="read">
    <w:name w:val="read"/>
    <w:basedOn w:val="a1"/>
    <w:qFormat/>
  </w:style>
  <w:style w:type="paragraph" w:customStyle="1" w:styleId="Char">
    <w:name w:val="Char"/>
    <w:basedOn w:val="a"/>
    <w:qFormat/>
  </w:style>
  <w:style w:type="paragraph" w:customStyle="1" w:styleId="Char1">
    <w:name w:val="Char1"/>
    <w:basedOn w:val="a"/>
    <w:qFormat/>
    <w:pPr>
      <w:tabs>
        <w:tab w:val="left" w:pos="832"/>
      </w:tabs>
      <w:ind w:left="832" w:hanging="420"/>
      <w:jc w:val="center"/>
    </w:pPr>
    <w:rPr>
      <w:rFonts w:ascii="楷体_GB2312" w:eastAsia="楷体_GB2312"/>
      <w:b/>
      <w:color w:val="000080"/>
      <w:sz w:val="30"/>
      <w:szCs w:val="30"/>
    </w:rPr>
  </w:style>
  <w:style w:type="paragraph" w:customStyle="1" w:styleId="CharCharChar">
    <w:name w:val="Char Char Char"/>
    <w:basedOn w:val="a"/>
    <w:qFormat/>
  </w:style>
  <w:style w:type="paragraph" w:customStyle="1" w:styleId="CharCharCharCharCharCharChar1CharCharCharCharCharChar">
    <w:name w:val="Char Char Char Char Char Char Char1 Char Char Char Char Char Char"/>
    <w:basedOn w:val="a"/>
    <w:qFormat/>
  </w:style>
  <w:style w:type="paragraph" w:customStyle="1" w:styleId="CharChar">
    <w:name w:val="Char Char"/>
    <w:basedOn w:val="a"/>
    <w:qFormat/>
    <w:rPr>
      <w:szCs w:val="20"/>
    </w:rPr>
  </w:style>
  <w:style w:type="character" w:customStyle="1" w:styleId="HTML0">
    <w:name w:val="HTML 预设格式 字符"/>
    <w:basedOn w:val="a1"/>
    <w:link w:val="HTML"/>
    <w:uiPriority w:val="99"/>
    <w:qFormat/>
    <w:rPr>
      <w:rFonts w:ascii="宋体" w:hAnsi="宋体" w:cs="宋体"/>
      <w:sz w:val="24"/>
      <w:szCs w:val="24"/>
    </w:rPr>
  </w:style>
  <w:style w:type="character" w:customStyle="1" w:styleId="a5">
    <w:name w:val="批注文字 字符"/>
    <w:basedOn w:val="a1"/>
    <w:link w:val="a4"/>
    <w:qFormat/>
    <w:rPr>
      <w:kern w:val="2"/>
      <w:sz w:val="21"/>
      <w:szCs w:val="24"/>
    </w:rPr>
  </w:style>
  <w:style w:type="character" w:customStyle="1" w:styleId="ae">
    <w:name w:val="批注主题 字符"/>
    <w:basedOn w:val="a5"/>
    <w:link w:val="ad"/>
    <w:qFormat/>
    <w:rPr>
      <w:kern w:val="2"/>
      <w:sz w:val="21"/>
      <w:szCs w:val="24"/>
    </w:rPr>
  </w:style>
  <w:style w:type="paragraph" w:customStyle="1" w:styleId="Default">
    <w:name w:val="Default"/>
    <w:qFormat/>
    <w:pPr>
      <w:widowControl w:val="0"/>
      <w:autoSpaceDE w:val="0"/>
      <w:autoSpaceDN w:val="0"/>
      <w:adjustRightInd w:val="0"/>
    </w:pPr>
    <w:rPr>
      <w:rFonts w:ascii="仿宋_GB2312" w:eastAsia="仿宋_GB2312" w:cs="仿宋_GB2312"/>
      <w:color w:val="000000"/>
      <w:sz w:val="24"/>
      <w:szCs w:val="24"/>
    </w:rPr>
  </w:style>
  <w:style w:type="paragraph" w:styleId="af4">
    <w:name w:val="List Paragraph"/>
    <w:basedOn w:val="a"/>
    <w:uiPriority w:val="34"/>
    <w:qFormat/>
    <w:pPr>
      <w:ind w:firstLineChars="200" w:firstLine="420"/>
    </w:pPr>
    <w:rPr>
      <w:rFonts w:ascii="Calibri" w:hAnsi="Calibri"/>
      <w:szCs w:val="22"/>
    </w:rPr>
  </w:style>
  <w:style w:type="paragraph" w:customStyle="1" w:styleId="10">
    <w:name w:val="修订1"/>
    <w:hidden/>
    <w:uiPriority w:val="99"/>
    <w:semiHidden/>
    <w:qFormat/>
    <w:rPr>
      <w:kern w:val="2"/>
      <w:sz w:val="21"/>
      <w:szCs w:val="24"/>
    </w:rPr>
  </w:style>
  <w:style w:type="character" w:customStyle="1" w:styleId="30">
    <w:name w:val="标题 3 字符"/>
    <w:basedOn w:val="a1"/>
    <w:link w:val="3"/>
    <w:semiHidden/>
    <w:qFormat/>
    <w:rPr>
      <w:b/>
      <w:bCs/>
      <w:kern w:val="2"/>
      <w:sz w:val="32"/>
      <w:szCs w:val="32"/>
    </w:rPr>
  </w:style>
  <w:style w:type="paragraph" w:customStyle="1" w:styleId="22">
    <w:name w:val="修订2"/>
    <w:hidden/>
    <w:uiPriority w:val="99"/>
    <w:semiHidden/>
    <w:qFormat/>
    <w:rPr>
      <w:kern w:val="2"/>
      <w:sz w:val="21"/>
      <w:szCs w:val="24"/>
    </w:rPr>
  </w:style>
  <w:style w:type="character" w:customStyle="1" w:styleId="ab">
    <w:name w:val="页眉 字符"/>
    <w:link w:val="aa"/>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F57EF-D8BC-4862-909D-C82CA2811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4891</Words>
  <Characters>27882</Characters>
  <Application>Microsoft Office Word</Application>
  <DocSecurity>0</DocSecurity>
  <Lines>232</Lines>
  <Paragraphs>65</Paragraphs>
  <ScaleCrop>false</ScaleCrop>
  <Company/>
  <LinksUpToDate>false</LinksUpToDate>
  <CharactersWithSpaces>32708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刘梵溪</dc:creator>
  <cp:lastModifiedBy>刘梵溪</cp:lastModifiedBy>
  <cp:revision>2</cp:revision>
  <cp:lastPrinted>2022-08-30T06:34:00Z</cp:lastPrinted>
  <dcterms:created xsi:type="dcterms:W3CDTF">2025-09-26T09:06:00Z</dcterms:created>
  <dcterms:modified xsi:type="dcterms:W3CDTF">2025-09-26T09:06:00Z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E4A695A244F8443BB323FA0D5C129A40</vt:lpwstr>
  </property>
</Properties>
</file>